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5891784" cy="827836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891784" cy="8278368"/>
                    </a:xfrm>
                    <a:prstGeom prst="rect">
                      <a:avLst/>
                    </a:prstGeom>
                  </pic:spPr>
                </pic:pic>
              </a:graphicData>
            </a:graphic>
          </wp:inline>
        </w:drawing>
      </w:r>
      <w:r>
        <w:rPr>
          <w:sz w:val="20"/>
        </w:rPr>
      </w:r>
    </w:p>
    <w:p>
      <w:pPr>
        <w:spacing w:after="0"/>
        <w:rPr>
          <w:sz w:val="20"/>
        </w:rPr>
        <w:sectPr>
          <w:type w:val="continuous"/>
          <w:pgSz w:w="9280" w:h="13040"/>
          <w:pgMar w:top="0" w:bottom="0" w:left="0" w:right="0"/>
        </w:sectPr>
      </w:pPr>
    </w:p>
    <w:p>
      <w:pPr>
        <w:spacing w:line="278" w:lineRule="auto" w:before="105"/>
        <w:ind w:left="2201" w:right="2186" w:firstLine="0"/>
        <w:jc w:val="center"/>
        <w:rPr>
          <w:b/>
          <w:sz w:val="36"/>
        </w:rPr>
      </w:pPr>
      <w:r>
        <w:rPr/>
        <w:pict>
          <v:shapetype id="_x0000_t202" o:spt="202" coordsize="21600,21600" path="m,l,21600r21600,l21600,xe">
            <v:stroke joinstyle="miter"/>
            <v:path gradientshapeok="t" o:connecttype="rect"/>
          </v:shapetype>
          <v:shape style="position:absolute;margin-left:70.865997pt;margin-top:607.252014pt;width:326pt;height:33.450pt;mso-position-horizontal-relative:page;mso-position-vertical-relative:page;z-index:-643528" type="#_x0000_t202" filled="false" stroked="false">
            <v:textbox inset="0,0,0,0">
              <w:txbxContent>
                <w:p>
                  <w:pPr>
                    <w:spacing w:before="149"/>
                    <w:ind w:left="-1" w:right="266" w:firstLine="0"/>
                    <w:jc w:val="center"/>
                    <w:rPr>
                      <w:rFonts w:ascii="Verdana"/>
                      <w:sz w:val="20"/>
                    </w:rPr>
                  </w:pPr>
                  <w:r>
                    <w:rPr>
                      <w:rFonts w:ascii="Verdana"/>
                      <w:color w:val="231F20"/>
                      <w:w w:val="100"/>
                      <w:sz w:val="20"/>
                    </w:rPr>
                    <w:t>1</w:t>
                  </w:r>
                </w:p>
              </w:txbxContent>
            </v:textbox>
            <w10:wrap type="none"/>
          </v:shape>
        </w:pict>
      </w:r>
      <w:r>
        <w:rPr/>
        <w:pict>
          <v:group style="position:absolute;margin-left:334.617188pt;margin-top:555.978577pt;width:49.95pt;height:23.75pt;mso-position-horizontal-relative:page;mso-position-vertical-relative:page;z-index:1096" coordorigin="6692,11120" coordsize="999,475">
            <v:shape style="position:absolute;left:7029;top:11200;width:105;height:150" type="#_x0000_t75" stroked="false">
              <v:imagedata r:id="rId6" o:title=""/>
            </v:shape>
            <v:shape style="position:absolute;left:6740;top:11120;width:239;height:292" type="#_x0000_t75" stroked="false">
              <v:imagedata r:id="rId7" o:title=""/>
            </v:shape>
            <v:shape style="position:absolute;left:6692;top:11436;width:999;height:158" type="#_x0000_t75" stroked="false">
              <v:imagedata r:id="rId8" o:title=""/>
            </v:shape>
            <w10:wrap type="none"/>
          </v:group>
        </w:pict>
      </w:r>
      <w:r>
        <w:rPr/>
        <w:pict>
          <v:group style="position:absolute;margin-left:359.694427pt;margin-top:559.400269pt;width:22.45pt;height:8.65pt;mso-position-horizontal-relative:page;mso-position-vertical-relative:page;z-index:1120" coordorigin="7194,11188" coordsize="449,173">
            <v:line style="position:absolute" from="7207,11202" to="7207,11347" stroked="true" strokeweight="1.340383pt" strokecolor="#58595b"/>
            <v:line style="position:absolute" from="7281,11215" to="7365,11215" stroked="true" strokeweight="1.318655pt" strokecolor="#58595b"/>
            <v:line style="position:absolute" from="7281,11244" to="7310,11244" stroked="true" strokeweight="1.538431pt" strokecolor="#58595b"/>
            <v:line style="position:absolute" from="7281,11273" to="7362,11273" stroked="true" strokeweight="1.318655pt" strokecolor="#58595b"/>
            <v:line style="position:absolute" from="7281,11303" to="7310,11303" stroked="true" strokeweight="1.758207pt" strokecolor="#58595b"/>
            <v:line style="position:absolute" from="7281,11334" to="7366,11334" stroked="true" strokeweight="1.318655pt" strokecolor="#58595b"/>
            <v:shape style="position:absolute;left:7426;top:11200;width:217;height:150" coordorigin="7426,11200" coordsize="217,150" path="m7510,11245l7508,11230,7507,11228,7501,11216,7490,11205,7482,11204,7482,11233,7482,11256,7478,11262,7453,11262,7453,11228,7477,11228,7482,11233,7482,11204,7474,11202,7426,11202,7426,11347,7453,11347,7453,11289,7474,11289,7490,11285,7501,11274,7507,11262,7508,11260,7510,11245m7642,11305l7638,11284,7628,11270,7615,11261,7602,11254,7592,11247,7588,11238,7588,11231,7594,11226,7612,11226,7622,11230,7637,11239,7637,11226,7637,11211,7624,11203,7613,11200,7601,11200,7584,11203,7571,11211,7563,11224,7560,11241,7564,11263,7574,11277,7587,11286,7600,11293,7611,11299,7615,11309,7615,11318,7609,11322,7599,11322,7590,11321,7582,11318,7573,11312,7562,11304,7562,11335,7570,11340,7579,11345,7588,11348,7601,11349,7618,11346,7631,11338,7639,11324,7639,11322,7642,11305e" filled="true" fillcolor="#58595b" stroked="false">
              <v:path arrowok="t"/>
              <v:fill type="solid"/>
            </v:shape>
            <w10:wrap type="none"/>
          </v:group>
        </w:pict>
      </w:r>
      <w:r>
        <w:rPr/>
        <w:pict>
          <v:line style="position:absolute;mso-position-horizontal-relative:page;mso-position-vertical-relative:page;z-index:1144" from="330.93338pt,534.825806pt" to="330.93338pt,579.6974pt" stroked="true" strokeweight=".439717pt" strokecolor="#77787b">
            <w10:wrap type="none"/>
          </v:line>
        </w:pict>
      </w:r>
      <w:r>
        <w:rPr/>
        <w:pict>
          <v:group style="position:absolute;margin-left:288.069885pt;margin-top:535.443604pt;width:25.95pt;height:30.35pt;mso-position-horizontal-relative:page;mso-position-vertical-relative:page;z-index:1168" coordorigin="5761,10709" coordsize="519,607">
            <v:shape style="position:absolute;left:5761;top:10709;width:477;height:590" coordorigin="5761,10709" coordsize="477,590" path="m6003,11299l5984,11298,5966,11295,5948,11291,5930,11285,5913,11277,5897,11269,5881,11258,5866,11247,5852,11234,5839,11220,5826,11204,5815,11188,5804,11171,5794,11153,5786,11133,5779,11113,5773,11093,5768,11071,5764,11049,5762,11027,5761,11004,5762,10981,5764,10958,5768,10936,5773,10915,5779,10894,5786,10874,5794,10855,5804,10837,5815,10819,5826,10803,5839,10788,5852,10774,5866,10761,5881,10749,5897,10739,5913,10730,5930,10723,5948,10717,5966,10712,5984,10710,6003,10709,6023,10710,6043,10713,6061,10717,6080,10724,6098,10732,6115,10742,6131,10753,6146,10766,6161,10780,6174,10796,6187,10812,6199,10830,6203,10838,6003,10838,5985,10839,5967,10844,5950,10851,5935,10861,5920,10872,5907,10886,5896,10902,5886,10920,5878,10939,5872,10960,5868,10981,5867,11004,5868,11026,5872,11048,5878,11068,5886,11087,5896,11105,5907,11121,5920,11135,5935,11147,5950,11157,5967,11164,5985,11168,6003,11170,6189,11170,6189,11193,6176,11210,6163,11226,6148,11241,6132,11254,6116,11265,6099,11275,6081,11283,6062,11290,6043,11295,6023,11298,6003,11299xm6238,10934l6126,10934,6117,10914,6106,10895,6092,10879,6077,10865,6061,10853,6043,10845,6023,10840,6003,10838,6203,10838,6209,10849,6218,10869,6226,10890,6233,10912,6238,10934xm6189,11170l6003,11170,6023,11168,6041,11163,6058,11155,6074,11145,6089,11132,6102,11117,6114,11100,6189,11100,6189,11170xe" filled="true" fillcolor="#8dc63f" stroked="false">
              <v:path arrowok="t"/>
              <v:fill type="solid"/>
            </v:shape>
            <v:shape style="position:absolute;left:6049;top:10989;width:230;height:327" type="#_x0000_t75" stroked="false">
              <v:imagedata r:id="rId9" o:title=""/>
            </v:shape>
            <w10:wrap type="none"/>
          </v:group>
        </w:pict>
      </w:r>
      <w:r>
        <w:rPr/>
        <w:drawing>
          <wp:anchor distT="0" distB="0" distL="0" distR="0" allowOverlap="1" layoutInCell="1" locked="0" behindDoc="0" simplePos="0" relativeHeight="1192">
            <wp:simplePos x="0" y="0"/>
            <wp:positionH relativeFrom="page">
              <wp:posOffset>3529709</wp:posOffset>
            </wp:positionH>
            <wp:positionV relativeFrom="page">
              <wp:posOffset>7231094</wp:posOffset>
            </wp:positionV>
            <wp:extent cx="583411" cy="131159"/>
            <wp:effectExtent l="0" t="0" r="0" b="0"/>
            <wp:wrapNone/>
            <wp:docPr id="3" name="image6.png" descr=""/>
            <wp:cNvGraphicFramePr>
              <a:graphicFrameLocks noChangeAspect="1"/>
            </wp:cNvGraphicFramePr>
            <a:graphic>
              <a:graphicData uri="http://schemas.openxmlformats.org/drawingml/2006/picture">
                <pic:pic>
                  <pic:nvPicPr>
                    <pic:cNvPr id="4" name="image6.png"/>
                    <pic:cNvPicPr/>
                  </pic:nvPicPr>
                  <pic:blipFill>
                    <a:blip r:embed="rId10" cstate="print"/>
                    <a:stretch>
                      <a:fillRect/>
                    </a:stretch>
                  </pic:blipFill>
                  <pic:spPr>
                    <a:xfrm>
                      <a:off x="0" y="0"/>
                      <a:ext cx="583411" cy="131159"/>
                    </a:xfrm>
                    <a:prstGeom prst="rect">
                      <a:avLst/>
                    </a:prstGeom>
                  </pic:spPr>
                </pic:pic>
              </a:graphicData>
            </a:graphic>
          </wp:anchor>
        </w:drawing>
      </w:r>
      <w:r>
        <w:rPr/>
        <w:pict>
          <v:group style="position:absolute;margin-left:190.481598pt;margin-top:535.250183pt;width:56.45pt;height:44.8pt;mso-position-horizontal-relative:page;mso-position-vertical-relative:page;z-index:1216" coordorigin="3810,10705" coordsize="1129,896">
            <v:shape style="position:absolute;left:4155;top:10705;width:438;height:468" type="#_x0000_t75" stroked="false">
              <v:imagedata r:id="rId11" o:title=""/>
            </v:shape>
            <v:shape style="position:absolute;left:4203;top:11165;width:346;height:132" type="#_x0000_t75" stroked="false">
              <v:imagedata r:id="rId12" o:title=""/>
            </v:shape>
            <v:shape style="position:absolute;left:4168;top:10718;width:413;height:567" type="#_x0000_t75" stroked="false">
              <v:imagedata r:id="rId13" o:title=""/>
            </v:shape>
            <v:shape style="position:absolute;left:4377;top:10880;width:102;height:104" type="#_x0000_t75" stroked="false">
              <v:imagedata r:id="rId14" o:title=""/>
            </v:shape>
            <v:shape style="position:absolute;left:4377;top:10880;width:102;height:104" coordorigin="4377,10880" coordsize="102,104" path="m4479,10984l4479,10880,4377,10880,4377,10978,4384,10979,4387,10981,4391,10983,4479,10984xe" filled="false" stroked="true" strokeweight=".029176pt" strokecolor="#231f20">
              <v:path arrowok="t"/>
            </v:shape>
            <v:shape style="position:absolute;left:4377;top:10880;width:102;height:144" coordorigin="4377,10880" coordsize="102,144" path="m4479,10880l4377,10880,4377,10978,4390,10982,4400,10991,4406,11004,4409,11020,4409,11023,4479,11023,4479,10880xe" filled="false" stroked="true" strokeweight=".028284pt" strokecolor="#231f20">
              <v:path arrowok="t"/>
            </v:shape>
            <v:shape style="position:absolute;left:4271;top:10977;width:101;height:46" coordorigin="4271,10977" coordsize="101,46" path="m4340,11023l4271,11023,4271,10977,4372,10977,4372,10978,4359,10982,4349,10991,4342,11004,4340,11020,4340,11023xe" filled="true" fillcolor="#6e5200" stroked="false">
              <v:path arrowok="t"/>
              <v:fill type="solid"/>
            </v:shape>
            <v:shape style="position:absolute;left:4255;top:10841;width:238;height:182" type="#_x0000_t75" stroked="false">
              <v:imagedata r:id="rId15" o:title=""/>
            </v:shape>
            <v:shape style="position:absolute;left:4272;top:10926;width:6;height:2" type="#_x0000_t75" stroked="false">
              <v:imagedata r:id="rId16" o:title=""/>
            </v:shape>
            <v:shape style="position:absolute;left:4273;top:10929;width:3;height:2" type="#_x0000_t75" stroked="false">
              <v:imagedata r:id="rId16" o:title=""/>
            </v:shape>
            <v:shape style="position:absolute;left:4285;top:10912;width:5;height:7" type="#_x0000_t75" stroked="false">
              <v:imagedata r:id="rId17" o:title=""/>
            </v:shape>
            <v:shape style="position:absolute;left:4285;top:10919;width:9;height:5" type="#_x0000_t75" stroked="false">
              <v:imagedata r:id="rId18" o:title=""/>
            </v:shape>
            <v:shape style="position:absolute;left:4281;top:10927;width:12;height:4" type="#_x0000_t75" stroked="false">
              <v:imagedata r:id="rId16" o:title=""/>
            </v:shape>
            <v:shape style="position:absolute;left:4295;top:10918;width:16;height:9" type="#_x0000_t75" stroked="false">
              <v:imagedata r:id="rId19" o:title=""/>
            </v:shape>
            <v:shape style="position:absolute;left:4294;top:10915;width:5;height:5" type="#_x0000_t75" stroked="false">
              <v:imagedata r:id="rId20" o:title=""/>
            </v:shape>
            <v:shape style="position:absolute;left:4297;top:10915;width:3;height:4" type="#_x0000_t75" stroked="false">
              <v:imagedata r:id="rId16" o:title=""/>
            </v:shape>
            <v:shape style="position:absolute;left:4302;top:10915;width:5;height:2" type="#_x0000_t75" stroked="false">
              <v:imagedata r:id="rId16" o:title=""/>
            </v:shape>
            <v:shape style="position:absolute;left:4315;top:10920;width:7;height:4" type="#_x0000_t75" stroked="false">
              <v:imagedata r:id="rId16" o:title=""/>
            </v:shape>
            <v:shape style="position:absolute;left:4296;top:10929;width:7;height:4" type="#_x0000_t75" stroked="false">
              <v:imagedata r:id="rId16" o:title=""/>
            </v:shape>
            <v:shape style="position:absolute;left:4303;top:10930;width:6;height:4" type="#_x0000_t75" stroked="false">
              <v:imagedata r:id="rId16" o:title=""/>
            </v:shape>
            <v:shape style="position:absolute;left:4307;top:10931;width:5;height:4" type="#_x0000_t75" stroked="false">
              <v:imagedata r:id="rId16" o:title=""/>
            </v:shape>
            <v:shape style="position:absolute;left:4315;top:10926;width:11;height:6" type="#_x0000_t75" stroked="false">
              <v:imagedata r:id="rId21" o:title=""/>
            </v:shape>
            <v:shape style="position:absolute;left:4327;top:10928;width:13;height:4" type="#_x0000_t75" stroked="false">
              <v:imagedata r:id="rId16" o:title=""/>
            </v:shape>
            <v:shape style="position:absolute;left:4327;top:10922;width:7;height:4" type="#_x0000_t75" stroked="false">
              <v:imagedata r:id="rId16" o:title=""/>
            </v:shape>
            <v:shape style="position:absolute;left:4334;top:10916;width:13;height:7" type="#_x0000_t75" stroked="false">
              <v:imagedata r:id="rId22" o:title=""/>
            </v:shape>
            <v:shape style="position:absolute;left:4335;top:10921;width:13;height:5" type="#_x0000_t75" stroked="false">
              <v:imagedata r:id="rId23" o:title=""/>
            </v:shape>
            <v:shape style="position:absolute;left:4348;top:10905;width:17;height:16" type="#_x0000_t75" stroked="false">
              <v:imagedata r:id="rId24" o:title=""/>
            </v:shape>
            <v:shape style="position:absolute;left:4347;top:10923;width:14;height:4" type="#_x0000_t75" stroked="false">
              <v:imagedata r:id="rId16" o:title=""/>
            </v:shape>
            <v:shape style="position:absolute;left:4343;top:10929;width:17;height:4" type="#_x0000_t75" stroked="false">
              <v:imagedata r:id="rId25" o:title=""/>
            </v:shape>
            <v:shape style="position:absolute;left:4365;top:10930;width:6;height:3" type="#_x0000_t75" stroked="false">
              <v:imagedata r:id="rId16" o:title=""/>
            </v:shape>
            <v:shape style="position:absolute;left:4364;top:10924;width:7;height:3" type="#_x0000_t75" stroked="false">
              <v:imagedata r:id="rId16" o:title=""/>
            </v:shape>
            <v:shape style="position:absolute;left:4270;top:10747;width:209;height:459" type="#_x0000_t75" stroked="false">
              <v:imagedata r:id="rId26" o:title=""/>
            </v:shape>
            <v:shape style="position:absolute;left:4377;top:10959;width:21;height:27" type="#_x0000_t75" stroked="false">
              <v:imagedata r:id="rId27" o:title=""/>
            </v:shape>
            <v:shape style="position:absolute;left:4377;top:10959;width:21;height:27" coordorigin="4377,10959" coordsize="21,27" path="m4384,10959l4384,10963,4386,10965,4389,10967,4390,10966,4392,10966,4396,10968,4398,10974,4396,10975,4396,10979,4395,10984,4396,10986,4390,10983,4388,10982,4386,10980,4385,10980,4387,10980,4391,10980,4389,10980,4387,10978,4385,10977,4385,10975,4386,10975,4388,10976,4389,10977,4390,10977,4391,10977,4387,10975,4386,10974,4385,10974,4384,10973,4386,10973,4388,10974,4390,10974,4392,10974,4393,10975,4394,10976,4394,10974,4388,10974,4383,10972,4382,10973,4380,10971,4377,10969,4377,10968,4377,10963,4377,10965,4380,10966,4382,10968,4385,10968,4383,10966,4383,10964,4383,10961,4384,10959xe" filled="false" stroked="true" strokeweight=".028481pt" strokecolor="#231f20">
              <v:path arrowok="t"/>
            </v:shape>
            <v:shape style="position:absolute;left:4396;top:10974;width:50;height:25" type="#_x0000_t75" stroked="false">
              <v:imagedata r:id="rId28" o:title=""/>
            </v:shape>
            <v:shape style="position:absolute;left:4396;top:10974;width:50;height:25" type="#_x0000_t75" stroked="false">
              <v:imagedata r:id="rId29" o:title=""/>
            </v:shape>
            <v:shape style="position:absolute;left:4396;top:10974;width:50;height:25" type="#_x0000_t75" stroked="false">
              <v:imagedata r:id="rId30" o:title=""/>
            </v:shape>
            <v:shape style="position:absolute;left:4396;top:10974;width:50;height:25" type="#_x0000_t75" stroked="false">
              <v:imagedata r:id="rId31" o:title=""/>
            </v:shape>
            <v:shape style="position:absolute;left:4396;top:10974;width:50;height:25" type="#_x0000_t75" stroked="false">
              <v:imagedata r:id="rId28" o:title=""/>
            </v:shape>
            <v:shape style="position:absolute;left:4396;top:10974;width:50;height:25" type="#_x0000_t75" stroked="false">
              <v:imagedata r:id="rId32" o:title=""/>
            </v:shape>
            <v:shape style="position:absolute;left:4396;top:10974;width:52;height:26" coordorigin="4396,10974" coordsize="52,26" path="m4398,10974l4425,10981,4429,10977,4432,10977,4435,10978,4436,10981,4437,10983,4437,10983,4439,10984,4444,10985,4445,10984,4445,10983,4447,10983,4448,10986,4447,10991,4447,10996,4445,10999,4441,10999,4417,10991,4414,10990,4411,10989,4398,10984,4396,10984,4396,10982,4397,10980,4398,10977,4398,10974xe" filled="false" stroked="true" strokeweight=".031034pt" strokecolor="#231f20">
              <v:path arrowok="t"/>
            </v:shape>
            <v:shape style="position:absolute;left:4445;top:10971;width:7;height:14" type="#_x0000_t75" stroked="false">
              <v:imagedata r:id="rId33" o:title=""/>
            </v:shape>
            <v:shape style="position:absolute;left:4445;top:10970;width:8;height:15" coordorigin="4445,10970" coordsize="8,15" path="m4447,10984l4448,10984,4448,10983,4449,10983,4449,10980,4449,10979,4449,10978,4450,10978,4451,10977,4451,10976,4452,10975,4451,10974,4450,10973,4449,10972,4449,10972,4448,10972,4447,10970,4447,10971,4446,10971,4445,10972,4445,10974,4445,10975,4446,10975,4446,10976,4446,10977,4445,10977,4445,10978,4445,10980,4446,10980,4446,10981,4447,10983,4447,10984xe" filled="false" stroked="true" strokeweight=".027538pt" strokecolor="#231f20">
              <v:path arrowok="t"/>
            </v:shape>
            <v:shape style="position:absolute;left:4403;top:10974;width:5;height:13" type="#_x0000_t75" stroked="false">
              <v:imagedata r:id="rId16" o:title=""/>
            </v:shape>
            <v:shape style="position:absolute;left:4403;top:10974;width:5;height:13" type="#_x0000_t75" stroked="false">
              <v:imagedata r:id="rId16" o:title=""/>
            </v:shape>
            <v:shape style="position:absolute;left:4403;top:10974;width:6;height:13" coordorigin="4403,10974" coordsize="6,13" path="m4407,10978l4408,10974,4406,10974,4404,10976,4403,10981,4403,10984,4403,10986,4403,10987,4404,10987,4405,10986,4404,10985,4406,10981,4407,10978e" filled="false" stroked="false">
              <v:path arrowok="t"/>
            </v:shape>
            <v:shape style="position:absolute;left:4403;top:10974;width:6;height:13" coordorigin="4403,10974" coordsize="6,13" path="m4407,10978l4408,10974,4406,10974,4404,10976,4403,10981,4403,10984,4403,10986,4403,10987,4404,10987,4405,10986,4404,10985,4406,10981,4407,10978e" filled="false" stroked="false">
              <v:path arrowok="t"/>
            </v:shape>
            <v:shape style="position:absolute;left:4402;top:10974;width:6;height:16" coordorigin="4402,10974" coordsize="6,16" path="m4407,10974l4406,10974,4404,10976,4403,10981,4402,10985,4403,10989,4404,10989,4405,10990,4406,10987,4405,10987,4404,10985,4406,10981,4407,10977,4408,10976,4408,10976,4408,10974,4407,10974xe" filled="false" stroked="true" strokeweight=".027127pt" strokecolor="#231f20">
              <v:path arrowok="t"/>
            </v:shape>
            <v:shape style="position:absolute;left:4415;top:10977;width:4;height:13" coordorigin="4415,10977" coordsize="4,13" path="m4417,10985l4419,10977,4418,10977,4416,10980,4416,10983,4415,10986,4415,10989,4416,10989,4417,10989,4416,10988,4417,10985e" filled="false" stroked="false">
              <v:path arrowok="t"/>
            </v:shape>
            <v:shape style="position:absolute;left:4415;top:10977;width:4;height:12" type="#_x0000_t75" stroked="false">
              <v:imagedata r:id="rId16" o:title=""/>
            </v:shape>
            <v:shape style="position:absolute;left:4415;top:10977;width:4;height:12" type="#_x0000_t75" stroked="false">
              <v:imagedata r:id="rId16" o:title=""/>
            </v:shape>
            <v:shape style="position:absolute;left:4415;top:10977;width:4;height:12" type="#_x0000_t75" stroked="false">
              <v:imagedata r:id="rId16" o:title=""/>
            </v:shape>
            <v:shape style="position:absolute;left:4415;top:10977;width:4;height:13" coordorigin="4415,10977" coordsize="4,13" path="m4417,10985l4419,10977,4418,10977,4416,10980,4416,10983,4415,10986,4415,10989,4416,10989,4417,10989,4416,10988,4417,10985e" filled="false" stroked="false">
              <v:path arrowok="t"/>
            </v:shape>
            <v:shape style="position:absolute;left:4415;top:10977;width:4;height:13" coordorigin="4415,10977" coordsize="4,13" path="m4417,10985l4419,10977,4418,10977,4416,10980,4416,10983,4415,10986,4415,10989,4416,10989,4417,10989,4416,10988,4417,10985e" filled="false" stroked="false">
              <v:path arrowok="t"/>
            </v:shape>
            <v:shape style="position:absolute;left:4415;top:10977;width:6;height:16" coordorigin="4415,10977" coordsize="6,16" path="m4419,10977l4418,10977,4416,10980,4416,10983,4415,10988,4415,10991,4416,10992,4417,10992,4418,10991,4417,10990,4416,10988,4418,10984,4419,10980,4419,10979,4420,10979,4420,10978,4419,10977xe" filled="false" stroked="true" strokeweight=".026975pt" strokecolor="#231f20">
              <v:path arrowok="t"/>
            </v:shape>
            <v:shape style="position:absolute;left:4396;top:10973;width:5;height:12" coordorigin="4396,10973" coordsize="5,12" path="m4398,10973l4396,10976,4396,10979,4396,10984,4397,10985,4397,10984,4397,10983,4398,10979,4399,10974,4399,10974,4400,10973,4398,10973e" filled="false" stroked="false">
              <v:path arrowok="t"/>
            </v:shape>
            <v:shape style="position:absolute;left:4396;top:10973;width:5;height:12" coordorigin="4396,10973" coordsize="5,12" path="m4398,10973l4396,10976,4396,10979,4396,10984,4397,10985,4397,10984,4397,10983,4398,10979,4399,10974,4399,10974,4400,10973,4398,10973e" filled="false" stroked="false">
              <v:path arrowok="t"/>
            </v:shape>
            <v:shape style="position:absolute;left:4396;top:10973;width:5;height:12" coordorigin="4396,10973" coordsize="5,12" path="m4398,10973l4396,10976,4396,10979,4396,10984,4397,10985,4397,10984,4397,10983,4398,10979,4399,10974,4399,10974,4400,10973,4398,10973e" filled="false" stroked="false">
              <v:path arrowok="t"/>
            </v:shape>
            <v:shape style="position:absolute;left:4396;top:10973;width:4;height:12" type="#_x0000_t75" stroked="false">
              <v:imagedata r:id="rId34" o:title=""/>
            </v:shape>
            <v:shape style="position:absolute;left:4395;top:10972;width:6;height:16" coordorigin="4395,10972" coordsize="6,16" path="m4400,10973l4398,10972,4396,10975,4396,10979,4395,10983,4396,10987,4396,10987,4398,10987,4398,10985,4398,10985,4397,10983,4398,10979,4399,10974,4400,10974,4401,10974,4400,10973,4400,10973xe" filled="false" stroked="true" strokeweight=".027116pt" strokecolor="#231f20">
              <v:path arrowok="t"/>
            </v:shape>
            <v:shape style="position:absolute;left:4439;top:10983;width:3;height:11" coordorigin="4439,10983" coordsize="3,11" path="m4439,10993l4442,10983,4440,10983,4440,10993,4439,10993e" filled="false" stroked="false">
              <v:path arrowok="t"/>
            </v:shape>
            <v:shape style="position:absolute;left:4439;top:10983;width:2;height:11" type="#_x0000_t75" stroked="false">
              <v:imagedata r:id="rId16" o:title=""/>
            </v:shape>
            <v:shape style="position:absolute;left:4439;top:10983;width:2;height:11" type="#_x0000_t75" stroked="false">
              <v:imagedata r:id="rId16" o:title=""/>
            </v:shape>
            <v:shape style="position:absolute;left:4439;top:10983;width:3;height:11" coordorigin="4439,10983" coordsize="3,11" path="m4439,10993l4442,10983,4440,10983,4440,10993,4439,10993e" filled="false" stroked="false">
              <v:path arrowok="t"/>
            </v:shape>
            <v:shape style="position:absolute;left:4439;top:10983;width:4;height:17" coordorigin="4439,10983" coordsize="4,17" path="m4441,10983l4442,10983,4443,10984,4443,10985,4442,10987,4441,10991,4441,10994,4441,10999,4439,10998,4439,10994,4439,10991,4439,10984,4439,10983,4439,10983,4441,10983xe" filled="false" stroked="true" strokeweight=".026682pt" strokecolor="#231f20">
              <v:path arrowok="t"/>
            </v:shape>
            <v:shape style="position:absolute;left:4427;top:10979;width:7;height:6" coordorigin="4427,10979" coordsize="7,6" path="m4434,10984l4433,10983,4431,10983,4429,10982,4427,10982,4430,10979,4431,10979,4432,10980,4433,10981,4433,10983,4434,10984xe" filled="true" fillcolor="#00ab67" stroked="false">
              <v:path arrowok="t"/>
              <v:fill type="solid"/>
            </v:shape>
            <v:shape style="position:absolute;left:4427;top:10979;width:7;height:6" coordorigin="4427,10979" coordsize="7,6" path="m4427,10982l4430,10979,4431,10979,4432,10980,4433,10981,4433,10983,4434,10984,4433,10983,4431,10983,4429,10982,4427,10982xe" filled="false" stroked="true" strokeweight=".029828pt" strokecolor="#231f20">
              <v:path arrowok="t"/>
            </v:shape>
            <v:shape style="position:absolute;left:4445;top:10985;width:4;height:14" type="#_x0000_t75" stroked="false">
              <v:imagedata r:id="rId16" o:title=""/>
            </v:shape>
            <v:shape style="position:absolute;left:4445;top:10985;width:4;height:14" type="#_x0000_t75" stroked="false">
              <v:imagedata r:id="rId16" o:title=""/>
            </v:shape>
            <v:shape style="position:absolute;left:4445;top:10985;width:4;height:14" type="#_x0000_t75" stroked="false">
              <v:imagedata r:id="rId16" o:title=""/>
            </v:shape>
            <v:shape style="position:absolute;left:4445;top:10985;width:4;height:14" type="#_x0000_t75" stroked="false">
              <v:imagedata r:id="rId16" o:title=""/>
            </v:shape>
            <v:shape style="position:absolute;left:4444;top:10985;width:7;height:17" coordorigin="4444,10985" coordsize="7,17" path="m4447,10985l4450,10986,4451,10987,4450,10993,4449,10999,4447,11001,4445,11000,4444,10999,4445,11000,4447,10995,4447,10991,4448,10987,4447,10985xe" filled="false" stroked="true" strokeweight=".027192pt" strokecolor="#231f20">
              <v:path arrowok="t"/>
            </v:shape>
            <v:shape style="position:absolute;left:4449;top:10988;width:3;height:10" type="#_x0000_t75" stroked="false">
              <v:imagedata r:id="rId16" o:title=""/>
            </v:shape>
            <v:shape style="position:absolute;left:4449;top:10988;width:3;height:10" type="#_x0000_t75" stroked="false">
              <v:imagedata r:id="rId16" o:title=""/>
            </v:shape>
            <v:shape style="position:absolute;left:4449;top:10988;width:3;height:10" type="#_x0000_t75" stroked="false">
              <v:imagedata r:id="rId16" o:title=""/>
            </v:shape>
            <v:shape style="position:absolute;left:4449;top:10988;width:3;height:10" type="#_x0000_t75" stroked="false">
              <v:imagedata r:id="rId16" o:title=""/>
            </v:shape>
            <v:shape style="position:absolute;left:4448;top:10988;width:6;height:13" coordorigin="4448,10988" coordsize="6,13" path="m4450,10988l4453,10989,4451,10994,4450,11000,4448,11000,4449,10996,4450,10993,4451,10991,4450,10988xe" filled="false" stroked="true" strokeweight=".027221pt" strokecolor="#231f20">
              <v:path arrowok="t"/>
            </v:shape>
            <v:shape style="position:absolute;left:4439;top:10999;width:7;height:10" type="#_x0000_t75" stroked="false">
              <v:imagedata r:id="rId16" o:title=""/>
            </v:shape>
            <v:shape style="position:absolute;left:4439;top:10999;width:7;height:10" type="#_x0000_t75" stroked="false">
              <v:imagedata r:id="rId16" o:title=""/>
            </v:shape>
            <v:shape style="position:absolute;left:4439;top:10999;width:7;height:10" type="#_x0000_t75" stroked="false">
              <v:imagedata r:id="rId16" o:title=""/>
            </v:shape>
            <v:shape style="position:absolute;left:4439;top:10999;width:7;height:11" coordorigin="4439,10999" coordsize="7,11" path="m4446,10999l4442,10999,4440,11002,4440,11006,4439,11008,4440,11008,4440,11009,4446,11000,4446,10999e" filled="false" stroked="false">
              <v:path arrowok="t"/>
            </v:shape>
            <v:shape style="position:absolute;left:4439;top:10999;width:8;height:11" coordorigin="4439,10999" coordsize="8,11" path="m4441,10999l4444,10999,4445,10999,4445,11000,4446,11001,4446,11002,4445,11003,4444,11005,4443,11008,4442,11008,4441,11009,4440,11009,4439,11008,4439,11008,4440,11006,4440,11004,4440,11002,4441,10999xe" filled="false" stroked="true" strokeweight=".028187pt" strokecolor="#231f20">
              <v:path arrowok="t"/>
            </v:shape>
            <v:shape style="position:absolute;left:4442;top:11002;width:30;height:15" coordorigin="4442,11002" coordsize="30,15" path="m4467,11017l4455,11017,4442,11008,4445,11002,4455,11009,4465,11010,4471,11010,4467,11017xm4471,11010l4465,11010,4470,11007,4472,11008,4471,11010xe" filled="true" fillcolor="#f7921e" stroked="false">
              <v:path arrowok="t"/>
              <v:fill type="solid"/>
            </v:shape>
            <v:shape style="position:absolute;left:4442;top:11002;width:30;height:15" coordorigin="4442,11002" coordsize="30,15" path="m4445,11002l4455,11009,4465,11010,4470,11007,4472,11008,4467,11017,4455,11017,4442,11008,4445,11002xe" filled="false" stroked="true" strokeweight=".031043pt" strokecolor="#231f20">
              <v:path arrowok="t"/>
            </v:shape>
            <v:shape style="position:absolute;left:4454;top:11008;width:2;height:5" coordorigin="4454,11008" coordsize="2,5" path="m4455,11013l4455,11008,4455,11008,4455,11010,4454,11011,4454,11013,4455,11013e" filled="false" stroked="false">
              <v:path arrowok="t"/>
            </v:shape>
            <v:shape style="position:absolute;left:4454;top:11008;width:2;height:5" type="#_x0000_t75" stroked="false">
              <v:imagedata r:id="rId16" o:title=""/>
            </v:shape>
            <v:shape style="position:absolute;left:4454;top:11008;width:2;height:5" type="#_x0000_t75" stroked="false">
              <v:imagedata r:id="rId16" o:title=""/>
            </v:shape>
            <v:shape style="position:absolute;left:4454;top:11008;width:2;height:5" coordorigin="4454,11008" coordsize="2,5" path="m4455,11013l4455,11008,4455,11008,4455,11010,4454,11011,4454,11013,4455,11013e" filled="false" stroked="false">
              <v:path arrowok="t"/>
            </v:shape>
            <v:shape style="position:absolute;left:4236;top:10878;width:280;height:358" type="#_x0000_t75" stroked="false">
              <v:imagedata r:id="rId35" o:title=""/>
            </v:shape>
            <v:shape style="position:absolute;left:4347;top:10984;width:53;height:90" type="#_x0000_t75" stroked="false">
              <v:imagedata r:id="rId36" o:title=""/>
            </v:shape>
            <v:shape style="position:absolute;left:4416;top:10989;width:3;height:6" type="#_x0000_t75" stroked="false">
              <v:imagedata r:id="rId16" o:title=""/>
            </v:shape>
            <v:shape style="position:absolute;left:4416;top:10989;width:3;height:6" type="#_x0000_t75" stroked="false">
              <v:imagedata r:id="rId16" o:title=""/>
            </v:shape>
            <v:shape style="position:absolute;left:4416;top:10989;width:6;height:9" coordorigin="4416,10989" coordsize="6,9" path="m4420,10994l4419,10997,4416,10995,4416,10993,4417,10992,4418,10991,4418,10989,4421,10991,4420,10994xe" filled="false" stroked="true" strokeweight=".028099pt" strokecolor="#231f20">
              <v:path arrowok="t"/>
            </v:shape>
            <v:shape style="position:absolute;left:3977;top:11346;width:560;height:104" type="#_x0000_t75" stroked="false">
              <v:imagedata r:id="rId37" o:title=""/>
            </v:shape>
            <v:shape style="position:absolute;left:3810;top:11351;width:1129;height:250" type="#_x0000_t75" stroked="false">
              <v:imagedata r:id="rId38" o:title=""/>
            </v:shape>
            <w10:wrap type="none"/>
          </v:group>
        </w:pict>
      </w:r>
      <w:r>
        <w:rPr/>
        <w:drawing>
          <wp:anchor distT="0" distB="0" distL="0" distR="0" allowOverlap="1" layoutInCell="1" locked="0" behindDoc="0" simplePos="0" relativeHeight="1240">
            <wp:simplePos x="0" y="0"/>
            <wp:positionH relativeFrom="page">
              <wp:posOffset>899934</wp:posOffset>
            </wp:positionH>
            <wp:positionV relativeFrom="page">
              <wp:posOffset>6623964</wp:posOffset>
            </wp:positionV>
            <wp:extent cx="1319866" cy="814959"/>
            <wp:effectExtent l="0" t="0" r="0" b="0"/>
            <wp:wrapNone/>
            <wp:docPr id="5" name="image35.jpeg" descr=""/>
            <wp:cNvGraphicFramePr>
              <a:graphicFrameLocks noChangeAspect="1"/>
            </wp:cNvGraphicFramePr>
            <a:graphic>
              <a:graphicData uri="http://schemas.openxmlformats.org/drawingml/2006/picture">
                <pic:pic>
                  <pic:nvPicPr>
                    <pic:cNvPr id="6" name="image35.jpeg"/>
                    <pic:cNvPicPr/>
                  </pic:nvPicPr>
                  <pic:blipFill>
                    <a:blip r:embed="rId39" cstate="print"/>
                    <a:stretch>
                      <a:fillRect/>
                    </a:stretch>
                  </pic:blipFill>
                  <pic:spPr>
                    <a:xfrm>
                      <a:off x="0" y="0"/>
                      <a:ext cx="1319866" cy="814959"/>
                    </a:xfrm>
                    <a:prstGeom prst="rect">
                      <a:avLst/>
                    </a:prstGeom>
                  </pic:spPr>
                </pic:pic>
              </a:graphicData>
            </a:graphic>
          </wp:anchor>
        </w:drawing>
      </w:r>
      <w:r>
        <w:rPr>
          <w:b/>
          <w:color w:val="231F20"/>
          <w:w w:val="75"/>
          <w:sz w:val="36"/>
        </w:rPr>
        <w:t>Hitos Demográficos </w:t>
      </w:r>
      <w:r>
        <w:rPr>
          <w:b/>
          <w:color w:val="231F20"/>
          <w:w w:val="80"/>
          <w:sz w:val="36"/>
        </w:rPr>
        <w:t>del Siglo XXI:</w:t>
      </w:r>
    </w:p>
    <w:p>
      <w:pPr>
        <w:spacing w:before="2"/>
        <w:ind w:left="13" w:right="0" w:firstLine="0"/>
        <w:jc w:val="center"/>
        <w:rPr>
          <w:b/>
          <w:sz w:val="36"/>
        </w:rPr>
      </w:pPr>
      <w:r>
        <w:rPr>
          <w:b/>
          <w:color w:val="231F20"/>
          <w:w w:val="75"/>
          <w:sz w:val="36"/>
        </w:rPr>
        <w:t>Migración Internacional</w:t>
      </w:r>
    </w:p>
    <w:p>
      <w:pPr>
        <w:pStyle w:val="BodyText"/>
        <w:spacing w:before="1"/>
        <w:rPr>
          <w:b/>
          <w:sz w:val="28"/>
        </w:rPr>
      </w:pPr>
      <w:r>
        <w:rPr/>
        <w:pict>
          <v:line style="position:absolute;mso-position-horizontal-relative:page;mso-position-vertical-relative:paragraph;z-index:0;mso-wrap-distance-left:0;mso-wrap-distance-right:0" from="137.763794pt,18.370771pt" to="331.653794pt,18.370771pt" stroked="true" strokeweight=".5pt" strokecolor="#231f20">
            <w10:wrap type="topAndBottom"/>
          </v:line>
        </w:pict>
      </w:r>
    </w:p>
    <w:p>
      <w:pPr>
        <w:pStyle w:val="BodyText"/>
        <w:rPr>
          <w:b/>
          <w:sz w:val="20"/>
        </w:rPr>
      </w:pPr>
    </w:p>
    <w:p>
      <w:pPr>
        <w:pStyle w:val="BodyText"/>
        <w:rPr>
          <w:b/>
          <w:sz w:val="20"/>
        </w:rPr>
      </w:pPr>
    </w:p>
    <w:p>
      <w:pPr>
        <w:pStyle w:val="BodyText"/>
        <w:rPr>
          <w:b/>
          <w:sz w:val="26"/>
        </w:rPr>
      </w:pPr>
    </w:p>
    <w:p>
      <w:pPr>
        <w:spacing w:line="247" w:lineRule="auto" w:before="72"/>
        <w:ind w:left="2201" w:right="2190" w:firstLine="0"/>
        <w:jc w:val="center"/>
        <w:rPr>
          <w:b/>
          <w:sz w:val="22"/>
        </w:rPr>
      </w:pPr>
      <w:r>
        <w:rPr>
          <w:b/>
          <w:color w:val="231F20"/>
          <w:w w:val="75"/>
          <w:sz w:val="22"/>
        </w:rPr>
        <w:t>Juan Gabino González-Becerril Bernardino Jaciel Montoya-Arce Adán Barreto-Villanueva</w:t>
      </w:r>
    </w:p>
    <w:p>
      <w:pPr>
        <w:spacing w:line="253" w:lineRule="exact" w:before="0"/>
        <w:ind w:left="2198" w:right="2190" w:firstLine="0"/>
        <w:jc w:val="center"/>
        <w:rPr>
          <w:b/>
          <w:sz w:val="22"/>
        </w:rPr>
      </w:pPr>
      <w:r>
        <w:rPr>
          <w:b/>
          <w:color w:val="231F20"/>
          <w:w w:val="85"/>
          <w:sz w:val="22"/>
        </w:rPr>
        <w:t>(Coordinadores)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1"/>
        </w:rPr>
      </w:pPr>
      <w:r>
        <w:rPr/>
        <w:pict>
          <v:rect style="position:absolute;margin-left:70.865997pt;margin-top:14.043712pt;width:325.984pt;height:33.449pt;mso-position-horizontal-relative:page;mso-position-vertical-relative:paragraph;z-index:1048;mso-wrap-distance-left:0;mso-wrap-distance-right:0" filled="true" fillcolor="#ffffff" stroked="false">
            <v:fill type="solid"/>
            <w10:wrap type="topAndBottom"/>
          </v:rect>
        </w:pict>
      </w:r>
    </w:p>
    <w:p>
      <w:pPr>
        <w:spacing w:after="0"/>
        <w:rPr>
          <w:sz w:val="21"/>
        </w:rPr>
        <w:sectPr>
          <w:pgSz w:w="9360" w:h="13040"/>
          <w:pgMar w:top="1200" w:bottom="0" w:left="1300" w:right="1300"/>
        </w:sectPr>
      </w:pPr>
    </w:p>
    <w:p>
      <w:pPr>
        <w:pStyle w:val="BodyText"/>
        <w:rPr>
          <w:b/>
          <w:sz w:val="24"/>
        </w:rPr>
      </w:pPr>
    </w:p>
    <w:p>
      <w:pPr>
        <w:spacing w:line="249" w:lineRule="auto" w:before="211"/>
        <w:ind w:left="105" w:right="-11" w:firstLine="0"/>
        <w:jc w:val="left"/>
        <w:rPr>
          <w:i/>
          <w:sz w:val="24"/>
        </w:rPr>
      </w:pPr>
      <w:r>
        <w:rPr>
          <w:i/>
          <w:color w:val="231F20"/>
          <w:sz w:val="24"/>
        </w:rPr>
        <w:t>Universidad</w:t>
      </w:r>
      <w:r>
        <w:rPr>
          <w:i/>
          <w:color w:val="231F20"/>
          <w:spacing w:val="-13"/>
          <w:sz w:val="24"/>
        </w:rPr>
        <w:t> </w:t>
      </w:r>
      <w:r>
        <w:rPr>
          <w:i/>
          <w:color w:val="231F20"/>
          <w:sz w:val="24"/>
        </w:rPr>
        <w:t>Autónoma </w:t>
      </w:r>
      <w:r>
        <w:rPr>
          <w:i/>
          <w:color w:val="231F20"/>
          <w:sz w:val="24"/>
        </w:rPr>
        <w:t>del Estado de</w:t>
      </w:r>
      <w:r>
        <w:rPr>
          <w:i/>
          <w:color w:val="231F20"/>
          <w:spacing w:val="-1"/>
          <w:sz w:val="24"/>
        </w:rPr>
        <w:t> </w:t>
      </w:r>
      <w:r>
        <w:rPr>
          <w:i/>
          <w:color w:val="231F20"/>
          <w:sz w:val="24"/>
        </w:rPr>
        <w:t>México</w:t>
      </w:r>
    </w:p>
    <w:p>
      <w:pPr>
        <w:spacing w:before="58"/>
        <w:ind w:left="105" w:right="-14" w:firstLine="0"/>
        <w:jc w:val="left"/>
        <w:rPr>
          <w:b/>
          <w:sz w:val="24"/>
        </w:rPr>
      </w:pPr>
      <w:r>
        <w:rPr/>
        <w:br w:type="column"/>
      </w:r>
      <w:r>
        <w:rPr>
          <w:b/>
          <w:color w:val="231F20"/>
          <w:spacing w:val="-1"/>
          <w:sz w:val="24"/>
        </w:rPr>
        <w:t>DIRECTORIO</w:t>
      </w:r>
    </w:p>
    <w:p>
      <w:pPr>
        <w:pStyle w:val="BodyText"/>
        <w:rPr>
          <w:b/>
          <w:sz w:val="24"/>
        </w:rPr>
      </w:pPr>
      <w:r>
        <w:rPr/>
        <w:br w:type="column"/>
      </w:r>
      <w:r>
        <w:rPr>
          <w:b/>
          <w:sz w:val="24"/>
        </w:rPr>
      </w:r>
    </w:p>
    <w:p>
      <w:pPr>
        <w:spacing w:line="249" w:lineRule="auto" w:before="211"/>
        <w:ind w:left="105" w:right="91" w:firstLine="446"/>
        <w:jc w:val="left"/>
        <w:rPr>
          <w:i/>
          <w:sz w:val="24"/>
        </w:rPr>
      </w:pPr>
      <w:r>
        <w:rPr>
          <w:i/>
          <w:color w:val="231F20"/>
          <w:sz w:val="24"/>
        </w:rPr>
        <w:t>Gobierno del </w:t>
      </w:r>
      <w:r>
        <w:rPr>
          <w:i/>
          <w:color w:val="231F20"/>
          <w:sz w:val="24"/>
        </w:rPr>
        <w:t>Estado de México</w:t>
      </w:r>
    </w:p>
    <w:p>
      <w:pPr>
        <w:spacing w:after="0" w:line="249" w:lineRule="auto"/>
        <w:jc w:val="left"/>
        <w:rPr>
          <w:sz w:val="24"/>
        </w:rPr>
        <w:sectPr>
          <w:footerReference w:type="default" r:id="rId40"/>
          <w:pgSz w:w="9360" w:h="13040"/>
          <w:pgMar w:footer="911" w:header="0" w:top="1080" w:bottom="1100" w:left="700" w:right="960"/>
          <w:cols w:num="3" w:equalWidth="0">
            <w:col w:w="2335" w:space="741"/>
            <w:col w:w="1675" w:space="1013"/>
            <w:col w:w="1936"/>
          </w:cols>
        </w:sectPr>
      </w:pPr>
    </w:p>
    <w:p>
      <w:pPr>
        <w:pStyle w:val="BodyText"/>
        <w:rPr>
          <w:i/>
          <w:sz w:val="20"/>
        </w:rPr>
      </w:pPr>
    </w:p>
    <w:p>
      <w:pPr>
        <w:pStyle w:val="BodyText"/>
        <w:rPr>
          <w:i/>
          <w:sz w:val="20"/>
        </w:rPr>
      </w:pPr>
    </w:p>
    <w:p>
      <w:pPr>
        <w:pStyle w:val="BodyText"/>
        <w:spacing w:before="2"/>
        <w:rPr>
          <w:i/>
          <w:sz w:val="20"/>
        </w:rPr>
      </w:pPr>
    </w:p>
    <w:p>
      <w:pPr>
        <w:spacing w:after="0"/>
        <w:rPr>
          <w:sz w:val="20"/>
        </w:rPr>
        <w:sectPr>
          <w:type w:val="continuous"/>
          <w:pgSz w:w="9360" w:h="13040"/>
          <w:pgMar w:top="0" w:bottom="0" w:left="700" w:right="960"/>
        </w:sectPr>
      </w:pPr>
    </w:p>
    <w:p>
      <w:pPr>
        <w:spacing w:line="225" w:lineRule="exact" w:before="75"/>
        <w:ind w:left="105" w:right="-20" w:firstLine="0"/>
        <w:jc w:val="left"/>
        <w:rPr>
          <w:sz w:val="20"/>
        </w:rPr>
      </w:pPr>
      <w:r>
        <w:rPr/>
        <w:pict>
          <v:shape style="position:absolute;margin-left:43.465pt;margin-top:596.408997pt;width:353.4pt;height:43.5pt;mso-position-horizontal-relative:page;mso-position-vertical-relative:page;z-index:-643336" type="#_x0000_t202" filled="false" stroked="false">
            <v:textbox inset="0,0,0,0">
              <w:txbxContent>
                <w:p>
                  <w:pPr>
                    <w:pStyle w:val="BodyText"/>
                    <w:rPr>
                      <w:sz w:val="20"/>
                    </w:rPr>
                  </w:pPr>
                </w:p>
                <w:p>
                  <w:pPr>
                    <w:spacing w:before="136"/>
                    <w:ind w:left="0" w:right="2" w:firstLine="0"/>
                    <w:jc w:val="center"/>
                    <w:rPr>
                      <w:rFonts w:ascii="Verdana"/>
                      <w:sz w:val="20"/>
                    </w:rPr>
                  </w:pPr>
                  <w:r>
                    <w:rPr>
                      <w:rFonts w:ascii="Verdana"/>
                      <w:color w:val="231F20"/>
                      <w:w w:val="100"/>
                      <w:sz w:val="20"/>
                    </w:rPr>
                    <w:t>2</w:t>
                  </w:r>
                </w:p>
              </w:txbxContent>
            </v:textbox>
            <w10:wrap type="none"/>
          </v:shape>
        </w:pict>
      </w:r>
      <w:r>
        <w:rPr>
          <w:color w:val="231F20"/>
          <w:sz w:val="20"/>
        </w:rPr>
        <w:t>Dr. en D. Jorge Olvera García</w:t>
      </w:r>
    </w:p>
    <w:p>
      <w:pPr>
        <w:spacing w:line="225" w:lineRule="exact" w:before="0"/>
        <w:ind w:left="105" w:right="-20" w:firstLine="0"/>
        <w:jc w:val="left"/>
        <w:rPr>
          <w:i/>
          <w:sz w:val="20"/>
        </w:rPr>
      </w:pPr>
      <w:r>
        <w:rPr>
          <w:i/>
          <w:color w:val="231F20"/>
          <w:sz w:val="20"/>
        </w:rPr>
        <w:t>Rector</w:t>
      </w:r>
    </w:p>
    <w:p>
      <w:pPr>
        <w:spacing w:line="225" w:lineRule="exact" w:before="46"/>
        <w:ind w:left="105" w:right="-20" w:firstLine="0"/>
        <w:jc w:val="left"/>
        <w:rPr>
          <w:sz w:val="20"/>
        </w:rPr>
      </w:pPr>
      <w:r>
        <w:rPr>
          <w:color w:val="231F20"/>
          <w:sz w:val="20"/>
        </w:rPr>
        <w:t>Dr. en Ed. Alfredo Barrera Baca</w:t>
      </w:r>
    </w:p>
    <w:p>
      <w:pPr>
        <w:spacing w:line="225" w:lineRule="exact" w:before="0"/>
        <w:ind w:left="105" w:right="-20" w:firstLine="0"/>
        <w:jc w:val="left"/>
        <w:rPr>
          <w:i/>
          <w:sz w:val="20"/>
        </w:rPr>
      </w:pPr>
      <w:r>
        <w:rPr>
          <w:i/>
          <w:color w:val="231F20"/>
          <w:sz w:val="20"/>
        </w:rPr>
        <w:t>Secretario de Docencia</w:t>
      </w:r>
    </w:p>
    <w:p>
      <w:pPr>
        <w:spacing w:line="225" w:lineRule="exact" w:before="46"/>
        <w:ind w:left="105" w:right="-20" w:firstLine="0"/>
        <w:jc w:val="left"/>
        <w:rPr>
          <w:sz w:val="20"/>
        </w:rPr>
      </w:pPr>
      <w:r>
        <w:rPr>
          <w:color w:val="231F20"/>
          <w:sz w:val="20"/>
        </w:rPr>
        <w:t>Dra. en Est. Lat. Ángeles Ma. del Rosario Pérez Bernal</w:t>
      </w:r>
    </w:p>
    <w:p>
      <w:pPr>
        <w:spacing w:line="225" w:lineRule="exact" w:before="0"/>
        <w:ind w:left="105" w:right="-20" w:firstLine="0"/>
        <w:jc w:val="left"/>
        <w:rPr>
          <w:i/>
          <w:sz w:val="20"/>
        </w:rPr>
      </w:pPr>
      <w:r>
        <w:rPr>
          <w:i/>
          <w:color w:val="231F20"/>
          <w:sz w:val="20"/>
        </w:rPr>
        <w:t>Secretaria de Investigación y Estudios Avanzados</w:t>
      </w:r>
    </w:p>
    <w:p>
      <w:pPr>
        <w:spacing w:line="225" w:lineRule="exact" w:before="46"/>
        <w:ind w:left="105" w:right="-20" w:firstLine="0"/>
        <w:jc w:val="left"/>
        <w:rPr>
          <w:sz w:val="20"/>
        </w:rPr>
      </w:pPr>
      <w:r>
        <w:rPr>
          <w:color w:val="231F20"/>
          <w:sz w:val="20"/>
        </w:rPr>
        <w:t>M. en D. José Benjamín Bernal Suárez</w:t>
      </w:r>
    </w:p>
    <w:p>
      <w:pPr>
        <w:spacing w:line="225" w:lineRule="exact" w:before="0"/>
        <w:ind w:left="105" w:right="-20" w:firstLine="0"/>
        <w:jc w:val="left"/>
        <w:rPr>
          <w:i/>
          <w:sz w:val="20"/>
        </w:rPr>
      </w:pPr>
      <w:r>
        <w:rPr>
          <w:i/>
          <w:color w:val="231F20"/>
          <w:sz w:val="20"/>
        </w:rPr>
        <w:t>Secretario de Rectoría</w:t>
      </w:r>
    </w:p>
    <w:p>
      <w:pPr>
        <w:spacing w:line="225" w:lineRule="exact" w:before="46"/>
        <w:ind w:left="105" w:right="-20" w:firstLine="0"/>
        <w:jc w:val="left"/>
        <w:rPr>
          <w:sz w:val="20"/>
        </w:rPr>
      </w:pPr>
      <w:r>
        <w:rPr>
          <w:color w:val="231F20"/>
          <w:sz w:val="20"/>
        </w:rPr>
        <w:t>M. en E.P. y D. Ivett Tinoco García</w:t>
      </w:r>
    </w:p>
    <w:p>
      <w:pPr>
        <w:spacing w:line="225" w:lineRule="exact" w:before="0"/>
        <w:ind w:left="105" w:right="-20" w:firstLine="0"/>
        <w:jc w:val="left"/>
        <w:rPr>
          <w:i/>
          <w:sz w:val="20"/>
        </w:rPr>
      </w:pPr>
      <w:r>
        <w:rPr>
          <w:i/>
          <w:color w:val="231F20"/>
          <w:sz w:val="20"/>
        </w:rPr>
        <w:t>Secretaria de Difusión Cultural</w:t>
      </w:r>
    </w:p>
    <w:p>
      <w:pPr>
        <w:spacing w:line="225" w:lineRule="exact" w:before="46"/>
        <w:ind w:left="105" w:right="-20" w:firstLine="0"/>
        <w:jc w:val="left"/>
        <w:rPr>
          <w:sz w:val="20"/>
        </w:rPr>
      </w:pPr>
      <w:r>
        <w:rPr>
          <w:color w:val="231F20"/>
          <w:sz w:val="20"/>
        </w:rPr>
        <w:t>M. en C. I. Ricardo Joya Cepeda</w:t>
      </w:r>
    </w:p>
    <w:p>
      <w:pPr>
        <w:spacing w:line="225" w:lineRule="exact" w:before="0"/>
        <w:ind w:left="105" w:right="-20" w:firstLine="0"/>
        <w:jc w:val="left"/>
        <w:rPr>
          <w:i/>
          <w:sz w:val="20"/>
        </w:rPr>
      </w:pPr>
      <w:r>
        <w:rPr>
          <w:i/>
          <w:color w:val="231F20"/>
          <w:sz w:val="20"/>
        </w:rPr>
        <w:t>Secretario de Extensión y Vinculación</w:t>
      </w:r>
    </w:p>
    <w:p>
      <w:pPr>
        <w:spacing w:line="225" w:lineRule="exact" w:before="46"/>
        <w:ind w:left="105" w:right="-20" w:firstLine="0"/>
        <w:jc w:val="left"/>
        <w:rPr>
          <w:sz w:val="20"/>
        </w:rPr>
      </w:pPr>
      <w:r>
        <w:rPr>
          <w:color w:val="231F20"/>
          <w:sz w:val="20"/>
        </w:rPr>
        <w:t>M. en E. Javier González Martínez</w:t>
      </w:r>
    </w:p>
    <w:p>
      <w:pPr>
        <w:spacing w:line="225" w:lineRule="exact" w:before="0"/>
        <w:ind w:left="105" w:right="-20" w:firstLine="0"/>
        <w:jc w:val="left"/>
        <w:rPr>
          <w:i/>
          <w:sz w:val="20"/>
        </w:rPr>
      </w:pPr>
      <w:r>
        <w:rPr>
          <w:i/>
          <w:color w:val="231F20"/>
          <w:sz w:val="20"/>
        </w:rPr>
        <w:t>Secretario de Administración</w:t>
      </w:r>
    </w:p>
    <w:p>
      <w:pPr>
        <w:spacing w:line="225" w:lineRule="exact" w:before="46"/>
        <w:ind w:left="105" w:right="-20" w:firstLine="0"/>
        <w:jc w:val="left"/>
        <w:rPr>
          <w:sz w:val="20"/>
        </w:rPr>
      </w:pPr>
      <w:r>
        <w:rPr>
          <w:color w:val="231F20"/>
          <w:sz w:val="20"/>
        </w:rPr>
        <w:t>Dr. en C. Pol. Manuel Hernández Luna</w:t>
      </w:r>
    </w:p>
    <w:p>
      <w:pPr>
        <w:spacing w:line="225" w:lineRule="exact" w:before="0"/>
        <w:ind w:left="105" w:right="-20" w:firstLine="0"/>
        <w:jc w:val="left"/>
        <w:rPr>
          <w:i/>
          <w:sz w:val="20"/>
        </w:rPr>
      </w:pPr>
      <w:r>
        <w:rPr>
          <w:i/>
          <w:color w:val="231F20"/>
          <w:sz w:val="20"/>
        </w:rPr>
        <w:t>Secretario de Planeación y Desarrollo Institucional</w:t>
      </w:r>
    </w:p>
    <w:p>
      <w:pPr>
        <w:spacing w:line="225" w:lineRule="exact" w:before="46"/>
        <w:ind w:left="105" w:right="-20" w:firstLine="0"/>
        <w:jc w:val="left"/>
        <w:rPr>
          <w:sz w:val="20"/>
        </w:rPr>
      </w:pPr>
      <w:r>
        <w:rPr>
          <w:color w:val="231F20"/>
          <w:sz w:val="20"/>
        </w:rPr>
        <w:t>Mtra. en Ed. A. Yolanda E. Ballesteros Sentíes</w:t>
      </w:r>
    </w:p>
    <w:p>
      <w:pPr>
        <w:spacing w:line="225" w:lineRule="exact" w:before="0"/>
        <w:ind w:left="105" w:right="-20" w:firstLine="0"/>
        <w:jc w:val="left"/>
        <w:rPr>
          <w:i/>
          <w:sz w:val="20"/>
        </w:rPr>
      </w:pPr>
      <w:r>
        <w:rPr>
          <w:i/>
          <w:color w:val="231F20"/>
          <w:sz w:val="20"/>
        </w:rPr>
        <w:t>Secretaria de Cooperación Internacional</w:t>
      </w:r>
    </w:p>
    <w:p>
      <w:pPr>
        <w:spacing w:line="225" w:lineRule="exact" w:before="46"/>
        <w:ind w:left="105" w:right="-20" w:firstLine="0"/>
        <w:jc w:val="left"/>
        <w:rPr>
          <w:sz w:val="20"/>
        </w:rPr>
      </w:pPr>
      <w:r>
        <w:rPr>
          <w:color w:val="231F20"/>
          <w:sz w:val="20"/>
        </w:rPr>
        <w:t>Dr. en D. Hiram Raúl Piña Libien</w:t>
      </w:r>
    </w:p>
    <w:p>
      <w:pPr>
        <w:spacing w:line="225" w:lineRule="exact" w:before="0"/>
        <w:ind w:left="105" w:right="-20" w:firstLine="0"/>
        <w:jc w:val="left"/>
        <w:rPr>
          <w:i/>
          <w:sz w:val="20"/>
        </w:rPr>
      </w:pPr>
      <w:r>
        <w:rPr>
          <w:i/>
          <w:color w:val="231F20"/>
          <w:sz w:val="20"/>
        </w:rPr>
        <w:t>Abogado General</w:t>
      </w:r>
    </w:p>
    <w:p>
      <w:pPr>
        <w:spacing w:line="225" w:lineRule="exact" w:before="46"/>
        <w:ind w:left="105" w:right="-20" w:firstLine="0"/>
        <w:jc w:val="left"/>
        <w:rPr>
          <w:sz w:val="20"/>
        </w:rPr>
      </w:pPr>
      <w:r>
        <w:rPr>
          <w:color w:val="231F20"/>
          <w:sz w:val="20"/>
        </w:rPr>
        <w:t>Lic. en Com. Juan Portilla Estrada</w:t>
      </w:r>
    </w:p>
    <w:p>
      <w:pPr>
        <w:spacing w:line="220" w:lineRule="exact" w:before="0"/>
        <w:ind w:left="105" w:right="-20" w:firstLine="0"/>
        <w:jc w:val="left"/>
        <w:rPr>
          <w:i/>
          <w:sz w:val="20"/>
        </w:rPr>
      </w:pPr>
      <w:r>
        <w:rPr>
          <w:i/>
          <w:color w:val="231F20"/>
          <w:sz w:val="20"/>
        </w:rPr>
        <w:t>Director General</w:t>
      </w:r>
    </w:p>
    <w:p>
      <w:pPr>
        <w:spacing w:line="225" w:lineRule="exact" w:before="0"/>
        <w:ind w:left="105" w:right="-20" w:firstLine="0"/>
        <w:jc w:val="left"/>
        <w:rPr>
          <w:i/>
          <w:sz w:val="20"/>
        </w:rPr>
      </w:pPr>
      <w:r>
        <w:rPr>
          <w:i/>
          <w:color w:val="231F20"/>
          <w:sz w:val="20"/>
        </w:rPr>
        <w:t>de Comunicación Universitaria</w:t>
      </w:r>
    </w:p>
    <w:p>
      <w:pPr>
        <w:spacing w:line="225" w:lineRule="exact" w:before="46"/>
        <w:ind w:left="105" w:right="-20" w:firstLine="0"/>
        <w:jc w:val="left"/>
        <w:rPr>
          <w:sz w:val="20"/>
        </w:rPr>
      </w:pPr>
      <w:r>
        <w:rPr>
          <w:color w:val="231F20"/>
          <w:sz w:val="20"/>
        </w:rPr>
        <w:t>Lic. Jorge Bernáldez García</w:t>
      </w:r>
    </w:p>
    <w:p>
      <w:pPr>
        <w:spacing w:line="225" w:lineRule="exact" w:before="0"/>
        <w:ind w:left="105" w:right="-20" w:firstLine="0"/>
        <w:jc w:val="left"/>
        <w:rPr>
          <w:i/>
          <w:sz w:val="20"/>
        </w:rPr>
      </w:pPr>
      <w:r>
        <w:rPr>
          <w:i/>
          <w:color w:val="231F20"/>
          <w:sz w:val="20"/>
        </w:rPr>
        <w:t>Secretario Técnico de la Rectoría</w:t>
      </w:r>
    </w:p>
    <w:p>
      <w:pPr>
        <w:spacing w:line="225" w:lineRule="exact" w:before="46"/>
        <w:ind w:left="105" w:right="-20" w:firstLine="0"/>
        <w:jc w:val="left"/>
        <w:rPr>
          <w:sz w:val="20"/>
        </w:rPr>
      </w:pPr>
      <w:r>
        <w:rPr>
          <w:color w:val="231F20"/>
          <w:sz w:val="20"/>
        </w:rPr>
        <w:t>M. en A. Emilio Tovar Pérez</w:t>
      </w:r>
    </w:p>
    <w:p>
      <w:pPr>
        <w:spacing w:line="220" w:lineRule="exact" w:before="0"/>
        <w:ind w:left="105" w:right="-20" w:firstLine="0"/>
        <w:jc w:val="left"/>
        <w:rPr>
          <w:i/>
          <w:sz w:val="20"/>
        </w:rPr>
      </w:pPr>
      <w:r>
        <w:rPr>
          <w:i/>
          <w:color w:val="231F20"/>
          <w:sz w:val="20"/>
        </w:rPr>
        <w:t>Director General</w:t>
      </w:r>
    </w:p>
    <w:p>
      <w:pPr>
        <w:spacing w:line="220" w:lineRule="exact" w:before="0"/>
        <w:ind w:left="105" w:right="-20" w:firstLine="0"/>
        <w:jc w:val="left"/>
        <w:rPr>
          <w:i/>
          <w:sz w:val="20"/>
        </w:rPr>
      </w:pPr>
      <w:r>
        <w:rPr>
          <w:i/>
          <w:color w:val="231F20"/>
          <w:sz w:val="20"/>
        </w:rPr>
        <w:t>de Centros Universitarios</w:t>
      </w:r>
    </w:p>
    <w:p>
      <w:pPr>
        <w:spacing w:line="225" w:lineRule="exact" w:before="0"/>
        <w:ind w:left="105" w:right="-20" w:firstLine="0"/>
        <w:jc w:val="left"/>
        <w:rPr>
          <w:i/>
          <w:sz w:val="20"/>
        </w:rPr>
      </w:pPr>
      <w:r>
        <w:rPr>
          <w:i/>
          <w:color w:val="231F20"/>
          <w:sz w:val="20"/>
        </w:rPr>
        <w:t>y Unidades Académicas Profesionales</w:t>
      </w:r>
    </w:p>
    <w:p>
      <w:pPr>
        <w:spacing w:line="225" w:lineRule="exact" w:before="46"/>
        <w:ind w:left="105" w:right="-20" w:firstLine="0"/>
        <w:jc w:val="left"/>
        <w:rPr>
          <w:sz w:val="20"/>
        </w:rPr>
      </w:pPr>
      <w:r>
        <w:rPr>
          <w:color w:val="231F20"/>
          <w:sz w:val="20"/>
        </w:rPr>
        <w:t>M. en A. Ignacio Gutiérrez Padilla</w:t>
      </w:r>
    </w:p>
    <w:p>
      <w:pPr>
        <w:spacing w:line="225" w:lineRule="exact" w:before="0"/>
        <w:ind w:left="105" w:right="-20" w:firstLine="0"/>
        <w:jc w:val="left"/>
        <w:rPr>
          <w:i/>
          <w:sz w:val="20"/>
        </w:rPr>
      </w:pPr>
      <w:r>
        <w:rPr>
          <w:i/>
          <w:color w:val="231F20"/>
          <w:sz w:val="20"/>
        </w:rPr>
        <w:t>Contralor Universitario</w:t>
      </w:r>
    </w:p>
    <w:p>
      <w:pPr>
        <w:spacing w:before="46"/>
        <w:ind w:left="105" w:right="-20" w:firstLine="0"/>
        <w:jc w:val="left"/>
        <w:rPr>
          <w:sz w:val="20"/>
        </w:rPr>
      </w:pPr>
      <w:r>
        <w:rPr>
          <w:color w:val="231F20"/>
          <w:sz w:val="20"/>
        </w:rPr>
        <w:t>Dr. en S. Bernardino Jaciel Montoya Arce</w:t>
      </w:r>
    </w:p>
    <w:p>
      <w:pPr>
        <w:spacing w:line="220" w:lineRule="exact" w:before="57"/>
        <w:ind w:left="105" w:right="1047" w:firstLine="0"/>
        <w:jc w:val="left"/>
        <w:rPr>
          <w:i/>
          <w:sz w:val="20"/>
        </w:rPr>
      </w:pPr>
      <w:r>
        <w:rPr>
          <w:i/>
          <w:color w:val="231F20"/>
          <w:sz w:val="20"/>
        </w:rPr>
        <w:t>Coordinador del Centro de Investigación </w:t>
      </w:r>
      <w:r>
        <w:rPr>
          <w:i/>
          <w:color w:val="231F20"/>
          <w:sz w:val="20"/>
        </w:rPr>
        <w:t>y Estudios Avanzados de la Población</w:t>
      </w:r>
    </w:p>
    <w:p>
      <w:pPr>
        <w:spacing w:before="75"/>
        <w:ind w:left="0" w:right="103" w:firstLine="0"/>
        <w:jc w:val="right"/>
        <w:rPr>
          <w:sz w:val="20"/>
        </w:rPr>
      </w:pPr>
      <w:r>
        <w:rPr/>
        <w:br w:type="column"/>
      </w:r>
      <w:r>
        <w:rPr>
          <w:color w:val="231F20"/>
          <w:sz w:val="20"/>
        </w:rPr>
        <w:t>Dr. Eruviel Ávila Villegas</w:t>
      </w:r>
    </w:p>
    <w:p>
      <w:pPr>
        <w:spacing w:line="333" w:lineRule="auto" w:before="90"/>
        <w:ind w:left="64" w:right="103" w:firstLine="544"/>
        <w:jc w:val="right"/>
        <w:rPr>
          <w:sz w:val="20"/>
        </w:rPr>
      </w:pPr>
      <w:r>
        <w:rPr>
          <w:i/>
          <w:color w:val="231F20"/>
          <w:sz w:val="20"/>
        </w:rPr>
        <w:t>Gobernador Constitucional</w:t>
      </w:r>
      <w:r>
        <w:rPr>
          <w:i/>
          <w:color w:val="231F20"/>
          <w:sz w:val="20"/>
        </w:rPr>
        <w:t> </w:t>
      </w:r>
      <w:r>
        <w:rPr>
          <w:color w:val="231F20"/>
          <w:sz w:val="20"/>
        </w:rPr>
        <w:t>Mtro. Efrén Tiburcio Rojas Dávila </w:t>
      </w:r>
      <w:r>
        <w:rPr>
          <w:i/>
          <w:color w:val="231F20"/>
          <w:sz w:val="20"/>
        </w:rPr>
        <w:t>Secretario General de Gobierno</w:t>
      </w:r>
      <w:r>
        <w:rPr>
          <w:i/>
          <w:color w:val="231F20"/>
          <w:sz w:val="20"/>
        </w:rPr>
        <w:t> </w:t>
      </w:r>
      <w:r>
        <w:rPr>
          <w:color w:val="231F20"/>
          <w:sz w:val="20"/>
        </w:rPr>
        <w:t>Lic. Elizabeth Vilchis Pérez </w:t>
      </w:r>
      <w:r>
        <w:rPr>
          <w:i/>
          <w:color w:val="231F20"/>
          <w:sz w:val="20"/>
        </w:rPr>
        <w:t>Secretaria de Desarrollo Social</w:t>
      </w:r>
      <w:r>
        <w:rPr>
          <w:i/>
          <w:color w:val="231F20"/>
          <w:sz w:val="20"/>
        </w:rPr>
        <w:t> </w:t>
      </w:r>
      <w:r>
        <w:rPr>
          <w:color w:val="231F20"/>
          <w:sz w:val="20"/>
        </w:rPr>
        <w:t>Mtro. Adán Barreto Villanueva</w:t>
      </w:r>
    </w:p>
    <w:p>
      <w:pPr>
        <w:spacing w:line="225" w:lineRule="exact" w:before="3"/>
        <w:ind w:left="0" w:right="103" w:firstLine="0"/>
        <w:jc w:val="right"/>
        <w:rPr>
          <w:i/>
          <w:sz w:val="20"/>
        </w:rPr>
      </w:pPr>
      <w:r>
        <w:rPr>
          <w:i/>
          <w:color w:val="231F20"/>
          <w:sz w:val="20"/>
        </w:rPr>
        <w:t>Director Ejecutivo</w:t>
      </w:r>
    </w:p>
    <w:p>
      <w:pPr>
        <w:spacing w:line="220" w:lineRule="exact" w:before="5"/>
        <w:ind w:left="172" w:right="103" w:firstLine="671"/>
        <w:jc w:val="right"/>
        <w:rPr>
          <w:sz w:val="20"/>
        </w:rPr>
      </w:pPr>
      <w:r>
        <w:rPr>
          <w:color w:val="231F20"/>
          <w:sz w:val="20"/>
        </w:rPr>
        <w:t>Consejo de Investigación y Evaluación de la Política Social</w:t>
      </w:r>
    </w:p>
    <w:p>
      <w:pPr>
        <w:spacing w:after="0" w:line="220" w:lineRule="exact"/>
        <w:jc w:val="right"/>
        <w:rPr>
          <w:sz w:val="20"/>
        </w:rPr>
        <w:sectPr>
          <w:type w:val="continuous"/>
          <w:pgSz w:w="9360" w:h="13040"/>
          <w:pgMar w:top="0" w:bottom="0" w:left="700" w:right="960"/>
          <w:cols w:num="2" w:equalWidth="0">
            <w:col w:w="4532" w:space="190"/>
            <w:col w:w="2978"/>
          </w:cols>
        </w:sectPr>
      </w:pPr>
    </w:p>
    <w:p>
      <w:pPr>
        <w:spacing w:before="58"/>
        <w:ind w:left="117" w:right="0" w:firstLine="0"/>
        <w:jc w:val="both"/>
        <w:rPr>
          <w:sz w:val="20"/>
        </w:rPr>
      </w:pPr>
      <w:r>
        <w:rPr>
          <w:sz w:val="20"/>
        </w:rPr>
        <w:t>Primera edición, mayo de 2014</w:t>
      </w:r>
    </w:p>
    <w:p>
      <w:pPr>
        <w:spacing w:before="10"/>
        <w:ind w:left="117" w:right="0" w:firstLine="0"/>
        <w:jc w:val="both"/>
        <w:rPr>
          <w:sz w:val="20"/>
        </w:rPr>
      </w:pPr>
      <w:r>
        <w:rPr>
          <w:color w:val="231F20"/>
          <w:sz w:val="20"/>
        </w:rPr>
        <w:t>Hitos Demográficos del Siglo XXI: Migración Internacional</w:t>
      </w:r>
    </w:p>
    <w:p>
      <w:pPr>
        <w:spacing w:line="249" w:lineRule="auto" w:before="10"/>
        <w:ind w:left="117" w:right="280" w:firstLine="0"/>
        <w:jc w:val="left"/>
        <w:rPr>
          <w:sz w:val="20"/>
        </w:rPr>
      </w:pPr>
      <w:r>
        <w:rPr>
          <w:color w:val="231F20"/>
          <w:sz w:val="20"/>
        </w:rPr>
        <w:t>Juan Gabino González-Becerril, Bernardino Jaciel Montoya-Arce y Adán Barreto- Villanueva (Coords.)</w:t>
      </w:r>
    </w:p>
    <w:p>
      <w:pPr>
        <w:pStyle w:val="BodyText"/>
        <w:spacing w:before="11"/>
        <w:rPr>
          <w:sz w:val="20"/>
        </w:rPr>
      </w:pPr>
    </w:p>
    <w:p>
      <w:pPr>
        <w:spacing w:line="249" w:lineRule="auto" w:before="0"/>
        <w:ind w:left="117" w:right="375" w:firstLine="0"/>
        <w:jc w:val="both"/>
        <w:rPr>
          <w:sz w:val="20"/>
        </w:rPr>
      </w:pPr>
      <w:r>
        <w:rPr>
          <w:sz w:val="20"/>
        </w:rPr>
        <w:t>Esta obra fue dictaminada en la modalidad revisión por pares académicos doble ciego, tal como lo establece el Reglamento Editorial de la Universidad</w:t>
      </w:r>
      <w:r>
        <w:rPr>
          <w:spacing w:val="-37"/>
          <w:sz w:val="20"/>
        </w:rPr>
        <w:t> </w:t>
      </w:r>
      <w:r>
        <w:rPr>
          <w:sz w:val="20"/>
        </w:rPr>
        <w:t>Autónoma del Estado de</w:t>
      </w:r>
      <w:r>
        <w:rPr>
          <w:spacing w:val="-8"/>
          <w:sz w:val="20"/>
        </w:rPr>
        <w:t> </w:t>
      </w:r>
      <w:r>
        <w:rPr>
          <w:sz w:val="20"/>
        </w:rPr>
        <w:t>México.</w:t>
      </w:r>
    </w:p>
    <w:p>
      <w:pPr>
        <w:pStyle w:val="BodyText"/>
        <w:spacing w:before="11"/>
        <w:rPr>
          <w:sz w:val="20"/>
        </w:rPr>
      </w:pPr>
    </w:p>
    <w:p>
      <w:pPr>
        <w:spacing w:line="249" w:lineRule="auto" w:before="0"/>
        <w:ind w:left="117" w:right="2968" w:firstLine="0"/>
        <w:jc w:val="left"/>
        <w:rPr>
          <w:sz w:val="20"/>
        </w:rPr>
      </w:pPr>
      <w:r>
        <w:rPr>
          <w:sz w:val="20"/>
        </w:rPr>
        <w:t>Universidad Autónoma del Estado de México Av. Instituto Literario 100 Ote.</w:t>
      </w:r>
    </w:p>
    <w:p>
      <w:pPr>
        <w:spacing w:before="1"/>
        <w:ind w:left="117" w:right="0" w:firstLine="0"/>
        <w:jc w:val="both"/>
        <w:rPr>
          <w:sz w:val="20"/>
        </w:rPr>
      </w:pPr>
      <w:r>
        <w:rPr>
          <w:sz w:val="20"/>
        </w:rPr>
        <w:t>Toluca, Estado de México</w:t>
      </w:r>
    </w:p>
    <w:p>
      <w:pPr>
        <w:spacing w:before="10"/>
        <w:ind w:left="117" w:right="0" w:firstLine="0"/>
        <w:jc w:val="both"/>
        <w:rPr>
          <w:sz w:val="20"/>
        </w:rPr>
      </w:pPr>
      <w:r>
        <w:rPr>
          <w:color w:val="231F20"/>
          <w:sz w:val="20"/>
        </w:rPr>
        <w:t>C.P. 50000</w:t>
      </w:r>
    </w:p>
    <w:p>
      <w:pPr>
        <w:spacing w:before="10"/>
        <w:ind w:left="117" w:right="0" w:firstLine="0"/>
        <w:jc w:val="both"/>
        <w:rPr>
          <w:sz w:val="20"/>
        </w:rPr>
      </w:pPr>
      <w:r>
        <w:rPr>
          <w:color w:val="231F20"/>
          <w:sz w:val="20"/>
        </w:rPr>
        <w:t>Tel. (52) 722 277 38 35 y 36</w:t>
      </w:r>
    </w:p>
    <w:p>
      <w:pPr>
        <w:spacing w:line="249" w:lineRule="auto" w:before="10"/>
        <w:ind w:left="117" w:right="4360" w:firstLine="0"/>
        <w:jc w:val="left"/>
        <w:rPr>
          <w:sz w:val="20"/>
        </w:rPr>
      </w:pPr>
      <w:hyperlink r:id="rId42">
        <w:r>
          <w:rPr>
            <w:color w:val="231F20"/>
            <w:sz w:val="20"/>
          </w:rPr>
          <w:t>http://www.uaemex.mx</w:t>
        </w:r>
      </w:hyperlink>
      <w:r>
        <w:rPr>
          <w:color w:val="231F20"/>
          <w:sz w:val="20"/>
        </w:rPr>
        <w:t> </w:t>
      </w:r>
      <w:hyperlink r:id="rId43">
        <w:r>
          <w:rPr>
            <w:color w:val="231F20"/>
            <w:sz w:val="20"/>
          </w:rPr>
          <w:t>direccioneditorial@uaemex.mx</w:t>
        </w:r>
      </w:hyperlink>
    </w:p>
    <w:p>
      <w:pPr>
        <w:pStyle w:val="BodyText"/>
        <w:spacing w:before="9"/>
        <w:rPr>
          <w:sz w:val="19"/>
        </w:rPr>
      </w:pPr>
    </w:p>
    <w:p>
      <w:pPr>
        <w:spacing w:before="0"/>
        <w:ind w:left="117" w:right="375" w:firstLine="0"/>
        <w:jc w:val="both"/>
        <w:rPr>
          <w:sz w:val="20"/>
        </w:rPr>
      </w:pPr>
      <w:r>
        <w:rPr/>
        <w:drawing>
          <wp:inline distT="0" distB="0" distL="0" distR="0">
            <wp:extent cx="825498" cy="292087"/>
            <wp:effectExtent l="0" t="0" r="0" b="0"/>
            <wp:docPr id="7" name="image36.png" descr=""/>
            <wp:cNvGraphicFramePr>
              <a:graphicFrameLocks noChangeAspect="1"/>
            </wp:cNvGraphicFramePr>
            <a:graphic>
              <a:graphicData uri="http://schemas.openxmlformats.org/drawingml/2006/picture">
                <pic:pic>
                  <pic:nvPicPr>
                    <pic:cNvPr id="8" name="image36.png"/>
                    <pic:cNvPicPr/>
                  </pic:nvPicPr>
                  <pic:blipFill>
                    <a:blip r:embed="rId44" cstate="print"/>
                    <a:stretch>
                      <a:fillRect/>
                    </a:stretch>
                  </pic:blipFill>
                  <pic:spPr>
                    <a:xfrm>
                      <a:off x="0" y="0"/>
                      <a:ext cx="825498" cy="292087"/>
                    </a:xfrm>
                    <a:prstGeom prst="rect">
                      <a:avLst/>
                    </a:prstGeom>
                  </pic:spPr>
                </pic:pic>
              </a:graphicData>
            </a:graphic>
          </wp:inline>
        </w:drawing>
      </w:r>
      <w:r>
        <w:rPr/>
      </w:r>
      <w:r>
        <w:rPr>
          <w:color w:val="231F20"/>
          <w:sz w:val="20"/>
        </w:rPr>
        <w:t>Esta obra está sujeta a la licencia Reconocimiento 4.0 Interna- cional de Creative Commons. Para ver una copia de esta licencia, visite http:// creativecommons.org/licenses/by/4.0/. Puede ser utilizada con fines educativos, informativos o culturales, siempre que se cite la fuente. Disponible para su des- carga en acceso abierto en:</w:t>
      </w:r>
      <w:r>
        <w:rPr>
          <w:color w:val="231F20"/>
          <w:spacing w:val="-4"/>
          <w:sz w:val="20"/>
        </w:rPr>
        <w:t> </w:t>
      </w:r>
      <w:hyperlink r:id="rId45">
        <w:r>
          <w:rPr>
            <w:color w:val="231F20"/>
            <w:sz w:val="20"/>
          </w:rPr>
          <w:t>http://ri.uaemex.mx</w:t>
        </w:r>
      </w:hyperlink>
    </w:p>
    <w:p>
      <w:pPr>
        <w:pStyle w:val="BodyText"/>
        <w:spacing w:before="8"/>
        <w:rPr>
          <w:sz w:val="21"/>
        </w:rPr>
      </w:pPr>
    </w:p>
    <w:p>
      <w:pPr>
        <w:spacing w:before="0"/>
        <w:ind w:left="117" w:right="0" w:firstLine="0"/>
        <w:jc w:val="both"/>
        <w:rPr>
          <w:sz w:val="20"/>
        </w:rPr>
      </w:pPr>
      <w:r>
        <w:rPr>
          <w:color w:val="231F20"/>
          <w:sz w:val="20"/>
        </w:rPr>
        <w:t>Citación:</w:t>
      </w:r>
    </w:p>
    <w:p>
      <w:pPr>
        <w:spacing w:line="249" w:lineRule="auto" w:before="10"/>
        <w:ind w:left="117" w:right="375" w:firstLine="0"/>
        <w:jc w:val="both"/>
        <w:rPr>
          <w:sz w:val="20"/>
        </w:rPr>
      </w:pPr>
      <w:r>
        <w:rPr>
          <w:color w:val="231F20"/>
          <w:sz w:val="20"/>
        </w:rPr>
        <w:t>González Becerril, Juan Gabino, Bernardino Jaciel Montoya-Arce y Adán Ba- rreto-Villanueva (Coords.) (2014), </w:t>
      </w:r>
      <w:r>
        <w:rPr>
          <w:i/>
          <w:color w:val="231F20"/>
          <w:sz w:val="20"/>
        </w:rPr>
        <w:t>Hitos Demográficos del Siglo </w:t>
      </w:r>
      <w:r>
        <w:rPr>
          <w:i/>
          <w:color w:val="231F20"/>
          <w:sz w:val="14"/>
        </w:rPr>
        <w:t>xxi</w:t>
      </w:r>
      <w:r>
        <w:rPr>
          <w:i/>
          <w:color w:val="231F20"/>
          <w:sz w:val="20"/>
        </w:rPr>
        <w:t>: Migración </w:t>
      </w:r>
      <w:r>
        <w:rPr>
          <w:i/>
          <w:color w:val="231F20"/>
          <w:sz w:val="20"/>
        </w:rPr>
        <w:t>Internacional </w:t>
      </w:r>
      <w:r>
        <w:rPr>
          <w:color w:val="231F20"/>
          <w:sz w:val="20"/>
        </w:rPr>
        <w:t>(</w:t>
      </w:r>
      <w:r>
        <w:rPr>
          <w:color w:val="231F20"/>
          <w:sz w:val="14"/>
        </w:rPr>
        <w:t>isbn</w:t>
      </w:r>
      <w:r>
        <w:rPr>
          <w:color w:val="231F20"/>
          <w:sz w:val="20"/>
        </w:rPr>
        <w:t>: 978-607-422-538-9), México, Universidad Autónoma del Es- tado de México.</w:t>
      </w:r>
    </w:p>
    <w:p>
      <w:pPr>
        <w:pStyle w:val="BodyText"/>
        <w:spacing w:before="11"/>
        <w:rPr>
          <w:sz w:val="20"/>
        </w:rPr>
      </w:pPr>
    </w:p>
    <w:p>
      <w:pPr>
        <w:spacing w:before="0"/>
        <w:ind w:left="117" w:right="0" w:firstLine="0"/>
        <w:jc w:val="both"/>
        <w:rPr>
          <w:sz w:val="20"/>
        </w:rPr>
      </w:pPr>
      <w:r>
        <w:rPr>
          <w:color w:val="231F20"/>
          <w:sz w:val="20"/>
        </w:rPr>
        <w:t>Imagen de portada: Abelardo González</w:t>
      </w:r>
    </w:p>
    <w:p>
      <w:pPr>
        <w:pStyle w:val="BodyText"/>
        <w:spacing w:before="8"/>
        <w:rPr>
          <w:sz w:val="21"/>
        </w:rPr>
      </w:pPr>
    </w:p>
    <w:p>
      <w:pPr>
        <w:spacing w:before="0"/>
        <w:ind w:left="117" w:right="0" w:firstLine="0"/>
        <w:jc w:val="both"/>
        <w:rPr>
          <w:sz w:val="20"/>
        </w:rPr>
      </w:pPr>
      <w:r>
        <w:rPr>
          <w:color w:val="231F20"/>
          <w:w w:val="105"/>
          <w:sz w:val="14"/>
        </w:rPr>
        <w:t>isbn</w:t>
      </w:r>
      <w:r>
        <w:rPr>
          <w:color w:val="231F20"/>
          <w:w w:val="105"/>
          <w:sz w:val="20"/>
        </w:rPr>
        <w:t>: 978-607-422-538-9</w:t>
      </w:r>
    </w:p>
    <w:p>
      <w:pPr>
        <w:pStyle w:val="BodyText"/>
        <w:spacing w:before="8"/>
        <w:rPr>
          <w:sz w:val="21"/>
        </w:rPr>
      </w:pPr>
    </w:p>
    <w:p>
      <w:pPr>
        <w:spacing w:before="0"/>
        <w:ind w:left="117" w:right="0" w:firstLine="0"/>
        <w:jc w:val="both"/>
        <w:rPr>
          <w:sz w:val="20"/>
        </w:rPr>
      </w:pPr>
      <w:r>
        <w:rPr>
          <w:sz w:val="20"/>
        </w:rPr>
        <w:t>Cuerpos  Académicos participantes:</w:t>
      </w:r>
    </w:p>
    <w:p>
      <w:pPr>
        <w:pStyle w:val="ListParagraph"/>
        <w:numPr>
          <w:ilvl w:val="0"/>
          <w:numId w:val="1"/>
        </w:numPr>
        <w:tabs>
          <w:tab w:pos="238" w:val="left" w:leader="none"/>
        </w:tabs>
        <w:spacing w:line="249" w:lineRule="auto" w:before="10" w:after="0"/>
        <w:ind w:left="117" w:right="957" w:firstLine="0"/>
        <w:jc w:val="left"/>
        <w:rPr>
          <w:sz w:val="20"/>
        </w:rPr>
      </w:pPr>
      <w:r>
        <w:rPr>
          <w:i/>
          <w:sz w:val="20"/>
        </w:rPr>
        <w:t>Estudios de la Población</w:t>
      </w:r>
      <w:r>
        <w:rPr>
          <w:sz w:val="20"/>
        </w:rPr>
        <w:t>, Centro de Investigación y Estudios</w:t>
      </w:r>
      <w:r>
        <w:rPr>
          <w:spacing w:val="-30"/>
          <w:sz w:val="20"/>
        </w:rPr>
        <w:t> </w:t>
      </w:r>
      <w:r>
        <w:rPr>
          <w:sz w:val="20"/>
        </w:rPr>
        <w:t>Avanzados de</w:t>
      </w:r>
      <w:r>
        <w:rPr>
          <w:spacing w:val="-5"/>
          <w:sz w:val="20"/>
        </w:rPr>
        <w:t> </w:t>
      </w:r>
      <w:r>
        <w:rPr>
          <w:sz w:val="20"/>
        </w:rPr>
        <w:t>la</w:t>
      </w:r>
      <w:r>
        <w:rPr>
          <w:spacing w:val="-5"/>
          <w:sz w:val="20"/>
        </w:rPr>
        <w:t> </w:t>
      </w:r>
      <w:r>
        <w:rPr>
          <w:sz w:val="20"/>
        </w:rPr>
        <w:t>Población,</w:t>
      </w:r>
      <w:r>
        <w:rPr>
          <w:spacing w:val="-5"/>
          <w:sz w:val="20"/>
        </w:rPr>
        <w:t> </w:t>
      </w:r>
      <w:r>
        <w:rPr>
          <w:sz w:val="20"/>
        </w:rPr>
        <w:t>Universidad</w:t>
      </w:r>
      <w:r>
        <w:rPr>
          <w:spacing w:val="-15"/>
          <w:sz w:val="20"/>
        </w:rPr>
        <w:t> </w:t>
      </w:r>
      <w:r>
        <w:rPr>
          <w:sz w:val="20"/>
        </w:rPr>
        <w:t>Autónoma</w:t>
      </w:r>
      <w:r>
        <w:rPr>
          <w:spacing w:val="-5"/>
          <w:sz w:val="20"/>
        </w:rPr>
        <w:t> </w:t>
      </w:r>
      <w:r>
        <w:rPr>
          <w:sz w:val="20"/>
        </w:rPr>
        <w:t>del</w:t>
      </w:r>
      <w:r>
        <w:rPr>
          <w:spacing w:val="-5"/>
          <w:sz w:val="20"/>
        </w:rPr>
        <w:t> </w:t>
      </w:r>
      <w:r>
        <w:rPr>
          <w:sz w:val="20"/>
        </w:rPr>
        <w:t>Estado</w:t>
      </w:r>
      <w:r>
        <w:rPr>
          <w:spacing w:val="-6"/>
          <w:sz w:val="20"/>
        </w:rPr>
        <w:t> </w:t>
      </w:r>
      <w:r>
        <w:rPr>
          <w:sz w:val="20"/>
        </w:rPr>
        <w:t>de</w:t>
      </w:r>
      <w:r>
        <w:rPr>
          <w:spacing w:val="-5"/>
          <w:sz w:val="20"/>
        </w:rPr>
        <w:t> </w:t>
      </w:r>
      <w:r>
        <w:rPr>
          <w:sz w:val="20"/>
        </w:rPr>
        <w:t>México</w:t>
      </w:r>
    </w:p>
    <w:p>
      <w:pPr>
        <w:pStyle w:val="ListParagraph"/>
        <w:numPr>
          <w:ilvl w:val="0"/>
          <w:numId w:val="1"/>
        </w:numPr>
        <w:tabs>
          <w:tab w:pos="238" w:val="left" w:leader="none"/>
        </w:tabs>
        <w:spacing w:line="240" w:lineRule="auto" w:before="1" w:after="0"/>
        <w:ind w:left="237" w:right="0" w:hanging="120"/>
        <w:jc w:val="both"/>
        <w:rPr>
          <w:i/>
          <w:sz w:val="20"/>
        </w:rPr>
      </w:pPr>
      <w:r>
        <w:rPr>
          <w:i/>
          <w:sz w:val="20"/>
        </w:rPr>
        <w:t>Procesos poblacionales y organizacionales en el desarrollo</w:t>
      </w:r>
      <w:r>
        <w:rPr>
          <w:i/>
          <w:spacing w:val="-33"/>
          <w:sz w:val="20"/>
        </w:rPr>
        <w:t> </w:t>
      </w:r>
      <w:r>
        <w:rPr>
          <w:i/>
          <w:sz w:val="20"/>
        </w:rPr>
        <w:t>regional,</w:t>
      </w:r>
    </w:p>
    <w:p>
      <w:pPr>
        <w:spacing w:before="10"/>
        <w:ind w:left="117" w:right="0" w:firstLine="0"/>
        <w:jc w:val="both"/>
        <w:rPr>
          <w:sz w:val="20"/>
        </w:rPr>
      </w:pPr>
      <w:r>
        <w:rPr>
          <w:sz w:val="20"/>
        </w:rPr>
        <w:t>Universidad Autónoma de Guerrero</w:t>
      </w:r>
    </w:p>
    <w:p>
      <w:pPr>
        <w:pStyle w:val="BodyText"/>
        <w:rPr>
          <w:sz w:val="20"/>
        </w:rPr>
      </w:pPr>
    </w:p>
    <w:p>
      <w:pPr>
        <w:spacing w:before="120"/>
        <w:ind w:left="117" w:right="823" w:firstLine="0"/>
        <w:jc w:val="left"/>
        <w:rPr>
          <w:sz w:val="20"/>
        </w:rPr>
      </w:pPr>
      <w:r>
        <w:rPr>
          <w:color w:val="231F20"/>
          <w:sz w:val="20"/>
        </w:rPr>
        <w:t>Centro de Investigación y Estudios Avanzados de la Población (CIEAP) Paseo Tollocan s/n, Ciudad Universitaria, Toluca, México, C.P. 50100, Tel. (01722) 2 15 71 11 y 2 15 36 66.</w:t>
      </w:r>
    </w:p>
    <w:p>
      <w:pPr>
        <w:spacing w:before="0"/>
        <w:ind w:left="117" w:right="0" w:firstLine="0"/>
        <w:jc w:val="both"/>
        <w:rPr>
          <w:sz w:val="20"/>
        </w:rPr>
      </w:pPr>
      <w:r>
        <w:rPr>
          <w:color w:val="231F20"/>
          <w:sz w:val="20"/>
        </w:rPr>
        <w:t>Correo electrónico: </w:t>
      </w:r>
      <w:hyperlink r:id="rId46">
        <w:r>
          <w:rPr>
            <w:color w:val="231F20"/>
            <w:sz w:val="20"/>
          </w:rPr>
          <w:t>pepelescieap@hotmail.com</w:t>
        </w:r>
      </w:hyperlink>
    </w:p>
    <w:p>
      <w:pPr>
        <w:pStyle w:val="BodyText"/>
        <w:rPr>
          <w:sz w:val="20"/>
        </w:rPr>
      </w:pPr>
    </w:p>
    <w:p>
      <w:pPr>
        <w:spacing w:before="0"/>
        <w:ind w:left="117" w:right="1107" w:firstLine="0"/>
        <w:jc w:val="left"/>
        <w:rPr>
          <w:sz w:val="20"/>
        </w:rPr>
      </w:pPr>
      <w:r>
        <w:rPr>
          <w:color w:val="231F20"/>
          <w:sz w:val="20"/>
        </w:rPr>
        <w:t>Consejo de Investigación y Evaluación de la Política Social (CIEPS) </w:t>
      </w:r>
      <w:r>
        <w:rPr>
          <w:color w:val="231F20"/>
          <w:spacing w:val="-10"/>
          <w:sz w:val="20"/>
        </w:rPr>
        <w:t>Av. </w:t>
      </w:r>
      <w:r>
        <w:rPr>
          <w:color w:val="231F20"/>
          <w:sz w:val="20"/>
        </w:rPr>
        <w:t>José María Morelos núm. 1222, col. San Bernardino, Toluca, Estado de México, </w:t>
      </w:r>
      <w:r>
        <w:rPr>
          <w:color w:val="231F20"/>
          <w:spacing w:val="-6"/>
          <w:sz w:val="20"/>
        </w:rPr>
        <w:t>C.P. </w:t>
      </w:r>
      <w:r>
        <w:rPr>
          <w:color w:val="231F20"/>
          <w:sz w:val="20"/>
        </w:rPr>
        <w:t>500080, tel. (01 722) 214 25 82 y 2 14 25</w:t>
      </w:r>
      <w:r>
        <w:rPr>
          <w:color w:val="231F20"/>
          <w:spacing w:val="7"/>
          <w:sz w:val="20"/>
        </w:rPr>
        <w:t> </w:t>
      </w:r>
      <w:r>
        <w:rPr>
          <w:color w:val="231F20"/>
          <w:sz w:val="20"/>
        </w:rPr>
        <w:t>93</w:t>
      </w:r>
    </w:p>
    <w:p>
      <w:pPr>
        <w:spacing w:before="30"/>
        <w:ind w:left="117" w:right="0" w:firstLine="0"/>
        <w:jc w:val="both"/>
        <w:rPr>
          <w:sz w:val="20"/>
        </w:rPr>
      </w:pPr>
      <w:r>
        <w:rPr/>
        <w:pict>
          <v:shape style="position:absolute;margin-left:188.882004pt;margin-top:6.405038pt;width:221.7pt;height:26.6pt;mso-position-horizontal-relative:page;mso-position-vertical-relative:paragraph;z-index:-643312" type="#_x0000_t202" filled="false" stroked="false">
            <v:textbox inset="0,0,0,0">
              <w:txbxContent>
                <w:p>
                  <w:pPr>
                    <w:spacing w:before="27"/>
                    <w:ind w:left="701" w:right="0" w:firstLine="0"/>
                    <w:jc w:val="left"/>
                    <w:rPr>
                      <w:rFonts w:ascii="Verdana"/>
                      <w:sz w:val="20"/>
                    </w:rPr>
                  </w:pPr>
                  <w:r>
                    <w:rPr>
                      <w:rFonts w:ascii="Verdana"/>
                      <w:color w:val="231F20"/>
                      <w:w w:val="100"/>
                      <w:sz w:val="20"/>
                    </w:rPr>
                    <w:t>3</w:t>
                  </w:r>
                </w:p>
              </w:txbxContent>
            </v:textbox>
            <w10:wrap type="none"/>
          </v:shape>
        </w:pict>
      </w:r>
      <w:r>
        <w:rPr/>
        <w:pict>
          <v:rect style="position:absolute;margin-left:188.882004pt;margin-top:6.405038pt;width:221.669pt;height:26.553pt;mso-position-horizontal-relative:page;mso-position-vertical-relative:paragraph;z-index:1312" filled="true" fillcolor="#ffffff" stroked="false">
            <v:fill type="solid"/>
            <w10:wrap type="none"/>
          </v:rect>
        </w:pict>
      </w:r>
      <w:hyperlink r:id="rId47">
        <w:r>
          <w:rPr>
            <w:color w:val="231F20"/>
            <w:sz w:val="20"/>
          </w:rPr>
          <w:t>cieps@edomex.gob.mx</w:t>
        </w:r>
      </w:hyperlink>
    </w:p>
    <w:p>
      <w:pPr>
        <w:spacing w:after="0"/>
        <w:jc w:val="both"/>
        <w:rPr>
          <w:sz w:val="20"/>
        </w:rPr>
        <w:sectPr>
          <w:footerReference w:type="default" r:id="rId41"/>
          <w:pgSz w:w="9360" w:h="13040"/>
          <w:pgMar w:footer="0" w:header="0" w:top="540" w:bottom="0" w:left="1300" w:right="1040"/>
        </w:sectPr>
      </w:pPr>
    </w:p>
    <w:p>
      <w:pPr>
        <w:pStyle w:val="BodyText"/>
        <w:spacing w:before="4"/>
        <w:rPr>
          <w:sz w:val="17"/>
        </w:rPr>
      </w:pPr>
      <w:r>
        <w:rPr/>
        <w:pict>
          <v:shape style="position:absolute;margin-left:51.023998pt;margin-top:595.864014pt;width:353.4pt;height:43.5pt;mso-position-horizontal-relative:page;mso-position-vertical-relative:page;z-index:-643264" type="#_x0000_t202" filled="false" stroked="false">
            <v:textbox inset="0,0,0,0">
              <w:txbxContent>
                <w:p>
                  <w:pPr>
                    <w:pStyle w:val="BodyText"/>
                    <w:rPr>
                      <w:sz w:val="20"/>
                    </w:rPr>
                  </w:pPr>
                </w:p>
                <w:p>
                  <w:pPr>
                    <w:spacing w:before="147"/>
                    <w:ind w:left="0" w:right="304" w:firstLine="0"/>
                    <w:jc w:val="center"/>
                    <w:rPr>
                      <w:rFonts w:ascii="Verdana"/>
                      <w:sz w:val="20"/>
                    </w:rPr>
                  </w:pPr>
                  <w:r>
                    <w:rPr>
                      <w:rFonts w:ascii="Verdana"/>
                      <w:color w:val="231F20"/>
                      <w:w w:val="100"/>
                      <w:sz w:val="20"/>
                    </w:rPr>
                    <w:t>4</w:t>
                  </w:r>
                </w:p>
              </w:txbxContent>
            </v:textbox>
            <w10:wrap type="none"/>
          </v:shape>
        </w:pict>
      </w:r>
    </w:p>
    <w:p>
      <w:pPr>
        <w:spacing w:after="0"/>
        <w:rPr>
          <w:sz w:val="17"/>
        </w:rPr>
        <w:sectPr>
          <w:footerReference w:type="default" r:id="rId48"/>
          <w:pgSz w:w="9360" w:h="13040"/>
          <w:pgMar w:footer="922" w:header="0" w:top="1200" w:bottom="1120" w:left="920" w:right="1160"/>
        </w:sectPr>
      </w:pPr>
    </w:p>
    <w:p>
      <w:pPr>
        <w:spacing w:before="116"/>
        <w:ind w:left="2634" w:right="2683" w:firstLine="0"/>
        <w:jc w:val="center"/>
        <w:rPr>
          <w:b/>
          <w:sz w:val="32"/>
        </w:rPr>
      </w:pPr>
      <w:r>
        <w:rPr>
          <w:b/>
          <w:sz w:val="32"/>
        </w:rPr>
        <w:t>Contenido</w:t>
      </w:r>
    </w:p>
    <w:p>
      <w:pPr>
        <w:pStyle w:val="BodyText"/>
        <w:rPr>
          <w:b/>
          <w:sz w:val="20"/>
        </w:rPr>
      </w:pPr>
    </w:p>
    <w:p>
      <w:pPr>
        <w:spacing w:after="0"/>
        <w:rPr>
          <w:sz w:val="20"/>
        </w:rPr>
        <w:sectPr>
          <w:footerReference w:type="default" r:id="rId49"/>
          <w:pgSz w:w="9360" w:h="13040"/>
          <w:pgMar w:footer="496" w:header="0" w:top="1200" w:bottom="680" w:left="1300" w:right="1280"/>
          <w:pgNumType w:start="5"/>
        </w:sectPr>
      </w:pPr>
    </w:p>
    <w:p>
      <w:pPr>
        <w:pStyle w:val="BodyText"/>
        <w:spacing w:before="11"/>
        <w:rPr>
          <w:b/>
          <w:sz w:val="20"/>
        </w:rPr>
      </w:pPr>
    </w:p>
    <w:p>
      <w:pPr>
        <w:spacing w:before="0"/>
        <w:ind w:left="117" w:right="1078" w:firstLine="0"/>
        <w:jc w:val="left"/>
        <w:rPr>
          <w:i/>
          <w:sz w:val="24"/>
        </w:rPr>
      </w:pPr>
      <w:r>
        <w:rPr>
          <w:i/>
          <w:color w:val="231F20"/>
          <w:w w:val="85"/>
          <w:sz w:val="24"/>
        </w:rPr>
        <w:t>Presentación</w:t>
      </w:r>
    </w:p>
    <w:p>
      <w:pPr>
        <w:pStyle w:val="BodyText"/>
        <w:spacing w:before="10"/>
        <w:rPr>
          <w:i/>
          <w:sz w:val="29"/>
        </w:rPr>
      </w:pPr>
    </w:p>
    <w:p>
      <w:pPr>
        <w:spacing w:line="242" w:lineRule="auto" w:before="0"/>
        <w:ind w:left="117" w:right="1078" w:firstLine="0"/>
        <w:jc w:val="left"/>
        <w:rPr>
          <w:b/>
          <w:sz w:val="24"/>
        </w:rPr>
      </w:pPr>
      <w:r>
        <w:rPr>
          <w:b/>
          <w:color w:val="231F20"/>
          <w:w w:val="80"/>
          <w:sz w:val="24"/>
        </w:rPr>
        <w:t>Parte 1. Flujos migratorios ante la globalización </w:t>
      </w:r>
      <w:r>
        <w:rPr>
          <w:b/>
          <w:color w:val="231F20"/>
          <w:w w:val="75"/>
          <w:sz w:val="24"/>
        </w:rPr>
        <w:t>económica mundial</w:t>
      </w:r>
    </w:p>
    <w:p>
      <w:pPr>
        <w:pStyle w:val="BodyText"/>
        <w:spacing w:before="8"/>
        <w:rPr>
          <w:b/>
          <w:sz w:val="24"/>
        </w:rPr>
      </w:pPr>
    </w:p>
    <w:p>
      <w:pPr>
        <w:spacing w:line="242" w:lineRule="auto" w:before="1"/>
        <w:ind w:left="117" w:right="1078" w:firstLine="0"/>
        <w:jc w:val="left"/>
        <w:rPr>
          <w:sz w:val="24"/>
        </w:rPr>
      </w:pPr>
      <w:r>
        <w:rPr>
          <w:color w:val="231F20"/>
          <w:w w:val="75"/>
          <w:sz w:val="24"/>
        </w:rPr>
        <w:t>Nueva reconfiguración de la inmigración internacional: </w:t>
      </w:r>
      <w:r>
        <w:rPr>
          <w:color w:val="231F20"/>
          <w:w w:val="80"/>
          <w:sz w:val="24"/>
        </w:rPr>
        <w:t>el caso de España</w:t>
      </w:r>
    </w:p>
    <w:p>
      <w:pPr>
        <w:spacing w:line="242" w:lineRule="auto" w:before="1"/>
        <w:ind w:left="117" w:right="1078" w:firstLine="0"/>
        <w:jc w:val="left"/>
        <w:rPr>
          <w:i/>
          <w:sz w:val="24"/>
        </w:rPr>
      </w:pPr>
      <w:r>
        <w:rPr>
          <w:i/>
          <w:color w:val="231F20"/>
          <w:spacing w:val="6"/>
          <w:w w:val="75"/>
          <w:sz w:val="24"/>
        </w:rPr>
        <w:t>Lucila </w:t>
      </w:r>
      <w:r>
        <w:rPr>
          <w:i/>
          <w:color w:val="231F20"/>
          <w:spacing w:val="7"/>
          <w:w w:val="75"/>
          <w:sz w:val="24"/>
        </w:rPr>
        <w:t>Godínez-Montoya, Esther </w:t>
      </w:r>
      <w:r>
        <w:rPr>
          <w:i/>
          <w:color w:val="231F20"/>
          <w:spacing w:val="8"/>
          <w:w w:val="75"/>
          <w:sz w:val="24"/>
        </w:rPr>
        <w:t>Figueroa-Hernández</w:t>
      </w:r>
      <w:r>
        <w:rPr>
          <w:i/>
          <w:color w:val="231F20"/>
          <w:spacing w:val="61"/>
          <w:w w:val="75"/>
          <w:sz w:val="24"/>
        </w:rPr>
        <w:t> </w:t>
      </w:r>
      <w:r>
        <w:rPr>
          <w:i/>
          <w:color w:val="231F20"/>
          <w:w w:val="75"/>
          <w:sz w:val="24"/>
        </w:rPr>
        <w:t>y </w:t>
      </w:r>
      <w:r>
        <w:rPr>
          <w:i/>
          <w:color w:val="231F20"/>
          <w:spacing w:val="8"/>
          <w:w w:val="75"/>
          <w:sz w:val="24"/>
        </w:rPr>
        <w:t>Francisco</w:t>
      </w:r>
      <w:r>
        <w:rPr>
          <w:i/>
          <w:color w:val="231F20"/>
          <w:spacing w:val="37"/>
          <w:w w:val="75"/>
          <w:sz w:val="24"/>
        </w:rPr>
        <w:t> </w:t>
      </w:r>
      <w:r>
        <w:rPr>
          <w:i/>
          <w:color w:val="231F20"/>
          <w:spacing w:val="8"/>
          <w:w w:val="75"/>
          <w:sz w:val="24"/>
        </w:rPr>
        <w:t>Pérez-Soto</w:t>
      </w:r>
    </w:p>
    <w:p>
      <w:pPr>
        <w:spacing w:before="171"/>
        <w:ind w:left="117" w:right="0" w:firstLine="0"/>
        <w:jc w:val="left"/>
        <w:rPr>
          <w:b/>
          <w:sz w:val="24"/>
        </w:rPr>
      </w:pPr>
      <w:r>
        <w:rPr>
          <w:b/>
          <w:color w:val="231F20"/>
          <w:w w:val="80"/>
          <w:sz w:val="24"/>
        </w:rPr>
        <w:t>Parte 2. Migrantes y remesas en la economía de América Latina</w:t>
      </w:r>
    </w:p>
    <w:p>
      <w:pPr>
        <w:spacing w:line="242" w:lineRule="auto" w:before="174"/>
        <w:ind w:left="117" w:right="987" w:firstLine="0"/>
        <w:jc w:val="left"/>
        <w:rPr>
          <w:sz w:val="24"/>
        </w:rPr>
      </w:pPr>
      <w:r>
        <w:rPr>
          <w:color w:val="231F20"/>
          <w:spacing w:val="7"/>
          <w:w w:val="75"/>
          <w:sz w:val="24"/>
        </w:rPr>
        <w:t>Globalización </w:t>
      </w:r>
      <w:r>
        <w:rPr>
          <w:color w:val="231F20"/>
          <w:w w:val="75"/>
          <w:sz w:val="24"/>
        </w:rPr>
        <w:t>y </w:t>
      </w:r>
      <w:r>
        <w:rPr>
          <w:color w:val="231F20"/>
          <w:spacing w:val="8"/>
          <w:w w:val="75"/>
          <w:sz w:val="24"/>
        </w:rPr>
        <w:t>emigración latinoamericana </w:t>
      </w:r>
      <w:r>
        <w:rPr>
          <w:color w:val="231F20"/>
          <w:w w:val="75"/>
          <w:sz w:val="24"/>
        </w:rPr>
        <w:t>y </w:t>
      </w:r>
      <w:r>
        <w:rPr>
          <w:color w:val="231F20"/>
          <w:spacing w:val="9"/>
          <w:w w:val="75"/>
          <w:sz w:val="24"/>
        </w:rPr>
        <w:t>caribeña </w:t>
      </w:r>
      <w:r>
        <w:rPr>
          <w:color w:val="231F20"/>
          <w:w w:val="80"/>
          <w:sz w:val="24"/>
        </w:rPr>
        <w:t>a</w:t>
      </w:r>
      <w:r>
        <w:rPr>
          <w:color w:val="231F20"/>
          <w:spacing w:val="-22"/>
          <w:w w:val="80"/>
          <w:sz w:val="24"/>
        </w:rPr>
        <w:t> </w:t>
      </w:r>
      <w:r>
        <w:rPr>
          <w:color w:val="231F20"/>
          <w:spacing w:val="7"/>
          <w:w w:val="80"/>
          <w:sz w:val="24"/>
        </w:rPr>
        <w:t>Estados</w:t>
      </w:r>
      <w:r>
        <w:rPr>
          <w:color w:val="231F20"/>
          <w:spacing w:val="-22"/>
          <w:w w:val="80"/>
          <w:sz w:val="24"/>
        </w:rPr>
        <w:t> </w:t>
      </w:r>
      <w:r>
        <w:rPr>
          <w:color w:val="231F20"/>
          <w:spacing w:val="8"/>
          <w:w w:val="80"/>
          <w:sz w:val="24"/>
        </w:rPr>
        <w:t>Unidos</w:t>
      </w:r>
    </w:p>
    <w:p>
      <w:pPr>
        <w:spacing w:before="1"/>
        <w:ind w:left="117" w:right="1078" w:firstLine="0"/>
        <w:jc w:val="left"/>
        <w:rPr>
          <w:i/>
          <w:sz w:val="24"/>
        </w:rPr>
      </w:pPr>
      <w:r>
        <w:rPr>
          <w:i/>
          <w:color w:val="231F20"/>
          <w:w w:val="75"/>
          <w:sz w:val="24"/>
        </w:rPr>
        <w:t>Ramiro Morales-Hernández</w:t>
      </w:r>
    </w:p>
    <w:p>
      <w:pPr>
        <w:spacing w:before="117"/>
        <w:ind w:left="117" w:right="1078" w:firstLine="0"/>
        <w:jc w:val="left"/>
        <w:rPr>
          <w:sz w:val="24"/>
        </w:rPr>
      </w:pPr>
      <w:r>
        <w:rPr>
          <w:color w:val="231F20"/>
          <w:w w:val="80"/>
          <w:sz w:val="24"/>
        </w:rPr>
        <w:t>Retorno de migrantes a la Comunidad Andina</w:t>
      </w:r>
    </w:p>
    <w:p>
      <w:pPr>
        <w:spacing w:before="4"/>
        <w:ind w:left="117" w:right="1078" w:firstLine="0"/>
        <w:jc w:val="left"/>
        <w:rPr>
          <w:i/>
          <w:sz w:val="24"/>
        </w:rPr>
      </w:pPr>
      <w:r>
        <w:rPr>
          <w:i/>
          <w:color w:val="231F20"/>
          <w:w w:val="80"/>
          <w:sz w:val="24"/>
        </w:rPr>
        <w:t>William Mejía-Ochoa y Yeim Claudia Castro</w:t>
      </w:r>
    </w:p>
    <w:p>
      <w:pPr>
        <w:spacing w:before="117"/>
        <w:ind w:left="117" w:right="1078" w:firstLine="0"/>
        <w:jc w:val="left"/>
        <w:rPr>
          <w:sz w:val="24"/>
        </w:rPr>
      </w:pPr>
      <w:r>
        <w:rPr>
          <w:color w:val="231F20"/>
          <w:w w:val="75"/>
          <w:sz w:val="24"/>
        </w:rPr>
        <w:t>Familias transnacionales en Colombia</w:t>
      </w:r>
    </w:p>
    <w:p>
      <w:pPr>
        <w:spacing w:before="4"/>
        <w:ind w:left="117" w:right="1078" w:firstLine="0"/>
        <w:jc w:val="left"/>
        <w:rPr>
          <w:i/>
          <w:sz w:val="24"/>
        </w:rPr>
      </w:pPr>
      <w:r>
        <w:rPr>
          <w:i/>
          <w:color w:val="231F20"/>
          <w:w w:val="75"/>
          <w:sz w:val="24"/>
        </w:rPr>
        <w:t>Luz María López-Montaño</w:t>
      </w:r>
    </w:p>
    <w:p>
      <w:pPr>
        <w:spacing w:before="117"/>
        <w:ind w:left="117" w:right="0" w:firstLine="0"/>
        <w:jc w:val="left"/>
        <w:rPr>
          <w:sz w:val="24"/>
        </w:rPr>
      </w:pPr>
      <w:r>
        <w:rPr>
          <w:color w:val="231F20"/>
          <w:w w:val="80"/>
          <w:sz w:val="24"/>
        </w:rPr>
        <w:t>Factores contextuales de la migración internacional de Honduras</w:t>
      </w:r>
    </w:p>
    <w:p>
      <w:pPr>
        <w:spacing w:before="4"/>
        <w:ind w:left="117" w:right="1078" w:firstLine="0"/>
        <w:jc w:val="left"/>
        <w:rPr>
          <w:i/>
          <w:sz w:val="24"/>
        </w:rPr>
      </w:pPr>
      <w:r>
        <w:rPr>
          <w:i/>
          <w:color w:val="231F20"/>
          <w:w w:val="75"/>
          <w:sz w:val="24"/>
        </w:rPr>
        <w:t>Manuel Antonio Flores-Fonseca</w:t>
      </w:r>
    </w:p>
    <w:p>
      <w:pPr>
        <w:spacing w:line="242" w:lineRule="auto" w:before="117"/>
        <w:ind w:left="117" w:right="1414" w:firstLine="0"/>
        <w:jc w:val="left"/>
        <w:rPr>
          <w:sz w:val="24"/>
        </w:rPr>
      </w:pPr>
      <w:r>
        <w:rPr>
          <w:color w:val="231F20"/>
          <w:w w:val="80"/>
          <w:sz w:val="24"/>
        </w:rPr>
        <w:t>El migrante centroamericano de paso por México y los derechos humanos</w:t>
      </w:r>
    </w:p>
    <w:p>
      <w:pPr>
        <w:spacing w:before="1"/>
        <w:ind w:left="117" w:right="1078" w:firstLine="0"/>
        <w:jc w:val="left"/>
        <w:rPr>
          <w:i/>
          <w:sz w:val="24"/>
        </w:rPr>
      </w:pPr>
      <w:r>
        <w:rPr>
          <w:i/>
          <w:color w:val="231F20"/>
          <w:w w:val="75"/>
          <w:sz w:val="24"/>
        </w:rPr>
        <w:t>Luis Raúl Ortiz-Ramírez</w:t>
      </w:r>
    </w:p>
    <w:p>
      <w:pPr>
        <w:spacing w:before="174"/>
        <w:ind w:left="117" w:right="1078" w:firstLine="0"/>
        <w:jc w:val="left"/>
        <w:rPr>
          <w:b/>
          <w:sz w:val="24"/>
        </w:rPr>
      </w:pPr>
      <w:r>
        <w:rPr>
          <w:b/>
          <w:color w:val="231F20"/>
          <w:w w:val="80"/>
          <w:sz w:val="24"/>
        </w:rPr>
        <w:t>Parte 3. Migrantes y remesas en la economía local</w:t>
      </w:r>
    </w:p>
    <w:p>
      <w:pPr>
        <w:spacing w:line="242" w:lineRule="auto" w:before="174"/>
        <w:ind w:left="117" w:right="0" w:firstLine="0"/>
        <w:jc w:val="left"/>
        <w:rPr>
          <w:sz w:val="24"/>
        </w:rPr>
      </w:pPr>
      <w:r>
        <w:rPr>
          <w:color w:val="231F20"/>
          <w:w w:val="80"/>
          <w:sz w:val="24"/>
        </w:rPr>
        <w:t>La participación de los migrantes mexicanos en la economía </w:t>
      </w:r>
      <w:r>
        <w:rPr>
          <w:color w:val="231F20"/>
          <w:w w:val="85"/>
          <w:sz w:val="24"/>
        </w:rPr>
        <w:t>norteamericana</w:t>
      </w:r>
    </w:p>
    <w:p>
      <w:pPr>
        <w:spacing w:line="242" w:lineRule="auto" w:before="1"/>
        <w:ind w:left="117" w:right="1414" w:firstLine="0"/>
        <w:jc w:val="left"/>
        <w:rPr>
          <w:i/>
          <w:sz w:val="24"/>
        </w:rPr>
      </w:pPr>
      <w:r>
        <w:rPr>
          <w:i/>
          <w:color w:val="231F20"/>
          <w:w w:val="75"/>
          <w:sz w:val="24"/>
        </w:rPr>
        <w:t>Esther Figueroa-Hernández, Francisco Pérez-Soto </w:t>
      </w:r>
      <w:r>
        <w:rPr>
          <w:i/>
          <w:color w:val="231F20"/>
          <w:w w:val="75"/>
          <w:sz w:val="24"/>
        </w:rPr>
        <w:t>y Lucila Godínez-Montoya</w:t>
      </w:r>
    </w:p>
    <w:p>
      <w:pPr>
        <w:spacing w:line="242" w:lineRule="auto" w:before="114"/>
        <w:ind w:left="117" w:right="1414" w:firstLine="0"/>
        <w:jc w:val="left"/>
        <w:rPr>
          <w:sz w:val="24"/>
        </w:rPr>
      </w:pPr>
      <w:r>
        <w:rPr>
          <w:color w:val="231F20"/>
          <w:w w:val="80"/>
          <w:sz w:val="24"/>
        </w:rPr>
        <w:t>Políticas públicas de la migración transnacional entre México y Estados Unidos</w:t>
      </w:r>
    </w:p>
    <w:p>
      <w:pPr>
        <w:spacing w:before="1"/>
        <w:ind w:left="117" w:right="1078" w:firstLine="0"/>
        <w:jc w:val="left"/>
        <w:rPr>
          <w:i/>
          <w:sz w:val="24"/>
        </w:rPr>
      </w:pPr>
      <w:r>
        <w:rPr>
          <w:i/>
          <w:color w:val="231F20"/>
          <w:w w:val="75"/>
          <w:sz w:val="24"/>
        </w:rPr>
        <w:t>Alejandro Díaz-Garay</w:t>
      </w:r>
    </w:p>
    <w:p>
      <w:pPr>
        <w:pStyle w:val="BodyText"/>
        <w:spacing w:before="11"/>
        <w:rPr>
          <w:i/>
          <w:sz w:val="20"/>
        </w:rPr>
      </w:pPr>
      <w:r>
        <w:rPr/>
        <w:br w:type="column"/>
      </w:r>
      <w:r>
        <w:rPr>
          <w:i/>
          <w:sz w:val="20"/>
        </w:rPr>
      </w:r>
    </w:p>
    <w:p>
      <w:pPr>
        <w:spacing w:before="0"/>
        <w:ind w:left="179" w:right="0" w:firstLine="0"/>
        <w:jc w:val="center"/>
        <w:rPr>
          <w:sz w:val="24"/>
        </w:rPr>
      </w:pPr>
      <w:r>
        <w:rPr>
          <w:color w:val="231F20"/>
          <w:w w:val="75"/>
          <w:sz w:val="24"/>
        </w:rPr>
        <w:t>9</w:t>
      </w:r>
    </w:p>
    <w:p>
      <w:pPr>
        <w:pStyle w:val="BodyText"/>
        <w:rPr>
          <w:sz w:val="24"/>
        </w:rPr>
      </w:pPr>
    </w:p>
    <w:p>
      <w:pPr>
        <w:pStyle w:val="BodyText"/>
        <w:rPr>
          <w:sz w:val="24"/>
        </w:rPr>
      </w:pPr>
    </w:p>
    <w:p>
      <w:pPr>
        <w:pStyle w:val="BodyText"/>
        <w:rPr>
          <w:sz w:val="24"/>
        </w:rPr>
      </w:pPr>
    </w:p>
    <w:p>
      <w:pPr>
        <w:pStyle w:val="BodyText"/>
        <w:spacing w:before="4"/>
        <w:rPr>
          <w:sz w:val="33"/>
        </w:rPr>
      </w:pPr>
    </w:p>
    <w:p>
      <w:pPr>
        <w:spacing w:before="1"/>
        <w:ind w:left="210" w:right="0" w:firstLine="0"/>
        <w:jc w:val="left"/>
        <w:rPr>
          <w:sz w:val="24"/>
        </w:rPr>
      </w:pPr>
      <w:r>
        <w:rPr>
          <w:color w:val="231F20"/>
          <w:w w:val="85"/>
          <w:sz w:val="24"/>
        </w:rPr>
        <w:t>13</w:t>
      </w:r>
    </w:p>
    <w:p>
      <w:pPr>
        <w:pStyle w:val="BodyText"/>
        <w:rPr>
          <w:sz w:val="24"/>
        </w:rPr>
      </w:pPr>
    </w:p>
    <w:p>
      <w:pPr>
        <w:pStyle w:val="BodyText"/>
        <w:rPr>
          <w:sz w:val="24"/>
        </w:rPr>
      </w:pPr>
    </w:p>
    <w:p>
      <w:pPr>
        <w:pStyle w:val="BodyText"/>
        <w:rPr>
          <w:sz w:val="24"/>
        </w:rPr>
      </w:pPr>
    </w:p>
    <w:p>
      <w:pPr>
        <w:pStyle w:val="BodyText"/>
        <w:rPr>
          <w:sz w:val="24"/>
        </w:rPr>
      </w:pPr>
    </w:p>
    <w:p>
      <w:pPr>
        <w:pStyle w:val="BodyText"/>
        <w:rPr>
          <w:sz w:val="29"/>
        </w:rPr>
      </w:pPr>
    </w:p>
    <w:p>
      <w:pPr>
        <w:spacing w:before="0"/>
        <w:ind w:left="210" w:right="0" w:firstLine="0"/>
        <w:jc w:val="left"/>
        <w:rPr>
          <w:sz w:val="24"/>
        </w:rPr>
      </w:pPr>
      <w:r>
        <w:rPr>
          <w:color w:val="231F20"/>
          <w:w w:val="85"/>
          <w:sz w:val="24"/>
        </w:rPr>
        <w:t>33</w:t>
      </w:r>
    </w:p>
    <w:p>
      <w:pPr>
        <w:pStyle w:val="BodyText"/>
        <w:rPr>
          <w:sz w:val="24"/>
        </w:rPr>
      </w:pPr>
    </w:p>
    <w:p>
      <w:pPr>
        <w:pStyle w:val="BodyText"/>
        <w:spacing w:before="5"/>
        <w:rPr>
          <w:sz w:val="33"/>
        </w:rPr>
      </w:pPr>
    </w:p>
    <w:p>
      <w:pPr>
        <w:spacing w:before="0"/>
        <w:ind w:left="210" w:right="0" w:firstLine="0"/>
        <w:jc w:val="left"/>
        <w:rPr>
          <w:sz w:val="24"/>
        </w:rPr>
      </w:pPr>
      <w:r>
        <w:rPr>
          <w:color w:val="231F20"/>
          <w:w w:val="85"/>
          <w:sz w:val="24"/>
        </w:rPr>
        <w:t>49</w:t>
      </w:r>
    </w:p>
    <w:p>
      <w:pPr>
        <w:pStyle w:val="BodyText"/>
        <w:rPr>
          <w:sz w:val="24"/>
        </w:rPr>
      </w:pPr>
    </w:p>
    <w:p>
      <w:pPr>
        <w:spacing w:before="165"/>
        <w:ind w:left="210" w:right="0" w:firstLine="0"/>
        <w:jc w:val="left"/>
        <w:rPr>
          <w:sz w:val="24"/>
        </w:rPr>
      </w:pPr>
      <w:r>
        <w:rPr>
          <w:color w:val="231F20"/>
          <w:w w:val="85"/>
          <w:sz w:val="24"/>
        </w:rPr>
        <w:t>71</w:t>
      </w:r>
    </w:p>
    <w:p>
      <w:pPr>
        <w:pStyle w:val="BodyText"/>
        <w:spacing w:before="1"/>
        <w:rPr>
          <w:sz w:val="35"/>
        </w:rPr>
      </w:pPr>
    </w:p>
    <w:p>
      <w:pPr>
        <w:spacing w:before="1"/>
        <w:ind w:left="210" w:right="0" w:firstLine="0"/>
        <w:jc w:val="left"/>
        <w:rPr>
          <w:sz w:val="24"/>
        </w:rPr>
      </w:pPr>
      <w:r>
        <w:rPr>
          <w:color w:val="231F20"/>
          <w:w w:val="85"/>
          <w:sz w:val="24"/>
        </w:rPr>
        <w:t>95</w:t>
      </w:r>
    </w:p>
    <w:p>
      <w:pPr>
        <w:pStyle w:val="BodyText"/>
        <w:spacing w:before="2"/>
        <w:rPr>
          <w:sz w:val="33"/>
        </w:rPr>
      </w:pPr>
    </w:p>
    <w:p>
      <w:pPr>
        <w:spacing w:before="0"/>
        <w:ind w:left="83" w:right="66" w:firstLine="0"/>
        <w:jc w:val="center"/>
        <w:rPr>
          <w:sz w:val="24"/>
        </w:rPr>
      </w:pPr>
      <w:r>
        <w:rPr>
          <w:color w:val="231F20"/>
          <w:w w:val="85"/>
          <w:sz w:val="24"/>
        </w:rPr>
        <w:t>125</w:t>
      </w:r>
    </w:p>
    <w:p>
      <w:pPr>
        <w:pStyle w:val="BodyText"/>
        <w:rPr>
          <w:sz w:val="24"/>
        </w:rPr>
      </w:pPr>
    </w:p>
    <w:p>
      <w:pPr>
        <w:pStyle w:val="BodyText"/>
        <w:rPr>
          <w:sz w:val="24"/>
        </w:rPr>
      </w:pPr>
    </w:p>
    <w:p>
      <w:pPr>
        <w:pStyle w:val="BodyText"/>
        <w:rPr>
          <w:sz w:val="24"/>
        </w:rPr>
      </w:pPr>
    </w:p>
    <w:p>
      <w:pPr>
        <w:pStyle w:val="BodyText"/>
        <w:spacing w:before="6"/>
        <w:rPr>
          <w:sz w:val="31"/>
        </w:rPr>
      </w:pPr>
    </w:p>
    <w:p>
      <w:pPr>
        <w:spacing w:before="1"/>
        <w:ind w:left="68" w:right="81" w:firstLine="0"/>
        <w:jc w:val="center"/>
        <w:rPr>
          <w:sz w:val="24"/>
        </w:rPr>
      </w:pPr>
      <w:r>
        <w:rPr>
          <w:color w:val="231F20"/>
          <w:w w:val="85"/>
          <w:sz w:val="24"/>
        </w:rPr>
        <w:t>145</w:t>
      </w:r>
    </w:p>
    <w:p>
      <w:pPr>
        <w:pStyle w:val="BodyText"/>
        <w:rPr>
          <w:sz w:val="24"/>
        </w:rPr>
      </w:pPr>
    </w:p>
    <w:p>
      <w:pPr>
        <w:pStyle w:val="BodyText"/>
        <w:rPr>
          <w:sz w:val="24"/>
        </w:rPr>
      </w:pPr>
    </w:p>
    <w:p>
      <w:pPr>
        <w:pStyle w:val="BodyText"/>
        <w:rPr>
          <w:sz w:val="24"/>
        </w:rPr>
      </w:pPr>
    </w:p>
    <w:p>
      <w:pPr>
        <w:spacing w:before="156"/>
        <w:ind w:left="83" w:right="66" w:firstLine="0"/>
        <w:jc w:val="center"/>
        <w:rPr>
          <w:sz w:val="24"/>
        </w:rPr>
      </w:pPr>
      <w:r>
        <w:rPr>
          <w:color w:val="231F20"/>
          <w:w w:val="85"/>
          <w:sz w:val="24"/>
        </w:rPr>
        <w:t>173</w:t>
      </w:r>
    </w:p>
    <w:p>
      <w:pPr>
        <w:spacing w:after="0"/>
        <w:jc w:val="center"/>
        <w:rPr>
          <w:sz w:val="24"/>
        </w:rPr>
        <w:sectPr>
          <w:type w:val="continuous"/>
          <w:pgSz w:w="9360" w:h="13040"/>
          <w:pgMar w:top="0" w:bottom="0" w:left="1300" w:right="1280"/>
          <w:cols w:num="2" w:equalWidth="0">
            <w:col w:w="5558" w:space="697"/>
            <w:col w:w="525"/>
          </w:cols>
        </w:sectPr>
      </w:pPr>
    </w:p>
    <w:p>
      <w:pPr>
        <w:spacing w:before="140"/>
        <w:ind w:left="117" w:right="285" w:firstLine="0"/>
        <w:jc w:val="left"/>
        <w:rPr>
          <w:sz w:val="24"/>
        </w:rPr>
      </w:pPr>
      <w:r>
        <w:rPr>
          <w:color w:val="231F20"/>
          <w:w w:val="80"/>
          <w:sz w:val="24"/>
        </w:rPr>
        <w:t>Las políticas públicas de combate a la pobreza y su sinergia</w:t>
      </w:r>
    </w:p>
    <w:p>
      <w:pPr>
        <w:spacing w:before="4"/>
        <w:ind w:left="117" w:right="285" w:firstLine="0"/>
        <w:jc w:val="left"/>
        <w:rPr>
          <w:sz w:val="24"/>
        </w:rPr>
      </w:pPr>
      <w:r>
        <w:rPr>
          <w:color w:val="231F20"/>
          <w:w w:val="80"/>
          <w:sz w:val="24"/>
        </w:rPr>
        <w:t>en la retención de capital humano frente a la migración internacional</w:t>
      </w:r>
    </w:p>
    <w:p>
      <w:pPr>
        <w:spacing w:before="4"/>
        <w:ind w:left="117" w:right="285" w:firstLine="0"/>
        <w:jc w:val="left"/>
        <w:rPr>
          <w:i/>
          <w:sz w:val="24"/>
        </w:rPr>
      </w:pPr>
      <w:r>
        <w:rPr>
          <w:i/>
          <w:color w:val="231F20"/>
          <w:w w:val="75"/>
          <w:sz w:val="24"/>
        </w:rPr>
        <w:t>Mayra Patricia Pérez-Román y Alejandra  Velázquez-Romero</w:t>
      </w:r>
    </w:p>
    <w:p>
      <w:pPr>
        <w:spacing w:line="242" w:lineRule="auto" w:before="117"/>
        <w:ind w:left="117" w:right="757" w:firstLine="0"/>
        <w:jc w:val="left"/>
        <w:rPr>
          <w:sz w:val="24"/>
        </w:rPr>
      </w:pPr>
      <w:r>
        <w:rPr>
          <w:color w:val="231F20"/>
          <w:w w:val="80"/>
          <w:sz w:val="24"/>
        </w:rPr>
        <w:t>Redes migratorias y políticas públicas de la migración </w:t>
      </w:r>
      <w:r>
        <w:rPr>
          <w:color w:val="231F20"/>
          <w:w w:val="75"/>
          <w:sz w:val="24"/>
        </w:rPr>
        <w:t>internacional guerrerense</w:t>
      </w:r>
    </w:p>
    <w:p>
      <w:pPr>
        <w:spacing w:before="1"/>
        <w:ind w:left="117" w:right="285" w:firstLine="0"/>
        <w:jc w:val="left"/>
        <w:rPr>
          <w:i/>
          <w:sz w:val="24"/>
        </w:rPr>
      </w:pPr>
      <w:r>
        <w:rPr>
          <w:i/>
          <w:color w:val="231F20"/>
          <w:w w:val="75"/>
          <w:sz w:val="24"/>
        </w:rPr>
        <w:t>Artemio López-Ríos</w:t>
      </w:r>
    </w:p>
    <w:p>
      <w:pPr>
        <w:spacing w:before="117"/>
        <w:ind w:left="117" w:right="285" w:firstLine="0"/>
        <w:jc w:val="left"/>
        <w:rPr>
          <w:sz w:val="24"/>
        </w:rPr>
      </w:pPr>
      <w:r>
        <w:rPr>
          <w:color w:val="231F20"/>
          <w:w w:val="80"/>
          <w:sz w:val="24"/>
        </w:rPr>
        <w:t>Migración y cambio del espacio rural en el noreste michoacano</w:t>
      </w:r>
    </w:p>
    <w:p>
      <w:pPr>
        <w:spacing w:before="4"/>
        <w:ind w:left="117" w:right="285" w:firstLine="0"/>
        <w:jc w:val="left"/>
        <w:rPr>
          <w:i/>
          <w:sz w:val="24"/>
        </w:rPr>
      </w:pPr>
      <w:r>
        <w:rPr>
          <w:i/>
          <w:color w:val="231F20"/>
          <w:w w:val="75"/>
          <w:sz w:val="24"/>
        </w:rPr>
        <w:t>Iván Jiménez-Maya</w:t>
      </w:r>
    </w:p>
    <w:p>
      <w:pPr>
        <w:spacing w:before="117"/>
        <w:ind w:left="117" w:right="285" w:firstLine="0"/>
        <w:jc w:val="left"/>
        <w:rPr>
          <w:sz w:val="24"/>
        </w:rPr>
      </w:pPr>
      <w:r>
        <w:rPr>
          <w:color w:val="231F20"/>
          <w:w w:val="80"/>
          <w:sz w:val="24"/>
        </w:rPr>
        <w:t>La dinámica migratoria al interior de los hogares: formas</w:t>
      </w:r>
    </w:p>
    <w:p>
      <w:pPr>
        <w:spacing w:line="242" w:lineRule="auto" w:before="4"/>
        <w:ind w:left="117" w:right="285" w:firstLine="0"/>
        <w:jc w:val="left"/>
        <w:rPr>
          <w:sz w:val="24"/>
        </w:rPr>
      </w:pPr>
      <w:r>
        <w:rPr>
          <w:color w:val="231F20"/>
          <w:w w:val="80"/>
          <w:sz w:val="24"/>
        </w:rPr>
        <w:t>de organización social ante un fenómeno creciente y complejo. El caso del Estado de México</w:t>
      </w:r>
    </w:p>
    <w:p>
      <w:pPr>
        <w:spacing w:line="242" w:lineRule="auto" w:before="1"/>
        <w:ind w:left="117" w:right="757" w:firstLine="0"/>
        <w:jc w:val="left"/>
        <w:rPr>
          <w:i/>
          <w:sz w:val="24"/>
        </w:rPr>
      </w:pPr>
      <w:r>
        <w:rPr>
          <w:i/>
          <w:color w:val="231F20"/>
          <w:spacing w:val="6"/>
          <w:w w:val="75"/>
          <w:sz w:val="24"/>
        </w:rPr>
        <w:t>Rosa </w:t>
      </w:r>
      <w:r>
        <w:rPr>
          <w:i/>
          <w:color w:val="231F20"/>
          <w:spacing w:val="7"/>
          <w:w w:val="75"/>
          <w:sz w:val="24"/>
        </w:rPr>
        <w:t>Patricia </w:t>
      </w:r>
      <w:r>
        <w:rPr>
          <w:i/>
          <w:color w:val="231F20"/>
          <w:spacing w:val="8"/>
          <w:w w:val="75"/>
          <w:sz w:val="24"/>
        </w:rPr>
        <w:t>Román-Reyes, </w:t>
      </w:r>
      <w:r>
        <w:rPr>
          <w:i/>
          <w:color w:val="231F20"/>
          <w:spacing w:val="6"/>
          <w:w w:val="75"/>
          <w:sz w:val="24"/>
        </w:rPr>
        <w:t>Juan Gabino </w:t>
      </w:r>
      <w:r>
        <w:rPr>
          <w:i/>
          <w:color w:val="231F20"/>
          <w:spacing w:val="8"/>
          <w:w w:val="75"/>
          <w:sz w:val="24"/>
        </w:rPr>
        <w:t>González-Becerril</w:t>
      </w:r>
      <w:r>
        <w:rPr>
          <w:i/>
          <w:color w:val="231F20"/>
          <w:spacing w:val="61"/>
          <w:w w:val="75"/>
          <w:sz w:val="24"/>
        </w:rPr>
        <w:t> </w:t>
      </w:r>
      <w:r>
        <w:rPr>
          <w:i/>
          <w:color w:val="231F20"/>
          <w:w w:val="75"/>
          <w:sz w:val="24"/>
        </w:rPr>
        <w:t>y </w:t>
      </w:r>
      <w:r>
        <w:rPr>
          <w:i/>
          <w:color w:val="231F20"/>
          <w:spacing w:val="6"/>
          <w:w w:val="75"/>
          <w:sz w:val="24"/>
        </w:rPr>
        <w:t>José </w:t>
      </w:r>
      <w:r>
        <w:rPr>
          <w:i/>
          <w:color w:val="231F20"/>
          <w:spacing w:val="7"/>
          <w:w w:val="75"/>
          <w:sz w:val="24"/>
        </w:rPr>
        <w:t>Antonio</w:t>
      </w:r>
      <w:r>
        <w:rPr>
          <w:i/>
          <w:color w:val="231F20"/>
          <w:spacing w:val="50"/>
          <w:w w:val="75"/>
          <w:sz w:val="24"/>
        </w:rPr>
        <w:t> </w:t>
      </w:r>
      <w:r>
        <w:rPr>
          <w:i/>
          <w:color w:val="231F20"/>
          <w:spacing w:val="9"/>
          <w:w w:val="75"/>
          <w:sz w:val="24"/>
        </w:rPr>
        <w:t>Soberón-Mora</w:t>
      </w:r>
    </w:p>
    <w:p>
      <w:pPr>
        <w:spacing w:line="242" w:lineRule="auto" w:before="114"/>
        <w:ind w:left="117" w:right="0" w:firstLine="0"/>
        <w:jc w:val="left"/>
        <w:rPr>
          <w:sz w:val="24"/>
        </w:rPr>
      </w:pPr>
      <w:r>
        <w:rPr>
          <w:color w:val="231F20"/>
          <w:w w:val="80"/>
          <w:sz w:val="24"/>
        </w:rPr>
        <w:t>Migración y remesas internacionales, efectos sobre la economía local. Caso del municipio de Tenancingo, Estado de México</w:t>
      </w:r>
    </w:p>
    <w:p>
      <w:pPr>
        <w:spacing w:before="1"/>
        <w:ind w:left="117" w:right="285" w:firstLine="0"/>
        <w:jc w:val="left"/>
        <w:rPr>
          <w:i/>
          <w:sz w:val="24"/>
        </w:rPr>
      </w:pPr>
      <w:r>
        <w:rPr>
          <w:i/>
          <w:color w:val="231F20"/>
          <w:w w:val="75"/>
          <w:sz w:val="24"/>
        </w:rPr>
        <w:t>David Iglesias-Piña</w:t>
      </w:r>
    </w:p>
    <w:p>
      <w:pPr>
        <w:spacing w:line="242" w:lineRule="auto" w:before="174"/>
        <w:ind w:left="117" w:right="889" w:firstLine="0"/>
        <w:jc w:val="left"/>
        <w:rPr>
          <w:b/>
          <w:sz w:val="24"/>
        </w:rPr>
      </w:pPr>
      <w:r>
        <w:rPr>
          <w:b/>
          <w:color w:val="231F20"/>
          <w:w w:val="80"/>
          <w:sz w:val="24"/>
        </w:rPr>
        <w:t>Parte 4. El papel del trabajo indígena e infantil migrante en Estados Unidos</w:t>
      </w:r>
    </w:p>
    <w:p>
      <w:pPr>
        <w:spacing w:line="242" w:lineRule="auto" w:before="171"/>
        <w:ind w:left="117" w:right="1196" w:firstLine="0"/>
        <w:jc w:val="left"/>
        <w:rPr>
          <w:sz w:val="24"/>
        </w:rPr>
      </w:pPr>
      <w:r>
        <w:rPr>
          <w:color w:val="231F20"/>
          <w:w w:val="80"/>
          <w:sz w:val="24"/>
        </w:rPr>
        <w:t>Las remesas indígenas como complemento al ingreso y sus mecanismos de uso y recepción</w:t>
      </w:r>
    </w:p>
    <w:p>
      <w:pPr>
        <w:spacing w:before="1"/>
        <w:ind w:left="117" w:right="285" w:firstLine="0"/>
        <w:jc w:val="left"/>
        <w:rPr>
          <w:i/>
          <w:sz w:val="24"/>
        </w:rPr>
      </w:pPr>
      <w:r>
        <w:rPr>
          <w:i/>
          <w:color w:val="231F20"/>
          <w:w w:val="75"/>
          <w:sz w:val="24"/>
        </w:rPr>
        <w:t>César Raúl Pérez-Marcial</w:t>
      </w:r>
    </w:p>
    <w:p>
      <w:pPr>
        <w:spacing w:line="242" w:lineRule="auto" w:before="117"/>
        <w:ind w:left="117" w:right="285" w:firstLine="0"/>
        <w:jc w:val="left"/>
        <w:rPr>
          <w:sz w:val="24"/>
        </w:rPr>
      </w:pPr>
      <w:r>
        <w:rPr>
          <w:color w:val="231F20"/>
          <w:w w:val="80"/>
          <w:sz w:val="24"/>
        </w:rPr>
        <w:t>La participación de la poblacional indígena en la migración internacional: el caso del Estado de México 2000-2009</w:t>
      </w:r>
    </w:p>
    <w:p>
      <w:pPr>
        <w:spacing w:line="242" w:lineRule="auto" w:before="1"/>
        <w:ind w:left="117" w:right="757" w:firstLine="0"/>
        <w:jc w:val="left"/>
        <w:rPr>
          <w:i/>
          <w:sz w:val="24"/>
        </w:rPr>
      </w:pPr>
      <w:r>
        <w:rPr>
          <w:i/>
          <w:color w:val="231F20"/>
          <w:spacing w:val="6"/>
          <w:w w:val="75"/>
          <w:sz w:val="24"/>
        </w:rPr>
        <w:t>Juan Gabino </w:t>
      </w:r>
      <w:r>
        <w:rPr>
          <w:i/>
          <w:color w:val="231F20"/>
          <w:spacing w:val="7"/>
          <w:w w:val="75"/>
          <w:sz w:val="24"/>
        </w:rPr>
        <w:t>González-Becerril, </w:t>
      </w:r>
      <w:r>
        <w:rPr>
          <w:i/>
          <w:color w:val="231F20"/>
          <w:spacing w:val="6"/>
          <w:w w:val="75"/>
          <w:sz w:val="24"/>
        </w:rPr>
        <w:t>José </w:t>
      </w:r>
      <w:r>
        <w:rPr>
          <w:i/>
          <w:color w:val="231F20"/>
          <w:spacing w:val="7"/>
          <w:w w:val="75"/>
          <w:sz w:val="24"/>
        </w:rPr>
        <w:t>Antonio </w:t>
      </w:r>
      <w:r>
        <w:rPr>
          <w:i/>
          <w:color w:val="231F20"/>
          <w:spacing w:val="9"/>
          <w:w w:val="75"/>
          <w:sz w:val="24"/>
        </w:rPr>
        <w:t>Soberón-Mora</w:t>
      </w:r>
      <w:r>
        <w:rPr>
          <w:i/>
          <w:color w:val="231F20"/>
          <w:spacing w:val="63"/>
          <w:w w:val="75"/>
          <w:sz w:val="24"/>
        </w:rPr>
        <w:t> </w:t>
      </w:r>
      <w:r>
        <w:rPr>
          <w:i/>
          <w:color w:val="231F20"/>
          <w:w w:val="75"/>
          <w:sz w:val="24"/>
        </w:rPr>
        <w:t>y </w:t>
      </w:r>
      <w:r>
        <w:rPr>
          <w:i/>
          <w:color w:val="231F20"/>
          <w:spacing w:val="7"/>
          <w:w w:val="75"/>
          <w:sz w:val="24"/>
        </w:rPr>
        <w:t>Rafael</w:t>
      </w:r>
      <w:r>
        <w:rPr>
          <w:i/>
          <w:color w:val="231F20"/>
          <w:spacing w:val="41"/>
          <w:w w:val="75"/>
          <w:sz w:val="24"/>
        </w:rPr>
        <w:t> </w:t>
      </w:r>
      <w:r>
        <w:rPr>
          <w:i/>
          <w:color w:val="231F20"/>
          <w:spacing w:val="6"/>
          <w:w w:val="75"/>
          <w:sz w:val="24"/>
        </w:rPr>
        <w:t>López-Vega</w:t>
      </w:r>
    </w:p>
    <w:p>
      <w:pPr>
        <w:spacing w:line="242" w:lineRule="auto" w:before="114"/>
        <w:ind w:left="117" w:right="889" w:firstLine="0"/>
        <w:jc w:val="left"/>
        <w:rPr>
          <w:sz w:val="24"/>
        </w:rPr>
      </w:pPr>
      <w:r>
        <w:rPr>
          <w:color w:val="231F20"/>
          <w:w w:val="80"/>
          <w:sz w:val="24"/>
        </w:rPr>
        <w:t>Los menores inmigrantes indocumentados ante la nueva ley de migración en México</w:t>
      </w:r>
    </w:p>
    <w:p>
      <w:pPr>
        <w:spacing w:before="1"/>
        <w:ind w:left="117" w:right="285" w:firstLine="0"/>
        <w:jc w:val="left"/>
        <w:rPr>
          <w:i/>
          <w:sz w:val="24"/>
        </w:rPr>
      </w:pPr>
      <w:r>
        <w:rPr>
          <w:i/>
          <w:color w:val="231F20"/>
          <w:w w:val="75"/>
          <w:sz w:val="24"/>
        </w:rPr>
        <w:t>Alma Cossette Guadarrama-Muñoz</w:t>
      </w:r>
    </w:p>
    <w:p>
      <w:pPr>
        <w:spacing w:before="117"/>
        <w:ind w:left="117" w:right="285" w:firstLine="0"/>
        <w:jc w:val="left"/>
        <w:rPr>
          <w:sz w:val="24"/>
        </w:rPr>
      </w:pPr>
      <w:r>
        <w:rPr>
          <w:color w:val="231F20"/>
          <w:w w:val="80"/>
          <w:sz w:val="24"/>
        </w:rPr>
        <w:t>Un actor más en los procesos migratorios: el trabajador infantil</w:t>
      </w:r>
    </w:p>
    <w:p>
      <w:pPr>
        <w:spacing w:before="4"/>
        <w:ind w:left="117" w:right="285" w:firstLine="0"/>
        <w:jc w:val="left"/>
        <w:rPr>
          <w:i/>
          <w:sz w:val="24"/>
        </w:rPr>
      </w:pPr>
      <w:r>
        <w:rPr>
          <w:i/>
          <w:color w:val="231F20"/>
          <w:w w:val="75"/>
          <w:sz w:val="24"/>
        </w:rPr>
        <w:t>Silvia Lizbeth Aguilar-Velázquez y Belinda  Ordóñez-Vázquez</w:t>
      </w:r>
    </w:p>
    <w:p>
      <w:pPr>
        <w:spacing w:before="192"/>
        <w:ind w:left="117" w:right="0" w:firstLine="0"/>
        <w:jc w:val="left"/>
        <w:rPr>
          <w:sz w:val="24"/>
        </w:rPr>
      </w:pPr>
      <w:r>
        <w:rPr/>
        <w:br w:type="column"/>
      </w:r>
      <w:r>
        <w:rPr>
          <w:color w:val="231F20"/>
          <w:w w:val="85"/>
          <w:sz w:val="24"/>
        </w:rPr>
        <w:t>193</w:t>
      </w:r>
    </w:p>
    <w:p>
      <w:pPr>
        <w:pStyle w:val="BodyText"/>
        <w:rPr>
          <w:sz w:val="24"/>
        </w:rPr>
      </w:pPr>
    </w:p>
    <w:p>
      <w:pPr>
        <w:pStyle w:val="BodyText"/>
        <w:spacing w:before="6"/>
        <w:rPr>
          <w:sz w:val="29"/>
        </w:rPr>
      </w:pPr>
    </w:p>
    <w:p>
      <w:pPr>
        <w:pStyle w:val="Heading4"/>
      </w:pPr>
      <w:r>
        <w:rPr>
          <w:color w:val="231F20"/>
          <w:w w:val="85"/>
        </w:rPr>
        <w:t>213</w:t>
      </w:r>
    </w:p>
    <w:p>
      <w:pPr>
        <w:pStyle w:val="BodyText"/>
        <w:rPr>
          <w:sz w:val="24"/>
        </w:rPr>
      </w:pPr>
    </w:p>
    <w:p>
      <w:pPr>
        <w:pStyle w:val="BodyText"/>
        <w:rPr>
          <w:sz w:val="24"/>
        </w:rPr>
      </w:pPr>
    </w:p>
    <w:p>
      <w:pPr>
        <w:spacing w:before="147"/>
        <w:ind w:left="117" w:right="0" w:firstLine="0"/>
        <w:jc w:val="left"/>
        <w:rPr>
          <w:sz w:val="24"/>
        </w:rPr>
      </w:pPr>
      <w:r>
        <w:rPr>
          <w:color w:val="231F20"/>
          <w:w w:val="85"/>
          <w:sz w:val="24"/>
        </w:rPr>
        <w:t>229</w:t>
      </w:r>
    </w:p>
    <w:p>
      <w:pPr>
        <w:pStyle w:val="BodyText"/>
        <w:spacing w:before="10"/>
        <w:rPr>
          <w:sz w:val="35"/>
        </w:rPr>
      </w:pPr>
    </w:p>
    <w:p>
      <w:pPr>
        <w:spacing w:before="0"/>
        <w:ind w:left="117" w:right="0" w:firstLine="0"/>
        <w:jc w:val="left"/>
        <w:rPr>
          <w:sz w:val="24"/>
        </w:rPr>
      </w:pPr>
      <w:r>
        <w:rPr>
          <w:color w:val="231F20"/>
          <w:w w:val="85"/>
          <w:sz w:val="24"/>
        </w:rPr>
        <w:t>251</w:t>
      </w:r>
    </w:p>
    <w:p>
      <w:pPr>
        <w:pStyle w:val="BodyText"/>
        <w:rPr>
          <w:sz w:val="24"/>
        </w:rPr>
      </w:pPr>
    </w:p>
    <w:p>
      <w:pPr>
        <w:pStyle w:val="BodyText"/>
        <w:rPr>
          <w:sz w:val="24"/>
        </w:rPr>
      </w:pPr>
    </w:p>
    <w:p>
      <w:pPr>
        <w:pStyle w:val="BodyText"/>
        <w:rPr>
          <w:sz w:val="24"/>
        </w:rPr>
      </w:pPr>
    </w:p>
    <w:p>
      <w:pPr>
        <w:pStyle w:val="BodyText"/>
        <w:spacing w:before="7"/>
        <w:rPr>
          <w:sz w:val="34"/>
        </w:rPr>
      </w:pPr>
    </w:p>
    <w:p>
      <w:pPr>
        <w:spacing w:before="0"/>
        <w:ind w:left="125" w:right="0" w:firstLine="0"/>
        <w:jc w:val="left"/>
        <w:rPr>
          <w:sz w:val="24"/>
        </w:rPr>
      </w:pPr>
      <w:r>
        <w:rPr>
          <w:color w:val="231F20"/>
          <w:w w:val="85"/>
          <w:sz w:val="24"/>
        </w:rPr>
        <w:t>275</w:t>
      </w:r>
    </w:p>
    <w:p>
      <w:pPr>
        <w:pStyle w:val="BodyText"/>
        <w:rPr>
          <w:sz w:val="24"/>
        </w:rPr>
      </w:pPr>
    </w:p>
    <w:p>
      <w:pPr>
        <w:pStyle w:val="BodyText"/>
        <w:rPr>
          <w:sz w:val="24"/>
        </w:rPr>
      </w:pPr>
    </w:p>
    <w:p>
      <w:pPr>
        <w:pStyle w:val="BodyText"/>
        <w:rPr>
          <w:sz w:val="24"/>
        </w:rPr>
      </w:pPr>
    </w:p>
    <w:p>
      <w:pPr>
        <w:pStyle w:val="BodyText"/>
        <w:rPr>
          <w:sz w:val="24"/>
        </w:rPr>
      </w:pPr>
    </w:p>
    <w:p>
      <w:pPr>
        <w:pStyle w:val="BodyText"/>
        <w:spacing w:before="2"/>
        <w:rPr>
          <w:sz w:val="26"/>
        </w:rPr>
      </w:pPr>
    </w:p>
    <w:p>
      <w:pPr>
        <w:spacing w:before="0"/>
        <w:ind w:left="125" w:right="0" w:firstLine="0"/>
        <w:jc w:val="left"/>
        <w:rPr>
          <w:sz w:val="24"/>
        </w:rPr>
      </w:pPr>
      <w:r>
        <w:rPr>
          <w:color w:val="231F20"/>
          <w:w w:val="85"/>
          <w:sz w:val="24"/>
        </w:rPr>
        <w:t>291</w:t>
      </w:r>
    </w:p>
    <w:p>
      <w:pPr>
        <w:pStyle w:val="BodyText"/>
        <w:rPr>
          <w:sz w:val="24"/>
        </w:rPr>
      </w:pPr>
    </w:p>
    <w:p>
      <w:pPr>
        <w:pStyle w:val="BodyText"/>
        <w:rPr>
          <w:sz w:val="24"/>
        </w:rPr>
      </w:pPr>
    </w:p>
    <w:p>
      <w:pPr>
        <w:spacing w:before="182"/>
        <w:ind w:left="117" w:right="0" w:firstLine="0"/>
        <w:jc w:val="left"/>
        <w:rPr>
          <w:sz w:val="24"/>
        </w:rPr>
      </w:pPr>
      <w:r>
        <w:rPr>
          <w:color w:val="231F20"/>
          <w:w w:val="85"/>
          <w:sz w:val="24"/>
        </w:rPr>
        <w:t>313</w:t>
      </w:r>
    </w:p>
    <w:p>
      <w:pPr>
        <w:pStyle w:val="BodyText"/>
        <w:rPr>
          <w:sz w:val="24"/>
        </w:rPr>
      </w:pPr>
    </w:p>
    <w:p>
      <w:pPr>
        <w:pStyle w:val="BodyText"/>
        <w:rPr>
          <w:sz w:val="24"/>
        </w:rPr>
      </w:pPr>
    </w:p>
    <w:p>
      <w:pPr>
        <w:pStyle w:val="BodyText"/>
        <w:rPr>
          <w:sz w:val="24"/>
        </w:rPr>
      </w:pPr>
    </w:p>
    <w:p>
      <w:pPr>
        <w:pStyle w:val="BodyText"/>
        <w:rPr>
          <w:sz w:val="23"/>
        </w:rPr>
      </w:pPr>
    </w:p>
    <w:p>
      <w:pPr>
        <w:spacing w:before="0"/>
        <w:ind w:left="125" w:right="0" w:firstLine="0"/>
        <w:jc w:val="left"/>
        <w:rPr>
          <w:sz w:val="24"/>
        </w:rPr>
      </w:pPr>
      <w:r>
        <w:rPr>
          <w:color w:val="231F20"/>
          <w:w w:val="85"/>
          <w:sz w:val="24"/>
        </w:rPr>
        <w:t>335</w:t>
      </w:r>
    </w:p>
    <w:p>
      <w:pPr>
        <w:pStyle w:val="BodyText"/>
        <w:rPr>
          <w:sz w:val="24"/>
        </w:rPr>
      </w:pPr>
    </w:p>
    <w:p>
      <w:pPr>
        <w:pStyle w:val="BodyText"/>
        <w:spacing w:before="4"/>
        <w:rPr>
          <w:sz w:val="31"/>
        </w:rPr>
      </w:pPr>
    </w:p>
    <w:p>
      <w:pPr>
        <w:spacing w:before="0"/>
        <w:ind w:left="117" w:right="0" w:firstLine="0"/>
        <w:jc w:val="left"/>
        <w:rPr>
          <w:sz w:val="24"/>
        </w:rPr>
      </w:pPr>
      <w:r>
        <w:rPr>
          <w:color w:val="231F20"/>
          <w:w w:val="85"/>
          <w:sz w:val="24"/>
        </w:rPr>
        <w:t>357</w:t>
      </w:r>
    </w:p>
    <w:p>
      <w:pPr>
        <w:spacing w:after="0"/>
        <w:jc w:val="left"/>
        <w:rPr>
          <w:sz w:val="24"/>
        </w:rPr>
        <w:sectPr>
          <w:pgSz w:w="9360" w:h="13040"/>
          <w:pgMar w:header="0" w:footer="496" w:top="1200" w:bottom="680" w:left="1300" w:right="1300"/>
          <w:cols w:num="2" w:equalWidth="0">
            <w:col w:w="5778" w:space="471"/>
            <w:col w:w="511"/>
          </w:cols>
        </w:sectPr>
      </w:pPr>
    </w:p>
    <w:p>
      <w:pPr>
        <w:spacing w:before="95"/>
        <w:ind w:left="2190" w:right="2190" w:firstLine="0"/>
        <w:jc w:val="center"/>
        <w:rPr>
          <w:b/>
          <w:sz w:val="40"/>
        </w:rPr>
      </w:pPr>
      <w:r>
        <w:rPr>
          <w:b/>
          <w:color w:val="231F20"/>
          <w:w w:val="80"/>
          <w:sz w:val="40"/>
        </w:rPr>
        <w:t>Presentación</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9"/>
        </w:rPr>
      </w:pPr>
    </w:p>
    <w:p>
      <w:pPr>
        <w:pStyle w:val="BodyText"/>
        <w:spacing w:line="247" w:lineRule="auto" w:before="187"/>
        <w:ind w:left="996" w:right="115"/>
        <w:jc w:val="both"/>
      </w:pPr>
      <w:r>
        <w:rPr/>
        <w:pict>
          <v:shape style="position:absolute;margin-left:70.866096pt;margin-top:4.984085pt;width:36.7pt;height:55pt;mso-position-horizontal-relative:page;mso-position-vertical-relative:paragraph;z-index:-643240" type="#_x0000_t202" filled="false" stroked="false">
            <v:textbox inset="0,0,0,0">
              <w:txbxContent>
                <w:p>
                  <w:pPr>
                    <w:spacing w:line="1100" w:lineRule="exact" w:before="0"/>
                    <w:ind w:left="0" w:right="0" w:firstLine="0"/>
                    <w:jc w:val="left"/>
                    <w:rPr>
                      <w:b/>
                      <w:sz w:val="110"/>
                    </w:rPr>
                  </w:pPr>
                  <w:r>
                    <w:rPr>
                      <w:b/>
                      <w:color w:val="231F20"/>
                      <w:sz w:val="110"/>
                    </w:rPr>
                    <w:t>E</w:t>
                  </w:r>
                </w:p>
              </w:txbxContent>
            </v:textbox>
            <w10:wrap type="none"/>
          </v:shape>
        </w:pict>
      </w:r>
      <w:r>
        <w:rPr>
          <w:color w:val="231F20"/>
        </w:rPr>
        <w:t>l consenso entre los trabajos que componen este libro, fue el re- conocimiento de la masificación de la migración internacional entre</w:t>
      </w:r>
      <w:r>
        <w:rPr>
          <w:color w:val="231F20"/>
          <w:spacing w:val="-6"/>
        </w:rPr>
        <w:t> </w:t>
      </w:r>
      <w:r>
        <w:rPr>
          <w:color w:val="231F20"/>
        </w:rPr>
        <w:t>los</w:t>
      </w:r>
      <w:r>
        <w:rPr>
          <w:color w:val="231F20"/>
          <w:spacing w:val="-6"/>
        </w:rPr>
        <w:t> </w:t>
      </w:r>
      <w:r>
        <w:rPr>
          <w:color w:val="231F20"/>
        </w:rPr>
        <w:t>países</w:t>
      </w:r>
      <w:r>
        <w:rPr>
          <w:color w:val="231F20"/>
          <w:spacing w:val="-6"/>
        </w:rPr>
        <w:t> </w:t>
      </w:r>
      <w:r>
        <w:rPr>
          <w:color w:val="231F20"/>
        </w:rPr>
        <w:t>de</w:t>
      </w:r>
      <w:r>
        <w:rPr>
          <w:color w:val="231F20"/>
          <w:spacing w:val="-6"/>
        </w:rPr>
        <w:t> </w:t>
      </w:r>
      <w:r>
        <w:rPr>
          <w:color w:val="231F20"/>
        </w:rPr>
        <w:t>todo</w:t>
      </w:r>
      <w:r>
        <w:rPr>
          <w:color w:val="231F20"/>
          <w:spacing w:val="-6"/>
        </w:rPr>
        <w:t> </w:t>
      </w:r>
      <w:r>
        <w:rPr>
          <w:color w:val="231F20"/>
        </w:rPr>
        <w:t>el</w:t>
      </w:r>
      <w:r>
        <w:rPr>
          <w:color w:val="231F20"/>
          <w:spacing w:val="-6"/>
        </w:rPr>
        <w:t> </w:t>
      </w:r>
      <w:r>
        <w:rPr>
          <w:color w:val="231F20"/>
        </w:rPr>
        <w:t>continente</w:t>
      </w:r>
      <w:r>
        <w:rPr>
          <w:color w:val="231F20"/>
          <w:spacing w:val="-6"/>
        </w:rPr>
        <w:t> </w:t>
      </w:r>
      <w:r>
        <w:rPr>
          <w:color w:val="231F20"/>
        </w:rPr>
        <w:t>americano</w:t>
      </w:r>
      <w:r>
        <w:rPr>
          <w:color w:val="231F20"/>
          <w:spacing w:val="-6"/>
        </w:rPr>
        <w:t> </w:t>
      </w:r>
      <w:r>
        <w:rPr>
          <w:color w:val="231F20"/>
        </w:rPr>
        <w:t>a</w:t>
      </w:r>
      <w:r>
        <w:rPr>
          <w:color w:val="231F20"/>
          <w:spacing w:val="-6"/>
        </w:rPr>
        <w:t> </w:t>
      </w:r>
      <w:r>
        <w:rPr>
          <w:color w:val="231F20"/>
        </w:rPr>
        <w:t>partir</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dé-</w:t>
      </w:r>
    </w:p>
    <w:p>
      <w:pPr>
        <w:pStyle w:val="BodyText"/>
        <w:spacing w:line="247" w:lineRule="auto" w:before="10"/>
        <w:ind w:left="117" w:right="114"/>
        <w:jc w:val="both"/>
      </w:pPr>
      <w:r>
        <w:rPr>
          <w:color w:val="231F20"/>
        </w:rPr>
        <w:t>cada de 1990, que asumió con el paso del tiempo magnitudes y modalida- des que implican importantes transiciones en su dinámica y composición. Esto coincide con el discurso para la inauguración de la 46ª sesión de la Comisión de Naciones Unidas sobre Población y Desarrollo del Secreta- rio General de la ONU, Ban Ki Moon, quién recordó que la cantidad de migrantes internacionales aumentó de 155 millones anuales en 1990 a</w:t>
      </w:r>
      <w:r>
        <w:rPr>
          <w:color w:val="231F20"/>
          <w:spacing w:val="-20"/>
        </w:rPr>
        <w:t> </w:t>
      </w:r>
      <w:r>
        <w:rPr>
          <w:color w:val="231F20"/>
        </w:rPr>
        <w:t>214 millones</w:t>
      </w:r>
      <w:r>
        <w:rPr>
          <w:color w:val="231F20"/>
          <w:spacing w:val="-4"/>
        </w:rPr>
        <w:t> </w:t>
      </w:r>
      <w:r>
        <w:rPr>
          <w:color w:val="231F20"/>
        </w:rPr>
        <w:t>en</w:t>
      </w:r>
      <w:r>
        <w:rPr>
          <w:color w:val="231F20"/>
          <w:spacing w:val="-4"/>
        </w:rPr>
        <w:t> </w:t>
      </w:r>
      <w:r>
        <w:rPr>
          <w:color w:val="231F20"/>
        </w:rPr>
        <w:t>2010</w:t>
      </w:r>
      <w:r>
        <w:rPr>
          <w:color w:val="231F20"/>
          <w:spacing w:val="-4"/>
        </w:rPr>
        <w:t> </w:t>
      </w:r>
      <w:r>
        <w:rPr>
          <w:color w:val="231F20"/>
        </w:rPr>
        <w:t>y</w:t>
      </w:r>
      <w:r>
        <w:rPr>
          <w:color w:val="231F20"/>
          <w:spacing w:val="-4"/>
        </w:rPr>
        <w:t> </w:t>
      </w:r>
      <w:r>
        <w:rPr>
          <w:color w:val="231F20"/>
        </w:rPr>
        <w:t>subrayó</w:t>
      </w:r>
      <w:r>
        <w:rPr>
          <w:color w:val="231F20"/>
          <w:spacing w:val="-3"/>
        </w:rPr>
        <w:t> </w:t>
      </w:r>
      <w:r>
        <w:rPr>
          <w:color w:val="231F20"/>
        </w:rPr>
        <w:t>que</w:t>
      </w:r>
      <w:r>
        <w:rPr>
          <w:color w:val="231F20"/>
          <w:spacing w:val="-4"/>
        </w:rPr>
        <w:t> </w:t>
      </w:r>
      <w:r>
        <w:rPr>
          <w:color w:val="231F20"/>
        </w:rPr>
        <w:t>el</w:t>
      </w:r>
      <w:r>
        <w:rPr>
          <w:color w:val="231F20"/>
          <w:spacing w:val="-4"/>
        </w:rPr>
        <w:t> </w:t>
      </w:r>
      <w:r>
        <w:rPr>
          <w:color w:val="231F20"/>
        </w:rPr>
        <w:t>número</w:t>
      </w:r>
      <w:r>
        <w:rPr>
          <w:color w:val="231F20"/>
          <w:spacing w:val="-4"/>
        </w:rPr>
        <w:t> </w:t>
      </w:r>
      <w:r>
        <w:rPr>
          <w:color w:val="231F20"/>
        </w:rPr>
        <w:t>de</w:t>
      </w:r>
      <w:r>
        <w:rPr>
          <w:color w:val="231F20"/>
          <w:spacing w:val="-4"/>
        </w:rPr>
        <w:t> </w:t>
      </w:r>
      <w:r>
        <w:rPr>
          <w:color w:val="231F20"/>
        </w:rPr>
        <w:t>migrantes</w:t>
      </w:r>
      <w:r>
        <w:rPr>
          <w:color w:val="231F20"/>
          <w:spacing w:val="-5"/>
        </w:rPr>
        <w:t> </w:t>
      </w:r>
      <w:r>
        <w:rPr>
          <w:color w:val="231F20"/>
        </w:rPr>
        <w:t>internos</w:t>
      </w:r>
      <w:r>
        <w:rPr>
          <w:color w:val="231F20"/>
          <w:spacing w:val="-5"/>
        </w:rPr>
        <w:t> </w:t>
      </w:r>
      <w:r>
        <w:rPr>
          <w:color w:val="231F20"/>
        </w:rPr>
        <w:t>o</w:t>
      </w:r>
      <w:r>
        <w:rPr>
          <w:color w:val="231F20"/>
          <w:spacing w:val="-4"/>
        </w:rPr>
        <w:t> </w:t>
      </w:r>
      <w:r>
        <w:rPr>
          <w:color w:val="231F20"/>
        </w:rPr>
        <w:t>despla- zados es aún</w:t>
      </w:r>
      <w:r>
        <w:rPr>
          <w:color w:val="231F20"/>
          <w:spacing w:val="2"/>
        </w:rPr>
        <w:t> </w:t>
      </w:r>
      <w:r>
        <w:rPr>
          <w:color w:val="231F20"/>
          <w:spacing w:val="-3"/>
        </w:rPr>
        <w:t>mayor.</w:t>
      </w:r>
    </w:p>
    <w:p>
      <w:pPr>
        <w:pStyle w:val="BodyText"/>
        <w:spacing w:line="247" w:lineRule="auto"/>
        <w:ind w:left="117" w:right="115" w:firstLine="283"/>
        <w:jc w:val="both"/>
      </w:pPr>
      <w:r>
        <w:rPr>
          <w:color w:val="231F20"/>
        </w:rPr>
        <w:t>Al hablar de la migración internacional en el contexto actual, es indis- pensable reconocer que la migración es parte del engranaje del sistema neoliberal</w:t>
      </w:r>
      <w:r>
        <w:rPr>
          <w:color w:val="231F20"/>
          <w:spacing w:val="-9"/>
        </w:rPr>
        <w:t> </w:t>
      </w:r>
      <w:r>
        <w:rPr>
          <w:color w:val="231F20"/>
        </w:rPr>
        <w:t>y</w:t>
      </w:r>
      <w:r>
        <w:rPr>
          <w:color w:val="231F20"/>
          <w:spacing w:val="-9"/>
        </w:rPr>
        <w:t> </w:t>
      </w:r>
      <w:r>
        <w:rPr>
          <w:color w:val="231F20"/>
        </w:rPr>
        <w:t>que</w:t>
      </w:r>
      <w:r>
        <w:rPr>
          <w:color w:val="231F20"/>
          <w:spacing w:val="-9"/>
        </w:rPr>
        <w:t> </w:t>
      </w:r>
      <w:r>
        <w:rPr>
          <w:color w:val="231F20"/>
        </w:rPr>
        <w:t>su</w:t>
      </w:r>
      <w:r>
        <w:rPr>
          <w:color w:val="231F20"/>
          <w:spacing w:val="-9"/>
        </w:rPr>
        <w:t> </w:t>
      </w:r>
      <w:r>
        <w:rPr>
          <w:color w:val="231F20"/>
        </w:rPr>
        <w:t>lectura</w:t>
      </w:r>
      <w:r>
        <w:rPr>
          <w:color w:val="231F20"/>
          <w:spacing w:val="-10"/>
        </w:rPr>
        <w:t> </w:t>
      </w:r>
      <w:r>
        <w:rPr>
          <w:color w:val="231F20"/>
        </w:rPr>
        <w:t>requiere</w:t>
      </w:r>
      <w:r>
        <w:rPr>
          <w:color w:val="231F20"/>
          <w:spacing w:val="-9"/>
        </w:rPr>
        <w:t> </w:t>
      </w:r>
      <w:r>
        <w:rPr>
          <w:color w:val="231F20"/>
        </w:rPr>
        <w:t>considerar</w:t>
      </w:r>
      <w:r>
        <w:rPr>
          <w:color w:val="231F20"/>
          <w:spacing w:val="-10"/>
        </w:rPr>
        <w:t> </w:t>
      </w:r>
      <w:r>
        <w:rPr>
          <w:color w:val="231F20"/>
        </w:rPr>
        <w:t>sus</w:t>
      </w:r>
      <w:r>
        <w:rPr>
          <w:color w:val="231F20"/>
          <w:spacing w:val="-9"/>
        </w:rPr>
        <w:t> </w:t>
      </w:r>
      <w:r>
        <w:rPr>
          <w:color w:val="231F20"/>
        </w:rPr>
        <w:t>múltiples</w:t>
      </w:r>
      <w:r>
        <w:rPr>
          <w:color w:val="231F20"/>
          <w:spacing w:val="-10"/>
        </w:rPr>
        <w:t> </w:t>
      </w:r>
      <w:r>
        <w:rPr>
          <w:color w:val="231F20"/>
        </w:rPr>
        <w:t>dimensiones</w:t>
      </w:r>
      <w:r>
        <w:rPr>
          <w:color w:val="231F20"/>
          <w:spacing w:val="-9"/>
        </w:rPr>
        <w:t> </w:t>
      </w:r>
      <w:r>
        <w:rPr>
          <w:color w:val="231F20"/>
        </w:rPr>
        <w:t>y diversas formas, es decir, desde las diferentes perspectivas que den cabida al</w:t>
      </w:r>
      <w:r>
        <w:rPr>
          <w:color w:val="231F20"/>
          <w:spacing w:val="-9"/>
        </w:rPr>
        <w:t> </w:t>
      </w:r>
      <w:r>
        <w:rPr>
          <w:color w:val="231F20"/>
        </w:rPr>
        <w:t>análisis,</w:t>
      </w:r>
      <w:r>
        <w:rPr>
          <w:color w:val="231F20"/>
          <w:spacing w:val="-9"/>
        </w:rPr>
        <w:t> </w:t>
      </w:r>
      <w:r>
        <w:rPr>
          <w:color w:val="231F20"/>
        </w:rPr>
        <w:t>la</w:t>
      </w:r>
      <w:r>
        <w:rPr>
          <w:color w:val="231F20"/>
          <w:spacing w:val="-9"/>
        </w:rPr>
        <w:t> </w:t>
      </w:r>
      <w:r>
        <w:rPr>
          <w:color w:val="231F20"/>
        </w:rPr>
        <w:t>crítica</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consenso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metodología,</w:t>
      </w:r>
      <w:r>
        <w:rPr>
          <w:color w:val="231F20"/>
          <w:spacing w:val="-9"/>
        </w:rPr>
        <w:t> </w:t>
      </w:r>
      <w:r>
        <w:rPr>
          <w:color w:val="231F20"/>
        </w:rPr>
        <w:t>para</w:t>
      </w:r>
      <w:r>
        <w:rPr>
          <w:color w:val="231F20"/>
          <w:spacing w:val="-9"/>
        </w:rPr>
        <w:t> </w:t>
      </w:r>
      <w:r>
        <w:rPr>
          <w:color w:val="231F20"/>
        </w:rPr>
        <w:t>poder</w:t>
      </w:r>
      <w:r>
        <w:rPr>
          <w:color w:val="231F20"/>
          <w:spacing w:val="-9"/>
        </w:rPr>
        <w:t> </w:t>
      </w:r>
      <w:r>
        <w:rPr>
          <w:color w:val="231F20"/>
        </w:rPr>
        <w:t>identificar las asimetrías del desarrollo y la migración internacional en el contexto</w:t>
      </w:r>
      <w:r>
        <w:rPr>
          <w:color w:val="231F20"/>
          <w:spacing w:val="-19"/>
        </w:rPr>
        <w:t> </w:t>
      </w:r>
      <w:r>
        <w:rPr>
          <w:color w:val="231F20"/>
        </w:rPr>
        <w:t>de la globalización. Pero también la globalización y la tecnología van remo- delando la experiencia personal de un</w:t>
      </w:r>
      <w:r>
        <w:rPr>
          <w:color w:val="231F20"/>
          <w:spacing w:val="-1"/>
        </w:rPr>
        <w:t> </w:t>
      </w:r>
      <w:r>
        <w:rPr>
          <w:color w:val="231F20"/>
        </w:rPr>
        <w:t>migrante.</w:t>
      </w:r>
    </w:p>
    <w:p>
      <w:pPr>
        <w:pStyle w:val="BodyText"/>
        <w:spacing w:line="247" w:lineRule="auto"/>
        <w:ind w:left="117" w:right="114" w:firstLine="283"/>
        <w:jc w:val="both"/>
      </w:pPr>
      <w:r>
        <w:rPr>
          <w:color w:val="231F20"/>
        </w:rPr>
        <w:t>Estos y otros temas como migración y remesas, políticas migratorias, tratados</w:t>
      </w:r>
      <w:r>
        <w:rPr>
          <w:color w:val="231F20"/>
          <w:spacing w:val="-6"/>
        </w:rPr>
        <w:t> </w:t>
      </w:r>
      <w:r>
        <w:rPr>
          <w:color w:val="231F20"/>
        </w:rPr>
        <w:t>comerciales</w:t>
      </w:r>
      <w:r>
        <w:rPr>
          <w:color w:val="231F20"/>
          <w:spacing w:val="-6"/>
        </w:rPr>
        <w:t> </w:t>
      </w:r>
      <w:r>
        <w:rPr>
          <w:color w:val="231F20"/>
        </w:rPr>
        <w:t>y</w:t>
      </w:r>
      <w:r>
        <w:rPr>
          <w:color w:val="231F20"/>
          <w:spacing w:val="-5"/>
        </w:rPr>
        <w:t> </w:t>
      </w:r>
      <w:r>
        <w:rPr>
          <w:color w:val="231F20"/>
        </w:rPr>
        <w:t>migración,</w:t>
      </w:r>
      <w:r>
        <w:rPr>
          <w:color w:val="231F20"/>
          <w:spacing w:val="-5"/>
        </w:rPr>
        <w:t> </w:t>
      </w:r>
      <w:r>
        <w:rPr>
          <w:color w:val="231F20"/>
        </w:rPr>
        <w:t>el</w:t>
      </w:r>
      <w:r>
        <w:rPr>
          <w:color w:val="231F20"/>
          <w:spacing w:val="-5"/>
        </w:rPr>
        <w:t> </w:t>
      </w:r>
      <w:r>
        <w:rPr>
          <w:color w:val="231F20"/>
        </w:rPr>
        <w:t>mercado</w:t>
      </w:r>
      <w:r>
        <w:rPr>
          <w:color w:val="231F20"/>
          <w:spacing w:val="-6"/>
        </w:rPr>
        <w:t> </w:t>
      </w:r>
      <w:r>
        <w:rPr>
          <w:color w:val="231F20"/>
        </w:rPr>
        <w:t>de</w:t>
      </w:r>
      <w:r>
        <w:rPr>
          <w:color w:val="231F20"/>
          <w:spacing w:val="-5"/>
        </w:rPr>
        <w:t> </w:t>
      </w:r>
      <w:r>
        <w:rPr>
          <w:color w:val="231F20"/>
        </w:rPr>
        <w:t>trabajo</w:t>
      </w:r>
      <w:r>
        <w:rPr>
          <w:color w:val="231F20"/>
          <w:spacing w:val="-6"/>
        </w:rPr>
        <w:t> </w:t>
      </w:r>
      <w:r>
        <w:rPr>
          <w:color w:val="231F20"/>
        </w:rPr>
        <w:t>y</w:t>
      </w:r>
      <w:r>
        <w:rPr>
          <w:color w:val="231F20"/>
          <w:spacing w:val="-5"/>
        </w:rPr>
        <w:t> </w:t>
      </w:r>
      <w:r>
        <w:rPr>
          <w:color w:val="231F20"/>
        </w:rPr>
        <w:t>el</w:t>
      </w:r>
      <w:r>
        <w:rPr>
          <w:color w:val="231F20"/>
          <w:spacing w:val="-5"/>
        </w:rPr>
        <w:t> </w:t>
      </w:r>
      <w:r>
        <w:rPr>
          <w:color w:val="231F20"/>
        </w:rPr>
        <w:t>capital</w:t>
      </w:r>
      <w:r>
        <w:rPr>
          <w:color w:val="231F20"/>
          <w:spacing w:val="-6"/>
        </w:rPr>
        <w:t> </w:t>
      </w:r>
      <w:r>
        <w:rPr>
          <w:color w:val="231F20"/>
        </w:rPr>
        <w:t>huma- no, migración y voto desde el extranjero, migración y género, migración</w:t>
      </w:r>
      <w:r>
        <w:rPr>
          <w:color w:val="231F20"/>
          <w:spacing w:val="-26"/>
        </w:rPr>
        <w:t> </w:t>
      </w:r>
      <w:r>
        <w:rPr>
          <w:color w:val="231F20"/>
        </w:rPr>
        <w:t>y salud y migración y derechos humanos, son tratados en este</w:t>
      </w:r>
      <w:r>
        <w:rPr>
          <w:color w:val="231F20"/>
          <w:spacing w:val="-10"/>
        </w:rPr>
        <w:t> </w:t>
      </w:r>
      <w:r>
        <w:rPr>
          <w:color w:val="231F20"/>
        </w:rPr>
        <w:t>libro.</w:t>
      </w:r>
    </w:p>
    <w:p>
      <w:pPr>
        <w:pStyle w:val="BodyText"/>
        <w:spacing w:line="247" w:lineRule="auto"/>
        <w:ind w:left="117" w:right="115" w:firstLine="283"/>
        <w:jc w:val="both"/>
      </w:pPr>
      <w:r>
        <w:rPr>
          <w:color w:val="231F20"/>
        </w:rPr>
        <w:t>Sobre</w:t>
      </w:r>
      <w:r>
        <w:rPr>
          <w:color w:val="231F20"/>
          <w:spacing w:val="-5"/>
        </w:rPr>
        <w:t> </w:t>
      </w:r>
      <w:r>
        <w:rPr>
          <w:color w:val="231F20"/>
        </w:rPr>
        <w:t>estos</w:t>
      </w:r>
      <w:r>
        <w:rPr>
          <w:color w:val="231F20"/>
          <w:spacing w:val="-6"/>
        </w:rPr>
        <w:t> </w:t>
      </w:r>
      <w:r>
        <w:rPr>
          <w:color w:val="231F20"/>
        </w:rPr>
        <w:t>tópicos</w:t>
      </w:r>
      <w:r>
        <w:rPr>
          <w:color w:val="231F20"/>
          <w:spacing w:val="-6"/>
        </w:rPr>
        <w:t> </w:t>
      </w:r>
      <w:r>
        <w:rPr>
          <w:color w:val="231F20"/>
        </w:rPr>
        <w:t>es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compone</w:t>
      </w:r>
      <w:r>
        <w:rPr>
          <w:color w:val="231F20"/>
          <w:spacing w:val="-6"/>
        </w:rPr>
        <w:t> </w:t>
      </w:r>
      <w:r>
        <w:rPr>
          <w:color w:val="231F20"/>
        </w:rPr>
        <w:t>el</w:t>
      </w:r>
      <w:r>
        <w:rPr>
          <w:color w:val="231F20"/>
          <w:spacing w:val="-6"/>
        </w:rPr>
        <w:t> </w:t>
      </w:r>
      <w:r>
        <w:rPr>
          <w:color w:val="231F20"/>
        </w:rPr>
        <w:t>contenido</w:t>
      </w:r>
      <w:r>
        <w:rPr>
          <w:color w:val="231F20"/>
          <w:spacing w:val="-6"/>
        </w:rPr>
        <w:t> </w:t>
      </w:r>
      <w:r>
        <w:rPr>
          <w:color w:val="231F20"/>
        </w:rPr>
        <w:t>que</w:t>
      </w:r>
      <w:r>
        <w:rPr>
          <w:color w:val="231F20"/>
          <w:spacing w:val="-6"/>
        </w:rPr>
        <w:t> </w:t>
      </w:r>
      <w:r>
        <w:rPr>
          <w:color w:val="231F20"/>
        </w:rPr>
        <w:t>fue</w:t>
      </w:r>
      <w:r>
        <w:rPr>
          <w:color w:val="231F20"/>
          <w:spacing w:val="-6"/>
        </w:rPr>
        <w:t> </w:t>
      </w:r>
      <w:r>
        <w:rPr>
          <w:color w:val="231F20"/>
        </w:rPr>
        <w:t>organizado y</w:t>
      </w:r>
      <w:r>
        <w:rPr>
          <w:color w:val="231F20"/>
          <w:spacing w:val="-8"/>
        </w:rPr>
        <w:t> </w:t>
      </w:r>
      <w:r>
        <w:rPr>
          <w:color w:val="231F20"/>
        </w:rPr>
        <w:t>clasificado</w:t>
      </w:r>
      <w:r>
        <w:rPr>
          <w:color w:val="231F20"/>
          <w:spacing w:val="-9"/>
        </w:rPr>
        <w:t> </w:t>
      </w:r>
      <w:r>
        <w:rPr>
          <w:color w:val="231F20"/>
        </w:rPr>
        <w:t>a</w:t>
      </w:r>
      <w:r>
        <w:rPr>
          <w:color w:val="231F20"/>
          <w:spacing w:val="-9"/>
        </w:rPr>
        <w:t> </w:t>
      </w:r>
      <w:r>
        <w:rPr>
          <w:color w:val="231F20"/>
        </w:rPr>
        <w:t>partir</w:t>
      </w:r>
      <w:r>
        <w:rPr>
          <w:color w:val="231F20"/>
          <w:spacing w:val="-9"/>
        </w:rPr>
        <w:t> </w:t>
      </w:r>
      <w:r>
        <w:rPr>
          <w:color w:val="231F20"/>
        </w:rPr>
        <w:t>de</w:t>
      </w:r>
      <w:r>
        <w:rPr>
          <w:color w:val="231F20"/>
          <w:spacing w:val="-9"/>
        </w:rPr>
        <w:t> </w:t>
      </w:r>
      <w:r>
        <w:rPr>
          <w:color w:val="231F20"/>
        </w:rPr>
        <w:t>secciones</w:t>
      </w:r>
      <w:r>
        <w:rPr>
          <w:color w:val="231F20"/>
          <w:spacing w:val="-9"/>
        </w:rPr>
        <w:t> </w:t>
      </w:r>
      <w:r>
        <w:rPr>
          <w:color w:val="231F20"/>
        </w:rPr>
        <w:t>temáticas,</w:t>
      </w:r>
      <w:r>
        <w:rPr>
          <w:color w:val="231F20"/>
          <w:spacing w:val="-9"/>
        </w:rPr>
        <w:t> </w:t>
      </w:r>
      <w:r>
        <w:rPr>
          <w:color w:val="231F20"/>
        </w:rPr>
        <w:t>e</w:t>
      </w:r>
      <w:r>
        <w:rPr>
          <w:color w:val="231F20"/>
          <w:spacing w:val="-9"/>
        </w:rPr>
        <w:t> </w:t>
      </w:r>
      <w:r>
        <w:rPr>
          <w:color w:val="231F20"/>
        </w:rPr>
        <w:t>inicia</w:t>
      </w:r>
      <w:r>
        <w:rPr>
          <w:color w:val="231F20"/>
          <w:spacing w:val="-8"/>
        </w:rPr>
        <w:t> </w:t>
      </w:r>
      <w:r>
        <w:rPr/>
        <w:t>tocando</w:t>
      </w:r>
      <w:r>
        <w:rPr>
          <w:spacing w:val="-8"/>
        </w:rPr>
        <w:t> </w:t>
      </w:r>
      <w:r>
        <w:rPr/>
        <w:t>el</w:t>
      </w:r>
      <w:r>
        <w:rPr>
          <w:spacing w:val="-9"/>
        </w:rPr>
        <w:t> </w:t>
      </w:r>
      <w:r>
        <w:rPr/>
        <w:t>tema</w:t>
      </w:r>
      <w:r>
        <w:rPr>
          <w:spacing w:val="-9"/>
        </w:rPr>
        <w:t> </w:t>
      </w:r>
      <w:r>
        <w:rPr>
          <w:color w:val="231F20"/>
        </w:rPr>
        <w:t>de</w:t>
      </w:r>
      <w:r>
        <w:rPr>
          <w:color w:val="231F20"/>
          <w:spacing w:val="-8"/>
        </w:rPr>
        <w:t> </w:t>
      </w:r>
      <w:r>
        <w:rPr>
          <w:color w:val="231F20"/>
        </w:rPr>
        <w:t>los flujos migratorios ante la globalización económica mundial. </w:t>
      </w:r>
      <w:r>
        <w:rPr/>
        <w:t>Al respecto</w:t>
      </w:r>
      <w:r>
        <w:rPr>
          <w:color w:val="231F20"/>
        </w:rPr>
        <w:t>, expone que la globalización y el contexto influyen en los nuevos patrones de la migración internacional. Los cambios en la geografía de las  </w:t>
      </w:r>
      <w:r>
        <w:rPr>
          <w:color w:val="231F20"/>
          <w:spacing w:val="34"/>
        </w:rPr>
        <w:t> </w:t>
      </w:r>
      <w:r>
        <w:rPr>
          <w:color w:val="231F20"/>
        </w:rPr>
        <w:t>migra-</w:t>
      </w:r>
    </w:p>
    <w:p>
      <w:pPr>
        <w:spacing w:after="0" w:line="247" w:lineRule="auto"/>
        <w:jc w:val="both"/>
        <w:sectPr>
          <w:pgSz w:w="9360" w:h="13040"/>
          <w:pgMar w:header="0" w:footer="496" w:top="1200" w:bottom="680" w:left="1300" w:right="1300"/>
        </w:sectPr>
      </w:pPr>
    </w:p>
    <w:p>
      <w:pPr>
        <w:pStyle w:val="BodyText"/>
        <w:spacing w:line="247" w:lineRule="auto" w:before="145"/>
        <w:ind w:left="117" w:right="114"/>
        <w:jc w:val="both"/>
      </w:pPr>
      <w:r>
        <w:rPr>
          <w:color w:val="231F20"/>
        </w:rPr>
        <w:t>ciones</w:t>
      </w:r>
      <w:r>
        <w:rPr>
          <w:color w:val="231F20"/>
          <w:spacing w:val="-11"/>
        </w:rPr>
        <w:t> </w:t>
      </w:r>
      <w:r>
        <w:rPr>
          <w:color w:val="231F20"/>
        </w:rPr>
        <w:t>han</w:t>
      </w:r>
      <w:r>
        <w:rPr>
          <w:color w:val="231F20"/>
          <w:spacing w:val="-10"/>
        </w:rPr>
        <w:t> </w:t>
      </w:r>
      <w:r>
        <w:rPr>
          <w:color w:val="231F20"/>
        </w:rPr>
        <w:t>supuesto</w:t>
      </w:r>
      <w:r>
        <w:rPr>
          <w:color w:val="231F20"/>
          <w:spacing w:val="-10"/>
        </w:rPr>
        <w:t> </w:t>
      </w:r>
      <w:r>
        <w:rPr>
          <w:color w:val="231F20"/>
        </w:rPr>
        <w:t>la</w:t>
      </w:r>
      <w:r>
        <w:rPr>
          <w:color w:val="231F20"/>
          <w:spacing w:val="-11"/>
        </w:rPr>
        <w:t> </w:t>
      </w:r>
      <w:r>
        <w:rPr>
          <w:color w:val="231F20"/>
        </w:rPr>
        <w:t>mundialización</w:t>
      </w:r>
      <w:r>
        <w:rPr>
          <w:color w:val="231F20"/>
          <w:spacing w:val="-11"/>
        </w:rPr>
        <w:t> </w:t>
      </w:r>
      <w:r>
        <w:rPr>
          <w:color w:val="231F20"/>
        </w:rPr>
        <w:t>de</w:t>
      </w:r>
      <w:r>
        <w:rPr>
          <w:color w:val="231F20"/>
          <w:spacing w:val="-10"/>
        </w:rPr>
        <w:t> </w:t>
      </w:r>
      <w:r>
        <w:rPr>
          <w:color w:val="231F20"/>
        </w:rPr>
        <w:t>las</w:t>
      </w:r>
      <w:r>
        <w:rPr>
          <w:color w:val="231F20"/>
          <w:spacing w:val="-10"/>
        </w:rPr>
        <w:t> </w:t>
      </w:r>
      <w:r>
        <w:rPr>
          <w:color w:val="231F20"/>
        </w:rPr>
        <w:t>mismas</w:t>
      </w:r>
      <w:r>
        <w:rPr>
          <w:color w:val="231F20"/>
          <w:spacing w:val="-10"/>
        </w:rPr>
        <w:t> </w:t>
      </w:r>
      <w:r>
        <w:rPr/>
        <w:t>y</w:t>
      </w:r>
      <w:r>
        <w:rPr>
          <w:spacing w:val="-10"/>
        </w:rPr>
        <w:t> </w:t>
      </w:r>
      <w:r>
        <w:rPr>
          <w:color w:val="231F20"/>
        </w:rPr>
        <w:t>ningún</w:t>
      </w:r>
      <w:r>
        <w:rPr>
          <w:color w:val="231F20"/>
          <w:spacing w:val="-10"/>
        </w:rPr>
        <w:t> </w:t>
      </w:r>
      <w:r>
        <w:rPr>
          <w:color w:val="231F20"/>
        </w:rPr>
        <w:t>otro</w:t>
      </w:r>
      <w:r>
        <w:rPr>
          <w:color w:val="231F20"/>
          <w:spacing w:val="-10"/>
        </w:rPr>
        <w:t> </w:t>
      </w:r>
      <w:r>
        <w:rPr>
          <w:color w:val="231F20"/>
        </w:rPr>
        <w:t>cambio ha sido tan influyente como éste en la configuración de un nuevo orden migratorio internacional en el curso de las últimas</w:t>
      </w:r>
      <w:r>
        <w:rPr>
          <w:color w:val="231F20"/>
          <w:spacing w:val="-5"/>
        </w:rPr>
        <w:t> </w:t>
      </w:r>
      <w:r>
        <w:rPr>
          <w:color w:val="231F20"/>
        </w:rPr>
        <w:t>décadas.</w:t>
      </w:r>
    </w:p>
    <w:p>
      <w:pPr>
        <w:pStyle w:val="BodyText"/>
        <w:spacing w:line="247" w:lineRule="auto"/>
        <w:ind w:left="117" w:right="114" w:firstLine="283"/>
        <w:jc w:val="both"/>
      </w:pPr>
      <w:r>
        <w:rPr>
          <w:color w:val="231F20"/>
        </w:rPr>
        <w:t>Las migraciones internacionales se han mundializado en un doble sen- tido, ya que la mayoría de los países del planeta participan en ellas y las personas</w:t>
      </w:r>
      <w:r>
        <w:rPr>
          <w:color w:val="231F20"/>
          <w:spacing w:val="-8"/>
        </w:rPr>
        <w:t> </w:t>
      </w:r>
      <w:r>
        <w:rPr>
          <w:color w:val="231F20"/>
        </w:rPr>
        <w:t>van</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parte</w:t>
      </w:r>
      <w:r>
        <w:rPr>
          <w:color w:val="231F20"/>
          <w:spacing w:val="-8"/>
        </w:rPr>
        <w:t> </w:t>
      </w:r>
      <w:r>
        <w:rPr>
          <w:color w:val="231F20"/>
        </w:rPr>
        <w:t>a</w:t>
      </w:r>
      <w:r>
        <w:rPr>
          <w:color w:val="231F20"/>
          <w:spacing w:val="-8"/>
        </w:rPr>
        <w:t> </w:t>
      </w:r>
      <w:r>
        <w:rPr>
          <w:color w:val="231F20"/>
        </w:rPr>
        <w:t>otra.</w:t>
      </w:r>
      <w:r>
        <w:rPr>
          <w:color w:val="231F20"/>
          <w:spacing w:val="-8"/>
        </w:rPr>
        <w:t> </w:t>
      </w:r>
      <w:r>
        <w:rPr>
          <w:color w:val="231F20"/>
        </w:rPr>
        <w:t>En</w:t>
      </w:r>
      <w:r>
        <w:rPr>
          <w:color w:val="231F20"/>
          <w:spacing w:val="-8"/>
        </w:rPr>
        <w:t> </w:t>
      </w:r>
      <w:r>
        <w:rPr>
          <w:color w:val="231F20"/>
        </w:rPr>
        <w:t>este</w:t>
      </w:r>
      <w:r>
        <w:rPr>
          <w:color w:val="231F20"/>
          <w:spacing w:val="-8"/>
        </w:rPr>
        <w:t> </w:t>
      </w:r>
      <w:r>
        <w:rPr>
          <w:color w:val="231F20"/>
        </w:rPr>
        <w:t>contexto</w:t>
      </w:r>
      <w:r>
        <w:rPr>
          <w:color w:val="1A1A1A"/>
        </w:rPr>
        <w:t>,</w:t>
      </w:r>
      <w:r>
        <w:rPr>
          <w:color w:val="1A1A1A"/>
          <w:spacing w:val="-8"/>
        </w:rPr>
        <w:t> </w:t>
      </w:r>
      <w:r>
        <w:rPr>
          <w:color w:val="231F20"/>
        </w:rPr>
        <w:t>hoy</w:t>
      </w:r>
      <w:r>
        <w:rPr>
          <w:color w:val="231F20"/>
          <w:spacing w:val="-8"/>
        </w:rPr>
        <w:t> </w:t>
      </w:r>
      <w:r>
        <w:rPr>
          <w:color w:val="231F20"/>
        </w:rPr>
        <w:t>en</w:t>
      </w:r>
      <w:r>
        <w:rPr>
          <w:color w:val="231F20"/>
          <w:spacing w:val="-8"/>
        </w:rPr>
        <w:t> </w:t>
      </w:r>
      <w:r>
        <w:rPr>
          <w:color w:val="231F20"/>
        </w:rPr>
        <w:t>día</w:t>
      </w:r>
      <w:r>
        <w:rPr>
          <w:color w:val="231F20"/>
          <w:spacing w:val="-8"/>
        </w:rPr>
        <w:t> </w:t>
      </w:r>
      <w:r>
        <w:rPr>
          <w:color w:val="231F20"/>
        </w:rPr>
        <w:t>se</w:t>
      </w:r>
      <w:r>
        <w:rPr>
          <w:color w:val="231F20"/>
          <w:spacing w:val="-8"/>
        </w:rPr>
        <w:t> </w:t>
      </w:r>
      <w:r>
        <w:rPr>
          <w:color w:val="231F20"/>
        </w:rPr>
        <w:t>reconocen nuevas reconfiguraciones de la migración internacional en el mundo. Para el caso de España, el trabajo de Lucila Godínez Montoya, trata sobre la cada vez mayor migración latinoamericana hacia aquel</w:t>
      </w:r>
      <w:r>
        <w:rPr>
          <w:color w:val="231F20"/>
          <w:spacing w:val="-5"/>
        </w:rPr>
        <w:t> </w:t>
      </w:r>
      <w:r>
        <w:rPr>
          <w:color w:val="231F20"/>
        </w:rPr>
        <w:t>país.</w:t>
      </w:r>
    </w:p>
    <w:p>
      <w:pPr>
        <w:spacing w:line="247" w:lineRule="auto" w:before="0"/>
        <w:ind w:left="117" w:right="114" w:firstLine="283"/>
        <w:jc w:val="both"/>
        <w:rPr>
          <w:sz w:val="22"/>
        </w:rPr>
      </w:pPr>
      <w:r>
        <w:rPr>
          <w:sz w:val="22"/>
        </w:rPr>
        <w:t>En la segunda sección del libro </w:t>
      </w:r>
      <w:r>
        <w:rPr>
          <w:color w:val="231F20"/>
          <w:sz w:val="22"/>
        </w:rPr>
        <w:t>se discute sobre migrantes y remesas en la economía de América Latina. Con esta temática y con la globaliza- ción</w:t>
      </w:r>
      <w:r>
        <w:rPr>
          <w:color w:val="FF3333"/>
          <w:sz w:val="22"/>
        </w:rPr>
        <w:t>,</w:t>
      </w:r>
      <w:r>
        <w:rPr>
          <w:color w:val="FF3333"/>
          <w:spacing w:val="-7"/>
          <w:sz w:val="22"/>
        </w:rPr>
        <w:t> </w:t>
      </w:r>
      <w:r>
        <w:rPr>
          <w:color w:val="231F20"/>
          <w:sz w:val="22"/>
        </w:rPr>
        <w:t>Ramiro</w:t>
      </w:r>
      <w:r>
        <w:rPr>
          <w:color w:val="231F20"/>
          <w:spacing w:val="-7"/>
          <w:sz w:val="22"/>
        </w:rPr>
        <w:t> </w:t>
      </w:r>
      <w:r>
        <w:rPr>
          <w:color w:val="231F20"/>
          <w:sz w:val="22"/>
        </w:rPr>
        <w:t>Morales</w:t>
      </w:r>
      <w:r>
        <w:rPr>
          <w:color w:val="231F20"/>
          <w:spacing w:val="-7"/>
          <w:sz w:val="22"/>
        </w:rPr>
        <w:t> </w:t>
      </w:r>
      <w:r>
        <w:rPr>
          <w:color w:val="231F20"/>
          <w:sz w:val="22"/>
        </w:rPr>
        <w:t>Hernández</w:t>
      </w:r>
      <w:r>
        <w:rPr>
          <w:color w:val="FF3333"/>
          <w:sz w:val="22"/>
        </w:rPr>
        <w:t>,</w:t>
      </w:r>
      <w:r>
        <w:rPr>
          <w:color w:val="FF3333"/>
          <w:spacing w:val="-7"/>
          <w:sz w:val="22"/>
        </w:rPr>
        <w:t> </w:t>
      </w:r>
      <w:r>
        <w:rPr>
          <w:color w:val="231F20"/>
          <w:sz w:val="22"/>
        </w:rPr>
        <w:t>de</w:t>
      </w:r>
      <w:r>
        <w:rPr>
          <w:color w:val="231F20"/>
          <w:spacing w:val="-7"/>
          <w:sz w:val="22"/>
        </w:rPr>
        <w:t> </w:t>
      </w:r>
      <w:r>
        <w:rPr>
          <w:color w:val="231F20"/>
          <w:sz w:val="22"/>
        </w:rPr>
        <w:t>la</w:t>
      </w:r>
      <w:r>
        <w:rPr>
          <w:color w:val="231F20"/>
          <w:spacing w:val="-7"/>
          <w:sz w:val="22"/>
        </w:rPr>
        <w:t> </w:t>
      </w:r>
      <w:r>
        <w:rPr>
          <w:color w:val="231F20"/>
          <w:sz w:val="22"/>
        </w:rPr>
        <w:t>Universidad</w:t>
      </w:r>
      <w:r>
        <w:rPr>
          <w:color w:val="231F20"/>
          <w:spacing w:val="-17"/>
          <w:sz w:val="22"/>
        </w:rPr>
        <w:t> </w:t>
      </w:r>
      <w:r>
        <w:rPr>
          <w:color w:val="231F20"/>
          <w:sz w:val="22"/>
        </w:rPr>
        <w:t>Autónoma</w:t>
      </w:r>
      <w:r>
        <w:rPr>
          <w:color w:val="231F20"/>
          <w:spacing w:val="-7"/>
          <w:sz w:val="22"/>
        </w:rPr>
        <w:t> </w:t>
      </w:r>
      <w:r>
        <w:rPr>
          <w:color w:val="231F20"/>
          <w:sz w:val="22"/>
        </w:rPr>
        <w:t>del</w:t>
      </w:r>
      <w:r>
        <w:rPr>
          <w:color w:val="231F20"/>
          <w:spacing w:val="-7"/>
          <w:sz w:val="22"/>
        </w:rPr>
        <w:t> </w:t>
      </w:r>
      <w:r>
        <w:rPr>
          <w:color w:val="231F20"/>
          <w:sz w:val="22"/>
        </w:rPr>
        <w:t>Estado de Guerrero</w:t>
      </w:r>
      <w:r>
        <w:rPr>
          <w:color w:val="1A1A1A"/>
          <w:sz w:val="22"/>
        </w:rPr>
        <w:t>, </w:t>
      </w:r>
      <w:r>
        <w:rPr>
          <w:color w:val="231F20"/>
          <w:sz w:val="22"/>
        </w:rPr>
        <w:t>en su trabajo denominado </w:t>
      </w:r>
      <w:r>
        <w:rPr>
          <w:i/>
          <w:sz w:val="22"/>
        </w:rPr>
        <w:t>Globalización y emigración lati- </w:t>
      </w:r>
      <w:r>
        <w:rPr>
          <w:i/>
          <w:sz w:val="22"/>
        </w:rPr>
        <w:t>noamericana y caribeña hacia Estados Unidos: tendencia y magnitudes, </w:t>
      </w:r>
      <w:r>
        <w:rPr>
          <w:color w:val="231F20"/>
          <w:sz w:val="22"/>
        </w:rPr>
        <w:t>explica la globalización</w:t>
      </w:r>
      <w:r>
        <w:rPr>
          <w:color w:val="231F20"/>
          <w:spacing w:val="-12"/>
          <w:sz w:val="22"/>
        </w:rPr>
        <w:t> </w:t>
      </w:r>
      <w:r>
        <w:rPr>
          <w:color w:val="231F20"/>
          <w:sz w:val="22"/>
        </w:rPr>
        <w:t>segmentada.</w:t>
      </w:r>
    </w:p>
    <w:p>
      <w:pPr>
        <w:pStyle w:val="BodyText"/>
        <w:spacing w:line="247" w:lineRule="auto"/>
        <w:ind w:left="117" w:right="114" w:firstLine="283"/>
        <w:jc w:val="both"/>
      </w:pPr>
      <w:r>
        <w:rPr>
          <w:color w:val="231F20"/>
        </w:rPr>
        <w:t>En este escenario se ubica el trabajo de William Mejía Ochoa y </w:t>
      </w:r>
      <w:r>
        <w:rPr>
          <w:color w:val="231F20"/>
          <w:spacing w:val="-6"/>
        </w:rPr>
        <w:t>Yeim </w:t>
      </w:r>
      <w:r>
        <w:rPr>
          <w:color w:val="231F20"/>
        </w:rPr>
        <w:t>Castro, investigadores de la Universidad Tecnológica de Pereira, Colom- bia y El Colegio de México</w:t>
      </w:r>
      <w:r>
        <w:rPr>
          <w:color w:val="FF3333"/>
        </w:rPr>
        <w:t>, </w:t>
      </w:r>
      <w:r>
        <w:rPr>
          <w:color w:val="231F20"/>
        </w:rPr>
        <w:t>cuyo documento versa sobre la migración de retorno. Dichos autores se proponen analizar el regreso de un migrante internacional</w:t>
      </w:r>
      <w:r>
        <w:rPr>
          <w:color w:val="231F20"/>
          <w:spacing w:val="-10"/>
        </w:rPr>
        <w:t> </w:t>
      </w:r>
      <w:r>
        <w:rPr>
          <w:color w:val="231F20"/>
        </w:rPr>
        <w:t>a</w:t>
      </w:r>
      <w:r>
        <w:rPr>
          <w:color w:val="231F20"/>
          <w:spacing w:val="-10"/>
        </w:rPr>
        <w:t> </w:t>
      </w:r>
      <w:r>
        <w:rPr>
          <w:color w:val="231F20"/>
        </w:rPr>
        <w:t>su</w:t>
      </w:r>
      <w:r>
        <w:rPr>
          <w:color w:val="231F20"/>
          <w:spacing w:val="-10"/>
        </w:rPr>
        <w:t> </w:t>
      </w:r>
      <w:r>
        <w:rPr>
          <w:color w:val="231F20"/>
        </w:rPr>
        <w:t>país</w:t>
      </w:r>
      <w:r>
        <w:rPr>
          <w:color w:val="231F20"/>
          <w:spacing w:val="-10"/>
        </w:rPr>
        <w:t> </w:t>
      </w:r>
      <w:r>
        <w:rPr>
          <w:color w:val="231F20"/>
        </w:rPr>
        <w:t>de</w:t>
      </w:r>
      <w:r>
        <w:rPr>
          <w:color w:val="231F20"/>
          <w:spacing w:val="-10"/>
        </w:rPr>
        <w:t> </w:t>
      </w:r>
      <w:r>
        <w:rPr>
          <w:color w:val="231F20"/>
        </w:rPr>
        <w:t>origen,</w:t>
      </w:r>
      <w:r>
        <w:rPr>
          <w:color w:val="231F20"/>
          <w:spacing w:val="-10"/>
        </w:rPr>
        <w:t> </w:t>
      </w:r>
      <w:r>
        <w:rPr>
          <w:color w:val="231F20"/>
        </w:rPr>
        <w:t>con</w:t>
      </w:r>
      <w:r>
        <w:rPr>
          <w:color w:val="231F20"/>
          <w:spacing w:val="-10"/>
        </w:rPr>
        <w:t> </w:t>
      </w:r>
      <w:r>
        <w:rPr>
          <w:color w:val="231F20"/>
        </w:rPr>
        <w:t>intención</w:t>
      </w:r>
      <w:r>
        <w:rPr>
          <w:color w:val="231F20"/>
          <w:spacing w:val="-10"/>
        </w:rPr>
        <w:t> </w:t>
      </w:r>
      <w:r>
        <w:rPr>
          <w:color w:val="231F20"/>
        </w:rPr>
        <w:t>de</w:t>
      </w:r>
      <w:r>
        <w:rPr>
          <w:color w:val="231F20"/>
          <w:spacing w:val="-10"/>
        </w:rPr>
        <w:t> </w:t>
      </w:r>
      <w:r>
        <w:rPr>
          <w:color w:val="231F20"/>
        </w:rPr>
        <w:t>restablecer</w:t>
      </w:r>
      <w:r>
        <w:rPr>
          <w:color w:val="231F20"/>
          <w:spacing w:val="-10"/>
        </w:rPr>
        <w:t> </w:t>
      </w:r>
      <w:r>
        <w:rPr>
          <w:color w:val="231F20"/>
        </w:rPr>
        <w:t>su</w:t>
      </w:r>
      <w:r>
        <w:rPr>
          <w:color w:val="231F20"/>
          <w:spacing w:val="-10"/>
        </w:rPr>
        <w:t> </w:t>
      </w:r>
      <w:r>
        <w:rPr>
          <w:color w:val="231F20"/>
        </w:rPr>
        <w:t>residencia en éste, independientemente de la duración de su estadía en el exterior y de la eventualidad de una reemigración posterior. Es clave aquí, entonces, la intencionalidad del individuo para la inclusión en el retorno, que con- templa, como caso extremo, la situación de quienes regresan luego de ser “inadmitidos” en el país hacia el cual partieron o reemigran pocos días después</w:t>
      </w:r>
      <w:r>
        <w:rPr>
          <w:color w:val="231F20"/>
          <w:spacing w:val="-6"/>
        </w:rPr>
        <w:t> </w:t>
      </w:r>
      <w:r>
        <w:rPr>
          <w:color w:val="231F20"/>
        </w:rPr>
        <w:t>de</w:t>
      </w:r>
      <w:r>
        <w:rPr>
          <w:color w:val="231F20"/>
          <w:spacing w:val="-6"/>
        </w:rPr>
        <w:t> </w:t>
      </w:r>
      <w:r>
        <w:rPr>
          <w:color w:val="231F20"/>
        </w:rPr>
        <w:t>haber</w:t>
      </w:r>
      <w:r>
        <w:rPr>
          <w:color w:val="231F20"/>
          <w:spacing w:val="-6"/>
        </w:rPr>
        <w:t> </w:t>
      </w:r>
      <w:r>
        <w:rPr>
          <w:color w:val="231F20"/>
        </w:rPr>
        <w:t>regresado,</w:t>
      </w:r>
      <w:r>
        <w:rPr>
          <w:color w:val="231F20"/>
          <w:spacing w:val="-7"/>
        </w:rPr>
        <w:t> </w:t>
      </w:r>
      <w:r>
        <w:rPr>
          <w:color w:val="231F20"/>
        </w:rPr>
        <w:t>lo</w:t>
      </w:r>
      <w:r>
        <w:rPr>
          <w:color w:val="231F20"/>
          <w:spacing w:val="-6"/>
        </w:rPr>
        <w:t> </w:t>
      </w:r>
      <w:r>
        <w:rPr>
          <w:color w:val="231F20"/>
        </w:rPr>
        <w:t>cual</w:t>
      </w:r>
      <w:r>
        <w:rPr>
          <w:color w:val="231F20"/>
          <w:spacing w:val="-7"/>
        </w:rPr>
        <w:t> </w:t>
      </w:r>
      <w:r>
        <w:rPr>
          <w:color w:val="231F20"/>
        </w:rPr>
        <w:t>significa</w:t>
      </w:r>
      <w:r>
        <w:rPr>
          <w:color w:val="231F20"/>
          <w:spacing w:val="-6"/>
        </w:rPr>
        <w:t> </w:t>
      </w:r>
      <w:r>
        <w:rPr>
          <w:color w:val="231F20"/>
        </w:rPr>
        <w:t>que</w:t>
      </w:r>
      <w:r>
        <w:rPr>
          <w:color w:val="231F20"/>
          <w:spacing w:val="-6"/>
        </w:rPr>
        <w:t> </w:t>
      </w:r>
      <w:r>
        <w:rPr>
          <w:color w:val="231F20"/>
        </w:rPr>
        <w:t>la</w:t>
      </w:r>
      <w:r>
        <w:rPr>
          <w:color w:val="231F20"/>
          <w:spacing w:val="-7"/>
        </w:rPr>
        <w:t> </w:t>
      </w:r>
      <w:r>
        <w:rPr>
          <w:color w:val="231F20"/>
        </w:rPr>
        <w:t>emigración</w:t>
      </w:r>
      <w:r>
        <w:rPr>
          <w:color w:val="231F20"/>
          <w:spacing w:val="-7"/>
        </w:rPr>
        <w:t> </w:t>
      </w:r>
      <w:r>
        <w:rPr>
          <w:color w:val="231F20"/>
        </w:rPr>
        <w:t>no</w:t>
      </w:r>
      <w:r>
        <w:rPr>
          <w:color w:val="231F20"/>
          <w:spacing w:val="-6"/>
        </w:rPr>
        <w:t> </w:t>
      </w:r>
      <w:r>
        <w:rPr>
          <w:color w:val="231F20"/>
        </w:rPr>
        <w:t>siempre es un boleto sin</w:t>
      </w:r>
      <w:r>
        <w:rPr>
          <w:color w:val="231F20"/>
          <w:spacing w:val="-3"/>
        </w:rPr>
        <w:t> </w:t>
      </w:r>
      <w:r>
        <w:rPr>
          <w:color w:val="231F20"/>
        </w:rPr>
        <w:t>regreso.</w:t>
      </w:r>
    </w:p>
    <w:p>
      <w:pPr>
        <w:pStyle w:val="BodyText"/>
        <w:spacing w:line="247" w:lineRule="auto"/>
        <w:ind w:left="117" w:right="115" w:firstLine="283"/>
        <w:jc w:val="both"/>
      </w:pPr>
      <w:r>
        <w:rPr>
          <w:color w:val="231F20"/>
        </w:rPr>
        <w:t>En esta misma línea</w:t>
      </w:r>
      <w:r>
        <w:rPr>
          <w:color w:val="FF3333"/>
        </w:rPr>
        <w:t>, </w:t>
      </w:r>
      <w:r>
        <w:rPr>
          <w:color w:val="231F20"/>
        </w:rPr>
        <w:t>el trabajo de Luz María López Montaño</w:t>
      </w:r>
      <w:r>
        <w:rPr>
          <w:color w:val="FF3333"/>
        </w:rPr>
        <w:t>, </w:t>
      </w:r>
      <w:r>
        <w:rPr>
          <w:color w:val="231F20"/>
        </w:rPr>
        <w:t>de la Universidad de Manizales, Colombia, expone la experiencia de familias transnacionales y reconoce los retos para su conceptualización en la agen- da de la política en el eje cafetero de Colombia.</w:t>
      </w:r>
    </w:p>
    <w:p>
      <w:pPr>
        <w:pStyle w:val="BodyText"/>
        <w:spacing w:line="247" w:lineRule="auto"/>
        <w:ind w:left="117" w:right="115" w:firstLine="283"/>
        <w:jc w:val="both"/>
      </w:pPr>
      <w:r>
        <w:rPr/>
        <w:t>Por</w:t>
      </w:r>
      <w:r>
        <w:rPr>
          <w:spacing w:val="-10"/>
        </w:rPr>
        <w:t> </w:t>
      </w:r>
      <w:r>
        <w:rPr/>
        <w:t>su</w:t>
      </w:r>
      <w:r>
        <w:rPr>
          <w:spacing w:val="-10"/>
        </w:rPr>
        <w:t> </w:t>
      </w:r>
      <w:r>
        <w:rPr/>
        <w:t>parte,</w:t>
      </w:r>
      <w:r>
        <w:rPr>
          <w:spacing w:val="-10"/>
        </w:rPr>
        <w:t> </w:t>
      </w:r>
      <w:r>
        <w:rPr>
          <w:color w:val="231F20"/>
        </w:rPr>
        <w:t>Manuel</w:t>
      </w:r>
      <w:r>
        <w:rPr>
          <w:color w:val="231F20"/>
          <w:spacing w:val="-21"/>
        </w:rPr>
        <w:t> </w:t>
      </w:r>
      <w:r>
        <w:rPr>
          <w:color w:val="231F20"/>
        </w:rPr>
        <w:t>Antonio</w:t>
      </w:r>
      <w:r>
        <w:rPr>
          <w:color w:val="231F20"/>
          <w:spacing w:val="-10"/>
        </w:rPr>
        <w:t> </w:t>
      </w:r>
      <w:r>
        <w:rPr>
          <w:color w:val="231F20"/>
        </w:rPr>
        <w:t>Flores</w:t>
      </w:r>
      <w:r>
        <w:rPr>
          <w:color w:val="231F20"/>
          <w:spacing w:val="-10"/>
        </w:rPr>
        <w:t> </w:t>
      </w:r>
      <w:r>
        <w:rPr>
          <w:color w:val="231F20"/>
        </w:rPr>
        <w:t>Fonseca</w:t>
      </w:r>
      <w:r>
        <w:rPr>
          <w:color w:val="1A1A1A"/>
        </w:rPr>
        <w:t>,</w:t>
      </w:r>
      <w:r>
        <w:rPr>
          <w:color w:val="1A1A1A"/>
          <w:spacing w:val="-10"/>
        </w:rPr>
        <w:t> </w:t>
      </w:r>
      <w:r>
        <w:rPr>
          <w:color w:val="231F20"/>
        </w:rPr>
        <w:t>de</w:t>
      </w:r>
      <w:r>
        <w:rPr>
          <w:color w:val="231F20"/>
          <w:spacing w:val="-10"/>
        </w:rPr>
        <w:t> </w:t>
      </w:r>
      <w:r>
        <w:rPr>
          <w:color w:val="231F20"/>
        </w:rPr>
        <w:t>la</w:t>
      </w:r>
      <w:r>
        <w:rPr>
          <w:color w:val="231F20"/>
          <w:spacing w:val="-10"/>
        </w:rPr>
        <w:t> </w:t>
      </w:r>
      <w:r>
        <w:rPr>
          <w:color w:val="231F20"/>
        </w:rPr>
        <w:t>Universidad</w:t>
      </w:r>
      <w:r>
        <w:rPr>
          <w:color w:val="231F20"/>
          <w:spacing w:val="-9"/>
        </w:rPr>
        <w:t> </w:t>
      </w:r>
      <w:r>
        <w:rPr>
          <w:color w:val="231F20"/>
        </w:rPr>
        <w:t>Nacio- nal de Honduras, expone la experiencia hondureña y los factores contex- tuales de la emigración y Luis Raúl Ortiz Ramírez analiza el contexto de los derechos humanos de la migración en tránsito en el</w:t>
      </w:r>
      <w:r>
        <w:rPr>
          <w:color w:val="231F20"/>
          <w:spacing w:val="-5"/>
        </w:rPr>
        <w:t> </w:t>
      </w:r>
      <w:r>
        <w:rPr>
          <w:color w:val="231F20"/>
        </w:rPr>
        <w:t>país.</w:t>
      </w:r>
    </w:p>
    <w:p>
      <w:pPr>
        <w:pStyle w:val="BodyText"/>
        <w:spacing w:line="247" w:lineRule="auto"/>
        <w:ind w:left="117" w:right="115" w:firstLine="283"/>
        <w:jc w:val="both"/>
      </w:pPr>
      <w:r>
        <w:rPr>
          <w:color w:val="231F20"/>
        </w:rPr>
        <w:t>En su tercera sección, la publicación trata sobre migrantes y remesas en la economía local. Es el caso del ensayo de Esther Figueroa Hernán- dez y sus coautores de la Universidad Autónoma del Estado de México (UAEM), quienes analizan la participación de los migrantes</w:t>
      </w:r>
      <w:r>
        <w:rPr>
          <w:color w:val="231F20"/>
          <w:spacing w:val="-27"/>
        </w:rPr>
        <w:t> </w:t>
      </w:r>
      <w:r>
        <w:rPr>
          <w:color w:val="231F20"/>
        </w:rPr>
        <w:t>indocumenta-</w:t>
      </w:r>
    </w:p>
    <w:p>
      <w:pPr>
        <w:spacing w:after="0" w:line="247" w:lineRule="auto"/>
        <w:jc w:val="both"/>
        <w:sectPr>
          <w:pgSz w:w="9360" w:h="13040"/>
          <w:pgMar w:header="0" w:footer="496" w:top="1200" w:bottom="680" w:left="1300" w:right="1300"/>
        </w:sectPr>
      </w:pPr>
    </w:p>
    <w:p>
      <w:pPr>
        <w:pStyle w:val="BodyText"/>
        <w:spacing w:line="247" w:lineRule="auto" w:before="145"/>
        <w:ind w:left="117" w:right="114"/>
        <w:jc w:val="both"/>
      </w:pPr>
      <w:r>
        <w:rPr>
          <w:color w:val="231F20"/>
        </w:rPr>
        <w:t>dos mexicanos en la economía norteamericana, mediante su contribución al</w:t>
      </w:r>
      <w:r>
        <w:rPr>
          <w:color w:val="231F20"/>
          <w:spacing w:val="-4"/>
        </w:rPr>
        <w:t> </w:t>
      </w:r>
      <w:r>
        <w:rPr/>
        <w:t>P</w:t>
      </w:r>
      <w:r>
        <w:rPr>
          <w:color w:val="231F20"/>
        </w:rPr>
        <w:t>roducto</w:t>
      </w:r>
      <w:r>
        <w:rPr>
          <w:color w:val="231F20"/>
          <w:spacing w:val="-4"/>
        </w:rPr>
        <w:t> </w:t>
      </w:r>
      <w:r>
        <w:rPr/>
        <w:t>I</w:t>
      </w:r>
      <w:r>
        <w:rPr>
          <w:color w:val="231F20"/>
        </w:rPr>
        <w:t>nterno</w:t>
      </w:r>
      <w:r>
        <w:rPr>
          <w:color w:val="231F20"/>
          <w:spacing w:val="-4"/>
        </w:rPr>
        <w:t> </w:t>
      </w:r>
      <w:r>
        <w:rPr/>
        <w:t>B</w:t>
      </w:r>
      <w:r>
        <w:rPr>
          <w:color w:val="231F20"/>
        </w:rPr>
        <w:t>ruto</w:t>
      </w:r>
      <w:r>
        <w:rPr>
          <w:color w:val="231F20"/>
          <w:spacing w:val="-4"/>
        </w:rPr>
        <w:t> </w:t>
      </w:r>
      <w:r>
        <w:rPr>
          <w:color w:val="231F20"/>
        </w:rPr>
        <w:t>(PIB)</w:t>
      </w:r>
      <w:r>
        <w:rPr>
          <w:color w:val="231F20"/>
          <w:spacing w:val="-4"/>
        </w:rPr>
        <w:t> </w:t>
      </w:r>
      <w:r>
        <w:rPr>
          <w:color w:val="231F20"/>
        </w:rPr>
        <w:t>y</w:t>
      </w:r>
      <w:r>
        <w:rPr>
          <w:color w:val="231F20"/>
          <w:spacing w:val="-4"/>
        </w:rPr>
        <w:t> </w:t>
      </w:r>
      <w:r>
        <w:rPr>
          <w:color w:val="231F20"/>
        </w:rPr>
        <w:t>hablan</w:t>
      </w:r>
      <w:r>
        <w:rPr>
          <w:color w:val="231F20"/>
          <w:spacing w:val="-4"/>
        </w:rPr>
        <w:t> </w:t>
      </w:r>
      <w:r>
        <w:rPr>
          <w:color w:val="231F20"/>
        </w:rPr>
        <w:t>también</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remesas</w:t>
      </w:r>
      <w:r>
        <w:rPr>
          <w:color w:val="231F20"/>
          <w:spacing w:val="-4"/>
        </w:rPr>
        <w:t> </w:t>
      </w:r>
      <w:r>
        <w:rPr>
          <w:color w:val="231F20"/>
        </w:rPr>
        <w:t>que</w:t>
      </w:r>
      <w:r>
        <w:rPr>
          <w:color w:val="231F20"/>
          <w:spacing w:val="-4"/>
        </w:rPr>
        <w:t> </w:t>
      </w:r>
      <w:r>
        <w:rPr/>
        <w:t>éstos </w:t>
      </w:r>
      <w:r>
        <w:rPr>
          <w:color w:val="231F20"/>
        </w:rPr>
        <w:t>envían a</w:t>
      </w:r>
      <w:r>
        <w:rPr>
          <w:color w:val="231F20"/>
          <w:spacing w:val="-8"/>
        </w:rPr>
        <w:t> </w:t>
      </w:r>
      <w:r>
        <w:rPr>
          <w:color w:val="231F20"/>
        </w:rPr>
        <w:t>México.</w:t>
      </w:r>
    </w:p>
    <w:p>
      <w:pPr>
        <w:pStyle w:val="BodyText"/>
        <w:spacing w:line="247" w:lineRule="auto"/>
        <w:ind w:left="117" w:right="116" w:firstLine="283"/>
        <w:jc w:val="right"/>
      </w:pPr>
      <w:r>
        <w:rPr>
          <w:color w:val="231F20"/>
        </w:rPr>
        <w:t>Por</w:t>
      </w:r>
      <w:r>
        <w:rPr>
          <w:color w:val="231F20"/>
          <w:spacing w:val="-13"/>
        </w:rPr>
        <w:t> </w:t>
      </w:r>
      <w:r>
        <w:rPr>
          <w:color w:val="231F20"/>
        </w:rPr>
        <w:t>su</w:t>
      </w:r>
      <w:r>
        <w:rPr>
          <w:color w:val="231F20"/>
          <w:spacing w:val="-13"/>
        </w:rPr>
        <w:t> </w:t>
      </w:r>
      <w:r>
        <w:rPr>
          <w:color w:val="231F20"/>
        </w:rPr>
        <w:t>parte,</w:t>
      </w:r>
      <w:r>
        <w:rPr>
          <w:color w:val="231F20"/>
          <w:spacing w:val="-25"/>
        </w:rPr>
        <w:t> </w:t>
      </w:r>
      <w:r>
        <w:rPr>
          <w:color w:val="231F20"/>
        </w:rPr>
        <w:t>Alejandro</w:t>
      </w:r>
      <w:r>
        <w:rPr>
          <w:color w:val="231F20"/>
          <w:spacing w:val="-13"/>
        </w:rPr>
        <w:t> </w:t>
      </w:r>
      <w:r>
        <w:rPr>
          <w:color w:val="231F20"/>
        </w:rPr>
        <w:t>Díaz</w:t>
      </w:r>
      <w:r>
        <w:rPr>
          <w:color w:val="231F20"/>
          <w:spacing w:val="-13"/>
        </w:rPr>
        <w:t> </w:t>
      </w:r>
      <w:r>
        <w:rPr>
          <w:color w:val="231F20"/>
          <w:spacing w:val="-4"/>
        </w:rPr>
        <w:t>Garay,</w:t>
      </w:r>
      <w:r>
        <w:rPr>
          <w:color w:val="231F20"/>
          <w:spacing w:val="-24"/>
        </w:rPr>
        <w:t> </w:t>
      </w:r>
      <w:r>
        <w:rPr>
          <w:color w:val="231F20"/>
        </w:rPr>
        <w:t>Artemio</w:t>
      </w:r>
      <w:r>
        <w:rPr>
          <w:color w:val="231F20"/>
          <w:spacing w:val="-13"/>
        </w:rPr>
        <w:t> </w:t>
      </w:r>
      <w:r>
        <w:rPr>
          <w:color w:val="231F20"/>
        </w:rPr>
        <w:t>López</w:t>
      </w:r>
      <w:r>
        <w:rPr>
          <w:color w:val="231F20"/>
          <w:spacing w:val="-14"/>
        </w:rPr>
        <w:t> </w:t>
      </w:r>
      <w:r>
        <w:rPr>
          <w:color w:val="231F20"/>
        </w:rPr>
        <w:t>Ríos</w:t>
      </w:r>
      <w:r>
        <w:rPr>
          <w:color w:val="231F20"/>
          <w:spacing w:val="-13"/>
        </w:rPr>
        <w:t> </w:t>
      </w:r>
      <w:r>
        <w:rPr>
          <w:color w:val="231F20"/>
        </w:rPr>
        <w:t>e</w:t>
      </w:r>
      <w:r>
        <w:rPr>
          <w:color w:val="231F20"/>
          <w:spacing w:val="-13"/>
        </w:rPr>
        <w:t> </w:t>
      </w:r>
      <w:r>
        <w:rPr>
          <w:color w:val="231F20"/>
        </w:rPr>
        <w:t>Iván</w:t>
      </w:r>
      <w:r>
        <w:rPr>
          <w:color w:val="231F20"/>
          <w:spacing w:val="-13"/>
        </w:rPr>
        <w:t> </w:t>
      </w:r>
      <w:r>
        <w:rPr>
          <w:color w:val="231F20"/>
        </w:rPr>
        <w:t>Jiménez</w:t>
      </w:r>
      <w:r>
        <w:rPr>
          <w:color w:val="231F20"/>
          <w:spacing w:val="-1"/>
        </w:rPr>
        <w:t> </w:t>
      </w:r>
      <w:r>
        <w:rPr>
          <w:color w:val="231F20"/>
        </w:rPr>
        <w:t>Maya</w:t>
      </w:r>
      <w:r>
        <w:rPr>
          <w:color w:val="FF3333"/>
        </w:rPr>
        <w:t>,</w:t>
      </w:r>
      <w:r>
        <w:rPr>
          <w:color w:val="FF3333"/>
          <w:spacing w:val="-13"/>
        </w:rPr>
        <w:t> </w:t>
      </w:r>
      <w:r>
        <w:rPr>
          <w:color w:val="231F20"/>
        </w:rPr>
        <w:t>de</w:t>
      </w:r>
      <w:r>
        <w:rPr>
          <w:color w:val="231F20"/>
          <w:spacing w:val="-12"/>
        </w:rPr>
        <w:t> </w:t>
      </w:r>
      <w:r>
        <w:rPr>
          <w:color w:val="231F20"/>
        </w:rPr>
        <w:t>la</w:t>
      </w:r>
      <w:r>
        <w:rPr>
          <w:color w:val="231F20"/>
          <w:spacing w:val="-13"/>
        </w:rPr>
        <w:t> </w:t>
      </w:r>
      <w:r>
        <w:rPr>
          <w:color w:val="231F20"/>
        </w:rPr>
        <w:t>Universidad</w:t>
      </w:r>
      <w:r>
        <w:rPr>
          <w:color w:val="231F20"/>
          <w:spacing w:val="-24"/>
        </w:rPr>
        <w:t> </w:t>
      </w:r>
      <w:r>
        <w:rPr>
          <w:color w:val="231F20"/>
        </w:rPr>
        <w:t>Autónoma</w:t>
      </w:r>
      <w:r>
        <w:rPr>
          <w:color w:val="231F20"/>
          <w:spacing w:val="-12"/>
        </w:rPr>
        <w:t> </w:t>
      </w:r>
      <w:r>
        <w:rPr>
          <w:color w:val="231F20"/>
        </w:rPr>
        <w:t>de</w:t>
      </w:r>
      <w:r>
        <w:rPr>
          <w:color w:val="231F20"/>
          <w:spacing w:val="-12"/>
        </w:rPr>
        <w:t> </w:t>
      </w:r>
      <w:r>
        <w:rPr>
          <w:color w:val="231F20"/>
        </w:rPr>
        <w:t>Guerrero,</w:t>
      </w:r>
      <w:r>
        <w:rPr>
          <w:color w:val="231F20"/>
          <w:spacing w:val="-12"/>
        </w:rPr>
        <w:t> </w:t>
      </w:r>
      <w:r>
        <w:rPr>
          <w:color w:val="231F20"/>
        </w:rPr>
        <w:t>expresan</w:t>
      </w:r>
      <w:r>
        <w:rPr>
          <w:color w:val="231F20"/>
          <w:spacing w:val="-13"/>
        </w:rPr>
        <w:t> </w:t>
      </w:r>
      <w:r>
        <w:rPr>
          <w:color w:val="231F20"/>
        </w:rPr>
        <w:t>que</w:t>
      </w:r>
      <w:r>
        <w:rPr>
          <w:color w:val="231F20"/>
          <w:spacing w:val="-12"/>
        </w:rPr>
        <w:t> </w:t>
      </w:r>
      <w:r>
        <w:rPr>
          <w:color w:val="231F20"/>
        </w:rPr>
        <w:t>las</w:t>
      </w:r>
      <w:r>
        <w:rPr>
          <w:color w:val="231F20"/>
          <w:spacing w:val="-13"/>
        </w:rPr>
        <w:t> </w:t>
      </w:r>
      <w:r>
        <w:rPr>
          <w:color w:val="231F20"/>
        </w:rPr>
        <w:t>políticas públicas</w:t>
      </w:r>
      <w:r>
        <w:rPr>
          <w:color w:val="231F20"/>
          <w:spacing w:val="-4"/>
        </w:rPr>
        <w:t> </w:t>
      </w:r>
      <w:r>
        <w:rPr>
          <w:color w:val="231F20"/>
        </w:rPr>
        <w:t>deben</w:t>
      </w:r>
      <w:r>
        <w:rPr>
          <w:color w:val="231F20"/>
          <w:spacing w:val="-4"/>
        </w:rPr>
        <w:t> </w:t>
      </w:r>
      <w:r>
        <w:rPr>
          <w:color w:val="231F20"/>
        </w:rPr>
        <w:t>considerar</w:t>
      </w:r>
      <w:r>
        <w:rPr>
          <w:color w:val="231F20"/>
          <w:spacing w:val="-5"/>
        </w:rPr>
        <w:t> </w:t>
      </w:r>
      <w:r>
        <w:rPr>
          <w:color w:val="231F20"/>
        </w:rPr>
        <w:t>el</w:t>
      </w:r>
      <w:r>
        <w:rPr>
          <w:color w:val="231F20"/>
          <w:spacing w:val="-4"/>
        </w:rPr>
        <w:t> </w:t>
      </w:r>
      <w:r>
        <w:rPr>
          <w:color w:val="231F20"/>
        </w:rPr>
        <w:t>lugar</w:t>
      </w:r>
      <w:r>
        <w:rPr>
          <w:color w:val="231F20"/>
          <w:spacing w:val="-4"/>
        </w:rPr>
        <w:t> </w:t>
      </w:r>
      <w:r>
        <w:rPr>
          <w:color w:val="231F20"/>
        </w:rPr>
        <w:t>de</w:t>
      </w:r>
      <w:r>
        <w:rPr>
          <w:color w:val="231F20"/>
          <w:spacing w:val="-4"/>
        </w:rPr>
        <w:t> </w:t>
      </w:r>
      <w:r>
        <w:rPr>
          <w:color w:val="231F20"/>
        </w:rPr>
        <w:t>origen</w:t>
      </w:r>
      <w:r>
        <w:rPr>
          <w:color w:val="231F20"/>
          <w:spacing w:val="-4"/>
        </w:rPr>
        <w:t> </w:t>
      </w:r>
      <w:r>
        <w:rPr>
          <w:color w:val="231F20"/>
        </w:rPr>
        <w:t>para</w:t>
      </w:r>
      <w:r>
        <w:rPr>
          <w:color w:val="231F20"/>
          <w:spacing w:val="-4"/>
        </w:rPr>
        <w:t> </w:t>
      </w:r>
      <w:r>
        <w:rPr>
          <w:color w:val="231F20"/>
        </w:rPr>
        <w:t>lograr</w:t>
      </w:r>
      <w:r>
        <w:rPr>
          <w:color w:val="231F20"/>
          <w:spacing w:val="-4"/>
        </w:rPr>
        <w:t> </w:t>
      </w:r>
      <w:r>
        <w:rPr>
          <w:color w:val="231F20"/>
        </w:rPr>
        <w:t>impactos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de- sarrollo</w:t>
      </w:r>
      <w:r>
        <w:rPr>
          <w:color w:val="231F20"/>
          <w:spacing w:val="-5"/>
        </w:rPr>
        <w:t> </w:t>
      </w:r>
      <w:r>
        <w:rPr>
          <w:color w:val="231F20"/>
        </w:rPr>
        <w:t>local</w:t>
      </w:r>
      <w:r>
        <w:rPr>
          <w:color w:val="FF3333"/>
        </w:rPr>
        <w:t>,</w:t>
      </w:r>
      <w:r>
        <w:rPr>
          <w:color w:val="FF3333"/>
          <w:spacing w:val="-5"/>
        </w:rPr>
        <w:t> </w:t>
      </w:r>
      <w:r>
        <w:rPr>
          <w:color w:val="231F20"/>
        </w:rPr>
        <w:t>donde</w:t>
      </w:r>
      <w:r>
        <w:rPr>
          <w:color w:val="231F20"/>
          <w:spacing w:val="-5"/>
        </w:rPr>
        <w:t> </w:t>
      </w:r>
      <w:r>
        <w:rPr>
          <w:color w:val="231F20"/>
        </w:rPr>
        <w:t>el</w:t>
      </w:r>
      <w:r>
        <w:rPr>
          <w:color w:val="231F20"/>
          <w:spacing w:val="-5"/>
        </w:rPr>
        <w:t> </w:t>
      </w:r>
      <w:r>
        <w:rPr>
          <w:color w:val="231F20"/>
        </w:rPr>
        <w:t>municipio</w:t>
      </w:r>
      <w:r>
        <w:rPr>
          <w:color w:val="231F20"/>
          <w:spacing w:val="-6"/>
        </w:rPr>
        <w:t> </w:t>
      </w:r>
      <w:r>
        <w:rPr>
          <w:color w:val="231F20"/>
        </w:rPr>
        <w:t>debe</w:t>
      </w:r>
      <w:r>
        <w:rPr>
          <w:color w:val="231F20"/>
          <w:spacing w:val="-5"/>
        </w:rPr>
        <w:t> </w:t>
      </w:r>
      <w:r>
        <w:rPr>
          <w:color w:val="231F20"/>
        </w:rPr>
        <w:t>ser</w:t>
      </w:r>
      <w:r>
        <w:rPr>
          <w:color w:val="231F20"/>
          <w:spacing w:val="-5"/>
        </w:rPr>
        <w:t> </w:t>
      </w:r>
      <w:r>
        <w:rPr>
          <w:color w:val="231F20"/>
        </w:rPr>
        <w:t>el</w:t>
      </w:r>
      <w:r>
        <w:rPr>
          <w:color w:val="231F20"/>
          <w:spacing w:val="-5"/>
        </w:rPr>
        <w:t> </w:t>
      </w:r>
      <w:r>
        <w:rPr>
          <w:color w:val="231F20"/>
        </w:rPr>
        <w:t>núcleo</w:t>
      </w:r>
      <w:r>
        <w:rPr>
          <w:color w:val="231F20"/>
          <w:spacing w:val="-5"/>
        </w:rPr>
        <w:t> </w:t>
      </w:r>
      <w:r>
        <w:rPr>
          <w:color w:val="231F20"/>
        </w:rPr>
        <w:t>básico</w:t>
      </w:r>
      <w:r>
        <w:rPr>
          <w:color w:val="231F20"/>
          <w:spacing w:val="-5"/>
        </w:rPr>
        <w:t> </w:t>
      </w:r>
      <w:r>
        <w:rPr>
          <w:color w:val="231F20"/>
        </w:rPr>
        <w:t>para</w:t>
      </w:r>
      <w:r>
        <w:rPr>
          <w:color w:val="231F20"/>
          <w:spacing w:val="-5"/>
        </w:rPr>
        <w:t> </w:t>
      </w:r>
      <w:r>
        <w:rPr>
          <w:color w:val="231F20"/>
        </w:rPr>
        <w:t>atender</w:t>
      </w:r>
      <w:r>
        <w:rPr>
          <w:color w:val="231F20"/>
          <w:spacing w:val="-6"/>
        </w:rPr>
        <w:t> </w:t>
      </w:r>
      <w:r>
        <w:rPr>
          <w:color w:val="231F20"/>
        </w:rPr>
        <w:t>el asunto migratorio internacional y </w:t>
      </w:r>
      <w:r>
        <w:rPr/>
        <w:t>proponen que </w:t>
      </w:r>
      <w:r>
        <w:rPr>
          <w:color w:val="231F20"/>
        </w:rPr>
        <w:t>con un buen uso de</w:t>
      </w:r>
      <w:r>
        <w:rPr>
          <w:color w:val="231F20"/>
          <w:spacing w:val="-24"/>
        </w:rPr>
        <w:t> </w:t>
      </w:r>
      <w:r>
        <w:rPr>
          <w:color w:val="231F20"/>
        </w:rPr>
        <w:t>las</w:t>
      </w:r>
      <w:r>
        <w:rPr>
          <w:color w:val="231F20"/>
          <w:spacing w:val="-2"/>
        </w:rPr>
        <w:t> </w:t>
      </w:r>
      <w:r>
        <w:rPr>
          <w:color w:val="231F20"/>
        </w:rPr>
        <w:t>re- mesas se podría reducir el despoblamiento de las</w:t>
      </w:r>
      <w:r>
        <w:rPr>
          <w:color w:val="231F20"/>
          <w:spacing w:val="-3"/>
        </w:rPr>
        <w:t> </w:t>
      </w:r>
      <w:r>
        <w:rPr>
          <w:color w:val="231F20"/>
        </w:rPr>
        <w:t>comunidades</w:t>
      </w:r>
      <w:r>
        <w:rPr>
          <w:color w:val="231F20"/>
          <w:spacing w:val="-2"/>
        </w:rPr>
        <w:t> </w:t>
      </w:r>
      <w:r>
        <w:rPr>
          <w:color w:val="231F20"/>
        </w:rPr>
        <w:t>indígenas. Con</w:t>
      </w:r>
      <w:r>
        <w:rPr>
          <w:color w:val="231F20"/>
          <w:spacing w:val="-9"/>
        </w:rPr>
        <w:t> </w:t>
      </w:r>
      <w:r>
        <w:rPr>
          <w:color w:val="231F20"/>
        </w:rPr>
        <w:t>base</w:t>
      </w:r>
      <w:r>
        <w:rPr>
          <w:color w:val="231F20"/>
          <w:spacing w:val="-9"/>
        </w:rPr>
        <w:t> </w:t>
      </w:r>
      <w:r>
        <w:rPr>
          <w:color w:val="231F20"/>
        </w:rPr>
        <w:t>en</w:t>
      </w:r>
      <w:r>
        <w:rPr>
          <w:color w:val="231F20"/>
          <w:spacing w:val="-9"/>
        </w:rPr>
        <w:t> </w:t>
      </w:r>
      <w:r>
        <w:rPr>
          <w:color w:val="231F20"/>
        </w:rPr>
        <w:t>estadística</w:t>
      </w:r>
      <w:r>
        <w:rPr>
          <w:color w:val="231F20"/>
          <w:spacing w:val="-9"/>
        </w:rPr>
        <w:t> </w:t>
      </w:r>
      <w:r>
        <w:rPr>
          <w:color w:val="231F20"/>
        </w:rPr>
        <w:t>de</w:t>
      </w:r>
      <w:r>
        <w:rPr>
          <w:color w:val="231F20"/>
          <w:spacing w:val="-9"/>
        </w:rPr>
        <w:t> </w:t>
      </w:r>
      <w:r>
        <w:rPr>
          <w:color w:val="231F20"/>
        </w:rPr>
        <w:t>campo</w:t>
      </w:r>
      <w:r>
        <w:rPr>
          <w:color w:val="FF3333"/>
        </w:rPr>
        <w:t>,</w:t>
      </w:r>
      <w:r>
        <w:rPr>
          <w:color w:val="FF3333"/>
          <w:spacing w:val="-9"/>
        </w:rPr>
        <w:t> </w:t>
      </w:r>
      <w:r>
        <w:rPr>
          <w:color w:val="231F20"/>
        </w:rPr>
        <w:t>el</w:t>
      </w:r>
      <w:r>
        <w:rPr>
          <w:color w:val="231F20"/>
          <w:spacing w:val="-9"/>
        </w:rPr>
        <w:t> </w:t>
      </w:r>
      <w:r>
        <w:rPr>
          <w:color w:val="231F20"/>
        </w:rPr>
        <w:t>trabajo</w:t>
      </w:r>
      <w:r>
        <w:rPr>
          <w:color w:val="231F20"/>
          <w:spacing w:val="-9"/>
        </w:rPr>
        <w:t> </w:t>
      </w:r>
      <w:r>
        <w:rPr>
          <w:color w:val="231F20"/>
        </w:rPr>
        <w:t>de</w:t>
      </w:r>
      <w:r>
        <w:rPr>
          <w:color w:val="231F20"/>
          <w:spacing w:val="-9"/>
        </w:rPr>
        <w:t> </w:t>
      </w:r>
      <w:r>
        <w:rPr>
          <w:color w:val="231F20"/>
        </w:rPr>
        <w:t>Patricia</w:t>
      </w:r>
      <w:r>
        <w:rPr>
          <w:color w:val="231F20"/>
          <w:spacing w:val="-8"/>
        </w:rPr>
        <w:t> </w:t>
      </w:r>
      <w:r>
        <w:rPr>
          <w:color w:val="231F20"/>
        </w:rPr>
        <w:t>Román</w:t>
      </w:r>
      <w:r>
        <w:rPr>
          <w:color w:val="231F20"/>
          <w:spacing w:val="-9"/>
        </w:rPr>
        <w:t> </w:t>
      </w:r>
      <w:r>
        <w:rPr>
          <w:color w:val="231F20"/>
        </w:rPr>
        <w:t>Reyes</w:t>
      </w:r>
      <w:r>
        <w:rPr>
          <w:color w:val="231F20"/>
          <w:spacing w:val="-9"/>
        </w:rPr>
        <w:t> </w:t>
      </w:r>
      <w:r>
        <w:rPr>
          <w:color w:val="231F20"/>
        </w:rPr>
        <w:t>y sus</w:t>
      </w:r>
      <w:r>
        <w:rPr>
          <w:color w:val="231F20"/>
          <w:spacing w:val="-9"/>
        </w:rPr>
        <w:t> </w:t>
      </w:r>
      <w:r>
        <w:rPr>
          <w:color w:val="231F20"/>
        </w:rPr>
        <w:t>coautores,</w:t>
      </w:r>
      <w:r>
        <w:rPr>
          <w:color w:val="231F20"/>
          <w:spacing w:val="-9"/>
        </w:rPr>
        <w:t> </w:t>
      </w:r>
      <w:r>
        <w:rPr>
          <w:color w:val="231F20"/>
        </w:rPr>
        <w:t>investigadores</w:t>
      </w:r>
      <w:r>
        <w:rPr>
          <w:color w:val="231F20"/>
          <w:spacing w:val="-10"/>
        </w:rPr>
        <w:t> </w:t>
      </w:r>
      <w:r>
        <w:rPr>
          <w:color w:val="231F20"/>
        </w:rPr>
        <w:t>del</w:t>
      </w:r>
      <w:r>
        <w:rPr>
          <w:color w:val="231F20"/>
          <w:spacing w:val="-9"/>
        </w:rPr>
        <w:t> </w:t>
      </w:r>
      <w:r>
        <w:rPr>
          <w:color w:val="231F20"/>
        </w:rPr>
        <w:t>Centro</w:t>
      </w:r>
      <w:r>
        <w:rPr>
          <w:color w:val="231F20"/>
          <w:spacing w:val="-9"/>
        </w:rPr>
        <w:t> </w:t>
      </w:r>
      <w:r>
        <w:rPr>
          <w:color w:val="231F20"/>
        </w:rPr>
        <w:t>de</w:t>
      </w:r>
      <w:r>
        <w:rPr>
          <w:color w:val="231F20"/>
          <w:spacing w:val="-9"/>
        </w:rPr>
        <w:t> </w:t>
      </w:r>
      <w:r>
        <w:rPr>
          <w:color w:val="231F20"/>
        </w:rPr>
        <w:t>Investigación</w:t>
      </w:r>
      <w:r>
        <w:rPr>
          <w:color w:val="231F20"/>
          <w:spacing w:val="-9"/>
        </w:rPr>
        <w:t> </w:t>
      </w:r>
      <w:r>
        <w:rPr>
          <w:color w:val="231F20"/>
        </w:rPr>
        <w:t>y</w:t>
      </w:r>
      <w:r>
        <w:rPr>
          <w:color w:val="231F20"/>
          <w:spacing w:val="-9"/>
        </w:rPr>
        <w:t> </w:t>
      </w:r>
      <w:r>
        <w:rPr>
          <w:color w:val="231F20"/>
        </w:rPr>
        <w:t>Estudios</w:t>
      </w:r>
      <w:r>
        <w:rPr>
          <w:color w:val="231F20"/>
          <w:spacing w:val="-21"/>
        </w:rPr>
        <w:t> </w:t>
      </w:r>
      <w:r>
        <w:rPr>
          <w:color w:val="231F20"/>
          <w:spacing w:val="-4"/>
        </w:rPr>
        <w:t>Avan-</w:t>
      </w:r>
      <w:r>
        <w:rPr>
          <w:color w:val="231F20"/>
        </w:rPr>
        <w:t> zados de la Población (CIEAP) de la UAEM, enfatiza la</w:t>
      </w:r>
      <w:r>
        <w:rPr>
          <w:color w:val="231F20"/>
          <w:spacing w:val="46"/>
        </w:rPr>
        <w:t> </w:t>
      </w:r>
      <w:r>
        <w:rPr>
          <w:color w:val="231F20"/>
        </w:rPr>
        <w:t>dinámica</w:t>
      </w:r>
      <w:r>
        <w:rPr>
          <w:color w:val="231F20"/>
          <w:spacing w:val="4"/>
        </w:rPr>
        <w:t> </w:t>
      </w:r>
      <w:r>
        <w:rPr>
          <w:color w:val="231F20"/>
        </w:rPr>
        <w:t>migra- toria</w:t>
      </w:r>
      <w:r>
        <w:rPr>
          <w:color w:val="231F20"/>
          <w:spacing w:val="-5"/>
        </w:rPr>
        <w:t> </w:t>
      </w:r>
      <w:r>
        <w:rPr>
          <w:color w:val="231F20"/>
        </w:rPr>
        <w:t>al</w:t>
      </w:r>
      <w:r>
        <w:rPr>
          <w:color w:val="231F20"/>
          <w:spacing w:val="-4"/>
        </w:rPr>
        <w:t> </w:t>
      </w:r>
      <w:r>
        <w:rPr>
          <w:color w:val="231F20"/>
        </w:rPr>
        <w:t>interior</w:t>
      </w:r>
      <w:r>
        <w:rPr>
          <w:color w:val="231F20"/>
          <w:spacing w:val="-5"/>
        </w:rPr>
        <w:t> </w:t>
      </w:r>
      <w:r>
        <w:rPr>
          <w:color w:val="231F20"/>
        </w:rPr>
        <w:t>de</w:t>
      </w:r>
      <w:r>
        <w:rPr>
          <w:color w:val="231F20"/>
          <w:spacing w:val="-4"/>
        </w:rPr>
        <w:t> </w:t>
      </w:r>
      <w:r>
        <w:rPr>
          <w:color w:val="231F20"/>
        </w:rPr>
        <w:t>los</w:t>
      </w:r>
      <w:r>
        <w:rPr>
          <w:color w:val="231F20"/>
          <w:spacing w:val="-4"/>
        </w:rPr>
        <w:t> </w:t>
      </w:r>
      <w:r>
        <w:rPr>
          <w:color w:val="231F20"/>
        </w:rPr>
        <w:t>hogares</w:t>
      </w:r>
      <w:r>
        <w:rPr>
          <w:color w:val="231F20"/>
          <w:spacing w:val="-4"/>
        </w:rPr>
        <w:t> </w:t>
      </w:r>
      <w:r>
        <w:rPr>
          <w:color w:val="231F20"/>
        </w:rPr>
        <w:t>y</w:t>
      </w:r>
      <w:r>
        <w:rPr>
          <w:color w:val="231F20"/>
          <w:spacing w:val="-4"/>
        </w:rPr>
        <w:t> </w:t>
      </w:r>
      <w:r>
        <w:rPr>
          <w:color w:val="231F20"/>
        </w:rPr>
        <w:t>sus</w:t>
      </w:r>
      <w:r>
        <w:rPr>
          <w:color w:val="231F20"/>
          <w:spacing w:val="-4"/>
        </w:rPr>
        <w:t> </w:t>
      </w:r>
      <w:r>
        <w:rPr>
          <w:color w:val="231F20"/>
        </w:rPr>
        <w:t>múltiples</w:t>
      </w:r>
      <w:r>
        <w:rPr>
          <w:color w:val="231F20"/>
          <w:spacing w:val="-5"/>
        </w:rPr>
        <w:t> </w:t>
      </w:r>
      <w:r>
        <w:rPr>
          <w:color w:val="231F20"/>
        </w:rPr>
        <w:t>dimensiones,</w:t>
      </w:r>
      <w:r>
        <w:rPr>
          <w:color w:val="231F20"/>
          <w:spacing w:val="-4"/>
        </w:rPr>
        <w:t> </w:t>
      </w:r>
      <w:r>
        <w:rPr>
          <w:color w:val="231F20"/>
        </w:rPr>
        <w:t>incluyendo</w:t>
      </w:r>
      <w:r>
        <w:rPr>
          <w:color w:val="231F20"/>
          <w:spacing w:val="-5"/>
        </w:rPr>
        <w:t> </w:t>
      </w:r>
      <w:r>
        <w:rPr>
          <w:color w:val="231F20"/>
        </w:rPr>
        <w:t>las</w:t>
      </w:r>
    </w:p>
    <w:p>
      <w:pPr>
        <w:pStyle w:val="BodyText"/>
        <w:spacing w:line="253" w:lineRule="exact"/>
        <w:ind w:left="117"/>
        <w:jc w:val="both"/>
      </w:pPr>
      <w:r>
        <w:rPr>
          <w:color w:val="231F20"/>
        </w:rPr>
        <w:t>remesas  en el Estado de México.</w:t>
      </w:r>
    </w:p>
    <w:p>
      <w:pPr>
        <w:pStyle w:val="BodyText"/>
        <w:spacing w:line="247" w:lineRule="auto" w:before="7"/>
        <w:ind w:left="51" w:right="114" w:firstLine="283"/>
        <w:jc w:val="right"/>
      </w:pPr>
      <w:r>
        <w:rPr>
          <w:color w:val="231F20"/>
        </w:rPr>
        <w:t>En esta misma lógica se inscribe el trabajo de David Iglesias Piña, in- vestigador de la UAEM, </w:t>
      </w:r>
      <w:r>
        <w:rPr/>
        <w:t>quien </w:t>
      </w:r>
      <w:r>
        <w:rPr>
          <w:color w:val="231F20"/>
        </w:rPr>
        <w:t>expone el escaso impacto económico</w:t>
      </w:r>
      <w:r>
        <w:rPr>
          <w:color w:val="231F20"/>
          <w:spacing w:val="52"/>
        </w:rPr>
        <w:t> </w:t>
      </w:r>
      <w:r>
        <w:rPr>
          <w:color w:val="231F20"/>
        </w:rPr>
        <w:t>y el desarrollo local en el municipio de Tenancingo, México, que es una expre- sión en un contexto de alta tradición migratoria de la entidad mexiquense. En la cuarta y última sección se exponen trabajos relacionados con la vulnerabilidad de la migración</w:t>
      </w:r>
      <w:r>
        <w:rPr>
          <w:color w:val="FF3333"/>
        </w:rPr>
        <w:t>, </w:t>
      </w:r>
      <w:r>
        <w:rPr>
          <w:color w:val="231F20"/>
        </w:rPr>
        <w:t>expresada en el papel del trabajo indígena e infantil migrante a Estados Unidos. Dichos temas son tratados por César Pérez Marcial</w:t>
      </w:r>
      <w:r>
        <w:rPr>
          <w:color w:val="FF3333"/>
        </w:rPr>
        <w:t>, </w:t>
      </w:r>
      <w:r>
        <w:rPr>
          <w:color w:val="231F20"/>
        </w:rPr>
        <w:t>de El Colegio de Hidalgo y Juan Gabino González Becerril con sus coautores de la UAEM. Los artículos vinculan analíticamente el tema de la migración con la población infantil, generalmente denominada inmigrantes indocumentados, migrantes en tránsito </w:t>
      </w:r>
      <w:r>
        <w:rPr/>
        <w:t>o </w:t>
      </w:r>
      <w:r>
        <w:rPr>
          <w:color w:val="231F20"/>
        </w:rPr>
        <w:t>menores trasfronte- rizos</w:t>
      </w:r>
      <w:r>
        <w:rPr>
          <w:color w:val="FF3333"/>
        </w:rPr>
        <w:t>, </w:t>
      </w:r>
      <w:r>
        <w:rPr>
          <w:color w:val="231F20"/>
        </w:rPr>
        <w:t>en su análisis ante la nueva </w:t>
      </w:r>
      <w:r>
        <w:rPr/>
        <w:t>L</w:t>
      </w:r>
      <w:r>
        <w:rPr>
          <w:color w:val="231F20"/>
        </w:rPr>
        <w:t>ey de </w:t>
      </w:r>
      <w:r>
        <w:rPr/>
        <w:t>M</w:t>
      </w:r>
      <w:r>
        <w:rPr>
          <w:color w:val="231F20"/>
        </w:rPr>
        <w:t>igración en México, tal como lo hace Alma Cossette Guadarrama. </w:t>
      </w:r>
      <w:r>
        <w:rPr/>
        <w:t>L</w:t>
      </w:r>
      <w:r>
        <w:rPr>
          <w:color w:val="231F20"/>
        </w:rPr>
        <w:t>a aportación de los trabajos de este capítulo es mostrar una población verdaderamente invisibilizada en las investigaciones sobre migración. En la actualidad, alrededor de 9.6 por ciento de los mexicanos que residen en Estados Unidos tiene menos de 17 años. De esta manera se reconoce un actor invisible más en los procesos migratorios: el trabajador infantil, destacan Silvia Lizbeth Aguilar </w:t>
      </w:r>
      <w:r>
        <w:rPr>
          <w:color w:val="231F20"/>
          <w:spacing w:val="-5"/>
        </w:rPr>
        <w:t>Veláz-</w:t>
      </w:r>
      <w:r>
        <w:rPr>
          <w:color w:val="231F20"/>
        </w:rPr>
        <w:t> quez y Belinda Ordóñez Vázquez</w:t>
      </w:r>
      <w:r>
        <w:rPr>
          <w:color w:val="FF3333"/>
        </w:rPr>
        <w:t>, </w:t>
      </w:r>
      <w:r>
        <w:rPr>
          <w:color w:val="231F20"/>
        </w:rPr>
        <w:t>de la Universidad Autónoma del Estado</w:t>
      </w:r>
    </w:p>
    <w:p>
      <w:pPr>
        <w:pStyle w:val="BodyText"/>
        <w:spacing w:line="253" w:lineRule="exact"/>
        <w:ind w:left="117"/>
        <w:jc w:val="both"/>
      </w:pPr>
      <w:r>
        <w:rPr>
          <w:color w:val="231F20"/>
        </w:rPr>
        <w:t>de Hidalgo.</w:t>
      </w:r>
    </w:p>
    <w:p>
      <w:pPr>
        <w:pStyle w:val="BodyText"/>
        <w:spacing w:line="247" w:lineRule="auto" w:before="7"/>
        <w:ind w:left="117" w:right="114" w:firstLine="283"/>
        <w:jc w:val="both"/>
      </w:pPr>
      <w:r>
        <w:rPr>
          <w:color w:val="231F20"/>
        </w:rPr>
        <w:t>Estos son, de forma muy resumida, los principales temas que se abor- dan en </w:t>
      </w:r>
      <w:r>
        <w:rPr/>
        <w:t>la </w:t>
      </w:r>
      <w:r>
        <w:rPr>
          <w:color w:val="231F20"/>
        </w:rPr>
        <w:t>selección de trabajos que se cristaliza</w:t>
      </w:r>
      <w:r>
        <w:rPr/>
        <w:t>n </w:t>
      </w:r>
      <w:r>
        <w:rPr>
          <w:color w:val="231F20"/>
        </w:rPr>
        <w:t>en este libro. El esfuerzo de análisis presente en cada uno tiene la firme intención de continuar la discusión teórica, metodológica y epistemológica del fenómeno migrato- rio, así como poner sobre la mesa de la discusión política el diseño e  ins-</w:t>
      </w:r>
    </w:p>
    <w:p>
      <w:pPr>
        <w:spacing w:after="0" w:line="247" w:lineRule="auto"/>
        <w:jc w:val="both"/>
        <w:sectPr>
          <w:pgSz w:w="9360" w:h="13040"/>
          <w:pgMar w:header="0" w:footer="496" w:top="1200" w:bottom="680" w:left="1300" w:right="1300"/>
        </w:sectPr>
      </w:pPr>
    </w:p>
    <w:p>
      <w:pPr>
        <w:pStyle w:val="BodyText"/>
        <w:spacing w:line="247" w:lineRule="auto" w:before="145"/>
        <w:ind w:left="117" w:right="117"/>
      </w:pPr>
      <w:r>
        <w:rPr>
          <w:color w:val="231F20"/>
        </w:rPr>
        <w:t>trumentación de programas y políticas que atiendan el fenómeno y </w:t>
      </w:r>
      <w:r>
        <w:rPr/>
        <w:t>a </w:t>
      </w:r>
      <w:r>
        <w:rPr>
          <w:color w:val="231F20"/>
        </w:rPr>
        <w:t>la población que lo vive.</w:t>
      </w:r>
    </w:p>
    <w:p>
      <w:pPr>
        <w:pStyle w:val="BodyText"/>
        <w:spacing w:line="247" w:lineRule="auto"/>
        <w:ind w:left="117" w:right="115" w:firstLine="283"/>
        <w:jc w:val="both"/>
      </w:pPr>
      <w:r>
        <w:rPr>
          <w:color w:val="231F20"/>
        </w:rPr>
        <w:t>Por último nos permitimos expresar nuestro reconocimiento a la</w:t>
      </w:r>
      <w:r>
        <w:rPr>
          <w:color w:val="231F20"/>
          <w:spacing w:val="-36"/>
        </w:rPr>
        <w:t> </w:t>
      </w:r>
      <w:r>
        <w:rPr>
          <w:color w:val="231F20"/>
        </w:rPr>
        <w:t>Secre- taría</w:t>
      </w:r>
      <w:r>
        <w:rPr>
          <w:color w:val="231F20"/>
          <w:spacing w:val="-8"/>
        </w:rPr>
        <w:t> </w:t>
      </w:r>
      <w:r>
        <w:rPr>
          <w:color w:val="231F20"/>
        </w:rPr>
        <w:t>de</w:t>
      </w:r>
      <w:r>
        <w:rPr>
          <w:color w:val="231F20"/>
          <w:spacing w:val="-8"/>
        </w:rPr>
        <w:t> </w:t>
      </w:r>
      <w:r>
        <w:rPr>
          <w:color w:val="231F20"/>
        </w:rPr>
        <w:t>Desarrollo</w:t>
      </w:r>
      <w:r>
        <w:rPr>
          <w:color w:val="231F20"/>
          <w:spacing w:val="-7"/>
        </w:rPr>
        <w:t> </w:t>
      </w:r>
      <w:r>
        <w:rPr>
          <w:color w:val="231F20"/>
        </w:rPr>
        <w:t>Social</w:t>
      </w:r>
      <w:r>
        <w:rPr>
          <w:color w:val="231F20"/>
          <w:spacing w:val="-8"/>
        </w:rPr>
        <w:t> </w:t>
      </w:r>
      <w:r>
        <w:rPr>
          <w:color w:val="231F20"/>
        </w:rPr>
        <w:t>del</w:t>
      </w:r>
      <w:r>
        <w:rPr>
          <w:color w:val="231F20"/>
          <w:spacing w:val="-8"/>
        </w:rPr>
        <w:t> </w:t>
      </w:r>
      <w:r>
        <w:rPr>
          <w:color w:val="231F20"/>
        </w:rPr>
        <w:t>Gobierno</w:t>
      </w:r>
      <w:r>
        <w:rPr>
          <w:color w:val="231F20"/>
          <w:spacing w:val="-8"/>
        </w:rPr>
        <w:t> </w:t>
      </w:r>
      <w:r>
        <w:rPr>
          <w:color w:val="231F20"/>
        </w:rPr>
        <w:t>del</w:t>
      </w:r>
      <w:r>
        <w:rPr>
          <w:color w:val="231F20"/>
          <w:spacing w:val="-8"/>
        </w:rPr>
        <w:t> </w:t>
      </w:r>
      <w:r>
        <w:rPr>
          <w:color w:val="231F20"/>
        </w:rPr>
        <w:t>Estado</w:t>
      </w:r>
      <w:r>
        <w:rPr>
          <w:color w:val="231F20"/>
          <w:spacing w:val="-8"/>
        </w:rPr>
        <w:t> </w:t>
      </w:r>
      <w:r>
        <w:rPr>
          <w:color w:val="231F20"/>
        </w:rPr>
        <w:t>de</w:t>
      </w:r>
      <w:r>
        <w:rPr>
          <w:color w:val="231F20"/>
          <w:spacing w:val="-8"/>
        </w:rPr>
        <w:t> </w:t>
      </w:r>
      <w:r>
        <w:rPr>
          <w:color w:val="231F20"/>
        </w:rPr>
        <w:t>México</w:t>
      </w:r>
      <w:r>
        <w:rPr>
          <w:color w:val="231F20"/>
          <w:spacing w:val="-8"/>
        </w:rPr>
        <w:t> </w:t>
      </w:r>
      <w:r>
        <w:rPr>
          <w:color w:val="231F20"/>
        </w:rPr>
        <w:t>y</w:t>
      </w:r>
      <w:r>
        <w:rPr>
          <w:color w:val="231F20"/>
          <w:spacing w:val="-8"/>
        </w:rPr>
        <w:t> </w:t>
      </w:r>
      <w:r>
        <w:rPr>
          <w:color w:val="231F20"/>
        </w:rPr>
        <w:t>al</w:t>
      </w:r>
      <w:r>
        <w:rPr>
          <w:color w:val="231F20"/>
          <w:spacing w:val="-7"/>
        </w:rPr>
        <w:t> </w:t>
      </w:r>
      <w:r>
        <w:rPr>
          <w:color w:val="231F20"/>
        </w:rPr>
        <w:t>Consejo de Investigación y Evaluación de la Política Social, por su apoyo en la edición de este</w:t>
      </w:r>
      <w:r>
        <w:rPr>
          <w:color w:val="231F20"/>
          <w:spacing w:val="-2"/>
        </w:rPr>
        <w:t> </w:t>
      </w:r>
      <w:r>
        <w:rPr>
          <w:color w:val="231F20"/>
        </w:rPr>
        <w:t>libro.</w:t>
      </w:r>
    </w:p>
    <w:p>
      <w:pPr>
        <w:pStyle w:val="BodyText"/>
        <w:spacing w:before="6"/>
      </w:pPr>
    </w:p>
    <w:p>
      <w:pPr>
        <w:pStyle w:val="BodyText"/>
        <w:spacing w:line="247" w:lineRule="auto"/>
        <w:ind w:left="3741" w:right="114" w:firstLine="122"/>
        <w:jc w:val="right"/>
      </w:pPr>
      <w:r>
        <w:rPr>
          <w:color w:val="231F20"/>
        </w:rPr>
        <w:t>Juan Gabino González-Becerril Bernardino Jaciel Montoya-Arce Adán Barreto-Villanueva</w:t>
      </w:r>
    </w:p>
    <w:p>
      <w:pPr>
        <w:spacing w:after="0" w:line="247" w:lineRule="auto"/>
        <w:jc w:val="right"/>
        <w:sectPr>
          <w:footerReference w:type="default" r:id="rId50"/>
          <w:pgSz w:w="9360" w:h="13040"/>
          <w:pgMar w:footer="496" w:header="0" w:top="1200" w:bottom="680" w:left="1300" w:right="1300"/>
        </w:sectPr>
      </w:pPr>
    </w:p>
    <w:p>
      <w:pPr>
        <w:pStyle w:val="BodyText"/>
        <w:ind w:left="119"/>
        <w:rPr>
          <w:sz w:val="20"/>
        </w:rPr>
      </w:pPr>
      <w:r>
        <w:rPr/>
        <w:pict>
          <v:shape style="position:absolute;margin-left:51.969002pt;margin-top:20.784994pt;width:353.4pt;height:43.5pt;mso-position-horizontal-relative:page;mso-position-vertical-relative:page;z-index:-643168" type="#_x0000_t202" filled="false" stroked="false">
            <v:textbox inset="0,0,0,0">
              <w:txbxContent>
                <w:p>
                  <w:pPr>
                    <w:pStyle w:val="BodyText"/>
                    <w:rPr>
                      <w:b/>
                      <w:sz w:val="20"/>
                    </w:rPr>
                  </w:pPr>
                </w:p>
                <w:p>
                  <w:pPr>
                    <w:spacing w:before="159"/>
                    <w:ind w:left="466" w:right="0" w:firstLine="0"/>
                    <w:jc w:val="left"/>
                    <w:rPr>
                      <w:rFonts w:ascii="Arial" w:hAnsi="Arial"/>
                      <w:sz w:val="20"/>
                    </w:rPr>
                  </w:pPr>
                  <w:r>
                    <w:rPr>
                      <w:rFonts w:ascii="Arial" w:hAnsi="Arial"/>
                      <w:color w:val="231F20"/>
                      <w:w w:val="70"/>
                      <w:sz w:val="20"/>
                    </w:rPr>
                    <w:t>Nueva reconfiguración de la inmigración internacional: el caso de España /Lucila Godínez-Montoya </w:t>
                  </w:r>
                  <w:r>
                    <w:rPr>
                      <w:rFonts w:ascii="Arial" w:hAnsi="Arial"/>
                      <w:i/>
                      <w:color w:val="231F20"/>
                      <w:w w:val="70"/>
                      <w:sz w:val="20"/>
                    </w:rPr>
                    <w:t>et al</w:t>
                  </w:r>
                  <w:r>
                    <w:rPr>
                      <w:rFonts w:ascii="Arial" w:hAnsi="Arial"/>
                      <w:color w:val="231F20"/>
                      <w:w w:val="70"/>
                      <w:sz w:val="20"/>
                    </w:rPr>
                    <w:t>.</w:t>
                  </w:r>
                </w:p>
              </w:txbxContent>
            </v:textbox>
            <w10:wrap type="none"/>
          </v:shape>
        </w:pict>
      </w:r>
      <w:r>
        <w:rPr/>
        <w:pict>
          <v:shape style="position:absolute;margin-left:53.858002pt;margin-top:595.864014pt;width:353.4pt;height:43.5pt;mso-position-horizontal-relative:page;mso-position-vertical-relative:page;z-index:-643144" type="#_x0000_t202" filled="false" stroked="false">
            <v:textbox inset="0,0,0,0">
              <w:txbxContent>
                <w:p>
                  <w:pPr>
                    <w:pStyle w:val="BodyText"/>
                    <w:rPr>
                      <w:b/>
                      <w:sz w:val="20"/>
                    </w:rPr>
                  </w:pPr>
                </w:p>
                <w:p>
                  <w:pPr>
                    <w:spacing w:before="147"/>
                    <w:ind w:left="3015" w:right="3021" w:firstLine="0"/>
                    <w:jc w:val="center"/>
                    <w:rPr>
                      <w:rFonts w:ascii="Verdana"/>
                      <w:sz w:val="20"/>
                    </w:rPr>
                  </w:pPr>
                  <w:r>
                    <w:rPr>
                      <w:rFonts w:ascii="Verdana"/>
                      <w:color w:val="231F20"/>
                      <w:sz w:val="20"/>
                    </w:rPr>
                    <w:t>11</w:t>
                  </w:r>
                </w:p>
              </w:txbxContent>
            </v:textbox>
            <w10:wrap type="none"/>
          </v:shape>
        </w:pict>
      </w: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249" w:lineRule="auto" w:before="181"/>
        <w:ind w:left="1950" w:right="303" w:firstLine="4141"/>
      </w:pPr>
      <w:r>
        <w:rPr>
          <w:color w:val="231F20"/>
          <w:w w:val="75"/>
        </w:rPr>
        <w:t>Parte 1 Flujos migratorios ante la globalización</w:t>
      </w:r>
    </w:p>
    <w:p>
      <w:pPr>
        <w:spacing w:before="2"/>
        <w:ind w:left="4525" w:right="0" w:firstLine="0"/>
        <w:jc w:val="left"/>
        <w:rPr>
          <w:b/>
          <w:sz w:val="40"/>
        </w:rPr>
      </w:pPr>
      <w:r>
        <w:rPr>
          <w:b/>
          <w:color w:val="231F20"/>
          <w:w w:val="75"/>
          <w:sz w:val="40"/>
        </w:rPr>
        <w:t>económica mundial</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9"/>
        </w:rPr>
      </w:pPr>
      <w:r>
        <w:rPr/>
        <w:pict>
          <v:rect style="position:absolute;margin-left:53.858002pt;margin-top:13.10841pt;width:353.386pt;height:43.469pt;mso-position-horizontal-relative:page;mso-position-vertical-relative:paragraph;z-index:1408;mso-wrap-distance-left:0;mso-wrap-distance-right:0" filled="true" fillcolor="#ffffff" stroked="false">
            <v:fill type="solid"/>
            <w10:wrap type="topAndBottom"/>
          </v:rect>
        </w:pict>
      </w:r>
    </w:p>
    <w:p>
      <w:pPr>
        <w:spacing w:after="0"/>
        <w:rPr>
          <w:sz w:val="19"/>
        </w:rPr>
        <w:sectPr>
          <w:footerReference w:type="default" r:id="rId51"/>
          <w:pgSz w:w="9360" w:h="13040"/>
          <w:pgMar w:footer="0" w:header="0" w:top="400" w:bottom="0" w:left="920" w:right="1100"/>
        </w:sectPr>
      </w:pPr>
    </w:p>
    <w:p>
      <w:pPr>
        <w:pStyle w:val="BodyText"/>
        <w:ind w:left="101"/>
        <w:rPr>
          <w:sz w:val="20"/>
        </w:rPr>
      </w:pPr>
      <w:r>
        <w:rPr/>
        <w:pict>
          <v:shape style="position:absolute;margin-left:60.094002pt;margin-top:26.099995pt;width:353.4pt;height:43.5pt;mso-position-horizontal-relative:page;mso-position-vertical-relative:page;z-index:-643072" type="#_x0000_t202" filled="false" stroked="false">
            <v:textbox inset="0,0,0,0">
              <w:txbxContent>
                <w:p>
                  <w:pPr>
                    <w:pStyle w:val="BodyText"/>
                    <w:rPr>
                      <w:b/>
                      <w:sz w:val="20"/>
                    </w:rPr>
                  </w:pPr>
                </w:p>
                <w:p>
                  <w:pPr>
                    <w:tabs>
                      <w:tab w:pos="5635" w:val="left" w:leader="none"/>
                    </w:tabs>
                    <w:spacing w:before="115"/>
                    <w:ind w:left="204" w:right="0" w:firstLine="0"/>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txbxContent>
            </v:textbox>
            <w10:wrap type="none"/>
          </v:shape>
        </w:pict>
      </w:r>
      <w:r>
        <w:rPr/>
        <w:pict>
          <v:shape style="position:absolute;margin-left:62.362pt;margin-top:595.864014pt;width:353.4pt;height:43.5pt;mso-position-horizontal-relative:page;mso-position-vertical-relative:page;z-index:-643048" type="#_x0000_t202" filled="false" stroked="false">
            <v:textbox inset="0,0,0,0">
              <w:txbxContent>
                <w:p>
                  <w:pPr>
                    <w:pStyle w:val="BodyText"/>
                    <w:rPr>
                      <w:b/>
                      <w:sz w:val="20"/>
                    </w:rPr>
                  </w:pPr>
                </w:p>
                <w:p>
                  <w:pPr>
                    <w:spacing w:before="147"/>
                    <w:ind w:left="2425" w:right="3055" w:firstLine="0"/>
                    <w:jc w:val="center"/>
                    <w:rPr>
                      <w:rFonts w:ascii="Verdana"/>
                      <w:sz w:val="20"/>
                    </w:rPr>
                  </w:pPr>
                  <w:r>
                    <w:rPr>
                      <w:rFonts w:ascii="Verdana"/>
                      <w:color w:val="231F20"/>
                      <w:sz w:val="20"/>
                    </w:rPr>
                    <w:t>12</w:t>
                  </w:r>
                </w:p>
              </w:txbxContent>
            </v:textbox>
            <w10:wrap type="none"/>
          </v:shape>
        </w:pict>
      </w: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29"/>
        </w:rPr>
      </w:pPr>
      <w:r>
        <w:rPr/>
        <w:pict>
          <v:rect style="position:absolute;margin-left:62.362pt;margin-top:19.187969pt;width:353.386pt;height:43.469pt;mso-position-horizontal-relative:page;mso-position-vertical-relative:paragraph;z-index:1504;mso-wrap-distance-left:0;mso-wrap-distance-right:0" filled="true" fillcolor="#ffffff" stroked="false">
            <v:fill type="solid"/>
            <w10:wrap type="topAndBottom"/>
          </v:rect>
        </w:pict>
      </w:r>
    </w:p>
    <w:p>
      <w:pPr>
        <w:spacing w:after="0"/>
        <w:rPr>
          <w:sz w:val="29"/>
        </w:rPr>
        <w:sectPr>
          <w:footerReference w:type="default" r:id="rId52"/>
          <w:pgSz w:w="9360" w:h="13040"/>
          <w:pgMar w:footer="0" w:header="0" w:top="500" w:bottom="0" w:left="1100" w:right="920"/>
        </w:sectPr>
      </w:pPr>
    </w:p>
    <w:p>
      <w:pPr>
        <w:pStyle w:val="BodyText"/>
        <w:ind w:left="117"/>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spacing w:line="370" w:lineRule="exact" w:before="0"/>
        <w:ind w:left="688"/>
        <w:jc w:val="center"/>
      </w:pPr>
      <w:r>
        <w:rPr/>
        <w:pict>
          <v:shape style="position:absolute;margin-left:53.858002pt;margin-top:-44.814999pt;width:353.4pt;height:43.5pt;mso-position-horizontal-relative:page;mso-position-vertical-relative:paragraph;z-index:-643000" type="#_x0000_t202" filled="false" stroked="false">
            <v:textbox inset="0,0,0,0">
              <w:txbxContent>
                <w:p>
                  <w:pPr>
                    <w:pStyle w:val="BodyText"/>
                    <w:spacing w:before="4"/>
                    <w:rPr>
                      <w:sz w:val="28"/>
                    </w:rPr>
                  </w:pPr>
                </w:p>
                <w:p>
                  <w:pPr>
                    <w:spacing w:before="1"/>
                    <w:ind w:left="428" w:right="0" w:firstLine="0"/>
                    <w:jc w:val="left"/>
                    <w:rPr>
                      <w:rFonts w:ascii="Arial" w:hAnsi="Arial"/>
                      <w:sz w:val="20"/>
                    </w:rPr>
                  </w:pPr>
                  <w:r>
                    <w:rPr>
                      <w:rFonts w:ascii="Arial" w:hAnsi="Arial"/>
                      <w:color w:val="231F20"/>
                      <w:w w:val="70"/>
                      <w:sz w:val="20"/>
                    </w:rPr>
                    <w:t>Nueva reconfiguración de la inmigración internacional: el caso de España /Lucila Godínez-Montoya </w:t>
                  </w:r>
                  <w:r>
                    <w:rPr>
                      <w:rFonts w:ascii="Arial" w:hAnsi="Arial"/>
                      <w:i/>
                      <w:color w:val="231F20"/>
                      <w:w w:val="70"/>
                      <w:sz w:val="20"/>
                    </w:rPr>
                    <w:t>et al</w:t>
                  </w:r>
                  <w:r>
                    <w:rPr>
                      <w:rFonts w:ascii="Arial" w:hAnsi="Arial"/>
                      <w:color w:val="231F20"/>
                      <w:w w:val="70"/>
                      <w:sz w:val="20"/>
                    </w:rPr>
                    <w:t>.</w:t>
                  </w:r>
                </w:p>
              </w:txbxContent>
            </v:textbox>
            <w10:wrap type="none"/>
          </v:shape>
        </w:pict>
      </w:r>
      <w:r>
        <w:rPr>
          <w:w w:val="70"/>
        </w:rPr>
        <w:t>Nueva reconfiguración de la inmigración</w:t>
      </w:r>
    </w:p>
    <w:p>
      <w:pPr>
        <w:spacing w:line="430" w:lineRule="exact" w:before="0"/>
        <w:ind w:left="688" w:right="548" w:firstLine="0"/>
        <w:jc w:val="center"/>
        <w:rPr>
          <w:b/>
          <w:sz w:val="40"/>
        </w:rPr>
      </w:pPr>
      <w:r>
        <w:rPr>
          <w:b/>
          <w:w w:val="70"/>
          <w:sz w:val="40"/>
        </w:rPr>
        <w:t>internacional: el caso de España</w:t>
      </w:r>
    </w:p>
    <w:p>
      <w:pPr>
        <w:pStyle w:val="Heading2"/>
        <w:spacing w:line="300" w:lineRule="exact" w:before="212"/>
        <w:ind w:left="1055" w:firstLine="683"/>
      </w:pPr>
      <w:r>
        <w:rPr/>
        <w:t>Lucila Godínez-Montoya, Esther Figueroa-Hernández y Francisco Pérez-Soto</w:t>
      </w:r>
    </w:p>
    <w:p>
      <w:pPr>
        <w:pStyle w:val="BodyText"/>
        <w:spacing w:before="4"/>
        <w:rPr>
          <w:sz w:val="41"/>
        </w:rPr>
      </w:pPr>
    </w:p>
    <w:p>
      <w:pPr>
        <w:spacing w:before="1"/>
        <w:ind w:left="688" w:right="548" w:firstLine="0"/>
        <w:jc w:val="center"/>
        <w:rPr>
          <w:i/>
          <w:sz w:val="24"/>
        </w:rPr>
      </w:pPr>
      <w:r>
        <w:rPr>
          <w:i/>
          <w:sz w:val="24"/>
        </w:rPr>
        <w:t>Universidad Autónoma de Chapingo, México</w:t>
      </w:r>
    </w:p>
    <w:p>
      <w:pPr>
        <w:pStyle w:val="BodyText"/>
        <w:rPr>
          <w:i/>
          <w:sz w:val="20"/>
        </w:rPr>
      </w:pPr>
    </w:p>
    <w:p>
      <w:pPr>
        <w:pStyle w:val="BodyText"/>
        <w:spacing w:before="8"/>
        <w:rPr>
          <w:i/>
          <w:sz w:val="15"/>
        </w:rPr>
      </w:pPr>
    </w:p>
    <w:p>
      <w:pPr>
        <w:spacing w:before="69"/>
        <w:ind w:left="457" w:right="913" w:firstLine="0"/>
        <w:jc w:val="left"/>
        <w:rPr>
          <w:b/>
          <w:sz w:val="24"/>
        </w:rPr>
      </w:pPr>
      <w:r>
        <w:rPr>
          <w:b/>
          <w:color w:val="231F20"/>
          <w:sz w:val="24"/>
        </w:rPr>
        <w:t>Introducción</w:t>
      </w:r>
    </w:p>
    <w:p>
      <w:pPr>
        <w:pStyle w:val="BodyText"/>
        <w:rPr>
          <w:b/>
          <w:sz w:val="20"/>
        </w:rPr>
      </w:pPr>
    </w:p>
    <w:p>
      <w:pPr>
        <w:pStyle w:val="BodyText"/>
        <w:spacing w:before="6"/>
        <w:rPr>
          <w:b/>
          <w:sz w:val="28"/>
        </w:rPr>
      </w:pPr>
    </w:p>
    <w:p>
      <w:pPr>
        <w:pStyle w:val="BodyText"/>
        <w:spacing w:line="247" w:lineRule="auto"/>
        <w:ind w:left="1383" w:right="315"/>
        <w:jc w:val="both"/>
      </w:pPr>
      <w:r>
        <w:rPr/>
        <w:pict>
          <v:shape style="position:absolute;margin-left:71.810997pt;margin-top:-4.365922pt;width:36.7pt;height:55pt;mso-position-horizontal-relative:page;mso-position-vertical-relative:paragraph;z-index:-642976" type="#_x0000_t202" filled="false" stroked="false">
            <v:textbox inset="0,0,0,0">
              <w:txbxContent>
                <w:p>
                  <w:pPr>
                    <w:spacing w:line="1100" w:lineRule="exact" w:before="0"/>
                    <w:ind w:left="0" w:right="0" w:firstLine="0"/>
                    <w:jc w:val="left"/>
                    <w:rPr>
                      <w:b/>
                      <w:sz w:val="110"/>
                    </w:rPr>
                  </w:pPr>
                  <w:r>
                    <w:rPr>
                      <w:b/>
                      <w:color w:val="231F20"/>
                      <w:sz w:val="110"/>
                    </w:rPr>
                    <w:t>L</w:t>
                  </w:r>
                </w:p>
              </w:txbxContent>
            </v:textbox>
            <w10:wrap type="none"/>
          </v:shape>
        </w:pict>
      </w:r>
      <w:r>
        <w:rPr>
          <w:color w:val="231F20"/>
        </w:rPr>
        <w:t>a migración ha sido una constante en la historia mundial. Sin embargo, las migraciones que han tenido lugar desde</w:t>
      </w:r>
      <w:r>
        <w:rPr>
          <w:color w:val="231F20"/>
          <w:spacing w:val="-14"/>
        </w:rPr>
        <w:t> </w:t>
      </w:r>
      <w:r>
        <w:rPr>
          <w:color w:val="231F20"/>
        </w:rPr>
        <w:t>principios del siglo XXI no tienen precedentes, ya que recientemente</w:t>
      </w:r>
      <w:r>
        <w:rPr>
          <w:color w:val="231F20"/>
          <w:spacing w:val="-33"/>
        </w:rPr>
        <w:t> </w:t>
      </w:r>
      <w:r>
        <w:rPr>
          <w:color w:val="231F20"/>
        </w:rPr>
        <w:t>éstas</w:t>
      </w:r>
    </w:p>
    <w:p>
      <w:pPr>
        <w:pStyle w:val="BodyText"/>
        <w:spacing w:line="234" w:lineRule="exact"/>
        <w:ind w:left="457"/>
        <w:jc w:val="both"/>
      </w:pPr>
      <w:r>
        <w:rPr>
          <w:color w:val="231F20"/>
        </w:rPr>
        <w:t>han alcanzado su mayor volumen en la historia y presentan características</w:t>
      </w:r>
    </w:p>
    <w:p>
      <w:pPr>
        <w:pStyle w:val="BodyText"/>
        <w:spacing w:line="247" w:lineRule="auto" w:before="7"/>
        <w:ind w:left="457" w:right="315"/>
        <w:jc w:val="both"/>
      </w:pPr>
      <w:r>
        <w:rPr>
          <w:color w:val="231F20"/>
        </w:rPr>
        <w:t>que</w:t>
      </w:r>
      <w:r>
        <w:rPr>
          <w:color w:val="231F20"/>
          <w:spacing w:val="-7"/>
        </w:rPr>
        <w:t> </w:t>
      </w:r>
      <w:r>
        <w:rPr>
          <w:color w:val="231F20"/>
        </w:rPr>
        <w:t>las</w:t>
      </w:r>
      <w:r>
        <w:rPr>
          <w:color w:val="231F20"/>
          <w:spacing w:val="-8"/>
        </w:rPr>
        <w:t> </w:t>
      </w:r>
      <w:r>
        <w:rPr>
          <w:color w:val="231F20"/>
        </w:rPr>
        <w:t>diferencian</w:t>
      </w:r>
      <w:r>
        <w:rPr>
          <w:color w:val="231F20"/>
          <w:spacing w:val="-7"/>
        </w:rPr>
        <w:t> </w:t>
      </w:r>
      <w:r>
        <w:rPr>
          <w:color w:val="231F20"/>
        </w:rPr>
        <w:t>de</w:t>
      </w:r>
      <w:r>
        <w:rPr>
          <w:color w:val="231F20"/>
          <w:spacing w:val="-7"/>
        </w:rPr>
        <w:t> </w:t>
      </w:r>
      <w:r>
        <w:rPr>
          <w:color w:val="231F20"/>
        </w:rPr>
        <w:t>las</w:t>
      </w:r>
      <w:r>
        <w:rPr>
          <w:color w:val="231F20"/>
          <w:spacing w:val="-8"/>
        </w:rPr>
        <w:t> </w:t>
      </w:r>
      <w:r>
        <w:rPr>
          <w:color w:val="231F20"/>
        </w:rPr>
        <w:t>observadas</w:t>
      </w:r>
      <w:r>
        <w:rPr>
          <w:color w:val="231F20"/>
          <w:spacing w:val="-7"/>
        </w:rPr>
        <w:t> </w:t>
      </w:r>
      <w:r>
        <w:rPr>
          <w:color w:val="231F20"/>
        </w:rPr>
        <w:t>en</w:t>
      </w:r>
      <w:r>
        <w:rPr>
          <w:color w:val="231F20"/>
          <w:spacing w:val="-7"/>
        </w:rPr>
        <w:t> </w:t>
      </w:r>
      <w:r>
        <w:rPr>
          <w:color w:val="231F20"/>
        </w:rPr>
        <w:t>periodos</w:t>
      </w:r>
      <w:r>
        <w:rPr>
          <w:color w:val="231F20"/>
          <w:spacing w:val="-7"/>
        </w:rPr>
        <w:t> </w:t>
      </w:r>
      <w:r>
        <w:rPr>
          <w:color w:val="231F20"/>
        </w:rPr>
        <w:t>anteriores,</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ha</w:t>
      </w:r>
      <w:r>
        <w:rPr>
          <w:color w:val="231F20"/>
          <w:spacing w:val="-7"/>
        </w:rPr>
        <w:t> </w:t>
      </w:r>
      <w:r>
        <w:rPr>
          <w:color w:val="231F20"/>
        </w:rPr>
        <w:t>pro- piciado una nueva conceptualización del fenómeno, enmarcada en lo que algunos estudiosos llaman “la nueva era” de las migraciones</w:t>
      </w:r>
      <w:r>
        <w:rPr>
          <w:color w:val="231F20"/>
          <w:spacing w:val="-19"/>
        </w:rPr>
        <w:t> </w:t>
      </w:r>
      <w:r>
        <w:rPr>
          <w:color w:val="231F20"/>
        </w:rPr>
        <w:t>internaciona- les (Arango, 2003, mencionado por Fernández,</w:t>
      </w:r>
      <w:r>
        <w:rPr>
          <w:color w:val="231F20"/>
          <w:spacing w:val="-11"/>
        </w:rPr>
        <w:t> </w:t>
      </w:r>
      <w:r>
        <w:rPr>
          <w:color w:val="231F20"/>
        </w:rPr>
        <w:t>2005).</w:t>
      </w:r>
    </w:p>
    <w:p>
      <w:pPr>
        <w:pStyle w:val="BodyText"/>
        <w:spacing w:line="247" w:lineRule="auto"/>
        <w:ind w:left="457" w:right="314" w:firstLine="283"/>
        <w:jc w:val="both"/>
      </w:pPr>
      <w:r>
        <w:rPr>
          <w:color w:val="231F20"/>
        </w:rPr>
        <w:t>Este nuevo ciclo se caracteriza por una profusa reconfiguración del mapa migratorio mundial, el cual parece dar cuenta </w:t>
      </w:r>
      <w:r>
        <w:rPr>
          <w:color w:val="231F20"/>
          <w:spacing w:val="-4"/>
        </w:rPr>
        <w:t>hoy, </w:t>
      </w:r>
      <w:r>
        <w:rPr>
          <w:color w:val="231F20"/>
        </w:rPr>
        <w:t>de una auténtica mundialización migratoria, con una fuerte tendencia a la diversificación de rutas y conexiones origen-destino. El nuevo mapa es el correlato de un escenario de globalización económica, cultural e informacional, que esti- mula que segmentos amplios de la población respondan cada vez más rá- pidamente</w:t>
      </w:r>
      <w:r>
        <w:rPr>
          <w:color w:val="231F20"/>
          <w:spacing w:val="-8"/>
        </w:rPr>
        <w:t> </w:t>
      </w:r>
      <w:r>
        <w:rPr>
          <w:color w:val="231F20"/>
        </w:rPr>
        <w:t>a</w:t>
      </w:r>
      <w:r>
        <w:rPr>
          <w:color w:val="231F20"/>
          <w:spacing w:val="-8"/>
        </w:rPr>
        <w:t> </w:t>
      </w:r>
      <w:r>
        <w:rPr>
          <w:color w:val="231F20"/>
        </w:rPr>
        <w:t>informaciones</w:t>
      </w:r>
      <w:r>
        <w:rPr>
          <w:color w:val="231F20"/>
          <w:spacing w:val="-9"/>
        </w:rPr>
        <w:t> </w:t>
      </w:r>
      <w:r>
        <w:rPr>
          <w:color w:val="231F20"/>
        </w:rPr>
        <w:t>y</w:t>
      </w:r>
      <w:r>
        <w:rPr>
          <w:color w:val="231F20"/>
          <w:spacing w:val="-8"/>
        </w:rPr>
        <w:t> </w:t>
      </w:r>
      <w:r>
        <w:rPr>
          <w:color w:val="231F20"/>
        </w:rPr>
        <w:t>oportunidades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originan</w:t>
      </w:r>
      <w:r>
        <w:rPr>
          <w:color w:val="231F20"/>
          <w:spacing w:val="-8"/>
        </w:rPr>
        <w:t> </w:t>
      </w:r>
      <w:r>
        <w:rPr>
          <w:color w:val="231F20"/>
        </w:rPr>
        <w:t>más</w:t>
      </w:r>
      <w:r>
        <w:rPr>
          <w:color w:val="231F20"/>
          <w:spacing w:val="-8"/>
        </w:rPr>
        <w:t> </w:t>
      </w:r>
      <w:r>
        <w:rPr>
          <w:color w:val="231F20"/>
        </w:rPr>
        <w:t>allá</w:t>
      </w:r>
      <w:r>
        <w:rPr>
          <w:color w:val="231F20"/>
          <w:spacing w:val="-8"/>
        </w:rPr>
        <w:t> </w:t>
      </w:r>
      <w:r>
        <w:rPr>
          <w:color w:val="231F20"/>
        </w:rPr>
        <w:t>de</w:t>
      </w:r>
      <w:r>
        <w:rPr>
          <w:color w:val="231F20"/>
          <w:spacing w:val="-8"/>
        </w:rPr>
        <w:t> </w:t>
      </w:r>
      <w:r>
        <w:rPr>
          <w:color w:val="231F20"/>
        </w:rPr>
        <w:t>las fronteras nacionales (CONAPO, 2009). De esta forma la nueva era de la globalización,</w:t>
      </w:r>
      <w:r>
        <w:rPr>
          <w:color w:val="231F20"/>
          <w:spacing w:val="-9"/>
        </w:rPr>
        <w:t> </w:t>
      </w:r>
      <w:r>
        <w:rPr>
          <w:color w:val="231F20"/>
        </w:rPr>
        <w:t>se</w:t>
      </w:r>
      <w:r>
        <w:rPr>
          <w:color w:val="231F20"/>
          <w:spacing w:val="-9"/>
        </w:rPr>
        <w:t> </w:t>
      </w:r>
      <w:r>
        <w:rPr>
          <w:color w:val="231F20"/>
        </w:rPr>
        <w:t>ha</w:t>
      </w:r>
      <w:r>
        <w:rPr>
          <w:color w:val="231F20"/>
          <w:spacing w:val="-9"/>
        </w:rPr>
        <w:t> </w:t>
      </w:r>
      <w:r>
        <w:rPr>
          <w:color w:val="231F20"/>
        </w:rPr>
        <w:t>convertido</w:t>
      </w:r>
      <w:r>
        <w:rPr>
          <w:color w:val="231F20"/>
          <w:spacing w:val="-10"/>
        </w:rPr>
        <w:t> </w:t>
      </w:r>
      <w:r>
        <w:rPr>
          <w:color w:val="231F20"/>
        </w:rPr>
        <w:t>en</w:t>
      </w:r>
      <w:r>
        <w:rPr>
          <w:color w:val="231F20"/>
          <w:spacing w:val="-9"/>
        </w:rPr>
        <w:t> </w:t>
      </w:r>
      <w:r>
        <w:rPr>
          <w:color w:val="231F20"/>
        </w:rPr>
        <w:t>un</w:t>
      </w:r>
      <w:r>
        <w:rPr>
          <w:color w:val="231F20"/>
          <w:spacing w:val="-9"/>
        </w:rPr>
        <w:t> </w:t>
      </w:r>
      <w:r>
        <w:rPr>
          <w:color w:val="231F20"/>
        </w:rPr>
        <w:t>asunto</w:t>
      </w:r>
      <w:r>
        <w:rPr>
          <w:color w:val="231F20"/>
          <w:spacing w:val="-10"/>
        </w:rPr>
        <w:t> </w:t>
      </w:r>
      <w:r>
        <w:rPr>
          <w:color w:val="231F20"/>
        </w:rPr>
        <w:t>de</w:t>
      </w:r>
      <w:r>
        <w:rPr>
          <w:color w:val="231F20"/>
          <w:spacing w:val="-9"/>
        </w:rPr>
        <w:t> </w:t>
      </w:r>
      <w:r>
        <w:rPr>
          <w:color w:val="231F20"/>
        </w:rPr>
        <w:t>especial</w:t>
      </w:r>
      <w:r>
        <w:rPr>
          <w:color w:val="231F20"/>
          <w:spacing w:val="-10"/>
        </w:rPr>
        <w:t> </w:t>
      </w:r>
      <w:r>
        <w:rPr>
          <w:color w:val="231F20"/>
        </w:rPr>
        <w:t>trascendencia.</w:t>
      </w:r>
      <w:r>
        <w:rPr>
          <w:color w:val="231F20"/>
          <w:spacing w:val="-10"/>
        </w:rPr>
        <w:t> </w:t>
      </w:r>
      <w:r>
        <w:rPr>
          <w:color w:val="231F20"/>
        </w:rPr>
        <w:t>Por un lado, la mejora y expansión de los sistemas de comunicación y trans- porte</w:t>
      </w:r>
      <w:r>
        <w:rPr>
          <w:color w:val="231F20"/>
          <w:spacing w:val="-8"/>
        </w:rPr>
        <w:t> </w:t>
      </w:r>
      <w:r>
        <w:rPr>
          <w:color w:val="231F20"/>
        </w:rPr>
        <w:t>y</w:t>
      </w:r>
      <w:r>
        <w:rPr>
          <w:color w:val="231F20"/>
          <w:spacing w:val="-7"/>
        </w:rPr>
        <w:t> </w:t>
      </w:r>
      <w:r>
        <w:rPr>
          <w:color w:val="231F20"/>
        </w:rPr>
        <w:t>la</w:t>
      </w:r>
      <w:r>
        <w:rPr>
          <w:color w:val="231F20"/>
          <w:spacing w:val="-8"/>
        </w:rPr>
        <w:t> </w:t>
      </w:r>
      <w:r>
        <w:rPr>
          <w:color w:val="231F20"/>
        </w:rPr>
        <w:t>significativa</w:t>
      </w:r>
      <w:r>
        <w:rPr>
          <w:color w:val="231F20"/>
          <w:spacing w:val="-8"/>
        </w:rPr>
        <w:t> </w:t>
      </w:r>
      <w:r>
        <w:rPr>
          <w:color w:val="231F20"/>
        </w:rPr>
        <w:t>reducción</w:t>
      </w:r>
      <w:r>
        <w:rPr>
          <w:color w:val="231F20"/>
          <w:spacing w:val="-8"/>
        </w:rPr>
        <w:t> </w:t>
      </w:r>
      <w:r>
        <w:rPr>
          <w:color w:val="231F20"/>
        </w:rPr>
        <w:t>del</w:t>
      </w:r>
      <w:r>
        <w:rPr>
          <w:color w:val="231F20"/>
          <w:spacing w:val="-8"/>
        </w:rPr>
        <w:t> </w:t>
      </w:r>
      <w:r>
        <w:rPr>
          <w:color w:val="231F20"/>
        </w:rPr>
        <w:t>tiempo</w:t>
      </w:r>
      <w:r>
        <w:rPr>
          <w:color w:val="231F20"/>
          <w:spacing w:val="-8"/>
        </w:rPr>
        <w:t> </w:t>
      </w:r>
      <w:r>
        <w:rPr>
          <w:color w:val="231F20"/>
        </w:rPr>
        <w:t>y</w:t>
      </w:r>
      <w:r>
        <w:rPr>
          <w:color w:val="231F20"/>
          <w:spacing w:val="-7"/>
        </w:rPr>
        <w:t> </w:t>
      </w:r>
      <w:r>
        <w:rPr>
          <w:color w:val="231F20"/>
        </w:rPr>
        <w:t>coste</w:t>
      </w:r>
      <w:r>
        <w:rPr>
          <w:color w:val="231F20"/>
          <w:spacing w:val="-8"/>
        </w:rPr>
        <w:t> </w:t>
      </w:r>
      <w:r>
        <w:rPr>
          <w:color w:val="231F20"/>
        </w:rPr>
        <w:t>de</w:t>
      </w:r>
      <w:r>
        <w:rPr>
          <w:color w:val="231F20"/>
          <w:spacing w:val="-8"/>
        </w:rPr>
        <w:t> </w:t>
      </w:r>
      <w:r>
        <w:rPr>
          <w:color w:val="231F20"/>
        </w:rPr>
        <w:t>desplazamiento,</w:t>
      </w:r>
      <w:r>
        <w:rPr>
          <w:color w:val="231F20"/>
          <w:spacing w:val="-8"/>
        </w:rPr>
        <w:t> </w:t>
      </w:r>
      <w:r>
        <w:rPr>
          <w:color w:val="231F20"/>
        </w:rPr>
        <w:t>así como</w:t>
      </w:r>
      <w:r>
        <w:rPr>
          <w:color w:val="231F20"/>
          <w:spacing w:val="-7"/>
        </w:rPr>
        <w:t> </w:t>
      </w:r>
      <w:r>
        <w:rPr>
          <w:color w:val="231F20"/>
        </w:rPr>
        <w:t>las</w:t>
      </w:r>
      <w:r>
        <w:rPr>
          <w:color w:val="231F20"/>
          <w:spacing w:val="-7"/>
        </w:rPr>
        <w:t> </w:t>
      </w:r>
      <w:r>
        <w:rPr>
          <w:color w:val="231F20"/>
        </w:rPr>
        <w:t>disparidades</w:t>
      </w:r>
      <w:r>
        <w:rPr>
          <w:color w:val="231F20"/>
          <w:spacing w:val="-7"/>
        </w:rPr>
        <w:t> </w:t>
      </w:r>
      <w:r>
        <w:rPr>
          <w:color w:val="231F20"/>
        </w:rPr>
        <w:t>económicas</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existencia</w:t>
      </w:r>
      <w:r>
        <w:rPr>
          <w:color w:val="231F20"/>
          <w:spacing w:val="-7"/>
        </w:rPr>
        <w:t> </w:t>
      </w:r>
      <w:r>
        <w:rPr>
          <w:color w:val="231F20"/>
        </w:rPr>
        <w:t>de</w:t>
      </w:r>
      <w:r>
        <w:rPr>
          <w:color w:val="231F20"/>
          <w:spacing w:val="-7"/>
        </w:rPr>
        <w:t> </w:t>
      </w:r>
      <w:r>
        <w:rPr>
          <w:color w:val="231F20"/>
        </w:rPr>
        <w:t>situaciones</w:t>
      </w:r>
      <w:r>
        <w:rPr>
          <w:color w:val="231F20"/>
          <w:spacing w:val="-7"/>
        </w:rPr>
        <w:t> </w:t>
      </w:r>
      <w:r>
        <w:rPr>
          <w:color w:val="231F20"/>
        </w:rPr>
        <w:t>sociales</w:t>
      </w:r>
      <w:r>
        <w:rPr>
          <w:color w:val="231F20"/>
          <w:spacing w:val="-6"/>
        </w:rPr>
        <w:t> </w:t>
      </w:r>
      <w:r>
        <w:rPr>
          <w:color w:val="231F20"/>
        </w:rPr>
        <w:t>y políticas</w:t>
      </w:r>
      <w:r>
        <w:rPr>
          <w:color w:val="231F20"/>
          <w:spacing w:val="-11"/>
        </w:rPr>
        <w:t> </w:t>
      </w:r>
      <w:r>
        <w:rPr>
          <w:color w:val="231F20"/>
        </w:rPr>
        <w:t>extremas</w:t>
      </w:r>
      <w:r>
        <w:rPr>
          <w:color w:val="231F20"/>
          <w:spacing w:val="-11"/>
        </w:rPr>
        <w:t> </w:t>
      </w:r>
      <w:r>
        <w:rPr>
          <w:color w:val="231F20"/>
        </w:rPr>
        <w:t>han</w:t>
      </w:r>
      <w:r>
        <w:rPr>
          <w:color w:val="231F20"/>
          <w:spacing w:val="-11"/>
        </w:rPr>
        <w:t> </w:t>
      </w:r>
      <w:r>
        <w:rPr>
          <w:color w:val="231F20"/>
        </w:rPr>
        <w:t>propiciado</w:t>
      </w:r>
      <w:r>
        <w:rPr>
          <w:color w:val="231F20"/>
          <w:spacing w:val="-11"/>
        </w:rPr>
        <w:t> </w:t>
      </w:r>
      <w:r>
        <w:rPr>
          <w:color w:val="231F20"/>
        </w:rPr>
        <w:t>el</w:t>
      </w:r>
      <w:r>
        <w:rPr>
          <w:color w:val="231F20"/>
          <w:spacing w:val="-11"/>
        </w:rPr>
        <w:t> </w:t>
      </w:r>
      <w:r>
        <w:rPr>
          <w:color w:val="231F20"/>
        </w:rPr>
        <w:t>crecimiento</w:t>
      </w:r>
      <w:r>
        <w:rPr>
          <w:color w:val="231F20"/>
          <w:spacing w:val="-12"/>
        </w:rPr>
        <w:t> </w:t>
      </w:r>
      <w:r>
        <w:rPr>
          <w:color w:val="231F20"/>
        </w:rPr>
        <w:t>de</w:t>
      </w:r>
      <w:r>
        <w:rPr>
          <w:color w:val="231F20"/>
          <w:spacing w:val="-11"/>
        </w:rPr>
        <w:t> </w:t>
      </w:r>
      <w:r>
        <w:rPr>
          <w:color w:val="231F20"/>
        </w:rPr>
        <w:t>los</w:t>
      </w:r>
      <w:r>
        <w:rPr>
          <w:color w:val="231F20"/>
          <w:spacing w:val="-11"/>
        </w:rPr>
        <w:t> </w:t>
      </w:r>
      <w:r>
        <w:rPr>
          <w:color w:val="231F20"/>
        </w:rPr>
        <w:t>movimientos</w:t>
      </w:r>
      <w:r>
        <w:rPr>
          <w:color w:val="231F20"/>
          <w:spacing w:val="-11"/>
        </w:rPr>
        <w:t> </w:t>
      </w:r>
      <w:r>
        <w:rPr>
          <w:color w:val="231F20"/>
        </w:rPr>
        <w:t>trans- nacionales de personas y la intensificación de las presiones</w:t>
      </w:r>
      <w:r>
        <w:rPr>
          <w:color w:val="231F20"/>
          <w:spacing w:val="-12"/>
        </w:rPr>
        <w:t> </w:t>
      </w:r>
      <w:r>
        <w:rPr>
          <w:color w:val="231F20"/>
        </w:rPr>
        <w:t>migratorias.</w:t>
      </w:r>
    </w:p>
    <w:p>
      <w:pPr>
        <w:pStyle w:val="BodyText"/>
        <w:spacing w:line="247" w:lineRule="auto"/>
        <w:ind w:left="457" w:right="315" w:firstLine="283"/>
        <w:jc w:val="both"/>
      </w:pPr>
      <w:r>
        <w:rPr>
          <w:color w:val="231F20"/>
        </w:rPr>
        <w:t>En</w:t>
      </w:r>
      <w:r>
        <w:rPr>
          <w:color w:val="231F20"/>
          <w:spacing w:val="-9"/>
        </w:rPr>
        <w:t> </w:t>
      </w:r>
      <w:r>
        <w:rPr>
          <w:color w:val="231F20"/>
        </w:rPr>
        <w:t>este</w:t>
      </w:r>
      <w:r>
        <w:rPr>
          <w:color w:val="231F20"/>
          <w:spacing w:val="-9"/>
        </w:rPr>
        <w:t> </w:t>
      </w:r>
      <w:r>
        <w:rPr>
          <w:color w:val="231F20"/>
        </w:rPr>
        <w:t>sentido,</w:t>
      </w:r>
      <w:r>
        <w:rPr>
          <w:color w:val="231F20"/>
          <w:spacing w:val="-8"/>
        </w:rPr>
        <w:t> </w:t>
      </w:r>
      <w:r>
        <w:rPr>
          <w:color w:val="231F20"/>
        </w:rPr>
        <w:t>España</w:t>
      </w:r>
      <w:r>
        <w:rPr>
          <w:color w:val="231F20"/>
          <w:spacing w:val="-9"/>
        </w:rPr>
        <w:t> </w:t>
      </w:r>
      <w:r>
        <w:rPr>
          <w:color w:val="231F20"/>
        </w:rPr>
        <w:t>nunca</w:t>
      </w:r>
      <w:r>
        <w:rPr>
          <w:color w:val="231F20"/>
          <w:spacing w:val="-9"/>
        </w:rPr>
        <w:t> </w:t>
      </w:r>
      <w:r>
        <w:rPr>
          <w:color w:val="231F20"/>
        </w:rPr>
        <w:t>ha</w:t>
      </w:r>
      <w:r>
        <w:rPr>
          <w:color w:val="231F20"/>
          <w:spacing w:val="-9"/>
        </w:rPr>
        <w:t> </w:t>
      </w:r>
      <w:r>
        <w:rPr>
          <w:color w:val="231F20"/>
        </w:rPr>
        <w:t>sido</w:t>
      </w:r>
      <w:r>
        <w:rPr>
          <w:color w:val="231F20"/>
          <w:spacing w:val="-9"/>
        </w:rPr>
        <w:t> </w:t>
      </w:r>
      <w:r>
        <w:rPr>
          <w:color w:val="231F20"/>
        </w:rPr>
        <w:t>ajena</w:t>
      </w:r>
      <w:r>
        <w:rPr>
          <w:color w:val="231F20"/>
          <w:spacing w:val="-9"/>
        </w:rPr>
        <w:t> </w:t>
      </w:r>
      <w:r>
        <w:rPr>
          <w:color w:val="231F20"/>
        </w:rPr>
        <w:t>al</w:t>
      </w:r>
      <w:r>
        <w:rPr>
          <w:color w:val="231F20"/>
          <w:spacing w:val="-9"/>
        </w:rPr>
        <w:t> </w:t>
      </w:r>
      <w:r>
        <w:rPr>
          <w:color w:val="231F20"/>
        </w:rPr>
        <w:t>fenómeno</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corrien- tes migratorias. Así por ejemplo, en los últimos años y durante la primera mitad</w:t>
      </w:r>
      <w:r>
        <w:rPr>
          <w:color w:val="231F20"/>
          <w:spacing w:val="14"/>
        </w:rPr>
        <w:t> </w:t>
      </w:r>
      <w:r>
        <w:rPr>
          <w:color w:val="231F20"/>
        </w:rPr>
        <w:t>del</w:t>
      </w:r>
      <w:r>
        <w:rPr>
          <w:color w:val="231F20"/>
          <w:spacing w:val="14"/>
        </w:rPr>
        <w:t> </w:t>
      </w:r>
      <w:r>
        <w:rPr>
          <w:color w:val="231F20"/>
        </w:rPr>
        <w:t>siglo</w:t>
      </w:r>
      <w:r>
        <w:rPr>
          <w:color w:val="231F20"/>
          <w:spacing w:val="14"/>
        </w:rPr>
        <w:t> </w:t>
      </w:r>
      <w:r>
        <w:rPr>
          <w:color w:val="231F20"/>
        </w:rPr>
        <w:t>XX</w:t>
      </w:r>
      <w:r>
        <w:rPr>
          <w:color w:val="231F20"/>
          <w:spacing w:val="14"/>
        </w:rPr>
        <w:t> </w:t>
      </w:r>
      <w:r>
        <w:rPr>
          <w:color w:val="231F20"/>
        </w:rPr>
        <w:t>y</w:t>
      </w:r>
      <w:r>
        <w:rPr>
          <w:color w:val="231F20"/>
          <w:spacing w:val="14"/>
        </w:rPr>
        <w:t> </w:t>
      </w:r>
      <w:r>
        <w:rPr>
          <w:color w:val="231F20"/>
        </w:rPr>
        <w:t>parte</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segunda,</w:t>
      </w:r>
      <w:r>
        <w:rPr>
          <w:color w:val="231F20"/>
          <w:spacing w:val="14"/>
        </w:rPr>
        <w:t> </w:t>
      </w:r>
      <w:r>
        <w:rPr>
          <w:color w:val="231F20"/>
        </w:rPr>
        <w:t>grandes</w:t>
      </w:r>
      <w:r>
        <w:rPr>
          <w:color w:val="231F20"/>
          <w:spacing w:val="14"/>
        </w:rPr>
        <w:t> </w:t>
      </w:r>
      <w:r>
        <w:rPr>
          <w:color w:val="231F20"/>
        </w:rPr>
        <w:t>contingentes</w:t>
      </w:r>
      <w:r>
        <w:rPr>
          <w:color w:val="231F20"/>
          <w:spacing w:val="14"/>
        </w:rPr>
        <w:t> </w:t>
      </w:r>
      <w:r>
        <w:rPr>
          <w:color w:val="231F20"/>
        </w:rPr>
        <w:t>de</w:t>
      </w:r>
      <w:r>
        <w:rPr>
          <w:color w:val="231F20"/>
          <w:spacing w:val="14"/>
        </w:rPr>
        <w:t> </w:t>
      </w:r>
      <w:r>
        <w:rPr>
          <w:color w:val="231F20"/>
        </w:rPr>
        <w:t>espa-</w:t>
      </w:r>
    </w:p>
    <w:p>
      <w:pPr>
        <w:spacing w:after="0" w:line="247" w:lineRule="auto"/>
        <w:jc w:val="both"/>
        <w:sectPr>
          <w:footerReference w:type="default" r:id="rId53"/>
          <w:pgSz w:w="9360" w:h="13040"/>
          <w:pgMar w:footer="496" w:header="0" w:top="460" w:bottom="680" w:left="960" w:right="1100"/>
          <w:pgNumType w:start="13"/>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jc w:val="both"/>
      </w:pPr>
      <w:r>
        <w:rPr>
          <w:color w:val="231F20"/>
        </w:rPr>
        <w:t>ñoles emigraron hacia diferentes puntos de América Latina y Europa en busca de un empleo y mejor calidad de vida. Pero fue a finales del siglo pasado cuando España, impulsada por el acelerado ritmo de crecimiento económico adoptado en parte gracias a su integración económica en Eu- ropa, pasó de ser una economía emisora de emigrantes a una receptora de inmigrantes.</w:t>
      </w:r>
      <w:r>
        <w:rPr>
          <w:color w:val="231F20"/>
          <w:spacing w:val="-7"/>
        </w:rPr>
        <w:t> </w:t>
      </w:r>
      <w:r>
        <w:rPr>
          <w:color w:val="231F20"/>
        </w:rPr>
        <w:t>Sin</w:t>
      </w:r>
      <w:r>
        <w:rPr>
          <w:color w:val="231F20"/>
          <w:spacing w:val="-6"/>
        </w:rPr>
        <w:t> </w:t>
      </w:r>
      <w:r>
        <w:rPr>
          <w:color w:val="231F20"/>
        </w:rPr>
        <w:t>embargo,</w:t>
      </w:r>
      <w:r>
        <w:rPr>
          <w:color w:val="231F20"/>
          <w:spacing w:val="-7"/>
        </w:rPr>
        <w:t> </w:t>
      </w:r>
      <w:r>
        <w:rPr>
          <w:color w:val="231F20"/>
        </w:rPr>
        <w:t>el</w:t>
      </w:r>
      <w:r>
        <w:rPr>
          <w:color w:val="231F20"/>
          <w:spacing w:val="-7"/>
        </w:rPr>
        <w:t> </w:t>
      </w:r>
      <w:r>
        <w:rPr>
          <w:color w:val="231F20"/>
        </w:rPr>
        <w:t>fenómeno</w:t>
      </w:r>
      <w:r>
        <w:rPr>
          <w:color w:val="231F20"/>
          <w:spacing w:val="-6"/>
        </w:rPr>
        <w:t> </w:t>
      </w:r>
      <w:r>
        <w:rPr>
          <w:color w:val="231F20"/>
        </w:rPr>
        <w:t>de</w:t>
      </w:r>
      <w:r>
        <w:rPr>
          <w:color w:val="231F20"/>
          <w:spacing w:val="-7"/>
        </w:rPr>
        <w:t> </w:t>
      </w:r>
      <w:r>
        <w:rPr>
          <w:color w:val="231F20"/>
        </w:rPr>
        <w:t>la</w:t>
      </w:r>
      <w:r>
        <w:rPr>
          <w:color w:val="231F20"/>
          <w:spacing w:val="-7"/>
        </w:rPr>
        <w:t> </w:t>
      </w:r>
      <w:r>
        <w:rPr>
          <w:color w:val="231F20"/>
        </w:rPr>
        <w:t>inmigración</w:t>
      </w:r>
      <w:r>
        <w:rPr>
          <w:color w:val="231F20"/>
          <w:spacing w:val="-7"/>
        </w:rPr>
        <w:t> </w:t>
      </w:r>
      <w:r>
        <w:rPr>
          <w:color w:val="231F20"/>
        </w:rPr>
        <w:t>en</w:t>
      </w:r>
      <w:r>
        <w:rPr>
          <w:color w:val="231F20"/>
          <w:spacing w:val="-7"/>
        </w:rPr>
        <w:t> </w:t>
      </w:r>
      <w:r>
        <w:rPr>
          <w:color w:val="231F20"/>
        </w:rPr>
        <w:t>España</w:t>
      </w:r>
      <w:r>
        <w:rPr>
          <w:color w:val="231F20"/>
          <w:spacing w:val="-7"/>
        </w:rPr>
        <w:t> </w:t>
      </w:r>
      <w:r>
        <w:rPr>
          <w:color w:val="231F20"/>
        </w:rPr>
        <w:t>cobró verdadera importancia hasta principios del siglo XXI, cuando las fuertes oleadas masivas de personas provenientes de países en vías de desarrollo se dejaron sentir en su estructura poblacional y actividad laboral; de ésta manera, durante el primer quinquenio de este siglo si al 1 de enero del</w:t>
      </w:r>
      <w:r>
        <w:rPr>
          <w:color w:val="231F20"/>
          <w:spacing w:val="-34"/>
        </w:rPr>
        <w:t> </w:t>
      </w:r>
      <w:r>
        <w:rPr>
          <w:color w:val="231F20"/>
        </w:rPr>
        <w:t>año 2000</w:t>
      </w:r>
      <w:r>
        <w:rPr>
          <w:color w:val="231F20"/>
          <w:spacing w:val="-6"/>
        </w:rPr>
        <w:t> </w:t>
      </w:r>
      <w:r>
        <w:rPr>
          <w:color w:val="231F20"/>
        </w:rPr>
        <w:t>los</w:t>
      </w:r>
      <w:r>
        <w:rPr>
          <w:color w:val="231F20"/>
          <w:spacing w:val="-6"/>
        </w:rPr>
        <w:t> </w:t>
      </w:r>
      <w:r>
        <w:rPr>
          <w:color w:val="231F20"/>
        </w:rPr>
        <w:t>residentes</w:t>
      </w:r>
      <w:r>
        <w:rPr>
          <w:color w:val="231F20"/>
          <w:spacing w:val="-6"/>
        </w:rPr>
        <w:t> </w:t>
      </w:r>
      <w:r>
        <w:rPr>
          <w:color w:val="231F20"/>
        </w:rPr>
        <w:t>extranjeros</w:t>
      </w:r>
      <w:r>
        <w:rPr>
          <w:color w:val="231F20"/>
          <w:spacing w:val="-6"/>
        </w:rPr>
        <w:t> </w:t>
      </w:r>
      <w:r>
        <w:rPr>
          <w:color w:val="231F20"/>
        </w:rPr>
        <w:t>en</w:t>
      </w:r>
      <w:r>
        <w:rPr>
          <w:color w:val="231F20"/>
          <w:spacing w:val="-6"/>
        </w:rPr>
        <w:t> </w:t>
      </w:r>
      <w:r>
        <w:rPr>
          <w:color w:val="231F20"/>
        </w:rPr>
        <w:t>España</w:t>
      </w:r>
      <w:r>
        <w:rPr>
          <w:color w:val="231F20"/>
          <w:spacing w:val="-6"/>
        </w:rPr>
        <w:t> </w:t>
      </w:r>
      <w:r>
        <w:rPr>
          <w:color w:val="231F20"/>
        </w:rPr>
        <w:t>eran</w:t>
      </w:r>
      <w:r>
        <w:rPr>
          <w:color w:val="231F20"/>
          <w:spacing w:val="-6"/>
        </w:rPr>
        <w:t> </w:t>
      </w:r>
      <w:r>
        <w:rPr>
          <w:color w:val="231F20"/>
        </w:rPr>
        <w:t>0.9</w:t>
      </w:r>
      <w:r>
        <w:rPr>
          <w:color w:val="231F20"/>
          <w:spacing w:val="-6"/>
        </w:rPr>
        <w:t> </w:t>
      </w:r>
      <w:r>
        <w:rPr>
          <w:color w:val="231F20"/>
        </w:rPr>
        <w:t>millones</w:t>
      </w:r>
      <w:r>
        <w:rPr>
          <w:color w:val="231F20"/>
          <w:spacing w:val="-6"/>
        </w:rPr>
        <w:t> </w:t>
      </w:r>
      <w:r>
        <w:rPr>
          <w:color w:val="231F20"/>
        </w:rPr>
        <w:t>(que</w:t>
      </w:r>
      <w:r>
        <w:rPr>
          <w:color w:val="231F20"/>
          <w:spacing w:val="-6"/>
        </w:rPr>
        <w:t> </w:t>
      </w:r>
      <w:r>
        <w:rPr>
          <w:color w:val="231F20"/>
        </w:rPr>
        <w:t>represen- taban 2.3 por ciento de las personas empadronadas) al 1 de enero de 2005 ya</w:t>
      </w:r>
      <w:r>
        <w:rPr>
          <w:color w:val="231F20"/>
          <w:spacing w:val="-8"/>
        </w:rPr>
        <w:t> </w:t>
      </w:r>
      <w:r>
        <w:rPr>
          <w:color w:val="231F20"/>
        </w:rPr>
        <w:t>eran</w:t>
      </w:r>
      <w:r>
        <w:rPr>
          <w:color w:val="231F20"/>
          <w:spacing w:val="-8"/>
        </w:rPr>
        <w:t> </w:t>
      </w:r>
      <w:r>
        <w:rPr>
          <w:color w:val="231F20"/>
        </w:rPr>
        <w:t>3.7</w:t>
      </w:r>
      <w:r>
        <w:rPr>
          <w:color w:val="231F20"/>
          <w:spacing w:val="-8"/>
        </w:rPr>
        <w:t> </w:t>
      </w:r>
      <w:r>
        <w:rPr>
          <w:color w:val="231F20"/>
        </w:rPr>
        <w:t>millones,</w:t>
      </w:r>
      <w:r>
        <w:rPr>
          <w:color w:val="231F20"/>
          <w:spacing w:val="-9"/>
        </w:rPr>
        <w:t> </w:t>
      </w:r>
      <w:r>
        <w:rPr>
          <w:color w:val="231F20"/>
        </w:rPr>
        <w:t>es</w:t>
      </w:r>
      <w:r>
        <w:rPr>
          <w:color w:val="231F20"/>
          <w:spacing w:val="-8"/>
        </w:rPr>
        <w:t> </w:t>
      </w:r>
      <w:r>
        <w:rPr>
          <w:color w:val="231F20"/>
        </w:rPr>
        <w:t>decir,</w:t>
      </w:r>
      <w:r>
        <w:rPr>
          <w:color w:val="231F20"/>
          <w:spacing w:val="-8"/>
        </w:rPr>
        <w:t> </w:t>
      </w:r>
      <w:r>
        <w:rPr>
          <w:color w:val="231F20"/>
        </w:rPr>
        <w:t>8.5</w:t>
      </w:r>
      <w:r>
        <w:rPr>
          <w:color w:val="231F20"/>
          <w:spacing w:val="-8"/>
        </w:rPr>
        <w:t> </w:t>
      </w:r>
      <w:r>
        <w:rPr>
          <w:color w:val="231F20"/>
        </w:rPr>
        <w:t>por</w:t>
      </w:r>
      <w:r>
        <w:rPr>
          <w:color w:val="231F20"/>
          <w:spacing w:val="-8"/>
        </w:rPr>
        <w:t> </w:t>
      </w:r>
      <w:r>
        <w:rPr>
          <w:color w:val="231F20"/>
        </w:rPr>
        <w:t>ciento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población</w:t>
      </w:r>
      <w:r>
        <w:rPr>
          <w:color w:val="231F20"/>
          <w:spacing w:val="-8"/>
        </w:rPr>
        <w:t> </w:t>
      </w:r>
      <w:r>
        <w:rPr>
          <w:color w:val="231F20"/>
        </w:rPr>
        <w:t>residente</w:t>
      </w:r>
      <w:r>
        <w:rPr>
          <w:color w:val="231F20"/>
          <w:spacing w:val="-8"/>
        </w:rPr>
        <w:t> </w:t>
      </w:r>
      <w:r>
        <w:rPr>
          <w:color w:val="231F20"/>
        </w:rPr>
        <w:t>en</w:t>
      </w:r>
      <w:r>
        <w:rPr>
          <w:color w:val="231F20"/>
          <w:spacing w:val="-8"/>
        </w:rPr>
        <w:t> </w:t>
      </w:r>
      <w:r>
        <w:rPr>
          <w:color w:val="231F20"/>
        </w:rPr>
        <w:t>el país, habiéndose por tanto cuadriplicado el efectivo de extranjeros en tan sólo cinco años (González, 2006: 2-3; Gil, 2007: 1).</w:t>
      </w:r>
    </w:p>
    <w:p>
      <w:pPr>
        <w:pStyle w:val="BodyText"/>
        <w:spacing w:line="247" w:lineRule="auto"/>
        <w:ind w:left="117" w:right="115" w:firstLine="283"/>
        <w:jc w:val="both"/>
      </w:pPr>
      <w:r>
        <w:rPr>
          <w:color w:val="231F20"/>
        </w:rPr>
        <w:t>Con base en lo anterior, el objetivo del presente trabajo consistió en analizar las características de los flujos de inmigración actuales en España procedentes de países latinoamericanos, enmarcados en la nueva reconfi- guración del mapa migratorio mundial.</w:t>
      </w:r>
    </w:p>
    <w:p>
      <w:pPr>
        <w:spacing w:before="171"/>
        <w:ind w:left="117" w:right="0" w:firstLine="0"/>
        <w:jc w:val="both"/>
        <w:rPr>
          <w:b/>
          <w:sz w:val="24"/>
        </w:rPr>
      </w:pPr>
      <w:r>
        <w:rPr>
          <w:b/>
          <w:color w:val="231F20"/>
          <w:sz w:val="24"/>
        </w:rPr>
        <w:t>Metodología</w:t>
      </w:r>
    </w:p>
    <w:p>
      <w:pPr>
        <w:pStyle w:val="BodyText"/>
        <w:spacing w:line="247" w:lineRule="auto" w:before="172"/>
        <w:ind w:left="117" w:right="114"/>
        <w:jc w:val="both"/>
      </w:pPr>
      <w:r>
        <w:rPr>
          <w:color w:val="231F20"/>
        </w:rPr>
        <w:t>Para llevar a cabo la presente investigación, se realizó una investigación documental en distintas fuentes tanto nacionales como internacionales, ta- les como la Organización de Naciones Unidas (ONU), la Organización Internacional para las Migraciones (OIM), el Instituto Nacional de Esta- dísticas (INE) de España, el Consejo Nacional de Población (CONAPO), así como de diversos autores que han realizado investigaciones sobre la migración internacional, específicamente sobre la inmigración</w:t>
      </w:r>
      <w:r>
        <w:rPr>
          <w:color w:val="231F20"/>
          <w:spacing w:val="-38"/>
        </w:rPr>
        <w:t> </w:t>
      </w:r>
      <w:r>
        <w:rPr>
          <w:color w:val="231F20"/>
        </w:rPr>
        <w:t>Latinoame- ricana en</w:t>
      </w:r>
      <w:r>
        <w:rPr>
          <w:color w:val="231F20"/>
          <w:spacing w:val="-1"/>
        </w:rPr>
        <w:t> </w:t>
      </w:r>
      <w:r>
        <w:rPr>
          <w:color w:val="231F20"/>
        </w:rPr>
        <w:t>España.</w:t>
      </w:r>
    </w:p>
    <w:p>
      <w:pPr>
        <w:pStyle w:val="Heading3"/>
      </w:pPr>
      <w:r>
        <w:rPr>
          <w:color w:val="231F20"/>
        </w:rPr>
        <w:t>Diagnóstico</w:t>
      </w:r>
    </w:p>
    <w:p>
      <w:pPr>
        <w:spacing w:before="152"/>
        <w:ind w:left="117" w:right="0" w:firstLine="0"/>
        <w:jc w:val="both"/>
        <w:rPr>
          <w:i/>
          <w:sz w:val="22"/>
        </w:rPr>
      </w:pPr>
      <w:r>
        <w:rPr>
          <w:i/>
          <w:color w:val="231F20"/>
          <w:sz w:val="22"/>
        </w:rPr>
        <w:t>Causas de la inmigración Latinoamericana a España</w:t>
      </w:r>
    </w:p>
    <w:p>
      <w:pPr>
        <w:pStyle w:val="BodyText"/>
        <w:spacing w:line="247" w:lineRule="auto" w:before="177"/>
        <w:ind w:left="117" w:right="115"/>
        <w:jc w:val="both"/>
      </w:pPr>
      <w:r>
        <w:rPr>
          <w:color w:val="231F20"/>
        </w:rPr>
        <w:t>La</w:t>
      </w:r>
      <w:r>
        <w:rPr>
          <w:color w:val="231F20"/>
          <w:spacing w:val="-6"/>
        </w:rPr>
        <w:t> </w:t>
      </w:r>
      <w:r>
        <w:rPr>
          <w:color w:val="231F20"/>
        </w:rPr>
        <w:t>teoría</w:t>
      </w:r>
      <w:r>
        <w:rPr>
          <w:color w:val="231F20"/>
          <w:spacing w:val="-6"/>
        </w:rPr>
        <w:t> </w:t>
      </w:r>
      <w:r>
        <w:rPr>
          <w:color w:val="231F20"/>
        </w:rPr>
        <w:t>señala</w:t>
      </w:r>
      <w:r>
        <w:rPr>
          <w:color w:val="231F20"/>
          <w:spacing w:val="-5"/>
        </w:rPr>
        <w:t> </w:t>
      </w:r>
      <w:r>
        <w:rPr>
          <w:color w:val="231F20"/>
        </w:rPr>
        <w:t>que</w:t>
      </w:r>
      <w:r>
        <w:rPr>
          <w:color w:val="231F20"/>
          <w:spacing w:val="-6"/>
        </w:rPr>
        <w:t> </w:t>
      </w:r>
      <w:r>
        <w:rPr>
          <w:color w:val="231F20"/>
        </w:rPr>
        <w:t>algunos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factores</w:t>
      </w:r>
      <w:r>
        <w:rPr>
          <w:color w:val="231F20"/>
          <w:spacing w:val="-6"/>
        </w:rPr>
        <w:t> </w:t>
      </w:r>
      <w:r>
        <w:rPr>
          <w:color w:val="231F20"/>
        </w:rPr>
        <w:t>más</w:t>
      </w:r>
      <w:r>
        <w:rPr>
          <w:color w:val="231F20"/>
          <w:spacing w:val="-6"/>
        </w:rPr>
        <w:t> </w:t>
      </w:r>
      <w:r>
        <w:rPr>
          <w:color w:val="231F20"/>
        </w:rPr>
        <w:t>importantes</w:t>
      </w:r>
      <w:r>
        <w:rPr>
          <w:color w:val="231F20"/>
          <w:spacing w:val="-7"/>
        </w:rPr>
        <w:t> </w:t>
      </w:r>
      <w:r>
        <w:rPr>
          <w:color w:val="231F20"/>
        </w:rPr>
        <w:t>que</w:t>
      </w:r>
      <w:r>
        <w:rPr>
          <w:color w:val="231F20"/>
          <w:spacing w:val="-6"/>
        </w:rPr>
        <w:t> </w:t>
      </w:r>
      <w:r>
        <w:rPr>
          <w:color w:val="231F20"/>
        </w:rPr>
        <w:t>impulsan la inmigración son la desigualdad en la distribución de la actividad</w:t>
      </w:r>
      <w:r>
        <w:rPr>
          <w:color w:val="231F20"/>
          <w:spacing w:val="-22"/>
        </w:rPr>
        <w:t> </w:t>
      </w:r>
      <w:r>
        <w:rPr>
          <w:color w:val="231F20"/>
        </w:rPr>
        <w:t>econó- mica,</w:t>
      </w:r>
      <w:r>
        <w:rPr>
          <w:color w:val="231F20"/>
          <w:spacing w:val="-9"/>
        </w:rPr>
        <w:t> </w:t>
      </w:r>
      <w:r>
        <w:rPr>
          <w:color w:val="231F20"/>
        </w:rPr>
        <w:t>el</w:t>
      </w:r>
      <w:r>
        <w:rPr>
          <w:color w:val="231F20"/>
          <w:spacing w:val="-8"/>
        </w:rPr>
        <w:t> </w:t>
      </w:r>
      <w:r>
        <w:rPr>
          <w:color w:val="231F20"/>
        </w:rPr>
        <w:t>ingreso</w:t>
      </w:r>
      <w:r>
        <w:rPr>
          <w:color w:val="231F20"/>
          <w:spacing w:val="-9"/>
        </w:rPr>
        <w:t> </w:t>
      </w:r>
      <w:r>
        <w:rPr>
          <w:color w:val="231F20"/>
        </w:rPr>
        <w:t>y</w:t>
      </w:r>
      <w:r>
        <w:rPr>
          <w:color w:val="231F20"/>
          <w:spacing w:val="-8"/>
        </w:rPr>
        <w:t> </w:t>
      </w:r>
      <w:r>
        <w:rPr>
          <w:color w:val="231F20"/>
        </w:rPr>
        <w:t>la</w:t>
      </w:r>
      <w:r>
        <w:rPr>
          <w:color w:val="231F20"/>
          <w:spacing w:val="-8"/>
        </w:rPr>
        <w:t> </w:t>
      </w:r>
      <w:r>
        <w:rPr>
          <w:color w:val="231F20"/>
        </w:rPr>
        <w:t>pobreza</w:t>
      </w:r>
      <w:r>
        <w:rPr>
          <w:color w:val="231F20"/>
          <w:spacing w:val="-8"/>
        </w:rPr>
        <w:t> </w:t>
      </w:r>
      <w:r>
        <w:rPr>
          <w:color w:val="231F20"/>
        </w:rPr>
        <w:t>entre</w:t>
      </w:r>
      <w:r>
        <w:rPr>
          <w:color w:val="231F20"/>
          <w:spacing w:val="-9"/>
        </w:rPr>
        <w:t> </w:t>
      </w:r>
      <w:r>
        <w:rPr>
          <w:color w:val="231F20"/>
        </w:rPr>
        <w:t>las</w:t>
      </w:r>
      <w:r>
        <w:rPr>
          <w:color w:val="231F20"/>
          <w:spacing w:val="-9"/>
        </w:rPr>
        <w:t> </w:t>
      </w:r>
      <w:r>
        <w:rPr>
          <w:color w:val="231F20"/>
        </w:rPr>
        <w:t>zonas</w:t>
      </w:r>
      <w:r>
        <w:rPr>
          <w:color w:val="231F20"/>
          <w:spacing w:val="-9"/>
        </w:rPr>
        <w:t> </w:t>
      </w:r>
      <w:r>
        <w:rPr>
          <w:color w:val="231F20"/>
        </w:rPr>
        <w:t>más</w:t>
      </w:r>
      <w:r>
        <w:rPr>
          <w:color w:val="231F20"/>
          <w:spacing w:val="-9"/>
        </w:rPr>
        <w:t> </w:t>
      </w:r>
      <w:r>
        <w:rPr>
          <w:color w:val="231F20"/>
        </w:rPr>
        <w:t>y</w:t>
      </w:r>
      <w:r>
        <w:rPr>
          <w:color w:val="231F20"/>
          <w:spacing w:val="-8"/>
        </w:rPr>
        <w:t> </w:t>
      </w:r>
      <w:r>
        <w:rPr>
          <w:color w:val="231F20"/>
        </w:rPr>
        <w:t>menos</w:t>
      </w:r>
      <w:r>
        <w:rPr>
          <w:color w:val="231F20"/>
          <w:spacing w:val="-9"/>
        </w:rPr>
        <w:t> </w:t>
      </w:r>
      <w:r>
        <w:rPr>
          <w:color w:val="231F20"/>
        </w:rPr>
        <w:t>desarrolladas</w:t>
      </w:r>
      <w:r>
        <w:rPr>
          <w:color w:val="231F20"/>
          <w:spacing w:val="-8"/>
        </w:rPr>
        <w:t> </w:t>
      </w:r>
      <w:r>
        <w:rPr>
          <w:color w:val="231F20"/>
        </w:rPr>
        <w:t>del mundo; por otra parte, las crisis económicas, políticas o bélicas. La globa- lización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información</w:t>
      </w:r>
      <w:r>
        <w:rPr>
          <w:color w:val="231F20"/>
          <w:spacing w:val="-7"/>
        </w:rPr>
        <w:t> </w:t>
      </w:r>
      <w:r>
        <w:rPr>
          <w:color w:val="231F20"/>
        </w:rPr>
        <w:t>y</w:t>
      </w:r>
      <w:r>
        <w:rPr>
          <w:color w:val="231F20"/>
          <w:spacing w:val="-6"/>
        </w:rPr>
        <w:t> </w:t>
      </w:r>
      <w:r>
        <w:rPr>
          <w:color w:val="231F20"/>
        </w:rPr>
        <w:t>las</w:t>
      </w:r>
      <w:r>
        <w:rPr>
          <w:color w:val="231F20"/>
          <w:spacing w:val="-6"/>
        </w:rPr>
        <w:t> </w:t>
      </w:r>
      <w:r>
        <w:rPr>
          <w:color w:val="231F20"/>
        </w:rPr>
        <w:t>comunicaciones</w:t>
      </w:r>
      <w:r>
        <w:rPr>
          <w:color w:val="231F20"/>
          <w:spacing w:val="-7"/>
        </w:rPr>
        <w:t> </w:t>
      </w:r>
      <w:r>
        <w:rPr>
          <w:color w:val="231F20"/>
        </w:rPr>
        <w:t>también</w:t>
      </w:r>
      <w:r>
        <w:rPr>
          <w:color w:val="231F20"/>
          <w:spacing w:val="-6"/>
        </w:rPr>
        <w:t> </w:t>
      </w:r>
      <w:r>
        <w:rPr>
          <w:color w:val="231F20"/>
        </w:rPr>
        <w:t>actúan</w:t>
      </w:r>
      <w:r>
        <w:rPr>
          <w:color w:val="231F20"/>
          <w:spacing w:val="-6"/>
        </w:rPr>
        <w:t> </w:t>
      </w:r>
      <w:r>
        <w:rPr>
          <w:color w:val="231F20"/>
        </w:rPr>
        <w:t>como</w:t>
      </w:r>
      <w:r>
        <w:rPr>
          <w:color w:val="231F20"/>
          <w:spacing w:val="-6"/>
        </w:rPr>
        <w:t> </w:t>
      </w:r>
      <w:r>
        <w:rPr>
          <w:color w:val="231F20"/>
        </w:rPr>
        <w:t>fac- tores que estimulan y facilitan los movimientos migratorios, ya que</w:t>
      </w:r>
      <w:r>
        <w:rPr>
          <w:color w:val="231F20"/>
          <w:spacing w:val="-5"/>
        </w:rPr>
        <w:t> </w:t>
      </w:r>
      <w:r>
        <w:rPr>
          <w:color w:val="231F20"/>
        </w:rPr>
        <w:t>ponen</w:t>
      </w:r>
    </w:p>
    <w:p>
      <w:pPr>
        <w:spacing w:after="0" w:line="247" w:lineRule="auto"/>
        <w:jc w:val="both"/>
        <w:sectPr>
          <w:pgSz w:w="9360" w:h="13040"/>
          <w:pgMar w:header="0" w:footer="496" w:top="800" w:bottom="680" w:left="1300" w:right="1300"/>
        </w:sectPr>
      </w:pPr>
    </w:p>
    <w:p>
      <w:pPr>
        <w:spacing w:before="45"/>
        <w:ind w:left="71" w:right="114" w:firstLine="0"/>
        <w:jc w:val="right"/>
        <w:rPr>
          <w:rFonts w:ascii="Arial" w:hAnsi="Arial"/>
          <w:sz w:val="20"/>
        </w:rPr>
      </w:pPr>
      <w:r>
        <w:rPr>
          <w:rFonts w:ascii="Arial" w:hAnsi="Arial"/>
          <w:color w:val="231F20"/>
          <w:w w:val="70"/>
          <w:sz w:val="20"/>
        </w:rPr>
        <w:t>Nueva reconfiguración de la inmigración internacional: el caso de España /Lucila Godínez-Montoya </w:t>
      </w:r>
      <w:r>
        <w:rPr>
          <w:rFonts w:ascii="Arial" w:hAnsi="Arial"/>
          <w:i/>
          <w:color w:val="231F20"/>
          <w:w w:val="70"/>
          <w:sz w:val="20"/>
        </w:rPr>
        <w:t>et al</w:t>
      </w:r>
      <w:r>
        <w:rPr>
          <w:rFonts w:ascii="Arial" w:hAnsi="Arial"/>
          <w:color w:val="231F20"/>
          <w:w w:val="70"/>
          <w:sz w:val="20"/>
        </w:rPr>
        <w:t>.</w:t>
      </w:r>
    </w:p>
    <w:p>
      <w:pPr>
        <w:pStyle w:val="BodyText"/>
        <w:spacing w:before="7"/>
        <w:rPr>
          <w:rFonts w:ascii="Arial"/>
          <w:sz w:val="28"/>
        </w:rPr>
      </w:pPr>
    </w:p>
    <w:p>
      <w:pPr>
        <w:pStyle w:val="BodyText"/>
        <w:spacing w:line="247" w:lineRule="auto"/>
        <w:ind w:left="117" w:right="117"/>
      </w:pPr>
      <w:r>
        <w:rPr>
          <w:color w:val="231F20"/>
        </w:rPr>
        <w:t>de manifiesto la calidad de vida y bienestar social existentes en los países con políticas económicas y sociales más desarrolladas (Peligero, 2006).</w:t>
      </w:r>
    </w:p>
    <w:p>
      <w:pPr>
        <w:pStyle w:val="BodyText"/>
        <w:spacing w:line="247" w:lineRule="auto"/>
        <w:ind w:left="117" w:right="114" w:firstLine="283"/>
        <w:jc w:val="right"/>
      </w:pPr>
      <w:r>
        <w:rPr>
          <w:color w:val="231F20"/>
        </w:rPr>
        <w:t>En este sentido, de acuerdo con </w:t>
      </w:r>
      <w:r>
        <w:rPr>
          <w:color w:val="231F20"/>
          <w:spacing w:val="-3"/>
        </w:rPr>
        <w:t>Tedesco </w:t>
      </w:r>
      <w:r>
        <w:rPr>
          <w:color w:val="231F20"/>
        </w:rPr>
        <w:t>(2008) en</w:t>
      </w:r>
      <w:r>
        <w:rPr>
          <w:color w:val="231F20"/>
          <w:spacing w:val="34"/>
        </w:rPr>
        <w:t> </w:t>
      </w:r>
      <w:r>
        <w:rPr>
          <w:color w:val="231F20"/>
        </w:rPr>
        <w:t>Latinoamérica,</w:t>
      </w:r>
      <w:r>
        <w:rPr>
          <w:color w:val="231F20"/>
          <w:spacing w:val="9"/>
        </w:rPr>
        <w:t> </w:t>
      </w:r>
      <w:r>
        <w:rPr>
          <w:color w:val="231F20"/>
        </w:rPr>
        <w:t>las reformas económicas de los años noventa, sus consecuencias sociales</w:t>
      </w:r>
      <w:r>
        <w:rPr>
          <w:color w:val="231F20"/>
          <w:spacing w:val="-35"/>
        </w:rPr>
        <w:t> </w:t>
      </w:r>
      <w:r>
        <w:rPr>
          <w:color w:val="231F20"/>
        </w:rPr>
        <w:t>y</w:t>
      </w:r>
      <w:r>
        <w:rPr>
          <w:color w:val="231F20"/>
          <w:spacing w:val="-4"/>
        </w:rPr>
        <w:t> </w:t>
      </w:r>
      <w:r>
        <w:rPr>
          <w:color w:val="231F20"/>
        </w:rPr>
        <w:t>en muchos casos su fracaso, junto a las crisis políticas que</w:t>
      </w:r>
      <w:r>
        <w:rPr>
          <w:color w:val="231F20"/>
          <w:spacing w:val="45"/>
        </w:rPr>
        <w:t> </w:t>
      </w:r>
      <w:r>
        <w:rPr>
          <w:color w:val="231F20"/>
        </w:rPr>
        <w:t>acompañaban</w:t>
      </w:r>
      <w:r>
        <w:rPr>
          <w:color w:val="231F20"/>
          <w:spacing w:val="14"/>
        </w:rPr>
        <w:t> </w:t>
      </w:r>
      <w:r>
        <w:rPr>
          <w:color w:val="231F20"/>
        </w:rPr>
        <w:t>al caos económico, conformaban las razones para emigrar. Entre</w:t>
      </w:r>
      <w:r>
        <w:rPr>
          <w:color w:val="231F20"/>
          <w:spacing w:val="13"/>
        </w:rPr>
        <w:t> </w:t>
      </w:r>
      <w:r>
        <w:rPr>
          <w:color w:val="231F20"/>
        </w:rPr>
        <w:t>los</w:t>
      </w:r>
      <w:r>
        <w:rPr>
          <w:color w:val="231F20"/>
          <w:spacing w:val="15"/>
        </w:rPr>
        <w:t> </w:t>
      </w:r>
      <w:r>
        <w:rPr>
          <w:color w:val="231F20"/>
        </w:rPr>
        <w:t>países afectados</w:t>
      </w:r>
      <w:r>
        <w:rPr>
          <w:color w:val="231F20"/>
          <w:spacing w:val="-9"/>
        </w:rPr>
        <w:t> </w:t>
      </w:r>
      <w:r>
        <w:rPr>
          <w:color w:val="231F20"/>
        </w:rPr>
        <w:t>por</w:t>
      </w:r>
      <w:r>
        <w:rPr>
          <w:color w:val="231F20"/>
          <w:spacing w:val="-9"/>
        </w:rPr>
        <w:t> </w:t>
      </w:r>
      <w:r>
        <w:rPr>
          <w:color w:val="231F20"/>
        </w:rPr>
        <w:t>estas</w:t>
      </w:r>
      <w:r>
        <w:rPr>
          <w:color w:val="231F20"/>
          <w:spacing w:val="-9"/>
        </w:rPr>
        <w:t> </w:t>
      </w:r>
      <w:r>
        <w:rPr>
          <w:color w:val="231F20"/>
        </w:rPr>
        <w:t>crisis</w:t>
      </w:r>
      <w:r>
        <w:rPr>
          <w:color w:val="231F20"/>
          <w:spacing w:val="-9"/>
        </w:rPr>
        <w:t> </w:t>
      </w:r>
      <w:r>
        <w:rPr>
          <w:color w:val="231F20"/>
        </w:rPr>
        <w:t>estaban</w:t>
      </w:r>
      <w:r>
        <w:rPr>
          <w:color w:val="231F20"/>
          <w:spacing w:val="-20"/>
        </w:rPr>
        <w:t> </w:t>
      </w:r>
      <w:r>
        <w:rPr>
          <w:color w:val="231F20"/>
        </w:rPr>
        <w:t>Argentina,</w:t>
      </w:r>
      <w:r>
        <w:rPr>
          <w:color w:val="231F20"/>
          <w:spacing w:val="-9"/>
        </w:rPr>
        <w:t> </w:t>
      </w:r>
      <w:r>
        <w:rPr>
          <w:color w:val="231F20"/>
        </w:rPr>
        <w:t>Bolivia,</w:t>
      </w:r>
      <w:r>
        <w:rPr>
          <w:color w:val="231F20"/>
          <w:spacing w:val="-9"/>
        </w:rPr>
        <w:t> </w:t>
      </w:r>
      <w:r>
        <w:rPr>
          <w:color w:val="231F20"/>
        </w:rPr>
        <w:t>Ecuador,</w:t>
      </w:r>
      <w:r>
        <w:rPr>
          <w:color w:val="231F20"/>
          <w:spacing w:val="-9"/>
        </w:rPr>
        <w:t> </w:t>
      </w:r>
      <w:r>
        <w:rPr>
          <w:color w:val="231F20"/>
        </w:rPr>
        <w:t>Perú,</w:t>
      </w:r>
      <w:r>
        <w:rPr>
          <w:color w:val="231F20"/>
          <w:spacing w:val="-8"/>
        </w:rPr>
        <w:t> </w:t>
      </w:r>
      <w:r>
        <w:rPr>
          <w:color w:val="231F20"/>
        </w:rPr>
        <w:t>Repú- blica Dominicana, Paraguay y </w:t>
      </w:r>
      <w:r>
        <w:rPr>
          <w:color w:val="231F20"/>
          <w:spacing w:val="-3"/>
        </w:rPr>
        <w:t>Venezuela. </w:t>
      </w:r>
      <w:r>
        <w:rPr>
          <w:color w:val="231F20"/>
        </w:rPr>
        <w:t>Las crisis políticas,</w:t>
      </w:r>
      <w:r>
        <w:rPr>
          <w:color w:val="231F20"/>
          <w:spacing w:val="-4"/>
        </w:rPr>
        <w:t> </w:t>
      </w:r>
      <w:r>
        <w:rPr>
          <w:color w:val="231F20"/>
        </w:rPr>
        <w:t>de</w:t>
      </w:r>
      <w:r>
        <w:rPr>
          <w:color w:val="231F20"/>
          <w:spacing w:val="-1"/>
        </w:rPr>
        <w:t> </w:t>
      </w:r>
      <w:r>
        <w:rPr>
          <w:color w:val="231F20"/>
        </w:rPr>
        <w:t>goberna- bilidad y de representación, se retroalimentaban de las</w:t>
      </w:r>
      <w:r>
        <w:rPr>
          <w:color w:val="231F20"/>
          <w:spacing w:val="8"/>
        </w:rPr>
        <w:t> </w:t>
      </w:r>
      <w:r>
        <w:rPr>
          <w:color w:val="231F20"/>
        </w:rPr>
        <w:t>crisis</w:t>
      </w:r>
      <w:r>
        <w:rPr>
          <w:color w:val="231F20"/>
          <w:spacing w:val="7"/>
        </w:rPr>
        <w:t> </w:t>
      </w:r>
      <w:r>
        <w:rPr>
          <w:color w:val="231F20"/>
        </w:rPr>
        <w:t>económicas, de las deficientes reformas del Estado y de las medidas</w:t>
      </w:r>
      <w:r>
        <w:rPr>
          <w:color w:val="231F20"/>
          <w:spacing w:val="43"/>
        </w:rPr>
        <w:t> </w:t>
      </w:r>
      <w:r>
        <w:rPr>
          <w:color w:val="231F20"/>
        </w:rPr>
        <w:t>neo-liberales</w:t>
      </w:r>
      <w:r>
        <w:rPr>
          <w:color w:val="231F20"/>
          <w:spacing w:val="9"/>
        </w:rPr>
        <w:t> </w:t>
      </w:r>
      <w:r>
        <w:rPr>
          <w:color w:val="231F20"/>
        </w:rPr>
        <w:t>que</w:t>
      </w:r>
      <w:r>
        <w:rPr>
          <w:color w:val="231F20"/>
          <w:w w:val="100"/>
        </w:rPr>
        <w:t> </w:t>
      </w:r>
      <w:r>
        <w:rPr>
          <w:color w:val="231F20"/>
        </w:rPr>
        <w:t>trajeron como consecuencia altas tasas de desempleo y pobreza.</w:t>
      </w:r>
      <w:r>
        <w:rPr>
          <w:color w:val="231F20"/>
          <w:spacing w:val="6"/>
        </w:rPr>
        <w:t> </w:t>
      </w:r>
      <w:r>
        <w:rPr>
          <w:color w:val="231F20"/>
        </w:rPr>
        <w:t>En</w:t>
      </w:r>
      <w:r>
        <w:rPr>
          <w:color w:val="231F20"/>
          <w:spacing w:val="19"/>
        </w:rPr>
        <w:t> </w:t>
      </w:r>
      <w:r>
        <w:rPr>
          <w:color w:val="231F20"/>
        </w:rPr>
        <w:t>este</w:t>
      </w:r>
      <w:r>
        <w:rPr>
          <w:color w:val="231F20"/>
          <w:w w:val="100"/>
        </w:rPr>
        <w:t> </w:t>
      </w:r>
      <w:r>
        <w:rPr>
          <w:color w:val="231F20"/>
        </w:rPr>
        <w:t>sentido, los regímenes democráticos no pudieron revertir</w:t>
      </w:r>
      <w:r>
        <w:rPr>
          <w:color w:val="231F20"/>
          <w:spacing w:val="53"/>
        </w:rPr>
        <w:t> </w:t>
      </w:r>
      <w:r>
        <w:rPr>
          <w:color w:val="231F20"/>
        </w:rPr>
        <w:t>la</w:t>
      </w:r>
      <w:r>
        <w:rPr>
          <w:color w:val="231F20"/>
          <w:spacing w:val="23"/>
        </w:rPr>
        <w:t> </w:t>
      </w:r>
      <w:r>
        <w:rPr>
          <w:color w:val="231F20"/>
        </w:rPr>
        <w:t>desigualdad</w:t>
      </w:r>
      <w:r>
        <w:rPr>
          <w:color w:val="231F20"/>
          <w:w w:val="100"/>
        </w:rPr>
        <w:t> </w:t>
      </w:r>
      <w:r>
        <w:rPr>
          <w:color w:val="231F20"/>
        </w:rPr>
        <w:t>económica y social que históricamente han caracterizado</w:t>
      </w:r>
      <w:r>
        <w:rPr>
          <w:color w:val="231F20"/>
          <w:spacing w:val="-27"/>
        </w:rPr>
        <w:t> </w:t>
      </w:r>
      <w:r>
        <w:rPr>
          <w:color w:val="231F20"/>
        </w:rPr>
        <w:t>a</w:t>
      </w:r>
      <w:r>
        <w:rPr>
          <w:color w:val="231F20"/>
          <w:spacing w:val="-4"/>
        </w:rPr>
        <w:t> </w:t>
      </w:r>
      <w:r>
        <w:rPr>
          <w:color w:val="231F20"/>
        </w:rPr>
        <w:t>Latinoamérica.</w:t>
      </w:r>
      <w:r>
        <w:rPr>
          <w:color w:val="231F20"/>
          <w:w w:val="100"/>
        </w:rPr>
        <w:t> </w:t>
      </w:r>
      <w:r>
        <w:rPr>
          <w:color w:val="231F20"/>
        </w:rPr>
        <w:t>A</w:t>
      </w:r>
      <w:r>
        <w:rPr>
          <w:color w:val="231F20"/>
          <w:spacing w:val="7"/>
        </w:rPr>
        <w:t> </w:t>
      </w:r>
      <w:r>
        <w:rPr>
          <w:color w:val="231F20"/>
        </w:rPr>
        <w:t>pesar</w:t>
      </w:r>
      <w:r>
        <w:rPr>
          <w:color w:val="231F20"/>
          <w:spacing w:val="19"/>
        </w:rPr>
        <w:t> </w:t>
      </w:r>
      <w:r>
        <w:rPr>
          <w:color w:val="231F20"/>
        </w:rPr>
        <w:t>de</w:t>
      </w:r>
      <w:r>
        <w:rPr>
          <w:color w:val="231F20"/>
          <w:spacing w:val="19"/>
        </w:rPr>
        <w:t> </w:t>
      </w:r>
      <w:r>
        <w:rPr>
          <w:color w:val="231F20"/>
        </w:rPr>
        <w:t>que</w:t>
      </w:r>
      <w:r>
        <w:rPr>
          <w:color w:val="231F20"/>
          <w:spacing w:val="19"/>
        </w:rPr>
        <w:t> </w:t>
      </w:r>
      <w:r>
        <w:rPr>
          <w:color w:val="231F20"/>
        </w:rPr>
        <w:t>las</w:t>
      </w:r>
      <w:r>
        <w:rPr>
          <w:color w:val="231F20"/>
          <w:spacing w:val="19"/>
        </w:rPr>
        <w:t> </w:t>
      </w:r>
      <w:r>
        <w:rPr>
          <w:color w:val="231F20"/>
        </w:rPr>
        <w:t>reformas</w:t>
      </w:r>
      <w:r>
        <w:rPr>
          <w:color w:val="231F20"/>
          <w:spacing w:val="19"/>
        </w:rPr>
        <w:t> </w:t>
      </w:r>
      <w:r>
        <w:rPr>
          <w:color w:val="231F20"/>
        </w:rPr>
        <w:t>económicas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década</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noventa</w:t>
      </w:r>
      <w:r>
        <w:rPr>
          <w:color w:val="231F20"/>
          <w:w w:val="100"/>
        </w:rPr>
        <w:t> </w:t>
      </w:r>
      <w:r>
        <w:rPr>
          <w:color w:val="231F20"/>
        </w:rPr>
        <w:t>generaron en Latinoamérica un mercado laboral carente de</w:t>
      </w:r>
      <w:r>
        <w:rPr>
          <w:color w:val="231F20"/>
          <w:spacing w:val="15"/>
        </w:rPr>
        <w:t> </w:t>
      </w:r>
      <w:r>
        <w:rPr>
          <w:color w:val="231F20"/>
        </w:rPr>
        <w:t>dinamismo</w:t>
      </w:r>
      <w:r>
        <w:rPr>
          <w:color w:val="231F20"/>
          <w:spacing w:val="16"/>
        </w:rPr>
        <w:t> </w:t>
      </w:r>
      <w:r>
        <w:rPr>
          <w:color w:val="231F20"/>
        </w:rPr>
        <w:t>y</w:t>
      </w:r>
      <w:r>
        <w:rPr>
          <w:color w:val="231F20"/>
          <w:w w:val="100"/>
        </w:rPr>
        <w:t> </w:t>
      </w:r>
      <w:r>
        <w:rPr>
          <w:color w:val="231F20"/>
        </w:rPr>
        <w:t>oportunidades,</w:t>
      </w:r>
      <w:r>
        <w:rPr>
          <w:color w:val="231F20"/>
          <w:spacing w:val="-10"/>
        </w:rPr>
        <w:t> </w:t>
      </w:r>
      <w:r>
        <w:rPr>
          <w:color w:val="231F20"/>
        </w:rPr>
        <w:t>a</w:t>
      </w:r>
      <w:r>
        <w:rPr>
          <w:color w:val="231F20"/>
          <w:spacing w:val="-10"/>
        </w:rPr>
        <w:t> </w:t>
      </w:r>
      <w:r>
        <w:rPr>
          <w:color w:val="231F20"/>
        </w:rPr>
        <w:t>partir</w:t>
      </w:r>
      <w:r>
        <w:rPr>
          <w:color w:val="231F20"/>
          <w:spacing w:val="-10"/>
        </w:rPr>
        <w:t> </w:t>
      </w:r>
      <w:r>
        <w:rPr>
          <w:color w:val="231F20"/>
        </w:rPr>
        <w:t>de</w:t>
      </w:r>
      <w:r>
        <w:rPr>
          <w:color w:val="231F20"/>
          <w:spacing w:val="-10"/>
        </w:rPr>
        <w:t> </w:t>
      </w:r>
      <w:r>
        <w:rPr>
          <w:color w:val="231F20"/>
        </w:rPr>
        <w:t>2003</w:t>
      </w:r>
      <w:r>
        <w:rPr>
          <w:color w:val="231F20"/>
          <w:spacing w:val="-10"/>
        </w:rPr>
        <w:t> </w:t>
      </w:r>
      <w:r>
        <w:rPr>
          <w:color w:val="231F20"/>
        </w:rPr>
        <w:t>el</w:t>
      </w:r>
      <w:r>
        <w:rPr>
          <w:color w:val="231F20"/>
          <w:spacing w:val="-10"/>
        </w:rPr>
        <w:t> </w:t>
      </w:r>
      <w:r>
        <w:rPr>
          <w:color w:val="231F20"/>
        </w:rPr>
        <w:t>crecimiento</w:t>
      </w:r>
      <w:r>
        <w:rPr>
          <w:color w:val="231F20"/>
          <w:spacing w:val="-10"/>
        </w:rPr>
        <w:t> </w:t>
      </w:r>
      <w:r>
        <w:rPr>
          <w:color w:val="231F20"/>
        </w:rPr>
        <w:t>económico</w:t>
      </w:r>
      <w:r>
        <w:rPr>
          <w:color w:val="231F20"/>
          <w:spacing w:val="-10"/>
        </w:rPr>
        <w:t> </w:t>
      </w:r>
      <w:r>
        <w:rPr>
          <w:color w:val="231F20"/>
        </w:rPr>
        <w:t>comenzó</w:t>
      </w:r>
      <w:r>
        <w:rPr>
          <w:color w:val="231F20"/>
          <w:spacing w:val="-10"/>
        </w:rPr>
        <w:t> </w:t>
      </w:r>
      <w:r>
        <w:rPr>
          <w:color w:val="231F20"/>
        </w:rPr>
        <w:t>a</w:t>
      </w:r>
      <w:r>
        <w:rPr>
          <w:color w:val="231F20"/>
          <w:spacing w:val="-10"/>
        </w:rPr>
        <w:t> </w:t>
      </w:r>
      <w:r>
        <w:rPr>
          <w:color w:val="231F20"/>
        </w:rPr>
        <w:t>refle- jarse positivamente en este mercado. En este sentido, la tasa</w:t>
      </w:r>
      <w:r>
        <w:rPr>
          <w:color w:val="231F20"/>
          <w:spacing w:val="-36"/>
        </w:rPr>
        <w:t> </w:t>
      </w:r>
      <w:r>
        <w:rPr>
          <w:color w:val="231F20"/>
        </w:rPr>
        <w:t>de</w:t>
      </w:r>
      <w:r>
        <w:rPr>
          <w:color w:val="231F20"/>
          <w:spacing w:val="-4"/>
        </w:rPr>
        <w:t> </w:t>
      </w:r>
      <w:r>
        <w:rPr>
          <w:color w:val="231F20"/>
        </w:rPr>
        <w:t>desempleo se</w:t>
      </w:r>
      <w:r>
        <w:rPr>
          <w:color w:val="231F20"/>
          <w:spacing w:val="-7"/>
        </w:rPr>
        <w:t> </w:t>
      </w:r>
      <w:r>
        <w:rPr>
          <w:color w:val="231F20"/>
        </w:rPr>
        <w:t>ubicó</w:t>
      </w:r>
      <w:r>
        <w:rPr>
          <w:color w:val="231F20"/>
          <w:spacing w:val="-7"/>
        </w:rPr>
        <w:t> </w:t>
      </w:r>
      <w:r>
        <w:rPr>
          <w:color w:val="231F20"/>
        </w:rPr>
        <w:t>por</w:t>
      </w:r>
      <w:r>
        <w:rPr>
          <w:color w:val="231F20"/>
          <w:spacing w:val="-7"/>
        </w:rPr>
        <w:t> </w:t>
      </w:r>
      <w:r>
        <w:rPr>
          <w:color w:val="231F20"/>
        </w:rPr>
        <w:t>encima</w:t>
      </w:r>
      <w:r>
        <w:rPr>
          <w:color w:val="231F20"/>
          <w:spacing w:val="-7"/>
        </w:rPr>
        <w:t> </w:t>
      </w:r>
      <w:r>
        <w:rPr>
          <w:color w:val="231F20"/>
        </w:rPr>
        <w:t>de</w:t>
      </w:r>
      <w:r>
        <w:rPr>
          <w:color w:val="231F20"/>
          <w:spacing w:val="-7"/>
        </w:rPr>
        <w:t> </w:t>
      </w:r>
      <w:r>
        <w:rPr>
          <w:color w:val="231F20"/>
        </w:rPr>
        <w:t>ocho</w:t>
      </w:r>
      <w:r>
        <w:rPr>
          <w:color w:val="231F20"/>
          <w:spacing w:val="-7"/>
        </w:rPr>
        <w:t> </w:t>
      </w:r>
      <w:r>
        <w:rPr>
          <w:color w:val="231F20"/>
        </w:rPr>
        <w:t>por</w:t>
      </w:r>
      <w:r>
        <w:rPr>
          <w:color w:val="231F20"/>
          <w:spacing w:val="-7"/>
        </w:rPr>
        <w:t> </w:t>
      </w:r>
      <w:r>
        <w:rPr>
          <w:color w:val="231F20"/>
        </w:rPr>
        <w:t>ciento</w:t>
      </w:r>
      <w:r>
        <w:rPr>
          <w:color w:val="231F20"/>
          <w:spacing w:val="-7"/>
        </w:rPr>
        <w:t> </w:t>
      </w:r>
      <w:r>
        <w:rPr>
          <w:color w:val="231F20"/>
        </w:rPr>
        <w:t>a</w:t>
      </w:r>
      <w:r>
        <w:rPr>
          <w:color w:val="231F20"/>
          <w:spacing w:val="-7"/>
        </w:rPr>
        <w:t> </w:t>
      </w:r>
      <w:r>
        <w:rPr>
          <w:color w:val="231F20"/>
        </w:rPr>
        <w:t>partir</w:t>
      </w:r>
      <w:r>
        <w:rPr>
          <w:color w:val="231F20"/>
          <w:spacing w:val="-7"/>
        </w:rPr>
        <w:t> </w:t>
      </w:r>
      <w:r>
        <w:rPr>
          <w:color w:val="231F20"/>
        </w:rPr>
        <w:t>de</w:t>
      </w:r>
      <w:r>
        <w:rPr>
          <w:color w:val="231F20"/>
          <w:spacing w:val="-7"/>
        </w:rPr>
        <w:t> </w:t>
      </w:r>
      <w:r>
        <w:rPr>
          <w:color w:val="231F20"/>
        </w:rPr>
        <w:t>1994,</w:t>
      </w:r>
      <w:r>
        <w:rPr>
          <w:color w:val="231F20"/>
          <w:spacing w:val="-7"/>
        </w:rPr>
        <w:t> </w:t>
      </w:r>
      <w:r>
        <w:rPr>
          <w:color w:val="231F20"/>
        </w:rPr>
        <w:t>alcanzando</w:t>
      </w:r>
      <w:r>
        <w:rPr>
          <w:color w:val="231F20"/>
          <w:spacing w:val="-7"/>
        </w:rPr>
        <w:t> </w:t>
      </w:r>
      <w:r>
        <w:rPr>
          <w:color w:val="231F20"/>
          <w:spacing w:val="-5"/>
        </w:rPr>
        <w:t>11</w:t>
      </w:r>
      <w:r>
        <w:rPr>
          <w:color w:val="231F20"/>
          <w:spacing w:val="-7"/>
        </w:rPr>
        <w:t> </w:t>
      </w:r>
      <w:r>
        <w:rPr>
          <w:color w:val="231F20"/>
        </w:rPr>
        <w:t>por ciento entre 2002 y 2003. Desde 2003 la tasa de desempleo</w:t>
      </w:r>
      <w:r>
        <w:rPr>
          <w:color w:val="231F20"/>
          <w:spacing w:val="47"/>
        </w:rPr>
        <w:t> </w:t>
      </w:r>
      <w:r>
        <w:rPr>
          <w:color w:val="231F20"/>
        </w:rPr>
        <w:t>acumuló</w:t>
      </w:r>
      <w:r>
        <w:rPr>
          <w:color w:val="231F20"/>
          <w:spacing w:val="8"/>
        </w:rPr>
        <w:t> </w:t>
      </w:r>
      <w:r>
        <w:rPr>
          <w:color w:val="231F20"/>
        </w:rPr>
        <w:t>una baja</w:t>
      </w:r>
      <w:r>
        <w:rPr>
          <w:color w:val="231F20"/>
          <w:spacing w:val="-9"/>
        </w:rPr>
        <w:t> </w:t>
      </w:r>
      <w:r>
        <w:rPr>
          <w:color w:val="231F20"/>
        </w:rPr>
        <w:t>de</w:t>
      </w:r>
      <w:r>
        <w:rPr>
          <w:color w:val="231F20"/>
          <w:spacing w:val="-9"/>
        </w:rPr>
        <w:t> </w:t>
      </w:r>
      <w:r>
        <w:rPr>
          <w:color w:val="231F20"/>
        </w:rPr>
        <w:t>2.4</w:t>
      </w:r>
      <w:r>
        <w:rPr>
          <w:color w:val="231F20"/>
          <w:spacing w:val="-9"/>
        </w:rPr>
        <w:t> </w:t>
      </w:r>
      <w:r>
        <w:rPr>
          <w:color w:val="231F20"/>
        </w:rPr>
        <w:t>por</w:t>
      </w:r>
      <w:r>
        <w:rPr>
          <w:color w:val="231F20"/>
          <w:spacing w:val="-9"/>
        </w:rPr>
        <w:t> </w:t>
      </w:r>
      <w:r>
        <w:rPr>
          <w:color w:val="231F20"/>
        </w:rPr>
        <w:t>ciento,</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contribuyó</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recuperación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niveles</w:t>
      </w:r>
      <w:r>
        <w:rPr>
          <w:color w:val="231F20"/>
          <w:spacing w:val="-9"/>
        </w:rPr>
        <w:t> </w:t>
      </w:r>
      <w:r>
        <w:rPr>
          <w:color w:val="231F20"/>
        </w:rPr>
        <w:t>de</w:t>
      </w:r>
    </w:p>
    <w:p>
      <w:pPr>
        <w:pStyle w:val="BodyText"/>
        <w:spacing w:line="253" w:lineRule="exact"/>
        <w:ind w:left="117" w:right="117"/>
      </w:pPr>
      <w:r>
        <w:rPr>
          <w:color w:val="231F20"/>
        </w:rPr>
        <w:t>la primera mitad de los años noventa.</w:t>
      </w:r>
    </w:p>
    <w:p>
      <w:pPr>
        <w:pStyle w:val="BodyText"/>
        <w:spacing w:line="247" w:lineRule="auto" w:before="7"/>
        <w:ind w:left="117" w:right="114" w:firstLine="283"/>
        <w:jc w:val="both"/>
      </w:pPr>
      <w:r>
        <w:rPr>
          <w:color w:val="231F20"/>
        </w:rPr>
        <w:t>Derivado de esto, durante el primer semestre de 2007 se presentó un aumento de las tasas de ocupación y participación, una baja de la tasa de desempleo y un incremento de los salarios reales, tendencias observadas desde</w:t>
      </w:r>
      <w:r>
        <w:rPr>
          <w:color w:val="231F20"/>
          <w:spacing w:val="-5"/>
        </w:rPr>
        <w:t> </w:t>
      </w:r>
      <w:r>
        <w:rPr>
          <w:color w:val="231F20"/>
        </w:rPr>
        <w:t>2006.</w:t>
      </w:r>
      <w:r>
        <w:rPr>
          <w:color w:val="231F20"/>
          <w:spacing w:val="-17"/>
        </w:rPr>
        <w:t> </w:t>
      </w:r>
      <w:r>
        <w:rPr>
          <w:color w:val="231F20"/>
        </w:rPr>
        <w:t>Al</w:t>
      </w:r>
      <w:r>
        <w:rPr>
          <w:color w:val="231F20"/>
          <w:spacing w:val="-5"/>
        </w:rPr>
        <w:t> </w:t>
      </w:r>
      <w:r>
        <w:rPr>
          <w:color w:val="231F20"/>
        </w:rPr>
        <w:t>respecto,</w:t>
      </w:r>
      <w:r>
        <w:rPr>
          <w:color w:val="231F20"/>
          <w:spacing w:val="-5"/>
        </w:rPr>
        <w:t> </w:t>
      </w:r>
      <w:r>
        <w:rPr>
          <w:color w:val="231F20"/>
        </w:rPr>
        <w:t>la</w:t>
      </w:r>
      <w:r>
        <w:rPr>
          <w:color w:val="231F20"/>
          <w:spacing w:val="-5"/>
        </w:rPr>
        <w:t> </w:t>
      </w:r>
      <w:r>
        <w:rPr>
          <w:color w:val="231F20"/>
        </w:rPr>
        <w:t>Comisión</w:t>
      </w:r>
      <w:r>
        <w:rPr>
          <w:color w:val="231F20"/>
          <w:spacing w:val="-5"/>
        </w:rPr>
        <w:t> </w:t>
      </w:r>
      <w:r>
        <w:rPr>
          <w:color w:val="231F20"/>
        </w:rPr>
        <w:t>Económica</w:t>
      </w:r>
      <w:r>
        <w:rPr>
          <w:color w:val="231F20"/>
          <w:spacing w:val="-5"/>
        </w:rPr>
        <w:t> </w:t>
      </w:r>
      <w:r>
        <w:rPr>
          <w:color w:val="231F20"/>
        </w:rPr>
        <w:t>para</w:t>
      </w:r>
      <w:r>
        <w:rPr>
          <w:color w:val="231F20"/>
          <w:spacing w:val="-17"/>
        </w:rPr>
        <w:t> </w:t>
      </w:r>
      <w:r>
        <w:rPr>
          <w:color w:val="231F20"/>
        </w:rPr>
        <w:t>América</w:t>
      </w:r>
      <w:r>
        <w:rPr>
          <w:color w:val="231F20"/>
          <w:spacing w:val="-4"/>
        </w:rPr>
        <w:t> </w:t>
      </w:r>
      <w:r>
        <w:rPr>
          <w:color w:val="231F20"/>
        </w:rPr>
        <w:t>Latina</w:t>
      </w:r>
      <w:r>
        <w:rPr>
          <w:color w:val="231F20"/>
          <w:spacing w:val="-5"/>
        </w:rPr>
        <w:t> </w:t>
      </w:r>
      <w:r>
        <w:rPr>
          <w:color w:val="231F20"/>
        </w:rPr>
        <w:t>y</w:t>
      </w:r>
      <w:r>
        <w:rPr>
          <w:color w:val="231F20"/>
          <w:spacing w:val="-5"/>
        </w:rPr>
        <w:t> </w:t>
      </w:r>
      <w:r>
        <w:rPr>
          <w:color w:val="231F20"/>
        </w:rPr>
        <w:t>el Caribe</w:t>
      </w:r>
      <w:r>
        <w:rPr>
          <w:color w:val="231F20"/>
          <w:spacing w:val="-8"/>
        </w:rPr>
        <w:t> </w:t>
      </w:r>
      <w:r>
        <w:rPr>
          <w:color w:val="231F20"/>
          <w:spacing w:val="-4"/>
        </w:rPr>
        <w:t>(CEPAL)</w:t>
      </w:r>
      <w:r>
        <w:rPr>
          <w:color w:val="231F20"/>
          <w:spacing w:val="-8"/>
        </w:rPr>
        <w:t> </w:t>
      </w:r>
      <w:r>
        <w:rPr>
          <w:color w:val="231F20"/>
        </w:rPr>
        <w:t>estimó</w:t>
      </w:r>
      <w:r>
        <w:rPr>
          <w:color w:val="231F20"/>
          <w:spacing w:val="-9"/>
        </w:rPr>
        <w:t> </w:t>
      </w:r>
      <w:r>
        <w:rPr>
          <w:color w:val="231F20"/>
        </w:rPr>
        <w:t>que</w:t>
      </w:r>
      <w:r>
        <w:rPr>
          <w:color w:val="231F20"/>
          <w:spacing w:val="-8"/>
        </w:rPr>
        <w:t> </w:t>
      </w:r>
      <w:r>
        <w:rPr>
          <w:color w:val="231F20"/>
        </w:rPr>
        <w:t>cerca</w:t>
      </w:r>
      <w:r>
        <w:rPr>
          <w:color w:val="231F20"/>
          <w:spacing w:val="-9"/>
        </w:rPr>
        <w:t> </w:t>
      </w:r>
      <w:r>
        <w:rPr>
          <w:color w:val="231F20"/>
        </w:rPr>
        <w:t>de</w:t>
      </w:r>
      <w:r>
        <w:rPr>
          <w:color w:val="231F20"/>
          <w:spacing w:val="-8"/>
        </w:rPr>
        <w:t> </w:t>
      </w:r>
      <w:r>
        <w:rPr>
          <w:color w:val="231F20"/>
        </w:rPr>
        <w:t>seis</w:t>
      </w:r>
      <w:r>
        <w:rPr>
          <w:color w:val="231F20"/>
          <w:spacing w:val="-8"/>
        </w:rPr>
        <w:t> </w:t>
      </w:r>
      <w:r>
        <w:rPr>
          <w:color w:val="231F20"/>
        </w:rPr>
        <w:t>millones</w:t>
      </w:r>
      <w:r>
        <w:rPr>
          <w:color w:val="231F20"/>
          <w:spacing w:val="-9"/>
        </w:rPr>
        <w:t> </w:t>
      </w:r>
      <w:r>
        <w:rPr>
          <w:color w:val="231F20"/>
        </w:rPr>
        <w:t>de</w:t>
      </w:r>
      <w:r>
        <w:rPr>
          <w:color w:val="231F20"/>
          <w:spacing w:val="-8"/>
        </w:rPr>
        <w:t> </w:t>
      </w:r>
      <w:r>
        <w:rPr>
          <w:color w:val="231F20"/>
        </w:rPr>
        <w:t>personas</w:t>
      </w:r>
      <w:r>
        <w:rPr>
          <w:color w:val="231F20"/>
          <w:spacing w:val="-9"/>
        </w:rPr>
        <w:t> </w:t>
      </w:r>
      <w:r>
        <w:rPr>
          <w:color w:val="231F20"/>
        </w:rPr>
        <w:t>se</w:t>
      </w:r>
      <w:r>
        <w:rPr>
          <w:color w:val="231F20"/>
          <w:spacing w:val="-8"/>
        </w:rPr>
        <w:t> </w:t>
      </w:r>
      <w:r>
        <w:rPr>
          <w:color w:val="231F20"/>
        </w:rPr>
        <w:t>sumaron al número de ocupados urbanos en 2006. El número de ocupados creció aproximadamente 2.9 por ciento, pero se observaron grandes diferencias entre categorías de ocupación. El empleo asalariado aumentó 4.1 por</w:t>
      </w:r>
      <w:r>
        <w:rPr>
          <w:color w:val="231F20"/>
          <w:spacing w:val="-35"/>
        </w:rPr>
        <w:t> </w:t>
      </w:r>
      <w:r>
        <w:rPr>
          <w:color w:val="231F20"/>
        </w:rPr>
        <w:t>cien- to y contribuyó con 89 por ciento de los puestos de trabajo generados en 2006.</w:t>
      </w:r>
    </w:p>
    <w:p>
      <w:pPr>
        <w:pStyle w:val="BodyText"/>
        <w:spacing w:line="247" w:lineRule="auto"/>
        <w:ind w:left="117" w:right="114" w:firstLine="283"/>
        <w:jc w:val="both"/>
      </w:pPr>
      <w:r>
        <w:rPr>
          <w:color w:val="231F20"/>
        </w:rPr>
        <w:t>Es decir, mientras las reformas económicas de los años noventa esta- blecieron pautas económicas que no generaban empleo y que impulsaron los índices de la pobreza, a partir de los primeros años de 2000 la región Latinoamericana parece estar revirtiendo esas tendencias. De manera que las</w:t>
      </w:r>
      <w:r>
        <w:rPr>
          <w:color w:val="231F20"/>
          <w:spacing w:val="-7"/>
        </w:rPr>
        <w:t> </w:t>
      </w:r>
      <w:r>
        <w:rPr>
          <w:color w:val="231F20"/>
        </w:rPr>
        <w:t>crisis</w:t>
      </w:r>
      <w:r>
        <w:rPr>
          <w:color w:val="231F20"/>
          <w:spacing w:val="-7"/>
        </w:rPr>
        <w:t> </w:t>
      </w:r>
      <w:r>
        <w:rPr>
          <w:color w:val="231F20"/>
        </w:rPr>
        <w:t>políticas</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persistencia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desigualdades</w:t>
      </w:r>
      <w:r>
        <w:rPr>
          <w:color w:val="231F20"/>
          <w:spacing w:val="-7"/>
        </w:rPr>
        <w:t> </w:t>
      </w:r>
      <w:r>
        <w:rPr>
          <w:color w:val="231F20"/>
        </w:rPr>
        <w:t>históricas</w:t>
      </w:r>
      <w:r>
        <w:rPr>
          <w:color w:val="231F20"/>
          <w:spacing w:val="-7"/>
        </w:rPr>
        <w:t> </w:t>
      </w:r>
      <w:r>
        <w:rPr>
          <w:color w:val="231F20"/>
        </w:rPr>
        <w:t>explican que la llegada de la democracia a la región sea testigo de un incremento en los flujos migratorios. De esta forma, en los últimos diez años, el flujo migratorio fue cambiando, mientras antes tenían un componente </w:t>
      </w:r>
      <w:r>
        <w:rPr>
          <w:color w:val="231F20"/>
          <w:spacing w:val="25"/>
        </w:rPr>
        <w:t> </w:t>
      </w:r>
      <w:r>
        <w:rPr>
          <w:color w:val="231F20"/>
        </w:rPr>
        <w:t>regional</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jc w:val="both"/>
      </w:pPr>
      <w:r>
        <w:rPr>
          <w:color w:val="231F20"/>
        </w:rPr>
        <w:t>(De Colombia a </w:t>
      </w:r>
      <w:r>
        <w:rPr>
          <w:color w:val="231F20"/>
          <w:spacing w:val="-3"/>
        </w:rPr>
        <w:t>Venezuela, </w:t>
      </w:r>
      <w:r>
        <w:rPr>
          <w:color w:val="231F20"/>
        </w:rPr>
        <w:t>de Perú a Chile, de México a Estados Unidos, de Bolivia a Argentina o de Guatemala a México) recientemente los flu- jos se han internacionalizando con la inclusión de Europa y especialmente España, además mientras los flujos regionales eran mayoritariamente de obreros</w:t>
      </w:r>
      <w:r>
        <w:rPr>
          <w:color w:val="231F20"/>
          <w:spacing w:val="-6"/>
        </w:rPr>
        <w:t> </w:t>
      </w:r>
      <w:r>
        <w:rPr>
          <w:color w:val="231F20"/>
        </w:rPr>
        <w:t>y</w:t>
      </w:r>
      <w:r>
        <w:rPr>
          <w:color w:val="231F20"/>
          <w:spacing w:val="-6"/>
        </w:rPr>
        <w:t> </w:t>
      </w:r>
      <w:r>
        <w:rPr>
          <w:color w:val="231F20"/>
        </w:rPr>
        <w:t>campesinos,</w:t>
      </w:r>
      <w:r>
        <w:rPr>
          <w:color w:val="231F20"/>
          <w:spacing w:val="-7"/>
        </w:rPr>
        <w:t> </w:t>
      </w:r>
      <w:r>
        <w:rPr>
          <w:color w:val="231F20"/>
        </w:rPr>
        <w:t>en</w:t>
      </w:r>
      <w:r>
        <w:rPr>
          <w:color w:val="231F20"/>
          <w:spacing w:val="-6"/>
        </w:rPr>
        <w:t> </w:t>
      </w:r>
      <w:r>
        <w:rPr>
          <w:color w:val="231F20"/>
        </w:rPr>
        <w:t>la</w:t>
      </w:r>
      <w:r>
        <w:rPr>
          <w:color w:val="231F20"/>
          <w:spacing w:val="-6"/>
        </w:rPr>
        <w:t> </w:t>
      </w:r>
      <w:r>
        <w:rPr>
          <w:color w:val="231F20"/>
        </w:rPr>
        <w:t>última</w:t>
      </w:r>
      <w:r>
        <w:rPr>
          <w:color w:val="231F20"/>
          <w:spacing w:val="-6"/>
        </w:rPr>
        <w:t> </w:t>
      </w:r>
      <w:r>
        <w:rPr>
          <w:color w:val="231F20"/>
        </w:rPr>
        <w:t>década</w:t>
      </w:r>
      <w:r>
        <w:rPr>
          <w:color w:val="231F20"/>
          <w:spacing w:val="-6"/>
        </w:rPr>
        <w:t> </w:t>
      </w:r>
      <w:r>
        <w:rPr>
          <w:color w:val="231F20"/>
        </w:rPr>
        <w:t>comenzaron</w:t>
      </w:r>
      <w:r>
        <w:rPr>
          <w:color w:val="231F20"/>
          <w:spacing w:val="-6"/>
        </w:rPr>
        <w:t> </w:t>
      </w:r>
      <w:r>
        <w:rPr>
          <w:color w:val="231F20"/>
        </w:rPr>
        <w:t>a</w:t>
      </w:r>
      <w:r>
        <w:rPr>
          <w:color w:val="231F20"/>
          <w:spacing w:val="-6"/>
        </w:rPr>
        <w:t> </w:t>
      </w:r>
      <w:r>
        <w:rPr>
          <w:color w:val="231F20"/>
        </w:rPr>
        <w:t>emigrar</w:t>
      </w:r>
      <w:r>
        <w:rPr>
          <w:color w:val="231F20"/>
          <w:spacing w:val="-6"/>
        </w:rPr>
        <w:t> </w:t>
      </w:r>
      <w:r>
        <w:rPr>
          <w:color w:val="231F20"/>
        </w:rPr>
        <w:t>técnicos, profesionales y profesores (Tedesco,</w:t>
      </w:r>
      <w:r>
        <w:rPr>
          <w:color w:val="231F20"/>
          <w:spacing w:val="-17"/>
        </w:rPr>
        <w:t> </w:t>
      </w:r>
      <w:r>
        <w:rPr>
          <w:color w:val="231F20"/>
        </w:rPr>
        <w:t>2008).</w:t>
      </w:r>
    </w:p>
    <w:p>
      <w:pPr>
        <w:pStyle w:val="BodyText"/>
        <w:spacing w:line="247" w:lineRule="auto"/>
        <w:ind w:left="117" w:right="114" w:firstLine="283"/>
        <w:jc w:val="both"/>
      </w:pPr>
      <w:r>
        <w:rPr>
          <w:color w:val="231F20"/>
        </w:rPr>
        <w:t>En otras de las razones que la población de los países</w:t>
      </w:r>
      <w:r>
        <w:rPr>
          <w:color w:val="231F20"/>
          <w:spacing w:val="-23"/>
        </w:rPr>
        <w:t> </w:t>
      </w:r>
      <w:r>
        <w:rPr>
          <w:color w:val="231F20"/>
        </w:rPr>
        <w:t>latinoamericanos tiene para emigrar a España está la prosperidad de la economía española desde finales de los años noventa, que ha conducido a que la población latinoamericana tenga una opinión positiva de España y la prefiera como destino migratorio. En este sentido han contribuido la estabilidad política y social, los altos índices de crecimiento económico y las posibilidades de conseguir un empleo digno Asimismo, se destaca que muchos emigrantes consideran que la legislación española es más favorable que la de otros países de destino.</w:t>
      </w:r>
    </w:p>
    <w:p>
      <w:pPr>
        <w:pStyle w:val="BodyText"/>
        <w:spacing w:line="247" w:lineRule="auto"/>
        <w:ind w:left="117" w:right="114" w:firstLine="283"/>
        <w:jc w:val="both"/>
      </w:pPr>
      <w:r>
        <w:rPr>
          <w:color w:val="231F20"/>
        </w:rPr>
        <w:t>A estos factores internos hay que añadir otros de carácter exógeno como el endurecimiento de la política de inmigración en Estados Unidos, que</w:t>
      </w:r>
      <w:r>
        <w:rPr>
          <w:color w:val="231F20"/>
          <w:spacing w:val="-6"/>
        </w:rPr>
        <w:t> </w:t>
      </w:r>
      <w:r>
        <w:rPr>
          <w:color w:val="231F20"/>
        </w:rPr>
        <w:t>ha</w:t>
      </w:r>
      <w:r>
        <w:rPr>
          <w:color w:val="231F20"/>
          <w:spacing w:val="-6"/>
        </w:rPr>
        <w:t> </w:t>
      </w:r>
      <w:r>
        <w:rPr>
          <w:color w:val="231F20"/>
        </w:rPr>
        <w:t>producido</w:t>
      </w:r>
      <w:r>
        <w:rPr>
          <w:color w:val="231F20"/>
          <w:spacing w:val="-6"/>
        </w:rPr>
        <w:t> </w:t>
      </w:r>
      <w:r>
        <w:rPr>
          <w:color w:val="231F20"/>
        </w:rPr>
        <w:t>un</w:t>
      </w:r>
      <w:r>
        <w:rPr>
          <w:color w:val="231F20"/>
          <w:spacing w:val="-6"/>
        </w:rPr>
        <w:t> </w:t>
      </w:r>
      <w:r>
        <w:rPr>
          <w:color w:val="231F20"/>
        </w:rPr>
        <w:t>desvío</w:t>
      </w:r>
      <w:r>
        <w:rPr>
          <w:color w:val="231F20"/>
          <w:spacing w:val="-6"/>
        </w:rPr>
        <w:t> </w:t>
      </w:r>
      <w:r>
        <w:rPr>
          <w:color w:val="231F20"/>
        </w:rPr>
        <w:t>hacia</w:t>
      </w:r>
      <w:r>
        <w:rPr>
          <w:color w:val="231F20"/>
          <w:spacing w:val="-6"/>
        </w:rPr>
        <w:t> </w:t>
      </w:r>
      <w:r>
        <w:rPr>
          <w:color w:val="231F20"/>
        </w:rPr>
        <w:t>Europa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emigración</w:t>
      </w:r>
      <w:r>
        <w:rPr>
          <w:color w:val="231F20"/>
          <w:spacing w:val="-6"/>
        </w:rPr>
        <w:t> </w:t>
      </w:r>
      <w:r>
        <w:rPr>
          <w:color w:val="231F20"/>
        </w:rPr>
        <w:t>iberoamericana y la crisis económica de muchos de sus países con la consiguiente pérdida de</w:t>
      </w:r>
      <w:r>
        <w:rPr>
          <w:color w:val="231F20"/>
          <w:spacing w:val="-7"/>
        </w:rPr>
        <w:t> </w:t>
      </w:r>
      <w:r>
        <w:rPr>
          <w:color w:val="231F20"/>
        </w:rPr>
        <w:t>atractivo</w:t>
      </w:r>
      <w:r>
        <w:rPr>
          <w:color w:val="231F20"/>
          <w:spacing w:val="-8"/>
        </w:rPr>
        <w:t> </w:t>
      </w:r>
      <w:r>
        <w:rPr>
          <w:color w:val="231F20"/>
        </w:rPr>
        <w:t>de</w:t>
      </w:r>
      <w:r>
        <w:rPr>
          <w:color w:val="231F20"/>
          <w:spacing w:val="-7"/>
        </w:rPr>
        <w:t> </w:t>
      </w:r>
      <w:r>
        <w:rPr>
          <w:color w:val="231F20"/>
        </w:rPr>
        <w:t>algunos</w:t>
      </w:r>
      <w:r>
        <w:rPr>
          <w:color w:val="231F20"/>
          <w:spacing w:val="-8"/>
        </w:rPr>
        <w:t> </w:t>
      </w:r>
      <w:r>
        <w:rPr>
          <w:color w:val="231F20"/>
        </w:rPr>
        <w:t>destinos</w:t>
      </w:r>
      <w:r>
        <w:rPr>
          <w:color w:val="231F20"/>
          <w:spacing w:val="-7"/>
        </w:rPr>
        <w:t> </w:t>
      </w:r>
      <w:r>
        <w:rPr>
          <w:color w:val="231F20"/>
        </w:rPr>
        <w:t>tradicionales</w:t>
      </w:r>
      <w:r>
        <w:rPr>
          <w:color w:val="231F20"/>
          <w:spacing w:val="-8"/>
        </w:rPr>
        <w:t> </w:t>
      </w:r>
      <w:r>
        <w:rPr>
          <w:color w:val="231F20"/>
        </w:rPr>
        <w:t>como</w:t>
      </w:r>
      <w:r>
        <w:rPr>
          <w:color w:val="231F20"/>
          <w:spacing w:val="-12"/>
        </w:rPr>
        <w:t> </w:t>
      </w:r>
      <w:r>
        <w:rPr>
          <w:color w:val="231F20"/>
          <w:spacing w:val="-3"/>
        </w:rPr>
        <w:t>Venezuela</w:t>
      </w:r>
      <w:r>
        <w:rPr>
          <w:color w:val="231F20"/>
          <w:spacing w:val="-7"/>
        </w:rPr>
        <w:t> </w:t>
      </w:r>
      <w:r>
        <w:rPr>
          <w:color w:val="231F20"/>
        </w:rPr>
        <w:t>y</w:t>
      </w:r>
      <w:r>
        <w:rPr>
          <w:color w:val="231F20"/>
          <w:spacing w:val="-19"/>
        </w:rPr>
        <w:t> </w:t>
      </w:r>
      <w:r>
        <w:rPr>
          <w:color w:val="231F20"/>
        </w:rPr>
        <w:t>Argentina (Casas, 2006). Aparte del crecimiento económico español, el idioma y las costumbres</w:t>
      </w:r>
      <w:r>
        <w:rPr>
          <w:color w:val="231F20"/>
          <w:spacing w:val="-11"/>
        </w:rPr>
        <w:t> </w:t>
      </w:r>
      <w:r>
        <w:rPr>
          <w:color w:val="231F20"/>
        </w:rPr>
        <w:t>comunes</w:t>
      </w:r>
      <w:r>
        <w:rPr>
          <w:color w:val="231F20"/>
          <w:spacing w:val="-11"/>
        </w:rPr>
        <w:t> </w:t>
      </w:r>
      <w:r>
        <w:rPr>
          <w:color w:val="231F20"/>
        </w:rPr>
        <w:t>también</w:t>
      </w:r>
      <w:r>
        <w:rPr>
          <w:color w:val="231F20"/>
          <w:spacing w:val="-11"/>
        </w:rPr>
        <w:t> </w:t>
      </w:r>
      <w:r>
        <w:rPr>
          <w:color w:val="231F20"/>
        </w:rPr>
        <w:t>atraen</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latinoamericanos.</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últimos años, España necesita mano de obra y revertir dos tendencias preocupan- tes: el acelerado proceso de envejecimiento y la baja tasa de natalidad. La entrada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mujer</w:t>
      </w:r>
      <w:r>
        <w:rPr>
          <w:color w:val="231F20"/>
          <w:spacing w:val="-8"/>
        </w:rPr>
        <w:t> </w:t>
      </w:r>
      <w:r>
        <w:rPr>
          <w:color w:val="231F20"/>
        </w:rPr>
        <w:t>española</w:t>
      </w:r>
      <w:r>
        <w:rPr>
          <w:color w:val="231F20"/>
          <w:spacing w:val="-9"/>
        </w:rPr>
        <w:t> </w:t>
      </w:r>
      <w:r>
        <w:rPr>
          <w:color w:val="231F20"/>
        </w:rPr>
        <w:t>al</w:t>
      </w:r>
      <w:r>
        <w:rPr>
          <w:color w:val="231F20"/>
          <w:spacing w:val="-8"/>
        </w:rPr>
        <w:t> </w:t>
      </w:r>
      <w:r>
        <w:rPr>
          <w:color w:val="231F20"/>
        </w:rPr>
        <w:t>mercado</w:t>
      </w:r>
      <w:r>
        <w:rPr>
          <w:color w:val="231F20"/>
          <w:spacing w:val="-8"/>
        </w:rPr>
        <w:t> </w:t>
      </w:r>
      <w:r>
        <w:rPr>
          <w:color w:val="231F20"/>
        </w:rPr>
        <w:t>laboral</w:t>
      </w:r>
      <w:r>
        <w:rPr>
          <w:color w:val="231F20"/>
          <w:spacing w:val="-8"/>
        </w:rPr>
        <w:t> </w:t>
      </w:r>
      <w:r>
        <w:rPr>
          <w:color w:val="231F20"/>
        </w:rPr>
        <w:t>creó,</w:t>
      </w:r>
      <w:r>
        <w:rPr>
          <w:color w:val="231F20"/>
          <w:spacing w:val="-8"/>
        </w:rPr>
        <w:t> </w:t>
      </w:r>
      <w:r>
        <w:rPr>
          <w:color w:val="231F20"/>
        </w:rPr>
        <w:t>además,</w:t>
      </w:r>
      <w:r>
        <w:rPr>
          <w:color w:val="231F20"/>
          <w:spacing w:val="-8"/>
        </w:rPr>
        <w:t> </w:t>
      </w:r>
      <w:r>
        <w:rPr>
          <w:color w:val="231F20"/>
        </w:rPr>
        <w:t>la</w:t>
      </w:r>
      <w:r>
        <w:rPr>
          <w:color w:val="231F20"/>
          <w:spacing w:val="-8"/>
        </w:rPr>
        <w:t> </w:t>
      </w:r>
      <w:r>
        <w:rPr>
          <w:color w:val="231F20"/>
        </w:rPr>
        <w:t>necesidad de emplear cuidadoras y cuidadores para los mayores y los niños. Un es- tudio reciente afirma que España es el segundo país de la Unión Europea (UE)</w:t>
      </w:r>
      <w:r>
        <w:rPr>
          <w:color w:val="231F20"/>
          <w:spacing w:val="-4"/>
        </w:rPr>
        <w:t> </w:t>
      </w:r>
      <w:r>
        <w:rPr>
          <w:color w:val="231F20"/>
        </w:rPr>
        <w:t>por</w:t>
      </w:r>
      <w:r>
        <w:rPr>
          <w:color w:val="231F20"/>
          <w:spacing w:val="-4"/>
        </w:rPr>
        <w:t> </w:t>
      </w:r>
      <w:r>
        <w:rPr>
          <w:color w:val="231F20"/>
        </w:rPr>
        <w:t>detrás</w:t>
      </w:r>
      <w:r>
        <w:rPr>
          <w:color w:val="231F20"/>
          <w:spacing w:val="-4"/>
        </w:rPr>
        <w:t> </w:t>
      </w:r>
      <w:r>
        <w:rPr>
          <w:color w:val="231F20"/>
        </w:rPr>
        <w:t>de</w:t>
      </w:r>
      <w:r>
        <w:rPr>
          <w:color w:val="231F20"/>
          <w:spacing w:val="-4"/>
        </w:rPr>
        <w:t> </w:t>
      </w:r>
      <w:r>
        <w:rPr>
          <w:color w:val="231F20"/>
        </w:rPr>
        <w:t>Suecia,</w:t>
      </w:r>
      <w:r>
        <w:rPr>
          <w:color w:val="231F20"/>
          <w:spacing w:val="-3"/>
        </w:rPr>
        <w:t> </w:t>
      </w:r>
      <w:r>
        <w:rPr>
          <w:color w:val="231F20"/>
        </w:rPr>
        <w:t>en</w:t>
      </w:r>
      <w:r>
        <w:rPr>
          <w:color w:val="231F20"/>
          <w:spacing w:val="-4"/>
        </w:rPr>
        <w:t> </w:t>
      </w:r>
      <w:r>
        <w:rPr>
          <w:color w:val="231F20"/>
        </w:rPr>
        <w:t>el</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inmigrantes</w:t>
      </w:r>
      <w:r>
        <w:rPr>
          <w:color w:val="231F20"/>
          <w:spacing w:val="-4"/>
        </w:rPr>
        <w:t> </w:t>
      </w:r>
      <w:r>
        <w:rPr>
          <w:color w:val="231F20"/>
        </w:rPr>
        <w:t>disfrutan</w:t>
      </w:r>
      <w:r>
        <w:rPr>
          <w:color w:val="231F20"/>
          <w:spacing w:val="-4"/>
        </w:rPr>
        <w:t> </w:t>
      </w:r>
      <w:r>
        <w:rPr>
          <w:color w:val="231F20"/>
        </w:rPr>
        <w:t>de</w:t>
      </w:r>
      <w:r>
        <w:rPr>
          <w:color w:val="231F20"/>
          <w:spacing w:val="-4"/>
        </w:rPr>
        <w:t> </w:t>
      </w:r>
      <w:r>
        <w:rPr>
          <w:color w:val="231F20"/>
        </w:rPr>
        <w:t>más</w:t>
      </w:r>
      <w:r>
        <w:rPr>
          <w:color w:val="231F20"/>
          <w:spacing w:val="-4"/>
        </w:rPr>
        <w:t> </w:t>
      </w:r>
      <w:r>
        <w:rPr>
          <w:color w:val="231F20"/>
        </w:rPr>
        <w:t>faci- lidades para acceder al mercado laboral. En España los inmigrantes tienen más posibilidades que los propios españoles de encontrar un empleo, sin embargo tienen el doble de probabilidad de acceder sólo a trabajos</w:t>
      </w:r>
      <w:r>
        <w:rPr>
          <w:color w:val="231F20"/>
          <w:spacing w:val="-32"/>
        </w:rPr>
        <w:t> </w:t>
      </w:r>
      <w:r>
        <w:rPr>
          <w:color w:val="231F20"/>
        </w:rPr>
        <w:t>tempo- rales.</w:t>
      </w:r>
    </w:p>
    <w:p>
      <w:pPr>
        <w:pStyle w:val="BodyText"/>
        <w:spacing w:line="247" w:lineRule="auto"/>
        <w:ind w:left="117" w:right="114" w:firstLine="283"/>
        <w:jc w:val="both"/>
      </w:pPr>
      <w:r>
        <w:rPr>
          <w:color w:val="231F20"/>
        </w:rPr>
        <w:t>En</w:t>
      </w:r>
      <w:r>
        <w:rPr>
          <w:color w:val="231F20"/>
          <w:spacing w:val="-11"/>
        </w:rPr>
        <w:t> </w:t>
      </w:r>
      <w:r>
        <w:rPr>
          <w:color w:val="231F20"/>
        </w:rPr>
        <w:t>resumen,</w:t>
      </w:r>
      <w:r>
        <w:rPr>
          <w:color w:val="231F20"/>
          <w:spacing w:val="-10"/>
        </w:rPr>
        <w:t> </w:t>
      </w:r>
      <w:r>
        <w:rPr>
          <w:color w:val="231F20"/>
        </w:rPr>
        <w:t>los</w:t>
      </w:r>
      <w:r>
        <w:rPr>
          <w:color w:val="231F20"/>
          <w:spacing w:val="-11"/>
        </w:rPr>
        <w:t> </w:t>
      </w:r>
      <w:r>
        <w:rPr>
          <w:color w:val="231F20"/>
        </w:rPr>
        <w:t>latinoamericanos</w:t>
      </w:r>
      <w:r>
        <w:rPr>
          <w:color w:val="231F20"/>
          <w:spacing w:val="-12"/>
        </w:rPr>
        <w:t> </w:t>
      </w:r>
      <w:r>
        <w:rPr>
          <w:color w:val="231F20"/>
        </w:rPr>
        <w:t>emigran</w:t>
      </w:r>
      <w:r>
        <w:rPr>
          <w:color w:val="231F20"/>
          <w:spacing w:val="-11"/>
        </w:rPr>
        <w:t> </w:t>
      </w:r>
      <w:r>
        <w:rPr>
          <w:color w:val="231F20"/>
        </w:rPr>
        <w:t>por</w:t>
      </w:r>
      <w:r>
        <w:rPr>
          <w:color w:val="231F20"/>
          <w:spacing w:val="-11"/>
        </w:rPr>
        <w:t> </w:t>
      </w:r>
      <w:r>
        <w:rPr>
          <w:color w:val="231F20"/>
        </w:rPr>
        <w:t>una</w:t>
      </w:r>
      <w:r>
        <w:rPr>
          <w:color w:val="231F20"/>
          <w:spacing w:val="-10"/>
        </w:rPr>
        <w:t> </w:t>
      </w:r>
      <w:r>
        <w:rPr>
          <w:color w:val="231F20"/>
        </w:rPr>
        <w:t>combinación</w:t>
      </w:r>
      <w:r>
        <w:rPr>
          <w:color w:val="231F20"/>
          <w:spacing w:val="-11"/>
        </w:rPr>
        <w:t> </w:t>
      </w:r>
      <w:r>
        <w:rPr>
          <w:color w:val="231F20"/>
        </w:rPr>
        <w:t>de</w:t>
      </w:r>
      <w:r>
        <w:rPr>
          <w:color w:val="231F20"/>
          <w:spacing w:val="-10"/>
        </w:rPr>
        <w:t> </w:t>
      </w:r>
      <w:r>
        <w:rPr>
          <w:color w:val="231F20"/>
        </w:rPr>
        <w:t>fac- tores que influencian su calidad de vida y su futuro. Las crisis políticas y económicas generan incertidumbres sobre el futuro de los países y de los individuos.</w:t>
      </w:r>
      <w:r>
        <w:rPr>
          <w:color w:val="231F20"/>
          <w:spacing w:val="-10"/>
        </w:rPr>
        <w:t> </w:t>
      </w:r>
      <w:r>
        <w:rPr>
          <w:color w:val="231F20"/>
        </w:rPr>
        <w:t>Si</w:t>
      </w:r>
      <w:r>
        <w:rPr>
          <w:color w:val="231F20"/>
          <w:spacing w:val="-10"/>
        </w:rPr>
        <w:t> </w:t>
      </w:r>
      <w:r>
        <w:rPr>
          <w:color w:val="231F20"/>
        </w:rPr>
        <w:t>bien</w:t>
      </w:r>
      <w:r>
        <w:rPr>
          <w:color w:val="231F20"/>
          <w:spacing w:val="-10"/>
        </w:rPr>
        <w:t> </w:t>
      </w:r>
      <w:r>
        <w:rPr>
          <w:color w:val="231F20"/>
        </w:rPr>
        <w:t>es</w:t>
      </w:r>
      <w:r>
        <w:rPr>
          <w:color w:val="231F20"/>
          <w:spacing w:val="-10"/>
        </w:rPr>
        <w:t> </w:t>
      </w:r>
      <w:r>
        <w:rPr>
          <w:color w:val="231F20"/>
        </w:rPr>
        <w:t>cierto</w:t>
      </w:r>
      <w:r>
        <w:rPr>
          <w:color w:val="231F20"/>
          <w:spacing w:val="-10"/>
        </w:rPr>
        <w:t> </w:t>
      </w:r>
      <w:r>
        <w:rPr>
          <w:color w:val="231F20"/>
        </w:rPr>
        <w:t>que,</w:t>
      </w:r>
      <w:r>
        <w:rPr>
          <w:color w:val="231F20"/>
          <w:spacing w:val="-10"/>
        </w:rPr>
        <w:t> </w:t>
      </w:r>
      <w:r>
        <w:rPr>
          <w:color w:val="231F20"/>
        </w:rPr>
        <w:t>como</w:t>
      </w:r>
      <w:r>
        <w:rPr>
          <w:color w:val="231F20"/>
          <w:spacing w:val="-10"/>
        </w:rPr>
        <w:t> </w:t>
      </w:r>
      <w:r>
        <w:rPr>
          <w:color w:val="231F20"/>
        </w:rPr>
        <w:t>registran</w:t>
      </w:r>
      <w:r>
        <w:rPr>
          <w:color w:val="231F20"/>
          <w:spacing w:val="-10"/>
        </w:rPr>
        <w:t> </w:t>
      </w:r>
      <w:r>
        <w:rPr>
          <w:color w:val="231F20"/>
        </w:rPr>
        <w:t>los</w:t>
      </w:r>
      <w:r>
        <w:rPr>
          <w:color w:val="231F20"/>
          <w:spacing w:val="-10"/>
        </w:rPr>
        <w:t> </w:t>
      </w:r>
      <w:r>
        <w:rPr>
          <w:color w:val="231F20"/>
        </w:rPr>
        <w:t>datos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4"/>
        </w:rPr>
        <w:t>CEPAL,</w:t>
      </w:r>
      <w:r>
        <w:rPr>
          <w:color w:val="231F20"/>
          <w:spacing w:val="-10"/>
        </w:rPr>
        <w:t> </w:t>
      </w:r>
      <w:r>
        <w:rPr>
          <w:color w:val="231F20"/>
        </w:rPr>
        <w:t>las tendencias de crecimiento económico, disminución de la pobreza y gene- ración de empleos han sido positivas en los últimos años, la sensación de incertidumbre que genera la región latinoamericana no se disipa con</w:t>
      </w:r>
      <w:r>
        <w:rPr>
          <w:color w:val="231F20"/>
          <w:spacing w:val="-3"/>
        </w:rPr>
        <w:t> </w:t>
      </w:r>
      <w:r>
        <w:rPr>
          <w:color w:val="231F20"/>
        </w:rPr>
        <w:t>algu-</w:t>
      </w:r>
    </w:p>
    <w:p>
      <w:pPr>
        <w:spacing w:after="0" w:line="247" w:lineRule="auto"/>
        <w:jc w:val="both"/>
        <w:sectPr>
          <w:pgSz w:w="9360" w:h="13040"/>
          <w:pgMar w:header="0" w:footer="496" w:top="800" w:bottom="680" w:left="1300" w:right="1300"/>
        </w:sectPr>
      </w:pPr>
    </w:p>
    <w:p>
      <w:pPr>
        <w:spacing w:before="45"/>
        <w:ind w:left="117" w:right="0" w:firstLine="88"/>
        <w:jc w:val="both"/>
        <w:rPr>
          <w:rFonts w:ascii="Arial" w:hAnsi="Arial"/>
          <w:sz w:val="20"/>
        </w:rPr>
      </w:pPr>
      <w:r>
        <w:rPr>
          <w:rFonts w:ascii="Arial" w:hAnsi="Arial"/>
          <w:color w:val="231F20"/>
          <w:w w:val="70"/>
          <w:sz w:val="20"/>
        </w:rPr>
        <w:t>Nueva reconfiguración de la inmigración internacional: el caso de España /Lucila Godínez-Montoya </w:t>
      </w:r>
      <w:r>
        <w:rPr>
          <w:rFonts w:ascii="Arial" w:hAnsi="Arial"/>
          <w:i/>
          <w:color w:val="231F20"/>
          <w:w w:val="70"/>
          <w:sz w:val="20"/>
        </w:rPr>
        <w:t>et al</w:t>
      </w:r>
      <w:r>
        <w:rPr>
          <w:rFonts w:ascii="Arial" w:hAnsi="Arial"/>
          <w:color w:val="231F20"/>
          <w:w w:val="70"/>
          <w:sz w:val="20"/>
        </w:rPr>
        <w:t>.</w:t>
      </w:r>
    </w:p>
    <w:p>
      <w:pPr>
        <w:pStyle w:val="BodyText"/>
        <w:spacing w:before="7"/>
        <w:rPr>
          <w:rFonts w:ascii="Arial"/>
          <w:sz w:val="28"/>
        </w:rPr>
      </w:pPr>
    </w:p>
    <w:p>
      <w:pPr>
        <w:pStyle w:val="BodyText"/>
        <w:spacing w:line="247" w:lineRule="auto"/>
        <w:ind w:left="117" w:right="114"/>
        <w:jc w:val="both"/>
      </w:pPr>
      <w:r>
        <w:rPr>
          <w:color w:val="231F20"/>
        </w:rPr>
        <w:t>nos buenos años económicos. Los problemas estructurales de la economía latinoamericana siguen estando presentes, como por ejemplo, la depen- dencia y la vulnerabilidad de las economías domésticas, las disparidades entre</w:t>
      </w:r>
      <w:r>
        <w:rPr>
          <w:color w:val="231F20"/>
          <w:spacing w:val="-7"/>
        </w:rPr>
        <w:t> </w:t>
      </w:r>
      <w:r>
        <w:rPr>
          <w:color w:val="231F20"/>
        </w:rPr>
        <w:t>las</w:t>
      </w:r>
      <w:r>
        <w:rPr>
          <w:color w:val="231F20"/>
          <w:spacing w:val="-7"/>
        </w:rPr>
        <w:t> </w:t>
      </w:r>
      <w:r>
        <w:rPr>
          <w:color w:val="231F20"/>
        </w:rPr>
        <w:t>distintas</w:t>
      </w:r>
      <w:r>
        <w:rPr>
          <w:color w:val="231F20"/>
          <w:spacing w:val="-7"/>
        </w:rPr>
        <w:t> </w:t>
      </w:r>
      <w:r>
        <w:rPr>
          <w:color w:val="231F20"/>
        </w:rPr>
        <w:t>regiones</w:t>
      </w:r>
      <w:r>
        <w:rPr>
          <w:color w:val="231F20"/>
          <w:spacing w:val="-6"/>
        </w:rPr>
        <w:t> </w:t>
      </w:r>
      <w:r>
        <w:rPr>
          <w:color w:val="231F20"/>
        </w:rPr>
        <w:t>al</w:t>
      </w:r>
      <w:r>
        <w:rPr>
          <w:color w:val="231F20"/>
          <w:spacing w:val="-7"/>
        </w:rPr>
        <w:t> </w:t>
      </w:r>
      <w:r>
        <w:rPr>
          <w:color w:val="231F20"/>
        </w:rPr>
        <w:t>interior</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países,</w:t>
      </w:r>
      <w:r>
        <w:rPr>
          <w:color w:val="231F20"/>
          <w:spacing w:val="-7"/>
        </w:rPr>
        <w:t> </w:t>
      </w:r>
      <w:r>
        <w:rPr>
          <w:color w:val="231F20"/>
        </w:rPr>
        <w:t>la</w:t>
      </w:r>
      <w:r>
        <w:rPr>
          <w:color w:val="231F20"/>
          <w:spacing w:val="-7"/>
        </w:rPr>
        <w:t> </w:t>
      </w:r>
      <w:r>
        <w:rPr>
          <w:color w:val="231F20"/>
        </w:rPr>
        <w:t>desigualdad</w:t>
      </w:r>
      <w:r>
        <w:rPr>
          <w:color w:val="231F20"/>
          <w:spacing w:val="-6"/>
        </w:rPr>
        <w:t> </w:t>
      </w:r>
      <w:r>
        <w:rPr>
          <w:color w:val="231F20"/>
        </w:rPr>
        <w:t>entre</w:t>
      </w:r>
      <w:r>
        <w:rPr>
          <w:color w:val="231F20"/>
          <w:spacing w:val="-7"/>
        </w:rPr>
        <w:t> </w:t>
      </w:r>
      <w:r>
        <w:rPr>
          <w:color w:val="231F20"/>
        </w:rPr>
        <w:t>las distintas clases sociales, la desigual distribución del ingreso y la carencia de servicios públicos eficientes (Tedesco,</w:t>
      </w:r>
      <w:r>
        <w:rPr>
          <w:color w:val="231F20"/>
          <w:spacing w:val="-28"/>
        </w:rPr>
        <w:t> </w:t>
      </w:r>
      <w:r>
        <w:rPr>
          <w:color w:val="231F20"/>
        </w:rPr>
        <w:t>2008).</w:t>
      </w:r>
    </w:p>
    <w:p>
      <w:pPr>
        <w:pStyle w:val="Heading3"/>
        <w:spacing w:line="242" w:lineRule="auto"/>
        <w:ind w:right="117"/>
        <w:jc w:val="left"/>
      </w:pPr>
      <w:r>
        <w:rPr>
          <w:color w:val="231F20"/>
        </w:rPr>
        <w:t>Características de los flujos de inmigrantes en España provenientes de Latinoamérica</w:t>
      </w:r>
    </w:p>
    <w:p>
      <w:pPr>
        <w:spacing w:line="240" w:lineRule="exact" w:before="163"/>
        <w:ind w:left="117" w:right="377" w:firstLine="0"/>
        <w:jc w:val="left"/>
        <w:rPr>
          <w:i/>
          <w:sz w:val="22"/>
        </w:rPr>
      </w:pPr>
      <w:r>
        <w:rPr>
          <w:i/>
          <w:color w:val="231F20"/>
          <w:sz w:val="22"/>
        </w:rPr>
        <w:t>Cambio de tendencia migratoria y origen de los flujos de inmigrantes </w:t>
      </w:r>
      <w:r>
        <w:rPr>
          <w:i/>
          <w:color w:val="231F20"/>
          <w:sz w:val="22"/>
        </w:rPr>
        <w:t>en España</w:t>
      </w:r>
    </w:p>
    <w:p>
      <w:pPr>
        <w:pStyle w:val="BodyText"/>
        <w:spacing w:line="247" w:lineRule="auto" w:before="176"/>
        <w:ind w:left="71" w:right="114"/>
        <w:jc w:val="right"/>
      </w:pPr>
      <w:r>
        <w:rPr>
          <w:color w:val="231F20"/>
        </w:rPr>
        <w:t>La inmigración internacional es un fenómeno que viene</w:t>
      </w:r>
      <w:r>
        <w:rPr>
          <w:color w:val="231F20"/>
          <w:spacing w:val="50"/>
        </w:rPr>
        <w:t> </w:t>
      </w:r>
      <w:r>
        <w:rPr>
          <w:color w:val="231F20"/>
        </w:rPr>
        <w:t>caracterizando</w:t>
      </w:r>
      <w:r>
        <w:rPr>
          <w:color w:val="231F20"/>
          <w:spacing w:val="6"/>
        </w:rPr>
        <w:t> </w:t>
      </w:r>
      <w:r>
        <w:rPr>
          <w:color w:val="231F20"/>
        </w:rPr>
        <w:t>el desarrollo</w:t>
      </w:r>
      <w:r>
        <w:rPr>
          <w:color w:val="231F20"/>
          <w:spacing w:val="-12"/>
        </w:rPr>
        <w:t> </w:t>
      </w:r>
      <w:r>
        <w:rPr>
          <w:color w:val="231F20"/>
        </w:rPr>
        <w:t>social,</w:t>
      </w:r>
      <w:r>
        <w:rPr>
          <w:color w:val="231F20"/>
          <w:spacing w:val="-11"/>
        </w:rPr>
        <w:t> </w:t>
      </w:r>
      <w:r>
        <w:rPr>
          <w:color w:val="231F20"/>
        </w:rPr>
        <w:t>económico,</w:t>
      </w:r>
      <w:r>
        <w:rPr>
          <w:color w:val="231F20"/>
          <w:spacing w:val="-12"/>
        </w:rPr>
        <w:t> </w:t>
      </w:r>
      <w:r>
        <w:rPr>
          <w:color w:val="231F20"/>
        </w:rPr>
        <w:t>político</w:t>
      </w:r>
      <w:r>
        <w:rPr>
          <w:color w:val="231F20"/>
          <w:spacing w:val="-12"/>
        </w:rPr>
        <w:t> </w:t>
      </w:r>
      <w:r>
        <w:rPr>
          <w:color w:val="231F20"/>
        </w:rPr>
        <w:t>y</w:t>
      </w:r>
      <w:r>
        <w:rPr>
          <w:color w:val="231F20"/>
          <w:spacing w:val="-12"/>
        </w:rPr>
        <w:t> </w:t>
      </w:r>
      <w:r>
        <w:rPr>
          <w:color w:val="231F20"/>
        </w:rPr>
        <w:t>cultural</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sociedades</w:t>
      </w:r>
      <w:r>
        <w:rPr>
          <w:color w:val="231F20"/>
          <w:spacing w:val="-11"/>
        </w:rPr>
        <w:t> </w:t>
      </w:r>
      <w:r>
        <w:rPr>
          <w:color w:val="231F20"/>
        </w:rPr>
        <w:t>europeas durante</w:t>
      </w:r>
      <w:r>
        <w:rPr>
          <w:color w:val="231F20"/>
          <w:spacing w:val="-11"/>
        </w:rPr>
        <w:t> </w:t>
      </w:r>
      <w:r>
        <w:rPr>
          <w:color w:val="231F20"/>
        </w:rPr>
        <w:t>las</w:t>
      </w:r>
      <w:r>
        <w:rPr>
          <w:color w:val="231F20"/>
          <w:spacing w:val="-12"/>
        </w:rPr>
        <w:t> </w:t>
      </w:r>
      <w:r>
        <w:rPr>
          <w:color w:val="231F20"/>
        </w:rPr>
        <w:t>últimas</w:t>
      </w:r>
      <w:r>
        <w:rPr>
          <w:color w:val="231F20"/>
          <w:spacing w:val="-12"/>
        </w:rPr>
        <w:t> </w:t>
      </w:r>
      <w:r>
        <w:rPr>
          <w:color w:val="231F20"/>
        </w:rPr>
        <w:t>décadas,</w:t>
      </w:r>
      <w:r>
        <w:rPr>
          <w:color w:val="231F20"/>
          <w:spacing w:val="-12"/>
        </w:rPr>
        <w:t> </w:t>
      </w:r>
      <w:r>
        <w:rPr>
          <w:color w:val="231F20"/>
        </w:rPr>
        <w:t>no</w:t>
      </w:r>
      <w:r>
        <w:rPr>
          <w:color w:val="231F20"/>
          <w:spacing w:val="-12"/>
        </w:rPr>
        <w:t> </w:t>
      </w:r>
      <w:r>
        <w:rPr>
          <w:color w:val="231F20"/>
        </w:rPr>
        <w:t>tanto</w:t>
      </w:r>
      <w:r>
        <w:rPr>
          <w:color w:val="231F20"/>
          <w:spacing w:val="-12"/>
        </w:rPr>
        <w:t> </w:t>
      </w:r>
      <w:r>
        <w:rPr>
          <w:color w:val="231F20"/>
        </w:rPr>
        <w:t>por</w:t>
      </w:r>
      <w:r>
        <w:rPr>
          <w:color w:val="231F20"/>
          <w:spacing w:val="-12"/>
        </w:rPr>
        <w:t> </w:t>
      </w:r>
      <w:r>
        <w:rPr>
          <w:color w:val="231F20"/>
        </w:rPr>
        <w:t>su</w:t>
      </w:r>
      <w:r>
        <w:rPr>
          <w:color w:val="231F20"/>
          <w:spacing w:val="-12"/>
        </w:rPr>
        <w:t> </w:t>
      </w:r>
      <w:r>
        <w:rPr>
          <w:color w:val="231F20"/>
        </w:rPr>
        <w:t>novedad</w:t>
      </w:r>
      <w:r>
        <w:rPr>
          <w:color w:val="231F20"/>
          <w:spacing w:val="-12"/>
        </w:rPr>
        <w:t> </w:t>
      </w:r>
      <w:r>
        <w:rPr>
          <w:color w:val="231F20"/>
        </w:rPr>
        <w:t>sino</w:t>
      </w:r>
      <w:r>
        <w:rPr>
          <w:color w:val="231F20"/>
          <w:spacing w:val="-11"/>
        </w:rPr>
        <w:t> </w:t>
      </w:r>
      <w:r>
        <w:rPr>
          <w:color w:val="231F20"/>
        </w:rPr>
        <w:t>por</w:t>
      </w:r>
      <w:r>
        <w:rPr>
          <w:color w:val="231F20"/>
          <w:spacing w:val="-12"/>
        </w:rPr>
        <w:t> </w:t>
      </w:r>
      <w:r>
        <w:rPr>
          <w:color w:val="231F20"/>
        </w:rPr>
        <w:t>las</w:t>
      </w:r>
      <w:r>
        <w:rPr>
          <w:color w:val="231F20"/>
          <w:spacing w:val="-12"/>
        </w:rPr>
        <w:t> </w:t>
      </w:r>
      <w:r>
        <w:rPr>
          <w:color w:val="231F20"/>
        </w:rPr>
        <w:t>crecientes dimensiones que está alcanzando. El creciente contexto</w:t>
      </w:r>
      <w:r>
        <w:rPr>
          <w:color w:val="231F20"/>
          <w:spacing w:val="1"/>
        </w:rPr>
        <w:t> </w:t>
      </w:r>
      <w:r>
        <w:rPr>
          <w:color w:val="231F20"/>
        </w:rPr>
        <w:t>de</w:t>
      </w:r>
      <w:r>
        <w:rPr>
          <w:color w:val="231F20"/>
          <w:spacing w:val="32"/>
        </w:rPr>
        <w:t> </w:t>
      </w:r>
      <w:r>
        <w:rPr>
          <w:color w:val="231F20"/>
        </w:rPr>
        <w:t>inmigración internacional también destaca como novedoso el cambio de</w:t>
      </w:r>
      <w:r>
        <w:rPr>
          <w:color w:val="231F20"/>
          <w:spacing w:val="15"/>
        </w:rPr>
        <w:t> </w:t>
      </w:r>
      <w:r>
        <w:rPr>
          <w:color w:val="231F20"/>
        </w:rPr>
        <w:t>tendencia</w:t>
      </w:r>
      <w:r>
        <w:rPr>
          <w:color w:val="231F20"/>
          <w:spacing w:val="1"/>
        </w:rPr>
        <w:t> </w:t>
      </w:r>
      <w:r>
        <w:rPr>
          <w:color w:val="231F20"/>
        </w:rPr>
        <w:t>mi- gratoria que han experimentado los países de la cuenca</w:t>
      </w:r>
      <w:r>
        <w:rPr>
          <w:color w:val="231F20"/>
          <w:spacing w:val="-33"/>
        </w:rPr>
        <w:t> </w:t>
      </w:r>
      <w:r>
        <w:rPr>
          <w:color w:val="231F20"/>
        </w:rPr>
        <w:t>mediterránea</w:t>
      </w:r>
      <w:r>
        <w:rPr>
          <w:color w:val="231F20"/>
          <w:spacing w:val="-5"/>
        </w:rPr>
        <w:t> </w:t>
      </w:r>
      <w:r>
        <w:rPr>
          <w:color w:val="231F20"/>
        </w:rPr>
        <w:t>(Por- tugal, España, Italia o Grecia), ya que han pasado de ser</w:t>
      </w:r>
      <w:r>
        <w:rPr>
          <w:color w:val="231F20"/>
          <w:spacing w:val="22"/>
        </w:rPr>
        <w:t> </w:t>
      </w:r>
      <w:r>
        <w:rPr>
          <w:color w:val="231F20"/>
        </w:rPr>
        <w:t>importantes</w:t>
      </w:r>
      <w:r>
        <w:rPr>
          <w:color w:val="231F20"/>
          <w:spacing w:val="1"/>
        </w:rPr>
        <w:t> </w:t>
      </w:r>
      <w:r>
        <w:rPr>
          <w:color w:val="231F20"/>
        </w:rPr>
        <w:t>emi- sores</w:t>
      </w:r>
      <w:r>
        <w:rPr>
          <w:color w:val="231F20"/>
          <w:spacing w:val="-9"/>
        </w:rPr>
        <w:t> </w:t>
      </w:r>
      <w:r>
        <w:rPr>
          <w:color w:val="231F20"/>
        </w:rPr>
        <w:t>de</w:t>
      </w:r>
      <w:r>
        <w:rPr>
          <w:color w:val="231F20"/>
          <w:spacing w:val="-10"/>
        </w:rPr>
        <w:t> </w:t>
      </w:r>
      <w:r>
        <w:rPr>
          <w:color w:val="231F20"/>
        </w:rPr>
        <w:t>población</w:t>
      </w:r>
      <w:r>
        <w:rPr>
          <w:color w:val="231F20"/>
          <w:spacing w:val="-10"/>
        </w:rPr>
        <w:t> </w:t>
      </w:r>
      <w:r>
        <w:rPr>
          <w:color w:val="231F20"/>
        </w:rPr>
        <w:t>hacia</w:t>
      </w:r>
      <w:r>
        <w:rPr>
          <w:color w:val="231F20"/>
          <w:spacing w:val="-10"/>
        </w:rPr>
        <w:t> </w:t>
      </w:r>
      <w:r>
        <w:rPr>
          <w:color w:val="231F20"/>
        </w:rPr>
        <w:t>otros</w:t>
      </w:r>
      <w:r>
        <w:rPr>
          <w:color w:val="231F20"/>
          <w:spacing w:val="-10"/>
        </w:rPr>
        <w:t> </w:t>
      </w:r>
      <w:r>
        <w:rPr>
          <w:color w:val="231F20"/>
        </w:rPr>
        <w:t>países</w:t>
      </w:r>
      <w:r>
        <w:rPr>
          <w:color w:val="231F20"/>
          <w:spacing w:val="-10"/>
        </w:rPr>
        <w:t> </w:t>
      </w:r>
      <w:r>
        <w:rPr>
          <w:color w:val="231F20"/>
        </w:rPr>
        <w:t>europeos</w:t>
      </w:r>
      <w:r>
        <w:rPr>
          <w:color w:val="231F20"/>
          <w:spacing w:val="-10"/>
        </w:rPr>
        <w:t> </w:t>
      </w:r>
      <w:r>
        <w:rPr>
          <w:color w:val="231F20"/>
        </w:rPr>
        <w:t>tradicionalmente</w:t>
      </w:r>
      <w:r>
        <w:rPr>
          <w:color w:val="231F20"/>
          <w:spacing w:val="-10"/>
        </w:rPr>
        <w:t> </w:t>
      </w:r>
      <w:r>
        <w:rPr>
          <w:color w:val="231F20"/>
        </w:rPr>
        <w:t>receptores de</w:t>
      </w:r>
      <w:r>
        <w:rPr>
          <w:color w:val="231F20"/>
          <w:spacing w:val="-10"/>
        </w:rPr>
        <w:t> </w:t>
      </w:r>
      <w:r>
        <w:rPr>
          <w:color w:val="231F20"/>
        </w:rPr>
        <w:t>inmigración</w:t>
      </w:r>
      <w:r>
        <w:rPr>
          <w:color w:val="231F20"/>
          <w:spacing w:val="-11"/>
        </w:rPr>
        <w:t> </w:t>
      </w:r>
      <w:r>
        <w:rPr>
          <w:color w:val="231F20"/>
        </w:rPr>
        <w:t>(como</w:t>
      </w:r>
      <w:r>
        <w:rPr>
          <w:color w:val="231F20"/>
          <w:spacing w:val="-10"/>
        </w:rPr>
        <w:t> </w:t>
      </w:r>
      <w:r>
        <w:rPr>
          <w:color w:val="231F20"/>
        </w:rPr>
        <w:t>Francia,</w:t>
      </w:r>
      <w:r>
        <w:rPr>
          <w:color w:val="231F20"/>
          <w:spacing w:val="-21"/>
        </w:rPr>
        <w:t> </w:t>
      </w:r>
      <w:r>
        <w:rPr>
          <w:color w:val="231F20"/>
        </w:rPr>
        <w:t>Alemania</w:t>
      </w:r>
      <w:r>
        <w:rPr>
          <w:color w:val="231F20"/>
          <w:spacing w:val="-10"/>
        </w:rPr>
        <w:t> </w:t>
      </w:r>
      <w:r>
        <w:rPr>
          <w:color w:val="231F20"/>
        </w:rPr>
        <w:t>o</w:t>
      </w:r>
      <w:r>
        <w:rPr>
          <w:color w:val="231F20"/>
          <w:spacing w:val="-10"/>
        </w:rPr>
        <w:t> </w:t>
      </w:r>
      <w:r>
        <w:rPr>
          <w:color w:val="231F20"/>
        </w:rPr>
        <w:t>el</w:t>
      </w:r>
      <w:r>
        <w:rPr>
          <w:color w:val="231F20"/>
          <w:spacing w:val="-10"/>
        </w:rPr>
        <w:t> </w:t>
      </w:r>
      <w:r>
        <w:rPr>
          <w:color w:val="231F20"/>
        </w:rPr>
        <w:t>Reino</w:t>
      </w:r>
      <w:r>
        <w:rPr>
          <w:color w:val="231F20"/>
          <w:spacing w:val="-10"/>
        </w:rPr>
        <w:t> </w:t>
      </w:r>
      <w:r>
        <w:rPr>
          <w:color w:val="231F20"/>
        </w:rPr>
        <w:t>Unido)</w:t>
      </w:r>
      <w:r>
        <w:rPr>
          <w:color w:val="231F20"/>
          <w:spacing w:val="-10"/>
        </w:rPr>
        <w:t> </w:t>
      </w:r>
      <w:r>
        <w:rPr>
          <w:color w:val="231F20"/>
        </w:rPr>
        <w:t>a</w:t>
      </w:r>
      <w:r>
        <w:rPr>
          <w:color w:val="231F20"/>
          <w:spacing w:val="-10"/>
        </w:rPr>
        <w:t> </w:t>
      </w:r>
      <w:r>
        <w:rPr>
          <w:color w:val="231F20"/>
        </w:rPr>
        <w:t>configurarse,</w:t>
      </w:r>
      <w:r>
        <w:rPr>
          <w:color w:val="231F20"/>
          <w:w w:val="98"/>
        </w:rPr>
        <w:t> </w:t>
      </w:r>
      <w:r>
        <w:rPr>
          <w:color w:val="231F20"/>
        </w:rPr>
        <w:t>claramente</w:t>
      </w:r>
      <w:r>
        <w:rPr>
          <w:color w:val="231F20"/>
          <w:spacing w:val="-8"/>
        </w:rPr>
        <w:t> </w:t>
      </w:r>
      <w:r>
        <w:rPr>
          <w:color w:val="231F20"/>
        </w:rPr>
        <w:t>y</w:t>
      </w:r>
      <w:r>
        <w:rPr>
          <w:color w:val="231F20"/>
          <w:spacing w:val="-7"/>
        </w:rPr>
        <w:t> </w:t>
      </w:r>
      <w:r>
        <w:rPr>
          <w:color w:val="231F20"/>
        </w:rPr>
        <w:t>a</w:t>
      </w:r>
      <w:r>
        <w:rPr>
          <w:color w:val="231F20"/>
          <w:spacing w:val="-7"/>
        </w:rPr>
        <w:t> </w:t>
      </w:r>
      <w:r>
        <w:rPr>
          <w:color w:val="231F20"/>
        </w:rPr>
        <w:t>lo</w:t>
      </w:r>
      <w:r>
        <w:rPr>
          <w:color w:val="231F20"/>
          <w:spacing w:val="-7"/>
        </w:rPr>
        <w:t> </w:t>
      </w:r>
      <w:r>
        <w:rPr>
          <w:color w:val="231F20"/>
        </w:rPr>
        <w:t>largo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última</w:t>
      </w:r>
      <w:r>
        <w:rPr>
          <w:color w:val="231F20"/>
          <w:spacing w:val="-7"/>
        </w:rPr>
        <w:t> </w:t>
      </w:r>
      <w:r>
        <w:rPr>
          <w:color w:val="231F20"/>
        </w:rPr>
        <w:t>década,</w:t>
      </w:r>
      <w:r>
        <w:rPr>
          <w:color w:val="231F20"/>
          <w:spacing w:val="-7"/>
        </w:rPr>
        <w:t> </w:t>
      </w:r>
      <w:r>
        <w:rPr>
          <w:color w:val="231F20"/>
        </w:rPr>
        <w:t>como</w:t>
      </w:r>
      <w:r>
        <w:rPr>
          <w:color w:val="231F20"/>
          <w:spacing w:val="-7"/>
        </w:rPr>
        <w:t> </w:t>
      </w:r>
      <w:r>
        <w:rPr>
          <w:color w:val="231F20"/>
        </w:rPr>
        <w:t>nuevos</w:t>
      </w:r>
      <w:r>
        <w:rPr>
          <w:color w:val="231F20"/>
          <w:spacing w:val="-7"/>
        </w:rPr>
        <w:t> </w:t>
      </w:r>
      <w:r>
        <w:rPr>
          <w:color w:val="231F20"/>
        </w:rPr>
        <w:t>países</w:t>
      </w:r>
      <w:r>
        <w:rPr>
          <w:color w:val="231F20"/>
          <w:spacing w:val="-7"/>
        </w:rPr>
        <w:t> </w:t>
      </w:r>
      <w:r>
        <w:rPr>
          <w:color w:val="231F20"/>
        </w:rPr>
        <w:t>de</w:t>
      </w:r>
      <w:r>
        <w:rPr>
          <w:color w:val="231F20"/>
          <w:spacing w:val="-7"/>
        </w:rPr>
        <w:t> </w:t>
      </w:r>
      <w:r>
        <w:rPr>
          <w:color w:val="231F20"/>
        </w:rPr>
        <w:t>destino de</w:t>
      </w:r>
      <w:r>
        <w:rPr>
          <w:color w:val="231F20"/>
          <w:spacing w:val="-7"/>
        </w:rPr>
        <w:t> </w:t>
      </w:r>
      <w:r>
        <w:rPr>
          <w:color w:val="231F20"/>
        </w:rPr>
        <w:t>una</w:t>
      </w:r>
      <w:r>
        <w:rPr>
          <w:color w:val="231F20"/>
          <w:spacing w:val="-7"/>
        </w:rPr>
        <w:t> </w:t>
      </w:r>
      <w:r>
        <w:rPr>
          <w:color w:val="231F20"/>
        </w:rPr>
        <w:t>parte</w:t>
      </w:r>
      <w:r>
        <w:rPr>
          <w:color w:val="231F20"/>
          <w:spacing w:val="-7"/>
        </w:rPr>
        <w:t> </w:t>
      </w:r>
      <w:r>
        <w:rPr>
          <w:color w:val="231F20"/>
        </w:rPr>
        <w:t>creciente</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inmigración</w:t>
      </w:r>
      <w:r>
        <w:rPr>
          <w:color w:val="231F20"/>
          <w:spacing w:val="-8"/>
        </w:rPr>
        <w:t> </w:t>
      </w:r>
      <w:r>
        <w:rPr>
          <w:color w:val="231F20"/>
        </w:rPr>
        <w:t>extracomunitaria</w:t>
      </w:r>
      <w:r>
        <w:rPr>
          <w:color w:val="231F20"/>
          <w:spacing w:val="-8"/>
        </w:rPr>
        <w:t> </w:t>
      </w:r>
      <w:r>
        <w:rPr>
          <w:color w:val="231F20"/>
        </w:rPr>
        <w:t>(Torrado,</w:t>
      </w:r>
      <w:r>
        <w:rPr>
          <w:color w:val="231F20"/>
          <w:spacing w:val="-7"/>
        </w:rPr>
        <w:t> </w:t>
      </w:r>
      <w:r>
        <w:rPr>
          <w:color w:val="231F20"/>
        </w:rPr>
        <w:t>2006). Este es el caso particular de España, que en el último cuarto</w:t>
      </w:r>
      <w:r>
        <w:rPr>
          <w:color w:val="231F20"/>
          <w:spacing w:val="29"/>
        </w:rPr>
        <w:t> </w:t>
      </w:r>
      <w:r>
        <w:rPr>
          <w:color w:val="231F20"/>
        </w:rPr>
        <w:t>del</w:t>
      </w:r>
      <w:r>
        <w:rPr>
          <w:color w:val="231F20"/>
          <w:spacing w:val="11"/>
        </w:rPr>
        <w:t> </w:t>
      </w:r>
      <w:r>
        <w:rPr>
          <w:color w:val="231F20"/>
        </w:rPr>
        <w:t>siglo</w:t>
      </w:r>
      <w:r>
        <w:rPr>
          <w:color w:val="231F20"/>
          <w:spacing w:val="-1"/>
        </w:rPr>
        <w:t> </w:t>
      </w:r>
      <w:r>
        <w:rPr>
          <w:color w:val="231F20"/>
        </w:rPr>
        <w:t>XX y en particular el primer decenio del siglo XXI, cambió</w:t>
      </w:r>
      <w:r>
        <w:rPr>
          <w:color w:val="231F20"/>
          <w:spacing w:val="44"/>
        </w:rPr>
        <w:t> </w:t>
      </w:r>
      <w:r>
        <w:rPr>
          <w:color w:val="231F20"/>
        </w:rPr>
        <w:t>de</w:t>
      </w:r>
      <w:r>
        <w:rPr>
          <w:color w:val="231F20"/>
          <w:spacing w:val="9"/>
        </w:rPr>
        <w:t> </w:t>
      </w:r>
      <w:r>
        <w:rPr>
          <w:color w:val="231F20"/>
        </w:rPr>
        <w:t>tendencia</w:t>
      </w:r>
      <w:r>
        <w:rPr>
          <w:color w:val="231F20"/>
          <w:w w:val="100"/>
        </w:rPr>
        <w:t> </w:t>
      </w:r>
      <w:r>
        <w:rPr>
          <w:color w:val="231F20"/>
        </w:rPr>
        <w:t>migratoria y en el contexto del creciente volumen de las</w:t>
      </w:r>
      <w:r>
        <w:rPr>
          <w:color w:val="231F20"/>
          <w:spacing w:val="28"/>
        </w:rPr>
        <w:t> </w:t>
      </w:r>
      <w:r>
        <w:rPr>
          <w:color w:val="231F20"/>
        </w:rPr>
        <w:t>migraciones</w:t>
      </w:r>
      <w:r>
        <w:rPr>
          <w:color w:val="231F20"/>
          <w:spacing w:val="13"/>
        </w:rPr>
        <w:t> </w:t>
      </w:r>
      <w:r>
        <w:rPr>
          <w:color w:val="231F20"/>
        </w:rPr>
        <w:t>in- ternacionales pasó a ser uno de los países que más</w:t>
      </w:r>
      <w:r>
        <w:rPr>
          <w:color w:val="231F20"/>
          <w:spacing w:val="36"/>
        </w:rPr>
        <w:t> </w:t>
      </w:r>
      <w:r>
        <w:rPr>
          <w:color w:val="231F20"/>
        </w:rPr>
        <w:t>población</w:t>
      </w:r>
      <w:r>
        <w:rPr>
          <w:color w:val="231F20"/>
          <w:spacing w:val="14"/>
        </w:rPr>
        <w:t> </w:t>
      </w:r>
      <w:r>
        <w:rPr>
          <w:color w:val="231F20"/>
        </w:rPr>
        <w:t>inmigrante recibe y de muy diversas procedencias (García </w:t>
      </w:r>
      <w:r>
        <w:rPr>
          <w:i/>
          <w:color w:val="231F20"/>
        </w:rPr>
        <w:t>et al</w:t>
      </w:r>
      <w:r>
        <w:rPr>
          <w:color w:val="231F20"/>
        </w:rPr>
        <w:t>., 2009); ya que</w:t>
      </w:r>
      <w:r>
        <w:rPr>
          <w:color w:val="231F20"/>
          <w:spacing w:val="19"/>
        </w:rPr>
        <w:t> </w:t>
      </w:r>
      <w:r>
        <w:rPr>
          <w:color w:val="231F20"/>
        </w:rPr>
        <w:t>en</w:t>
      </w:r>
      <w:r>
        <w:rPr>
          <w:color w:val="231F20"/>
          <w:spacing w:val="1"/>
        </w:rPr>
        <w:t> </w:t>
      </w:r>
      <w:r>
        <w:rPr>
          <w:color w:val="231F20"/>
        </w:rPr>
        <w:t>los</w:t>
      </w:r>
      <w:r>
        <w:rPr>
          <w:color w:val="231F20"/>
          <w:w w:val="100"/>
        </w:rPr>
        <w:t> </w:t>
      </w:r>
      <w:r>
        <w:rPr>
          <w:color w:val="231F20"/>
        </w:rPr>
        <w:t>últimos años, los flujos de inmigrantes hacia España se</w:t>
      </w:r>
      <w:r>
        <w:rPr>
          <w:color w:val="231F20"/>
          <w:spacing w:val="32"/>
        </w:rPr>
        <w:t> </w:t>
      </w:r>
      <w:r>
        <w:rPr>
          <w:color w:val="231F20"/>
        </w:rPr>
        <w:t>han</w:t>
      </w:r>
      <w:r>
        <w:rPr>
          <w:color w:val="231F20"/>
          <w:spacing w:val="3"/>
        </w:rPr>
        <w:t> </w:t>
      </w:r>
      <w:r>
        <w:rPr>
          <w:color w:val="231F20"/>
        </w:rPr>
        <w:t>diversificado,</w:t>
      </w:r>
      <w:r>
        <w:rPr>
          <w:color w:val="231F20"/>
          <w:w w:val="99"/>
        </w:rPr>
        <w:t> </w:t>
      </w:r>
      <w:r>
        <w:rPr>
          <w:color w:val="231F20"/>
        </w:rPr>
        <w:t>llegando desde tres continentes. A pesar de que el flujo</w:t>
      </w:r>
      <w:r>
        <w:rPr>
          <w:color w:val="231F20"/>
          <w:spacing w:val="54"/>
        </w:rPr>
        <w:t> </w:t>
      </w:r>
      <w:r>
        <w:rPr>
          <w:color w:val="231F20"/>
        </w:rPr>
        <w:t>mayoritario</w:t>
      </w:r>
      <w:r>
        <w:rPr>
          <w:color w:val="231F20"/>
          <w:spacing w:val="7"/>
        </w:rPr>
        <w:t> </w:t>
      </w:r>
      <w:r>
        <w:rPr>
          <w:color w:val="231F20"/>
        </w:rPr>
        <w:t>sigue siendo latinoamericano, en los dos últimos años el flujo que más</w:t>
      </w:r>
      <w:r>
        <w:rPr>
          <w:color w:val="231F20"/>
          <w:spacing w:val="20"/>
        </w:rPr>
        <w:t> </w:t>
      </w:r>
      <w:r>
        <w:rPr>
          <w:color w:val="231F20"/>
        </w:rPr>
        <w:t>ha</w:t>
      </w:r>
      <w:r>
        <w:rPr>
          <w:color w:val="231F20"/>
          <w:spacing w:val="1"/>
        </w:rPr>
        <w:t> </w:t>
      </w:r>
      <w:r>
        <w:rPr>
          <w:color w:val="231F20"/>
        </w:rPr>
        <w:t>creci- do es el de Europa del Este y en tercer lugar se encuentra</w:t>
      </w:r>
      <w:r>
        <w:rPr>
          <w:color w:val="231F20"/>
          <w:spacing w:val="32"/>
        </w:rPr>
        <w:t> </w:t>
      </w:r>
      <w:r>
        <w:rPr>
          <w:color w:val="231F20"/>
        </w:rPr>
        <w:t>la</w:t>
      </w:r>
      <w:r>
        <w:rPr>
          <w:color w:val="231F20"/>
          <w:spacing w:val="10"/>
        </w:rPr>
        <w:t> </w:t>
      </w:r>
      <w:r>
        <w:rPr>
          <w:color w:val="231F20"/>
        </w:rPr>
        <w:t>inmigración procedente</w:t>
      </w:r>
      <w:r>
        <w:rPr>
          <w:color w:val="231F20"/>
          <w:spacing w:val="-8"/>
        </w:rPr>
        <w:t> </w:t>
      </w:r>
      <w:r>
        <w:rPr>
          <w:color w:val="231F20"/>
        </w:rPr>
        <w:t>de</w:t>
      </w:r>
      <w:r>
        <w:rPr>
          <w:color w:val="231F20"/>
          <w:spacing w:val="-8"/>
        </w:rPr>
        <w:t> </w:t>
      </w:r>
      <w:r>
        <w:rPr>
          <w:color w:val="231F20"/>
        </w:rPr>
        <w:t>África</w:t>
      </w:r>
      <w:r>
        <w:rPr>
          <w:color w:val="231F20"/>
          <w:spacing w:val="-7"/>
        </w:rPr>
        <w:t> </w:t>
      </w:r>
      <w:r>
        <w:rPr>
          <w:color w:val="231F20"/>
        </w:rPr>
        <w:t>(Tedesco,</w:t>
      </w:r>
      <w:r>
        <w:rPr>
          <w:color w:val="231F20"/>
          <w:spacing w:val="-8"/>
        </w:rPr>
        <w:t> </w:t>
      </w:r>
      <w:r>
        <w:rPr>
          <w:color w:val="231F20"/>
        </w:rPr>
        <w:t>2008).</w:t>
      </w:r>
      <w:r>
        <w:rPr>
          <w:color w:val="231F20"/>
          <w:spacing w:val="-19"/>
        </w:rPr>
        <w:t> </w:t>
      </w:r>
      <w:r>
        <w:rPr>
          <w:color w:val="231F20"/>
        </w:rPr>
        <w:t>Al</w:t>
      </w:r>
      <w:r>
        <w:rPr>
          <w:color w:val="231F20"/>
          <w:spacing w:val="-8"/>
        </w:rPr>
        <w:t> </w:t>
      </w:r>
      <w:r>
        <w:rPr>
          <w:color w:val="231F20"/>
        </w:rPr>
        <w:t>respecto,</w:t>
      </w:r>
      <w:r>
        <w:rPr>
          <w:color w:val="231F20"/>
          <w:spacing w:val="-8"/>
        </w:rPr>
        <w:t> </w:t>
      </w:r>
      <w:r>
        <w:rPr>
          <w:color w:val="231F20"/>
        </w:rPr>
        <w:t>la</w:t>
      </w:r>
      <w:r>
        <w:rPr>
          <w:color w:val="231F20"/>
          <w:spacing w:val="-8"/>
        </w:rPr>
        <w:t> </w:t>
      </w:r>
      <w:r>
        <w:rPr>
          <w:color w:val="231F20"/>
        </w:rPr>
        <w:t>información</w:t>
      </w:r>
      <w:r>
        <w:rPr>
          <w:color w:val="231F20"/>
          <w:spacing w:val="-9"/>
        </w:rPr>
        <w:t> </w:t>
      </w:r>
      <w:r>
        <w:rPr>
          <w:color w:val="231F20"/>
        </w:rPr>
        <w:t>del</w:t>
      </w:r>
      <w:r>
        <w:rPr>
          <w:color w:val="231F20"/>
          <w:spacing w:val="-8"/>
        </w:rPr>
        <w:t> </w:t>
      </w:r>
      <w:r>
        <w:rPr>
          <w:color w:val="231F20"/>
        </w:rPr>
        <w:t>INE en 2008, muestra esta preferencia, ya que en España residen 46</w:t>
      </w:r>
      <w:r>
        <w:rPr>
          <w:color w:val="231F20"/>
          <w:spacing w:val="1"/>
        </w:rPr>
        <w:t> </w:t>
      </w:r>
      <w:r>
        <w:rPr>
          <w:color w:val="231F20"/>
        </w:rPr>
        <w:t>157</w:t>
      </w:r>
      <w:r>
        <w:rPr>
          <w:color w:val="231F20"/>
          <w:spacing w:val="15"/>
        </w:rPr>
        <w:t> </w:t>
      </w:r>
      <w:r>
        <w:rPr>
          <w:color w:val="231F20"/>
        </w:rPr>
        <w:t>822 personas,</w:t>
      </w:r>
      <w:r>
        <w:rPr>
          <w:color w:val="231F20"/>
          <w:spacing w:val="-4"/>
        </w:rPr>
        <w:t> </w:t>
      </w:r>
      <w:r>
        <w:rPr>
          <w:color w:val="231F20"/>
        </w:rPr>
        <w:t>de</w:t>
      </w:r>
      <w:r>
        <w:rPr>
          <w:color w:val="231F20"/>
          <w:spacing w:val="-4"/>
        </w:rPr>
        <w:t> </w:t>
      </w:r>
      <w:r>
        <w:rPr>
          <w:color w:val="231F20"/>
        </w:rPr>
        <w:t>las</w:t>
      </w:r>
      <w:r>
        <w:rPr>
          <w:color w:val="231F20"/>
          <w:spacing w:val="-5"/>
        </w:rPr>
        <w:t> </w:t>
      </w:r>
      <w:r>
        <w:rPr>
          <w:color w:val="231F20"/>
        </w:rPr>
        <w:t>cuales</w:t>
      </w:r>
      <w:r>
        <w:rPr>
          <w:color w:val="231F20"/>
          <w:spacing w:val="-5"/>
        </w:rPr>
        <w:t> </w:t>
      </w:r>
      <w:r>
        <w:rPr>
          <w:color w:val="231F20"/>
        </w:rPr>
        <w:t>6</w:t>
      </w:r>
      <w:r>
        <w:rPr>
          <w:color w:val="231F20"/>
          <w:spacing w:val="-4"/>
        </w:rPr>
        <w:t> </w:t>
      </w:r>
      <w:r>
        <w:rPr>
          <w:color w:val="231F20"/>
        </w:rPr>
        <w:t>044</w:t>
      </w:r>
      <w:r>
        <w:rPr>
          <w:color w:val="231F20"/>
          <w:spacing w:val="-4"/>
        </w:rPr>
        <w:t> </w:t>
      </w:r>
      <w:r>
        <w:rPr>
          <w:color w:val="231F20"/>
        </w:rPr>
        <w:t>528,</w:t>
      </w:r>
      <w:r>
        <w:rPr>
          <w:color w:val="231F20"/>
          <w:spacing w:val="-4"/>
        </w:rPr>
        <w:t> </w:t>
      </w:r>
      <w:r>
        <w:rPr>
          <w:color w:val="231F20"/>
        </w:rPr>
        <w:t>es</w:t>
      </w:r>
      <w:r>
        <w:rPr>
          <w:color w:val="231F20"/>
          <w:spacing w:val="-5"/>
        </w:rPr>
        <w:t> </w:t>
      </w:r>
      <w:r>
        <w:rPr>
          <w:color w:val="231F20"/>
        </w:rPr>
        <w:t>decir</w:t>
      </w:r>
      <w:r>
        <w:rPr>
          <w:color w:val="231F20"/>
          <w:spacing w:val="-4"/>
        </w:rPr>
        <w:t> </w:t>
      </w:r>
      <w:r>
        <w:rPr>
          <w:color w:val="231F20"/>
        </w:rPr>
        <w:t>13.1</w:t>
      </w:r>
      <w:r>
        <w:rPr>
          <w:color w:val="231F20"/>
          <w:spacing w:val="-4"/>
        </w:rPr>
        <w:t> </w:t>
      </w:r>
      <w:r>
        <w:rPr>
          <w:color w:val="231F20"/>
        </w:rPr>
        <w:t>por</w:t>
      </w:r>
      <w:r>
        <w:rPr>
          <w:color w:val="231F20"/>
          <w:spacing w:val="-4"/>
        </w:rPr>
        <w:t> </w:t>
      </w:r>
      <w:r>
        <w:rPr>
          <w:color w:val="231F20"/>
        </w:rPr>
        <w:t>ciento,</w:t>
      </w:r>
      <w:r>
        <w:rPr>
          <w:color w:val="231F20"/>
          <w:spacing w:val="-5"/>
        </w:rPr>
        <w:t> </w:t>
      </w:r>
      <w:r>
        <w:rPr>
          <w:color w:val="231F20"/>
        </w:rPr>
        <w:t>han</w:t>
      </w:r>
      <w:r>
        <w:rPr>
          <w:color w:val="231F20"/>
          <w:spacing w:val="-4"/>
        </w:rPr>
        <w:t> </w:t>
      </w:r>
      <w:r>
        <w:rPr>
          <w:color w:val="231F20"/>
        </w:rPr>
        <w:t>nacido</w:t>
      </w:r>
      <w:r>
        <w:rPr>
          <w:color w:val="231F20"/>
          <w:spacing w:val="-4"/>
        </w:rPr>
        <w:t> </w:t>
      </w:r>
      <w:r>
        <w:rPr>
          <w:color w:val="231F20"/>
        </w:rPr>
        <w:t>fue- ra del país; el peso de la población latinoamericana es</w:t>
      </w:r>
      <w:r>
        <w:rPr>
          <w:color w:val="231F20"/>
          <w:spacing w:val="9"/>
        </w:rPr>
        <w:t> </w:t>
      </w:r>
      <w:r>
        <w:rPr>
          <w:color w:val="231F20"/>
        </w:rPr>
        <w:t>significativo</w:t>
      </w:r>
      <w:r>
        <w:rPr>
          <w:color w:val="231F20"/>
          <w:spacing w:val="12"/>
        </w:rPr>
        <w:t> </w:t>
      </w:r>
      <w:r>
        <w:rPr>
          <w:color w:val="231F20"/>
        </w:rPr>
        <w:t>entre</w:t>
      </w:r>
      <w:r>
        <w:rPr>
          <w:color w:val="231F20"/>
          <w:w w:val="100"/>
        </w:rPr>
        <w:t> </w:t>
      </w:r>
      <w:r>
        <w:rPr>
          <w:color w:val="231F20"/>
        </w:rPr>
        <w:t>este colectivo, pues 2 298 787 personas han nacido en diversos países</w:t>
      </w:r>
      <w:r>
        <w:rPr>
          <w:color w:val="231F20"/>
          <w:spacing w:val="10"/>
        </w:rPr>
        <w:t> </w:t>
      </w:r>
      <w:r>
        <w:rPr>
          <w:color w:val="231F20"/>
        </w:rPr>
        <w:t>de</w:t>
      </w:r>
      <w:r>
        <w:rPr>
          <w:color w:val="231F20"/>
          <w:w w:val="100"/>
        </w:rPr>
        <w:t> </w:t>
      </w:r>
      <w:r>
        <w:rPr>
          <w:color w:val="231F20"/>
        </w:rPr>
        <w:t>América Latina, 38 por ciento de los nacidos fuera de España, ver</w:t>
      </w:r>
      <w:r>
        <w:rPr>
          <w:color w:val="231F20"/>
          <w:spacing w:val="6"/>
        </w:rPr>
        <w:t> </w:t>
      </w:r>
      <w:r>
        <w:rPr>
          <w:color w:val="231F20"/>
        </w:rPr>
        <w:t>Cuadro</w:t>
      </w:r>
    </w:p>
    <w:p>
      <w:pPr>
        <w:spacing w:line="253" w:lineRule="exact" w:before="0"/>
        <w:ind w:left="117" w:right="0" w:firstLine="0"/>
        <w:jc w:val="both"/>
        <w:rPr>
          <w:sz w:val="22"/>
        </w:rPr>
      </w:pPr>
      <w:r>
        <w:rPr>
          <w:color w:val="231F20"/>
          <w:sz w:val="22"/>
        </w:rPr>
        <w:t>1 (García </w:t>
      </w:r>
      <w:r>
        <w:rPr>
          <w:i/>
          <w:color w:val="231F20"/>
          <w:sz w:val="22"/>
        </w:rPr>
        <w:t>et al., </w:t>
      </w:r>
      <w:r>
        <w:rPr>
          <w:color w:val="231F20"/>
          <w:sz w:val="22"/>
        </w:rPr>
        <w:t>2009).</w:t>
      </w:r>
    </w:p>
    <w:p>
      <w:pPr>
        <w:spacing w:after="0" w:line="253" w:lineRule="exact"/>
        <w:jc w:val="both"/>
        <w:rPr>
          <w:sz w:val="22"/>
        </w:rPr>
        <w:sectPr>
          <w:pgSz w:w="9360" w:h="13040"/>
          <w:pgMar w:header="0" w:footer="496" w:top="740" w:bottom="680" w:left="1300" w:right="1300"/>
        </w:sectPr>
      </w:pPr>
    </w:p>
    <w:p>
      <w:pPr>
        <w:tabs>
          <w:tab w:pos="5536" w:val="left" w:leader="none"/>
        </w:tabs>
        <w:spacing w:before="48"/>
        <w:ind w:left="105" w:right="117" w:firstLine="0"/>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18"/>
        </w:rPr>
      </w:pPr>
    </w:p>
    <w:p>
      <w:pPr>
        <w:spacing w:line="252" w:lineRule="auto" w:before="81"/>
        <w:ind w:left="397" w:right="1076" w:firstLine="0"/>
        <w:jc w:val="left"/>
        <w:rPr>
          <w:sz w:val="19"/>
        </w:rPr>
      </w:pPr>
      <w:r>
        <w:rPr>
          <w:w w:val="105"/>
          <w:sz w:val="19"/>
        </w:rPr>
        <w:t>Cuadro 1. Población residente en España por lugar de nacimiento y nacionalidad</w:t>
      </w:r>
    </w:p>
    <w:tbl>
      <w:tblPr>
        <w:tblW w:w="0" w:type="auto"/>
        <w:jc w:val="left"/>
        <w:tblInd w:w="3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03"/>
        <w:gridCol w:w="1289"/>
        <w:gridCol w:w="1738"/>
        <w:gridCol w:w="1177"/>
      </w:tblGrid>
      <w:tr>
        <w:trPr>
          <w:trHeight w:val="250" w:hRule="exact"/>
        </w:trPr>
        <w:tc>
          <w:tcPr>
            <w:tcW w:w="2103" w:type="dxa"/>
            <w:tcBorders>
              <w:left w:val="nil"/>
              <w:bottom w:val="double" w:sz="4" w:space="0" w:color="000000"/>
              <w:right w:val="nil"/>
            </w:tcBorders>
          </w:tcPr>
          <w:p>
            <w:pPr>
              <w:pStyle w:val="TableParagraph"/>
              <w:spacing w:before="5"/>
              <w:ind w:left="72"/>
              <w:jc w:val="left"/>
              <w:rPr>
                <w:sz w:val="19"/>
              </w:rPr>
            </w:pPr>
            <w:r>
              <w:rPr>
                <w:w w:val="105"/>
                <w:sz w:val="19"/>
              </w:rPr>
              <w:t>Población</w:t>
            </w:r>
          </w:p>
        </w:tc>
        <w:tc>
          <w:tcPr>
            <w:tcW w:w="1289" w:type="dxa"/>
            <w:tcBorders>
              <w:left w:val="nil"/>
              <w:bottom w:val="double" w:sz="4" w:space="0" w:color="000000"/>
              <w:right w:val="nil"/>
            </w:tcBorders>
          </w:tcPr>
          <w:p>
            <w:pPr>
              <w:pStyle w:val="TableParagraph"/>
              <w:spacing w:before="5"/>
              <w:ind w:right="271"/>
              <w:rPr>
                <w:sz w:val="19"/>
              </w:rPr>
            </w:pPr>
            <w:r>
              <w:rPr>
                <w:sz w:val="19"/>
              </w:rPr>
              <w:t>España</w:t>
            </w:r>
          </w:p>
        </w:tc>
        <w:tc>
          <w:tcPr>
            <w:tcW w:w="1738" w:type="dxa"/>
            <w:tcBorders>
              <w:left w:val="nil"/>
              <w:bottom w:val="double" w:sz="4" w:space="0" w:color="000000"/>
              <w:right w:val="nil"/>
            </w:tcBorders>
          </w:tcPr>
          <w:p>
            <w:pPr>
              <w:pStyle w:val="TableParagraph"/>
              <w:spacing w:before="5"/>
              <w:ind w:right="309"/>
              <w:rPr>
                <w:sz w:val="19"/>
              </w:rPr>
            </w:pPr>
            <w:r>
              <w:rPr>
                <w:sz w:val="19"/>
              </w:rPr>
              <w:t>Latinoamérica</w:t>
            </w:r>
          </w:p>
        </w:tc>
        <w:tc>
          <w:tcPr>
            <w:tcW w:w="1177" w:type="dxa"/>
            <w:tcBorders>
              <w:left w:val="nil"/>
              <w:bottom w:val="double" w:sz="4" w:space="0" w:color="000000"/>
              <w:right w:val="nil"/>
            </w:tcBorders>
          </w:tcPr>
          <w:p>
            <w:pPr>
              <w:pStyle w:val="TableParagraph"/>
              <w:spacing w:before="5"/>
              <w:ind w:right="64"/>
              <w:rPr>
                <w:sz w:val="19"/>
              </w:rPr>
            </w:pPr>
            <w:r>
              <w:rPr>
                <w:sz w:val="19"/>
              </w:rPr>
              <w:t>Otros</w:t>
            </w:r>
          </w:p>
        </w:tc>
      </w:tr>
      <w:tr>
        <w:trPr>
          <w:trHeight w:val="252" w:hRule="exact"/>
        </w:trPr>
        <w:tc>
          <w:tcPr>
            <w:tcW w:w="2103" w:type="dxa"/>
            <w:tcBorders>
              <w:top w:val="double" w:sz="4" w:space="0" w:color="000000"/>
              <w:left w:val="nil"/>
              <w:bottom w:val="nil"/>
              <w:right w:val="nil"/>
            </w:tcBorders>
          </w:tcPr>
          <w:p>
            <w:pPr>
              <w:pStyle w:val="TableParagraph"/>
              <w:spacing w:before="5"/>
              <w:ind w:left="72"/>
              <w:jc w:val="left"/>
              <w:rPr>
                <w:sz w:val="19"/>
              </w:rPr>
            </w:pPr>
            <w:r>
              <w:rPr>
                <w:w w:val="105"/>
                <w:sz w:val="19"/>
              </w:rPr>
              <w:t>Por lugar de nacimiento</w:t>
            </w:r>
          </w:p>
        </w:tc>
        <w:tc>
          <w:tcPr>
            <w:tcW w:w="1289" w:type="dxa"/>
            <w:tcBorders>
              <w:top w:val="double" w:sz="4" w:space="0" w:color="000000"/>
              <w:left w:val="nil"/>
              <w:bottom w:val="nil"/>
              <w:right w:val="nil"/>
            </w:tcBorders>
          </w:tcPr>
          <w:p>
            <w:pPr>
              <w:pStyle w:val="TableParagraph"/>
              <w:spacing w:before="5"/>
              <w:ind w:right="270"/>
              <w:rPr>
                <w:sz w:val="19"/>
              </w:rPr>
            </w:pPr>
            <w:r>
              <w:rPr>
                <w:w w:val="105"/>
                <w:sz w:val="19"/>
              </w:rPr>
              <w:t>40 113 294</w:t>
            </w:r>
          </w:p>
        </w:tc>
        <w:tc>
          <w:tcPr>
            <w:tcW w:w="1738" w:type="dxa"/>
            <w:tcBorders>
              <w:top w:val="double" w:sz="4" w:space="0" w:color="000000"/>
              <w:left w:val="nil"/>
              <w:bottom w:val="nil"/>
              <w:right w:val="nil"/>
            </w:tcBorders>
          </w:tcPr>
          <w:p>
            <w:pPr>
              <w:pStyle w:val="TableParagraph"/>
              <w:spacing w:before="5"/>
              <w:ind w:right="309"/>
              <w:rPr>
                <w:sz w:val="19"/>
              </w:rPr>
            </w:pPr>
            <w:r>
              <w:rPr>
                <w:w w:val="105"/>
                <w:sz w:val="19"/>
              </w:rPr>
              <w:t>2 298 787</w:t>
            </w:r>
          </w:p>
        </w:tc>
        <w:tc>
          <w:tcPr>
            <w:tcW w:w="1177" w:type="dxa"/>
            <w:tcBorders>
              <w:top w:val="double" w:sz="4" w:space="0" w:color="000000"/>
              <w:left w:val="nil"/>
              <w:bottom w:val="nil"/>
              <w:right w:val="nil"/>
            </w:tcBorders>
          </w:tcPr>
          <w:p>
            <w:pPr>
              <w:pStyle w:val="TableParagraph"/>
              <w:spacing w:before="5"/>
              <w:ind w:right="63"/>
              <w:rPr>
                <w:sz w:val="19"/>
              </w:rPr>
            </w:pPr>
            <w:r>
              <w:rPr>
                <w:w w:val="105"/>
                <w:sz w:val="19"/>
              </w:rPr>
              <w:t>3 745 741</w:t>
            </w:r>
          </w:p>
        </w:tc>
      </w:tr>
      <w:tr>
        <w:trPr>
          <w:trHeight w:val="238" w:hRule="exact"/>
        </w:trPr>
        <w:tc>
          <w:tcPr>
            <w:tcW w:w="2103" w:type="dxa"/>
            <w:tcBorders>
              <w:top w:val="nil"/>
              <w:left w:val="nil"/>
              <w:bottom w:val="double" w:sz="4" w:space="0" w:color="000000"/>
              <w:right w:val="nil"/>
            </w:tcBorders>
          </w:tcPr>
          <w:p>
            <w:pPr>
              <w:pStyle w:val="TableParagraph"/>
              <w:spacing w:line="216" w:lineRule="exact"/>
              <w:ind w:left="72"/>
              <w:jc w:val="left"/>
              <w:rPr>
                <w:sz w:val="19"/>
              </w:rPr>
            </w:pPr>
            <w:r>
              <w:rPr>
                <w:w w:val="105"/>
                <w:sz w:val="19"/>
              </w:rPr>
              <w:t>Nacionalidad</w:t>
            </w:r>
          </w:p>
        </w:tc>
        <w:tc>
          <w:tcPr>
            <w:tcW w:w="1289" w:type="dxa"/>
            <w:tcBorders>
              <w:top w:val="nil"/>
              <w:left w:val="nil"/>
              <w:bottom w:val="double" w:sz="4" w:space="0" w:color="000000"/>
              <w:right w:val="nil"/>
            </w:tcBorders>
          </w:tcPr>
          <w:p>
            <w:pPr>
              <w:pStyle w:val="TableParagraph"/>
              <w:spacing w:line="216" w:lineRule="exact"/>
              <w:ind w:right="270"/>
              <w:rPr>
                <w:sz w:val="19"/>
              </w:rPr>
            </w:pPr>
            <w:r>
              <w:rPr>
                <w:w w:val="105"/>
                <w:sz w:val="19"/>
              </w:rPr>
              <w:t>40 627 163</w:t>
            </w:r>
          </w:p>
        </w:tc>
        <w:tc>
          <w:tcPr>
            <w:tcW w:w="1738" w:type="dxa"/>
            <w:tcBorders>
              <w:top w:val="nil"/>
              <w:left w:val="nil"/>
              <w:bottom w:val="double" w:sz="4" w:space="0" w:color="000000"/>
              <w:right w:val="nil"/>
            </w:tcBorders>
          </w:tcPr>
          <w:p>
            <w:pPr>
              <w:pStyle w:val="TableParagraph"/>
              <w:spacing w:line="216" w:lineRule="exact"/>
              <w:ind w:right="309"/>
              <w:rPr>
                <w:sz w:val="19"/>
              </w:rPr>
            </w:pPr>
            <w:r>
              <w:rPr>
                <w:w w:val="105"/>
                <w:sz w:val="19"/>
              </w:rPr>
              <w:t>1 810 272</w:t>
            </w:r>
          </w:p>
        </w:tc>
        <w:tc>
          <w:tcPr>
            <w:tcW w:w="1177" w:type="dxa"/>
            <w:tcBorders>
              <w:top w:val="nil"/>
              <w:left w:val="nil"/>
              <w:bottom w:val="double" w:sz="4" w:space="0" w:color="000000"/>
              <w:right w:val="nil"/>
            </w:tcBorders>
          </w:tcPr>
          <w:p>
            <w:pPr>
              <w:pStyle w:val="TableParagraph"/>
              <w:spacing w:line="216" w:lineRule="exact"/>
              <w:ind w:right="63"/>
              <w:rPr>
                <w:sz w:val="19"/>
              </w:rPr>
            </w:pPr>
            <w:r>
              <w:rPr>
                <w:w w:val="105"/>
                <w:sz w:val="19"/>
              </w:rPr>
              <w:t>4 754 893</w:t>
            </w:r>
          </w:p>
        </w:tc>
      </w:tr>
      <w:tr>
        <w:trPr>
          <w:trHeight w:val="294" w:hRule="exact"/>
        </w:trPr>
        <w:tc>
          <w:tcPr>
            <w:tcW w:w="2103" w:type="dxa"/>
            <w:tcBorders>
              <w:top w:val="double" w:sz="4" w:space="0" w:color="000000"/>
              <w:left w:val="nil"/>
              <w:bottom w:val="nil"/>
              <w:right w:val="nil"/>
            </w:tcBorders>
          </w:tcPr>
          <w:p>
            <w:pPr>
              <w:pStyle w:val="TableParagraph"/>
              <w:spacing w:line="183" w:lineRule="exact"/>
              <w:ind w:left="72"/>
              <w:jc w:val="left"/>
              <w:rPr>
                <w:sz w:val="16"/>
              </w:rPr>
            </w:pPr>
            <w:r>
              <w:rPr>
                <w:sz w:val="16"/>
              </w:rPr>
              <w:t>Fuente: García </w:t>
            </w:r>
            <w:r>
              <w:rPr>
                <w:i/>
                <w:sz w:val="16"/>
              </w:rPr>
              <w:t>et al</w:t>
            </w:r>
            <w:r>
              <w:rPr>
                <w:sz w:val="16"/>
              </w:rPr>
              <w:t>., 2009.</w:t>
            </w:r>
          </w:p>
        </w:tc>
        <w:tc>
          <w:tcPr>
            <w:tcW w:w="1289" w:type="dxa"/>
            <w:tcBorders>
              <w:top w:val="double" w:sz="4" w:space="0" w:color="000000"/>
              <w:left w:val="nil"/>
              <w:bottom w:val="nil"/>
              <w:right w:val="nil"/>
            </w:tcBorders>
          </w:tcPr>
          <w:p>
            <w:pPr/>
          </w:p>
        </w:tc>
        <w:tc>
          <w:tcPr>
            <w:tcW w:w="1738" w:type="dxa"/>
            <w:tcBorders>
              <w:top w:val="double" w:sz="4" w:space="0" w:color="000000"/>
              <w:left w:val="nil"/>
              <w:bottom w:val="nil"/>
              <w:right w:val="nil"/>
            </w:tcBorders>
          </w:tcPr>
          <w:p>
            <w:pPr/>
          </w:p>
        </w:tc>
        <w:tc>
          <w:tcPr>
            <w:tcW w:w="1177" w:type="dxa"/>
            <w:tcBorders>
              <w:top w:val="double" w:sz="4" w:space="0" w:color="000000"/>
              <w:left w:val="nil"/>
              <w:bottom w:val="nil"/>
              <w:right w:val="nil"/>
            </w:tcBorders>
          </w:tcPr>
          <w:p>
            <w:pPr/>
          </w:p>
        </w:tc>
      </w:tr>
    </w:tbl>
    <w:p>
      <w:pPr>
        <w:pStyle w:val="BodyText"/>
        <w:spacing w:line="247" w:lineRule="auto" w:before="130"/>
        <w:ind w:left="117" w:right="114" w:firstLine="283"/>
        <w:jc w:val="both"/>
      </w:pPr>
      <w:r>
        <w:rPr>
          <w:color w:val="231F20"/>
        </w:rPr>
        <w:t>El incremento y el peso de la inmigración latinoamericana tiene re- lación con los lazos históricos y sociales que fue forjando la emigración española a lo largo del pasado siglo, tanto la de índole económica como la política, sin remontarnos a etapas anteriores, pero también con decisiones políticas que van desde la firma de convenios bilaterales para regular los flujos migratorios con diversos países latinoamericanos a las favorables condiciones</w:t>
      </w:r>
      <w:r>
        <w:rPr>
          <w:color w:val="231F20"/>
          <w:spacing w:val="-7"/>
        </w:rPr>
        <w:t> </w:t>
      </w:r>
      <w:r>
        <w:rPr>
          <w:color w:val="231F20"/>
        </w:rPr>
        <w:t>para</w:t>
      </w:r>
      <w:r>
        <w:rPr>
          <w:color w:val="231F20"/>
          <w:spacing w:val="-6"/>
        </w:rPr>
        <w:t> </w:t>
      </w:r>
      <w:r>
        <w:rPr>
          <w:color w:val="231F20"/>
        </w:rPr>
        <w:t>la</w:t>
      </w:r>
      <w:r>
        <w:rPr>
          <w:color w:val="231F20"/>
          <w:spacing w:val="-6"/>
        </w:rPr>
        <w:t> </w:t>
      </w:r>
      <w:r>
        <w:rPr>
          <w:color w:val="231F20"/>
        </w:rPr>
        <w:t>obtención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nacionalidad</w:t>
      </w:r>
      <w:r>
        <w:rPr>
          <w:color w:val="231F20"/>
          <w:spacing w:val="-6"/>
        </w:rPr>
        <w:t> </w:t>
      </w:r>
      <w:r>
        <w:rPr>
          <w:color w:val="231F20"/>
        </w:rPr>
        <w:t>española</w:t>
      </w:r>
      <w:r>
        <w:rPr>
          <w:color w:val="231F20"/>
          <w:spacing w:val="-6"/>
        </w:rPr>
        <w:t> </w:t>
      </w:r>
      <w:r>
        <w:rPr>
          <w:color w:val="231F20"/>
        </w:rPr>
        <w:t>para</w:t>
      </w:r>
      <w:r>
        <w:rPr>
          <w:color w:val="231F20"/>
          <w:spacing w:val="-6"/>
        </w:rPr>
        <w:t> </w:t>
      </w:r>
      <w:r>
        <w:rPr>
          <w:color w:val="231F20"/>
        </w:rPr>
        <w:t>hijos</w:t>
      </w:r>
      <w:r>
        <w:rPr>
          <w:color w:val="231F20"/>
          <w:spacing w:val="-6"/>
        </w:rPr>
        <w:t> </w:t>
      </w:r>
      <w:r>
        <w:rPr>
          <w:color w:val="231F20"/>
        </w:rPr>
        <w:t>y</w:t>
      </w:r>
      <w:r>
        <w:rPr>
          <w:color w:val="231F20"/>
          <w:spacing w:val="-6"/>
        </w:rPr>
        <w:t> </w:t>
      </w:r>
      <w:r>
        <w:rPr>
          <w:color w:val="231F20"/>
        </w:rPr>
        <w:t>nie- tos de españoles a las mayores facilidades para la obtención y renovación del permiso de residencia y el acceso a la nacionalidad tras sólo dos años de residencia legal, sin olvidar los convenios de doble nacionalidad</w:t>
      </w:r>
      <w:r>
        <w:rPr>
          <w:color w:val="231F20"/>
          <w:spacing w:val="-12"/>
        </w:rPr>
        <w:t> </w:t>
      </w:r>
      <w:r>
        <w:rPr>
          <w:color w:val="231F20"/>
        </w:rPr>
        <w:t>firma- dos desde 1958 con la mayor parte de los países latinoamericanos (García </w:t>
      </w:r>
      <w:r>
        <w:rPr>
          <w:i/>
          <w:color w:val="231F20"/>
        </w:rPr>
        <w:t>et al.,</w:t>
      </w:r>
      <w:r>
        <w:rPr>
          <w:i/>
          <w:color w:val="231F20"/>
          <w:spacing w:val="-1"/>
        </w:rPr>
        <w:t> </w:t>
      </w:r>
      <w:r>
        <w:rPr>
          <w:color w:val="231F20"/>
        </w:rPr>
        <w:t>2009).</w:t>
      </w:r>
    </w:p>
    <w:p>
      <w:pPr>
        <w:pStyle w:val="Heading3"/>
        <w:spacing w:line="242" w:lineRule="auto"/>
        <w:ind w:right="503"/>
        <w:jc w:val="left"/>
      </w:pPr>
      <w:r>
        <w:rPr>
          <w:color w:val="231F20"/>
        </w:rPr>
        <w:t>Nacionalidad de origen de los inmigrantes latinoamericanos en España</w:t>
      </w:r>
    </w:p>
    <w:p>
      <w:pPr>
        <w:pStyle w:val="BodyText"/>
        <w:spacing w:line="247" w:lineRule="auto" w:before="170"/>
        <w:ind w:left="117" w:right="114"/>
        <w:jc w:val="both"/>
      </w:pPr>
      <w:r>
        <w:rPr>
          <w:color w:val="231F20"/>
        </w:rPr>
        <w:t>En la inmigración latinoamericana están representados prácticamente la totalidad de los países de América Latina, aunque con un peso y caracte- rísticas desiguales, fruto de las circunstancias socioeconómicas y políticas por las que los mismos han atravesado</w:t>
      </w:r>
      <w:r>
        <w:rPr>
          <w:color w:val="231F20"/>
          <w:spacing w:val="-38"/>
        </w:rPr>
        <w:t> </w:t>
      </w:r>
      <w:r>
        <w:rPr>
          <w:color w:val="231F20"/>
        </w:rPr>
        <w:t>en distintas fechas. De manera que, a principios de la década de los noventa, los países latinoamericanos con mayor presencia en el Estado Español eran Argentina, </w:t>
      </w:r>
      <w:r>
        <w:rPr>
          <w:color w:val="231F20"/>
          <w:spacing w:val="-3"/>
        </w:rPr>
        <w:t>Venezuela </w:t>
      </w:r>
      <w:r>
        <w:rPr>
          <w:color w:val="231F20"/>
        </w:rPr>
        <w:t>y Chile; esto, como resultado de la huida de las clases medias y profesionales de las condiciones sociopolíticas prevalecientes en sus países de origen. Sin embargo, para la segunda mitad de la misma década, estos grupos experi- mentaron</w:t>
      </w:r>
      <w:r>
        <w:rPr>
          <w:color w:val="231F20"/>
          <w:spacing w:val="-13"/>
        </w:rPr>
        <w:t> </w:t>
      </w:r>
      <w:r>
        <w:rPr>
          <w:color w:val="231F20"/>
        </w:rPr>
        <w:t>una</w:t>
      </w:r>
      <w:r>
        <w:rPr>
          <w:color w:val="231F20"/>
          <w:spacing w:val="-12"/>
        </w:rPr>
        <w:t> </w:t>
      </w:r>
      <w:r>
        <w:rPr>
          <w:color w:val="231F20"/>
        </w:rPr>
        <w:t>evolución</w:t>
      </w:r>
      <w:r>
        <w:rPr>
          <w:color w:val="231F20"/>
          <w:spacing w:val="-13"/>
        </w:rPr>
        <w:t> </w:t>
      </w:r>
      <w:r>
        <w:rPr>
          <w:color w:val="231F20"/>
        </w:rPr>
        <w:t>descendente,</w:t>
      </w:r>
      <w:r>
        <w:rPr>
          <w:color w:val="231F20"/>
          <w:spacing w:val="-12"/>
        </w:rPr>
        <w:t> </w:t>
      </w:r>
      <w:r>
        <w:rPr>
          <w:color w:val="231F20"/>
        </w:rPr>
        <w:t>como</w:t>
      </w:r>
      <w:r>
        <w:rPr>
          <w:color w:val="231F20"/>
          <w:spacing w:val="-12"/>
        </w:rPr>
        <w:t> </w:t>
      </w:r>
      <w:r>
        <w:rPr>
          <w:color w:val="231F20"/>
        </w:rPr>
        <w:t>resultado</w:t>
      </w:r>
      <w:r>
        <w:rPr>
          <w:color w:val="231F20"/>
          <w:spacing w:val="-12"/>
        </w:rPr>
        <w:t> </w:t>
      </w:r>
      <w:r>
        <w:rPr>
          <w:color w:val="231F20"/>
        </w:rPr>
        <w:t>principalmente</w:t>
      </w:r>
      <w:r>
        <w:rPr>
          <w:color w:val="231F20"/>
          <w:spacing w:val="-12"/>
        </w:rPr>
        <w:t> </w:t>
      </w:r>
      <w:r>
        <w:rPr>
          <w:color w:val="231F20"/>
        </w:rPr>
        <w:t>de</w:t>
      </w:r>
      <w:r>
        <w:rPr>
          <w:color w:val="231F20"/>
          <w:spacing w:val="-12"/>
        </w:rPr>
        <w:t> </w:t>
      </w:r>
      <w:r>
        <w:rPr>
          <w:color w:val="231F20"/>
        </w:rPr>
        <w:t>su acceso a la nacionalidad o como consecuencia del retorno ante el cambio político en estos países de origen; aunque en el caso de la inmigración argentina se registró un nuevo ascenso a principios del presente siglo con motivo de la agravación de la crisis económica que vive ese país en las últimas fechas.</w:t>
      </w:r>
    </w:p>
    <w:p>
      <w:pPr>
        <w:pStyle w:val="BodyText"/>
        <w:spacing w:line="247" w:lineRule="auto"/>
        <w:ind w:left="117" w:right="115" w:firstLine="283"/>
        <w:jc w:val="both"/>
      </w:pPr>
      <w:r>
        <w:rPr>
          <w:color w:val="231F20"/>
        </w:rPr>
        <w:t>A</w:t>
      </w:r>
      <w:r>
        <w:rPr>
          <w:color w:val="231F20"/>
          <w:spacing w:val="-16"/>
        </w:rPr>
        <w:t> </w:t>
      </w:r>
      <w:r>
        <w:rPr>
          <w:color w:val="231F20"/>
        </w:rPr>
        <w:t>estos</w:t>
      </w:r>
      <w:r>
        <w:rPr>
          <w:color w:val="231F20"/>
          <w:spacing w:val="-3"/>
        </w:rPr>
        <w:t> </w:t>
      </w:r>
      <w:r>
        <w:rPr>
          <w:color w:val="231F20"/>
        </w:rPr>
        <w:t>flujos</w:t>
      </w:r>
      <w:r>
        <w:rPr>
          <w:color w:val="231F20"/>
          <w:spacing w:val="-3"/>
        </w:rPr>
        <w:t> </w:t>
      </w:r>
      <w:r>
        <w:rPr>
          <w:color w:val="231F20"/>
        </w:rPr>
        <w:t>se</w:t>
      </w:r>
      <w:r>
        <w:rPr>
          <w:color w:val="231F20"/>
          <w:spacing w:val="-3"/>
        </w:rPr>
        <w:t> </w:t>
      </w:r>
      <w:r>
        <w:rPr>
          <w:color w:val="231F20"/>
        </w:rPr>
        <w:t>fueron</w:t>
      </w:r>
      <w:r>
        <w:rPr>
          <w:color w:val="231F20"/>
          <w:spacing w:val="-3"/>
        </w:rPr>
        <w:t> </w:t>
      </w:r>
      <w:r>
        <w:rPr>
          <w:color w:val="231F20"/>
        </w:rPr>
        <w:t>añadiendo</w:t>
      </w:r>
      <w:r>
        <w:rPr>
          <w:color w:val="231F20"/>
          <w:spacing w:val="-4"/>
        </w:rPr>
        <w:t> </w:t>
      </w:r>
      <w:r>
        <w:rPr>
          <w:color w:val="231F20"/>
        </w:rPr>
        <w:t>en</w:t>
      </w:r>
      <w:r>
        <w:rPr>
          <w:color w:val="231F20"/>
          <w:spacing w:val="-3"/>
        </w:rPr>
        <w:t> </w:t>
      </w:r>
      <w:r>
        <w:rPr>
          <w:color w:val="231F20"/>
        </w:rPr>
        <w:t>la</w:t>
      </w:r>
      <w:r>
        <w:rPr>
          <w:color w:val="231F20"/>
          <w:spacing w:val="-4"/>
        </w:rPr>
        <w:t> </w:t>
      </w:r>
      <w:r>
        <w:rPr>
          <w:color w:val="231F20"/>
        </w:rPr>
        <w:t>última</w:t>
      </w:r>
      <w:r>
        <w:rPr>
          <w:color w:val="231F20"/>
          <w:spacing w:val="-4"/>
        </w:rPr>
        <w:t> </w:t>
      </w:r>
      <w:r>
        <w:rPr>
          <w:color w:val="231F20"/>
        </w:rPr>
        <w:t>década</w:t>
      </w:r>
      <w:r>
        <w:rPr>
          <w:color w:val="231F20"/>
          <w:spacing w:val="-4"/>
        </w:rPr>
        <w:t> </w:t>
      </w:r>
      <w:r>
        <w:rPr>
          <w:color w:val="231F20"/>
        </w:rPr>
        <w:t>del</w:t>
      </w:r>
      <w:r>
        <w:rPr>
          <w:color w:val="231F20"/>
          <w:spacing w:val="-4"/>
        </w:rPr>
        <w:t> </w:t>
      </w:r>
      <w:r>
        <w:rPr>
          <w:color w:val="231F20"/>
        </w:rPr>
        <w:t>siglo</w:t>
      </w:r>
      <w:r>
        <w:rPr>
          <w:color w:val="231F20"/>
          <w:spacing w:val="-3"/>
        </w:rPr>
        <w:t> </w:t>
      </w:r>
      <w:r>
        <w:rPr>
          <w:color w:val="231F20"/>
        </w:rPr>
        <w:t>XX</w:t>
      </w:r>
      <w:r>
        <w:rPr>
          <w:color w:val="231F20"/>
          <w:spacing w:val="-3"/>
        </w:rPr>
        <w:t> </w:t>
      </w:r>
      <w:r>
        <w:rPr>
          <w:color w:val="231F20"/>
        </w:rPr>
        <w:t>los procedentes de Perú y República Dominicana, predominantemente </w:t>
      </w:r>
      <w:r>
        <w:rPr>
          <w:color w:val="231F20"/>
          <w:spacing w:val="10"/>
        </w:rPr>
        <w:t> </w:t>
      </w:r>
      <w:r>
        <w:rPr>
          <w:color w:val="231F20"/>
        </w:rPr>
        <w:t>muje-</w:t>
      </w:r>
    </w:p>
    <w:p>
      <w:pPr>
        <w:spacing w:after="0" w:line="247" w:lineRule="auto"/>
        <w:jc w:val="both"/>
        <w:sectPr>
          <w:pgSz w:w="9360" w:h="13040"/>
          <w:pgMar w:header="0" w:footer="496" w:top="800" w:bottom="680" w:left="1300" w:right="1300"/>
        </w:sectPr>
      </w:pPr>
    </w:p>
    <w:p>
      <w:pPr>
        <w:spacing w:before="45"/>
        <w:ind w:left="117" w:right="0" w:firstLine="88"/>
        <w:jc w:val="both"/>
        <w:rPr>
          <w:rFonts w:ascii="Arial" w:hAnsi="Arial"/>
          <w:sz w:val="20"/>
        </w:rPr>
      </w:pPr>
      <w:r>
        <w:rPr>
          <w:rFonts w:ascii="Arial" w:hAnsi="Arial"/>
          <w:color w:val="231F20"/>
          <w:w w:val="70"/>
          <w:sz w:val="20"/>
        </w:rPr>
        <w:t>Nueva reconfiguración de la inmigración internacional: el caso de España /Lucila Godínez-Montoya </w:t>
      </w:r>
      <w:r>
        <w:rPr>
          <w:rFonts w:ascii="Arial" w:hAnsi="Arial"/>
          <w:i/>
          <w:color w:val="231F20"/>
          <w:w w:val="70"/>
          <w:sz w:val="20"/>
        </w:rPr>
        <w:t>et al</w:t>
      </w:r>
      <w:r>
        <w:rPr>
          <w:rFonts w:ascii="Arial" w:hAnsi="Arial"/>
          <w:color w:val="231F20"/>
          <w:w w:val="70"/>
          <w:sz w:val="20"/>
        </w:rPr>
        <w:t>.</w:t>
      </w:r>
    </w:p>
    <w:p>
      <w:pPr>
        <w:pStyle w:val="BodyText"/>
        <w:spacing w:before="7"/>
        <w:rPr>
          <w:rFonts w:ascii="Arial"/>
          <w:sz w:val="28"/>
        </w:rPr>
      </w:pPr>
    </w:p>
    <w:p>
      <w:pPr>
        <w:pStyle w:val="BodyText"/>
        <w:spacing w:line="247" w:lineRule="auto"/>
        <w:ind w:left="117" w:right="115"/>
        <w:jc w:val="both"/>
      </w:pPr>
      <w:r>
        <w:rPr>
          <w:color w:val="231F20"/>
        </w:rPr>
        <w:t>res atraídas por las posibilidades de empleo en el servicio doméstico y posteriormente, tras la firma en 2001 de los correspondientes convenios, se incrementó considerablemente la llegada de ecuatorianos y colombia- nos que en 2008 eran dos nacionalidades mayoritarias (Cuadro 2). Como señalan</w:t>
      </w:r>
      <w:r>
        <w:rPr>
          <w:color w:val="231F20"/>
          <w:spacing w:val="-5"/>
        </w:rPr>
        <w:t> </w:t>
      </w:r>
      <w:r>
        <w:rPr>
          <w:color w:val="231F20"/>
        </w:rPr>
        <w:t>algunos</w:t>
      </w:r>
      <w:r>
        <w:rPr>
          <w:color w:val="231F20"/>
          <w:spacing w:val="-6"/>
        </w:rPr>
        <w:t> </w:t>
      </w:r>
      <w:r>
        <w:rPr>
          <w:color w:val="231F20"/>
        </w:rPr>
        <w:t>autores,</w:t>
      </w:r>
      <w:r>
        <w:rPr>
          <w:color w:val="231F20"/>
          <w:spacing w:val="-6"/>
        </w:rPr>
        <w:t> </w:t>
      </w:r>
      <w:r>
        <w:rPr>
          <w:color w:val="231F20"/>
        </w:rPr>
        <w:t>si</w:t>
      </w:r>
      <w:r>
        <w:rPr>
          <w:color w:val="231F20"/>
          <w:spacing w:val="-5"/>
        </w:rPr>
        <w:t> </w:t>
      </w:r>
      <w:r>
        <w:rPr>
          <w:color w:val="231F20"/>
        </w:rPr>
        <w:t>a</w:t>
      </w:r>
      <w:r>
        <w:rPr>
          <w:color w:val="231F20"/>
          <w:spacing w:val="-5"/>
        </w:rPr>
        <w:t> </w:t>
      </w:r>
      <w:r>
        <w:rPr>
          <w:color w:val="231F20"/>
        </w:rPr>
        <w:t>principios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años</w:t>
      </w:r>
      <w:r>
        <w:rPr>
          <w:color w:val="231F20"/>
          <w:spacing w:val="-6"/>
        </w:rPr>
        <w:t> </w:t>
      </w:r>
      <w:r>
        <w:rPr>
          <w:color w:val="231F20"/>
        </w:rPr>
        <w:t>noventa</w:t>
      </w:r>
      <w:r>
        <w:rPr>
          <w:color w:val="231F20"/>
          <w:spacing w:val="-5"/>
        </w:rPr>
        <w:t> </w:t>
      </w:r>
      <w:r>
        <w:rPr>
          <w:color w:val="231F20"/>
        </w:rPr>
        <w:t>dominaban</w:t>
      </w:r>
      <w:r>
        <w:rPr>
          <w:color w:val="231F20"/>
          <w:spacing w:val="-5"/>
        </w:rPr>
        <w:t> </w:t>
      </w:r>
      <w:r>
        <w:rPr>
          <w:color w:val="231F20"/>
        </w:rPr>
        <w:t>los inmigrantes latinoamericanos procedentes de Argentina, Chile y </w:t>
      </w:r>
      <w:r>
        <w:rPr>
          <w:color w:val="231F20"/>
          <w:spacing w:val="-3"/>
        </w:rPr>
        <w:t>Uruguay, </w:t>
      </w:r>
      <w:r>
        <w:rPr>
          <w:color w:val="231F20"/>
        </w:rPr>
        <w:t>que representaban más de un tercio del total, a partir de la primera década de éste siglo son los procedentes de Ecuador y Colombia los dominantes, que en 2008 suponían 34.3 por ciento del total (García </w:t>
      </w:r>
      <w:r>
        <w:rPr>
          <w:i/>
          <w:color w:val="231F20"/>
        </w:rPr>
        <w:t>et al., </w:t>
      </w:r>
      <w:r>
        <w:rPr>
          <w:color w:val="231F20"/>
        </w:rPr>
        <w:t>2009; </w:t>
      </w:r>
      <w:r>
        <w:rPr>
          <w:color w:val="231F20"/>
          <w:spacing w:val="-3"/>
        </w:rPr>
        <w:t>Torra- </w:t>
      </w:r>
      <w:r>
        <w:rPr>
          <w:color w:val="231F20"/>
        </w:rPr>
        <w:t>do, 2006).</w:t>
      </w:r>
    </w:p>
    <w:p>
      <w:pPr>
        <w:pStyle w:val="BodyText"/>
        <w:spacing w:before="9"/>
        <w:rPr>
          <w:sz w:val="10"/>
        </w:rPr>
      </w:pPr>
    </w:p>
    <w:p>
      <w:pPr>
        <w:spacing w:before="81" w:after="12"/>
        <w:ind w:left="401" w:right="117" w:firstLine="0"/>
        <w:jc w:val="left"/>
        <w:rPr>
          <w:sz w:val="19"/>
        </w:rPr>
      </w:pPr>
      <w:r>
        <w:rPr>
          <w:w w:val="105"/>
          <w:sz w:val="19"/>
        </w:rPr>
        <w:t>Cuadro 2. Países de procedencia en 2008</w:t>
      </w:r>
    </w:p>
    <w:tbl>
      <w:tblPr>
        <w:tblW w:w="0" w:type="auto"/>
        <w:jc w:val="left"/>
        <w:tblInd w:w="3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07"/>
        <w:gridCol w:w="978"/>
        <w:gridCol w:w="1065"/>
        <w:gridCol w:w="1127"/>
        <w:gridCol w:w="1130"/>
      </w:tblGrid>
      <w:tr>
        <w:trPr>
          <w:trHeight w:val="250" w:hRule="exact"/>
        </w:trPr>
        <w:tc>
          <w:tcPr>
            <w:tcW w:w="2007" w:type="dxa"/>
            <w:tcBorders>
              <w:left w:val="nil"/>
              <w:bottom w:val="double" w:sz="4" w:space="0" w:color="000000"/>
              <w:right w:val="nil"/>
            </w:tcBorders>
          </w:tcPr>
          <w:p>
            <w:pPr>
              <w:pStyle w:val="TableParagraph"/>
              <w:spacing w:before="5"/>
              <w:ind w:left="71"/>
              <w:jc w:val="left"/>
              <w:rPr>
                <w:sz w:val="19"/>
              </w:rPr>
            </w:pPr>
            <w:r>
              <w:rPr>
                <w:w w:val="105"/>
                <w:sz w:val="19"/>
              </w:rPr>
              <w:t>Países</w:t>
            </w:r>
          </w:p>
        </w:tc>
        <w:tc>
          <w:tcPr>
            <w:tcW w:w="978" w:type="dxa"/>
            <w:tcBorders>
              <w:left w:val="nil"/>
              <w:bottom w:val="double" w:sz="4" w:space="0" w:color="000000"/>
              <w:right w:val="nil"/>
            </w:tcBorders>
          </w:tcPr>
          <w:p>
            <w:pPr>
              <w:pStyle w:val="TableParagraph"/>
              <w:spacing w:before="5"/>
              <w:ind w:right="147"/>
              <w:rPr>
                <w:sz w:val="19"/>
              </w:rPr>
            </w:pPr>
            <w:r>
              <w:rPr>
                <w:sz w:val="19"/>
              </w:rPr>
              <w:t>Hombres</w:t>
            </w:r>
          </w:p>
        </w:tc>
        <w:tc>
          <w:tcPr>
            <w:tcW w:w="1065" w:type="dxa"/>
            <w:tcBorders>
              <w:left w:val="nil"/>
              <w:bottom w:val="double" w:sz="4" w:space="0" w:color="000000"/>
              <w:right w:val="nil"/>
            </w:tcBorders>
          </w:tcPr>
          <w:p>
            <w:pPr>
              <w:pStyle w:val="TableParagraph"/>
              <w:spacing w:before="5"/>
              <w:ind w:right="260"/>
              <w:rPr>
                <w:sz w:val="19"/>
              </w:rPr>
            </w:pPr>
            <w:r>
              <w:rPr>
                <w:sz w:val="19"/>
              </w:rPr>
              <w:t>Mujeres</w:t>
            </w:r>
          </w:p>
        </w:tc>
        <w:tc>
          <w:tcPr>
            <w:tcW w:w="1127" w:type="dxa"/>
            <w:tcBorders>
              <w:left w:val="nil"/>
              <w:bottom w:val="double" w:sz="4" w:space="0" w:color="000000"/>
              <w:right w:val="nil"/>
            </w:tcBorders>
          </w:tcPr>
          <w:p>
            <w:pPr>
              <w:pStyle w:val="TableParagraph"/>
              <w:spacing w:before="5"/>
              <w:ind w:right="214"/>
              <w:rPr>
                <w:sz w:val="19"/>
              </w:rPr>
            </w:pPr>
            <w:r>
              <w:rPr>
                <w:sz w:val="19"/>
              </w:rPr>
              <w:t>Total</w:t>
            </w:r>
          </w:p>
        </w:tc>
        <w:tc>
          <w:tcPr>
            <w:tcW w:w="1130" w:type="dxa"/>
            <w:tcBorders>
              <w:left w:val="nil"/>
              <w:bottom w:val="double" w:sz="4" w:space="0" w:color="000000"/>
              <w:right w:val="nil"/>
            </w:tcBorders>
          </w:tcPr>
          <w:p>
            <w:pPr>
              <w:pStyle w:val="TableParagraph"/>
              <w:spacing w:before="5"/>
              <w:ind w:right="70"/>
              <w:rPr>
                <w:sz w:val="19"/>
              </w:rPr>
            </w:pPr>
            <w:r>
              <w:rPr>
                <w:sz w:val="19"/>
              </w:rPr>
              <w:t>Porcentaje</w:t>
            </w:r>
          </w:p>
        </w:tc>
      </w:tr>
      <w:tr>
        <w:trPr>
          <w:trHeight w:val="252" w:hRule="exact"/>
        </w:trPr>
        <w:tc>
          <w:tcPr>
            <w:tcW w:w="2007" w:type="dxa"/>
            <w:tcBorders>
              <w:top w:val="double" w:sz="4" w:space="0" w:color="000000"/>
              <w:left w:val="nil"/>
              <w:bottom w:val="nil"/>
              <w:right w:val="nil"/>
            </w:tcBorders>
          </w:tcPr>
          <w:p>
            <w:pPr>
              <w:pStyle w:val="TableParagraph"/>
              <w:spacing w:before="5"/>
              <w:ind w:left="71"/>
              <w:jc w:val="left"/>
              <w:rPr>
                <w:sz w:val="19"/>
              </w:rPr>
            </w:pPr>
            <w:r>
              <w:rPr>
                <w:w w:val="105"/>
                <w:sz w:val="19"/>
              </w:rPr>
              <w:t>Ecuador</w:t>
            </w:r>
          </w:p>
        </w:tc>
        <w:tc>
          <w:tcPr>
            <w:tcW w:w="978" w:type="dxa"/>
            <w:tcBorders>
              <w:top w:val="double" w:sz="4" w:space="0" w:color="000000"/>
              <w:left w:val="nil"/>
              <w:bottom w:val="nil"/>
              <w:right w:val="nil"/>
            </w:tcBorders>
          </w:tcPr>
          <w:p>
            <w:pPr>
              <w:pStyle w:val="TableParagraph"/>
              <w:spacing w:before="5"/>
              <w:ind w:right="145"/>
              <w:rPr>
                <w:sz w:val="19"/>
              </w:rPr>
            </w:pPr>
            <w:r>
              <w:rPr>
                <w:w w:val="105"/>
                <w:sz w:val="19"/>
              </w:rPr>
              <w:t>222 710</w:t>
            </w:r>
          </w:p>
        </w:tc>
        <w:tc>
          <w:tcPr>
            <w:tcW w:w="1065" w:type="dxa"/>
            <w:tcBorders>
              <w:top w:val="double" w:sz="4" w:space="0" w:color="000000"/>
              <w:left w:val="nil"/>
              <w:bottom w:val="nil"/>
              <w:right w:val="nil"/>
            </w:tcBorders>
          </w:tcPr>
          <w:p>
            <w:pPr>
              <w:pStyle w:val="TableParagraph"/>
              <w:spacing w:before="5"/>
              <w:ind w:right="259"/>
              <w:rPr>
                <w:sz w:val="19"/>
              </w:rPr>
            </w:pPr>
            <w:r>
              <w:rPr>
                <w:w w:val="105"/>
                <w:sz w:val="19"/>
              </w:rPr>
              <w:t>235 727</w:t>
            </w:r>
          </w:p>
        </w:tc>
        <w:tc>
          <w:tcPr>
            <w:tcW w:w="1127" w:type="dxa"/>
            <w:tcBorders>
              <w:top w:val="double" w:sz="4" w:space="0" w:color="000000"/>
              <w:left w:val="nil"/>
              <w:bottom w:val="nil"/>
              <w:right w:val="nil"/>
            </w:tcBorders>
          </w:tcPr>
          <w:p>
            <w:pPr>
              <w:pStyle w:val="TableParagraph"/>
              <w:spacing w:before="5"/>
              <w:ind w:right="213"/>
              <w:rPr>
                <w:sz w:val="19"/>
              </w:rPr>
            </w:pPr>
            <w:r>
              <w:rPr>
                <w:w w:val="105"/>
                <w:sz w:val="19"/>
              </w:rPr>
              <w:t>458 437</w:t>
            </w:r>
          </w:p>
        </w:tc>
        <w:tc>
          <w:tcPr>
            <w:tcW w:w="1130" w:type="dxa"/>
            <w:tcBorders>
              <w:top w:val="double" w:sz="4" w:space="0" w:color="000000"/>
              <w:left w:val="nil"/>
              <w:bottom w:val="nil"/>
              <w:right w:val="nil"/>
            </w:tcBorders>
          </w:tcPr>
          <w:p>
            <w:pPr>
              <w:pStyle w:val="TableParagraph"/>
              <w:spacing w:before="5"/>
              <w:ind w:right="70"/>
              <w:rPr>
                <w:sz w:val="19"/>
              </w:rPr>
            </w:pPr>
            <w:r>
              <w:rPr>
                <w:sz w:val="19"/>
              </w:rPr>
              <w:t>19.9</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Colombia</w:t>
            </w:r>
          </w:p>
        </w:tc>
        <w:tc>
          <w:tcPr>
            <w:tcW w:w="978" w:type="dxa"/>
            <w:tcBorders>
              <w:top w:val="nil"/>
              <w:left w:val="nil"/>
              <w:bottom w:val="nil"/>
              <w:right w:val="nil"/>
            </w:tcBorders>
          </w:tcPr>
          <w:p>
            <w:pPr>
              <w:pStyle w:val="TableParagraph"/>
              <w:spacing w:line="216" w:lineRule="exact"/>
              <w:ind w:right="145"/>
              <w:rPr>
                <w:sz w:val="19"/>
              </w:rPr>
            </w:pPr>
            <w:r>
              <w:rPr>
                <w:w w:val="105"/>
                <w:sz w:val="19"/>
              </w:rPr>
              <w:t>143 860</w:t>
            </w:r>
          </w:p>
        </w:tc>
        <w:tc>
          <w:tcPr>
            <w:tcW w:w="1065" w:type="dxa"/>
            <w:tcBorders>
              <w:top w:val="nil"/>
              <w:left w:val="nil"/>
              <w:bottom w:val="nil"/>
              <w:right w:val="nil"/>
            </w:tcBorders>
          </w:tcPr>
          <w:p>
            <w:pPr>
              <w:pStyle w:val="TableParagraph"/>
              <w:spacing w:line="216" w:lineRule="exact"/>
              <w:ind w:right="259"/>
              <w:rPr>
                <w:sz w:val="19"/>
              </w:rPr>
            </w:pPr>
            <w:r>
              <w:rPr>
                <w:w w:val="105"/>
                <w:sz w:val="19"/>
              </w:rPr>
              <w:t>186 559</w:t>
            </w:r>
          </w:p>
        </w:tc>
        <w:tc>
          <w:tcPr>
            <w:tcW w:w="1127" w:type="dxa"/>
            <w:tcBorders>
              <w:top w:val="nil"/>
              <w:left w:val="nil"/>
              <w:bottom w:val="nil"/>
              <w:right w:val="nil"/>
            </w:tcBorders>
          </w:tcPr>
          <w:p>
            <w:pPr>
              <w:pStyle w:val="TableParagraph"/>
              <w:spacing w:line="216" w:lineRule="exact"/>
              <w:ind w:right="213"/>
              <w:rPr>
                <w:sz w:val="19"/>
              </w:rPr>
            </w:pPr>
            <w:r>
              <w:rPr>
                <w:w w:val="105"/>
                <w:sz w:val="19"/>
              </w:rPr>
              <w:t>330 419</w:t>
            </w:r>
          </w:p>
        </w:tc>
        <w:tc>
          <w:tcPr>
            <w:tcW w:w="1130" w:type="dxa"/>
            <w:tcBorders>
              <w:top w:val="nil"/>
              <w:left w:val="nil"/>
              <w:bottom w:val="nil"/>
              <w:right w:val="nil"/>
            </w:tcBorders>
          </w:tcPr>
          <w:p>
            <w:pPr>
              <w:pStyle w:val="TableParagraph"/>
              <w:spacing w:line="216" w:lineRule="exact"/>
              <w:ind w:right="70"/>
              <w:rPr>
                <w:sz w:val="19"/>
              </w:rPr>
            </w:pPr>
            <w:r>
              <w:rPr>
                <w:sz w:val="19"/>
              </w:rPr>
              <w:t>14.3</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Argentina</w:t>
            </w:r>
          </w:p>
        </w:tc>
        <w:tc>
          <w:tcPr>
            <w:tcW w:w="978" w:type="dxa"/>
            <w:tcBorders>
              <w:top w:val="nil"/>
              <w:left w:val="nil"/>
              <w:bottom w:val="nil"/>
              <w:right w:val="nil"/>
            </w:tcBorders>
          </w:tcPr>
          <w:p>
            <w:pPr>
              <w:pStyle w:val="TableParagraph"/>
              <w:spacing w:line="216" w:lineRule="exact"/>
              <w:ind w:right="145"/>
              <w:rPr>
                <w:sz w:val="19"/>
              </w:rPr>
            </w:pPr>
            <w:r>
              <w:rPr>
                <w:w w:val="105"/>
                <w:sz w:val="19"/>
              </w:rPr>
              <w:t>150 397</w:t>
            </w:r>
          </w:p>
        </w:tc>
        <w:tc>
          <w:tcPr>
            <w:tcW w:w="1065" w:type="dxa"/>
            <w:tcBorders>
              <w:top w:val="nil"/>
              <w:left w:val="nil"/>
              <w:bottom w:val="nil"/>
              <w:right w:val="nil"/>
            </w:tcBorders>
          </w:tcPr>
          <w:p>
            <w:pPr>
              <w:pStyle w:val="TableParagraph"/>
              <w:spacing w:line="216" w:lineRule="exact"/>
              <w:ind w:right="259"/>
              <w:rPr>
                <w:sz w:val="19"/>
              </w:rPr>
            </w:pPr>
            <w:r>
              <w:rPr>
                <w:w w:val="105"/>
                <w:sz w:val="19"/>
              </w:rPr>
              <w:t>139 884</w:t>
            </w:r>
          </w:p>
        </w:tc>
        <w:tc>
          <w:tcPr>
            <w:tcW w:w="1127" w:type="dxa"/>
            <w:tcBorders>
              <w:top w:val="nil"/>
              <w:left w:val="nil"/>
              <w:bottom w:val="nil"/>
              <w:right w:val="nil"/>
            </w:tcBorders>
          </w:tcPr>
          <w:p>
            <w:pPr>
              <w:pStyle w:val="TableParagraph"/>
              <w:spacing w:line="216" w:lineRule="exact"/>
              <w:ind w:right="213"/>
              <w:rPr>
                <w:sz w:val="19"/>
              </w:rPr>
            </w:pPr>
            <w:r>
              <w:rPr>
                <w:w w:val="105"/>
                <w:sz w:val="19"/>
              </w:rPr>
              <w:t>290 281</w:t>
            </w:r>
          </w:p>
        </w:tc>
        <w:tc>
          <w:tcPr>
            <w:tcW w:w="1130" w:type="dxa"/>
            <w:tcBorders>
              <w:top w:val="nil"/>
              <w:left w:val="nil"/>
              <w:bottom w:val="nil"/>
              <w:right w:val="nil"/>
            </w:tcBorders>
          </w:tcPr>
          <w:p>
            <w:pPr>
              <w:pStyle w:val="TableParagraph"/>
              <w:spacing w:line="216" w:lineRule="exact"/>
              <w:ind w:right="70"/>
              <w:rPr>
                <w:sz w:val="19"/>
              </w:rPr>
            </w:pPr>
            <w:r>
              <w:rPr>
                <w:sz w:val="19"/>
              </w:rPr>
              <w:t>12.6</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Bolivia</w:t>
            </w:r>
          </w:p>
        </w:tc>
        <w:tc>
          <w:tcPr>
            <w:tcW w:w="978" w:type="dxa"/>
            <w:tcBorders>
              <w:top w:val="nil"/>
              <w:left w:val="nil"/>
              <w:bottom w:val="nil"/>
              <w:right w:val="nil"/>
            </w:tcBorders>
          </w:tcPr>
          <w:p>
            <w:pPr>
              <w:pStyle w:val="TableParagraph"/>
              <w:spacing w:line="216" w:lineRule="exact"/>
              <w:ind w:right="145"/>
              <w:rPr>
                <w:sz w:val="19"/>
              </w:rPr>
            </w:pPr>
            <w:r>
              <w:rPr>
                <w:w w:val="105"/>
                <w:sz w:val="19"/>
              </w:rPr>
              <w:t>105 877</w:t>
            </w:r>
          </w:p>
        </w:tc>
        <w:tc>
          <w:tcPr>
            <w:tcW w:w="1065" w:type="dxa"/>
            <w:tcBorders>
              <w:top w:val="nil"/>
              <w:left w:val="nil"/>
              <w:bottom w:val="nil"/>
              <w:right w:val="nil"/>
            </w:tcBorders>
          </w:tcPr>
          <w:p>
            <w:pPr>
              <w:pStyle w:val="TableParagraph"/>
              <w:spacing w:line="216" w:lineRule="exact"/>
              <w:ind w:right="259"/>
              <w:rPr>
                <w:sz w:val="19"/>
              </w:rPr>
            </w:pPr>
            <w:r>
              <w:rPr>
                <w:w w:val="105"/>
                <w:sz w:val="19"/>
              </w:rPr>
              <w:t>135 035</w:t>
            </w:r>
          </w:p>
        </w:tc>
        <w:tc>
          <w:tcPr>
            <w:tcW w:w="1127" w:type="dxa"/>
            <w:tcBorders>
              <w:top w:val="nil"/>
              <w:left w:val="nil"/>
              <w:bottom w:val="nil"/>
              <w:right w:val="nil"/>
            </w:tcBorders>
          </w:tcPr>
          <w:p>
            <w:pPr>
              <w:pStyle w:val="TableParagraph"/>
              <w:spacing w:line="216" w:lineRule="exact"/>
              <w:ind w:right="213"/>
              <w:rPr>
                <w:sz w:val="19"/>
              </w:rPr>
            </w:pPr>
            <w:r>
              <w:rPr>
                <w:w w:val="105"/>
                <w:sz w:val="19"/>
              </w:rPr>
              <w:t>240 912</w:t>
            </w:r>
          </w:p>
        </w:tc>
        <w:tc>
          <w:tcPr>
            <w:tcW w:w="1130" w:type="dxa"/>
            <w:tcBorders>
              <w:top w:val="nil"/>
              <w:left w:val="nil"/>
              <w:bottom w:val="nil"/>
              <w:right w:val="nil"/>
            </w:tcBorders>
          </w:tcPr>
          <w:p>
            <w:pPr>
              <w:pStyle w:val="TableParagraph"/>
              <w:spacing w:line="216" w:lineRule="exact"/>
              <w:ind w:right="70"/>
              <w:rPr>
                <w:sz w:val="19"/>
              </w:rPr>
            </w:pPr>
            <w:r>
              <w:rPr>
                <w:sz w:val="19"/>
              </w:rPr>
              <w:t>10.4</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Perú</w:t>
            </w:r>
          </w:p>
        </w:tc>
        <w:tc>
          <w:tcPr>
            <w:tcW w:w="978" w:type="dxa"/>
            <w:tcBorders>
              <w:top w:val="nil"/>
              <w:left w:val="nil"/>
              <w:bottom w:val="nil"/>
              <w:right w:val="nil"/>
            </w:tcBorders>
          </w:tcPr>
          <w:p>
            <w:pPr>
              <w:pStyle w:val="TableParagraph"/>
              <w:spacing w:line="216" w:lineRule="exact"/>
              <w:ind w:right="145"/>
              <w:rPr>
                <w:sz w:val="19"/>
              </w:rPr>
            </w:pPr>
            <w:r>
              <w:rPr>
                <w:w w:val="105"/>
                <w:sz w:val="19"/>
              </w:rPr>
              <w:t>76 656</w:t>
            </w:r>
          </w:p>
        </w:tc>
        <w:tc>
          <w:tcPr>
            <w:tcW w:w="1065" w:type="dxa"/>
            <w:tcBorders>
              <w:top w:val="nil"/>
              <w:left w:val="nil"/>
              <w:bottom w:val="nil"/>
              <w:right w:val="nil"/>
            </w:tcBorders>
          </w:tcPr>
          <w:p>
            <w:pPr>
              <w:pStyle w:val="TableParagraph"/>
              <w:spacing w:line="216" w:lineRule="exact"/>
              <w:ind w:right="259"/>
              <w:rPr>
                <w:sz w:val="19"/>
              </w:rPr>
            </w:pPr>
            <w:r>
              <w:rPr>
                <w:w w:val="105"/>
                <w:sz w:val="19"/>
              </w:rPr>
              <w:t>85 769</w:t>
            </w:r>
          </w:p>
        </w:tc>
        <w:tc>
          <w:tcPr>
            <w:tcW w:w="1127" w:type="dxa"/>
            <w:tcBorders>
              <w:top w:val="nil"/>
              <w:left w:val="nil"/>
              <w:bottom w:val="nil"/>
              <w:right w:val="nil"/>
            </w:tcBorders>
          </w:tcPr>
          <w:p>
            <w:pPr>
              <w:pStyle w:val="TableParagraph"/>
              <w:spacing w:line="216" w:lineRule="exact"/>
              <w:ind w:right="213"/>
              <w:rPr>
                <w:sz w:val="19"/>
              </w:rPr>
            </w:pPr>
            <w:r>
              <w:rPr>
                <w:w w:val="105"/>
                <w:sz w:val="19"/>
              </w:rPr>
              <w:t>162 425</w:t>
            </w:r>
          </w:p>
        </w:tc>
        <w:tc>
          <w:tcPr>
            <w:tcW w:w="1130" w:type="dxa"/>
            <w:tcBorders>
              <w:top w:val="nil"/>
              <w:left w:val="nil"/>
              <w:bottom w:val="nil"/>
              <w:right w:val="nil"/>
            </w:tcBorders>
          </w:tcPr>
          <w:p>
            <w:pPr>
              <w:pStyle w:val="TableParagraph"/>
              <w:spacing w:line="216" w:lineRule="exact"/>
              <w:ind w:right="69"/>
              <w:rPr>
                <w:sz w:val="19"/>
              </w:rPr>
            </w:pPr>
            <w:r>
              <w:rPr>
                <w:sz w:val="19"/>
              </w:rPr>
              <w:t>7.0</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Venezuela</w:t>
            </w:r>
          </w:p>
        </w:tc>
        <w:tc>
          <w:tcPr>
            <w:tcW w:w="978" w:type="dxa"/>
            <w:tcBorders>
              <w:top w:val="nil"/>
              <w:left w:val="nil"/>
              <w:bottom w:val="nil"/>
              <w:right w:val="nil"/>
            </w:tcBorders>
          </w:tcPr>
          <w:p>
            <w:pPr>
              <w:pStyle w:val="TableParagraph"/>
              <w:spacing w:line="216" w:lineRule="exact"/>
              <w:ind w:right="145"/>
              <w:rPr>
                <w:sz w:val="19"/>
              </w:rPr>
            </w:pPr>
            <w:r>
              <w:rPr>
                <w:w w:val="105"/>
                <w:sz w:val="19"/>
              </w:rPr>
              <w:t>67 654</w:t>
            </w:r>
          </w:p>
        </w:tc>
        <w:tc>
          <w:tcPr>
            <w:tcW w:w="1065" w:type="dxa"/>
            <w:tcBorders>
              <w:top w:val="nil"/>
              <w:left w:val="nil"/>
              <w:bottom w:val="nil"/>
              <w:right w:val="nil"/>
            </w:tcBorders>
          </w:tcPr>
          <w:p>
            <w:pPr>
              <w:pStyle w:val="TableParagraph"/>
              <w:spacing w:line="216" w:lineRule="exact"/>
              <w:ind w:right="259"/>
              <w:rPr>
                <w:sz w:val="19"/>
              </w:rPr>
            </w:pPr>
            <w:r>
              <w:rPr>
                <w:w w:val="105"/>
                <w:sz w:val="19"/>
              </w:rPr>
              <w:t>76 939</w:t>
            </w:r>
          </w:p>
        </w:tc>
        <w:tc>
          <w:tcPr>
            <w:tcW w:w="1127" w:type="dxa"/>
            <w:tcBorders>
              <w:top w:val="nil"/>
              <w:left w:val="nil"/>
              <w:bottom w:val="nil"/>
              <w:right w:val="nil"/>
            </w:tcBorders>
          </w:tcPr>
          <w:p>
            <w:pPr>
              <w:pStyle w:val="TableParagraph"/>
              <w:spacing w:line="216" w:lineRule="exact"/>
              <w:ind w:right="213"/>
              <w:rPr>
                <w:sz w:val="19"/>
              </w:rPr>
            </w:pPr>
            <w:r>
              <w:rPr>
                <w:w w:val="105"/>
                <w:sz w:val="19"/>
              </w:rPr>
              <w:t>144 593</w:t>
            </w:r>
          </w:p>
        </w:tc>
        <w:tc>
          <w:tcPr>
            <w:tcW w:w="1130" w:type="dxa"/>
            <w:tcBorders>
              <w:top w:val="nil"/>
              <w:left w:val="nil"/>
              <w:bottom w:val="nil"/>
              <w:right w:val="nil"/>
            </w:tcBorders>
          </w:tcPr>
          <w:p>
            <w:pPr>
              <w:pStyle w:val="TableParagraph"/>
              <w:spacing w:line="216" w:lineRule="exact"/>
              <w:ind w:right="69"/>
              <w:rPr>
                <w:sz w:val="19"/>
              </w:rPr>
            </w:pPr>
            <w:r>
              <w:rPr>
                <w:sz w:val="19"/>
              </w:rPr>
              <w:t>6.2</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Brasil</w:t>
            </w:r>
          </w:p>
        </w:tc>
        <w:tc>
          <w:tcPr>
            <w:tcW w:w="978" w:type="dxa"/>
            <w:tcBorders>
              <w:top w:val="nil"/>
              <w:left w:val="nil"/>
              <w:bottom w:val="nil"/>
              <w:right w:val="nil"/>
            </w:tcBorders>
          </w:tcPr>
          <w:p>
            <w:pPr>
              <w:pStyle w:val="TableParagraph"/>
              <w:spacing w:line="216" w:lineRule="exact"/>
              <w:ind w:right="145"/>
              <w:rPr>
                <w:sz w:val="19"/>
              </w:rPr>
            </w:pPr>
            <w:r>
              <w:rPr>
                <w:w w:val="105"/>
                <w:sz w:val="19"/>
              </w:rPr>
              <w:t>58 797</w:t>
            </w:r>
          </w:p>
        </w:tc>
        <w:tc>
          <w:tcPr>
            <w:tcW w:w="1065" w:type="dxa"/>
            <w:tcBorders>
              <w:top w:val="nil"/>
              <w:left w:val="nil"/>
              <w:bottom w:val="nil"/>
              <w:right w:val="nil"/>
            </w:tcBorders>
          </w:tcPr>
          <w:p>
            <w:pPr>
              <w:pStyle w:val="TableParagraph"/>
              <w:spacing w:line="216" w:lineRule="exact"/>
              <w:ind w:right="259"/>
              <w:rPr>
                <w:sz w:val="19"/>
              </w:rPr>
            </w:pPr>
            <w:r>
              <w:rPr>
                <w:w w:val="105"/>
                <w:sz w:val="19"/>
              </w:rPr>
              <w:t>83 352</w:t>
            </w:r>
          </w:p>
        </w:tc>
        <w:tc>
          <w:tcPr>
            <w:tcW w:w="1127" w:type="dxa"/>
            <w:tcBorders>
              <w:top w:val="nil"/>
              <w:left w:val="nil"/>
              <w:bottom w:val="nil"/>
              <w:right w:val="nil"/>
            </w:tcBorders>
          </w:tcPr>
          <w:p>
            <w:pPr>
              <w:pStyle w:val="TableParagraph"/>
              <w:spacing w:line="216" w:lineRule="exact"/>
              <w:ind w:right="213"/>
              <w:rPr>
                <w:sz w:val="19"/>
              </w:rPr>
            </w:pPr>
            <w:r>
              <w:rPr>
                <w:w w:val="105"/>
                <w:sz w:val="19"/>
              </w:rPr>
              <w:t>142 149</w:t>
            </w:r>
          </w:p>
        </w:tc>
        <w:tc>
          <w:tcPr>
            <w:tcW w:w="1130" w:type="dxa"/>
            <w:tcBorders>
              <w:top w:val="nil"/>
              <w:left w:val="nil"/>
              <w:bottom w:val="nil"/>
              <w:right w:val="nil"/>
            </w:tcBorders>
          </w:tcPr>
          <w:p>
            <w:pPr>
              <w:pStyle w:val="TableParagraph"/>
              <w:spacing w:line="216" w:lineRule="exact"/>
              <w:ind w:right="69"/>
              <w:rPr>
                <w:sz w:val="19"/>
              </w:rPr>
            </w:pPr>
            <w:r>
              <w:rPr>
                <w:sz w:val="19"/>
              </w:rPr>
              <w:t>6.1</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República Dominicana</w:t>
            </w:r>
          </w:p>
        </w:tc>
        <w:tc>
          <w:tcPr>
            <w:tcW w:w="978" w:type="dxa"/>
            <w:tcBorders>
              <w:top w:val="nil"/>
              <w:left w:val="nil"/>
              <w:bottom w:val="nil"/>
              <w:right w:val="nil"/>
            </w:tcBorders>
          </w:tcPr>
          <w:p>
            <w:pPr>
              <w:pStyle w:val="TableParagraph"/>
              <w:spacing w:line="216" w:lineRule="exact"/>
              <w:ind w:right="145"/>
              <w:rPr>
                <w:sz w:val="19"/>
              </w:rPr>
            </w:pPr>
            <w:r>
              <w:rPr>
                <w:w w:val="105"/>
                <w:sz w:val="19"/>
              </w:rPr>
              <w:t>43 225</w:t>
            </w:r>
          </w:p>
        </w:tc>
        <w:tc>
          <w:tcPr>
            <w:tcW w:w="1065" w:type="dxa"/>
            <w:tcBorders>
              <w:top w:val="nil"/>
              <w:left w:val="nil"/>
              <w:bottom w:val="nil"/>
              <w:right w:val="nil"/>
            </w:tcBorders>
          </w:tcPr>
          <w:p>
            <w:pPr>
              <w:pStyle w:val="TableParagraph"/>
              <w:spacing w:line="216" w:lineRule="exact"/>
              <w:ind w:right="259"/>
              <w:rPr>
                <w:sz w:val="19"/>
              </w:rPr>
            </w:pPr>
            <w:r>
              <w:rPr>
                <w:w w:val="105"/>
                <w:sz w:val="19"/>
              </w:rPr>
              <w:t>71 482</w:t>
            </w:r>
          </w:p>
        </w:tc>
        <w:tc>
          <w:tcPr>
            <w:tcW w:w="1127" w:type="dxa"/>
            <w:tcBorders>
              <w:top w:val="nil"/>
              <w:left w:val="nil"/>
              <w:bottom w:val="nil"/>
              <w:right w:val="nil"/>
            </w:tcBorders>
          </w:tcPr>
          <w:p>
            <w:pPr>
              <w:pStyle w:val="TableParagraph"/>
              <w:spacing w:line="216" w:lineRule="exact"/>
              <w:ind w:right="213"/>
              <w:rPr>
                <w:sz w:val="19"/>
              </w:rPr>
            </w:pPr>
            <w:r>
              <w:rPr>
                <w:w w:val="105"/>
                <w:sz w:val="19"/>
              </w:rPr>
              <w:t>114 707</w:t>
            </w:r>
          </w:p>
        </w:tc>
        <w:tc>
          <w:tcPr>
            <w:tcW w:w="1130" w:type="dxa"/>
            <w:tcBorders>
              <w:top w:val="nil"/>
              <w:left w:val="nil"/>
              <w:bottom w:val="nil"/>
              <w:right w:val="nil"/>
            </w:tcBorders>
          </w:tcPr>
          <w:p>
            <w:pPr>
              <w:pStyle w:val="TableParagraph"/>
              <w:spacing w:line="216" w:lineRule="exact"/>
              <w:ind w:right="69"/>
              <w:rPr>
                <w:sz w:val="19"/>
              </w:rPr>
            </w:pPr>
            <w:r>
              <w:rPr>
                <w:sz w:val="19"/>
              </w:rPr>
              <w:t>4.9</w:t>
            </w:r>
          </w:p>
        </w:tc>
      </w:tr>
      <w:tr>
        <w:trPr>
          <w:trHeight w:val="228"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Cuba</w:t>
            </w:r>
          </w:p>
        </w:tc>
        <w:tc>
          <w:tcPr>
            <w:tcW w:w="978" w:type="dxa"/>
            <w:tcBorders>
              <w:top w:val="nil"/>
              <w:left w:val="nil"/>
              <w:bottom w:val="nil"/>
              <w:right w:val="nil"/>
            </w:tcBorders>
          </w:tcPr>
          <w:p>
            <w:pPr>
              <w:pStyle w:val="TableParagraph"/>
              <w:spacing w:line="216" w:lineRule="exact"/>
              <w:ind w:right="145"/>
              <w:rPr>
                <w:sz w:val="19"/>
              </w:rPr>
            </w:pPr>
            <w:r>
              <w:rPr>
                <w:w w:val="105"/>
                <w:sz w:val="19"/>
              </w:rPr>
              <w:t>41 589</w:t>
            </w:r>
          </w:p>
        </w:tc>
        <w:tc>
          <w:tcPr>
            <w:tcW w:w="1065" w:type="dxa"/>
            <w:tcBorders>
              <w:top w:val="nil"/>
              <w:left w:val="nil"/>
              <w:bottom w:val="nil"/>
              <w:right w:val="nil"/>
            </w:tcBorders>
          </w:tcPr>
          <w:p>
            <w:pPr>
              <w:pStyle w:val="TableParagraph"/>
              <w:spacing w:line="216" w:lineRule="exact"/>
              <w:ind w:right="259"/>
              <w:rPr>
                <w:sz w:val="19"/>
              </w:rPr>
            </w:pPr>
            <w:r>
              <w:rPr>
                <w:w w:val="105"/>
                <w:sz w:val="19"/>
              </w:rPr>
              <w:t>50 994</w:t>
            </w:r>
          </w:p>
        </w:tc>
        <w:tc>
          <w:tcPr>
            <w:tcW w:w="1127" w:type="dxa"/>
            <w:tcBorders>
              <w:top w:val="nil"/>
              <w:left w:val="nil"/>
              <w:bottom w:val="nil"/>
              <w:right w:val="nil"/>
            </w:tcBorders>
          </w:tcPr>
          <w:p>
            <w:pPr>
              <w:pStyle w:val="TableParagraph"/>
              <w:spacing w:line="216" w:lineRule="exact"/>
              <w:ind w:right="213"/>
              <w:rPr>
                <w:sz w:val="19"/>
              </w:rPr>
            </w:pPr>
            <w:r>
              <w:rPr>
                <w:w w:val="105"/>
                <w:sz w:val="19"/>
              </w:rPr>
              <w:t>92 583</w:t>
            </w:r>
          </w:p>
        </w:tc>
        <w:tc>
          <w:tcPr>
            <w:tcW w:w="1130" w:type="dxa"/>
            <w:tcBorders>
              <w:top w:val="nil"/>
              <w:left w:val="nil"/>
              <w:bottom w:val="nil"/>
              <w:right w:val="nil"/>
            </w:tcBorders>
          </w:tcPr>
          <w:p>
            <w:pPr>
              <w:pStyle w:val="TableParagraph"/>
              <w:spacing w:line="216" w:lineRule="exact"/>
              <w:ind w:right="69"/>
              <w:rPr>
                <w:sz w:val="19"/>
              </w:rPr>
            </w:pPr>
            <w:r>
              <w:rPr>
                <w:sz w:val="19"/>
              </w:rPr>
              <w:t>4.0</w:t>
            </w:r>
          </w:p>
        </w:tc>
      </w:tr>
      <w:tr>
        <w:trPr>
          <w:trHeight w:val="228" w:hRule="exact"/>
        </w:trPr>
        <w:tc>
          <w:tcPr>
            <w:tcW w:w="2007" w:type="dxa"/>
            <w:tcBorders>
              <w:top w:val="nil"/>
              <w:left w:val="nil"/>
              <w:bottom w:val="nil"/>
              <w:right w:val="nil"/>
            </w:tcBorders>
          </w:tcPr>
          <w:p>
            <w:pPr>
              <w:pStyle w:val="TableParagraph"/>
              <w:spacing w:line="214" w:lineRule="exact"/>
              <w:ind w:left="71"/>
              <w:jc w:val="left"/>
              <w:rPr>
                <w:sz w:val="19"/>
              </w:rPr>
            </w:pPr>
            <w:r>
              <w:rPr>
                <w:w w:val="105"/>
                <w:sz w:val="19"/>
              </w:rPr>
              <w:t>Uruguay</w:t>
            </w:r>
          </w:p>
        </w:tc>
        <w:tc>
          <w:tcPr>
            <w:tcW w:w="978" w:type="dxa"/>
            <w:tcBorders>
              <w:top w:val="nil"/>
              <w:left w:val="nil"/>
              <w:bottom w:val="nil"/>
              <w:right w:val="nil"/>
            </w:tcBorders>
          </w:tcPr>
          <w:p>
            <w:pPr>
              <w:pStyle w:val="TableParagraph"/>
              <w:spacing w:line="214" w:lineRule="exact"/>
              <w:ind w:right="145"/>
              <w:rPr>
                <w:sz w:val="19"/>
              </w:rPr>
            </w:pPr>
            <w:r>
              <w:rPr>
                <w:w w:val="105"/>
                <w:sz w:val="19"/>
              </w:rPr>
              <w:t>44 704</w:t>
            </w:r>
          </w:p>
        </w:tc>
        <w:tc>
          <w:tcPr>
            <w:tcW w:w="1065" w:type="dxa"/>
            <w:tcBorders>
              <w:top w:val="nil"/>
              <w:left w:val="nil"/>
              <w:bottom w:val="nil"/>
              <w:right w:val="nil"/>
            </w:tcBorders>
          </w:tcPr>
          <w:p>
            <w:pPr>
              <w:pStyle w:val="TableParagraph"/>
              <w:spacing w:line="214" w:lineRule="exact"/>
              <w:ind w:right="259"/>
              <w:rPr>
                <w:sz w:val="19"/>
              </w:rPr>
            </w:pPr>
            <w:r>
              <w:rPr>
                <w:w w:val="105"/>
                <w:sz w:val="19"/>
              </w:rPr>
              <w:t>42 641</w:t>
            </w:r>
          </w:p>
        </w:tc>
        <w:tc>
          <w:tcPr>
            <w:tcW w:w="1127" w:type="dxa"/>
            <w:tcBorders>
              <w:top w:val="nil"/>
              <w:left w:val="nil"/>
              <w:bottom w:val="nil"/>
              <w:right w:val="nil"/>
            </w:tcBorders>
          </w:tcPr>
          <w:p>
            <w:pPr>
              <w:pStyle w:val="TableParagraph"/>
              <w:spacing w:line="214" w:lineRule="exact"/>
              <w:ind w:right="213"/>
              <w:rPr>
                <w:sz w:val="19"/>
              </w:rPr>
            </w:pPr>
            <w:r>
              <w:rPr>
                <w:w w:val="105"/>
                <w:sz w:val="19"/>
              </w:rPr>
              <w:t>87 345</w:t>
            </w:r>
          </w:p>
        </w:tc>
        <w:tc>
          <w:tcPr>
            <w:tcW w:w="1130" w:type="dxa"/>
            <w:tcBorders>
              <w:top w:val="nil"/>
              <w:left w:val="nil"/>
              <w:bottom w:val="nil"/>
              <w:right w:val="nil"/>
            </w:tcBorders>
          </w:tcPr>
          <w:p>
            <w:pPr>
              <w:pStyle w:val="TableParagraph"/>
              <w:spacing w:line="214" w:lineRule="exact"/>
              <w:ind w:right="69"/>
              <w:rPr>
                <w:sz w:val="19"/>
              </w:rPr>
            </w:pPr>
            <w:r>
              <w:rPr>
                <w:sz w:val="19"/>
              </w:rPr>
              <w:t>3.8</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Paraguay</w:t>
            </w:r>
          </w:p>
        </w:tc>
        <w:tc>
          <w:tcPr>
            <w:tcW w:w="978" w:type="dxa"/>
            <w:tcBorders>
              <w:top w:val="nil"/>
              <w:left w:val="nil"/>
              <w:bottom w:val="nil"/>
              <w:right w:val="nil"/>
            </w:tcBorders>
          </w:tcPr>
          <w:p>
            <w:pPr>
              <w:pStyle w:val="TableParagraph"/>
              <w:spacing w:line="216" w:lineRule="exact"/>
              <w:ind w:right="145"/>
              <w:rPr>
                <w:sz w:val="19"/>
              </w:rPr>
            </w:pPr>
            <w:r>
              <w:rPr>
                <w:w w:val="105"/>
                <w:sz w:val="19"/>
              </w:rPr>
              <w:t>24 276</w:t>
            </w:r>
          </w:p>
        </w:tc>
        <w:tc>
          <w:tcPr>
            <w:tcW w:w="1065" w:type="dxa"/>
            <w:tcBorders>
              <w:top w:val="nil"/>
              <w:left w:val="nil"/>
              <w:bottom w:val="nil"/>
              <w:right w:val="nil"/>
            </w:tcBorders>
          </w:tcPr>
          <w:p>
            <w:pPr>
              <w:pStyle w:val="TableParagraph"/>
              <w:spacing w:line="216" w:lineRule="exact"/>
              <w:ind w:right="259"/>
              <w:rPr>
                <w:sz w:val="19"/>
              </w:rPr>
            </w:pPr>
            <w:r>
              <w:rPr>
                <w:w w:val="105"/>
                <w:sz w:val="19"/>
              </w:rPr>
              <w:t>44 609</w:t>
            </w:r>
          </w:p>
        </w:tc>
        <w:tc>
          <w:tcPr>
            <w:tcW w:w="1127" w:type="dxa"/>
            <w:tcBorders>
              <w:top w:val="nil"/>
              <w:left w:val="nil"/>
              <w:bottom w:val="nil"/>
              <w:right w:val="nil"/>
            </w:tcBorders>
          </w:tcPr>
          <w:p>
            <w:pPr>
              <w:pStyle w:val="TableParagraph"/>
              <w:spacing w:line="216" w:lineRule="exact"/>
              <w:ind w:right="213"/>
              <w:rPr>
                <w:sz w:val="19"/>
              </w:rPr>
            </w:pPr>
            <w:r>
              <w:rPr>
                <w:w w:val="105"/>
                <w:sz w:val="19"/>
              </w:rPr>
              <w:t>68 885</w:t>
            </w:r>
          </w:p>
        </w:tc>
        <w:tc>
          <w:tcPr>
            <w:tcW w:w="1130" w:type="dxa"/>
            <w:tcBorders>
              <w:top w:val="nil"/>
              <w:left w:val="nil"/>
              <w:bottom w:val="nil"/>
              <w:right w:val="nil"/>
            </w:tcBorders>
          </w:tcPr>
          <w:p>
            <w:pPr>
              <w:pStyle w:val="TableParagraph"/>
              <w:spacing w:line="216" w:lineRule="exact"/>
              <w:ind w:right="69"/>
              <w:rPr>
                <w:sz w:val="19"/>
              </w:rPr>
            </w:pPr>
            <w:r>
              <w:rPr>
                <w:sz w:val="19"/>
              </w:rPr>
              <w:t>2.3</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Chile</w:t>
            </w:r>
          </w:p>
        </w:tc>
        <w:tc>
          <w:tcPr>
            <w:tcW w:w="978" w:type="dxa"/>
            <w:tcBorders>
              <w:top w:val="nil"/>
              <w:left w:val="nil"/>
              <w:bottom w:val="nil"/>
              <w:right w:val="nil"/>
            </w:tcBorders>
          </w:tcPr>
          <w:p>
            <w:pPr>
              <w:pStyle w:val="TableParagraph"/>
              <w:spacing w:line="216" w:lineRule="exact"/>
              <w:ind w:right="145"/>
              <w:rPr>
                <w:sz w:val="19"/>
              </w:rPr>
            </w:pPr>
            <w:r>
              <w:rPr>
                <w:w w:val="105"/>
                <w:sz w:val="19"/>
              </w:rPr>
              <w:t>33 173</w:t>
            </w:r>
          </w:p>
        </w:tc>
        <w:tc>
          <w:tcPr>
            <w:tcW w:w="1065" w:type="dxa"/>
            <w:tcBorders>
              <w:top w:val="nil"/>
              <w:left w:val="nil"/>
              <w:bottom w:val="nil"/>
              <w:right w:val="nil"/>
            </w:tcBorders>
          </w:tcPr>
          <w:p>
            <w:pPr>
              <w:pStyle w:val="TableParagraph"/>
              <w:spacing w:line="216" w:lineRule="exact"/>
              <w:ind w:right="259"/>
              <w:rPr>
                <w:sz w:val="19"/>
              </w:rPr>
            </w:pPr>
            <w:r>
              <w:rPr>
                <w:w w:val="105"/>
                <w:sz w:val="19"/>
              </w:rPr>
              <w:t>33 701</w:t>
            </w:r>
          </w:p>
        </w:tc>
        <w:tc>
          <w:tcPr>
            <w:tcW w:w="1127" w:type="dxa"/>
            <w:tcBorders>
              <w:top w:val="nil"/>
              <w:left w:val="nil"/>
              <w:bottom w:val="nil"/>
              <w:right w:val="nil"/>
            </w:tcBorders>
          </w:tcPr>
          <w:p>
            <w:pPr>
              <w:pStyle w:val="TableParagraph"/>
              <w:spacing w:line="216" w:lineRule="exact"/>
              <w:ind w:right="213"/>
              <w:rPr>
                <w:sz w:val="19"/>
              </w:rPr>
            </w:pPr>
            <w:r>
              <w:rPr>
                <w:w w:val="105"/>
                <w:sz w:val="19"/>
              </w:rPr>
              <w:t>66 874</w:t>
            </w:r>
          </w:p>
        </w:tc>
        <w:tc>
          <w:tcPr>
            <w:tcW w:w="1130" w:type="dxa"/>
            <w:tcBorders>
              <w:top w:val="nil"/>
              <w:left w:val="nil"/>
              <w:bottom w:val="nil"/>
              <w:right w:val="nil"/>
            </w:tcBorders>
          </w:tcPr>
          <w:p>
            <w:pPr>
              <w:pStyle w:val="TableParagraph"/>
              <w:spacing w:line="216" w:lineRule="exact"/>
              <w:ind w:right="69"/>
              <w:rPr>
                <w:sz w:val="19"/>
              </w:rPr>
            </w:pPr>
            <w:r>
              <w:rPr>
                <w:sz w:val="19"/>
              </w:rPr>
              <w:t>2.9</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México</w:t>
            </w:r>
          </w:p>
        </w:tc>
        <w:tc>
          <w:tcPr>
            <w:tcW w:w="978" w:type="dxa"/>
            <w:tcBorders>
              <w:top w:val="nil"/>
              <w:left w:val="nil"/>
              <w:bottom w:val="nil"/>
              <w:right w:val="nil"/>
            </w:tcBorders>
          </w:tcPr>
          <w:p>
            <w:pPr>
              <w:pStyle w:val="TableParagraph"/>
              <w:spacing w:line="216" w:lineRule="exact"/>
              <w:ind w:right="145"/>
              <w:rPr>
                <w:sz w:val="19"/>
              </w:rPr>
            </w:pPr>
            <w:r>
              <w:rPr>
                <w:w w:val="105"/>
                <w:sz w:val="19"/>
              </w:rPr>
              <w:t>18 475</w:t>
            </w:r>
          </w:p>
        </w:tc>
        <w:tc>
          <w:tcPr>
            <w:tcW w:w="1065" w:type="dxa"/>
            <w:tcBorders>
              <w:top w:val="nil"/>
              <w:left w:val="nil"/>
              <w:bottom w:val="nil"/>
              <w:right w:val="nil"/>
            </w:tcBorders>
          </w:tcPr>
          <w:p>
            <w:pPr>
              <w:pStyle w:val="TableParagraph"/>
              <w:spacing w:line="216" w:lineRule="exact"/>
              <w:ind w:right="259"/>
              <w:rPr>
                <w:sz w:val="19"/>
              </w:rPr>
            </w:pPr>
            <w:r>
              <w:rPr>
                <w:w w:val="105"/>
                <w:sz w:val="19"/>
              </w:rPr>
              <w:t>23 938</w:t>
            </w:r>
          </w:p>
        </w:tc>
        <w:tc>
          <w:tcPr>
            <w:tcW w:w="1127" w:type="dxa"/>
            <w:tcBorders>
              <w:top w:val="nil"/>
              <w:left w:val="nil"/>
              <w:bottom w:val="nil"/>
              <w:right w:val="nil"/>
            </w:tcBorders>
          </w:tcPr>
          <w:p>
            <w:pPr>
              <w:pStyle w:val="TableParagraph"/>
              <w:spacing w:line="216" w:lineRule="exact"/>
              <w:ind w:right="213"/>
              <w:rPr>
                <w:sz w:val="19"/>
              </w:rPr>
            </w:pPr>
            <w:r>
              <w:rPr>
                <w:w w:val="105"/>
                <w:sz w:val="19"/>
              </w:rPr>
              <w:t>42 413</w:t>
            </w:r>
          </w:p>
        </w:tc>
        <w:tc>
          <w:tcPr>
            <w:tcW w:w="1130" w:type="dxa"/>
            <w:tcBorders>
              <w:top w:val="nil"/>
              <w:left w:val="nil"/>
              <w:bottom w:val="nil"/>
              <w:right w:val="nil"/>
            </w:tcBorders>
          </w:tcPr>
          <w:p>
            <w:pPr>
              <w:pStyle w:val="TableParagraph"/>
              <w:spacing w:line="216" w:lineRule="exact"/>
              <w:ind w:right="69"/>
              <w:rPr>
                <w:sz w:val="19"/>
              </w:rPr>
            </w:pPr>
            <w:r>
              <w:rPr>
                <w:sz w:val="19"/>
              </w:rPr>
              <w:t>1.8</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Honduras</w:t>
            </w:r>
          </w:p>
        </w:tc>
        <w:tc>
          <w:tcPr>
            <w:tcW w:w="978" w:type="dxa"/>
            <w:tcBorders>
              <w:top w:val="nil"/>
              <w:left w:val="nil"/>
              <w:bottom w:val="nil"/>
              <w:right w:val="nil"/>
            </w:tcBorders>
          </w:tcPr>
          <w:p>
            <w:pPr>
              <w:pStyle w:val="TableParagraph"/>
              <w:spacing w:line="216" w:lineRule="exact"/>
              <w:ind w:right="145"/>
              <w:rPr>
                <w:sz w:val="19"/>
              </w:rPr>
            </w:pPr>
            <w:r>
              <w:rPr>
                <w:w w:val="105"/>
                <w:sz w:val="19"/>
              </w:rPr>
              <w:t>7 844</w:t>
            </w:r>
          </w:p>
        </w:tc>
        <w:tc>
          <w:tcPr>
            <w:tcW w:w="1065" w:type="dxa"/>
            <w:tcBorders>
              <w:top w:val="nil"/>
              <w:left w:val="nil"/>
              <w:bottom w:val="nil"/>
              <w:right w:val="nil"/>
            </w:tcBorders>
          </w:tcPr>
          <w:p>
            <w:pPr>
              <w:pStyle w:val="TableParagraph"/>
              <w:spacing w:line="216" w:lineRule="exact"/>
              <w:ind w:right="259"/>
              <w:rPr>
                <w:sz w:val="19"/>
              </w:rPr>
            </w:pPr>
            <w:r>
              <w:rPr>
                <w:w w:val="105"/>
                <w:sz w:val="19"/>
              </w:rPr>
              <w:t>15 889</w:t>
            </w:r>
          </w:p>
        </w:tc>
        <w:tc>
          <w:tcPr>
            <w:tcW w:w="1127" w:type="dxa"/>
            <w:tcBorders>
              <w:top w:val="nil"/>
              <w:left w:val="nil"/>
              <w:bottom w:val="nil"/>
              <w:right w:val="nil"/>
            </w:tcBorders>
          </w:tcPr>
          <w:p>
            <w:pPr>
              <w:pStyle w:val="TableParagraph"/>
              <w:spacing w:line="216" w:lineRule="exact"/>
              <w:ind w:right="213"/>
              <w:rPr>
                <w:sz w:val="19"/>
              </w:rPr>
            </w:pPr>
            <w:r>
              <w:rPr>
                <w:w w:val="105"/>
                <w:sz w:val="19"/>
              </w:rPr>
              <w:t>23 733</w:t>
            </w:r>
          </w:p>
        </w:tc>
        <w:tc>
          <w:tcPr>
            <w:tcW w:w="1130" w:type="dxa"/>
            <w:tcBorders>
              <w:top w:val="nil"/>
              <w:left w:val="nil"/>
              <w:bottom w:val="nil"/>
              <w:right w:val="nil"/>
            </w:tcBorders>
          </w:tcPr>
          <w:p>
            <w:pPr>
              <w:pStyle w:val="TableParagraph"/>
              <w:spacing w:line="216" w:lineRule="exact"/>
              <w:ind w:right="69"/>
              <w:rPr>
                <w:sz w:val="19"/>
              </w:rPr>
            </w:pPr>
            <w:r>
              <w:rPr>
                <w:sz w:val="19"/>
              </w:rPr>
              <w:t>1.0</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Nicaragua</w:t>
            </w:r>
          </w:p>
        </w:tc>
        <w:tc>
          <w:tcPr>
            <w:tcW w:w="978" w:type="dxa"/>
            <w:tcBorders>
              <w:top w:val="nil"/>
              <w:left w:val="nil"/>
              <w:bottom w:val="nil"/>
              <w:right w:val="nil"/>
            </w:tcBorders>
          </w:tcPr>
          <w:p>
            <w:pPr>
              <w:pStyle w:val="TableParagraph"/>
              <w:spacing w:line="216" w:lineRule="exact"/>
              <w:ind w:right="145"/>
              <w:rPr>
                <w:sz w:val="19"/>
              </w:rPr>
            </w:pPr>
            <w:r>
              <w:rPr>
                <w:w w:val="105"/>
                <w:sz w:val="19"/>
              </w:rPr>
              <w:t>3 250</w:t>
            </w:r>
          </w:p>
        </w:tc>
        <w:tc>
          <w:tcPr>
            <w:tcW w:w="1065" w:type="dxa"/>
            <w:tcBorders>
              <w:top w:val="nil"/>
              <w:left w:val="nil"/>
              <w:bottom w:val="nil"/>
              <w:right w:val="nil"/>
            </w:tcBorders>
          </w:tcPr>
          <w:p>
            <w:pPr>
              <w:pStyle w:val="TableParagraph"/>
              <w:spacing w:line="216" w:lineRule="exact"/>
              <w:ind w:right="259"/>
              <w:rPr>
                <w:sz w:val="19"/>
              </w:rPr>
            </w:pPr>
            <w:r>
              <w:rPr>
                <w:w w:val="105"/>
                <w:sz w:val="19"/>
              </w:rPr>
              <w:t>6 848</w:t>
            </w:r>
          </w:p>
        </w:tc>
        <w:tc>
          <w:tcPr>
            <w:tcW w:w="1127" w:type="dxa"/>
            <w:tcBorders>
              <w:top w:val="nil"/>
              <w:left w:val="nil"/>
              <w:bottom w:val="nil"/>
              <w:right w:val="nil"/>
            </w:tcBorders>
          </w:tcPr>
          <w:p>
            <w:pPr>
              <w:pStyle w:val="TableParagraph"/>
              <w:spacing w:line="216" w:lineRule="exact"/>
              <w:ind w:right="213"/>
              <w:rPr>
                <w:sz w:val="19"/>
              </w:rPr>
            </w:pPr>
            <w:r>
              <w:rPr>
                <w:w w:val="105"/>
                <w:sz w:val="19"/>
              </w:rPr>
              <w:t>10 098</w:t>
            </w:r>
          </w:p>
        </w:tc>
        <w:tc>
          <w:tcPr>
            <w:tcW w:w="1130" w:type="dxa"/>
            <w:tcBorders>
              <w:top w:val="nil"/>
              <w:left w:val="nil"/>
              <w:bottom w:val="nil"/>
              <w:right w:val="nil"/>
            </w:tcBorders>
          </w:tcPr>
          <w:p>
            <w:pPr>
              <w:pStyle w:val="TableParagraph"/>
              <w:spacing w:line="216" w:lineRule="exact"/>
              <w:ind w:right="69"/>
              <w:rPr>
                <w:sz w:val="19"/>
              </w:rPr>
            </w:pPr>
            <w:r>
              <w:rPr>
                <w:sz w:val="19"/>
              </w:rPr>
              <w:t>0.4</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El Salvador</w:t>
            </w:r>
          </w:p>
        </w:tc>
        <w:tc>
          <w:tcPr>
            <w:tcW w:w="978" w:type="dxa"/>
            <w:tcBorders>
              <w:top w:val="nil"/>
              <w:left w:val="nil"/>
              <w:bottom w:val="nil"/>
              <w:right w:val="nil"/>
            </w:tcBorders>
          </w:tcPr>
          <w:p>
            <w:pPr>
              <w:pStyle w:val="TableParagraph"/>
              <w:spacing w:line="216" w:lineRule="exact"/>
              <w:ind w:right="145"/>
              <w:rPr>
                <w:sz w:val="19"/>
              </w:rPr>
            </w:pPr>
            <w:r>
              <w:rPr>
                <w:w w:val="105"/>
                <w:sz w:val="19"/>
              </w:rPr>
              <w:t>2 821</w:t>
            </w:r>
          </w:p>
        </w:tc>
        <w:tc>
          <w:tcPr>
            <w:tcW w:w="1065" w:type="dxa"/>
            <w:tcBorders>
              <w:top w:val="nil"/>
              <w:left w:val="nil"/>
              <w:bottom w:val="nil"/>
              <w:right w:val="nil"/>
            </w:tcBorders>
          </w:tcPr>
          <w:p>
            <w:pPr>
              <w:pStyle w:val="TableParagraph"/>
              <w:spacing w:line="216" w:lineRule="exact"/>
              <w:ind w:right="259"/>
              <w:rPr>
                <w:sz w:val="19"/>
              </w:rPr>
            </w:pPr>
            <w:r>
              <w:rPr>
                <w:w w:val="105"/>
                <w:sz w:val="19"/>
              </w:rPr>
              <w:t>4 299</w:t>
            </w:r>
          </w:p>
        </w:tc>
        <w:tc>
          <w:tcPr>
            <w:tcW w:w="1127" w:type="dxa"/>
            <w:tcBorders>
              <w:top w:val="nil"/>
              <w:left w:val="nil"/>
              <w:bottom w:val="nil"/>
              <w:right w:val="nil"/>
            </w:tcBorders>
          </w:tcPr>
          <w:p>
            <w:pPr>
              <w:pStyle w:val="TableParagraph"/>
              <w:spacing w:line="216" w:lineRule="exact"/>
              <w:ind w:right="213"/>
              <w:rPr>
                <w:sz w:val="19"/>
              </w:rPr>
            </w:pPr>
            <w:r>
              <w:rPr>
                <w:w w:val="105"/>
                <w:sz w:val="19"/>
              </w:rPr>
              <w:t>7 120</w:t>
            </w:r>
          </w:p>
        </w:tc>
        <w:tc>
          <w:tcPr>
            <w:tcW w:w="1130" w:type="dxa"/>
            <w:tcBorders>
              <w:top w:val="nil"/>
              <w:left w:val="nil"/>
              <w:bottom w:val="nil"/>
              <w:right w:val="nil"/>
            </w:tcBorders>
          </w:tcPr>
          <w:p>
            <w:pPr>
              <w:pStyle w:val="TableParagraph"/>
              <w:spacing w:line="216" w:lineRule="exact"/>
              <w:ind w:right="69"/>
              <w:rPr>
                <w:sz w:val="19"/>
              </w:rPr>
            </w:pPr>
            <w:r>
              <w:rPr>
                <w:sz w:val="19"/>
              </w:rPr>
              <w:t>0.3</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Guatemala</w:t>
            </w:r>
          </w:p>
        </w:tc>
        <w:tc>
          <w:tcPr>
            <w:tcW w:w="978" w:type="dxa"/>
            <w:tcBorders>
              <w:top w:val="nil"/>
              <w:left w:val="nil"/>
              <w:bottom w:val="nil"/>
              <w:right w:val="nil"/>
            </w:tcBorders>
          </w:tcPr>
          <w:p>
            <w:pPr>
              <w:pStyle w:val="TableParagraph"/>
              <w:spacing w:line="216" w:lineRule="exact"/>
              <w:ind w:right="145"/>
              <w:rPr>
                <w:sz w:val="19"/>
              </w:rPr>
            </w:pPr>
            <w:r>
              <w:rPr>
                <w:w w:val="105"/>
                <w:sz w:val="19"/>
              </w:rPr>
              <w:t>2 506</w:t>
            </w:r>
          </w:p>
        </w:tc>
        <w:tc>
          <w:tcPr>
            <w:tcW w:w="1065" w:type="dxa"/>
            <w:tcBorders>
              <w:top w:val="nil"/>
              <w:left w:val="nil"/>
              <w:bottom w:val="nil"/>
              <w:right w:val="nil"/>
            </w:tcBorders>
          </w:tcPr>
          <w:p>
            <w:pPr>
              <w:pStyle w:val="TableParagraph"/>
              <w:spacing w:line="216" w:lineRule="exact"/>
              <w:ind w:right="259"/>
              <w:rPr>
                <w:sz w:val="19"/>
              </w:rPr>
            </w:pPr>
            <w:r>
              <w:rPr>
                <w:w w:val="105"/>
                <w:sz w:val="19"/>
              </w:rPr>
              <w:t>3 355</w:t>
            </w:r>
          </w:p>
        </w:tc>
        <w:tc>
          <w:tcPr>
            <w:tcW w:w="1127" w:type="dxa"/>
            <w:tcBorders>
              <w:top w:val="nil"/>
              <w:left w:val="nil"/>
              <w:bottom w:val="nil"/>
              <w:right w:val="nil"/>
            </w:tcBorders>
          </w:tcPr>
          <w:p>
            <w:pPr>
              <w:pStyle w:val="TableParagraph"/>
              <w:spacing w:line="216" w:lineRule="exact"/>
              <w:ind w:right="213"/>
              <w:rPr>
                <w:sz w:val="19"/>
              </w:rPr>
            </w:pPr>
            <w:r>
              <w:rPr>
                <w:w w:val="105"/>
                <w:sz w:val="19"/>
              </w:rPr>
              <w:t>5 861</w:t>
            </w:r>
          </w:p>
        </w:tc>
        <w:tc>
          <w:tcPr>
            <w:tcW w:w="1130" w:type="dxa"/>
            <w:tcBorders>
              <w:top w:val="nil"/>
              <w:left w:val="nil"/>
              <w:bottom w:val="nil"/>
              <w:right w:val="nil"/>
            </w:tcBorders>
          </w:tcPr>
          <w:p>
            <w:pPr>
              <w:pStyle w:val="TableParagraph"/>
              <w:spacing w:line="216" w:lineRule="exact"/>
              <w:ind w:right="69"/>
              <w:rPr>
                <w:sz w:val="19"/>
              </w:rPr>
            </w:pPr>
            <w:r>
              <w:rPr>
                <w:sz w:val="19"/>
              </w:rPr>
              <w:t>0.2</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Panamá</w:t>
            </w:r>
          </w:p>
        </w:tc>
        <w:tc>
          <w:tcPr>
            <w:tcW w:w="978" w:type="dxa"/>
            <w:tcBorders>
              <w:top w:val="nil"/>
              <w:left w:val="nil"/>
              <w:bottom w:val="nil"/>
              <w:right w:val="nil"/>
            </w:tcBorders>
          </w:tcPr>
          <w:p>
            <w:pPr>
              <w:pStyle w:val="TableParagraph"/>
              <w:spacing w:line="216" w:lineRule="exact"/>
              <w:ind w:right="145"/>
              <w:rPr>
                <w:sz w:val="19"/>
              </w:rPr>
            </w:pPr>
            <w:r>
              <w:rPr>
                <w:w w:val="105"/>
                <w:sz w:val="19"/>
              </w:rPr>
              <w:t>1 863</w:t>
            </w:r>
          </w:p>
        </w:tc>
        <w:tc>
          <w:tcPr>
            <w:tcW w:w="1065" w:type="dxa"/>
            <w:tcBorders>
              <w:top w:val="nil"/>
              <w:left w:val="nil"/>
              <w:bottom w:val="nil"/>
              <w:right w:val="nil"/>
            </w:tcBorders>
          </w:tcPr>
          <w:p>
            <w:pPr>
              <w:pStyle w:val="TableParagraph"/>
              <w:spacing w:line="216" w:lineRule="exact"/>
              <w:ind w:right="259"/>
              <w:rPr>
                <w:sz w:val="19"/>
              </w:rPr>
            </w:pPr>
            <w:r>
              <w:rPr>
                <w:w w:val="105"/>
                <w:sz w:val="19"/>
              </w:rPr>
              <w:t>2 378</w:t>
            </w:r>
          </w:p>
        </w:tc>
        <w:tc>
          <w:tcPr>
            <w:tcW w:w="1127" w:type="dxa"/>
            <w:tcBorders>
              <w:top w:val="nil"/>
              <w:left w:val="nil"/>
              <w:bottom w:val="nil"/>
              <w:right w:val="nil"/>
            </w:tcBorders>
          </w:tcPr>
          <w:p>
            <w:pPr>
              <w:pStyle w:val="TableParagraph"/>
              <w:spacing w:line="216" w:lineRule="exact"/>
              <w:ind w:right="213"/>
              <w:rPr>
                <w:sz w:val="19"/>
              </w:rPr>
            </w:pPr>
            <w:r>
              <w:rPr>
                <w:w w:val="105"/>
                <w:sz w:val="19"/>
              </w:rPr>
              <w:t>4 241</w:t>
            </w:r>
          </w:p>
        </w:tc>
        <w:tc>
          <w:tcPr>
            <w:tcW w:w="1130" w:type="dxa"/>
            <w:tcBorders>
              <w:top w:val="nil"/>
              <w:left w:val="nil"/>
              <w:bottom w:val="nil"/>
              <w:right w:val="nil"/>
            </w:tcBorders>
          </w:tcPr>
          <w:p>
            <w:pPr>
              <w:pStyle w:val="TableParagraph"/>
              <w:spacing w:line="216" w:lineRule="exact"/>
              <w:ind w:right="69"/>
              <w:rPr>
                <w:sz w:val="19"/>
              </w:rPr>
            </w:pPr>
            <w:r>
              <w:rPr>
                <w:sz w:val="19"/>
              </w:rPr>
              <w:t>0.1</w:t>
            </w:r>
          </w:p>
        </w:tc>
      </w:tr>
      <w:tr>
        <w:trPr>
          <w:trHeight w:val="230" w:hRule="exact"/>
        </w:trPr>
        <w:tc>
          <w:tcPr>
            <w:tcW w:w="2007" w:type="dxa"/>
            <w:tcBorders>
              <w:top w:val="nil"/>
              <w:left w:val="nil"/>
              <w:bottom w:val="nil"/>
              <w:right w:val="nil"/>
            </w:tcBorders>
          </w:tcPr>
          <w:p>
            <w:pPr>
              <w:pStyle w:val="TableParagraph"/>
              <w:spacing w:line="216" w:lineRule="exact"/>
              <w:ind w:left="71"/>
              <w:jc w:val="left"/>
              <w:rPr>
                <w:sz w:val="19"/>
              </w:rPr>
            </w:pPr>
            <w:r>
              <w:rPr>
                <w:w w:val="105"/>
                <w:sz w:val="19"/>
              </w:rPr>
              <w:t>Costa Rica</w:t>
            </w:r>
          </w:p>
        </w:tc>
        <w:tc>
          <w:tcPr>
            <w:tcW w:w="978" w:type="dxa"/>
            <w:tcBorders>
              <w:top w:val="nil"/>
              <w:left w:val="nil"/>
              <w:bottom w:val="nil"/>
              <w:right w:val="nil"/>
            </w:tcBorders>
          </w:tcPr>
          <w:p>
            <w:pPr>
              <w:pStyle w:val="TableParagraph"/>
              <w:spacing w:line="216" w:lineRule="exact"/>
              <w:ind w:right="145"/>
              <w:rPr>
                <w:sz w:val="19"/>
              </w:rPr>
            </w:pPr>
            <w:r>
              <w:rPr>
                <w:w w:val="105"/>
                <w:sz w:val="19"/>
              </w:rPr>
              <w:t>1 361</w:t>
            </w:r>
          </w:p>
        </w:tc>
        <w:tc>
          <w:tcPr>
            <w:tcW w:w="1065" w:type="dxa"/>
            <w:tcBorders>
              <w:top w:val="nil"/>
              <w:left w:val="nil"/>
              <w:bottom w:val="nil"/>
              <w:right w:val="nil"/>
            </w:tcBorders>
          </w:tcPr>
          <w:p>
            <w:pPr>
              <w:pStyle w:val="TableParagraph"/>
              <w:spacing w:line="216" w:lineRule="exact"/>
              <w:ind w:right="259"/>
              <w:rPr>
                <w:sz w:val="19"/>
              </w:rPr>
            </w:pPr>
            <w:r>
              <w:rPr>
                <w:w w:val="105"/>
                <w:sz w:val="19"/>
              </w:rPr>
              <w:t>1 522</w:t>
            </w:r>
          </w:p>
        </w:tc>
        <w:tc>
          <w:tcPr>
            <w:tcW w:w="1127" w:type="dxa"/>
            <w:tcBorders>
              <w:top w:val="nil"/>
              <w:left w:val="nil"/>
              <w:bottom w:val="nil"/>
              <w:right w:val="nil"/>
            </w:tcBorders>
          </w:tcPr>
          <w:p>
            <w:pPr>
              <w:pStyle w:val="TableParagraph"/>
              <w:spacing w:line="216" w:lineRule="exact"/>
              <w:ind w:right="213"/>
              <w:rPr>
                <w:sz w:val="19"/>
              </w:rPr>
            </w:pPr>
            <w:r>
              <w:rPr>
                <w:w w:val="105"/>
                <w:sz w:val="19"/>
              </w:rPr>
              <w:t>2 883</w:t>
            </w:r>
          </w:p>
        </w:tc>
        <w:tc>
          <w:tcPr>
            <w:tcW w:w="1130" w:type="dxa"/>
            <w:tcBorders>
              <w:top w:val="nil"/>
              <w:left w:val="nil"/>
              <w:bottom w:val="nil"/>
              <w:right w:val="nil"/>
            </w:tcBorders>
          </w:tcPr>
          <w:p>
            <w:pPr>
              <w:pStyle w:val="TableParagraph"/>
              <w:spacing w:line="216" w:lineRule="exact"/>
              <w:ind w:right="69"/>
              <w:rPr>
                <w:sz w:val="19"/>
              </w:rPr>
            </w:pPr>
            <w:r>
              <w:rPr>
                <w:sz w:val="19"/>
              </w:rPr>
              <w:t>0.1</w:t>
            </w:r>
          </w:p>
        </w:tc>
      </w:tr>
      <w:tr>
        <w:trPr>
          <w:trHeight w:val="233" w:hRule="exact"/>
        </w:trPr>
        <w:tc>
          <w:tcPr>
            <w:tcW w:w="2007" w:type="dxa"/>
            <w:tcBorders>
              <w:top w:val="nil"/>
              <w:left w:val="nil"/>
              <w:bottom w:val="double" w:sz="4" w:space="0" w:color="000000"/>
              <w:right w:val="nil"/>
            </w:tcBorders>
          </w:tcPr>
          <w:p>
            <w:pPr>
              <w:pStyle w:val="TableParagraph"/>
              <w:spacing w:line="216" w:lineRule="exact"/>
              <w:ind w:left="71"/>
              <w:jc w:val="left"/>
              <w:rPr>
                <w:sz w:val="19"/>
              </w:rPr>
            </w:pPr>
            <w:r>
              <w:rPr>
                <w:w w:val="105"/>
                <w:sz w:val="19"/>
              </w:rPr>
              <w:t>Otros países</w:t>
            </w:r>
          </w:p>
        </w:tc>
        <w:tc>
          <w:tcPr>
            <w:tcW w:w="978" w:type="dxa"/>
            <w:tcBorders>
              <w:top w:val="nil"/>
              <w:left w:val="nil"/>
              <w:bottom w:val="double" w:sz="4" w:space="0" w:color="000000"/>
              <w:right w:val="nil"/>
            </w:tcBorders>
          </w:tcPr>
          <w:p>
            <w:pPr>
              <w:pStyle w:val="TableParagraph"/>
              <w:spacing w:line="216" w:lineRule="exact"/>
              <w:ind w:right="145"/>
              <w:rPr>
                <w:sz w:val="19"/>
              </w:rPr>
            </w:pPr>
            <w:r>
              <w:rPr>
                <w:w w:val="105"/>
                <w:sz w:val="19"/>
              </w:rPr>
              <w:t>1 306</w:t>
            </w:r>
          </w:p>
        </w:tc>
        <w:tc>
          <w:tcPr>
            <w:tcW w:w="1065" w:type="dxa"/>
            <w:tcBorders>
              <w:top w:val="nil"/>
              <w:left w:val="nil"/>
              <w:bottom w:val="double" w:sz="4" w:space="0" w:color="000000"/>
              <w:right w:val="nil"/>
            </w:tcBorders>
          </w:tcPr>
          <w:p>
            <w:pPr>
              <w:pStyle w:val="TableParagraph"/>
              <w:spacing w:line="216" w:lineRule="exact"/>
              <w:ind w:right="259"/>
              <w:rPr>
                <w:sz w:val="19"/>
              </w:rPr>
            </w:pPr>
            <w:r>
              <w:rPr>
                <w:w w:val="105"/>
                <w:sz w:val="19"/>
              </w:rPr>
              <w:t>1 582</w:t>
            </w:r>
          </w:p>
        </w:tc>
        <w:tc>
          <w:tcPr>
            <w:tcW w:w="1127" w:type="dxa"/>
            <w:tcBorders>
              <w:top w:val="nil"/>
              <w:left w:val="nil"/>
              <w:bottom w:val="double" w:sz="4" w:space="0" w:color="000000"/>
              <w:right w:val="nil"/>
            </w:tcBorders>
          </w:tcPr>
          <w:p>
            <w:pPr>
              <w:pStyle w:val="TableParagraph"/>
              <w:spacing w:line="216" w:lineRule="exact"/>
              <w:ind w:right="213"/>
              <w:rPr>
                <w:sz w:val="19"/>
              </w:rPr>
            </w:pPr>
            <w:r>
              <w:rPr>
                <w:w w:val="105"/>
                <w:sz w:val="19"/>
              </w:rPr>
              <w:t>2 888</w:t>
            </w:r>
          </w:p>
        </w:tc>
        <w:tc>
          <w:tcPr>
            <w:tcW w:w="1130" w:type="dxa"/>
            <w:tcBorders>
              <w:top w:val="nil"/>
              <w:left w:val="nil"/>
              <w:bottom w:val="double" w:sz="4" w:space="0" w:color="000000"/>
              <w:right w:val="nil"/>
            </w:tcBorders>
          </w:tcPr>
          <w:p>
            <w:pPr>
              <w:pStyle w:val="TableParagraph"/>
              <w:spacing w:line="216" w:lineRule="exact"/>
              <w:ind w:right="69"/>
              <w:rPr>
                <w:sz w:val="19"/>
              </w:rPr>
            </w:pPr>
            <w:r>
              <w:rPr>
                <w:sz w:val="19"/>
              </w:rPr>
              <w:t>0.1</w:t>
            </w:r>
          </w:p>
        </w:tc>
      </w:tr>
    </w:tbl>
    <w:p>
      <w:pPr>
        <w:spacing w:line="174" w:lineRule="exact" w:before="0"/>
        <w:ind w:left="401" w:right="117" w:firstLine="0"/>
        <w:jc w:val="left"/>
        <w:rPr>
          <w:sz w:val="16"/>
        </w:rPr>
      </w:pPr>
      <w:r>
        <w:rPr>
          <w:sz w:val="16"/>
        </w:rPr>
        <w:t>Fuente: INE, 2008. García </w:t>
      </w:r>
      <w:r>
        <w:rPr>
          <w:i/>
          <w:sz w:val="16"/>
        </w:rPr>
        <w:t>et al</w:t>
      </w:r>
      <w:r>
        <w:rPr>
          <w:sz w:val="16"/>
        </w:rPr>
        <w:t>., 2009: 57.</w:t>
      </w:r>
    </w:p>
    <w:p>
      <w:pPr>
        <w:pStyle w:val="BodyText"/>
        <w:spacing w:before="4"/>
        <w:rPr>
          <w:sz w:val="13"/>
        </w:rPr>
      </w:pPr>
    </w:p>
    <w:p>
      <w:pPr>
        <w:pStyle w:val="Heading3"/>
        <w:spacing w:line="242" w:lineRule="auto" w:before="0"/>
        <w:ind w:right="1383"/>
        <w:jc w:val="left"/>
      </w:pPr>
      <w:r>
        <w:rPr>
          <w:color w:val="231F20"/>
        </w:rPr>
        <w:t>Población inmigrante latinoamericana con permiso de residencia en España</w:t>
      </w:r>
    </w:p>
    <w:p>
      <w:pPr>
        <w:pStyle w:val="BodyText"/>
        <w:spacing w:line="247" w:lineRule="auto" w:before="170"/>
        <w:ind w:left="117" w:right="115"/>
        <w:jc w:val="both"/>
      </w:pPr>
      <w:r>
        <w:rPr>
          <w:color w:val="231F20"/>
        </w:rPr>
        <w:t>Por</w:t>
      </w:r>
      <w:r>
        <w:rPr>
          <w:color w:val="231F20"/>
          <w:spacing w:val="-7"/>
        </w:rPr>
        <w:t> </w:t>
      </w:r>
      <w:r>
        <w:rPr>
          <w:color w:val="231F20"/>
        </w:rPr>
        <w:t>otra</w:t>
      </w:r>
      <w:r>
        <w:rPr>
          <w:color w:val="231F20"/>
          <w:spacing w:val="-7"/>
        </w:rPr>
        <w:t> </w:t>
      </w:r>
      <w:r>
        <w:rPr>
          <w:color w:val="231F20"/>
        </w:rPr>
        <w:t>parte,</w:t>
      </w:r>
      <w:r>
        <w:rPr>
          <w:color w:val="231F20"/>
          <w:spacing w:val="-7"/>
        </w:rPr>
        <w:t> </w:t>
      </w:r>
      <w:r>
        <w:rPr>
          <w:color w:val="231F20"/>
        </w:rPr>
        <w:t>para</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población</w:t>
      </w:r>
      <w:r>
        <w:rPr>
          <w:color w:val="231F20"/>
          <w:spacing w:val="-7"/>
        </w:rPr>
        <w:t> </w:t>
      </w:r>
      <w:r>
        <w:rPr>
          <w:color w:val="231F20"/>
        </w:rPr>
        <w:t>Latinoamericana</w:t>
      </w:r>
      <w:r>
        <w:rPr>
          <w:color w:val="231F20"/>
          <w:spacing w:val="-8"/>
        </w:rPr>
        <w:t> </w:t>
      </w:r>
      <w:r>
        <w:rPr>
          <w:color w:val="231F20"/>
        </w:rPr>
        <w:t>tenga</w:t>
      </w:r>
      <w:r>
        <w:rPr>
          <w:color w:val="231F20"/>
          <w:spacing w:val="-7"/>
        </w:rPr>
        <w:t> </w:t>
      </w:r>
      <w:r>
        <w:rPr>
          <w:color w:val="231F20"/>
        </w:rPr>
        <w:t>acceso</w:t>
      </w:r>
      <w:r>
        <w:rPr>
          <w:color w:val="231F20"/>
          <w:spacing w:val="-7"/>
        </w:rPr>
        <w:t> </w:t>
      </w:r>
      <w:r>
        <w:rPr>
          <w:color w:val="231F20"/>
        </w:rPr>
        <w:t>al</w:t>
      </w:r>
      <w:r>
        <w:rPr>
          <w:color w:val="231F20"/>
          <w:spacing w:val="-7"/>
        </w:rPr>
        <w:t> </w:t>
      </w:r>
      <w:r>
        <w:rPr>
          <w:color w:val="231F20"/>
        </w:rPr>
        <w:t>mer- cado laboral, se debe tener presente su situación jurídica, la cual hasta el proceso de regularización de 2005, se caracterizaba por los elevados ín- dices de irregularidad (Situación en la cual se encontraban más de 50 por ciento de los latinoamericanos residentes en España). Los inmigrantes </w:t>
      </w:r>
      <w:r>
        <w:rPr>
          <w:color w:val="231F20"/>
          <w:spacing w:val="5"/>
        </w:rPr>
        <w:t> </w:t>
      </w:r>
      <w:r>
        <w:rPr>
          <w:color w:val="231F20"/>
        </w:rPr>
        <w:t>la-</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jc w:val="both"/>
      </w:pPr>
      <w:r>
        <w:rPr>
          <w:color w:val="231F20"/>
        </w:rPr>
        <w:t>tinoamericanos se beneficiaron de la concesión de permisos de residencia en la regularización de 2005 por las causas ya señaladas, lo que junto a los acuerdos con diversos países que dan prioridad en las contrataciones a las personas procedentes de los mismos, han incrementado notablemente el peso de la población latinoamericana regularizada y que cuenta con los permisos de residencia y trabajo. De manera que, entre 1998 y 2008, se incrementó</w:t>
      </w:r>
      <w:r>
        <w:rPr>
          <w:color w:val="231F20"/>
          <w:spacing w:val="-10"/>
        </w:rPr>
        <w:t> </w:t>
      </w:r>
      <w:r>
        <w:rPr>
          <w:color w:val="231F20"/>
        </w:rPr>
        <w:t>el</w:t>
      </w:r>
      <w:r>
        <w:rPr>
          <w:color w:val="231F20"/>
          <w:spacing w:val="-9"/>
        </w:rPr>
        <w:t> </w:t>
      </w:r>
      <w:r>
        <w:rPr>
          <w:color w:val="231F20"/>
        </w:rPr>
        <w:t>número</w:t>
      </w:r>
      <w:r>
        <w:rPr>
          <w:color w:val="231F20"/>
          <w:spacing w:val="-9"/>
        </w:rPr>
        <w:t> </w:t>
      </w:r>
      <w:r>
        <w:rPr>
          <w:color w:val="231F20"/>
        </w:rPr>
        <w:t>de</w:t>
      </w:r>
      <w:r>
        <w:rPr>
          <w:color w:val="231F20"/>
          <w:spacing w:val="-9"/>
        </w:rPr>
        <w:t> </w:t>
      </w:r>
      <w:r>
        <w:rPr>
          <w:color w:val="231F20"/>
        </w:rPr>
        <w:t>latinoamericanos</w:t>
      </w:r>
      <w:r>
        <w:rPr>
          <w:color w:val="231F20"/>
          <w:spacing w:val="-10"/>
        </w:rPr>
        <w:t> </w:t>
      </w:r>
      <w:r>
        <w:rPr>
          <w:color w:val="231F20"/>
        </w:rPr>
        <w:t>con</w:t>
      </w:r>
      <w:r>
        <w:rPr>
          <w:color w:val="231F20"/>
          <w:spacing w:val="-9"/>
        </w:rPr>
        <w:t> </w:t>
      </w:r>
      <w:r>
        <w:rPr>
          <w:color w:val="231F20"/>
        </w:rPr>
        <w:t>permiso</w:t>
      </w:r>
      <w:r>
        <w:rPr>
          <w:color w:val="231F20"/>
          <w:spacing w:val="-9"/>
        </w:rPr>
        <w:t> </w:t>
      </w:r>
      <w:r>
        <w:rPr>
          <w:color w:val="231F20"/>
        </w:rPr>
        <w:t>de</w:t>
      </w:r>
      <w:r>
        <w:rPr>
          <w:color w:val="231F20"/>
          <w:spacing w:val="-9"/>
        </w:rPr>
        <w:t> </w:t>
      </w:r>
      <w:r>
        <w:rPr>
          <w:color w:val="231F20"/>
        </w:rPr>
        <w:t>residencia</w:t>
      </w:r>
      <w:r>
        <w:rPr>
          <w:color w:val="231F20"/>
          <w:spacing w:val="-9"/>
        </w:rPr>
        <w:t> </w:t>
      </w:r>
      <w:r>
        <w:rPr>
          <w:color w:val="231F20"/>
        </w:rPr>
        <w:t>(Per- sonas procedentes de todos los países latinoamericanos) al pasar de 130 203 latinoamericanos a 1 333 886; es decir, de 18 a 30 por ciento (Cuadro 3), destacando que en la mayoría de los casos, se han duplicado e incluso triplicado</w:t>
      </w:r>
      <w:r>
        <w:rPr>
          <w:color w:val="231F20"/>
          <w:spacing w:val="-9"/>
        </w:rPr>
        <w:t> </w:t>
      </w:r>
      <w:r>
        <w:rPr>
          <w:color w:val="231F20"/>
        </w:rPr>
        <w:t>el</w:t>
      </w:r>
      <w:r>
        <w:rPr>
          <w:color w:val="231F20"/>
          <w:spacing w:val="-9"/>
        </w:rPr>
        <w:t> </w:t>
      </w:r>
      <w:r>
        <w:rPr>
          <w:color w:val="231F20"/>
        </w:rPr>
        <w:t>número</w:t>
      </w:r>
      <w:r>
        <w:rPr>
          <w:color w:val="231F20"/>
          <w:spacing w:val="-8"/>
        </w:rPr>
        <w:t> </w:t>
      </w:r>
      <w:r>
        <w:rPr>
          <w:color w:val="231F20"/>
        </w:rPr>
        <w:t>de</w:t>
      </w:r>
      <w:r>
        <w:rPr>
          <w:color w:val="231F20"/>
          <w:spacing w:val="-8"/>
        </w:rPr>
        <w:t> </w:t>
      </w:r>
      <w:r>
        <w:rPr>
          <w:color w:val="231F20"/>
        </w:rPr>
        <w:t>efectivos,</w:t>
      </w:r>
      <w:r>
        <w:rPr>
          <w:color w:val="231F20"/>
          <w:spacing w:val="-9"/>
        </w:rPr>
        <w:t> </w:t>
      </w:r>
      <w:r>
        <w:rPr>
          <w:color w:val="231F20"/>
        </w:rPr>
        <w:t>hecho</w:t>
      </w:r>
      <w:r>
        <w:rPr>
          <w:color w:val="231F20"/>
          <w:spacing w:val="-8"/>
        </w:rPr>
        <w:t> </w:t>
      </w:r>
      <w:r>
        <w:rPr>
          <w:color w:val="231F20"/>
        </w:rPr>
        <w:t>en</w:t>
      </w:r>
      <w:r>
        <w:rPr>
          <w:color w:val="231F20"/>
          <w:spacing w:val="-9"/>
        </w:rPr>
        <w:t> </w:t>
      </w:r>
      <w:r>
        <w:rPr>
          <w:color w:val="231F20"/>
        </w:rPr>
        <w:t>el</w:t>
      </w:r>
      <w:r>
        <w:rPr>
          <w:color w:val="231F20"/>
          <w:spacing w:val="-9"/>
        </w:rPr>
        <w:t> </w:t>
      </w:r>
      <w:r>
        <w:rPr>
          <w:color w:val="231F20"/>
        </w:rPr>
        <w:t>que</w:t>
      </w:r>
      <w:r>
        <w:rPr>
          <w:color w:val="231F20"/>
          <w:spacing w:val="-8"/>
        </w:rPr>
        <w:t> </w:t>
      </w:r>
      <w:r>
        <w:rPr>
          <w:color w:val="231F20"/>
        </w:rPr>
        <w:t>las</w:t>
      </w:r>
      <w:r>
        <w:rPr>
          <w:color w:val="231F20"/>
          <w:spacing w:val="-9"/>
        </w:rPr>
        <w:t> </w:t>
      </w:r>
      <w:r>
        <w:rPr>
          <w:color w:val="231F20"/>
        </w:rPr>
        <w:t>reagrupaciones</w:t>
      </w:r>
      <w:r>
        <w:rPr>
          <w:color w:val="231F20"/>
          <w:spacing w:val="-9"/>
        </w:rPr>
        <w:t> </w:t>
      </w:r>
      <w:r>
        <w:rPr>
          <w:color w:val="231F20"/>
        </w:rPr>
        <w:t>fami- liares han tenido mucha importancia (García </w:t>
      </w:r>
      <w:r>
        <w:rPr>
          <w:i/>
          <w:color w:val="231F20"/>
        </w:rPr>
        <w:t>et al.,</w:t>
      </w:r>
      <w:r>
        <w:rPr>
          <w:i/>
          <w:color w:val="231F20"/>
          <w:spacing w:val="-6"/>
        </w:rPr>
        <w:t> </w:t>
      </w:r>
      <w:r>
        <w:rPr>
          <w:color w:val="231F20"/>
        </w:rPr>
        <w:t>2009).</w:t>
      </w:r>
    </w:p>
    <w:p>
      <w:pPr>
        <w:pStyle w:val="BodyText"/>
        <w:spacing w:before="10"/>
        <w:rPr>
          <w:sz w:val="12"/>
        </w:rPr>
      </w:pPr>
    </w:p>
    <w:p>
      <w:pPr>
        <w:spacing w:before="81" w:after="12"/>
        <w:ind w:left="397" w:right="117" w:firstLine="0"/>
        <w:jc w:val="left"/>
        <w:rPr>
          <w:sz w:val="19"/>
        </w:rPr>
      </w:pPr>
      <w:r>
        <w:rPr>
          <w:w w:val="105"/>
          <w:sz w:val="19"/>
        </w:rPr>
        <w:t>Cuadro 3. Evolución de la población con permiso de residencia</w:t>
      </w:r>
    </w:p>
    <w:tbl>
      <w:tblPr>
        <w:tblW w:w="0" w:type="auto"/>
        <w:jc w:val="left"/>
        <w:tblInd w:w="3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2"/>
        <w:gridCol w:w="791"/>
        <w:gridCol w:w="803"/>
        <w:gridCol w:w="953"/>
        <w:gridCol w:w="839"/>
        <w:gridCol w:w="939"/>
      </w:tblGrid>
      <w:tr>
        <w:trPr>
          <w:trHeight w:val="250" w:hRule="exact"/>
        </w:trPr>
        <w:tc>
          <w:tcPr>
            <w:tcW w:w="1982" w:type="dxa"/>
            <w:tcBorders>
              <w:left w:val="nil"/>
              <w:bottom w:val="double" w:sz="4" w:space="0" w:color="000000"/>
              <w:right w:val="nil"/>
            </w:tcBorders>
          </w:tcPr>
          <w:p>
            <w:pPr>
              <w:pStyle w:val="TableParagraph"/>
              <w:spacing w:before="5"/>
              <w:ind w:left="72"/>
              <w:jc w:val="left"/>
              <w:rPr>
                <w:sz w:val="19"/>
              </w:rPr>
            </w:pPr>
            <w:r>
              <w:rPr>
                <w:w w:val="105"/>
                <w:sz w:val="19"/>
              </w:rPr>
              <w:t>Países</w:t>
            </w:r>
          </w:p>
        </w:tc>
        <w:tc>
          <w:tcPr>
            <w:tcW w:w="791" w:type="dxa"/>
            <w:tcBorders>
              <w:left w:val="nil"/>
              <w:bottom w:val="double" w:sz="4" w:space="0" w:color="000000"/>
              <w:right w:val="nil"/>
            </w:tcBorders>
          </w:tcPr>
          <w:p>
            <w:pPr>
              <w:pStyle w:val="TableParagraph"/>
              <w:spacing w:before="5"/>
              <w:ind w:right="66"/>
              <w:rPr>
                <w:sz w:val="19"/>
              </w:rPr>
            </w:pPr>
            <w:r>
              <w:rPr>
                <w:sz w:val="19"/>
              </w:rPr>
              <w:t>1998</w:t>
            </w:r>
          </w:p>
        </w:tc>
        <w:tc>
          <w:tcPr>
            <w:tcW w:w="803" w:type="dxa"/>
            <w:tcBorders>
              <w:left w:val="nil"/>
              <w:bottom w:val="double" w:sz="4" w:space="0" w:color="000000"/>
              <w:right w:val="nil"/>
            </w:tcBorders>
          </w:tcPr>
          <w:p>
            <w:pPr>
              <w:pStyle w:val="TableParagraph"/>
              <w:spacing w:before="5"/>
              <w:ind w:right="82"/>
              <w:rPr>
                <w:sz w:val="19"/>
              </w:rPr>
            </w:pPr>
            <w:r>
              <w:rPr>
                <w:sz w:val="19"/>
              </w:rPr>
              <w:t>2000</w:t>
            </w:r>
          </w:p>
        </w:tc>
        <w:tc>
          <w:tcPr>
            <w:tcW w:w="953" w:type="dxa"/>
            <w:tcBorders>
              <w:left w:val="nil"/>
              <w:bottom w:val="double" w:sz="4" w:space="0" w:color="000000"/>
              <w:right w:val="nil"/>
            </w:tcBorders>
          </w:tcPr>
          <w:p>
            <w:pPr>
              <w:pStyle w:val="TableParagraph"/>
              <w:spacing w:before="5"/>
              <w:ind w:right="66"/>
              <w:rPr>
                <w:sz w:val="19"/>
              </w:rPr>
            </w:pPr>
            <w:r>
              <w:rPr>
                <w:sz w:val="19"/>
              </w:rPr>
              <w:t>2005</w:t>
            </w:r>
          </w:p>
        </w:tc>
        <w:tc>
          <w:tcPr>
            <w:tcW w:w="839" w:type="dxa"/>
            <w:tcBorders>
              <w:left w:val="nil"/>
              <w:bottom w:val="double" w:sz="4" w:space="0" w:color="000000"/>
              <w:right w:val="nil"/>
            </w:tcBorders>
          </w:tcPr>
          <w:p>
            <w:pPr>
              <w:pStyle w:val="TableParagraph"/>
              <w:spacing w:before="5"/>
              <w:ind w:right="68"/>
              <w:rPr>
                <w:sz w:val="19"/>
              </w:rPr>
            </w:pPr>
            <w:r>
              <w:rPr>
                <w:sz w:val="19"/>
              </w:rPr>
              <w:t>2006</w:t>
            </w:r>
          </w:p>
        </w:tc>
        <w:tc>
          <w:tcPr>
            <w:tcW w:w="939" w:type="dxa"/>
            <w:tcBorders>
              <w:left w:val="nil"/>
              <w:bottom w:val="double" w:sz="4" w:space="0" w:color="000000"/>
              <w:right w:val="nil"/>
            </w:tcBorders>
          </w:tcPr>
          <w:p>
            <w:pPr>
              <w:pStyle w:val="TableParagraph"/>
              <w:spacing w:before="5"/>
              <w:ind w:right="66"/>
              <w:rPr>
                <w:sz w:val="19"/>
              </w:rPr>
            </w:pPr>
            <w:r>
              <w:rPr>
                <w:sz w:val="19"/>
              </w:rPr>
              <w:t>2008</w:t>
            </w:r>
          </w:p>
        </w:tc>
      </w:tr>
      <w:tr>
        <w:trPr>
          <w:trHeight w:val="252" w:hRule="exact"/>
        </w:trPr>
        <w:tc>
          <w:tcPr>
            <w:tcW w:w="1982" w:type="dxa"/>
            <w:tcBorders>
              <w:top w:val="double" w:sz="4" w:space="0" w:color="000000"/>
              <w:left w:val="nil"/>
              <w:bottom w:val="nil"/>
              <w:right w:val="nil"/>
            </w:tcBorders>
          </w:tcPr>
          <w:p>
            <w:pPr>
              <w:pStyle w:val="TableParagraph"/>
              <w:spacing w:before="5"/>
              <w:ind w:left="72"/>
              <w:jc w:val="left"/>
              <w:rPr>
                <w:sz w:val="19"/>
              </w:rPr>
            </w:pPr>
            <w:r>
              <w:rPr>
                <w:w w:val="105"/>
                <w:sz w:val="19"/>
              </w:rPr>
              <w:t>Total</w:t>
            </w:r>
          </w:p>
        </w:tc>
        <w:tc>
          <w:tcPr>
            <w:tcW w:w="791" w:type="dxa"/>
            <w:tcBorders>
              <w:top w:val="double" w:sz="4" w:space="0" w:color="000000"/>
              <w:left w:val="nil"/>
              <w:bottom w:val="nil"/>
              <w:right w:val="nil"/>
            </w:tcBorders>
          </w:tcPr>
          <w:p>
            <w:pPr>
              <w:pStyle w:val="TableParagraph"/>
              <w:spacing w:before="5"/>
              <w:ind w:right="66"/>
              <w:rPr>
                <w:sz w:val="19"/>
              </w:rPr>
            </w:pPr>
            <w:r>
              <w:rPr>
                <w:w w:val="105"/>
                <w:sz w:val="19"/>
              </w:rPr>
              <w:t>719 647</w:t>
            </w:r>
          </w:p>
        </w:tc>
        <w:tc>
          <w:tcPr>
            <w:tcW w:w="803" w:type="dxa"/>
            <w:tcBorders>
              <w:top w:val="double" w:sz="4" w:space="0" w:color="000000"/>
              <w:left w:val="nil"/>
              <w:bottom w:val="nil"/>
              <w:right w:val="nil"/>
            </w:tcBorders>
          </w:tcPr>
          <w:p>
            <w:pPr>
              <w:pStyle w:val="TableParagraph"/>
              <w:spacing w:before="5"/>
              <w:ind w:right="82"/>
              <w:rPr>
                <w:sz w:val="19"/>
              </w:rPr>
            </w:pPr>
            <w:r>
              <w:rPr>
                <w:w w:val="105"/>
                <w:sz w:val="19"/>
              </w:rPr>
              <w:t>895 720</w:t>
            </w:r>
          </w:p>
        </w:tc>
        <w:tc>
          <w:tcPr>
            <w:tcW w:w="953" w:type="dxa"/>
            <w:tcBorders>
              <w:top w:val="double" w:sz="4" w:space="0" w:color="000000"/>
              <w:left w:val="nil"/>
              <w:bottom w:val="nil"/>
              <w:right w:val="nil"/>
            </w:tcBorders>
          </w:tcPr>
          <w:p>
            <w:pPr>
              <w:pStyle w:val="TableParagraph"/>
              <w:spacing w:before="5"/>
              <w:ind w:right="67"/>
              <w:rPr>
                <w:sz w:val="19"/>
              </w:rPr>
            </w:pPr>
            <w:r>
              <w:rPr>
                <w:w w:val="105"/>
                <w:sz w:val="19"/>
              </w:rPr>
              <w:t>2 738 932</w:t>
            </w:r>
          </w:p>
        </w:tc>
        <w:tc>
          <w:tcPr>
            <w:tcW w:w="839" w:type="dxa"/>
            <w:tcBorders>
              <w:top w:val="double" w:sz="4" w:space="0" w:color="000000"/>
              <w:left w:val="nil"/>
              <w:bottom w:val="nil"/>
              <w:right w:val="nil"/>
            </w:tcBorders>
          </w:tcPr>
          <w:p>
            <w:pPr>
              <w:pStyle w:val="TableParagraph"/>
              <w:spacing w:before="5"/>
              <w:ind w:right="68"/>
              <w:rPr>
                <w:sz w:val="19"/>
              </w:rPr>
            </w:pPr>
            <w:r>
              <w:rPr>
                <w:sz w:val="19"/>
              </w:rPr>
              <w:t>3021808</w:t>
            </w:r>
          </w:p>
        </w:tc>
        <w:tc>
          <w:tcPr>
            <w:tcW w:w="939" w:type="dxa"/>
            <w:tcBorders>
              <w:top w:val="double" w:sz="4" w:space="0" w:color="000000"/>
              <w:left w:val="nil"/>
              <w:bottom w:val="nil"/>
              <w:right w:val="nil"/>
            </w:tcBorders>
          </w:tcPr>
          <w:p>
            <w:pPr>
              <w:pStyle w:val="TableParagraph"/>
              <w:spacing w:before="5"/>
              <w:ind w:right="67"/>
              <w:rPr>
                <w:sz w:val="19"/>
              </w:rPr>
            </w:pPr>
            <w:r>
              <w:rPr>
                <w:w w:val="105"/>
                <w:sz w:val="19"/>
              </w:rPr>
              <w:t>4 473 499</w:t>
            </w:r>
          </w:p>
        </w:tc>
      </w:tr>
      <w:tr>
        <w:trPr>
          <w:trHeight w:val="230" w:hRule="exact"/>
        </w:trPr>
        <w:tc>
          <w:tcPr>
            <w:tcW w:w="1982" w:type="dxa"/>
            <w:tcBorders>
              <w:top w:val="nil"/>
              <w:left w:val="nil"/>
              <w:bottom w:val="nil"/>
              <w:right w:val="nil"/>
            </w:tcBorders>
          </w:tcPr>
          <w:p>
            <w:pPr>
              <w:pStyle w:val="TableParagraph"/>
              <w:spacing w:line="216" w:lineRule="exact"/>
              <w:ind w:left="72"/>
              <w:jc w:val="left"/>
              <w:rPr>
                <w:sz w:val="19"/>
              </w:rPr>
            </w:pPr>
            <w:r>
              <w:rPr>
                <w:w w:val="105"/>
                <w:sz w:val="19"/>
              </w:rPr>
              <w:t>Latinoamérica</w:t>
            </w:r>
          </w:p>
        </w:tc>
        <w:tc>
          <w:tcPr>
            <w:tcW w:w="791" w:type="dxa"/>
            <w:tcBorders>
              <w:top w:val="nil"/>
              <w:left w:val="nil"/>
              <w:bottom w:val="nil"/>
              <w:right w:val="nil"/>
            </w:tcBorders>
          </w:tcPr>
          <w:p>
            <w:pPr>
              <w:pStyle w:val="TableParagraph"/>
              <w:spacing w:line="216" w:lineRule="exact"/>
              <w:ind w:right="66"/>
              <w:rPr>
                <w:sz w:val="19"/>
              </w:rPr>
            </w:pPr>
            <w:r>
              <w:rPr>
                <w:w w:val="105"/>
                <w:sz w:val="19"/>
              </w:rPr>
              <w:t>130 203</w:t>
            </w:r>
          </w:p>
        </w:tc>
        <w:tc>
          <w:tcPr>
            <w:tcW w:w="803" w:type="dxa"/>
            <w:tcBorders>
              <w:top w:val="nil"/>
              <w:left w:val="nil"/>
              <w:bottom w:val="nil"/>
              <w:right w:val="nil"/>
            </w:tcBorders>
          </w:tcPr>
          <w:p>
            <w:pPr>
              <w:pStyle w:val="TableParagraph"/>
              <w:spacing w:line="216" w:lineRule="exact"/>
              <w:ind w:right="82"/>
              <w:rPr>
                <w:sz w:val="19"/>
              </w:rPr>
            </w:pPr>
            <w:r>
              <w:rPr>
                <w:w w:val="105"/>
                <w:sz w:val="19"/>
              </w:rPr>
              <w:t>184 944</w:t>
            </w:r>
          </w:p>
        </w:tc>
        <w:tc>
          <w:tcPr>
            <w:tcW w:w="953" w:type="dxa"/>
            <w:tcBorders>
              <w:top w:val="nil"/>
              <w:left w:val="nil"/>
              <w:bottom w:val="nil"/>
              <w:right w:val="nil"/>
            </w:tcBorders>
          </w:tcPr>
          <w:p>
            <w:pPr>
              <w:pStyle w:val="TableParagraph"/>
              <w:spacing w:line="216" w:lineRule="exact"/>
              <w:ind w:right="67"/>
              <w:rPr>
                <w:sz w:val="19"/>
              </w:rPr>
            </w:pPr>
            <w:r>
              <w:rPr>
                <w:w w:val="105"/>
                <w:sz w:val="19"/>
              </w:rPr>
              <w:t>535 882</w:t>
            </w:r>
          </w:p>
        </w:tc>
        <w:tc>
          <w:tcPr>
            <w:tcW w:w="839" w:type="dxa"/>
            <w:tcBorders>
              <w:top w:val="nil"/>
              <w:left w:val="nil"/>
              <w:bottom w:val="nil"/>
              <w:right w:val="nil"/>
            </w:tcBorders>
          </w:tcPr>
          <w:p>
            <w:pPr>
              <w:pStyle w:val="TableParagraph"/>
              <w:spacing w:line="216" w:lineRule="exact"/>
              <w:ind w:right="68"/>
              <w:rPr>
                <w:sz w:val="19"/>
              </w:rPr>
            </w:pPr>
            <w:r>
              <w:rPr>
                <w:sz w:val="19"/>
              </w:rPr>
              <w:t>577688</w:t>
            </w:r>
          </w:p>
        </w:tc>
        <w:tc>
          <w:tcPr>
            <w:tcW w:w="939" w:type="dxa"/>
            <w:tcBorders>
              <w:top w:val="nil"/>
              <w:left w:val="nil"/>
              <w:bottom w:val="nil"/>
              <w:right w:val="nil"/>
            </w:tcBorders>
          </w:tcPr>
          <w:p>
            <w:pPr>
              <w:pStyle w:val="TableParagraph"/>
              <w:spacing w:line="216" w:lineRule="exact"/>
              <w:ind w:right="67"/>
              <w:rPr>
                <w:sz w:val="19"/>
              </w:rPr>
            </w:pPr>
            <w:r>
              <w:rPr>
                <w:w w:val="105"/>
                <w:sz w:val="19"/>
              </w:rPr>
              <w:t>1 333 886</w:t>
            </w:r>
          </w:p>
        </w:tc>
      </w:tr>
      <w:tr>
        <w:trPr>
          <w:trHeight w:val="230" w:hRule="exact"/>
        </w:trPr>
        <w:tc>
          <w:tcPr>
            <w:tcW w:w="1982" w:type="dxa"/>
            <w:tcBorders>
              <w:top w:val="nil"/>
              <w:left w:val="nil"/>
              <w:bottom w:val="nil"/>
              <w:right w:val="nil"/>
            </w:tcBorders>
          </w:tcPr>
          <w:p>
            <w:pPr>
              <w:pStyle w:val="TableParagraph"/>
              <w:spacing w:line="216" w:lineRule="exact"/>
              <w:ind w:left="72"/>
              <w:jc w:val="left"/>
              <w:rPr>
                <w:sz w:val="19"/>
              </w:rPr>
            </w:pPr>
            <w:r>
              <w:rPr>
                <w:w w:val="105"/>
                <w:sz w:val="19"/>
              </w:rPr>
              <w:t>Argentina</w:t>
            </w:r>
          </w:p>
        </w:tc>
        <w:tc>
          <w:tcPr>
            <w:tcW w:w="791" w:type="dxa"/>
            <w:tcBorders>
              <w:top w:val="nil"/>
              <w:left w:val="nil"/>
              <w:bottom w:val="nil"/>
              <w:right w:val="nil"/>
            </w:tcBorders>
          </w:tcPr>
          <w:p>
            <w:pPr>
              <w:pStyle w:val="TableParagraph"/>
              <w:spacing w:line="216" w:lineRule="exact"/>
              <w:ind w:right="66"/>
              <w:rPr>
                <w:sz w:val="19"/>
              </w:rPr>
            </w:pPr>
            <w:r>
              <w:rPr>
                <w:w w:val="105"/>
                <w:sz w:val="19"/>
              </w:rPr>
              <w:t>17 007</w:t>
            </w:r>
          </w:p>
        </w:tc>
        <w:tc>
          <w:tcPr>
            <w:tcW w:w="803" w:type="dxa"/>
            <w:tcBorders>
              <w:top w:val="nil"/>
              <w:left w:val="nil"/>
              <w:bottom w:val="nil"/>
              <w:right w:val="nil"/>
            </w:tcBorders>
          </w:tcPr>
          <w:p>
            <w:pPr>
              <w:pStyle w:val="TableParagraph"/>
              <w:spacing w:line="216" w:lineRule="exact"/>
              <w:ind w:right="82"/>
              <w:rPr>
                <w:sz w:val="19"/>
              </w:rPr>
            </w:pPr>
            <w:r>
              <w:rPr>
                <w:w w:val="105"/>
                <w:sz w:val="19"/>
              </w:rPr>
              <w:t>16 610</w:t>
            </w:r>
          </w:p>
        </w:tc>
        <w:tc>
          <w:tcPr>
            <w:tcW w:w="953" w:type="dxa"/>
            <w:tcBorders>
              <w:top w:val="nil"/>
              <w:left w:val="nil"/>
              <w:bottom w:val="nil"/>
              <w:right w:val="nil"/>
            </w:tcBorders>
          </w:tcPr>
          <w:p>
            <w:pPr>
              <w:pStyle w:val="TableParagraph"/>
              <w:spacing w:line="216" w:lineRule="exact"/>
              <w:ind w:right="67"/>
              <w:rPr>
                <w:sz w:val="19"/>
              </w:rPr>
            </w:pPr>
            <w:r>
              <w:rPr>
                <w:w w:val="105"/>
                <w:sz w:val="19"/>
              </w:rPr>
              <w:t>40 517</w:t>
            </w:r>
          </w:p>
        </w:tc>
        <w:tc>
          <w:tcPr>
            <w:tcW w:w="839" w:type="dxa"/>
            <w:tcBorders>
              <w:top w:val="nil"/>
              <w:left w:val="nil"/>
              <w:bottom w:val="nil"/>
              <w:right w:val="nil"/>
            </w:tcBorders>
          </w:tcPr>
          <w:p>
            <w:pPr>
              <w:pStyle w:val="TableParagraph"/>
              <w:spacing w:line="216" w:lineRule="exact"/>
              <w:ind w:right="68"/>
              <w:rPr>
                <w:sz w:val="19"/>
              </w:rPr>
            </w:pPr>
            <w:r>
              <w:rPr>
                <w:sz w:val="19"/>
              </w:rPr>
              <w:t>43143</w:t>
            </w:r>
          </w:p>
        </w:tc>
        <w:tc>
          <w:tcPr>
            <w:tcW w:w="939" w:type="dxa"/>
            <w:tcBorders>
              <w:top w:val="nil"/>
              <w:left w:val="nil"/>
              <w:bottom w:val="nil"/>
              <w:right w:val="nil"/>
            </w:tcBorders>
          </w:tcPr>
          <w:p>
            <w:pPr>
              <w:pStyle w:val="TableParagraph"/>
              <w:spacing w:line="216" w:lineRule="exact"/>
              <w:ind w:right="66"/>
              <w:rPr>
                <w:sz w:val="19"/>
              </w:rPr>
            </w:pPr>
            <w:r>
              <w:rPr>
                <w:w w:val="105"/>
                <w:sz w:val="19"/>
              </w:rPr>
              <w:t>97 277</w:t>
            </w:r>
          </w:p>
        </w:tc>
      </w:tr>
      <w:tr>
        <w:trPr>
          <w:trHeight w:val="230" w:hRule="exact"/>
        </w:trPr>
        <w:tc>
          <w:tcPr>
            <w:tcW w:w="1982" w:type="dxa"/>
            <w:tcBorders>
              <w:top w:val="nil"/>
              <w:left w:val="nil"/>
              <w:bottom w:val="nil"/>
              <w:right w:val="nil"/>
            </w:tcBorders>
          </w:tcPr>
          <w:p>
            <w:pPr>
              <w:pStyle w:val="TableParagraph"/>
              <w:spacing w:line="216" w:lineRule="exact"/>
              <w:ind w:left="72"/>
              <w:jc w:val="left"/>
              <w:rPr>
                <w:sz w:val="19"/>
              </w:rPr>
            </w:pPr>
            <w:r>
              <w:rPr>
                <w:w w:val="105"/>
                <w:sz w:val="19"/>
              </w:rPr>
              <w:t>Bolivia</w:t>
            </w:r>
          </w:p>
        </w:tc>
        <w:tc>
          <w:tcPr>
            <w:tcW w:w="791" w:type="dxa"/>
            <w:tcBorders>
              <w:top w:val="nil"/>
              <w:left w:val="nil"/>
              <w:bottom w:val="nil"/>
              <w:right w:val="nil"/>
            </w:tcBorders>
          </w:tcPr>
          <w:p>
            <w:pPr>
              <w:pStyle w:val="TableParagraph"/>
              <w:spacing w:line="216" w:lineRule="exact"/>
              <w:ind w:right="66"/>
              <w:rPr>
                <w:sz w:val="19"/>
              </w:rPr>
            </w:pPr>
            <w:r>
              <w:rPr>
                <w:w w:val="105"/>
                <w:sz w:val="19"/>
              </w:rPr>
              <w:t>1 148</w:t>
            </w:r>
          </w:p>
        </w:tc>
        <w:tc>
          <w:tcPr>
            <w:tcW w:w="803" w:type="dxa"/>
            <w:tcBorders>
              <w:top w:val="nil"/>
              <w:left w:val="nil"/>
              <w:bottom w:val="nil"/>
              <w:right w:val="nil"/>
            </w:tcBorders>
          </w:tcPr>
          <w:p>
            <w:pPr>
              <w:pStyle w:val="TableParagraph"/>
              <w:spacing w:line="216" w:lineRule="exact"/>
              <w:ind w:right="82"/>
              <w:rPr>
                <w:sz w:val="19"/>
              </w:rPr>
            </w:pPr>
            <w:r>
              <w:rPr>
                <w:w w:val="105"/>
                <w:sz w:val="19"/>
              </w:rPr>
              <w:t>1 748</w:t>
            </w:r>
          </w:p>
        </w:tc>
        <w:tc>
          <w:tcPr>
            <w:tcW w:w="953" w:type="dxa"/>
            <w:tcBorders>
              <w:top w:val="nil"/>
              <w:left w:val="nil"/>
              <w:bottom w:val="nil"/>
              <w:right w:val="nil"/>
            </w:tcBorders>
          </w:tcPr>
          <w:p>
            <w:pPr>
              <w:pStyle w:val="TableParagraph"/>
              <w:spacing w:line="216" w:lineRule="exact"/>
              <w:ind w:right="67"/>
              <w:rPr>
                <w:sz w:val="19"/>
              </w:rPr>
            </w:pPr>
            <w:r>
              <w:rPr>
                <w:w w:val="105"/>
                <w:sz w:val="19"/>
              </w:rPr>
              <w:t>28 808</w:t>
            </w:r>
          </w:p>
        </w:tc>
        <w:tc>
          <w:tcPr>
            <w:tcW w:w="839" w:type="dxa"/>
            <w:tcBorders>
              <w:top w:val="nil"/>
              <w:left w:val="nil"/>
              <w:bottom w:val="nil"/>
              <w:right w:val="nil"/>
            </w:tcBorders>
          </w:tcPr>
          <w:p>
            <w:pPr>
              <w:pStyle w:val="TableParagraph"/>
              <w:spacing w:line="216" w:lineRule="exact"/>
              <w:ind w:right="68"/>
              <w:rPr>
                <w:sz w:val="19"/>
              </w:rPr>
            </w:pPr>
            <w:r>
              <w:rPr>
                <w:sz w:val="19"/>
              </w:rPr>
              <w:t>29353</w:t>
            </w:r>
          </w:p>
        </w:tc>
        <w:tc>
          <w:tcPr>
            <w:tcW w:w="939" w:type="dxa"/>
            <w:tcBorders>
              <w:top w:val="nil"/>
              <w:left w:val="nil"/>
              <w:bottom w:val="nil"/>
              <w:right w:val="nil"/>
            </w:tcBorders>
          </w:tcPr>
          <w:p>
            <w:pPr>
              <w:pStyle w:val="TableParagraph"/>
              <w:spacing w:line="216" w:lineRule="exact"/>
              <w:ind w:right="66"/>
              <w:rPr>
                <w:sz w:val="19"/>
              </w:rPr>
            </w:pPr>
            <w:r>
              <w:rPr>
                <w:w w:val="105"/>
                <w:sz w:val="19"/>
              </w:rPr>
              <w:t>85 427</w:t>
            </w:r>
          </w:p>
        </w:tc>
      </w:tr>
      <w:tr>
        <w:trPr>
          <w:trHeight w:val="230" w:hRule="exact"/>
        </w:trPr>
        <w:tc>
          <w:tcPr>
            <w:tcW w:w="1982" w:type="dxa"/>
            <w:tcBorders>
              <w:top w:val="nil"/>
              <w:left w:val="nil"/>
              <w:bottom w:val="nil"/>
              <w:right w:val="nil"/>
            </w:tcBorders>
          </w:tcPr>
          <w:p>
            <w:pPr>
              <w:pStyle w:val="TableParagraph"/>
              <w:spacing w:line="216" w:lineRule="exact"/>
              <w:ind w:left="72"/>
              <w:jc w:val="left"/>
              <w:rPr>
                <w:sz w:val="19"/>
              </w:rPr>
            </w:pPr>
            <w:r>
              <w:rPr>
                <w:w w:val="105"/>
                <w:sz w:val="19"/>
              </w:rPr>
              <w:t>Brasil</w:t>
            </w:r>
          </w:p>
        </w:tc>
        <w:tc>
          <w:tcPr>
            <w:tcW w:w="791" w:type="dxa"/>
            <w:tcBorders>
              <w:top w:val="nil"/>
              <w:left w:val="nil"/>
              <w:bottom w:val="nil"/>
              <w:right w:val="nil"/>
            </w:tcBorders>
          </w:tcPr>
          <w:p>
            <w:pPr>
              <w:pStyle w:val="TableParagraph"/>
              <w:spacing w:line="216" w:lineRule="exact"/>
              <w:ind w:right="66"/>
              <w:rPr>
                <w:sz w:val="19"/>
              </w:rPr>
            </w:pPr>
            <w:r>
              <w:rPr>
                <w:w w:val="105"/>
                <w:sz w:val="19"/>
              </w:rPr>
              <w:t>7 012</w:t>
            </w:r>
          </w:p>
        </w:tc>
        <w:tc>
          <w:tcPr>
            <w:tcW w:w="803" w:type="dxa"/>
            <w:tcBorders>
              <w:top w:val="nil"/>
              <w:left w:val="nil"/>
              <w:bottom w:val="nil"/>
              <w:right w:val="nil"/>
            </w:tcBorders>
          </w:tcPr>
          <w:p>
            <w:pPr>
              <w:pStyle w:val="TableParagraph"/>
              <w:spacing w:line="216" w:lineRule="exact"/>
              <w:ind w:right="82"/>
              <w:rPr>
                <w:sz w:val="19"/>
              </w:rPr>
            </w:pPr>
            <w:r>
              <w:rPr>
                <w:w w:val="105"/>
                <w:sz w:val="19"/>
              </w:rPr>
              <w:t>10 034</w:t>
            </w:r>
          </w:p>
        </w:tc>
        <w:tc>
          <w:tcPr>
            <w:tcW w:w="953" w:type="dxa"/>
            <w:tcBorders>
              <w:top w:val="nil"/>
              <w:left w:val="nil"/>
              <w:bottom w:val="nil"/>
              <w:right w:val="nil"/>
            </w:tcBorders>
          </w:tcPr>
          <w:p>
            <w:pPr>
              <w:pStyle w:val="TableParagraph"/>
              <w:spacing w:line="216" w:lineRule="exact"/>
              <w:ind w:right="67"/>
              <w:rPr>
                <w:sz w:val="19"/>
              </w:rPr>
            </w:pPr>
            <w:r>
              <w:rPr>
                <w:w w:val="105"/>
                <w:sz w:val="19"/>
              </w:rPr>
              <w:t>18 298</w:t>
            </w:r>
          </w:p>
        </w:tc>
        <w:tc>
          <w:tcPr>
            <w:tcW w:w="839" w:type="dxa"/>
            <w:tcBorders>
              <w:top w:val="nil"/>
              <w:left w:val="nil"/>
              <w:bottom w:val="nil"/>
              <w:right w:val="nil"/>
            </w:tcBorders>
          </w:tcPr>
          <w:p>
            <w:pPr>
              <w:pStyle w:val="TableParagraph"/>
              <w:spacing w:line="216" w:lineRule="exact"/>
              <w:ind w:right="68"/>
              <w:rPr>
                <w:sz w:val="19"/>
              </w:rPr>
            </w:pPr>
            <w:r>
              <w:rPr>
                <w:sz w:val="19"/>
              </w:rPr>
              <w:t>20498</w:t>
            </w:r>
          </w:p>
        </w:tc>
        <w:tc>
          <w:tcPr>
            <w:tcW w:w="939" w:type="dxa"/>
            <w:tcBorders>
              <w:top w:val="nil"/>
              <w:left w:val="nil"/>
              <w:bottom w:val="nil"/>
              <w:right w:val="nil"/>
            </w:tcBorders>
          </w:tcPr>
          <w:p>
            <w:pPr>
              <w:pStyle w:val="TableParagraph"/>
              <w:spacing w:line="216" w:lineRule="exact"/>
              <w:ind w:right="66"/>
              <w:rPr>
                <w:sz w:val="19"/>
              </w:rPr>
            </w:pPr>
            <w:r>
              <w:rPr>
                <w:w w:val="105"/>
                <w:sz w:val="19"/>
              </w:rPr>
              <w:t>47 229</w:t>
            </w:r>
          </w:p>
        </w:tc>
      </w:tr>
      <w:tr>
        <w:trPr>
          <w:trHeight w:val="230" w:hRule="exact"/>
        </w:trPr>
        <w:tc>
          <w:tcPr>
            <w:tcW w:w="1982" w:type="dxa"/>
            <w:tcBorders>
              <w:top w:val="nil"/>
              <w:left w:val="nil"/>
              <w:bottom w:val="nil"/>
              <w:right w:val="nil"/>
            </w:tcBorders>
          </w:tcPr>
          <w:p>
            <w:pPr>
              <w:pStyle w:val="TableParagraph"/>
              <w:spacing w:line="216" w:lineRule="exact"/>
              <w:ind w:left="72"/>
              <w:jc w:val="left"/>
              <w:rPr>
                <w:sz w:val="19"/>
              </w:rPr>
            </w:pPr>
            <w:r>
              <w:rPr>
                <w:w w:val="105"/>
                <w:sz w:val="19"/>
              </w:rPr>
              <w:t>Chile</w:t>
            </w:r>
          </w:p>
        </w:tc>
        <w:tc>
          <w:tcPr>
            <w:tcW w:w="791" w:type="dxa"/>
            <w:tcBorders>
              <w:top w:val="nil"/>
              <w:left w:val="nil"/>
              <w:bottom w:val="nil"/>
              <w:right w:val="nil"/>
            </w:tcBorders>
          </w:tcPr>
          <w:p>
            <w:pPr>
              <w:pStyle w:val="TableParagraph"/>
              <w:spacing w:line="216" w:lineRule="exact"/>
              <w:ind w:right="66"/>
              <w:rPr>
                <w:sz w:val="19"/>
              </w:rPr>
            </w:pPr>
            <w:r>
              <w:rPr>
                <w:w w:val="105"/>
                <w:sz w:val="19"/>
              </w:rPr>
              <w:t>5 827</w:t>
            </w:r>
          </w:p>
        </w:tc>
        <w:tc>
          <w:tcPr>
            <w:tcW w:w="803" w:type="dxa"/>
            <w:tcBorders>
              <w:top w:val="nil"/>
              <w:left w:val="nil"/>
              <w:bottom w:val="nil"/>
              <w:right w:val="nil"/>
            </w:tcBorders>
          </w:tcPr>
          <w:p>
            <w:pPr>
              <w:pStyle w:val="TableParagraph"/>
              <w:spacing w:line="216" w:lineRule="exact"/>
              <w:ind w:right="82"/>
              <w:rPr>
                <w:sz w:val="19"/>
              </w:rPr>
            </w:pPr>
            <w:r>
              <w:rPr>
                <w:w w:val="105"/>
                <w:sz w:val="19"/>
              </w:rPr>
              <w:t>6 141</w:t>
            </w:r>
          </w:p>
        </w:tc>
        <w:tc>
          <w:tcPr>
            <w:tcW w:w="953" w:type="dxa"/>
            <w:tcBorders>
              <w:top w:val="nil"/>
              <w:left w:val="nil"/>
              <w:bottom w:val="nil"/>
              <w:right w:val="nil"/>
            </w:tcBorders>
          </w:tcPr>
          <w:p>
            <w:pPr>
              <w:pStyle w:val="TableParagraph"/>
              <w:spacing w:line="216" w:lineRule="exact"/>
              <w:ind w:right="66"/>
              <w:rPr>
                <w:sz w:val="19"/>
              </w:rPr>
            </w:pPr>
            <w:r>
              <w:rPr>
                <w:w w:val="105"/>
                <w:sz w:val="19"/>
              </w:rPr>
              <w:t>8 950</w:t>
            </w:r>
          </w:p>
        </w:tc>
        <w:tc>
          <w:tcPr>
            <w:tcW w:w="839" w:type="dxa"/>
            <w:tcBorders>
              <w:top w:val="nil"/>
              <w:left w:val="nil"/>
              <w:bottom w:val="nil"/>
              <w:right w:val="nil"/>
            </w:tcBorders>
          </w:tcPr>
          <w:p>
            <w:pPr>
              <w:pStyle w:val="TableParagraph"/>
              <w:spacing w:line="216" w:lineRule="exact"/>
              <w:ind w:right="68"/>
              <w:rPr>
                <w:sz w:val="19"/>
              </w:rPr>
            </w:pPr>
            <w:r>
              <w:rPr>
                <w:sz w:val="19"/>
              </w:rPr>
              <w:t>9599</w:t>
            </w:r>
          </w:p>
        </w:tc>
        <w:tc>
          <w:tcPr>
            <w:tcW w:w="939" w:type="dxa"/>
            <w:tcBorders>
              <w:top w:val="nil"/>
              <w:left w:val="nil"/>
              <w:bottom w:val="nil"/>
              <w:right w:val="nil"/>
            </w:tcBorders>
          </w:tcPr>
          <w:p>
            <w:pPr>
              <w:pStyle w:val="TableParagraph"/>
              <w:spacing w:line="216" w:lineRule="exact"/>
              <w:ind w:right="66"/>
              <w:rPr>
                <w:sz w:val="19"/>
              </w:rPr>
            </w:pPr>
            <w:r>
              <w:rPr>
                <w:w w:val="105"/>
                <w:sz w:val="19"/>
              </w:rPr>
              <w:t>26 906</w:t>
            </w:r>
          </w:p>
        </w:tc>
      </w:tr>
      <w:tr>
        <w:trPr>
          <w:trHeight w:val="230" w:hRule="exact"/>
        </w:trPr>
        <w:tc>
          <w:tcPr>
            <w:tcW w:w="1982" w:type="dxa"/>
            <w:tcBorders>
              <w:top w:val="nil"/>
              <w:left w:val="nil"/>
              <w:bottom w:val="nil"/>
              <w:right w:val="nil"/>
            </w:tcBorders>
          </w:tcPr>
          <w:p>
            <w:pPr>
              <w:pStyle w:val="TableParagraph"/>
              <w:spacing w:line="216" w:lineRule="exact"/>
              <w:ind w:left="72"/>
              <w:jc w:val="left"/>
              <w:rPr>
                <w:sz w:val="19"/>
              </w:rPr>
            </w:pPr>
            <w:r>
              <w:rPr>
                <w:w w:val="105"/>
                <w:sz w:val="19"/>
              </w:rPr>
              <w:t>Colombia</w:t>
            </w:r>
          </w:p>
        </w:tc>
        <w:tc>
          <w:tcPr>
            <w:tcW w:w="791" w:type="dxa"/>
            <w:tcBorders>
              <w:top w:val="nil"/>
              <w:left w:val="nil"/>
              <w:bottom w:val="nil"/>
              <w:right w:val="nil"/>
            </w:tcBorders>
          </w:tcPr>
          <w:p>
            <w:pPr>
              <w:pStyle w:val="TableParagraph"/>
              <w:spacing w:line="216" w:lineRule="exact"/>
              <w:ind w:right="66"/>
              <w:rPr>
                <w:sz w:val="19"/>
              </w:rPr>
            </w:pPr>
            <w:r>
              <w:rPr>
                <w:w w:val="105"/>
                <w:sz w:val="19"/>
              </w:rPr>
              <w:t>10 412</w:t>
            </w:r>
          </w:p>
        </w:tc>
        <w:tc>
          <w:tcPr>
            <w:tcW w:w="803" w:type="dxa"/>
            <w:tcBorders>
              <w:top w:val="nil"/>
              <w:left w:val="nil"/>
              <w:bottom w:val="nil"/>
              <w:right w:val="nil"/>
            </w:tcBorders>
          </w:tcPr>
          <w:p>
            <w:pPr>
              <w:pStyle w:val="TableParagraph"/>
              <w:spacing w:line="216" w:lineRule="exact"/>
              <w:ind w:right="82"/>
              <w:rPr>
                <w:sz w:val="19"/>
              </w:rPr>
            </w:pPr>
            <w:r>
              <w:rPr>
                <w:w w:val="105"/>
                <w:sz w:val="19"/>
              </w:rPr>
              <w:t>24 702</w:t>
            </w:r>
          </w:p>
        </w:tc>
        <w:tc>
          <w:tcPr>
            <w:tcW w:w="953" w:type="dxa"/>
            <w:tcBorders>
              <w:top w:val="nil"/>
              <w:left w:val="nil"/>
              <w:bottom w:val="nil"/>
              <w:right w:val="nil"/>
            </w:tcBorders>
          </w:tcPr>
          <w:p>
            <w:pPr>
              <w:pStyle w:val="TableParagraph"/>
              <w:spacing w:line="216" w:lineRule="exact"/>
              <w:ind w:right="67"/>
              <w:rPr>
                <w:sz w:val="19"/>
              </w:rPr>
            </w:pPr>
            <w:r>
              <w:rPr>
                <w:w w:val="105"/>
                <w:sz w:val="19"/>
              </w:rPr>
              <w:t>118 046</w:t>
            </w:r>
          </w:p>
        </w:tc>
        <w:tc>
          <w:tcPr>
            <w:tcW w:w="839" w:type="dxa"/>
            <w:tcBorders>
              <w:top w:val="nil"/>
              <w:left w:val="nil"/>
              <w:bottom w:val="nil"/>
              <w:right w:val="nil"/>
            </w:tcBorders>
          </w:tcPr>
          <w:p>
            <w:pPr>
              <w:pStyle w:val="TableParagraph"/>
              <w:spacing w:line="216" w:lineRule="exact"/>
              <w:ind w:right="68"/>
              <w:rPr>
                <w:sz w:val="19"/>
              </w:rPr>
            </w:pPr>
            <w:r>
              <w:rPr>
                <w:sz w:val="19"/>
              </w:rPr>
              <w:t>129565</w:t>
            </w:r>
          </w:p>
        </w:tc>
        <w:tc>
          <w:tcPr>
            <w:tcW w:w="939" w:type="dxa"/>
            <w:tcBorders>
              <w:top w:val="nil"/>
              <w:left w:val="nil"/>
              <w:bottom w:val="nil"/>
              <w:right w:val="nil"/>
            </w:tcBorders>
          </w:tcPr>
          <w:p>
            <w:pPr>
              <w:pStyle w:val="TableParagraph"/>
              <w:spacing w:line="216" w:lineRule="exact"/>
              <w:ind w:right="68"/>
              <w:rPr>
                <w:sz w:val="19"/>
              </w:rPr>
            </w:pPr>
            <w:r>
              <w:rPr>
                <w:w w:val="105"/>
                <w:sz w:val="19"/>
              </w:rPr>
              <w:t>274 832</w:t>
            </w:r>
          </w:p>
        </w:tc>
      </w:tr>
      <w:tr>
        <w:trPr>
          <w:trHeight w:val="230" w:hRule="exact"/>
        </w:trPr>
        <w:tc>
          <w:tcPr>
            <w:tcW w:w="1982" w:type="dxa"/>
            <w:tcBorders>
              <w:top w:val="nil"/>
              <w:left w:val="nil"/>
              <w:bottom w:val="nil"/>
              <w:right w:val="nil"/>
            </w:tcBorders>
          </w:tcPr>
          <w:p>
            <w:pPr>
              <w:pStyle w:val="TableParagraph"/>
              <w:spacing w:line="216" w:lineRule="exact"/>
              <w:ind w:left="72"/>
              <w:jc w:val="left"/>
              <w:rPr>
                <w:sz w:val="19"/>
              </w:rPr>
            </w:pPr>
            <w:r>
              <w:rPr>
                <w:w w:val="105"/>
                <w:sz w:val="19"/>
              </w:rPr>
              <w:t>Costa Rica</w:t>
            </w:r>
          </w:p>
        </w:tc>
        <w:tc>
          <w:tcPr>
            <w:tcW w:w="791" w:type="dxa"/>
            <w:tcBorders>
              <w:top w:val="nil"/>
              <w:left w:val="nil"/>
              <w:bottom w:val="nil"/>
              <w:right w:val="nil"/>
            </w:tcBorders>
          </w:tcPr>
          <w:p>
            <w:pPr>
              <w:pStyle w:val="TableParagraph"/>
              <w:spacing w:line="216" w:lineRule="exact"/>
              <w:ind w:right="66"/>
              <w:rPr>
                <w:sz w:val="19"/>
              </w:rPr>
            </w:pPr>
            <w:r>
              <w:rPr>
                <w:sz w:val="19"/>
              </w:rPr>
              <w:t>290</w:t>
            </w:r>
          </w:p>
        </w:tc>
        <w:tc>
          <w:tcPr>
            <w:tcW w:w="803" w:type="dxa"/>
            <w:tcBorders>
              <w:top w:val="nil"/>
              <w:left w:val="nil"/>
              <w:bottom w:val="nil"/>
              <w:right w:val="nil"/>
            </w:tcBorders>
          </w:tcPr>
          <w:p>
            <w:pPr>
              <w:pStyle w:val="TableParagraph"/>
              <w:spacing w:line="216" w:lineRule="exact"/>
              <w:ind w:right="82"/>
              <w:rPr>
                <w:sz w:val="19"/>
              </w:rPr>
            </w:pPr>
            <w:r>
              <w:rPr>
                <w:sz w:val="19"/>
              </w:rPr>
              <w:t>289</w:t>
            </w:r>
          </w:p>
        </w:tc>
        <w:tc>
          <w:tcPr>
            <w:tcW w:w="953" w:type="dxa"/>
            <w:tcBorders>
              <w:top w:val="nil"/>
              <w:left w:val="nil"/>
              <w:bottom w:val="nil"/>
              <w:right w:val="nil"/>
            </w:tcBorders>
          </w:tcPr>
          <w:p>
            <w:pPr>
              <w:pStyle w:val="TableParagraph"/>
              <w:spacing w:line="216" w:lineRule="exact"/>
              <w:ind w:right="66"/>
              <w:rPr>
                <w:sz w:val="19"/>
              </w:rPr>
            </w:pPr>
            <w:r>
              <w:rPr>
                <w:sz w:val="19"/>
              </w:rPr>
              <w:t>337</w:t>
            </w:r>
          </w:p>
        </w:tc>
        <w:tc>
          <w:tcPr>
            <w:tcW w:w="839" w:type="dxa"/>
            <w:tcBorders>
              <w:top w:val="nil"/>
              <w:left w:val="nil"/>
              <w:bottom w:val="nil"/>
              <w:right w:val="nil"/>
            </w:tcBorders>
          </w:tcPr>
          <w:p>
            <w:pPr>
              <w:pStyle w:val="TableParagraph"/>
              <w:spacing w:line="216" w:lineRule="exact"/>
              <w:ind w:right="68"/>
              <w:rPr>
                <w:sz w:val="19"/>
              </w:rPr>
            </w:pPr>
            <w:r>
              <w:rPr>
                <w:sz w:val="19"/>
              </w:rPr>
              <w:t>356</w:t>
            </w:r>
          </w:p>
        </w:tc>
        <w:tc>
          <w:tcPr>
            <w:tcW w:w="939" w:type="dxa"/>
            <w:tcBorders>
              <w:top w:val="nil"/>
              <w:left w:val="nil"/>
              <w:bottom w:val="nil"/>
              <w:right w:val="nil"/>
            </w:tcBorders>
          </w:tcPr>
          <w:p>
            <w:pPr>
              <w:pStyle w:val="TableParagraph"/>
              <w:spacing w:line="216" w:lineRule="exact"/>
              <w:ind w:right="66"/>
              <w:rPr>
                <w:sz w:val="19"/>
              </w:rPr>
            </w:pPr>
            <w:r>
              <w:rPr>
                <w:sz w:val="19"/>
              </w:rPr>
              <w:t>830</w:t>
            </w:r>
          </w:p>
        </w:tc>
      </w:tr>
      <w:tr>
        <w:trPr>
          <w:trHeight w:val="228" w:hRule="exact"/>
        </w:trPr>
        <w:tc>
          <w:tcPr>
            <w:tcW w:w="1982" w:type="dxa"/>
            <w:tcBorders>
              <w:top w:val="nil"/>
              <w:left w:val="nil"/>
              <w:bottom w:val="nil"/>
              <w:right w:val="nil"/>
            </w:tcBorders>
          </w:tcPr>
          <w:p>
            <w:pPr>
              <w:pStyle w:val="TableParagraph"/>
              <w:spacing w:line="216" w:lineRule="exact"/>
              <w:ind w:left="72"/>
              <w:jc w:val="left"/>
              <w:rPr>
                <w:sz w:val="19"/>
              </w:rPr>
            </w:pPr>
            <w:r>
              <w:rPr>
                <w:w w:val="105"/>
                <w:sz w:val="19"/>
              </w:rPr>
              <w:t>Cuba</w:t>
            </w:r>
          </w:p>
        </w:tc>
        <w:tc>
          <w:tcPr>
            <w:tcW w:w="791" w:type="dxa"/>
            <w:tcBorders>
              <w:top w:val="nil"/>
              <w:left w:val="nil"/>
              <w:bottom w:val="nil"/>
              <w:right w:val="nil"/>
            </w:tcBorders>
          </w:tcPr>
          <w:p>
            <w:pPr>
              <w:pStyle w:val="TableParagraph"/>
              <w:spacing w:line="216" w:lineRule="exact"/>
              <w:ind w:right="66"/>
              <w:rPr>
                <w:sz w:val="19"/>
              </w:rPr>
            </w:pPr>
            <w:r>
              <w:rPr>
                <w:w w:val="105"/>
                <w:sz w:val="19"/>
              </w:rPr>
              <w:t>13 214</w:t>
            </w:r>
          </w:p>
        </w:tc>
        <w:tc>
          <w:tcPr>
            <w:tcW w:w="803" w:type="dxa"/>
            <w:tcBorders>
              <w:top w:val="nil"/>
              <w:left w:val="nil"/>
              <w:bottom w:val="nil"/>
              <w:right w:val="nil"/>
            </w:tcBorders>
          </w:tcPr>
          <w:p>
            <w:pPr>
              <w:pStyle w:val="TableParagraph"/>
              <w:spacing w:line="216" w:lineRule="exact"/>
              <w:ind w:right="82"/>
              <w:rPr>
                <w:sz w:val="19"/>
              </w:rPr>
            </w:pPr>
            <w:r>
              <w:rPr>
                <w:w w:val="105"/>
                <w:sz w:val="19"/>
              </w:rPr>
              <w:t>19 165</w:t>
            </w:r>
          </w:p>
        </w:tc>
        <w:tc>
          <w:tcPr>
            <w:tcW w:w="953" w:type="dxa"/>
            <w:tcBorders>
              <w:top w:val="nil"/>
              <w:left w:val="nil"/>
              <w:bottom w:val="nil"/>
              <w:right w:val="nil"/>
            </w:tcBorders>
          </w:tcPr>
          <w:p>
            <w:pPr>
              <w:pStyle w:val="TableParagraph"/>
              <w:spacing w:line="216" w:lineRule="exact"/>
              <w:ind w:right="67"/>
              <w:rPr>
                <w:sz w:val="19"/>
              </w:rPr>
            </w:pPr>
            <w:r>
              <w:rPr>
                <w:w w:val="105"/>
                <w:sz w:val="19"/>
              </w:rPr>
              <w:t>19 911</w:t>
            </w:r>
          </w:p>
        </w:tc>
        <w:tc>
          <w:tcPr>
            <w:tcW w:w="839" w:type="dxa"/>
            <w:tcBorders>
              <w:top w:val="nil"/>
              <w:left w:val="nil"/>
              <w:bottom w:val="nil"/>
              <w:right w:val="nil"/>
            </w:tcBorders>
          </w:tcPr>
          <w:p>
            <w:pPr>
              <w:pStyle w:val="TableParagraph"/>
              <w:spacing w:line="216" w:lineRule="exact"/>
              <w:ind w:right="68"/>
              <w:rPr>
                <w:sz w:val="19"/>
              </w:rPr>
            </w:pPr>
            <w:r>
              <w:rPr>
                <w:w w:val="105"/>
                <w:sz w:val="19"/>
              </w:rPr>
              <w:t>22 081</w:t>
            </w:r>
          </w:p>
        </w:tc>
        <w:tc>
          <w:tcPr>
            <w:tcW w:w="939" w:type="dxa"/>
            <w:tcBorders>
              <w:top w:val="nil"/>
              <w:left w:val="nil"/>
              <w:bottom w:val="nil"/>
              <w:right w:val="nil"/>
            </w:tcBorders>
          </w:tcPr>
          <w:p>
            <w:pPr>
              <w:pStyle w:val="TableParagraph"/>
              <w:spacing w:line="216" w:lineRule="exact"/>
              <w:ind w:right="66"/>
              <w:rPr>
                <w:sz w:val="19"/>
              </w:rPr>
            </w:pPr>
            <w:r>
              <w:rPr>
                <w:w w:val="105"/>
                <w:sz w:val="19"/>
              </w:rPr>
              <w:t>49 553</w:t>
            </w:r>
          </w:p>
        </w:tc>
      </w:tr>
      <w:tr>
        <w:trPr>
          <w:trHeight w:val="228" w:hRule="exact"/>
        </w:trPr>
        <w:tc>
          <w:tcPr>
            <w:tcW w:w="1982" w:type="dxa"/>
            <w:tcBorders>
              <w:top w:val="nil"/>
              <w:left w:val="nil"/>
              <w:bottom w:val="nil"/>
              <w:right w:val="nil"/>
            </w:tcBorders>
          </w:tcPr>
          <w:p>
            <w:pPr>
              <w:pStyle w:val="TableParagraph"/>
              <w:spacing w:line="214" w:lineRule="exact"/>
              <w:ind w:left="72"/>
              <w:jc w:val="left"/>
              <w:rPr>
                <w:sz w:val="19"/>
              </w:rPr>
            </w:pPr>
            <w:r>
              <w:rPr>
                <w:w w:val="105"/>
                <w:sz w:val="19"/>
              </w:rPr>
              <w:t>Ecuador</w:t>
            </w:r>
          </w:p>
        </w:tc>
        <w:tc>
          <w:tcPr>
            <w:tcW w:w="791" w:type="dxa"/>
            <w:tcBorders>
              <w:top w:val="nil"/>
              <w:left w:val="nil"/>
              <w:bottom w:val="nil"/>
              <w:right w:val="nil"/>
            </w:tcBorders>
          </w:tcPr>
          <w:p>
            <w:pPr>
              <w:pStyle w:val="TableParagraph"/>
              <w:spacing w:line="214" w:lineRule="exact"/>
              <w:ind w:right="66"/>
              <w:rPr>
                <w:sz w:val="19"/>
              </w:rPr>
            </w:pPr>
            <w:r>
              <w:rPr>
                <w:w w:val="105"/>
                <w:sz w:val="19"/>
              </w:rPr>
              <w:t>7 046</w:t>
            </w:r>
          </w:p>
        </w:tc>
        <w:tc>
          <w:tcPr>
            <w:tcW w:w="803" w:type="dxa"/>
            <w:tcBorders>
              <w:top w:val="nil"/>
              <w:left w:val="nil"/>
              <w:bottom w:val="nil"/>
              <w:right w:val="nil"/>
            </w:tcBorders>
          </w:tcPr>
          <w:p>
            <w:pPr>
              <w:pStyle w:val="TableParagraph"/>
              <w:spacing w:line="214" w:lineRule="exact"/>
              <w:ind w:right="82"/>
              <w:rPr>
                <w:sz w:val="19"/>
              </w:rPr>
            </w:pPr>
            <w:r>
              <w:rPr>
                <w:w w:val="105"/>
                <w:sz w:val="19"/>
              </w:rPr>
              <w:t>30 878</w:t>
            </w:r>
          </w:p>
        </w:tc>
        <w:tc>
          <w:tcPr>
            <w:tcW w:w="953" w:type="dxa"/>
            <w:tcBorders>
              <w:top w:val="nil"/>
              <w:left w:val="nil"/>
              <w:bottom w:val="nil"/>
              <w:right w:val="nil"/>
            </w:tcBorders>
          </w:tcPr>
          <w:p>
            <w:pPr>
              <w:pStyle w:val="TableParagraph"/>
              <w:spacing w:line="214" w:lineRule="exact"/>
              <w:ind w:right="67"/>
              <w:rPr>
                <w:sz w:val="19"/>
              </w:rPr>
            </w:pPr>
            <w:r>
              <w:rPr>
                <w:w w:val="105"/>
                <w:sz w:val="19"/>
              </w:rPr>
              <w:t>182 856</w:t>
            </w:r>
          </w:p>
        </w:tc>
        <w:tc>
          <w:tcPr>
            <w:tcW w:w="839" w:type="dxa"/>
            <w:tcBorders>
              <w:top w:val="nil"/>
              <w:left w:val="nil"/>
              <w:bottom w:val="nil"/>
              <w:right w:val="nil"/>
            </w:tcBorders>
          </w:tcPr>
          <w:p>
            <w:pPr>
              <w:pStyle w:val="TableParagraph"/>
              <w:spacing w:line="214" w:lineRule="exact"/>
              <w:ind w:right="68"/>
              <w:rPr>
                <w:sz w:val="19"/>
              </w:rPr>
            </w:pPr>
            <w:r>
              <w:rPr>
                <w:sz w:val="19"/>
              </w:rPr>
              <w:t>192988</w:t>
            </w:r>
          </w:p>
        </w:tc>
        <w:tc>
          <w:tcPr>
            <w:tcW w:w="939" w:type="dxa"/>
            <w:tcBorders>
              <w:top w:val="nil"/>
              <w:left w:val="nil"/>
              <w:bottom w:val="nil"/>
              <w:right w:val="nil"/>
            </w:tcBorders>
          </w:tcPr>
          <w:p>
            <w:pPr>
              <w:pStyle w:val="TableParagraph"/>
              <w:spacing w:line="214" w:lineRule="exact"/>
              <w:ind w:right="68"/>
              <w:rPr>
                <w:sz w:val="19"/>
              </w:rPr>
            </w:pPr>
            <w:r>
              <w:rPr>
                <w:w w:val="105"/>
                <w:sz w:val="19"/>
              </w:rPr>
              <w:t>421 527</w:t>
            </w:r>
          </w:p>
        </w:tc>
      </w:tr>
      <w:tr>
        <w:trPr>
          <w:trHeight w:val="230" w:hRule="exact"/>
        </w:trPr>
        <w:tc>
          <w:tcPr>
            <w:tcW w:w="1982" w:type="dxa"/>
            <w:tcBorders>
              <w:top w:val="nil"/>
              <w:left w:val="nil"/>
              <w:bottom w:val="nil"/>
              <w:right w:val="nil"/>
            </w:tcBorders>
          </w:tcPr>
          <w:p>
            <w:pPr>
              <w:pStyle w:val="TableParagraph"/>
              <w:spacing w:line="216" w:lineRule="exact"/>
              <w:ind w:left="72"/>
              <w:jc w:val="left"/>
              <w:rPr>
                <w:sz w:val="19"/>
              </w:rPr>
            </w:pPr>
            <w:r>
              <w:rPr>
                <w:w w:val="105"/>
                <w:sz w:val="19"/>
              </w:rPr>
              <w:t>El Salvador</w:t>
            </w:r>
          </w:p>
        </w:tc>
        <w:tc>
          <w:tcPr>
            <w:tcW w:w="791" w:type="dxa"/>
            <w:tcBorders>
              <w:top w:val="nil"/>
              <w:left w:val="nil"/>
              <w:bottom w:val="nil"/>
              <w:right w:val="nil"/>
            </w:tcBorders>
          </w:tcPr>
          <w:p>
            <w:pPr>
              <w:pStyle w:val="TableParagraph"/>
              <w:spacing w:line="216" w:lineRule="exact"/>
              <w:ind w:right="66"/>
              <w:rPr>
                <w:sz w:val="19"/>
              </w:rPr>
            </w:pPr>
            <w:r>
              <w:rPr>
                <w:sz w:val="19"/>
              </w:rPr>
              <w:t>902</w:t>
            </w:r>
          </w:p>
        </w:tc>
        <w:tc>
          <w:tcPr>
            <w:tcW w:w="803" w:type="dxa"/>
            <w:tcBorders>
              <w:top w:val="nil"/>
              <w:left w:val="nil"/>
              <w:bottom w:val="nil"/>
              <w:right w:val="nil"/>
            </w:tcBorders>
          </w:tcPr>
          <w:p>
            <w:pPr>
              <w:pStyle w:val="TableParagraph"/>
              <w:spacing w:line="216" w:lineRule="exact"/>
              <w:ind w:right="82"/>
              <w:rPr>
                <w:sz w:val="19"/>
              </w:rPr>
            </w:pPr>
            <w:r>
              <w:rPr>
                <w:sz w:val="19"/>
              </w:rPr>
              <w:t>936</w:t>
            </w:r>
          </w:p>
        </w:tc>
        <w:tc>
          <w:tcPr>
            <w:tcW w:w="953" w:type="dxa"/>
            <w:tcBorders>
              <w:top w:val="nil"/>
              <w:left w:val="nil"/>
              <w:bottom w:val="nil"/>
              <w:right w:val="nil"/>
            </w:tcBorders>
          </w:tcPr>
          <w:p>
            <w:pPr>
              <w:pStyle w:val="TableParagraph"/>
              <w:spacing w:line="216" w:lineRule="exact"/>
              <w:ind w:right="66"/>
              <w:rPr>
                <w:sz w:val="19"/>
              </w:rPr>
            </w:pPr>
            <w:r>
              <w:rPr>
                <w:w w:val="105"/>
                <w:sz w:val="19"/>
              </w:rPr>
              <w:t>1 159</w:t>
            </w:r>
          </w:p>
        </w:tc>
        <w:tc>
          <w:tcPr>
            <w:tcW w:w="839" w:type="dxa"/>
            <w:tcBorders>
              <w:top w:val="nil"/>
              <w:left w:val="nil"/>
              <w:bottom w:val="nil"/>
              <w:right w:val="nil"/>
            </w:tcBorders>
          </w:tcPr>
          <w:p>
            <w:pPr>
              <w:pStyle w:val="TableParagraph"/>
              <w:spacing w:line="216" w:lineRule="exact"/>
              <w:ind w:right="68"/>
              <w:rPr>
                <w:sz w:val="19"/>
              </w:rPr>
            </w:pPr>
            <w:r>
              <w:rPr>
                <w:w w:val="105"/>
                <w:sz w:val="19"/>
              </w:rPr>
              <w:t>1 234</w:t>
            </w:r>
          </w:p>
        </w:tc>
        <w:tc>
          <w:tcPr>
            <w:tcW w:w="939" w:type="dxa"/>
            <w:tcBorders>
              <w:top w:val="nil"/>
              <w:left w:val="nil"/>
              <w:bottom w:val="nil"/>
              <w:right w:val="nil"/>
            </w:tcBorders>
          </w:tcPr>
          <w:p>
            <w:pPr>
              <w:pStyle w:val="TableParagraph"/>
              <w:spacing w:line="216" w:lineRule="exact"/>
              <w:ind w:right="66"/>
              <w:rPr>
                <w:sz w:val="19"/>
              </w:rPr>
            </w:pPr>
            <w:r>
              <w:rPr>
                <w:w w:val="105"/>
                <w:sz w:val="19"/>
              </w:rPr>
              <w:t>2 544</w:t>
            </w:r>
          </w:p>
        </w:tc>
      </w:tr>
      <w:tr>
        <w:trPr>
          <w:trHeight w:val="230" w:hRule="exact"/>
        </w:trPr>
        <w:tc>
          <w:tcPr>
            <w:tcW w:w="1982" w:type="dxa"/>
            <w:tcBorders>
              <w:top w:val="nil"/>
              <w:left w:val="nil"/>
              <w:bottom w:val="nil"/>
              <w:right w:val="nil"/>
            </w:tcBorders>
          </w:tcPr>
          <w:p>
            <w:pPr>
              <w:pStyle w:val="TableParagraph"/>
              <w:spacing w:line="216" w:lineRule="exact"/>
              <w:ind w:left="72"/>
              <w:jc w:val="left"/>
              <w:rPr>
                <w:sz w:val="19"/>
              </w:rPr>
            </w:pPr>
            <w:r>
              <w:rPr>
                <w:w w:val="105"/>
                <w:sz w:val="19"/>
              </w:rPr>
              <w:t>Guatemala</w:t>
            </w:r>
          </w:p>
        </w:tc>
        <w:tc>
          <w:tcPr>
            <w:tcW w:w="791" w:type="dxa"/>
            <w:tcBorders>
              <w:top w:val="nil"/>
              <w:left w:val="nil"/>
              <w:bottom w:val="nil"/>
              <w:right w:val="nil"/>
            </w:tcBorders>
          </w:tcPr>
          <w:p>
            <w:pPr>
              <w:pStyle w:val="TableParagraph"/>
              <w:spacing w:line="216" w:lineRule="exact"/>
              <w:ind w:right="66"/>
              <w:rPr>
                <w:sz w:val="19"/>
              </w:rPr>
            </w:pPr>
            <w:r>
              <w:rPr>
                <w:sz w:val="19"/>
              </w:rPr>
              <w:t>506</w:t>
            </w:r>
          </w:p>
        </w:tc>
        <w:tc>
          <w:tcPr>
            <w:tcW w:w="803" w:type="dxa"/>
            <w:tcBorders>
              <w:top w:val="nil"/>
              <w:left w:val="nil"/>
              <w:bottom w:val="nil"/>
              <w:right w:val="nil"/>
            </w:tcBorders>
          </w:tcPr>
          <w:p>
            <w:pPr>
              <w:pStyle w:val="TableParagraph"/>
              <w:spacing w:line="216" w:lineRule="exact"/>
              <w:ind w:right="82"/>
              <w:rPr>
                <w:sz w:val="19"/>
              </w:rPr>
            </w:pPr>
            <w:r>
              <w:rPr>
                <w:sz w:val="19"/>
              </w:rPr>
              <w:t>518</w:t>
            </w:r>
          </w:p>
        </w:tc>
        <w:tc>
          <w:tcPr>
            <w:tcW w:w="953" w:type="dxa"/>
            <w:tcBorders>
              <w:top w:val="nil"/>
              <w:left w:val="nil"/>
              <w:bottom w:val="nil"/>
              <w:right w:val="nil"/>
            </w:tcBorders>
          </w:tcPr>
          <w:p>
            <w:pPr>
              <w:pStyle w:val="TableParagraph"/>
              <w:spacing w:line="216" w:lineRule="exact"/>
              <w:ind w:right="66"/>
              <w:rPr>
                <w:sz w:val="19"/>
              </w:rPr>
            </w:pPr>
            <w:r>
              <w:rPr>
                <w:sz w:val="19"/>
              </w:rPr>
              <w:t>693</w:t>
            </w:r>
          </w:p>
        </w:tc>
        <w:tc>
          <w:tcPr>
            <w:tcW w:w="839" w:type="dxa"/>
            <w:tcBorders>
              <w:top w:val="nil"/>
              <w:left w:val="nil"/>
              <w:bottom w:val="nil"/>
              <w:right w:val="nil"/>
            </w:tcBorders>
          </w:tcPr>
          <w:p>
            <w:pPr>
              <w:pStyle w:val="TableParagraph"/>
              <w:spacing w:line="216" w:lineRule="exact"/>
              <w:ind w:right="68"/>
              <w:rPr>
                <w:sz w:val="19"/>
              </w:rPr>
            </w:pPr>
            <w:r>
              <w:rPr>
                <w:sz w:val="19"/>
              </w:rPr>
              <w:t>719</w:t>
            </w:r>
          </w:p>
        </w:tc>
        <w:tc>
          <w:tcPr>
            <w:tcW w:w="939" w:type="dxa"/>
            <w:tcBorders>
              <w:top w:val="nil"/>
              <w:left w:val="nil"/>
              <w:bottom w:val="nil"/>
              <w:right w:val="nil"/>
            </w:tcBorders>
          </w:tcPr>
          <w:p>
            <w:pPr>
              <w:pStyle w:val="TableParagraph"/>
              <w:spacing w:line="216" w:lineRule="exact"/>
              <w:ind w:right="66"/>
              <w:rPr>
                <w:sz w:val="19"/>
              </w:rPr>
            </w:pPr>
            <w:r>
              <w:rPr>
                <w:w w:val="105"/>
                <w:sz w:val="19"/>
              </w:rPr>
              <w:t>1 428</w:t>
            </w:r>
          </w:p>
        </w:tc>
      </w:tr>
      <w:tr>
        <w:trPr>
          <w:trHeight w:val="230" w:hRule="exact"/>
        </w:trPr>
        <w:tc>
          <w:tcPr>
            <w:tcW w:w="1982" w:type="dxa"/>
            <w:tcBorders>
              <w:top w:val="nil"/>
              <w:left w:val="nil"/>
              <w:bottom w:val="nil"/>
              <w:right w:val="nil"/>
            </w:tcBorders>
          </w:tcPr>
          <w:p>
            <w:pPr>
              <w:pStyle w:val="TableParagraph"/>
              <w:spacing w:line="216" w:lineRule="exact"/>
              <w:ind w:left="72"/>
              <w:jc w:val="left"/>
              <w:rPr>
                <w:sz w:val="19"/>
              </w:rPr>
            </w:pPr>
            <w:r>
              <w:rPr>
                <w:w w:val="105"/>
                <w:sz w:val="19"/>
              </w:rPr>
              <w:t>Honduras</w:t>
            </w:r>
          </w:p>
        </w:tc>
        <w:tc>
          <w:tcPr>
            <w:tcW w:w="791" w:type="dxa"/>
            <w:tcBorders>
              <w:top w:val="nil"/>
              <w:left w:val="nil"/>
              <w:bottom w:val="nil"/>
              <w:right w:val="nil"/>
            </w:tcBorders>
          </w:tcPr>
          <w:p>
            <w:pPr>
              <w:pStyle w:val="TableParagraph"/>
              <w:spacing w:line="216" w:lineRule="exact"/>
              <w:ind w:right="66"/>
              <w:rPr>
                <w:sz w:val="19"/>
              </w:rPr>
            </w:pPr>
            <w:r>
              <w:rPr>
                <w:sz w:val="19"/>
              </w:rPr>
              <w:t>872</w:t>
            </w:r>
          </w:p>
        </w:tc>
        <w:tc>
          <w:tcPr>
            <w:tcW w:w="803" w:type="dxa"/>
            <w:tcBorders>
              <w:top w:val="nil"/>
              <w:left w:val="nil"/>
              <w:bottom w:val="nil"/>
              <w:right w:val="nil"/>
            </w:tcBorders>
          </w:tcPr>
          <w:p>
            <w:pPr>
              <w:pStyle w:val="TableParagraph"/>
              <w:spacing w:line="216" w:lineRule="exact"/>
              <w:ind w:right="82"/>
              <w:rPr>
                <w:sz w:val="19"/>
              </w:rPr>
            </w:pPr>
            <w:r>
              <w:rPr>
                <w:w w:val="105"/>
                <w:sz w:val="19"/>
              </w:rPr>
              <w:t>1 244</w:t>
            </w:r>
          </w:p>
        </w:tc>
        <w:tc>
          <w:tcPr>
            <w:tcW w:w="953" w:type="dxa"/>
            <w:tcBorders>
              <w:top w:val="nil"/>
              <w:left w:val="nil"/>
              <w:bottom w:val="nil"/>
              <w:right w:val="nil"/>
            </w:tcBorders>
          </w:tcPr>
          <w:p>
            <w:pPr>
              <w:pStyle w:val="TableParagraph"/>
              <w:spacing w:line="216" w:lineRule="exact"/>
              <w:ind w:right="66"/>
              <w:rPr>
                <w:sz w:val="19"/>
              </w:rPr>
            </w:pPr>
            <w:r>
              <w:rPr>
                <w:w w:val="105"/>
                <w:sz w:val="19"/>
              </w:rPr>
              <w:t>2 700</w:t>
            </w:r>
          </w:p>
        </w:tc>
        <w:tc>
          <w:tcPr>
            <w:tcW w:w="839" w:type="dxa"/>
            <w:tcBorders>
              <w:top w:val="nil"/>
              <w:left w:val="nil"/>
              <w:bottom w:val="nil"/>
              <w:right w:val="nil"/>
            </w:tcBorders>
          </w:tcPr>
          <w:p>
            <w:pPr>
              <w:pStyle w:val="TableParagraph"/>
              <w:spacing w:line="216" w:lineRule="exact"/>
              <w:ind w:right="68"/>
              <w:rPr>
                <w:sz w:val="19"/>
              </w:rPr>
            </w:pPr>
            <w:r>
              <w:rPr>
                <w:w w:val="105"/>
                <w:sz w:val="19"/>
              </w:rPr>
              <w:t>2 741</w:t>
            </w:r>
          </w:p>
        </w:tc>
        <w:tc>
          <w:tcPr>
            <w:tcW w:w="939" w:type="dxa"/>
            <w:tcBorders>
              <w:top w:val="nil"/>
              <w:left w:val="nil"/>
              <w:bottom w:val="nil"/>
              <w:right w:val="nil"/>
            </w:tcBorders>
          </w:tcPr>
          <w:p>
            <w:pPr>
              <w:pStyle w:val="TableParagraph"/>
              <w:spacing w:line="216" w:lineRule="exact"/>
              <w:ind w:right="66"/>
              <w:rPr>
                <w:sz w:val="19"/>
              </w:rPr>
            </w:pPr>
            <w:r>
              <w:rPr>
                <w:w w:val="105"/>
                <w:sz w:val="19"/>
              </w:rPr>
              <w:t>7 322</w:t>
            </w:r>
          </w:p>
        </w:tc>
      </w:tr>
      <w:tr>
        <w:trPr>
          <w:trHeight w:val="230" w:hRule="exact"/>
        </w:trPr>
        <w:tc>
          <w:tcPr>
            <w:tcW w:w="1982" w:type="dxa"/>
            <w:tcBorders>
              <w:top w:val="nil"/>
              <w:left w:val="nil"/>
              <w:bottom w:val="nil"/>
              <w:right w:val="nil"/>
            </w:tcBorders>
          </w:tcPr>
          <w:p>
            <w:pPr>
              <w:pStyle w:val="TableParagraph"/>
              <w:spacing w:line="216" w:lineRule="exact"/>
              <w:ind w:left="72"/>
              <w:jc w:val="left"/>
              <w:rPr>
                <w:sz w:val="19"/>
              </w:rPr>
            </w:pPr>
            <w:r>
              <w:rPr>
                <w:w w:val="105"/>
                <w:sz w:val="19"/>
              </w:rPr>
              <w:t>México</w:t>
            </w:r>
          </w:p>
        </w:tc>
        <w:tc>
          <w:tcPr>
            <w:tcW w:w="791" w:type="dxa"/>
            <w:tcBorders>
              <w:top w:val="nil"/>
              <w:left w:val="nil"/>
              <w:bottom w:val="nil"/>
              <w:right w:val="nil"/>
            </w:tcBorders>
          </w:tcPr>
          <w:p>
            <w:pPr>
              <w:pStyle w:val="TableParagraph"/>
              <w:spacing w:line="216" w:lineRule="exact"/>
              <w:ind w:right="66"/>
              <w:rPr>
                <w:sz w:val="19"/>
              </w:rPr>
            </w:pPr>
            <w:r>
              <w:rPr>
                <w:w w:val="105"/>
                <w:sz w:val="19"/>
              </w:rPr>
              <w:t>4 360</w:t>
            </w:r>
          </w:p>
        </w:tc>
        <w:tc>
          <w:tcPr>
            <w:tcW w:w="803" w:type="dxa"/>
            <w:tcBorders>
              <w:top w:val="nil"/>
              <w:left w:val="nil"/>
              <w:bottom w:val="nil"/>
              <w:right w:val="nil"/>
            </w:tcBorders>
          </w:tcPr>
          <w:p>
            <w:pPr>
              <w:pStyle w:val="TableParagraph"/>
              <w:spacing w:line="216" w:lineRule="exact"/>
              <w:ind w:right="82"/>
              <w:rPr>
                <w:sz w:val="19"/>
              </w:rPr>
            </w:pPr>
            <w:r>
              <w:rPr>
                <w:w w:val="105"/>
                <w:sz w:val="19"/>
              </w:rPr>
              <w:t>4 739</w:t>
            </w:r>
          </w:p>
        </w:tc>
        <w:tc>
          <w:tcPr>
            <w:tcW w:w="953" w:type="dxa"/>
            <w:tcBorders>
              <w:top w:val="nil"/>
              <w:left w:val="nil"/>
              <w:bottom w:val="nil"/>
              <w:right w:val="nil"/>
            </w:tcBorders>
          </w:tcPr>
          <w:p>
            <w:pPr>
              <w:pStyle w:val="TableParagraph"/>
              <w:spacing w:line="216" w:lineRule="exact"/>
              <w:ind w:right="66"/>
              <w:rPr>
                <w:sz w:val="19"/>
              </w:rPr>
            </w:pPr>
            <w:r>
              <w:rPr>
                <w:w w:val="105"/>
                <w:sz w:val="19"/>
              </w:rPr>
              <w:t>5 942</w:t>
            </w:r>
          </w:p>
        </w:tc>
        <w:tc>
          <w:tcPr>
            <w:tcW w:w="839" w:type="dxa"/>
            <w:tcBorders>
              <w:top w:val="nil"/>
              <w:left w:val="nil"/>
              <w:bottom w:val="nil"/>
              <w:right w:val="nil"/>
            </w:tcBorders>
          </w:tcPr>
          <w:p>
            <w:pPr>
              <w:pStyle w:val="TableParagraph"/>
              <w:spacing w:line="216" w:lineRule="exact"/>
              <w:ind w:right="68"/>
              <w:rPr>
                <w:sz w:val="19"/>
              </w:rPr>
            </w:pPr>
            <w:r>
              <w:rPr>
                <w:w w:val="105"/>
                <w:sz w:val="19"/>
              </w:rPr>
              <w:t>6 677</w:t>
            </w:r>
          </w:p>
        </w:tc>
        <w:tc>
          <w:tcPr>
            <w:tcW w:w="939" w:type="dxa"/>
            <w:tcBorders>
              <w:top w:val="nil"/>
              <w:left w:val="nil"/>
              <w:bottom w:val="nil"/>
              <w:right w:val="nil"/>
            </w:tcBorders>
          </w:tcPr>
          <w:p>
            <w:pPr>
              <w:pStyle w:val="TableParagraph"/>
              <w:spacing w:line="216" w:lineRule="exact"/>
              <w:ind w:right="66"/>
              <w:rPr>
                <w:sz w:val="19"/>
              </w:rPr>
            </w:pPr>
            <w:r>
              <w:rPr>
                <w:w w:val="105"/>
                <w:sz w:val="19"/>
              </w:rPr>
              <w:t>14 339</w:t>
            </w:r>
          </w:p>
        </w:tc>
      </w:tr>
      <w:tr>
        <w:trPr>
          <w:trHeight w:val="230" w:hRule="exact"/>
        </w:trPr>
        <w:tc>
          <w:tcPr>
            <w:tcW w:w="1982" w:type="dxa"/>
            <w:tcBorders>
              <w:top w:val="nil"/>
              <w:left w:val="nil"/>
              <w:bottom w:val="nil"/>
              <w:right w:val="nil"/>
            </w:tcBorders>
          </w:tcPr>
          <w:p>
            <w:pPr>
              <w:pStyle w:val="TableParagraph"/>
              <w:spacing w:line="216" w:lineRule="exact"/>
              <w:ind w:left="72"/>
              <w:jc w:val="left"/>
              <w:rPr>
                <w:sz w:val="19"/>
              </w:rPr>
            </w:pPr>
            <w:r>
              <w:rPr>
                <w:w w:val="105"/>
                <w:sz w:val="19"/>
              </w:rPr>
              <w:t>Nicaragua</w:t>
            </w:r>
          </w:p>
        </w:tc>
        <w:tc>
          <w:tcPr>
            <w:tcW w:w="791" w:type="dxa"/>
            <w:tcBorders>
              <w:top w:val="nil"/>
              <w:left w:val="nil"/>
              <w:bottom w:val="nil"/>
              <w:right w:val="nil"/>
            </w:tcBorders>
          </w:tcPr>
          <w:p>
            <w:pPr>
              <w:pStyle w:val="TableParagraph"/>
              <w:spacing w:line="216" w:lineRule="exact"/>
              <w:ind w:right="66"/>
              <w:rPr>
                <w:sz w:val="19"/>
              </w:rPr>
            </w:pPr>
            <w:r>
              <w:rPr>
                <w:sz w:val="19"/>
              </w:rPr>
              <w:t>501</w:t>
            </w:r>
          </w:p>
        </w:tc>
        <w:tc>
          <w:tcPr>
            <w:tcW w:w="803" w:type="dxa"/>
            <w:tcBorders>
              <w:top w:val="nil"/>
              <w:left w:val="nil"/>
              <w:bottom w:val="nil"/>
              <w:right w:val="nil"/>
            </w:tcBorders>
          </w:tcPr>
          <w:p>
            <w:pPr>
              <w:pStyle w:val="TableParagraph"/>
              <w:spacing w:line="216" w:lineRule="exact"/>
              <w:ind w:right="82"/>
              <w:rPr>
                <w:sz w:val="19"/>
              </w:rPr>
            </w:pPr>
            <w:r>
              <w:rPr>
                <w:sz w:val="19"/>
              </w:rPr>
              <w:t>490</w:t>
            </w:r>
          </w:p>
        </w:tc>
        <w:tc>
          <w:tcPr>
            <w:tcW w:w="953" w:type="dxa"/>
            <w:tcBorders>
              <w:top w:val="nil"/>
              <w:left w:val="nil"/>
              <w:bottom w:val="nil"/>
              <w:right w:val="nil"/>
            </w:tcBorders>
          </w:tcPr>
          <w:p>
            <w:pPr>
              <w:pStyle w:val="TableParagraph"/>
              <w:spacing w:line="216" w:lineRule="exact"/>
              <w:ind w:right="66"/>
              <w:rPr>
                <w:sz w:val="19"/>
              </w:rPr>
            </w:pPr>
            <w:r>
              <w:rPr>
                <w:sz w:val="19"/>
              </w:rPr>
              <w:t>760</w:t>
            </w:r>
          </w:p>
        </w:tc>
        <w:tc>
          <w:tcPr>
            <w:tcW w:w="839" w:type="dxa"/>
            <w:tcBorders>
              <w:top w:val="nil"/>
              <w:left w:val="nil"/>
              <w:bottom w:val="nil"/>
              <w:right w:val="nil"/>
            </w:tcBorders>
          </w:tcPr>
          <w:p>
            <w:pPr>
              <w:pStyle w:val="TableParagraph"/>
              <w:spacing w:line="216" w:lineRule="exact"/>
              <w:ind w:right="68"/>
              <w:rPr>
                <w:sz w:val="19"/>
              </w:rPr>
            </w:pPr>
            <w:r>
              <w:rPr>
                <w:sz w:val="19"/>
              </w:rPr>
              <w:t>829</w:t>
            </w:r>
          </w:p>
        </w:tc>
        <w:tc>
          <w:tcPr>
            <w:tcW w:w="939" w:type="dxa"/>
            <w:tcBorders>
              <w:top w:val="nil"/>
              <w:left w:val="nil"/>
              <w:bottom w:val="nil"/>
              <w:right w:val="nil"/>
            </w:tcBorders>
          </w:tcPr>
          <w:p>
            <w:pPr>
              <w:pStyle w:val="TableParagraph"/>
              <w:spacing w:line="216" w:lineRule="exact"/>
              <w:ind w:right="66"/>
              <w:rPr>
                <w:sz w:val="19"/>
              </w:rPr>
            </w:pPr>
            <w:r>
              <w:rPr>
                <w:w w:val="105"/>
                <w:sz w:val="19"/>
              </w:rPr>
              <w:t>2 640</w:t>
            </w:r>
          </w:p>
        </w:tc>
      </w:tr>
      <w:tr>
        <w:trPr>
          <w:trHeight w:val="230" w:hRule="exact"/>
        </w:trPr>
        <w:tc>
          <w:tcPr>
            <w:tcW w:w="1982" w:type="dxa"/>
            <w:tcBorders>
              <w:top w:val="nil"/>
              <w:left w:val="nil"/>
              <w:bottom w:val="nil"/>
              <w:right w:val="nil"/>
            </w:tcBorders>
          </w:tcPr>
          <w:p>
            <w:pPr>
              <w:pStyle w:val="TableParagraph"/>
              <w:spacing w:line="216" w:lineRule="exact"/>
              <w:ind w:left="72"/>
              <w:jc w:val="left"/>
              <w:rPr>
                <w:sz w:val="19"/>
              </w:rPr>
            </w:pPr>
            <w:r>
              <w:rPr>
                <w:w w:val="105"/>
                <w:sz w:val="19"/>
              </w:rPr>
              <w:t>Panamá</w:t>
            </w:r>
          </w:p>
        </w:tc>
        <w:tc>
          <w:tcPr>
            <w:tcW w:w="791" w:type="dxa"/>
            <w:tcBorders>
              <w:top w:val="nil"/>
              <w:left w:val="nil"/>
              <w:bottom w:val="nil"/>
              <w:right w:val="nil"/>
            </w:tcBorders>
          </w:tcPr>
          <w:p>
            <w:pPr>
              <w:pStyle w:val="TableParagraph"/>
              <w:spacing w:line="216" w:lineRule="exact"/>
              <w:ind w:right="66"/>
              <w:rPr>
                <w:sz w:val="19"/>
              </w:rPr>
            </w:pPr>
            <w:r>
              <w:rPr>
                <w:sz w:val="19"/>
              </w:rPr>
              <w:t>366</w:t>
            </w:r>
          </w:p>
        </w:tc>
        <w:tc>
          <w:tcPr>
            <w:tcW w:w="803" w:type="dxa"/>
            <w:tcBorders>
              <w:top w:val="nil"/>
              <w:left w:val="nil"/>
              <w:bottom w:val="nil"/>
              <w:right w:val="nil"/>
            </w:tcBorders>
          </w:tcPr>
          <w:p>
            <w:pPr>
              <w:pStyle w:val="TableParagraph"/>
              <w:spacing w:line="216" w:lineRule="exact"/>
              <w:ind w:right="82"/>
              <w:rPr>
                <w:sz w:val="19"/>
              </w:rPr>
            </w:pPr>
            <w:r>
              <w:rPr>
                <w:sz w:val="19"/>
              </w:rPr>
              <w:t>342</w:t>
            </w:r>
          </w:p>
        </w:tc>
        <w:tc>
          <w:tcPr>
            <w:tcW w:w="953" w:type="dxa"/>
            <w:tcBorders>
              <w:top w:val="nil"/>
              <w:left w:val="nil"/>
              <w:bottom w:val="nil"/>
              <w:right w:val="nil"/>
            </w:tcBorders>
          </w:tcPr>
          <w:p>
            <w:pPr>
              <w:pStyle w:val="TableParagraph"/>
              <w:spacing w:line="216" w:lineRule="exact"/>
              <w:ind w:right="66"/>
              <w:rPr>
                <w:sz w:val="19"/>
              </w:rPr>
            </w:pPr>
            <w:r>
              <w:rPr>
                <w:sz w:val="19"/>
              </w:rPr>
              <w:t>451</w:t>
            </w:r>
          </w:p>
        </w:tc>
        <w:tc>
          <w:tcPr>
            <w:tcW w:w="839" w:type="dxa"/>
            <w:tcBorders>
              <w:top w:val="nil"/>
              <w:left w:val="nil"/>
              <w:bottom w:val="nil"/>
              <w:right w:val="nil"/>
            </w:tcBorders>
          </w:tcPr>
          <w:p>
            <w:pPr>
              <w:pStyle w:val="TableParagraph"/>
              <w:spacing w:line="216" w:lineRule="exact"/>
              <w:ind w:right="68"/>
              <w:rPr>
                <w:sz w:val="19"/>
              </w:rPr>
            </w:pPr>
            <w:r>
              <w:rPr>
                <w:sz w:val="19"/>
              </w:rPr>
              <w:t>481</w:t>
            </w:r>
          </w:p>
        </w:tc>
        <w:tc>
          <w:tcPr>
            <w:tcW w:w="939" w:type="dxa"/>
            <w:tcBorders>
              <w:top w:val="nil"/>
              <w:left w:val="nil"/>
              <w:bottom w:val="nil"/>
              <w:right w:val="nil"/>
            </w:tcBorders>
          </w:tcPr>
          <w:p>
            <w:pPr>
              <w:pStyle w:val="TableParagraph"/>
              <w:spacing w:line="216" w:lineRule="exact"/>
              <w:ind w:right="66"/>
              <w:rPr>
                <w:sz w:val="19"/>
              </w:rPr>
            </w:pPr>
            <w:r>
              <w:rPr>
                <w:w w:val="105"/>
                <w:sz w:val="19"/>
              </w:rPr>
              <w:t>1 126</w:t>
            </w:r>
          </w:p>
        </w:tc>
      </w:tr>
      <w:tr>
        <w:trPr>
          <w:trHeight w:val="230" w:hRule="exact"/>
        </w:trPr>
        <w:tc>
          <w:tcPr>
            <w:tcW w:w="1982" w:type="dxa"/>
            <w:tcBorders>
              <w:top w:val="nil"/>
              <w:left w:val="nil"/>
              <w:bottom w:val="nil"/>
              <w:right w:val="nil"/>
            </w:tcBorders>
          </w:tcPr>
          <w:p>
            <w:pPr>
              <w:pStyle w:val="TableParagraph"/>
              <w:spacing w:line="216" w:lineRule="exact"/>
              <w:ind w:left="72"/>
              <w:jc w:val="left"/>
              <w:rPr>
                <w:sz w:val="19"/>
              </w:rPr>
            </w:pPr>
            <w:r>
              <w:rPr>
                <w:w w:val="105"/>
                <w:sz w:val="19"/>
              </w:rPr>
              <w:t>Paraguay</w:t>
            </w:r>
          </w:p>
        </w:tc>
        <w:tc>
          <w:tcPr>
            <w:tcW w:w="791" w:type="dxa"/>
            <w:tcBorders>
              <w:top w:val="nil"/>
              <w:left w:val="nil"/>
              <w:bottom w:val="nil"/>
              <w:right w:val="nil"/>
            </w:tcBorders>
          </w:tcPr>
          <w:p>
            <w:pPr>
              <w:pStyle w:val="TableParagraph"/>
              <w:spacing w:line="216" w:lineRule="exact"/>
              <w:ind w:right="66"/>
              <w:rPr>
                <w:sz w:val="19"/>
              </w:rPr>
            </w:pPr>
            <w:r>
              <w:rPr>
                <w:sz w:val="19"/>
              </w:rPr>
              <w:t>512</w:t>
            </w:r>
          </w:p>
        </w:tc>
        <w:tc>
          <w:tcPr>
            <w:tcW w:w="803" w:type="dxa"/>
            <w:tcBorders>
              <w:top w:val="nil"/>
              <w:left w:val="nil"/>
              <w:bottom w:val="nil"/>
              <w:right w:val="nil"/>
            </w:tcBorders>
          </w:tcPr>
          <w:p>
            <w:pPr>
              <w:pStyle w:val="TableParagraph"/>
              <w:spacing w:line="216" w:lineRule="exact"/>
              <w:ind w:right="82"/>
              <w:rPr>
                <w:sz w:val="19"/>
              </w:rPr>
            </w:pPr>
            <w:r>
              <w:rPr>
                <w:sz w:val="19"/>
              </w:rPr>
              <w:t>524</w:t>
            </w:r>
          </w:p>
        </w:tc>
        <w:tc>
          <w:tcPr>
            <w:tcW w:w="953" w:type="dxa"/>
            <w:tcBorders>
              <w:top w:val="nil"/>
              <w:left w:val="nil"/>
              <w:bottom w:val="nil"/>
              <w:right w:val="nil"/>
            </w:tcBorders>
          </w:tcPr>
          <w:p>
            <w:pPr>
              <w:pStyle w:val="TableParagraph"/>
              <w:spacing w:line="216" w:lineRule="exact"/>
              <w:ind w:right="66"/>
              <w:rPr>
                <w:sz w:val="19"/>
              </w:rPr>
            </w:pPr>
            <w:r>
              <w:rPr>
                <w:w w:val="105"/>
                <w:sz w:val="19"/>
              </w:rPr>
              <w:t>5 082</w:t>
            </w:r>
          </w:p>
        </w:tc>
        <w:tc>
          <w:tcPr>
            <w:tcW w:w="839" w:type="dxa"/>
            <w:tcBorders>
              <w:top w:val="nil"/>
              <w:left w:val="nil"/>
              <w:bottom w:val="nil"/>
              <w:right w:val="nil"/>
            </w:tcBorders>
          </w:tcPr>
          <w:p>
            <w:pPr>
              <w:pStyle w:val="TableParagraph"/>
              <w:spacing w:line="216" w:lineRule="exact"/>
              <w:ind w:right="68"/>
              <w:rPr>
                <w:sz w:val="19"/>
              </w:rPr>
            </w:pPr>
            <w:r>
              <w:rPr>
                <w:w w:val="105"/>
                <w:sz w:val="19"/>
              </w:rPr>
              <w:t>5 596</w:t>
            </w:r>
          </w:p>
        </w:tc>
        <w:tc>
          <w:tcPr>
            <w:tcW w:w="939" w:type="dxa"/>
            <w:tcBorders>
              <w:top w:val="nil"/>
              <w:left w:val="nil"/>
              <w:bottom w:val="nil"/>
              <w:right w:val="nil"/>
            </w:tcBorders>
          </w:tcPr>
          <w:p>
            <w:pPr>
              <w:pStyle w:val="TableParagraph"/>
              <w:spacing w:line="216" w:lineRule="exact"/>
              <w:ind w:right="66"/>
              <w:rPr>
                <w:sz w:val="19"/>
              </w:rPr>
            </w:pPr>
            <w:r>
              <w:rPr>
                <w:w w:val="105"/>
                <w:sz w:val="19"/>
              </w:rPr>
              <w:t>19 723</w:t>
            </w:r>
          </w:p>
        </w:tc>
      </w:tr>
      <w:tr>
        <w:trPr>
          <w:trHeight w:val="230" w:hRule="exact"/>
        </w:trPr>
        <w:tc>
          <w:tcPr>
            <w:tcW w:w="1982" w:type="dxa"/>
            <w:tcBorders>
              <w:top w:val="nil"/>
              <w:left w:val="nil"/>
              <w:bottom w:val="nil"/>
              <w:right w:val="nil"/>
            </w:tcBorders>
          </w:tcPr>
          <w:p>
            <w:pPr>
              <w:pStyle w:val="TableParagraph"/>
              <w:spacing w:line="216" w:lineRule="exact"/>
              <w:ind w:left="72"/>
              <w:jc w:val="left"/>
              <w:rPr>
                <w:sz w:val="19"/>
              </w:rPr>
            </w:pPr>
            <w:r>
              <w:rPr>
                <w:w w:val="105"/>
                <w:sz w:val="19"/>
              </w:rPr>
              <w:t>Perú</w:t>
            </w:r>
          </w:p>
        </w:tc>
        <w:tc>
          <w:tcPr>
            <w:tcW w:w="791" w:type="dxa"/>
            <w:tcBorders>
              <w:top w:val="nil"/>
              <w:left w:val="nil"/>
              <w:bottom w:val="nil"/>
              <w:right w:val="nil"/>
            </w:tcBorders>
          </w:tcPr>
          <w:p>
            <w:pPr>
              <w:pStyle w:val="TableParagraph"/>
              <w:spacing w:line="216" w:lineRule="exact"/>
              <w:ind w:right="66"/>
              <w:rPr>
                <w:sz w:val="19"/>
              </w:rPr>
            </w:pPr>
            <w:r>
              <w:rPr>
                <w:w w:val="105"/>
                <w:sz w:val="19"/>
              </w:rPr>
              <w:t>24 879</w:t>
            </w:r>
          </w:p>
        </w:tc>
        <w:tc>
          <w:tcPr>
            <w:tcW w:w="803" w:type="dxa"/>
            <w:tcBorders>
              <w:top w:val="nil"/>
              <w:left w:val="nil"/>
              <w:bottom w:val="nil"/>
              <w:right w:val="nil"/>
            </w:tcBorders>
          </w:tcPr>
          <w:p>
            <w:pPr>
              <w:pStyle w:val="TableParagraph"/>
              <w:spacing w:line="216" w:lineRule="exact"/>
              <w:ind w:right="82"/>
              <w:rPr>
                <w:sz w:val="19"/>
              </w:rPr>
            </w:pPr>
            <w:r>
              <w:rPr>
                <w:w w:val="105"/>
                <w:sz w:val="19"/>
              </w:rPr>
              <w:t>27 888</w:t>
            </w:r>
          </w:p>
        </w:tc>
        <w:tc>
          <w:tcPr>
            <w:tcW w:w="953" w:type="dxa"/>
            <w:tcBorders>
              <w:top w:val="nil"/>
              <w:left w:val="nil"/>
              <w:bottom w:val="nil"/>
              <w:right w:val="nil"/>
            </w:tcBorders>
          </w:tcPr>
          <w:p>
            <w:pPr>
              <w:pStyle w:val="TableParagraph"/>
              <w:spacing w:line="216" w:lineRule="exact"/>
              <w:ind w:right="67"/>
              <w:rPr>
                <w:sz w:val="19"/>
              </w:rPr>
            </w:pPr>
            <w:r>
              <w:rPr>
                <w:w w:val="105"/>
                <w:sz w:val="19"/>
              </w:rPr>
              <w:t>43 143</w:t>
            </w:r>
          </w:p>
        </w:tc>
        <w:tc>
          <w:tcPr>
            <w:tcW w:w="839" w:type="dxa"/>
            <w:tcBorders>
              <w:top w:val="nil"/>
              <w:left w:val="nil"/>
              <w:bottom w:val="nil"/>
              <w:right w:val="nil"/>
            </w:tcBorders>
          </w:tcPr>
          <w:p>
            <w:pPr>
              <w:pStyle w:val="TableParagraph"/>
              <w:spacing w:line="216" w:lineRule="exact"/>
              <w:ind w:right="68"/>
              <w:rPr>
                <w:sz w:val="19"/>
              </w:rPr>
            </w:pPr>
            <w:r>
              <w:rPr>
                <w:w w:val="105"/>
                <w:sz w:val="19"/>
              </w:rPr>
              <w:t>46 955</w:t>
            </w:r>
          </w:p>
        </w:tc>
        <w:tc>
          <w:tcPr>
            <w:tcW w:w="939" w:type="dxa"/>
            <w:tcBorders>
              <w:top w:val="nil"/>
              <w:left w:val="nil"/>
              <w:bottom w:val="nil"/>
              <w:right w:val="nil"/>
            </w:tcBorders>
          </w:tcPr>
          <w:p>
            <w:pPr>
              <w:pStyle w:val="TableParagraph"/>
              <w:spacing w:line="216" w:lineRule="exact"/>
              <w:ind w:right="68"/>
              <w:rPr>
                <w:sz w:val="19"/>
              </w:rPr>
            </w:pPr>
            <w:r>
              <w:rPr>
                <w:w w:val="105"/>
                <w:sz w:val="19"/>
              </w:rPr>
              <w:t>130 900</w:t>
            </w:r>
          </w:p>
        </w:tc>
      </w:tr>
      <w:tr>
        <w:trPr>
          <w:trHeight w:val="230" w:hRule="exact"/>
        </w:trPr>
        <w:tc>
          <w:tcPr>
            <w:tcW w:w="1982" w:type="dxa"/>
            <w:tcBorders>
              <w:top w:val="nil"/>
              <w:left w:val="nil"/>
              <w:bottom w:val="nil"/>
              <w:right w:val="nil"/>
            </w:tcBorders>
          </w:tcPr>
          <w:p>
            <w:pPr>
              <w:pStyle w:val="TableParagraph"/>
              <w:spacing w:line="216" w:lineRule="exact"/>
              <w:ind w:left="72"/>
              <w:jc w:val="left"/>
              <w:rPr>
                <w:sz w:val="19"/>
              </w:rPr>
            </w:pPr>
            <w:r>
              <w:rPr>
                <w:w w:val="105"/>
                <w:sz w:val="19"/>
              </w:rPr>
              <w:t>República Dominicana</w:t>
            </w:r>
          </w:p>
        </w:tc>
        <w:tc>
          <w:tcPr>
            <w:tcW w:w="791" w:type="dxa"/>
            <w:tcBorders>
              <w:top w:val="nil"/>
              <w:left w:val="nil"/>
              <w:bottom w:val="nil"/>
              <w:right w:val="nil"/>
            </w:tcBorders>
          </w:tcPr>
          <w:p>
            <w:pPr>
              <w:pStyle w:val="TableParagraph"/>
              <w:spacing w:line="216" w:lineRule="exact"/>
              <w:ind w:right="66"/>
              <w:rPr>
                <w:sz w:val="19"/>
              </w:rPr>
            </w:pPr>
            <w:r>
              <w:rPr>
                <w:w w:val="105"/>
                <w:sz w:val="19"/>
              </w:rPr>
              <w:t>24 256</w:t>
            </w:r>
          </w:p>
        </w:tc>
        <w:tc>
          <w:tcPr>
            <w:tcW w:w="803" w:type="dxa"/>
            <w:tcBorders>
              <w:top w:val="nil"/>
              <w:left w:val="nil"/>
              <w:bottom w:val="nil"/>
              <w:right w:val="nil"/>
            </w:tcBorders>
          </w:tcPr>
          <w:p>
            <w:pPr>
              <w:pStyle w:val="TableParagraph"/>
              <w:spacing w:line="216" w:lineRule="exact"/>
              <w:ind w:right="82"/>
              <w:rPr>
                <w:sz w:val="19"/>
              </w:rPr>
            </w:pPr>
            <w:r>
              <w:rPr>
                <w:w w:val="105"/>
                <w:sz w:val="19"/>
              </w:rPr>
              <w:t>26 481</w:t>
            </w:r>
          </w:p>
        </w:tc>
        <w:tc>
          <w:tcPr>
            <w:tcW w:w="953" w:type="dxa"/>
            <w:tcBorders>
              <w:top w:val="nil"/>
              <w:left w:val="nil"/>
              <w:bottom w:val="nil"/>
              <w:right w:val="nil"/>
            </w:tcBorders>
          </w:tcPr>
          <w:p>
            <w:pPr>
              <w:pStyle w:val="TableParagraph"/>
              <w:spacing w:line="216" w:lineRule="exact"/>
              <w:ind w:right="67"/>
              <w:rPr>
                <w:sz w:val="19"/>
              </w:rPr>
            </w:pPr>
            <w:r>
              <w:rPr>
                <w:w w:val="105"/>
                <w:sz w:val="19"/>
              </w:rPr>
              <w:t>31 182</w:t>
            </w:r>
          </w:p>
        </w:tc>
        <w:tc>
          <w:tcPr>
            <w:tcW w:w="839" w:type="dxa"/>
            <w:tcBorders>
              <w:top w:val="nil"/>
              <w:left w:val="nil"/>
              <w:bottom w:val="nil"/>
              <w:right w:val="nil"/>
            </w:tcBorders>
          </w:tcPr>
          <w:p>
            <w:pPr>
              <w:pStyle w:val="TableParagraph"/>
              <w:spacing w:line="216" w:lineRule="exact"/>
              <w:ind w:right="68"/>
              <w:rPr>
                <w:sz w:val="19"/>
              </w:rPr>
            </w:pPr>
            <w:r>
              <w:rPr>
                <w:w w:val="105"/>
                <w:sz w:val="19"/>
              </w:rPr>
              <w:t>35 015</w:t>
            </w:r>
          </w:p>
        </w:tc>
        <w:tc>
          <w:tcPr>
            <w:tcW w:w="939" w:type="dxa"/>
            <w:tcBorders>
              <w:top w:val="nil"/>
              <w:left w:val="nil"/>
              <w:bottom w:val="nil"/>
              <w:right w:val="nil"/>
            </w:tcBorders>
          </w:tcPr>
          <w:p>
            <w:pPr>
              <w:pStyle w:val="TableParagraph"/>
              <w:spacing w:line="216" w:lineRule="exact"/>
              <w:ind w:right="66"/>
              <w:rPr>
                <w:sz w:val="19"/>
              </w:rPr>
            </w:pPr>
            <w:r>
              <w:rPr>
                <w:w w:val="105"/>
                <w:sz w:val="19"/>
              </w:rPr>
              <w:t>80 973</w:t>
            </w:r>
          </w:p>
        </w:tc>
      </w:tr>
      <w:tr>
        <w:trPr>
          <w:trHeight w:val="228" w:hRule="exact"/>
        </w:trPr>
        <w:tc>
          <w:tcPr>
            <w:tcW w:w="1982" w:type="dxa"/>
            <w:tcBorders>
              <w:top w:val="nil"/>
              <w:left w:val="nil"/>
              <w:bottom w:val="nil"/>
              <w:right w:val="nil"/>
            </w:tcBorders>
          </w:tcPr>
          <w:p>
            <w:pPr>
              <w:pStyle w:val="TableParagraph"/>
              <w:spacing w:line="216" w:lineRule="exact"/>
              <w:ind w:left="72"/>
              <w:jc w:val="left"/>
              <w:rPr>
                <w:sz w:val="19"/>
              </w:rPr>
            </w:pPr>
            <w:r>
              <w:rPr>
                <w:w w:val="105"/>
                <w:sz w:val="19"/>
              </w:rPr>
              <w:t>Uruguay</w:t>
            </w:r>
          </w:p>
        </w:tc>
        <w:tc>
          <w:tcPr>
            <w:tcW w:w="791" w:type="dxa"/>
            <w:tcBorders>
              <w:top w:val="nil"/>
              <w:left w:val="nil"/>
              <w:bottom w:val="nil"/>
              <w:right w:val="nil"/>
            </w:tcBorders>
          </w:tcPr>
          <w:p>
            <w:pPr>
              <w:pStyle w:val="TableParagraph"/>
              <w:spacing w:line="216" w:lineRule="exact"/>
              <w:ind w:right="66"/>
              <w:rPr>
                <w:sz w:val="19"/>
              </w:rPr>
            </w:pPr>
            <w:r>
              <w:rPr>
                <w:w w:val="105"/>
                <w:sz w:val="19"/>
              </w:rPr>
              <w:t>3 907</w:t>
            </w:r>
          </w:p>
        </w:tc>
        <w:tc>
          <w:tcPr>
            <w:tcW w:w="803" w:type="dxa"/>
            <w:tcBorders>
              <w:top w:val="nil"/>
              <w:left w:val="nil"/>
              <w:bottom w:val="nil"/>
              <w:right w:val="nil"/>
            </w:tcBorders>
          </w:tcPr>
          <w:p>
            <w:pPr>
              <w:pStyle w:val="TableParagraph"/>
              <w:spacing w:line="216" w:lineRule="exact"/>
              <w:ind w:right="82"/>
              <w:rPr>
                <w:sz w:val="19"/>
              </w:rPr>
            </w:pPr>
            <w:r>
              <w:rPr>
                <w:w w:val="105"/>
                <w:sz w:val="19"/>
              </w:rPr>
              <w:t>4 005</w:t>
            </w:r>
          </w:p>
        </w:tc>
        <w:tc>
          <w:tcPr>
            <w:tcW w:w="953" w:type="dxa"/>
            <w:tcBorders>
              <w:top w:val="nil"/>
              <w:left w:val="nil"/>
              <w:bottom w:val="nil"/>
              <w:right w:val="nil"/>
            </w:tcBorders>
          </w:tcPr>
          <w:p>
            <w:pPr>
              <w:pStyle w:val="TableParagraph"/>
              <w:spacing w:line="216" w:lineRule="exact"/>
              <w:ind w:right="67"/>
              <w:rPr>
                <w:sz w:val="19"/>
              </w:rPr>
            </w:pPr>
            <w:r>
              <w:rPr>
                <w:w w:val="105"/>
                <w:sz w:val="19"/>
              </w:rPr>
              <w:t>11 684</w:t>
            </w:r>
          </w:p>
        </w:tc>
        <w:tc>
          <w:tcPr>
            <w:tcW w:w="839" w:type="dxa"/>
            <w:tcBorders>
              <w:top w:val="nil"/>
              <w:left w:val="nil"/>
              <w:bottom w:val="nil"/>
              <w:right w:val="nil"/>
            </w:tcBorders>
          </w:tcPr>
          <w:p>
            <w:pPr>
              <w:pStyle w:val="TableParagraph"/>
              <w:spacing w:line="216" w:lineRule="exact"/>
              <w:ind w:right="68"/>
              <w:rPr>
                <w:sz w:val="19"/>
              </w:rPr>
            </w:pPr>
            <w:r>
              <w:rPr>
                <w:w w:val="105"/>
                <w:sz w:val="19"/>
              </w:rPr>
              <w:t>12 857</w:t>
            </w:r>
          </w:p>
        </w:tc>
        <w:tc>
          <w:tcPr>
            <w:tcW w:w="939" w:type="dxa"/>
            <w:tcBorders>
              <w:top w:val="nil"/>
              <w:left w:val="nil"/>
              <w:bottom w:val="nil"/>
              <w:right w:val="nil"/>
            </w:tcBorders>
          </w:tcPr>
          <w:p>
            <w:pPr>
              <w:pStyle w:val="TableParagraph"/>
              <w:spacing w:line="216" w:lineRule="exact"/>
              <w:ind w:right="66"/>
              <w:rPr>
                <w:sz w:val="19"/>
              </w:rPr>
            </w:pPr>
            <w:r>
              <w:rPr>
                <w:w w:val="105"/>
                <w:sz w:val="19"/>
              </w:rPr>
              <w:t>31 956</w:t>
            </w:r>
          </w:p>
        </w:tc>
      </w:tr>
      <w:tr>
        <w:trPr>
          <w:trHeight w:val="228" w:hRule="exact"/>
        </w:trPr>
        <w:tc>
          <w:tcPr>
            <w:tcW w:w="1982" w:type="dxa"/>
            <w:tcBorders>
              <w:top w:val="nil"/>
              <w:left w:val="nil"/>
              <w:bottom w:val="nil"/>
              <w:right w:val="nil"/>
            </w:tcBorders>
          </w:tcPr>
          <w:p>
            <w:pPr>
              <w:pStyle w:val="TableParagraph"/>
              <w:spacing w:line="214" w:lineRule="exact"/>
              <w:ind w:left="72"/>
              <w:jc w:val="left"/>
              <w:rPr>
                <w:sz w:val="19"/>
              </w:rPr>
            </w:pPr>
            <w:r>
              <w:rPr>
                <w:w w:val="105"/>
                <w:sz w:val="19"/>
              </w:rPr>
              <w:t>Venezuela</w:t>
            </w:r>
          </w:p>
        </w:tc>
        <w:tc>
          <w:tcPr>
            <w:tcW w:w="791" w:type="dxa"/>
            <w:tcBorders>
              <w:top w:val="nil"/>
              <w:left w:val="nil"/>
              <w:bottom w:val="nil"/>
              <w:right w:val="nil"/>
            </w:tcBorders>
          </w:tcPr>
          <w:p>
            <w:pPr>
              <w:pStyle w:val="TableParagraph"/>
              <w:spacing w:line="214" w:lineRule="exact"/>
              <w:ind w:right="66"/>
              <w:rPr>
                <w:sz w:val="19"/>
              </w:rPr>
            </w:pPr>
            <w:r>
              <w:rPr>
                <w:w w:val="105"/>
                <w:sz w:val="19"/>
              </w:rPr>
              <w:t>6 911</w:t>
            </w:r>
          </w:p>
        </w:tc>
        <w:tc>
          <w:tcPr>
            <w:tcW w:w="803" w:type="dxa"/>
            <w:tcBorders>
              <w:top w:val="nil"/>
              <w:left w:val="nil"/>
              <w:bottom w:val="nil"/>
              <w:right w:val="nil"/>
            </w:tcBorders>
          </w:tcPr>
          <w:p>
            <w:pPr>
              <w:pStyle w:val="TableParagraph"/>
              <w:spacing w:line="214" w:lineRule="exact"/>
              <w:ind w:right="82"/>
              <w:rPr>
                <w:sz w:val="19"/>
              </w:rPr>
            </w:pPr>
            <w:r>
              <w:rPr>
                <w:w w:val="105"/>
                <w:sz w:val="19"/>
              </w:rPr>
              <w:t>7 986</w:t>
            </w:r>
          </w:p>
        </w:tc>
        <w:tc>
          <w:tcPr>
            <w:tcW w:w="953" w:type="dxa"/>
            <w:tcBorders>
              <w:top w:val="nil"/>
              <w:left w:val="nil"/>
              <w:bottom w:val="nil"/>
              <w:right w:val="nil"/>
            </w:tcBorders>
          </w:tcPr>
          <w:p>
            <w:pPr>
              <w:pStyle w:val="TableParagraph"/>
              <w:spacing w:line="214" w:lineRule="exact"/>
              <w:ind w:right="67"/>
              <w:rPr>
                <w:sz w:val="19"/>
              </w:rPr>
            </w:pPr>
            <w:r>
              <w:rPr>
                <w:w w:val="105"/>
                <w:sz w:val="19"/>
              </w:rPr>
              <w:t>15 152</w:t>
            </w:r>
          </w:p>
        </w:tc>
        <w:tc>
          <w:tcPr>
            <w:tcW w:w="839" w:type="dxa"/>
            <w:tcBorders>
              <w:top w:val="nil"/>
              <w:left w:val="nil"/>
              <w:bottom w:val="nil"/>
              <w:right w:val="nil"/>
            </w:tcBorders>
          </w:tcPr>
          <w:p>
            <w:pPr>
              <w:pStyle w:val="TableParagraph"/>
              <w:spacing w:line="214" w:lineRule="exact"/>
              <w:ind w:right="68"/>
              <w:rPr>
                <w:sz w:val="19"/>
              </w:rPr>
            </w:pPr>
            <w:r>
              <w:rPr>
                <w:w w:val="105"/>
                <w:sz w:val="19"/>
              </w:rPr>
              <w:t>16 763</w:t>
            </w:r>
          </w:p>
        </w:tc>
        <w:tc>
          <w:tcPr>
            <w:tcW w:w="939" w:type="dxa"/>
            <w:tcBorders>
              <w:top w:val="nil"/>
              <w:left w:val="nil"/>
              <w:bottom w:val="nil"/>
              <w:right w:val="nil"/>
            </w:tcBorders>
          </w:tcPr>
          <w:p>
            <w:pPr>
              <w:pStyle w:val="TableParagraph"/>
              <w:spacing w:line="214" w:lineRule="exact"/>
              <w:ind w:right="66"/>
              <w:rPr>
                <w:sz w:val="19"/>
              </w:rPr>
            </w:pPr>
            <w:r>
              <w:rPr>
                <w:w w:val="105"/>
                <w:sz w:val="19"/>
              </w:rPr>
              <w:t>36 616</w:t>
            </w:r>
          </w:p>
        </w:tc>
      </w:tr>
      <w:tr>
        <w:trPr>
          <w:trHeight w:val="238" w:hRule="exact"/>
        </w:trPr>
        <w:tc>
          <w:tcPr>
            <w:tcW w:w="1982" w:type="dxa"/>
            <w:tcBorders>
              <w:top w:val="nil"/>
              <w:left w:val="nil"/>
              <w:bottom w:val="double" w:sz="4" w:space="0" w:color="000000"/>
              <w:right w:val="nil"/>
            </w:tcBorders>
          </w:tcPr>
          <w:p>
            <w:pPr>
              <w:pStyle w:val="TableParagraph"/>
              <w:spacing w:line="216" w:lineRule="exact"/>
              <w:ind w:left="72"/>
              <w:jc w:val="left"/>
              <w:rPr>
                <w:sz w:val="19"/>
              </w:rPr>
            </w:pPr>
            <w:r>
              <w:rPr>
                <w:w w:val="105"/>
                <w:sz w:val="19"/>
              </w:rPr>
              <w:t>Otros Latinoamérica</w:t>
            </w:r>
          </w:p>
        </w:tc>
        <w:tc>
          <w:tcPr>
            <w:tcW w:w="791" w:type="dxa"/>
            <w:tcBorders>
              <w:top w:val="nil"/>
              <w:left w:val="nil"/>
              <w:bottom w:val="double" w:sz="4" w:space="0" w:color="000000"/>
              <w:right w:val="nil"/>
            </w:tcBorders>
          </w:tcPr>
          <w:p>
            <w:pPr>
              <w:pStyle w:val="TableParagraph"/>
              <w:spacing w:line="216" w:lineRule="exact"/>
              <w:ind w:right="66"/>
              <w:rPr>
                <w:sz w:val="19"/>
              </w:rPr>
            </w:pPr>
            <w:r>
              <w:rPr>
                <w:sz w:val="19"/>
              </w:rPr>
              <w:t>275</w:t>
            </w:r>
          </w:p>
        </w:tc>
        <w:tc>
          <w:tcPr>
            <w:tcW w:w="803" w:type="dxa"/>
            <w:tcBorders>
              <w:top w:val="nil"/>
              <w:left w:val="nil"/>
              <w:bottom w:val="double" w:sz="4" w:space="0" w:color="000000"/>
              <w:right w:val="nil"/>
            </w:tcBorders>
          </w:tcPr>
          <w:p>
            <w:pPr>
              <w:pStyle w:val="TableParagraph"/>
              <w:spacing w:line="216" w:lineRule="exact"/>
              <w:ind w:right="82"/>
              <w:rPr>
                <w:sz w:val="19"/>
              </w:rPr>
            </w:pPr>
            <w:r>
              <w:rPr>
                <w:sz w:val="19"/>
              </w:rPr>
              <w:t>224</w:t>
            </w:r>
          </w:p>
        </w:tc>
        <w:tc>
          <w:tcPr>
            <w:tcW w:w="953" w:type="dxa"/>
            <w:tcBorders>
              <w:top w:val="nil"/>
              <w:left w:val="nil"/>
              <w:bottom w:val="double" w:sz="4" w:space="0" w:color="000000"/>
              <w:right w:val="nil"/>
            </w:tcBorders>
          </w:tcPr>
          <w:p>
            <w:pPr>
              <w:pStyle w:val="TableParagraph"/>
              <w:spacing w:line="216" w:lineRule="exact"/>
              <w:ind w:right="66"/>
              <w:rPr>
                <w:sz w:val="19"/>
              </w:rPr>
            </w:pPr>
            <w:r>
              <w:rPr>
                <w:sz w:val="19"/>
              </w:rPr>
              <w:t>211</w:t>
            </w:r>
          </w:p>
        </w:tc>
        <w:tc>
          <w:tcPr>
            <w:tcW w:w="839" w:type="dxa"/>
            <w:tcBorders>
              <w:top w:val="nil"/>
              <w:left w:val="nil"/>
              <w:bottom w:val="double" w:sz="4" w:space="0" w:color="000000"/>
              <w:right w:val="nil"/>
            </w:tcBorders>
          </w:tcPr>
          <w:p>
            <w:pPr>
              <w:pStyle w:val="TableParagraph"/>
              <w:spacing w:line="216" w:lineRule="exact"/>
              <w:ind w:right="68"/>
              <w:rPr>
                <w:sz w:val="19"/>
              </w:rPr>
            </w:pPr>
            <w:r>
              <w:rPr>
                <w:sz w:val="19"/>
              </w:rPr>
              <w:t>238</w:t>
            </w:r>
          </w:p>
        </w:tc>
        <w:tc>
          <w:tcPr>
            <w:tcW w:w="939" w:type="dxa"/>
            <w:tcBorders>
              <w:top w:val="nil"/>
              <w:left w:val="nil"/>
              <w:bottom w:val="double" w:sz="4" w:space="0" w:color="000000"/>
              <w:right w:val="nil"/>
            </w:tcBorders>
          </w:tcPr>
          <w:p>
            <w:pPr>
              <w:pStyle w:val="TableParagraph"/>
              <w:spacing w:line="216" w:lineRule="exact"/>
              <w:ind w:right="66"/>
              <w:rPr>
                <w:sz w:val="19"/>
              </w:rPr>
            </w:pPr>
            <w:r>
              <w:rPr>
                <w:sz w:val="19"/>
              </w:rPr>
              <w:t>738</w:t>
            </w:r>
          </w:p>
        </w:tc>
      </w:tr>
      <w:tr>
        <w:trPr>
          <w:trHeight w:val="299" w:hRule="exact"/>
        </w:trPr>
        <w:tc>
          <w:tcPr>
            <w:tcW w:w="1982" w:type="dxa"/>
            <w:tcBorders>
              <w:top w:val="double" w:sz="4" w:space="0" w:color="000000"/>
              <w:left w:val="nil"/>
              <w:bottom w:val="nil"/>
              <w:right w:val="nil"/>
            </w:tcBorders>
          </w:tcPr>
          <w:p>
            <w:pPr>
              <w:pStyle w:val="TableParagraph"/>
              <w:spacing w:before="4"/>
              <w:ind w:left="72"/>
              <w:jc w:val="left"/>
              <w:rPr>
                <w:sz w:val="16"/>
              </w:rPr>
            </w:pPr>
            <w:r>
              <w:rPr>
                <w:sz w:val="16"/>
              </w:rPr>
              <w:t>Fuente: INE, García, 2009.</w:t>
            </w:r>
          </w:p>
        </w:tc>
        <w:tc>
          <w:tcPr>
            <w:tcW w:w="791" w:type="dxa"/>
            <w:tcBorders>
              <w:top w:val="double" w:sz="4" w:space="0" w:color="000000"/>
              <w:left w:val="nil"/>
              <w:bottom w:val="nil"/>
              <w:right w:val="nil"/>
            </w:tcBorders>
          </w:tcPr>
          <w:p>
            <w:pPr/>
          </w:p>
        </w:tc>
        <w:tc>
          <w:tcPr>
            <w:tcW w:w="803" w:type="dxa"/>
            <w:tcBorders>
              <w:top w:val="double" w:sz="4" w:space="0" w:color="000000"/>
              <w:left w:val="nil"/>
              <w:bottom w:val="nil"/>
              <w:right w:val="nil"/>
            </w:tcBorders>
          </w:tcPr>
          <w:p>
            <w:pPr/>
          </w:p>
        </w:tc>
        <w:tc>
          <w:tcPr>
            <w:tcW w:w="953" w:type="dxa"/>
            <w:tcBorders>
              <w:top w:val="double" w:sz="4" w:space="0" w:color="000000"/>
              <w:left w:val="nil"/>
              <w:bottom w:val="nil"/>
              <w:right w:val="nil"/>
            </w:tcBorders>
          </w:tcPr>
          <w:p>
            <w:pPr/>
          </w:p>
        </w:tc>
        <w:tc>
          <w:tcPr>
            <w:tcW w:w="839" w:type="dxa"/>
            <w:tcBorders>
              <w:top w:val="double" w:sz="4" w:space="0" w:color="000000"/>
              <w:left w:val="nil"/>
              <w:bottom w:val="nil"/>
              <w:right w:val="nil"/>
            </w:tcBorders>
          </w:tcPr>
          <w:p>
            <w:pPr/>
          </w:p>
        </w:tc>
        <w:tc>
          <w:tcPr>
            <w:tcW w:w="939" w:type="dxa"/>
            <w:tcBorders>
              <w:top w:val="double" w:sz="4" w:space="0" w:color="000000"/>
              <w:left w:val="nil"/>
              <w:bottom w:val="nil"/>
              <w:right w:val="nil"/>
            </w:tcBorders>
          </w:tcPr>
          <w:p>
            <w:pPr/>
          </w:p>
        </w:tc>
      </w:tr>
    </w:tbl>
    <w:p>
      <w:pPr>
        <w:pStyle w:val="BodyText"/>
        <w:spacing w:before="1"/>
        <w:rPr>
          <w:sz w:val="13"/>
        </w:rPr>
      </w:pPr>
    </w:p>
    <w:p>
      <w:pPr>
        <w:pStyle w:val="BodyText"/>
        <w:spacing w:line="247" w:lineRule="auto" w:before="72"/>
        <w:ind w:left="117" w:right="115" w:firstLine="283"/>
        <w:jc w:val="both"/>
      </w:pPr>
      <w:r>
        <w:rPr>
          <w:color w:val="231F20"/>
        </w:rPr>
        <w:t>Con respecto a la estabilidad documental, 20.1 por ciento de los lati- noamericanos dispone de autorización de residencia permanente. En este sentido, los dominicanos son los que, en mayor proporción, disponen   de</w:t>
      </w:r>
    </w:p>
    <w:p>
      <w:pPr>
        <w:spacing w:after="0" w:line="247" w:lineRule="auto"/>
        <w:jc w:val="both"/>
        <w:sectPr>
          <w:footerReference w:type="default" r:id="rId54"/>
          <w:pgSz w:w="9360" w:h="13040"/>
          <w:pgMar w:footer="496" w:header="0" w:top="800" w:bottom="680" w:left="1300" w:right="1300"/>
        </w:sectPr>
      </w:pPr>
    </w:p>
    <w:p>
      <w:pPr>
        <w:spacing w:before="45"/>
        <w:ind w:left="117" w:right="0" w:firstLine="88"/>
        <w:jc w:val="both"/>
        <w:rPr>
          <w:rFonts w:ascii="Arial" w:hAnsi="Arial"/>
          <w:sz w:val="20"/>
        </w:rPr>
      </w:pPr>
      <w:r>
        <w:rPr>
          <w:rFonts w:ascii="Arial" w:hAnsi="Arial"/>
          <w:color w:val="231F20"/>
          <w:w w:val="70"/>
          <w:sz w:val="20"/>
        </w:rPr>
        <w:t>Nueva reconfiguración de la inmigración internacional: el caso de España /Lucila Godínez-Montoya </w:t>
      </w:r>
      <w:r>
        <w:rPr>
          <w:rFonts w:ascii="Arial" w:hAnsi="Arial"/>
          <w:i/>
          <w:color w:val="231F20"/>
          <w:w w:val="70"/>
          <w:sz w:val="20"/>
        </w:rPr>
        <w:t>et al</w:t>
      </w:r>
      <w:r>
        <w:rPr>
          <w:rFonts w:ascii="Arial" w:hAnsi="Arial"/>
          <w:color w:val="231F20"/>
          <w:w w:val="70"/>
          <w:sz w:val="20"/>
        </w:rPr>
        <w:t>.</w:t>
      </w:r>
    </w:p>
    <w:p>
      <w:pPr>
        <w:pStyle w:val="BodyText"/>
        <w:spacing w:before="7"/>
        <w:rPr>
          <w:rFonts w:ascii="Arial"/>
          <w:sz w:val="28"/>
        </w:rPr>
      </w:pPr>
    </w:p>
    <w:p>
      <w:pPr>
        <w:pStyle w:val="BodyText"/>
        <w:spacing w:line="247" w:lineRule="auto"/>
        <w:ind w:left="117" w:right="115"/>
        <w:jc w:val="both"/>
      </w:pPr>
      <w:r>
        <w:rPr>
          <w:color w:val="231F20"/>
        </w:rPr>
        <w:t>autorización de residencia inicial con 21.2 por ciento; 75.2 por ciento de bolivianos tiene una mayor proporción de autorizaciones de residencia re- novada por primera vez como así también más de la mitad de los argenti- nos y brasileños. El 27 por ciento de los peruanos y 20.5 por ciento de los colombianos</w:t>
      </w:r>
      <w:r>
        <w:rPr>
          <w:color w:val="231F20"/>
          <w:spacing w:val="-9"/>
        </w:rPr>
        <w:t> </w:t>
      </w:r>
      <w:r>
        <w:rPr>
          <w:color w:val="231F20"/>
        </w:rPr>
        <w:t>disponen</w:t>
      </w:r>
      <w:r>
        <w:rPr>
          <w:color w:val="231F20"/>
          <w:spacing w:val="-8"/>
        </w:rPr>
        <w:t> </w:t>
      </w:r>
      <w:r>
        <w:rPr>
          <w:color w:val="231F20"/>
        </w:rPr>
        <w:t>de</w:t>
      </w:r>
      <w:r>
        <w:rPr>
          <w:color w:val="231F20"/>
          <w:spacing w:val="-8"/>
        </w:rPr>
        <w:t> </w:t>
      </w:r>
      <w:r>
        <w:rPr>
          <w:color w:val="231F20"/>
        </w:rPr>
        <w:t>autorización</w:t>
      </w:r>
      <w:r>
        <w:rPr>
          <w:color w:val="231F20"/>
          <w:spacing w:val="-9"/>
        </w:rPr>
        <w:t> </w:t>
      </w:r>
      <w:r>
        <w:rPr>
          <w:color w:val="231F20"/>
        </w:rPr>
        <w:t>de</w:t>
      </w:r>
      <w:r>
        <w:rPr>
          <w:color w:val="231F20"/>
          <w:spacing w:val="-8"/>
        </w:rPr>
        <w:t> </w:t>
      </w:r>
      <w:r>
        <w:rPr>
          <w:color w:val="231F20"/>
        </w:rPr>
        <w:t>residencia</w:t>
      </w:r>
      <w:r>
        <w:rPr>
          <w:color w:val="231F20"/>
          <w:spacing w:val="-8"/>
        </w:rPr>
        <w:t> </w:t>
      </w:r>
      <w:r>
        <w:rPr>
          <w:color w:val="231F20"/>
        </w:rPr>
        <w:t>renovada</w:t>
      </w:r>
      <w:r>
        <w:rPr>
          <w:color w:val="231F20"/>
          <w:spacing w:val="-8"/>
        </w:rPr>
        <w:t> </w:t>
      </w:r>
      <w:r>
        <w:rPr>
          <w:color w:val="231F20"/>
        </w:rPr>
        <w:t>por</w:t>
      </w:r>
      <w:r>
        <w:rPr>
          <w:color w:val="231F20"/>
          <w:spacing w:val="-8"/>
        </w:rPr>
        <w:t> </w:t>
      </w:r>
      <w:r>
        <w:rPr>
          <w:color w:val="231F20"/>
        </w:rPr>
        <w:t>segunda vez. Sólo 4.7 por ciento de los bolivianos y 15.2 por ciento de los argen- tinos dispone de autorización de residencia permanente (Tedesco,</w:t>
      </w:r>
      <w:r>
        <w:rPr>
          <w:color w:val="231F20"/>
          <w:spacing w:val="-20"/>
        </w:rPr>
        <w:t> </w:t>
      </w:r>
      <w:r>
        <w:rPr>
          <w:color w:val="231F20"/>
        </w:rPr>
        <w:t>2008).</w:t>
      </w:r>
    </w:p>
    <w:p>
      <w:pPr>
        <w:pStyle w:val="Heading3"/>
      </w:pPr>
      <w:r>
        <w:rPr>
          <w:color w:val="231F20"/>
        </w:rPr>
        <w:t>Inmigrantes latinoamericanos en España por género</w:t>
      </w:r>
    </w:p>
    <w:p>
      <w:pPr>
        <w:pStyle w:val="BodyText"/>
        <w:spacing w:line="247" w:lineRule="auto" w:before="172"/>
        <w:ind w:left="117" w:right="114"/>
        <w:jc w:val="both"/>
      </w:pPr>
      <w:r>
        <w:rPr>
          <w:color w:val="231F20"/>
        </w:rPr>
        <w:t>Otro elemento relevante en la caracterización de los flujos migratorios es el porcentaje de mujeres que los componen. En España, el porcentaje de mujeres que se inscriben en el Padrón Municipal Continuo (PMC) entre los</w:t>
      </w:r>
      <w:r>
        <w:rPr>
          <w:color w:val="231F20"/>
          <w:spacing w:val="-4"/>
        </w:rPr>
        <w:t> </w:t>
      </w:r>
      <w:r>
        <w:rPr>
          <w:color w:val="231F20"/>
        </w:rPr>
        <w:t>20</w:t>
      </w:r>
      <w:r>
        <w:rPr>
          <w:color w:val="231F20"/>
          <w:spacing w:val="-4"/>
        </w:rPr>
        <w:t> </w:t>
      </w:r>
      <w:r>
        <w:rPr>
          <w:color w:val="231F20"/>
        </w:rPr>
        <w:t>y</w:t>
      </w:r>
      <w:r>
        <w:rPr>
          <w:color w:val="231F20"/>
          <w:spacing w:val="-4"/>
        </w:rPr>
        <w:t> </w:t>
      </w:r>
      <w:r>
        <w:rPr>
          <w:color w:val="231F20"/>
        </w:rPr>
        <w:t>49</w:t>
      </w:r>
      <w:r>
        <w:rPr>
          <w:color w:val="231F20"/>
          <w:spacing w:val="-4"/>
        </w:rPr>
        <w:t> </w:t>
      </w:r>
      <w:r>
        <w:rPr>
          <w:color w:val="231F20"/>
        </w:rPr>
        <w:t>años</w:t>
      </w:r>
      <w:r>
        <w:rPr>
          <w:color w:val="231F20"/>
          <w:spacing w:val="-4"/>
        </w:rPr>
        <w:t> </w:t>
      </w:r>
      <w:r>
        <w:rPr>
          <w:color w:val="231F20"/>
        </w:rPr>
        <w:t>es</w:t>
      </w:r>
      <w:r>
        <w:rPr>
          <w:color w:val="231F20"/>
          <w:spacing w:val="-4"/>
        </w:rPr>
        <w:t> </w:t>
      </w:r>
      <w:r>
        <w:rPr>
          <w:color w:val="231F20"/>
        </w:rPr>
        <w:t>de</w:t>
      </w:r>
      <w:r>
        <w:rPr>
          <w:color w:val="231F20"/>
          <w:spacing w:val="-4"/>
        </w:rPr>
        <w:t> </w:t>
      </w:r>
      <w:r>
        <w:rPr>
          <w:color w:val="231F20"/>
        </w:rPr>
        <w:t>44</w:t>
      </w:r>
      <w:r>
        <w:rPr>
          <w:color w:val="231F20"/>
          <w:spacing w:val="-4"/>
        </w:rPr>
        <w:t> </w:t>
      </w:r>
      <w:r>
        <w:rPr>
          <w:color w:val="231F20"/>
        </w:rPr>
        <w:t>por</w:t>
      </w:r>
      <w:r>
        <w:rPr>
          <w:color w:val="231F20"/>
          <w:spacing w:val="-4"/>
        </w:rPr>
        <w:t> </w:t>
      </w:r>
      <w:r>
        <w:rPr>
          <w:color w:val="231F20"/>
        </w:rPr>
        <w:t>ciento,</w:t>
      </w:r>
      <w:r>
        <w:rPr>
          <w:color w:val="231F20"/>
          <w:spacing w:val="-4"/>
        </w:rPr>
        <w:t> </w:t>
      </w:r>
      <w:r>
        <w:rPr>
          <w:color w:val="231F20"/>
        </w:rPr>
        <w:t>muy</w:t>
      </w:r>
      <w:r>
        <w:rPr>
          <w:color w:val="231F20"/>
          <w:spacing w:val="-4"/>
        </w:rPr>
        <w:t> </w:t>
      </w:r>
      <w:r>
        <w:rPr>
          <w:color w:val="231F20"/>
        </w:rPr>
        <w:t>similar</w:t>
      </w:r>
      <w:r>
        <w:rPr>
          <w:color w:val="231F20"/>
          <w:spacing w:val="-4"/>
        </w:rPr>
        <w:t> </w:t>
      </w:r>
      <w:r>
        <w:rPr>
          <w:color w:val="231F20"/>
        </w:rPr>
        <w:t>al</w:t>
      </w:r>
      <w:r>
        <w:rPr>
          <w:color w:val="231F20"/>
          <w:spacing w:val="-4"/>
        </w:rPr>
        <w:t> </w:t>
      </w:r>
      <w:r>
        <w:rPr>
          <w:color w:val="231F20"/>
        </w:rPr>
        <w:t>de</w:t>
      </w:r>
      <w:r>
        <w:rPr>
          <w:color w:val="231F20"/>
          <w:spacing w:val="-4"/>
        </w:rPr>
        <w:t> </w:t>
      </w:r>
      <w:r>
        <w:rPr>
          <w:color w:val="231F20"/>
        </w:rPr>
        <w:t>otros</w:t>
      </w:r>
      <w:r>
        <w:rPr>
          <w:color w:val="231F20"/>
          <w:spacing w:val="-4"/>
        </w:rPr>
        <w:t> </w:t>
      </w:r>
      <w:r>
        <w:rPr>
          <w:color w:val="231F20"/>
        </w:rPr>
        <w:t>países</w:t>
      </w:r>
      <w:r>
        <w:rPr>
          <w:color w:val="231F20"/>
          <w:spacing w:val="-4"/>
        </w:rPr>
        <w:t> </w:t>
      </w:r>
      <w:r>
        <w:rPr>
          <w:color w:val="231F20"/>
        </w:rPr>
        <w:t>destino de migraciones internacionales. Mientras que en los flujos procedentes de Latinoamérica</w:t>
      </w:r>
      <w:r>
        <w:rPr>
          <w:color w:val="231F20"/>
          <w:spacing w:val="-8"/>
        </w:rPr>
        <w:t> </w:t>
      </w:r>
      <w:r>
        <w:rPr>
          <w:color w:val="231F20"/>
        </w:rPr>
        <w:t>las</w:t>
      </w:r>
      <w:r>
        <w:rPr>
          <w:color w:val="231F20"/>
          <w:spacing w:val="-8"/>
        </w:rPr>
        <w:t> </w:t>
      </w:r>
      <w:r>
        <w:rPr>
          <w:color w:val="231F20"/>
        </w:rPr>
        <w:t>mujeres</w:t>
      </w:r>
      <w:r>
        <w:rPr>
          <w:color w:val="231F20"/>
          <w:spacing w:val="-8"/>
        </w:rPr>
        <w:t> </w:t>
      </w:r>
      <w:r>
        <w:rPr>
          <w:color w:val="231F20"/>
        </w:rPr>
        <w:t>superan</w:t>
      </w:r>
      <w:r>
        <w:rPr>
          <w:color w:val="231F20"/>
          <w:spacing w:val="-7"/>
        </w:rPr>
        <w:t> </w:t>
      </w:r>
      <w:r>
        <w:rPr>
          <w:color w:val="231F20"/>
        </w:rPr>
        <w:t>en</w:t>
      </w:r>
      <w:r>
        <w:rPr>
          <w:color w:val="231F20"/>
          <w:spacing w:val="-7"/>
        </w:rPr>
        <w:t> </w:t>
      </w:r>
      <w:r>
        <w:rPr>
          <w:color w:val="231F20"/>
        </w:rPr>
        <w:t>número</w:t>
      </w:r>
      <w:r>
        <w:rPr>
          <w:color w:val="231F20"/>
          <w:spacing w:val="-7"/>
        </w:rPr>
        <w:t> </w:t>
      </w:r>
      <w:r>
        <w:rPr>
          <w:color w:val="231F20"/>
        </w:rPr>
        <w:t>a</w:t>
      </w:r>
      <w:r>
        <w:rPr>
          <w:color w:val="231F20"/>
          <w:spacing w:val="-7"/>
        </w:rPr>
        <w:t> </w:t>
      </w:r>
      <w:r>
        <w:rPr>
          <w:color w:val="231F20"/>
        </w:rPr>
        <w:t>los</w:t>
      </w:r>
      <w:r>
        <w:rPr>
          <w:color w:val="231F20"/>
          <w:spacing w:val="-8"/>
        </w:rPr>
        <w:t> </w:t>
      </w:r>
      <w:r>
        <w:rPr>
          <w:color w:val="231F20"/>
        </w:rPr>
        <w:t>hombres,</w:t>
      </w:r>
      <w:r>
        <w:rPr>
          <w:color w:val="231F20"/>
          <w:spacing w:val="-7"/>
        </w:rPr>
        <w:t> </w:t>
      </w:r>
      <w:r>
        <w:rPr>
          <w:color w:val="231F20"/>
        </w:rPr>
        <w:t>manteniendo un promedio de 53 por ciento de 2000 a 2008, otros orígenes se caracte- rizan por la escasa presencia de mujeres entre sus inmigrantes, como por ejemplo los procedentes de Asia y África (Miyar y Garrido, 2010). De acuerdo</w:t>
      </w:r>
      <w:r>
        <w:rPr>
          <w:color w:val="231F20"/>
          <w:spacing w:val="-8"/>
        </w:rPr>
        <w:t> </w:t>
      </w:r>
      <w:r>
        <w:rPr>
          <w:color w:val="231F20"/>
        </w:rPr>
        <w:t>con</w:t>
      </w:r>
      <w:r>
        <w:rPr>
          <w:color w:val="231F20"/>
          <w:spacing w:val="-8"/>
        </w:rPr>
        <w:t> </w:t>
      </w:r>
      <w:r>
        <w:rPr>
          <w:color w:val="231F20"/>
        </w:rPr>
        <w:t>su</w:t>
      </w:r>
      <w:r>
        <w:rPr>
          <w:color w:val="231F20"/>
          <w:spacing w:val="-8"/>
        </w:rPr>
        <w:t> </w:t>
      </w:r>
      <w:r>
        <w:rPr>
          <w:color w:val="231F20"/>
        </w:rPr>
        <w:t>nacionalidad</w:t>
      </w:r>
      <w:r>
        <w:rPr>
          <w:color w:val="231F20"/>
          <w:spacing w:val="-8"/>
        </w:rPr>
        <w:t> </w:t>
      </w:r>
      <w:r>
        <w:rPr>
          <w:color w:val="231F20"/>
        </w:rPr>
        <w:t>de</w:t>
      </w:r>
      <w:r>
        <w:rPr>
          <w:color w:val="231F20"/>
          <w:spacing w:val="-8"/>
        </w:rPr>
        <w:t> </w:t>
      </w:r>
      <w:r>
        <w:rPr>
          <w:color w:val="231F20"/>
        </w:rPr>
        <w:t>origen,</w:t>
      </w:r>
      <w:r>
        <w:rPr>
          <w:color w:val="231F20"/>
          <w:spacing w:val="-8"/>
        </w:rPr>
        <w:t> </w:t>
      </w:r>
      <w:r>
        <w:rPr>
          <w:color w:val="231F20"/>
        </w:rPr>
        <w:t>las</w:t>
      </w:r>
      <w:r>
        <w:rPr>
          <w:color w:val="231F20"/>
          <w:spacing w:val="-8"/>
        </w:rPr>
        <w:t> </w:t>
      </w:r>
      <w:r>
        <w:rPr>
          <w:color w:val="231F20"/>
        </w:rPr>
        <w:t>mujeres</w:t>
      </w:r>
      <w:r>
        <w:rPr>
          <w:color w:val="231F20"/>
          <w:spacing w:val="-8"/>
        </w:rPr>
        <w:t> </w:t>
      </w:r>
      <w:r>
        <w:rPr>
          <w:color w:val="231F20"/>
        </w:rPr>
        <w:t>inmigrantes</w:t>
      </w:r>
      <w:r>
        <w:rPr>
          <w:color w:val="231F20"/>
          <w:spacing w:val="-8"/>
        </w:rPr>
        <w:t> </w:t>
      </w:r>
      <w:r>
        <w:rPr>
          <w:color w:val="231F20"/>
        </w:rPr>
        <w:t>en</w:t>
      </w:r>
      <w:r>
        <w:rPr>
          <w:color w:val="231F20"/>
          <w:spacing w:val="-8"/>
        </w:rPr>
        <w:t> </w:t>
      </w:r>
      <w:r>
        <w:rPr>
          <w:color w:val="231F20"/>
        </w:rPr>
        <w:t>España, son mayoría en el caso de Brasil (66.6 por ciento), República Dominicana (59.5</w:t>
      </w:r>
      <w:r>
        <w:rPr>
          <w:color w:val="231F20"/>
          <w:spacing w:val="-6"/>
        </w:rPr>
        <w:t> </w:t>
      </w:r>
      <w:r>
        <w:rPr>
          <w:color w:val="231F20"/>
        </w:rPr>
        <w:t>por</w:t>
      </w:r>
      <w:r>
        <w:rPr>
          <w:color w:val="231F20"/>
          <w:spacing w:val="-6"/>
        </w:rPr>
        <w:t> </w:t>
      </w:r>
      <w:r>
        <w:rPr>
          <w:color w:val="231F20"/>
        </w:rPr>
        <w:t>ciento),</w:t>
      </w:r>
      <w:r>
        <w:rPr>
          <w:color w:val="231F20"/>
          <w:spacing w:val="-9"/>
        </w:rPr>
        <w:t> </w:t>
      </w:r>
      <w:r>
        <w:rPr>
          <w:color w:val="231F20"/>
          <w:spacing w:val="-3"/>
        </w:rPr>
        <w:t>Venezuela</w:t>
      </w:r>
      <w:r>
        <w:rPr>
          <w:color w:val="231F20"/>
          <w:spacing w:val="-6"/>
        </w:rPr>
        <w:t> </w:t>
      </w:r>
      <w:r>
        <w:rPr>
          <w:color w:val="231F20"/>
        </w:rPr>
        <w:t>(59.7</w:t>
      </w:r>
      <w:r>
        <w:rPr>
          <w:color w:val="231F20"/>
          <w:spacing w:val="-6"/>
        </w:rPr>
        <w:t> </w:t>
      </w:r>
      <w:r>
        <w:rPr>
          <w:color w:val="231F20"/>
        </w:rPr>
        <w:t>por</w:t>
      </w:r>
      <w:r>
        <w:rPr>
          <w:color w:val="231F20"/>
          <w:spacing w:val="-6"/>
        </w:rPr>
        <w:t> </w:t>
      </w:r>
      <w:r>
        <w:rPr>
          <w:color w:val="231F20"/>
        </w:rPr>
        <w:t>ciento),</w:t>
      </w:r>
      <w:r>
        <w:rPr>
          <w:color w:val="231F20"/>
          <w:spacing w:val="-6"/>
        </w:rPr>
        <w:t> </w:t>
      </w:r>
      <w:r>
        <w:rPr>
          <w:color w:val="231F20"/>
        </w:rPr>
        <w:t>Colombia</w:t>
      </w:r>
      <w:r>
        <w:rPr>
          <w:color w:val="231F20"/>
          <w:spacing w:val="-6"/>
        </w:rPr>
        <w:t> </w:t>
      </w:r>
      <w:r>
        <w:rPr>
          <w:color w:val="231F20"/>
        </w:rPr>
        <w:t>(56.7</w:t>
      </w:r>
      <w:r>
        <w:rPr>
          <w:color w:val="231F20"/>
          <w:spacing w:val="-6"/>
        </w:rPr>
        <w:t> </w:t>
      </w:r>
      <w:r>
        <w:rPr>
          <w:color w:val="231F20"/>
        </w:rPr>
        <w:t>por</w:t>
      </w:r>
      <w:r>
        <w:rPr>
          <w:color w:val="231F20"/>
          <w:spacing w:val="-6"/>
        </w:rPr>
        <w:t> </w:t>
      </w:r>
      <w:r>
        <w:rPr>
          <w:color w:val="231F20"/>
        </w:rPr>
        <w:t>ciento), Bolivia</w:t>
      </w:r>
      <w:r>
        <w:rPr>
          <w:color w:val="231F20"/>
          <w:spacing w:val="-7"/>
        </w:rPr>
        <w:t> </w:t>
      </w:r>
      <w:r>
        <w:rPr>
          <w:color w:val="231F20"/>
        </w:rPr>
        <w:t>(55</w:t>
      </w:r>
      <w:r>
        <w:rPr>
          <w:color w:val="231F20"/>
          <w:spacing w:val="-7"/>
        </w:rPr>
        <w:t> </w:t>
      </w:r>
      <w:r>
        <w:rPr>
          <w:color w:val="231F20"/>
        </w:rPr>
        <w:t>por</w:t>
      </w:r>
      <w:r>
        <w:rPr>
          <w:color w:val="231F20"/>
          <w:spacing w:val="-7"/>
        </w:rPr>
        <w:t> </w:t>
      </w:r>
      <w:r>
        <w:rPr>
          <w:color w:val="231F20"/>
        </w:rPr>
        <w:t>ciento),</w:t>
      </w:r>
      <w:r>
        <w:rPr>
          <w:color w:val="231F20"/>
          <w:spacing w:val="-8"/>
        </w:rPr>
        <w:t> </w:t>
      </w:r>
      <w:r>
        <w:rPr>
          <w:color w:val="231F20"/>
        </w:rPr>
        <w:t>Ecuador</w:t>
      </w:r>
      <w:r>
        <w:rPr>
          <w:color w:val="231F20"/>
          <w:spacing w:val="-7"/>
        </w:rPr>
        <w:t> </w:t>
      </w:r>
      <w:r>
        <w:rPr>
          <w:color w:val="231F20"/>
        </w:rPr>
        <w:t>(51.1</w:t>
      </w:r>
      <w:r>
        <w:rPr>
          <w:color w:val="231F20"/>
          <w:spacing w:val="-7"/>
        </w:rPr>
        <w:t> </w:t>
      </w:r>
      <w:r>
        <w:rPr>
          <w:color w:val="231F20"/>
        </w:rPr>
        <w:t>por</w:t>
      </w:r>
      <w:r>
        <w:rPr>
          <w:color w:val="231F20"/>
          <w:spacing w:val="-7"/>
        </w:rPr>
        <w:t> </w:t>
      </w:r>
      <w:r>
        <w:rPr>
          <w:color w:val="231F20"/>
        </w:rPr>
        <w:t>ciento)</w:t>
      </w:r>
      <w:r>
        <w:rPr>
          <w:color w:val="231F20"/>
          <w:spacing w:val="-7"/>
        </w:rPr>
        <w:t> </w:t>
      </w:r>
      <w:r>
        <w:rPr>
          <w:color w:val="231F20"/>
        </w:rPr>
        <w:t>y</w:t>
      </w:r>
      <w:r>
        <w:rPr>
          <w:color w:val="231F20"/>
          <w:spacing w:val="-7"/>
        </w:rPr>
        <w:t> </w:t>
      </w:r>
      <w:r>
        <w:rPr>
          <w:color w:val="231F20"/>
        </w:rPr>
        <w:t>Perú</w:t>
      </w:r>
      <w:r>
        <w:rPr>
          <w:color w:val="231F20"/>
          <w:spacing w:val="-7"/>
        </w:rPr>
        <w:t> </w:t>
      </w:r>
      <w:r>
        <w:rPr>
          <w:color w:val="231F20"/>
        </w:rPr>
        <w:t>(50.7</w:t>
      </w:r>
      <w:r>
        <w:rPr>
          <w:color w:val="231F20"/>
          <w:spacing w:val="-7"/>
        </w:rPr>
        <w:t> </w:t>
      </w:r>
      <w:r>
        <w:rPr>
          <w:color w:val="231F20"/>
        </w:rPr>
        <w:t>por</w:t>
      </w:r>
      <w:r>
        <w:rPr>
          <w:color w:val="231F20"/>
          <w:spacing w:val="-7"/>
        </w:rPr>
        <w:t> </w:t>
      </w:r>
      <w:r>
        <w:rPr>
          <w:color w:val="231F20"/>
        </w:rPr>
        <w:t>ciento), esta diferencia varía según países con respecto de los afiliados a la seguri- dad</w:t>
      </w:r>
      <w:r>
        <w:rPr>
          <w:color w:val="231F20"/>
          <w:spacing w:val="-7"/>
        </w:rPr>
        <w:t> </w:t>
      </w:r>
      <w:r>
        <w:rPr>
          <w:color w:val="231F20"/>
        </w:rPr>
        <w:t>social.</w:t>
      </w:r>
    </w:p>
    <w:p>
      <w:pPr>
        <w:pStyle w:val="BodyText"/>
        <w:spacing w:line="247" w:lineRule="auto"/>
        <w:ind w:left="117" w:right="115" w:firstLine="283"/>
        <w:jc w:val="both"/>
      </w:pPr>
      <w:r>
        <w:rPr>
          <w:color w:val="231F20"/>
        </w:rPr>
        <w:t>Respecto a su inserción en el mercado laboral, la evolución en los últi- mos</w:t>
      </w:r>
      <w:r>
        <w:rPr>
          <w:color w:val="231F20"/>
          <w:spacing w:val="-7"/>
        </w:rPr>
        <w:t> </w:t>
      </w:r>
      <w:r>
        <w:rPr>
          <w:color w:val="231F20"/>
        </w:rPr>
        <w:t>años</w:t>
      </w:r>
      <w:r>
        <w:rPr>
          <w:color w:val="231F20"/>
          <w:spacing w:val="-6"/>
        </w:rPr>
        <w:t> </w:t>
      </w:r>
      <w:r>
        <w:rPr>
          <w:color w:val="231F20"/>
        </w:rPr>
        <w:t>se</w:t>
      </w:r>
      <w:r>
        <w:rPr>
          <w:color w:val="231F20"/>
          <w:spacing w:val="-7"/>
        </w:rPr>
        <w:t> </w:t>
      </w:r>
      <w:r>
        <w:rPr>
          <w:color w:val="231F20"/>
        </w:rPr>
        <w:t>ha</w:t>
      </w:r>
      <w:r>
        <w:rPr>
          <w:color w:val="231F20"/>
          <w:spacing w:val="-7"/>
        </w:rPr>
        <w:t> </w:t>
      </w:r>
      <w:r>
        <w:rPr>
          <w:color w:val="231F20"/>
        </w:rPr>
        <w:t>mantenido</w:t>
      </w:r>
      <w:r>
        <w:rPr>
          <w:color w:val="231F20"/>
          <w:spacing w:val="-7"/>
        </w:rPr>
        <w:t> </w:t>
      </w:r>
      <w:r>
        <w:rPr>
          <w:color w:val="231F20"/>
        </w:rPr>
        <w:t>estable.</w:t>
      </w:r>
      <w:r>
        <w:rPr>
          <w:color w:val="231F20"/>
          <w:spacing w:val="-7"/>
        </w:rPr>
        <w:t> </w:t>
      </w:r>
      <w:r>
        <w:rPr>
          <w:color w:val="231F20"/>
        </w:rPr>
        <w:t>En</w:t>
      </w:r>
      <w:r>
        <w:rPr>
          <w:color w:val="231F20"/>
          <w:spacing w:val="-7"/>
        </w:rPr>
        <w:t> </w:t>
      </w:r>
      <w:r>
        <w:rPr>
          <w:color w:val="231F20"/>
        </w:rPr>
        <w:t>enero</w:t>
      </w:r>
      <w:r>
        <w:rPr>
          <w:color w:val="231F20"/>
          <w:spacing w:val="-7"/>
        </w:rPr>
        <w:t> </w:t>
      </w:r>
      <w:r>
        <w:rPr>
          <w:color w:val="231F20"/>
        </w:rPr>
        <w:t>de</w:t>
      </w:r>
      <w:r>
        <w:rPr>
          <w:color w:val="231F20"/>
          <w:spacing w:val="-7"/>
        </w:rPr>
        <w:t> </w:t>
      </w:r>
      <w:r>
        <w:rPr>
          <w:color w:val="231F20"/>
        </w:rPr>
        <w:t>2005,</w:t>
      </w:r>
      <w:r>
        <w:rPr>
          <w:color w:val="231F20"/>
          <w:spacing w:val="-7"/>
        </w:rPr>
        <w:t> </w:t>
      </w:r>
      <w:r>
        <w:rPr>
          <w:color w:val="231F20"/>
        </w:rPr>
        <w:t>un</w:t>
      </w:r>
      <w:r>
        <w:rPr>
          <w:color w:val="231F20"/>
          <w:spacing w:val="-7"/>
        </w:rPr>
        <w:t> </w:t>
      </w:r>
      <w:r>
        <w:rPr>
          <w:color w:val="231F20"/>
        </w:rPr>
        <w:t>49.0</w:t>
      </w:r>
      <w:r>
        <w:rPr>
          <w:color w:val="231F20"/>
          <w:spacing w:val="-7"/>
        </w:rPr>
        <w:t> </w:t>
      </w:r>
      <w:r>
        <w:rPr>
          <w:color w:val="231F20"/>
        </w:rPr>
        <w:t>por</w:t>
      </w:r>
      <w:r>
        <w:rPr>
          <w:color w:val="231F20"/>
          <w:spacing w:val="-7"/>
        </w:rPr>
        <w:t> </w:t>
      </w:r>
      <w:r>
        <w:rPr>
          <w:color w:val="231F20"/>
        </w:rPr>
        <w:t>ciento</w:t>
      </w:r>
      <w:r>
        <w:rPr>
          <w:color w:val="231F20"/>
          <w:spacing w:val="-7"/>
        </w:rPr>
        <w:t> </w:t>
      </w:r>
      <w:r>
        <w:rPr>
          <w:color w:val="231F20"/>
        </w:rPr>
        <w:t>de las mujeres latinoamericanas estaban afiliadas a la Seguridad Social y en enero de 2007 había 50.6 por ciento, ver Cuadro 4 (Tedesco,</w:t>
      </w:r>
      <w:r>
        <w:rPr>
          <w:color w:val="231F20"/>
          <w:spacing w:val="-19"/>
        </w:rPr>
        <w:t> </w:t>
      </w:r>
      <w:r>
        <w:rPr>
          <w:color w:val="231F20"/>
        </w:rPr>
        <w:t>2008).</w:t>
      </w:r>
    </w:p>
    <w:p>
      <w:pPr>
        <w:pStyle w:val="BodyText"/>
        <w:spacing w:line="247" w:lineRule="auto"/>
        <w:ind w:left="117" w:right="114" w:firstLine="283"/>
        <w:jc w:val="both"/>
      </w:pPr>
      <w:r>
        <w:rPr>
          <w:color w:val="231F20"/>
        </w:rPr>
        <w:t>No obstante, la tendencia desde finales del pasado siglo ha sido a la disminución del peso de las mujeres, pues si bien su llegada no ha cesado de</w:t>
      </w:r>
      <w:r>
        <w:rPr>
          <w:color w:val="231F20"/>
          <w:spacing w:val="-7"/>
        </w:rPr>
        <w:t> </w:t>
      </w:r>
      <w:r>
        <w:rPr>
          <w:color w:val="231F20"/>
        </w:rPr>
        <w:t>aumentar,</w:t>
      </w:r>
      <w:r>
        <w:rPr>
          <w:color w:val="231F20"/>
          <w:spacing w:val="-7"/>
        </w:rPr>
        <w:t> </w:t>
      </w:r>
      <w:r>
        <w:rPr>
          <w:color w:val="231F20"/>
        </w:rPr>
        <w:t>lo</w:t>
      </w:r>
      <w:r>
        <w:rPr>
          <w:color w:val="231F20"/>
          <w:spacing w:val="-7"/>
        </w:rPr>
        <w:t> </w:t>
      </w:r>
      <w:r>
        <w:rPr>
          <w:color w:val="231F20"/>
        </w:rPr>
        <w:t>ha</w:t>
      </w:r>
      <w:r>
        <w:rPr>
          <w:color w:val="231F20"/>
          <w:spacing w:val="-7"/>
        </w:rPr>
        <w:t> </w:t>
      </w:r>
      <w:r>
        <w:rPr>
          <w:color w:val="231F20"/>
        </w:rPr>
        <w:t>hecho</w:t>
      </w:r>
      <w:r>
        <w:rPr>
          <w:color w:val="231F20"/>
          <w:spacing w:val="-7"/>
        </w:rPr>
        <w:t> </w:t>
      </w:r>
      <w:r>
        <w:rPr>
          <w:color w:val="231F20"/>
        </w:rPr>
        <w:t>en</w:t>
      </w:r>
      <w:r>
        <w:rPr>
          <w:color w:val="231F20"/>
          <w:spacing w:val="-7"/>
        </w:rPr>
        <w:t> </w:t>
      </w:r>
      <w:r>
        <w:rPr>
          <w:color w:val="231F20"/>
        </w:rPr>
        <w:t>menor</w:t>
      </w:r>
      <w:r>
        <w:rPr>
          <w:color w:val="231F20"/>
          <w:spacing w:val="-7"/>
        </w:rPr>
        <w:t> </w:t>
      </w:r>
      <w:r>
        <w:rPr>
          <w:color w:val="231F20"/>
        </w:rPr>
        <w:t>medida</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hombres.</w:t>
      </w:r>
      <w:r>
        <w:rPr>
          <w:color w:val="231F20"/>
          <w:spacing w:val="-7"/>
        </w:rPr>
        <w:t> </w:t>
      </w:r>
      <w:r>
        <w:rPr>
          <w:color w:val="231F20"/>
        </w:rPr>
        <w:t>En</w:t>
      </w:r>
      <w:r>
        <w:rPr>
          <w:color w:val="231F20"/>
          <w:spacing w:val="-7"/>
        </w:rPr>
        <w:t> </w:t>
      </w:r>
      <w:r>
        <w:rPr>
          <w:color w:val="231F20"/>
        </w:rPr>
        <w:t>1997 las mujeres representaban 65 por ciento de la población latinoamericana que</w:t>
      </w:r>
      <w:r>
        <w:rPr>
          <w:color w:val="231F20"/>
          <w:spacing w:val="-8"/>
        </w:rPr>
        <w:t> </w:t>
      </w:r>
      <w:r>
        <w:rPr>
          <w:color w:val="231F20"/>
        </w:rPr>
        <w:t>vivía</w:t>
      </w:r>
      <w:r>
        <w:rPr>
          <w:color w:val="231F20"/>
          <w:spacing w:val="-8"/>
        </w:rPr>
        <w:t> </w:t>
      </w:r>
      <w:r>
        <w:rPr>
          <w:color w:val="231F20"/>
        </w:rPr>
        <w:t>en</w:t>
      </w:r>
      <w:r>
        <w:rPr>
          <w:color w:val="231F20"/>
          <w:spacing w:val="-8"/>
        </w:rPr>
        <w:t> </w:t>
      </w:r>
      <w:r>
        <w:rPr>
          <w:color w:val="231F20"/>
        </w:rPr>
        <w:t>España,</w:t>
      </w:r>
      <w:r>
        <w:rPr>
          <w:color w:val="231F20"/>
          <w:spacing w:val="-9"/>
        </w:rPr>
        <w:t> </w:t>
      </w:r>
      <w:r>
        <w:rPr>
          <w:color w:val="231F20"/>
        </w:rPr>
        <w:t>en</w:t>
      </w:r>
      <w:r>
        <w:rPr>
          <w:color w:val="231F20"/>
          <w:spacing w:val="-8"/>
        </w:rPr>
        <w:t> </w:t>
      </w:r>
      <w:r>
        <w:rPr>
          <w:color w:val="231F20"/>
        </w:rPr>
        <w:t>2001,</w:t>
      </w:r>
      <w:r>
        <w:rPr>
          <w:color w:val="231F20"/>
          <w:spacing w:val="-8"/>
        </w:rPr>
        <w:t> </w:t>
      </w:r>
      <w:r>
        <w:rPr>
          <w:color w:val="231F20"/>
        </w:rPr>
        <w:t>56</w:t>
      </w:r>
      <w:r>
        <w:rPr>
          <w:color w:val="231F20"/>
          <w:spacing w:val="-8"/>
        </w:rPr>
        <w:t> </w:t>
      </w:r>
      <w:r>
        <w:rPr>
          <w:color w:val="231F20"/>
        </w:rPr>
        <w:t>por</w:t>
      </w:r>
      <w:r>
        <w:rPr>
          <w:color w:val="231F20"/>
          <w:spacing w:val="-8"/>
        </w:rPr>
        <w:t> </w:t>
      </w:r>
      <w:r>
        <w:rPr>
          <w:color w:val="231F20"/>
        </w:rPr>
        <w:t>ciento</w:t>
      </w:r>
      <w:r>
        <w:rPr>
          <w:color w:val="231F20"/>
          <w:spacing w:val="-9"/>
        </w:rPr>
        <w:t> </w:t>
      </w:r>
      <w:r>
        <w:rPr>
          <w:color w:val="231F20"/>
        </w:rPr>
        <w:t>y</w:t>
      </w:r>
      <w:r>
        <w:rPr>
          <w:color w:val="231F20"/>
          <w:spacing w:val="-8"/>
        </w:rPr>
        <w:t> </w:t>
      </w:r>
      <w:r>
        <w:rPr>
          <w:color w:val="231F20"/>
        </w:rPr>
        <w:t>en</w:t>
      </w:r>
      <w:r>
        <w:rPr>
          <w:color w:val="231F20"/>
          <w:spacing w:val="-8"/>
        </w:rPr>
        <w:t> </w:t>
      </w:r>
      <w:r>
        <w:rPr>
          <w:color w:val="231F20"/>
        </w:rPr>
        <w:t>2008,</w:t>
      </w:r>
      <w:r>
        <w:rPr>
          <w:color w:val="231F20"/>
          <w:spacing w:val="-8"/>
        </w:rPr>
        <w:t> </w:t>
      </w:r>
      <w:r>
        <w:rPr>
          <w:color w:val="231F20"/>
        </w:rPr>
        <w:t>54.2</w:t>
      </w:r>
      <w:r>
        <w:rPr>
          <w:color w:val="231F20"/>
          <w:spacing w:val="-8"/>
        </w:rPr>
        <w:t> </w:t>
      </w:r>
      <w:r>
        <w:rPr>
          <w:color w:val="231F20"/>
        </w:rPr>
        <w:t>por</w:t>
      </w:r>
      <w:r>
        <w:rPr>
          <w:color w:val="231F20"/>
          <w:spacing w:val="-8"/>
        </w:rPr>
        <w:t> </w:t>
      </w:r>
      <w:r>
        <w:rPr>
          <w:color w:val="231F20"/>
        </w:rPr>
        <w:t>ciento.</w:t>
      </w:r>
      <w:r>
        <w:rPr>
          <w:color w:val="231F20"/>
          <w:spacing w:val="-9"/>
        </w:rPr>
        <w:t> </w:t>
      </w:r>
      <w:r>
        <w:rPr>
          <w:color w:val="231F20"/>
        </w:rPr>
        <w:t>Las reagrupaciones familiares realizadas por las mujeres que habían emigrado en</w:t>
      </w:r>
      <w:r>
        <w:rPr>
          <w:color w:val="231F20"/>
          <w:spacing w:val="-3"/>
        </w:rPr>
        <w:t> </w:t>
      </w:r>
      <w:r>
        <w:rPr>
          <w:color w:val="231F20"/>
        </w:rPr>
        <w:t>fecha</w:t>
      </w:r>
      <w:r>
        <w:rPr>
          <w:color w:val="231F20"/>
          <w:spacing w:val="-3"/>
        </w:rPr>
        <w:t> </w:t>
      </w:r>
      <w:r>
        <w:rPr>
          <w:color w:val="231F20"/>
        </w:rPr>
        <w:t>más</w:t>
      </w:r>
      <w:r>
        <w:rPr>
          <w:color w:val="231F20"/>
          <w:spacing w:val="-3"/>
        </w:rPr>
        <w:t> </w:t>
      </w:r>
      <w:r>
        <w:rPr>
          <w:color w:val="231F20"/>
        </w:rPr>
        <w:t>temprana</w:t>
      </w:r>
      <w:r>
        <w:rPr>
          <w:color w:val="231F20"/>
          <w:spacing w:val="-4"/>
        </w:rPr>
        <w:t> </w:t>
      </w:r>
      <w:r>
        <w:rPr>
          <w:color w:val="231F20"/>
        </w:rPr>
        <w:t>y</w:t>
      </w:r>
      <w:r>
        <w:rPr>
          <w:color w:val="231F20"/>
          <w:spacing w:val="-3"/>
        </w:rPr>
        <w:t> </w:t>
      </w:r>
      <w:r>
        <w:rPr>
          <w:color w:val="231F20"/>
        </w:rPr>
        <w:t>la</w:t>
      </w:r>
      <w:r>
        <w:rPr>
          <w:color w:val="231F20"/>
          <w:spacing w:val="-3"/>
        </w:rPr>
        <w:t> </w:t>
      </w:r>
      <w:r>
        <w:rPr>
          <w:color w:val="231F20"/>
        </w:rPr>
        <w:t>demanda</w:t>
      </w:r>
      <w:r>
        <w:rPr>
          <w:color w:val="231F20"/>
          <w:spacing w:val="-3"/>
        </w:rPr>
        <w:t> </w:t>
      </w:r>
      <w:r>
        <w:rPr>
          <w:color w:val="231F20"/>
        </w:rPr>
        <w:t>de</w:t>
      </w:r>
      <w:r>
        <w:rPr>
          <w:color w:val="231F20"/>
          <w:spacing w:val="-3"/>
        </w:rPr>
        <w:t> </w:t>
      </w:r>
      <w:r>
        <w:rPr>
          <w:color w:val="231F20"/>
        </w:rPr>
        <w:t>mano</w:t>
      </w:r>
      <w:r>
        <w:rPr>
          <w:color w:val="231F20"/>
          <w:spacing w:val="-3"/>
        </w:rPr>
        <w:t> </w:t>
      </w:r>
      <w:r>
        <w:rPr>
          <w:color w:val="231F20"/>
        </w:rPr>
        <w:t>de</w:t>
      </w:r>
      <w:r>
        <w:rPr>
          <w:color w:val="231F20"/>
          <w:spacing w:val="-3"/>
        </w:rPr>
        <w:t> </w:t>
      </w:r>
      <w:r>
        <w:rPr>
          <w:color w:val="231F20"/>
        </w:rPr>
        <w:t>obra</w:t>
      </w:r>
      <w:r>
        <w:rPr>
          <w:color w:val="231F20"/>
          <w:spacing w:val="-3"/>
        </w:rPr>
        <w:t> </w:t>
      </w:r>
      <w:r>
        <w:rPr>
          <w:color w:val="231F20"/>
        </w:rPr>
        <w:t>masculina</w:t>
      </w:r>
      <w:r>
        <w:rPr>
          <w:color w:val="231F20"/>
          <w:spacing w:val="-4"/>
        </w:rPr>
        <w:t> </w:t>
      </w:r>
      <w:r>
        <w:rPr>
          <w:color w:val="231F20"/>
        </w:rPr>
        <w:t>por</w:t>
      </w:r>
      <w:r>
        <w:rPr>
          <w:color w:val="231F20"/>
          <w:spacing w:val="-3"/>
        </w:rPr>
        <w:t> </w:t>
      </w:r>
      <w:r>
        <w:rPr>
          <w:color w:val="231F20"/>
        </w:rPr>
        <w:t>parte del mercado laboral español, son algunos de los hechos que están en la base de estos cambios (García </w:t>
      </w:r>
      <w:r>
        <w:rPr>
          <w:i/>
          <w:color w:val="231F20"/>
        </w:rPr>
        <w:t>et al</w:t>
      </w:r>
      <w:r>
        <w:rPr>
          <w:color w:val="231F20"/>
        </w:rPr>
        <w:t>.,</w:t>
      </w:r>
      <w:r>
        <w:rPr>
          <w:color w:val="231F20"/>
          <w:spacing w:val="-4"/>
        </w:rPr>
        <w:t> </w:t>
      </w:r>
      <w:r>
        <w:rPr>
          <w:color w:val="231F20"/>
        </w:rPr>
        <w:t>2009).</w:t>
      </w:r>
    </w:p>
    <w:p>
      <w:pPr>
        <w:spacing w:after="0" w:line="247" w:lineRule="auto"/>
        <w:jc w:val="both"/>
        <w:sectPr>
          <w:footerReference w:type="default" r:id="rId55"/>
          <w:pgSz w:w="9360" w:h="13040"/>
          <w:pgMar w:footer="496" w:header="0" w:top="740" w:bottom="680" w:left="1300" w:right="1300"/>
          <w:pgNumType w:start="21"/>
        </w:sectPr>
      </w:pPr>
    </w:p>
    <w:p>
      <w:pPr>
        <w:tabs>
          <w:tab w:pos="5536" w:val="left" w:leader="none"/>
        </w:tabs>
        <w:spacing w:before="48"/>
        <w:ind w:left="105" w:right="117" w:firstLine="0"/>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18"/>
        </w:rPr>
      </w:pPr>
    </w:p>
    <w:p>
      <w:pPr>
        <w:spacing w:line="252" w:lineRule="auto" w:before="81"/>
        <w:ind w:left="397" w:right="117" w:firstLine="0"/>
        <w:jc w:val="left"/>
        <w:rPr>
          <w:sz w:val="19"/>
        </w:rPr>
      </w:pPr>
      <w:r>
        <w:rPr>
          <w:w w:val="105"/>
          <w:sz w:val="19"/>
        </w:rPr>
        <w:t>Cuadro 4. Latinoamericanos afiliados a la seguridad social según origen y sexo (enero 2007)</w:t>
      </w:r>
    </w:p>
    <w:tbl>
      <w:tblPr>
        <w:tblW w:w="0" w:type="auto"/>
        <w:jc w:val="left"/>
        <w:tblInd w:w="3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35"/>
        <w:gridCol w:w="1528"/>
        <w:gridCol w:w="1606"/>
        <w:gridCol w:w="1338"/>
      </w:tblGrid>
      <w:tr>
        <w:trPr>
          <w:trHeight w:val="250" w:hRule="exact"/>
        </w:trPr>
        <w:tc>
          <w:tcPr>
            <w:tcW w:w="1835" w:type="dxa"/>
            <w:tcBorders>
              <w:left w:val="nil"/>
              <w:bottom w:val="double" w:sz="4" w:space="0" w:color="000000"/>
              <w:right w:val="nil"/>
            </w:tcBorders>
          </w:tcPr>
          <w:p>
            <w:pPr>
              <w:pStyle w:val="TableParagraph"/>
              <w:spacing w:before="5"/>
              <w:ind w:left="72"/>
              <w:jc w:val="left"/>
              <w:rPr>
                <w:sz w:val="19"/>
              </w:rPr>
            </w:pPr>
            <w:r>
              <w:rPr>
                <w:w w:val="105"/>
                <w:sz w:val="19"/>
              </w:rPr>
              <w:t>País</w:t>
            </w:r>
          </w:p>
        </w:tc>
        <w:tc>
          <w:tcPr>
            <w:tcW w:w="1528" w:type="dxa"/>
            <w:tcBorders>
              <w:left w:val="nil"/>
              <w:bottom w:val="double" w:sz="4" w:space="0" w:color="000000"/>
              <w:right w:val="nil"/>
            </w:tcBorders>
          </w:tcPr>
          <w:p>
            <w:pPr>
              <w:pStyle w:val="TableParagraph"/>
              <w:spacing w:before="5"/>
              <w:ind w:right="524"/>
              <w:rPr>
                <w:sz w:val="19"/>
              </w:rPr>
            </w:pPr>
            <w:r>
              <w:rPr>
                <w:sz w:val="19"/>
              </w:rPr>
              <w:t>Hombres</w:t>
            </w:r>
          </w:p>
        </w:tc>
        <w:tc>
          <w:tcPr>
            <w:tcW w:w="1606" w:type="dxa"/>
            <w:tcBorders>
              <w:left w:val="nil"/>
              <w:bottom w:val="double" w:sz="4" w:space="0" w:color="000000"/>
              <w:right w:val="nil"/>
            </w:tcBorders>
          </w:tcPr>
          <w:p>
            <w:pPr>
              <w:pStyle w:val="TableParagraph"/>
              <w:spacing w:before="5"/>
              <w:ind w:right="424"/>
              <w:rPr>
                <w:sz w:val="19"/>
              </w:rPr>
            </w:pPr>
            <w:r>
              <w:rPr>
                <w:sz w:val="19"/>
              </w:rPr>
              <w:t>Mujeres</w:t>
            </w:r>
          </w:p>
        </w:tc>
        <w:tc>
          <w:tcPr>
            <w:tcW w:w="1338" w:type="dxa"/>
            <w:tcBorders>
              <w:left w:val="nil"/>
              <w:bottom w:val="double" w:sz="4" w:space="0" w:color="000000"/>
              <w:right w:val="nil"/>
            </w:tcBorders>
          </w:tcPr>
          <w:p>
            <w:pPr>
              <w:pStyle w:val="TableParagraph"/>
              <w:spacing w:before="5"/>
              <w:ind w:right="68"/>
              <w:rPr>
                <w:sz w:val="19"/>
              </w:rPr>
            </w:pPr>
            <w:r>
              <w:rPr>
                <w:sz w:val="19"/>
              </w:rPr>
              <w:t>Porcentaje</w:t>
            </w:r>
          </w:p>
        </w:tc>
      </w:tr>
      <w:tr>
        <w:trPr>
          <w:trHeight w:val="252" w:hRule="exact"/>
        </w:trPr>
        <w:tc>
          <w:tcPr>
            <w:tcW w:w="1835" w:type="dxa"/>
            <w:tcBorders>
              <w:top w:val="double" w:sz="4" w:space="0" w:color="000000"/>
              <w:left w:val="nil"/>
              <w:bottom w:val="nil"/>
              <w:right w:val="nil"/>
            </w:tcBorders>
          </w:tcPr>
          <w:p>
            <w:pPr>
              <w:pStyle w:val="TableParagraph"/>
              <w:spacing w:before="5"/>
              <w:ind w:left="72"/>
              <w:jc w:val="left"/>
              <w:rPr>
                <w:sz w:val="19"/>
              </w:rPr>
            </w:pPr>
            <w:r>
              <w:rPr>
                <w:w w:val="105"/>
                <w:sz w:val="19"/>
              </w:rPr>
              <w:t>Argentina</w:t>
            </w:r>
          </w:p>
        </w:tc>
        <w:tc>
          <w:tcPr>
            <w:tcW w:w="1528" w:type="dxa"/>
            <w:tcBorders>
              <w:top w:val="double" w:sz="4" w:space="0" w:color="000000"/>
              <w:left w:val="nil"/>
              <w:bottom w:val="nil"/>
              <w:right w:val="nil"/>
            </w:tcBorders>
          </w:tcPr>
          <w:p>
            <w:pPr>
              <w:pStyle w:val="TableParagraph"/>
              <w:spacing w:before="5"/>
              <w:ind w:right="523"/>
              <w:rPr>
                <w:sz w:val="19"/>
              </w:rPr>
            </w:pPr>
            <w:r>
              <w:rPr>
                <w:w w:val="105"/>
                <w:sz w:val="19"/>
              </w:rPr>
              <w:t>33 099</w:t>
            </w:r>
          </w:p>
        </w:tc>
        <w:tc>
          <w:tcPr>
            <w:tcW w:w="1606" w:type="dxa"/>
            <w:tcBorders>
              <w:top w:val="double" w:sz="4" w:space="0" w:color="000000"/>
              <w:left w:val="nil"/>
              <w:bottom w:val="nil"/>
              <w:right w:val="nil"/>
            </w:tcBorders>
          </w:tcPr>
          <w:p>
            <w:pPr>
              <w:pStyle w:val="TableParagraph"/>
              <w:spacing w:before="5"/>
              <w:ind w:right="423"/>
              <w:rPr>
                <w:sz w:val="19"/>
              </w:rPr>
            </w:pPr>
            <w:r>
              <w:rPr>
                <w:w w:val="105"/>
                <w:sz w:val="19"/>
              </w:rPr>
              <w:t>24 705</w:t>
            </w:r>
          </w:p>
        </w:tc>
        <w:tc>
          <w:tcPr>
            <w:tcW w:w="1338" w:type="dxa"/>
            <w:tcBorders>
              <w:top w:val="double" w:sz="4" w:space="0" w:color="000000"/>
              <w:left w:val="nil"/>
              <w:bottom w:val="nil"/>
              <w:right w:val="nil"/>
            </w:tcBorders>
          </w:tcPr>
          <w:p>
            <w:pPr>
              <w:pStyle w:val="TableParagraph"/>
              <w:spacing w:before="5"/>
              <w:ind w:right="68"/>
              <w:rPr>
                <w:sz w:val="19"/>
              </w:rPr>
            </w:pPr>
            <w:r>
              <w:rPr>
                <w:sz w:val="19"/>
              </w:rPr>
              <w:t>42.7</w:t>
            </w:r>
          </w:p>
        </w:tc>
      </w:tr>
      <w:tr>
        <w:trPr>
          <w:trHeight w:val="230" w:hRule="exact"/>
        </w:trPr>
        <w:tc>
          <w:tcPr>
            <w:tcW w:w="1835" w:type="dxa"/>
            <w:tcBorders>
              <w:top w:val="nil"/>
              <w:left w:val="nil"/>
              <w:bottom w:val="nil"/>
              <w:right w:val="nil"/>
            </w:tcBorders>
          </w:tcPr>
          <w:p>
            <w:pPr>
              <w:pStyle w:val="TableParagraph"/>
              <w:spacing w:line="216" w:lineRule="exact"/>
              <w:ind w:left="72"/>
              <w:jc w:val="left"/>
              <w:rPr>
                <w:sz w:val="19"/>
              </w:rPr>
            </w:pPr>
            <w:r>
              <w:rPr>
                <w:w w:val="105"/>
                <w:sz w:val="19"/>
              </w:rPr>
              <w:t>Bolivia</w:t>
            </w:r>
          </w:p>
        </w:tc>
        <w:tc>
          <w:tcPr>
            <w:tcW w:w="1528" w:type="dxa"/>
            <w:tcBorders>
              <w:top w:val="nil"/>
              <w:left w:val="nil"/>
              <w:bottom w:val="nil"/>
              <w:right w:val="nil"/>
            </w:tcBorders>
          </w:tcPr>
          <w:p>
            <w:pPr>
              <w:pStyle w:val="TableParagraph"/>
              <w:spacing w:line="216" w:lineRule="exact"/>
              <w:ind w:right="523"/>
              <w:rPr>
                <w:sz w:val="19"/>
              </w:rPr>
            </w:pPr>
            <w:r>
              <w:rPr>
                <w:w w:val="105"/>
                <w:sz w:val="19"/>
              </w:rPr>
              <w:t>21 417</w:t>
            </w:r>
          </w:p>
        </w:tc>
        <w:tc>
          <w:tcPr>
            <w:tcW w:w="1606" w:type="dxa"/>
            <w:tcBorders>
              <w:top w:val="nil"/>
              <w:left w:val="nil"/>
              <w:bottom w:val="nil"/>
              <w:right w:val="nil"/>
            </w:tcBorders>
          </w:tcPr>
          <w:p>
            <w:pPr>
              <w:pStyle w:val="TableParagraph"/>
              <w:spacing w:line="216" w:lineRule="exact"/>
              <w:ind w:right="423"/>
              <w:rPr>
                <w:sz w:val="19"/>
              </w:rPr>
            </w:pPr>
            <w:r>
              <w:rPr>
                <w:w w:val="105"/>
                <w:sz w:val="19"/>
              </w:rPr>
              <w:t>24 672</w:t>
            </w:r>
          </w:p>
        </w:tc>
        <w:tc>
          <w:tcPr>
            <w:tcW w:w="1338" w:type="dxa"/>
            <w:tcBorders>
              <w:top w:val="nil"/>
              <w:left w:val="nil"/>
              <w:bottom w:val="nil"/>
              <w:right w:val="nil"/>
            </w:tcBorders>
          </w:tcPr>
          <w:p>
            <w:pPr>
              <w:pStyle w:val="TableParagraph"/>
              <w:spacing w:line="216" w:lineRule="exact"/>
              <w:ind w:right="68"/>
              <w:rPr>
                <w:sz w:val="19"/>
              </w:rPr>
            </w:pPr>
            <w:r>
              <w:rPr>
                <w:sz w:val="19"/>
              </w:rPr>
              <w:t>53.5</w:t>
            </w:r>
          </w:p>
        </w:tc>
      </w:tr>
      <w:tr>
        <w:trPr>
          <w:trHeight w:val="230" w:hRule="exact"/>
        </w:trPr>
        <w:tc>
          <w:tcPr>
            <w:tcW w:w="1835" w:type="dxa"/>
            <w:tcBorders>
              <w:top w:val="nil"/>
              <w:left w:val="nil"/>
              <w:bottom w:val="nil"/>
              <w:right w:val="nil"/>
            </w:tcBorders>
          </w:tcPr>
          <w:p>
            <w:pPr>
              <w:pStyle w:val="TableParagraph"/>
              <w:spacing w:line="216" w:lineRule="exact"/>
              <w:ind w:left="72"/>
              <w:jc w:val="left"/>
              <w:rPr>
                <w:sz w:val="19"/>
              </w:rPr>
            </w:pPr>
            <w:r>
              <w:rPr>
                <w:w w:val="105"/>
                <w:sz w:val="19"/>
              </w:rPr>
              <w:t>Colombia</w:t>
            </w:r>
          </w:p>
        </w:tc>
        <w:tc>
          <w:tcPr>
            <w:tcW w:w="1528" w:type="dxa"/>
            <w:tcBorders>
              <w:top w:val="nil"/>
              <w:left w:val="nil"/>
              <w:bottom w:val="nil"/>
              <w:right w:val="nil"/>
            </w:tcBorders>
          </w:tcPr>
          <w:p>
            <w:pPr>
              <w:pStyle w:val="TableParagraph"/>
              <w:spacing w:line="216" w:lineRule="exact"/>
              <w:ind w:right="523"/>
              <w:rPr>
                <w:sz w:val="19"/>
              </w:rPr>
            </w:pPr>
            <w:r>
              <w:rPr>
                <w:w w:val="105"/>
                <w:sz w:val="19"/>
              </w:rPr>
              <w:t>64 852</w:t>
            </w:r>
          </w:p>
        </w:tc>
        <w:tc>
          <w:tcPr>
            <w:tcW w:w="1606" w:type="dxa"/>
            <w:tcBorders>
              <w:top w:val="nil"/>
              <w:left w:val="nil"/>
              <w:bottom w:val="nil"/>
              <w:right w:val="nil"/>
            </w:tcBorders>
          </w:tcPr>
          <w:p>
            <w:pPr>
              <w:pStyle w:val="TableParagraph"/>
              <w:spacing w:line="216" w:lineRule="exact"/>
              <w:ind w:right="423"/>
              <w:rPr>
                <w:sz w:val="19"/>
              </w:rPr>
            </w:pPr>
            <w:r>
              <w:rPr>
                <w:w w:val="105"/>
                <w:sz w:val="19"/>
              </w:rPr>
              <w:t>78 459</w:t>
            </w:r>
          </w:p>
        </w:tc>
        <w:tc>
          <w:tcPr>
            <w:tcW w:w="1338" w:type="dxa"/>
            <w:tcBorders>
              <w:top w:val="nil"/>
              <w:left w:val="nil"/>
              <w:bottom w:val="nil"/>
              <w:right w:val="nil"/>
            </w:tcBorders>
          </w:tcPr>
          <w:p>
            <w:pPr>
              <w:pStyle w:val="TableParagraph"/>
              <w:spacing w:line="216" w:lineRule="exact"/>
              <w:ind w:right="68"/>
              <w:rPr>
                <w:sz w:val="19"/>
              </w:rPr>
            </w:pPr>
            <w:r>
              <w:rPr>
                <w:sz w:val="19"/>
              </w:rPr>
              <w:t>54.7</w:t>
            </w:r>
          </w:p>
        </w:tc>
      </w:tr>
      <w:tr>
        <w:trPr>
          <w:trHeight w:val="230" w:hRule="exact"/>
        </w:trPr>
        <w:tc>
          <w:tcPr>
            <w:tcW w:w="1835" w:type="dxa"/>
            <w:tcBorders>
              <w:top w:val="nil"/>
              <w:left w:val="nil"/>
              <w:bottom w:val="nil"/>
              <w:right w:val="nil"/>
            </w:tcBorders>
          </w:tcPr>
          <w:p>
            <w:pPr>
              <w:pStyle w:val="TableParagraph"/>
              <w:spacing w:line="216" w:lineRule="exact"/>
              <w:ind w:left="72"/>
              <w:jc w:val="left"/>
              <w:rPr>
                <w:sz w:val="19"/>
              </w:rPr>
            </w:pPr>
            <w:r>
              <w:rPr>
                <w:w w:val="105"/>
                <w:sz w:val="19"/>
              </w:rPr>
              <w:t>Cuba</w:t>
            </w:r>
          </w:p>
        </w:tc>
        <w:tc>
          <w:tcPr>
            <w:tcW w:w="1528" w:type="dxa"/>
            <w:tcBorders>
              <w:top w:val="nil"/>
              <w:left w:val="nil"/>
              <w:bottom w:val="nil"/>
              <w:right w:val="nil"/>
            </w:tcBorders>
          </w:tcPr>
          <w:p>
            <w:pPr>
              <w:pStyle w:val="TableParagraph"/>
              <w:spacing w:line="216" w:lineRule="exact"/>
              <w:ind w:right="523"/>
              <w:rPr>
                <w:sz w:val="19"/>
              </w:rPr>
            </w:pPr>
            <w:r>
              <w:rPr>
                <w:w w:val="105"/>
                <w:sz w:val="19"/>
              </w:rPr>
              <w:t>12 365</w:t>
            </w:r>
          </w:p>
        </w:tc>
        <w:tc>
          <w:tcPr>
            <w:tcW w:w="1606" w:type="dxa"/>
            <w:tcBorders>
              <w:top w:val="nil"/>
              <w:left w:val="nil"/>
              <w:bottom w:val="nil"/>
              <w:right w:val="nil"/>
            </w:tcBorders>
          </w:tcPr>
          <w:p>
            <w:pPr>
              <w:pStyle w:val="TableParagraph"/>
              <w:spacing w:line="216" w:lineRule="exact"/>
              <w:ind w:right="423"/>
              <w:rPr>
                <w:sz w:val="19"/>
              </w:rPr>
            </w:pPr>
            <w:r>
              <w:rPr>
                <w:w w:val="105"/>
                <w:sz w:val="19"/>
              </w:rPr>
              <w:t>11 074</w:t>
            </w:r>
          </w:p>
        </w:tc>
        <w:tc>
          <w:tcPr>
            <w:tcW w:w="1338" w:type="dxa"/>
            <w:tcBorders>
              <w:top w:val="nil"/>
              <w:left w:val="nil"/>
              <w:bottom w:val="nil"/>
              <w:right w:val="nil"/>
            </w:tcBorders>
          </w:tcPr>
          <w:p>
            <w:pPr>
              <w:pStyle w:val="TableParagraph"/>
              <w:spacing w:line="216" w:lineRule="exact"/>
              <w:ind w:right="68"/>
              <w:rPr>
                <w:sz w:val="19"/>
              </w:rPr>
            </w:pPr>
            <w:r>
              <w:rPr>
                <w:sz w:val="19"/>
              </w:rPr>
              <w:t>47.2</w:t>
            </w:r>
          </w:p>
        </w:tc>
      </w:tr>
      <w:tr>
        <w:trPr>
          <w:trHeight w:val="230" w:hRule="exact"/>
        </w:trPr>
        <w:tc>
          <w:tcPr>
            <w:tcW w:w="1835" w:type="dxa"/>
            <w:tcBorders>
              <w:top w:val="nil"/>
              <w:left w:val="nil"/>
              <w:bottom w:val="nil"/>
              <w:right w:val="nil"/>
            </w:tcBorders>
          </w:tcPr>
          <w:p>
            <w:pPr>
              <w:pStyle w:val="TableParagraph"/>
              <w:spacing w:line="216" w:lineRule="exact"/>
              <w:ind w:left="72"/>
              <w:jc w:val="left"/>
              <w:rPr>
                <w:sz w:val="19"/>
              </w:rPr>
            </w:pPr>
            <w:r>
              <w:rPr>
                <w:w w:val="105"/>
                <w:sz w:val="19"/>
              </w:rPr>
              <w:t>Ecuador</w:t>
            </w:r>
          </w:p>
        </w:tc>
        <w:tc>
          <w:tcPr>
            <w:tcW w:w="1528" w:type="dxa"/>
            <w:tcBorders>
              <w:top w:val="nil"/>
              <w:left w:val="nil"/>
              <w:bottom w:val="nil"/>
              <w:right w:val="nil"/>
            </w:tcBorders>
          </w:tcPr>
          <w:p>
            <w:pPr>
              <w:pStyle w:val="TableParagraph"/>
              <w:spacing w:line="216" w:lineRule="exact"/>
              <w:ind w:right="523"/>
              <w:rPr>
                <w:sz w:val="19"/>
              </w:rPr>
            </w:pPr>
            <w:r>
              <w:rPr>
                <w:w w:val="105"/>
                <w:sz w:val="19"/>
              </w:rPr>
              <w:t>140 111</w:t>
            </w:r>
          </w:p>
        </w:tc>
        <w:tc>
          <w:tcPr>
            <w:tcW w:w="1606" w:type="dxa"/>
            <w:tcBorders>
              <w:top w:val="nil"/>
              <w:left w:val="nil"/>
              <w:bottom w:val="nil"/>
              <w:right w:val="nil"/>
            </w:tcBorders>
          </w:tcPr>
          <w:p>
            <w:pPr>
              <w:pStyle w:val="TableParagraph"/>
              <w:spacing w:line="216" w:lineRule="exact"/>
              <w:ind w:right="423"/>
              <w:rPr>
                <w:sz w:val="19"/>
              </w:rPr>
            </w:pPr>
            <w:r>
              <w:rPr>
                <w:w w:val="105"/>
                <w:sz w:val="19"/>
              </w:rPr>
              <w:t>137 563</w:t>
            </w:r>
          </w:p>
        </w:tc>
        <w:tc>
          <w:tcPr>
            <w:tcW w:w="1338" w:type="dxa"/>
            <w:tcBorders>
              <w:top w:val="nil"/>
              <w:left w:val="nil"/>
              <w:bottom w:val="nil"/>
              <w:right w:val="nil"/>
            </w:tcBorders>
          </w:tcPr>
          <w:p>
            <w:pPr>
              <w:pStyle w:val="TableParagraph"/>
              <w:spacing w:line="216" w:lineRule="exact"/>
              <w:ind w:right="68"/>
              <w:rPr>
                <w:sz w:val="19"/>
              </w:rPr>
            </w:pPr>
            <w:r>
              <w:rPr>
                <w:sz w:val="19"/>
              </w:rPr>
              <w:t>49.5</w:t>
            </w:r>
          </w:p>
        </w:tc>
      </w:tr>
      <w:tr>
        <w:trPr>
          <w:trHeight w:val="230" w:hRule="exact"/>
        </w:trPr>
        <w:tc>
          <w:tcPr>
            <w:tcW w:w="1835" w:type="dxa"/>
            <w:tcBorders>
              <w:top w:val="nil"/>
              <w:left w:val="nil"/>
              <w:bottom w:val="nil"/>
              <w:right w:val="nil"/>
            </w:tcBorders>
          </w:tcPr>
          <w:p>
            <w:pPr>
              <w:pStyle w:val="TableParagraph"/>
              <w:spacing w:line="216" w:lineRule="exact"/>
              <w:ind w:left="72"/>
              <w:jc w:val="left"/>
              <w:rPr>
                <w:sz w:val="19"/>
              </w:rPr>
            </w:pPr>
            <w:r>
              <w:rPr>
                <w:w w:val="105"/>
                <w:sz w:val="19"/>
              </w:rPr>
              <w:t>Perú</w:t>
            </w:r>
          </w:p>
        </w:tc>
        <w:tc>
          <w:tcPr>
            <w:tcW w:w="1528" w:type="dxa"/>
            <w:tcBorders>
              <w:top w:val="nil"/>
              <w:left w:val="nil"/>
              <w:bottom w:val="nil"/>
              <w:right w:val="nil"/>
            </w:tcBorders>
          </w:tcPr>
          <w:p>
            <w:pPr>
              <w:pStyle w:val="TableParagraph"/>
              <w:spacing w:line="216" w:lineRule="exact"/>
              <w:ind w:right="523"/>
              <w:rPr>
                <w:sz w:val="19"/>
              </w:rPr>
            </w:pPr>
            <w:r>
              <w:rPr>
                <w:w w:val="105"/>
                <w:sz w:val="19"/>
              </w:rPr>
              <w:t>37 543</w:t>
            </w:r>
          </w:p>
        </w:tc>
        <w:tc>
          <w:tcPr>
            <w:tcW w:w="1606" w:type="dxa"/>
            <w:tcBorders>
              <w:top w:val="nil"/>
              <w:left w:val="nil"/>
              <w:bottom w:val="nil"/>
              <w:right w:val="nil"/>
            </w:tcBorders>
          </w:tcPr>
          <w:p>
            <w:pPr>
              <w:pStyle w:val="TableParagraph"/>
              <w:spacing w:line="216" w:lineRule="exact"/>
              <w:ind w:right="423"/>
              <w:rPr>
                <w:sz w:val="19"/>
              </w:rPr>
            </w:pPr>
            <w:r>
              <w:rPr>
                <w:w w:val="105"/>
                <w:sz w:val="19"/>
              </w:rPr>
              <w:t>33 843</w:t>
            </w:r>
          </w:p>
        </w:tc>
        <w:tc>
          <w:tcPr>
            <w:tcW w:w="1338" w:type="dxa"/>
            <w:tcBorders>
              <w:top w:val="nil"/>
              <w:left w:val="nil"/>
              <w:bottom w:val="nil"/>
              <w:right w:val="nil"/>
            </w:tcBorders>
          </w:tcPr>
          <w:p>
            <w:pPr>
              <w:pStyle w:val="TableParagraph"/>
              <w:spacing w:line="216" w:lineRule="exact"/>
              <w:ind w:right="68"/>
              <w:rPr>
                <w:sz w:val="19"/>
              </w:rPr>
            </w:pPr>
            <w:r>
              <w:rPr>
                <w:sz w:val="19"/>
              </w:rPr>
              <w:t>47.4</w:t>
            </w:r>
          </w:p>
        </w:tc>
      </w:tr>
      <w:tr>
        <w:trPr>
          <w:trHeight w:val="238" w:hRule="exact"/>
        </w:trPr>
        <w:tc>
          <w:tcPr>
            <w:tcW w:w="1835" w:type="dxa"/>
            <w:tcBorders>
              <w:top w:val="nil"/>
              <w:left w:val="nil"/>
              <w:bottom w:val="double" w:sz="4" w:space="0" w:color="000000"/>
              <w:right w:val="nil"/>
            </w:tcBorders>
          </w:tcPr>
          <w:p>
            <w:pPr>
              <w:pStyle w:val="TableParagraph"/>
              <w:spacing w:line="216" w:lineRule="exact"/>
              <w:ind w:left="72"/>
              <w:jc w:val="left"/>
              <w:rPr>
                <w:sz w:val="19"/>
              </w:rPr>
            </w:pPr>
            <w:r>
              <w:rPr>
                <w:w w:val="105"/>
                <w:sz w:val="19"/>
              </w:rPr>
              <w:t>Dominicana</w:t>
            </w:r>
          </w:p>
        </w:tc>
        <w:tc>
          <w:tcPr>
            <w:tcW w:w="1528" w:type="dxa"/>
            <w:tcBorders>
              <w:top w:val="nil"/>
              <w:left w:val="nil"/>
              <w:bottom w:val="double" w:sz="4" w:space="0" w:color="000000"/>
              <w:right w:val="nil"/>
            </w:tcBorders>
          </w:tcPr>
          <w:p>
            <w:pPr>
              <w:pStyle w:val="TableParagraph"/>
              <w:spacing w:line="216" w:lineRule="exact"/>
              <w:ind w:right="523"/>
              <w:rPr>
                <w:sz w:val="19"/>
              </w:rPr>
            </w:pPr>
            <w:r>
              <w:rPr>
                <w:w w:val="105"/>
                <w:sz w:val="19"/>
              </w:rPr>
              <w:t>12 615</w:t>
            </w:r>
          </w:p>
        </w:tc>
        <w:tc>
          <w:tcPr>
            <w:tcW w:w="1606" w:type="dxa"/>
            <w:tcBorders>
              <w:top w:val="nil"/>
              <w:left w:val="nil"/>
              <w:bottom w:val="double" w:sz="4" w:space="0" w:color="000000"/>
              <w:right w:val="nil"/>
            </w:tcBorders>
          </w:tcPr>
          <w:p>
            <w:pPr>
              <w:pStyle w:val="TableParagraph"/>
              <w:spacing w:line="216" w:lineRule="exact"/>
              <w:ind w:right="423"/>
              <w:rPr>
                <w:sz w:val="19"/>
              </w:rPr>
            </w:pPr>
            <w:r>
              <w:rPr>
                <w:w w:val="105"/>
                <w:sz w:val="19"/>
              </w:rPr>
              <w:t>17 890</w:t>
            </w:r>
          </w:p>
        </w:tc>
        <w:tc>
          <w:tcPr>
            <w:tcW w:w="1338" w:type="dxa"/>
            <w:tcBorders>
              <w:top w:val="nil"/>
              <w:left w:val="nil"/>
              <w:bottom w:val="double" w:sz="4" w:space="0" w:color="000000"/>
              <w:right w:val="nil"/>
            </w:tcBorders>
          </w:tcPr>
          <w:p>
            <w:pPr>
              <w:pStyle w:val="TableParagraph"/>
              <w:spacing w:line="216" w:lineRule="exact"/>
              <w:ind w:right="68"/>
              <w:rPr>
                <w:sz w:val="19"/>
              </w:rPr>
            </w:pPr>
            <w:r>
              <w:rPr>
                <w:sz w:val="19"/>
              </w:rPr>
              <w:t>58.6</w:t>
            </w:r>
          </w:p>
        </w:tc>
      </w:tr>
      <w:tr>
        <w:trPr>
          <w:trHeight w:val="294" w:hRule="exact"/>
        </w:trPr>
        <w:tc>
          <w:tcPr>
            <w:tcW w:w="1835" w:type="dxa"/>
            <w:tcBorders>
              <w:top w:val="double" w:sz="4" w:space="0" w:color="000000"/>
              <w:left w:val="nil"/>
              <w:bottom w:val="nil"/>
              <w:right w:val="nil"/>
            </w:tcBorders>
          </w:tcPr>
          <w:p>
            <w:pPr>
              <w:pStyle w:val="TableParagraph"/>
              <w:spacing w:line="183" w:lineRule="exact"/>
              <w:ind w:left="72"/>
              <w:jc w:val="left"/>
              <w:rPr>
                <w:sz w:val="16"/>
              </w:rPr>
            </w:pPr>
            <w:r>
              <w:rPr>
                <w:sz w:val="16"/>
              </w:rPr>
              <w:t>Fuente: Tedesco, 2008.</w:t>
            </w:r>
          </w:p>
        </w:tc>
        <w:tc>
          <w:tcPr>
            <w:tcW w:w="1528" w:type="dxa"/>
            <w:tcBorders>
              <w:top w:val="double" w:sz="4" w:space="0" w:color="000000"/>
              <w:left w:val="nil"/>
              <w:bottom w:val="nil"/>
              <w:right w:val="nil"/>
            </w:tcBorders>
          </w:tcPr>
          <w:p>
            <w:pPr/>
          </w:p>
        </w:tc>
        <w:tc>
          <w:tcPr>
            <w:tcW w:w="1606" w:type="dxa"/>
            <w:tcBorders>
              <w:top w:val="double" w:sz="4" w:space="0" w:color="000000"/>
              <w:left w:val="nil"/>
              <w:bottom w:val="nil"/>
              <w:right w:val="nil"/>
            </w:tcBorders>
          </w:tcPr>
          <w:p>
            <w:pPr/>
          </w:p>
        </w:tc>
        <w:tc>
          <w:tcPr>
            <w:tcW w:w="1338" w:type="dxa"/>
            <w:tcBorders>
              <w:top w:val="double" w:sz="4" w:space="0" w:color="000000"/>
              <w:left w:val="nil"/>
              <w:bottom w:val="nil"/>
              <w:right w:val="nil"/>
            </w:tcBorders>
          </w:tcPr>
          <w:p>
            <w:pPr/>
          </w:p>
        </w:tc>
      </w:tr>
    </w:tbl>
    <w:p>
      <w:pPr>
        <w:pStyle w:val="Heading3"/>
        <w:spacing w:line="242" w:lineRule="auto" w:before="71"/>
        <w:ind w:right="956"/>
        <w:jc w:val="left"/>
      </w:pPr>
      <w:r>
        <w:rPr>
          <w:color w:val="231F20"/>
        </w:rPr>
        <w:t>Estructura por edad de la inmigración latinoamericana en España</w:t>
      </w:r>
    </w:p>
    <w:p>
      <w:pPr>
        <w:pStyle w:val="BodyText"/>
        <w:spacing w:line="247" w:lineRule="auto" w:before="170"/>
        <w:ind w:left="117" w:right="115"/>
        <w:jc w:val="both"/>
      </w:pPr>
      <w:r>
        <w:rPr>
          <w:color w:val="231F20"/>
        </w:rPr>
        <w:t>Con respecto a la estructura por edad, la población latinoamericana inmi- grante sigue las mismas pautas que han venido caracterizado a la inmigra- ción:</w:t>
      </w:r>
      <w:r>
        <w:rPr>
          <w:color w:val="231F20"/>
          <w:spacing w:val="-5"/>
        </w:rPr>
        <w:t> </w:t>
      </w:r>
      <w:r>
        <w:rPr>
          <w:color w:val="231F20"/>
        </w:rPr>
        <w:t>predominio</w:t>
      </w:r>
      <w:r>
        <w:rPr>
          <w:color w:val="231F20"/>
          <w:spacing w:val="-5"/>
        </w:rPr>
        <w:t> </w:t>
      </w:r>
      <w:r>
        <w:rPr>
          <w:color w:val="231F20"/>
        </w:rPr>
        <w:t>de</w:t>
      </w:r>
      <w:r>
        <w:rPr>
          <w:color w:val="231F20"/>
          <w:spacing w:val="-5"/>
        </w:rPr>
        <w:t> </w:t>
      </w:r>
      <w:r>
        <w:rPr>
          <w:color w:val="231F20"/>
        </w:rPr>
        <w:t>población</w:t>
      </w:r>
      <w:r>
        <w:rPr>
          <w:color w:val="231F20"/>
          <w:spacing w:val="-5"/>
        </w:rPr>
        <w:t> </w:t>
      </w:r>
      <w:r>
        <w:rPr>
          <w:color w:val="231F20"/>
        </w:rPr>
        <w:t>adulta</w:t>
      </w:r>
      <w:r>
        <w:rPr>
          <w:color w:val="231F20"/>
          <w:spacing w:val="-5"/>
        </w:rPr>
        <w:t> </w:t>
      </w:r>
      <w:r>
        <w:rPr>
          <w:color w:val="231F20"/>
        </w:rPr>
        <w:t>joven,</w:t>
      </w:r>
      <w:r>
        <w:rPr>
          <w:color w:val="231F20"/>
          <w:spacing w:val="-5"/>
        </w:rPr>
        <w:t> </w:t>
      </w:r>
      <w:r>
        <w:rPr>
          <w:color w:val="231F20"/>
        </w:rPr>
        <w:t>es</w:t>
      </w:r>
      <w:r>
        <w:rPr>
          <w:color w:val="231F20"/>
          <w:spacing w:val="-5"/>
        </w:rPr>
        <w:t> </w:t>
      </w:r>
      <w:r>
        <w:rPr>
          <w:color w:val="231F20"/>
        </w:rPr>
        <w:t>decir,</w:t>
      </w:r>
      <w:r>
        <w:rPr>
          <w:color w:val="231F20"/>
          <w:spacing w:val="-5"/>
        </w:rPr>
        <w:t> </w:t>
      </w:r>
      <w:r>
        <w:rPr>
          <w:color w:val="231F20"/>
        </w:rPr>
        <w:t>tanto</w:t>
      </w:r>
      <w:r>
        <w:rPr>
          <w:color w:val="231F20"/>
          <w:spacing w:val="-5"/>
        </w:rPr>
        <w:t> </w:t>
      </w:r>
      <w:r>
        <w:rPr>
          <w:color w:val="231F20"/>
        </w:rPr>
        <w:t>en</w:t>
      </w:r>
      <w:r>
        <w:rPr>
          <w:color w:val="231F20"/>
          <w:spacing w:val="-5"/>
        </w:rPr>
        <w:t> </w:t>
      </w:r>
      <w:r>
        <w:rPr>
          <w:color w:val="231F20"/>
        </w:rPr>
        <w:t>edad</w:t>
      </w:r>
      <w:r>
        <w:rPr>
          <w:color w:val="231F20"/>
          <w:spacing w:val="-5"/>
        </w:rPr>
        <w:t> </w:t>
      </w:r>
      <w:r>
        <w:rPr>
          <w:color w:val="231F20"/>
        </w:rPr>
        <w:t>laboral como</w:t>
      </w:r>
      <w:r>
        <w:rPr>
          <w:color w:val="231F20"/>
          <w:spacing w:val="-4"/>
        </w:rPr>
        <w:t> </w:t>
      </w:r>
      <w:r>
        <w:rPr>
          <w:color w:val="231F20"/>
        </w:rPr>
        <w:t>de</w:t>
      </w:r>
      <w:r>
        <w:rPr>
          <w:color w:val="231F20"/>
          <w:spacing w:val="-4"/>
        </w:rPr>
        <w:t> </w:t>
      </w:r>
      <w:r>
        <w:rPr>
          <w:color w:val="231F20"/>
        </w:rPr>
        <w:t>procrear</w:t>
      </w:r>
      <w:r>
        <w:rPr>
          <w:color w:val="231F20"/>
          <w:spacing w:val="-4"/>
        </w:rPr>
        <w:t> </w:t>
      </w:r>
      <w:r>
        <w:rPr>
          <w:color w:val="231F20"/>
        </w:rPr>
        <w:t>y</w:t>
      </w:r>
      <w:r>
        <w:rPr>
          <w:color w:val="231F20"/>
          <w:spacing w:val="-4"/>
        </w:rPr>
        <w:t> </w:t>
      </w:r>
      <w:r>
        <w:rPr>
          <w:color w:val="231F20"/>
        </w:rPr>
        <w:t>bajas</w:t>
      </w:r>
      <w:r>
        <w:rPr>
          <w:color w:val="231F20"/>
          <w:spacing w:val="-4"/>
        </w:rPr>
        <w:t> </w:t>
      </w:r>
      <w:r>
        <w:rPr>
          <w:color w:val="231F20"/>
        </w:rPr>
        <w:t>tasas</w:t>
      </w:r>
      <w:r>
        <w:rPr>
          <w:color w:val="231F20"/>
          <w:spacing w:val="-4"/>
        </w:rPr>
        <w:t> </w:t>
      </w:r>
      <w:r>
        <w:rPr>
          <w:color w:val="231F20"/>
        </w:rPr>
        <w:t>de</w:t>
      </w:r>
      <w:r>
        <w:rPr>
          <w:color w:val="231F20"/>
          <w:spacing w:val="-4"/>
        </w:rPr>
        <w:t> </w:t>
      </w:r>
      <w:r>
        <w:rPr>
          <w:color w:val="231F20"/>
        </w:rPr>
        <w:t>dependencia,</w:t>
      </w:r>
      <w:r>
        <w:rPr>
          <w:color w:val="231F20"/>
          <w:spacing w:val="-4"/>
        </w:rPr>
        <w:t> </w:t>
      </w:r>
      <w:r>
        <w:rPr>
          <w:color w:val="231F20"/>
        </w:rPr>
        <w:t>especialmente</w:t>
      </w:r>
      <w:r>
        <w:rPr>
          <w:color w:val="231F20"/>
          <w:spacing w:val="-5"/>
        </w:rPr>
        <w:t> </w:t>
      </w:r>
      <w:r>
        <w:rPr>
          <w:color w:val="231F20"/>
        </w:rPr>
        <w:t>de</w:t>
      </w:r>
      <w:r>
        <w:rPr>
          <w:color w:val="231F20"/>
          <w:spacing w:val="-4"/>
        </w:rPr>
        <w:t> </w:t>
      </w:r>
      <w:r>
        <w:rPr>
          <w:color w:val="231F20"/>
        </w:rPr>
        <w:t>ancianos (García </w:t>
      </w:r>
      <w:r>
        <w:rPr>
          <w:i/>
          <w:color w:val="231F20"/>
        </w:rPr>
        <w:t>et al</w:t>
      </w:r>
      <w:r>
        <w:rPr>
          <w:color w:val="231F20"/>
        </w:rPr>
        <w:t>., 2009). Es decir, de acuerdo con </w:t>
      </w:r>
      <w:r>
        <w:rPr>
          <w:color w:val="231F20"/>
          <w:spacing w:val="-3"/>
        </w:rPr>
        <w:t>Tedesco </w:t>
      </w:r>
      <w:r>
        <w:rPr>
          <w:color w:val="231F20"/>
        </w:rPr>
        <w:t>(2008), la mayor parte de los inmigrantes latinoamericanos se encuentra entre los 16 y los 64 años, los cuales en promedio tienen una edad de 32 años, lo que reafir- ma que una de las causas de la población de países Latinoamericanos para emigrar a España es la búsqueda de trabajo con el fin de lograr un mejor nivel de vida.</w:t>
      </w:r>
    </w:p>
    <w:p>
      <w:pPr>
        <w:pStyle w:val="BodyText"/>
        <w:spacing w:line="247" w:lineRule="auto"/>
        <w:ind w:left="117" w:right="114" w:firstLine="283"/>
        <w:jc w:val="both"/>
      </w:pPr>
      <w:r>
        <w:rPr>
          <w:color w:val="231F20"/>
        </w:rPr>
        <w:t>Si en el caso de toda la población extranjera residente en España, de acuerdo con los últimos datos disponibles del Anuario Estadístico de In- migración, las personas en edad laboral representaban 83.3 por ciento, los menores de 16 años 12.6 por ciento y los mayores de 65, 3.9 por ciento, en el caso de la población latinoamericana con tarjeta de residencia en vi- </w:t>
      </w:r>
      <w:r>
        <w:rPr>
          <w:color w:val="231F20"/>
          <w:spacing w:val="-3"/>
        </w:rPr>
        <w:t>gor, </w:t>
      </w:r>
      <w:r>
        <w:rPr>
          <w:color w:val="231F20"/>
        </w:rPr>
        <w:t>estos porcentajes son respectivamente 85.8 por ciento, 12.4 por</w:t>
      </w:r>
      <w:r>
        <w:rPr>
          <w:color w:val="231F20"/>
          <w:spacing w:val="-36"/>
        </w:rPr>
        <w:t> </w:t>
      </w:r>
      <w:r>
        <w:rPr>
          <w:color w:val="231F20"/>
        </w:rPr>
        <w:t>ciento y 1.7 por ciento. No obstante, aunque todos los países latinoamericanos tienen más de 80 por ciento de sus efectivos en el grupo de edad de 16     a 64 años, comparando los datos de los últimos anuarios se observa una tendencia al incremento del grupo de 0 a 15 años, especialmente en sus grupos quinquenales extremos y en el caso de los adultos en los grupos de adultos jóvenes (entre 16 y 25 años), es decir, hay una suave tendencia al rejuvenecimiento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población</w:t>
      </w:r>
      <w:r>
        <w:rPr>
          <w:color w:val="231F20"/>
          <w:spacing w:val="-7"/>
        </w:rPr>
        <w:t> </w:t>
      </w:r>
      <w:r>
        <w:rPr>
          <w:color w:val="231F20"/>
        </w:rPr>
        <w:t>latinoamericana</w:t>
      </w:r>
      <w:r>
        <w:rPr>
          <w:color w:val="231F20"/>
          <w:spacing w:val="-8"/>
        </w:rPr>
        <w:t> </w:t>
      </w:r>
      <w:r>
        <w:rPr>
          <w:color w:val="231F20"/>
        </w:rPr>
        <w:t>con</w:t>
      </w:r>
      <w:r>
        <w:rPr>
          <w:color w:val="231F20"/>
          <w:spacing w:val="-7"/>
        </w:rPr>
        <w:t> </w:t>
      </w:r>
      <w:r>
        <w:rPr>
          <w:color w:val="231F20"/>
        </w:rPr>
        <w:t>tarjeta</w:t>
      </w:r>
      <w:r>
        <w:rPr>
          <w:color w:val="231F20"/>
          <w:spacing w:val="-8"/>
        </w:rPr>
        <w:t> </w:t>
      </w:r>
      <w:r>
        <w:rPr>
          <w:color w:val="231F20"/>
        </w:rPr>
        <w:t>de</w:t>
      </w:r>
      <w:r>
        <w:rPr>
          <w:color w:val="231F20"/>
          <w:spacing w:val="-7"/>
        </w:rPr>
        <w:t> </w:t>
      </w:r>
      <w:r>
        <w:rPr>
          <w:color w:val="231F20"/>
        </w:rPr>
        <w:t>residencia debido, en parte, a las reagrupaciones familiares que han tenido lugar en los</w:t>
      </w:r>
      <w:r>
        <w:rPr>
          <w:color w:val="231F20"/>
          <w:spacing w:val="-4"/>
        </w:rPr>
        <w:t> </w:t>
      </w:r>
      <w:r>
        <w:rPr>
          <w:color w:val="231F20"/>
        </w:rPr>
        <w:t>últimos</w:t>
      </w:r>
      <w:r>
        <w:rPr>
          <w:color w:val="231F20"/>
          <w:spacing w:val="-4"/>
        </w:rPr>
        <w:t> </w:t>
      </w:r>
      <w:r>
        <w:rPr>
          <w:color w:val="231F20"/>
        </w:rPr>
        <w:t>años.</w:t>
      </w:r>
      <w:r>
        <w:rPr>
          <w:color w:val="231F20"/>
          <w:spacing w:val="-4"/>
        </w:rPr>
        <w:t> </w:t>
      </w:r>
      <w:r>
        <w:rPr>
          <w:color w:val="231F20"/>
        </w:rPr>
        <w:t>Por</w:t>
      </w:r>
      <w:r>
        <w:rPr>
          <w:color w:val="231F20"/>
          <w:spacing w:val="-3"/>
        </w:rPr>
        <w:t> </w:t>
      </w:r>
      <w:r>
        <w:rPr>
          <w:color w:val="231F20"/>
        </w:rPr>
        <w:t>otra</w:t>
      </w:r>
      <w:r>
        <w:rPr>
          <w:color w:val="231F20"/>
          <w:spacing w:val="-3"/>
        </w:rPr>
        <w:t> </w:t>
      </w:r>
      <w:r>
        <w:rPr>
          <w:color w:val="231F20"/>
        </w:rPr>
        <w:t>parte,</w:t>
      </w:r>
      <w:r>
        <w:rPr>
          <w:color w:val="231F20"/>
          <w:spacing w:val="-4"/>
        </w:rPr>
        <w:t> </w:t>
      </w:r>
      <w:r>
        <w:rPr>
          <w:color w:val="231F20"/>
        </w:rPr>
        <w:t>en</w:t>
      </w:r>
      <w:r>
        <w:rPr>
          <w:color w:val="231F20"/>
          <w:spacing w:val="-3"/>
        </w:rPr>
        <w:t> </w:t>
      </w:r>
      <w:r>
        <w:rPr>
          <w:color w:val="231F20"/>
        </w:rPr>
        <w:t>términos</w:t>
      </w:r>
      <w:r>
        <w:rPr>
          <w:color w:val="231F20"/>
          <w:spacing w:val="-4"/>
        </w:rPr>
        <w:t> </w:t>
      </w:r>
      <w:r>
        <w:rPr>
          <w:color w:val="231F20"/>
        </w:rPr>
        <w:t>de</w:t>
      </w:r>
      <w:r>
        <w:rPr>
          <w:color w:val="231F20"/>
          <w:spacing w:val="-3"/>
        </w:rPr>
        <w:t> </w:t>
      </w:r>
      <w:r>
        <w:rPr>
          <w:color w:val="231F20"/>
        </w:rPr>
        <w:t>países</w:t>
      </w:r>
      <w:r>
        <w:rPr>
          <w:color w:val="231F20"/>
          <w:spacing w:val="-3"/>
        </w:rPr>
        <w:t> </w:t>
      </w:r>
      <w:r>
        <w:rPr>
          <w:color w:val="231F20"/>
        </w:rPr>
        <w:t>de</w:t>
      </w:r>
      <w:r>
        <w:rPr>
          <w:color w:val="231F20"/>
          <w:spacing w:val="-3"/>
        </w:rPr>
        <w:t> </w:t>
      </w:r>
      <w:r>
        <w:rPr>
          <w:color w:val="231F20"/>
        </w:rPr>
        <w:t>origen,</w:t>
      </w:r>
      <w:r>
        <w:rPr>
          <w:color w:val="231F20"/>
          <w:spacing w:val="-3"/>
        </w:rPr>
        <w:t> </w:t>
      </w:r>
      <w:r>
        <w:rPr>
          <w:color w:val="231F20"/>
        </w:rPr>
        <w:t>Paraguay es el país del cual procede el mayor número de personas en edad   </w:t>
      </w:r>
      <w:r>
        <w:rPr>
          <w:color w:val="231F20"/>
          <w:spacing w:val="2"/>
        </w:rPr>
        <w:t> </w:t>
      </w:r>
      <w:r>
        <w:rPr>
          <w:color w:val="231F20"/>
        </w:rPr>
        <w:t>laboral</w:t>
      </w:r>
    </w:p>
    <w:p>
      <w:pPr>
        <w:spacing w:after="0" w:line="247" w:lineRule="auto"/>
        <w:jc w:val="both"/>
        <w:sectPr>
          <w:pgSz w:w="9360" w:h="13040"/>
          <w:pgMar w:header="0" w:footer="496" w:top="800" w:bottom="680" w:left="1300" w:right="1300"/>
        </w:sectPr>
      </w:pPr>
    </w:p>
    <w:p>
      <w:pPr>
        <w:spacing w:before="45"/>
        <w:ind w:left="117" w:right="0" w:firstLine="88"/>
        <w:jc w:val="both"/>
        <w:rPr>
          <w:rFonts w:ascii="Arial" w:hAnsi="Arial"/>
          <w:sz w:val="20"/>
        </w:rPr>
      </w:pPr>
      <w:r>
        <w:rPr>
          <w:rFonts w:ascii="Arial" w:hAnsi="Arial"/>
          <w:color w:val="231F20"/>
          <w:w w:val="70"/>
          <w:sz w:val="20"/>
        </w:rPr>
        <w:t>Nueva reconfiguración de la inmigración internacional: el caso de España /Lucila Godínez-Montoya </w:t>
      </w:r>
      <w:r>
        <w:rPr>
          <w:rFonts w:ascii="Arial" w:hAnsi="Arial"/>
          <w:i/>
          <w:color w:val="231F20"/>
          <w:w w:val="70"/>
          <w:sz w:val="20"/>
        </w:rPr>
        <w:t>et al</w:t>
      </w:r>
      <w:r>
        <w:rPr>
          <w:rFonts w:ascii="Arial" w:hAnsi="Arial"/>
          <w:color w:val="231F20"/>
          <w:w w:val="70"/>
          <w:sz w:val="20"/>
        </w:rPr>
        <w:t>.</w:t>
      </w:r>
    </w:p>
    <w:p>
      <w:pPr>
        <w:pStyle w:val="BodyText"/>
        <w:spacing w:before="7"/>
        <w:rPr>
          <w:rFonts w:ascii="Arial"/>
          <w:sz w:val="28"/>
        </w:rPr>
      </w:pPr>
    </w:p>
    <w:p>
      <w:pPr>
        <w:pStyle w:val="BodyText"/>
        <w:spacing w:line="247" w:lineRule="auto"/>
        <w:ind w:left="117" w:right="114"/>
        <w:jc w:val="both"/>
      </w:pPr>
      <w:r>
        <w:rPr>
          <w:color w:val="231F20"/>
        </w:rPr>
        <w:t>(más de 95 por ciento), por encima de los bolivianos con 90 por ciento, los brasileños, mexicanos, nicaragüenses, guatemaltecos y</w:t>
      </w:r>
      <w:r>
        <w:rPr>
          <w:color w:val="231F20"/>
          <w:spacing w:val="-13"/>
        </w:rPr>
        <w:t> </w:t>
      </w:r>
      <w:r>
        <w:rPr>
          <w:color w:val="231F20"/>
        </w:rPr>
        <w:t>costarriqueños; en todos estos casos, se trata de personas que proceden de países que han incrementado</w:t>
      </w:r>
      <w:r>
        <w:rPr>
          <w:color w:val="231F20"/>
          <w:spacing w:val="-10"/>
        </w:rPr>
        <w:t> </w:t>
      </w:r>
      <w:r>
        <w:rPr>
          <w:color w:val="231F20"/>
        </w:rPr>
        <w:t>fuertemente</w:t>
      </w:r>
      <w:r>
        <w:rPr>
          <w:color w:val="231F20"/>
          <w:spacing w:val="-9"/>
        </w:rPr>
        <w:t> </w:t>
      </w:r>
      <w:r>
        <w:rPr>
          <w:color w:val="231F20"/>
        </w:rPr>
        <w:t>su</w:t>
      </w:r>
      <w:r>
        <w:rPr>
          <w:color w:val="231F20"/>
          <w:spacing w:val="-9"/>
        </w:rPr>
        <w:t> </w:t>
      </w:r>
      <w:r>
        <w:rPr>
          <w:color w:val="231F20"/>
        </w:rPr>
        <w:t>emigración</w:t>
      </w:r>
      <w:r>
        <w:rPr>
          <w:color w:val="231F20"/>
          <w:spacing w:val="-10"/>
        </w:rPr>
        <w:t> </w:t>
      </w:r>
      <w:r>
        <w:rPr>
          <w:color w:val="231F20"/>
        </w:rPr>
        <w:t>a</w:t>
      </w:r>
      <w:r>
        <w:rPr>
          <w:color w:val="231F20"/>
          <w:spacing w:val="-9"/>
        </w:rPr>
        <w:t> </w:t>
      </w:r>
      <w:r>
        <w:rPr>
          <w:color w:val="231F20"/>
        </w:rPr>
        <w:t>España</w:t>
      </w:r>
      <w:r>
        <w:rPr>
          <w:color w:val="231F20"/>
          <w:spacing w:val="-10"/>
        </w:rPr>
        <w:t> </w:t>
      </w:r>
      <w:r>
        <w:rPr>
          <w:color w:val="231F20"/>
        </w:rPr>
        <w:t>a</w:t>
      </w:r>
      <w:r>
        <w:rPr>
          <w:color w:val="231F20"/>
          <w:spacing w:val="-9"/>
        </w:rPr>
        <w:t> </w:t>
      </w:r>
      <w:r>
        <w:rPr>
          <w:color w:val="231F20"/>
        </w:rPr>
        <w:t>partir</w:t>
      </w:r>
      <w:r>
        <w:rPr>
          <w:color w:val="231F20"/>
          <w:spacing w:val="-9"/>
        </w:rPr>
        <w:t> </w:t>
      </w:r>
      <w:r>
        <w:rPr>
          <w:color w:val="231F20"/>
        </w:rPr>
        <w:t>de</w:t>
      </w:r>
      <w:r>
        <w:rPr>
          <w:color w:val="231F20"/>
          <w:spacing w:val="-9"/>
        </w:rPr>
        <w:t> </w:t>
      </w:r>
      <w:r>
        <w:rPr>
          <w:color w:val="231F20"/>
        </w:rPr>
        <w:t>2006</w:t>
      </w:r>
      <w:r>
        <w:rPr>
          <w:color w:val="231F20"/>
          <w:spacing w:val="-9"/>
        </w:rPr>
        <w:t> </w:t>
      </w:r>
      <w:r>
        <w:rPr>
          <w:color w:val="231F20"/>
        </w:rPr>
        <w:t>(García </w:t>
      </w:r>
      <w:r>
        <w:rPr>
          <w:i/>
          <w:color w:val="231F20"/>
        </w:rPr>
        <w:t>et al</w:t>
      </w:r>
      <w:r>
        <w:rPr>
          <w:color w:val="231F20"/>
        </w:rPr>
        <w:t>.,</w:t>
      </w:r>
      <w:r>
        <w:rPr>
          <w:color w:val="231F20"/>
          <w:spacing w:val="-1"/>
        </w:rPr>
        <w:t> </w:t>
      </w:r>
      <w:r>
        <w:rPr>
          <w:color w:val="231F20"/>
        </w:rPr>
        <w:t>2009).</w:t>
      </w:r>
    </w:p>
    <w:p>
      <w:pPr>
        <w:pStyle w:val="Heading3"/>
        <w:spacing w:line="242" w:lineRule="auto"/>
        <w:ind w:right="989"/>
        <w:jc w:val="left"/>
      </w:pPr>
      <w:r>
        <w:rPr>
          <w:color w:val="231F20"/>
        </w:rPr>
        <w:t>Ocupación de la población inmigrante latinoamericana en España</w:t>
      </w:r>
    </w:p>
    <w:p>
      <w:pPr>
        <w:pStyle w:val="BodyText"/>
        <w:spacing w:line="247" w:lineRule="auto" w:before="170"/>
        <w:ind w:left="117" w:right="114"/>
        <w:jc w:val="both"/>
      </w:pPr>
      <w:r>
        <w:rPr>
          <w:color w:val="231F20"/>
        </w:rPr>
        <w:t>En el caso de España, la ocupación de la población latinoamericana por sectores</w:t>
      </w:r>
      <w:r>
        <w:rPr>
          <w:color w:val="231F20"/>
          <w:spacing w:val="-16"/>
        </w:rPr>
        <w:t> </w:t>
      </w:r>
      <w:r>
        <w:rPr>
          <w:color w:val="231F20"/>
        </w:rPr>
        <w:t>económicos</w:t>
      </w:r>
      <w:r>
        <w:rPr>
          <w:color w:val="231F20"/>
          <w:spacing w:val="-17"/>
        </w:rPr>
        <w:t> </w:t>
      </w:r>
      <w:r>
        <w:rPr>
          <w:color w:val="231F20"/>
        </w:rPr>
        <w:t>está</w:t>
      </w:r>
      <w:r>
        <w:rPr>
          <w:color w:val="231F20"/>
          <w:spacing w:val="-16"/>
        </w:rPr>
        <w:t> </w:t>
      </w:r>
      <w:r>
        <w:rPr>
          <w:color w:val="231F20"/>
        </w:rPr>
        <w:t>muy</w:t>
      </w:r>
      <w:r>
        <w:rPr>
          <w:color w:val="231F20"/>
          <w:spacing w:val="-16"/>
        </w:rPr>
        <w:t> </w:t>
      </w:r>
      <w:r>
        <w:rPr>
          <w:color w:val="231F20"/>
        </w:rPr>
        <w:t>concentrada</w:t>
      </w:r>
      <w:r>
        <w:rPr>
          <w:color w:val="231F20"/>
          <w:spacing w:val="-17"/>
        </w:rPr>
        <w:t> </w:t>
      </w:r>
      <w:r>
        <w:rPr>
          <w:color w:val="231F20"/>
        </w:rPr>
        <w:t>en</w:t>
      </w:r>
      <w:r>
        <w:rPr>
          <w:color w:val="231F20"/>
          <w:spacing w:val="-16"/>
        </w:rPr>
        <w:t> </w:t>
      </w:r>
      <w:r>
        <w:rPr>
          <w:color w:val="231F20"/>
        </w:rPr>
        <w:t>algunas</w:t>
      </w:r>
      <w:r>
        <w:rPr>
          <w:color w:val="231F20"/>
          <w:spacing w:val="-17"/>
        </w:rPr>
        <w:t> </w:t>
      </w:r>
      <w:r>
        <w:rPr>
          <w:color w:val="231F20"/>
        </w:rPr>
        <w:t>ramas</w:t>
      </w:r>
      <w:r>
        <w:rPr>
          <w:color w:val="231F20"/>
          <w:spacing w:val="-16"/>
        </w:rPr>
        <w:t> </w:t>
      </w:r>
      <w:r>
        <w:rPr>
          <w:color w:val="231F20"/>
        </w:rPr>
        <w:t>de</w:t>
      </w:r>
      <w:r>
        <w:rPr>
          <w:color w:val="231F20"/>
          <w:spacing w:val="-16"/>
        </w:rPr>
        <w:t> </w:t>
      </w:r>
      <w:r>
        <w:rPr>
          <w:color w:val="231F20"/>
        </w:rPr>
        <w:t>producción para las que no se requiere alta cualificación, como es el caso de la agri- cultura, la construcción o algunas de las actividades del sector servicios, como el sector doméstico, la hostelería y el sector informal. Al respecto, Herrarte</w:t>
      </w:r>
      <w:r>
        <w:rPr>
          <w:color w:val="231F20"/>
          <w:spacing w:val="-6"/>
        </w:rPr>
        <w:t> </w:t>
      </w:r>
      <w:r>
        <w:rPr>
          <w:i/>
          <w:color w:val="231F20"/>
        </w:rPr>
        <w:t>et</w:t>
      </w:r>
      <w:r>
        <w:rPr>
          <w:i/>
          <w:color w:val="231F20"/>
          <w:spacing w:val="-7"/>
        </w:rPr>
        <w:t> </w:t>
      </w:r>
      <w:r>
        <w:rPr>
          <w:i/>
          <w:color w:val="231F20"/>
        </w:rPr>
        <w:t>al</w:t>
      </w:r>
      <w:r>
        <w:rPr>
          <w:color w:val="231F20"/>
        </w:rPr>
        <w:t>.</w:t>
      </w:r>
      <w:r>
        <w:rPr>
          <w:color w:val="231F20"/>
          <w:spacing w:val="-7"/>
        </w:rPr>
        <w:t> </w:t>
      </w:r>
      <w:r>
        <w:rPr>
          <w:color w:val="231F20"/>
        </w:rPr>
        <w:t>(2005)</w:t>
      </w:r>
      <w:r>
        <w:rPr>
          <w:color w:val="231F20"/>
          <w:spacing w:val="-7"/>
        </w:rPr>
        <w:t> </w:t>
      </w:r>
      <w:r>
        <w:rPr>
          <w:color w:val="231F20"/>
        </w:rPr>
        <w:t>indican</w:t>
      </w:r>
      <w:r>
        <w:rPr>
          <w:color w:val="231F20"/>
          <w:spacing w:val="-7"/>
        </w:rPr>
        <w:t> </w:t>
      </w:r>
      <w:r>
        <w:rPr>
          <w:color w:val="231F20"/>
        </w:rPr>
        <w:t>que</w:t>
      </w:r>
      <w:r>
        <w:rPr>
          <w:color w:val="231F20"/>
          <w:spacing w:val="-7"/>
        </w:rPr>
        <w:t> </w:t>
      </w:r>
      <w:r>
        <w:rPr>
          <w:color w:val="231F20"/>
        </w:rPr>
        <w:t>es</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segmentos</w:t>
      </w:r>
      <w:r>
        <w:rPr>
          <w:color w:val="231F20"/>
          <w:spacing w:val="-6"/>
        </w:rPr>
        <w:t> </w:t>
      </w:r>
      <w:r>
        <w:rPr>
          <w:color w:val="231F20"/>
        </w:rPr>
        <w:t>de</w:t>
      </w:r>
      <w:r>
        <w:rPr>
          <w:color w:val="231F20"/>
          <w:spacing w:val="-7"/>
        </w:rPr>
        <w:t> </w:t>
      </w:r>
      <w:r>
        <w:rPr>
          <w:color w:val="231F20"/>
        </w:rPr>
        <w:t>población</w:t>
      </w:r>
      <w:r>
        <w:rPr>
          <w:color w:val="231F20"/>
          <w:spacing w:val="-7"/>
        </w:rPr>
        <w:t> </w:t>
      </w:r>
      <w:r>
        <w:rPr>
          <w:color w:val="231F20"/>
        </w:rPr>
        <w:t>con</w:t>
      </w:r>
      <w:r>
        <w:rPr>
          <w:color w:val="231F20"/>
          <w:spacing w:val="-7"/>
        </w:rPr>
        <w:t> </w:t>
      </w:r>
      <w:r>
        <w:rPr>
          <w:color w:val="231F20"/>
        </w:rPr>
        <w:t>un nivel educativo bajo y edades comprendidas entre los 20 y 40 años donde más competencia existe en el mercado laboral español entre nacionales y extranjeros. De acuerdo con los autores, este resultado podría definir una situación en la cual se generarían tensiones entre estos dos contingentes a nivel salarial, sin embargo, mencionan que dicho escenario podría agra- varse aún más si el ritmo de crecimiento actual se desacelerara, causando caídas salariales más drásticas de las esperadas, resultando obvio que el sistema de mercado como tal no ha sido suficiente para regular este flujo poblacional. En este sentido, la entrada de mano de obra extranjera al país no debe ser desmesurada sino acompasada con las exigencias que vayan surgiendo en los mercados y la sociedad. En otras palabras, es necesario dimensionar las necesidades de mano de obra e inmigración en España mediante</w:t>
      </w:r>
      <w:r>
        <w:rPr>
          <w:color w:val="231F20"/>
          <w:spacing w:val="-9"/>
        </w:rPr>
        <w:t> </w:t>
      </w:r>
      <w:r>
        <w:rPr>
          <w:color w:val="231F20"/>
        </w:rPr>
        <w:t>políticas</w:t>
      </w:r>
      <w:r>
        <w:rPr>
          <w:color w:val="231F20"/>
          <w:spacing w:val="-8"/>
        </w:rPr>
        <w:t> </w:t>
      </w:r>
      <w:r>
        <w:rPr>
          <w:color w:val="231F20"/>
        </w:rPr>
        <w:t>y</w:t>
      </w:r>
      <w:r>
        <w:rPr>
          <w:color w:val="231F20"/>
          <w:spacing w:val="-8"/>
        </w:rPr>
        <w:t> </w:t>
      </w:r>
      <w:r>
        <w:rPr>
          <w:color w:val="231F20"/>
        </w:rPr>
        <w:t>medidas</w:t>
      </w:r>
      <w:r>
        <w:rPr>
          <w:color w:val="231F20"/>
          <w:spacing w:val="-8"/>
        </w:rPr>
        <w:t> </w:t>
      </w:r>
      <w:r>
        <w:rPr>
          <w:color w:val="231F20"/>
        </w:rPr>
        <w:t>adecuadas</w:t>
      </w:r>
      <w:r>
        <w:rPr>
          <w:color w:val="231F20"/>
          <w:spacing w:val="-8"/>
        </w:rPr>
        <w:t> </w:t>
      </w:r>
      <w:r>
        <w:rPr>
          <w:color w:val="231F20"/>
        </w:rPr>
        <w:t>para</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proceso</w:t>
      </w:r>
      <w:r>
        <w:rPr>
          <w:color w:val="231F20"/>
          <w:spacing w:val="-8"/>
        </w:rPr>
        <w:t> </w:t>
      </w:r>
      <w:r>
        <w:rPr>
          <w:color w:val="231F20"/>
        </w:rPr>
        <w:t>de</w:t>
      </w:r>
      <w:r>
        <w:rPr>
          <w:color w:val="231F20"/>
          <w:spacing w:val="-8"/>
        </w:rPr>
        <w:t> </w:t>
      </w:r>
      <w:r>
        <w:rPr>
          <w:color w:val="231F20"/>
        </w:rPr>
        <w:t>integración del colectivo inmigrante sea económica y socialmente viable (González, 2006; García </w:t>
      </w:r>
      <w:r>
        <w:rPr>
          <w:i/>
          <w:color w:val="231F20"/>
        </w:rPr>
        <w:t>et al</w:t>
      </w:r>
      <w:r>
        <w:rPr>
          <w:color w:val="231F20"/>
        </w:rPr>
        <w:t>.,</w:t>
      </w:r>
      <w:r>
        <w:rPr>
          <w:color w:val="231F20"/>
          <w:spacing w:val="-6"/>
        </w:rPr>
        <w:t> </w:t>
      </w:r>
      <w:r>
        <w:rPr>
          <w:color w:val="231F20"/>
        </w:rPr>
        <w:t>2009).</w:t>
      </w:r>
    </w:p>
    <w:p>
      <w:pPr>
        <w:pStyle w:val="BodyText"/>
        <w:spacing w:line="247" w:lineRule="auto"/>
        <w:ind w:left="117" w:right="114" w:firstLine="283"/>
        <w:jc w:val="both"/>
      </w:pPr>
      <w:r>
        <w:rPr>
          <w:color w:val="231F20"/>
        </w:rPr>
        <w:t>En</w:t>
      </w:r>
      <w:r>
        <w:rPr>
          <w:color w:val="231F20"/>
          <w:spacing w:val="-9"/>
        </w:rPr>
        <w:t> </w:t>
      </w:r>
      <w:r>
        <w:rPr>
          <w:color w:val="231F20"/>
        </w:rPr>
        <w:t>este</w:t>
      </w:r>
      <w:r>
        <w:rPr>
          <w:color w:val="231F20"/>
          <w:spacing w:val="-9"/>
        </w:rPr>
        <w:t> </w:t>
      </w:r>
      <w:r>
        <w:rPr>
          <w:color w:val="231F20"/>
        </w:rPr>
        <w:t>sentido,</w:t>
      </w:r>
      <w:r>
        <w:rPr>
          <w:color w:val="231F20"/>
          <w:spacing w:val="-9"/>
        </w:rPr>
        <w:t> </w:t>
      </w:r>
      <w:r>
        <w:rPr>
          <w:color w:val="231F20"/>
        </w:rPr>
        <w:t>existen</w:t>
      </w:r>
      <w:r>
        <w:rPr>
          <w:color w:val="231F20"/>
          <w:spacing w:val="-9"/>
        </w:rPr>
        <w:t> </w:t>
      </w:r>
      <w:r>
        <w:rPr>
          <w:color w:val="231F20"/>
        </w:rPr>
        <w:t>importantes</w:t>
      </w:r>
      <w:r>
        <w:rPr>
          <w:color w:val="231F20"/>
          <w:spacing w:val="-9"/>
        </w:rPr>
        <w:t> </w:t>
      </w:r>
      <w:r>
        <w:rPr>
          <w:color w:val="231F20"/>
        </w:rPr>
        <w:t>diferencias</w:t>
      </w:r>
      <w:r>
        <w:rPr>
          <w:color w:val="231F20"/>
          <w:spacing w:val="-9"/>
        </w:rPr>
        <w:t> </w:t>
      </w:r>
      <w:r>
        <w:rPr>
          <w:color w:val="231F20"/>
        </w:rPr>
        <w:t>según</w:t>
      </w:r>
      <w:r>
        <w:rPr>
          <w:color w:val="231F20"/>
          <w:spacing w:val="-9"/>
        </w:rPr>
        <w:t> </w:t>
      </w:r>
      <w:r>
        <w:rPr>
          <w:color w:val="231F20"/>
        </w:rPr>
        <w:t>el</w:t>
      </w:r>
      <w:r>
        <w:rPr>
          <w:color w:val="231F20"/>
          <w:spacing w:val="-9"/>
        </w:rPr>
        <w:t> </w:t>
      </w:r>
      <w:r>
        <w:rPr>
          <w:color w:val="231F20"/>
        </w:rPr>
        <w:t>país</w:t>
      </w:r>
      <w:r>
        <w:rPr>
          <w:color w:val="231F20"/>
          <w:spacing w:val="-9"/>
        </w:rPr>
        <w:t> </w:t>
      </w:r>
      <w:r>
        <w:rPr>
          <w:color w:val="231F20"/>
        </w:rPr>
        <w:t>de</w:t>
      </w:r>
      <w:r>
        <w:rPr>
          <w:color w:val="231F20"/>
          <w:spacing w:val="-9"/>
        </w:rPr>
        <w:t> </w:t>
      </w:r>
      <w:r>
        <w:rPr>
          <w:color w:val="231F20"/>
        </w:rPr>
        <w:t>origen, en cuanto a la ocupación de la población Latinoamericana en España se refiere; por ejemplo, los inmigrantes que comenzaron a ir a España en la década de los ochenta procedentes de Argentina, Chile y Colombia, en-  tre otros países, ocuparon principalmente puestos de trabajo cualificados como</w:t>
      </w:r>
      <w:r>
        <w:rPr>
          <w:color w:val="231F20"/>
          <w:spacing w:val="-5"/>
        </w:rPr>
        <w:t> </w:t>
      </w:r>
      <w:r>
        <w:rPr>
          <w:color w:val="231F20"/>
        </w:rPr>
        <w:t>técnicos</w:t>
      </w:r>
      <w:r>
        <w:rPr>
          <w:color w:val="231F20"/>
          <w:spacing w:val="-5"/>
        </w:rPr>
        <w:t> </w:t>
      </w:r>
      <w:r>
        <w:rPr>
          <w:color w:val="231F20"/>
        </w:rPr>
        <w:t>y</w:t>
      </w:r>
      <w:r>
        <w:rPr>
          <w:color w:val="231F20"/>
          <w:spacing w:val="-5"/>
        </w:rPr>
        <w:t> </w:t>
      </w:r>
      <w:r>
        <w:rPr>
          <w:color w:val="231F20"/>
        </w:rPr>
        <w:t>profesionales</w:t>
      </w:r>
      <w:r>
        <w:rPr>
          <w:color w:val="231F20"/>
          <w:spacing w:val="-5"/>
        </w:rPr>
        <w:t> </w:t>
      </w:r>
      <w:r>
        <w:rPr>
          <w:color w:val="231F20"/>
        </w:rPr>
        <w:t>(Martínez</w:t>
      </w:r>
      <w:r>
        <w:rPr>
          <w:color w:val="231F20"/>
          <w:spacing w:val="-9"/>
        </w:rPr>
        <w:t> </w:t>
      </w:r>
      <w:r>
        <w:rPr>
          <w:color w:val="231F20"/>
          <w:spacing w:val="-5"/>
        </w:rPr>
        <w:t>Veiga, </w:t>
      </w:r>
      <w:r>
        <w:rPr>
          <w:color w:val="231F20"/>
        </w:rPr>
        <w:t>1997</w:t>
      </w:r>
      <w:r>
        <w:rPr>
          <w:color w:val="231F20"/>
          <w:spacing w:val="-5"/>
        </w:rPr>
        <w:t> </w:t>
      </w:r>
      <w:r>
        <w:rPr>
          <w:color w:val="231F20"/>
        </w:rPr>
        <w:t>y</w:t>
      </w:r>
      <w:r>
        <w:rPr>
          <w:color w:val="231F20"/>
          <w:spacing w:val="-5"/>
        </w:rPr>
        <w:t> </w:t>
      </w:r>
      <w:r>
        <w:rPr>
          <w:color w:val="231F20"/>
        </w:rPr>
        <w:t>2000)</w:t>
      </w:r>
      <w:r>
        <w:rPr>
          <w:color w:val="231F20"/>
          <w:spacing w:val="-5"/>
        </w:rPr>
        <w:t> </w:t>
      </w:r>
      <w:r>
        <w:rPr>
          <w:color w:val="231F20"/>
        </w:rPr>
        <w:t>aunque</w:t>
      </w:r>
      <w:r>
        <w:rPr>
          <w:color w:val="231F20"/>
          <w:spacing w:val="-5"/>
        </w:rPr>
        <w:t> </w:t>
      </w:r>
      <w:r>
        <w:rPr>
          <w:color w:val="231F20"/>
        </w:rPr>
        <w:t>tam- bién como pequeños empresarios. Pero en los últimos años en el mercado laboral</w:t>
      </w:r>
      <w:r>
        <w:rPr>
          <w:color w:val="231F20"/>
          <w:spacing w:val="-5"/>
        </w:rPr>
        <w:t> </w:t>
      </w:r>
      <w:r>
        <w:rPr>
          <w:color w:val="231F20"/>
        </w:rPr>
        <w:t>español</w:t>
      </w:r>
      <w:r>
        <w:rPr>
          <w:color w:val="231F20"/>
          <w:spacing w:val="-5"/>
        </w:rPr>
        <w:t> </w:t>
      </w:r>
      <w:r>
        <w:rPr>
          <w:color w:val="231F20"/>
        </w:rPr>
        <w:t>ha</w:t>
      </w:r>
      <w:r>
        <w:rPr>
          <w:color w:val="231F20"/>
          <w:spacing w:val="-5"/>
        </w:rPr>
        <w:t> </w:t>
      </w:r>
      <w:r>
        <w:rPr>
          <w:color w:val="231F20"/>
        </w:rPr>
        <w:t>ido</w:t>
      </w:r>
      <w:r>
        <w:rPr>
          <w:color w:val="231F20"/>
          <w:spacing w:val="-5"/>
        </w:rPr>
        <w:t> </w:t>
      </w:r>
      <w:r>
        <w:rPr>
          <w:color w:val="231F20"/>
        </w:rPr>
        <w:t>en</w:t>
      </w:r>
      <w:r>
        <w:rPr>
          <w:color w:val="231F20"/>
          <w:spacing w:val="-5"/>
        </w:rPr>
        <w:t> </w:t>
      </w:r>
      <w:r>
        <w:rPr>
          <w:color w:val="231F20"/>
        </w:rPr>
        <w:t>aumento</w:t>
      </w:r>
      <w:r>
        <w:rPr>
          <w:color w:val="231F20"/>
          <w:spacing w:val="-5"/>
        </w:rPr>
        <w:t> </w:t>
      </w:r>
      <w:r>
        <w:rPr>
          <w:color w:val="231F20"/>
        </w:rPr>
        <w:t>el</w:t>
      </w:r>
      <w:r>
        <w:rPr>
          <w:color w:val="231F20"/>
          <w:spacing w:val="-5"/>
        </w:rPr>
        <w:t> </w:t>
      </w:r>
      <w:r>
        <w:rPr>
          <w:color w:val="231F20"/>
        </w:rPr>
        <w:t>número</w:t>
      </w:r>
      <w:r>
        <w:rPr>
          <w:color w:val="231F20"/>
          <w:spacing w:val="-5"/>
        </w:rPr>
        <w:t> </w:t>
      </w:r>
      <w:r>
        <w:rPr>
          <w:color w:val="231F20"/>
        </w:rPr>
        <w:t>de</w:t>
      </w:r>
      <w:r>
        <w:rPr>
          <w:color w:val="231F20"/>
          <w:spacing w:val="-5"/>
        </w:rPr>
        <w:t> </w:t>
      </w:r>
      <w:r>
        <w:rPr>
          <w:color w:val="231F20"/>
        </w:rPr>
        <w:t>empleos</w:t>
      </w:r>
      <w:r>
        <w:rPr>
          <w:color w:val="231F20"/>
          <w:spacing w:val="-5"/>
        </w:rPr>
        <w:t> </w:t>
      </w:r>
      <w:r>
        <w:rPr>
          <w:color w:val="231F20"/>
        </w:rPr>
        <w:t>de</w:t>
      </w:r>
      <w:r>
        <w:rPr>
          <w:color w:val="231F20"/>
          <w:spacing w:val="-5"/>
        </w:rPr>
        <w:t> </w:t>
      </w:r>
      <w:r>
        <w:rPr>
          <w:color w:val="231F20"/>
        </w:rPr>
        <w:t>baja</w:t>
      </w:r>
      <w:r>
        <w:rPr>
          <w:color w:val="231F20"/>
          <w:spacing w:val="-5"/>
        </w:rPr>
        <w:t> </w:t>
      </w:r>
      <w:r>
        <w:rPr>
          <w:color w:val="231F20"/>
        </w:rPr>
        <w:t>cualifica- ción, muchos de carácter temporal, algunos con precarias condiciones la- borales</w:t>
      </w:r>
      <w:r>
        <w:rPr>
          <w:color w:val="231F20"/>
          <w:spacing w:val="-12"/>
        </w:rPr>
        <w:t> </w:t>
      </w:r>
      <w:r>
        <w:rPr>
          <w:color w:val="231F20"/>
        </w:rPr>
        <w:t>y</w:t>
      </w:r>
      <w:r>
        <w:rPr>
          <w:color w:val="231F20"/>
          <w:spacing w:val="-12"/>
        </w:rPr>
        <w:t> </w:t>
      </w:r>
      <w:r>
        <w:rPr>
          <w:color w:val="231F20"/>
        </w:rPr>
        <w:t>bajos</w:t>
      </w:r>
      <w:r>
        <w:rPr>
          <w:color w:val="231F20"/>
          <w:spacing w:val="-12"/>
        </w:rPr>
        <w:t> </w:t>
      </w:r>
      <w:r>
        <w:rPr>
          <w:color w:val="231F20"/>
        </w:rPr>
        <w:t>salarios,</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sector</w:t>
      </w:r>
      <w:r>
        <w:rPr>
          <w:color w:val="231F20"/>
          <w:spacing w:val="-12"/>
        </w:rPr>
        <w:t> </w:t>
      </w:r>
      <w:r>
        <w:rPr>
          <w:color w:val="231F20"/>
        </w:rPr>
        <w:t>servicios.</w:t>
      </w:r>
      <w:r>
        <w:rPr>
          <w:color w:val="231F20"/>
          <w:spacing w:val="-12"/>
        </w:rPr>
        <w:t> </w:t>
      </w:r>
      <w:r>
        <w:rPr>
          <w:color w:val="231F20"/>
        </w:rPr>
        <w:t>De</w:t>
      </w:r>
      <w:r>
        <w:rPr>
          <w:color w:val="231F20"/>
          <w:spacing w:val="-12"/>
        </w:rPr>
        <w:t> </w:t>
      </w:r>
      <w:r>
        <w:rPr>
          <w:color w:val="231F20"/>
        </w:rPr>
        <w:t>acuerdo</w:t>
      </w:r>
      <w:r>
        <w:rPr>
          <w:color w:val="231F20"/>
          <w:spacing w:val="-13"/>
        </w:rPr>
        <w:t> </w:t>
      </w:r>
      <w:r>
        <w:rPr>
          <w:color w:val="231F20"/>
        </w:rPr>
        <w:t>con</w:t>
      </w:r>
      <w:r>
        <w:rPr>
          <w:color w:val="231F20"/>
          <w:spacing w:val="-12"/>
        </w:rPr>
        <w:t> </w:t>
      </w:r>
      <w:r>
        <w:rPr>
          <w:color w:val="231F20"/>
        </w:rPr>
        <w:t>información</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jc w:val="both"/>
      </w:pPr>
      <w:r>
        <w:rPr>
          <w:color w:val="231F20"/>
        </w:rPr>
        <w:t>de</w:t>
      </w:r>
      <w:r>
        <w:rPr>
          <w:color w:val="231F20"/>
          <w:spacing w:val="-5"/>
        </w:rPr>
        <w:t> </w:t>
      </w:r>
      <w:r>
        <w:rPr>
          <w:color w:val="231F20"/>
        </w:rPr>
        <w:t>2009,</w:t>
      </w:r>
      <w:r>
        <w:rPr>
          <w:color w:val="231F20"/>
          <w:spacing w:val="-5"/>
        </w:rPr>
        <w:t> </w:t>
      </w:r>
      <w:r>
        <w:rPr>
          <w:color w:val="231F20"/>
        </w:rPr>
        <w:t>los</w:t>
      </w:r>
      <w:r>
        <w:rPr>
          <w:color w:val="231F20"/>
          <w:spacing w:val="-5"/>
        </w:rPr>
        <w:t> </w:t>
      </w:r>
      <w:r>
        <w:rPr>
          <w:color w:val="231F20"/>
        </w:rPr>
        <w:t>latinoamericanos</w:t>
      </w:r>
      <w:r>
        <w:rPr>
          <w:color w:val="231F20"/>
          <w:spacing w:val="-6"/>
        </w:rPr>
        <w:t> </w:t>
      </w:r>
      <w:r>
        <w:rPr>
          <w:color w:val="231F20"/>
        </w:rPr>
        <w:t>en</w:t>
      </w:r>
      <w:r>
        <w:rPr>
          <w:color w:val="231F20"/>
          <w:spacing w:val="-5"/>
        </w:rPr>
        <w:t> </w:t>
      </w:r>
      <w:r>
        <w:rPr>
          <w:color w:val="231F20"/>
        </w:rPr>
        <w:t>alta</w:t>
      </w:r>
      <w:r>
        <w:rPr>
          <w:color w:val="231F20"/>
          <w:spacing w:val="-6"/>
        </w:rPr>
        <w:t> </w:t>
      </w:r>
      <w:r>
        <w:rPr>
          <w:color w:val="231F20"/>
        </w:rPr>
        <w:t>laboral</w:t>
      </w:r>
      <w:r>
        <w:rPr>
          <w:color w:val="231F20"/>
          <w:spacing w:val="-6"/>
        </w:rPr>
        <w:t> </w:t>
      </w:r>
      <w:r>
        <w:rPr>
          <w:color w:val="231F20"/>
        </w:rPr>
        <w:t>en</w:t>
      </w:r>
      <w:r>
        <w:rPr>
          <w:color w:val="231F20"/>
          <w:spacing w:val="-5"/>
        </w:rPr>
        <w:t> </w:t>
      </w:r>
      <w:r>
        <w:rPr>
          <w:color w:val="231F20"/>
        </w:rPr>
        <w:t>la</w:t>
      </w:r>
      <w:r>
        <w:rPr>
          <w:color w:val="231F20"/>
          <w:spacing w:val="-6"/>
        </w:rPr>
        <w:t> </w:t>
      </w:r>
      <w:r>
        <w:rPr>
          <w:color w:val="231F20"/>
        </w:rPr>
        <w:t>Seguridad</w:t>
      </w:r>
      <w:r>
        <w:rPr>
          <w:color w:val="231F20"/>
          <w:spacing w:val="-6"/>
        </w:rPr>
        <w:t> </w:t>
      </w:r>
      <w:r>
        <w:rPr>
          <w:color w:val="231F20"/>
        </w:rPr>
        <w:t>Social</w:t>
      </w:r>
      <w:r>
        <w:rPr>
          <w:color w:val="231F20"/>
          <w:spacing w:val="-6"/>
        </w:rPr>
        <w:t> </w:t>
      </w:r>
      <w:r>
        <w:rPr>
          <w:color w:val="231F20"/>
        </w:rPr>
        <w:t>ascen- dían a 696 039, o sea 37 por ciento de los puestos de trabajo ocupados por personas extranjeras en España. Las personas que ocupaban estos puestos eran, principalmente, los ecuatorianos, seguidos de los colombianos, los peruanos y los argentinos. En el caso de México, éste se sitúa en los últi- mos lugares (García </w:t>
      </w:r>
      <w:r>
        <w:rPr>
          <w:i/>
          <w:color w:val="231F20"/>
        </w:rPr>
        <w:t>et al.,</w:t>
      </w:r>
      <w:r>
        <w:rPr>
          <w:i/>
          <w:color w:val="231F20"/>
          <w:spacing w:val="-4"/>
        </w:rPr>
        <w:t> </w:t>
      </w:r>
      <w:r>
        <w:rPr>
          <w:color w:val="231F20"/>
        </w:rPr>
        <w:t>2009).</w:t>
      </w:r>
    </w:p>
    <w:p>
      <w:pPr>
        <w:pStyle w:val="BodyText"/>
        <w:spacing w:line="247" w:lineRule="auto"/>
        <w:ind w:left="117" w:right="114" w:firstLine="283"/>
        <w:jc w:val="both"/>
      </w:pPr>
      <w:r>
        <w:rPr>
          <w:color w:val="231F20"/>
        </w:rPr>
        <w:t>Al respecto, </w:t>
      </w:r>
      <w:r>
        <w:rPr>
          <w:color w:val="231F20"/>
          <w:spacing w:val="-3"/>
        </w:rPr>
        <w:t>Tedesco </w:t>
      </w:r>
      <w:r>
        <w:rPr>
          <w:color w:val="231F20"/>
        </w:rPr>
        <w:t>(2008) señala que la mayoría de los inmigrantes latinoamericanos</w:t>
      </w:r>
      <w:r>
        <w:rPr>
          <w:color w:val="231F20"/>
          <w:spacing w:val="-8"/>
        </w:rPr>
        <w:t> </w:t>
      </w:r>
      <w:r>
        <w:rPr>
          <w:color w:val="231F20"/>
        </w:rPr>
        <w:t>insertos</w:t>
      </w:r>
      <w:r>
        <w:rPr>
          <w:color w:val="231F20"/>
          <w:spacing w:val="-8"/>
        </w:rPr>
        <w:t> </w:t>
      </w:r>
      <w:r>
        <w:rPr>
          <w:color w:val="231F20"/>
        </w:rPr>
        <w:t>en</w:t>
      </w:r>
      <w:r>
        <w:rPr>
          <w:color w:val="231F20"/>
          <w:spacing w:val="-7"/>
        </w:rPr>
        <w:t> </w:t>
      </w:r>
      <w:r>
        <w:rPr>
          <w:color w:val="231F20"/>
        </w:rPr>
        <w:t>el</w:t>
      </w:r>
      <w:r>
        <w:rPr>
          <w:color w:val="231F20"/>
          <w:spacing w:val="-7"/>
        </w:rPr>
        <w:t> </w:t>
      </w:r>
      <w:r>
        <w:rPr>
          <w:color w:val="231F20"/>
        </w:rPr>
        <w:t>mercado</w:t>
      </w:r>
      <w:r>
        <w:rPr>
          <w:color w:val="231F20"/>
          <w:spacing w:val="-7"/>
        </w:rPr>
        <w:t> </w:t>
      </w:r>
      <w:r>
        <w:rPr>
          <w:color w:val="231F20"/>
        </w:rPr>
        <w:t>laboral</w:t>
      </w:r>
      <w:r>
        <w:rPr>
          <w:color w:val="231F20"/>
          <w:spacing w:val="-7"/>
        </w:rPr>
        <w:t> </w:t>
      </w:r>
      <w:r>
        <w:rPr>
          <w:color w:val="231F20"/>
        </w:rPr>
        <w:t>trabajan</w:t>
      </w:r>
      <w:r>
        <w:rPr>
          <w:color w:val="231F20"/>
          <w:spacing w:val="-7"/>
        </w:rPr>
        <w:t> </w:t>
      </w:r>
      <w:r>
        <w:rPr>
          <w:color w:val="231F20"/>
        </w:rPr>
        <w:t>en</w:t>
      </w:r>
      <w:r>
        <w:rPr>
          <w:color w:val="231F20"/>
          <w:spacing w:val="-7"/>
        </w:rPr>
        <w:t> </w:t>
      </w:r>
      <w:r>
        <w:rPr>
          <w:color w:val="231F20"/>
        </w:rPr>
        <w:t>relación</w:t>
      </w:r>
      <w:r>
        <w:rPr>
          <w:color w:val="231F20"/>
          <w:spacing w:val="-7"/>
        </w:rPr>
        <w:t> </w:t>
      </w:r>
      <w:r>
        <w:rPr>
          <w:color w:val="231F20"/>
        </w:rPr>
        <w:t>de</w:t>
      </w:r>
      <w:r>
        <w:rPr>
          <w:color w:val="231F20"/>
          <w:spacing w:val="-7"/>
        </w:rPr>
        <w:t> </w:t>
      </w:r>
      <w:r>
        <w:rPr>
          <w:color w:val="231F20"/>
        </w:rPr>
        <w:t>de- pendencia. En España, existe un régimen general que engloba la mayoría de</w:t>
      </w:r>
      <w:r>
        <w:rPr>
          <w:color w:val="231F20"/>
          <w:spacing w:val="-6"/>
        </w:rPr>
        <w:t> </w:t>
      </w:r>
      <w:r>
        <w:rPr>
          <w:color w:val="231F20"/>
        </w:rPr>
        <w:t>las</w:t>
      </w:r>
      <w:r>
        <w:rPr>
          <w:color w:val="231F20"/>
          <w:spacing w:val="-6"/>
        </w:rPr>
        <w:t> </w:t>
      </w:r>
      <w:r>
        <w:rPr>
          <w:color w:val="231F20"/>
        </w:rPr>
        <w:t>ramas</w:t>
      </w:r>
      <w:r>
        <w:rPr>
          <w:color w:val="231F20"/>
          <w:spacing w:val="-6"/>
        </w:rPr>
        <w:t> </w:t>
      </w:r>
      <w:r>
        <w:rPr>
          <w:color w:val="231F20"/>
        </w:rPr>
        <w:t>de</w:t>
      </w:r>
      <w:r>
        <w:rPr>
          <w:color w:val="231F20"/>
          <w:spacing w:val="-6"/>
        </w:rPr>
        <w:t> </w:t>
      </w:r>
      <w:r>
        <w:rPr>
          <w:color w:val="231F20"/>
        </w:rPr>
        <w:t>actividad</w:t>
      </w:r>
      <w:r>
        <w:rPr>
          <w:color w:val="231F20"/>
          <w:spacing w:val="-6"/>
        </w:rPr>
        <w:t> </w:t>
      </w:r>
      <w:r>
        <w:rPr>
          <w:color w:val="231F20"/>
        </w:rPr>
        <w:t>o</w:t>
      </w:r>
      <w:r>
        <w:rPr>
          <w:color w:val="231F20"/>
          <w:spacing w:val="-6"/>
        </w:rPr>
        <w:t> </w:t>
      </w:r>
      <w:r>
        <w:rPr>
          <w:color w:val="231F20"/>
        </w:rPr>
        <w:t>sectores:</w:t>
      </w:r>
      <w:r>
        <w:rPr>
          <w:color w:val="231F20"/>
          <w:spacing w:val="-6"/>
        </w:rPr>
        <w:t> </w:t>
      </w:r>
      <w:r>
        <w:rPr>
          <w:color w:val="231F20"/>
        </w:rPr>
        <w:t>industria,</w:t>
      </w:r>
      <w:r>
        <w:rPr>
          <w:color w:val="231F20"/>
          <w:spacing w:val="-6"/>
        </w:rPr>
        <w:t> </w:t>
      </w:r>
      <w:r>
        <w:rPr>
          <w:color w:val="231F20"/>
        </w:rPr>
        <w:t>construcción,</w:t>
      </w:r>
      <w:r>
        <w:rPr>
          <w:color w:val="231F20"/>
          <w:spacing w:val="-6"/>
        </w:rPr>
        <w:t> </w:t>
      </w:r>
      <w:r>
        <w:rPr>
          <w:color w:val="231F20"/>
        </w:rPr>
        <w:t>servicios,</w:t>
      </w:r>
      <w:r>
        <w:rPr>
          <w:color w:val="231F20"/>
          <w:spacing w:val="-6"/>
        </w:rPr>
        <w:t> </w:t>
      </w:r>
      <w:r>
        <w:rPr>
          <w:color w:val="231F20"/>
        </w:rPr>
        <w:t>etc. y</w:t>
      </w:r>
      <w:r>
        <w:rPr>
          <w:color w:val="231F20"/>
          <w:spacing w:val="-12"/>
        </w:rPr>
        <w:t> </w:t>
      </w:r>
      <w:r>
        <w:rPr>
          <w:color w:val="231F20"/>
        </w:rPr>
        <w:t>varios</w:t>
      </w:r>
      <w:r>
        <w:rPr>
          <w:color w:val="231F20"/>
          <w:spacing w:val="-12"/>
        </w:rPr>
        <w:t> </w:t>
      </w:r>
      <w:r>
        <w:rPr>
          <w:color w:val="231F20"/>
        </w:rPr>
        <w:t>regímenes</w:t>
      </w:r>
      <w:r>
        <w:rPr>
          <w:color w:val="231F20"/>
          <w:spacing w:val="-12"/>
        </w:rPr>
        <w:t> </w:t>
      </w:r>
      <w:r>
        <w:rPr>
          <w:color w:val="231F20"/>
        </w:rPr>
        <w:t>especiales.</w:t>
      </w:r>
      <w:r>
        <w:rPr>
          <w:color w:val="231F20"/>
          <w:spacing w:val="-13"/>
        </w:rPr>
        <w:t> </w:t>
      </w:r>
      <w:r>
        <w:rPr>
          <w:color w:val="231F20"/>
        </w:rPr>
        <w:t>Entre</w:t>
      </w:r>
      <w:r>
        <w:rPr>
          <w:color w:val="231F20"/>
          <w:spacing w:val="-12"/>
        </w:rPr>
        <w:t> </w:t>
      </w:r>
      <w:r>
        <w:rPr>
          <w:color w:val="231F20"/>
        </w:rPr>
        <w:t>enero</w:t>
      </w:r>
      <w:r>
        <w:rPr>
          <w:color w:val="231F20"/>
          <w:spacing w:val="-12"/>
        </w:rPr>
        <w:t> </w:t>
      </w:r>
      <w:r>
        <w:rPr>
          <w:color w:val="231F20"/>
        </w:rPr>
        <w:t>y</w:t>
      </w:r>
      <w:r>
        <w:rPr>
          <w:color w:val="231F20"/>
          <w:spacing w:val="-12"/>
        </w:rPr>
        <w:t> </w:t>
      </w:r>
      <w:r>
        <w:rPr>
          <w:color w:val="231F20"/>
        </w:rPr>
        <w:t>junio</w:t>
      </w:r>
      <w:r>
        <w:rPr>
          <w:color w:val="231F20"/>
          <w:spacing w:val="-12"/>
        </w:rPr>
        <w:t> </w:t>
      </w:r>
      <w:r>
        <w:rPr>
          <w:color w:val="231F20"/>
        </w:rPr>
        <w:t>de</w:t>
      </w:r>
      <w:r>
        <w:rPr>
          <w:color w:val="231F20"/>
          <w:spacing w:val="-12"/>
        </w:rPr>
        <w:t> </w:t>
      </w:r>
      <w:r>
        <w:rPr>
          <w:color w:val="231F20"/>
        </w:rPr>
        <w:t>2007,</w:t>
      </w:r>
      <w:r>
        <w:rPr>
          <w:color w:val="231F20"/>
          <w:spacing w:val="-12"/>
        </w:rPr>
        <w:t> </w:t>
      </w:r>
      <w:r>
        <w:rPr>
          <w:color w:val="231F20"/>
        </w:rPr>
        <w:t>la</w:t>
      </w:r>
      <w:r>
        <w:rPr>
          <w:color w:val="231F20"/>
          <w:spacing w:val="-12"/>
        </w:rPr>
        <w:t> </w:t>
      </w:r>
      <w:r>
        <w:rPr>
          <w:color w:val="231F20"/>
        </w:rPr>
        <w:t>población</w:t>
      </w:r>
      <w:r>
        <w:rPr>
          <w:color w:val="231F20"/>
          <w:spacing w:val="-12"/>
        </w:rPr>
        <w:t> </w:t>
      </w:r>
      <w:r>
        <w:rPr>
          <w:color w:val="231F20"/>
        </w:rPr>
        <w:t>la- tinoamericana con contratos de trabajo se localizó mayoritariamente en el sector servicios con 69.8 por ciento, especialmente en el sector comercio, la hotelería y el servicio doméstico, aunque también destacan dos sectores que dentro de la población española tienen un peso muy inferior: la agri- cultura</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construcción.</w:t>
      </w:r>
      <w:r>
        <w:rPr>
          <w:color w:val="231F20"/>
          <w:spacing w:val="33"/>
        </w:rPr>
        <w:t> </w:t>
      </w:r>
      <w:r>
        <w:rPr>
          <w:color w:val="231F20"/>
        </w:rPr>
        <w:t>por</w:t>
      </w:r>
      <w:r>
        <w:rPr>
          <w:color w:val="231F20"/>
          <w:spacing w:val="-11"/>
        </w:rPr>
        <w:t> </w:t>
      </w:r>
      <w:r>
        <w:rPr>
          <w:color w:val="231F20"/>
        </w:rPr>
        <w:t>otra</w:t>
      </w:r>
      <w:r>
        <w:rPr>
          <w:color w:val="231F20"/>
          <w:spacing w:val="-11"/>
        </w:rPr>
        <w:t> </w:t>
      </w:r>
      <w:r>
        <w:rPr>
          <w:color w:val="231F20"/>
        </w:rPr>
        <w:t>parte,</w:t>
      </w:r>
      <w:r>
        <w:rPr>
          <w:color w:val="231F20"/>
          <w:spacing w:val="-11"/>
        </w:rPr>
        <w:t> </w:t>
      </w:r>
      <w:r>
        <w:rPr>
          <w:color w:val="231F20"/>
        </w:rPr>
        <w:t>la</w:t>
      </w:r>
      <w:r>
        <w:rPr>
          <w:color w:val="231F20"/>
          <w:spacing w:val="-11"/>
        </w:rPr>
        <w:t> </w:t>
      </w:r>
      <w:r>
        <w:rPr>
          <w:color w:val="231F20"/>
        </w:rPr>
        <w:t>industria</w:t>
      </w:r>
      <w:r>
        <w:rPr>
          <w:color w:val="231F20"/>
          <w:spacing w:val="-11"/>
        </w:rPr>
        <w:t> </w:t>
      </w:r>
      <w:r>
        <w:rPr>
          <w:color w:val="231F20"/>
        </w:rPr>
        <w:t>ocupa</w:t>
      </w:r>
      <w:r>
        <w:rPr>
          <w:color w:val="231F20"/>
          <w:spacing w:val="-11"/>
        </w:rPr>
        <w:t> </w:t>
      </w:r>
      <w:r>
        <w:rPr>
          <w:color w:val="231F20"/>
        </w:rPr>
        <w:t>un</w:t>
      </w:r>
      <w:r>
        <w:rPr>
          <w:color w:val="231F20"/>
          <w:spacing w:val="-11"/>
        </w:rPr>
        <w:t> </w:t>
      </w:r>
      <w:r>
        <w:rPr>
          <w:color w:val="231F20"/>
        </w:rPr>
        <w:t>número</w:t>
      </w:r>
      <w:r>
        <w:rPr>
          <w:color w:val="231F20"/>
          <w:spacing w:val="-11"/>
        </w:rPr>
        <w:t> </w:t>
      </w:r>
      <w:r>
        <w:rPr>
          <w:color w:val="231F20"/>
        </w:rPr>
        <w:t>rela- tivamente</w:t>
      </w:r>
      <w:r>
        <w:rPr>
          <w:color w:val="231F20"/>
          <w:spacing w:val="-7"/>
        </w:rPr>
        <w:t> </w:t>
      </w:r>
      <w:r>
        <w:rPr>
          <w:color w:val="231F20"/>
        </w:rPr>
        <w:t>bajo</w:t>
      </w:r>
      <w:r>
        <w:rPr>
          <w:color w:val="231F20"/>
          <w:spacing w:val="-6"/>
        </w:rPr>
        <w:t> </w:t>
      </w:r>
      <w:r>
        <w:rPr>
          <w:color w:val="231F20"/>
        </w:rPr>
        <w:t>de</w:t>
      </w:r>
      <w:r>
        <w:rPr>
          <w:color w:val="231F20"/>
          <w:spacing w:val="-6"/>
        </w:rPr>
        <w:t> </w:t>
      </w:r>
      <w:r>
        <w:rPr>
          <w:color w:val="231F20"/>
        </w:rPr>
        <w:t>latinoamericanos.</w:t>
      </w:r>
      <w:r>
        <w:rPr>
          <w:color w:val="231F20"/>
          <w:spacing w:val="-7"/>
        </w:rPr>
        <w:t> </w:t>
      </w:r>
      <w:r>
        <w:rPr>
          <w:color w:val="231F20"/>
        </w:rPr>
        <w:t>En</w:t>
      </w:r>
      <w:r>
        <w:rPr>
          <w:color w:val="231F20"/>
          <w:spacing w:val="-6"/>
        </w:rPr>
        <w:t> </w:t>
      </w:r>
      <w:r>
        <w:rPr>
          <w:color w:val="231F20"/>
        </w:rPr>
        <w:t>este</w:t>
      </w:r>
      <w:r>
        <w:rPr>
          <w:color w:val="231F20"/>
          <w:spacing w:val="-7"/>
        </w:rPr>
        <w:t> </w:t>
      </w:r>
      <w:r>
        <w:rPr>
          <w:color w:val="231F20"/>
        </w:rPr>
        <w:t>sentido,</w:t>
      </w:r>
      <w:r>
        <w:rPr>
          <w:color w:val="231F20"/>
          <w:spacing w:val="-6"/>
        </w:rPr>
        <w:t> </w:t>
      </w:r>
      <w:r>
        <w:rPr>
          <w:color w:val="231F20"/>
        </w:rPr>
        <w:t>20.5</w:t>
      </w:r>
      <w:r>
        <w:rPr>
          <w:color w:val="231F20"/>
          <w:spacing w:val="-6"/>
        </w:rPr>
        <w:t> </w:t>
      </w:r>
      <w:r>
        <w:rPr>
          <w:color w:val="231F20"/>
        </w:rPr>
        <w:t>por</w:t>
      </w:r>
      <w:r>
        <w:rPr>
          <w:color w:val="231F20"/>
          <w:spacing w:val="-6"/>
        </w:rPr>
        <w:t> </w:t>
      </w:r>
      <w:r>
        <w:rPr>
          <w:color w:val="231F20"/>
        </w:rPr>
        <w:t>ciento</w:t>
      </w:r>
      <w:r>
        <w:rPr>
          <w:color w:val="231F20"/>
          <w:spacing w:val="-7"/>
        </w:rPr>
        <w:t> </w:t>
      </w:r>
      <w:r>
        <w:rPr>
          <w:color w:val="231F20"/>
        </w:rPr>
        <w:t>de</w:t>
      </w:r>
      <w:r>
        <w:rPr>
          <w:color w:val="231F20"/>
          <w:spacing w:val="-6"/>
        </w:rPr>
        <w:t> </w:t>
      </w:r>
      <w:r>
        <w:rPr>
          <w:color w:val="231F20"/>
        </w:rPr>
        <w:t>los contratos de trabajo a latinoamericanos se registraron en la </w:t>
      </w:r>
      <w:r>
        <w:rPr>
          <w:color w:val="231F20"/>
          <w:spacing w:val="54"/>
        </w:rPr>
        <w:t> </w:t>
      </w:r>
      <w:r>
        <w:rPr>
          <w:color w:val="231F20"/>
        </w:rPr>
        <w:t>construcción,</w:t>
      </w:r>
    </w:p>
    <w:p>
      <w:pPr>
        <w:pStyle w:val="BodyText"/>
        <w:spacing w:line="247" w:lineRule="auto"/>
        <w:ind w:left="117" w:right="115"/>
        <w:jc w:val="both"/>
      </w:pPr>
      <w:r>
        <w:rPr>
          <w:color w:val="231F20"/>
        </w:rPr>
        <w:t>4.6 por ciento en la agricultura y apenas cinco por ciento en la industria (García </w:t>
      </w:r>
      <w:r>
        <w:rPr>
          <w:i/>
          <w:color w:val="231F20"/>
        </w:rPr>
        <w:t>et al., </w:t>
      </w:r>
      <w:r>
        <w:rPr>
          <w:color w:val="231F20"/>
        </w:rPr>
        <w:t>2009).</w:t>
      </w:r>
    </w:p>
    <w:p>
      <w:pPr>
        <w:pStyle w:val="BodyText"/>
        <w:spacing w:line="247" w:lineRule="auto"/>
        <w:ind w:left="117" w:right="115" w:firstLine="283"/>
        <w:jc w:val="both"/>
      </w:pPr>
      <w:r>
        <w:rPr>
          <w:color w:val="231F20"/>
        </w:rPr>
        <w:t>Tal distribución también presenta algunas diferencias según los países de origen. Entre argentinos, brasileños, cubanos, colombianos, venezola- nos, peruanos y dominicanos, el peso relativo del sector servicios es supe- rior, siendo el caso más elevado el de México, que, por el contrario, pre- senta el porcentaje más bajo en el sector de la construcción. Ecuatorianos y bolivianos superan el porcentaje medio de contratos registrados en otros sectores, como son la construcción o la agricultura, ver Cuadro 5 (García </w:t>
      </w:r>
      <w:r>
        <w:rPr>
          <w:i/>
          <w:color w:val="231F20"/>
        </w:rPr>
        <w:t>et al</w:t>
      </w:r>
      <w:r>
        <w:rPr>
          <w:color w:val="231F20"/>
        </w:rPr>
        <w:t>., 2009).</w:t>
      </w:r>
    </w:p>
    <w:p>
      <w:pPr>
        <w:pStyle w:val="BodyText"/>
        <w:spacing w:line="247" w:lineRule="auto"/>
        <w:ind w:left="117" w:right="114" w:firstLine="283"/>
        <w:jc w:val="both"/>
      </w:pPr>
      <w:r>
        <w:rPr>
          <w:color w:val="231F20"/>
        </w:rPr>
        <w:t>El</w:t>
      </w:r>
      <w:r>
        <w:rPr>
          <w:color w:val="231F20"/>
          <w:spacing w:val="-5"/>
        </w:rPr>
        <w:t> </w:t>
      </w:r>
      <w:r>
        <w:rPr>
          <w:color w:val="231F20"/>
        </w:rPr>
        <w:t>hecho</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ocupación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población</w:t>
      </w:r>
      <w:r>
        <w:rPr>
          <w:color w:val="231F20"/>
          <w:spacing w:val="-5"/>
        </w:rPr>
        <w:t> </w:t>
      </w:r>
      <w:r>
        <w:rPr>
          <w:color w:val="231F20"/>
        </w:rPr>
        <w:t>latinoamericana</w:t>
      </w:r>
      <w:r>
        <w:rPr>
          <w:color w:val="231F20"/>
          <w:spacing w:val="-6"/>
        </w:rPr>
        <w:t> </w:t>
      </w:r>
      <w:r>
        <w:rPr>
          <w:color w:val="231F20"/>
        </w:rPr>
        <w:t>esté</w:t>
      </w:r>
      <w:r>
        <w:rPr>
          <w:color w:val="231F20"/>
          <w:spacing w:val="-5"/>
        </w:rPr>
        <w:t> </w:t>
      </w:r>
      <w:r>
        <w:rPr>
          <w:color w:val="231F20"/>
        </w:rPr>
        <w:t>con- centrada</w:t>
      </w:r>
      <w:r>
        <w:rPr>
          <w:color w:val="231F20"/>
          <w:spacing w:val="-8"/>
        </w:rPr>
        <w:t> </w:t>
      </w:r>
      <w:r>
        <w:rPr>
          <w:color w:val="231F20"/>
        </w:rPr>
        <w:t>en</w:t>
      </w:r>
      <w:r>
        <w:rPr>
          <w:color w:val="231F20"/>
          <w:spacing w:val="-8"/>
        </w:rPr>
        <w:t> </w:t>
      </w:r>
      <w:r>
        <w:rPr>
          <w:color w:val="231F20"/>
        </w:rPr>
        <w:t>sectores</w:t>
      </w:r>
      <w:r>
        <w:rPr>
          <w:color w:val="231F20"/>
          <w:spacing w:val="-8"/>
        </w:rPr>
        <w:t> </w:t>
      </w:r>
      <w:r>
        <w:rPr>
          <w:color w:val="231F20"/>
        </w:rPr>
        <w:t>de</w:t>
      </w:r>
      <w:r>
        <w:rPr>
          <w:color w:val="231F20"/>
          <w:spacing w:val="-8"/>
        </w:rPr>
        <w:t> </w:t>
      </w:r>
      <w:r>
        <w:rPr>
          <w:color w:val="231F20"/>
        </w:rPr>
        <w:t>económicos</w:t>
      </w:r>
      <w:r>
        <w:rPr>
          <w:color w:val="231F20"/>
          <w:spacing w:val="-8"/>
        </w:rPr>
        <w:t> </w:t>
      </w:r>
      <w:r>
        <w:rPr>
          <w:color w:val="231F20"/>
        </w:rPr>
        <w:t>para</w:t>
      </w:r>
      <w:r>
        <w:rPr>
          <w:color w:val="231F20"/>
          <w:spacing w:val="-8"/>
        </w:rPr>
        <w:t> </w:t>
      </w:r>
      <w:r>
        <w:rPr>
          <w:color w:val="231F20"/>
        </w:rPr>
        <w:t>los</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requiere</w:t>
      </w:r>
      <w:r>
        <w:rPr>
          <w:color w:val="231F20"/>
          <w:spacing w:val="-8"/>
        </w:rPr>
        <w:t> </w:t>
      </w:r>
      <w:r>
        <w:rPr>
          <w:color w:val="231F20"/>
        </w:rPr>
        <w:t>alta</w:t>
      </w:r>
      <w:r>
        <w:rPr>
          <w:color w:val="231F20"/>
          <w:spacing w:val="-8"/>
        </w:rPr>
        <w:t> </w:t>
      </w:r>
      <w:r>
        <w:rPr>
          <w:color w:val="231F20"/>
        </w:rPr>
        <w:t>cualifi- cación como por ejemplo en la agricultura, la construcción y el sector ser- vicios (representado principalmente por el sector doméstico, la hostelería y el sector informal) coincide con que en los últimos años ha aumentado el</w:t>
      </w:r>
      <w:r>
        <w:rPr>
          <w:color w:val="231F20"/>
          <w:spacing w:val="-6"/>
        </w:rPr>
        <w:t> </w:t>
      </w:r>
      <w:r>
        <w:rPr>
          <w:color w:val="231F20"/>
        </w:rPr>
        <w:t>número</w:t>
      </w:r>
      <w:r>
        <w:rPr>
          <w:color w:val="231F20"/>
          <w:spacing w:val="-6"/>
        </w:rPr>
        <w:t> </w:t>
      </w:r>
      <w:r>
        <w:rPr>
          <w:color w:val="231F20"/>
        </w:rPr>
        <w:t>de</w:t>
      </w:r>
      <w:r>
        <w:rPr>
          <w:color w:val="231F20"/>
          <w:spacing w:val="-6"/>
        </w:rPr>
        <w:t> </w:t>
      </w:r>
      <w:r>
        <w:rPr>
          <w:color w:val="231F20"/>
        </w:rPr>
        <w:t>inmigrantes</w:t>
      </w:r>
      <w:r>
        <w:rPr>
          <w:color w:val="231F20"/>
          <w:spacing w:val="-7"/>
        </w:rPr>
        <w:t> </w:t>
      </w:r>
      <w:r>
        <w:rPr>
          <w:color w:val="231F20"/>
        </w:rPr>
        <w:t>latinoamericanos</w:t>
      </w:r>
      <w:r>
        <w:rPr>
          <w:color w:val="231F20"/>
          <w:spacing w:val="-7"/>
        </w:rPr>
        <w:t> </w:t>
      </w:r>
      <w:r>
        <w:rPr>
          <w:color w:val="231F20"/>
        </w:rPr>
        <w:t>en</w:t>
      </w:r>
      <w:r>
        <w:rPr>
          <w:color w:val="231F20"/>
          <w:spacing w:val="-6"/>
        </w:rPr>
        <w:t> </w:t>
      </w:r>
      <w:r>
        <w:rPr>
          <w:color w:val="231F20"/>
        </w:rPr>
        <w:t>todos</w:t>
      </w:r>
      <w:r>
        <w:rPr>
          <w:color w:val="231F20"/>
          <w:spacing w:val="-6"/>
        </w:rPr>
        <w:t> </w:t>
      </w:r>
      <w:r>
        <w:rPr>
          <w:color w:val="231F20"/>
        </w:rPr>
        <w:t>los</w:t>
      </w:r>
      <w:r>
        <w:rPr>
          <w:color w:val="231F20"/>
          <w:spacing w:val="-6"/>
        </w:rPr>
        <w:t> </w:t>
      </w:r>
      <w:r>
        <w:rPr>
          <w:color w:val="231F20"/>
        </w:rPr>
        <w:t>niveles</w:t>
      </w:r>
      <w:r>
        <w:rPr>
          <w:color w:val="231F20"/>
          <w:spacing w:val="-6"/>
        </w:rPr>
        <w:t> </w:t>
      </w:r>
      <w:r>
        <w:rPr>
          <w:color w:val="231F20"/>
        </w:rPr>
        <w:t>de</w:t>
      </w:r>
      <w:r>
        <w:rPr>
          <w:color w:val="231F20"/>
          <w:spacing w:val="-6"/>
        </w:rPr>
        <w:t> </w:t>
      </w:r>
      <w:r>
        <w:rPr>
          <w:color w:val="231F20"/>
        </w:rPr>
        <w:t>instruc- ción pero, en términos relativos, los que tienen titulación secundaria han crecido</w:t>
      </w:r>
      <w:r>
        <w:rPr>
          <w:color w:val="231F20"/>
          <w:spacing w:val="-9"/>
        </w:rPr>
        <w:t> </w:t>
      </w:r>
      <w:r>
        <w:rPr>
          <w:color w:val="231F20"/>
        </w:rPr>
        <w:t>más</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universitarios,</w:t>
      </w:r>
      <w:r>
        <w:rPr>
          <w:color w:val="231F20"/>
          <w:spacing w:val="-8"/>
        </w:rPr>
        <w:t> </w:t>
      </w:r>
      <w:r>
        <w:rPr>
          <w:color w:val="231F20"/>
        </w:rPr>
        <w:t>mientras</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que</w:t>
      </w:r>
      <w:r>
        <w:rPr>
          <w:color w:val="231F20"/>
          <w:spacing w:val="-9"/>
        </w:rPr>
        <w:t> </w:t>
      </w:r>
      <w:r>
        <w:rPr>
          <w:color w:val="231F20"/>
        </w:rPr>
        <w:t>poseen</w:t>
      </w:r>
      <w:r>
        <w:rPr>
          <w:color w:val="231F20"/>
          <w:spacing w:val="-9"/>
        </w:rPr>
        <w:t> </w:t>
      </w:r>
      <w:r>
        <w:rPr>
          <w:color w:val="231F20"/>
        </w:rPr>
        <w:t>un</w:t>
      </w:r>
      <w:r>
        <w:rPr>
          <w:color w:val="231F20"/>
          <w:spacing w:val="-9"/>
        </w:rPr>
        <w:t> </w:t>
      </w:r>
      <w:r>
        <w:rPr>
          <w:color w:val="231F20"/>
        </w:rPr>
        <w:t>nivel</w:t>
      </w:r>
      <w:r>
        <w:rPr>
          <w:color w:val="231F20"/>
          <w:spacing w:val="-9"/>
        </w:rPr>
        <w:t> </w:t>
      </w:r>
      <w:r>
        <w:rPr>
          <w:color w:val="231F20"/>
        </w:rPr>
        <w:t>de instrucción inferior a secundaria son los que más han</w:t>
      </w:r>
      <w:r>
        <w:rPr>
          <w:color w:val="231F20"/>
          <w:spacing w:val="-15"/>
        </w:rPr>
        <w:t> </w:t>
      </w:r>
      <w:r>
        <w:rPr>
          <w:color w:val="231F20"/>
        </w:rPr>
        <w:t>aumentado.</w:t>
      </w:r>
    </w:p>
    <w:p>
      <w:pPr>
        <w:spacing w:after="0" w:line="247" w:lineRule="auto"/>
        <w:jc w:val="both"/>
        <w:sectPr>
          <w:pgSz w:w="9360" w:h="13040"/>
          <w:pgMar w:header="0" w:footer="496" w:top="800" w:bottom="680" w:left="1300" w:right="1300"/>
        </w:sectPr>
      </w:pPr>
    </w:p>
    <w:p>
      <w:pPr>
        <w:spacing w:before="45"/>
        <w:ind w:left="205" w:right="0" w:firstLine="0"/>
        <w:jc w:val="left"/>
        <w:rPr>
          <w:rFonts w:ascii="Arial" w:hAnsi="Arial"/>
          <w:sz w:val="20"/>
        </w:rPr>
      </w:pPr>
      <w:r>
        <w:rPr>
          <w:rFonts w:ascii="Arial" w:hAnsi="Arial"/>
          <w:color w:val="231F20"/>
          <w:w w:val="70"/>
          <w:sz w:val="20"/>
        </w:rPr>
        <w:t>Nueva reconfiguración de la inmigración internacional: el caso de España /Lucila Godínez-Montoya </w:t>
      </w:r>
      <w:r>
        <w:rPr>
          <w:rFonts w:ascii="Arial" w:hAnsi="Arial"/>
          <w:i/>
          <w:color w:val="231F20"/>
          <w:w w:val="70"/>
          <w:sz w:val="20"/>
        </w:rPr>
        <w:t>et al</w:t>
      </w:r>
      <w:r>
        <w:rPr>
          <w:rFonts w:ascii="Arial" w:hAnsi="Arial"/>
          <w:color w:val="231F20"/>
          <w:w w:val="70"/>
          <w:sz w:val="20"/>
        </w:rPr>
        <w:t>.</w:t>
      </w:r>
    </w:p>
    <w:p>
      <w:pPr>
        <w:pStyle w:val="BodyText"/>
        <w:spacing w:before="7"/>
        <w:rPr>
          <w:rFonts w:ascii="Arial"/>
          <w:sz w:val="26"/>
        </w:rPr>
      </w:pPr>
    </w:p>
    <w:p>
      <w:pPr>
        <w:spacing w:line="252" w:lineRule="auto" w:before="81"/>
        <w:ind w:left="253" w:right="1761" w:firstLine="0"/>
        <w:jc w:val="left"/>
        <w:rPr>
          <w:sz w:val="19"/>
        </w:rPr>
      </w:pPr>
      <w:r>
        <w:rPr>
          <w:w w:val="105"/>
          <w:sz w:val="19"/>
        </w:rPr>
        <w:t>Cuadro 5. Porcentaje de contratos por sectores de actividad (enero a junio de 2007)</w:t>
      </w:r>
    </w:p>
    <w:tbl>
      <w:tblPr>
        <w:tblW w:w="0" w:type="auto"/>
        <w:jc w:val="left"/>
        <w:tblInd w:w="1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55"/>
        <w:gridCol w:w="1208"/>
        <w:gridCol w:w="956"/>
        <w:gridCol w:w="1296"/>
        <w:gridCol w:w="937"/>
      </w:tblGrid>
      <w:tr>
        <w:trPr>
          <w:trHeight w:val="250" w:hRule="exact"/>
        </w:trPr>
        <w:tc>
          <w:tcPr>
            <w:tcW w:w="2055" w:type="dxa"/>
            <w:tcBorders>
              <w:left w:val="nil"/>
              <w:bottom w:val="double" w:sz="4" w:space="0" w:color="000000"/>
              <w:right w:val="nil"/>
            </w:tcBorders>
          </w:tcPr>
          <w:p>
            <w:pPr>
              <w:pStyle w:val="TableParagraph"/>
              <w:spacing w:before="5"/>
              <w:ind w:left="72"/>
              <w:jc w:val="left"/>
              <w:rPr>
                <w:sz w:val="19"/>
              </w:rPr>
            </w:pPr>
            <w:r>
              <w:rPr>
                <w:w w:val="105"/>
                <w:sz w:val="19"/>
              </w:rPr>
              <w:t>Países</w:t>
            </w:r>
          </w:p>
        </w:tc>
        <w:tc>
          <w:tcPr>
            <w:tcW w:w="1208" w:type="dxa"/>
            <w:tcBorders>
              <w:left w:val="nil"/>
              <w:bottom w:val="double" w:sz="4" w:space="0" w:color="000000"/>
              <w:right w:val="nil"/>
            </w:tcBorders>
          </w:tcPr>
          <w:p>
            <w:pPr>
              <w:pStyle w:val="TableParagraph"/>
              <w:spacing w:before="5"/>
              <w:ind w:right="140"/>
              <w:rPr>
                <w:sz w:val="19"/>
              </w:rPr>
            </w:pPr>
            <w:r>
              <w:rPr>
                <w:sz w:val="19"/>
              </w:rPr>
              <w:t>Agricultura</w:t>
            </w:r>
          </w:p>
        </w:tc>
        <w:tc>
          <w:tcPr>
            <w:tcW w:w="956" w:type="dxa"/>
            <w:tcBorders>
              <w:left w:val="nil"/>
              <w:bottom w:val="double" w:sz="4" w:space="0" w:color="000000"/>
              <w:right w:val="nil"/>
            </w:tcBorders>
          </w:tcPr>
          <w:p>
            <w:pPr>
              <w:pStyle w:val="TableParagraph"/>
              <w:spacing w:before="5"/>
              <w:ind w:right="103"/>
              <w:rPr>
                <w:sz w:val="19"/>
              </w:rPr>
            </w:pPr>
            <w:r>
              <w:rPr>
                <w:sz w:val="19"/>
              </w:rPr>
              <w:t>Industria</w:t>
            </w:r>
          </w:p>
        </w:tc>
        <w:tc>
          <w:tcPr>
            <w:tcW w:w="1296" w:type="dxa"/>
            <w:tcBorders>
              <w:left w:val="nil"/>
              <w:bottom w:val="double" w:sz="4" w:space="0" w:color="000000"/>
              <w:right w:val="nil"/>
            </w:tcBorders>
          </w:tcPr>
          <w:p>
            <w:pPr>
              <w:pStyle w:val="TableParagraph"/>
              <w:spacing w:before="5"/>
              <w:ind w:right="123"/>
              <w:rPr>
                <w:sz w:val="19"/>
              </w:rPr>
            </w:pPr>
            <w:r>
              <w:rPr>
                <w:sz w:val="19"/>
              </w:rPr>
              <w:t>Construcción</w:t>
            </w:r>
          </w:p>
        </w:tc>
        <w:tc>
          <w:tcPr>
            <w:tcW w:w="937" w:type="dxa"/>
            <w:tcBorders>
              <w:left w:val="nil"/>
              <w:bottom w:val="double" w:sz="4" w:space="0" w:color="000000"/>
              <w:right w:val="nil"/>
            </w:tcBorders>
          </w:tcPr>
          <w:p>
            <w:pPr>
              <w:pStyle w:val="TableParagraph"/>
              <w:spacing w:before="5"/>
              <w:ind w:right="66"/>
              <w:rPr>
                <w:sz w:val="19"/>
              </w:rPr>
            </w:pPr>
            <w:r>
              <w:rPr>
                <w:sz w:val="19"/>
              </w:rPr>
              <w:t>Servicios</w:t>
            </w:r>
          </w:p>
        </w:tc>
      </w:tr>
      <w:tr>
        <w:trPr>
          <w:trHeight w:val="252" w:hRule="exact"/>
        </w:trPr>
        <w:tc>
          <w:tcPr>
            <w:tcW w:w="2055" w:type="dxa"/>
            <w:tcBorders>
              <w:top w:val="double" w:sz="4" w:space="0" w:color="000000"/>
              <w:left w:val="nil"/>
              <w:bottom w:val="nil"/>
              <w:right w:val="nil"/>
            </w:tcBorders>
          </w:tcPr>
          <w:p>
            <w:pPr>
              <w:pStyle w:val="TableParagraph"/>
              <w:spacing w:before="5"/>
              <w:ind w:left="72"/>
              <w:jc w:val="left"/>
              <w:rPr>
                <w:sz w:val="19"/>
              </w:rPr>
            </w:pPr>
            <w:r>
              <w:rPr>
                <w:w w:val="105"/>
                <w:sz w:val="19"/>
              </w:rPr>
              <w:t>Argentina</w:t>
            </w:r>
          </w:p>
        </w:tc>
        <w:tc>
          <w:tcPr>
            <w:tcW w:w="1208" w:type="dxa"/>
            <w:tcBorders>
              <w:top w:val="double" w:sz="4" w:space="0" w:color="000000"/>
              <w:left w:val="nil"/>
              <w:bottom w:val="nil"/>
              <w:right w:val="nil"/>
            </w:tcBorders>
          </w:tcPr>
          <w:p>
            <w:pPr>
              <w:pStyle w:val="TableParagraph"/>
              <w:spacing w:before="5"/>
              <w:ind w:right="139"/>
              <w:rPr>
                <w:sz w:val="19"/>
              </w:rPr>
            </w:pPr>
            <w:r>
              <w:rPr>
                <w:sz w:val="19"/>
              </w:rPr>
              <w:t>0.8</w:t>
            </w:r>
          </w:p>
        </w:tc>
        <w:tc>
          <w:tcPr>
            <w:tcW w:w="956" w:type="dxa"/>
            <w:tcBorders>
              <w:top w:val="double" w:sz="4" w:space="0" w:color="000000"/>
              <w:left w:val="nil"/>
              <w:bottom w:val="nil"/>
              <w:right w:val="nil"/>
            </w:tcBorders>
          </w:tcPr>
          <w:p>
            <w:pPr>
              <w:pStyle w:val="TableParagraph"/>
              <w:spacing w:before="5"/>
              <w:ind w:right="102"/>
              <w:rPr>
                <w:sz w:val="19"/>
              </w:rPr>
            </w:pPr>
            <w:r>
              <w:rPr>
                <w:sz w:val="19"/>
              </w:rPr>
              <w:t>5.2</w:t>
            </w:r>
          </w:p>
        </w:tc>
        <w:tc>
          <w:tcPr>
            <w:tcW w:w="1296" w:type="dxa"/>
            <w:tcBorders>
              <w:top w:val="double" w:sz="4" w:space="0" w:color="000000"/>
              <w:left w:val="nil"/>
              <w:bottom w:val="nil"/>
              <w:right w:val="nil"/>
            </w:tcBorders>
          </w:tcPr>
          <w:p>
            <w:pPr>
              <w:pStyle w:val="TableParagraph"/>
              <w:spacing w:before="5"/>
              <w:ind w:right="125"/>
              <w:rPr>
                <w:sz w:val="19"/>
              </w:rPr>
            </w:pPr>
            <w:r>
              <w:rPr>
                <w:sz w:val="19"/>
              </w:rPr>
              <w:t>13.7</w:t>
            </w:r>
          </w:p>
        </w:tc>
        <w:tc>
          <w:tcPr>
            <w:tcW w:w="937" w:type="dxa"/>
            <w:tcBorders>
              <w:top w:val="double" w:sz="4" w:space="0" w:color="000000"/>
              <w:left w:val="nil"/>
              <w:bottom w:val="nil"/>
              <w:right w:val="nil"/>
            </w:tcBorders>
          </w:tcPr>
          <w:p>
            <w:pPr>
              <w:pStyle w:val="TableParagraph"/>
              <w:spacing w:before="5"/>
              <w:ind w:right="66"/>
              <w:rPr>
                <w:sz w:val="19"/>
              </w:rPr>
            </w:pPr>
            <w:r>
              <w:rPr>
                <w:sz w:val="19"/>
              </w:rPr>
              <w:t>80.1</w:t>
            </w:r>
          </w:p>
        </w:tc>
      </w:tr>
      <w:tr>
        <w:trPr>
          <w:trHeight w:val="230" w:hRule="exact"/>
        </w:trPr>
        <w:tc>
          <w:tcPr>
            <w:tcW w:w="2055" w:type="dxa"/>
            <w:tcBorders>
              <w:top w:val="nil"/>
              <w:left w:val="nil"/>
              <w:bottom w:val="nil"/>
              <w:right w:val="nil"/>
            </w:tcBorders>
          </w:tcPr>
          <w:p>
            <w:pPr>
              <w:pStyle w:val="TableParagraph"/>
              <w:spacing w:line="216" w:lineRule="exact"/>
              <w:ind w:left="72"/>
              <w:jc w:val="left"/>
              <w:rPr>
                <w:sz w:val="19"/>
              </w:rPr>
            </w:pPr>
            <w:r>
              <w:rPr>
                <w:w w:val="105"/>
                <w:sz w:val="19"/>
              </w:rPr>
              <w:t>Bolivia</w:t>
            </w:r>
          </w:p>
        </w:tc>
        <w:tc>
          <w:tcPr>
            <w:tcW w:w="1208" w:type="dxa"/>
            <w:tcBorders>
              <w:top w:val="nil"/>
              <w:left w:val="nil"/>
              <w:bottom w:val="nil"/>
              <w:right w:val="nil"/>
            </w:tcBorders>
          </w:tcPr>
          <w:p>
            <w:pPr>
              <w:pStyle w:val="TableParagraph"/>
              <w:spacing w:line="216" w:lineRule="exact"/>
              <w:ind w:right="140"/>
              <w:rPr>
                <w:sz w:val="19"/>
              </w:rPr>
            </w:pPr>
            <w:r>
              <w:rPr>
                <w:sz w:val="19"/>
              </w:rPr>
              <w:t>10.0</w:t>
            </w:r>
          </w:p>
        </w:tc>
        <w:tc>
          <w:tcPr>
            <w:tcW w:w="956" w:type="dxa"/>
            <w:tcBorders>
              <w:top w:val="nil"/>
              <w:left w:val="nil"/>
              <w:bottom w:val="nil"/>
              <w:right w:val="nil"/>
            </w:tcBorders>
          </w:tcPr>
          <w:p>
            <w:pPr>
              <w:pStyle w:val="TableParagraph"/>
              <w:spacing w:line="216" w:lineRule="exact"/>
              <w:ind w:right="102"/>
              <w:rPr>
                <w:sz w:val="19"/>
              </w:rPr>
            </w:pPr>
            <w:r>
              <w:rPr>
                <w:sz w:val="19"/>
              </w:rPr>
              <w:t>4.8</w:t>
            </w:r>
          </w:p>
        </w:tc>
        <w:tc>
          <w:tcPr>
            <w:tcW w:w="1296" w:type="dxa"/>
            <w:tcBorders>
              <w:top w:val="nil"/>
              <w:left w:val="nil"/>
              <w:bottom w:val="nil"/>
              <w:right w:val="nil"/>
            </w:tcBorders>
          </w:tcPr>
          <w:p>
            <w:pPr>
              <w:pStyle w:val="TableParagraph"/>
              <w:spacing w:line="216" w:lineRule="exact"/>
              <w:ind w:right="125"/>
              <w:rPr>
                <w:sz w:val="19"/>
              </w:rPr>
            </w:pPr>
            <w:r>
              <w:rPr>
                <w:sz w:val="19"/>
              </w:rPr>
              <w:t>27.4</w:t>
            </w:r>
          </w:p>
        </w:tc>
        <w:tc>
          <w:tcPr>
            <w:tcW w:w="937" w:type="dxa"/>
            <w:tcBorders>
              <w:top w:val="nil"/>
              <w:left w:val="nil"/>
              <w:bottom w:val="nil"/>
              <w:right w:val="nil"/>
            </w:tcBorders>
          </w:tcPr>
          <w:p>
            <w:pPr>
              <w:pStyle w:val="TableParagraph"/>
              <w:spacing w:line="216" w:lineRule="exact"/>
              <w:ind w:right="66"/>
              <w:rPr>
                <w:sz w:val="19"/>
              </w:rPr>
            </w:pPr>
            <w:r>
              <w:rPr>
                <w:sz w:val="19"/>
              </w:rPr>
              <w:t>57.7</w:t>
            </w:r>
          </w:p>
        </w:tc>
      </w:tr>
      <w:tr>
        <w:trPr>
          <w:trHeight w:val="230" w:hRule="exact"/>
        </w:trPr>
        <w:tc>
          <w:tcPr>
            <w:tcW w:w="2055" w:type="dxa"/>
            <w:tcBorders>
              <w:top w:val="nil"/>
              <w:left w:val="nil"/>
              <w:bottom w:val="nil"/>
              <w:right w:val="nil"/>
            </w:tcBorders>
          </w:tcPr>
          <w:p>
            <w:pPr>
              <w:pStyle w:val="TableParagraph"/>
              <w:spacing w:line="216" w:lineRule="exact"/>
              <w:ind w:left="72"/>
              <w:jc w:val="left"/>
              <w:rPr>
                <w:sz w:val="19"/>
              </w:rPr>
            </w:pPr>
            <w:r>
              <w:rPr>
                <w:w w:val="105"/>
                <w:sz w:val="19"/>
              </w:rPr>
              <w:t>Brasil</w:t>
            </w:r>
          </w:p>
        </w:tc>
        <w:tc>
          <w:tcPr>
            <w:tcW w:w="1208" w:type="dxa"/>
            <w:tcBorders>
              <w:top w:val="nil"/>
              <w:left w:val="nil"/>
              <w:bottom w:val="nil"/>
              <w:right w:val="nil"/>
            </w:tcBorders>
          </w:tcPr>
          <w:p>
            <w:pPr>
              <w:pStyle w:val="TableParagraph"/>
              <w:spacing w:line="216" w:lineRule="exact"/>
              <w:ind w:right="139"/>
              <w:rPr>
                <w:sz w:val="19"/>
              </w:rPr>
            </w:pPr>
            <w:r>
              <w:rPr>
                <w:sz w:val="19"/>
              </w:rPr>
              <w:t>1.8</w:t>
            </w:r>
          </w:p>
        </w:tc>
        <w:tc>
          <w:tcPr>
            <w:tcW w:w="956" w:type="dxa"/>
            <w:tcBorders>
              <w:top w:val="nil"/>
              <w:left w:val="nil"/>
              <w:bottom w:val="nil"/>
              <w:right w:val="nil"/>
            </w:tcBorders>
          </w:tcPr>
          <w:p>
            <w:pPr>
              <w:pStyle w:val="TableParagraph"/>
              <w:spacing w:line="216" w:lineRule="exact"/>
              <w:ind w:right="102"/>
              <w:rPr>
                <w:sz w:val="19"/>
              </w:rPr>
            </w:pPr>
            <w:r>
              <w:rPr>
                <w:sz w:val="19"/>
              </w:rPr>
              <w:t>5.3</w:t>
            </w:r>
          </w:p>
        </w:tc>
        <w:tc>
          <w:tcPr>
            <w:tcW w:w="1296" w:type="dxa"/>
            <w:tcBorders>
              <w:top w:val="nil"/>
              <w:left w:val="nil"/>
              <w:bottom w:val="nil"/>
              <w:right w:val="nil"/>
            </w:tcBorders>
          </w:tcPr>
          <w:p>
            <w:pPr>
              <w:pStyle w:val="TableParagraph"/>
              <w:spacing w:line="216" w:lineRule="exact"/>
              <w:ind w:right="125"/>
              <w:rPr>
                <w:sz w:val="19"/>
              </w:rPr>
            </w:pPr>
            <w:r>
              <w:rPr>
                <w:sz w:val="19"/>
              </w:rPr>
              <w:t>15.0</w:t>
            </w:r>
          </w:p>
        </w:tc>
        <w:tc>
          <w:tcPr>
            <w:tcW w:w="937" w:type="dxa"/>
            <w:tcBorders>
              <w:top w:val="nil"/>
              <w:left w:val="nil"/>
              <w:bottom w:val="nil"/>
              <w:right w:val="nil"/>
            </w:tcBorders>
          </w:tcPr>
          <w:p>
            <w:pPr>
              <w:pStyle w:val="TableParagraph"/>
              <w:spacing w:line="216" w:lineRule="exact"/>
              <w:ind w:right="66"/>
              <w:rPr>
                <w:sz w:val="19"/>
              </w:rPr>
            </w:pPr>
            <w:r>
              <w:rPr>
                <w:sz w:val="19"/>
              </w:rPr>
              <w:t>77.7</w:t>
            </w:r>
          </w:p>
        </w:tc>
      </w:tr>
      <w:tr>
        <w:trPr>
          <w:trHeight w:val="230" w:hRule="exact"/>
        </w:trPr>
        <w:tc>
          <w:tcPr>
            <w:tcW w:w="2055" w:type="dxa"/>
            <w:tcBorders>
              <w:top w:val="nil"/>
              <w:left w:val="nil"/>
              <w:bottom w:val="nil"/>
              <w:right w:val="nil"/>
            </w:tcBorders>
          </w:tcPr>
          <w:p>
            <w:pPr>
              <w:pStyle w:val="TableParagraph"/>
              <w:spacing w:line="216" w:lineRule="exact"/>
              <w:ind w:left="72"/>
              <w:jc w:val="left"/>
              <w:rPr>
                <w:sz w:val="19"/>
              </w:rPr>
            </w:pPr>
            <w:r>
              <w:rPr>
                <w:w w:val="105"/>
                <w:sz w:val="19"/>
              </w:rPr>
              <w:t>Chile</w:t>
            </w:r>
          </w:p>
        </w:tc>
        <w:tc>
          <w:tcPr>
            <w:tcW w:w="1208" w:type="dxa"/>
            <w:tcBorders>
              <w:top w:val="nil"/>
              <w:left w:val="nil"/>
              <w:bottom w:val="nil"/>
              <w:right w:val="nil"/>
            </w:tcBorders>
          </w:tcPr>
          <w:p>
            <w:pPr>
              <w:pStyle w:val="TableParagraph"/>
              <w:spacing w:line="216" w:lineRule="exact"/>
              <w:ind w:right="139"/>
              <w:rPr>
                <w:sz w:val="19"/>
              </w:rPr>
            </w:pPr>
            <w:r>
              <w:rPr>
                <w:sz w:val="19"/>
              </w:rPr>
              <w:t>1.4</w:t>
            </w:r>
          </w:p>
        </w:tc>
        <w:tc>
          <w:tcPr>
            <w:tcW w:w="956" w:type="dxa"/>
            <w:tcBorders>
              <w:top w:val="nil"/>
              <w:left w:val="nil"/>
              <w:bottom w:val="nil"/>
              <w:right w:val="nil"/>
            </w:tcBorders>
          </w:tcPr>
          <w:p>
            <w:pPr>
              <w:pStyle w:val="TableParagraph"/>
              <w:spacing w:line="216" w:lineRule="exact"/>
              <w:ind w:right="102"/>
              <w:rPr>
                <w:sz w:val="19"/>
              </w:rPr>
            </w:pPr>
            <w:r>
              <w:rPr>
                <w:sz w:val="19"/>
              </w:rPr>
              <w:t>5.5</w:t>
            </w:r>
          </w:p>
        </w:tc>
        <w:tc>
          <w:tcPr>
            <w:tcW w:w="1296" w:type="dxa"/>
            <w:tcBorders>
              <w:top w:val="nil"/>
              <w:left w:val="nil"/>
              <w:bottom w:val="nil"/>
              <w:right w:val="nil"/>
            </w:tcBorders>
          </w:tcPr>
          <w:p>
            <w:pPr>
              <w:pStyle w:val="TableParagraph"/>
              <w:spacing w:line="216" w:lineRule="exact"/>
              <w:ind w:right="125"/>
              <w:rPr>
                <w:sz w:val="19"/>
              </w:rPr>
            </w:pPr>
            <w:r>
              <w:rPr>
                <w:sz w:val="19"/>
              </w:rPr>
              <w:t>17.8</w:t>
            </w:r>
          </w:p>
        </w:tc>
        <w:tc>
          <w:tcPr>
            <w:tcW w:w="937" w:type="dxa"/>
            <w:tcBorders>
              <w:top w:val="nil"/>
              <w:left w:val="nil"/>
              <w:bottom w:val="nil"/>
              <w:right w:val="nil"/>
            </w:tcBorders>
          </w:tcPr>
          <w:p>
            <w:pPr>
              <w:pStyle w:val="TableParagraph"/>
              <w:spacing w:line="216" w:lineRule="exact"/>
              <w:ind w:right="66"/>
              <w:rPr>
                <w:sz w:val="19"/>
              </w:rPr>
            </w:pPr>
            <w:r>
              <w:rPr>
                <w:sz w:val="19"/>
              </w:rPr>
              <w:t>75.2</w:t>
            </w:r>
          </w:p>
        </w:tc>
      </w:tr>
      <w:tr>
        <w:trPr>
          <w:trHeight w:val="230" w:hRule="exact"/>
        </w:trPr>
        <w:tc>
          <w:tcPr>
            <w:tcW w:w="2055" w:type="dxa"/>
            <w:tcBorders>
              <w:top w:val="nil"/>
              <w:left w:val="nil"/>
              <w:bottom w:val="nil"/>
              <w:right w:val="nil"/>
            </w:tcBorders>
          </w:tcPr>
          <w:p>
            <w:pPr>
              <w:pStyle w:val="TableParagraph"/>
              <w:spacing w:line="216" w:lineRule="exact"/>
              <w:ind w:left="72"/>
              <w:jc w:val="left"/>
              <w:rPr>
                <w:sz w:val="19"/>
              </w:rPr>
            </w:pPr>
            <w:r>
              <w:rPr>
                <w:w w:val="105"/>
                <w:sz w:val="19"/>
              </w:rPr>
              <w:t>Colombia</w:t>
            </w:r>
          </w:p>
        </w:tc>
        <w:tc>
          <w:tcPr>
            <w:tcW w:w="1208" w:type="dxa"/>
            <w:tcBorders>
              <w:top w:val="nil"/>
              <w:left w:val="nil"/>
              <w:bottom w:val="nil"/>
              <w:right w:val="nil"/>
            </w:tcBorders>
          </w:tcPr>
          <w:p>
            <w:pPr>
              <w:pStyle w:val="TableParagraph"/>
              <w:spacing w:line="216" w:lineRule="exact"/>
              <w:ind w:right="139"/>
              <w:rPr>
                <w:sz w:val="19"/>
              </w:rPr>
            </w:pPr>
            <w:r>
              <w:rPr>
                <w:sz w:val="19"/>
              </w:rPr>
              <w:t>2.4</w:t>
            </w:r>
          </w:p>
        </w:tc>
        <w:tc>
          <w:tcPr>
            <w:tcW w:w="956" w:type="dxa"/>
            <w:tcBorders>
              <w:top w:val="nil"/>
              <w:left w:val="nil"/>
              <w:bottom w:val="nil"/>
              <w:right w:val="nil"/>
            </w:tcBorders>
          </w:tcPr>
          <w:p>
            <w:pPr>
              <w:pStyle w:val="TableParagraph"/>
              <w:spacing w:line="216" w:lineRule="exact"/>
              <w:ind w:right="102"/>
              <w:rPr>
                <w:sz w:val="19"/>
              </w:rPr>
            </w:pPr>
            <w:r>
              <w:rPr>
                <w:sz w:val="19"/>
              </w:rPr>
              <w:t>5.4</w:t>
            </w:r>
          </w:p>
        </w:tc>
        <w:tc>
          <w:tcPr>
            <w:tcW w:w="1296" w:type="dxa"/>
            <w:tcBorders>
              <w:top w:val="nil"/>
              <w:left w:val="nil"/>
              <w:bottom w:val="nil"/>
              <w:right w:val="nil"/>
            </w:tcBorders>
          </w:tcPr>
          <w:p>
            <w:pPr>
              <w:pStyle w:val="TableParagraph"/>
              <w:spacing w:line="216" w:lineRule="exact"/>
              <w:ind w:right="125"/>
              <w:rPr>
                <w:sz w:val="19"/>
              </w:rPr>
            </w:pPr>
            <w:r>
              <w:rPr>
                <w:sz w:val="19"/>
              </w:rPr>
              <w:t>18.9</w:t>
            </w:r>
          </w:p>
        </w:tc>
        <w:tc>
          <w:tcPr>
            <w:tcW w:w="937" w:type="dxa"/>
            <w:tcBorders>
              <w:top w:val="nil"/>
              <w:left w:val="nil"/>
              <w:bottom w:val="nil"/>
              <w:right w:val="nil"/>
            </w:tcBorders>
          </w:tcPr>
          <w:p>
            <w:pPr>
              <w:pStyle w:val="TableParagraph"/>
              <w:spacing w:line="216" w:lineRule="exact"/>
              <w:ind w:right="66"/>
              <w:rPr>
                <w:sz w:val="19"/>
              </w:rPr>
            </w:pPr>
            <w:r>
              <w:rPr>
                <w:sz w:val="19"/>
              </w:rPr>
              <w:t>73.2</w:t>
            </w:r>
          </w:p>
        </w:tc>
      </w:tr>
      <w:tr>
        <w:trPr>
          <w:trHeight w:val="230" w:hRule="exact"/>
        </w:trPr>
        <w:tc>
          <w:tcPr>
            <w:tcW w:w="2055" w:type="dxa"/>
            <w:tcBorders>
              <w:top w:val="nil"/>
              <w:left w:val="nil"/>
              <w:bottom w:val="nil"/>
              <w:right w:val="nil"/>
            </w:tcBorders>
          </w:tcPr>
          <w:p>
            <w:pPr>
              <w:pStyle w:val="TableParagraph"/>
              <w:spacing w:line="216" w:lineRule="exact"/>
              <w:ind w:left="72"/>
              <w:jc w:val="left"/>
              <w:rPr>
                <w:sz w:val="19"/>
              </w:rPr>
            </w:pPr>
            <w:r>
              <w:rPr>
                <w:w w:val="105"/>
                <w:sz w:val="19"/>
              </w:rPr>
              <w:t>Cuba</w:t>
            </w:r>
          </w:p>
        </w:tc>
        <w:tc>
          <w:tcPr>
            <w:tcW w:w="1208" w:type="dxa"/>
            <w:tcBorders>
              <w:top w:val="nil"/>
              <w:left w:val="nil"/>
              <w:bottom w:val="nil"/>
              <w:right w:val="nil"/>
            </w:tcBorders>
          </w:tcPr>
          <w:p>
            <w:pPr>
              <w:pStyle w:val="TableParagraph"/>
              <w:spacing w:line="216" w:lineRule="exact"/>
              <w:ind w:right="139"/>
              <w:rPr>
                <w:sz w:val="19"/>
              </w:rPr>
            </w:pPr>
            <w:r>
              <w:rPr>
                <w:sz w:val="19"/>
              </w:rPr>
              <w:t>1.4</w:t>
            </w:r>
          </w:p>
        </w:tc>
        <w:tc>
          <w:tcPr>
            <w:tcW w:w="956" w:type="dxa"/>
            <w:tcBorders>
              <w:top w:val="nil"/>
              <w:left w:val="nil"/>
              <w:bottom w:val="nil"/>
              <w:right w:val="nil"/>
            </w:tcBorders>
          </w:tcPr>
          <w:p>
            <w:pPr>
              <w:pStyle w:val="TableParagraph"/>
              <w:spacing w:line="216" w:lineRule="exact"/>
              <w:ind w:right="102"/>
              <w:rPr>
                <w:sz w:val="19"/>
              </w:rPr>
            </w:pPr>
            <w:r>
              <w:rPr>
                <w:sz w:val="19"/>
              </w:rPr>
              <w:t>4.9</w:t>
            </w:r>
          </w:p>
        </w:tc>
        <w:tc>
          <w:tcPr>
            <w:tcW w:w="1296" w:type="dxa"/>
            <w:tcBorders>
              <w:top w:val="nil"/>
              <w:left w:val="nil"/>
              <w:bottom w:val="nil"/>
              <w:right w:val="nil"/>
            </w:tcBorders>
          </w:tcPr>
          <w:p>
            <w:pPr>
              <w:pStyle w:val="TableParagraph"/>
              <w:spacing w:line="216" w:lineRule="exact"/>
              <w:ind w:right="125"/>
              <w:rPr>
                <w:sz w:val="19"/>
              </w:rPr>
            </w:pPr>
            <w:r>
              <w:rPr>
                <w:sz w:val="19"/>
              </w:rPr>
              <w:t>13.3</w:t>
            </w:r>
          </w:p>
        </w:tc>
        <w:tc>
          <w:tcPr>
            <w:tcW w:w="937" w:type="dxa"/>
            <w:tcBorders>
              <w:top w:val="nil"/>
              <w:left w:val="nil"/>
              <w:bottom w:val="nil"/>
              <w:right w:val="nil"/>
            </w:tcBorders>
          </w:tcPr>
          <w:p>
            <w:pPr>
              <w:pStyle w:val="TableParagraph"/>
              <w:spacing w:line="216" w:lineRule="exact"/>
              <w:ind w:right="66"/>
              <w:rPr>
                <w:sz w:val="19"/>
              </w:rPr>
            </w:pPr>
            <w:r>
              <w:rPr>
                <w:sz w:val="19"/>
              </w:rPr>
              <w:t>80.2</w:t>
            </w:r>
          </w:p>
        </w:tc>
      </w:tr>
      <w:tr>
        <w:trPr>
          <w:trHeight w:val="230" w:hRule="exact"/>
        </w:trPr>
        <w:tc>
          <w:tcPr>
            <w:tcW w:w="2055" w:type="dxa"/>
            <w:tcBorders>
              <w:top w:val="nil"/>
              <w:left w:val="nil"/>
              <w:bottom w:val="nil"/>
              <w:right w:val="nil"/>
            </w:tcBorders>
          </w:tcPr>
          <w:p>
            <w:pPr>
              <w:pStyle w:val="TableParagraph"/>
              <w:spacing w:line="216" w:lineRule="exact"/>
              <w:ind w:left="72"/>
              <w:jc w:val="left"/>
              <w:rPr>
                <w:sz w:val="19"/>
              </w:rPr>
            </w:pPr>
            <w:r>
              <w:rPr>
                <w:w w:val="105"/>
                <w:sz w:val="19"/>
              </w:rPr>
              <w:t>Ecuador</w:t>
            </w:r>
          </w:p>
        </w:tc>
        <w:tc>
          <w:tcPr>
            <w:tcW w:w="1208" w:type="dxa"/>
            <w:tcBorders>
              <w:top w:val="nil"/>
              <w:left w:val="nil"/>
              <w:bottom w:val="nil"/>
              <w:right w:val="nil"/>
            </w:tcBorders>
          </w:tcPr>
          <w:p>
            <w:pPr>
              <w:pStyle w:val="TableParagraph"/>
              <w:spacing w:line="216" w:lineRule="exact"/>
              <w:ind w:right="139"/>
              <w:rPr>
                <w:sz w:val="19"/>
              </w:rPr>
            </w:pPr>
            <w:r>
              <w:rPr>
                <w:sz w:val="19"/>
              </w:rPr>
              <w:t>7.7</w:t>
            </w:r>
          </w:p>
        </w:tc>
        <w:tc>
          <w:tcPr>
            <w:tcW w:w="956" w:type="dxa"/>
            <w:tcBorders>
              <w:top w:val="nil"/>
              <w:left w:val="nil"/>
              <w:bottom w:val="nil"/>
              <w:right w:val="nil"/>
            </w:tcBorders>
          </w:tcPr>
          <w:p>
            <w:pPr>
              <w:pStyle w:val="TableParagraph"/>
              <w:spacing w:line="216" w:lineRule="exact"/>
              <w:ind w:right="102"/>
              <w:rPr>
                <w:sz w:val="19"/>
              </w:rPr>
            </w:pPr>
            <w:r>
              <w:rPr>
                <w:sz w:val="19"/>
              </w:rPr>
              <w:t>5.0</w:t>
            </w:r>
          </w:p>
        </w:tc>
        <w:tc>
          <w:tcPr>
            <w:tcW w:w="1296" w:type="dxa"/>
            <w:tcBorders>
              <w:top w:val="nil"/>
              <w:left w:val="nil"/>
              <w:bottom w:val="nil"/>
              <w:right w:val="nil"/>
            </w:tcBorders>
          </w:tcPr>
          <w:p>
            <w:pPr>
              <w:pStyle w:val="TableParagraph"/>
              <w:spacing w:line="216" w:lineRule="exact"/>
              <w:ind w:right="125"/>
              <w:rPr>
                <w:sz w:val="19"/>
              </w:rPr>
            </w:pPr>
            <w:r>
              <w:rPr>
                <w:sz w:val="19"/>
              </w:rPr>
              <w:t>23.8</w:t>
            </w:r>
          </w:p>
        </w:tc>
        <w:tc>
          <w:tcPr>
            <w:tcW w:w="937" w:type="dxa"/>
            <w:tcBorders>
              <w:top w:val="nil"/>
              <w:left w:val="nil"/>
              <w:bottom w:val="nil"/>
              <w:right w:val="nil"/>
            </w:tcBorders>
          </w:tcPr>
          <w:p>
            <w:pPr>
              <w:pStyle w:val="TableParagraph"/>
              <w:spacing w:line="216" w:lineRule="exact"/>
              <w:ind w:right="66"/>
              <w:rPr>
                <w:sz w:val="19"/>
              </w:rPr>
            </w:pPr>
            <w:r>
              <w:rPr>
                <w:sz w:val="19"/>
              </w:rPr>
              <w:t>63.3</w:t>
            </w:r>
          </w:p>
        </w:tc>
      </w:tr>
      <w:tr>
        <w:trPr>
          <w:trHeight w:val="230" w:hRule="exact"/>
        </w:trPr>
        <w:tc>
          <w:tcPr>
            <w:tcW w:w="2055" w:type="dxa"/>
            <w:tcBorders>
              <w:top w:val="nil"/>
              <w:left w:val="nil"/>
              <w:bottom w:val="nil"/>
              <w:right w:val="nil"/>
            </w:tcBorders>
          </w:tcPr>
          <w:p>
            <w:pPr>
              <w:pStyle w:val="TableParagraph"/>
              <w:spacing w:line="216" w:lineRule="exact"/>
              <w:ind w:left="72"/>
              <w:jc w:val="left"/>
              <w:rPr>
                <w:sz w:val="19"/>
              </w:rPr>
            </w:pPr>
            <w:r>
              <w:rPr>
                <w:w w:val="105"/>
                <w:sz w:val="19"/>
              </w:rPr>
              <w:t>México</w:t>
            </w:r>
          </w:p>
        </w:tc>
        <w:tc>
          <w:tcPr>
            <w:tcW w:w="1208" w:type="dxa"/>
            <w:tcBorders>
              <w:top w:val="nil"/>
              <w:left w:val="nil"/>
              <w:bottom w:val="nil"/>
              <w:right w:val="nil"/>
            </w:tcBorders>
          </w:tcPr>
          <w:p>
            <w:pPr>
              <w:pStyle w:val="TableParagraph"/>
              <w:spacing w:line="216" w:lineRule="exact"/>
              <w:ind w:right="139"/>
              <w:rPr>
                <w:sz w:val="19"/>
              </w:rPr>
            </w:pPr>
            <w:r>
              <w:rPr>
                <w:sz w:val="19"/>
              </w:rPr>
              <w:t>0.5</w:t>
            </w:r>
          </w:p>
        </w:tc>
        <w:tc>
          <w:tcPr>
            <w:tcW w:w="956" w:type="dxa"/>
            <w:tcBorders>
              <w:top w:val="nil"/>
              <w:left w:val="nil"/>
              <w:bottom w:val="nil"/>
              <w:right w:val="nil"/>
            </w:tcBorders>
          </w:tcPr>
          <w:p>
            <w:pPr>
              <w:pStyle w:val="TableParagraph"/>
              <w:spacing w:line="216" w:lineRule="exact"/>
              <w:ind w:right="102"/>
              <w:rPr>
                <w:sz w:val="19"/>
              </w:rPr>
            </w:pPr>
            <w:r>
              <w:rPr>
                <w:sz w:val="19"/>
              </w:rPr>
              <w:t>5.9</w:t>
            </w:r>
          </w:p>
        </w:tc>
        <w:tc>
          <w:tcPr>
            <w:tcW w:w="1296" w:type="dxa"/>
            <w:tcBorders>
              <w:top w:val="nil"/>
              <w:left w:val="nil"/>
              <w:bottom w:val="nil"/>
              <w:right w:val="nil"/>
            </w:tcBorders>
          </w:tcPr>
          <w:p>
            <w:pPr>
              <w:pStyle w:val="TableParagraph"/>
              <w:spacing w:line="216" w:lineRule="exact"/>
              <w:ind w:right="124"/>
              <w:rPr>
                <w:sz w:val="19"/>
              </w:rPr>
            </w:pPr>
            <w:r>
              <w:rPr>
                <w:sz w:val="19"/>
              </w:rPr>
              <w:t>5.8</w:t>
            </w:r>
          </w:p>
        </w:tc>
        <w:tc>
          <w:tcPr>
            <w:tcW w:w="937" w:type="dxa"/>
            <w:tcBorders>
              <w:top w:val="nil"/>
              <w:left w:val="nil"/>
              <w:bottom w:val="nil"/>
              <w:right w:val="nil"/>
            </w:tcBorders>
          </w:tcPr>
          <w:p>
            <w:pPr>
              <w:pStyle w:val="TableParagraph"/>
              <w:spacing w:line="216" w:lineRule="exact"/>
              <w:ind w:right="66"/>
              <w:rPr>
                <w:sz w:val="19"/>
              </w:rPr>
            </w:pPr>
            <w:r>
              <w:rPr>
                <w:sz w:val="19"/>
              </w:rPr>
              <w:t>87.6</w:t>
            </w:r>
          </w:p>
        </w:tc>
      </w:tr>
      <w:tr>
        <w:trPr>
          <w:trHeight w:val="228" w:hRule="exact"/>
        </w:trPr>
        <w:tc>
          <w:tcPr>
            <w:tcW w:w="2055" w:type="dxa"/>
            <w:tcBorders>
              <w:top w:val="nil"/>
              <w:left w:val="nil"/>
              <w:bottom w:val="nil"/>
              <w:right w:val="nil"/>
            </w:tcBorders>
          </w:tcPr>
          <w:p>
            <w:pPr>
              <w:pStyle w:val="TableParagraph"/>
              <w:spacing w:line="216" w:lineRule="exact"/>
              <w:ind w:left="72"/>
              <w:jc w:val="left"/>
              <w:rPr>
                <w:sz w:val="19"/>
              </w:rPr>
            </w:pPr>
            <w:r>
              <w:rPr>
                <w:w w:val="105"/>
                <w:sz w:val="19"/>
              </w:rPr>
              <w:t>Perú</w:t>
            </w:r>
          </w:p>
        </w:tc>
        <w:tc>
          <w:tcPr>
            <w:tcW w:w="1208" w:type="dxa"/>
            <w:tcBorders>
              <w:top w:val="nil"/>
              <w:left w:val="nil"/>
              <w:bottom w:val="nil"/>
              <w:right w:val="nil"/>
            </w:tcBorders>
          </w:tcPr>
          <w:p>
            <w:pPr>
              <w:pStyle w:val="TableParagraph"/>
              <w:spacing w:line="216" w:lineRule="exact"/>
              <w:ind w:right="139"/>
              <w:rPr>
                <w:sz w:val="19"/>
              </w:rPr>
            </w:pPr>
            <w:r>
              <w:rPr>
                <w:sz w:val="19"/>
              </w:rPr>
              <w:t>2.0</w:t>
            </w:r>
          </w:p>
        </w:tc>
        <w:tc>
          <w:tcPr>
            <w:tcW w:w="956" w:type="dxa"/>
            <w:tcBorders>
              <w:top w:val="nil"/>
              <w:left w:val="nil"/>
              <w:bottom w:val="nil"/>
              <w:right w:val="nil"/>
            </w:tcBorders>
          </w:tcPr>
          <w:p>
            <w:pPr>
              <w:pStyle w:val="TableParagraph"/>
              <w:spacing w:line="216" w:lineRule="exact"/>
              <w:ind w:right="102"/>
              <w:rPr>
                <w:sz w:val="19"/>
              </w:rPr>
            </w:pPr>
            <w:r>
              <w:rPr>
                <w:sz w:val="19"/>
              </w:rPr>
              <w:t>4.1</w:t>
            </w:r>
          </w:p>
        </w:tc>
        <w:tc>
          <w:tcPr>
            <w:tcW w:w="1296" w:type="dxa"/>
            <w:tcBorders>
              <w:top w:val="nil"/>
              <w:left w:val="nil"/>
              <w:bottom w:val="nil"/>
              <w:right w:val="nil"/>
            </w:tcBorders>
          </w:tcPr>
          <w:p>
            <w:pPr>
              <w:pStyle w:val="TableParagraph"/>
              <w:spacing w:line="216" w:lineRule="exact"/>
              <w:ind w:right="125"/>
              <w:rPr>
                <w:sz w:val="19"/>
              </w:rPr>
            </w:pPr>
            <w:r>
              <w:rPr>
                <w:sz w:val="19"/>
              </w:rPr>
              <w:t>18.1</w:t>
            </w:r>
          </w:p>
        </w:tc>
        <w:tc>
          <w:tcPr>
            <w:tcW w:w="937" w:type="dxa"/>
            <w:tcBorders>
              <w:top w:val="nil"/>
              <w:left w:val="nil"/>
              <w:bottom w:val="nil"/>
              <w:right w:val="nil"/>
            </w:tcBorders>
          </w:tcPr>
          <w:p>
            <w:pPr>
              <w:pStyle w:val="TableParagraph"/>
              <w:spacing w:line="216" w:lineRule="exact"/>
              <w:ind w:right="66"/>
              <w:rPr>
                <w:sz w:val="19"/>
              </w:rPr>
            </w:pPr>
            <w:r>
              <w:rPr>
                <w:sz w:val="19"/>
              </w:rPr>
              <w:t>75.7</w:t>
            </w:r>
          </w:p>
        </w:tc>
      </w:tr>
      <w:tr>
        <w:trPr>
          <w:trHeight w:val="228" w:hRule="exact"/>
        </w:trPr>
        <w:tc>
          <w:tcPr>
            <w:tcW w:w="2055" w:type="dxa"/>
            <w:tcBorders>
              <w:top w:val="nil"/>
              <w:left w:val="nil"/>
              <w:bottom w:val="nil"/>
              <w:right w:val="nil"/>
            </w:tcBorders>
          </w:tcPr>
          <w:p>
            <w:pPr>
              <w:pStyle w:val="TableParagraph"/>
              <w:spacing w:line="214" w:lineRule="exact"/>
              <w:ind w:left="72"/>
              <w:jc w:val="left"/>
              <w:rPr>
                <w:sz w:val="19"/>
              </w:rPr>
            </w:pPr>
            <w:r>
              <w:rPr>
                <w:w w:val="105"/>
                <w:sz w:val="19"/>
              </w:rPr>
              <w:t>República Dominicana</w:t>
            </w:r>
          </w:p>
        </w:tc>
        <w:tc>
          <w:tcPr>
            <w:tcW w:w="1208" w:type="dxa"/>
            <w:tcBorders>
              <w:top w:val="nil"/>
              <w:left w:val="nil"/>
              <w:bottom w:val="nil"/>
              <w:right w:val="nil"/>
            </w:tcBorders>
          </w:tcPr>
          <w:p>
            <w:pPr>
              <w:pStyle w:val="TableParagraph"/>
              <w:spacing w:line="214" w:lineRule="exact"/>
              <w:ind w:right="139"/>
              <w:rPr>
                <w:sz w:val="19"/>
              </w:rPr>
            </w:pPr>
            <w:r>
              <w:rPr>
                <w:sz w:val="19"/>
              </w:rPr>
              <w:t>1.2</w:t>
            </w:r>
          </w:p>
        </w:tc>
        <w:tc>
          <w:tcPr>
            <w:tcW w:w="956" w:type="dxa"/>
            <w:tcBorders>
              <w:top w:val="nil"/>
              <w:left w:val="nil"/>
              <w:bottom w:val="nil"/>
              <w:right w:val="nil"/>
            </w:tcBorders>
          </w:tcPr>
          <w:p>
            <w:pPr>
              <w:pStyle w:val="TableParagraph"/>
              <w:spacing w:line="214" w:lineRule="exact"/>
              <w:ind w:right="102"/>
              <w:rPr>
                <w:sz w:val="19"/>
              </w:rPr>
            </w:pPr>
            <w:r>
              <w:rPr>
                <w:sz w:val="19"/>
              </w:rPr>
              <w:t>3.4</w:t>
            </w:r>
          </w:p>
        </w:tc>
        <w:tc>
          <w:tcPr>
            <w:tcW w:w="1296" w:type="dxa"/>
            <w:tcBorders>
              <w:top w:val="nil"/>
              <w:left w:val="nil"/>
              <w:bottom w:val="nil"/>
              <w:right w:val="nil"/>
            </w:tcBorders>
          </w:tcPr>
          <w:p>
            <w:pPr>
              <w:pStyle w:val="TableParagraph"/>
              <w:spacing w:line="214" w:lineRule="exact"/>
              <w:ind w:right="125"/>
              <w:rPr>
                <w:sz w:val="19"/>
              </w:rPr>
            </w:pPr>
            <w:r>
              <w:rPr>
                <w:sz w:val="19"/>
              </w:rPr>
              <w:t>21.4</w:t>
            </w:r>
          </w:p>
        </w:tc>
        <w:tc>
          <w:tcPr>
            <w:tcW w:w="937" w:type="dxa"/>
            <w:tcBorders>
              <w:top w:val="nil"/>
              <w:left w:val="nil"/>
              <w:bottom w:val="nil"/>
              <w:right w:val="nil"/>
            </w:tcBorders>
          </w:tcPr>
          <w:p>
            <w:pPr>
              <w:pStyle w:val="TableParagraph"/>
              <w:spacing w:line="214" w:lineRule="exact"/>
              <w:ind w:right="66"/>
              <w:rPr>
                <w:sz w:val="19"/>
              </w:rPr>
            </w:pPr>
            <w:r>
              <w:rPr>
                <w:sz w:val="19"/>
              </w:rPr>
              <w:t>73.8</w:t>
            </w:r>
          </w:p>
        </w:tc>
      </w:tr>
      <w:tr>
        <w:trPr>
          <w:trHeight w:val="230" w:hRule="exact"/>
        </w:trPr>
        <w:tc>
          <w:tcPr>
            <w:tcW w:w="2055" w:type="dxa"/>
            <w:tcBorders>
              <w:top w:val="nil"/>
              <w:left w:val="nil"/>
              <w:bottom w:val="nil"/>
              <w:right w:val="nil"/>
            </w:tcBorders>
          </w:tcPr>
          <w:p>
            <w:pPr>
              <w:pStyle w:val="TableParagraph"/>
              <w:spacing w:line="216" w:lineRule="exact"/>
              <w:ind w:left="72"/>
              <w:jc w:val="left"/>
              <w:rPr>
                <w:sz w:val="19"/>
              </w:rPr>
            </w:pPr>
            <w:r>
              <w:rPr>
                <w:w w:val="105"/>
                <w:sz w:val="19"/>
              </w:rPr>
              <w:t>Uruguay</w:t>
            </w:r>
          </w:p>
        </w:tc>
        <w:tc>
          <w:tcPr>
            <w:tcW w:w="1208" w:type="dxa"/>
            <w:tcBorders>
              <w:top w:val="nil"/>
              <w:left w:val="nil"/>
              <w:bottom w:val="nil"/>
              <w:right w:val="nil"/>
            </w:tcBorders>
          </w:tcPr>
          <w:p>
            <w:pPr>
              <w:pStyle w:val="TableParagraph"/>
              <w:spacing w:line="216" w:lineRule="exact"/>
              <w:ind w:right="139"/>
              <w:rPr>
                <w:sz w:val="19"/>
              </w:rPr>
            </w:pPr>
            <w:r>
              <w:rPr>
                <w:sz w:val="19"/>
              </w:rPr>
              <w:t>1.0</w:t>
            </w:r>
          </w:p>
        </w:tc>
        <w:tc>
          <w:tcPr>
            <w:tcW w:w="956" w:type="dxa"/>
            <w:tcBorders>
              <w:top w:val="nil"/>
              <w:left w:val="nil"/>
              <w:bottom w:val="nil"/>
              <w:right w:val="nil"/>
            </w:tcBorders>
          </w:tcPr>
          <w:p>
            <w:pPr>
              <w:pStyle w:val="TableParagraph"/>
              <w:spacing w:line="216" w:lineRule="exact"/>
              <w:ind w:right="102"/>
              <w:rPr>
                <w:sz w:val="19"/>
              </w:rPr>
            </w:pPr>
            <w:r>
              <w:rPr>
                <w:sz w:val="19"/>
              </w:rPr>
              <w:t>6.1</w:t>
            </w:r>
          </w:p>
        </w:tc>
        <w:tc>
          <w:tcPr>
            <w:tcW w:w="1296" w:type="dxa"/>
            <w:tcBorders>
              <w:top w:val="nil"/>
              <w:left w:val="nil"/>
              <w:bottom w:val="nil"/>
              <w:right w:val="nil"/>
            </w:tcBorders>
          </w:tcPr>
          <w:p>
            <w:pPr>
              <w:pStyle w:val="TableParagraph"/>
              <w:spacing w:line="216" w:lineRule="exact"/>
              <w:ind w:right="125"/>
              <w:rPr>
                <w:sz w:val="19"/>
              </w:rPr>
            </w:pPr>
            <w:r>
              <w:rPr>
                <w:sz w:val="19"/>
              </w:rPr>
              <w:t>16.6</w:t>
            </w:r>
          </w:p>
        </w:tc>
        <w:tc>
          <w:tcPr>
            <w:tcW w:w="937" w:type="dxa"/>
            <w:tcBorders>
              <w:top w:val="nil"/>
              <w:left w:val="nil"/>
              <w:bottom w:val="nil"/>
              <w:right w:val="nil"/>
            </w:tcBorders>
          </w:tcPr>
          <w:p>
            <w:pPr>
              <w:pStyle w:val="TableParagraph"/>
              <w:spacing w:line="216" w:lineRule="exact"/>
              <w:ind w:right="66"/>
              <w:rPr>
                <w:sz w:val="19"/>
              </w:rPr>
            </w:pPr>
            <w:r>
              <w:rPr>
                <w:sz w:val="19"/>
              </w:rPr>
              <w:t>76.1</w:t>
            </w:r>
          </w:p>
        </w:tc>
      </w:tr>
      <w:tr>
        <w:trPr>
          <w:trHeight w:val="288" w:hRule="exact"/>
        </w:trPr>
        <w:tc>
          <w:tcPr>
            <w:tcW w:w="2055" w:type="dxa"/>
            <w:tcBorders>
              <w:top w:val="nil"/>
              <w:left w:val="nil"/>
              <w:bottom w:val="nil"/>
              <w:right w:val="nil"/>
            </w:tcBorders>
          </w:tcPr>
          <w:p>
            <w:pPr>
              <w:pStyle w:val="TableParagraph"/>
              <w:spacing w:line="216" w:lineRule="exact"/>
              <w:ind w:left="72"/>
              <w:jc w:val="left"/>
              <w:rPr>
                <w:sz w:val="19"/>
              </w:rPr>
            </w:pPr>
            <w:r>
              <w:rPr>
                <w:w w:val="105"/>
                <w:sz w:val="19"/>
              </w:rPr>
              <w:t>Venezuela</w:t>
            </w:r>
          </w:p>
        </w:tc>
        <w:tc>
          <w:tcPr>
            <w:tcW w:w="1208" w:type="dxa"/>
            <w:tcBorders>
              <w:top w:val="nil"/>
              <w:left w:val="nil"/>
              <w:bottom w:val="nil"/>
              <w:right w:val="nil"/>
            </w:tcBorders>
          </w:tcPr>
          <w:p>
            <w:pPr>
              <w:pStyle w:val="TableParagraph"/>
              <w:spacing w:line="216" w:lineRule="exact"/>
              <w:ind w:right="139"/>
              <w:rPr>
                <w:sz w:val="19"/>
              </w:rPr>
            </w:pPr>
            <w:r>
              <w:rPr>
                <w:sz w:val="19"/>
              </w:rPr>
              <w:t>0.9</w:t>
            </w:r>
          </w:p>
        </w:tc>
        <w:tc>
          <w:tcPr>
            <w:tcW w:w="956" w:type="dxa"/>
            <w:tcBorders>
              <w:top w:val="nil"/>
              <w:left w:val="nil"/>
              <w:bottom w:val="nil"/>
              <w:right w:val="nil"/>
            </w:tcBorders>
          </w:tcPr>
          <w:p>
            <w:pPr>
              <w:pStyle w:val="TableParagraph"/>
              <w:spacing w:line="216" w:lineRule="exact"/>
              <w:ind w:right="102"/>
              <w:rPr>
                <w:sz w:val="19"/>
              </w:rPr>
            </w:pPr>
            <w:r>
              <w:rPr>
                <w:sz w:val="19"/>
              </w:rPr>
              <w:t>4.4</w:t>
            </w:r>
          </w:p>
        </w:tc>
        <w:tc>
          <w:tcPr>
            <w:tcW w:w="1296" w:type="dxa"/>
            <w:tcBorders>
              <w:top w:val="nil"/>
              <w:left w:val="nil"/>
              <w:bottom w:val="nil"/>
              <w:right w:val="nil"/>
            </w:tcBorders>
          </w:tcPr>
          <w:p>
            <w:pPr>
              <w:pStyle w:val="TableParagraph"/>
              <w:spacing w:line="216" w:lineRule="exact"/>
              <w:ind w:right="125"/>
              <w:rPr>
                <w:sz w:val="19"/>
              </w:rPr>
            </w:pPr>
            <w:r>
              <w:rPr>
                <w:sz w:val="19"/>
              </w:rPr>
              <w:t>10.9</w:t>
            </w:r>
          </w:p>
        </w:tc>
        <w:tc>
          <w:tcPr>
            <w:tcW w:w="937" w:type="dxa"/>
            <w:tcBorders>
              <w:top w:val="nil"/>
              <w:left w:val="nil"/>
              <w:bottom w:val="nil"/>
              <w:right w:val="nil"/>
            </w:tcBorders>
          </w:tcPr>
          <w:p>
            <w:pPr>
              <w:pStyle w:val="TableParagraph"/>
              <w:spacing w:line="216" w:lineRule="exact"/>
              <w:ind w:right="66"/>
              <w:rPr>
                <w:sz w:val="19"/>
              </w:rPr>
            </w:pPr>
            <w:r>
              <w:rPr>
                <w:sz w:val="19"/>
              </w:rPr>
              <w:t>83.7</w:t>
            </w:r>
          </w:p>
        </w:tc>
      </w:tr>
      <w:tr>
        <w:trPr>
          <w:trHeight w:val="410" w:hRule="exact"/>
        </w:trPr>
        <w:tc>
          <w:tcPr>
            <w:tcW w:w="3262" w:type="dxa"/>
            <w:gridSpan w:val="2"/>
            <w:tcBorders>
              <w:top w:val="nil"/>
              <w:left w:val="nil"/>
              <w:bottom w:val="double" w:sz="4" w:space="0" w:color="000000"/>
              <w:right w:val="nil"/>
            </w:tcBorders>
          </w:tcPr>
          <w:p>
            <w:pPr>
              <w:pStyle w:val="TableParagraph"/>
              <w:spacing w:line="105" w:lineRule="exact"/>
              <w:ind w:left="72"/>
              <w:jc w:val="left"/>
              <w:rPr>
                <w:sz w:val="19"/>
              </w:rPr>
            </w:pPr>
            <w:r>
              <w:rPr>
                <w:w w:val="105"/>
                <w:sz w:val="19"/>
              </w:rPr>
              <w:t>Total América Central</w:t>
            </w:r>
          </w:p>
          <w:p>
            <w:pPr>
              <w:pStyle w:val="TableParagraph"/>
              <w:tabs>
                <w:tab w:pos="3120" w:val="right" w:leader="none"/>
              </w:tabs>
              <w:spacing w:line="284" w:lineRule="exact"/>
              <w:ind w:left="72"/>
              <w:jc w:val="left"/>
              <w:rPr>
                <w:sz w:val="19"/>
              </w:rPr>
            </w:pPr>
            <w:r>
              <w:rPr>
                <w:w w:val="105"/>
                <w:sz w:val="19"/>
              </w:rPr>
              <w:t>y</w:t>
            </w:r>
            <w:r>
              <w:rPr>
                <w:spacing w:val="1"/>
                <w:w w:val="105"/>
                <w:sz w:val="19"/>
              </w:rPr>
              <w:t> </w:t>
            </w:r>
            <w:r>
              <w:rPr>
                <w:w w:val="105"/>
                <w:sz w:val="19"/>
              </w:rPr>
              <w:t>del Sur</w:t>
            </w:r>
            <w:r>
              <w:rPr>
                <w:w w:val="105"/>
                <w:position w:val="12"/>
                <w:sz w:val="19"/>
              </w:rPr>
              <w:tab/>
              <w:t>4.6</w:t>
            </w:r>
          </w:p>
        </w:tc>
        <w:tc>
          <w:tcPr>
            <w:tcW w:w="956" w:type="dxa"/>
            <w:tcBorders>
              <w:top w:val="nil"/>
              <w:left w:val="nil"/>
              <w:bottom w:val="double" w:sz="4" w:space="0" w:color="000000"/>
              <w:right w:val="nil"/>
            </w:tcBorders>
          </w:tcPr>
          <w:p>
            <w:pPr>
              <w:pStyle w:val="TableParagraph"/>
              <w:spacing w:before="55"/>
              <w:ind w:right="102"/>
              <w:rPr>
                <w:sz w:val="19"/>
              </w:rPr>
            </w:pPr>
            <w:r>
              <w:rPr>
                <w:sz w:val="19"/>
              </w:rPr>
              <w:t>5.0</w:t>
            </w:r>
          </w:p>
        </w:tc>
        <w:tc>
          <w:tcPr>
            <w:tcW w:w="1296" w:type="dxa"/>
            <w:tcBorders>
              <w:top w:val="nil"/>
              <w:left w:val="nil"/>
              <w:bottom w:val="double" w:sz="4" w:space="0" w:color="000000"/>
              <w:right w:val="nil"/>
            </w:tcBorders>
          </w:tcPr>
          <w:p>
            <w:pPr>
              <w:pStyle w:val="TableParagraph"/>
              <w:spacing w:before="55"/>
              <w:ind w:right="125"/>
              <w:rPr>
                <w:sz w:val="19"/>
              </w:rPr>
            </w:pPr>
            <w:r>
              <w:rPr>
                <w:sz w:val="19"/>
              </w:rPr>
              <w:t>20.5</w:t>
            </w:r>
          </w:p>
        </w:tc>
        <w:tc>
          <w:tcPr>
            <w:tcW w:w="937" w:type="dxa"/>
            <w:tcBorders>
              <w:top w:val="nil"/>
              <w:left w:val="nil"/>
              <w:bottom w:val="double" w:sz="4" w:space="0" w:color="000000"/>
              <w:right w:val="nil"/>
            </w:tcBorders>
          </w:tcPr>
          <w:p>
            <w:pPr>
              <w:pStyle w:val="TableParagraph"/>
              <w:spacing w:before="55"/>
              <w:ind w:right="66"/>
              <w:rPr>
                <w:sz w:val="19"/>
              </w:rPr>
            </w:pPr>
            <w:r>
              <w:rPr>
                <w:sz w:val="19"/>
              </w:rPr>
              <w:t>69.8</w:t>
            </w:r>
          </w:p>
        </w:tc>
      </w:tr>
    </w:tbl>
    <w:p>
      <w:pPr>
        <w:spacing w:line="169" w:lineRule="exact" w:before="0"/>
        <w:ind w:left="253" w:right="117" w:firstLine="0"/>
        <w:jc w:val="left"/>
        <w:rPr>
          <w:sz w:val="16"/>
        </w:rPr>
      </w:pPr>
      <w:r>
        <w:rPr>
          <w:sz w:val="16"/>
        </w:rPr>
        <w:t>Fuente: Ministerio de Trabajo e Inmigración de España, Boletín de Estadísticas Laborales.</w:t>
      </w:r>
    </w:p>
    <w:p>
      <w:pPr>
        <w:pStyle w:val="BodyText"/>
        <w:spacing w:before="8"/>
        <w:rPr>
          <w:sz w:val="14"/>
        </w:rPr>
      </w:pPr>
    </w:p>
    <w:p>
      <w:pPr>
        <w:pStyle w:val="BodyText"/>
        <w:spacing w:line="247" w:lineRule="auto" w:before="71"/>
        <w:ind w:left="117" w:right="114" w:firstLine="283"/>
        <w:jc w:val="both"/>
      </w:pPr>
      <w:r>
        <w:rPr>
          <w:color w:val="231F20"/>
        </w:rPr>
        <w:t>En</w:t>
      </w:r>
      <w:r>
        <w:rPr>
          <w:color w:val="231F20"/>
          <w:spacing w:val="-11"/>
        </w:rPr>
        <w:t> </w:t>
      </w:r>
      <w:r>
        <w:rPr>
          <w:color w:val="231F20"/>
        </w:rPr>
        <w:t>ese</w:t>
      </w:r>
      <w:r>
        <w:rPr>
          <w:color w:val="231F20"/>
          <w:spacing w:val="-11"/>
        </w:rPr>
        <w:t> </w:t>
      </w:r>
      <w:r>
        <w:rPr>
          <w:color w:val="231F20"/>
        </w:rPr>
        <w:t>sentido,</w:t>
      </w:r>
      <w:r>
        <w:rPr>
          <w:color w:val="231F20"/>
          <w:spacing w:val="-10"/>
        </w:rPr>
        <w:t> </w:t>
      </w:r>
      <w:r>
        <w:rPr>
          <w:color w:val="231F20"/>
        </w:rPr>
        <w:t>el</w:t>
      </w:r>
      <w:r>
        <w:rPr>
          <w:color w:val="231F20"/>
          <w:spacing w:val="-11"/>
        </w:rPr>
        <w:t> </w:t>
      </w:r>
      <w:r>
        <w:rPr>
          <w:color w:val="231F20"/>
        </w:rPr>
        <w:t>Cuadro</w:t>
      </w:r>
      <w:r>
        <w:rPr>
          <w:color w:val="231F20"/>
          <w:spacing w:val="-11"/>
        </w:rPr>
        <w:t> </w:t>
      </w:r>
      <w:r>
        <w:rPr>
          <w:color w:val="231F20"/>
        </w:rPr>
        <w:t>6</w:t>
      </w:r>
      <w:r>
        <w:rPr>
          <w:color w:val="231F20"/>
          <w:spacing w:val="-11"/>
        </w:rPr>
        <w:t> </w:t>
      </w:r>
      <w:r>
        <w:rPr>
          <w:color w:val="231F20"/>
        </w:rPr>
        <w:t>muestra</w:t>
      </w:r>
      <w:r>
        <w:rPr>
          <w:color w:val="231F20"/>
          <w:spacing w:val="-11"/>
        </w:rPr>
        <w:t> </w:t>
      </w:r>
      <w:r>
        <w:rPr>
          <w:color w:val="231F20"/>
        </w:rPr>
        <w:t>el</w:t>
      </w:r>
      <w:r>
        <w:rPr>
          <w:color w:val="231F20"/>
          <w:spacing w:val="-11"/>
        </w:rPr>
        <w:t> </w:t>
      </w:r>
      <w:r>
        <w:rPr>
          <w:color w:val="231F20"/>
        </w:rPr>
        <w:t>claro</w:t>
      </w:r>
      <w:r>
        <w:rPr>
          <w:color w:val="231F20"/>
          <w:spacing w:val="-11"/>
        </w:rPr>
        <w:t> </w:t>
      </w:r>
      <w:r>
        <w:rPr>
          <w:color w:val="231F20"/>
        </w:rPr>
        <w:t>contraste</w:t>
      </w:r>
      <w:r>
        <w:rPr>
          <w:color w:val="231F20"/>
          <w:spacing w:val="-11"/>
        </w:rPr>
        <w:t> </w:t>
      </w:r>
      <w:r>
        <w:rPr>
          <w:color w:val="231F20"/>
        </w:rPr>
        <w:t>entre</w:t>
      </w:r>
      <w:r>
        <w:rPr>
          <w:color w:val="231F20"/>
          <w:spacing w:val="-11"/>
        </w:rPr>
        <w:t> </w:t>
      </w:r>
      <w:r>
        <w:rPr>
          <w:color w:val="231F20"/>
        </w:rPr>
        <w:t>la</w:t>
      </w:r>
      <w:r>
        <w:rPr>
          <w:color w:val="231F20"/>
          <w:spacing w:val="-11"/>
        </w:rPr>
        <w:t> </w:t>
      </w:r>
      <w:r>
        <w:rPr>
          <w:color w:val="231F20"/>
        </w:rPr>
        <w:t>evolución educativa de los activos españoles y los latinoamericanos. De los 1.8 ac- tivos españoles suplementarios en el periodo 2000-2005, 1.4 tienen nivel educativo universitario, del que casi 60 por ciento son mujeres; 1.3 tienen nivel secundario, del que casi la mitad son mujeres y se ha producido una reducción</w:t>
      </w:r>
      <w:r>
        <w:rPr>
          <w:color w:val="231F20"/>
          <w:spacing w:val="-7"/>
        </w:rPr>
        <w:t> </w:t>
      </w:r>
      <w:r>
        <w:rPr>
          <w:color w:val="231F20"/>
        </w:rPr>
        <w:t>de</w:t>
      </w:r>
      <w:r>
        <w:rPr>
          <w:color w:val="231F20"/>
          <w:spacing w:val="-7"/>
        </w:rPr>
        <w:t> </w:t>
      </w:r>
      <w:r>
        <w:rPr>
          <w:color w:val="231F20"/>
        </w:rPr>
        <w:t>casi</w:t>
      </w:r>
      <w:r>
        <w:rPr>
          <w:color w:val="231F20"/>
          <w:spacing w:val="-8"/>
        </w:rPr>
        <w:t> </w:t>
      </w:r>
      <w:r>
        <w:rPr>
          <w:color w:val="231F20"/>
        </w:rPr>
        <w:t>1</w:t>
      </w:r>
      <w:r>
        <w:rPr>
          <w:color w:val="231F20"/>
          <w:spacing w:val="-7"/>
        </w:rPr>
        <w:t> </w:t>
      </w:r>
      <w:r>
        <w:rPr>
          <w:color w:val="231F20"/>
        </w:rPr>
        <w:t>millón</w:t>
      </w:r>
      <w:r>
        <w:rPr>
          <w:color w:val="231F20"/>
          <w:spacing w:val="-8"/>
        </w:rPr>
        <w:t> </w:t>
      </w:r>
      <w:r>
        <w:rPr>
          <w:color w:val="231F20"/>
        </w:rPr>
        <w:t>de</w:t>
      </w:r>
      <w:r>
        <w:rPr>
          <w:color w:val="231F20"/>
          <w:spacing w:val="-7"/>
        </w:rPr>
        <w:t> </w:t>
      </w:r>
      <w:r>
        <w:rPr>
          <w:color w:val="231F20"/>
        </w:rPr>
        <w:t>activos</w:t>
      </w:r>
      <w:r>
        <w:rPr>
          <w:color w:val="231F20"/>
          <w:spacing w:val="-8"/>
        </w:rPr>
        <w:t> </w:t>
      </w:r>
      <w:r>
        <w:rPr>
          <w:color w:val="231F20"/>
        </w:rPr>
        <w:t>con</w:t>
      </w:r>
      <w:r>
        <w:rPr>
          <w:color w:val="231F20"/>
          <w:spacing w:val="-8"/>
        </w:rPr>
        <w:t> </w:t>
      </w:r>
      <w:r>
        <w:rPr>
          <w:color w:val="231F20"/>
        </w:rPr>
        <w:t>instrucción</w:t>
      </w:r>
      <w:r>
        <w:rPr>
          <w:color w:val="231F20"/>
          <w:spacing w:val="-8"/>
        </w:rPr>
        <w:t> </w:t>
      </w:r>
      <w:r>
        <w:rPr>
          <w:color w:val="231F20"/>
        </w:rPr>
        <w:t>inferior</w:t>
      </w:r>
      <w:r>
        <w:rPr>
          <w:color w:val="231F20"/>
          <w:spacing w:val="-8"/>
        </w:rPr>
        <w:t> </w:t>
      </w:r>
      <w:r>
        <w:rPr>
          <w:color w:val="231F20"/>
        </w:rPr>
        <w:t>a</w:t>
      </w:r>
      <w:r>
        <w:rPr>
          <w:color w:val="231F20"/>
          <w:spacing w:val="-7"/>
        </w:rPr>
        <w:t> </w:t>
      </w:r>
      <w:r>
        <w:rPr>
          <w:color w:val="231F20"/>
        </w:rPr>
        <w:t>secundaria, que en este caso ha afectado más a los hombres, pues las mujeres con</w:t>
      </w:r>
      <w:r>
        <w:rPr>
          <w:color w:val="231F20"/>
          <w:spacing w:val="-30"/>
        </w:rPr>
        <w:t> </w:t>
      </w:r>
      <w:r>
        <w:rPr>
          <w:color w:val="231F20"/>
        </w:rPr>
        <w:t>bajo nivel</w:t>
      </w:r>
      <w:r>
        <w:rPr>
          <w:color w:val="231F20"/>
          <w:spacing w:val="-5"/>
        </w:rPr>
        <w:t> </w:t>
      </w:r>
      <w:r>
        <w:rPr>
          <w:color w:val="231F20"/>
        </w:rPr>
        <w:t>de</w:t>
      </w:r>
      <w:r>
        <w:rPr>
          <w:color w:val="231F20"/>
          <w:spacing w:val="-5"/>
        </w:rPr>
        <w:t> </w:t>
      </w:r>
      <w:r>
        <w:rPr>
          <w:color w:val="231F20"/>
        </w:rPr>
        <w:t>instrucción</w:t>
      </w:r>
      <w:r>
        <w:rPr>
          <w:color w:val="231F20"/>
          <w:spacing w:val="-6"/>
        </w:rPr>
        <w:t> </w:t>
      </w:r>
      <w:r>
        <w:rPr>
          <w:color w:val="231F20"/>
        </w:rPr>
        <w:t>son</w:t>
      </w:r>
      <w:r>
        <w:rPr>
          <w:color w:val="231F20"/>
          <w:spacing w:val="-5"/>
        </w:rPr>
        <w:t> </w:t>
      </w:r>
      <w:r>
        <w:rPr>
          <w:color w:val="231F20"/>
        </w:rPr>
        <w:t>en</w:t>
      </w:r>
      <w:r>
        <w:rPr>
          <w:color w:val="231F20"/>
          <w:spacing w:val="-5"/>
        </w:rPr>
        <w:t> </w:t>
      </w:r>
      <w:r>
        <w:rPr>
          <w:color w:val="231F20"/>
        </w:rPr>
        <w:t>muchos</w:t>
      </w:r>
      <w:r>
        <w:rPr>
          <w:color w:val="231F20"/>
          <w:spacing w:val="-5"/>
        </w:rPr>
        <w:t> </w:t>
      </w:r>
      <w:r>
        <w:rPr>
          <w:color w:val="231F20"/>
        </w:rPr>
        <w:t>casos</w:t>
      </w:r>
      <w:r>
        <w:rPr>
          <w:color w:val="231F20"/>
          <w:spacing w:val="-5"/>
        </w:rPr>
        <w:t> </w:t>
      </w:r>
      <w:r>
        <w:rPr>
          <w:color w:val="231F20"/>
        </w:rPr>
        <w:t>personas</w:t>
      </w:r>
      <w:r>
        <w:rPr>
          <w:color w:val="231F20"/>
          <w:spacing w:val="-5"/>
        </w:rPr>
        <w:t> </w:t>
      </w:r>
      <w:r>
        <w:rPr>
          <w:color w:val="231F20"/>
        </w:rPr>
        <w:t>de</w:t>
      </w:r>
      <w:r>
        <w:rPr>
          <w:color w:val="231F20"/>
          <w:spacing w:val="-5"/>
        </w:rPr>
        <w:t> </w:t>
      </w:r>
      <w:r>
        <w:rPr>
          <w:color w:val="231F20"/>
        </w:rPr>
        <w:t>edad,</w:t>
      </w:r>
      <w:r>
        <w:rPr>
          <w:color w:val="231F20"/>
          <w:spacing w:val="-5"/>
        </w:rPr>
        <w:t> </w:t>
      </w:r>
      <w:r>
        <w:rPr>
          <w:color w:val="231F20"/>
        </w:rPr>
        <w:t>pertenecientes a generaciones maduras con bajo nivel de</w:t>
      </w:r>
      <w:r>
        <w:rPr>
          <w:color w:val="231F20"/>
          <w:spacing w:val="-2"/>
        </w:rPr>
        <w:t> </w:t>
      </w:r>
      <w:r>
        <w:rPr>
          <w:color w:val="231F20"/>
        </w:rPr>
        <w:t>participación.</w:t>
      </w:r>
    </w:p>
    <w:p>
      <w:pPr>
        <w:pStyle w:val="BodyText"/>
        <w:spacing w:line="247" w:lineRule="auto"/>
        <w:ind w:left="117" w:right="114" w:firstLine="283"/>
        <w:jc w:val="both"/>
      </w:pPr>
      <w:r>
        <w:rPr>
          <w:color w:val="231F20"/>
        </w:rPr>
        <w:t>En el caso de los activos latinoamericanos en España, el número de los que tienen nivel universitario se ha multiplicado por cuatro, el de los que tienen</w:t>
      </w:r>
      <w:r>
        <w:rPr>
          <w:color w:val="231F20"/>
          <w:spacing w:val="-9"/>
        </w:rPr>
        <w:t> </w:t>
      </w:r>
      <w:r>
        <w:rPr>
          <w:color w:val="231F20"/>
        </w:rPr>
        <w:t>al</w:t>
      </w:r>
      <w:r>
        <w:rPr>
          <w:color w:val="231F20"/>
          <w:spacing w:val="-9"/>
        </w:rPr>
        <w:t> </w:t>
      </w:r>
      <w:r>
        <w:rPr>
          <w:color w:val="231F20"/>
        </w:rPr>
        <w:t>menos</w:t>
      </w:r>
      <w:r>
        <w:rPr>
          <w:color w:val="231F20"/>
          <w:spacing w:val="-9"/>
        </w:rPr>
        <w:t> </w:t>
      </w:r>
      <w:r>
        <w:rPr>
          <w:color w:val="231F20"/>
        </w:rPr>
        <w:t>enseñanza</w:t>
      </w:r>
      <w:r>
        <w:rPr>
          <w:color w:val="231F20"/>
          <w:spacing w:val="-10"/>
        </w:rPr>
        <w:t> </w:t>
      </w:r>
      <w:r>
        <w:rPr>
          <w:color w:val="231F20"/>
        </w:rPr>
        <w:t>secundaria</w:t>
      </w:r>
      <w:r>
        <w:rPr>
          <w:color w:val="231F20"/>
          <w:spacing w:val="-8"/>
        </w:rPr>
        <w:t> </w:t>
      </w:r>
      <w:r>
        <w:rPr>
          <w:color w:val="231F20"/>
        </w:rPr>
        <w:t>se</w:t>
      </w:r>
      <w:r>
        <w:rPr>
          <w:color w:val="231F20"/>
          <w:spacing w:val="-9"/>
        </w:rPr>
        <w:t> </w:t>
      </w:r>
      <w:r>
        <w:rPr>
          <w:color w:val="231F20"/>
        </w:rPr>
        <w:t>ha</w:t>
      </w:r>
      <w:r>
        <w:rPr>
          <w:color w:val="231F20"/>
          <w:spacing w:val="-9"/>
        </w:rPr>
        <w:t> </w:t>
      </w:r>
      <w:r>
        <w:rPr>
          <w:color w:val="231F20"/>
        </w:rPr>
        <w:t>multiplicado</w:t>
      </w:r>
      <w:r>
        <w:rPr>
          <w:color w:val="231F20"/>
          <w:spacing w:val="-10"/>
        </w:rPr>
        <w:t> </w:t>
      </w:r>
      <w:r>
        <w:rPr>
          <w:color w:val="231F20"/>
        </w:rPr>
        <w:t>casi</w:t>
      </w:r>
      <w:r>
        <w:rPr>
          <w:color w:val="231F20"/>
          <w:spacing w:val="-9"/>
        </w:rPr>
        <w:t> </w:t>
      </w:r>
      <w:r>
        <w:rPr>
          <w:color w:val="231F20"/>
        </w:rPr>
        <w:t>por</w:t>
      </w:r>
      <w:r>
        <w:rPr>
          <w:color w:val="231F20"/>
          <w:spacing w:val="-9"/>
        </w:rPr>
        <w:t> </w:t>
      </w:r>
      <w:r>
        <w:rPr>
          <w:color w:val="231F20"/>
        </w:rPr>
        <w:t>ocho</w:t>
      </w:r>
      <w:r>
        <w:rPr>
          <w:color w:val="231F20"/>
          <w:spacing w:val="-9"/>
        </w:rPr>
        <w:t> </w:t>
      </w:r>
      <w:r>
        <w:rPr>
          <w:color w:val="231F20"/>
        </w:rPr>
        <w:t>y</w:t>
      </w:r>
      <w:r>
        <w:rPr>
          <w:color w:val="231F20"/>
          <w:spacing w:val="-9"/>
        </w:rPr>
        <w:t> </w:t>
      </w:r>
      <w:r>
        <w:rPr>
          <w:color w:val="231F20"/>
        </w:rPr>
        <w:t>el de quienes no llegan siquiera a dicho nivel se ha multiplicado por nueve. Esto en números relativos, porque en números absolutos siguen siendo</w:t>
      </w:r>
      <w:r>
        <w:rPr>
          <w:color w:val="231F20"/>
          <w:spacing w:val="-28"/>
        </w:rPr>
        <w:t> </w:t>
      </w:r>
      <w:r>
        <w:rPr>
          <w:color w:val="231F20"/>
        </w:rPr>
        <w:t>los poseedores de un título de enseñanza secundaria los más numerosos (60 por</w:t>
      </w:r>
      <w:r>
        <w:rPr>
          <w:color w:val="231F20"/>
          <w:spacing w:val="-8"/>
        </w:rPr>
        <w:t> </w:t>
      </w:r>
      <w:r>
        <w:rPr>
          <w:color w:val="231F20"/>
        </w:rPr>
        <w:t>ciento</w:t>
      </w:r>
      <w:r>
        <w:rPr>
          <w:color w:val="231F20"/>
          <w:spacing w:val="-8"/>
        </w:rPr>
        <w:t> </w:t>
      </w:r>
      <w:r>
        <w:rPr>
          <w:color w:val="231F20"/>
        </w:rPr>
        <w:t>del</w:t>
      </w:r>
      <w:r>
        <w:rPr>
          <w:color w:val="231F20"/>
          <w:spacing w:val="-8"/>
        </w:rPr>
        <w:t> </w:t>
      </w:r>
      <w:r>
        <w:rPr>
          <w:color w:val="231F20"/>
        </w:rPr>
        <w:t>total</w:t>
      </w:r>
      <w:r>
        <w:rPr>
          <w:color w:val="231F20"/>
          <w:spacing w:val="-8"/>
        </w:rPr>
        <w:t> </w:t>
      </w:r>
      <w:r>
        <w:rPr>
          <w:color w:val="231F20"/>
        </w:rPr>
        <w:t>de</w:t>
      </w:r>
      <w:r>
        <w:rPr>
          <w:color w:val="231F20"/>
          <w:spacing w:val="-8"/>
        </w:rPr>
        <w:t> </w:t>
      </w:r>
      <w:r>
        <w:rPr>
          <w:color w:val="231F20"/>
        </w:rPr>
        <w:t>ciudadanos</w:t>
      </w:r>
      <w:r>
        <w:rPr>
          <w:color w:val="231F20"/>
          <w:spacing w:val="-8"/>
        </w:rPr>
        <w:t> </w:t>
      </w:r>
      <w:r>
        <w:rPr>
          <w:color w:val="231F20"/>
        </w:rPr>
        <w:t>latinoamericanos</w:t>
      </w:r>
      <w:r>
        <w:rPr>
          <w:color w:val="231F20"/>
          <w:spacing w:val="-9"/>
        </w:rPr>
        <w:t> </w:t>
      </w:r>
      <w:r>
        <w:rPr>
          <w:color w:val="231F20"/>
        </w:rPr>
        <w:t>en</w:t>
      </w:r>
      <w:r>
        <w:rPr>
          <w:color w:val="231F20"/>
          <w:spacing w:val="-8"/>
        </w:rPr>
        <w:t> </w:t>
      </w:r>
      <w:r>
        <w:rPr>
          <w:color w:val="231F20"/>
        </w:rPr>
        <w:t>2005),</w:t>
      </w:r>
      <w:r>
        <w:rPr>
          <w:color w:val="231F20"/>
          <w:spacing w:val="-8"/>
        </w:rPr>
        <w:t> </w:t>
      </w:r>
      <w:r>
        <w:rPr>
          <w:color w:val="231F20"/>
        </w:rPr>
        <w:t>mientras</w:t>
      </w:r>
      <w:r>
        <w:rPr>
          <w:color w:val="231F20"/>
          <w:spacing w:val="-8"/>
        </w:rPr>
        <w:t> </w:t>
      </w:r>
      <w:r>
        <w:rPr>
          <w:color w:val="231F20"/>
        </w:rPr>
        <w:t>que a las otras dos categorías de nivel de instrucción pertenece en torno a 20 por ciento de inmigrantes, respectivamente. Al analizar la evolución de los niveles de instrucción por sexos no aparecen demasiadas diferencias, aunque</w:t>
      </w:r>
      <w:r>
        <w:rPr>
          <w:color w:val="231F20"/>
          <w:spacing w:val="-11"/>
        </w:rPr>
        <w:t> </w:t>
      </w:r>
      <w:r>
        <w:rPr>
          <w:color w:val="231F20"/>
        </w:rPr>
        <w:t>el</w:t>
      </w:r>
      <w:r>
        <w:rPr>
          <w:color w:val="231F20"/>
          <w:spacing w:val="-10"/>
        </w:rPr>
        <w:t> </w:t>
      </w:r>
      <w:r>
        <w:rPr>
          <w:color w:val="231F20"/>
        </w:rPr>
        <w:t>porcentaje</w:t>
      </w:r>
      <w:r>
        <w:rPr>
          <w:color w:val="231F20"/>
          <w:spacing w:val="-10"/>
        </w:rPr>
        <w:t> </w:t>
      </w:r>
      <w:r>
        <w:rPr>
          <w:color w:val="231F20"/>
        </w:rPr>
        <w:t>de</w:t>
      </w:r>
      <w:r>
        <w:rPr>
          <w:color w:val="231F20"/>
          <w:spacing w:val="-10"/>
        </w:rPr>
        <w:t> </w:t>
      </w:r>
      <w:r>
        <w:rPr>
          <w:color w:val="231F20"/>
        </w:rPr>
        <w:t>mujeres</w:t>
      </w:r>
      <w:r>
        <w:rPr>
          <w:color w:val="231F20"/>
          <w:spacing w:val="-11"/>
        </w:rPr>
        <w:t> </w:t>
      </w:r>
      <w:r>
        <w:rPr>
          <w:color w:val="231F20"/>
        </w:rPr>
        <w:t>sobrepasa</w:t>
      </w:r>
      <w:r>
        <w:rPr>
          <w:color w:val="231F20"/>
          <w:spacing w:val="-10"/>
        </w:rPr>
        <w:t> </w:t>
      </w:r>
      <w:r>
        <w:rPr>
          <w:color w:val="231F20"/>
        </w:rPr>
        <w:t>al</w:t>
      </w:r>
      <w:r>
        <w:rPr>
          <w:color w:val="231F20"/>
          <w:spacing w:val="-10"/>
        </w:rPr>
        <w:t> </w:t>
      </w:r>
      <w:r>
        <w:rPr>
          <w:color w:val="231F20"/>
        </w:rPr>
        <w:t>de</w:t>
      </w:r>
      <w:r>
        <w:rPr>
          <w:color w:val="231F20"/>
          <w:spacing w:val="-10"/>
        </w:rPr>
        <w:t> </w:t>
      </w:r>
      <w:r>
        <w:rPr>
          <w:color w:val="231F20"/>
        </w:rPr>
        <w:t>hombres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crecimiento de la categoría con menor nivel educativo, mientras que el incremento de ambos sexos está muy igualado en las otras dos categorías más</w:t>
      </w:r>
      <w:r>
        <w:rPr>
          <w:color w:val="231F20"/>
          <w:spacing w:val="-13"/>
        </w:rPr>
        <w:t> </w:t>
      </w:r>
      <w:r>
        <w:rPr>
          <w:color w:val="231F20"/>
        </w:rPr>
        <w:t>altas.</w:t>
      </w:r>
    </w:p>
    <w:p>
      <w:pPr>
        <w:spacing w:after="0" w:line="247" w:lineRule="auto"/>
        <w:jc w:val="both"/>
        <w:sectPr>
          <w:pgSz w:w="9360" w:h="13040"/>
          <w:pgMar w:header="0" w:footer="496" w:top="740" w:bottom="680" w:left="1300" w:right="1300"/>
        </w:sectPr>
      </w:pPr>
    </w:p>
    <w:p>
      <w:pPr>
        <w:tabs>
          <w:tab w:pos="5536" w:val="left" w:leader="none"/>
        </w:tabs>
        <w:spacing w:before="48"/>
        <w:ind w:left="392" w:right="117" w:hanging="287"/>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1"/>
        <w:rPr>
          <w:sz w:val="25"/>
        </w:rPr>
      </w:pPr>
    </w:p>
    <w:p>
      <w:pPr>
        <w:spacing w:line="252" w:lineRule="auto" w:before="0"/>
        <w:ind w:left="392" w:right="117" w:firstLine="0"/>
        <w:jc w:val="left"/>
        <w:rPr>
          <w:sz w:val="19"/>
        </w:rPr>
      </w:pPr>
      <w:r>
        <w:rPr>
          <w:w w:val="105"/>
          <w:sz w:val="19"/>
        </w:rPr>
        <w:t>Cuadro 6. Evolución del número de ocupados españoles y latinoamericanos según nivel de instrucción. España, 2000</w:t>
      </w:r>
    </w:p>
    <w:p>
      <w:pPr>
        <w:pStyle w:val="BodyText"/>
        <w:spacing w:line="20" w:lineRule="exact"/>
        <w:ind w:left="315"/>
        <w:rPr>
          <w:sz w:val="2"/>
        </w:rPr>
      </w:pPr>
      <w:r>
        <w:rPr>
          <w:sz w:val="2"/>
        </w:rPr>
        <w:pict>
          <v:group style="width:316.1pt;height:.5pt;mso-position-horizontal-relative:char;mso-position-vertical-relative:line" coordorigin="0,0" coordsize="6322,10">
            <v:line style="position:absolute" from="5,5" to="1503,5" stroked="true" strokeweight=".48pt" strokecolor="#000000"/>
            <v:line style="position:absolute" from="1503,5" to="1512,5" stroked="true" strokeweight=".48pt" strokecolor="#000000"/>
            <v:line style="position:absolute" from="1512,5" to="2347,5" stroked="true" strokeweight=".48pt" strokecolor="#000000"/>
            <v:line style="position:absolute" from="2347,5" to="2357,5" stroked="true" strokeweight=".48pt" strokecolor="#000000"/>
            <v:line style="position:absolute" from="2357,5" to="4195,5" stroked="true" strokeweight=".48pt" strokecolor="#000000"/>
            <v:line style="position:absolute" from="4195,5" to="4205,5" stroked="true" strokeweight=".48pt" strokecolor="#000000"/>
            <v:line style="position:absolute" from="4205,5" to="6317,5" stroked="true" strokeweight=".48pt" strokecolor="#000000"/>
          </v:group>
        </w:pict>
      </w:r>
      <w:r>
        <w:rPr>
          <w:sz w:val="2"/>
        </w:rPr>
      </w:r>
    </w:p>
    <w:p>
      <w:pPr>
        <w:spacing w:before="0" w:after="37"/>
        <w:ind w:left="71" w:right="981" w:firstLine="0"/>
        <w:jc w:val="right"/>
        <w:rPr>
          <w:sz w:val="19"/>
        </w:rPr>
      </w:pPr>
      <w:r>
        <w:rPr>
          <w:sz w:val="19"/>
        </w:rPr>
        <w:t>2000</w:t>
      </w:r>
    </w:p>
    <w:tbl>
      <w:tblPr>
        <w:tblW w:w="0" w:type="auto"/>
        <w:jc w:val="left"/>
        <w:tblInd w:w="3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92"/>
        <w:gridCol w:w="828"/>
        <w:gridCol w:w="1888"/>
        <w:gridCol w:w="1112"/>
        <w:gridCol w:w="992"/>
      </w:tblGrid>
      <w:tr>
        <w:trPr>
          <w:trHeight w:val="243" w:hRule="exact"/>
        </w:trPr>
        <w:tc>
          <w:tcPr>
            <w:tcW w:w="1492" w:type="dxa"/>
            <w:tcBorders>
              <w:bottom w:val="double" w:sz="4" w:space="0" w:color="000000"/>
            </w:tcBorders>
          </w:tcPr>
          <w:p>
            <w:pPr>
              <w:pStyle w:val="TableParagraph"/>
              <w:spacing w:before="3"/>
              <w:ind w:left="71"/>
              <w:jc w:val="left"/>
              <w:rPr>
                <w:sz w:val="19"/>
              </w:rPr>
            </w:pPr>
            <w:r>
              <w:rPr>
                <w:w w:val="105"/>
                <w:sz w:val="19"/>
              </w:rPr>
              <w:t>Nacionalidad</w:t>
            </w:r>
          </w:p>
        </w:tc>
        <w:tc>
          <w:tcPr>
            <w:tcW w:w="828" w:type="dxa"/>
            <w:tcBorders>
              <w:bottom w:val="double" w:sz="4" w:space="0" w:color="000000"/>
            </w:tcBorders>
          </w:tcPr>
          <w:p>
            <w:pPr>
              <w:pStyle w:val="TableParagraph"/>
              <w:spacing w:before="3"/>
              <w:ind w:left="77"/>
              <w:jc w:val="left"/>
              <w:rPr>
                <w:sz w:val="19"/>
              </w:rPr>
            </w:pPr>
            <w:r>
              <w:rPr>
                <w:w w:val="105"/>
                <w:sz w:val="19"/>
              </w:rPr>
              <w:t>Sexo</w:t>
            </w:r>
          </w:p>
        </w:tc>
        <w:tc>
          <w:tcPr>
            <w:tcW w:w="1888" w:type="dxa"/>
            <w:tcBorders>
              <w:bottom w:val="double" w:sz="4" w:space="0" w:color="000000"/>
            </w:tcBorders>
          </w:tcPr>
          <w:p>
            <w:pPr>
              <w:pStyle w:val="TableParagraph"/>
              <w:spacing w:before="3"/>
              <w:ind w:left="94"/>
              <w:jc w:val="left"/>
              <w:rPr>
                <w:sz w:val="19"/>
              </w:rPr>
            </w:pPr>
            <w:r>
              <w:rPr>
                <w:w w:val="105"/>
                <w:sz w:val="19"/>
              </w:rPr>
              <w:t>Nivel educativo</w:t>
            </w:r>
          </w:p>
        </w:tc>
        <w:tc>
          <w:tcPr>
            <w:tcW w:w="1112" w:type="dxa"/>
            <w:tcBorders>
              <w:bottom w:val="double" w:sz="4" w:space="0" w:color="000000"/>
            </w:tcBorders>
          </w:tcPr>
          <w:p>
            <w:pPr>
              <w:pStyle w:val="TableParagraph"/>
              <w:spacing w:before="3"/>
              <w:ind w:right="68"/>
              <w:rPr>
                <w:sz w:val="19"/>
              </w:rPr>
            </w:pPr>
            <w:r>
              <w:rPr>
                <w:sz w:val="19"/>
              </w:rPr>
              <w:t>Ocupados</w:t>
            </w:r>
          </w:p>
        </w:tc>
        <w:tc>
          <w:tcPr>
            <w:tcW w:w="992" w:type="dxa"/>
            <w:tcBorders>
              <w:bottom w:val="double" w:sz="4" w:space="0" w:color="000000"/>
            </w:tcBorders>
          </w:tcPr>
          <w:p>
            <w:pPr>
              <w:pStyle w:val="TableParagraph"/>
              <w:spacing w:before="3"/>
              <w:ind w:right="77"/>
              <w:rPr>
                <w:sz w:val="19"/>
              </w:rPr>
            </w:pPr>
            <w:r>
              <w:rPr>
                <w:sz w:val="19"/>
              </w:rPr>
              <w:t>Porcentaje</w:t>
            </w:r>
          </w:p>
        </w:tc>
      </w:tr>
      <w:tr>
        <w:trPr>
          <w:trHeight w:val="360" w:hRule="exact"/>
        </w:trPr>
        <w:tc>
          <w:tcPr>
            <w:tcW w:w="1492" w:type="dxa"/>
            <w:tcBorders>
              <w:top w:val="double" w:sz="4" w:space="0" w:color="000000"/>
            </w:tcBorders>
          </w:tcPr>
          <w:p>
            <w:pPr>
              <w:pStyle w:val="TableParagraph"/>
              <w:spacing w:before="77"/>
              <w:ind w:left="71"/>
              <w:jc w:val="left"/>
              <w:rPr>
                <w:sz w:val="19"/>
              </w:rPr>
            </w:pPr>
            <w:r>
              <w:rPr>
                <w:w w:val="105"/>
                <w:sz w:val="19"/>
              </w:rPr>
              <w:t>Española</w:t>
            </w:r>
          </w:p>
        </w:tc>
        <w:tc>
          <w:tcPr>
            <w:tcW w:w="828" w:type="dxa"/>
            <w:tcBorders>
              <w:top w:val="double" w:sz="4" w:space="0" w:color="000000"/>
            </w:tcBorders>
          </w:tcPr>
          <w:p>
            <w:pPr>
              <w:pStyle w:val="TableParagraph"/>
              <w:spacing w:before="77"/>
              <w:ind w:left="77"/>
              <w:jc w:val="left"/>
              <w:rPr>
                <w:sz w:val="19"/>
              </w:rPr>
            </w:pPr>
            <w:r>
              <w:rPr>
                <w:w w:val="105"/>
                <w:sz w:val="19"/>
              </w:rPr>
              <w:t>Hombre</w:t>
            </w:r>
          </w:p>
        </w:tc>
        <w:tc>
          <w:tcPr>
            <w:tcW w:w="1888" w:type="dxa"/>
            <w:tcBorders>
              <w:top w:val="double" w:sz="4" w:space="0" w:color="000000"/>
            </w:tcBorders>
          </w:tcPr>
          <w:p>
            <w:pPr>
              <w:pStyle w:val="TableParagraph"/>
              <w:spacing w:before="77"/>
              <w:ind w:left="94"/>
              <w:jc w:val="left"/>
              <w:rPr>
                <w:sz w:val="19"/>
              </w:rPr>
            </w:pPr>
            <w:r>
              <w:rPr>
                <w:w w:val="105"/>
                <w:sz w:val="19"/>
              </w:rPr>
              <w:t>Inferior a secundaria</w:t>
            </w:r>
          </w:p>
        </w:tc>
        <w:tc>
          <w:tcPr>
            <w:tcW w:w="1112" w:type="dxa"/>
            <w:tcBorders>
              <w:top w:val="double" w:sz="4" w:space="0" w:color="000000"/>
            </w:tcBorders>
          </w:tcPr>
          <w:p>
            <w:pPr>
              <w:pStyle w:val="TableParagraph"/>
              <w:spacing w:before="77"/>
              <w:ind w:right="69"/>
              <w:rPr>
                <w:sz w:val="19"/>
              </w:rPr>
            </w:pPr>
            <w:r>
              <w:rPr>
                <w:w w:val="105"/>
                <w:sz w:val="19"/>
              </w:rPr>
              <w:t>2 965 289</w:t>
            </w:r>
          </w:p>
        </w:tc>
        <w:tc>
          <w:tcPr>
            <w:tcW w:w="992" w:type="dxa"/>
            <w:tcBorders>
              <w:top w:val="double" w:sz="4" w:space="0" w:color="000000"/>
            </w:tcBorders>
          </w:tcPr>
          <w:p>
            <w:pPr>
              <w:pStyle w:val="TableParagraph"/>
              <w:spacing w:before="77"/>
              <w:ind w:right="66"/>
              <w:rPr>
                <w:sz w:val="19"/>
              </w:rPr>
            </w:pPr>
            <w:r>
              <w:rPr>
                <w:sz w:val="19"/>
              </w:rPr>
              <w:t>31.0</w:t>
            </w:r>
          </w:p>
        </w:tc>
      </w:tr>
      <w:tr>
        <w:trPr>
          <w:trHeight w:val="300" w:hRule="exact"/>
        </w:trPr>
        <w:tc>
          <w:tcPr>
            <w:tcW w:w="1492" w:type="dxa"/>
          </w:tcPr>
          <w:p>
            <w:pPr/>
          </w:p>
        </w:tc>
        <w:tc>
          <w:tcPr>
            <w:tcW w:w="828" w:type="dxa"/>
          </w:tcPr>
          <w:p>
            <w:pPr/>
          </w:p>
        </w:tc>
        <w:tc>
          <w:tcPr>
            <w:tcW w:w="1888" w:type="dxa"/>
          </w:tcPr>
          <w:p>
            <w:pPr>
              <w:pStyle w:val="TableParagraph"/>
              <w:spacing w:before="33"/>
              <w:ind w:left="94"/>
              <w:jc w:val="left"/>
              <w:rPr>
                <w:sz w:val="19"/>
              </w:rPr>
            </w:pPr>
            <w:r>
              <w:rPr>
                <w:w w:val="105"/>
                <w:sz w:val="19"/>
              </w:rPr>
              <w:t>Secundaria</w:t>
            </w:r>
          </w:p>
        </w:tc>
        <w:tc>
          <w:tcPr>
            <w:tcW w:w="1112" w:type="dxa"/>
          </w:tcPr>
          <w:p>
            <w:pPr>
              <w:pStyle w:val="TableParagraph"/>
              <w:spacing w:before="33"/>
              <w:ind w:right="69"/>
              <w:rPr>
                <w:sz w:val="19"/>
              </w:rPr>
            </w:pPr>
            <w:r>
              <w:rPr>
                <w:w w:val="105"/>
                <w:sz w:val="19"/>
              </w:rPr>
              <w:t>4 271 269</w:t>
            </w:r>
          </w:p>
        </w:tc>
        <w:tc>
          <w:tcPr>
            <w:tcW w:w="992" w:type="dxa"/>
          </w:tcPr>
          <w:p>
            <w:pPr>
              <w:pStyle w:val="TableParagraph"/>
              <w:spacing w:before="33"/>
              <w:ind w:right="66"/>
              <w:rPr>
                <w:sz w:val="19"/>
              </w:rPr>
            </w:pPr>
            <w:r>
              <w:rPr>
                <w:sz w:val="19"/>
              </w:rPr>
              <w:t>44.7</w:t>
            </w:r>
          </w:p>
        </w:tc>
      </w:tr>
      <w:tr>
        <w:trPr>
          <w:trHeight w:val="307" w:hRule="exact"/>
        </w:trPr>
        <w:tc>
          <w:tcPr>
            <w:tcW w:w="1492" w:type="dxa"/>
          </w:tcPr>
          <w:p>
            <w:pPr/>
          </w:p>
        </w:tc>
        <w:tc>
          <w:tcPr>
            <w:tcW w:w="828" w:type="dxa"/>
          </w:tcPr>
          <w:p>
            <w:pPr/>
          </w:p>
        </w:tc>
        <w:tc>
          <w:tcPr>
            <w:tcW w:w="1888" w:type="dxa"/>
          </w:tcPr>
          <w:p>
            <w:pPr>
              <w:pStyle w:val="TableParagraph"/>
              <w:spacing w:before="31"/>
              <w:ind w:left="94"/>
              <w:jc w:val="left"/>
              <w:rPr>
                <w:sz w:val="19"/>
              </w:rPr>
            </w:pPr>
            <w:r>
              <w:rPr>
                <w:w w:val="105"/>
                <w:sz w:val="19"/>
              </w:rPr>
              <w:t>Universitaria</w:t>
            </w:r>
          </w:p>
        </w:tc>
        <w:tc>
          <w:tcPr>
            <w:tcW w:w="1112" w:type="dxa"/>
          </w:tcPr>
          <w:p>
            <w:pPr>
              <w:pStyle w:val="TableParagraph"/>
              <w:spacing w:before="31"/>
              <w:ind w:right="69"/>
              <w:rPr>
                <w:sz w:val="19"/>
              </w:rPr>
            </w:pPr>
            <w:r>
              <w:rPr>
                <w:w w:val="105"/>
                <w:sz w:val="19"/>
              </w:rPr>
              <w:t>2 314 907</w:t>
            </w:r>
          </w:p>
        </w:tc>
        <w:tc>
          <w:tcPr>
            <w:tcW w:w="992" w:type="dxa"/>
          </w:tcPr>
          <w:p>
            <w:pPr>
              <w:pStyle w:val="TableParagraph"/>
              <w:spacing w:before="31"/>
              <w:ind w:right="66"/>
              <w:rPr>
                <w:sz w:val="19"/>
              </w:rPr>
            </w:pPr>
            <w:r>
              <w:rPr>
                <w:sz w:val="19"/>
              </w:rPr>
              <w:t>24.2</w:t>
            </w:r>
          </w:p>
        </w:tc>
      </w:tr>
      <w:tr>
        <w:trPr>
          <w:trHeight w:val="307" w:hRule="exact"/>
        </w:trPr>
        <w:tc>
          <w:tcPr>
            <w:tcW w:w="1492" w:type="dxa"/>
          </w:tcPr>
          <w:p>
            <w:pPr/>
          </w:p>
        </w:tc>
        <w:tc>
          <w:tcPr>
            <w:tcW w:w="828" w:type="dxa"/>
          </w:tcPr>
          <w:p>
            <w:pPr/>
          </w:p>
        </w:tc>
        <w:tc>
          <w:tcPr>
            <w:tcW w:w="1888" w:type="dxa"/>
          </w:tcPr>
          <w:p>
            <w:pPr>
              <w:pStyle w:val="TableParagraph"/>
              <w:spacing w:before="41"/>
              <w:ind w:left="95"/>
              <w:jc w:val="left"/>
              <w:rPr>
                <w:sz w:val="19"/>
              </w:rPr>
            </w:pPr>
            <w:r>
              <w:rPr>
                <w:w w:val="105"/>
                <w:sz w:val="19"/>
              </w:rPr>
              <w:t>Total</w:t>
            </w:r>
          </w:p>
        </w:tc>
        <w:tc>
          <w:tcPr>
            <w:tcW w:w="1112" w:type="dxa"/>
          </w:tcPr>
          <w:p>
            <w:pPr>
              <w:pStyle w:val="TableParagraph"/>
              <w:spacing w:before="41"/>
              <w:ind w:right="69"/>
              <w:rPr>
                <w:sz w:val="19"/>
              </w:rPr>
            </w:pPr>
            <w:r>
              <w:rPr>
                <w:w w:val="105"/>
                <w:sz w:val="19"/>
              </w:rPr>
              <w:t>9 551 465</w:t>
            </w:r>
          </w:p>
        </w:tc>
        <w:tc>
          <w:tcPr>
            <w:tcW w:w="992" w:type="dxa"/>
          </w:tcPr>
          <w:p>
            <w:pPr>
              <w:pStyle w:val="TableParagraph"/>
              <w:spacing w:before="41"/>
              <w:ind w:right="66"/>
              <w:rPr>
                <w:sz w:val="19"/>
              </w:rPr>
            </w:pPr>
            <w:r>
              <w:rPr>
                <w:sz w:val="19"/>
              </w:rPr>
              <w:t>100.0</w:t>
            </w:r>
          </w:p>
        </w:tc>
      </w:tr>
      <w:tr>
        <w:trPr>
          <w:trHeight w:val="300" w:hRule="exact"/>
        </w:trPr>
        <w:tc>
          <w:tcPr>
            <w:tcW w:w="1492" w:type="dxa"/>
          </w:tcPr>
          <w:p>
            <w:pPr/>
          </w:p>
        </w:tc>
        <w:tc>
          <w:tcPr>
            <w:tcW w:w="828" w:type="dxa"/>
          </w:tcPr>
          <w:p>
            <w:pPr>
              <w:pStyle w:val="TableParagraph"/>
              <w:spacing w:before="31"/>
              <w:ind w:left="77"/>
              <w:jc w:val="left"/>
              <w:rPr>
                <w:sz w:val="19"/>
              </w:rPr>
            </w:pPr>
            <w:r>
              <w:rPr>
                <w:w w:val="105"/>
                <w:sz w:val="19"/>
              </w:rPr>
              <w:t>Mujer</w:t>
            </w:r>
          </w:p>
        </w:tc>
        <w:tc>
          <w:tcPr>
            <w:tcW w:w="1888" w:type="dxa"/>
          </w:tcPr>
          <w:p>
            <w:pPr>
              <w:pStyle w:val="TableParagraph"/>
              <w:spacing w:before="31"/>
              <w:ind w:left="95"/>
              <w:jc w:val="left"/>
              <w:rPr>
                <w:sz w:val="19"/>
              </w:rPr>
            </w:pPr>
            <w:r>
              <w:rPr>
                <w:w w:val="105"/>
                <w:sz w:val="19"/>
              </w:rPr>
              <w:t>Inferior a secundaria</w:t>
            </w:r>
          </w:p>
        </w:tc>
        <w:tc>
          <w:tcPr>
            <w:tcW w:w="1112" w:type="dxa"/>
          </w:tcPr>
          <w:p>
            <w:pPr>
              <w:pStyle w:val="TableParagraph"/>
              <w:spacing w:before="31"/>
              <w:ind w:right="69"/>
              <w:rPr>
                <w:sz w:val="19"/>
              </w:rPr>
            </w:pPr>
            <w:r>
              <w:rPr>
                <w:w w:val="105"/>
                <w:sz w:val="19"/>
              </w:rPr>
              <w:t>1 293 103</w:t>
            </w:r>
          </w:p>
        </w:tc>
        <w:tc>
          <w:tcPr>
            <w:tcW w:w="992" w:type="dxa"/>
          </w:tcPr>
          <w:p>
            <w:pPr>
              <w:pStyle w:val="TableParagraph"/>
              <w:spacing w:before="31"/>
              <w:ind w:right="66"/>
              <w:rPr>
                <w:sz w:val="19"/>
              </w:rPr>
            </w:pPr>
            <w:r>
              <w:rPr>
                <w:sz w:val="19"/>
              </w:rPr>
              <w:t>23.5</w:t>
            </w:r>
          </w:p>
        </w:tc>
      </w:tr>
      <w:tr>
        <w:trPr>
          <w:trHeight w:val="300" w:hRule="exact"/>
        </w:trPr>
        <w:tc>
          <w:tcPr>
            <w:tcW w:w="1492" w:type="dxa"/>
          </w:tcPr>
          <w:p>
            <w:pPr/>
          </w:p>
        </w:tc>
        <w:tc>
          <w:tcPr>
            <w:tcW w:w="828" w:type="dxa"/>
          </w:tcPr>
          <w:p>
            <w:pPr/>
          </w:p>
        </w:tc>
        <w:tc>
          <w:tcPr>
            <w:tcW w:w="1888" w:type="dxa"/>
          </w:tcPr>
          <w:p>
            <w:pPr>
              <w:pStyle w:val="TableParagraph"/>
              <w:spacing w:before="34"/>
              <w:ind w:left="95"/>
              <w:jc w:val="left"/>
              <w:rPr>
                <w:sz w:val="19"/>
              </w:rPr>
            </w:pPr>
            <w:r>
              <w:rPr>
                <w:w w:val="105"/>
                <w:sz w:val="19"/>
              </w:rPr>
              <w:t>Secundaria</w:t>
            </w:r>
          </w:p>
        </w:tc>
        <w:tc>
          <w:tcPr>
            <w:tcW w:w="1112" w:type="dxa"/>
          </w:tcPr>
          <w:p>
            <w:pPr>
              <w:pStyle w:val="TableParagraph"/>
              <w:spacing w:before="34"/>
              <w:ind w:right="69"/>
              <w:rPr>
                <w:sz w:val="19"/>
              </w:rPr>
            </w:pPr>
            <w:r>
              <w:rPr>
                <w:w w:val="105"/>
                <w:sz w:val="19"/>
              </w:rPr>
              <w:t>2 360 154</w:t>
            </w:r>
          </w:p>
        </w:tc>
        <w:tc>
          <w:tcPr>
            <w:tcW w:w="992" w:type="dxa"/>
          </w:tcPr>
          <w:p>
            <w:pPr>
              <w:pStyle w:val="TableParagraph"/>
              <w:spacing w:before="34"/>
              <w:ind w:right="66"/>
              <w:rPr>
                <w:sz w:val="19"/>
              </w:rPr>
            </w:pPr>
            <w:r>
              <w:rPr>
                <w:sz w:val="19"/>
              </w:rPr>
              <w:t>43.0</w:t>
            </w:r>
          </w:p>
        </w:tc>
      </w:tr>
      <w:tr>
        <w:trPr>
          <w:trHeight w:val="307" w:hRule="exact"/>
        </w:trPr>
        <w:tc>
          <w:tcPr>
            <w:tcW w:w="1492" w:type="dxa"/>
          </w:tcPr>
          <w:p>
            <w:pPr/>
          </w:p>
        </w:tc>
        <w:tc>
          <w:tcPr>
            <w:tcW w:w="828" w:type="dxa"/>
          </w:tcPr>
          <w:p>
            <w:pPr/>
          </w:p>
        </w:tc>
        <w:tc>
          <w:tcPr>
            <w:tcW w:w="1888" w:type="dxa"/>
          </w:tcPr>
          <w:p>
            <w:pPr>
              <w:pStyle w:val="TableParagraph"/>
              <w:spacing w:before="31"/>
              <w:ind w:left="95"/>
              <w:jc w:val="left"/>
              <w:rPr>
                <w:sz w:val="19"/>
              </w:rPr>
            </w:pPr>
            <w:r>
              <w:rPr>
                <w:w w:val="105"/>
                <w:sz w:val="19"/>
              </w:rPr>
              <w:t>Universitaria</w:t>
            </w:r>
          </w:p>
        </w:tc>
        <w:tc>
          <w:tcPr>
            <w:tcW w:w="1112" w:type="dxa"/>
          </w:tcPr>
          <w:p>
            <w:pPr>
              <w:pStyle w:val="TableParagraph"/>
              <w:spacing w:before="31"/>
              <w:ind w:right="69"/>
              <w:rPr>
                <w:sz w:val="19"/>
              </w:rPr>
            </w:pPr>
            <w:r>
              <w:rPr>
                <w:w w:val="105"/>
                <w:sz w:val="19"/>
              </w:rPr>
              <w:t>1 841 272</w:t>
            </w:r>
          </w:p>
        </w:tc>
        <w:tc>
          <w:tcPr>
            <w:tcW w:w="992" w:type="dxa"/>
          </w:tcPr>
          <w:p>
            <w:pPr>
              <w:pStyle w:val="TableParagraph"/>
              <w:spacing w:before="31"/>
              <w:ind w:right="66"/>
              <w:rPr>
                <w:sz w:val="19"/>
              </w:rPr>
            </w:pPr>
            <w:r>
              <w:rPr>
                <w:sz w:val="19"/>
              </w:rPr>
              <w:t>33.5</w:t>
            </w:r>
          </w:p>
        </w:tc>
      </w:tr>
      <w:tr>
        <w:trPr>
          <w:trHeight w:val="307" w:hRule="exact"/>
        </w:trPr>
        <w:tc>
          <w:tcPr>
            <w:tcW w:w="1492" w:type="dxa"/>
          </w:tcPr>
          <w:p>
            <w:pPr/>
          </w:p>
        </w:tc>
        <w:tc>
          <w:tcPr>
            <w:tcW w:w="828" w:type="dxa"/>
          </w:tcPr>
          <w:p>
            <w:pPr/>
          </w:p>
        </w:tc>
        <w:tc>
          <w:tcPr>
            <w:tcW w:w="1888" w:type="dxa"/>
          </w:tcPr>
          <w:p>
            <w:pPr>
              <w:pStyle w:val="TableParagraph"/>
              <w:spacing w:before="41"/>
              <w:ind w:left="95"/>
              <w:jc w:val="left"/>
              <w:rPr>
                <w:sz w:val="19"/>
              </w:rPr>
            </w:pPr>
            <w:r>
              <w:rPr>
                <w:w w:val="105"/>
                <w:sz w:val="19"/>
              </w:rPr>
              <w:t>Total</w:t>
            </w:r>
          </w:p>
        </w:tc>
        <w:tc>
          <w:tcPr>
            <w:tcW w:w="1112" w:type="dxa"/>
          </w:tcPr>
          <w:p>
            <w:pPr>
              <w:pStyle w:val="TableParagraph"/>
              <w:spacing w:before="41"/>
              <w:ind w:right="68"/>
              <w:rPr>
                <w:sz w:val="19"/>
              </w:rPr>
            </w:pPr>
            <w:r>
              <w:rPr>
                <w:w w:val="105"/>
                <w:sz w:val="19"/>
              </w:rPr>
              <w:t>5 494 528</w:t>
            </w:r>
          </w:p>
        </w:tc>
        <w:tc>
          <w:tcPr>
            <w:tcW w:w="992" w:type="dxa"/>
          </w:tcPr>
          <w:p>
            <w:pPr>
              <w:pStyle w:val="TableParagraph"/>
              <w:spacing w:before="41"/>
              <w:ind w:right="65"/>
              <w:rPr>
                <w:sz w:val="19"/>
              </w:rPr>
            </w:pPr>
            <w:r>
              <w:rPr>
                <w:sz w:val="19"/>
              </w:rPr>
              <w:t>100.0</w:t>
            </w:r>
          </w:p>
        </w:tc>
      </w:tr>
      <w:tr>
        <w:trPr>
          <w:trHeight w:val="300" w:hRule="exact"/>
        </w:trPr>
        <w:tc>
          <w:tcPr>
            <w:tcW w:w="1492" w:type="dxa"/>
          </w:tcPr>
          <w:p>
            <w:pPr/>
          </w:p>
        </w:tc>
        <w:tc>
          <w:tcPr>
            <w:tcW w:w="828" w:type="dxa"/>
          </w:tcPr>
          <w:p>
            <w:pPr>
              <w:pStyle w:val="TableParagraph"/>
              <w:spacing w:before="31"/>
              <w:ind w:left="77"/>
              <w:jc w:val="left"/>
              <w:rPr>
                <w:sz w:val="19"/>
              </w:rPr>
            </w:pPr>
            <w:r>
              <w:rPr>
                <w:w w:val="105"/>
                <w:sz w:val="19"/>
              </w:rPr>
              <w:t>Total</w:t>
            </w:r>
          </w:p>
        </w:tc>
        <w:tc>
          <w:tcPr>
            <w:tcW w:w="1888" w:type="dxa"/>
          </w:tcPr>
          <w:p>
            <w:pPr>
              <w:pStyle w:val="TableParagraph"/>
              <w:spacing w:before="31"/>
              <w:ind w:left="94"/>
              <w:jc w:val="left"/>
              <w:rPr>
                <w:sz w:val="19"/>
              </w:rPr>
            </w:pPr>
            <w:r>
              <w:rPr>
                <w:w w:val="105"/>
                <w:sz w:val="19"/>
              </w:rPr>
              <w:t>Inferior a secundaria</w:t>
            </w:r>
          </w:p>
        </w:tc>
        <w:tc>
          <w:tcPr>
            <w:tcW w:w="1112" w:type="dxa"/>
          </w:tcPr>
          <w:p>
            <w:pPr>
              <w:pStyle w:val="TableParagraph"/>
              <w:spacing w:before="31"/>
              <w:ind w:right="69"/>
              <w:rPr>
                <w:sz w:val="19"/>
              </w:rPr>
            </w:pPr>
            <w:r>
              <w:rPr>
                <w:w w:val="105"/>
                <w:sz w:val="19"/>
              </w:rPr>
              <w:t>4 258 392</w:t>
            </w:r>
          </w:p>
        </w:tc>
        <w:tc>
          <w:tcPr>
            <w:tcW w:w="992" w:type="dxa"/>
          </w:tcPr>
          <w:p>
            <w:pPr>
              <w:pStyle w:val="TableParagraph"/>
              <w:spacing w:before="31"/>
              <w:ind w:right="66"/>
              <w:rPr>
                <w:sz w:val="19"/>
              </w:rPr>
            </w:pPr>
            <w:r>
              <w:rPr>
                <w:sz w:val="19"/>
              </w:rPr>
              <w:t>28.3</w:t>
            </w:r>
          </w:p>
        </w:tc>
      </w:tr>
      <w:tr>
        <w:trPr>
          <w:trHeight w:val="300" w:hRule="exact"/>
        </w:trPr>
        <w:tc>
          <w:tcPr>
            <w:tcW w:w="1492" w:type="dxa"/>
          </w:tcPr>
          <w:p>
            <w:pPr/>
          </w:p>
        </w:tc>
        <w:tc>
          <w:tcPr>
            <w:tcW w:w="828" w:type="dxa"/>
          </w:tcPr>
          <w:p>
            <w:pPr/>
          </w:p>
        </w:tc>
        <w:tc>
          <w:tcPr>
            <w:tcW w:w="1888" w:type="dxa"/>
          </w:tcPr>
          <w:p>
            <w:pPr>
              <w:pStyle w:val="TableParagraph"/>
              <w:spacing w:before="33"/>
              <w:ind w:left="95"/>
              <w:jc w:val="left"/>
              <w:rPr>
                <w:sz w:val="19"/>
              </w:rPr>
            </w:pPr>
            <w:r>
              <w:rPr>
                <w:w w:val="105"/>
                <w:sz w:val="19"/>
              </w:rPr>
              <w:t>Secundaria</w:t>
            </w:r>
          </w:p>
        </w:tc>
        <w:tc>
          <w:tcPr>
            <w:tcW w:w="1112" w:type="dxa"/>
          </w:tcPr>
          <w:p>
            <w:pPr>
              <w:pStyle w:val="TableParagraph"/>
              <w:spacing w:before="33"/>
              <w:ind w:right="69"/>
              <w:rPr>
                <w:sz w:val="19"/>
              </w:rPr>
            </w:pPr>
            <w:r>
              <w:rPr>
                <w:w w:val="105"/>
                <w:sz w:val="19"/>
              </w:rPr>
              <w:t>6 631 422</w:t>
            </w:r>
          </w:p>
        </w:tc>
        <w:tc>
          <w:tcPr>
            <w:tcW w:w="992" w:type="dxa"/>
          </w:tcPr>
          <w:p>
            <w:pPr>
              <w:pStyle w:val="TableParagraph"/>
              <w:spacing w:before="33"/>
              <w:ind w:right="66"/>
              <w:rPr>
                <w:sz w:val="19"/>
              </w:rPr>
            </w:pPr>
            <w:r>
              <w:rPr>
                <w:sz w:val="19"/>
              </w:rPr>
              <w:t>44.1</w:t>
            </w:r>
          </w:p>
        </w:tc>
      </w:tr>
      <w:tr>
        <w:trPr>
          <w:trHeight w:val="307" w:hRule="exact"/>
        </w:trPr>
        <w:tc>
          <w:tcPr>
            <w:tcW w:w="1492" w:type="dxa"/>
          </w:tcPr>
          <w:p>
            <w:pPr/>
          </w:p>
        </w:tc>
        <w:tc>
          <w:tcPr>
            <w:tcW w:w="828" w:type="dxa"/>
          </w:tcPr>
          <w:p>
            <w:pPr/>
          </w:p>
        </w:tc>
        <w:tc>
          <w:tcPr>
            <w:tcW w:w="1888" w:type="dxa"/>
          </w:tcPr>
          <w:p>
            <w:pPr>
              <w:pStyle w:val="TableParagraph"/>
              <w:spacing w:before="31"/>
              <w:ind w:left="94"/>
              <w:jc w:val="left"/>
              <w:rPr>
                <w:sz w:val="19"/>
              </w:rPr>
            </w:pPr>
            <w:r>
              <w:rPr>
                <w:w w:val="105"/>
                <w:sz w:val="19"/>
              </w:rPr>
              <w:t>Universitaria</w:t>
            </w:r>
          </w:p>
        </w:tc>
        <w:tc>
          <w:tcPr>
            <w:tcW w:w="1112" w:type="dxa"/>
          </w:tcPr>
          <w:p>
            <w:pPr>
              <w:pStyle w:val="TableParagraph"/>
              <w:spacing w:before="31"/>
              <w:ind w:right="69"/>
              <w:rPr>
                <w:sz w:val="19"/>
              </w:rPr>
            </w:pPr>
            <w:r>
              <w:rPr>
                <w:w w:val="105"/>
                <w:sz w:val="19"/>
              </w:rPr>
              <w:t>4 156 179</w:t>
            </w:r>
          </w:p>
        </w:tc>
        <w:tc>
          <w:tcPr>
            <w:tcW w:w="992" w:type="dxa"/>
          </w:tcPr>
          <w:p>
            <w:pPr>
              <w:pStyle w:val="TableParagraph"/>
              <w:spacing w:before="31"/>
              <w:ind w:right="66"/>
              <w:rPr>
                <w:sz w:val="19"/>
              </w:rPr>
            </w:pPr>
            <w:r>
              <w:rPr>
                <w:sz w:val="19"/>
              </w:rPr>
              <w:t>27.6</w:t>
            </w:r>
          </w:p>
        </w:tc>
      </w:tr>
      <w:tr>
        <w:trPr>
          <w:trHeight w:val="307" w:hRule="exact"/>
        </w:trPr>
        <w:tc>
          <w:tcPr>
            <w:tcW w:w="1492" w:type="dxa"/>
          </w:tcPr>
          <w:p>
            <w:pPr/>
          </w:p>
        </w:tc>
        <w:tc>
          <w:tcPr>
            <w:tcW w:w="828" w:type="dxa"/>
          </w:tcPr>
          <w:p>
            <w:pPr/>
          </w:p>
        </w:tc>
        <w:tc>
          <w:tcPr>
            <w:tcW w:w="1888" w:type="dxa"/>
          </w:tcPr>
          <w:p>
            <w:pPr>
              <w:pStyle w:val="TableParagraph"/>
              <w:spacing w:before="41"/>
              <w:ind w:left="94"/>
              <w:jc w:val="left"/>
              <w:rPr>
                <w:sz w:val="19"/>
              </w:rPr>
            </w:pPr>
            <w:r>
              <w:rPr>
                <w:w w:val="105"/>
                <w:sz w:val="19"/>
              </w:rPr>
              <w:t>Total</w:t>
            </w:r>
          </w:p>
        </w:tc>
        <w:tc>
          <w:tcPr>
            <w:tcW w:w="1112" w:type="dxa"/>
          </w:tcPr>
          <w:p>
            <w:pPr>
              <w:pStyle w:val="TableParagraph"/>
              <w:spacing w:before="41"/>
              <w:ind w:right="69"/>
              <w:rPr>
                <w:sz w:val="19"/>
              </w:rPr>
            </w:pPr>
            <w:r>
              <w:rPr>
                <w:w w:val="105"/>
                <w:sz w:val="19"/>
              </w:rPr>
              <w:t>15 045 993</w:t>
            </w:r>
          </w:p>
        </w:tc>
        <w:tc>
          <w:tcPr>
            <w:tcW w:w="992" w:type="dxa"/>
          </w:tcPr>
          <w:p>
            <w:pPr>
              <w:pStyle w:val="TableParagraph"/>
              <w:spacing w:before="41"/>
              <w:ind w:right="66"/>
              <w:rPr>
                <w:sz w:val="19"/>
              </w:rPr>
            </w:pPr>
            <w:r>
              <w:rPr>
                <w:sz w:val="19"/>
              </w:rPr>
              <w:t>100.0</w:t>
            </w:r>
          </w:p>
        </w:tc>
      </w:tr>
      <w:tr>
        <w:trPr>
          <w:trHeight w:val="300" w:hRule="exact"/>
        </w:trPr>
        <w:tc>
          <w:tcPr>
            <w:tcW w:w="1492" w:type="dxa"/>
          </w:tcPr>
          <w:p>
            <w:pPr>
              <w:pStyle w:val="TableParagraph"/>
              <w:spacing w:before="31"/>
              <w:ind w:left="71"/>
              <w:jc w:val="left"/>
              <w:rPr>
                <w:sz w:val="19"/>
              </w:rPr>
            </w:pPr>
            <w:r>
              <w:rPr>
                <w:w w:val="105"/>
                <w:sz w:val="19"/>
              </w:rPr>
              <w:t>Latinoamericana</w:t>
            </w:r>
          </w:p>
        </w:tc>
        <w:tc>
          <w:tcPr>
            <w:tcW w:w="828" w:type="dxa"/>
          </w:tcPr>
          <w:p>
            <w:pPr>
              <w:pStyle w:val="TableParagraph"/>
              <w:spacing w:before="31"/>
              <w:ind w:left="77"/>
              <w:jc w:val="left"/>
              <w:rPr>
                <w:sz w:val="19"/>
              </w:rPr>
            </w:pPr>
            <w:r>
              <w:rPr>
                <w:w w:val="105"/>
                <w:sz w:val="19"/>
              </w:rPr>
              <w:t>Hombre</w:t>
            </w:r>
          </w:p>
        </w:tc>
        <w:tc>
          <w:tcPr>
            <w:tcW w:w="1888" w:type="dxa"/>
          </w:tcPr>
          <w:p>
            <w:pPr>
              <w:pStyle w:val="TableParagraph"/>
              <w:spacing w:before="31"/>
              <w:ind w:left="94"/>
              <w:jc w:val="left"/>
              <w:rPr>
                <w:sz w:val="19"/>
              </w:rPr>
            </w:pPr>
            <w:r>
              <w:rPr>
                <w:w w:val="105"/>
                <w:sz w:val="19"/>
              </w:rPr>
              <w:t>Inferior a secundaria</w:t>
            </w:r>
          </w:p>
        </w:tc>
        <w:tc>
          <w:tcPr>
            <w:tcW w:w="1112" w:type="dxa"/>
          </w:tcPr>
          <w:p>
            <w:pPr>
              <w:pStyle w:val="TableParagraph"/>
              <w:spacing w:before="31"/>
              <w:ind w:right="69"/>
              <w:rPr>
                <w:sz w:val="19"/>
              </w:rPr>
            </w:pPr>
            <w:r>
              <w:rPr>
                <w:w w:val="105"/>
                <w:sz w:val="19"/>
              </w:rPr>
              <w:t>10 195</w:t>
            </w:r>
          </w:p>
        </w:tc>
        <w:tc>
          <w:tcPr>
            <w:tcW w:w="992" w:type="dxa"/>
          </w:tcPr>
          <w:p>
            <w:pPr>
              <w:pStyle w:val="TableParagraph"/>
              <w:spacing w:before="31"/>
              <w:ind w:right="66"/>
              <w:rPr>
                <w:sz w:val="19"/>
              </w:rPr>
            </w:pPr>
            <w:r>
              <w:rPr>
                <w:sz w:val="19"/>
              </w:rPr>
              <w:t>13.9</w:t>
            </w:r>
          </w:p>
        </w:tc>
      </w:tr>
      <w:tr>
        <w:trPr>
          <w:trHeight w:val="300" w:hRule="exact"/>
        </w:trPr>
        <w:tc>
          <w:tcPr>
            <w:tcW w:w="1492" w:type="dxa"/>
          </w:tcPr>
          <w:p>
            <w:pPr/>
          </w:p>
        </w:tc>
        <w:tc>
          <w:tcPr>
            <w:tcW w:w="828" w:type="dxa"/>
          </w:tcPr>
          <w:p>
            <w:pPr/>
          </w:p>
        </w:tc>
        <w:tc>
          <w:tcPr>
            <w:tcW w:w="1888" w:type="dxa"/>
          </w:tcPr>
          <w:p>
            <w:pPr>
              <w:pStyle w:val="TableParagraph"/>
              <w:spacing w:before="33"/>
              <w:ind w:left="94"/>
              <w:jc w:val="left"/>
              <w:rPr>
                <w:sz w:val="19"/>
              </w:rPr>
            </w:pPr>
            <w:r>
              <w:rPr>
                <w:w w:val="105"/>
                <w:sz w:val="19"/>
              </w:rPr>
              <w:t>Secundaria</w:t>
            </w:r>
          </w:p>
        </w:tc>
        <w:tc>
          <w:tcPr>
            <w:tcW w:w="1112" w:type="dxa"/>
          </w:tcPr>
          <w:p>
            <w:pPr>
              <w:pStyle w:val="TableParagraph"/>
              <w:spacing w:before="33"/>
              <w:ind w:right="69"/>
              <w:rPr>
                <w:sz w:val="19"/>
              </w:rPr>
            </w:pPr>
            <w:r>
              <w:rPr>
                <w:w w:val="105"/>
                <w:sz w:val="19"/>
              </w:rPr>
              <w:t>39 904</w:t>
            </w:r>
          </w:p>
        </w:tc>
        <w:tc>
          <w:tcPr>
            <w:tcW w:w="992" w:type="dxa"/>
          </w:tcPr>
          <w:p>
            <w:pPr>
              <w:pStyle w:val="TableParagraph"/>
              <w:spacing w:before="33"/>
              <w:ind w:right="66"/>
              <w:rPr>
                <w:sz w:val="19"/>
              </w:rPr>
            </w:pPr>
            <w:r>
              <w:rPr>
                <w:sz w:val="19"/>
              </w:rPr>
              <w:t>54.4</w:t>
            </w:r>
          </w:p>
        </w:tc>
      </w:tr>
      <w:tr>
        <w:trPr>
          <w:trHeight w:val="307" w:hRule="exact"/>
        </w:trPr>
        <w:tc>
          <w:tcPr>
            <w:tcW w:w="1492" w:type="dxa"/>
          </w:tcPr>
          <w:p>
            <w:pPr/>
          </w:p>
        </w:tc>
        <w:tc>
          <w:tcPr>
            <w:tcW w:w="828" w:type="dxa"/>
          </w:tcPr>
          <w:p>
            <w:pPr/>
          </w:p>
        </w:tc>
        <w:tc>
          <w:tcPr>
            <w:tcW w:w="1888" w:type="dxa"/>
          </w:tcPr>
          <w:p>
            <w:pPr>
              <w:pStyle w:val="TableParagraph"/>
              <w:spacing w:before="31"/>
              <w:ind w:left="94"/>
              <w:jc w:val="left"/>
              <w:rPr>
                <w:sz w:val="19"/>
              </w:rPr>
            </w:pPr>
            <w:r>
              <w:rPr>
                <w:w w:val="105"/>
                <w:sz w:val="19"/>
              </w:rPr>
              <w:t>Universitaria</w:t>
            </w:r>
          </w:p>
        </w:tc>
        <w:tc>
          <w:tcPr>
            <w:tcW w:w="1112" w:type="dxa"/>
          </w:tcPr>
          <w:p>
            <w:pPr>
              <w:pStyle w:val="TableParagraph"/>
              <w:spacing w:before="31"/>
              <w:ind w:right="69"/>
              <w:rPr>
                <w:sz w:val="19"/>
              </w:rPr>
            </w:pPr>
            <w:r>
              <w:rPr>
                <w:w w:val="105"/>
                <w:sz w:val="19"/>
              </w:rPr>
              <w:t>23 300</w:t>
            </w:r>
          </w:p>
        </w:tc>
        <w:tc>
          <w:tcPr>
            <w:tcW w:w="992" w:type="dxa"/>
          </w:tcPr>
          <w:p>
            <w:pPr>
              <w:pStyle w:val="TableParagraph"/>
              <w:spacing w:before="31"/>
              <w:ind w:right="66"/>
              <w:rPr>
                <w:sz w:val="19"/>
              </w:rPr>
            </w:pPr>
            <w:r>
              <w:rPr>
                <w:sz w:val="19"/>
              </w:rPr>
              <w:t>31.7</w:t>
            </w:r>
          </w:p>
        </w:tc>
      </w:tr>
      <w:tr>
        <w:trPr>
          <w:trHeight w:val="310" w:hRule="exact"/>
        </w:trPr>
        <w:tc>
          <w:tcPr>
            <w:tcW w:w="1492" w:type="dxa"/>
          </w:tcPr>
          <w:p>
            <w:pPr/>
          </w:p>
        </w:tc>
        <w:tc>
          <w:tcPr>
            <w:tcW w:w="828" w:type="dxa"/>
          </w:tcPr>
          <w:p>
            <w:pPr/>
          </w:p>
        </w:tc>
        <w:tc>
          <w:tcPr>
            <w:tcW w:w="1888" w:type="dxa"/>
          </w:tcPr>
          <w:p>
            <w:pPr>
              <w:pStyle w:val="TableParagraph"/>
              <w:spacing w:before="41"/>
              <w:ind w:left="94"/>
              <w:jc w:val="left"/>
              <w:rPr>
                <w:sz w:val="19"/>
              </w:rPr>
            </w:pPr>
            <w:r>
              <w:rPr>
                <w:w w:val="105"/>
                <w:sz w:val="19"/>
              </w:rPr>
              <w:t>Total</w:t>
            </w:r>
          </w:p>
        </w:tc>
        <w:tc>
          <w:tcPr>
            <w:tcW w:w="1112" w:type="dxa"/>
          </w:tcPr>
          <w:p>
            <w:pPr>
              <w:pStyle w:val="TableParagraph"/>
              <w:spacing w:before="41"/>
              <w:ind w:right="69"/>
              <w:rPr>
                <w:sz w:val="19"/>
              </w:rPr>
            </w:pPr>
            <w:r>
              <w:rPr>
                <w:w w:val="105"/>
                <w:sz w:val="19"/>
              </w:rPr>
              <w:t>73 399</w:t>
            </w:r>
          </w:p>
        </w:tc>
        <w:tc>
          <w:tcPr>
            <w:tcW w:w="992" w:type="dxa"/>
          </w:tcPr>
          <w:p>
            <w:pPr>
              <w:pStyle w:val="TableParagraph"/>
              <w:spacing w:before="41"/>
              <w:ind w:right="66"/>
              <w:rPr>
                <w:sz w:val="19"/>
              </w:rPr>
            </w:pPr>
            <w:r>
              <w:rPr>
                <w:sz w:val="19"/>
              </w:rPr>
              <w:t>100.0</w:t>
            </w:r>
          </w:p>
        </w:tc>
      </w:tr>
      <w:tr>
        <w:trPr>
          <w:trHeight w:val="300" w:hRule="exact"/>
        </w:trPr>
        <w:tc>
          <w:tcPr>
            <w:tcW w:w="1492" w:type="dxa"/>
          </w:tcPr>
          <w:p>
            <w:pPr/>
          </w:p>
        </w:tc>
        <w:tc>
          <w:tcPr>
            <w:tcW w:w="828" w:type="dxa"/>
          </w:tcPr>
          <w:p>
            <w:pPr>
              <w:pStyle w:val="TableParagraph"/>
              <w:spacing w:before="33"/>
              <w:ind w:left="77"/>
              <w:jc w:val="left"/>
              <w:rPr>
                <w:sz w:val="19"/>
              </w:rPr>
            </w:pPr>
            <w:r>
              <w:rPr>
                <w:w w:val="105"/>
                <w:sz w:val="19"/>
              </w:rPr>
              <w:t>Mujer</w:t>
            </w:r>
          </w:p>
        </w:tc>
        <w:tc>
          <w:tcPr>
            <w:tcW w:w="1888" w:type="dxa"/>
          </w:tcPr>
          <w:p>
            <w:pPr>
              <w:pStyle w:val="TableParagraph"/>
              <w:spacing w:before="33"/>
              <w:ind w:left="94"/>
              <w:jc w:val="left"/>
              <w:rPr>
                <w:sz w:val="19"/>
              </w:rPr>
            </w:pPr>
            <w:r>
              <w:rPr>
                <w:w w:val="105"/>
                <w:sz w:val="19"/>
              </w:rPr>
              <w:t>Inferior a secundaria</w:t>
            </w:r>
          </w:p>
        </w:tc>
        <w:tc>
          <w:tcPr>
            <w:tcW w:w="1112" w:type="dxa"/>
          </w:tcPr>
          <w:p>
            <w:pPr>
              <w:pStyle w:val="TableParagraph"/>
              <w:spacing w:before="33"/>
              <w:ind w:right="69"/>
              <w:rPr>
                <w:sz w:val="19"/>
              </w:rPr>
            </w:pPr>
            <w:r>
              <w:rPr>
                <w:w w:val="105"/>
                <w:sz w:val="19"/>
              </w:rPr>
              <w:t>13 454</w:t>
            </w:r>
          </w:p>
        </w:tc>
        <w:tc>
          <w:tcPr>
            <w:tcW w:w="992" w:type="dxa"/>
          </w:tcPr>
          <w:p>
            <w:pPr>
              <w:pStyle w:val="TableParagraph"/>
              <w:spacing w:before="33"/>
              <w:ind w:right="66"/>
              <w:rPr>
                <w:sz w:val="19"/>
              </w:rPr>
            </w:pPr>
            <w:r>
              <w:rPr>
                <w:sz w:val="19"/>
              </w:rPr>
              <w:t>15.8</w:t>
            </w:r>
          </w:p>
        </w:tc>
      </w:tr>
      <w:tr>
        <w:trPr>
          <w:trHeight w:val="300" w:hRule="exact"/>
        </w:trPr>
        <w:tc>
          <w:tcPr>
            <w:tcW w:w="1492" w:type="dxa"/>
          </w:tcPr>
          <w:p>
            <w:pPr/>
          </w:p>
        </w:tc>
        <w:tc>
          <w:tcPr>
            <w:tcW w:w="828" w:type="dxa"/>
          </w:tcPr>
          <w:p>
            <w:pPr/>
          </w:p>
        </w:tc>
        <w:tc>
          <w:tcPr>
            <w:tcW w:w="1888" w:type="dxa"/>
          </w:tcPr>
          <w:p>
            <w:pPr>
              <w:pStyle w:val="TableParagraph"/>
              <w:spacing w:before="31"/>
              <w:ind w:left="94"/>
              <w:jc w:val="left"/>
              <w:rPr>
                <w:sz w:val="19"/>
              </w:rPr>
            </w:pPr>
            <w:r>
              <w:rPr>
                <w:w w:val="105"/>
                <w:sz w:val="19"/>
              </w:rPr>
              <w:t>Secundaria</w:t>
            </w:r>
          </w:p>
        </w:tc>
        <w:tc>
          <w:tcPr>
            <w:tcW w:w="1112" w:type="dxa"/>
          </w:tcPr>
          <w:p>
            <w:pPr>
              <w:pStyle w:val="TableParagraph"/>
              <w:spacing w:before="31"/>
              <w:ind w:right="69"/>
              <w:rPr>
                <w:sz w:val="19"/>
              </w:rPr>
            </w:pPr>
            <w:r>
              <w:rPr>
                <w:w w:val="105"/>
                <w:sz w:val="19"/>
              </w:rPr>
              <w:t>42 938</w:t>
            </w:r>
          </w:p>
        </w:tc>
        <w:tc>
          <w:tcPr>
            <w:tcW w:w="992" w:type="dxa"/>
          </w:tcPr>
          <w:p>
            <w:pPr>
              <w:pStyle w:val="TableParagraph"/>
              <w:spacing w:before="31"/>
              <w:ind w:right="66"/>
              <w:rPr>
                <w:sz w:val="19"/>
              </w:rPr>
            </w:pPr>
            <w:r>
              <w:rPr>
                <w:sz w:val="19"/>
              </w:rPr>
              <w:t>50.3</w:t>
            </w:r>
          </w:p>
        </w:tc>
      </w:tr>
      <w:tr>
        <w:trPr>
          <w:trHeight w:val="307" w:hRule="exact"/>
        </w:trPr>
        <w:tc>
          <w:tcPr>
            <w:tcW w:w="1492" w:type="dxa"/>
          </w:tcPr>
          <w:p>
            <w:pPr/>
          </w:p>
        </w:tc>
        <w:tc>
          <w:tcPr>
            <w:tcW w:w="828" w:type="dxa"/>
          </w:tcPr>
          <w:p>
            <w:pPr/>
          </w:p>
        </w:tc>
        <w:tc>
          <w:tcPr>
            <w:tcW w:w="1888" w:type="dxa"/>
          </w:tcPr>
          <w:p>
            <w:pPr>
              <w:pStyle w:val="TableParagraph"/>
              <w:spacing w:before="33"/>
              <w:ind w:left="94"/>
              <w:jc w:val="left"/>
              <w:rPr>
                <w:sz w:val="19"/>
              </w:rPr>
            </w:pPr>
            <w:r>
              <w:rPr>
                <w:w w:val="105"/>
                <w:sz w:val="19"/>
              </w:rPr>
              <w:t>Universitaria</w:t>
            </w:r>
          </w:p>
        </w:tc>
        <w:tc>
          <w:tcPr>
            <w:tcW w:w="1112" w:type="dxa"/>
          </w:tcPr>
          <w:p>
            <w:pPr>
              <w:pStyle w:val="TableParagraph"/>
              <w:spacing w:before="33"/>
              <w:ind w:right="69"/>
              <w:rPr>
                <w:sz w:val="19"/>
              </w:rPr>
            </w:pPr>
            <w:r>
              <w:rPr>
                <w:w w:val="105"/>
                <w:sz w:val="19"/>
              </w:rPr>
              <w:t>28 925</w:t>
            </w:r>
          </w:p>
        </w:tc>
        <w:tc>
          <w:tcPr>
            <w:tcW w:w="992" w:type="dxa"/>
          </w:tcPr>
          <w:p>
            <w:pPr>
              <w:pStyle w:val="TableParagraph"/>
              <w:spacing w:before="33"/>
              <w:ind w:right="66"/>
              <w:rPr>
                <w:sz w:val="19"/>
              </w:rPr>
            </w:pPr>
            <w:r>
              <w:rPr>
                <w:sz w:val="19"/>
              </w:rPr>
              <w:t>33.9</w:t>
            </w:r>
          </w:p>
        </w:tc>
      </w:tr>
      <w:tr>
        <w:trPr>
          <w:trHeight w:val="307" w:hRule="exact"/>
        </w:trPr>
        <w:tc>
          <w:tcPr>
            <w:tcW w:w="1492" w:type="dxa"/>
          </w:tcPr>
          <w:p>
            <w:pPr/>
          </w:p>
        </w:tc>
        <w:tc>
          <w:tcPr>
            <w:tcW w:w="828" w:type="dxa"/>
          </w:tcPr>
          <w:p>
            <w:pPr/>
          </w:p>
        </w:tc>
        <w:tc>
          <w:tcPr>
            <w:tcW w:w="1888" w:type="dxa"/>
          </w:tcPr>
          <w:p>
            <w:pPr>
              <w:pStyle w:val="TableParagraph"/>
              <w:spacing w:before="38"/>
              <w:ind w:left="95"/>
              <w:jc w:val="left"/>
              <w:rPr>
                <w:sz w:val="19"/>
              </w:rPr>
            </w:pPr>
            <w:r>
              <w:rPr>
                <w:w w:val="105"/>
                <w:sz w:val="19"/>
              </w:rPr>
              <w:t>Total</w:t>
            </w:r>
          </w:p>
        </w:tc>
        <w:tc>
          <w:tcPr>
            <w:tcW w:w="1112" w:type="dxa"/>
          </w:tcPr>
          <w:p>
            <w:pPr>
              <w:pStyle w:val="TableParagraph"/>
              <w:spacing w:before="38"/>
              <w:ind w:right="69"/>
              <w:rPr>
                <w:sz w:val="19"/>
              </w:rPr>
            </w:pPr>
            <w:r>
              <w:rPr>
                <w:w w:val="105"/>
                <w:sz w:val="19"/>
              </w:rPr>
              <w:t>85 317</w:t>
            </w:r>
          </w:p>
        </w:tc>
        <w:tc>
          <w:tcPr>
            <w:tcW w:w="992" w:type="dxa"/>
          </w:tcPr>
          <w:p>
            <w:pPr>
              <w:pStyle w:val="TableParagraph"/>
              <w:spacing w:before="38"/>
              <w:ind w:right="66"/>
              <w:rPr>
                <w:sz w:val="19"/>
              </w:rPr>
            </w:pPr>
            <w:r>
              <w:rPr>
                <w:sz w:val="19"/>
              </w:rPr>
              <w:t>100.0</w:t>
            </w:r>
          </w:p>
        </w:tc>
      </w:tr>
      <w:tr>
        <w:trPr>
          <w:trHeight w:val="300" w:hRule="exact"/>
        </w:trPr>
        <w:tc>
          <w:tcPr>
            <w:tcW w:w="1492" w:type="dxa"/>
          </w:tcPr>
          <w:p>
            <w:pPr/>
          </w:p>
        </w:tc>
        <w:tc>
          <w:tcPr>
            <w:tcW w:w="828" w:type="dxa"/>
          </w:tcPr>
          <w:p>
            <w:pPr>
              <w:pStyle w:val="TableParagraph"/>
              <w:spacing w:before="34"/>
              <w:ind w:left="77"/>
              <w:jc w:val="left"/>
              <w:rPr>
                <w:sz w:val="19"/>
              </w:rPr>
            </w:pPr>
            <w:r>
              <w:rPr>
                <w:w w:val="105"/>
                <w:sz w:val="19"/>
              </w:rPr>
              <w:t>Total</w:t>
            </w:r>
          </w:p>
        </w:tc>
        <w:tc>
          <w:tcPr>
            <w:tcW w:w="1888" w:type="dxa"/>
          </w:tcPr>
          <w:p>
            <w:pPr>
              <w:pStyle w:val="TableParagraph"/>
              <w:spacing w:before="34"/>
              <w:ind w:left="95"/>
              <w:jc w:val="left"/>
              <w:rPr>
                <w:sz w:val="19"/>
              </w:rPr>
            </w:pPr>
            <w:r>
              <w:rPr>
                <w:w w:val="105"/>
                <w:sz w:val="19"/>
              </w:rPr>
              <w:t>Inferior a secundaria</w:t>
            </w:r>
          </w:p>
        </w:tc>
        <w:tc>
          <w:tcPr>
            <w:tcW w:w="1112" w:type="dxa"/>
          </w:tcPr>
          <w:p>
            <w:pPr>
              <w:pStyle w:val="TableParagraph"/>
              <w:spacing w:before="34"/>
              <w:ind w:right="68"/>
              <w:rPr>
                <w:sz w:val="19"/>
              </w:rPr>
            </w:pPr>
            <w:r>
              <w:rPr>
                <w:w w:val="105"/>
                <w:sz w:val="19"/>
              </w:rPr>
              <w:t>23 649</w:t>
            </w:r>
          </w:p>
        </w:tc>
        <w:tc>
          <w:tcPr>
            <w:tcW w:w="992" w:type="dxa"/>
          </w:tcPr>
          <w:p>
            <w:pPr>
              <w:pStyle w:val="TableParagraph"/>
              <w:spacing w:before="34"/>
              <w:ind w:right="65"/>
              <w:rPr>
                <w:sz w:val="19"/>
              </w:rPr>
            </w:pPr>
            <w:r>
              <w:rPr>
                <w:sz w:val="19"/>
              </w:rPr>
              <w:t>14.9</w:t>
            </w:r>
          </w:p>
        </w:tc>
      </w:tr>
      <w:tr>
        <w:trPr>
          <w:trHeight w:val="321" w:hRule="exact"/>
        </w:trPr>
        <w:tc>
          <w:tcPr>
            <w:tcW w:w="1492" w:type="dxa"/>
          </w:tcPr>
          <w:p>
            <w:pPr/>
          </w:p>
        </w:tc>
        <w:tc>
          <w:tcPr>
            <w:tcW w:w="828" w:type="dxa"/>
          </w:tcPr>
          <w:p>
            <w:pPr/>
          </w:p>
        </w:tc>
        <w:tc>
          <w:tcPr>
            <w:tcW w:w="1888" w:type="dxa"/>
          </w:tcPr>
          <w:p>
            <w:pPr>
              <w:pStyle w:val="TableParagraph"/>
              <w:spacing w:before="31"/>
              <w:ind w:left="95"/>
              <w:jc w:val="left"/>
              <w:rPr>
                <w:sz w:val="19"/>
              </w:rPr>
            </w:pPr>
            <w:r>
              <w:rPr>
                <w:w w:val="105"/>
                <w:sz w:val="19"/>
              </w:rPr>
              <w:t>Secundaria</w:t>
            </w:r>
          </w:p>
        </w:tc>
        <w:tc>
          <w:tcPr>
            <w:tcW w:w="1112" w:type="dxa"/>
          </w:tcPr>
          <w:p>
            <w:pPr>
              <w:pStyle w:val="TableParagraph"/>
              <w:spacing w:before="31"/>
              <w:ind w:right="68"/>
              <w:rPr>
                <w:sz w:val="19"/>
              </w:rPr>
            </w:pPr>
            <w:r>
              <w:rPr>
                <w:w w:val="105"/>
                <w:sz w:val="19"/>
              </w:rPr>
              <w:t>82 842</w:t>
            </w:r>
          </w:p>
        </w:tc>
        <w:tc>
          <w:tcPr>
            <w:tcW w:w="992" w:type="dxa"/>
          </w:tcPr>
          <w:p>
            <w:pPr>
              <w:pStyle w:val="TableParagraph"/>
              <w:spacing w:before="31"/>
              <w:ind w:right="65"/>
              <w:rPr>
                <w:sz w:val="19"/>
              </w:rPr>
            </w:pPr>
            <w:r>
              <w:rPr>
                <w:sz w:val="19"/>
              </w:rPr>
              <w:t>52.2</w:t>
            </w:r>
          </w:p>
        </w:tc>
      </w:tr>
    </w:tbl>
    <w:p>
      <w:pPr>
        <w:spacing w:after="0"/>
        <w:rPr>
          <w:sz w:val="19"/>
        </w:rPr>
        <w:sectPr>
          <w:footerReference w:type="default" r:id="rId56"/>
          <w:pgSz w:w="9360" w:h="13040"/>
          <w:pgMar w:footer="3652" w:header="0" w:top="800" w:bottom="3840" w:left="1300" w:right="1300"/>
          <w:pgNumType w:start="26"/>
        </w:sectPr>
      </w:pPr>
    </w:p>
    <w:p>
      <w:pPr>
        <w:spacing w:before="45"/>
        <w:ind w:left="397" w:right="0" w:hanging="192"/>
        <w:jc w:val="left"/>
        <w:rPr>
          <w:rFonts w:ascii="Arial" w:hAnsi="Arial"/>
          <w:sz w:val="20"/>
        </w:rPr>
      </w:pPr>
      <w:r>
        <w:rPr>
          <w:rFonts w:ascii="Arial" w:hAnsi="Arial"/>
          <w:color w:val="231F20"/>
          <w:w w:val="70"/>
          <w:sz w:val="20"/>
        </w:rPr>
        <w:t>Nueva reconfiguración de la inmigración internacional: el caso de España /Lucila Godínez-Montoya </w:t>
      </w:r>
      <w:r>
        <w:rPr>
          <w:rFonts w:ascii="Arial" w:hAnsi="Arial"/>
          <w:i/>
          <w:color w:val="231F20"/>
          <w:w w:val="70"/>
          <w:sz w:val="20"/>
        </w:rPr>
        <w:t>et al</w:t>
      </w:r>
      <w:r>
        <w:rPr>
          <w:rFonts w:ascii="Arial" w:hAnsi="Arial"/>
          <w:color w:val="231F20"/>
          <w:w w:val="70"/>
          <w:sz w:val="20"/>
        </w:rPr>
        <w:t>.</w:t>
      </w:r>
    </w:p>
    <w:p>
      <w:pPr>
        <w:pStyle w:val="BodyText"/>
        <w:rPr>
          <w:rFonts w:ascii="Arial"/>
          <w:sz w:val="20"/>
        </w:rPr>
      </w:pPr>
    </w:p>
    <w:p>
      <w:pPr>
        <w:spacing w:line="252" w:lineRule="auto" w:before="157"/>
        <w:ind w:left="397" w:right="117" w:firstLine="0"/>
        <w:jc w:val="left"/>
        <w:rPr>
          <w:sz w:val="19"/>
        </w:rPr>
      </w:pPr>
      <w:r>
        <w:rPr>
          <w:w w:val="105"/>
          <w:sz w:val="19"/>
        </w:rPr>
        <w:t>Cuadro 6. Evolución del número de ocupados españoles y latinoamericanos según nivel de instrucción. España, 2005 (continuación)</w:t>
      </w:r>
    </w:p>
    <w:p>
      <w:pPr>
        <w:pStyle w:val="BodyText"/>
        <w:spacing w:line="20" w:lineRule="exact"/>
        <w:ind w:left="320"/>
        <w:rPr>
          <w:sz w:val="2"/>
        </w:rPr>
      </w:pPr>
      <w:r>
        <w:rPr>
          <w:sz w:val="2"/>
        </w:rPr>
        <w:pict>
          <v:group style="width:315.9pt;height:.5pt;mso-position-horizontal-relative:char;mso-position-vertical-relative:line" coordorigin="0,0" coordsize="6318,10">
            <v:line style="position:absolute" from="5,5" to="1503,5" stroked="true" strokeweight=".48pt" strokecolor="#000000"/>
            <v:line style="position:absolute" from="1503,5" to="1512,5" stroked="true" strokeweight=".48pt" strokecolor="#000000"/>
            <v:line style="position:absolute" from="1512,5" to="2347,5" stroked="true" strokeweight=".48pt" strokecolor="#000000"/>
            <v:line style="position:absolute" from="2347,5" to="2357,5" stroked="true" strokeweight=".48pt" strokecolor="#000000"/>
            <v:line style="position:absolute" from="2357,5" to="4195,5" stroked="true" strokeweight=".48pt" strokecolor="#000000"/>
            <v:line style="position:absolute" from="4195,5" to="4205,5" stroked="true" strokeweight=".48pt" strokecolor="#000000"/>
            <v:line style="position:absolute" from="4205,5" to="6312,5" stroked="true" strokeweight=".48pt" strokecolor="#000000"/>
          </v:group>
        </w:pict>
      </w:r>
      <w:r>
        <w:rPr>
          <w:sz w:val="2"/>
        </w:rPr>
      </w:r>
    </w:p>
    <w:p>
      <w:pPr>
        <w:spacing w:before="0" w:after="37"/>
        <w:ind w:left="71" w:right="977" w:firstLine="0"/>
        <w:jc w:val="right"/>
        <w:rPr>
          <w:sz w:val="19"/>
        </w:rPr>
      </w:pPr>
      <w:r>
        <w:rPr>
          <w:sz w:val="19"/>
        </w:rPr>
        <w:t>2005</w:t>
      </w:r>
    </w:p>
    <w:tbl>
      <w:tblPr>
        <w:tblW w:w="0" w:type="auto"/>
        <w:jc w:val="left"/>
        <w:tblInd w:w="3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92"/>
        <w:gridCol w:w="828"/>
        <w:gridCol w:w="1892"/>
        <w:gridCol w:w="1115"/>
        <w:gridCol w:w="981"/>
      </w:tblGrid>
      <w:tr>
        <w:trPr>
          <w:trHeight w:val="243" w:hRule="exact"/>
        </w:trPr>
        <w:tc>
          <w:tcPr>
            <w:tcW w:w="1492" w:type="dxa"/>
            <w:tcBorders>
              <w:bottom w:val="double" w:sz="4" w:space="0" w:color="000000"/>
            </w:tcBorders>
          </w:tcPr>
          <w:p>
            <w:pPr>
              <w:pStyle w:val="TableParagraph"/>
              <w:spacing w:before="3"/>
              <w:ind w:left="72"/>
              <w:jc w:val="left"/>
              <w:rPr>
                <w:sz w:val="19"/>
              </w:rPr>
            </w:pPr>
            <w:r>
              <w:rPr>
                <w:w w:val="105"/>
                <w:sz w:val="19"/>
              </w:rPr>
              <w:t>Nacionalidad</w:t>
            </w:r>
          </w:p>
        </w:tc>
        <w:tc>
          <w:tcPr>
            <w:tcW w:w="828" w:type="dxa"/>
            <w:tcBorders>
              <w:bottom w:val="double" w:sz="4" w:space="0" w:color="000000"/>
            </w:tcBorders>
          </w:tcPr>
          <w:p>
            <w:pPr>
              <w:pStyle w:val="TableParagraph"/>
              <w:spacing w:before="3"/>
              <w:ind w:left="77"/>
              <w:jc w:val="left"/>
              <w:rPr>
                <w:sz w:val="19"/>
              </w:rPr>
            </w:pPr>
            <w:r>
              <w:rPr>
                <w:w w:val="105"/>
                <w:sz w:val="19"/>
              </w:rPr>
              <w:t>Sexo</w:t>
            </w:r>
          </w:p>
        </w:tc>
        <w:tc>
          <w:tcPr>
            <w:tcW w:w="1892" w:type="dxa"/>
            <w:tcBorders>
              <w:bottom w:val="double" w:sz="4" w:space="0" w:color="000000"/>
            </w:tcBorders>
          </w:tcPr>
          <w:p>
            <w:pPr>
              <w:pStyle w:val="TableParagraph"/>
              <w:spacing w:before="3"/>
              <w:ind w:left="94"/>
              <w:jc w:val="left"/>
              <w:rPr>
                <w:sz w:val="19"/>
              </w:rPr>
            </w:pPr>
            <w:r>
              <w:rPr>
                <w:w w:val="105"/>
                <w:sz w:val="19"/>
              </w:rPr>
              <w:t>Nivel educativo</w:t>
            </w:r>
          </w:p>
        </w:tc>
        <w:tc>
          <w:tcPr>
            <w:tcW w:w="1115" w:type="dxa"/>
            <w:tcBorders>
              <w:bottom w:val="double" w:sz="4" w:space="0" w:color="000000"/>
            </w:tcBorders>
          </w:tcPr>
          <w:p>
            <w:pPr>
              <w:pStyle w:val="TableParagraph"/>
              <w:spacing w:before="3"/>
              <w:ind w:right="68"/>
              <w:rPr>
                <w:sz w:val="19"/>
              </w:rPr>
            </w:pPr>
            <w:r>
              <w:rPr>
                <w:sz w:val="19"/>
              </w:rPr>
              <w:t>Ocupados</w:t>
            </w:r>
          </w:p>
        </w:tc>
        <w:tc>
          <w:tcPr>
            <w:tcW w:w="981" w:type="dxa"/>
            <w:tcBorders>
              <w:bottom w:val="double" w:sz="4" w:space="0" w:color="000000"/>
            </w:tcBorders>
          </w:tcPr>
          <w:p>
            <w:pPr>
              <w:pStyle w:val="TableParagraph"/>
              <w:spacing w:before="3"/>
              <w:ind w:right="65"/>
              <w:rPr>
                <w:sz w:val="19"/>
              </w:rPr>
            </w:pPr>
            <w:r>
              <w:rPr>
                <w:sz w:val="19"/>
              </w:rPr>
              <w:t>Porcentaje</w:t>
            </w:r>
          </w:p>
        </w:tc>
      </w:tr>
      <w:tr>
        <w:trPr>
          <w:trHeight w:val="360" w:hRule="exact"/>
        </w:trPr>
        <w:tc>
          <w:tcPr>
            <w:tcW w:w="1492" w:type="dxa"/>
            <w:tcBorders>
              <w:top w:val="double" w:sz="4" w:space="0" w:color="000000"/>
            </w:tcBorders>
          </w:tcPr>
          <w:p>
            <w:pPr>
              <w:pStyle w:val="TableParagraph"/>
              <w:spacing w:before="77"/>
              <w:ind w:left="72"/>
              <w:jc w:val="left"/>
              <w:rPr>
                <w:sz w:val="19"/>
              </w:rPr>
            </w:pPr>
            <w:r>
              <w:rPr>
                <w:w w:val="105"/>
                <w:sz w:val="19"/>
              </w:rPr>
              <w:t>Española</w:t>
            </w:r>
          </w:p>
        </w:tc>
        <w:tc>
          <w:tcPr>
            <w:tcW w:w="828" w:type="dxa"/>
            <w:tcBorders>
              <w:top w:val="double" w:sz="4" w:space="0" w:color="000000"/>
            </w:tcBorders>
          </w:tcPr>
          <w:p>
            <w:pPr>
              <w:pStyle w:val="TableParagraph"/>
              <w:spacing w:before="77"/>
              <w:ind w:left="77"/>
              <w:jc w:val="left"/>
              <w:rPr>
                <w:sz w:val="19"/>
              </w:rPr>
            </w:pPr>
            <w:r>
              <w:rPr>
                <w:w w:val="105"/>
                <w:sz w:val="19"/>
              </w:rPr>
              <w:t>Hombre</w:t>
            </w:r>
          </w:p>
        </w:tc>
        <w:tc>
          <w:tcPr>
            <w:tcW w:w="1892" w:type="dxa"/>
            <w:tcBorders>
              <w:top w:val="double" w:sz="4" w:space="0" w:color="000000"/>
            </w:tcBorders>
          </w:tcPr>
          <w:p>
            <w:pPr>
              <w:pStyle w:val="TableParagraph"/>
              <w:spacing w:before="77"/>
              <w:ind w:left="94"/>
              <w:jc w:val="left"/>
              <w:rPr>
                <w:sz w:val="19"/>
              </w:rPr>
            </w:pPr>
            <w:r>
              <w:rPr>
                <w:w w:val="105"/>
                <w:sz w:val="19"/>
              </w:rPr>
              <w:t>Inferior a secundaria</w:t>
            </w:r>
          </w:p>
        </w:tc>
        <w:tc>
          <w:tcPr>
            <w:tcW w:w="1115" w:type="dxa"/>
            <w:tcBorders>
              <w:top w:val="double" w:sz="4" w:space="0" w:color="000000"/>
            </w:tcBorders>
          </w:tcPr>
          <w:p>
            <w:pPr>
              <w:pStyle w:val="TableParagraph"/>
              <w:spacing w:before="77"/>
              <w:ind w:right="69"/>
              <w:rPr>
                <w:sz w:val="19"/>
              </w:rPr>
            </w:pPr>
            <w:r>
              <w:rPr>
                <w:w w:val="105"/>
                <w:sz w:val="19"/>
              </w:rPr>
              <w:t>2 280 318</w:t>
            </w:r>
          </w:p>
        </w:tc>
        <w:tc>
          <w:tcPr>
            <w:tcW w:w="981" w:type="dxa"/>
            <w:tcBorders>
              <w:top w:val="double" w:sz="4" w:space="0" w:color="000000"/>
            </w:tcBorders>
          </w:tcPr>
          <w:p>
            <w:pPr>
              <w:pStyle w:val="TableParagraph"/>
              <w:spacing w:before="77"/>
              <w:ind w:right="65"/>
              <w:rPr>
                <w:sz w:val="19"/>
              </w:rPr>
            </w:pPr>
            <w:r>
              <w:rPr>
                <w:sz w:val="19"/>
              </w:rPr>
              <w:t>22.4</w:t>
            </w:r>
          </w:p>
        </w:tc>
      </w:tr>
      <w:tr>
        <w:trPr>
          <w:trHeight w:val="300" w:hRule="exact"/>
        </w:trPr>
        <w:tc>
          <w:tcPr>
            <w:tcW w:w="1492" w:type="dxa"/>
          </w:tcPr>
          <w:p>
            <w:pPr/>
          </w:p>
        </w:tc>
        <w:tc>
          <w:tcPr>
            <w:tcW w:w="828" w:type="dxa"/>
          </w:tcPr>
          <w:p>
            <w:pPr/>
          </w:p>
        </w:tc>
        <w:tc>
          <w:tcPr>
            <w:tcW w:w="1892" w:type="dxa"/>
          </w:tcPr>
          <w:p>
            <w:pPr>
              <w:pStyle w:val="TableParagraph"/>
              <w:spacing w:before="33"/>
              <w:ind w:left="94"/>
              <w:jc w:val="left"/>
              <w:rPr>
                <w:sz w:val="19"/>
              </w:rPr>
            </w:pPr>
            <w:r>
              <w:rPr>
                <w:w w:val="105"/>
                <w:sz w:val="19"/>
              </w:rPr>
              <w:t>Secundaria</w:t>
            </w:r>
          </w:p>
        </w:tc>
        <w:tc>
          <w:tcPr>
            <w:tcW w:w="1115" w:type="dxa"/>
          </w:tcPr>
          <w:p>
            <w:pPr>
              <w:pStyle w:val="TableParagraph"/>
              <w:spacing w:before="33"/>
              <w:ind w:right="69"/>
              <w:rPr>
                <w:sz w:val="19"/>
              </w:rPr>
            </w:pPr>
            <w:r>
              <w:rPr>
                <w:w w:val="105"/>
                <w:sz w:val="19"/>
              </w:rPr>
              <w:t>4 948 013</w:t>
            </w:r>
          </w:p>
        </w:tc>
        <w:tc>
          <w:tcPr>
            <w:tcW w:w="981" w:type="dxa"/>
          </w:tcPr>
          <w:p>
            <w:pPr>
              <w:pStyle w:val="TableParagraph"/>
              <w:spacing w:before="33"/>
              <w:ind w:right="65"/>
              <w:rPr>
                <w:sz w:val="19"/>
              </w:rPr>
            </w:pPr>
            <w:r>
              <w:rPr>
                <w:sz w:val="19"/>
              </w:rPr>
              <w:t>48.7</w:t>
            </w:r>
          </w:p>
        </w:tc>
      </w:tr>
      <w:tr>
        <w:trPr>
          <w:trHeight w:val="307" w:hRule="exact"/>
        </w:trPr>
        <w:tc>
          <w:tcPr>
            <w:tcW w:w="1492" w:type="dxa"/>
          </w:tcPr>
          <w:p>
            <w:pPr/>
          </w:p>
        </w:tc>
        <w:tc>
          <w:tcPr>
            <w:tcW w:w="828" w:type="dxa"/>
          </w:tcPr>
          <w:p>
            <w:pPr/>
          </w:p>
        </w:tc>
        <w:tc>
          <w:tcPr>
            <w:tcW w:w="1892" w:type="dxa"/>
          </w:tcPr>
          <w:p>
            <w:pPr>
              <w:pStyle w:val="TableParagraph"/>
              <w:spacing w:before="31"/>
              <w:ind w:left="94"/>
              <w:jc w:val="left"/>
              <w:rPr>
                <w:sz w:val="19"/>
              </w:rPr>
            </w:pPr>
            <w:r>
              <w:rPr>
                <w:w w:val="105"/>
                <w:sz w:val="19"/>
              </w:rPr>
              <w:t>Universitaria</w:t>
            </w:r>
          </w:p>
        </w:tc>
        <w:tc>
          <w:tcPr>
            <w:tcW w:w="1115" w:type="dxa"/>
          </w:tcPr>
          <w:p>
            <w:pPr>
              <w:pStyle w:val="TableParagraph"/>
              <w:spacing w:before="31"/>
              <w:ind w:right="69"/>
              <w:rPr>
                <w:sz w:val="19"/>
              </w:rPr>
            </w:pPr>
            <w:r>
              <w:rPr>
                <w:w w:val="105"/>
                <w:sz w:val="19"/>
              </w:rPr>
              <w:t>2 940 902</w:t>
            </w:r>
          </w:p>
        </w:tc>
        <w:tc>
          <w:tcPr>
            <w:tcW w:w="981" w:type="dxa"/>
          </w:tcPr>
          <w:p>
            <w:pPr>
              <w:pStyle w:val="TableParagraph"/>
              <w:spacing w:before="31"/>
              <w:ind w:right="65"/>
              <w:rPr>
                <w:sz w:val="19"/>
              </w:rPr>
            </w:pPr>
            <w:r>
              <w:rPr>
                <w:sz w:val="19"/>
              </w:rPr>
              <w:t>28.9</w:t>
            </w:r>
          </w:p>
        </w:tc>
      </w:tr>
      <w:tr>
        <w:trPr>
          <w:trHeight w:val="307" w:hRule="exact"/>
        </w:trPr>
        <w:tc>
          <w:tcPr>
            <w:tcW w:w="1492" w:type="dxa"/>
          </w:tcPr>
          <w:p>
            <w:pPr/>
          </w:p>
        </w:tc>
        <w:tc>
          <w:tcPr>
            <w:tcW w:w="828" w:type="dxa"/>
          </w:tcPr>
          <w:p>
            <w:pPr/>
          </w:p>
        </w:tc>
        <w:tc>
          <w:tcPr>
            <w:tcW w:w="1892" w:type="dxa"/>
          </w:tcPr>
          <w:p>
            <w:pPr>
              <w:pStyle w:val="TableParagraph"/>
              <w:spacing w:before="41"/>
              <w:ind w:left="95"/>
              <w:jc w:val="left"/>
              <w:rPr>
                <w:sz w:val="19"/>
              </w:rPr>
            </w:pPr>
            <w:r>
              <w:rPr>
                <w:w w:val="105"/>
                <w:sz w:val="19"/>
              </w:rPr>
              <w:t>Total</w:t>
            </w:r>
          </w:p>
        </w:tc>
        <w:tc>
          <w:tcPr>
            <w:tcW w:w="1115" w:type="dxa"/>
          </w:tcPr>
          <w:p>
            <w:pPr>
              <w:pStyle w:val="TableParagraph"/>
              <w:spacing w:before="41"/>
              <w:ind w:right="69"/>
              <w:rPr>
                <w:sz w:val="19"/>
              </w:rPr>
            </w:pPr>
            <w:r>
              <w:rPr>
                <w:w w:val="105"/>
                <w:sz w:val="19"/>
              </w:rPr>
              <w:t>10 169 233</w:t>
            </w:r>
          </w:p>
        </w:tc>
        <w:tc>
          <w:tcPr>
            <w:tcW w:w="981" w:type="dxa"/>
          </w:tcPr>
          <w:p>
            <w:pPr>
              <w:pStyle w:val="TableParagraph"/>
              <w:spacing w:before="41"/>
              <w:ind w:right="65"/>
              <w:rPr>
                <w:sz w:val="19"/>
              </w:rPr>
            </w:pPr>
            <w:r>
              <w:rPr>
                <w:sz w:val="19"/>
              </w:rPr>
              <w:t>100.0</w:t>
            </w:r>
          </w:p>
        </w:tc>
      </w:tr>
      <w:tr>
        <w:trPr>
          <w:trHeight w:val="300" w:hRule="exact"/>
        </w:trPr>
        <w:tc>
          <w:tcPr>
            <w:tcW w:w="1492" w:type="dxa"/>
          </w:tcPr>
          <w:p>
            <w:pPr/>
          </w:p>
        </w:tc>
        <w:tc>
          <w:tcPr>
            <w:tcW w:w="828" w:type="dxa"/>
          </w:tcPr>
          <w:p>
            <w:pPr>
              <w:pStyle w:val="TableParagraph"/>
              <w:spacing w:before="31"/>
              <w:ind w:left="77"/>
              <w:jc w:val="left"/>
              <w:rPr>
                <w:sz w:val="19"/>
              </w:rPr>
            </w:pPr>
            <w:r>
              <w:rPr>
                <w:w w:val="105"/>
                <w:sz w:val="19"/>
              </w:rPr>
              <w:t>Mujer</w:t>
            </w:r>
          </w:p>
        </w:tc>
        <w:tc>
          <w:tcPr>
            <w:tcW w:w="1892" w:type="dxa"/>
          </w:tcPr>
          <w:p>
            <w:pPr>
              <w:pStyle w:val="TableParagraph"/>
              <w:spacing w:before="31"/>
              <w:ind w:left="95"/>
              <w:jc w:val="left"/>
              <w:rPr>
                <w:sz w:val="19"/>
              </w:rPr>
            </w:pPr>
            <w:r>
              <w:rPr>
                <w:w w:val="105"/>
                <w:sz w:val="19"/>
              </w:rPr>
              <w:t>Inferior a secundaria</w:t>
            </w:r>
          </w:p>
        </w:tc>
        <w:tc>
          <w:tcPr>
            <w:tcW w:w="1115" w:type="dxa"/>
          </w:tcPr>
          <w:p>
            <w:pPr>
              <w:pStyle w:val="TableParagraph"/>
              <w:spacing w:before="31"/>
              <w:ind w:right="69"/>
              <w:rPr>
                <w:sz w:val="19"/>
              </w:rPr>
            </w:pPr>
            <w:r>
              <w:rPr>
                <w:w w:val="105"/>
                <w:sz w:val="19"/>
              </w:rPr>
              <w:t>1 028 895</w:t>
            </w:r>
          </w:p>
        </w:tc>
        <w:tc>
          <w:tcPr>
            <w:tcW w:w="981" w:type="dxa"/>
          </w:tcPr>
          <w:p>
            <w:pPr>
              <w:pStyle w:val="TableParagraph"/>
              <w:spacing w:before="31"/>
              <w:ind w:right="65"/>
              <w:rPr>
                <w:sz w:val="19"/>
              </w:rPr>
            </w:pPr>
            <w:r>
              <w:rPr>
                <w:sz w:val="19"/>
              </w:rPr>
              <w:t>15.4</w:t>
            </w:r>
          </w:p>
        </w:tc>
      </w:tr>
      <w:tr>
        <w:trPr>
          <w:trHeight w:val="300" w:hRule="exact"/>
        </w:trPr>
        <w:tc>
          <w:tcPr>
            <w:tcW w:w="1492" w:type="dxa"/>
          </w:tcPr>
          <w:p>
            <w:pPr/>
          </w:p>
        </w:tc>
        <w:tc>
          <w:tcPr>
            <w:tcW w:w="828" w:type="dxa"/>
          </w:tcPr>
          <w:p>
            <w:pPr/>
          </w:p>
        </w:tc>
        <w:tc>
          <w:tcPr>
            <w:tcW w:w="1892" w:type="dxa"/>
          </w:tcPr>
          <w:p>
            <w:pPr>
              <w:pStyle w:val="TableParagraph"/>
              <w:spacing w:before="34"/>
              <w:ind w:left="95"/>
              <w:jc w:val="left"/>
              <w:rPr>
                <w:sz w:val="19"/>
              </w:rPr>
            </w:pPr>
            <w:r>
              <w:rPr>
                <w:w w:val="105"/>
                <w:sz w:val="19"/>
              </w:rPr>
              <w:t>Secundaria</w:t>
            </w:r>
          </w:p>
        </w:tc>
        <w:tc>
          <w:tcPr>
            <w:tcW w:w="1115" w:type="dxa"/>
          </w:tcPr>
          <w:p>
            <w:pPr>
              <w:pStyle w:val="TableParagraph"/>
              <w:spacing w:before="34"/>
              <w:ind w:right="69"/>
              <w:rPr>
                <w:sz w:val="19"/>
              </w:rPr>
            </w:pPr>
            <w:r>
              <w:rPr>
                <w:w w:val="105"/>
                <w:sz w:val="19"/>
              </w:rPr>
              <w:t>3 005 100</w:t>
            </w:r>
          </w:p>
        </w:tc>
        <w:tc>
          <w:tcPr>
            <w:tcW w:w="981" w:type="dxa"/>
          </w:tcPr>
          <w:p>
            <w:pPr>
              <w:pStyle w:val="TableParagraph"/>
              <w:spacing w:before="34"/>
              <w:ind w:right="65"/>
              <w:rPr>
                <w:sz w:val="19"/>
              </w:rPr>
            </w:pPr>
            <w:r>
              <w:rPr>
                <w:sz w:val="19"/>
              </w:rPr>
              <w:t>45.0</w:t>
            </w:r>
          </w:p>
        </w:tc>
      </w:tr>
      <w:tr>
        <w:trPr>
          <w:trHeight w:val="307" w:hRule="exact"/>
        </w:trPr>
        <w:tc>
          <w:tcPr>
            <w:tcW w:w="1492" w:type="dxa"/>
          </w:tcPr>
          <w:p>
            <w:pPr/>
          </w:p>
        </w:tc>
        <w:tc>
          <w:tcPr>
            <w:tcW w:w="828" w:type="dxa"/>
          </w:tcPr>
          <w:p>
            <w:pPr/>
          </w:p>
        </w:tc>
        <w:tc>
          <w:tcPr>
            <w:tcW w:w="1892" w:type="dxa"/>
          </w:tcPr>
          <w:p>
            <w:pPr>
              <w:pStyle w:val="TableParagraph"/>
              <w:spacing w:before="31"/>
              <w:ind w:left="95"/>
              <w:jc w:val="left"/>
              <w:rPr>
                <w:sz w:val="19"/>
              </w:rPr>
            </w:pPr>
            <w:r>
              <w:rPr>
                <w:w w:val="105"/>
                <w:sz w:val="19"/>
              </w:rPr>
              <w:t>Universitaria</w:t>
            </w:r>
          </w:p>
        </w:tc>
        <w:tc>
          <w:tcPr>
            <w:tcW w:w="1115" w:type="dxa"/>
          </w:tcPr>
          <w:p>
            <w:pPr>
              <w:pStyle w:val="TableParagraph"/>
              <w:spacing w:before="31"/>
              <w:ind w:right="69"/>
              <w:rPr>
                <w:sz w:val="19"/>
              </w:rPr>
            </w:pPr>
            <w:r>
              <w:rPr>
                <w:w w:val="105"/>
                <w:sz w:val="19"/>
              </w:rPr>
              <w:t>2 647 914</w:t>
            </w:r>
          </w:p>
        </w:tc>
        <w:tc>
          <w:tcPr>
            <w:tcW w:w="981" w:type="dxa"/>
          </w:tcPr>
          <w:p>
            <w:pPr>
              <w:pStyle w:val="TableParagraph"/>
              <w:spacing w:before="31"/>
              <w:ind w:right="65"/>
              <w:rPr>
                <w:sz w:val="19"/>
              </w:rPr>
            </w:pPr>
            <w:r>
              <w:rPr>
                <w:sz w:val="19"/>
              </w:rPr>
              <w:t>39.6</w:t>
            </w:r>
          </w:p>
        </w:tc>
      </w:tr>
      <w:tr>
        <w:trPr>
          <w:trHeight w:val="307" w:hRule="exact"/>
        </w:trPr>
        <w:tc>
          <w:tcPr>
            <w:tcW w:w="1492" w:type="dxa"/>
          </w:tcPr>
          <w:p>
            <w:pPr/>
          </w:p>
        </w:tc>
        <w:tc>
          <w:tcPr>
            <w:tcW w:w="828" w:type="dxa"/>
          </w:tcPr>
          <w:p>
            <w:pPr/>
          </w:p>
        </w:tc>
        <w:tc>
          <w:tcPr>
            <w:tcW w:w="1892" w:type="dxa"/>
          </w:tcPr>
          <w:p>
            <w:pPr>
              <w:pStyle w:val="TableParagraph"/>
              <w:spacing w:before="41"/>
              <w:ind w:left="95"/>
              <w:jc w:val="left"/>
              <w:rPr>
                <w:sz w:val="19"/>
              </w:rPr>
            </w:pPr>
            <w:r>
              <w:rPr>
                <w:w w:val="105"/>
                <w:sz w:val="19"/>
              </w:rPr>
              <w:t>Total</w:t>
            </w:r>
          </w:p>
        </w:tc>
        <w:tc>
          <w:tcPr>
            <w:tcW w:w="1115" w:type="dxa"/>
          </w:tcPr>
          <w:p>
            <w:pPr>
              <w:pStyle w:val="TableParagraph"/>
              <w:spacing w:before="41"/>
              <w:ind w:right="69"/>
              <w:rPr>
                <w:sz w:val="19"/>
              </w:rPr>
            </w:pPr>
            <w:r>
              <w:rPr>
                <w:w w:val="105"/>
                <w:sz w:val="19"/>
              </w:rPr>
              <w:t>6 681 909</w:t>
            </w:r>
          </w:p>
        </w:tc>
        <w:tc>
          <w:tcPr>
            <w:tcW w:w="981" w:type="dxa"/>
          </w:tcPr>
          <w:p>
            <w:pPr>
              <w:pStyle w:val="TableParagraph"/>
              <w:spacing w:before="41"/>
              <w:ind w:right="65"/>
              <w:rPr>
                <w:sz w:val="19"/>
              </w:rPr>
            </w:pPr>
            <w:r>
              <w:rPr>
                <w:sz w:val="19"/>
              </w:rPr>
              <w:t>100.0</w:t>
            </w:r>
          </w:p>
        </w:tc>
      </w:tr>
      <w:tr>
        <w:trPr>
          <w:trHeight w:val="300" w:hRule="exact"/>
        </w:trPr>
        <w:tc>
          <w:tcPr>
            <w:tcW w:w="1492" w:type="dxa"/>
          </w:tcPr>
          <w:p>
            <w:pPr/>
          </w:p>
        </w:tc>
        <w:tc>
          <w:tcPr>
            <w:tcW w:w="828" w:type="dxa"/>
          </w:tcPr>
          <w:p>
            <w:pPr>
              <w:pStyle w:val="TableParagraph"/>
              <w:spacing w:before="31"/>
              <w:ind w:left="77"/>
              <w:jc w:val="left"/>
              <w:rPr>
                <w:sz w:val="19"/>
              </w:rPr>
            </w:pPr>
            <w:r>
              <w:rPr>
                <w:w w:val="105"/>
                <w:sz w:val="19"/>
              </w:rPr>
              <w:t>Total</w:t>
            </w:r>
          </w:p>
        </w:tc>
        <w:tc>
          <w:tcPr>
            <w:tcW w:w="1892" w:type="dxa"/>
          </w:tcPr>
          <w:p>
            <w:pPr>
              <w:pStyle w:val="TableParagraph"/>
              <w:spacing w:before="31"/>
              <w:ind w:left="94"/>
              <w:jc w:val="left"/>
              <w:rPr>
                <w:sz w:val="19"/>
              </w:rPr>
            </w:pPr>
            <w:r>
              <w:rPr>
                <w:w w:val="105"/>
                <w:sz w:val="19"/>
              </w:rPr>
              <w:t>Inferior a secundaria</w:t>
            </w:r>
          </w:p>
        </w:tc>
        <w:tc>
          <w:tcPr>
            <w:tcW w:w="1115" w:type="dxa"/>
          </w:tcPr>
          <w:p>
            <w:pPr>
              <w:pStyle w:val="TableParagraph"/>
              <w:spacing w:before="31"/>
              <w:ind w:right="69"/>
              <w:rPr>
                <w:sz w:val="19"/>
              </w:rPr>
            </w:pPr>
            <w:r>
              <w:rPr>
                <w:w w:val="105"/>
                <w:sz w:val="19"/>
              </w:rPr>
              <w:t>3 309 213</w:t>
            </w:r>
          </w:p>
        </w:tc>
        <w:tc>
          <w:tcPr>
            <w:tcW w:w="981" w:type="dxa"/>
          </w:tcPr>
          <w:p>
            <w:pPr>
              <w:pStyle w:val="TableParagraph"/>
              <w:spacing w:before="31"/>
              <w:ind w:right="65"/>
              <w:rPr>
                <w:sz w:val="19"/>
              </w:rPr>
            </w:pPr>
            <w:r>
              <w:rPr>
                <w:sz w:val="19"/>
              </w:rPr>
              <w:t>19.6</w:t>
            </w:r>
          </w:p>
        </w:tc>
      </w:tr>
      <w:tr>
        <w:trPr>
          <w:trHeight w:val="300" w:hRule="exact"/>
        </w:trPr>
        <w:tc>
          <w:tcPr>
            <w:tcW w:w="1492" w:type="dxa"/>
          </w:tcPr>
          <w:p>
            <w:pPr/>
          </w:p>
        </w:tc>
        <w:tc>
          <w:tcPr>
            <w:tcW w:w="828" w:type="dxa"/>
          </w:tcPr>
          <w:p>
            <w:pPr/>
          </w:p>
        </w:tc>
        <w:tc>
          <w:tcPr>
            <w:tcW w:w="1892" w:type="dxa"/>
          </w:tcPr>
          <w:p>
            <w:pPr>
              <w:pStyle w:val="TableParagraph"/>
              <w:spacing w:before="33"/>
              <w:ind w:left="95"/>
              <w:jc w:val="left"/>
              <w:rPr>
                <w:sz w:val="19"/>
              </w:rPr>
            </w:pPr>
            <w:r>
              <w:rPr>
                <w:w w:val="105"/>
                <w:sz w:val="19"/>
              </w:rPr>
              <w:t>Secundaria</w:t>
            </w:r>
          </w:p>
        </w:tc>
        <w:tc>
          <w:tcPr>
            <w:tcW w:w="1115" w:type="dxa"/>
          </w:tcPr>
          <w:p>
            <w:pPr>
              <w:pStyle w:val="TableParagraph"/>
              <w:spacing w:before="33"/>
              <w:ind w:right="69"/>
              <w:rPr>
                <w:sz w:val="19"/>
              </w:rPr>
            </w:pPr>
            <w:r>
              <w:rPr>
                <w:w w:val="105"/>
                <w:sz w:val="19"/>
              </w:rPr>
              <w:t>7 953 103</w:t>
            </w:r>
          </w:p>
        </w:tc>
        <w:tc>
          <w:tcPr>
            <w:tcW w:w="981" w:type="dxa"/>
          </w:tcPr>
          <w:p>
            <w:pPr>
              <w:pStyle w:val="TableParagraph"/>
              <w:spacing w:before="33"/>
              <w:ind w:right="65"/>
              <w:rPr>
                <w:sz w:val="19"/>
              </w:rPr>
            </w:pPr>
            <w:r>
              <w:rPr>
                <w:sz w:val="19"/>
              </w:rPr>
              <w:t>47.2</w:t>
            </w:r>
          </w:p>
        </w:tc>
      </w:tr>
      <w:tr>
        <w:trPr>
          <w:trHeight w:val="307" w:hRule="exact"/>
        </w:trPr>
        <w:tc>
          <w:tcPr>
            <w:tcW w:w="1492" w:type="dxa"/>
          </w:tcPr>
          <w:p>
            <w:pPr/>
          </w:p>
        </w:tc>
        <w:tc>
          <w:tcPr>
            <w:tcW w:w="828" w:type="dxa"/>
          </w:tcPr>
          <w:p>
            <w:pPr/>
          </w:p>
        </w:tc>
        <w:tc>
          <w:tcPr>
            <w:tcW w:w="1892" w:type="dxa"/>
          </w:tcPr>
          <w:p>
            <w:pPr>
              <w:pStyle w:val="TableParagraph"/>
              <w:spacing w:before="31"/>
              <w:ind w:left="94"/>
              <w:jc w:val="left"/>
              <w:rPr>
                <w:sz w:val="19"/>
              </w:rPr>
            </w:pPr>
            <w:r>
              <w:rPr>
                <w:w w:val="105"/>
                <w:sz w:val="19"/>
              </w:rPr>
              <w:t>Universitaria</w:t>
            </w:r>
          </w:p>
        </w:tc>
        <w:tc>
          <w:tcPr>
            <w:tcW w:w="1115" w:type="dxa"/>
          </w:tcPr>
          <w:p>
            <w:pPr>
              <w:pStyle w:val="TableParagraph"/>
              <w:spacing w:before="31"/>
              <w:ind w:right="69"/>
              <w:rPr>
                <w:sz w:val="19"/>
              </w:rPr>
            </w:pPr>
            <w:r>
              <w:rPr>
                <w:w w:val="105"/>
                <w:sz w:val="19"/>
              </w:rPr>
              <w:t>5 588 816</w:t>
            </w:r>
          </w:p>
        </w:tc>
        <w:tc>
          <w:tcPr>
            <w:tcW w:w="981" w:type="dxa"/>
          </w:tcPr>
          <w:p>
            <w:pPr>
              <w:pStyle w:val="TableParagraph"/>
              <w:spacing w:before="31"/>
              <w:ind w:right="65"/>
              <w:rPr>
                <w:sz w:val="19"/>
              </w:rPr>
            </w:pPr>
            <w:r>
              <w:rPr>
                <w:sz w:val="19"/>
              </w:rPr>
              <w:t>33.2</w:t>
            </w:r>
          </w:p>
        </w:tc>
      </w:tr>
      <w:tr>
        <w:trPr>
          <w:trHeight w:val="307" w:hRule="exact"/>
        </w:trPr>
        <w:tc>
          <w:tcPr>
            <w:tcW w:w="1492" w:type="dxa"/>
          </w:tcPr>
          <w:p>
            <w:pPr/>
          </w:p>
        </w:tc>
        <w:tc>
          <w:tcPr>
            <w:tcW w:w="828" w:type="dxa"/>
          </w:tcPr>
          <w:p>
            <w:pPr/>
          </w:p>
        </w:tc>
        <w:tc>
          <w:tcPr>
            <w:tcW w:w="1892" w:type="dxa"/>
          </w:tcPr>
          <w:p>
            <w:pPr>
              <w:pStyle w:val="TableParagraph"/>
              <w:spacing w:before="41"/>
              <w:ind w:left="94"/>
              <w:jc w:val="left"/>
              <w:rPr>
                <w:sz w:val="19"/>
              </w:rPr>
            </w:pPr>
            <w:r>
              <w:rPr>
                <w:w w:val="105"/>
                <w:sz w:val="19"/>
              </w:rPr>
              <w:t>Total</w:t>
            </w:r>
          </w:p>
        </w:tc>
        <w:tc>
          <w:tcPr>
            <w:tcW w:w="1115" w:type="dxa"/>
          </w:tcPr>
          <w:p>
            <w:pPr>
              <w:pStyle w:val="TableParagraph"/>
              <w:spacing w:before="41"/>
              <w:ind w:right="69"/>
              <w:rPr>
                <w:sz w:val="19"/>
              </w:rPr>
            </w:pPr>
            <w:r>
              <w:rPr>
                <w:w w:val="105"/>
                <w:sz w:val="19"/>
              </w:rPr>
              <w:t>16 851 142</w:t>
            </w:r>
          </w:p>
        </w:tc>
        <w:tc>
          <w:tcPr>
            <w:tcW w:w="981" w:type="dxa"/>
          </w:tcPr>
          <w:p>
            <w:pPr>
              <w:pStyle w:val="TableParagraph"/>
              <w:spacing w:before="41"/>
              <w:ind w:right="65"/>
              <w:rPr>
                <w:sz w:val="19"/>
              </w:rPr>
            </w:pPr>
            <w:r>
              <w:rPr>
                <w:sz w:val="19"/>
              </w:rPr>
              <w:t>100.0</w:t>
            </w:r>
          </w:p>
        </w:tc>
      </w:tr>
      <w:tr>
        <w:trPr>
          <w:trHeight w:val="300" w:hRule="exact"/>
        </w:trPr>
        <w:tc>
          <w:tcPr>
            <w:tcW w:w="1492" w:type="dxa"/>
          </w:tcPr>
          <w:p>
            <w:pPr>
              <w:pStyle w:val="TableParagraph"/>
              <w:spacing w:before="31"/>
              <w:ind w:left="72"/>
              <w:jc w:val="left"/>
              <w:rPr>
                <w:sz w:val="19"/>
              </w:rPr>
            </w:pPr>
            <w:r>
              <w:rPr>
                <w:w w:val="105"/>
                <w:sz w:val="19"/>
              </w:rPr>
              <w:t>Latinoamericana</w:t>
            </w:r>
          </w:p>
        </w:tc>
        <w:tc>
          <w:tcPr>
            <w:tcW w:w="828" w:type="dxa"/>
          </w:tcPr>
          <w:p>
            <w:pPr>
              <w:pStyle w:val="TableParagraph"/>
              <w:spacing w:before="31"/>
              <w:ind w:left="77"/>
              <w:jc w:val="left"/>
              <w:rPr>
                <w:sz w:val="19"/>
              </w:rPr>
            </w:pPr>
            <w:r>
              <w:rPr>
                <w:w w:val="105"/>
                <w:sz w:val="19"/>
              </w:rPr>
              <w:t>Hombre</w:t>
            </w:r>
          </w:p>
        </w:tc>
        <w:tc>
          <w:tcPr>
            <w:tcW w:w="1892" w:type="dxa"/>
          </w:tcPr>
          <w:p>
            <w:pPr>
              <w:pStyle w:val="TableParagraph"/>
              <w:spacing w:before="31"/>
              <w:ind w:left="94"/>
              <w:jc w:val="left"/>
              <w:rPr>
                <w:sz w:val="19"/>
              </w:rPr>
            </w:pPr>
            <w:r>
              <w:rPr>
                <w:w w:val="105"/>
                <w:sz w:val="19"/>
              </w:rPr>
              <w:t>Inferior a secundaria</w:t>
            </w:r>
          </w:p>
        </w:tc>
        <w:tc>
          <w:tcPr>
            <w:tcW w:w="1115" w:type="dxa"/>
          </w:tcPr>
          <w:p>
            <w:pPr>
              <w:pStyle w:val="TableParagraph"/>
              <w:spacing w:before="31"/>
              <w:ind w:right="69"/>
              <w:rPr>
                <w:sz w:val="19"/>
              </w:rPr>
            </w:pPr>
            <w:r>
              <w:rPr>
                <w:w w:val="105"/>
                <w:sz w:val="19"/>
              </w:rPr>
              <w:t>98 635</w:t>
            </w:r>
          </w:p>
        </w:tc>
        <w:tc>
          <w:tcPr>
            <w:tcW w:w="981" w:type="dxa"/>
          </w:tcPr>
          <w:p>
            <w:pPr>
              <w:pStyle w:val="TableParagraph"/>
              <w:spacing w:before="31"/>
              <w:ind w:right="65"/>
              <w:rPr>
                <w:sz w:val="19"/>
              </w:rPr>
            </w:pPr>
            <w:r>
              <w:rPr>
                <w:sz w:val="19"/>
              </w:rPr>
              <w:t>18.3</w:t>
            </w:r>
          </w:p>
        </w:tc>
      </w:tr>
      <w:tr>
        <w:trPr>
          <w:trHeight w:val="300" w:hRule="exact"/>
        </w:trPr>
        <w:tc>
          <w:tcPr>
            <w:tcW w:w="1492" w:type="dxa"/>
          </w:tcPr>
          <w:p>
            <w:pPr/>
          </w:p>
        </w:tc>
        <w:tc>
          <w:tcPr>
            <w:tcW w:w="828" w:type="dxa"/>
          </w:tcPr>
          <w:p>
            <w:pPr/>
          </w:p>
        </w:tc>
        <w:tc>
          <w:tcPr>
            <w:tcW w:w="1892" w:type="dxa"/>
          </w:tcPr>
          <w:p>
            <w:pPr>
              <w:pStyle w:val="TableParagraph"/>
              <w:spacing w:before="33"/>
              <w:ind w:left="94"/>
              <w:jc w:val="left"/>
              <w:rPr>
                <w:sz w:val="19"/>
              </w:rPr>
            </w:pPr>
            <w:r>
              <w:rPr>
                <w:w w:val="105"/>
                <w:sz w:val="19"/>
              </w:rPr>
              <w:t>Secundaria</w:t>
            </w:r>
          </w:p>
        </w:tc>
        <w:tc>
          <w:tcPr>
            <w:tcW w:w="1115" w:type="dxa"/>
          </w:tcPr>
          <w:p>
            <w:pPr>
              <w:pStyle w:val="TableParagraph"/>
              <w:spacing w:before="33"/>
              <w:ind w:right="69"/>
              <w:rPr>
                <w:sz w:val="19"/>
              </w:rPr>
            </w:pPr>
            <w:r>
              <w:rPr>
                <w:w w:val="105"/>
                <w:sz w:val="19"/>
              </w:rPr>
              <w:t>334 510</w:t>
            </w:r>
          </w:p>
        </w:tc>
        <w:tc>
          <w:tcPr>
            <w:tcW w:w="981" w:type="dxa"/>
          </w:tcPr>
          <w:p>
            <w:pPr>
              <w:pStyle w:val="TableParagraph"/>
              <w:spacing w:before="33"/>
              <w:ind w:right="65"/>
              <w:rPr>
                <w:sz w:val="19"/>
              </w:rPr>
            </w:pPr>
            <w:r>
              <w:rPr>
                <w:sz w:val="19"/>
              </w:rPr>
              <w:t>62.1</w:t>
            </w:r>
          </w:p>
        </w:tc>
      </w:tr>
      <w:tr>
        <w:trPr>
          <w:trHeight w:val="307" w:hRule="exact"/>
        </w:trPr>
        <w:tc>
          <w:tcPr>
            <w:tcW w:w="1492" w:type="dxa"/>
          </w:tcPr>
          <w:p>
            <w:pPr/>
          </w:p>
        </w:tc>
        <w:tc>
          <w:tcPr>
            <w:tcW w:w="828" w:type="dxa"/>
          </w:tcPr>
          <w:p>
            <w:pPr/>
          </w:p>
        </w:tc>
        <w:tc>
          <w:tcPr>
            <w:tcW w:w="1892" w:type="dxa"/>
          </w:tcPr>
          <w:p>
            <w:pPr>
              <w:pStyle w:val="TableParagraph"/>
              <w:spacing w:before="31"/>
              <w:ind w:left="94"/>
              <w:jc w:val="left"/>
              <w:rPr>
                <w:sz w:val="19"/>
              </w:rPr>
            </w:pPr>
            <w:r>
              <w:rPr>
                <w:w w:val="105"/>
                <w:sz w:val="19"/>
              </w:rPr>
              <w:t>Universitaria</w:t>
            </w:r>
          </w:p>
        </w:tc>
        <w:tc>
          <w:tcPr>
            <w:tcW w:w="1115" w:type="dxa"/>
          </w:tcPr>
          <w:p>
            <w:pPr>
              <w:pStyle w:val="TableParagraph"/>
              <w:spacing w:before="31"/>
              <w:ind w:right="69"/>
              <w:rPr>
                <w:sz w:val="19"/>
              </w:rPr>
            </w:pPr>
            <w:r>
              <w:rPr>
                <w:w w:val="105"/>
                <w:sz w:val="19"/>
              </w:rPr>
              <w:t>105 545</w:t>
            </w:r>
          </w:p>
        </w:tc>
        <w:tc>
          <w:tcPr>
            <w:tcW w:w="981" w:type="dxa"/>
          </w:tcPr>
          <w:p>
            <w:pPr>
              <w:pStyle w:val="TableParagraph"/>
              <w:spacing w:before="31"/>
              <w:ind w:right="65"/>
              <w:rPr>
                <w:sz w:val="19"/>
              </w:rPr>
            </w:pPr>
            <w:r>
              <w:rPr>
                <w:sz w:val="19"/>
              </w:rPr>
              <w:t>19.6</w:t>
            </w:r>
          </w:p>
        </w:tc>
      </w:tr>
      <w:tr>
        <w:trPr>
          <w:trHeight w:val="310" w:hRule="exact"/>
        </w:trPr>
        <w:tc>
          <w:tcPr>
            <w:tcW w:w="1492" w:type="dxa"/>
          </w:tcPr>
          <w:p>
            <w:pPr/>
          </w:p>
        </w:tc>
        <w:tc>
          <w:tcPr>
            <w:tcW w:w="828" w:type="dxa"/>
          </w:tcPr>
          <w:p>
            <w:pPr/>
          </w:p>
        </w:tc>
        <w:tc>
          <w:tcPr>
            <w:tcW w:w="1892" w:type="dxa"/>
          </w:tcPr>
          <w:p>
            <w:pPr>
              <w:pStyle w:val="TableParagraph"/>
              <w:spacing w:before="41"/>
              <w:ind w:left="94"/>
              <w:jc w:val="left"/>
              <w:rPr>
                <w:sz w:val="19"/>
              </w:rPr>
            </w:pPr>
            <w:r>
              <w:rPr>
                <w:w w:val="105"/>
                <w:sz w:val="19"/>
              </w:rPr>
              <w:t>Total</w:t>
            </w:r>
          </w:p>
        </w:tc>
        <w:tc>
          <w:tcPr>
            <w:tcW w:w="1115" w:type="dxa"/>
          </w:tcPr>
          <w:p>
            <w:pPr>
              <w:pStyle w:val="TableParagraph"/>
              <w:spacing w:before="41"/>
              <w:ind w:right="69"/>
              <w:rPr>
                <w:sz w:val="19"/>
              </w:rPr>
            </w:pPr>
            <w:r>
              <w:rPr>
                <w:w w:val="105"/>
                <w:sz w:val="19"/>
              </w:rPr>
              <w:t>538 690</w:t>
            </w:r>
          </w:p>
        </w:tc>
        <w:tc>
          <w:tcPr>
            <w:tcW w:w="981" w:type="dxa"/>
          </w:tcPr>
          <w:p>
            <w:pPr>
              <w:pStyle w:val="TableParagraph"/>
              <w:spacing w:before="41"/>
              <w:ind w:right="65"/>
              <w:rPr>
                <w:sz w:val="19"/>
              </w:rPr>
            </w:pPr>
            <w:r>
              <w:rPr>
                <w:sz w:val="19"/>
              </w:rPr>
              <w:t>100.0</w:t>
            </w:r>
          </w:p>
        </w:tc>
      </w:tr>
      <w:tr>
        <w:trPr>
          <w:trHeight w:val="300" w:hRule="exact"/>
        </w:trPr>
        <w:tc>
          <w:tcPr>
            <w:tcW w:w="1492" w:type="dxa"/>
          </w:tcPr>
          <w:p>
            <w:pPr/>
          </w:p>
        </w:tc>
        <w:tc>
          <w:tcPr>
            <w:tcW w:w="828" w:type="dxa"/>
          </w:tcPr>
          <w:p>
            <w:pPr>
              <w:pStyle w:val="TableParagraph"/>
              <w:spacing w:before="33"/>
              <w:ind w:left="77"/>
              <w:jc w:val="left"/>
              <w:rPr>
                <w:sz w:val="19"/>
              </w:rPr>
            </w:pPr>
            <w:r>
              <w:rPr>
                <w:w w:val="105"/>
                <w:sz w:val="19"/>
              </w:rPr>
              <w:t>Mujer</w:t>
            </w:r>
          </w:p>
        </w:tc>
        <w:tc>
          <w:tcPr>
            <w:tcW w:w="1892" w:type="dxa"/>
          </w:tcPr>
          <w:p>
            <w:pPr>
              <w:pStyle w:val="TableParagraph"/>
              <w:spacing w:before="33"/>
              <w:ind w:left="94"/>
              <w:jc w:val="left"/>
              <w:rPr>
                <w:sz w:val="19"/>
              </w:rPr>
            </w:pPr>
            <w:r>
              <w:rPr>
                <w:w w:val="105"/>
                <w:sz w:val="19"/>
              </w:rPr>
              <w:t>Inferior a secundaria</w:t>
            </w:r>
          </w:p>
        </w:tc>
        <w:tc>
          <w:tcPr>
            <w:tcW w:w="1115" w:type="dxa"/>
          </w:tcPr>
          <w:p>
            <w:pPr>
              <w:pStyle w:val="TableParagraph"/>
              <w:spacing w:before="33"/>
              <w:ind w:right="69"/>
              <w:rPr>
                <w:sz w:val="19"/>
              </w:rPr>
            </w:pPr>
            <w:r>
              <w:rPr>
                <w:w w:val="105"/>
                <w:sz w:val="19"/>
              </w:rPr>
              <w:t>115 368</w:t>
            </w:r>
          </w:p>
        </w:tc>
        <w:tc>
          <w:tcPr>
            <w:tcW w:w="981" w:type="dxa"/>
          </w:tcPr>
          <w:p>
            <w:pPr>
              <w:pStyle w:val="TableParagraph"/>
              <w:spacing w:before="33"/>
              <w:ind w:right="65"/>
              <w:rPr>
                <w:sz w:val="19"/>
              </w:rPr>
            </w:pPr>
            <w:r>
              <w:rPr>
                <w:sz w:val="19"/>
              </w:rPr>
              <w:t>21.2</w:t>
            </w:r>
          </w:p>
        </w:tc>
      </w:tr>
      <w:tr>
        <w:trPr>
          <w:trHeight w:val="300" w:hRule="exact"/>
        </w:trPr>
        <w:tc>
          <w:tcPr>
            <w:tcW w:w="1492" w:type="dxa"/>
          </w:tcPr>
          <w:p>
            <w:pPr/>
          </w:p>
        </w:tc>
        <w:tc>
          <w:tcPr>
            <w:tcW w:w="828" w:type="dxa"/>
          </w:tcPr>
          <w:p>
            <w:pPr/>
          </w:p>
        </w:tc>
        <w:tc>
          <w:tcPr>
            <w:tcW w:w="1892" w:type="dxa"/>
          </w:tcPr>
          <w:p>
            <w:pPr>
              <w:pStyle w:val="TableParagraph"/>
              <w:spacing w:before="31"/>
              <w:ind w:left="94"/>
              <w:jc w:val="left"/>
              <w:rPr>
                <w:sz w:val="19"/>
              </w:rPr>
            </w:pPr>
            <w:r>
              <w:rPr>
                <w:w w:val="105"/>
                <w:sz w:val="19"/>
              </w:rPr>
              <w:t>Secundaria</w:t>
            </w:r>
          </w:p>
        </w:tc>
        <w:tc>
          <w:tcPr>
            <w:tcW w:w="1115" w:type="dxa"/>
          </w:tcPr>
          <w:p>
            <w:pPr>
              <w:pStyle w:val="TableParagraph"/>
              <w:spacing w:before="31"/>
              <w:ind w:right="69"/>
              <w:rPr>
                <w:sz w:val="19"/>
              </w:rPr>
            </w:pPr>
            <w:r>
              <w:rPr>
                <w:w w:val="105"/>
                <w:sz w:val="19"/>
              </w:rPr>
              <w:t>316 295</w:t>
            </w:r>
          </w:p>
        </w:tc>
        <w:tc>
          <w:tcPr>
            <w:tcW w:w="981" w:type="dxa"/>
          </w:tcPr>
          <w:p>
            <w:pPr>
              <w:pStyle w:val="TableParagraph"/>
              <w:spacing w:before="31"/>
              <w:ind w:right="65"/>
              <w:rPr>
                <w:sz w:val="19"/>
              </w:rPr>
            </w:pPr>
            <w:r>
              <w:rPr>
                <w:sz w:val="19"/>
              </w:rPr>
              <w:t>58.2</w:t>
            </w:r>
          </w:p>
        </w:tc>
      </w:tr>
      <w:tr>
        <w:trPr>
          <w:trHeight w:val="307" w:hRule="exact"/>
        </w:trPr>
        <w:tc>
          <w:tcPr>
            <w:tcW w:w="1492" w:type="dxa"/>
          </w:tcPr>
          <w:p>
            <w:pPr/>
          </w:p>
        </w:tc>
        <w:tc>
          <w:tcPr>
            <w:tcW w:w="828" w:type="dxa"/>
          </w:tcPr>
          <w:p>
            <w:pPr/>
          </w:p>
        </w:tc>
        <w:tc>
          <w:tcPr>
            <w:tcW w:w="1892" w:type="dxa"/>
          </w:tcPr>
          <w:p>
            <w:pPr>
              <w:pStyle w:val="TableParagraph"/>
              <w:spacing w:before="33"/>
              <w:ind w:left="94"/>
              <w:jc w:val="left"/>
              <w:rPr>
                <w:sz w:val="19"/>
              </w:rPr>
            </w:pPr>
            <w:r>
              <w:rPr>
                <w:w w:val="105"/>
                <w:sz w:val="19"/>
              </w:rPr>
              <w:t>Universitaria</w:t>
            </w:r>
          </w:p>
        </w:tc>
        <w:tc>
          <w:tcPr>
            <w:tcW w:w="1115" w:type="dxa"/>
          </w:tcPr>
          <w:p>
            <w:pPr>
              <w:pStyle w:val="TableParagraph"/>
              <w:spacing w:before="33"/>
              <w:ind w:right="69"/>
              <w:rPr>
                <w:sz w:val="19"/>
              </w:rPr>
            </w:pPr>
            <w:r>
              <w:rPr>
                <w:w w:val="105"/>
                <w:sz w:val="19"/>
              </w:rPr>
              <w:t>111 431</w:t>
            </w:r>
          </w:p>
        </w:tc>
        <w:tc>
          <w:tcPr>
            <w:tcW w:w="981" w:type="dxa"/>
          </w:tcPr>
          <w:p>
            <w:pPr>
              <w:pStyle w:val="TableParagraph"/>
              <w:spacing w:before="33"/>
              <w:ind w:right="65"/>
              <w:rPr>
                <w:sz w:val="19"/>
              </w:rPr>
            </w:pPr>
            <w:r>
              <w:rPr>
                <w:sz w:val="19"/>
              </w:rPr>
              <w:t>20.5</w:t>
            </w:r>
          </w:p>
        </w:tc>
      </w:tr>
      <w:tr>
        <w:trPr>
          <w:trHeight w:val="307" w:hRule="exact"/>
        </w:trPr>
        <w:tc>
          <w:tcPr>
            <w:tcW w:w="1492" w:type="dxa"/>
          </w:tcPr>
          <w:p>
            <w:pPr/>
          </w:p>
        </w:tc>
        <w:tc>
          <w:tcPr>
            <w:tcW w:w="828" w:type="dxa"/>
          </w:tcPr>
          <w:p>
            <w:pPr/>
          </w:p>
        </w:tc>
        <w:tc>
          <w:tcPr>
            <w:tcW w:w="1892" w:type="dxa"/>
          </w:tcPr>
          <w:p>
            <w:pPr>
              <w:pStyle w:val="TableParagraph"/>
              <w:spacing w:before="38"/>
              <w:ind w:left="95"/>
              <w:jc w:val="left"/>
              <w:rPr>
                <w:sz w:val="19"/>
              </w:rPr>
            </w:pPr>
            <w:r>
              <w:rPr>
                <w:w w:val="105"/>
                <w:sz w:val="19"/>
              </w:rPr>
              <w:t>Total</w:t>
            </w:r>
          </w:p>
        </w:tc>
        <w:tc>
          <w:tcPr>
            <w:tcW w:w="1115" w:type="dxa"/>
          </w:tcPr>
          <w:p>
            <w:pPr>
              <w:pStyle w:val="TableParagraph"/>
              <w:spacing w:before="38"/>
              <w:ind w:right="69"/>
              <w:rPr>
                <w:sz w:val="19"/>
              </w:rPr>
            </w:pPr>
            <w:r>
              <w:rPr>
                <w:w w:val="105"/>
                <w:sz w:val="19"/>
              </w:rPr>
              <w:t>543 094</w:t>
            </w:r>
          </w:p>
        </w:tc>
        <w:tc>
          <w:tcPr>
            <w:tcW w:w="981" w:type="dxa"/>
          </w:tcPr>
          <w:p>
            <w:pPr>
              <w:pStyle w:val="TableParagraph"/>
              <w:spacing w:before="38"/>
              <w:ind w:right="65"/>
              <w:rPr>
                <w:sz w:val="19"/>
              </w:rPr>
            </w:pPr>
            <w:r>
              <w:rPr>
                <w:sz w:val="19"/>
              </w:rPr>
              <w:t>100.0</w:t>
            </w:r>
          </w:p>
        </w:tc>
      </w:tr>
      <w:tr>
        <w:trPr>
          <w:trHeight w:val="300" w:hRule="exact"/>
        </w:trPr>
        <w:tc>
          <w:tcPr>
            <w:tcW w:w="1492" w:type="dxa"/>
          </w:tcPr>
          <w:p>
            <w:pPr/>
          </w:p>
        </w:tc>
        <w:tc>
          <w:tcPr>
            <w:tcW w:w="828" w:type="dxa"/>
          </w:tcPr>
          <w:p>
            <w:pPr>
              <w:pStyle w:val="TableParagraph"/>
              <w:spacing w:before="34"/>
              <w:ind w:left="77"/>
              <w:jc w:val="left"/>
              <w:rPr>
                <w:sz w:val="19"/>
              </w:rPr>
            </w:pPr>
            <w:r>
              <w:rPr>
                <w:w w:val="105"/>
                <w:sz w:val="19"/>
              </w:rPr>
              <w:t>Total</w:t>
            </w:r>
          </w:p>
        </w:tc>
        <w:tc>
          <w:tcPr>
            <w:tcW w:w="1892" w:type="dxa"/>
          </w:tcPr>
          <w:p>
            <w:pPr>
              <w:pStyle w:val="TableParagraph"/>
              <w:spacing w:before="34"/>
              <w:ind w:left="95"/>
              <w:jc w:val="left"/>
              <w:rPr>
                <w:sz w:val="19"/>
              </w:rPr>
            </w:pPr>
            <w:r>
              <w:rPr>
                <w:w w:val="105"/>
                <w:sz w:val="19"/>
              </w:rPr>
              <w:t>Inferior a secundaria</w:t>
            </w:r>
          </w:p>
        </w:tc>
        <w:tc>
          <w:tcPr>
            <w:tcW w:w="1115" w:type="dxa"/>
          </w:tcPr>
          <w:p>
            <w:pPr>
              <w:pStyle w:val="TableParagraph"/>
              <w:spacing w:before="34"/>
              <w:ind w:right="69"/>
              <w:rPr>
                <w:sz w:val="19"/>
              </w:rPr>
            </w:pPr>
            <w:r>
              <w:rPr>
                <w:w w:val="105"/>
                <w:sz w:val="19"/>
              </w:rPr>
              <w:t>214 003</w:t>
            </w:r>
          </w:p>
        </w:tc>
        <w:tc>
          <w:tcPr>
            <w:tcW w:w="981" w:type="dxa"/>
          </w:tcPr>
          <w:p>
            <w:pPr>
              <w:pStyle w:val="TableParagraph"/>
              <w:spacing w:before="34"/>
              <w:ind w:right="65"/>
              <w:rPr>
                <w:sz w:val="19"/>
              </w:rPr>
            </w:pPr>
            <w:r>
              <w:rPr>
                <w:sz w:val="19"/>
              </w:rPr>
              <w:t>19.8</w:t>
            </w:r>
          </w:p>
        </w:tc>
      </w:tr>
      <w:tr>
        <w:trPr>
          <w:trHeight w:val="321" w:hRule="exact"/>
        </w:trPr>
        <w:tc>
          <w:tcPr>
            <w:tcW w:w="1492" w:type="dxa"/>
          </w:tcPr>
          <w:p>
            <w:pPr/>
          </w:p>
        </w:tc>
        <w:tc>
          <w:tcPr>
            <w:tcW w:w="828" w:type="dxa"/>
          </w:tcPr>
          <w:p>
            <w:pPr/>
          </w:p>
        </w:tc>
        <w:tc>
          <w:tcPr>
            <w:tcW w:w="1892" w:type="dxa"/>
          </w:tcPr>
          <w:p>
            <w:pPr>
              <w:pStyle w:val="TableParagraph"/>
              <w:spacing w:before="31"/>
              <w:ind w:left="95"/>
              <w:jc w:val="left"/>
              <w:rPr>
                <w:sz w:val="19"/>
              </w:rPr>
            </w:pPr>
            <w:r>
              <w:rPr>
                <w:w w:val="105"/>
                <w:sz w:val="19"/>
              </w:rPr>
              <w:t>Secundaria</w:t>
            </w:r>
          </w:p>
        </w:tc>
        <w:tc>
          <w:tcPr>
            <w:tcW w:w="1115" w:type="dxa"/>
          </w:tcPr>
          <w:p>
            <w:pPr>
              <w:pStyle w:val="TableParagraph"/>
              <w:spacing w:before="31"/>
              <w:ind w:right="69"/>
              <w:rPr>
                <w:sz w:val="19"/>
              </w:rPr>
            </w:pPr>
            <w:r>
              <w:rPr>
                <w:w w:val="105"/>
                <w:sz w:val="19"/>
              </w:rPr>
              <w:t>650 805</w:t>
            </w:r>
          </w:p>
        </w:tc>
        <w:tc>
          <w:tcPr>
            <w:tcW w:w="981" w:type="dxa"/>
          </w:tcPr>
          <w:p>
            <w:pPr>
              <w:pStyle w:val="TableParagraph"/>
              <w:spacing w:before="31"/>
              <w:ind w:right="65"/>
              <w:rPr>
                <w:sz w:val="19"/>
              </w:rPr>
            </w:pPr>
            <w:r>
              <w:rPr>
                <w:sz w:val="19"/>
              </w:rPr>
              <w:t>60.2</w:t>
            </w:r>
          </w:p>
        </w:tc>
      </w:tr>
    </w:tbl>
    <w:p>
      <w:pPr>
        <w:spacing w:after="0"/>
        <w:rPr>
          <w:sz w:val="19"/>
        </w:rPr>
        <w:sectPr>
          <w:footerReference w:type="default" r:id="rId57"/>
          <w:pgSz w:w="9360" w:h="13040"/>
          <w:pgMar w:footer="3652" w:header="0" w:top="740" w:bottom="3840" w:left="1300" w:right="1300"/>
          <w:pgNumType w:start="27"/>
        </w:sectPr>
      </w:pPr>
    </w:p>
    <w:p>
      <w:pPr>
        <w:tabs>
          <w:tab w:pos="5536" w:val="left" w:leader="none"/>
        </w:tabs>
        <w:spacing w:before="48"/>
        <w:ind w:left="400" w:right="117" w:hanging="295"/>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firstLine="283"/>
        <w:jc w:val="both"/>
      </w:pPr>
      <w:r>
        <w:rPr>
          <w:color w:val="231F20"/>
        </w:rPr>
        <w:t>En resumen, aunque la mayoría de los inmigrantes latinoamericanos residentes en España continúan teniendo al menos un título de secundaria, se ha producido un cierto deterioro de las características educativas de las últimas</w:t>
      </w:r>
      <w:r>
        <w:rPr>
          <w:color w:val="231F20"/>
          <w:spacing w:val="-7"/>
        </w:rPr>
        <w:t> </w:t>
      </w:r>
      <w:r>
        <w:rPr>
          <w:color w:val="231F20"/>
        </w:rPr>
        <w:t>oleadas</w:t>
      </w:r>
      <w:r>
        <w:rPr>
          <w:color w:val="231F20"/>
          <w:spacing w:val="-8"/>
        </w:rPr>
        <w:t> </w:t>
      </w:r>
      <w:r>
        <w:rPr>
          <w:color w:val="231F20"/>
        </w:rPr>
        <w:t>de</w:t>
      </w:r>
      <w:r>
        <w:rPr>
          <w:color w:val="231F20"/>
          <w:spacing w:val="-7"/>
        </w:rPr>
        <w:t> </w:t>
      </w:r>
      <w:r>
        <w:rPr>
          <w:color w:val="231F20"/>
        </w:rPr>
        <w:t>inmigrantes</w:t>
      </w:r>
      <w:r>
        <w:rPr>
          <w:color w:val="231F20"/>
          <w:spacing w:val="-7"/>
        </w:rPr>
        <w:t> </w:t>
      </w:r>
      <w:r>
        <w:rPr>
          <w:color w:val="231F20"/>
        </w:rPr>
        <w:t>procedentes</w:t>
      </w:r>
      <w:r>
        <w:rPr>
          <w:color w:val="231F20"/>
          <w:spacing w:val="-8"/>
        </w:rPr>
        <w:t> </w:t>
      </w:r>
      <w:r>
        <w:rPr>
          <w:color w:val="231F20"/>
        </w:rPr>
        <w:t>de</w:t>
      </w:r>
      <w:r>
        <w:rPr>
          <w:color w:val="231F20"/>
          <w:spacing w:val="-7"/>
        </w:rPr>
        <w:t> </w:t>
      </w:r>
      <w:r>
        <w:rPr>
          <w:color w:val="231F20"/>
        </w:rPr>
        <w:t>Latinoamérica,</w:t>
      </w:r>
      <w:r>
        <w:rPr>
          <w:color w:val="231F20"/>
          <w:spacing w:val="-8"/>
        </w:rPr>
        <w:t> </w:t>
      </w:r>
      <w:r>
        <w:rPr>
          <w:color w:val="231F20"/>
        </w:rPr>
        <w:t>con</w:t>
      </w:r>
      <w:r>
        <w:rPr>
          <w:color w:val="231F20"/>
          <w:spacing w:val="-8"/>
        </w:rPr>
        <w:t> </w:t>
      </w:r>
      <w:r>
        <w:rPr>
          <w:color w:val="231F20"/>
        </w:rPr>
        <w:t>un</w:t>
      </w:r>
      <w:r>
        <w:rPr>
          <w:color w:val="231F20"/>
          <w:spacing w:val="-7"/>
        </w:rPr>
        <w:t> </w:t>
      </w:r>
      <w:r>
        <w:rPr>
          <w:color w:val="231F20"/>
        </w:rPr>
        <w:t>peso creciente de las personas menos instruidas. Esto parece ser el resultado   de varias tendencias concomitantes. Por un lado, el reciente crecimiento exponencial del número de inmigrantes de dicho origen ha venido acom- pañado con un cambio en los países de procedencia predominante, de ma- nera que habrían aumentado los contingentes procedentes de países con menores</w:t>
      </w:r>
      <w:r>
        <w:rPr>
          <w:color w:val="231F20"/>
          <w:spacing w:val="-11"/>
        </w:rPr>
        <w:t> </w:t>
      </w:r>
      <w:r>
        <w:rPr>
          <w:color w:val="231F20"/>
        </w:rPr>
        <w:t>niveles</w:t>
      </w:r>
      <w:r>
        <w:rPr>
          <w:color w:val="231F20"/>
          <w:spacing w:val="-11"/>
        </w:rPr>
        <w:t> </w:t>
      </w:r>
      <w:r>
        <w:rPr>
          <w:color w:val="231F20"/>
        </w:rPr>
        <w:t>medios</w:t>
      </w:r>
      <w:r>
        <w:rPr>
          <w:color w:val="231F20"/>
          <w:spacing w:val="-11"/>
        </w:rPr>
        <w:t> </w:t>
      </w:r>
      <w:r>
        <w:rPr>
          <w:color w:val="231F20"/>
        </w:rPr>
        <w:t>de</w:t>
      </w:r>
      <w:r>
        <w:rPr>
          <w:color w:val="231F20"/>
          <w:spacing w:val="-11"/>
        </w:rPr>
        <w:t> </w:t>
      </w:r>
      <w:r>
        <w:rPr>
          <w:color w:val="231F20"/>
        </w:rPr>
        <w:t>educación.</w:t>
      </w:r>
      <w:r>
        <w:rPr>
          <w:color w:val="231F20"/>
          <w:spacing w:val="-11"/>
        </w:rPr>
        <w:t> </w:t>
      </w:r>
      <w:r>
        <w:rPr>
          <w:color w:val="231F20"/>
        </w:rPr>
        <w:t>Por</w:t>
      </w:r>
      <w:r>
        <w:rPr>
          <w:color w:val="231F20"/>
          <w:spacing w:val="-11"/>
        </w:rPr>
        <w:t> </w:t>
      </w:r>
      <w:r>
        <w:rPr>
          <w:color w:val="231F20"/>
        </w:rPr>
        <w:t>otro</w:t>
      </w:r>
      <w:r>
        <w:rPr>
          <w:color w:val="231F20"/>
          <w:spacing w:val="-11"/>
        </w:rPr>
        <w:t> </w:t>
      </w:r>
      <w:r>
        <w:rPr>
          <w:color w:val="231F20"/>
        </w:rPr>
        <w:t>lado,</w:t>
      </w:r>
      <w:r>
        <w:rPr>
          <w:color w:val="231F20"/>
          <w:spacing w:val="-11"/>
        </w:rPr>
        <w:t> </w:t>
      </w:r>
      <w:r>
        <w:rPr>
          <w:color w:val="231F20"/>
        </w:rPr>
        <w:t>dicho</w:t>
      </w:r>
      <w:r>
        <w:rPr>
          <w:color w:val="231F20"/>
          <w:spacing w:val="-11"/>
        </w:rPr>
        <w:t> </w:t>
      </w:r>
      <w:r>
        <w:rPr>
          <w:color w:val="231F20"/>
        </w:rPr>
        <w:t>empeoramiento de los perfiles académicos sería, en parte, una consecuencia del propio proceso</w:t>
      </w:r>
      <w:r>
        <w:rPr>
          <w:color w:val="231F20"/>
          <w:spacing w:val="-7"/>
        </w:rPr>
        <w:t> </w:t>
      </w:r>
      <w:r>
        <w:rPr>
          <w:color w:val="231F20"/>
        </w:rPr>
        <w:t>migratorio,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que</w:t>
      </w:r>
      <w:r>
        <w:rPr>
          <w:color w:val="231F20"/>
          <w:spacing w:val="-7"/>
        </w:rPr>
        <w:t> </w:t>
      </w:r>
      <w:r>
        <w:rPr>
          <w:color w:val="231F20"/>
        </w:rPr>
        <w:t>los</w:t>
      </w:r>
      <w:r>
        <w:rPr>
          <w:color w:val="231F20"/>
          <w:spacing w:val="-7"/>
        </w:rPr>
        <w:t> </w:t>
      </w:r>
      <w:r>
        <w:rPr>
          <w:color w:val="231F20"/>
        </w:rPr>
        <w:t>que</w:t>
      </w:r>
      <w:r>
        <w:rPr>
          <w:color w:val="231F20"/>
          <w:spacing w:val="-7"/>
        </w:rPr>
        <w:t> </w:t>
      </w:r>
      <w:r>
        <w:rPr>
          <w:color w:val="231F20"/>
        </w:rPr>
        <w:t>emigran</w:t>
      </w:r>
      <w:r>
        <w:rPr>
          <w:color w:val="231F20"/>
          <w:spacing w:val="-7"/>
        </w:rPr>
        <w:t> </w:t>
      </w:r>
      <w:r>
        <w:rPr>
          <w:color w:val="231F20"/>
        </w:rPr>
        <w:t>en</w:t>
      </w:r>
      <w:r>
        <w:rPr>
          <w:color w:val="231F20"/>
          <w:spacing w:val="-7"/>
        </w:rPr>
        <w:t> </w:t>
      </w:r>
      <w:r>
        <w:rPr>
          <w:color w:val="231F20"/>
        </w:rPr>
        <w:t>primer</w:t>
      </w:r>
      <w:r>
        <w:rPr>
          <w:color w:val="231F20"/>
          <w:spacing w:val="-7"/>
        </w:rPr>
        <w:t> </w:t>
      </w:r>
      <w:r>
        <w:rPr>
          <w:color w:val="231F20"/>
        </w:rPr>
        <w:t>lugar</w:t>
      </w:r>
      <w:r>
        <w:rPr>
          <w:color w:val="231F20"/>
          <w:spacing w:val="-7"/>
        </w:rPr>
        <w:t> </w:t>
      </w:r>
      <w:r>
        <w:rPr>
          <w:color w:val="231F20"/>
        </w:rPr>
        <w:t>son</w:t>
      </w:r>
      <w:r>
        <w:rPr>
          <w:color w:val="231F20"/>
          <w:spacing w:val="-6"/>
        </w:rPr>
        <w:t> </w:t>
      </w:r>
      <w:r>
        <w:rPr>
          <w:color w:val="231F20"/>
        </w:rPr>
        <w:t>los</w:t>
      </w:r>
      <w:r>
        <w:rPr>
          <w:color w:val="231F20"/>
          <w:spacing w:val="-7"/>
        </w:rPr>
        <w:t> </w:t>
      </w:r>
      <w:r>
        <w:rPr>
          <w:color w:val="231F20"/>
        </w:rPr>
        <w:t>indi- viduos más decididos y preparados, con un nivel de educación mayor que el promedio de la sociedad de partida (Gil y Domingo,</w:t>
      </w:r>
      <w:r>
        <w:rPr>
          <w:color w:val="231F20"/>
          <w:spacing w:val="-14"/>
        </w:rPr>
        <w:t> </w:t>
      </w:r>
      <w:r>
        <w:rPr>
          <w:color w:val="231F20"/>
        </w:rPr>
        <w:t>2007).</w:t>
      </w:r>
    </w:p>
    <w:p>
      <w:pPr>
        <w:pStyle w:val="Heading3"/>
      </w:pPr>
      <w:r>
        <w:rPr>
          <w:color w:val="231F20"/>
        </w:rPr>
        <w:t>Conclusiones</w:t>
      </w:r>
    </w:p>
    <w:p>
      <w:pPr>
        <w:pStyle w:val="BodyText"/>
        <w:spacing w:line="247" w:lineRule="auto" w:before="172"/>
        <w:ind w:left="117" w:right="114"/>
        <w:jc w:val="both"/>
      </w:pPr>
      <w:r>
        <w:rPr>
          <w:color w:val="231F20"/>
        </w:rPr>
        <w:t>Las migraciones internacionales como fenómenos masivos se producen cuando existen niveles de desarrollo diferentes entre países de origen y de destino. Las personas migran para mejorar sus niveles de existencia y en búsqueda de un futuro diferente. Sin embargo, si las desigualdades entre países del Norte y del Sur no disminuyen, los flujos migratorios conti- nuarán aumentando, a pesar de la multiplicación de controles y medidas coercitivas.</w:t>
      </w:r>
    </w:p>
    <w:p>
      <w:pPr>
        <w:pStyle w:val="BodyText"/>
        <w:spacing w:before="2"/>
        <w:rPr>
          <w:sz w:val="18"/>
        </w:rPr>
      </w:pPr>
    </w:p>
    <w:p>
      <w:pPr>
        <w:pStyle w:val="Heading3"/>
        <w:spacing w:before="0"/>
      </w:pPr>
      <w:r>
        <w:rPr>
          <w:color w:val="231F20"/>
        </w:rPr>
        <w:t>Bibliografía</w:t>
      </w:r>
    </w:p>
    <w:p>
      <w:pPr>
        <w:pStyle w:val="BodyText"/>
        <w:spacing w:before="5"/>
        <w:rPr>
          <w:b/>
          <w:sz w:val="30"/>
        </w:rPr>
      </w:pPr>
    </w:p>
    <w:p>
      <w:pPr>
        <w:spacing w:line="210" w:lineRule="exact" w:before="0"/>
        <w:ind w:left="134" w:right="115" w:firstLine="0"/>
        <w:jc w:val="both"/>
        <w:rPr>
          <w:sz w:val="20"/>
        </w:rPr>
      </w:pPr>
      <w:r>
        <w:rPr>
          <w:color w:val="231F20"/>
          <w:sz w:val="20"/>
        </w:rPr>
        <w:t>ARANGO, Joaquín, 2003, “Inmigración y diversidad humana: una nueva era en las migraciones internacionales”, en </w:t>
      </w:r>
      <w:r>
        <w:rPr>
          <w:i/>
          <w:color w:val="231F20"/>
          <w:sz w:val="20"/>
        </w:rPr>
        <w:t>Revista de Occidente</w:t>
      </w:r>
      <w:r>
        <w:rPr>
          <w:color w:val="231F20"/>
          <w:sz w:val="20"/>
        </w:rPr>
        <w:t>, núm. 268.</w:t>
      </w:r>
    </w:p>
    <w:p>
      <w:pPr>
        <w:spacing w:line="210" w:lineRule="exact" w:before="113"/>
        <w:ind w:left="134" w:right="115" w:firstLine="0"/>
        <w:jc w:val="both"/>
        <w:rPr>
          <w:sz w:val="20"/>
        </w:rPr>
      </w:pPr>
      <w:r>
        <w:rPr>
          <w:color w:val="231F20"/>
          <w:sz w:val="20"/>
        </w:rPr>
        <w:t>CASAS </w:t>
      </w:r>
      <w:r>
        <w:rPr>
          <w:color w:val="231F20"/>
          <w:spacing w:val="-7"/>
          <w:sz w:val="20"/>
        </w:rPr>
        <w:t>ÁLVAREZ, </w:t>
      </w:r>
      <w:r>
        <w:rPr>
          <w:color w:val="231F20"/>
          <w:spacing w:val="-4"/>
          <w:sz w:val="20"/>
        </w:rPr>
        <w:t>F.J., </w:t>
      </w:r>
      <w:r>
        <w:rPr>
          <w:color w:val="231F20"/>
          <w:sz w:val="20"/>
        </w:rPr>
        <w:t>2006, “Introducción”, en </w:t>
      </w:r>
      <w:r>
        <w:rPr>
          <w:i/>
          <w:color w:val="231F20"/>
          <w:sz w:val="20"/>
        </w:rPr>
        <w:t>Control de los flujos migrato- </w:t>
      </w:r>
      <w:r>
        <w:rPr>
          <w:i/>
          <w:color w:val="231F20"/>
          <w:sz w:val="20"/>
        </w:rPr>
        <w:t>rios hacia España: situación actual y propuestas de actuación</w:t>
      </w:r>
      <w:r>
        <w:rPr>
          <w:color w:val="231F20"/>
          <w:sz w:val="20"/>
        </w:rPr>
        <w:t>, Centro Superior de</w:t>
      </w:r>
      <w:r>
        <w:rPr>
          <w:color w:val="231F20"/>
          <w:spacing w:val="-13"/>
          <w:sz w:val="20"/>
        </w:rPr>
        <w:t> </w:t>
      </w:r>
      <w:r>
        <w:rPr>
          <w:color w:val="231F20"/>
          <w:sz w:val="20"/>
        </w:rPr>
        <w:t>Estudios</w:t>
      </w:r>
      <w:r>
        <w:rPr>
          <w:color w:val="231F20"/>
          <w:spacing w:val="-14"/>
          <w:sz w:val="20"/>
        </w:rPr>
        <w:t> </w:t>
      </w:r>
      <w:r>
        <w:rPr>
          <w:color w:val="231F20"/>
          <w:sz w:val="20"/>
        </w:rPr>
        <w:t>de</w:t>
      </w:r>
      <w:r>
        <w:rPr>
          <w:color w:val="231F20"/>
          <w:spacing w:val="-13"/>
          <w:sz w:val="20"/>
        </w:rPr>
        <w:t> </w:t>
      </w:r>
      <w:r>
        <w:rPr>
          <w:color w:val="231F20"/>
          <w:sz w:val="20"/>
        </w:rPr>
        <w:t>la</w:t>
      </w:r>
      <w:r>
        <w:rPr>
          <w:color w:val="231F20"/>
          <w:spacing w:val="-13"/>
          <w:sz w:val="20"/>
        </w:rPr>
        <w:t> </w:t>
      </w:r>
      <w:r>
        <w:rPr>
          <w:color w:val="231F20"/>
          <w:sz w:val="20"/>
        </w:rPr>
        <w:t>Defensa</w:t>
      </w:r>
      <w:r>
        <w:rPr>
          <w:color w:val="231F20"/>
          <w:spacing w:val="-13"/>
          <w:sz w:val="20"/>
        </w:rPr>
        <w:t> </w:t>
      </w:r>
      <w:r>
        <w:rPr>
          <w:color w:val="231F20"/>
          <w:sz w:val="20"/>
        </w:rPr>
        <w:t>Nacional.</w:t>
      </w:r>
      <w:r>
        <w:rPr>
          <w:color w:val="231F20"/>
          <w:spacing w:val="-13"/>
          <w:sz w:val="20"/>
        </w:rPr>
        <w:t> </w:t>
      </w:r>
      <w:r>
        <w:rPr>
          <w:color w:val="231F20"/>
          <w:sz w:val="20"/>
        </w:rPr>
        <w:t>Documentos</w:t>
      </w:r>
      <w:r>
        <w:rPr>
          <w:color w:val="231F20"/>
          <w:spacing w:val="-13"/>
          <w:sz w:val="20"/>
        </w:rPr>
        <w:t> </w:t>
      </w:r>
      <w:r>
        <w:rPr>
          <w:color w:val="231F20"/>
          <w:sz w:val="20"/>
        </w:rPr>
        <w:t>de</w:t>
      </w:r>
      <w:r>
        <w:rPr>
          <w:color w:val="231F20"/>
          <w:spacing w:val="-13"/>
          <w:sz w:val="20"/>
        </w:rPr>
        <w:t> </w:t>
      </w:r>
      <w:r>
        <w:rPr>
          <w:color w:val="231F20"/>
          <w:sz w:val="20"/>
        </w:rPr>
        <w:t>Seguridad</w:t>
      </w:r>
      <w:r>
        <w:rPr>
          <w:color w:val="231F20"/>
          <w:spacing w:val="-13"/>
          <w:sz w:val="20"/>
        </w:rPr>
        <w:t> </w:t>
      </w:r>
      <w:r>
        <w:rPr>
          <w:color w:val="231F20"/>
          <w:sz w:val="20"/>
        </w:rPr>
        <w:t>y</w:t>
      </w:r>
      <w:r>
        <w:rPr>
          <w:color w:val="231F20"/>
          <w:spacing w:val="-13"/>
          <w:sz w:val="20"/>
        </w:rPr>
        <w:t> </w:t>
      </w:r>
      <w:r>
        <w:rPr>
          <w:color w:val="231F20"/>
          <w:sz w:val="20"/>
        </w:rPr>
        <w:t>Defensa,</w:t>
      </w:r>
      <w:r>
        <w:rPr>
          <w:color w:val="231F20"/>
          <w:spacing w:val="-13"/>
          <w:sz w:val="20"/>
        </w:rPr>
        <w:t> </w:t>
      </w:r>
      <w:r>
        <w:rPr>
          <w:color w:val="231F20"/>
          <w:sz w:val="20"/>
        </w:rPr>
        <w:t>núm.</w:t>
      </w:r>
      <w:r>
        <w:rPr>
          <w:color w:val="231F20"/>
          <w:spacing w:val="-13"/>
          <w:sz w:val="20"/>
        </w:rPr>
        <w:t> </w:t>
      </w:r>
      <w:r>
        <w:rPr>
          <w:color w:val="231F20"/>
          <w:sz w:val="20"/>
        </w:rPr>
        <w:t>6.</w:t>
      </w:r>
    </w:p>
    <w:p>
      <w:pPr>
        <w:spacing w:line="210" w:lineRule="exact" w:before="113"/>
        <w:ind w:left="134" w:right="115" w:firstLine="0"/>
        <w:jc w:val="both"/>
        <w:rPr>
          <w:sz w:val="20"/>
        </w:rPr>
      </w:pPr>
      <w:r>
        <w:rPr>
          <w:color w:val="231F20"/>
          <w:sz w:val="20"/>
        </w:rPr>
        <w:t>CONAPO, 2009, </w:t>
      </w:r>
      <w:r>
        <w:rPr>
          <w:i/>
          <w:color w:val="231F20"/>
          <w:sz w:val="20"/>
        </w:rPr>
        <w:t>Informe de Ejecución del Programa de Acción de la Conferen- </w:t>
      </w:r>
      <w:r>
        <w:rPr>
          <w:i/>
          <w:color w:val="231F20"/>
          <w:sz w:val="20"/>
        </w:rPr>
        <w:t>cia Internacional </w:t>
      </w:r>
      <w:r>
        <w:rPr>
          <w:i/>
          <w:color w:val="231F20"/>
          <w:spacing w:val="-3"/>
          <w:sz w:val="20"/>
        </w:rPr>
        <w:t>sobre </w:t>
      </w:r>
      <w:r>
        <w:rPr>
          <w:i/>
          <w:color w:val="231F20"/>
          <w:sz w:val="20"/>
        </w:rPr>
        <w:t>la Población y el Desarrollo, 1994-2009: CIPD + 15</w:t>
      </w:r>
      <w:r>
        <w:rPr>
          <w:color w:val="231F20"/>
          <w:sz w:val="20"/>
        </w:rPr>
        <w:t>, capítulo</w:t>
      </w:r>
      <w:r>
        <w:rPr>
          <w:color w:val="231F20"/>
          <w:spacing w:val="-6"/>
          <w:sz w:val="20"/>
        </w:rPr>
        <w:t> </w:t>
      </w:r>
      <w:r>
        <w:rPr>
          <w:color w:val="231F20"/>
          <w:sz w:val="20"/>
        </w:rPr>
        <w:t>XI</w:t>
      </w:r>
      <w:r>
        <w:rPr>
          <w:color w:val="231F20"/>
          <w:spacing w:val="-6"/>
          <w:sz w:val="20"/>
        </w:rPr>
        <w:t> </w:t>
      </w:r>
      <w:r>
        <w:rPr>
          <w:color w:val="231F20"/>
          <w:sz w:val="20"/>
        </w:rPr>
        <w:t>Migración</w:t>
      </w:r>
      <w:r>
        <w:rPr>
          <w:color w:val="231F20"/>
          <w:spacing w:val="-6"/>
          <w:sz w:val="20"/>
        </w:rPr>
        <w:t> </w:t>
      </w:r>
      <w:r>
        <w:rPr>
          <w:color w:val="231F20"/>
          <w:sz w:val="20"/>
        </w:rPr>
        <w:t>Internacional.</w:t>
      </w:r>
      <w:r>
        <w:rPr>
          <w:color w:val="231F20"/>
          <w:spacing w:val="-6"/>
          <w:sz w:val="20"/>
        </w:rPr>
        <w:t> </w:t>
      </w:r>
      <w:r>
        <w:rPr>
          <w:color w:val="231F20"/>
          <w:sz w:val="20"/>
        </w:rPr>
        <w:t>Secretaría</w:t>
      </w:r>
      <w:r>
        <w:rPr>
          <w:color w:val="231F20"/>
          <w:spacing w:val="-6"/>
          <w:sz w:val="20"/>
        </w:rPr>
        <w:t> </w:t>
      </w:r>
      <w:r>
        <w:rPr>
          <w:color w:val="231F20"/>
          <w:sz w:val="20"/>
        </w:rPr>
        <w:t>de</w:t>
      </w:r>
      <w:r>
        <w:rPr>
          <w:color w:val="231F20"/>
          <w:spacing w:val="-6"/>
          <w:sz w:val="20"/>
        </w:rPr>
        <w:t> </w:t>
      </w:r>
      <w:r>
        <w:rPr>
          <w:color w:val="231F20"/>
          <w:sz w:val="20"/>
        </w:rPr>
        <w:t>Gobernación,</w:t>
      </w:r>
      <w:r>
        <w:rPr>
          <w:color w:val="231F20"/>
          <w:spacing w:val="-6"/>
          <w:sz w:val="20"/>
        </w:rPr>
        <w:t> </w:t>
      </w:r>
      <w:r>
        <w:rPr>
          <w:color w:val="231F20"/>
          <w:sz w:val="20"/>
        </w:rPr>
        <w:t>Coordinación</w:t>
      </w:r>
      <w:r>
        <w:rPr>
          <w:color w:val="231F20"/>
          <w:spacing w:val="-6"/>
          <w:sz w:val="20"/>
        </w:rPr>
        <w:t> </w:t>
      </w:r>
      <w:r>
        <w:rPr>
          <w:color w:val="231F20"/>
          <w:sz w:val="20"/>
        </w:rPr>
        <w:t>de Publicaciones de Asuntos</w:t>
      </w:r>
      <w:r>
        <w:rPr>
          <w:color w:val="231F20"/>
          <w:spacing w:val="-30"/>
          <w:sz w:val="20"/>
        </w:rPr>
        <w:t> </w:t>
      </w:r>
      <w:r>
        <w:rPr>
          <w:color w:val="231F20"/>
          <w:sz w:val="20"/>
        </w:rPr>
        <w:t>Culturales.</w:t>
      </w:r>
    </w:p>
    <w:p>
      <w:pPr>
        <w:spacing w:line="210" w:lineRule="exact" w:before="113"/>
        <w:ind w:left="134" w:right="115" w:firstLine="0"/>
        <w:jc w:val="both"/>
        <w:rPr>
          <w:sz w:val="20"/>
        </w:rPr>
      </w:pPr>
      <w:r>
        <w:rPr>
          <w:color w:val="231F20"/>
          <w:sz w:val="20"/>
        </w:rPr>
        <w:t>FERNÁNDEZ</w:t>
      </w:r>
      <w:r>
        <w:rPr>
          <w:color w:val="231F20"/>
          <w:spacing w:val="-8"/>
          <w:sz w:val="20"/>
        </w:rPr>
        <w:t> </w:t>
      </w:r>
      <w:r>
        <w:rPr>
          <w:color w:val="231F20"/>
          <w:sz w:val="20"/>
        </w:rPr>
        <w:t>C.,</w:t>
      </w:r>
      <w:r>
        <w:rPr>
          <w:color w:val="231F20"/>
          <w:spacing w:val="-9"/>
          <w:sz w:val="20"/>
        </w:rPr>
        <w:t> </w:t>
      </w:r>
      <w:r>
        <w:rPr>
          <w:color w:val="231F20"/>
          <w:sz w:val="20"/>
        </w:rPr>
        <w:t>Rogelio,</w:t>
      </w:r>
      <w:r>
        <w:rPr>
          <w:color w:val="231F20"/>
          <w:spacing w:val="-9"/>
          <w:sz w:val="20"/>
        </w:rPr>
        <w:t> </w:t>
      </w:r>
      <w:r>
        <w:rPr>
          <w:color w:val="231F20"/>
          <w:sz w:val="20"/>
        </w:rPr>
        <w:t>2005,</w:t>
      </w:r>
      <w:r>
        <w:rPr>
          <w:color w:val="231F20"/>
          <w:spacing w:val="-9"/>
          <w:sz w:val="20"/>
        </w:rPr>
        <w:t> </w:t>
      </w:r>
      <w:r>
        <w:rPr>
          <w:i/>
          <w:color w:val="231F20"/>
          <w:sz w:val="20"/>
        </w:rPr>
        <w:t>Migraciones</w:t>
      </w:r>
      <w:r>
        <w:rPr>
          <w:i/>
          <w:color w:val="231F20"/>
          <w:spacing w:val="-9"/>
          <w:sz w:val="20"/>
        </w:rPr>
        <w:t> </w:t>
      </w:r>
      <w:r>
        <w:rPr>
          <w:i/>
          <w:color w:val="231F20"/>
          <w:sz w:val="20"/>
        </w:rPr>
        <w:t>y</w:t>
      </w:r>
      <w:r>
        <w:rPr>
          <w:i/>
          <w:color w:val="231F20"/>
          <w:spacing w:val="-9"/>
          <w:sz w:val="20"/>
        </w:rPr>
        <w:t> </w:t>
      </w:r>
      <w:r>
        <w:rPr>
          <w:i/>
          <w:color w:val="231F20"/>
          <w:sz w:val="20"/>
        </w:rPr>
        <w:t>remesas</w:t>
      </w:r>
      <w:r>
        <w:rPr>
          <w:i/>
          <w:color w:val="231F20"/>
          <w:spacing w:val="-9"/>
          <w:sz w:val="20"/>
        </w:rPr>
        <w:t> </w:t>
      </w:r>
      <w:r>
        <w:rPr>
          <w:i/>
          <w:color w:val="231F20"/>
          <w:sz w:val="20"/>
        </w:rPr>
        <w:t>en</w:t>
      </w:r>
      <w:r>
        <w:rPr>
          <w:i/>
          <w:color w:val="231F20"/>
          <w:spacing w:val="-9"/>
          <w:sz w:val="20"/>
        </w:rPr>
        <w:t> </w:t>
      </w:r>
      <w:r>
        <w:rPr>
          <w:i/>
          <w:color w:val="231F20"/>
          <w:sz w:val="20"/>
        </w:rPr>
        <w:t>el</w:t>
      </w:r>
      <w:r>
        <w:rPr>
          <w:i/>
          <w:color w:val="231F20"/>
          <w:spacing w:val="-9"/>
          <w:sz w:val="20"/>
        </w:rPr>
        <w:t> </w:t>
      </w:r>
      <w:r>
        <w:rPr>
          <w:i/>
          <w:color w:val="231F20"/>
          <w:sz w:val="20"/>
        </w:rPr>
        <w:t>contexto</w:t>
      </w:r>
      <w:r>
        <w:rPr>
          <w:i/>
          <w:color w:val="231F20"/>
          <w:spacing w:val="-9"/>
          <w:sz w:val="20"/>
        </w:rPr>
        <w:t> </w:t>
      </w:r>
      <w:r>
        <w:rPr>
          <w:i/>
          <w:color w:val="231F20"/>
          <w:sz w:val="20"/>
        </w:rPr>
        <w:t>de</w:t>
      </w:r>
      <w:r>
        <w:rPr>
          <w:i/>
          <w:color w:val="231F20"/>
          <w:spacing w:val="-9"/>
          <w:sz w:val="20"/>
        </w:rPr>
        <w:t> </w:t>
      </w:r>
      <w:r>
        <w:rPr>
          <w:i/>
          <w:color w:val="231F20"/>
          <w:sz w:val="20"/>
        </w:rPr>
        <w:t>la</w:t>
      </w:r>
      <w:r>
        <w:rPr>
          <w:i/>
          <w:color w:val="231F20"/>
          <w:spacing w:val="-9"/>
          <w:sz w:val="20"/>
        </w:rPr>
        <w:t> </w:t>
      </w:r>
      <w:r>
        <w:rPr>
          <w:i/>
          <w:color w:val="231F20"/>
          <w:sz w:val="20"/>
        </w:rPr>
        <w:t>glo- </w:t>
      </w:r>
      <w:r>
        <w:rPr>
          <w:i/>
          <w:color w:val="231F20"/>
          <w:sz w:val="20"/>
        </w:rPr>
        <w:t>balización</w:t>
      </w:r>
      <w:r>
        <w:rPr>
          <w:color w:val="231F20"/>
          <w:sz w:val="20"/>
        </w:rPr>
        <w:t>,</w:t>
      </w:r>
      <w:r>
        <w:rPr>
          <w:color w:val="231F20"/>
          <w:spacing w:val="-12"/>
          <w:sz w:val="20"/>
        </w:rPr>
        <w:t> </w:t>
      </w:r>
      <w:r>
        <w:rPr>
          <w:color w:val="231F20"/>
          <w:sz w:val="20"/>
        </w:rPr>
        <w:t>46va</w:t>
      </w:r>
      <w:r>
        <w:rPr>
          <w:color w:val="231F20"/>
          <w:spacing w:val="-12"/>
          <w:sz w:val="20"/>
        </w:rPr>
        <w:t> </w:t>
      </w:r>
      <w:r>
        <w:rPr>
          <w:color w:val="231F20"/>
          <w:sz w:val="20"/>
        </w:rPr>
        <w:t>Reunión</w:t>
      </w:r>
      <w:r>
        <w:rPr>
          <w:color w:val="231F20"/>
          <w:spacing w:val="-12"/>
          <w:sz w:val="20"/>
        </w:rPr>
        <w:t> </w:t>
      </w:r>
      <w:r>
        <w:rPr>
          <w:color w:val="231F20"/>
          <w:sz w:val="20"/>
        </w:rPr>
        <w:t>de</w:t>
      </w:r>
      <w:r>
        <w:rPr>
          <w:color w:val="231F20"/>
          <w:spacing w:val="-12"/>
          <w:sz w:val="20"/>
        </w:rPr>
        <w:t> </w:t>
      </w:r>
      <w:r>
        <w:rPr>
          <w:color w:val="231F20"/>
          <w:sz w:val="20"/>
        </w:rPr>
        <w:t>la</w:t>
      </w:r>
      <w:r>
        <w:rPr>
          <w:color w:val="231F20"/>
          <w:spacing w:val="-12"/>
          <w:sz w:val="20"/>
        </w:rPr>
        <w:t> </w:t>
      </w:r>
      <w:r>
        <w:rPr>
          <w:color w:val="231F20"/>
          <w:sz w:val="20"/>
        </w:rPr>
        <w:t>Junta</w:t>
      </w:r>
      <w:r>
        <w:rPr>
          <w:color w:val="231F20"/>
          <w:spacing w:val="-12"/>
          <w:sz w:val="20"/>
        </w:rPr>
        <w:t> </w:t>
      </w:r>
      <w:r>
        <w:rPr>
          <w:color w:val="231F20"/>
          <w:sz w:val="20"/>
        </w:rPr>
        <w:t>de</w:t>
      </w:r>
      <w:r>
        <w:rPr>
          <w:color w:val="231F20"/>
          <w:spacing w:val="-12"/>
          <w:sz w:val="20"/>
        </w:rPr>
        <w:t> </w:t>
      </w:r>
      <w:r>
        <w:rPr>
          <w:color w:val="231F20"/>
          <w:sz w:val="20"/>
        </w:rPr>
        <w:t>Gobernadores</w:t>
      </w:r>
      <w:r>
        <w:rPr>
          <w:color w:val="231F20"/>
          <w:spacing w:val="-12"/>
          <w:sz w:val="20"/>
        </w:rPr>
        <w:t> </w:t>
      </w:r>
      <w:r>
        <w:rPr>
          <w:color w:val="231F20"/>
          <w:sz w:val="20"/>
        </w:rPr>
        <w:t>del</w:t>
      </w:r>
      <w:r>
        <w:rPr>
          <w:color w:val="231F20"/>
          <w:spacing w:val="-12"/>
          <w:sz w:val="20"/>
        </w:rPr>
        <w:t> </w:t>
      </w:r>
      <w:r>
        <w:rPr>
          <w:color w:val="231F20"/>
          <w:sz w:val="20"/>
        </w:rPr>
        <w:t>Banco</w:t>
      </w:r>
      <w:r>
        <w:rPr>
          <w:color w:val="231F20"/>
          <w:spacing w:val="-12"/>
          <w:sz w:val="20"/>
        </w:rPr>
        <w:t> </w:t>
      </w:r>
      <w:r>
        <w:rPr>
          <w:color w:val="231F20"/>
          <w:sz w:val="20"/>
        </w:rPr>
        <w:t>Inter-Americano de Desarrollo y de la Corporación Inter-Americana de Inversiones. 6 de abril de 2005. Fondo de Población de las Naciones Unidas, Okinawa, Japón.</w:t>
      </w:r>
    </w:p>
    <w:p>
      <w:pPr>
        <w:spacing w:after="0" w:line="210" w:lineRule="exact"/>
        <w:jc w:val="both"/>
        <w:rPr>
          <w:sz w:val="20"/>
        </w:rPr>
        <w:sectPr>
          <w:footerReference w:type="default" r:id="rId58"/>
          <w:pgSz w:w="9360" w:h="13040"/>
          <w:pgMar w:footer="496" w:header="0" w:top="800" w:bottom="680" w:left="1300" w:right="1300"/>
          <w:pgNumType w:start="28"/>
        </w:sectPr>
      </w:pPr>
    </w:p>
    <w:p>
      <w:pPr>
        <w:spacing w:before="45"/>
        <w:ind w:left="117" w:right="0" w:firstLine="88"/>
        <w:jc w:val="both"/>
        <w:rPr>
          <w:rFonts w:ascii="Arial" w:hAnsi="Arial"/>
          <w:sz w:val="20"/>
        </w:rPr>
      </w:pPr>
      <w:r>
        <w:rPr>
          <w:rFonts w:ascii="Arial" w:hAnsi="Arial"/>
          <w:color w:val="231F20"/>
          <w:w w:val="70"/>
          <w:sz w:val="20"/>
        </w:rPr>
        <w:t>Nueva reconfiguración de la inmigración internacional: el caso de España /Lucila Godínez-Montoya </w:t>
      </w:r>
      <w:r>
        <w:rPr>
          <w:rFonts w:ascii="Arial" w:hAnsi="Arial"/>
          <w:i/>
          <w:color w:val="231F20"/>
          <w:w w:val="70"/>
          <w:sz w:val="20"/>
        </w:rPr>
        <w:t>et al</w:t>
      </w:r>
      <w:r>
        <w:rPr>
          <w:rFonts w:ascii="Arial" w:hAnsi="Arial"/>
          <w:color w:val="231F20"/>
          <w:w w:val="70"/>
          <w:sz w:val="20"/>
        </w:rPr>
        <w:t>.</w:t>
      </w:r>
    </w:p>
    <w:p>
      <w:pPr>
        <w:pStyle w:val="BodyText"/>
        <w:rPr>
          <w:rFonts w:ascii="Arial"/>
          <w:sz w:val="20"/>
        </w:rPr>
      </w:pPr>
    </w:p>
    <w:p>
      <w:pPr>
        <w:spacing w:line="210" w:lineRule="exact" w:before="123"/>
        <w:ind w:left="117" w:right="115" w:firstLine="0"/>
        <w:jc w:val="both"/>
        <w:rPr>
          <w:sz w:val="20"/>
        </w:rPr>
      </w:pPr>
      <w:r>
        <w:rPr>
          <w:color w:val="231F20"/>
          <w:sz w:val="20"/>
        </w:rPr>
        <w:t>GARCÍA BALLESTEROS, Aurora, Beatriz Jiménez Basco y Ángela Redondo González, 2009, “La inmigración latinoamericana en España en el siglo XXI”,  en </w:t>
      </w:r>
      <w:r>
        <w:rPr>
          <w:i/>
          <w:color w:val="231F20"/>
          <w:sz w:val="20"/>
        </w:rPr>
        <w:t>Investigaciones Geográficas</w:t>
      </w:r>
      <w:r>
        <w:rPr>
          <w:color w:val="231F20"/>
          <w:sz w:val="20"/>
        </w:rPr>
        <w:t>, núm. 70, diciembre-sin mes, 2009,. Universidad Nacional Autónoma de México. México. Disponible en: </w:t>
      </w:r>
      <w:hyperlink r:id="rId59">
        <w:r>
          <w:rPr>
            <w:color w:val="231F20"/>
            <w:sz w:val="20"/>
          </w:rPr>
          <w:t>http://redalyc.uaemex.</w:t>
        </w:r>
      </w:hyperlink>
      <w:r>
        <w:rPr>
          <w:color w:val="231F20"/>
          <w:sz w:val="20"/>
        </w:rPr>
        <w:t> mx/src/inicio/ArtPdfRed.jsp?iCve=56912238004</w:t>
      </w:r>
    </w:p>
    <w:p>
      <w:pPr>
        <w:spacing w:line="210" w:lineRule="exact" w:before="113"/>
        <w:ind w:left="117" w:right="115" w:firstLine="0"/>
        <w:jc w:val="both"/>
        <w:rPr>
          <w:sz w:val="20"/>
        </w:rPr>
      </w:pPr>
      <w:r>
        <w:rPr>
          <w:color w:val="231F20"/>
          <w:sz w:val="20"/>
        </w:rPr>
        <w:t>GIL, Fernando y Andreu Domingo, 2007, “Inserción laboral de la población lati- noamericana inmigrada en España”, en </w:t>
      </w:r>
      <w:r>
        <w:rPr>
          <w:i/>
          <w:color w:val="231F20"/>
          <w:sz w:val="20"/>
        </w:rPr>
        <w:t>Papers de Demografía, </w:t>
      </w:r>
      <w:r>
        <w:rPr>
          <w:color w:val="231F20"/>
          <w:sz w:val="20"/>
        </w:rPr>
        <w:t>Centre d’Estudis Demogràfics 322: 1-25.</w:t>
      </w:r>
    </w:p>
    <w:p>
      <w:pPr>
        <w:spacing w:line="210" w:lineRule="exact" w:before="113"/>
        <w:ind w:left="117" w:right="115" w:firstLine="0"/>
        <w:jc w:val="both"/>
        <w:rPr>
          <w:sz w:val="20"/>
        </w:rPr>
      </w:pPr>
      <w:r>
        <w:rPr>
          <w:color w:val="231F20"/>
          <w:sz w:val="20"/>
        </w:rPr>
        <w:t>GONZÁLEZ FUENTES, Mario, 2006, </w:t>
      </w:r>
      <w:r>
        <w:rPr>
          <w:i/>
          <w:color w:val="231F20"/>
          <w:sz w:val="20"/>
        </w:rPr>
        <w:t>Una reflexión sobre la inmigración lati- </w:t>
      </w:r>
      <w:r>
        <w:rPr>
          <w:i/>
          <w:color w:val="231F20"/>
          <w:sz w:val="20"/>
        </w:rPr>
        <w:t>noamericana en España</w:t>
      </w:r>
      <w:r>
        <w:rPr>
          <w:color w:val="231F20"/>
          <w:sz w:val="20"/>
        </w:rPr>
        <w:t>, Centro de Estudios Latinoamericanos.</w:t>
      </w:r>
    </w:p>
    <w:p>
      <w:pPr>
        <w:spacing w:line="210" w:lineRule="exact" w:before="113"/>
        <w:ind w:left="117" w:right="115" w:firstLine="0"/>
        <w:jc w:val="both"/>
        <w:rPr>
          <w:sz w:val="20"/>
        </w:rPr>
      </w:pPr>
      <w:r>
        <w:rPr>
          <w:color w:val="231F20"/>
          <w:sz w:val="20"/>
        </w:rPr>
        <w:t>HERRARTE,</w:t>
      </w:r>
      <w:r>
        <w:rPr>
          <w:color w:val="231F20"/>
          <w:spacing w:val="-20"/>
          <w:sz w:val="20"/>
        </w:rPr>
        <w:t> </w:t>
      </w:r>
      <w:r>
        <w:rPr>
          <w:color w:val="231F20"/>
          <w:sz w:val="20"/>
        </w:rPr>
        <w:t>A.,</w:t>
      </w:r>
      <w:r>
        <w:rPr>
          <w:color w:val="231F20"/>
          <w:spacing w:val="-10"/>
          <w:sz w:val="20"/>
        </w:rPr>
        <w:t> </w:t>
      </w:r>
      <w:r>
        <w:rPr>
          <w:color w:val="231F20"/>
          <w:sz w:val="20"/>
        </w:rPr>
        <w:t>E.</w:t>
      </w:r>
      <w:r>
        <w:rPr>
          <w:color w:val="231F20"/>
          <w:spacing w:val="-10"/>
          <w:sz w:val="20"/>
        </w:rPr>
        <w:t> </w:t>
      </w:r>
      <w:r>
        <w:rPr>
          <w:color w:val="231F20"/>
          <w:sz w:val="20"/>
        </w:rPr>
        <w:t>Medina</w:t>
      </w:r>
      <w:r>
        <w:rPr>
          <w:color w:val="231F20"/>
          <w:spacing w:val="-10"/>
          <w:sz w:val="20"/>
        </w:rPr>
        <w:t> </w:t>
      </w:r>
      <w:r>
        <w:rPr>
          <w:color w:val="231F20"/>
          <w:sz w:val="20"/>
        </w:rPr>
        <w:t>y</w:t>
      </w:r>
      <w:r>
        <w:rPr>
          <w:color w:val="231F20"/>
          <w:spacing w:val="-10"/>
          <w:sz w:val="20"/>
        </w:rPr>
        <w:t> </w:t>
      </w:r>
      <w:r>
        <w:rPr>
          <w:color w:val="231F20"/>
          <w:sz w:val="20"/>
        </w:rPr>
        <w:t>J.</w:t>
      </w:r>
      <w:r>
        <w:rPr>
          <w:color w:val="231F20"/>
          <w:spacing w:val="-14"/>
          <w:sz w:val="20"/>
        </w:rPr>
        <w:t> </w:t>
      </w:r>
      <w:r>
        <w:rPr>
          <w:color w:val="231F20"/>
          <w:sz w:val="20"/>
        </w:rPr>
        <w:t>Vicéns,</w:t>
      </w:r>
      <w:r>
        <w:rPr>
          <w:color w:val="231F20"/>
          <w:spacing w:val="-11"/>
          <w:sz w:val="20"/>
        </w:rPr>
        <w:t> </w:t>
      </w:r>
      <w:r>
        <w:rPr>
          <w:color w:val="231F20"/>
          <w:sz w:val="20"/>
        </w:rPr>
        <w:t>2005,</w:t>
      </w:r>
      <w:r>
        <w:rPr>
          <w:color w:val="231F20"/>
          <w:spacing w:val="-10"/>
          <w:sz w:val="20"/>
        </w:rPr>
        <w:t> </w:t>
      </w:r>
      <w:r>
        <w:rPr>
          <w:i/>
          <w:color w:val="231F20"/>
          <w:sz w:val="20"/>
        </w:rPr>
        <w:t>Cambios</w:t>
      </w:r>
      <w:r>
        <w:rPr>
          <w:i/>
          <w:color w:val="231F20"/>
          <w:spacing w:val="-10"/>
          <w:sz w:val="20"/>
        </w:rPr>
        <w:t> </w:t>
      </w:r>
      <w:r>
        <w:rPr>
          <w:i/>
          <w:color w:val="231F20"/>
          <w:sz w:val="20"/>
        </w:rPr>
        <w:t>en</w:t>
      </w:r>
      <w:r>
        <w:rPr>
          <w:i/>
          <w:color w:val="231F20"/>
          <w:spacing w:val="-10"/>
          <w:sz w:val="20"/>
        </w:rPr>
        <w:t> </w:t>
      </w:r>
      <w:r>
        <w:rPr>
          <w:i/>
          <w:color w:val="231F20"/>
          <w:sz w:val="20"/>
        </w:rPr>
        <w:t>la</w:t>
      </w:r>
      <w:r>
        <w:rPr>
          <w:i/>
          <w:color w:val="231F20"/>
          <w:spacing w:val="-10"/>
          <w:sz w:val="20"/>
        </w:rPr>
        <w:t> </w:t>
      </w:r>
      <w:r>
        <w:rPr>
          <w:i/>
          <w:color w:val="231F20"/>
          <w:sz w:val="20"/>
        </w:rPr>
        <w:t>situación</w:t>
      </w:r>
      <w:r>
        <w:rPr>
          <w:i/>
          <w:color w:val="231F20"/>
          <w:spacing w:val="-10"/>
          <w:sz w:val="20"/>
        </w:rPr>
        <w:t> </w:t>
      </w:r>
      <w:r>
        <w:rPr>
          <w:i/>
          <w:color w:val="231F20"/>
          <w:sz w:val="20"/>
        </w:rPr>
        <w:t>laboral</w:t>
      </w:r>
      <w:r>
        <w:rPr>
          <w:i/>
          <w:color w:val="231F20"/>
          <w:spacing w:val="-11"/>
          <w:sz w:val="20"/>
        </w:rPr>
        <w:t> </w:t>
      </w:r>
      <w:r>
        <w:rPr>
          <w:i/>
          <w:color w:val="231F20"/>
          <w:sz w:val="20"/>
        </w:rPr>
        <w:t>de </w:t>
      </w:r>
      <w:r>
        <w:rPr>
          <w:i/>
          <w:color w:val="231F20"/>
          <w:sz w:val="20"/>
        </w:rPr>
        <w:t>la población española ante el incremento de la inmigración</w:t>
      </w:r>
      <w:r>
        <w:rPr>
          <w:color w:val="231F20"/>
          <w:sz w:val="20"/>
        </w:rPr>
        <w:t>, en Documentos de trabajo Instituto L.R. Klein,</w:t>
      </w:r>
      <w:r>
        <w:rPr>
          <w:color w:val="231F20"/>
          <w:spacing w:val="-18"/>
          <w:sz w:val="20"/>
        </w:rPr>
        <w:t> </w:t>
      </w:r>
      <w:r>
        <w:rPr>
          <w:color w:val="231F20"/>
          <w:sz w:val="20"/>
        </w:rPr>
        <w:t>septiembre.</w:t>
      </w:r>
    </w:p>
    <w:p>
      <w:pPr>
        <w:spacing w:line="210" w:lineRule="exact" w:before="113"/>
        <w:ind w:left="117" w:right="115" w:firstLine="0"/>
        <w:jc w:val="both"/>
        <w:rPr>
          <w:sz w:val="20"/>
        </w:rPr>
      </w:pPr>
      <w:r>
        <w:rPr>
          <w:color w:val="231F20"/>
          <w:sz w:val="20"/>
        </w:rPr>
        <w:t>INE</w:t>
      </w:r>
      <w:r>
        <w:rPr>
          <w:color w:val="231F20"/>
          <w:spacing w:val="-5"/>
          <w:sz w:val="20"/>
        </w:rPr>
        <w:t> </w:t>
      </w:r>
      <w:r>
        <w:rPr>
          <w:color w:val="231F20"/>
          <w:sz w:val="20"/>
        </w:rPr>
        <w:t>(Instituto</w:t>
      </w:r>
      <w:r>
        <w:rPr>
          <w:color w:val="231F20"/>
          <w:spacing w:val="-5"/>
          <w:sz w:val="20"/>
        </w:rPr>
        <w:t> </w:t>
      </w:r>
      <w:r>
        <w:rPr>
          <w:color w:val="231F20"/>
          <w:sz w:val="20"/>
        </w:rPr>
        <w:t>Nacional</w:t>
      </w:r>
      <w:r>
        <w:rPr>
          <w:color w:val="231F20"/>
          <w:spacing w:val="-4"/>
          <w:sz w:val="20"/>
        </w:rPr>
        <w:t> </w:t>
      </w:r>
      <w:r>
        <w:rPr>
          <w:color w:val="231F20"/>
          <w:sz w:val="20"/>
        </w:rPr>
        <w:t>de</w:t>
      </w:r>
      <w:r>
        <w:rPr>
          <w:color w:val="231F20"/>
          <w:spacing w:val="-5"/>
          <w:sz w:val="20"/>
        </w:rPr>
        <w:t> </w:t>
      </w:r>
      <w:r>
        <w:rPr>
          <w:color w:val="231F20"/>
          <w:sz w:val="20"/>
        </w:rPr>
        <w:t>Estadística),</w:t>
      </w:r>
      <w:r>
        <w:rPr>
          <w:color w:val="231F20"/>
          <w:spacing w:val="-5"/>
          <w:sz w:val="20"/>
        </w:rPr>
        <w:t> </w:t>
      </w:r>
      <w:r>
        <w:rPr>
          <w:color w:val="231F20"/>
          <w:sz w:val="20"/>
        </w:rPr>
        <w:t>2000,</w:t>
      </w:r>
      <w:r>
        <w:rPr>
          <w:color w:val="231F20"/>
          <w:spacing w:val="-5"/>
          <w:sz w:val="20"/>
        </w:rPr>
        <w:t> </w:t>
      </w:r>
      <w:r>
        <w:rPr>
          <w:i/>
          <w:color w:val="231F20"/>
          <w:sz w:val="20"/>
        </w:rPr>
        <w:t>Encuesta</w:t>
      </w:r>
      <w:r>
        <w:rPr>
          <w:i/>
          <w:color w:val="231F20"/>
          <w:spacing w:val="-5"/>
          <w:sz w:val="20"/>
        </w:rPr>
        <w:t> </w:t>
      </w:r>
      <w:r>
        <w:rPr>
          <w:i/>
          <w:color w:val="231F20"/>
          <w:sz w:val="20"/>
        </w:rPr>
        <w:t>de</w:t>
      </w:r>
      <w:r>
        <w:rPr>
          <w:i/>
          <w:color w:val="231F20"/>
          <w:spacing w:val="-5"/>
          <w:sz w:val="20"/>
        </w:rPr>
        <w:t> </w:t>
      </w:r>
      <w:r>
        <w:rPr>
          <w:i/>
          <w:color w:val="231F20"/>
          <w:sz w:val="20"/>
        </w:rPr>
        <w:t>Población</w:t>
      </w:r>
      <w:r>
        <w:rPr>
          <w:i/>
          <w:color w:val="231F20"/>
          <w:spacing w:val="-9"/>
          <w:sz w:val="20"/>
        </w:rPr>
        <w:t> </w:t>
      </w:r>
      <w:r>
        <w:rPr>
          <w:i/>
          <w:color w:val="231F20"/>
          <w:sz w:val="20"/>
        </w:rPr>
        <w:t>Activa</w:t>
      </w:r>
      <w:r>
        <w:rPr>
          <w:i/>
          <w:color w:val="231F20"/>
          <w:spacing w:val="-5"/>
          <w:sz w:val="20"/>
        </w:rPr>
        <w:t> </w:t>
      </w:r>
      <w:r>
        <w:rPr>
          <w:i/>
          <w:color w:val="231F20"/>
          <w:spacing w:val="-7"/>
          <w:sz w:val="20"/>
        </w:rPr>
        <w:t>EPA</w:t>
      </w:r>
      <w:r>
        <w:rPr>
          <w:color w:val="231F20"/>
          <w:spacing w:val="-7"/>
          <w:sz w:val="20"/>
        </w:rPr>
        <w:t>, </w:t>
      </w:r>
      <w:r>
        <w:rPr>
          <w:color w:val="231F20"/>
          <w:sz w:val="20"/>
        </w:rPr>
        <w:t>Madrid,</w:t>
      </w:r>
      <w:r>
        <w:rPr>
          <w:color w:val="231F20"/>
          <w:spacing w:val="-6"/>
          <w:sz w:val="20"/>
        </w:rPr>
        <w:t> </w:t>
      </w:r>
      <w:r>
        <w:rPr>
          <w:color w:val="231F20"/>
          <w:sz w:val="20"/>
        </w:rPr>
        <w:t>España.</w:t>
      </w:r>
    </w:p>
    <w:p>
      <w:pPr>
        <w:spacing w:line="210" w:lineRule="exact" w:before="113"/>
        <w:ind w:left="117" w:right="115" w:firstLine="0"/>
        <w:jc w:val="both"/>
        <w:rPr>
          <w:sz w:val="20"/>
        </w:rPr>
      </w:pPr>
      <w:r>
        <w:rPr>
          <w:color w:val="231F20"/>
          <w:sz w:val="20"/>
        </w:rPr>
        <w:t>INE</w:t>
      </w:r>
      <w:r>
        <w:rPr>
          <w:color w:val="231F20"/>
          <w:spacing w:val="-5"/>
          <w:sz w:val="20"/>
        </w:rPr>
        <w:t> </w:t>
      </w:r>
      <w:r>
        <w:rPr>
          <w:color w:val="231F20"/>
          <w:sz w:val="20"/>
        </w:rPr>
        <w:t>(Instituto</w:t>
      </w:r>
      <w:r>
        <w:rPr>
          <w:color w:val="231F20"/>
          <w:spacing w:val="-5"/>
          <w:sz w:val="20"/>
        </w:rPr>
        <w:t> </w:t>
      </w:r>
      <w:r>
        <w:rPr>
          <w:color w:val="231F20"/>
          <w:sz w:val="20"/>
        </w:rPr>
        <w:t>Nacional</w:t>
      </w:r>
      <w:r>
        <w:rPr>
          <w:color w:val="231F20"/>
          <w:spacing w:val="-4"/>
          <w:sz w:val="20"/>
        </w:rPr>
        <w:t> </w:t>
      </w:r>
      <w:r>
        <w:rPr>
          <w:color w:val="231F20"/>
          <w:sz w:val="20"/>
        </w:rPr>
        <w:t>de</w:t>
      </w:r>
      <w:r>
        <w:rPr>
          <w:color w:val="231F20"/>
          <w:spacing w:val="-5"/>
          <w:sz w:val="20"/>
        </w:rPr>
        <w:t> </w:t>
      </w:r>
      <w:r>
        <w:rPr>
          <w:color w:val="231F20"/>
          <w:sz w:val="20"/>
        </w:rPr>
        <w:t>Estadística),</w:t>
      </w:r>
      <w:r>
        <w:rPr>
          <w:color w:val="231F20"/>
          <w:spacing w:val="-5"/>
          <w:sz w:val="20"/>
        </w:rPr>
        <w:t> </w:t>
      </w:r>
      <w:r>
        <w:rPr>
          <w:color w:val="231F20"/>
          <w:sz w:val="20"/>
        </w:rPr>
        <w:t>2005,</w:t>
      </w:r>
      <w:r>
        <w:rPr>
          <w:color w:val="231F20"/>
          <w:spacing w:val="-5"/>
          <w:sz w:val="20"/>
        </w:rPr>
        <w:t> </w:t>
      </w:r>
      <w:r>
        <w:rPr>
          <w:i/>
          <w:color w:val="231F20"/>
          <w:sz w:val="20"/>
        </w:rPr>
        <w:t>Encuesta</w:t>
      </w:r>
      <w:r>
        <w:rPr>
          <w:i/>
          <w:color w:val="231F20"/>
          <w:spacing w:val="-5"/>
          <w:sz w:val="20"/>
        </w:rPr>
        <w:t> </w:t>
      </w:r>
      <w:r>
        <w:rPr>
          <w:i/>
          <w:color w:val="231F20"/>
          <w:sz w:val="20"/>
        </w:rPr>
        <w:t>de</w:t>
      </w:r>
      <w:r>
        <w:rPr>
          <w:i/>
          <w:color w:val="231F20"/>
          <w:spacing w:val="-5"/>
          <w:sz w:val="20"/>
        </w:rPr>
        <w:t> </w:t>
      </w:r>
      <w:r>
        <w:rPr>
          <w:i/>
          <w:color w:val="231F20"/>
          <w:sz w:val="20"/>
        </w:rPr>
        <w:t>Población</w:t>
      </w:r>
      <w:r>
        <w:rPr>
          <w:i/>
          <w:color w:val="231F20"/>
          <w:spacing w:val="-9"/>
          <w:sz w:val="20"/>
        </w:rPr>
        <w:t> </w:t>
      </w:r>
      <w:r>
        <w:rPr>
          <w:i/>
          <w:color w:val="231F20"/>
          <w:sz w:val="20"/>
        </w:rPr>
        <w:t>Activa</w:t>
      </w:r>
      <w:r>
        <w:rPr>
          <w:i/>
          <w:color w:val="231F20"/>
          <w:spacing w:val="-5"/>
          <w:sz w:val="20"/>
        </w:rPr>
        <w:t> </w:t>
      </w:r>
      <w:r>
        <w:rPr>
          <w:i/>
          <w:color w:val="231F20"/>
          <w:spacing w:val="-7"/>
          <w:sz w:val="20"/>
        </w:rPr>
        <w:t>EPA</w:t>
      </w:r>
      <w:r>
        <w:rPr>
          <w:color w:val="231F20"/>
          <w:spacing w:val="-7"/>
          <w:sz w:val="20"/>
        </w:rPr>
        <w:t>, </w:t>
      </w:r>
      <w:r>
        <w:rPr>
          <w:color w:val="231F20"/>
          <w:sz w:val="20"/>
        </w:rPr>
        <w:t>Madrid,</w:t>
      </w:r>
      <w:r>
        <w:rPr>
          <w:color w:val="231F20"/>
          <w:spacing w:val="-6"/>
          <w:sz w:val="20"/>
        </w:rPr>
        <w:t> </w:t>
      </w:r>
      <w:r>
        <w:rPr>
          <w:color w:val="231F20"/>
          <w:sz w:val="20"/>
        </w:rPr>
        <w:t>España.</w:t>
      </w:r>
    </w:p>
    <w:p>
      <w:pPr>
        <w:spacing w:line="210" w:lineRule="exact" w:before="113"/>
        <w:ind w:left="117" w:right="115" w:firstLine="0"/>
        <w:jc w:val="both"/>
        <w:rPr>
          <w:sz w:val="20"/>
        </w:rPr>
      </w:pPr>
      <w:r>
        <w:rPr>
          <w:color w:val="231F20"/>
          <w:sz w:val="20"/>
        </w:rPr>
        <w:t>INE</w:t>
      </w:r>
      <w:r>
        <w:rPr>
          <w:color w:val="231F20"/>
          <w:spacing w:val="-9"/>
          <w:sz w:val="20"/>
        </w:rPr>
        <w:t> </w:t>
      </w:r>
      <w:r>
        <w:rPr>
          <w:color w:val="231F20"/>
          <w:sz w:val="20"/>
        </w:rPr>
        <w:t>(Instituto</w:t>
      </w:r>
      <w:r>
        <w:rPr>
          <w:color w:val="231F20"/>
          <w:spacing w:val="-9"/>
          <w:sz w:val="20"/>
        </w:rPr>
        <w:t> </w:t>
      </w:r>
      <w:r>
        <w:rPr>
          <w:color w:val="231F20"/>
          <w:sz w:val="20"/>
        </w:rPr>
        <w:t>Nacional</w:t>
      </w:r>
      <w:r>
        <w:rPr>
          <w:color w:val="231F20"/>
          <w:spacing w:val="-8"/>
          <w:sz w:val="20"/>
        </w:rPr>
        <w:t> </w:t>
      </w:r>
      <w:r>
        <w:rPr>
          <w:color w:val="231F20"/>
          <w:sz w:val="20"/>
        </w:rPr>
        <w:t>de</w:t>
      </w:r>
      <w:r>
        <w:rPr>
          <w:color w:val="231F20"/>
          <w:spacing w:val="-9"/>
          <w:sz w:val="20"/>
        </w:rPr>
        <w:t> </w:t>
      </w:r>
      <w:r>
        <w:rPr>
          <w:color w:val="231F20"/>
          <w:sz w:val="20"/>
        </w:rPr>
        <w:t>Estadística),</w:t>
      </w:r>
      <w:r>
        <w:rPr>
          <w:color w:val="231F20"/>
          <w:spacing w:val="-9"/>
          <w:sz w:val="20"/>
        </w:rPr>
        <w:t> </w:t>
      </w:r>
      <w:r>
        <w:rPr>
          <w:color w:val="231F20"/>
          <w:sz w:val="20"/>
        </w:rPr>
        <w:t>2008,</w:t>
      </w:r>
      <w:r>
        <w:rPr>
          <w:color w:val="231F20"/>
          <w:spacing w:val="-9"/>
          <w:sz w:val="20"/>
        </w:rPr>
        <w:t> </w:t>
      </w:r>
      <w:r>
        <w:rPr>
          <w:i/>
          <w:color w:val="231F20"/>
          <w:sz w:val="20"/>
        </w:rPr>
        <w:t>Anuario</w:t>
      </w:r>
      <w:r>
        <w:rPr>
          <w:i/>
          <w:color w:val="231F20"/>
          <w:spacing w:val="-9"/>
          <w:sz w:val="20"/>
        </w:rPr>
        <w:t> </w:t>
      </w:r>
      <w:r>
        <w:rPr>
          <w:i/>
          <w:color w:val="231F20"/>
          <w:sz w:val="20"/>
        </w:rPr>
        <w:t>estadístico</w:t>
      </w:r>
      <w:r>
        <w:rPr>
          <w:i/>
          <w:color w:val="231F20"/>
          <w:spacing w:val="-9"/>
          <w:sz w:val="20"/>
        </w:rPr>
        <w:t> </w:t>
      </w:r>
      <w:r>
        <w:rPr>
          <w:i/>
          <w:color w:val="231F20"/>
          <w:sz w:val="20"/>
        </w:rPr>
        <w:t>de</w:t>
      </w:r>
      <w:r>
        <w:rPr>
          <w:i/>
          <w:color w:val="231F20"/>
          <w:spacing w:val="-9"/>
          <w:sz w:val="20"/>
        </w:rPr>
        <w:t> </w:t>
      </w:r>
      <w:r>
        <w:rPr>
          <w:i/>
          <w:color w:val="231F20"/>
          <w:sz w:val="20"/>
        </w:rPr>
        <w:t>España</w:t>
      </w:r>
      <w:r>
        <w:rPr>
          <w:color w:val="231F20"/>
          <w:sz w:val="20"/>
        </w:rPr>
        <w:t>,</w:t>
      </w:r>
      <w:r>
        <w:rPr>
          <w:color w:val="231F20"/>
          <w:spacing w:val="-9"/>
          <w:sz w:val="20"/>
        </w:rPr>
        <w:t> </w:t>
      </w:r>
      <w:r>
        <w:rPr>
          <w:color w:val="231F20"/>
          <w:sz w:val="20"/>
        </w:rPr>
        <w:t>Ma- drid, España.</w:t>
      </w:r>
    </w:p>
    <w:p>
      <w:pPr>
        <w:spacing w:line="210" w:lineRule="exact" w:before="113"/>
        <w:ind w:left="117" w:right="115" w:firstLine="0"/>
        <w:jc w:val="both"/>
        <w:rPr>
          <w:sz w:val="20"/>
        </w:rPr>
      </w:pPr>
      <w:r>
        <w:rPr>
          <w:color w:val="231F20"/>
          <w:sz w:val="20"/>
        </w:rPr>
        <w:t>MARTÍNEZ VEIGA, U., 1997, </w:t>
      </w:r>
      <w:r>
        <w:rPr>
          <w:i/>
          <w:color w:val="231F20"/>
          <w:sz w:val="20"/>
        </w:rPr>
        <w:t>La integración social de los inmigrantes extran- </w:t>
      </w:r>
      <w:r>
        <w:rPr>
          <w:i/>
          <w:color w:val="231F20"/>
          <w:sz w:val="20"/>
        </w:rPr>
        <w:t>jeros en España, </w:t>
      </w:r>
      <w:r>
        <w:rPr>
          <w:color w:val="231F20"/>
          <w:sz w:val="20"/>
        </w:rPr>
        <w:t>Trotta, Madrid.</w:t>
      </w:r>
    </w:p>
    <w:p>
      <w:pPr>
        <w:spacing w:line="210" w:lineRule="exact" w:before="113"/>
        <w:ind w:left="117" w:right="115" w:firstLine="0"/>
        <w:jc w:val="both"/>
        <w:rPr>
          <w:sz w:val="20"/>
        </w:rPr>
      </w:pPr>
      <w:r>
        <w:rPr>
          <w:color w:val="231F20"/>
          <w:sz w:val="20"/>
        </w:rPr>
        <w:t>MARTÍNEZ VEIGA, U., 2000, “Mercado de trabajo e inmigración. El trabajo doméstico como paradigma” en F.Checa y Arjona (coords.), </w:t>
      </w:r>
      <w:r>
        <w:rPr>
          <w:i/>
          <w:color w:val="231F20"/>
          <w:sz w:val="20"/>
        </w:rPr>
        <w:t>Convivencia entre </w:t>
      </w:r>
      <w:r>
        <w:rPr>
          <w:i/>
          <w:color w:val="231F20"/>
          <w:sz w:val="20"/>
        </w:rPr>
        <w:t>culturas. El fenómeno migratorio en España, </w:t>
      </w:r>
      <w:r>
        <w:rPr>
          <w:color w:val="231F20"/>
          <w:sz w:val="20"/>
        </w:rPr>
        <w:t>Signatura Demos, Sevilla.</w:t>
      </w:r>
    </w:p>
    <w:p>
      <w:pPr>
        <w:spacing w:line="210" w:lineRule="exact" w:before="113"/>
        <w:ind w:left="117" w:right="115" w:firstLine="0"/>
        <w:jc w:val="both"/>
        <w:rPr>
          <w:sz w:val="20"/>
        </w:rPr>
      </w:pPr>
      <w:r>
        <w:rPr>
          <w:color w:val="231F20"/>
          <w:sz w:val="20"/>
        </w:rPr>
        <w:t>MIYAR BUSTO, María y Luis Garrido Medina, 2010, </w:t>
      </w:r>
      <w:r>
        <w:rPr>
          <w:i/>
          <w:color w:val="231F20"/>
          <w:sz w:val="20"/>
        </w:rPr>
        <w:t>La dinámica de los flujos </w:t>
      </w:r>
      <w:r>
        <w:rPr>
          <w:i/>
          <w:color w:val="231F20"/>
          <w:sz w:val="20"/>
        </w:rPr>
        <w:t>migratorios de entrada en España</w:t>
      </w:r>
      <w:r>
        <w:rPr>
          <w:color w:val="231F20"/>
          <w:sz w:val="20"/>
        </w:rPr>
        <w:t>, Universidad Nacional de Educación a Distan- cia UNED y CESC. Instituto de Estudios Fiscales.</w:t>
      </w:r>
    </w:p>
    <w:p>
      <w:pPr>
        <w:spacing w:line="210" w:lineRule="exact" w:before="113"/>
        <w:ind w:left="117" w:right="115" w:firstLine="0"/>
        <w:jc w:val="both"/>
        <w:rPr>
          <w:sz w:val="20"/>
        </w:rPr>
      </w:pPr>
      <w:r>
        <w:rPr>
          <w:color w:val="231F20"/>
          <w:sz w:val="20"/>
        </w:rPr>
        <w:t>PELIGERO ESCUDERO, Pilar, 2006, “Inmigración y mercado laboral” en </w:t>
      </w:r>
      <w:r>
        <w:rPr>
          <w:i/>
          <w:color w:val="231F20"/>
          <w:sz w:val="20"/>
        </w:rPr>
        <w:t>Con- </w:t>
      </w:r>
      <w:r>
        <w:rPr>
          <w:i/>
          <w:color w:val="231F20"/>
          <w:sz w:val="20"/>
        </w:rPr>
        <w:t>trol de los flujos migratorios hacia España: Situación actual y propuestas de ac- tuación</w:t>
      </w:r>
      <w:r>
        <w:rPr>
          <w:color w:val="231F20"/>
          <w:sz w:val="20"/>
        </w:rPr>
        <w:t>, Centro Superior de Estudios de la Defensa Nacional, Documentos de Seguridad y Defensa núm. 6.</w:t>
      </w:r>
    </w:p>
    <w:p>
      <w:pPr>
        <w:spacing w:line="210" w:lineRule="exact" w:before="113"/>
        <w:ind w:left="117" w:right="115" w:firstLine="0"/>
        <w:jc w:val="both"/>
        <w:rPr>
          <w:sz w:val="20"/>
        </w:rPr>
      </w:pPr>
      <w:r>
        <w:rPr>
          <w:color w:val="231F20"/>
          <w:sz w:val="20"/>
        </w:rPr>
        <w:t>TEDESCO, L., 2008, </w:t>
      </w:r>
      <w:r>
        <w:rPr>
          <w:i/>
          <w:color w:val="231F20"/>
          <w:sz w:val="20"/>
        </w:rPr>
        <w:t>Inmigrantes latinoamericanos en España</w:t>
      </w:r>
      <w:r>
        <w:rPr>
          <w:color w:val="231F20"/>
          <w:sz w:val="20"/>
        </w:rPr>
        <w:t>, en Real Instituto Elcano, Anuario 2008 América Latina, Madrid.</w:t>
      </w:r>
    </w:p>
    <w:p>
      <w:pPr>
        <w:spacing w:line="210" w:lineRule="exact" w:before="113"/>
        <w:ind w:left="117" w:right="115" w:firstLine="0"/>
        <w:jc w:val="both"/>
        <w:rPr>
          <w:sz w:val="20"/>
        </w:rPr>
      </w:pPr>
      <w:r>
        <w:rPr>
          <w:color w:val="231F20"/>
          <w:sz w:val="20"/>
        </w:rPr>
        <w:t>TORRADO, Vicente, 2006, “La inmigración latinoamericana en España”, en </w:t>
      </w:r>
      <w:r>
        <w:rPr>
          <w:i/>
          <w:color w:val="231F20"/>
          <w:sz w:val="20"/>
        </w:rPr>
        <w:t>Ex- </w:t>
      </w:r>
      <w:r>
        <w:rPr>
          <w:i/>
          <w:color w:val="231F20"/>
          <w:sz w:val="20"/>
        </w:rPr>
        <w:t>pert group meeting on international migration and development in Latin Ameri- ca and the Caribbean, </w:t>
      </w:r>
      <w:r>
        <w:rPr>
          <w:color w:val="231F20"/>
          <w:sz w:val="20"/>
        </w:rPr>
        <w:t>Population Division Department of Economic and Social Affairs United Nations Secretariat Mexico City, 30 november-2 december, 2005.</w:t>
      </w:r>
    </w:p>
    <w:p>
      <w:pPr>
        <w:spacing w:after="0" w:line="210" w:lineRule="exact"/>
        <w:jc w:val="both"/>
        <w:rPr>
          <w:sz w:val="20"/>
        </w:rPr>
        <w:sectPr>
          <w:pgSz w:w="9360" w:h="13040"/>
          <w:pgMar w:header="0" w:footer="496" w:top="740" w:bottom="680" w:left="1300" w:right="1300"/>
        </w:sectPr>
      </w:pPr>
    </w:p>
    <w:p>
      <w:pPr>
        <w:tabs>
          <w:tab w:pos="5536" w:val="left" w:leader="none"/>
        </w:tabs>
        <w:spacing w:before="48"/>
        <w:ind w:left="105" w:right="0" w:firstLine="0"/>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spacing w:before="1"/>
        <w:ind w:left="117" w:right="0" w:firstLine="0"/>
        <w:jc w:val="both"/>
        <w:rPr>
          <w:i/>
          <w:sz w:val="22"/>
        </w:rPr>
      </w:pPr>
      <w:r>
        <w:rPr>
          <w:i/>
          <w:color w:val="231F20"/>
          <w:sz w:val="22"/>
        </w:rPr>
        <w:t>Lucila Godínez-Montoya</w:t>
      </w:r>
    </w:p>
    <w:p>
      <w:pPr>
        <w:pStyle w:val="BodyText"/>
        <w:spacing w:before="2"/>
        <w:rPr>
          <w:i/>
          <w:sz w:val="23"/>
        </w:rPr>
      </w:pPr>
    </w:p>
    <w:p>
      <w:pPr>
        <w:spacing w:line="247" w:lineRule="auto" w:before="0"/>
        <w:ind w:left="117" w:right="114" w:firstLine="0"/>
        <w:jc w:val="both"/>
        <w:rPr>
          <w:sz w:val="22"/>
        </w:rPr>
      </w:pPr>
      <w:r>
        <w:rPr>
          <w:color w:val="231F20"/>
          <w:sz w:val="22"/>
        </w:rPr>
        <w:t>Doctora en Ciencias en Economía Agrícola por la Universidad Autónoma Chapingo. Es profesora de asignatura de la Licenciatura en Economía del Centro Universitario UAEM-Texcoco, donde imparte las materias de Mi- croeconomía </w:t>
      </w:r>
      <w:r>
        <w:rPr>
          <w:color w:val="231F20"/>
          <w:spacing w:val="-3"/>
          <w:sz w:val="22"/>
        </w:rPr>
        <w:t>Avanzada </w:t>
      </w:r>
      <w:r>
        <w:rPr>
          <w:color w:val="231F20"/>
          <w:sz w:val="22"/>
        </w:rPr>
        <w:t>y Hacienda Pública. Entre sus últimas publicacio- nes</w:t>
      </w:r>
      <w:r>
        <w:rPr>
          <w:color w:val="231F20"/>
          <w:spacing w:val="-13"/>
          <w:sz w:val="22"/>
        </w:rPr>
        <w:t> </w:t>
      </w:r>
      <w:r>
        <w:rPr>
          <w:color w:val="231F20"/>
          <w:sz w:val="22"/>
        </w:rPr>
        <w:t>se</w:t>
      </w:r>
      <w:r>
        <w:rPr>
          <w:color w:val="231F20"/>
          <w:spacing w:val="-13"/>
          <w:sz w:val="22"/>
        </w:rPr>
        <w:t> </w:t>
      </w:r>
      <w:r>
        <w:rPr>
          <w:color w:val="231F20"/>
          <w:sz w:val="22"/>
        </w:rPr>
        <w:t>encuentran</w:t>
      </w:r>
      <w:r>
        <w:rPr>
          <w:color w:val="231F20"/>
          <w:spacing w:val="-13"/>
          <w:sz w:val="22"/>
        </w:rPr>
        <w:t> </w:t>
      </w:r>
      <w:r>
        <w:rPr>
          <w:color w:val="231F20"/>
          <w:sz w:val="22"/>
        </w:rPr>
        <w:t>“Análisis</w:t>
      </w:r>
      <w:r>
        <w:rPr>
          <w:color w:val="231F20"/>
          <w:spacing w:val="-13"/>
          <w:sz w:val="22"/>
        </w:rPr>
        <w:t> </w:t>
      </w:r>
      <w:r>
        <w:rPr>
          <w:color w:val="231F20"/>
          <w:sz w:val="22"/>
        </w:rPr>
        <w:t>de</w:t>
      </w:r>
      <w:r>
        <w:rPr>
          <w:color w:val="231F20"/>
          <w:spacing w:val="-13"/>
          <w:sz w:val="22"/>
        </w:rPr>
        <w:t> </w:t>
      </w:r>
      <w:r>
        <w:rPr>
          <w:color w:val="231F20"/>
          <w:sz w:val="22"/>
        </w:rPr>
        <w:t>la</w:t>
      </w:r>
      <w:r>
        <w:rPr>
          <w:color w:val="231F20"/>
          <w:spacing w:val="-13"/>
          <w:sz w:val="22"/>
        </w:rPr>
        <w:t> </w:t>
      </w:r>
      <w:r>
        <w:rPr>
          <w:color w:val="231F20"/>
          <w:sz w:val="22"/>
        </w:rPr>
        <w:t>deuda</w:t>
      </w:r>
      <w:r>
        <w:rPr>
          <w:color w:val="231F20"/>
          <w:spacing w:val="-13"/>
          <w:sz w:val="22"/>
        </w:rPr>
        <w:t> </w:t>
      </w:r>
      <w:r>
        <w:rPr>
          <w:color w:val="231F20"/>
          <w:sz w:val="22"/>
        </w:rPr>
        <w:t>y</w:t>
      </w:r>
      <w:r>
        <w:rPr>
          <w:color w:val="231F20"/>
          <w:spacing w:val="-13"/>
          <w:sz w:val="22"/>
        </w:rPr>
        <w:t> </w:t>
      </w:r>
      <w:r>
        <w:rPr>
          <w:color w:val="231F20"/>
          <w:sz w:val="22"/>
        </w:rPr>
        <w:t>el</w:t>
      </w:r>
      <w:r>
        <w:rPr>
          <w:color w:val="231F20"/>
          <w:spacing w:val="-13"/>
          <w:sz w:val="22"/>
        </w:rPr>
        <w:t> </w:t>
      </w:r>
      <w:r>
        <w:rPr>
          <w:color w:val="231F20"/>
          <w:sz w:val="22"/>
        </w:rPr>
        <w:t>gasto</w:t>
      </w:r>
      <w:r>
        <w:rPr>
          <w:color w:val="231F20"/>
          <w:spacing w:val="-13"/>
          <w:sz w:val="22"/>
        </w:rPr>
        <w:t> </w:t>
      </w:r>
      <w:r>
        <w:rPr>
          <w:color w:val="231F20"/>
          <w:sz w:val="22"/>
        </w:rPr>
        <w:t>público</w:t>
      </w:r>
      <w:r>
        <w:rPr>
          <w:color w:val="231F20"/>
          <w:spacing w:val="-13"/>
          <w:sz w:val="22"/>
        </w:rPr>
        <w:t> </w:t>
      </w:r>
      <w:r>
        <w:rPr>
          <w:color w:val="231F20"/>
          <w:sz w:val="22"/>
        </w:rPr>
        <w:t>en</w:t>
      </w:r>
      <w:r>
        <w:rPr>
          <w:color w:val="231F20"/>
          <w:spacing w:val="-13"/>
          <w:sz w:val="22"/>
        </w:rPr>
        <w:t> </w:t>
      </w:r>
      <w:r>
        <w:rPr>
          <w:color w:val="231F20"/>
          <w:sz w:val="22"/>
        </w:rPr>
        <w:t>el</w:t>
      </w:r>
      <w:r>
        <w:rPr>
          <w:color w:val="231F20"/>
          <w:spacing w:val="-13"/>
          <w:sz w:val="22"/>
        </w:rPr>
        <w:t> </w:t>
      </w:r>
      <w:r>
        <w:rPr>
          <w:color w:val="231F20"/>
          <w:sz w:val="22"/>
        </w:rPr>
        <w:t>crecimiento económico de México, 1980-2012”, en </w:t>
      </w:r>
      <w:r>
        <w:rPr>
          <w:i/>
          <w:color w:val="231F20"/>
          <w:sz w:val="22"/>
        </w:rPr>
        <w:t>Estudios en Finanzas y Contabili- </w:t>
      </w:r>
      <w:r>
        <w:rPr>
          <w:i/>
          <w:color w:val="231F20"/>
          <w:sz w:val="22"/>
        </w:rPr>
        <w:t>dad: España y América Latina; Estado del arte y las nuevas metodología aplicadas</w:t>
      </w:r>
      <w:r>
        <w:rPr>
          <w:color w:val="231F20"/>
          <w:sz w:val="22"/>
        </w:rPr>
        <w:t>, ECORFAN-México, 2013; “Análisis de política agropecuaria mediante la matriz de contabilidad social en una comunidad rural de Mé- xico” en </w:t>
      </w:r>
      <w:r>
        <w:rPr>
          <w:i/>
          <w:color w:val="231F20"/>
          <w:sz w:val="22"/>
        </w:rPr>
        <w:t>Optimización estocástica-recursiva coherente-sistemática y sus </w:t>
      </w:r>
      <w:r>
        <w:rPr>
          <w:i/>
          <w:color w:val="231F20"/>
          <w:sz w:val="22"/>
        </w:rPr>
        <w:t>variantes</w:t>
      </w:r>
      <w:r>
        <w:rPr>
          <w:color w:val="231F20"/>
          <w:sz w:val="22"/>
        </w:rPr>
        <w:t>, ECORFAN-México, 2012 (ambos en coautoría), y “Migration and remittances on Mexican economic growth” (coautora) en </w:t>
      </w:r>
      <w:r>
        <w:rPr>
          <w:i/>
          <w:color w:val="231F20"/>
          <w:spacing w:val="-5"/>
          <w:sz w:val="22"/>
        </w:rPr>
        <w:t>ECORFAN </w:t>
      </w:r>
      <w:r>
        <w:rPr>
          <w:i/>
          <w:color w:val="231F20"/>
          <w:sz w:val="22"/>
        </w:rPr>
        <w:t>Journal</w:t>
      </w:r>
      <w:r>
        <w:rPr>
          <w:color w:val="231F20"/>
          <w:sz w:val="22"/>
        </w:rPr>
        <w:t>,</w:t>
      </w:r>
      <w:r>
        <w:rPr>
          <w:color w:val="231F20"/>
          <w:spacing w:val="-1"/>
          <w:sz w:val="22"/>
        </w:rPr>
        <w:t> </w:t>
      </w:r>
      <w:r>
        <w:rPr>
          <w:color w:val="231F20"/>
          <w:sz w:val="22"/>
        </w:rPr>
        <w:t>2013.</w:t>
      </w:r>
    </w:p>
    <w:p>
      <w:pPr>
        <w:pStyle w:val="BodyText"/>
        <w:spacing w:before="6"/>
      </w:pPr>
    </w:p>
    <w:p>
      <w:pPr>
        <w:pStyle w:val="BodyText"/>
        <w:ind w:left="117"/>
        <w:jc w:val="both"/>
      </w:pPr>
      <w:r>
        <w:rPr>
          <w:color w:val="231F20"/>
        </w:rPr>
        <w:t>Correo electrónico: </w:t>
      </w:r>
      <w:hyperlink r:id="rId61">
        <w:r>
          <w:rPr>
            <w:color w:val="231F20"/>
          </w:rPr>
          <w:t>lucilagm76@hotmail.com</w:t>
        </w:r>
      </w:hyperlink>
    </w:p>
    <w:p>
      <w:pPr>
        <w:spacing w:after="0"/>
        <w:jc w:val="both"/>
        <w:sectPr>
          <w:footerReference w:type="default" r:id="rId60"/>
          <w:pgSz w:w="9360" w:h="13040"/>
          <w:pgMar w:footer="496" w:header="0" w:top="800" w:bottom="680" w:left="1300" w:right="1300"/>
        </w:sectPr>
      </w:pPr>
    </w:p>
    <w:p>
      <w:pPr>
        <w:pStyle w:val="BodyText"/>
        <w:ind w:left="112"/>
        <w:rPr>
          <w:sz w:val="20"/>
        </w:rPr>
      </w:pPr>
      <w:r>
        <w:rPr/>
        <w:pict>
          <v:shape style="position:absolute;margin-left:57.165001pt;margin-top:595.864014pt;width:353.4pt;height:43.5pt;mso-position-horizontal-relative:page;mso-position-vertical-relative:page;z-index:-642856" type="#_x0000_t202" filled="false" stroked="false">
            <v:textbox inset="0,0,0,0">
              <w:txbxContent>
                <w:p>
                  <w:pPr>
                    <w:pStyle w:val="BodyText"/>
                    <w:rPr>
                      <w:b/>
                      <w:sz w:val="20"/>
                    </w:rPr>
                  </w:pPr>
                </w:p>
                <w:p>
                  <w:pPr>
                    <w:spacing w:before="147"/>
                    <w:ind w:left="2916" w:right="3055" w:firstLine="0"/>
                    <w:jc w:val="center"/>
                    <w:rPr>
                      <w:rFonts w:ascii="Verdana"/>
                      <w:sz w:val="20"/>
                    </w:rPr>
                  </w:pPr>
                  <w:r>
                    <w:rPr>
                      <w:rFonts w:ascii="Verdana"/>
                      <w:color w:val="231F20"/>
                      <w:sz w:val="20"/>
                    </w:rPr>
                    <w:t>31</w:t>
                  </w:r>
                </w:p>
              </w:txbxContent>
            </v:textbox>
            <w10:wrap type="none"/>
          </v:shape>
        </w:pict>
      </w:r>
      <w:r>
        <w:rPr/>
        <w:pict>
          <v:shape style="position:absolute;margin-left:57.638pt;margin-top:20.784994pt;width:353.4pt;height:43.5pt;mso-position-horizontal-relative:page;mso-position-vertical-relative:page;z-index:-642832" type="#_x0000_t202" filled="false" stroked="false">
            <v:textbox inset="0,0,0,0">
              <w:txbxContent>
                <w:p>
                  <w:pPr>
                    <w:pStyle w:val="BodyText"/>
                    <w:rPr>
                      <w:b/>
                      <w:sz w:val="20"/>
                    </w:rPr>
                  </w:pPr>
                </w:p>
                <w:p>
                  <w:pPr>
                    <w:spacing w:before="159"/>
                    <w:ind w:left="595" w:right="0" w:firstLine="0"/>
                    <w:jc w:val="left"/>
                    <w:rPr>
                      <w:rFonts w:ascii="Arial" w:hAnsi="Arial"/>
                      <w:sz w:val="20"/>
                    </w:rPr>
                  </w:pPr>
                  <w:r>
                    <w:rPr>
                      <w:rFonts w:ascii="Arial" w:hAnsi="Arial"/>
                      <w:color w:val="231F20"/>
                      <w:w w:val="70"/>
                      <w:sz w:val="20"/>
                    </w:rPr>
                    <w:t>Globalización y emigración latinoamericana y caribeña a Estados Unidos /Ramiro Morales-Hernández</w:t>
                  </w:r>
                </w:p>
              </w:txbxContent>
            </v:textbox>
            <w10:wrap type="none"/>
          </v:shape>
        </w:pict>
      </w: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249" w:lineRule="auto" w:before="181"/>
        <w:ind w:left="2278" w:right="378" w:firstLine="3694"/>
      </w:pPr>
      <w:r>
        <w:rPr>
          <w:color w:val="231F20"/>
          <w:w w:val="75"/>
        </w:rPr>
        <w:t>Parte 2 Migrantes y remesas en la economía</w:t>
      </w:r>
    </w:p>
    <w:p>
      <w:pPr>
        <w:spacing w:before="2"/>
        <w:ind w:left="4514" w:right="297" w:firstLine="0"/>
        <w:jc w:val="left"/>
        <w:rPr>
          <w:b/>
          <w:sz w:val="40"/>
        </w:rPr>
      </w:pPr>
      <w:r>
        <w:rPr>
          <w:b/>
          <w:color w:val="231F20"/>
          <w:w w:val="75"/>
          <w:sz w:val="40"/>
        </w:rPr>
        <w:t>de América Latina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9"/>
        </w:rPr>
      </w:pPr>
      <w:r>
        <w:rPr/>
        <w:pict>
          <v:rect style="position:absolute;margin-left:57.165001pt;margin-top:13.10841pt;width:353.386pt;height:43.469pt;mso-position-horizontal-relative:page;mso-position-vertical-relative:paragraph;z-index:1720;mso-wrap-distance-left:0;mso-wrap-distance-right:0" filled="true" fillcolor="#ffffff" stroked="false">
            <v:fill type="solid"/>
            <w10:wrap type="topAndBottom"/>
          </v:rect>
        </w:pict>
      </w:r>
    </w:p>
    <w:p>
      <w:pPr>
        <w:spacing w:after="0"/>
        <w:rPr>
          <w:sz w:val="19"/>
        </w:rPr>
        <w:sectPr>
          <w:footerReference w:type="default" r:id="rId62"/>
          <w:pgSz w:w="9360" w:h="13040"/>
          <w:pgMar w:footer="0" w:header="0" w:top="400" w:bottom="0" w:left="1040" w:right="1020"/>
        </w:sectPr>
      </w:pPr>
    </w:p>
    <w:p>
      <w:pPr>
        <w:pStyle w:val="BodyText"/>
        <w:ind w:left="161"/>
        <w:rPr>
          <w:sz w:val="20"/>
        </w:rPr>
      </w:pPr>
      <w:r>
        <w:rPr/>
        <w:pict>
          <v:shape style="position:absolute;margin-left:60.094002pt;margin-top:20.784994pt;width:353.4pt;height:43.5pt;mso-position-horizontal-relative:page;mso-position-vertical-relative:page;z-index:-642760" type="#_x0000_t202" filled="false" stroked="false">
            <v:textbox inset="0,0,0,0">
              <w:txbxContent>
                <w:p>
                  <w:pPr>
                    <w:pStyle w:val="BodyText"/>
                    <w:rPr>
                      <w:b/>
                    </w:rPr>
                  </w:pPr>
                </w:p>
                <w:p>
                  <w:pPr>
                    <w:pStyle w:val="BodyText"/>
                    <w:rPr>
                      <w:b/>
                      <w:sz w:val="21"/>
                    </w:rPr>
                  </w:pPr>
                </w:p>
                <w:p>
                  <w:pPr>
                    <w:tabs>
                      <w:tab w:pos="5635" w:val="left" w:leader="none"/>
                    </w:tabs>
                    <w:spacing w:before="0"/>
                    <w:ind w:left="221" w:right="0" w:firstLine="0"/>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txbxContent>
            </v:textbox>
            <w10:wrap type="none"/>
          </v:shape>
        </w:pict>
      </w:r>
      <w:r>
        <w:rPr/>
        <w:pict>
          <v:shape style="position:absolute;margin-left:57.165001pt;margin-top:595.864014pt;width:353.4pt;height:43.5pt;mso-position-horizontal-relative:page;mso-position-vertical-relative:page;z-index:-642736" type="#_x0000_t202" filled="false" stroked="false">
            <v:textbox inset="0,0,0,0">
              <w:txbxContent>
                <w:p>
                  <w:pPr>
                    <w:pStyle w:val="BodyText"/>
                    <w:rPr>
                      <w:b/>
                      <w:sz w:val="20"/>
                    </w:rPr>
                  </w:pPr>
                </w:p>
                <w:p>
                  <w:pPr>
                    <w:spacing w:before="147"/>
                    <w:ind w:left="2633" w:right="3055" w:firstLine="0"/>
                    <w:jc w:val="center"/>
                    <w:rPr>
                      <w:rFonts w:ascii="Verdana"/>
                      <w:sz w:val="20"/>
                    </w:rPr>
                  </w:pPr>
                  <w:r>
                    <w:rPr>
                      <w:rFonts w:ascii="Verdana"/>
                      <w:color w:val="231F20"/>
                      <w:sz w:val="20"/>
                    </w:rPr>
                    <w:t>32</w:t>
                  </w:r>
                </w:p>
              </w:txbxContent>
            </v:textbox>
            <w10:wrap type="none"/>
          </v:shape>
        </w:pict>
      </w: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18"/>
        </w:rPr>
      </w:pPr>
      <w:r>
        <w:rPr/>
        <w:pict>
          <v:rect style="position:absolute;margin-left:57.165001pt;margin-top:12.688946pt;width:353.386pt;height:43.469pt;mso-position-horizontal-relative:page;mso-position-vertical-relative:paragraph;z-index:1816;mso-wrap-distance-left:0;mso-wrap-distance-right:0" filled="true" fillcolor="#ffffff" stroked="false">
            <v:fill type="solid"/>
            <w10:wrap type="topAndBottom"/>
          </v:rect>
        </w:pict>
      </w:r>
    </w:p>
    <w:p>
      <w:pPr>
        <w:spacing w:after="0"/>
        <w:rPr>
          <w:sz w:val="18"/>
        </w:rPr>
        <w:sectPr>
          <w:footerReference w:type="default" r:id="rId63"/>
          <w:pgSz w:w="9360" w:h="13040"/>
          <w:pgMar w:footer="0" w:header="0" w:top="400" w:bottom="0" w:left="1040" w:right="980"/>
        </w:sectPr>
      </w:pPr>
    </w:p>
    <w:p>
      <w:pPr>
        <w:pStyle w:val="BodyText"/>
        <w:ind w:left="104"/>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ind w:left="1869" w:right="1063" w:hanging="953"/>
      </w:pPr>
      <w:r>
        <w:rPr/>
        <w:pict>
          <v:shape style="position:absolute;margin-left:61.228001pt;margin-top:-44.926628pt;width:353.4pt;height:43.5pt;mso-position-horizontal-relative:page;mso-position-vertical-relative:paragraph;z-index:-642688" type="#_x0000_t202" filled="false" stroked="false">
            <v:textbox inset="0,0,0,0">
              <w:txbxContent>
                <w:p>
                  <w:pPr>
                    <w:pStyle w:val="BodyText"/>
                    <w:rPr>
                      <w:sz w:val="20"/>
                    </w:rPr>
                  </w:pPr>
                </w:p>
                <w:p>
                  <w:pPr>
                    <w:spacing w:before="159"/>
                    <w:ind w:left="523" w:right="0" w:firstLine="0"/>
                    <w:jc w:val="left"/>
                    <w:rPr>
                      <w:rFonts w:ascii="Arial" w:hAnsi="Arial"/>
                      <w:sz w:val="20"/>
                    </w:rPr>
                  </w:pPr>
                  <w:r>
                    <w:rPr>
                      <w:rFonts w:ascii="Arial" w:hAnsi="Arial"/>
                      <w:color w:val="231F20"/>
                      <w:w w:val="70"/>
                      <w:sz w:val="20"/>
                    </w:rPr>
                    <w:t>Globalización y emigración latinoamericana y caribeña a Estados Unidos /Ramiro Morales-Hernández</w:t>
                  </w:r>
                </w:p>
              </w:txbxContent>
            </v:textbox>
            <w10:wrap type="none"/>
          </v:shape>
        </w:pict>
      </w:r>
      <w:r>
        <w:rPr>
          <w:color w:val="231F20"/>
          <w:w w:val="70"/>
        </w:rPr>
        <w:t>Globalización y emigración latinoamericana y caribeña a Estados Unidos</w:t>
      </w:r>
    </w:p>
    <w:p>
      <w:pPr>
        <w:pStyle w:val="BodyText"/>
        <w:spacing w:before="9"/>
        <w:rPr>
          <w:b/>
          <w:sz w:val="20"/>
        </w:rPr>
      </w:pPr>
    </w:p>
    <w:p>
      <w:pPr>
        <w:pStyle w:val="Heading2"/>
        <w:ind w:left="1878" w:right="1063"/>
      </w:pPr>
      <w:r>
        <w:rPr/>
        <w:t>Ramiro Morales-Hernández</w:t>
      </w:r>
    </w:p>
    <w:p>
      <w:pPr>
        <w:pStyle w:val="BodyText"/>
        <w:spacing w:before="6"/>
        <w:rPr>
          <w:sz w:val="15"/>
        </w:rPr>
      </w:pPr>
    </w:p>
    <w:p>
      <w:pPr>
        <w:spacing w:before="72"/>
        <w:ind w:left="1590" w:right="1063" w:firstLine="0"/>
        <w:jc w:val="left"/>
        <w:rPr>
          <w:i/>
          <w:sz w:val="22"/>
        </w:rPr>
      </w:pPr>
      <w:r>
        <w:rPr>
          <w:i/>
          <w:color w:val="231F20"/>
          <w:sz w:val="22"/>
        </w:rPr>
        <w:t>Universidad Autónoma de Guerrero, México</w:t>
      </w:r>
    </w:p>
    <w:p>
      <w:pPr>
        <w:pStyle w:val="BodyText"/>
        <w:rPr>
          <w:i/>
          <w:sz w:val="20"/>
        </w:rPr>
      </w:pPr>
    </w:p>
    <w:p>
      <w:pPr>
        <w:pStyle w:val="BodyText"/>
        <w:spacing w:before="4"/>
        <w:rPr>
          <w:i/>
          <w:sz w:val="19"/>
        </w:rPr>
      </w:pPr>
    </w:p>
    <w:p>
      <w:pPr>
        <w:pStyle w:val="Heading3"/>
        <w:spacing w:before="70"/>
        <w:ind w:left="297" w:right="1063"/>
        <w:jc w:val="left"/>
      </w:pPr>
      <w:r>
        <w:rPr>
          <w:color w:val="231F20"/>
        </w:rPr>
        <w:t>Globalización y emigración latinoamericana</w:t>
      </w:r>
    </w:p>
    <w:p>
      <w:pPr>
        <w:pStyle w:val="BodyText"/>
        <w:rPr>
          <w:b/>
          <w:sz w:val="20"/>
        </w:rPr>
      </w:pPr>
    </w:p>
    <w:p>
      <w:pPr>
        <w:pStyle w:val="BodyText"/>
        <w:spacing w:before="6"/>
        <w:rPr>
          <w:b/>
          <w:sz w:val="27"/>
        </w:rPr>
      </w:pPr>
    </w:p>
    <w:p>
      <w:pPr>
        <w:pStyle w:val="BodyText"/>
        <w:spacing w:line="247" w:lineRule="auto"/>
        <w:ind w:left="1261" w:right="454"/>
        <w:jc w:val="both"/>
      </w:pPr>
      <w:r>
        <w:rPr/>
        <w:pict>
          <v:shape style="position:absolute;margin-left:70.866096pt;margin-top:-4.365939pt;width:36.7pt;height:55pt;mso-position-horizontal-relative:page;mso-position-vertical-relative:paragraph;z-index:-642664" type="#_x0000_t202" filled="false" stroked="false">
            <v:textbox inset="0,0,0,0">
              <w:txbxContent>
                <w:p>
                  <w:pPr>
                    <w:spacing w:line="1100" w:lineRule="exact" w:before="0"/>
                    <w:ind w:left="0" w:right="0" w:firstLine="0"/>
                    <w:jc w:val="left"/>
                    <w:rPr>
                      <w:b/>
                      <w:sz w:val="110"/>
                    </w:rPr>
                  </w:pPr>
                  <w:r>
                    <w:rPr>
                      <w:b/>
                      <w:color w:val="231F20"/>
                      <w:sz w:val="110"/>
                    </w:rPr>
                    <w:t>L</w:t>
                  </w:r>
                </w:p>
              </w:txbxContent>
            </v:textbox>
            <w10:wrap type="none"/>
          </v:shape>
        </w:pict>
      </w:r>
      <w:r>
        <w:rPr>
          <w:color w:val="231F20"/>
        </w:rPr>
        <w:t>a globalización se puede conceptualizar bajo dos posiciones. Una,</w:t>
      </w:r>
      <w:r>
        <w:rPr>
          <w:color w:val="231F20"/>
          <w:spacing w:val="-12"/>
        </w:rPr>
        <w:t> </w:t>
      </w:r>
      <w:r>
        <w:rPr>
          <w:color w:val="231F20"/>
        </w:rPr>
        <w:t>como</w:t>
      </w:r>
      <w:r>
        <w:rPr>
          <w:color w:val="231F20"/>
          <w:spacing w:val="-12"/>
        </w:rPr>
        <w:t> </w:t>
      </w:r>
      <w:r>
        <w:rPr>
          <w:color w:val="231F20"/>
        </w:rPr>
        <w:t>el</w:t>
      </w:r>
      <w:r>
        <w:rPr>
          <w:color w:val="231F20"/>
          <w:spacing w:val="-12"/>
        </w:rPr>
        <w:t> </w:t>
      </w:r>
      <w:r>
        <w:rPr>
          <w:color w:val="231F20"/>
        </w:rPr>
        <w:t>resultado</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proceso</w:t>
      </w:r>
      <w:r>
        <w:rPr>
          <w:color w:val="231F20"/>
          <w:spacing w:val="-12"/>
        </w:rPr>
        <w:t> </w:t>
      </w:r>
      <w:r>
        <w:rPr>
          <w:color w:val="231F20"/>
        </w:rPr>
        <w:t>histórico</w:t>
      </w:r>
      <w:r>
        <w:rPr>
          <w:color w:val="231F20"/>
          <w:spacing w:val="-12"/>
        </w:rPr>
        <w:t> </w:t>
      </w:r>
      <w:r>
        <w:rPr>
          <w:color w:val="231F20"/>
        </w:rPr>
        <w:t>que</w:t>
      </w:r>
      <w:r>
        <w:rPr>
          <w:color w:val="231F20"/>
          <w:spacing w:val="-12"/>
        </w:rPr>
        <w:t> </w:t>
      </w:r>
      <w:r>
        <w:rPr>
          <w:color w:val="231F20"/>
        </w:rPr>
        <w:t>promueve</w:t>
      </w:r>
      <w:r>
        <w:rPr>
          <w:color w:val="231F20"/>
          <w:spacing w:val="-12"/>
        </w:rPr>
        <w:t> </w:t>
      </w:r>
      <w:r>
        <w:rPr>
          <w:color w:val="231F20"/>
        </w:rPr>
        <w:t>el cambio hacia un modelo de economía de mercado en el cual</w:t>
      </w:r>
      <w:r>
        <w:rPr>
          <w:color w:val="231F20"/>
          <w:spacing w:val="-27"/>
        </w:rPr>
        <w:t> </w:t>
      </w:r>
      <w:r>
        <w:rPr>
          <w:color w:val="231F20"/>
        </w:rPr>
        <w:t>no</w:t>
      </w:r>
    </w:p>
    <w:p>
      <w:pPr>
        <w:pStyle w:val="BodyText"/>
        <w:spacing w:line="216" w:lineRule="exact"/>
        <w:ind w:left="297"/>
        <w:jc w:val="both"/>
      </w:pPr>
      <w:r>
        <w:rPr>
          <w:color w:val="231F20"/>
        </w:rPr>
        <w:t>hay barreras para el comercio internacional y que trastoca la soberanía de</w:t>
      </w:r>
    </w:p>
    <w:p>
      <w:pPr>
        <w:pStyle w:val="BodyText"/>
        <w:spacing w:line="247" w:lineRule="auto" w:before="7"/>
        <w:ind w:left="297" w:right="454"/>
        <w:jc w:val="both"/>
      </w:pPr>
      <w:r>
        <w:rPr>
          <w:color w:val="231F20"/>
        </w:rPr>
        <w:t>los</w:t>
      </w:r>
      <w:r>
        <w:rPr>
          <w:color w:val="231F20"/>
          <w:spacing w:val="-4"/>
        </w:rPr>
        <w:t> </w:t>
      </w:r>
      <w:r>
        <w:rPr>
          <w:color w:val="231F20"/>
        </w:rPr>
        <w:t>países</w:t>
      </w:r>
      <w:r>
        <w:rPr>
          <w:color w:val="231F20"/>
          <w:spacing w:val="-4"/>
        </w:rPr>
        <w:t> </w:t>
      </w:r>
      <w:r>
        <w:rPr>
          <w:color w:val="231F20"/>
        </w:rPr>
        <w:t>provocando</w:t>
      </w:r>
      <w:r>
        <w:rPr>
          <w:color w:val="231F20"/>
          <w:spacing w:val="-4"/>
        </w:rPr>
        <w:t> </w:t>
      </w:r>
      <w:r>
        <w:rPr>
          <w:color w:val="231F20"/>
        </w:rPr>
        <w:t>la</w:t>
      </w:r>
      <w:r>
        <w:rPr>
          <w:color w:val="231F20"/>
          <w:spacing w:val="-4"/>
        </w:rPr>
        <w:t> </w:t>
      </w:r>
      <w:r>
        <w:rPr>
          <w:color w:val="231F20"/>
        </w:rPr>
        <w:t>pérdida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misma</w:t>
      </w:r>
      <w:r>
        <w:rPr>
          <w:color w:val="231F20"/>
          <w:spacing w:val="-4"/>
        </w:rPr>
        <w:t> </w:t>
      </w:r>
      <w:r>
        <w:rPr>
          <w:color w:val="231F20"/>
        </w:rPr>
        <w:t>a</w:t>
      </w:r>
      <w:r>
        <w:rPr>
          <w:color w:val="231F20"/>
          <w:spacing w:val="-4"/>
        </w:rPr>
        <w:t> </w:t>
      </w:r>
      <w:r>
        <w:rPr>
          <w:color w:val="231F20"/>
        </w:rPr>
        <w:t>través</w:t>
      </w:r>
      <w:r>
        <w:rPr>
          <w:color w:val="231F20"/>
          <w:spacing w:val="-4"/>
        </w:rPr>
        <w:t> </w:t>
      </w:r>
      <w:r>
        <w:rPr>
          <w:color w:val="231F20"/>
        </w:rPr>
        <w:t>de</w:t>
      </w:r>
      <w:r>
        <w:rPr>
          <w:color w:val="231F20"/>
          <w:spacing w:val="-4"/>
        </w:rPr>
        <w:t> </w:t>
      </w:r>
      <w:r>
        <w:rPr>
          <w:color w:val="231F20"/>
        </w:rPr>
        <w:t>políticas</w:t>
      </w:r>
      <w:r>
        <w:rPr>
          <w:color w:val="231F20"/>
          <w:spacing w:val="-4"/>
        </w:rPr>
        <w:t> </w:t>
      </w:r>
      <w:r>
        <w:rPr>
          <w:color w:val="231F20"/>
        </w:rPr>
        <w:t>mercan- tilistas;</w:t>
      </w:r>
      <w:r>
        <w:rPr>
          <w:color w:val="231F20"/>
          <w:spacing w:val="-11"/>
        </w:rPr>
        <w:t> </w:t>
      </w:r>
      <w:r>
        <w:rPr>
          <w:color w:val="231F20"/>
        </w:rPr>
        <w:t>otra,</w:t>
      </w:r>
      <w:r>
        <w:rPr>
          <w:color w:val="231F20"/>
          <w:spacing w:val="-10"/>
        </w:rPr>
        <w:t> </w:t>
      </w:r>
      <w:r>
        <w:rPr>
          <w:color w:val="231F20"/>
        </w:rPr>
        <w:t>argumentada</w:t>
      </w:r>
      <w:r>
        <w:rPr>
          <w:color w:val="231F20"/>
          <w:spacing w:val="-10"/>
        </w:rPr>
        <w:t> </w:t>
      </w:r>
      <w:r>
        <w:rPr>
          <w:color w:val="231F20"/>
        </w:rPr>
        <w:t>como</w:t>
      </w:r>
      <w:r>
        <w:rPr>
          <w:color w:val="231F20"/>
          <w:spacing w:val="-10"/>
        </w:rPr>
        <w:t> </w:t>
      </w:r>
      <w:r>
        <w:rPr>
          <w:color w:val="231F20"/>
        </w:rPr>
        <w:t>el</w:t>
      </w:r>
      <w:r>
        <w:rPr>
          <w:color w:val="231F20"/>
          <w:spacing w:val="-10"/>
        </w:rPr>
        <w:t> </w:t>
      </w:r>
      <w:r>
        <w:rPr>
          <w:color w:val="231F20"/>
        </w:rPr>
        <w:t>resultado</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crecimiento</w:t>
      </w:r>
      <w:r>
        <w:rPr>
          <w:color w:val="231F20"/>
          <w:spacing w:val="-11"/>
        </w:rPr>
        <w:t> </w:t>
      </w:r>
      <w:r>
        <w:rPr>
          <w:color w:val="231F20"/>
        </w:rPr>
        <w:t>en</w:t>
      </w:r>
      <w:r>
        <w:rPr>
          <w:color w:val="231F20"/>
          <w:spacing w:val="-10"/>
        </w:rPr>
        <w:t> </w:t>
      </w:r>
      <w:r>
        <w:rPr>
          <w:color w:val="231F20"/>
        </w:rPr>
        <w:t>el</w:t>
      </w:r>
      <w:r>
        <w:rPr>
          <w:color w:val="231F20"/>
          <w:spacing w:val="-10"/>
        </w:rPr>
        <w:t> </w:t>
      </w:r>
      <w:r>
        <w:rPr>
          <w:color w:val="231F20"/>
        </w:rPr>
        <w:t>uso</w:t>
      </w:r>
      <w:r>
        <w:rPr>
          <w:color w:val="231F20"/>
          <w:spacing w:val="-10"/>
        </w:rPr>
        <w:t> </w:t>
      </w:r>
      <w:r>
        <w:rPr>
          <w:color w:val="231F20"/>
        </w:rPr>
        <w:t>de formas flexibles de producción que tienden a una aplicación internacional en lugar de una nacional. Beck Ulrich (1998: 29) señala que la globaliza- ción se refiere a </w:t>
      </w:r>
      <w:r>
        <w:rPr>
          <w:i/>
          <w:color w:val="231F20"/>
        </w:rPr>
        <w:t>“</w:t>
      </w:r>
      <w:r>
        <w:rPr>
          <w:color w:val="231F20"/>
        </w:rPr>
        <w:t>los procesos en virtud de los cuales los estados naciona- les</w:t>
      </w:r>
      <w:r>
        <w:rPr>
          <w:color w:val="231F20"/>
          <w:spacing w:val="-11"/>
        </w:rPr>
        <w:t> </w:t>
      </w:r>
      <w:r>
        <w:rPr>
          <w:color w:val="231F20"/>
        </w:rPr>
        <w:t>soberanos</w:t>
      </w:r>
      <w:r>
        <w:rPr>
          <w:color w:val="231F20"/>
          <w:spacing w:val="-10"/>
        </w:rPr>
        <w:t> </w:t>
      </w:r>
      <w:r>
        <w:rPr>
          <w:color w:val="231F20"/>
        </w:rPr>
        <w:t>se</w:t>
      </w:r>
      <w:r>
        <w:rPr>
          <w:color w:val="231F20"/>
          <w:spacing w:val="-11"/>
        </w:rPr>
        <w:t> </w:t>
      </w:r>
      <w:r>
        <w:rPr>
          <w:color w:val="231F20"/>
        </w:rPr>
        <w:t>entremezclan</w:t>
      </w:r>
      <w:r>
        <w:rPr>
          <w:color w:val="231F20"/>
          <w:spacing w:val="-11"/>
        </w:rPr>
        <w:t> </w:t>
      </w:r>
      <w:r>
        <w:rPr>
          <w:color w:val="231F20"/>
        </w:rPr>
        <w:t>e</w:t>
      </w:r>
      <w:r>
        <w:rPr>
          <w:color w:val="231F20"/>
          <w:spacing w:val="-11"/>
        </w:rPr>
        <w:t> </w:t>
      </w:r>
      <w:r>
        <w:rPr>
          <w:color w:val="231F20"/>
        </w:rPr>
        <w:t>imbrican</w:t>
      </w:r>
      <w:r>
        <w:rPr>
          <w:color w:val="231F20"/>
          <w:spacing w:val="-11"/>
        </w:rPr>
        <w:t> </w:t>
      </w:r>
      <w:r>
        <w:rPr>
          <w:color w:val="231F20"/>
        </w:rPr>
        <w:t>mediante</w:t>
      </w:r>
      <w:r>
        <w:rPr>
          <w:color w:val="231F20"/>
          <w:spacing w:val="-11"/>
        </w:rPr>
        <w:t> </w:t>
      </w:r>
      <w:r>
        <w:rPr>
          <w:color w:val="231F20"/>
        </w:rPr>
        <w:t>actores</w:t>
      </w:r>
      <w:r>
        <w:rPr>
          <w:color w:val="231F20"/>
          <w:spacing w:val="-11"/>
        </w:rPr>
        <w:t> </w:t>
      </w:r>
      <w:r>
        <w:rPr>
          <w:color w:val="231F20"/>
        </w:rPr>
        <w:t>transnacionales y sus respectivas probabilidades de poder, orientaciones, identidades y</w:t>
      </w:r>
      <w:r>
        <w:rPr>
          <w:color w:val="231F20"/>
          <w:spacing w:val="-32"/>
        </w:rPr>
        <w:t> </w:t>
      </w:r>
      <w:r>
        <w:rPr>
          <w:color w:val="231F20"/>
        </w:rPr>
        <w:t>en- tramados varios</w:t>
      </w:r>
      <w:r>
        <w:rPr>
          <w:i/>
          <w:color w:val="231F20"/>
        </w:rPr>
        <w:t>”. </w:t>
      </w:r>
      <w:r>
        <w:rPr>
          <w:color w:val="231F20"/>
        </w:rPr>
        <w:t>No obstante, persiste la necesidad de dilucidar aspectos específicos sobre la dimensión que representa la globalización en las rela- ciones humanas y en los procesos</w:t>
      </w:r>
      <w:r>
        <w:rPr>
          <w:color w:val="231F20"/>
          <w:spacing w:val="-3"/>
        </w:rPr>
        <w:t> </w:t>
      </w:r>
      <w:r>
        <w:rPr>
          <w:color w:val="231F20"/>
        </w:rPr>
        <w:t>migratorios.</w:t>
      </w:r>
    </w:p>
    <w:p>
      <w:pPr>
        <w:pStyle w:val="BodyText"/>
        <w:spacing w:line="247" w:lineRule="auto"/>
        <w:ind w:left="297" w:right="454" w:firstLine="283"/>
        <w:jc w:val="both"/>
      </w:pPr>
      <w:r>
        <w:rPr>
          <w:color w:val="231F20"/>
        </w:rPr>
        <w:t>Lo que es un hecho, es que la globalización es un fenómeno que se presenta por cambios cuantitativos y cualitativos en las relaciones</w:t>
      </w:r>
      <w:r>
        <w:rPr>
          <w:color w:val="231F20"/>
          <w:spacing w:val="-20"/>
        </w:rPr>
        <w:t> </w:t>
      </w:r>
      <w:r>
        <w:rPr>
          <w:color w:val="231F20"/>
        </w:rPr>
        <w:t>interna- cionales,</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refleja</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mercados</w:t>
      </w:r>
      <w:r>
        <w:rPr>
          <w:color w:val="231F20"/>
          <w:spacing w:val="-10"/>
        </w:rPr>
        <w:t> </w:t>
      </w:r>
      <w:r>
        <w:rPr>
          <w:color w:val="231F20"/>
        </w:rPr>
        <w:t>financieros,</w:t>
      </w:r>
      <w:r>
        <w:rPr>
          <w:color w:val="231F20"/>
          <w:spacing w:val="-10"/>
        </w:rPr>
        <w:t> </w:t>
      </w:r>
      <w:r>
        <w:rPr>
          <w:color w:val="231F20"/>
        </w:rPr>
        <w:t>comerciales</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los medios de comunicación. Se caracteriza por la concentración de capitales, la competitividad empresarial, la relocalización de los mercados y el au- mento de la productividad propiciada tanto por el desarrollo e innovación de la tecnología y la depreciación del valor del trabajo, esto último propi- ciado por las migraciones laborales de países subdesarrollados a los más desarrollados, que conlleva al abaratamiento de la mano de</w:t>
      </w:r>
      <w:r>
        <w:rPr>
          <w:color w:val="231F20"/>
          <w:spacing w:val="-3"/>
        </w:rPr>
        <w:t> </w:t>
      </w:r>
      <w:r>
        <w:rPr>
          <w:color w:val="231F20"/>
        </w:rPr>
        <w:t>obra.</w:t>
      </w:r>
    </w:p>
    <w:p>
      <w:pPr>
        <w:pStyle w:val="BodyText"/>
        <w:spacing w:line="247" w:lineRule="auto"/>
        <w:ind w:left="297" w:right="455" w:firstLine="283"/>
        <w:jc w:val="both"/>
      </w:pPr>
      <w:r>
        <w:rPr>
          <w:color w:val="231F20"/>
        </w:rPr>
        <w:t>Morales (2006) indica que para el mercado norteamericano los</w:t>
      </w:r>
      <w:r>
        <w:rPr>
          <w:color w:val="231F20"/>
          <w:spacing w:val="-25"/>
        </w:rPr>
        <w:t> </w:t>
      </w:r>
      <w:r>
        <w:rPr>
          <w:color w:val="231F20"/>
        </w:rPr>
        <w:t>trabaja- dores mexicanos —sobre todo los indocumentados—, le representan una fuerza de trabajo que es aprovechada para elevar los índices de produc- tividad de su sistema industrial, con base en la disminución de costos  </w:t>
      </w:r>
      <w:r>
        <w:rPr>
          <w:color w:val="231F20"/>
          <w:spacing w:val="47"/>
        </w:rPr>
        <w:t> </w:t>
      </w:r>
      <w:r>
        <w:rPr>
          <w:color w:val="231F20"/>
        </w:rPr>
        <w:t>de</w:t>
      </w:r>
    </w:p>
    <w:p>
      <w:pPr>
        <w:spacing w:after="0" w:line="247" w:lineRule="auto"/>
        <w:jc w:val="both"/>
        <w:sectPr>
          <w:footerReference w:type="default" r:id="rId64"/>
          <w:pgSz w:w="9360" w:h="13040"/>
          <w:pgMar w:footer="496" w:header="0" w:top="400" w:bottom="680" w:left="1120" w:right="960"/>
          <w:pgNumType w:start="33"/>
        </w:sectPr>
      </w:pPr>
    </w:p>
    <w:p>
      <w:pPr>
        <w:tabs>
          <w:tab w:pos="5536" w:val="left" w:leader="none"/>
        </w:tabs>
        <w:spacing w:before="51"/>
        <w:ind w:left="117" w:right="117" w:firstLine="5"/>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117"/>
      </w:pPr>
      <w:r>
        <w:rPr>
          <w:color w:val="231F20"/>
        </w:rPr>
        <w:t>operación derivados del pago de mano de obra barata y la nula prestación de servicios sociales.</w:t>
      </w:r>
    </w:p>
    <w:p>
      <w:pPr>
        <w:pStyle w:val="BodyText"/>
        <w:spacing w:line="247" w:lineRule="auto"/>
        <w:ind w:left="117" w:right="114" w:firstLine="283"/>
        <w:jc w:val="both"/>
      </w:pPr>
      <w:r>
        <w:rPr>
          <w:color w:val="231F20"/>
        </w:rPr>
        <w:t>Estudiosos como Ohmae (1998), Ruiz (2001) y Guzmán (2006) consi- deran que la globalización define una nueva época de la historia humana caracterizada</w:t>
      </w:r>
      <w:r>
        <w:rPr>
          <w:color w:val="231F20"/>
          <w:spacing w:val="-13"/>
        </w:rPr>
        <w:t> </w:t>
      </w:r>
      <w:r>
        <w:rPr>
          <w:color w:val="231F20"/>
        </w:rPr>
        <w:t>por</w:t>
      </w:r>
      <w:r>
        <w:rPr>
          <w:color w:val="231F20"/>
          <w:spacing w:val="-12"/>
        </w:rPr>
        <w:t> </w:t>
      </w:r>
      <w:r>
        <w:rPr>
          <w:color w:val="231F20"/>
        </w:rPr>
        <w:t>la</w:t>
      </w:r>
      <w:r>
        <w:rPr>
          <w:color w:val="231F20"/>
          <w:spacing w:val="-12"/>
        </w:rPr>
        <w:t> </w:t>
      </w:r>
      <w:r>
        <w:rPr>
          <w:color w:val="231F20"/>
        </w:rPr>
        <w:t>desaparición</w:t>
      </w:r>
      <w:r>
        <w:rPr>
          <w:color w:val="231F20"/>
          <w:spacing w:val="-13"/>
        </w:rPr>
        <w:t> </w:t>
      </w:r>
      <w:r>
        <w:rPr>
          <w:color w:val="231F20"/>
        </w:rPr>
        <w:t>o</w:t>
      </w:r>
      <w:r>
        <w:rPr>
          <w:color w:val="231F20"/>
          <w:spacing w:val="-12"/>
        </w:rPr>
        <w:t> </w:t>
      </w:r>
      <w:r>
        <w:rPr>
          <w:color w:val="231F20"/>
        </w:rPr>
        <w:t>pérdida</w:t>
      </w:r>
      <w:r>
        <w:rPr>
          <w:color w:val="231F20"/>
          <w:spacing w:val="-12"/>
        </w:rPr>
        <w:t> </w:t>
      </w:r>
      <w:r>
        <w:rPr>
          <w:color w:val="231F20"/>
        </w:rPr>
        <w:t>de</w:t>
      </w:r>
      <w:r>
        <w:rPr>
          <w:color w:val="231F20"/>
          <w:spacing w:val="-12"/>
        </w:rPr>
        <w:t> </w:t>
      </w:r>
      <w:r>
        <w:rPr>
          <w:color w:val="231F20"/>
        </w:rPr>
        <w:t>peso</w:t>
      </w:r>
      <w:r>
        <w:rPr>
          <w:color w:val="231F20"/>
          <w:spacing w:val="-12"/>
        </w:rPr>
        <w:t> </w:t>
      </w:r>
      <w:r>
        <w:rPr>
          <w:color w:val="231F20"/>
        </w:rPr>
        <w:t>del</w:t>
      </w:r>
      <w:r>
        <w:rPr>
          <w:color w:val="231F20"/>
          <w:spacing w:val="-12"/>
        </w:rPr>
        <w:t> </w:t>
      </w:r>
      <w:r>
        <w:rPr>
          <w:color w:val="231F20"/>
        </w:rPr>
        <w:t>Estado-nación</w:t>
      </w:r>
      <w:r>
        <w:rPr>
          <w:color w:val="231F20"/>
          <w:spacing w:val="-13"/>
        </w:rPr>
        <w:t> </w:t>
      </w:r>
      <w:r>
        <w:rPr>
          <w:color w:val="231F20"/>
        </w:rPr>
        <w:t>y</w:t>
      </w:r>
      <w:r>
        <w:rPr>
          <w:color w:val="231F20"/>
          <w:spacing w:val="-12"/>
        </w:rPr>
        <w:t> </w:t>
      </w:r>
      <w:r>
        <w:rPr>
          <w:color w:val="231F20"/>
        </w:rPr>
        <w:t>por el</w:t>
      </w:r>
      <w:r>
        <w:rPr>
          <w:color w:val="231F20"/>
          <w:spacing w:val="-10"/>
        </w:rPr>
        <w:t> </w:t>
      </w:r>
      <w:r>
        <w:rPr>
          <w:color w:val="231F20"/>
        </w:rPr>
        <w:t>auge</w:t>
      </w:r>
      <w:r>
        <w:rPr>
          <w:color w:val="231F20"/>
          <w:spacing w:val="-10"/>
        </w:rPr>
        <w:t> </w:t>
      </w:r>
      <w:r>
        <w:rPr>
          <w:color w:val="231F20"/>
        </w:rPr>
        <w:t>del</w:t>
      </w:r>
      <w:r>
        <w:rPr>
          <w:color w:val="231F20"/>
          <w:spacing w:val="-10"/>
        </w:rPr>
        <w:t> </w:t>
      </w:r>
      <w:r>
        <w:rPr>
          <w:color w:val="231F20"/>
        </w:rPr>
        <w:t>comercio</w:t>
      </w:r>
      <w:r>
        <w:rPr>
          <w:color w:val="231F20"/>
          <w:spacing w:val="-10"/>
        </w:rPr>
        <w:t> </w:t>
      </w:r>
      <w:r>
        <w:rPr>
          <w:color w:val="231F20"/>
        </w:rPr>
        <w:t>global.</w:t>
      </w:r>
      <w:r>
        <w:rPr>
          <w:color w:val="231F20"/>
          <w:spacing w:val="-14"/>
        </w:rPr>
        <w:t> </w:t>
      </w:r>
      <w:r>
        <w:rPr>
          <w:color w:val="231F20"/>
          <w:spacing w:val="-4"/>
        </w:rPr>
        <w:t>Tales</w:t>
      </w:r>
      <w:r>
        <w:rPr>
          <w:color w:val="231F20"/>
          <w:spacing w:val="-10"/>
        </w:rPr>
        <w:t> </w:t>
      </w:r>
      <w:r>
        <w:rPr>
          <w:color w:val="231F20"/>
        </w:rPr>
        <w:t>argumentos</w:t>
      </w:r>
      <w:r>
        <w:rPr>
          <w:color w:val="231F20"/>
          <w:spacing w:val="-10"/>
        </w:rPr>
        <w:t> </w:t>
      </w:r>
      <w:r>
        <w:rPr>
          <w:color w:val="231F20"/>
        </w:rPr>
        <w:t>son</w:t>
      </w:r>
      <w:r>
        <w:rPr>
          <w:color w:val="231F20"/>
          <w:spacing w:val="-10"/>
        </w:rPr>
        <w:t> </w:t>
      </w:r>
      <w:r>
        <w:rPr>
          <w:color w:val="231F20"/>
        </w:rPr>
        <w:t>los</w:t>
      </w:r>
      <w:r>
        <w:rPr>
          <w:color w:val="231F20"/>
          <w:spacing w:val="-10"/>
        </w:rPr>
        <w:t> </w:t>
      </w:r>
      <w:r>
        <w:rPr>
          <w:color w:val="231F20"/>
        </w:rPr>
        <w:t>considerados</w:t>
      </w:r>
      <w:r>
        <w:rPr>
          <w:color w:val="231F20"/>
          <w:spacing w:val="-11"/>
        </w:rPr>
        <w:t> </w:t>
      </w:r>
      <w:r>
        <w:rPr>
          <w:color w:val="231F20"/>
        </w:rPr>
        <w:t>por</w:t>
      </w:r>
      <w:r>
        <w:rPr>
          <w:color w:val="231F20"/>
          <w:spacing w:val="-10"/>
        </w:rPr>
        <w:t> </w:t>
      </w:r>
      <w:r>
        <w:rPr>
          <w:color w:val="231F20"/>
        </w:rPr>
        <w:t>los defensores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tesis</w:t>
      </w:r>
      <w:r>
        <w:rPr>
          <w:color w:val="231F20"/>
          <w:spacing w:val="-13"/>
        </w:rPr>
        <w:t> </w:t>
      </w:r>
      <w:r>
        <w:rPr>
          <w:color w:val="231F20"/>
        </w:rPr>
        <w:t>radical</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globalización,</w:t>
      </w:r>
      <w:r>
        <w:rPr>
          <w:color w:val="231F20"/>
          <w:spacing w:val="-12"/>
        </w:rPr>
        <w:t> </w:t>
      </w:r>
      <w:r>
        <w:rPr>
          <w:color w:val="231F20"/>
        </w:rPr>
        <w:t>según</w:t>
      </w:r>
      <w:r>
        <w:rPr>
          <w:color w:val="231F20"/>
          <w:spacing w:val="-12"/>
        </w:rPr>
        <w:t> </w:t>
      </w:r>
      <w:r>
        <w:rPr>
          <w:color w:val="231F20"/>
        </w:rPr>
        <w:t>la</w:t>
      </w:r>
      <w:r>
        <w:rPr>
          <w:color w:val="231F20"/>
          <w:spacing w:val="-12"/>
        </w:rPr>
        <w:t> </w:t>
      </w:r>
      <w:r>
        <w:rPr>
          <w:color w:val="231F20"/>
        </w:rPr>
        <w:t>cual</w:t>
      </w:r>
      <w:r>
        <w:rPr>
          <w:color w:val="231F20"/>
          <w:spacing w:val="-12"/>
        </w:rPr>
        <w:t> </w:t>
      </w:r>
      <w:r>
        <w:rPr>
          <w:color w:val="231F20"/>
        </w:rPr>
        <w:t>a</w:t>
      </w:r>
      <w:r>
        <w:rPr>
          <w:color w:val="231F20"/>
          <w:spacing w:val="-12"/>
        </w:rPr>
        <w:t> </w:t>
      </w:r>
      <w:r>
        <w:rPr>
          <w:color w:val="231F20"/>
        </w:rPr>
        <w:t>nivel</w:t>
      </w:r>
      <w:r>
        <w:rPr>
          <w:color w:val="231F20"/>
          <w:spacing w:val="-12"/>
        </w:rPr>
        <w:t> </w:t>
      </w:r>
      <w:r>
        <w:rPr>
          <w:color w:val="231F20"/>
        </w:rPr>
        <w:t>mun- dial se han presentado cambios substanciales derivados de las exigencias de los mercados internacionales que limitan la intervención del</w:t>
      </w:r>
      <w:r>
        <w:rPr>
          <w:color w:val="231F20"/>
          <w:spacing w:val="-5"/>
        </w:rPr>
        <w:t> </w:t>
      </w:r>
      <w:r>
        <w:rPr>
          <w:color w:val="231F20"/>
        </w:rPr>
        <w:t>Estado.</w:t>
      </w:r>
    </w:p>
    <w:p>
      <w:pPr>
        <w:pStyle w:val="BodyText"/>
        <w:spacing w:line="247" w:lineRule="auto"/>
        <w:ind w:left="117" w:right="114" w:firstLine="283"/>
        <w:jc w:val="both"/>
      </w:pPr>
      <w:r>
        <w:rPr>
          <w:color w:val="231F20"/>
        </w:rPr>
        <w:t>A esa tesis arriba Ohmae, quien señala que la figura tradicional del Es- tado-nación pertenece a “las exigencias de un período histórico ya termi- nado” (Ohmae, 1998: 105) puesto que en los nuevos contextos mundiales, los estados y los gobiernos nacionales no han sido capaces de enfrentar los retos que exigen los nuevos escenarios de la economía internacional, como tampoco han encontrado las estrategias que permitan ser</w:t>
      </w:r>
      <w:r>
        <w:rPr>
          <w:color w:val="231F20"/>
          <w:spacing w:val="-21"/>
        </w:rPr>
        <w:t> </w:t>
      </w:r>
      <w:r>
        <w:rPr>
          <w:color w:val="231F20"/>
        </w:rPr>
        <w:t>impulsores y generadores de riqueza y servicios suficiente para satisfacer los requeri- mientos de la población. Por su parte Ruiz (2001) y Guzmán (2006)</w:t>
      </w:r>
      <w:r>
        <w:rPr>
          <w:color w:val="231F20"/>
          <w:spacing w:val="-34"/>
        </w:rPr>
        <w:t> </w:t>
      </w:r>
      <w:r>
        <w:rPr>
          <w:color w:val="231F20"/>
        </w:rPr>
        <w:t>hacen hincapié en que la globalización erosiona la soberanía del Estado-Nación y su capacidad de control y toma de decisiones autónomas en este mundo globalizado, señalando además, que la procuración para los ciudadanos  de un estado de bienestar es elemento clave de la legitimidad del Estado, responsabilidad que la globalización ha limitado.</w:t>
      </w:r>
    </w:p>
    <w:p>
      <w:pPr>
        <w:pStyle w:val="BodyText"/>
        <w:spacing w:line="247" w:lineRule="auto"/>
        <w:ind w:left="117" w:right="114" w:firstLine="283"/>
        <w:jc w:val="both"/>
      </w:pPr>
      <w:r>
        <w:rPr>
          <w:color w:val="231F20"/>
        </w:rPr>
        <w:t>En términos del fenómeno migratorio, los factores determinantes de esta nueva relación del Estado nacional conllevan al aumento progresivo del cruce de fronteras por parte de personas. Por otro lado, como conse- cuencia de la globalización y del desarrollo de los sistemas tecnológicos (sobre todo de comunicación) actualmente se tiene una mayor informa- ción sobre las condiciones de los mercados laborales con mayor potencia- lidad de desarrollo en distintas partes del mundo, información que motiva a quienes viven en regiones con pocas oportunidades de empleo a ver la emigración</w:t>
      </w:r>
      <w:r>
        <w:rPr>
          <w:color w:val="231F20"/>
          <w:spacing w:val="-7"/>
        </w:rPr>
        <w:t> </w:t>
      </w:r>
      <w:r>
        <w:rPr>
          <w:color w:val="231F20"/>
        </w:rPr>
        <w:t>como</w:t>
      </w:r>
      <w:r>
        <w:rPr>
          <w:color w:val="231F20"/>
          <w:spacing w:val="-7"/>
        </w:rPr>
        <w:t> </w:t>
      </w:r>
      <w:r>
        <w:rPr>
          <w:color w:val="231F20"/>
        </w:rPr>
        <w:t>alternativa</w:t>
      </w:r>
      <w:r>
        <w:rPr>
          <w:color w:val="231F20"/>
          <w:spacing w:val="-8"/>
        </w:rPr>
        <w:t> </w:t>
      </w:r>
      <w:r>
        <w:rPr>
          <w:color w:val="231F20"/>
        </w:rPr>
        <w:t>para,</w:t>
      </w:r>
      <w:r>
        <w:rPr>
          <w:color w:val="231F20"/>
          <w:spacing w:val="-7"/>
        </w:rPr>
        <w:t> </w:t>
      </w:r>
      <w:r>
        <w:rPr>
          <w:color w:val="231F20"/>
        </w:rPr>
        <w:t>en</w:t>
      </w:r>
      <w:r>
        <w:rPr>
          <w:color w:val="231F20"/>
          <w:spacing w:val="-7"/>
        </w:rPr>
        <w:t> </w:t>
      </w:r>
      <w:r>
        <w:rPr>
          <w:color w:val="231F20"/>
        </w:rPr>
        <w:t>un</w:t>
      </w:r>
      <w:r>
        <w:rPr>
          <w:color w:val="231F20"/>
          <w:spacing w:val="-7"/>
        </w:rPr>
        <w:t> </w:t>
      </w:r>
      <w:r>
        <w:rPr>
          <w:color w:val="231F20"/>
        </w:rPr>
        <w:t>futuro</w:t>
      </w:r>
      <w:r>
        <w:rPr>
          <w:color w:val="231F20"/>
          <w:spacing w:val="-7"/>
        </w:rPr>
        <w:t> </w:t>
      </w:r>
      <w:r>
        <w:rPr>
          <w:color w:val="231F20"/>
        </w:rPr>
        <w:t>inmediato,</w:t>
      </w:r>
      <w:r>
        <w:rPr>
          <w:color w:val="231F20"/>
          <w:spacing w:val="-7"/>
        </w:rPr>
        <w:t> </w:t>
      </w:r>
      <w:r>
        <w:rPr>
          <w:color w:val="231F20"/>
        </w:rPr>
        <w:t>cubrir</w:t>
      </w:r>
      <w:r>
        <w:rPr>
          <w:color w:val="231F20"/>
          <w:spacing w:val="-7"/>
        </w:rPr>
        <w:t> </w:t>
      </w:r>
      <w:r>
        <w:rPr>
          <w:color w:val="231F20"/>
        </w:rPr>
        <w:t>sus</w:t>
      </w:r>
      <w:r>
        <w:rPr>
          <w:color w:val="231F20"/>
          <w:spacing w:val="-7"/>
        </w:rPr>
        <w:t> </w:t>
      </w:r>
      <w:r>
        <w:rPr>
          <w:color w:val="231F20"/>
        </w:rPr>
        <w:t>nece- sidades de</w:t>
      </w:r>
      <w:r>
        <w:rPr>
          <w:color w:val="231F20"/>
          <w:spacing w:val="-19"/>
        </w:rPr>
        <w:t> </w:t>
      </w:r>
      <w:r>
        <w:rPr>
          <w:color w:val="231F20"/>
        </w:rPr>
        <w:t>subsistencia.</w:t>
      </w:r>
    </w:p>
    <w:p>
      <w:pPr>
        <w:pStyle w:val="BodyText"/>
        <w:spacing w:line="247" w:lineRule="auto"/>
        <w:ind w:left="117" w:right="114" w:firstLine="283"/>
        <w:jc w:val="both"/>
      </w:pPr>
      <w:r>
        <w:rPr>
          <w:color w:val="231F20"/>
        </w:rPr>
        <w:t>Bajo estas manifestaciones se inserta la relación entre globalización y migración internacional de población que, como señala Martínez (2008) implica complejas tensiones que obedecen a la oposición de fuerzas e in- tereses entre los actores involucrados. No obstante, también se vincula a un consenso creciente en torno a temas específicos, construido a partir del diálogo y la cooperación entre los Estados, los organismos</w:t>
      </w:r>
      <w:r>
        <w:rPr>
          <w:color w:val="231F20"/>
          <w:spacing w:val="-23"/>
        </w:rPr>
        <w:t> </w:t>
      </w:r>
      <w:r>
        <w:rPr>
          <w:color w:val="231F20"/>
        </w:rPr>
        <w:t>internacionales y la sociedad</w:t>
      </w:r>
      <w:r>
        <w:rPr>
          <w:color w:val="231F20"/>
          <w:spacing w:val="-7"/>
        </w:rPr>
        <w:t> </w:t>
      </w:r>
      <w:r>
        <w:rPr>
          <w:color w:val="231F20"/>
        </w:rPr>
        <w:t>civil.</w:t>
      </w:r>
    </w:p>
    <w:p>
      <w:pPr>
        <w:spacing w:after="0" w:line="247" w:lineRule="auto"/>
        <w:jc w:val="both"/>
        <w:sectPr>
          <w:pgSz w:w="9360" w:h="13040"/>
          <w:pgMar w:header="0" w:footer="496" w:top="840" w:bottom="680" w:left="1300" w:right="1300"/>
        </w:sectPr>
      </w:pPr>
    </w:p>
    <w:p>
      <w:pPr>
        <w:spacing w:before="45"/>
        <w:ind w:left="400" w:right="0" w:firstLine="47"/>
        <w:jc w:val="both"/>
        <w:rPr>
          <w:rFonts w:ascii="Arial" w:hAnsi="Arial"/>
          <w:sz w:val="20"/>
        </w:rPr>
      </w:pPr>
      <w:r>
        <w:rPr>
          <w:rFonts w:ascii="Arial" w:hAnsi="Arial"/>
          <w:color w:val="231F20"/>
          <w:w w:val="70"/>
          <w:sz w:val="20"/>
        </w:rPr>
        <w:t>Globalización</w:t>
      </w:r>
      <w:r>
        <w:rPr>
          <w:rFonts w:ascii="Arial" w:hAnsi="Arial"/>
          <w:color w:val="231F20"/>
          <w:spacing w:val="-15"/>
          <w:w w:val="70"/>
          <w:sz w:val="20"/>
        </w:rPr>
        <w:t> </w:t>
      </w:r>
      <w:r>
        <w:rPr>
          <w:rFonts w:ascii="Arial" w:hAnsi="Arial"/>
          <w:color w:val="231F20"/>
          <w:w w:val="70"/>
          <w:sz w:val="20"/>
        </w:rPr>
        <w:t>y</w:t>
      </w:r>
      <w:r>
        <w:rPr>
          <w:rFonts w:ascii="Arial" w:hAnsi="Arial"/>
          <w:color w:val="231F20"/>
          <w:spacing w:val="-15"/>
          <w:w w:val="70"/>
          <w:sz w:val="20"/>
        </w:rPr>
        <w:t> </w:t>
      </w:r>
      <w:r>
        <w:rPr>
          <w:rFonts w:ascii="Arial" w:hAnsi="Arial"/>
          <w:color w:val="231F20"/>
          <w:w w:val="70"/>
          <w:sz w:val="20"/>
        </w:rPr>
        <w:t>emigración</w:t>
      </w:r>
      <w:r>
        <w:rPr>
          <w:rFonts w:ascii="Arial" w:hAnsi="Arial"/>
          <w:color w:val="231F20"/>
          <w:spacing w:val="-15"/>
          <w:w w:val="70"/>
          <w:sz w:val="20"/>
        </w:rPr>
        <w:t> </w:t>
      </w:r>
      <w:r>
        <w:rPr>
          <w:rFonts w:ascii="Arial" w:hAnsi="Arial"/>
          <w:color w:val="231F20"/>
          <w:w w:val="70"/>
          <w:sz w:val="20"/>
        </w:rPr>
        <w:t>latinoamericana</w:t>
      </w:r>
      <w:r>
        <w:rPr>
          <w:rFonts w:ascii="Arial" w:hAnsi="Arial"/>
          <w:color w:val="231F20"/>
          <w:spacing w:val="-15"/>
          <w:w w:val="70"/>
          <w:sz w:val="20"/>
        </w:rPr>
        <w:t> </w:t>
      </w:r>
      <w:r>
        <w:rPr>
          <w:rFonts w:ascii="Arial" w:hAnsi="Arial"/>
          <w:color w:val="231F20"/>
          <w:w w:val="70"/>
          <w:sz w:val="20"/>
        </w:rPr>
        <w:t>y</w:t>
      </w:r>
      <w:r>
        <w:rPr>
          <w:rFonts w:ascii="Arial" w:hAnsi="Arial"/>
          <w:color w:val="231F20"/>
          <w:spacing w:val="-15"/>
          <w:w w:val="70"/>
          <w:sz w:val="20"/>
        </w:rPr>
        <w:t> </w:t>
      </w:r>
      <w:r>
        <w:rPr>
          <w:rFonts w:ascii="Arial" w:hAnsi="Arial"/>
          <w:color w:val="231F20"/>
          <w:w w:val="70"/>
          <w:sz w:val="20"/>
        </w:rPr>
        <w:t>caribeña</w:t>
      </w:r>
      <w:r>
        <w:rPr>
          <w:rFonts w:ascii="Arial" w:hAnsi="Arial"/>
          <w:color w:val="231F20"/>
          <w:spacing w:val="-15"/>
          <w:w w:val="70"/>
          <w:sz w:val="20"/>
        </w:rPr>
        <w:t> </w:t>
      </w:r>
      <w:r>
        <w:rPr>
          <w:rFonts w:ascii="Arial" w:hAnsi="Arial"/>
          <w:color w:val="231F20"/>
          <w:w w:val="70"/>
          <w:sz w:val="20"/>
        </w:rPr>
        <w:t>a</w:t>
      </w:r>
      <w:r>
        <w:rPr>
          <w:rFonts w:ascii="Arial" w:hAnsi="Arial"/>
          <w:color w:val="231F20"/>
          <w:spacing w:val="-15"/>
          <w:w w:val="70"/>
          <w:sz w:val="20"/>
        </w:rPr>
        <w:t> </w:t>
      </w:r>
      <w:r>
        <w:rPr>
          <w:rFonts w:ascii="Arial" w:hAnsi="Arial"/>
          <w:color w:val="231F20"/>
          <w:w w:val="70"/>
          <w:sz w:val="20"/>
        </w:rPr>
        <w:t>Estados</w:t>
      </w:r>
      <w:r>
        <w:rPr>
          <w:rFonts w:ascii="Arial" w:hAnsi="Arial"/>
          <w:color w:val="231F20"/>
          <w:spacing w:val="-15"/>
          <w:w w:val="70"/>
          <w:sz w:val="20"/>
        </w:rPr>
        <w:t> </w:t>
      </w:r>
      <w:r>
        <w:rPr>
          <w:rFonts w:ascii="Arial" w:hAnsi="Arial"/>
          <w:color w:val="231F20"/>
          <w:w w:val="70"/>
          <w:sz w:val="20"/>
        </w:rPr>
        <w:t>Unidos</w:t>
      </w:r>
      <w:r>
        <w:rPr>
          <w:rFonts w:ascii="Arial" w:hAnsi="Arial"/>
          <w:color w:val="231F20"/>
          <w:spacing w:val="-15"/>
          <w:w w:val="70"/>
          <w:sz w:val="20"/>
        </w:rPr>
        <w:t> </w:t>
      </w:r>
      <w:r>
        <w:rPr>
          <w:rFonts w:ascii="Arial" w:hAnsi="Arial"/>
          <w:color w:val="231F20"/>
          <w:w w:val="70"/>
          <w:sz w:val="20"/>
        </w:rPr>
        <w:t>/Ramiro</w:t>
      </w:r>
      <w:r>
        <w:rPr>
          <w:rFonts w:ascii="Arial" w:hAnsi="Arial"/>
          <w:color w:val="231F20"/>
          <w:spacing w:val="-22"/>
          <w:w w:val="70"/>
          <w:sz w:val="20"/>
        </w:rPr>
        <w:t> </w:t>
      </w:r>
      <w:r>
        <w:rPr>
          <w:rFonts w:ascii="Arial" w:hAnsi="Arial"/>
          <w:color w:val="231F20"/>
          <w:w w:val="70"/>
          <w:sz w:val="20"/>
        </w:rPr>
        <w:t>Morales-Hernández</w:t>
      </w:r>
    </w:p>
    <w:p>
      <w:pPr>
        <w:pStyle w:val="BodyText"/>
        <w:spacing w:before="7"/>
        <w:rPr>
          <w:rFonts w:ascii="Arial"/>
          <w:sz w:val="28"/>
        </w:rPr>
      </w:pPr>
    </w:p>
    <w:p>
      <w:pPr>
        <w:pStyle w:val="BodyText"/>
        <w:spacing w:line="247" w:lineRule="auto"/>
        <w:ind w:left="117" w:right="115" w:firstLine="283"/>
        <w:jc w:val="both"/>
      </w:pPr>
      <w:r>
        <w:rPr>
          <w:color w:val="231F20"/>
        </w:rPr>
        <w:t>Por su parte, La Comisión Económica para América Latina y el Caribe (CEPAL) plantea que:</w:t>
      </w:r>
    </w:p>
    <w:p>
      <w:pPr>
        <w:spacing w:line="249" w:lineRule="auto" w:before="168"/>
        <w:ind w:left="400" w:right="114" w:firstLine="0"/>
        <w:jc w:val="both"/>
        <w:rPr>
          <w:sz w:val="20"/>
        </w:rPr>
      </w:pPr>
      <w:r>
        <w:rPr>
          <w:sz w:val="20"/>
        </w:rPr>
        <w:t>La relación entre migración y globalización no queda acotada única y</w:t>
      </w:r>
      <w:r>
        <w:rPr>
          <w:spacing w:val="-16"/>
          <w:sz w:val="20"/>
        </w:rPr>
        <w:t> </w:t>
      </w:r>
      <w:r>
        <w:rPr>
          <w:sz w:val="20"/>
        </w:rPr>
        <w:t>exclusi- vamente por lo que acontece en las últimas décadas del siglo XX y la primera del XXI. Más que un fruto de la globalización contemporánea, dicha relación ha</w:t>
      </w:r>
      <w:r>
        <w:rPr>
          <w:spacing w:val="-9"/>
          <w:sz w:val="20"/>
        </w:rPr>
        <w:t> </w:t>
      </w:r>
      <w:r>
        <w:rPr>
          <w:sz w:val="20"/>
        </w:rPr>
        <w:t>sido</w:t>
      </w:r>
      <w:r>
        <w:rPr>
          <w:spacing w:val="-9"/>
          <w:sz w:val="20"/>
        </w:rPr>
        <w:t> </w:t>
      </w:r>
      <w:r>
        <w:rPr>
          <w:sz w:val="20"/>
        </w:rPr>
        <w:t>parte</w:t>
      </w:r>
      <w:r>
        <w:rPr>
          <w:spacing w:val="-9"/>
          <w:sz w:val="20"/>
        </w:rPr>
        <w:t> </w:t>
      </w:r>
      <w:r>
        <w:rPr>
          <w:sz w:val="20"/>
        </w:rPr>
        <w:t>constitutiva</w:t>
      </w:r>
      <w:r>
        <w:rPr>
          <w:spacing w:val="-10"/>
          <w:sz w:val="20"/>
        </w:rPr>
        <w:t> </w:t>
      </w:r>
      <w:r>
        <w:rPr>
          <w:sz w:val="20"/>
        </w:rPr>
        <w:t>del</w:t>
      </w:r>
      <w:r>
        <w:rPr>
          <w:spacing w:val="-9"/>
          <w:sz w:val="20"/>
        </w:rPr>
        <w:t> </w:t>
      </w:r>
      <w:r>
        <w:rPr>
          <w:sz w:val="20"/>
        </w:rPr>
        <w:t>proceso</w:t>
      </w:r>
      <w:r>
        <w:rPr>
          <w:spacing w:val="-9"/>
          <w:sz w:val="20"/>
        </w:rPr>
        <w:t> </w:t>
      </w:r>
      <w:r>
        <w:rPr>
          <w:sz w:val="20"/>
        </w:rPr>
        <w:t>de</w:t>
      </w:r>
      <w:r>
        <w:rPr>
          <w:spacing w:val="-9"/>
          <w:sz w:val="20"/>
        </w:rPr>
        <w:t> </w:t>
      </w:r>
      <w:r>
        <w:rPr>
          <w:sz w:val="20"/>
        </w:rPr>
        <w:t>modernización,</w:t>
      </w:r>
      <w:r>
        <w:rPr>
          <w:spacing w:val="-10"/>
          <w:sz w:val="20"/>
        </w:rPr>
        <w:t> </w:t>
      </w:r>
      <w:r>
        <w:rPr>
          <w:sz w:val="20"/>
        </w:rPr>
        <w:t>jugando</w:t>
      </w:r>
      <w:r>
        <w:rPr>
          <w:spacing w:val="-9"/>
          <w:sz w:val="20"/>
        </w:rPr>
        <w:t> </w:t>
      </w:r>
      <w:r>
        <w:rPr>
          <w:sz w:val="20"/>
        </w:rPr>
        <w:t>un</w:t>
      </w:r>
      <w:r>
        <w:rPr>
          <w:spacing w:val="-9"/>
          <w:sz w:val="20"/>
        </w:rPr>
        <w:t> </w:t>
      </w:r>
      <w:r>
        <w:rPr>
          <w:sz w:val="20"/>
        </w:rPr>
        <w:t>papel</w:t>
      </w:r>
      <w:r>
        <w:rPr>
          <w:spacing w:val="-9"/>
          <w:sz w:val="20"/>
        </w:rPr>
        <w:t> </w:t>
      </w:r>
      <w:r>
        <w:rPr>
          <w:sz w:val="20"/>
        </w:rPr>
        <w:t>cen- tral en el despliegue y desarrollo del capitalismo moderno (2006a:</w:t>
      </w:r>
      <w:r>
        <w:rPr>
          <w:spacing w:val="3"/>
          <w:sz w:val="20"/>
        </w:rPr>
        <w:t> </w:t>
      </w:r>
      <w:r>
        <w:rPr>
          <w:spacing w:val="-3"/>
          <w:sz w:val="20"/>
        </w:rPr>
        <w:t>11).</w:t>
      </w:r>
    </w:p>
    <w:p>
      <w:pPr>
        <w:pStyle w:val="BodyText"/>
        <w:spacing w:line="247" w:lineRule="auto" w:before="172"/>
        <w:ind w:left="117" w:right="114" w:firstLine="283"/>
        <w:jc w:val="both"/>
      </w:pPr>
      <w:r>
        <w:rPr>
          <w:color w:val="231F20"/>
        </w:rPr>
        <w:t>Plantear además que los vínculos entre la globalización y la migración se</w:t>
      </w:r>
      <w:r>
        <w:rPr>
          <w:color w:val="231F20"/>
          <w:spacing w:val="-12"/>
        </w:rPr>
        <w:t> </w:t>
      </w:r>
      <w:r>
        <w:rPr>
          <w:color w:val="231F20"/>
        </w:rPr>
        <w:t>evidencian</w:t>
      </w:r>
      <w:r>
        <w:rPr>
          <w:color w:val="231F20"/>
          <w:spacing w:val="-12"/>
        </w:rPr>
        <w:t> </w:t>
      </w:r>
      <w:r>
        <w:rPr>
          <w:color w:val="231F20"/>
        </w:rPr>
        <w:t>cuando</w:t>
      </w:r>
      <w:r>
        <w:rPr>
          <w:color w:val="231F20"/>
          <w:spacing w:val="-12"/>
        </w:rPr>
        <w:t> </w:t>
      </w:r>
      <w:r>
        <w:rPr>
          <w:color w:val="231F20"/>
        </w:rPr>
        <w:t>las</w:t>
      </w:r>
      <w:r>
        <w:rPr>
          <w:color w:val="231F20"/>
          <w:spacing w:val="-12"/>
        </w:rPr>
        <w:t> </w:t>
      </w:r>
      <w:r>
        <w:rPr>
          <w:color w:val="231F20"/>
        </w:rPr>
        <w:t>dimensiones</w:t>
      </w:r>
      <w:r>
        <w:rPr>
          <w:color w:val="231F20"/>
          <w:spacing w:val="-12"/>
        </w:rPr>
        <w:t> </w:t>
      </w:r>
      <w:r>
        <w:rPr>
          <w:color w:val="231F20"/>
        </w:rPr>
        <w:t>involucradas</w:t>
      </w:r>
      <w:r>
        <w:rPr>
          <w:color w:val="231F20"/>
          <w:spacing w:val="-12"/>
        </w:rPr>
        <w:t> </w:t>
      </w:r>
      <w:r>
        <w:rPr>
          <w:color w:val="231F20"/>
        </w:rPr>
        <w:t>(económicas,</w:t>
      </w:r>
      <w:r>
        <w:rPr>
          <w:color w:val="231F20"/>
          <w:spacing w:val="-12"/>
        </w:rPr>
        <w:t> </w:t>
      </w:r>
      <w:r>
        <w:rPr>
          <w:color w:val="231F20"/>
        </w:rPr>
        <w:t>políticas, sociales y culturales) se examinan a escala mundial. La globalización pro- picia desigualdades que conllevan a la emigración de la población de paí- ses de menor desarrollo hacia países más desarrollados, donde ofertan su mano</w:t>
      </w:r>
      <w:r>
        <w:rPr>
          <w:color w:val="231F20"/>
          <w:spacing w:val="-7"/>
        </w:rPr>
        <w:t> </w:t>
      </w:r>
      <w:r>
        <w:rPr>
          <w:color w:val="231F20"/>
        </w:rPr>
        <w:t>de</w:t>
      </w:r>
      <w:r>
        <w:rPr>
          <w:color w:val="231F20"/>
          <w:spacing w:val="-7"/>
        </w:rPr>
        <w:t> </w:t>
      </w:r>
      <w:r>
        <w:rPr>
          <w:color w:val="231F20"/>
        </w:rPr>
        <w:t>obra</w:t>
      </w:r>
      <w:r>
        <w:rPr>
          <w:color w:val="231F20"/>
          <w:spacing w:val="-7"/>
        </w:rPr>
        <w:t> </w:t>
      </w:r>
      <w:r>
        <w:rPr>
          <w:color w:val="231F20"/>
        </w:rPr>
        <w:t>por</w:t>
      </w:r>
      <w:r>
        <w:rPr>
          <w:color w:val="231F20"/>
          <w:spacing w:val="-7"/>
        </w:rPr>
        <w:t> </w:t>
      </w:r>
      <w:r>
        <w:rPr>
          <w:color w:val="231F20"/>
        </w:rPr>
        <w:t>salarios</w:t>
      </w:r>
      <w:r>
        <w:rPr>
          <w:color w:val="231F20"/>
          <w:spacing w:val="-6"/>
        </w:rPr>
        <w:t> </w:t>
      </w:r>
      <w:r>
        <w:rPr>
          <w:color w:val="231F20"/>
        </w:rPr>
        <w:t>menores</w:t>
      </w:r>
      <w:r>
        <w:rPr>
          <w:color w:val="231F20"/>
          <w:spacing w:val="-8"/>
        </w:rPr>
        <w:t> </w:t>
      </w:r>
      <w:r>
        <w:rPr>
          <w:color w:val="231F20"/>
        </w:rPr>
        <w:t>a</w:t>
      </w:r>
      <w:r>
        <w:rPr>
          <w:color w:val="231F20"/>
          <w:spacing w:val="-7"/>
        </w:rPr>
        <w:t> </w:t>
      </w:r>
      <w:r>
        <w:rPr>
          <w:color w:val="231F20"/>
        </w:rPr>
        <w:t>los</w:t>
      </w:r>
      <w:r>
        <w:rPr>
          <w:color w:val="231F20"/>
          <w:spacing w:val="-7"/>
        </w:rPr>
        <w:t> </w:t>
      </w:r>
      <w:r>
        <w:rPr>
          <w:color w:val="231F20"/>
        </w:rPr>
        <w:t>que</w:t>
      </w:r>
      <w:r>
        <w:rPr>
          <w:color w:val="231F20"/>
          <w:spacing w:val="-7"/>
        </w:rPr>
        <w:t> </w:t>
      </w:r>
      <w:r>
        <w:rPr>
          <w:color w:val="231F20"/>
        </w:rPr>
        <w:t>marcan</w:t>
      </w:r>
      <w:r>
        <w:rPr>
          <w:color w:val="231F20"/>
          <w:spacing w:val="-7"/>
        </w:rPr>
        <w:t> </w:t>
      </w:r>
      <w:r>
        <w:rPr>
          <w:color w:val="231F20"/>
        </w:rPr>
        <w:t>las</w:t>
      </w:r>
      <w:r>
        <w:rPr>
          <w:color w:val="231F20"/>
          <w:spacing w:val="-7"/>
        </w:rPr>
        <w:t> </w:t>
      </w:r>
      <w:r>
        <w:rPr>
          <w:color w:val="231F20"/>
        </w:rPr>
        <w:t>leyes</w:t>
      </w:r>
      <w:r>
        <w:rPr>
          <w:color w:val="231F20"/>
          <w:spacing w:val="-7"/>
        </w:rPr>
        <w:t> </w:t>
      </w:r>
      <w:r>
        <w:rPr>
          <w:color w:val="231F20"/>
        </w:rPr>
        <w:t>laborales</w:t>
      </w:r>
      <w:r>
        <w:rPr>
          <w:color w:val="231F20"/>
          <w:spacing w:val="-8"/>
        </w:rPr>
        <w:t> </w:t>
      </w:r>
      <w:r>
        <w:rPr>
          <w:color w:val="231F20"/>
        </w:rPr>
        <w:t>del país receptor. La dimensión política tiene que ver con la constante viola- ción</w:t>
      </w:r>
      <w:r>
        <w:rPr>
          <w:color w:val="231F20"/>
          <w:spacing w:val="-8"/>
        </w:rPr>
        <w:t> </w:t>
      </w:r>
      <w:r>
        <w:rPr>
          <w:color w:val="231F20"/>
        </w:rPr>
        <w:t>de</w:t>
      </w:r>
      <w:r>
        <w:rPr>
          <w:color w:val="231F20"/>
          <w:spacing w:val="-7"/>
        </w:rPr>
        <w:t> </w:t>
      </w:r>
      <w:r>
        <w:rPr>
          <w:color w:val="231F20"/>
        </w:rPr>
        <w:t>los</w:t>
      </w:r>
      <w:r>
        <w:rPr>
          <w:color w:val="231F20"/>
          <w:spacing w:val="-8"/>
        </w:rPr>
        <w:t> </w:t>
      </w:r>
      <w:r>
        <w:rPr>
          <w:color w:val="231F20"/>
        </w:rPr>
        <w:t>derechos</w:t>
      </w:r>
      <w:r>
        <w:rPr>
          <w:color w:val="231F20"/>
          <w:spacing w:val="-7"/>
        </w:rPr>
        <w:t> </w:t>
      </w:r>
      <w:r>
        <w:rPr>
          <w:color w:val="231F20"/>
        </w:rPr>
        <w:t>humanos</w:t>
      </w:r>
      <w:r>
        <w:rPr>
          <w:color w:val="231F20"/>
          <w:spacing w:val="-7"/>
        </w:rPr>
        <w:t> </w:t>
      </w:r>
      <w:r>
        <w:rPr>
          <w:color w:val="231F20"/>
        </w:rPr>
        <w:t>de</w:t>
      </w:r>
      <w:r>
        <w:rPr>
          <w:color w:val="231F20"/>
          <w:spacing w:val="-8"/>
        </w:rPr>
        <w:t> </w:t>
      </w:r>
      <w:r>
        <w:rPr>
          <w:color w:val="231F20"/>
        </w:rPr>
        <w:t>la</w:t>
      </w:r>
      <w:r>
        <w:rPr>
          <w:color w:val="231F20"/>
          <w:spacing w:val="-8"/>
        </w:rPr>
        <w:t> </w:t>
      </w:r>
      <w:r>
        <w:rPr>
          <w:color w:val="231F20"/>
        </w:rPr>
        <w:t>población</w:t>
      </w:r>
      <w:r>
        <w:rPr>
          <w:color w:val="231F20"/>
          <w:spacing w:val="-7"/>
        </w:rPr>
        <w:t> </w:t>
      </w:r>
      <w:r>
        <w:rPr>
          <w:color w:val="231F20"/>
        </w:rPr>
        <w:t>emigrante.</w:t>
      </w:r>
      <w:r>
        <w:rPr>
          <w:color w:val="231F20"/>
          <w:spacing w:val="-8"/>
        </w:rPr>
        <w:t> </w:t>
      </w:r>
      <w:r>
        <w:rPr>
          <w:color w:val="231F20"/>
        </w:rPr>
        <w:t>El</w:t>
      </w:r>
      <w:r>
        <w:rPr>
          <w:color w:val="231F20"/>
          <w:spacing w:val="-8"/>
        </w:rPr>
        <w:t> </w:t>
      </w:r>
      <w:r>
        <w:rPr>
          <w:color w:val="231F20"/>
        </w:rPr>
        <w:t>trato</w:t>
      </w:r>
      <w:r>
        <w:rPr>
          <w:color w:val="231F20"/>
          <w:spacing w:val="-8"/>
        </w:rPr>
        <w:t> </w:t>
      </w:r>
      <w:r>
        <w:rPr>
          <w:color w:val="231F20"/>
        </w:rPr>
        <w:t>discrimi- natorio que se le otorga al inmigrante en los países receptores, sobre todo al indocumentado, es una constante que ha sido señalada por los distintos estudiosos</w:t>
      </w:r>
      <w:r>
        <w:rPr>
          <w:color w:val="231F20"/>
          <w:spacing w:val="-12"/>
        </w:rPr>
        <w:t> </w:t>
      </w:r>
      <w:r>
        <w:rPr>
          <w:color w:val="231F20"/>
        </w:rPr>
        <w:t>del</w:t>
      </w:r>
      <w:r>
        <w:rPr>
          <w:color w:val="231F20"/>
          <w:spacing w:val="-12"/>
        </w:rPr>
        <w:t> </w:t>
      </w:r>
      <w:r>
        <w:rPr>
          <w:color w:val="231F20"/>
        </w:rPr>
        <w:t>fenómeno,</w:t>
      </w:r>
      <w:r>
        <w:rPr>
          <w:color w:val="231F20"/>
          <w:spacing w:val="-12"/>
        </w:rPr>
        <w:t> </w:t>
      </w:r>
      <w:r>
        <w:rPr>
          <w:color w:val="231F20"/>
        </w:rPr>
        <w:t>persecución</w:t>
      </w:r>
      <w:r>
        <w:rPr>
          <w:color w:val="231F20"/>
          <w:spacing w:val="-12"/>
        </w:rPr>
        <w:t> </w:t>
      </w:r>
      <w:r>
        <w:rPr>
          <w:color w:val="231F20"/>
        </w:rPr>
        <w:t>que</w:t>
      </w:r>
      <w:r>
        <w:rPr>
          <w:color w:val="231F20"/>
          <w:spacing w:val="-12"/>
        </w:rPr>
        <w:t> </w:t>
      </w:r>
      <w:r>
        <w:rPr>
          <w:color w:val="231F20"/>
        </w:rPr>
        <w:t>no</w:t>
      </w:r>
      <w:r>
        <w:rPr>
          <w:color w:val="231F20"/>
          <w:spacing w:val="-12"/>
        </w:rPr>
        <w:t> </w:t>
      </w:r>
      <w:r>
        <w:rPr>
          <w:color w:val="231F20"/>
        </w:rPr>
        <w:t>tan</w:t>
      </w:r>
      <w:r>
        <w:rPr>
          <w:color w:val="231F20"/>
          <w:spacing w:val="-12"/>
        </w:rPr>
        <w:t> </w:t>
      </w:r>
      <w:r>
        <w:rPr>
          <w:color w:val="231F20"/>
        </w:rPr>
        <w:t>sólo</w:t>
      </w:r>
      <w:r>
        <w:rPr>
          <w:color w:val="231F20"/>
          <w:spacing w:val="-12"/>
        </w:rPr>
        <w:t> </w:t>
      </w:r>
      <w:r>
        <w:rPr>
          <w:color w:val="231F20"/>
        </w:rPr>
        <w:t>se</w:t>
      </w:r>
      <w:r>
        <w:rPr>
          <w:color w:val="231F20"/>
          <w:spacing w:val="-12"/>
        </w:rPr>
        <w:t> </w:t>
      </w:r>
      <w:r>
        <w:rPr>
          <w:color w:val="231F20"/>
        </w:rPr>
        <w:t>refleja</w:t>
      </w:r>
      <w:r>
        <w:rPr>
          <w:color w:val="231F20"/>
          <w:spacing w:val="-12"/>
        </w:rPr>
        <w:t> </w:t>
      </w:r>
      <w:r>
        <w:rPr>
          <w:color w:val="231F20"/>
        </w:rPr>
        <w:t>en</w:t>
      </w:r>
      <w:r>
        <w:rPr>
          <w:color w:val="231F20"/>
          <w:spacing w:val="-12"/>
        </w:rPr>
        <w:t> </w:t>
      </w:r>
      <w:r>
        <w:rPr>
          <w:color w:val="231F20"/>
        </w:rPr>
        <w:t>aspectos que tienen que ver con su situación laboral, sino también en función de salarios y deportación violatoria a sus derechos</w:t>
      </w:r>
      <w:r>
        <w:rPr>
          <w:color w:val="231F20"/>
          <w:spacing w:val="-9"/>
        </w:rPr>
        <w:t> </w:t>
      </w:r>
      <w:r>
        <w:rPr>
          <w:color w:val="231F20"/>
        </w:rPr>
        <w:t>humanos.</w:t>
      </w:r>
    </w:p>
    <w:p>
      <w:pPr>
        <w:pStyle w:val="BodyText"/>
        <w:spacing w:line="247" w:lineRule="auto"/>
        <w:ind w:left="117" w:right="114" w:firstLine="283"/>
        <w:jc w:val="both"/>
      </w:pPr>
      <w:r>
        <w:rPr>
          <w:color w:val="231F20"/>
        </w:rPr>
        <w:t>En</w:t>
      </w:r>
      <w:r>
        <w:rPr>
          <w:color w:val="231F20"/>
          <w:spacing w:val="-4"/>
        </w:rPr>
        <w:t> </w:t>
      </w:r>
      <w:r>
        <w:rPr>
          <w:color w:val="231F20"/>
        </w:rPr>
        <w:t>Estados</w:t>
      </w:r>
      <w:r>
        <w:rPr>
          <w:color w:val="231F20"/>
          <w:spacing w:val="-4"/>
        </w:rPr>
        <w:t> </w:t>
      </w:r>
      <w:r>
        <w:rPr>
          <w:color w:val="231F20"/>
        </w:rPr>
        <w:t>Unidos</w:t>
      </w:r>
      <w:r>
        <w:rPr>
          <w:color w:val="231F20"/>
          <w:spacing w:val="-4"/>
        </w:rPr>
        <w:t> </w:t>
      </w:r>
      <w:r>
        <w:rPr>
          <w:color w:val="231F20"/>
        </w:rPr>
        <w:t>un</w:t>
      </w:r>
      <w:r>
        <w:rPr>
          <w:color w:val="231F20"/>
          <w:spacing w:val="-4"/>
        </w:rPr>
        <w:t> </w:t>
      </w:r>
      <w:r>
        <w:rPr>
          <w:color w:val="231F20"/>
        </w:rPr>
        <w:t>caso</w:t>
      </w:r>
      <w:r>
        <w:rPr>
          <w:color w:val="231F20"/>
          <w:spacing w:val="-4"/>
        </w:rPr>
        <w:t> </w:t>
      </w:r>
      <w:r>
        <w:rPr>
          <w:color w:val="231F20"/>
        </w:rPr>
        <w:t>concreto</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ley</w:t>
      </w:r>
      <w:r>
        <w:rPr>
          <w:color w:val="231F20"/>
          <w:spacing w:val="-4"/>
        </w:rPr>
        <w:t> </w:t>
      </w:r>
      <w:r>
        <w:rPr>
          <w:color w:val="231F20"/>
        </w:rPr>
        <w:t>SB</w:t>
      </w:r>
      <w:r>
        <w:rPr>
          <w:color w:val="231F20"/>
          <w:spacing w:val="-4"/>
        </w:rPr>
        <w:t> </w:t>
      </w:r>
      <w:r>
        <w:rPr>
          <w:color w:val="231F20"/>
        </w:rPr>
        <w:t>1070</w:t>
      </w:r>
      <w:r>
        <w:rPr>
          <w:color w:val="231F20"/>
          <w:spacing w:val="-4"/>
        </w:rPr>
        <w:t> </w:t>
      </w:r>
      <w:r>
        <w:rPr>
          <w:color w:val="231F20"/>
        </w:rPr>
        <w:t>que</w:t>
      </w:r>
      <w:r>
        <w:rPr>
          <w:color w:val="231F20"/>
          <w:spacing w:val="-4"/>
        </w:rPr>
        <w:t> </w:t>
      </w:r>
      <w:r>
        <w:rPr>
          <w:color w:val="231F20"/>
        </w:rPr>
        <w:t>firmó</w:t>
      </w:r>
      <w:r>
        <w:rPr>
          <w:color w:val="231F20"/>
          <w:spacing w:val="-4"/>
        </w:rPr>
        <w:t> </w:t>
      </w:r>
      <w:r>
        <w:rPr>
          <w:color w:val="231F20"/>
        </w:rPr>
        <w:t>la</w:t>
      </w:r>
      <w:r>
        <w:rPr>
          <w:color w:val="231F20"/>
          <w:spacing w:val="-4"/>
        </w:rPr>
        <w:t> </w:t>
      </w:r>
      <w:r>
        <w:rPr>
          <w:color w:val="231F20"/>
        </w:rPr>
        <w:t>go- bernadora Jan Brewer del estado de Arizona y que entró en vigor a finales de julio de 2010, ley que requiere a los no ciudadanos americanos llevar sus “documentos de registro de extranjeros” en todo momento, debido a que</w:t>
      </w:r>
      <w:r>
        <w:rPr>
          <w:color w:val="231F20"/>
          <w:spacing w:val="-8"/>
        </w:rPr>
        <w:t> </w:t>
      </w:r>
      <w:r>
        <w:rPr>
          <w:color w:val="231F20"/>
        </w:rPr>
        <w:t>autoriza</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agentes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policía</w:t>
      </w:r>
      <w:r>
        <w:rPr>
          <w:color w:val="231F20"/>
          <w:spacing w:val="-8"/>
        </w:rPr>
        <w:t> </w:t>
      </w:r>
      <w:r>
        <w:rPr>
          <w:color w:val="231F20"/>
        </w:rPr>
        <w:t>de</w:t>
      </w:r>
      <w:r>
        <w:rPr>
          <w:color w:val="231F20"/>
          <w:spacing w:val="-19"/>
        </w:rPr>
        <w:t> </w:t>
      </w:r>
      <w:r>
        <w:rPr>
          <w:color w:val="231F20"/>
        </w:rPr>
        <w:t>Arizona</w:t>
      </w:r>
      <w:r>
        <w:rPr>
          <w:color w:val="231F20"/>
          <w:spacing w:val="-7"/>
        </w:rPr>
        <w:t> </w:t>
      </w:r>
      <w:r>
        <w:rPr>
          <w:color w:val="231F20"/>
        </w:rPr>
        <w:t>requerir,</w:t>
      </w:r>
      <w:r>
        <w:rPr>
          <w:color w:val="231F20"/>
          <w:spacing w:val="-8"/>
        </w:rPr>
        <w:t> </w:t>
      </w:r>
      <w:r>
        <w:rPr>
          <w:color w:val="231F20"/>
        </w:rPr>
        <w:t>bajo</w:t>
      </w:r>
      <w:r>
        <w:rPr>
          <w:color w:val="231F20"/>
          <w:spacing w:val="-8"/>
        </w:rPr>
        <w:t> </w:t>
      </w:r>
      <w:r>
        <w:rPr>
          <w:color w:val="231F20"/>
        </w:rPr>
        <w:t>“sospecha razonable”, su estatus migratorio para corroborar si se encuentran ilegal- mente en el país. Una disposición más emanada de esta </w:t>
      </w:r>
      <w:r>
        <w:rPr>
          <w:color w:val="231F20"/>
          <w:spacing w:val="-4"/>
        </w:rPr>
        <w:t>ley, </w:t>
      </w:r>
      <w:r>
        <w:rPr>
          <w:color w:val="231F20"/>
        </w:rPr>
        <w:t>es el señalar como</w:t>
      </w:r>
      <w:r>
        <w:rPr>
          <w:color w:val="231F20"/>
          <w:spacing w:val="-11"/>
        </w:rPr>
        <w:t> </w:t>
      </w:r>
      <w:r>
        <w:rPr>
          <w:color w:val="231F20"/>
        </w:rPr>
        <w:t>delito</w:t>
      </w:r>
      <w:r>
        <w:rPr>
          <w:color w:val="231F20"/>
          <w:spacing w:val="-11"/>
        </w:rPr>
        <w:t> </w:t>
      </w:r>
      <w:r>
        <w:rPr>
          <w:color w:val="231F20"/>
        </w:rPr>
        <w:t>para</w:t>
      </w:r>
      <w:r>
        <w:rPr>
          <w:color w:val="231F20"/>
          <w:spacing w:val="-11"/>
        </w:rPr>
        <w:t> </w:t>
      </w:r>
      <w:r>
        <w:rPr>
          <w:color w:val="231F20"/>
        </w:rPr>
        <w:t>los</w:t>
      </w:r>
      <w:r>
        <w:rPr>
          <w:color w:val="231F20"/>
          <w:spacing w:val="-11"/>
        </w:rPr>
        <w:t> </w:t>
      </w:r>
      <w:r>
        <w:rPr>
          <w:color w:val="231F20"/>
        </w:rPr>
        <w:t>inmigrantes</w:t>
      </w:r>
      <w:r>
        <w:rPr>
          <w:color w:val="231F20"/>
          <w:spacing w:val="-12"/>
        </w:rPr>
        <w:t> </w:t>
      </w:r>
      <w:r>
        <w:rPr>
          <w:color w:val="231F20"/>
        </w:rPr>
        <w:t>indocumentados</w:t>
      </w:r>
      <w:r>
        <w:rPr>
          <w:color w:val="231F20"/>
          <w:spacing w:val="-12"/>
        </w:rPr>
        <w:t> </w:t>
      </w:r>
      <w:r>
        <w:rPr>
          <w:color w:val="231F20"/>
        </w:rPr>
        <w:t>buscar</w:t>
      </w:r>
      <w:r>
        <w:rPr>
          <w:color w:val="231F20"/>
          <w:spacing w:val="-11"/>
        </w:rPr>
        <w:t> </w:t>
      </w:r>
      <w:r>
        <w:rPr>
          <w:color w:val="231F20"/>
        </w:rPr>
        <w:t>trabajo</w:t>
      </w:r>
      <w:r>
        <w:rPr>
          <w:color w:val="231F20"/>
          <w:spacing w:val="-11"/>
        </w:rPr>
        <w:t> </w:t>
      </w:r>
      <w:r>
        <w:rPr>
          <w:color w:val="231F20"/>
        </w:rPr>
        <w:t>o</w:t>
      </w:r>
      <w:r>
        <w:rPr>
          <w:color w:val="231F20"/>
          <w:spacing w:val="-11"/>
        </w:rPr>
        <w:t> </w:t>
      </w:r>
      <w:r>
        <w:rPr>
          <w:color w:val="231F20"/>
        </w:rPr>
        <w:t>solicitar puestos de trabajo.</w:t>
      </w:r>
    </w:p>
    <w:p>
      <w:pPr>
        <w:pStyle w:val="BodyText"/>
        <w:spacing w:line="247" w:lineRule="auto"/>
        <w:ind w:left="117" w:right="115" w:firstLine="283"/>
        <w:jc w:val="both"/>
      </w:pPr>
      <w:r>
        <w:rPr>
          <w:color w:val="231F20"/>
        </w:rPr>
        <w:t>Históricamente,</w:t>
      </w:r>
      <w:r>
        <w:rPr>
          <w:color w:val="231F20"/>
          <w:spacing w:val="-6"/>
        </w:rPr>
        <w:t> </w:t>
      </w:r>
      <w:r>
        <w:rPr>
          <w:color w:val="231F20"/>
        </w:rPr>
        <w:t>los</w:t>
      </w:r>
      <w:r>
        <w:rPr>
          <w:color w:val="231F20"/>
          <w:spacing w:val="-7"/>
        </w:rPr>
        <w:t> </w:t>
      </w:r>
      <w:r>
        <w:rPr>
          <w:color w:val="231F20"/>
        </w:rPr>
        <w:t>países</w:t>
      </w:r>
      <w:r>
        <w:rPr>
          <w:color w:val="231F20"/>
          <w:spacing w:val="-7"/>
        </w:rPr>
        <w:t> </w:t>
      </w:r>
      <w:r>
        <w:rPr>
          <w:color w:val="231F20"/>
        </w:rPr>
        <w:t>latinoamericanos</w:t>
      </w:r>
      <w:r>
        <w:rPr>
          <w:color w:val="231F20"/>
          <w:spacing w:val="-8"/>
        </w:rPr>
        <w:t> </w:t>
      </w:r>
      <w:r>
        <w:rPr>
          <w:color w:val="231F20"/>
        </w:rPr>
        <w:t>han</w:t>
      </w:r>
      <w:r>
        <w:rPr>
          <w:color w:val="231F20"/>
          <w:spacing w:val="-7"/>
        </w:rPr>
        <w:t> </w:t>
      </w:r>
      <w:r>
        <w:rPr>
          <w:color w:val="231F20"/>
        </w:rPr>
        <w:t>dependido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cam- bios tanto tecnológicos como económicos de los llamados países del pri- mer mundo, los que han influido en el comportamiento de las estructuras tanto económicas como sociales de las naciones latinoamericanas que se han visto subordinadas a los objetivos de la acumulación internacional del capital de los países llamados del primer mundo (Fucaraccio, 1977).</w:t>
      </w:r>
    </w:p>
    <w:p>
      <w:pPr>
        <w:pStyle w:val="BodyText"/>
        <w:spacing w:line="247" w:lineRule="auto"/>
        <w:ind w:left="117" w:right="115" w:firstLine="283"/>
        <w:jc w:val="both"/>
      </w:pPr>
      <w:r>
        <w:rPr>
          <w:color w:val="231F20"/>
        </w:rPr>
        <w:t>Desde sus principios la globalización ha acentuado la división entre países,</w:t>
      </w:r>
      <w:r>
        <w:rPr>
          <w:color w:val="231F20"/>
          <w:spacing w:val="-8"/>
        </w:rPr>
        <w:t> </w:t>
      </w:r>
      <w:r>
        <w:rPr>
          <w:color w:val="231F20"/>
        </w:rPr>
        <w:t>ubicando</w:t>
      </w:r>
      <w:r>
        <w:rPr>
          <w:color w:val="231F20"/>
          <w:spacing w:val="-7"/>
        </w:rPr>
        <w:t> </w:t>
      </w:r>
      <w:r>
        <w:rPr>
          <w:color w:val="231F20"/>
        </w:rPr>
        <w:t>a</w:t>
      </w:r>
      <w:r>
        <w:rPr>
          <w:color w:val="231F20"/>
          <w:spacing w:val="-8"/>
        </w:rPr>
        <w:t> </w:t>
      </w:r>
      <w:r>
        <w:rPr>
          <w:color w:val="231F20"/>
        </w:rPr>
        <w:t>los</w:t>
      </w:r>
      <w:r>
        <w:rPr>
          <w:color w:val="231F20"/>
          <w:spacing w:val="-8"/>
        </w:rPr>
        <w:t> </w:t>
      </w:r>
      <w:r>
        <w:rPr>
          <w:color w:val="231F20"/>
        </w:rPr>
        <w:t>mayormente</w:t>
      </w:r>
      <w:r>
        <w:rPr>
          <w:color w:val="231F20"/>
          <w:spacing w:val="-8"/>
        </w:rPr>
        <w:t> </w:t>
      </w:r>
      <w:r>
        <w:rPr>
          <w:color w:val="231F20"/>
        </w:rPr>
        <w:t>desarrollados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Norte</w:t>
      </w:r>
      <w:r>
        <w:rPr>
          <w:color w:val="231F20"/>
          <w:spacing w:val="-7"/>
        </w:rPr>
        <w:t> </w:t>
      </w:r>
      <w:r>
        <w:rPr>
          <w:color w:val="231F20"/>
        </w:rPr>
        <w:t>y</w:t>
      </w:r>
      <w:r>
        <w:rPr>
          <w:color w:val="231F20"/>
          <w:spacing w:val="-7"/>
        </w:rPr>
        <w:t> </w:t>
      </w:r>
      <w:r>
        <w:rPr>
          <w:color w:val="231F20"/>
        </w:rPr>
        <w:t>a</w:t>
      </w:r>
      <w:r>
        <w:rPr>
          <w:color w:val="231F20"/>
          <w:spacing w:val="-8"/>
        </w:rPr>
        <w:t> </w:t>
      </w:r>
      <w:r>
        <w:rPr>
          <w:color w:val="231F20"/>
        </w:rPr>
        <w:t>los</w:t>
      </w:r>
      <w:r>
        <w:rPr>
          <w:color w:val="231F20"/>
          <w:spacing w:val="-8"/>
        </w:rPr>
        <w:t> </w:t>
      </w:r>
      <w:r>
        <w:rPr>
          <w:color w:val="231F20"/>
        </w:rPr>
        <w:t>menos desarrollados en el </w:t>
      </w:r>
      <w:r>
        <w:rPr>
          <w:color w:val="231F20"/>
          <w:spacing w:val="-3"/>
        </w:rPr>
        <w:t>Sur, </w:t>
      </w:r>
      <w:r>
        <w:rPr>
          <w:color w:val="231F20"/>
        </w:rPr>
        <w:t>tendencia que ha derivado en la movilidad  </w:t>
      </w:r>
      <w:r>
        <w:rPr>
          <w:color w:val="231F20"/>
          <w:spacing w:val="40"/>
        </w:rPr>
        <w:t> </w:t>
      </w:r>
      <w:r>
        <w:rPr>
          <w:color w:val="231F20"/>
        </w:rPr>
        <w:t>inter-</w:t>
      </w:r>
    </w:p>
    <w:p>
      <w:pPr>
        <w:spacing w:after="0" w:line="247" w:lineRule="auto"/>
        <w:jc w:val="both"/>
        <w:sectPr>
          <w:pgSz w:w="9360" w:h="13040"/>
          <w:pgMar w:header="0" w:footer="496" w:top="740" w:bottom="680" w:left="1300" w:right="1300"/>
        </w:sectPr>
      </w:pPr>
    </w:p>
    <w:p>
      <w:pPr>
        <w:tabs>
          <w:tab w:pos="5536" w:val="left" w:leader="none"/>
        </w:tabs>
        <w:spacing w:before="51"/>
        <w:ind w:left="117" w:right="0" w:firstLine="5"/>
        <w:jc w:val="both"/>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114"/>
        <w:jc w:val="both"/>
      </w:pPr>
      <w:r>
        <w:rPr>
          <w:color w:val="231F20"/>
        </w:rPr>
        <w:t>nacional de la población, sobre todo la población que vive en condiciones de pobreza y que se desplaza de los países con menor desarrollo a los más desarrollados</w:t>
      </w:r>
      <w:r>
        <w:rPr>
          <w:color w:val="231F20"/>
          <w:spacing w:val="-11"/>
        </w:rPr>
        <w:t> </w:t>
      </w:r>
      <w:r>
        <w:rPr>
          <w:color w:val="231F20"/>
        </w:rPr>
        <w:t>en</w:t>
      </w:r>
      <w:r>
        <w:rPr>
          <w:color w:val="231F20"/>
          <w:spacing w:val="-10"/>
        </w:rPr>
        <w:t> </w:t>
      </w:r>
      <w:r>
        <w:rPr>
          <w:color w:val="231F20"/>
        </w:rPr>
        <w:t>búsqueda</w:t>
      </w:r>
      <w:r>
        <w:rPr>
          <w:color w:val="231F20"/>
          <w:spacing w:val="-11"/>
        </w:rPr>
        <w:t> </w:t>
      </w:r>
      <w:r>
        <w:rPr>
          <w:color w:val="231F20"/>
        </w:rPr>
        <w:t>de</w:t>
      </w:r>
      <w:r>
        <w:rPr>
          <w:color w:val="231F20"/>
          <w:spacing w:val="-10"/>
        </w:rPr>
        <w:t> </w:t>
      </w:r>
      <w:r>
        <w:rPr>
          <w:color w:val="231F20"/>
        </w:rPr>
        <w:t>nuevas</w:t>
      </w:r>
      <w:r>
        <w:rPr>
          <w:color w:val="231F20"/>
          <w:spacing w:val="-11"/>
        </w:rPr>
        <w:t> </w:t>
      </w:r>
      <w:r>
        <w:rPr>
          <w:color w:val="231F20"/>
        </w:rPr>
        <w:t>oportunidades</w:t>
      </w:r>
      <w:r>
        <w:rPr>
          <w:color w:val="231F20"/>
          <w:spacing w:val="-11"/>
        </w:rPr>
        <w:t> </w:t>
      </w:r>
      <w:r>
        <w:rPr>
          <w:color w:val="231F20"/>
        </w:rPr>
        <w:t>de</w:t>
      </w:r>
      <w:r>
        <w:rPr>
          <w:color w:val="231F20"/>
          <w:spacing w:val="-11"/>
        </w:rPr>
        <w:t> </w:t>
      </w:r>
      <w:r>
        <w:rPr>
          <w:color w:val="231F20"/>
        </w:rPr>
        <w:t>sobrevivencia</w:t>
      </w:r>
      <w:r>
        <w:rPr>
          <w:color w:val="231F20"/>
          <w:spacing w:val="-10"/>
        </w:rPr>
        <w:t> </w:t>
      </w:r>
      <w:r>
        <w:rPr>
          <w:color w:val="231F20"/>
        </w:rPr>
        <w:t>y</w:t>
      </w:r>
      <w:r>
        <w:rPr>
          <w:color w:val="231F20"/>
          <w:spacing w:val="-10"/>
        </w:rPr>
        <w:t> </w:t>
      </w:r>
      <w:r>
        <w:rPr>
          <w:color w:val="231F20"/>
        </w:rPr>
        <w:t>de- sarrollo</w:t>
      </w:r>
      <w:r>
        <w:rPr>
          <w:color w:val="231F20"/>
          <w:spacing w:val="-10"/>
        </w:rPr>
        <w:t> </w:t>
      </w:r>
      <w:r>
        <w:rPr>
          <w:color w:val="231F20"/>
        </w:rPr>
        <w:t>(Morales,</w:t>
      </w:r>
      <w:r>
        <w:rPr>
          <w:color w:val="231F20"/>
          <w:spacing w:val="-10"/>
        </w:rPr>
        <w:t> </w:t>
      </w:r>
      <w:r>
        <w:rPr>
          <w:color w:val="231F20"/>
        </w:rPr>
        <w:t>2007),</w:t>
      </w:r>
      <w:r>
        <w:rPr>
          <w:color w:val="231F20"/>
          <w:spacing w:val="-11"/>
        </w:rPr>
        <w:t> </w:t>
      </w:r>
      <w:r>
        <w:rPr>
          <w:color w:val="231F20"/>
        </w:rPr>
        <w:t>comportamiento</w:t>
      </w:r>
      <w:r>
        <w:rPr>
          <w:color w:val="231F20"/>
          <w:spacing w:val="-11"/>
        </w:rPr>
        <w:t> </w:t>
      </w:r>
      <w:r>
        <w:rPr>
          <w:color w:val="231F20"/>
        </w:rPr>
        <w:t>del</w:t>
      </w:r>
      <w:r>
        <w:rPr>
          <w:color w:val="231F20"/>
          <w:spacing w:val="-11"/>
        </w:rPr>
        <w:t> </w:t>
      </w:r>
      <w:r>
        <w:rPr>
          <w:color w:val="231F20"/>
        </w:rPr>
        <w:t>que</w:t>
      </w:r>
      <w:r>
        <w:rPr>
          <w:color w:val="231F20"/>
          <w:spacing w:val="-11"/>
        </w:rPr>
        <w:t> </w:t>
      </w:r>
      <w:r>
        <w:rPr>
          <w:color w:val="231F20"/>
        </w:rPr>
        <w:t>no</w:t>
      </w:r>
      <w:r>
        <w:rPr>
          <w:color w:val="231F20"/>
          <w:spacing w:val="-10"/>
        </w:rPr>
        <w:t> </w:t>
      </w:r>
      <w:r>
        <w:rPr>
          <w:color w:val="231F20"/>
        </w:rPr>
        <w:t>se</w:t>
      </w:r>
      <w:r>
        <w:rPr>
          <w:color w:val="231F20"/>
          <w:spacing w:val="-10"/>
        </w:rPr>
        <w:t> </w:t>
      </w:r>
      <w:r>
        <w:rPr>
          <w:color w:val="231F20"/>
        </w:rPr>
        <w:t>vislumbra</w:t>
      </w:r>
      <w:r>
        <w:rPr>
          <w:color w:val="231F20"/>
          <w:spacing w:val="-11"/>
        </w:rPr>
        <w:t> </w:t>
      </w:r>
      <w:r>
        <w:rPr>
          <w:color w:val="231F20"/>
        </w:rPr>
        <w:t>en</w:t>
      </w:r>
      <w:r>
        <w:rPr>
          <w:color w:val="231F20"/>
          <w:spacing w:val="-11"/>
        </w:rPr>
        <w:t> </w:t>
      </w:r>
      <w:r>
        <w:rPr>
          <w:color w:val="231F20"/>
        </w:rPr>
        <w:t>corto o mediano plazo el término, dado que, como lo señalan Castles y</w:t>
      </w:r>
      <w:r>
        <w:rPr>
          <w:color w:val="231F20"/>
          <w:spacing w:val="-4"/>
        </w:rPr>
        <w:t> </w:t>
      </w:r>
      <w:r>
        <w:rPr>
          <w:color w:val="231F20"/>
          <w:spacing w:val="-3"/>
        </w:rPr>
        <w:t>Miller,</w:t>
      </w:r>
    </w:p>
    <w:p>
      <w:pPr>
        <w:pStyle w:val="BodyText"/>
        <w:spacing w:line="247" w:lineRule="auto"/>
        <w:ind w:left="117" w:right="115" w:firstLine="283"/>
        <w:jc w:val="both"/>
      </w:pPr>
      <w:r>
        <w:rPr>
          <w:color w:val="231F20"/>
        </w:rPr>
        <w:t>hay razones para que se mantengan las migraciones: las crecientes</w:t>
      </w:r>
      <w:r>
        <w:rPr>
          <w:color w:val="231F20"/>
          <w:spacing w:val="-22"/>
        </w:rPr>
        <w:t> </w:t>
      </w:r>
      <w:r>
        <w:rPr>
          <w:color w:val="231F20"/>
        </w:rPr>
        <w:t>des- igualdades de riqueza entre el Norte y el Sur tal vez impulsarán a un nú- mero creciente de personas a moverse en busca de mejores condiciones</w:t>
      </w:r>
      <w:r>
        <w:rPr>
          <w:color w:val="231F20"/>
          <w:spacing w:val="-30"/>
        </w:rPr>
        <w:t> </w:t>
      </w:r>
      <w:r>
        <w:rPr>
          <w:color w:val="231F20"/>
        </w:rPr>
        <w:t>de vida; las presiones políticas, ecológicas y demográficas pueden forzar a muchos otros a buscar refugios fuera de sus propios países… (2004: 16).</w:t>
      </w:r>
    </w:p>
    <w:p>
      <w:pPr>
        <w:pStyle w:val="BodyText"/>
        <w:spacing w:line="247" w:lineRule="auto"/>
        <w:ind w:left="117" w:right="114" w:firstLine="283"/>
        <w:jc w:val="both"/>
      </w:pPr>
      <w:r>
        <w:rPr>
          <w:color w:val="231F20"/>
        </w:rPr>
        <w:t>Investigadores</w:t>
      </w:r>
      <w:r>
        <w:rPr>
          <w:color w:val="231F20"/>
          <w:spacing w:val="-13"/>
        </w:rPr>
        <w:t> </w:t>
      </w:r>
      <w:r>
        <w:rPr>
          <w:color w:val="231F20"/>
        </w:rPr>
        <w:t>como</w:t>
      </w:r>
      <w:r>
        <w:rPr>
          <w:color w:val="231F20"/>
          <w:spacing w:val="-13"/>
        </w:rPr>
        <w:t> </w:t>
      </w:r>
      <w:r>
        <w:rPr>
          <w:color w:val="231F20"/>
        </w:rPr>
        <w:t>Lewis</w:t>
      </w:r>
      <w:r>
        <w:rPr>
          <w:color w:val="231F20"/>
          <w:spacing w:val="-13"/>
        </w:rPr>
        <w:t> </w:t>
      </w:r>
      <w:r>
        <w:rPr>
          <w:color w:val="231F20"/>
        </w:rPr>
        <w:t>(1954),</w:t>
      </w:r>
      <w:r>
        <w:rPr>
          <w:color w:val="231F20"/>
          <w:spacing w:val="-13"/>
        </w:rPr>
        <w:t> </w:t>
      </w:r>
      <w:r>
        <w:rPr>
          <w:color w:val="231F20"/>
        </w:rPr>
        <w:t>Baran</w:t>
      </w:r>
      <w:r>
        <w:rPr>
          <w:color w:val="231F20"/>
          <w:spacing w:val="-13"/>
        </w:rPr>
        <w:t> </w:t>
      </w:r>
      <w:r>
        <w:rPr>
          <w:color w:val="231F20"/>
        </w:rPr>
        <w:t>(1973,</w:t>
      </w:r>
      <w:r>
        <w:rPr>
          <w:color w:val="231F20"/>
          <w:spacing w:val="-13"/>
        </w:rPr>
        <w:t> </w:t>
      </w:r>
      <w:r>
        <w:rPr>
          <w:color w:val="231F20"/>
        </w:rPr>
        <w:t>1975)</w:t>
      </w:r>
      <w:r>
        <w:rPr>
          <w:color w:val="231F20"/>
          <w:spacing w:val="-13"/>
        </w:rPr>
        <w:t> </w:t>
      </w:r>
      <w:r>
        <w:rPr>
          <w:color w:val="231F20"/>
        </w:rPr>
        <w:t>y</w:t>
      </w:r>
      <w:r>
        <w:rPr>
          <w:color w:val="231F20"/>
          <w:spacing w:val="-17"/>
        </w:rPr>
        <w:t> </w:t>
      </w:r>
      <w:r>
        <w:rPr>
          <w:color w:val="231F20"/>
          <w:spacing w:val="-3"/>
        </w:rPr>
        <w:t>Todaro</w:t>
      </w:r>
      <w:r>
        <w:rPr>
          <w:color w:val="231F20"/>
          <w:spacing w:val="-13"/>
        </w:rPr>
        <w:t> </w:t>
      </w:r>
      <w:r>
        <w:rPr>
          <w:color w:val="231F20"/>
        </w:rPr>
        <w:t>(1976, 1989) han defendido la postura de que los efectos de la migración laboral en el desarrollo económico de las regiones es consecuencia de las diferen- cias geográficas, del empleo y de salarios que se presentan entre ellas, y que estos factores llegan a perturbar los procesos de producción y los eco- nómicos tanto de los lugares expulsores como de los</w:t>
      </w:r>
      <w:r>
        <w:rPr>
          <w:color w:val="231F20"/>
          <w:spacing w:val="-6"/>
        </w:rPr>
        <w:t> </w:t>
      </w:r>
      <w:r>
        <w:rPr>
          <w:color w:val="231F20"/>
        </w:rPr>
        <w:t>receptores.</w:t>
      </w:r>
    </w:p>
    <w:p>
      <w:pPr>
        <w:pStyle w:val="BodyText"/>
        <w:spacing w:line="247" w:lineRule="auto"/>
        <w:ind w:left="117" w:right="114" w:firstLine="283"/>
        <w:jc w:val="both"/>
      </w:pPr>
      <w:r>
        <w:rPr>
          <w:color w:val="231F20"/>
        </w:rPr>
        <w:t>El desarrollo de nuevas tecnologías en los procesos productivos es ca- racterística que distingue al fenómeno de globalización, lo que implica la restructuración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sistemas</w:t>
      </w:r>
      <w:r>
        <w:rPr>
          <w:color w:val="231F20"/>
          <w:spacing w:val="-9"/>
        </w:rPr>
        <w:t> </w:t>
      </w:r>
      <w:r>
        <w:rPr>
          <w:color w:val="231F20"/>
        </w:rPr>
        <w:t>productivos</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sustitución</w:t>
      </w:r>
      <w:r>
        <w:rPr>
          <w:color w:val="231F20"/>
          <w:spacing w:val="-8"/>
        </w:rPr>
        <w:t> </w:t>
      </w:r>
      <w:r>
        <w:rPr>
          <w:color w:val="231F20"/>
        </w:rPr>
        <w:t>de</w:t>
      </w:r>
      <w:r>
        <w:rPr>
          <w:color w:val="231F20"/>
          <w:spacing w:val="-9"/>
        </w:rPr>
        <w:t> </w:t>
      </w:r>
      <w:r>
        <w:rPr>
          <w:color w:val="231F20"/>
        </w:rPr>
        <w:t>los</w:t>
      </w:r>
      <w:r>
        <w:rPr>
          <w:color w:val="231F20"/>
          <w:spacing w:val="-9"/>
        </w:rPr>
        <w:t> </w:t>
      </w:r>
      <w:r>
        <w:rPr>
          <w:color w:val="231F20"/>
        </w:rPr>
        <w:t>seres</w:t>
      </w:r>
      <w:r>
        <w:rPr>
          <w:color w:val="231F20"/>
          <w:spacing w:val="-9"/>
        </w:rPr>
        <w:t> </w:t>
      </w:r>
      <w:r>
        <w:rPr>
          <w:color w:val="231F20"/>
        </w:rPr>
        <w:t>hu- manos por maquinaria sofisticada en los diferentes sectores de la produc- ción, afectando al ámbito laboral de los países, lo que repercute en elevar sus niveles de</w:t>
      </w:r>
      <w:r>
        <w:rPr>
          <w:color w:val="231F20"/>
          <w:spacing w:val="-2"/>
        </w:rPr>
        <w:t> </w:t>
      </w:r>
      <w:r>
        <w:rPr>
          <w:color w:val="231F20"/>
        </w:rPr>
        <w:t>desempleo.</w:t>
      </w:r>
    </w:p>
    <w:p>
      <w:pPr>
        <w:pStyle w:val="BodyText"/>
        <w:spacing w:line="247" w:lineRule="auto"/>
        <w:ind w:left="117" w:right="114" w:firstLine="283"/>
        <w:jc w:val="both"/>
      </w:pPr>
      <w:r>
        <w:rPr>
          <w:color w:val="231F20"/>
        </w:rPr>
        <w:t>No</w:t>
      </w:r>
      <w:r>
        <w:rPr>
          <w:color w:val="231F20"/>
          <w:spacing w:val="-6"/>
        </w:rPr>
        <w:t> </w:t>
      </w:r>
      <w:r>
        <w:rPr>
          <w:color w:val="231F20"/>
        </w:rPr>
        <w:t>se</w:t>
      </w:r>
      <w:r>
        <w:rPr>
          <w:color w:val="231F20"/>
          <w:spacing w:val="-6"/>
        </w:rPr>
        <w:t> </w:t>
      </w:r>
      <w:r>
        <w:rPr>
          <w:color w:val="231F20"/>
        </w:rPr>
        <w:t>puede</w:t>
      </w:r>
      <w:r>
        <w:rPr>
          <w:color w:val="231F20"/>
          <w:spacing w:val="-6"/>
        </w:rPr>
        <w:t> </w:t>
      </w:r>
      <w:r>
        <w:rPr>
          <w:color w:val="231F20"/>
        </w:rPr>
        <w:t>negar</w:t>
      </w:r>
      <w:r>
        <w:rPr>
          <w:color w:val="231F20"/>
          <w:spacing w:val="-6"/>
        </w:rPr>
        <w:t> </w:t>
      </w:r>
      <w:r>
        <w:rPr>
          <w:color w:val="231F20"/>
        </w:rPr>
        <w:t>que</w:t>
      </w:r>
      <w:r>
        <w:rPr>
          <w:color w:val="231F20"/>
          <w:spacing w:val="-6"/>
        </w:rPr>
        <w:t> </w:t>
      </w:r>
      <w:r>
        <w:rPr>
          <w:color w:val="231F20"/>
        </w:rPr>
        <w:t>a</w:t>
      </w:r>
      <w:r>
        <w:rPr>
          <w:color w:val="231F20"/>
          <w:spacing w:val="-6"/>
        </w:rPr>
        <w:t> </w:t>
      </w:r>
      <w:r>
        <w:rPr>
          <w:color w:val="231F20"/>
        </w:rPr>
        <w:t>finales</w:t>
      </w:r>
      <w:r>
        <w:rPr>
          <w:color w:val="231F20"/>
          <w:spacing w:val="-6"/>
        </w:rPr>
        <w:t> </w:t>
      </w:r>
      <w:r>
        <w:rPr>
          <w:color w:val="231F20"/>
        </w:rPr>
        <w:t>del</w:t>
      </w:r>
      <w:r>
        <w:rPr>
          <w:color w:val="231F20"/>
          <w:spacing w:val="-6"/>
        </w:rPr>
        <w:t> </w:t>
      </w:r>
      <w:r>
        <w:rPr>
          <w:color w:val="231F20"/>
        </w:rPr>
        <w:t>siglo</w:t>
      </w:r>
      <w:r>
        <w:rPr>
          <w:color w:val="231F20"/>
          <w:spacing w:val="-6"/>
        </w:rPr>
        <w:t> </w:t>
      </w:r>
      <w:r>
        <w:rPr>
          <w:color w:val="231F20"/>
        </w:rPr>
        <w:t>XX,</w:t>
      </w:r>
      <w:r>
        <w:rPr>
          <w:color w:val="231F20"/>
          <w:spacing w:val="-6"/>
        </w:rPr>
        <w:t> </w:t>
      </w:r>
      <w:r>
        <w:rPr>
          <w:color w:val="231F20"/>
        </w:rPr>
        <w:t>los</w:t>
      </w:r>
      <w:r>
        <w:rPr>
          <w:color w:val="231F20"/>
          <w:spacing w:val="-6"/>
        </w:rPr>
        <w:t> </w:t>
      </w:r>
      <w:r>
        <w:rPr>
          <w:color w:val="231F20"/>
        </w:rPr>
        <w:t>cambios</w:t>
      </w:r>
      <w:r>
        <w:rPr>
          <w:color w:val="231F20"/>
          <w:spacing w:val="-6"/>
        </w:rPr>
        <w:t> </w:t>
      </w:r>
      <w:r>
        <w:rPr>
          <w:color w:val="231F20"/>
        </w:rPr>
        <w:t>tecnológicos en los procesos de producción provocaron una nueva división del trabajo. Lo</w:t>
      </w:r>
      <w:r>
        <w:rPr>
          <w:color w:val="231F20"/>
          <w:spacing w:val="-8"/>
        </w:rPr>
        <w:t> </w:t>
      </w:r>
      <w:r>
        <w:rPr>
          <w:color w:val="231F20"/>
        </w:rPr>
        <w:t>anterior</w:t>
      </w:r>
      <w:r>
        <w:rPr>
          <w:color w:val="231F20"/>
          <w:spacing w:val="-9"/>
        </w:rPr>
        <w:t> </w:t>
      </w:r>
      <w:r>
        <w:rPr>
          <w:color w:val="231F20"/>
        </w:rPr>
        <w:t>como</w:t>
      </w:r>
      <w:r>
        <w:rPr>
          <w:color w:val="231F20"/>
          <w:spacing w:val="-9"/>
        </w:rPr>
        <w:t> </w:t>
      </w:r>
      <w:r>
        <w:rPr>
          <w:color w:val="231F20"/>
        </w:rPr>
        <w:t>resultado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expansión</w:t>
      </w:r>
      <w:r>
        <w:rPr>
          <w:color w:val="231F20"/>
          <w:spacing w:val="-9"/>
        </w:rPr>
        <w:t> </w:t>
      </w:r>
      <w:r>
        <w:rPr>
          <w:color w:val="231F20"/>
        </w:rPr>
        <w:t>de</w:t>
      </w:r>
      <w:r>
        <w:rPr>
          <w:color w:val="231F20"/>
          <w:spacing w:val="-8"/>
        </w:rPr>
        <w:t> </w:t>
      </w:r>
      <w:r>
        <w:rPr>
          <w:color w:val="231F20"/>
        </w:rPr>
        <w:t>los</w:t>
      </w:r>
      <w:r>
        <w:rPr>
          <w:color w:val="231F20"/>
          <w:spacing w:val="-8"/>
        </w:rPr>
        <w:t> </w:t>
      </w:r>
      <w:r>
        <w:rPr>
          <w:color w:val="231F20"/>
        </w:rPr>
        <w:t>capitales</w:t>
      </w:r>
      <w:r>
        <w:rPr>
          <w:color w:val="231F20"/>
          <w:spacing w:val="-9"/>
        </w:rPr>
        <w:t> </w:t>
      </w:r>
      <w:r>
        <w:rPr>
          <w:color w:val="231F20"/>
        </w:rPr>
        <w:t>internacionales y los apoyos que les otorgaron los estados a sus empresas transnacionales para</w:t>
      </w:r>
      <w:r>
        <w:rPr>
          <w:color w:val="231F20"/>
          <w:spacing w:val="-13"/>
        </w:rPr>
        <w:t> </w:t>
      </w:r>
      <w:r>
        <w:rPr>
          <w:color w:val="231F20"/>
        </w:rPr>
        <w:t>operar</w:t>
      </w:r>
      <w:r>
        <w:rPr>
          <w:color w:val="231F20"/>
          <w:spacing w:val="-13"/>
        </w:rPr>
        <w:t> </w:t>
      </w:r>
      <w:r>
        <w:rPr>
          <w:color w:val="231F20"/>
        </w:rPr>
        <w:t>en</w:t>
      </w:r>
      <w:r>
        <w:rPr>
          <w:color w:val="231F20"/>
          <w:spacing w:val="-13"/>
        </w:rPr>
        <w:t> </w:t>
      </w:r>
      <w:r>
        <w:rPr>
          <w:color w:val="231F20"/>
        </w:rPr>
        <w:t>sus</w:t>
      </w:r>
      <w:r>
        <w:rPr>
          <w:color w:val="231F20"/>
          <w:spacing w:val="-12"/>
        </w:rPr>
        <w:t> </w:t>
      </w:r>
      <w:r>
        <w:rPr>
          <w:color w:val="231F20"/>
        </w:rPr>
        <w:t>territorios,</w:t>
      </w:r>
      <w:r>
        <w:rPr>
          <w:color w:val="231F20"/>
          <w:spacing w:val="-13"/>
        </w:rPr>
        <w:t> </w:t>
      </w:r>
      <w:r>
        <w:rPr>
          <w:color w:val="231F20"/>
        </w:rPr>
        <w:t>capitales</w:t>
      </w:r>
      <w:r>
        <w:rPr>
          <w:color w:val="231F20"/>
          <w:spacing w:val="-13"/>
        </w:rPr>
        <w:t> </w:t>
      </w:r>
      <w:r>
        <w:rPr>
          <w:color w:val="231F20"/>
        </w:rPr>
        <w:t>externos</w:t>
      </w:r>
      <w:r>
        <w:rPr>
          <w:color w:val="231F20"/>
          <w:spacing w:val="-13"/>
        </w:rPr>
        <w:t> </w:t>
      </w:r>
      <w:r>
        <w:rPr>
          <w:color w:val="231F20"/>
        </w:rPr>
        <w:t>que</w:t>
      </w:r>
      <w:r>
        <w:rPr>
          <w:color w:val="231F20"/>
          <w:spacing w:val="-13"/>
        </w:rPr>
        <w:t> </w:t>
      </w:r>
      <w:r>
        <w:rPr>
          <w:color w:val="231F20"/>
        </w:rPr>
        <w:t>arribaron</w:t>
      </w:r>
      <w:r>
        <w:rPr>
          <w:color w:val="231F20"/>
          <w:spacing w:val="-12"/>
        </w:rPr>
        <w:t> </w:t>
      </w:r>
      <w:r>
        <w:rPr>
          <w:color w:val="231F20"/>
        </w:rPr>
        <w:t>a</w:t>
      </w:r>
      <w:r>
        <w:rPr>
          <w:color w:val="231F20"/>
          <w:spacing w:val="-12"/>
        </w:rPr>
        <w:t> </w:t>
      </w:r>
      <w:r>
        <w:rPr>
          <w:color w:val="231F20"/>
        </w:rPr>
        <w:t>los</w:t>
      </w:r>
      <w:r>
        <w:rPr>
          <w:color w:val="231F20"/>
          <w:spacing w:val="-13"/>
        </w:rPr>
        <w:t> </w:t>
      </w:r>
      <w:r>
        <w:rPr>
          <w:color w:val="231F20"/>
        </w:rPr>
        <w:t>países</w:t>
      </w:r>
      <w:r>
        <w:rPr>
          <w:color w:val="231F20"/>
          <w:spacing w:val="-12"/>
        </w:rPr>
        <w:t> </w:t>
      </w:r>
      <w:r>
        <w:rPr>
          <w:color w:val="231F20"/>
        </w:rPr>
        <w:t>y se integraron en distintas etapas del proceso de producción: financiamien- to, producción, comercialización y consumo de productos de todo tipo. Este sector, favorecido por políticas de estabilización y ajuste estructural de los países en Latinoamérica y las nuevas tecnologías de producción, si bien es verdad llevó a demandas de mano de obra calificada, también que provocó el desplazamiento de mano de obra no calificada, la reducción de empleos y nuevas formas de contratación, esto último en la modalidad de contratos por</w:t>
      </w:r>
      <w:r>
        <w:rPr>
          <w:color w:val="231F20"/>
          <w:spacing w:val="-1"/>
        </w:rPr>
        <w:t> </w:t>
      </w:r>
      <w:r>
        <w:rPr>
          <w:color w:val="231F20"/>
        </w:rPr>
        <w:t>productividad.</w:t>
      </w:r>
    </w:p>
    <w:p>
      <w:pPr>
        <w:pStyle w:val="BodyText"/>
        <w:spacing w:line="247" w:lineRule="auto"/>
        <w:ind w:left="117" w:right="116" w:firstLine="283"/>
        <w:jc w:val="both"/>
      </w:pPr>
      <w:r>
        <w:rPr>
          <w:color w:val="231F20"/>
        </w:rPr>
        <w:t>La </w:t>
      </w:r>
      <w:r>
        <w:rPr>
          <w:color w:val="231F20"/>
          <w:spacing w:val="-3"/>
        </w:rPr>
        <w:t>Teoría </w:t>
      </w:r>
      <w:r>
        <w:rPr>
          <w:color w:val="231F20"/>
        </w:rPr>
        <w:t>de los Sistemas Mundiales ha planteado que la expansión de los capitales primermundistas vía la globalización hacia los países de su periferia, provoca, por un lado, la proclividad en su población de emigrar hacia</w:t>
      </w:r>
      <w:r>
        <w:rPr>
          <w:color w:val="231F20"/>
          <w:spacing w:val="-11"/>
        </w:rPr>
        <w:t> </w:t>
      </w:r>
      <w:r>
        <w:rPr>
          <w:color w:val="231F20"/>
        </w:rPr>
        <w:t>los</w:t>
      </w:r>
      <w:r>
        <w:rPr>
          <w:color w:val="231F20"/>
          <w:spacing w:val="-11"/>
        </w:rPr>
        <w:t> </w:t>
      </w:r>
      <w:r>
        <w:rPr>
          <w:color w:val="231F20"/>
        </w:rPr>
        <w:t>países</w:t>
      </w:r>
      <w:r>
        <w:rPr>
          <w:color w:val="231F20"/>
          <w:spacing w:val="-11"/>
        </w:rPr>
        <w:t> </w:t>
      </w:r>
      <w:r>
        <w:rPr>
          <w:color w:val="231F20"/>
        </w:rPr>
        <w:t>sustentadores</w:t>
      </w:r>
      <w:r>
        <w:rPr>
          <w:color w:val="231F20"/>
          <w:spacing w:val="-10"/>
        </w:rPr>
        <w:t> </w:t>
      </w:r>
      <w:r>
        <w:rPr>
          <w:color w:val="231F20"/>
        </w:rPr>
        <w:t>del</w:t>
      </w:r>
      <w:r>
        <w:rPr>
          <w:color w:val="231F20"/>
          <w:spacing w:val="-11"/>
        </w:rPr>
        <w:t> </w:t>
      </w:r>
      <w:r>
        <w:rPr>
          <w:color w:val="231F20"/>
        </w:rPr>
        <w:t>capital</w:t>
      </w:r>
      <w:r>
        <w:rPr>
          <w:color w:val="231F20"/>
          <w:spacing w:val="-12"/>
        </w:rPr>
        <w:t> </w:t>
      </w:r>
      <w:r>
        <w:rPr>
          <w:color w:val="231F20"/>
        </w:rPr>
        <w:t>en</w:t>
      </w:r>
      <w:r>
        <w:rPr>
          <w:color w:val="231F20"/>
          <w:spacing w:val="-11"/>
        </w:rPr>
        <w:t> </w:t>
      </w:r>
      <w:r>
        <w:rPr>
          <w:color w:val="231F20"/>
        </w:rPr>
        <w:t>busca</w:t>
      </w:r>
      <w:r>
        <w:rPr>
          <w:color w:val="231F20"/>
          <w:spacing w:val="-11"/>
        </w:rPr>
        <w:t> </w:t>
      </w:r>
      <w:r>
        <w:rPr>
          <w:color w:val="231F20"/>
        </w:rPr>
        <w:t>de</w:t>
      </w:r>
      <w:r>
        <w:rPr>
          <w:color w:val="231F20"/>
          <w:spacing w:val="-11"/>
        </w:rPr>
        <w:t> </w:t>
      </w:r>
      <w:r>
        <w:rPr>
          <w:color w:val="231F20"/>
        </w:rPr>
        <w:t>mejorar</w:t>
      </w:r>
      <w:r>
        <w:rPr>
          <w:color w:val="231F20"/>
          <w:spacing w:val="-12"/>
        </w:rPr>
        <w:t> </w:t>
      </w:r>
      <w:r>
        <w:rPr>
          <w:color w:val="231F20"/>
        </w:rPr>
        <w:t>sus</w:t>
      </w:r>
      <w:r>
        <w:rPr>
          <w:color w:val="231F20"/>
          <w:spacing w:val="-11"/>
        </w:rPr>
        <w:t> </w:t>
      </w:r>
      <w:r>
        <w:rPr>
          <w:color w:val="231F20"/>
        </w:rPr>
        <w:t>condicio-</w:t>
      </w:r>
    </w:p>
    <w:p>
      <w:pPr>
        <w:spacing w:after="0" w:line="247" w:lineRule="auto"/>
        <w:jc w:val="both"/>
        <w:sectPr>
          <w:pgSz w:w="9360" w:h="13040"/>
          <w:pgMar w:header="0" w:footer="496" w:top="840" w:bottom="680" w:left="1300" w:right="1300"/>
        </w:sectPr>
      </w:pPr>
    </w:p>
    <w:p>
      <w:pPr>
        <w:spacing w:before="45"/>
        <w:ind w:left="117" w:right="0" w:firstLine="331"/>
        <w:jc w:val="both"/>
        <w:rPr>
          <w:rFonts w:ascii="Arial" w:hAnsi="Arial"/>
          <w:sz w:val="20"/>
        </w:rPr>
      </w:pPr>
      <w:r>
        <w:rPr>
          <w:rFonts w:ascii="Arial" w:hAnsi="Arial"/>
          <w:color w:val="231F20"/>
          <w:w w:val="70"/>
          <w:sz w:val="20"/>
        </w:rPr>
        <w:t>Globalización</w:t>
      </w:r>
      <w:r>
        <w:rPr>
          <w:rFonts w:ascii="Arial" w:hAnsi="Arial"/>
          <w:color w:val="231F20"/>
          <w:spacing w:val="-15"/>
          <w:w w:val="70"/>
          <w:sz w:val="20"/>
        </w:rPr>
        <w:t> </w:t>
      </w:r>
      <w:r>
        <w:rPr>
          <w:rFonts w:ascii="Arial" w:hAnsi="Arial"/>
          <w:color w:val="231F20"/>
          <w:w w:val="70"/>
          <w:sz w:val="20"/>
        </w:rPr>
        <w:t>y</w:t>
      </w:r>
      <w:r>
        <w:rPr>
          <w:rFonts w:ascii="Arial" w:hAnsi="Arial"/>
          <w:color w:val="231F20"/>
          <w:spacing w:val="-15"/>
          <w:w w:val="70"/>
          <w:sz w:val="20"/>
        </w:rPr>
        <w:t> </w:t>
      </w:r>
      <w:r>
        <w:rPr>
          <w:rFonts w:ascii="Arial" w:hAnsi="Arial"/>
          <w:color w:val="231F20"/>
          <w:w w:val="70"/>
          <w:sz w:val="20"/>
        </w:rPr>
        <w:t>emigración</w:t>
      </w:r>
      <w:r>
        <w:rPr>
          <w:rFonts w:ascii="Arial" w:hAnsi="Arial"/>
          <w:color w:val="231F20"/>
          <w:spacing w:val="-15"/>
          <w:w w:val="70"/>
          <w:sz w:val="20"/>
        </w:rPr>
        <w:t> </w:t>
      </w:r>
      <w:r>
        <w:rPr>
          <w:rFonts w:ascii="Arial" w:hAnsi="Arial"/>
          <w:color w:val="231F20"/>
          <w:w w:val="70"/>
          <w:sz w:val="20"/>
        </w:rPr>
        <w:t>latinoamericana</w:t>
      </w:r>
      <w:r>
        <w:rPr>
          <w:rFonts w:ascii="Arial" w:hAnsi="Arial"/>
          <w:color w:val="231F20"/>
          <w:spacing w:val="-15"/>
          <w:w w:val="70"/>
          <w:sz w:val="20"/>
        </w:rPr>
        <w:t> </w:t>
      </w:r>
      <w:r>
        <w:rPr>
          <w:rFonts w:ascii="Arial" w:hAnsi="Arial"/>
          <w:color w:val="231F20"/>
          <w:w w:val="70"/>
          <w:sz w:val="20"/>
        </w:rPr>
        <w:t>y</w:t>
      </w:r>
      <w:r>
        <w:rPr>
          <w:rFonts w:ascii="Arial" w:hAnsi="Arial"/>
          <w:color w:val="231F20"/>
          <w:spacing w:val="-15"/>
          <w:w w:val="70"/>
          <w:sz w:val="20"/>
        </w:rPr>
        <w:t> </w:t>
      </w:r>
      <w:r>
        <w:rPr>
          <w:rFonts w:ascii="Arial" w:hAnsi="Arial"/>
          <w:color w:val="231F20"/>
          <w:w w:val="70"/>
          <w:sz w:val="20"/>
        </w:rPr>
        <w:t>caribeña</w:t>
      </w:r>
      <w:r>
        <w:rPr>
          <w:rFonts w:ascii="Arial" w:hAnsi="Arial"/>
          <w:color w:val="231F20"/>
          <w:spacing w:val="-15"/>
          <w:w w:val="70"/>
          <w:sz w:val="20"/>
        </w:rPr>
        <w:t> </w:t>
      </w:r>
      <w:r>
        <w:rPr>
          <w:rFonts w:ascii="Arial" w:hAnsi="Arial"/>
          <w:color w:val="231F20"/>
          <w:w w:val="70"/>
          <w:sz w:val="20"/>
        </w:rPr>
        <w:t>a</w:t>
      </w:r>
      <w:r>
        <w:rPr>
          <w:rFonts w:ascii="Arial" w:hAnsi="Arial"/>
          <w:color w:val="231F20"/>
          <w:spacing w:val="-15"/>
          <w:w w:val="70"/>
          <w:sz w:val="20"/>
        </w:rPr>
        <w:t> </w:t>
      </w:r>
      <w:r>
        <w:rPr>
          <w:rFonts w:ascii="Arial" w:hAnsi="Arial"/>
          <w:color w:val="231F20"/>
          <w:w w:val="70"/>
          <w:sz w:val="20"/>
        </w:rPr>
        <w:t>Estados</w:t>
      </w:r>
      <w:r>
        <w:rPr>
          <w:rFonts w:ascii="Arial" w:hAnsi="Arial"/>
          <w:color w:val="231F20"/>
          <w:spacing w:val="-15"/>
          <w:w w:val="70"/>
          <w:sz w:val="20"/>
        </w:rPr>
        <w:t> </w:t>
      </w:r>
      <w:r>
        <w:rPr>
          <w:rFonts w:ascii="Arial" w:hAnsi="Arial"/>
          <w:color w:val="231F20"/>
          <w:w w:val="70"/>
          <w:sz w:val="20"/>
        </w:rPr>
        <w:t>Unidos</w:t>
      </w:r>
      <w:r>
        <w:rPr>
          <w:rFonts w:ascii="Arial" w:hAnsi="Arial"/>
          <w:color w:val="231F20"/>
          <w:spacing w:val="-15"/>
          <w:w w:val="70"/>
          <w:sz w:val="20"/>
        </w:rPr>
        <w:t> </w:t>
      </w:r>
      <w:r>
        <w:rPr>
          <w:rFonts w:ascii="Arial" w:hAnsi="Arial"/>
          <w:color w:val="231F20"/>
          <w:w w:val="70"/>
          <w:sz w:val="20"/>
        </w:rPr>
        <w:t>/Ramiro</w:t>
      </w:r>
      <w:r>
        <w:rPr>
          <w:rFonts w:ascii="Arial" w:hAnsi="Arial"/>
          <w:color w:val="231F20"/>
          <w:spacing w:val="-22"/>
          <w:w w:val="70"/>
          <w:sz w:val="20"/>
        </w:rPr>
        <w:t> </w:t>
      </w:r>
      <w:r>
        <w:rPr>
          <w:rFonts w:ascii="Arial" w:hAnsi="Arial"/>
          <w:color w:val="231F20"/>
          <w:w w:val="70"/>
          <w:sz w:val="20"/>
        </w:rPr>
        <w:t>Morales-Hernández</w:t>
      </w:r>
    </w:p>
    <w:p>
      <w:pPr>
        <w:pStyle w:val="BodyText"/>
        <w:spacing w:before="7"/>
        <w:rPr>
          <w:rFonts w:ascii="Arial"/>
          <w:sz w:val="28"/>
        </w:rPr>
      </w:pPr>
    </w:p>
    <w:p>
      <w:pPr>
        <w:pStyle w:val="BodyText"/>
        <w:spacing w:line="247" w:lineRule="auto"/>
        <w:ind w:left="117" w:right="114"/>
        <w:jc w:val="both"/>
      </w:pPr>
      <w:r>
        <w:rPr>
          <w:color w:val="231F20"/>
        </w:rPr>
        <w:t>nes económicas; pero por otro lado, se ha generado una migración inversa de</w:t>
      </w:r>
      <w:r>
        <w:rPr>
          <w:color w:val="231F20"/>
          <w:spacing w:val="-11"/>
        </w:rPr>
        <w:t> </w:t>
      </w:r>
      <w:r>
        <w:rPr>
          <w:color w:val="231F20"/>
        </w:rPr>
        <w:t>mano</w:t>
      </w:r>
      <w:r>
        <w:rPr>
          <w:color w:val="231F20"/>
          <w:spacing w:val="-11"/>
        </w:rPr>
        <w:t> </w:t>
      </w:r>
      <w:r>
        <w:rPr>
          <w:color w:val="231F20"/>
        </w:rPr>
        <w:t>de</w:t>
      </w:r>
      <w:r>
        <w:rPr>
          <w:color w:val="231F20"/>
          <w:spacing w:val="-11"/>
        </w:rPr>
        <w:t> </w:t>
      </w:r>
      <w:r>
        <w:rPr>
          <w:color w:val="231F20"/>
        </w:rPr>
        <w:t>obra</w:t>
      </w:r>
      <w:r>
        <w:rPr>
          <w:color w:val="231F20"/>
          <w:spacing w:val="-11"/>
        </w:rPr>
        <w:t> </w:t>
      </w:r>
      <w:r>
        <w:rPr>
          <w:color w:val="231F20"/>
        </w:rPr>
        <w:t>calificada</w:t>
      </w:r>
      <w:r>
        <w:rPr>
          <w:color w:val="231F20"/>
          <w:spacing w:val="-11"/>
        </w:rPr>
        <w:t> </w:t>
      </w:r>
      <w:r>
        <w:rPr>
          <w:color w:val="231F20"/>
        </w:rPr>
        <w:t>que</w:t>
      </w:r>
      <w:r>
        <w:rPr>
          <w:color w:val="231F20"/>
          <w:spacing w:val="-11"/>
        </w:rPr>
        <w:t> </w:t>
      </w:r>
      <w:r>
        <w:rPr>
          <w:color w:val="231F20"/>
        </w:rPr>
        <w:t>llega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países</w:t>
      </w:r>
      <w:r>
        <w:rPr>
          <w:color w:val="231F20"/>
          <w:spacing w:val="-11"/>
        </w:rPr>
        <w:t> </w:t>
      </w:r>
      <w:r>
        <w:rPr>
          <w:color w:val="231F20"/>
        </w:rPr>
        <w:t>capitalistas</w:t>
      </w:r>
      <w:r>
        <w:rPr>
          <w:color w:val="231F20"/>
          <w:spacing w:val="-11"/>
        </w:rPr>
        <w:t> </w:t>
      </w:r>
      <w:r>
        <w:rPr>
          <w:color w:val="231F20"/>
        </w:rPr>
        <w:t>hacia</w:t>
      </w:r>
      <w:r>
        <w:rPr>
          <w:color w:val="231F20"/>
          <w:spacing w:val="-11"/>
        </w:rPr>
        <w:t> </w:t>
      </w:r>
      <w:r>
        <w:rPr>
          <w:color w:val="231F20"/>
        </w:rPr>
        <w:t>los</w:t>
      </w:r>
      <w:r>
        <w:rPr>
          <w:color w:val="231F20"/>
          <w:spacing w:val="-11"/>
        </w:rPr>
        <w:t> </w:t>
      </w:r>
      <w:r>
        <w:rPr>
          <w:color w:val="231F20"/>
        </w:rPr>
        <w:t>me- nos desarrollados, bajo la necesidad de proteger los capitales que llegan a los</w:t>
      </w:r>
      <w:r>
        <w:rPr>
          <w:color w:val="231F20"/>
          <w:spacing w:val="-6"/>
        </w:rPr>
        <w:t> </w:t>
      </w:r>
      <w:r>
        <w:rPr>
          <w:color w:val="231F20"/>
        </w:rPr>
        <w:t>países</w:t>
      </w:r>
      <w:r>
        <w:rPr>
          <w:color w:val="231F20"/>
          <w:spacing w:val="-6"/>
        </w:rPr>
        <w:t> </w:t>
      </w:r>
      <w:r>
        <w:rPr>
          <w:color w:val="231F20"/>
        </w:rPr>
        <w:t>periféricos,</w:t>
      </w:r>
      <w:r>
        <w:rPr>
          <w:color w:val="231F20"/>
          <w:spacing w:val="-6"/>
        </w:rPr>
        <w:t> </w:t>
      </w:r>
      <w:r>
        <w:rPr>
          <w:color w:val="231F20"/>
        </w:rPr>
        <w:t>personal</w:t>
      </w:r>
      <w:r>
        <w:rPr>
          <w:color w:val="231F20"/>
          <w:spacing w:val="-6"/>
        </w:rPr>
        <w:t> </w:t>
      </w:r>
      <w:r>
        <w:rPr>
          <w:color w:val="231F20"/>
        </w:rPr>
        <w:t>calificado</w:t>
      </w:r>
      <w:r>
        <w:rPr>
          <w:color w:val="231F20"/>
          <w:spacing w:val="-6"/>
        </w:rPr>
        <w:t> </w:t>
      </w:r>
      <w:r>
        <w:rPr>
          <w:color w:val="231F20"/>
        </w:rPr>
        <w:t>que</w:t>
      </w:r>
      <w:r>
        <w:rPr>
          <w:color w:val="231F20"/>
          <w:spacing w:val="-6"/>
        </w:rPr>
        <w:t> </w:t>
      </w:r>
      <w:r>
        <w:rPr>
          <w:color w:val="231F20"/>
        </w:rPr>
        <w:t>desplaza</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oriundos</w:t>
      </w:r>
      <w:r>
        <w:rPr>
          <w:color w:val="231F20"/>
          <w:spacing w:val="-6"/>
        </w:rPr>
        <w:t> </w:t>
      </w:r>
      <w:r>
        <w:rPr>
          <w:color w:val="231F20"/>
        </w:rPr>
        <w:t>cuya misión es garantizar los intereses del capital “en riesgo” que se invierte en las naciones periféricas (Morales</w:t>
      </w:r>
      <w:r>
        <w:rPr>
          <w:color w:val="231F20"/>
          <w:spacing w:val="-1"/>
        </w:rPr>
        <w:t> </w:t>
      </w:r>
      <w:r>
        <w:rPr>
          <w:color w:val="231F20"/>
        </w:rPr>
        <w:t>2006).</w:t>
      </w:r>
    </w:p>
    <w:p>
      <w:pPr>
        <w:pStyle w:val="BodyText"/>
        <w:spacing w:line="247" w:lineRule="auto"/>
        <w:ind w:left="117" w:right="114" w:firstLine="283"/>
        <w:jc w:val="both"/>
      </w:pPr>
      <w:r>
        <w:rPr>
          <w:color w:val="231F20"/>
        </w:rPr>
        <w:t>Rifkin Jeremy (1997) en su libro </w:t>
      </w:r>
      <w:r>
        <w:rPr>
          <w:i/>
          <w:color w:val="231F20"/>
        </w:rPr>
        <w:t>El fin del Trabajo</w:t>
      </w:r>
      <w:r>
        <w:rPr>
          <w:color w:val="231F20"/>
        </w:rPr>
        <w:t>, hace ver que más de 800 millones de seres humanos a finales de los años noventa del siglo pasado se encontraban desempleados o subempleados como consecuencia del desarrollo de la tercera Revolución Industrial. En este sentido,</w:t>
      </w:r>
      <w:r>
        <w:rPr>
          <w:color w:val="231F20"/>
          <w:spacing w:val="-28"/>
        </w:rPr>
        <w:t> </w:t>
      </w:r>
      <w:r>
        <w:rPr>
          <w:color w:val="231F20"/>
        </w:rPr>
        <w:t>muchos líderes de gobiernos pocas veces reconocen que el desempleo es una con- secuencia del desarrollo tecnológico, aduciendo normalmente que se debe a la falta de inversión de capital productivo proveniente de empresas que dominan los mercados internacionales. Por consiguiente, la globalización debe ser entendida como un proceso donde inciden los aspectos económi- cos que afectan a los individuos como fuerza fundamental del trabajo, los cuales funcionan articuladamente como una unidad en su</w:t>
      </w:r>
      <w:r>
        <w:rPr>
          <w:color w:val="231F20"/>
          <w:spacing w:val="-5"/>
        </w:rPr>
        <w:t> </w:t>
      </w:r>
      <w:r>
        <w:rPr>
          <w:color w:val="231F20"/>
        </w:rPr>
        <w:t>relación.</w:t>
      </w:r>
    </w:p>
    <w:p>
      <w:pPr>
        <w:pStyle w:val="Heading3"/>
      </w:pPr>
      <w:r>
        <w:rPr>
          <w:color w:val="231F20"/>
        </w:rPr>
        <w:t>Características del fenómeno en Latinoamérica</w:t>
      </w:r>
    </w:p>
    <w:p>
      <w:pPr>
        <w:pStyle w:val="BodyText"/>
        <w:spacing w:line="247" w:lineRule="auto" w:before="172"/>
        <w:ind w:left="117" w:right="114"/>
        <w:jc w:val="both"/>
      </w:pPr>
      <w:r>
        <w:rPr>
          <w:color w:val="231F20"/>
        </w:rPr>
        <w:t>Hemos de señalar el concepto de migración, según el Diccionario Demo- gráfico</w:t>
      </w:r>
      <w:r>
        <w:rPr>
          <w:color w:val="231F20"/>
          <w:spacing w:val="-8"/>
        </w:rPr>
        <w:t> </w:t>
      </w:r>
      <w:r>
        <w:rPr>
          <w:color w:val="231F20"/>
        </w:rPr>
        <w:t>Multilingüe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Unión</w:t>
      </w:r>
      <w:r>
        <w:rPr>
          <w:color w:val="231F20"/>
          <w:spacing w:val="-8"/>
        </w:rPr>
        <w:t> </w:t>
      </w:r>
      <w:r>
        <w:rPr>
          <w:color w:val="231F20"/>
        </w:rPr>
        <w:t>Internacional</w:t>
      </w:r>
      <w:r>
        <w:rPr>
          <w:color w:val="231F20"/>
          <w:spacing w:val="-8"/>
        </w:rPr>
        <w:t> </w:t>
      </w:r>
      <w:r>
        <w:rPr>
          <w:color w:val="231F20"/>
        </w:rPr>
        <w:t>para</w:t>
      </w:r>
      <w:r>
        <w:rPr>
          <w:color w:val="231F20"/>
          <w:spacing w:val="-8"/>
        </w:rPr>
        <w:t> </w:t>
      </w:r>
      <w:r>
        <w:rPr>
          <w:color w:val="231F20"/>
        </w:rPr>
        <w:t>el</w:t>
      </w:r>
      <w:r>
        <w:rPr>
          <w:color w:val="231F20"/>
          <w:spacing w:val="-8"/>
        </w:rPr>
        <w:t> </w:t>
      </w:r>
      <w:r>
        <w:rPr>
          <w:color w:val="231F20"/>
        </w:rPr>
        <w:t>Estudio</w:t>
      </w:r>
      <w:r>
        <w:rPr>
          <w:color w:val="231F20"/>
          <w:spacing w:val="-8"/>
        </w:rPr>
        <w:t> </w:t>
      </w:r>
      <w:r>
        <w:rPr>
          <w:color w:val="231F20"/>
        </w:rPr>
        <w:t>Científico</w:t>
      </w:r>
      <w:r>
        <w:rPr>
          <w:color w:val="231F20"/>
          <w:spacing w:val="-8"/>
        </w:rPr>
        <w:t> </w:t>
      </w:r>
      <w:r>
        <w:rPr>
          <w:color w:val="231F20"/>
        </w:rPr>
        <w:t>de la Población:</w:t>
      </w:r>
    </w:p>
    <w:p>
      <w:pPr>
        <w:spacing w:line="249" w:lineRule="auto" w:before="168"/>
        <w:ind w:left="400" w:right="114" w:firstLine="0"/>
        <w:jc w:val="both"/>
        <w:rPr>
          <w:sz w:val="20"/>
        </w:rPr>
      </w:pPr>
      <w:r>
        <w:rPr>
          <w:sz w:val="20"/>
        </w:rPr>
        <w:t>Se da el nombre de migración o movimiento migratorio, al desplazamiento, con traslado de la residencia de los individuos, desde un lugar de origen a un lugar</w:t>
      </w:r>
      <w:r>
        <w:rPr>
          <w:spacing w:val="-4"/>
          <w:sz w:val="20"/>
        </w:rPr>
        <w:t> </w:t>
      </w:r>
      <w:r>
        <w:rPr>
          <w:sz w:val="20"/>
        </w:rPr>
        <w:t>destino</w:t>
      </w:r>
      <w:r>
        <w:rPr>
          <w:spacing w:val="-4"/>
          <w:sz w:val="20"/>
        </w:rPr>
        <w:t> </w:t>
      </w:r>
      <w:r>
        <w:rPr>
          <w:sz w:val="20"/>
        </w:rPr>
        <w:t>o</w:t>
      </w:r>
      <w:r>
        <w:rPr>
          <w:spacing w:val="-4"/>
          <w:sz w:val="20"/>
        </w:rPr>
        <w:t> </w:t>
      </w:r>
      <w:r>
        <w:rPr>
          <w:sz w:val="20"/>
        </w:rPr>
        <w:t>llegada</w:t>
      </w:r>
      <w:r>
        <w:rPr>
          <w:spacing w:val="-4"/>
          <w:sz w:val="20"/>
        </w:rPr>
        <w:t> </w:t>
      </w:r>
      <w:r>
        <w:rPr>
          <w:sz w:val="20"/>
        </w:rPr>
        <w:t>y</w:t>
      </w:r>
      <w:r>
        <w:rPr>
          <w:spacing w:val="-4"/>
          <w:sz w:val="20"/>
        </w:rPr>
        <w:t> </w:t>
      </w:r>
      <w:r>
        <w:rPr>
          <w:sz w:val="20"/>
        </w:rPr>
        <w:t>que</w:t>
      </w:r>
      <w:r>
        <w:rPr>
          <w:spacing w:val="-4"/>
          <w:sz w:val="20"/>
        </w:rPr>
        <w:t> </w:t>
      </w:r>
      <w:r>
        <w:rPr>
          <w:sz w:val="20"/>
        </w:rPr>
        <w:t>implica</w:t>
      </w:r>
      <w:r>
        <w:rPr>
          <w:spacing w:val="-4"/>
          <w:sz w:val="20"/>
        </w:rPr>
        <w:t> </w:t>
      </w:r>
      <w:r>
        <w:rPr>
          <w:sz w:val="20"/>
        </w:rPr>
        <w:t>atravesar</w:t>
      </w:r>
      <w:r>
        <w:rPr>
          <w:spacing w:val="-4"/>
          <w:sz w:val="20"/>
        </w:rPr>
        <w:t> </w:t>
      </w:r>
      <w:r>
        <w:rPr>
          <w:sz w:val="20"/>
        </w:rPr>
        <w:t>los</w:t>
      </w:r>
      <w:r>
        <w:rPr>
          <w:spacing w:val="-4"/>
          <w:sz w:val="20"/>
        </w:rPr>
        <w:t> </w:t>
      </w:r>
      <w:r>
        <w:rPr>
          <w:sz w:val="20"/>
        </w:rPr>
        <w:t>límites</w:t>
      </w:r>
      <w:r>
        <w:rPr>
          <w:spacing w:val="-4"/>
          <w:sz w:val="20"/>
        </w:rPr>
        <w:t> </w:t>
      </w:r>
      <w:r>
        <w:rPr>
          <w:sz w:val="20"/>
        </w:rPr>
        <w:t>de</w:t>
      </w:r>
      <w:r>
        <w:rPr>
          <w:spacing w:val="-4"/>
          <w:sz w:val="20"/>
        </w:rPr>
        <w:t> </w:t>
      </w:r>
      <w:r>
        <w:rPr>
          <w:sz w:val="20"/>
        </w:rPr>
        <w:t>una</w:t>
      </w:r>
      <w:r>
        <w:rPr>
          <w:spacing w:val="-4"/>
          <w:sz w:val="20"/>
        </w:rPr>
        <w:t> </w:t>
      </w:r>
      <w:r>
        <w:rPr>
          <w:sz w:val="20"/>
        </w:rPr>
        <w:t>división</w:t>
      </w:r>
      <w:r>
        <w:rPr>
          <w:spacing w:val="-4"/>
          <w:sz w:val="20"/>
        </w:rPr>
        <w:t> </w:t>
      </w:r>
      <w:r>
        <w:rPr>
          <w:sz w:val="20"/>
        </w:rPr>
        <w:t>geo- gráfica. En términos resumidos, la migración es todo movimiento de personas que cruzan una frontera política aunque sea por un corto periodo de tiempo (DEMOPAEDIA,</w:t>
      </w:r>
      <w:r>
        <w:rPr>
          <w:spacing w:val="-20"/>
          <w:sz w:val="20"/>
        </w:rPr>
        <w:t> </w:t>
      </w:r>
      <w:r>
        <w:rPr>
          <w:sz w:val="20"/>
        </w:rPr>
        <w:t>s/f).</w:t>
      </w:r>
    </w:p>
    <w:p>
      <w:pPr>
        <w:pStyle w:val="BodyText"/>
        <w:spacing w:line="247" w:lineRule="auto" w:before="172"/>
        <w:ind w:left="117" w:right="114" w:firstLine="283"/>
        <w:jc w:val="both"/>
      </w:pPr>
      <w:r>
        <w:rPr>
          <w:color w:val="231F20"/>
        </w:rPr>
        <w:t>Se</w:t>
      </w:r>
      <w:r>
        <w:rPr>
          <w:color w:val="231F20"/>
          <w:spacing w:val="-11"/>
        </w:rPr>
        <w:t> </w:t>
      </w:r>
      <w:r>
        <w:rPr>
          <w:color w:val="231F20"/>
        </w:rPr>
        <w:t>entiende</w:t>
      </w:r>
      <w:r>
        <w:rPr>
          <w:color w:val="231F20"/>
          <w:spacing w:val="-11"/>
        </w:rPr>
        <w:t> </w:t>
      </w:r>
      <w:r>
        <w:rPr>
          <w:color w:val="231F20"/>
        </w:rPr>
        <w:t>que</w:t>
      </w:r>
      <w:r>
        <w:rPr>
          <w:color w:val="231F20"/>
          <w:spacing w:val="-11"/>
        </w:rPr>
        <w:t> </w:t>
      </w:r>
      <w:r>
        <w:rPr>
          <w:color w:val="231F20"/>
        </w:rPr>
        <w:t>durante</w:t>
      </w:r>
      <w:r>
        <w:rPr>
          <w:color w:val="231F20"/>
          <w:spacing w:val="-11"/>
        </w:rPr>
        <w:t> </w:t>
      </w:r>
      <w:r>
        <w:rPr>
          <w:color w:val="231F20"/>
        </w:rPr>
        <w:t>las</w:t>
      </w:r>
      <w:r>
        <w:rPr>
          <w:color w:val="231F20"/>
          <w:spacing w:val="-11"/>
        </w:rPr>
        <w:t> </w:t>
      </w:r>
      <w:r>
        <w:rPr>
          <w:color w:val="231F20"/>
        </w:rPr>
        <w:t>últimas</w:t>
      </w:r>
      <w:r>
        <w:rPr>
          <w:color w:val="231F20"/>
          <w:spacing w:val="-11"/>
        </w:rPr>
        <w:t> </w:t>
      </w:r>
      <w:r>
        <w:rPr>
          <w:color w:val="231F20"/>
        </w:rPr>
        <w:t>décadas</w:t>
      </w:r>
      <w:r>
        <w:rPr>
          <w:color w:val="231F20"/>
          <w:spacing w:val="-11"/>
        </w:rPr>
        <w:t> </w:t>
      </w:r>
      <w:r>
        <w:rPr>
          <w:color w:val="231F20"/>
        </w:rPr>
        <w:t>la</w:t>
      </w:r>
      <w:r>
        <w:rPr>
          <w:color w:val="231F20"/>
          <w:spacing w:val="-11"/>
        </w:rPr>
        <w:t> </w:t>
      </w:r>
      <w:r>
        <w:rPr>
          <w:color w:val="231F20"/>
        </w:rPr>
        <w:t>emigración</w:t>
      </w:r>
      <w:r>
        <w:rPr>
          <w:color w:val="231F20"/>
          <w:spacing w:val="-12"/>
        </w:rPr>
        <w:t> </w:t>
      </w:r>
      <w:r>
        <w:rPr>
          <w:color w:val="231F20"/>
        </w:rPr>
        <w:t>internacional (salida</w:t>
      </w:r>
      <w:r>
        <w:rPr>
          <w:color w:val="231F20"/>
          <w:spacing w:val="-7"/>
        </w:rPr>
        <w:t> </w:t>
      </w:r>
      <w:r>
        <w:rPr>
          <w:color w:val="231F20"/>
        </w:rPr>
        <w:t>de</w:t>
      </w:r>
      <w:r>
        <w:rPr>
          <w:color w:val="231F20"/>
          <w:spacing w:val="-7"/>
        </w:rPr>
        <w:t> </w:t>
      </w:r>
      <w:r>
        <w:rPr>
          <w:color w:val="231F20"/>
        </w:rPr>
        <w:t>población</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país</w:t>
      </w:r>
      <w:r>
        <w:rPr>
          <w:color w:val="231F20"/>
          <w:spacing w:val="-7"/>
        </w:rPr>
        <w:t> </w:t>
      </w:r>
      <w:r>
        <w:rPr>
          <w:color w:val="231F20"/>
        </w:rPr>
        <w:t>para</w:t>
      </w:r>
      <w:r>
        <w:rPr>
          <w:color w:val="231F20"/>
          <w:spacing w:val="-7"/>
        </w:rPr>
        <w:t> </w:t>
      </w:r>
      <w:r>
        <w:rPr>
          <w:color w:val="231F20"/>
        </w:rPr>
        <w:t>establecerse</w:t>
      </w:r>
      <w:r>
        <w:rPr>
          <w:color w:val="231F20"/>
          <w:spacing w:val="-8"/>
        </w:rPr>
        <w:t> </w:t>
      </w:r>
      <w:r>
        <w:rPr>
          <w:color w:val="231F20"/>
        </w:rPr>
        <w:t>en</w:t>
      </w:r>
      <w:r>
        <w:rPr>
          <w:color w:val="231F20"/>
          <w:spacing w:val="-7"/>
        </w:rPr>
        <w:t> </w:t>
      </w:r>
      <w:r>
        <w:rPr>
          <w:color w:val="231F20"/>
        </w:rPr>
        <w:t>otro)</w:t>
      </w:r>
      <w:r>
        <w:rPr>
          <w:color w:val="231F20"/>
          <w:spacing w:val="-7"/>
        </w:rPr>
        <w:t> </w:t>
      </w:r>
      <w:r>
        <w:rPr>
          <w:color w:val="231F20"/>
        </w:rPr>
        <w:t>ha</w:t>
      </w:r>
      <w:r>
        <w:rPr>
          <w:color w:val="231F20"/>
          <w:spacing w:val="-7"/>
        </w:rPr>
        <w:t> </w:t>
      </w:r>
      <w:r>
        <w:rPr>
          <w:color w:val="231F20"/>
        </w:rPr>
        <w:t>sido</w:t>
      </w:r>
      <w:r>
        <w:rPr>
          <w:color w:val="231F20"/>
          <w:spacing w:val="-7"/>
        </w:rPr>
        <w:t> </w:t>
      </w:r>
      <w:r>
        <w:rPr>
          <w:color w:val="231F20"/>
        </w:rPr>
        <w:t>analizada desde distintas vertientes, planteamientos que han derivado hacia nuevas formas de investigación, donde categorías analíticas centrales como </w:t>
      </w:r>
      <w:r>
        <w:rPr>
          <w:i/>
          <w:color w:val="231F20"/>
        </w:rPr>
        <w:t>mi- </w:t>
      </w:r>
      <w:r>
        <w:rPr>
          <w:i/>
          <w:color w:val="231F20"/>
        </w:rPr>
        <w:t>grante </w:t>
      </w:r>
      <w:r>
        <w:rPr>
          <w:color w:val="231F20"/>
        </w:rPr>
        <w:t>ya no pueden definirse a partir del concepto de </w:t>
      </w:r>
      <w:r>
        <w:rPr>
          <w:i/>
          <w:color w:val="231F20"/>
        </w:rPr>
        <w:t>residencia habitual </w:t>
      </w:r>
      <w:r>
        <w:rPr>
          <w:color w:val="231F20"/>
        </w:rPr>
        <w:t>del</w:t>
      </w:r>
      <w:r>
        <w:rPr>
          <w:color w:val="231F20"/>
          <w:spacing w:val="-11"/>
        </w:rPr>
        <w:t> </w:t>
      </w:r>
      <w:r>
        <w:rPr>
          <w:color w:val="231F20"/>
        </w:rPr>
        <w:t>individuo</w:t>
      </w:r>
      <w:r>
        <w:rPr>
          <w:color w:val="231F20"/>
          <w:spacing w:val="-12"/>
        </w:rPr>
        <w:t> </w:t>
      </w:r>
      <w:r>
        <w:rPr>
          <w:color w:val="231F20"/>
        </w:rPr>
        <w:t>en</w:t>
      </w:r>
      <w:r>
        <w:rPr>
          <w:color w:val="231F20"/>
          <w:spacing w:val="-11"/>
        </w:rPr>
        <w:t> </w:t>
      </w:r>
      <w:r>
        <w:rPr>
          <w:color w:val="231F20"/>
        </w:rPr>
        <w:t>uno</w:t>
      </w:r>
      <w:r>
        <w:rPr>
          <w:color w:val="231F20"/>
          <w:spacing w:val="-11"/>
        </w:rPr>
        <w:t> </w:t>
      </w:r>
      <w:r>
        <w:rPr>
          <w:color w:val="231F20"/>
        </w:rPr>
        <w:t>u</w:t>
      </w:r>
      <w:r>
        <w:rPr>
          <w:color w:val="231F20"/>
          <w:spacing w:val="-11"/>
        </w:rPr>
        <w:t> </w:t>
      </w:r>
      <w:r>
        <w:rPr>
          <w:color w:val="231F20"/>
        </w:rPr>
        <w:t>otro</w:t>
      </w:r>
      <w:r>
        <w:rPr>
          <w:color w:val="231F20"/>
          <w:spacing w:val="-11"/>
        </w:rPr>
        <w:t> </w:t>
      </w:r>
      <w:r>
        <w:rPr>
          <w:color w:val="231F20"/>
        </w:rPr>
        <w:t>territorio,</w:t>
      </w:r>
      <w:r>
        <w:rPr>
          <w:color w:val="231F20"/>
          <w:spacing w:val="-12"/>
        </w:rPr>
        <w:t> </w:t>
      </w:r>
      <w:r>
        <w:rPr>
          <w:color w:val="231F20"/>
        </w:rPr>
        <w:t>sino</w:t>
      </w:r>
      <w:r>
        <w:rPr>
          <w:color w:val="231F20"/>
          <w:spacing w:val="-11"/>
        </w:rPr>
        <w:t> </w:t>
      </w:r>
      <w:r>
        <w:rPr>
          <w:color w:val="231F20"/>
        </w:rPr>
        <w:t>que</w:t>
      </w:r>
      <w:r>
        <w:rPr>
          <w:color w:val="231F20"/>
          <w:spacing w:val="-11"/>
        </w:rPr>
        <w:t> </w:t>
      </w:r>
      <w:r>
        <w:rPr>
          <w:color w:val="231F20"/>
        </w:rPr>
        <w:t>este</w:t>
      </w:r>
      <w:r>
        <w:rPr>
          <w:color w:val="231F20"/>
          <w:spacing w:val="-12"/>
        </w:rPr>
        <w:t> </w:t>
      </w:r>
      <w:r>
        <w:rPr>
          <w:color w:val="231F20"/>
        </w:rPr>
        <w:t>concepto</w:t>
      </w:r>
      <w:r>
        <w:rPr>
          <w:color w:val="231F20"/>
          <w:spacing w:val="-12"/>
        </w:rPr>
        <w:t> </w:t>
      </w:r>
      <w:r>
        <w:rPr>
          <w:color w:val="231F20"/>
        </w:rPr>
        <w:t>va</w:t>
      </w:r>
      <w:r>
        <w:rPr>
          <w:color w:val="231F20"/>
          <w:spacing w:val="-11"/>
        </w:rPr>
        <w:t> </w:t>
      </w:r>
      <w:r>
        <w:rPr>
          <w:color w:val="231F20"/>
        </w:rPr>
        <w:t>mucho</w:t>
      </w:r>
      <w:r>
        <w:rPr>
          <w:color w:val="231F20"/>
          <w:spacing w:val="-12"/>
        </w:rPr>
        <w:t> </w:t>
      </w:r>
      <w:r>
        <w:rPr>
          <w:color w:val="231F20"/>
        </w:rPr>
        <w:t>más allá, de tal manera que denote tanto el explicar como el entender a</w:t>
      </w:r>
      <w:r>
        <w:rPr>
          <w:color w:val="231F20"/>
          <w:spacing w:val="-26"/>
        </w:rPr>
        <w:t> </w:t>
      </w:r>
      <w:r>
        <w:rPr>
          <w:color w:val="231F20"/>
        </w:rPr>
        <w:t>profun- didad las características y formas que el concepto asume a nivel interna- cional. Lo mismo deberá suceder con las distintas categorías utilizadas en términos de explicar el fenómeno a tales conclusiones arriban  </w:t>
      </w:r>
      <w:r>
        <w:rPr>
          <w:color w:val="231F20"/>
          <w:spacing w:val="6"/>
        </w:rPr>
        <w:t> </w:t>
      </w:r>
      <w:r>
        <w:rPr>
          <w:color w:val="231F20"/>
        </w:rPr>
        <w:t>Rodríguez</w:t>
      </w:r>
    </w:p>
    <w:p>
      <w:pPr>
        <w:spacing w:after="0" w:line="247" w:lineRule="auto"/>
        <w:jc w:val="both"/>
        <w:sectPr>
          <w:pgSz w:w="9360" w:h="13040"/>
          <w:pgMar w:header="0" w:footer="496" w:top="740" w:bottom="680" w:left="1300" w:right="1300"/>
        </w:sectPr>
      </w:pPr>
    </w:p>
    <w:p>
      <w:pPr>
        <w:tabs>
          <w:tab w:pos="5413" w:val="left" w:leader="none"/>
        </w:tabs>
        <w:spacing w:before="51"/>
        <w:ind w:left="0" w:right="115" w:firstLine="0"/>
        <w:jc w:val="righ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pPr>
      <w:r>
        <w:rPr>
          <w:color w:val="231F20"/>
        </w:rPr>
        <w:t>y Peresón (2008) al enfocar su análisis del fenómeno migratorio desde las fronteras territoriales y a partir de su problemática y necesidades.</w:t>
      </w:r>
    </w:p>
    <w:p>
      <w:pPr>
        <w:pStyle w:val="BodyText"/>
        <w:spacing w:line="247" w:lineRule="auto"/>
        <w:ind w:left="41" w:right="115" w:firstLine="283"/>
        <w:jc w:val="right"/>
      </w:pPr>
      <w:r>
        <w:rPr>
          <w:color w:val="231F20"/>
        </w:rPr>
        <w:t>El patrón migratorio de la región latinoamericana, como es reconocido por el Centro Latinoamericano y Caribeño de Demografía (CELADE)/Di- visión de Población de la </w:t>
      </w:r>
      <w:r>
        <w:rPr>
          <w:color w:val="231F20"/>
          <w:spacing w:val="-5"/>
        </w:rPr>
        <w:t>CEPAL </w:t>
      </w:r>
      <w:r>
        <w:rPr>
          <w:color w:val="231F20"/>
        </w:rPr>
        <w:t>(2006) pudiera dividirse en dos tenden- cias, una de carácter intrarregional, a través de las fronteras y otra</w:t>
      </w:r>
      <w:r>
        <w:rPr>
          <w:color w:val="231F20"/>
          <w:spacing w:val="50"/>
        </w:rPr>
        <w:t> </w:t>
      </w:r>
      <w:r>
        <w:rPr>
          <w:color w:val="231F20"/>
        </w:rPr>
        <w:t>que se</w:t>
      </w:r>
      <w:r>
        <w:rPr>
          <w:color w:val="231F20"/>
          <w:spacing w:val="-1"/>
        </w:rPr>
        <w:t> </w:t>
      </w:r>
      <w:r>
        <w:rPr>
          <w:color w:val="231F20"/>
        </w:rPr>
        <w:t>dirige hacia los países desarrollados, principalmente hacia Estados Unidos.</w:t>
      </w:r>
      <w:r>
        <w:rPr>
          <w:color w:val="231F20"/>
          <w:spacing w:val="-1"/>
        </w:rPr>
        <w:t> </w:t>
      </w:r>
      <w:r>
        <w:rPr>
          <w:color w:val="231F20"/>
        </w:rPr>
        <w:t>En el presente trabajo se examina la segunda de esas tendencias. En principio, es de señalar que el tema migratorio latinoamericano ha sido</w:t>
      </w:r>
      <w:r>
        <w:rPr>
          <w:color w:val="231F20"/>
          <w:spacing w:val="-1"/>
        </w:rPr>
        <w:t> </w:t>
      </w:r>
      <w:r>
        <w:rPr>
          <w:color w:val="231F20"/>
        </w:rPr>
        <w:t>retomado por estudiosos de las distintas corrientes, sobre todo, por la mag- nitud de la emigración de población latina durante los últimos treinta años, sobre todo la que se presenta hacia Estados Unidos donde los latinos han constituido un grupo heterogéneo compuesto por formaciones sociales di-</w:t>
      </w:r>
    </w:p>
    <w:p>
      <w:pPr>
        <w:pStyle w:val="BodyText"/>
        <w:spacing w:line="253" w:lineRule="exact"/>
        <w:ind w:left="117" w:right="117"/>
      </w:pPr>
      <w:r>
        <w:rPr>
          <w:color w:val="231F20"/>
        </w:rPr>
        <w:t>ferenciadas.</w:t>
      </w:r>
    </w:p>
    <w:p>
      <w:pPr>
        <w:pStyle w:val="BodyText"/>
        <w:spacing w:line="247" w:lineRule="auto" w:before="7"/>
        <w:ind w:left="117" w:right="115" w:firstLine="283"/>
        <w:jc w:val="both"/>
      </w:pPr>
      <w:r>
        <w:rPr>
          <w:color w:val="231F20"/>
        </w:rPr>
        <w:t>Suárez</w:t>
      </w:r>
      <w:r>
        <w:rPr>
          <w:color w:val="231F20"/>
          <w:spacing w:val="-5"/>
        </w:rPr>
        <w:t> </w:t>
      </w:r>
      <w:r>
        <w:rPr>
          <w:color w:val="231F20"/>
        </w:rPr>
        <w:t>(2001)</w:t>
      </w:r>
      <w:r>
        <w:rPr>
          <w:color w:val="231F20"/>
          <w:spacing w:val="-5"/>
        </w:rPr>
        <w:t> </w:t>
      </w:r>
      <w:r>
        <w:rPr>
          <w:color w:val="231F20"/>
        </w:rPr>
        <w:t>identifica</w:t>
      </w:r>
      <w:r>
        <w:rPr>
          <w:color w:val="231F20"/>
          <w:spacing w:val="-5"/>
        </w:rPr>
        <w:t> </w:t>
      </w:r>
      <w:r>
        <w:rPr>
          <w:color w:val="231F20"/>
        </w:rPr>
        <w:t>tres</w:t>
      </w:r>
      <w:r>
        <w:rPr>
          <w:color w:val="231F20"/>
          <w:spacing w:val="-5"/>
        </w:rPr>
        <w:t> </w:t>
      </w:r>
      <w:r>
        <w:rPr>
          <w:color w:val="231F20"/>
        </w:rPr>
        <w:t>de</w:t>
      </w:r>
      <w:r>
        <w:rPr>
          <w:color w:val="231F20"/>
          <w:spacing w:val="-5"/>
        </w:rPr>
        <w:t> </w:t>
      </w:r>
      <w:r>
        <w:rPr>
          <w:color w:val="231F20"/>
        </w:rPr>
        <w:t>ellas:</w:t>
      </w:r>
      <w:r>
        <w:rPr>
          <w:color w:val="231F20"/>
          <w:spacing w:val="-5"/>
        </w:rPr>
        <w:t> </w:t>
      </w:r>
      <w:r>
        <w:rPr>
          <w:color w:val="231F20"/>
        </w:rPr>
        <w:t>i)</w:t>
      </w:r>
      <w:r>
        <w:rPr>
          <w:color w:val="231F20"/>
          <w:spacing w:val="-5"/>
        </w:rPr>
        <w:t> </w:t>
      </w:r>
      <w:r>
        <w:rPr>
          <w:color w:val="231F20"/>
        </w:rPr>
        <w:t>El</w:t>
      </w:r>
      <w:r>
        <w:rPr>
          <w:color w:val="231F20"/>
          <w:spacing w:val="-5"/>
        </w:rPr>
        <w:t> </w:t>
      </w:r>
      <w:r>
        <w:rPr>
          <w:color w:val="231F20"/>
        </w:rPr>
        <w:t>flujo</w:t>
      </w:r>
      <w:r>
        <w:rPr>
          <w:color w:val="231F20"/>
          <w:spacing w:val="-5"/>
        </w:rPr>
        <w:t> </w:t>
      </w:r>
      <w:r>
        <w:rPr>
          <w:color w:val="231F20"/>
        </w:rPr>
        <w:t>ininterrumpido</w:t>
      </w:r>
      <w:r>
        <w:rPr>
          <w:color w:val="231F20"/>
          <w:spacing w:val="-5"/>
        </w:rPr>
        <w:t> </w:t>
      </w:r>
      <w:r>
        <w:rPr>
          <w:color w:val="231F20"/>
        </w:rPr>
        <w:t>de</w:t>
      </w:r>
      <w:r>
        <w:rPr>
          <w:color w:val="231F20"/>
          <w:spacing w:val="-5"/>
        </w:rPr>
        <w:t> </w:t>
      </w:r>
      <w:r>
        <w:rPr>
          <w:color w:val="231F20"/>
        </w:rPr>
        <w:t>gran escala de inmigrantes legales e ilegales procedentes de México, estruc- turado por fuertes fuerzas económicas y prácticas socioculturales que no parece</w:t>
      </w:r>
      <w:r>
        <w:rPr>
          <w:color w:val="231F20"/>
          <w:spacing w:val="-12"/>
        </w:rPr>
        <w:t> </w:t>
      </w:r>
      <w:r>
        <w:rPr>
          <w:color w:val="231F20"/>
        </w:rPr>
        <w:t>ser</w:t>
      </w:r>
      <w:r>
        <w:rPr>
          <w:color w:val="231F20"/>
          <w:spacing w:val="-12"/>
        </w:rPr>
        <w:t> </w:t>
      </w:r>
      <w:r>
        <w:rPr>
          <w:color w:val="231F20"/>
        </w:rPr>
        <w:t>afectado</w:t>
      </w:r>
      <w:r>
        <w:rPr>
          <w:color w:val="231F20"/>
          <w:spacing w:val="-12"/>
        </w:rPr>
        <w:t> </w:t>
      </w:r>
      <w:r>
        <w:rPr>
          <w:color w:val="231F20"/>
        </w:rPr>
        <w:t>por</w:t>
      </w:r>
      <w:r>
        <w:rPr>
          <w:color w:val="231F20"/>
          <w:spacing w:val="-12"/>
        </w:rPr>
        <w:t> </w:t>
      </w:r>
      <w:r>
        <w:rPr>
          <w:color w:val="231F20"/>
        </w:rPr>
        <w:t>iniciativas</w:t>
      </w:r>
      <w:r>
        <w:rPr>
          <w:color w:val="231F20"/>
          <w:spacing w:val="-12"/>
        </w:rPr>
        <w:t> </w:t>
      </w:r>
      <w:r>
        <w:rPr>
          <w:color w:val="231F20"/>
        </w:rPr>
        <w:t>de</w:t>
      </w:r>
      <w:r>
        <w:rPr>
          <w:color w:val="231F20"/>
          <w:spacing w:val="-12"/>
        </w:rPr>
        <w:t> </w:t>
      </w:r>
      <w:r>
        <w:rPr>
          <w:color w:val="231F20"/>
        </w:rPr>
        <w:t>política</w:t>
      </w:r>
      <w:r>
        <w:rPr>
          <w:color w:val="231F20"/>
          <w:spacing w:val="-12"/>
        </w:rPr>
        <w:t> </w:t>
      </w:r>
      <w:r>
        <w:rPr>
          <w:color w:val="231F20"/>
        </w:rPr>
        <w:t>unilateral</w:t>
      </w:r>
      <w:r>
        <w:rPr>
          <w:color w:val="231F20"/>
          <w:spacing w:val="-12"/>
        </w:rPr>
        <w:t> </w:t>
      </w:r>
      <w:r>
        <w:rPr>
          <w:color w:val="231F20"/>
        </w:rPr>
        <w:t>como</w:t>
      </w:r>
      <w:r>
        <w:rPr>
          <w:color w:val="231F20"/>
          <w:spacing w:val="-12"/>
        </w:rPr>
        <w:t> </w:t>
      </w:r>
      <w:r>
        <w:rPr>
          <w:color w:val="231F20"/>
        </w:rPr>
        <w:t>el</w:t>
      </w:r>
      <w:r>
        <w:rPr>
          <w:color w:val="231F20"/>
          <w:spacing w:val="-12"/>
        </w:rPr>
        <w:t> </w:t>
      </w:r>
      <w:r>
        <w:rPr>
          <w:color w:val="231F20"/>
        </w:rPr>
        <w:t>cierre</w:t>
      </w:r>
      <w:r>
        <w:rPr>
          <w:color w:val="231F20"/>
          <w:spacing w:val="-12"/>
        </w:rPr>
        <w:t> </w:t>
      </w:r>
      <w:r>
        <w:rPr>
          <w:color w:val="231F20"/>
        </w:rPr>
        <w:t>de</w:t>
      </w:r>
      <w:r>
        <w:rPr>
          <w:color w:val="231F20"/>
          <w:spacing w:val="-12"/>
        </w:rPr>
        <w:t> </w:t>
      </w:r>
      <w:r>
        <w:rPr>
          <w:color w:val="231F20"/>
        </w:rPr>
        <w:t>la frontera México-Estados Unidos; ii) “oleadas” más limitadas en el tiempo (a diferencia de los flujos ininterrumpidos) de inmigrantes centroamerica- nos y iii) un patrón caribeño de intensa migración circular tipificada por</w:t>
      </w:r>
      <w:r>
        <w:rPr>
          <w:color w:val="231F20"/>
          <w:spacing w:val="-35"/>
        </w:rPr>
        <w:t> </w:t>
      </w:r>
      <w:r>
        <w:rPr>
          <w:color w:val="231F20"/>
        </w:rPr>
        <w:t>la experiencia</w:t>
      </w:r>
      <w:r>
        <w:rPr>
          <w:color w:val="231F20"/>
          <w:spacing w:val="-10"/>
        </w:rPr>
        <w:t> </w:t>
      </w:r>
      <w:r>
        <w:rPr>
          <w:color w:val="231F20"/>
        </w:rPr>
        <w:t>dominicana</w:t>
      </w:r>
      <w:r>
        <w:rPr>
          <w:color w:val="231F20"/>
          <w:spacing w:val="-10"/>
        </w:rPr>
        <w:t> </w:t>
      </w:r>
      <w:r>
        <w:rPr>
          <w:color w:val="231F20"/>
        </w:rPr>
        <w:t>en</w:t>
      </w:r>
      <w:r>
        <w:rPr>
          <w:color w:val="231F20"/>
          <w:spacing w:val="-10"/>
        </w:rPr>
        <w:t> </w:t>
      </w:r>
      <w:r>
        <w:rPr>
          <w:color w:val="231F20"/>
        </w:rPr>
        <w:t>New</w:t>
      </w:r>
      <w:r>
        <w:rPr>
          <w:color w:val="231F20"/>
          <w:spacing w:val="-18"/>
        </w:rPr>
        <w:t> </w:t>
      </w:r>
      <w:r>
        <w:rPr>
          <w:color w:val="231F20"/>
          <w:spacing w:val="-5"/>
        </w:rPr>
        <w:t>York.</w:t>
      </w:r>
      <w:r>
        <w:rPr>
          <w:color w:val="231F20"/>
          <w:spacing w:val="-10"/>
        </w:rPr>
        <w:t> </w:t>
      </w:r>
      <w:r>
        <w:rPr>
          <w:color w:val="231F20"/>
        </w:rPr>
        <w:t>Guarnizo</w:t>
      </w:r>
      <w:r>
        <w:rPr>
          <w:color w:val="231F20"/>
          <w:spacing w:val="-10"/>
        </w:rPr>
        <w:t> </w:t>
      </w:r>
      <w:r>
        <w:rPr>
          <w:color w:val="231F20"/>
        </w:rPr>
        <w:t>(2006)</w:t>
      </w:r>
      <w:r>
        <w:rPr>
          <w:color w:val="231F20"/>
          <w:spacing w:val="-10"/>
        </w:rPr>
        <w:t> </w:t>
      </w:r>
      <w:r>
        <w:rPr>
          <w:color w:val="231F20"/>
        </w:rPr>
        <w:t>al</w:t>
      </w:r>
      <w:r>
        <w:rPr>
          <w:color w:val="231F20"/>
          <w:spacing w:val="-10"/>
        </w:rPr>
        <w:t> </w:t>
      </w:r>
      <w:r>
        <w:rPr>
          <w:color w:val="231F20"/>
        </w:rPr>
        <w:t>contextualizar</w:t>
      </w:r>
      <w:r>
        <w:rPr>
          <w:color w:val="231F20"/>
          <w:spacing w:val="-10"/>
        </w:rPr>
        <w:t> </w:t>
      </w:r>
      <w:r>
        <w:rPr>
          <w:color w:val="231F20"/>
        </w:rPr>
        <w:t>la migración</w:t>
      </w:r>
      <w:r>
        <w:rPr>
          <w:color w:val="231F20"/>
          <w:spacing w:val="-11"/>
        </w:rPr>
        <w:t> </w:t>
      </w:r>
      <w:r>
        <w:rPr>
          <w:color w:val="231F20"/>
        </w:rPr>
        <w:t>señala</w:t>
      </w:r>
      <w:r>
        <w:rPr>
          <w:color w:val="231F20"/>
          <w:spacing w:val="-10"/>
        </w:rPr>
        <w:t> </w:t>
      </w:r>
      <w:r>
        <w:rPr>
          <w:color w:val="231F20"/>
        </w:rPr>
        <w:t>que</w:t>
      </w:r>
      <w:r>
        <w:rPr>
          <w:color w:val="231F20"/>
          <w:spacing w:val="-11"/>
        </w:rPr>
        <w:t> </w:t>
      </w:r>
      <w:r>
        <w:rPr>
          <w:color w:val="231F20"/>
        </w:rPr>
        <w:t>“</w:t>
      </w:r>
      <w:r>
        <w:rPr>
          <w:color w:val="1A1A1A"/>
        </w:rPr>
        <w:t>a</w:t>
      </w:r>
      <w:r>
        <w:rPr>
          <w:color w:val="1A1A1A"/>
          <w:spacing w:val="-11"/>
        </w:rPr>
        <w:t> </w:t>
      </w:r>
      <w:r>
        <w:rPr>
          <w:color w:val="1A1A1A"/>
        </w:rPr>
        <w:t>mediados</w:t>
      </w:r>
      <w:r>
        <w:rPr>
          <w:color w:val="1A1A1A"/>
          <w:spacing w:val="-11"/>
        </w:rPr>
        <w:t> </w:t>
      </w:r>
      <w:r>
        <w:rPr>
          <w:color w:val="1A1A1A"/>
        </w:rPr>
        <w:t>de</w:t>
      </w:r>
      <w:r>
        <w:rPr>
          <w:color w:val="1A1A1A"/>
          <w:spacing w:val="-11"/>
        </w:rPr>
        <w:t> </w:t>
      </w:r>
      <w:r>
        <w:rPr>
          <w:color w:val="1A1A1A"/>
        </w:rPr>
        <w:t>los</w:t>
      </w:r>
      <w:r>
        <w:rPr>
          <w:color w:val="1A1A1A"/>
          <w:spacing w:val="-11"/>
        </w:rPr>
        <w:t> </w:t>
      </w:r>
      <w:r>
        <w:rPr>
          <w:color w:val="1A1A1A"/>
        </w:rPr>
        <w:t>sesenta,</w:t>
      </w:r>
      <w:r>
        <w:rPr>
          <w:color w:val="1A1A1A"/>
          <w:spacing w:val="-10"/>
        </w:rPr>
        <w:t> </w:t>
      </w:r>
      <w:r>
        <w:rPr>
          <w:color w:val="1A1A1A"/>
        </w:rPr>
        <w:t>Estados</w:t>
      </w:r>
      <w:r>
        <w:rPr>
          <w:color w:val="1A1A1A"/>
          <w:spacing w:val="-11"/>
        </w:rPr>
        <w:t> </w:t>
      </w:r>
      <w:r>
        <w:rPr>
          <w:color w:val="1A1A1A"/>
        </w:rPr>
        <w:t>Unidos</w:t>
      </w:r>
      <w:r>
        <w:rPr>
          <w:color w:val="1A1A1A"/>
          <w:spacing w:val="-10"/>
        </w:rPr>
        <w:t> </w:t>
      </w:r>
      <w:r>
        <w:rPr>
          <w:color w:val="1A1A1A"/>
        </w:rPr>
        <w:t>abrió</w:t>
      </w:r>
      <w:r>
        <w:rPr>
          <w:color w:val="1A1A1A"/>
          <w:spacing w:val="-11"/>
        </w:rPr>
        <w:t> </w:t>
      </w:r>
      <w:r>
        <w:rPr>
          <w:color w:val="1A1A1A"/>
        </w:rPr>
        <w:t>sus fronteras a la inmigración latinoamericana, caribeña y asiática en general, mientras declinaba la inmigración</w:t>
      </w:r>
      <w:r>
        <w:rPr>
          <w:color w:val="1A1A1A"/>
          <w:spacing w:val="-2"/>
        </w:rPr>
        <w:t> </w:t>
      </w:r>
      <w:r>
        <w:rPr>
          <w:color w:val="1A1A1A"/>
        </w:rPr>
        <w:t>europea”.</w:t>
      </w:r>
    </w:p>
    <w:p>
      <w:pPr>
        <w:pStyle w:val="BodyText"/>
        <w:spacing w:line="247" w:lineRule="auto"/>
        <w:ind w:left="117" w:right="114" w:firstLine="283"/>
        <w:jc w:val="both"/>
      </w:pPr>
      <w:r>
        <w:rPr>
          <w:color w:val="231F20"/>
        </w:rPr>
        <w:t>Martínez y </w:t>
      </w:r>
      <w:r>
        <w:rPr>
          <w:color w:val="231F20"/>
          <w:spacing w:val="-8"/>
        </w:rPr>
        <w:t>Vono </w:t>
      </w:r>
      <w:r>
        <w:rPr>
          <w:color w:val="231F20"/>
        </w:rPr>
        <w:t>(2005: 41) al examinar los patrones de la migración internacional</w:t>
      </w:r>
      <w:r>
        <w:rPr>
          <w:color w:val="231F20"/>
          <w:spacing w:val="-5"/>
        </w:rPr>
        <w:t> </w:t>
      </w:r>
      <w:r>
        <w:rPr>
          <w:color w:val="231F20"/>
        </w:rPr>
        <w:t>de</w:t>
      </w:r>
      <w:r>
        <w:rPr>
          <w:color w:val="231F20"/>
          <w:spacing w:val="-16"/>
        </w:rPr>
        <w:t> </w:t>
      </w:r>
      <w:r>
        <w:rPr>
          <w:color w:val="231F20"/>
        </w:rPr>
        <w:t>América</w:t>
      </w:r>
      <w:r>
        <w:rPr>
          <w:color w:val="231F20"/>
          <w:spacing w:val="-5"/>
        </w:rPr>
        <w:t> </w:t>
      </w:r>
      <w:r>
        <w:rPr>
          <w:color w:val="231F20"/>
        </w:rPr>
        <w:t>Latina</w:t>
      </w:r>
      <w:r>
        <w:rPr>
          <w:color w:val="231F20"/>
          <w:spacing w:val="-4"/>
        </w:rPr>
        <w:t> </w:t>
      </w:r>
      <w:r>
        <w:rPr>
          <w:color w:val="231F20"/>
        </w:rPr>
        <w:t>y</w:t>
      </w:r>
      <w:r>
        <w:rPr>
          <w:color w:val="231F20"/>
          <w:spacing w:val="-4"/>
        </w:rPr>
        <w:t> </w:t>
      </w:r>
      <w:r>
        <w:rPr>
          <w:color w:val="231F20"/>
        </w:rPr>
        <w:t>el</w:t>
      </w:r>
      <w:r>
        <w:rPr>
          <w:color w:val="231F20"/>
          <w:spacing w:val="-5"/>
        </w:rPr>
        <w:t> </w:t>
      </w:r>
      <w:r>
        <w:rPr>
          <w:color w:val="231F20"/>
        </w:rPr>
        <w:t>Caribe</w:t>
      </w:r>
      <w:r>
        <w:rPr>
          <w:color w:val="231F20"/>
          <w:spacing w:val="-5"/>
        </w:rPr>
        <w:t> </w:t>
      </w:r>
      <w:r>
        <w:rPr>
          <w:color w:val="231F20"/>
        </w:rPr>
        <w:t>identifican</w:t>
      </w:r>
      <w:r>
        <w:rPr>
          <w:color w:val="231F20"/>
          <w:spacing w:val="-5"/>
        </w:rPr>
        <w:t> </w:t>
      </w:r>
      <w:r>
        <w:rPr>
          <w:color w:val="231F20"/>
        </w:rPr>
        <w:t>la</w:t>
      </w:r>
      <w:r>
        <w:rPr>
          <w:color w:val="231F20"/>
          <w:spacing w:val="-5"/>
        </w:rPr>
        <w:t> </w:t>
      </w:r>
      <w:r>
        <w:rPr>
          <w:color w:val="231F20"/>
        </w:rPr>
        <w:t>vigencia</w:t>
      </w:r>
      <w:r>
        <w:rPr>
          <w:color w:val="231F20"/>
          <w:spacing w:val="-5"/>
        </w:rPr>
        <w:t> </w:t>
      </w:r>
      <w:r>
        <w:rPr>
          <w:color w:val="231F20"/>
        </w:rPr>
        <w:t>de</w:t>
      </w:r>
      <w:r>
        <w:rPr>
          <w:color w:val="231F20"/>
          <w:spacing w:val="-4"/>
        </w:rPr>
        <w:t> </w:t>
      </w:r>
      <w:r>
        <w:rPr>
          <w:color w:val="231F20"/>
        </w:rPr>
        <w:t>cua- tro comportamientos: i) la inmigración de ultramar, principalmente desde el sur de Europa y en menor medida desde el cercano Oriente y Asia; ii) la migración intrarregional, que tiene fundamentalmente un carácter his- tórico alimentado por factores estructurales —desigualdades de desarrollo económico</w:t>
      </w:r>
      <w:r>
        <w:rPr>
          <w:color w:val="231F20"/>
          <w:spacing w:val="-9"/>
        </w:rPr>
        <w:t> </w:t>
      </w:r>
      <w:r>
        <w:rPr>
          <w:color w:val="231F20"/>
        </w:rPr>
        <w:t>y</w:t>
      </w:r>
      <w:r>
        <w:rPr>
          <w:color w:val="231F20"/>
          <w:spacing w:val="-8"/>
        </w:rPr>
        <w:t> </w:t>
      </w:r>
      <w:r>
        <w:rPr>
          <w:color w:val="231F20"/>
        </w:rPr>
        <w:t>social—</w:t>
      </w:r>
      <w:r>
        <w:rPr>
          <w:color w:val="231F20"/>
          <w:spacing w:val="-8"/>
        </w:rPr>
        <w:t> </w:t>
      </w:r>
      <w:r>
        <w:rPr>
          <w:color w:val="231F20"/>
        </w:rPr>
        <w:t>y</w:t>
      </w:r>
      <w:r>
        <w:rPr>
          <w:color w:val="231F20"/>
          <w:spacing w:val="-8"/>
        </w:rPr>
        <w:t> </w:t>
      </w:r>
      <w:r>
        <w:rPr>
          <w:color w:val="231F20"/>
        </w:rPr>
        <w:t>coyunturales;</w:t>
      </w:r>
      <w:r>
        <w:rPr>
          <w:color w:val="231F20"/>
          <w:spacing w:val="-9"/>
        </w:rPr>
        <w:t> </w:t>
      </w:r>
      <w:r>
        <w:rPr>
          <w:color w:val="231F20"/>
        </w:rPr>
        <w:t>iii)</w:t>
      </w:r>
      <w:r>
        <w:rPr>
          <w:color w:val="231F20"/>
          <w:spacing w:val="-8"/>
        </w:rPr>
        <w:t> </w:t>
      </w:r>
      <w:r>
        <w:rPr>
          <w:color w:val="231F20"/>
        </w:rPr>
        <w:t>la</w:t>
      </w:r>
      <w:r>
        <w:rPr>
          <w:color w:val="231F20"/>
          <w:spacing w:val="-8"/>
        </w:rPr>
        <w:t> </w:t>
      </w:r>
      <w:r>
        <w:rPr>
          <w:color w:val="231F20"/>
        </w:rPr>
        <w:t>migración</w:t>
      </w:r>
      <w:r>
        <w:rPr>
          <w:color w:val="231F20"/>
          <w:spacing w:val="-9"/>
        </w:rPr>
        <w:t> </w:t>
      </w:r>
      <w:r>
        <w:rPr>
          <w:color w:val="231F20"/>
        </w:rPr>
        <w:t>extra</w:t>
      </w:r>
      <w:r>
        <w:rPr>
          <w:color w:val="231F20"/>
          <w:spacing w:val="-8"/>
        </w:rPr>
        <w:t> </w:t>
      </w:r>
      <w:r>
        <w:rPr>
          <w:color w:val="231F20"/>
        </w:rPr>
        <w:t>regional</w:t>
      </w:r>
      <w:r>
        <w:rPr>
          <w:color w:val="231F20"/>
          <w:spacing w:val="-8"/>
        </w:rPr>
        <w:t> </w:t>
      </w:r>
      <w:r>
        <w:rPr>
          <w:color w:val="231F20"/>
        </w:rPr>
        <w:t>hacia Estados Unidos, que es en la actualidad el principal destino de latinoame- ricanos y caribeños; iv) la migración extrarregional hacia nuevos destinos no continentales, fundamentalmente España y</w:t>
      </w:r>
      <w:r>
        <w:rPr>
          <w:color w:val="231F20"/>
          <w:spacing w:val="-8"/>
        </w:rPr>
        <w:t> </w:t>
      </w:r>
      <w:r>
        <w:rPr>
          <w:color w:val="231F20"/>
        </w:rPr>
        <w:t>Japón.</w:t>
      </w:r>
    </w:p>
    <w:p>
      <w:pPr>
        <w:pStyle w:val="BodyText"/>
        <w:spacing w:line="247" w:lineRule="auto"/>
        <w:ind w:left="117" w:right="115" w:firstLine="283"/>
        <w:jc w:val="both"/>
      </w:pPr>
      <w:r>
        <w:rPr>
          <w:color w:val="231F20"/>
        </w:rPr>
        <w:t>Otros estudiosos la han discutido y teorizado desde otras posiciones, por ejemplo, Castles y Miller, citados por Escobedo (2008: 48), determi- nan y fundamentan la migración internacional latinoamericana en cinco hechos: i) su globalización, por la incorporación y afectación que</w:t>
      </w:r>
      <w:r>
        <w:rPr>
          <w:color w:val="231F20"/>
          <w:spacing w:val="-20"/>
        </w:rPr>
        <w:t> </w:t>
      </w:r>
      <w:r>
        <w:rPr>
          <w:color w:val="231F20"/>
        </w:rPr>
        <w:t>presenta</w:t>
      </w:r>
    </w:p>
    <w:p>
      <w:pPr>
        <w:spacing w:after="0" w:line="247" w:lineRule="auto"/>
        <w:jc w:val="both"/>
        <w:sectPr>
          <w:pgSz w:w="9360" w:h="13040"/>
          <w:pgMar w:header="0" w:footer="496" w:top="840" w:bottom="680" w:left="1300" w:right="1300"/>
        </w:sectPr>
      </w:pPr>
    </w:p>
    <w:p>
      <w:pPr>
        <w:spacing w:before="45"/>
        <w:ind w:left="117" w:right="0" w:firstLine="331"/>
        <w:jc w:val="both"/>
        <w:rPr>
          <w:rFonts w:ascii="Arial" w:hAnsi="Arial"/>
          <w:sz w:val="20"/>
        </w:rPr>
      </w:pPr>
      <w:r>
        <w:rPr>
          <w:rFonts w:ascii="Arial" w:hAnsi="Arial"/>
          <w:color w:val="231F20"/>
          <w:w w:val="70"/>
          <w:sz w:val="20"/>
        </w:rPr>
        <w:t>Globalización</w:t>
      </w:r>
      <w:r>
        <w:rPr>
          <w:rFonts w:ascii="Arial" w:hAnsi="Arial"/>
          <w:color w:val="231F20"/>
          <w:spacing w:val="-15"/>
          <w:w w:val="70"/>
          <w:sz w:val="20"/>
        </w:rPr>
        <w:t> </w:t>
      </w:r>
      <w:r>
        <w:rPr>
          <w:rFonts w:ascii="Arial" w:hAnsi="Arial"/>
          <w:color w:val="231F20"/>
          <w:w w:val="70"/>
          <w:sz w:val="20"/>
        </w:rPr>
        <w:t>y</w:t>
      </w:r>
      <w:r>
        <w:rPr>
          <w:rFonts w:ascii="Arial" w:hAnsi="Arial"/>
          <w:color w:val="231F20"/>
          <w:spacing w:val="-15"/>
          <w:w w:val="70"/>
          <w:sz w:val="20"/>
        </w:rPr>
        <w:t> </w:t>
      </w:r>
      <w:r>
        <w:rPr>
          <w:rFonts w:ascii="Arial" w:hAnsi="Arial"/>
          <w:color w:val="231F20"/>
          <w:w w:val="70"/>
          <w:sz w:val="20"/>
        </w:rPr>
        <w:t>emigración</w:t>
      </w:r>
      <w:r>
        <w:rPr>
          <w:rFonts w:ascii="Arial" w:hAnsi="Arial"/>
          <w:color w:val="231F20"/>
          <w:spacing w:val="-15"/>
          <w:w w:val="70"/>
          <w:sz w:val="20"/>
        </w:rPr>
        <w:t> </w:t>
      </w:r>
      <w:r>
        <w:rPr>
          <w:rFonts w:ascii="Arial" w:hAnsi="Arial"/>
          <w:color w:val="231F20"/>
          <w:w w:val="70"/>
          <w:sz w:val="20"/>
        </w:rPr>
        <w:t>latinoamericana</w:t>
      </w:r>
      <w:r>
        <w:rPr>
          <w:rFonts w:ascii="Arial" w:hAnsi="Arial"/>
          <w:color w:val="231F20"/>
          <w:spacing w:val="-15"/>
          <w:w w:val="70"/>
          <w:sz w:val="20"/>
        </w:rPr>
        <w:t> </w:t>
      </w:r>
      <w:r>
        <w:rPr>
          <w:rFonts w:ascii="Arial" w:hAnsi="Arial"/>
          <w:color w:val="231F20"/>
          <w:w w:val="70"/>
          <w:sz w:val="20"/>
        </w:rPr>
        <w:t>y</w:t>
      </w:r>
      <w:r>
        <w:rPr>
          <w:rFonts w:ascii="Arial" w:hAnsi="Arial"/>
          <w:color w:val="231F20"/>
          <w:spacing w:val="-15"/>
          <w:w w:val="70"/>
          <w:sz w:val="20"/>
        </w:rPr>
        <w:t> </w:t>
      </w:r>
      <w:r>
        <w:rPr>
          <w:rFonts w:ascii="Arial" w:hAnsi="Arial"/>
          <w:color w:val="231F20"/>
          <w:w w:val="70"/>
          <w:sz w:val="20"/>
        </w:rPr>
        <w:t>caribeña</w:t>
      </w:r>
      <w:r>
        <w:rPr>
          <w:rFonts w:ascii="Arial" w:hAnsi="Arial"/>
          <w:color w:val="231F20"/>
          <w:spacing w:val="-15"/>
          <w:w w:val="70"/>
          <w:sz w:val="20"/>
        </w:rPr>
        <w:t> </w:t>
      </w:r>
      <w:r>
        <w:rPr>
          <w:rFonts w:ascii="Arial" w:hAnsi="Arial"/>
          <w:color w:val="231F20"/>
          <w:w w:val="70"/>
          <w:sz w:val="20"/>
        </w:rPr>
        <w:t>a</w:t>
      </w:r>
      <w:r>
        <w:rPr>
          <w:rFonts w:ascii="Arial" w:hAnsi="Arial"/>
          <w:color w:val="231F20"/>
          <w:spacing w:val="-15"/>
          <w:w w:val="70"/>
          <w:sz w:val="20"/>
        </w:rPr>
        <w:t> </w:t>
      </w:r>
      <w:r>
        <w:rPr>
          <w:rFonts w:ascii="Arial" w:hAnsi="Arial"/>
          <w:color w:val="231F20"/>
          <w:w w:val="70"/>
          <w:sz w:val="20"/>
        </w:rPr>
        <w:t>Estados</w:t>
      </w:r>
      <w:r>
        <w:rPr>
          <w:rFonts w:ascii="Arial" w:hAnsi="Arial"/>
          <w:color w:val="231F20"/>
          <w:spacing w:val="-15"/>
          <w:w w:val="70"/>
          <w:sz w:val="20"/>
        </w:rPr>
        <w:t> </w:t>
      </w:r>
      <w:r>
        <w:rPr>
          <w:rFonts w:ascii="Arial" w:hAnsi="Arial"/>
          <w:color w:val="231F20"/>
          <w:w w:val="70"/>
          <w:sz w:val="20"/>
        </w:rPr>
        <w:t>Unidos</w:t>
      </w:r>
      <w:r>
        <w:rPr>
          <w:rFonts w:ascii="Arial" w:hAnsi="Arial"/>
          <w:color w:val="231F20"/>
          <w:spacing w:val="-15"/>
          <w:w w:val="70"/>
          <w:sz w:val="20"/>
        </w:rPr>
        <w:t> </w:t>
      </w:r>
      <w:r>
        <w:rPr>
          <w:rFonts w:ascii="Arial" w:hAnsi="Arial"/>
          <w:color w:val="231F20"/>
          <w:w w:val="70"/>
          <w:sz w:val="20"/>
        </w:rPr>
        <w:t>/Ramiro</w:t>
      </w:r>
      <w:r>
        <w:rPr>
          <w:rFonts w:ascii="Arial" w:hAnsi="Arial"/>
          <w:color w:val="231F20"/>
          <w:spacing w:val="-22"/>
          <w:w w:val="70"/>
          <w:sz w:val="20"/>
        </w:rPr>
        <w:t> </w:t>
      </w:r>
      <w:r>
        <w:rPr>
          <w:rFonts w:ascii="Arial" w:hAnsi="Arial"/>
          <w:color w:val="231F20"/>
          <w:w w:val="70"/>
          <w:sz w:val="20"/>
        </w:rPr>
        <w:t>Morales-Hernández</w:t>
      </w:r>
    </w:p>
    <w:p>
      <w:pPr>
        <w:pStyle w:val="BodyText"/>
        <w:spacing w:before="7"/>
        <w:rPr>
          <w:rFonts w:ascii="Arial"/>
          <w:sz w:val="28"/>
        </w:rPr>
      </w:pPr>
    </w:p>
    <w:p>
      <w:pPr>
        <w:pStyle w:val="BodyText"/>
        <w:spacing w:line="247" w:lineRule="auto"/>
        <w:ind w:left="117" w:right="115"/>
        <w:jc w:val="both"/>
      </w:pPr>
      <w:r>
        <w:rPr>
          <w:color w:val="231F20"/>
        </w:rPr>
        <w:t>el fenómeno en los distintos países; ii) su aceleración, reflejada en la can- tidad de población que participa; iii) su diferenciación, por la diversidad de pertenencia étnica, de género y clase de la población involucrada; iv) su politización, las políticas bilaterales que emanan, ya sean entre países</w:t>
      </w:r>
      <w:r>
        <w:rPr>
          <w:color w:val="231F20"/>
          <w:spacing w:val="-24"/>
        </w:rPr>
        <w:t> </w:t>
      </w:r>
      <w:r>
        <w:rPr>
          <w:color w:val="231F20"/>
        </w:rPr>
        <w:t>o regiones, para atender en países destino o expulsores a la población afec- tada y v) la feminización, el rol de la mujer emigrante o afectada por la migración.</w:t>
      </w:r>
    </w:p>
    <w:p>
      <w:pPr>
        <w:pStyle w:val="BodyText"/>
        <w:spacing w:line="247" w:lineRule="auto"/>
        <w:ind w:left="117" w:right="114" w:firstLine="283"/>
        <w:jc w:val="both"/>
      </w:pPr>
      <w:r>
        <w:rPr>
          <w:color w:val="231F20"/>
        </w:rPr>
        <w:t>Por su parte, Canales (2006) menciona cuatro aspectos que</w:t>
      </w:r>
      <w:r>
        <w:rPr>
          <w:color w:val="231F20"/>
          <w:spacing w:val="-38"/>
        </w:rPr>
        <w:t> </w:t>
      </w:r>
      <w:r>
        <w:rPr>
          <w:color w:val="231F20"/>
        </w:rPr>
        <w:t>manifiestan la diversidad y complejidad de la migración latinoamericana: i) de región de inmigración a región de emigración. Hasta los años ochenta del siglo XX, la mayoría de países de la región se distinguían por ser receptores de población, sin embargo a partir de esa década, distintos países se suman a países de Centroamérica y México como exportadores de población a Es- tados Unidos y Europa; ii) la diversificación e incremento de la migración intrarregional. Esto a partir del surgimiento de nuevas rutas migratorias,  lo que ha llevado a algunos países a convertirse en expulsores, receptores y de tránsito de población, un caso concreto es México, que los centro y sudamericanos tienen que cruzar en su viaje hacia Estados Unidos y en algunos</w:t>
      </w:r>
      <w:r>
        <w:rPr>
          <w:color w:val="231F20"/>
          <w:spacing w:val="-9"/>
        </w:rPr>
        <w:t> </w:t>
      </w:r>
      <w:r>
        <w:rPr>
          <w:color w:val="231F20"/>
        </w:rPr>
        <w:t>de</w:t>
      </w:r>
      <w:r>
        <w:rPr>
          <w:color w:val="231F20"/>
          <w:spacing w:val="-8"/>
        </w:rPr>
        <w:t> </w:t>
      </w:r>
      <w:r>
        <w:rPr>
          <w:color w:val="231F20"/>
        </w:rPr>
        <w:t>los</w:t>
      </w:r>
      <w:r>
        <w:rPr>
          <w:color w:val="231F20"/>
          <w:spacing w:val="-9"/>
        </w:rPr>
        <w:t> </w:t>
      </w:r>
      <w:r>
        <w:rPr>
          <w:color w:val="231F20"/>
        </w:rPr>
        <w:t>casos,</w:t>
      </w:r>
      <w:r>
        <w:rPr>
          <w:color w:val="231F20"/>
          <w:spacing w:val="-9"/>
        </w:rPr>
        <w:t> </w:t>
      </w:r>
      <w:r>
        <w:rPr>
          <w:color w:val="231F20"/>
        </w:rPr>
        <w:t>deciden</w:t>
      </w:r>
      <w:r>
        <w:rPr>
          <w:color w:val="231F20"/>
          <w:spacing w:val="-8"/>
        </w:rPr>
        <w:t> </w:t>
      </w:r>
      <w:r>
        <w:rPr>
          <w:color w:val="231F20"/>
        </w:rPr>
        <w:t>quedarse</w:t>
      </w:r>
      <w:r>
        <w:rPr>
          <w:color w:val="231F20"/>
          <w:spacing w:val="-8"/>
        </w:rPr>
        <w:t> </w:t>
      </w:r>
      <w:r>
        <w:rPr>
          <w:color w:val="231F20"/>
        </w:rPr>
        <w:t>a</w:t>
      </w:r>
      <w:r>
        <w:rPr>
          <w:color w:val="231F20"/>
          <w:spacing w:val="-8"/>
        </w:rPr>
        <w:t> </w:t>
      </w:r>
      <w:r>
        <w:rPr>
          <w:color w:val="231F20"/>
        </w:rPr>
        <w:t>trabajar</w:t>
      </w:r>
      <w:r>
        <w:rPr>
          <w:color w:val="231F20"/>
          <w:spacing w:val="-9"/>
        </w:rPr>
        <w:t> </w:t>
      </w:r>
      <w:r>
        <w:rPr>
          <w:color w:val="231F20"/>
        </w:rPr>
        <w:t>en</w:t>
      </w:r>
      <w:r>
        <w:rPr>
          <w:color w:val="231F20"/>
          <w:spacing w:val="-8"/>
        </w:rPr>
        <w:t> </w:t>
      </w:r>
      <w:r>
        <w:rPr>
          <w:color w:val="231F20"/>
        </w:rPr>
        <w:t>el</w:t>
      </w:r>
      <w:r>
        <w:rPr>
          <w:color w:val="231F20"/>
          <w:spacing w:val="-8"/>
        </w:rPr>
        <w:t> </w:t>
      </w:r>
      <w:r>
        <w:rPr>
          <w:color w:val="231F20"/>
        </w:rPr>
        <w:t>país;</w:t>
      </w:r>
      <w:r>
        <w:rPr>
          <w:color w:val="231F20"/>
          <w:spacing w:val="-8"/>
        </w:rPr>
        <w:t> </w:t>
      </w:r>
      <w:r>
        <w:rPr>
          <w:color w:val="231F20"/>
        </w:rPr>
        <w:t>iii)</w:t>
      </w:r>
      <w:r>
        <w:rPr>
          <w:color w:val="231F20"/>
          <w:spacing w:val="-9"/>
        </w:rPr>
        <w:t> </w:t>
      </w:r>
      <w:r>
        <w:rPr>
          <w:color w:val="231F20"/>
        </w:rPr>
        <w:t>la</w:t>
      </w:r>
      <w:r>
        <w:rPr>
          <w:color w:val="231F20"/>
          <w:spacing w:val="-8"/>
        </w:rPr>
        <w:t> </w:t>
      </w:r>
      <w:r>
        <w:rPr>
          <w:color w:val="231F20"/>
        </w:rPr>
        <w:t>creciente complejidad y diversidad de las modalidades migratorias. Con el</w:t>
      </w:r>
      <w:r>
        <w:rPr>
          <w:color w:val="231F20"/>
          <w:spacing w:val="-26"/>
        </w:rPr>
        <w:t> </w:t>
      </w:r>
      <w:r>
        <w:rPr>
          <w:color w:val="231F20"/>
        </w:rPr>
        <w:t>transcur- so</w:t>
      </w:r>
      <w:r>
        <w:rPr>
          <w:color w:val="231F20"/>
          <w:spacing w:val="-4"/>
        </w:rPr>
        <w:t> </w:t>
      </w:r>
      <w:r>
        <w:rPr>
          <w:color w:val="231F20"/>
        </w:rPr>
        <w:t>del</w:t>
      </w:r>
      <w:r>
        <w:rPr>
          <w:color w:val="231F20"/>
          <w:spacing w:val="-4"/>
        </w:rPr>
        <w:t> </w:t>
      </w:r>
      <w:r>
        <w:rPr>
          <w:color w:val="231F20"/>
        </w:rPr>
        <w:t>tiempo,</w:t>
      </w:r>
      <w:r>
        <w:rPr>
          <w:color w:val="231F20"/>
          <w:spacing w:val="-4"/>
        </w:rPr>
        <w:t> </w:t>
      </w:r>
      <w:r>
        <w:rPr>
          <w:color w:val="231F20"/>
        </w:rPr>
        <w:t>surgen</w:t>
      </w:r>
      <w:r>
        <w:rPr>
          <w:color w:val="231F20"/>
          <w:spacing w:val="-4"/>
        </w:rPr>
        <w:t> </w:t>
      </w:r>
      <w:r>
        <w:rPr>
          <w:color w:val="231F20"/>
        </w:rPr>
        <w:t>nuevas</w:t>
      </w:r>
      <w:r>
        <w:rPr>
          <w:color w:val="231F20"/>
          <w:spacing w:val="-4"/>
        </w:rPr>
        <w:t> </w:t>
      </w:r>
      <w:r>
        <w:rPr>
          <w:color w:val="231F20"/>
        </w:rPr>
        <w:t>modalidades</w:t>
      </w:r>
      <w:r>
        <w:rPr>
          <w:color w:val="231F20"/>
          <w:spacing w:val="-5"/>
        </w:rPr>
        <w:t> </w:t>
      </w:r>
      <w:r>
        <w:rPr>
          <w:color w:val="231F20"/>
        </w:rPr>
        <w:t>en</w:t>
      </w:r>
      <w:r>
        <w:rPr>
          <w:color w:val="231F20"/>
          <w:spacing w:val="-4"/>
        </w:rPr>
        <w:t> </w:t>
      </w:r>
      <w:r>
        <w:rPr>
          <w:color w:val="231F20"/>
        </w:rPr>
        <w:t>el</w:t>
      </w:r>
      <w:r>
        <w:rPr>
          <w:color w:val="231F20"/>
          <w:spacing w:val="-4"/>
        </w:rPr>
        <w:t> </w:t>
      </w:r>
      <w:r>
        <w:rPr>
          <w:color w:val="231F20"/>
        </w:rPr>
        <w:t>proceso</w:t>
      </w:r>
      <w:r>
        <w:rPr>
          <w:color w:val="231F20"/>
          <w:spacing w:val="-4"/>
        </w:rPr>
        <w:t> </w:t>
      </w:r>
      <w:r>
        <w:rPr>
          <w:color w:val="231F20"/>
        </w:rPr>
        <w:t>migratorio,</w:t>
      </w:r>
      <w:r>
        <w:rPr>
          <w:color w:val="231F20"/>
          <w:spacing w:val="-5"/>
        </w:rPr>
        <w:t> </w:t>
      </w:r>
      <w:r>
        <w:rPr>
          <w:color w:val="231F20"/>
        </w:rPr>
        <w:t>Cana- les señala que a las modalidades tradicionales de migración permanente y temporal</w:t>
      </w:r>
      <w:r>
        <w:rPr>
          <w:color w:val="231F20"/>
          <w:spacing w:val="-14"/>
        </w:rPr>
        <w:t> </w:t>
      </w:r>
      <w:r>
        <w:rPr>
          <w:color w:val="231F20"/>
        </w:rPr>
        <w:t>se</w:t>
      </w:r>
      <w:r>
        <w:rPr>
          <w:color w:val="231F20"/>
          <w:spacing w:val="-13"/>
        </w:rPr>
        <w:t> </w:t>
      </w:r>
      <w:r>
        <w:rPr>
          <w:color w:val="231F20"/>
        </w:rPr>
        <w:t>han</w:t>
      </w:r>
      <w:r>
        <w:rPr>
          <w:color w:val="231F20"/>
          <w:spacing w:val="-13"/>
        </w:rPr>
        <w:t> </w:t>
      </w:r>
      <w:r>
        <w:rPr>
          <w:color w:val="231F20"/>
        </w:rPr>
        <w:t>agregado</w:t>
      </w:r>
      <w:r>
        <w:rPr>
          <w:color w:val="231F20"/>
          <w:spacing w:val="-13"/>
        </w:rPr>
        <w:t> </w:t>
      </w:r>
      <w:r>
        <w:rPr>
          <w:color w:val="231F20"/>
        </w:rPr>
        <w:t>la</w:t>
      </w:r>
      <w:r>
        <w:rPr>
          <w:color w:val="231F20"/>
          <w:spacing w:val="-13"/>
        </w:rPr>
        <w:t> </w:t>
      </w:r>
      <w:r>
        <w:rPr>
          <w:color w:val="231F20"/>
        </w:rPr>
        <w:t>circular,</w:t>
      </w:r>
      <w:r>
        <w:rPr>
          <w:color w:val="231F20"/>
          <w:spacing w:val="-13"/>
        </w:rPr>
        <w:t> </w:t>
      </w:r>
      <w:r>
        <w:rPr>
          <w:color w:val="231F20"/>
        </w:rPr>
        <w:t>la</w:t>
      </w:r>
      <w:r>
        <w:rPr>
          <w:color w:val="231F20"/>
          <w:spacing w:val="-13"/>
        </w:rPr>
        <w:t> </w:t>
      </w:r>
      <w:r>
        <w:rPr>
          <w:color w:val="231F20"/>
        </w:rPr>
        <w:t>transfronteriza</w:t>
      </w:r>
      <w:r>
        <w:rPr>
          <w:color w:val="231F20"/>
          <w:spacing w:val="-14"/>
        </w:rPr>
        <w:t> </w:t>
      </w:r>
      <w:r>
        <w:rPr>
          <w:color w:val="231F20"/>
        </w:rPr>
        <w:t>y</w:t>
      </w:r>
      <w:r>
        <w:rPr>
          <w:color w:val="231F20"/>
          <w:spacing w:val="-13"/>
        </w:rPr>
        <w:t> </w:t>
      </w:r>
      <w:r>
        <w:rPr>
          <w:color w:val="231F20"/>
        </w:rPr>
        <w:t>la</w:t>
      </w:r>
      <w:r>
        <w:rPr>
          <w:color w:val="231F20"/>
          <w:spacing w:val="-13"/>
        </w:rPr>
        <w:t> </w:t>
      </w:r>
      <w:r>
        <w:rPr>
          <w:color w:val="231F20"/>
        </w:rPr>
        <w:t>indocumentada, entre otras; iv) la diversidad de los actores y sujetos sociales que partici- pan en el fenómeno. En este aspecto se destaca la visibilidad de la mujer como</w:t>
      </w:r>
      <w:r>
        <w:rPr>
          <w:color w:val="231F20"/>
          <w:spacing w:val="-8"/>
        </w:rPr>
        <w:t> </w:t>
      </w:r>
      <w:r>
        <w:rPr>
          <w:color w:val="231F20"/>
        </w:rPr>
        <w:t>sujeto</w:t>
      </w:r>
      <w:r>
        <w:rPr>
          <w:color w:val="231F20"/>
          <w:spacing w:val="-8"/>
        </w:rPr>
        <w:t> </w:t>
      </w:r>
      <w:r>
        <w:rPr>
          <w:color w:val="231F20"/>
        </w:rPr>
        <w:t>que</w:t>
      </w:r>
      <w:r>
        <w:rPr>
          <w:color w:val="231F20"/>
          <w:spacing w:val="-8"/>
        </w:rPr>
        <w:t> </w:t>
      </w:r>
      <w:r>
        <w:rPr>
          <w:color w:val="231F20"/>
        </w:rPr>
        <w:t>ha</w:t>
      </w:r>
      <w:r>
        <w:rPr>
          <w:color w:val="231F20"/>
          <w:spacing w:val="-8"/>
        </w:rPr>
        <w:t> </w:t>
      </w:r>
      <w:r>
        <w:rPr>
          <w:color w:val="231F20"/>
        </w:rPr>
        <w:t>venido</w:t>
      </w:r>
      <w:r>
        <w:rPr>
          <w:color w:val="231F20"/>
          <w:spacing w:val="-8"/>
        </w:rPr>
        <w:t> </w:t>
      </w:r>
      <w:r>
        <w:rPr>
          <w:color w:val="231F20"/>
        </w:rPr>
        <w:t>a</w:t>
      </w:r>
      <w:r>
        <w:rPr>
          <w:color w:val="231F20"/>
          <w:spacing w:val="-8"/>
        </w:rPr>
        <w:t> </w:t>
      </w:r>
      <w:r>
        <w:rPr>
          <w:color w:val="231F20"/>
        </w:rPr>
        <w:t>modificar</w:t>
      </w:r>
      <w:r>
        <w:rPr>
          <w:color w:val="231F20"/>
          <w:spacing w:val="-8"/>
        </w:rPr>
        <w:t> </w:t>
      </w:r>
      <w:r>
        <w:rPr>
          <w:color w:val="231F20"/>
        </w:rPr>
        <w:t>su</w:t>
      </w:r>
      <w:r>
        <w:rPr>
          <w:color w:val="231F20"/>
          <w:spacing w:val="-8"/>
        </w:rPr>
        <w:t> </w:t>
      </w:r>
      <w:r>
        <w:rPr>
          <w:color w:val="231F20"/>
        </w:rPr>
        <w:t>participación</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cambios</w:t>
      </w:r>
      <w:r>
        <w:rPr>
          <w:color w:val="231F20"/>
          <w:spacing w:val="-8"/>
        </w:rPr>
        <w:t> </w:t>
      </w:r>
      <w:r>
        <w:rPr>
          <w:color w:val="231F20"/>
        </w:rPr>
        <w:t>que provoca la migración, no sólo en el ámbito de la familia, sino como sujeto provocador</w:t>
      </w:r>
      <w:r>
        <w:rPr>
          <w:color w:val="231F20"/>
          <w:spacing w:val="-7"/>
        </w:rPr>
        <w:t> </w:t>
      </w:r>
      <w:r>
        <w:rPr>
          <w:color w:val="231F20"/>
        </w:rPr>
        <w:t>de</w:t>
      </w:r>
      <w:r>
        <w:rPr>
          <w:color w:val="231F20"/>
          <w:spacing w:val="-7"/>
        </w:rPr>
        <w:t> </w:t>
      </w:r>
      <w:r>
        <w:rPr>
          <w:color w:val="231F20"/>
        </w:rPr>
        <w:t>cambios</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ámbitos</w:t>
      </w:r>
      <w:r>
        <w:rPr>
          <w:color w:val="231F20"/>
          <w:spacing w:val="-7"/>
        </w:rPr>
        <w:t> </w:t>
      </w:r>
      <w:r>
        <w:rPr>
          <w:color w:val="231F20"/>
        </w:rPr>
        <w:t>sociales</w:t>
      </w:r>
      <w:r>
        <w:rPr>
          <w:color w:val="231F20"/>
          <w:spacing w:val="-6"/>
        </w:rPr>
        <w:t> </w:t>
      </w:r>
      <w:r>
        <w:rPr>
          <w:color w:val="231F20"/>
        </w:rPr>
        <w:t>y</w:t>
      </w:r>
      <w:r>
        <w:rPr>
          <w:color w:val="231F20"/>
          <w:spacing w:val="-7"/>
        </w:rPr>
        <w:t> </w:t>
      </w:r>
      <w:r>
        <w:rPr>
          <w:color w:val="231F20"/>
        </w:rPr>
        <w:t>económicos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comu- nidades de origen y de arribo.</w:t>
      </w:r>
    </w:p>
    <w:p>
      <w:pPr>
        <w:pStyle w:val="BodyText"/>
        <w:spacing w:line="247" w:lineRule="auto"/>
        <w:ind w:left="117" w:right="115" w:firstLine="283"/>
        <w:jc w:val="both"/>
      </w:pPr>
      <w:r>
        <w:rPr>
          <w:color w:val="231F20"/>
        </w:rPr>
        <w:t>Lo que es un hecho, es que en los últimos años se ha incrementado     la incorporación de población emigrante de un mayor número de países latinoamericanos y caribeños hacia Estados Unidos. Datos estadísticos</w:t>
      </w:r>
      <w:r>
        <w:rPr>
          <w:color w:val="231F20"/>
          <w:spacing w:val="-27"/>
        </w:rPr>
        <w:t> </w:t>
      </w:r>
      <w:r>
        <w:rPr>
          <w:color w:val="231F20"/>
        </w:rPr>
        <w:t>del</w:t>
      </w:r>
    </w:p>
    <w:p>
      <w:pPr>
        <w:pStyle w:val="BodyText"/>
        <w:spacing w:line="247" w:lineRule="auto"/>
        <w:ind w:left="117" w:right="115"/>
        <w:jc w:val="both"/>
      </w:pPr>
      <w:r>
        <w:rPr>
          <w:color w:val="231F20"/>
        </w:rPr>
        <w:t>U.S. Census Bureau, fundamentados en el Censo de 2000 realizado en ese país, indican que de las 281 421 906 personas que vivían en Estados Uni- dos, 35 305 818 eran de origen latinoamericano. Reporta además que para el periodo 2005-2009, la población “norteamericana” había alcanzado la cifra de 301 461 533 personas de las que 45 476 938 conformaban la co- munidad latina. Destaca que 29 333 047 eran de ascendencia mexicana,   4</w:t>
      </w:r>
      <w:r>
        <w:rPr>
          <w:color w:val="231F20"/>
          <w:spacing w:val="-6"/>
        </w:rPr>
        <w:t> </w:t>
      </w:r>
      <w:r>
        <w:rPr>
          <w:color w:val="231F20"/>
        </w:rPr>
        <w:t>161</w:t>
      </w:r>
      <w:r>
        <w:rPr>
          <w:color w:val="231F20"/>
          <w:spacing w:val="-6"/>
        </w:rPr>
        <w:t> </w:t>
      </w:r>
      <w:r>
        <w:rPr>
          <w:color w:val="231F20"/>
        </w:rPr>
        <w:t>258</w:t>
      </w:r>
      <w:r>
        <w:rPr>
          <w:color w:val="231F20"/>
          <w:spacing w:val="-6"/>
        </w:rPr>
        <w:t> </w:t>
      </w:r>
      <w:r>
        <w:rPr>
          <w:color w:val="231F20"/>
        </w:rPr>
        <w:t>puertorriqueños,</w:t>
      </w:r>
      <w:r>
        <w:rPr>
          <w:color w:val="231F20"/>
          <w:spacing w:val="-6"/>
        </w:rPr>
        <w:t> </w:t>
      </w:r>
      <w:r>
        <w:rPr>
          <w:color w:val="231F20"/>
        </w:rPr>
        <w:t>1</w:t>
      </w:r>
      <w:r>
        <w:rPr>
          <w:color w:val="231F20"/>
          <w:spacing w:val="-6"/>
        </w:rPr>
        <w:t> </w:t>
      </w:r>
      <w:r>
        <w:rPr>
          <w:color w:val="231F20"/>
        </w:rPr>
        <w:t>589</w:t>
      </w:r>
      <w:r>
        <w:rPr>
          <w:color w:val="231F20"/>
          <w:spacing w:val="-6"/>
        </w:rPr>
        <w:t> </w:t>
      </w:r>
      <w:r>
        <w:rPr>
          <w:color w:val="231F20"/>
        </w:rPr>
        <w:t>757</w:t>
      </w:r>
      <w:r>
        <w:rPr>
          <w:color w:val="231F20"/>
          <w:spacing w:val="-6"/>
        </w:rPr>
        <w:t> </w:t>
      </w:r>
      <w:r>
        <w:rPr>
          <w:color w:val="231F20"/>
        </w:rPr>
        <w:t>cubanos,</w:t>
      </w:r>
      <w:r>
        <w:rPr>
          <w:color w:val="231F20"/>
          <w:spacing w:val="-6"/>
        </w:rPr>
        <w:t> </w:t>
      </w:r>
      <w:r>
        <w:rPr>
          <w:color w:val="231F20"/>
        </w:rPr>
        <w:t>1</w:t>
      </w:r>
      <w:r>
        <w:rPr>
          <w:color w:val="231F20"/>
          <w:spacing w:val="-6"/>
        </w:rPr>
        <w:t> </w:t>
      </w:r>
      <w:r>
        <w:rPr>
          <w:color w:val="231F20"/>
        </w:rPr>
        <w:t>237</w:t>
      </w:r>
      <w:r>
        <w:rPr>
          <w:color w:val="231F20"/>
          <w:spacing w:val="-6"/>
        </w:rPr>
        <w:t> </w:t>
      </w:r>
      <w:r>
        <w:rPr>
          <w:color w:val="231F20"/>
        </w:rPr>
        <w:t>757</w:t>
      </w:r>
      <w:r>
        <w:rPr>
          <w:color w:val="231F20"/>
          <w:spacing w:val="-6"/>
        </w:rPr>
        <w:t> </w:t>
      </w:r>
      <w:r>
        <w:rPr>
          <w:color w:val="231F20"/>
        </w:rPr>
        <w:t>dominicanos,</w:t>
      </w:r>
      <w:r>
        <w:rPr>
          <w:color w:val="231F20"/>
          <w:spacing w:val="-6"/>
        </w:rPr>
        <w:t> </w:t>
      </w:r>
      <w:r>
        <w:rPr>
          <w:color w:val="231F20"/>
        </w:rPr>
        <w:t>en</w:t>
      </w:r>
    </w:p>
    <w:p>
      <w:pPr>
        <w:spacing w:after="0" w:line="247" w:lineRule="auto"/>
        <w:jc w:val="both"/>
        <w:sectPr>
          <w:pgSz w:w="9360" w:h="13040"/>
          <w:pgMar w:header="0" w:footer="496" w:top="740" w:bottom="680" w:left="1300" w:right="1300"/>
        </w:sectPr>
      </w:pPr>
    </w:p>
    <w:p>
      <w:pPr>
        <w:tabs>
          <w:tab w:pos="5536" w:val="left" w:leader="none"/>
        </w:tabs>
        <w:spacing w:before="51"/>
        <w:ind w:left="117" w:right="117" w:firstLine="5"/>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117"/>
      </w:pPr>
      <w:r>
        <w:rPr>
          <w:color w:val="231F20"/>
        </w:rPr>
        <w:t>tanto que 3 611 210 eran de países centroamericanos y 2 539 837 de Sur América.</w:t>
      </w:r>
    </w:p>
    <w:p>
      <w:pPr>
        <w:pStyle w:val="BodyText"/>
        <w:spacing w:line="247" w:lineRule="auto"/>
        <w:ind w:left="117" w:right="115" w:firstLine="283"/>
        <w:jc w:val="both"/>
      </w:pPr>
      <w:r>
        <w:rPr>
          <w:color w:val="231F20"/>
        </w:rPr>
        <w:t>Distintas son las consecuencias y afectaciones que ha provocado el fenómeno de la migración internacional en Latinoamérica. Pellegrino y Koolhaas (2008) señalan que en Uruguay los saldos emigratorios negati- vos en el siglo XX, ratifican que la migración internacional se ha conver- tido en estructural en ese país y que los periodos de crisis políticas y eco- nómicas constituyeron coyunturas propicias para agudizarlo. Por su parte Guarnizo</w:t>
      </w:r>
      <w:r>
        <w:rPr>
          <w:color w:val="231F20"/>
          <w:spacing w:val="-5"/>
        </w:rPr>
        <w:t> </w:t>
      </w:r>
      <w:r>
        <w:rPr>
          <w:color w:val="231F20"/>
        </w:rPr>
        <w:t>(2006)</w:t>
      </w:r>
      <w:r>
        <w:rPr>
          <w:color w:val="231F20"/>
          <w:spacing w:val="-6"/>
        </w:rPr>
        <w:t> </w:t>
      </w:r>
      <w:r>
        <w:rPr>
          <w:color w:val="231F20"/>
        </w:rPr>
        <w:t>al</w:t>
      </w:r>
      <w:r>
        <w:rPr>
          <w:color w:val="231F20"/>
          <w:spacing w:val="-6"/>
        </w:rPr>
        <w:t> </w:t>
      </w:r>
      <w:r>
        <w:rPr>
          <w:color w:val="231F20"/>
        </w:rPr>
        <w:t>referirse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presencia</w:t>
      </w:r>
      <w:r>
        <w:rPr>
          <w:color w:val="231F20"/>
          <w:spacing w:val="-6"/>
        </w:rPr>
        <w:t> </w:t>
      </w:r>
      <w:r>
        <w:rPr>
          <w:color w:val="231F20"/>
        </w:rPr>
        <w:t>de</w:t>
      </w:r>
      <w:r>
        <w:rPr>
          <w:color w:val="231F20"/>
          <w:spacing w:val="-6"/>
        </w:rPr>
        <w:t> </w:t>
      </w:r>
      <w:r>
        <w:rPr>
          <w:color w:val="231F20"/>
        </w:rPr>
        <w:t>colombianos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fenómeno migratorio internacional en los años sesenta, enfatiza:</w:t>
      </w:r>
    </w:p>
    <w:p>
      <w:pPr>
        <w:pStyle w:val="BodyText"/>
        <w:spacing w:line="247" w:lineRule="auto"/>
        <w:ind w:left="117" w:right="114" w:firstLine="283"/>
        <w:jc w:val="both"/>
      </w:pPr>
      <w:r>
        <w:rPr>
          <w:color w:val="1A1A1A"/>
        </w:rPr>
        <w:t>Aunque tímida en su inicio, la presencia colombiana de este periodo sentó las bases para el traslado masivo de colombianos que, desde enton- ces, se han ido al norte en flujos intermitentes. En la oleada inicial abun- daban los profesionistas universitarios, en particular médicos e</w:t>
      </w:r>
      <w:r>
        <w:rPr>
          <w:color w:val="1A1A1A"/>
          <w:spacing w:val="-33"/>
        </w:rPr>
        <w:t> </w:t>
      </w:r>
      <w:r>
        <w:rPr>
          <w:color w:val="1A1A1A"/>
        </w:rPr>
        <w:t>ingenieros. Dos regiones se erigieron, desde esa época, como zonas de mayor atrac- ción de colombianos: el área metropolitana de la gran Nueva </w:t>
      </w:r>
      <w:r>
        <w:rPr>
          <w:color w:val="1A1A1A"/>
          <w:spacing w:val="-6"/>
        </w:rPr>
        <w:t>York </w:t>
      </w:r>
      <w:r>
        <w:rPr>
          <w:color w:val="1A1A1A"/>
        </w:rPr>
        <w:t>y el sur de la Florida. El área triestatal metropolitana —que incluye los estados de </w:t>
      </w:r>
      <w:r>
        <w:rPr>
          <w:color w:val="1A1A1A"/>
          <w:spacing w:val="-5"/>
        </w:rPr>
        <w:t>York, </w:t>
      </w:r>
      <w:r>
        <w:rPr>
          <w:color w:val="1A1A1A"/>
        </w:rPr>
        <w:t>norte de Jersey y sur de Connecticut— se convirtió en su destino principal (2006: 84).</w:t>
      </w:r>
    </w:p>
    <w:p>
      <w:pPr>
        <w:pStyle w:val="BodyText"/>
        <w:spacing w:line="247" w:lineRule="auto"/>
        <w:ind w:left="117" w:right="115" w:firstLine="349"/>
        <w:jc w:val="both"/>
      </w:pPr>
      <w:r>
        <w:rPr>
          <w:color w:val="231F20"/>
        </w:rPr>
        <w:t>Esto mismo sucede en naciones como México, Ecuador y la mayoría de países centroamericanos donde los procesos emigratorios internaciona- les durante los últimos sesenta años se han masificado hacia naciones con mejores condiciones de desarrollo. Sin embargo, como lo plantea Canales (2009), el panorama actual de la migración en América Latina es radical- mente diferente del que prevalecía hace 100 años en la región, lo anterior en</w:t>
      </w:r>
      <w:r>
        <w:rPr>
          <w:color w:val="231F20"/>
          <w:spacing w:val="-6"/>
        </w:rPr>
        <w:t> </w:t>
      </w:r>
      <w:r>
        <w:rPr>
          <w:color w:val="231F20"/>
        </w:rPr>
        <w:t>cuanto</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países</w:t>
      </w:r>
      <w:r>
        <w:rPr>
          <w:color w:val="231F20"/>
          <w:spacing w:val="-6"/>
        </w:rPr>
        <w:t> </w:t>
      </w:r>
      <w:r>
        <w:rPr>
          <w:color w:val="231F20"/>
        </w:rPr>
        <w:t>de</w:t>
      </w:r>
      <w:r>
        <w:rPr>
          <w:color w:val="231F20"/>
          <w:spacing w:val="-6"/>
        </w:rPr>
        <w:t> </w:t>
      </w:r>
      <w:r>
        <w:rPr>
          <w:color w:val="231F20"/>
        </w:rPr>
        <w:t>destino,</w:t>
      </w:r>
      <w:r>
        <w:rPr>
          <w:color w:val="231F20"/>
          <w:spacing w:val="-5"/>
        </w:rPr>
        <w:t> </w:t>
      </w:r>
      <w:r>
        <w:rPr>
          <w:color w:val="231F20"/>
        </w:rPr>
        <w:t>cantidad</w:t>
      </w:r>
      <w:r>
        <w:rPr>
          <w:color w:val="231F20"/>
          <w:spacing w:val="-6"/>
        </w:rPr>
        <w:t> </w:t>
      </w:r>
      <w:r>
        <w:rPr>
          <w:color w:val="231F20"/>
        </w:rPr>
        <w:t>y</w:t>
      </w:r>
      <w:r>
        <w:rPr>
          <w:color w:val="231F20"/>
          <w:spacing w:val="-6"/>
        </w:rPr>
        <w:t> </w:t>
      </w:r>
      <w:r>
        <w:rPr>
          <w:color w:val="231F20"/>
        </w:rPr>
        <w:t>características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población emigrante.</w:t>
      </w:r>
    </w:p>
    <w:p>
      <w:pPr>
        <w:pStyle w:val="BodyText"/>
        <w:spacing w:line="247" w:lineRule="auto"/>
        <w:ind w:left="117" w:right="114" w:firstLine="283"/>
        <w:jc w:val="both"/>
      </w:pPr>
      <w:r>
        <w:rPr>
          <w:color w:val="231F20"/>
        </w:rPr>
        <w:t>Un acercamiento sobre las particularidades del fenómeno al interior de los países latinoamericanos expulsores, desde la perspectiva cuantitativa, muestra</w:t>
      </w:r>
      <w:r>
        <w:rPr>
          <w:color w:val="231F20"/>
          <w:spacing w:val="-11"/>
        </w:rPr>
        <w:t> </w:t>
      </w:r>
      <w:r>
        <w:rPr>
          <w:color w:val="231F20"/>
        </w:rPr>
        <w:t>las</w:t>
      </w:r>
      <w:r>
        <w:rPr>
          <w:color w:val="231F20"/>
          <w:spacing w:val="-10"/>
        </w:rPr>
        <w:t> </w:t>
      </w:r>
      <w:r>
        <w:rPr>
          <w:color w:val="231F20"/>
        </w:rPr>
        <w:t>tendencias</w:t>
      </w:r>
      <w:r>
        <w:rPr>
          <w:color w:val="231F20"/>
          <w:spacing w:val="-11"/>
        </w:rPr>
        <w:t> </w:t>
      </w:r>
      <w:r>
        <w:rPr>
          <w:color w:val="231F20"/>
        </w:rPr>
        <w:t>hacia</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Durand</w:t>
      </w:r>
      <w:r>
        <w:rPr>
          <w:color w:val="231F20"/>
          <w:spacing w:val="-10"/>
        </w:rPr>
        <w:t> </w:t>
      </w:r>
      <w:r>
        <w:rPr>
          <w:color w:val="231F20"/>
        </w:rPr>
        <w:t>y</w:t>
      </w:r>
      <w:r>
        <w:rPr>
          <w:color w:val="231F20"/>
          <w:spacing w:val="-10"/>
        </w:rPr>
        <w:t> </w:t>
      </w:r>
      <w:r>
        <w:rPr>
          <w:color w:val="231F20"/>
        </w:rPr>
        <w:t>Massey</w:t>
      </w:r>
      <w:r>
        <w:rPr>
          <w:color w:val="231F20"/>
          <w:spacing w:val="-10"/>
        </w:rPr>
        <w:t> </w:t>
      </w:r>
      <w:r>
        <w:rPr>
          <w:color w:val="231F20"/>
        </w:rPr>
        <w:t>(2003)</w:t>
      </w:r>
      <w:r>
        <w:rPr>
          <w:color w:val="231F20"/>
          <w:spacing w:val="-10"/>
        </w:rPr>
        <w:t> </w:t>
      </w:r>
      <w:r>
        <w:rPr>
          <w:color w:val="231F20"/>
        </w:rPr>
        <w:t>señalan</w:t>
      </w:r>
      <w:r>
        <w:rPr>
          <w:color w:val="231F20"/>
          <w:spacing w:val="-10"/>
        </w:rPr>
        <w:t> </w:t>
      </w:r>
      <w:r>
        <w:rPr>
          <w:color w:val="231F20"/>
        </w:rPr>
        <w:t>como “masificación de la migración”. Caso concreto, lo que sucede en México, país que se ha convertido en el principal aportador de inmigrantes a Esta- dos Unidos, con y sin documentos legales que les permitan su estancia y trabajo en ese país. Los flujos promedio anuales de población de México que se trasladó al país del norte en el periodo de 1995-2000, ascendió a 610 mil personas, de los que 120 mil corresponden a población fronteriza que</w:t>
      </w:r>
      <w:r>
        <w:rPr>
          <w:color w:val="231F20"/>
          <w:spacing w:val="-4"/>
        </w:rPr>
        <w:t> </w:t>
      </w:r>
      <w:r>
        <w:rPr>
          <w:color w:val="231F20"/>
        </w:rPr>
        <w:t>contaba</w:t>
      </w:r>
      <w:r>
        <w:rPr>
          <w:color w:val="231F20"/>
          <w:spacing w:val="-4"/>
        </w:rPr>
        <w:t> </w:t>
      </w:r>
      <w:r>
        <w:rPr>
          <w:color w:val="231F20"/>
        </w:rPr>
        <w:t>con</w:t>
      </w:r>
      <w:r>
        <w:rPr>
          <w:color w:val="231F20"/>
          <w:spacing w:val="-4"/>
        </w:rPr>
        <w:t> </w:t>
      </w:r>
      <w:r>
        <w:rPr>
          <w:color w:val="231F20"/>
        </w:rPr>
        <w:t>permiso</w:t>
      </w:r>
      <w:r>
        <w:rPr>
          <w:color w:val="231F20"/>
          <w:spacing w:val="-4"/>
        </w:rPr>
        <w:t> </w:t>
      </w:r>
      <w:r>
        <w:rPr>
          <w:color w:val="231F20"/>
        </w:rPr>
        <w:t>para</w:t>
      </w:r>
      <w:r>
        <w:rPr>
          <w:color w:val="231F20"/>
          <w:spacing w:val="-4"/>
        </w:rPr>
        <w:t> </w:t>
      </w:r>
      <w:r>
        <w:rPr>
          <w:color w:val="231F20"/>
        </w:rPr>
        <w:t>trabajar</w:t>
      </w:r>
      <w:r>
        <w:rPr>
          <w:color w:val="231F20"/>
          <w:spacing w:val="-4"/>
        </w:rPr>
        <w:t> </w:t>
      </w:r>
      <w:r>
        <w:rPr>
          <w:color w:val="231F20"/>
        </w:rPr>
        <w:t>del</w:t>
      </w:r>
      <w:r>
        <w:rPr>
          <w:color w:val="231F20"/>
          <w:spacing w:val="-4"/>
        </w:rPr>
        <w:t> </w:t>
      </w:r>
      <w:r>
        <w:rPr>
          <w:color w:val="231F20"/>
        </w:rPr>
        <w:t>otro</w:t>
      </w:r>
      <w:r>
        <w:rPr>
          <w:color w:val="231F20"/>
          <w:spacing w:val="-4"/>
        </w:rPr>
        <w:t> </w:t>
      </w:r>
      <w:r>
        <w:rPr>
          <w:color w:val="231F20"/>
        </w:rPr>
        <w:t>lado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frontera,</w:t>
      </w:r>
      <w:r>
        <w:rPr>
          <w:color w:val="231F20"/>
          <w:spacing w:val="-4"/>
        </w:rPr>
        <w:t> </w:t>
      </w:r>
      <w:r>
        <w:rPr>
          <w:color w:val="231F20"/>
        </w:rPr>
        <w:t>en</w:t>
      </w:r>
      <w:r>
        <w:rPr>
          <w:color w:val="231F20"/>
          <w:spacing w:val="-4"/>
        </w:rPr>
        <w:t> </w:t>
      </w:r>
      <w:r>
        <w:rPr>
          <w:color w:val="231F20"/>
        </w:rPr>
        <w:t>tanto que</w:t>
      </w:r>
      <w:r>
        <w:rPr>
          <w:color w:val="231F20"/>
          <w:spacing w:val="-6"/>
        </w:rPr>
        <w:t> </w:t>
      </w:r>
      <w:r>
        <w:rPr>
          <w:color w:val="231F20"/>
        </w:rPr>
        <w:t>490</w:t>
      </w:r>
      <w:r>
        <w:rPr>
          <w:color w:val="231F20"/>
          <w:spacing w:val="-6"/>
        </w:rPr>
        <w:t> </w:t>
      </w:r>
      <w:r>
        <w:rPr>
          <w:color w:val="231F20"/>
        </w:rPr>
        <w:t>mil</w:t>
      </w:r>
      <w:r>
        <w:rPr>
          <w:color w:val="231F20"/>
          <w:spacing w:val="-6"/>
        </w:rPr>
        <w:t> </w:t>
      </w:r>
      <w:r>
        <w:rPr>
          <w:color w:val="231F20"/>
        </w:rPr>
        <w:t>pertenecen</w:t>
      </w:r>
      <w:r>
        <w:rPr>
          <w:color w:val="231F20"/>
          <w:spacing w:val="-6"/>
        </w:rPr>
        <w:t> </w:t>
      </w:r>
      <w:r>
        <w:rPr>
          <w:color w:val="231F20"/>
        </w:rPr>
        <w:t>a</w:t>
      </w:r>
      <w:r>
        <w:rPr>
          <w:color w:val="231F20"/>
          <w:spacing w:val="-6"/>
        </w:rPr>
        <w:t> </w:t>
      </w:r>
      <w:r>
        <w:rPr>
          <w:color w:val="231F20"/>
        </w:rPr>
        <w:t>estados</w:t>
      </w:r>
      <w:r>
        <w:rPr>
          <w:color w:val="231F20"/>
          <w:spacing w:val="-6"/>
        </w:rPr>
        <w:t> </w:t>
      </w:r>
      <w:r>
        <w:rPr>
          <w:color w:val="231F20"/>
        </w:rPr>
        <w:t>no</w:t>
      </w:r>
      <w:r>
        <w:rPr>
          <w:color w:val="231F20"/>
          <w:spacing w:val="-6"/>
        </w:rPr>
        <w:t> </w:t>
      </w:r>
      <w:r>
        <w:rPr>
          <w:color w:val="231F20"/>
        </w:rPr>
        <w:t>fronterizos;</w:t>
      </w:r>
      <w:r>
        <w:rPr>
          <w:color w:val="231F20"/>
          <w:spacing w:val="-6"/>
        </w:rPr>
        <w:t> </w:t>
      </w:r>
      <w:r>
        <w:rPr>
          <w:color w:val="231F20"/>
        </w:rPr>
        <w:t>de</w:t>
      </w:r>
      <w:r>
        <w:rPr>
          <w:color w:val="231F20"/>
          <w:spacing w:val="-6"/>
        </w:rPr>
        <w:t> </w:t>
      </w:r>
      <w:r>
        <w:rPr>
          <w:color w:val="231F20"/>
        </w:rPr>
        <w:t>estos,</w:t>
      </w:r>
      <w:r>
        <w:rPr>
          <w:color w:val="231F20"/>
          <w:spacing w:val="-6"/>
        </w:rPr>
        <w:t> </w:t>
      </w:r>
      <w:r>
        <w:rPr>
          <w:color w:val="231F20"/>
        </w:rPr>
        <w:t>únicamente</w:t>
      </w:r>
      <w:r>
        <w:rPr>
          <w:color w:val="231F20"/>
          <w:spacing w:val="-6"/>
        </w:rPr>
        <w:t> </w:t>
      </w:r>
      <w:r>
        <w:rPr>
          <w:color w:val="231F20"/>
        </w:rPr>
        <w:t>36.7 por</w:t>
      </w:r>
      <w:r>
        <w:rPr>
          <w:color w:val="231F20"/>
          <w:spacing w:val="-9"/>
        </w:rPr>
        <w:t> </w:t>
      </w:r>
      <w:r>
        <w:rPr>
          <w:color w:val="231F20"/>
        </w:rPr>
        <w:t>ciento</w:t>
      </w:r>
      <w:r>
        <w:rPr>
          <w:color w:val="231F20"/>
          <w:spacing w:val="-9"/>
        </w:rPr>
        <w:t> </w:t>
      </w:r>
      <w:r>
        <w:rPr>
          <w:color w:val="231F20"/>
        </w:rPr>
        <w:t>poseían</w:t>
      </w:r>
      <w:r>
        <w:rPr>
          <w:color w:val="231F20"/>
          <w:spacing w:val="-8"/>
        </w:rPr>
        <w:t> </w:t>
      </w:r>
      <w:r>
        <w:rPr>
          <w:color w:val="231F20"/>
        </w:rPr>
        <w:t>documentos</w:t>
      </w:r>
      <w:r>
        <w:rPr>
          <w:color w:val="231F20"/>
          <w:spacing w:val="-8"/>
        </w:rPr>
        <w:t> </w:t>
      </w:r>
      <w:r>
        <w:rPr>
          <w:color w:val="231F20"/>
        </w:rPr>
        <w:t>para</w:t>
      </w:r>
      <w:r>
        <w:rPr>
          <w:color w:val="231F20"/>
          <w:spacing w:val="-8"/>
        </w:rPr>
        <w:t> </w:t>
      </w:r>
      <w:r>
        <w:rPr>
          <w:color w:val="231F20"/>
        </w:rPr>
        <w:t>trabajar</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país</w:t>
      </w:r>
      <w:r>
        <w:rPr>
          <w:color w:val="231F20"/>
          <w:spacing w:val="-8"/>
        </w:rPr>
        <w:t> </w:t>
      </w:r>
      <w:r>
        <w:rPr>
          <w:color w:val="231F20"/>
        </w:rPr>
        <w:t>del</w:t>
      </w:r>
      <w:r>
        <w:rPr>
          <w:color w:val="231F20"/>
          <w:spacing w:val="-8"/>
        </w:rPr>
        <w:t> </w:t>
      </w:r>
      <w:r>
        <w:rPr>
          <w:color w:val="231F20"/>
        </w:rPr>
        <w:t>Norte</w:t>
      </w:r>
      <w:r>
        <w:rPr>
          <w:color w:val="231F20"/>
          <w:spacing w:val="-8"/>
        </w:rPr>
        <w:t> </w:t>
      </w:r>
      <w:r>
        <w:rPr>
          <w:color w:val="231F20"/>
        </w:rPr>
        <w:t>y</w:t>
      </w:r>
      <w:r>
        <w:rPr>
          <w:color w:val="231F20"/>
          <w:spacing w:val="-9"/>
        </w:rPr>
        <w:t> </w:t>
      </w:r>
      <w:r>
        <w:rPr>
          <w:color w:val="231F20"/>
        </w:rPr>
        <w:t>63.3</w:t>
      </w:r>
      <w:r>
        <w:rPr>
          <w:color w:val="231F20"/>
          <w:spacing w:val="-9"/>
        </w:rPr>
        <w:t> </w:t>
      </w:r>
      <w:r>
        <w:rPr>
          <w:color w:val="231F20"/>
        </w:rPr>
        <w:t>por</w:t>
      </w:r>
    </w:p>
    <w:p>
      <w:pPr>
        <w:spacing w:after="0" w:line="247" w:lineRule="auto"/>
        <w:jc w:val="both"/>
        <w:sectPr>
          <w:footerReference w:type="default" r:id="rId65"/>
          <w:pgSz w:w="9360" w:h="13040"/>
          <w:pgMar w:footer="496" w:header="0" w:top="840" w:bottom="680" w:left="1300" w:right="1300"/>
        </w:sectPr>
      </w:pPr>
    </w:p>
    <w:p>
      <w:pPr>
        <w:spacing w:before="45"/>
        <w:ind w:left="117" w:right="0" w:firstLine="331"/>
        <w:jc w:val="both"/>
        <w:rPr>
          <w:rFonts w:ascii="Arial" w:hAnsi="Arial"/>
          <w:sz w:val="20"/>
        </w:rPr>
      </w:pPr>
      <w:r>
        <w:rPr>
          <w:rFonts w:ascii="Arial" w:hAnsi="Arial"/>
          <w:color w:val="231F20"/>
          <w:w w:val="70"/>
          <w:sz w:val="20"/>
        </w:rPr>
        <w:t>Globalización</w:t>
      </w:r>
      <w:r>
        <w:rPr>
          <w:rFonts w:ascii="Arial" w:hAnsi="Arial"/>
          <w:color w:val="231F20"/>
          <w:spacing w:val="-15"/>
          <w:w w:val="70"/>
          <w:sz w:val="20"/>
        </w:rPr>
        <w:t> </w:t>
      </w:r>
      <w:r>
        <w:rPr>
          <w:rFonts w:ascii="Arial" w:hAnsi="Arial"/>
          <w:color w:val="231F20"/>
          <w:w w:val="70"/>
          <w:sz w:val="20"/>
        </w:rPr>
        <w:t>y</w:t>
      </w:r>
      <w:r>
        <w:rPr>
          <w:rFonts w:ascii="Arial" w:hAnsi="Arial"/>
          <w:color w:val="231F20"/>
          <w:spacing w:val="-15"/>
          <w:w w:val="70"/>
          <w:sz w:val="20"/>
        </w:rPr>
        <w:t> </w:t>
      </w:r>
      <w:r>
        <w:rPr>
          <w:rFonts w:ascii="Arial" w:hAnsi="Arial"/>
          <w:color w:val="231F20"/>
          <w:w w:val="70"/>
          <w:sz w:val="20"/>
        </w:rPr>
        <w:t>emigración</w:t>
      </w:r>
      <w:r>
        <w:rPr>
          <w:rFonts w:ascii="Arial" w:hAnsi="Arial"/>
          <w:color w:val="231F20"/>
          <w:spacing w:val="-15"/>
          <w:w w:val="70"/>
          <w:sz w:val="20"/>
        </w:rPr>
        <w:t> </w:t>
      </w:r>
      <w:r>
        <w:rPr>
          <w:rFonts w:ascii="Arial" w:hAnsi="Arial"/>
          <w:color w:val="231F20"/>
          <w:w w:val="70"/>
          <w:sz w:val="20"/>
        </w:rPr>
        <w:t>latinoamericana</w:t>
      </w:r>
      <w:r>
        <w:rPr>
          <w:rFonts w:ascii="Arial" w:hAnsi="Arial"/>
          <w:color w:val="231F20"/>
          <w:spacing w:val="-15"/>
          <w:w w:val="70"/>
          <w:sz w:val="20"/>
        </w:rPr>
        <w:t> </w:t>
      </w:r>
      <w:r>
        <w:rPr>
          <w:rFonts w:ascii="Arial" w:hAnsi="Arial"/>
          <w:color w:val="231F20"/>
          <w:w w:val="70"/>
          <w:sz w:val="20"/>
        </w:rPr>
        <w:t>y</w:t>
      </w:r>
      <w:r>
        <w:rPr>
          <w:rFonts w:ascii="Arial" w:hAnsi="Arial"/>
          <w:color w:val="231F20"/>
          <w:spacing w:val="-15"/>
          <w:w w:val="70"/>
          <w:sz w:val="20"/>
        </w:rPr>
        <w:t> </w:t>
      </w:r>
      <w:r>
        <w:rPr>
          <w:rFonts w:ascii="Arial" w:hAnsi="Arial"/>
          <w:color w:val="231F20"/>
          <w:w w:val="70"/>
          <w:sz w:val="20"/>
        </w:rPr>
        <w:t>caribeña</w:t>
      </w:r>
      <w:r>
        <w:rPr>
          <w:rFonts w:ascii="Arial" w:hAnsi="Arial"/>
          <w:color w:val="231F20"/>
          <w:spacing w:val="-15"/>
          <w:w w:val="70"/>
          <w:sz w:val="20"/>
        </w:rPr>
        <w:t> </w:t>
      </w:r>
      <w:r>
        <w:rPr>
          <w:rFonts w:ascii="Arial" w:hAnsi="Arial"/>
          <w:color w:val="231F20"/>
          <w:w w:val="70"/>
          <w:sz w:val="20"/>
        </w:rPr>
        <w:t>a</w:t>
      </w:r>
      <w:r>
        <w:rPr>
          <w:rFonts w:ascii="Arial" w:hAnsi="Arial"/>
          <w:color w:val="231F20"/>
          <w:spacing w:val="-15"/>
          <w:w w:val="70"/>
          <w:sz w:val="20"/>
        </w:rPr>
        <w:t> </w:t>
      </w:r>
      <w:r>
        <w:rPr>
          <w:rFonts w:ascii="Arial" w:hAnsi="Arial"/>
          <w:color w:val="231F20"/>
          <w:w w:val="70"/>
          <w:sz w:val="20"/>
        </w:rPr>
        <w:t>Estados</w:t>
      </w:r>
      <w:r>
        <w:rPr>
          <w:rFonts w:ascii="Arial" w:hAnsi="Arial"/>
          <w:color w:val="231F20"/>
          <w:spacing w:val="-15"/>
          <w:w w:val="70"/>
          <w:sz w:val="20"/>
        </w:rPr>
        <w:t> </w:t>
      </w:r>
      <w:r>
        <w:rPr>
          <w:rFonts w:ascii="Arial" w:hAnsi="Arial"/>
          <w:color w:val="231F20"/>
          <w:w w:val="70"/>
          <w:sz w:val="20"/>
        </w:rPr>
        <w:t>Unidos</w:t>
      </w:r>
      <w:r>
        <w:rPr>
          <w:rFonts w:ascii="Arial" w:hAnsi="Arial"/>
          <w:color w:val="231F20"/>
          <w:spacing w:val="-15"/>
          <w:w w:val="70"/>
          <w:sz w:val="20"/>
        </w:rPr>
        <w:t> </w:t>
      </w:r>
      <w:r>
        <w:rPr>
          <w:rFonts w:ascii="Arial" w:hAnsi="Arial"/>
          <w:color w:val="231F20"/>
          <w:w w:val="70"/>
          <w:sz w:val="20"/>
        </w:rPr>
        <w:t>/Ramiro</w:t>
      </w:r>
      <w:r>
        <w:rPr>
          <w:rFonts w:ascii="Arial" w:hAnsi="Arial"/>
          <w:color w:val="231F20"/>
          <w:spacing w:val="-22"/>
          <w:w w:val="70"/>
          <w:sz w:val="20"/>
        </w:rPr>
        <w:t> </w:t>
      </w:r>
      <w:r>
        <w:rPr>
          <w:rFonts w:ascii="Arial" w:hAnsi="Arial"/>
          <w:color w:val="231F20"/>
          <w:w w:val="70"/>
          <w:sz w:val="20"/>
        </w:rPr>
        <w:t>Morales-Hernández</w:t>
      </w:r>
    </w:p>
    <w:p>
      <w:pPr>
        <w:pStyle w:val="BodyText"/>
        <w:spacing w:before="7"/>
        <w:rPr>
          <w:rFonts w:ascii="Arial"/>
          <w:sz w:val="28"/>
        </w:rPr>
      </w:pPr>
    </w:p>
    <w:p>
      <w:pPr>
        <w:pStyle w:val="BodyText"/>
        <w:spacing w:line="247" w:lineRule="auto"/>
        <w:ind w:left="117" w:right="115"/>
        <w:jc w:val="both"/>
      </w:pPr>
      <w:r>
        <w:rPr>
          <w:color w:val="231F20"/>
        </w:rPr>
        <w:t>ciento</w:t>
      </w:r>
      <w:r>
        <w:rPr>
          <w:color w:val="231F20"/>
          <w:spacing w:val="-10"/>
        </w:rPr>
        <w:t> </w:t>
      </w:r>
      <w:r>
        <w:rPr>
          <w:color w:val="231F20"/>
        </w:rPr>
        <w:t>restante</w:t>
      </w:r>
      <w:r>
        <w:rPr>
          <w:color w:val="231F20"/>
          <w:spacing w:val="-10"/>
        </w:rPr>
        <w:t> </w:t>
      </w:r>
      <w:r>
        <w:rPr>
          <w:color w:val="231F20"/>
        </w:rPr>
        <w:t>era</w:t>
      </w:r>
      <w:r>
        <w:rPr>
          <w:color w:val="231F20"/>
          <w:spacing w:val="-10"/>
        </w:rPr>
        <w:t> </w:t>
      </w:r>
      <w:r>
        <w:rPr>
          <w:color w:val="231F20"/>
        </w:rPr>
        <w:t>población</w:t>
      </w:r>
      <w:r>
        <w:rPr>
          <w:color w:val="231F20"/>
          <w:spacing w:val="-10"/>
        </w:rPr>
        <w:t> </w:t>
      </w:r>
      <w:r>
        <w:rPr>
          <w:color w:val="231F20"/>
        </w:rPr>
        <w:t>trabajadora</w:t>
      </w:r>
      <w:r>
        <w:rPr>
          <w:color w:val="231F20"/>
          <w:spacing w:val="-10"/>
        </w:rPr>
        <w:t> </w:t>
      </w:r>
      <w:r>
        <w:rPr>
          <w:color w:val="231F20"/>
        </w:rPr>
        <w:t>indefensa</w:t>
      </w:r>
      <w:r>
        <w:rPr>
          <w:color w:val="231F20"/>
          <w:spacing w:val="-10"/>
        </w:rPr>
        <w:t> </w:t>
      </w:r>
      <w:r>
        <w:rPr>
          <w:color w:val="231F20"/>
        </w:rPr>
        <w:t>laboralmente</w:t>
      </w:r>
      <w:r>
        <w:rPr>
          <w:color w:val="231F20"/>
          <w:spacing w:val="-11"/>
        </w:rPr>
        <w:t> </w:t>
      </w:r>
      <w:r>
        <w:rPr>
          <w:color w:val="231F20"/>
        </w:rPr>
        <w:t>hablando, que se contrataba con bajos salarios y bajo las peores condiciones de em- pleo (CONAPO,</w:t>
      </w:r>
      <w:r>
        <w:rPr>
          <w:color w:val="231F20"/>
          <w:spacing w:val="-1"/>
        </w:rPr>
        <w:t> </w:t>
      </w:r>
      <w:r>
        <w:rPr>
          <w:color w:val="231F20"/>
        </w:rPr>
        <w:t>2004).</w:t>
      </w:r>
    </w:p>
    <w:p>
      <w:pPr>
        <w:pStyle w:val="BodyText"/>
        <w:spacing w:line="247" w:lineRule="auto"/>
        <w:ind w:left="117" w:right="114" w:firstLine="283"/>
        <w:jc w:val="both"/>
      </w:pPr>
      <w:r>
        <w:rPr>
          <w:color w:val="231F20"/>
        </w:rPr>
        <w:t>Una fuente más de información que indica la magnitud del fenómeno en</w:t>
      </w:r>
      <w:r>
        <w:rPr>
          <w:color w:val="231F20"/>
          <w:spacing w:val="-6"/>
        </w:rPr>
        <w:t> </w:t>
      </w:r>
      <w:r>
        <w:rPr>
          <w:color w:val="231F20"/>
        </w:rPr>
        <w:t>México</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Encuesta</w:t>
      </w:r>
      <w:r>
        <w:rPr>
          <w:color w:val="231F20"/>
          <w:spacing w:val="-7"/>
        </w:rPr>
        <w:t> </w:t>
      </w:r>
      <w:r>
        <w:rPr>
          <w:color w:val="231F20"/>
        </w:rPr>
        <w:t>Nacional</w:t>
      </w:r>
      <w:r>
        <w:rPr>
          <w:color w:val="231F20"/>
          <w:spacing w:val="-6"/>
        </w:rPr>
        <w:t> </w:t>
      </w:r>
      <w:r>
        <w:rPr>
          <w:color w:val="231F20"/>
        </w:rPr>
        <w:t>de</w:t>
      </w:r>
      <w:r>
        <w:rPr>
          <w:color w:val="231F20"/>
          <w:spacing w:val="-6"/>
        </w:rPr>
        <w:t> </w:t>
      </w:r>
      <w:r>
        <w:rPr>
          <w:color w:val="231F20"/>
        </w:rPr>
        <w:t>Ocupación</w:t>
      </w:r>
      <w:r>
        <w:rPr>
          <w:color w:val="231F20"/>
          <w:spacing w:val="-6"/>
        </w:rPr>
        <w:t> </w:t>
      </w:r>
      <w:r>
        <w:rPr>
          <w:color w:val="231F20"/>
        </w:rPr>
        <w:t>y</w:t>
      </w:r>
      <w:r>
        <w:rPr>
          <w:color w:val="231F20"/>
          <w:spacing w:val="-6"/>
        </w:rPr>
        <w:t> </w:t>
      </w:r>
      <w:r>
        <w:rPr>
          <w:color w:val="231F20"/>
        </w:rPr>
        <w:t>Empleo</w:t>
      </w:r>
      <w:r>
        <w:rPr>
          <w:color w:val="231F20"/>
          <w:spacing w:val="-7"/>
        </w:rPr>
        <w:t> </w:t>
      </w:r>
      <w:r>
        <w:rPr>
          <w:color w:val="231F20"/>
        </w:rPr>
        <w:t>(ENOE),</w:t>
      </w:r>
      <w:r>
        <w:rPr>
          <w:color w:val="231F20"/>
          <w:spacing w:val="-6"/>
        </w:rPr>
        <w:t> </w:t>
      </w:r>
      <w:r>
        <w:rPr>
          <w:color w:val="231F20"/>
        </w:rPr>
        <w:t>don- de se indica que aun cuando la salida de emigrantes mexicanos disminuyó en</w:t>
      </w:r>
      <w:r>
        <w:rPr>
          <w:color w:val="231F20"/>
          <w:spacing w:val="-6"/>
        </w:rPr>
        <w:t> </w:t>
      </w:r>
      <w:r>
        <w:rPr>
          <w:color w:val="231F20"/>
        </w:rPr>
        <w:t>poco</w:t>
      </w:r>
      <w:r>
        <w:rPr>
          <w:color w:val="231F20"/>
          <w:spacing w:val="-6"/>
        </w:rPr>
        <w:t> </w:t>
      </w:r>
      <w:r>
        <w:rPr>
          <w:color w:val="231F20"/>
        </w:rPr>
        <w:t>más</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millón</w:t>
      </w:r>
      <w:r>
        <w:rPr>
          <w:color w:val="231F20"/>
          <w:spacing w:val="-6"/>
        </w:rPr>
        <w:t> </w:t>
      </w:r>
      <w:r>
        <w:rPr>
          <w:color w:val="231F20"/>
        </w:rPr>
        <w:t>en</w:t>
      </w:r>
      <w:r>
        <w:rPr>
          <w:color w:val="231F20"/>
          <w:spacing w:val="-6"/>
        </w:rPr>
        <w:t> </w:t>
      </w:r>
      <w:r>
        <w:rPr>
          <w:color w:val="231F20"/>
        </w:rPr>
        <w:t>2006</w:t>
      </w:r>
      <w:r>
        <w:rPr>
          <w:color w:val="231F20"/>
          <w:spacing w:val="-6"/>
        </w:rPr>
        <w:t> </w:t>
      </w:r>
      <w:r>
        <w:rPr>
          <w:color w:val="231F20"/>
        </w:rPr>
        <w:t>a</w:t>
      </w:r>
      <w:r>
        <w:rPr>
          <w:color w:val="231F20"/>
          <w:spacing w:val="-6"/>
        </w:rPr>
        <w:t> </w:t>
      </w:r>
      <w:r>
        <w:rPr>
          <w:color w:val="231F20"/>
        </w:rPr>
        <w:t>400</w:t>
      </w:r>
      <w:r>
        <w:rPr>
          <w:color w:val="231F20"/>
          <w:spacing w:val="-6"/>
        </w:rPr>
        <w:t> </w:t>
      </w:r>
      <w:r>
        <w:rPr>
          <w:color w:val="231F20"/>
        </w:rPr>
        <w:t>mil</w:t>
      </w:r>
      <w:r>
        <w:rPr>
          <w:color w:val="231F20"/>
          <w:spacing w:val="-6"/>
        </w:rPr>
        <w:t> </w:t>
      </w:r>
      <w:r>
        <w:rPr>
          <w:color w:val="231F20"/>
        </w:rPr>
        <w:t>en</w:t>
      </w:r>
      <w:r>
        <w:rPr>
          <w:color w:val="231F20"/>
          <w:spacing w:val="-6"/>
        </w:rPr>
        <w:t> </w:t>
      </w:r>
      <w:r>
        <w:rPr>
          <w:color w:val="231F20"/>
        </w:rPr>
        <w:t>2010</w:t>
      </w:r>
      <w:r>
        <w:rPr>
          <w:color w:val="231F20"/>
          <w:spacing w:val="-6"/>
        </w:rPr>
        <w:t> </w:t>
      </w:r>
      <w:r>
        <w:rPr>
          <w:color w:val="231F20"/>
        </w:rPr>
        <w:t>y</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población</w:t>
      </w:r>
      <w:r>
        <w:rPr>
          <w:color w:val="231F20"/>
          <w:spacing w:val="-5"/>
        </w:rPr>
        <w:t> </w:t>
      </w:r>
      <w:r>
        <w:rPr>
          <w:color w:val="231F20"/>
        </w:rPr>
        <w:t>de mexicanos en Estados Unidos de América la constituían en 2007, aproxi- madamente 12 millones de personas, de las que para 2010 disminuyeron a </w:t>
      </w:r>
      <w:r>
        <w:rPr>
          <w:color w:val="231F20"/>
          <w:spacing w:val="-5"/>
        </w:rPr>
        <w:t>11</w:t>
      </w:r>
      <w:r>
        <w:rPr>
          <w:color w:val="231F20"/>
          <w:spacing w:val="-12"/>
        </w:rPr>
        <w:t> </w:t>
      </w:r>
      <w:r>
        <w:rPr>
          <w:color w:val="231F20"/>
        </w:rPr>
        <w:t>millones,</w:t>
      </w:r>
      <w:r>
        <w:rPr>
          <w:color w:val="231F20"/>
          <w:spacing w:val="-12"/>
        </w:rPr>
        <w:t> </w:t>
      </w:r>
      <w:r>
        <w:rPr>
          <w:color w:val="231F20"/>
        </w:rPr>
        <w:t>es</w:t>
      </w:r>
      <w:r>
        <w:rPr>
          <w:color w:val="231F20"/>
          <w:spacing w:val="-12"/>
        </w:rPr>
        <w:t> </w:t>
      </w:r>
      <w:r>
        <w:rPr>
          <w:color w:val="231F20"/>
        </w:rPr>
        <w:t>prematuro</w:t>
      </w:r>
      <w:r>
        <w:rPr>
          <w:color w:val="231F20"/>
          <w:spacing w:val="-12"/>
        </w:rPr>
        <w:t> </w:t>
      </w:r>
      <w:r>
        <w:rPr>
          <w:color w:val="231F20"/>
        </w:rPr>
        <w:t>pensar</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inflexión</w:t>
      </w:r>
      <w:r>
        <w:rPr>
          <w:color w:val="231F20"/>
          <w:spacing w:val="-12"/>
        </w:rPr>
        <w:t> </w:t>
      </w:r>
      <w:r>
        <w:rPr>
          <w:color w:val="231F20"/>
        </w:rPr>
        <w:t>del</w:t>
      </w:r>
      <w:r>
        <w:rPr>
          <w:color w:val="231F20"/>
          <w:spacing w:val="-12"/>
        </w:rPr>
        <w:t> </w:t>
      </w:r>
      <w:r>
        <w:rPr>
          <w:color w:val="231F20"/>
        </w:rPr>
        <w:t>proceso</w:t>
      </w:r>
      <w:r>
        <w:rPr>
          <w:color w:val="231F20"/>
          <w:spacing w:val="-12"/>
        </w:rPr>
        <w:t> </w:t>
      </w:r>
      <w:r>
        <w:rPr>
          <w:color w:val="231F20"/>
        </w:rPr>
        <w:t>migratorio</w:t>
      </w:r>
      <w:r>
        <w:rPr>
          <w:color w:val="231F20"/>
          <w:spacing w:val="-12"/>
        </w:rPr>
        <w:t> </w:t>
      </w:r>
      <w:r>
        <w:rPr>
          <w:color w:val="231F20"/>
        </w:rPr>
        <w:t>en México</w:t>
      </w:r>
      <w:r>
        <w:rPr>
          <w:color w:val="231F20"/>
          <w:spacing w:val="-5"/>
        </w:rPr>
        <w:t> </w:t>
      </w:r>
      <w:r>
        <w:rPr>
          <w:color w:val="231F20"/>
        </w:rPr>
        <w:t>es</w:t>
      </w:r>
      <w:r>
        <w:rPr>
          <w:color w:val="231F20"/>
          <w:spacing w:val="-6"/>
        </w:rPr>
        <w:t> </w:t>
      </w:r>
      <w:r>
        <w:rPr>
          <w:color w:val="231F20"/>
        </w:rPr>
        <w:t>permanente,</w:t>
      </w:r>
      <w:r>
        <w:rPr>
          <w:color w:val="231F20"/>
          <w:spacing w:val="-5"/>
        </w:rPr>
        <w:t> </w:t>
      </w:r>
      <w:r>
        <w:rPr>
          <w:color w:val="231F20"/>
        </w:rPr>
        <w:t>dado</w:t>
      </w:r>
      <w:r>
        <w:rPr>
          <w:color w:val="231F20"/>
          <w:spacing w:val="-5"/>
        </w:rPr>
        <w:t> </w:t>
      </w:r>
      <w:r>
        <w:rPr>
          <w:color w:val="231F20"/>
        </w:rPr>
        <w:t>que</w:t>
      </w:r>
      <w:r>
        <w:rPr>
          <w:color w:val="231F20"/>
          <w:spacing w:val="-5"/>
        </w:rPr>
        <w:t> </w:t>
      </w:r>
      <w:r>
        <w:rPr>
          <w:color w:val="231F20"/>
        </w:rPr>
        <w:t>ello</w:t>
      </w:r>
      <w:r>
        <w:rPr>
          <w:color w:val="231F20"/>
          <w:spacing w:val="-6"/>
        </w:rPr>
        <w:t> </w:t>
      </w:r>
      <w:r>
        <w:rPr>
          <w:color w:val="231F20"/>
        </w:rPr>
        <w:t>dependerá</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postura</w:t>
      </w:r>
      <w:r>
        <w:rPr>
          <w:color w:val="231F20"/>
          <w:spacing w:val="-5"/>
        </w:rPr>
        <w:t> </w:t>
      </w:r>
      <w:r>
        <w:rPr>
          <w:color w:val="231F20"/>
        </w:rPr>
        <w:t>de</w:t>
      </w:r>
      <w:r>
        <w:rPr>
          <w:color w:val="231F20"/>
          <w:spacing w:val="-5"/>
        </w:rPr>
        <w:t> </w:t>
      </w:r>
      <w:r>
        <w:rPr>
          <w:color w:val="231F20"/>
        </w:rPr>
        <w:t>los</w:t>
      </w:r>
      <w:r>
        <w:rPr>
          <w:color w:val="231F20"/>
          <w:spacing w:val="-6"/>
        </w:rPr>
        <w:t> </w:t>
      </w:r>
      <w:r>
        <w:rPr>
          <w:color w:val="231F20"/>
        </w:rPr>
        <w:t>facto- res económicos, de regulación y control fronterizo que se han implemen- tado y que han propiciado la disminución de la inflexión (Alba, 2011:</w:t>
      </w:r>
      <w:r>
        <w:rPr>
          <w:color w:val="231F20"/>
          <w:spacing w:val="-21"/>
        </w:rPr>
        <w:t> </w:t>
      </w:r>
      <w:r>
        <w:rPr>
          <w:color w:val="231F20"/>
        </w:rPr>
        <w:t>9).</w:t>
      </w:r>
    </w:p>
    <w:p>
      <w:pPr>
        <w:pStyle w:val="BodyText"/>
        <w:spacing w:line="247" w:lineRule="auto"/>
        <w:ind w:left="117" w:right="114" w:firstLine="366"/>
        <w:jc w:val="both"/>
      </w:pPr>
      <w:r>
        <w:rPr>
          <w:color w:val="231F20"/>
        </w:rPr>
        <w:t>Por su parte, la migración internacional de países centroamericanos   y caribeños cuyos flujos emigratorios desde los años 1960 y hasta los de 1980 se presentaban por conflictos políticos, se ha incrementado sustanti- vamente.</w:t>
      </w:r>
      <w:r>
        <w:rPr>
          <w:color w:val="231F20"/>
          <w:spacing w:val="-14"/>
        </w:rPr>
        <w:t> </w:t>
      </w:r>
      <w:r>
        <w:rPr>
          <w:color w:val="231F20"/>
        </w:rPr>
        <w:t>A</w:t>
      </w:r>
      <w:r>
        <w:rPr>
          <w:color w:val="231F20"/>
          <w:spacing w:val="-14"/>
        </w:rPr>
        <w:t> </w:t>
      </w:r>
      <w:r>
        <w:rPr>
          <w:color w:val="231F20"/>
        </w:rPr>
        <w:t>partir</w:t>
      </w:r>
      <w:r>
        <w:rPr>
          <w:color w:val="231F20"/>
          <w:spacing w:val="-2"/>
        </w:rPr>
        <w:t> </w:t>
      </w:r>
      <w:r>
        <w:rPr>
          <w:color w:val="231F20"/>
        </w:rPr>
        <w:t>de</w:t>
      </w:r>
      <w:r>
        <w:rPr>
          <w:color w:val="231F20"/>
          <w:spacing w:val="-2"/>
        </w:rPr>
        <w:t> </w:t>
      </w:r>
      <w:r>
        <w:rPr>
          <w:color w:val="231F20"/>
        </w:rPr>
        <w:t>la</w:t>
      </w:r>
      <w:r>
        <w:rPr>
          <w:color w:val="231F20"/>
          <w:spacing w:val="-2"/>
        </w:rPr>
        <w:t> </w:t>
      </w:r>
      <w:r>
        <w:rPr>
          <w:color w:val="231F20"/>
        </w:rPr>
        <w:t>década</w:t>
      </w:r>
      <w:r>
        <w:rPr>
          <w:color w:val="231F20"/>
          <w:spacing w:val="-2"/>
        </w:rPr>
        <w:t> </w:t>
      </w:r>
      <w:r>
        <w:rPr>
          <w:color w:val="231F20"/>
        </w:rPr>
        <w:t>de</w:t>
      </w:r>
      <w:r>
        <w:rPr>
          <w:color w:val="231F20"/>
          <w:spacing w:val="-2"/>
        </w:rPr>
        <w:t> </w:t>
      </w:r>
      <w:r>
        <w:rPr>
          <w:color w:val="231F20"/>
        </w:rPr>
        <w:t>1990</w:t>
      </w:r>
      <w:r>
        <w:rPr>
          <w:color w:val="231F20"/>
          <w:spacing w:val="-2"/>
        </w:rPr>
        <w:t> </w:t>
      </w:r>
      <w:r>
        <w:rPr>
          <w:color w:val="231F20"/>
        </w:rPr>
        <w:t>las</w:t>
      </w:r>
      <w:r>
        <w:rPr>
          <w:color w:val="231F20"/>
          <w:spacing w:val="-2"/>
        </w:rPr>
        <w:t> </w:t>
      </w:r>
      <w:r>
        <w:rPr>
          <w:color w:val="231F20"/>
        </w:rPr>
        <w:t>causas</w:t>
      </w:r>
      <w:r>
        <w:rPr>
          <w:color w:val="231F20"/>
          <w:spacing w:val="-2"/>
        </w:rPr>
        <w:t> </w:t>
      </w:r>
      <w:r>
        <w:rPr>
          <w:color w:val="231F20"/>
        </w:rPr>
        <w:t>de</w:t>
      </w:r>
      <w:r>
        <w:rPr>
          <w:color w:val="231F20"/>
          <w:spacing w:val="-2"/>
        </w:rPr>
        <w:t> </w:t>
      </w:r>
      <w:r>
        <w:rPr>
          <w:color w:val="231F20"/>
        </w:rPr>
        <w:t>la</w:t>
      </w:r>
      <w:r>
        <w:rPr>
          <w:color w:val="231F20"/>
          <w:spacing w:val="-2"/>
        </w:rPr>
        <w:t> </w:t>
      </w:r>
      <w:r>
        <w:rPr>
          <w:color w:val="231F20"/>
        </w:rPr>
        <w:t>migración</w:t>
      </w:r>
      <w:r>
        <w:rPr>
          <w:color w:val="231F20"/>
          <w:spacing w:val="-2"/>
        </w:rPr>
        <w:t> </w:t>
      </w:r>
      <w:r>
        <w:rPr>
          <w:color w:val="231F20"/>
        </w:rPr>
        <w:t>cambia- ron, sobre todo por el deseo de mejorar condiciones de vida. En la</w:t>
      </w:r>
      <w:r>
        <w:rPr>
          <w:color w:val="231F20"/>
          <w:spacing w:val="-20"/>
        </w:rPr>
        <w:t> </w:t>
      </w:r>
      <w:r>
        <w:rPr>
          <w:color w:val="231F20"/>
        </w:rPr>
        <w:t>actuali- dad</w:t>
      </w:r>
      <w:r>
        <w:rPr>
          <w:color w:val="231F20"/>
          <w:spacing w:val="-7"/>
        </w:rPr>
        <w:t> </w:t>
      </w:r>
      <w:r>
        <w:rPr>
          <w:color w:val="231F20"/>
        </w:rPr>
        <w:t>participa</w:t>
      </w:r>
      <w:r>
        <w:rPr>
          <w:color w:val="231F20"/>
          <w:spacing w:val="-7"/>
        </w:rPr>
        <w:t> </w:t>
      </w:r>
      <w:r>
        <w:rPr>
          <w:color w:val="231F20"/>
        </w:rPr>
        <w:t>un</w:t>
      </w:r>
      <w:r>
        <w:rPr>
          <w:color w:val="231F20"/>
          <w:spacing w:val="-7"/>
        </w:rPr>
        <w:t> </w:t>
      </w:r>
      <w:r>
        <w:rPr>
          <w:color w:val="231F20"/>
        </w:rPr>
        <w:t>mayor</w:t>
      </w:r>
      <w:r>
        <w:rPr>
          <w:color w:val="231F20"/>
          <w:spacing w:val="-8"/>
        </w:rPr>
        <w:t> </w:t>
      </w:r>
      <w:r>
        <w:rPr>
          <w:color w:val="231F20"/>
        </w:rPr>
        <w:t>número</w:t>
      </w:r>
      <w:r>
        <w:rPr>
          <w:color w:val="231F20"/>
          <w:spacing w:val="-7"/>
        </w:rPr>
        <w:t> </w:t>
      </w:r>
      <w:r>
        <w:rPr>
          <w:color w:val="231F20"/>
        </w:rPr>
        <w:t>de</w:t>
      </w:r>
      <w:r>
        <w:rPr>
          <w:color w:val="231F20"/>
          <w:spacing w:val="-7"/>
        </w:rPr>
        <w:t> </w:t>
      </w:r>
      <w:r>
        <w:rPr>
          <w:color w:val="231F20"/>
        </w:rPr>
        <w:t>población</w:t>
      </w:r>
      <w:r>
        <w:rPr>
          <w:color w:val="231F20"/>
          <w:spacing w:val="-7"/>
        </w:rPr>
        <w:t> </w:t>
      </w:r>
      <w:r>
        <w:rPr>
          <w:color w:val="231F20"/>
        </w:rPr>
        <w:t>migrante,</w:t>
      </w:r>
      <w:r>
        <w:rPr>
          <w:color w:val="231F20"/>
          <w:spacing w:val="-8"/>
        </w:rPr>
        <w:t> </w:t>
      </w:r>
      <w:r>
        <w:rPr>
          <w:color w:val="231F20"/>
        </w:rPr>
        <w:t>que</w:t>
      </w:r>
      <w:r>
        <w:rPr>
          <w:color w:val="231F20"/>
          <w:spacing w:val="-7"/>
        </w:rPr>
        <w:t> </w:t>
      </w:r>
      <w:r>
        <w:rPr>
          <w:color w:val="231F20"/>
        </w:rPr>
        <w:t>como</w:t>
      </w:r>
      <w:r>
        <w:rPr>
          <w:color w:val="231F20"/>
          <w:spacing w:val="-8"/>
        </w:rPr>
        <w:t> </w:t>
      </w:r>
      <w:r>
        <w:rPr>
          <w:color w:val="231F20"/>
        </w:rPr>
        <w:t>lo</w:t>
      </w:r>
      <w:r>
        <w:rPr>
          <w:color w:val="231F20"/>
          <w:spacing w:val="-7"/>
        </w:rPr>
        <w:t> </w:t>
      </w:r>
      <w:r>
        <w:rPr>
          <w:color w:val="231F20"/>
        </w:rPr>
        <w:t>señala Espinosa (2011), ya no son los mismos, como tampoco son los mismos esquemas: el sexo, edad, ni los motivos. Ahora las causas son la búsqueda de oportunidades de empleo y lograr mejorar sus condiciones de vida, en países europeos, en Estados Unidos y México. La mayor concentración</w:t>
      </w:r>
      <w:r>
        <w:rPr>
          <w:color w:val="231F20"/>
          <w:spacing w:val="-34"/>
        </w:rPr>
        <w:t> </w:t>
      </w:r>
      <w:r>
        <w:rPr>
          <w:color w:val="231F20"/>
        </w:rPr>
        <w:t>de ciudadanos de Centroamérica y el Caribe se localiza en Estados Unidos; datos oficiales del Censo efectuado por el Gobierno de Estados Unidos en el año 2000, refieren que en ese país viven 372 908</w:t>
      </w:r>
      <w:r>
        <w:rPr>
          <w:color w:val="231F20"/>
          <w:spacing w:val="-12"/>
        </w:rPr>
        <w:t> </w:t>
      </w:r>
      <w:r>
        <w:rPr>
          <w:color w:val="231F20"/>
        </w:rPr>
        <w:t>guatemaltecos.</w:t>
      </w:r>
    </w:p>
    <w:p>
      <w:pPr>
        <w:pStyle w:val="BodyText"/>
        <w:spacing w:line="247" w:lineRule="auto"/>
        <w:ind w:left="117" w:right="115" w:firstLine="283"/>
        <w:jc w:val="both"/>
      </w:pPr>
      <w:r>
        <w:rPr>
          <w:color w:val="231F20"/>
        </w:rPr>
        <w:t>Por su parte el Banco Interamericano de Desarrollo (BID) al hacer un balance de las remesas que arriban a países centroamericanos deduce que sólo de guatemaltecos hay un poco más de un millón de población emi- grante</w:t>
      </w:r>
      <w:r>
        <w:rPr>
          <w:color w:val="231F20"/>
          <w:spacing w:val="-3"/>
        </w:rPr>
        <w:t> </w:t>
      </w:r>
      <w:r>
        <w:rPr>
          <w:color w:val="231F20"/>
        </w:rPr>
        <w:t>a</w:t>
      </w:r>
      <w:r>
        <w:rPr>
          <w:color w:val="231F20"/>
          <w:spacing w:val="-3"/>
        </w:rPr>
        <w:t> </w:t>
      </w:r>
      <w:r>
        <w:rPr>
          <w:color w:val="231F20"/>
        </w:rPr>
        <w:t>ese</w:t>
      </w:r>
      <w:r>
        <w:rPr>
          <w:color w:val="231F20"/>
          <w:spacing w:val="-3"/>
        </w:rPr>
        <w:t> </w:t>
      </w:r>
      <w:r>
        <w:rPr>
          <w:color w:val="231F20"/>
        </w:rPr>
        <w:t>país.</w:t>
      </w:r>
      <w:r>
        <w:rPr>
          <w:color w:val="231F20"/>
          <w:spacing w:val="-3"/>
        </w:rPr>
        <w:t> </w:t>
      </w:r>
      <w:r>
        <w:rPr>
          <w:color w:val="231F20"/>
        </w:rPr>
        <w:t>Por</w:t>
      </w:r>
      <w:r>
        <w:rPr>
          <w:color w:val="231F20"/>
          <w:spacing w:val="-2"/>
        </w:rPr>
        <w:t> </w:t>
      </w:r>
      <w:r>
        <w:rPr>
          <w:color w:val="231F20"/>
        </w:rPr>
        <w:t>lo</w:t>
      </w:r>
      <w:r>
        <w:rPr>
          <w:color w:val="231F20"/>
          <w:spacing w:val="-3"/>
        </w:rPr>
        <w:t> </w:t>
      </w:r>
      <w:r>
        <w:rPr>
          <w:color w:val="231F20"/>
        </w:rPr>
        <w:t>que</w:t>
      </w:r>
      <w:r>
        <w:rPr>
          <w:color w:val="231F20"/>
          <w:spacing w:val="-3"/>
        </w:rPr>
        <w:t> </w:t>
      </w:r>
      <w:r>
        <w:rPr>
          <w:color w:val="231F20"/>
        </w:rPr>
        <w:t>respecta</w:t>
      </w:r>
      <w:r>
        <w:rPr>
          <w:color w:val="231F20"/>
          <w:spacing w:val="-3"/>
        </w:rPr>
        <w:t> </w:t>
      </w:r>
      <w:r>
        <w:rPr>
          <w:color w:val="231F20"/>
        </w:rPr>
        <w:t>a</w:t>
      </w:r>
      <w:r>
        <w:rPr>
          <w:color w:val="231F20"/>
          <w:spacing w:val="-3"/>
        </w:rPr>
        <w:t> </w:t>
      </w:r>
      <w:r>
        <w:rPr>
          <w:color w:val="231F20"/>
        </w:rPr>
        <w:t>México,</w:t>
      </w:r>
      <w:r>
        <w:rPr>
          <w:color w:val="231F20"/>
          <w:spacing w:val="-3"/>
        </w:rPr>
        <w:t> </w:t>
      </w:r>
      <w:r>
        <w:rPr>
          <w:color w:val="231F20"/>
        </w:rPr>
        <w:t>el</w:t>
      </w:r>
      <w:r>
        <w:rPr>
          <w:color w:val="231F20"/>
          <w:spacing w:val="-3"/>
        </w:rPr>
        <w:t> </w:t>
      </w:r>
      <w:r>
        <w:rPr>
          <w:color w:val="231F20"/>
        </w:rPr>
        <w:t>XII</w:t>
      </w:r>
      <w:r>
        <w:rPr>
          <w:color w:val="231F20"/>
          <w:spacing w:val="-2"/>
        </w:rPr>
        <w:t> </w:t>
      </w:r>
      <w:r>
        <w:rPr>
          <w:color w:val="231F20"/>
        </w:rPr>
        <w:t>Censo</w:t>
      </w:r>
      <w:r>
        <w:rPr>
          <w:color w:val="231F20"/>
          <w:spacing w:val="-2"/>
        </w:rPr>
        <w:t> </w:t>
      </w:r>
      <w:r>
        <w:rPr>
          <w:color w:val="231F20"/>
        </w:rPr>
        <w:t>de</w:t>
      </w:r>
      <w:r>
        <w:rPr>
          <w:color w:val="231F20"/>
          <w:spacing w:val="-3"/>
        </w:rPr>
        <w:t> </w:t>
      </w:r>
      <w:r>
        <w:rPr>
          <w:color w:val="231F20"/>
        </w:rPr>
        <w:t>Población y Vivienda 2000, revela que de la población inmigrante en el país, 4.9 por ciento corresponde a guatemaltecos, 1.3 por ciento a salvadoreños y 1.1 por ciento a población de origen</w:t>
      </w:r>
      <w:r>
        <w:rPr>
          <w:color w:val="231F20"/>
          <w:spacing w:val="-1"/>
        </w:rPr>
        <w:t> </w:t>
      </w:r>
      <w:r>
        <w:rPr>
          <w:color w:val="231F20"/>
        </w:rPr>
        <w:t>cubano.</w:t>
      </w:r>
    </w:p>
    <w:p>
      <w:pPr>
        <w:pStyle w:val="BodyText"/>
        <w:spacing w:line="247" w:lineRule="auto"/>
        <w:ind w:left="117" w:right="115" w:firstLine="283"/>
        <w:jc w:val="both"/>
      </w:pPr>
      <w:r>
        <w:rPr>
          <w:color w:val="231F20"/>
        </w:rPr>
        <w:t>El debate relacionado a los efectos que causa la emigración de latinoa- mericanos en los estados receptores ha dividido a los investigadores. Sin embargo, la mayoría coincide en que la inmigración logra incidir en la transformación de la sociedad en los países receptores. Suárez (2001) al referirse a la inmigración en Estados Unidos, señala que:</w:t>
      </w:r>
    </w:p>
    <w:p>
      <w:pPr>
        <w:spacing w:after="0" w:line="247" w:lineRule="auto"/>
        <w:jc w:val="both"/>
        <w:sectPr>
          <w:footerReference w:type="default" r:id="rId66"/>
          <w:pgSz w:w="9360" w:h="13040"/>
          <w:pgMar w:footer="496" w:header="0" w:top="740" w:bottom="680" w:left="1300" w:right="1300"/>
          <w:pgNumType w:start="41"/>
        </w:sectPr>
      </w:pPr>
    </w:p>
    <w:p>
      <w:pPr>
        <w:tabs>
          <w:tab w:pos="5536" w:val="left" w:leader="none"/>
        </w:tabs>
        <w:spacing w:before="51"/>
        <w:ind w:left="400" w:right="117" w:hanging="278"/>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9"/>
        <w:rPr>
          <w:sz w:val="19"/>
        </w:rPr>
      </w:pPr>
    </w:p>
    <w:p>
      <w:pPr>
        <w:spacing w:line="249" w:lineRule="auto" w:before="0"/>
        <w:ind w:left="400" w:right="115" w:firstLine="0"/>
        <w:jc w:val="both"/>
        <w:rPr>
          <w:sz w:val="20"/>
        </w:rPr>
      </w:pPr>
      <w:r>
        <w:rPr>
          <w:sz w:val="20"/>
        </w:rPr>
        <w:t>La inmigración es la fuerza impulsora de una significativa transformación en la sociedad estadounidense. Es poco probable que otros fenómenos sociales afecten la naturaleza futura de su cultura como la constante oleada de esta nueva inmigración (2001: 5).</w:t>
      </w:r>
    </w:p>
    <w:p>
      <w:pPr>
        <w:pStyle w:val="BodyText"/>
        <w:spacing w:line="247" w:lineRule="auto" w:before="172"/>
        <w:ind w:left="117" w:right="114" w:firstLine="283"/>
        <w:jc w:val="both"/>
      </w:pPr>
      <w:r>
        <w:rPr>
          <w:color w:val="231F20"/>
        </w:rPr>
        <w:t>Sin embargo, hay quienes contextualizan estas transformaciones con profunda posición radical; por ejemplo, Samuel Hungtington (2004) plan- tea</w:t>
      </w:r>
      <w:r>
        <w:rPr>
          <w:color w:val="231F20"/>
          <w:spacing w:val="-10"/>
        </w:rPr>
        <w:t> </w:t>
      </w:r>
      <w:r>
        <w:rPr>
          <w:color w:val="231F20"/>
        </w:rPr>
        <w:t>las</w:t>
      </w:r>
      <w:r>
        <w:rPr>
          <w:color w:val="231F20"/>
          <w:spacing w:val="-10"/>
        </w:rPr>
        <w:t> </w:t>
      </w:r>
      <w:r>
        <w:rPr>
          <w:color w:val="231F20"/>
        </w:rPr>
        <w:t>consecuencias</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inmigración</w:t>
      </w:r>
      <w:r>
        <w:rPr>
          <w:color w:val="231F20"/>
          <w:spacing w:val="-11"/>
        </w:rPr>
        <w:t> </w:t>
      </w:r>
      <w:r>
        <w:rPr>
          <w:color w:val="231F20"/>
        </w:rPr>
        <w:t>de</w:t>
      </w:r>
      <w:r>
        <w:rPr>
          <w:color w:val="231F20"/>
          <w:spacing w:val="-10"/>
        </w:rPr>
        <w:t> </w:t>
      </w:r>
      <w:r>
        <w:rPr>
          <w:color w:val="231F20"/>
        </w:rPr>
        <w:t>latinos</w:t>
      </w:r>
      <w:r>
        <w:rPr>
          <w:color w:val="231F20"/>
          <w:spacing w:val="-11"/>
        </w:rPr>
        <w:t> </w:t>
      </w:r>
      <w:r>
        <w:rPr>
          <w:color w:val="231F20"/>
        </w:rPr>
        <w:t>en</w:t>
      </w:r>
      <w:r>
        <w:rPr>
          <w:color w:val="231F20"/>
          <w:spacing w:val="-10"/>
        </w:rPr>
        <w:t> </w:t>
      </w:r>
      <w:r>
        <w:rPr>
          <w:color w:val="231F20"/>
        </w:rPr>
        <w:t>Estados</w:t>
      </w:r>
      <w:r>
        <w:rPr>
          <w:color w:val="231F20"/>
          <w:spacing w:val="-11"/>
        </w:rPr>
        <w:t> </w:t>
      </w:r>
      <w:r>
        <w:rPr>
          <w:color w:val="231F20"/>
        </w:rPr>
        <w:t>Unidos</w:t>
      </w:r>
      <w:r>
        <w:rPr>
          <w:color w:val="231F20"/>
          <w:spacing w:val="-10"/>
        </w:rPr>
        <w:t> </w:t>
      </w:r>
      <w:r>
        <w:rPr>
          <w:color w:val="231F20"/>
        </w:rPr>
        <w:t>desde una posición desfavorable para ese país y argumenta que los inmigrantes latinos representan un peligro para la identidad de la población “america- na”, en virtud de su inadaptabilidad y resistencia hacia la adopción e in- tegración a la cultura anglo protestante y blanca de la sociedad estadouni- dense.</w:t>
      </w:r>
    </w:p>
    <w:p>
      <w:pPr>
        <w:pStyle w:val="BodyText"/>
        <w:spacing w:line="247" w:lineRule="auto"/>
        <w:ind w:left="117" w:right="114" w:firstLine="283"/>
        <w:jc w:val="both"/>
      </w:pPr>
      <w:r>
        <w:rPr>
          <w:color w:val="231F20"/>
        </w:rPr>
        <w:t>Sobre lo señalado por Huntington, Morales (2006) puntualiza que el radicalismo</w:t>
      </w:r>
      <w:r>
        <w:rPr>
          <w:color w:val="231F20"/>
          <w:spacing w:val="-9"/>
        </w:rPr>
        <w:t> </w:t>
      </w:r>
      <w:r>
        <w:rPr>
          <w:color w:val="231F20"/>
        </w:rPr>
        <w:t>de</w:t>
      </w:r>
      <w:r>
        <w:rPr>
          <w:color w:val="231F20"/>
          <w:spacing w:val="-9"/>
        </w:rPr>
        <w:t> </w:t>
      </w:r>
      <w:r>
        <w:rPr>
          <w:color w:val="231F20"/>
        </w:rPr>
        <w:t>Huntington</w:t>
      </w:r>
      <w:r>
        <w:rPr>
          <w:color w:val="231F20"/>
          <w:spacing w:val="-8"/>
        </w:rPr>
        <w:t> </w:t>
      </w:r>
      <w:r>
        <w:rPr>
          <w:color w:val="231F20"/>
        </w:rPr>
        <w:t>lo</w:t>
      </w:r>
      <w:r>
        <w:rPr>
          <w:color w:val="231F20"/>
          <w:spacing w:val="-9"/>
        </w:rPr>
        <w:t> </w:t>
      </w:r>
      <w:r>
        <w:rPr>
          <w:color w:val="231F20"/>
        </w:rPr>
        <w:t>lleva</w:t>
      </w:r>
      <w:r>
        <w:rPr>
          <w:color w:val="231F20"/>
          <w:spacing w:val="-9"/>
        </w:rPr>
        <w:t> </w:t>
      </w:r>
      <w:r>
        <w:rPr>
          <w:color w:val="231F20"/>
        </w:rPr>
        <w:t>a</w:t>
      </w:r>
      <w:r>
        <w:rPr>
          <w:color w:val="231F20"/>
          <w:spacing w:val="-9"/>
        </w:rPr>
        <w:t> </w:t>
      </w:r>
      <w:r>
        <w:rPr>
          <w:color w:val="231F20"/>
        </w:rPr>
        <w:t>dejar</w:t>
      </w:r>
      <w:r>
        <w:rPr>
          <w:color w:val="231F20"/>
          <w:spacing w:val="-9"/>
        </w:rPr>
        <w:t> </w:t>
      </w:r>
      <w:r>
        <w:rPr>
          <w:color w:val="231F20"/>
        </w:rPr>
        <w:t>de</w:t>
      </w:r>
      <w:r>
        <w:rPr>
          <w:color w:val="231F20"/>
          <w:spacing w:val="-9"/>
        </w:rPr>
        <w:t> </w:t>
      </w:r>
      <w:r>
        <w:rPr>
          <w:color w:val="231F20"/>
        </w:rPr>
        <w:t>lado</w:t>
      </w:r>
      <w:r>
        <w:rPr>
          <w:color w:val="231F20"/>
          <w:spacing w:val="-9"/>
        </w:rPr>
        <w:t> </w:t>
      </w:r>
      <w:r>
        <w:rPr>
          <w:color w:val="231F20"/>
        </w:rPr>
        <w:t>los</w:t>
      </w:r>
      <w:r>
        <w:rPr>
          <w:color w:val="231F20"/>
          <w:spacing w:val="-9"/>
        </w:rPr>
        <w:t> </w:t>
      </w:r>
      <w:r>
        <w:rPr>
          <w:color w:val="231F20"/>
        </w:rPr>
        <w:t>efectos</w:t>
      </w:r>
      <w:r>
        <w:rPr>
          <w:color w:val="231F20"/>
          <w:spacing w:val="-9"/>
        </w:rPr>
        <w:t> </w:t>
      </w:r>
      <w:r>
        <w:rPr>
          <w:color w:val="231F20"/>
        </w:rPr>
        <w:t>positivos</w:t>
      </w:r>
      <w:r>
        <w:rPr>
          <w:color w:val="231F20"/>
          <w:spacing w:val="-9"/>
        </w:rPr>
        <w:t> </w:t>
      </w:r>
      <w:r>
        <w:rPr>
          <w:color w:val="231F20"/>
        </w:rPr>
        <w:t>que como</w:t>
      </w:r>
      <w:r>
        <w:rPr>
          <w:color w:val="231F20"/>
          <w:spacing w:val="-10"/>
        </w:rPr>
        <w:t> </w:t>
      </w:r>
      <w:r>
        <w:rPr>
          <w:color w:val="231F20"/>
        </w:rPr>
        <w:t>capital</w:t>
      </w:r>
      <w:r>
        <w:rPr>
          <w:color w:val="231F20"/>
          <w:spacing w:val="-10"/>
        </w:rPr>
        <w:t> </w:t>
      </w:r>
      <w:r>
        <w:rPr>
          <w:color w:val="231F20"/>
        </w:rPr>
        <w:t>humano</w:t>
      </w:r>
      <w:r>
        <w:rPr>
          <w:color w:val="231F20"/>
          <w:spacing w:val="-10"/>
        </w:rPr>
        <w:t> </w:t>
      </w:r>
      <w:r>
        <w:rPr>
          <w:color w:val="231F20"/>
        </w:rPr>
        <w:t>aportan</w:t>
      </w:r>
      <w:r>
        <w:rPr>
          <w:color w:val="231F20"/>
          <w:spacing w:val="-10"/>
        </w:rPr>
        <w:t> </w:t>
      </w:r>
      <w:r>
        <w:rPr>
          <w:color w:val="231F20"/>
        </w:rPr>
        <w:t>los</w:t>
      </w:r>
      <w:r>
        <w:rPr>
          <w:color w:val="231F20"/>
          <w:spacing w:val="-10"/>
        </w:rPr>
        <w:t> </w:t>
      </w:r>
      <w:r>
        <w:rPr>
          <w:color w:val="231F20"/>
        </w:rPr>
        <w:t>latinos</w:t>
      </w:r>
      <w:r>
        <w:rPr>
          <w:color w:val="231F20"/>
          <w:spacing w:val="-10"/>
        </w:rPr>
        <w:t> </w:t>
      </w:r>
      <w:r>
        <w:rPr>
          <w:color w:val="231F20"/>
        </w:rPr>
        <w:t>en</w:t>
      </w:r>
      <w:r>
        <w:rPr>
          <w:color w:val="231F20"/>
          <w:spacing w:val="-10"/>
        </w:rPr>
        <w:t> </w:t>
      </w:r>
      <w:r>
        <w:rPr>
          <w:color w:val="231F20"/>
        </w:rPr>
        <w:t>Estados</w:t>
      </w:r>
      <w:r>
        <w:rPr>
          <w:color w:val="231F20"/>
          <w:spacing w:val="-10"/>
        </w:rPr>
        <w:t> </w:t>
      </w:r>
      <w:r>
        <w:rPr>
          <w:color w:val="231F20"/>
        </w:rPr>
        <w:t>Unidos,</w:t>
      </w:r>
      <w:r>
        <w:rPr>
          <w:color w:val="231F20"/>
          <w:spacing w:val="-9"/>
        </w:rPr>
        <w:t> </w:t>
      </w:r>
      <w:r>
        <w:rPr>
          <w:color w:val="231F20"/>
        </w:rPr>
        <w:t>aportes</w:t>
      </w:r>
      <w:r>
        <w:rPr>
          <w:color w:val="231F20"/>
          <w:spacing w:val="-10"/>
        </w:rPr>
        <w:t> </w:t>
      </w:r>
      <w:r>
        <w:rPr>
          <w:color w:val="231F20"/>
        </w:rPr>
        <w:t>que</w:t>
      </w:r>
      <w:r>
        <w:rPr>
          <w:color w:val="231F20"/>
          <w:spacing w:val="-10"/>
        </w:rPr>
        <w:t> </w:t>
      </w:r>
      <w:r>
        <w:rPr>
          <w:color w:val="231F20"/>
        </w:rPr>
        <w:t>se traducen en el fortalecimiento de la economía de ese país. Como ejemplo están los estados de California y Florida: en el primero hay una gran con- centración de mexicanos, guatemaltecos y salvadoreños, que han</w:t>
      </w:r>
      <w:r>
        <w:rPr>
          <w:color w:val="231F20"/>
          <w:spacing w:val="-34"/>
        </w:rPr>
        <w:t> </w:t>
      </w:r>
      <w:r>
        <w:rPr>
          <w:color w:val="231F20"/>
        </w:rPr>
        <w:t>aportado con su esfuerzo a hacer de California una de las economías más importan- tes a nivel mundial y en el segundo, sobre todo en Miami, los inmigrantes cubanos y centroamericanos son fuente de riqueza en mano de</w:t>
      </w:r>
      <w:r>
        <w:rPr>
          <w:color w:val="231F20"/>
          <w:spacing w:val="-6"/>
        </w:rPr>
        <w:t> </w:t>
      </w:r>
      <w:r>
        <w:rPr>
          <w:color w:val="231F20"/>
        </w:rPr>
        <w:t>obra.</w:t>
      </w:r>
    </w:p>
    <w:p>
      <w:pPr>
        <w:pStyle w:val="BodyText"/>
        <w:spacing w:line="247" w:lineRule="auto"/>
        <w:ind w:left="117" w:right="114" w:firstLine="283"/>
        <w:jc w:val="both"/>
      </w:pPr>
      <w:r>
        <w:rPr>
          <w:color w:val="231F20"/>
        </w:rPr>
        <w:t>Es</w:t>
      </w:r>
      <w:r>
        <w:rPr>
          <w:color w:val="231F20"/>
          <w:spacing w:val="-10"/>
        </w:rPr>
        <w:t> </w:t>
      </w:r>
      <w:r>
        <w:rPr>
          <w:color w:val="231F20"/>
        </w:rPr>
        <w:t>decir,</w:t>
      </w:r>
      <w:r>
        <w:rPr>
          <w:color w:val="231F20"/>
          <w:spacing w:val="-10"/>
        </w:rPr>
        <w:t> </w:t>
      </w:r>
      <w:r>
        <w:rPr>
          <w:color w:val="231F20"/>
        </w:rPr>
        <w:t>el</w:t>
      </w:r>
      <w:r>
        <w:rPr>
          <w:color w:val="231F20"/>
          <w:spacing w:val="-10"/>
        </w:rPr>
        <w:t> </w:t>
      </w:r>
      <w:r>
        <w:rPr>
          <w:color w:val="231F20"/>
        </w:rPr>
        <w:t>inmigrante</w:t>
      </w:r>
      <w:r>
        <w:rPr>
          <w:color w:val="231F20"/>
          <w:spacing w:val="-11"/>
        </w:rPr>
        <w:t> </w:t>
      </w:r>
      <w:r>
        <w:rPr>
          <w:color w:val="231F20"/>
        </w:rPr>
        <w:t>en</w:t>
      </w:r>
      <w:r>
        <w:rPr>
          <w:color w:val="231F20"/>
          <w:spacing w:val="-10"/>
        </w:rPr>
        <w:t> </w:t>
      </w:r>
      <w:r>
        <w:rPr>
          <w:color w:val="231F20"/>
        </w:rPr>
        <w:t>los</w:t>
      </w:r>
      <w:r>
        <w:rPr>
          <w:color w:val="231F20"/>
          <w:spacing w:val="-10"/>
        </w:rPr>
        <w:t> </w:t>
      </w:r>
      <w:r>
        <w:rPr>
          <w:color w:val="231F20"/>
        </w:rPr>
        <w:t>países</w:t>
      </w:r>
      <w:r>
        <w:rPr>
          <w:color w:val="231F20"/>
          <w:spacing w:val="-10"/>
        </w:rPr>
        <w:t> </w:t>
      </w:r>
      <w:r>
        <w:rPr>
          <w:color w:val="231F20"/>
        </w:rPr>
        <w:t>receptores</w:t>
      </w:r>
      <w:r>
        <w:rPr>
          <w:color w:val="231F20"/>
          <w:spacing w:val="-10"/>
        </w:rPr>
        <w:t> </w:t>
      </w:r>
      <w:r>
        <w:rPr>
          <w:color w:val="231F20"/>
        </w:rPr>
        <w:t>se</w:t>
      </w:r>
      <w:r>
        <w:rPr>
          <w:color w:val="231F20"/>
          <w:spacing w:val="-10"/>
        </w:rPr>
        <w:t> </w:t>
      </w:r>
      <w:r>
        <w:rPr>
          <w:color w:val="231F20"/>
        </w:rPr>
        <w:t>vuelve</w:t>
      </w:r>
      <w:r>
        <w:rPr>
          <w:color w:val="231F20"/>
          <w:spacing w:val="-10"/>
        </w:rPr>
        <w:t> </w:t>
      </w:r>
      <w:r>
        <w:rPr>
          <w:color w:val="231F20"/>
        </w:rPr>
        <w:t>sujeto</w:t>
      </w:r>
      <w:r>
        <w:rPr>
          <w:color w:val="231F20"/>
          <w:spacing w:val="-10"/>
        </w:rPr>
        <w:t> </w:t>
      </w:r>
      <w:r>
        <w:rPr>
          <w:color w:val="231F20"/>
        </w:rPr>
        <w:t>de</w:t>
      </w:r>
      <w:r>
        <w:rPr>
          <w:color w:val="231F20"/>
          <w:spacing w:val="-10"/>
        </w:rPr>
        <w:t> </w:t>
      </w:r>
      <w:r>
        <w:rPr>
          <w:color w:val="231F20"/>
        </w:rPr>
        <w:t>cam- bios económicos y sociales y con ello, surge lo que en la década de los noventa Nina Glick Schiller, Cristina Blanc Szanton y Linda Basch, de- finieron como transnacionalismo y que en términos generales se entiende como los procesos mediante los cuales las personas de una misma diás- pora mantienen intercambios, conexiones y prácticas transfronterizas que transcienden el espacio nacional. Por tanto, la movilidad de la población provoca que el migrante sea sujeto de cambios tanto en los países destino como en los de</w:t>
      </w:r>
      <w:r>
        <w:rPr>
          <w:color w:val="231F20"/>
          <w:spacing w:val="-3"/>
        </w:rPr>
        <w:t> </w:t>
      </w:r>
      <w:r>
        <w:rPr>
          <w:color w:val="231F20"/>
        </w:rPr>
        <w:t>origen.</w:t>
      </w:r>
    </w:p>
    <w:p>
      <w:pPr>
        <w:pStyle w:val="Heading3"/>
        <w:spacing w:line="242" w:lineRule="auto"/>
        <w:ind w:right="1283"/>
        <w:jc w:val="left"/>
      </w:pPr>
      <w:r>
        <w:rPr>
          <w:color w:val="231F20"/>
        </w:rPr>
        <w:t>El aporte de los migrantes al desarrollo de los países latinoamericanos</w:t>
      </w:r>
    </w:p>
    <w:p>
      <w:pPr>
        <w:pStyle w:val="BodyText"/>
        <w:spacing w:line="247" w:lineRule="auto" w:before="170"/>
        <w:ind w:left="117" w:right="115"/>
        <w:jc w:val="both"/>
      </w:pPr>
      <w:r>
        <w:rPr>
          <w:color w:val="231F20"/>
        </w:rPr>
        <w:t>En los años noventa del siglo pasado, estudiosos del fenómeno migrato- rio internacional iniciaron un acercamiento al análisis de la relación entre migración y desarrollo desde la perspectiva económica y social, buscando identificar impactos en las economías locales derivados de las transferen- cias de dinero desde los países de arribo de los migrantes. El reflejo de  la</w:t>
      </w:r>
    </w:p>
    <w:p>
      <w:pPr>
        <w:spacing w:after="0" w:line="247" w:lineRule="auto"/>
        <w:jc w:val="both"/>
        <w:sectPr>
          <w:pgSz w:w="9360" w:h="13040"/>
          <w:pgMar w:header="0" w:footer="496" w:top="840" w:bottom="680" w:left="1300" w:right="1300"/>
        </w:sectPr>
      </w:pPr>
    </w:p>
    <w:p>
      <w:pPr>
        <w:spacing w:before="45"/>
        <w:ind w:left="117" w:right="0" w:firstLine="331"/>
        <w:jc w:val="both"/>
        <w:rPr>
          <w:rFonts w:ascii="Arial" w:hAnsi="Arial"/>
          <w:sz w:val="20"/>
        </w:rPr>
      </w:pPr>
      <w:r>
        <w:rPr>
          <w:rFonts w:ascii="Arial" w:hAnsi="Arial"/>
          <w:color w:val="231F20"/>
          <w:w w:val="70"/>
          <w:sz w:val="20"/>
        </w:rPr>
        <w:t>Globalización</w:t>
      </w:r>
      <w:r>
        <w:rPr>
          <w:rFonts w:ascii="Arial" w:hAnsi="Arial"/>
          <w:color w:val="231F20"/>
          <w:spacing w:val="-15"/>
          <w:w w:val="70"/>
          <w:sz w:val="20"/>
        </w:rPr>
        <w:t> </w:t>
      </w:r>
      <w:r>
        <w:rPr>
          <w:rFonts w:ascii="Arial" w:hAnsi="Arial"/>
          <w:color w:val="231F20"/>
          <w:w w:val="70"/>
          <w:sz w:val="20"/>
        </w:rPr>
        <w:t>y</w:t>
      </w:r>
      <w:r>
        <w:rPr>
          <w:rFonts w:ascii="Arial" w:hAnsi="Arial"/>
          <w:color w:val="231F20"/>
          <w:spacing w:val="-15"/>
          <w:w w:val="70"/>
          <w:sz w:val="20"/>
        </w:rPr>
        <w:t> </w:t>
      </w:r>
      <w:r>
        <w:rPr>
          <w:rFonts w:ascii="Arial" w:hAnsi="Arial"/>
          <w:color w:val="231F20"/>
          <w:w w:val="70"/>
          <w:sz w:val="20"/>
        </w:rPr>
        <w:t>emigración</w:t>
      </w:r>
      <w:r>
        <w:rPr>
          <w:rFonts w:ascii="Arial" w:hAnsi="Arial"/>
          <w:color w:val="231F20"/>
          <w:spacing w:val="-15"/>
          <w:w w:val="70"/>
          <w:sz w:val="20"/>
        </w:rPr>
        <w:t> </w:t>
      </w:r>
      <w:r>
        <w:rPr>
          <w:rFonts w:ascii="Arial" w:hAnsi="Arial"/>
          <w:color w:val="231F20"/>
          <w:w w:val="70"/>
          <w:sz w:val="20"/>
        </w:rPr>
        <w:t>latinoamericana</w:t>
      </w:r>
      <w:r>
        <w:rPr>
          <w:rFonts w:ascii="Arial" w:hAnsi="Arial"/>
          <w:color w:val="231F20"/>
          <w:spacing w:val="-15"/>
          <w:w w:val="70"/>
          <w:sz w:val="20"/>
        </w:rPr>
        <w:t> </w:t>
      </w:r>
      <w:r>
        <w:rPr>
          <w:rFonts w:ascii="Arial" w:hAnsi="Arial"/>
          <w:color w:val="231F20"/>
          <w:w w:val="70"/>
          <w:sz w:val="20"/>
        </w:rPr>
        <w:t>y</w:t>
      </w:r>
      <w:r>
        <w:rPr>
          <w:rFonts w:ascii="Arial" w:hAnsi="Arial"/>
          <w:color w:val="231F20"/>
          <w:spacing w:val="-15"/>
          <w:w w:val="70"/>
          <w:sz w:val="20"/>
        </w:rPr>
        <w:t> </w:t>
      </w:r>
      <w:r>
        <w:rPr>
          <w:rFonts w:ascii="Arial" w:hAnsi="Arial"/>
          <w:color w:val="231F20"/>
          <w:w w:val="70"/>
          <w:sz w:val="20"/>
        </w:rPr>
        <w:t>caribeña</w:t>
      </w:r>
      <w:r>
        <w:rPr>
          <w:rFonts w:ascii="Arial" w:hAnsi="Arial"/>
          <w:color w:val="231F20"/>
          <w:spacing w:val="-15"/>
          <w:w w:val="70"/>
          <w:sz w:val="20"/>
        </w:rPr>
        <w:t> </w:t>
      </w:r>
      <w:r>
        <w:rPr>
          <w:rFonts w:ascii="Arial" w:hAnsi="Arial"/>
          <w:color w:val="231F20"/>
          <w:w w:val="70"/>
          <w:sz w:val="20"/>
        </w:rPr>
        <w:t>a</w:t>
      </w:r>
      <w:r>
        <w:rPr>
          <w:rFonts w:ascii="Arial" w:hAnsi="Arial"/>
          <w:color w:val="231F20"/>
          <w:spacing w:val="-15"/>
          <w:w w:val="70"/>
          <w:sz w:val="20"/>
        </w:rPr>
        <w:t> </w:t>
      </w:r>
      <w:r>
        <w:rPr>
          <w:rFonts w:ascii="Arial" w:hAnsi="Arial"/>
          <w:color w:val="231F20"/>
          <w:w w:val="70"/>
          <w:sz w:val="20"/>
        </w:rPr>
        <w:t>Estados</w:t>
      </w:r>
      <w:r>
        <w:rPr>
          <w:rFonts w:ascii="Arial" w:hAnsi="Arial"/>
          <w:color w:val="231F20"/>
          <w:spacing w:val="-15"/>
          <w:w w:val="70"/>
          <w:sz w:val="20"/>
        </w:rPr>
        <w:t> </w:t>
      </w:r>
      <w:r>
        <w:rPr>
          <w:rFonts w:ascii="Arial" w:hAnsi="Arial"/>
          <w:color w:val="231F20"/>
          <w:w w:val="70"/>
          <w:sz w:val="20"/>
        </w:rPr>
        <w:t>Unidos</w:t>
      </w:r>
      <w:r>
        <w:rPr>
          <w:rFonts w:ascii="Arial" w:hAnsi="Arial"/>
          <w:color w:val="231F20"/>
          <w:spacing w:val="-15"/>
          <w:w w:val="70"/>
          <w:sz w:val="20"/>
        </w:rPr>
        <w:t> </w:t>
      </w:r>
      <w:r>
        <w:rPr>
          <w:rFonts w:ascii="Arial" w:hAnsi="Arial"/>
          <w:color w:val="231F20"/>
          <w:w w:val="70"/>
          <w:sz w:val="20"/>
        </w:rPr>
        <w:t>/Ramiro</w:t>
      </w:r>
      <w:r>
        <w:rPr>
          <w:rFonts w:ascii="Arial" w:hAnsi="Arial"/>
          <w:color w:val="231F20"/>
          <w:spacing w:val="-22"/>
          <w:w w:val="70"/>
          <w:sz w:val="20"/>
        </w:rPr>
        <w:t> </w:t>
      </w:r>
      <w:r>
        <w:rPr>
          <w:rFonts w:ascii="Arial" w:hAnsi="Arial"/>
          <w:color w:val="231F20"/>
          <w:w w:val="70"/>
          <w:sz w:val="20"/>
        </w:rPr>
        <w:t>Morales-Hernández</w:t>
      </w:r>
    </w:p>
    <w:p>
      <w:pPr>
        <w:pStyle w:val="BodyText"/>
        <w:spacing w:before="7"/>
        <w:rPr>
          <w:rFonts w:ascii="Arial"/>
          <w:sz w:val="28"/>
        </w:rPr>
      </w:pPr>
    </w:p>
    <w:p>
      <w:pPr>
        <w:pStyle w:val="BodyText"/>
        <w:spacing w:line="247" w:lineRule="auto"/>
        <w:ind w:left="117" w:right="114"/>
        <w:jc w:val="both"/>
      </w:pPr>
      <w:r>
        <w:rPr>
          <w:color w:val="231F20"/>
        </w:rPr>
        <w:t>importancia de los aportes desde la perspectiva económica son la cantidad de</w:t>
      </w:r>
      <w:r>
        <w:rPr>
          <w:color w:val="231F20"/>
          <w:spacing w:val="-7"/>
        </w:rPr>
        <w:t> </w:t>
      </w:r>
      <w:r>
        <w:rPr>
          <w:color w:val="231F20"/>
        </w:rPr>
        <w:t>dólares</w:t>
      </w:r>
      <w:r>
        <w:rPr>
          <w:color w:val="231F20"/>
          <w:spacing w:val="-7"/>
        </w:rPr>
        <w:t> </w:t>
      </w:r>
      <w:r>
        <w:rPr>
          <w:color w:val="231F20"/>
        </w:rPr>
        <w:t>que</w:t>
      </w:r>
      <w:r>
        <w:rPr>
          <w:color w:val="231F20"/>
          <w:spacing w:val="-7"/>
        </w:rPr>
        <w:t> </w:t>
      </w:r>
      <w:r>
        <w:rPr>
          <w:color w:val="231F20"/>
        </w:rPr>
        <w:t>arriban</w:t>
      </w:r>
      <w:r>
        <w:rPr>
          <w:color w:val="231F20"/>
          <w:spacing w:val="-8"/>
        </w:rPr>
        <w:t> </w:t>
      </w:r>
      <w:r>
        <w:rPr>
          <w:color w:val="231F20"/>
        </w:rPr>
        <w:t>a</w:t>
      </w:r>
      <w:r>
        <w:rPr>
          <w:color w:val="231F20"/>
          <w:spacing w:val="-7"/>
        </w:rPr>
        <w:t> </w:t>
      </w:r>
      <w:r>
        <w:rPr>
          <w:color w:val="231F20"/>
        </w:rPr>
        <w:t>los</w:t>
      </w:r>
      <w:r>
        <w:rPr>
          <w:color w:val="231F20"/>
          <w:spacing w:val="-8"/>
        </w:rPr>
        <w:t> </w:t>
      </w:r>
      <w:r>
        <w:rPr>
          <w:color w:val="231F20"/>
        </w:rPr>
        <w:t>países</w:t>
      </w:r>
      <w:r>
        <w:rPr>
          <w:color w:val="231F20"/>
          <w:spacing w:val="-7"/>
        </w:rPr>
        <w:t> </w:t>
      </w:r>
      <w:r>
        <w:rPr>
          <w:color w:val="231F20"/>
        </w:rPr>
        <w:t>expulsores.</w:t>
      </w:r>
      <w:r>
        <w:rPr>
          <w:color w:val="231F20"/>
          <w:spacing w:val="-8"/>
        </w:rPr>
        <w:t> </w:t>
      </w:r>
      <w:r>
        <w:rPr>
          <w:color w:val="231F20"/>
        </w:rPr>
        <w:t>Se</w:t>
      </w:r>
      <w:r>
        <w:rPr>
          <w:color w:val="231F20"/>
          <w:spacing w:val="-7"/>
        </w:rPr>
        <w:t> </w:t>
      </w:r>
      <w:r>
        <w:rPr>
          <w:color w:val="231F20"/>
        </w:rPr>
        <w:t>llega</w:t>
      </w:r>
      <w:r>
        <w:rPr>
          <w:color w:val="231F20"/>
          <w:spacing w:val="-8"/>
        </w:rPr>
        <w:t> </w:t>
      </w:r>
      <w:r>
        <w:rPr>
          <w:color w:val="231F20"/>
        </w:rPr>
        <w:t>a</w:t>
      </w:r>
      <w:r>
        <w:rPr>
          <w:color w:val="231F20"/>
          <w:spacing w:val="-7"/>
        </w:rPr>
        <w:t> </w:t>
      </w:r>
      <w:r>
        <w:rPr>
          <w:color w:val="231F20"/>
        </w:rPr>
        <w:t>crear</w:t>
      </w:r>
      <w:r>
        <w:rPr>
          <w:color w:val="231F20"/>
          <w:spacing w:val="-8"/>
        </w:rPr>
        <w:t> </w:t>
      </w:r>
      <w:r>
        <w:rPr>
          <w:color w:val="231F20"/>
        </w:rPr>
        <w:t>una</w:t>
      </w:r>
      <w:r>
        <w:rPr>
          <w:color w:val="231F20"/>
          <w:spacing w:val="-7"/>
        </w:rPr>
        <w:t> </w:t>
      </w:r>
      <w:r>
        <w:rPr>
          <w:color w:val="231F20"/>
        </w:rPr>
        <w:t>crecien- </w:t>
      </w:r>
      <w:r>
        <w:rPr>
          <w:color w:val="1A1A1A"/>
        </w:rPr>
        <w:t>te dependencia macroeconómica del país respecto a los recursos enviados por los emigrantes residentes en el exterior (Guarnizo,</w:t>
      </w:r>
      <w:r>
        <w:rPr>
          <w:color w:val="1A1A1A"/>
          <w:spacing w:val="-4"/>
        </w:rPr>
        <w:t> </w:t>
      </w:r>
      <w:r>
        <w:rPr>
          <w:color w:val="1A1A1A"/>
        </w:rPr>
        <w:t>2006).</w:t>
      </w:r>
    </w:p>
    <w:p>
      <w:pPr>
        <w:pStyle w:val="BodyText"/>
        <w:spacing w:line="247" w:lineRule="auto"/>
        <w:ind w:left="117" w:right="115" w:firstLine="283"/>
        <w:jc w:val="both"/>
      </w:pPr>
      <w:r>
        <w:rPr>
          <w:color w:val="231F20"/>
        </w:rPr>
        <w:t>En efecto, informes de organismos internacionales dejan claro que los migrantes no tan sólo ayudan a transformar sus países de origen sino tam- bién a las naciones que los reciben. El Fondo Multilateral de Inversiones (FOMIN) del Banco Interamericano de Desarrollo indica que los países de América Latina y el Caribe en el año 2006 recibieron alrededor de     62 300 millones de dólares enviados por sus emigrados, principalmente desde países industrializados de América del Norte, Europa y Asia. Los recursos superaron en 14 por ciento el total de</w:t>
      </w:r>
      <w:r>
        <w:rPr>
          <w:color w:val="231F20"/>
          <w:spacing w:val="-11"/>
        </w:rPr>
        <w:t> </w:t>
      </w:r>
      <w:r>
        <w:rPr>
          <w:color w:val="231F20"/>
        </w:rPr>
        <w:t>2005.</w:t>
      </w:r>
    </w:p>
    <w:p>
      <w:pPr>
        <w:pStyle w:val="BodyText"/>
        <w:spacing w:line="247" w:lineRule="auto"/>
        <w:ind w:left="117" w:right="115" w:firstLine="283"/>
        <w:jc w:val="both"/>
      </w:pPr>
      <w:r>
        <w:rPr>
          <w:color w:val="231F20"/>
        </w:rPr>
        <w:t>México fue el país que en 2006 recibió el mayor volumen de remesas, con unos 23 mil millones de dólares, seguido por Brasil, con alrededor de 7</w:t>
      </w:r>
      <w:r>
        <w:rPr>
          <w:color w:val="231F20"/>
          <w:spacing w:val="-9"/>
        </w:rPr>
        <w:t> </w:t>
      </w:r>
      <w:r>
        <w:rPr>
          <w:color w:val="231F20"/>
        </w:rPr>
        <w:t>400</w:t>
      </w:r>
      <w:r>
        <w:rPr>
          <w:color w:val="231F20"/>
          <w:spacing w:val="-9"/>
        </w:rPr>
        <w:t> </w:t>
      </w:r>
      <w:r>
        <w:rPr>
          <w:color w:val="231F20"/>
        </w:rPr>
        <w:t>millones</w:t>
      </w:r>
      <w:r>
        <w:rPr>
          <w:color w:val="231F20"/>
          <w:spacing w:val="-9"/>
        </w:rPr>
        <w:t> </w:t>
      </w:r>
      <w:r>
        <w:rPr>
          <w:color w:val="231F20"/>
        </w:rPr>
        <w:t>de</w:t>
      </w:r>
      <w:r>
        <w:rPr>
          <w:color w:val="231F20"/>
          <w:spacing w:val="-8"/>
        </w:rPr>
        <w:t> </w:t>
      </w:r>
      <w:r>
        <w:rPr>
          <w:color w:val="231F20"/>
        </w:rPr>
        <w:t>dólares,</w:t>
      </w:r>
      <w:r>
        <w:rPr>
          <w:color w:val="231F20"/>
          <w:spacing w:val="-8"/>
        </w:rPr>
        <w:t> </w:t>
      </w:r>
      <w:r>
        <w:rPr>
          <w:color w:val="231F20"/>
        </w:rPr>
        <w:t>y</w:t>
      </w:r>
      <w:r>
        <w:rPr>
          <w:color w:val="231F20"/>
          <w:spacing w:val="-9"/>
        </w:rPr>
        <w:t> </w:t>
      </w:r>
      <w:r>
        <w:rPr>
          <w:color w:val="231F20"/>
        </w:rPr>
        <w:t>Colombia,</w:t>
      </w:r>
      <w:r>
        <w:rPr>
          <w:color w:val="231F20"/>
          <w:spacing w:val="-9"/>
        </w:rPr>
        <w:t> </w:t>
      </w:r>
      <w:r>
        <w:rPr>
          <w:color w:val="231F20"/>
        </w:rPr>
        <w:t>con</w:t>
      </w:r>
      <w:r>
        <w:rPr>
          <w:color w:val="231F20"/>
          <w:spacing w:val="-9"/>
        </w:rPr>
        <w:t> </w:t>
      </w:r>
      <w:r>
        <w:rPr>
          <w:color w:val="231F20"/>
        </w:rPr>
        <w:t>4</w:t>
      </w:r>
      <w:r>
        <w:rPr>
          <w:color w:val="231F20"/>
          <w:spacing w:val="-9"/>
        </w:rPr>
        <w:t> </w:t>
      </w:r>
      <w:r>
        <w:rPr>
          <w:color w:val="231F20"/>
        </w:rPr>
        <w:t>200</w:t>
      </w:r>
      <w:r>
        <w:rPr>
          <w:color w:val="231F20"/>
          <w:spacing w:val="-9"/>
        </w:rPr>
        <w:t> </w:t>
      </w:r>
      <w:r>
        <w:rPr>
          <w:color w:val="231F20"/>
        </w:rPr>
        <w:t>millones</w:t>
      </w:r>
      <w:r>
        <w:rPr>
          <w:color w:val="231F20"/>
          <w:spacing w:val="-9"/>
        </w:rPr>
        <w:t> </w:t>
      </w:r>
      <w:r>
        <w:rPr>
          <w:color w:val="231F20"/>
        </w:rPr>
        <w:t>de</w:t>
      </w:r>
      <w:r>
        <w:rPr>
          <w:color w:val="231F20"/>
          <w:spacing w:val="-8"/>
        </w:rPr>
        <w:t> </w:t>
      </w:r>
      <w:r>
        <w:rPr>
          <w:color w:val="231F20"/>
        </w:rPr>
        <w:t>dólares.</w:t>
      </w:r>
      <w:r>
        <w:rPr>
          <w:color w:val="231F20"/>
          <w:spacing w:val="-8"/>
        </w:rPr>
        <w:t> </w:t>
      </w:r>
      <w:r>
        <w:rPr>
          <w:color w:val="231F20"/>
        </w:rPr>
        <w:t>Paí- ses</w:t>
      </w:r>
      <w:r>
        <w:rPr>
          <w:color w:val="231F20"/>
          <w:spacing w:val="-9"/>
        </w:rPr>
        <w:t> </w:t>
      </w:r>
      <w:r>
        <w:rPr>
          <w:color w:val="231F20"/>
        </w:rPr>
        <w:t>como</w:t>
      </w:r>
      <w:r>
        <w:rPr>
          <w:color w:val="231F20"/>
          <w:spacing w:val="-9"/>
        </w:rPr>
        <w:t> </w:t>
      </w:r>
      <w:r>
        <w:rPr>
          <w:color w:val="231F20"/>
        </w:rPr>
        <w:t>Guatemala,</w:t>
      </w:r>
      <w:r>
        <w:rPr>
          <w:color w:val="231F20"/>
          <w:spacing w:val="-8"/>
        </w:rPr>
        <w:t> </w:t>
      </w:r>
      <w:r>
        <w:rPr>
          <w:color w:val="231F20"/>
        </w:rPr>
        <w:t>El</w:t>
      </w:r>
      <w:r>
        <w:rPr>
          <w:color w:val="231F20"/>
          <w:spacing w:val="-9"/>
        </w:rPr>
        <w:t> </w:t>
      </w:r>
      <w:r>
        <w:rPr>
          <w:color w:val="231F20"/>
        </w:rPr>
        <w:t>Salvador,</w:t>
      </w:r>
      <w:r>
        <w:rPr>
          <w:color w:val="231F20"/>
          <w:spacing w:val="-9"/>
        </w:rPr>
        <w:t> </w:t>
      </w:r>
      <w:r>
        <w:rPr>
          <w:color w:val="231F20"/>
        </w:rPr>
        <w:t>República</w:t>
      </w:r>
      <w:r>
        <w:rPr>
          <w:color w:val="231F20"/>
          <w:spacing w:val="-9"/>
        </w:rPr>
        <w:t> </w:t>
      </w:r>
      <w:r>
        <w:rPr>
          <w:color w:val="231F20"/>
        </w:rPr>
        <w:t>Dominicana,</w:t>
      </w:r>
      <w:r>
        <w:rPr>
          <w:color w:val="231F20"/>
          <w:spacing w:val="-8"/>
        </w:rPr>
        <w:t> </w:t>
      </w:r>
      <w:r>
        <w:rPr>
          <w:color w:val="231F20"/>
        </w:rPr>
        <w:t>Ecuador</w:t>
      </w:r>
      <w:r>
        <w:rPr>
          <w:color w:val="231F20"/>
          <w:spacing w:val="-10"/>
        </w:rPr>
        <w:t> </w:t>
      </w:r>
      <w:r>
        <w:rPr>
          <w:color w:val="231F20"/>
        </w:rPr>
        <w:t>y</w:t>
      </w:r>
      <w:r>
        <w:rPr>
          <w:color w:val="231F20"/>
          <w:spacing w:val="-9"/>
        </w:rPr>
        <w:t> </w:t>
      </w:r>
      <w:r>
        <w:rPr>
          <w:color w:val="231F20"/>
        </w:rPr>
        <w:t>Perú superaron los tres mil millones de dólares en ese año. En las proyecciones hechas en el año 2007 por el FOMIN sobre los flujos de dinero enviados por</w:t>
      </w:r>
      <w:r>
        <w:rPr>
          <w:color w:val="231F20"/>
          <w:spacing w:val="-4"/>
        </w:rPr>
        <w:t> </w:t>
      </w:r>
      <w:r>
        <w:rPr>
          <w:color w:val="231F20"/>
        </w:rPr>
        <w:t>emigrados</w:t>
      </w:r>
      <w:r>
        <w:rPr>
          <w:color w:val="231F20"/>
          <w:spacing w:val="-4"/>
        </w:rPr>
        <w:t> </w:t>
      </w:r>
      <w:r>
        <w:rPr>
          <w:color w:val="231F20"/>
        </w:rPr>
        <w:t>latinoamericanos</w:t>
      </w:r>
      <w:r>
        <w:rPr>
          <w:color w:val="231F20"/>
          <w:spacing w:val="-5"/>
        </w:rPr>
        <w:t> </w:t>
      </w:r>
      <w:r>
        <w:rPr>
          <w:color w:val="231F20"/>
        </w:rPr>
        <w:t>y</w:t>
      </w:r>
      <w:r>
        <w:rPr>
          <w:color w:val="231F20"/>
          <w:spacing w:val="-4"/>
        </w:rPr>
        <w:t> </w:t>
      </w:r>
      <w:r>
        <w:rPr>
          <w:color w:val="231F20"/>
        </w:rPr>
        <w:t>caribeños</w:t>
      </w:r>
      <w:r>
        <w:rPr>
          <w:color w:val="231F20"/>
          <w:spacing w:val="-5"/>
        </w:rPr>
        <w:t> </w:t>
      </w:r>
      <w:r>
        <w:rPr>
          <w:color w:val="231F20"/>
        </w:rPr>
        <w:t>a</w:t>
      </w:r>
      <w:r>
        <w:rPr>
          <w:color w:val="231F20"/>
          <w:spacing w:val="-4"/>
        </w:rPr>
        <w:t> </w:t>
      </w:r>
      <w:r>
        <w:rPr>
          <w:color w:val="231F20"/>
        </w:rPr>
        <w:t>sus</w:t>
      </w:r>
      <w:r>
        <w:rPr>
          <w:color w:val="231F20"/>
          <w:spacing w:val="-4"/>
        </w:rPr>
        <w:t> </w:t>
      </w:r>
      <w:r>
        <w:rPr>
          <w:color w:val="231F20"/>
        </w:rPr>
        <w:t>países</w:t>
      </w:r>
      <w:r>
        <w:rPr>
          <w:color w:val="231F20"/>
          <w:spacing w:val="-4"/>
        </w:rPr>
        <w:t> </w:t>
      </w:r>
      <w:r>
        <w:rPr>
          <w:color w:val="231F20"/>
        </w:rPr>
        <w:t>de</w:t>
      </w:r>
      <w:r>
        <w:rPr>
          <w:color w:val="231F20"/>
          <w:spacing w:val="-4"/>
        </w:rPr>
        <w:t> </w:t>
      </w:r>
      <w:r>
        <w:rPr>
          <w:color w:val="231F20"/>
        </w:rPr>
        <w:t>origen,</w:t>
      </w:r>
      <w:r>
        <w:rPr>
          <w:color w:val="231F20"/>
          <w:spacing w:val="-4"/>
        </w:rPr>
        <w:t> </w:t>
      </w:r>
      <w:r>
        <w:rPr>
          <w:color w:val="231F20"/>
        </w:rPr>
        <w:t>se</w:t>
      </w:r>
      <w:r>
        <w:rPr>
          <w:color w:val="231F20"/>
          <w:spacing w:val="-4"/>
        </w:rPr>
        <w:t> </w:t>
      </w:r>
      <w:r>
        <w:rPr>
          <w:color w:val="231F20"/>
        </w:rPr>
        <w:t>ase- guraba que las tendencias económicas y demográficas en América Latina y el Caribe y en los países industrializados, las remesas seguirían aumen- tando</w:t>
      </w:r>
      <w:r>
        <w:rPr>
          <w:color w:val="231F20"/>
          <w:spacing w:val="-5"/>
        </w:rPr>
        <w:t> </w:t>
      </w:r>
      <w:r>
        <w:rPr>
          <w:color w:val="231F20"/>
        </w:rPr>
        <w:t>en</w:t>
      </w:r>
      <w:r>
        <w:rPr>
          <w:color w:val="231F20"/>
          <w:spacing w:val="-5"/>
        </w:rPr>
        <w:t> </w:t>
      </w:r>
      <w:r>
        <w:rPr>
          <w:color w:val="231F20"/>
        </w:rPr>
        <w:t>volumen</w:t>
      </w:r>
      <w:r>
        <w:rPr>
          <w:color w:val="231F20"/>
          <w:spacing w:val="-5"/>
        </w:rPr>
        <w:t> </w:t>
      </w:r>
      <w:r>
        <w:rPr>
          <w:color w:val="231F20"/>
        </w:rPr>
        <w:t>hasta</w:t>
      </w:r>
      <w:r>
        <w:rPr>
          <w:color w:val="231F20"/>
          <w:spacing w:val="-5"/>
        </w:rPr>
        <w:t> </w:t>
      </w:r>
      <w:r>
        <w:rPr>
          <w:color w:val="231F20"/>
        </w:rPr>
        <w:t>alcanzar</w:t>
      </w:r>
      <w:r>
        <w:rPr>
          <w:color w:val="231F20"/>
          <w:spacing w:val="-5"/>
        </w:rPr>
        <w:t> </w:t>
      </w:r>
      <w:r>
        <w:rPr>
          <w:color w:val="231F20"/>
        </w:rPr>
        <w:t>100</w:t>
      </w:r>
      <w:r>
        <w:rPr>
          <w:color w:val="231F20"/>
          <w:spacing w:val="-5"/>
        </w:rPr>
        <w:t> </w:t>
      </w:r>
      <w:r>
        <w:rPr>
          <w:color w:val="231F20"/>
        </w:rPr>
        <w:t>mil</w:t>
      </w:r>
      <w:r>
        <w:rPr>
          <w:color w:val="231F20"/>
          <w:spacing w:val="-5"/>
        </w:rPr>
        <w:t> </w:t>
      </w:r>
      <w:r>
        <w:rPr>
          <w:color w:val="231F20"/>
        </w:rPr>
        <w:t>millones</w:t>
      </w:r>
      <w:r>
        <w:rPr>
          <w:color w:val="231F20"/>
          <w:spacing w:val="-5"/>
        </w:rPr>
        <w:t> </w:t>
      </w:r>
      <w:r>
        <w:rPr>
          <w:color w:val="231F20"/>
        </w:rPr>
        <w:t>de</w:t>
      </w:r>
      <w:r>
        <w:rPr>
          <w:color w:val="231F20"/>
          <w:spacing w:val="-5"/>
        </w:rPr>
        <w:t> </w:t>
      </w:r>
      <w:r>
        <w:rPr>
          <w:color w:val="231F20"/>
        </w:rPr>
        <w:t>dólares</w:t>
      </w:r>
      <w:r>
        <w:rPr>
          <w:color w:val="231F20"/>
          <w:spacing w:val="-5"/>
        </w:rPr>
        <w:t> </w:t>
      </w:r>
      <w:r>
        <w:rPr>
          <w:color w:val="231F20"/>
        </w:rPr>
        <w:t>anuales</w:t>
      </w:r>
      <w:r>
        <w:rPr>
          <w:color w:val="231F20"/>
          <w:spacing w:val="-5"/>
        </w:rPr>
        <w:t> </w:t>
      </w:r>
      <w:r>
        <w:rPr>
          <w:color w:val="231F20"/>
        </w:rPr>
        <w:t>en</w:t>
      </w:r>
      <w:r>
        <w:rPr>
          <w:color w:val="231F20"/>
          <w:spacing w:val="-5"/>
        </w:rPr>
        <w:t> </w:t>
      </w:r>
      <w:r>
        <w:rPr>
          <w:color w:val="231F20"/>
        </w:rPr>
        <w:t>el 2010 (Banco Interamericano de Desarrollo,</w:t>
      </w:r>
      <w:r>
        <w:rPr>
          <w:color w:val="231F20"/>
          <w:spacing w:val="-10"/>
        </w:rPr>
        <w:t> </w:t>
      </w:r>
      <w:r>
        <w:rPr>
          <w:color w:val="231F20"/>
        </w:rPr>
        <w:t>2007).</w:t>
      </w:r>
    </w:p>
    <w:p>
      <w:pPr>
        <w:pStyle w:val="BodyText"/>
        <w:spacing w:line="247" w:lineRule="auto"/>
        <w:ind w:left="117" w:right="115" w:firstLine="283"/>
        <w:jc w:val="both"/>
      </w:pPr>
      <w:r>
        <w:rPr>
          <w:color w:val="231F20"/>
        </w:rPr>
        <w:t>La tendencia al cumplimiento de tales predicciones se presentó en    los siguientes años. Estadísticas del informe “Panorama social 2005 de   la </w:t>
      </w:r>
      <w:r>
        <w:rPr>
          <w:color w:val="231F20"/>
          <w:spacing w:val="-4"/>
        </w:rPr>
        <w:t>CEPAL” </w:t>
      </w:r>
      <w:r>
        <w:rPr>
          <w:color w:val="231F20"/>
        </w:rPr>
        <w:t>señalaron que las remesas de emigrantes latinoamericanos y caribeños a sus países sumaron unos 45 mil millones de dólares en 2004, lo cual indica una constante de crecimiento de los recursos enviados por trabajadores emigrantes a sus</w:t>
      </w:r>
      <w:r>
        <w:rPr>
          <w:color w:val="231F20"/>
          <w:spacing w:val="-4"/>
        </w:rPr>
        <w:t> </w:t>
      </w:r>
      <w:r>
        <w:rPr>
          <w:color w:val="231F20"/>
        </w:rPr>
        <w:t>países.</w:t>
      </w:r>
    </w:p>
    <w:p>
      <w:pPr>
        <w:pStyle w:val="BodyText"/>
        <w:spacing w:line="247" w:lineRule="auto"/>
        <w:ind w:left="117" w:right="114" w:firstLine="283"/>
        <w:jc w:val="both"/>
      </w:pPr>
      <w:r>
        <w:rPr>
          <w:color w:val="231F20"/>
        </w:rPr>
        <w:t>Por su parte informes del Banco Mundial aseguraron que trabajadores de países latinoamericanos y caribeños, en el año 2007, enviaron desde Estados Unidos más de 281 mil millones de dólares a sus familias en sus países</w:t>
      </w:r>
      <w:r>
        <w:rPr>
          <w:color w:val="231F20"/>
          <w:spacing w:val="-10"/>
        </w:rPr>
        <w:t> </w:t>
      </w:r>
      <w:r>
        <w:rPr>
          <w:color w:val="231F20"/>
        </w:rPr>
        <w:t>de</w:t>
      </w:r>
      <w:r>
        <w:rPr>
          <w:color w:val="231F20"/>
          <w:spacing w:val="-10"/>
        </w:rPr>
        <w:t> </w:t>
      </w:r>
      <w:r>
        <w:rPr>
          <w:color w:val="231F20"/>
        </w:rPr>
        <w:t>origen</w:t>
      </w:r>
      <w:r>
        <w:rPr>
          <w:color w:val="231F20"/>
          <w:spacing w:val="-10"/>
        </w:rPr>
        <w:t> </w:t>
      </w:r>
      <w:r>
        <w:rPr>
          <w:color w:val="231F20"/>
          <w:spacing w:val="-3"/>
        </w:rPr>
        <w:t>(World</w:t>
      </w:r>
      <w:r>
        <w:rPr>
          <w:color w:val="231F20"/>
          <w:spacing w:val="-10"/>
        </w:rPr>
        <w:t> </w:t>
      </w:r>
      <w:r>
        <w:rPr>
          <w:color w:val="231F20"/>
        </w:rPr>
        <w:t>Bank,</w:t>
      </w:r>
      <w:r>
        <w:rPr>
          <w:color w:val="231F20"/>
          <w:spacing w:val="-10"/>
        </w:rPr>
        <w:t> </w:t>
      </w:r>
      <w:r>
        <w:rPr>
          <w:color w:val="231F20"/>
        </w:rPr>
        <w:t>2009).</w:t>
      </w:r>
      <w:r>
        <w:rPr>
          <w:color w:val="231F20"/>
          <w:spacing w:val="-10"/>
        </w:rPr>
        <w:t> </w:t>
      </w:r>
      <w:r>
        <w:rPr>
          <w:color w:val="231F20"/>
        </w:rPr>
        <w:t>La</w:t>
      </w:r>
      <w:r>
        <w:rPr>
          <w:color w:val="231F20"/>
          <w:spacing w:val="-10"/>
        </w:rPr>
        <w:t> </w:t>
      </w:r>
      <w:r>
        <w:rPr>
          <w:color w:val="231F20"/>
        </w:rPr>
        <w:t>investigación</w:t>
      </w:r>
      <w:r>
        <w:rPr>
          <w:color w:val="231F20"/>
          <w:spacing w:val="-10"/>
        </w:rPr>
        <w:t> </w:t>
      </w:r>
      <w:r>
        <w:rPr>
          <w:color w:val="231F20"/>
        </w:rPr>
        <w:t>reciente</w:t>
      </w:r>
      <w:r>
        <w:rPr>
          <w:color w:val="231F20"/>
          <w:spacing w:val="-10"/>
        </w:rPr>
        <w:t> </w:t>
      </w:r>
      <w:r>
        <w:rPr>
          <w:color w:val="231F20"/>
        </w:rPr>
        <w:t>sugiere</w:t>
      </w:r>
      <w:r>
        <w:rPr>
          <w:color w:val="231F20"/>
          <w:spacing w:val="-10"/>
        </w:rPr>
        <w:t> </w:t>
      </w:r>
      <w:r>
        <w:rPr>
          <w:color w:val="231F20"/>
        </w:rPr>
        <w:t>que las remesas tienen implicaciones importantes para las economías de los países receptores de remesas.</w:t>
      </w:r>
    </w:p>
    <w:p>
      <w:pPr>
        <w:pStyle w:val="BodyText"/>
        <w:spacing w:line="247" w:lineRule="auto"/>
        <w:ind w:left="117" w:right="115" w:firstLine="283"/>
        <w:jc w:val="both"/>
      </w:pPr>
      <w:r>
        <w:rPr>
          <w:color w:val="231F20"/>
        </w:rPr>
        <w:t>Sin embargo, como lo señala Luis Felipe Cabrales (1997) —en su tra- bajo</w:t>
      </w:r>
      <w:r>
        <w:rPr>
          <w:color w:val="231F20"/>
          <w:spacing w:val="-10"/>
        </w:rPr>
        <w:t> </w:t>
      </w:r>
      <w:r>
        <w:rPr>
          <w:color w:val="231F20"/>
        </w:rPr>
        <w:t>sobre</w:t>
      </w:r>
      <w:r>
        <w:rPr>
          <w:color w:val="231F20"/>
          <w:spacing w:val="-10"/>
        </w:rPr>
        <w:t> </w:t>
      </w:r>
      <w:r>
        <w:rPr>
          <w:color w:val="231F20"/>
        </w:rPr>
        <w:t>el</w:t>
      </w:r>
      <w:r>
        <w:rPr>
          <w:color w:val="231F20"/>
          <w:spacing w:val="-10"/>
        </w:rPr>
        <w:t> </w:t>
      </w:r>
      <w:r>
        <w:rPr>
          <w:color w:val="231F20"/>
        </w:rPr>
        <w:t>análisis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ahorros</w:t>
      </w:r>
      <w:r>
        <w:rPr>
          <w:color w:val="231F20"/>
          <w:spacing w:val="-10"/>
        </w:rPr>
        <w:t> </w:t>
      </w:r>
      <w:r>
        <w:rPr>
          <w:color w:val="231F20"/>
        </w:rPr>
        <w:t>y</w:t>
      </w:r>
      <w:r>
        <w:rPr>
          <w:color w:val="231F20"/>
          <w:spacing w:val="-10"/>
        </w:rPr>
        <w:t> </w:t>
      </w:r>
      <w:r>
        <w:rPr>
          <w:color w:val="231F20"/>
        </w:rPr>
        <w:t>destinos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flujos</w:t>
      </w:r>
      <w:r>
        <w:rPr>
          <w:color w:val="231F20"/>
          <w:spacing w:val="-10"/>
        </w:rPr>
        <w:t> </w:t>
      </w:r>
      <w:r>
        <w:rPr>
          <w:color w:val="231F20"/>
        </w:rPr>
        <w:t>de</w:t>
      </w:r>
      <w:r>
        <w:rPr>
          <w:color w:val="231F20"/>
          <w:spacing w:val="-10"/>
        </w:rPr>
        <w:t> </w:t>
      </w:r>
      <w:r>
        <w:rPr>
          <w:color w:val="231F20"/>
        </w:rPr>
        <w:t>remesas—</w:t>
      </w:r>
      <w:r>
        <w:rPr>
          <w:color w:val="231F20"/>
          <w:spacing w:val="-10"/>
        </w:rPr>
        <w:t> </w:t>
      </w:r>
      <w:r>
        <w:rPr>
          <w:color w:val="231F20"/>
        </w:rPr>
        <w:t>si se</w:t>
      </w:r>
      <w:r>
        <w:rPr>
          <w:color w:val="231F20"/>
          <w:spacing w:val="-5"/>
        </w:rPr>
        <w:t> </w:t>
      </w:r>
      <w:r>
        <w:rPr>
          <w:color w:val="231F20"/>
        </w:rPr>
        <w:t>presentan</w:t>
      </w:r>
      <w:r>
        <w:rPr>
          <w:color w:val="231F20"/>
          <w:spacing w:val="-5"/>
        </w:rPr>
        <w:t> </w:t>
      </w:r>
      <w:r>
        <w:rPr>
          <w:color w:val="231F20"/>
        </w:rPr>
        <w:t>problemas</w:t>
      </w:r>
      <w:r>
        <w:rPr>
          <w:color w:val="231F20"/>
          <w:spacing w:val="-5"/>
        </w:rPr>
        <w:t> </w:t>
      </w:r>
      <w:r>
        <w:rPr>
          <w:color w:val="231F20"/>
        </w:rPr>
        <w:t>para</w:t>
      </w:r>
      <w:r>
        <w:rPr>
          <w:color w:val="231F20"/>
          <w:spacing w:val="-5"/>
        </w:rPr>
        <w:t> </w:t>
      </w:r>
      <w:r>
        <w:rPr>
          <w:color w:val="231F20"/>
        </w:rPr>
        <w:t>la</w:t>
      </w:r>
      <w:r>
        <w:rPr>
          <w:color w:val="231F20"/>
          <w:spacing w:val="-5"/>
        </w:rPr>
        <w:t> </w:t>
      </w:r>
      <w:r>
        <w:rPr>
          <w:color w:val="231F20"/>
        </w:rPr>
        <w:t>cuantificación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montos</w:t>
      </w:r>
      <w:r>
        <w:rPr>
          <w:color w:val="231F20"/>
          <w:spacing w:val="-5"/>
        </w:rPr>
        <w:t> </w:t>
      </w:r>
      <w:r>
        <w:rPr>
          <w:color w:val="231F20"/>
        </w:rPr>
        <w:t>y</w:t>
      </w:r>
      <w:r>
        <w:rPr>
          <w:color w:val="231F20"/>
          <w:spacing w:val="-5"/>
        </w:rPr>
        <w:t> </w:t>
      </w:r>
      <w:r>
        <w:rPr>
          <w:color w:val="231F20"/>
        </w:rPr>
        <w:t>los</w:t>
      </w:r>
      <w:r>
        <w:rPr>
          <w:color w:val="231F20"/>
          <w:spacing w:val="-5"/>
        </w:rPr>
        <w:t> </w:t>
      </w:r>
      <w:r>
        <w:rPr>
          <w:color w:val="231F20"/>
        </w:rPr>
        <w:t>flujos</w:t>
      </w:r>
      <w:r>
        <w:rPr>
          <w:color w:val="231F20"/>
          <w:spacing w:val="-5"/>
        </w:rPr>
        <w:t> </w:t>
      </w:r>
      <w:r>
        <w:rPr>
          <w:color w:val="231F20"/>
        </w:rPr>
        <w:t>de las</w:t>
      </w:r>
      <w:r>
        <w:rPr>
          <w:color w:val="231F20"/>
          <w:spacing w:val="-10"/>
        </w:rPr>
        <w:t> </w:t>
      </w:r>
      <w:r>
        <w:rPr>
          <w:color w:val="231F20"/>
        </w:rPr>
        <w:t>remesas</w:t>
      </w:r>
      <w:r>
        <w:rPr>
          <w:color w:val="231F20"/>
          <w:spacing w:val="-9"/>
        </w:rPr>
        <w:t> </w:t>
      </w:r>
      <w:r>
        <w:rPr>
          <w:color w:val="231F20"/>
        </w:rPr>
        <w:t>que</w:t>
      </w:r>
      <w:r>
        <w:rPr>
          <w:color w:val="231F20"/>
          <w:spacing w:val="-9"/>
        </w:rPr>
        <w:t> </w:t>
      </w:r>
      <w:r>
        <w:rPr>
          <w:color w:val="231F20"/>
        </w:rPr>
        <w:t>ingresan</w:t>
      </w:r>
      <w:r>
        <w:rPr>
          <w:color w:val="231F20"/>
          <w:spacing w:val="-10"/>
        </w:rPr>
        <w:t> </w:t>
      </w:r>
      <w:r>
        <w:rPr>
          <w:color w:val="231F20"/>
        </w:rPr>
        <w:t>a</w:t>
      </w:r>
      <w:r>
        <w:rPr>
          <w:color w:val="231F20"/>
          <w:spacing w:val="-10"/>
        </w:rPr>
        <w:t> </w:t>
      </w:r>
      <w:r>
        <w:rPr>
          <w:color w:val="231F20"/>
        </w:rPr>
        <w:t>países</w:t>
      </w:r>
      <w:r>
        <w:rPr>
          <w:color w:val="231F20"/>
          <w:spacing w:val="-9"/>
        </w:rPr>
        <w:t> </w:t>
      </w:r>
      <w:r>
        <w:rPr>
          <w:color w:val="231F20"/>
        </w:rPr>
        <w:t>como</w:t>
      </w:r>
      <w:r>
        <w:rPr>
          <w:color w:val="231F20"/>
          <w:spacing w:val="-10"/>
        </w:rPr>
        <w:t> </w:t>
      </w:r>
      <w:r>
        <w:rPr>
          <w:color w:val="231F20"/>
        </w:rPr>
        <w:t>México,</w:t>
      </w:r>
      <w:r>
        <w:rPr>
          <w:color w:val="231F20"/>
          <w:spacing w:val="-9"/>
        </w:rPr>
        <w:t> </w:t>
      </w:r>
      <w:r>
        <w:rPr>
          <w:color w:val="231F20"/>
        </w:rPr>
        <w:t>mucho</w:t>
      </w:r>
      <w:r>
        <w:rPr>
          <w:color w:val="231F20"/>
          <w:spacing w:val="-10"/>
        </w:rPr>
        <w:t> </w:t>
      </w:r>
      <w:r>
        <w:rPr>
          <w:color w:val="231F20"/>
        </w:rPr>
        <w:t>más</w:t>
      </w:r>
      <w:r>
        <w:rPr>
          <w:color w:val="231F20"/>
          <w:spacing w:val="-10"/>
        </w:rPr>
        <w:t> </w:t>
      </w:r>
      <w:r>
        <w:rPr>
          <w:color w:val="231F20"/>
        </w:rPr>
        <w:t>complejo</w:t>
      </w:r>
      <w:r>
        <w:rPr>
          <w:color w:val="231F20"/>
          <w:spacing w:val="-10"/>
        </w:rPr>
        <w:t> </w:t>
      </w:r>
      <w:r>
        <w:rPr>
          <w:color w:val="231F20"/>
        </w:rPr>
        <w:t>será</w:t>
      </w:r>
    </w:p>
    <w:p>
      <w:pPr>
        <w:spacing w:after="0" w:line="247" w:lineRule="auto"/>
        <w:jc w:val="both"/>
        <w:sectPr>
          <w:pgSz w:w="9360" w:h="13040"/>
          <w:pgMar w:header="0" w:footer="496" w:top="740" w:bottom="680" w:left="1300" w:right="1300"/>
        </w:sectPr>
      </w:pPr>
    </w:p>
    <w:p>
      <w:pPr>
        <w:tabs>
          <w:tab w:pos="5536" w:val="left" w:leader="none"/>
        </w:tabs>
        <w:spacing w:before="51"/>
        <w:ind w:left="117" w:right="0" w:firstLine="5"/>
        <w:jc w:val="both"/>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114"/>
        <w:jc w:val="both"/>
      </w:pPr>
      <w:r>
        <w:rPr>
          <w:color w:val="231F20"/>
        </w:rPr>
        <w:t>el poder identificar los impactos que de ellas se derivan, esto por la com- plejidad del proceso de circulación del dinero ingresante, puesto que se trata de una “operación hormiga” que en muchos de los casos realizan los migrantes dentro del país, además de lo complejo y diverso de los medios a través de los cuales lo efectúan.</w:t>
      </w:r>
    </w:p>
    <w:p>
      <w:pPr>
        <w:pStyle w:val="BodyText"/>
        <w:spacing w:line="247" w:lineRule="auto"/>
        <w:ind w:left="117" w:right="114" w:firstLine="283"/>
        <w:jc w:val="both"/>
      </w:pPr>
      <w:r>
        <w:rPr>
          <w:color w:val="231F20"/>
        </w:rPr>
        <w:t>Lo que sí es de reflexionar, es que las remesas familiares no pueden considerarse como un factor único para el desarrollo regional, el cual re- quiere de programas estructurados a los sistemas de producción y de los cuales el Estado es el principal impulsor, los recursos provenientes del esfuerzo</w:t>
      </w:r>
      <w:r>
        <w:rPr>
          <w:color w:val="231F20"/>
          <w:spacing w:val="-12"/>
        </w:rPr>
        <w:t> </w:t>
      </w:r>
      <w:r>
        <w:rPr>
          <w:color w:val="231F20"/>
        </w:rPr>
        <w:t>de</w:t>
      </w:r>
      <w:r>
        <w:rPr>
          <w:color w:val="231F20"/>
          <w:spacing w:val="-11"/>
        </w:rPr>
        <w:t> </w:t>
      </w:r>
      <w:r>
        <w:rPr>
          <w:color w:val="231F20"/>
        </w:rPr>
        <w:t>los</w:t>
      </w:r>
      <w:r>
        <w:rPr>
          <w:color w:val="231F20"/>
          <w:spacing w:val="-12"/>
        </w:rPr>
        <w:t> </w:t>
      </w:r>
      <w:r>
        <w:rPr>
          <w:color w:val="231F20"/>
        </w:rPr>
        <w:t>emigrantes</w:t>
      </w:r>
      <w:r>
        <w:rPr>
          <w:color w:val="231F20"/>
          <w:spacing w:val="-12"/>
        </w:rPr>
        <w:t> </w:t>
      </w:r>
      <w:r>
        <w:rPr>
          <w:color w:val="231F20"/>
        </w:rPr>
        <w:t>son</w:t>
      </w:r>
      <w:r>
        <w:rPr>
          <w:color w:val="231F20"/>
          <w:spacing w:val="-11"/>
        </w:rPr>
        <w:t> </w:t>
      </w:r>
      <w:r>
        <w:rPr>
          <w:color w:val="231F20"/>
        </w:rPr>
        <w:t>apoyo</w:t>
      </w:r>
      <w:r>
        <w:rPr>
          <w:color w:val="231F20"/>
          <w:spacing w:val="-12"/>
        </w:rPr>
        <w:t> </w:t>
      </w:r>
      <w:r>
        <w:rPr>
          <w:color w:val="231F20"/>
        </w:rPr>
        <w:t>para</w:t>
      </w:r>
      <w:r>
        <w:rPr>
          <w:color w:val="231F20"/>
          <w:spacing w:val="-11"/>
        </w:rPr>
        <w:t> </w:t>
      </w:r>
      <w:r>
        <w:rPr>
          <w:color w:val="231F20"/>
        </w:rPr>
        <w:t>sostener</w:t>
      </w:r>
      <w:r>
        <w:rPr>
          <w:color w:val="231F20"/>
          <w:spacing w:val="-11"/>
        </w:rPr>
        <w:t> </w:t>
      </w:r>
      <w:r>
        <w:rPr>
          <w:color w:val="231F20"/>
        </w:rPr>
        <w:t>la</w:t>
      </w:r>
      <w:r>
        <w:rPr>
          <w:color w:val="231F20"/>
          <w:spacing w:val="-11"/>
        </w:rPr>
        <w:t> </w:t>
      </w:r>
      <w:r>
        <w:rPr>
          <w:color w:val="231F20"/>
        </w:rPr>
        <w:t>economía</w:t>
      </w:r>
      <w:r>
        <w:rPr>
          <w:color w:val="231F20"/>
          <w:spacing w:val="-12"/>
        </w:rPr>
        <w:t> </w:t>
      </w:r>
      <w:r>
        <w:rPr>
          <w:color w:val="231F20"/>
        </w:rPr>
        <w:t>de</w:t>
      </w:r>
      <w:r>
        <w:rPr>
          <w:color w:val="231F20"/>
          <w:spacing w:val="-11"/>
        </w:rPr>
        <w:t> </w:t>
      </w:r>
      <w:r>
        <w:rPr>
          <w:color w:val="231F20"/>
        </w:rPr>
        <w:t>muchos hogares latinoamericanos, pero también es de aclarar, que las remesas no deben constituirse necesariamente como una herramienta para potenciar</w:t>
      </w:r>
      <w:r>
        <w:rPr>
          <w:color w:val="231F20"/>
          <w:spacing w:val="-33"/>
        </w:rPr>
        <w:t> </w:t>
      </w:r>
      <w:r>
        <w:rPr>
          <w:color w:val="231F20"/>
        </w:rPr>
        <w:t>el desarrollo, sino que esta función es una responsabilidad que debe asumir el Estado (Morales,</w:t>
      </w:r>
      <w:r>
        <w:rPr>
          <w:color w:val="231F20"/>
          <w:spacing w:val="-1"/>
        </w:rPr>
        <w:t> </w:t>
      </w:r>
      <w:r>
        <w:rPr>
          <w:color w:val="231F20"/>
        </w:rPr>
        <w:t>2006).</w:t>
      </w:r>
    </w:p>
    <w:p>
      <w:pPr>
        <w:pStyle w:val="Heading3"/>
      </w:pPr>
      <w:r>
        <w:rPr>
          <w:color w:val="231F20"/>
        </w:rPr>
        <w:t>Conclusiones</w:t>
      </w:r>
    </w:p>
    <w:p>
      <w:pPr>
        <w:pStyle w:val="BodyText"/>
        <w:spacing w:line="247" w:lineRule="auto" w:before="172"/>
        <w:ind w:left="117" w:right="114"/>
        <w:jc w:val="both"/>
      </w:pPr>
      <w:r>
        <w:rPr>
          <w:color w:val="231F20"/>
        </w:rPr>
        <w:t>La globalización y los flujos migratorios implican retos para los estados nacionales subdesarrollados, debido a que la globalización propicia nue- vas relaciones para el desarrollo de las regiones a los cuales un grupo de países latinoamericanos no se ha adaptado, hecho que obliga a la salida</w:t>
      </w:r>
      <w:r>
        <w:rPr>
          <w:color w:val="231F20"/>
          <w:spacing w:val="-21"/>
        </w:rPr>
        <w:t> </w:t>
      </w:r>
      <w:r>
        <w:rPr>
          <w:color w:val="231F20"/>
        </w:rPr>
        <w:t>de su</w:t>
      </w:r>
      <w:r>
        <w:rPr>
          <w:color w:val="231F20"/>
          <w:spacing w:val="-6"/>
        </w:rPr>
        <w:t> </w:t>
      </w:r>
      <w:r>
        <w:rPr>
          <w:color w:val="231F20"/>
        </w:rPr>
        <w:t>población</w:t>
      </w:r>
      <w:r>
        <w:rPr>
          <w:color w:val="231F20"/>
          <w:spacing w:val="-6"/>
        </w:rPr>
        <w:t> </w:t>
      </w:r>
      <w:r>
        <w:rPr>
          <w:color w:val="231F20"/>
        </w:rPr>
        <w:t>hacia</w:t>
      </w:r>
      <w:r>
        <w:rPr>
          <w:color w:val="231F20"/>
          <w:spacing w:val="-6"/>
        </w:rPr>
        <w:t> </w:t>
      </w:r>
      <w:r>
        <w:rPr>
          <w:color w:val="231F20"/>
        </w:rPr>
        <w:t>países</w:t>
      </w:r>
      <w:r>
        <w:rPr>
          <w:color w:val="231F20"/>
          <w:spacing w:val="-6"/>
        </w:rPr>
        <w:t> </w:t>
      </w:r>
      <w:r>
        <w:rPr>
          <w:color w:val="231F20"/>
        </w:rPr>
        <w:t>más</w:t>
      </w:r>
      <w:r>
        <w:rPr>
          <w:color w:val="231F20"/>
          <w:spacing w:val="-6"/>
        </w:rPr>
        <w:t> </w:t>
      </w:r>
      <w:r>
        <w:rPr>
          <w:color w:val="231F20"/>
        </w:rPr>
        <w:t>desarrollados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búsqueda</w:t>
      </w:r>
      <w:r>
        <w:rPr>
          <w:color w:val="231F20"/>
          <w:spacing w:val="-6"/>
        </w:rPr>
        <w:t> </w:t>
      </w:r>
      <w:r>
        <w:rPr>
          <w:color w:val="231F20"/>
        </w:rPr>
        <w:t>de</w:t>
      </w:r>
      <w:r>
        <w:rPr>
          <w:color w:val="231F20"/>
          <w:spacing w:val="-6"/>
        </w:rPr>
        <w:t> </w:t>
      </w:r>
      <w:r>
        <w:rPr>
          <w:color w:val="231F20"/>
        </w:rPr>
        <w:t>mejorar</w:t>
      </w:r>
      <w:r>
        <w:rPr>
          <w:color w:val="231F20"/>
          <w:spacing w:val="-6"/>
        </w:rPr>
        <w:t> </w:t>
      </w:r>
      <w:r>
        <w:rPr>
          <w:color w:val="231F20"/>
        </w:rPr>
        <w:t>sus condiciones de vida. Estados Unidos se ha presentado como una opción, como</w:t>
      </w:r>
      <w:r>
        <w:rPr>
          <w:color w:val="231F20"/>
          <w:spacing w:val="-10"/>
        </w:rPr>
        <w:t> </w:t>
      </w:r>
      <w:r>
        <w:rPr>
          <w:color w:val="231F20"/>
        </w:rPr>
        <w:t>se</w:t>
      </w:r>
      <w:r>
        <w:rPr>
          <w:color w:val="231F20"/>
          <w:spacing w:val="-10"/>
        </w:rPr>
        <w:t> </w:t>
      </w:r>
      <w:r>
        <w:rPr>
          <w:color w:val="231F20"/>
        </w:rPr>
        <w:t>señala</w:t>
      </w:r>
      <w:r>
        <w:rPr>
          <w:color w:val="231F20"/>
          <w:spacing w:val="-9"/>
        </w:rPr>
        <w:t> </w:t>
      </w:r>
      <w:r>
        <w:rPr>
          <w:color w:val="231F20"/>
        </w:rPr>
        <w:t>en</w:t>
      </w:r>
      <w:r>
        <w:rPr>
          <w:color w:val="231F20"/>
          <w:spacing w:val="-10"/>
        </w:rPr>
        <w:t> </w:t>
      </w:r>
      <w:r>
        <w:rPr>
          <w:color w:val="231F20"/>
        </w:rPr>
        <w:t>este</w:t>
      </w:r>
      <w:r>
        <w:rPr>
          <w:color w:val="231F20"/>
          <w:spacing w:val="-10"/>
        </w:rPr>
        <w:t> </w:t>
      </w:r>
      <w:r>
        <w:rPr>
          <w:color w:val="231F20"/>
        </w:rPr>
        <w:t>documento,</w:t>
      </w:r>
      <w:r>
        <w:rPr>
          <w:color w:val="231F20"/>
          <w:spacing w:val="-10"/>
        </w:rPr>
        <w:t> </w:t>
      </w:r>
      <w:r>
        <w:rPr>
          <w:color w:val="231F20"/>
        </w:rPr>
        <w:t>la</w:t>
      </w:r>
      <w:r>
        <w:rPr>
          <w:color w:val="231F20"/>
          <w:spacing w:val="-10"/>
        </w:rPr>
        <w:t> </w:t>
      </w:r>
      <w:r>
        <w:rPr>
          <w:color w:val="231F20"/>
        </w:rPr>
        <w:t>incorporación</w:t>
      </w:r>
      <w:r>
        <w:rPr>
          <w:color w:val="231F20"/>
          <w:spacing w:val="-11"/>
        </w:rPr>
        <w:t> </w:t>
      </w:r>
      <w:r>
        <w:rPr>
          <w:color w:val="231F20"/>
        </w:rPr>
        <w:t>de</w:t>
      </w:r>
      <w:r>
        <w:rPr>
          <w:color w:val="231F20"/>
          <w:spacing w:val="-10"/>
        </w:rPr>
        <w:t> </w:t>
      </w:r>
      <w:r>
        <w:rPr>
          <w:color w:val="231F20"/>
        </w:rPr>
        <w:t>población</w:t>
      </w:r>
      <w:r>
        <w:rPr>
          <w:color w:val="231F20"/>
          <w:spacing w:val="-10"/>
        </w:rPr>
        <w:t> </w:t>
      </w:r>
      <w:r>
        <w:rPr>
          <w:color w:val="231F20"/>
        </w:rPr>
        <w:t>emigran- te de un mayor número de países latinoamericanos y caribeños hacia esa nación</w:t>
      </w:r>
      <w:r>
        <w:rPr>
          <w:color w:val="231F20"/>
          <w:spacing w:val="-9"/>
        </w:rPr>
        <w:t> </w:t>
      </w:r>
      <w:r>
        <w:rPr>
          <w:color w:val="231F20"/>
        </w:rPr>
        <w:t>es</w:t>
      </w:r>
      <w:r>
        <w:rPr>
          <w:color w:val="231F20"/>
          <w:spacing w:val="-9"/>
        </w:rPr>
        <w:t> </w:t>
      </w:r>
      <w:r>
        <w:rPr>
          <w:color w:val="231F20"/>
        </w:rPr>
        <w:t>un</w:t>
      </w:r>
      <w:r>
        <w:rPr>
          <w:color w:val="231F20"/>
          <w:spacing w:val="-9"/>
        </w:rPr>
        <w:t> </w:t>
      </w:r>
      <w:r>
        <w:rPr>
          <w:color w:val="231F20"/>
        </w:rPr>
        <w:t>hecho,</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refleja</w:t>
      </w:r>
      <w:r>
        <w:rPr>
          <w:color w:val="231F20"/>
          <w:spacing w:val="-9"/>
        </w:rPr>
        <w:t> </w:t>
      </w:r>
      <w:r>
        <w:rPr>
          <w:color w:val="231F20"/>
        </w:rPr>
        <w:t>en</w:t>
      </w:r>
      <w:r>
        <w:rPr>
          <w:color w:val="231F20"/>
          <w:spacing w:val="-9"/>
        </w:rPr>
        <w:t> </w:t>
      </w:r>
      <w:r>
        <w:rPr>
          <w:color w:val="231F20"/>
        </w:rPr>
        <w:t>su</w:t>
      </w:r>
      <w:r>
        <w:rPr>
          <w:color w:val="231F20"/>
          <w:spacing w:val="-8"/>
        </w:rPr>
        <w:t> </w:t>
      </w:r>
      <w:r>
        <w:rPr>
          <w:color w:val="231F20"/>
        </w:rPr>
        <w:t>participación</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población</w:t>
      </w:r>
      <w:r>
        <w:rPr>
          <w:color w:val="231F20"/>
          <w:spacing w:val="-9"/>
        </w:rPr>
        <w:t> </w:t>
      </w:r>
      <w:r>
        <w:rPr>
          <w:color w:val="231F20"/>
        </w:rPr>
        <w:t>latina (12.54 por ciento).</w:t>
      </w:r>
    </w:p>
    <w:p>
      <w:pPr>
        <w:pStyle w:val="BodyText"/>
        <w:spacing w:line="247" w:lineRule="auto"/>
        <w:ind w:left="117" w:right="115" w:firstLine="283"/>
        <w:jc w:val="both"/>
      </w:pPr>
      <w:r>
        <w:rPr>
          <w:color w:val="231F20"/>
        </w:rPr>
        <w:t>Un reto prioritario que enfrentan en la actualidad los gobiernos de paí- ses</w:t>
      </w:r>
      <w:r>
        <w:rPr>
          <w:color w:val="231F20"/>
          <w:spacing w:val="-12"/>
        </w:rPr>
        <w:t> </w:t>
      </w:r>
      <w:r>
        <w:rPr>
          <w:color w:val="231F20"/>
        </w:rPr>
        <w:t>latinoamericanos</w:t>
      </w:r>
      <w:r>
        <w:rPr>
          <w:color w:val="231F20"/>
          <w:spacing w:val="-12"/>
        </w:rPr>
        <w:t> </w:t>
      </w:r>
      <w:r>
        <w:rPr>
          <w:color w:val="231F20"/>
        </w:rPr>
        <w:t>expulsores</w:t>
      </w:r>
      <w:r>
        <w:rPr>
          <w:color w:val="231F20"/>
          <w:spacing w:val="-12"/>
        </w:rPr>
        <w:t> </w:t>
      </w:r>
      <w:r>
        <w:rPr>
          <w:color w:val="231F20"/>
        </w:rPr>
        <w:t>de</w:t>
      </w:r>
      <w:r>
        <w:rPr>
          <w:color w:val="231F20"/>
          <w:spacing w:val="-12"/>
        </w:rPr>
        <w:t> </w:t>
      </w:r>
      <w:r>
        <w:rPr>
          <w:color w:val="231F20"/>
        </w:rPr>
        <w:t>población</w:t>
      </w:r>
      <w:r>
        <w:rPr>
          <w:color w:val="231F20"/>
          <w:spacing w:val="-12"/>
        </w:rPr>
        <w:t> </w:t>
      </w:r>
      <w:r>
        <w:rPr>
          <w:color w:val="231F20"/>
        </w:rPr>
        <w:t>es</w:t>
      </w:r>
      <w:r>
        <w:rPr>
          <w:color w:val="231F20"/>
          <w:spacing w:val="-12"/>
        </w:rPr>
        <w:t> </w:t>
      </w:r>
      <w:r>
        <w:rPr>
          <w:color w:val="231F20"/>
        </w:rPr>
        <w:t>detener</w:t>
      </w:r>
      <w:r>
        <w:rPr>
          <w:color w:val="231F20"/>
          <w:spacing w:val="-12"/>
        </w:rPr>
        <w:t> </w:t>
      </w:r>
      <w:r>
        <w:rPr>
          <w:color w:val="231F20"/>
        </w:rPr>
        <w:t>el</w:t>
      </w:r>
      <w:r>
        <w:rPr>
          <w:color w:val="231F20"/>
          <w:spacing w:val="-12"/>
        </w:rPr>
        <w:t> </w:t>
      </w:r>
      <w:r>
        <w:rPr>
          <w:color w:val="231F20"/>
        </w:rPr>
        <w:t>flujo</w:t>
      </w:r>
      <w:r>
        <w:rPr>
          <w:color w:val="231F20"/>
          <w:spacing w:val="-12"/>
        </w:rPr>
        <w:t> </w:t>
      </w:r>
      <w:r>
        <w:rPr>
          <w:color w:val="231F20"/>
        </w:rPr>
        <w:t>migratorio por</w:t>
      </w:r>
      <w:r>
        <w:rPr>
          <w:color w:val="231F20"/>
          <w:spacing w:val="-12"/>
        </w:rPr>
        <w:t> </w:t>
      </w:r>
      <w:r>
        <w:rPr>
          <w:color w:val="231F20"/>
        </w:rPr>
        <w:t>desempleo,</w:t>
      </w:r>
      <w:r>
        <w:rPr>
          <w:color w:val="231F20"/>
          <w:spacing w:val="-12"/>
        </w:rPr>
        <w:t> </w:t>
      </w:r>
      <w:r>
        <w:rPr>
          <w:color w:val="231F20"/>
        </w:rPr>
        <w:t>dado</w:t>
      </w:r>
      <w:r>
        <w:rPr>
          <w:color w:val="231F20"/>
          <w:spacing w:val="-12"/>
        </w:rPr>
        <w:t> </w:t>
      </w:r>
      <w:r>
        <w:rPr>
          <w:color w:val="231F20"/>
        </w:rPr>
        <w:t>que</w:t>
      </w:r>
      <w:r>
        <w:rPr>
          <w:color w:val="231F20"/>
          <w:spacing w:val="-12"/>
        </w:rPr>
        <w:t> </w:t>
      </w:r>
      <w:r>
        <w:rPr>
          <w:color w:val="231F20"/>
        </w:rPr>
        <w:t>la</w:t>
      </w:r>
      <w:r>
        <w:rPr>
          <w:color w:val="231F20"/>
          <w:spacing w:val="-12"/>
        </w:rPr>
        <w:t> </w:t>
      </w:r>
      <w:r>
        <w:rPr>
          <w:color w:val="231F20"/>
        </w:rPr>
        <w:t>emigración</w:t>
      </w:r>
      <w:r>
        <w:rPr>
          <w:color w:val="231F20"/>
          <w:spacing w:val="-12"/>
        </w:rPr>
        <w:t> </w:t>
      </w:r>
      <w:r>
        <w:rPr>
          <w:color w:val="231F20"/>
        </w:rPr>
        <w:t>y</w:t>
      </w:r>
      <w:r>
        <w:rPr>
          <w:color w:val="231F20"/>
          <w:spacing w:val="-12"/>
        </w:rPr>
        <w:t> </w:t>
      </w:r>
      <w:r>
        <w:rPr>
          <w:color w:val="231F20"/>
        </w:rPr>
        <w:t>presencia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población</w:t>
      </w:r>
      <w:r>
        <w:rPr>
          <w:color w:val="231F20"/>
          <w:spacing w:val="-12"/>
        </w:rPr>
        <w:t> </w:t>
      </w:r>
      <w:r>
        <w:rPr>
          <w:color w:val="231F20"/>
        </w:rPr>
        <w:t>latinoa- mericana en un país distinto al suyo, es consecuencia de factores internos como la falta de oportunidades de empleo o bien a empleo mal</w:t>
      </w:r>
      <w:r>
        <w:rPr>
          <w:color w:val="231F20"/>
          <w:spacing w:val="-4"/>
        </w:rPr>
        <w:t> </w:t>
      </w:r>
      <w:r>
        <w:rPr>
          <w:color w:val="231F20"/>
        </w:rPr>
        <w:t>pagado.</w:t>
      </w:r>
    </w:p>
    <w:p>
      <w:pPr>
        <w:pStyle w:val="BodyText"/>
        <w:spacing w:line="247" w:lineRule="auto"/>
        <w:ind w:left="117" w:right="115" w:firstLine="283"/>
        <w:jc w:val="both"/>
      </w:pPr>
      <w:r>
        <w:rPr>
          <w:color w:val="231F20"/>
        </w:rPr>
        <w:t>Si en los estados latinoamericanos no tienen la atingencia de corregir tales carencias, en este contexto de relaciones globalizadoras, la emigra- ción internacional de su población tiende a agravarse.</w:t>
      </w:r>
    </w:p>
    <w:p>
      <w:pPr>
        <w:pStyle w:val="BodyText"/>
        <w:spacing w:line="247" w:lineRule="auto"/>
        <w:ind w:left="117" w:right="115" w:firstLine="283"/>
        <w:jc w:val="both"/>
      </w:pPr>
      <w:r>
        <w:rPr>
          <w:color w:val="231F20"/>
        </w:rPr>
        <w:t>Es necesario que las remesas que arriban a países latinoamericanos no se tomen por los gobiernos como las detonadoras de los procesos de de- sarrollo, ya que no son ni serán una palanca de capital para el desarrollo; además de que crean una dependencia de una fuente económica externa y</w:t>
      </w:r>
    </w:p>
    <w:p>
      <w:pPr>
        <w:spacing w:after="0" w:line="247" w:lineRule="auto"/>
        <w:jc w:val="both"/>
        <w:sectPr>
          <w:pgSz w:w="9360" w:h="13040"/>
          <w:pgMar w:header="0" w:footer="496" w:top="840" w:bottom="680" w:left="1300" w:right="1300"/>
        </w:sectPr>
      </w:pPr>
    </w:p>
    <w:p>
      <w:pPr>
        <w:spacing w:before="45"/>
        <w:ind w:left="117" w:right="0" w:firstLine="331"/>
        <w:jc w:val="both"/>
        <w:rPr>
          <w:rFonts w:ascii="Arial" w:hAnsi="Arial"/>
          <w:sz w:val="20"/>
        </w:rPr>
      </w:pPr>
      <w:r>
        <w:rPr>
          <w:rFonts w:ascii="Arial" w:hAnsi="Arial"/>
          <w:color w:val="231F20"/>
          <w:w w:val="70"/>
          <w:sz w:val="20"/>
        </w:rPr>
        <w:t>Globalización</w:t>
      </w:r>
      <w:r>
        <w:rPr>
          <w:rFonts w:ascii="Arial" w:hAnsi="Arial"/>
          <w:color w:val="231F20"/>
          <w:spacing w:val="-15"/>
          <w:w w:val="70"/>
          <w:sz w:val="20"/>
        </w:rPr>
        <w:t> </w:t>
      </w:r>
      <w:r>
        <w:rPr>
          <w:rFonts w:ascii="Arial" w:hAnsi="Arial"/>
          <w:color w:val="231F20"/>
          <w:w w:val="70"/>
          <w:sz w:val="20"/>
        </w:rPr>
        <w:t>y</w:t>
      </w:r>
      <w:r>
        <w:rPr>
          <w:rFonts w:ascii="Arial" w:hAnsi="Arial"/>
          <w:color w:val="231F20"/>
          <w:spacing w:val="-15"/>
          <w:w w:val="70"/>
          <w:sz w:val="20"/>
        </w:rPr>
        <w:t> </w:t>
      </w:r>
      <w:r>
        <w:rPr>
          <w:rFonts w:ascii="Arial" w:hAnsi="Arial"/>
          <w:color w:val="231F20"/>
          <w:w w:val="70"/>
          <w:sz w:val="20"/>
        </w:rPr>
        <w:t>emigración</w:t>
      </w:r>
      <w:r>
        <w:rPr>
          <w:rFonts w:ascii="Arial" w:hAnsi="Arial"/>
          <w:color w:val="231F20"/>
          <w:spacing w:val="-15"/>
          <w:w w:val="70"/>
          <w:sz w:val="20"/>
        </w:rPr>
        <w:t> </w:t>
      </w:r>
      <w:r>
        <w:rPr>
          <w:rFonts w:ascii="Arial" w:hAnsi="Arial"/>
          <w:color w:val="231F20"/>
          <w:w w:val="70"/>
          <w:sz w:val="20"/>
        </w:rPr>
        <w:t>latinoamericana</w:t>
      </w:r>
      <w:r>
        <w:rPr>
          <w:rFonts w:ascii="Arial" w:hAnsi="Arial"/>
          <w:color w:val="231F20"/>
          <w:spacing w:val="-15"/>
          <w:w w:val="70"/>
          <w:sz w:val="20"/>
        </w:rPr>
        <w:t> </w:t>
      </w:r>
      <w:r>
        <w:rPr>
          <w:rFonts w:ascii="Arial" w:hAnsi="Arial"/>
          <w:color w:val="231F20"/>
          <w:w w:val="70"/>
          <w:sz w:val="20"/>
        </w:rPr>
        <w:t>y</w:t>
      </w:r>
      <w:r>
        <w:rPr>
          <w:rFonts w:ascii="Arial" w:hAnsi="Arial"/>
          <w:color w:val="231F20"/>
          <w:spacing w:val="-15"/>
          <w:w w:val="70"/>
          <w:sz w:val="20"/>
        </w:rPr>
        <w:t> </w:t>
      </w:r>
      <w:r>
        <w:rPr>
          <w:rFonts w:ascii="Arial" w:hAnsi="Arial"/>
          <w:color w:val="231F20"/>
          <w:w w:val="70"/>
          <w:sz w:val="20"/>
        </w:rPr>
        <w:t>caribeña</w:t>
      </w:r>
      <w:r>
        <w:rPr>
          <w:rFonts w:ascii="Arial" w:hAnsi="Arial"/>
          <w:color w:val="231F20"/>
          <w:spacing w:val="-15"/>
          <w:w w:val="70"/>
          <w:sz w:val="20"/>
        </w:rPr>
        <w:t> </w:t>
      </w:r>
      <w:r>
        <w:rPr>
          <w:rFonts w:ascii="Arial" w:hAnsi="Arial"/>
          <w:color w:val="231F20"/>
          <w:w w:val="70"/>
          <w:sz w:val="20"/>
        </w:rPr>
        <w:t>a</w:t>
      </w:r>
      <w:r>
        <w:rPr>
          <w:rFonts w:ascii="Arial" w:hAnsi="Arial"/>
          <w:color w:val="231F20"/>
          <w:spacing w:val="-15"/>
          <w:w w:val="70"/>
          <w:sz w:val="20"/>
        </w:rPr>
        <w:t> </w:t>
      </w:r>
      <w:r>
        <w:rPr>
          <w:rFonts w:ascii="Arial" w:hAnsi="Arial"/>
          <w:color w:val="231F20"/>
          <w:w w:val="70"/>
          <w:sz w:val="20"/>
        </w:rPr>
        <w:t>Estados</w:t>
      </w:r>
      <w:r>
        <w:rPr>
          <w:rFonts w:ascii="Arial" w:hAnsi="Arial"/>
          <w:color w:val="231F20"/>
          <w:spacing w:val="-15"/>
          <w:w w:val="70"/>
          <w:sz w:val="20"/>
        </w:rPr>
        <w:t> </w:t>
      </w:r>
      <w:r>
        <w:rPr>
          <w:rFonts w:ascii="Arial" w:hAnsi="Arial"/>
          <w:color w:val="231F20"/>
          <w:w w:val="70"/>
          <w:sz w:val="20"/>
        </w:rPr>
        <w:t>Unidos</w:t>
      </w:r>
      <w:r>
        <w:rPr>
          <w:rFonts w:ascii="Arial" w:hAnsi="Arial"/>
          <w:color w:val="231F20"/>
          <w:spacing w:val="-15"/>
          <w:w w:val="70"/>
          <w:sz w:val="20"/>
        </w:rPr>
        <w:t> </w:t>
      </w:r>
      <w:r>
        <w:rPr>
          <w:rFonts w:ascii="Arial" w:hAnsi="Arial"/>
          <w:color w:val="231F20"/>
          <w:w w:val="70"/>
          <w:sz w:val="20"/>
        </w:rPr>
        <w:t>/Ramiro</w:t>
      </w:r>
      <w:r>
        <w:rPr>
          <w:rFonts w:ascii="Arial" w:hAnsi="Arial"/>
          <w:color w:val="231F20"/>
          <w:spacing w:val="-22"/>
          <w:w w:val="70"/>
          <w:sz w:val="20"/>
        </w:rPr>
        <w:t> </w:t>
      </w:r>
      <w:r>
        <w:rPr>
          <w:rFonts w:ascii="Arial" w:hAnsi="Arial"/>
          <w:color w:val="231F20"/>
          <w:w w:val="70"/>
          <w:sz w:val="20"/>
        </w:rPr>
        <w:t>Morales-Hernández</w:t>
      </w:r>
    </w:p>
    <w:p>
      <w:pPr>
        <w:pStyle w:val="BodyText"/>
        <w:spacing w:before="7"/>
        <w:rPr>
          <w:rFonts w:ascii="Arial"/>
          <w:sz w:val="28"/>
        </w:rPr>
      </w:pPr>
    </w:p>
    <w:p>
      <w:pPr>
        <w:pStyle w:val="BodyText"/>
        <w:spacing w:line="247" w:lineRule="auto"/>
        <w:ind w:left="117" w:right="43"/>
      </w:pPr>
      <w:r>
        <w:rPr>
          <w:color w:val="231F20"/>
        </w:rPr>
        <w:t>provocan al país la pérdida de población, sobre todo, la de jóvenes en edad productiva que se van a países desarrollados en búsqueda de las remesas.</w:t>
      </w:r>
    </w:p>
    <w:p>
      <w:pPr>
        <w:pStyle w:val="BodyText"/>
        <w:spacing w:line="247" w:lineRule="auto"/>
        <w:ind w:left="117" w:right="114" w:firstLine="283"/>
        <w:jc w:val="both"/>
      </w:pPr>
      <w:r>
        <w:rPr>
          <w:color w:val="231F20"/>
        </w:rPr>
        <w:t>Por</w:t>
      </w:r>
      <w:r>
        <w:rPr>
          <w:color w:val="231F20"/>
          <w:spacing w:val="-10"/>
        </w:rPr>
        <w:t> </w:t>
      </w:r>
      <w:r>
        <w:rPr>
          <w:color w:val="231F20"/>
        </w:rPr>
        <w:t>ello,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actual</w:t>
      </w:r>
      <w:r>
        <w:rPr>
          <w:color w:val="231F20"/>
          <w:spacing w:val="-10"/>
        </w:rPr>
        <w:t> </w:t>
      </w:r>
      <w:r>
        <w:rPr>
          <w:color w:val="231F20"/>
        </w:rPr>
        <w:t>mundo</w:t>
      </w:r>
      <w:r>
        <w:rPr>
          <w:color w:val="231F20"/>
          <w:spacing w:val="-10"/>
        </w:rPr>
        <w:t> </w:t>
      </w:r>
      <w:r>
        <w:rPr>
          <w:color w:val="231F20"/>
        </w:rPr>
        <w:t>globalizado</w:t>
      </w:r>
      <w:r>
        <w:rPr>
          <w:color w:val="231F20"/>
          <w:spacing w:val="-10"/>
        </w:rPr>
        <w:t> </w:t>
      </w:r>
      <w:r>
        <w:rPr>
          <w:color w:val="231F20"/>
        </w:rPr>
        <w:t>es</w:t>
      </w:r>
      <w:r>
        <w:rPr>
          <w:color w:val="231F20"/>
          <w:spacing w:val="-10"/>
        </w:rPr>
        <w:t> </w:t>
      </w:r>
      <w:r>
        <w:rPr>
          <w:color w:val="231F20"/>
        </w:rPr>
        <w:t>pertinente</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gobiernos de los países donde la emigración es una constante, establezcan políticas públicas sustentadas en estrategias que permitan incursionar en el nuevo modelo de economía de mercado, mejorando los sistemas de producción que conlleven a propiciar mayores y mejores fuentes de empleo, a fin de alcanzar mejores estados de condiciones de vida y desarrollo económico regional.</w:t>
      </w:r>
    </w:p>
    <w:p>
      <w:pPr>
        <w:pStyle w:val="BodyText"/>
        <w:spacing w:line="247" w:lineRule="auto"/>
        <w:ind w:left="117" w:right="115" w:firstLine="283"/>
        <w:jc w:val="both"/>
      </w:pPr>
      <w:r>
        <w:rPr>
          <w:color w:val="231F20"/>
        </w:rPr>
        <w:t>Lo anterior en virtud de que los propios contextos regionales deben ser generadores de su desarrollo, mismo que deben lograr apegado a sus ne- cesidades y fortalezas, buscando insertarse en los procesos globales y por ende detener la migración de su población y alcanzar mejores estados de desarrollo económico.</w:t>
      </w:r>
    </w:p>
    <w:p>
      <w:pPr>
        <w:pStyle w:val="Heading3"/>
        <w:spacing w:before="149"/>
        <w:ind w:right="117"/>
        <w:jc w:val="left"/>
      </w:pPr>
      <w:r>
        <w:rPr>
          <w:color w:val="231F20"/>
        </w:rPr>
        <w:t>Bibliografía</w:t>
      </w:r>
    </w:p>
    <w:p>
      <w:pPr>
        <w:pStyle w:val="BodyText"/>
        <w:spacing w:before="11"/>
        <w:rPr>
          <w:b/>
        </w:rPr>
      </w:pPr>
    </w:p>
    <w:p>
      <w:pPr>
        <w:spacing w:line="210" w:lineRule="exact" w:before="93"/>
        <w:ind w:left="117" w:right="115" w:firstLine="0"/>
        <w:jc w:val="both"/>
        <w:rPr>
          <w:sz w:val="20"/>
        </w:rPr>
      </w:pPr>
      <w:r>
        <w:rPr>
          <w:color w:val="231F20"/>
          <w:sz w:val="20"/>
        </w:rPr>
        <w:t>ALBA, Francisco, 2011, “Hacer virtud de la necesidad. Hacia una nueva genera- ción</w:t>
      </w:r>
      <w:r>
        <w:rPr>
          <w:color w:val="231F20"/>
          <w:spacing w:val="-5"/>
          <w:sz w:val="20"/>
        </w:rPr>
        <w:t> </w:t>
      </w:r>
      <w:r>
        <w:rPr>
          <w:color w:val="231F20"/>
          <w:sz w:val="20"/>
        </w:rPr>
        <w:t>de</w:t>
      </w:r>
      <w:r>
        <w:rPr>
          <w:color w:val="231F20"/>
          <w:spacing w:val="-5"/>
          <w:sz w:val="20"/>
        </w:rPr>
        <w:t> </w:t>
      </w:r>
      <w:r>
        <w:rPr>
          <w:color w:val="231F20"/>
          <w:sz w:val="20"/>
        </w:rPr>
        <w:t>políticas</w:t>
      </w:r>
      <w:r>
        <w:rPr>
          <w:color w:val="231F20"/>
          <w:spacing w:val="-5"/>
          <w:sz w:val="20"/>
        </w:rPr>
        <w:t> </w:t>
      </w:r>
      <w:r>
        <w:rPr>
          <w:color w:val="231F20"/>
          <w:sz w:val="20"/>
        </w:rPr>
        <w:t>para</w:t>
      </w:r>
      <w:r>
        <w:rPr>
          <w:color w:val="231F20"/>
          <w:spacing w:val="-5"/>
          <w:sz w:val="20"/>
        </w:rPr>
        <w:t> </w:t>
      </w:r>
      <w:r>
        <w:rPr>
          <w:color w:val="231F20"/>
          <w:sz w:val="20"/>
        </w:rPr>
        <w:t>la</w:t>
      </w:r>
      <w:r>
        <w:rPr>
          <w:color w:val="231F20"/>
          <w:spacing w:val="-5"/>
          <w:sz w:val="20"/>
        </w:rPr>
        <w:t> </w:t>
      </w:r>
      <w:r>
        <w:rPr>
          <w:color w:val="231F20"/>
          <w:sz w:val="20"/>
        </w:rPr>
        <w:t>migración</w:t>
      </w:r>
      <w:r>
        <w:rPr>
          <w:color w:val="231F20"/>
          <w:spacing w:val="-6"/>
          <w:sz w:val="20"/>
        </w:rPr>
        <w:t> </w:t>
      </w:r>
      <w:r>
        <w:rPr>
          <w:color w:val="231F20"/>
          <w:sz w:val="20"/>
        </w:rPr>
        <w:t>México-Estados</w:t>
      </w:r>
      <w:r>
        <w:rPr>
          <w:color w:val="231F20"/>
          <w:spacing w:val="-4"/>
          <w:sz w:val="20"/>
        </w:rPr>
        <w:t> </w:t>
      </w:r>
      <w:r>
        <w:rPr>
          <w:color w:val="231F20"/>
          <w:sz w:val="20"/>
        </w:rPr>
        <w:t>Unidos”,</w:t>
      </w:r>
      <w:r>
        <w:rPr>
          <w:color w:val="231F20"/>
          <w:spacing w:val="-5"/>
          <w:sz w:val="20"/>
        </w:rPr>
        <w:t> </w:t>
      </w:r>
      <w:r>
        <w:rPr>
          <w:color w:val="231F20"/>
          <w:sz w:val="20"/>
        </w:rPr>
        <w:t>en</w:t>
      </w:r>
      <w:r>
        <w:rPr>
          <w:color w:val="231F20"/>
          <w:spacing w:val="-5"/>
          <w:sz w:val="20"/>
        </w:rPr>
        <w:t> </w:t>
      </w:r>
      <w:r>
        <w:rPr>
          <w:color w:val="231F20"/>
          <w:sz w:val="20"/>
        </w:rPr>
        <w:t>revista</w:t>
      </w:r>
      <w:r>
        <w:rPr>
          <w:color w:val="231F20"/>
          <w:spacing w:val="-5"/>
          <w:sz w:val="20"/>
        </w:rPr>
        <w:t> </w:t>
      </w:r>
      <w:r>
        <w:rPr>
          <w:i/>
          <w:color w:val="231F20"/>
          <w:sz w:val="20"/>
        </w:rPr>
        <w:t>Este</w:t>
      </w:r>
      <w:r>
        <w:rPr>
          <w:i/>
          <w:color w:val="231F20"/>
          <w:spacing w:val="-5"/>
          <w:sz w:val="20"/>
        </w:rPr>
        <w:t> </w:t>
      </w:r>
      <w:r>
        <w:rPr>
          <w:i/>
          <w:color w:val="231F20"/>
          <w:sz w:val="20"/>
        </w:rPr>
        <w:t>País</w:t>
      </w:r>
      <w:r>
        <w:rPr>
          <w:color w:val="231F20"/>
          <w:sz w:val="20"/>
        </w:rPr>
        <w:t>. núm. 246, octubre,</w:t>
      </w:r>
      <w:r>
        <w:rPr>
          <w:color w:val="231F20"/>
          <w:spacing w:val="-8"/>
          <w:sz w:val="20"/>
        </w:rPr>
        <w:t> </w:t>
      </w:r>
      <w:r>
        <w:rPr>
          <w:color w:val="231F20"/>
          <w:sz w:val="20"/>
        </w:rPr>
        <w:t>México.</w:t>
      </w:r>
    </w:p>
    <w:p>
      <w:pPr>
        <w:spacing w:line="210" w:lineRule="exact" w:before="113"/>
        <w:ind w:left="117" w:right="115" w:firstLine="0"/>
        <w:jc w:val="both"/>
        <w:rPr>
          <w:sz w:val="20"/>
        </w:rPr>
      </w:pPr>
      <w:r>
        <w:rPr>
          <w:color w:val="231F20"/>
          <w:sz w:val="20"/>
        </w:rPr>
        <w:t>BARAN,</w:t>
      </w:r>
      <w:r>
        <w:rPr>
          <w:color w:val="231F20"/>
          <w:spacing w:val="-10"/>
          <w:sz w:val="20"/>
        </w:rPr>
        <w:t> </w:t>
      </w:r>
      <w:r>
        <w:rPr>
          <w:color w:val="231F20"/>
          <w:sz w:val="20"/>
        </w:rPr>
        <w:t>Paul</w:t>
      </w:r>
      <w:r>
        <w:rPr>
          <w:color w:val="231F20"/>
          <w:spacing w:val="-21"/>
          <w:sz w:val="20"/>
        </w:rPr>
        <w:t> </w:t>
      </w:r>
      <w:r>
        <w:rPr>
          <w:color w:val="231F20"/>
          <w:sz w:val="20"/>
        </w:rPr>
        <w:t>A.,</w:t>
      </w:r>
      <w:r>
        <w:rPr>
          <w:color w:val="231F20"/>
          <w:spacing w:val="-10"/>
          <w:sz w:val="20"/>
        </w:rPr>
        <w:t> </w:t>
      </w:r>
      <w:r>
        <w:rPr>
          <w:color w:val="231F20"/>
          <w:sz w:val="20"/>
        </w:rPr>
        <w:t>1975,</w:t>
      </w:r>
      <w:r>
        <w:rPr>
          <w:color w:val="231F20"/>
          <w:spacing w:val="-10"/>
          <w:sz w:val="20"/>
        </w:rPr>
        <w:t> </w:t>
      </w:r>
      <w:r>
        <w:rPr>
          <w:i/>
          <w:color w:val="231F20"/>
          <w:sz w:val="20"/>
        </w:rPr>
        <w:t>The</w:t>
      </w:r>
      <w:r>
        <w:rPr>
          <w:i/>
          <w:color w:val="231F20"/>
          <w:spacing w:val="-10"/>
          <w:sz w:val="20"/>
        </w:rPr>
        <w:t> </w:t>
      </w:r>
      <w:r>
        <w:rPr>
          <w:i/>
          <w:color w:val="231F20"/>
          <w:sz w:val="20"/>
        </w:rPr>
        <w:t>political</w:t>
      </w:r>
      <w:r>
        <w:rPr>
          <w:i/>
          <w:color w:val="231F20"/>
          <w:spacing w:val="-10"/>
          <w:sz w:val="20"/>
        </w:rPr>
        <w:t> </w:t>
      </w:r>
      <w:r>
        <w:rPr>
          <w:i/>
          <w:color w:val="231F20"/>
          <w:sz w:val="20"/>
        </w:rPr>
        <w:t>economy</w:t>
      </w:r>
      <w:r>
        <w:rPr>
          <w:i/>
          <w:color w:val="231F20"/>
          <w:spacing w:val="-10"/>
          <w:sz w:val="20"/>
        </w:rPr>
        <w:t> </w:t>
      </w:r>
      <w:r>
        <w:rPr>
          <w:i/>
          <w:color w:val="231F20"/>
          <w:sz w:val="20"/>
        </w:rPr>
        <w:t>of</w:t>
      </w:r>
      <w:r>
        <w:rPr>
          <w:i/>
          <w:color w:val="231F20"/>
          <w:spacing w:val="-10"/>
          <w:sz w:val="20"/>
        </w:rPr>
        <w:t> </w:t>
      </w:r>
      <w:r>
        <w:rPr>
          <w:i/>
          <w:color w:val="231F20"/>
          <w:sz w:val="20"/>
        </w:rPr>
        <w:t>growth</w:t>
      </w:r>
      <w:r>
        <w:rPr>
          <w:color w:val="231F20"/>
          <w:sz w:val="20"/>
        </w:rPr>
        <w:t>,</w:t>
      </w:r>
      <w:r>
        <w:rPr>
          <w:color w:val="231F20"/>
          <w:spacing w:val="-10"/>
          <w:sz w:val="20"/>
        </w:rPr>
        <w:t> </w:t>
      </w:r>
      <w:r>
        <w:rPr>
          <w:color w:val="231F20"/>
          <w:sz w:val="20"/>
        </w:rPr>
        <w:t>University</w:t>
      </w:r>
      <w:r>
        <w:rPr>
          <w:color w:val="231F20"/>
          <w:spacing w:val="-9"/>
          <w:sz w:val="20"/>
        </w:rPr>
        <w:t> </w:t>
      </w:r>
      <w:r>
        <w:rPr>
          <w:color w:val="231F20"/>
          <w:sz w:val="20"/>
        </w:rPr>
        <w:t>of</w:t>
      </w:r>
      <w:r>
        <w:rPr>
          <w:color w:val="231F20"/>
          <w:spacing w:val="-10"/>
          <w:sz w:val="20"/>
        </w:rPr>
        <w:t> </w:t>
      </w:r>
      <w:r>
        <w:rPr>
          <w:color w:val="231F20"/>
          <w:sz w:val="20"/>
        </w:rPr>
        <w:t>California Press,</w:t>
      </w:r>
      <w:r>
        <w:rPr>
          <w:color w:val="231F20"/>
          <w:spacing w:val="-18"/>
          <w:sz w:val="20"/>
        </w:rPr>
        <w:t> </w:t>
      </w:r>
      <w:r>
        <w:rPr>
          <w:color w:val="231F20"/>
          <w:sz w:val="20"/>
        </w:rPr>
        <w:t>Berkeley.</w:t>
      </w:r>
    </w:p>
    <w:p>
      <w:pPr>
        <w:spacing w:line="210" w:lineRule="exact" w:before="113"/>
        <w:ind w:left="117" w:right="115" w:firstLine="0"/>
        <w:jc w:val="both"/>
        <w:rPr>
          <w:sz w:val="20"/>
        </w:rPr>
      </w:pPr>
      <w:r>
        <w:rPr>
          <w:color w:val="231F20"/>
          <w:sz w:val="20"/>
        </w:rPr>
        <w:t>BARAN, Paul A., 1973, “On the political economy of backwardness”, en K.</w:t>
      </w:r>
      <w:r>
        <w:rPr>
          <w:color w:val="231F20"/>
          <w:spacing w:val="-16"/>
          <w:sz w:val="20"/>
        </w:rPr>
        <w:t> </w:t>
      </w:r>
      <w:r>
        <w:rPr>
          <w:color w:val="231F20"/>
          <w:spacing w:val="-3"/>
          <w:sz w:val="20"/>
        </w:rPr>
        <w:t>Wil- </w:t>
      </w:r>
      <w:r>
        <w:rPr>
          <w:color w:val="231F20"/>
          <w:sz w:val="20"/>
        </w:rPr>
        <w:t>ber (ed.), </w:t>
      </w:r>
      <w:r>
        <w:rPr>
          <w:i/>
          <w:color w:val="231F20"/>
          <w:sz w:val="20"/>
        </w:rPr>
        <w:t>The political economy of development and underdevelopment, </w:t>
      </w:r>
      <w:r>
        <w:rPr>
          <w:color w:val="231F20"/>
          <w:sz w:val="20"/>
        </w:rPr>
        <w:t>Random House, Nueva</w:t>
      </w:r>
      <w:r>
        <w:rPr>
          <w:color w:val="231F20"/>
          <w:spacing w:val="-13"/>
          <w:sz w:val="20"/>
        </w:rPr>
        <w:t> </w:t>
      </w:r>
      <w:r>
        <w:rPr>
          <w:color w:val="231F20"/>
          <w:spacing w:val="-5"/>
          <w:sz w:val="20"/>
        </w:rPr>
        <w:t>York.</w:t>
      </w:r>
    </w:p>
    <w:p>
      <w:pPr>
        <w:spacing w:line="210" w:lineRule="exact" w:before="113"/>
        <w:ind w:left="117" w:right="115" w:firstLine="0"/>
        <w:jc w:val="both"/>
        <w:rPr>
          <w:sz w:val="20"/>
        </w:rPr>
      </w:pPr>
      <w:r>
        <w:rPr>
          <w:color w:val="231F20"/>
          <w:sz w:val="20"/>
        </w:rPr>
        <w:t>BID (Banco Interamericano de Desarrollo), 2007, </w:t>
      </w:r>
      <w:r>
        <w:rPr>
          <w:i/>
          <w:color w:val="231F20"/>
          <w:sz w:val="20"/>
        </w:rPr>
        <w:t>Remesas a América Latina y  </w:t>
      </w:r>
      <w:r>
        <w:rPr>
          <w:i/>
          <w:color w:val="231F20"/>
          <w:sz w:val="20"/>
        </w:rPr>
        <w:t>el Caribe sobrepasarán 100 mil millones de dólares en 2010, según fondo del Banco Interamericano de Desarrollo (BID)</w:t>
      </w:r>
      <w:r>
        <w:rPr>
          <w:color w:val="231F20"/>
          <w:sz w:val="20"/>
        </w:rPr>
        <w:t>, comunicados de prensa, 18-mar- 2007, en </w:t>
      </w:r>
      <w:hyperlink r:id="rId67">
        <w:r>
          <w:rPr>
            <w:color w:val="231F20"/>
            <w:sz w:val="20"/>
          </w:rPr>
          <w:t>http://www.iadb.org/es/noticias/comunicados-de-prensa/2007-</w:t>
        </w:r>
      </w:hyperlink>
      <w:r>
        <w:rPr>
          <w:color w:val="231F20"/>
          <w:sz w:val="20"/>
        </w:rPr>
        <w:t> 03-18/ remesas-a-america-latina-y-el-caribe-sobrepasaran-100000-millones-de-dolares- en-2010-segun-fondo-del-bid,3692.html (consultado 03 mayo del</w:t>
      </w:r>
      <w:r>
        <w:rPr>
          <w:color w:val="231F20"/>
          <w:spacing w:val="-10"/>
          <w:sz w:val="20"/>
        </w:rPr>
        <w:t> </w:t>
      </w:r>
      <w:r>
        <w:rPr>
          <w:color w:val="231F20"/>
          <w:sz w:val="20"/>
        </w:rPr>
        <w:t>2011).</w:t>
      </w:r>
    </w:p>
    <w:p>
      <w:pPr>
        <w:spacing w:line="210" w:lineRule="exact" w:before="113"/>
        <w:ind w:left="117" w:right="115" w:firstLine="0"/>
        <w:jc w:val="both"/>
        <w:rPr>
          <w:sz w:val="20"/>
        </w:rPr>
      </w:pPr>
      <w:r>
        <w:rPr>
          <w:color w:val="231F20"/>
          <w:sz w:val="20"/>
        </w:rPr>
        <w:t>BOISIER, Sergio, 1999, </w:t>
      </w:r>
      <w:r>
        <w:rPr>
          <w:i/>
          <w:color w:val="231F20"/>
          <w:sz w:val="20"/>
        </w:rPr>
        <w:t>Desarrollo (local): ¿De qué estamos hablando?</w:t>
      </w:r>
      <w:r>
        <w:rPr>
          <w:color w:val="231F20"/>
          <w:sz w:val="20"/>
        </w:rPr>
        <w:t>, en </w:t>
      </w:r>
      <w:hyperlink r:id="rId68">
        <w:r>
          <w:rPr>
            <w:color w:val="231F20"/>
            <w:sz w:val="20"/>
          </w:rPr>
          <w:t>http://tecrenat.fcien.edu.uy/Economia/clases/boisier.pdf</w:t>
        </w:r>
      </w:hyperlink>
      <w:r>
        <w:rPr>
          <w:color w:val="231F20"/>
          <w:sz w:val="20"/>
        </w:rPr>
        <w:t> (fecha de consulta de 14 noviembre 2011).</w:t>
      </w:r>
    </w:p>
    <w:p>
      <w:pPr>
        <w:spacing w:line="210" w:lineRule="exact" w:before="113"/>
        <w:ind w:left="117" w:right="115" w:firstLine="0"/>
        <w:jc w:val="both"/>
        <w:rPr>
          <w:sz w:val="20"/>
        </w:rPr>
      </w:pPr>
      <w:r>
        <w:rPr>
          <w:color w:val="231F20"/>
          <w:sz w:val="20"/>
        </w:rPr>
        <w:t>CABRALES, L. F., 1997, “El refugio silencioso del ahorro del migrante”, en Re- vista </w:t>
      </w:r>
      <w:r>
        <w:rPr>
          <w:i/>
          <w:color w:val="231F20"/>
          <w:sz w:val="20"/>
        </w:rPr>
        <w:t>Ciudades </w:t>
      </w:r>
      <w:r>
        <w:rPr>
          <w:color w:val="231F20"/>
          <w:sz w:val="20"/>
        </w:rPr>
        <w:t>35, julio-septiembre, RNIU, Puebla, México.</w:t>
      </w:r>
    </w:p>
    <w:p>
      <w:pPr>
        <w:spacing w:line="210" w:lineRule="exact" w:before="113"/>
        <w:ind w:left="117" w:right="115" w:firstLine="0"/>
        <w:jc w:val="both"/>
        <w:rPr>
          <w:sz w:val="20"/>
        </w:rPr>
      </w:pPr>
      <w:r>
        <w:rPr>
          <w:color w:val="231F20"/>
          <w:sz w:val="20"/>
        </w:rPr>
        <w:t>CANALES, Alejandro, 2009, “Panorama actual de las migración en América La- tina”</w:t>
      </w:r>
      <w:r>
        <w:rPr>
          <w:color w:val="231F20"/>
          <w:spacing w:val="-5"/>
          <w:sz w:val="20"/>
        </w:rPr>
        <w:t> </w:t>
      </w:r>
      <w:r>
        <w:rPr>
          <w:color w:val="231F20"/>
          <w:sz w:val="20"/>
        </w:rPr>
        <w:t>en</w:t>
      </w:r>
      <w:r>
        <w:rPr>
          <w:color w:val="231F20"/>
          <w:spacing w:val="-5"/>
          <w:sz w:val="20"/>
        </w:rPr>
        <w:t> </w:t>
      </w:r>
      <w:r>
        <w:rPr>
          <w:i/>
          <w:color w:val="231F20"/>
          <w:sz w:val="20"/>
        </w:rPr>
        <w:t>Revista</w:t>
      </w:r>
      <w:r>
        <w:rPr>
          <w:i/>
          <w:color w:val="231F20"/>
          <w:spacing w:val="-5"/>
          <w:sz w:val="20"/>
        </w:rPr>
        <w:t> </w:t>
      </w:r>
      <w:r>
        <w:rPr>
          <w:i/>
          <w:color w:val="231F20"/>
          <w:sz w:val="20"/>
        </w:rPr>
        <w:t>Latinoamericana</w:t>
      </w:r>
      <w:r>
        <w:rPr>
          <w:i/>
          <w:color w:val="231F20"/>
          <w:spacing w:val="-4"/>
          <w:sz w:val="20"/>
        </w:rPr>
        <w:t> </w:t>
      </w:r>
      <w:r>
        <w:rPr>
          <w:i/>
          <w:color w:val="231F20"/>
          <w:sz w:val="20"/>
        </w:rPr>
        <w:t>de</w:t>
      </w:r>
      <w:r>
        <w:rPr>
          <w:i/>
          <w:color w:val="231F20"/>
          <w:spacing w:val="-5"/>
          <w:sz w:val="20"/>
        </w:rPr>
        <w:t> </w:t>
      </w:r>
      <w:r>
        <w:rPr>
          <w:i/>
          <w:color w:val="231F20"/>
          <w:sz w:val="20"/>
        </w:rPr>
        <w:t>Población</w:t>
      </w:r>
      <w:r>
        <w:rPr>
          <w:color w:val="231F20"/>
          <w:sz w:val="20"/>
        </w:rPr>
        <w:t>,</w:t>
      </w:r>
      <w:r>
        <w:rPr>
          <w:color w:val="231F20"/>
          <w:spacing w:val="-5"/>
          <w:sz w:val="20"/>
        </w:rPr>
        <w:t> </w:t>
      </w:r>
      <w:r>
        <w:rPr>
          <w:color w:val="231F20"/>
          <w:sz w:val="20"/>
        </w:rPr>
        <w:t>año</w:t>
      </w:r>
      <w:r>
        <w:rPr>
          <w:color w:val="231F20"/>
          <w:spacing w:val="-5"/>
          <w:sz w:val="20"/>
        </w:rPr>
        <w:t> </w:t>
      </w:r>
      <w:r>
        <w:rPr>
          <w:color w:val="231F20"/>
          <w:sz w:val="20"/>
        </w:rPr>
        <w:t>3,</w:t>
      </w:r>
      <w:r>
        <w:rPr>
          <w:color w:val="231F20"/>
          <w:spacing w:val="-5"/>
          <w:sz w:val="20"/>
        </w:rPr>
        <w:t> </w:t>
      </w:r>
      <w:r>
        <w:rPr>
          <w:color w:val="231F20"/>
          <w:sz w:val="20"/>
        </w:rPr>
        <w:t>número</w:t>
      </w:r>
      <w:r>
        <w:rPr>
          <w:color w:val="231F20"/>
          <w:spacing w:val="-5"/>
          <w:sz w:val="20"/>
        </w:rPr>
        <w:t> </w:t>
      </w:r>
      <w:r>
        <w:rPr>
          <w:color w:val="231F20"/>
          <w:sz w:val="20"/>
        </w:rPr>
        <w:t>4-5</w:t>
      </w:r>
      <w:r>
        <w:rPr>
          <w:color w:val="231F20"/>
          <w:spacing w:val="-5"/>
          <w:sz w:val="20"/>
        </w:rPr>
        <w:t> </w:t>
      </w:r>
      <w:r>
        <w:rPr>
          <w:color w:val="231F20"/>
          <w:sz w:val="20"/>
        </w:rPr>
        <w:t>enero-diciem- bre.</w:t>
      </w:r>
    </w:p>
    <w:p>
      <w:pPr>
        <w:spacing w:line="210" w:lineRule="exact" w:before="113"/>
        <w:ind w:left="117" w:right="116" w:firstLine="0"/>
        <w:jc w:val="both"/>
        <w:rPr>
          <w:sz w:val="20"/>
        </w:rPr>
      </w:pPr>
      <w:r>
        <w:rPr>
          <w:color w:val="231F20"/>
          <w:sz w:val="20"/>
        </w:rPr>
        <w:t>CANALES, Alejandro, 2006, “Los inmigrantes latinoamericanos”, en Alejandro Canales,</w:t>
      </w:r>
      <w:r>
        <w:rPr>
          <w:color w:val="231F20"/>
          <w:spacing w:val="-11"/>
          <w:sz w:val="20"/>
        </w:rPr>
        <w:t> </w:t>
      </w:r>
      <w:r>
        <w:rPr>
          <w:i/>
          <w:color w:val="231F20"/>
          <w:sz w:val="20"/>
        </w:rPr>
        <w:t>Estados</w:t>
      </w:r>
      <w:r>
        <w:rPr>
          <w:i/>
          <w:color w:val="231F20"/>
          <w:spacing w:val="-11"/>
          <w:sz w:val="20"/>
        </w:rPr>
        <w:t> </w:t>
      </w:r>
      <w:r>
        <w:rPr>
          <w:i/>
          <w:color w:val="231F20"/>
          <w:sz w:val="20"/>
        </w:rPr>
        <w:t>Unidos:</w:t>
      </w:r>
      <w:r>
        <w:rPr>
          <w:i/>
          <w:color w:val="231F20"/>
          <w:spacing w:val="-11"/>
          <w:sz w:val="20"/>
        </w:rPr>
        <w:t> </w:t>
      </w:r>
      <w:r>
        <w:rPr>
          <w:i/>
          <w:color w:val="231F20"/>
          <w:sz w:val="20"/>
        </w:rPr>
        <w:t>inserción</w:t>
      </w:r>
      <w:r>
        <w:rPr>
          <w:i/>
          <w:color w:val="231F20"/>
          <w:spacing w:val="-11"/>
          <w:sz w:val="20"/>
        </w:rPr>
        <w:t> </w:t>
      </w:r>
      <w:r>
        <w:rPr>
          <w:i/>
          <w:color w:val="231F20"/>
          <w:sz w:val="20"/>
        </w:rPr>
        <w:t>laboral</w:t>
      </w:r>
      <w:r>
        <w:rPr>
          <w:i/>
          <w:color w:val="231F20"/>
          <w:spacing w:val="-11"/>
          <w:sz w:val="20"/>
        </w:rPr>
        <w:t> </w:t>
      </w:r>
      <w:r>
        <w:rPr>
          <w:i/>
          <w:color w:val="231F20"/>
          <w:sz w:val="20"/>
        </w:rPr>
        <w:t>con</w:t>
      </w:r>
      <w:r>
        <w:rPr>
          <w:i/>
          <w:color w:val="231F20"/>
          <w:spacing w:val="-11"/>
          <w:sz w:val="20"/>
        </w:rPr>
        <w:t> </w:t>
      </w:r>
      <w:r>
        <w:rPr>
          <w:i/>
          <w:color w:val="231F20"/>
          <w:sz w:val="20"/>
        </w:rPr>
        <w:t>exclusión</w:t>
      </w:r>
      <w:r>
        <w:rPr>
          <w:i/>
          <w:color w:val="231F20"/>
          <w:spacing w:val="-11"/>
          <w:sz w:val="20"/>
        </w:rPr>
        <w:t> </w:t>
      </w:r>
      <w:r>
        <w:rPr>
          <w:i/>
          <w:color w:val="231F20"/>
          <w:sz w:val="20"/>
        </w:rPr>
        <w:t>social</w:t>
      </w:r>
      <w:r>
        <w:rPr>
          <w:color w:val="231F20"/>
          <w:sz w:val="20"/>
        </w:rPr>
        <w:t>,</w:t>
      </w:r>
      <w:r>
        <w:rPr>
          <w:color w:val="231F20"/>
          <w:spacing w:val="-11"/>
          <w:sz w:val="20"/>
        </w:rPr>
        <w:t> </w:t>
      </w:r>
      <w:r>
        <w:rPr>
          <w:color w:val="231F20"/>
          <w:sz w:val="20"/>
        </w:rPr>
        <w:t>Panorama</w:t>
      </w:r>
      <w:r>
        <w:rPr>
          <w:color w:val="231F20"/>
          <w:spacing w:val="-10"/>
          <w:sz w:val="20"/>
        </w:rPr>
        <w:t> </w:t>
      </w:r>
      <w:r>
        <w:rPr>
          <w:color w:val="231F20"/>
          <w:sz w:val="20"/>
        </w:rPr>
        <w:t>actual</w:t>
      </w:r>
    </w:p>
    <w:p>
      <w:pPr>
        <w:spacing w:after="0" w:line="210" w:lineRule="exact"/>
        <w:jc w:val="both"/>
        <w:rPr>
          <w:sz w:val="20"/>
        </w:rPr>
        <w:sectPr>
          <w:pgSz w:w="9360" w:h="13040"/>
          <w:pgMar w:header="0" w:footer="496" w:top="740" w:bottom="680" w:left="1300" w:right="1300"/>
        </w:sectPr>
      </w:pPr>
    </w:p>
    <w:p>
      <w:pPr>
        <w:tabs>
          <w:tab w:pos="5536" w:val="left" w:leader="none"/>
        </w:tabs>
        <w:spacing w:before="51"/>
        <w:ind w:left="117" w:right="0" w:firstLine="5"/>
        <w:jc w:val="both"/>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rPr>
          <w:sz w:val="20"/>
        </w:rPr>
      </w:pPr>
    </w:p>
    <w:p>
      <w:pPr>
        <w:spacing w:line="210" w:lineRule="exact" w:before="0"/>
        <w:ind w:left="117" w:right="115" w:firstLine="0"/>
        <w:jc w:val="both"/>
        <w:rPr>
          <w:sz w:val="20"/>
        </w:rPr>
      </w:pPr>
      <w:r>
        <w:rPr>
          <w:color w:val="231F20"/>
          <w:sz w:val="20"/>
        </w:rPr>
        <w:t>de las migraciones en América Latina, Universidad Autónoma de Guadalajara- Asociación Latinoamericana de Población. México.</w:t>
      </w:r>
    </w:p>
    <w:p>
      <w:pPr>
        <w:spacing w:line="210" w:lineRule="exact" w:before="113"/>
        <w:ind w:left="117" w:right="115" w:firstLine="0"/>
        <w:jc w:val="both"/>
        <w:rPr>
          <w:sz w:val="20"/>
        </w:rPr>
      </w:pPr>
      <w:r>
        <w:rPr>
          <w:color w:val="231F20"/>
          <w:sz w:val="20"/>
        </w:rPr>
        <w:t>CASTLES,</w:t>
      </w:r>
      <w:r>
        <w:rPr>
          <w:color w:val="231F20"/>
          <w:spacing w:val="-5"/>
          <w:sz w:val="20"/>
        </w:rPr>
        <w:t> </w:t>
      </w:r>
      <w:r>
        <w:rPr>
          <w:color w:val="231F20"/>
          <w:sz w:val="20"/>
        </w:rPr>
        <w:t>Stephen</w:t>
      </w:r>
      <w:r>
        <w:rPr>
          <w:color w:val="231F20"/>
          <w:spacing w:val="-5"/>
          <w:sz w:val="20"/>
        </w:rPr>
        <w:t> </w:t>
      </w:r>
      <w:r>
        <w:rPr>
          <w:color w:val="231F20"/>
          <w:sz w:val="20"/>
        </w:rPr>
        <w:t>y</w:t>
      </w:r>
      <w:r>
        <w:rPr>
          <w:color w:val="231F20"/>
          <w:spacing w:val="-5"/>
          <w:sz w:val="20"/>
        </w:rPr>
        <w:t> </w:t>
      </w:r>
      <w:r>
        <w:rPr>
          <w:color w:val="231F20"/>
          <w:sz w:val="20"/>
        </w:rPr>
        <w:t>Mark</w:t>
      </w:r>
      <w:r>
        <w:rPr>
          <w:color w:val="231F20"/>
          <w:spacing w:val="-5"/>
          <w:sz w:val="20"/>
        </w:rPr>
        <w:t> </w:t>
      </w:r>
      <w:r>
        <w:rPr>
          <w:color w:val="231F20"/>
          <w:sz w:val="20"/>
        </w:rPr>
        <w:t>J.</w:t>
      </w:r>
      <w:r>
        <w:rPr>
          <w:color w:val="231F20"/>
          <w:spacing w:val="-5"/>
          <w:sz w:val="20"/>
        </w:rPr>
        <w:t> </w:t>
      </w:r>
      <w:r>
        <w:rPr>
          <w:color w:val="231F20"/>
          <w:sz w:val="20"/>
        </w:rPr>
        <w:t>Miller,</w:t>
      </w:r>
      <w:r>
        <w:rPr>
          <w:color w:val="231F20"/>
          <w:spacing w:val="-5"/>
          <w:sz w:val="20"/>
        </w:rPr>
        <w:t> </w:t>
      </w:r>
      <w:r>
        <w:rPr>
          <w:color w:val="231F20"/>
          <w:sz w:val="20"/>
        </w:rPr>
        <w:t>2004,</w:t>
      </w:r>
      <w:r>
        <w:rPr>
          <w:color w:val="231F20"/>
          <w:spacing w:val="-5"/>
          <w:sz w:val="20"/>
        </w:rPr>
        <w:t> </w:t>
      </w:r>
      <w:r>
        <w:rPr>
          <w:i/>
          <w:color w:val="231F20"/>
          <w:sz w:val="20"/>
        </w:rPr>
        <w:t>La</w:t>
      </w:r>
      <w:r>
        <w:rPr>
          <w:i/>
          <w:color w:val="231F20"/>
          <w:spacing w:val="-5"/>
          <w:sz w:val="20"/>
        </w:rPr>
        <w:t> </w:t>
      </w:r>
      <w:r>
        <w:rPr>
          <w:i/>
          <w:color w:val="231F20"/>
          <w:sz w:val="20"/>
        </w:rPr>
        <w:t>era</w:t>
      </w:r>
      <w:r>
        <w:rPr>
          <w:i/>
          <w:color w:val="231F20"/>
          <w:spacing w:val="-5"/>
          <w:sz w:val="20"/>
        </w:rPr>
        <w:t> </w:t>
      </w:r>
      <w:r>
        <w:rPr>
          <w:i/>
          <w:color w:val="231F20"/>
          <w:sz w:val="20"/>
        </w:rPr>
        <w:t>de</w:t>
      </w:r>
      <w:r>
        <w:rPr>
          <w:i/>
          <w:color w:val="231F20"/>
          <w:spacing w:val="-5"/>
          <w:sz w:val="20"/>
        </w:rPr>
        <w:t> </w:t>
      </w:r>
      <w:r>
        <w:rPr>
          <w:i/>
          <w:color w:val="231F20"/>
          <w:sz w:val="20"/>
        </w:rPr>
        <w:t>la</w:t>
      </w:r>
      <w:r>
        <w:rPr>
          <w:i/>
          <w:color w:val="231F20"/>
          <w:spacing w:val="-5"/>
          <w:sz w:val="20"/>
        </w:rPr>
        <w:t> </w:t>
      </w:r>
      <w:r>
        <w:rPr>
          <w:i/>
          <w:color w:val="231F20"/>
          <w:sz w:val="20"/>
        </w:rPr>
        <w:t>migración.</w:t>
      </w:r>
      <w:r>
        <w:rPr>
          <w:i/>
          <w:color w:val="231F20"/>
          <w:spacing w:val="-5"/>
          <w:sz w:val="20"/>
        </w:rPr>
        <w:t> </w:t>
      </w:r>
      <w:r>
        <w:rPr>
          <w:i/>
          <w:color w:val="231F20"/>
          <w:sz w:val="20"/>
        </w:rPr>
        <w:t>Movimientos </w:t>
      </w:r>
      <w:r>
        <w:rPr>
          <w:i/>
          <w:color w:val="231F20"/>
          <w:sz w:val="20"/>
        </w:rPr>
        <w:t>internacionales de población en el mundo moderno</w:t>
      </w:r>
      <w:r>
        <w:rPr>
          <w:color w:val="231F20"/>
          <w:sz w:val="20"/>
        </w:rPr>
        <w:t>, Colección América Latina y el Nuevo Orden Mundial, Miguel Ángel Porrúa, UAZ, Cámara de Diputados</w:t>
      </w:r>
      <w:r>
        <w:rPr>
          <w:color w:val="231F20"/>
          <w:spacing w:val="-21"/>
          <w:sz w:val="20"/>
        </w:rPr>
        <w:t> </w:t>
      </w:r>
      <w:r>
        <w:rPr>
          <w:color w:val="231F20"/>
          <w:sz w:val="20"/>
        </w:rPr>
        <w:t>LIX Legislatura, Fundación Colosio, Secretaría de Gobernación, Instituto Nacional de Migración,</w:t>
      </w:r>
      <w:r>
        <w:rPr>
          <w:color w:val="231F20"/>
          <w:spacing w:val="-16"/>
          <w:sz w:val="20"/>
        </w:rPr>
        <w:t> </w:t>
      </w:r>
      <w:r>
        <w:rPr>
          <w:color w:val="231F20"/>
          <w:sz w:val="20"/>
        </w:rPr>
        <w:t>México.</w:t>
      </w:r>
    </w:p>
    <w:p>
      <w:pPr>
        <w:spacing w:line="210" w:lineRule="exact" w:before="113"/>
        <w:ind w:left="117" w:right="115" w:firstLine="0"/>
        <w:jc w:val="both"/>
        <w:rPr>
          <w:sz w:val="20"/>
        </w:rPr>
      </w:pPr>
      <w:r>
        <w:rPr>
          <w:color w:val="231F20"/>
          <w:spacing w:val="-4"/>
          <w:sz w:val="20"/>
        </w:rPr>
        <w:t>CEPAL</w:t>
      </w:r>
      <w:r>
        <w:rPr>
          <w:color w:val="231F20"/>
          <w:spacing w:val="-18"/>
          <w:sz w:val="20"/>
        </w:rPr>
        <w:t> </w:t>
      </w:r>
      <w:r>
        <w:rPr>
          <w:color w:val="231F20"/>
          <w:sz w:val="20"/>
        </w:rPr>
        <w:t>(Comisión</w:t>
      </w:r>
      <w:r>
        <w:rPr>
          <w:color w:val="231F20"/>
          <w:spacing w:val="-11"/>
          <w:sz w:val="20"/>
        </w:rPr>
        <w:t> </w:t>
      </w:r>
      <w:r>
        <w:rPr>
          <w:color w:val="231F20"/>
          <w:sz w:val="20"/>
        </w:rPr>
        <w:t>Económica</w:t>
      </w:r>
      <w:r>
        <w:rPr>
          <w:color w:val="231F20"/>
          <w:spacing w:val="-11"/>
          <w:sz w:val="20"/>
        </w:rPr>
        <w:t> </w:t>
      </w:r>
      <w:r>
        <w:rPr>
          <w:color w:val="231F20"/>
          <w:sz w:val="20"/>
        </w:rPr>
        <w:t>para</w:t>
      </w:r>
      <w:r>
        <w:rPr>
          <w:color w:val="231F20"/>
          <w:spacing w:val="-22"/>
          <w:sz w:val="20"/>
        </w:rPr>
        <w:t> </w:t>
      </w:r>
      <w:r>
        <w:rPr>
          <w:color w:val="231F20"/>
          <w:sz w:val="20"/>
        </w:rPr>
        <w:t>América</w:t>
      </w:r>
      <w:r>
        <w:rPr>
          <w:color w:val="231F20"/>
          <w:spacing w:val="-10"/>
          <w:sz w:val="20"/>
        </w:rPr>
        <w:t> </w:t>
      </w:r>
      <w:r>
        <w:rPr>
          <w:color w:val="231F20"/>
          <w:sz w:val="20"/>
        </w:rPr>
        <w:t>Latina),</w:t>
      </w:r>
      <w:r>
        <w:rPr>
          <w:color w:val="231F20"/>
          <w:spacing w:val="-11"/>
          <w:sz w:val="20"/>
        </w:rPr>
        <w:t> </w:t>
      </w:r>
      <w:r>
        <w:rPr>
          <w:color w:val="231F20"/>
          <w:sz w:val="20"/>
        </w:rPr>
        <w:t>2006a,</w:t>
      </w:r>
      <w:r>
        <w:rPr>
          <w:color w:val="231F20"/>
          <w:spacing w:val="-11"/>
          <w:sz w:val="20"/>
        </w:rPr>
        <w:t> </w:t>
      </w:r>
      <w:r>
        <w:rPr>
          <w:i/>
          <w:color w:val="231F20"/>
          <w:sz w:val="20"/>
        </w:rPr>
        <w:t>Cuatro</w:t>
      </w:r>
      <w:r>
        <w:rPr>
          <w:i/>
          <w:color w:val="231F20"/>
          <w:spacing w:val="-11"/>
          <w:sz w:val="20"/>
        </w:rPr>
        <w:t> </w:t>
      </w:r>
      <w:r>
        <w:rPr>
          <w:i/>
          <w:color w:val="231F20"/>
          <w:sz w:val="20"/>
        </w:rPr>
        <w:t>temas</w:t>
      </w:r>
      <w:r>
        <w:rPr>
          <w:i/>
          <w:color w:val="231F20"/>
          <w:spacing w:val="-11"/>
          <w:sz w:val="20"/>
        </w:rPr>
        <w:t> </w:t>
      </w:r>
      <w:r>
        <w:rPr>
          <w:i/>
          <w:color w:val="231F20"/>
          <w:sz w:val="20"/>
        </w:rPr>
        <w:t>centra- </w:t>
      </w:r>
      <w:r>
        <w:rPr>
          <w:i/>
          <w:color w:val="231F20"/>
          <w:sz w:val="20"/>
        </w:rPr>
        <w:t>les</w:t>
      </w:r>
      <w:r>
        <w:rPr>
          <w:i/>
          <w:color w:val="231F20"/>
          <w:spacing w:val="-6"/>
          <w:sz w:val="20"/>
        </w:rPr>
        <w:t> </w:t>
      </w:r>
      <w:r>
        <w:rPr>
          <w:i/>
          <w:color w:val="231F20"/>
          <w:sz w:val="20"/>
        </w:rPr>
        <w:t>en</w:t>
      </w:r>
      <w:r>
        <w:rPr>
          <w:i/>
          <w:color w:val="231F20"/>
          <w:spacing w:val="-6"/>
          <w:sz w:val="20"/>
        </w:rPr>
        <w:t> </w:t>
      </w:r>
      <w:r>
        <w:rPr>
          <w:i/>
          <w:color w:val="231F20"/>
          <w:sz w:val="20"/>
        </w:rPr>
        <w:t>torno</w:t>
      </w:r>
      <w:r>
        <w:rPr>
          <w:i/>
          <w:color w:val="231F20"/>
          <w:spacing w:val="-6"/>
          <w:sz w:val="20"/>
        </w:rPr>
        <w:t> </w:t>
      </w:r>
      <w:r>
        <w:rPr>
          <w:i/>
          <w:color w:val="231F20"/>
          <w:sz w:val="20"/>
        </w:rPr>
        <w:t>a</w:t>
      </w:r>
      <w:r>
        <w:rPr>
          <w:i/>
          <w:color w:val="231F20"/>
          <w:spacing w:val="-6"/>
          <w:sz w:val="20"/>
        </w:rPr>
        <w:t> </w:t>
      </w:r>
      <w:r>
        <w:rPr>
          <w:i/>
          <w:color w:val="231F20"/>
          <w:sz w:val="20"/>
        </w:rPr>
        <w:t>la</w:t>
      </w:r>
      <w:r>
        <w:rPr>
          <w:i/>
          <w:color w:val="231F20"/>
          <w:spacing w:val="-6"/>
          <w:sz w:val="20"/>
        </w:rPr>
        <w:t> </w:t>
      </w:r>
      <w:r>
        <w:rPr>
          <w:i/>
          <w:color w:val="231F20"/>
          <w:sz w:val="20"/>
        </w:rPr>
        <w:t>migración</w:t>
      </w:r>
      <w:r>
        <w:rPr>
          <w:i/>
          <w:color w:val="231F20"/>
          <w:spacing w:val="-5"/>
          <w:sz w:val="20"/>
        </w:rPr>
        <w:t> </w:t>
      </w:r>
      <w:r>
        <w:rPr>
          <w:i/>
          <w:color w:val="231F20"/>
          <w:sz w:val="20"/>
        </w:rPr>
        <w:t>internacional,</w:t>
      </w:r>
      <w:r>
        <w:rPr>
          <w:i/>
          <w:color w:val="231F20"/>
          <w:spacing w:val="-6"/>
          <w:sz w:val="20"/>
        </w:rPr>
        <w:t> </w:t>
      </w:r>
      <w:r>
        <w:rPr>
          <w:i/>
          <w:color w:val="231F20"/>
          <w:sz w:val="20"/>
        </w:rPr>
        <w:t>derechos</w:t>
      </w:r>
      <w:r>
        <w:rPr>
          <w:i/>
          <w:color w:val="231F20"/>
          <w:spacing w:val="-6"/>
          <w:sz w:val="20"/>
        </w:rPr>
        <w:t> </w:t>
      </w:r>
      <w:r>
        <w:rPr>
          <w:i/>
          <w:color w:val="231F20"/>
          <w:sz w:val="20"/>
        </w:rPr>
        <w:t>humanos</w:t>
      </w:r>
      <w:r>
        <w:rPr>
          <w:i/>
          <w:color w:val="231F20"/>
          <w:spacing w:val="-6"/>
          <w:sz w:val="20"/>
        </w:rPr>
        <w:t> </w:t>
      </w:r>
      <w:r>
        <w:rPr>
          <w:i/>
          <w:color w:val="231F20"/>
          <w:sz w:val="20"/>
        </w:rPr>
        <w:t>y</w:t>
      </w:r>
      <w:r>
        <w:rPr>
          <w:i/>
          <w:color w:val="231F20"/>
          <w:spacing w:val="-6"/>
          <w:sz w:val="20"/>
        </w:rPr>
        <w:t> </w:t>
      </w:r>
      <w:r>
        <w:rPr>
          <w:i/>
          <w:color w:val="231F20"/>
          <w:sz w:val="20"/>
        </w:rPr>
        <w:t>desarrollo</w:t>
      </w:r>
      <w:r>
        <w:rPr>
          <w:color w:val="231F20"/>
          <w:sz w:val="20"/>
        </w:rPr>
        <w:t>,</w:t>
      </w:r>
      <w:r>
        <w:rPr>
          <w:color w:val="231F20"/>
          <w:spacing w:val="-6"/>
          <w:sz w:val="20"/>
        </w:rPr>
        <w:t> </w:t>
      </w:r>
      <w:r>
        <w:rPr>
          <w:color w:val="231F20"/>
          <w:sz w:val="20"/>
        </w:rPr>
        <w:t>Centro Latinoamericano</w:t>
      </w:r>
      <w:r>
        <w:rPr>
          <w:color w:val="231F20"/>
          <w:spacing w:val="-11"/>
          <w:sz w:val="20"/>
        </w:rPr>
        <w:t> </w:t>
      </w:r>
      <w:r>
        <w:rPr>
          <w:color w:val="231F20"/>
          <w:sz w:val="20"/>
        </w:rPr>
        <w:t>y</w:t>
      </w:r>
      <w:r>
        <w:rPr>
          <w:color w:val="231F20"/>
          <w:spacing w:val="-11"/>
          <w:sz w:val="20"/>
        </w:rPr>
        <w:t> </w:t>
      </w:r>
      <w:r>
        <w:rPr>
          <w:color w:val="231F20"/>
          <w:sz w:val="20"/>
        </w:rPr>
        <w:t>Caribeño</w:t>
      </w:r>
      <w:r>
        <w:rPr>
          <w:color w:val="231F20"/>
          <w:spacing w:val="-11"/>
          <w:sz w:val="20"/>
        </w:rPr>
        <w:t> </w:t>
      </w:r>
      <w:r>
        <w:rPr>
          <w:color w:val="231F20"/>
          <w:sz w:val="20"/>
        </w:rPr>
        <w:t>de</w:t>
      </w:r>
      <w:r>
        <w:rPr>
          <w:color w:val="231F20"/>
          <w:spacing w:val="-11"/>
          <w:sz w:val="20"/>
        </w:rPr>
        <w:t> </w:t>
      </w:r>
      <w:r>
        <w:rPr>
          <w:color w:val="231F20"/>
          <w:sz w:val="20"/>
        </w:rPr>
        <w:t>Demografía</w:t>
      </w:r>
      <w:r>
        <w:rPr>
          <w:color w:val="231F20"/>
          <w:spacing w:val="-11"/>
          <w:sz w:val="20"/>
        </w:rPr>
        <w:t> </w:t>
      </w:r>
      <w:r>
        <w:rPr>
          <w:color w:val="231F20"/>
          <w:sz w:val="20"/>
        </w:rPr>
        <w:t>(CELADE)</w:t>
      </w:r>
      <w:r>
        <w:rPr>
          <w:color w:val="231F20"/>
          <w:spacing w:val="-11"/>
          <w:sz w:val="20"/>
        </w:rPr>
        <w:t> </w:t>
      </w:r>
      <w:r>
        <w:rPr>
          <w:color w:val="231F20"/>
          <w:sz w:val="20"/>
        </w:rPr>
        <w:t>en</w:t>
      </w:r>
      <w:r>
        <w:rPr>
          <w:color w:val="231F20"/>
          <w:spacing w:val="-11"/>
          <w:sz w:val="20"/>
        </w:rPr>
        <w:t> </w:t>
      </w:r>
      <w:hyperlink r:id="rId69">
        <w:r>
          <w:rPr>
            <w:color w:val="231F20"/>
            <w:sz w:val="20"/>
          </w:rPr>
          <w:t>www.eclac.cl/publica-</w:t>
        </w:r>
      </w:hyperlink>
      <w:r>
        <w:rPr>
          <w:color w:val="231F20"/>
          <w:sz w:val="20"/>
        </w:rPr>
        <w:t> ciones/xml/2/24012/LCG2490.pdf</w:t>
      </w:r>
    </w:p>
    <w:p>
      <w:pPr>
        <w:spacing w:line="210" w:lineRule="exact" w:before="113"/>
        <w:ind w:left="117" w:right="115" w:firstLine="0"/>
        <w:jc w:val="both"/>
        <w:rPr>
          <w:sz w:val="20"/>
        </w:rPr>
      </w:pPr>
      <w:r>
        <w:rPr>
          <w:color w:val="231F20"/>
          <w:spacing w:val="-4"/>
          <w:sz w:val="20"/>
        </w:rPr>
        <w:t>CEPAL </w:t>
      </w:r>
      <w:r>
        <w:rPr>
          <w:color w:val="231F20"/>
          <w:sz w:val="20"/>
        </w:rPr>
        <w:t>(Comisión Económica para América Latina y el Caribe), 2006b, </w:t>
      </w:r>
      <w:r>
        <w:rPr>
          <w:i/>
          <w:color w:val="231F20"/>
          <w:sz w:val="20"/>
        </w:rPr>
        <w:t>Panora- </w:t>
      </w:r>
      <w:r>
        <w:rPr>
          <w:i/>
          <w:color w:val="231F20"/>
          <w:sz w:val="20"/>
        </w:rPr>
        <w:t>ma social de América Latina 2005, </w:t>
      </w:r>
      <w:r>
        <w:rPr>
          <w:color w:val="231F20"/>
          <w:sz w:val="20"/>
        </w:rPr>
        <w:t>Santiago de Chile.</w:t>
      </w:r>
    </w:p>
    <w:p>
      <w:pPr>
        <w:spacing w:line="210" w:lineRule="exact" w:before="113"/>
        <w:ind w:left="117" w:right="115" w:firstLine="0"/>
        <w:jc w:val="both"/>
        <w:rPr>
          <w:sz w:val="20"/>
        </w:rPr>
      </w:pPr>
      <w:r>
        <w:rPr>
          <w:color w:val="231F20"/>
          <w:sz w:val="20"/>
        </w:rPr>
        <w:t>CONAPO,</w:t>
      </w:r>
      <w:r>
        <w:rPr>
          <w:color w:val="231F20"/>
          <w:spacing w:val="-11"/>
          <w:sz w:val="20"/>
        </w:rPr>
        <w:t> </w:t>
      </w:r>
      <w:r>
        <w:rPr>
          <w:color w:val="231F20"/>
          <w:sz w:val="20"/>
        </w:rPr>
        <w:t>2006,</w:t>
      </w:r>
      <w:r>
        <w:rPr>
          <w:color w:val="231F20"/>
          <w:spacing w:val="-11"/>
          <w:sz w:val="20"/>
        </w:rPr>
        <w:t> </w:t>
      </w:r>
      <w:r>
        <w:rPr>
          <w:i/>
          <w:color w:val="231F20"/>
          <w:sz w:val="20"/>
        </w:rPr>
        <w:t>Inmigración</w:t>
      </w:r>
      <w:r>
        <w:rPr>
          <w:i/>
          <w:color w:val="231F20"/>
          <w:spacing w:val="-11"/>
          <w:sz w:val="20"/>
        </w:rPr>
        <w:t> </w:t>
      </w:r>
      <w:r>
        <w:rPr>
          <w:i/>
          <w:color w:val="231F20"/>
          <w:sz w:val="20"/>
        </w:rPr>
        <w:t>a</w:t>
      </w:r>
      <w:r>
        <w:rPr>
          <w:i/>
          <w:color w:val="231F20"/>
          <w:spacing w:val="-11"/>
          <w:sz w:val="20"/>
        </w:rPr>
        <w:t> </w:t>
      </w:r>
      <w:r>
        <w:rPr>
          <w:i/>
          <w:color w:val="231F20"/>
          <w:sz w:val="20"/>
        </w:rPr>
        <w:t>México</w:t>
      </w:r>
      <w:r>
        <w:rPr>
          <w:color w:val="231F20"/>
          <w:sz w:val="20"/>
        </w:rPr>
        <w:t>,</w:t>
      </w:r>
      <w:r>
        <w:rPr>
          <w:color w:val="231F20"/>
          <w:spacing w:val="-11"/>
          <w:sz w:val="20"/>
        </w:rPr>
        <w:t> </w:t>
      </w:r>
      <w:r>
        <w:rPr>
          <w:color w:val="231F20"/>
          <w:sz w:val="20"/>
        </w:rPr>
        <w:t>Secretaría</w:t>
      </w:r>
      <w:r>
        <w:rPr>
          <w:color w:val="231F20"/>
          <w:spacing w:val="-11"/>
          <w:sz w:val="20"/>
        </w:rPr>
        <w:t> </w:t>
      </w:r>
      <w:r>
        <w:rPr>
          <w:color w:val="231F20"/>
          <w:sz w:val="20"/>
        </w:rPr>
        <w:t>de</w:t>
      </w:r>
      <w:r>
        <w:rPr>
          <w:color w:val="231F20"/>
          <w:spacing w:val="-11"/>
          <w:sz w:val="20"/>
        </w:rPr>
        <w:t> </w:t>
      </w:r>
      <w:r>
        <w:rPr>
          <w:color w:val="231F20"/>
          <w:sz w:val="20"/>
        </w:rPr>
        <w:t>Gobernación,</w:t>
      </w:r>
      <w:r>
        <w:rPr>
          <w:color w:val="231F20"/>
          <w:spacing w:val="-11"/>
          <w:sz w:val="20"/>
        </w:rPr>
        <w:t> </w:t>
      </w:r>
      <w:r>
        <w:rPr>
          <w:color w:val="231F20"/>
          <w:sz w:val="20"/>
        </w:rPr>
        <w:t>en</w:t>
      </w:r>
      <w:r>
        <w:rPr>
          <w:color w:val="231F20"/>
          <w:spacing w:val="-11"/>
          <w:sz w:val="20"/>
        </w:rPr>
        <w:t> </w:t>
      </w:r>
      <w:hyperlink r:id="rId70">
        <w:r>
          <w:rPr>
            <w:color w:val="231F20"/>
            <w:sz w:val="20"/>
          </w:rPr>
          <w:t>http:www</w:t>
        </w:r>
      </w:hyperlink>
      <w:r>
        <w:rPr>
          <w:color w:val="231F20"/>
          <w:sz w:val="20"/>
        </w:rPr>
        <w:t>. conapo. gob.mx/mig_int/02.htm, (fecha de consulta el 1 de mayo de 2008), Mé- xico.</w:t>
      </w:r>
    </w:p>
    <w:p>
      <w:pPr>
        <w:spacing w:line="210" w:lineRule="exact" w:before="113"/>
        <w:ind w:left="117" w:right="115" w:firstLine="0"/>
        <w:jc w:val="both"/>
        <w:rPr>
          <w:sz w:val="20"/>
        </w:rPr>
      </w:pPr>
      <w:r>
        <w:rPr>
          <w:color w:val="231F20"/>
          <w:sz w:val="20"/>
        </w:rPr>
        <w:t>DEMOPAEDIA, s/f, </w:t>
      </w:r>
      <w:r>
        <w:rPr>
          <w:i/>
          <w:color w:val="231F20"/>
          <w:sz w:val="20"/>
        </w:rPr>
        <w:t>Diccionario Demográfico Multilingüe de la Unión Interna- </w:t>
      </w:r>
      <w:r>
        <w:rPr>
          <w:i/>
          <w:color w:val="231F20"/>
          <w:sz w:val="20"/>
        </w:rPr>
        <w:t>cional para el Estudio Científico de la Población</w:t>
      </w:r>
      <w:r>
        <w:rPr>
          <w:color w:val="231F20"/>
          <w:sz w:val="20"/>
        </w:rPr>
        <w:t>.</w:t>
      </w:r>
    </w:p>
    <w:p>
      <w:pPr>
        <w:spacing w:line="210" w:lineRule="exact" w:before="113"/>
        <w:ind w:left="117" w:right="115" w:firstLine="0"/>
        <w:jc w:val="both"/>
        <w:rPr>
          <w:sz w:val="20"/>
        </w:rPr>
      </w:pPr>
      <w:r>
        <w:rPr>
          <w:color w:val="231F20"/>
          <w:sz w:val="20"/>
        </w:rPr>
        <w:t>DURAND,</w:t>
      </w:r>
      <w:r>
        <w:rPr>
          <w:color w:val="231F20"/>
          <w:spacing w:val="-11"/>
          <w:sz w:val="20"/>
        </w:rPr>
        <w:t> </w:t>
      </w:r>
      <w:r>
        <w:rPr>
          <w:color w:val="231F20"/>
          <w:sz w:val="20"/>
        </w:rPr>
        <w:t>Jorge</w:t>
      </w:r>
      <w:r>
        <w:rPr>
          <w:color w:val="231F20"/>
          <w:spacing w:val="-11"/>
          <w:sz w:val="20"/>
        </w:rPr>
        <w:t> </w:t>
      </w:r>
      <w:r>
        <w:rPr>
          <w:color w:val="231F20"/>
          <w:sz w:val="20"/>
        </w:rPr>
        <w:t>y</w:t>
      </w:r>
      <w:r>
        <w:rPr>
          <w:color w:val="231F20"/>
          <w:spacing w:val="-11"/>
          <w:sz w:val="20"/>
        </w:rPr>
        <w:t> </w:t>
      </w:r>
      <w:r>
        <w:rPr>
          <w:color w:val="231F20"/>
          <w:sz w:val="20"/>
        </w:rPr>
        <w:t>Douglas</w:t>
      </w:r>
      <w:r>
        <w:rPr>
          <w:color w:val="231F20"/>
          <w:spacing w:val="-11"/>
          <w:sz w:val="20"/>
        </w:rPr>
        <w:t> </w:t>
      </w:r>
      <w:r>
        <w:rPr>
          <w:color w:val="231F20"/>
          <w:spacing w:val="-3"/>
          <w:sz w:val="20"/>
        </w:rPr>
        <w:t>Massey,</w:t>
      </w:r>
      <w:r>
        <w:rPr>
          <w:color w:val="231F20"/>
          <w:spacing w:val="-11"/>
          <w:sz w:val="20"/>
        </w:rPr>
        <w:t> </w:t>
      </w:r>
      <w:r>
        <w:rPr>
          <w:color w:val="231F20"/>
          <w:sz w:val="20"/>
        </w:rPr>
        <w:t>2003,</w:t>
      </w:r>
      <w:r>
        <w:rPr>
          <w:color w:val="231F20"/>
          <w:spacing w:val="-11"/>
          <w:sz w:val="20"/>
        </w:rPr>
        <w:t> </w:t>
      </w:r>
      <w:r>
        <w:rPr>
          <w:color w:val="231F20"/>
          <w:sz w:val="20"/>
        </w:rPr>
        <w:t>“Clandestinos”,</w:t>
      </w:r>
      <w:r>
        <w:rPr>
          <w:color w:val="231F20"/>
          <w:spacing w:val="-12"/>
          <w:sz w:val="20"/>
        </w:rPr>
        <w:t> </w:t>
      </w:r>
      <w:r>
        <w:rPr>
          <w:color w:val="231F20"/>
          <w:sz w:val="20"/>
        </w:rPr>
        <w:t>en</w:t>
      </w:r>
      <w:r>
        <w:rPr>
          <w:color w:val="231F20"/>
          <w:spacing w:val="-11"/>
          <w:sz w:val="20"/>
        </w:rPr>
        <w:t> </w:t>
      </w:r>
      <w:r>
        <w:rPr>
          <w:i/>
          <w:color w:val="231F20"/>
          <w:sz w:val="20"/>
        </w:rPr>
        <w:t>Migración</w:t>
      </w:r>
      <w:r>
        <w:rPr>
          <w:i/>
          <w:color w:val="231F20"/>
          <w:spacing w:val="-11"/>
          <w:sz w:val="20"/>
        </w:rPr>
        <w:t> </w:t>
      </w:r>
      <w:r>
        <w:rPr>
          <w:i/>
          <w:color w:val="231F20"/>
          <w:sz w:val="20"/>
        </w:rPr>
        <w:t>México- </w:t>
      </w:r>
      <w:r>
        <w:rPr>
          <w:i/>
          <w:color w:val="231F20"/>
          <w:sz w:val="20"/>
        </w:rPr>
        <w:t>Estados</w:t>
      </w:r>
      <w:r>
        <w:rPr>
          <w:i/>
          <w:color w:val="231F20"/>
          <w:spacing w:val="-5"/>
          <w:sz w:val="20"/>
        </w:rPr>
        <w:t> </w:t>
      </w:r>
      <w:r>
        <w:rPr>
          <w:i/>
          <w:color w:val="231F20"/>
          <w:sz w:val="20"/>
        </w:rPr>
        <w:t>Unidos</w:t>
      </w:r>
      <w:r>
        <w:rPr>
          <w:i/>
          <w:color w:val="231F20"/>
          <w:spacing w:val="-4"/>
          <w:sz w:val="20"/>
        </w:rPr>
        <w:t> </w:t>
      </w:r>
      <w:r>
        <w:rPr>
          <w:i/>
          <w:color w:val="231F20"/>
          <w:sz w:val="20"/>
        </w:rPr>
        <w:t>en</w:t>
      </w:r>
      <w:r>
        <w:rPr>
          <w:i/>
          <w:color w:val="231F20"/>
          <w:spacing w:val="-5"/>
          <w:sz w:val="20"/>
        </w:rPr>
        <w:t> </w:t>
      </w:r>
      <w:r>
        <w:rPr>
          <w:i/>
          <w:color w:val="231F20"/>
          <w:sz w:val="20"/>
        </w:rPr>
        <w:t>los</w:t>
      </w:r>
      <w:r>
        <w:rPr>
          <w:i/>
          <w:color w:val="231F20"/>
          <w:spacing w:val="-5"/>
          <w:sz w:val="20"/>
        </w:rPr>
        <w:t> </w:t>
      </w:r>
      <w:r>
        <w:rPr>
          <w:i/>
          <w:color w:val="231F20"/>
          <w:sz w:val="20"/>
        </w:rPr>
        <w:t>albores</w:t>
      </w:r>
      <w:r>
        <w:rPr>
          <w:i/>
          <w:color w:val="231F20"/>
          <w:spacing w:val="-5"/>
          <w:sz w:val="20"/>
        </w:rPr>
        <w:t> </w:t>
      </w:r>
      <w:r>
        <w:rPr>
          <w:i/>
          <w:color w:val="231F20"/>
          <w:sz w:val="20"/>
        </w:rPr>
        <w:t>del</w:t>
      </w:r>
      <w:r>
        <w:rPr>
          <w:i/>
          <w:color w:val="231F20"/>
          <w:spacing w:val="-4"/>
          <w:sz w:val="20"/>
        </w:rPr>
        <w:t> </w:t>
      </w:r>
      <w:r>
        <w:rPr>
          <w:i/>
          <w:color w:val="231F20"/>
          <w:sz w:val="20"/>
        </w:rPr>
        <w:t>siglo</w:t>
      </w:r>
      <w:r>
        <w:rPr>
          <w:i/>
          <w:color w:val="231F20"/>
          <w:spacing w:val="-4"/>
          <w:sz w:val="20"/>
        </w:rPr>
        <w:t> </w:t>
      </w:r>
      <w:r>
        <w:rPr>
          <w:i/>
          <w:color w:val="231F20"/>
          <w:sz w:val="20"/>
        </w:rPr>
        <w:t>XXI</w:t>
      </w:r>
      <w:r>
        <w:rPr>
          <w:color w:val="231F20"/>
          <w:sz w:val="20"/>
        </w:rPr>
        <w:t>,</w:t>
      </w:r>
      <w:r>
        <w:rPr>
          <w:color w:val="231F20"/>
          <w:spacing w:val="-4"/>
          <w:sz w:val="20"/>
        </w:rPr>
        <w:t> </w:t>
      </w:r>
      <w:r>
        <w:rPr>
          <w:color w:val="231F20"/>
          <w:sz w:val="20"/>
        </w:rPr>
        <w:t>Porrúa,</w:t>
      </w:r>
      <w:r>
        <w:rPr>
          <w:color w:val="231F20"/>
          <w:spacing w:val="-4"/>
          <w:sz w:val="20"/>
        </w:rPr>
        <w:t> </w:t>
      </w:r>
      <w:r>
        <w:rPr>
          <w:color w:val="231F20"/>
          <w:sz w:val="20"/>
        </w:rPr>
        <w:t>México.</w:t>
      </w:r>
    </w:p>
    <w:p>
      <w:pPr>
        <w:spacing w:line="210" w:lineRule="exact" w:before="113"/>
        <w:ind w:left="117" w:right="115" w:firstLine="0"/>
        <w:jc w:val="both"/>
        <w:rPr>
          <w:sz w:val="20"/>
        </w:rPr>
      </w:pPr>
      <w:r>
        <w:rPr>
          <w:color w:val="231F20"/>
          <w:sz w:val="20"/>
        </w:rPr>
        <w:t>ESCOBEDO,</w:t>
      </w:r>
      <w:r>
        <w:rPr>
          <w:color w:val="231F20"/>
          <w:spacing w:val="-11"/>
          <w:sz w:val="20"/>
        </w:rPr>
        <w:t> </w:t>
      </w:r>
      <w:r>
        <w:rPr>
          <w:color w:val="231F20"/>
          <w:sz w:val="20"/>
        </w:rPr>
        <w:t>José,</w:t>
      </w:r>
      <w:r>
        <w:rPr>
          <w:color w:val="231F20"/>
          <w:spacing w:val="-10"/>
          <w:sz w:val="20"/>
        </w:rPr>
        <w:t> </w:t>
      </w:r>
      <w:r>
        <w:rPr>
          <w:color w:val="231F20"/>
          <w:sz w:val="20"/>
        </w:rPr>
        <w:t>2008,</w:t>
      </w:r>
      <w:r>
        <w:rPr>
          <w:color w:val="231F20"/>
          <w:spacing w:val="-10"/>
          <w:sz w:val="20"/>
        </w:rPr>
        <w:t> </w:t>
      </w:r>
      <w:r>
        <w:rPr>
          <w:color w:val="231F20"/>
          <w:sz w:val="20"/>
        </w:rPr>
        <w:t>“La</w:t>
      </w:r>
      <w:r>
        <w:rPr>
          <w:color w:val="231F20"/>
          <w:spacing w:val="-10"/>
          <w:sz w:val="20"/>
        </w:rPr>
        <w:t> </w:t>
      </w:r>
      <w:r>
        <w:rPr>
          <w:color w:val="231F20"/>
          <w:sz w:val="20"/>
        </w:rPr>
        <w:t>migración</w:t>
      </w:r>
      <w:r>
        <w:rPr>
          <w:color w:val="231F20"/>
          <w:spacing w:val="-11"/>
          <w:sz w:val="20"/>
        </w:rPr>
        <w:t> </w:t>
      </w:r>
      <w:r>
        <w:rPr>
          <w:color w:val="231F20"/>
          <w:sz w:val="20"/>
        </w:rPr>
        <w:t>de</w:t>
      </w:r>
      <w:r>
        <w:rPr>
          <w:color w:val="231F20"/>
          <w:spacing w:val="-10"/>
          <w:sz w:val="20"/>
        </w:rPr>
        <w:t> </w:t>
      </w:r>
      <w:r>
        <w:rPr>
          <w:color w:val="231F20"/>
          <w:sz w:val="20"/>
        </w:rPr>
        <w:t>los</w:t>
      </w:r>
      <w:r>
        <w:rPr>
          <w:color w:val="231F20"/>
          <w:spacing w:val="-10"/>
          <w:sz w:val="20"/>
        </w:rPr>
        <w:t> </w:t>
      </w:r>
      <w:r>
        <w:rPr>
          <w:color w:val="231F20"/>
          <w:sz w:val="20"/>
        </w:rPr>
        <w:t>países</w:t>
      </w:r>
      <w:r>
        <w:rPr>
          <w:color w:val="231F20"/>
          <w:spacing w:val="-10"/>
          <w:sz w:val="20"/>
        </w:rPr>
        <w:t> </w:t>
      </w:r>
      <w:r>
        <w:rPr>
          <w:color w:val="231F20"/>
          <w:sz w:val="20"/>
        </w:rPr>
        <w:t>de</w:t>
      </w:r>
      <w:r>
        <w:rPr>
          <w:color w:val="231F20"/>
          <w:spacing w:val="-10"/>
          <w:sz w:val="20"/>
        </w:rPr>
        <w:t> </w:t>
      </w:r>
      <w:r>
        <w:rPr>
          <w:color w:val="231F20"/>
          <w:sz w:val="20"/>
        </w:rPr>
        <w:t>la</w:t>
      </w:r>
      <w:r>
        <w:rPr>
          <w:color w:val="231F20"/>
          <w:spacing w:val="-10"/>
          <w:sz w:val="20"/>
        </w:rPr>
        <w:t> </w:t>
      </w:r>
      <w:r>
        <w:rPr>
          <w:color w:val="231F20"/>
          <w:sz w:val="20"/>
        </w:rPr>
        <w:t>subregión</w:t>
      </w:r>
      <w:r>
        <w:rPr>
          <w:color w:val="231F20"/>
          <w:spacing w:val="-10"/>
          <w:sz w:val="20"/>
        </w:rPr>
        <w:t> </w:t>
      </w:r>
      <w:r>
        <w:rPr>
          <w:color w:val="231F20"/>
          <w:sz w:val="20"/>
        </w:rPr>
        <w:t>andina</w:t>
      </w:r>
      <w:r>
        <w:rPr>
          <w:color w:val="231F20"/>
          <w:spacing w:val="-10"/>
          <w:sz w:val="20"/>
        </w:rPr>
        <w:t> </w:t>
      </w:r>
      <w:r>
        <w:rPr>
          <w:color w:val="231F20"/>
          <w:sz w:val="20"/>
        </w:rPr>
        <w:t>a</w:t>
      </w:r>
      <w:r>
        <w:rPr>
          <w:color w:val="231F20"/>
          <w:spacing w:val="-10"/>
          <w:sz w:val="20"/>
        </w:rPr>
        <w:t> </w:t>
      </w:r>
      <w:r>
        <w:rPr>
          <w:color w:val="231F20"/>
          <w:sz w:val="20"/>
        </w:rPr>
        <w:t>Es- paña,</w:t>
      </w:r>
      <w:r>
        <w:rPr>
          <w:color w:val="231F20"/>
          <w:spacing w:val="-6"/>
          <w:sz w:val="20"/>
        </w:rPr>
        <w:t> </w:t>
      </w:r>
      <w:r>
        <w:rPr>
          <w:color w:val="231F20"/>
          <w:sz w:val="20"/>
        </w:rPr>
        <w:t>bono</w:t>
      </w:r>
      <w:r>
        <w:rPr>
          <w:color w:val="231F20"/>
          <w:spacing w:val="-6"/>
          <w:sz w:val="20"/>
        </w:rPr>
        <w:t> </w:t>
      </w:r>
      <w:r>
        <w:rPr>
          <w:color w:val="231F20"/>
          <w:sz w:val="20"/>
        </w:rPr>
        <w:t>demográfico</w:t>
      </w:r>
      <w:r>
        <w:rPr>
          <w:color w:val="231F20"/>
          <w:spacing w:val="-6"/>
          <w:sz w:val="20"/>
        </w:rPr>
        <w:t> </w:t>
      </w:r>
      <w:r>
        <w:rPr>
          <w:color w:val="231F20"/>
          <w:sz w:val="20"/>
        </w:rPr>
        <w:t>y</w:t>
      </w:r>
      <w:r>
        <w:rPr>
          <w:color w:val="231F20"/>
          <w:spacing w:val="-6"/>
          <w:sz w:val="20"/>
        </w:rPr>
        <w:t> </w:t>
      </w:r>
      <w:r>
        <w:rPr>
          <w:color w:val="231F20"/>
          <w:sz w:val="20"/>
        </w:rPr>
        <w:t>estructuras</w:t>
      </w:r>
      <w:r>
        <w:rPr>
          <w:color w:val="231F20"/>
          <w:spacing w:val="-6"/>
          <w:sz w:val="20"/>
        </w:rPr>
        <w:t> </w:t>
      </w:r>
      <w:r>
        <w:rPr>
          <w:color w:val="231F20"/>
          <w:sz w:val="20"/>
        </w:rPr>
        <w:t>poblacionales”</w:t>
      </w:r>
      <w:r>
        <w:rPr>
          <w:color w:val="231F20"/>
          <w:spacing w:val="-6"/>
          <w:sz w:val="20"/>
        </w:rPr>
        <w:t> </w:t>
      </w:r>
      <w:r>
        <w:rPr>
          <w:color w:val="231F20"/>
          <w:sz w:val="20"/>
        </w:rPr>
        <w:t>en</w:t>
      </w:r>
      <w:r>
        <w:rPr>
          <w:color w:val="231F20"/>
          <w:spacing w:val="-6"/>
          <w:sz w:val="20"/>
        </w:rPr>
        <w:t> </w:t>
      </w:r>
      <w:r>
        <w:rPr>
          <w:i/>
          <w:color w:val="231F20"/>
          <w:sz w:val="20"/>
        </w:rPr>
        <w:t>Revista</w:t>
      </w:r>
      <w:r>
        <w:rPr>
          <w:i/>
          <w:color w:val="231F20"/>
          <w:spacing w:val="-6"/>
          <w:sz w:val="20"/>
        </w:rPr>
        <w:t> </w:t>
      </w:r>
      <w:r>
        <w:rPr>
          <w:i/>
          <w:color w:val="231F20"/>
          <w:sz w:val="20"/>
        </w:rPr>
        <w:t>Latinoamericana </w:t>
      </w:r>
      <w:r>
        <w:rPr>
          <w:i/>
          <w:color w:val="231F20"/>
          <w:sz w:val="20"/>
        </w:rPr>
        <w:t>de Población</w:t>
      </w:r>
      <w:r>
        <w:rPr>
          <w:color w:val="231F20"/>
          <w:sz w:val="20"/>
        </w:rPr>
        <w:t>, año 2, número 3 julio-diciembre,</w:t>
      </w:r>
      <w:r>
        <w:rPr>
          <w:color w:val="231F20"/>
          <w:spacing w:val="-3"/>
          <w:sz w:val="20"/>
        </w:rPr>
        <w:t> </w:t>
      </w:r>
      <w:r>
        <w:rPr>
          <w:color w:val="231F20"/>
          <w:sz w:val="20"/>
        </w:rPr>
        <w:t>2008.</w:t>
      </w:r>
    </w:p>
    <w:p>
      <w:pPr>
        <w:spacing w:line="210" w:lineRule="exact" w:before="113"/>
        <w:ind w:left="117" w:right="115" w:firstLine="0"/>
        <w:jc w:val="both"/>
        <w:rPr>
          <w:sz w:val="20"/>
        </w:rPr>
      </w:pPr>
      <w:r>
        <w:rPr>
          <w:color w:val="231F20"/>
          <w:sz w:val="20"/>
        </w:rPr>
        <w:t>ESPINOSA, Guadalupe, 2011, “Empleo y migración” en revista </w:t>
      </w:r>
      <w:r>
        <w:rPr>
          <w:i/>
          <w:color w:val="231F20"/>
          <w:sz w:val="20"/>
        </w:rPr>
        <w:t>Este País</w:t>
      </w:r>
      <w:r>
        <w:rPr>
          <w:color w:val="231F20"/>
          <w:sz w:val="20"/>
        </w:rPr>
        <w:t>, núm. 246, octubre, Págs. 6-7, México.</w:t>
      </w:r>
    </w:p>
    <w:p>
      <w:pPr>
        <w:spacing w:line="210" w:lineRule="exact" w:before="113"/>
        <w:ind w:left="117" w:right="115" w:firstLine="0"/>
        <w:jc w:val="both"/>
        <w:rPr>
          <w:sz w:val="20"/>
        </w:rPr>
      </w:pPr>
      <w:r>
        <w:rPr>
          <w:color w:val="231F20"/>
          <w:sz w:val="20"/>
        </w:rPr>
        <w:t>FUCARACCIO, Ángel, 1977, “Población, fuerza de trabajo y desarrollo econó- mico</w:t>
      </w:r>
      <w:r>
        <w:rPr>
          <w:color w:val="231F20"/>
          <w:spacing w:val="-10"/>
          <w:sz w:val="20"/>
        </w:rPr>
        <w:t> </w:t>
      </w:r>
      <w:r>
        <w:rPr>
          <w:color w:val="231F20"/>
          <w:sz w:val="20"/>
        </w:rPr>
        <w:t>en</w:t>
      </w:r>
      <w:r>
        <w:rPr>
          <w:color w:val="231F20"/>
          <w:spacing w:val="-21"/>
          <w:sz w:val="20"/>
        </w:rPr>
        <w:t> </w:t>
      </w:r>
      <w:r>
        <w:rPr>
          <w:color w:val="231F20"/>
          <w:sz w:val="20"/>
        </w:rPr>
        <w:t>América</w:t>
      </w:r>
      <w:r>
        <w:rPr>
          <w:color w:val="231F20"/>
          <w:spacing w:val="-9"/>
          <w:sz w:val="20"/>
        </w:rPr>
        <w:t> </w:t>
      </w:r>
      <w:r>
        <w:rPr>
          <w:color w:val="231F20"/>
          <w:sz w:val="20"/>
        </w:rPr>
        <w:t>Latina”,</w:t>
      </w:r>
      <w:r>
        <w:rPr>
          <w:color w:val="231F20"/>
          <w:spacing w:val="-10"/>
          <w:sz w:val="20"/>
        </w:rPr>
        <w:t> </w:t>
      </w:r>
      <w:r>
        <w:rPr>
          <w:color w:val="231F20"/>
          <w:sz w:val="20"/>
        </w:rPr>
        <w:t>en</w:t>
      </w:r>
      <w:r>
        <w:rPr>
          <w:color w:val="231F20"/>
          <w:spacing w:val="-14"/>
          <w:sz w:val="20"/>
        </w:rPr>
        <w:t> </w:t>
      </w:r>
      <w:r>
        <w:rPr>
          <w:color w:val="231F20"/>
          <w:spacing w:val="-3"/>
          <w:sz w:val="20"/>
        </w:rPr>
        <w:t>Velázquez</w:t>
      </w:r>
      <w:r>
        <w:rPr>
          <w:color w:val="231F20"/>
          <w:spacing w:val="-10"/>
          <w:sz w:val="20"/>
        </w:rPr>
        <w:t> </w:t>
      </w:r>
      <w:r>
        <w:rPr>
          <w:color w:val="231F20"/>
          <w:sz w:val="20"/>
        </w:rPr>
        <w:t>y</w:t>
      </w:r>
      <w:r>
        <w:rPr>
          <w:color w:val="231F20"/>
          <w:spacing w:val="-10"/>
          <w:sz w:val="20"/>
        </w:rPr>
        <w:t> </w:t>
      </w:r>
      <w:r>
        <w:rPr>
          <w:color w:val="231F20"/>
          <w:sz w:val="20"/>
        </w:rPr>
        <w:t>Papail,</w:t>
      </w:r>
      <w:r>
        <w:rPr>
          <w:color w:val="231F20"/>
          <w:spacing w:val="-9"/>
          <w:sz w:val="20"/>
        </w:rPr>
        <w:t> </w:t>
      </w:r>
      <w:r>
        <w:rPr>
          <w:i/>
          <w:color w:val="231F20"/>
          <w:sz w:val="20"/>
        </w:rPr>
        <w:t>Migrantes</w:t>
      </w:r>
      <w:r>
        <w:rPr>
          <w:i/>
          <w:color w:val="231F20"/>
          <w:spacing w:val="-10"/>
          <w:sz w:val="20"/>
        </w:rPr>
        <w:t> </w:t>
      </w:r>
      <w:r>
        <w:rPr>
          <w:i/>
          <w:color w:val="231F20"/>
          <w:sz w:val="20"/>
        </w:rPr>
        <w:t>y</w:t>
      </w:r>
      <w:r>
        <w:rPr>
          <w:i/>
          <w:color w:val="231F20"/>
          <w:spacing w:val="-10"/>
          <w:sz w:val="20"/>
        </w:rPr>
        <w:t> </w:t>
      </w:r>
      <w:r>
        <w:rPr>
          <w:i/>
          <w:color w:val="231F20"/>
          <w:sz w:val="20"/>
        </w:rPr>
        <w:t>transformación</w:t>
      </w:r>
      <w:r>
        <w:rPr>
          <w:i/>
          <w:color w:val="231F20"/>
          <w:spacing w:val="-11"/>
          <w:sz w:val="20"/>
        </w:rPr>
        <w:t> </w:t>
      </w:r>
      <w:r>
        <w:rPr>
          <w:i/>
          <w:color w:val="231F20"/>
          <w:sz w:val="20"/>
        </w:rPr>
        <w:t>eco- </w:t>
      </w:r>
      <w:r>
        <w:rPr>
          <w:i/>
          <w:color w:val="231F20"/>
          <w:sz w:val="20"/>
        </w:rPr>
        <w:t>nómico sectorial, cuatro ciudades del occidente de México</w:t>
      </w:r>
      <w:r>
        <w:rPr>
          <w:color w:val="231F20"/>
          <w:sz w:val="20"/>
        </w:rPr>
        <w:t>. UAG.</w:t>
      </w:r>
      <w:r>
        <w:rPr>
          <w:color w:val="231F20"/>
          <w:spacing w:val="-29"/>
          <w:sz w:val="20"/>
        </w:rPr>
        <w:t> </w:t>
      </w:r>
      <w:r>
        <w:rPr>
          <w:color w:val="231F20"/>
          <w:sz w:val="20"/>
        </w:rPr>
        <w:t>México.</w:t>
      </w:r>
    </w:p>
    <w:p>
      <w:pPr>
        <w:spacing w:line="210" w:lineRule="exact" w:before="113"/>
        <w:ind w:left="117" w:right="115" w:firstLine="0"/>
        <w:jc w:val="both"/>
        <w:rPr>
          <w:sz w:val="20"/>
        </w:rPr>
      </w:pPr>
      <w:r>
        <w:rPr>
          <w:color w:val="231F20"/>
          <w:sz w:val="20"/>
        </w:rPr>
        <w:t>GUZMÁN, Díaz, Ricardo, 2006, “Globalización, Estado-Nación y Desarrollo: El Caso de las Políticas Públicas en México”, en </w:t>
      </w:r>
      <w:r>
        <w:rPr>
          <w:i/>
          <w:color w:val="231F20"/>
          <w:sz w:val="20"/>
        </w:rPr>
        <w:t>Revista Austral de Ciencias Socia- </w:t>
      </w:r>
      <w:r>
        <w:rPr>
          <w:i/>
          <w:color w:val="231F20"/>
          <w:sz w:val="20"/>
        </w:rPr>
        <w:t>les</w:t>
      </w:r>
      <w:r>
        <w:rPr>
          <w:color w:val="231F20"/>
          <w:sz w:val="20"/>
        </w:rPr>
        <w:t>, núm. 11, p. 28, Valdivia.</w:t>
      </w:r>
    </w:p>
    <w:p>
      <w:pPr>
        <w:spacing w:line="210" w:lineRule="exact" w:before="113"/>
        <w:ind w:left="117" w:right="115" w:firstLine="0"/>
        <w:jc w:val="both"/>
        <w:rPr>
          <w:sz w:val="20"/>
        </w:rPr>
      </w:pPr>
      <w:r>
        <w:rPr>
          <w:color w:val="231F20"/>
          <w:sz w:val="20"/>
        </w:rPr>
        <w:t>GUARNIZO,</w:t>
      </w:r>
      <w:r>
        <w:rPr>
          <w:color w:val="231F20"/>
          <w:spacing w:val="-6"/>
          <w:sz w:val="20"/>
        </w:rPr>
        <w:t> </w:t>
      </w:r>
      <w:r>
        <w:rPr>
          <w:color w:val="231F20"/>
          <w:sz w:val="20"/>
        </w:rPr>
        <w:t>L.E.,</w:t>
      </w:r>
      <w:r>
        <w:rPr>
          <w:color w:val="231F20"/>
          <w:spacing w:val="-6"/>
          <w:sz w:val="20"/>
        </w:rPr>
        <w:t> </w:t>
      </w:r>
      <w:r>
        <w:rPr>
          <w:color w:val="231F20"/>
          <w:sz w:val="20"/>
        </w:rPr>
        <w:t>2006,</w:t>
      </w:r>
      <w:r>
        <w:rPr>
          <w:color w:val="231F20"/>
          <w:spacing w:val="-6"/>
          <w:sz w:val="20"/>
        </w:rPr>
        <w:t> </w:t>
      </w:r>
      <w:r>
        <w:rPr>
          <w:color w:val="231F20"/>
          <w:sz w:val="20"/>
        </w:rPr>
        <w:t>“El</w:t>
      </w:r>
      <w:r>
        <w:rPr>
          <w:color w:val="231F20"/>
          <w:spacing w:val="-6"/>
          <w:sz w:val="20"/>
        </w:rPr>
        <w:t> </w:t>
      </w:r>
      <w:r>
        <w:rPr>
          <w:color w:val="231F20"/>
          <w:sz w:val="20"/>
        </w:rPr>
        <w:t>Estado</w:t>
      </w:r>
      <w:r>
        <w:rPr>
          <w:color w:val="231F20"/>
          <w:spacing w:val="-7"/>
          <w:sz w:val="20"/>
        </w:rPr>
        <w:t> </w:t>
      </w:r>
      <w:r>
        <w:rPr>
          <w:color w:val="231F20"/>
          <w:sz w:val="20"/>
        </w:rPr>
        <w:t>y</w:t>
      </w:r>
      <w:r>
        <w:rPr>
          <w:color w:val="231F20"/>
          <w:spacing w:val="-6"/>
          <w:sz w:val="20"/>
        </w:rPr>
        <w:t> </w:t>
      </w:r>
      <w:r>
        <w:rPr>
          <w:color w:val="231F20"/>
          <w:sz w:val="20"/>
        </w:rPr>
        <w:t>la</w:t>
      </w:r>
      <w:r>
        <w:rPr>
          <w:color w:val="231F20"/>
          <w:spacing w:val="-6"/>
          <w:sz w:val="20"/>
        </w:rPr>
        <w:t> </w:t>
      </w:r>
      <w:r>
        <w:rPr>
          <w:color w:val="231F20"/>
          <w:sz w:val="20"/>
        </w:rPr>
        <w:t>migración</w:t>
      </w:r>
      <w:r>
        <w:rPr>
          <w:color w:val="231F20"/>
          <w:spacing w:val="-7"/>
          <w:sz w:val="20"/>
        </w:rPr>
        <w:t> </w:t>
      </w:r>
      <w:r>
        <w:rPr>
          <w:color w:val="231F20"/>
          <w:sz w:val="20"/>
        </w:rPr>
        <w:t>global</w:t>
      </w:r>
      <w:r>
        <w:rPr>
          <w:color w:val="231F20"/>
          <w:spacing w:val="-6"/>
          <w:sz w:val="20"/>
        </w:rPr>
        <w:t> </w:t>
      </w:r>
      <w:r>
        <w:rPr>
          <w:color w:val="231F20"/>
          <w:sz w:val="20"/>
        </w:rPr>
        <w:t>colombiana”,</w:t>
      </w:r>
      <w:r>
        <w:rPr>
          <w:color w:val="231F20"/>
          <w:spacing w:val="-6"/>
          <w:sz w:val="20"/>
        </w:rPr>
        <w:t> </w:t>
      </w:r>
      <w:r>
        <w:rPr>
          <w:color w:val="231F20"/>
          <w:sz w:val="20"/>
        </w:rPr>
        <w:t>en</w:t>
      </w:r>
      <w:r>
        <w:rPr>
          <w:color w:val="231F20"/>
          <w:spacing w:val="-6"/>
          <w:sz w:val="20"/>
        </w:rPr>
        <w:t> </w:t>
      </w:r>
      <w:r>
        <w:rPr>
          <w:color w:val="231F20"/>
          <w:sz w:val="20"/>
        </w:rPr>
        <w:t>revis- ta </w:t>
      </w:r>
      <w:r>
        <w:rPr>
          <w:i/>
          <w:color w:val="231F20"/>
          <w:sz w:val="20"/>
        </w:rPr>
        <w:t>Migración y Desarrollo</w:t>
      </w:r>
      <w:r>
        <w:rPr>
          <w:color w:val="231F20"/>
          <w:sz w:val="20"/>
        </w:rPr>
        <w:t>, primer semestre.</w:t>
      </w:r>
      <w:r>
        <w:rPr>
          <w:color w:val="231F20"/>
          <w:spacing w:val="-29"/>
          <w:sz w:val="20"/>
        </w:rPr>
        <w:t> </w:t>
      </w:r>
      <w:r>
        <w:rPr>
          <w:color w:val="231F20"/>
          <w:sz w:val="20"/>
        </w:rPr>
        <w:t>México.</w:t>
      </w:r>
    </w:p>
    <w:p>
      <w:pPr>
        <w:spacing w:line="210" w:lineRule="exact" w:before="113"/>
        <w:ind w:left="117" w:right="115" w:firstLine="0"/>
        <w:jc w:val="both"/>
        <w:rPr>
          <w:sz w:val="20"/>
        </w:rPr>
      </w:pPr>
      <w:r>
        <w:rPr>
          <w:color w:val="231F20"/>
          <w:sz w:val="20"/>
        </w:rPr>
        <w:t>HUNGTINGTON, S., 2004, “El desafío hispano”, en Revista </w:t>
      </w:r>
      <w:r>
        <w:rPr>
          <w:i/>
          <w:color w:val="231F20"/>
          <w:sz w:val="20"/>
        </w:rPr>
        <w:t>Letras Libres</w:t>
      </w:r>
      <w:r>
        <w:rPr>
          <w:color w:val="231F20"/>
          <w:sz w:val="20"/>
        </w:rPr>
        <w:t>, abril 2004, año VI, núm. 64, Editorial Vuelta, México.</w:t>
      </w:r>
    </w:p>
    <w:p>
      <w:pPr>
        <w:spacing w:line="210" w:lineRule="exact" w:before="113"/>
        <w:ind w:left="117" w:right="115" w:firstLine="0"/>
        <w:jc w:val="both"/>
        <w:rPr>
          <w:sz w:val="20"/>
        </w:rPr>
      </w:pPr>
      <w:r>
        <w:rPr>
          <w:color w:val="231F20"/>
          <w:sz w:val="20"/>
        </w:rPr>
        <w:t>LEWIS, A., 1954, “Development with unlimited supplies labour”, en H.S. Geyer </w:t>
      </w:r>
      <w:r>
        <w:rPr>
          <w:i/>
          <w:color w:val="231F20"/>
          <w:sz w:val="20"/>
        </w:rPr>
        <w:t>International</w:t>
      </w:r>
      <w:r>
        <w:rPr>
          <w:i/>
          <w:color w:val="231F20"/>
          <w:spacing w:val="-6"/>
          <w:sz w:val="20"/>
        </w:rPr>
        <w:t> </w:t>
      </w:r>
      <w:r>
        <w:rPr>
          <w:i/>
          <w:color w:val="231F20"/>
          <w:sz w:val="20"/>
        </w:rPr>
        <w:t>Handbook</w:t>
      </w:r>
      <w:r>
        <w:rPr>
          <w:i/>
          <w:color w:val="231F20"/>
          <w:spacing w:val="-6"/>
          <w:sz w:val="20"/>
        </w:rPr>
        <w:t> </w:t>
      </w:r>
      <w:r>
        <w:rPr>
          <w:i/>
          <w:color w:val="231F20"/>
          <w:sz w:val="20"/>
        </w:rPr>
        <w:t>of</w:t>
      </w:r>
      <w:r>
        <w:rPr>
          <w:i/>
          <w:color w:val="231F20"/>
          <w:spacing w:val="-6"/>
          <w:sz w:val="20"/>
        </w:rPr>
        <w:t> </w:t>
      </w:r>
      <w:r>
        <w:rPr>
          <w:i/>
          <w:color w:val="231F20"/>
          <w:sz w:val="20"/>
        </w:rPr>
        <w:t>Urban</w:t>
      </w:r>
      <w:r>
        <w:rPr>
          <w:i/>
          <w:color w:val="231F20"/>
          <w:spacing w:val="-6"/>
          <w:sz w:val="20"/>
        </w:rPr>
        <w:t> </w:t>
      </w:r>
      <w:r>
        <w:rPr>
          <w:i/>
          <w:color w:val="231F20"/>
          <w:sz w:val="20"/>
        </w:rPr>
        <w:t>Systems.</w:t>
      </w:r>
      <w:r>
        <w:rPr>
          <w:i/>
          <w:color w:val="231F20"/>
          <w:spacing w:val="-6"/>
          <w:sz w:val="20"/>
        </w:rPr>
        <w:t> </w:t>
      </w:r>
      <w:r>
        <w:rPr>
          <w:i/>
          <w:color w:val="231F20"/>
          <w:sz w:val="20"/>
        </w:rPr>
        <w:t>Studies</w:t>
      </w:r>
      <w:r>
        <w:rPr>
          <w:i/>
          <w:color w:val="231F20"/>
          <w:spacing w:val="-6"/>
          <w:sz w:val="20"/>
        </w:rPr>
        <w:t> </w:t>
      </w:r>
      <w:r>
        <w:rPr>
          <w:i/>
          <w:color w:val="231F20"/>
          <w:sz w:val="20"/>
        </w:rPr>
        <w:t>of</w:t>
      </w:r>
      <w:r>
        <w:rPr>
          <w:i/>
          <w:color w:val="231F20"/>
          <w:spacing w:val="-6"/>
          <w:sz w:val="20"/>
        </w:rPr>
        <w:t> </w:t>
      </w:r>
      <w:r>
        <w:rPr>
          <w:i/>
          <w:color w:val="231F20"/>
          <w:sz w:val="20"/>
        </w:rPr>
        <w:t>urbanization</w:t>
      </w:r>
      <w:r>
        <w:rPr>
          <w:i/>
          <w:color w:val="231F20"/>
          <w:spacing w:val="-6"/>
          <w:sz w:val="20"/>
        </w:rPr>
        <w:t> </w:t>
      </w:r>
      <w:r>
        <w:rPr>
          <w:i/>
          <w:color w:val="231F20"/>
          <w:sz w:val="20"/>
        </w:rPr>
        <w:t>and</w:t>
      </w:r>
      <w:r>
        <w:rPr>
          <w:i/>
          <w:color w:val="231F20"/>
          <w:spacing w:val="-6"/>
          <w:sz w:val="20"/>
        </w:rPr>
        <w:t> </w:t>
      </w:r>
      <w:r>
        <w:rPr>
          <w:i/>
          <w:color w:val="231F20"/>
          <w:sz w:val="20"/>
        </w:rPr>
        <w:t>migration </w:t>
      </w:r>
      <w:r>
        <w:rPr>
          <w:i/>
          <w:color w:val="231F20"/>
          <w:sz w:val="20"/>
        </w:rPr>
        <w:t>in advanced and developing countries</w:t>
      </w:r>
      <w:r>
        <w:rPr>
          <w:color w:val="231F20"/>
          <w:sz w:val="20"/>
        </w:rPr>
        <w:t>, Edward Elgar Publishing Limited. Chelt- enham, UK Northampton, MA,</w:t>
      </w:r>
      <w:r>
        <w:rPr>
          <w:color w:val="231F20"/>
          <w:spacing w:val="-19"/>
          <w:sz w:val="20"/>
        </w:rPr>
        <w:t> </w:t>
      </w:r>
      <w:r>
        <w:rPr>
          <w:color w:val="231F20"/>
          <w:sz w:val="20"/>
        </w:rPr>
        <w:t>USA.</w:t>
      </w:r>
    </w:p>
    <w:p>
      <w:pPr>
        <w:spacing w:after="0" w:line="210" w:lineRule="exact"/>
        <w:jc w:val="both"/>
        <w:rPr>
          <w:sz w:val="20"/>
        </w:rPr>
        <w:sectPr>
          <w:pgSz w:w="9360" w:h="13040"/>
          <w:pgMar w:header="0" w:footer="496" w:top="840" w:bottom="680" w:left="1300" w:right="1300"/>
        </w:sectPr>
      </w:pPr>
    </w:p>
    <w:p>
      <w:pPr>
        <w:spacing w:before="45"/>
        <w:ind w:left="117" w:right="0" w:firstLine="331"/>
        <w:jc w:val="left"/>
        <w:rPr>
          <w:rFonts w:ascii="Arial" w:hAnsi="Arial"/>
          <w:sz w:val="20"/>
        </w:rPr>
      </w:pPr>
      <w:r>
        <w:rPr>
          <w:rFonts w:ascii="Arial" w:hAnsi="Arial"/>
          <w:color w:val="231F20"/>
          <w:w w:val="70"/>
          <w:sz w:val="20"/>
        </w:rPr>
        <w:t>Globalización</w:t>
      </w:r>
      <w:r>
        <w:rPr>
          <w:rFonts w:ascii="Arial" w:hAnsi="Arial"/>
          <w:color w:val="231F20"/>
          <w:spacing w:val="-15"/>
          <w:w w:val="70"/>
          <w:sz w:val="20"/>
        </w:rPr>
        <w:t> </w:t>
      </w:r>
      <w:r>
        <w:rPr>
          <w:rFonts w:ascii="Arial" w:hAnsi="Arial"/>
          <w:color w:val="231F20"/>
          <w:w w:val="70"/>
          <w:sz w:val="20"/>
        </w:rPr>
        <w:t>y</w:t>
      </w:r>
      <w:r>
        <w:rPr>
          <w:rFonts w:ascii="Arial" w:hAnsi="Arial"/>
          <w:color w:val="231F20"/>
          <w:spacing w:val="-15"/>
          <w:w w:val="70"/>
          <w:sz w:val="20"/>
        </w:rPr>
        <w:t> </w:t>
      </w:r>
      <w:r>
        <w:rPr>
          <w:rFonts w:ascii="Arial" w:hAnsi="Arial"/>
          <w:color w:val="231F20"/>
          <w:w w:val="70"/>
          <w:sz w:val="20"/>
        </w:rPr>
        <w:t>emigración</w:t>
      </w:r>
      <w:r>
        <w:rPr>
          <w:rFonts w:ascii="Arial" w:hAnsi="Arial"/>
          <w:color w:val="231F20"/>
          <w:spacing w:val="-15"/>
          <w:w w:val="70"/>
          <w:sz w:val="20"/>
        </w:rPr>
        <w:t> </w:t>
      </w:r>
      <w:r>
        <w:rPr>
          <w:rFonts w:ascii="Arial" w:hAnsi="Arial"/>
          <w:color w:val="231F20"/>
          <w:w w:val="70"/>
          <w:sz w:val="20"/>
        </w:rPr>
        <w:t>latinoamericana</w:t>
      </w:r>
      <w:r>
        <w:rPr>
          <w:rFonts w:ascii="Arial" w:hAnsi="Arial"/>
          <w:color w:val="231F20"/>
          <w:spacing w:val="-15"/>
          <w:w w:val="70"/>
          <w:sz w:val="20"/>
        </w:rPr>
        <w:t> </w:t>
      </w:r>
      <w:r>
        <w:rPr>
          <w:rFonts w:ascii="Arial" w:hAnsi="Arial"/>
          <w:color w:val="231F20"/>
          <w:w w:val="70"/>
          <w:sz w:val="20"/>
        </w:rPr>
        <w:t>y</w:t>
      </w:r>
      <w:r>
        <w:rPr>
          <w:rFonts w:ascii="Arial" w:hAnsi="Arial"/>
          <w:color w:val="231F20"/>
          <w:spacing w:val="-15"/>
          <w:w w:val="70"/>
          <w:sz w:val="20"/>
        </w:rPr>
        <w:t> </w:t>
      </w:r>
      <w:r>
        <w:rPr>
          <w:rFonts w:ascii="Arial" w:hAnsi="Arial"/>
          <w:color w:val="231F20"/>
          <w:w w:val="70"/>
          <w:sz w:val="20"/>
        </w:rPr>
        <w:t>caribeña</w:t>
      </w:r>
      <w:r>
        <w:rPr>
          <w:rFonts w:ascii="Arial" w:hAnsi="Arial"/>
          <w:color w:val="231F20"/>
          <w:spacing w:val="-15"/>
          <w:w w:val="70"/>
          <w:sz w:val="20"/>
        </w:rPr>
        <w:t> </w:t>
      </w:r>
      <w:r>
        <w:rPr>
          <w:rFonts w:ascii="Arial" w:hAnsi="Arial"/>
          <w:color w:val="231F20"/>
          <w:w w:val="70"/>
          <w:sz w:val="20"/>
        </w:rPr>
        <w:t>a</w:t>
      </w:r>
      <w:r>
        <w:rPr>
          <w:rFonts w:ascii="Arial" w:hAnsi="Arial"/>
          <w:color w:val="231F20"/>
          <w:spacing w:val="-15"/>
          <w:w w:val="70"/>
          <w:sz w:val="20"/>
        </w:rPr>
        <w:t> </w:t>
      </w:r>
      <w:r>
        <w:rPr>
          <w:rFonts w:ascii="Arial" w:hAnsi="Arial"/>
          <w:color w:val="231F20"/>
          <w:w w:val="70"/>
          <w:sz w:val="20"/>
        </w:rPr>
        <w:t>Estados</w:t>
      </w:r>
      <w:r>
        <w:rPr>
          <w:rFonts w:ascii="Arial" w:hAnsi="Arial"/>
          <w:color w:val="231F20"/>
          <w:spacing w:val="-15"/>
          <w:w w:val="70"/>
          <w:sz w:val="20"/>
        </w:rPr>
        <w:t> </w:t>
      </w:r>
      <w:r>
        <w:rPr>
          <w:rFonts w:ascii="Arial" w:hAnsi="Arial"/>
          <w:color w:val="231F20"/>
          <w:w w:val="70"/>
          <w:sz w:val="20"/>
        </w:rPr>
        <w:t>Unidos</w:t>
      </w:r>
      <w:r>
        <w:rPr>
          <w:rFonts w:ascii="Arial" w:hAnsi="Arial"/>
          <w:color w:val="231F20"/>
          <w:spacing w:val="-15"/>
          <w:w w:val="70"/>
          <w:sz w:val="20"/>
        </w:rPr>
        <w:t> </w:t>
      </w:r>
      <w:r>
        <w:rPr>
          <w:rFonts w:ascii="Arial" w:hAnsi="Arial"/>
          <w:color w:val="231F20"/>
          <w:w w:val="70"/>
          <w:sz w:val="20"/>
        </w:rPr>
        <w:t>/Ramiro</w:t>
      </w:r>
      <w:r>
        <w:rPr>
          <w:rFonts w:ascii="Arial" w:hAnsi="Arial"/>
          <w:color w:val="231F20"/>
          <w:spacing w:val="-22"/>
          <w:w w:val="70"/>
          <w:sz w:val="20"/>
        </w:rPr>
        <w:t> </w:t>
      </w:r>
      <w:r>
        <w:rPr>
          <w:rFonts w:ascii="Arial" w:hAnsi="Arial"/>
          <w:color w:val="231F20"/>
          <w:w w:val="70"/>
          <w:sz w:val="20"/>
        </w:rPr>
        <w:t>Morales-Hernández</w:t>
      </w:r>
    </w:p>
    <w:p>
      <w:pPr>
        <w:pStyle w:val="BodyText"/>
        <w:spacing w:before="3"/>
        <w:rPr>
          <w:rFonts w:ascii="Arial"/>
          <w:sz w:val="29"/>
        </w:rPr>
      </w:pPr>
    </w:p>
    <w:p>
      <w:pPr>
        <w:spacing w:line="210" w:lineRule="exact" w:before="0"/>
        <w:ind w:left="117" w:right="115" w:firstLine="0"/>
        <w:jc w:val="both"/>
        <w:rPr>
          <w:sz w:val="20"/>
        </w:rPr>
      </w:pPr>
      <w:r>
        <w:rPr>
          <w:color w:val="231F20"/>
          <w:sz w:val="20"/>
        </w:rPr>
        <w:t>MALGESINI, Graciela, 2003, </w:t>
      </w:r>
      <w:r>
        <w:rPr>
          <w:i/>
          <w:color w:val="231F20"/>
          <w:sz w:val="20"/>
        </w:rPr>
        <w:t>Migraciones y desarrollo sustentable</w:t>
      </w:r>
      <w:r>
        <w:rPr>
          <w:color w:val="231F20"/>
          <w:sz w:val="20"/>
        </w:rPr>
        <w:t>, en http:// </w:t>
      </w:r>
      <w:hyperlink r:id="rId71">
        <w:r>
          <w:rPr>
            <w:color w:val="231F20"/>
            <w:sz w:val="20"/>
          </w:rPr>
          <w:t>www.revistafuturos.info/futuro_1/graciela3.htm</w:t>
        </w:r>
      </w:hyperlink>
      <w:r>
        <w:rPr>
          <w:color w:val="231F20"/>
          <w:sz w:val="20"/>
        </w:rPr>
        <w:t> (fecha de consulta </w:t>
      </w:r>
      <w:r>
        <w:rPr>
          <w:color w:val="231F20"/>
          <w:spacing w:val="-4"/>
          <w:sz w:val="20"/>
        </w:rPr>
        <w:t>11 </w:t>
      </w:r>
      <w:r>
        <w:rPr>
          <w:color w:val="231F20"/>
          <w:sz w:val="20"/>
        </w:rPr>
        <w:t>de</w:t>
      </w:r>
      <w:r>
        <w:rPr>
          <w:color w:val="231F20"/>
          <w:spacing w:val="-33"/>
          <w:sz w:val="20"/>
        </w:rPr>
        <w:t> </w:t>
      </w:r>
      <w:r>
        <w:rPr>
          <w:color w:val="231F20"/>
          <w:sz w:val="20"/>
        </w:rPr>
        <w:t>noviem- bre</w:t>
      </w:r>
      <w:r>
        <w:rPr>
          <w:color w:val="231F20"/>
          <w:spacing w:val="-8"/>
          <w:sz w:val="20"/>
        </w:rPr>
        <w:t> </w:t>
      </w:r>
      <w:r>
        <w:rPr>
          <w:color w:val="231F20"/>
          <w:sz w:val="20"/>
        </w:rPr>
        <w:t>2011).</w:t>
      </w:r>
    </w:p>
    <w:p>
      <w:pPr>
        <w:spacing w:line="210" w:lineRule="exact" w:before="113"/>
        <w:ind w:left="117" w:right="115" w:firstLine="0"/>
        <w:jc w:val="both"/>
        <w:rPr>
          <w:sz w:val="20"/>
        </w:rPr>
      </w:pPr>
      <w:r>
        <w:rPr>
          <w:color w:val="231F20"/>
          <w:sz w:val="20"/>
        </w:rPr>
        <w:t>MARTÍNEZ,</w:t>
      </w:r>
      <w:r>
        <w:rPr>
          <w:color w:val="231F20"/>
          <w:spacing w:val="-15"/>
          <w:sz w:val="20"/>
        </w:rPr>
        <w:t> </w:t>
      </w:r>
      <w:r>
        <w:rPr>
          <w:color w:val="231F20"/>
          <w:sz w:val="20"/>
        </w:rPr>
        <w:t>J.,</w:t>
      </w:r>
      <w:r>
        <w:rPr>
          <w:color w:val="231F20"/>
          <w:spacing w:val="-14"/>
          <w:sz w:val="20"/>
        </w:rPr>
        <w:t> </w:t>
      </w:r>
      <w:r>
        <w:rPr>
          <w:color w:val="231F20"/>
          <w:sz w:val="20"/>
        </w:rPr>
        <w:t>2008,</w:t>
      </w:r>
      <w:r>
        <w:rPr>
          <w:color w:val="231F20"/>
          <w:spacing w:val="-14"/>
          <w:sz w:val="20"/>
        </w:rPr>
        <w:t> </w:t>
      </w:r>
      <w:r>
        <w:rPr>
          <w:i/>
          <w:color w:val="231F20"/>
          <w:sz w:val="20"/>
        </w:rPr>
        <w:t>América</w:t>
      </w:r>
      <w:r>
        <w:rPr>
          <w:i/>
          <w:color w:val="231F20"/>
          <w:spacing w:val="-15"/>
          <w:sz w:val="20"/>
        </w:rPr>
        <w:t> </w:t>
      </w:r>
      <w:r>
        <w:rPr>
          <w:i/>
          <w:color w:val="231F20"/>
          <w:sz w:val="20"/>
        </w:rPr>
        <w:t>Latina</w:t>
      </w:r>
      <w:r>
        <w:rPr>
          <w:i/>
          <w:color w:val="231F20"/>
          <w:spacing w:val="-14"/>
          <w:sz w:val="20"/>
        </w:rPr>
        <w:t> </w:t>
      </w:r>
      <w:r>
        <w:rPr>
          <w:i/>
          <w:color w:val="231F20"/>
          <w:sz w:val="20"/>
        </w:rPr>
        <w:t>y</w:t>
      </w:r>
      <w:r>
        <w:rPr>
          <w:i/>
          <w:color w:val="231F20"/>
          <w:spacing w:val="-14"/>
          <w:sz w:val="20"/>
        </w:rPr>
        <w:t> </w:t>
      </w:r>
      <w:r>
        <w:rPr>
          <w:i/>
          <w:color w:val="231F20"/>
          <w:sz w:val="20"/>
        </w:rPr>
        <w:t>el</w:t>
      </w:r>
      <w:r>
        <w:rPr>
          <w:i/>
          <w:color w:val="231F20"/>
          <w:spacing w:val="-14"/>
          <w:sz w:val="20"/>
        </w:rPr>
        <w:t> </w:t>
      </w:r>
      <w:r>
        <w:rPr>
          <w:i/>
          <w:color w:val="231F20"/>
          <w:sz w:val="20"/>
        </w:rPr>
        <w:t>Caribe:</w:t>
      </w:r>
      <w:r>
        <w:rPr>
          <w:i/>
          <w:color w:val="231F20"/>
          <w:spacing w:val="-14"/>
          <w:sz w:val="20"/>
        </w:rPr>
        <w:t> </w:t>
      </w:r>
      <w:r>
        <w:rPr>
          <w:i/>
          <w:color w:val="231F20"/>
          <w:sz w:val="20"/>
        </w:rPr>
        <w:t>migración</w:t>
      </w:r>
      <w:r>
        <w:rPr>
          <w:i/>
          <w:color w:val="231F20"/>
          <w:spacing w:val="-14"/>
          <w:sz w:val="20"/>
        </w:rPr>
        <w:t> </w:t>
      </w:r>
      <w:r>
        <w:rPr>
          <w:i/>
          <w:color w:val="231F20"/>
          <w:sz w:val="20"/>
        </w:rPr>
        <w:t>internacional,</w:t>
      </w:r>
      <w:r>
        <w:rPr>
          <w:i/>
          <w:color w:val="231F20"/>
          <w:spacing w:val="-15"/>
          <w:sz w:val="20"/>
        </w:rPr>
        <w:t> </w:t>
      </w:r>
      <w:r>
        <w:rPr>
          <w:i/>
          <w:color w:val="231F20"/>
          <w:sz w:val="20"/>
        </w:rPr>
        <w:t>dere- </w:t>
      </w:r>
      <w:r>
        <w:rPr>
          <w:i/>
          <w:color w:val="231F20"/>
          <w:sz w:val="20"/>
        </w:rPr>
        <w:t>chos</w:t>
      </w:r>
      <w:r>
        <w:rPr>
          <w:i/>
          <w:color w:val="231F20"/>
          <w:spacing w:val="-9"/>
          <w:sz w:val="20"/>
        </w:rPr>
        <w:t> </w:t>
      </w:r>
      <w:r>
        <w:rPr>
          <w:i/>
          <w:color w:val="231F20"/>
          <w:sz w:val="20"/>
        </w:rPr>
        <w:t>humanos</w:t>
      </w:r>
      <w:r>
        <w:rPr>
          <w:i/>
          <w:color w:val="231F20"/>
          <w:spacing w:val="-9"/>
          <w:sz w:val="20"/>
        </w:rPr>
        <w:t> </w:t>
      </w:r>
      <w:r>
        <w:rPr>
          <w:i/>
          <w:color w:val="231F20"/>
          <w:sz w:val="20"/>
        </w:rPr>
        <w:t>y</w:t>
      </w:r>
      <w:r>
        <w:rPr>
          <w:i/>
          <w:color w:val="231F20"/>
          <w:spacing w:val="-9"/>
          <w:sz w:val="20"/>
        </w:rPr>
        <w:t> </w:t>
      </w:r>
      <w:r>
        <w:rPr>
          <w:i/>
          <w:color w:val="231F20"/>
          <w:sz w:val="20"/>
        </w:rPr>
        <w:t>desarrollo</w:t>
      </w:r>
      <w:r>
        <w:rPr>
          <w:color w:val="231F20"/>
          <w:sz w:val="20"/>
        </w:rPr>
        <w:t>,</w:t>
      </w:r>
      <w:r>
        <w:rPr>
          <w:color w:val="231F20"/>
          <w:spacing w:val="-9"/>
          <w:sz w:val="20"/>
        </w:rPr>
        <w:t> </w:t>
      </w:r>
      <w:r>
        <w:rPr>
          <w:color w:val="231F20"/>
          <w:sz w:val="20"/>
        </w:rPr>
        <w:t>Comisión</w:t>
      </w:r>
      <w:r>
        <w:rPr>
          <w:color w:val="231F20"/>
          <w:spacing w:val="-9"/>
          <w:sz w:val="20"/>
        </w:rPr>
        <w:t> </w:t>
      </w:r>
      <w:r>
        <w:rPr>
          <w:color w:val="231F20"/>
          <w:sz w:val="20"/>
        </w:rPr>
        <w:t>Económica</w:t>
      </w:r>
      <w:r>
        <w:rPr>
          <w:color w:val="231F20"/>
          <w:spacing w:val="-9"/>
          <w:sz w:val="20"/>
        </w:rPr>
        <w:t> </w:t>
      </w:r>
      <w:r>
        <w:rPr>
          <w:color w:val="231F20"/>
          <w:sz w:val="20"/>
        </w:rPr>
        <w:t>para</w:t>
      </w:r>
      <w:r>
        <w:rPr>
          <w:color w:val="231F20"/>
          <w:spacing w:val="-19"/>
          <w:sz w:val="20"/>
        </w:rPr>
        <w:t> </w:t>
      </w:r>
      <w:r>
        <w:rPr>
          <w:color w:val="231F20"/>
          <w:sz w:val="20"/>
        </w:rPr>
        <w:t>América</w:t>
      </w:r>
      <w:r>
        <w:rPr>
          <w:color w:val="231F20"/>
          <w:spacing w:val="-9"/>
          <w:sz w:val="20"/>
        </w:rPr>
        <w:t> </w:t>
      </w:r>
      <w:r>
        <w:rPr>
          <w:color w:val="231F20"/>
          <w:sz w:val="20"/>
        </w:rPr>
        <w:t>Latina</w:t>
      </w:r>
      <w:r>
        <w:rPr>
          <w:color w:val="231F20"/>
          <w:spacing w:val="-9"/>
          <w:sz w:val="20"/>
        </w:rPr>
        <w:t> </w:t>
      </w:r>
      <w:r>
        <w:rPr>
          <w:color w:val="231F20"/>
          <w:sz w:val="20"/>
        </w:rPr>
        <w:t>y</w:t>
      </w:r>
      <w:r>
        <w:rPr>
          <w:color w:val="231F20"/>
          <w:spacing w:val="-9"/>
          <w:sz w:val="20"/>
        </w:rPr>
        <w:t> </w:t>
      </w:r>
      <w:r>
        <w:rPr>
          <w:color w:val="231F20"/>
          <w:sz w:val="20"/>
        </w:rPr>
        <w:t>el</w:t>
      </w:r>
      <w:r>
        <w:rPr>
          <w:color w:val="231F20"/>
          <w:spacing w:val="-9"/>
          <w:sz w:val="20"/>
        </w:rPr>
        <w:t> </w:t>
      </w:r>
      <w:r>
        <w:rPr>
          <w:color w:val="231F20"/>
          <w:sz w:val="20"/>
        </w:rPr>
        <w:t>Caribe </w:t>
      </w:r>
      <w:r>
        <w:rPr>
          <w:color w:val="231F20"/>
          <w:spacing w:val="-3"/>
          <w:sz w:val="20"/>
        </w:rPr>
        <w:t>(CEPAL), </w:t>
      </w:r>
      <w:r>
        <w:rPr>
          <w:color w:val="231F20"/>
          <w:sz w:val="20"/>
        </w:rPr>
        <w:t>Santiago de</w:t>
      </w:r>
      <w:r>
        <w:rPr>
          <w:color w:val="231F20"/>
          <w:spacing w:val="-2"/>
          <w:sz w:val="20"/>
        </w:rPr>
        <w:t> </w:t>
      </w:r>
      <w:r>
        <w:rPr>
          <w:color w:val="231F20"/>
          <w:sz w:val="20"/>
        </w:rPr>
        <w:t>Chile.</w:t>
      </w:r>
    </w:p>
    <w:p>
      <w:pPr>
        <w:spacing w:line="210" w:lineRule="exact" w:before="113"/>
        <w:ind w:left="117" w:right="115" w:firstLine="0"/>
        <w:jc w:val="both"/>
        <w:rPr>
          <w:sz w:val="20"/>
        </w:rPr>
      </w:pPr>
      <w:r>
        <w:rPr>
          <w:color w:val="231F20"/>
          <w:sz w:val="20"/>
        </w:rPr>
        <w:t>MARTÍNEZ, J., 2005, “Reseña de la era de la migración. Movimientos interna- cionales</w:t>
      </w:r>
      <w:r>
        <w:rPr>
          <w:color w:val="231F20"/>
          <w:spacing w:val="-7"/>
          <w:sz w:val="20"/>
        </w:rPr>
        <w:t> </w:t>
      </w:r>
      <w:r>
        <w:rPr>
          <w:color w:val="231F20"/>
          <w:sz w:val="20"/>
        </w:rPr>
        <w:t>de</w:t>
      </w:r>
      <w:r>
        <w:rPr>
          <w:color w:val="231F20"/>
          <w:spacing w:val="-6"/>
          <w:sz w:val="20"/>
        </w:rPr>
        <w:t> </w:t>
      </w:r>
      <w:r>
        <w:rPr>
          <w:color w:val="231F20"/>
          <w:sz w:val="20"/>
        </w:rPr>
        <w:t>población</w:t>
      </w:r>
      <w:r>
        <w:rPr>
          <w:color w:val="231F20"/>
          <w:spacing w:val="-6"/>
          <w:sz w:val="20"/>
        </w:rPr>
        <w:t> </w:t>
      </w:r>
      <w:r>
        <w:rPr>
          <w:color w:val="231F20"/>
          <w:sz w:val="20"/>
        </w:rPr>
        <w:t>en</w:t>
      </w:r>
      <w:r>
        <w:rPr>
          <w:color w:val="231F20"/>
          <w:spacing w:val="-6"/>
          <w:sz w:val="20"/>
        </w:rPr>
        <w:t> </w:t>
      </w:r>
      <w:r>
        <w:rPr>
          <w:color w:val="231F20"/>
          <w:sz w:val="20"/>
        </w:rPr>
        <w:t>el</w:t>
      </w:r>
      <w:r>
        <w:rPr>
          <w:color w:val="231F20"/>
          <w:spacing w:val="-6"/>
          <w:sz w:val="20"/>
        </w:rPr>
        <w:t> </w:t>
      </w:r>
      <w:r>
        <w:rPr>
          <w:color w:val="231F20"/>
          <w:sz w:val="20"/>
        </w:rPr>
        <w:t>mundo</w:t>
      </w:r>
      <w:r>
        <w:rPr>
          <w:color w:val="231F20"/>
          <w:spacing w:val="-7"/>
          <w:sz w:val="20"/>
        </w:rPr>
        <w:t> </w:t>
      </w:r>
      <w:r>
        <w:rPr>
          <w:color w:val="231F20"/>
          <w:sz w:val="20"/>
        </w:rPr>
        <w:t>moderno”</w:t>
      </w:r>
      <w:r>
        <w:rPr>
          <w:color w:val="231F20"/>
          <w:spacing w:val="-7"/>
          <w:sz w:val="20"/>
        </w:rPr>
        <w:t> </w:t>
      </w:r>
      <w:r>
        <w:rPr>
          <w:color w:val="231F20"/>
          <w:sz w:val="20"/>
        </w:rPr>
        <w:t>en</w:t>
      </w:r>
      <w:r>
        <w:rPr>
          <w:color w:val="231F20"/>
          <w:spacing w:val="-6"/>
          <w:sz w:val="20"/>
        </w:rPr>
        <w:t> </w:t>
      </w:r>
      <w:r>
        <w:rPr>
          <w:color w:val="231F20"/>
          <w:sz w:val="20"/>
        </w:rPr>
        <w:t>Stephen</w:t>
      </w:r>
      <w:r>
        <w:rPr>
          <w:color w:val="231F20"/>
          <w:spacing w:val="-6"/>
          <w:sz w:val="20"/>
        </w:rPr>
        <w:t> </w:t>
      </w:r>
      <w:r>
        <w:rPr>
          <w:color w:val="231F20"/>
          <w:sz w:val="20"/>
        </w:rPr>
        <w:t>Castles</w:t>
      </w:r>
      <w:r>
        <w:rPr>
          <w:color w:val="231F20"/>
          <w:spacing w:val="-6"/>
          <w:sz w:val="20"/>
        </w:rPr>
        <w:t> </w:t>
      </w:r>
      <w:r>
        <w:rPr>
          <w:color w:val="231F20"/>
          <w:sz w:val="20"/>
        </w:rPr>
        <w:t>y</w:t>
      </w:r>
      <w:r>
        <w:rPr>
          <w:color w:val="231F20"/>
          <w:spacing w:val="-6"/>
          <w:sz w:val="20"/>
        </w:rPr>
        <w:t> </w:t>
      </w:r>
      <w:r>
        <w:rPr>
          <w:color w:val="231F20"/>
          <w:sz w:val="20"/>
        </w:rPr>
        <w:t>Mark</w:t>
      </w:r>
      <w:r>
        <w:rPr>
          <w:color w:val="231F20"/>
          <w:spacing w:val="-6"/>
          <w:sz w:val="20"/>
        </w:rPr>
        <w:t> </w:t>
      </w:r>
      <w:r>
        <w:rPr>
          <w:color w:val="231F20"/>
          <w:sz w:val="20"/>
        </w:rPr>
        <w:t>J.</w:t>
      </w:r>
      <w:r>
        <w:rPr>
          <w:color w:val="231F20"/>
          <w:spacing w:val="-6"/>
          <w:sz w:val="20"/>
        </w:rPr>
        <w:t> </w:t>
      </w:r>
      <w:r>
        <w:rPr>
          <w:color w:val="231F20"/>
          <w:spacing w:val="-3"/>
          <w:sz w:val="20"/>
        </w:rPr>
        <w:t>Miller. </w:t>
      </w:r>
      <w:r>
        <w:rPr>
          <w:color w:val="231F20"/>
          <w:sz w:val="20"/>
        </w:rPr>
        <w:t>Revista</w:t>
      </w:r>
      <w:r>
        <w:rPr>
          <w:color w:val="231F20"/>
          <w:spacing w:val="-9"/>
          <w:sz w:val="20"/>
        </w:rPr>
        <w:t> </w:t>
      </w:r>
      <w:r>
        <w:rPr>
          <w:i/>
          <w:color w:val="231F20"/>
          <w:sz w:val="20"/>
        </w:rPr>
        <w:t>Migraciones</w:t>
      </w:r>
      <w:r>
        <w:rPr>
          <w:i/>
          <w:color w:val="231F20"/>
          <w:spacing w:val="-9"/>
          <w:sz w:val="20"/>
        </w:rPr>
        <w:t> </w:t>
      </w:r>
      <w:r>
        <w:rPr>
          <w:i/>
          <w:color w:val="231F20"/>
          <w:sz w:val="20"/>
        </w:rPr>
        <w:t>Internacionales</w:t>
      </w:r>
      <w:r>
        <w:rPr>
          <w:color w:val="231F20"/>
          <w:sz w:val="20"/>
        </w:rPr>
        <w:t>,</w:t>
      </w:r>
      <w:r>
        <w:rPr>
          <w:color w:val="231F20"/>
          <w:spacing w:val="-9"/>
          <w:sz w:val="20"/>
        </w:rPr>
        <w:t> </w:t>
      </w:r>
      <w:r>
        <w:rPr>
          <w:color w:val="231F20"/>
          <w:sz w:val="20"/>
        </w:rPr>
        <w:t>julio-diciembre,</w:t>
      </w:r>
      <w:r>
        <w:rPr>
          <w:color w:val="231F20"/>
          <w:spacing w:val="-9"/>
          <w:sz w:val="20"/>
        </w:rPr>
        <w:t> </w:t>
      </w:r>
      <w:r>
        <w:rPr>
          <w:color w:val="231F20"/>
          <w:sz w:val="20"/>
        </w:rPr>
        <w:t>año/vol.</w:t>
      </w:r>
      <w:r>
        <w:rPr>
          <w:color w:val="231F20"/>
          <w:spacing w:val="-9"/>
          <w:sz w:val="20"/>
        </w:rPr>
        <w:t> </w:t>
      </w:r>
      <w:r>
        <w:rPr>
          <w:color w:val="231F20"/>
          <w:sz w:val="20"/>
        </w:rPr>
        <w:t>3,</w:t>
      </w:r>
      <w:r>
        <w:rPr>
          <w:color w:val="231F20"/>
          <w:spacing w:val="-9"/>
          <w:sz w:val="20"/>
        </w:rPr>
        <w:t> </w:t>
      </w:r>
      <w:r>
        <w:rPr>
          <w:color w:val="231F20"/>
          <w:sz w:val="20"/>
        </w:rPr>
        <w:t>núm.</w:t>
      </w:r>
      <w:r>
        <w:rPr>
          <w:color w:val="231F20"/>
          <w:spacing w:val="-9"/>
          <w:sz w:val="20"/>
        </w:rPr>
        <w:t> </w:t>
      </w:r>
      <w:r>
        <w:rPr>
          <w:color w:val="231F20"/>
          <w:sz w:val="20"/>
        </w:rPr>
        <w:t>2,</w:t>
      </w:r>
      <w:r>
        <w:rPr>
          <w:color w:val="231F20"/>
          <w:spacing w:val="-9"/>
          <w:sz w:val="20"/>
        </w:rPr>
        <w:t> </w:t>
      </w:r>
      <w:r>
        <w:rPr>
          <w:color w:val="231F20"/>
          <w:sz w:val="20"/>
        </w:rPr>
        <w:t>Colegio de la Frontera Norte, Tijuana,</w:t>
      </w:r>
      <w:r>
        <w:rPr>
          <w:color w:val="231F20"/>
          <w:spacing w:val="-31"/>
          <w:sz w:val="20"/>
        </w:rPr>
        <w:t> </w:t>
      </w:r>
      <w:r>
        <w:rPr>
          <w:color w:val="231F20"/>
          <w:sz w:val="20"/>
        </w:rPr>
        <w:t>México.</w:t>
      </w:r>
    </w:p>
    <w:p>
      <w:pPr>
        <w:spacing w:line="210" w:lineRule="exact" w:before="113"/>
        <w:ind w:left="117" w:right="115" w:firstLine="0"/>
        <w:jc w:val="both"/>
        <w:rPr>
          <w:sz w:val="20"/>
        </w:rPr>
      </w:pPr>
      <w:r>
        <w:rPr>
          <w:color w:val="231F20"/>
          <w:sz w:val="20"/>
        </w:rPr>
        <w:t>MARTÍNEZ,</w:t>
      </w:r>
      <w:r>
        <w:rPr>
          <w:color w:val="231F20"/>
          <w:spacing w:val="-11"/>
          <w:sz w:val="20"/>
        </w:rPr>
        <w:t> </w:t>
      </w:r>
      <w:r>
        <w:rPr>
          <w:color w:val="231F20"/>
          <w:sz w:val="20"/>
        </w:rPr>
        <w:t>Jorge</w:t>
      </w:r>
      <w:r>
        <w:rPr>
          <w:color w:val="231F20"/>
          <w:spacing w:val="-11"/>
          <w:sz w:val="20"/>
        </w:rPr>
        <w:t> </w:t>
      </w:r>
      <w:r>
        <w:rPr>
          <w:color w:val="231F20"/>
          <w:sz w:val="20"/>
        </w:rPr>
        <w:t>y</w:t>
      </w:r>
      <w:r>
        <w:rPr>
          <w:color w:val="231F20"/>
          <w:spacing w:val="-14"/>
          <w:sz w:val="20"/>
        </w:rPr>
        <w:t> </w:t>
      </w:r>
      <w:r>
        <w:rPr>
          <w:color w:val="231F20"/>
          <w:spacing w:val="-7"/>
          <w:sz w:val="20"/>
        </w:rPr>
        <w:t>Vono</w:t>
      </w:r>
      <w:r>
        <w:rPr>
          <w:color w:val="231F20"/>
          <w:spacing w:val="-11"/>
          <w:sz w:val="20"/>
        </w:rPr>
        <w:t> </w:t>
      </w:r>
      <w:r>
        <w:rPr>
          <w:color w:val="231F20"/>
          <w:sz w:val="20"/>
        </w:rPr>
        <w:t>Daniela,</w:t>
      </w:r>
      <w:r>
        <w:rPr>
          <w:color w:val="231F20"/>
          <w:spacing w:val="-10"/>
          <w:sz w:val="20"/>
        </w:rPr>
        <w:t> </w:t>
      </w:r>
      <w:r>
        <w:rPr>
          <w:color w:val="231F20"/>
          <w:sz w:val="20"/>
        </w:rPr>
        <w:t>2005,</w:t>
      </w:r>
      <w:r>
        <w:rPr>
          <w:color w:val="231F20"/>
          <w:spacing w:val="-11"/>
          <w:sz w:val="20"/>
        </w:rPr>
        <w:t> </w:t>
      </w:r>
      <w:r>
        <w:rPr>
          <w:color w:val="231F20"/>
          <w:sz w:val="20"/>
        </w:rPr>
        <w:t>“Geografía</w:t>
      </w:r>
      <w:r>
        <w:rPr>
          <w:color w:val="231F20"/>
          <w:spacing w:val="-12"/>
          <w:sz w:val="20"/>
        </w:rPr>
        <w:t> </w:t>
      </w:r>
      <w:r>
        <w:rPr>
          <w:color w:val="231F20"/>
          <w:sz w:val="20"/>
        </w:rPr>
        <w:t>migratoria</w:t>
      </w:r>
      <w:r>
        <w:rPr>
          <w:color w:val="231F20"/>
          <w:spacing w:val="-11"/>
          <w:sz w:val="20"/>
        </w:rPr>
        <w:t> </w:t>
      </w:r>
      <w:r>
        <w:rPr>
          <w:color w:val="231F20"/>
          <w:sz w:val="20"/>
        </w:rPr>
        <w:t>intrarregional</w:t>
      </w:r>
      <w:r>
        <w:rPr>
          <w:color w:val="231F20"/>
          <w:spacing w:val="-12"/>
          <w:sz w:val="20"/>
        </w:rPr>
        <w:t> </w:t>
      </w:r>
      <w:r>
        <w:rPr>
          <w:color w:val="231F20"/>
          <w:sz w:val="20"/>
        </w:rPr>
        <w:t>de América Latina y el Caribe al comienzo del Siglo XXI”, en </w:t>
      </w:r>
      <w:r>
        <w:rPr>
          <w:i/>
          <w:color w:val="231F20"/>
          <w:sz w:val="20"/>
        </w:rPr>
        <w:t>Revista de Geogra- </w:t>
      </w:r>
      <w:r>
        <w:rPr>
          <w:i/>
          <w:color w:val="231F20"/>
          <w:sz w:val="20"/>
        </w:rPr>
        <w:t>fía Norte Grande </w:t>
      </w:r>
      <w:r>
        <w:rPr>
          <w:color w:val="231F20"/>
          <w:sz w:val="20"/>
        </w:rPr>
        <w:t>34, 39-52, en </w:t>
      </w:r>
      <w:hyperlink r:id="rId72">
        <w:r>
          <w:rPr>
            <w:color w:val="231F20"/>
            <w:sz w:val="20"/>
          </w:rPr>
          <w:t>http://www.geo.puc.cl/html/revista/PDF/RGNG_</w:t>
        </w:r>
      </w:hyperlink>
      <w:r>
        <w:rPr>
          <w:color w:val="231F20"/>
          <w:sz w:val="20"/>
        </w:rPr>
        <w:t> N34/art03.pdf (fecha de consulta 18 mayo</w:t>
      </w:r>
      <w:r>
        <w:rPr>
          <w:color w:val="231F20"/>
          <w:spacing w:val="-3"/>
          <w:sz w:val="20"/>
        </w:rPr>
        <w:t> </w:t>
      </w:r>
      <w:r>
        <w:rPr>
          <w:color w:val="231F20"/>
          <w:sz w:val="20"/>
        </w:rPr>
        <w:t>2012)</w:t>
      </w:r>
    </w:p>
    <w:p>
      <w:pPr>
        <w:spacing w:line="210" w:lineRule="exact" w:before="113"/>
        <w:ind w:left="117" w:right="114" w:firstLine="0"/>
        <w:jc w:val="both"/>
        <w:rPr>
          <w:sz w:val="20"/>
        </w:rPr>
      </w:pPr>
      <w:r>
        <w:rPr>
          <w:color w:val="231F20"/>
          <w:sz w:val="20"/>
        </w:rPr>
        <w:t>MORALES, R., 2007, “La controversia de los derechos humanos en la movilidad de mexicanos hacia Estados Unidos”, en C. Bustamante </w:t>
      </w:r>
      <w:r>
        <w:rPr>
          <w:i/>
          <w:color w:val="231F20"/>
          <w:sz w:val="20"/>
        </w:rPr>
        <w:t>et al</w:t>
      </w:r>
      <w:r>
        <w:rPr>
          <w:color w:val="231F20"/>
          <w:sz w:val="20"/>
        </w:rPr>
        <w:t>. (coords.), </w:t>
      </w:r>
      <w:r>
        <w:rPr>
          <w:i/>
          <w:color w:val="231F20"/>
          <w:sz w:val="20"/>
        </w:rPr>
        <w:t>Recons- </w:t>
      </w:r>
      <w:r>
        <w:rPr>
          <w:i/>
          <w:color w:val="231F20"/>
          <w:sz w:val="20"/>
        </w:rPr>
        <w:t>truir</w:t>
      </w:r>
      <w:r>
        <w:rPr>
          <w:i/>
          <w:color w:val="231F20"/>
          <w:spacing w:val="-6"/>
          <w:sz w:val="20"/>
        </w:rPr>
        <w:t> </w:t>
      </w:r>
      <w:r>
        <w:rPr>
          <w:i/>
          <w:color w:val="231F20"/>
          <w:sz w:val="20"/>
        </w:rPr>
        <w:t>el</w:t>
      </w:r>
      <w:r>
        <w:rPr>
          <w:i/>
          <w:color w:val="231F20"/>
          <w:spacing w:val="-6"/>
          <w:sz w:val="20"/>
        </w:rPr>
        <w:t> </w:t>
      </w:r>
      <w:r>
        <w:rPr>
          <w:i/>
          <w:color w:val="231F20"/>
          <w:sz w:val="20"/>
        </w:rPr>
        <w:t>desarrollo</w:t>
      </w:r>
      <w:r>
        <w:rPr>
          <w:i/>
          <w:color w:val="231F20"/>
          <w:spacing w:val="-6"/>
          <w:sz w:val="20"/>
        </w:rPr>
        <w:t> </w:t>
      </w:r>
      <w:r>
        <w:rPr>
          <w:i/>
          <w:color w:val="231F20"/>
          <w:sz w:val="20"/>
        </w:rPr>
        <w:t>regional</w:t>
      </w:r>
      <w:r>
        <w:rPr>
          <w:i/>
          <w:color w:val="231F20"/>
          <w:spacing w:val="-6"/>
          <w:sz w:val="20"/>
        </w:rPr>
        <w:t> </w:t>
      </w:r>
      <w:r>
        <w:rPr>
          <w:i/>
          <w:color w:val="231F20"/>
          <w:sz w:val="20"/>
        </w:rPr>
        <w:t>de</w:t>
      </w:r>
      <w:r>
        <w:rPr>
          <w:i/>
          <w:color w:val="231F20"/>
          <w:spacing w:val="-6"/>
          <w:sz w:val="20"/>
        </w:rPr>
        <w:t> </w:t>
      </w:r>
      <w:r>
        <w:rPr>
          <w:i/>
          <w:color w:val="231F20"/>
          <w:sz w:val="20"/>
        </w:rPr>
        <w:t>México</w:t>
      </w:r>
      <w:r>
        <w:rPr>
          <w:i/>
          <w:color w:val="231F20"/>
          <w:spacing w:val="-6"/>
          <w:sz w:val="20"/>
        </w:rPr>
        <w:t> </w:t>
      </w:r>
      <w:r>
        <w:rPr>
          <w:i/>
          <w:color w:val="231F20"/>
          <w:sz w:val="20"/>
        </w:rPr>
        <w:t>ante</w:t>
      </w:r>
      <w:r>
        <w:rPr>
          <w:i/>
          <w:color w:val="231F20"/>
          <w:spacing w:val="-6"/>
          <w:sz w:val="20"/>
        </w:rPr>
        <w:t> </w:t>
      </w:r>
      <w:r>
        <w:rPr>
          <w:i/>
          <w:color w:val="231F20"/>
          <w:sz w:val="20"/>
        </w:rPr>
        <w:t>la</w:t>
      </w:r>
      <w:r>
        <w:rPr>
          <w:i/>
          <w:color w:val="231F20"/>
          <w:spacing w:val="-6"/>
          <w:sz w:val="20"/>
        </w:rPr>
        <w:t> </w:t>
      </w:r>
      <w:r>
        <w:rPr>
          <w:i/>
          <w:color w:val="231F20"/>
          <w:sz w:val="20"/>
        </w:rPr>
        <w:t>recomposición</w:t>
      </w:r>
      <w:r>
        <w:rPr>
          <w:i/>
          <w:color w:val="231F20"/>
          <w:spacing w:val="-6"/>
          <w:sz w:val="20"/>
        </w:rPr>
        <w:t> </w:t>
      </w:r>
      <w:r>
        <w:rPr>
          <w:i/>
          <w:color w:val="231F20"/>
          <w:sz w:val="20"/>
        </w:rPr>
        <w:t>del</w:t>
      </w:r>
      <w:r>
        <w:rPr>
          <w:i/>
          <w:color w:val="231F20"/>
          <w:spacing w:val="-6"/>
          <w:sz w:val="20"/>
        </w:rPr>
        <w:t> </w:t>
      </w:r>
      <w:r>
        <w:rPr>
          <w:i/>
          <w:color w:val="231F20"/>
          <w:sz w:val="20"/>
        </w:rPr>
        <w:t>mundo</w:t>
      </w:r>
      <w:r>
        <w:rPr>
          <w:color w:val="231F20"/>
          <w:sz w:val="20"/>
        </w:rPr>
        <w:t>,</w:t>
      </w:r>
      <w:r>
        <w:rPr>
          <w:color w:val="231F20"/>
          <w:spacing w:val="-17"/>
          <w:sz w:val="20"/>
        </w:rPr>
        <w:t> </w:t>
      </w:r>
      <w:r>
        <w:rPr>
          <w:color w:val="231F20"/>
          <w:sz w:val="20"/>
        </w:rPr>
        <w:t>AMECI- DER,</w:t>
      </w:r>
      <w:r>
        <w:rPr>
          <w:color w:val="231F20"/>
          <w:spacing w:val="-10"/>
          <w:sz w:val="20"/>
        </w:rPr>
        <w:t> </w:t>
      </w:r>
      <w:r>
        <w:rPr>
          <w:color w:val="231F20"/>
          <w:sz w:val="20"/>
        </w:rPr>
        <w:t>México.</w:t>
      </w:r>
    </w:p>
    <w:p>
      <w:pPr>
        <w:spacing w:line="210" w:lineRule="exact" w:before="113"/>
        <w:ind w:left="117" w:right="114" w:firstLine="0"/>
        <w:jc w:val="both"/>
        <w:rPr>
          <w:sz w:val="20"/>
        </w:rPr>
      </w:pPr>
      <w:r>
        <w:rPr>
          <w:color w:val="231F20"/>
          <w:sz w:val="20"/>
        </w:rPr>
        <w:t>MORALES, R., 2006, </w:t>
      </w:r>
      <w:r>
        <w:rPr>
          <w:i/>
          <w:color w:val="231F20"/>
          <w:sz w:val="20"/>
        </w:rPr>
        <w:t>Remesas familiares y condiciones de vida en el contexto </w:t>
      </w:r>
      <w:r>
        <w:rPr>
          <w:i/>
          <w:color w:val="231F20"/>
          <w:sz w:val="20"/>
        </w:rPr>
        <w:t>de la migración guerrerense hacia los Estados Unidos de América</w:t>
      </w:r>
      <w:r>
        <w:rPr>
          <w:color w:val="231F20"/>
          <w:sz w:val="20"/>
        </w:rPr>
        <w:t>, tesis Docto- ral, presentada ante la Universidad Autónoma de Guerrero. Chilpancingo. Gro. Mexico.</w:t>
      </w:r>
    </w:p>
    <w:p>
      <w:pPr>
        <w:spacing w:line="210" w:lineRule="exact" w:before="113"/>
        <w:ind w:left="117" w:right="115" w:firstLine="0"/>
        <w:jc w:val="both"/>
        <w:rPr>
          <w:sz w:val="20"/>
        </w:rPr>
      </w:pPr>
      <w:r>
        <w:rPr>
          <w:color w:val="231F20"/>
          <w:sz w:val="20"/>
        </w:rPr>
        <w:t>OHMAE,</w:t>
      </w:r>
      <w:r>
        <w:rPr>
          <w:color w:val="231F20"/>
          <w:spacing w:val="-6"/>
          <w:sz w:val="20"/>
        </w:rPr>
        <w:t> </w:t>
      </w:r>
      <w:r>
        <w:rPr>
          <w:color w:val="231F20"/>
          <w:sz w:val="20"/>
        </w:rPr>
        <w:t>K.,</w:t>
      </w:r>
      <w:r>
        <w:rPr>
          <w:color w:val="231F20"/>
          <w:spacing w:val="-6"/>
          <w:sz w:val="20"/>
        </w:rPr>
        <w:t> </w:t>
      </w:r>
      <w:r>
        <w:rPr>
          <w:color w:val="231F20"/>
          <w:sz w:val="20"/>
        </w:rPr>
        <w:t>1998,</w:t>
      </w:r>
      <w:r>
        <w:rPr>
          <w:color w:val="231F20"/>
          <w:spacing w:val="-6"/>
          <w:sz w:val="20"/>
        </w:rPr>
        <w:t> </w:t>
      </w:r>
      <w:r>
        <w:rPr>
          <w:color w:val="231F20"/>
          <w:sz w:val="20"/>
        </w:rPr>
        <w:t>“La</w:t>
      </w:r>
      <w:r>
        <w:rPr>
          <w:color w:val="231F20"/>
          <w:spacing w:val="-6"/>
          <w:sz w:val="20"/>
        </w:rPr>
        <w:t> </w:t>
      </w:r>
      <w:r>
        <w:rPr>
          <w:color w:val="231F20"/>
          <w:sz w:val="20"/>
        </w:rPr>
        <w:t>logica</w:t>
      </w:r>
      <w:r>
        <w:rPr>
          <w:color w:val="231F20"/>
          <w:spacing w:val="-6"/>
          <w:sz w:val="20"/>
        </w:rPr>
        <w:t> </w:t>
      </w:r>
      <w:r>
        <w:rPr>
          <w:color w:val="231F20"/>
          <w:sz w:val="20"/>
        </w:rPr>
        <w:t>dell’economia</w:t>
      </w:r>
      <w:r>
        <w:rPr>
          <w:color w:val="231F20"/>
          <w:spacing w:val="-6"/>
          <w:sz w:val="20"/>
        </w:rPr>
        <w:t> </w:t>
      </w:r>
      <w:r>
        <w:rPr>
          <w:color w:val="231F20"/>
          <w:sz w:val="20"/>
        </w:rPr>
        <w:t>globale”,</w:t>
      </w:r>
      <w:r>
        <w:rPr>
          <w:color w:val="231F20"/>
          <w:spacing w:val="-6"/>
          <w:sz w:val="20"/>
        </w:rPr>
        <w:t> </w:t>
      </w:r>
      <w:r>
        <w:rPr>
          <w:color w:val="231F20"/>
          <w:sz w:val="20"/>
        </w:rPr>
        <w:t>en</w:t>
      </w:r>
      <w:r>
        <w:rPr>
          <w:color w:val="231F20"/>
          <w:spacing w:val="-6"/>
          <w:sz w:val="20"/>
        </w:rPr>
        <w:t> </w:t>
      </w:r>
      <w:r>
        <w:rPr>
          <w:color w:val="231F20"/>
          <w:sz w:val="20"/>
        </w:rPr>
        <w:t>K.</w:t>
      </w:r>
      <w:r>
        <w:rPr>
          <w:color w:val="231F20"/>
          <w:spacing w:val="-6"/>
          <w:sz w:val="20"/>
        </w:rPr>
        <w:t> </w:t>
      </w:r>
      <w:r>
        <w:rPr>
          <w:color w:val="231F20"/>
          <w:sz w:val="20"/>
        </w:rPr>
        <w:t>Ohmae</w:t>
      </w:r>
      <w:r>
        <w:rPr>
          <w:color w:val="231F20"/>
          <w:spacing w:val="-6"/>
          <w:sz w:val="20"/>
        </w:rPr>
        <w:t> </w:t>
      </w:r>
      <w:r>
        <w:rPr>
          <w:color w:val="231F20"/>
          <w:sz w:val="20"/>
        </w:rPr>
        <w:t>(ed.),</w:t>
      </w:r>
      <w:r>
        <w:rPr>
          <w:color w:val="231F20"/>
          <w:spacing w:val="-6"/>
          <w:sz w:val="20"/>
        </w:rPr>
        <w:t> </w:t>
      </w:r>
      <w:r>
        <w:rPr>
          <w:i/>
          <w:color w:val="231F20"/>
          <w:sz w:val="20"/>
        </w:rPr>
        <w:t>Il</w:t>
      </w:r>
      <w:r>
        <w:rPr>
          <w:i/>
          <w:color w:val="231F20"/>
          <w:spacing w:val="-6"/>
          <w:sz w:val="20"/>
        </w:rPr>
        <w:t> </w:t>
      </w:r>
      <w:r>
        <w:rPr>
          <w:i/>
          <w:color w:val="231F20"/>
          <w:sz w:val="20"/>
        </w:rPr>
        <w:t>sen- </w:t>
      </w:r>
      <w:r>
        <w:rPr>
          <w:i/>
          <w:color w:val="231F20"/>
          <w:sz w:val="20"/>
        </w:rPr>
        <w:t>so della globalizzazione. Prospettive di un nuovo ordine mondiale</w:t>
      </w:r>
      <w:r>
        <w:rPr>
          <w:color w:val="231F20"/>
          <w:sz w:val="20"/>
        </w:rPr>
        <w:t>,</w:t>
      </w:r>
      <w:r>
        <w:rPr>
          <w:color w:val="231F20"/>
          <w:spacing w:val="-30"/>
          <w:sz w:val="20"/>
        </w:rPr>
        <w:t> </w:t>
      </w:r>
      <w:r>
        <w:rPr>
          <w:color w:val="231F20"/>
          <w:sz w:val="20"/>
        </w:rPr>
        <w:t>Milán.</w:t>
      </w:r>
    </w:p>
    <w:p>
      <w:pPr>
        <w:spacing w:line="210" w:lineRule="exact" w:before="113"/>
        <w:ind w:left="117" w:right="115" w:firstLine="0"/>
        <w:jc w:val="both"/>
        <w:rPr>
          <w:sz w:val="20"/>
        </w:rPr>
      </w:pPr>
      <w:r>
        <w:rPr>
          <w:color w:val="231F20"/>
          <w:spacing w:val="-3"/>
          <w:sz w:val="20"/>
        </w:rPr>
        <w:t>PAREDES, </w:t>
      </w:r>
      <w:r>
        <w:rPr>
          <w:color w:val="231F20"/>
          <w:sz w:val="20"/>
        </w:rPr>
        <w:t>Guillermo, 2009, “Migración de guatemaltecos a México y Estados Unidos a partir de la Encuesta sobre migración en la frontera Guatemala-México 2004:</w:t>
      </w:r>
      <w:r>
        <w:rPr>
          <w:color w:val="231F20"/>
          <w:spacing w:val="-9"/>
          <w:sz w:val="20"/>
        </w:rPr>
        <w:t> </w:t>
      </w:r>
      <w:r>
        <w:rPr>
          <w:color w:val="231F20"/>
          <w:sz w:val="20"/>
        </w:rPr>
        <w:t>un</w:t>
      </w:r>
      <w:r>
        <w:rPr>
          <w:color w:val="231F20"/>
          <w:spacing w:val="-9"/>
          <w:sz w:val="20"/>
        </w:rPr>
        <w:t> </w:t>
      </w:r>
      <w:r>
        <w:rPr>
          <w:color w:val="231F20"/>
          <w:sz w:val="20"/>
        </w:rPr>
        <w:t>análisis</w:t>
      </w:r>
      <w:r>
        <w:rPr>
          <w:color w:val="231F20"/>
          <w:spacing w:val="-9"/>
          <w:sz w:val="20"/>
        </w:rPr>
        <w:t> </w:t>
      </w:r>
      <w:r>
        <w:rPr>
          <w:color w:val="231F20"/>
          <w:sz w:val="20"/>
        </w:rPr>
        <w:t>de</w:t>
      </w:r>
      <w:r>
        <w:rPr>
          <w:color w:val="231F20"/>
          <w:spacing w:val="-9"/>
          <w:sz w:val="20"/>
        </w:rPr>
        <w:t> </w:t>
      </w:r>
      <w:r>
        <w:rPr>
          <w:color w:val="231F20"/>
          <w:sz w:val="20"/>
        </w:rPr>
        <w:t>estrategias</w:t>
      </w:r>
      <w:r>
        <w:rPr>
          <w:color w:val="231F20"/>
          <w:spacing w:val="-9"/>
          <w:sz w:val="20"/>
        </w:rPr>
        <w:t> </w:t>
      </w:r>
      <w:r>
        <w:rPr>
          <w:color w:val="231F20"/>
          <w:sz w:val="20"/>
        </w:rPr>
        <w:t>migratorias”,</w:t>
      </w:r>
      <w:r>
        <w:rPr>
          <w:color w:val="231F20"/>
          <w:spacing w:val="-9"/>
          <w:sz w:val="20"/>
        </w:rPr>
        <w:t> </w:t>
      </w:r>
      <w:r>
        <w:rPr>
          <w:color w:val="231F20"/>
          <w:sz w:val="20"/>
        </w:rPr>
        <w:t>en</w:t>
      </w:r>
      <w:r>
        <w:rPr>
          <w:color w:val="231F20"/>
          <w:spacing w:val="-9"/>
          <w:sz w:val="20"/>
        </w:rPr>
        <w:t> </w:t>
      </w:r>
      <w:r>
        <w:rPr>
          <w:i/>
          <w:color w:val="231F20"/>
          <w:sz w:val="20"/>
        </w:rPr>
        <w:t>Migraciones</w:t>
      </w:r>
      <w:r>
        <w:rPr>
          <w:i/>
          <w:color w:val="231F20"/>
          <w:spacing w:val="-9"/>
          <w:sz w:val="20"/>
        </w:rPr>
        <w:t> </w:t>
      </w:r>
      <w:r>
        <w:rPr>
          <w:i/>
          <w:color w:val="231F20"/>
          <w:sz w:val="20"/>
        </w:rPr>
        <w:t>Internacionales</w:t>
      </w:r>
      <w:r>
        <w:rPr>
          <w:color w:val="231F20"/>
          <w:sz w:val="20"/>
        </w:rPr>
        <w:t>,</w:t>
      </w:r>
      <w:r>
        <w:rPr>
          <w:color w:val="231F20"/>
          <w:spacing w:val="-9"/>
          <w:sz w:val="20"/>
        </w:rPr>
        <w:t> </w:t>
      </w:r>
      <w:r>
        <w:rPr>
          <w:color w:val="231F20"/>
          <w:sz w:val="20"/>
        </w:rPr>
        <w:t>vol. 5, núm.1, enero-junio.</w:t>
      </w:r>
    </w:p>
    <w:p>
      <w:pPr>
        <w:spacing w:line="210" w:lineRule="exact" w:before="113"/>
        <w:ind w:left="117" w:right="115" w:firstLine="0"/>
        <w:jc w:val="both"/>
        <w:rPr>
          <w:sz w:val="20"/>
        </w:rPr>
      </w:pPr>
      <w:r>
        <w:rPr>
          <w:color w:val="231F20"/>
          <w:sz w:val="20"/>
        </w:rPr>
        <w:t>PELLEGRINO, A. y M. Koolhaas, 2008, </w:t>
      </w:r>
      <w:r>
        <w:rPr>
          <w:i/>
          <w:color w:val="231F20"/>
          <w:sz w:val="20"/>
        </w:rPr>
        <w:t>El impacto de las remesas en los hoga- </w:t>
      </w:r>
      <w:r>
        <w:rPr>
          <w:i/>
          <w:color w:val="231F20"/>
          <w:spacing w:val="-3"/>
          <w:sz w:val="20"/>
        </w:rPr>
        <w:t>res </w:t>
      </w:r>
      <w:r>
        <w:rPr>
          <w:i/>
          <w:color w:val="231F20"/>
          <w:sz w:val="20"/>
        </w:rPr>
        <w:t>uruguayos desde una perspectiva comparada</w:t>
      </w:r>
      <w:r>
        <w:rPr>
          <w:color w:val="231F20"/>
          <w:sz w:val="20"/>
        </w:rPr>
        <w:t>, presentado en el III Congreso de</w:t>
      </w:r>
      <w:r>
        <w:rPr>
          <w:color w:val="231F20"/>
          <w:spacing w:val="-7"/>
          <w:sz w:val="20"/>
        </w:rPr>
        <w:t> </w:t>
      </w:r>
      <w:r>
        <w:rPr>
          <w:color w:val="231F20"/>
          <w:sz w:val="20"/>
        </w:rPr>
        <w:t>la</w:t>
      </w:r>
      <w:r>
        <w:rPr>
          <w:color w:val="231F20"/>
          <w:spacing w:val="-17"/>
          <w:sz w:val="20"/>
        </w:rPr>
        <w:t> </w:t>
      </w:r>
      <w:r>
        <w:rPr>
          <w:color w:val="231F20"/>
          <w:sz w:val="20"/>
        </w:rPr>
        <w:t>Asociación</w:t>
      </w:r>
      <w:r>
        <w:rPr>
          <w:color w:val="231F20"/>
          <w:spacing w:val="-6"/>
          <w:sz w:val="20"/>
        </w:rPr>
        <w:t> </w:t>
      </w:r>
      <w:r>
        <w:rPr>
          <w:color w:val="231F20"/>
          <w:sz w:val="20"/>
        </w:rPr>
        <w:t>Latinoamericana</w:t>
      </w:r>
      <w:r>
        <w:rPr>
          <w:color w:val="231F20"/>
          <w:spacing w:val="-7"/>
          <w:sz w:val="20"/>
        </w:rPr>
        <w:t> </w:t>
      </w:r>
      <w:r>
        <w:rPr>
          <w:color w:val="231F20"/>
          <w:sz w:val="20"/>
        </w:rPr>
        <w:t>de</w:t>
      </w:r>
      <w:r>
        <w:rPr>
          <w:color w:val="231F20"/>
          <w:spacing w:val="-7"/>
          <w:sz w:val="20"/>
        </w:rPr>
        <w:t> </w:t>
      </w:r>
      <w:r>
        <w:rPr>
          <w:color w:val="231F20"/>
          <w:sz w:val="20"/>
        </w:rPr>
        <w:t>Población,</w:t>
      </w:r>
      <w:r>
        <w:rPr>
          <w:color w:val="231F20"/>
          <w:spacing w:val="-6"/>
          <w:sz w:val="20"/>
        </w:rPr>
        <w:t> </w:t>
      </w:r>
      <w:r>
        <w:rPr>
          <w:color w:val="231F20"/>
          <w:sz w:val="20"/>
        </w:rPr>
        <w:t>realizado</w:t>
      </w:r>
      <w:r>
        <w:rPr>
          <w:color w:val="231F20"/>
          <w:spacing w:val="-7"/>
          <w:sz w:val="20"/>
        </w:rPr>
        <w:t> </w:t>
      </w:r>
      <w:r>
        <w:rPr>
          <w:color w:val="231F20"/>
          <w:sz w:val="20"/>
        </w:rPr>
        <w:t>en</w:t>
      </w:r>
      <w:r>
        <w:rPr>
          <w:color w:val="231F20"/>
          <w:spacing w:val="-7"/>
          <w:sz w:val="20"/>
        </w:rPr>
        <w:t> </w:t>
      </w:r>
      <w:r>
        <w:rPr>
          <w:color w:val="231F20"/>
          <w:sz w:val="20"/>
        </w:rPr>
        <w:t>Córdoba,</w:t>
      </w:r>
      <w:r>
        <w:rPr>
          <w:color w:val="231F20"/>
          <w:spacing w:val="-17"/>
          <w:sz w:val="20"/>
        </w:rPr>
        <w:t> </w:t>
      </w:r>
      <w:r>
        <w:rPr>
          <w:color w:val="231F20"/>
          <w:sz w:val="20"/>
        </w:rPr>
        <w:t>Argentina, del 24 al 26 de</w:t>
      </w:r>
      <w:r>
        <w:rPr>
          <w:color w:val="231F20"/>
          <w:spacing w:val="-11"/>
          <w:sz w:val="20"/>
        </w:rPr>
        <w:t> </w:t>
      </w:r>
      <w:r>
        <w:rPr>
          <w:color w:val="231F20"/>
          <w:sz w:val="20"/>
        </w:rPr>
        <w:t>septiembre.</w:t>
      </w:r>
    </w:p>
    <w:p>
      <w:pPr>
        <w:spacing w:line="210" w:lineRule="exact" w:before="113"/>
        <w:ind w:left="117" w:right="115" w:firstLine="0"/>
        <w:jc w:val="both"/>
        <w:rPr>
          <w:sz w:val="20"/>
        </w:rPr>
      </w:pPr>
      <w:r>
        <w:rPr>
          <w:color w:val="231F20"/>
          <w:sz w:val="20"/>
        </w:rPr>
        <w:t>RIFKIN, J., 1997, </w:t>
      </w:r>
      <w:r>
        <w:rPr>
          <w:i/>
          <w:color w:val="231F20"/>
          <w:sz w:val="20"/>
        </w:rPr>
        <w:t>El fin del trabajo, nuevas tecnologías contra puestos de traba- </w:t>
      </w:r>
      <w:r>
        <w:rPr>
          <w:i/>
          <w:color w:val="231F20"/>
          <w:sz w:val="20"/>
        </w:rPr>
        <w:t>jo: el nacimiento de una nueva era</w:t>
      </w:r>
      <w:r>
        <w:rPr>
          <w:color w:val="231F20"/>
          <w:sz w:val="20"/>
        </w:rPr>
        <w:t>, Paidós, México.</w:t>
      </w:r>
    </w:p>
    <w:p>
      <w:pPr>
        <w:spacing w:line="210" w:lineRule="exact" w:before="113"/>
        <w:ind w:left="117" w:right="114" w:firstLine="0"/>
        <w:jc w:val="both"/>
        <w:rPr>
          <w:sz w:val="20"/>
        </w:rPr>
      </w:pPr>
      <w:r>
        <w:rPr>
          <w:color w:val="231F20"/>
          <w:sz w:val="20"/>
        </w:rPr>
        <w:t>RODÍGUEZ,</w:t>
      </w:r>
      <w:r>
        <w:rPr>
          <w:color w:val="231F20"/>
          <w:spacing w:val="-9"/>
          <w:sz w:val="20"/>
        </w:rPr>
        <w:t> </w:t>
      </w:r>
      <w:r>
        <w:rPr>
          <w:color w:val="231F20"/>
          <w:sz w:val="20"/>
        </w:rPr>
        <w:t>M.</w:t>
      </w:r>
      <w:r>
        <w:rPr>
          <w:color w:val="231F20"/>
          <w:spacing w:val="-9"/>
          <w:sz w:val="20"/>
        </w:rPr>
        <w:t> </w:t>
      </w:r>
      <w:r>
        <w:rPr>
          <w:color w:val="231F20"/>
          <w:sz w:val="20"/>
        </w:rPr>
        <w:t>J.</w:t>
      </w:r>
      <w:r>
        <w:rPr>
          <w:color w:val="231F20"/>
          <w:spacing w:val="-9"/>
          <w:sz w:val="20"/>
        </w:rPr>
        <w:t> </w:t>
      </w:r>
      <w:r>
        <w:rPr>
          <w:color w:val="231F20"/>
          <w:sz w:val="20"/>
        </w:rPr>
        <w:t>y</w:t>
      </w:r>
      <w:r>
        <w:rPr>
          <w:color w:val="231F20"/>
          <w:spacing w:val="-9"/>
          <w:sz w:val="20"/>
        </w:rPr>
        <w:t> </w:t>
      </w:r>
      <w:r>
        <w:rPr>
          <w:color w:val="231F20"/>
          <w:sz w:val="20"/>
        </w:rPr>
        <w:t>C.</w:t>
      </w:r>
      <w:r>
        <w:rPr>
          <w:color w:val="231F20"/>
          <w:spacing w:val="-9"/>
          <w:sz w:val="20"/>
        </w:rPr>
        <w:t> </w:t>
      </w:r>
      <w:r>
        <w:rPr>
          <w:color w:val="231F20"/>
          <w:sz w:val="20"/>
        </w:rPr>
        <w:t>Peresón,</w:t>
      </w:r>
      <w:r>
        <w:rPr>
          <w:color w:val="231F20"/>
          <w:spacing w:val="-9"/>
          <w:sz w:val="20"/>
        </w:rPr>
        <w:t> </w:t>
      </w:r>
      <w:r>
        <w:rPr>
          <w:color w:val="231F20"/>
          <w:sz w:val="20"/>
        </w:rPr>
        <w:t>2008,</w:t>
      </w:r>
      <w:r>
        <w:rPr>
          <w:color w:val="231F20"/>
          <w:spacing w:val="-9"/>
          <w:sz w:val="20"/>
        </w:rPr>
        <w:t> </w:t>
      </w:r>
      <w:r>
        <w:rPr>
          <w:i/>
          <w:color w:val="231F20"/>
          <w:sz w:val="20"/>
        </w:rPr>
        <w:t>Globalización</w:t>
      </w:r>
      <w:r>
        <w:rPr>
          <w:i/>
          <w:color w:val="231F20"/>
          <w:spacing w:val="-8"/>
          <w:sz w:val="20"/>
        </w:rPr>
        <w:t> </w:t>
      </w:r>
      <w:r>
        <w:rPr>
          <w:i/>
          <w:color w:val="231F20"/>
          <w:sz w:val="20"/>
        </w:rPr>
        <w:t>y</w:t>
      </w:r>
      <w:r>
        <w:rPr>
          <w:i/>
          <w:color w:val="231F20"/>
          <w:spacing w:val="-9"/>
          <w:sz w:val="20"/>
        </w:rPr>
        <w:t> </w:t>
      </w:r>
      <w:r>
        <w:rPr>
          <w:i/>
          <w:color w:val="231F20"/>
          <w:sz w:val="20"/>
        </w:rPr>
        <w:t>migración</w:t>
      </w:r>
      <w:r>
        <w:rPr>
          <w:i/>
          <w:color w:val="231F20"/>
          <w:spacing w:val="-9"/>
          <w:sz w:val="20"/>
        </w:rPr>
        <w:t> </w:t>
      </w:r>
      <w:r>
        <w:rPr>
          <w:i/>
          <w:color w:val="231F20"/>
          <w:sz w:val="20"/>
        </w:rPr>
        <w:t>latinoamerica- </w:t>
      </w:r>
      <w:r>
        <w:rPr>
          <w:i/>
          <w:color w:val="231F20"/>
          <w:sz w:val="20"/>
        </w:rPr>
        <w:t>na en España. Una mirada a las familias transnacionales</w:t>
      </w:r>
      <w:r>
        <w:rPr>
          <w:b/>
          <w:color w:val="231F20"/>
          <w:sz w:val="20"/>
        </w:rPr>
        <w:t>, </w:t>
      </w:r>
      <w:r>
        <w:rPr>
          <w:color w:val="231F20"/>
          <w:sz w:val="20"/>
        </w:rPr>
        <w:t>Trabajo presentado en el III Congreso de la Asociación Latinoamericana de Población, </w:t>
      </w:r>
      <w:r>
        <w:rPr>
          <w:color w:val="231F20"/>
          <w:spacing w:val="-6"/>
          <w:sz w:val="20"/>
        </w:rPr>
        <w:t>ALAP, </w:t>
      </w:r>
      <w:r>
        <w:rPr>
          <w:color w:val="231F20"/>
          <w:sz w:val="20"/>
        </w:rPr>
        <w:t>realizado en Córdoba, Argentina, del 24 al 26 de Septiembre de</w:t>
      </w:r>
      <w:r>
        <w:rPr>
          <w:color w:val="231F20"/>
          <w:spacing w:val="-27"/>
          <w:sz w:val="20"/>
        </w:rPr>
        <w:t> </w:t>
      </w:r>
      <w:r>
        <w:rPr>
          <w:color w:val="231F20"/>
          <w:sz w:val="20"/>
        </w:rPr>
        <w:t>2008.</w:t>
      </w:r>
    </w:p>
    <w:p>
      <w:pPr>
        <w:spacing w:line="210" w:lineRule="exact" w:before="113"/>
        <w:ind w:left="117" w:right="115" w:firstLine="0"/>
        <w:jc w:val="both"/>
        <w:rPr>
          <w:sz w:val="20"/>
        </w:rPr>
      </w:pPr>
      <w:r>
        <w:rPr>
          <w:color w:val="231F20"/>
          <w:sz w:val="20"/>
        </w:rPr>
        <w:t>RUIZ, F. Andrés, 2001, “Algunos efectos de la globalización”, en </w:t>
      </w:r>
      <w:r>
        <w:rPr>
          <w:i/>
          <w:color w:val="231F20"/>
          <w:sz w:val="20"/>
        </w:rPr>
        <w:t>Integración </w:t>
      </w:r>
      <w:r>
        <w:rPr>
          <w:i/>
          <w:color w:val="231F20"/>
          <w:sz w:val="20"/>
        </w:rPr>
        <w:t>Internacional</w:t>
      </w:r>
      <w:r>
        <w:rPr>
          <w:color w:val="231F20"/>
          <w:sz w:val="20"/>
        </w:rPr>
        <w:t>, agosto 2001. </w:t>
      </w:r>
      <w:hyperlink r:id="rId73">
        <w:r>
          <w:rPr>
            <w:color w:val="231F20"/>
            <w:sz w:val="20"/>
          </w:rPr>
          <w:t>(http://www.gestiopolis.com/canales/economia/arti</w:t>
        </w:r>
      </w:hyperlink>
      <w:r>
        <w:rPr>
          <w:color w:val="231F20"/>
          <w:sz w:val="20"/>
        </w:rPr>
        <w:t>- culos/no19/efeglobal.ht)</w:t>
      </w:r>
    </w:p>
    <w:p>
      <w:pPr>
        <w:spacing w:after="0" w:line="210" w:lineRule="exact"/>
        <w:jc w:val="both"/>
        <w:rPr>
          <w:sz w:val="20"/>
        </w:rPr>
        <w:sectPr>
          <w:pgSz w:w="9360" w:h="13040"/>
          <w:pgMar w:header="0" w:footer="496" w:top="740" w:bottom="680" w:left="1300" w:right="1300"/>
        </w:sectPr>
      </w:pPr>
    </w:p>
    <w:p>
      <w:pPr>
        <w:tabs>
          <w:tab w:pos="5536" w:val="left" w:leader="none"/>
        </w:tabs>
        <w:spacing w:before="51"/>
        <w:ind w:left="117" w:right="0" w:firstLine="5"/>
        <w:jc w:val="both"/>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9"/>
        <w:rPr>
          <w:sz w:val="19"/>
        </w:rPr>
      </w:pPr>
    </w:p>
    <w:p>
      <w:pPr>
        <w:spacing w:line="220" w:lineRule="exact" w:before="0"/>
        <w:ind w:left="117" w:right="0" w:firstLine="0"/>
        <w:jc w:val="both"/>
        <w:rPr>
          <w:i/>
          <w:sz w:val="20"/>
        </w:rPr>
      </w:pPr>
      <w:r>
        <w:rPr>
          <w:color w:val="231F20"/>
          <w:sz w:val="20"/>
        </w:rPr>
        <w:t>SUÁREZ, M., 2001, “Inmigración latinoamericana en Estados Unidos”, en </w:t>
      </w:r>
      <w:r>
        <w:rPr>
          <w:i/>
          <w:color w:val="231F20"/>
          <w:sz w:val="20"/>
        </w:rPr>
        <w:t>Temas</w:t>
      </w:r>
    </w:p>
    <w:p>
      <w:pPr>
        <w:spacing w:line="220" w:lineRule="exact" w:before="0"/>
        <w:ind w:left="117" w:right="0" w:firstLine="0"/>
        <w:jc w:val="both"/>
        <w:rPr>
          <w:sz w:val="20"/>
        </w:rPr>
      </w:pPr>
      <w:r>
        <w:rPr>
          <w:color w:val="231F20"/>
          <w:sz w:val="20"/>
        </w:rPr>
        <w:t>núm. 26 4-13, julio-septiembre.</w:t>
      </w:r>
    </w:p>
    <w:p>
      <w:pPr>
        <w:spacing w:line="210" w:lineRule="exact" w:before="112"/>
        <w:ind w:left="117" w:right="115" w:firstLine="0"/>
        <w:jc w:val="both"/>
        <w:rPr>
          <w:sz w:val="20"/>
        </w:rPr>
      </w:pPr>
      <w:r>
        <w:rPr>
          <w:color w:val="231F20"/>
          <w:sz w:val="20"/>
        </w:rPr>
        <w:t>TODARO,</w:t>
      </w:r>
      <w:r>
        <w:rPr>
          <w:color w:val="231F20"/>
          <w:spacing w:val="-5"/>
          <w:sz w:val="20"/>
        </w:rPr>
        <w:t> </w:t>
      </w:r>
      <w:r>
        <w:rPr>
          <w:color w:val="231F20"/>
          <w:sz w:val="20"/>
        </w:rPr>
        <w:t>Michael,</w:t>
      </w:r>
      <w:r>
        <w:rPr>
          <w:color w:val="231F20"/>
          <w:spacing w:val="-5"/>
          <w:sz w:val="20"/>
        </w:rPr>
        <w:t> </w:t>
      </w:r>
      <w:r>
        <w:rPr>
          <w:color w:val="231F20"/>
          <w:spacing w:val="-8"/>
          <w:sz w:val="20"/>
        </w:rPr>
        <w:t>P.,</w:t>
      </w:r>
      <w:r>
        <w:rPr>
          <w:color w:val="231F20"/>
          <w:spacing w:val="-5"/>
          <w:sz w:val="20"/>
        </w:rPr>
        <w:t> </w:t>
      </w:r>
      <w:r>
        <w:rPr>
          <w:color w:val="231F20"/>
          <w:sz w:val="20"/>
        </w:rPr>
        <w:t>1976,</w:t>
      </w:r>
      <w:r>
        <w:rPr>
          <w:color w:val="231F20"/>
          <w:spacing w:val="-5"/>
          <w:sz w:val="20"/>
        </w:rPr>
        <w:t> </w:t>
      </w:r>
      <w:r>
        <w:rPr>
          <w:i/>
          <w:color w:val="231F20"/>
          <w:sz w:val="20"/>
        </w:rPr>
        <w:t>Internal</w:t>
      </w:r>
      <w:r>
        <w:rPr>
          <w:i/>
          <w:color w:val="231F20"/>
          <w:spacing w:val="-5"/>
          <w:sz w:val="20"/>
        </w:rPr>
        <w:t> </w:t>
      </w:r>
      <w:r>
        <w:rPr>
          <w:i/>
          <w:color w:val="231F20"/>
          <w:sz w:val="20"/>
        </w:rPr>
        <w:t>migration</w:t>
      </w:r>
      <w:r>
        <w:rPr>
          <w:i/>
          <w:color w:val="231F20"/>
          <w:spacing w:val="-5"/>
          <w:sz w:val="20"/>
        </w:rPr>
        <w:t> </w:t>
      </w:r>
      <w:r>
        <w:rPr>
          <w:i/>
          <w:color w:val="231F20"/>
          <w:sz w:val="20"/>
        </w:rPr>
        <w:t>in</w:t>
      </w:r>
      <w:r>
        <w:rPr>
          <w:i/>
          <w:color w:val="231F20"/>
          <w:spacing w:val="-5"/>
          <w:sz w:val="20"/>
        </w:rPr>
        <w:t> </w:t>
      </w:r>
      <w:r>
        <w:rPr>
          <w:i/>
          <w:color w:val="231F20"/>
          <w:sz w:val="20"/>
        </w:rPr>
        <w:t>developing</w:t>
      </w:r>
      <w:r>
        <w:rPr>
          <w:i/>
          <w:color w:val="231F20"/>
          <w:spacing w:val="-5"/>
          <w:sz w:val="20"/>
        </w:rPr>
        <w:t> </w:t>
      </w:r>
      <w:r>
        <w:rPr>
          <w:i/>
          <w:color w:val="231F20"/>
          <w:sz w:val="20"/>
        </w:rPr>
        <w:t>countries</w:t>
      </w:r>
      <w:r>
        <w:rPr>
          <w:color w:val="231F20"/>
          <w:sz w:val="20"/>
        </w:rPr>
        <w:t>,</w:t>
      </w:r>
      <w:r>
        <w:rPr>
          <w:color w:val="231F20"/>
          <w:spacing w:val="-5"/>
          <w:sz w:val="20"/>
        </w:rPr>
        <w:t> </w:t>
      </w:r>
      <w:r>
        <w:rPr>
          <w:color w:val="231F20"/>
          <w:sz w:val="20"/>
        </w:rPr>
        <w:t>Geneve International Labor</w:t>
      </w:r>
      <w:r>
        <w:rPr>
          <w:color w:val="231F20"/>
          <w:spacing w:val="-11"/>
          <w:sz w:val="20"/>
        </w:rPr>
        <w:t> </w:t>
      </w:r>
      <w:r>
        <w:rPr>
          <w:color w:val="231F20"/>
          <w:sz w:val="20"/>
        </w:rPr>
        <w:t>Office.</w:t>
      </w:r>
    </w:p>
    <w:p>
      <w:pPr>
        <w:spacing w:line="210" w:lineRule="exact" w:before="113"/>
        <w:ind w:left="117" w:right="114" w:firstLine="0"/>
        <w:jc w:val="both"/>
        <w:rPr>
          <w:sz w:val="20"/>
        </w:rPr>
      </w:pPr>
      <w:r>
        <w:rPr>
          <w:color w:val="231F20"/>
          <w:sz w:val="20"/>
        </w:rPr>
        <w:t>TODARO,</w:t>
      </w:r>
      <w:r>
        <w:rPr>
          <w:color w:val="231F20"/>
          <w:spacing w:val="-10"/>
          <w:sz w:val="20"/>
        </w:rPr>
        <w:t> </w:t>
      </w:r>
      <w:r>
        <w:rPr>
          <w:color w:val="231F20"/>
          <w:sz w:val="20"/>
        </w:rPr>
        <w:t>Michael</w:t>
      </w:r>
      <w:r>
        <w:rPr>
          <w:color w:val="231F20"/>
          <w:spacing w:val="-10"/>
          <w:sz w:val="20"/>
        </w:rPr>
        <w:t> </w:t>
      </w:r>
      <w:r>
        <w:rPr>
          <w:color w:val="231F20"/>
          <w:spacing w:val="-8"/>
          <w:sz w:val="20"/>
        </w:rPr>
        <w:t>P.,</w:t>
      </w:r>
      <w:r>
        <w:rPr>
          <w:color w:val="231F20"/>
          <w:spacing w:val="-10"/>
          <w:sz w:val="20"/>
        </w:rPr>
        <w:t> </w:t>
      </w:r>
      <w:r>
        <w:rPr>
          <w:color w:val="231F20"/>
          <w:sz w:val="20"/>
        </w:rPr>
        <w:t>1989,</w:t>
      </w:r>
      <w:r>
        <w:rPr>
          <w:color w:val="231F20"/>
          <w:spacing w:val="-10"/>
          <w:sz w:val="20"/>
        </w:rPr>
        <w:t> </w:t>
      </w:r>
      <w:r>
        <w:rPr>
          <w:i/>
          <w:color w:val="231F20"/>
          <w:sz w:val="20"/>
        </w:rPr>
        <w:t>Economic</w:t>
      </w:r>
      <w:r>
        <w:rPr>
          <w:i/>
          <w:color w:val="231F20"/>
          <w:spacing w:val="-11"/>
          <w:sz w:val="20"/>
        </w:rPr>
        <w:t> </w:t>
      </w:r>
      <w:r>
        <w:rPr>
          <w:i/>
          <w:color w:val="231F20"/>
          <w:sz w:val="20"/>
        </w:rPr>
        <w:t>development</w:t>
      </w:r>
      <w:r>
        <w:rPr>
          <w:i/>
          <w:color w:val="231F20"/>
          <w:spacing w:val="-11"/>
          <w:sz w:val="20"/>
        </w:rPr>
        <w:t> </w:t>
      </w:r>
      <w:r>
        <w:rPr>
          <w:i/>
          <w:color w:val="231F20"/>
          <w:sz w:val="20"/>
        </w:rPr>
        <w:t>in</w:t>
      </w:r>
      <w:r>
        <w:rPr>
          <w:i/>
          <w:color w:val="231F20"/>
          <w:spacing w:val="-11"/>
          <w:sz w:val="20"/>
        </w:rPr>
        <w:t> </w:t>
      </w:r>
      <w:r>
        <w:rPr>
          <w:i/>
          <w:color w:val="231F20"/>
          <w:sz w:val="20"/>
        </w:rPr>
        <w:t>the</w:t>
      </w:r>
      <w:r>
        <w:rPr>
          <w:i/>
          <w:color w:val="231F20"/>
          <w:spacing w:val="-11"/>
          <w:sz w:val="20"/>
        </w:rPr>
        <w:t> </w:t>
      </w:r>
      <w:r>
        <w:rPr>
          <w:i/>
          <w:color w:val="231F20"/>
          <w:sz w:val="20"/>
        </w:rPr>
        <w:t>third</w:t>
      </w:r>
      <w:r>
        <w:rPr>
          <w:i/>
          <w:color w:val="231F20"/>
          <w:spacing w:val="-10"/>
          <w:sz w:val="20"/>
        </w:rPr>
        <w:t> </w:t>
      </w:r>
      <w:r>
        <w:rPr>
          <w:i/>
          <w:color w:val="231F20"/>
          <w:sz w:val="20"/>
        </w:rPr>
        <w:t>world</w:t>
      </w:r>
      <w:r>
        <w:rPr>
          <w:color w:val="231F20"/>
          <w:sz w:val="20"/>
        </w:rPr>
        <w:t>,</w:t>
      </w:r>
      <w:r>
        <w:rPr>
          <w:color w:val="231F20"/>
          <w:spacing w:val="-10"/>
          <w:sz w:val="20"/>
        </w:rPr>
        <w:t> </w:t>
      </w:r>
      <w:r>
        <w:rPr>
          <w:color w:val="231F20"/>
          <w:sz w:val="20"/>
        </w:rPr>
        <w:t>Longman. Nueva</w:t>
      </w:r>
      <w:r>
        <w:rPr>
          <w:color w:val="231F20"/>
          <w:spacing w:val="-8"/>
          <w:sz w:val="20"/>
        </w:rPr>
        <w:t> </w:t>
      </w:r>
      <w:r>
        <w:rPr>
          <w:color w:val="231F20"/>
          <w:spacing w:val="-5"/>
          <w:sz w:val="20"/>
        </w:rPr>
        <w:t>York.</w:t>
      </w:r>
    </w:p>
    <w:p>
      <w:pPr>
        <w:spacing w:line="210" w:lineRule="exact" w:before="113"/>
        <w:ind w:left="117" w:right="115" w:firstLine="0"/>
        <w:jc w:val="both"/>
        <w:rPr>
          <w:sz w:val="20"/>
        </w:rPr>
      </w:pPr>
      <w:r>
        <w:rPr>
          <w:color w:val="231F20"/>
          <w:sz w:val="20"/>
        </w:rPr>
        <w:t>ULRICH, Beck, 1998, </w:t>
      </w:r>
      <w:r>
        <w:rPr>
          <w:i/>
          <w:color w:val="231F20"/>
          <w:sz w:val="20"/>
        </w:rPr>
        <w:t>¿Qué es la globalización? Falacias del globalismo, </w:t>
      </w:r>
      <w:r>
        <w:rPr>
          <w:i/>
          <w:color w:val="231F20"/>
          <w:sz w:val="20"/>
        </w:rPr>
        <w:t>respuestas a la globalización</w:t>
      </w:r>
      <w:r>
        <w:rPr>
          <w:color w:val="231F20"/>
          <w:sz w:val="20"/>
        </w:rPr>
        <w:t>, Paidós, México.</w:t>
      </w:r>
    </w:p>
    <w:p>
      <w:pPr>
        <w:spacing w:line="210" w:lineRule="exact" w:before="113"/>
        <w:ind w:left="117" w:right="114" w:firstLine="0"/>
        <w:jc w:val="both"/>
        <w:rPr>
          <w:sz w:val="20"/>
        </w:rPr>
      </w:pPr>
      <w:r>
        <w:rPr>
          <w:color w:val="231F20"/>
          <w:sz w:val="20"/>
        </w:rPr>
        <w:t>U.S CENSUS BUREAU, 2010, </w:t>
      </w:r>
      <w:r>
        <w:rPr>
          <w:i/>
          <w:color w:val="231F20"/>
          <w:sz w:val="20"/>
        </w:rPr>
        <w:t>Census 2000</w:t>
      </w:r>
      <w:r>
        <w:rPr>
          <w:color w:val="231F20"/>
          <w:sz w:val="20"/>
        </w:rPr>
        <w:t>, </w:t>
      </w:r>
      <w:hyperlink r:id="rId74">
        <w:r>
          <w:rPr>
            <w:color w:val="231F20"/>
            <w:sz w:val="20"/>
          </w:rPr>
          <w:t>http://www.census.gov/,</w:t>
        </w:r>
      </w:hyperlink>
      <w:r>
        <w:rPr>
          <w:color w:val="231F20"/>
          <w:sz w:val="20"/>
        </w:rPr>
        <w:t> accessed on jun 02, 2011</w:t>
      </w:r>
    </w:p>
    <w:p>
      <w:pPr>
        <w:pStyle w:val="BodyText"/>
        <w:rPr>
          <w:sz w:val="20"/>
        </w:rPr>
      </w:pPr>
    </w:p>
    <w:p>
      <w:pPr>
        <w:pStyle w:val="BodyText"/>
        <w:rPr>
          <w:sz w:val="25"/>
        </w:rPr>
      </w:pPr>
    </w:p>
    <w:p>
      <w:pPr>
        <w:spacing w:before="1"/>
        <w:ind w:left="122" w:right="0" w:firstLine="0"/>
        <w:jc w:val="both"/>
        <w:rPr>
          <w:i/>
          <w:sz w:val="22"/>
        </w:rPr>
      </w:pPr>
      <w:r>
        <w:rPr>
          <w:i/>
          <w:color w:val="231F20"/>
          <w:sz w:val="22"/>
        </w:rPr>
        <w:t>Ramiro Morales-Hernández</w:t>
      </w:r>
    </w:p>
    <w:p>
      <w:pPr>
        <w:pStyle w:val="BodyText"/>
        <w:spacing w:before="2"/>
        <w:rPr>
          <w:i/>
          <w:sz w:val="23"/>
        </w:rPr>
      </w:pPr>
    </w:p>
    <w:p>
      <w:pPr>
        <w:pStyle w:val="BodyText"/>
        <w:spacing w:line="247" w:lineRule="auto"/>
        <w:ind w:left="122" w:right="108"/>
        <w:jc w:val="both"/>
      </w:pPr>
      <w:r>
        <w:rPr>
          <w:color w:val="231F20"/>
        </w:rPr>
        <w:t>Doctor</w:t>
      </w:r>
      <w:r>
        <w:rPr>
          <w:color w:val="231F20"/>
          <w:spacing w:val="-7"/>
        </w:rPr>
        <w:t> </w:t>
      </w:r>
      <w:r>
        <w:rPr>
          <w:color w:val="231F20"/>
        </w:rPr>
        <w:t>en</w:t>
      </w:r>
      <w:r>
        <w:rPr>
          <w:color w:val="231F20"/>
          <w:spacing w:val="-7"/>
        </w:rPr>
        <w:t> </w:t>
      </w:r>
      <w:r>
        <w:rPr>
          <w:color w:val="231F20"/>
        </w:rPr>
        <w:t>Desarrollo</w:t>
      </w:r>
      <w:r>
        <w:rPr>
          <w:color w:val="231F20"/>
          <w:spacing w:val="-7"/>
        </w:rPr>
        <w:t> </w:t>
      </w:r>
      <w:r>
        <w:rPr>
          <w:color w:val="231F20"/>
        </w:rPr>
        <w:t>Regional</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Universidad</w:t>
      </w:r>
      <w:r>
        <w:rPr>
          <w:color w:val="231F20"/>
          <w:spacing w:val="-18"/>
        </w:rPr>
        <w:t> </w:t>
      </w:r>
      <w:r>
        <w:rPr>
          <w:color w:val="231F20"/>
        </w:rPr>
        <w:t>Autónoma</w:t>
      </w:r>
      <w:r>
        <w:rPr>
          <w:color w:val="231F20"/>
          <w:spacing w:val="-7"/>
        </w:rPr>
        <w:t> </w:t>
      </w:r>
      <w:r>
        <w:rPr>
          <w:color w:val="231F20"/>
        </w:rPr>
        <w:t>de</w:t>
      </w:r>
      <w:r>
        <w:rPr>
          <w:color w:val="231F20"/>
          <w:spacing w:val="-7"/>
        </w:rPr>
        <w:t> </w:t>
      </w:r>
      <w:r>
        <w:rPr>
          <w:color w:val="231F20"/>
        </w:rPr>
        <w:t>Guerrero. Es profesor de tiempo completo en la Unidad de Ciencias del Desarro-   llo Regional de la Universidad Autónoma de Guerrero, en donde imparte los cursos de Seminario de Epistemología e Investigación, Población y desarrollo y Desarrollo rural sustentable. Entre sus últimas publicaciones destacan </w:t>
      </w:r>
      <w:r>
        <w:rPr>
          <w:i/>
          <w:color w:val="231F20"/>
        </w:rPr>
        <w:t>Remesas familiares de la migración guerrerense hacia Estados </w:t>
      </w:r>
      <w:r>
        <w:rPr>
          <w:i/>
          <w:color w:val="231F20"/>
        </w:rPr>
        <w:t>Unidos</w:t>
      </w:r>
      <w:r>
        <w:rPr>
          <w:color w:val="231F20"/>
        </w:rPr>
        <w:t>, Editorial Académica Española, Saarbrücken, Alemania. 2012; “Remesas familiares internacionales en la discusión del desarrollo de Guerrero”, en </w:t>
      </w:r>
      <w:r>
        <w:rPr>
          <w:i/>
          <w:color w:val="231F20"/>
        </w:rPr>
        <w:t>Migraciones Contemporáneas en la Región Sur-Sureste de </w:t>
      </w:r>
      <w:r>
        <w:rPr>
          <w:i/>
          <w:color w:val="231F20"/>
        </w:rPr>
        <w:t>México</w:t>
      </w:r>
      <w:r>
        <w:rPr>
          <w:color w:val="231F20"/>
        </w:rPr>
        <w:t>, Universidad Autónoma Benito Juárez-El Colegio de la Frontera. México, 2010; “Las remesas internacionales ¿factor de sobrevivencia o</w:t>
      </w:r>
      <w:r>
        <w:rPr>
          <w:color w:val="231F20"/>
          <w:spacing w:val="-37"/>
        </w:rPr>
        <w:t> </w:t>
      </w:r>
      <w:r>
        <w:rPr>
          <w:color w:val="231F20"/>
        </w:rPr>
        <w:t>de desarrollo de la población del Pacífico Sur de México?”, en </w:t>
      </w:r>
      <w:r>
        <w:rPr>
          <w:i/>
          <w:color w:val="231F20"/>
        </w:rPr>
        <w:t>Revista Estu- </w:t>
      </w:r>
      <w:r>
        <w:rPr>
          <w:i/>
          <w:color w:val="231F20"/>
        </w:rPr>
        <w:t>dios demográficos y urbanos </w:t>
      </w:r>
      <w:r>
        <w:rPr>
          <w:color w:val="231F20"/>
        </w:rPr>
        <w:t>núm. 63,</w:t>
      </w:r>
      <w:r>
        <w:rPr>
          <w:color w:val="231F20"/>
          <w:spacing w:val="-13"/>
        </w:rPr>
        <w:t> </w:t>
      </w:r>
      <w:r>
        <w:rPr>
          <w:color w:val="231F20"/>
        </w:rPr>
        <w:t>2006.</w:t>
      </w:r>
    </w:p>
    <w:p>
      <w:pPr>
        <w:pStyle w:val="BodyText"/>
        <w:spacing w:before="6"/>
      </w:pPr>
    </w:p>
    <w:p>
      <w:pPr>
        <w:pStyle w:val="BodyText"/>
        <w:ind w:left="122"/>
        <w:jc w:val="both"/>
      </w:pPr>
      <w:r>
        <w:rPr>
          <w:color w:val="231F20"/>
        </w:rPr>
        <w:t>Correo electrónico: </w:t>
      </w:r>
      <w:hyperlink r:id="rId75">
        <w:r>
          <w:rPr>
            <w:color w:val="231F20"/>
          </w:rPr>
          <w:t>mohera18@hotmail.com</w:t>
        </w:r>
      </w:hyperlink>
    </w:p>
    <w:p>
      <w:pPr>
        <w:spacing w:after="0"/>
        <w:jc w:val="both"/>
        <w:sectPr>
          <w:pgSz w:w="9360" w:h="13040"/>
          <w:pgMar w:header="0" w:footer="496" w:top="840" w:bottom="680" w:left="1300" w:right="1300"/>
        </w:sectPr>
      </w:pPr>
    </w:p>
    <w:p>
      <w:pPr>
        <w:pStyle w:val="BodyText"/>
        <w:ind w:left="102"/>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spacing w:line="240" w:lineRule="auto" w:before="0"/>
        <w:ind w:left="865" w:right="86"/>
      </w:pPr>
      <w:r>
        <w:rPr/>
        <w:pict>
          <v:shape style="position:absolute;margin-left:58.110001pt;margin-top:-44.95475pt;width:353.4pt;height:43.5pt;mso-position-horizontal-relative:page;mso-position-vertical-relative:paragraph;z-index:-642616" type="#_x0000_t202" filled="false" stroked="false">
            <v:textbox inset="0,0,0,0">
              <w:txbxContent>
                <w:p>
                  <w:pPr>
                    <w:pStyle w:val="BodyText"/>
                    <w:rPr>
                      <w:sz w:val="20"/>
                    </w:rPr>
                  </w:pPr>
                </w:p>
                <w:p>
                  <w:pPr>
                    <w:spacing w:before="159"/>
                    <w:ind w:left="1607" w:right="0" w:firstLine="0"/>
                    <w:jc w:val="left"/>
                    <w:rPr>
                      <w:rFonts w:ascii="Arial" w:hAnsi="Arial"/>
                      <w:sz w:val="20"/>
                    </w:rPr>
                  </w:pPr>
                  <w:r>
                    <w:rPr>
                      <w:rFonts w:ascii="Arial" w:hAnsi="Arial"/>
                      <w:color w:val="231F20"/>
                      <w:w w:val="65"/>
                      <w:sz w:val="20"/>
                    </w:rPr>
                    <w:t>Retorno de migrantes a la Comunidad Andina /William Mejía-Ochoa y Yeim Claudia Castro</w:t>
                  </w:r>
                </w:p>
              </w:txbxContent>
            </v:textbox>
            <w10:wrap type="none"/>
          </v:shape>
        </w:pict>
      </w:r>
      <w:r>
        <w:rPr>
          <w:color w:val="231F20"/>
          <w:w w:val="70"/>
        </w:rPr>
        <w:t>Retorno de migrantes a la Comunidad Andina</w:t>
      </w:r>
    </w:p>
    <w:p>
      <w:pPr>
        <w:pStyle w:val="Heading2"/>
        <w:spacing w:before="250"/>
        <w:ind w:left="897" w:right="86"/>
      </w:pPr>
      <w:r>
        <w:rPr>
          <w:color w:val="231F20"/>
        </w:rPr>
        <w:t>William Mejía-Ochoa y Yeim Claudia Castro</w:t>
      </w:r>
    </w:p>
    <w:p>
      <w:pPr>
        <w:pStyle w:val="BodyText"/>
        <w:spacing w:before="2"/>
        <w:rPr>
          <w:sz w:val="17"/>
        </w:rPr>
      </w:pPr>
    </w:p>
    <w:p>
      <w:pPr>
        <w:spacing w:line="247" w:lineRule="auto" w:before="72"/>
        <w:ind w:left="2284" w:right="1372" w:hanging="750"/>
        <w:jc w:val="left"/>
        <w:rPr>
          <w:i/>
          <w:sz w:val="22"/>
        </w:rPr>
      </w:pPr>
      <w:r>
        <w:rPr>
          <w:i/>
          <w:color w:val="231F20"/>
          <w:sz w:val="22"/>
        </w:rPr>
        <w:t>Universidad Tecnológica de Pereira, Colombia </w:t>
      </w:r>
      <w:r>
        <w:rPr>
          <w:i/>
          <w:color w:val="231F20"/>
          <w:sz w:val="22"/>
        </w:rPr>
        <w:t>El Colegio de México, México</w:t>
      </w:r>
    </w:p>
    <w:p>
      <w:pPr>
        <w:pStyle w:val="Heading3"/>
        <w:spacing w:before="0"/>
        <w:ind w:left="352" w:right="1063"/>
        <w:jc w:val="left"/>
      </w:pPr>
      <w:r>
        <w:rPr>
          <w:color w:val="231F20"/>
        </w:rPr>
        <w:t>Introducción</w:t>
      </w:r>
    </w:p>
    <w:p>
      <w:pPr>
        <w:pStyle w:val="BodyText"/>
        <w:spacing w:before="8"/>
        <w:rPr>
          <w:b/>
          <w:sz w:val="14"/>
        </w:rPr>
      </w:pPr>
    </w:p>
    <w:p>
      <w:pPr>
        <w:pStyle w:val="BodyText"/>
        <w:spacing w:line="247" w:lineRule="auto" w:before="187"/>
        <w:ind w:left="1316" w:right="399"/>
        <w:jc w:val="both"/>
      </w:pPr>
      <w:r>
        <w:rPr/>
        <w:pict>
          <v:shape style="position:absolute;margin-left:70.866096pt;margin-top:4.984082pt;width:39.75pt;height:55pt;mso-position-horizontal-relative:page;mso-position-vertical-relative:paragraph;z-index:-642592" type="#_x0000_t202" filled="false" stroked="false">
            <v:textbox inset="0,0,0,0">
              <w:txbxContent>
                <w:p>
                  <w:pPr>
                    <w:spacing w:line="1100" w:lineRule="exact" w:before="0"/>
                    <w:ind w:left="0" w:right="0" w:firstLine="0"/>
                    <w:jc w:val="left"/>
                    <w:rPr>
                      <w:b/>
                      <w:sz w:val="110"/>
                    </w:rPr>
                  </w:pPr>
                  <w:r>
                    <w:rPr>
                      <w:b/>
                      <w:color w:val="231F20"/>
                      <w:sz w:val="110"/>
                    </w:rPr>
                    <w:t>C</w:t>
                  </w:r>
                </w:p>
              </w:txbxContent>
            </v:textbox>
            <w10:wrap type="none"/>
          </v:shape>
        </w:pict>
      </w:r>
      <w:r>
        <w:rPr>
          <w:color w:val="231F20"/>
        </w:rPr>
        <w:t>omo punto de partida para este trabajo se retoman la definición y otras precisiones que uno de los autores adoptó en un trabajo anterior sobre el retorno.</w:t>
      </w:r>
    </w:p>
    <w:p>
      <w:pPr>
        <w:pStyle w:val="BodyText"/>
        <w:spacing w:line="247" w:lineRule="auto"/>
        <w:ind w:left="354" w:right="392" w:firstLine="283"/>
        <w:jc w:val="both"/>
      </w:pPr>
      <w:r>
        <w:rPr>
          <w:color w:val="231F20"/>
        </w:rPr>
        <w:t>Para los propósitos de este documento, entendemos por retorno el re- greso de un migrante internacional a su país de origen, con intención de restablecer su residencia en él, independientemente de la duración de su estadía en el exterior y de la eventualidad de una reemigración posterior. Es clave aquí, entonces, la intencionalidad del individuo para la inclusión en el retorno, que contempla, como caso extremo, la situación de quienes regresan luego de ser “inadmitidos” en el país hacia el cual partieron o reemigran a pocos días después de haber regresado. </w:t>
      </w:r>
      <w:r>
        <w:rPr>
          <w:color w:val="231F20"/>
          <w:spacing w:val="-6"/>
        </w:rPr>
        <w:t>Tal </w:t>
      </w:r>
      <w:r>
        <w:rPr>
          <w:color w:val="231F20"/>
        </w:rPr>
        <w:t>inclusión la reali- zamos por considerar que los procesos migratorios fallidos una vez que se han emprendido, sean de emigración o retorno, tienen implicaciones gran- des a nivel personal y su estudio y de manera agregada pueden</w:t>
      </w:r>
      <w:r>
        <w:rPr>
          <w:color w:val="231F20"/>
          <w:spacing w:val="-29"/>
        </w:rPr>
        <w:t> </w:t>
      </w:r>
      <w:r>
        <w:rPr>
          <w:color w:val="231F20"/>
        </w:rPr>
        <w:t>representar dinámicas importantes para el entendimiento de la movilidad</w:t>
      </w:r>
      <w:r>
        <w:rPr>
          <w:color w:val="231F20"/>
          <w:spacing w:val="-3"/>
        </w:rPr>
        <w:t> </w:t>
      </w:r>
      <w:r>
        <w:rPr>
          <w:color w:val="231F20"/>
        </w:rPr>
        <w:t>global.</w:t>
      </w:r>
    </w:p>
    <w:p>
      <w:pPr>
        <w:pStyle w:val="BodyText"/>
        <w:spacing w:line="247" w:lineRule="auto"/>
        <w:ind w:left="354" w:right="392" w:firstLine="283"/>
        <w:jc w:val="both"/>
      </w:pPr>
      <w:r>
        <w:rPr>
          <w:color w:val="231F20"/>
        </w:rPr>
        <w:t>Esta propuesta se hace entendiendo la conveniencia de que la duración de la permanencia en el exterior y del retorno sea conocida,</w:t>
      </w:r>
      <w:r>
        <w:rPr>
          <w:color w:val="231F20"/>
          <w:spacing w:val="-23"/>
        </w:rPr>
        <w:t> </w:t>
      </w:r>
      <w:r>
        <w:rPr>
          <w:color w:val="231F20"/>
        </w:rPr>
        <w:t>especialmente si se trata de investigaciones empíricas (Ammassari y Black, 2001), pero considerando, también, que el prescindir de tal dimensión puede dar paso a</w:t>
      </w:r>
      <w:r>
        <w:rPr>
          <w:color w:val="231F20"/>
          <w:spacing w:val="-6"/>
        </w:rPr>
        <w:t> </w:t>
      </w:r>
      <w:r>
        <w:rPr>
          <w:color w:val="231F20"/>
        </w:rPr>
        <w:t>modelos</w:t>
      </w:r>
      <w:r>
        <w:rPr>
          <w:color w:val="231F20"/>
          <w:spacing w:val="-6"/>
        </w:rPr>
        <w:t> </w:t>
      </w:r>
      <w:r>
        <w:rPr>
          <w:color w:val="231F20"/>
        </w:rPr>
        <w:t>simplificados</w:t>
      </w:r>
      <w:r>
        <w:rPr>
          <w:color w:val="231F20"/>
          <w:spacing w:val="-6"/>
        </w:rPr>
        <w:t> </w:t>
      </w:r>
      <w:r>
        <w:rPr>
          <w:color w:val="231F20"/>
        </w:rPr>
        <w:t>que</w:t>
      </w:r>
      <w:r>
        <w:rPr>
          <w:color w:val="231F20"/>
          <w:spacing w:val="-6"/>
        </w:rPr>
        <w:t> </w:t>
      </w:r>
      <w:r>
        <w:rPr>
          <w:color w:val="231F20"/>
        </w:rPr>
        <w:t>aporten</w:t>
      </w:r>
      <w:r>
        <w:rPr>
          <w:color w:val="231F20"/>
          <w:spacing w:val="-6"/>
        </w:rPr>
        <w:t> </w:t>
      </w:r>
      <w:r>
        <w:rPr>
          <w:color w:val="231F20"/>
        </w:rPr>
        <w:t>claridad</w:t>
      </w:r>
      <w:r>
        <w:rPr>
          <w:color w:val="231F20"/>
          <w:spacing w:val="-6"/>
        </w:rPr>
        <w:t> </w:t>
      </w:r>
      <w:r>
        <w:rPr>
          <w:color w:val="231F20"/>
        </w:rPr>
        <w:t>al</w:t>
      </w:r>
      <w:r>
        <w:rPr>
          <w:color w:val="231F20"/>
          <w:spacing w:val="-6"/>
        </w:rPr>
        <w:t> </w:t>
      </w:r>
      <w:r>
        <w:rPr>
          <w:color w:val="231F20"/>
        </w:rPr>
        <w:t>tema.</w:t>
      </w:r>
      <w:r>
        <w:rPr>
          <w:color w:val="231F20"/>
          <w:spacing w:val="-6"/>
        </w:rPr>
        <w:t> </w:t>
      </w:r>
      <w:r>
        <w:rPr>
          <w:color w:val="231F20"/>
        </w:rPr>
        <w:t>Como</w:t>
      </w:r>
      <w:r>
        <w:rPr>
          <w:color w:val="231F20"/>
          <w:spacing w:val="-6"/>
        </w:rPr>
        <w:t> </w:t>
      </w:r>
      <w:r>
        <w:rPr>
          <w:color w:val="231F20"/>
        </w:rPr>
        <w:t>ganancia</w:t>
      </w:r>
      <w:r>
        <w:rPr>
          <w:color w:val="231F20"/>
          <w:spacing w:val="-6"/>
        </w:rPr>
        <w:t> </w:t>
      </w:r>
      <w:r>
        <w:rPr>
          <w:color w:val="231F20"/>
        </w:rPr>
        <w:t>adi- cional, al tener una definición no condicionada temporalmente, se facilita el manejo de los datos que, en general, no se presentan desagregados en ese</w:t>
      </w:r>
      <w:r>
        <w:rPr>
          <w:color w:val="231F20"/>
          <w:spacing w:val="-9"/>
        </w:rPr>
        <w:t> </w:t>
      </w:r>
      <w:r>
        <w:rPr>
          <w:color w:val="231F20"/>
        </w:rPr>
        <w:t>sentido.</w:t>
      </w:r>
    </w:p>
    <w:p>
      <w:pPr>
        <w:pStyle w:val="BodyText"/>
        <w:spacing w:line="247" w:lineRule="auto"/>
        <w:ind w:left="354" w:right="392" w:firstLine="283"/>
        <w:jc w:val="both"/>
      </w:pPr>
      <w:r>
        <w:rPr>
          <w:color w:val="231F20"/>
        </w:rPr>
        <w:t>De acuerdo con lo anterior, es necesario apuntar la definición de mi- grante internacional dada por Naciones Unidas, presentándola así: toda persona que sale de su país de residencia habitual con intención de esta- blecerla en otro.</w:t>
      </w:r>
    </w:p>
    <w:p>
      <w:pPr>
        <w:spacing w:line="249" w:lineRule="auto" w:before="168"/>
        <w:ind w:left="638" w:right="86" w:firstLine="0"/>
        <w:jc w:val="left"/>
        <w:rPr>
          <w:sz w:val="20"/>
        </w:rPr>
      </w:pPr>
      <w:r>
        <w:rPr>
          <w:sz w:val="20"/>
        </w:rPr>
        <w:t>El país de residencia habitual es el país en que la persona tiene una vivienda donde normalmente pasa los períodos diarios de descanso. Los viajes  tempo-</w:t>
      </w:r>
    </w:p>
    <w:p>
      <w:pPr>
        <w:spacing w:after="0" w:line="249" w:lineRule="auto"/>
        <w:jc w:val="left"/>
        <w:rPr>
          <w:sz w:val="20"/>
        </w:rPr>
        <w:sectPr>
          <w:pgSz w:w="9360" w:h="13040"/>
          <w:pgMar w:header="0" w:footer="496" w:top="400" w:bottom="680" w:left="1060" w:right="1020"/>
        </w:sectPr>
      </w:pPr>
    </w:p>
    <w:p>
      <w:pPr>
        <w:tabs>
          <w:tab w:pos="5536" w:val="left" w:leader="none"/>
        </w:tabs>
        <w:spacing w:before="34"/>
        <w:ind w:left="400" w:right="117" w:hanging="277"/>
        <w:jc w:val="left"/>
        <w:rPr>
          <w:sz w:val="18"/>
        </w:rPr>
      </w:pPr>
      <w:r>
        <w:rPr>
          <w:rFonts w:ascii="Arial" w:hAnsi="Arial"/>
          <w:color w:val="231F20"/>
          <w:w w:val="80"/>
          <w:position w:val="2"/>
          <w:sz w:val="20"/>
        </w:rPr>
        <w:t>Hitos</w:t>
      </w:r>
      <w:r>
        <w:rPr>
          <w:rFonts w:ascii="Arial" w:hAnsi="Arial"/>
          <w:color w:val="231F20"/>
          <w:spacing w:val="-14"/>
          <w:w w:val="80"/>
          <w:position w:val="2"/>
          <w:sz w:val="20"/>
        </w:rPr>
        <w:t> </w:t>
      </w:r>
      <w:r>
        <w:rPr>
          <w:rFonts w:ascii="Arial" w:hAnsi="Arial"/>
          <w:color w:val="231F20"/>
          <w:w w:val="80"/>
          <w:position w:val="2"/>
          <w:sz w:val="20"/>
        </w:rPr>
        <w:t>Demográficos</w:t>
      </w:r>
      <w:r>
        <w:rPr>
          <w:rFonts w:ascii="Arial" w:hAnsi="Arial"/>
          <w:color w:val="231F20"/>
          <w:spacing w:val="-14"/>
          <w:w w:val="80"/>
          <w:position w:val="2"/>
          <w:sz w:val="20"/>
        </w:rPr>
        <w:t> </w:t>
      </w:r>
      <w:r>
        <w:rPr>
          <w:rFonts w:ascii="Arial" w:hAnsi="Arial"/>
          <w:color w:val="231F20"/>
          <w:w w:val="80"/>
          <w:position w:val="2"/>
          <w:sz w:val="20"/>
        </w:rPr>
        <w:t>del</w:t>
      </w:r>
      <w:r>
        <w:rPr>
          <w:rFonts w:ascii="Arial" w:hAnsi="Arial"/>
          <w:color w:val="231F20"/>
          <w:spacing w:val="-14"/>
          <w:w w:val="80"/>
          <w:position w:val="2"/>
          <w:sz w:val="20"/>
        </w:rPr>
        <w:t> </w:t>
      </w:r>
      <w:r>
        <w:rPr>
          <w:rFonts w:ascii="Arial" w:hAnsi="Arial"/>
          <w:color w:val="231F20"/>
          <w:w w:val="80"/>
          <w:position w:val="2"/>
          <w:sz w:val="20"/>
        </w:rPr>
        <w:t>Siglo</w:t>
      </w:r>
      <w:r>
        <w:rPr>
          <w:rFonts w:ascii="Arial" w:hAnsi="Arial"/>
          <w:color w:val="231F20"/>
          <w:spacing w:val="-14"/>
          <w:w w:val="80"/>
          <w:position w:val="2"/>
          <w:sz w:val="20"/>
        </w:rPr>
        <w:t> </w:t>
      </w:r>
      <w:r>
        <w:rPr>
          <w:rFonts w:ascii="Arial" w:hAnsi="Arial"/>
          <w:color w:val="231F20"/>
          <w:w w:val="80"/>
          <w:position w:val="2"/>
          <w:sz w:val="20"/>
        </w:rPr>
        <w:t>XXI:</w:t>
      </w:r>
      <w:r>
        <w:rPr>
          <w:rFonts w:ascii="Arial" w:hAnsi="Arial"/>
          <w:color w:val="231F20"/>
          <w:spacing w:val="-14"/>
          <w:w w:val="80"/>
          <w:position w:val="2"/>
          <w:sz w:val="20"/>
        </w:rPr>
        <w:t> </w:t>
      </w:r>
      <w:r>
        <w:rPr>
          <w:rFonts w:ascii="Arial" w:hAnsi="Arial"/>
          <w:color w:val="231F20"/>
          <w:w w:val="80"/>
          <w:position w:val="2"/>
          <w:sz w:val="20"/>
        </w:rPr>
        <w:t>Migración</w:t>
      </w:r>
      <w:r>
        <w:rPr>
          <w:rFonts w:ascii="Arial" w:hAnsi="Arial"/>
          <w:color w:val="231F20"/>
          <w:spacing w:val="-14"/>
          <w:w w:val="80"/>
          <w:position w:val="2"/>
          <w:sz w:val="20"/>
        </w:rPr>
        <w:t> </w:t>
      </w:r>
      <w:r>
        <w:rPr>
          <w:rFonts w:ascii="Arial" w:hAnsi="Arial"/>
          <w:color w:val="231F20"/>
          <w:w w:val="80"/>
          <w:position w:val="2"/>
          <w:sz w:val="20"/>
        </w:rPr>
        <w:t>Internacional</w:t>
        <w:tab/>
      </w:r>
      <w:r>
        <w:rPr>
          <w:color w:val="231F20"/>
          <w:w w:val="90"/>
          <w:sz w:val="18"/>
        </w:rPr>
        <w:t>CIEAP/UAEM</w:t>
      </w:r>
    </w:p>
    <w:p>
      <w:pPr>
        <w:pStyle w:val="BodyText"/>
        <w:spacing w:before="4"/>
        <w:rPr>
          <w:sz w:val="20"/>
        </w:rPr>
      </w:pPr>
    </w:p>
    <w:p>
      <w:pPr>
        <w:spacing w:line="249" w:lineRule="auto" w:before="0"/>
        <w:ind w:left="400" w:right="98" w:firstLine="0"/>
        <w:jc w:val="left"/>
        <w:rPr>
          <w:sz w:val="20"/>
        </w:rPr>
      </w:pPr>
      <w:r>
        <w:rPr>
          <w:sz w:val="20"/>
        </w:rPr>
        <w:t>rales al exterior con fines de ocio, vacaciones, negocios, tratamiento médico o peregrinación religiosa no cambian el país de residencia habitual.</w:t>
      </w:r>
    </w:p>
    <w:p>
      <w:pPr>
        <w:pStyle w:val="BodyText"/>
        <w:spacing w:line="247" w:lineRule="auto" w:before="172"/>
        <w:ind w:left="117" w:right="114" w:firstLine="283"/>
        <w:jc w:val="both"/>
      </w:pPr>
      <w:r>
        <w:rPr>
          <w:color w:val="231F20"/>
        </w:rPr>
        <w:t>El</w:t>
      </w:r>
      <w:r>
        <w:rPr>
          <w:color w:val="231F20"/>
          <w:spacing w:val="-6"/>
        </w:rPr>
        <w:t> </w:t>
      </w:r>
      <w:r>
        <w:rPr>
          <w:color w:val="231F20"/>
        </w:rPr>
        <w:t>retorno</w:t>
      </w:r>
      <w:r>
        <w:rPr>
          <w:color w:val="231F20"/>
          <w:spacing w:val="-5"/>
        </w:rPr>
        <w:t> </w:t>
      </w:r>
      <w:r>
        <w:rPr>
          <w:color w:val="231F20"/>
        </w:rPr>
        <w:t>no</w:t>
      </w:r>
      <w:r>
        <w:rPr>
          <w:color w:val="231F20"/>
          <w:spacing w:val="-5"/>
        </w:rPr>
        <w:t> </w:t>
      </w:r>
      <w:r>
        <w:rPr>
          <w:color w:val="231F20"/>
        </w:rPr>
        <w:t>constituye</w:t>
      </w:r>
      <w:r>
        <w:rPr>
          <w:color w:val="231F20"/>
          <w:spacing w:val="-6"/>
        </w:rPr>
        <w:t> </w:t>
      </w:r>
      <w:r>
        <w:rPr>
          <w:color w:val="231F20"/>
        </w:rPr>
        <w:t>un</w:t>
      </w:r>
      <w:r>
        <w:rPr>
          <w:color w:val="231F20"/>
          <w:spacing w:val="-5"/>
        </w:rPr>
        <w:t> </w:t>
      </w:r>
      <w:r>
        <w:rPr>
          <w:color w:val="231F20"/>
        </w:rPr>
        <w:t>hecho</w:t>
      </w:r>
      <w:r>
        <w:rPr>
          <w:color w:val="231F20"/>
          <w:spacing w:val="-6"/>
        </w:rPr>
        <w:t> </w:t>
      </w:r>
      <w:r>
        <w:rPr>
          <w:color w:val="231F20"/>
        </w:rPr>
        <w:t>sólo</w:t>
      </w:r>
      <w:r>
        <w:rPr>
          <w:color w:val="231F20"/>
          <w:spacing w:val="-5"/>
        </w:rPr>
        <w:t> </w:t>
      </w:r>
      <w:r>
        <w:rPr>
          <w:color w:val="231F20"/>
        </w:rPr>
        <w:t>de</w:t>
      </w:r>
      <w:r>
        <w:rPr>
          <w:color w:val="231F20"/>
          <w:spacing w:val="-6"/>
        </w:rPr>
        <w:t> </w:t>
      </w:r>
      <w:r>
        <w:rPr>
          <w:color w:val="231F20"/>
        </w:rPr>
        <w:t>coyuntura,</w:t>
      </w:r>
      <w:r>
        <w:rPr>
          <w:color w:val="231F20"/>
          <w:spacing w:val="-6"/>
        </w:rPr>
        <w:t> </w:t>
      </w:r>
      <w:r>
        <w:rPr>
          <w:color w:val="231F20"/>
        </w:rPr>
        <w:t>es</w:t>
      </w:r>
      <w:r>
        <w:rPr>
          <w:color w:val="231F20"/>
          <w:spacing w:val="-6"/>
        </w:rPr>
        <w:t> </w:t>
      </w:r>
      <w:r>
        <w:rPr>
          <w:color w:val="231F20"/>
        </w:rPr>
        <w:t>consustancial</w:t>
      </w:r>
      <w:r>
        <w:rPr>
          <w:color w:val="231F20"/>
          <w:spacing w:val="-6"/>
        </w:rPr>
        <w:t> </w:t>
      </w:r>
      <w:r>
        <w:rPr>
          <w:color w:val="231F20"/>
        </w:rPr>
        <w:t>a los procesos migratorios internacionales. Siempre </w:t>
      </w:r>
      <w:r>
        <w:rPr>
          <w:color w:val="231F20"/>
          <w:spacing w:val="-4"/>
        </w:rPr>
        <w:t>hay, </w:t>
      </w:r>
      <w:r>
        <w:rPr>
          <w:color w:val="231F20"/>
        </w:rPr>
        <w:t>en mayor o menor medida,</w:t>
      </w:r>
      <w:r>
        <w:rPr>
          <w:color w:val="231F20"/>
          <w:spacing w:val="-9"/>
        </w:rPr>
        <w:t> </w:t>
      </w:r>
      <w:r>
        <w:rPr>
          <w:color w:val="231F20"/>
        </w:rPr>
        <w:t>retorno</w:t>
      </w:r>
      <w:r>
        <w:rPr>
          <w:color w:val="231F20"/>
          <w:spacing w:val="-9"/>
        </w:rPr>
        <w:t> </w:t>
      </w:r>
      <w:r>
        <w:rPr>
          <w:color w:val="231F20"/>
        </w:rPr>
        <w:t>de</w:t>
      </w:r>
      <w:r>
        <w:rPr>
          <w:color w:val="231F20"/>
          <w:spacing w:val="-9"/>
        </w:rPr>
        <w:t> </w:t>
      </w:r>
      <w:r>
        <w:rPr>
          <w:color w:val="231F20"/>
        </w:rPr>
        <w:t>emigrados</w:t>
      </w:r>
      <w:r>
        <w:rPr>
          <w:color w:val="231F20"/>
          <w:spacing w:val="-10"/>
        </w:rPr>
        <w:t> </w:t>
      </w:r>
      <w:r>
        <w:rPr>
          <w:color w:val="231F20"/>
        </w:rPr>
        <w:t>a</w:t>
      </w:r>
      <w:r>
        <w:rPr>
          <w:color w:val="231F20"/>
          <w:spacing w:val="-9"/>
        </w:rPr>
        <w:t> </w:t>
      </w:r>
      <w:r>
        <w:rPr>
          <w:color w:val="231F20"/>
        </w:rPr>
        <w:t>sus</w:t>
      </w:r>
      <w:r>
        <w:rPr>
          <w:color w:val="231F20"/>
          <w:spacing w:val="-9"/>
        </w:rPr>
        <w:t> </w:t>
      </w:r>
      <w:r>
        <w:rPr>
          <w:color w:val="231F20"/>
        </w:rPr>
        <w:t>países</w:t>
      </w:r>
      <w:r>
        <w:rPr>
          <w:color w:val="231F20"/>
          <w:spacing w:val="-9"/>
        </w:rPr>
        <w:t> </w:t>
      </w:r>
      <w:r>
        <w:rPr>
          <w:color w:val="231F20"/>
        </w:rPr>
        <w:t>de</w:t>
      </w:r>
      <w:r>
        <w:rPr>
          <w:color w:val="231F20"/>
          <w:spacing w:val="-9"/>
        </w:rPr>
        <w:t> </w:t>
      </w:r>
      <w:r>
        <w:rPr>
          <w:color w:val="231F20"/>
        </w:rPr>
        <w:t>origen.</w:t>
      </w:r>
      <w:r>
        <w:rPr>
          <w:color w:val="231F20"/>
          <w:spacing w:val="-9"/>
        </w:rPr>
        <w:t> </w:t>
      </w:r>
      <w:r>
        <w:rPr>
          <w:color w:val="231F20"/>
        </w:rPr>
        <w:t>No</w:t>
      </w:r>
      <w:r>
        <w:rPr>
          <w:color w:val="231F20"/>
          <w:spacing w:val="-9"/>
        </w:rPr>
        <w:t> </w:t>
      </w:r>
      <w:r>
        <w:rPr>
          <w:color w:val="231F20"/>
        </w:rPr>
        <w:t>todas</w:t>
      </w:r>
      <w:r>
        <w:rPr>
          <w:color w:val="231F20"/>
          <w:spacing w:val="-9"/>
        </w:rPr>
        <w:t> </w:t>
      </w:r>
      <w:r>
        <w:rPr>
          <w:color w:val="231F20"/>
        </w:rPr>
        <w:t>las</w:t>
      </w:r>
      <w:r>
        <w:rPr>
          <w:color w:val="231F20"/>
          <w:spacing w:val="-9"/>
        </w:rPr>
        <w:t> </w:t>
      </w:r>
      <w:r>
        <w:rPr>
          <w:color w:val="231F20"/>
        </w:rPr>
        <w:t>personas que salen lo hacen con la intención de establecerse de manera permanente en el exterior. Muchos de quienes emigran tienen el regreso dentro de sus planes, en algunos casos como su sueño constante, pero con frecuencia aplazado y en ocasiones no alcanzado (Mejía, 2011:</w:t>
      </w:r>
      <w:r>
        <w:rPr>
          <w:color w:val="231F20"/>
          <w:spacing w:val="-9"/>
        </w:rPr>
        <w:t> </w:t>
      </w:r>
      <w:r>
        <w:rPr>
          <w:color w:val="231F20"/>
        </w:rPr>
        <w:t>20-21).</w:t>
      </w:r>
    </w:p>
    <w:p>
      <w:pPr>
        <w:pStyle w:val="BodyText"/>
        <w:spacing w:line="247" w:lineRule="auto"/>
        <w:ind w:left="117" w:right="114" w:firstLine="283"/>
        <w:jc w:val="both"/>
      </w:pPr>
      <w:r>
        <w:rPr>
          <w:color w:val="231F20"/>
        </w:rPr>
        <w:t>Las motivaciones y los modos de retornar no son análogos, responden a circunstancias particulares de cada migrante. Dentro de los factores que influyen en la decisión de retorno se encuentran razones de tipo económi- co, social, familiar y de ciclo de vida; igualmente, la realidad del contexto de origen y destino, así como la condición migratoria (situación irregular o regular) juegan un papel determinante para la ejecución del proyecto de retorno. En ese sentido, la evaluación de un potencial de regreso implica el análisis de las condiciones personales y del contexto, el cumplimiento de las metas (quizás redefinidas una y otra vez), la valoración del ámbito laboral, familiar, socio-cultural y económico que encontrarán en su país de origen, junto con la definición de nuevos objetivos y expectativas de vida. Una vez que el migrante (probablemente con su familia) haya hecho el anterior examen, tomará la decisión de retornar, permanecer en el lugar de</w:t>
      </w:r>
      <w:r>
        <w:rPr>
          <w:color w:val="231F20"/>
          <w:spacing w:val="-3"/>
        </w:rPr>
        <w:t> </w:t>
      </w:r>
      <w:r>
        <w:rPr>
          <w:color w:val="231F20"/>
        </w:rPr>
        <w:t>destino</w:t>
      </w:r>
      <w:r>
        <w:rPr>
          <w:color w:val="231F20"/>
          <w:spacing w:val="-3"/>
        </w:rPr>
        <w:t> </w:t>
      </w:r>
      <w:r>
        <w:rPr>
          <w:color w:val="231F20"/>
        </w:rPr>
        <w:t>o</w:t>
      </w:r>
      <w:r>
        <w:rPr>
          <w:color w:val="231F20"/>
          <w:spacing w:val="-3"/>
        </w:rPr>
        <w:t> </w:t>
      </w:r>
      <w:r>
        <w:rPr>
          <w:color w:val="231F20"/>
        </w:rPr>
        <w:t>buscar</w:t>
      </w:r>
      <w:r>
        <w:rPr>
          <w:color w:val="231F20"/>
          <w:spacing w:val="-3"/>
        </w:rPr>
        <w:t> </w:t>
      </w:r>
      <w:r>
        <w:rPr>
          <w:color w:val="231F20"/>
        </w:rPr>
        <w:t>un</w:t>
      </w:r>
      <w:r>
        <w:rPr>
          <w:color w:val="231F20"/>
          <w:spacing w:val="-3"/>
        </w:rPr>
        <w:t> </w:t>
      </w:r>
      <w:r>
        <w:rPr>
          <w:color w:val="231F20"/>
        </w:rPr>
        <w:t>nuevo</w:t>
      </w:r>
      <w:r>
        <w:rPr>
          <w:color w:val="231F20"/>
          <w:spacing w:val="-3"/>
        </w:rPr>
        <w:t> </w:t>
      </w:r>
      <w:r>
        <w:rPr>
          <w:color w:val="231F20"/>
        </w:rPr>
        <w:t>lugar</w:t>
      </w:r>
      <w:r>
        <w:rPr>
          <w:color w:val="231F20"/>
          <w:spacing w:val="-3"/>
        </w:rPr>
        <w:t> </w:t>
      </w:r>
      <w:r>
        <w:rPr>
          <w:color w:val="231F20"/>
        </w:rPr>
        <w:t>de</w:t>
      </w:r>
      <w:r>
        <w:rPr>
          <w:color w:val="231F20"/>
          <w:spacing w:val="-3"/>
        </w:rPr>
        <w:t> </w:t>
      </w:r>
      <w:r>
        <w:rPr>
          <w:color w:val="231F20"/>
        </w:rPr>
        <w:t>residencia,</w:t>
      </w:r>
      <w:r>
        <w:rPr>
          <w:color w:val="231F20"/>
          <w:spacing w:val="-3"/>
        </w:rPr>
        <w:t> </w:t>
      </w:r>
      <w:r>
        <w:rPr>
          <w:color w:val="231F20"/>
        </w:rPr>
        <w:t>que,</w:t>
      </w:r>
      <w:r>
        <w:rPr>
          <w:color w:val="231F20"/>
          <w:spacing w:val="-3"/>
        </w:rPr>
        <w:t> </w:t>
      </w:r>
      <w:r>
        <w:rPr>
          <w:color w:val="231F20"/>
        </w:rPr>
        <w:t>en</w:t>
      </w:r>
      <w:r>
        <w:rPr>
          <w:color w:val="231F20"/>
          <w:spacing w:val="-3"/>
        </w:rPr>
        <w:t> </w:t>
      </w:r>
      <w:r>
        <w:rPr>
          <w:color w:val="231F20"/>
        </w:rPr>
        <w:t>este</w:t>
      </w:r>
      <w:r>
        <w:rPr>
          <w:color w:val="231F20"/>
          <w:spacing w:val="-3"/>
        </w:rPr>
        <w:t> </w:t>
      </w:r>
      <w:r>
        <w:rPr>
          <w:color w:val="231F20"/>
        </w:rPr>
        <w:t>último</w:t>
      </w:r>
      <w:r>
        <w:rPr>
          <w:color w:val="231F20"/>
          <w:spacing w:val="-3"/>
        </w:rPr>
        <w:t> </w:t>
      </w:r>
      <w:r>
        <w:rPr>
          <w:color w:val="231F20"/>
        </w:rPr>
        <w:t>caso, puede</w:t>
      </w:r>
      <w:r>
        <w:rPr>
          <w:color w:val="231F20"/>
          <w:spacing w:val="-6"/>
        </w:rPr>
        <w:t> </w:t>
      </w:r>
      <w:r>
        <w:rPr>
          <w:color w:val="231F20"/>
        </w:rPr>
        <w:t>darse</w:t>
      </w:r>
      <w:r>
        <w:rPr>
          <w:color w:val="231F20"/>
          <w:spacing w:val="-7"/>
        </w:rPr>
        <w:t> </w:t>
      </w:r>
      <w:r>
        <w:rPr>
          <w:color w:val="231F20"/>
        </w:rPr>
        <w:t>directamente</w:t>
      </w:r>
      <w:r>
        <w:rPr>
          <w:color w:val="231F20"/>
          <w:spacing w:val="-6"/>
        </w:rPr>
        <w:t> </w:t>
      </w:r>
      <w:r>
        <w:rPr>
          <w:color w:val="231F20"/>
        </w:rPr>
        <w:t>o</w:t>
      </w:r>
      <w:r>
        <w:rPr>
          <w:color w:val="231F20"/>
          <w:spacing w:val="-7"/>
        </w:rPr>
        <w:t> </w:t>
      </w:r>
      <w:r>
        <w:rPr>
          <w:color w:val="231F20"/>
        </w:rPr>
        <w:t>incluir</w:t>
      </w:r>
      <w:r>
        <w:rPr>
          <w:color w:val="231F20"/>
          <w:spacing w:val="-7"/>
        </w:rPr>
        <w:t> </w:t>
      </w:r>
      <w:r>
        <w:rPr>
          <w:color w:val="231F20"/>
        </w:rPr>
        <w:t>un</w:t>
      </w:r>
      <w:r>
        <w:rPr>
          <w:color w:val="231F20"/>
          <w:spacing w:val="-7"/>
        </w:rPr>
        <w:t> </w:t>
      </w:r>
      <w:r>
        <w:rPr>
          <w:color w:val="231F20"/>
        </w:rPr>
        <w:t>retorno</w:t>
      </w:r>
      <w:r>
        <w:rPr>
          <w:color w:val="231F20"/>
          <w:spacing w:val="-6"/>
        </w:rPr>
        <w:t> </w:t>
      </w:r>
      <w:r>
        <w:rPr>
          <w:color w:val="231F20"/>
        </w:rPr>
        <w:t>temporal</w:t>
      </w:r>
      <w:r>
        <w:rPr>
          <w:color w:val="231F20"/>
          <w:spacing w:val="-7"/>
        </w:rPr>
        <w:t> </w:t>
      </w:r>
      <w:r>
        <w:rPr>
          <w:color w:val="231F20"/>
        </w:rPr>
        <w:t>a</w:t>
      </w:r>
      <w:r>
        <w:rPr>
          <w:color w:val="231F20"/>
          <w:spacing w:val="-7"/>
        </w:rPr>
        <w:t> </w:t>
      </w:r>
      <w:r>
        <w:rPr>
          <w:color w:val="231F20"/>
        </w:rPr>
        <w:t>su</w:t>
      </w:r>
      <w:r>
        <w:rPr>
          <w:color w:val="231F20"/>
          <w:spacing w:val="-7"/>
        </w:rPr>
        <w:t> </w:t>
      </w:r>
      <w:r>
        <w:rPr>
          <w:color w:val="231F20"/>
        </w:rPr>
        <w:t>país</w:t>
      </w:r>
      <w:r>
        <w:rPr>
          <w:color w:val="231F20"/>
          <w:spacing w:val="-7"/>
        </w:rPr>
        <w:t> </w:t>
      </w:r>
      <w:r>
        <w:rPr>
          <w:color w:val="231F20"/>
        </w:rPr>
        <w:t>de</w:t>
      </w:r>
      <w:r>
        <w:rPr>
          <w:color w:val="231F20"/>
          <w:spacing w:val="-7"/>
        </w:rPr>
        <w:t> </w:t>
      </w:r>
      <w:r>
        <w:rPr>
          <w:color w:val="231F20"/>
        </w:rPr>
        <w:t>origen.</w:t>
      </w:r>
    </w:p>
    <w:p>
      <w:pPr>
        <w:pStyle w:val="Heading3"/>
      </w:pPr>
      <w:r>
        <w:rPr>
          <w:color w:val="231F20"/>
        </w:rPr>
        <w:t>Aspectos metodológicos</w:t>
      </w:r>
    </w:p>
    <w:p>
      <w:pPr>
        <w:pStyle w:val="BodyText"/>
        <w:spacing w:line="247" w:lineRule="auto" w:before="172"/>
        <w:ind w:left="117" w:right="114"/>
        <w:jc w:val="both"/>
      </w:pPr>
      <w:r>
        <w:rPr>
          <w:color w:val="231F20"/>
        </w:rPr>
        <w:t>Lo que constituyó la preocupación principal de este estudio son los pro- cesos de retorno de colombianos, ecuatorianos, peruanos y bolivianos ha- cia sus países de origen. Esto con el objetivo de generar un diagnóstico  de dichos procesos, a partir del contexto general de los países de salida; particularmente desde Estados Unidos y en especial de España, de las ca- racterísticas de las personas retornantes y sus procesos de adaptación, así como de los programas y respuestas institucionales que se adelantan para su atención. Se avanzó con una metodología que permitiera aproximarse</w:t>
      </w:r>
      <w:r>
        <w:rPr>
          <w:color w:val="231F20"/>
          <w:spacing w:val="-22"/>
        </w:rPr>
        <w:t> </w:t>
      </w:r>
      <w:r>
        <w:rPr>
          <w:color w:val="231F20"/>
        </w:rPr>
        <w:t>a las</w:t>
      </w:r>
      <w:r>
        <w:rPr>
          <w:color w:val="231F20"/>
          <w:spacing w:val="-7"/>
        </w:rPr>
        <w:t> </w:t>
      </w:r>
      <w:r>
        <w:rPr>
          <w:color w:val="231F20"/>
        </w:rPr>
        <w:t>magnitudes</w:t>
      </w:r>
      <w:r>
        <w:rPr>
          <w:color w:val="231F20"/>
          <w:spacing w:val="-8"/>
        </w:rPr>
        <w:t> </w:t>
      </w:r>
      <w:r>
        <w:rPr>
          <w:color w:val="231F20"/>
        </w:rPr>
        <w:t>de</w:t>
      </w:r>
      <w:r>
        <w:rPr>
          <w:color w:val="231F20"/>
          <w:spacing w:val="-7"/>
        </w:rPr>
        <w:t> </w:t>
      </w:r>
      <w:r>
        <w:rPr>
          <w:color w:val="231F20"/>
        </w:rPr>
        <w:t>este</w:t>
      </w:r>
      <w:r>
        <w:rPr>
          <w:color w:val="231F20"/>
          <w:spacing w:val="-7"/>
        </w:rPr>
        <w:t> </w:t>
      </w:r>
      <w:r>
        <w:rPr>
          <w:color w:val="231F20"/>
        </w:rPr>
        <w:t>retorno</w:t>
      </w:r>
      <w:r>
        <w:rPr>
          <w:color w:val="231F20"/>
          <w:spacing w:val="-7"/>
        </w:rPr>
        <w:t> </w:t>
      </w:r>
      <w:r>
        <w:rPr>
          <w:color w:val="231F20"/>
        </w:rPr>
        <w:t>desde</w:t>
      </w:r>
      <w:r>
        <w:rPr>
          <w:color w:val="231F20"/>
          <w:spacing w:val="-7"/>
        </w:rPr>
        <w:t> </w:t>
      </w:r>
      <w:r>
        <w:rPr>
          <w:color w:val="231F20"/>
        </w:rPr>
        <w:t>lo</w:t>
      </w:r>
      <w:r>
        <w:rPr>
          <w:color w:val="231F20"/>
          <w:spacing w:val="-7"/>
        </w:rPr>
        <w:t> </w:t>
      </w:r>
      <w:r>
        <w:rPr>
          <w:color w:val="231F20"/>
        </w:rPr>
        <w:t>cuantitativo</w:t>
      </w:r>
      <w:r>
        <w:rPr>
          <w:color w:val="231F20"/>
          <w:spacing w:val="-8"/>
        </w:rPr>
        <w:t> </w:t>
      </w:r>
      <w:r>
        <w:rPr>
          <w:color w:val="231F20"/>
        </w:rPr>
        <w:t>y</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vez</w:t>
      </w:r>
      <w:r>
        <w:rPr>
          <w:color w:val="231F20"/>
          <w:spacing w:val="-7"/>
        </w:rPr>
        <w:t> </w:t>
      </w:r>
      <w:r>
        <w:rPr>
          <w:color w:val="231F20"/>
        </w:rPr>
        <w:t>conocer</w:t>
      </w:r>
      <w:r>
        <w:rPr>
          <w:color w:val="231F20"/>
          <w:spacing w:val="-7"/>
        </w:rPr>
        <w:t> </w:t>
      </w:r>
      <w:r>
        <w:rPr>
          <w:color w:val="231F20"/>
        </w:rPr>
        <w:t>des- de un enfoque cualitativo las circunstancias que acompañan el regreso y características sociodemográficas, psicosociales y económico/productivas de esta población. Para tal fin, se realizó trabajo de campo que </w:t>
      </w:r>
      <w:r>
        <w:rPr>
          <w:color w:val="231F20"/>
          <w:spacing w:val="41"/>
        </w:rPr>
        <w:t> </w:t>
      </w:r>
      <w:r>
        <w:rPr>
          <w:color w:val="231F20"/>
        </w:rPr>
        <w:t>implicaba</w:t>
      </w:r>
    </w:p>
    <w:p>
      <w:pPr>
        <w:spacing w:after="0" w:line="247" w:lineRule="auto"/>
        <w:jc w:val="both"/>
        <w:sectPr>
          <w:footerReference w:type="default" r:id="rId76"/>
          <w:pgSz w:w="9360" w:h="13040"/>
          <w:pgMar w:footer="496" w:header="0" w:top="820" w:bottom="680" w:left="1300" w:right="1300"/>
        </w:sectPr>
      </w:pPr>
    </w:p>
    <w:p>
      <w:pPr>
        <w:spacing w:before="45"/>
        <w:ind w:left="117" w:right="0" w:firstLine="1352"/>
        <w:jc w:val="left"/>
        <w:rPr>
          <w:rFonts w:ascii="Arial" w:hAnsi="Arial"/>
          <w:sz w:val="20"/>
        </w:rPr>
      </w:pPr>
      <w:r>
        <w:rPr>
          <w:rFonts w:ascii="Arial" w:hAnsi="Arial"/>
          <w:color w:val="231F20"/>
          <w:w w:val="65"/>
          <w:sz w:val="20"/>
        </w:rPr>
        <w:t>Retorno de migrantes a la Comunidad Andina /William Mejía-Ochoa y Yeim Claudia Castro</w:t>
      </w:r>
    </w:p>
    <w:p>
      <w:pPr>
        <w:pStyle w:val="BodyText"/>
        <w:spacing w:before="4"/>
        <w:rPr>
          <w:rFonts w:ascii="Arial"/>
          <w:sz w:val="27"/>
        </w:rPr>
      </w:pPr>
    </w:p>
    <w:p>
      <w:pPr>
        <w:pStyle w:val="BodyText"/>
        <w:spacing w:line="247" w:lineRule="auto"/>
        <w:ind w:left="117" w:right="114"/>
        <w:jc w:val="both"/>
      </w:pPr>
      <w:r>
        <w:rPr>
          <w:color w:val="231F20"/>
        </w:rPr>
        <w:t>un</w:t>
      </w:r>
      <w:r>
        <w:rPr>
          <w:color w:val="231F20"/>
          <w:spacing w:val="-4"/>
        </w:rPr>
        <w:t> </w:t>
      </w:r>
      <w:r>
        <w:rPr>
          <w:color w:val="231F20"/>
        </w:rPr>
        <w:t>contacto</w:t>
      </w:r>
      <w:r>
        <w:rPr>
          <w:color w:val="231F20"/>
          <w:spacing w:val="-5"/>
        </w:rPr>
        <w:t> </w:t>
      </w:r>
      <w:r>
        <w:rPr>
          <w:color w:val="231F20"/>
        </w:rPr>
        <w:t>directo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investigadores</w:t>
      </w:r>
      <w:r>
        <w:rPr>
          <w:color w:val="231F20"/>
          <w:spacing w:val="-5"/>
        </w:rPr>
        <w:t> </w:t>
      </w:r>
      <w:r>
        <w:rPr>
          <w:color w:val="231F20"/>
        </w:rPr>
        <w:t>con</w:t>
      </w:r>
      <w:r>
        <w:rPr>
          <w:color w:val="231F20"/>
          <w:spacing w:val="-4"/>
        </w:rPr>
        <w:t> </w:t>
      </w:r>
      <w:r>
        <w:rPr>
          <w:color w:val="231F20"/>
        </w:rPr>
        <w:t>los</w:t>
      </w:r>
      <w:r>
        <w:rPr>
          <w:color w:val="231F20"/>
          <w:spacing w:val="-4"/>
        </w:rPr>
        <w:t> </w:t>
      </w:r>
      <w:r>
        <w:rPr>
          <w:color w:val="231F20"/>
        </w:rPr>
        <w:t>retornados</w:t>
      </w:r>
      <w:r>
        <w:rPr>
          <w:color w:val="231F20"/>
          <w:spacing w:val="-4"/>
        </w:rPr>
        <w:t> </w:t>
      </w:r>
      <w:r>
        <w:rPr>
          <w:color w:val="231F20"/>
        </w:rPr>
        <w:t>y</w:t>
      </w:r>
      <w:r>
        <w:rPr>
          <w:color w:val="231F20"/>
          <w:spacing w:val="-4"/>
        </w:rPr>
        <w:t> </w:t>
      </w:r>
      <w:r>
        <w:rPr>
          <w:color w:val="231F20"/>
        </w:rPr>
        <w:t>a</w:t>
      </w:r>
      <w:r>
        <w:rPr>
          <w:color w:val="231F20"/>
          <w:spacing w:val="-4"/>
        </w:rPr>
        <w:t> </w:t>
      </w:r>
      <w:r>
        <w:rPr>
          <w:color w:val="231F20"/>
        </w:rPr>
        <w:t>su</w:t>
      </w:r>
      <w:r>
        <w:rPr>
          <w:color w:val="231F20"/>
          <w:spacing w:val="-4"/>
        </w:rPr>
        <w:t> </w:t>
      </w:r>
      <w:r>
        <w:rPr>
          <w:color w:val="231F20"/>
        </w:rPr>
        <w:t>vez</w:t>
      </w:r>
      <w:r>
        <w:rPr>
          <w:color w:val="231F20"/>
          <w:spacing w:val="-4"/>
        </w:rPr>
        <w:t> </w:t>
      </w:r>
      <w:r>
        <w:rPr>
          <w:color w:val="231F20"/>
        </w:rPr>
        <w:t>con las instituciones que en su quehacer cotidiano tenían relación con ellos, a través de entrevistas semiestructuradas, de manera que el proceso inves- tigativo contiene no sólo información estadística de carácter cuantitativo, sino que también incluye las voces e intereses de estos</w:t>
      </w:r>
      <w:r>
        <w:rPr>
          <w:color w:val="231F20"/>
          <w:spacing w:val="-8"/>
        </w:rPr>
        <w:t> </w:t>
      </w:r>
      <w:r>
        <w:rPr>
          <w:color w:val="231F20"/>
        </w:rPr>
        <w:t>actores.</w:t>
      </w:r>
    </w:p>
    <w:p>
      <w:pPr>
        <w:pStyle w:val="BodyText"/>
        <w:spacing w:line="247" w:lineRule="auto"/>
        <w:ind w:left="117" w:right="114" w:firstLine="283"/>
        <w:jc w:val="both"/>
      </w:pPr>
      <w:r>
        <w:rPr>
          <w:color w:val="231F20"/>
        </w:rPr>
        <w:t>El abordaje cualitativo supuso un esfuerzo considerable por lo amplio del material recopilado. Para el procesamiento de la información se</w:t>
      </w:r>
      <w:r>
        <w:rPr>
          <w:color w:val="231F20"/>
          <w:spacing w:val="-34"/>
        </w:rPr>
        <w:t> </w:t>
      </w:r>
      <w:r>
        <w:rPr>
          <w:color w:val="231F20"/>
        </w:rPr>
        <w:t>utilizó el software </w:t>
      </w:r>
      <w:r>
        <w:rPr>
          <w:color w:val="231F20"/>
          <w:spacing w:val="-4"/>
        </w:rPr>
        <w:t>ATLAS.ti </w:t>
      </w:r>
      <w:r>
        <w:rPr>
          <w:color w:val="231F20"/>
        </w:rPr>
        <w:t>que es un potente conjunto de herramientas para el análisis cualitativo de grandes cuerpos de datos textuales, gráficos y de video. Esta herramienta ayudó a organizar, reagrupar y gestionar el vas-  to material de manera sistemática. Posteriormente se discutió el material transcrito y se fijaron las líneas generales de</w:t>
      </w:r>
      <w:r>
        <w:rPr>
          <w:color w:val="231F20"/>
          <w:spacing w:val="-12"/>
        </w:rPr>
        <w:t> </w:t>
      </w:r>
      <w:r>
        <w:rPr>
          <w:color w:val="231F20"/>
        </w:rPr>
        <w:t>interpretación.</w:t>
      </w:r>
    </w:p>
    <w:p>
      <w:pPr>
        <w:pStyle w:val="BodyText"/>
        <w:spacing w:line="247" w:lineRule="auto"/>
        <w:ind w:left="117" w:right="114" w:firstLine="283"/>
        <w:jc w:val="both"/>
      </w:pPr>
      <w:r>
        <w:rPr>
          <w:color w:val="231F20"/>
        </w:rPr>
        <w:t>De otra parte, se hizo uso de las fuentes estadísticas, en su mayoría oficiales, para acceder a toda la información disponible y así construir</w:t>
      </w:r>
      <w:r>
        <w:rPr>
          <w:color w:val="231F20"/>
          <w:spacing w:val="-22"/>
        </w:rPr>
        <w:t> </w:t>
      </w:r>
      <w:r>
        <w:rPr>
          <w:color w:val="231F20"/>
        </w:rPr>
        <w:t>una aproximación a los flujos de retorno actuales, en donde se utilizaron téc- nicas demográficas tratando de sacar el mejor provecho posible de la</w:t>
      </w:r>
      <w:r>
        <w:rPr>
          <w:color w:val="231F20"/>
          <w:spacing w:val="-33"/>
        </w:rPr>
        <w:t> </w:t>
      </w:r>
      <w:r>
        <w:rPr>
          <w:color w:val="231F20"/>
        </w:rPr>
        <w:t>limi- tada información existente, que apenas permite acercamientos parciales    a partir de fuentes de salida y de llegada de los retornados, coincidentes apenas en órdenes de magnitud y en tendencias</w:t>
      </w:r>
      <w:r>
        <w:rPr>
          <w:color w:val="231F20"/>
          <w:spacing w:val="-5"/>
        </w:rPr>
        <w:t> </w:t>
      </w:r>
      <w:r>
        <w:rPr>
          <w:color w:val="231F20"/>
        </w:rPr>
        <w:t>generales.</w:t>
      </w:r>
    </w:p>
    <w:p>
      <w:pPr>
        <w:pStyle w:val="Heading3"/>
      </w:pPr>
      <w:r>
        <w:rPr>
          <w:color w:val="231F20"/>
        </w:rPr>
        <w:t>Las cifras del retorno, datos globales fuentes andinas</w:t>
      </w:r>
    </w:p>
    <w:p>
      <w:pPr>
        <w:pStyle w:val="BodyText"/>
        <w:spacing w:line="247" w:lineRule="auto" w:before="172"/>
        <w:ind w:left="117" w:right="114"/>
        <w:jc w:val="both"/>
      </w:pPr>
      <w:r>
        <w:rPr>
          <w:color w:val="231F20"/>
        </w:rPr>
        <w:t>En la Tabla 1 se incluyen los datos más gruesos sobre retorno contenidos en los últimos censos nacionales, que, exceptuando el caso peruano, cons- tituyen la única fuente oficial disponible al respecto en los cuatro países andinos, con restricciones metodológicas para su comparación y con muy limitada utilidad, salvo en el ecuatoriano, para el análisis que se pretende ahora, dada su falta de actualidad.</w:t>
      </w:r>
    </w:p>
    <w:p>
      <w:pPr>
        <w:pStyle w:val="BodyText"/>
        <w:spacing w:line="247" w:lineRule="auto"/>
        <w:ind w:left="117" w:right="115" w:firstLine="283"/>
        <w:jc w:val="both"/>
      </w:pPr>
      <w:r>
        <w:rPr>
          <w:color w:val="231F20"/>
        </w:rPr>
        <w:t>El Perú, partiendo de un análisis detallado de los registros migrato- rios de entrada y salida de sus nacionales, basado en la identificación de cada uno de estos, ha logrado tener cifras anuales de retorno, de las cuales las más recientes corresponden al período 2007-2009, 18 852, 22 559 y  35 090 retornantes, sobre los cuales proporciona alguna información de- tallada, entre la que se encuentra la siguiente relacionada con el tiempo de permanencia en el exterior, que constituye una referencia</w:t>
      </w:r>
      <w:r>
        <w:rPr>
          <w:color w:val="231F20"/>
          <w:spacing w:val="-9"/>
        </w:rPr>
        <w:t> </w:t>
      </w:r>
      <w:r>
        <w:rPr>
          <w:color w:val="231F20"/>
        </w:rPr>
        <w:t>importante:</w:t>
      </w:r>
    </w:p>
    <w:p>
      <w:pPr>
        <w:pStyle w:val="BodyText"/>
        <w:spacing w:line="247" w:lineRule="auto"/>
        <w:ind w:left="117" w:right="114" w:firstLine="283"/>
        <w:jc w:val="both"/>
      </w:pPr>
      <w:r>
        <w:rPr>
          <w:color w:val="231F20"/>
        </w:rPr>
        <w:t>Del total de peruanos que retornaron en el año 2007, la mayoría salió entre los años 2004 y 2006 (64.7 por ciento). En el caso del retorno de peruanos en el 2008, la mayoría salió entre el período 2005-2007 (63.9 por ciento). A su vez, los peruanos retornantes en el año 2009 salieron principalmente entre los años 2006 y 2008 con 68.5 por ciento del total de</w:t>
      </w:r>
    </w:p>
    <w:p>
      <w:pPr>
        <w:spacing w:after="0" w:line="247" w:lineRule="auto"/>
        <w:jc w:val="both"/>
        <w:sectPr>
          <w:footerReference w:type="default" r:id="rId77"/>
          <w:pgSz w:w="9360" w:h="13040"/>
          <w:pgMar w:footer="496" w:header="0" w:top="740" w:bottom="680" w:left="1300" w:right="1300"/>
          <w:pgNumType w:start="51"/>
        </w:sectPr>
      </w:pPr>
    </w:p>
    <w:p>
      <w:pPr>
        <w:tabs>
          <w:tab w:pos="5412" w:val="left" w:leader="none"/>
        </w:tabs>
        <w:spacing w:before="34"/>
        <w:ind w:left="0" w:right="0" w:firstLine="0"/>
        <w:jc w:val="center"/>
        <w:rPr>
          <w:sz w:val="18"/>
        </w:rPr>
      </w:pPr>
      <w:r>
        <w:rPr>
          <w:rFonts w:ascii="Arial" w:hAnsi="Arial"/>
          <w:color w:val="231F20"/>
          <w:w w:val="80"/>
          <w:position w:val="2"/>
          <w:sz w:val="20"/>
        </w:rPr>
        <w:t>Hitos</w:t>
      </w:r>
      <w:r>
        <w:rPr>
          <w:rFonts w:ascii="Arial" w:hAnsi="Arial"/>
          <w:color w:val="231F20"/>
          <w:spacing w:val="-14"/>
          <w:w w:val="80"/>
          <w:position w:val="2"/>
          <w:sz w:val="20"/>
        </w:rPr>
        <w:t> </w:t>
      </w:r>
      <w:r>
        <w:rPr>
          <w:rFonts w:ascii="Arial" w:hAnsi="Arial"/>
          <w:color w:val="231F20"/>
          <w:w w:val="80"/>
          <w:position w:val="2"/>
          <w:sz w:val="20"/>
        </w:rPr>
        <w:t>Demográficos</w:t>
      </w:r>
      <w:r>
        <w:rPr>
          <w:rFonts w:ascii="Arial" w:hAnsi="Arial"/>
          <w:color w:val="231F20"/>
          <w:spacing w:val="-14"/>
          <w:w w:val="80"/>
          <w:position w:val="2"/>
          <w:sz w:val="20"/>
        </w:rPr>
        <w:t> </w:t>
      </w:r>
      <w:r>
        <w:rPr>
          <w:rFonts w:ascii="Arial" w:hAnsi="Arial"/>
          <w:color w:val="231F20"/>
          <w:w w:val="80"/>
          <w:position w:val="2"/>
          <w:sz w:val="20"/>
        </w:rPr>
        <w:t>del</w:t>
      </w:r>
      <w:r>
        <w:rPr>
          <w:rFonts w:ascii="Arial" w:hAnsi="Arial"/>
          <w:color w:val="231F20"/>
          <w:spacing w:val="-14"/>
          <w:w w:val="80"/>
          <w:position w:val="2"/>
          <w:sz w:val="20"/>
        </w:rPr>
        <w:t> </w:t>
      </w:r>
      <w:r>
        <w:rPr>
          <w:rFonts w:ascii="Arial" w:hAnsi="Arial"/>
          <w:color w:val="231F20"/>
          <w:w w:val="80"/>
          <w:position w:val="2"/>
          <w:sz w:val="20"/>
        </w:rPr>
        <w:t>Siglo</w:t>
      </w:r>
      <w:r>
        <w:rPr>
          <w:rFonts w:ascii="Arial" w:hAnsi="Arial"/>
          <w:color w:val="231F20"/>
          <w:spacing w:val="-14"/>
          <w:w w:val="80"/>
          <w:position w:val="2"/>
          <w:sz w:val="20"/>
        </w:rPr>
        <w:t> </w:t>
      </w:r>
      <w:r>
        <w:rPr>
          <w:rFonts w:ascii="Arial" w:hAnsi="Arial"/>
          <w:color w:val="231F20"/>
          <w:w w:val="80"/>
          <w:position w:val="2"/>
          <w:sz w:val="20"/>
        </w:rPr>
        <w:t>XXI:</w:t>
      </w:r>
      <w:r>
        <w:rPr>
          <w:rFonts w:ascii="Arial" w:hAnsi="Arial"/>
          <w:color w:val="231F20"/>
          <w:spacing w:val="-14"/>
          <w:w w:val="80"/>
          <w:position w:val="2"/>
          <w:sz w:val="20"/>
        </w:rPr>
        <w:t> </w:t>
      </w:r>
      <w:r>
        <w:rPr>
          <w:rFonts w:ascii="Arial" w:hAnsi="Arial"/>
          <w:color w:val="231F20"/>
          <w:w w:val="80"/>
          <w:position w:val="2"/>
          <w:sz w:val="20"/>
        </w:rPr>
        <w:t>Migración</w:t>
      </w:r>
      <w:r>
        <w:rPr>
          <w:rFonts w:ascii="Arial" w:hAnsi="Arial"/>
          <w:color w:val="231F20"/>
          <w:spacing w:val="-14"/>
          <w:w w:val="80"/>
          <w:position w:val="2"/>
          <w:sz w:val="20"/>
        </w:rPr>
        <w:t> </w:t>
      </w:r>
      <w:r>
        <w:rPr>
          <w:rFonts w:ascii="Arial" w:hAnsi="Arial"/>
          <w:color w:val="231F20"/>
          <w:w w:val="80"/>
          <w:position w:val="2"/>
          <w:sz w:val="20"/>
        </w:rPr>
        <w:t>Internacional</w:t>
        <w:tab/>
      </w:r>
      <w:r>
        <w:rPr>
          <w:color w:val="231F20"/>
          <w:w w:val="90"/>
          <w:sz w:val="18"/>
        </w:rPr>
        <w:t>CIEAP/UAEM</w:t>
      </w:r>
    </w:p>
    <w:p>
      <w:pPr>
        <w:pStyle w:val="BodyText"/>
        <w:rPr>
          <w:sz w:val="20"/>
        </w:rPr>
      </w:pPr>
    </w:p>
    <w:p>
      <w:pPr>
        <w:pStyle w:val="BodyText"/>
        <w:spacing w:line="247" w:lineRule="auto"/>
        <w:ind w:left="117" w:right="115"/>
        <w:jc w:val="both"/>
      </w:pPr>
      <w:r>
        <w:rPr>
          <w:color w:val="231F20"/>
        </w:rPr>
        <w:t>peruanos retornantes en ese año y que estuvieron viviendo en el exterior de un año a más tiempo (Organización Internacional para las Migraciones </w:t>
      </w:r>
      <w:r>
        <w:rPr>
          <w:i/>
          <w:color w:val="231F20"/>
        </w:rPr>
        <w:t>et al., </w:t>
      </w:r>
      <w:r>
        <w:rPr>
          <w:color w:val="231F20"/>
        </w:rPr>
        <w:t>2010: 41).</w:t>
      </w:r>
    </w:p>
    <w:p>
      <w:pPr>
        <w:spacing w:line="252" w:lineRule="auto" w:before="142"/>
        <w:ind w:left="270" w:right="956" w:firstLine="0"/>
        <w:jc w:val="left"/>
        <w:rPr>
          <w:sz w:val="19"/>
        </w:rPr>
      </w:pPr>
      <w:r>
        <w:rPr>
          <w:w w:val="105"/>
          <w:sz w:val="19"/>
        </w:rPr>
        <w:t>Tabla 1. Comunidad Andina. Cifras de retorno en censos nacionales de la ronda del año 2000</w:t>
      </w:r>
    </w:p>
    <w:p>
      <w:pPr>
        <w:pStyle w:val="BodyText"/>
        <w:spacing w:line="20" w:lineRule="exact"/>
        <w:ind w:left="154"/>
        <w:rPr>
          <w:sz w:val="2"/>
        </w:rPr>
      </w:pPr>
      <w:r>
        <w:rPr>
          <w:sz w:val="2"/>
        </w:rPr>
        <w:pict>
          <v:group style="width:325pt;height:.5pt;mso-position-horizontal-relative:char;mso-position-vertical-relative:line" coordorigin="0,0" coordsize="6500,10">
            <v:line style="position:absolute" from="5,5" to="2491,5" stroked="true" strokeweight=".48pt" strokecolor="#000000"/>
            <v:line style="position:absolute" from="2491,5" to="2501,5" stroked="true" strokeweight=".48pt" strokecolor="#000000"/>
            <v:line style="position:absolute" from="2501,5" to="6495,5" stroked="true" strokeweight=".48pt" strokecolor="#000000"/>
          </v:group>
        </w:pict>
      </w:r>
      <w:r>
        <w:rPr>
          <w:sz w:val="2"/>
        </w:rPr>
      </w:r>
    </w:p>
    <w:p>
      <w:pPr>
        <w:tabs>
          <w:tab w:pos="4451" w:val="left" w:leader="none"/>
        </w:tabs>
        <w:spacing w:before="0" w:after="7"/>
        <w:ind w:left="270" w:right="117" w:firstLine="0"/>
        <w:jc w:val="left"/>
        <w:rPr>
          <w:sz w:val="19"/>
        </w:rPr>
      </w:pPr>
      <w:r>
        <w:rPr>
          <w:w w:val="105"/>
          <w:sz w:val="19"/>
        </w:rPr>
        <w:t>País</w:t>
        <w:tab/>
        <w:t>Dato</w:t>
      </w:r>
    </w:p>
    <w:p>
      <w:pPr>
        <w:pStyle w:val="BodyText"/>
        <w:spacing w:line="29" w:lineRule="exact"/>
        <w:ind w:left="154"/>
        <w:rPr>
          <w:sz w:val="2"/>
        </w:rPr>
      </w:pPr>
      <w:r>
        <w:rPr>
          <w:position w:val="0"/>
          <w:sz w:val="2"/>
        </w:rPr>
        <w:pict>
          <v:group style="width:325pt;height:1.5pt;mso-position-horizontal-relative:char;mso-position-vertical-relative:line" coordorigin="0,0" coordsize="6500,30">
            <v:line style="position:absolute" from="5,5" to="2491,5" stroked="true" strokeweight=".48pt" strokecolor="#000000"/>
            <v:line style="position:absolute" from="5,24" to="2491,24" stroked="true" strokeweight=".48pt" strokecolor="#000000"/>
            <v:line style="position:absolute" from="2491,5" to="2520,5" stroked="true" strokeweight=".48pt" strokecolor="#000000"/>
            <v:line style="position:absolute" from="2491,24" to="2520,24" stroked="true" strokeweight=".48pt" strokecolor="#000000"/>
            <v:line style="position:absolute" from="2520,5" to="6495,5" stroked="true" strokeweight=".48pt" strokecolor="#000000"/>
            <v:line style="position:absolute" from="2520,24" to="6495,24" stroked="true" strokeweight=".48pt" strokecolor="#000000"/>
          </v:group>
        </w:pict>
      </w:r>
      <w:r>
        <w:rPr>
          <w:position w:val="0"/>
          <w:sz w:val="2"/>
        </w:rPr>
      </w:r>
    </w:p>
    <w:p>
      <w:pPr>
        <w:tabs>
          <w:tab w:pos="2751" w:val="left" w:leader="none"/>
        </w:tabs>
        <w:spacing w:before="5"/>
        <w:ind w:left="270" w:right="117" w:firstLine="0"/>
        <w:jc w:val="left"/>
        <w:rPr>
          <w:sz w:val="19"/>
        </w:rPr>
      </w:pPr>
      <w:r>
        <w:rPr>
          <w:w w:val="105"/>
          <w:sz w:val="19"/>
        </w:rPr>
        <w:t>Bolivia,</w:t>
      </w:r>
      <w:r>
        <w:rPr>
          <w:spacing w:val="-2"/>
          <w:w w:val="105"/>
          <w:sz w:val="19"/>
        </w:rPr>
        <w:t> </w:t>
      </w:r>
      <w:r>
        <w:rPr>
          <w:w w:val="105"/>
          <w:sz w:val="19"/>
        </w:rPr>
        <w:t>censo</w:t>
      </w:r>
      <w:r>
        <w:rPr>
          <w:spacing w:val="-1"/>
          <w:w w:val="105"/>
          <w:sz w:val="19"/>
        </w:rPr>
        <w:t> </w:t>
      </w:r>
      <w:r>
        <w:rPr>
          <w:w w:val="105"/>
          <w:sz w:val="19"/>
        </w:rPr>
        <w:t>2001</w:t>
        <w:tab/>
        <w:t>34 578 retornados que residían en el</w:t>
      </w:r>
      <w:r>
        <w:rPr>
          <w:spacing w:val="-10"/>
          <w:w w:val="105"/>
          <w:sz w:val="19"/>
        </w:rPr>
        <w:t> </w:t>
      </w:r>
      <w:r>
        <w:rPr>
          <w:w w:val="105"/>
          <w:sz w:val="19"/>
        </w:rPr>
        <w:t>exterior</w:t>
      </w:r>
    </w:p>
    <w:p>
      <w:pPr>
        <w:spacing w:line="252" w:lineRule="auto" w:before="12"/>
        <w:ind w:left="2751" w:right="271" w:firstLine="0"/>
        <w:jc w:val="left"/>
        <w:rPr>
          <w:sz w:val="19"/>
        </w:rPr>
      </w:pPr>
      <w:r>
        <w:rPr>
          <w:w w:val="105"/>
          <w:sz w:val="19"/>
        </w:rPr>
        <w:t>en 1996. Como en los casos de Ecuador y Perú, no incluye retornados cuya residencia en el exterior hubiese sido dentro de los cinco años anteriores al censo</w:t>
      </w:r>
    </w:p>
    <w:p>
      <w:pPr>
        <w:tabs>
          <w:tab w:pos="2751" w:val="left" w:leader="none"/>
        </w:tabs>
        <w:spacing w:before="1"/>
        <w:ind w:left="270" w:right="117" w:firstLine="0"/>
        <w:jc w:val="left"/>
        <w:rPr>
          <w:sz w:val="19"/>
        </w:rPr>
      </w:pPr>
      <w:r>
        <w:rPr>
          <w:w w:val="105"/>
          <w:sz w:val="19"/>
        </w:rPr>
        <w:t>Colombia,</w:t>
      </w:r>
      <w:r>
        <w:rPr>
          <w:spacing w:val="-2"/>
          <w:w w:val="105"/>
          <w:sz w:val="19"/>
        </w:rPr>
        <w:t> </w:t>
      </w:r>
      <w:r>
        <w:rPr>
          <w:w w:val="105"/>
          <w:sz w:val="19"/>
        </w:rPr>
        <w:t>censo</w:t>
      </w:r>
      <w:r>
        <w:rPr>
          <w:spacing w:val="-1"/>
          <w:w w:val="105"/>
          <w:sz w:val="19"/>
        </w:rPr>
        <w:t> </w:t>
      </w:r>
      <w:r>
        <w:rPr>
          <w:w w:val="105"/>
          <w:sz w:val="19"/>
        </w:rPr>
        <w:t>2005</w:t>
        <w:tab/>
        <w:t>86 529 retornados durante los cinco</w:t>
      </w:r>
      <w:r>
        <w:rPr>
          <w:spacing w:val="-9"/>
          <w:w w:val="105"/>
          <w:sz w:val="19"/>
        </w:rPr>
        <w:t> </w:t>
      </w:r>
      <w:r>
        <w:rPr>
          <w:w w:val="105"/>
          <w:sz w:val="19"/>
        </w:rPr>
        <w:t>años</w:t>
      </w:r>
    </w:p>
    <w:p>
      <w:pPr>
        <w:spacing w:line="252" w:lineRule="auto" w:before="12"/>
        <w:ind w:left="2751" w:right="258" w:firstLine="0"/>
        <w:jc w:val="left"/>
        <w:rPr>
          <w:sz w:val="19"/>
        </w:rPr>
      </w:pPr>
      <w:r>
        <w:rPr>
          <w:w w:val="105"/>
          <w:sz w:val="19"/>
        </w:rPr>
        <w:t>anteriores al censo. No se incluyen las personas que tuvieron un cambio de residencia posterior al retorno</w:t>
      </w:r>
    </w:p>
    <w:p>
      <w:pPr>
        <w:tabs>
          <w:tab w:pos="2751" w:val="left" w:leader="none"/>
        </w:tabs>
        <w:spacing w:line="215" w:lineRule="exact" w:before="0"/>
        <w:ind w:left="270" w:right="117" w:firstLine="0"/>
        <w:jc w:val="left"/>
        <w:rPr>
          <w:sz w:val="19"/>
        </w:rPr>
      </w:pPr>
      <w:r>
        <w:rPr>
          <w:w w:val="105"/>
          <w:sz w:val="19"/>
        </w:rPr>
        <w:t>Ecuador,</w:t>
      </w:r>
      <w:r>
        <w:rPr>
          <w:spacing w:val="-1"/>
          <w:w w:val="105"/>
          <w:sz w:val="19"/>
        </w:rPr>
        <w:t> </w:t>
      </w:r>
      <w:r>
        <w:rPr>
          <w:w w:val="105"/>
          <w:sz w:val="19"/>
        </w:rPr>
        <w:t>censo 2010</w:t>
        <w:tab/>
        <w:t>80 812 retornados que residían en el</w:t>
      </w:r>
      <w:r>
        <w:rPr>
          <w:spacing w:val="-10"/>
          <w:w w:val="105"/>
          <w:sz w:val="19"/>
        </w:rPr>
        <w:t> </w:t>
      </w:r>
      <w:r>
        <w:rPr>
          <w:w w:val="105"/>
          <w:sz w:val="19"/>
        </w:rPr>
        <w:t>exterior</w:t>
      </w:r>
    </w:p>
    <w:p>
      <w:pPr>
        <w:spacing w:before="12"/>
        <w:ind w:left="1580" w:right="2190" w:firstLine="0"/>
        <w:jc w:val="center"/>
        <w:rPr>
          <w:sz w:val="19"/>
        </w:rPr>
      </w:pPr>
      <w:r>
        <w:rPr>
          <w:w w:val="105"/>
          <w:sz w:val="19"/>
        </w:rPr>
        <w:t>en 2005</w:t>
      </w:r>
    </w:p>
    <w:p>
      <w:pPr>
        <w:tabs>
          <w:tab w:pos="2751" w:val="left" w:leader="none"/>
        </w:tabs>
        <w:spacing w:before="12"/>
        <w:ind w:left="270" w:right="117" w:firstLine="0"/>
        <w:jc w:val="left"/>
        <w:rPr>
          <w:sz w:val="19"/>
        </w:rPr>
      </w:pPr>
      <w:r>
        <w:rPr>
          <w:w w:val="105"/>
          <w:sz w:val="19"/>
        </w:rPr>
        <w:t>Perú,</w:t>
      </w:r>
      <w:r>
        <w:rPr>
          <w:spacing w:val="-1"/>
          <w:w w:val="105"/>
          <w:sz w:val="19"/>
        </w:rPr>
        <w:t> </w:t>
      </w:r>
      <w:r>
        <w:rPr>
          <w:w w:val="105"/>
          <w:sz w:val="19"/>
        </w:rPr>
        <w:t>censo 2007</w:t>
        <w:tab/>
        <w:t>43 468 retornados que residían en 2002 en</w:t>
      </w:r>
      <w:r>
        <w:rPr>
          <w:spacing w:val="-9"/>
          <w:w w:val="105"/>
          <w:sz w:val="19"/>
        </w:rPr>
        <w:t> </w:t>
      </w:r>
      <w:r>
        <w:rPr>
          <w:w w:val="105"/>
          <w:sz w:val="19"/>
        </w:rPr>
        <w:t>el</w:t>
      </w:r>
    </w:p>
    <w:p>
      <w:pPr>
        <w:spacing w:before="12" w:after="7"/>
        <w:ind w:left="1562" w:right="2190" w:firstLine="0"/>
        <w:jc w:val="center"/>
        <w:rPr>
          <w:sz w:val="19"/>
        </w:rPr>
      </w:pPr>
      <w:r>
        <w:rPr>
          <w:w w:val="105"/>
          <w:sz w:val="19"/>
        </w:rPr>
        <w:t>exterior</w:t>
      </w:r>
    </w:p>
    <w:p>
      <w:pPr>
        <w:pStyle w:val="BodyText"/>
        <w:spacing w:line="20" w:lineRule="exact"/>
        <w:ind w:left="154"/>
        <w:rPr>
          <w:sz w:val="2"/>
        </w:rPr>
      </w:pPr>
      <w:r>
        <w:rPr>
          <w:sz w:val="2"/>
        </w:rPr>
        <w:pict>
          <v:group style="width:325pt;height:.5pt;mso-position-horizontal-relative:char;mso-position-vertical-relative:line" coordorigin="0,0" coordsize="6500,10">
            <v:line style="position:absolute" from="5,5" to="2491,5" stroked="true" strokeweight=".48pt" strokecolor="#000000"/>
            <v:line style="position:absolute" from="2491,5" to="2501,5" stroked="true" strokeweight=".48pt" strokecolor="#000000"/>
            <v:line style="position:absolute" from="2501,5" to="6495,5" stroked="true" strokeweight=".48pt" strokecolor="#000000"/>
          </v:group>
        </w:pict>
      </w:r>
      <w:r>
        <w:rPr>
          <w:sz w:val="2"/>
        </w:rPr>
      </w:r>
    </w:p>
    <w:p>
      <w:pPr>
        <w:spacing w:before="0"/>
        <w:ind w:left="270" w:right="117" w:firstLine="0"/>
        <w:jc w:val="left"/>
        <w:rPr>
          <w:sz w:val="16"/>
        </w:rPr>
      </w:pPr>
      <w:r>
        <w:rPr>
          <w:sz w:val="16"/>
        </w:rPr>
        <w:t>Fuente: elaborado a partir de datos de los entes nacionales de estadística (</w:t>
      </w:r>
      <w:r>
        <w:rPr>
          <w:sz w:val="13"/>
        </w:rPr>
        <w:t>INE</w:t>
      </w:r>
      <w:r>
        <w:rPr>
          <w:sz w:val="16"/>
        </w:rPr>
        <w:t>, </w:t>
      </w:r>
      <w:r>
        <w:rPr>
          <w:sz w:val="13"/>
        </w:rPr>
        <w:t>DANE</w:t>
      </w:r>
      <w:r>
        <w:rPr>
          <w:sz w:val="16"/>
        </w:rPr>
        <w:t>, </w:t>
      </w:r>
      <w:r>
        <w:rPr>
          <w:sz w:val="13"/>
        </w:rPr>
        <w:t>INEC</w:t>
      </w:r>
      <w:r>
        <w:rPr>
          <w:sz w:val="16"/>
        </w:rPr>
        <w:t>, </w:t>
      </w:r>
      <w:r>
        <w:rPr>
          <w:sz w:val="13"/>
        </w:rPr>
        <w:t>INEI</w:t>
      </w:r>
      <w:r>
        <w:rPr>
          <w:sz w:val="16"/>
        </w:rPr>
        <w:t>).</w:t>
      </w:r>
    </w:p>
    <w:p>
      <w:pPr>
        <w:pStyle w:val="BodyText"/>
        <w:spacing w:before="5"/>
        <w:rPr>
          <w:sz w:val="17"/>
        </w:rPr>
      </w:pPr>
    </w:p>
    <w:p>
      <w:pPr>
        <w:pStyle w:val="BodyText"/>
        <w:spacing w:line="247" w:lineRule="auto" w:before="71"/>
        <w:ind w:left="131" w:right="115" w:firstLine="283"/>
        <w:jc w:val="both"/>
      </w:pPr>
      <w:r>
        <w:rPr>
          <w:color w:val="231F20"/>
        </w:rPr>
        <w:t>Las cifras de control de entradas y salidas de sus nacionales, hacia y desde sus territorios, que periódicamente informan Colombia, Ecuador y Perú, contienen datos discriminados por país de destino y procedencia, permiten un acercamiento al tema del retorno, si se tiene en cuenta que entre</w:t>
      </w:r>
      <w:r>
        <w:rPr>
          <w:color w:val="231F20"/>
          <w:spacing w:val="-5"/>
        </w:rPr>
        <w:t> </w:t>
      </w:r>
      <w:r>
        <w:rPr>
          <w:color w:val="231F20"/>
        </w:rPr>
        <w:t>quienes</w:t>
      </w:r>
      <w:r>
        <w:rPr>
          <w:color w:val="231F20"/>
          <w:spacing w:val="-5"/>
        </w:rPr>
        <w:t> </w:t>
      </w:r>
      <w:r>
        <w:rPr>
          <w:color w:val="231F20"/>
        </w:rPr>
        <w:t>ingresan</w:t>
      </w:r>
      <w:r>
        <w:rPr>
          <w:color w:val="231F20"/>
          <w:spacing w:val="-5"/>
        </w:rPr>
        <w:t> </w:t>
      </w:r>
      <w:r>
        <w:rPr>
          <w:color w:val="231F20"/>
        </w:rPr>
        <w:t>se</w:t>
      </w:r>
      <w:r>
        <w:rPr>
          <w:color w:val="231F20"/>
          <w:spacing w:val="-4"/>
        </w:rPr>
        <w:t> </w:t>
      </w:r>
      <w:r>
        <w:rPr>
          <w:color w:val="231F20"/>
        </w:rPr>
        <w:t>encuentran</w:t>
      </w:r>
      <w:r>
        <w:rPr>
          <w:color w:val="231F20"/>
          <w:spacing w:val="-5"/>
        </w:rPr>
        <w:t> </w:t>
      </w:r>
      <w:r>
        <w:rPr>
          <w:color w:val="231F20"/>
        </w:rPr>
        <w:t>los</w:t>
      </w:r>
      <w:r>
        <w:rPr>
          <w:color w:val="231F20"/>
          <w:spacing w:val="-5"/>
        </w:rPr>
        <w:t> </w:t>
      </w:r>
      <w:r>
        <w:rPr>
          <w:color w:val="231F20"/>
        </w:rPr>
        <w:t>retornantes,</w:t>
      </w:r>
      <w:r>
        <w:rPr>
          <w:color w:val="231F20"/>
          <w:spacing w:val="-5"/>
        </w:rPr>
        <w:t> </w:t>
      </w:r>
      <w:r>
        <w:rPr>
          <w:color w:val="231F20"/>
        </w:rPr>
        <w:t>aunque</w:t>
      </w:r>
      <w:r>
        <w:rPr>
          <w:color w:val="231F20"/>
          <w:spacing w:val="-5"/>
        </w:rPr>
        <w:t> </w:t>
      </w:r>
      <w:r>
        <w:rPr>
          <w:color w:val="231F20"/>
        </w:rPr>
        <w:t>no</w:t>
      </w:r>
      <w:r>
        <w:rPr>
          <w:color w:val="231F20"/>
          <w:spacing w:val="-5"/>
        </w:rPr>
        <w:t> </w:t>
      </w:r>
      <w:r>
        <w:rPr>
          <w:color w:val="231F20"/>
        </w:rPr>
        <w:t>sólo</w:t>
      </w:r>
      <w:r>
        <w:rPr>
          <w:color w:val="231F20"/>
          <w:spacing w:val="-4"/>
        </w:rPr>
        <w:t> </w:t>
      </w:r>
      <w:r>
        <w:rPr>
          <w:color w:val="231F20"/>
        </w:rPr>
        <w:t>ellos, como se verá a</w:t>
      </w:r>
      <w:r>
        <w:rPr>
          <w:color w:val="231F20"/>
          <w:spacing w:val="-2"/>
        </w:rPr>
        <w:t> </w:t>
      </w:r>
      <w:r>
        <w:rPr>
          <w:color w:val="231F20"/>
        </w:rPr>
        <w:t>continuación.</w:t>
      </w:r>
    </w:p>
    <w:p>
      <w:pPr>
        <w:pStyle w:val="BodyText"/>
        <w:spacing w:line="247" w:lineRule="auto"/>
        <w:ind w:left="131" w:right="115" w:firstLine="283"/>
        <w:jc w:val="both"/>
      </w:pPr>
      <w:r>
        <w:rPr>
          <w:color w:val="231F20"/>
        </w:rPr>
        <w:t>Si al número de entradas contabilizadas se resta el de salidas se obtie- ne lo que comúnmente se denomina un saldo migratorio, que, hablándose de nacionales de cada país (no de extranjeros) da idea de la “pérdida” o “ganancia” neta de ellos que el respectivo país ha tenido a cuenta de la emigración</w:t>
      </w:r>
      <w:r>
        <w:rPr>
          <w:color w:val="231F20"/>
          <w:spacing w:val="-8"/>
        </w:rPr>
        <w:t> </w:t>
      </w:r>
      <w:r>
        <w:rPr>
          <w:color w:val="231F20"/>
        </w:rPr>
        <w:t>a</w:t>
      </w:r>
      <w:r>
        <w:rPr>
          <w:color w:val="231F20"/>
          <w:spacing w:val="-8"/>
        </w:rPr>
        <w:t> </w:t>
      </w:r>
      <w:r>
        <w:rPr>
          <w:color w:val="231F20"/>
        </w:rPr>
        <w:t>o</w:t>
      </w:r>
      <w:r>
        <w:rPr>
          <w:color w:val="231F20"/>
          <w:spacing w:val="-8"/>
        </w:rPr>
        <w:t> </w:t>
      </w:r>
      <w:r>
        <w:rPr>
          <w:color w:val="231F20"/>
        </w:rPr>
        <w:t>el</w:t>
      </w:r>
      <w:r>
        <w:rPr>
          <w:color w:val="231F20"/>
          <w:spacing w:val="-8"/>
        </w:rPr>
        <w:t> </w:t>
      </w:r>
      <w:r>
        <w:rPr>
          <w:color w:val="231F20"/>
        </w:rPr>
        <w:t>retorno</w:t>
      </w:r>
      <w:r>
        <w:rPr>
          <w:color w:val="231F20"/>
          <w:spacing w:val="-8"/>
        </w:rPr>
        <w:t> </w:t>
      </w:r>
      <w:r>
        <w:rPr>
          <w:color w:val="231F20"/>
        </w:rPr>
        <w:t>desde</w:t>
      </w:r>
      <w:r>
        <w:rPr>
          <w:color w:val="231F20"/>
          <w:spacing w:val="-8"/>
        </w:rPr>
        <w:t> </w:t>
      </w:r>
      <w:r>
        <w:rPr>
          <w:color w:val="231F20"/>
        </w:rPr>
        <w:t>los</w:t>
      </w:r>
      <w:r>
        <w:rPr>
          <w:color w:val="231F20"/>
          <w:spacing w:val="-8"/>
        </w:rPr>
        <w:t> </w:t>
      </w:r>
      <w:r>
        <w:rPr>
          <w:color w:val="231F20"/>
        </w:rPr>
        <w:t>distintos</w:t>
      </w:r>
      <w:r>
        <w:rPr>
          <w:color w:val="231F20"/>
          <w:spacing w:val="-8"/>
        </w:rPr>
        <w:t> </w:t>
      </w:r>
      <w:r>
        <w:rPr>
          <w:color w:val="231F20"/>
        </w:rPr>
        <w:t>destinos.</w:t>
      </w:r>
      <w:r>
        <w:rPr>
          <w:color w:val="231F20"/>
          <w:spacing w:val="-8"/>
        </w:rPr>
        <w:t> </w:t>
      </w:r>
      <w:r>
        <w:rPr>
          <w:color w:val="231F20"/>
        </w:rPr>
        <w:t>Si</w:t>
      </w:r>
      <w:r>
        <w:rPr>
          <w:color w:val="231F20"/>
          <w:spacing w:val="-8"/>
        </w:rPr>
        <w:t> </w:t>
      </w:r>
      <w:r>
        <w:rPr>
          <w:color w:val="231F20"/>
        </w:rPr>
        <w:t>el</w:t>
      </w:r>
      <w:r>
        <w:rPr>
          <w:color w:val="231F20"/>
          <w:spacing w:val="-8"/>
        </w:rPr>
        <w:t> </w:t>
      </w:r>
      <w:r>
        <w:rPr>
          <w:color w:val="231F20"/>
        </w:rPr>
        <w:t>saldo</w:t>
      </w:r>
      <w:r>
        <w:rPr>
          <w:color w:val="231F20"/>
          <w:spacing w:val="-8"/>
        </w:rPr>
        <w:t> </w:t>
      </w:r>
      <w:r>
        <w:rPr>
          <w:color w:val="231F20"/>
        </w:rPr>
        <w:t>es</w:t>
      </w:r>
      <w:r>
        <w:rPr>
          <w:color w:val="231F20"/>
          <w:spacing w:val="-8"/>
        </w:rPr>
        <w:t> </w:t>
      </w:r>
      <w:r>
        <w:rPr>
          <w:color w:val="231F20"/>
        </w:rPr>
        <w:t>negati- vo (más salidas que entradas), ello quiere decir que se “perdió” población nacional a cuenta de la emigración de nacionales, en una cantidad desco- nocida, pero en cualquier caso mayor que la del saldo, que se ve afectado por quienes han retornado. Si el saldo es positivo quiere decir que el flujo de</w:t>
      </w:r>
      <w:r>
        <w:rPr>
          <w:color w:val="231F20"/>
          <w:spacing w:val="-8"/>
        </w:rPr>
        <w:t> </w:t>
      </w:r>
      <w:r>
        <w:rPr>
          <w:color w:val="231F20"/>
        </w:rPr>
        <w:t>retorno</w:t>
      </w:r>
      <w:r>
        <w:rPr>
          <w:color w:val="231F20"/>
          <w:spacing w:val="-8"/>
        </w:rPr>
        <w:t> </w:t>
      </w:r>
      <w:r>
        <w:rPr>
          <w:color w:val="231F20"/>
        </w:rPr>
        <w:t>es</w:t>
      </w:r>
      <w:r>
        <w:rPr>
          <w:color w:val="231F20"/>
          <w:spacing w:val="-8"/>
        </w:rPr>
        <w:t> </w:t>
      </w:r>
      <w:r>
        <w:rPr>
          <w:color w:val="231F20"/>
        </w:rPr>
        <w:t>predominante</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magnitud</w:t>
      </w:r>
      <w:r>
        <w:rPr>
          <w:color w:val="231F20"/>
          <w:spacing w:val="-8"/>
        </w:rPr>
        <w:t> </w:t>
      </w:r>
      <w:r>
        <w:rPr>
          <w:color w:val="231F20"/>
        </w:rPr>
        <w:t>también</w:t>
      </w:r>
      <w:r>
        <w:rPr>
          <w:color w:val="231F20"/>
          <w:spacing w:val="-8"/>
        </w:rPr>
        <w:t> </w:t>
      </w:r>
      <w:r>
        <w:rPr>
          <w:color w:val="231F20"/>
        </w:rPr>
        <w:t>desconocida,</w:t>
      </w:r>
      <w:r>
        <w:rPr>
          <w:color w:val="231F20"/>
          <w:spacing w:val="-8"/>
        </w:rPr>
        <w:t> </w:t>
      </w:r>
      <w:r>
        <w:rPr>
          <w:color w:val="231F20"/>
        </w:rPr>
        <w:t>pero</w:t>
      </w:r>
      <w:r>
        <w:rPr>
          <w:color w:val="231F20"/>
          <w:spacing w:val="-8"/>
        </w:rPr>
        <w:t> </w:t>
      </w:r>
      <w:r>
        <w:rPr>
          <w:color w:val="231F20"/>
        </w:rPr>
        <w:t>tam- poco inferior a ese</w:t>
      </w:r>
      <w:r>
        <w:rPr>
          <w:color w:val="231F20"/>
          <w:spacing w:val="-8"/>
        </w:rPr>
        <w:t> </w:t>
      </w:r>
      <w:r>
        <w:rPr>
          <w:color w:val="231F20"/>
        </w:rPr>
        <w:t>saldo.</w:t>
      </w:r>
    </w:p>
    <w:p>
      <w:pPr>
        <w:pStyle w:val="BodyText"/>
        <w:spacing w:line="247" w:lineRule="auto"/>
        <w:ind w:left="131" w:right="114" w:firstLine="283"/>
        <w:jc w:val="both"/>
      </w:pPr>
      <w:r>
        <w:rPr>
          <w:color w:val="231F20"/>
        </w:rPr>
        <w:t>Si los saldos son vistos a través del tiempo y muestran una tendencia creciente</w:t>
      </w:r>
      <w:r>
        <w:rPr>
          <w:color w:val="231F20"/>
          <w:spacing w:val="-7"/>
        </w:rPr>
        <w:t> </w:t>
      </w:r>
      <w:r>
        <w:rPr>
          <w:color w:val="231F20"/>
        </w:rPr>
        <w:t>(cada</w:t>
      </w:r>
      <w:r>
        <w:rPr>
          <w:color w:val="231F20"/>
          <w:spacing w:val="-6"/>
        </w:rPr>
        <w:t> </w:t>
      </w:r>
      <w:r>
        <w:rPr>
          <w:color w:val="231F20"/>
        </w:rPr>
        <w:t>vez</w:t>
      </w:r>
      <w:r>
        <w:rPr>
          <w:color w:val="231F20"/>
          <w:spacing w:val="-6"/>
        </w:rPr>
        <w:t> </w:t>
      </w:r>
      <w:r>
        <w:rPr>
          <w:color w:val="231F20"/>
        </w:rPr>
        <w:t>menos</w:t>
      </w:r>
      <w:r>
        <w:rPr>
          <w:color w:val="231F20"/>
          <w:spacing w:val="-7"/>
        </w:rPr>
        <w:t> </w:t>
      </w:r>
      <w:r>
        <w:rPr>
          <w:color w:val="231F20"/>
        </w:rPr>
        <w:t>negativos</w:t>
      </w:r>
      <w:r>
        <w:rPr>
          <w:color w:val="231F20"/>
          <w:spacing w:val="-6"/>
        </w:rPr>
        <w:t> </w:t>
      </w:r>
      <w:r>
        <w:rPr>
          <w:color w:val="231F20"/>
        </w:rPr>
        <w:t>o</w:t>
      </w:r>
      <w:r>
        <w:rPr>
          <w:color w:val="231F20"/>
          <w:spacing w:val="-6"/>
        </w:rPr>
        <w:t> </w:t>
      </w:r>
      <w:r>
        <w:rPr>
          <w:color w:val="231F20"/>
        </w:rPr>
        <w:t>más</w:t>
      </w:r>
      <w:r>
        <w:rPr>
          <w:color w:val="231F20"/>
          <w:spacing w:val="-7"/>
        </w:rPr>
        <w:t> </w:t>
      </w:r>
      <w:r>
        <w:rPr>
          <w:color w:val="231F20"/>
        </w:rPr>
        <w:t>positivos),</w:t>
      </w:r>
      <w:r>
        <w:rPr>
          <w:color w:val="231F20"/>
          <w:spacing w:val="-7"/>
        </w:rPr>
        <w:t> </w:t>
      </w:r>
      <w:r>
        <w:rPr>
          <w:color w:val="231F20"/>
        </w:rPr>
        <w:t>sugieren</w:t>
      </w:r>
      <w:r>
        <w:rPr>
          <w:color w:val="231F20"/>
          <w:spacing w:val="-6"/>
        </w:rPr>
        <w:t> </w:t>
      </w:r>
      <w:r>
        <w:rPr>
          <w:color w:val="231F20"/>
        </w:rPr>
        <w:t>una</w:t>
      </w:r>
      <w:r>
        <w:rPr>
          <w:color w:val="231F20"/>
          <w:spacing w:val="-7"/>
        </w:rPr>
        <w:t> </w:t>
      </w:r>
      <w:r>
        <w:rPr>
          <w:color w:val="231F20"/>
        </w:rPr>
        <w:t>reduc- ción de la emigración o un incremento del retorno, hechos que tienden  </w:t>
      </w:r>
      <w:r>
        <w:rPr>
          <w:color w:val="231F20"/>
          <w:spacing w:val="42"/>
        </w:rPr>
        <w:t> </w:t>
      </w:r>
      <w:r>
        <w:rPr>
          <w:color w:val="231F20"/>
        </w:rPr>
        <w:t>a</w:t>
      </w:r>
    </w:p>
    <w:p>
      <w:pPr>
        <w:spacing w:after="0" w:line="247" w:lineRule="auto"/>
        <w:jc w:val="both"/>
        <w:sectPr>
          <w:pgSz w:w="9360" w:h="13040"/>
          <w:pgMar w:header="0" w:footer="496" w:top="820" w:bottom="680" w:left="1300" w:right="1300"/>
        </w:sectPr>
      </w:pPr>
    </w:p>
    <w:p>
      <w:pPr>
        <w:spacing w:before="45"/>
        <w:ind w:left="117" w:right="0" w:firstLine="1352"/>
        <w:jc w:val="left"/>
        <w:rPr>
          <w:rFonts w:ascii="Arial" w:hAnsi="Arial"/>
          <w:sz w:val="20"/>
        </w:rPr>
      </w:pPr>
      <w:r>
        <w:rPr>
          <w:rFonts w:ascii="Arial" w:hAnsi="Arial"/>
          <w:color w:val="231F20"/>
          <w:w w:val="65"/>
          <w:sz w:val="20"/>
        </w:rPr>
        <w:t>Retorno de migrantes a la Comunidad Andina /William Mejía-Ochoa y Yeim Claudia Castro</w:t>
      </w:r>
    </w:p>
    <w:p>
      <w:pPr>
        <w:pStyle w:val="BodyText"/>
        <w:spacing w:before="5"/>
        <w:rPr>
          <w:rFonts w:ascii="Arial"/>
          <w:sz w:val="27"/>
        </w:rPr>
      </w:pPr>
    </w:p>
    <w:p>
      <w:pPr>
        <w:pStyle w:val="BodyText"/>
        <w:spacing w:line="247" w:lineRule="auto"/>
        <w:ind w:left="117" w:right="115"/>
        <w:jc w:val="both"/>
      </w:pPr>
      <w:r>
        <w:rPr>
          <w:color w:val="231F20"/>
        </w:rPr>
        <w:t>coincidir, respecto al destino específico. El comportamiento creciente se expresa matemáticamente en una pendiente positiva de la línea de tenden- cia lineal y en el signo del coeficiente de la ecuación de la variable inde- pendiente de tal línea, cuya magnitud indica la intensidad de la variación del saldo.</w:t>
      </w:r>
    </w:p>
    <w:p>
      <w:pPr>
        <w:pStyle w:val="BodyText"/>
        <w:spacing w:line="247" w:lineRule="auto"/>
        <w:ind w:left="117" w:right="115" w:firstLine="283"/>
        <w:jc w:val="both"/>
      </w:pPr>
      <w:r>
        <w:rPr>
          <w:color w:val="231F20"/>
        </w:rPr>
        <w:t>En la </w:t>
      </w:r>
      <w:r>
        <w:rPr>
          <w:color w:val="231F20"/>
          <w:spacing w:val="-4"/>
        </w:rPr>
        <w:t>Tabla </w:t>
      </w:r>
      <w:r>
        <w:rPr>
          <w:color w:val="231F20"/>
        </w:rPr>
        <w:t>2 se presentan los coeficientes correspondientes a las ecua- ciones de tendencia reciente de los saldos migratorios de nacionales an- dinos con los principales destinos para Colombia, Ecuador y Perú. Ante  la inexistencia de esa información para Bolivia, se usaron utilizaron los datos de entrada y salida de bolivianos de esos mismos tres países, como una aproximación a saldos migratorios. Para facilitar la comparación, los saldos migratorios se estandarizaron con base en el dato del primer año considerado (2006 o 2007), que se hizo igual a la unidad (1), en tales con- diciones: los valores absolutos con coeficientes más cercanos a 0, indica- rían cierta estabilidad migratoria o cambios lentos; por el contrario, los coeficientes mayores, por ejemplo el saldo entre Colombia y España, con su valor 2.0 está reflejando un importante incremento del retorno, unido a una reducción también significativa de la emigración, como se podrá ob- servar en la tabla 6, que junto a otras tablas y gráficos, reportan entradas y salidas anuales de andinos a y desde algunos países de</w:t>
      </w:r>
      <w:r>
        <w:rPr>
          <w:color w:val="231F20"/>
          <w:spacing w:val="-9"/>
        </w:rPr>
        <w:t> </w:t>
      </w:r>
      <w:r>
        <w:rPr>
          <w:color w:val="231F20"/>
        </w:rPr>
        <w:t>destino.</w:t>
      </w:r>
    </w:p>
    <w:p>
      <w:pPr>
        <w:pStyle w:val="BodyText"/>
        <w:spacing w:line="247" w:lineRule="auto"/>
        <w:ind w:left="117" w:right="115" w:firstLine="283"/>
        <w:jc w:val="both"/>
      </w:pPr>
      <w:r>
        <w:rPr>
          <w:color w:val="231F20"/>
        </w:rPr>
        <w:t>De</w:t>
      </w:r>
      <w:r>
        <w:rPr>
          <w:color w:val="231F20"/>
          <w:spacing w:val="-14"/>
        </w:rPr>
        <w:t> </w:t>
      </w:r>
      <w:r>
        <w:rPr>
          <w:color w:val="231F20"/>
        </w:rPr>
        <w:t>acuerdo</w:t>
      </w:r>
      <w:r>
        <w:rPr>
          <w:color w:val="231F20"/>
          <w:spacing w:val="-14"/>
        </w:rPr>
        <w:t> </w:t>
      </w:r>
      <w:r>
        <w:rPr>
          <w:color w:val="231F20"/>
        </w:rPr>
        <w:t>a</w:t>
      </w:r>
      <w:r>
        <w:rPr>
          <w:color w:val="231F20"/>
          <w:spacing w:val="-14"/>
        </w:rPr>
        <w:t> </w:t>
      </w:r>
      <w:r>
        <w:rPr>
          <w:color w:val="231F20"/>
        </w:rPr>
        <w:t>con</w:t>
      </w:r>
      <w:r>
        <w:rPr>
          <w:color w:val="231F20"/>
          <w:spacing w:val="-14"/>
        </w:rPr>
        <w:t> </w:t>
      </w:r>
      <w:r>
        <w:rPr>
          <w:color w:val="231F20"/>
        </w:rPr>
        <w:t>lo</w:t>
      </w:r>
      <w:r>
        <w:rPr>
          <w:color w:val="231F20"/>
          <w:spacing w:val="-14"/>
        </w:rPr>
        <w:t> </w:t>
      </w:r>
      <w:r>
        <w:rPr>
          <w:color w:val="231F20"/>
        </w:rPr>
        <w:t>anterior,</w:t>
      </w:r>
      <w:r>
        <w:rPr>
          <w:color w:val="231F20"/>
          <w:spacing w:val="-14"/>
        </w:rPr>
        <w:t> </w:t>
      </w:r>
      <w:r>
        <w:rPr>
          <w:color w:val="231F20"/>
        </w:rPr>
        <w:t>los</w:t>
      </w:r>
      <w:r>
        <w:rPr>
          <w:color w:val="231F20"/>
          <w:spacing w:val="-14"/>
        </w:rPr>
        <w:t> </w:t>
      </w:r>
      <w:r>
        <w:rPr>
          <w:color w:val="231F20"/>
        </w:rPr>
        <w:t>datos</w:t>
      </w:r>
      <w:r>
        <w:rPr>
          <w:color w:val="231F20"/>
          <w:spacing w:val="-14"/>
        </w:rPr>
        <w:t> </w:t>
      </w:r>
      <w:r>
        <w:rPr>
          <w:color w:val="231F20"/>
        </w:rPr>
        <w:t>de</w:t>
      </w:r>
      <w:r>
        <w:rPr>
          <w:color w:val="231F20"/>
          <w:spacing w:val="-14"/>
        </w:rPr>
        <w:t> </w:t>
      </w:r>
      <w:r>
        <w:rPr>
          <w:color w:val="231F20"/>
        </w:rPr>
        <w:t>la</w:t>
      </w:r>
      <w:r>
        <w:rPr>
          <w:color w:val="231F20"/>
          <w:spacing w:val="-18"/>
        </w:rPr>
        <w:t> </w:t>
      </w:r>
      <w:r>
        <w:rPr>
          <w:color w:val="231F20"/>
          <w:spacing w:val="-4"/>
        </w:rPr>
        <w:t>Tabla</w:t>
      </w:r>
      <w:r>
        <w:rPr>
          <w:color w:val="231F20"/>
          <w:spacing w:val="-14"/>
        </w:rPr>
        <w:t> </w:t>
      </w:r>
      <w:r>
        <w:rPr>
          <w:color w:val="231F20"/>
        </w:rPr>
        <w:t>2</w:t>
      </w:r>
      <w:r>
        <w:rPr>
          <w:color w:val="231F20"/>
          <w:spacing w:val="-14"/>
        </w:rPr>
        <w:t> </w:t>
      </w:r>
      <w:r>
        <w:rPr>
          <w:color w:val="231F20"/>
        </w:rPr>
        <w:t>son</w:t>
      </w:r>
      <w:r>
        <w:rPr>
          <w:color w:val="231F20"/>
          <w:spacing w:val="-13"/>
        </w:rPr>
        <w:t> </w:t>
      </w:r>
      <w:r>
        <w:rPr>
          <w:color w:val="231F20"/>
        </w:rPr>
        <w:t>compatibles</w:t>
      </w:r>
      <w:r>
        <w:rPr>
          <w:color w:val="231F20"/>
          <w:spacing w:val="-14"/>
        </w:rPr>
        <w:t> </w:t>
      </w:r>
      <w:r>
        <w:rPr>
          <w:color w:val="231F20"/>
        </w:rPr>
        <w:t>con procesos de reducción de la emigración a, o incremento del retorno desde, la mayoría de los destinos tradicionalmente importantes de los andinos, como es el caso de España y Estados Unidos, y con incremento de la mi- gración a, o reducción del retorno desde algunos destinos,</w:t>
      </w:r>
      <w:r>
        <w:rPr>
          <w:color w:val="231F20"/>
          <w:spacing w:val="-17"/>
        </w:rPr>
        <w:t> </w:t>
      </w:r>
      <w:r>
        <w:rPr>
          <w:color w:val="231F20"/>
        </w:rPr>
        <w:t>particularmente latinoamericanos y del Caribe, que empiezan a adquirir importancia y a fortalecerse como alternativas migratorias en el sur ante la crisis del</w:t>
      </w:r>
      <w:r>
        <w:rPr>
          <w:color w:val="231F20"/>
          <w:spacing w:val="-26"/>
        </w:rPr>
        <w:t> </w:t>
      </w:r>
      <w:r>
        <w:rPr>
          <w:color w:val="231F20"/>
        </w:rPr>
        <w:t>norte.</w:t>
      </w:r>
    </w:p>
    <w:p>
      <w:pPr>
        <w:pStyle w:val="Heading3"/>
        <w:spacing w:line="242" w:lineRule="auto"/>
        <w:ind w:right="236"/>
        <w:jc w:val="left"/>
      </w:pPr>
      <w:r>
        <w:rPr>
          <w:color w:val="231F20"/>
        </w:rPr>
        <w:t>Algunas circunstancias externas importantes asociadas con los flujos migratorios andinos recientes, incluyendo el retorno</w:t>
      </w:r>
    </w:p>
    <w:p>
      <w:pPr>
        <w:pStyle w:val="BodyText"/>
        <w:spacing w:line="247" w:lineRule="auto" w:before="170"/>
        <w:ind w:left="117" w:right="114"/>
        <w:jc w:val="both"/>
      </w:pPr>
      <w:r>
        <w:rPr>
          <w:color w:val="231F20"/>
        </w:rPr>
        <w:t>Las motivaciones para regresar o buscar un nuevo destino migratorio, como lo son las para emigrar desde el origen, son variadas y parten, en general, del individuo y su entorno familiar, en contextos favorables o desfavorables para el nuevo movimiento migratorio, tanto en el país de residencia</w:t>
      </w:r>
      <w:r>
        <w:rPr>
          <w:color w:val="231F20"/>
          <w:spacing w:val="-5"/>
        </w:rPr>
        <w:t> </w:t>
      </w:r>
      <w:r>
        <w:rPr>
          <w:color w:val="231F20"/>
        </w:rPr>
        <w:t>como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de</w:t>
      </w:r>
      <w:r>
        <w:rPr>
          <w:color w:val="231F20"/>
          <w:spacing w:val="-6"/>
        </w:rPr>
        <w:t> </w:t>
      </w:r>
      <w:r>
        <w:rPr>
          <w:color w:val="231F20"/>
        </w:rPr>
        <w:t>origen,</w:t>
      </w:r>
      <w:r>
        <w:rPr>
          <w:color w:val="231F20"/>
          <w:spacing w:val="-6"/>
        </w:rPr>
        <w:t> </w:t>
      </w:r>
      <w:r>
        <w:rPr>
          <w:color w:val="231F20"/>
        </w:rPr>
        <w:t>o,</w:t>
      </w:r>
      <w:r>
        <w:rPr>
          <w:color w:val="231F20"/>
          <w:spacing w:val="-6"/>
        </w:rPr>
        <w:t> </w:t>
      </w:r>
      <w:r>
        <w:rPr>
          <w:color w:val="231F20"/>
        </w:rPr>
        <w:t>eventualmente,</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tercer</w:t>
      </w:r>
      <w:r>
        <w:rPr>
          <w:color w:val="231F20"/>
          <w:spacing w:val="-6"/>
        </w:rPr>
        <w:t> </w:t>
      </w:r>
      <w:r>
        <w:rPr>
          <w:color w:val="231F20"/>
        </w:rPr>
        <w:t>país</w:t>
      </w:r>
      <w:r>
        <w:rPr>
          <w:color w:val="231F20"/>
          <w:spacing w:val="-6"/>
        </w:rPr>
        <w:t> </w:t>
      </w:r>
      <w:r>
        <w:rPr>
          <w:color w:val="231F20"/>
        </w:rPr>
        <w:t>que</w:t>
      </w:r>
      <w:r>
        <w:rPr>
          <w:color w:val="231F20"/>
          <w:spacing w:val="-6"/>
        </w:rPr>
        <w:t> </w:t>
      </w:r>
      <w:r>
        <w:rPr>
          <w:color w:val="231F20"/>
        </w:rPr>
        <w:t>se adopta como nuevo</w:t>
      </w:r>
      <w:r>
        <w:rPr>
          <w:color w:val="231F20"/>
          <w:spacing w:val="-2"/>
        </w:rPr>
        <w:t> </w:t>
      </w:r>
      <w:r>
        <w:rPr>
          <w:color w:val="231F20"/>
        </w:rPr>
        <w:t>destino.</w:t>
      </w:r>
    </w:p>
    <w:p>
      <w:pPr>
        <w:spacing w:after="0" w:line="247" w:lineRule="auto"/>
        <w:jc w:val="both"/>
        <w:sectPr>
          <w:pgSz w:w="9360" w:h="13040"/>
          <w:pgMar w:header="0" w:footer="496" w:top="740" w:bottom="680" w:left="1300" w:right="1300"/>
        </w:sectPr>
      </w:pPr>
    </w:p>
    <w:p>
      <w:pPr>
        <w:tabs>
          <w:tab w:pos="5536" w:val="left" w:leader="none"/>
        </w:tabs>
        <w:spacing w:before="34"/>
        <w:ind w:left="124" w:right="117" w:firstLine="0"/>
        <w:jc w:val="left"/>
        <w:rPr>
          <w:sz w:val="18"/>
        </w:rPr>
      </w:pPr>
      <w:r>
        <w:rPr>
          <w:rFonts w:ascii="Arial" w:hAnsi="Arial"/>
          <w:color w:val="231F20"/>
          <w:w w:val="80"/>
          <w:position w:val="2"/>
          <w:sz w:val="20"/>
        </w:rPr>
        <w:t>Hitos</w:t>
      </w:r>
      <w:r>
        <w:rPr>
          <w:rFonts w:ascii="Arial" w:hAnsi="Arial"/>
          <w:color w:val="231F20"/>
          <w:spacing w:val="-14"/>
          <w:w w:val="80"/>
          <w:position w:val="2"/>
          <w:sz w:val="20"/>
        </w:rPr>
        <w:t> </w:t>
      </w:r>
      <w:r>
        <w:rPr>
          <w:rFonts w:ascii="Arial" w:hAnsi="Arial"/>
          <w:color w:val="231F20"/>
          <w:w w:val="80"/>
          <w:position w:val="2"/>
          <w:sz w:val="20"/>
        </w:rPr>
        <w:t>Demográficos</w:t>
      </w:r>
      <w:r>
        <w:rPr>
          <w:rFonts w:ascii="Arial" w:hAnsi="Arial"/>
          <w:color w:val="231F20"/>
          <w:spacing w:val="-14"/>
          <w:w w:val="80"/>
          <w:position w:val="2"/>
          <w:sz w:val="20"/>
        </w:rPr>
        <w:t> </w:t>
      </w:r>
      <w:r>
        <w:rPr>
          <w:rFonts w:ascii="Arial" w:hAnsi="Arial"/>
          <w:color w:val="231F20"/>
          <w:w w:val="80"/>
          <w:position w:val="2"/>
          <w:sz w:val="20"/>
        </w:rPr>
        <w:t>del</w:t>
      </w:r>
      <w:r>
        <w:rPr>
          <w:rFonts w:ascii="Arial" w:hAnsi="Arial"/>
          <w:color w:val="231F20"/>
          <w:spacing w:val="-14"/>
          <w:w w:val="80"/>
          <w:position w:val="2"/>
          <w:sz w:val="20"/>
        </w:rPr>
        <w:t> </w:t>
      </w:r>
      <w:r>
        <w:rPr>
          <w:rFonts w:ascii="Arial" w:hAnsi="Arial"/>
          <w:color w:val="231F20"/>
          <w:w w:val="80"/>
          <w:position w:val="2"/>
          <w:sz w:val="20"/>
        </w:rPr>
        <w:t>Siglo</w:t>
      </w:r>
      <w:r>
        <w:rPr>
          <w:rFonts w:ascii="Arial" w:hAnsi="Arial"/>
          <w:color w:val="231F20"/>
          <w:spacing w:val="-14"/>
          <w:w w:val="80"/>
          <w:position w:val="2"/>
          <w:sz w:val="20"/>
        </w:rPr>
        <w:t> </w:t>
      </w:r>
      <w:r>
        <w:rPr>
          <w:rFonts w:ascii="Arial" w:hAnsi="Arial"/>
          <w:color w:val="231F20"/>
          <w:w w:val="80"/>
          <w:position w:val="2"/>
          <w:sz w:val="20"/>
        </w:rPr>
        <w:t>XXI:</w:t>
      </w:r>
      <w:r>
        <w:rPr>
          <w:rFonts w:ascii="Arial" w:hAnsi="Arial"/>
          <w:color w:val="231F20"/>
          <w:spacing w:val="-14"/>
          <w:w w:val="80"/>
          <w:position w:val="2"/>
          <w:sz w:val="20"/>
        </w:rPr>
        <w:t> </w:t>
      </w:r>
      <w:r>
        <w:rPr>
          <w:rFonts w:ascii="Arial" w:hAnsi="Arial"/>
          <w:color w:val="231F20"/>
          <w:w w:val="80"/>
          <w:position w:val="2"/>
          <w:sz w:val="20"/>
        </w:rPr>
        <w:t>Migración</w:t>
      </w:r>
      <w:r>
        <w:rPr>
          <w:rFonts w:ascii="Arial" w:hAnsi="Arial"/>
          <w:color w:val="231F20"/>
          <w:spacing w:val="-14"/>
          <w:w w:val="80"/>
          <w:position w:val="2"/>
          <w:sz w:val="20"/>
        </w:rPr>
        <w:t> </w:t>
      </w:r>
      <w:r>
        <w:rPr>
          <w:rFonts w:ascii="Arial" w:hAnsi="Arial"/>
          <w:color w:val="231F20"/>
          <w:w w:val="80"/>
          <w:position w:val="2"/>
          <w:sz w:val="20"/>
        </w:rPr>
        <w:t>Internacional</w:t>
        <w:tab/>
      </w:r>
      <w:r>
        <w:rPr>
          <w:color w:val="231F20"/>
          <w:w w:val="90"/>
          <w:sz w:val="18"/>
        </w:rPr>
        <w:t>CIEAP/UAEM</w:t>
      </w:r>
    </w:p>
    <w:p>
      <w:pPr>
        <w:pStyle w:val="BodyText"/>
        <w:spacing w:before="2"/>
        <w:rPr>
          <w:sz w:val="19"/>
        </w:rPr>
      </w:pPr>
    </w:p>
    <w:p>
      <w:pPr>
        <w:spacing w:line="252" w:lineRule="auto" w:before="81"/>
        <w:ind w:left="147" w:right="258" w:firstLine="0"/>
        <w:jc w:val="left"/>
        <w:rPr>
          <w:sz w:val="19"/>
        </w:rPr>
      </w:pPr>
      <w:r>
        <w:rPr/>
        <w:pict>
          <v:shape style="position:absolute;margin-left:70.865997pt;margin-top:38.599564pt;width:326pt;height:.1pt;mso-position-horizontal-relative:page;mso-position-vertical-relative:paragraph;z-index:2104" coordorigin="1417,772" coordsize="6520,0" path="m1417,772l2791,772m2791,772l2801,772m2801,772l4068,772m4068,772l4078,772m4078,772l5503,772m5503,772l5513,772m5513,772l6718,772m6718,772l6727,772m6727,772l7937,772e" filled="false" stroked="true" strokeweight=".48pt" strokecolor="#000000">
            <v:path arrowok="t"/>
            <w10:wrap type="none"/>
          </v:shape>
        </w:pict>
      </w:r>
      <w:r>
        <w:rPr>
          <w:w w:val="105"/>
          <w:sz w:val="19"/>
        </w:rPr>
        <w:t>Tabla 2. Coeficiente de la variable independiente en las líneas de tendencia de los saldos migratorios (estandarizados) de nacionales de los países andinos, por país nacionalidad, según país de destino</w:t>
      </w:r>
    </w:p>
    <w:p>
      <w:pPr>
        <w:spacing w:after="0" w:line="252" w:lineRule="auto"/>
        <w:jc w:val="left"/>
        <w:rPr>
          <w:sz w:val="19"/>
        </w:rPr>
        <w:sectPr>
          <w:pgSz w:w="9360" w:h="13040"/>
          <w:pgMar w:header="0" w:footer="496" w:top="820" w:bottom="680" w:left="1300" w:right="1300"/>
        </w:sectPr>
      </w:pPr>
    </w:p>
    <w:p>
      <w:pPr>
        <w:tabs>
          <w:tab w:pos="2110" w:val="left" w:leader="none"/>
        </w:tabs>
        <w:spacing w:before="11"/>
        <w:ind w:left="147" w:right="0" w:firstLine="0"/>
        <w:jc w:val="left"/>
        <w:rPr>
          <w:sz w:val="19"/>
        </w:rPr>
      </w:pPr>
      <w:r>
        <w:rPr/>
        <w:pict>
          <v:shape style="position:absolute;margin-left:70.865997pt;margin-top:13.017471pt;width:326pt;height:380.4pt;mso-position-horizontal-relative:page;mso-position-vertical-relative:paragraph;z-index:212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31"/>
                    <w:gridCol w:w="1318"/>
                    <w:gridCol w:w="1376"/>
                    <w:gridCol w:w="1216"/>
                    <w:gridCol w:w="1178"/>
                  </w:tblGrid>
                  <w:tr>
                    <w:trPr>
                      <w:trHeight w:val="221" w:hRule="exact"/>
                    </w:trPr>
                    <w:tc>
                      <w:tcPr>
                        <w:tcW w:w="1431" w:type="dxa"/>
                        <w:tcBorders>
                          <w:bottom w:val="double" w:sz="4" w:space="0" w:color="000000"/>
                        </w:tcBorders>
                      </w:tcPr>
                      <w:p>
                        <w:pPr/>
                      </w:p>
                    </w:tc>
                    <w:tc>
                      <w:tcPr>
                        <w:tcW w:w="1318" w:type="dxa"/>
                        <w:tcBorders>
                          <w:bottom w:val="double" w:sz="4" w:space="0" w:color="000000"/>
                        </w:tcBorders>
                      </w:tcPr>
                      <w:p>
                        <w:pPr>
                          <w:pStyle w:val="TableParagraph"/>
                          <w:spacing w:line="200" w:lineRule="exact"/>
                          <w:ind w:right="164"/>
                          <w:rPr>
                            <w:sz w:val="19"/>
                          </w:rPr>
                        </w:pPr>
                        <w:r>
                          <w:rPr>
                            <w:sz w:val="19"/>
                          </w:rPr>
                          <w:t>(2007-2010)</w:t>
                        </w:r>
                      </w:p>
                    </w:tc>
                    <w:tc>
                      <w:tcPr>
                        <w:tcW w:w="1376" w:type="dxa"/>
                        <w:tcBorders>
                          <w:bottom w:val="double" w:sz="4" w:space="0" w:color="000000"/>
                        </w:tcBorders>
                      </w:tcPr>
                      <w:p>
                        <w:pPr>
                          <w:pStyle w:val="TableParagraph"/>
                          <w:spacing w:line="199" w:lineRule="exact"/>
                          <w:ind w:right="108"/>
                          <w:rPr>
                            <w:sz w:val="19"/>
                          </w:rPr>
                        </w:pPr>
                        <w:r>
                          <w:rPr>
                            <w:sz w:val="19"/>
                          </w:rPr>
                          <w:t>(2007-2010)*</w:t>
                        </w:r>
                      </w:p>
                    </w:tc>
                    <w:tc>
                      <w:tcPr>
                        <w:tcW w:w="1216" w:type="dxa"/>
                        <w:tcBorders>
                          <w:bottom w:val="double" w:sz="4" w:space="0" w:color="000000"/>
                        </w:tcBorders>
                      </w:tcPr>
                      <w:p>
                        <w:pPr>
                          <w:pStyle w:val="TableParagraph"/>
                          <w:spacing w:line="200" w:lineRule="exact"/>
                          <w:ind w:right="105"/>
                          <w:rPr>
                            <w:sz w:val="19"/>
                          </w:rPr>
                        </w:pPr>
                        <w:r>
                          <w:rPr>
                            <w:sz w:val="19"/>
                          </w:rPr>
                          <w:t>(2006-2010)</w:t>
                        </w:r>
                      </w:p>
                    </w:tc>
                    <w:tc>
                      <w:tcPr>
                        <w:tcW w:w="1178" w:type="dxa"/>
                        <w:tcBorders>
                          <w:bottom w:val="double" w:sz="4" w:space="0" w:color="000000"/>
                        </w:tcBorders>
                      </w:tcPr>
                      <w:p>
                        <w:pPr>
                          <w:pStyle w:val="TableParagraph"/>
                          <w:spacing w:line="200" w:lineRule="exact"/>
                          <w:ind w:right="68"/>
                          <w:rPr>
                            <w:sz w:val="19"/>
                          </w:rPr>
                        </w:pPr>
                        <w:r>
                          <w:rPr>
                            <w:sz w:val="19"/>
                          </w:rPr>
                          <w:t>(2006-2011)</w:t>
                        </w:r>
                      </w:p>
                    </w:tc>
                  </w:tr>
                  <w:tr>
                    <w:trPr>
                      <w:trHeight w:val="252" w:hRule="exact"/>
                    </w:trPr>
                    <w:tc>
                      <w:tcPr>
                        <w:tcW w:w="1431" w:type="dxa"/>
                        <w:tcBorders>
                          <w:top w:val="double" w:sz="4" w:space="0" w:color="000000"/>
                        </w:tcBorders>
                      </w:tcPr>
                      <w:p>
                        <w:pPr>
                          <w:pStyle w:val="TableParagraph"/>
                          <w:spacing w:before="5"/>
                          <w:ind w:left="30"/>
                          <w:jc w:val="left"/>
                          <w:rPr>
                            <w:sz w:val="19"/>
                          </w:rPr>
                        </w:pPr>
                        <w:r>
                          <w:rPr>
                            <w:w w:val="105"/>
                            <w:sz w:val="19"/>
                          </w:rPr>
                          <w:t>Alemania</w:t>
                        </w:r>
                      </w:p>
                    </w:tc>
                    <w:tc>
                      <w:tcPr>
                        <w:tcW w:w="1318" w:type="dxa"/>
                        <w:tcBorders>
                          <w:top w:val="double" w:sz="4" w:space="0" w:color="000000"/>
                        </w:tcBorders>
                      </w:tcPr>
                      <w:p>
                        <w:pPr/>
                      </w:p>
                    </w:tc>
                    <w:tc>
                      <w:tcPr>
                        <w:tcW w:w="1376" w:type="dxa"/>
                        <w:tcBorders>
                          <w:top w:val="double" w:sz="4" w:space="0" w:color="000000"/>
                        </w:tcBorders>
                      </w:tcPr>
                      <w:p>
                        <w:pPr>
                          <w:pStyle w:val="TableParagraph"/>
                          <w:spacing w:before="5"/>
                          <w:ind w:right="107"/>
                          <w:rPr>
                            <w:sz w:val="19"/>
                          </w:rPr>
                        </w:pPr>
                        <w:r>
                          <w:rPr>
                            <w:sz w:val="19"/>
                          </w:rPr>
                          <w:t>0.180</w:t>
                        </w:r>
                      </w:p>
                    </w:tc>
                    <w:tc>
                      <w:tcPr>
                        <w:tcW w:w="1216" w:type="dxa"/>
                        <w:tcBorders>
                          <w:top w:val="double" w:sz="4" w:space="0" w:color="000000"/>
                        </w:tcBorders>
                      </w:tcPr>
                      <w:p>
                        <w:pPr>
                          <w:pStyle w:val="TableParagraph"/>
                          <w:spacing w:before="5"/>
                          <w:ind w:right="105"/>
                          <w:rPr>
                            <w:sz w:val="19"/>
                          </w:rPr>
                        </w:pPr>
                        <w:r>
                          <w:rPr>
                            <w:sz w:val="19"/>
                          </w:rPr>
                          <w:t>0.045</w:t>
                        </w:r>
                      </w:p>
                    </w:tc>
                    <w:tc>
                      <w:tcPr>
                        <w:tcW w:w="1178" w:type="dxa"/>
                        <w:tcBorders>
                          <w:top w:val="double" w:sz="4" w:space="0" w:color="000000"/>
                        </w:tcBorders>
                      </w:tcPr>
                      <w:p>
                        <w:pPr>
                          <w:pStyle w:val="TableParagraph"/>
                          <w:spacing w:before="5"/>
                          <w:ind w:right="69"/>
                          <w:rPr>
                            <w:sz w:val="19"/>
                          </w:rPr>
                        </w:pPr>
                        <w:r>
                          <w:rPr>
                            <w:sz w:val="19"/>
                          </w:rPr>
                          <w:t>-0.520</w:t>
                        </w:r>
                      </w:p>
                    </w:tc>
                  </w:tr>
                  <w:tr>
                    <w:trPr>
                      <w:trHeight w:val="230" w:hRule="exact"/>
                    </w:trPr>
                    <w:tc>
                      <w:tcPr>
                        <w:tcW w:w="1431" w:type="dxa"/>
                      </w:tcPr>
                      <w:p>
                        <w:pPr>
                          <w:pStyle w:val="TableParagraph"/>
                          <w:spacing w:line="216" w:lineRule="exact"/>
                          <w:ind w:left="30"/>
                          <w:jc w:val="left"/>
                          <w:rPr>
                            <w:sz w:val="19"/>
                          </w:rPr>
                        </w:pPr>
                        <w:r>
                          <w:rPr>
                            <w:w w:val="105"/>
                            <w:sz w:val="19"/>
                          </w:rPr>
                          <w:t>Argentina</w:t>
                        </w:r>
                      </w:p>
                    </w:tc>
                    <w:tc>
                      <w:tcPr>
                        <w:tcW w:w="1318" w:type="dxa"/>
                      </w:tcPr>
                      <w:p>
                        <w:pPr/>
                      </w:p>
                    </w:tc>
                    <w:tc>
                      <w:tcPr>
                        <w:tcW w:w="1376" w:type="dxa"/>
                      </w:tcPr>
                      <w:p>
                        <w:pPr>
                          <w:pStyle w:val="TableParagraph"/>
                          <w:spacing w:line="216" w:lineRule="exact"/>
                          <w:ind w:right="107"/>
                          <w:rPr>
                            <w:sz w:val="19"/>
                          </w:rPr>
                        </w:pPr>
                        <w:r>
                          <w:rPr>
                            <w:sz w:val="19"/>
                          </w:rPr>
                          <w:t>0.143</w:t>
                        </w:r>
                      </w:p>
                    </w:tc>
                    <w:tc>
                      <w:tcPr>
                        <w:tcW w:w="1216" w:type="dxa"/>
                      </w:tcPr>
                      <w:p>
                        <w:pPr>
                          <w:pStyle w:val="TableParagraph"/>
                          <w:spacing w:line="216" w:lineRule="exact"/>
                          <w:ind w:right="105"/>
                          <w:rPr>
                            <w:sz w:val="19"/>
                          </w:rPr>
                        </w:pPr>
                        <w:r>
                          <w:rPr>
                            <w:sz w:val="19"/>
                          </w:rPr>
                          <w:t>-0.226</w:t>
                        </w:r>
                      </w:p>
                    </w:tc>
                    <w:tc>
                      <w:tcPr>
                        <w:tcW w:w="1178" w:type="dxa"/>
                      </w:tcPr>
                      <w:p>
                        <w:pPr>
                          <w:pStyle w:val="TableParagraph"/>
                          <w:spacing w:line="216" w:lineRule="exact"/>
                          <w:ind w:right="69"/>
                          <w:rPr>
                            <w:sz w:val="19"/>
                          </w:rPr>
                        </w:pPr>
                        <w:r>
                          <w:rPr>
                            <w:sz w:val="19"/>
                          </w:rPr>
                          <w:t>-0.251</w:t>
                        </w:r>
                      </w:p>
                    </w:tc>
                  </w:tr>
                  <w:tr>
                    <w:trPr>
                      <w:trHeight w:val="230" w:hRule="exact"/>
                    </w:trPr>
                    <w:tc>
                      <w:tcPr>
                        <w:tcW w:w="1431" w:type="dxa"/>
                      </w:tcPr>
                      <w:p>
                        <w:pPr>
                          <w:pStyle w:val="TableParagraph"/>
                          <w:spacing w:line="216" w:lineRule="exact"/>
                          <w:ind w:left="30"/>
                          <w:jc w:val="left"/>
                          <w:rPr>
                            <w:sz w:val="19"/>
                          </w:rPr>
                        </w:pPr>
                        <w:r>
                          <w:rPr>
                            <w:w w:val="105"/>
                            <w:sz w:val="19"/>
                          </w:rPr>
                          <w:t>Aruba</w:t>
                        </w:r>
                      </w:p>
                    </w:tc>
                    <w:tc>
                      <w:tcPr>
                        <w:tcW w:w="1318" w:type="dxa"/>
                      </w:tcPr>
                      <w:p>
                        <w:pPr/>
                      </w:p>
                    </w:tc>
                    <w:tc>
                      <w:tcPr>
                        <w:tcW w:w="1376" w:type="dxa"/>
                      </w:tcPr>
                      <w:p>
                        <w:pPr>
                          <w:pStyle w:val="TableParagraph"/>
                          <w:spacing w:line="216" w:lineRule="exact"/>
                          <w:ind w:right="107"/>
                          <w:rPr>
                            <w:sz w:val="19"/>
                          </w:rPr>
                        </w:pPr>
                        <w:r>
                          <w:rPr>
                            <w:sz w:val="19"/>
                          </w:rPr>
                          <w:t>-0.768</w:t>
                        </w:r>
                      </w:p>
                    </w:tc>
                    <w:tc>
                      <w:tcPr>
                        <w:tcW w:w="1216" w:type="dxa"/>
                      </w:tcPr>
                      <w:p>
                        <w:pPr/>
                      </w:p>
                    </w:tc>
                    <w:tc>
                      <w:tcPr>
                        <w:tcW w:w="1178" w:type="dxa"/>
                      </w:tcPr>
                      <w:p>
                        <w:pPr/>
                      </w:p>
                    </w:tc>
                  </w:tr>
                  <w:tr>
                    <w:trPr>
                      <w:trHeight w:val="230" w:hRule="exact"/>
                    </w:trPr>
                    <w:tc>
                      <w:tcPr>
                        <w:tcW w:w="1431" w:type="dxa"/>
                      </w:tcPr>
                      <w:p>
                        <w:pPr>
                          <w:pStyle w:val="TableParagraph"/>
                          <w:spacing w:line="216" w:lineRule="exact"/>
                          <w:ind w:left="30"/>
                          <w:jc w:val="left"/>
                          <w:rPr>
                            <w:sz w:val="19"/>
                          </w:rPr>
                        </w:pPr>
                        <w:r>
                          <w:rPr>
                            <w:w w:val="105"/>
                            <w:sz w:val="19"/>
                          </w:rPr>
                          <w:t>Australia</w:t>
                        </w:r>
                      </w:p>
                    </w:tc>
                    <w:tc>
                      <w:tcPr>
                        <w:tcW w:w="1318" w:type="dxa"/>
                      </w:tcPr>
                      <w:p>
                        <w:pPr/>
                      </w:p>
                    </w:tc>
                    <w:tc>
                      <w:tcPr>
                        <w:tcW w:w="1376" w:type="dxa"/>
                      </w:tcPr>
                      <w:p>
                        <w:pPr>
                          <w:pStyle w:val="TableParagraph"/>
                          <w:spacing w:line="216" w:lineRule="exact"/>
                          <w:ind w:right="107"/>
                          <w:rPr>
                            <w:sz w:val="19"/>
                          </w:rPr>
                        </w:pPr>
                        <w:r>
                          <w:rPr>
                            <w:sz w:val="19"/>
                          </w:rPr>
                          <w:t>0.178</w:t>
                        </w:r>
                      </w:p>
                    </w:tc>
                    <w:tc>
                      <w:tcPr>
                        <w:tcW w:w="1216" w:type="dxa"/>
                      </w:tcPr>
                      <w:p>
                        <w:pPr/>
                      </w:p>
                    </w:tc>
                    <w:tc>
                      <w:tcPr>
                        <w:tcW w:w="1178" w:type="dxa"/>
                      </w:tcPr>
                      <w:p>
                        <w:pPr/>
                      </w:p>
                    </w:tc>
                  </w:tr>
                  <w:tr>
                    <w:trPr>
                      <w:trHeight w:val="230" w:hRule="exact"/>
                    </w:trPr>
                    <w:tc>
                      <w:tcPr>
                        <w:tcW w:w="1431" w:type="dxa"/>
                      </w:tcPr>
                      <w:p>
                        <w:pPr>
                          <w:pStyle w:val="TableParagraph"/>
                          <w:spacing w:line="216" w:lineRule="exact"/>
                          <w:ind w:left="30"/>
                          <w:jc w:val="left"/>
                          <w:rPr>
                            <w:sz w:val="19"/>
                          </w:rPr>
                        </w:pPr>
                        <w:r>
                          <w:rPr>
                            <w:w w:val="105"/>
                            <w:sz w:val="19"/>
                          </w:rPr>
                          <w:t>Bolivia</w:t>
                        </w:r>
                      </w:p>
                    </w:tc>
                    <w:tc>
                      <w:tcPr>
                        <w:tcW w:w="1318" w:type="dxa"/>
                      </w:tcPr>
                      <w:p>
                        <w:pPr/>
                      </w:p>
                    </w:tc>
                    <w:tc>
                      <w:tcPr>
                        <w:tcW w:w="1376" w:type="dxa"/>
                      </w:tcPr>
                      <w:p>
                        <w:pPr>
                          <w:pStyle w:val="TableParagraph"/>
                          <w:spacing w:line="216" w:lineRule="exact"/>
                          <w:ind w:right="107"/>
                          <w:rPr>
                            <w:sz w:val="19"/>
                          </w:rPr>
                        </w:pPr>
                        <w:r>
                          <w:rPr>
                            <w:sz w:val="19"/>
                          </w:rPr>
                          <w:t>0.051</w:t>
                        </w:r>
                      </w:p>
                    </w:tc>
                    <w:tc>
                      <w:tcPr>
                        <w:tcW w:w="1216" w:type="dxa"/>
                      </w:tcPr>
                      <w:p>
                        <w:pPr>
                          <w:pStyle w:val="TableParagraph"/>
                          <w:spacing w:line="216" w:lineRule="exact"/>
                          <w:ind w:right="105"/>
                          <w:rPr>
                            <w:sz w:val="19"/>
                          </w:rPr>
                        </w:pPr>
                        <w:r>
                          <w:rPr>
                            <w:sz w:val="19"/>
                          </w:rPr>
                          <w:t>-0.009</w:t>
                        </w:r>
                      </w:p>
                    </w:tc>
                    <w:tc>
                      <w:tcPr>
                        <w:tcW w:w="1178" w:type="dxa"/>
                      </w:tcPr>
                      <w:p>
                        <w:pPr>
                          <w:pStyle w:val="TableParagraph"/>
                          <w:spacing w:line="216" w:lineRule="exact"/>
                          <w:ind w:right="69"/>
                          <w:rPr>
                            <w:sz w:val="19"/>
                          </w:rPr>
                        </w:pPr>
                        <w:r>
                          <w:rPr>
                            <w:sz w:val="19"/>
                          </w:rPr>
                          <w:t>0.058</w:t>
                        </w:r>
                      </w:p>
                    </w:tc>
                  </w:tr>
                  <w:tr>
                    <w:trPr>
                      <w:trHeight w:val="230" w:hRule="exact"/>
                    </w:trPr>
                    <w:tc>
                      <w:tcPr>
                        <w:tcW w:w="1431" w:type="dxa"/>
                      </w:tcPr>
                      <w:p>
                        <w:pPr>
                          <w:pStyle w:val="TableParagraph"/>
                          <w:spacing w:line="216" w:lineRule="exact"/>
                          <w:ind w:left="30"/>
                          <w:jc w:val="left"/>
                          <w:rPr>
                            <w:sz w:val="19"/>
                          </w:rPr>
                        </w:pPr>
                        <w:r>
                          <w:rPr>
                            <w:w w:val="105"/>
                            <w:sz w:val="19"/>
                          </w:rPr>
                          <w:t>Brasil</w:t>
                        </w:r>
                      </w:p>
                    </w:tc>
                    <w:tc>
                      <w:tcPr>
                        <w:tcW w:w="1318" w:type="dxa"/>
                      </w:tcPr>
                      <w:p>
                        <w:pPr/>
                      </w:p>
                    </w:tc>
                    <w:tc>
                      <w:tcPr>
                        <w:tcW w:w="1376" w:type="dxa"/>
                      </w:tcPr>
                      <w:p>
                        <w:pPr>
                          <w:pStyle w:val="TableParagraph"/>
                          <w:spacing w:line="216" w:lineRule="exact"/>
                          <w:ind w:right="107"/>
                          <w:rPr>
                            <w:sz w:val="19"/>
                          </w:rPr>
                        </w:pPr>
                        <w:r>
                          <w:rPr>
                            <w:sz w:val="19"/>
                          </w:rPr>
                          <w:t>0.285</w:t>
                        </w:r>
                      </w:p>
                    </w:tc>
                    <w:tc>
                      <w:tcPr>
                        <w:tcW w:w="1216" w:type="dxa"/>
                      </w:tcPr>
                      <w:p>
                        <w:pPr>
                          <w:pStyle w:val="TableParagraph"/>
                          <w:spacing w:line="216" w:lineRule="exact"/>
                          <w:ind w:right="105"/>
                          <w:rPr>
                            <w:sz w:val="19"/>
                          </w:rPr>
                        </w:pPr>
                        <w:r>
                          <w:rPr>
                            <w:sz w:val="19"/>
                          </w:rPr>
                          <w:t>-0.024</w:t>
                        </w:r>
                      </w:p>
                    </w:tc>
                    <w:tc>
                      <w:tcPr>
                        <w:tcW w:w="1178" w:type="dxa"/>
                      </w:tcPr>
                      <w:p>
                        <w:pPr>
                          <w:pStyle w:val="TableParagraph"/>
                          <w:spacing w:line="216" w:lineRule="exact"/>
                          <w:ind w:right="69"/>
                          <w:rPr>
                            <w:sz w:val="19"/>
                          </w:rPr>
                        </w:pPr>
                        <w:r>
                          <w:rPr>
                            <w:sz w:val="19"/>
                          </w:rPr>
                          <w:t>-0.112</w:t>
                        </w:r>
                      </w:p>
                    </w:tc>
                  </w:tr>
                  <w:tr>
                    <w:trPr>
                      <w:trHeight w:val="228" w:hRule="exact"/>
                    </w:trPr>
                    <w:tc>
                      <w:tcPr>
                        <w:tcW w:w="1431" w:type="dxa"/>
                      </w:tcPr>
                      <w:p>
                        <w:pPr>
                          <w:pStyle w:val="TableParagraph"/>
                          <w:spacing w:line="216" w:lineRule="exact"/>
                          <w:ind w:left="30"/>
                          <w:jc w:val="left"/>
                          <w:rPr>
                            <w:sz w:val="19"/>
                          </w:rPr>
                        </w:pPr>
                        <w:r>
                          <w:rPr>
                            <w:w w:val="105"/>
                            <w:sz w:val="19"/>
                          </w:rPr>
                          <w:t>Canadá</w:t>
                        </w:r>
                      </w:p>
                    </w:tc>
                    <w:tc>
                      <w:tcPr>
                        <w:tcW w:w="1318" w:type="dxa"/>
                      </w:tcPr>
                      <w:p>
                        <w:pPr/>
                      </w:p>
                    </w:tc>
                    <w:tc>
                      <w:tcPr>
                        <w:tcW w:w="1376" w:type="dxa"/>
                      </w:tcPr>
                      <w:p>
                        <w:pPr>
                          <w:pStyle w:val="TableParagraph"/>
                          <w:spacing w:line="216" w:lineRule="exact"/>
                          <w:ind w:right="107"/>
                          <w:rPr>
                            <w:sz w:val="19"/>
                          </w:rPr>
                        </w:pPr>
                        <w:r>
                          <w:rPr>
                            <w:sz w:val="19"/>
                          </w:rPr>
                          <w:t>0.126</w:t>
                        </w:r>
                      </w:p>
                    </w:tc>
                    <w:tc>
                      <w:tcPr>
                        <w:tcW w:w="1216" w:type="dxa"/>
                      </w:tcPr>
                      <w:p>
                        <w:pPr>
                          <w:pStyle w:val="TableParagraph"/>
                          <w:spacing w:line="216" w:lineRule="exact"/>
                          <w:ind w:right="105"/>
                          <w:rPr>
                            <w:sz w:val="19"/>
                          </w:rPr>
                        </w:pPr>
                        <w:r>
                          <w:rPr>
                            <w:sz w:val="19"/>
                          </w:rPr>
                          <w:t>0.029</w:t>
                        </w:r>
                      </w:p>
                    </w:tc>
                    <w:tc>
                      <w:tcPr>
                        <w:tcW w:w="1178" w:type="dxa"/>
                      </w:tcPr>
                      <w:p>
                        <w:pPr>
                          <w:pStyle w:val="TableParagraph"/>
                          <w:spacing w:line="216" w:lineRule="exact"/>
                          <w:ind w:right="69"/>
                          <w:rPr>
                            <w:sz w:val="19"/>
                          </w:rPr>
                        </w:pPr>
                        <w:r>
                          <w:rPr>
                            <w:sz w:val="19"/>
                          </w:rPr>
                          <w:t>0.051</w:t>
                        </w:r>
                      </w:p>
                    </w:tc>
                  </w:tr>
                  <w:tr>
                    <w:trPr>
                      <w:trHeight w:val="228" w:hRule="exact"/>
                    </w:trPr>
                    <w:tc>
                      <w:tcPr>
                        <w:tcW w:w="1431" w:type="dxa"/>
                      </w:tcPr>
                      <w:p>
                        <w:pPr>
                          <w:pStyle w:val="TableParagraph"/>
                          <w:spacing w:line="214" w:lineRule="exact"/>
                          <w:ind w:left="30"/>
                          <w:jc w:val="left"/>
                          <w:rPr>
                            <w:sz w:val="19"/>
                          </w:rPr>
                        </w:pPr>
                        <w:r>
                          <w:rPr>
                            <w:w w:val="105"/>
                            <w:sz w:val="19"/>
                          </w:rPr>
                          <w:t>Chile</w:t>
                        </w:r>
                      </w:p>
                    </w:tc>
                    <w:tc>
                      <w:tcPr>
                        <w:tcW w:w="1318" w:type="dxa"/>
                      </w:tcPr>
                      <w:p>
                        <w:pPr/>
                      </w:p>
                    </w:tc>
                    <w:tc>
                      <w:tcPr>
                        <w:tcW w:w="1376" w:type="dxa"/>
                      </w:tcPr>
                      <w:p>
                        <w:pPr>
                          <w:pStyle w:val="TableParagraph"/>
                          <w:spacing w:line="214" w:lineRule="exact"/>
                          <w:ind w:right="107"/>
                          <w:rPr>
                            <w:sz w:val="19"/>
                          </w:rPr>
                        </w:pPr>
                        <w:r>
                          <w:rPr>
                            <w:sz w:val="19"/>
                          </w:rPr>
                          <w:t>0.137</w:t>
                        </w:r>
                      </w:p>
                    </w:tc>
                    <w:tc>
                      <w:tcPr>
                        <w:tcW w:w="1216" w:type="dxa"/>
                      </w:tcPr>
                      <w:p>
                        <w:pPr>
                          <w:pStyle w:val="TableParagraph"/>
                          <w:spacing w:line="214" w:lineRule="exact"/>
                          <w:ind w:right="105"/>
                          <w:rPr>
                            <w:sz w:val="19"/>
                          </w:rPr>
                        </w:pPr>
                        <w:r>
                          <w:rPr>
                            <w:sz w:val="19"/>
                          </w:rPr>
                          <w:t>0.223</w:t>
                        </w:r>
                      </w:p>
                    </w:tc>
                    <w:tc>
                      <w:tcPr>
                        <w:tcW w:w="1178" w:type="dxa"/>
                      </w:tcPr>
                      <w:p>
                        <w:pPr>
                          <w:pStyle w:val="TableParagraph"/>
                          <w:spacing w:line="214" w:lineRule="exact"/>
                          <w:ind w:right="69"/>
                          <w:rPr>
                            <w:sz w:val="19"/>
                          </w:rPr>
                        </w:pPr>
                        <w:r>
                          <w:rPr>
                            <w:sz w:val="19"/>
                          </w:rPr>
                          <w:t>0.159</w:t>
                        </w:r>
                      </w:p>
                    </w:tc>
                  </w:tr>
                  <w:tr>
                    <w:trPr>
                      <w:trHeight w:val="230" w:hRule="exact"/>
                    </w:trPr>
                    <w:tc>
                      <w:tcPr>
                        <w:tcW w:w="1431" w:type="dxa"/>
                      </w:tcPr>
                      <w:p>
                        <w:pPr>
                          <w:pStyle w:val="TableParagraph"/>
                          <w:spacing w:line="216" w:lineRule="exact"/>
                          <w:ind w:left="30"/>
                          <w:jc w:val="left"/>
                          <w:rPr>
                            <w:sz w:val="19"/>
                          </w:rPr>
                        </w:pPr>
                        <w:r>
                          <w:rPr>
                            <w:w w:val="105"/>
                            <w:sz w:val="19"/>
                          </w:rPr>
                          <w:t>Colombia</w:t>
                        </w:r>
                      </w:p>
                    </w:tc>
                    <w:tc>
                      <w:tcPr>
                        <w:tcW w:w="1318" w:type="dxa"/>
                      </w:tcPr>
                      <w:p>
                        <w:pPr>
                          <w:pStyle w:val="TableParagraph"/>
                          <w:spacing w:line="216" w:lineRule="exact"/>
                          <w:ind w:right="165"/>
                          <w:rPr>
                            <w:sz w:val="19"/>
                          </w:rPr>
                        </w:pPr>
                        <w:r>
                          <w:rPr>
                            <w:sz w:val="19"/>
                          </w:rPr>
                          <w:t>0.188</w:t>
                        </w:r>
                      </w:p>
                    </w:tc>
                    <w:tc>
                      <w:tcPr>
                        <w:tcW w:w="1376" w:type="dxa"/>
                      </w:tcPr>
                      <w:p>
                        <w:pPr/>
                      </w:p>
                    </w:tc>
                    <w:tc>
                      <w:tcPr>
                        <w:tcW w:w="1216" w:type="dxa"/>
                      </w:tcPr>
                      <w:p>
                        <w:pPr>
                          <w:pStyle w:val="TableParagraph"/>
                          <w:spacing w:line="216" w:lineRule="exact"/>
                          <w:ind w:right="105"/>
                          <w:rPr>
                            <w:sz w:val="19"/>
                          </w:rPr>
                        </w:pPr>
                        <w:r>
                          <w:rPr>
                            <w:sz w:val="19"/>
                          </w:rPr>
                          <w:t>1.995</w:t>
                        </w:r>
                      </w:p>
                    </w:tc>
                    <w:tc>
                      <w:tcPr>
                        <w:tcW w:w="1178" w:type="dxa"/>
                      </w:tcPr>
                      <w:p>
                        <w:pPr>
                          <w:pStyle w:val="TableParagraph"/>
                          <w:spacing w:line="216" w:lineRule="exact"/>
                          <w:ind w:right="69"/>
                          <w:rPr>
                            <w:sz w:val="19"/>
                          </w:rPr>
                        </w:pPr>
                        <w:r>
                          <w:rPr>
                            <w:sz w:val="19"/>
                          </w:rPr>
                          <w:t>17.480</w:t>
                        </w:r>
                      </w:p>
                    </w:tc>
                  </w:tr>
                  <w:tr>
                    <w:trPr>
                      <w:trHeight w:val="230" w:hRule="exact"/>
                    </w:trPr>
                    <w:tc>
                      <w:tcPr>
                        <w:tcW w:w="1431" w:type="dxa"/>
                      </w:tcPr>
                      <w:p>
                        <w:pPr>
                          <w:pStyle w:val="TableParagraph"/>
                          <w:spacing w:line="216" w:lineRule="exact"/>
                          <w:ind w:left="30"/>
                          <w:jc w:val="left"/>
                          <w:rPr>
                            <w:sz w:val="19"/>
                          </w:rPr>
                        </w:pPr>
                        <w:r>
                          <w:rPr>
                            <w:w w:val="105"/>
                            <w:sz w:val="19"/>
                          </w:rPr>
                          <w:t>Costa Rica</w:t>
                        </w:r>
                      </w:p>
                    </w:tc>
                    <w:tc>
                      <w:tcPr>
                        <w:tcW w:w="1318" w:type="dxa"/>
                      </w:tcPr>
                      <w:p>
                        <w:pPr/>
                      </w:p>
                    </w:tc>
                    <w:tc>
                      <w:tcPr>
                        <w:tcW w:w="1376" w:type="dxa"/>
                      </w:tcPr>
                      <w:p>
                        <w:pPr>
                          <w:pStyle w:val="TableParagraph"/>
                          <w:spacing w:line="216" w:lineRule="exact"/>
                          <w:ind w:right="107"/>
                          <w:rPr>
                            <w:sz w:val="19"/>
                          </w:rPr>
                        </w:pPr>
                        <w:r>
                          <w:rPr>
                            <w:sz w:val="19"/>
                          </w:rPr>
                          <w:t>-0.260</w:t>
                        </w:r>
                      </w:p>
                    </w:tc>
                    <w:tc>
                      <w:tcPr>
                        <w:tcW w:w="1216" w:type="dxa"/>
                      </w:tcPr>
                      <w:p>
                        <w:pPr>
                          <w:pStyle w:val="TableParagraph"/>
                          <w:spacing w:line="216" w:lineRule="exact"/>
                          <w:ind w:right="105"/>
                          <w:rPr>
                            <w:sz w:val="19"/>
                          </w:rPr>
                        </w:pPr>
                        <w:r>
                          <w:rPr>
                            <w:sz w:val="19"/>
                          </w:rPr>
                          <w:t>0.001</w:t>
                        </w:r>
                      </w:p>
                    </w:tc>
                    <w:tc>
                      <w:tcPr>
                        <w:tcW w:w="1178" w:type="dxa"/>
                      </w:tcPr>
                      <w:p>
                        <w:pPr>
                          <w:pStyle w:val="TableParagraph"/>
                          <w:spacing w:line="216" w:lineRule="exact"/>
                          <w:ind w:right="69"/>
                          <w:rPr>
                            <w:sz w:val="19"/>
                          </w:rPr>
                        </w:pPr>
                        <w:r>
                          <w:rPr>
                            <w:sz w:val="19"/>
                          </w:rPr>
                          <w:t>0.907</w:t>
                        </w:r>
                      </w:p>
                    </w:tc>
                  </w:tr>
                  <w:tr>
                    <w:trPr>
                      <w:trHeight w:val="230" w:hRule="exact"/>
                    </w:trPr>
                    <w:tc>
                      <w:tcPr>
                        <w:tcW w:w="1431" w:type="dxa"/>
                      </w:tcPr>
                      <w:p>
                        <w:pPr>
                          <w:pStyle w:val="TableParagraph"/>
                          <w:spacing w:line="216" w:lineRule="exact"/>
                          <w:ind w:left="30"/>
                          <w:jc w:val="left"/>
                          <w:rPr>
                            <w:sz w:val="19"/>
                          </w:rPr>
                        </w:pPr>
                        <w:r>
                          <w:rPr>
                            <w:w w:val="105"/>
                            <w:sz w:val="19"/>
                          </w:rPr>
                          <w:t>Cuba</w:t>
                        </w:r>
                      </w:p>
                    </w:tc>
                    <w:tc>
                      <w:tcPr>
                        <w:tcW w:w="1318" w:type="dxa"/>
                      </w:tcPr>
                      <w:p>
                        <w:pPr/>
                      </w:p>
                    </w:tc>
                    <w:tc>
                      <w:tcPr>
                        <w:tcW w:w="1376" w:type="dxa"/>
                      </w:tcPr>
                      <w:p>
                        <w:pPr>
                          <w:pStyle w:val="TableParagraph"/>
                          <w:spacing w:line="216" w:lineRule="exact"/>
                          <w:ind w:right="107"/>
                          <w:rPr>
                            <w:sz w:val="19"/>
                          </w:rPr>
                        </w:pPr>
                        <w:r>
                          <w:rPr>
                            <w:sz w:val="19"/>
                          </w:rPr>
                          <w:t>0.151</w:t>
                        </w:r>
                      </w:p>
                    </w:tc>
                    <w:tc>
                      <w:tcPr>
                        <w:tcW w:w="1216" w:type="dxa"/>
                      </w:tcPr>
                      <w:p>
                        <w:pPr>
                          <w:pStyle w:val="TableParagraph"/>
                          <w:spacing w:line="216" w:lineRule="exact"/>
                          <w:ind w:right="105"/>
                          <w:rPr>
                            <w:sz w:val="19"/>
                          </w:rPr>
                        </w:pPr>
                        <w:r>
                          <w:rPr>
                            <w:sz w:val="19"/>
                          </w:rPr>
                          <w:t>0.036</w:t>
                        </w:r>
                      </w:p>
                    </w:tc>
                    <w:tc>
                      <w:tcPr>
                        <w:tcW w:w="1178" w:type="dxa"/>
                      </w:tcPr>
                      <w:p>
                        <w:pPr>
                          <w:pStyle w:val="TableParagraph"/>
                          <w:spacing w:line="216" w:lineRule="exact"/>
                          <w:ind w:right="69"/>
                          <w:rPr>
                            <w:sz w:val="19"/>
                          </w:rPr>
                        </w:pPr>
                        <w:r>
                          <w:rPr>
                            <w:sz w:val="19"/>
                          </w:rPr>
                          <w:t>-0.170</w:t>
                        </w:r>
                      </w:p>
                    </w:tc>
                  </w:tr>
                  <w:tr>
                    <w:trPr>
                      <w:trHeight w:val="230" w:hRule="exact"/>
                    </w:trPr>
                    <w:tc>
                      <w:tcPr>
                        <w:tcW w:w="1431" w:type="dxa"/>
                      </w:tcPr>
                      <w:p>
                        <w:pPr>
                          <w:pStyle w:val="TableParagraph"/>
                          <w:spacing w:line="216" w:lineRule="exact"/>
                          <w:ind w:left="30"/>
                          <w:jc w:val="left"/>
                          <w:rPr>
                            <w:sz w:val="19"/>
                          </w:rPr>
                        </w:pPr>
                        <w:r>
                          <w:rPr>
                            <w:w w:val="105"/>
                            <w:sz w:val="19"/>
                          </w:rPr>
                          <w:t>Curazao</w:t>
                        </w:r>
                      </w:p>
                    </w:tc>
                    <w:tc>
                      <w:tcPr>
                        <w:tcW w:w="1318" w:type="dxa"/>
                      </w:tcPr>
                      <w:p>
                        <w:pPr/>
                      </w:p>
                    </w:tc>
                    <w:tc>
                      <w:tcPr>
                        <w:tcW w:w="1376" w:type="dxa"/>
                      </w:tcPr>
                      <w:p>
                        <w:pPr>
                          <w:pStyle w:val="TableParagraph"/>
                          <w:spacing w:line="216" w:lineRule="exact"/>
                          <w:ind w:right="107"/>
                          <w:rPr>
                            <w:sz w:val="19"/>
                          </w:rPr>
                        </w:pPr>
                        <w:r>
                          <w:rPr>
                            <w:sz w:val="19"/>
                          </w:rPr>
                          <w:t>-1.790</w:t>
                        </w:r>
                      </w:p>
                    </w:tc>
                    <w:tc>
                      <w:tcPr>
                        <w:tcW w:w="1216" w:type="dxa"/>
                      </w:tcPr>
                      <w:p>
                        <w:pPr/>
                      </w:p>
                    </w:tc>
                    <w:tc>
                      <w:tcPr>
                        <w:tcW w:w="1178" w:type="dxa"/>
                      </w:tcPr>
                      <w:p>
                        <w:pPr/>
                      </w:p>
                    </w:tc>
                  </w:tr>
                  <w:tr>
                    <w:trPr>
                      <w:trHeight w:val="230" w:hRule="exact"/>
                    </w:trPr>
                    <w:tc>
                      <w:tcPr>
                        <w:tcW w:w="1431" w:type="dxa"/>
                      </w:tcPr>
                      <w:p>
                        <w:pPr>
                          <w:pStyle w:val="TableParagraph"/>
                          <w:spacing w:line="216" w:lineRule="exact"/>
                          <w:ind w:left="30"/>
                          <w:jc w:val="left"/>
                          <w:rPr>
                            <w:sz w:val="19"/>
                          </w:rPr>
                        </w:pPr>
                        <w:r>
                          <w:rPr>
                            <w:w w:val="105"/>
                            <w:sz w:val="19"/>
                          </w:rPr>
                          <w:t>Ecuador</w:t>
                        </w:r>
                      </w:p>
                    </w:tc>
                    <w:tc>
                      <w:tcPr>
                        <w:tcW w:w="1318" w:type="dxa"/>
                      </w:tcPr>
                      <w:p>
                        <w:pPr>
                          <w:pStyle w:val="TableParagraph"/>
                          <w:spacing w:line="216" w:lineRule="exact"/>
                          <w:ind w:right="165"/>
                          <w:rPr>
                            <w:sz w:val="19"/>
                          </w:rPr>
                        </w:pPr>
                        <w:r>
                          <w:rPr>
                            <w:sz w:val="19"/>
                          </w:rPr>
                          <w:t>-0.650</w:t>
                        </w:r>
                      </w:p>
                    </w:tc>
                    <w:tc>
                      <w:tcPr>
                        <w:tcW w:w="1376" w:type="dxa"/>
                      </w:tcPr>
                      <w:p>
                        <w:pPr>
                          <w:pStyle w:val="TableParagraph"/>
                          <w:spacing w:line="216" w:lineRule="exact"/>
                          <w:ind w:right="107"/>
                          <w:rPr>
                            <w:sz w:val="19"/>
                          </w:rPr>
                        </w:pPr>
                        <w:r>
                          <w:rPr>
                            <w:sz w:val="19"/>
                          </w:rPr>
                          <w:t>0.220</w:t>
                        </w:r>
                      </w:p>
                    </w:tc>
                    <w:tc>
                      <w:tcPr>
                        <w:tcW w:w="1216" w:type="dxa"/>
                      </w:tcPr>
                      <w:p>
                        <w:pPr/>
                      </w:p>
                    </w:tc>
                    <w:tc>
                      <w:tcPr>
                        <w:tcW w:w="1178" w:type="dxa"/>
                      </w:tcPr>
                      <w:p>
                        <w:pPr>
                          <w:pStyle w:val="TableParagraph"/>
                          <w:spacing w:line="216" w:lineRule="exact"/>
                          <w:ind w:right="69"/>
                          <w:rPr>
                            <w:sz w:val="19"/>
                          </w:rPr>
                        </w:pPr>
                        <w:r>
                          <w:rPr>
                            <w:sz w:val="19"/>
                          </w:rPr>
                          <w:t>0.109</w:t>
                        </w:r>
                      </w:p>
                    </w:tc>
                  </w:tr>
                  <w:tr>
                    <w:trPr>
                      <w:trHeight w:val="230" w:hRule="exact"/>
                    </w:trPr>
                    <w:tc>
                      <w:tcPr>
                        <w:tcW w:w="1431" w:type="dxa"/>
                      </w:tcPr>
                      <w:p>
                        <w:pPr>
                          <w:pStyle w:val="TableParagraph"/>
                          <w:spacing w:line="216" w:lineRule="exact"/>
                          <w:ind w:left="30"/>
                          <w:jc w:val="left"/>
                          <w:rPr>
                            <w:sz w:val="19"/>
                          </w:rPr>
                        </w:pPr>
                        <w:r>
                          <w:rPr>
                            <w:w w:val="105"/>
                            <w:sz w:val="19"/>
                          </w:rPr>
                          <w:t>El Salvador</w:t>
                        </w:r>
                      </w:p>
                    </w:tc>
                    <w:tc>
                      <w:tcPr>
                        <w:tcW w:w="1318" w:type="dxa"/>
                      </w:tcPr>
                      <w:p>
                        <w:pPr/>
                      </w:p>
                    </w:tc>
                    <w:tc>
                      <w:tcPr>
                        <w:tcW w:w="1376" w:type="dxa"/>
                      </w:tcPr>
                      <w:p>
                        <w:pPr>
                          <w:pStyle w:val="TableParagraph"/>
                          <w:spacing w:line="216" w:lineRule="exact"/>
                          <w:ind w:right="107"/>
                          <w:rPr>
                            <w:sz w:val="19"/>
                          </w:rPr>
                        </w:pPr>
                        <w:r>
                          <w:rPr>
                            <w:sz w:val="19"/>
                          </w:rPr>
                          <w:t>1.921</w:t>
                        </w:r>
                      </w:p>
                    </w:tc>
                    <w:tc>
                      <w:tcPr>
                        <w:tcW w:w="1216" w:type="dxa"/>
                      </w:tcPr>
                      <w:p>
                        <w:pPr/>
                      </w:p>
                    </w:tc>
                    <w:tc>
                      <w:tcPr>
                        <w:tcW w:w="1178" w:type="dxa"/>
                      </w:tcPr>
                      <w:p>
                        <w:pPr>
                          <w:pStyle w:val="TableParagraph"/>
                          <w:spacing w:line="216" w:lineRule="exact"/>
                          <w:ind w:right="69"/>
                          <w:rPr>
                            <w:sz w:val="19"/>
                          </w:rPr>
                        </w:pPr>
                        <w:r>
                          <w:rPr>
                            <w:sz w:val="19"/>
                          </w:rPr>
                          <w:t>0.847</w:t>
                        </w:r>
                      </w:p>
                    </w:tc>
                  </w:tr>
                  <w:tr>
                    <w:trPr>
                      <w:trHeight w:val="230" w:hRule="exact"/>
                    </w:trPr>
                    <w:tc>
                      <w:tcPr>
                        <w:tcW w:w="1431" w:type="dxa"/>
                      </w:tcPr>
                      <w:p>
                        <w:pPr>
                          <w:pStyle w:val="TableParagraph"/>
                          <w:spacing w:line="216" w:lineRule="exact"/>
                          <w:ind w:left="30"/>
                          <w:jc w:val="left"/>
                          <w:rPr>
                            <w:sz w:val="19"/>
                          </w:rPr>
                        </w:pPr>
                        <w:r>
                          <w:rPr>
                            <w:w w:val="105"/>
                            <w:sz w:val="19"/>
                          </w:rPr>
                          <w:t>España</w:t>
                        </w:r>
                      </w:p>
                    </w:tc>
                    <w:tc>
                      <w:tcPr>
                        <w:tcW w:w="1318" w:type="dxa"/>
                      </w:tcPr>
                      <w:p>
                        <w:pPr/>
                      </w:p>
                    </w:tc>
                    <w:tc>
                      <w:tcPr>
                        <w:tcW w:w="1376" w:type="dxa"/>
                      </w:tcPr>
                      <w:p>
                        <w:pPr>
                          <w:pStyle w:val="TableParagraph"/>
                          <w:spacing w:line="216" w:lineRule="exact"/>
                          <w:ind w:right="107"/>
                          <w:rPr>
                            <w:sz w:val="19"/>
                          </w:rPr>
                        </w:pPr>
                        <w:r>
                          <w:rPr>
                            <w:sz w:val="19"/>
                          </w:rPr>
                          <w:t>2.000</w:t>
                        </w:r>
                      </w:p>
                    </w:tc>
                    <w:tc>
                      <w:tcPr>
                        <w:tcW w:w="1216" w:type="dxa"/>
                      </w:tcPr>
                      <w:p>
                        <w:pPr>
                          <w:pStyle w:val="TableParagraph"/>
                          <w:spacing w:line="216" w:lineRule="exact"/>
                          <w:ind w:right="105"/>
                          <w:rPr>
                            <w:sz w:val="19"/>
                          </w:rPr>
                        </w:pPr>
                        <w:r>
                          <w:rPr>
                            <w:sz w:val="19"/>
                          </w:rPr>
                          <w:t>1.230</w:t>
                        </w:r>
                      </w:p>
                    </w:tc>
                    <w:tc>
                      <w:tcPr>
                        <w:tcW w:w="1178" w:type="dxa"/>
                      </w:tcPr>
                      <w:p>
                        <w:pPr>
                          <w:pStyle w:val="TableParagraph"/>
                          <w:spacing w:line="216" w:lineRule="exact"/>
                          <w:ind w:right="69"/>
                          <w:rPr>
                            <w:sz w:val="19"/>
                          </w:rPr>
                        </w:pPr>
                        <w:r>
                          <w:rPr>
                            <w:sz w:val="19"/>
                          </w:rPr>
                          <w:t>0.223</w:t>
                        </w:r>
                      </w:p>
                    </w:tc>
                  </w:tr>
                  <w:tr>
                    <w:trPr>
                      <w:trHeight w:val="230" w:hRule="exact"/>
                    </w:trPr>
                    <w:tc>
                      <w:tcPr>
                        <w:tcW w:w="1431" w:type="dxa"/>
                      </w:tcPr>
                      <w:p>
                        <w:pPr>
                          <w:pStyle w:val="TableParagraph"/>
                          <w:spacing w:line="216" w:lineRule="exact"/>
                          <w:ind w:left="30"/>
                          <w:jc w:val="left"/>
                          <w:rPr>
                            <w:sz w:val="19"/>
                          </w:rPr>
                        </w:pPr>
                        <w:r>
                          <w:rPr>
                            <w:w w:val="105"/>
                            <w:sz w:val="19"/>
                          </w:rPr>
                          <w:t>Estados Unidos</w:t>
                        </w:r>
                      </w:p>
                    </w:tc>
                    <w:tc>
                      <w:tcPr>
                        <w:tcW w:w="1318" w:type="dxa"/>
                      </w:tcPr>
                      <w:p>
                        <w:pPr/>
                      </w:p>
                    </w:tc>
                    <w:tc>
                      <w:tcPr>
                        <w:tcW w:w="1376" w:type="dxa"/>
                      </w:tcPr>
                      <w:p>
                        <w:pPr>
                          <w:pStyle w:val="TableParagraph"/>
                          <w:spacing w:line="216" w:lineRule="exact"/>
                          <w:ind w:right="107"/>
                          <w:rPr>
                            <w:sz w:val="19"/>
                          </w:rPr>
                        </w:pPr>
                        <w:r>
                          <w:rPr>
                            <w:sz w:val="19"/>
                          </w:rPr>
                          <w:t>0.190</w:t>
                        </w:r>
                      </w:p>
                    </w:tc>
                    <w:tc>
                      <w:tcPr>
                        <w:tcW w:w="1216" w:type="dxa"/>
                      </w:tcPr>
                      <w:p>
                        <w:pPr>
                          <w:pStyle w:val="TableParagraph"/>
                          <w:spacing w:line="216" w:lineRule="exact"/>
                          <w:ind w:right="105"/>
                          <w:rPr>
                            <w:sz w:val="19"/>
                          </w:rPr>
                        </w:pPr>
                        <w:r>
                          <w:rPr>
                            <w:sz w:val="19"/>
                          </w:rPr>
                          <w:t>0.026</w:t>
                        </w:r>
                      </w:p>
                    </w:tc>
                    <w:tc>
                      <w:tcPr>
                        <w:tcW w:w="1178" w:type="dxa"/>
                      </w:tcPr>
                      <w:p>
                        <w:pPr>
                          <w:pStyle w:val="TableParagraph"/>
                          <w:spacing w:line="216" w:lineRule="exact"/>
                          <w:ind w:right="69"/>
                          <w:rPr>
                            <w:sz w:val="19"/>
                          </w:rPr>
                        </w:pPr>
                        <w:r>
                          <w:rPr>
                            <w:sz w:val="19"/>
                          </w:rPr>
                          <w:t>0.155</w:t>
                        </w:r>
                      </w:p>
                    </w:tc>
                  </w:tr>
                  <w:tr>
                    <w:trPr>
                      <w:trHeight w:val="230" w:hRule="exact"/>
                    </w:trPr>
                    <w:tc>
                      <w:tcPr>
                        <w:tcW w:w="1431" w:type="dxa"/>
                      </w:tcPr>
                      <w:p>
                        <w:pPr>
                          <w:pStyle w:val="TableParagraph"/>
                          <w:spacing w:line="216" w:lineRule="exact"/>
                          <w:ind w:left="30"/>
                          <w:jc w:val="left"/>
                          <w:rPr>
                            <w:sz w:val="19"/>
                          </w:rPr>
                        </w:pPr>
                        <w:r>
                          <w:rPr>
                            <w:w w:val="105"/>
                            <w:sz w:val="19"/>
                          </w:rPr>
                          <w:t>Francia</w:t>
                        </w:r>
                      </w:p>
                    </w:tc>
                    <w:tc>
                      <w:tcPr>
                        <w:tcW w:w="1318" w:type="dxa"/>
                      </w:tcPr>
                      <w:p>
                        <w:pPr/>
                      </w:p>
                    </w:tc>
                    <w:tc>
                      <w:tcPr>
                        <w:tcW w:w="1376" w:type="dxa"/>
                      </w:tcPr>
                      <w:p>
                        <w:pPr>
                          <w:pStyle w:val="TableParagraph"/>
                          <w:spacing w:line="216" w:lineRule="exact"/>
                          <w:ind w:right="107"/>
                          <w:rPr>
                            <w:sz w:val="19"/>
                          </w:rPr>
                        </w:pPr>
                        <w:r>
                          <w:rPr>
                            <w:sz w:val="19"/>
                          </w:rPr>
                          <w:t>-0.197</w:t>
                        </w:r>
                      </w:p>
                    </w:tc>
                    <w:tc>
                      <w:tcPr>
                        <w:tcW w:w="1216" w:type="dxa"/>
                      </w:tcPr>
                      <w:p>
                        <w:pPr>
                          <w:pStyle w:val="TableParagraph"/>
                          <w:spacing w:line="216" w:lineRule="exact"/>
                          <w:ind w:right="105"/>
                          <w:rPr>
                            <w:sz w:val="19"/>
                          </w:rPr>
                        </w:pPr>
                        <w:r>
                          <w:rPr>
                            <w:sz w:val="19"/>
                          </w:rPr>
                          <w:t>-0.065</w:t>
                        </w:r>
                      </w:p>
                    </w:tc>
                    <w:tc>
                      <w:tcPr>
                        <w:tcW w:w="1178" w:type="dxa"/>
                      </w:tcPr>
                      <w:p>
                        <w:pPr>
                          <w:pStyle w:val="TableParagraph"/>
                          <w:spacing w:line="216" w:lineRule="exact"/>
                          <w:ind w:right="69"/>
                          <w:rPr>
                            <w:sz w:val="19"/>
                          </w:rPr>
                        </w:pPr>
                        <w:r>
                          <w:rPr>
                            <w:sz w:val="19"/>
                          </w:rPr>
                          <w:t>0.010</w:t>
                        </w:r>
                      </w:p>
                    </w:tc>
                  </w:tr>
                  <w:tr>
                    <w:trPr>
                      <w:trHeight w:val="230" w:hRule="exact"/>
                    </w:trPr>
                    <w:tc>
                      <w:tcPr>
                        <w:tcW w:w="1431" w:type="dxa"/>
                      </w:tcPr>
                      <w:p>
                        <w:pPr>
                          <w:pStyle w:val="TableParagraph"/>
                          <w:spacing w:line="216" w:lineRule="exact"/>
                          <w:ind w:left="30"/>
                          <w:jc w:val="left"/>
                          <w:rPr>
                            <w:sz w:val="19"/>
                          </w:rPr>
                        </w:pPr>
                        <w:r>
                          <w:rPr>
                            <w:w w:val="105"/>
                            <w:sz w:val="19"/>
                          </w:rPr>
                          <w:t>Guatemala</w:t>
                        </w:r>
                      </w:p>
                    </w:tc>
                    <w:tc>
                      <w:tcPr>
                        <w:tcW w:w="1318" w:type="dxa"/>
                      </w:tcPr>
                      <w:p>
                        <w:pPr/>
                      </w:p>
                    </w:tc>
                    <w:tc>
                      <w:tcPr>
                        <w:tcW w:w="1376" w:type="dxa"/>
                      </w:tcPr>
                      <w:p>
                        <w:pPr>
                          <w:pStyle w:val="TableParagraph"/>
                          <w:spacing w:line="216" w:lineRule="exact"/>
                          <w:ind w:right="107"/>
                          <w:rPr>
                            <w:sz w:val="19"/>
                          </w:rPr>
                        </w:pPr>
                        <w:r>
                          <w:rPr>
                            <w:sz w:val="19"/>
                          </w:rPr>
                          <w:t>0.194</w:t>
                        </w:r>
                      </w:p>
                    </w:tc>
                    <w:tc>
                      <w:tcPr>
                        <w:tcW w:w="1216" w:type="dxa"/>
                      </w:tcPr>
                      <w:p>
                        <w:pPr/>
                      </w:p>
                    </w:tc>
                    <w:tc>
                      <w:tcPr>
                        <w:tcW w:w="1178" w:type="dxa"/>
                      </w:tcPr>
                      <w:p>
                        <w:pPr/>
                      </w:p>
                    </w:tc>
                  </w:tr>
                  <w:tr>
                    <w:trPr>
                      <w:trHeight w:val="228" w:hRule="exact"/>
                    </w:trPr>
                    <w:tc>
                      <w:tcPr>
                        <w:tcW w:w="1431" w:type="dxa"/>
                      </w:tcPr>
                      <w:p>
                        <w:pPr>
                          <w:pStyle w:val="TableParagraph"/>
                          <w:spacing w:line="216" w:lineRule="exact"/>
                          <w:ind w:left="30"/>
                          <w:jc w:val="left"/>
                          <w:rPr>
                            <w:sz w:val="19"/>
                          </w:rPr>
                        </w:pPr>
                        <w:r>
                          <w:rPr>
                            <w:w w:val="105"/>
                            <w:sz w:val="19"/>
                          </w:rPr>
                          <w:t>Honduras</w:t>
                        </w:r>
                      </w:p>
                    </w:tc>
                    <w:tc>
                      <w:tcPr>
                        <w:tcW w:w="1318" w:type="dxa"/>
                      </w:tcPr>
                      <w:p>
                        <w:pPr/>
                      </w:p>
                    </w:tc>
                    <w:tc>
                      <w:tcPr>
                        <w:tcW w:w="1376" w:type="dxa"/>
                      </w:tcPr>
                      <w:p>
                        <w:pPr>
                          <w:pStyle w:val="TableParagraph"/>
                          <w:spacing w:line="216" w:lineRule="exact"/>
                          <w:ind w:right="107"/>
                          <w:rPr>
                            <w:sz w:val="19"/>
                          </w:rPr>
                        </w:pPr>
                        <w:r>
                          <w:rPr>
                            <w:sz w:val="19"/>
                          </w:rPr>
                          <w:t>-0.036</w:t>
                        </w:r>
                      </w:p>
                    </w:tc>
                    <w:tc>
                      <w:tcPr>
                        <w:tcW w:w="1216" w:type="dxa"/>
                      </w:tcPr>
                      <w:p>
                        <w:pPr/>
                      </w:p>
                    </w:tc>
                    <w:tc>
                      <w:tcPr>
                        <w:tcW w:w="1178" w:type="dxa"/>
                      </w:tcPr>
                      <w:p>
                        <w:pPr/>
                      </w:p>
                    </w:tc>
                  </w:tr>
                  <w:tr>
                    <w:trPr>
                      <w:trHeight w:val="228" w:hRule="exact"/>
                    </w:trPr>
                    <w:tc>
                      <w:tcPr>
                        <w:tcW w:w="1431" w:type="dxa"/>
                      </w:tcPr>
                      <w:p>
                        <w:pPr>
                          <w:pStyle w:val="TableParagraph"/>
                          <w:spacing w:line="214" w:lineRule="exact"/>
                          <w:ind w:left="30"/>
                          <w:jc w:val="left"/>
                          <w:rPr>
                            <w:sz w:val="19"/>
                          </w:rPr>
                        </w:pPr>
                        <w:r>
                          <w:rPr>
                            <w:w w:val="105"/>
                            <w:sz w:val="19"/>
                          </w:rPr>
                          <w:t>Italia</w:t>
                        </w:r>
                      </w:p>
                    </w:tc>
                    <w:tc>
                      <w:tcPr>
                        <w:tcW w:w="1318" w:type="dxa"/>
                      </w:tcPr>
                      <w:p>
                        <w:pPr/>
                      </w:p>
                    </w:tc>
                    <w:tc>
                      <w:tcPr>
                        <w:tcW w:w="1376" w:type="dxa"/>
                      </w:tcPr>
                      <w:p>
                        <w:pPr>
                          <w:pStyle w:val="TableParagraph"/>
                          <w:spacing w:line="214" w:lineRule="exact"/>
                          <w:ind w:right="107"/>
                          <w:rPr>
                            <w:sz w:val="19"/>
                          </w:rPr>
                        </w:pPr>
                        <w:r>
                          <w:rPr>
                            <w:sz w:val="19"/>
                          </w:rPr>
                          <w:t>0.164</w:t>
                        </w:r>
                      </w:p>
                    </w:tc>
                    <w:tc>
                      <w:tcPr>
                        <w:tcW w:w="1216" w:type="dxa"/>
                      </w:tcPr>
                      <w:p>
                        <w:pPr>
                          <w:pStyle w:val="TableParagraph"/>
                          <w:spacing w:line="214" w:lineRule="exact"/>
                          <w:ind w:right="105"/>
                          <w:rPr>
                            <w:sz w:val="19"/>
                          </w:rPr>
                        </w:pPr>
                        <w:r>
                          <w:rPr>
                            <w:sz w:val="19"/>
                          </w:rPr>
                          <w:t>0.051</w:t>
                        </w:r>
                      </w:p>
                    </w:tc>
                    <w:tc>
                      <w:tcPr>
                        <w:tcW w:w="1178" w:type="dxa"/>
                      </w:tcPr>
                      <w:p>
                        <w:pPr>
                          <w:pStyle w:val="TableParagraph"/>
                          <w:spacing w:line="214" w:lineRule="exact"/>
                          <w:ind w:right="69"/>
                          <w:rPr>
                            <w:sz w:val="19"/>
                          </w:rPr>
                        </w:pPr>
                        <w:r>
                          <w:rPr>
                            <w:sz w:val="19"/>
                          </w:rPr>
                          <w:t>-0.220</w:t>
                        </w:r>
                      </w:p>
                    </w:tc>
                  </w:tr>
                  <w:tr>
                    <w:trPr>
                      <w:trHeight w:val="230" w:hRule="exact"/>
                    </w:trPr>
                    <w:tc>
                      <w:tcPr>
                        <w:tcW w:w="1431" w:type="dxa"/>
                      </w:tcPr>
                      <w:p>
                        <w:pPr>
                          <w:pStyle w:val="TableParagraph"/>
                          <w:spacing w:line="216" w:lineRule="exact"/>
                          <w:ind w:left="30"/>
                          <w:jc w:val="left"/>
                          <w:rPr>
                            <w:sz w:val="19"/>
                          </w:rPr>
                        </w:pPr>
                        <w:r>
                          <w:rPr>
                            <w:w w:val="105"/>
                            <w:sz w:val="19"/>
                          </w:rPr>
                          <w:t>Japón</w:t>
                        </w:r>
                      </w:p>
                    </w:tc>
                    <w:tc>
                      <w:tcPr>
                        <w:tcW w:w="1318" w:type="dxa"/>
                      </w:tcPr>
                      <w:p>
                        <w:pPr/>
                      </w:p>
                    </w:tc>
                    <w:tc>
                      <w:tcPr>
                        <w:tcW w:w="1376" w:type="dxa"/>
                      </w:tcPr>
                      <w:p>
                        <w:pPr/>
                      </w:p>
                    </w:tc>
                    <w:tc>
                      <w:tcPr>
                        <w:tcW w:w="1216" w:type="dxa"/>
                      </w:tcPr>
                      <w:p>
                        <w:pPr/>
                      </w:p>
                    </w:tc>
                    <w:tc>
                      <w:tcPr>
                        <w:tcW w:w="1178" w:type="dxa"/>
                      </w:tcPr>
                      <w:p>
                        <w:pPr>
                          <w:pStyle w:val="TableParagraph"/>
                          <w:spacing w:line="216" w:lineRule="exact"/>
                          <w:ind w:right="69"/>
                          <w:rPr>
                            <w:sz w:val="19"/>
                          </w:rPr>
                        </w:pPr>
                        <w:r>
                          <w:rPr>
                            <w:sz w:val="19"/>
                          </w:rPr>
                          <w:t>0.089</w:t>
                        </w:r>
                      </w:p>
                    </w:tc>
                  </w:tr>
                  <w:tr>
                    <w:trPr>
                      <w:trHeight w:val="230" w:hRule="exact"/>
                    </w:trPr>
                    <w:tc>
                      <w:tcPr>
                        <w:tcW w:w="1431" w:type="dxa"/>
                      </w:tcPr>
                      <w:p>
                        <w:pPr>
                          <w:pStyle w:val="TableParagraph"/>
                          <w:spacing w:line="216" w:lineRule="exact"/>
                          <w:ind w:left="30"/>
                          <w:jc w:val="left"/>
                          <w:rPr>
                            <w:sz w:val="19"/>
                          </w:rPr>
                        </w:pPr>
                        <w:r>
                          <w:rPr>
                            <w:w w:val="105"/>
                            <w:sz w:val="19"/>
                          </w:rPr>
                          <w:t>México</w:t>
                        </w:r>
                      </w:p>
                    </w:tc>
                    <w:tc>
                      <w:tcPr>
                        <w:tcW w:w="1318" w:type="dxa"/>
                      </w:tcPr>
                      <w:p>
                        <w:pPr/>
                      </w:p>
                    </w:tc>
                    <w:tc>
                      <w:tcPr>
                        <w:tcW w:w="1376" w:type="dxa"/>
                      </w:tcPr>
                      <w:p>
                        <w:pPr>
                          <w:pStyle w:val="TableParagraph"/>
                          <w:spacing w:line="216" w:lineRule="exact"/>
                          <w:ind w:right="107"/>
                          <w:rPr>
                            <w:sz w:val="19"/>
                          </w:rPr>
                        </w:pPr>
                        <w:r>
                          <w:rPr>
                            <w:sz w:val="19"/>
                          </w:rPr>
                          <w:t>0,177</w:t>
                        </w:r>
                      </w:p>
                    </w:tc>
                    <w:tc>
                      <w:tcPr>
                        <w:tcW w:w="1216" w:type="dxa"/>
                      </w:tcPr>
                      <w:p>
                        <w:pPr>
                          <w:pStyle w:val="TableParagraph"/>
                          <w:spacing w:line="216" w:lineRule="exact"/>
                          <w:ind w:right="105"/>
                          <w:rPr>
                            <w:sz w:val="19"/>
                          </w:rPr>
                        </w:pPr>
                        <w:r>
                          <w:rPr>
                            <w:sz w:val="19"/>
                          </w:rPr>
                          <w:t>-0.291</w:t>
                        </w:r>
                      </w:p>
                    </w:tc>
                    <w:tc>
                      <w:tcPr>
                        <w:tcW w:w="1178" w:type="dxa"/>
                      </w:tcPr>
                      <w:p>
                        <w:pPr>
                          <w:pStyle w:val="TableParagraph"/>
                          <w:spacing w:line="216" w:lineRule="exact"/>
                          <w:ind w:right="69"/>
                          <w:rPr>
                            <w:sz w:val="19"/>
                          </w:rPr>
                        </w:pPr>
                        <w:r>
                          <w:rPr>
                            <w:sz w:val="19"/>
                          </w:rPr>
                          <w:t>0.093</w:t>
                        </w:r>
                      </w:p>
                    </w:tc>
                  </w:tr>
                  <w:tr>
                    <w:trPr>
                      <w:trHeight w:val="230" w:hRule="exact"/>
                    </w:trPr>
                    <w:tc>
                      <w:tcPr>
                        <w:tcW w:w="1431" w:type="dxa"/>
                      </w:tcPr>
                      <w:p>
                        <w:pPr>
                          <w:pStyle w:val="TableParagraph"/>
                          <w:spacing w:line="216" w:lineRule="exact"/>
                          <w:ind w:left="30"/>
                          <w:jc w:val="left"/>
                          <w:rPr>
                            <w:sz w:val="19"/>
                          </w:rPr>
                        </w:pPr>
                        <w:r>
                          <w:rPr>
                            <w:w w:val="105"/>
                            <w:sz w:val="19"/>
                          </w:rPr>
                          <w:t>Países Bajos</w:t>
                        </w:r>
                      </w:p>
                    </w:tc>
                    <w:tc>
                      <w:tcPr>
                        <w:tcW w:w="1318" w:type="dxa"/>
                      </w:tcPr>
                      <w:p>
                        <w:pPr/>
                      </w:p>
                    </w:tc>
                    <w:tc>
                      <w:tcPr>
                        <w:tcW w:w="1376" w:type="dxa"/>
                      </w:tcPr>
                      <w:p>
                        <w:pPr/>
                      </w:p>
                    </w:tc>
                    <w:tc>
                      <w:tcPr>
                        <w:tcW w:w="1216" w:type="dxa"/>
                      </w:tcPr>
                      <w:p>
                        <w:pPr>
                          <w:pStyle w:val="TableParagraph"/>
                          <w:spacing w:line="216" w:lineRule="exact"/>
                          <w:ind w:right="105"/>
                          <w:rPr>
                            <w:sz w:val="19"/>
                          </w:rPr>
                        </w:pPr>
                        <w:r>
                          <w:rPr>
                            <w:sz w:val="19"/>
                          </w:rPr>
                          <w:t>-0.074</w:t>
                        </w:r>
                      </w:p>
                    </w:tc>
                    <w:tc>
                      <w:tcPr>
                        <w:tcW w:w="1178" w:type="dxa"/>
                      </w:tcPr>
                      <w:p>
                        <w:pPr>
                          <w:pStyle w:val="TableParagraph"/>
                          <w:spacing w:line="216" w:lineRule="exact"/>
                          <w:ind w:right="69"/>
                          <w:rPr>
                            <w:sz w:val="19"/>
                          </w:rPr>
                        </w:pPr>
                        <w:r>
                          <w:rPr>
                            <w:sz w:val="19"/>
                          </w:rPr>
                          <w:t>0.485</w:t>
                        </w:r>
                      </w:p>
                    </w:tc>
                  </w:tr>
                  <w:tr>
                    <w:trPr>
                      <w:trHeight w:val="230" w:hRule="exact"/>
                    </w:trPr>
                    <w:tc>
                      <w:tcPr>
                        <w:tcW w:w="1431" w:type="dxa"/>
                      </w:tcPr>
                      <w:p>
                        <w:pPr>
                          <w:pStyle w:val="TableParagraph"/>
                          <w:spacing w:line="216" w:lineRule="exact"/>
                          <w:ind w:left="30"/>
                          <w:jc w:val="left"/>
                          <w:rPr>
                            <w:sz w:val="19"/>
                          </w:rPr>
                        </w:pPr>
                        <w:r>
                          <w:rPr>
                            <w:w w:val="105"/>
                            <w:sz w:val="19"/>
                          </w:rPr>
                          <w:t>Panamá</w:t>
                        </w:r>
                      </w:p>
                    </w:tc>
                    <w:tc>
                      <w:tcPr>
                        <w:tcW w:w="1318" w:type="dxa"/>
                      </w:tcPr>
                      <w:p>
                        <w:pPr/>
                      </w:p>
                    </w:tc>
                    <w:tc>
                      <w:tcPr>
                        <w:tcW w:w="1376" w:type="dxa"/>
                      </w:tcPr>
                      <w:p>
                        <w:pPr>
                          <w:pStyle w:val="TableParagraph"/>
                          <w:spacing w:line="216" w:lineRule="exact"/>
                          <w:ind w:right="107"/>
                          <w:rPr>
                            <w:sz w:val="19"/>
                          </w:rPr>
                        </w:pPr>
                        <w:r>
                          <w:rPr>
                            <w:sz w:val="19"/>
                          </w:rPr>
                          <w:t>-0.206</w:t>
                        </w:r>
                      </w:p>
                    </w:tc>
                    <w:tc>
                      <w:tcPr>
                        <w:tcW w:w="1216" w:type="dxa"/>
                      </w:tcPr>
                      <w:p>
                        <w:pPr>
                          <w:pStyle w:val="TableParagraph"/>
                          <w:spacing w:line="216" w:lineRule="exact"/>
                          <w:ind w:right="105"/>
                          <w:rPr>
                            <w:sz w:val="19"/>
                          </w:rPr>
                        </w:pPr>
                        <w:r>
                          <w:rPr>
                            <w:sz w:val="19"/>
                          </w:rPr>
                          <w:t>0.043</w:t>
                        </w:r>
                      </w:p>
                    </w:tc>
                    <w:tc>
                      <w:tcPr>
                        <w:tcW w:w="1178" w:type="dxa"/>
                      </w:tcPr>
                      <w:p>
                        <w:pPr>
                          <w:pStyle w:val="TableParagraph"/>
                          <w:spacing w:line="216" w:lineRule="exact"/>
                          <w:ind w:right="69"/>
                          <w:rPr>
                            <w:sz w:val="19"/>
                          </w:rPr>
                        </w:pPr>
                        <w:r>
                          <w:rPr>
                            <w:sz w:val="19"/>
                          </w:rPr>
                          <w:t>0.195</w:t>
                        </w:r>
                      </w:p>
                    </w:tc>
                  </w:tr>
                  <w:tr>
                    <w:trPr>
                      <w:trHeight w:val="230" w:hRule="exact"/>
                    </w:trPr>
                    <w:tc>
                      <w:tcPr>
                        <w:tcW w:w="1431" w:type="dxa"/>
                      </w:tcPr>
                      <w:p>
                        <w:pPr>
                          <w:pStyle w:val="TableParagraph"/>
                          <w:spacing w:line="216" w:lineRule="exact"/>
                          <w:ind w:left="30"/>
                          <w:jc w:val="left"/>
                          <w:rPr>
                            <w:sz w:val="19"/>
                          </w:rPr>
                        </w:pPr>
                        <w:r>
                          <w:rPr>
                            <w:w w:val="105"/>
                            <w:sz w:val="19"/>
                          </w:rPr>
                          <w:t>Paraguay</w:t>
                        </w:r>
                      </w:p>
                    </w:tc>
                    <w:tc>
                      <w:tcPr>
                        <w:tcW w:w="1318" w:type="dxa"/>
                      </w:tcPr>
                      <w:p>
                        <w:pPr/>
                      </w:p>
                    </w:tc>
                    <w:tc>
                      <w:tcPr>
                        <w:tcW w:w="1376" w:type="dxa"/>
                      </w:tcPr>
                      <w:p>
                        <w:pPr/>
                      </w:p>
                    </w:tc>
                    <w:tc>
                      <w:tcPr>
                        <w:tcW w:w="1216" w:type="dxa"/>
                      </w:tcPr>
                      <w:p>
                        <w:pPr/>
                      </w:p>
                    </w:tc>
                    <w:tc>
                      <w:tcPr>
                        <w:tcW w:w="1178" w:type="dxa"/>
                      </w:tcPr>
                      <w:p>
                        <w:pPr>
                          <w:pStyle w:val="TableParagraph"/>
                          <w:spacing w:line="216" w:lineRule="exact"/>
                          <w:ind w:right="69"/>
                          <w:rPr>
                            <w:sz w:val="19"/>
                          </w:rPr>
                        </w:pPr>
                        <w:r>
                          <w:rPr>
                            <w:sz w:val="19"/>
                          </w:rPr>
                          <w:t>1.976</w:t>
                        </w:r>
                      </w:p>
                    </w:tc>
                  </w:tr>
                  <w:tr>
                    <w:trPr>
                      <w:trHeight w:val="230" w:hRule="exact"/>
                    </w:trPr>
                    <w:tc>
                      <w:tcPr>
                        <w:tcW w:w="1431" w:type="dxa"/>
                      </w:tcPr>
                      <w:p>
                        <w:pPr>
                          <w:pStyle w:val="TableParagraph"/>
                          <w:spacing w:line="216" w:lineRule="exact"/>
                          <w:ind w:left="30"/>
                          <w:jc w:val="left"/>
                          <w:rPr>
                            <w:sz w:val="19"/>
                          </w:rPr>
                        </w:pPr>
                        <w:r>
                          <w:rPr>
                            <w:w w:val="105"/>
                            <w:sz w:val="19"/>
                          </w:rPr>
                          <w:t>Perú</w:t>
                        </w:r>
                      </w:p>
                    </w:tc>
                    <w:tc>
                      <w:tcPr>
                        <w:tcW w:w="1318" w:type="dxa"/>
                      </w:tcPr>
                      <w:p>
                        <w:pPr>
                          <w:pStyle w:val="TableParagraph"/>
                          <w:spacing w:line="216" w:lineRule="exact"/>
                          <w:ind w:right="165"/>
                          <w:rPr>
                            <w:sz w:val="19"/>
                          </w:rPr>
                        </w:pPr>
                        <w:r>
                          <w:rPr>
                            <w:sz w:val="19"/>
                          </w:rPr>
                          <w:t>0.359</w:t>
                        </w:r>
                      </w:p>
                    </w:tc>
                    <w:tc>
                      <w:tcPr>
                        <w:tcW w:w="1376" w:type="dxa"/>
                      </w:tcPr>
                      <w:p>
                        <w:pPr>
                          <w:pStyle w:val="TableParagraph"/>
                          <w:spacing w:line="216" w:lineRule="exact"/>
                          <w:ind w:right="107"/>
                          <w:rPr>
                            <w:sz w:val="19"/>
                          </w:rPr>
                        </w:pPr>
                        <w:r>
                          <w:rPr>
                            <w:sz w:val="19"/>
                          </w:rPr>
                          <w:t>-0.159</w:t>
                        </w:r>
                      </w:p>
                    </w:tc>
                    <w:tc>
                      <w:tcPr>
                        <w:tcW w:w="1216" w:type="dxa"/>
                      </w:tcPr>
                      <w:p>
                        <w:pPr>
                          <w:pStyle w:val="TableParagraph"/>
                          <w:spacing w:line="216" w:lineRule="exact"/>
                          <w:ind w:right="105"/>
                          <w:rPr>
                            <w:sz w:val="19"/>
                          </w:rPr>
                        </w:pPr>
                        <w:r>
                          <w:rPr>
                            <w:sz w:val="19"/>
                          </w:rPr>
                          <w:t>0.244</w:t>
                        </w:r>
                      </w:p>
                    </w:tc>
                    <w:tc>
                      <w:tcPr>
                        <w:tcW w:w="1178" w:type="dxa"/>
                      </w:tcPr>
                      <w:p>
                        <w:pPr/>
                      </w:p>
                    </w:tc>
                  </w:tr>
                  <w:tr>
                    <w:trPr>
                      <w:trHeight w:val="230" w:hRule="exact"/>
                    </w:trPr>
                    <w:tc>
                      <w:tcPr>
                        <w:tcW w:w="1431" w:type="dxa"/>
                      </w:tcPr>
                      <w:p>
                        <w:pPr>
                          <w:pStyle w:val="TableParagraph"/>
                          <w:spacing w:line="216" w:lineRule="exact"/>
                          <w:ind w:left="30"/>
                          <w:jc w:val="left"/>
                          <w:rPr>
                            <w:sz w:val="19"/>
                          </w:rPr>
                        </w:pPr>
                        <w:r>
                          <w:rPr>
                            <w:w w:val="105"/>
                            <w:sz w:val="19"/>
                          </w:rPr>
                          <w:t>Puerto Rico</w:t>
                        </w:r>
                      </w:p>
                    </w:tc>
                    <w:tc>
                      <w:tcPr>
                        <w:tcW w:w="1318" w:type="dxa"/>
                      </w:tcPr>
                      <w:p>
                        <w:pPr/>
                      </w:p>
                    </w:tc>
                    <w:tc>
                      <w:tcPr>
                        <w:tcW w:w="1376" w:type="dxa"/>
                      </w:tcPr>
                      <w:p>
                        <w:pPr>
                          <w:pStyle w:val="TableParagraph"/>
                          <w:spacing w:line="216" w:lineRule="exact"/>
                          <w:ind w:right="107"/>
                          <w:rPr>
                            <w:sz w:val="19"/>
                          </w:rPr>
                        </w:pPr>
                        <w:r>
                          <w:rPr>
                            <w:sz w:val="19"/>
                          </w:rPr>
                          <w:t>0.202</w:t>
                        </w:r>
                      </w:p>
                    </w:tc>
                    <w:tc>
                      <w:tcPr>
                        <w:tcW w:w="1216" w:type="dxa"/>
                      </w:tcPr>
                      <w:p>
                        <w:pPr/>
                      </w:p>
                    </w:tc>
                    <w:tc>
                      <w:tcPr>
                        <w:tcW w:w="1178" w:type="dxa"/>
                      </w:tcPr>
                      <w:p>
                        <w:pPr/>
                      </w:p>
                    </w:tc>
                  </w:tr>
                  <w:tr>
                    <w:trPr>
                      <w:trHeight w:val="230" w:hRule="exact"/>
                    </w:trPr>
                    <w:tc>
                      <w:tcPr>
                        <w:tcW w:w="1431" w:type="dxa"/>
                      </w:tcPr>
                      <w:p>
                        <w:pPr>
                          <w:pStyle w:val="TableParagraph"/>
                          <w:spacing w:line="216" w:lineRule="exact"/>
                          <w:ind w:left="30"/>
                          <w:jc w:val="left"/>
                          <w:rPr>
                            <w:sz w:val="19"/>
                          </w:rPr>
                        </w:pPr>
                        <w:r>
                          <w:rPr>
                            <w:w w:val="105"/>
                            <w:sz w:val="19"/>
                          </w:rPr>
                          <w:t>Reino Unido</w:t>
                        </w:r>
                      </w:p>
                    </w:tc>
                    <w:tc>
                      <w:tcPr>
                        <w:tcW w:w="1318" w:type="dxa"/>
                      </w:tcPr>
                      <w:p>
                        <w:pPr/>
                      </w:p>
                    </w:tc>
                    <w:tc>
                      <w:tcPr>
                        <w:tcW w:w="1376" w:type="dxa"/>
                      </w:tcPr>
                      <w:p>
                        <w:pPr>
                          <w:pStyle w:val="TableParagraph"/>
                          <w:spacing w:line="216" w:lineRule="exact"/>
                          <w:ind w:right="107"/>
                          <w:rPr>
                            <w:sz w:val="19"/>
                          </w:rPr>
                        </w:pPr>
                        <w:r>
                          <w:rPr>
                            <w:sz w:val="19"/>
                          </w:rPr>
                          <w:t>0.169</w:t>
                        </w:r>
                      </w:p>
                    </w:tc>
                    <w:tc>
                      <w:tcPr>
                        <w:tcW w:w="1216" w:type="dxa"/>
                      </w:tcPr>
                      <w:p>
                        <w:pPr>
                          <w:pStyle w:val="TableParagraph"/>
                          <w:spacing w:line="216" w:lineRule="exact"/>
                          <w:ind w:right="105"/>
                          <w:rPr>
                            <w:sz w:val="19"/>
                          </w:rPr>
                        </w:pPr>
                        <w:r>
                          <w:rPr>
                            <w:sz w:val="19"/>
                          </w:rPr>
                          <w:t>0.073</w:t>
                        </w:r>
                      </w:p>
                    </w:tc>
                    <w:tc>
                      <w:tcPr>
                        <w:tcW w:w="1178" w:type="dxa"/>
                      </w:tcPr>
                      <w:p>
                        <w:pPr/>
                      </w:p>
                    </w:tc>
                  </w:tr>
                  <w:tr>
                    <w:trPr>
                      <w:trHeight w:val="230" w:hRule="exact"/>
                    </w:trPr>
                    <w:tc>
                      <w:tcPr>
                        <w:tcW w:w="1431" w:type="dxa"/>
                      </w:tcPr>
                      <w:p>
                        <w:pPr>
                          <w:pStyle w:val="TableParagraph"/>
                          <w:spacing w:line="216" w:lineRule="exact"/>
                          <w:ind w:left="30"/>
                          <w:jc w:val="left"/>
                          <w:rPr>
                            <w:sz w:val="19"/>
                          </w:rPr>
                        </w:pPr>
                        <w:r>
                          <w:rPr>
                            <w:w w:val="105"/>
                            <w:sz w:val="19"/>
                          </w:rPr>
                          <w:t>R. Dominicana</w:t>
                        </w:r>
                      </w:p>
                    </w:tc>
                    <w:tc>
                      <w:tcPr>
                        <w:tcW w:w="1318" w:type="dxa"/>
                      </w:tcPr>
                      <w:p>
                        <w:pPr/>
                      </w:p>
                    </w:tc>
                    <w:tc>
                      <w:tcPr>
                        <w:tcW w:w="1376" w:type="dxa"/>
                      </w:tcPr>
                      <w:p>
                        <w:pPr>
                          <w:pStyle w:val="TableParagraph"/>
                          <w:spacing w:line="216" w:lineRule="exact"/>
                          <w:ind w:right="107"/>
                          <w:rPr>
                            <w:sz w:val="19"/>
                          </w:rPr>
                        </w:pPr>
                        <w:r>
                          <w:rPr>
                            <w:sz w:val="19"/>
                          </w:rPr>
                          <w:t>0.193</w:t>
                        </w:r>
                      </w:p>
                    </w:tc>
                    <w:tc>
                      <w:tcPr>
                        <w:tcW w:w="1216" w:type="dxa"/>
                      </w:tcPr>
                      <w:p>
                        <w:pPr/>
                      </w:p>
                    </w:tc>
                    <w:tc>
                      <w:tcPr>
                        <w:tcW w:w="1178" w:type="dxa"/>
                      </w:tcPr>
                      <w:p>
                        <w:pPr>
                          <w:pStyle w:val="TableParagraph"/>
                          <w:spacing w:line="216" w:lineRule="exact"/>
                          <w:ind w:right="69"/>
                          <w:rPr>
                            <w:sz w:val="19"/>
                          </w:rPr>
                        </w:pPr>
                        <w:r>
                          <w:rPr>
                            <w:sz w:val="19"/>
                          </w:rPr>
                          <w:t>0.227</w:t>
                        </w:r>
                      </w:p>
                    </w:tc>
                  </w:tr>
                  <w:tr>
                    <w:trPr>
                      <w:trHeight w:val="228" w:hRule="exact"/>
                    </w:trPr>
                    <w:tc>
                      <w:tcPr>
                        <w:tcW w:w="1431" w:type="dxa"/>
                      </w:tcPr>
                      <w:p>
                        <w:pPr>
                          <w:pStyle w:val="TableParagraph"/>
                          <w:spacing w:line="216" w:lineRule="exact"/>
                          <w:ind w:left="30"/>
                          <w:jc w:val="left"/>
                          <w:rPr>
                            <w:sz w:val="19"/>
                          </w:rPr>
                        </w:pPr>
                        <w:r>
                          <w:rPr>
                            <w:w w:val="105"/>
                            <w:sz w:val="19"/>
                          </w:rPr>
                          <w:t>Suiza</w:t>
                        </w:r>
                      </w:p>
                    </w:tc>
                    <w:tc>
                      <w:tcPr>
                        <w:tcW w:w="1318" w:type="dxa"/>
                      </w:tcPr>
                      <w:p>
                        <w:pPr/>
                      </w:p>
                    </w:tc>
                    <w:tc>
                      <w:tcPr>
                        <w:tcW w:w="1376" w:type="dxa"/>
                      </w:tcPr>
                      <w:p>
                        <w:pPr>
                          <w:pStyle w:val="TableParagraph"/>
                          <w:spacing w:line="216" w:lineRule="exact"/>
                          <w:ind w:right="107"/>
                          <w:rPr>
                            <w:sz w:val="19"/>
                          </w:rPr>
                        </w:pPr>
                        <w:r>
                          <w:rPr>
                            <w:sz w:val="19"/>
                          </w:rPr>
                          <w:t>0.109</w:t>
                        </w:r>
                      </w:p>
                    </w:tc>
                    <w:tc>
                      <w:tcPr>
                        <w:tcW w:w="1216" w:type="dxa"/>
                      </w:tcPr>
                      <w:p>
                        <w:pPr>
                          <w:pStyle w:val="TableParagraph"/>
                          <w:spacing w:line="216" w:lineRule="exact"/>
                          <w:ind w:right="105"/>
                          <w:rPr>
                            <w:sz w:val="19"/>
                          </w:rPr>
                        </w:pPr>
                        <w:r>
                          <w:rPr>
                            <w:sz w:val="19"/>
                          </w:rPr>
                          <w:t>-0.019</w:t>
                        </w:r>
                      </w:p>
                    </w:tc>
                    <w:tc>
                      <w:tcPr>
                        <w:tcW w:w="1178" w:type="dxa"/>
                      </w:tcPr>
                      <w:p>
                        <w:pPr/>
                      </w:p>
                    </w:tc>
                  </w:tr>
                  <w:tr>
                    <w:trPr>
                      <w:trHeight w:val="228" w:hRule="exact"/>
                    </w:trPr>
                    <w:tc>
                      <w:tcPr>
                        <w:tcW w:w="1431" w:type="dxa"/>
                      </w:tcPr>
                      <w:p>
                        <w:pPr>
                          <w:pStyle w:val="TableParagraph"/>
                          <w:spacing w:line="214" w:lineRule="exact"/>
                          <w:ind w:left="30"/>
                          <w:jc w:val="left"/>
                          <w:rPr>
                            <w:sz w:val="19"/>
                          </w:rPr>
                        </w:pPr>
                        <w:r>
                          <w:rPr>
                            <w:w w:val="105"/>
                            <w:sz w:val="19"/>
                          </w:rPr>
                          <w:t>Uruguay</w:t>
                        </w:r>
                      </w:p>
                    </w:tc>
                    <w:tc>
                      <w:tcPr>
                        <w:tcW w:w="1318" w:type="dxa"/>
                      </w:tcPr>
                      <w:p>
                        <w:pPr/>
                      </w:p>
                    </w:tc>
                    <w:tc>
                      <w:tcPr>
                        <w:tcW w:w="1376" w:type="dxa"/>
                      </w:tcPr>
                      <w:p>
                        <w:pPr/>
                      </w:p>
                    </w:tc>
                    <w:tc>
                      <w:tcPr>
                        <w:tcW w:w="1216" w:type="dxa"/>
                      </w:tcPr>
                      <w:p>
                        <w:pPr/>
                      </w:p>
                    </w:tc>
                    <w:tc>
                      <w:tcPr>
                        <w:tcW w:w="1178" w:type="dxa"/>
                      </w:tcPr>
                      <w:p>
                        <w:pPr>
                          <w:pStyle w:val="TableParagraph"/>
                          <w:spacing w:line="214" w:lineRule="exact"/>
                          <w:ind w:right="69"/>
                          <w:rPr>
                            <w:sz w:val="19"/>
                          </w:rPr>
                        </w:pPr>
                        <w:r>
                          <w:rPr>
                            <w:sz w:val="19"/>
                          </w:rPr>
                          <w:t>-0.629</w:t>
                        </w:r>
                      </w:p>
                    </w:tc>
                  </w:tr>
                  <w:tr>
                    <w:trPr>
                      <w:trHeight w:val="228" w:hRule="exact"/>
                    </w:trPr>
                    <w:tc>
                      <w:tcPr>
                        <w:tcW w:w="1431" w:type="dxa"/>
                        <w:tcBorders>
                          <w:bottom w:val="single" w:sz="4" w:space="0" w:color="000000"/>
                        </w:tcBorders>
                      </w:tcPr>
                      <w:p>
                        <w:pPr>
                          <w:pStyle w:val="TableParagraph"/>
                          <w:spacing w:line="216" w:lineRule="exact"/>
                          <w:ind w:left="30"/>
                          <w:jc w:val="left"/>
                          <w:rPr>
                            <w:sz w:val="19"/>
                          </w:rPr>
                        </w:pPr>
                        <w:r>
                          <w:rPr>
                            <w:w w:val="105"/>
                            <w:sz w:val="19"/>
                          </w:rPr>
                          <w:t>Venezuela</w:t>
                        </w:r>
                      </w:p>
                    </w:tc>
                    <w:tc>
                      <w:tcPr>
                        <w:tcW w:w="1318" w:type="dxa"/>
                        <w:tcBorders>
                          <w:bottom w:val="single" w:sz="4" w:space="0" w:color="000000"/>
                        </w:tcBorders>
                      </w:tcPr>
                      <w:p>
                        <w:pPr/>
                      </w:p>
                    </w:tc>
                    <w:tc>
                      <w:tcPr>
                        <w:tcW w:w="1376" w:type="dxa"/>
                        <w:tcBorders>
                          <w:bottom w:val="single" w:sz="4" w:space="0" w:color="000000"/>
                        </w:tcBorders>
                      </w:tcPr>
                      <w:p>
                        <w:pPr>
                          <w:pStyle w:val="TableParagraph"/>
                          <w:spacing w:line="216" w:lineRule="exact"/>
                          <w:ind w:right="107"/>
                          <w:rPr>
                            <w:sz w:val="19"/>
                          </w:rPr>
                        </w:pPr>
                        <w:r>
                          <w:rPr>
                            <w:sz w:val="19"/>
                          </w:rPr>
                          <w:t>0.463</w:t>
                        </w:r>
                      </w:p>
                    </w:tc>
                    <w:tc>
                      <w:tcPr>
                        <w:tcW w:w="1216" w:type="dxa"/>
                        <w:tcBorders>
                          <w:bottom w:val="single" w:sz="4" w:space="0" w:color="000000"/>
                        </w:tcBorders>
                      </w:tcPr>
                      <w:p>
                        <w:pPr>
                          <w:pStyle w:val="TableParagraph"/>
                          <w:spacing w:line="216" w:lineRule="exact"/>
                          <w:ind w:right="105"/>
                          <w:rPr>
                            <w:sz w:val="19"/>
                          </w:rPr>
                        </w:pPr>
                        <w:r>
                          <w:rPr>
                            <w:sz w:val="19"/>
                          </w:rPr>
                          <w:t>0.753</w:t>
                        </w:r>
                      </w:p>
                    </w:tc>
                    <w:tc>
                      <w:tcPr>
                        <w:tcW w:w="1178" w:type="dxa"/>
                        <w:tcBorders>
                          <w:bottom w:val="single" w:sz="4" w:space="0" w:color="000000"/>
                        </w:tcBorders>
                      </w:tcPr>
                      <w:p>
                        <w:pPr>
                          <w:pStyle w:val="TableParagraph"/>
                          <w:spacing w:line="216" w:lineRule="exact"/>
                          <w:ind w:right="69"/>
                          <w:rPr>
                            <w:sz w:val="19"/>
                          </w:rPr>
                        </w:pPr>
                        <w:r>
                          <w:rPr>
                            <w:sz w:val="19"/>
                          </w:rPr>
                          <w:t>0.638</w:t>
                        </w:r>
                      </w:p>
                    </w:tc>
                  </w:tr>
                </w:tbl>
                <w:p>
                  <w:pPr>
                    <w:pStyle w:val="BodyText"/>
                  </w:pPr>
                </w:p>
              </w:txbxContent>
            </v:textbox>
            <w10:wrap type="none"/>
          </v:shape>
        </w:pict>
      </w:r>
      <w:r>
        <w:rPr>
          <w:w w:val="105"/>
          <w:position w:val="-11"/>
          <w:sz w:val="19"/>
        </w:rPr>
        <w:t>Destino</w:t>
        <w:tab/>
      </w:r>
      <w:r>
        <w:rPr>
          <w:sz w:val="19"/>
        </w:rPr>
        <w:t>Bolivia</w:t>
      </w:r>
    </w:p>
    <w:p>
      <w:pPr>
        <w:spacing w:before="11"/>
        <w:ind w:left="147" w:right="0" w:firstLine="0"/>
        <w:jc w:val="left"/>
        <w:rPr>
          <w:sz w:val="19"/>
        </w:rPr>
      </w:pPr>
      <w:r>
        <w:rPr/>
        <w:br w:type="column"/>
      </w:r>
      <w:r>
        <w:rPr>
          <w:sz w:val="19"/>
        </w:rPr>
        <w:t>Colombia</w:t>
      </w:r>
    </w:p>
    <w:p>
      <w:pPr>
        <w:spacing w:before="11"/>
        <w:ind w:left="147" w:right="-17" w:firstLine="0"/>
        <w:jc w:val="left"/>
        <w:rPr>
          <w:sz w:val="19"/>
        </w:rPr>
      </w:pPr>
      <w:r>
        <w:rPr/>
        <w:br w:type="column"/>
      </w:r>
      <w:r>
        <w:rPr>
          <w:w w:val="105"/>
          <w:sz w:val="19"/>
        </w:rPr>
        <w:t>Ecuador</w:t>
      </w:r>
    </w:p>
    <w:p>
      <w:pPr>
        <w:spacing w:before="11"/>
        <w:ind w:left="147" w:right="0" w:firstLine="0"/>
        <w:jc w:val="left"/>
        <w:rPr>
          <w:sz w:val="19"/>
        </w:rPr>
      </w:pPr>
      <w:r>
        <w:rPr/>
        <w:br w:type="column"/>
      </w:r>
      <w:r>
        <w:rPr>
          <w:w w:val="105"/>
          <w:sz w:val="19"/>
        </w:rPr>
        <w:t>Perú</w:t>
      </w:r>
    </w:p>
    <w:p>
      <w:pPr>
        <w:spacing w:after="0"/>
        <w:jc w:val="left"/>
        <w:rPr>
          <w:sz w:val="19"/>
        </w:rPr>
        <w:sectPr>
          <w:type w:val="continuous"/>
          <w:pgSz w:w="9360" w:h="13040"/>
          <w:pgMar w:top="0" w:bottom="0" w:left="1300" w:right="1300"/>
          <w:cols w:num="4" w:equalWidth="0">
            <w:col w:w="2699" w:space="498"/>
            <w:col w:w="935" w:space="405"/>
            <w:col w:w="815" w:space="699"/>
            <w:col w:w="709"/>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6"/>
        </w:rPr>
      </w:pPr>
    </w:p>
    <w:p>
      <w:pPr>
        <w:spacing w:before="78"/>
        <w:ind w:left="147" w:right="117" w:firstLine="0"/>
        <w:jc w:val="left"/>
        <w:rPr>
          <w:sz w:val="16"/>
        </w:rPr>
      </w:pPr>
      <w:r>
        <w:rPr>
          <w:sz w:val="16"/>
        </w:rPr>
        <w:t>* Falta la información de algunos meses.</w:t>
      </w:r>
    </w:p>
    <w:p>
      <w:pPr>
        <w:spacing w:before="3"/>
        <w:ind w:left="147" w:right="808" w:firstLine="0"/>
        <w:jc w:val="left"/>
        <w:rPr>
          <w:sz w:val="16"/>
        </w:rPr>
      </w:pPr>
      <w:r>
        <w:rPr>
          <w:sz w:val="16"/>
        </w:rPr>
        <w:t>Fuente: elaboración propia a partir de saldos migratorios informados por entes oficiales de Colombia, Ecuador y Perú.</w:t>
      </w:r>
    </w:p>
    <w:p>
      <w:pPr>
        <w:pStyle w:val="BodyText"/>
        <w:spacing w:line="247" w:lineRule="auto" w:before="142"/>
        <w:ind w:left="117" w:right="114" w:firstLine="283"/>
        <w:jc w:val="both"/>
      </w:pPr>
      <w:r>
        <w:rPr>
          <w:color w:val="231F20"/>
        </w:rPr>
        <w:t>Son precisamente tales contextos los que modulan, en un sentido u otro, la intensidad de los flujos de emigración, retorno o reemigración, incidiendo en quienes toman las decisiones últimas de los    movimientos,</w:t>
      </w:r>
    </w:p>
    <w:p>
      <w:pPr>
        <w:spacing w:after="0" w:line="247" w:lineRule="auto"/>
        <w:jc w:val="both"/>
        <w:sectPr>
          <w:type w:val="continuous"/>
          <w:pgSz w:w="9360" w:h="13040"/>
          <w:pgMar w:top="0" w:bottom="0" w:left="1300" w:right="1300"/>
        </w:sectPr>
      </w:pPr>
    </w:p>
    <w:p>
      <w:pPr>
        <w:spacing w:before="45"/>
        <w:ind w:left="71" w:right="115" w:firstLine="0"/>
        <w:jc w:val="right"/>
        <w:rPr>
          <w:rFonts w:ascii="Arial" w:hAnsi="Arial"/>
          <w:sz w:val="20"/>
        </w:rPr>
      </w:pPr>
      <w:r>
        <w:rPr>
          <w:rFonts w:ascii="Arial" w:hAnsi="Arial"/>
          <w:color w:val="231F20"/>
          <w:w w:val="65"/>
          <w:sz w:val="20"/>
        </w:rPr>
        <w:t>Retorno de migrantes a la Comunidad Andina /William Mejía-Ochoa y Yeim Claudia Castro</w:t>
      </w:r>
    </w:p>
    <w:p>
      <w:pPr>
        <w:pStyle w:val="BodyText"/>
        <w:spacing w:before="7"/>
        <w:rPr>
          <w:rFonts w:ascii="Arial"/>
          <w:sz w:val="28"/>
        </w:rPr>
      </w:pPr>
    </w:p>
    <w:p>
      <w:pPr>
        <w:pStyle w:val="BodyText"/>
        <w:spacing w:line="247" w:lineRule="auto"/>
        <w:ind w:left="71" w:right="114"/>
        <w:jc w:val="right"/>
      </w:pPr>
      <w:r>
        <w:rPr>
          <w:color w:val="231F20"/>
        </w:rPr>
        <w:t>generalmente individuos o grupos familiares, pero, también,</w:t>
      </w:r>
      <w:r>
        <w:rPr>
          <w:color w:val="231F20"/>
          <w:spacing w:val="35"/>
        </w:rPr>
        <w:t> </w:t>
      </w:r>
      <w:r>
        <w:rPr>
          <w:color w:val="231F20"/>
        </w:rPr>
        <w:t>en</w:t>
      </w:r>
      <w:r>
        <w:rPr>
          <w:color w:val="231F20"/>
          <w:spacing w:val="12"/>
        </w:rPr>
        <w:t> </w:t>
      </w:r>
      <w:r>
        <w:rPr>
          <w:color w:val="231F20"/>
        </w:rPr>
        <w:t>autorida- des y comunidades que pueden llegar a contribuir para</w:t>
      </w:r>
      <w:r>
        <w:rPr>
          <w:color w:val="231F20"/>
          <w:spacing w:val="10"/>
        </w:rPr>
        <w:t> </w:t>
      </w:r>
      <w:r>
        <w:rPr>
          <w:color w:val="231F20"/>
        </w:rPr>
        <w:t>esos</w:t>
      </w:r>
      <w:r>
        <w:rPr>
          <w:color w:val="231F20"/>
          <w:spacing w:val="7"/>
        </w:rPr>
        <w:t> </w:t>
      </w:r>
      <w:r>
        <w:rPr>
          <w:color w:val="231F20"/>
        </w:rPr>
        <w:t>movimientos o, incluso, forzarlos, a través de expulsión o inadmisión de</w:t>
      </w:r>
      <w:r>
        <w:rPr>
          <w:color w:val="231F20"/>
          <w:spacing w:val="47"/>
        </w:rPr>
        <w:t> </w:t>
      </w:r>
      <w:r>
        <w:rPr>
          <w:color w:val="231F20"/>
        </w:rPr>
        <w:t>migrantes,</w:t>
      </w:r>
      <w:r>
        <w:rPr>
          <w:color w:val="231F20"/>
          <w:spacing w:val="3"/>
        </w:rPr>
        <w:t> </w:t>
      </w:r>
      <w:r>
        <w:rPr>
          <w:color w:val="231F20"/>
        </w:rPr>
        <w:t>los cuales condicionan o definen tipos de retorno específicos</w:t>
      </w:r>
      <w:r>
        <w:rPr>
          <w:color w:val="231F20"/>
          <w:spacing w:val="44"/>
        </w:rPr>
        <w:t> </w:t>
      </w:r>
      <w:r>
        <w:rPr>
          <w:color w:val="231F20"/>
        </w:rPr>
        <w:t>que,</w:t>
      </w:r>
      <w:r>
        <w:rPr>
          <w:color w:val="231F20"/>
          <w:spacing w:val="26"/>
        </w:rPr>
        <w:t> </w:t>
      </w:r>
      <w:r>
        <w:rPr>
          <w:color w:val="231F20"/>
        </w:rPr>
        <w:t>también,</w:t>
      </w:r>
      <w:r>
        <w:rPr>
          <w:color w:val="231F20"/>
          <w:w w:val="100"/>
        </w:rPr>
        <w:t> </w:t>
      </w:r>
      <w:r>
        <w:rPr>
          <w:color w:val="231F20"/>
        </w:rPr>
        <w:t>habrá</w:t>
      </w:r>
      <w:r>
        <w:rPr>
          <w:color w:val="231F20"/>
          <w:spacing w:val="-9"/>
        </w:rPr>
        <w:t> </w:t>
      </w:r>
      <w:r>
        <w:rPr>
          <w:color w:val="231F20"/>
        </w:rPr>
        <w:t>que</w:t>
      </w:r>
      <w:r>
        <w:rPr>
          <w:color w:val="231F20"/>
          <w:spacing w:val="-9"/>
        </w:rPr>
        <w:t> </w:t>
      </w:r>
      <w:r>
        <w:rPr>
          <w:color w:val="231F20"/>
        </w:rPr>
        <w:t>tener</w:t>
      </w:r>
      <w:r>
        <w:rPr>
          <w:color w:val="231F20"/>
          <w:spacing w:val="-10"/>
        </w:rPr>
        <w:t> </w:t>
      </w:r>
      <w:r>
        <w:rPr>
          <w:color w:val="231F20"/>
        </w:rPr>
        <w:t>en</w:t>
      </w:r>
      <w:r>
        <w:rPr>
          <w:color w:val="231F20"/>
          <w:spacing w:val="-10"/>
        </w:rPr>
        <w:t> </w:t>
      </w:r>
      <w:r>
        <w:rPr>
          <w:color w:val="231F20"/>
        </w:rPr>
        <w:t>cuenta</w:t>
      </w:r>
      <w:r>
        <w:rPr>
          <w:color w:val="231F20"/>
          <w:spacing w:val="-10"/>
        </w:rPr>
        <w:t> </w:t>
      </w:r>
      <w:r>
        <w:rPr>
          <w:color w:val="231F20"/>
        </w:rPr>
        <w:t>para</w:t>
      </w:r>
      <w:r>
        <w:rPr>
          <w:color w:val="231F20"/>
          <w:spacing w:val="-9"/>
        </w:rPr>
        <w:t> </w:t>
      </w:r>
      <w:r>
        <w:rPr>
          <w:color w:val="231F20"/>
        </w:rPr>
        <w:t>la</w:t>
      </w:r>
      <w:r>
        <w:rPr>
          <w:color w:val="231F20"/>
          <w:spacing w:val="-10"/>
        </w:rPr>
        <w:t> </w:t>
      </w:r>
      <w:r>
        <w:rPr>
          <w:color w:val="231F20"/>
        </w:rPr>
        <w:t>mejor</w:t>
      </w:r>
      <w:r>
        <w:rPr>
          <w:color w:val="231F20"/>
          <w:spacing w:val="-10"/>
        </w:rPr>
        <w:t> </w:t>
      </w:r>
      <w:r>
        <w:rPr>
          <w:color w:val="231F20"/>
        </w:rPr>
        <w:t>comprensión</w:t>
      </w:r>
      <w:r>
        <w:rPr>
          <w:color w:val="231F20"/>
          <w:spacing w:val="-10"/>
        </w:rPr>
        <w:t> </w:t>
      </w:r>
      <w:r>
        <w:rPr>
          <w:color w:val="231F20"/>
        </w:rPr>
        <w:t>del</w:t>
      </w:r>
      <w:r>
        <w:rPr>
          <w:color w:val="231F20"/>
          <w:spacing w:val="-9"/>
        </w:rPr>
        <w:t> </w:t>
      </w:r>
      <w:r>
        <w:rPr>
          <w:color w:val="231F20"/>
        </w:rPr>
        <w:t>tema</w:t>
      </w:r>
      <w:r>
        <w:rPr>
          <w:color w:val="231F20"/>
          <w:spacing w:val="-10"/>
        </w:rPr>
        <w:t> </w:t>
      </w:r>
      <w:r>
        <w:rPr>
          <w:color w:val="231F20"/>
        </w:rPr>
        <w:t>por</w:t>
      </w:r>
      <w:r>
        <w:rPr>
          <w:color w:val="231F20"/>
          <w:spacing w:val="-10"/>
        </w:rPr>
        <w:t> </w:t>
      </w:r>
      <w:r>
        <w:rPr>
          <w:color w:val="231F20"/>
        </w:rPr>
        <w:t>estudiar. En el anterior sentido, es necesario, entonces, considerar</w:t>
      </w:r>
      <w:r>
        <w:rPr>
          <w:color w:val="231F20"/>
          <w:spacing w:val="-8"/>
        </w:rPr>
        <w:t> </w:t>
      </w:r>
      <w:r>
        <w:rPr>
          <w:color w:val="231F20"/>
        </w:rPr>
        <w:t>aspectos</w:t>
      </w:r>
      <w:r>
        <w:rPr>
          <w:color w:val="231F20"/>
          <w:spacing w:val="-1"/>
        </w:rPr>
        <w:t> </w:t>
      </w:r>
      <w:r>
        <w:rPr>
          <w:color w:val="231F20"/>
        </w:rPr>
        <w:t>rele- vantes en el nuevo escenario de los flujos migratorios andinos,</w:t>
      </w:r>
      <w:r>
        <w:rPr>
          <w:color w:val="231F20"/>
          <w:spacing w:val="37"/>
        </w:rPr>
        <w:t> </w:t>
      </w:r>
      <w:r>
        <w:rPr>
          <w:color w:val="231F20"/>
        </w:rPr>
        <w:t>de</w:t>
      </w:r>
      <w:r>
        <w:rPr>
          <w:color w:val="231F20"/>
          <w:spacing w:val="3"/>
        </w:rPr>
        <w:t> </w:t>
      </w:r>
      <w:r>
        <w:rPr>
          <w:color w:val="231F20"/>
        </w:rPr>
        <w:t>manera</w:t>
      </w:r>
      <w:r>
        <w:rPr>
          <w:color w:val="231F20"/>
          <w:w w:val="100"/>
        </w:rPr>
        <w:t> </w:t>
      </w:r>
      <w:r>
        <w:rPr>
          <w:color w:val="231F20"/>
        </w:rPr>
        <w:t>especial, entre otros: la crisis financiera internacional y</w:t>
      </w:r>
      <w:r>
        <w:rPr>
          <w:color w:val="231F20"/>
          <w:spacing w:val="46"/>
        </w:rPr>
        <w:t> </w:t>
      </w:r>
      <w:r>
        <w:rPr>
          <w:color w:val="231F20"/>
        </w:rPr>
        <w:t>sus</w:t>
      </w:r>
      <w:r>
        <w:rPr>
          <w:color w:val="231F20"/>
          <w:spacing w:val="5"/>
        </w:rPr>
        <w:t> </w:t>
      </w:r>
      <w:r>
        <w:rPr>
          <w:color w:val="231F20"/>
        </w:rPr>
        <w:t>implicaciones</w:t>
      </w:r>
      <w:r>
        <w:rPr>
          <w:color w:val="231F20"/>
          <w:w w:val="100"/>
        </w:rPr>
        <w:t> </w:t>
      </w:r>
      <w:r>
        <w:rPr>
          <w:color w:val="231F20"/>
        </w:rPr>
        <w:t>en</w:t>
      </w:r>
      <w:r>
        <w:rPr>
          <w:color w:val="231F20"/>
          <w:spacing w:val="-10"/>
        </w:rPr>
        <w:t> </w:t>
      </w:r>
      <w:r>
        <w:rPr>
          <w:color w:val="231F20"/>
        </w:rPr>
        <w:t>las</w:t>
      </w:r>
      <w:r>
        <w:rPr>
          <w:color w:val="231F20"/>
          <w:spacing w:val="-10"/>
        </w:rPr>
        <w:t> </w:t>
      </w:r>
      <w:r>
        <w:rPr>
          <w:color w:val="231F20"/>
        </w:rPr>
        <w:t>condiciones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migrantes</w:t>
      </w:r>
      <w:r>
        <w:rPr>
          <w:color w:val="231F20"/>
          <w:spacing w:val="-11"/>
        </w:rPr>
        <w:t> </w:t>
      </w:r>
      <w:r>
        <w:rPr>
          <w:color w:val="231F20"/>
        </w:rPr>
        <w:t>y</w:t>
      </w:r>
      <w:r>
        <w:rPr>
          <w:color w:val="231F20"/>
          <w:spacing w:val="-10"/>
        </w:rPr>
        <w:t> </w:t>
      </w:r>
      <w:r>
        <w:rPr>
          <w:color w:val="231F20"/>
        </w:rPr>
        <w:t>sus</w:t>
      </w:r>
      <w:r>
        <w:rPr>
          <w:color w:val="231F20"/>
          <w:spacing w:val="-10"/>
        </w:rPr>
        <w:t> </w:t>
      </w:r>
      <w:r>
        <w:rPr>
          <w:color w:val="231F20"/>
        </w:rPr>
        <w:t>familias;</w:t>
      </w:r>
      <w:r>
        <w:rPr>
          <w:color w:val="231F20"/>
          <w:spacing w:val="-10"/>
        </w:rPr>
        <w:t> </w:t>
      </w:r>
      <w:r>
        <w:rPr>
          <w:color w:val="231F20"/>
        </w:rPr>
        <w:t>las</w:t>
      </w:r>
      <w:r>
        <w:rPr>
          <w:color w:val="231F20"/>
          <w:spacing w:val="-10"/>
        </w:rPr>
        <w:t> </w:t>
      </w:r>
      <w:r>
        <w:rPr>
          <w:color w:val="231F20"/>
        </w:rPr>
        <w:t>recientes</w:t>
      </w:r>
      <w:r>
        <w:rPr>
          <w:color w:val="231F20"/>
          <w:spacing w:val="-10"/>
        </w:rPr>
        <w:t> </w:t>
      </w:r>
      <w:r>
        <w:rPr>
          <w:color w:val="231F20"/>
        </w:rPr>
        <w:t>medidas</w:t>
      </w:r>
      <w:r>
        <w:rPr>
          <w:color w:val="231F20"/>
          <w:spacing w:val="-11"/>
        </w:rPr>
        <w:t> </w:t>
      </w:r>
      <w:r>
        <w:rPr>
          <w:color w:val="231F20"/>
        </w:rPr>
        <w:t>de control migratorio por parte de los países de destino; y el incremento de</w:t>
      </w:r>
      <w:r>
        <w:rPr>
          <w:color w:val="231F20"/>
          <w:spacing w:val="-17"/>
        </w:rPr>
        <w:t> </w:t>
      </w:r>
      <w:r>
        <w:rPr>
          <w:color w:val="231F20"/>
        </w:rPr>
        <w:t>la</w:t>
      </w:r>
    </w:p>
    <w:p>
      <w:pPr>
        <w:pStyle w:val="BodyText"/>
        <w:spacing w:line="253" w:lineRule="exact"/>
        <w:ind w:left="117"/>
        <w:jc w:val="both"/>
      </w:pPr>
      <w:r>
        <w:rPr>
          <w:color w:val="231F20"/>
        </w:rPr>
        <w:t>xenofobia y discriminación a los migrantes.</w:t>
      </w:r>
    </w:p>
    <w:p>
      <w:pPr>
        <w:pStyle w:val="Heading3"/>
        <w:spacing w:before="178"/>
      </w:pPr>
      <w:r>
        <w:rPr>
          <w:color w:val="231F20"/>
        </w:rPr>
        <w:t>Las motivaciones del retorno</w:t>
      </w:r>
    </w:p>
    <w:p>
      <w:pPr>
        <w:pStyle w:val="BodyText"/>
        <w:spacing w:line="247" w:lineRule="auto" w:before="172"/>
        <w:ind w:left="117" w:right="115"/>
        <w:jc w:val="both"/>
      </w:pPr>
      <w:r>
        <w:rPr>
          <w:color w:val="231F20"/>
        </w:rPr>
        <w:t>El</w:t>
      </w:r>
      <w:r>
        <w:rPr>
          <w:color w:val="231F20"/>
          <w:spacing w:val="-7"/>
        </w:rPr>
        <w:t> </w:t>
      </w:r>
      <w:r>
        <w:rPr>
          <w:color w:val="231F20"/>
        </w:rPr>
        <w:t>retorno</w:t>
      </w:r>
      <w:r>
        <w:rPr>
          <w:color w:val="231F20"/>
          <w:spacing w:val="-6"/>
        </w:rPr>
        <w:t> </w:t>
      </w:r>
      <w:r>
        <w:rPr>
          <w:color w:val="231F20"/>
        </w:rPr>
        <w:t>es</w:t>
      </w:r>
      <w:r>
        <w:rPr>
          <w:color w:val="231F20"/>
          <w:spacing w:val="-7"/>
        </w:rPr>
        <w:t> </w:t>
      </w:r>
      <w:r>
        <w:rPr>
          <w:color w:val="231F20"/>
        </w:rPr>
        <w:t>una</w:t>
      </w:r>
      <w:r>
        <w:rPr>
          <w:color w:val="231F20"/>
          <w:spacing w:val="-7"/>
        </w:rPr>
        <w:t> </w:t>
      </w:r>
      <w:r>
        <w:rPr>
          <w:color w:val="231F20"/>
        </w:rPr>
        <w:t>opción,</w:t>
      </w:r>
      <w:r>
        <w:rPr>
          <w:color w:val="231F20"/>
          <w:spacing w:val="-6"/>
        </w:rPr>
        <w:t> </w:t>
      </w:r>
      <w:r>
        <w:rPr>
          <w:color w:val="231F20"/>
        </w:rPr>
        <w:t>un</w:t>
      </w:r>
      <w:r>
        <w:rPr>
          <w:color w:val="231F20"/>
          <w:spacing w:val="-7"/>
        </w:rPr>
        <w:t> </w:t>
      </w:r>
      <w:r>
        <w:rPr>
          <w:color w:val="231F20"/>
        </w:rPr>
        <w:t>posible</w:t>
      </w:r>
      <w:r>
        <w:rPr>
          <w:color w:val="231F20"/>
          <w:spacing w:val="-6"/>
        </w:rPr>
        <w:t> </w:t>
      </w:r>
      <w:r>
        <w:rPr>
          <w:color w:val="231F20"/>
        </w:rPr>
        <w:t>camino</w:t>
      </w:r>
      <w:r>
        <w:rPr>
          <w:color w:val="231F20"/>
          <w:spacing w:val="-7"/>
        </w:rPr>
        <w:t> </w:t>
      </w:r>
      <w:r>
        <w:rPr>
          <w:color w:val="231F20"/>
        </w:rPr>
        <w:t>al</w:t>
      </w:r>
      <w:r>
        <w:rPr>
          <w:color w:val="231F20"/>
          <w:spacing w:val="-7"/>
        </w:rPr>
        <w:t> </w:t>
      </w:r>
      <w:r>
        <w:rPr>
          <w:color w:val="231F20"/>
        </w:rPr>
        <w:t>interior</w:t>
      </w:r>
      <w:r>
        <w:rPr>
          <w:color w:val="231F20"/>
          <w:spacing w:val="-7"/>
        </w:rPr>
        <w:t> </w:t>
      </w:r>
      <w:r>
        <w:rPr>
          <w:color w:val="231F20"/>
        </w:rPr>
        <w:t>del</w:t>
      </w:r>
      <w:r>
        <w:rPr>
          <w:color w:val="231F20"/>
          <w:spacing w:val="-6"/>
        </w:rPr>
        <w:t> </w:t>
      </w:r>
      <w:r>
        <w:rPr>
          <w:color w:val="231F20"/>
        </w:rPr>
        <w:t>proyecto</w:t>
      </w:r>
      <w:r>
        <w:rPr>
          <w:color w:val="231F20"/>
          <w:spacing w:val="-6"/>
        </w:rPr>
        <w:t> </w:t>
      </w:r>
      <w:r>
        <w:rPr>
          <w:color w:val="231F20"/>
        </w:rPr>
        <w:t>migra- torio</w:t>
      </w:r>
      <w:r>
        <w:rPr>
          <w:color w:val="231F20"/>
          <w:spacing w:val="-13"/>
        </w:rPr>
        <w:t> </w:t>
      </w:r>
      <w:r>
        <w:rPr>
          <w:color w:val="231F20"/>
        </w:rPr>
        <w:t>y</w:t>
      </w:r>
      <w:r>
        <w:rPr>
          <w:color w:val="231F20"/>
          <w:spacing w:val="-12"/>
        </w:rPr>
        <w:t> </w:t>
      </w:r>
      <w:r>
        <w:rPr>
          <w:color w:val="231F20"/>
        </w:rPr>
        <w:t>no</w:t>
      </w:r>
      <w:r>
        <w:rPr>
          <w:color w:val="231F20"/>
          <w:spacing w:val="-12"/>
        </w:rPr>
        <w:t> </w:t>
      </w:r>
      <w:r>
        <w:rPr>
          <w:color w:val="231F20"/>
        </w:rPr>
        <w:t>su</w:t>
      </w:r>
      <w:r>
        <w:rPr>
          <w:color w:val="231F20"/>
          <w:spacing w:val="-12"/>
        </w:rPr>
        <w:t> </w:t>
      </w:r>
      <w:r>
        <w:rPr>
          <w:color w:val="231F20"/>
        </w:rPr>
        <w:t>necesario</w:t>
      </w:r>
      <w:r>
        <w:rPr>
          <w:color w:val="231F20"/>
          <w:spacing w:val="-13"/>
        </w:rPr>
        <w:t> </w:t>
      </w:r>
      <w:r>
        <w:rPr>
          <w:color w:val="231F20"/>
        </w:rPr>
        <w:t>desenlace.</w:t>
      </w:r>
      <w:r>
        <w:rPr>
          <w:color w:val="231F20"/>
          <w:spacing w:val="-12"/>
        </w:rPr>
        <w:t> </w:t>
      </w:r>
      <w:r>
        <w:rPr>
          <w:color w:val="231F20"/>
        </w:rPr>
        <w:t>Por</w:t>
      </w:r>
      <w:r>
        <w:rPr>
          <w:color w:val="231F20"/>
          <w:spacing w:val="-12"/>
        </w:rPr>
        <w:t> </w:t>
      </w:r>
      <w:r>
        <w:rPr>
          <w:color w:val="231F20"/>
        </w:rPr>
        <w:t>consiguiente,</w:t>
      </w:r>
      <w:r>
        <w:rPr>
          <w:color w:val="231F20"/>
          <w:spacing w:val="-13"/>
        </w:rPr>
        <w:t> </w:t>
      </w:r>
      <w:r>
        <w:rPr>
          <w:color w:val="231F20"/>
        </w:rPr>
        <w:t>la</w:t>
      </w:r>
      <w:r>
        <w:rPr>
          <w:color w:val="231F20"/>
          <w:spacing w:val="-12"/>
        </w:rPr>
        <w:t> </w:t>
      </w:r>
      <w:r>
        <w:rPr>
          <w:color w:val="231F20"/>
        </w:rPr>
        <w:t>intención</w:t>
      </w:r>
      <w:r>
        <w:rPr>
          <w:color w:val="231F20"/>
          <w:spacing w:val="-13"/>
        </w:rPr>
        <w:t> </w:t>
      </w:r>
      <w:r>
        <w:rPr>
          <w:color w:val="231F20"/>
        </w:rPr>
        <w:t>de</w:t>
      </w:r>
      <w:r>
        <w:rPr>
          <w:color w:val="231F20"/>
          <w:spacing w:val="-12"/>
        </w:rPr>
        <w:t> </w:t>
      </w:r>
      <w:r>
        <w:rPr>
          <w:color w:val="231F20"/>
        </w:rPr>
        <w:t>retornar implica</w:t>
      </w:r>
      <w:r>
        <w:rPr>
          <w:color w:val="231F20"/>
          <w:spacing w:val="-6"/>
        </w:rPr>
        <w:t> </w:t>
      </w:r>
      <w:r>
        <w:rPr>
          <w:color w:val="231F20"/>
        </w:rPr>
        <w:t>una</w:t>
      </w:r>
      <w:r>
        <w:rPr>
          <w:color w:val="231F20"/>
          <w:spacing w:val="-6"/>
        </w:rPr>
        <w:t> </w:t>
      </w:r>
      <w:r>
        <w:rPr>
          <w:color w:val="231F20"/>
        </w:rPr>
        <w:t>expectativa</w:t>
      </w:r>
      <w:r>
        <w:rPr>
          <w:color w:val="231F20"/>
          <w:spacing w:val="-6"/>
        </w:rPr>
        <w:t> </w:t>
      </w:r>
      <w:r>
        <w:rPr>
          <w:color w:val="231F20"/>
        </w:rPr>
        <w:t>permanente,</w:t>
      </w:r>
      <w:r>
        <w:rPr>
          <w:color w:val="231F20"/>
          <w:spacing w:val="-6"/>
        </w:rPr>
        <w:t> </w:t>
      </w:r>
      <w:r>
        <w:rPr>
          <w:color w:val="231F20"/>
        </w:rPr>
        <w:t>aunque</w:t>
      </w:r>
      <w:r>
        <w:rPr>
          <w:color w:val="231F20"/>
          <w:spacing w:val="-6"/>
        </w:rPr>
        <w:t> </w:t>
      </w:r>
      <w:r>
        <w:rPr>
          <w:color w:val="231F20"/>
        </w:rPr>
        <w:t>su</w:t>
      </w:r>
      <w:r>
        <w:rPr>
          <w:color w:val="231F20"/>
          <w:spacing w:val="-6"/>
        </w:rPr>
        <w:t> </w:t>
      </w:r>
      <w:r>
        <w:rPr>
          <w:color w:val="231F20"/>
        </w:rPr>
        <w:t>materialización</w:t>
      </w:r>
      <w:r>
        <w:rPr>
          <w:color w:val="231F20"/>
          <w:spacing w:val="-7"/>
        </w:rPr>
        <w:t> </w:t>
      </w:r>
      <w:r>
        <w:rPr>
          <w:color w:val="231F20"/>
        </w:rPr>
        <w:t>suele</w:t>
      </w:r>
      <w:r>
        <w:rPr>
          <w:color w:val="231F20"/>
          <w:spacing w:val="-6"/>
        </w:rPr>
        <w:t> </w:t>
      </w:r>
      <w:r>
        <w:rPr>
          <w:color w:val="231F20"/>
        </w:rPr>
        <w:t>estar sujeta</w:t>
      </w:r>
      <w:r>
        <w:rPr>
          <w:color w:val="231F20"/>
          <w:spacing w:val="-9"/>
        </w:rPr>
        <w:t> </w:t>
      </w:r>
      <w:r>
        <w:rPr>
          <w:color w:val="231F20"/>
        </w:rPr>
        <w:t>a</w:t>
      </w:r>
      <w:r>
        <w:rPr>
          <w:color w:val="231F20"/>
          <w:spacing w:val="-8"/>
        </w:rPr>
        <w:t> </w:t>
      </w:r>
      <w:r>
        <w:rPr>
          <w:color w:val="231F20"/>
        </w:rPr>
        <w:t>continuos</w:t>
      </w:r>
      <w:r>
        <w:rPr>
          <w:color w:val="231F20"/>
          <w:spacing w:val="-9"/>
        </w:rPr>
        <w:t> </w:t>
      </w:r>
      <w:r>
        <w:rPr>
          <w:color w:val="231F20"/>
        </w:rPr>
        <w:t>aplazamientos</w:t>
      </w:r>
      <w:r>
        <w:rPr>
          <w:color w:val="231F20"/>
          <w:spacing w:val="-8"/>
        </w:rPr>
        <w:t> </w:t>
      </w:r>
      <w:r>
        <w:rPr>
          <w:color w:val="231F20"/>
        </w:rPr>
        <w:t>y</w:t>
      </w:r>
      <w:r>
        <w:rPr>
          <w:color w:val="231F20"/>
          <w:spacing w:val="-8"/>
        </w:rPr>
        <w:t> </w:t>
      </w:r>
      <w:r>
        <w:rPr>
          <w:color w:val="231F20"/>
        </w:rPr>
        <w:t>reconfiguraciones</w:t>
      </w:r>
      <w:r>
        <w:rPr>
          <w:color w:val="231F20"/>
          <w:spacing w:val="-9"/>
        </w:rPr>
        <w:t> </w:t>
      </w:r>
      <w:r>
        <w:rPr>
          <w:color w:val="231F20"/>
        </w:rPr>
        <w:t>del</w:t>
      </w:r>
      <w:r>
        <w:rPr>
          <w:color w:val="231F20"/>
          <w:spacing w:val="-8"/>
        </w:rPr>
        <w:t> </w:t>
      </w:r>
      <w:r>
        <w:rPr>
          <w:color w:val="231F20"/>
        </w:rPr>
        <w:t>proyecto</w:t>
      </w:r>
      <w:r>
        <w:rPr>
          <w:color w:val="231F20"/>
          <w:spacing w:val="-9"/>
        </w:rPr>
        <w:t> </w:t>
      </w:r>
      <w:r>
        <w:rPr>
          <w:color w:val="231F20"/>
        </w:rPr>
        <w:t>de</w:t>
      </w:r>
      <w:r>
        <w:rPr>
          <w:color w:val="231F20"/>
          <w:spacing w:val="-8"/>
        </w:rPr>
        <w:t> </w:t>
      </w:r>
      <w:r>
        <w:rPr>
          <w:color w:val="231F20"/>
        </w:rPr>
        <w:t>vida, sin contar que, en términos normativos, el regreso no depende exclusiva- mente de la voluntad del migrante. La decisión de retornar, como explica Durand (2004) es “una resolución semejante a la que se da en el momen- to de la partida. Se podría decir que se reinicia el proceso migratorio en sentido inverso y por tanto se ingresa nuevamente a una fase de toma de decisiones”. Decisiones que pueden ser multicausales, determinadas por razones personales, familiares y de ciclo de vida, con la realidad de los contextos de origen y destino como referencia y con la condición</w:t>
      </w:r>
      <w:r>
        <w:rPr>
          <w:color w:val="231F20"/>
          <w:spacing w:val="-33"/>
        </w:rPr>
        <w:t> </w:t>
      </w:r>
      <w:r>
        <w:rPr>
          <w:color w:val="231F20"/>
        </w:rPr>
        <w:t>migrato- ria (situación irregular o regular) como</w:t>
      </w:r>
      <w:r>
        <w:rPr>
          <w:color w:val="231F20"/>
          <w:spacing w:val="-2"/>
        </w:rPr>
        <w:t> </w:t>
      </w:r>
      <w:r>
        <w:rPr>
          <w:color w:val="231F20"/>
        </w:rPr>
        <w:t>condicionante.</w:t>
      </w:r>
    </w:p>
    <w:p>
      <w:pPr>
        <w:pStyle w:val="BodyText"/>
        <w:spacing w:line="247" w:lineRule="auto"/>
        <w:ind w:left="117" w:right="115" w:firstLine="283"/>
        <w:jc w:val="both"/>
      </w:pPr>
      <w:r>
        <w:rPr>
          <w:color w:val="231F20"/>
        </w:rPr>
        <w:t>Sin embargo, es indiscutible que las situaciones de crisis tienden a exi- gir la reevaluación del proyecto de vida de las personas, en este caso en función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reconfiguración</w:t>
      </w:r>
      <w:r>
        <w:rPr>
          <w:color w:val="231F20"/>
          <w:spacing w:val="-10"/>
        </w:rPr>
        <w:t> </w:t>
      </w:r>
      <w:r>
        <w:rPr>
          <w:color w:val="231F20"/>
        </w:rPr>
        <w:t>de</w:t>
      </w:r>
      <w:r>
        <w:rPr>
          <w:color w:val="231F20"/>
          <w:spacing w:val="-10"/>
        </w:rPr>
        <w:t> </w:t>
      </w:r>
      <w:r>
        <w:rPr>
          <w:color w:val="231F20"/>
        </w:rPr>
        <w:t>nuevas</w:t>
      </w:r>
      <w:r>
        <w:rPr>
          <w:color w:val="231F20"/>
          <w:spacing w:val="-10"/>
        </w:rPr>
        <w:t> </w:t>
      </w:r>
      <w:r>
        <w:rPr>
          <w:color w:val="231F20"/>
        </w:rPr>
        <w:t>expectativas</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proyecciones que los/las migrantes hacen de su futuro y el de sus familias (Izaguirre, 2011: 8). Por lo tanto, el alto grado de incertidumbre del momento, junto a la creciente precarización del nivel de vida, exige en el migrante nego- ciaciones y resignificaciones de su proyecto migratorio que podrían estar estimulando un deseo de</w:t>
      </w:r>
      <w:r>
        <w:rPr>
          <w:color w:val="231F20"/>
          <w:spacing w:val="-14"/>
        </w:rPr>
        <w:t> </w:t>
      </w:r>
      <w:r>
        <w:rPr>
          <w:color w:val="231F20"/>
        </w:rPr>
        <w:t>retornar.</w:t>
      </w:r>
    </w:p>
    <w:p>
      <w:pPr>
        <w:pStyle w:val="BodyText"/>
        <w:spacing w:line="247" w:lineRule="auto"/>
        <w:ind w:left="117" w:right="113" w:firstLine="283"/>
        <w:jc w:val="both"/>
      </w:pPr>
      <w:r>
        <w:rPr>
          <w:color w:val="231F20"/>
        </w:rPr>
        <w:t>A pesar que la mayoría de los retornados entrevistados asocian su mi- gración desde el origen con expectativas de tipo económico, paradójica- mente, su regreso es atribuido a causas que sobrepasan lo estrictamente financiero. Lo anterior podría significar que para los migrantes la crisis  no</w:t>
      </w:r>
      <w:r>
        <w:rPr>
          <w:color w:val="231F20"/>
          <w:spacing w:val="28"/>
        </w:rPr>
        <w:t> </w:t>
      </w:r>
      <w:r>
        <w:rPr>
          <w:color w:val="231F20"/>
        </w:rPr>
        <w:t>opera</w:t>
      </w:r>
      <w:r>
        <w:rPr>
          <w:color w:val="231F20"/>
          <w:spacing w:val="28"/>
        </w:rPr>
        <w:t> </w:t>
      </w:r>
      <w:r>
        <w:rPr>
          <w:color w:val="231F20"/>
        </w:rPr>
        <w:t>necesariamente</w:t>
      </w:r>
      <w:r>
        <w:rPr>
          <w:color w:val="231F20"/>
          <w:spacing w:val="29"/>
        </w:rPr>
        <w:t> </w:t>
      </w:r>
      <w:r>
        <w:rPr>
          <w:color w:val="231F20"/>
        </w:rPr>
        <w:t>como</w:t>
      </w:r>
      <w:r>
        <w:rPr>
          <w:color w:val="231F20"/>
          <w:spacing w:val="28"/>
        </w:rPr>
        <w:t> </w:t>
      </w:r>
      <w:r>
        <w:rPr>
          <w:color w:val="231F20"/>
        </w:rPr>
        <w:t>el</w:t>
      </w:r>
      <w:r>
        <w:rPr>
          <w:color w:val="231F20"/>
          <w:spacing w:val="28"/>
        </w:rPr>
        <w:t> </w:t>
      </w:r>
      <w:r>
        <w:rPr>
          <w:color w:val="231F20"/>
        </w:rPr>
        <w:t>determinante</w:t>
      </w:r>
      <w:r>
        <w:rPr>
          <w:color w:val="231F20"/>
          <w:spacing w:val="28"/>
        </w:rPr>
        <w:t> </w:t>
      </w:r>
      <w:r>
        <w:rPr>
          <w:color w:val="231F20"/>
        </w:rPr>
        <w:t>principal</w:t>
      </w:r>
      <w:r>
        <w:rPr>
          <w:color w:val="231F20"/>
          <w:spacing w:val="28"/>
        </w:rPr>
        <w:t> </w:t>
      </w:r>
      <w:r>
        <w:rPr>
          <w:color w:val="231F20"/>
        </w:rPr>
        <w:t>de</w:t>
      </w:r>
      <w:r>
        <w:rPr>
          <w:color w:val="231F20"/>
          <w:spacing w:val="28"/>
        </w:rPr>
        <w:t> </w:t>
      </w:r>
      <w:r>
        <w:rPr>
          <w:color w:val="231F20"/>
        </w:rPr>
        <w:t>su</w:t>
      </w:r>
      <w:r>
        <w:rPr>
          <w:color w:val="231F20"/>
          <w:spacing w:val="28"/>
        </w:rPr>
        <w:t> </w:t>
      </w:r>
      <w:r>
        <w:rPr>
          <w:color w:val="231F20"/>
        </w:rPr>
        <w:t>regreso,</w:t>
      </w:r>
    </w:p>
    <w:p>
      <w:pPr>
        <w:spacing w:after="0" w:line="247" w:lineRule="auto"/>
        <w:jc w:val="both"/>
        <w:sectPr>
          <w:pgSz w:w="9360" w:h="13040"/>
          <w:pgMar w:header="0" w:footer="496" w:top="740" w:bottom="680" w:left="1300" w:right="1300"/>
        </w:sectPr>
      </w:pPr>
    </w:p>
    <w:p>
      <w:pPr>
        <w:tabs>
          <w:tab w:pos="5536" w:val="left" w:leader="none"/>
        </w:tabs>
        <w:spacing w:before="34"/>
        <w:ind w:left="117" w:right="0" w:firstLine="7"/>
        <w:jc w:val="both"/>
        <w:rPr>
          <w:sz w:val="18"/>
        </w:rPr>
      </w:pPr>
      <w:r>
        <w:rPr>
          <w:rFonts w:ascii="Arial" w:hAnsi="Arial"/>
          <w:color w:val="231F20"/>
          <w:w w:val="80"/>
          <w:position w:val="2"/>
          <w:sz w:val="20"/>
        </w:rPr>
        <w:t>Hitos</w:t>
      </w:r>
      <w:r>
        <w:rPr>
          <w:rFonts w:ascii="Arial" w:hAnsi="Arial"/>
          <w:color w:val="231F20"/>
          <w:spacing w:val="-14"/>
          <w:w w:val="80"/>
          <w:position w:val="2"/>
          <w:sz w:val="20"/>
        </w:rPr>
        <w:t> </w:t>
      </w:r>
      <w:r>
        <w:rPr>
          <w:rFonts w:ascii="Arial" w:hAnsi="Arial"/>
          <w:color w:val="231F20"/>
          <w:w w:val="80"/>
          <w:position w:val="2"/>
          <w:sz w:val="20"/>
        </w:rPr>
        <w:t>Demográficos</w:t>
      </w:r>
      <w:r>
        <w:rPr>
          <w:rFonts w:ascii="Arial" w:hAnsi="Arial"/>
          <w:color w:val="231F20"/>
          <w:spacing w:val="-14"/>
          <w:w w:val="80"/>
          <w:position w:val="2"/>
          <w:sz w:val="20"/>
        </w:rPr>
        <w:t> </w:t>
      </w:r>
      <w:r>
        <w:rPr>
          <w:rFonts w:ascii="Arial" w:hAnsi="Arial"/>
          <w:color w:val="231F20"/>
          <w:w w:val="80"/>
          <w:position w:val="2"/>
          <w:sz w:val="20"/>
        </w:rPr>
        <w:t>del</w:t>
      </w:r>
      <w:r>
        <w:rPr>
          <w:rFonts w:ascii="Arial" w:hAnsi="Arial"/>
          <w:color w:val="231F20"/>
          <w:spacing w:val="-14"/>
          <w:w w:val="80"/>
          <w:position w:val="2"/>
          <w:sz w:val="20"/>
        </w:rPr>
        <w:t> </w:t>
      </w:r>
      <w:r>
        <w:rPr>
          <w:rFonts w:ascii="Arial" w:hAnsi="Arial"/>
          <w:color w:val="231F20"/>
          <w:w w:val="80"/>
          <w:position w:val="2"/>
          <w:sz w:val="20"/>
        </w:rPr>
        <w:t>Siglo</w:t>
      </w:r>
      <w:r>
        <w:rPr>
          <w:rFonts w:ascii="Arial" w:hAnsi="Arial"/>
          <w:color w:val="231F20"/>
          <w:spacing w:val="-14"/>
          <w:w w:val="80"/>
          <w:position w:val="2"/>
          <w:sz w:val="20"/>
        </w:rPr>
        <w:t> </w:t>
      </w:r>
      <w:r>
        <w:rPr>
          <w:rFonts w:ascii="Arial" w:hAnsi="Arial"/>
          <w:color w:val="231F20"/>
          <w:w w:val="80"/>
          <w:position w:val="2"/>
          <w:sz w:val="20"/>
        </w:rPr>
        <w:t>XXI:</w:t>
      </w:r>
      <w:r>
        <w:rPr>
          <w:rFonts w:ascii="Arial" w:hAnsi="Arial"/>
          <w:color w:val="231F20"/>
          <w:spacing w:val="-14"/>
          <w:w w:val="80"/>
          <w:position w:val="2"/>
          <w:sz w:val="20"/>
        </w:rPr>
        <w:t> </w:t>
      </w:r>
      <w:r>
        <w:rPr>
          <w:rFonts w:ascii="Arial" w:hAnsi="Arial"/>
          <w:color w:val="231F20"/>
          <w:w w:val="80"/>
          <w:position w:val="2"/>
          <w:sz w:val="20"/>
        </w:rPr>
        <w:t>Migración</w:t>
      </w:r>
      <w:r>
        <w:rPr>
          <w:rFonts w:ascii="Arial" w:hAnsi="Arial"/>
          <w:color w:val="231F20"/>
          <w:spacing w:val="-14"/>
          <w:w w:val="80"/>
          <w:position w:val="2"/>
          <w:sz w:val="20"/>
        </w:rPr>
        <w:t> </w:t>
      </w:r>
      <w:r>
        <w:rPr>
          <w:rFonts w:ascii="Arial" w:hAnsi="Arial"/>
          <w:color w:val="231F20"/>
          <w:w w:val="80"/>
          <w:position w:val="2"/>
          <w:sz w:val="20"/>
        </w:rPr>
        <w:t>Internacional</w:t>
        <w:tab/>
      </w:r>
      <w:r>
        <w:rPr>
          <w:color w:val="231F20"/>
          <w:w w:val="90"/>
          <w:sz w:val="18"/>
        </w:rPr>
        <w:t>CIEAP/UAEM</w:t>
      </w:r>
    </w:p>
    <w:p>
      <w:pPr>
        <w:pStyle w:val="BodyText"/>
        <w:spacing w:before="2"/>
        <w:rPr>
          <w:sz w:val="21"/>
        </w:rPr>
      </w:pPr>
    </w:p>
    <w:p>
      <w:pPr>
        <w:pStyle w:val="BodyText"/>
        <w:spacing w:line="247" w:lineRule="auto"/>
        <w:ind w:left="117" w:right="114"/>
        <w:jc w:val="both"/>
      </w:pPr>
      <w:r>
        <w:rPr>
          <w:color w:val="231F20"/>
        </w:rPr>
        <w:t>sino que actúa como un detonante del deseo de volver, en el que el actual escenario de inestabilidad y discontinuidad laboral termina sencillamente acelerando</w:t>
      </w:r>
      <w:r>
        <w:rPr>
          <w:color w:val="231F20"/>
          <w:spacing w:val="-9"/>
        </w:rPr>
        <w:t> </w:t>
      </w:r>
      <w:r>
        <w:rPr>
          <w:color w:val="231F20"/>
        </w:rPr>
        <w:t>o</w:t>
      </w:r>
      <w:r>
        <w:rPr>
          <w:color w:val="231F20"/>
          <w:spacing w:val="-9"/>
        </w:rPr>
        <w:t> </w:t>
      </w:r>
      <w:r>
        <w:rPr>
          <w:color w:val="231F20"/>
        </w:rPr>
        <w:t>concretando</w:t>
      </w:r>
      <w:r>
        <w:rPr>
          <w:color w:val="231F20"/>
          <w:spacing w:val="-9"/>
        </w:rPr>
        <w:t> </w:t>
      </w:r>
      <w:r>
        <w:rPr>
          <w:color w:val="231F20"/>
        </w:rPr>
        <w:t>dicho</w:t>
      </w:r>
      <w:r>
        <w:rPr>
          <w:color w:val="231F20"/>
          <w:spacing w:val="-8"/>
        </w:rPr>
        <w:t> </w:t>
      </w:r>
      <w:r>
        <w:rPr>
          <w:color w:val="231F20"/>
        </w:rPr>
        <w:t>deseo,</w:t>
      </w:r>
      <w:r>
        <w:rPr>
          <w:color w:val="231F20"/>
          <w:spacing w:val="-8"/>
        </w:rPr>
        <w:t> </w:t>
      </w:r>
      <w:r>
        <w:rPr>
          <w:color w:val="231F20"/>
        </w:rPr>
        <w:t>sin</w:t>
      </w:r>
      <w:r>
        <w:rPr>
          <w:color w:val="231F20"/>
          <w:spacing w:val="-8"/>
        </w:rPr>
        <w:t> </w:t>
      </w:r>
      <w:r>
        <w:rPr>
          <w:color w:val="231F20"/>
        </w:rPr>
        <w:t>que</w:t>
      </w:r>
      <w:r>
        <w:rPr>
          <w:color w:val="231F20"/>
          <w:spacing w:val="-8"/>
        </w:rPr>
        <w:t> </w:t>
      </w:r>
      <w:r>
        <w:rPr>
          <w:color w:val="231F20"/>
        </w:rPr>
        <w:t>explique</w:t>
      </w:r>
      <w:r>
        <w:rPr>
          <w:color w:val="231F20"/>
          <w:spacing w:val="-9"/>
        </w:rPr>
        <w:t> </w:t>
      </w:r>
      <w:r>
        <w:rPr>
          <w:color w:val="231F20"/>
        </w:rPr>
        <w:t>por</w:t>
      </w:r>
      <w:r>
        <w:rPr>
          <w:color w:val="231F20"/>
          <w:spacing w:val="-9"/>
        </w:rPr>
        <w:t> </w:t>
      </w:r>
      <w:r>
        <w:rPr>
          <w:color w:val="231F20"/>
        </w:rPr>
        <w:t>sí</w:t>
      </w:r>
      <w:r>
        <w:rPr>
          <w:color w:val="231F20"/>
          <w:spacing w:val="-8"/>
        </w:rPr>
        <w:t> </w:t>
      </w:r>
      <w:r>
        <w:rPr>
          <w:color w:val="231F20"/>
        </w:rPr>
        <w:t>solo</w:t>
      </w:r>
      <w:r>
        <w:rPr>
          <w:color w:val="231F20"/>
          <w:spacing w:val="-8"/>
        </w:rPr>
        <w:t> </w:t>
      </w:r>
      <w:r>
        <w:rPr>
          <w:color w:val="231F20"/>
        </w:rPr>
        <w:t>los</w:t>
      </w:r>
      <w:r>
        <w:rPr>
          <w:color w:val="231F20"/>
          <w:spacing w:val="-9"/>
        </w:rPr>
        <w:t> </w:t>
      </w:r>
      <w:r>
        <w:rPr>
          <w:color w:val="231F20"/>
        </w:rPr>
        <w:t>pro- cesos</w:t>
      </w:r>
      <w:r>
        <w:rPr>
          <w:color w:val="231F20"/>
          <w:spacing w:val="-4"/>
        </w:rPr>
        <w:t> </w:t>
      </w:r>
      <w:r>
        <w:rPr>
          <w:color w:val="231F20"/>
        </w:rPr>
        <w:t>de</w:t>
      </w:r>
      <w:r>
        <w:rPr>
          <w:color w:val="231F20"/>
          <w:spacing w:val="-4"/>
        </w:rPr>
        <w:t> </w:t>
      </w:r>
      <w:r>
        <w:rPr>
          <w:color w:val="231F20"/>
        </w:rPr>
        <w:t>retorno</w:t>
      </w:r>
      <w:r>
        <w:rPr>
          <w:color w:val="231F20"/>
          <w:spacing w:val="-4"/>
        </w:rPr>
        <w:t> </w:t>
      </w:r>
      <w:r>
        <w:rPr>
          <w:color w:val="231F20"/>
        </w:rPr>
        <w:t>o</w:t>
      </w:r>
      <w:r>
        <w:rPr>
          <w:color w:val="231F20"/>
          <w:spacing w:val="-4"/>
        </w:rPr>
        <w:t> </w:t>
      </w:r>
      <w:r>
        <w:rPr>
          <w:color w:val="231F20"/>
        </w:rPr>
        <w:t>permanencia</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están</w:t>
      </w:r>
      <w:r>
        <w:rPr>
          <w:color w:val="231F20"/>
          <w:spacing w:val="-4"/>
        </w:rPr>
        <w:t> </w:t>
      </w:r>
      <w:r>
        <w:rPr>
          <w:color w:val="231F20"/>
        </w:rPr>
        <w:t>presentando.</w:t>
      </w:r>
      <w:r>
        <w:rPr>
          <w:color w:val="231F20"/>
          <w:spacing w:val="-4"/>
        </w:rPr>
        <w:t> </w:t>
      </w:r>
      <w:r>
        <w:rPr>
          <w:color w:val="231F20"/>
        </w:rPr>
        <w:t>Para</w:t>
      </w:r>
      <w:r>
        <w:rPr>
          <w:color w:val="231F20"/>
          <w:spacing w:val="-3"/>
        </w:rPr>
        <w:t> </w:t>
      </w:r>
      <w:r>
        <w:rPr>
          <w:color w:val="231F20"/>
        </w:rPr>
        <w:t>estos</w:t>
      </w:r>
      <w:r>
        <w:rPr>
          <w:color w:val="231F20"/>
          <w:spacing w:val="-4"/>
        </w:rPr>
        <w:t> </w:t>
      </w:r>
      <w:r>
        <w:rPr>
          <w:color w:val="231F20"/>
        </w:rPr>
        <w:t>retor- nados, la inminente complicación para alcanzar los objetivos económicos, al menos en el corto plazo, favoreció la valoración de otros aspectos de la vida,</w:t>
      </w:r>
      <w:r>
        <w:rPr>
          <w:color w:val="231F20"/>
          <w:spacing w:val="-9"/>
        </w:rPr>
        <w:t> </w:t>
      </w:r>
      <w:r>
        <w:rPr>
          <w:color w:val="231F20"/>
        </w:rPr>
        <w:t>que</w:t>
      </w:r>
      <w:r>
        <w:rPr>
          <w:color w:val="231F20"/>
          <w:spacing w:val="-9"/>
        </w:rPr>
        <w:t> </w:t>
      </w:r>
      <w:r>
        <w:rPr>
          <w:color w:val="231F20"/>
        </w:rPr>
        <w:t>hasta</w:t>
      </w:r>
      <w:r>
        <w:rPr>
          <w:color w:val="231F20"/>
          <w:spacing w:val="-9"/>
        </w:rPr>
        <w:t> </w:t>
      </w:r>
      <w:r>
        <w:rPr>
          <w:color w:val="231F20"/>
        </w:rPr>
        <w:t>antes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crisis</w:t>
      </w:r>
      <w:r>
        <w:rPr>
          <w:color w:val="231F20"/>
          <w:spacing w:val="-9"/>
        </w:rPr>
        <w:t> </w:t>
      </w:r>
      <w:r>
        <w:rPr>
          <w:color w:val="231F20"/>
        </w:rPr>
        <w:t>habían</w:t>
      </w:r>
      <w:r>
        <w:rPr>
          <w:color w:val="231F20"/>
          <w:spacing w:val="-9"/>
        </w:rPr>
        <w:t> </w:t>
      </w:r>
      <w:r>
        <w:rPr>
          <w:color w:val="231F20"/>
        </w:rPr>
        <w:t>ocupado</w:t>
      </w:r>
      <w:r>
        <w:rPr>
          <w:color w:val="231F20"/>
          <w:spacing w:val="-9"/>
        </w:rPr>
        <w:t> </w:t>
      </w:r>
      <w:r>
        <w:rPr>
          <w:color w:val="231F20"/>
        </w:rPr>
        <w:t>un</w:t>
      </w:r>
      <w:r>
        <w:rPr>
          <w:color w:val="231F20"/>
          <w:spacing w:val="-9"/>
        </w:rPr>
        <w:t> </w:t>
      </w:r>
      <w:r>
        <w:rPr>
          <w:color w:val="231F20"/>
        </w:rPr>
        <w:t>lugar</w:t>
      </w:r>
      <w:r>
        <w:rPr>
          <w:color w:val="231F20"/>
          <w:spacing w:val="-9"/>
        </w:rPr>
        <w:t> </w:t>
      </w:r>
      <w:r>
        <w:rPr>
          <w:color w:val="231F20"/>
        </w:rPr>
        <w:t>secundario</w:t>
      </w:r>
      <w:r>
        <w:rPr>
          <w:color w:val="231F20"/>
          <w:spacing w:val="-8"/>
        </w:rPr>
        <w:t> </w:t>
      </w:r>
      <w:r>
        <w:rPr>
          <w:color w:val="231F20"/>
        </w:rPr>
        <w:t>o,</w:t>
      </w:r>
      <w:r>
        <w:rPr>
          <w:color w:val="231F20"/>
          <w:spacing w:val="-9"/>
        </w:rPr>
        <w:t> </w:t>
      </w:r>
      <w:r>
        <w:rPr>
          <w:color w:val="231F20"/>
        </w:rPr>
        <w:t>por lo menos, no se evocaban de la misma</w:t>
      </w:r>
      <w:r>
        <w:rPr>
          <w:color w:val="231F20"/>
          <w:spacing w:val="-5"/>
        </w:rPr>
        <w:t> </w:t>
      </w:r>
      <w:r>
        <w:rPr>
          <w:color w:val="231F20"/>
        </w:rPr>
        <w:t>manera.</w:t>
      </w:r>
    </w:p>
    <w:p>
      <w:pPr>
        <w:pStyle w:val="BodyText"/>
        <w:spacing w:line="247" w:lineRule="auto"/>
        <w:ind w:left="117" w:right="114" w:firstLine="283"/>
        <w:jc w:val="right"/>
      </w:pPr>
      <w:r>
        <w:rPr>
          <w:color w:val="231F20"/>
        </w:rPr>
        <w:t>Entre las motivaciones no económicas o laborales para el</w:t>
      </w:r>
      <w:r>
        <w:rPr>
          <w:color w:val="231F20"/>
          <w:spacing w:val="30"/>
        </w:rPr>
        <w:t> </w:t>
      </w:r>
      <w:r>
        <w:rPr>
          <w:color w:val="231F20"/>
        </w:rPr>
        <w:t>retorno</w:t>
      </w:r>
      <w:r>
        <w:rPr>
          <w:color w:val="231F20"/>
          <w:spacing w:val="10"/>
        </w:rPr>
        <w:t> </w:t>
      </w:r>
      <w:r>
        <w:rPr>
          <w:color w:val="231F20"/>
        </w:rPr>
        <w:t>más referidas en las entrevistas están las de tipo familiar,</w:t>
      </w:r>
      <w:r>
        <w:rPr>
          <w:color w:val="231F20"/>
          <w:spacing w:val="6"/>
        </w:rPr>
        <w:t> </w:t>
      </w:r>
      <w:r>
        <w:rPr>
          <w:color w:val="231F20"/>
        </w:rPr>
        <w:t>asociadas</w:t>
      </w:r>
      <w:r>
        <w:rPr>
          <w:color w:val="231F20"/>
          <w:spacing w:val="6"/>
        </w:rPr>
        <w:t> </w:t>
      </w:r>
      <w:r>
        <w:rPr>
          <w:color w:val="231F20"/>
        </w:rPr>
        <w:t>frecuente- mente a la existencia de hijos en origen, o de hijos nacidos en</w:t>
      </w:r>
      <w:r>
        <w:rPr>
          <w:color w:val="231F20"/>
          <w:spacing w:val="3"/>
        </w:rPr>
        <w:t> </w:t>
      </w:r>
      <w:r>
        <w:rPr>
          <w:color w:val="231F20"/>
        </w:rPr>
        <w:t>destino,</w:t>
      </w:r>
      <w:r>
        <w:rPr>
          <w:color w:val="231F20"/>
          <w:spacing w:val="13"/>
        </w:rPr>
        <w:t> </w:t>
      </w:r>
      <w:r>
        <w:rPr>
          <w:color w:val="231F20"/>
        </w:rPr>
        <w:t>o llegados pequeños a él, que entran a la adolescencia. Estas</w:t>
      </w:r>
      <w:r>
        <w:rPr>
          <w:color w:val="231F20"/>
          <w:spacing w:val="4"/>
        </w:rPr>
        <w:t> </w:t>
      </w:r>
      <w:r>
        <w:rPr>
          <w:color w:val="231F20"/>
        </w:rPr>
        <w:t>dos</w:t>
      </w:r>
      <w:r>
        <w:rPr>
          <w:color w:val="231F20"/>
          <w:spacing w:val="6"/>
        </w:rPr>
        <w:t> </w:t>
      </w:r>
      <w:r>
        <w:rPr>
          <w:color w:val="231F20"/>
        </w:rPr>
        <w:t>realidades impulsan el retorno parental, aunque de distinta forma. En la</w:t>
      </w:r>
      <w:r>
        <w:rPr>
          <w:color w:val="231F20"/>
          <w:spacing w:val="16"/>
        </w:rPr>
        <w:t> </w:t>
      </w:r>
      <w:r>
        <w:rPr>
          <w:color w:val="231F20"/>
        </w:rPr>
        <w:t>primera</w:t>
      </w:r>
      <w:r>
        <w:rPr>
          <w:color w:val="231F20"/>
          <w:spacing w:val="18"/>
        </w:rPr>
        <w:t> </w:t>
      </w:r>
      <w:r>
        <w:rPr>
          <w:color w:val="231F20"/>
        </w:rPr>
        <w:t>se</w:t>
      </w:r>
      <w:r>
        <w:rPr>
          <w:color w:val="231F20"/>
          <w:spacing w:val="-1"/>
        </w:rPr>
        <w:t> </w:t>
      </w:r>
      <w:r>
        <w:rPr>
          <w:color w:val="231F20"/>
        </w:rPr>
        <w:t>regresa por la necesidad de ejercer la maternidad o la paternidad (en espe- cial la primera) de manera presencial. El segundo escenario</w:t>
      </w:r>
      <w:r>
        <w:rPr>
          <w:color w:val="231F20"/>
          <w:spacing w:val="35"/>
        </w:rPr>
        <w:t> </w:t>
      </w:r>
      <w:r>
        <w:rPr>
          <w:color w:val="231F20"/>
        </w:rPr>
        <w:t>coincide</w:t>
      </w:r>
      <w:r>
        <w:rPr>
          <w:color w:val="231F20"/>
          <w:spacing w:val="9"/>
        </w:rPr>
        <w:t> </w:t>
      </w:r>
      <w:r>
        <w:rPr>
          <w:color w:val="231F20"/>
        </w:rPr>
        <w:t>con el descrito por Izaguirre (2011), en el que el migrante desea educar</w:t>
      </w:r>
      <w:r>
        <w:rPr>
          <w:color w:val="231F20"/>
          <w:spacing w:val="10"/>
        </w:rPr>
        <w:t> </w:t>
      </w:r>
      <w:r>
        <w:rPr>
          <w:color w:val="231F20"/>
        </w:rPr>
        <w:t>a</w:t>
      </w:r>
      <w:r>
        <w:rPr>
          <w:color w:val="231F20"/>
          <w:spacing w:val="10"/>
        </w:rPr>
        <w:t> </w:t>
      </w:r>
      <w:r>
        <w:rPr>
          <w:color w:val="231F20"/>
        </w:rPr>
        <w:t>sus</w:t>
      </w:r>
      <w:r>
        <w:rPr>
          <w:color w:val="231F20"/>
          <w:spacing w:val="-1"/>
        </w:rPr>
        <w:t> </w:t>
      </w:r>
      <w:r>
        <w:rPr>
          <w:color w:val="231F20"/>
        </w:rPr>
        <w:t>hijos/as donde puedan contar con redes familiares y relaciones</w:t>
      </w:r>
      <w:r>
        <w:rPr>
          <w:color w:val="231F20"/>
          <w:spacing w:val="34"/>
        </w:rPr>
        <w:t> </w:t>
      </w:r>
      <w:r>
        <w:rPr>
          <w:color w:val="231F20"/>
        </w:rPr>
        <w:t>de</w:t>
      </w:r>
      <w:r>
        <w:rPr>
          <w:color w:val="231F20"/>
          <w:spacing w:val="9"/>
        </w:rPr>
        <w:t> </w:t>
      </w:r>
      <w:r>
        <w:rPr>
          <w:color w:val="231F20"/>
        </w:rPr>
        <w:t>solida- ridad, afecto y amor, además de valores más cercanos a los</w:t>
      </w:r>
      <w:r>
        <w:rPr>
          <w:color w:val="231F20"/>
          <w:spacing w:val="-31"/>
        </w:rPr>
        <w:t> </w:t>
      </w:r>
      <w:r>
        <w:rPr>
          <w:color w:val="231F20"/>
        </w:rPr>
        <w:t>propios.</w:t>
      </w:r>
      <w:r>
        <w:rPr>
          <w:color w:val="231F20"/>
          <w:spacing w:val="-3"/>
        </w:rPr>
        <w:t> </w:t>
      </w:r>
      <w:r>
        <w:rPr>
          <w:color w:val="231F20"/>
        </w:rPr>
        <w:t>Igual- mente, la adolescencia supone, en algunos casos de hijos en destino,</w:t>
      </w:r>
      <w:r>
        <w:rPr>
          <w:color w:val="231F20"/>
          <w:spacing w:val="10"/>
        </w:rPr>
        <w:t> </w:t>
      </w:r>
      <w:r>
        <w:rPr>
          <w:color w:val="231F20"/>
        </w:rPr>
        <w:t>una presión</w:t>
      </w:r>
      <w:r>
        <w:rPr>
          <w:color w:val="231F20"/>
          <w:spacing w:val="-8"/>
        </w:rPr>
        <w:t> </w:t>
      </w:r>
      <w:r>
        <w:rPr>
          <w:color w:val="231F20"/>
        </w:rPr>
        <w:t>adicional,</w:t>
      </w:r>
      <w:r>
        <w:rPr>
          <w:color w:val="231F20"/>
          <w:spacing w:val="-8"/>
        </w:rPr>
        <w:t> </w:t>
      </w:r>
      <w:r>
        <w:rPr>
          <w:color w:val="231F20"/>
        </w:rPr>
        <w:t>ante</w:t>
      </w:r>
      <w:r>
        <w:rPr>
          <w:color w:val="231F20"/>
          <w:spacing w:val="-8"/>
        </w:rPr>
        <w:t> </w:t>
      </w:r>
      <w:r>
        <w:rPr>
          <w:color w:val="231F20"/>
        </w:rPr>
        <w:t>el</w:t>
      </w:r>
      <w:r>
        <w:rPr>
          <w:color w:val="231F20"/>
          <w:spacing w:val="-8"/>
        </w:rPr>
        <w:t> </w:t>
      </w:r>
      <w:r>
        <w:rPr>
          <w:color w:val="231F20"/>
        </w:rPr>
        <w:t>temor</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llegada</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mayoría</w:t>
      </w:r>
      <w:r>
        <w:rPr>
          <w:color w:val="231F20"/>
          <w:spacing w:val="-8"/>
        </w:rPr>
        <w:t> </w:t>
      </w:r>
      <w:r>
        <w:rPr>
          <w:color w:val="231F20"/>
        </w:rPr>
        <w:t>de</w:t>
      </w:r>
      <w:r>
        <w:rPr>
          <w:color w:val="231F20"/>
          <w:spacing w:val="-8"/>
        </w:rPr>
        <w:t> </w:t>
      </w:r>
      <w:r>
        <w:rPr>
          <w:color w:val="231F20"/>
        </w:rPr>
        <w:t>edad, que</w:t>
      </w:r>
      <w:r>
        <w:rPr>
          <w:color w:val="231F20"/>
          <w:spacing w:val="-8"/>
        </w:rPr>
        <w:t> </w:t>
      </w:r>
      <w:r>
        <w:rPr>
          <w:color w:val="231F20"/>
        </w:rPr>
        <w:t>se</w:t>
      </w:r>
      <w:r>
        <w:rPr>
          <w:color w:val="231F20"/>
          <w:spacing w:val="-8"/>
        </w:rPr>
        <w:t> </w:t>
      </w:r>
      <w:r>
        <w:rPr>
          <w:color w:val="231F20"/>
        </w:rPr>
        <w:t>empieza</w:t>
      </w:r>
      <w:r>
        <w:rPr>
          <w:color w:val="231F20"/>
          <w:spacing w:val="-8"/>
        </w:rPr>
        <w:t> </w:t>
      </w:r>
      <w:r>
        <w:rPr>
          <w:color w:val="231F20"/>
        </w:rPr>
        <w:t>a</w:t>
      </w:r>
      <w:r>
        <w:rPr>
          <w:color w:val="231F20"/>
          <w:spacing w:val="-8"/>
        </w:rPr>
        <w:t> </w:t>
      </w:r>
      <w:r>
        <w:rPr>
          <w:color w:val="231F20"/>
        </w:rPr>
        <w:t>ver</w:t>
      </w:r>
      <w:r>
        <w:rPr>
          <w:color w:val="231F20"/>
          <w:spacing w:val="-8"/>
        </w:rPr>
        <w:t> </w:t>
      </w:r>
      <w:r>
        <w:rPr>
          <w:color w:val="231F20"/>
        </w:rPr>
        <w:t>próxima,</w:t>
      </w:r>
      <w:r>
        <w:rPr>
          <w:color w:val="231F20"/>
          <w:spacing w:val="-8"/>
        </w:rPr>
        <w:t> </w:t>
      </w:r>
      <w:r>
        <w:rPr>
          <w:color w:val="231F20"/>
        </w:rPr>
        <w:t>el</w:t>
      </w:r>
      <w:r>
        <w:rPr>
          <w:color w:val="231F20"/>
          <w:spacing w:val="-8"/>
        </w:rPr>
        <w:t> </w:t>
      </w:r>
      <w:r>
        <w:rPr>
          <w:color w:val="231F20"/>
        </w:rPr>
        <w:t>hijo</w:t>
      </w:r>
      <w:r>
        <w:rPr>
          <w:color w:val="231F20"/>
          <w:spacing w:val="-8"/>
        </w:rPr>
        <w:t> </w:t>
      </w:r>
      <w:r>
        <w:rPr>
          <w:color w:val="231F20"/>
        </w:rPr>
        <w:t>haga</w:t>
      </w:r>
      <w:r>
        <w:rPr>
          <w:color w:val="231F20"/>
          <w:spacing w:val="-8"/>
        </w:rPr>
        <w:t> </w:t>
      </w:r>
      <w:r>
        <w:rPr>
          <w:color w:val="231F20"/>
        </w:rPr>
        <w:t>uso</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derecho</w:t>
      </w:r>
      <w:r>
        <w:rPr>
          <w:color w:val="231F20"/>
          <w:spacing w:val="-8"/>
        </w:rPr>
        <w:t> </w:t>
      </w:r>
      <w:r>
        <w:rPr>
          <w:color w:val="231F20"/>
        </w:rPr>
        <w:t>a</w:t>
      </w:r>
      <w:r>
        <w:rPr>
          <w:color w:val="231F20"/>
          <w:spacing w:val="-8"/>
        </w:rPr>
        <w:t> </w:t>
      </w:r>
      <w:r>
        <w:rPr>
          <w:color w:val="231F20"/>
        </w:rPr>
        <w:t>no</w:t>
      </w:r>
      <w:r>
        <w:rPr>
          <w:color w:val="231F20"/>
          <w:spacing w:val="-8"/>
        </w:rPr>
        <w:t> </w:t>
      </w:r>
      <w:r>
        <w:rPr>
          <w:color w:val="231F20"/>
        </w:rPr>
        <w:t>regresar. Para</w:t>
      </w:r>
      <w:r>
        <w:rPr>
          <w:color w:val="231F20"/>
          <w:spacing w:val="-10"/>
        </w:rPr>
        <w:t> </w:t>
      </w:r>
      <w:r>
        <w:rPr>
          <w:color w:val="231F20"/>
        </w:rPr>
        <w:t>otras</w:t>
      </w:r>
      <w:r>
        <w:rPr>
          <w:color w:val="231F20"/>
          <w:spacing w:val="-10"/>
        </w:rPr>
        <w:t> </w:t>
      </w:r>
      <w:r>
        <w:rPr>
          <w:color w:val="231F20"/>
        </w:rPr>
        <w:t>personas,</w:t>
      </w:r>
      <w:r>
        <w:rPr>
          <w:color w:val="231F20"/>
          <w:spacing w:val="-10"/>
        </w:rPr>
        <w:t> </w:t>
      </w:r>
      <w:r>
        <w:rPr>
          <w:color w:val="231F20"/>
        </w:rPr>
        <w:t>particularmente</w:t>
      </w:r>
      <w:r>
        <w:rPr>
          <w:color w:val="231F20"/>
          <w:spacing w:val="-10"/>
        </w:rPr>
        <w:t> </w:t>
      </w:r>
      <w:r>
        <w:rPr>
          <w:color w:val="231F20"/>
        </w:rPr>
        <w:t>mujeres,</w:t>
      </w:r>
      <w:r>
        <w:rPr>
          <w:color w:val="231F20"/>
          <w:spacing w:val="-11"/>
        </w:rPr>
        <w:t> </w:t>
      </w:r>
      <w:r>
        <w:rPr>
          <w:color w:val="231F20"/>
        </w:rPr>
        <w:t>se</w:t>
      </w:r>
      <w:r>
        <w:rPr>
          <w:color w:val="231F20"/>
          <w:spacing w:val="-10"/>
        </w:rPr>
        <w:t> </w:t>
      </w:r>
      <w:r>
        <w:rPr>
          <w:color w:val="231F20"/>
        </w:rPr>
        <w:t>trataba</w:t>
      </w:r>
      <w:r>
        <w:rPr>
          <w:color w:val="231F20"/>
          <w:spacing w:val="-11"/>
        </w:rPr>
        <w:t> </w:t>
      </w:r>
      <w:r>
        <w:rPr>
          <w:color w:val="231F20"/>
        </w:rPr>
        <w:t>de</w:t>
      </w:r>
      <w:r>
        <w:rPr>
          <w:color w:val="231F20"/>
          <w:spacing w:val="-10"/>
        </w:rPr>
        <w:t> </w:t>
      </w:r>
      <w:r>
        <w:rPr>
          <w:color w:val="231F20"/>
        </w:rPr>
        <w:t>evitar</w:t>
      </w:r>
      <w:r>
        <w:rPr>
          <w:color w:val="231F20"/>
          <w:spacing w:val="-11"/>
        </w:rPr>
        <w:t> </w:t>
      </w:r>
      <w:r>
        <w:rPr>
          <w:color w:val="231F20"/>
        </w:rPr>
        <w:t>la</w:t>
      </w:r>
      <w:r>
        <w:rPr>
          <w:color w:val="231F20"/>
          <w:spacing w:val="-10"/>
        </w:rPr>
        <w:t> </w:t>
      </w:r>
      <w:r>
        <w:rPr>
          <w:color w:val="231F20"/>
        </w:rPr>
        <w:t>pér- dida de cariño de los hijos dejados o a la “reconquista” del</w:t>
      </w:r>
      <w:r>
        <w:rPr>
          <w:color w:val="231F20"/>
          <w:spacing w:val="39"/>
        </w:rPr>
        <w:t> </w:t>
      </w:r>
      <w:r>
        <w:rPr>
          <w:color w:val="231F20"/>
        </w:rPr>
        <w:t>papel</w:t>
      </w:r>
      <w:r>
        <w:rPr>
          <w:color w:val="231F20"/>
          <w:spacing w:val="8"/>
        </w:rPr>
        <w:t> </w:t>
      </w:r>
      <w:r>
        <w:rPr>
          <w:color w:val="231F20"/>
        </w:rPr>
        <w:t>perdido en</w:t>
      </w:r>
      <w:r>
        <w:rPr>
          <w:color w:val="231F20"/>
          <w:spacing w:val="13"/>
        </w:rPr>
        <w:t> </w:t>
      </w:r>
      <w:r>
        <w:rPr>
          <w:color w:val="231F20"/>
        </w:rPr>
        <w:t>manos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cuidadora,</w:t>
      </w:r>
      <w:r>
        <w:rPr>
          <w:color w:val="231F20"/>
          <w:spacing w:val="13"/>
        </w:rPr>
        <w:t> </w:t>
      </w:r>
      <w:r>
        <w:rPr>
          <w:color w:val="231F20"/>
        </w:rPr>
        <w:t>como</w:t>
      </w:r>
      <w:r>
        <w:rPr>
          <w:color w:val="231F20"/>
          <w:spacing w:val="13"/>
        </w:rPr>
        <w:t> </w:t>
      </w:r>
      <w:r>
        <w:rPr>
          <w:color w:val="231F20"/>
        </w:rPr>
        <w:t>se</w:t>
      </w:r>
      <w:r>
        <w:rPr>
          <w:color w:val="231F20"/>
          <w:spacing w:val="13"/>
        </w:rPr>
        <w:t> </w:t>
      </w:r>
      <w:r>
        <w:rPr>
          <w:color w:val="231F20"/>
        </w:rPr>
        <w:t>pone</w:t>
      </w:r>
      <w:r>
        <w:rPr>
          <w:color w:val="231F20"/>
          <w:spacing w:val="13"/>
        </w:rPr>
        <w:t> </w:t>
      </w:r>
      <w:r>
        <w:rPr>
          <w:color w:val="231F20"/>
        </w:rPr>
        <w:t>en</w:t>
      </w:r>
      <w:r>
        <w:rPr>
          <w:color w:val="231F20"/>
          <w:spacing w:val="13"/>
        </w:rPr>
        <w:t> </w:t>
      </w:r>
      <w:r>
        <w:rPr>
          <w:color w:val="231F20"/>
        </w:rPr>
        <w:t>evidencia</w:t>
      </w:r>
      <w:r>
        <w:rPr>
          <w:color w:val="231F20"/>
          <w:spacing w:val="13"/>
        </w:rPr>
        <w:t> </w:t>
      </w:r>
      <w:r>
        <w:rPr>
          <w:color w:val="231F20"/>
        </w:rPr>
        <w:t>en</w:t>
      </w:r>
      <w:r>
        <w:rPr>
          <w:color w:val="231F20"/>
          <w:spacing w:val="13"/>
        </w:rPr>
        <w:t> </w:t>
      </w:r>
      <w:r>
        <w:rPr>
          <w:color w:val="231F20"/>
        </w:rPr>
        <w:t>las</w:t>
      </w:r>
      <w:r>
        <w:rPr>
          <w:color w:val="231F20"/>
          <w:spacing w:val="13"/>
        </w:rPr>
        <w:t> </w:t>
      </w:r>
      <w:r>
        <w:rPr>
          <w:color w:val="231F20"/>
        </w:rPr>
        <w:t>palabras</w:t>
      </w:r>
      <w:r>
        <w:rPr>
          <w:color w:val="231F20"/>
          <w:spacing w:val="13"/>
        </w:rPr>
        <w:t> </w:t>
      </w:r>
      <w:r>
        <w:rPr>
          <w:color w:val="231F20"/>
        </w:rPr>
        <w:t>de</w:t>
      </w:r>
    </w:p>
    <w:p>
      <w:pPr>
        <w:pStyle w:val="BodyText"/>
        <w:spacing w:line="253" w:lineRule="exact"/>
        <w:ind w:left="117"/>
        <w:jc w:val="both"/>
      </w:pPr>
      <w:r>
        <w:rPr>
          <w:color w:val="231F20"/>
        </w:rPr>
        <w:t>una retornada boliviana:</w:t>
      </w:r>
    </w:p>
    <w:p>
      <w:pPr>
        <w:spacing w:line="249" w:lineRule="auto" w:before="175"/>
        <w:ind w:left="400" w:right="114" w:firstLine="0"/>
        <w:jc w:val="both"/>
        <w:rPr>
          <w:sz w:val="20"/>
        </w:rPr>
      </w:pPr>
      <w:r>
        <w:rPr>
          <w:sz w:val="20"/>
        </w:rPr>
        <w:t>me volví porque había dejado a esta niña de tres añitos y cada que llamaba     a mi mamá, ella [hija] en vez de decirme ‘¡mamá, hola!’, yo escuchaba que hablaban a los costados y mi mamá le decía: ‘ven mijita, ¿le vas a hablar a tu mami?’; ‘no, no, no, mi mami eres tú’. No es que fueran celos de mi mamá, pero era el miedo de perder a mi</w:t>
      </w:r>
      <w:r>
        <w:rPr>
          <w:spacing w:val="-2"/>
          <w:sz w:val="20"/>
        </w:rPr>
        <w:t> </w:t>
      </w:r>
      <w:r>
        <w:rPr>
          <w:sz w:val="20"/>
        </w:rPr>
        <w:t>hija.</w:t>
      </w:r>
    </w:p>
    <w:p>
      <w:pPr>
        <w:pStyle w:val="BodyText"/>
        <w:spacing w:line="247" w:lineRule="auto" w:before="172"/>
        <w:ind w:left="117" w:right="115" w:firstLine="283"/>
        <w:jc w:val="both"/>
      </w:pPr>
      <w:r>
        <w:rPr>
          <w:color w:val="231F20"/>
        </w:rPr>
        <w:t>Al</w:t>
      </w:r>
      <w:r>
        <w:rPr>
          <w:color w:val="231F20"/>
          <w:spacing w:val="-4"/>
        </w:rPr>
        <w:t> </w:t>
      </w:r>
      <w:r>
        <w:rPr>
          <w:color w:val="231F20"/>
        </w:rPr>
        <w:t>margen</w:t>
      </w:r>
      <w:r>
        <w:rPr>
          <w:color w:val="231F20"/>
          <w:spacing w:val="-4"/>
        </w:rPr>
        <w:t> </w:t>
      </w:r>
      <w:r>
        <w:rPr>
          <w:color w:val="231F20"/>
        </w:rPr>
        <w:t>de</w:t>
      </w:r>
      <w:r>
        <w:rPr>
          <w:color w:val="231F20"/>
          <w:spacing w:val="-4"/>
        </w:rPr>
        <w:t> </w:t>
      </w:r>
      <w:r>
        <w:rPr>
          <w:color w:val="231F20"/>
        </w:rPr>
        <w:t>lo</w:t>
      </w:r>
      <w:r>
        <w:rPr>
          <w:color w:val="231F20"/>
          <w:spacing w:val="-4"/>
        </w:rPr>
        <w:t> </w:t>
      </w:r>
      <w:r>
        <w:rPr>
          <w:color w:val="231F20"/>
        </w:rPr>
        <w:t>personal,</w:t>
      </w:r>
      <w:r>
        <w:rPr>
          <w:color w:val="231F20"/>
          <w:spacing w:val="-4"/>
        </w:rPr>
        <w:t> </w:t>
      </w:r>
      <w:r>
        <w:rPr>
          <w:color w:val="231F20"/>
        </w:rPr>
        <w:t>los</w:t>
      </w:r>
      <w:r>
        <w:rPr>
          <w:color w:val="231F20"/>
          <w:spacing w:val="-4"/>
        </w:rPr>
        <w:t> </w:t>
      </w:r>
      <w:r>
        <w:rPr>
          <w:color w:val="231F20"/>
        </w:rPr>
        <w:t>replanteamientos</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hacen</w:t>
      </w:r>
      <w:r>
        <w:rPr>
          <w:color w:val="231F20"/>
          <w:spacing w:val="-4"/>
        </w:rPr>
        <w:t> </w:t>
      </w:r>
      <w:r>
        <w:rPr>
          <w:color w:val="231F20"/>
        </w:rPr>
        <w:t>para</w:t>
      </w:r>
      <w:r>
        <w:rPr>
          <w:color w:val="231F20"/>
          <w:spacing w:val="-4"/>
        </w:rPr>
        <w:t> </w:t>
      </w:r>
      <w:r>
        <w:rPr>
          <w:color w:val="231F20"/>
        </w:rPr>
        <w:t>el</w:t>
      </w:r>
      <w:r>
        <w:rPr>
          <w:color w:val="231F20"/>
          <w:spacing w:val="-4"/>
        </w:rPr>
        <w:t> </w:t>
      </w:r>
      <w:r>
        <w:rPr>
          <w:color w:val="231F20"/>
        </w:rPr>
        <w:t>re- torno reflejan también las expectativas de vida que se trazan los</w:t>
      </w:r>
      <w:r>
        <w:rPr>
          <w:color w:val="231F20"/>
          <w:spacing w:val="-11"/>
        </w:rPr>
        <w:t> </w:t>
      </w:r>
      <w:r>
        <w:rPr>
          <w:color w:val="231F20"/>
        </w:rPr>
        <w:t>migrantes desde perspectivas mucho más particulares, que complejizan, aún más, el análisis de los causas de retorno. Entre los entrevistados se identifica una amplia variedad de situaciones individuales que los trajeron de vuelta, sin embargo, cabe señalar que ninguna de las razones que exponen explica por completo su regreso. Algunos manifiestan añoranzas culturales como motivo de regreso, incluso entre quienes fueron llevados o posteriormente</w:t>
      </w:r>
    </w:p>
    <w:p>
      <w:pPr>
        <w:spacing w:after="0" w:line="247" w:lineRule="auto"/>
        <w:jc w:val="both"/>
        <w:sectPr>
          <w:pgSz w:w="9360" w:h="13040"/>
          <w:pgMar w:header="0" w:footer="496" w:top="820" w:bottom="680" w:left="1300" w:right="1300"/>
        </w:sectPr>
      </w:pPr>
    </w:p>
    <w:p>
      <w:pPr>
        <w:spacing w:before="45"/>
        <w:ind w:left="117" w:right="0" w:firstLine="1352"/>
        <w:jc w:val="left"/>
        <w:rPr>
          <w:rFonts w:ascii="Arial" w:hAnsi="Arial"/>
          <w:sz w:val="20"/>
        </w:rPr>
      </w:pPr>
      <w:r>
        <w:rPr>
          <w:rFonts w:ascii="Arial" w:hAnsi="Arial"/>
          <w:color w:val="231F20"/>
          <w:w w:val="65"/>
          <w:sz w:val="20"/>
        </w:rPr>
        <w:t>Retorno de migrantes a la Comunidad Andina /William Mejía-Ochoa y Yeim Claudia Castro</w:t>
      </w:r>
    </w:p>
    <w:p>
      <w:pPr>
        <w:pStyle w:val="BodyText"/>
        <w:spacing w:before="7"/>
        <w:rPr>
          <w:rFonts w:ascii="Arial"/>
          <w:sz w:val="28"/>
        </w:rPr>
      </w:pPr>
    </w:p>
    <w:p>
      <w:pPr>
        <w:pStyle w:val="BodyText"/>
        <w:spacing w:line="247" w:lineRule="auto"/>
        <w:ind w:left="117" w:right="114"/>
        <w:jc w:val="both"/>
      </w:pPr>
      <w:r>
        <w:rPr>
          <w:color w:val="231F20"/>
        </w:rPr>
        <w:t>reagrupados por sus padres cuando eran niños, que al llegar a la juventud o la adultez desean reencontrarse con el medio y la familia extensa dejada atrás:</w:t>
      </w:r>
    </w:p>
    <w:p>
      <w:pPr>
        <w:spacing w:line="249" w:lineRule="auto" w:before="168"/>
        <w:ind w:left="400" w:right="115" w:firstLine="0"/>
        <w:jc w:val="both"/>
        <w:rPr>
          <w:sz w:val="20"/>
        </w:rPr>
      </w:pPr>
      <w:r>
        <w:rPr>
          <w:sz w:val="20"/>
        </w:rPr>
        <w:t>La cultura, la gente, ese desorden, esa familiaridad, la gente que es amable, todas esas cosas que cuando uno está allá pues es muy difícil porque la gente allá es muy fría, muy diferente, todos son en sus casas, todo es rápido, todo es correcto, entonces no hay como…, todo es como tan perfecto que a la vez es aburrido (retornada colombiana).</w:t>
      </w:r>
    </w:p>
    <w:p>
      <w:pPr>
        <w:pStyle w:val="BodyText"/>
        <w:spacing w:line="247" w:lineRule="auto" w:before="172"/>
        <w:ind w:left="117" w:right="114" w:firstLine="283"/>
        <w:jc w:val="both"/>
      </w:pPr>
      <w:r>
        <w:rPr>
          <w:color w:val="231F20"/>
        </w:rPr>
        <w:t>Por último, para algunas personas el retorno se ha dado, simplemente, como el fin previsto del proyecto migratorio, asociado con el logro de los objetivos económicos: “ya había adquirido un pequeño capital para hacer- me algo y ya estar bien aquí y más que todo para el estudio que los niños necesitaban” (Retornada boliviana). </w:t>
      </w:r>
      <w:r>
        <w:rPr>
          <w:color w:val="231F20"/>
          <w:spacing w:val="-6"/>
        </w:rPr>
        <w:t>Tal </w:t>
      </w:r>
      <w:r>
        <w:rPr>
          <w:color w:val="231F20"/>
        </w:rPr>
        <w:t>fin presume, generalmente, que el ciclo de vida laboral termina y se vuelve a donde se puede disfrutar de la capitalización de lo trabajado durante la migración: “yo tenía la fortuna</w:t>
      </w:r>
      <w:r>
        <w:rPr>
          <w:color w:val="231F20"/>
          <w:spacing w:val="-30"/>
        </w:rPr>
        <w:t> </w:t>
      </w:r>
      <w:r>
        <w:rPr>
          <w:color w:val="231F20"/>
        </w:rPr>
        <w:t>de tener mis documentos </w:t>
      </w:r>
      <w:r>
        <w:rPr>
          <w:color w:val="231F20"/>
          <w:spacing w:val="-8"/>
        </w:rPr>
        <w:t>y, </w:t>
      </w:r>
      <w:r>
        <w:rPr>
          <w:color w:val="231F20"/>
        </w:rPr>
        <w:t>por ejemplo, en el caso mío, pues yo trabajé doce años en una empresa y cumplí la edad para una pensión, media pensión” (Retornada colombiana). En cierto modo, volver bajo estas circunstancias supondría</w:t>
      </w:r>
      <w:r>
        <w:rPr>
          <w:color w:val="231F20"/>
          <w:spacing w:val="-5"/>
        </w:rPr>
        <w:t> </w:t>
      </w:r>
      <w:r>
        <w:rPr>
          <w:color w:val="231F20"/>
        </w:rPr>
        <w:t>el</w:t>
      </w:r>
      <w:r>
        <w:rPr>
          <w:color w:val="231F20"/>
          <w:spacing w:val="-6"/>
        </w:rPr>
        <w:t> </w:t>
      </w:r>
      <w:r>
        <w:rPr>
          <w:color w:val="231F20"/>
        </w:rPr>
        <w:t>cierre</w:t>
      </w:r>
      <w:r>
        <w:rPr>
          <w:color w:val="231F20"/>
          <w:spacing w:val="-6"/>
        </w:rPr>
        <w:t> </w:t>
      </w:r>
      <w:r>
        <w:rPr>
          <w:color w:val="231F20"/>
        </w:rPr>
        <w:t>del</w:t>
      </w:r>
      <w:r>
        <w:rPr>
          <w:color w:val="231F20"/>
          <w:spacing w:val="-6"/>
        </w:rPr>
        <w:t> </w:t>
      </w:r>
      <w:r>
        <w:rPr>
          <w:color w:val="231F20"/>
        </w:rPr>
        <w:t>proyecto</w:t>
      </w:r>
      <w:r>
        <w:rPr>
          <w:color w:val="231F20"/>
          <w:spacing w:val="-6"/>
        </w:rPr>
        <w:t> </w:t>
      </w:r>
      <w:r>
        <w:rPr>
          <w:color w:val="231F20"/>
        </w:rPr>
        <w:t>migratorio</w:t>
      </w:r>
      <w:r>
        <w:rPr>
          <w:color w:val="231F20"/>
          <w:spacing w:val="-6"/>
        </w:rPr>
        <w:t> </w:t>
      </w:r>
      <w:r>
        <w:rPr>
          <w:color w:val="231F20"/>
        </w:rPr>
        <w:t>al</w:t>
      </w:r>
      <w:r>
        <w:rPr>
          <w:color w:val="231F20"/>
          <w:spacing w:val="-6"/>
        </w:rPr>
        <w:t> </w:t>
      </w:r>
      <w:r>
        <w:rPr>
          <w:color w:val="231F20"/>
        </w:rPr>
        <w:t>considerar</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cumpli- do</w:t>
      </w:r>
      <w:r>
        <w:rPr>
          <w:color w:val="231F20"/>
          <w:spacing w:val="-7"/>
        </w:rPr>
        <w:t> </w:t>
      </w:r>
      <w:r>
        <w:rPr>
          <w:color w:val="231F20"/>
        </w:rPr>
        <w:t>con</w:t>
      </w:r>
      <w:r>
        <w:rPr>
          <w:color w:val="231F20"/>
          <w:spacing w:val="-7"/>
        </w:rPr>
        <w:t> </w:t>
      </w:r>
      <w:r>
        <w:rPr>
          <w:color w:val="231F20"/>
        </w:rPr>
        <w:t>los</w:t>
      </w:r>
      <w:r>
        <w:rPr>
          <w:color w:val="231F20"/>
          <w:spacing w:val="-7"/>
        </w:rPr>
        <w:t> </w:t>
      </w:r>
      <w:r>
        <w:rPr>
          <w:color w:val="231F20"/>
        </w:rPr>
        <w:t>fines</w:t>
      </w:r>
      <w:r>
        <w:rPr>
          <w:color w:val="231F20"/>
          <w:spacing w:val="-7"/>
        </w:rPr>
        <w:t> </w:t>
      </w:r>
      <w:r>
        <w:rPr>
          <w:color w:val="231F20"/>
        </w:rPr>
        <w:t>propuestos,</w:t>
      </w:r>
      <w:r>
        <w:rPr>
          <w:color w:val="231F20"/>
          <w:spacing w:val="-7"/>
        </w:rPr>
        <w:t> </w:t>
      </w:r>
      <w:r>
        <w:rPr>
          <w:color w:val="231F20"/>
        </w:rPr>
        <w:t>empero,</w:t>
      </w:r>
      <w:r>
        <w:rPr>
          <w:color w:val="231F20"/>
          <w:spacing w:val="-7"/>
        </w:rPr>
        <w:t> </w:t>
      </w:r>
      <w:r>
        <w:rPr>
          <w:color w:val="231F20"/>
        </w:rPr>
        <w:t>nada</w:t>
      </w:r>
      <w:r>
        <w:rPr>
          <w:color w:val="231F20"/>
          <w:spacing w:val="-7"/>
        </w:rPr>
        <w:t> </w:t>
      </w:r>
      <w:r>
        <w:rPr>
          <w:color w:val="231F20"/>
        </w:rPr>
        <w:t>asegura</w:t>
      </w:r>
      <w:r>
        <w:rPr>
          <w:color w:val="231F20"/>
          <w:spacing w:val="-7"/>
        </w:rPr>
        <w:t> </w:t>
      </w:r>
      <w:r>
        <w:rPr>
          <w:color w:val="231F20"/>
        </w:rPr>
        <w:t>que</w:t>
      </w:r>
      <w:r>
        <w:rPr>
          <w:color w:val="231F20"/>
          <w:spacing w:val="-7"/>
        </w:rPr>
        <w:t> </w:t>
      </w:r>
      <w:r>
        <w:rPr>
          <w:color w:val="231F20"/>
        </w:rPr>
        <w:t>una</w:t>
      </w:r>
      <w:r>
        <w:rPr>
          <w:color w:val="231F20"/>
          <w:spacing w:val="-7"/>
        </w:rPr>
        <w:t> </w:t>
      </w:r>
      <w:r>
        <w:rPr>
          <w:color w:val="231F20"/>
        </w:rPr>
        <w:t>vez</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haya regresado no se emprenda un nuevo propósito</w:t>
      </w:r>
      <w:r>
        <w:rPr>
          <w:color w:val="231F20"/>
          <w:spacing w:val="-2"/>
        </w:rPr>
        <w:t> </w:t>
      </w:r>
      <w:r>
        <w:rPr>
          <w:color w:val="231F20"/>
        </w:rPr>
        <w:t>migratorio.</w:t>
      </w:r>
    </w:p>
    <w:p>
      <w:pPr>
        <w:pStyle w:val="Heading3"/>
      </w:pPr>
      <w:r>
        <w:rPr>
          <w:color w:val="231F20"/>
        </w:rPr>
        <w:t>La realidad del retornado</w:t>
      </w:r>
    </w:p>
    <w:p>
      <w:pPr>
        <w:pStyle w:val="BodyText"/>
        <w:spacing w:line="247" w:lineRule="auto" w:before="172"/>
        <w:ind w:left="117" w:right="115"/>
        <w:jc w:val="both"/>
      </w:pPr>
      <w:r>
        <w:rPr>
          <w:color w:val="231F20"/>
        </w:rPr>
        <w:t>La realidad de los retornados, en el marco de tantas circunstancias como las planteadas atrás, establece procesos de reintegración con vivencias y resultados distintos, en los que participan no sólo ellos, con sus experien- cias y disposición, sino el medio que los acoge (familia, comunidad, ciu- dad, país), complejizados por las transformaciones que unos y otros</w:t>
      </w:r>
      <w:r>
        <w:rPr>
          <w:color w:val="231F20"/>
          <w:spacing w:val="-22"/>
        </w:rPr>
        <w:t> </w:t>
      </w:r>
      <w:r>
        <w:rPr>
          <w:color w:val="231F20"/>
        </w:rPr>
        <w:t>hayan sufrido desde el inicio de la</w:t>
      </w:r>
      <w:r>
        <w:rPr>
          <w:color w:val="231F20"/>
          <w:spacing w:val="-7"/>
        </w:rPr>
        <w:t> </w:t>
      </w:r>
      <w:r>
        <w:rPr>
          <w:color w:val="231F20"/>
        </w:rPr>
        <w:t>migración.</w:t>
      </w:r>
    </w:p>
    <w:p>
      <w:pPr>
        <w:pStyle w:val="BodyText"/>
        <w:spacing w:line="247" w:lineRule="auto"/>
        <w:ind w:left="117" w:right="114" w:firstLine="283"/>
        <w:jc w:val="both"/>
      </w:pPr>
      <w:r>
        <w:rPr>
          <w:color w:val="231F20"/>
        </w:rPr>
        <w:t>La capacidad de resignificar la propia identidad y otras condiciones de los</w:t>
      </w:r>
      <w:r>
        <w:rPr>
          <w:color w:val="231F20"/>
          <w:spacing w:val="-8"/>
        </w:rPr>
        <w:t> </w:t>
      </w:r>
      <w:r>
        <w:rPr>
          <w:color w:val="231F20"/>
        </w:rPr>
        <w:t>individuos,</w:t>
      </w:r>
      <w:r>
        <w:rPr>
          <w:color w:val="231F20"/>
          <w:spacing w:val="-9"/>
        </w:rPr>
        <w:t> </w:t>
      </w:r>
      <w:r>
        <w:rPr>
          <w:color w:val="231F20"/>
        </w:rPr>
        <w:t>como</w:t>
      </w:r>
      <w:r>
        <w:rPr>
          <w:color w:val="231F20"/>
          <w:spacing w:val="-8"/>
        </w:rPr>
        <w:t> </w:t>
      </w:r>
      <w:r>
        <w:rPr>
          <w:color w:val="231F20"/>
        </w:rPr>
        <w:t>la</w:t>
      </w:r>
      <w:r>
        <w:rPr>
          <w:color w:val="231F20"/>
          <w:spacing w:val="-8"/>
        </w:rPr>
        <w:t> </w:t>
      </w:r>
      <w:r>
        <w:rPr>
          <w:color w:val="231F20"/>
        </w:rPr>
        <w:t>duración</w:t>
      </w:r>
      <w:r>
        <w:rPr>
          <w:color w:val="231F20"/>
          <w:spacing w:val="-8"/>
        </w:rPr>
        <w:t> </w:t>
      </w:r>
      <w:r>
        <w:rPr>
          <w:color w:val="231F20"/>
        </w:rPr>
        <w:t>y</w:t>
      </w:r>
      <w:r>
        <w:rPr>
          <w:color w:val="231F20"/>
          <w:spacing w:val="-8"/>
        </w:rPr>
        <w:t> </w:t>
      </w:r>
      <w:r>
        <w:rPr>
          <w:color w:val="231F20"/>
        </w:rPr>
        <w:t>calidad</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experiencia</w:t>
      </w:r>
      <w:r>
        <w:rPr>
          <w:color w:val="231F20"/>
          <w:spacing w:val="-9"/>
        </w:rPr>
        <w:t> </w:t>
      </w:r>
      <w:r>
        <w:rPr>
          <w:color w:val="231F20"/>
        </w:rPr>
        <w:t>migratoria,</w:t>
      </w:r>
      <w:r>
        <w:rPr>
          <w:color w:val="231F20"/>
          <w:spacing w:val="-9"/>
        </w:rPr>
        <w:t> </w:t>
      </w:r>
      <w:r>
        <w:rPr>
          <w:color w:val="231F20"/>
        </w:rPr>
        <w:t>las motivaciones</w:t>
      </w:r>
      <w:r>
        <w:rPr>
          <w:color w:val="231F20"/>
          <w:spacing w:val="-5"/>
        </w:rPr>
        <w:t> </w:t>
      </w:r>
      <w:r>
        <w:rPr>
          <w:color w:val="231F20"/>
        </w:rPr>
        <w:t>para</w:t>
      </w:r>
      <w:r>
        <w:rPr>
          <w:color w:val="231F20"/>
          <w:spacing w:val="-5"/>
        </w:rPr>
        <w:t> </w:t>
      </w:r>
      <w:r>
        <w:rPr>
          <w:color w:val="231F20"/>
        </w:rPr>
        <w:t>el</w:t>
      </w:r>
      <w:r>
        <w:rPr>
          <w:color w:val="231F20"/>
          <w:spacing w:val="-5"/>
        </w:rPr>
        <w:t> </w:t>
      </w:r>
      <w:r>
        <w:rPr>
          <w:color w:val="231F20"/>
        </w:rPr>
        <w:t>regreso,</w:t>
      </w:r>
      <w:r>
        <w:rPr>
          <w:color w:val="231F20"/>
          <w:spacing w:val="-5"/>
        </w:rPr>
        <w:t> </w:t>
      </w:r>
      <w:r>
        <w:rPr>
          <w:color w:val="231F20"/>
        </w:rPr>
        <w:t>los</w:t>
      </w:r>
      <w:r>
        <w:rPr>
          <w:color w:val="231F20"/>
          <w:spacing w:val="-5"/>
        </w:rPr>
        <w:t> </w:t>
      </w:r>
      <w:r>
        <w:rPr>
          <w:color w:val="231F20"/>
        </w:rPr>
        <w:t>ahorros</w:t>
      </w:r>
      <w:r>
        <w:rPr>
          <w:color w:val="231F20"/>
          <w:spacing w:val="-5"/>
        </w:rPr>
        <w:t> </w:t>
      </w:r>
      <w:r>
        <w:rPr>
          <w:color w:val="231F20"/>
        </w:rPr>
        <w:t>obtenidos,</w:t>
      </w:r>
      <w:r>
        <w:rPr>
          <w:color w:val="231F20"/>
          <w:spacing w:val="-5"/>
        </w:rPr>
        <w:t> </w:t>
      </w:r>
      <w:r>
        <w:rPr>
          <w:color w:val="231F20"/>
        </w:rPr>
        <w:t>los</w:t>
      </w:r>
      <w:r>
        <w:rPr>
          <w:color w:val="231F20"/>
          <w:spacing w:val="-5"/>
        </w:rPr>
        <w:t> </w:t>
      </w:r>
      <w:r>
        <w:rPr>
          <w:color w:val="231F20"/>
        </w:rPr>
        <w:t>vínculos</w:t>
      </w:r>
      <w:r>
        <w:rPr>
          <w:color w:val="231F20"/>
          <w:spacing w:val="-5"/>
        </w:rPr>
        <w:t> </w:t>
      </w:r>
      <w:r>
        <w:rPr>
          <w:color w:val="231F20"/>
        </w:rPr>
        <w:t>en</w:t>
      </w:r>
      <w:r>
        <w:rPr>
          <w:color w:val="231F20"/>
          <w:spacing w:val="-5"/>
        </w:rPr>
        <w:t> </w:t>
      </w:r>
      <w:r>
        <w:rPr>
          <w:color w:val="231F20"/>
        </w:rPr>
        <w:t>origen y destino y la intención o no de volver a migrar, así como los distintos espacios</w:t>
      </w:r>
      <w:r>
        <w:rPr>
          <w:color w:val="231F20"/>
          <w:spacing w:val="-6"/>
        </w:rPr>
        <w:t> </w:t>
      </w:r>
      <w:r>
        <w:rPr>
          <w:color w:val="231F20"/>
        </w:rPr>
        <w:t>de</w:t>
      </w:r>
      <w:r>
        <w:rPr>
          <w:color w:val="231F20"/>
          <w:spacing w:val="-5"/>
        </w:rPr>
        <w:t> </w:t>
      </w:r>
      <w:r>
        <w:rPr>
          <w:color w:val="231F20"/>
        </w:rPr>
        <w:t>interacción</w:t>
      </w:r>
      <w:r>
        <w:rPr>
          <w:color w:val="231F20"/>
          <w:spacing w:val="-6"/>
        </w:rPr>
        <w:t> </w:t>
      </w:r>
      <w:r>
        <w:rPr>
          <w:color w:val="231F20"/>
        </w:rPr>
        <w:t>que</w:t>
      </w:r>
      <w:r>
        <w:rPr>
          <w:color w:val="231F20"/>
          <w:spacing w:val="-5"/>
        </w:rPr>
        <w:t> </w:t>
      </w:r>
      <w:r>
        <w:rPr>
          <w:color w:val="231F20"/>
        </w:rPr>
        <w:t>los</w:t>
      </w:r>
      <w:r>
        <w:rPr>
          <w:color w:val="231F20"/>
          <w:spacing w:val="-5"/>
        </w:rPr>
        <w:t> </w:t>
      </w:r>
      <w:r>
        <w:rPr>
          <w:color w:val="231F20"/>
        </w:rPr>
        <w:t>retornados</w:t>
      </w:r>
      <w:r>
        <w:rPr>
          <w:color w:val="231F20"/>
          <w:spacing w:val="-5"/>
        </w:rPr>
        <w:t> </w:t>
      </w:r>
      <w:r>
        <w:rPr>
          <w:color w:val="231F20"/>
        </w:rPr>
        <w:t>afrontan</w:t>
      </w:r>
      <w:r>
        <w:rPr>
          <w:color w:val="231F20"/>
          <w:spacing w:val="-6"/>
        </w:rPr>
        <w:t> </w:t>
      </w:r>
      <w:r>
        <w:rPr>
          <w:color w:val="231F20"/>
        </w:rPr>
        <w:t>tras</w:t>
      </w:r>
      <w:r>
        <w:rPr>
          <w:color w:val="231F20"/>
          <w:spacing w:val="-5"/>
        </w:rPr>
        <w:t> </w:t>
      </w:r>
      <w:r>
        <w:rPr>
          <w:color w:val="231F20"/>
        </w:rPr>
        <w:t>su</w:t>
      </w:r>
      <w:r>
        <w:rPr>
          <w:color w:val="231F20"/>
          <w:spacing w:val="-5"/>
        </w:rPr>
        <w:t> </w:t>
      </w:r>
      <w:r>
        <w:rPr>
          <w:color w:val="231F20"/>
        </w:rPr>
        <w:t>regreso,</w:t>
      </w:r>
      <w:r>
        <w:rPr>
          <w:color w:val="231F20"/>
          <w:spacing w:val="-5"/>
        </w:rPr>
        <w:t> </w:t>
      </w:r>
      <w:r>
        <w:rPr>
          <w:color w:val="231F20"/>
        </w:rPr>
        <w:t>se</w:t>
      </w:r>
      <w:r>
        <w:rPr>
          <w:color w:val="231F20"/>
          <w:spacing w:val="-5"/>
        </w:rPr>
        <w:t> </w:t>
      </w:r>
      <w:r>
        <w:rPr>
          <w:color w:val="231F20"/>
        </w:rPr>
        <w:t>con- jugan y dan paso a cambios y readecuaciones en el ámbito social, familiar y</w:t>
      </w:r>
      <w:r>
        <w:rPr>
          <w:color w:val="231F20"/>
          <w:spacing w:val="-9"/>
        </w:rPr>
        <w:t> </w:t>
      </w:r>
      <w:r>
        <w:rPr>
          <w:color w:val="231F20"/>
        </w:rPr>
        <w:t>personal.</w:t>
      </w:r>
      <w:r>
        <w:rPr>
          <w:color w:val="231F20"/>
          <w:spacing w:val="-9"/>
        </w:rPr>
        <w:t> </w:t>
      </w:r>
      <w:r>
        <w:rPr>
          <w:color w:val="231F20"/>
        </w:rPr>
        <w:t>Dicho</w:t>
      </w:r>
      <w:r>
        <w:rPr>
          <w:color w:val="231F20"/>
          <w:spacing w:val="-9"/>
        </w:rPr>
        <w:t> </w:t>
      </w:r>
      <w:r>
        <w:rPr>
          <w:color w:val="231F20"/>
        </w:rPr>
        <w:t>de</w:t>
      </w:r>
      <w:r>
        <w:rPr>
          <w:color w:val="231F20"/>
          <w:spacing w:val="-9"/>
        </w:rPr>
        <w:t> </w:t>
      </w:r>
      <w:r>
        <w:rPr>
          <w:color w:val="231F20"/>
        </w:rPr>
        <w:t>otro</w:t>
      </w:r>
      <w:r>
        <w:rPr>
          <w:color w:val="231F20"/>
          <w:spacing w:val="-9"/>
        </w:rPr>
        <w:t> </w:t>
      </w:r>
      <w:r>
        <w:rPr>
          <w:color w:val="231F20"/>
        </w:rPr>
        <w:t>modo</w:t>
      </w:r>
      <w:r>
        <w:rPr>
          <w:color w:val="231F20"/>
          <w:spacing w:val="-9"/>
        </w:rPr>
        <w:t> </w:t>
      </w:r>
      <w:r>
        <w:rPr>
          <w:color w:val="231F20"/>
        </w:rPr>
        <w:t>y</w:t>
      </w:r>
      <w:r>
        <w:rPr>
          <w:color w:val="231F20"/>
          <w:spacing w:val="-9"/>
        </w:rPr>
        <w:t> </w:t>
      </w:r>
      <w:r>
        <w:rPr>
          <w:color w:val="231F20"/>
        </w:rPr>
        <w:t>citando</w:t>
      </w:r>
      <w:r>
        <w:rPr>
          <w:color w:val="231F20"/>
          <w:spacing w:val="-9"/>
        </w:rPr>
        <w:t> </w:t>
      </w:r>
      <w:r>
        <w:rPr>
          <w:color w:val="231F20"/>
        </w:rPr>
        <w:t>a</w:t>
      </w:r>
      <w:r>
        <w:rPr>
          <w:color w:val="231F20"/>
          <w:spacing w:val="-9"/>
        </w:rPr>
        <w:t> </w:t>
      </w:r>
      <w:r>
        <w:rPr>
          <w:color w:val="231F20"/>
        </w:rPr>
        <w:t>Izaguirre</w:t>
      </w:r>
      <w:r>
        <w:rPr>
          <w:color w:val="231F20"/>
          <w:spacing w:val="-9"/>
        </w:rPr>
        <w:t> </w:t>
      </w:r>
      <w:r>
        <w:rPr>
          <w:color w:val="231F20"/>
        </w:rPr>
        <w:t>(2011:</w:t>
      </w:r>
      <w:r>
        <w:rPr>
          <w:color w:val="231F20"/>
          <w:spacing w:val="-9"/>
        </w:rPr>
        <w:t> </w:t>
      </w:r>
      <w:r>
        <w:rPr>
          <w:color w:val="231F20"/>
        </w:rPr>
        <w:t>10),</w:t>
      </w:r>
      <w:r>
        <w:rPr>
          <w:color w:val="231F20"/>
          <w:spacing w:val="-9"/>
        </w:rPr>
        <w:t> </w:t>
      </w:r>
      <w:r>
        <w:rPr>
          <w:color w:val="231F20"/>
        </w:rPr>
        <w:t>la</w:t>
      </w:r>
      <w:r>
        <w:rPr>
          <w:color w:val="231F20"/>
          <w:spacing w:val="-9"/>
        </w:rPr>
        <w:t> </w:t>
      </w:r>
      <w:r>
        <w:rPr>
          <w:color w:val="231F20"/>
        </w:rPr>
        <w:t>reinser- ción pasa no solamente por la readaptación al contexto local, sino</w:t>
      </w:r>
      <w:r>
        <w:rPr>
          <w:color w:val="231F20"/>
          <w:spacing w:val="-34"/>
        </w:rPr>
        <w:t> </w:t>
      </w:r>
      <w:r>
        <w:rPr>
          <w:color w:val="231F20"/>
        </w:rPr>
        <w:t>también por asumir los cambios que pueden producirse en las relaciones  </w:t>
      </w:r>
      <w:r>
        <w:rPr>
          <w:color w:val="231F20"/>
          <w:spacing w:val="42"/>
        </w:rPr>
        <w:t> </w:t>
      </w:r>
      <w:r>
        <w:rPr>
          <w:color w:val="231F20"/>
        </w:rPr>
        <w:t>sociales</w:t>
      </w:r>
    </w:p>
    <w:p>
      <w:pPr>
        <w:spacing w:after="0" w:line="247" w:lineRule="auto"/>
        <w:jc w:val="both"/>
        <w:sectPr>
          <w:pgSz w:w="9360" w:h="13040"/>
          <w:pgMar w:header="0" w:footer="496" w:top="740" w:bottom="680" w:left="1300" w:right="1300"/>
        </w:sectPr>
      </w:pPr>
    </w:p>
    <w:p>
      <w:pPr>
        <w:tabs>
          <w:tab w:pos="5536" w:val="left" w:leader="none"/>
        </w:tabs>
        <w:spacing w:before="34"/>
        <w:ind w:left="117" w:right="117" w:firstLine="7"/>
        <w:jc w:val="left"/>
        <w:rPr>
          <w:sz w:val="18"/>
        </w:rPr>
      </w:pPr>
      <w:r>
        <w:rPr>
          <w:rFonts w:ascii="Arial" w:hAnsi="Arial"/>
          <w:color w:val="231F20"/>
          <w:w w:val="80"/>
          <w:position w:val="2"/>
          <w:sz w:val="20"/>
        </w:rPr>
        <w:t>Hitos</w:t>
      </w:r>
      <w:r>
        <w:rPr>
          <w:rFonts w:ascii="Arial" w:hAnsi="Arial"/>
          <w:color w:val="231F20"/>
          <w:spacing w:val="-14"/>
          <w:w w:val="80"/>
          <w:position w:val="2"/>
          <w:sz w:val="20"/>
        </w:rPr>
        <w:t> </w:t>
      </w:r>
      <w:r>
        <w:rPr>
          <w:rFonts w:ascii="Arial" w:hAnsi="Arial"/>
          <w:color w:val="231F20"/>
          <w:w w:val="80"/>
          <w:position w:val="2"/>
          <w:sz w:val="20"/>
        </w:rPr>
        <w:t>Demográficos</w:t>
      </w:r>
      <w:r>
        <w:rPr>
          <w:rFonts w:ascii="Arial" w:hAnsi="Arial"/>
          <w:color w:val="231F20"/>
          <w:spacing w:val="-14"/>
          <w:w w:val="80"/>
          <w:position w:val="2"/>
          <w:sz w:val="20"/>
        </w:rPr>
        <w:t> </w:t>
      </w:r>
      <w:r>
        <w:rPr>
          <w:rFonts w:ascii="Arial" w:hAnsi="Arial"/>
          <w:color w:val="231F20"/>
          <w:w w:val="80"/>
          <w:position w:val="2"/>
          <w:sz w:val="20"/>
        </w:rPr>
        <w:t>del</w:t>
      </w:r>
      <w:r>
        <w:rPr>
          <w:rFonts w:ascii="Arial" w:hAnsi="Arial"/>
          <w:color w:val="231F20"/>
          <w:spacing w:val="-14"/>
          <w:w w:val="80"/>
          <w:position w:val="2"/>
          <w:sz w:val="20"/>
        </w:rPr>
        <w:t> </w:t>
      </w:r>
      <w:r>
        <w:rPr>
          <w:rFonts w:ascii="Arial" w:hAnsi="Arial"/>
          <w:color w:val="231F20"/>
          <w:w w:val="80"/>
          <w:position w:val="2"/>
          <w:sz w:val="20"/>
        </w:rPr>
        <w:t>Siglo</w:t>
      </w:r>
      <w:r>
        <w:rPr>
          <w:rFonts w:ascii="Arial" w:hAnsi="Arial"/>
          <w:color w:val="231F20"/>
          <w:spacing w:val="-14"/>
          <w:w w:val="80"/>
          <w:position w:val="2"/>
          <w:sz w:val="20"/>
        </w:rPr>
        <w:t> </w:t>
      </w:r>
      <w:r>
        <w:rPr>
          <w:rFonts w:ascii="Arial" w:hAnsi="Arial"/>
          <w:color w:val="231F20"/>
          <w:w w:val="80"/>
          <w:position w:val="2"/>
          <w:sz w:val="20"/>
        </w:rPr>
        <w:t>XXI:</w:t>
      </w:r>
      <w:r>
        <w:rPr>
          <w:rFonts w:ascii="Arial" w:hAnsi="Arial"/>
          <w:color w:val="231F20"/>
          <w:spacing w:val="-14"/>
          <w:w w:val="80"/>
          <w:position w:val="2"/>
          <w:sz w:val="20"/>
        </w:rPr>
        <w:t> </w:t>
      </w:r>
      <w:r>
        <w:rPr>
          <w:rFonts w:ascii="Arial" w:hAnsi="Arial"/>
          <w:color w:val="231F20"/>
          <w:w w:val="80"/>
          <w:position w:val="2"/>
          <w:sz w:val="20"/>
        </w:rPr>
        <w:t>Migración</w:t>
      </w:r>
      <w:r>
        <w:rPr>
          <w:rFonts w:ascii="Arial" w:hAnsi="Arial"/>
          <w:color w:val="231F20"/>
          <w:spacing w:val="-14"/>
          <w:w w:val="80"/>
          <w:position w:val="2"/>
          <w:sz w:val="20"/>
        </w:rPr>
        <w:t> </w:t>
      </w:r>
      <w:r>
        <w:rPr>
          <w:rFonts w:ascii="Arial" w:hAnsi="Arial"/>
          <w:color w:val="231F20"/>
          <w:w w:val="80"/>
          <w:position w:val="2"/>
          <w:sz w:val="20"/>
        </w:rPr>
        <w:t>Internacional</w:t>
        <w:tab/>
      </w:r>
      <w:r>
        <w:rPr>
          <w:color w:val="231F20"/>
          <w:w w:val="90"/>
          <w:sz w:val="18"/>
        </w:rPr>
        <w:t>CIEAP/UAEM</w:t>
      </w:r>
    </w:p>
    <w:p>
      <w:pPr>
        <w:pStyle w:val="BodyText"/>
        <w:spacing w:before="2"/>
        <w:rPr>
          <w:sz w:val="21"/>
        </w:rPr>
      </w:pPr>
    </w:p>
    <w:p>
      <w:pPr>
        <w:pStyle w:val="BodyText"/>
        <w:spacing w:line="247" w:lineRule="auto"/>
        <w:ind w:left="117" w:right="117"/>
      </w:pPr>
      <w:r>
        <w:rPr>
          <w:color w:val="231F20"/>
        </w:rPr>
        <w:t>y familiares, como consecuencia de los nuevos o modificados repertorios sociales que traen los retornados.</w:t>
      </w:r>
    </w:p>
    <w:p>
      <w:pPr>
        <w:pStyle w:val="BodyText"/>
        <w:spacing w:line="247" w:lineRule="auto"/>
        <w:ind w:left="117" w:right="114" w:firstLine="283"/>
        <w:jc w:val="both"/>
      </w:pPr>
      <w:r>
        <w:rPr>
          <w:color w:val="231F20"/>
        </w:rPr>
        <w:t>En ese sentido, regresar al país, contrario a lo que muchos se pueden imaginar no siempre es fácil, puede involucrar choques culturales o fami- liares y un largo proceso de adaptación. Cuando se vuelve de un periodo fuera, “los otros” no saben, o no entienden lo que la persona vivió, gene- rando, en ocasiones, hay una discrepancia entre lo que el retornado está dispuesto a asumir y lo que los demás esperan de él, configurando presio- nes sociales y familiares que se explicarán posteriormente.</w:t>
      </w:r>
    </w:p>
    <w:p>
      <w:pPr>
        <w:pStyle w:val="BodyText"/>
        <w:spacing w:line="247" w:lineRule="auto"/>
        <w:ind w:left="117" w:right="115" w:firstLine="283"/>
        <w:jc w:val="both"/>
      </w:pPr>
      <w:r>
        <w:rPr>
          <w:color w:val="231F20"/>
        </w:rPr>
        <w:t>De entrada, se puede afirmar que las personas que han sido obligadas</w:t>
      </w:r>
      <w:r>
        <w:rPr>
          <w:color w:val="231F20"/>
          <w:spacing w:val="-20"/>
        </w:rPr>
        <w:t> </w:t>
      </w:r>
      <w:r>
        <w:rPr>
          <w:color w:val="231F20"/>
        </w:rPr>
        <w:t>a retornar por deportación o por decisión de otras personas (como en el</w:t>
      </w:r>
      <w:r>
        <w:rPr>
          <w:color w:val="231F20"/>
          <w:spacing w:val="-36"/>
        </w:rPr>
        <w:t> </w:t>
      </w:r>
      <w:r>
        <w:rPr>
          <w:color w:val="231F20"/>
        </w:rPr>
        <w:t>caso de niños o jóvenes, por sus padres) tienen mayores inconvenientes para su adaptación</w:t>
      </w:r>
      <w:r>
        <w:rPr>
          <w:color w:val="231F20"/>
          <w:spacing w:val="-6"/>
        </w:rPr>
        <w:t> </w:t>
      </w:r>
      <w:r>
        <w:rPr>
          <w:color w:val="231F20"/>
        </w:rPr>
        <w:t>y</w:t>
      </w:r>
      <w:r>
        <w:rPr>
          <w:color w:val="231F20"/>
          <w:spacing w:val="-5"/>
        </w:rPr>
        <w:t> </w:t>
      </w:r>
      <w:r>
        <w:rPr>
          <w:color w:val="231F20"/>
        </w:rPr>
        <w:t>pueden</w:t>
      </w:r>
      <w:r>
        <w:rPr>
          <w:color w:val="231F20"/>
          <w:spacing w:val="-5"/>
        </w:rPr>
        <w:t> </w:t>
      </w:r>
      <w:r>
        <w:rPr>
          <w:color w:val="231F20"/>
        </w:rPr>
        <w:t>afrontar</w:t>
      </w:r>
      <w:r>
        <w:rPr>
          <w:color w:val="231F20"/>
          <w:spacing w:val="-5"/>
        </w:rPr>
        <w:t> </w:t>
      </w:r>
      <w:r>
        <w:rPr>
          <w:color w:val="231F20"/>
        </w:rPr>
        <w:t>dificultades</w:t>
      </w:r>
      <w:r>
        <w:rPr>
          <w:color w:val="231F20"/>
          <w:spacing w:val="-6"/>
        </w:rPr>
        <w:t> </w:t>
      </w:r>
      <w:r>
        <w:rPr>
          <w:color w:val="231F20"/>
        </w:rPr>
        <w:t>para</w:t>
      </w:r>
      <w:r>
        <w:rPr>
          <w:color w:val="231F20"/>
          <w:spacing w:val="-5"/>
        </w:rPr>
        <w:t> </w:t>
      </w:r>
      <w:r>
        <w:rPr>
          <w:color w:val="231F20"/>
        </w:rPr>
        <w:t>la</w:t>
      </w:r>
      <w:r>
        <w:rPr>
          <w:color w:val="231F20"/>
          <w:spacing w:val="-5"/>
        </w:rPr>
        <w:t> </w:t>
      </w:r>
      <w:r>
        <w:rPr>
          <w:color w:val="231F20"/>
        </w:rPr>
        <w:t>aceptación</w:t>
      </w:r>
      <w:r>
        <w:rPr>
          <w:color w:val="231F20"/>
          <w:spacing w:val="-6"/>
        </w:rPr>
        <w:t> </w:t>
      </w:r>
      <w:r>
        <w:rPr>
          <w:color w:val="231F20"/>
        </w:rPr>
        <w:t>de</w:t>
      </w:r>
      <w:r>
        <w:rPr>
          <w:color w:val="231F20"/>
          <w:spacing w:val="-5"/>
        </w:rPr>
        <w:t> </w:t>
      </w:r>
      <w:r>
        <w:rPr>
          <w:color w:val="231F20"/>
        </w:rPr>
        <w:t>su</w:t>
      </w:r>
      <w:r>
        <w:rPr>
          <w:color w:val="231F20"/>
          <w:spacing w:val="-5"/>
        </w:rPr>
        <w:t> </w:t>
      </w:r>
      <w:r>
        <w:rPr>
          <w:color w:val="231F20"/>
        </w:rPr>
        <w:t>realidad que, generalmente, los llevan a querer regresar al lugar desde donde retor- naron. En el caso de las personas expulsadas, la situación puede agravarse cuando llegan sin recursos económicos y careciendo de vínculos fuertes, particularmente familiares, en</w:t>
      </w:r>
      <w:r>
        <w:rPr>
          <w:color w:val="231F20"/>
          <w:spacing w:val="-1"/>
        </w:rPr>
        <w:t> </w:t>
      </w:r>
      <w:r>
        <w:rPr>
          <w:color w:val="231F20"/>
        </w:rPr>
        <w:t>origen.</w:t>
      </w:r>
    </w:p>
    <w:p>
      <w:pPr>
        <w:pStyle w:val="BodyText"/>
        <w:spacing w:line="247" w:lineRule="auto"/>
        <w:ind w:left="117" w:right="114" w:firstLine="283"/>
        <w:jc w:val="both"/>
      </w:pPr>
      <w:r>
        <w:rPr>
          <w:color w:val="231F20"/>
        </w:rPr>
        <w:t>Distinta es la situación para quienes añoraban su regreso y lo proyec- taron, de modo que cuando llegaron tenían total claridad respecto a dónde vivir, con qué recursos contaban y cómo asegurarían su sustento, como dijo un retornado boliviano, “para ser sincero, no me costó absolutamente nada, es como si hubiera dado un paseo”. O en palabras de otra persona retornada, en este caso colombiana:</w:t>
      </w:r>
    </w:p>
    <w:p>
      <w:pPr>
        <w:spacing w:line="249" w:lineRule="auto" w:before="168"/>
        <w:ind w:left="400" w:right="114" w:firstLine="0"/>
        <w:jc w:val="both"/>
        <w:rPr>
          <w:sz w:val="20"/>
        </w:rPr>
      </w:pPr>
      <w:r>
        <w:rPr>
          <w:sz w:val="20"/>
        </w:rPr>
        <w:t>yo esto lo llevo planificando hace mucho tiempo…, la verdad, no se me ha hecho difícil; me siento tan a gusto que no, yo me siento bien…, yo siempre añoré</w:t>
      </w:r>
      <w:r>
        <w:rPr>
          <w:spacing w:val="-8"/>
          <w:sz w:val="20"/>
        </w:rPr>
        <w:t> </w:t>
      </w:r>
      <w:r>
        <w:rPr>
          <w:sz w:val="20"/>
        </w:rPr>
        <w:t>mi</w:t>
      </w:r>
      <w:r>
        <w:rPr>
          <w:spacing w:val="-8"/>
          <w:sz w:val="20"/>
        </w:rPr>
        <w:t> </w:t>
      </w:r>
      <w:r>
        <w:rPr>
          <w:sz w:val="20"/>
        </w:rPr>
        <w:t>tierra</w:t>
      </w:r>
      <w:r>
        <w:rPr>
          <w:spacing w:val="-8"/>
          <w:sz w:val="20"/>
        </w:rPr>
        <w:t> </w:t>
      </w:r>
      <w:r>
        <w:rPr>
          <w:sz w:val="20"/>
        </w:rPr>
        <w:t>y</w:t>
      </w:r>
      <w:r>
        <w:rPr>
          <w:spacing w:val="-8"/>
          <w:sz w:val="20"/>
        </w:rPr>
        <w:t> </w:t>
      </w:r>
      <w:r>
        <w:rPr>
          <w:sz w:val="20"/>
        </w:rPr>
        <w:t>mi</w:t>
      </w:r>
      <w:r>
        <w:rPr>
          <w:spacing w:val="-8"/>
          <w:sz w:val="20"/>
        </w:rPr>
        <w:t> </w:t>
      </w:r>
      <w:r>
        <w:rPr>
          <w:sz w:val="20"/>
        </w:rPr>
        <w:t>deseo</w:t>
      </w:r>
      <w:r>
        <w:rPr>
          <w:spacing w:val="-8"/>
          <w:sz w:val="20"/>
        </w:rPr>
        <w:t> </w:t>
      </w:r>
      <w:r>
        <w:rPr>
          <w:sz w:val="20"/>
        </w:rPr>
        <w:t>es</w:t>
      </w:r>
      <w:r>
        <w:rPr>
          <w:spacing w:val="-8"/>
          <w:sz w:val="20"/>
        </w:rPr>
        <w:t> </w:t>
      </w:r>
      <w:r>
        <w:rPr>
          <w:sz w:val="20"/>
        </w:rPr>
        <w:t>terminar</w:t>
      </w:r>
      <w:r>
        <w:rPr>
          <w:spacing w:val="-8"/>
          <w:sz w:val="20"/>
        </w:rPr>
        <w:t> </w:t>
      </w:r>
      <w:r>
        <w:rPr>
          <w:sz w:val="20"/>
        </w:rPr>
        <w:t>mi</w:t>
      </w:r>
      <w:r>
        <w:rPr>
          <w:spacing w:val="-8"/>
          <w:sz w:val="20"/>
        </w:rPr>
        <w:t> </w:t>
      </w:r>
      <w:r>
        <w:rPr>
          <w:sz w:val="20"/>
        </w:rPr>
        <w:t>vida</w:t>
      </w:r>
      <w:r>
        <w:rPr>
          <w:spacing w:val="-8"/>
          <w:sz w:val="20"/>
        </w:rPr>
        <w:t> </w:t>
      </w:r>
      <w:r>
        <w:rPr>
          <w:sz w:val="20"/>
        </w:rPr>
        <w:t>acá,</w:t>
      </w:r>
      <w:r>
        <w:rPr>
          <w:spacing w:val="-8"/>
          <w:sz w:val="20"/>
        </w:rPr>
        <w:t> </w:t>
      </w:r>
      <w:r>
        <w:rPr>
          <w:sz w:val="20"/>
        </w:rPr>
        <w:t>en</w:t>
      </w:r>
      <w:r>
        <w:rPr>
          <w:spacing w:val="-8"/>
          <w:sz w:val="20"/>
        </w:rPr>
        <w:t> </w:t>
      </w:r>
      <w:r>
        <w:rPr>
          <w:sz w:val="20"/>
        </w:rPr>
        <w:t>mi</w:t>
      </w:r>
      <w:r>
        <w:rPr>
          <w:spacing w:val="-8"/>
          <w:sz w:val="20"/>
        </w:rPr>
        <w:t> </w:t>
      </w:r>
      <w:r>
        <w:rPr>
          <w:sz w:val="20"/>
        </w:rPr>
        <w:t>pueblo,</w:t>
      </w:r>
      <w:r>
        <w:rPr>
          <w:spacing w:val="-8"/>
          <w:sz w:val="20"/>
        </w:rPr>
        <w:t> </w:t>
      </w:r>
      <w:r>
        <w:rPr>
          <w:sz w:val="20"/>
        </w:rPr>
        <w:t>con</w:t>
      </w:r>
      <w:r>
        <w:rPr>
          <w:spacing w:val="-8"/>
          <w:sz w:val="20"/>
        </w:rPr>
        <w:t> </w:t>
      </w:r>
      <w:r>
        <w:rPr>
          <w:sz w:val="20"/>
        </w:rPr>
        <w:t>mi</w:t>
      </w:r>
      <w:r>
        <w:rPr>
          <w:spacing w:val="-8"/>
          <w:sz w:val="20"/>
        </w:rPr>
        <w:t> </w:t>
      </w:r>
      <w:r>
        <w:rPr>
          <w:sz w:val="20"/>
        </w:rPr>
        <w:t>gente.</w:t>
      </w:r>
    </w:p>
    <w:p>
      <w:pPr>
        <w:pStyle w:val="BodyText"/>
        <w:spacing w:line="247" w:lineRule="auto" w:before="172"/>
        <w:ind w:left="117" w:right="114" w:firstLine="283"/>
        <w:jc w:val="both"/>
      </w:pPr>
      <w:r>
        <w:rPr>
          <w:color w:val="231F20"/>
        </w:rPr>
        <w:t>La experiencia de vida en el seno de otras sociedades le ha enseñado  al retornante la necesidad de aceptación </w:t>
      </w:r>
      <w:r>
        <w:rPr>
          <w:color w:val="231F20"/>
          <w:spacing w:val="-8"/>
        </w:rPr>
        <w:t>y, </w:t>
      </w:r>
      <w:r>
        <w:rPr>
          <w:color w:val="231F20"/>
        </w:rPr>
        <w:t>en ocasiones interiorización,  de prácticas culturales y normas de conducta diferentes a las imperantes en su origen, llevándolo a la comparación, de la que se desprenden juicios acerca de la bondad o conveniencia de unos y otros. </w:t>
      </w:r>
      <w:r>
        <w:rPr>
          <w:color w:val="231F20"/>
          <w:spacing w:val="-4"/>
        </w:rPr>
        <w:t>Tales </w:t>
      </w:r>
      <w:r>
        <w:rPr>
          <w:color w:val="231F20"/>
        </w:rPr>
        <w:t>conocimientos y aprendizajes sociales, que se detallan en otra sección, se convierten en elementos que inciden (en sentido positivo o negativo) en la readaptación en el retorno </w:t>
      </w:r>
      <w:r>
        <w:rPr>
          <w:color w:val="231F20"/>
          <w:spacing w:val="-8"/>
        </w:rPr>
        <w:t>y, </w:t>
      </w:r>
      <w:r>
        <w:rPr>
          <w:color w:val="231F20"/>
        </w:rPr>
        <w:t>como se verá allá, tienen un gran potencial en el camino hacia una ciudadanía con valores universales. Pero con posibilidades de beneficio más</w:t>
      </w:r>
      <w:r>
        <w:rPr>
          <w:color w:val="231F20"/>
          <w:spacing w:val="-12"/>
        </w:rPr>
        <w:t> </w:t>
      </w:r>
      <w:r>
        <w:rPr>
          <w:color w:val="231F20"/>
        </w:rPr>
        <w:t>personal.</w:t>
      </w:r>
    </w:p>
    <w:p>
      <w:pPr>
        <w:pStyle w:val="BodyText"/>
        <w:spacing w:line="247" w:lineRule="auto"/>
        <w:ind w:left="117" w:right="114" w:firstLine="283"/>
        <w:jc w:val="both"/>
      </w:pPr>
      <w:r>
        <w:rPr>
          <w:color w:val="231F20"/>
        </w:rPr>
        <w:t>El cúmulo de aprendizajes al que se ha hecho referencia, resultado de la interacción personal y laboral cotidiana dentro de estructuras y  lógicas</w:t>
      </w:r>
    </w:p>
    <w:p>
      <w:pPr>
        <w:spacing w:after="0" w:line="247" w:lineRule="auto"/>
        <w:jc w:val="both"/>
        <w:sectPr>
          <w:pgSz w:w="9360" w:h="13040"/>
          <w:pgMar w:header="0" w:footer="496" w:top="820" w:bottom="680" w:left="1300" w:right="1300"/>
        </w:sectPr>
      </w:pPr>
    </w:p>
    <w:p>
      <w:pPr>
        <w:spacing w:before="45"/>
        <w:ind w:left="117" w:right="0" w:firstLine="1352"/>
        <w:jc w:val="left"/>
        <w:rPr>
          <w:rFonts w:ascii="Arial" w:hAnsi="Arial"/>
          <w:sz w:val="20"/>
        </w:rPr>
      </w:pPr>
      <w:r>
        <w:rPr>
          <w:rFonts w:ascii="Arial" w:hAnsi="Arial"/>
          <w:color w:val="231F20"/>
          <w:w w:val="65"/>
          <w:sz w:val="20"/>
        </w:rPr>
        <w:t>Retorno de migrantes a la Comunidad Andina /William Mejía-Ochoa y Yeim Claudia Castro</w:t>
      </w:r>
    </w:p>
    <w:p>
      <w:pPr>
        <w:pStyle w:val="BodyText"/>
        <w:spacing w:before="7"/>
        <w:rPr>
          <w:rFonts w:ascii="Arial"/>
          <w:sz w:val="28"/>
        </w:rPr>
      </w:pPr>
    </w:p>
    <w:p>
      <w:pPr>
        <w:pStyle w:val="BodyText"/>
        <w:spacing w:line="247" w:lineRule="auto"/>
        <w:ind w:left="117" w:right="115"/>
        <w:jc w:val="both"/>
      </w:pPr>
      <w:r>
        <w:rPr>
          <w:color w:val="231F20"/>
        </w:rPr>
        <w:t>sociales</w:t>
      </w:r>
      <w:r>
        <w:rPr>
          <w:color w:val="231F20"/>
          <w:spacing w:val="-8"/>
        </w:rPr>
        <w:t> </w:t>
      </w:r>
      <w:r>
        <w:rPr>
          <w:color w:val="231F20"/>
        </w:rPr>
        <w:t>distintas</w:t>
      </w:r>
      <w:r>
        <w:rPr>
          <w:color w:val="231F20"/>
          <w:spacing w:val="-9"/>
        </w:rPr>
        <w:t> </w:t>
      </w:r>
      <w:r>
        <w:rPr>
          <w:color w:val="231F20"/>
        </w:rPr>
        <w:t>a</w:t>
      </w:r>
      <w:r>
        <w:rPr>
          <w:color w:val="231F20"/>
          <w:spacing w:val="-8"/>
        </w:rPr>
        <w:t> </w:t>
      </w:r>
      <w:r>
        <w:rPr>
          <w:color w:val="231F20"/>
        </w:rPr>
        <w:t>las</w:t>
      </w:r>
      <w:r>
        <w:rPr>
          <w:color w:val="231F20"/>
          <w:spacing w:val="-9"/>
        </w:rPr>
        <w:t> </w:t>
      </w:r>
      <w:r>
        <w:rPr>
          <w:color w:val="231F20"/>
        </w:rPr>
        <w:t>propias,</w:t>
      </w:r>
      <w:r>
        <w:rPr>
          <w:color w:val="231F20"/>
          <w:spacing w:val="-8"/>
        </w:rPr>
        <w:t> </w:t>
      </w:r>
      <w:r>
        <w:rPr>
          <w:color w:val="231F20"/>
        </w:rPr>
        <w:t>ha</w:t>
      </w:r>
      <w:r>
        <w:rPr>
          <w:color w:val="231F20"/>
          <w:spacing w:val="-8"/>
        </w:rPr>
        <w:t> </w:t>
      </w:r>
      <w:r>
        <w:rPr>
          <w:color w:val="231F20"/>
        </w:rPr>
        <w:t>permitido</w:t>
      </w:r>
      <w:r>
        <w:rPr>
          <w:color w:val="231F20"/>
          <w:spacing w:val="-9"/>
        </w:rPr>
        <w:t> </w:t>
      </w:r>
      <w:r>
        <w:rPr>
          <w:color w:val="231F20"/>
        </w:rPr>
        <w:t>a</w:t>
      </w:r>
      <w:r>
        <w:rPr>
          <w:color w:val="231F20"/>
          <w:spacing w:val="-8"/>
        </w:rPr>
        <w:t> </w:t>
      </w:r>
      <w:r>
        <w:rPr>
          <w:color w:val="231F20"/>
        </w:rPr>
        <w:t>los</w:t>
      </w:r>
      <w:r>
        <w:rPr>
          <w:color w:val="231F20"/>
          <w:spacing w:val="-9"/>
        </w:rPr>
        <w:t> </w:t>
      </w:r>
      <w:r>
        <w:rPr>
          <w:color w:val="231F20"/>
        </w:rPr>
        <w:t>retornantes</w:t>
      </w:r>
      <w:r>
        <w:rPr>
          <w:color w:val="231F20"/>
          <w:spacing w:val="-9"/>
        </w:rPr>
        <w:t> </w:t>
      </w:r>
      <w:r>
        <w:rPr>
          <w:color w:val="231F20"/>
        </w:rPr>
        <w:t>crecer</w:t>
      </w:r>
      <w:r>
        <w:rPr>
          <w:color w:val="231F20"/>
          <w:spacing w:val="-9"/>
        </w:rPr>
        <w:t> </w:t>
      </w:r>
      <w:r>
        <w:rPr>
          <w:color w:val="231F20"/>
        </w:rPr>
        <w:t>a</w:t>
      </w:r>
      <w:r>
        <w:rPr>
          <w:color w:val="231F20"/>
          <w:spacing w:val="-8"/>
        </w:rPr>
        <w:t> </w:t>
      </w:r>
      <w:r>
        <w:rPr>
          <w:color w:val="231F20"/>
        </w:rPr>
        <w:t>nivel individual y social y configura un conjunto de potencialidades para ellos</w:t>
      </w:r>
      <w:r>
        <w:rPr>
          <w:color w:val="231F20"/>
          <w:spacing w:val="-34"/>
        </w:rPr>
        <w:t> </w:t>
      </w:r>
      <w:r>
        <w:rPr>
          <w:color w:val="231F20"/>
        </w:rPr>
        <w:t>y para sus</w:t>
      </w:r>
      <w:r>
        <w:rPr>
          <w:color w:val="231F20"/>
          <w:spacing w:val="-2"/>
        </w:rPr>
        <w:t> </w:t>
      </w:r>
      <w:r>
        <w:rPr>
          <w:color w:val="231F20"/>
        </w:rPr>
        <w:t>comunidades.</w:t>
      </w:r>
    </w:p>
    <w:p>
      <w:pPr>
        <w:pStyle w:val="BodyText"/>
        <w:spacing w:line="247" w:lineRule="auto"/>
        <w:ind w:left="117" w:right="114" w:firstLine="283"/>
        <w:jc w:val="both"/>
      </w:pPr>
      <w:r>
        <w:rPr>
          <w:color w:val="231F20"/>
        </w:rPr>
        <w:t>Durante el transcurso migratorio los individuos enriquecen su cosmo- visión a partir de la socialización en otros contextos culturales. En ese sentido, muchos de los entrevistados manifestaron haber experimentado un crecimiento personal que estimuló la capacidad de entender su</w:t>
      </w:r>
      <w:r>
        <w:rPr>
          <w:color w:val="231F20"/>
          <w:spacing w:val="-25"/>
        </w:rPr>
        <w:t> </w:t>
      </w:r>
      <w:r>
        <w:rPr>
          <w:color w:val="231F20"/>
        </w:rPr>
        <w:t>realidad y aumentó su habilidad para hacer frente a las situaciones adversas y la perspicacia para tomar</w:t>
      </w:r>
      <w:r>
        <w:rPr>
          <w:color w:val="231F20"/>
          <w:spacing w:val="-1"/>
        </w:rPr>
        <w:t> </w:t>
      </w:r>
      <w:r>
        <w:rPr>
          <w:color w:val="231F20"/>
        </w:rPr>
        <w:t>decisiones.</w:t>
      </w:r>
    </w:p>
    <w:p>
      <w:pPr>
        <w:pStyle w:val="BodyText"/>
        <w:spacing w:line="247" w:lineRule="auto"/>
        <w:ind w:left="117" w:right="114" w:firstLine="283"/>
        <w:jc w:val="both"/>
      </w:pPr>
      <w:r>
        <w:rPr>
          <w:color w:val="231F20"/>
        </w:rPr>
        <w:t>Mención especial merece el conocimiento de otras lenguas, particular- mente</w:t>
      </w:r>
      <w:r>
        <w:rPr>
          <w:color w:val="231F20"/>
          <w:spacing w:val="-4"/>
        </w:rPr>
        <w:t> </w:t>
      </w:r>
      <w:r>
        <w:rPr>
          <w:color w:val="231F20"/>
        </w:rPr>
        <w:t>el</w:t>
      </w:r>
      <w:r>
        <w:rPr>
          <w:color w:val="231F20"/>
          <w:spacing w:val="-4"/>
        </w:rPr>
        <w:t> </w:t>
      </w:r>
      <w:r>
        <w:rPr>
          <w:color w:val="231F20"/>
        </w:rPr>
        <w:t>inglés,</w:t>
      </w:r>
      <w:r>
        <w:rPr>
          <w:color w:val="231F20"/>
          <w:spacing w:val="-4"/>
        </w:rPr>
        <w:t> </w:t>
      </w:r>
      <w:r>
        <w:rPr>
          <w:color w:val="231F20"/>
        </w:rPr>
        <w:t>con</w:t>
      </w:r>
      <w:r>
        <w:rPr>
          <w:color w:val="231F20"/>
          <w:spacing w:val="-3"/>
        </w:rPr>
        <w:t> </w:t>
      </w:r>
      <w:r>
        <w:rPr>
          <w:color w:val="231F20"/>
        </w:rPr>
        <w:t>el</w:t>
      </w:r>
      <w:r>
        <w:rPr>
          <w:color w:val="231F20"/>
          <w:spacing w:val="-4"/>
        </w:rPr>
        <w:t> </w:t>
      </w:r>
      <w:r>
        <w:rPr>
          <w:color w:val="231F20"/>
        </w:rPr>
        <w:t>que</w:t>
      </w:r>
      <w:r>
        <w:rPr>
          <w:color w:val="231F20"/>
          <w:spacing w:val="-4"/>
        </w:rPr>
        <w:t> </w:t>
      </w:r>
      <w:r>
        <w:rPr>
          <w:color w:val="231F20"/>
        </w:rPr>
        <w:t>algunas</w:t>
      </w:r>
      <w:r>
        <w:rPr>
          <w:color w:val="231F20"/>
          <w:spacing w:val="-4"/>
        </w:rPr>
        <w:t> </w:t>
      </w:r>
      <w:r>
        <w:rPr>
          <w:color w:val="231F20"/>
        </w:rPr>
        <w:t>personas</w:t>
      </w:r>
      <w:r>
        <w:rPr>
          <w:color w:val="231F20"/>
          <w:spacing w:val="-3"/>
        </w:rPr>
        <w:t> </w:t>
      </w:r>
      <w:r>
        <w:rPr>
          <w:color w:val="231F20"/>
        </w:rPr>
        <w:t>regresan,</w:t>
      </w:r>
      <w:r>
        <w:rPr>
          <w:color w:val="231F20"/>
          <w:spacing w:val="-3"/>
        </w:rPr>
        <w:t> </w:t>
      </w:r>
      <w:r>
        <w:rPr>
          <w:color w:val="231F20"/>
        </w:rPr>
        <w:t>que,</w:t>
      </w:r>
      <w:r>
        <w:rPr>
          <w:color w:val="231F20"/>
          <w:spacing w:val="-4"/>
        </w:rPr>
        <w:t> </w:t>
      </w:r>
      <w:r>
        <w:rPr>
          <w:color w:val="231F20"/>
        </w:rPr>
        <w:t>además</w:t>
      </w:r>
      <w:r>
        <w:rPr>
          <w:color w:val="231F20"/>
          <w:spacing w:val="-4"/>
        </w:rPr>
        <w:t> </w:t>
      </w:r>
      <w:r>
        <w:rPr>
          <w:color w:val="231F20"/>
        </w:rPr>
        <w:t>del</w:t>
      </w:r>
      <w:r>
        <w:rPr>
          <w:color w:val="231F20"/>
          <w:spacing w:val="-3"/>
        </w:rPr>
        <w:t> </w:t>
      </w:r>
      <w:r>
        <w:rPr>
          <w:color w:val="231F20"/>
        </w:rPr>
        <w:t>en- riquecimiento</w:t>
      </w:r>
      <w:r>
        <w:rPr>
          <w:color w:val="231F20"/>
          <w:spacing w:val="-12"/>
        </w:rPr>
        <w:t> </w:t>
      </w:r>
      <w:r>
        <w:rPr>
          <w:color w:val="231F20"/>
        </w:rPr>
        <w:t>cultural</w:t>
      </w:r>
      <w:r>
        <w:rPr>
          <w:color w:val="231F20"/>
          <w:spacing w:val="-12"/>
        </w:rPr>
        <w:t> </w:t>
      </w:r>
      <w:r>
        <w:rPr>
          <w:color w:val="231F20"/>
        </w:rPr>
        <w:t>que</w:t>
      </w:r>
      <w:r>
        <w:rPr>
          <w:color w:val="231F20"/>
          <w:spacing w:val="-11"/>
        </w:rPr>
        <w:t> </w:t>
      </w:r>
      <w:r>
        <w:rPr>
          <w:color w:val="231F20"/>
        </w:rPr>
        <w:t>significa,</w:t>
      </w:r>
      <w:r>
        <w:rPr>
          <w:color w:val="231F20"/>
          <w:spacing w:val="-11"/>
        </w:rPr>
        <w:t> </w:t>
      </w:r>
      <w:r>
        <w:rPr>
          <w:color w:val="231F20"/>
        </w:rPr>
        <w:t>les</w:t>
      </w:r>
      <w:r>
        <w:rPr>
          <w:color w:val="231F20"/>
          <w:spacing w:val="-11"/>
        </w:rPr>
        <w:t> </w:t>
      </w:r>
      <w:r>
        <w:rPr>
          <w:color w:val="231F20"/>
        </w:rPr>
        <w:t>representa</w:t>
      </w:r>
      <w:r>
        <w:rPr>
          <w:color w:val="231F20"/>
          <w:spacing w:val="-11"/>
        </w:rPr>
        <w:t> </w:t>
      </w:r>
      <w:r>
        <w:rPr>
          <w:color w:val="231F20"/>
        </w:rPr>
        <w:t>una</w:t>
      </w:r>
      <w:r>
        <w:rPr>
          <w:color w:val="231F20"/>
          <w:spacing w:val="-11"/>
        </w:rPr>
        <w:t> </w:t>
      </w:r>
      <w:r>
        <w:rPr>
          <w:color w:val="231F20"/>
        </w:rPr>
        <w:t>ventaja</w:t>
      </w:r>
      <w:r>
        <w:rPr>
          <w:color w:val="231F20"/>
          <w:spacing w:val="-11"/>
        </w:rPr>
        <w:t> </w:t>
      </w:r>
      <w:r>
        <w:rPr>
          <w:color w:val="231F20"/>
        </w:rPr>
        <w:t>competitiva y mayores oportunidades en el mundo académico y laboral, sobre todo si se</w:t>
      </w:r>
      <w:r>
        <w:rPr>
          <w:color w:val="231F20"/>
          <w:spacing w:val="-10"/>
        </w:rPr>
        <w:t> </w:t>
      </w:r>
      <w:r>
        <w:rPr>
          <w:color w:val="231F20"/>
        </w:rPr>
        <w:t>tiene</w:t>
      </w:r>
      <w:r>
        <w:rPr>
          <w:color w:val="231F20"/>
          <w:spacing w:val="-10"/>
        </w:rPr>
        <w:t> </w:t>
      </w:r>
      <w:r>
        <w:rPr>
          <w:color w:val="231F20"/>
        </w:rPr>
        <w:t>en</w:t>
      </w:r>
      <w:r>
        <w:rPr>
          <w:color w:val="231F20"/>
          <w:spacing w:val="-10"/>
        </w:rPr>
        <w:t> </w:t>
      </w:r>
      <w:r>
        <w:rPr>
          <w:color w:val="231F20"/>
        </w:rPr>
        <w:t>cuenta</w:t>
      </w:r>
      <w:r>
        <w:rPr>
          <w:color w:val="231F20"/>
          <w:spacing w:val="-10"/>
        </w:rPr>
        <w:t> </w:t>
      </w:r>
      <w:r>
        <w:rPr>
          <w:color w:val="231F20"/>
        </w:rPr>
        <w:t>que</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países</w:t>
      </w:r>
      <w:r>
        <w:rPr>
          <w:color w:val="231F20"/>
          <w:spacing w:val="-10"/>
        </w:rPr>
        <w:t> </w:t>
      </w:r>
      <w:r>
        <w:rPr>
          <w:color w:val="231F20"/>
        </w:rPr>
        <w:t>andinos</w:t>
      </w:r>
      <w:r>
        <w:rPr>
          <w:color w:val="231F20"/>
          <w:spacing w:val="-11"/>
        </w:rPr>
        <w:t> </w:t>
      </w:r>
      <w:r>
        <w:rPr>
          <w:color w:val="231F20"/>
        </w:rPr>
        <w:t>el</w:t>
      </w:r>
      <w:r>
        <w:rPr>
          <w:color w:val="231F20"/>
          <w:spacing w:val="-10"/>
        </w:rPr>
        <w:t> </w:t>
      </w:r>
      <w:r>
        <w:rPr>
          <w:color w:val="231F20"/>
        </w:rPr>
        <w:t>nivel</w:t>
      </w:r>
      <w:r>
        <w:rPr>
          <w:color w:val="231F20"/>
          <w:spacing w:val="-10"/>
        </w:rPr>
        <w:t> </w:t>
      </w:r>
      <w:r>
        <w:rPr>
          <w:color w:val="231F20"/>
        </w:rPr>
        <w:t>de</w:t>
      </w:r>
      <w:r>
        <w:rPr>
          <w:color w:val="231F20"/>
          <w:spacing w:val="-10"/>
        </w:rPr>
        <w:t> </w:t>
      </w:r>
      <w:r>
        <w:rPr>
          <w:color w:val="231F20"/>
        </w:rPr>
        <w:t>bilingüismo</w:t>
      </w:r>
      <w:r>
        <w:rPr>
          <w:color w:val="231F20"/>
          <w:spacing w:val="-10"/>
        </w:rPr>
        <w:t> </w:t>
      </w:r>
      <w:r>
        <w:rPr>
          <w:color w:val="231F20"/>
        </w:rPr>
        <w:t>es</w:t>
      </w:r>
      <w:r>
        <w:rPr>
          <w:color w:val="231F20"/>
          <w:spacing w:val="-10"/>
        </w:rPr>
        <w:t> </w:t>
      </w:r>
      <w:r>
        <w:rPr>
          <w:color w:val="231F20"/>
        </w:rPr>
        <w:t>bajo.</w:t>
      </w:r>
    </w:p>
    <w:p>
      <w:pPr>
        <w:spacing w:line="240" w:lineRule="exact" w:before="163"/>
        <w:ind w:left="117" w:right="1691" w:firstLine="0"/>
        <w:jc w:val="left"/>
        <w:rPr>
          <w:i/>
          <w:sz w:val="22"/>
        </w:rPr>
      </w:pPr>
      <w:r>
        <w:rPr>
          <w:i/>
          <w:color w:val="231F20"/>
          <w:sz w:val="22"/>
        </w:rPr>
        <w:t>Los ahorros del migrante y la disposición de los medios </w:t>
      </w:r>
      <w:r>
        <w:rPr>
          <w:i/>
          <w:color w:val="231F20"/>
          <w:sz w:val="22"/>
        </w:rPr>
        <w:t>para la subsistencia</w:t>
      </w:r>
    </w:p>
    <w:p>
      <w:pPr>
        <w:pStyle w:val="BodyText"/>
        <w:spacing w:line="247" w:lineRule="auto" w:before="176"/>
        <w:ind w:left="117" w:right="114"/>
        <w:jc w:val="both"/>
      </w:pPr>
      <w:r>
        <w:rPr>
          <w:color w:val="231F20"/>
        </w:rPr>
        <w:t>No</w:t>
      </w:r>
      <w:r>
        <w:rPr>
          <w:color w:val="231F20"/>
          <w:spacing w:val="-8"/>
        </w:rPr>
        <w:t> </w:t>
      </w:r>
      <w:r>
        <w:rPr>
          <w:color w:val="231F20"/>
        </w:rPr>
        <w:t>obstante,</w:t>
      </w:r>
      <w:r>
        <w:rPr>
          <w:color w:val="231F20"/>
          <w:spacing w:val="-8"/>
        </w:rPr>
        <w:t> </w:t>
      </w:r>
      <w:r>
        <w:rPr>
          <w:color w:val="231F20"/>
        </w:rPr>
        <w:t>en</w:t>
      </w:r>
      <w:r>
        <w:rPr>
          <w:color w:val="231F20"/>
          <w:spacing w:val="-9"/>
        </w:rPr>
        <w:t> </w:t>
      </w:r>
      <w:r>
        <w:rPr>
          <w:color w:val="231F20"/>
        </w:rPr>
        <w:t>cuanto</w:t>
      </w:r>
      <w:r>
        <w:rPr>
          <w:color w:val="231F20"/>
          <w:spacing w:val="-9"/>
        </w:rPr>
        <w:t> </w:t>
      </w:r>
      <w:r>
        <w:rPr>
          <w:color w:val="231F20"/>
        </w:rPr>
        <w:t>a</w:t>
      </w:r>
      <w:r>
        <w:rPr>
          <w:color w:val="231F20"/>
          <w:spacing w:val="-8"/>
        </w:rPr>
        <w:t> </w:t>
      </w:r>
      <w:r>
        <w:rPr>
          <w:color w:val="231F20"/>
        </w:rPr>
        <w:t>lo</w:t>
      </w:r>
      <w:r>
        <w:rPr>
          <w:color w:val="231F20"/>
          <w:spacing w:val="-9"/>
        </w:rPr>
        <w:t> </w:t>
      </w:r>
      <w:r>
        <w:rPr>
          <w:color w:val="231F20"/>
        </w:rPr>
        <w:t>económico,</w:t>
      </w:r>
      <w:r>
        <w:rPr>
          <w:color w:val="231F20"/>
          <w:spacing w:val="-9"/>
        </w:rPr>
        <w:t> </w:t>
      </w:r>
      <w:r>
        <w:rPr>
          <w:color w:val="231F20"/>
        </w:rPr>
        <w:t>razón</w:t>
      </w:r>
      <w:r>
        <w:rPr>
          <w:color w:val="231F20"/>
          <w:spacing w:val="-8"/>
        </w:rPr>
        <w:t> </w:t>
      </w:r>
      <w:r>
        <w:rPr>
          <w:color w:val="231F20"/>
        </w:rPr>
        <w:t>de</w:t>
      </w:r>
      <w:r>
        <w:rPr>
          <w:color w:val="231F20"/>
          <w:spacing w:val="-8"/>
        </w:rPr>
        <w:t> </w:t>
      </w:r>
      <w:r>
        <w:rPr>
          <w:color w:val="231F20"/>
        </w:rPr>
        <w:t>ser</w:t>
      </w:r>
      <w:r>
        <w:rPr>
          <w:color w:val="231F20"/>
          <w:spacing w:val="-8"/>
        </w:rPr>
        <w:t> </w:t>
      </w:r>
      <w:r>
        <w:rPr>
          <w:color w:val="231F20"/>
        </w:rPr>
        <w:t>de</w:t>
      </w:r>
      <w:r>
        <w:rPr>
          <w:color w:val="231F20"/>
          <w:spacing w:val="-8"/>
        </w:rPr>
        <w:t> </w:t>
      </w:r>
      <w:r>
        <w:rPr>
          <w:color w:val="231F20"/>
        </w:rPr>
        <w:t>tantas</w:t>
      </w:r>
      <w:r>
        <w:rPr>
          <w:color w:val="231F20"/>
          <w:spacing w:val="-9"/>
        </w:rPr>
        <w:t> </w:t>
      </w:r>
      <w:r>
        <w:rPr>
          <w:color w:val="231F20"/>
        </w:rPr>
        <w:t>migraciones, en muchas de las cuales se sueña regresar con los medios suficientes para ser</w:t>
      </w:r>
      <w:r>
        <w:rPr>
          <w:color w:val="231F20"/>
          <w:spacing w:val="-10"/>
        </w:rPr>
        <w:t> </w:t>
      </w:r>
      <w:r>
        <w:rPr>
          <w:color w:val="231F20"/>
        </w:rPr>
        <w:t>“independiente”,</w:t>
      </w:r>
      <w:r>
        <w:rPr>
          <w:color w:val="231F20"/>
          <w:spacing w:val="-10"/>
        </w:rPr>
        <w:t> </w:t>
      </w:r>
      <w:r>
        <w:rPr>
          <w:color w:val="231F20"/>
        </w:rPr>
        <w:t>a</w:t>
      </w:r>
      <w:r>
        <w:rPr>
          <w:color w:val="231F20"/>
          <w:spacing w:val="-10"/>
        </w:rPr>
        <w:t> </w:t>
      </w:r>
      <w:r>
        <w:rPr>
          <w:color w:val="231F20"/>
        </w:rPr>
        <w:t>través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disposición</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renta</w:t>
      </w:r>
      <w:r>
        <w:rPr>
          <w:color w:val="231F20"/>
          <w:spacing w:val="-10"/>
        </w:rPr>
        <w:t> </w:t>
      </w:r>
      <w:r>
        <w:rPr>
          <w:color w:val="231F20"/>
        </w:rPr>
        <w:t>(eventualmente de una pensión) o de la gestión de un negocio propio, el saldo no siempre es tan positivo y algunas personas llegan con las manos vacías, en ocasio- nes, quizás, por falta de una cultura del ahorro, como lo reconoce un re- tornado ecuatoriano, “nosotros éramos jóvenes, trabajábamos nomás para nosotros, para diversión, vestirnos bien, pasarla</w:t>
      </w:r>
      <w:r>
        <w:rPr>
          <w:color w:val="231F20"/>
          <w:spacing w:val="-1"/>
        </w:rPr>
        <w:t> </w:t>
      </w:r>
      <w:r>
        <w:rPr>
          <w:color w:val="231F20"/>
        </w:rPr>
        <w:t>bien”.</w:t>
      </w:r>
    </w:p>
    <w:p>
      <w:pPr>
        <w:pStyle w:val="BodyText"/>
        <w:spacing w:line="247" w:lineRule="auto"/>
        <w:ind w:left="117" w:right="115" w:firstLine="283"/>
        <w:jc w:val="both"/>
      </w:pPr>
      <w:r>
        <w:rPr>
          <w:color w:val="231F20"/>
        </w:rPr>
        <w:t>Incluso,</w:t>
      </w:r>
      <w:r>
        <w:rPr>
          <w:color w:val="231F20"/>
          <w:spacing w:val="-10"/>
        </w:rPr>
        <w:t> </w:t>
      </w:r>
      <w:r>
        <w:rPr>
          <w:color w:val="231F20"/>
        </w:rPr>
        <w:t>las</w:t>
      </w:r>
      <w:r>
        <w:rPr>
          <w:color w:val="231F20"/>
          <w:spacing w:val="-10"/>
        </w:rPr>
        <w:t> </w:t>
      </w:r>
      <w:r>
        <w:rPr>
          <w:color w:val="231F20"/>
        </w:rPr>
        <w:t>reunificaciones</w:t>
      </w:r>
      <w:r>
        <w:rPr>
          <w:color w:val="231F20"/>
          <w:spacing w:val="-10"/>
        </w:rPr>
        <w:t> </w:t>
      </w:r>
      <w:r>
        <w:rPr>
          <w:color w:val="231F20"/>
        </w:rPr>
        <w:t>familiares</w:t>
      </w:r>
      <w:r>
        <w:rPr>
          <w:color w:val="231F20"/>
          <w:spacing w:val="-10"/>
        </w:rPr>
        <w:t> </w:t>
      </w:r>
      <w:r>
        <w:rPr>
          <w:color w:val="231F20"/>
        </w:rPr>
        <w:t>que</w:t>
      </w:r>
      <w:r>
        <w:rPr>
          <w:color w:val="231F20"/>
          <w:spacing w:val="-10"/>
        </w:rPr>
        <w:t> </w:t>
      </w:r>
      <w:r>
        <w:rPr>
          <w:color w:val="231F20"/>
        </w:rPr>
        <w:t>para</w:t>
      </w:r>
      <w:r>
        <w:rPr>
          <w:color w:val="231F20"/>
          <w:spacing w:val="-10"/>
        </w:rPr>
        <w:t> </w:t>
      </w:r>
      <w:r>
        <w:rPr>
          <w:color w:val="231F20"/>
        </w:rPr>
        <w:t>algunos</w:t>
      </w:r>
      <w:r>
        <w:rPr>
          <w:color w:val="231F20"/>
          <w:spacing w:val="-10"/>
        </w:rPr>
        <w:t> </w:t>
      </w:r>
      <w:r>
        <w:rPr>
          <w:color w:val="231F20"/>
        </w:rPr>
        <w:t>significan</w:t>
      </w:r>
      <w:r>
        <w:rPr>
          <w:color w:val="231F20"/>
          <w:spacing w:val="-10"/>
        </w:rPr>
        <w:t> </w:t>
      </w:r>
      <w:r>
        <w:rPr>
          <w:color w:val="231F20"/>
        </w:rPr>
        <w:t>el</w:t>
      </w:r>
      <w:r>
        <w:rPr>
          <w:color w:val="231F20"/>
          <w:spacing w:val="-10"/>
        </w:rPr>
        <w:t> </w:t>
      </w:r>
      <w:r>
        <w:rPr>
          <w:color w:val="231F20"/>
        </w:rPr>
        <w:t>fin del envío de remesas, para otros constituyen la multiplicación de hogares que</w:t>
      </w:r>
      <w:r>
        <w:rPr>
          <w:color w:val="231F20"/>
          <w:spacing w:val="-13"/>
        </w:rPr>
        <w:t> </w:t>
      </w:r>
      <w:r>
        <w:rPr>
          <w:color w:val="231F20"/>
        </w:rPr>
        <w:t>pasan</w:t>
      </w:r>
      <w:r>
        <w:rPr>
          <w:color w:val="231F20"/>
          <w:spacing w:val="-13"/>
        </w:rPr>
        <w:t> </w:t>
      </w:r>
      <w:r>
        <w:rPr>
          <w:color w:val="231F20"/>
        </w:rPr>
        <w:t>a</w:t>
      </w:r>
      <w:r>
        <w:rPr>
          <w:color w:val="231F20"/>
          <w:spacing w:val="-13"/>
        </w:rPr>
        <w:t> </w:t>
      </w:r>
      <w:r>
        <w:rPr>
          <w:color w:val="231F20"/>
        </w:rPr>
        <w:t>depender</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recursos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migrantes,</w:t>
      </w:r>
      <w:r>
        <w:rPr>
          <w:color w:val="231F20"/>
          <w:spacing w:val="-13"/>
        </w:rPr>
        <w:t> </w:t>
      </w:r>
      <w:r>
        <w:rPr>
          <w:color w:val="231F20"/>
        </w:rPr>
        <w:t>al</w:t>
      </w:r>
      <w:r>
        <w:rPr>
          <w:color w:val="231F20"/>
          <w:spacing w:val="-13"/>
        </w:rPr>
        <w:t> </w:t>
      </w:r>
      <w:r>
        <w:rPr>
          <w:color w:val="231F20"/>
        </w:rPr>
        <w:t>deberse</w:t>
      </w:r>
      <w:r>
        <w:rPr>
          <w:color w:val="231F20"/>
          <w:spacing w:val="-13"/>
        </w:rPr>
        <w:t> </w:t>
      </w:r>
      <w:r>
        <w:rPr>
          <w:color w:val="231F20"/>
        </w:rPr>
        <w:t>responder no</w:t>
      </w:r>
      <w:r>
        <w:rPr>
          <w:color w:val="231F20"/>
          <w:spacing w:val="-9"/>
        </w:rPr>
        <w:t> </w:t>
      </w:r>
      <w:r>
        <w:rPr>
          <w:color w:val="231F20"/>
        </w:rPr>
        <w:t>sólo</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hogar</w:t>
      </w:r>
      <w:r>
        <w:rPr>
          <w:color w:val="231F20"/>
          <w:spacing w:val="-9"/>
        </w:rPr>
        <w:t> </w:t>
      </w:r>
      <w:r>
        <w:rPr>
          <w:color w:val="231F20"/>
        </w:rPr>
        <w:t>reagrupado,</w:t>
      </w:r>
      <w:r>
        <w:rPr>
          <w:color w:val="231F20"/>
          <w:spacing w:val="-9"/>
        </w:rPr>
        <w:t> </w:t>
      </w:r>
      <w:r>
        <w:rPr>
          <w:color w:val="231F20"/>
        </w:rPr>
        <w:t>sino</w:t>
      </w:r>
      <w:r>
        <w:rPr>
          <w:color w:val="231F20"/>
          <w:spacing w:val="-9"/>
        </w:rPr>
        <w:t> </w:t>
      </w:r>
      <w:r>
        <w:rPr>
          <w:color w:val="231F20"/>
        </w:rPr>
        <w:t>por</w:t>
      </w:r>
      <w:r>
        <w:rPr>
          <w:color w:val="231F20"/>
          <w:spacing w:val="-9"/>
        </w:rPr>
        <w:t> </w:t>
      </w:r>
      <w:r>
        <w:rPr>
          <w:color w:val="231F20"/>
        </w:rPr>
        <w:t>otros</w:t>
      </w:r>
      <w:r>
        <w:rPr>
          <w:color w:val="231F20"/>
          <w:spacing w:val="-9"/>
        </w:rPr>
        <w:t> </w:t>
      </w:r>
      <w:r>
        <w:rPr>
          <w:color w:val="231F20"/>
        </w:rPr>
        <w:t>en</w:t>
      </w:r>
      <w:r>
        <w:rPr>
          <w:color w:val="231F20"/>
          <w:spacing w:val="-9"/>
        </w:rPr>
        <w:t> </w:t>
      </w:r>
      <w:r>
        <w:rPr>
          <w:color w:val="231F20"/>
        </w:rPr>
        <w:t>origen,</w:t>
      </w:r>
      <w:r>
        <w:rPr>
          <w:color w:val="231F20"/>
          <w:spacing w:val="-9"/>
        </w:rPr>
        <w:t> </w:t>
      </w:r>
      <w:r>
        <w:rPr>
          <w:color w:val="231F20"/>
        </w:rPr>
        <w:t>generalmente</w:t>
      </w:r>
      <w:r>
        <w:rPr>
          <w:color w:val="231F20"/>
          <w:spacing w:val="-9"/>
        </w:rPr>
        <w:t> </w:t>
      </w:r>
      <w:r>
        <w:rPr>
          <w:color w:val="231F20"/>
        </w:rPr>
        <w:t>los de</w:t>
      </w:r>
      <w:r>
        <w:rPr>
          <w:color w:val="231F20"/>
          <w:spacing w:val="-9"/>
        </w:rPr>
        <w:t> </w:t>
      </w:r>
      <w:r>
        <w:rPr>
          <w:color w:val="231F20"/>
        </w:rPr>
        <w:t>los</w:t>
      </w:r>
      <w:r>
        <w:rPr>
          <w:color w:val="231F20"/>
          <w:spacing w:val="-10"/>
        </w:rPr>
        <w:t> </w:t>
      </w:r>
      <w:r>
        <w:rPr>
          <w:color w:val="231F20"/>
        </w:rPr>
        <w:t>padres</w:t>
      </w:r>
      <w:r>
        <w:rPr>
          <w:color w:val="231F20"/>
          <w:spacing w:val="-9"/>
        </w:rPr>
        <w:t> </w:t>
      </w:r>
      <w:r>
        <w:rPr>
          <w:color w:val="231F20"/>
        </w:rPr>
        <w:t>de</w:t>
      </w:r>
      <w:r>
        <w:rPr>
          <w:color w:val="231F20"/>
          <w:spacing w:val="-9"/>
        </w:rPr>
        <w:t> </w:t>
      </w:r>
      <w:r>
        <w:rPr>
          <w:color w:val="231F20"/>
        </w:rPr>
        <w:t>uno</w:t>
      </w:r>
      <w:r>
        <w:rPr>
          <w:color w:val="231F20"/>
          <w:spacing w:val="-9"/>
        </w:rPr>
        <w:t> </w:t>
      </w:r>
      <w:r>
        <w:rPr>
          <w:color w:val="231F20"/>
        </w:rPr>
        <w:t>y</w:t>
      </w:r>
      <w:r>
        <w:rPr>
          <w:color w:val="231F20"/>
          <w:spacing w:val="-9"/>
        </w:rPr>
        <w:t> </w:t>
      </w:r>
      <w:r>
        <w:rPr>
          <w:color w:val="231F20"/>
        </w:rPr>
        <w:t>otro</w:t>
      </w:r>
      <w:r>
        <w:rPr>
          <w:color w:val="231F20"/>
          <w:spacing w:val="-9"/>
        </w:rPr>
        <w:t> </w:t>
      </w:r>
      <w:r>
        <w:rPr>
          <w:color w:val="231F20"/>
        </w:rPr>
        <w:t>miembro</w:t>
      </w:r>
      <w:r>
        <w:rPr>
          <w:color w:val="231F20"/>
          <w:spacing w:val="-10"/>
        </w:rPr>
        <w:t> </w:t>
      </w:r>
      <w:r>
        <w:rPr>
          <w:color w:val="231F20"/>
        </w:rPr>
        <w:t>de</w:t>
      </w:r>
      <w:r>
        <w:rPr>
          <w:color w:val="231F20"/>
          <w:spacing w:val="-9"/>
        </w:rPr>
        <w:t> </w:t>
      </w:r>
      <w:r>
        <w:rPr>
          <w:color w:val="231F20"/>
        </w:rPr>
        <w:t>la</w:t>
      </w:r>
      <w:r>
        <w:rPr>
          <w:color w:val="231F20"/>
          <w:spacing w:val="-9"/>
        </w:rPr>
        <w:t> </w:t>
      </w:r>
      <w:r>
        <w:rPr>
          <w:color w:val="231F20"/>
        </w:rPr>
        <w:t>pareja,</w:t>
      </w:r>
      <w:r>
        <w:rPr>
          <w:color w:val="231F20"/>
          <w:spacing w:val="-9"/>
        </w:rPr>
        <w:t> </w:t>
      </w:r>
      <w:r>
        <w:rPr>
          <w:color w:val="231F20"/>
        </w:rPr>
        <w:t>complicando</w:t>
      </w:r>
      <w:r>
        <w:rPr>
          <w:color w:val="231F20"/>
          <w:spacing w:val="-9"/>
        </w:rPr>
        <w:t> </w:t>
      </w:r>
      <w:r>
        <w:rPr>
          <w:color w:val="231F20"/>
        </w:rPr>
        <w:t>las</w:t>
      </w:r>
      <w:r>
        <w:rPr>
          <w:color w:val="231F20"/>
          <w:spacing w:val="-10"/>
        </w:rPr>
        <w:t> </w:t>
      </w:r>
      <w:r>
        <w:rPr>
          <w:color w:val="231F20"/>
        </w:rPr>
        <w:t>posibili- dades</w:t>
      </w:r>
      <w:r>
        <w:rPr>
          <w:color w:val="231F20"/>
          <w:spacing w:val="-5"/>
        </w:rPr>
        <w:t> </w:t>
      </w:r>
      <w:r>
        <w:rPr>
          <w:color w:val="231F20"/>
        </w:rPr>
        <w:t>de</w:t>
      </w:r>
      <w:r>
        <w:rPr>
          <w:color w:val="231F20"/>
          <w:spacing w:val="-5"/>
        </w:rPr>
        <w:t> </w:t>
      </w:r>
      <w:r>
        <w:rPr>
          <w:color w:val="231F20"/>
        </w:rPr>
        <w:t>ahorro</w:t>
      </w:r>
      <w:r>
        <w:rPr>
          <w:color w:val="231F20"/>
          <w:spacing w:val="-5"/>
        </w:rPr>
        <w:t> </w:t>
      </w:r>
      <w:r>
        <w:rPr>
          <w:color w:val="231F20"/>
        </w:rPr>
        <w:t>o</w:t>
      </w:r>
      <w:r>
        <w:rPr>
          <w:color w:val="231F20"/>
          <w:spacing w:val="-5"/>
        </w:rPr>
        <w:t> </w:t>
      </w:r>
      <w:r>
        <w:rPr>
          <w:color w:val="231F20"/>
        </w:rPr>
        <w:t>inversión:</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caso</w:t>
      </w:r>
      <w:r>
        <w:rPr>
          <w:color w:val="231F20"/>
          <w:spacing w:val="-5"/>
        </w:rPr>
        <w:t> </w:t>
      </w:r>
      <w:r>
        <w:rPr>
          <w:color w:val="231F20"/>
        </w:rPr>
        <w:t>de</w:t>
      </w:r>
      <w:r>
        <w:rPr>
          <w:color w:val="231F20"/>
          <w:spacing w:val="-5"/>
        </w:rPr>
        <w:t> </w:t>
      </w:r>
      <w:r>
        <w:rPr>
          <w:color w:val="231F20"/>
        </w:rPr>
        <w:t>nosotros</w:t>
      </w:r>
      <w:r>
        <w:rPr>
          <w:color w:val="231F20"/>
          <w:spacing w:val="-5"/>
        </w:rPr>
        <w:t> </w:t>
      </w:r>
      <w:r>
        <w:rPr>
          <w:color w:val="231F20"/>
        </w:rPr>
        <w:t>no</w:t>
      </w:r>
      <w:r>
        <w:rPr>
          <w:color w:val="231F20"/>
          <w:spacing w:val="-5"/>
        </w:rPr>
        <w:t> </w:t>
      </w:r>
      <w:r>
        <w:rPr>
          <w:color w:val="231F20"/>
        </w:rPr>
        <w:t>lo</w:t>
      </w:r>
      <w:r>
        <w:rPr>
          <w:color w:val="231F20"/>
          <w:spacing w:val="-5"/>
        </w:rPr>
        <w:t> </w:t>
      </w:r>
      <w:r>
        <w:rPr>
          <w:color w:val="231F20"/>
        </w:rPr>
        <w:t>manejamos</w:t>
      </w:r>
      <w:r>
        <w:rPr>
          <w:color w:val="231F20"/>
          <w:spacing w:val="-5"/>
        </w:rPr>
        <w:t> </w:t>
      </w:r>
      <w:r>
        <w:rPr>
          <w:color w:val="231F20"/>
        </w:rPr>
        <w:t>mal, era que éramos tres hogares, uno allá y dos acá” (retornada</w:t>
      </w:r>
      <w:r>
        <w:rPr>
          <w:color w:val="231F20"/>
          <w:spacing w:val="-6"/>
        </w:rPr>
        <w:t> </w:t>
      </w:r>
      <w:r>
        <w:rPr>
          <w:color w:val="231F20"/>
        </w:rPr>
        <w:t>colombiana).</w:t>
      </w:r>
    </w:p>
    <w:p>
      <w:pPr>
        <w:pStyle w:val="BodyText"/>
        <w:spacing w:line="247" w:lineRule="auto"/>
        <w:ind w:left="117" w:right="114" w:firstLine="283"/>
        <w:jc w:val="both"/>
      </w:pPr>
      <w:r>
        <w:rPr>
          <w:color w:val="231F20"/>
        </w:rPr>
        <w:t>Con la crisis, algunos migrantes encontraron aún más limitadas las po- sibilidades del ahorro y otros se vieron obligados a echar mano del que habían logrado, como parte de las estrategias de sobrevivencia, mientras muchos lo vieron esfumar con la pérdida de las viviendas a través de las cuales lo habían convertido en inversión. En estas condiciones, parte de quienes han regresado en medio de la crisis, particularmente desde  Espa-</w:t>
      </w:r>
    </w:p>
    <w:p>
      <w:pPr>
        <w:spacing w:after="0" w:line="247" w:lineRule="auto"/>
        <w:jc w:val="both"/>
        <w:sectPr>
          <w:pgSz w:w="9360" w:h="13040"/>
          <w:pgMar w:header="0" w:footer="496" w:top="740" w:bottom="680" w:left="1300" w:right="1300"/>
        </w:sectPr>
      </w:pPr>
    </w:p>
    <w:p>
      <w:pPr>
        <w:tabs>
          <w:tab w:pos="5536" w:val="left" w:leader="none"/>
        </w:tabs>
        <w:spacing w:before="34"/>
        <w:ind w:left="117" w:right="117" w:firstLine="7"/>
        <w:jc w:val="left"/>
        <w:rPr>
          <w:sz w:val="18"/>
        </w:rPr>
      </w:pPr>
      <w:r>
        <w:rPr>
          <w:rFonts w:ascii="Arial" w:hAnsi="Arial"/>
          <w:color w:val="231F20"/>
          <w:w w:val="80"/>
          <w:position w:val="2"/>
          <w:sz w:val="20"/>
        </w:rPr>
        <w:t>Hitos</w:t>
      </w:r>
      <w:r>
        <w:rPr>
          <w:rFonts w:ascii="Arial" w:hAnsi="Arial"/>
          <w:color w:val="231F20"/>
          <w:spacing w:val="-14"/>
          <w:w w:val="80"/>
          <w:position w:val="2"/>
          <w:sz w:val="20"/>
        </w:rPr>
        <w:t> </w:t>
      </w:r>
      <w:r>
        <w:rPr>
          <w:rFonts w:ascii="Arial" w:hAnsi="Arial"/>
          <w:color w:val="231F20"/>
          <w:w w:val="80"/>
          <w:position w:val="2"/>
          <w:sz w:val="20"/>
        </w:rPr>
        <w:t>Demográficos</w:t>
      </w:r>
      <w:r>
        <w:rPr>
          <w:rFonts w:ascii="Arial" w:hAnsi="Arial"/>
          <w:color w:val="231F20"/>
          <w:spacing w:val="-14"/>
          <w:w w:val="80"/>
          <w:position w:val="2"/>
          <w:sz w:val="20"/>
        </w:rPr>
        <w:t> </w:t>
      </w:r>
      <w:r>
        <w:rPr>
          <w:rFonts w:ascii="Arial" w:hAnsi="Arial"/>
          <w:color w:val="231F20"/>
          <w:w w:val="80"/>
          <w:position w:val="2"/>
          <w:sz w:val="20"/>
        </w:rPr>
        <w:t>del</w:t>
      </w:r>
      <w:r>
        <w:rPr>
          <w:rFonts w:ascii="Arial" w:hAnsi="Arial"/>
          <w:color w:val="231F20"/>
          <w:spacing w:val="-14"/>
          <w:w w:val="80"/>
          <w:position w:val="2"/>
          <w:sz w:val="20"/>
        </w:rPr>
        <w:t> </w:t>
      </w:r>
      <w:r>
        <w:rPr>
          <w:rFonts w:ascii="Arial" w:hAnsi="Arial"/>
          <w:color w:val="231F20"/>
          <w:w w:val="80"/>
          <w:position w:val="2"/>
          <w:sz w:val="20"/>
        </w:rPr>
        <w:t>Siglo</w:t>
      </w:r>
      <w:r>
        <w:rPr>
          <w:rFonts w:ascii="Arial" w:hAnsi="Arial"/>
          <w:color w:val="231F20"/>
          <w:spacing w:val="-14"/>
          <w:w w:val="80"/>
          <w:position w:val="2"/>
          <w:sz w:val="20"/>
        </w:rPr>
        <w:t> </w:t>
      </w:r>
      <w:r>
        <w:rPr>
          <w:rFonts w:ascii="Arial" w:hAnsi="Arial"/>
          <w:color w:val="231F20"/>
          <w:w w:val="80"/>
          <w:position w:val="2"/>
          <w:sz w:val="20"/>
        </w:rPr>
        <w:t>XXI:</w:t>
      </w:r>
      <w:r>
        <w:rPr>
          <w:rFonts w:ascii="Arial" w:hAnsi="Arial"/>
          <w:color w:val="231F20"/>
          <w:spacing w:val="-14"/>
          <w:w w:val="80"/>
          <w:position w:val="2"/>
          <w:sz w:val="20"/>
        </w:rPr>
        <w:t> </w:t>
      </w:r>
      <w:r>
        <w:rPr>
          <w:rFonts w:ascii="Arial" w:hAnsi="Arial"/>
          <w:color w:val="231F20"/>
          <w:w w:val="80"/>
          <w:position w:val="2"/>
          <w:sz w:val="20"/>
        </w:rPr>
        <w:t>Migración</w:t>
      </w:r>
      <w:r>
        <w:rPr>
          <w:rFonts w:ascii="Arial" w:hAnsi="Arial"/>
          <w:color w:val="231F20"/>
          <w:spacing w:val="-14"/>
          <w:w w:val="80"/>
          <w:position w:val="2"/>
          <w:sz w:val="20"/>
        </w:rPr>
        <w:t> </w:t>
      </w:r>
      <w:r>
        <w:rPr>
          <w:rFonts w:ascii="Arial" w:hAnsi="Arial"/>
          <w:color w:val="231F20"/>
          <w:w w:val="80"/>
          <w:position w:val="2"/>
          <w:sz w:val="20"/>
        </w:rPr>
        <w:t>Internacional</w:t>
        <w:tab/>
      </w:r>
      <w:r>
        <w:rPr>
          <w:color w:val="231F20"/>
          <w:w w:val="90"/>
          <w:sz w:val="18"/>
        </w:rPr>
        <w:t>CIEAP/UAEM</w:t>
      </w:r>
    </w:p>
    <w:p>
      <w:pPr>
        <w:pStyle w:val="BodyText"/>
        <w:spacing w:before="2"/>
        <w:rPr>
          <w:sz w:val="21"/>
        </w:rPr>
      </w:pPr>
    </w:p>
    <w:p>
      <w:pPr>
        <w:pStyle w:val="BodyText"/>
        <w:spacing w:line="247" w:lineRule="auto"/>
        <w:ind w:left="117"/>
      </w:pPr>
      <w:r>
        <w:rPr>
          <w:color w:val="231F20"/>
        </w:rPr>
        <w:t>ña, han llegado sin recursos de capital para el emprendimiento que habían soñado.</w:t>
      </w:r>
    </w:p>
    <w:p>
      <w:pPr>
        <w:pStyle w:val="BodyText"/>
        <w:spacing w:line="247" w:lineRule="auto"/>
        <w:ind w:left="117" w:right="114" w:firstLine="283"/>
        <w:jc w:val="both"/>
      </w:pPr>
      <w:r>
        <w:rPr>
          <w:color w:val="231F20"/>
        </w:rPr>
        <w:t>Sin embargo, la situación descrita no puede generalizarse y otros re- conocen la existencia de ahorros hechos en el exterior y los sacrificios  que implicaron, en ocasiones por largos períodos, como parte de un plan preconcebido. En general, la aspiración de los migrantes que piensan en</w:t>
      </w:r>
      <w:r>
        <w:rPr>
          <w:color w:val="231F20"/>
          <w:spacing w:val="-33"/>
        </w:rPr>
        <w:t> </w:t>
      </w:r>
      <w:r>
        <w:rPr>
          <w:color w:val="231F20"/>
        </w:rPr>
        <w:t>el retorno,</w:t>
      </w:r>
      <w:r>
        <w:rPr>
          <w:color w:val="231F20"/>
          <w:spacing w:val="-9"/>
        </w:rPr>
        <w:t> </w:t>
      </w:r>
      <w:r>
        <w:rPr>
          <w:color w:val="231F20"/>
        </w:rPr>
        <w:t>posiblemente</w:t>
      </w:r>
      <w:r>
        <w:rPr>
          <w:color w:val="231F20"/>
          <w:spacing w:val="-9"/>
        </w:rPr>
        <w:t> </w:t>
      </w:r>
      <w:r>
        <w:rPr>
          <w:color w:val="231F20"/>
        </w:rPr>
        <w:t>la</w:t>
      </w:r>
      <w:r>
        <w:rPr>
          <w:color w:val="231F20"/>
          <w:spacing w:val="-9"/>
        </w:rPr>
        <w:t> </w:t>
      </w:r>
      <w:r>
        <w:rPr>
          <w:color w:val="231F20"/>
        </w:rPr>
        <w:t>mayoría,</w:t>
      </w:r>
      <w:r>
        <w:rPr>
          <w:color w:val="231F20"/>
          <w:spacing w:val="-9"/>
        </w:rPr>
        <w:t> </w:t>
      </w:r>
      <w:r>
        <w:rPr>
          <w:color w:val="231F20"/>
        </w:rPr>
        <w:t>es</w:t>
      </w:r>
      <w:r>
        <w:rPr>
          <w:color w:val="231F20"/>
          <w:spacing w:val="-9"/>
        </w:rPr>
        <w:t> </w:t>
      </w:r>
      <w:r>
        <w:rPr>
          <w:color w:val="231F20"/>
        </w:rPr>
        <w:t>“tener</w:t>
      </w:r>
      <w:r>
        <w:rPr>
          <w:color w:val="231F20"/>
          <w:spacing w:val="-9"/>
        </w:rPr>
        <w:t> </w:t>
      </w:r>
      <w:r>
        <w:rPr>
          <w:color w:val="231F20"/>
        </w:rPr>
        <w:t>con</w:t>
      </w:r>
      <w:r>
        <w:rPr>
          <w:color w:val="231F20"/>
          <w:spacing w:val="-9"/>
        </w:rPr>
        <w:t> </w:t>
      </w:r>
      <w:r>
        <w:rPr>
          <w:color w:val="231F20"/>
        </w:rPr>
        <w:t>qué</w:t>
      </w:r>
      <w:r>
        <w:rPr>
          <w:color w:val="231F20"/>
          <w:spacing w:val="-9"/>
        </w:rPr>
        <w:t> </w:t>
      </w:r>
      <w:r>
        <w:rPr>
          <w:color w:val="231F20"/>
        </w:rPr>
        <w:t>vivir”</w:t>
      </w:r>
      <w:r>
        <w:rPr>
          <w:color w:val="231F20"/>
          <w:spacing w:val="-9"/>
        </w:rPr>
        <w:t> </w:t>
      </w:r>
      <w:r>
        <w:rPr>
          <w:color w:val="231F20"/>
        </w:rPr>
        <w:t>al</w:t>
      </w:r>
      <w:r>
        <w:rPr>
          <w:color w:val="231F20"/>
          <w:spacing w:val="-9"/>
        </w:rPr>
        <w:t> </w:t>
      </w:r>
      <w:r>
        <w:rPr>
          <w:color w:val="231F20"/>
        </w:rPr>
        <w:t>regresar,</w:t>
      </w:r>
      <w:r>
        <w:rPr>
          <w:color w:val="231F20"/>
          <w:spacing w:val="-9"/>
        </w:rPr>
        <w:t> </w:t>
      </w:r>
      <w:r>
        <w:rPr>
          <w:color w:val="231F20"/>
        </w:rPr>
        <w:t>defi- nido</w:t>
      </w:r>
      <w:r>
        <w:rPr>
          <w:color w:val="231F20"/>
          <w:spacing w:val="-7"/>
        </w:rPr>
        <w:t> </w:t>
      </w:r>
      <w:r>
        <w:rPr>
          <w:color w:val="231F20"/>
        </w:rPr>
        <w:t>por</w:t>
      </w:r>
      <w:r>
        <w:rPr>
          <w:color w:val="231F20"/>
          <w:spacing w:val="-7"/>
        </w:rPr>
        <w:t> </w:t>
      </w:r>
      <w:r>
        <w:rPr>
          <w:color w:val="231F20"/>
        </w:rPr>
        <w:t>los</w:t>
      </w:r>
      <w:r>
        <w:rPr>
          <w:color w:val="231F20"/>
          <w:spacing w:val="-7"/>
        </w:rPr>
        <w:t> </w:t>
      </w:r>
      <w:r>
        <w:rPr>
          <w:color w:val="231F20"/>
        </w:rPr>
        <w:t>ahorros</w:t>
      </w:r>
      <w:r>
        <w:rPr>
          <w:color w:val="231F20"/>
          <w:spacing w:val="-7"/>
        </w:rPr>
        <w:t> </w:t>
      </w:r>
      <w:r>
        <w:rPr>
          <w:color w:val="231F20"/>
        </w:rPr>
        <w:t>logrados</w:t>
      </w:r>
      <w:r>
        <w:rPr>
          <w:color w:val="231F20"/>
          <w:spacing w:val="-7"/>
        </w:rPr>
        <w:t> </w:t>
      </w:r>
      <w:r>
        <w:rPr>
          <w:color w:val="231F20"/>
        </w:rPr>
        <w:t>que,</w:t>
      </w:r>
      <w:r>
        <w:rPr>
          <w:color w:val="231F20"/>
          <w:spacing w:val="-7"/>
        </w:rPr>
        <w:t> </w:t>
      </w:r>
      <w:r>
        <w:rPr>
          <w:color w:val="231F20"/>
        </w:rPr>
        <w:t>como</w:t>
      </w:r>
      <w:r>
        <w:rPr>
          <w:color w:val="231F20"/>
          <w:spacing w:val="-7"/>
        </w:rPr>
        <w:t> </w:t>
      </w:r>
      <w:r>
        <w:rPr>
          <w:color w:val="231F20"/>
        </w:rPr>
        <w:t>se</w:t>
      </w:r>
      <w:r>
        <w:rPr>
          <w:color w:val="231F20"/>
          <w:spacing w:val="-7"/>
        </w:rPr>
        <w:t> </w:t>
      </w:r>
      <w:r>
        <w:rPr>
          <w:color w:val="231F20"/>
        </w:rPr>
        <w:t>acabó</w:t>
      </w:r>
      <w:r>
        <w:rPr>
          <w:color w:val="231F20"/>
          <w:spacing w:val="-7"/>
        </w:rPr>
        <w:t> </w:t>
      </w:r>
      <w:r>
        <w:rPr>
          <w:color w:val="231F20"/>
        </w:rPr>
        <w:t>de</w:t>
      </w:r>
      <w:r>
        <w:rPr>
          <w:color w:val="231F20"/>
          <w:spacing w:val="-7"/>
        </w:rPr>
        <w:t> </w:t>
      </w:r>
      <w:r>
        <w:rPr>
          <w:color w:val="231F20"/>
          <w:spacing w:val="-3"/>
        </w:rPr>
        <w:t>ver,</w:t>
      </w:r>
      <w:r>
        <w:rPr>
          <w:color w:val="231F20"/>
          <w:spacing w:val="-7"/>
        </w:rPr>
        <w:t> </w:t>
      </w:r>
      <w:r>
        <w:rPr>
          <w:color w:val="231F20"/>
        </w:rPr>
        <w:t>cuando</w:t>
      </w:r>
      <w:r>
        <w:rPr>
          <w:color w:val="231F20"/>
          <w:spacing w:val="-7"/>
        </w:rPr>
        <w:t> </w:t>
      </w:r>
      <w:r>
        <w:rPr>
          <w:color w:val="231F20"/>
        </w:rPr>
        <w:t>se</w:t>
      </w:r>
      <w:r>
        <w:rPr>
          <w:color w:val="231F20"/>
          <w:spacing w:val="-7"/>
        </w:rPr>
        <w:t> </w:t>
      </w:r>
      <w:r>
        <w:rPr>
          <w:color w:val="231F20"/>
        </w:rPr>
        <w:t>logran, tienen un rango muy amplio, visto en términos de en qué medida</w:t>
      </w:r>
      <w:r>
        <w:rPr>
          <w:color w:val="231F20"/>
          <w:spacing w:val="-16"/>
        </w:rPr>
        <w:t> </w:t>
      </w:r>
      <w:r>
        <w:rPr>
          <w:color w:val="231F20"/>
        </w:rPr>
        <w:t>alcanzan para satisfacer ese “tener con qué vivir”, o por el alcanzar una pensión, que,</w:t>
      </w:r>
      <w:r>
        <w:rPr>
          <w:color w:val="231F20"/>
          <w:spacing w:val="-5"/>
        </w:rPr>
        <w:t> </w:t>
      </w:r>
      <w:r>
        <w:rPr>
          <w:color w:val="231F20"/>
        </w:rPr>
        <w:t>según</w:t>
      </w:r>
      <w:r>
        <w:rPr>
          <w:color w:val="231F20"/>
          <w:spacing w:val="-4"/>
        </w:rPr>
        <w:t> </w:t>
      </w:r>
      <w:r>
        <w:rPr>
          <w:color w:val="231F20"/>
        </w:rPr>
        <w:t>lo</w:t>
      </w:r>
      <w:r>
        <w:rPr>
          <w:color w:val="231F20"/>
          <w:spacing w:val="-5"/>
        </w:rPr>
        <w:t> </w:t>
      </w:r>
      <w:r>
        <w:rPr>
          <w:color w:val="231F20"/>
        </w:rPr>
        <w:t>encontrado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trabajo</w:t>
      </w:r>
      <w:r>
        <w:rPr>
          <w:color w:val="231F20"/>
          <w:spacing w:val="-5"/>
        </w:rPr>
        <w:t> </w:t>
      </w:r>
      <w:r>
        <w:rPr>
          <w:color w:val="231F20"/>
        </w:rPr>
        <w:t>de</w:t>
      </w:r>
      <w:r>
        <w:rPr>
          <w:color w:val="231F20"/>
          <w:spacing w:val="-5"/>
        </w:rPr>
        <w:t> </w:t>
      </w:r>
      <w:r>
        <w:rPr>
          <w:color w:val="231F20"/>
        </w:rPr>
        <w:t>campo,</w:t>
      </w:r>
      <w:r>
        <w:rPr>
          <w:color w:val="231F20"/>
          <w:spacing w:val="-5"/>
        </w:rPr>
        <w:t> </w:t>
      </w:r>
      <w:r>
        <w:rPr>
          <w:color w:val="231F20"/>
        </w:rPr>
        <w:t>no</w:t>
      </w:r>
      <w:r>
        <w:rPr>
          <w:color w:val="231F20"/>
          <w:spacing w:val="-5"/>
        </w:rPr>
        <w:t> </w:t>
      </w:r>
      <w:r>
        <w:rPr>
          <w:color w:val="231F20"/>
        </w:rPr>
        <w:t>es</w:t>
      </w:r>
      <w:r>
        <w:rPr>
          <w:color w:val="231F20"/>
          <w:spacing w:val="-5"/>
        </w:rPr>
        <w:t> </w:t>
      </w:r>
      <w:r>
        <w:rPr>
          <w:color w:val="231F20"/>
        </w:rPr>
        <w:t>aún</w:t>
      </w:r>
      <w:r>
        <w:rPr>
          <w:color w:val="231F20"/>
          <w:spacing w:val="-5"/>
        </w:rPr>
        <w:t> </w:t>
      </w:r>
      <w:r>
        <w:rPr>
          <w:color w:val="231F20"/>
        </w:rPr>
        <w:t>muy</w:t>
      </w:r>
      <w:r>
        <w:rPr>
          <w:color w:val="231F20"/>
          <w:spacing w:val="-5"/>
        </w:rPr>
        <w:t> </w:t>
      </w:r>
      <w:r>
        <w:rPr>
          <w:color w:val="231F20"/>
        </w:rPr>
        <w:t>frecuente, aunque con la antigüedad de las migraciones probablemente</w:t>
      </w:r>
      <w:r>
        <w:rPr>
          <w:color w:val="231F20"/>
          <w:spacing w:val="-5"/>
        </w:rPr>
        <w:t> </w:t>
      </w:r>
      <w:r>
        <w:rPr>
          <w:color w:val="231F20"/>
        </w:rPr>
        <w:t>aumente.</w:t>
      </w:r>
    </w:p>
    <w:p>
      <w:pPr>
        <w:pStyle w:val="BodyText"/>
        <w:spacing w:line="247" w:lineRule="auto"/>
        <w:ind w:left="117" w:right="115" w:firstLine="283"/>
        <w:jc w:val="both"/>
      </w:pPr>
      <w:r>
        <w:rPr>
          <w:color w:val="231F20"/>
        </w:rPr>
        <w:t>Volviendo a los ahorros logrados durante la migración, su capacidad para facilitar la sobrevivencia al retorno es muy variada y va desde per- mitir la satisfacción total o parcial de algunas de las necesidades básicas del hogar, hasta proveer el capital para el establecimiento de un negocio o la generación de una renta cuyos ingresos posibilitan atender plenamente esas necesidades.</w:t>
      </w:r>
    </w:p>
    <w:p>
      <w:pPr>
        <w:pStyle w:val="BodyText"/>
        <w:spacing w:line="247" w:lineRule="auto"/>
        <w:ind w:left="117" w:right="114" w:firstLine="283"/>
        <w:jc w:val="both"/>
      </w:pPr>
      <w:r>
        <w:rPr>
          <w:color w:val="231F20"/>
        </w:rPr>
        <w:t>Independientemente de la nacionalidad, en el trabajo de campo se observó, como se reporta reiteradamente en otros estudios migratorios (Roncken y De la Torre, 2009) que existe una tendencia notable por parte de los migrantes a priorizar la adquisición, arreglo o dotación de vivienda en origen que, en ocasiones, se convierte en el único patrimonio logrado.</w:t>
      </w:r>
    </w:p>
    <w:p>
      <w:pPr>
        <w:pStyle w:val="BodyText"/>
        <w:spacing w:line="247" w:lineRule="auto"/>
        <w:ind w:left="117" w:right="114" w:firstLine="283"/>
        <w:jc w:val="both"/>
      </w:pPr>
      <w:r>
        <w:rPr>
          <w:color w:val="231F20"/>
        </w:rPr>
        <w:t>A</w:t>
      </w:r>
      <w:r>
        <w:rPr>
          <w:color w:val="231F20"/>
          <w:spacing w:val="-19"/>
        </w:rPr>
        <w:t> </w:t>
      </w:r>
      <w:r>
        <w:rPr>
          <w:color w:val="231F20"/>
        </w:rPr>
        <w:t>otros</w:t>
      </w:r>
      <w:r>
        <w:rPr>
          <w:color w:val="231F20"/>
          <w:spacing w:val="-7"/>
        </w:rPr>
        <w:t> </w:t>
      </w:r>
      <w:r>
        <w:rPr>
          <w:color w:val="231F20"/>
        </w:rPr>
        <w:t>migrantes</w:t>
      </w:r>
      <w:r>
        <w:rPr>
          <w:color w:val="231F20"/>
          <w:spacing w:val="-8"/>
        </w:rPr>
        <w:t> </w:t>
      </w:r>
      <w:r>
        <w:rPr>
          <w:color w:val="231F20"/>
        </w:rPr>
        <w:t>los</w:t>
      </w:r>
      <w:r>
        <w:rPr>
          <w:color w:val="231F20"/>
          <w:spacing w:val="-7"/>
        </w:rPr>
        <w:t> </w:t>
      </w:r>
      <w:r>
        <w:rPr>
          <w:color w:val="231F20"/>
        </w:rPr>
        <w:t>ahorros</w:t>
      </w:r>
      <w:r>
        <w:rPr>
          <w:color w:val="231F20"/>
          <w:spacing w:val="-8"/>
        </w:rPr>
        <w:t> </w:t>
      </w:r>
      <w:r>
        <w:rPr>
          <w:color w:val="231F20"/>
        </w:rPr>
        <w:t>sólo</w:t>
      </w:r>
      <w:r>
        <w:rPr>
          <w:color w:val="231F20"/>
          <w:spacing w:val="-7"/>
        </w:rPr>
        <w:t> </w:t>
      </w:r>
      <w:r>
        <w:rPr>
          <w:color w:val="231F20"/>
        </w:rPr>
        <w:t>les</w:t>
      </w:r>
      <w:r>
        <w:rPr>
          <w:color w:val="231F20"/>
          <w:spacing w:val="-7"/>
        </w:rPr>
        <w:t> </w:t>
      </w:r>
      <w:r>
        <w:rPr>
          <w:color w:val="231F20"/>
        </w:rPr>
        <w:t>alcanzan</w:t>
      </w:r>
      <w:r>
        <w:rPr>
          <w:color w:val="231F20"/>
          <w:spacing w:val="-8"/>
        </w:rPr>
        <w:t> </w:t>
      </w:r>
      <w:r>
        <w:rPr>
          <w:color w:val="231F20"/>
        </w:rPr>
        <w:t>para</w:t>
      </w:r>
      <w:r>
        <w:rPr>
          <w:color w:val="231F20"/>
          <w:spacing w:val="-7"/>
        </w:rPr>
        <w:t> </w:t>
      </w:r>
      <w:r>
        <w:rPr>
          <w:color w:val="231F20"/>
        </w:rPr>
        <w:t>la</w:t>
      </w:r>
      <w:r>
        <w:rPr>
          <w:color w:val="231F20"/>
          <w:spacing w:val="-7"/>
        </w:rPr>
        <w:t> </w:t>
      </w:r>
      <w:r>
        <w:rPr>
          <w:color w:val="231F20"/>
        </w:rPr>
        <w:t>educación</w:t>
      </w:r>
      <w:r>
        <w:rPr>
          <w:color w:val="231F20"/>
          <w:spacing w:val="-8"/>
        </w:rPr>
        <w:t> </w:t>
      </w:r>
      <w:r>
        <w:rPr>
          <w:color w:val="231F20"/>
        </w:rPr>
        <w:t>de</w:t>
      </w:r>
      <w:r>
        <w:rPr>
          <w:color w:val="231F20"/>
          <w:spacing w:val="-7"/>
        </w:rPr>
        <w:t> </w:t>
      </w:r>
      <w:r>
        <w:rPr>
          <w:color w:val="231F20"/>
        </w:rPr>
        <w:t>los hijos, pero eso ya es motivo de satisfacción suficiente y alivio importante dentro</w:t>
      </w:r>
      <w:r>
        <w:rPr>
          <w:color w:val="231F20"/>
          <w:spacing w:val="-7"/>
        </w:rPr>
        <w:t> </w:t>
      </w:r>
      <w:r>
        <w:rPr>
          <w:color w:val="231F20"/>
        </w:rPr>
        <w:t>del</w:t>
      </w:r>
      <w:r>
        <w:rPr>
          <w:color w:val="231F20"/>
          <w:spacing w:val="-7"/>
        </w:rPr>
        <w:t> </w:t>
      </w:r>
      <w:r>
        <w:rPr>
          <w:color w:val="231F20"/>
        </w:rPr>
        <w:t>presupuesto</w:t>
      </w:r>
      <w:r>
        <w:rPr>
          <w:color w:val="231F20"/>
          <w:spacing w:val="-7"/>
        </w:rPr>
        <w:t> </w:t>
      </w:r>
      <w:r>
        <w:rPr>
          <w:color w:val="231F20"/>
        </w:rPr>
        <w:t>requerido</w:t>
      </w:r>
      <w:r>
        <w:rPr>
          <w:color w:val="231F20"/>
          <w:spacing w:val="-7"/>
        </w:rPr>
        <w:t> </w:t>
      </w:r>
      <w:r>
        <w:rPr>
          <w:color w:val="231F20"/>
        </w:rPr>
        <w:t>para</w:t>
      </w:r>
      <w:r>
        <w:rPr>
          <w:color w:val="231F20"/>
          <w:spacing w:val="-7"/>
        </w:rPr>
        <w:t> </w:t>
      </w:r>
      <w:r>
        <w:rPr>
          <w:color w:val="231F20"/>
        </w:rPr>
        <w:t>mantenerse</w:t>
      </w:r>
      <w:r>
        <w:rPr>
          <w:color w:val="231F20"/>
          <w:spacing w:val="-7"/>
        </w:rPr>
        <w:t> </w:t>
      </w:r>
      <w:r>
        <w:rPr>
          <w:color w:val="231F20"/>
        </w:rPr>
        <w:t>al</w:t>
      </w:r>
      <w:r>
        <w:rPr>
          <w:color w:val="231F20"/>
          <w:spacing w:val="-7"/>
        </w:rPr>
        <w:t> </w:t>
      </w:r>
      <w:r>
        <w:rPr>
          <w:color w:val="231F20"/>
        </w:rPr>
        <w:t>retorno.</w:t>
      </w:r>
      <w:r>
        <w:rPr>
          <w:color w:val="231F20"/>
          <w:spacing w:val="-7"/>
        </w:rPr>
        <w:t> </w:t>
      </w:r>
      <w:r>
        <w:rPr>
          <w:color w:val="231F20"/>
        </w:rPr>
        <w:t>“Sí</w:t>
      </w:r>
      <w:r>
        <w:rPr>
          <w:color w:val="231F20"/>
          <w:spacing w:val="-7"/>
        </w:rPr>
        <w:t> </w:t>
      </w:r>
      <w:r>
        <w:rPr>
          <w:color w:val="231F20"/>
        </w:rPr>
        <w:t>o</w:t>
      </w:r>
      <w:r>
        <w:rPr>
          <w:color w:val="231F20"/>
          <w:spacing w:val="-7"/>
        </w:rPr>
        <w:t> </w:t>
      </w:r>
      <w:r>
        <w:rPr>
          <w:color w:val="231F20"/>
        </w:rPr>
        <w:t>sí,</w:t>
      </w:r>
      <w:r>
        <w:rPr>
          <w:color w:val="231F20"/>
          <w:spacing w:val="-7"/>
        </w:rPr>
        <w:t> </w:t>
      </w:r>
      <w:r>
        <w:rPr>
          <w:color w:val="231F20"/>
        </w:rPr>
        <w:t>tenía que ahorrar para el estudio de mis hijas, no lo tengo que tocar, no puedo, entonces</w:t>
      </w:r>
      <w:r>
        <w:rPr>
          <w:color w:val="231F20"/>
          <w:spacing w:val="-12"/>
        </w:rPr>
        <w:t> </w:t>
      </w:r>
      <w:r>
        <w:rPr>
          <w:color w:val="231F20"/>
        </w:rPr>
        <w:t>no</w:t>
      </w:r>
      <w:r>
        <w:rPr>
          <w:color w:val="231F20"/>
          <w:spacing w:val="-12"/>
        </w:rPr>
        <w:t> </w:t>
      </w:r>
      <w:r>
        <w:rPr>
          <w:color w:val="231F20"/>
        </w:rPr>
        <w:t>me</w:t>
      </w:r>
      <w:r>
        <w:rPr>
          <w:color w:val="231F20"/>
          <w:spacing w:val="-12"/>
        </w:rPr>
        <w:t> </w:t>
      </w:r>
      <w:r>
        <w:rPr>
          <w:color w:val="231F20"/>
        </w:rPr>
        <w:t>podía</w:t>
      </w:r>
      <w:r>
        <w:rPr>
          <w:color w:val="231F20"/>
          <w:spacing w:val="-12"/>
        </w:rPr>
        <w:t> </w:t>
      </w:r>
      <w:r>
        <w:rPr>
          <w:color w:val="231F20"/>
        </w:rPr>
        <w:t>comprar</w:t>
      </w:r>
      <w:r>
        <w:rPr>
          <w:color w:val="231F20"/>
          <w:spacing w:val="-12"/>
        </w:rPr>
        <w:t> </w:t>
      </w:r>
      <w:r>
        <w:rPr>
          <w:color w:val="231F20"/>
        </w:rPr>
        <w:t>ya</w:t>
      </w:r>
      <w:r>
        <w:rPr>
          <w:color w:val="231F20"/>
          <w:spacing w:val="-12"/>
        </w:rPr>
        <w:t> </w:t>
      </w:r>
      <w:r>
        <w:rPr>
          <w:color w:val="231F20"/>
        </w:rPr>
        <w:t>el</w:t>
      </w:r>
      <w:r>
        <w:rPr>
          <w:color w:val="231F20"/>
          <w:spacing w:val="-12"/>
        </w:rPr>
        <w:t> </w:t>
      </w:r>
      <w:r>
        <w:rPr>
          <w:color w:val="231F20"/>
        </w:rPr>
        <w:t>lotecito”,</w:t>
      </w:r>
      <w:r>
        <w:rPr>
          <w:color w:val="231F20"/>
          <w:spacing w:val="-13"/>
        </w:rPr>
        <w:t> </w:t>
      </w:r>
      <w:r>
        <w:rPr>
          <w:color w:val="231F20"/>
        </w:rPr>
        <w:t>dijo</w:t>
      </w:r>
      <w:r>
        <w:rPr>
          <w:color w:val="231F20"/>
          <w:spacing w:val="-12"/>
        </w:rPr>
        <w:t> </w:t>
      </w:r>
      <w:r>
        <w:rPr>
          <w:color w:val="231F20"/>
        </w:rPr>
        <w:t>una</w:t>
      </w:r>
      <w:r>
        <w:rPr>
          <w:color w:val="231F20"/>
          <w:spacing w:val="-12"/>
        </w:rPr>
        <w:t> </w:t>
      </w:r>
      <w:r>
        <w:rPr>
          <w:color w:val="231F20"/>
        </w:rPr>
        <w:t>retornada</w:t>
      </w:r>
      <w:r>
        <w:rPr>
          <w:color w:val="231F20"/>
          <w:spacing w:val="-12"/>
        </w:rPr>
        <w:t> </w:t>
      </w:r>
      <w:r>
        <w:rPr>
          <w:color w:val="231F20"/>
        </w:rPr>
        <w:t>boliviana; y en sentido semejante se expresó una colombiana: “vamos a invertir en</w:t>
      </w:r>
      <w:r>
        <w:rPr>
          <w:color w:val="231F20"/>
          <w:spacing w:val="-35"/>
        </w:rPr>
        <w:t> </w:t>
      </w:r>
      <w:r>
        <w:rPr>
          <w:color w:val="231F20"/>
        </w:rPr>
        <w:t>la educación de las niñas porque queremos un colegio bueno para las niñas, eso es lo que hemos</w:t>
      </w:r>
      <w:r>
        <w:rPr>
          <w:color w:val="231F20"/>
          <w:spacing w:val="-3"/>
        </w:rPr>
        <w:t> </w:t>
      </w:r>
      <w:r>
        <w:rPr>
          <w:color w:val="231F20"/>
        </w:rPr>
        <w:t>pensado”.</w:t>
      </w:r>
    </w:p>
    <w:p>
      <w:pPr>
        <w:pStyle w:val="BodyText"/>
        <w:spacing w:line="247" w:lineRule="auto"/>
        <w:ind w:left="117" w:right="114" w:firstLine="283"/>
        <w:jc w:val="both"/>
      </w:pPr>
      <w:r>
        <w:rPr>
          <w:color w:val="231F20"/>
        </w:rPr>
        <w:t>En</w:t>
      </w:r>
      <w:r>
        <w:rPr>
          <w:color w:val="231F20"/>
          <w:spacing w:val="-10"/>
        </w:rPr>
        <w:t> </w:t>
      </w:r>
      <w:r>
        <w:rPr>
          <w:color w:val="231F20"/>
        </w:rPr>
        <w:t>términos</w:t>
      </w:r>
      <w:r>
        <w:rPr>
          <w:color w:val="231F20"/>
          <w:spacing w:val="-10"/>
        </w:rPr>
        <w:t> </w:t>
      </w:r>
      <w:r>
        <w:rPr>
          <w:color w:val="231F20"/>
        </w:rPr>
        <w:t>de</w:t>
      </w:r>
      <w:r>
        <w:rPr>
          <w:color w:val="231F20"/>
          <w:spacing w:val="-10"/>
        </w:rPr>
        <w:t> </w:t>
      </w:r>
      <w:r>
        <w:rPr>
          <w:color w:val="231F20"/>
        </w:rPr>
        <w:t>uso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ahorros</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objeto</w:t>
      </w:r>
      <w:r>
        <w:rPr>
          <w:color w:val="231F20"/>
          <w:spacing w:val="-10"/>
        </w:rPr>
        <w:t> </w:t>
      </w:r>
      <w:r>
        <w:rPr>
          <w:color w:val="231F20"/>
        </w:rPr>
        <w:t>de</w:t>
      </w:r>
      <w:r>
        <w:rPr>
          <w:color w:val="231F20"/>
          <w:spacing w:val="-10"/>
        </w:rPr>
        <w:t> </w:t>
      </w:r>
      <w:r>
        <w:rPr>
          <w:color w:val="231F20"/>
        </w:rPr>
        <w:t>convertirse</w:t>
      </w:r>
      <w:r>
        <w:rPr>
          <w:color w:val="231F20"/>
          <w:spacing w:val="-11"/>
        </w:rPr>
        <w:t> </w:t>
      </w:r>
      <w:r>
        <w:rPr>
          <w:color w:val="231F20"/>
        </w:rPr>
        <w:t>en</w:t>
      </w:r>
      <w:r>
        <w:rPr>
          <w:color w:val="231F20"/>
          <w:spacing w:val="-10"/>
        </w:rPr>
        <w:t> </w:t>
      </w:r>
      <w:r>
        <w:rPr>
          <w:color w:val="231F20"/>
        </w:rPr>
        <w:t>rentis- tas,</w:t>
      </w:r>
      <w:r>
        <w:rPr>
          <w:color w:val="231F20"/>
          <w:spacing w:val="-11"/>
        </w:rPr>
        <w:t> </w:t>
      </w:r>
      <w:r>
        <w:rPr>
          <w:color w:val="231F20"/>
        </w:rPr>
        <w:t>la</w:t>
      </w:r>
      <w:r>
        <w:rPr>
          <w:color w:val="231F20"/>
          <w:spacing w:val="-11"/>
        </w:rPr>
        <w:t> </w:t>
      </w:r>
      <w:r>
        <w:rPr>
          <w:color w:val="231F20"/>
        </w:rPr>
        <w:t>mayoría</w:t>
      </w:r>
      <w:r>
        <w:rPr>
          <w:color w:val="231F20"/>
          <w:spacing w:val="-11"/>
        </w:rPr>
        <w:t> </w:t>
      </w:r>
      <w:r>
        <w:rPr>
          <w:color w:val="231F20"/>
        </w:rPr>
        <w:t>de</w:t>
      </w:r>
      <w:r>
        <w:rPr>
          <w:color w:val="231F20"/>
          <w:spacing w:val="-11"/>
        </w:rPr>
        <w:t> </w:t>
      </w:r>
      <w:r>
        <w:rPr>
          <w:color w:val="231F20"/>
        </w:rPr>
        <w:t>quienes</w:t>
      </w:r>
      <w:r>
        <w:rPr>
          <w:color w:val="231F20"/>
          <w:spacing w:val="-11"/>
        </w:rPr>
        <w:t> </w:t>
      </w:r>
      <w:r>
        <w:rPr>
          <w:color w:val="231F20"/>
        </w:rPr>
        <w:t>lo</w:t>
      </w:r>
      <w:r>
        <w:rPr>
          <w:color w:val="231F20"/>
          <w:spacing w:val="-11"/>
        </w:rPr>
        <w:t> </w:t>
      </w:r>
      <w:r>
        <w:rPr>
          <w:color w:val="231F20"/>
        </w:rPr>
        <w:t>hicieron</w:t>
      </w:r>
      <w:r>
        <w:rPr>
          <w:color w:val="231F20"/>
          <w:spacing w:val="-11"/>
        </w:rPr>
        <w:t> </w:t>
      </w:r>
      <w:r>
        <w:rPr>
          <w:color w:val="231F20"/>
        </w:rPr>
        <w:t>optaron</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inversión</w:t>
      </w:r>
      <w:r>
        <w:rPr>
          <w:color w:val="231F20"/>
          <w:spacing w:val="-11"/>
        </w:rPr>
        <w:t> </w:t>
      </w:r>
      <w:r>
        <w:rPr>
          <w:color w:val="231F20"/>
        </w:rPr>
        <w:t>en</w:t>
      </w:r>
      <w:r>
        <w:rPr>
          <w:color w:val="231F20"/>
          <w:spacing w:val="-11"/>
        </w:rPr>
        <w:t> </w:t>
      </w:r>
      <w:r>
        <w:rPr>
          <w:color w:val="231F20"/>
        </w:rPr>
        <w:t>propiedad raíz. Así ocurrió, por ejemplo, con una colombiana: “cuando nosotros nos fuimos no teníamos una casa, ahora tenemos dos y tenemos el local de internet”</w:t>
      </w:r>
      <w:r>
        <w:rPr>
          <w:color w:val="231F20"/>
          <w:spacing w:val="-8"/>
        </w:rPr>
        <w:t> </w:t>
      </w:r>
      <w:r>
        <w:rPr>
          <w:color w:val="231F20"/>
        </w:rPr>
        <w:t>y</w:t>
      </w:r>
      <w:r>
        <w:rPr>
          <w:color w:val="231F20"/>
          <w:spacing w:val="-8"/>
        </w:rPr>
        <w:t> </w:t>
      </w:r>
      <w:r>
        <w:rPr>
          <w:color w:val="231F20"/>
        </w:rPr>
        <w:t>un</w:t>
      </w:r>
      <w:r>
        <w:rPr>
          <w:color w:val="231F20"/>
          <w:spacing w:val="-8"/>
        </w:rPr>
        <w:t> </w:t>
      </w:r>
      <w:r>
        <w:rPr>
          <w:color w:val="231F20"/>
        </w:rPr>
        <w:t>ecuatoriano:</w:t>
      </w:r>
      <w:r>
        <w:rPr>
          <w:color w:val="231F20"/>
          <w:spacing w:val="-8"/>
        </w:rPr>
        <w:t> </w:t>
      </w:r>
      <w:r>
        <w:rPr>
          <w:color w:val="231F20"/>
        </w:rPr>
        <w:t>“algo</w:t>
      </w:r>
      <w:r>
        <w:rPr>
          <w:color w:val="231F20"/>
          <w:spacing w:val="-8"/>
        </w:rPr>
        <w:t> </w:t>
      </w:r>
      <w:r>
        <w:rPr>
          <w:color w:val="231F20"/>
        </w:rPr>
        <w:t>hemos</w:t>
      </w:r>
      <w:r>
        <w:rPr>
          <w:color w:val="231F20"/>
          <w:spacing w:val="-8"/>
        </w:rPr>
        <w:t> </w:t>
      </w:r>
      <w:r>
        <w:rPr>
          <w:color w:val="231F20"/>
        </w:rPr>
        <w:t>hecho,</w:t>
      </w:r>
      <w:r>
        <w:rPr>
          <w:color w:val="231F20"/>
          <w:spacing w:val="-8"/>
        </w:rPr>
        <w:t> </w:t>
      </w:r>
      <w:r>
        <w:rPr>
          <w:color w:val="231F20"/>
        </w:rPr>
        <w:t>casa</w:t>
      </w:r>
      <w:r>
        <w:rPr>
          <w:color w:val="231F20"/>
          <w:spacing w:val="-8"/>
        </w:rPr>
        <w:t> </w:t>
      </w:r>
      <w:r>
        <w:rPr>
          <w:color w:val="231F20"/>
        </w:rPr>
        <w:t>para</w:t>
      </w:r>
      <w:r>
        <w:rPr>
          <w:color w:val="231F20"/>
          <w:spacing w:val="-8"/>
        </w:rPr>
        <w:t> </w:t>
      </w:r>
      <w:r>
        <w:rPr>
          <w:color w:val="231F20"/>
        </w:rPr>
        <w:t>vivir</w:t>
      </w:r>
      <w:r>
        <w:rPr>
          <w:color w:val="231F20"/>
          <w:spacing w:val="-8"/>
        </w:rPr>
        <w:t> </w:t>
      </w:r>
      <w:r>
        <w:rPr>
          <w:color w:val="231F20"/>
        </w:rPr>
        <w:t>no</w:t>
      </w:r>
      <w:r>
        <w:rPr>
          <w:color w:val="231F20"/>
          <w:spacing w:val="-8"/>
        </w:rPr>
        <w:t> </w:t>
      </w:r>
      <w:r>
        <w:rPr>
          <w:color w:val="231F20"/>
        </w:rPr>
        <w:t>tenemos, hemos comprado algunos terrenos y tenemos un local arrendado, y tene- mos un poquito de capital porque queremos empezar a construir, y eso,</w:t>
      </w:r>
      <w:r>
        <w:rPr>
          <w:color w:val="231F20"/>
          <w:spacing w:val="-23"/>
        </w:rPr>
        <w:t> </w:t>
      </w:r>
      <w:r>
        <w:rPr>
          <w:color w:val="231F20"/>
        </w:rPr>
        <w:t>no hemos</w:t>
      </w:r>
      <w:r>
        <w:rPr>
          <w:color w:val="231F20"/>
          <w:spacing w:val="21"/>
        </w:rPr>
        <w:t> </w:t>
      </w:r>
      <w:r>
        <w:rPr>
          <w:color w:val="231F20"/>
        </w:rPr>
        <w:t>hecho</w:t>
      </w:r>
      <w:r>
        <w:rPr>
          <w:color w:val="231F20"/>
          <w:spacing w:val="21"/>
        </w:rPr>
        <w:t> </w:t>
      </w:r>
      <w:r>
        <w:rPr>
          <w:color w:val="231F20"/>
        </w:rPr>
        <w:t>riquezas”.</w:t>
      </w:r>
      <w:r>
        <w:rPr>
          <w:color w:val="231F20"/>
          <w:spacing w:val="21"/>
        </w:rPr>
        <w:t> </w:t>
      </w:r>
      <w:r>
        <w:rPr>
          <w:color w:val="231F20"/>
        </w:rPr>
        <w:t>Una</w:t>
      </w:r>
      <w:r>
        <w:rPr>
          <w:color w:val="231F20"/>
          <w:spacing w:val="21"/>
        </w:rPr>
        <w:t> </w:t>
      </w:r>
      <w:r>
        <w:rPr>
          <w:color w:val="231F20"/>
        </w:rPr>
        <w:t>alternativa</w:t>
      </w:r>
      <w:r>
        <w:rPr>
          <w:color w:val="231F20"/>
          <w:spacing w:val="21"/>
        </w:rPr>
        <w:t> </w:t>
      </w:r>
      <w:r>
        <w:rPr>
          <w:color w:val="231F20"/>
        </w:rPr>
        <w:t>de</w:t>
      </w:r>
      <w:r>
        <w:rPr>
          <w:color w:val="231F20"/>
          <w:spacing w:val="21"/>
        </w:rPr>
        <w:t> </w:t>
      </w:r>
      <w:r>
        <w:rPr>
          <w:color w:val="231F20"/>
        </w:rPr>
        <w:t>más</w:t>
      </w:r>
      <w:r>
        <w:rPr>
          <w:color w:val="231F20"/>
          <w:spacing w:val="21"/>
        </w:rPr>
        <w:t> </w:t>
      </w:r>
      <w:r>
        <w:rPr>
          <w:color w:val="231F20"/>
        </w:rPr>
        <w:t>riesgo,</w:t>
      </w:r>
      <w:r>
        <w:rPr>
          <w:color w:val="231F20"/>
          <w:spacing w:val="21"/>
        </w:rPr>
        <w:t> </w:t>
      </w:r>
      <w:r>
        <w:rPr>
          <w:color w:val="231F20"/>
        </w:rPr>
        <w:t>que</w:t>
      </w:r>
      <w:r>
        <w:rPr>
          <w:color w:val="231F20"/>
          <w:spacing w:val="21"/>
        </w:rPr>
        <w:t> </w:t>
      </w:r>
      <w:r>
        <w:rPr>
          <w:color w:val="231F20"/>
        </w:rPr>
        <w:t>también</w:t>
      </w:r>
      <w:r>
        <w:rPr>
          <w:color w:val="231F20"/>
          <w:spacing w:val="21"/>
        </w:rPr>
        <w:t> </w:t>
      </w:r>
      <w:r>
        <w:rPr>
          <w:color w:val="231F20"/>
        </w:rPr>
        <w:t>fue</w:t>
      </w:r>
    </w:p>
    <w:p>
      <w:pPr>
        <w:spacing w:after="0" w:line="247" w:lineRule="auto"/>
        <w:jc w:val="both"/>
        <w:sectPr>
          <w:footerReference w:type="default" r:id="rId78"/>
          <w:pgSz w:w="9360" w:h="13040"/>
          <w:pgMar w:footer="496" w:header="0" w:top="820" w:bottom="680" w:left="1300" w:right="1300"/>
        </w:sectPr>
      </w:pPr>
    </w:p>
    <w:p>
      <w:pPr>
        <w:spacing w:before="45"/>
        <w:ind w:left="117" w:right="0" w:firstLine="1352"/>
        <w:jc w:val="left"/>
        <w:rPr>
          <w:rFonts w:ascii="Arial" w:hAnsi="Arial"/>
          <w:sz w:val="20"/>
        </w:rPr>
      </w:pPr>
      <w:r>
        <w:rPr>
          <w:rFonts w:ascii="Arial" w:hAnsi="Arial"/>
          <w:color w:val="231F20"/>
          <w:w w:val="65"/>
          <w:sz w:val="20"/>
        </w:rPr>
        <w:t>Retorno de migrantes a la Comunidad Andina /William Mejía-Ochoa y Yeim Claudia Castro</w:t>
      </w:r>
    </w:p>
    <w:p>
      <w:pPr>
        <w:pStyle w:val="BodyText"/>
        <w:spacing w:before="7"/>
        <w:rPr>
          <w:rFonts w:ascii="Arial"/>
          <w:sz w:val="28"/>
        </w:rPr>
      </w:pPr>
    </w:p>
    <w:p>
      <w:pPr>
        <w:pStyle w:val="BodyText"/>
        <w:spacing w:line="247" w:lineRule="auto"/>
        <w:ind w:left="117" w:right="114"/>
        <w:jc w:val="both"/>
      </w:pPr>
      <w:r>
        <w:rPr>
          <w:color w:val="231F20"/>
        </w:rPr>
        <w:t>constatada, aunque con menor frecuencia, es la de convertirse en pres- tamista, como quien dijo: “cuando retorné aquí a Bolivia […] conseguir trabajo nuevamente y acomodarme, digamos, era para mí también difícil, entonces me he ido gastando o prestando el dinero que traje de un lado a otro y con eso solventarme“.</w:t>
      </w:r>
    </w:p>
    <w:p>
      <w:pPr>
        <w:pStyle w:val="BodyText"/>
        <w:spacing w:line="247" w:lineRule="auto"/>
        <w:ind w:left="117" w:right="114" w:firstLine="283"/>
        <w:jc w:val="both"/>
      </w:pPr>
      <w:r>
        <w:rPr>
          <w:color w:val="231F20"/>
        </w:rPr>
        <w:t>Más frecuente que la conversión en rentistas resulta ser el emprendi- miento</w:t>
      </w:r>
      <w:r>
        <w:rPr>
          <w:color w:val="231F20"/>
          <w:spacing w:val="-7"/>
        </w:rPr>
        <w:t> </w:t>
      </w:r>
      <w:r>
        <w:rPr>
          <w:color w:val="231F20"/>
        </w:rPr>
        <w:t>de</w:t>
      </w:r>
      <w:r>
        <w:rPr>
          <w:color w:val="231F20"/>
          <w:spacing w:val="-7"/>
        </w:rPr>
        <w:t> </w:t>
      </w:r>
      <w:r>
        <w:rPr>
          <w:color w:val="231F20"/>
        </w:rPr>
        <w:t>negocios</w:t>
      </w:r>
      <w:r>
        <w:rPr>
          <w:color w:val="231F20"/>
          <w:spacing w:val="-6"/>
        </w:rPr>
        <w:t> </w:t>
      </w:r>
      <w:r>
        <w:rPr>
          <w:color w:val="231F20"/>
        </w:rPr>
        <w:t>por</w:t>
      </w:r>
      <w:r>
        <w:rPr>
          <w:color w:val="231F20"/>
          <w:spacing w:val="-7"/>
        </w:rPr>
        <w:t> </w:t>
      </w:r>
      <w:r>
        <w:rPr>
          <w:color w:val="231F20"/>
        </w:rPr>
        <w:t>cuenta</w:t>
      </w:r>
      <w:r>
        <w:rPr>
          <w:color w:val="231F20"/>
          <w:spacing w:val="-7"/>
        </w:rPr>
        <w:t> </w:t>
      </w:r>
      <w:r>
        <w:rPr>
          <w:color w:val="231F20"/>
        </w:rPr>
        <w:t>propia,</w:t>
      </w:r>
      <w:r>
        <w:rPr>
          <w:color w:val="231F20"/>
          <w:spacing w:val="-6"/>
        </w:rPr>
        <w:t> </w:t>
      </w:r>
      <w:r>
        <w:rPr>
          <w:color w:val="231F20"/>
        </w:rPr>
        <w:t>a</w:t>
      </w:r>
      <w:r>
        <w:rPr>
          <w:color w:val="231F20"/>
          <w:spacing w:val="-7"/>
        </w:rPr>
        <w:t> </w:t>
      </w:r>
      <w:r>
        <w:rPr>
          <w:color w:val="231F20"/>
        </w:rPr>
        <w:t>pesar</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temores</w:t>
      </w:r>
      <w:r>
        <w:rPr>
          <w:color w:val="231F20"/>
          <w:spacing w:val="-7"/>
        </w:rPr>
        <w:t> </w:t>
      </w:r>
      <w:r>
        <w:rPr>
          <w:color w:val="231F20"/>
        </w:rPr>
        <w:t>que</w:t>
      </w:r>
      <w:r>
        <w:rPr>
          <w:color w:val="231F20"/>
          <w:spacing w:val="-7"/>
        </w:rPr>
        <w:t> </w:t>
      </w:r>
      <w:r>
        <w:rPr>
          <w:color w:val="231F20"/>
        </w:rPr>
        <w:t>despierta “… porque si usted se descuida… se puede ir a la quiebra de la noche a la mañana”, dice un retornado colombiano que, incluso, han hecho desistir   a algunos: “Sí, pensábamos hacer un negocio, pero decíamos ‘si nos va mal…’, siempre el temor al fracaso; entonces decidimos comprar todo lo de la casa y eso es lo único” (retornado ecuatoriano). Generalmente, se trata de pequeñas empresas, donde se emplean no sólo recursos financie- ros sino también aprendizajes de la migración; “pienso poner una</w:t>
      </w:r>
      <w:r>
        <w:rPr>
          <w:color w:val="231F20"/>
          <w:spacing w:val="-27"/>
        </w:rPr>
        <w:t> </w:t>
      </w:r>
      <w:r>
        <w:rPr>
          <w:color w:val="231F20"/>
        </w:rPr>
        <w:t>empresa como</w:t>
      </w:r>
      <w:r>
        <w:rPr>
          <w:color w:val="231F20"/>
          <w:spacing w:val="-6"/>
        </w:rPr>
        <w:t> </w:t>
      </w:r>
      <w:r>
        <w:rPr>
          <w:color w:val="231F20"/>
        </w:rPr>
        <w:t>la</w:t>
      </w:r>
      <w:r>
        <w:rPr>
          <w:color w:val="231F20"/>
          <w:spacing w:val="-6"/>
        </w:rPr>
        <w:t> </w:t>
      </w:r>
      <w:r>
        <w:rPr>
          <w:color w:val="231F20"/>
        </w:rPr>
        <w:t>que</w:t>
      </w:r>
      <w:r>
        <w:rPr>
          <w:color w:val="231F20"/>
          <w:spacing w:val="-6"/>
        </w:rPr>
        <w:t> </w:t>
      </w:r>
      <w:r>
        <w:rPr>
          <w:color w:val="231F20"/>
        </w:rPr>
        <w:t>estaba</w:t>
      </w:r>
      <w:r>
        <w:rPr>
          <w:color w:val="231F20"/>
          <w:spacing w:val="-6"/>
        </w:rPr>
        <w:t> </w:t>
      </w:r>
      <w:r>
        <w:rPr>
          <w:color w:val="231F20"/>
        </w:rPr>
        <w:t>queriendo</w:t>
      </w:r>
      <w:r>
        <w:rPr>
          <w:color w:val="231F20"/>
          <w:spacing w:val="-6"/>
        </w:rPr>
        <w:t> </w:t>
      </w:r>
      <w:r>
        <w:rPr>
          <w:color w:val="231F20"/>
        </w:rPr>
        <w:t>poner</w:t>
      </w:r>
      <w:r>
        <w:rPr>
          <w:color w:val="231F20"/>
          <w:spacing w:val="-6"/>
        </w:rPr>
        <w:t> </w:t>
      </w:r>
      <w:r>
        <w:rPr>
          <w:color w:val="231F20"/>
        </w:rPr>
        <w:t>allá;</w:t>
      </w:r>
      <w:r>
        <w:rPr>
          <w:color w:val="231F20"/>
          <w:spacing w:val="-6"/>
        </w:rPr>
        <w:t> </w:t>
      </w:r>
      <w:r>
        <w:rPr>
          <w:color w:val="231F20"/>
        </w:rPr>
        <w:t>utilizaría</w:t>
      </w:r>
      <w:r>
        <w:rPr>
          <w:color w:val="231F20"/>
          <w:spacing w:val="-6"/>
        </w:rPr>
        <w:t> </w:t>
      </w:r>
      <w:r>
        <w:rPr>
          <w:color w:val="231F20"/>
        </w:rPr>
        <w:t>mucho</w:t>
      </w:r>
      <w:r>
        <w:rPr>
          <w:color w:val="231F20"/>
          <w:spacing w:val="-6"/>
        </w:rPr>
        <w:t> </w:t>
      </w:r>
      <w:r>
        <w:rPr>
          <w:color w:val="231F20"/>
        </w:rPr>
        <w:t>de</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apren- dí”, dice un boliviano.</w:t>
      </w:r>
    </w:p>
    <w:p>
      <w:pPr>
        <w:pStyle w:val="BodyText"/>
        <w:spacing w:line="247" w:lineRule="auto"/>
        <w:ind w:left="117" w:right="114" w:firstLine="283"/>
        <w:jc w:val="both"/>
      </w:pPr>
      <w:r>
        <w:rPr>
          <w:color w:val="231F20"/>
          <w:spacing w:val="-4"/>
        </w:rPr>
        <w:t>Tales </w:t>
      </w:r>
      <w:r>
        <w:rPr>
          <w:color w:val="231F20"/>
        </w:rPr>
        <w:t>aventuras empresariales muchas veces comprometen el trabajo familiar y decisiones también familiares: “él quiere de comida y yo</w:t>
      </w:r>
      <w:r>
        <w:rPr>
          <w:color w:val="231F20"/>
          <w:spacing w:val="-19"/>
        </w:rPr>
        <w:t> </w:t>
      </w:r>
      <w:r>
        <w:rPr>
          <w:color w:val="231F20"/>
        </w:rPr>
        <w:t>quiero venta de ropa, o de algo para poder estar con mis hijos, a mí también me gustaría unas cabinas de Internet-teléfono, pero estamos en esas”</w:t>
      </w:r>
      <w:r>
        <w:rPr>
          <w:color w:val="231F20"/>
          <w:spacing w:val="-21"/>
        </w:rPr>
        <w:t> </w:t>
      </w:r>
      <w:r>
        <w:rPr>
          <w:color w:val="231F20"/>
        </w:rPr>
        <w:t>(retorna- da ecuatoriana). En buena medida, como en la cita anterior, se orientan al comercio o los servicios, pero también se destaca la compra de vehículos para el transporte de pasajeros o</w:t>
      </w:r>
      <w:r>
        <w:rPr>
          <w:color w:val="231F20"/>
          <w:spacing w:val="-1"/>
        </w:rPr>
        <w:t> </w:t>
      </w:r>
      <w:r>
        <w:rPr>
          <w:color w:val="231F20"/>
        </w:rPr>
        <w:t>mercancía.</w:t>
      </w:r>
    </w:p>
    <w:p>
      <w:pPr>
        <w:pStyle w:val="BodyText"/>
        <w:spacing w:line="247" w:lineRule="auto"/>
        <w:ind w:left="117" w:right="115" w:firstLine="283"/>
        <w:jc w:val="both"/>
      </w:pPr>
      <w:r>
        <w:rPr>
          <w:color w:val="231F20"/>
        </w:rPr>
        <w:t>Como es común en pequeños negocios, la consolidación de los em- prendimientos de los retornados tiene altas dosis de incertidumbre, dados factores como: inexperiencia empresarial; falta de planificación y evalua- ción</w:t>
      </w:r>
      <w:r>
        <w:rPr>
          <w:color w:val="231F20"/>
          <w:spacing w:val="-5"/>
        </w:rPr>
        <w:t> </w:t>
      </w:r>
      <w:r>
        <w:rPr>
          <w:color w:val="231F20"/>
        </w:rPr>
        <w:t>previa</w:t>
      </w:r>
      <w:r>
        <w:rPr>
          <w:color w:val="231F20"/>
          <w:spacing w:val="-5"/>
        </w:rPr>
        <w:t> </w:t>
      </w:r>
      <w:r>
        <w:rPr>
          <w:color w:val="231F20"/>
        </w:rPr>
        <w:t>de</w:t>
      </w:r>
      <w:r>
        <w:rPr>
          <w:color w:val="231F20"/>
          <w:spacing w:val="-5"/>
        </w:rPr>
        <w:t> </w:t>
      </w:r>
      <w:r>
        <w:rPr>
          <w:color w:val="231F20"/>
        </w:rPr>
        <w:t>mercados;</w:t>
      </w:r>
      <w:r>
        <w:rPr>
          <w:color w:val="231F20"/>
          <w:spacing w:val="-5"/>
        </w:rPr>
        <w:t> </w:t>
      </w:r>
      <w:r>
        <w:rPr>
          <w:color w:val="231F20"/>
        </w:rPr>
        <w:t>y</w:t>
      </w:r>
      <w:r>
        <w:rPr>
          <w:color w:val="231F20"/>
          <w:spacing w:val="-5"/>
        </w:rPr>
        <w:t> </w:t>
      </w:r>
      <w:r>
        <w:rPr>
          <w:color w:val="231F20"/>
        </w:rPr>
        <w:t>dificultades</w:t>
      </w:r>
      <w:r>
        <w:rPr>
          <w:color w:val="231F20"/>
          <w:spacing w:val="-5"/>
        </w:rPr>
        <w:t> </w:t>
      </w:r>
      <w:r>
        <w:rPr>
          <w:color w:val="231F20"/>
        </w:rPr>
        <w:t>de</w:t>
      </w:r>
      <w:r>
        <w:rPr>
          <w:color w:val="231F20"/>
          <w:spacing w:val="-5"/>
        </w:rPr>
        <w:t> </w:t>
      </w:r>
      <w:r>
        <w:rPr>
          <w:color w:val="231F20"/>
        </w:rPr>
        <w:t>acceso</w:t>
      </w:r>
      <w:r>
        <w:rPr>
          <w:color w:val="231F20"/>
          <w:spacing w:val="-5"/>
        </w:rPr>
        <w:t> </w:t>
      </w:r>
      <w:r>
        <w:rPr>
          <w:color w:val="231F20"/>
        </w:rPr>
        <w:t>al</w:t>
      </w:r>
      <w:r>
        <w:rPr>
          <w:color w:val="231F20"/>
          <w:spacing w:val="-5"/>
        </w:rPr>
        <w:t> </w:t>
      </w:r>
      <w:r>
        <w:rPr>
          <w:color w:val="231F20"/>
        </w:rPr>
        <w:t>crédito,</w:t>
      </w:r>
      <w:r>
        <w:rPr>
          <w:color w:val="231F20"/>
          <w:spacing w:val="-5"/>
        </w:rPr>
        <w:t> </w:t>
      </w:r>
      <w:r>
        <w:rPr>
          <w:color w:val="231F20"/>
        </w:rPr>
        <w:t>agravadas</w:t>
      </w:r>
      <w:r>
        <w:rPr>
          <w:color w:val="231F20"/>
          <w:spacing w:val="-5"/>
        </w:rPr>
        <w:t> </w:t>
      </w:r>
      <w:r>
        <w:rPr>
          <w:color w:val="231F20"/>
        </w:rPr>
        <w:t>por la falta de antecedentes al respecto que caracteriza a quien ha estado fuera mucho</w:t>
      </w:r>
      <w:r>
        <w:rPr>
          <w:color w:val="231F20"/>
          <w:spacing w:val="-1"/>
        </w:rPr>
        <w:t> </w:t>
      </w:r>
      <w:r>
        <w:rPr>
          <w:color w:val="231F20"/>
        </w:rPr>
        <w:t>tiempo.</w:t>
      </w:r>
    </w:p>
    <w:p>
      <w:pPr>
        <w:spacing w:before="149"/>
        <w:ind w:left="117" w:right="0" w:firstLine="0"/>
        <w:jc w:val="both"/>
        <w:rPr>
          <w:i/>
          <w:sz w:val="22"/>
        </w:rPr>
      </w:pPr>
      <w:r>
        <w:rPr>
          <w:i/>
          <w:color w:val="231F20"/>
          <w:sz w:val="22"/>
        </w:rPr>
        <w:t>La búsqueda de un empleo</w:t>
      </w:r>
    </w:p>
    <w:p>
      <w:pPr>
        <w:pStyle w:val="BodyText"/>
        <w:spacing w:line="247" w:lineRule="auto" w:before="177"/>
        <w:ind w:left="117" w:right="114"/>
        <w:jc w:val="both"/>
      </w:pPr>
      <w:r>
        <w:rPr>
          <w:color w:val="231F20"/>
        </w:rPr>
        <w:t>A</w:t>
      </w:r>
      <w:r>
        <w:rPr>
          <w:color w:val="231F20"/>
          <w:spacing w:val="-24"/>
        </w:rPr>
        <w:t> </w:t>
      </w:r>
      <w:r>
        <w:rPr>
          <w:color w:val="231F20"/>
        </w:rPr>
        <w:t>pesar</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con</w:t>
      </w:r>
      <w:r>
        <w:rPr>
          <w:color w:val="231F20"/>
          <w:spacing w:val="-12"/>
        </w:rPr>
        <w:t> </w:t>
      </w:r>
      <w:r>
        <w:rPr>
          <w:color w:val="231F20"/>
        </w:rPr>
        <w:t>frecuencia,</w:t>
      </w:r>
      <w:r>
        <w:rPr>
          <w:color w:val="231F20"/>
          <w:spacing w:val="-12"/>
        </w:rPr>
        <w:t> </w:t>
      </w:r>
      <w:r>
        <w:rPr>
          <w:color w:val="231F20"/>
        </w:rPr>
        <w:t>profundas</w:t>
      </w:r>
      <w:r>
        <w:rPr>
          <w:color w:val="231F20"/>
          <w:spacing w:val="-12"/>
        </w:rPr>
        <w:t> </w:t>
      </w:r>
      <w:r>
        <w:rPr>
          <w:color w:val="231F20"/>
        </w:rPr>
        <w:t>diferencias</w:t>
      </w:r>
      <w:r>
        <w:rPr>
          <w:color w:val="231F20"/>
          <w:spacing w:val="-12"/>
        </w:rPr>
        <w:t> </w:t>
      </w:r>
      <w:r>
        <w:rPr>
          <w:color w:val="231F20"/>
        </w:rPr>
        <w:t>salariales</w:t>
      </w:r>
      <w:r>
        <w:rPr>
          <w:color w:val="231F20"/>
          <w:spacing w:val="-12"/>
        </w:rPr>
        <w:t> </w:t>
      </w:r>
      <w:r>
        <w:rPr>
          <w:color w:val="231F20"/>
        </w:rPr>
        <w:t>entre</w:t>
      </w:r>
      <w:r>
        <w:rPr>
          <w:color w:val="231F20"/>
          <w:spacing w:val="-12"/>
        </w:rPr>
        <w:t> </w:t>
      </w:r>
      <w:r>
        <w:rPr>
          <w:color w:val="231F20"/>
        </w:rPr>
        <w:t>origen y destino, que desincentivan la búsqueda de un empleo, quienes no han podido</w:t>
      </w:r>
      <w:r>
        <w:rPr>
          <w:color w:val="231F20"/>
          <w:spacing w:val="-10"/>
        </w:rPr>
        <w:t> </w:t>
      </w:r>
      <w:r>
        <w:rPr>
          <w:color w:val="231F20"/>
        </w:rPr>
        <w:t>lograr</w:t>
      </w:r>
      <w:r>
        <w:rPr>
          <w:color w:val="231F20"/>
          <w:spacing w:val="-10"/>
        </w:rPr>
        <w:t> </w:t>
      </w:r>
      <w:r>
        <w:rPr>
          <w:color w:val="231F20"/>
        </w:rPr>
        <w:t>autonomía</w:t>
      </w:r>
      <w:r>
        <w:rPr>
          <w:color w:val="231F20"/>
          <w:spacing w:val="-11"/>
        </w:rPr>
        <w:t> </w:t>
      </w:r>
      <w:r>
        <w:rPr>
          <w:color w:val="231F20"/>
        </w:rPr>
        <w:t>económica</w:t>
      </w:r>
      <w:r>
        <w:rPr>
          <w:color w:val="231F20"/>
          <w:spacing w:val="-10"/>
        </w:rPr>
        <w:t> </w:t>
      </w:r>
      <w:r>
        <w:rPr>
          <w:color w:val="231F20"/>
        </w:rPr>
        <w:t>deben</w:t>
      </w:r>
      <w:r>
        <w:rPr>
          <w:color w:val="231F20"/>
          <w:spacing w:val="-10"/>
        </w:rPr>
        <w:t> </w:t>
      </w:r>
      <w:r>
        <w:rPr>
          <w:color w:val="231F20"/>
        </w:rPr>
        <w:t>enfrentarse</w:t>
      </w:r>
      <w:r>
        <w:rPr>
          <w:color w:val="231F20"/>
          <w:spacing w:val="-11"/>
        </w:rPr>
        <w:t> </w:t>
      </w:r>
      <w:r>
        <w:rPr>
          <w:color w:val="231F20"/>
        </w:rPr>
        <w:t>a</w:t>
      </w:r>
      <w:r>
        <w:rPr>
          <w:color w:val="231F20"/>
          <w:spacing w:val="-10"/>
        </w:rPr>
        <w:t> </w:t>
      </w:r>
      <w:r>
        <w:rPr>
          <w:color w:val="231F20"/>
        </w:rPr>
        <w:t>ello,</w:t>
      </w:r>
      <w:r>
        <w:rPr>
          <w:color w:val="231F20"/>
          <w:spacing w:val="-10"/>
        </w:rPr>
        <w:t> </w:t>
      </w:r>
      <w:r>
        <w:rPr>
          <w:color w:val="231F20"/>
        </w:rPr>
        <w:t>lo</w:t>
      </w:r>
      <w:r>
        <w:rPr>
          <w:color w:val="231F20"/>
          <w:spacing w:val="-10"/>
        </w:rPr>
        <w:t> </w:t>
      </w:r>
      <w:r>
        <w:rPr>
          <w:color w:val="231F20"/>
        </w:rPr>
        <w:t>cual</w:t>
      </w:r>
      <w:r>
        <w:rPr>
          <w:color w:val="231F20"/>
          <w:spacing w:val="-10"/>
        </w:rPr>
        <w:t> </w:t>
      </w:r>
      <w:r>
        <w:rPr>
          <w:color w:val="231F20"/>
        </w:rPr>
        <w:t>puede verse</w:t>
      </w:r>
      <w:r>
        <w:rPr>
          <w:color w:val="231F20"/>
          <w:spacing w:val="-4"/>
        </w:rPr>
        <w:t> </w:t>
      </w:r>
      <w:r>
        <w:rPr>
          <w:color w:val="231F20"/>
        </w:rPr>
        <w:t>problematizado</w:t>
      </w:r>
      <w:r>
        <w:rPr>
          <w:color w:val="231F20"/>
          <w:spacing w:val="-4"/>
        </w:rPr>
        <w:t> </w:t>
      </w:r>
      <w:r>
        <w:rPr>
          <w:color w:val="231F20"/>
        </w:rPr>
        <w:t>para</w:t>
      </w:r>
      <w:r>
        <w:rPr>
          <w:color w:val="231F20"/>
          <w:spacing w:val="-4"/>
        </w:rPr>
        <w:t> </w:t>
      </w:r>
      <w:r>
        <w:rPr>
          <w:color w:val="231F20"/>
        </w:rPr>
        <w:t>muchos,</w:t>
      </w:r>
      <w:r>
        <w:rPr>
          <w:color w:val="231F20"/>
          <w:spacing w:val="-5"/>
        </w:rPr>
        <w:t> </w:t>
      </w:r>
      <w:r>
        <w:rPr>
          <w:color w:val="231F20"/>
        </w:rPr>
        <w:t>entre</w:t>
      </w:r>
      <w:r>
        <w:rPr>
          <w:color w:val="231F20"/>
          <w:spacing w:val="-5"/>
        </w:rPr>
        <w:t> </w:t>
      </w:r>
      <w:r>
        <w:rPr>
          <w:color w:val="231F20"/>
        </w:rPr>
        <w:t>otras</w:t>
      </w:r>
      <w:r>
        <w:rPr>
          <w:color w:val="231F20"/>
          <w:spacing w:val="-4"/>
        </w:rPr>
        <w:t> </w:t>
      </w:r>
      <w:r>
        <w:rPr>
          <w:color w:val="231F20"/>
        </w:rPr>
        <w:t>cosas,</w:t>
      </w:r>
      <w:r>
        <w:rPr>
          <w:color w:val="231F20"/>
          <w:spacing w:val="-5"/>
        </w:rPr>
        <w:t> </w:t>
      </w:r>
      <w:r>
        <w:rPr>
          <w:color w:val="231F20"/>
        </w:rPr>
        <w:t>por</w:t>
      </w:r>
      <w:r>
        <w:rPr>
          <w:color w:val="231F20"/>
          <w:spacing w:val="-4"/>
        </w:rPr>
        <w:t> </w:t>
      </w:r>
      <w:r>
        <w:rPr>
          <w:color w:val="231F20"/>
        </w:rPr>
        <w:t>la</w:t>
      </w:r>
      <w:r>
        <w:rPr>
          <w:color w:val="231F20"/>
          <w:spacing w:val="-5"/>
        </w:rPr>
        <w:t> </w:t>
      </w:r>
      <w:r>
        <w:rPr>
          <w:color w:val="231F20"/>
        </w:rPr>
        <w:t>edad,</w:t>
      </w:r>
      <w:r>
        <w:rPr>
          <w:color w:val="231F20"/>
          <w:spacing w:val="-5"/>
        </w:rPr>
        <w:t> </w:t>
      </w:r>
      <w:r>
        <w:rPr>
          <w:color w:val="231F20"/>
        </w:rPr>
        <w:t>si</w:t>
      </w:r>
      <w:r>
        <w:rPr>
          <w:color w:val="231F20"/>
          <w:spacing w:val="-4"/>
        </w:rPr>
        <w:t> </w:t>
      </w:r>
      <w:r>
        <w:rPr>
          <w:color w:val="231F20"/>
        </w:rPr>
        <w:t>se</w:t>
      </w:r>
      <w:r>
        <w:rPr>
          <w:color w:val="231F20"/>
          <w:spacing w:val="-4"/>
        </w:rPr>
        <w:t> </w:t>
      </w:r>
      <w:r>
        <w:rPr>
          <w:color w:val="231F20"/>
        </w:rPr>
        <w:t>tie- ne</w:t>
      </w:r>
      <w:r>
        <w:rPr>
          <w:color w:val="231F20"/>
          <w:spacing w:val="-10"/>
        </w:rPr>
        <w:t> </w:t>
      </w:r>
      <w:r>
        <w:rPr>
          <w:color w:val="231F20"/>
        </w:rPr>
        <w:t>en</w:t>
      </w:r>
      <w:r>
        <w:rPr>
          <w:color w:val="231F20"/>
          <w:spacing w:val="-10"/>
        </w:rPr>
        <w:t> </w:t>
      </w:r>
      <w:r>
        <w:rPr>
          <w:color w:val="231F20"/>
        </w:rPr>
        <w:t>cuenta</w:t>
      </w:r>
      <w:r>
        <w:rPr>
          <w:color w:val="231F20"/>
          <w:spacing w:val="-11"/>
        </w:rPr>
        <w:t> </w:t>
      </w:r>
      <w:r>
        <w:rPr>
          <w:color w:val="231F20"/>
        </w:rPr>
        <w:t>que</w:t>
      </w:r>
      <w:r>
        <w:rPr>
          <w:color w:val="231F20"/>
          <w:spacing w:val="-10"/>
        </w:rPr>
        <w:t> </w:t>
      </w:r>
      <w:r>
        <w:rPr>
          <w:color w:val="231F20"/>
        </w:rPr>
        <w:t>al</w:t>
      </w:r>
      <w:r>
        <w:rPr>
          <w:color w:val="231F20"/>
          <w:spacing w:val="-10"/>
        </w:rPr>
        <w:t> </w:t>
      </w:r>
      <w:r>
        <w:rPr>
          <w:color w:val="231F20"/>
        </w:rPr>
        <w:t>momento</w:t>
      </w:r>
      <w:r>
        <w:rPr>
          <w:color w:val="231F20"/>
          <w:spacing w:val="-11"/>
        </w:rPr>
        <w:t> </w:t>
      </w:r>
      <w:r>
        <w:rPr>
          <w:color w:val="231F20"/>
        </w:rPr>
        <w:t>de</w:t>
      </w:r>
      <w:r>
        <w:rPr>
          <w:color w:val="231F20"/>
          <w:spacing w:val="-10"/>
        </w:rPr>
        <w:t> </w:t>
      </w:r>
      <w:r>
        <w:rPr>
          <w:color w:val="231F20"/>
        </w:rPr>
        <w:t>retornar</w:t>
      </w:r>
      <w:r>
        <w:rPr>
          <w:color w:val="231F20"/>
          <w:spacing w:val="-10"/>
        </w:rPr>
        <w:t> </w:t>
      </w:r>
      <w:r>
        <w:rPr>
          <w:color w:val="231F20"/>
        </w:rPr>
        <w:t>cerca</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cuarta</w:t>
      </w:r>
      <w:r>
        <w:rPr>
          <w:color w:val="231F20"/>
          <w:spacing w:val="-11"/>
        </w:rPr>
        <w:t> </w:t>
      </w:r>
      <w:r>
        <w:rPr>
          <w:color w:val="231F20"/>
        </w:rPr>
        <w:t>parte</w:t>
      </w:r>
      <w:r>
        <w:rPr>
          <w:color w:val="231F20"/>
          <w:spacing w:val="-10"/>
        </w:rPr>
        <w:t> </w:t>
      </w:r>
      <w:r>
        <w:rPr>
          <w:color w:val="231F20"/>
        </w:rPr>
        <w:t>de</w:t>
      </w:r>
      <w:r>
        <w:rPr>
          <w:color w:val="231F20"/>
          <w:spacing w:val="-10"/>
        </w:rPr>
        <w:t> </w:t>
      </w:r>
      <w:r>
        <w:rPr>
          <w:color w:val="231F20"/>
        </w:rPr>
        <w:t>quienes lo hacen entre los 15 y 60 años, han superado ya los 35, edad a partir de</w:t>
      </w:r>
      <w:r>
        <w:rPr>
          <w:color w:val="231F20"/>
          <w:spacing w:val="-24"/>
        </w:rPr>
        <w:t> </w:t>
      </w:r>
      <w:r>
        <w:rPr>
          <w:color w:val="231F20"/>
        </w:rPr>
        <w:t>la cual</w:t>
      </w:r>
      <w:r>
        <w:rPr>
          <w:color w:val="231F20"/>
          <w:spacing w:val="-6"/>
        </w:rPr>
        <w:t> </w:t>
      </w:r>
      <w:r>
        <w:rPr>
          <w:color w:val="231F20"/>
        </w:rPr>
        <w:t>se</w:t>
      </w:r>
      <w:r>
        <w:rPr>
          <w:color w:val="231F20"/>
          <w:spacing w:val="-5"/>
        </w:rPr>
        <w:t> </w:t>
      </w:r>
      <w:r>
        <w:rPr>
          <w:color w:val="231F20"/>
        </w:rPr>
        <w:t>limitan</w:t>
      </w:r>
      <w:r>
        <w:rPr>
          <w:color w:val="231F20"/>
          <w:spacing w:val="-6"/>
        </w:rPr>
        <w:t> </w:t>
      </w:r>
      <w:r>
        <w:rPr>
          <w:color w:val="231F20"/>
        </w:rPr>
        <w:t>de</w:t>
      </w:r>
      <w:r>
        <w:rPr>
          <w:color w:val="231F20"/>
          <w:spacing w:val="-5"/>
        </w:rPr>
        <w:t> </w:t>
      </w:r>
      <w:r>
        <w:rPr>
          <w:color w:val="231F20"/>
        </w:rPr>
        <w:t>manera</w:t>
      </w:r>
      <w:r>
        <w:rPr>
          <w:color w:val="231F20"/>
          <w:spacing w:val="-6"/>
        </w:rPr>
        <w:t> </w:t>
      </w:r>
      <w:r>
        <w:rPr>
          <w:color w:val="231F20"/>
        </w:rPr>
        <w:t>sustancial</w:t>
      </w:r>
      <w:r>
        <w:rPr>
          <w:color w:val="231F20"/>
          <w:spacing w:val="-5"/>
        </w:rPr>
        <w:t> </w:t>
      </w:r>
      <w:r>
        <w:rPr>
          <w:color w:val="231F20"/>
        </w:rPr>
        <w:t>las</w:t>
      </w:r>
      <w:r>
        <w:rPr>
          <w:color w:val="231F20"/>
          <w:spacing w:val="-5"/>
        </w:rPr>
        <w:t> </w:t>
      </w:r>
      <w:r>
        <w:rPr>
          <w:color w:val="231F20"/>
        </w:rPr>
        <w:t>posibilidades</w:t>
      </w:r>
      <w:r>
        <w:rPr>
          <w:color w:val="231F20"/>
          <w:spacing w:val="-5"/>
        </w:rPr>
        <w:t> </w:t>
      </w:r>
      <w:r>
        <w:rPr>
          <w:color w:val="231F20"/>
        </w:rPr>
        <w:t>de</w:t>
      </w:r>
      <w:r>
        <w:rPr>
          <w:color w:val="231F20"/>
          <w:spacing w:val="-5"/>
        </w:rPr>
        <w:t> </w:t>
      </w:r>
      <w:r>
        <w:rPr>
          <w:color w:val="231F20"/>
        </w:rPr>
        <w:t>acceso</w:t>
      </w:r>
      <w:r>
        <w:rPr>
          <w:color w:val="231F20"/>
          <w:spacing w:val="-6"/>
        </w:rPr>
        <w:t> </w:t>
      </w:r>
      <w:r>
        <w:rPr>
          <w:color w:val="231F20"/>
        </w:rPr>
        <w:t>al</w:t>
      </w:r>
      <w:r>
        <w:rPr>
          <w:color w:val="231F20"/>
          <w:spacing w:val="-5"/>
        </w:rPr>
        <w:t> </w:t>
      </w:r>
      <w:r>
        <w:rPr>
          <w:color w:val="231F20"/>
        </w:rPr>
        <w:t>empleo.</w:t>
      </w:r>
    </w:p>
    <w:p>
      <w:pPr>
        <w:spacing w:after="0" w:line="247" w:lineRule="auto"/>
        <w:jc w:val="both"/>
        <w:sectPr>
          <w:footerReference w:type="default" r:id="rId79"/>
          <w:pgSz w:w="9360" w:h="13040"/>
          <w:pgMar w:footer="496" w:header="0" w:top="740" w:bottom="680" w:left="1300" w:right="1300"/>
          <w:pgNumType w:start="61"/>
        </w:sectPr>
      </w:pPr>
    </w:p>
    <w:p>
      <w:pPr>
        <w:tabs>
          <w:tab w:pos="5536" w:val="left" w:leader="none"/>
        </w:tabs>
        <w:spacing w:before="34"/>
        <w:ind w:left="400" w:right="117" w:hanging="277"/>
        <w:jc w:val="left"/>
        <w:rPr>
          <w:sz w:val="18"/>
        </w:rPr>
      </w:pPr>
      <w:r>
        <w:rPr>
          <w:rFonts w:ascii="Arial" w:hAnsi="Arial"/>
          <w:color w:val="231F20"/>
          <w:w w:val="80"/>
          <w:position w:val="2"/>
          <w:sz w:val="20"/>
        </w:rPr>
        <w:t>Hitos</w:t>
      </w:r>
      <w:r>
        <w:rPr>
          <w:rFonts w:ascii="Arial" w:hAnsi="Arial"/>
          <w:color w:val="231F20"/>
          <w:spacing w:val="-14"/>
          <w:w w:val="80"/>
          <w:position w:val="2"/>
          <w:sz w:val="20"/>
        </w:rPr>
        <w:t> </w:t>
      </w:r>
      <w:r>
        <w:rPr>
          <w:rFonts w:ascii="Arial" w:hAnsi="Arial"/>
          <w:color w:val="231F20"/>
          <w:w w:val="80"/>
          <w:position w:val="2"/>
          <w:sz w:val="20"/>
        </w:rPr>
        <w:t>Demográficos</w:t>
      </w:r>
      <w:r>
        <w:rPr>
          <w:rFonts w:ascii="Arial" w:hAnsi="Arial"/>
          <w:color w:val="231F20"/>
          <w:spacing w:val="-14"/>
          <w:w w:val="80"/>
          <w:position w:val="2"/>
          <w:sz w:val="20"/>
        </w:rPr>
        <w:t> </w:t>
      </w:r>
      <w:r>
        <w:rPr>
          <w:rFonts w:ascii="Arial" w:hAnsi="Arial"/>
          <w:color w:val="231F20"/>
          <w:w w:val="80"/>
          <w:position w:val="2"/>
          <w:sz w:val="20"/>
        </w:rPr>
        <w:t>del</w:t>
      </w:r>
      <w:r>
        <w:rPr>
          <w:rFonts w:ascii="Arial" w:hAnsi="Arial"/>
          <w:color w:val="231F20"/>
          <w:spacing w:val="-14"/>
          <w:w w:val="80"/>
          <w:position w:val="2"/>
          <w:sz w:val="20"/>
        </w:rPr>
        <w:t> </w:t>
      </w:r>
      <w:r>
        <w:rPr>
          <w:rFonts w:ascii="Arial" w:hAnsi="Arial"/>
          <w:color w:val="231F20"/>
          <w:w w:val="80"/>
          <w:position w:val="2"/>
          <w:sz w:val="20"/>
        </w:rPr>
        <w:t>Siglo</w:t>
      </w:r>
      <w:r>
        <w:rPr>
          <w:rFonts w:ascii="Arial" w:hAnsi="Arial"/>
          <w:color w:val="231F20"/>
          <w:spacing w:val="-14"/>
          <w:w w:val="80"/>
          <w:position w:val="2"/>
          <w:sz w:val="20"/>
        </w:rPr>
        <w:t> </w:t>
      </w:r>
      <w:r>
        <w:rPr>
          <w:rFonts w:ascii="Arial" w:hAnsi="Arial"/>
          <w:color w:val="231F20"/>
          <w:w w:val="80"/>
          <w:position w:val="2"/>
          <w:sz w:val="20"/>
        </w:rPr>
        <w:t>XXI:</w:t>
      </w:r>
      <w:r>
        <w:rPr>
          <w:rFonts w:ascii="Arial" w:hAnsi="Arial"/>
          <w:color w:val="231F20"/>
          <w:spacing w:val="-14"/>
          <w:w w:val="80"/>
          <w:position w:val="2"/>
          <w:sz w:val="20"/>
        </w:rPr>
        <w:t> </w:t>
      </w:r>
      <w:r>
        <w:rPr>
          <w:rFonts w:ascii="Arial" w:hAnsi="Arial"/>
          <w:color w:val="231F20"/>
          <w:w w:val="80"/>
          <w:position w:val="2"/>
          <w:sz w:val="20"/>
        </w:rPr>
        <w:t>Migración</w:t>
      </w:r>
      <w:r>
        <w:rPr>
          <w:rFonts w:ascii="Arial" w:hAnsi="Arial"/>
          <w:color w:val="231F20"/>
          <w:spacing w:val="-14"/>
          <w:w w:val="80"/>
          <w:position w:val="2"/>
          <w:sz w:val="20"/>
        </w:rPr>
        <w:t> </w:t>
      </w:r>
      <w:r>
        <w:rPr>
          <w:rFonts w:ascii="Arial" w:hAnsi="Arial"/>
          <w:color w:val="231F20"/>
          <w:w w:val="80"/>
          <w:position w:val="2"/>
          <w:sz w:val="20"/>
        </w:rPr>
        <w:t>Internacional</w:t>
        <w:tab/>
      </w:r>
      <w:r>
        <w:rPr>
          <w:color w:val="231F20"/>
          <w:w w:val="90"/>
          <w:sz w:val="18"/>
        </w:rPr>
        <w:t>CIEAP/UAEM</w:t>
      </w:r>
    </w:p>
    <w:p>
      <w:pPr>
        <w:pStyle w:val="BodyText"/>
        <w:spacing w:before="2"/>
        <w:rPr>
          <w:sz w:val="21"/>
        </w:rPr>
      </w:pPr>
    </w:p>
    <w:p>
      <w:pPr>
        <w:pStyle w:val="BodyText"/>
        <w:spacing w:line="247" w:lineRule="auto"/>
        <w:ind w:left="117" w:right="114" w:firstLine="283"/>
        <w:jc w:val="both"/>
      </w:pPr>
      <w:r>
        <w:rPr>
          <w:color w:val="231F20"/>
        </w:rPr>
        <w:t>Ante tal realidad, algunos se resignan y ni siquiera hacen el intento de buscar un trabajo, como el colombiano que expresó: “la edad que tengo  no me permite buscar empleo, buscar sí pero encontrarlo no”; pero otros hacen el intento y constatan la verdad de las anteriores palabras, a veces expresada</w:t>
      </w:r>
      <w:r>
        <w:rPr>
          <w:color w:val="231F20"/>
          <w:spacing w:val="-5"/>
        </w:rPr>
        <w:t> </w:t>
      </w:r>
      <w:r>
        <w:rPr>
          <w:color w:val="231F20"/>
        </w:rPr>
        <w:t>con</w:t>
      </w:r>
      <w:r>
        <w:rPr>
          <w:color w:val="231F20"/>
          <w:spacing w:val="-5"/>
        </w:rPr>
        <w:t> </w:t>
      </w:r>
      <w:r>
        <w:rPr>
          <w:color w:val="231F20"/>
        </w:rPr>
        <w:t>eufemismos:</w:t>
      </w:r>
      <w:r>
        <w:rPr>
          <w:color w:val="231F20"/>
          <w:spacing w:val="-5"/>
        </w:rPr>
        <w:t> </w:t>
      </w:r>
      <w:r>
        <w:rPr>
          <w:color w:val="231F20"/>
        </w:rPr>
        <w:t>“fui</w:t>
      </w:r>
      <w:r>
        <w:rPr>
          <w:color w:val="231F20"/>
          <w:spacing w:val="-5"/>
        </w:rPr>
        <w:t> </w:t>
      </w:r>
      <w:r>
        <w:rPr>
          <w:color w:val="231F20"/>
        </w:rPr>
        <w:t>a</w:t>
      </w:r>
      <w:r>
        <w:rPr>
          <w:color w:val="231F20"/>
          <w:spacing w:val="-5"/>
        </w:rPr>
        <w:t> </w:t>
      </w:r>
      <w:r>
        <w:rPr>
          <w:color w:val="231F20"/>
        </w:rPr>
        <w:t>una</w:t>
      </w:r>
      <w:r>
        <w:rPr>
          <w:color w:val="231F20"/>
          <w:spacing w:val="-5"/>
        </w:rPr>
        <w:t> </w:t>
      </w:r>
      <w:r>
        <w:rPr>
          <w:color w:val="231F20"/>
        </w:rPr>
        <w:t>residencia</w:t>
      </w:r>
      <w:r>
        <w:rPr>
          <w:color w:val="231F20"/>
          <w:spacing w:val="-5"/>
        </w:rPr>
        <w:t> </w:t>
      </w:r>
      <w:r>
        <w:rPr>
          <w:color w:val="231F20"/>
        </w:rPr>
        <w:t>de</w:t>
      </w:r>
      <w:r>
        <w:rPr>
          <w:color w:val="231F20"/>
          <w:spacing w:val="-5"/>
        </w:rPr>
        <w:t> </w:t>
      </w:r>
      <w:r>
        <w:rPr>
          <w:color w:val="231F20"/>
        </w:rPr>
        <w:t>personas</w:t>
      </w:r>
      <w:r>
        <w:rPr>
          <w:color w:val="231F20"/>
          <w:spacing w:val="-5"/>
        </w:rPr>
        <w:t> </w:t>
      </w:r>
      <w:r>
        <w:rPr>
          <w:color w:val="231F20"/>
        </w:rPr>
        <w:t>mayores,</w:t>
      </w:r>
      <w:r>
        <w:rPr>
          <w:color w:val="231F20"/>
          <w:spacing w:val="-5"/>
        </w:rPr>
        <w:t> </w:t>
      </w:r>
      <w:r>
        <w:rPr>
          <w:color w:val="231F20"/>
        </w:rPr>
        <w:t>me decían que la experiencia era muy buena, que esto, que lo otro, pero que necesitaban personas con más cualidades físicas, o sea, más jóvenes, por- que eran trabajos un poquito pesados” (retornada</w:t>
      </w:r>
      <w:r>
        <w:rPr>
          <w:color w:val="231F20"/>
          <w:spacing w:val="-2"/>
        </w:rPr>
        <w:t> </w:t>
      </w:r>
      <w:r>
        <w:rPr>
          <w:color w:val="231F20"/>
        </w:rPr>
        <w:t>colombiana).</w:t>
      </w:r>
    </w:p>
    <w:p>
      <w:pPr>
        <w:pStyle w:val="BodyText"/>
        <w:spacing w:line="247" w:lineRule="auto"/>
        <w:ind w:left="117" w:right="114" w:firstLine="283"/>
        <w:jc w:val="both"/>
      </w:pPr>
      <w:r>
        <w:rPr>
          <w:color w:val="231F20"/>
        </w:rPr>
        <w:t>De</w:t>
      </w:r>
      <w:r>
        <w:rPr>
          <w:color w:val="231F20"/>
          <w:spacing w:val="-8"/>
        </w:rPr>
        <w:t> </w:t>
      </w:r>
      <w:r>
        <w:rPr>
          <w:color w:val="231F20"/>
        </w:rPr>
        <w:t>otro</w:t>
      </w:r>
      <w:r>
        <w:rPr>
          <w:color w:val="231F20"/>
          <w:spacing w:val="-8"/>
        </w:rPr>
        <w:t> </w:t>
      </w:r>
      <w:r>
        <w:rPr>
          <w:color w:val="231F20"/>
        </w:rPr>
        <w:t>lado,</w:t>
      </w:r>
      <w:r>
        <w:rPr>
          <w:color w:val="231F20"/>
          <w:spacing w:val="-9"/>
        </w:rPr>
        <w:t> </w:t>
      </w:r>
      <w:r>
        <w:rPr>
          <w:color w:val="231F20"/>
        </w:rPr>
        <w:t>surge</w:t>
      </w:r>
      <w:r>
        <w:rPr>
          <w:color w:val="231F20"/>
          <w:spacing w:val="-8"/>
        </w:rPr>
        <w:t> </w:t>
      </w:r>
      <w:r>
        <w:rPr>
          <w:color w:val="231F20"/>
        </w:rPr>
        <w:t>el</w:t>
      </w:r>
      <w:r>
        <w:rPr>
          <w:color w:val="231F20"/>
          <w:spacing w:val="-9"/>
        </w:rPr>
        <w:t> </w:t>
      </w:r>
      <w:r>
        <w:rPr>
          <w:color w:val="231F20"/>
        </w:rPr>
        <w:t>problema</w:t>
      </w:r>
      <w:r>
        <w:rPr>
          <w:color w:val="231F20"/>
          <w:spacing w:val="-8"/>
        </w:rPr>
        <w:t> </w:t>
      </w:r>
      <w:r>
        <w:rPr>
          <w:color w:val="231F20"/>
        </w:rPr>
        <w:t>de</w:t>
      </w:r>
      <w:r>
        <w:rPr>
          <w:color w:val="231F20"/>
          <w:spacing w:val="-8"/>
        </w:rPr>
        <w:t> </w:t>
      </w:r>
      <w:r>
        <w:rPr>
          <w:color w:val="231F20"/>
        </w:rPr>
        <w:t>la</w:t>
      </w:r>
      <w:r>
        <w:rPr>
          <w:color w:val="231F20"/>
          <w:spacing w:val="-9"/>
        </w:rPr>
        <w:t> </w:t>
      </w:r>
      <w:r>
        <w:rPr>
          <w:color w:val="231F20"/>
        </w:rPr>
        <w:t>formación,</w:t>
      </w:r>
      <w:r>
        <w:rPr>
          <w:color w:val="231F20"/>
          <w:spacing w:val="-8"/>
        </w:rPr>
        <w:t> </w:t>
      </w:r>
      <w:r>
        <w:rPr>
          <w:color w:val="231F20"/>
        </w:rPr>
        <w:t>pues</w:t>
      </w:r>
      <w:r>
        <w:rPr>
          <w:color w:val="231F20"/>
          <w:spacing w:val="-8"/>
        </w:rPr>
        <w:t> </w:t>
      </w:r>
      <w:r>
        <w:rPr>
          <w:color w:val="231F20"/>
        </w:rPr>
        <w:t>en</w:t>
      </w:r>
      <w:r>
        <w:rPr>
          <w:color w:val="231F20"/>
          <w:spacing w:val="-9"/>
        </w:rPr>
        <w:t> </w:t>
      </w:r>
      <w:r>
        <w:rPr>
          <w:color w:val="231F20"/>
        </w:rPr>
        <w:t>muchos</w:t>
      </w:r>
      <w:r>
        <w:rPr>
          <w:color w:val="231F20"/>
          <w:spacing w:val="-9"/>
        </w:rPr>
        <w:t> </w:t>
      </w:r>
      <w:r>
        <w:rPr>
          <w:color w:val="231F20"/>
        </w:rPr>
        <w:t>casos, como</w:t>
      </w:r>
      <w:r>
        <w:rPr>
          <w:color w:val="231F20"/>
          <w:spacing w:val="-8"/>
        </w:rPr>
        <w:t> </w:t>
      </w:r>
      <w:r>
        <w:rPr>
          <w:color w:val="231F20"/>
        </w:rPr>
        <w:t>ya</w:t>
      </w:r>
      <w:r>
        <w:rPr>
          <w:color w:val="231F20"/>
          <w:spacing w:val="-7"/>
        </w:rPr>
        <w:t> </w:t>
      </w:r>
      <w:r>
        <w:rPr>
          <w:color w:val="231F20"/>
        </w:rPr>
        <w:t>se</w:t>
      </w:r>
      <w:r>
        <w:rPr>
          <w:color w:val="231F20"/>
          <w:spacing w:val="-7"/>
        </w:rPr>
        <w:t> </w:t>
      </w:r>
      <w:r>
        <w:rPr>
          <w:color w:val="231F20"/>
        </w:rPr>
        <w:t>manifestaba</w:t>
      </w:r>
      <w:r>
        <w:rPr>
          <w:color w:val="231F20"/>
          <w:spacing w:val="-8"/>
        </w:rPr>
        <w:t> </w:t>
      </w:r>
      <w:r>
        <w:rPr>
          <w:color w:val="231F20"/>
        </w:rPr>
        <w:t>en</w:t>
      </w:r>
      <w:r>
        <w:rPr>
          <w:color w:val="231F20"/>
          <w:spacing w:val="-7"/>
        </w:rPr>
        <w:t> </w:t>
      </w:r>
      <w:r>
        <w:rPr>
          <w:color w:val="231F20"/>
        </w:rPr>
        <w:t>testimonios</w:t>
      </w:r>
      <w:r>
        <w:rPr>
          <w:color w:val="231F20"/>
          <w:spacing w:val="-8"/>
        </w:rPr>
        <w:t> </w:t>
      </w:r>
      <w:r>
        <w:rPr>
          <w:color w:val="231F20"/>
        </w:rPr>
        <w:t>anteriores,</w:t>
      </w:r>
      <w:r>
        <w:rPr>
          <w:color w:val="231F20"/>
          <w:spacing w:val="-8"/>
        </w:rPr>
        <w:t> </w:t>
      </w:r>
      <w:r>
        <w:rPr>
          <w:color w:val="231F20"/>
        </w:rPr>
        <w:t>los</w:t>
      </w:r>
      <w:r>
        <w:rPr>
          <w:color w:val="231F20"/>
          <w:spacing w:val="-8"/>
        </w:rPr>
        <w:t> </w:t>
      </w:r>
      <w:r>
        <w:rPr>
          <w:color w:val="231F20"/>
        </w:rPr>
        <w:t>migrantes</w:t>
      </w:r>
      <w:r>
        <w:rPr>
          <w:color w:val="231F20"/>
          <w:spacing w:val="-8"/>
        </w:rPr>
        <w:t> </w:t>
      </w:r>
      <w:r>
        <w:rPr>
          <w:color w:val="231F20"/>
        </w:rPr>
        <w:t>renuncian a continuar estudios universitarios por emigrar al mundo del trabajo. Ade- más, los mayores niveles educativos pueden generar mayor retención de los emigrados en destino, hacia donde apuntan los resultados de algunos trabajos empíricos, como el de Medina y Posso (2009) según el cual a</w:t>
      </w:r>
      <w:r>
        <w:rPr>
          <w:color w:val="231F20"/>
          <w:spacing w:val="-26"/>
        </w:rPr>
        <w:t> </w:t>
      </w:r>
      <w:r>
        <w:rPr>
          <w:color w:val="231F20"/>
        </w:rPr>
        <w:t>Co- lombia tendería a darse un mayor regreso desde Estados Unidos por parte de los migrantes menos</w:t>
      </w:r>
      <w:r>
        <w:rPr>
          <w:color w:val="231F20"/>
          <w:spacing w:val="-12"/>
        </w:rPr>
        <w:t> </w:t>
      </w:r>
      <w:r>
        <w:rPr>
          <w:color w:val="231F20"/>
        </w:rPr>
        <w:t>cualificados.</w:t>
      </w:r>
    </w:p>
    <w:p>
      <w:pPr>
        <w:pStyle w:val="BodyText"/>
        <w:spacing w:line="247" w:lineRule="auto"/>
        <w:ind w:left="117" w:right="115" w:firstLine="283"/>
        <w:jc w:val="both"/>
      </w:pPr>
      <w:r>
        <w:rPr>
          <w:color w:val="231F20"/>
        </w:rPr>
        <w:t>Para</w:t>
      </w:r>
      <w:r>
        <w:rPr>
          <w:color w:val="231F20"/>
          <w:spacing w:val="-6"/>
        </w:rPr>
        <w:t> </w:t>
      </w:r>
      <w:r>
        <w:rPr>
          <w:color w:val="231F20"/>
        </w:rPr>
        <w:t>algunas</w:t>
      </w:r>
      <w:r>
        <w:rPr>
          <w:color w:val="231F20"/>
          <w:spacing w:val="-6"/>
        </w:rPr>
        <w:t> </w:t>
      </w:r>
      <w:r>
        <w:rPr>
          <w:color w:val="231F20"/>
        </w:rPr>
        <w:t>personas</w:t>
      </w:r>
      <w:r>
        <w:rPr>
          <w:color w:val="231F20"/>
          <w:spacing w:val="-6"/>
        </w:rPr>
        <w:t> </w:t>
      </w:r>
      <w:r>
        <w:rPr>
          <w:color w:val="231F20"/>
        </w:rPr>
        <w:t>entrevistadas</w:t>
      </w:r>
      <w:r>
        <w:rPr>
          <w:color w:val="231F20"/>
          <w:spacing w:val="-6"/>
        </w:rPr>
        <w:t> </w:t>
      </w:r>
      <w:r>
        <w:rPr>
          <w:color w:val="231F20"/>
        </w:rPr>
        <w:t>el</w:t>
      </w:r>
      <w:r>
        <w:rPr>
          <w:color w:val="231F20"/>
          <w:spacing w:val="-6"/>
        </w:rPr>
        <w:t> </w:t>
      </w:r>
      <w:r>
        <w:rPr>
          <w:color w:val="231F20"/>
        </w:rPr>
        <w:t>asunto</w:t>
      </w:r>
      <w:r>
        <w:rPr>
          <w:color w:val="231F20"/>
          <w:spacing w:val="-6"/>
        </w:rPr>
        <w:t> </w:t>
      </w:r>
      <w:r>
        <w:rPr>
          <w:color w:val="231F20"/>
        </w:rPr>
        <w:t>es</w:t>
      </w:r>
      <w:r>
        <w:rPr>
          <w:color w:val="231F20"/>
          <w:spacing w:val="-6"/>
        </w:rPr>
        <w:t> </w:t>
      </w:r>
      <w:r>
        <w:rPr>
          <w:color w:val="231F20"/>
        </w:rPr>
        <w:t>más</w:t>
      </w:r>
      <w:r>
        <w:rPr>
          <w:color w:val="231F20"/>
          <w:spacing w:val="-6"/>
        </w:rPr>
        <w:t> </w:t>
      </w:r>
      <w:r>
        <w:rPr>
          <w:color w:val="231F20"/>
        </w:rPr>
        <w:t>institucional,</w:t>
      </w:r>
      <w:r>
        <w:rPr>
          <w:color w:val="231F20"/>
          <w:spacing w:val="-6"/>
        </w:rPr>
        <w:t> </w:t>
      </w:r>
      <w:r>
        <w:rPr>
          <w:color w:val="231F20"/>
        </w:rPr>
        <w:t>cen- trado en la ausencia de entidades que confronten oferta y demanda</w:t>
      </w:r>
      <w:r>
        <w:rPr>
          <w:color w:val="231F20"/>
          <w:spacing w:val="-16"/>
        </w:rPr>
        <w:t> </w:t>
      </w:r>
      <w:r>
        <w:rPr>
          <w:color w:val="231F20"/>
        </w:rPr>
        <w:t>labora- les,</w:t>
      </w:r>
      <w:r>
        <w:rPr>
          <w:color w:val="231F20"/>
          <w:spacing w:val="-8"/>
        </w:rPr>
        <w:t> </w:t>
      </w:r>
      <w:r>
        <w:rPr>
          <w:color w:val="231F20"/>
        </w:rPr>
        <w:t>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calidad</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existentes,</w:t>
      </w:r>
      <w:r>
        <w:rPr>
          <w:color w:val="231F20"/>
          <w:spacing w:val="-9"/>
        </w:rPr>
        <w:t> </w:t>
      </w:r>
      <w:r>
        <w:rPr>
          <w:color w:val="231F20"/>
        </w:rPr>
        <w:t>situación</w:t>
      </w:r>
      <w:r>
        <w:rPr>
          <w:color w:val="231F20"/>
          <w:spacing w:val="-7"/>
        </w:rPr>
        <w:t> </w:t>
      </w:r>
      <w:r>
        <w:rPr>
          <w:color w:val="231F20"/>
        </w:rPr>
        <w:t>que</w:t>
      </w:r>
      <w:r>
        <w:rPr>
          <w:color w:val="231F20"/>
          <w:spacing w:val="-8"/>
        </w:rPr>
        <w:t> </w:t>
      </w:r>
      <w:r>
        <w:rPr>
          <w:color w:val="231F20"/>
        </w:rPr>
        <w:t>contrastan</w:t>
      </w:r>
      <w:r>
        <w:rPr>
          <w:color w:val="231F20"/>
          <w:spacing w:val="-8"/>
        </w:rPr>
        <w:t> </w:t>
      </w:r>
      <w:r>
        <w:rPr>
          <w:color w:val="231F20"/>
        </w:rPr>
        <w:t>con</w:t>
      </w:r>
      <w:r>
        <w:rPr>
          <w:color w:val="231F20"/>
          <w:spacing w:val="-8"/>
        </w:rPr>
        <w:t> </w:t>
      </w:r>
      <w:r>
        <w:rPr>
          <w:color w:val="231F20"/>
        </w:rPr>
        <w:t>lo</w:t>
      </w:r>
      <w:r>
        <w:rPr>
          <w:color w:val="231F20"/>
          <w:spacing w:val="-8"/>
        </w:rPr>
        <w:t> </w:t>
      </w:r>
      <w:r>
        <w:rPr>
          <w:color w:val="231F20"/>
        </w:rPr>
        <w:t>ocurri- do en algunos de los países de</w:t>
      </w:r>
      <w:r>
        <w:rPr>
          <w:color w:val="231F20"/>
          <w:spacing w:val="-3"/>
        </w:rPr>
        <w:t> </w:t>
      </w:r>
      <w:r>
        <w:rPr>
          <w:color w:val="231F20"/>
        </w:rPr>
        <w:t>destino.</w:t>
      </w:r>
    </w:p>
    <w:p>
      <w:pPr>
        <w:spacing w:before="149"/>
        <w:ind w:left="117" w:right="0" w:firstLine="0"/>
        <w:jc w:val="both"/>
        <w:rPr>
          <w:i/>
          <w:sz w:val="22"/>
        </w:rPr>
      </w:pPr>
      <w:r>
        <w:rPr>
          <w:i/>
          <w:color w:val="231F20"/>
          <w:sz w:val="22"/>
        </w:rPr>
        <w:t>Readaptación familiar</w:t>
      </w:r>
    </w:p>
    <w:p>
      <w:pPr>
        <w:pStyle w:val="BodyText"/>
        <w:spacing w:line="247" w:lineRule="auto" w:before="177"/>
        <w:ind w:left="117" w:right="114"/>
        <w:jc w:val="both"/>
      </w:pPr>
      <w:r>
        <w:rPr>
          <w:color w:val="231F20"/>
        </w:rPr>
        <w:t>Las ansias de reagrupación son comunes en las familias fragmentadas</w:t>
      </w:r>
      <w:r>
        <w:rPr>
          <w:color w:val="231F20"/>
          <w:spacing w:val="-35"/>
        </w:rPr>
        <w:t> </w:t>
      </w:r>
      <w:r>
        <w:rPr>
          <w:color w:val="231F20"/>
        </w:rPr>
        <w:t>físi- camente por la migración, particularmente cuando son los padres/madres quienes</w:t>
      </w:r>
      <w:r>
        <w:rPr>
          <w:color w:val="231F20"/>
          <w:spacing w:val="-9"/>
        </w:rPr>
        <w:t> </w:t>
      </w:r>
      <w:r>
        <w:rPr>
          <w:color w:val="231F20"/>
        </w:rPr>
        <w:t>se</w:t>
      </w:r>
      <w:r>
        <w:rPr>
          <w:color w:val="231F20"/>
          <w:spacing w:val="-9"/>
        </w:rPr>
        <w:t> </w:t>
      </w:r>
      <w:r>
        <w:rPr>
          <w:color w:val="231F20"/>
        </w:rPr>
        <w:t>encuentran</w:t>
      </w:r>
      <w:r>
        <w:rPr>
          <w:color w:val="231F20"/>
          <w:spacing w:val="-10"/>
        </w:rPr>
        <w:t> </w:t>
      </w:r>
      <w:r>
        <w:rPr>
          <w:color w:val="231F20"/>
        </w:rPr>
        <w:t>separados</w:t>
      </w:r>
      <w:r>
        <w:rPr>
          <w:color w:val="231F20"/>
          <w:spacing w:val="-8"/>
        </w:rPr>
        <w:t> </w:t>
      </w:r>
      <w:r>
        <w:rPr>
          <w:color w:val="231F20"/>
        </w:rPr>
        <w:t>de</w:t>
      </w:r>
      <w:r>
        <w:rPr>
          <w:color w:val="231F20"/>
          <w:spacing w:val="-9"/>
        </w:rPr>
        <w:t> </w:t>
      </w:r>
      <w:r>
        <w:rPr>
          <w:color w:val="231F20"/>
        </w:rPr>
        <w:t>hijos</w:t>
      </w:r>
      <w:r>
        <w:rPr>
          <w:color w:val="231F20"/>
          <w:spacing w:val="-9"/>
        </w:rPr>
        <w:t> </w:t>
      </w:r>
      <w:r>
        <w:rPr>
          <w:color w:val="231F20"/>
        </w:rPr>
        <w:t>menores</w:t>
      </w:r>
      <w:r>
        <w:rPr>
          <w:color w:val="231F20"/>
          <w:spacing w:val="-9"/>
        </w:rPr>
        <w:t> </w:t>
      </w:r>
      <w:r>
        <w:rPr>
          <w:color w:val="231F20"/>
          <w:spacing w:val="-8"/>
        </w:rPr>
        <w:t>y,</w:t>
      </w:r>
      <w:r>
        <w:rPr>
          <w:color w:val="231F20"/>
          <w:spacing w:val="-9"/>
        </w:rPr>
        <w:t> </w:t>
      </w:r>
      <w:r>
        <w:rPr>
          <w:color w:val="231F20"/>
        </w:rPr>
        <w:t>como</w:t>
      </w:r>
      <w:r>
        <w:rPr>
          <w:color w:val="231F20"/>
          <w:spacing w:val="-9"/>
        </w:rPr>
        <w:t> </w:t>
      </w:r>
      <w:r>
        <w:rPr>
          <w:color w:val="231F20"/>
        </w:rPr>
        <w:t>se</w:t>
      </w:r>
      <w:r>
        <w:rPr>
          <w:color w:val="231F20"/>
          <w:spacing w:val="-9"/>
        </w:rPr>
        <w:t> </w:t>
      </w:r>
      <w:r>
        <w:rPr>
          <w:color w:val="231F20"/>
        </w:rPr>
        <w:t>dijo</w:t>
      </w:r>
      <w:r>
        <w:rPr>
          <w:color w:val="231F20"/>
          <w:spacing w:val="-9"/>
        </w:rPr>
        <w:t> </w:t>
      </w:r>
      <w:r>
        <w:rPr>
          <w:color w:val="231F20"/>
        </w:rPr>
        <w:t>anterior- mente, esas ansias terminan siendo definitivas en la decisión de muchos retornos, a pesar de la comunicación frecuente, en algunos casos casi per- manente, por vía telefónica e internet, que ha permitido la configuración  y funcionamiento de lo que ha dado en llamarse la familia transnacional, cuya eficacia para mantener los vínculos es puesta a prueba con el retorno (aunque, también, con otros reencuentros, como los vacacionales y los de reagrupación en destino, que no son objeto de estudio</w:t>
      </w:r>
      <w:r>
        <w:rPr>
          <w:color w:val="231F20"/>
          <w:spacing w:val="-4"/>
        </w:rPr>
        <w:t> </w:t>
      </w:r>
      <w:r>
        <w:rPr>
          <w:color w:val="231F20"/>
        </w:rPr>
        <w:t>aquí).</w:t>
      </w:r>
    </w:p>
    <w:p>
      <w:pPr>
        <w:pStyle w:val="BodyText"/>
        <w:spacing w:line="247" w:lineRule="auto"/>
        <w:ind w:left="117" w:right="115" w:firstLine="283"/>
        <w:jc w:val="both"/>
      </w:pPr>
      <w:r>
        <w:rPr>
          <w:color w:val="231F20"/>
        </w:rPr>
        <w:t>El reencuentro de padres y madres con sus hijos, confronta las expec- tativas emocionales, económicas y familiares que unos y otros construye- ron durante la separación y que pueden facilitar o dificultar el retomar las relaciones materno/paterno filiales, que pasan por un nuevo proceso de reconfiguración de roles y recomposición de arreglos familiares respecto al</w:t>
      </w:r>
      <w:r>
        <w:rPr>
          <w:color w:val="231F20"/>
          <w:spacing w:val="-5"/>
        </w:rPr>
        <w:t> </w:t>
      </w:r>
      <w:r>
        <w:rPr>
          <w:color w:val="231F20"/>
        </w:rPr>
        <w:t>cuidado,</w:t>
      </w:r>
      <w:r>
        <w:rPr>
          <w:color w:val="231F20"/>
          <w:spacing w:val="-5"/>
        </w:rPr>
        <w:t> </w:t>
      </w:r>
      <w:r>
        <w:rPr>
          <w:color w:val="231F20"/>
        </w:rPr>
        <w:t>al</w:t>
      </w:r>
      <w:r>
        <w:rPr>
          <w:color w:val="231F20"/>
          <w:spacing w:val="-5"/>
        </w:rPr>
        <w:t> </w:t>
      </w:r>
      <w:r>
        <w:rPr>
          <w:color w:val="231F20"/>
        </w:rPr>
        <w:t>ejercicio</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autoridad</w:t>
      </w:r>
      <w:r>
        <w:rPr>
          <w:color w:val="231F20"/>
          <w:spacing w:val="-6"/>
        </w:rPr>
        <w:t> </w:t>
      </w:r>
      <w:r>
        <w:rPr>
          <w:color w:val="231F20"/>
        </w:rPr>
        <w:t>y</w:t>
      </w:r>
      <w:r>
        <w:rPr>
          <w:color w:val="231F20"/>
          <w:spacing w:val="-5"/>
        </w:rPr>
        <w:t> </w:t>
      </w:r>
      <w:r>
        <w:rPr>
          <w:color w:val="231F20"/>
        </w:rPr>
        <w:t>el</w:t>
      </w:r>
      <w:r>
        <w:rPr>
          <w:color w:val="231F20"/>
          <w:spacing w:val="-5"/>
        </w:rPr>
        <w:t> </w:t>
      </w:r>
      <w:r>
        <w:rPr>
          <w:color w:val="231F20"/>
        </w:rPr>
        <w:t>afecto,</w:t>
      </w:r>
      <w:r>
        <w:rPr>
          <w:color w:val="231F20"/>
          <w:spacing w:val="-5"/>
        </w:rPr>
        <w:t> </w:t>
      </w:r>
      <w:r>
        <w:rPr>
          <w:color w:val="231F20"/>
        </w:rPr>
        <w:t>tal</w:t>
      </w:r>
      <w:r>
        <w:rPr>
          <w:color w:val="231F20"/>
          <w:spacing w:val="-5"/>
        </w:rPr>
        <w:t> </w:t>
      </w:r>
      <w:r>
        <w:rPr>
          <w:color w:val="231F20"/>
        </w:rPr>
        <w:t>como</w:t>
      </w:r>
      <w:r>
        <w:rPr>
          <w:color w:val="231F20"/>
          <w:spacing w:val="-5"/>
        </w:rPr>
        <w:t> </w:t>
      </w:r>
      <w:r>
        <w:rPr>
          <w:color w:val="231F20"/>
        </w:rPr>
        <w:t>había</w:t>
      </w:r>
      <w:r>
        <w:rPr>
          <w:color w:val="231F20"/>
          <w:spacing w:val="-5"/>
        </w:rPr>
        <w:t> </w:t>
      </w:r>
      <w:r>
        <w:rPr>
          <w:color w:val="231F20"/>
        </w:rPr>
        <w:t>sucedido cuando se emprendió la emigración</w:t>
      </w:r>
      <w:r>
        <w:rPr>
          <w:color w:val="231F20"/>
          <w:spacing w:val="-4"/>
        </w:rPr>
        <w:t> </w:t>
      </w:r>
      <w:r>
        <w:rPr>
          <w:color w:val="231F20"/>
        </w:rPr>
        <w:t>inicial.</w:t>
      </w:r>
    </w:p>
    <w:p>
      <w:pPr>
        <w:spacing w:after="0" w:line="247" w:lineRule="auto"/>
        <w:jc w:val="both"/>
        <w:sectPr>
          <w:pgSz w:w="9360" w:h="13040"/>
          <w:pgMar w:header="0" w:footer="496" w:top="820" w:bottom="680" w:left="1300" w:right="1300"/>
        </w:sectPr>
      </w:pPr>
    </w:p>
    <w:p>
      <w:pPr>
        <w:spacing w:before="45"/>
        <w:ind w:left="400" w:right="0" w:firstLine="1068"/>
        <w:jc w:val="left"/>
        <w:rPr>
          <w:rFonts w:ascii="Arial" w:hAnsi="Arial"/>
          <w:sz w:val="20"/>
        </w:rPr>
      </w:pPr>
      <w:r>
        <w:rPr>
          <w:rFonts w:ascii="Arial" w:hAnsi="Arial"/>
          <w:color w:val="231F20"/>
          <w:w w:val="65"/>
          <w:sz w:val="20"/>
        </w:rPr>
        <w:t>Retorno de migrantes a la Comunidad Andina /William Mejía-Ochoa y Yeim Claudia Castro</w:t>
      </w:r>
    </w:p>
    <w:p>
      <w:pPr>
        <w:pStyle w:val="BodyText"/>
        <w:spacing w:before="7"/>
        <w:rPr>
          <w:rFonts w:ascii="Arial"/>
          <w:sz w:val="28"/>
        </w:rPr>
      </w:pPr>
    </w:p>
    <w:p>
      <w:pPr>
        <w:pStyle w:val="BodyText"/>
        <w:spacing w:line="247" w:lineRule="auto"/>
        <w:ind w:left="117" w:right="114" w:firstLine="283"/>
        <w:jc w:val="both"/>
      </w:pPr>
      <w:r>
        <w:rPr>
          <w:color w:val="231F20"/>
        </w:rPr>
        <w:t>Sin embargo, ese entramado de sentimientos, imaginarios y diversas situaciones económicas, entre muchas otras circunstancias que emergen</w:t>
      </w:r>
      <w:r>
        <w:rPr>
          <w:color w:val="231F20"/>
          <w:spacing w:val="-27"/>
        </w:rPr>
        <w:t> </w:t>
      </w:r>
      <w:r>
        <w:rPr>
          <w:color w:val="231F20"/>
        </w:rPr>
        <w:t>al retornar, configuran un panorama familiar en el que aparecen como cons- tantes</w:t>
      </w:r>
      <w:r>
        <w:rPr>
          <w:color w:val="231F20"/>
          <w:spacing w:val="-10"/>
        </w:rPr>
        <w:t> </w:t>
      </w:r>
      <w:r>
        <w:rPr>
          <w:color w:val="231F20"/>
        </w:rPr>
        <w:t>los</w:t>
      </w:r>
      <w:r>
        <w:rPr>
          <w:color w:val="231F20"/>
          <w:spacing w:val="-9"/>
        </w:rPr>
        <w:t> </w:t>
      </w:r>
      <w:r>
        <w:rPr>
          <w:color w:val="231F20"/>
        </w:rPr>
        <w:t>sentimientos</w:t>
      </w:r>
      <w:r>
        <w:rPr>
          <w:color w:val="231F20"/>
          <w:spacing w:val="-10"/>
        </w:rPr>
        <w:t> </w:t>
      </w:r>
      <w:r>
        <w:rPr>
          <w:color w:val="231F20"/>
        </w:rPr>
        <w:t>de</w:t>
      </w:r>
      <w:r>
        <w:rPr>
          <w:color w:val="231F20"/>
          <w:spacing w:val="-9"/>
        </w:rPr>
        <w:t> </w:t>
      </w:r>
      <w:r>
        <w:rPr>
          <w:color w:val="231F20"/>
        </w:rPr>
        <w:t>culpa,</w:t>
      </w:r>
      <w:r>
        <w:rPr>
          <w:color w:val="231F20"/>
          <w:spacing w:val="-9"/>
        </w:rPr>
        <w:t> </w:t>
      </w:r>
      <w:r>
        <w:rPr>
          <w:color w:val="231F20"/>
        </w:rPr>
        <w:t>los</w:t>
      </w:r>
      <w:r>
        <w:rPr>
          <w:color w:val="231F20"/>
          <w:spacing w:val="-9"/>
        </w:rPr>
        <w:t> </w:t>
      </w:r>
      <w:r>
        <w:rPr>
          <w:color w:val="231F20"/>
        </w:rPr>
        <w:t>miedos,</w:t>
      </w:r>
      <w:r>
        <w:rPr>
          <w:color w:val="231F20"/>
          <w:spacing w:val="-10"/>
        </w:rPr>
        <w:t> </w:t>
      </w:r>
      <w:r>
        <w:rPr>
          <w:color w:val="231F20"/>
        </w:rPr>
        <w:t>la</w:t>
      </w:r>
      <w:r>
        <w:rPr>
          <w:color w:val="231F20"/>
          <w:spacing w:val="-9"/>
        </w:rPr>
        <w:t> </w:t>
      </w:r>
      <w:r>
        <w:rPr>
          <w:color w:val="231F20"/>
        </w:rPr>
        <w:t>confrontación</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modos de crianza, entre otros cotejos, con particularidades definidas por las dife- rencias nacionales y aún locales en términos de construcciones de identi- dades y relaciones de género.</w:t>
      </w:r>
    </w:p>
    <w:p>
      <w:pPr>
        <w:spacing w:before="149"/>
        <w:ind w:left="117" w:right="0" w:firstLine="0"/>
        <w:jc w:val="both"/>
        <w:rPr>
          <w:i/>
          <w:sz w:val="22"/>
        </w:rPr>
      </w:pPr>
      <w:r>
        <w:rPr>
          <w:i/>
          <w:color w:val="231F20"/>
          <w:sz w:val="22"/>
        </w:rPr>
        <w:t>Readaptación social y cultural</w:t>
      </w:r>
    </w:p>
    <w:p>
      <w:pPr>
        <w:pStyle w:val="BodyText"/>
        <w:spacing w:line="247" w:lineRule="auto" w:before="177"/>
        <w:ind w:left="117" w:right="114"/>
        <w:jc w:val="both"/>
      </w:pPr>
      <w:r>
        <w:rPr>
          <w:color w:val="231F20"/>
        </w:rPr>
        <w:t>La inserción del migrante depende, en buena medida, de cuáles sean sus aptitudes personales, así como de los contactos y relaciones con las que cuenta en su primera etapa de retorno (familiares, amigos, conocidos). En la</w:t>
      </w:r>
      <w:r>
        <w:rPr>
          <w:color w:val="231F20"/>
          <w:spacing w:val="-5"/>
        </w:rPr>
        <w:t> </w:t>
      </w:r>
      <w:r>
        <w:rPr>
          <w:color w:val="231F20"/>
        </w:rPr>
        <w:t>mayoría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historias</w:t>
      </w:r>
      <w:r>
        <w:rPr>
          <w:color w:val="231F20"/>
          <w:spacing w:val="-5"/>
        </w:rPr>
        <w:t> </w:t>
      </w:r>
      <w:r>
        <w:rPr>
          <w:color w:val="231F20"/>
        </w:rPr>
        <w:t>resulta</w:t>
      </w:r>
      <w:r>
        <w:rPr>
          <w:color w:val="231F20"/>
          <w:spacing w:val="-5"/>
        </w:rPr>
        <w:t> </w:t>
      </w:r>
      <w:r>
        <w:rPr>
          <w:color w:val="231F20"/>
        </w:rPr>
        <w:t>decisivo</w:t>
      </w:r>
      <w:r>
        <w:rPr>
          <w:color w:val="231F20"/>
          <w:spacing w:val="-5"/>
        </w:rPr>
        <w:t> </w:t>
      </w:r>
      <w:r>
        <w:rPr>
          <w:color w:val="231F20"/>
        </w:rPr>
        <w:t>el</w:t>
      </w:r>
      <w:r>
        <w:rPr>
          <w:color w:val="231F20"/>
          <w:spacing w:val="-5"/>
        </w:rPr>
        <w:t> </w:t>
      </w:r>
      <w:r>
        <w:rPr>
          <w:color w:val="231F20"/>
        </w:rPr>
        <w:t>ámbito</w:t>
      </w:r>
      <w:r>
        <w:rPr>
          <w:color w:val="231F20"/>
          <w:spacing w:val="-5"/>
        </w:rPr>
        <w:t> </w:t>
      </w:r>
      <w:r>
        <w:rPr>
          <w:color w:val="231F20"/>
        </w:rPr>
        <w:t>familiar</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prime- ros meses, pero, una vez se supera este umbral, las expectativas se extien- den hacia otros escenarios sociales, en los que el retornado espera retomar otros lazos dejados al partir y poner en marcha sus iniciativas económicas para el sustento. </w:t>
      </w:r>
      <w:r>
        <w:rPr>
          <w:color w:val="231F20"/>
          <w:spacing w:val="-4"/>
        </w:rPr>
        <w:t>Todas </w:t>
      </w:r>
      <w:r>
        <w:rPr>
          <w:color w:val="231F20"/>
        </w:rPr>
        <w:t>estas interacciones pueden facilitar la readaptación o, por el contrario, hacer más complejo el proceso. A continuación se des- cribirán hechos que impactan o determinan los procesos de reacomodo social de esta</w:t>
      </w:r>
      <w:r>
        <w:rPr>
          <w:color w:val="231F20"/>
          <w:spacing w:val="-6"/>
        </w:rPr>
        <w:t> </w:t>
      </w:r>
      <w:r>
        <w:rPr>
          <w:color w:val="231F20"/>
        </w:rPr>
        <w:t>población.</w:t>
      </w:r>
    </w:p>
    <w:p>
      <w:pPr>
        <w:pStyle w:val="BodyText"/>
        <w:spacing w:line="247" w:lineRule="auto"/>
        <w:ind w:left="117" w:right="114" w:firstLine="283"/>
        <w:jc w:val="both"/>
      </w:pPr>
      <w:r>
        <w:rPr>
          <w:color w:val="231F20"/>
        </w:rPr>
        <w:t>Los</w:t>
      </w:r>
      <w:r>
        <w:rPr>
          <w:color w:val="231F20"/>
          <w:spacing w:val="-5"/>
        </w:rPr>
        <w:t> </w:t>
      </w:r>
      <w:r>
        <w:rPr>
          <w:color w:val="231F20"/>
        </w:rPr>
        <w:t>procesos</w:t>
      </w:r>
      <w:r>
        <w:rPr>
          <w:color w:val="231F20"/>
          <w:spacing w:val="-5"/>
        </w:rPr>
        <w:t> </w:t>
      </w:r>
      <w:r>
        <w:rPr>
          <w:color w:val="231F20"/>
        </w:rPr>
        <w:t>de</w:t>
      </w:r>
      <w:r>
        <w:rPr>
          <w:color w:val="231F20"/>
          <w:spacing w:val="-5"/>
        </w:rPr>
        <w:t> </w:t>
      </w:r>
      <w:r>
        <w:rPr>
          <w:color w:val="231F20"/>
        </w:rPr>
        <w:t>reconfiguración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identidad</w:t>
      </w:r>
      <w:r>
        <w:rPr>
          <w:color w:val="231F20"/>
          <w:spacing w:val="-5"/>
        </w:rPr>
        <w:t> </w:t>
      </w:r>
      <w:r>
        <w:rPr>
          <w:color w:val="231F20"/>
        </w:rPr>
        <w:t>se</w:t>
      </w:r>
      <w:r>
        <w:rPr>
          <w:color w:val="231F20"/>
          <w:spacing w:val="-5"/>
        </w:rPr>
        <w:t> </w:t>
      </w:r>
      <w:r>
        <w:rPr>
          <w:color w:val="231F20"/>
        </w:rPr>
        <w:t>llevan</w:t>
      </w:r>
      <w:r>
        <w:rPr>
          <w:color w:val="231F20"/>
          <w:spacing w:val="-5"/>
        </w:rPr>
        <w:t> </w:t>
      </w:r>
      <w:r>
        <w:rPr>
          <w:color w:val="231F20"/>
        </w:rPr>
        <w:t>a</w:t>
      </w:r>
      <w:r>
        <w:rPr>
          <w:color w:val="231F20"/>
          <w:spacing w:val="-5"/>
        </w:rPr>
        <w:t> </w:t>
      </w:r>
      <w:r>
        <w:rPr>
          <w:color w:val="231F20"/>
        </w:rPr>
        <w:t>cabo</w:t>
      </w:r>
      <w:r>
        <w:rPr>
          <w:color w:val="231F20"/>
          <w:spacing w:val="-5"/>
        </w:rPr>
        <w:t> </w:t>
      </w:r>
      <w:r>
        <w:rPr>
          <w:color w:val="231F20"/>
        </w:rPr>
        <w:t>dentro de</w:t>
      </w:r>
      <w:r>
        <w:rPr>
          <w:color w:val="231F20"/>
          <w:spacing w:val="-16"/>
        </w:rPr>
        <w:t> </w:t>
      </w:r>
      <w:r>
        <w:rPr>
          <w:color w:val="231F20"/>
        </w:rPr>
        <w:t>los</w:t>
      </w:r>
      <w:r>
        <w:rPr>
          <w:color w:val="231F20"/>
          <w:spacing w:val="-16"/>
        </w:rPr>
        <w:t> </w:t>
      </w:r>
      <w:r>
        <w:rPr>
          <w:color w:val="231F20"/>
        </w:rPr>
        <w:t>diversos</w:t>
      </w:r>
      <w:r>
        <w:rPr>
          <w:color w:val="231F20"/>
          <w:spacing w:val="-16"/>
        </w:rPr>
        <w:t> </w:t>
      </w:r>
      <w:r>
        <w:rPr>
          <w:color w:val="231F20"/>
        </w:rPr>
        <w:t>espacios</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retornado</w:t>
      </w:r>
      <w:r>
        <w:rPr>
          <w:color w:val="231F20"/>
          <w:spacing w:val="-16"/>
        </w:rPr>
        <w:t> </w:t>
      </w:r>
      <w:r>
        <w:rPr>
          <w:color w:val="231F20"/>
        </w:rPr>
        <w:t>interactúa</w:t>
      </w:r>
      <w:r>
        <w:rPr>
          <w:color w:val="231F20"/>
          <w:spacing w:val="-16"/>
        </w:rPr>
        <w:t> </w:t>
      </w:r>
      <w:r>
        <w:rPr>
          <w:color w:val="231F20"/>
        </w:rPr>
        <w:t>en</w:t>
      </w:r>
      <w:r>
        <w:rPr>
          <w:color w:val="231F20"/>
          <w:spacing w:val="-16"/>
        </w:rPr>
        <w:t> </w:t>
      </w:r>
      <w:r>
        <w:rPr>
          <w:color w:val="231F20"/>
        </w:rPr>
        <w:t>su</w:t>
      </w:r>
      <w:r>
        <w:rPr>
          <w:color w:val="231F20"/>
          <w:spacing w:val="-16"/>
        </w:rPr>
        <w:t> </w:t>
      </w:r>
      <w:r>
        <w:rPr>
          <w:color w:val="231F20"/>
        </w:rPr>
        <w:t>comunidad, al pretender integrarse en la cotidianidad del lugar, donde los individuos establecen relaciones para reproducir y producir significados y prácticas socio-culturales.</w:t>
      </w:r>
      <w:r>
        <w:rPr>
          <w:color w:val="231F20"/>
          <w:spacing w:val="-13"/>
        </w:rPr>
        <w:t> </w:t>
      </w:r>
      <w:r>
        <w:rPr>
          <w:color w:val="231F20"/>
        </w:rPr>
        <w:t>En</w:t>
      </w:r>
      <w:r>
        <w:rPr>
          <w:color w:val="231F20"/>
          <w:spacing w:val="-14"/>
        </w:rPr>
        <w:t> </w:t>
      </w:r>
      <w:r>
        <w:rPr>
          <w:color w:val="231F20"/>
        </w:rPr>
        <w:t>ese</w:t>
      </w:r>
      <w:r>
        <w:rPr>
          <w:color w:val="231F20"/>
          <w:spacing w:val="-14"/>
        </w:rPr>
        <w:t> </w:t>
      </w:r>
      <w:r>
        <w:rPr>
          <w:color w:val="231F20"/>
        </w:rPr>
        <w:t>sentido,</w:t>
      </w:r>
      <w:r>
        <w:rPr>
          <w:color w:val="231F20"/>
          <w:spacing w:val="-13"/>
        </w:rPr>
        <w:t> </w:t>
      </w:r>
      <w:r>
        <w:rPr>
          <w:color w:val="231F20"/>
        </w:rPr>
        <w:t>los</w:t>
      </w:r>
      <w:r>
        <w:rPr>
          <w:color w:val="231F20"/>
          <w:spacing w:val="-14"/>
        </w:rPr>
        <w:t> </w:t>
      </w:r>
      <w:r>
        <w:rPr>
          <w:color w:val="231F20"/>
        </w:rPr>
        <w:t>ex</w:t>
      </w:r>
      <w:r>
        <w:rPr>
          <w:color w:val="231F20"/>
          <w:spacing w:val="-14"/>
        </w:rPr>
        <w:t> </w:t>
      </w:r>
      <w:r>
        <w:rPr>
          <w:color w:val="231F20"/>
        </w:rPr>
        <w:t>migrantes</w:t>
      </w:r>
      <w:r>
        <w:rPr>
          <w:color w:val="231F20"/>
          <w:spacing w:val="-14"/>
        </w:rPr>
        <w:t> </w:t>
      </w:r>
      <w:r>
        <w:rPr>
          <w:color w:val="231F20"/>
        </w:rPr>
        <w:t>utilizan</w:t>
      </w:r>
      <w:r>
        <w:rPr>
          <w:color w:val="231F20"/>
          <w:spacing w:val="-14"/>
        </w:rPr>
        <w:t> </w:t>
      </w:r>
      <w:r>
        <w:rPr>
          <w:color w:val="231F20"/>
        </w:rPr>
        <w:t>su</w:t>
      </w:r>
      <w:r>
        <w:rPr>
          <w:color w:val="231F20"/>
          <w:spacing w:val="-14"/>
        </w:rPr>
        <w:t> </w:t>
      </w:r>
      <w:r>
        <w:rPr>
          <w:color w:val="231F20"/>
        </w:rPr>
        <w:t>experiencia</w:t>
      </w:r>
      <w:r>
        <w:rPr>
          <w:color w:val="231F20"/>
          <w:spacing w:val="-14"/>
        </w:rPr>
        <w:t> </w:t>
      </w:r>
      <w:r>
        <w:rPr>
          <w:color w:val="231F20"/>
        </w:rPr>
        <w:t>de retorno para resignificar una identidad que ahora es</w:t>
      </w:r>
      <w:r>
        <w:rPr>
          <w:color w:val="231F20"/>
          <w:spacing w:val="-12"/>
        </w:rPr>
        <w:t> </w:t>
      </w:r>
      <w:r>
        <w:rPr>
          <w:color w:val="231F20"/>
        </w:rPr>
        <w:t>transnacional.</w:t>
      </w:r>
    </w:p>
    <w:p>
      <w:pPr>
        <w:pStyle w:val="Heading3"/>
      </w:pPr>
      <w:r>
        <w:rPr>
          <w:color w:val="231F20"/>
        </w:rPr>
        <w:t>Conclusiones</w:t>
      </w:r>
    </w:p>
    <w:p>
      <w:pPr>
        <w:pStyle w:val="BodyText"/>
        <w:spacing w:line="247" w:lineRule="auto" w:before="172"/>
        <w:ind w:left="117" w:right="115"/>
        <w:jc w:val="both"/>
      </w:pPr>
      <w:r>
        <w:rPr>
          <w:color w:val="231F20"/>
        </w:rPr>
        <w:t>Para comenzar, vale la pena mencionar que el análisis del retorno es una cuestión compleja, en la que dos elementos resaltan. Por un lado, se en- cuentra una discusión teórica interesada en la identificación de las</w:t>
      </w:r>
      <w:r>
        <w:rPr>
          <w:color w:val="231F20"/>
          <w:spacing w:val="-31"/>
        </w:rPr>
        <w:t> </w:t>
      </w:r>
      <w:r>
        <w:rPr>
          <w:color w:val="231F20"/>
        </w:rPr>
        <w:t>motiva- ciones detrás de los procesos de retorno, la cual está lejos de ser resuelta. Por otra parte, la escasez de información cuantitativa y la heterogeneidad característica de la poca disponible, representan serios limitantes para la evaluación de la experiencia concreta de los países andinos, pudiéndose apenas hablar de aproximaciones a la magnitud del</w:t>
      </w:r>
      <w:r>
        <w:rPr>
          <w:color w:val="231F20"/>
          <w:spacing w:val="-3"/>
        </w:rPr>
        <w:t> </w:t>
      </w:r>
      <w:r>
        <w:rPr>
          <w:color w:val="231F20"/>
        </w:rPr>
        <w:t>retorno.</w:t>
      </w:r>
    </w:p>
    <w:p>
      <w:pPr>
        <w:pStyle w:val="BodyText"/>
        <w:spacing w:line="247" w:lineRule="auto"/>
        <w:ind w:left="117" w:right="116" w:firstLine="283"/>
        <w:jc w:val="both"/>
      </w:pPr>
      <w:r>
        <w:rPr>
          <w:color w:val="231F20"/>
        </w:rPr>
        <w:t>A partir del surgimiento de la crisis financiera internacional, hicieron carrera</w:t>
      </w:r>
      <w:r>
        <w:rPr>
          <w:color w:val="231F20"/>
          <w:spacing w:val="-5"/>
        </w:rPr>
        <w:t> </w:t>
      </w:r>
      <w:r>
        <w:rPr>
          <w:color w:val="231F20"/>
        </w:rPr>
        <w:t>las</w:t>
      </w:r>
      <w:r>
        <w:rPr>
          <w:color w:val="231F20"/>
          <w:spacing w:val="-5"/>
        </w:rPr>
        <w:t> </w:t>
      </w:r>
      <w:r>
        <w:rPr>
          <w:color w:val="231F20"/>
        </w:rPr>
        <w:t>alertas</w:t>
      </w:r>
      <w:r>
        <w:rPr>
          <w:color w:val="231F20"/>
          <w:spacing w:val="-5"/>
        </w:rPr>
        <w:t> </w:t>
      </w:r>
      <w:r>
        <w:rPr>
          <w:color w:val="231F20"/>
        </w:rPr>
        <w:t>sobre</w:t>
      </w:r>
      <w:r>
        <w:rPr>
          <w:color w:val="231F20"/>
          <w:spacing w:val="-5"/>
        </w:rPr>
        <w:t> </w:t>
      </w:r>
      <w:r>
        <w:rPr>
          <w:color w:val="231F20"/>
        </w:rPr>
        <w:t>un</w:t>
      </w:r>
      <w:r>
        <w:rPr>
          <w:color w:val="231F20"/>
          <w:spacing w:val="-5"/>
        </w:rPr>
        <w:t> </w:t>
      </w:r>
      <w:r>
        <w:rPr>
          <w:color w:val="231F20"/>
        </w:rPr>
        <w:t>supuesto</w:t>
      </w:r>
      <w:r>
        <w:rPr>
          <w:color w:val="231F20"/>
          <w:spacing w:val="-4"/>
        </w:rPr>
        <w:t> </w:t>
      </w:r>
      <w:r>
        <w:rPr>
          <w:color w:val="231F20"/>
        </w:rPr>
        <w:t>regreso</w:t>
      </w:r>
      <w:r>
        <w:rPr>
          <w:color w:val="231F20"/>
          <w:spacing w:val="-5"/>
        </w:rPr>
        <w:t> </w:t>
      </w:r>
      <w:r>
        <w:rPr>
          <w:color w:val="231F20"/>
        </w:rPr>
        <w:t>masivo</w:t>
      </w:r>
      <w:r>
        <w:rPr>
          <w:color w:val="231F20"/>
          <w:spacing w:val="-5"/>
        </w:rPr>
        <w:t> </w:t>
      </w:r>
      <w:r>
        <w:rPr>
          <w:color w:val="231F20"/>
        </w:rPr>
        <w:t>de</w:t>
      </w:r>
      <w:r>
        <w:rPr>
          <w:color w:val="231F20"/>
          <w:spacing w:val="-5"/>
        </w:rPr>
        <w:t> </w:t>
      </w:r>
      <w:r>
        <w:rPr>
          <w:color w:val="231F20"/>
        </w:rPr>
        <w:t>migrantes</w:t>
      </w:r>
      <w:r>
        <w:rPr>
          <w:color w:val="231F20"/>
          <w:spacing w:val="-5"/>
        </w:rPr>
        <w:t> </w:t>
      </w:r>
      <w:r>
        <w:rPr>
          <w:color w:val="231F20"/>
        </w:rPr>
        <w:t>andinos, que funcionarios gubernamentales, personas vinculadas a </w:t>
      </w:r>
      <w:r>
        <w:rPr>
          <w:color w:val="231F20"/>
          <w:spacing w:val="40"/>
        </w:rPr>
        <w:t> </w:t>
      </w:r>
      <w:r>
        <w:rPr>
          <w:color w:val="231F20"/>
        </w:rPr>
        <w:t>organizaciones</w:t>
      </w:r>
    </w:p>
    <w:p>
      <w:pPr>
        <w:spacing w:after="0" w:line="247" w:lineRule="auto"/>
        <w:jc w:val="both"/>
        <w:sectPr>
          <w:pgSz w:w="9360" w:h="13040"/>
          <w:pgMar w:header="0" w:footer="496" w:top="740" w:bottom="680" w:left="1300" w:right="1300"/>
        </w:sectPr>
      </w:pPr>
    </w:p>
    <w:p>
      <w:pPr>
        <w:tabs>
          <w:tab w:pos="5536" w:val="left" w:leader="none"/>
        </w:tabs>
        <w:spacing w:before="34"/>
        <w:ind w:left="117" w:right="0" w:firstLine="7"/>
        <w:jc w:val="both"/>
        <w:rPr>
          <w:sz w:val="18"/>
        </w:rPr>
      </w:pPr>
      <w:r>
        <w:rPr>
          <w:rFonts w:ascii="Arial" w:hAnsi="Arial"/>
          <w:color w:val="231F20"/>
          <w:w w:val="80"/>
          <w:position w:val="2"/>
          <w:sz w:val="20"/>
        </w:rPr>
        <w:t>Hitos</w:t>
      </w:r>
      <w:r>
        <w:rPr>
          <w:rFonts w:ascii="Arial" w:hAnsi="Arial"/>
          <w:color w:val="231F20"/>
          <w:spacing w:val="-14"/>
          <w:w w:val="80"/>
          <w:position w:val="2"/>
          <w:sz w:val="20"/>
        </w:rPr>
        <w:t> </w:t>
      </w:r>
      <w:r>
        <w:rPr>
          <w:rFonts w:ascii="Arial" w:hAnsi="Arial"/>
          <w:color w:val="231F20"/>
          <w:w w:val="80"/>
          <w:position w:val="2"/>
          <w:sz w:val="20"/>
        </w:rPr>
        <w:t>Demográficos</w:t>
      </w:r>
      <w:r>
        <w:rPr>
          <w:rFonts w:ascii="Arial" w:hAnsi="Arial"/>
          <w:color w:val="231F20"/>
          <w:spacing w:val="-14"/>
          <w:w w:val="80"/>
          <w:position w:val="2"/>
          <w:sz w:val="20"/>
        </w:rPr>
        <w:t> </w:t>
      </w:r>
      <w:r>
        <w:rPr>
          <w:rFonts w:ascii="Arial" w:hAnsi="Arial"/>
          <w:color w:val="231F20"/>
          <w:w w:val="80"/>
          <w:position w:val="2"/>
          <w:sz w:val="20"/>
        </w:rPr>
        <w:t>del</w:t>
      </w:r>
      <w:r>
        <w:rPr>
          <w:rFonts w:ascii="Arial" w:hAnsi="Arial"/>
          <w:color w:val="231F20"/>
          <w:spacing w:val="-14"/>
          <w:w w:val="80"/>
          <w:position w:val="2"/>
          <w:sz w:val="20"/>
        </w:rPr>
        <w:t> </w:t>
      </w:r>
      <w:r>
        <w:rPr>
          <w:rFonts w:ascii="Arial" w:hAnsi="Arial"/>
          <w:color w:val="231F20"/>
          <w:w w:val="80"/>
          <w:position w:val="2"/>
          <w:sz w:val="20"/>
        </w:rPr>
        <w:t>Siglo</w:t>
      </w:r>
      <w:r>
        <w:rPr>
          <w:rFonts w:ascii="Arial" w:hAnsi="Arial"/>
          <w:color w:val="231F20"/>
          <w:spacing w:val="-14"/>
          <w:w w:val="80"/>
          <w:position w:val="2"/>
          <w:sz w:val="20"/>
        </w:rPr>
        <w:t> </w:t>
      </w:r>
      <w:r>
        <w:rPr>
          <w:rFonts w:ascii="Arial" w:hAnsi="Arial"/>
          <w:color w:val="231F20"/>
          <w:w w:val="80"/>
          <w:position w:val="2"/>
          <w:sz w:val="20"/>
        </w:rPr>
        <w:t>XXI:</w:t>
      </w:r>
      <w:r>
        <w:rPr>
          <w:rFonts w:ascii="Arial" w:hAnsi="Arial"/>
          <w:color w:val="231F20"/>
          <w:spacing w:val="-14"/>
          <w:w w:val="80"/>
          <w:position w:val="2"/>
          <w:sz w:val="20"/>
        </w:rPr>
        <w:t> </w:t>
      </w:r>
      <w:r>
        <w:rPr>
          <w:rFonts w:ascii="Arial" w:hAnsi="Arial"/>
          <w:color w:val="231F20"/>
          <w:w w:val="80"/>
          <w:position w:val="2"/>
          <w:sz w:val="20"/>
        </w:rPr>
        <w:t>Migración</w:t>
      </w:r>
      <w:r>
        <w:rPr>
          <w:rFonts w:ascii="Arial" w:hAnsi="Arial"/>
          <w:color w:val="231F20"/>
          <w:spacing w:val="-14"/>
          <w:w w:val="80"/>
          <w:position w:val="2"/>
          <w:sz w:val="20"/>
        </w:rPr>
        <w:t> </w:t>
      </w:r>
      <w:r>
        <w:rPr>
          <w:rFonts w:ascii="Arial" w:hAnsi="Arial"/>
          <w:color w:val="231F20"/>
          <w:w w:val="80"/>
          <w:position w:val="2"/>
          <w:sz w:val="20"/>
        </w:rPr>
        <w:t>Internacional</w:t>
        <w:tab/>
      </w:r>
      <w:r>
        <w:rPr>
          <w:color w:val="231F20"/>
          <w:w w:val="90"/>
          <w:sz w:val="18"/>
        </w:rPr>
        <w:t>CIEAP/UAEM</w:t>
      </w:r>
    </w:p>
    <w:p>
      <w:pPr>
        <w:pStyle w:val="BodyText"/>
        <w:spacing w:before="2"/>
        <w:rPr>
          <w:sz w:val="21"/>
        </w:rPr>
      </w:pPr>
    </w:p>
    <w:p>
      <w:pPr>
        <w:pStyle w:val="BodyText"/>
        <w:spacing w:line="247" w:lineRule="auto"/>
        <w:ind w:left="117" w:right="115"/>
        <w:jc w:val="both"/>
      </w:pPr>
      <w:r>
        <w:rPr>
          <w:color w:val="231F20"/>
        </w:rPr>
        <w:t>relacionadas con el tema migratorio y periodistas, suponían debía ser una consecuencia “lógica” de la misma, guiados por razonamientos elementa- les y aparentemente irrebatibles de la siguiente laya: la gente emigra bus- cando trabajo, la crisis genera desempleo, en consecuencia los migrantes deben retornar. Tal situación, que, en efecto, implicó a algunas personas, significaría adicionalmente consecuencias como un incremento significa- tivo del desempleo en los países de origen, ocasionado por las oleadas de retornantes y complicado por la “desaparición” de las remesas.</w:t>
      </w:r>
    </w:p>
    <w:p>
      <w:pPr>
        <w:pStyle w:val="BodyText"/>
        <w:spacing w:line="247" w:lineRule="auto"/>
        <w:ind w:left="117" w:right="114" w:firstLine="283"/>
        <w:jc w:val="both"/>
      </w:pPr>
      <w:r>
        <w:rPr>
          <w:color w:val="231F20"/>
        </w:rPr>
        <w:t>Aunque la mayor parte de los datos disponibles evidencia incrementos del regreso de migrantes, no permite hablar de movimientos masivos en  el último lustro, donde se centró el análisis, aunque sí se observan reduc- ciones significativas de la emigración de andinos a países como España    y Estados Unidos. Como consecuencia y a pesar de las particularidades  de los colectivos nacionales de migrantes, en términos generales es posi- ble observar, a partir de 2008, un descenso medianamente importante, o cuando menos una estabilización del número de ciudadanos de los países andinos en las principales naciones de</w:t>
      </w:r>
      <w:r>
        <w:rPr>
          <w:color w:val="231F20"/>
          <w:spacing w:val="-3"/>
        </w:rPr>
        <w:t> </w:t>
      </w:r>
      <w:r>
        <w:rPr>
          <w:color w:val="231F20"/>
        </w:rPr>
        <w:t>destino.</w:t>
      </w:r>
    </w:p>
    <w:p>
      <w:pPr>
        <w:pStyle w:val="BodyText"/>
        <w:spacing w:line="247" w:lineRule="auto"/>
        <w:ind w:left="117" w:right="114" w:firstLine="283"/>
        <w:jc w:val="both"/>
      </w:pPr>
      <w:r>
        <w:rPr>
          <w:color w:val="231F20"/>
        </w:rPr>
        <w:t>De</w:t>
      </w:r>
      <w:r>
        <w:rPr>
          <w:color w:val="231F20"/>
          <w:spacing w:val="-9"/>
        </w:rPr>
        <w:t> </w:t>
      </w:r>
      <w:r>
        <w:rPr>
          <w:color w:val="231F20"/>
        </w:rPr>
        <w:t>otro</w:t>
      </w:r>
      <w:r>
        <w:rPr>
          <w:color w:val="231F20"/>
          <w:spacing w:val="-9"/>
        </w:rPr>
        <w:t> </w:t>
      </w:r>
      <w:r>
        <w:rPr>
          <w:color w:val="231F20"/>
        </w:rPr>
        <w:t>lado,</w:t>
      </w:r>
      <w:r>
        <w:rPr>
          <w:color w:val="231F20"/>
          <w:spacing w:val="-9"/>
        </w:rPr>
        <w:t> </w:t>
      </w:r>
      <w:r>
        <w:rPr>
          <w:color w:val="231F20"/>
        </w:rPr>
        <w:t>los</w:t>
      </w:r>
      <w:r>
        <w:rPr>
          <w:color w:val="231F20"/>
          <w:spacing w:val="-9"/>
        </w:rPr>
        <w:t> </w:t>
      </w:r>
      <w:r>
        <w:rPr>
          <w:color w:val="231F20"/>
        </w:rPr>
        <w:t>datos</w:t>
      </w:r>
      <w:r>
        <w:rPr>
          <w:color w:val="231F20"/>
          <w:spacing w:val="-9"/>
        </w:rPr>
        <w:t> </w:t>
      </w:r>
      <w:r>
        <w:rPr>
          <w:color w:val="231F20"/>
        </w:rPr>
        <w:t>ponen</w:t>
      </w:r>
      <w:r>
        <w:rPr>
          <w:color w:val="231F20"/>
          <w:spacing w:val="-9"/>
        </w:rPr>
        <w:t> </w:t>
      </w:r>
      <w:r>
        <w:rPr>
          <w:color w:val="231F20"/>
        </w:rPr>
        <w:t>en</w:t>
      </w:r>
      <w:r>
        <w:rPr>
          <w:color w:val="231F20"/>
          <w:spacing w:val="-9"/>
        </w:rPr>
        <w:t> </w:t>
      </w:r>
      <w:r>
        <w:rPr>
          <w:color w:val="231F20"/>
        </w:rPr>
        <w:t>evidencia</w:t>
      </w:r>
      <w:r>
        <w:rPr>
          <w:color w:val="231F20"/>
          <w:spacing w:val="-9"/>
        </w:rPr>
        <w:t> </w:t>
      </w:r>
      <w:r>
        <w:rPr>
          <w:color w:val="231F20"/>
        </w:rPr>
        <w:t>la</w:t>
      </w:r>
      <w:r>
        <w:rPr>
          <w:color w:val="231F20"/>
          <w:spacing w:val="-9"/>
        </w:rPr>
        <w:t> </w:t>
      </w:r>
      <w:r>
        <w:rPr>
          <w:color w:val="231F20"/>
        </w:rPr>
        <w:t>importancia</w:t>
      </w:r>
      <w:r>
        <w:rPr>
          <w:color w:val="231F20"/>
          <w:spacing w:val="-9"/>
        </w:rPr>
        <w:t> </w:t>
      </w:r>
      <w:r>
        <w:rPr>
          <w:color w:val="231F20"/>
        </w:rPr>
        <w:t>del</w:t>
      </w:r>
      <w:r>
        <w:rPr>
          <w:color w:val="231F20"/>
          <w:spacing w:val="-9"/>
        </w:rPr>
        <w:t> </w:t>
      </w:r>
      <w:r>
        <w:rPr>
          <w:color w:val="231F20"/>
        </w:rPr>
        <w:t>arraigo</w:t>
      </w:r>
      <w:r>
        <w:rPr>
          <w:color w:val="231F20"/>
          <w:spacing w:val="-9"/>
        </w:rPr>
        <w:t> </w:t>
      </w:r>
      <w:r>
        <w:rPr>
          <w:color w:val="231F20"/>
        </w:rPr>
        <w:t>en los proyectos de retorno. El retorno no sería, necesariamente, el fin último del hecho migratorio; los migrantes van generando ataduras a su destino, las cuales explicarían en parte la decisión de permanecer o regresar a sus países de origen.</w:t>
      </w:r>
    </w:p>
    <w:p>
      <w:pPr>
        <w:pStyle w:val="BodyText"/>
        <w:spacing w:line="247" w:lineRule="auto"/>
        <w:ind w:left="117" w:right="114" w:firstLine="283"/>
        <w:jc w:val="both"/>
      </w:pPr>
      <w:r>
        <w:rPr>
          <w:color w:val="231F20"/>
        </w:rPr>
        <w:t>El estatus migratorio aparece con papeles ambivalentes en los</w:t>
      </w:r>
      <w:r>
        <w:rPr>
          <w:color w:val="231F20"/>
          <w:spacing w:val="-31"/>
        </w:rPr>
        <w:t> </w:t>
      </w:r>
      <w:r>
        <w:rPr>
          <w:color w:val="231F20"/>
        </w:rPr>
        <w:t>procesos de retorno. La nacionalización, por ejemplo, mientras para unos significa una mejor posibilidad de capear la crisis en destino, para otros representa cierto</w:t>
      </w:r>
      <w:r>
        <w:rPr>
          <w:color w:val="231F20"/>
          <w:spacing w:val="-8"/>
        </w:rPr>
        <w:t> </w:t>
      </w:r>
      <w:r>
        <w:rPr>
          <w:color w:val="231F20"/>
        </w:rPr>
        <w:t>tipo</w:t>
      </w:r>
      <w:r>
        <w:rPr>
          <w:color w:val="231F20"/>
          <w:spacing w:val="-8"/>
        </w:rPr>
        <w:t> </w:t>
      </w:r>
      <w:r>
        <w:rPr>
          <w:color w:val="231F20"/>
        </w:rPr>
        <w:t>de</w:t>
      </w:r>
      <w:r>
        <w:rPr>
          <w:color w:val="231F20"/>
          <w:spacing w:val="-7"/>
        </w:rPr>
        <w:t> </w:t>
      </w:r>
      <w:r>
        <w:rPr>
          <w:color w:val="231F20"/>
        </w:rPr>
        <w:t>seguro,</w:t>
      </w:r>
      <w:r>
        <w:rPr>
          <w:color w:val="231F20"/>
          <w:spacing w:val="-7"/>
        </w:rPr>
        <w:t> </w:t>
      </w:r>
      <w:r>
        <w:rPr>
          <w:color w:val="231F20"/>
        </w:rPr>
        <w:t>que</w:t>
      </w:r>
      <w:r>
        <w:rPr>
          <w:color w:val="231F20"/>
          <w:spacing w:val="-7"/>
        </w:rPr>
        <w:t> </w:t>
      </w:r>
      <w:r>
        <w:rPr>
          <w:color w:val="231F20"/>
        </w:rPr>
        <w:t>permite</w:t>
      </w:r>
      <w:r>
        <w:rPr>
          <w:color w:val="231F20"/>
          <w:spacing w:val="-7"/>
        </w:rPr>
        <w:t> </w:t>
      </w:r>
      <w:r>
        <w:rPr>
          <w:color w:val="231F20"/>
        </w:rPr>
        <w:t>retornar</w:t>
      </w:r>
      <w:r>
        <w:rPr>
          <w:color w:val="231F20"/>
          <w:spacing w:val="-8"/>
        </w:rPr>
        <w:t> </w:t>
      </w:r>
      <w:r>
        <w:rPr>
          <w:color w:val="231F20"/>
        </w:rPr>
        <w:t>temporalmente</w:t>
      </w:r>
      <w:r>
        <w:rPr>
          <w:color w:val="231F20"/>
          <w:spacing w:val="-8"/>
        </w:rPr>
        <w:t> </w:t>
      </w:r>
      <w:r>
        <w:rPr>
          <w:color w:val="231F20"/>
        </w:rPr>
        <w:t>y</w:t>
      </w:r>
      <w:r>
        <w:rPr>
          <w:color w:val="231F20"/>
          <w:spacing w:val="-7"/>
        </w:rPr>
        <w:t> </w:t>
      </w:r>
      <w:r>
        <w:rPr>
          <w:color w:val="231F20"/>
        </w:rPr>
        <w:t>regresar</w:t>
      </w:r>
      <w:r>
        <w:rPr>
          <w:color w:val="231F20"/>
          <w:spacing w:val="-7"/>
        </w:rPr>
        <w:t> </w:t>
      </w:r>
      <w:r>
        <w:rPr>
          <w:color w:val="231F20"/>
        </w:rPr>
        <w:t>a</w:t>
      </w:r>
      <w:r>
        <w:rPr>
          <w:color w:val="231F20"/>
          <w:spacing w:val="-7"/>
        </w:rPr>
        <w:t> </w:t>
      </w:r>
      <w:r>
        <w:rPr>
          <w:color w:val="231F20"/>
        </w:rPr>
        <w:t>des- tino cuando las condiciones económicas allá lo posibiliten. Por otra parte, la</w:t>
      </w:r>
      <w:r>
        <w:rPr>
          <w:color w:val="231F20"/>
          <w:spacing w:val="-7"/>
        </w:rPr>
        <w:t> </w:t>
      </w:r>
      <w:r>
        <w:rPr>
          <w:color w:val="231F20"/>
        </w:rPr>
        <w:t>irregularidad,</w:t>
      </w:r>
      <w:r>
        <w:rPr>
          <w:color w:val="231F20"/>
          <w:spacing w:val="-8"/>
        </w:rPr>
        <w:t> </w:t>
      </w:r>
      <w:r>
        <w:rPr>
          <w:color w:val="231F20"/>
        </w:rPr>
        <w:t>que</w:t>
      </w:r>
      <w:r>
        <w:rPr>
          <w:color w:val="231F20"/>
          <w:spacing w:val="-7"/>
        </w:rPr>
        <w:t> </w:t>
      </w:r>
      <w:r>
        <w:rPr>
          <w:color w:val="231F20"/>
        </w:rPr>
        <w:t>constituye</w:t>
      </w:r>
      <w:r>
        <w:rPr>
          <w:color w:val="231F20"/>
          <w:spacing w:val="-7"/>
        </w:rPr>
        <w:t> </w:t>
      </w:r>
      <w:r>
        <w:rPr>
          <w:color w:val="231F20"/>
        </w:rPr>
        <w:t>causa</w:t>
      </w:r>
      <w:r>
        <w:rPr>
          <w:color w:val="231F20"/>
          <w:spacing w:val="-8"/>
        </w:rPr>
        <w:t> </w:t>
      </w:r>
      <w:r>
        <w:rPr>
          <w:color w:val="231F20"/>
        </w:rPr>
        <w:t>de</w:t>
      </w:r>
      <w:r>
        <w:rPr>
          <w:color w:val="231F20"/>
          <w:spacing w:val="-7"/>
        </w:rPr>
        <w:t> </w:t>
      </w:r>
      <w:r>
        <w:rPr>
          <w:color w:val="231F20"/>
        </w:rPr>
        <w:t>retornos</w:t>
      </w:r>
      <w:r>
        <w:rPr>
          <w:color w:val="231F20"/>
          <w:spacing w:val="-7"/>
        </w:rPr>
        <w:t> </w:t>
      </w:r>
      <w:r>
        <w:rPr>
          <w:color w:val="231F20"/>
        </w:rPr>
        <w:t>forzados</w:t>
      </w:r>
      <w:r>
        <w:rPr>
          <w:color w:val="231F20"/>
          <w:spacing w:val="-7"/>
        </w:rPr>
        <w:t> </w:t>
      </w:r>
      <w:r>
        <w:rPr>
          <w:color w:val="231F20"/>
        </w:rPr>
        <w:t>y</w:t>
      </w:r>
      <w:r>
        <w:rPr>
          <w:color w:val="231F20"/>
          <w:spacing w:val="-7"/>
        </w:rPr>
        <w:t> </w:t>
      </w:r>
      <w:r>
        <w:rPr>
          <w:color w:val="231F20"/>
        </w:rPr>
        <w:t>deportaciones (en menor proporción de la que se cree) para otros migrantes constituye el mayor motivo de retención en destino, ante el temor a perder la inversión hecha para migrar o a no poder volver en caso de</w:t>
      </w:r>
      <w:r>
        <w:rPr>
          <w:color w:val="231F20"/>
          <w:spacing w:val="-3"/>
        </w:rPr>
        <w:t> </w:t>
      </w:r>
      <w:r>
        <w:rPr>
          <w:color w:val="231F20"/>
        </w:rPr>
        <w:t>retorno.</w:t>
      </w:r>
    </w:p>
    <w:p>
      <w:pPr>
        <w:pStyle w:val="BodyText"/>
        <w:spacing w:line="247" w:lineRule="auto"/>
        <w:ind w:left="117" w:right="115" w:firstLine="283"/>
        <w:jc w:val="both"/>
      </w:pPr>
      <w:r>
        <w:rPr>
          <w:color w:val="231F20"/>
        </w:rPr>
        <w:t>En esa medida, la crisis económica internacional parecería haber gene- rado cambios en las tendencias migratorias, redefiniendo la intensidad de los</w:t>
      </w:r>
      <w:r>
        <w:rPr>
          <w:color w:val="231F20"/>
          <w:spacing w:val="-9"/>
        </w:rPr>
        <w:t> </w:t>
      </w:r>
      <w:r>
        <w:rPr>
          <w:color w:val="231F20"/>
        </w:rPr>
        <w:t>flujos</w:t>
      </w:r>
      <w:r>
        <w:rPr>
          <w:color w:val="231F20"/>
          <w:spacing w:val="-9"/>
        </w:rPr>
        <w:t> </w:t>
      </w:r>
      <w:r>
        <w:rPr>
          <w:color w:val="231F20"/>
        </w:rPr>
        <w:t>y</w:t>
      </w:r>
      <w:r>
        <w:rPr>
          <w:color w:val="231F20"/>
          <w:spacing w:val="-9"/>
        </w:rPr>
        <w:t> </w:t>
      </w:r>
      <w:r>
        <w:rPr>
          <w:color w:val="231F20"/>
        </w:rPr>
        <w:t>dando</w:t>
      </w:r>
      <w:r>
        <w:rPr>
          <w:color w:val="231F20"/>
          <w:spacing w:val="-9"/>
        </w:rPr>
        <w:t> </w:t>
      </w:r>
      <w:r>
        <w:rPr>
          <w:color w:val="231F20"/>
        </w:rPr>
        <w:t>importancia</w:t>
      </w:r>
      <w:r>
        <w:rPr>
          <w:color w:val="231F20"/>
          <w:spacing w:val="-10"/>
        </w:rPr>
        <w:t> </w:t>
      </w:r>
      <w:r>
        <w:rPr>
          <w:color w:val="231F20"/>
        </w:rPr>
        <w:t>a</w:t>
      </w:r>
      <w:r>
        <w:rPr>
          <w:color w:val="231F20"/>
          <w:spacing w:val="-9"/>
        </w:rPr>
        <w:t> </w:t>
      </w:r>
      <w:r>
        <w:rPr>
          <w:color w:val="231F20"/>
        </w:rPr>
        <w:t>nuevas</w:t>
      </w:r>
      <w:r>
        <w:rPr>
          <w:color w:val="231F20"/>
          <w:spacing w:val="-9"/>
        </w:rPr>
        <w:t> </w:t>
      </w:r>
      <w:r>
        <w:rPr>
          <w:color w:val="231F20"/>
        </w:rPr>
        <w:t>corrientes,</w:t>
      </w:r>
      <w:r>
        <w:rPr>
          <w:color w:val="231F20"/>
          <w:spacing w:val="-10"/>
        </w:rPr>
        <w:t> </w:t>
      </w:r>
      <w:r>
        <w:rPr>
          <w:color w:val="231F20"/>
        </w:rPr>
        <w:t>sin</w:t>
      </w:r>
      <w:r>
        <w:rPr>
          <w:color w:val="231F20"/>
          <w:spacing w:val="-9"/>
        </w:rPr>
        <w:t> </w:t>
      </w:r>
      <w:r>
        <w:rPr>
          <w:color w:val="231F20"/>
        </w:rPr>
        <w:t>llegar</w:t>
      </w:r>
      <w:r>
        <w:rPr>
          <w:color w:val="231F20"/>
          <w:spacing w:val="-9"/>
        </w:rPr>
        <w:t> </w:t>
      </w:r>
      <w:r>
        <w:rPr>
          <w:color w:val="231F20"/>
        </w:rPr>
        <w:t>a</w:t>
      </w:r>
      <w:r>
        <w:rPr>
          <w:color w:val="231F20"/>
          <w:spacing w:val="-9"/>
        </w:rPr>
        <w:t> </w:t>
      </w:r>
      <w:r>
        <w:rPr>
          <w:color w:val="231F20"/>
        </w:rPr>
        <w:t>ser</w:t>
      </w:r>
      <w:r>
        <w:rPr>
          <w:color w:val="231F20"/>
          <w:spacing w:val="-9"/>
        </w:rPr>
        <w:t> </w:t>
      </w:r>
      <w:r>
        <w:rPr>
          <w:color w:val="231F20"/>
        </w:rPr>
        <w:t>un</w:t>
      </w:r>
      <w:r>
        <w:rPr>
          <w:color w:val="231F20"/>
          <w:spacing w:val="-9"/>
        </w:rPr>
        <w:t> </w:t>
      </w:r>
      <w:r>
        <w:rPr>
          <w:color w:val="231F20"/>
        </w:rPr>
        <w:t>punto de quiebre claro. El trabajo de campo realizado parece respaldar esos re- sultados, encontrándose que los factores económicos, con gran</w:t>
      </w:r>
      <w:r>
        <w:rPr>
          <w:color w:val="231F20"/>
          <w:spacing w:val="-34"/>
        </w:rPr>
        <w:t> </w:t>
      </w:r>
      <w:r>
        <w:rPr>
          <w:color w:val="231F20"/>
        </w:rPr>
        <w:t>frecuencia, serían secundarios a la hora de decidir retornar. Por el contrario, resaltan los aspectos familiares y las percepciones subjetivas sobre los logros al- canzados en el proyecto</w:t>
      </w:r>
      <w:r>
        <w:rPr>
          <w:color w:val="231F20"/>
          <w:spacing w:val="-2"/>
        </w:rPr>
        <w:t> </w:t>
      </w:r>
      <w:r>
        <w:rPr>
          <w:color w:val="231F20"/>
        </w:rPr>
        <w:t>migratorio.</w:t>
      </w:r>
    </w:p>
    <w:p>
      <w:pPr>
        <w:spacing w:after="0" w:line="247" w:lineRule="auto"/>
        <w:jc w:val="both"/>
        <w:sectPr>
          <w:pgSz w:w="9360" w:h="13040"/>
          <w:pgMar w:header="0" w:footer="496" w:top="820" w:bottom="680" w:left="1300" w:right="1300"/>
        </w:sectPr>
      </w:pPr>
    </w:p>
    <w:p>
      <w:pPr>
        <w:spacing w:before="45"/>
        <w:ind w:left="400" w:right="0" w:firstLine="1068"/>
        <w:jc w:val="left"/>
        <w:rPr>
          <w:rFonts w:ascii="Arial" w:hAnsi="Arial"/>
          <w:sz w:val="20"/>
        </w:rPr>
      </w:pPr>
      <w:r>
        <w:rPr>
          <w:rFonts w:ascii="Arial" w:hAnsi="Arial"/>
          <w:color w:val="231F20"/>
          <w:w w:val="65"/>
          <w:sz w:val="20"/>
        </w:rPr>
        <w:t>Retorno de migrantes a la Comunidad Andina /William Mejía-Ochoa y Yeim Claudia Castro</w:t>
      </w:r>
    </w:p>
    <w:p>
      <w:pPr>
        <w:pStyle w:val="BodyText"/>
        <w:spacing w:before="7"/>
        <w:rPr>
          <w:rFonts w:ascii="Arial"/>
          <w:sz w:val="28"/>
        </w:rPr>
      </w:pPr>
    </w:p>
    <w:p>
      <w:pPr>
        <w:pStyle w:val="BodyText"/>
        <w:spacing w:line="247" w:lineRule="auto"/>
        <w:ind w:left="117" w:right="115" w:firstLine="283"/>
        <w:jc w:val="both"/>
      </w:pPr>
      <w:r>
        <w:rPr>
          <w:color w:val="231F20"/>
        </w:rPr>
        <w:t>Vale la pena mencionar algunos otros rasgos generales sobre la migra- ción de los ciudadanos andinos. Por ejemplo, la mayor participación mas- culina y de grupos etarios entre los 20 y 40 años en el retorno, definiendo una creciente feminización de los contingentes andinos en el exterior.</w:t>
      </w:r>
    </w:p>
    <w:p>
      <w:pPr>
        <w:pStyle w:val="BodyText"/>
        <w:spacing w:line="247" w:lineRule="auto"/>
        <w:ind w:left="117" w:right="114" w:firstLine="283"/>
        <w:jc w:val="both"/>
      </w:pPr>
      <w:r>
        <w:rPr>
          <w:color w:val="231F20"/>
        </w:rPr>
        <w:t>Dentro</w:t>
      </w:r>
      <w:r>
        <w:rPr>
          <w:color w:val="231F20"/>
          <w:spacing w:val="-11"/>
        </w:rPr>
        <w:t> </w:t>
      </w:r>
      <w:r>
        <w:rPr>
          <w:color w:val="231F20"/>
        </w:rPr>
        <w:t>del</w:t>
      </w:r>
      <w:r>
        <w:rPr>
          <w:color w:val="231F20"/>
          <w:spacing w:val="-11"/>
        </w:rPr>
        <w:t> </w:t>
      </w:r>
      <w:r>
        <w:rPr>
          <w:color w:val="231F20"/>
        </w:rPr>
        <w:t>retorno</w:t>
      </w:r>
      <w:r>
        <w:rPr>
          <w:color w:val="231F20"/>
          <w:spacing w:val="-11"/>
        </w:rPr>
        <w:t> </w:t>
      </w:r>
      <w:r>
        <w:rPr>
          <w:color w:val="231F20"/>
        </w:rPr>
        <w:t>se</w:t>
      </w:r>
      <w:r>
        <w:rPr>
          <w:color w:val="231F20"/>
          <w:spacing w:val="-11"/>
        </w:rPr>
        <w:t> </w:t>
      </w:r>
      <w:r>
        <w:rPr>
          <w:color w:val="231F20"/>
        </w:rPr>
        <w:t>identificaron</w:t>
      </w:r>
      <w:r>
        <w:rPr>
          <w:color w:val="231F20"/>
          <w:spacing w:val="-12"/>
        </w:rPr>
        <w:t> </w:t>
      </w:r>
      <w:r>
        <w:rPr>
          <w:color w:val="231F20"/>
        </w:rPr>
        <w:t>varios</w:t>
      </w:r>
      <w:r>
        <w:rPr>
          <w:color w:val="231F20"/>
          <w:spacing w:val="-11"/>
        </w:rPr>
        <w:t> </w:t>
      </w:r>
      <w:r>
        <w:rPr>
          <w:color w:val="231F20"/>
        </w:rPr>
        <w:t>grupos</w:t>
      </w:r>
      <w:r>
        <w:rPr>
          <w:color w:val="231F20"/>
          <w:spacing w:val="-11"/>
        </w:rPr>
        <w:t> </w:t>
      </w:r>
      <w:r>
        <w:rPr>
          <w:color w:val="231F20"/>
        </w:rPr>
        <w:t>poblacionales</w:t>
      </w:r>
      <w:r>
        <w:rPr>
          <w:color w:val="231F20"/>
          <w:spacing w:val="-12"/>
        </w:rPr>
        <w:t> </w:t>
      </w:r>
      <w:r>
        <w:rPr>
          <w:color w:val="231F20"/>
        </w:rPr>
        <w:t>que,</w:t>
      </w:r>
      <w:r>
        <w:rPr>
          <w:color w:val="231F20"/>
          <w:spacing w:val="-11"/>
        </w:rPr>
        <w:t> </w:t>
      </w:r>
      <w:r>
        <w:rPr>
          <w:color w:val="231F20"/>
        </w:rPr>
        <w:t>por sus condiciones, podrían merecer la mayor atención no sólo en su estudio sino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intervención:</w:t>
      </w:r>
      <w:r>
        <w:rPr>
          <w:color w:val="231F20"/>
          <w:spacing w:val="-6"/>
        </w:rPr>
        <w:t> </w:t>
      </w:r>
      <w:r>
        <w:rPr>
          <w:color w:val="231F20"/>
        </w:rPr>
        <w:t>niños</w:t>
      </w:r>
      <w:r>
        <w:rPr>
          <w:color w:val="231F20"/>
          <w:spacing w:val="-6"/>
        </w:rPr>
        <w:t> </w:t>
      </w:r>
      <w:r>
        <w:rPr>
          <w:color w:val="231F20"/>
        </w:rPr>
        <w:t>y</w:t>
      </w:r>
      <w:r>
        <w:rPr>
          <w:color w:val="231F20"/>
          <w:spacing w:val="-6"/>
        </w:rPr>
        <w:t> </w:t>
      </w:r>
      <w:r>
        <w:rPr>
          <w:color w:val="231F20"/>
        </w:rPr>
        <w:t>adolescentes</w:t>
      </w:r>
      <w:r>
        <w:rPr>
          <w:color w:val="231F20"/>
          <w:spacing w:val="-6"/>
        </w:rPr>
        <w:t> </w:t>
      </w:r>
      <w:r>
        <w:rPr>
          <w:color w:val="231F20"/>
        </w:rPr>
        <w:t>que</w:t>
      </w:r>
      <w:r>
        <w:rPr>
          <w:color w:val="231F20"/>
          <w:spacing w:val="-6"/>
        </w:rPr>
        <w:t> </w:t>
      </w:r>
      <w:r>
        <w:rPr>
          <w:color w:val="231F20"/>
        </w:rPr>
        <w:t>han</w:t>
      </w:r>
      <w:r>
        <w:rPr>
          <w:color w:val="231F20"/>
          <w:spacing w:val="-6"/>
        </w:rPr>
        <w:t> </w:t>
      </w:r>
      <w:r>
        <w:rPr>
          <w:color w:val="231F20"/>
        </w:rPr>
        <w:t>sido</w:t>
      </w:r>
      <w:r>
        <w:rPr>
          <w:color w:val="231F20"/>
          <w:spacing w:val="-6"/>
        </w:rPr>
        <w:t> </w:t>
      </w:r>
      <w:r>
        <w:rPr>
          <w:color w:val="231F20"/>
        </w:rPr>
        <w:t>llevados</w:t>
      </w:r>
      <w:r>
        <w:rPr>
          <w:color w:val="231F20"/>
          <w:spacing w:val="-6"/>
        </w:rPr>
        <w:t> </w:t>
      </w:r>
      <w:r>
        <w:rPr>
          <w:color w:val="231F20"/>
        </w:rPr>
        <w:t>al</w:t>
      </w:r>
      <w:r>
        <w:rPr>
          <w:color w:val="231F20"/>
          <w:spacing w:val="-6"/>
        </w:rPr>
        <w:t> </w:t>
      </w:r>
      <w:r>
        <w:rPr>
          <w:color w:val="231F20"/>
        </w:rPr>
        <w:t>exte- rior</w:t>
      </w:r>
      <w:r>
        <w:rPr>
          <w:color w:val="231F20"/>
          <w:spacing w:val="-6"/>
        </w:rPr>
        <w:t> </w:t>
      </w:r>
      <w:r>
        <w:rPr>
          <w:color w:val="231F20"/>
        </w:rPr>
        <w:t>a</w:t>
      </w:r>
      <w:r>
        <w:rPr>
          <w:color w:val="231F20"/>
          <w:spacing w:val="-7"/>
        </w:rPr>
        <w:t> </w:t>
      </w:r>
      <w:r>
        <w:rPr>
          <w:color w:val="231F20"/>
        </w:rPr>
        <w:t>corta</w:t>
      </w:r>
      <w:r>
        <w:rPr>
          <w:color w:val="231F20"/>
          <w:spacing w:val="-7"/>
        </w:rPr>
        <w:t> </w:t>
      </w:r>
      <w:r>
        <w:rPr>
          <w:color w:val="231F20"/>
        </w:rPr>
        <w:t>edad</w:t>
      </w:r>
      <w:r>
        <w:rPr>
          <w:color w:val="231F20"/>
          <w:spacing w:val="-7"/>
        </w:rPr>
        <w:t> </w:t>
      </w:r>
      <w:r>
        <w:rPr>
          <w:color w:val="231F20"/>
        </w:rPr>
        <w:t>o</w:t>
      </w:r>
      <w:r>
        <w:rPr>
          <w:color w:val="231F20"/>
          <w:spacing w:val="-7"/>
        </w:rPr>
        <w:t> </w:t>
      </w:r>
      <w:r>
        <w:rPr>
          <w:color w:val="231F20"/>
        </w:rPr>
        <w:t>que</w:t>
      </w:r>
      <w:r>
        <w:rPr>
          <w:color w:val="231F20"/>
          <w:spacing w:val="-7"/>
        </w:rPr>
        <w:t> </w:t>
      </w:r>
      <w:r>
        <w:rPr>
          <w:color w:val="231F20"/>
        </w:rPr>
        <w:t>nacieron</w:t>
      </w:r>
      <w:r>
        <w:rPr>
          <w:color w:val="231F20"/>
          <w:spacing w:val="-6"/>
        </w:rPr>
        <w:t> </w:t>
      </w:r>
      <w:r>
        <w:rPr>
          <w:color w:val="231F20"/>
        </w:rPr>
        <w:t>en</w:t>
      </w:r>
      <w:r>
        <w:rPr>
          <w:color w:val="231F20"/>
          <w:spacing w:val="-7"/>
        </w:rPr>
        <w:t> </w:t>
      </w:r>
      <w:r>
        <w:rPr>
          <w:color w:val="231F20"/>
        </w:rPr>
        <w:t>él</w:t>
      </w:r>
      <w:r>
        <w:rPr>
          <w:color w:val="231F20"/>
          <w:spacing w:val="-7"/>
        </w:rPr>
        <w:t> </w:t>
      </w:r>
      <w:r>
        <w:rPr>
          <w:color w:val="231F20"/>
        </w:rPr>
        <w:t>y</w:t>
      </w:r>
      <w:r>
        <w:rPr>
          <w:color w:val="231F20"/>
          <w:spacing w:val="-7"/>
        </w:rPr>
        <w:t> </w:t>
      </w:r>
      <w:r>
        <w:rPr>
          <w:color w:val="231F20"/>
        </w:rPr>
        <w:t>al</w:t>
      </w:r>
      <w:r>
        <w:rPr>
          <w:color w:val="231F20"/>
          <w:spacing w:val="-7"/>
        </w:rPr>
        <w:t> </w:t>
      </w:r>
      <w:r>
        <w:rPr>
          <w:color w:val="231F20"/>
        </w:rPr>
        <w:t>regresar</w:t>
      </w:r>
      <w:r>
        <w:rPr>
          <w:color w:val="231F20"/>
          <w:spacing w:val="-6"/>
        </w:rPr>
        <w:t> </w:t>
      </w:r>
      <w:r>
        <w:rPr>
          <w:color w:val="231F20"/>
        </w:rPr>
        <w:t>o</w:t>
      </w:r>
      <w:r>
        <w:rPr>
          <w:color w:val="231F20"/>
          <w:spacing w:val="-7"/>
        </w:rPr>
        <w:t> </w:t>
      </w:r>
      <w:r>
        <w:rPr>
          <w:color w:val="231F20"/>
        </w:rPr>
        <w:t>llegar</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tierra</w:t>
      </w:r>
      <w:r>
        <w:rPr>
          <w:color w:val="231F20"/>
          <w:spacing w:val="-7"/>
        </w:rPr>
        <w:t> </w:t>
      </w:r>
      <w:r>
        <w:rPr>
          <w:color w:val="231F20"/>
        </w:rPr>
        <w:t>de</w:t>
      </w:r>
      <w:r>
        <w:rPr>
          <w:color w:val="231F20"/>
          <w:spacing w:val="-7"/>
        </w:rPr>
        <w:t> </w:t>
      </w:r>
      <w:r>
        <w:rPr>
          <w:color w:val="231F20"/>
        </w:rPr>
        <w:t>sus padres</w:t>
      </w:r>
      <w:r>
        <w:rPr>
          <w:color w:val="231F20"/>
          <w:spacing w:val="-11"/>
        </w:rPr>
        <w:t> </w:t>
      </w:r>
      <w:r>
        <w:rPr>
          <w:color w:val="231F20"/>
        </w:rPr>
        <w:t>encuentran</w:t>
      </w:r>
      <w:r>
        <w:rPr>
          <w:color w:val="231F20"/>
          <w:spacing w:val="-12"/>
        </w:rPr>
        <w:t> </w:t>
      </w:r>
      <w:r>
        <w:rPr>
          <w:color w:val="231F20"/>
        </w:rPr>
        <w:t>un</w:t>
      </w:r>
      <w:r>
        <w:rPr>
          <w:color w:val="231F20"/>
          <w:spacing w:val="-11"/>
        </w:rPr>
        <w:t> </w:t>
      </w:r>
      <w:r>
        <w:rPr>
          <w:color w:val="231F20"/>
        </w:rPr>
        <w:t>medio</w:t>
      </w:r>
      <w:r>
        <w:rPr>
          <w:color w:val="231F20"/>
          <w:spacing w:val="-12"/>
        </w:rPr>
        <w:t> </w:t>
      </w:r>
      <w:r>
        <w:rPr>
          <w:color w:val="231F20"/>
        </w:rPr>
        <w:t>familiar</w:t>
      </w:r>
      <w:r>
        <w:rPr>
          <w:color w:val="231F20"/>
          <w:spacing w:val="-11"/>
        </w:rPr>
        <w:t> </w:t>
      </w:r>
      <w:r>
        <w:rPr>
          <w:color w:val="231F20"/>
        </w:rPr>
        <w:t>y</w:t>
      </w:r>
      <w:r>
        <w:rPr>
          <w:color w:val="231F20"/>
          <w:spacing w:val="-11"/>
        </w:rPr>
        <w:t> </w:t>
      </w:r>
      <w:r>
        <w:rPr>
          <w:color w:val="231F20"/>
        </w:rPr>
        <w:t>social</w:t>
      </w:r>
      <w:r>
        <w:rPr>
          <w:color w:val="231F20"/>
          <w:spacing w:val="-11"/>
        </w:rPr>
        <w:t> </w:t>
      </w:r>
      <w:r>
        <w:rPr>
          <w:color w:val="231F20"/>
        </w:rPr>
        <w:t>que</w:t>
      </w:r>
      <w:r>
        <w:rPr>
          <w:color w:val="231F20"/>
          <w:spacing w:val="-11"/>
        </w:rPr>
        <w:t> </w:t>
      </w:r>
      <w:r>
        <w:rPr>
          <w:color w:val="231F20"/>
        </w:rPr>
        <w:t>les</w:t>
      </w:r>
      <w:r>
        <w:rPr>
          <w:color w:val="231F20"/>
          <w:spacing w:val="-11"/>
        </w:rPr>
        <w:t> </w:t>
      </w:r>
      <w:r>
        <w:rPr>
          <w:color w:val="231F20"/>
        </w:rPr>
        <w:t>es</w:t>
      </w:r>
      <w:r>
        <w:rPr>
          <w:color w:val="231F20"/>
          <w:spacing w:val="-11"/>
        </w:rPr>
        <w:t> </w:t>
      </w:r>
      <w:r>
        <w:rPr>
          <w:color w:val="231F20"/>
        </w:rPr>
        <w:t>totalmente</w:t>
      </w:r>
      <w:r>
        <w:rPr>
          <w:color w:val="231F20"/>
          <w:spacing w:val="-12"/>
        </w:rPr>
        <w:t> </w:t>
      </w:r>
      <w:r>
        <w:rPr>
          <w:color w:val="231F20"/>
        </w:rPr>
        <w:t>extraño; adultos mayores y personas de todas las edades que son obligadas a retor- </w:t>
      </w:r>
      <w:r>
        <w:rPr>
          <w:color w:val="231F20"/>
          <w:spacing w:val="-3"/>
        </w:rPr>
        <w:t>nar, </w:t>
      </w:r>
      <w:r>
        <w:rPr>
          <w:color w:val="231F20"/>
        </w:rPr>
        <w:t>fundamentalmente por medidas administrativas de los países donde se encuentran y regresan, en muchos casos, en condiciones económicas y anímicas</w:t>
      </w:r>
      <w:r>
        <w:rPr>
          <w:color w:val="231F20"/>
          <w:spacing w:val="-1"/>
        </w:rPr>
        <w:t> </w:t>
      </w:r>
      <w:r>
        <w:rPr>
          <w:color w:val="231F20"/>
        </w:rPr>
        <w:t>precarias.</w:t>
      </w:r>
    </w:p>
    <w:p>
      <w:pPr>
        <w:pStyle w:val="BodyText"/>
        <w:spacing w:line="247" w:lineRule="auto"/>
        <w:ind w:left="117" w:right="114" w:firstLine="283"/>
        <w:jc w:val="both"/>
      </w:pPr>
      <w:r>
        <w:rPr>
          <w:color w:val="231F20"/>
        </w:rPr>
        <w:t>Dentro de la información cualitativa se encontró que el retorno podría estar poniendo en valor cierto empoderamiento de la mujer adquirido du- rante</w:t>
      </w:r>
      <w:r>
        <w:rPr>
          <w:color w:val="231F20"/>
          <w:spacing w:val="-13"/>
        </w:rPr>
        <w:t> </w:t>
      </w:r>
      <w:r>
        <w:rPr>
          <w:color w:val="231F20"/>
        </w:rPr>
        <w:t>la</w:t>
      </w:r>
      <w:r>
        <w:rPr>
          <w:color w:val="231F20"/>
          <w:spacing w:val="-13"/>
        </w:rPr>
        <w:t> </w:t>
      </w:r>
      <w:r>
        <w:rPr>
          <w:color w:val="231F20"/>
        </w:rPr>
        <w:t>migración.</w:t>
      </w:r>
      <w:r>
        <w:rPr>
          <w:color w:val="231F20"/>
          <w:spacing w:val="-13"/>
        </w:rPr>
        <w:t> </w:t>
      </w:r>
      <w:r>
        <w:rPr>
          <w:color w:val="231F20"/>
        </w:rPr>
        <w:t>Consistentemente</w:t>
      </w:r>
      <w:r>
        <w:rPr>
          <w:color w:val="231F20"/>
          <w:spacing w:val="-13"/>
        </w:rPr>
        <w:t> </w:t>
      </w:r>
      <w:r>
        <w:rPr>
          <w:color w:val="231F20"/>
        </w:rPr>
        <w:t>los</w:t>
      </w:r>
      <w:r>
        <w:rPr>
          <w:color w:val="231F20"/>
          <w:spacing w:val="-13"/>
        </w:rPr>
        <w:t> </w:t>
      </w:r>
      <w:r>
        <w:rPr>
          <w:color w:val="231F20"/>
        </w:rPr>
        <w:t>entrevistados</w:t>
      </w:r>
      <w:r>
        <w:rPr>
          <w:color w:val="231F20"/>
          <w:spacing w:val="-14"/>
        </w:rPr>
        <w:t> </w:t>
      </w:r>
      <w:r>
        <w:rPr>
          <w:color w:val="231F20"/>
        </w:rPr>
        <w:t>perciben</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pro- ceso migratorio ha servido, así sea de forma temporal, para la revaluación de los roles dentro del </w:t>
      </w:r>
      <w:r>
        <w:rPr>
          <w:color w:val="231F20"/>
          <w:spacing w:val="-3"/>
        </w:rPr>
        <w:t>hogar. </w:t>
      </w:r>
      <w:r>
        <w:rPr>
          <w:color w:val="231F20"/>
        </w:rPr>
        <w:t>Adicionalmente, la vivencia en las comuni- dades de destino ha representado cambios en los imaginarios culturales  de los retornados, incorporando nuevas prácticas y percepciones sociales, entre ellas la reivindicación del papel de la mujer fuera del </w:t>
      </w:r>
      <w:r>
        <w:rPr>
          <w:color w:val="231F20"/>
          <w:spacing w:val="-3"/>
        </w:rPr>
        <w:t>hogar.  </w:t>
      </w:r>
      <w:r>
        <w:rPr>
          <w:color w:val="231F20"/>
        </w:rPr>
        <w:t>Esto  ha entrado, evidentemente, en conflicto con la cultura y los hábitos de las comunidades de origen más tradicionales, generando problemáticas como los señalamientos y sentimientos de culpabilidad por abandono del hogar, que han sido estudiados con cierta profundidad en la literatura</w:t>
      </w:r>
      <w:r>
        <w:rPr>
          <w:color w:val="231F20"/>
          <w:spacing w:val="-8"/>
        </w:rPr>
        <w:t> </w:t>
      </w:r>
      <w:r>
        <w:rPr>
          <w:color w:val="231F20"/>
        </w:rPr>
        <w:t>reciente.</w:t>
      </w:r>
    </w:p>
    <w:p>
      <w:pPr>
        <w:pStyle w:val="BodyText"/>
        <w:spacing w:line="247" w:lineRule="auto"/>
        <w:ind w:left="117" w:right="114" w:firstLine="283"/>
        <w:jc w:val="both"/>
      </w:pPr>
      <w:r>
        <w:rPr>
          <w:color w:val="231F20"/>
        </w:rPr>
        <w:t>Sin</w:t>
      </w:r>
      <w:r>
        <w:rPr>
          <w:color w:val="231F20"/>
          <w:spacing w:val="-10"/>
        </w:rPr>
        <w:t> </w:t>
      </w:r>
      <w:r>
        <w:rPr>
          <w:color w:val="231F20"/>
        </w:rPr>
        <w:t>embargo,</w:t>
      </w:r>
      <w:r>
        <w:rPr>
          <w:color w:val="231F20"/>
          <w:spacing w:val="-10"/>
        </w:rPr>
        <w:t> </w:t>
      </w:r>
      <w:r>
        <w:rPr>
          <w:color w:val="231F20"/>
        </w:rPr>
        <w:t>los</w:t>
      </w:r>
      <w:r>
        <w:rPr>
          <w:color w:val="231F20"/>
          <w:spacing w:val="-10"/>
        </w:rPr>
        <w:t> </w:t>
      </w:r>
      <w:r>
        <w:rPr>
          <w:color w:val="231F20"/>
        </w:rPr>
        <w:t>imaginarios</w:t>
      </w:r>
      <w:r>
        <w:rPr>
          <w:color w:val="231F20"/>
          <w:spacing w:val="-11"/>
        </w:rPr>
        <w:t> </w:t>
      </w:r>
      <w:r>
        <w:rPr>
          <w:color w:val="231F20"/>
        </w:rPr>
        <w:t>y</w:t>
      </w:r>
      <w:r>
        <w:rPr>
          <w:color w:val="231F20"/>
          <w:spacing w:val="-10"/>
        </w:rPr>
        <w:t> </w:t>
      </w:r>
      <w:r>
        <w:rPr>
          <w:color w:val="231F20"/>
        </w:rPr>
        <w:t>hábitos</w:t>
      </w:r>
      <w:r>
        <w:rPr>
          <w:color w:val="231F20"/>
          <w:spacing w:val="-10"/>
        </w:rPr>
        <w:t> </w:t>
      </w:r>
      <w:r>
        <w:rPr>
          <w:color w:val="231F20"/>
        </w:rPr>
        <w:t>“importados”</w:t>
      </w:r>
      <w:r>
        <w:rPr>
          <w:color w:val="231F20"/>
          <w:spacing w:val="-11"/>
        </w:rPr>
        <w:t> </w:t>
      </w:r>
      <w:r>
        <w:rPr>
          <w:color w:val="231F20"/>
        </w:rPr>
        <w:t>por</w:t>
      </w:r>
      <w:r>
        <w:rPr>
          <w:color w:val="231F20"/>
          <w:spacing w:val="-10"/>
        </w:rPr>
        <w:t> </w:t>
      </w:r>
      <w:r>
        <w:rPr>
          <w:color w:val="231F20"/>
        </w:rPr>
        <w:t>los</w:t>
      </w:r>
      <w:r>
        <w:rPr>
          <w:color w:val="231F20"/>
          <w:spacing w:val="-10"/>
        </w:rPr>
        <w:t> </w:t>
      </w:r>
      <w:r>
        <w:rPr>
          <w:color w:val="231F20"/>
        </w:rPr>
        <w:t>retornados desbordan largamente las cuestiones de género. Una nueva moral cívica, una aproximación cercana a distintas estructuras estatales, la percepción de sociedades con diferentes condiciones económicas, la familiarización con diferentes tipos de mercados laborales y hábitos de consumo y el aprendizaje</w:t>
      </w:r>
      <w:r>
        <w:rPr>
          <w:color w:val="231F20"/>
          <w:spacing w:val="-8"/>
        </w:rPr>
        <w:t> </w:t>
      </w:r>
      <w:r>
        <w:rPr>
          <w:color w:val="231F20"/>
        </w:rPr>
        <w:t>resultado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participación</w:t>
      </w:r>
      <w:r>
        <w:rPr>
          <w:color w:val="231F20"/>
          <w:spacing w:val="-7"/>
        </w:rPr>
        <w:t> </w:t>
      </w:r>
      <w:r>
        <w:rPr>
          <w:color w:val="231F20"/>
        </w:rPr>
        <w:t>en</w:t>
      </w:r>
      <w:r>
        <w:rPr>
          <w:color w:val="231F20"/>
          <w:spacing w:val="-7"/>
        </w:rPr>
        <w:t> </w:t>
      </w:r>
      <w:r>
        <w:rPr>
          <w:color w:val="231F20"/>
        </w:rPr>
        <w:t>nuevas</w:t>
      </w:r>
      <w:r>
        <w:rPr>
          <w:color w:val="231F20"/>
          <w:spacing w:val="-7"/>
        </w:rPr>
        <w:t> </w:t>
      </w:r>
      <w:r>
        <w:rPr>
          <w:color w:val="231F20"/>
        </w:rPr>
        <w:t>estructuras</w:t>
      </w:r>
      <w:r>
        <w:rPr>
          <w:color w:val="231F20"/>
          <w:spacing w:val="-8"/>
        </w:rPr>
        <w:t> </w:t>
      </w:r>
      <w:r>
        <w:rPr>
          <w:color w:val="231F20"/>
        </w:rPr>
        <w:t>productivas harían parte de aquellas herramientas conceptuales adquiridas durante la migración. El documento propone cómo buena parte de estas prácticas e ideales habrían de potencializar el desarrollo, particularmente social, de las comunidades de origen. Cuestiones como el surgimiento de accionares públicos de referencia, permitirían a los retornados un mejor desempeño como ciudadanos, exigiendo el respeto de sus derechos y juzgando el fun- cionamiento estatal con mayor</w:t>
      </w:r>
      <w:r>
        <w:rPr>
          <w:color w:val="231F20"/>
          <w:spacing w:val="-4"/>
        </w:rPr>
        <w:t> </w:t>
      </w:r>
      <w:r>
        <w:rPr>
          <w:color w:val="231F20"/>
        </w:rPr>
        <w:t>precisión.</w:t>
      </w:r>
    </w:p>
    <w:p>
      <w:pPr>
        <w:spacing w:after="0" w:line="247" w:lineRule="auto"/>
        <w:jc w:val="both"/>
        <w:sectPr>
          <w:pgSz w:w="9360" w:h="13040"/>
          <w:pgMar w:header="0" w:footer="496" w:top="740" w:bottom="680" w:left="1300" w:right="1300"/>
        </w:sectPr>
      </w:pPr>
    </w:p>
    <w:p>
      <w:pPr>
        <w:tabs>
          <w:tab w:pos="5536" w:val="left" w:leader="none"/>
        </w:tabs>
        <w:spacing w:before="34"/>
        <w:ind w:left="400" w:right="117" w:hanging="277"/>
        <w:jc w:val="left"/>
        <w:rPr>
          <w:sz w:val="18"/>
        </w:rPr>
      </w:pPr>
      <w:r>
        <w:rPr>
          <w:rFonts w:ascii="Arial" w:hAnsi="Arial"/>
          <w:color w:val="231F20"/>
          <w:w w:val="80"/>
          <w:position w:val="2"/>
          <w:sz w:val="20"/>
        </w:rPr>
        <w:t>Hitos</w:t>
      </w:r>
      <w:r>
        <w:rPr>
          <w:rFonts w:ascii="Arial" w:hAnsi="Arial"/>
          <w:color w:val="231F20"/>
          <w:spacing w:val="-14"/>
          <w:w w:val="80"/>
          <w:position w:val="2"/>
          <w:sz w:val="20"/>
        </w:rPr>
        <w:t> </w:t>
      </w:r>
      <w:r>
        <w:rPr>
          <w:rFonts w:ascii="Arial" w:hAnsi="Arial"/>
          <w:color w:val="231F20"/>
          <w:w w:val="80"/>
          <w:position w:val="2"/>
          <w:sz w:val="20"/>
        </w:rPr>
        <w:t>Demográficos</w:t>
      </w:r>
      <w:r>
        <w:rPr>
          <w:rFonts w:ascii="Arial" w:hAnsi="Arial"/>
          <w:color w:val="231F20"/>
          <w:spacing w:val="-14"/>
          <w:w w:val="80"/>
          <w:position w:val="2"/>
          <w:sz w:val="20"/>
        </w:rPr>
        <w:t> </w:t>
      </w:r>
      <w:r>
        <w:rPr>
          <w:rFonts w:ascii="Arial" w:hAnsi="Arial"/>
          <w:color w:val="231F20"/>
          <w:w w:val="80"/>
          <w:position w:val="2"/>
          <w:sz w:val="20"/>
        </w:rPr>
        <w:t>del</w:t>
      </w:r>
      <w:r>
        <w:rPr>
          <w:rFonts w:ascii="Arial" w:hAnsi="Arial"/>
          <w:color w:val="231F20"/>
          <w:spacing w:val="-14"/>
          <w:w w:val="80"/>
          <w:position w:val="2"/>
          <w:sz w:val="20"/>
        </w:rPr>
        <w:t> </w:t>
      </w:r>
      <w:r>
        <w:rPr>
          <w:rFonts w:ascii="Arial" w:hAnsi="Arial"/>
          <w:color w:val="231F20"/>
          <w:w w:val="80"/>
          <w:position w:val="2"/>
          <w:sz w:val="20"/>
        </w:rPr>
        <w:t>Siglo</w:t>
      </w:r>
      <w:r>
        <w:rPr>
          <w:rFonts w:ascii="Arial" w:hAnsi="Arial"/>
          <w:color w:val="231F20"/>
          <w:spacing w:val="-14"/>
          <w:w w:val="80"/>
          <w:position w:val="2"/>
          <w:sz w:val="20"/>
        </w:rPr>
        <w:t> </w:t>
      </w:r>
      <w:r>
        <w:rPr>
          <w:rFonts w:ascii="Arial" w:hAnsi="Arial"/>
          <w:color w:val="231F20"/>
          <w:w w:val="80"/>
          <w:position w:val="2"/>
          <w:sz w:val="20"/>
        </w:rPr>
        <w:t>XXI:</w:t>
      </w:r>
      <w:r>
        <w:rPr>
          <w:rFonts w:ascii="Arial" w:hAnsi="Arial"/>
          <w:color w:val="231F20"/>
          <w:spacing w:val="-14"/>
          <w:w w:val="80"/>
          <w:position w:val="2"/>
          <w:sz w:val="20"/>
        </w:rPr>
        <w:t> </w:t>
      </w:r>
      <w:r>
        <w:rPr>
          <w:rFonts w:ascii="Arial" w:hAnsi="Arial"/>
          <w:color w:val="231F20"/>
          <w:w w:val="80"/>
          <w:position w:val="2"/>
          <w:sz w:val="20"/>
        </w:rPr>
        <w:t>Migración</w:t>
      </w:r>
      <w:r>
        <w:rPr>
          <w:rFonts w:ascii="Arial" w:hAnsi="Arial"/>
          <w:color w:val="231F20"/>
          <w:spacing w:val="-14"/>
          <w:w w:val="80"/>
          <w:position w:val="2"/>
          <w:sz w:val="20"/>
        </w:rPr>
        <w:t> </w:t>
      </w:r>
      <w:r>
        <w:rPr>
          <w:rFonts w:ascii="Arial" w:hAnsi="Arial"/>
          <w:color w:val="231F20"/>
          <w:w w:val="80"/>
          <w:position w:val="2"/>
          <w:sz w:val="20"/>
        </w:rPr>
        <w:t>Internacional</w:t>
        <w:tab/>
      </w:r>
      <w:r>
        <w:rPr>
          <w:color w:val="231F20"/>
          <w:w w:val="90"/>
          <w:sz w:val="18"/>
        </w:rPr>
        <w:t>CIEAP/UAEM</w:t>
      </w:r>
    </w:p>
    <w:p>
      <w:pPr>
        <w:pStyle w:val="BodyText"/>
        <w:spacing w:before="2"/>
        <w:rPr>
          <w:sz w:val="21"/>
        </w:rPr>
      </w:pPr>
    </w:p>
    <w:p>
      <w:pPr>
        <w:pStyle w:val="BodyText"/>
        <w:spacing w:line="247" w:lineRule="auto"/>
        <w:ind w:left="117" w:right="114" w:firstLine="283"/>
        <w:jc w:val="both"/>
      </w:pPr>
      <w:r>
        <w:rPr>
          <w:color w:val="231F20"/>
        </w:rPr>
        <w:t>Se resaltan así aspectos dejados de lado con frecuencia por la literatura sobre migraciones y desarrollo económico. Se cuestiona la capacidad de los recursos financieros producto del proceso de migración para generar cambios radicales en la calidad de vida de la población retornada y se ex- plora, más bien, la importancia de asuntos como el conocimiento produc- tivo adquirido en destino.</w:t>
      </w:r>
    </w:p>
    <w:p>
      <w:pPr>
        <w:pStyle w:val="BodyText"/>
        <w:spacing w:line="247" w:lineRule="auto"/>
        <w:ind w:left="117" w:right="114" w:firstLine="283"/>
        <w:jc w:val="both"/>
      </w:pPr>
      <w:r>
        <w:rPr>
          <w:color w:val="231F20"/>
        </w:rPr>
        <w:t>Además de las potencialidades vinculadas con el retorno, éste acarrea dificultades de distinto tipo, quizá la más importante sea la referida a la adaptación</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población</w:t>
      </w:r>
      <w:r>
        <w:rPr>
          <w:color w:val="231F20"/>
          <w:spacing w:val="-8"/>
        </w:rPr>
        <w:t> </w:t>
      </w:r>
      <w:r>
        <w:rPr>
          <w:color w:val="231F20"/>
        </w:rPr>
        <w:t>recién</w:t>
      </w:r>
      <w:r>
        <w:rPr>
          <w:color w:val="231F20"/>
          <w:spacing w:val="-8"/>
        </w:rPr>
        <w:t> </w:t>
      </w:r>
      <w:r>
        <w:rPr>
          <w:color w:val="231F20"/>
        </w:rPr>
        <w:t>llegada.</w:t>
      </w:r>
      <w:r>
        <w:rPr>
          <w:color w:val="231F20"/>
          <w:spacing w:val="-20"/>
        </w:rPr>
        <w:t> </w:t>
      </w:r>
      <w:r>
        <w:rPr>
          <w:color w:val="231F20"/>
        </w:rPr>
        <w:t>Abundantes</w:t>
      </w:r>
      <w:r>
        <w:rPr>
          <w:color w:val="231F20"/>
          <w:spacing w:val="-8"/>
        </w:rPr>
        <w:t> </w:t>
      </w:r>
      <w:r>
        <w:rPr>
          <w:color w:val="231F20"/>
        </w:rPr>
        <w:t>testimonios</w:t>
      </w:r>
      <w:r>
        <w:rPr>
          <w:color w:val="231F20"/>
          <w:spacing w:val="-9"/>
        </w:rPr>
        <w:t> </w:t>
      </w:r>
      <w:r>
        <w:rPr>
          <w:color w:val="231F20"/>
        </w:rPr>
        <w:t>eviden- cian</w:t>
      </w:r>
      <w:r>
        <w:rPr>
          <w:color w:val="231F20"/>
          <w:spacing w:val="-10"/>
        </w:rPr>
        <w:t> </w:t>
      </w:r>
      <w:r>
        <w:rPr>
          <w:color w:val="231F20"/>
        </w:rPr>
        <w:t>la</w:t>
      </w:r>
      <w:r>
        <w:rPr>
          <w:color w:val="231F20"/>
          <w:spacing w:val="-10"/>
        </w:rPr>
        <w:t> </w:t>
      </w:r>
      <w:r>
        <w:rPr>
          <w:color w:val="231F20"/>
        </w:rPr>
        <w:t>sensación</w:t>
      </w:r>
      <w:r>
        <w:rPr>
          <w:color w:val="231F20"/>
          <w:spacing w:val="-9"/>
        </w:rPr>
        <w:t> </w:t>
      </w:r>
      <w:r>
        <w:rPr>
          <w:color w:val="231F20"/>
        </w:rPr>
        <w:t>de</w:t>
      </w:r>
      <w:r>
        <w:rPr>
          <w:color w:val="231F20"/>
          <w:spacing w:val="-10"/>
        </w:rPr>
        <w:t> </w:t>
      </w:r>
      <w:r>
        <w:rPr>
          <w:color w:val="231F20"/>
        </w:rPr>
        <w:t>incomprensión</w:t>
      </w:r>
      <w:r>
        <w:rPr>
          <w:color w:val="231F20"/>
          <w:spacing w:val="-11"/>
        </w:rPr>
        <w:t> </w:t>
      </w:r>
      <w:r>
        <w:rPr>
          <w:color w:val="231F20"/>
        </w:rPr>
        <w:t>sufrida</w:t>
      </w:r>
      <w:r>
        <w:rPr>
          <w:color w:val="231F20"/>
          <w:spacing w:val="-9"/>
        </w:rPr>
        <w:t> </w:t>
      </w:r>
      <w:r>
        <w:rPr>
          <w:color w:val="231F20"/>
        </w:rPr>
        <w:t>por</w:t>
      </w:r>
      <w:r>
        <w:rPr>
          <w:color w:val="231F20"/>
          <w:spacing w:val="-10"/>
        </w:rPr>
        <w:t> </w:t>
      </w:r>
      <w:r>
        <w:rPr>
          <w:color w:val="231F20"/>
        </w:rPr>
        <w:t>los</w:t>
      </w:r>
      <w:r>
        <w:rPr>
          <w:color w:val="231F20"/>
          <w:spacing w:val="-10"/>
        </w:rPr>
        <w:t> </w:t>
      </w:r>
      <w:r>
        <w:rPr>
          <w:color w:val="231F20"/>
        </w:rPr>
        <w:t>retornados.</w:t>
      </w:r>
      <w:r>
        <w:rPr>
          <w:color w:val="231F20"/>
          <w:spacing w:val="-22"/>
        </w:rPr>
        <w:t> </w:t>
      </w:r>
      <w:r>
        <w:rPr>
          <w:color w:val="231F20"/>
        </w:rPr>
        <w:t>Aún</w:t>
      </w:r>
      <w:r>
        <w:rPr>
          <w:color w:val="231F20"/>
          <w:spacing w:val="-10"/>
        </w:rPr>
        <w:t> </w:t>
      </w:r>
      <w:r>
        <w:rPr>
          <w:color w:val="231F20"/>
        </w:rPr>
        <w:t>cuando ésta ha de depender de diversos factores, como la duración de la estancia en el exterior y las condiciones del retorno, es persistentemente referida la existencia de un período conflictivo para los retornados, en la que se en- frentan a un contexto diferente al presenciado en el exterior y al vivido en la situación previa a la migración (que usualmente sirve de referente ideal a la hora de decidir retornar).</w:t>
      </w:r>
    </w:p>
    <w:p>
      <w:pPr>
        <w:pStyle w:val="BodyText"/>
        <w:spacing w:line="247" w:lineRule="auto"/>
        <w:ind w:left="117" w:right="114" w:firstLine="283"/>
        <w:jc w:val="both"/>
      </w:pPr>
      <w:r>
        <w:rPr>
          <w:color w:val="231F20"/>
        </w:rPr>
        <w:t>Diferentes políticas de retorno han sido definidas, en este documento se han revisado las de los cuatro países andinos y España. Al respecto so- bresale,</w:t>
      </w:r>
      <w:r>
        <w:rPr>
          <w:color w:val="231F20"/>
          <w:spacing w:val="-5"/>
        </w:rPr>
        <w:t> </w:t>
      </w:r>
      <w:r>
        <w:rPr>
          <w:color w:val="231F20"/>
        </w:rPr>
        <w:t>a</w:t>
      </w:r>
      <w:r>
        <w:rPr>
          <w:color w:val="231F20"/>
          <w:spacing w:val="-5"/>
        </w:rPr>
        <w:t> </w:t>
      </w:r>
      <w:r>
        <w:rPr>
          <w:color w:val="231F20"/>
        </w:rPr>
        <w:t>primera</w:t>
      </w:r>
      <w:r>
        <w:rPr>
          <w:color w:val="231F20"/>
          <w:spacing w:val="-5"/>
        </w:rPr>
        <w:t> </w:t>
      </w:r>
      <w:r>
        <w:rPr>
          <w:color w:val="231F20"/>
        </w:rPr>
        <w:t>vista,</w:t>
      </w:r>
      <w:r>
        <w:rPr>
          <w:color w:val="231F20"/>
          <w:spacing w:val="-5"/>
        </w:rPr>
        <w:t> </w:t>
      </w:r>
      <w:r>
        <w:rPr>
          <w:color w:val="231F20"/>
        </w:rPr>
        <w:t>la</w:t>
      </w:r>
      <w:r>
        <w:rPr>
          <w:color w:val="231F20"/>
          <w:spacing w:val="-5"/>
        </w:rPr>
        <w:t> </w:t>
      </w:r>
      <w:r>
        <w:rPr>
          <w:color w:val="231F20"/>
        </w:rPr>
        <w:t>insatisfacción</w:t>
      </w:r>
      <w:r>
        <w:rPr>
          <w:color w:val="231F20"/>
          <w:spacing w:val="-5"/>
        </w:rPr>
        <w:t> </w:t>
      </w:r>
      <w:r>
        <w:rPr>
          <w:color w:val="231F20"/>
        </w:rPr>
        <w:t>general</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población</w:t>
      </w:r>
      <w:r>
        <w:rPr>
          <w:color w:val="231F20"/>
          <w:spacing w:val="-5"/>
        </w:rPr>
        <w:t> </w:t>
      </w:r>
      <w:r>
        <w:rPr>
          <w:color w:val="231F20"/>
        </w:rPr>
        <w:t>retornada con ellas. Entre las fallas recurrentes resaltan la desarticulación institucio- nal, la escasez de recursos, la desinformación del público sobre el verda- dero contenido y alcance de los programas y la percepción de corrupción al interior de ellos. En Ecuador y Colombia la acción se ha centrado en la revinculación económica de los</w:t>
      </w:r>
      <w:r>
        <w:rPr>
          <w:color w:val="231F20"/>
          <w:spacing w:val="-2"/>
        </w:rPr>
        <w:t> </w:t>
      </w:r>
      <w:r>
        <w:rPr>
          <w:color w:val="231F20"/>
        </w:rPr>
        <w:t>retornados.</w:t>
      </w:r>
    </w:p>
    <w:p>
      <w:pPr>
        <w:pStyle w:val="BodyText"/>
        <w:spacing w:line="247" w:lineRule="auto"/>
        <w:ind w:left="117" w:right="114" w:firstLine="283"/>
        <w:jc w:val="both"/>
      </w:pPr>
      <w:r>
        <w:rPr>
          <w:color w:val="231F20"/>
        </w:rPr>
        <w:t>Los cuatro países andinos han tratado de facilitar la introducción de</w:t>
      </w:r>
      <w:r>
        <w:rPr>
          <w:color w:val="231F20"/>
          <w:spacing w:val="-34"/>
        </w:rPr>
        <w:t> </w:t>
      </w:r>
      <w:r>
        <w:rPr>
          <w:color w:val="231F20"/>
        </w:rPr>
        <w:t>los recursos conseguidos en el exterior, regularmente a través de incentivos tributarios y han respaldado emprendimientos productivos de los</w:t>
      </w:r>
      <w:r>
        <w:rPr>
          <w:color w:val="231F20"/>
          <w:spacing w:val="-30"/>
        </w:rPr>
        <w:t> </w:t>
      </w:r>
      <w:r>
        <w:rPr>
          <w:color w:val="231F20"/>
        </w:rPr>
        <w:t>llegados, todos ellos con éxitos bastante modestos. Ecuador ha sido el que mayo- res recursos ha dedicado al tema y mayores logros exhibe. La experiencia colombiana parece distinguirse por sus programas de acompañamiento más generales, incorporando elementos extraeconómicos que</w:t>
      </w:r>
      <w:r>
        <w:rPr>
          <w:color w:val="231F20"/>
          <w:spacing w:val="-27"/>
        </w:rPr>
        <w:t> </w:t>
      </w:r>
      <w:r>
        <w:rPr>
          <w:color w:val="231F20"/>
        </w:rPr>
        <w:t>pretenderían amortiguar</w:t>
      </w:r>
      <w:r>
        <w:rPr>
          <w:color w:val="231F20"/>
          <w:spacing w:val="-6"/>
        </w:rPr>
        <w:t> </w:t>
      </w:r>
      <w:r>
        <w:rPr>
          <w:color w:val="231F20"/>
        </w:rPr>
        <w:t>el</w:t>
      </w:r>
      <w:r>
        <w:rPr>
          <w:color w:val="231F20"/>
          <w:spacing w:val="-5"/>
        </w:rPr>
        <w:t> </w:t>
      </w:r>
      <w:r>
        <w:rPr>
          <w:color w:val="231F20"/>
        </w:rPr>
        <w:t>traumatismo</w:t>
      </w:r>
      <w:r>
        <w:rPr>
          <w:color w:val="231F20"/>
          <w:spacing w:val="-6"/>
        </w:rPr>
        <w:t> </w:t>
      </w:r>
      <w:r>
        <w:rPr>
          <w:color w:val="231F20"/>
        </w:rPr>
        <w:t>del</w:t>
      </w:r>
      <w:r>
        <w:rPr>
          <w:color w:val="231F20"/>
          <w:spacing w:val="-5"/>
        </w:rPr>
        <w:t> </w:t>
      </w:r>
      <w:r>
        <w:rPr>
          <w:color w:val="231F20"/>
        </w:rPr>
        <w:t>retorno</w:t>
      </w:r>
      <w:r>
        <w:rPr>
          <w:color w:val="231F20"/>
          <w:spacing w:val="-5"/>
        </w:rPr>
        <w:t> </w:t>
      </w:r>
      <w:r>
        <w:rPr>
          <w:color w:val="231F20"/>
        </w:rPr>
        <w:t>y</w:t>
      </w:r>
      <w:r>
        <w:rPr>
          <w:color w:val="231F20"/>
          <w:spacing w:val="-5"/>
        </w:rPr>
        <w:t> </w:t>
      </w:r>
      <w:r>
        <w:rPr>
          <w:color w:val="231F20"/>
        </w:rPr>
        <w:t>facilitar</w:t>
      </w:r>
      <w:r>
        <w:rPr>
          <w:color w:val="231F20"/>
          <w:spacing w:val="-5"/>
        </w:rPr>
        <w:t> </w:t>
      </w:r>
      <w:r>
        <w:rPr>
          <w:color w:val="231F20"/>
        </w:rPr>
        <w:t>la</w:t>
      </w:r>
      <w:r>
        <w:rPr>
          <w:color w:val="231F20"/>
          <w:spacing w:val="-5"/>
        </w:rPr>
        <w:t> </w:t>
      </w:r>
      <w:r>
        <w:rPr>
          <w:color w:val="231F20"/>
        </w:rPr>
        <w:t>adaptación;</w:t>
      </w:r>
      <w:r>
        <w:rPr>
          <w:color w:val="231F20"/>
          <w:spacing w:val="-5"/>
        </w:rPr>
        <w:t> </w:t>
      </w:r>
      <w:r>
        <w:rPr>
          <w:color w:val="231F20"/>
        </w:rPr>
        <w:t>aun</w:t>
      </w:r>
      <w:r>
        <w:rPr>
          <w:color w:val="231F20"/>
          <w:spacing w:val="-5"/>
        </w:rPr>
        <w:t> </w:t>
      </w:r>
      <w:r>
        <w:rPr>
          <w:color w:val="231F20"/>
        </w:rPr>
        <w:t>así,</w:t>
      </w:r>
      <w:r>
        <w:rPr>
          <w:color w:val="231F20"/>
          <w:spacing w:val="-5"/>
        </w:rPr>
        <w:t> </w:t>
      </w:r>
      <w:r>
        <w:rPr>
          <w:color w:val="231F20"/>
        </w:rPr>
        <w:t>las políticas</w:t>
      </w:r>
      <w:r>
        <w:rPr>
          <w:color w:val="231F20"/>
          <w:spacing w:val="-7"/>
        </w:rPr>
        <w:t> </w:t>
      </w:r>
      <w:r>
        <w:rPr>
          <w:color w:val="231F20"/>
        </w:rPr>
        <w:t>colombianas</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rPr>
        <w:t>mostrarían</w:t>
      </w:r>
      <w:r>
        <w:rPr>
          <w:color w:val="231F20"/>
          <w:spacing w:val="-8"/>
        </w:rPr>
        <w:t> </w:t>
      </w:r>
      <w:r>
        <w:rPr>
          <w:color w:val="231F20"/>
        </w:rPr>
        <w:t>exentas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mala</w:t>
      </w:r>
      <w:r>
        <w:rPr>
          <w:color w:val="231F20"/>
          <w:spacing w:val="-7"/>
        </w:rPr>
        <w:t> </w:t>
      </w:r>
      <w:r>
        <w:rPr>
          <w:color w:val="231F20"/>
        </w:rPr>
        <w:t>implementación y la percepción general sobre ellas no resultaría del todo</w:t>
      </w:r>
      <w:r>
        <w:rPr>
          <w:color w:val="231F20"/>
          <w:spacing w:val="-20"/>
        </w:rPr>
        <w:t> </w:t>
      </w:r>
      <w:r>
        <w:rPr>
          <w:color w:val="231F20"/>
        </w:rPr>
        <w:t>satisfactoria.</w:t>
      </w:r>
    </w:p>
    <w:p>
      <w:pPr>
        <w:pStyle w:val="BodyText"/>
        <w:spacing w:line="247" w:lineRule="auto"/>
        <w:ind w:left="117" w:right="114" w:firstLine="283"/>
        <w:jc w:val="both"/>
      </w:pPr>
      <w:r>
        <w:rPr>
          <w:color w:val="231F20"/>
        </w:rPr>
        <w:t>Por</w:t>
      </w:r>
      <w:r>
        <w:rPr>
          <w:color w:val="231F20"/>
          <w:spacing w:val="-9"/>
        </w:rPr>
        <w:t> </w:t>
      </w:r>
      <w:r>
        <w:rPr>
          <w:color w:val="231F20"/>
        </w:rPr>
        <w:t>su</w:t>
      </w:r>
      <w:r>
        <w:rPr>
          <w:color w:val="231F20"/>
          <w:spacing w:val="-9"/>
        </w:rPr>
        <w:t> </w:t>
      </w:r>
      <w:r>
        <w:rPr>
          <w:color w:val="231F20"/>
        </w:rPr>
        <w:t>parte,</w:t>
      </w:r>
      <w:r>
        <w:rPr>
          <w:color w:val="231F20"/>
          <w:spacing w:val="-10"/>
        </w:rPr>
        <w:t> </w:t>
      </w:r>
      <w:r>
        <w:rPr>
          <w:color w:val="231F20"/>
        </w:rPr>
        <w:t>la</w:t>
      </w:r>
      <w:r>
        <w:rPr>
          <w:color w:val="231F20"/>
          <w:spacing w:val="-10"/>
        </w:rPr>
        <w:t> </w:t>
      </w:r>
      <w:r>
        <w:rPr>
          <w:color w:val="231F20"/>
        </w:rPr>
        <w:t>política</w:t>
      </w:r>
      <w:r>
        <w:rPr>
          <w:color w:val="231F20"/>
          <w:spacing w:val="-10"/>
        </w:rPr>
        <w:t> </w:t>
      </w:r>
      <w:r>
        <w:rPr>
          <w:color w:val="231F20"/>
        </w:rPr>
        <w:t>de</w:t>
      </w:r>
      <w:r>
        <w:rPr>
          <w:color w:val="231F20"/>
          <w:spacing w:val="-10"/>
        </w:rPr>
        <w:t> </w:t>
      </w:r>
      <w:r>
        <w:rPr>
          <w:color w:val="231F20"/>
        </w:rPr>
        <w:t>retorno</w:t>
      </w:r>
      <w:r>
        <w:rPr>
          <w:color w:val="231F20"/>
          <w:spacing w:val="-10"/>
        </w:rPr>
        <w:t> </w:t>
      </w:r>
      <w:r>
        <w:rPr>
          <w:color w:val="231F20"/>
        </w:rPr>
        <w:t>española,</w:t>
      </w:r>
      <w:r>
        <w:rPr>
          <w:color w:val="231F20"/>
          <w:spacing w:val="-10"/>
        </w:rPr>
        <w:t> </w:t>
      </w:r>
      <w:r>
        <w:rPr>
          <w:color w:val="231F20"/>
        </w:rPr>
        <w:t>enmarcada</w:t>
      </w:r>
      <w:r>
        <w:rPr>
          <w:color w:val="231F20"/>
          <w:spacing w:val="-10"/>
        </w:rPr>
        <w:t> </w:t>
      </w:r>
      <w:r>
        <w:rPr>
          <w:color w:val="231F20"/>
        </w:rPr>
        <w:t>en</w:t>
      </w:r>
      <w:r>
        <w:rPr>
          <w:color w:val="231F20"/>
          <w:spacing w:val="-10"/>
        </w:rPr>
        <w:t> </w:t>
      </w:r>
      <w:r>
        <w:rPr>
          <w:color w:val="231F20"/>
        </w:rPr>
        <w:t>lineamientos de la Unión Europea, no parece ir mucho más lejos del proceso de sali-  da del país, desinteresándose por la evolución del migrante ya en origen, asunto que pudo haber limitado su éxito; de hecho, al observar a los</w:t>
      </w:r>
      <w:r>
        <w:rPr>
          <w:color w:val="231F20"/>
          <w:spacing w:val="-2"/>
        </w:rPr>
        <w:t> </w:t>
      </w:r>
      <w:r>
        <w:rPr>
          <w:color w:val="231F20"/>
        </w:rPr>
        <w:t>bene-</w:t>
      </w:r>
    </w:p>
    <w:p>
      <w:pPr>
        <w:spacing w:after="0" w:line="247" w:lineRule="auto"/>
        <w:jc w:val="both"/>
        <w:sectPr>
          <w:pgSz w:w="9360" w:h="13040"/>
          <w:pgMar w:header="0" w:footer="496" w:top="820" w:bottom="680" w:left="1300" w:right="1300"/>
        </w:sectPr>
      </w:pPr>
    </w:p>
    <w:p>
      <w:pPr>
        <w:spacing w:before="45"/>
        <w:ind w:left="117" w:right="0" w:firstLine="1352"/>
        <w:jc w:val="left"/>
        <w:rPr>
          <w:rFonts w:ascii="Arial" w:hAnsi="Arial"/>
          <w:sz w:val="20"/>
        </w:rPr>
      </w:pPr>
      <w:r>
        <w:rPr>
          <w:rFonts w:ascii="Arial" w:hAnsi="Arial"/>
          <w:color w:val="231F20"/>
          <w:w w:val="65"/>
          <w:sz w:val="20"/>
        </w:rPr>
        <w:t>Retorno de migrantes a la Comunidad Andina /William Mejía-Ochoa y Yeim Claudia Castro</w:t>
      </w:r>
    </w:p>
    <w:p>
      <w:pPr>
        <w:pStyle w:val="BodyText"/>
        <w:spacing w:before="7"/>
        <w:rPr>
          <w:rFonts w:ascii="Arial"/>
          <w:sz w:val="28"/>
        </w:rPr>
      </w:pPr>
    </w:p>
    <w:p>
      <w:pPr>
        <w:pStyle w:val="BodyText"/>
        <w:spacing w:line="247" w:lineRule="auto"/>
        <w:ind w:left="117" w:right="117"/>
      </w:pPr>
      <w:r>
        <w:rPr>
          <w:color w:val="231F20"/>
        </w:rPr>
        <w:t>ficiarios de los programas españoles, se reconoce que representan apenas una pequeña parte del retorno de los países andinos.</w:t>
      </w:r>
    </w:p>
    <w:p>
      <w:pPr>
        <w:pStyle w:val="BodyText"/>
        <w:spacing w:line="247" w:lineRule="auto"/>
        <w:ind w:left="117" w:right="115" w:firstLine="283"/>
        <w:jc w:val="both"/>
      </w:pPr>
      <w:r>
        <w:rPr>
          <w:color w:val="231F20"/>
        </w:rPr>
        <w:t>Más allá de los rasgos generales del fenómeno de retorno, existen al- gunas particularidades para cada país que se detallan en el texto, entre ellas</w:t>
      </w:r>
      <w:r>
        <w:rPr>
          <w:color w:val="231F20"/>
          <w:spacing w:val="-6"/>
        </w:rPr>
        <w:t> </w:t>
      </w:r>
      <w:r>
        <w:rPr>
          <w:color w:val="231F20"/>
        </w:rPr>
        <w:t>cabe</w:t>
      </w:r>
      <w:r>
        <w:rPr>
          <w:color w:val="231F20"/>
          <w:spacing w:val="-6"/>
        </w:rPr>
        <w:t> </w:t>
      </w:r>
      <w:r>
        <w:rPr>
          <w:color w:val="231F20"/>
        </w:rPr>
        <w:t>resaltar</w:t>
      </w:r>
      <w:r>
        <w:rPr>
          <w:color w:val="231F20"/>
          <w:spacing w:val="-6"/>
        </w:rPr>
        <w:t> </w:t>
      </w:r>
      <w:r>
        <w:rPr>
          <w:color w:val="231F20"/>
        </w:rPr>
        <w:t>la</w:t>
      </w:r>
      <w:r>
        <w:rPr>
          <w:color w:val="231F20"/>
          <w:spacing w:val="-6"/>
        </w:rPr>
        <w:t> </w:t>
      </w:r>
      <w:r>
        <w:rPr>
          <w:color w:val="231F20"/>
        </w:rPr>
        <w:t>migración</w:t>
      </w:r>
      <w:r>
        <w:rPr>
          <w:color w:val="231F20"/>
          <w:spacing w:val="-5"/>
        </w:rPr>
        <w:t> </w:t>
      </w:r>
      <w:r>
        <w:rPr>
          <w:color w:val="231F20"/>
        </w:rPr>
        <w:t>de</w:t>
      </w:r>
      <w:r>
        <w:rPr>
          <w:color w:val="231F20"/>
          <w:spacing w:val="-6"/>
        </w:rPr>
        <w:t> </w:t>
      </w:r>
      <w:r>
        <w:rPr>
          <w:color w:val="231F20"/>
        </w:rPr>
        <w:t>características</w:t>
      </w:r>
      <w:r>
        <w:rPr>
          <w:color w:val="231F20"/>
          <w:spacing w:val="-7"/>
        </w:rPr>
        <w:t> </w:t>
      </w:r>
      <w:r>
        <w:rPr>
          <w:color w:val="231F20"/>
        </w:rPr>
        <w:t>autónomas</w:t>
      </w:r>
      <w:r>
        <w:rPr>
          <w:color w:val="231F20"/>
          <w:spacing w:val="-5"/>
        </w:rPr>
        <w:t> </w:t>
      </w:r>
      <w:r>
        <w:rPr>
          <w:color w:val="231F20"/>
        </w:rPr>
        <w:t>que</w:t>
      </w:r>
      <w:r>
        <w:rPr>
          <w:color w:val="231F20"/>
          <w:spacing w:val="-6"/>
        </w:rPr>
        <w:t> </w:t>
      </w:r>
      <w:r>
        <w:rPr>
          <w:color w:val="231F20"/>
        </w:rPr>
        <w:t>ha</w:t>
      </w:r>
      <w:r>
        <w:rPr>
          <w:color w:val="231F20"/>
          <w:spacing w:val="-6"/>
        </w:rPr>
        <w:t> </w:t>
      </w:r>
      <w:r>
        <w:rPr>
          <w:color w:val="231F20"/>
        </w:rPr>
        <w:t>predo- minado en Perú, donde, además, parece observarse, en años recientes, un proceso de retorno sostenido y reducción de la emigración; una mayor va- riabilidad</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tasas</w:t>
      </w:r>
      <w:r>
        <w:rPr>
          <w:color w:val="231F20"/>
          <w:spacing w:val="-8"/>
        </w:rPr>
        <w:t> </w:t>
      </w:r>
      <w:r>
        <w:rPr>
          <w:color w:val="231F20"/>
        </w:rPr>
        <w:t>de</w:t>
      </w:r>
      <w:r>
        <w:rPr>
          <w:color w:val="231F20"/>
          <w:spacing w:val="-8"/>
        </w:rPr>
        <w:t> </w:t>
      </w:r>
      <w:r>
        <w:rPr>
          <w:color w:val="231F20"/>
        </w:rPr>
        <w:t>emigración</w:t>
      </w:r>
      <w:r>
        <w:rPr>
          <w:color w:val="231F20"/>
          <w:spacing w:val="-9"/>
        </w:rPr>
        <w:t> </w:t>
      </w:r>
      <w:r>
        <w:rPr>
          <w:color w:val="231F20"/>
        </w:rPr>
        <w:t>desde</w:t>
      </w:r>
      <w:r>
        <w:rPr>
          <w:color w:val="231F20"/>
          <w:spacing w:val="-8"/>
        </w:rPr>
        <w:t> </w:t>
      </w:r>
      <w:r>
        <w:rPr>
          <w:color w:val="231F20"/>
        </w:rPr>
        <w:t>España</w:t>
      </w:r>
      <w:r>
        <w:rPr>
          <w:color w:val="231F20"/>
          <w:spacing w:val="-8"/>
        </w:rPr>
        <w:t> </w:t>
      </w:r>
      <w:r>
        <w:rPr>
          <w:color w:val="231F20"/>
        </w:rPr>
        <w:t>por</w:t>
      </w:r>
      <w:r>
        <w:rPr>
          <w:color w:val="231F20"/>
          <w:spacing w:val="-8"/>
        </w:rPr>
        <w:t> </w:t>
      </w:r>
      <w:r>
        <w:rPr>
          <w:color w:val="231F20"/>
        </w:rPr>
        <w:t>parte</w:t>
      </w:r>
      <w:r>
        <w:rPr>
          <w:color w:val="231F20"/>
          <w:spacing w:val="-8"/>
        </w:rPr>
        <w:t> </w:t>
      </w:r>
      <w:r>
        <w:rPr>
          <w:color w:val="231F20"/>
        </w:rPr>
        <w:t>de</w:t>
      </w:r>
      <w:r>
        <w:rPr>
          <w:color w:val="231F20"/>
          <w:spacing w:val="-8"/>
        </w:rPr>
        <w:t> </w:t>
      </w:r>
      <w:r>
        <w:rPr>
          <w:color w:val="231F20"/>
        </w:rPr>
        <w:t>Ecuador;</w:t>
      </w:r>
      <w:r>
        <w:rPr>
          <w:color w:val="231F20"/>
          <w:spacing w:val="-9"/>
        </w:rPr>
        <w:t> </w:t>
      </w:r>
      <w:r>
        <w:rPr>
          <w:color w:val="231F20"/>
        </w:rPr>
        <w:t>el caso</w:t>
      </w:r>
      <w:r>
        <w:rPr>
          <w:color w:val="231F20"/>
          <w:spacing w:val="-11"/>
        </w:rPr>
        <w:t> </w:t>
      </w:r>
      <w:r>
        <w:rPr>
          <w:color w:val="231F20"/>
        </w:rPr>
        <w:t>de</w:t>
      </w:r>
      <w:r>
        <w:rPr>
          <w:color w:val="231F20"/>
          <w:spacing w:val="-11"/>
        </w:rPr>
        <w:t> </w:t>
      </w:r>
      <w:r>
        <w:rPr>
          <w:color w:val="231F20"/>
        </w:rPr>
        <w:t>Bolivia,</w:t>
      </w:r>
      <w:r>
        <w:rPr>
          <w:color w:val="231F20"/>
          <w:spacing w:val="-11"/>
        </w:rPr>
        <w:t> </w:t>
      </w:r>
      <w:r>
        <w:rPr>
          <w:color w:val="231F20"/>
        </w:rPr>
        <w:t>donde</w:t>
      </w:r>
      <w:r>
        <w:rPr>
          <w:color w:val="231F20"/>
          <w:spacing w:val="-11"/>
        </w:rPr>
        <w:t> </w:t>
      </w:r>
      <w:r>
        <w:rPr>
          <w:color w:val="231F20"/>
        </w:rPr>
        <w:t>el</w:t>
      </w:r>
      <w:r>
        <w:rPr>
          <w:color w:val="231F20"/>
          <w:spacing w:val="-11"/>
        </w:rPr>
        <w:t> </w:t>
      </w:r>
      <w:r>
        <w:rPr>
          <w:color w:val="231F20"/>
        </w:rPr>
        <w:t>retorno</w:t>
      </w:r>
      <w:r>
        <w:rPr>
          <w:color w:val="231F20"/>
          <w:spacing w:val="-11"/>
        </w:rPr>
        <w:t> </w:t>
      </w:r>
      <w:r>
        <w:rPr>
          <w:color w:val="231F20"/>
        </w:rPr>
        <w:t>sí</w:t>
      </w:r>
      <w:r>
        <w:rPr>
          <w:color w:val="231F20"/>
          <w:spacing w:val="-11"/>
        </w:rPr>
        <w:t> </w:t>
      </w:r>
      <w:r>
        <w:rPr>
          <w:color w:val="231F20"/>
        </w:rPr>
        <w:t>parece</w:t>
      </w:r>
      <w:r>
        <w:rPr>
          <w:color w:val="231F20"/>
          <w:spacing w:val="-11"/>
        </w:rPr>
        <w:t> </w:t>
      </w:r>
      <w:r>
        <w:rPr>
          <w:color w:val="231F20"/>
        </w:rPr>
        <w:t>estar</w:t>
      </w:r>
      <w:r>
        <w:rPr>
          <w:color w:val="231F20"/>
          <w:spacing w:val="-11"/>
        </w:rPr>
        <w:t> </w:t>
      </w:r>
      <w:r>
        <w:rPr>
          <w:color w:val="231F20"/>
        </w:rPr>
        <w:t>particularmente</w:t>
      </w:r>
      <w:r>
        <w:rPr>
          <w:color w:val="231F20"/>
          <w:spacing w:val="-11"/>
        </w:rPr>
        <w:t> </w:t>
      </w:r>
      <w:r>
        <w:rPr>
          <w:color w:val="231F20"/>
        </w:rPr>
        <w:t>asociado</w:t>
      </w:r>
      <w:r>
        <w:rPr>
          <w:color w:val="231F20"/>
          <w:spacing w:val="-11"/>
        </w:rPr>
        <w:t> </w:t>
      </w:r>
      <w:r>
        <w:rPr>
          <w:color w:val="231F20"/>
        </w:rPr>
        <w:t>a la crisis económica en destino y Colombia, donde lo que estaría sucedien- do sería la proliferación de nuevos destinos. Es así como cualquier tipo de intervención sobre la población de retornados exige un análisis particular, que permita identificar cuán convenientes son las medidas propuestas a la población objetivo.</w:t>
      </w:r>
    </w:p>
    <w:p>
      <w:pPr>
        <w:pStyle w:val="BodyText"/>
        <w:spacing w:line="247" w:lineRule="auto"/>
        <w:ind w:left="117" w:right="114" w:firstLine="283"/>
        <w:jc w:val="both"/>
      </w:pPr>
      <w:r>
        <w:rPr>
          <w:color w:val="231F20"/>
        </w:rPr>
        <w:t>Se han analizado algunos otros elementos vinculados al retorno, como el fenómeno de la xenofobia. Al respecto es posible afirmar que, si bien</w:t>
      </w:r>
      <w:r>
        <w:rPr>
          <w:color w:val="231F20"/>
          <w:spacing w:val="-20"/>
        </w:rPr>
        <w:t> </w:t>
      </w:r>
      <w:r>
        <w:rPr>
          <w:color w:val="231F20"/>
        </w:rPr>
        <w:t>la evidencia empírica internacional y la teoría establecen cómo en periodos de</w:t>
      </w:r>
      <w:r>
        <w:rPr>
          <w:color w:val="231F20"/>
          <w:spacing w:val="-9"/>
        </w:rPr>
        <w:t> </w:t>
      </w:r>
      <w:r>
        <w:rPr>
          <w:color w:val="231F20"/>
        </w:rPr>
        <w:t>recesión</w:t>
      </w:r>
      <w:r>
        <w:rPr>
          <w:color w:val="231F20"/>
          <w:spacing w:val="-9"/>
        </w:rPr>
        <w:t> </w:t>
      </w:r>
      <w:r>
        <w:rPr>
          <w:color w:val="231F20"/>
        </w:rPr>
        <w:t>económica</w:t>
      </w:r>
      <w:r>
        <w:rPr>
          <w:color w:val="231F20"/>
          <w:spacing w:val="-9"/>
        </w:rPr>
        <w:t> </w:t>
      </w:r>
      <w:r>
        <w:rPr>
          <w:color w:val="231F20"/>
        </w:rPr>
        <w:t>la</w:t>
      </w:r>
      <w:r>
        <w:rPr>
          <w:color w:val="231F20"/>
          <w:spacing w:val="-9"/>
        </w:rPr>
        <w:t> </w:t>
      </w:r>
      <w:r>
        <w:rPr>
          <w:color w:val="231F20"/>
        </w:rPr>
        <w:t>xenofobia</w:t>
      </w:r>
      <w:r>
        <w:rPr>
          <w:color w:val="231F20"/>
          <w:spacing w:val="-9"/>
        </w:rPr>
        <w:t> </w:t>
      </w:r>
      <w:r>
        <w:rPr>
          <w:color w:val="231F20"/>
        </w:rPr>
        <w:t>habría</w:t>
      </w:r>
      <w:r>
        <w:rPr>
          <w:color w:val="231F20"/>
          <w:spacing w:val="-9"/>
        </w:rPr>
        <w:t> </w:t>
      </w:r>
      <w:r>
        <w:rPr>
          <w:color w:val="231F20"/>
        </w:rPr>
        <w:t>de</w:t>
      </w:r>
      <w:r>
        <w:rPr>
          <w:color w:val="231F20"/>
          <w:spacing w:val="-9"/>
        </w:rPr>
        <w:t> </w:t>
      </w:r>
      <w:r>
        <w:rPr>
          <w:color w:val="231F20"/>
        </w:rPr>
        <w:t>aumentar,</w:t>
      </w:r>
      <w:r>
        <w:rPr>
          <w:color w:val="231F20"/>
          <w:spacing w:val="-9"/>
        </w:rPr>
        <w:t> </w:t>
      </w:r>
      <w:r>
        <w:rPr>
          <w:color w:val="231F20"/>
        </w:rPr>
        <w:t>para</w:t>
      </w:r>
      <w:r>
        <w:rPr>
          <w:color w:val="231F20"/>
          <w:spacing w:val="-9"/>
        </w:rPr>
        <w:t> </w:t>
      </w:r>
      <w:r>
        <w:rPr>
          <w:color w:val="231F20"/>
        </w:rPr>
        <w:t>el</w:t>
      </w:r>
      <w:r>
        <w:rPr>
          <w:color w:val="231F20"/>
          <w:spacing w:val="-9"/>
        </w:rPr>
        <w:t> </w:t>
      </w:r>
      <w:r>
        <w:rPr>
          <w:color w:val="231F20"/>
        </w:rPr>
        <w:t>caso</w:t>
      </w:r>
      <w:r>
        <w:rPr>
          <w:color w:val="231F20"/>
          <w:spacing w:val="-9"/>
        </w:rPr>
        <w:t> </w:t>
      </w:r>
      <w:r>
        <w:rPr>
          <w:color w:val="231F20"/>
        </w:rPr>
        <w:t>de</w:t>
      </w:r>
      <w:r>
        <w:rPr>
          <w:color w:val="231F20"/>
          <w:spacing w:val="-9"/>
        </w:rPr>
        <w:t> </w:t>
      </w:r>
      <w:r>
        <w:rPr>
          <w:color w:val="231F20"/>
        </w:rPr>
        <w:t>los migrantes andinos no se encontró evidencia contundente que respaldara  la idea de un incremento en el rechazo a partir de la crisis económica, aún cuando</w:t>
      </w:r>
      <w:r>
        <w:rPr>
          <w:color w:val="231F20"/>
          <w:spacing w:val="-10"/>
        </w:rPr>
        <w:t> </w:t>
      </w:r>
      <w:r>
        <w:rPr>
          <w:color w:val="231F20"/>
        </w:rPr>
        <w:t>entre</w:t>
      </w:r>
      <w:r>
        <w:rPr>
          <w:color w:val="231F20"/>
          <w:spacing w:val="-10"/>
        </w:rPr>
        <w:t> </w:t>
      </w:r>
      <w:r>
        <w:rPr>
          <w:color w:val="231F20"/>
        </w:rPr>
        <w:t>los</w:t>
      </w:r>
      <w:r>
        <w:rPr>
          <w:color w:val="231F20"/>
          <w:spacing w:val="-10"/>
        </w:rPr>
        <w:t> </w:t>
      </w:r>
      <w:r>
        <w:rPr>
          <w:color w:val="231F20"/>
        </w:rPr>
        <w:t>entrevistados</w:t>
      </w:r>
      <w:r>
        <w:rPr>
          <w:color w:val="231F20"/>
          <w:spacing w:val="-10"/>
        </w:rPr>
        <w:t> </w:t>
      </w:r>
      <w:r>
        <w:rPr>
          <w:color w:val="231F20"/>
        </w:rPr>
        <w:t>se</w:t>
      </w:r>
      <w:r>
        <w:rPr>
          <w:color w:val="231F20"/>
          <w:spacing w:val="-9"/>
        </w:rPr>
        <w:t> </w:t>
      </w:r>
      <w:r>
        <w:rPr>
          <w:color w:val="231F20"/>
        </w:rPr>
        <w:t>encontraron</w:t>
      </w:r>
      <w:r>
        <w:rPr>
          <w:color w:val="231F20"/>
          <w:spacing w:val="-10"/>
        </w:rPr>
        <w:t> </w:t>
      </w:r>
      <w:r>
        <w:rPr>
          <w:color w:val="231F20"/>
        </w:rPr>
        <w:t>permanentes</w:t>
      </w:r>
      <w:r>
        <w:rPr>
          <w:color w:val="231F20"/>
          <w:spacing w:val="-9"/>
        </w:rPr>
        <w:t> </w:t>
      </w:r>
      <w:r>
        <w:rPr>
          <w:color w:val="231F20"/>
        </w:rPr>
        <w:t>alusiones</w:t>
      </w:r>
      <w:r>
        <w:rPr>
          <w:color w:val="231F20"/>
          <w:spacing w:val="-10"/>
        </w:rPr>
        <w:t> </w:t>
      </w:r>
      <w:r>
        <w:rPr>
          <w:color w:val="231F20"/>
        </w:rPr>
        <w:t>a</w:t>
      </w:r>
      <w:r>
        <w:rPr>
          <w:color w:val="231F20"/>
          <w:spacing w:val="-9"/>
        </w:rPr>
        <w:t> </w:t>
      </w:r>
      <w:r>
        <w:rPr>
          <w:color w:val="231F20"/>
        </w:rPr>
        <w:t>am- bientes hostiles en países como</w:t>
      </w:r>
      <w:r>
        <w:rPr>
          <w:color w:val="231F20"/>
          <w:spacing w:val="-2"/>
        </w:rPr>
        <w:t> </w:t>
      </w:r>
      <w:r>
        <w:rPr>
          <w:color w:val="231F20"/>
        </w:rPr>
        <w:t>España.</w:t>
      </w:r>
    </w:p>
    <w:p>
      <w:pPr>
        <w:pStyle w:val="BodyText"/>
        <w:spacing w:line="247" w:lineRule="auto"/>
        <w:ind w:left="117" w:right="114" w:firstLine="283"/>
        <w:jc w:val="both"/>
      </w:pPr>
      <w:r>
        <w:rPr>
          <w:color w:val="231F20"/>
        </w:rPr>
        <w:t>En resumidas cuentas, las dinámicas del retorno de migrantes andinos están lejos de encajar en un modelo simple. El deterioro de la actividad económica de los países de destino ha ejercido un importante papel en     el direccionamiento de los nuevos flujos migratorios, pero su relevancia parece haberse sobreestimado. Aspectos socioculturales estarían jugando un papel tanto o más importante y la dirección de sus efectos podría no coincidir con las de los incentivos económicos. Por otra parte, algunos elementos parecen haber sido simplemente secundarios, como los apoyos institucionales al retorno, aún cuando un número no despreciable de</w:t>
      </w:r>
      <w:r>
        <w:rPr>
          <w:color w:val="231F20"/>
          <w:spacing w:val="-16"/>
        </w:rPr>
        <w:t> </w:t>
      </w:r>
      <w:r>
        <w:rPr>
          <w:color w:val="231F20"/>
        </w:rPr>
        <w:t>retor- nados se han beneficiado de dichos</w:t>
      </w:r>
      <w:r>
        <w:rPr>
          <w:color w:val="231F20"/>
          <w:spacing w:val="-12"/>
        </w:rPr>
        <w:t> </w:t>
      </w:r>
      <w:r>
        <w:rPr>
          <w:color w:val="231F20"/>
        </w:rPr>
        <w:t>programas.</w:t>
      </w:r>
    </w:p>
    <w:p>
      <w:pPr>
        <w:pStyle w:val="BodyText"/>
        <w:rPr>
          <w:sz w:val="23"/>
        </w:rPr>
      </w:pPr>
    </w:p>
    <w:p>
      <w:pPr>
        <w:pStyle w:val="Heading3"/>
        <w:spacing w:before="70"/>
        <w:ind w:right="117"/>
        <w:jc w:val="left"/>
      </w:pPr>
      <w:r>
        <w:rPr>
          <w:color w:val="231F20"/>
        </w:rPr>
        <w:t>Bibliografía</w:t>
      </w:r>
    </w:p>
    <w:p>
      <w:pPr>
        <w:pStyle w:val="BodyText"/>
        <w:spacing w:before="10"/>
        <w:rPr>
          <w:b/>
          <w:sz w:val="12"/>
        </w:rPr>
      </w:pPr>
    </w:p>
    <w:p>
      <w:pPr>
        <w:spacing w:line="210" w:lineRule="exact" w:before="94"/>
        <w:ind w:left="117" w:right="115" w:firstLine="0"/>
        <w:jc w:val="both"/>
        <w:rPr>
          <w:sz w:val="20"/>
        </w:rPr>
      </w:pPr>
      <w:r>
        <w:rPr>
          <w:color w:val="231F20"/>
          <w:sz w:val="20"/>
        </w:rPr>
        <w:t>AMMASSARI, S. y R Black, 2001, </w:t>
      </w:r>
      <w:r>
        <w:rPr>
          <w:i/>
          <w:color w:val="231F20"/>
          <w:sz w:val="20"/>
        </w:rPr>
        <w:t>Harnnesing potencial of migration and re- </w:t>
      </w:r>
      <w:r>
        <w:rPr>
          <w:i/>
          <w:color w:val="231F20"/>
          <w:sz w:val="20"/>
        </w:rPr>
        <w:t>turn to promote development. applying concepts to West Africa</w:t>
      </w:r>
      <w:r>
        <w:rPr>
          <w:color w:val="231F20"/>
          <w:sz w:val="20"/>
        </w:rPr>
        <w:t>, IOM Migration Research Series.</w:t>
      </w:r>
    </w:p>
    <w:p>
      <w:pPr>
        <w:spacing w:line="210" w:lineRule="exact" w:before="113"/>
        <w:ind w:left="117" w:right="115" w:firstLine="0"/>
        <w:jc w:val="both"/>
        <w:rPr>
          <w:sz w:val="20"/>
        </w:rPr>
      </w:pPr>
      <w:r>
        <w:rPr>
          <w:color w:val="231F20"/>
          <w:sz w:val="20"/>
        </w:rPr>
        <w:t>DANE, 2007, “Conciliación Censal 1985-2005”, en </w:t>
      </w:r>
      <w:r>
        <w:rPr>
          <w:i/>
          <w:color w:val="231F20"/>
          <w:sz w:val="20"/>
        </w:rPr>
        <w:t>Estimación de la Migración </w:t>
      </w:r>
      <w:r>
        <w:rPr>
          <w:i/>
          <w:color w:val="231F20"/>
          <w:sz w:val="20"/>
        </w:rPr>
        <w:t>1973-2005</w:t>
      </w:r>
      <w:r>
        <w:rPr>
          <w:color w:val="231F20"/>
          <w:sz w:val="20"/>
        </w:rPr>
        <w:t>, Planib, Colombia.</w:t>
      </w:r>
    </w:p>
    <w:p>
      <w:pPr>
        <w:spacing w:after="0" w:line="210" w:lineRule="exact"/>
        <w:jc w:val="both"/>
        <w:rPr>
          <w:sz w:val="20"/>
        </w:rPr>
        <w:sectPr>
          <w:pgSz w:w="9360" w:h="13040"/>
          <w:pgMar w:header="0" w:footer="496" w:top="740" w:bottom="680" w:left="1300" w:right="1300"/>
        </w:sectPr>
      </w:pPr>
    </w:p>
    <w:p>
      <w:pPr>
        <w:tabs>
          <w:tab w:pos="5536" w:val="left" w:leader="none"/>
        </w:tabs>
        <w:spacing w:before="34"/>
        <w:ind w:left="117" w:right="0" w:firstLine="7"/>
        <w:jc w:val="both"/>
        <w:rPr>
          <w:sz w:val="18"/>
        </w:rPr>
      </w:pPr>
      <w:r>
        <w:rPr>
          <w:rFonts w:ascii="Arial" w:hAnsi="Arial"/>
          <w:color w:val="231F20"/>
          <w:w w:val="80"/>
          <w:position w:val="2"/>
          <w:sz w:val="20"/>
        </w:rPr>
        <w:t>Hitos</w:t>
      </w:r>
      <w:r>
        <w:rPr>
          <w:rFonts w:ascii="Arial" w:hAnsi="Arial"/>
          <w:color w:val="231F20"/>
          <w:spacing w:val="-14"/>
          <w:w w:val="80"/>
          <w:position w:val="2"/>
          <w:sz w:val="20"/>
        </w:rPr>
        <w:t> </w:t>
      </w:r>
      <w:r>
        <w:rPr>
          <w:rFonts w:ascii="Arial" w:hAnsi="Arial"/>
          <w:color w:val="231F20"/>
          <w:w w:val="80"/>
          <w:position w:val="2"/>
          <w:sz w:val="20"/>
        </w:rPr>
        <w:t>Demográficos</w:t>
      </w:r>
      <w:r>
        <w:rPr>
          <w:rFonts w:ascii="Arial" w:hAnsi="Arial"/>
          <w:color w:val="231F20"/>
          <w:spacing w:val="-14"/>
          <w:w w:val="80"/>
          <w:position w:val="2"/>
          <w:sz w:val="20"/>
        </w:rPr>
        <w:t> </w:t>
      </w:r>
      <w:r>
        <w:rPr>
          <w:rFonts w:ascii="Arial" w:hAnsi="Arial"/>
          <w:color w:val="231F20"/>
          <w:w w:val="80"/>
          <w:position w:val="2"/>
          <w:sz w:val="20"/>
        </w:rPr>
        <w:t>del</w:t>
      </w:r>
      <w:r>
        <w:rPr>
          <w:rFonts w:ascii="Arial" w:hAnsi="Arial"/>
          <w:color w:val="231F20"/>
          <w:spacing w:val="-14"/>
          <w:w w:val="80"/>
          <w:position w:val="2"/>
          <w:sz w:val="20"/>
        </w:rPr>
        <w:t> </w:t>
      </w:r>
      <w:r>
        <w:rPr>
          <w:rFonts w:ascii="Arial" w:hAnsi="Arial"/>
          <w:color w:val="231F20"/>
          <w:w w:val="80"/>
          <w:position w:val="2"/>
          <w:sz w:val="20"/>
        </w:rPr>
        <w:t>Siglo</w:t>
      </w:r>
      <w:r>
        <w:rPr>
          <w:rFonts w:ascii="Arial" w:hAnsi="Arial"/>
          <w:color w:val="231F20"/>
          <w:spacing w:val="-14"/>
          <w:w w:val="80"/>
          <w:position w:val="2"/>
          <w:sz w:val="20"/>
        </w:rPr>
        <w:t> </w:t>
      </w:r>
      <w:r>
        <w:rPr>
          <w:rFonts w:ascii="Arial" w:hAnsi="Arial"/>
          <w:color w:val="231F20"/>
          <w:w w:val="80"/>
          <w:position w:val="2"/>
          <w:sz w:val="20"/>
        </w:rPr>
        <w:t>XXI:</w:t>
      </w:r>
      <w:r>
        <w:rPr>
          <w:rFonts w:ascii="Arial" w:hAnsi="Arial"/>
          <w:color w:val="231F20"/>
          <w:spacing w:val="-14"/>
          <w:w w:val="80"/>
          <w:position w:val="2"/>
          <w:sz w:val="20"/>
        </w:rPr>
        <w:t> </w:t>
      </w:r>
      <w:r>
        <w:rPr>
          <w:rFonts w:ascii="Arial" w:hAnsi="Arial"/>
          <w:color w:val="231F20"/>
          <w:w w:val="80"/>
          <w:position w:val="2"/>
          <w:sz w:val="20"/>
        </w:rPr>
        <w:t>Migración</w:t>
      </w:r>
      <w:r>
        <w:rPr>
          <w:rFonts w:ascii="Arial" w:hAnsi="Arial"/>
          <w:color w:val="231F20"/>
          <w:spacing w:val="-14"/>
          <w:w w:val="80"/>
          <w:position w:val="2"/>
          <w:sz w:val="20"/>
        </w:rPr>
        <w:t> </w:t>
      </w:r>
      <w:r>
        <w:rPr>
          <w:rFonts w:ascii="Arial" w:hAnsi="Arial"/>
          <w:color w:val="231F20"/>
          <w:w w:val="80"/>
          <w:position w:val="2"/>
          <w:sz w:val="20"/>
        </w:rPr>
        <w:t>Internacional</w:t>
        <w:tab/>
      </w:r>
      <w:r>
        <w:rPr>
          <w:color w:val="231F20"/>
          <w:w w:val="90"/>
          <w:sz w:val="18"/>
        </w:rPr>
        <w:t>CIEAP/UAEM</w:t>
      </w:r>
    </w:p>
    <w:p>
      <w:pPr>
        <w:pStyle w:val="BodyText"/>
        <w:spacing w:before="2"/>
        <w:rPr>
          <w:sz w:val="24"/>
        </w:rPr>
      </w:pPr>
    </w:p>
    <w:p>
      <w:pPr>
        <w:spacing w:line="210" w:lineRule="exact" w:before="1"/>
        <w:ind w:left="117" w:right="115" w:firstLine="0"/>
        <w:jc w:val="both"/>
        <w:rPr>
          <w:sz w:val="20"/>
        </w:rPr>
      </w:pPr>
      <w:r>
        <w:rPr>
          <w:color w:val="231F20"/>
          <w:sz w:val="20"/>
        </w:rPr>
        <w:t>DE</w:t>
      </w:r>
      <w:r>
        <w:rPr>
          <w:color w:val="231F20"/>
          <w:spacing w:val="-9"/>
          <w:sz w:val="20"/>
        </w:rPr>
        <w:t> </w:t>
      </w:r>
      <w:r>
        <w:rPr>
          <w:color w:val="231F20"/>
          <w:sz w:val="20"/>
        </w:rPr>
        <w:t>LA</w:t>
      </w:r>
      <w:r>
        <w:rPr>
          <w:color w:val="231F20"/>
          <w:spacing w:val="-24"/>
          <w:sz w:val="20"/>
        </w:rPr>
        <w:t> </w:t>
      </w:r>
      <w:r>
        <w:rPr>
          <w:color w:val="231F20"/>
          <w:sz w:val="20"/>
        </w:rPr>
        <w:t>TORRE,</w:t>
      </w:r>
      <w:r>
        <w:rPr>
          <w:color w:val="231F20"/>
          <w:spacing w:val="-20"/>
          <w:sz w:val="20"/>
        </w:rPr>
        <w:t> </w:t>
      </w:r>
      <w:r>
        <w:rPr>
          <w:color w:val="231F20"/>
          <w:sz w:val="20"/>
        </w:rPr>
        <w:t>A.</w:t>
      </w:r>
      <w:r>
        <w:rPr>
          <w:color w:val="231F20"/>
          <w:spacing w:val="-9"/>
          <w:sz w:val="20"/>
        </w:rPr>
        <w:t> </w:t>
      </w:r>
      <w:r>
        <w:rPr>
          <w:color w:val="231F20"/>
          <w:sz w:val="20"/>
        </w:rPr>
        <w:t>Leonardo,</w:t>
      </w:r>
      <w:r>
        <w:rPr>
          <w:color w:val="231F20"/>
          <w:spacing w:val="-10"/>
          <w:sz w:val="20"/>
        </w:rPr>
        <w:t> </w:t>
      </w:r>
      <w:r>
        <w:rPr>
          <w:color w:val="231F20"/>
          <w:sz w:val="20"/>
        </w:rPr>
        <w:t>2011,</w:t>
      </w:r>
      <w:r>
        <w:rPr>
          <w:color w:val="231F20"/>
          <w:spacing w:val="33"/>
          <w:sz w:val="20"/>
        </w:rPr>
        <w:t> </w:t>
      </w:r>
      <w:r>
        <w:rPr>
          <w:i/>
          <w:color w:val="231F20"/>
          <w:sz w:val="20"/>
        </w:rPr>
        <w:t>Más</w:t>
      </w:r>
      <w:r>
        <w:rPr>
          <w:i/>
          <w:color w:val="231F20"/>
          <w:spacing w:val="-9"/>
          <w:sz w:val="20"/>
        </w:rPr>
        <w:t> </w:t>
      </w:r>
      <w:r>
        <w:rPr>
          <w:i/>
          <w:color w:val="231F20"/>
          <w:sz w:val="20"/>
        </w:rPr>
        <w:t>notas</w:t>
      </w:r>
      <w:r>
        <w:rPr>
          <w:i/>
          <w:color w:val="231F20"/>
          <w:spacing w:val="-9"/>
          <w:sz w:val="20"/>
        </w:rPr>
        <w:t> </w:t>
      </w:r>
      <w:r>
        <w:rPr>
          <w:i/>
          <w:color w:val="231F20"/>
          <w:spacing w:val="-3"/>
          <w:sz w:val="20"/>
        </w:rPr>
        <w:t>sobre</w:t>
      </w:r>
      <w:r>
        <w:rPr>
          <w:i/>
          <w:color w:val="231F20"/>
          <w:spacing w:val="-9"/>
          <w:sz w:val="20"/>
        </w:rPr>
        <w:t> </w:t>
      </w:r>
      <w:r>
        <w:rPr>
          <w:i/>
          <w:color w:val="231F20"/>
          <w:sz w:val="20"/>
        </w:rPr>
        <w:t>el</w:t>
      </w:r>
      <w:r>
        <w:rPr>
          <w:i/>
          <w:color w:val="231F20"/>
          <w:spacing w:val="-9"/>
          <w:sz w:val="20"/>
        </w:rPr>
        <w:t> </w:t>
      </w:r>
      <w:r>
        <w:rPr>
          <w:i/>
          <w:color w:val="231F20"/>
          <w:sz w:val="20"/>
        </w:rPr>
        <w:t>retorno</w:t>
      </w:r>
      <w:r>
        <w:rPr>
          <w:i/>
          <w:color w:val="231F20"/>
          <w:spacing w:val="-9"/>
          <w:sz w:val="20"/>
        </w:rPr>
        <w:t> </w:t>
      </w:r>
      <w:r>
        <w:rPr>
          <w:i/>
          <w:color w:val="231F20"/>
          <w:sz w:val="20"/>
        </w:rPr>
        <w:t>cíclico</w:t>
      </w:r>
      <w:r>
        <w:rPr>
          <w:i/>
          <w:color w:val="231F20"/>
          <w:spacing w:val="-9"/>
          <w:sz w:val="20"/>
        </w:rPr>
        <w:t> </w:t>
      </w:r>
      <w:r>
        <w:rPr>
          <w:i/>
          <w:color w:val="231F20"/>
          <w:sz w:val="20"/>
        </w:rPr>
        <w:t>boliviano</w:t>
      </w:r>
      <w:r>
        <w:rPr>
          <w:color w:val="231F20"/>
          <w:sz w:val="20"/>
        </w:rPr>
        <w:t>, en</w:t>
      </w:r>
      <w:r>
        <w:rPr>
          <w:color w:val="231F20"/>
          <w:spacing w:val="-9"/>
          <w:sz w:val="20"/>
        </w:rPr>
        <w:t> </w:t>
      </w:r>
      <w:r>
        <w:rPr>
          <w:color w:val="231F20"/>
          <w:sz w:val="20"/>
        </w:rPr>
        <w:t>IV</w:t>
      </w:r>
      <w:r>
        <w:rPr>
          <w:color w:val="231F20"/>
          <w:spacing w:val="-13"/>
          <w:sz w:val="20"/>
        </w:rPr>
        <w:t> </w:t>
      </w:r>
      <w:r>
        <w:rPr>
          <w:color w:val="231F20"/>
          <w:sz w:val="20"/>
        </w:rPr>
        <w:t>Congreso</w:t>
      </w:r>
      <w:r>
        <w:rPr>
          <w:color w:val="231F20"/>
          <w:spacing w:val="-9"/>
          <w:sz w:val="20"/>
        </w:rPr>
        <w:t> </w:t>
      </w:r>
      <w:r>
        <w:rPr>
          <w:color w:val="231F20"/>
          <w:sz w:val="20"/>
        </w:rPr>
        <w:t>de</w:t>
      </w:r>
      <w:r>
        <w:rPr>
          <w:color w:val="231F20"/>
          <w:spacing w:val="-9"/>
          <w:sz w:val="20"/>
        </w:rPr>
        <w:t> </w:t>
      </w:r>
      <w:r>
        <w:rPr>
          <w:color w:val="231F20"/>
          <w:sz w:val="20"/>
        </w:rPr>
        <w:t>la</w:t>
      </w:r>
      <w:r>
        <w:rPr>
          <w:color w:val="231F20"/>
          <w:spacing w:val="-9"/>
          <w:sz w:val="20"/>
        </w:rPr>
        <w:t> </w:t>
      </w:r>
      <w:r>
        <w:rPr>
          <w:color w:val="231F20"/>
          <w:sz w:val="20"/>
        </w:rPr>
        <w:t>Red</w:t>
      </w:r>
      <w:r>
        <w:rPr>
          <w:color w:val="231F20"/>
          <w:spacing w:val="-9"/>
          <w:sz w:val="20"/>
        </w:rPr>
        <w:t> </w:t>
      </w:r>
      <w:r>
        <w:rPr>
          <w:color w:val="231F20"/>
          <w:sz w:val="20"/>
        </w:rPr>
        <w:t>Internacional</w:t>
      </w:r>
      <w:r>
        <w:rPr>
          <w:color w:val="231F20"/>
          <w:spacing w:val="-9"/>
          <w:sz w:val="20"/>
        </w:rPr>
        <w:t> </w:t>
      </w:r>
      <w:r>
        <w:rPr>
          <w:color w:val="231F20"/>
          <w:sz w:val="20"/>
        </w:rPr>
        <w:t>de</w:t>
      </w:r>
      <w:r>
        <w:rPr>
          <w:color w:val="231F20"/>
          <w:spacing w:val="-9"/>
          <w:sz w:val="20"/>
        </w:rPr>
        <w:t> </w:t>
      </w:r>
      <w:r>
        <w:rPr>
          <w:color w:val="231F20"/>
          <w:sz w:val="20"/>
        </w:rPr>
        <w:t>Migración</w:t>
      </w:r>
      <w:r>
        <w:rPr>
          <w:color w:val="231F20"/>
          <w:spacing w:val="-9"/>
          <w:sz w:val="20"/>
        </w:rPr>
        <w:t> </w:t>
      </w:r>
      <w:r>
        <w:rPr>
          <w:color w:val="231F20"/>
          <w:sz w:val="20"/>
        </w:rPr>
        <w:t>y</w:t>
      </w:r>
      <w:r>
        <w:rPr>
          <w:color w:val="231F20"/>
          <w:spacing w:val="-9"/>
          <w:sz w:val="20"/>
        </w:rPr>
        <w:t> </w:t>
      </w:r>
      <w:r>
        <w:rPr>
          <w:color w:val="231F20"/>
          <w:sz w:val="20"/>
        </w:rPr>
        <w:t>Desarrollo.</w:t>
      </w:r>
      <w:r>
        <w:rPr>
          <w:color w:val="231F20"/>
          <w:spacing w:val="-8"/>
          <w:sz w:val="20"/>
        </w:rPr>
        <w:t> </w:t>
      </w:r>
      <w:r>
        <w:rPr>
          <w:color w:val="231F20"/>
          <w:sz w:val="20"/>
        </w:rPr>
        <w:t>Crisis</w:t>
      </w:r>
      <w:r>
        <w:rPr>
          <w:color w:val="231F20"/>
          <w:spacing w:val="-9"/>
          <w:sz w:val="20"/>
        </w:rPr>
        <w:t> </w:t>
      </w:r>
      <w:r>
        <w:rPr>
          <w:color w:val="231F20"/>
          <w:sz w:val="20"/>
        </w:rPr>
        <w:t>global</w:t>
      </w:r>
      <w:r>
        <w:rPr>
          <w:color w:val="231F20"/>
          <w:spacing w:val="-9"/>
          <w:sz w:val="20"/>
        </w:rPr>
        <w:t> </w:t>
      </w:r>
      <w:r>
        <w:rPr>
          <w:color w:val="231F20"/>
          <w:sz w:val="20"/>
        </w:rPr>
        <w:t>y estrategias migratorias: hacia la redefinición de las políticas de movilidad, 18, 19 y 20 de mayo de 2011, FLACSO, Quito,</w:t>
      </w:r>
      <w:r>
        <w:rPr>
          <w:color w:val="231F20"/>
          <w:spacing w:val="-32"/>
          <w:sz w:val="20"/>
        </w:rPr>
        <w:t> </w:t>
      </w:r>
      <w:r>
        <w:rPr>
          <w:color w:val="231F20"/>
          <w:sz w:val="20"/>
        </w:rPr>
        <w:t>Ecuador.</w:t>
      </w:r>
    </w:p>
    <w:p>
      <w:pPr>
        <w:spacing w:line="210" w:lineRule="exact" w:before="113"/>
        <w:ind w:left="117" w:right="115" w:firstLine="0"/>
        <w:jc w:val="both"/>
        <w:rPr>
          <w:sz w:val="20"/>
        </w:rPr>
      </w:pPr>
      <w:r>
        <w:rPr>
          <w:color w:val="231F20"/>
          <w:sz w:val="20"/>
        </w:rPr>
        <w:t>DURAND, Jorge, 2004, “Ensayo sobre la migración de retorno. El principio del rendimiento decreciente”, en </w:t>
      </w:r>
      <w:r>
        <w:rPr>
          <w:i/>
          <w:color w:val="231F20"/>
          <w:sz w:val="20"/>
        </w:rPr>
        <w:t>Cuadernos Geográficos</w:t>
      </w:r>
      <w:r>
        <w:rPr>
          <w:color w:val="231F20"/>
          <w:sz w:val="20"/>
        </w:rPr>
        <w:t>, núm. 35, (2) Universidad de Granada, España.</w:t>
      </w:r>
    </w:p>
    <w:p>
      <w:pPr>
        <w:spacing w:line="210" w:lineRule="exact" w:before="113"/>
        <w:ind w:left="117" w:right="114" w:firstLine="0"/>
        <w:jc w:val="both"/>
        <w:rPr>
          <w:sz w:val="20"/>
        </w:rPr>
      </w:pPr>
      <w:r>
        <w:rPr>
          <w:color w:val="231F20"/>
          <w:sz w:val="20"/>
        </w:rPr>
        <w:t>IZAGUIRRE, Lorena, 2011, </w:t>
      </w:r>
      <w:r>
        <w:rPr>
          <w:i/>
          <w:color w:val="231F20"/>
          <w:sz w:val="20"/>
        </w:rPr>
        <w:t>De la relativa ausencia a la creciente presencia: la </w:t>
      </w:r>
      <w:r>
        <w:rPr>
          <w:i/>
          <w:color w:val="231F20"/>
          <w:sz w:val="20"/>
        </w:rPr>
        <w:t>migración de retorno en el escenario de la Región Andina. Los casos de Perú     y Ecuador</w:t>
      </w:r>
      <w:r>
        <w:rPr>
          <w:color w:val="231F20"/>
          <w:sz w:val="20"/>
        </w:rPr>
        <w:t>, en IV Congreso de la Red Internacional de Migración y Desarrollo. Crisis global y estrategias migratorias: hacia la redefinición de las políticas de movilidad, 18, 19 y 20 de mayo de 2011, FLACSO, Quito,</w:t>
      </w:r>
      <w:r>
        <w:rPr>
          <w:color w:val="231F20"/>
          <w:spacing w:val="-19"/>
          <w:sz w:val="20"/>
        </w:rPr>
        <w:t> </w:t>
      </w:r>
      <w:r>
        <w:rPr>
          <w:color w:val="231F20"/>
          <w:sz w:val="20"/>
        </w:rPr>
        <w:t>Ecuador.</w:t>
      </w:r>
    </w:p>
    <w:p>
      <w:pPr>
        <w:spacing w:line="210" w:lineRule="exact" w:before="113"/>
        <w:ind w:left="117" w:right="115" w:firstLine="0"/>
        <w:jc w:val="both"/>
        <w:rPr>
          <w:sz w:val="20"/>
        </w:rPr>
      </w:pPr>
      <w:r>
        <w:rPr>
          <w:color w:val="231F20"/>
          <w:sz w:val="20"/>
        </w:rPr>
        <w:t>MEDINA, Carlos y Christian M. Posso, 2009, “Colombian and South American immigrants in the United States of America: education levels, job qualifications and the decision to go back home”, en </w:t>
      </w:r>
      <w:r>
        <w:rPr>
          <w:i/>
          <w:color w:val="231F20"/>
          <w:sz w:val="20"/>
        </w:rPr>
        <w:t>Borradores de Economía </w:t>
      </w:r>
      <w:r>
        <w:rPr>
          <w:color w:val="231F20"/>
          <w:sz w:val="20"/>
        </w:rPr>
        <w:t>núm. 572,</w:t>
      </w:r>
      <w:r>
        <w:rPr>
          <w:color w:val="231F20"/>
          <w:spacing w:val="-34"/>
          <w:sz w:val="20"/>
        </w:rPr>
        <w:t> </w:t>
      </w:r>
      <w:r>
        <w:rPr>
          <w:color w:val="231F20"/>
          <w:sz w:val="20"/>
        </w:rPr>
        <w:t>Banco de la República, Bogotá.</w:t>
      </w:r>
    </w:p>
    <w:p>
      <w:pPr>
        <w:spacing w:line="210" w:lineRule="exact" w:before="113"/>
        <w:ind w:left="117" w:right="115" w:firstLine="0"/>
        <w:jc w:val="both"/>
        <w:rPr>
          <w:sz w:val="20"/>
        </w:rPr>
      </w:pPr>
      <w:r>
        <w:rPr>
          <w:color w:val="231F20"/>
          <w:sz w:val="20"/>
        </w:rPr>
        <w:t>MEJÍA,</w:t>
      </w:r>
      <w:r>
        <w:rPr>
          <w:color w:val="231F20"/>
          <w:spacing w:val="-16"/>
          <w:sz w:val="20"/>
        </w:rPr>
        <w:t> </w:t>
      </w:r>
      <w:r>
        <w:rPr>
          <w:color w:val="231F20"/>
          <w:sz w:val="20"/>
        </w:rPr>
        <w:t>William,</w:t>
      </w:r>
      <w:r>
        <w:rPr>
          <w:color w:val="231F20"/>
          <w:spacing w:val="-12"/>
          <w:sz w:val="20"/>
        </w:rPr>
        <w:t> </w:t>
      </w:r>
      <w:r>
        <w:rPr>
          <w:color w:val="231F20"/>
          <w:sz w:val="20"/>
        </w:rPr>
        <w:t>2011,</w:t>
      </w:r>
      <w:r>
        <w:rPr>
          <w:color w:val="231F20"/>
          <w:spacing w:val="-12"/>
          <w:sz w:val="20"/>
        </w:rPr>
        <w:t> </w:t>
      </w:r>
      <w:r>
        <w:rPr>
          <w:color w:val="231F20"/>
          <w:sz w:val="20"/>
        </w:rPr>
        <w:t>“Panorama</w:t>
      </w:r>
      <w:r>
        <w:rPr>
          <w:color w:val="231F20"/>
          <w:spacing w:val="-12"/>
          <w:sz w:val="20"/>
        </w:rPr>
        <w:t> </w:t>
      </w:r>
      <w:r>
        <w:rPr>
          <w:color w:val="231F20"/>
          <w:sz w:val="20"/>
        </w:rPr>
        <w:t>del</w:t>
      </w:r>
      <w:r>
        <w:rPr>
          <w:color w:val="231F20"/>
          <w:spacing w:val="-12"/>
          <w:sz w:val="20"/>
        </w:rPr>
        <w:t> </w:t>
      </w:r>
      <w:r>
        <w:rPr>
          <w:color w:val="231F20"/>
          <w:sz w:val="20"/>
        </w:rPr>
        <w:t>retorno</w:t>
      </w:r>
      <w:r>
        <w:rPr>
          <w:color w:val="231F20"/>
          <w:spacing w:val="-12"/>
          <w:sz w:val="20"/>
        </w:rPr>
        <w:t> </w:t>
      </w:r>
      <w:r>
        <w:rPr>
          <w:color w:val="231F20"/>
          <w:sz w:val="20"/>
        </w:rPr>
        <w:t>reciente</w:t>
      </w:r>
      <w:r>
        <w:rPr>
          <w:color w:val="231F20"/>
          <w:spacing w:val="-12"/>
          <w:sz w:val="20"/>
        </w:rPr>
        <w:t> </w:t>
      </w:r>
      <w:r>
        <w:rPr>
          <w:color w:val="231F20"/>
          <w:sz w:val="20"/>
        </w:rPr>
        <w:t>de</w:t>
      </w:r>
      <w:r>
        <w:rPr>
          <w:color w:val="231F20"/>
          <w:spacing w:val="-12"/>
          <w:sz w:val="20"/>
        </w:rPr>
        <w:t> </w:t>
      </w:r>
      <w:r>
        <w:rPr>
          <w:color w:val="231F20"/>
          <w:sz w:val="20"/>
        </w:rPr>
        <w:t>migrantes</w:t>
      </w:r>
      <w:r>
        <w:rPr>
          <w:color w:val="231F20"/>
          <w:spacing w:val="-13"/>
          <w:sz w:val="20"/>
        </w:rPr>
        <w:t> </w:t>
      </w:r>
      <w:r>
        <w:rPr>
          <w:color w:val="231F20"/>
          <w:sz w:val="20"/>
        </w:rPr>
        <w:t>internaciona- les a Colombia”, en Elías Said (ed.), </w:t>
      </w:r>
      <w:r>
        <w:rPr>
          <w:i/>
          <w:color w:val="231F20"/>
          <w:sz w:val="20"/>
        </w:rPr>
        <w:t>Migración, desarrollo humano e internacio- </w:t>
      </w:r>
      <w:r>
        <w:rPr>
          <w:i/>
          <w:color w:val="231F20"/>
          <w:sz w:val="20"/>
        </w:rPr>
        <w:t>nalización</w:t>
      </w:r>
      <w:r>
        <w:rPr>
          <w:color w:val="231F20"/>
          <w:sz w:val="20"/>
        </w:rPr>
        <w:t>, Editorial Universidad del Norte, pp. 20-51,</w:t>
      </w:r>
      <w:r>
        <w:rPr>
          <w:color w:val="231F20"/>
          <w:spacing w:val="-16"/>
          <w:sz w:val="20"/>
        </w:rPr>
        <w:t> </w:t>
      </w:r>
      <w:r>
        <w:rPr>
          <w:color w:val="231F20"/>
          <w:sz w:val="20"/>
        </w:rPr>
        <w:t>Barranquilla.</w:t>
      </w:r>
    </w:p>
    <w:p>
      <w:pPr>
        <w:spacing w:line="210" w:lineRule="exact" w:before="113"/>
        <w:ind w:left="117" w:right="115" w:firstLine="0"/>
        <w:jc w:val="both"/>
        <w:rPr>
          <w:sz w:val="20"/>
        </w:rPr>
      </w:pPr>
      <w:r>
        <w:rPr>
          <w:color w:val="231F20"/>
          <w:sz w:val="20"/>
        </w:rPr>
        <w:t>OIM/INEI/DIGEMIN,</w:t>
      </w:r>
      <w:r>
        <w:rPr>
          <w:color w:val="231F20"/>
          <w:spacing w:val="-8"/>
          <w:sz w:val="20"/>
        </w:rPr>
        <w:t> </w:t>
      </w:r>
      <w:r>
        <w:rPr>
          <w:color w:val="231F20"/>
          <w:sz w:val="20"/>
        </w:rPr>
        <w:t>2010,</w:t>
      </w:r>
      <w:r>
        <w:rPr>
          <w:color w:val="231F20"/>
          <w:spacing w:val="-9"/>
          <w:sz w:val="20"/>
        </w:rPr>
        <w:t> </w:t>
      </w:r>
      <w:r>
        <w:rPr>
          <w:i/>
          <w:color w:val="231F20"/>
          <w:sz w:val="20"/>
        </w:rPr>
        <w:t>Perú:</w:t>
      </w:r>
      <w:r>
        <w:rPr>
          <w:i/>
          <w:color w:val="231F20"/>
          <w:spacing w:val="-9"/>
          <w:sz w:val="20"/>
        </w:rPr>
        <w:t> </w:t>
      </w:r>
      <w:r>
        <w:rPr>
          <w:i/>
          <w:color w:val="231F20"/>
          <w:sz w:val="20"/>
        </w:rPr>
        <w:t>estadísticas</w:t>
      </w:r>
      <w:r>
        <w:rPr>
          <w:i/>
          <w:color w:val="231F20"/>
          <w:spacing w:val="-9"/>
          <w:sz w:val="20"/>
        </w:rPr>
        <w:t> </w:t>
      </w:r>
      <w:r>
        <w:rPr>
          <w:i/>
          <w:color w:val="231F20"/>
          <w:sz w:val="20"/>
        </w:rPr>
        <w:t>de</w:t>
      </w:r>
      <w:r>
        <w:rPr>
          <w:i/>
          <w:color w:val="231F20"/>
          <w:spacing w:val="-9"/>
          <w:sz w:val="20"/>
        </w:rPr>
        <w:t> </w:t>
      </w:r>
      <w:r>
        <w:rPr>
          <w:i/>
          <w:color w:val="231F20"/>
          <w:sz w:val="20"/>
        </w:rPr>
        <w:t>la</w:t>
      </w:r>
      <w:r>
        <w:rPr>
          <w:i/>
          <w:color w:val="231F20"/>
          <w:spacing w:val="-9"/>
          <w:sz w:val="20"/>
        </w:rPr>
        <w:t> </w:t>
      </w:r>
      <w:r>
        <w:rPr>
          <w:i/>
          <w:color w:val="231F20"/>
          <w:sz w:val="20"/>
        </w:rPr>
        <w:t>emigración</w:t>
      </w:r>
      <w:r>
        <w:rPr>
          <w:i/>
          <w:color w:val="231F20"/>
          <w:spacing w:val="-9"/>
          <w:sz w:val="20"/>
        </w:rPr>
        <w:t> </w:t>
      </w:r>
      <w:r>
        <w:rPr>
          <w:i/>
          <w:color w:val="231F20"/>
          <w:sz w:val="20"/>
        </w:rPr>
        <w:t>internacional</w:t>
      </w:r>
      <w:r>
        <w:rPr>
          <w:i/>
          <w:color w:val="231F20"/>
          <w:spacing w:val="-10"/>
          <w:sz w:val="20"/>
        </w:rPr>
        <w:t> </w:t>
      </w:r>
      <w:r>
        <w:rPr>
          <w:i/>
          <w:color w:val="231F20"/>
          <w:sz w:val="20"/>
        </w:rPr>
        <w:t>de </w:t>
      </w:r>
      <w:r>
        <w:rPr>
          <w:i/>
          <w:color w:val="231F20"/>
          <w:sz w:val="20"/>
        </w:rPr>
        <w:t>peruanos e inmigración de extranjeros, 1990-2009</w:t>
      </w:r>
      <w:r>
        <w:rPr>
          <w:color w:val="231F20"/>
          <w:sz w:val="20"/>
        </w:rPr>
        <w:t>, Organización Internacional para las Migraciones OIM/Instituto Nacional de Estadísticas e Informática INEI/ Dirección</w:t>
      </w:r>
      <w:r>
        <w:rPr>
          <w:color w:val="231F20"/>
          <w:spacing w:val="-7"/>
          <w:sz w:val="20"/>
        </w:rPr>
        <w:t> </w:t>
      </w:r>
      <w:r>
        <w:rPr>
          <w:color w:val="231F20"/>
          <w:sz w:val="20"/>
        </w:rPr>
        <w:t>General</w:t>
      </w:r>
      <w:r>
        <w:rPr>
          <w:color w:val="231F20"/>
          <w:spacing w:val="-7"/>
          <w:sz w:val="20"/>
        </w:rPr>
        <w:t> </w:t>
      </w:r>
      <w:r>
        <w:rPr>
          <w:color w:val="231F20"/>
          <w:sz w:val="20"/>
        </w:rPr>
        <w:t>de</w:t>
      </w:r>
      <w:r>
        <w:rPr>
          <w:color w:val="231F20"/>
          <w:spacing w:val="-7"/>
          <w:sz w:val="20"/>
        </w:rPr>
        <w:t> </w:t>
      </w:r>
      <w:r>
        <w:rPr>
          <w:color w:val="231F20"/>
          <w:sz w:val="20"/>
        </w:rPr>
        <w:t>Migraciones</w:t>
      </w:r>
      <w:r>
        <w:rPr>
          <w:color w:val="231F20"/>
          <w:spacing w:val="-7"/>
          <w:sz w:val="20"/>
        </w:rPr>
        <w:t> </w:t>
      </w:r>
      <w:r>
        <w:rPr>
          <w:color w:val="231F20"/>
          <w:sz w:val="20"/>
        </w:rPr>
        <w:t>y</w:t>
      </w:r>
      <w:r>
        <w:rPr>
          <w:color w:val="231F20"/>
          <w:spacing w:val="-7"/>
          <w:sz w:val="20"/>
        </w:rPr>
        <w:t> </w:t>
      </w:r>
      <w:r>
        <w:rPr>
          <w:color w:val="231F20"/>
          <w:sz w:val="20"/>
        </w:rPr>
        <w:t>Naturalización</w:t>
      </w:r>
      <w:r>
        <w:rPr>
          <w:color w:val="231F20"/>
          <w:spacing w:val="-6"/>
          <w:sz w:val="20"/>
        </w:rPr>
        <w:t> </w:t>
      </w:r>
      <w:r>
        <w:rPr>
          <w:color w:val="231F20"/>
          <w:sz w:val="20"/>
        </w:rPr>
        <w:t>DIGEMIN,</w:t>
      </w:r>
      <w:r>
        <w:rPr>
          <w:color w:val="231F20"/>
          <w:spacing w:val="-7"/>
          <w:sz w:val="20"/>
        </w:rPr>
        <w:t> </w:t>
      </w:r>
      <w:r>
        <w:rPr>
          <w:color w:val="231F20"/>
          <w:sz w:val="20"/>
        </w:rPr>
        <w:t>Lima.</w:t>
      </w:r>
    </w:p>
    <w:p>
      <w:pPr>
        <w:spacing w:line="210" w:lineRule="exact" w:before="113"/>
        <w:ind w:left="117" w:right="114" w:firstLine="0"/>
        <w:jc w:val="both"/>
        <w:rPr>
          <w:sz w:val="20"/>
        </w:rPr>
      </w:pPr>
      <w:r>
        <w:rPr>
          <w:color w:val="231F20"/>
          <w:spacing w:val="-4"/>
          <w:sz w:val="20"/>
        </w:rPr>
        <w:t>PALACIO, </w:t>
      </w:r>
      <w:r>
        <w:rPr>
          <w:color w:val="231F20"/>
          <w:sz w:val="20"/>
        </w:rPr>
        <w:t>M. Cristina, 2011, </w:t>
      </w:r>
      <w:r>
        <w:rPr>
          <w:i/>
          <w:color w:val="231F20"/>
          <w:sz w:val="20"/>
        </w:rPr>
        <w:t>Familia en situación de transnacionalidad: un</w:t>
      </w:r>
      <w:r>
        <w:rPr>
          <w:i/>
          <w:color w:val="231F20"/>
          <w:spacing w:val="-34"/>
          <w:sz w:val="20"/>
        </w:rPr>
        <w:t> </w:t>
      </w:r>
      <w:r>
        <w:rPr>
          <w:i/>
          <w:color w:val="231F20"/>
          <w:sz w:val="20"/>
        </w:rPr>
        <w:t>um- </w:t>
      </w:r>
      <w:r>
        <w:rPr>
          <w:i/>
          <w:color w:val="231F20"/>
          <w:sz w:val="20"/>
        </w:rPr>
        <w:t>bral de reflexión conceptual</w:t>
      </w:r>
      <w:r>
        <w:rPr>
          <w:color w:val="231F20"/>
          <w:sz w:val="20"/>
        </w:rPr>
        <w:t>, en IV Seminario Internacional Sobre Familia. De- safíos para comprender los procesos familiares en el contexto de la migración internacional, Manizales. Consultado el 1 de diciembre de 2011. Disponible en: </w:t>
      </w:r>
      <w:hyperlink r:id="rId80">
        <w:r>
          <w:rPr>
            <w:color w:val="231F20"/>
            <w:sz w:val="20"/>
          </w:rPr>
          <w:t>http://www.estudiosdefamilia.co/pdfs/Maria%20Cristina%20Palacio.pdf</w:t>
        </w:r>
      </w:hyperlink>
    </w:p>
    <w:p>
      <w:pPr>
        <w:spacing w:line="210" w:lineRule="exact" w:before="113"/>
        <w:ind w:left="117" w:right="115" w:firstLine="0"/>
        <w:jc w:val="both"/>
        <w:rPr>
          <w:sz w:val="20"/>
        </w:rPr>
      </w:pPr>
      <w:r>
        <w:rPr>
          <w:color w:val="231F20"/>
          <w:sz w:val="20"/>
        </w:rPr>
        <w:t>RONCKEN,</w:t>
      </w:r>
      <w:r>
        <w:rPr>
          <w:color w:val="231F20"/>
          <w:spacing w:val="-11"/>
          <w:sz w:val="20"/>
        </w:rPr>
        <w:t> </w:t>
      </w:r>
      <w:r>
        <w:rPr>
          <w:color w:val="231F20"/>
          <w:sz w:val="20"/>
        </w:rPr>
        <w:t>Theo</w:t>
      </w:r>
      <w:r>
        <w:rPr>
          <w:color w:val="231F20"/>
          <w:spacing w:val="-8"/>
          <w:sz w:val="20"/>
        </w:rPr>
        <w:t> </w:t>
      </w:r>
      <w:r>
        <w:rPr>
          <w:color w:val="231F20"/>
          <w:sz w:val="20"/>
        </w:rPr>
        <w:t>y</w:t>
      </w:r>
      <w:r>
        <w:rPr>
          <w:color w:val="231F20"/>
          <w:spacing w:val="-8"/>
          <w:sz w:val="20"/>
        </w:rPr>
        <w:t> </w:t>
      </w:r>
      <w:r>
        <w:rPr>
          <w:color w:val="231F20"/>
          <w:sz w:val="20"/>
        </w:rPr>
        <w:t>Leonardo</w:t>
      </w:r>
      <w:r>
        <w:rPr>
          <w:color w:val="231F20"/>
          <w:spacing w:val="-8"/>
          <w:sz w:val="20"/>
        </w:rPr>
        <w:t> </w:t>
      </w:r>
      <w:r>
        <w:rPr>
          <w:color w:val="231F20"/>
          <w:sz w:val="20"/>
        </w:rPr>
        <w:t>de</w:t>
      </w:r>
      <w:r>
        <w:rPr>
          <w:color w:val="231F20"/>
          <w:spacing w:val="-8"/>
          <w:sz w:val="20"/>
        </w:rPr>
        <w:t> </w:t>
      </w:r>
      <w:r>
        <w:rPr>
          <w:color w:val="231F20"/>
          <w:sz w:val="20"/>
        </w:rPr>
        <w:t>la</w:t>
      </w:r>
      <w:r>
        <w:rPr>
          <w:color w:val="231F20"/>
          <w:spacing w:val="-12"/>
          <w:sz w:val="20"/>
        </w:rPr>
        <w:t> </w:t>
      </w:r>
      <w:r>
        <w:rPr>
          <w:color w:val="231F20"/>
          <w:spacing w:val="-3"/>
          <w:sz w:val="20"/>
        </w:rPr>
        <w:t>Torre,</w:t>
      </w:r>
      <w:r>
        <w:rPr>
          <w:color w:val="231F20"/>
          <w:spacing w:val="-8"/>
          <w:sz w:val="20"/>
        </w:rPr>
        <w:t> </w:t>
      </w:r>
      <w:r>
        <w:rPr>
          <w:color w:val="231F20"/>
          <w:sz w:val="20"/>
        </w:rPr>
        <w:t>2009,</w:t>
      </w:r>
      <w:r>
        <w:rPr>
          <w:color w:val="231F20"/>
          <w:spacing w:val="-8"/>
          <w:sz w:val="20"/>
        </w:rPr>
        <w:t> </w:t>
      </w:r>
      <w:r>
        <w:rPr>
          <w:i/>
          <w:color w:val="231F20"/>
          <w:sz w:val="20"/>
        </w:rPr>
        <w:t>Potencial</w:t>
      </w:r>
      <w:r>
        <w:rPr>
          <w:i/>
          <w:color w:val="231F20"/>
          <w:spacing w:val="-9"/>
          <w:sz w:val="20"/>
        </w:rPr>
        <w:t> </w:t>
      </w:r>
      <w:r>
        <w:rPr>
          <w:i/>
          <w:color w:val="231F20"/>
          <w:sz w:val="20"/>
        </w:rPr>
        <w:t>para</w:t>
      </w:r>
      <w:r>
        <w:rPr>
          <w:i/>
          <w:color w:val="231F20"/>
          <w:spacing w:val="-8"/>
          <w:sz w:val="20"/>
        </w:rPr>
        <w:t> </w:t>
      </w:r>
      <w:r>
        <w:rPr>
          <w:i/>
          <w:color w:val="231F20"/>
          <w:sz w:val="20"/>
        </w:rPr>
        <w:t>el</w:t>
      </w:r>
      <w:r>
        <w:rPr>
          <w:i/>
          <w:color w:val="231F20"/>
          <w:spacing w:val="-8"/>
          <w:sz w:val="20"/>
        </w:rPr>
        <w:t> </w:t>
      </w:r>
      <w:r>
        <w:rPr>
          <w:i/>
          <w:color w:val="231F20"/>
          <w:sz w:val="20"/>
        </w:rPr>
        <w:t>emprendimien- </w:t>
      </w:r>
      <w:r>
        <w:rPr>
          <w:i/>
          <w:color w:val="231F20"/>
          <w:sz w:val="20"/>
        </w:rPr>
        <w:t>to micro-empresarial de retorno en localidades bolivianas de alta migración ha- cia España</w:t>
      </w:r>
      <w:r>
        <w:rPr>
          <w:color w:val="231F20"/>
          <w:sz w:val="20"/>
        </w:rPr>
        <w:t>, La Paz: FIE-ONG /FUNDACIÓN CREA EMPRESA/BID,</w:t>
      </w:r>
      <w:r>
        <w:rPr>
          <w:color w:val="231F20"/>
          <w:spacing w:val="-14"/>
          <w:sz w:val="20"/>
        </w:rPr>
        <w:t> </w:t>
      </w:r>
      <w:r>
        <w:rPr>
          <w:color w:val="231F20"/>
          <w:sz w:val="20"/>
        </w:rPr>
        <w:t>Mimeo.</w:t>
      </w:r>
    </w:p>
    <w:p>
      <w:pPr>
        <w:spacing w:line="220" w:lineRule="exact" w:before="94"/>
        <w:ind w:left="117" w:right="0" w:firstLine="0"/>
        <w:jc w:val="both"/>
        <w:rPr>
          <w:i/>
          <w:sz w:val="20"/>
        </w:rPr>
      </w:pPr>
      <w:r>
        <w:rPr>
          <w:color w:val="231F20"/>
          <w:sz w:val="20"/>
        </w:rPr>
        <w:t>UNITED </w:t>
      </w:r>
      <w:r>
        <w:rPr>
          <w:color w:val="231F20"/>
          <w:spacing w:val="-6"/>
          <w:sz w:val="20"/>
        </w:rPr>
        <w:t>STATES, </w:t>
      </w:r>
      <w:r>
        <w:rPr>
          <w:color w:val="231F20"/>
          <w:spacing w:val="-4"/>
          <w:sz w:val="20"/>
        </w:rPr>
        <w:t>DEPARTMENT </w:t>
      </w:r>
      <w:r>
        <w:rPr>
          <w:color w:val="231F20"/>
          <w:sz w:val="20"/>
        </w:rPr>
        <w:t>OF HOMELAND </w:t>
      </w:r>
      <w:r>
        <w:rPr>
          <w:color w:val="231F20"/>
          <w:spacing w:val="-4"/>
          <w:sz w:val="20"/>
        </w:rPr>
        <w:t>SECURITY, </w:t>
      </w:r>
      <w:r>
        <w:rPr>
          <w:color w:val="231F20"/>
          <w:sz w:val="20"/>
        </w:rPr>
        <w:t>2011,   </w:t>
      </w:r>
      <w:r>
        <w:rPr>
          <w:i/>
          <w:color w:val="231F20"/>
          <w:spacing w:val="-5"/>
          <w:sz w:val="20"/>
        </w:rPr>
        <w:t>Year-</w:t>
      </w:r>
    </w:p>
    <w:p>
      <w:pPr>
        <w:spacing w:line="210" w:lineRule="exact" w:before="8"/>
        <w:ind w:left="117" w:right="115" w:firstLine="0"/>
        <w:jc w:val="both"/>
        <w:rPr>
          <w:sz w:val="20"/>
        </w:rPr>
      </w:pPr>
      <w:r>
        <w:rPr>
          <w:i/>
          <w:color w:val="231F20"/>
          <w:sz w:val="20"/>
        </w:rPr>
        <w:t>book of Immigration Statistics: 2010</w:t>
      </w:r>
      <w:r>
        <w:rPr>
          <w:color w:val="231F20"/>
          <w:sz w:val="20"/>
        </w:rPr>
        <w:t>, U.S. Department of Homeland Security, Office of Immigration Statistics, Washington, D.C.</w:t>
      </w:r>
    </w:p>
    <w:p>
      <w:pPr>
        <w:spacing w:after="0" w:line="210" w:lineRule="exact"/>
        <w:jc w:val="both"/>
        <w:rPr>
          <w:sz w:val="20"/>
        </w:rPr>
        <w:sectPr>
          <w:pgSz w:w="9360" w:h="13040"/>
          <w:pgMar w:header="0" w:footer="496" w:top="820" w:bottom="680" w:left="1300" w:right="1300"/>
        </w:sectPr>
      </w:pPr>
    </w:p>
    <w:p>
      <w:pPr>
        <w:spacing w:before="45"/>
        <w:ind w:left="2831" w:right="0" w:firstLine="0"/>
        <w:jc w:val="left"/>
        <w:rPr>
          <w:rFonts w:ascii="Arial" w:hAnsi="Arial"/>
          <w:sz w:val="20"/>
        </w:rPr>
      </w:pPr>
      <w:r>
        <w:rPr>
          <w:rFonts w:ascii="Arial" w:hAnsi="Arial"/>
          <w:color w:val="231F20"/>
          <w:w w:val="74"/>
          <w:sz w:val="20"/>
        </w:rPr>
        <w:t>Familias</w:t>
      </w:r>
      <w:r>
        <w:rPr>
          <w:rFonts w:ascii="Arial" w:hAnsi="Arial"/>
          <w:color w:val="231F20"/>
          <w:spacing w:val="-1"/>
          <w:sz w:val="20"/>
        </w:rPr>
        <w:t> </w:t>
      </w:r>
      <w:r>
        <w:rPr>
          <w:rFonts w:ascii="Arial" w:hAnsi="Arial"/>
          <w:color w:val="231F20"/>
          <w:spacing w:val="-1"/>
          <w:w w:val="72"/>
          <w:sz w:val="20"/>
        </w:rPr>
        <w:t>transnacionale</w:t>
      </w:r>
      <w:r>
        <w:rPr>
          <w:rFonts w:ascii="Arial" w:hAnsi="Arial"/>
          <w:color w:val="231F20"/>
          <w:w w:val="72"/>
          <w:sz w:val="20"/>
        </w:rPr>
        <w:t>s</w:t>
      </w:r>
      <w:r>
        <w:rPr>
          <w:rFonts w:ascii="Arial" w:hAnsi="Arial"/>
          <w:color w:val="231F20"/>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1"/>
          <w:sz w:val="20"/>
        </w:rPr>
        <w:t>Colombia</w:t>
      </w:r>
      <w:r>
        <w:rPr>
          <w:rFonts w:ascii="Arial" w:hAnsi="Arial"/>
          <w:color w:val="231F20"/>
          <w:spacing w:val="-1"/>
          <w:sz w:val="20"/>
        </w:rPr>
        <w:t> </w:t>
      </w:r>
      <w:r>
        <w:rPr>
          <w:rFonts w:ascii="Arial" w:hAnsi="Arial"/>
          <w:color w:val="231F20"/>
          <w:spacing w:val="-1"/>
          <w:w w:val="99"/>
          <w:sz w:val="20"/>
        </w:rPr>
        <w:t>/</w:t>
      </w:r>
      <w:r>
        <w:rPr>
          <w:rFonts w:ascii="Arial" w:hAnsi="Arial"/>
          <w:color w:val="231F20"/>
          <w:w w:val="48"/>
          <w:sz w:val="20"/>
        </w:rPr>
        <w:t>Luz</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50"/>
          <w:sz w:val="20"/>
        </w:rPr>
        <w:t>López-Montaño</w:t>
      </w:r>
    </w:p>
    <w:p>
      <w:pPr>
        <w:pStyle w:val="BodyText"/>
        <w:spacing w:before="4"/>
        <w:rPr>
          <w:rFonts w:ascii="Arial"/>
          <w:sz w:val="23"/>
        </w:rPr>
      </w:pPr>
    </w:p>
    <w:p>
      <w:pPr>
        <w:spacing w:before="72"/>
        <w:ind w:left="117" w:right="0" w:firstLine="0"/>
        <w:jc w:val="both"/>
        <w:rPr>
          <w:i/>
          <w:sz w:val="22"/>
        </w:rPr>
      </w:pPr>
      <w:r>
        <w:rPr>
          <w:i/>
          <w:color w:val="231F20"/>
          <w:sz w:val="22"/>
        </w:rPr>
        <w:t>William Mejía Ochoa</w:t>
      </w:r>
    </w:p>
    <w:p>
      <w:pPr>
        <w:pStyle w:val="BodyText"/>
        <w:spacing w:before="2"/>
        <w:rPr>
          <w:i/>
          <w:sz w:val="23"/>
        </w:rPr>
      </w:pPr>
    </w:p>
    <w:p>
      <w:pPr>
        <w:pStyle w:val="BodyText"/>
        <w:spacing w:line="247" w:lineRule="auto"/>
        <w:ind w:left="117" w:right="114"/>
        <w:jc w:val="both"/>
      </w:pPr>
      <w:r>
        <w:rPr>
          <w:color w:val="231F20"/>
        </w:rPr>
        <w:t>Maestro en Migraciones Internacionales. Presidente del Centro de Estu- dios en Movilidad Humana y Conflicto, donde dirige el Grupo de Investi- gaciones en Movilidad Humana, adscrito a las universidades Tecnológica de Pereira (UTP) y Nacional Abierta y a Distancia (UNAD) de Colombia; miembro del Consejo Académico del Instituto de Políticas Migratorias y Asilo de Argentina. Gestor y líder de la Red de Investigaciones en Mi- graciones Latinoamericanas (COLOMBIAMIGRA) y coordinador de la Red</w:t>
      </w:r>
      <w:r>
        <w:rPr>
          <w:color w:val="231F20"/>
          <w:spacing w:val="-20"/>
        </w:rPr>
        <w:t> </w:t>
      </w:r>
      <w:r>
        <w:rPr>
          <w:color w:val="231F20"/>
        </w:rPr>
        <w:t>Andina</w:t>
      </w:r>
      <w:r>
        <w:rPr>
          <w:color w:val="231F20"/>
          <w:spacing w:val="-7"/>
        </w:rPr>
        <w:t> </w:t>
      </w:r>
      <w:r>
        <w:rPr>
          <w:color w:val="231F20"/>
        </w:rPr>
        <w:t>de</w:t>
      </w:r>
      <w:r>
        <w:rPr>
          <w:color w:val="231F20"/>
          <w:spacing w:val="-8"/>
        </w:rPr>
        <w:t> </w:t>
      </w:r>
      <w:r>
        <w:rPr>
          <w:color w:val="231F20"/>
        </w:rPr>
        <w:t>Movilidad</w:t>
      </w:r>
      <w:r>
        <w:rPr>
          <w:color w:val="231F20"/>
          <w:spacing w:val="-7"/>
        </w:rPr>
        <w:t> </w:t>
      </w:r>
      <w:r>
        <w:rPr>
          <w:color w:val="231F20"/>
        </w:rPr>
        <w:t>Humana</w:t>
      </w:r>
      <w:r>
        <w:rPr>
          <w:color w:val="231F20"/>
          <w:spacing w:val="-7"/>
        </w:rPr>
        <w:t> </w:t>
      </w:r>
      <w:r>
        <w:rPr>
          <w:color w:val="231F20"/>
        </w:rPr>
        <w:t>y</w:t>
      </w:r>
      <w:r>
        <w:rPr>
          <w:color w:val="231F20"/>
          <w:spacing w:val="-8"/>
        </w:rPr>
        <w:t> </w:t>
      </w:r>
      <w:r>
        <w:rPr>
          <w:color w:val="231F20"/>
        </w:rPr>
        <w:t>Buen</w:t>
      </w:r>
      <w:r>
        <w:rPr>
          <w:color w:val="231F20"/>
          <w:spacing w:val="-11"/>
        </w:rPr>
        <w:t> </w:t>
      </w:r>
      <w:r>
        <w:rPr>
          <w:color w:val="231F20"/>
          <w:spacing w:val="-5"/>
        </w:rPr>
        <w:t>Vivir.</w:t>
      </w:r>
      <w:r>
        <w:rPr>
          <w:color w:val="231F20"/>
          <w:spacing w:val="-8"/>
        </w:rPr>
        <w:t> </w:t>
      </w:r>
      <w:r>
        <w:rPr>
          <w:color w:val="231F20"/>
        </w:rPr>
        <w:t>Ha</w:t>
      </w:r>
      <w:r>
        <w:rPr>
          <w:color w:val="231F20"/>
          <w:spacing w:val="-7"/>
        </w:rPr>
        <w:t> </w:t>
      </w:r>
      <w:r>
        <w:rPr>
          <w:color w:val="231F20"/>
        </w:rPr>
        <w:t>asesorado,</w:t>
      </w:r>
      <w:r>
        <w:rPr>
          <w:color w:val="231F20"/>
          <w:spacing w:val="-8"/>
        </w:rPr>
        <w:t> </w:t>
      </w:r>
      <w:r>
        <w:rPr>
          <w:color w:val="231F20"/>
        </w:rPr>
        <w:t>en</w:t>
      </w:r>
      <w:r>
        <w:rPr>
          <w:color w:val="231F20"/>
          <w:spacing w:val="-8"/>
        </w:rPr>
        <w:t> </w:t>
      </w:r>
      <w:r>
        <w:rPr>
          <w:color w:val="231F20"/>
        </w:rPr>
        <w:t>materia migratoria,</w:t>
      </w:r>
      <w:r>
        <w:rPr>
          <w:color w:val="231F20"/>
          <w:spacing w:val="-4"/>
        </w:rPr>
        <w:t> </w:t>
      </w:r>
      <w:r>
        <w:rPr>
          <w:color w:val="231F20"/>
        </w:rPr>
        <w:t>al</w:t>
      </w:r>
      <w:r>
        <w:rPr>
          <w:color w:val="231F20"/>
          <w:spacing w:val="-3"/>
        </w:rPr>
        <w:t> </w:t>
      </w:r>
      <w:r>
        <w:rPr>
          <w:color w:val="231F20"/>
        </w:rPr>
        <w:t>Ministerio</w:t>
      </w:r>
      <w:r>
        <w:rPr>
          <w:color w:val="231F20"/>
          <w:spacing w:val="-2"/>
        </w:rPr>
        <w:t> </w:t>
      </w:r>
      <w:r>
        <w:rPr>
          <w:color w:val="231F20"/>
        </w:rPr>
        <w:t>del</w:t>
      </w:r>
      <w:r>
        <w:rPr>
          <w:color w:val="231F20"/>
          <w:spacing w:val="-7"/>
        </w:rPr>
        <w:t> </w:t>
      </w:r>
      <w:r>
        <w:rPr>
          <w:color w:val="231F20"/>
        </w:rPr>
        <w:t>Trabajo</w:t>
      </w:r>
      <w:r>
        <w:rPr>
          <w:color w:val="231F20"/>
          <w:spacing w:val="-3"/>
        </w:rPr>
        <w:t> </w:t>
      </w:r>
      <w:r>
        <w:rPr>
          <w:color w:val="231F20"/>
        </w:rPr>
        <w:t>y</w:t>
      </w:r>
      <w:r>
        <w:rPr>
          <w:color w:val="231F20"/>
          <w:spacing w:val="-3"/>
        </w:rPr>
        <w:t> </w:t>
      </w:r>
      <w:r>
        <w:rPr>
          <w:color w:val="231F20"/>
        </w:rPr>
        <w:t>a</w:t>
      </w:r>
      <w:r>
        <w:rPr>
          <w:color w:val="231F20"/>
          <w:spacing w:val="-3"/>
        </w:rPr>
        <w:t> </w:t>
      </w:r>
      <w:r>
        <w:rPr>
          <w:color w:val="231F20"/>
        </w:rPr>
        <w:t>la</w:t>
      </w:r>
      <w:r>
        <w:rPr>
          <w:color w:val="231F20"/>
          <w:spacing w:val="-14"/>
        </w:rPr>
        <w:t> </w:t>
      </w:r>
      <w:r>
        <w:rPr>
          <w:color w:val="231F20"/>
        </w:rPr>
        <w:t>Alcaldía</w:t>
      </w:r>
      <w:r>
        <w:rPr>
          <w:color w:val="231F20"/>
          <w:spacing w:val="-2"/>
        </w:rPr>
        <w:t> </w:t>
      </w:r>
      <w:r>
        <w:rPr>
          <w:color w:val="231F20"/>
        </w:rPr>
        <w:t>Mayor</w:t>
      </w:r>
      <w:r>
        <w:rPr>
          <w:color w:val="231F20"/>
          <w:spacing w:val="-3"/>
        </w:rPr>
        <w:t> </w:t>
      </w:r>
      <w:r>
        <w:rPr>
          <w:color w:val="231F20"/>
        </w:rPr>
        <w:t>de</w:t>
      </w:r>
      <w:r>
        <w:rPr>
          <w:color w:val="231F20"/>
          <w:spacing w:val="-3"/>
        </w:rPr>
        <w:t> </w:t>
      </w:r>
      <w:r>
        <w:rPr>
          <w:color w:val="231F20"/>
        </w:rPr>
        <w:t>Bogotá,</w:t>
      </w:r>
      <w:r>
        <w:rPr>
          <w:color w:val="231F20"/>
          <w:spacing w:val="-3"/>
        </w:rPr>
        <w:t> </w:t>
      </w:r>
      <w:r>
        <w:rPr>
          <w:color w:val="231F20"/>
        </w:rPr>
        <w:t>en- tre otras entidades públicas colombianas. Coordinador, en Colombia, del proyecto</w:t>
      </w:r>
      <w:r>
        <w:rPr>
          <w:color w:val="231F20"/>
          <w:spacing w:val="-10"/>
        </w:rPr>
        <w:t> </w:t>
      </w:r>
      <w:r>
        <w:rPr>
          <w:color w:val="231F20"/>
        </w:rPr>
        <w:t>Latinoamericano</w:t>
      </w:r>
      <w:r>
        <w:rPr>
          <w:color w:val="231F20"/>
          <w:spacing w:val="-10"/>
        </w:rPr>
        <w:t> </w:t>
      </w:r>
      <w:r>
        <w:rPr>
          <w:color w:val="231F20"/>
        </w:rPr>
        <w:t>de</w:t>
      </w:r>
      <w:r>
        <w:rPr>
          <w:color w:val="231F20"/>
          <w:spacing w:val="-10"/>
        </w:rPr>
        <w:t> </w:t>
      </w:r>
      <w:r>
        <w:rPr>
          <w:color w:val="231F20"/>
        </w:rPr>
        <w:t>Migraciones</w:t>
      </w:r>
      <w:r>
        <w:rPr>
          <w:color w:val="231F20"/>
          <w:spacing w:val="-9"/>
        </w:rPr>
        <w:t> </w:t>
      </w:r>
      <w:r>
        <w:rPr>
          <w:color w:val="231F20"/>
        </w:rPr>
        <w:t>de</w:t>
      </w:r>
      <w:r>
        <w:rPr>
          <w:color w:val="231F20"/>
          <w:spacing w:val="-10"/>
        </w:rPr>
        <w:t> </w:t>
      </w:r>
      <w:r>
        <w:rPr>
          <w:color w:val="231F20"/>
        </w:rPr>
        <w:t>las</w:t>
      </w:r>
      <w:r>
        <w:rPr>
          <w:color w:val="231F20"/>
          <w:spacing w:val="-10"/>
        </w:rPr>
        <w:t> </w:t>
      </w:r>
      <w:r>
        <w:rPr>
          <w:color w:val="231F20"/>
        </w:rPr>
        <w:t>Universidades</w:t>
      </w:r>
      <w:r>
        <w:rPr>
          <w:color w:val="231F20"/>
          <w:spacing w:val="-9"/>
        </w:rPr>
        <w:t> </w:t>
      </w:r>
      <w:r>
        <w:rPr>
          <w:color w:val="231F20"/>
        </w:rPr>
        <w:t>de</w:t>
      </w:r>
      <w:r>
        <w:rPr>
          <w:color w:val="231F20"/>
          <w:spacing w:val="-10"/>
        </w:rPr>
        <w:t> </w:t>
      </w:r>
      <w:r>
        <w:rPr>
          <w:color w:val="231F20"/>
        </w:rPr>
        <w:t>Prince- ton y de Guadalajara. Ha sido consultor de la Organización Internacional del Trabajo, la Organización Internacional para las Migraciones, y varias agencias</w:t>
      </w:r>
      <w:r>
        <w:rPr>
          <w:color w:val="231F20"/>
          <w:spacing w:val="-6"/>
        </w:rPr>
        <w:t> </w:t>
      </w:r>
      <w:r>
        <w:rPr>
          <w:color w:val="231F20"/>
        </w:rPr>
        <w:t>intergubernamentales.</w:t>
      </w:r>
    </w:p>
    <w:p>
      <w:pPr>
        <w:pStyle w:val="BodyText"/>
        <w:spacing w:before="6"/>
      </w:pPr>
    </w:p>
    <w:p>
      <w:pPr>
        <w:pStyle w:val="BodyText"/>
        <w:ind w:left="117"/>
        <w:jc w:val="both"/>
      </w:pPr>
      <w:r>
        <w:rPr>
          <w:color w:val="231F20"/>
        </w:rPr>
        <w:t>Correo electrónico: </w:t>
      </w:r>
      <w:hyperlink r:id="rId81">
        <w:r>
          <w:rPr>
            <w:color w:val="231F20"/>
          </w:rPr>
          <w:t>wmejia8a@yahoo.com</w:t>
        </w:r>
      </w:hyperlink>
    </w:p>
    <w:p>
      <w:pPr>
        <w:pStyle w:val="BodyText"/>
        <w:spacing w:before="2"/>
        <w:rPr>
          <w:sz w:val="23"/>
        </w:rPr>
      </w:pPr>
    </w:p>
    <w:p>
      <w:pPr>
        <w:spacing w:before="0"/>
        <w:ind w:left="117" w:right="0" w:firstLine="0"/>
        <w:jc w:val="both"/>
        <w:rPr>
          <w:i/>
          <w:sz w:val="22"/>
        </w:rPr>
      </w:pPr>
      <w:r>
        <w:rPr>
          <w:i/>
          <w:color w:val="231F20"/>
          <w:sz w:val="22"/>
        </w:rPr>
        <w:t>Yeim Claudia Castro</w:t>
      </w:r>
    </w:p>
    <w:p>
      <w:pPr>
        <w:pStyle w:val="BodyText"/>
        <w:spacing w:before="2"/>
        <w:rPr>
          <w:i/>
          <w:sz w:val="23"/>
        </w:rPr>
      </w:pPr>
    </w:p>
    <w:p>
      <w:pPr>
        <w:pStyle w:val="BodyText"/>
        <w:spacing w:line="247" w:lineRule="auto"/>
        <w:ind w:left="117" w:right="114"/>
        <w:jc w:val="both"/>
      </w:pPr>
      <w:r>
        <w:rPr>
          <w:color w:val="231F20"/>
        </w:rPr>
        <w:t>Maestra</w:t>
      </w:r>
      <w:r>
        <w:rPr>
          <w:color w:val="231F20"/>
          <w:spacing w:val="-7"/>
        </w:rPr>
        <w:t> </w:t>
      </w:r>
      <w:r>
        <w:rPr>
          <w:color w:val="231F20"/>
        </w:rPr>
        <w:t>en</w:t>
      </w:r>
      <w:r>
        <w:rPr>
          <w:color w:val="231F20"/>
          <w:spacing w:val="-7"/>
        </w:rPr>
        <w:t> </w:t>
      </w:r>
      <w:r>
        <w:rPr>
          <w:color w:val="231F20"/>
        </w:rPr>
        <w:t>Cooperación</w:t>
      </w:r>
      <w:r>
        <w:rPr>
          <w:color w:val="231F20"/>
          <w:spacing w:val="-7"/>
        </w:rPr>
        <w:t> </w:t>
      </w:r>
      <w:r>
        <w:rPr>
          <w:color w:val="231F20"/>
        </w:rPr>
        <w:t>al</w:t>
      </w:r>
      <w:r>
        <w:rPr>
          <w:color w:val="231F20"/>
          <w:spacing w:val="-7"/>
        </w:rPr>
        <w:t> </w:t>
      </w:r>
      <w:r>
        <w:rPr>
          <w:color w:val="231F20"/>
        </w:rPr>
        <w:t>Desarrollo</w:t>
      </w:r>
      <w:r>
        <w:rPr>
          <w:color w:val="231F20"/>
          <w:spacing w:val="-7"/>
        </w:rPr>
        <w:t> </w:t>
      </w:r>
      <w:r>
        <w:rPr>
          <w:color w:val="231F20"/>
        </w:rPr>
        <w:t>con</w:t>
      </w:r>
      <w:r>
        <w:rPr>
          <w:color w:val="231F20"/>
          <w:spacing w:val="-8"/>
        </w:rPr>
        <w:t> </w:t>
      </w:r>
      <w:r>
        <w:rPr>
          <w:color w:val="231F20"/>
        </w:rPr>
        <w:t>énfasis</w:t>
      </w:r>
      <w:r>
        <w:rPr>
          <w:color w:val="231F20"/>
          <w:spacing w:val="-8"/>
        </w:rPr>
        <w:t> </w:t>
      </w:r>
      <w:r>
        <w:rPr>
          <w:color w:val="231F20"/>
        </w:rPr>
        <w:t>en</w:t>
      </w:r>
      <w:r>
        <w:rPr>
          <w:color w:val="231F20"/>
          <w:spacing w:val="-7"/>
        </w:rPr>
        <w:t> </w:t>
      </w:r>
      <w:r>
        <w:rPr>
          <w:color w:val="231F20"/>
        </w:rPr>
        <w:t>Migraciones</w:t>
      </w:r>
      <w:r>
        <w:rPr>
          <w:color w:val="231F20"/>
          <w:spacing w:val="-7"/>
        </w:rPr>
        <w:t> </w:t>
      </w:r>
      <w:r>
        <w:rPr>
          <w:color w:val="231F20"/>
        </w:rPr>
        <w:t>Interna- cionales por la Universidad de </w:t>
      </w:r>
      <w:r>
        <w:rPr>
          <w:color w:val="231F20"/>
          <w:spacing w:val="-4"/>
        </w:rPr>
        <w:t>Valencia </w:t>
      </w:r>
      <w:r>
        <w:rPr>
          <w:color w:val="231F20"/>
        </w:rPr>
        <w:t>en España (2009-2010). Actual- mente</w:t>
      </w:r>
      <w:r>
        <w:rPr>
          <w:color w:val="231F20"/>
          <w:spacing w:val="-6"/>
        </w:rPr>
        <w:t> </w:t>
      </w:r>
      <w:r>
        <w:rPr>
          <w:color w:val="231F20"/>
        </w:rPr>
        <w:t>estudiante</w:t>
      </w:r>
      <w:r>
        <w:rPr>
          <w:color w:val="231F20"/>
          <w:spacing w:val="-6"/>
        </w:rPr>
        <w:t> </w:t>
      </w:r>
      <w:r>
        <w:rPr>
          <w:color w:val="231F20"/>
        </w:rPr>
        <w:t>del</w:t>
      </w:r>
      <w:r>
        <w:rPr>
          <w:color w:val="231F20"/>
          <w:spacing w:val="-6"/>
        </w:rPr>
        <w:t> </w:t>
      </w:r>
      <w:r>
        <w:rPr>
          <w:color w:val="231F20"/>
        </w:rPr>
        <w:t>Doctorado</w:t>
      </w:r>
      <w:r>
        <w:rPr>
          <w:color w:val="231F20"/>
          <w:spacing w:val="-5"/>
        </w:rPr>
        <w:t> </w:t>
      </w:r>
      <w:r>
        <w:rPr>
          <w:color w:val="231F20"/>
        </w:rPr>
        <w:t>en</w:t>
      </w:r>
      <w:r>
        <w:rPr>
          <w:color w:val="231F20"/>
          <w:spacing w:val="-6"/>
        </w:rPr>
        <w:t> </w:t>
      </w:r>
      <w:r>
        <w:rPr>
          <w:color w:val="231F20"/>
        </w:rPr>
        <w:t>Estudios</w:t>
      </w:r>
      <w:r>
        <w:rPr>
          <w:color w:val="231F20"/>
          <w:spacing w:val="-6"/>
        </w:rPr>
        <w:t> </w:t>
      </w:r>
      <w:r>
        <w:rPr>
          <w:color w:val="231F20"/>
        </w:rPr>
        <w:t>de</w:t>
      </w:r>
      <w:r>
        <w:rPr>
          <w:color w:val="231F20"/>
          <w:spacing w:val="-6"/>
        </w:rPr>
        <w:t> </w:t>
      </w:r>
      <w:r>
        <w:rPr>
          <w:color w:val="231F20"/>
        </w:rPr>
        <w:t>Población</w:t>
      </w:r>
      <w:r>
        <w:rPr>
          <w:color w:val="231F20"/>
          <w:spacing w:val="-5"/>
        </w:rPr>
        <w:t> </w:t>
      </w:r>
      <w:r>
        <w:rPr>
          <w:color w:val="231F20"/>
        </w:rPr>
        <w:t>en</w:t>
      </w:r>
      <w:r>
        <w:rPr>
          <w:color w:val="231F20"/>
          <w:spacing w:val="-6"/>
        </w:rPr>
        <w:t> </w:t>
      </w:r>
      <w:r>
        <w:rPr>
          <w:color w:val="231F20"/>
        </w:rPr>
        <w:t>el</w:t>
      </w:r>
      <w:r>
        <w:rPr>
          <w:color w:val="231F20"/>
          <w:spacing w:val="-6"/>
        </w:rPr>
        <w:t> </w:t>
      </w:r>
      <w:r>
        <w:rPr>
          <w:color w:val="231F20"/>
        </w:rPr>
        <w:t>Colegio</w:t>
      </w:r>
      <w:r>
        <w:rPr>
          <w:color w:val="231F20"/>
          <w:spacing w:val="-6"/>
        </w:rPr>
        <w:t> </w:t>
      </w:r>
      <w:r>
        <w:rPr>
          <w:color w:val="231F20"/>
        </w:rPr>
        <w:t>de México. Adscrita al Grupo de Investigación de Movilidad Humana de la Universidad</w:t>
      </w:r>
      <w:r>
        <w:rPr>
          <w:color w:val="231F20"/>
          <w:spacing w:val="-9"/>
        </w:rPr>
        <w:t> </w:t>
      </w:r>
      <w:r>
        <w:rPr>
          <w:color w:val="231F20"/>
        </w:rPr>
        <w:t>Tecnológica</w:t>
      </w:r>
      <w:r>
        <w:rPr>
          <w:color w:val="231F20"/>
          <w:spacing w:val="-7"/>
        </w:rPr>
        <w:t> </w:t>
      </w:r>
      <w:r>
        <w:rPr>
          <w:color w:val="231F20"/>
        </w:rPr>
        <w:t>bajo</w:t>
      </w:r>
      <w:r>
        <w:rPr>
          <w:color w:val="231F20"/>
          <w:spacing w:val="-6"/>
        </w:rPr>
        <w:t> </w:t>
      </w:r>
      <w:r>
        <w:rPr>
          <w:color w:val="231F20"/>
        </w:rPr>
        <w:t>la</w:t>
      </w:r>
      <w:r>
        <w:rPr>
          <w:color w:val="231F20"/>
          <w:spacing w:val="-6"/>
        </w:rPr>
        <w:t> </w:t>
      </w:r>
      <w:r>
        <w:rPr>
          <w:color w:val="231F20"/>
        </w:rPr>
        <w:t>línea</w:t>
      </w:r>
      <w:r>
        <w:rPr>
          <w:color w:val="231F20"/>
          <w:spacing w:val="-6"/>
        </w:rPr>
        <w:t> </w:t>
      </w:r>
      <w:r>
        <w:rPr>
          <w:color w:val="231F20"/>
        </w:rPr>
        <w:t>temática</w:t>
      </w:r>
      <w:r>
        <w:rPr>
          <w:color w:val="231F20"/>
          <w:spacing w:val="-7"/>
        </w:rPr>
        <w:t> </w:t>
      </w:r>
      <w:r>
        <w:rPr>
          <w:color w:val="231F20"/>
        </w:rPr>
        <w:t>de</w:t>
      </w:r>
      <w:r>
        <w:rPr>
          <w:color w:val="231F20"/>
          <w:spacing w:val="-6"/>
        </w:rPr>
        <w:t> </w:t>
      </w:r>
      <w:r>
        <w:rPr>
          <w:color w:val="231F20"/>
        </w:rPr>
        <w:t>migración</w:t>
      </w:r>
      <w:r>
        <w:rPr>
          <w:color w:val="231F20"/>
          <w:spacing w:val="-7"/>
        </w:rPr>
        <w:t> </w:t>
      </w:r>
      <w:r>
        <w:rPr>
          <w:color w:val="231F20"/>
        </w:rPr>
        <w:t>y</w:t>
      </w:r>
      <w:r>
        <w:rPr>
          <w:color w:val="231F20"/>
          <w:spacing w:val="-6"/>
        </w:rPr>
        <w:t> </w:t>
      </w:r>
      <w:r>
        <w:rPr>
          <w:color w:val="231F20"/>
        </w:rPr>
        <w:t>familia.</w:t>
      </w:r>
      <w:r>
        <w:rPr>
          <w:color w:val="231F20"/>
          <w:spacing w:val="-6"/>
        </w:rPr>
        <w:t> </w:t>
      </w:r>
      <w:r>
        <w:rPr>
          <w:color w:val="231F20"/>
        </w:rPr>
        <w:t>Ha participado en investigaciones sobre la migración laboral, temporal y cir- cular, y más recientemente su área de interés ha sidoel retorno migratorio hacia Colombia.</w:t>
      </w:r>
    </w:p>
    <w:p>
      <w:pPr>
        <w:pStyle w:val="BodyText"/>
        <w:spacing w:before="6"/>
      </w:pPr>
    </w:p>
    <w:p>
      <w:pPr>
        <w:pStyle w:val="BodyText"/>
        <w:ind w:left="117"/>
        <w:jc w:val="both"/>
      </w:pPr>
      <w:r>
        <w:rPr>
          <w:color w:val="231F20"/>
        </w:rPr>
        <w:t>Correo electrónico. </w:t>
      </w:r>
      <w:hyperlink r:id="rId82">
        <w:r>
          <w:rPr>
            <w:color w:val="231F20"/>
          </w:rPr>
          <w:t>ycastro@colmex.mx</w:t>
        </w:r>
      </w:hyperlink>
    </w:p>
    <w:p>
      <w:pPr>
        <w:spacing w:after="0"/>
        <w:jc w:val="both"/>
        <w:sectPr>
          <w:pgSz w:w="9360" w:h="13040"/>
          <w:pgMar w:header="0" w:footer="496" w:top="740" w:bottom="680" w:left="1300" w:right="1300"/>
        </w:sectPr>
      </w:pPr>
    </w:p>
    <w:p>
      <w:pPr>
        <w:pStyle w:val="BodyText"/>
        <w:ind w:left="310"/>
        <w:rPr>
          <w:sz w:val="20"/>
        </w:rPr>
      </w:pPr>
      <w:r>
        <w:rPr/>
        <w:pict>
          <v:shape style="position:absolute;margin-left:59.528pt;margin-top:20.784994pt;width:353.4pt;height:43.5pt;mso-position-horizontal-relative:page;mso-position-vertical-relative:page;z-index:-642400" type="#_x0000_t202" filled="false" stroked="false">
            <v:textbox inset="0,0,0,0">
              <w:txbxContent>
                <w:p>
                  <w:pPr>
                    <w:pStyle w:val="BodyText"/>
                    <w:rPr>
                      <w:sz w:val="20"/>
                    </w:rPr>
                  </w:pPr>
                </w:p>
                <w:p>
                  <w:pPr>
                    <w:pStyle w:val="BodyText"/>
                    <w:spacing w:before="3"/>
                    <w:rPr>
                      <w:sz w:val="19"/>
                    </w:rPr>
                  </w:pPr>
                </w:p>
                <w:p>
                  <w:pPr>
                    <w:tabs>
                      <w:tab w:pos="5646" w:val="left" w:leader="none"/>
                    </w:tabs>
                    <w:spacing w:before="0"/>
                    <w:ind w:left="249" w:right="0" w:firstLine="0"/>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txbxContent>
            </v:textbox>
            <w10:wrap type="none"/>
          </v:shape>
        </w:pict>
      </w:r>
      <w:r>
        <w:rPr/>
        <w:pict>
          <v:shape style="position:absolute;margin-left:49.889999pt;margin-top:595.864014pt;width:353.4pt;height:43.5pt;mso-position-horizontal-relative:page;mso-position-vertical-relative:page;z-index:-642376" type="#_x0000_t202" filled="false" stroked="false">
            <v:textbox inset="0,0,0,0">
              <w:txbxContent>
                <w:p>
                  <w:pPr>
                    <w:pStyle w:val="BodyText"/>
                    <w:rPr>
                      <w:sz w:val="20"/>
                    </w:rPr>
                  </w:pPr>
                </w:p>
                <w:p>
                  <w:pPr>
                    <w:spacing w:before="147"/>
                    <w:ind w:left="2925" w:right="3055" w:firstLine="0"/>
                    <w:jc w:val="center"/>
                    <w:rPr>
                      <w:rFonts w:ascii="Verdana"/>
                      <w:sz w:val="20"/>
                    </w:rPr>
                  </w:pPr>
                  <w:r>
                    <w:rPr>
                      <w:rFonts w:ascii="Verdana"/>
                      <w:color w:val="231F20"/>
                      <w:sz w:val="20"/>
                    </w:rPr>
                    <w:t>70</w:t>
                  </w:r>
                </w:p>
              </w:txbxContent>
            </v:textbox>
            <w10:wrap type="none"/>
          </v:shape>
        </w:pict>
      </w: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r>
        <w:rPr/>
        <w:pict>
          <v:rect style="position:absolute;margin-left:49.889999pt;margin-top:12.688946pt;width:353.386pt;height:43.469pt;mso-position-horizontal-relative:page;mso-position-vertical-relative:paragraph;z-index:2176;mso-wrap-distance-left:0;mso-wrap-distance-right:0" filled="true" fillcolor="#ffffff" stroked="false">
            <v:fill type="solid"/>
            <w10:wrap type="topAndBottom"/>
          </v:rect>
        </w:pict>
      </w:r>
    </w:p>
    <w:p>
      <w:pPr>
        <w:spacing w:after="0"/>
        <w:rPr>
          <w:sz w:val="18"/>
        </w:rPr>
        <w:sectPr>
          <w:footerReference w:type="default" r:id="rId83"/>
          <w:pgSz w:w="9360" w:h="13040"/>
          <w:pgMar w:footer="0" w:header="0" w:top="400" w:bottom="0" w:left="880" w:right="980"/>
        </w:sectPr>
      </w:pPr>
    </w:p>
    <w:p>
      <w:pPr>
        <w:pStyle w:val="BodyText"/>
        <w:ind w:left="101"/>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spacing w:line="240" w:lineRule="auto" w:before="0"/>
        <w:ind w:left="886" w:right="487"/>
        <w:jc w:val="center"/>
      </w:pPr>
      <w:r>
        <w:rPr/>
        <w:pict>
          <v:shape style="position:absolute;margin-left:47.055pt;margin-top:-44.95475pt;width:353.4pt;height:43.5pt;mso-position-horizontal-relative:page;mso-position-vertical-relative:paragraph;z-index:-642328" type="#_x0000_t202" filled="false" stroked="false">
            <v:textbox inset="0,0,0,0">
              <w:txbxContent>
                <w:p>
                  <w:pPr>
                    <w:pStyle w:val="BodyText"/>
                    <w:rPr>
                      <w:sz w:val="20"/>
                    </w:rPr>
                  </w:pPr>
                </w:p>
                <w:p>
                  <w:pPr>
                    <w:spacing w:before="159"/>
                    <w:ind w:left="3190" w:right="0" w:firstLine="0"/>
                    <w:jc w:val="left"/>
                    <w:rPr>
                      <w:rFonts w:ascii="Arial" w:hAnsi="Arial"/>
                      <w:sz w:val="20"/>
                    </w:rPr>
                  </w:pPr>
                  <w:r>
                    <w:rPr>
                      <w:rFonts w:ascii="Arial" w:hAnsi="Arial"/>
                      <w:color w:val="231F20"/>
                      <w:w w:val="74"/>
                      <w:sz w:val="20"/>
                    </w:rPr>
                    <w:t>Familias</w:t>
                  </w:r>
                  <w:r>
                    <w:rPr>
                      <w:rFonts w:ascii="Arial" w:hAnsi="Arial"/>
                      <w:color w:val="231F20"/>
                      <w:spacing w:val="-1"/>
                      <w:sz w:val="20"/>
                    </w:rPr>
                    <w:t> </w:t>
                  </w:r>
                  <w:r>
                    <w:rPr>
                      <w:rFonts w:ascii="Arial" w:hAnsi="Arial"/>
                      <w:color w:val="231F20"/>
                      <w:spacing w:val="-1"/>
                      <w:w w:val="72"/>
                      <w:sz w:val="20"/>
                    </w:rPr>
                    <w:t>transnacionale</w:t>
                  </w:r>
                  <w:r>
                    <w:rPr>
                      <w:rFonts w:ascii="Arial" w:hAnsi="Arial"/>
                      <w:color w:val="231F20"/>
                      <w:w w:val="72"/>
                      <w:sz w:val="20"/>
                    </w:rPr>
                    <w:t>s</w:t>
                  </w:r>
                  <w:r>
                    <w:rPr>
                      <w:rFonts w:ascii="Arial" w:hAnsi="Arial"/>
                      <w:color w:val="231F20"/>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1"/>
                      <w:sz w:val="20"/>
                    </w:rPr>
                    <w:t>Colombia</w:t>
                  </w:r>
                  <w:r>
                    <w:rPr>
                      <w:rFonts w:ascii="Arial" w:hAnsi="Arial"/>
                      <w:color w:val="231F20"/>
                      <w:spacing w:val="-1"/>
                      <w:sz w:val="20"/>
                    </w:rPr>
                    <w:t> </w:t>
                  </w:r>
                  <w:r>
                    <w:rPr>
                      <w:rFonts w:ascii="Arial" w:hAnsi="Arial"/>
                      <w:color w:val="231F20"/>
                      <w:spacing w:val="-1"/>
                      <w:w w:val="99"/>
                      <w:sz w:val="20"/>
                    </w:rPr>
                    <w:t>/</w:t>
                  </w:r>
                  <w:r>
                    <w:rPr>
                      <w:rFonts w:ascii="Arial" w:hAnsi="Arial"/>
                      <w:color w:val="231F20"/>
                      <w:w w:val="48"/>
                      <w:sz w:val="20"/>
                    </w:rPr>
                    <w:t>Luz</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50"/>
                      <w:sz w:val="20"/>
                    </w:rPr>
                    <w:t>López-Montaño</w:t>
                  </w:r>
                </w:p>
              </w:txbxContent>
            </v:textbox>
            <w10:wrap type="none"/>
          </v:shape>
        </w:pict>
      </w:r>
      <w:r>
        <w:rPr>
          <w:color w:val="231F20"/>
          <w:w w:val="70"/>
        </w:rPr>
        <w:t>Familias transnacionales en Colombia</w:t>
      </w:r>
    </w:p>
    <w:p>
      <w:pPr>
        <w:pStyle w:val="Heading2"/>
        <w:spacing w:before="293"/>
        <w:ind w:left="886" w:right="486"/>
        <w:jc w:val="center"/>
      </w:pPr>
      <w:r>
        <w:rPr>
          <w:color w:val="231F20"/>
        </w:rPr>
        <w:t>Luz María López-Montaño</w:t>
      </w:r>
    </w:p>
    <w:p>
      <w:pPr>
        <w:pStyle w:val="BodyText"/>
        <w:rPr>
          <w:sz w:val="30"/>
        </w:rPr>
      </w:pPr>
    </w:p>
    <w:p>
      <w:pPr>
        <w:spacing w:before="184"/>
        <w:ind w:left="2333" w:right="1063" w:firstLine="0"/>
        <w:jc w:val="left"/>
        <w:rPr>
          <w:i/>
          <w:sz w:val="22"/>
        </w:rPr>
      </w:pPr>
      <w:r>
        <w:rPr>
          <w:i/>
          <w:color w:val="231F20"/>
          <w:sz w:val="22"/>
        </w:rPr>
        <w:t>Universidad de Caldas, Colombia</w:t>
      </w:r>
    </w:p>
    <w:p>
      <w:pPr>
        <w:pStyle w:val="BodyText"/>
        <w:rPr>
          <w:i/>
        </w:rPr>
      </w:pPr>
    </w:p>
    <w:p>
      <w:pPr>
        <w:pStyle w:val="BodyText"/>
        <w:rPr>
          <w:i/>
        </w:rPr>
      </w:pPr>
    </w:p>
    <w:p>
      <w:pPr>
        <w:pStyle w:val="BodyText"/>
        <w:spacing w:before="5"/>
        <w:rPr>
          <w:i/>
          <w:sz w:val="32"/>
        </w:rPr>
      </w:pPr>
    </w:p>
    <w:p>
      <w:pPr>
        <w:pStyle w:val="Heading3"/>
        <w:spacing w:before="0"/>
        <w:ind w:left="580" w:right="1063"/>
        <w:jc w:val="left"/>
      </w:pPr>
      <w:r>
        <w:rPr>
          <w:color w:val="231F20"/>
        </w:rPr>
        <w:t>Introducción</w:t>
      </w:r>
    </w:p>
    <w:p>
      <w:pPr>
        <w:pStyle w:val="BodyText"/>
        <w:rPr>
          <w:b/>
          <w:sz w:val="20"/>
        </w:rPr>
      </w:pPr>
    </w:p>
    <w:p>
      <w:pPr>
        <w:pStyle w:val="BodyText"/>
        <w:spacing w:before="6"/>
        <w:rPr>
          <w:b/>
          <w:sz w:val="19"/>
        </w:rPr>
      </w:pPr>
    </w:p>
    <w:p>
      <w:pPr>
        <w:pStyle w:val="BodyText"/>
        <w:spacing w:line="247" w:lineRule="auto" w:before="187"/>
        <w:ind w:left="1459" w:right="175"/>
        <w:jc w:val="both"/>
      </w:pPr>
      <w:r>
        <w:rPr/>
        <w:pict>
          <v:shape style="position:absolute;margin-left:71.028099pt;margin-top:4.984082pt;width:36.7pt;height:55pt;mso-position-horizontal-relative:page;mso-position-vertical-relative:paragraph;z-index:-642304" type="#_x0000_t202" filled="false" stroked="false">
            <v:textbox inset="0,0,0,0">
              <w:txbxContent>
                <w:p>
                  <w:pPr>
                    <w:spacing w:line="1100" w:lineRule="exact" w:before="0"/>
                    <w:ind w:left="0" w:right="0" w:firstLine="0"/>
                    <w:jc w:val="left"/>
                    <w:rPr>
                      <w:b/>
                      <w:sz w:val="110"/>
                    </w:rPr>
                  </w:pPr>
                  <w:r>
                    <w:rPr>
                      <w:b/>
                      <w:color w:val="231F20"/>
                      <w:sz w:val="110"/>
                    </w:rPr>
                    <w:t>L</w:t>
                  </w:r>
                </w:p>
              </w:txbxContent>
            </v:textbox>
            <w10:wrap type="none"/>
          </v:shape>
        </w:pict>
      </w:r>
      <w:r>
        <w:rPr>
          <w:color w:val="231F20"/>
        </w:rPr>
        <w:t>os procesos migratorios internacionales, al transitar la segunda década del siglo XXI, son puestos cada vez más en discusión desde la movilidad parental y desde marcos interdisciplinares</w:t>
      </w:r>
      <w:r>
        <w:rPr>
          <w:color w:val="231F20"/>
          <w:spacing w:val="-35"/>
        </w:rPr>
        <w:t> </w:t>
      </w:r>
      <w:r>
        <w:rPr>
          <w:color w:val="231F20"/>
        </w:rPr>
        <w:t>de</w:t>
      </w:r>
    </w:p>
    <w:p>
      <w:pPr>
        <w:pStyle w:val="BodyText"/>
        <w:spacing w:line="247" w:lineRule="auto" w:before="8"/>
        <w:ind w:left="577" w:right="174"/>
        <w:jc w:val="both"/>
      </w:pPr>
      <w:r>
        <w:rPr>
          <w:color w:val="231F20"/>
        </w:rPr>
        <w:t>las ciencias sociales. La familia como ámbito social históricamente com- prometido con la formación humana intergeneracional cobra interés en la era</w:t>
      </w:r>
      <w:r>
        <w:rPr>
          <w:color w:val="231F20"/>
          <w:spacing w:val="-10"/>
        </w:rPr>
        <w:t> </w:t>
      </w:r>
      <w:r>
        <w:rPr>
          <w:color w:val="231F20"/>
        </w:rPr>
        <w:t>global</w:t>
      </w:r>
      <w:r>
        <w:rPr>
          <w:color w:val="231F20"/>
          <w:spacing w:val="-9"/>
        </w:rPr>
        <w:t> </w:t>
      </w:r>
      <w:r>
        <w:rPr>
          <w:color w:val="231F20"/>
        </w:rPr>
        <w:t>por</w:t>
      </w:r>
      <w:r>
        <w:rPr>
          <w:color w:val="231F20"/>
          <w:spacing w:val="-10"/>
        </w:rPr>
        <w:t> </w:t>
      </w:r>
      <w:r>
        <w:rPr>
          <w:color w:val="231F20"/>
        </w:rPr>
        <w:t>la</w:t>
      </w:r>
      <w:r>
        <w:rPr>
          <w:color w:val="231F20"/>
          <w:spacing w:val="-10"/>
        </w:rPr>
        <w:t> </w:t>
      </w:r>
      <w:r>
        <w:rPr>
          <w:color w:val="231F20"/>
        </w:rPr>
        <w:t>realidad</w:t>
      </w:r>
      <w:r>
        <w:rPr>
          <w:color w:val="231F20"/>
          <w:spacing w:val="-10"/>
        </w:rPr>
        <w:t> </w:t>
      </w:r>
      <w:r>
        <w:rPr>
          <w:color w:val="231F20"/>
        </w:rPr>
        <w:t>de</w:t>
      </w:r>
      <w:r>
        <w:rPr>
          <w:color w:val="231F20"/>
          <w:spacing w:val="-9"/>
        </w:rPr>
        <w:t> </w:t>
      </w:r>
      <w:r>
        <w:rPr>
          <w:color w:val="231F20"/>
        </w:rPr>
        <w:t>la</w:t>
      </w:r>
      <w:r>
        <w:rPr>
          <w:color w:val="231F20"/>
          <w:spacing w:val="-10"/>
        </w:rPr>
        <w:t> </w:t>
      </w:r>
      <w:r>
        <w:rPr>
          <w:color w:val="231F20"/>
        </w:rPr>
        <w:t>migración</w:t>
      </w:r>
      <w:r>
        <w:rPr>
          <w:color w:val="231F20"/>
          <w:spacing w:val="-10"/>
        </w:rPr>
        <w:t> </w:t>
      </w:r>
      <w:r>
        <w:rPr>
          <w:color w:val="231F20"/>
        </w:rPr>
        <w:t>internacional</w:t>
      </w:r>
      <w:r>
        <w:rPr>
          <w:color w:val="231F20"/>
          <w:spacing w:val="-10"/>
        </w:rPr>
        <w:t> </w:t>
      </w:r>
      <w:r>
        <w:rPr>
          <w:color w:val="231F20"/>
        </w:rPr>
        <w:t>de</w:t>
      </w:r>
      <w:r>
        <w:rPr>
          <w:color w:val="231F20"/>
          <w:spacing w:val="-9"/>
        </w:rPr>
        <w:t> </w:t>
      </w:r>
      <w:r>
        <w:rPr>
          <w:color w:val="231F20"/>
        </w:rPr>
        <w:t>padres</w:t>
      </w:r>
      <w:r>
        <w:rPr>
          <w:color w:val="231F20"/>
          <w:spacing w:val="-9"/>
        </w:rPr>
        <w:t> </w:t>
      </w:r>
      <w:r>
        <w:rPr>
          <w:color w:val="231F20"/>
        </w:rPr>
        <w:t>o</w:t>
      </w:r>
      <w:r>
        <w:rPr>
          <w:color w:val="231F20"/>
          <w:spacing w:val="-10"/>
        </w:rPr>
        <w:t> </w:t>
      </w:r>
      <w:r>
        <w:rPr>
          <w:color w:val="231F20"/>
        </w:rPr>
        <w:t>madres, emergiendo nuevos retos para la academia. En presente trabajo, la discu- sión y conceptualización se realiza desde la ciencia de familia/estudios de familia y la teoría transnacional a partir de los resultados de investigacio- nes finalizadas entre 2008 y 2012. Con base en resultados de</w:t>
      </w:r>
      <w:r>
        <w:rPr>
          <w:color w:val="231F20"/>
          <w:spacing w:val="-24"/>
        </w:rPr>
        <w:t> </w:t>
      </w:r>
      <w:r>
        <w:rPr>
          <w:color w:val="231F20"/>
        </w:rPr>
        <w:t>investigacio- nes con familias del Eje Cafetero de Colombia donde padres o madres al migrar, principalmente por motivos laborales dejaron sus hijos/hijas de- pendientes, se discute la categoría familia en situación de transnaciona- lidad, con la cual quiere dar cuenta de una nueva realidad en el contexto de la migración internacional, una condición de tránsito, de movimiento, acompañada de una expectativa de final parcial para volver al hogar local, situación que le confiere a la familia el hecho de que sus integrantes</w:t>
      </w:r>
      <w:r>
        <w:rPr>
          <w:color w:val="231F20"/>
          <w:spacing w:val="-12"/>
        </w:rPr>
        <w:t> </w:t>
      </w:r>
      <w:r>
        <w:rPr>
          <w:color w:val="231F20"/>
        </w:rPr>
        <w:t>vivan en</w:t>
      </w:r>
      <w:r>
        <w:rPr>
          <w:color w:val="231F20"/>
          <w:spacing w:val="-6"/>
        </w:rPr>
        <w:t> </w:t>
      </w:r>
      <w:r>
        <w:rPr>
          <w:color w:val="231F20"/>
        </w:rPr>
        <w:t>hogares</w:t>
      </w:r>
      <w:r>
        <w:rPr>
          <w:color w:val="231F20"/>
          <w:spacing w:val="-6"/>
        </w:rPr>
        <w:t> </w:t>
      </w:r>
      <w:r>
        <w:rPr>
          <w:color w:val="231F20"/>
        </w:rPr>
        <w:t>separados</w:t>
      </w:r>
      <w:r>
        <w:rPr>
          <w:color w:val="231F20"/>
          <w:spacing w:val="-5"/>
        </w:rPr>
        <w:t> </w:t>
      </w:r>
      <w:r>
        <w:rPr>
          <w:color w:val="231F20"/>
        </w:rPr>
        <w:t>y</w:t>
      </w:r>
      <w:r>
        <w:rPr>
          <w:color w:val="231F20"/>
          <w:spacing w:val="-6"/>
        </w:rPr>
        <w:t> </w:t>
      </w:r>
      <w:r>
        <w:rPr>
          <w:color w:val="231F20"/>
        </w:rPr>
        <w:t>dispersos,</w:t>
      </w:r>
      <w:r>
        <w:rPr>
          <w:color w:val="231F20"/>
          <w:spacing w:val="-5"/>
        </w:rPr>
        <w:t> </w:t>
      </w:r>
      <w:r>
        <w:rPr>
          <w:color w:val="231F20"/>
        </w:rPr>
        <w:t>entre</w:t>
      </w:r>
      <w:r>
        <w:rPr>
          <w:color w:val="231F20"/>
          <w:spacing w:val="-6"/>
        </w:rPr>
        <w:t> </w:t>
      </w:r>
      <w:r>
        <w:rPr>
          <w:color w:val="231F20"/>
        </w:rPr>
        <w:t>aquí</w:t>
      </w:r>
      <w:r>
        <w:rPr>
          <w:color w:val="231F20"/>
          <w:spacing w:val="-6"/>
        </w:rPr>
        <w:t> </w:t>
      </w:r>
      <w:r>
        <w:rPr>
          <w:color w:val="231F20"/>
        </w:rPr>
        <w:t>y</w:t>
      </w:r>
      <w:r>
        <w:rPr>
          <w:color w:val="231F20"/>
          <w:spacing w:val="-6"/>
        </w:rPr>
        <w:t> </w:t>
      </w:r>
      <w:r>
        <w:rPr>
          <w:color w:val="231F20"/>
        </w:rPr>
        <w:t>más</w:t>
      </w:r>
      <w:r>
        <w:rPr>
          <w:color w:val="231F20"/>
          <w:spacing w:val="-6"/>
        </w:rPr>
        <w:t> </w:t>
      </w:r>
      <w:r>
        <w:rPr>
          <w:color w:val="231F20"/>
        </w:rPr>
        <w:t>allá</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fronteras</w:t>
      </w:r>
      <w:r>
        <w:rPr>
          <w:color w:val="231F20"/>
          <w:spacing w:val="-6"/>
        </w:rPr>
        <w:t> </w:t>
      </w:r>
      <w:r>
        <w:rPr>
          <w:color w:val="231F20"/>
        </w:rPr>
        <w:t>na- cionales mientras mantienen y sostienen sus vínculos —emocionales,</w:t>
      </w:r>
      <w:r>
        <w:rPr>
          <w:color w:val="231F20"/>
          <w:spacing w:val="-38"/>
        </w:rPr>
        <w:t> </w:t>
      </w:r>
      <w:r>
        <w:rPr>
          <w:color w:val="231F20"/>
        </w:rPr>
        <w:t>eco- nómicos,</w:t>
      </w:r>
      <w:r>
        <w:rPr>
          <w:color w:val="231F20"/>
          <w:spacing w:val="-10"/>
        </w:rPr>
        <w:t> </w:t>
      </w:r>
      <w:r>
        <w:rPr>
          <w:color w:val="231F20"/>
        </w:rPr>
        <w:t>de</w:t>
      </w:r>
      <w:r>
        <w:rPr>
          <w:color w:val="231F20"/>
          <w:spacing w:val="-10"/>
        </w:rPr>
        <w:t> </w:t>
      </w:r>
      <w:r>
        <w:rPr>
          <w:color w:val="231F20"/>
        </w:rPr>
        <w:t>cuidado</w:t>
      </w:r>
      <w:r>
        <w:rPr>
          <w:color w:val="231F20"/>
          <w:spacing w:val="-11"/>
        </w:rPr>
        <w:t> </w:t>
      </w:r>
      <w:r>
        <w:rPr>
          <w:color w:val="231F20"/>
        </w:rPr>
        <w:t>y</w:t>
      </w:r>
      <w:r>
        <w:rPr>
          <w:color w:val="231F20"/>
          <w:spacing w:val="-10"/>
        </w:rPr>
        <w:t> </w:t>
      </w:r>
      <w:r>
        <w:rPr>
          <w:color w:val="231F20"/>
        </w:rPr>
        <w:t>crianza,</w:t>
      </w:r>
      <w:r>
        <w:rPr>
          <w:color w:val="231F20"/>
          <w:spacing w:val="-11"/>
        </w:rPr>
        <w:t> </w:t>
      </w:r>
      <w:r>
        <w:rPr>
          <w:color w:val="231F20"/>
        </w:rPr>
        <w:t>educación—</w:t>
      </w:r>
      <w:r>
        <w:rPr>
          <w:color w:val="231F20"/>
          <w:spacing w:val="-11"/>
        </w:rPr>
        <w:t> </w:t>
      </w:r>
      <w:r>
        <w:rPr>
          <w:color w:val="231F20"/>
        </w:rPr>
        <w:t>mediante</w:t>
      </w:r>
      <w:r>
        <w:rPr>
          <w:color w:val="231F20"/>
          <w:spacing w:val="-11"/>
        </w:rPr>
        <w:t> </w:t>
      </w:r>
      <w:r>
        <w:rPr>
          <w:color w:val="231F20"/>
        </w:rPr>
        <w:t>proyectos</w:t>
      </w:r>
      <w:r>
        <w:rPr>
          <w:color w:val="231F20"/>
          <w:spacing w:val="-10"/>
        </w:rPr>
        <w:t> </w:t>
      </w:r>
      <w:r>
        <w:rPr>
          <w:color w:val="231F20"/>
        </w:rPr>
        <w:t>familiares e individuales que materializan en una cotidianidad reeditada constante y diferenciadamente entre las/los parientes del país y lugar/es de origen y el país y lugar/es de destino, dando cuenta en un microcosmos —ámbito— llamado familia, en permanente interrelación con ámbitos macro —globa- lización, desarrollo, migración y</w:t>
      </w:r>
      <w:r>
        <w:rPr>
          <w:color w:val="231F20"/>
          <w:spacing w:val="-2"/>
        </w:rPr>
        <w:t> </w:t>
      </w:r>
      <w:r>
        <w:rPr>
          <w:color w:val="231F20"/>
        </w:rPr>
        <w:t>familia—.</w:t>
      </w:r>
    </w:p>
    <w:p>
      <w:pPr>
        <w:spacing w:after="0" w:line="247" w:lineRule="auto"/>
        <w:jc w:val="both"/>
        <w:sectPr>
          <w:footerReference w:type="default" r:id="rId84"/>
          <w:pgSz w:w="9360" w:h="13040"/>
          <w:pgMar w:footer="496" w:header="0" w:top="400" w:bottom="680" w:left="840" w:right="1240"/>
        </w:sectPr>
      </w:pPr>
    </w:p>
    <w:p>
      <w:pPr>
        <w:tabs>
          <w:tab w:pos="5536" w:val="left" w:leader="none"/>
        </w:tabs>
        <w:spacing w:before="48"/>
        <w:ind w:left="140" w:right="0" w:firstLine="0"/>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2"/>
        <w:rPr>
          <w:sz w:val="16"/>
        </w:rPr>
      </w:pPr>
    </w:p>
    <w:p>
      <w:pPr>
        <w:pStyle w:val="Heading3"/>
        <w:spacing w:before="0"/>
      </w:pPr>
      <w:r>
        <w:rPr>
          <w:color w:val="231F20"/>
        </w:rPr>
        <w:t>Metodología</w:t>
      </w:r>
    </w:p>
    <w:p>
      <w:pPr>
        <w:pStyle w:val="BodyText"/>
        <w:spacing w:line="247" w:lineRule="auto" w:before="172"/>
        <w:ind w:left="117" w:right="114"/>
        <w:jc w:val="both"/>
      </w:pPr>
      <w:r>
        <w:rPr>
          <w:color w:val="231F20"/>
        </w:rPr>
        <w:t>La ponencia se sustenta en resultados de tres investigaciones cualitativas realizadas en Colombia entre 2007 y 2011, con participación de familias donde el padre o la madre migrante, en su mayoría por motivos laborales, llevaba al menos un año fuera del país, habiendo dejado por lo menos un hijo o hija, niño, niña o adolescente dependiente hasta de 24 años de</w:t>
      </w:r>
      <w:r>
        <w:rPr>
          <w:color w:val="231F20"/>
          <w:spacing w:val="-32"/>
        </w:rPr>
        <w:t> </w:t>
      </w:r>
      <w:r>
        <w:rPr>
          <w:color w:val="231F20"/>
        </w:rPr>
        <w:t>edad. Las investigaciones de base a que se hace referencia, realizadas en la</w:t>
      </w:r>
      <w:r>
        <w:rPr>
          <w:color w:val="231F20"/>
          <w:spacing w:val="-26"/>
        </w:rPr>
        <w:t> </w:t>
      </w:r>
      <w:r>
        <w:rPr>
          <w:color w:val="231F20"/>
        </w:rPr>
        <w:t>línea de investigación familia y movilidad humana, han sido o están en proceso de ser</w:t>
      </w:r>
      <w:r>
        <w:rPr>
          <w:color w:val="231F20"/>
          <w:spacing w:val="-2"/>
        </w:rPr>
        <w:t> </w:t>
      </w:r>
      <w:r>
        <w:rPr>
          <w:color w:val="231F20"/>
        </w:rPr>
        <w:t>publicadas.</w:t>
      </w:r>
    </w:p>
    <w:p>
      <w:pPr>
        <w:pStyle w:val="BodyText"/>
        <w:spacing w:line="247" w:lineRule="auto"/>
        <w:ind w:left="117" w:right="114" w:firstLine="283"/>
        <w:jc w:val="both"/>
      </w:pPr>
      <w:r>
        <w:rPr>
          <w:color w:val="231F20"/>
        </w:rPr>
        <w:t>Padres o madres migrantes internacionales: implicaciones en la econo- mía y en la interacción familiar,</w:t>
      </w:r>
      <w:r>
        <w:rPr>
          <w:color w:val="231F20"/>
          <w:position w:val="7"/>
          <w:sz w:val="13"/>
        </w:rPr>
        <w:t>1 </w:t>
      </w:r>
      <w:r>
        <w:rPr>
          <w:color w:val="231F20"/>
        </w:rPr>
        <w:t>finalizada en 2008, da cuenta de un acer- camiento sociocultural en 100 familias de nueve municipios —Anserma, Armenia, Cartago, Dosquebradas, Filandia, Manizales, Pereira, Santuario, Zarzal— realizado con el propósito de comprender los matices de la rea- lidad familiar desde los vínculos, la economía familiar, trayectoria vital, utilización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remesa,</w:t>
      </w:r>
      <w:r>
        <w:rPr>
          <w:color w:val="231F20"/>
          <w:spacing w:val="-9"/>
        </w:rPr>
        <w:t> </w:t>
      </w:r>
      <w:r>
        <w:rPr>
          <w:color w:val="231F20"/>
        </w:rPr>
        <w:t>roles,</w:t>
      </w:r>
      <w:r>
        <w:rPr>
          <w:color w:val="231F20"/>
          <w:spacing w:val="-9"/>
        </w:rPr>
        <w:t> </w:t>
      </w:r>
      <w:r>
        <w:rPr>
          <w:color w:val="231F20"/>
        </w:rPr>
        <w:t>normas</w:t>
      </w:r>
      <w:r>
        <w:rPr>
          <w:color w:val="231F20"/>
          <w:spacing w:val="-9"/>
        </w:rPr>
        <w:t> </w:t>
      </w:r>
      <w:r>
        <w:rPr>
          <w:color w:val="231F20"/>
        </w:rPr>
        <w:t>y</w:t>
      </w:r>
      <w:r>
        <w:rPr>
          <w:color w:val="231F20"/>
          <w:spacing w:val="-9"/>
        </w:rPr>
        <w:t> </w:t>
      </w:r>
      <w:r>
        <w:rPr>
          <w:color w:val="231F20"/>
        </w:rPr>
        <w:t>sentido</w:t>
      </w:r>
      <w:r>
        <w:rPr>
          <w:color w:val="231F20"/>
          <w:spacing w:val="-9"/>
        </w:rPr>
        <w:t> </w:t>
      </w:r>
      <w:r>
        <w:rPr>
          <w:color w:val="231F20"/>
        </w:rPr>
        <w:t>de</w:t>
      </w:r>
      <w:r>
        <w:rPr>
          <w:color w:val="231F20"/>
          <w:spacing w:val="-9"/>
        </w:rPr>
        <w:t> </w:t>
      </w:r>
      <w:r>
        <w:rPr>
          <w:color w:val="231F20"/>
        </w:rPr>
        <w:t>vida,</w:t>
      </w:r>
      <w:r>
        <w:rPr>
          <w:color w:val="231F20"/>
          <w:spacing w:val="-9"/>
        </w:rPr>
        <w:t> </w:t>
      </w:r>
      <w:r>
        <w:rPr>
          <w:color w:val="231F20"/>
        </w:rPr>
        <w:t>apoyo</w:t>
      </w:r>
      <w:r>
        <w:rPr>
          <w:color w:val="231F20"/>
          <w:spacing w:val="-9"/>
        </w:rPr>
        <w:t> </w:t>
      </w:r>
      <w:r>
        <w:rPr>
          <w:color w:val="231F20"/>
        </w:rPr>
        <w:t>emocional, cambios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estructura,</w:t>
      </w:r>
      <w:r>
        <w:rPr>
          <w:color w:val="231F20"/>
          <w:spacing w:val="-8"/>
        </w:rPr>
        <w:t> </w:t>
      </w:r>
      <w:r>
        <w:rPr>
          <w:color w:val="231F20"/>
        </w:rPr>
        <w:t>organización</w:t>
      </w:r>
      <w:r>
        <w:rPr>
          <w:color w:val="231F20"/>
          <w:spacing w:val="-8"/>
        </w:rPr>
        <w:t> </w:t>
      </w:r>
      <w:r>
        <w:rPr>
          <w:color w:val="231F20"/>
        </w:rPr>
        <w:t>y</w:t>
      </w:r>
      <w:r>
        <w:rPr>
          <w:color w:val="231F20"/>
          <w:spacing w:val="-8"/>
        </w:rPr>
        <w:t> </w:t>
      </w:r>
      <w:r>
        <w:rPr>
          <w:color w:val="231F20"/>
        </w:rPr>
        <w:t>funcionamiento,</w:t>
      </w:r>
      <w:r>
        <w:rPr>
          <w:color w:val="231F20"/>
          <w:spacing w:val="-8"/>
        </w:rPr>
        <w:t> </w:t>
      </w:r>
      <w:r>
        <w:rPr>
          <w:color w:val="231F20"/>
        </w:rPr>
        <w:t>implicaciones</w:t>
      </w:r>
      <w:r>
        <w:rPr>
          <w:color w:val="231F20"/>
          <w:spacing w:val="-8"/>
        </w:rPr>
        <w:t> </w:t>
      </w:r>
      <w:r>
        <w:rPr>
          <w:color w:val="231F20"/>
        </w:rPr>
        <w:t>en las interacciones y las emociones o sentimientos que se potencian en las familias.</w:t>
      </w:r>
    </w:p>
    <w:p>
      <w:pPr>
        <w:pStyle w:val="BodyText"/>
        <w:spacing w:line="247" w:lineRule="auto"/>
        <w:ind w:left="117" w:right="114" w:firstLine="283"/>
        <w:jc w:val="both"/>
      </w:pPr>
      <w:r>
        <w:rPr>
          <w:color w:val="231F20"/>
        </w:rPr>
        <w:t>Trayectorias</w:t>
      </w:r>
      <w:r>
        <w:rPr>
          <w:color w:val="231F20"/>
          <w:spacing w:val="-9"/>
        </w:rPr>
        <w:t> </w:t>
      </w:r>
      <w:r>
        <w:rPr>
          <w:color w:val="231F20"/>
        </w:rPr>
        <w:t>de</w:t>
      </w:r>
      <w:r>
        <w:rPr>
          <w:color w:val="231F20"/>
          <w:spacing w:val="-9"/>
        </w:rPr>
        <w:t> </w:t>
      </w:r>
      <w:r>
        <w:rPr>
          <w:color w:val="231F20"/>
        </w:rPr>
        <w:t>familia</w:t>
      </w:r>
      <w:r>
        <w:rPr>
          <w:color w:val="231F20"/>
          <w:spacing w:val="-9"/>
        </w:rPr>
        <w:t> </w:t>
      </w:r>
      <w:r>
        <w:rPr>
          <w:color w:val="231F20"/>
        </w:rPr>
        <w:t>e</w:t>
      </w:r>
      <w:r>
        <w:rPr>
          <w:color w:val="231F20"/>
          <w:spacing w:val="-9"/>
        </w:rPr>
        <w:t> </w:t>
      </w:r>
      <w:r>
        <w:rPr>
          <w:color w:val="231F20"/>
        </w:rPr>
        <w:t>infancia</w:t>
      </w:r>
      <w:r>
        <w:rPr>
          <w:color w:val="231F20"/>
          <w:spacing w:val="-10"/>
        </w:rPr>
        <w:t> </w:t>
      </w:r>
      <w:r>
        <w:rPr>
          <w:color w:val="231F20"/>
        </w:rPr>
        <w:t>ante</w:t>
      </w:r>
      <w:r>
        <w:rPr>
          <w:color w:val="231F20"/>
          <w:spacing w:val="-9"/>
        </w:rPr>
        <w:t> </w:t>
      </w:r>
      <w:r>
        <w:rPr>
          <w:color w:val="231F20"/>
        </w:rPr>
        <w:t>la</w:t>
      </w:r>
      <w:r>
        <w:rPr>
          <w:color w:val="231F20"/>
          <w:spacing w:val="-9"/>
        </w:rPr>
        <w:t> </w:t>
      </w:r>
      <w:r>
        <w:rPr>
          <w:color w:val="231F20"/>
        </w:rPr>
        <w:t>migración</w:t>
      </w:r>
      <w:r>
        <w:rPr>
          <w:color w:val="231F20"/>
          <w:spacing w:val="-10"/>
        </w:rPr>
        <w:t> </w:t>
      </w:r>
      <w:r>
        <w:rPr>
          <w:color w:val="231F20"/>
        </w:rPr>
        <w:t>internacional</w:t>
      </w:r>
      <w:r>
        <w:rPr>
          <w:color w:val="231F20"/>
          <w:spacing w:val="-10"/>
        </w:rPr>
        <w:t> </w:t>
      </w:r>
      <w:r>
        <w:rPr>
          <w:color w:val="231F20"/>
        </w:rPr>
        <w:t>pater- na o materna: diagnóstico y propuestas,</w:t>
      </w:r>
      <w:r>
        <w:rPr>
          <w:color w:val="231F20"/>
          <w:position w:val="7"/>
          <w:sz w:val="13"/>
        </w:rPr>
        <w:t>2 </w:t>
      </w:r>
      <w:r>
        <w:rPr>
          <w:color w:val="231F20"/>
        </w:rPr>
        <w:t>finalizada en 2010, consistió en identificar algunos factores que le dan sostenibilidad a la experiencia mi- gratoria, por lo cual se indagó en 49 familias de seis municipios —Arme- nia, Filandia, Manizales, Anserma, Pereira, Santuario—, que habían parti- cipado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investigación</w:t>
      </w:r>
      <w:r>
        <w:rPr>
          <w:color w:val="231F20"/>
          <w:spacing w:val="-12"/>
        </w:rPr>
        <w:t> </w:t>
      </w:r>
      <w:r>
        <w:rPr>
          <w:color w:val="231F20"/>
        </w:rPr>
        <w:t>antes</w:t>
      </w:r>
      <w:r>
        <w:rPr>
          <w:color w:val="231F20"/>
          <w:spacing w:val="-11"/>
        </w:rPr>
        <w:t> </w:t>
      </w:r>
      <w:r>
        <w:rPr>
          <w:color w:val="231F20"/>
        </w:rPr>
        <w:t>mencionada</w:t>
      </w:r>
      <w:r>
        <w:rPr>
          <w:color w:val="231F20"/>
          <w:spacing w:val="-12"/>
        </w:rPr>
        <w:t> </w:t>
      </w:r>
      <w:r>
        <w:rPr>
          <w:color w:val="231F20"/>
        </w:rPr>
        <w:t>y</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2006</w:t>
      </w:r>
      <w:r>
        <w:rPr>
          <w:color w:val="231F20"/>
          <w:spacing w:val="-11"/>
        </w:rPr>
        <w:t> </w:t>
      </w:r>
      <w:r>
        <w:rPr>
          <w:color w:val="231F20"/>
        </w:rPr>
        <w:t>tenían</w:t>
      </w:r>
      <w:r>
        <w:rPr>
          <w:color w:val="231F20"/>
          <w:spacing w:val="-11"/>
        </w:rPr>
        <w:t> </w:t>
      </w:r>
      <w:r>
        <w:rPr>
          <w:color w:val="231F20"/>
        </w:rPr>
        <w:t>al</w:t>
      </w:r>
      <w:r>
        <w:rPr>
          <w:color w:val="231F20"/>
          <w:spacing w:val="-11"/>
        </w:rPr>
        <w:t> </w:t>
      </w:r>
      <w:r>
        <w:rPr>
          <w:color w:val="231F20"/>
        </w:rPr>
        <w:t>menos un hijo o hija hasta de 12 años de edad quien al momento de la entrevista aún estaba bajo cuidado parental y su padre o madre en situación de mi- grante internacional, con el fin de describir los cambios en la estructura y organización de las familias, los nuevos lugares parentales, la situación de los hijos e hijas y las dinámicas del cuidado y formular algunas ideas de programas que podrían ejecutarse ante la experiencia de las familias en entornos migratorios o no</w:t>
      </w:r>
      <w:r>
        <w:rPr>
          <w:color w:val="231F20"/>
          <w:spacing w:val="-2"/>
        </w:rPr>
        <w:t> </w:t>
      </w:r>
      <w:r>
        <w:rPr>
          <w:color w:val="231F20"/>
        </w:rPr>
        <w:t>migratorios.</w:t>
      </w:r>
    </w:p>
    <w:p>
      <w:pPr>
        <w:pStyle w:val="BodyText"/>
        <w:spacing w:line="247" w:lineRule="auto"/>
        <w:ind w:left="117" w:right="115" w:firstLine="283"/>
        <w:jc w:val="both"/>
      </w:pPr>
      <w:r>
        <w:rPr>
          <w:color w:val="231F20"/>
        </w:rPr>
        <w:t>Cambios</w:t>
      </w:r>
      <w:r>
        <w:rPr>
          <w:color w:val="231F20"/>
          <w:spacing w:val="-11"/>
        </w:rPr>
        <w:t> </w:t>
      </w:r>
      <w:r>
        <w:rPr>
          <w:color w:val="231F20"/>
        </w:rPr>
        <w:t>y</w:t>
      </w:r>
      <w:r>
        <w:rPr>
          <w:color w:val="231F20"/>
          <w:spacing w:val="-11"/>
        </w:rPr>
        <w:t> </w:t>
      </w:r>
      <w:r>
        <w:rPr>
          <w:color w:val="231F20"/>
        </w:rPr>
        <w:t>conflictos</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familias</w:t>
      </w:r>
      <w:r>
        <w:rPr>
          <w:color w:val="231F20"/>
          <w:spacing w:val="-11"/>
        </w:rPr>
        <w:t> </w:t>
      </w:r>
      <w:r>
        <w:rPr>
          <w:color w:val="231F20"/>
        </w:rPr>
        <w:t>frente</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migración</w:t>
      </w:r>
      <w:r>
        <w:rPr>
          <w:color w:val="231F20"/>
          <w:spacing w:val="-11"/>
        </w:rPr>
        <w:t> </w:t>
      </w:r>
      <w:r>
        <w:rPr>
          <w:color w:val="231F20"/>
        </w:rPr>
        <w:t>internacional, realizada por cinco grupos de investigación,</w:t>
      </w:r>
      <w:r>
        <w:rPr>
          <w:color w:val="231F20"/>
          <w:position w:val="7"/>
          <w:sz w:val="13"/>
        </w:rPr>
        <w:t>3  </w:t>
      </w:r>
      <w:r>
        <w:rPr>
          <w:color w:val="231F20"/>
        </w:rPr>
        <w:t>de universidades públicas</w:t>
      </w:r>
      <w:r>
        <w:rPr>
          <w:color w:val="231F20"/>
          <w:spacing w:val="-12"/>
        </w:rPr>
        <w:t> </w:t>
      </w:r>
      <w:r>
        <w:rPr>
          <w:color w:val="231F20"/>
        </w:rPr>
        <w:t>de</w:t>
      </w:r>
    </w:p>
    <w:p>
      <w:pPr>
        <w:pStyle w:val="BodyText"/>
        <w:spacing w:before="9"/>
        <w:rPr>
          <w:sz w:val="14"/>
        </w:rPr>
      </w:pPr>
      <w:r>
        <w:rPr/>
        <w:pict>
          <v:line style="position:absolute;mso-position-horizontal-relative:page;mso-position-vertical-relative:paragraph;z-index:2320;mso-wrap-distance-left:0;mso-wrap-distance-right:0" from="70.866096pt,10.860453pt" to="142.866096pt,10.860453pt" stroked="true" strokeweight=".75pt" strokecolor="#231f20">
            <w10:wrap type="topAndBottom"/>
          </v:line>
        </w:pict>
      </w:r>
    </w:p>
    <w:p>
      <w:pPr>
        <w:spacing w:line="208" w:lineRule="auto" w:before="0"/>
        <w:ind w:left="117" w:right="0" w:firstLine="0"/>
        <w:jc w:val="left"/>
        <w:rPr>
          <w:sz w:val="17"/>
        </w:rPr>
      </w:pPr>
      <w:r>
        <w:rPr>
          <w:color w:val="231F20"/>
          <w:position w:val="6"/>
          <w:sz w:val="10"/>
        </w:rPr>
        <w:t>1 </w:t>
      </w:r>
      <w:r>
        <w:rPr>
          <w:color w:val="231F20"/>
          <w:sz w:val="17"/>
        </w:rPr>
        <w:t>Fue publicada en el libro de investigación </w:t>
      </w:r>
      <w:r>
        <w:rPr>
          <w:i/>
          <w:color w:val="231F20"/>
          <w:sz w:val="17"/>
        </w:rPr>
        <w:t>Familias transnacionales: oportunidad y cambio en </w:t>
      </w:r>
      <w:r>
        <w:rPr>
          <w:i/>
          <w:color w:val="231F20"/>
          <w:sz w:val="17"/>
        </w:rPr>
        <w:t>contexto migratorio </w:t>
      </w:r>
      <w:r>
        <w:rPr>
          <w:color w:val="231F20"/>
          <w:sz w:val="17"/>
        </w:rPr>
        <w:t>(2009).</w:t>
      </w:r>
    </w:p>
    <w:p>
      <w:pPr>
        <w:spacing w:line="170" w:lineRule="exact" w:before="2"/>
        <w:ind w:left="117" w:right="113" w:firstLine="0"/>
        <w:jc w:val="left"/>
        <w:rPr>
          <w:sz w:val="17"/>
        </w:rPr>
      </w:pPr>
      <w:r>
        <w:rPr>
          <w:color w:val="231F20"/>
          <w:position w:val="6"/>
          <w:sz w:val="10"/>
        </w:rPr>
        <w:t>2 </w:t>
      </w:r>
      <w:r>
        <w:rPr>
          <w:color w:val="231F20"/>
          <w:sz w:val="17"/>
        </w:rPr>
        <w:t>El libro de investigación se encuentra en edición: </w:t>
      </w:r>
      <w:r>
        <w:rPr>
          <w:i/>
          <w:color w:val="231F20"/>
          <w:sz w:val="17"/>
        </w:rPr>
        <w:t>Trayectorias de familia y migración interna- </w:t>
      </w:r>
      <w:r>
        <w:rPr>
          <w:i/>
          <w:color w:val="231F20"/>
          <w:sz w:val="17"/>
        </w:rPr>
        <w:t>cional. El reto de hacer visible lo invisible </w:t>
      </w:r>
      <w:r>
        <w:rPr>
          <w:color w:val="231F20"/>
          <w:sz w:val="17"/>
        </w:rPr>
        <w:t>(2012)</w:t>
      </w:r>
      <w:r>
        <w:rPr>
          <w:color w:val="FF0000"/>
          <w:sz w:val="17"/>
        </w:rPr>
        <w:t>.</w:t>
      </w:r>
    </w:p>
    <w:p>
      <w:pPr>
        <w:spacing w:line="170" w:lineRule="exact" w:before="0"/>
        <w:ind w:left="117" w:right="0" w:firstLine="0"/>
        <w:jc w:val="left"/>
        <w:rPr>
          <w:sz w:val="17"/>
        </w:rPr>
      </w:pPr>
      <w:r>
        <w:rPr>
          <w:color w:val="231F20"/>
          <w:position w:val="6"/>
          <w:sz w:val="10"/>
        </w:rPr>
        <w:t>3 </w:t>
      </w:r>
      <w:r>
        <w:rPr>
          <w:color w:val="231F20"/>
          <w:sz w:val="17"/>
        </w:rPr>
        <w:t>En la investigación participaron Yolanda Puyana Villamizar, coordinadora general y Alejandra Rojas por la Universidad Nacional de Colombia, en la ciudad de Bogotá; Amparo Micolta —</w:t>
      </w:r>
    </w:p>
    <w:p>
      <w:pPr>
        <w:spacing w:after="0" w:line="170" w:lineRule="exact"/>
        <w:jc w:val="left"/>
        <w:rPr>
          <w:sz w:val="17"/>
        </w:rPr>
        <w:sectPr>
          <w:footerReference w:type="default" r:id="rId85"/>
          <w:pgSz w:w="9360" w:h="13040"/>
          <w:pgMar w:footer="496" w:header="0" w:top="800" w:bottom="680" w:left="1300" w:right="1300"/>
          <w:pgNumType w:start="72"/>
        </w:sectPr>
      </w:pPr>
    </w:p>
    <w:p>
      <w:pPr>
        <w:spacing w:before="45"/>
        <w:ind w:left="117" w:right="0" w:firstLine="2714"/>
        <w:jc w:val="left"/>
        <w:rPr>
          <w:rFonts w:ascii="Arial" w:hAnsi="Arial"/>
          <w:sz w:val="20"/>
        </w:rPr>
      </w:pPr>
      <w:r>
        <w:rPr>
          <w:rFonts w:ascii="Arial" w:hAnsi="Arial"/>
          <w:color w:val="231F20"/>
          <w:w w:val="74"/>
          <w:sz w:val="20"/>
        </w:rPr>
        <w:t>Familias</w:t>
      </w:r>
      <w:r>
        <w:rPr>
          <w:rFonts w:ascii="Arial" w:hAnsi="Arial"/>
          <w:color w:val="231F20"/>
          <w:spacing w:val="-1"/>
          <w:sz w:val="20"/>
        </w:rPr>
        <w:t> </w:t>
      </w:r>
      <w:r>
        <w:rPr>
          <w:rFonts w:ascii="Arial" w:hAnsi="Arial"/>
          <w:color w:val="231F20"/>
          <w:spacing w:val="-1"/>
          <w:w w:val="72"/>
          <w:sz w:val="20"/>
        </w:rPr>
        <w:t>transnacionale</w:t>
      </w:r>
      <w:r>
        <w:rPr>
          <w:rFonts w:ascii="Arial" w:hAnsi="Arial"/>
          <w:color w:val="231F20"/>
          <w:w w:val="72"/>
          <w:sz w:val="20"/>
        </w:rPr>
        <w:t>s</w:t>
      </w:r>
      <w:r>
        <w:rPr>
          <w:rFonts w:ascii="Arial" w:hAnsi="Arial"/>
          <w:color w:val="231F20"/>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1"/>
          <w:sz w:val="20"/>
        </w:rPr>
        <w:t>Colombia</w:t>
      </w:r>
      <w:r>
        <w:rPr>
          <w:rFonts w:ascii="Arial" w:hAnsi="Arial"/>
          <w:color w:val="231F20"/>
          <w:spacing w:val="-1"/>
          <w:sz w:val="20"/>
        </w:rPr>
        <w:t> </w:t>
      </w:r>
      <w:r>
        <w:rPr>
          <w:rFonts w:ascii="Arial" w:hAnsi="Arial"/>
          <w:color w:val="231F20"/>
          <w:spacing w:val="-1"/>
          <w:w w:val="99"/>
          <w:sz w:val="20"/>
        </w:rPr>
        <w:t>/</w:t>
      </w:r>
      <w:r>
        <w:rPr>
          <w:rFonts w:ascii="Arial" w:hAnsi="Arial"/>
          <w:color w:val="231F20"/>
          <w:w w:val="48"/>
          <w:sz w:val="20"/>
        </w:rPr>
        <w:t>Luz</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50"/>
          <w:sz w:val="20"/>
        </w:rPr>
        <w:t>López-Montaño</w:t>
      </w:r>
    </w:p>
    <w:p>
      <w:pPr>
        <w:pStyle w:val="BodyText"/>
        <w:spacing w:before="7"/>
        <w:rPr>
          <w:rFonts w:ascii="Arial"/>
          <w:sz w:val="28"/>
        </w:rPr>
      </w:pPr>
    </w:p>
    <w:p>
      <w:pPr>
        <w:pStyle w:val="BodyText"/>
        <w:spacing w:line="247" w:lineRule="auto"/>
        <w:ind w:left="117" w:right="115"/>
        <w:jc w:val="both"/>
      </w:pPr>
      <w:r>
        <w:rPr>
          <w:color w:val="231F20"/>
        </w:rPr>
        <w:t>Colombia</w:t>
      </w:r>
      <w:r>
        <w:rPr>
          <w:color w:val="231F20"/>
          <w:spacing w:val="-5"/>
        </w:rPr>
        <w:t> </w:t>
      </w:r>
      <w:r>
        <w:rPr>
          <w:color w:val="231F20"/>
        </w:rPr>
        <w:t>entre</w:t>
      </w:r>
      <w:r>
        <w:rPr>
          <w:color w:val="231F20"/>
          <w:spacing w:val="-5"/>
        </w:rPr>
        <w:t> </w:t>
      </w:r>
      <w:r>
        <w:rPr>
          <w:color w:val="231F20"/>
        </w:rPr>
        <w:t>2008</w:t>
      </w:r>
      <w:r>
        <w:rPr>
          <w:color w:val="231F20"/>
          <w:spacing w:val="-5"/>
        </w:rPr>
        <w:t> </w:t>
      </w:r>
      <w:r>
        <w:rPr>
          <w:color w:val="231F20"/>
        </w:rPr>
        <w:t>y</w:t>
      </w:r>
      <w:r>
        <w:rPr>
          <w:color w:val="231F20"/>
          <w:spacing w:val="-5"/>
        </w:rPr>
        <w:t> </w:t>
      </w:r>
      <w:r>
        <w:rPr>
          <w:color w:val="231F20"/>
          <w:spacing w:val="-3"/>
        </w:rPr>
        <w:t>2011</w:t>
      </w:r>
      <w:r>
        <w:rPr>
          <w:color w:val="231F20"/>
          <w:spacing w:val="-5"/>
        </w:rPr>
        <w:t> </w:t>
      </w:r>
      <w:r>
        <w:rPr>
          <w:color w:val="231F20"/>
        </w:rPr>
        <w:t>y</w:t>
      </w:r>
      <w:r>
        <w:rPr>
          <w:color w:val="231F20"/>
          <w:spacing w:val="-5"/>
        </w:rPr>
        <w:t> </w:t>
      </w:r>
      <w:r>
        <w:rPr>
          <w:color w:val="231F20"/>
        </w:rPr>
        <w:t>financiada</w:t>
      </w:r>
      <w:r>
        <w:rPr>
          <w:color w:val="231F20"/>
          <w:spacing w:val="-5"/>
        </w:rPr>
        <w:t> </w:t>
      </w:r>
      <w:r>
        <w:rPr>
          <w:color w:val="231F20"/>
        </w:rPr>
        <w:t>por</w:t>
      </w:r>
      <w:r>
        <w:rPr>
          <w:color w:val="231F20"/>
          <w:spacing w:val="-5"/>
        </w:rPr>
        <w:t> </w:t>
      </w:r>
      <w:r>
        <w:rPr>
          <w:color w:val="231F20"/>
        </w:rPr>
        <w:t>Colciencias</w:t>
      </w:r>
      <w:r>
        <w:rPr>
          <w:color w:val="231F20"/>
          <w:spacing w:val="-5"/>
        </w:rPr>
        <w:t> </w:t>
      </w:r>
      <w:r>
        <w:rPr>
          <w:color w:val="231F20"/>
        </w:rPr>
        <w:t>y</w:t>
      </w:r>
      <w:r>
        <w:rPr>
          <w:color w:val="231F20"/>
          <w:spacing w:val="-5"/>
        </w:rPr>
        <w:t> </w:t>
      </w:r>
      <w:r>
        <w:rPr>
          <w:color w:val="231F20"/>
        </w:rPr>
        <w:t>por</w:t>
      </w:r>
      <w:r>
        <w:rPr>
          <w:color w:val="231F20"/>
          <w:spacing w:val="-5"/>
        </w:rPr>
        <w:t> </w:t>
      </w:r>
      <w:r>
        <w:rPr>
          <w:color w:val="231F20"/>
        </w:rPr>
        <w:t>las</w:t>
      </w:r>
      <w:r>
        <w:rPr>
          <w:color w:val="231F20"/>
          <w:spacing w:val="-5"/>
        </w:rPr>
        <w:t> </w:t>
      </w:r>
      <w:r>
        <w:rPr>
          <w:color w:val="231F20"/>
        </w:rPr>
        <w:t>univer- sidades, tuvo por objetivo comprender, desde una perspectiva de género, los cambios y conflictos en las familias de Manizales, Pereira, Barranqui- lla, Cartagena, Bogotá, Cali y</w:t>
      </w:r>
      <w:r>
        <w:rPr>
          <w:color w:val="231F20"/>
          <w:spacing w:val="-10"/>
        </w:rPr>
        <w:t> </w:t>
      </w:r>
      <w:r>
        <w:rPr>
          <w:color w:val="231F20"/>
        </w:rPr>
        <w:t>Medellín.</w:t>
      </w:r>
    </w:p>
    <w:p>
      <w:pPr>
        <w:pStyle w:val="BodyText"/>
        <w:spacing w:line="247" w:lineRule="auto"/>
        <w:ind w:left="117" w:right="114" w:firstLine="283"/>
        <w:jc w:val="both"/>
      </w:pPr>
      <w:r>
        <w:rPr>
          <w:color w:val="231F20"/>
        </w:rPr>
        <w:t>El trabajo de campo se realizó entre los años 2007 y 2010 en su mayor parte por profesionales de desarrollo familiar y se vinculó a estudiantes</w:t>
      </w:r>
      <w:r>
        <w:rPr>
          <w:color w:val="231F20"/>
          <w:spacing w:val="-18"/>
        </w:rPr>
        <w:t> </w:t>
      </w:r>
      <w:r>
        <w:rPr>
          <w:color w:val="231F20"/>
        </w:rPr>
        <w:t>de pregrado</w:t>
      </w:r>
      <w:r>
        <w:rPr>
          <w:color w:val="231F20"/>
          <w:spacing w:val="-9"/>
        </w:rPr>
        <w:t> </w:t>
      </w:r>
      <w:r>
        <w:rPr>
          <w:color w:val="231F20"/>
        </w:rPr>
        <w:t>y</w:t>
      </w:r>
      <w:r>
        <w:rPr>
          <w:color w:val="231F20"/>
          <w:spacing w:val="-9"/>
        </w:rPr>
        <w:t> </w:t>
      </w:r>
      <w:r>
        <w:rPr>
          <w:color w:val="231F20"/>
        </w:rPr>
        <w:t>posgrado</w:t>
      </w:r>
      <w:r>
        <w:rPr>
          <w:color w:val="231F20"/>
          <w:spacing w:val="-9"/>
        </w:rPr>
        <w:t> </w:t>
      </w:r>
      <w:r>
        <w:rPr>
          <w:color w:val="231F20"/>
        </w:rPr>
        <w:t>como</w:t>
      </w:r>
      <w:r>
        <w:rPr>
          <w:color w:val="231F20"/>
          <w:spacing w:val="-9"/>
        </w:rPr>
        <w:t> </w:t>
      </w:r>
      <w:r>
        <w:rPr>
          <w:color w:val="231F20"/>
        </w:rPr>
        <w:t>asistentes</w:t>
      </w:r>
      <w:r>
        <w:rPr>
          <w:color w:val="231F20"/>
          <w:spacing w:val="-9"/>
        </w:rPr>
        <w:t> </w:t>
      </w:r>
      <w:r>
        <w:rPr>
          <w:color w:val="231F20"/>
        </w:rPr>
        <w:t>y</w:t>
      </w:r>
      <w:r>
        <w:rPr>
          <w:color w:val="231F20"/>
          <w:spacing w:val="-9"/>
        </w:rPr>
        <w:t> </w:t>
      </w:r>
      <w:r>
        <w:rPr>
          <w:color w:val="231F20"/>
        </w:rPr>
        <w:t>auxiliares</w:t>
      </w:r>
      <w:r>
        <w:rPr>
          <w:color w:val="231F20"/>
          <w:spacing w:val="-9"/>
        </w:rPr>
        <w:t> </w:t>
      </w:r>
      <w:r>
        <w:rPr>
          <w:color w:val="231F20"/>
        </w:rPr>
        <w:t>de</w:t>
      </w:r>
      <w:r>
        <w:rPr>
          <w:color w:val="231F20"/>
          <w:spacing w:val="-9"/>
        </w:rPr>
        <w:t> </w:t>
      </w:r>
      <w:r>
        <w:rPr>
          <w:color w:val="231F20"/>
        </w:rPr>
        <w:t>investigación.</w:t>
      </w:r>
      <w:r>
        <w:rPr>
          <w:color w:val="231F20"/>
          <w:spacing w:val="-10"/>
        </w:rPr>
        <w:t> </w:t>
      </w:r>
      <w:r>
        <w:rPr>
          <w:color w:val="231F20"/>
        </w:rPr>
        <w:t>Se</w:t>
      </w:r>
      <w:r>
        <w:rPr>
          <w:color w:val="231F20"/>
          <w:spacing w:val="-9"/>
        </w:rPr>
        <w:t> </w:t>
      </w:r>
      <w:r>
        <w:rPr>
          <w:color w:val="231F20"/>
        </w:rPr>
        <w:t>optó por el enfoque cualitativo, en la primera investigación se realizaron 203 entrevistas en 100 familias por lo general dos personas por familia; en la segunda </w:t>
      </w:r>
      <w:r>
        <w:rPr>
          <w:color w:val="231F20"/>
          <w:spacing w:val="-3"/>
        </w:rPr>
        <w:t>116 </w:t>
      </w:r>
      <w:r>
        <w:rPr>
          <w:color w:val="231F20"/>
        </w:rPr>
        <w:t>entrevistas en 49 familias y a 18 funcionarios institucionales y en la tercera, 504 entrevistas, aproximadamente 60 en cada ciudad, a dos o tres personas por familia. De cada familia se entrevistó a un padre y/o madre no migrante y algunos padres o madres migrantes, la cuidadora o cuidador y un hijo o hija entre los 6 y 24 años, dependiente del padre o madre migrante en tanto no se puede valer por sí mismo y requiere apoyo económico, cuidado,</w:t>
      </w:r>
      <w:r>
        <w:rPr>
          <w:color w:val="231F20"/>
          <w:spacing w:val="-2"/>
        </w:rPr>
        <w:t> </w:t>
      </w:r>
      <w:r>
        <w:rPr>
          <w:color w:val="231F20"/>
        </w:rPr>
        <w:t>etc.</w:t>
      </w:r>
    </w:p>
    <w:p>
      <w:pPr>
        <w:pStyle w:val="BodyText"/>
        <w:spacing w:line="247" w:lineRule="auto"/>
        <w:ind w:left="117" w:right="114" w:firstLine="283"/>
        <w:jc w:val="both"/>
      </w:pPr>
      <w:r>
        <w:rPr>
          <w:color w:val="231F20"/>
        </w:rPr>
        <w:t>Las familias seleccionadas fueron de procedencia urbana y rural, la re- sidencia urbana, el número de hijos o hijas por familia en su mayoría fue hasta de tres, entre los padres o madres migrantes hay quienes llevaban hasta</w:t>
      </w:r>
      <w:r>
        <w:rPr>
          <w:color w:val="231F20"/>
          <w:spacing w:val="-6"/>
        </w:rPr>
        <w:t> </w:t>
      </w:r>
      <w:r>
        <w:rPr>
          <w:color w:val="231F20"/>
        </w:rPr>
        <w:t>16</w:t>
      </w:r>
      <w:r>
        <w:rPr>
          <w:color w:val="231F20"/>
          <w:spacing w:val="-6"/>
        </w:rPr>
        <w:t> </w:t>
      </w:r>
      <w:r>
        <w:rPr>
          <w:color w:val="231F20"/>
        </w:rPr>
        <w:t>años</w:t>
      </w:r>
      <w:r>
        <w:rPr>
          <w:color w:val="231F20"/>
          <w:spacing w:val="-6"/>
        </w:rPr>
        <w:t> </w:t>
      </w:r>
      <w:r>
        <w:rPr>
          <w:color w:val="231F20"/>
        </w:rPr>
        <w:t>fuera</w:t>
      </w:r>
      <w:r>
        <w:rPr>
          <w:color w:val="231F20"/>
          <w:spacing w:val="-6"/>
        </w:rPr>
        <w:t> </w:t>
      </w:r>
      <w:r>
        <w:rPr>
          <w:color w:val="231F20"/>
        </w:rPr>
        <w:t>del</w:t>
      </w:r>
      <w:r>
        <w:rPr>
          <w:color w:val="231F20"/>
          <w:spacing w:val="-6"/>
        </w:rPr>
        <w:t> </w:t>
      </w:r>
      <w:r>
        <w:rPr>
          <w:color w:val="231F20"/>
        </w:rPr>
        <w:t>país.</w:t>
      </w:r>
      <w:r>
        <w:rPr>
          <w:color w:val="231F20"/>
          <w:spacing w:val="-6"/>
        </w:rPr>
        <w:t> </w:t>
      </w:r>
      <w:r>
        <w:rPr>
          <w:color w:val="231F20"/>
        </w:rPr>
        <w:t>En</w:t>
      </w:r>
      <w:r>
        <w:rPr>
          <w:color w:val="231F20"/>
          <w:spacing w:val="-6"/>
        </w:rPr>
        <w:t> </w:t>
      </w:r>
      <w:r>
        <w:rPr>
          <w:color w:val="231F20"/>
        </w:rPr>
        <w:t>más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mitad</w:t>
      </w:r>
      <w:r>
        <w:rPr>
          <w:color w:val="231F20"/>
          <w:spacing w:val="-6"/>
        </w:rPr>
        <w:t> </w:t>
      </w:r>
      <w:r>
        <w:rPr>
          <w:color w:val="231F20"/>
        </w:rPr>
        <w:t>de</w:t>
      </w:r>
      <w:r>
        <w:rPr>
          <w:color w:val="231F20"/>
          <w:spacing w:val="-6"/>
        </w:rPr>
        <w:t> </w:t>
      </w:r>
      <w:r>
        <w:rPr>
          <w:color w:val="231F20"/>
        </w:rPr>
        <w:t>familias</w:t>
      </w:r>
      <w:r>
        <w:rPr>
          <w:color w:val="231F20"/>
          <w:spacing w:val="-6"/>
        </w:rPr>
        <w:t> </w:t>
      </w:r>
      <w:r>
        <w:rPr>
          <w:color w:val="231F20"/>
        </w:rPr>
        <w:t>donde</w:t>
      </w:r>
      <w:r>
        <w:rPr>
          <w:color w:val="231F20"/>
          <w:spacing w:val="-6"/>
        </w:rPr>
        <w:t> </w:t>
      </w:r>
      <w:r>
        <w:rPr>
          <w:color w:val="231F20"/>
        </w:rPr>
        <w:t>el</w:t>
      </w:r>
      <w:r>
        <w:rPr>
          <w:color w:val="231F20"/>
          <w:spacing w:val="-6"/>
        </w:rPr>
        <w:t> </w:t>
      </w:r>
      <w:r>
        <w:rPr>
          <w:color w:val="231F20"/>
        </w:rPr>
        <w:t>padre emigró, la madre es quien se ocupa del cuidado de los hijos o hijas depen- dientes, mientras en aquellas donde la migrante es la madre, el cuidado lo desempeñan</w:t>
      </w:r>
      <w:r>
        <w:rPr>
          <w:color w:val="231F20"/>
          <w:spacing w:val="-7"/>
        </w:rPr>
        <w:t> </w:t>
      </w:r>
      <w:r>
        <w:rPr>
          <w:color w:val="231F20"/>
        </w:rPr>
        <w:t>las</w:t>
      </w:r>
      <w:r>
        <w:rPr>
          <w:color w:val="231F20"/>
          <w:spacing w:val="-7"/>
        </w:rPr>
        <w:t> </w:t>
      </w:r>
      <w:r>
        <w:rPr>
          <w:color w:val="231F20"/>
        </w:rPr>
        <w:t>abuelas</w:t>
      </w:r>
      <w:r>
        <w:rPr>
          <w:color w:val="231F20"/>
          <w:spacing w:val="-7"/>
        </w:rPr>
        <w:t> </w:t>
      </w:r>
      <w:r>
        <w:rPr>
          <w:color w:val="231F20"/>
        </w:rPr>
        <w:t>o</w:t>
      </w:r>
      <w:r>
        <w:rPr>
          <w:color w:val="231F20"/>
          <w:spacing w:val="-7"/>
        </w:rPr>
        <w:t> </w:t>
      </w:r>
      <w:r>
        <w:rPr>
          <w:color w:val="231F20"/>
        </w:rPr>
        <w:t>tías</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muy</w:t>
      </w:r>
      <w:r>
        <w:rPr>
          <w:color w:val="231F20"/>
          <w:spacing w:val="-7"/>
        </w:rPr>
        <w:t> </w:t>
      </w:r>
      <w:r>
        <w:rPr>
          <w:color w:val="231F20"/>
        </w:rPr>
        <w:t>pocas</w:t>
      </w:r>
      <w:r>
        <w:rPr>
          <w:color w:val="231F20"/>
          <w:spacing w:val="-7"/>
        </w:rPr>
        <w:t> </w:t>
      </w:r>
      <w:r>
        <w:rPr>
          <w:color w:val="231F20"/>
        </w:rPr>
        <w:t>familias</w:t>
      </w:r>
      <w:r>
        <w:rPr>
          <w:color w:val="231F20"/>
          <w:spacing w:val="-7"/>
        </w:rPr>
        <w:t> </w:t>
      </w:r>
      <w:r>
        <w:rPr>
          <w:color w:val="231F20"/>
        </w:rPr>
        <w:t>el</w:t>
      </w:r>
      <w:r>
        <w:rPr>
          <w:color w:val="231F20"/>
          <w:spacing w:val="-7"/>
        </w:rPr>
        <w:t> </w:t>
      </w:r>
      <w:r>
        <w:rPr>
          <w:color w:val="231F20"/>
        </w:rPr>
        <w:t>padre</w:t>
      </w:r>
      <w:r>
        <w:rPr>
          <w:color w:val="231F20"/>
          <w:spacing w:val="-7"/>
        </w:rPr>
        <w:t> </w:t>
      </w:r>
      <w:r>
        <w:rPr>
          <w:color w:val="231F20"/>
        </w:rPr>
        <w:t>no</w:t>
      </w:r>
      <w:r>
        <w:rPr>
          <w:color w:val="231F20"/>
          <w:spacing w:val="-7"/>
        </w:rPr>
        <w:t> </w:t>
      </w:r>
      <w:r>
        <w:rPr>
          <w:color w:val="231F20"/>
        </w:rPr>
        <w:t>migran- te o un hermano o hermana</w:t>
      </w:r>
      <w:r>
        <w:rPr>
          <w:color w:val="231F20"/>
          <w:spacing w:val="5"/>
        </w:rPr>
        <w:t> </w:t>
      </w:r>
      <w:r>
        <w:rPr>
          <w:color w:val="231F20"/>
          <w:spacing w:val="-3"/>
        </w:rPr>
        <w:t>mayor.</w:t>
      </w:r>
    </w:p>
    <w:p>
      <w:pPr>
        <w:pStyle w:val="BodyText"/>
        <w:spacing w:line="247" w:lineRule="auto"/>
        <w:ind w:left="117" w:right="115" w:firstLine="283"/>
        <w:jc w:val="both"/>
      </w:pPr>
      <w:r>
        <w:rPr>
          <w:color w:val="231F20"/>
        </w:rPr>
        <w:t>Las familias asumen tipologías, organización y composición diversas. Se enfatizó en la vivencia, concepciones, sentimientos y prácticas, a partir de las descripciones y relatos en entrevistas e historias de vida, basados</w:t>
      </w:r>
      <w:r>
        <w:rPr>
          <w:color w:val="231F20"/>
          <w:spacing w:val="-28"/>
        </w:rPr>
        <w:t> </w:t>
      </w:r>
      <w:r>
        <w:rPr>
          <w:color w:val="231F20"/>
        </w:rPr>
        <w:t>en una guía semiestructurada y en conversaciones, precedidas por el consen- timiento</w:t>
      </w:r>
      <w:r>
        <w:rPr>
          <w:color w:val="231F20"/>
          <w:spacing w:val="-9"/>
        </w:rPr>
        <w:t> </w:t>
      </w:r>
      <w:r>
        <w:rPr>
          <w:color w:val="231F20"/>
        </w:rPr>
        <w:t>informado,</w:t>
      </w:r>
      <w:r>
        <w:rPr>
          <w:color w:val="231F20"/>
          <w:spacing w:val="-9"/>
        </w:rPr>
        <w:t> </w:t>
      </w:r>
      <w:r>
        <w:rPr>
          <w:color w:val="231F20"/>
        </w:rPr>
        <w:t>efectuadas</w:t>
      </w:r>
      <w:r>
        <w:rPr>
          <w:color w:val="231F20"/>
          <w:spacing w:val="-9"/>
        </w:rPr>
        <w:t> </w:t>
      </w:r>
      <w:r>
        <w:rPr>
          <w:color w:val="231F20"/>
        </w:rPr>
        <w:t>en</w:t>
      </w:r>
      <w:r>
        <w:rPr>
          <w:color w:val="231F20"/>
          <w:spacing w:val="-8"/>
        </w:rPr>
        <w:t> </w:t>
      </w:r>
      <w:r>
        <w:rPr>
          <w:color w:val="231F20"/>
        </w:rPr>
        <w:t>la</w:t>
      </w:r>
      <w:r>
        <w:rPr>
          <w:color w:val="231F20"/>
          <w:spacing w:val="-8"/>
        </w:rPr>
        <w:t> </w:t>
      </w:r>
      <w:r>
        <w:rPr>
          <w:color w:val="231F20"/>
        </w:rPr>
        <w:t>vivienda</w:t>
      </w:r>
      <w:r>
        <w:rPr>
          <w:color w:val="231F20"/>
          <w:spacing w:val="-8"/>
        </w:rPr>
        <w:t> </w:t>
      </w:r>
      <w:r>
        <w:rPr>
          <w:color w:val="231F20"/>
        </w:rPr>
        <w:t>familiar</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país</w:t>
      </w:r>
      <w:r>
        <w:rPr>
          <w:color w:val="231F20"/>
          <w:spacing w:val="-8"/>
        </w:rPr>
        <w:t> </w:t>
      </w:r>
      <w:r>
        <w:rPr>
          <w:color w:val="231F20"/>
        </w:rPr>
        <w:t>de</w:t>
      </w:r>
      <w:r>
        <w:rPr>
          <w:color w:val="231F20"/>
          <w:spacing w:val="-8"/>
        </w:rPr>
        <w:t> </w:t>
      </w:r>
      <w:r>
        <w:rPr>
          <w:color w:val="231F20"/>
        </w:rPr>
        <w:t>origen. </w:t>
      </w:r>
      <w:r>
        <w:rPr>
          <w:color w:val="231F20"/>
          <w:spacing w:val="-4"/>
        </w:rPr>
        <w:t>Todo </w:t>
      </w:r>
      <w:r>
        <w:rPr>
          <w:color w:val="231F20"/>
        </w:rPr>
        <w:t>ello en el entendido que los relatos de vida reivindican las narrati- vas y fundamentan nuevas construcciones de conocimiento (Puyana </w:t>
      </w:r>
      <w:r>
        <w:rPr>
          <w:i/>
          <w:color w:val="231F20"/>
        </w:rPr>
        <w:t>et</w:t>
      </w:r>
      <w:r>
        <w:rPr>
          <w:i/>
          <w:color w:val="231F20"/>
          <w:spacing w:val="-19"/>
        </w:rPr>
        <w:t> </w:t>
      </w:r>
      <w:r>
        <w:rPr>
          <w:i/>
          <w:color w:val="231F20"/>
        </w:rPr>
        <w:t>al</w:t>
      </w:r>
      <w:r>
        <w:rPr>
          <w:color w:val="231F20"/>
        </w:rPr>
        <w:t>., 2009). El procesamiento de los datos se realizó en el programa </w:t>
      </w:r>
      <w:r>
        <w:rPr>
          <w:i/>
          <w:color w:val="231F20"/>
        </w:rPr>
        <w:t>Atlas-ti </w:t>
      </w:r>
      <w:r>
        <w:rPr>
          <w:color w:val="231F20"/>
        </w:rPr>
        <w:t>y en el análisis se privilegió la</w:t>
      </w:r>
      <w:r>
        <w:rPr>
          <w:color w:val="231F20"/>
          <w:spacing w:val="-3"/>
        </w:rPr>
        <w:t> </w:t>
      </w:r>
      <w:r>
        <w:rPr>
          <w:color w:val="231F20"/>
        </w:rPr>
        <w:t>interpretación.</w:t>
      </w:r>
    </w:p>
    <w:p>
      <w:pPr>
        <w:pStyle w:val="BodyText"/>
        <w:rPr>
          <w:sz w:val="20"/>
        </w:rPr>
      </w:pPr>
    </w:p>
    <w:p>
      <w:pPr>
        <w:pStyle w:val="BodyText"/>
        <w:spacing w:before="1"/>
        <w:rPr>
          <w:sz w:val="18"/>
        </w:rPr>
      </w:pPr>
      <w:r>
        <w:rPr/>
        <w:pict>
          <v:line style="position:absolute;mso-position-horizontal-relative:page;mso-position-vertical-relative:paragraph;z-index:2344;mso-wrap-distance-left:0;mso-wrap-distance-right:0" from="70.866096pt,12.865436pt" to="358.866096pt,12.865436pt" stroked="true" strokeweight="1pt" strokecolor="#231f20">
            <w10:wrap type="topAndBottom"/>
          </v:line>
        </w:pict>
      </w:r>
    </w:p>
    <w:p>
      <w:pPr>
        <w:spacing w:line="208" w:lineRule="auto" w:before="0"/>
        <w:ind w:left="117" w:right="115" w:firstLine="0"/>
        <w:jc w:val="both"/>
        <w:rPr>
          <w:sz w:val="17"/>
        </w:rPr>
      </w:pPr>
      <w:r>
        <w:rPr>
          <w:color w:val="231F20"/>
          <w:sz w:val="17"/>
        </w:rPr>
        <w:t>coordinadora—, María Cénide Escobar y grupo, por la Universidad del </w:t>
      </w:r>
      <w:r>
        <w:rPr>
          <w:color w:val="231F20"/>
          <w:spacing w:val="-4"/>
          <w:sz w:val="17"/>
        </w:rPr>
        <w:t>Valle, </w:t>
      </w:r>
      <w:r>
        <w:rPr>
          <w:color w:val="231F20"/>
          <w:sz w:val="17"/>
        </w:rPr>
        <w:t>en la ciudad de Cali; Nora Cano —coordinadora— y Blanca Inés Jiménez, por la Universidad de Antioquia, en la ciudad de Medellín; Pilar Morad —coordinadora—, Mercedes Rodríguez y Gloria E. Boni- lla, por la Universidad de Cartagena, en las ciudades de Cartagena y Santa Marta; y Luz María López</w:t>
      </w:r>
      <w:r>
        <w:rPr>
          <w:color w:val="231F20"/>
          <w:spacing w:val="-5"/>
          <w:sz w:val="17"/>
        </w:rPr>
        <w:t> </w:t>
      </w:r>
      <w:r>
        <w:rPr>
          <w:color w:val="231F20"/>
          <w:sz w:val="17"/>
        </w:rPr>
        <w:t>Montaño</w:t>
      </w:r>
      <w:r>
        <w:rPr>
          <w:color w:val="231F20"/>
          <w:spacing w:val="-4"/>
          <w:sz w:val="17"/>
        </w:rPr>
        <w:t> </w:t>
      </w:r>
      <w:r>
        <w:rPr>
          <w:color w:val="231F20"/>
          <w:sz w:val="17"/>
        </w:rPr>
        <w:t>—coordinadora—,</w:t>
      </w:r>
      <w:r>
        <w:rPr>
          <w:color w:val="231F20"/>
          <w:spacing w:val="-5"/>
          <w:sz w:val="17"/>
        </w:rPr>
        <w:t> </w:t>
      </w:r>
      <w:r>
        <w:rPr>
          <w:color w:val="231F20"/>
          <w:sz w:val="17"/>
        </w:rPr>
        <w:t>María</w:t>
      </w:r>
      <w:r>
        <w:rPr>
          <w:color w:val="231F20"/>
          <w:spacing w:val="-4"/>
          <w:sz w:val="17"/>
        </w:rPr>
        <w:t> </w:t>
      </w:r>
      <w:r>
        <w:rPr>
          <w:color w:val="231F20"/>
          <w:sz w:val="17"/>
        </w:rPr>
        <w:t>Cristina</w:t>
      </w:r>
      <w:r>
        <w:rPr>
          <w:color w:val="231F20"/>
          <w:spacing w:val="-5"/>
          <w:sz w:val="17"/>
        </w:rPr>
        <w:t> </w:t>
      </w:r>
      <w:r>
        <w:rPr>
          <w:color w:val="231F20"/>
          <w:sz w:val="17"/>
        </w:rPr>
        <w:t>Palacio</w:t>
      </w:r>
      <w:r>
        <w:rPr>
          <w:color w:val="231F20"/>
          <w:spacing w:val="-4"/>
          <w:sz w:val="17"/>
        </w:rPr>
        <w:t> </w:t>
      </w:r>
      <w:r>
        <w:rPr>
          <w:color w:val="231F20"/>
          <w:sz w:val="17"/>
        </w:rPr>
        <w:t>y</w:t>
      </w:r>
      <w:r>
        <w:rPr>
          <w:color w:val="231F20"/>
          <w:spacing w:val="-4"/>
          <w:sz w:val="17"/>
        </w:rPr>
        <w:t> </w:t>
      </w:r>
      <w:r>
        <w:rPr>
          <w:color w:val="231F20"/>
          <w:sz w:val="17"/>
        </w:rPr>
        <w:t>Gloria</w:t>
      </w:r>
      <w:r>
        <w:rPr>
          <w:color w:val="231F20"/>
          <w:spacing w:val="-4"/>
          <w:sz w:val="17"/>
        </w:rPr>
        <w:t> </w:t>
      </w:r>
      <w:r>
        <w:rPr>
          <w:color w:val="231F20"/>
          <w:sz w:val="17"/>
        </w:rPr>
        <w:t>Inés</w:t>
      </w:r>
      <w:r>
        <w:rPr>
          <w:color w:val="231F20"/>
          <w:spacing w:val="-4"/>
          <w:sz w:val="17"/>
        </w:rPr>
        <w:t> </w:t>
      </w:r>
      <w:r>
        <w:rPr>
          <w:color w:val="231F20"/>
          <w:sz w:val="17"/>
        </w:rPr>
        <w:t>Sánchez</w:t>
      </w:r>
      <w:r>
        <w:rPr>
          <w:color w:val="231F20"/>
          <w:spacing w:val="-6"/>
          <w:sz w:val="17"/>
        </w:rPr>
        <w:t> </w:t>
      </w:r>
      <w:r>
        <w:rPr>
          <w:color w:val="231F20"/>
          <w:sz w:val="17"/>
        </w:rPr>
        <w:t>Vinasco</w:t>
      </w:r>
      <w:r>
        <w:rPr>
          <w:color w:val="231F20"/>
          <w:spacing w:val="-5"/>
          <w:sz w:val="17"/>
        </w:rPr>
        <w:t> </w:t>
      </w:r>
      <w:r>
        <w:rPr>
          <w:color w:val="231F20"/>
          <w:sz w:val="17"/>
        </w:rPr>
        <w:t>como coinvestigadoras, Adriana Zapata y Germán Darío Herrera, como asistente y auxiliar de investi- gación, respectivamente, por la Universidad de Caldas, en las ciudades de Manizales y</w:t>
      </w:r>
      <w:r>
        <w:rPr>
          <w:color w:val="231F20"/>
          <w:spacing w:val="-29"/>
          <w:sz w:val="17"/>
        </w:rPr>
        <w:t> </w:t>
      </w:r>
      <w:r>
        <w:rPr>
          <w:color w:val="231F20"/>
          <w:sz w:val="17"/>
        </w:rPr>
        <w:t>Pereira.</w:t>
      </w:r>
    </w:p>
    <w:p>
      <w:pPr>
        <w:spacing w:after="0" w:line="208" w:lineRule="auto"/>
        <w:jc w:val="both"/>
        <w:rPr>
          <w:sz w:val="17"/>
        </w:rPr>
        <w:sectPr>
          <w:pgSz w:w="9360" w:h="13040"/>
          <w:pgMar w:header="0" w:footer="496" w:top="740" w:bottom="680" w:left="1300" w:right="1300"/>
        </w:sectPr>
      </w:pPr>
    </w:p>
    <w:p>
      <w:pPr>
        <w:tabs>
          <w:tab w:pos="5536" w:val="left" w:leader="none"/>
        </w:tabs>
        <w:spacing w:before="48"/>
        <w:ind w:left="400" w:right="117" w:hanging="261"/>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firstLine="283"/>
        <w:jc w:val="both"/>
      </w:pPr>
      <w:r>
        <w:rPr>
          <w:color w:val="231F20"/>
        </w:rPr>
        <w:t>Diversos autores y autoras aportan a las comprensiones y clarificación conceptual,</w:t>
      </w:r>
      <w:r>
        <w:rPr>
          <w:color w:val="231F20"/>
          <w:spacing w:val="-10"/>
        </w:rPr>
        <w:t> </w:t>
      </w:r>
      <w:r>
        <w:rPr>
          <w:color w:val="231F20"/>
        </w:rPr>
        <w:t>a</w:t>
      </w:r>
      <w:r>
        <w:rPr>
          <w:color w:val="231F20"/>
          <w:spacing w:val="-10"/>
        </w:rPr>
        <w:t> </w:t>
      </w:r>
      <w:r>
        <w:rPr>
          <w:color w:val="231F20"/>
        </w:rPr>
        <w:t>partir</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disciplinas</w:t>
      </w:r>
      <w:r>
        <w:rPr>
          <w:color w:val="231F20"/>
          <w:spacing w:val="-9"/>
        </w:rPr>
        <w:t> </w:t>
      </w:r>
      <w:r>
        <w:rPr>
          <w:color w:val="231F20"/>
        </w:rPr>
        <w:t>—Sociología,</w:t>
      </w:r>
      <w:r>
        <w:rPr>
          <w:color w:val="231F20"/>
          <w:spacing w:val="-21"/>
        </w:rPr>
        <w:t> </w:t>
      </w:r>
      <w:r>
        <w:rPr>
          <w:color w:val="231F20"/>
        </w:rPr>
        <w:t>Antropología,</w:t>
      </w:r>
      <w:r>
        <w:rPr>
          <w:color w:val="231F20"/>
          <w:spacing w:val="-9"/>
        </w:rPr>
        <w:t> </w:t>
      </w:r>
      <w:r>
        <w:rPr>
          <w:color w:val="231F20"/>
        </w:rPr>
        <w:t>Psicolo- gía</w:t>
      </w:r>
      <w:r>
        <w:rPr>
          <w:color w:val="231F20"/>
          <w:spacing w:val="-12"/>
        </w:rPr>
        <w:t> </w:t>
      </w:r>
      <w:r>
        <w:rPr>
          <w:color w:val="231F20"/>
        </w:rPr>
        <w:t>y</w:t>
      </w:r>
      <w:r>
        <w:rPr>
          <w:color w:val="231F20"/>
          <w:spacing w:val="-12"/>
        </w:rPr>
        <w:t> </w:t>
      </w:r>
      <w:r>
        <w:rPr>
          <w:color w:val="231F20"/>
        </w:rPr>
        <w:t>otras—</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construcciones</w:t>
      </w:r>
      <w:r>
        <w:rPr>
          <w:color w:val="231F20"/>
          <w:spacing w:val="-13"/>
        </w:rPr>
        <w:t> </w:t>
      </w:r>
      <w:r>
        <w:rPr>
          <w:color w:val="231F20"/>
        </w:rPr>
        <w:t>interdisciplinares</w:t>
      </w:r>
      <w:r>
        <w:rPr>
          <w:color w:val="231F20"/>
          <w:spacing w:val="-14"/>
        </w:rPr>
        <w:t> </w:t>
      </w:r>
      <w:r>
        <w:rPr>
          <w:color w:val="231F20"/>
        </w:rPr>
        <w:t>de</w:t>
      </w:r>
      <w:r>
        <w:rPr>
          <w:color w:val="231F20"/>
          <w:spacing w:val="-12"/>
        </w:rPr>
        <w:t> </w:t>
      </w:r>
      <w:r>
        <w:rPr>
          <w:color w:val="231F20"/>
        </w:rPr>
        <w:t>las</w:t>
      </w:r>
      <w:r>
        <w:rPr>
          <w:color w:val="231F20"/>
          <w:spacing w:val="-13"/>
        </w:rPr>
        <w:t> </w:t>
      </w:r>
      <w:r>
        <w:rPr>
          <w:color w:val="231F20"/>
        </w:rPr>
        <w:t>ciencias</w:t>
      </w:r>
      <w:r>
        <w:rPr>
          <w:color w:val="231F20"/>
          <w:spacing w:val="-13"/>
        </w:rPr>
        <w:t> </w:t>
      </w:r>
      <w:r>
        <w:rPr>
          <w:color w:val="231F20"/>
        </w:rPr>
        <w:t>sociales, como es el caso de los estudios de familia; de tal forma, estas investiga- ciones se sustentan, desde el punto de vista de la migración internacional, principalmente, en aportes de la nueva Economía de la Migración</w:t>
      </w:r>
      <w:r>
        <w:rPr>
          <w:color w:val="231F20"/>
          <w:spacing w:val="-26"/>
        </w:rPr>
        <w:t> </w:t>
      </w:r>
      <w:r>
        <w:rPr>
          <w:color w:val="231F20"/>
        </w:rPr>
        <w:t>Interna- cional,</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teoría</w:t>
      </w:r>
      <w:r>
        <w:rPr>
          <w:color w:val="231F20"/>
          <w:spacing w:val="-4"/>
        </w:rPr>
        <w:t> </w:t>
      </w:r>
      <w:r>
        <w:rPr>
          <w:color w:val="231F20"/>
        </w:rPr>
        <w:t>de</w:t>
      </w:r>
      <w:r>
        <w:rPr>
          <w:color w:val="231F20"/>
          <w:spacing w:val="-4"/>
        </w:rPr>
        <w:t> </w:t>
      </w:r>
      <w:r>
        <w:rPr>
          <w:color w:val="231F20"/>
        </w:rPr>
        <w:t>redes</w:t>
      </w:r>
      <w:r>
        <w:rPr>
          <w:color w:val="231F20"/>
          <w:spacing w:val="-4"/>
        </w:rPr>
        <w:t> </w:t>
      </w:r>
      <w:r>
        <w:rPr>
          <w:color w:val="231F20"/>
        </w:rPr>
        <w:t>migratorias,</w:t>
      </w:r>
      <w:r>
        <w:rPr>
          <w:color w:val="231F20"/>
          <w:spacing w:val="-5"/>
        </w:rPr>
        <w:t> </w:t>
      </w:r>
      <w:r>
        <w:rPr>
          <w:color w:val="231F20"/>
        </w:rPr>
        <w:t>en</w:t>
      </w:r>
      <w:r>
        <w:rPr>
          <w:color w:val="231F20"/>
          <w:spacing w:val="-4"/>
        </w:rPr>
        <w:t> </w:t>
      </w:r>
      <w:r>
        <w:rPr>
          <w:color w:val="231F20"/>
        </w:rPr>
        <w:t>el</w:t>
      </w:r>
      <w:r>
        <w:rPr>
          <w:color w:val="231F20"/>
          <w:spacing w:val="-4"/>
        </w:rPr>
        <w:t> </w:t>
      </w:r>
      <w:r>
        <w:rPr>
          <w:color w:val="231F20"/>
        </w:rPr>
        <w:t>enfoque</w:t>
      </w:r>
      <w:r>
        <w:rPr>
          <w:color w:val="231F20"/>
          <w:spacing w:val="-4"/>
        </w:rPr>
        <w:t> </w:t>
      </w:r>
      <w:r>
        <w:rPr>
          <w:color w:val="231F20"/>
        </w:rPr>
        <w:t>transnacional</w:t>
      </w:r>
      <w:r>
        <w:rPr>
          <w:color w:val="231F20"/>
          <w:spacing w:val="-5"/>
        </w:rPr>
        <w:t> </w:t>
      </w:r>
      <w:r>
        <w:rPr>
          <w:color w:val="231F20"/>
        </w:rPr>
        <w:t>de</w:t>
      </w:r>
      <w:r>
        <w:rPr>
          <w:color w:val="231F20"/>
          <w:spacing w:val="-4"/>
        </w:rPr>
        <w:t> </w:t>
      </w:r>
      <w:r>
        <w:rPr>
          <w:color w:val="231F20"/>
        </w:rPr>
        <w:t>fa- milia y desde el punto de vista de los estudios de familia y de la ciencia</w:t>
      </w:r>
      <w:r>
        <w:rPr>
          <w:color w:val="231F20"/>
          <w:spacing w:val="-35"/>
        </w:rPr>
        <w:t> </w:t>
      </w:r>
      <w:r>
        <w:rPr>
          <w:color w:val="231F20"/>
        </w:rPr>
        <w:t>de familia, se basan en una perspectiva construccionista y de ámbito familiar donde se tienen en cuenta la autoidentificación y las consideraciones que las personas hacen sobre su vida, como base de las nuevas elaboraciones conceptuales.</w:t>
      </w:r>
    </w:p>
    <w:p>
      <w:pPr>
        <w:pStyle w:val="Heading3"/>
      </w:pPr>
      <w:r>
        <w:rPr>
          <w:color w:val="231F20"/>
        </w:rPr>
        <w:t>Análisis teórico</w:t>
      </w:r>
    </w:p>
    <w:p>
      <w:pPr>
        <w:spacing w:before="152"/>
        <w:ind w:left="117" w:right="0" w:firstLine="0"/>
        <w:jc w:val="both"/>
        <w:rPr>
          <w:i/>
          <w:sz w:val="22"/>
        </w:rPr>
      </w:pPr>
      <w:r>
        <w:rPr>
          <w:i/>
          <w:color w:val="231F20"/>
          <w:sz w:val="22"/>
        </w:rPr>
        <w:t>Ciencia de familia/estudios de familia</w:t>
      </w:r>
    </w:p>
    <w:p>
      <w:pPr>
        <w:pStyle w:val="BodyText"/>
        <w:spacing w:line="247" w:lineRule="auto" w:before="177"/>
        <w:ind w:left="117" w:right="114"/>
        <w:jc w:val="both"/>
      </w:pPr>
      <w:r>
        <w:rPr>
          <w:color w:val="231F20"/>
        </w:rPr>
        <w:t>Recién antes de finalizar el siglo xx, se reconoció en ámbitos académicos la importancia del matrimonio y la vida familiar en el devenir social. La Enciclopedia Internacional de Matrimonio y Familia (Ponzetti, 2003: 7) plantea que las diferentes sociedades tienen diferentes concepciones de lo que constituye un matrimonio o de la familia, pero en todas las</w:t>
      </w:r>
      <w:r>
        <w:rPr>
          <w:color w:val="231F20"/>
          <w:spacing w:val="-38"/>
        </w:rPr>
        <w:t> </w:t>
      </w:r>
      <w:r>
        <w:rPr>
          <w:color w:val="231F20"/>
        </w:rPr>
        <w:t>sociedades las</w:t>
      </w:r>
      <w:r>
        <w:rPr>
          <w:color w:val="231F20"/>
          <w:spacing w:val="-13"/>
        </w:rPr>
        <w:t> </w:t>
      </w:r>
      <w:r>
        <w:rPr>
          <w:color w:val="231F20"/>
        </w:rPr>
        <w:t>relaciones</w:t>
      </w:r>
      <w:r>
        <w:rPr>
          <w:color w:val="231F20"/>
          <w:spacing w:val="-13"/>
        </w:rPr>
        <w:t> </w:t>
      </w:r>
      <w:r>
        <w:rPr>
          <w:color w:val="231F20"/>
        </w:rPr>
        <w:t>entre</w:t>
      </w:r>
      <w:r>
        <w:rPr>
          <w:color w:val="231F20"/>
          <w:spacing w:val="-13"/>
        </w:rPr>
        <w:t> </w:t>
      </w:r>
      <w:r>
        <w:rPr>
          <w:color w:val="231F20"/>
        </w:rPr>
        <w:t>los</w:t>
      </w:r>
      <w:r>
        <w:rPr>
          <w:color w:val="231F20"/>
          <w:spacing w:val="-13"/>
        </w:rPr>
        <w:t> </w:t>
      </w:r>
      <w:r>
        <w:rPr>
          <w:color w:val="231F20"/>
        </w:rPr>
        <w:t>sexos</w:t>
      </w:r>
      <w:r>
        <w:rPr>
          <w:color w:val="231F20"/>
          <w:spacing w:val="-13"/>
        </w:rPr>
        <w:t> </w:t>
      </w:r>
      <w:r>
        <w:rPr>
          <w:color w:val="231F20"/>
        </w:rPr>
        <w:t>y</w:t>
      </w:r>
      <w:r>
        <w:rPr>
          <w:color w:val="231F20"/>
          <w:spacing w:val="-13"/>
        </w:rPr>
        <w:t> </w:t>
      </w:r>
      <w:r>
        <w:rPr>
          <w:color w:val="231F20"/>
        </w:rPr>
        <w:t>las</w:t>
      </w:r>
      <w:r>
        <w:rPr>
          <w:color w:val="231F20"/>
          <w:spacing w:val="-13"/>
        </w:rPr>
        <w:t> </w:t>
      </w:r>
      <w:r>
        <w:rPr>
          <w:color w:val="231F20"/>
        </w:rPr>
        <w:t>generaciones</w:t>
      </w:r>
      <w:r>
        <w:rPr>
          <w:color w:val="231F20"/>
          <w:spacing w:val="-14"/>
        </w:rPr>
        <w:t> </w:t>
      </w:r>
      <w:r>
        <w:rPr>
          <w:color w:val="231F20"/>
        </w:rPr>
        <w:t>tienen</w:t>
      </w:r>
      <w:r>
        <w:rPr>
          <w:color w:val="231F20"/>
          <w:spacing w:val="-14"/>
        </w:rPr>
        <w:t> </w:t>
      </w:r>
      <w:r>
        <w:rPr>
          <w:color w:val="231F20"/>
        </w:rPr>
        <w:t>un</w:t>
      </w:r>
      <w:r>
        <w:rPr>
          <w:color w:val="231F20"/>
          <w:spacing w:val="-13"/>
        </w:rPr>
        <w:t> </w:t>
      </w:r>
      <w:r>
        <w:rPr>
          <w:color w:val="231F20"/>
        </w:rPr>
        <w:t>patrón</w:t>
      </w:r>
      <w:r>
        <w:rPr>
          <w:color w:val="231F20"/>
          <w:spacing w:val="-13"/>
        </w:rPr>
        <w:t> </w:t>
      </w:r>
      <w:r>
        <w:rPr>
          <w:color w:val="231F20"/>
        </w:rPr>
        <w:t>identifica- ble. El matrimonio y la vida familiar son tan decisivos en la formación de la personalidad y de los sentimientos más íntimos que, con su evolución, sin duda los hábitos personales, los acuerdos sociales, las emociones co- tidianas e incluso los pensamientos más íntimos también cambiarán. Esta diversidad y maleabilidad hacen necesaria la comprensión integral desde un campo de</w:t>
      </w:r>
      <w:r>
        <w:rPr>
          <w:color w:val="231F20"/>
          <w:spacing w:val="-1"/>
        </w:rPr>
        <w:t> </w:t>
      </w:r>
      <w:r>
        <w:rPr>
          <w:color w:val="231F20"/>
        </w:rPr>
        <w:t>ciencia.</w:t>
      </w:r>
    </w:p>
    <w:p>
      <w:pPr>
        <w:pStyle w:val="BodyText"/>
        <w:spacing w:line="247" w:lineRule="auto"/>
        <w:ind w:left="117" w:right="114" w:firstLine="283"/>
        <w:jc w:val="both"/>
      </w:pPr>
      <w:r>
        <w:rPr>
          <w:color w:val="231F20"/>
        </w:rPr>
        <w:t>La ciencia de familia y la nueva disciplina denominada </w:t>
      </w:r>
      <w:r>
        <w:rPr>
          <w:i/>
          <w:color w:val="231F20"/>
        </w:rPr>
        <w:t>Familiología </w:t>
      </w:r>
      <w:r>
        <w:rPr>
          <w:color w:val="231F20"/>
        </w:rPr>
        <w:t>durante el siglo XX y en lo que va del XXI ha producido epistemologías algunas</w:t>
      </w:r>
      <w:r>
        <w:rPr>
          <w:color w:val="231F20"/>
          <w:spacing w:val="-7"/>
        </w:rPr>
        <w:t> </w:t>
      </w:r>
      <w:r>
        <w:rPr>
          <w:color w:val="231F20"/>
        </w:rPr>
        <w:t>son</w:t>
      </w:r>
      <w:r>
        <w:rPr>
          <w:color w:val="231F20"/>
          <w:spacing w:val="-7"/>
        </w:rPr>
        <w:t> </w:t>
      </w:r>
      <w:r>
        <w:rPr>
          <w:color w:val="231F20"/>
        </w:rPr>
        <w:t>identificadas</w:t>
      </w:r>
      <w:r>
        <w:rPr>
          <w:color w:val="231F20"/>
          <w:spacing w:val="-7"/>
        </w:rPr>
        <w:t> </w:t>
      </w:r>
      <w:r>
        <w:rPr>
          <w:color w:val="231F20"/>
        </w:rPr>
        <w:t>como</w:t>
      </w:r>
      <w:r>
        <w:rPr>
          <w:color w:val="231F20"/>
          <w:spacing w:val="-7"/>
        </w:rPr>
        <w:t> </w:t>
      </w:r>
      <w:r>
        <w:rPr>
          <w:color w:val="231F20"/>
        </w:rPr>
        <w:t>riesgo</w:t>
      </w:r>
      <w:r>
        <w:rPr>
          <w:color w:val="231F20"/>
          <w:spacing w:val="-7"/>
        </w:rPr>
        <w:t> </w:t>
      </w:r>
      <w:r>
        <w:rPr>
          <w:color w:val="231F20"/>
        </w:rPr>
        <w:t>familiar,</w:t>
      </w:r>
      <w:r>
        <w:rPr>
          <w:color w:val="231F20"/>
          <w:spacing w:val="-7"/>
        </w:rPr>
        <w:t> </w:t>
      </w:r>
      <w:r>
        <w:rPr>
          <w:color w:val="231F20"/>
        </w:rPr>
        <w:t>ámbito</w:t>
      </w:r>
      <w:r>
        <w:rPr>
          <w:color w:val="231F20"/>
          <w:spacing w:val="-7"/>
        </w:rPr>
        <w:t> </w:t>
      </w:r>
      <w:r>
        <w:rPr>
          <w:color w:val="231F20"/>
        </w:rPr>
        <w:t>familiar</w:t>
      </w:r>
      <w:r>
        <w:rPr>
          <w:color w:val="231F20"/>
          <w:spacing w:val="-7"/>
        </w:rPr>
        <w:t> </w:t>
      </w:r>
      <w:r>
        <w:rPr>
          <w:color w:val="231F20"/>
        </w:rPr>
        <w:t>y</w:t>
      </w:r>
      <w:r>
        <w:rPr>
          <w:color w:val="231F20"/>
          <w:spacing w:val="-7"/>
        </w:rPr>
        <w:t> </w:t>
      </w:r>
      <w:r>
        <w:rPr>
          <w:color w:val="231F20"/>
        </w:rPr>
        <w:t>prácticas familiares,</w:t>
      </w:r>
      <w:r>
        <w:rPr>
          <w:color w:val="231F20"/>
          <w:spacing w:val="-7"/>
        </w:rPr>
        <w:t> </w:t>
      </w:r>
      <w:r>
        <w:rPr>
          <w:color w:val="231F20"/>
        </w:rPr>
        <w:t>lo</w:t>
      </w:r>
      <w:r>
        <w:rPr>
          <w:color w:val="231F20"/>
          <w:spacing w:val="-7"/>
        </w:rPr>
        <w:t> </w:t>
      </w:r>
      <w:r>
        <w:rPr>
          <w:color w:val="231F20"/>
        </w:rPr>
        <w:t>mismo</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rPr>
        <w:t>demás</w:t>
      </w:r>
      <w:r>
        <w:rPr>
          <w:color w:val="231F20"/>
          <w:spacing w:val="-7"/>
        </w:rPr>
        <w:t> </w:t>
      </w:r>
      <w:r>
        <w:rPr>
          <w:color w:val="231F20"/>
        </w:rPr>
        <w:t>ciencias</w:t>
      </w:r>
      <w:r>
        <w:rPr>
          <w:color w:val="231F20"/>
          <w:spacing w:val="-7"/>
        </w:rPr>
        <w:t> </w:t>
      </w:r>
      <w:r>
        <w:rPr>
          <w:color w:val="231F20"/>
        </w:rPr>
        <w:t>sociales.</w:t>
      </w:r>
      <w:r>
        <w:rPr>
          <w:color w:val="231F20"/>
          <w:spacing w:val="-6"/>
        </w:rPr>
        <w:t> </w:t>
      </w:r>
      <w:r>
        <w:rPr>
          <w:color w:val="231F20"/>
        </w:rPr>
        <w:t>La</w:t>
      </w:r>
      <w:r>
        <w:rPr>
          <w:color w:val="231F20"/>
          <w:spacing w:val="-7"/>
        </w:rPr>
        <w:t> </w:t>
      </w:r>
      <w:r>
        <w:rPr>
          <w:color w:val="231F20"/>
        </w:rPr>
        <w:t>ciencia</w:t>
      </w:r>
      <w:r>
        <w:rPr>
          <w:color w:val="231F20"/>
          <w:spacing w:val="-7"/>
        </w:rPr>
        <w:t> </w:t>
      </w:r>
      <w:r>
        <w:rPr>
          <w:color w:val="231F20"/>
        </w:rPr>
        <w:t>de</w:t>
      </w:r>
      <w:r>
        <w:rPr>
          <w:color w:val="231F20"/>
          <w:spacing w:val="-7"/>
        </w:rPr>
        <w:t> </w:t>
      </w:r>
      <w:r>
        <w:rPr>
          <w:color w:val="231F20"/>
        </w:rPr>
        <w:t>familia surge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relación</w:t>
      </w:r>
      <w:r>
        <w:rPr>
          <w:color w:val="231F20"/>
          <w:spacing w:val="-11"/>
        </w:rPr>
        <w:t> </w:t>
      </w:r>
      <w:r>
        <w:rPr>
          <w:color w:val="231F20"/>
        </w:rPr>
        <w:t>humana,</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movimiento</w:t>
      </w:r>
      <w:r>
        <w:rPr>
          <w:color w:val="231F20"/>
          <w:spacing w:val="-12"/>
        </w:rPr>
        <w:t> </w:t>
      </w:r>
      <w:r>
        <w:rPr>
          <w:color w:val="231F20"/>
        </w:rPr>
        <w:t>de</w:t>
      </w:r>
      <w:r>
        <w:rPr>
          <w:color w:val="231F20"/>
          <w:spacing w:val="-11"/>
        </w:rPr>
        <w:t> </w:t>
      </w:r>
      <w:r>
        <w:rPr>
          <w:color w:val="231F20"/>
        </w:rPr>
        <w:t>la</w:t>
      </w:r>
      <w:r>
        <w:rPr>
          <w:color w:val="231F20"/>
          <w:spacing w:val="-11"/>
        </w:rPr>
        <w:t> </w:t>
      </w:r>
      <w:r>
        <w:rPr>
          <w:color w:val="231F20"/>
        </w:rPr>
        <w:t>vida</w:t>
      </w:r>
      <w:r>
        <w:rPr>
          <w:color w:val="231F20"/>
          <w:spacing w:val="-11"/>
        </w:rPr>
        <w:t> </w:t>
      </w:r>
      <w:r>
        <w:rPr>
          <w:color w:val="231F20"/>
        </w:rPr>
        <w:t>cotidiana</w:t>
      </w:r>
      <w:r>
        <w:rPr>
          <w:color w:val="231F20"/>
          <w:spacing w:val="-12"/>
        </w:rPr>
        <w:t> </w:t>
      </w:r>
      <w:r>
        <w:rPr>
          <w:color w:val="231F20"/>
        </w:rPr>
        <w:t>familiar y social y se constituye en hecho social a partir de la problematización, interpretación y comprensión de la realidad. Se basa en un proceso con el cual se pretende que los conocimientos sean compartidos intersubjetiva- mente y adquiridos por medio de procedimientos metodológicos propios  o de los que se apropian de otras ciencias y disciplinas e   </w:t>
      </w:r>
      <w:r>
        <w:rPr>
          <w:color w:val="231F20"/>
          <w:spacing w:val="1"/>
        </w:rPr>
        <w:t> </w:t>
      </w:r>
      <w:r>
        <w:rPr>
          <w:color w:val="231F20"/>
        </w:rPr>
        <w:t>interdisciplinas</w:t>
      </w:r>
    </w:p>
    <w:p>
      <w:pPr>
        <w:pStyle w:val="BodyText"/>
        <w:spacing w:line="253" w:lineRule="exact"/>
        <w:ind w:left="117"/>
        <w:jc w:val="both"/>
      </w:pPr>
      <w:r>
        <w:rPr>
          <w:color w:val="231F20"/>
        </w:rPr>
        <w:t>—desarrollo humano, comunicaciones, etc.—.</w:t>
      </w:r>
    </w:p>
    <w:p>
      <w:pPr>
        <w:spacing w:after="0" w:line="253" w:lineRule="exact"/>
        <w:jc w:val="both"/>
        <w:sectPr>
          <w:pgSz w:w="9360" w:h="13040"/>
          <w:pgMar w:header="0" w:footer="496" w:top="800" w:bottom="680" w:left="1300" w:right="1300"/>
        </w:sectPr>
      </w:pPr>
    </w:p>
    <w:p>
      <w:pPr>
        <w:spacing w:before="45"/>
        <w:ind w:left="400" w:right="0" w:firstLine="2430"/>
        <w:jc w:val="left"/>
        <w:rPr>
          <w:rFonts w:ascii="Arial" w:hAnsi="Arial"/>
          <w:sz w:val="20"/>
        </w:rPr>
      </w:pPr>
      <w:r>
        <w:rPr>
          <w:rFonts w:ascii="Arial" w:hAnsi="Arial"/>
          <w:color w:val="231F20"/>
          <w:w w:val="74"/>
          <w:sz w:val="20"/>
        </w:rPr>
        <w:t>Familias</w:t>
      </w:r>
      <w:r>
        <w:rPr>
          <w:rFonts w:ascii="Arial" w:hAnsi="Arial"/>
          <w:color w:val="231F20"/>
          <w:spacing w:val="-1"/>
          <w:sz w:val="20"/>
        </w:rPr>
        <w:t> </w:t>
      </w:r>
      <w:r>
        <w:rPr>
          <w:rFonts w:ascii="Arial" w:hAnsi="Arial"/>
          <w:color w:val="231F20"/>
          <w:spacing w:val="-1"/>
          <w:w w:val="72"/>
          <w:sz w:val="20"/>
        </w:rPr>
        <w:t>transnacionale</w:t>
      </w:r>
      <w:r>
        <w:rPr>
          <w:rFonts w:ascii="Arial" w:hAnsi="Arial"/>
          <w:color w:val="231F20"/>
          <w:w w:val="72"/>
          <w:sz w:val="20"/>
        </w:rPr>
        <w:t>s</w:t>
      </w:r>
      <w:r>
        <w:rPr>
          <w:rFonts w:ascii="Arial" w:hAnsi="Arial"/>
          <w:color w:val="231F20"/>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1"/>
          <w:sz w:val="20"/>
        </w:rPr>
        <w:t>Colombia</w:t>
      </w:r>
      <w:r>
        <w:rPr>
          <w:rFonts w:ascii="Arial" w:hAnsi="Arial"/>
          <w:color w:val="231F20"/>
          <w:spacing w:val="-1"/>
          <w:sz w:val="20"/>
        </w:rPr>
        <w:t> </w:t>
      </w:r>
      <w:r>
        <w:rPr>
          <w:rFonts w:ascii="Arial" w:hAnsi="Arial"/>
          <w:color w:val="231F20"/>
          <w:spacing w:val="-1"/>
          <w:w w:val="99"/>
          <w:sz w:val="20"/>
        </w:rPr>
        <w:t>/</w:t>
      </w:r>
      <w:r>
        <w:rPr>
          <w:rFonts w:ascii="Arial" w:hAnsi="Arial"/>
          <w:color w:val="231F20"/>
          <w:w w:val="48"/>
          <w:sz w:val="20"/>
        </w:rPr>
        <w:t>Luz</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50"/>
          <w:sz w:val="20"/>
        </w:rPr>
        <w:t>López-Montaño</w:t>
      </w:r>
    </w:p>
    <w:p>
      <w:pPr>
        <w:pStyle w:val="BodyText"/>
        <w:spacing w:before="7"/>
        <w:rPr>
          <w:rFonts w:ascii="Arial"/>
          <w:sz w:val="28"/>
        </w:rPr>
      </w:pPr>
    </w:p>
    <w:p>
      <w:pPr>
        <w:pStyle w:val="BodyText"/>
        <w:spacing w:line="247" w:lineRule="auto"/>
        <w:ind w:left="117" w:right="114" w:firstLine="283"/>
        <w:jc w:val="both"/>
      </w:pPr>
      <w:r>
        <w:rPr>
          <w:color w:val="231F20"/>
        </w:rPr>
        <w:t>Comprender, interpretar, reflexionar los procesos familiares y</w:t>
      </w:r>
      <w:r>
        <w:rPr>
          <w:color w:val="231F20"/>
          <w:spacing w:val="-30"/>
        </w:rPr>
        <w:t> </w:t>
      </w:r>
      <w:r>
        <w:rPr>
          <w:color w:val="231F20"/>
        </w:rPr>
        <w:t>anticipar ciertos movimientos, no ha sido logrado,por el énfasis reactivo de las in- vestigaciones,</w:t>
      </w:r>
      <w:r>
        <w:rPr>
          <w:color w:val="231F20"/>
          <w:spacing w:val="-8"/>
        </w:rPr>
        <w:t> </w:t>
      </w:r>
      <w:r>
        <w:rPr>
          <w:color w:val="231F20"/>
        </w:rPr>
        <w:t>el</w:t>
      </w:r>
      <w:r>
        <w:rPr>
          <w:color w:val="231F20"/>
          <w:spacing w:val="-8"/>
        </w:rPr>
        <w:t> </w:t>
      </w:r>
      <w:r>
        <w:rPr>
          <w:color w:val="231F20"/>
        </w:rPr>
        <w:t>logro</w:t>
      </w:r>
      <w:r>
        <w:rPr>
          <w:color w:val="231F20"/>
          <w:spacing w:val="-8"/>
        </w:rPr>
        <w:t> </w:t>
      </w:r>
      <w:r>
        <w:rPr>
          <w:color w:val="231F20"/>
        </w:rPr>
        <w:t>surgirá</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capacidad</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científicos</w:t>
      </w:r>
      <w:r>
        <w:rPr>
          <w:color w:val="231F20"/>
          <w:spacing w:val="-8"/>
        </w:rPr>
        <w:t> </w:t>
      </w:r>
      <w:r>
        <w:rPr>
          <w:color w:val="231F20"/>
        </w:rPr>
        <w:t>de</w:t>
      </w:r>
      <w:r>
        <w:rPr>
          <w:color w:val="231F20"/>
          <w:spacing w:val="-8"/>
        </w:rPr>
        <w:t> </w:t>
      </w:r>
      <w:r>
        <w:rPr>
          <w:color w:val="231F20"/>
        </w:rPr>
        <w:t>familia, es</w:t>
      </w:r>
      <w:r>
        <w:rPr>
          <w:color w:val="231F20"/>
          <w:spacing w:val="-12"/>
        </w:rPr>
        <w:t> </w:t>
      </w:r>
      <w:r>
        <w:rPr>
          <w:color w:val="231F20"/>
        </w:rPr>
        <w:t>decir,</w:t>
      </w:r>
      <w:r>
        <w:rPr>
          <w:color w:val="231F20"/>
          <w:spacing w:val="-12"/>
        </w:rPr>
        <w:t> </w:t>
      </w:r>
      <w:r>
        <w:rPr>
          <w:color w:val="231F20"/>
        </w:rPr>
        <w:t>quienes</w:t>
      </w:r>
      <w:r>
        <w:rPr>
          <w:color w:val="231F20"/>
          <w:spacing w:val="-12"/>
        </w:rPr>
        <w:t> </w:t>
      </w:r>
      <w:r>
        <w:rPr>
          <w:color w:val="231F20"/>
        </w:rPr>
        <w:t>investigan,</w:t>
      </w:r>
      <w:r>
        <w:rPr>
          <w:color w:val="231F20"/>
          <w:spacing w:val="-12"/>
        </w:rPr>
        <w:t> </w:t>
      </w:r>
      <w:r>
        <w:rPr>
          <w:color w:val="231F20"/>
        </w:rPr>
        <w:t>educan</w:t>
      </w:r>
      <w:r>
        <w:rPr>
          <w:color w:val="231F20"/>
          <w:spacing w:val="-12"/>
        </w:rPr>
        <w:t> </w:t>
      </w:r>
      <w:r>
        <w:rPr>
          <w:color w:val="231F20"/>
        </w:rPr>
        <w:t>y</w:t>
      </w:r>
      <w:r>
        <w:rPr>
          <w:color w:val="231F20"/>
          <w:spacing w:val="-12"/>
        </w:rPr>
        <w:t> </w:t>
      </w:r>
      <w:r>
        <w:rPr>
          <w:color w:val="231F20"/>
        </w:rPr>
        <w:t>proyectan</w:t>
      </w:r>
      <w:r>
        <w:rPr>
          <w:color w:val="231F20"/>
          <w:spacing w:val="-12"/>
        </w:rPr>
        <w:t> </w:t>
      </w:r>
      <w:r>
        <w:rPr>
          <w:color w:val="231F20"/>
        </w:rPr>
        <w:t>su</w:t>
      </w:r>
      <w:r>
        <w:rPr>
          <w:color w:val="231F20"/>
          <w:spacing w:val="-12"/>
        </w:rPr>
        <w:t> </w:t>
      </w:r>
      <w:r>
        <w:rPr>
          <w:color w:val="231F20"/>
        </w:rPr>
        <w:t>trabajo</w:t>
      </w:r>
      <w:r>
        <w:rPr>
          <w:color w:val="231F20"/>
          <w:spacing w:val="-12"/>
        </w:rPr>
        <w:t> </w:t>
      </w:r>
      <w:r>
        <w:rPr>
          <w:color w:val="231F20"/>
        </w:rPr>
        <w:t>desde</w:t>
      </w:r>
      <w:r>
        <w:rPr>
          <w:color w:val="231F20"/>
          <w:spacing w:val="-12"/>
        </w:rPr>
        <w:t> </w:t>
      </w:r>
      <w:r>
        <w:rPr>
          <w:color w:val="231F20"/>
        </w:rPr>
        <w:t>el</w:t>
      </w:r>
      <w:r>
        <w:rPr>
          <w:color w:val="231F20"/>
          <w:spacing w:val="-12"/>
        </w:rPr>
        <w:t> </w:t>
      </w:r>
      <w:r>
        <w:rPr>
          <w:color w:val="231F20"/>
        </w:rPr>
        <w:t>conoci- miento</w:t>
      </w:r>
      <w:r>
        <w:rPr>
          <w:color w:val="231F20"/>
          <w:spacing w:val="-10"/>
        </w:rPr>
        <w:t> </w:t>
      </w:r>
      <w:r>
        <w:rPr>
          <w:color w:val="231F20"/>
        </w:rPr>
        <w:t>científico</w:t>
      </w:r>
      <w:r>
        <w:rPr>
          <w:color w:val="231F20"/>
          <w:spacing w:val="-10"/>
        </w:rPr>
        <w:t> </w:t>
      </w:r>
      <w:r>
        <w:rPr>
          <w:color w:val="231F20"/>
        </w:rPr>
        <w:t>de</w:t>
      </w:r>
      <w:r>
        <w:rPr>
          <w:color w:val="231F20"/>
          <w:spacing w:val="-10"/>
        </w:rPr>
        <w:t> </w:t>
      </w:r>
      <w:r>
        <w:rPr>
          <w:color w:val="231F20"/>
        </w:rPr>
        <w:t>familia,</w:t>
      </w:r>
      <w:r>
        <w:rPr>
          <w:color w:val="231F20"/>
          <w:spacing w:val="-10"/>
        </w:rPr>
        <w:t> </w:t>
      </w:r>
      <w:r>
        <w:rPr>
          <w:color w:val="231F20"/>
        </w:rPr>
        <w:t>para</w:t>
      </w:r>
      <w:r>
        <w:rPr>
          <w:color w:val="231F20"/>
          <w:spacing w:val="-10"/>
        </w:rPr>
        <w:t> </w:t>
      </w:r>
      <w:r>
        <w:rPr>
          <w:color w:val="231F20"/>
        </w:rPr>
        <w:t>interpelar</w:t>
      </w:r>
      <w:r>
        <w:rPr>
          <w:color w:val="231F20"/>
          <w:spacing w:val="-10"/>
        </w:rPr>
        <w:t> </w:t>
      </w:r>
      <w:r>
        <w:rPr>
          <w:color w:val="231F20"/>
        </w:rPr>
        <w:t>los</w:t>
      </w:r>
      <w:r>
        <w:rPr>
          <w:color w:val="231F20"/>
          <w:spacing w:val="-10"/>
        </w:rPr>
        <w:t> </w:t>
      </w:r>
      <w:r>
        <w:rPr>
          <w:color w:val="231F20"/>
        </w:rPr>
        <w:t>nuevos</w:t>
      </w:r>
      <w:r>
        <w:rPr>
          <w:color w:val="231F20"/>
          <w:spacing w:val="-10"/>
        </w:rPr>
        <w:t> </w:t>
      </w:r>
      <w:r>
        <w:rPr>
          <w:color w:val="231F20"/>
        </w:rPr>
        <w:t>contextos</w:t>
      </w:r>
      <w:r>
        <w:rPr>
          <w:color w:val="231F20"/>
          <w:spacing w:val="-10"/>
        </w:rPr>
        <w:t> </w:t>
      </w:r>
      <w:r>
        <w:rPr>
          <w:color w:val="231F20"/>
        </w:rPr>
        <w:t>y</w:t>
      </w:r>
      <w:r>
        <w:rPr>
          <w:color w:val="231F20"/>
          <w:spacing w:val="-10"/>
        </w:rPr>
        <w:t> </w:t>
      </w:r>
      <w:r>
        <w:rPr>
          <w:color w:val="231F20"/>
        </w:rPr>
        <w:t>realida- des</w:t>
      </w:r>
      <w:r>
        <w:rPr>
          <w:color w:val="231F20"/>
          <w:spacing w:val="-9"/>
        </w:rPr>
        <w:t> </w:t>
      </w:r>
      <w:r>
        <w:rPr>
          <w:color w:val="231F20"/>
        </w:rPr>
        <w:t>multisituadas</w:t>
      </w:r>
      <w:r>
        <w:rPr>
          <w:color w:val="231F20"/>
          <w:spacing w:val="-10"/>
        </w:rPr>
        <w:t> </w:t>
      </w:r>
      <w:r>
        <w:rPr>
          <w:color w:val="231F20"/>
        </w:rPr>
        <w:t>en</w:t>
      </w:r>
      <w:r>
        <w:rPr>
          <w:color w:val="231F20"/>
          <w:spacing w:val="-10"/>
        </w:rPr>
        <w:t> </w:t>
      </w:r>
      <w:r>
        <w:rPr>
          <w:color w:val="231F20"/>
        </w:rPr>
        <w:t>que</w:t>
      </w:r>
      <w:r>
        <w:rPr>
          <w:color w:val="231F20"/>
          <w:spacing w:val="-10"/>
        </w:rPr>
        <w:t> </w:t>
      </w:r>
      <w:r>
        <w:rPr>
          <w:color w:val="231F20"/>
        </w:rPr>
        <w:t>ocurren</w:t>
      </w:r>
      <w:r>
        <w:rPr>
          <w:color w:val="231F20"/>
          <w:spacing w:val="-10"/>
        </w:rPr>
        <w:t> </w:t>
      </w:r>
      <w:r>
        <w:rPr>
          <w:color w:val="231F20"/>
        </w:rPr>
        <w:t>tales</w:t>
      </w:r>
      <w:r>
        <w:rPr>
          <w:color w:val="231F20"/>
          <w:spacing w:val="-10"/>
        </w:rPr>
        <w:t> </w:t>
      </w:r>
      <w:r>
        <w:rPr>
          <w:color w:val="231F20"/>
        </w:rPr>
        <w:t>procesos</w:t>
      </w:r>
      <w:r>
        <w:rPr>
          <w:color w:val="231F20"/>
          <w:spacing w:val="-9"/>
        </w:rPr>
        <w:t> </w:t>
      </w:r>
      <w:r>
        <w:rPr>
          <w:color w:val="231F20"/>
        </w:rPr>
        <w:t>haciendo</w:t>
      </w:r>
      <w:r>
        <w:rPr>
          <w:color w:val="231F20"/>
          <w:spacing w:val="-9"/>
        </w:rPr>
        <w:t> </w:t>
      </w:r>
      <w:r>
        <w:rPr>
          <w:color w:val="231F20"/>
        </w:rPr>
        <w:t>nuevas</w:t>
      </w:r>
      <w:r>
        <w:rPr>
          <w:color w:val="231F20"/>
          <w:spacing w:val="-10"/>
        </w:rPr>
        <w:t> </w:t>
      </w:r>
      <w:r>
        <w:rPr>
          <w:color w:val="231F20"/>
        </w:rPr>
        <w:t>preguntas a viejas y nuevas realidades y develando los “espacios positivos” </w:t>
      </w:r>
      <w:r>
        <w:rPr>
          <w:color w:val="231F20"/>
          <w:spacing w:val="-3"/>
        </w:rPr>
        <w:t>(Daly, </w:t>
      </w:r>
      <w:r>
        <w:rPr>
          <w:color w:val="231F20"/>
        </w:rPr>
        <w:t>2003) aquellos que comúnmente vemos y los “espacios negativos” </w:t>
      </w:r>
      <w:r>
        <w:rPr>
          <w:color w:val="231F20"/>
          <w:spacing w:val="-3"/>
        </w:rPr>
        <w:t>(Daly, </w:t>
      </w:r>
      <w:r>
        <w:rPr>
          <w:color w:val="231F20"/>
        </w:rPr>
        <w:t>2003)</w:t>
      </w:r>
      <w:r>
        <w:rPr>
          <w:color w:val="231F20"/>
          <w:spacing w:val="-5"/>
        </w:rPr>
        <w:t> </w:t>
      </w:r>
      <w:r>
        <w:rPr>
          <w:color w:val="231F20"/>
        </w:rPr>
        <w:t>mismos</w:t>
      </w:r>
      <w:r>
        <w:rPr>
          <w:color w:val="231F20"/>
          <w:spacing w:val="-6"/>
        </w:rPr>
        <w:t> </w:t>
      </w:r>
      <w:r>
        <w:rPr>
          <w:color w:val="231F20"/>
        </w:rPr>
        <w:t>que</w:t>
      </w:r>
      <w:r>
        <w:rPr>
          <w:color w:val="231F20"/>
          <w:spacing w:val="-5"/>
        </w:rPr>
        <w:t> </w:t>
      </w:r>
      <w:r>
        <w:rPr>
          <w:color w:val="231F20"/>
        </w:rPr>
        <w:t>permanecen</w:t>
      </w:r>
      <w:r>
        <w:rPr>
          <w:color w:val="231F20"/>
          <w:spacing w:val="-5"/>
        </w:rPr>
        <w:t> </w:t>
      </w:r>
      <w:r>
        <w:rPr>
          <w:color w:val="231F20"/>
        </w:rPr>
        <w:t>ocultos</w:t>
      </w:r>
      <w:r>
        <w:rPr>
          <w:color w:val="231F20"/>
          <w:spacing w:val="-5"/>
        </w:rPr>
        <w:t> </w:t>
      </w:r>
      <w:r>
        <w:rPr>
          <w:color w:val="231F20"/>
        </w:rPr>
        <w:t>y</w:t>
      </w:r>
      <w:r>
        <w:rPr>
          <w:color w:val="231F20"/>
          <w:spacing w:val="-5"/>
        </w:rPr>
        <w:t> </w:t>
      </w:r>
      <w:r>
        <w:rPr>
          <w:color w:val="231F20"/>
        </w:rPr>
        <w:t>omitidos,</w:t>
      </w:r>
      <w:r>
        <w:rPr>
          <w:color w:val="231F20"/>
          <w:spacing w:val="-5"/>
        </w:rPr>
        <w:t> </w:t>
      </w:r>
      <w:r>
        <w:rPr>
          <w:color w:val="231F20"/>
        </w:rPr>
        <w:t>pero</w:t>
      </w:r>
      <w:r>
        <w:rPr>
          <w:color w:val="231F20"/>
          <w:spacing w:val="-5"/>
        </w:rPr>
        <w:t> </w:t>
      </w:r>
      <w:r>
        <w:rPr>
          <w:color w:val="231F20"/>
        </w:rPr>
        <w:t>son</w:t>
      </w:r>
      <w:r>
        <w:rPr>
          <w:color w:val="231F20"/>
          <w:spacing w:val="-5"/>
        </w:rPr>
        <w:t> </w:t>
      </w:r>
      <w:r>
        <w:rPr>
          <w:color w:val="231F20"/>
        </w:rPr>
        <w:t>contenidos</w:t>
      </w:r>
      <w:r>
        <w:rPr>
          <w:color w:val="231F20"/>
          <w:spacing w:val="-6"/>
        </w:rPr>
        <w:t> </w:t>
      </w:r>
      <w:r>
        <w:rPr>
          <w:color w:val="231F20"/>
        </w:rPr>
        <w:t>en toda realidad</w:t>
      </w:r>
      <w:r>
        <w:rPr>
          <w:color w:val="231F20"/>
          <w:spacing w:val="-14"/>
        </w:rPr>
        <w:t> </w:t>
      </w:r>
      <w:r>
        <w:rPr>
          <w:color w:val="231F20"/>
        </w:rPr>
        <w:t>familiar.</w:t>
      </w:r>
    </w:p>
    <w:p>
      <w:pPr>
        <w:spacing w:before="149"/>
        <w:ind w:left="117" w:right="0" w:firstLine="0"/>
        <w:jc w:val="both"/>
        <w:rPr>
          <w:i/>
          <w:sz w:val="22"/>
        </w:rPr>
      </w:pPr>
      <w:r>
        <w:rPr>
          <w:i/>
          <w:color w:val="231F20"/>
          <w:sz w:val="22"/>
        </w:rPr>
        <w:t>Familia como ámbito social, migración y realidad globalizada</w:t>
      </w:r>
    </w:p>
    <w:p>
      <w:pPr>
        <w:pStyle w:val="BodyText"/>
        <w:spacing w:line="247" w:lineRule="auto" w:before="177"/>
        <w:ind w:left="117" w:right="114"/>
        <w:jc w:val="both"/>
      </w:pPr>
      <w:r>
        <w:rPr>
          <w:color w:val="231F20"/>
        </w:rPr>
        <w:t>No existe un marco de referencia teórico específico del tema familia y</w:t>
      </w:r>
      <w:r>
        <w:rPr>
          <w:color w:val="231F20"/>
          <w:spacing w:val="-23"/>
        </w:rPr>
        <w:t> </w:t>
      </w:r>
      <w:r>
        <w:rPr>
          <w:color w:val="231F20"/>
        </w:rPr>
        <w:t>mi- gración, éste se está construyendo durante el proceso migratorio y con las evidencias de los cambios</w:t>
      </w:r>
      <w:r>
        <w:rPr>
          <w:color w:val="231F20"/>
          <w:spacing w:val="-3"/>
        </w:rPr>
        <w:t> </w:t>
      </w:r>
      <w:r>
        <w:rPr>
          <w:color w:val="231F20"/>
        </w:rPr>
        <w:t>recientes.</w:t>
      </w:r>
    </w:p>
    <w:p>
      <w:pPr>
        <w:pStyle w:val="BodyText"/>
        <w:spacing w:line="247" w:lineRule="auto"/>
        <w:ind w:left="117" w:right="114" w:firstLine="283"/>
        <w:jc w:val="both"/>
      </w:pPr>
      <w:r>
        <w:rPr>
          <w:color w:val="231F20"/>
        </w:rPr>
        <w:t>Comprendo familia como la “agrupación humana primordial”, una or- ganización social parental dinámica que participa de las tensiones y con- tradicciones de la sociedad, con interacciones y vínculos propios, con al menos un lazo conector por vía de consanguinidad, afinidad, o situación legal, un tejido de relaciones que señala derechos y obligaciones, tipos y momentos de las interacciones, con particularidades en la sobrevivencia y convivencia, con diversas formas de organización y heterogeneidad en</w:t>
      </w:r>
      <w:r>
        <w:rPr>
          <w:color w:val="231F20"/>
          <w:spacing w:val="-36"/>
        </w:rPr>
        <w:t> </w:t>
      </w:r>
      <w:r>
        <w:rPr>
          <w:color w:val="231F20"/>
        </w:rPr>
        <w:t>sus procesos según género, generación, procedencia, composición, etnia,</w:t>
      </w:r>
      <w:r>
        <w:rPr>
          <w:color w:val="231F20"/>
          <w:spacing w:val="-31"/>
        </w:rPr>
        <w:t> </w:t>
      </w:r>
      <w:r>
        <w:rPr>
          <w:color w:val="231F20"/>
        </w:rPr>
        <w:t>raza, religión, usos y costumbres; una organización en permanente transforma- ción, situada histórica, temporal y espacialmente y en interacción</w:t>
      </w:r>
      <w:r>
        <w:rPr>
          <w:color w:val="231F20"/>
          <w:spacing w:val="-35"/>
        </w:rPr>
        <w:t> </w:t>
      </w:r>
      <w:r>
        <w:rPr>
          <w:color w:val="231F20"/>
        </w:rPr>
        <w:t>constan- te</w:t>
      </w:r>
      <w:r>
        <w:rPr>
          <w:color w:val="231F20"/>
          <w:spacing w:val="-8"/>
        </w:rPr>
        <w:t> </w:t>
      </w:r>
      <w:r>
        <w:rPr>
          <w:color w:val="231F20"/>
        </w:rPr>
        <w:t>con</w:t>
      </w:r>
      <w:r>
        <w:rPr>
          <w:color w:val="231F20"/>
          <w:spacing w:val="-8"/>
        </w:rPr>
        <w:t> </w:t>
      </w:r>
      <w:r>
        <w:rPr>
          <w:color w:val="231F20"/>
        </w:rPr>
        <w:t>las</w:t>
      </w:r>
      <w:r>
        <w:rPr>
          <w:color w:val="231F20"/>
          <w:spacing w:val="-8"/>
        </w:rPr>
        <w:t> </w:t>
      </w:r>
      <w:r>
        <w:rPr>
          <w:color w:val="231F20"/>
        </w:rPr>
        <w:t>demás</w:t>
      </w:r>
      <w:r>
        <w:rPr>
          <w:color w:val="231F20"/>
          <w:spacing w:val="-8"/>
        </w:rPr>
        <w:t> </w:t>
      </w:r>
      <w:r>
        <w:rPr>
          <w:color w:val="231F20"/>
        </w:rPr>
        <w:t>esferas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sociedad</w:t>
      </w:r>
      <w:r>
        <w:rPr>
          <w:color w:val="231F20"/>
          <w:spacing w:val="-8"/>
        </w:rPr>
        <w:t> </w:t>
      </w:r>
      <w:r>
        <w:rPr>
          <w:color w:val="231F20"/>
        </w:rPr>
        <w:t>local</w:t>
      </w:r>
      <w:r>
        <w:rPr>
          <w:color w:val="231F20"/>
          <w:spacing w:val="-8"/>
        </w:rPr>
        <w:t> </w:t>
      </w:r>
      <w:r>
        <w:rPr>
          <w:color w:val="231F20"/>
        </w:rPr>
        <w:t>y</w:t>
      </w:r>
      <w:r>
        <w:rPr>
          <w:color w:val="231F20"/>
          <w:spacing w:val="-8"/>
        </w:rPr>
        <w:t> </w:t>
      </w:r>
      <w:r>
        <w:rPr>
          <w:color w:val="231F20"/>
        </w:rPr>
        <w:t>global;</w:t>
      </w:r>
      <w:r>
        <w:rPr>
          <w:color w:val="231F20"/>
          <w:spacing w:val="-8"/>
        </w:rPr>
        <w:t> </w:t>
      </w:r>
      <w:r>
        <w:rPr>
          <w:color w:val="231F20"/>
        </w:rPr>
        <w:t>capaz</w:t>
      </w:r>
      <w:r>
        <w:rPr>
          <w:color w:val="231F20"/>
          <w:spacing w:val="-8"/>
        </w:rPr>
        <w:t> </w:t>
      </w:r>
      <w:r>
        <w:rPr>
          <w:color w:val="231F20"/>
        </w:rPr>
        <w:t>de</w:t>
      </w:r>
      <w:r>
        <w:rPr>
          <w:color w:val="231F20"/>
          <w:spacing w:val="-8"/>
        </w:rPr>
        <w:t> </w:t>
      </w:r>
      <w:r>
        <w:rPr>
          <w:color w:val="231F20"/>
        </w:rPr>
        <w:t>influir</w:t>
      </w:r>
      <w:r>
        <w:rPr>
          <w:color w:val="231F20"/>
          <w:spacing w:val="-8"/>
        </w:rPr>
        <w:t> </w:t>
      </w:r>
      <w:r>
        <w:rPr>
          <w:color w:val="231F20"/>
        </w:rPr>
        <w:t>en</w:t>
      </w:r>
      <w:r>
        <w:rPr>
          <w:color w:val="231F20"/>
          <w:spacing w:val="-8"/>
        </w:rPr>
        <w:t> </w:t>
      </w:r>
      <w:r>
        <w:rPr>
          <w:color w:val="231F20"/>
        </w:rPr>
        <w:t>el desarrollo humano de sus integrantes, de permear las influencias externas y de evaluar sus efectos en su desarrollo y dinámica (Sánchez </w:t>
      </w:r>
      <w:r>
        <w:rPr>
          <w:i/>
          <w:color w:val="231F20"/>
        </w:rPr>
        <w:t>et al</w:t>
      </w:r>
      <w:r>
        <w:rPr>
          <w:color w:val="231F20"/>
        </w:rPr>
        <w:t>.,</w:t>
      </w:r>
      <w:r>
        <w:rPr>
          <w:color w:val="231F20"/>
          <w:spacing w:val="-19"/>
        </w:rPr>
        <w:t> </w:t>
      </w:r>
      <w:r>
        <w:rPr>
          <w:color w:val="231F20"/>
        </w:rPr>
        <w:t>2012; Palacio, 2010; Jelin, 2004; López, 2009; Suárez y Restrepo, 2005;  </w:t>
      </w:r>
      <w:r>
        <w:rPr>
          <w:color w:val="231F20"/>
          <w:spacing w:val="20"/>
        </w:rPr>
        <w:t> </w:t>
      </w:r>
      <w:r>
        <w:rPr>
          <w:color w:val="231F20"/>
        </w:rPr>
        <w:t>Beck,</w:t>
      </w:r>
    </w:p>
    <w:p>
      <w:pPr>
        <w:pStyle w:val="BodyText"/>
        <w:spacing w:line="253" w:lineRule="exact"/>
        <w:ind w:left="117"/>
        <w:jc w:val="both"/>
      </w:pPr>
      <w:r>
        <w:rPr>
          <w:color w:val="231F20"/>
        </w:rPr>
        <w:t>2003; Solé </w:t>
      </w:r>
      <w:r>
        <w:rPr>
          <w:i/>
          <w:color w:val="231F20"/>
        </w:rPr>
        <w:t>et al</w:t>
      </w:r>
      <w:r>
        <w:rPr>
          <w:color w:val="231F20"/>
        </w:rPr>
        <w:t>., 2007; Flaquer, 1998).</w:t>
      </w:r>
    </w:p>
    <w:p>
      <w:pPr>
        <w:pStyle w:val="BodyText"/>
        <w:spacing w:line="247" w:lineRule="auto" w:before="7"/>
        <w:ind w:left="117" w:right="114" w:firstLine="283"/>
        <w:jc w:val="both"/>
      </w:pPr>
      <w:r>
        <w:rPr>
          <w:color w:val="231F20"/>
        </w:rPr>
        <w:t>A</w:t>
      </w:r>
      <w:r>
        <w:rPr>
          <w:color w:val="231F20"/>
          <w:spacing w:val="-18"/>
        </w:rPr>
        <w:t> </w:t>
      </w:r>
      <w:r>
        <w:rPr>
          <w:color w:val="231F20"/>
        </w:rPr>
        <w:t>la</w:t>
      </w:r>
      <w:r>
        <w:rPr>
          <w:color w:val="231F20"/>
          <w:spacing w:val="-5"/>
        </w:rPr>
        <w:t> </w:t>
      </w:r>
      <w:r>
        <w:rPr>
          <w:color w:val="231F20"/>
        </w:rPr>
        <w:t>familia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contexto</w:t>
      </w:r>
      <w:r>
        <w:rPr>
          <w:color w:val="231F20"/>
          <w:spacing w:val="-5"/>
        </w:rPr>
        <w:t> </w:t>
      </w:r>
      <w:r>
        <w:rPr>
          <w:color w:val="231F20"/>
        </w:rPr>
        <w:t>colombiano</w:t>
      </w:r>
      <w:r>
        <w:rPr>
          <w:color w:val="231F20"/>
          <w:spacing w:val="-5"/>
        </w:rPr>
        <w:t> </w:t>
      </w:r>
      <w:r>
        <w:rPr>
          <w:color w:val="231F20"/>
        </w:rPr>
        <w:t>—y</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mundo—</w:t>
      </w:r>
      <w:r>
        <w:rPr>
          <w:color w:val="231F20"/>
          <w:spacing w:val="-5"/>
        </w:rPr>
        <w:t> </w:t>
      </w:r>
      <w:r>
        <w:rPr>
          <w:color w:val="231F20"/>
        </w:rPr>
        <w:t>se</w:t>
      </w:r>
      <w:r>
        <w:rPr>
          <w:color w:val="231F20"/>
          <w:spacing w:val="-5"/>
        </w:rPr>
        <w:t> </w:t>
      </w:r>
      <w:r>
        <w:rPr>
          <w:color w:val="231F20"/>
        </w:rPr>
        <w:t>le</w:t>
      </w:r>
      <w:r>
        <w:rPr>
          <w:color w:val="231F20"/>
          <w:spacing w:val="-5"/>
        </w:rPr>
        <w:t> </w:t>
      </w:r>
      <w:r>
        <w:rPr>
          <w:color w:val="231F20"/>
        </w:rPr>
        <w:t>confie- re</w:t>
      </w:r>
      <w:r>
        <w:rPr>
          <w:color w:val="231F20"/>
          <w:spacing w:val="-7"/>
        </w:rPr>
        <w:t> </w:t>
      </w:r>
      <w:r>
        <w:rPr>
          <w:color w:val="231F20"/>
        </w:rPr>
        <w:t>ser</w:t>
      </w:r>
      <w:r>
        <w:rPr>
          <w:color w:val="231F20"/>
          <w:spacing w:val="-6"/>
        </w:rPr>
        <w:t> </w:t>
      </w:r>
      <w:r>
        <w:rPr>
          <w:color w:val="231F20"/>
        </w:rPr>
        <w:t>el</w:t>
      </w:r>
      <w:r>
        <w:rPr>
          <w:color w:val="231F20"/>
          <w:spacing w:val="-7"/>
        </w:rPr>
        <w:t> </w:t>
      </w:r>
      <w:r>
        <w:rPr>
          <w:color w:val="231F20"/>
        </w:rPr>
        <w:t>lugar</w:t>
      </w:r>
      <w:r>
        <w:rPr>
          <w:color w:val="231F20"/>
          <w:spacing w:val="-7"/>
        </w:rPr>
        <w:t> </w:t>
      </w:r>
      <w:r>
        <w:rPr>
          <w:color w:val="231F20"/>
        </w:rPr>
        <w:t>y</w:t>
      </w:r>
      <w:r>
        <w:rPr>
          <w:color w:val="231F20"/>
          <w:spacing w:val="-7"/>
        </w:rPr>
        <w:t> </w:t>
      </w:r>
      <w:r>
        <w:rPr>
          <w:color w:val="231F20"/>
        </w:rPr>
        <w:t>espacio</w:t>
      </w:r>
      <w:r>
        <w:rPr>
          <w:color w:val="231F20"/>
          <w:spacing w:val="-7"/>
        </w:rPr>
        <w:t> </w:t>
      </w:r>
      <w:r>
        <w:rPr>
          <w:color w:val="231F20"/>
        </w:rPr>
        <w:t>de</w:t>
      </w:r>
      <w:r>
        <w:rPr>
          <w:color w:val="231F20"/>
          <w:spacing w:val="-7"/>
        </w:rPr>
        <w:t> </w:t>
      </w:r>
      <w:r>
        <w:rPr>
          <w:color w:val="231F20"/>
        </w:rPr>
        <w:t>formación</w:t>
      </w:r>
      <w:r>
        <w:rPr>
          <w:color w:val="231F20"/>
          <w:spacing w:val="-7"/>
        </w:rPr>
        <w:t> </w:t>
      </w:r>
      <w:r>
        <w:rPr>
          <w:color w:val="231F20"/>
        </w:rPr>
        <w:t>de</w:t>
      </w:r>
      <w:r>
        <w:rPr>
          <w:color w:val="231F20"/>
          <w:spacing w:val="-7"/>
        </w:rPr>
        <w:t> </w:t>
      </w:r>
      <w:r>
        <w:rPr>
          <w:color w:val="231F20"/>
        </w:rPr>
        <w:t>seres</w:t>
      </w:r>
      <w:r>
        <w:rPr>
          <w:color w:val="231F20"/>
          <w:spacing w:val="-6"/>
        </w:rPr>
        <w:t> </w:t>
      </w:r>
      <w:r>
        <w:rPr>
          <w:color w:val="231F20"/>
        </w:rPr>
        <w:t>humanos.</w:t>
      </w:r>
      <w:r>
        <w:rPr>
          <w:color w:val="231F20"/>
          <w:spacing w:val="-7"/>
        </w:rPr>
        <w:t> </w:t>
      </w:r>
      <w:r>
        <w:rPr>
          <w:color w:val="231F20"/>
        </w:rPr>
        <w:t>La</w:t>
      </w:r>
      <w:r>
        <w:rPr>
          <w:color w:val="231F20"/>
          <w:spacing w:val="-7"/>
        </w:rPr>
        <w:t> </w:t>
      </w:r>
      <w:r>
        <w:rPr>
          <w:color w:val="231F20"/>
        </w:rPr>
        <w:t>familia</w:t>
      </w:r>
      <w:r>
        <w:rPr>
          <w:color w:val="231F20"/>
          <w:spacing w:val="-7"/>
        </w:rPr>
        <w:t> </w:t>
      </w:r>
      <w:r>
        <w:rPr>
          <w:color w:val="231F20"/>
        </w:rPr>
        <w:t>consti- tuye</w:t>
      </w:r>
      <w:r>
        <w:rPr>
          <w:color w:val="231F20"/>
          <w:spacing w:val="-8"/>
        </w:rPr>
        <w:t> </w:t>
      </w:r>
      <w:r>
        <w:rPr>
          <w:color w:val="231F20"/>
        </w:rPr>
        <w:t>una</w:t>
      </w:r>
      <w:r>
        <w:rPr>
          <w:color w:val="231F20"/>
          <w:spacing w:val="-7"/>
        </w:rPr>
        <w:t> </w:t>
      </w:r>
      <w:r>
        <w:rPr>
          <w:color w:val="231F20"/>
        </w:rPr>
        <w:t>realidad</w:t>
      </w:r>
      <w:r>
        <w:rPr>
          <w:color w:val="231F20"/>
          <w:spacing w:val="-7"/>
        </w:rPr>
        <w:t> </w:t>
      </w:r>
      <w:r>
        <w:rPr>
          <w:color w:val="231F20"/>
        </w:rPr>
        <w:t>social</w:t>
      </w:r>
      <w:r>
        <w:rPr>
          <w:color w:val="231F20"/>
          <w:spacing w:val="-7"/>
        </w:rPr>
        <w:t> </w:t>
      </w:r>
      <w:r>
        <w:rPr>
          <w:color w:val="231F20"/>
        </w:rPr>
        <w:t>parental</w:t>
      </w:r>
      <w:r>
        <w:rPr>
          <w:color w:val="231F20"/>
          <w:spacing w:val="-7"/>
        </w:rPr>
        <w:t> </w:t>
      </w:r>
      <w:r>
        <w:rPr>
          <w:color w:val="231F20"/>
        </w:rPr>
        <w:t>dinámica</w:t>
      </w:r>
      <w:r>
        <w:rPr>
          <w:color w:val="231F20"/>
          <w:spacing w:val="-7"/>
        </w:rPr>
        <w:t> </w:t>
      </w:r>
      <w:r>
        <w:rPr>
          <w:color w:val="231F20"/>
        </w:rPr>
        <w:t>y</w:t>
      </w:r>
      <w:r>
        <w:rPr>
          <w:color w:val="231F20"/>
          <w:spacing w:val="-7"/>
        </w:rPr>
        <w:t> </w:t>
      </w:r>
      <w:r>
        <w:rPr>
          <w:color w:val="231F20"/>
        </w:rPr>
        <w:t>con</w:t>
      </w:r>
      <w:r>
        <w:rPr>
          <w:color w:val="231F20"/>
          <w:spacing w:val="-8"/>
        </w:rPr>
        <w:t> </w:t>
      </w:r>
      <w:r>
        <w:rPr>
          <w:color w:val="231F20"/>
        </w:rPr>
        <w:t>un</w:t>
      </w:r>
      <w:r>
        <w:rPr>
          <w:color w:val="231F20"/>
          <w:spacing w:val="-7"/>
        </w:rPr>
        <w:t> </w:t>
      </w:r>
      <w:r>
        <w:rPr>
          <w:color w:val="231F20"/>
        </w:rPr>
        <w:t>movimiento</w:t>
      </w:r>
      <w:r>
        <w:rPr>
          <w:color w:val="231F20"/>
          <w:spacing w:val="-8"/>
        </w:rPr>
        <w:t> </w:t>
      </w:r>
      <w:r>
        <w:rPr>
          <w:color w:val="231F20"/>
        </w:rPr>
        <w:t>constante, que participa de las tensiones y contradicciones de la sociedad (Palacio, 2004; López, 2009) se transforma mientras resuelve sus propias</w:t>
      </w:r>
      <w:r>
        <w:rPr>
          <w:color w:val="231F20"/>
          <w:spacing w:val="-36"/>
        </w:rPr>
        <w:t> </w:t>
      </w:r>
      <w:r>
        <w:rPr>
          <w:color w:val="231F20"/>
        </w:rPr>
        <w:t>demandas y</w:t>
      </w:r>
      <w:r>
        <w:rPr>
          <w:color w:val="231F20"/>
          <w:spacing w:val="-9"/>
        </w:rPr>
        <w:t> </w:t>
      </w:r>
      <w:r>
        <w:rPr>
          <w:color w:val="231F20"/>
        </w:rPr>
        <w:t>aquellas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le</w:t>
      </w:r>
      <w:r>
        <w:rPr>
          <w:color w:val="231F20"/>
          <w:spacing w:val="-9"/>
        </w:rPr>
        <w:t> </w:t>
      </w:r>
      <w:r>
        <w:rPr>
          <w:color w:val="231F20"/>
        </w:rPr>
        <w:t>imponen</w:t>
      </w:r>
      <w:r>
        <w:rPr>
          <w:color w:val="231F20"/>
          <w:spacing w:val="-9"/>
        </w:rPr>
        <w:t> </w:t>
      </w:r>
      <w:r>
        <w:rPr>
          <w:color w:val="231F20"/>
        </w:rPr>
        <w:t>como</w:t>
      </w:r>
      <w:r>
        <w:rPr>
          <w:color w:val="231F20"/>
          <w:spacing w:val="-9"/>
        </w:rPr>
        <w:t> </w:t>
      </w:r>
      <w:r>
        <w:rPr>
          <w:color w:val="231F20"/>
        </w:rPr>
        <w:t>externalidades</w:t>
      </w:r>
      <w:r>
        <w:rPr>
          <w:color w:val="231F20"/>
          <w:spacing w:val="-10"/>
        </w:rPr>
        <w:t> </w:t>
      </w:r>
      <w:r>
        <w:rPr>
          <w:color w:val="231F20"/>
          <w:spacing w:val="-8"/>
        </w:rPr>
        <w:t>y,</w:t>
      </w:r>
      <w:r>
        <w:rPr>
          <w:color w:val="231F20"/>
          <w:spacing w:val="-9"/>
        </w:rPr>
        <w:t> </w:t>
      </w:r>
      <w:r>
        <w:rPr>
          <w:color w:val="231F20"/>
        </w:rPr>
        <w:t>a</w:t>
      </w:r>
      <w:r>
        <w:rPr>
          <w:color w:val="231F20"/>
          <w:spacing w:val="-9"/>
        </w:rPr>
        <w:t> </w:t>
      </w:r>
      <w:r>
        <w:rPr>
          <w:color w:val="231F20"/>
        </w:rPr>
        <w:t>su</w:t>
      </w:r>
      <w:r>
        <w:rPr>
          <w:color w:val="231F20"/>
          <w:spacing w:val="-9"/>
        </w:rPr>
        <w:t> </w:t>
      </w:r>
      <w:r>
        <w:rPr>
          <w:color w:val="231F20"/>
        </w:rPr>
        <w:t>vez,</w:t>
      </w:r>
      <w:r>
        <w:rPr>
          <w:color w:val="231F20"/>
          <w:spacing w:val="-9"/>
        </w:rPr>
        <w:t> </w:t>
      </w:r>
      <w:r>
        <w:rPr>
          <w:color w:val="231F20"/>
        </w:rPr>
        <w:t>las</w:t>
      </w:r>
      <w:r>
        <w:rPr>
          <w:color w:val="231F20"/>
          <w:spacing w:val="-9"/>
        </w:rPr>
        <w:t> </w:t>
      </w:r>
      <w:r>
        <w:rPr>
          <w:color w:val="231F20"/>
        </w:rPr>
        <w:t>presiones de diverso orden —económico, cultural, ambiental, género—. Las</w:t>
      </w:r>
      <w:r>
        <w:rPr>
          <w:color w:val="231F20"/>
          <w:spacing w:val="-24"/>
        </w:rPr>
        <w:t> </w:t>
      </w:r>
      <w:r>
        <w:rPr>
          <w:color w:val="231F20"/>
        </w:rPr>
        <w:t>deman- das económicas para atender a la sobrevivencia familiar, en países de</w:t>
      </w:r>
      <w:r>
        <w:rPr>
          <w:color w:val="231F20"/>
          <w:spacing w:val="36"/>
        </w:rPr>
        <w:t> </w:t>
      </w:r>
      <w:r>
        <w:rPr>
          <w:color w:val="231F20"/>
        </w:rPr>
        <w:t>alta</w:t>
      </w:r>
    </w:p>
    <w:p>
      <w:pPr>
        <w:spacing w:after="0" w:line="247" w:lineRule="auto"/>
        <w:jc w:val="both"/>
        <w:sectPr>
          <w:pgSz w:w="9360" w:h="13040"/>
          <w:pgMar w:header="0" w:footer="496" w:top="740" w:bottom="680" w:left="1300" w:right="1300"/>
        </w:sectPr>
      </w:pPr>
    </w:p>
    <w:p>
      <w:pPr>
        <w:tabs>
          <w:tab w:pos="5536" w:val="left" w:leader="none"/>
        </w:tabs>
        <w:spacing w:before="48"/>
        <w:ind w:left="117" w:right="117" w:firstLine="22"/>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7"/>
      </w:pPr>
      <w:r>
        <w:rPr>
          <w:color w:val="231F20"/>
        </w:rPr>
        <w:t>desigualdad como Colombia, han incidido en su transformación reciente por la vía de la migración parental internacional (López, 2012).</w:t>
      </w:r>
    </w:p>
    <w:p>
      <w:pPr>
        <w:pStyle w:val="BodyText"/>
        <w:spacing w:line="247" w:lineRule="auto"/>
        <w:ind w:left="117" w:right="114" w:firstLine="283"/>
        <w:jc w:val="both"/>
      </w:pPr>
      <w:r>
        <w:rPr>
          <w:color w:val="231F20"/>
        </w:rPr>
        <w:t>La familia nace en la conformación del ámbito familiar a partir del na- cimiento de un nuevo ser humano, lo que conlleva una autoidentificación de sus integrantes como parte de un determinado grupo y contiene carac- terísticas como relaciones generacionales, propósitos cualitativos, estado nutricio, relaciones como personas totales (Burr </w:t>
      </w:r>
      <w:r>
        <w:rPr>
          <w:i/>
          <w:color w:val="231F20"/>
        </w:rPr>
        <w:t>et al</w:t>
      </w:r>
      <w:r>
        <w:rPr>
          <w:color w:val="231F20"/>
        </w:rPr>
        <w:t>., 1998). Junto con ello, se debe tener en cuenta que la familia dejó de ser signada por la co- rresidencia y la convivencia ligadas a los recursos y servicios de cuidado y crianza que se proveen y comparten entre sus integrantes padre, madre, hijos e hijas; no siempre una madre responde por el cuidado y crianza </w:t>
      </w:r>
      <w:r>
        <w:rPr>
          <w:color w:val="231F20"/>
          <w:spacing w:val="-8"/>
        </w:rPr>
        <w:t>y, </w:t>
      </w:r>
      <w:r>
        <w:rPr>
          <w:color w:val="231F20"/>
        </w:rPr>
        <w:t>tampoco es el padre quien allega los recursos para la manutención y en ocasiones los hijos e hijas u otros parientes —y no parientes— quedan a cargo de los asuntos de la familia. La capacidad de la familia para adap- tarse y superar obstáculos da cuenta del mantenimiento de una estructura normativa familística de ayuda mutua y reciprocidad (Gallego, 2005), que en todos los casos requiere ser relativizada, teniendo en cuenta su existen- cia en contextos cambiantes y su propio cambio, así como la diversidad y complejidad que le son inherentes en la era</w:t>
      </w:r>
      <w:r>
        <w:rPr>
          <w:color w:val="231F20"/>
          <w:spacing w:val="-6"/>
        </w:rPr>
        <w:t> </w:t>
      </w:r>
      <w:r>
        <w:rPr>
          <w:color w:val="231F20"/>
        </w:rPr>
        <w:t>global.</w:t>
      </w:r>
    </w:p>
    <w:p>
      <w:pPr>
        <w:pStyle w:val="BodyText"/>
        <w:spacing w:line="247" w:lineRule="auto"/>
        <w:ind w:left="117" w:right="114" w:firstLine="283"/>
        <w:jc w:val="both"/>
      </w:pPr>
      <w:r>
        <w:rPr>
          <w:color w:val="231F20"/>
        </w:rPr>
        <w:t>La familia produce su realidad en las nuevas localizaciones y circuns- tancias de vida de sus integrantes —quienes conforman el grupo y se con- sideran parte de él— habitando en lugares lejanos y de espacio físico co- mún compartido restringido, con una cotidianidad familiar que sucede en varios lugares y hogares donde los integrantes circulan a diario, aunque compartan techo, comida, conversación o compañía parcialmente y más allá de una ubicación local.</w:t>
      </w:r>
    </w:p>
    <w:p>
      <w:pPr>
        <w:pStyle w:val="BodyText"/>
        <w:spacing w:line="247" w:lineRule="auto"/>
        <w:ind w:left="117" w:right="114" w:firstLine="283"/>
        <w:jc w:val="both"/>
      </w:pPr>
      <w:r>
        <w:rPr>
          <w:color w:val="231F20"/>
        </w:rPr>
        <w:t>Esta condición en las familias con experiencia migratoria del padre o de la madre, fuera de su propio país, en muchos casos superando el año  de ausencia o sin un límite definido de tiempo para su regreso, ha puesto la discusión más allá de su propio ámbito, es decir, ha llevado a difundir una mirada local sobre la vida de sus integrantes en origen o destino y  otra mirada —macro— como realidad de los integrantes que transcurren</w:t>
      </w:r>
      <w:r>
        <w:rPr>
          <w:color w:val="231F20"/>
          <w:spacing w:val="-22"/>
        </w:rPr>
        <w:t> </w:t>
      </w:r>
      <w:r>
        <w:rPr>
          <w:color w:val="231F20"/>
        </w:rPr>
        <w:t>y comparten su vida cotidiana en un entorno</w:t>
      </w:r>
      <w:r>
        <w:rPr>
          <w:color w:val="231F20"/>
          <w:spacing w:val="-5"/>
        </w:rPr>
        <w:t> </w:t>
      </w:r>
      <w:r>
        <w:rPr>
          <w:color w:val="231F20"/>
        </w:rPr>
        <w:t>global.</w:t>
      </w:r>
    </w:p>
    <w:p>
      <w:pPr>
        <w:pStyle w:val="BodyText"/>
        <w:spacing w:line="247" w:lineRule="auto"/>
        <w:ind w:left="117" w:right="114" w:firstLine="283"/>
        <w:jc w:val="both"/>
      </w:pPr>
      <w:r>
        <w:rPr>
          <w:color w:val="231F20"/>
        </w:rPr>
        <w:t>En lo micro, la permanencia en destino del padre o de la madre y la presencia en origen de los hijos e hijas —niños, niñas y adolescentes— al cuidado de otros parientes y no parientes, demanda un cambio en la con- cepción tradicional que une familia y hogar; no obstante los cambios en la realidad familiar, en los imaginarios prevalece una concepción de fami- lia tradicional junto con discursos estigmatizantes anclados en una </w:t>
      </w:r>
      <w:r>
        <w:rPr>
          <w:color w:val="231F20"/>
          <w:spacing w:val="12"/>
        </w:rPr>
        <w:t> </w:t>
      </w:r>
      <w:r>
        <w:rPr>
          <w:color w:val="231F20"/>
        </w:rPr>
        <w:t>idílica</w:t>
      </w:r>
    </w:p>
    <w:p>
      <w:pPr>
        <w:spacing w:after="0" w:line="247" w:lineRule="auto"/>
        <w:jc w:val="both"/>
        <w:sectPr>
          <w:pgSz w:w="9360" w:h="13040"/>
          <w:pgMar w:header="0" w:footer="496" w:top="800" w:bottom="680" w:left="1300" w:right="1300"/>
        </w:sectPr>
      </w:pPr>
    </w:p>
    <w:p>
      <w:pPr>
        <w:spacing w:before="45"/>
        <w:ind w:left="71" w:right="115" w:firstLine="0"/>
        <w:jc w:val="right"/>
        <w:rPr>
          <w:rFonts w:ascii="Arial" w:hAnsi="Arial"/>
          <w:sz w:val="20"/>
        </w:rPr>
      </w:pPr>
      <w:r>
        <w:rPr>
          <w:rFonts w:ascii="Arial" w:hAnsi="Arial"/>
          <w:color w:val="231F20"/>
          <w:w w:val="74"/>
          <w:sz w:val="20"/>
        </w:rPr>
        <w:t>Familias</w:t>
      </w:r>
      <w:r>
        <w:rPr>
          <w:rFonts w:ascii="Arial" w:hAnsi="Arial"/>
          <w:color w:val="231F20"/>
          <w:spacing w:val="-1"/>
          <w:sz w:val="20"/>
        </w:rPr>
        <w:t> </w:t>
      </w:r>
      <w:r>
        <w:rPr>
          <w:rFonts w:ascii="Arial" w:hAnsi="Arial"/>
          <w:color w:val="231F20"/>
          <w:spacing w:val="-1"/>
          <w:w w:val="72"/>
          <w:sz w:val="20"/>
        </w:rPr>
        <w:t>transnacionale</w:t>
      </w:r>
      <w:r>
        <w:rPr>
          <w:rFonts w:ascii="Arial" w:hAnsi="Arial"/>
          <w:color w:val="231F20"/>
          <w:w w:val="72"/>
          <w:sz w:val="20"/>
        </w:rPr>
        <w:t>s</w:t>
      </w:r>
      <w:r>
        <w:rPr>
          <w:rFonts w:ascii="Arial" w:hAnsi="Arial"/>
          <w:color w:val="231F20"/>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1"/>
          <w:sz w:val="20"/>
        </w:rPr>
        <w:t>Colombia</w:t>
      </w:r>
      <w:r>
        <w:rPr>
          <w:rFonts w:ascii="Arial" w:hAnsi="Arial"/>
          <w:color w:val="231F20"/>
          <w:spacing w:val="-1"/>
          <w:sz w:val="20"/>
        </w:rPr>
        <w:t> </w:t>
      </w:r>
      <w:r>
        <w:rPr>
          <w:rFonts w:ascii="Arial" w:hAnsi="Arial"/>
          <w:color w:val="231F20"/>
          <w:spacing w:val="-1"/>
          <w:w w:val="99"/>
          <w:sz w:val="20"/>
        </w:rPr>
        <w:t>/</w:t>
      </w:r>
      <w:r>
        <w:rPr>
          <w:rFonts w:ascii="Arial" w:hAnsi="Arial"/>
          <w:color w:val="231F20"/>
          <w:w w:val="48"/>
          <w:sz w:val="20"/>
        </w:rPr>
        <w:t>Luz</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50"/>
          <w:sz w:val="20"/>
        </w:rPr>
        <w:t>López-Montaño</w:t>
      </w:r>
    </w:p>
    <w:p>
      <w:pPr>
        <w:pStyle w:val="BodyText"/>
        <w:spacing w:before="7"/>
        <w:rPr>
          <w:rFonts w:ascii="Arial"/>
          <w:sz w:val="28"/>
        </w:rPr>
      </w:pPr>
    </w:p>
    <w:p>
      <w:pPr>
        <w:pStyle w:val="BodyText"/>
        <w:spacing w:line="247" w:lineRule="auto"/>
        <w:ind w:right="114"/>
        <w:jc w:val="right"/>
      </w:pPr>
      <w:r>
        <w:rPr>
          <w:color w:val="231F20"/>
        </w:rPr>
        <w:t>organización familiar nuclear donde la copresencia y la corresidencia se generaliza al óptimo desarrollo humano —se asocia la situación migratoria familiar, se hace con casos de orfandad, abandono, drogadicción, deser- ción escolar y prostitución donde participan niños, niñas o adolescentes—. En realidad, en palabras de Beck, la familia tradicional —nuclear— no desaparece ni se desvanece, pero es evidente que pierde el monopolio que tenía (Beck, 2003) como señalan Robles y Pérez (2012), la típica familia nuclear abrió sus puertas y las relaciones se han transformado en su flujo,</w:t>
      </w:r>
    </w:p>
    <w:p>
      <w:pPr>
        <w:pStyle w:val="BodyText"/>
        <w:spacing w:line="253" w:lineRule="exact"/>
        <w:ind w:left="117"/>
        <w:jc w:val="both"/>
      </w:pPr>
      <w:r>
        <w:rPr>
          <w:color w:val="231F20"/>
        </w:rPr>
        <w:t>dinamismo y duración.</w:t>
      </w:r>
    </w:p>
    <w:p>
      <w:pPr>
        <w:pStyle w:val="BodyText"/>
        <w:spacing w:line="247" w:lineRule="auto" w:before="7"/>
        <w:ind w:left="117" w:right="114" w:firstLine="283"/>
        <w:jc w:val="both"/>
      </w:pPr>
      <w:r>
        <w:rPr>
          <w:color w:val="231F20"/>
        </w:rPr>
        <w:t>Un padre o una madre con aspiración de migrar, anticipa una</w:t>
      </w:r>
      <w:r>
        <w:rPr>
          <w:color w:val="231F20"/>
          <w:spacing w:val="-37"/>
        </w:rPr>
        <w:t> </w:t>
      </w:r>
      <w:r>
        <w:rPr>
          <w:color w:val="231F20"/>
        </w:rPr>
        <w:t>estrategia de ubicación de sus hijos o hijas dependientes para ser cuidados, por lo general sin su consentimiento, con la expectativa de que lleven una buena vida durante su ausencia. El cuidado está asociado a la transferencia de la red informal de apoyo donde participan en su mayoría parientes adultas que</w:t>
      </w:r>
      <w:r>
        <w:rPr>
          <w:color w:val="231F20"/>
          <w:spacing w:val="-7"/>
        </w:rPr>
        <w:t> </w:t>
      </w:r>
      <w:r>
        <w:rPr>
          <w:color w:val="231F20"/>
        </w:rPr>
        <w:t>actúan.</w:t>
      </w:r>
      <w:r>
        <w:rPr>
          <w:color w:val="231F20"/>
          <w:spacing w:val="-8"/>
        </w:rPr>
        <w:t> </w:t>
      </w:r>
      <w:r>
        <w:rPr>
          <w:color w:val="231F20"/>
        </w:rPr>
        <w:t>La</w:t>
      </w:r>
      <w:r>
        <w:rPr>
          <w:color w:val="231F20"/>
          <w:spacing w:val="-8"/>
        </w:rPr>
        <w:t> </w:t>
      </w:r>
      <w:r>
        <w:rPr>
          <w:color w:val="231F20"/>
        </w:rPr>
        <w:t>red</w:t>
      </w:r>
      <w:r>
        <w:rPr>
          <w:color w:val="231F20"/>
          <w:spacing w:val="-7"/>
        </w:rPr>
        <w:t> </w:t>
      </w:r>
      <w:r>
        <w:rPr>
          <w:color w:val="231F20"/>
        </w:rPr>
        <w:t>de</w:t>
      </w:r>
      <w:r>
        <w:rPr>
          <w:color w:val="231F20"/>
          <w:spacing w:val="-7"/>
        </w:rPr>
        <w:t> </w:t>
      </w:r>
      <w:r>
        <w:rPr>
          <w:color w:val="231F20"/>
        </w:rPr>
        <w:t>apoyo</w:t>
      </w:r>
      <w:r>
        <w:rPr>
          <w:color w:val="231F20"/>
          <w:spacing w:val="-8"/>
        </w:rPr>
        <w:t> </w:t>
      </w:r>
      <w:r>
        <w:rPr>
          <w:color w:val="231F20"/>
        </w:rPr>
        <w:t>parental</w:t>
      </w:r>
      <w:r>
        <w:rPr>
          <w:color w:val="231F20"/>
          <w:spacing w:val="-7"/>
        </w:rPr>
        <w:t> </w:t>
      </w:r>
      <w:r>
        <w:rPr>
          <w:color w:val="231F20"/>
        </w:rPr>
        <w:t>es</w:t>
      </w:r>
      <w:r>
        <w:rPr>
          <w:color w:val="231F20"/>
          <w:spacing w:val="-7"/>
        </w:rPr>
        <w:t> </w:t>
      </w:r>
      <w:r>
        <w:rPr>
          <w:color w:val="231F20"/>
        </w:rPr>
        <w:t>activa</w:t>
      </w:r>
      <w:r>
        <w:rPr>
          <w:color w:val="231F20"/>
          <w:spacing w:val="-8"/>
        </w:rPr>
        <w:t> </w:t>
      </w:r>
      <w:r>
        <w:rPr>
          <w:color w:val="231F20"/>
        </w:rPr>
        <w:t>antes</w:t>
      </w:r>
      <w:r>
        <w:rPr>
          <w:color w:val="231F20"/>
          <w:spacing w:val="-8"/>
        </w:rPr>
        <w:t> </w:t>
      </w:r>
      <w:r>
        <w:rPr>
          <w:color w:val="231F20"/>
        </w:rPr>
        <w:t>o</w:t>
      </w:r>
      <w:r>
        <w:rPr>
          <w:color w:val="231F20"/>
          <w:spacing w:val="-7"/>
        </w:rPr>
        <w:t> </w:t>
      </w:r>
      <w:r>
        <w:rPr>
          <w:color w:val="231F20"/>
        </w:rPr>
        <w:t>después</w:t>
      </w:r>
      <w:r>
        <w:rPr>
          <w:color w:val="231F20"/>
          <w:spacing w:val="-7"/>
        </w:rPr>
        <w:t> </w:t>
      </w:r>
      <w:r>
        <w:rPr>
          <w:color w:val="231F20"/>
        </w:rPr>
        <w:t>de</w:t>
      </w:r>
      <w:r>
        <w:rPr>
          <w:color w:val="231F20"/>
          <w:spacing w:val="-7"/>
        </w:rPr>
        <w:t> </w:t>
      </w:r>
      <w:r>
        <w:rPr>
          <w:color w:val="231F20"/>
        </w:rPr>
        <w:t>la</w:t>
      </w:r>
      <w:r>
        <w:rPr>
          <w:color w:val="231F20"/>
          <w:spacing w:val="-8"/>
        </w:rPr>
        <w:t> </w:t>
      </w:r>
      <w:r>
        <w:rPr>
          <w:color w:val="231F20"/>
        </w:rPr>
        <w:t>migra- ción,</w:t>
      </w:r>
      <w:r>
        <w:rPr>
          <w:color w:val="231F20"/>
          <w:spacing w:val="-5"/>
        </w:rPr>
        <w:t> </w:t>
      </w:r>
      <w:r>
        <w:rPr>
          <w:color w:val="231F20"/>
        </w:rPr>
        <w:t>bien</w:t>
      </w:r>
      <w:r>
        <w:rPr>
          <w:color w:val="231F20"/>
          <w:spacing w:val="-5"/>
        </w:rPr>
        <w:t> </w:t>
      </w:r>
      <w:r>
        <w:rPr>
          <w:color w:val="231F20"/>
        </w:rPr>
        <w:t>porque</w:t>
      </w:r>
      <w:r>
        <w:rPr>
          <w:color w:val="231F20"/>
          <w:spacing w:val="-5"/>
        </w:rPr>
        <w:t> </w:t>
      </w:r>
      <w:r>
        <w:rPr>
          <w:color w:val="231F20"/>
        </w:rPr>
        <w:t>el</w:t>
      </w:r>
      <w:r>
        <w:rPr>
          <w:color w:val="231F20"/>
          <w:spacing w:val="-5"/>
        </w:rPr>
        <w:t> </w:t>
      </w:r>
      <w:r>
        <w:rPr>
          <w:color w:val="231F20"/>
        </w:rPr>
        <w:t>cuidado</w:t>
      </w:r>
      <w:r>
        <w:rPr>
          <w:color w:val="231F20"/>
          <w:spacing w:val="-5"/>
        </w:rPr>
        <w:t> </w:t>
      </w:r>
      <w:r>
        <w:rPr>
          <w:color w:val="231F20"/>
        </w:rPr>
        <w:t>se</w:t>
      </w:r>
      <w:r>
        <w:rPr>
          <w:color w:val="231F20"/>
          <w:spacing w:val="-5"/>
        </w:rPr>
        <w:t> </w:t>
      </w:r>
      <w:r>
        <w:rPr>
          <w:color w:val="231F20"/>
        </w:rPr>
        <w:t>entiende</w:t>
      </w:r>
      <w:r>
        <w:rPr>
          <w:color w:val="231F20"/>
          <w:spacing w:val="-5"/>
        </w:rPr>
        <w:t> </w:t>
      </w:r>
      <w:r>
        <w:rPr>
          <w:color w:val="231F20"/>
        </w:rPr>
        <w:t>como</w:t>
      </w:r>
      <w:r>
        <w:rPr>
          <w:color w:val="231F20"/>
          <w:spacing w:val="-5"/>
        </w:rPr>
        <w:t> </w:t>
      </w:r>
      <w:r>
        <w:rPr>
          <w:color w:val="231F20"/>
        </w:rPr>
        <w:t>obligación,</w:t>
      </w:r>
      <w:r>
        <w:rPr>
          <w:color w:val="231F20"/>
          <w:spacing w:val="-5"/>
        </w:rPr>
        <w:t> </w:t>
      </w:r>
      <w:r>
        <w:rPr>
          <w:color w:val="231F20"/>
        </w:rPr>
        <w:t>lo</w:t>
      </w:r>
      <w:r>
        <w:rPr>
          <w:color w:val="231F20"/>
          <w:spacing w:val="-5"/>
        </w:rPr>
        <w:t> </w:t>
      </w:r>
      <w:r>
        <w:rPr>
          <w:color w:val="231F20"/>
        </w:rPr>
        <w:t>cual</w:t>
      </w:r>
      <w:r>
        <w:rPr>
          <w:color w:val="231F20"/>
          <w:spacing w:val="-5"/>
        </w:rPr>
        <w:t> </w:t>
      </w:r>
      <w:r>
        <w:rPr>
          <w:color w:val="231F20"/>
        </w:rPr>
        <w:t>configu- raría una imposición o porque el cuidado atiende a la corresponsabilidad, entre el padre o madre migrante y quienes asumen el</w:t>
      </w:r>
      <w:r>
        <w:rPr>
          <w:color w:val="231F20"/>
          <w:spacing w:val="-4"/>
        </w:rPr>
        <w:t> </w:t>
      </w:r>
      <w:r>
        <w:rPr>
          <w:color w:val="231F20"/>
        </w:rPr>
        <w:t>cuidado.</w:t>
      </w:r>
    </w:p>
    <w:p>
      <w:pPr>
        <w:pStyle w:val="BodyText"/>
        <w:spacing w:line="247" w:lineRule="auto"/>
        <w:ind w:left="117" w:right="114" w:firstLine="283"/>
        <w:jc w:val="both"/>
      </w:pPr>
      <w:r>
        <w:rPr>
          <w:color w:val="231F20"/>
        </w:rPr>
        <w:t>En las familias, el tiempo transcurrido durante la migración va desde uno</w:t>
      </w:r>
      <w:r>
        <w:rPr>
          <w:color w:val="231F20"/>
          <w:spacing w:val="-11"/>
        </w:rPr>
        <w:t> </w:t>
      </w:r>
      <w:r>
        <w:rPr>
          <w:color w:val="231F20"/>
        </w:rPr>
        <w:t>hasta</w:t>
      </w:r>
      <w:r>
        <w:rPr>
          <w:color w:val="231F20"/>
          <w:spacing w:val="-11"/>
        </w:rPr>
        <w:t> </w:t>
      </w:r>
      <w:r>
        <w:rPr>
          <w:color w:val="231F20"/>
        </w:rPr>
        <w:t>catorce</w:t>
      </w:r>
      <w:r>
        <w:rPr>
          <w:color w:val="231F20"/>
          <w:spacing w:val="-12"/>
        </w:rPr>
        <w:t> </w:t>
      </w:r>
      <w:r>
        <w:rPr>
          <w:color w:val="231F20"/>
        </w:rPr>
        <w:t>años,</w:t>
      </w:r>
      <w:r>
        <w:rPr>
          <w:color w:val="231F20"/>
          <w:spacing w:val="-12"/>
        </w:rPr>
        <w:t> </w:t>
      </w:r>
      <w:r>
        <w:rPr>
          <w:color w:val="231F20"/>
        </w:rPr>
        <w:t>observándose</w:t>
      </w:r>
      <w:r>
        <w:rPr>
          <w:color w:val="231F20"/>
          <w:spacing w:val="-11"/>
        </w:rPr>
        <w:t> </w:t>
      </w:r>
      <w:r>
        <w:rPr>
          <w:color w:val="231F20"/>
        </w:rPr>
        <w:t>que</w:t>
      </w:r>
      <w:r>
        <w:rPr>
          <w:color w:val="231F20"/>
          <w:spacing w:val="-11"/>
        </w:rPr>
        <w:t> </w:t>
      </w:r>
      <w:r>
        <w:rPr>
          <w:color w:val="231F20"/>
        </w:rPr>
        <w:t>los</w:t>
      </w:r>
      <w:r>
        <w:rPr>
          <w:color w:val="231F20"/>
          <w:spacing w:val="-11"/>
        </w:rPr>
        <w:t> </w:t>
      </w:r>
      <w:r>
        <w:rPr>
          <w:color w:val="231F20"/>
        </w:rPr>
        <w:t>menores</w:t>
      </w:r>
      <w:r>
        <w:rPr>
          <w:color w:val="231F20"/>
          <w:spacing w:val="-12"/>
        </w:rPr>
        <w:t> </w:t>
      </w:r>
      <w:r>
        <w:rPr>
          <w:color w:val="231F20"/>
        </w:rPr>
        <w:t>desarrollan</w:t>
      </w:r>
      <w:r>
        <w:rPr>
          <w:color w:val="231F20"/>
          <w:spacing w:val="-11"/>
        </w:rPr>
        <w:t> </w:t>
      </w:r>
      <w:r>
        <w:rPr>
          <w:color w:val="231F20"/>
        </w:rPr>
        <w:t>una</w:t>
      </w:r>
      <w:r>
        <w:rPr>
          <w:color w:val="231F20"/>
          <w:spacing w:val="-11"/>
        </w:rPr>
        <w:t> </w:t>
      </w:r>
      <w:r>
        <w:rPr>
          <w:color w:val="231F20"/>
        </w:rPr>
        <w:t>con- ciencia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ausencia</w:t>
      </w:r>
      <w:r>
        <w:rPr>
          <w:color w:val="231F20"/>
          <w:spacing w:val="-12"/>
        </w:rPr>
        <w:t> </w:t>
      </w:r>
      <w:r>
        <w:rPr>
          <w:color w:val="231F20"/>
        </w:rPr>
        <w:t>cuando</w:t>
      </w:r>
      <w:r>
        <w:rPr>
          <w:color w:val="231F20"/>
          <w:spacing w:val="-12"/>
        </w:rPr>
        <w:t> </w:t>
      </w:r>
      <w:r>
        <w:rPr>
          <w:color w:val="231F20"/>
        </w:rPr>
        <w:t>han</w:t>
      </w:r>
      <w:r>
        <w:rPr>
          <w:color w:val="231F20"/>
          <w:spacing w:val="-12"/>
        </w:rPr>
        <w:t> </w:t>
      </w:r>
      <w:r>
        <w:rPr>
          <w:color w:val="231F20"/>
        </w:rPr>
        <w:t>pasado</w:t>
      </w:r>
      <w:r>
        <w:rPr>
          <w:color w:val="231F20"/>
          <w:spacing w:val="-12"/>
        </w:rPr>
        <w:t> </w:t>
      </w:r>
      <w:r>
        <w:rPr>
          <w:color w:val="231F20"/>
        </w:rPr>
        <w:t>o</w:t>
      </w:r>
      <w:r>
        <w:rPr>
          <w:color w:val="231F20"/>
          <w:spacing w:val="-11"/>
        </w:rPr>
        <w:t> </w:t>
      </w:r>
      <w:r>
        <w:rPr>
          <w:color w:val="231F20"/>
        </w:rPr>
        <w:t>se</w:t>
      </w:r>
      <w:r>
        <w:rPr>
          <w:color w:val="231F20"/>
          <w:spacing w:val="-12"/>
        </w:rPr>
        <w:t> </w:t>
      </w:r>
      <w:r>
        <w:rPr>
          <w:color w:val="231F20"/>
        </w:rPr>
        <w:t>aproximan</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adolescencia, es decir, entre los doce y los dieciocho</w:t>
      </w:r>
      <w:r>
        <w:rPr>
          <w:color w:val="231F20"/>
          <w:spacing w:val="-13"/>
        </w:rPr>
        <w:t> </w:t>
      </w:r>
      <w:r>
        <w:rPr>
          <w:color w:val="231F20"/>
        </w:rPr>
        <w:t>años.</w:t>
      </w:r>
    </w:p>
    <w:p>
      <w:pPr>
        <w:spacing w:before="149"/>
        <w:ind w:left="117" w:right="0" w:firstLine="0"/>
        <w:jc w:val="both"/>
        <w:rPr>
          <w:i/>
          <w:sz w:val="22"/>
        </w:rPr>
      </w:pPr>
      <w:r>
        <w:rPr>
          <w:i/>
          <w:color w:val="231F20"/>
          <w:sz w:val="22"/>
        </w:rPr>
        <w:t>Transnacionalidad/transnacionalismo y familia transnacional</w:t>
      </w:r>
    </w:p>
    <w:p>
      <w:pPr>
        <w:pStyle w:val="BodyText"/>
        <w:spacing w:line="247" w:lineRule="auto" w:before="177"/>
        <w:ind w:left="117" w:right="115"/>
        <w:jc w:val="both"/>
      </w:pPr>
      <w:r>
        <w:rPr>
          <w:color w:val="231F20"/>
        </w:rPr>
        <w:t>En el “mosaico teórico contemporáneo” (Arango, 2003) la nueva Econo- mía de la Migración, la teoría de redes migratorias (Massey </w:t>
      </w:r>
      <w:r>
        <w:rPr>
          <w:i/>
          <w:color w:val="231F20"/>
        </w:rPr>
        <w:t>et al</w:t>
      </w:r>
      <w:r>
        <w:rPr>
          <w:color w:val="231F20"/>
        </w:rPr>
        <w:t>., 2000; Pedone, 2006), la perspectiva construccionista de familia (Gubrium y Holstein, 1990) y el enfoque transnacional de familia, en proceso de</w:t>
      </w:r>
      <w:r>
        <w:rPr>
          <w:color w:val="231F20"/>
          <w:spacing w:val="-22"/>
        </w:rPr>
        <w:t> </w:t>
      </w:r>
      <w:r>
        <w:rPr>
          <w:color w:val="231F20"/>
        </w:rPr>
        <w:t>cons- trucción, son enfoques que contribuyen a la conceptualización y clarifica- ción conceptual de familia transnacional y familia en situación de</w:t>
      </w:r>
      <w:r>
        <w:rPr>
          <w:color w:val="231F20"/>
          <w:spacing w:val="-30"/>
        </w:rPr>
        <w:t> </w:t>
      </w:r>
      <w:r>
        <w:rPr>
          <w:color w:val="231F20"/>
        </w:rPr>
        <w:t>transna- cionalidad, algunos de estos son el soporte de este</w:t>
      </w:r>
      <w:r>
        <w:rPr>
          <w:color w:val="231F20"/>
          <w:spacing w:val="-12"/>
        </w:rPr>
        <w:t> </w:t>
      </w:r>
      <w:r>
        <w:rPr>
          <w:color w:val="231F20"/>
        </w:rPr>
        <w:t>artículo.</w:t>
      </w:r>
    </w:p>
    <w:p>
      <w:pPr>
        <w:pStyle w:val="BodyText"/>
        <w:spacing w:line="247" w:lineRule="auto"/>
        <w:ind w:left="117" w:right="115" w:firstLine="283"/>
        <w:jc w:val="both"/>
      </w:pPr>
      <w:r>
        <w:rPr>
          <w:color w:val="231F20"/>
        </w:rPr>
        <w:t>Los investigadores han utilizado el término </w:t>
      </w:r>
      <w:r>
        <w:rPr>
          <w:i/>
          <w:color w:val="231F20"/>
        </w:rPr>
        <w:t>transnacionalismo </w:t>
      </w:r>
      <w:r>
        <w:rPr>
          <w:color w:val="231F20"/>
        </w:rPr>
        <w:t>para describir muchos fenómenos asociados a la movilidad, prácticas, discur- sos, etc. y con múltiples propósitos (Kasun, 2012: 51). Una característi- ca de la perspectiva transnacional es que involucra la migración como un proceso social realizado por personas con historias, sentimientos, emocio- nes, quienes llevan consigo sus múltiples vínculos principalmente con sus familiares, conformando un sistema interconectado. Algunos teóricos del transnacionalismo: Guarnizo (2004), Glick-Schiller </w:t>
      </w:r>
      <w:r>
        <w:rPr>
          <w:i/>
          <w:color w:val="231F20"/>
        </w:rPr>
        <w:t>et al</w:t>
      </w:r>
      <w:r>
        <w:rPr>
          <w:color w:val="231F20"/>
        </w:rPr>
        <w:t>.</w:t>
      </w:r>
      <w:r>
        <w:rPr>
          <w:color w:val="231F20"/>
          <w:spacing w:val="-2"/>
        </w:rPr>
        <w:t> </w:t>
      </w:r>
      <w:r>
        <w:rPr>
          <w:color w:val="231F20"/>
        </w:rPr>
        <w:t>(1992).</w:t>
      </w:r>
    </w:p>
    <w:p>
      <w:pPr>
        <w:spacing w:after="0" w:line="247" w:lineRule="auto"/>
        <w:jc w:val="both"/>
        <w:sectPr>
          <w:pgSz w:w="9360" w:h="13040"/>
          <w:pgMar w:header="0" w:footer="496" w:top="740" w:bottom="680" w:left="1300" w:right="1300"/>
        </w:sectPr>
      </w:pPr>
    </w:p>
    <w:p>
      <w:pPr>
        <w:tabs>
          <w:tab w:pos="5536" w:val="left" w:leader="none"/>
        </w:tabs>
        <w:spacing w:before="48"/>
        <w:ind w:left="400" w:right="0" w:hanging="261"/>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firstLine="283"/>
        <w:jc w:val="both"/>
      </w:pPr>
      <w:r>
        <w:rPr>
          <w:color w:val="231F20"/>
        </w:rPr>
        <w:t>El transnacionalismo se entiende como las prácticas sociales inheren- temente ilimitadas en el mundo y su situación entre las estructuras de po- der que se rigen por estas prácticas, refiere que el transnacionalismo se ha utilizado para describir a las personas que se desplazan entre países y los fenómenos</w:t>
      </w:r>
      <w:r>
        <w:rPr>
          <w:color w:val="231F20"/>
          <w:spacing w:val="-7"/>
        </w:rPr>
        <w:t> </w:t>
      </w:r>
      <w:r>
        <w:rPr>
          <w:color w:val="231F20"/>
        </w:rPr>
        <w:t>asociados</w:t>
      </w:r>
      <w:r>
        <w:rPr>
          <w:color w:val="231F20"/>
          <w:spacing w:val="-7"/>
        </w:rPr>
        <w:t> </w:t>
      </w:r>
      <w:r>
        <w:rPr>
          <w:color w:val="231F20"/>
        </w:rPr>
        <w:t>al</w:t>
      </w:r>
      <w:r>
        <w:rPr>
          <w:color w:val="231F20"/>
          <w:spacing w:val="-7"/>
        </w:rPr>
        <w:t> </w:t>
      </w:r>
      <w:r>
        <w:rPr>
          <w:color w:val="231F20"/>
        </w:rPr>
        <w:t>aumento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circulación</w:t>
      </w:r>
      <w:r>
        <w:rPr>
          <w:color w:val="231F20"/>
          <w:spacing w:val="-7"/>
        </w:rPr>
        <w:t> </w:t>
      </w:r>
      <w:r>
        <w:rPr>
          <w:color w:val="231F20"/>
        </w:rPr>
        <w:t>de</w:t>
      </w:r>
      <w:r>
        <w:rPr>
          <w:color w:val="231F20"/>
          <w:spacing w:val="-7"/>
        </w:rPr>
        <w:t> </w:t>
      </w:r>
      <w:r>
        <w:rPr>
          <w:color w:val="231F20"/>
        </w:rPr>
        <w:t>bienes</w:t>
      </w:r>
      <w:r>
        <w:rPr>
          <w:color w:val="231F20"/>
          <w:spacing w:val="-7"/>
        </w:rPr>
        <w:t> </w:t>
      </w:r>
      <w:r>
        <w:rPr>
          <w:color w:val="231F20"/>
        </w:rPr>
        <w:t>e</w:t>
      </w:r>
      <w:r>
        <w:rPr>
          <w:color w:val="231F20"/>
          <w:spacing w:val="-7"/>
        </w:rPr>
        <w:t> </w:t>
      </w:r>
      <w:r>
        <w:rPr>
          <w:color w:val="231F20"/>
        </w:rPr>
        <w:t>información (Basch </w:t>
      </w:r>
      <w:r>
        <w:rPr>
          <w:i/>
          <w:color w:val="231F20"/>
        </w:rPr>
        <w:t>et al</w:t>
      </w:r>
      <w:r>
        <w:rPr>
          <w:color w:val="231F20"/>
        </w:rPr>
        <w:t>., 1994; Pantoja, 2005; Portes </w:t>
      </w:r>
      <w:r>
        <w:rPr>
          <w:i/>
          <w:color w:val="231F20"/>
        </w:rPr>
        <w:t>et al</w:t>
      </w:r>
      <w:r>
        <w:rPr>
          <w:color w:val="231F20"/>
        </w:rPr>
        <w:t>., 2003; citados por Kasun, 2012: 51).</w:t>
      </w:r>
    </w:p>
    <w:p>
      <w:pPr>
        <w:pStyle w:val="BodyText"/>
        <w:spacing w:line="247" w:lineRule="auto"/>
        <w:ind w:left="117" w:right="115" w:firstLine="283"/>
        <w:jc w:val="both"/>
      </w:pPr>
      <w:r>
        <w:rPr>
          <w:color w:val="231F20"/>
        </w:rPr>
        <w:t>En la creciente indagación por la globalización y los intercambios que propician la movilidad humana, la familia emerge con fuerza en la inves- tigación de lo transnacional. Autores en diversas latitudes, como La Spina (2008),</w:t>
      </w:r>
      <w:r>
        <w:rPr>
          <w:color w:val="231F20"/>
          <w:spacing w:val="-8"/>
        </w:rPr>
        <w:t> </w:t>
      </w:r>
      <w:r>
        <w:rPr>
          <w:color w:val="231F20"/>
        </w:rPr>
        <w:t>Levitt</w:t>
      </w:r>
      <w:r>
        <w:rPr>
          <w:color w:val="231F20"/>
          <w:spacing w:val="-8"/>
        </w:rPr>
        <w:t> </w:t>
      </w:r>
      <w:r>
        <w:rPr>
          <w:color w:val="231F20"/>
        </w:rPr>
        <w:t>y</w:t>
      </w:r>
      <w:r>
        <w:rPr>
          <w:color w:val="231F20"/>
          <w:spacing w:val="-8"/>
        </w:rPr>
        <w:t> </w:t>
      </w:r>
      <w:r>
        <w:rPr>
          <w:color w:val="231F20"/>
        </w:rPr>
        <w:t>Glick</w:t>
      </w:r>
      <w:r>
        <w:rPr>
          <w:color w:val="231F20"/>
          <w:spacing w:val="-8"/>
        </w:rPr>
        <w:t> </w:t>
      </w:r>
      <w:r>
        <w:rPr>
          <w:color w:val="231F20"/>
        </w:rPr>
        <w:t>(2004),</w:t>
      </w:r>
      <w:r>
        <w:rPr>
          <w:color w:val="231F20"/>
          <w:spacing w:val="-8"/>
        </w:rPr>
        <w:t> </w:t>
      </w:r>
      <w:r>
        <w:rPr>
          <w:color w:val="231F20"/>
        </w:rPr>
        <w:t>Pessar</w:t>
      </w:r>
      <w:r>
        <w:rPr>
          <w:color w:val="231F20"/>
          <w:spacing w:val="-8"/>
        </w:rPr>
        <w:t> </w:t>
      </w:r>
      <w:r>
        <w:rPr>
          <w:color w:val="231F20"/>
        </w:rPr>
        <w:t>y</w:t>
      </w:r>
      <w:r>
        <w:rPr>
          <w:color w:val="231F20"/>
          <w:spacing w:val="-8"/>
        </w:rPr>
        <w:t> </w:t>
      </w:r>
      <w:r>
        <w:rPr>
          <w:color w:val="231F20"/>
        </w:rPr>
        <w:t>Mahler</w:t>
      </w:r>
      <w:r>
        <w:rPr>
          <w:color w:val="231F20"/>
          <w:spacing w:val="-8"/>
        </w:rPr>
        <w:t> </w:t>
      </w:r>
      <w:r>
        <w:rPr>
          <w:color w:val="231F20"/>
        </w:rPr>
        <w:t>(2001),</w:t>
      </w:r>
      <w:r>
        <w:rPr>
          <w:color w:val="231F20"/>
          <w:spacing w:val="-8"/>
        </w:rPr>
        <w:t> </w:t>
      </w:r>
      <w:r>
        <w:rPr>
          <w:color w:val="231F20"/>
        </w:rPr>
        <w:t>Medina</w:t>
      </w:r>
      <w:r>
        <w:rPr>
          <w:color w:val="231F20"/>
          <w:spacing w:val="-8"/>
        </w:rPr>
        <w:t> </w:t>
      </w:r>
      <w:r>
        <w:rPr>
          <w:color w:val="231F20"/>
        </w:rPr>
        <w:t>(2009),</w:t>
      </w:r>
      <w:r>
        <w:rPr>
          <w:color w:val="231F20"/>
          <w:spacing w:val="-8"/>
        </w:rPr>
        <w:t> </w:t>
      </w:r>
      <w:r>
        <w:rPr>
          <w:color w:val="231F20"/>
        </w:rPr>
        <w:t>Ló-</w:t>
      </w:r>
    </w:p>
    <w:p>
      <w:pPr>
        <w:pStyle w:val="BodyText"/>
        <w:spacing w:line="253" w:lineRule="exact"/>
        <w:ind w:left="117"/>
        <w:jc w:val="both"/>
      </w:pPr>
      <w:r>
        <w:rPr>
          <w:color w:val="231F20"/>
        </w:rPr>
        <w:t>pez (2009), Parella (2007), Sorensen (2007), Martín y Felipe (2006), Pedo-</w:t>
      </w:r>
    </w:p>
    <w:p>
      <w:pPr>
        <w:pStyle w:val="BodyText"/>
        <w:spacing w:before="7"/>
        <w:ind w:left="117"/>
        <w:jc w:val="both"/>
      </w:pPr>
      <w:r>
        <w:rPr>
          <w:color w:val="231F20"/>
        </w:rPr>
        <w:t>ne (2006), Le Gall (2005), Appadurai (2003), Bryceson y Vuorela (2002),</w:t>
      </w:r>
    </w:p>
    <w:p>
      <w:pPr>
        <w:pStyle w:val="BodyText"/>
        <w:spacing w:line="247" w:lineRule="auto" w:before="7"/>
        <w:ind w:left="117" w:right="115"/>
        <w:jc w:val="both"/>
      </w:pPr>
      <w:r>
        <w:rPr>
          <w:color w:val="231F20"/>
        </w:rPr>
        <w:t>Ariza (2002), Faist (2000), Guarnizo (1997), Glick </w:t>
      </w:r>
      <w:r>
        <w:rPr>
          <w:i/>
          <w:color w:val="231F20"/>
        </w:rPr>
        <w:t>et al</w:t>
      </w:r>
      <w:r>
        <w:rPr>
          <w:color w:val="231F20"/>
        </w:rPr>
        <w:t>. (1992), son sólo algunos de quienes en tiempo reciente y desde diversos países aportan a</w:t>
      </w:r>
      <w:r>
        <w:rPr>
          <w:color w:val="231F20"/>
          <w:spacing w:val="-24"/>
        </w:rPr>
        <w:t> </w:t>
      </w:r>
      <w:r>
        <w:rPr>
          <w:color w:val="231F20"/>
        </w:rPr>
        <w:t>la comprensión de esta realidad de intercambio local-global, familiar, cultu- ral, social,</w:t>
      </w:r>
      <w:r>
        <w:rPr>
          <w:color w:val="231F20"/>
          <w:spacing w:val="-6"/>
        </w:rPr>
        <w:t> </w:t>
      </w:r>
      <w:r>
        <w:rPr>
          <w:color w:val="231F20"/>
        </w:rPr>
        <w:t>político.</w:t>
      </w:r>
    </w:p>
    <w:p>
      <w:pPr>
        <w:pStyle w:val="BodyText"/>
        <w:spacing w:line="247" w:lineRule="auto"/>
        <w:ind w:left="117" w:right="114" w:firstLine="283"/>
        <w:jc w:val="both"/>
      </w:pPr>
      <w:r>
        <w:rPr>
          <w:color w:val="231F20"/>
        </w:rPr>
        <w:t>Glick </w:t>
      </w:r>
      <w:r>
        <w:rPr>
          <w:i/>
          <w:color w:val="231F20"/>
        </w:rPr>
        <w:t>et al. </w:t>
      </w:r>
      <w:r>
        <w:rPr>
          <w:color w:val="231F20"/>
        </w:rPr>
        <w:t>(1992) en la investigación de comunidades centroamerica- nas asentadas en New York empezaron a hacer visible la conservación de los vínculos mediante el envío de dinero, el mantenimiento de tradiciones y rituales, la reciprocidad en la comunicación, las visitas y un sentimiento nostálgico, no obstante la asimilación, adaptación e integración alcanzada en otros países.</w:t>
      </w:r>
    </w:p>
    <w:p>
      <w:pPr>
        <w:pStyle w:val="BodyText"/>
        <w:spacing w:line="247" w:lineRule="auto"/>
        <w:ind w:left="117" w:right="115" w:firstLine="283"/>
        <w:jc w:val="both"/>
      </w:pPr>
      <w:r>
        <w:rPr>
          <w:color w:val="231F20"/>
        </w:rPr>
        <w:t>Es así como emerge la familia en las denominaciones multilocal,</w:t>
      </w:r>
      <w:r>
        <w:rPr>
          <w:color w:val="231F20"/>
          <w:spacing w:val="-35"/>
        </w:rPr>
        <w:t> </w:t>
      </w:r>
      <w:r>
        <w:rPr>
          <w:color w:val="231F20"/>
        </w:rPr>
        <w:t>trans- continental, internacional, multisituada, a distancia (Basch </w:t>
      </w:r>
      <w:r>
        <w:rPr>
          <w:i/>
          <w:color w:val="231F20"/>
        </w:rPr>
        <w:t>et al</w:t>
      </w:r>
      <w:r>
        <w:rPr>
          <w:color w:val="231F20"/>
        </w:rPr>
        <w:t>., 1994 citado en Kasun, 2012: 51; Glick </w:t>
      </w:r>
      <w:r>
        <w:rPr>
          <w:i/>
          <w:color w:val="231F20"/>
        </w:rPr>
        <w:t>et al</w:t>
      </w:r>
      <w:r>
        <w:rPr>
          <w:color w:val="231F20"/>
        </w:rPr>
        <w:t>., 1992; Guarnizo, 2003) familias transnacionales</w:t>
      </w:r>
      <w:r>
        <w:rPr>
          <w:color w:val="231F20"/>
          <w:spacing w:val="-14"/>
        </w:rPr>
        <w:t> </w:t>
      </w:r>
      <w:r>
        <w:rPr>
          <w:color w:val="231F20"/>
        </w:rPr>
        <w:t>(Arriagada</w:t>
      </w:r>
      <w:r>
        <w:rPr>
          <w:color w:val="231F20"/>
          <w:spacing w:val="-13"/>
        </w:rPr>
        <w:t> </w:t>
      </w:r>
      <w:r>
        <w:rPr>
          <w:color w:val="231F20"/>
        </w:rPr>
        <w:t>y</w:t>
      </w:r>
      <w:r>
        <w:rPr>
          <w:color w:val="231F20"/>
          <w:spacing w:val="-24"/>
        </w:rPr>
        <w:t> </w:t>
      </w:r>
      <w:r>
        <w:rPr>
          <w:color w:val="231F20"/>
        </w:rPr>
        <w:t>Aranda,</w:t>
      </w:r>
      <w:r>
        <w:rPr>
          <w:color w:val="231F20"/>
          <w:spacing w:val="-12"/>
        </w:rPr>
        <w:t> </w:t>
      </w:r>
      <w:r>
        <w:rPr>
          <w:color w:val="231F20"/>
        </w:rPr>
        <w:t>2004),</w:t>
      </w:r>
      <w:r>
        <w:rPr>
          <w:color w:val="231F20"/>
          <w:spacing w:val="-13"/>
        </w:rPr>
        <w:t> </w:t>
      </w:r>
      <w:r>
        <w:rPr>
          <w:color w:val="231F20"/>
        </w:rPr>
        <w:t>binacionales</w:t>
      </w:r>
      <w:r>
        <w:rPr>
          <w:color w:val="231F20"/>
          <w:spacing w:val="-13"/>
        </w:rPr>
        <w:t> </w:t>
      </w:r>
      <w:r>
        <w:rPr>
          <w:color w:val="231F20"/>
        </w:rPr>
        <w:t>(….).</w:t>
      </w:r>
      <w:r>
        <w:rPr>
          <w:color w:val="231F20"/>
          <w:spacing w:val="-24"/>
        </w:rPr>
        <w:t> </w:t>
      </w:r>
      <w:r>
        <w:rPr>
          <w:color w:val="231F20"/>
        </w:rPr>
        <w:t>Asimismo, se identifican diversas líneas de análisis mediante las cuales se amplía el panorama discursivo e interpretativo de familia en la teoría</w:t>
      </w:r>
      <w:r>
        <w:rPr>
          <w:color w:val="231F20"/>
          <w:spacing w:val="1"/>
        </w:rPr>
        <w:t> </w:t>
      </w:r>
      <w:r>
        <w:rPr>
          <w:color w:val="231F20"/>
        </w:rPr>
        <w:t>transnacional:</w:t>
      </w:r>
    </w:p>
    <w:p>
      <w:pPr>
        <w:pStyle w:val="ListParagraph"/>
        <w:numPr>
          <w:ilvl w:val="0"/>
          <w:numId w:val="2"/>
        </w:numPr>
        <w:tabs>
          <w:tab w:pos="478" w:val="left" w:leader="none"/>
        </w:tabs>
        <w:spacing w:line="247" w:lineRule="auto" w:before="169" w:after="0"/>
        <w:ind w:left="477" w:right="115" w:hanging="360"/>
        <w:jc w:val="both"/>
        <w:rPr>
          <w:sz w:val="22"/>
        </w:rPr>
      </w:pPr>
      <w:r>
        <w:rPr>
          <w:color w:val="231F20"/>
          <w:sz w:val="22"/>
        </w:rPr>
        <w:t>Una</w:t>
      </w:r>
      <w:r>
        <w:rPr>
          <w:color w:val="231F20"/>
          <w:spacing w:val="-5"/>
          <w:sz w:val="22"/>
        </w:rPr>
        <w:t> </w:t>
      </w:r>
      <w:r>
        <w:rPr>
          <w:color w:val="231F20"/>
          <w:sz w:val="22"/>
        </w:rPr>
        <w:t>comunidad</w:t>
      </w:r>
      <w:r>
        <w:rPr>
          <w:color w:val="231F20"/>
          <w:spacing w:val="-5"/>
          <w:sz w:val="22"/>
        </w:rPr>
        <w:t> </w:t>
      </w:r>
      <w:r>
        <w:rPr>
          <w:color w:val="231F20"/>
          <w:sz w:val="22"/>
        </w:rPr>
        <w:t>imaginada,</w:t>
      </w:r>
      <w:r>
        <w:rPr>
          <w:color w:val="231F20"/>
          <w:spacing w:val="-5"/>
          <w:sz w:val="22"/>
        </w:rPr>
        <w:t> </w:t>
      </w:r>
      <w:r>
        <w:rPr>
          <w:color w:val="231F20"/>
          <w:sz w:val="22"/>
        </w:rPr>
        <w:t>con</w:t>
      </w:r>
      <w:r>
        <w:rPr>
          <w:color w:val="231F20"/>
          <w:spacing w:val="-5"/>
          <w:sz w:val="22"/>
        </w:rPr>
        <w:t> </w:t>
      </w:r>
      <w:r>
        <w:rPr>
          <w:color w:val="231F20"/>
          <w:sz w:val="22"/>
        </w:rPr>
        <w:t>juegos</w:t>
      </w:r>
      <w:r>
        <w:rPr>
          <w:color w:val="231F20"/>
          <w:spacing w:val="-5"/>
          <w:sz w:val="22"/>
        </w:rPr>
        <w:t> </w:t>
      </w:r>
      <w:r>
        <w:rPr>
          <w:color w:val="231F20"/>
          <w:sz w:val="22"/>
        </w:rPr>
        <w:t>de</w:t>
      </w:r>
      <w:r>
        <w:rPr>
          <w:color w:val="231F20"/>
          <w:spacing w:val="-5"/>
          <w:sz w:val="22"/>
        </w:rPr>
        <w:t> </w:t>
      </w:r>
      <w:r>
        <w:rPr>
          <w:color w:val="231F20"/>
          <w:sz w:val="22"/>
        </w:rPr>
        <w:t>poder,</w:t>
      </w:r>
      <w:r>
        <w:rPr>
          <w:color w:val="231F20"/>
          <w:spacing w:val="-5"/>
          <w:sz w:val="22"/>
        </w:rPr>
        <w:t> </w:t>
      </w:r>
      <w:r>
        <w:rPr>
          <w:color w:val="231F20"/>
          <w:sz w:val="22"/>
        </w:rPr>
        <w:t>desigualdad</w:t>
      </w:r>
      <w:r>
        <w:rPr>
          <w:color w:val="231F20"/>
          <w:spacing w:val="-5"/>
          <w:sz w:val="22"/>
        </w:rPr>
        <w:t> </w:t>
      </w:r>
      <w:r>
        <w:rPr>
          <w:color w:val="231F20"/>
          <w:sz w:val="22"/>
        </w:rPr>
        <w:t>y</w:t>
      </w:r>
      <w:r>
        <w:rPr>
          <w:color w:val="231F20"/>
          <w:spacing w:val="-5"/>
          <w:sz w:val="22"/>
        </w:rPr>
        <w:t> </w:t>
      </w:r>
      <w:r>
        <w:rPr>
          <w:color w:val="231F20"/>
          <w:sz w:val="22"/>
        </w:rPr>
        <w:t>discri- minación, cambios en la interacción cotidiana cara a cara y esfuerzo para mantener sus</w:t>
      </w:r>
      <w:r>
        <w:rPr>
          <w:color w:val="231F20"/>
          <w:spacing w:val="-3"/>
          <w:sz w:val="22"/>
        </w:rPr>
        <w:t> </w:t>
      </w:r>
      <w:r>
        <w:rPr>
          <w:color w:val="231F20"/>
          <w:sz w:val="22"/>
        </w:rPr>
        <w:t>vínculos.</w:t>
      </w:r>
    </w:p>
    <w:p>
      <w:pPr>
        <w:pStyle w:val="ListParagraph"/>
        <w:numPr>
          <w:ilvl w:val="0"/>
          <w:numId w:val="2"/>
        </w:numPr>
        <w:tabs>
          <w:tab w:pos="478" w:val="left" w:leader="none"/>
        </w:tabs>
        <w:spacing w:line="247" w:lineRule="auto" w:before="0" w:after="0"/>
        <w:ind w:left="477" w:right="115" w:hanging="360"/>
        <w:jc w:val="both"/>
        <w:rPr>
          <w:sz w:val="22"/>
        </w:rPr>
      </w:pPr>
      <w:r>
        <w:rPr>
          <w:color w:val="231F20"/>
          <w:sz w:val="22"/>
        </w:rPr>
        <w:t>Dispersión, fragmentación, desterritorialización y planes fracturados ante la diversidad y distancia de los espacios que habitan sus</w:t>
      </w:r>
      <w:r>
        <w:rPr>
          <w:color w:val="231F20"/>
          <w:spacing w:val="-37"/>
          <w:sz w:val="22"/>
        </w:rPr>
        <w:t> </w:t>
      </w:r>
      <w:r>
        <w:rPr>
          <w:color w:val="231F20"/>
          <w:sz w:val="22"/>
        </w:rPr>
        <w:t>integran- tes.</w:t>
      </w:r>
    </w:p>
    <w:p>
      <w:pPr>
        <w:pStyle w:val="ListParagraph"/>
        <w:numPr>
          <w:ilvl w:val="0"/>
          <w:numId w:val="2"/>
        </w:numPr>
        <w:tabs>
          <w:tab w:pos="478" w:val="left" w:leader="none"/>
        </w:tabs>
        <w:spacing w:line="247" w:lineRule="auto" w:before="0" w:after="0"/>
        <w:ind w:left="477" w:right="114" w:hanging="360"/>
        <w:jc w:val="both"/>
        <w:rPr>
          <w:sz w:val="22"/>
        </w:rPr>
      </w:pPr>
      <w:r>
        <w:rPr>
          <w:color w:val="231F20"/>
          <w:sz w:val="22"/>
        </w:rPr>
        <w:t>Evidencia la localización supranacional dando lugar a comprensiones de familia desde lo transnacional,</w:t>
      </w:r>
      <w:r>
        <w:rPr>
          <w:color w:val="231F20"/>
          <w:spacing w:val="-2"/>
          <w:sz w:val="22"/>
        </w:rPr>
        <w:t> </w:t>
      </w:r>
      <w:r>
        <w:rPr>
          <w:color w:val="231F20"/>
          <w:sz w:val="22"/>
        </w:rPr>
        <w:t>multilocal.</w:t>
      </w:r>
    </w:p>
    <w:p>
      <w:pPr>
        <w:pStyle w:val="ListParagraph"/>
        <w:numPr>
          <w:ilvl w:val="0"/>
          <w:numId w:val="2"/>
        </w:numPr>
        <w:tabs>
          <w:tab w:pos="478" w:val="left" w:leader="none"/>
        </w:tabs>
        <w:spacing w:line="253" w:lineRule="exact" w:before="0" w:after="0"/>
        <w:ind w:left="477" w:right="0" w:hanging="360"/>
        <w:jc w:val="both"/>
        <w:rPr>
          <w:sz w:val="22"/>
        </w:rPr>
      </w:pPr>
      <w:r>
        <w:rPr>
          <w:color w:val="231F20"/>
          <w:sz w:val="22"/>
        </w:rPr>
        <w:t>Hogares</w:t>
      </w:r>
      <w:r>
        <w:rPr>
          <w:color w:val="231F20"/>
          <w:spacing w:val="-6"/>
          <w:sz w:val="22"/>
        </w:rPr>
        <w:t> </w:t>
      </w:r>
      <w:r>
        <w:rPr>
          <w:color w:val="231F20"/>
          <w:sz w:val="22"/>
        </w:rPr>
        <w:t>multinucleares.</w:t>
      </w:r>
    </w:p>
    <w:p>
      <w:pPr>
        <w:spacing w:after="0" w:line="253" w:lineRule="exact"/>
        <w:jc w:val="both"/>
        <w:rPr>
          <w:sz w:val="22"/>
        </w:rPr>
        <w:sectPr>
          <w:pgSz w:w="9360" w:h="13040"/>
          <w:pgMar w:header="0" w:footer="496" w:top="800" w:bottom="680" w:left="1300" w:right="1300"/>
        </w:sectPr>
      </w:pPr>
    </w:p>
    <w:p>
      <w:pPr>
        <w:spacing w:before="45"/>
        <w:ind w:left="2831" w:right="0" w:firstLine="0"/>
        <w:jc w:val="left"/>
        <w:rPr>
          <w:rFonts w:ascii="Arial" w:hAnsi="Arial"/>
          <w:sz w:val="20"/>
        </w:rPr>
      </w:pPr>
      <w:r>
        <w:rPr>
          <w:rFonts w:ascii="Arial" w:hAnsi="Arial"/>
          <w:color w:val="231F20"/>
          <w:w w:val="74"/>
          <w:sz w:val="20"/>
        </w:rPr>
        <w:t>Familias</w:t>
      </w:r>
      <w:r>
        <w:rPr>
          <w:rFonts w:ascii="Arial" w:hAnsi="Arial"/>
          <w:color w:val="231F20"/>
          <w:spacing w:val="-1"/>
          <w:sz w:val="20"/>
        </w:rPr>
        <w:t> </w:t>
      </w:r>
      <w:r>
        <w:rPr>
          <w:rFonts w:ascii="Arial" w:hAnsi="Arial"/>
          <w:color w:val="231F20"/>
          <w:spacing w:val="-1"/>
          <w:w w:val="72"/>
          <w:sz w:val="20"/>
        </w:rPr>
        <w:t>transnacionale</w:t>
      </w:r>
      <w:r>
        <w:rPr>
          <w:rFonts w:ascii="Arial" w:hAnsi="Arial"/>
          <w:color w:val="231F20"/>
          <w:w w:val="72"/>
          <w:sz w:val="20"/>
        </w:rPr>
        <w:t>s</w:t>
      </w:r>
      <w:r>
        <w:rPr>
          <w:rFonts w:ascii="Arial" w:hAnsi="Arial"/>
          <w:color w:val="231F20"/>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1"/>
          <w:sz w:val="20"/>
        </w:rPr>
        <w:t>Colombia</w:t>
      </w:r>
      <w:r>
        <w:rPr>
          <w:rFonts w:ascii="Arial" w:hAnsi="Arial"/>
          <w:color w:val="231F20"/>
          <w:spacing w:val="-1"/>
          <w:sz w:val="20"/>
        </w:rPr>
        <w:t> </w:t>
      </w:r>
      <w:r>
        <w:rPr>
          <w:rFonts w:ascii="Arial" w:hAnsi="Arial"/>
          <w:color w:val="231F20"/>
          <w:spacing w:val="-1"/>
          <w:w w:val="99"/>
          <w:sz w:val="20"/>
        </w:rPr>
        <w:t>/</w:t>
      </w:r>
      <w:r>
        <w:rPr>
          <w:rFonts w:ascii="Arial" w:hAnsi="Arial"/>
          <w:color w:val="231F20"/>
          <w:w w:val="48"/>
          <w:sz w:val="20"/>
        </w:rPr>
        <w:t>Luz</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50"/>
          <w:sz w:val="20"/>
        </w:rPr>
        <w:t>López-Montaño</w:t>
      </w:r>
    </w:p>
    <w:p>
      <w:pPr>
        <w:pStyle w:val="BodyText"/>
        <w:spacing w:before="7"/>
        <w:rPr>
          <w:rFonts w:ascii="Arial"/>
          <w:sz w:val="28"/>
        </w:rPr>
      </w:pPr>
    </w:p>
    <w:p>
      <w:pPr>
        <w:pStyle w:val="ListParagraph"/>
        <w:numPr>
          <w:ilvl w:val="0"/>
          <w:numId w:val="2"/>
        </w:numPr>
        <w:tabs>
          <w:tab w:pos="478" w:val="left" w:leader="none"/>
        </w:tabs>
        <w:spacing w:line="247" w:lineRule="auto" w:before="0" w:after="0"/>
        <w:ind w:left="477" w:right="115" w:hanging="360"/>
        <w:jc w:val="both"/>
        <w:rPr>
          <w:sz w:val="22"/>
        </w:rPr>
      </w:pPr>
      <w:r>
        <w:rPr>
          <w:color w:val="231F20"/>
          <w:sz w:val="22"/>
        </w:rPr>
        <w:t>Recepción del impacto de la globalización y expresión de nuevas for- mas de vida</w:t>
      </w:r>
      <w:r>
        <w:rPr>
          <w:color w:val="231F20"/>
          <w:spacing w:val="-14"/>
          <w:sz w:val="22"/>
        </w:rPr>
        <w:t> </w:t>
      </w:r>
      <w:r>
        <w:rPr>
          <w:color w:val="231F20"/>
          <w:sz w:val="22"/>
        </w:rPr>
        <w:t>familiar.</w:t>
      </w:r>
    </w:p>
    <w:p>
      <w:pPr>
        <w:pStyle w:val="ListParagraph"/>
        <w:numPr>
          <w:ilvl w:val="0"/>
          <w:numId w:val="2"/>
        </w:numPr>
        <w:tabs>
          <w:tab w:pos="478" w:val="left" w:leader="none"/>
        </w:tabs>
        <w:spacing w:line="247" w:lineRule="auto" w:before="0" w:after="0"/>
        <w:ind w:left="477" w:right="115" w:hanging="360"/>
        <w:jc w:val="both"/>
        <w:rPr>
          <w:sz w:val="22"/>
        </w:rPr>
      </w:pPr>
      <w:r>
        <w:rPr>
          <w:color w:val="231F20"/>
          <w:sz w:val="22"/>
        </w:rPr>
        <w:t>Redes familiares, nuevos estilos de interacción, prácticas de cuidado</w:t>
      </w:r>
      <w:r>
        <w:rPr>
          <w:color w:val="231F20"/>
          <w:spacing w:val="-37"/>
          <w:sz w:val="22"/>
        </w:rPr>
        <w:t> </w:t>
      </w:r>
      <w:r>
        <w:rPr>
          <w:color w:val="231F20"/>
          <w:sz w:val="22"/>
        </w:rPr>
        <w:t>y apoyo</w:t>
      </w:r>
      <w:r>
        <w:rPr>
          <w:color w:val="231F20"/>
          <w:spacing w:val="-7"/>
          <w:sz w:val="22"/>
        </w:rPr>
        <w:t> </w:t>
      </w:r>
      <w:r>
        <w:rPr>
          <w:color w:val="231F20"/>
          <w:sz w:val="22"/>
        </w:rPr>
        <w:t>económico</w:t>
      </w:r>
      <w:r>
        <w:rPr>
          <w:color w:val="231F20"/>
          <w:spacing w:val="-7"/>
          <w:sz w:val="22"/>
        </w:rPr>
        <w:t> </w:t>
      </w:r>
      <w:r>
        <w:rPr>
          <w:color w:val="231F20"/>
          <w:sz w:val="22"/>
        </w:rPr>
        <w:t>en</w:t>
      </w:r>
      <w:r>
        <w:rPr>
          <w:color w:val="231F20"/>
          <w:spacing w:val="-6"/>
          <w:sz w:val="22"/>
        </w:rPr>
        <w:t> </w:t>
      </w:r>
      <w:r>
        <w:rPr>
          <w:color w:val="231F20"/>
          <w:sz w:val="22"/>
        </w:rPr>
        <w:t>la</w:t>
      </w:r>
      <w:r>
        <w:rPr>
          <w:color w:val="231F20"/>
          <w:spacing w:val="-6"/>
          <w:sz w:val="22"/>
        </w:rPr>
        <w:t> </w:t>
      </w:r>
      <w:r>
        <w:rPr>
          <w:color w:val="231F20"/>
          <w:sz w:val="22"/>
        </w:rPr>
        <w:t>familia,</w:t>
      </w:r>
      <w:r>
        <w:rPr>
          <w:color w:val="231F20"/>
          <w:spacing w:val="-6"/>
          <w:sz w:val="22"/>
        </w:rPr>
        <w:t> </w:t>
      </w:r>
      <w:r>
        <w:rPr>
          <w:color w:val="231F20"/>
          <w:sz w:val="22"/>
        </w:rPr>
        <w:t>cambios</w:t>
      </w:r>
      <w:r>
        <w:rPr>
          <w:color w:val="231F20"/>
          <w:spacing w:val="-7"/>
          <w:sz w:val="22"/>
        </w:rPr>
        <w:t> </w:t>
      </w:r>
      <w:r>
        <w:rPr>
          <w:color w:val="231F20"/>
          <w:sz w:val="22"/>
        </w:rPr>
        <w:t>en</w:t>
      </w:r>
      <w:r>
        <w:rPr>
          <w:color w:val="231F20"/>
          <w:spacing w:val="-6"/>
          <w:sz w:val="22"/>
        </w:rPr>
        <w:t> </w:t>
      </w:r>
      <w:r>
        <w:rPr>
          <w:color w:val="231F20"/>
          <w:sz w:val="22"/>
        </w:rPr>
        <w:t>los</w:t>
      </w:r>
      <w:r>
        <w:rPr>
          <w:color w:val="231F20"/>
          <w:spacing w:val="-6"/>
          <w:sz w:val="22"/>
        </w:rPr>
        <w:t> </w:t>
      </w:r>
      <w:r>
        <w:rPr>
          <w:color w:val="231F20"/>
          <w:sz w:val="22"/>
        </w:rPr>
        <w:t>estilos</w:t>
      </w:r>
      <w:r>
        <w:rPr>
          <w:color w:val="231F20"/>
          <w:spacing w:val="-7"/>
          <w:sz w:val="22"/>
        </w:rPr>
        <w:t> </w:t>
      </w:r>
      <w:r>
        <w:rPr>
          <w:color w:val="231F20"/>
          <w:sz w:val="22"/>
        </w:rPr>
        <w:t>de</w:t>
      </w:r>
      <w:r>
        <w:rPr>
          <w:color w:val="231F20"/>
          <w:spacing w:val="-6"/>
          <w:sz w:val="22"/>
        </w:rPr>
        <w:t> </w:t>
      </w:r>
      <w:r>
        <w:rPr>
          <w:color w:val="231F20"/>
          <w:sz w:val="22"/>
        </w:rPr>
        <w:t>autoridad,</w:t>
      </w:r>
      <w:r>
        <w:rPr>
          <w:color w:val="231F20"/>
          <w:spacing w:val="-7"/>
          <w:sz w:val="22"/>
        </w:rPr>
        <w:t> </w:t>
      </w:r>
      <w:r>
        <w:rPr>
          <w:color w:val="231F20"/>
          <w:sz w:val="22"/>
        </w:rPr>
        <w:t>de comunicación, cambios en la toma de decisiones, maternidad y pater- nidad transnacional, retorno y</w:t>
      </w:r>
      <w:r>
        <w:rPr>
          <w:color w:val="231F20"/>
          <w:spacing w:val="-1"/>
          <w:sz w:val="22"/>
        </w:rPr>
        <w:t> </w:t>
      </w:r>
      <w:r>
        <w:rPr>
          <w:color w:val="231F20"/>
          <w:sz w:val="22"/>
        </w:rPr>
        <w:t>otras.</w:t>
      </w:r>
    </w:p>
    <w:p>
      <w:pPr>
        <w:pStyle w:val="BodyText"/>
        <w:spacing w:line="247" w:lineRule="auto" w:before="169"/>
        <w:ind w:left="117" w:right="115" w:firstLine="283"/>
        <w:jc w:val="both"/>
      </w:pPr>
      <w:r>
        <w:rPr>
          <w:color w:val="231F20"/>
        </w:rPr>
        <w:t>La transnacionalidad en la familia implica personas a través de espa- cios, distancias, tiempos y propósitos; así como una mirada a la vida coti- diana, a las prácticas familiares y al reconocimiento y reconfiguración de los lugares sociales, a los cambios en los entornos físicos y lo que Levitt denominó “remesas sociales”, es decir, las ideas, comportamientos, signi- ficados</w:t>
      </w:r>
      <w:r>
        <w:rPr>
          <w:color w:val="231F20"/>
          <w:spacing w:val="-10"/>
        </w:rPr>
        <w:t> </w:t>
      </w:r>
      <w:r>
        <w:rPr>
          <w:color w:val="231F20"/>
        </w:rPr>
        <w:t>emocionales</w:t>
      </w:r>
      <w:r>
        <w:rPr>
          <w:color w:val="231F20"/>
          <w:spacing w:val="-10"/>
        </w:rPr>
        <w:t> </w:t>
      </w:r>
      <w:r>
        <w:rPr>
          <w:color w:val="231F20"/>
        </w:rPr>
        <w:t>y</w:t>
      </w:r>
      <w:r>
        <w:rPr>
          <w:color w:val="231F20"/>
          <w:spacing w:val="-10"/>
        </w:rPr>
        <w:t> </w:t>
      </w:r>
      <w:r>
        <w:rPr>
          <w:color w:val="231F20"/>
        </w:rPr>
        <w:t>flujos</w:t>
      </w:r>
      <w:r>
        <w:rPr>
          <w:color w:val="231F20"/>
          <w:spacing w:val="-10"/>
        </w:rPr>
        <w:t> </w:t>
      </w:r>
      <w:r>
        <w:rPr>
          <w:color w:val="231F20"/>
        </w:rPr>
        <w:t>de</w:t>
      </w:r>
      <w:r>
        <w:rPr>
          <w:color w:val="231F20"/>
          <w:spacing w:val="-10"/>
        </w:rPr>
        <w:t> </w:t>
      </w:r>
      <w:r>
        <w:rPr>
          <w:color w:val="231F20"/>
        </w:rPr>
        <w:t>capital</w:t>
      </w:r>
      <w:r>
        <w:rPr>
          <w:color w:val="231F20"/>
          <w:spacing w:val="-10"/>
        </w:rPr>
        <w:t> </w:t>
      </w:r>
      <w:r>
        <w:rPr>
          <w:color w:val="231F20"/>
        </w:rPr>
        <w:t>social</w:t>
      </w:r>
      <w:r>
        <w:rPr>
          <w:color w:val="231F20"/>
          <w:spacing w:val="-10"/>
        </w:rPr>
        <w:t> </w:t>
      </w:r>
      <w:r>
        <w:rPr>
          <w:color w:val="231F20"/>
        </w:rPr>
        <w:t>y</w:t>
      </w:r>
      <w:r>
        <w:rPr>
          <w:color w:val="231F20"/>
          <w:spacing w:val="-10"/>
        </w:rPr>
        <w:t> </w:t>
      </w:r>
      <w:r>
        <w:rPr>
          <w:color w:val="231F20"/>
        </w:rPr>
        <w:t>simbólico</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movilizan como</w:t>
      </w:r>
      <w:r>
        <w:rPr>
          <w:color w:val="231F20"/>
          <w:spacing w:val="-10"/>
        </w:rPr>
        <w:t> </w:t>
      </w:r>
      <w:r>
        <w:rPr>
          <w:color w:val="231F20"/>
        </w:rPr>
        <w:t>producto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migración.</w:t>
      </w:r>
      <w:r>
        <w:rPr>
          <w:color w:val="231F20"/>
          <w:spacing w:val="-10"/>
        </w:rPr>
        <w:t> </w:t>
      </w:r>
      <w:r>
        <w:rPr>
          <w:color w:val="231F20"/>
        </w:rPr>
        <w:t>Señala</w:t>
      </w:r>
      <w:r>
        <w:rPr>
          <w:color w:val="231F20"/>
          <w:spacing w:val="-9"/>
        </w:rPr>
        <w:t> </w:t>
      </w:r>
      <w:r>
        <w:rPr>
          <w:color w:val="231F20"/>
        </w:rPr>
        <w:t>la</w:t>
      </w:r>
      <w:r>
        <w:rPr>
          <w:color w:val="231F20"/>
          <w:spacing w:val="-10"/>
        </w:rPr>
        <w:t> </w:t>
      </w:r>
      <w:r>
        <w:rPr>
          <w:color w:val="231F20"/>
        </w:rPr>
        <w:t>existencia</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tejido</w:t>
      </w:r>
      <w:r>
        <w:rPr>
          <w:color w:val="231F20"/>
          <w:spacing w:val="-10"/>
        </w:rPr>
        <w:t> </w:t>
      </w:r>
      <w:r>
        <w:rPr>
          <w:color w:val="231F20"/>
        </w:rPr>
        <w:t>relacional y vinculante con contenidos de circularidad emocional, económica,</w:t>
      </w:r>
      <w:r>
        <w:rPr>
          <w:color w:val="231F20"/>
          <w:spacing w:val="-35"/>
        </w:rPr>
        <w:t> </w:t>
      </w:r>
      <w:r>
        <w:rPr>
          <w:color w:val="231F20"/>
        </w:rPr>
        <w:t>social, política</w:t>
      </w:r>
      <w:r>
        <w:rPr>
          <w:color w:val="231F20"/>
          <w:spacing w:val="-4"/>
        </w:rPr>
        <w:t> </w:t>
      </w:r>
      <w:r>
        <w:rPr>
          <w:color w:val="231F20"/>
        </w:rPr>
        <w:t>y</w:t>
      </w:r>
      <w:r>
        <w:rPr>
          <w:color w:val="231F20"/>
          <w:spacing w:val="-4"/>
        </w:rPr>
        <w:t> </w:t>
      </w:r>
      <w:r>
        <w:rPr>
          <w:color w:val="231F20"/>
        </w:rPr>
        <w:t>cultural,</w:t>
      </w:r>
      <w:r>
        <w:rPr>
          <w:color w:val="231F20"/>
          <w:spacing w:val="-5"/>
        </w:rPr>
        <w:t> </w:t>
      </w:r>
      <w:r>
        <w:rPr>
          <w:color w:val="231F20"/>
        </w:rPr>
        <w:t>mediante</w:t>
      </w:r>
      <w:r>
        <w:rPr>
          <w:color w:val="231F20"/>
          <w:spacing w:val="-5"/>
        </w:rPr>
        <w:t> </w:t>
      </w:r>
      <w:r>
        <w:rPr>
          <w:color w:val="231F20"/>
        </w:rPr>
        <w:t>la</w:t>
      </w:r>
      <w:r>
        <w:rPr>
          <w:color w:val="231F20"/>
          <w:spacing w:val="-5"/>
        </w:rPr>
        <w:t> </w:t>
      </w:r>
      <w:r>
        <w:rPr>
          <w:color w:val="231F20"/>
        </w:rPr>
        <w:t>cual</w:t>
      </w:r>
      <w:r>
        <w:rPr>
          <w:color w:val="231F20"/>
          <w:spacing w:val="-5"/>
        </w:rPr>
        <w:t> </w:t>
      </w:r>
      <w:r>
        <w:rPr>
          <w:color w:val="231F20"/>
        </w:rPr>
        <w:t>se</w:t>
      </w:r>
      <w:r>
        <w:rPr>
          <w:color w:val="231F20"/>
          <w:spacing w:val="-4"/>
        </w:rPr>
        <w:t> </w:t>
      </w:r>
      <w:r>
        <w:rPr>
          <w:color w:val="231F20"/>
        </w:rPr>
        <w:t>mantiene</w:t>
      </w:r>
      <w:r>
        <w:rPr>
          <w:color w:val="231F20"/>
          <w:spacing w:val="-5"/>
        </w:rPr>
        <w:t> </w:t>
      </w:r>
      <w:r>
        <w:rPr>
          <w:color w:val="231F20"/>
        </w:rPr>
        <w:t>o</w:t>
      </w:r>
      <w:r>
        <w:rPr>
          <w:color w:val="231F20"/>
          <w:spacing w:val="-4"/>
        </w:rPr>
        <w:t> </w:t>
      </w:r>
      <w:r>
        <w:rPr>
          <w:color w:val="231F20"/>
        </w:rPr>
        <w:t>pretende</w:t>
      </w:r>
      <w:r>
        <w:rPr>
          <w:color w:val="231F20"/>
          <w:spacing w:val="-4"/>
        </w:rPr>
        <w:t> </w:t>
      </w:r>
      <w:r>
        <w:rPr>
          <w:color w:val="231F20"/>
        </w:rPr>
        <w:t>mantener</w:t>
      </w:r>
      <w:r>
        <w:rPr>
          <w:color w:val="231F20"/>
          <w:spacing w:val="-5"/>
        </w:rPr>
        <w:t> </w:t>
      </w:r>
      <w:r>
        <w:rPr>
          <w:color w:val="231F20"/>
        </w:rPr>
        <w:t>y</w:t>
      </w:r>
      <w:r>
        <w:rPr>
          <w:color w:val="231F20"/>
          <w:spacing w:val="-4"/>
        </w:rPr>
        <w:t> </w:t>
      </w:r>
      <w:r>
        <w:rPr>
          <w:color w:val="231F20"/>
        </w:rPr>
        <w:t>dar sostenibilidad a los lazos familiares, sociales y emocionales (Sánchez </w:t>
      </w:r>
      <w:r>
        <w:rPr>
          <w:i/>
          <w:color w:val="231F20"/>
        </w:rPr>
        <w:t>et </w:t>
      </w:r>
      <w:r>
        <w:rPr>
          <w:i/>
          <w:color w:val="231F20"/>
        </w:rPr>
        <w:t>al</w:t>
      </w:r>
      <w:r>
        <w:rPr>
          <w:color w:val="231F20"/>
        </w:rPr>
        <w:t>., 2012).</w:t>
      </w:r>
    </w:p>
    <w:p>
      <w:pPr>
        <w:pStyle w:val="BodyText"/>
        <w:spacing w:line="247" w:lineRule="auto"/>
        <w:ind w:left="117" w:right="114" w:firstLine="283"/>
        <w:jc w:val="both"/>
      </w:pPr>
      <w:r>
        <w:rPr>
          <w:color w:val="231F20"/>
        </w:rPr>
        <w:t>La denominación de familia transnacional alude a una red parental que desde sus hogares localizados en países distintos estructura la circulación, movimiento</w:t>
      </w:r>
      <w:r>
        <w:rPr>
          <w:color w:val="231F20"/>
          <w:spacing w:val="-7"/>
        </w:rPr>
        <w:t> </w:t>
      </w:r>
      <w:r>
        <w:rPr>
          <w:color w:val="231F20"/>
        </w:rPr>
        <w:t>y</w:t>
      </w:r>
      <w:r>
        <w:rPr>
          <w:color w:val="231F20"/>
          <w:spacing w:val="-6"/>
        </w:rPr>
        <w:t> </w:t>
      </w:r>
      <w:r>
        <w:rPr>
          <w:color w:val="231F20"/>
        </w:rPr>
        <w:t>consistencia</w:t>
      </w:r>
      <w:r>
        <w:rPr>
          <w:color w:val="231F20"/>
          <w:spacing w:val="-6"/>
        </w:rPr>
        <w:t> </w:t>
      </w:r>
      <w:r>
        <w:rPr>
          <w:color w:val="231F20"/>
        </w:rPr>
        <w:t>de</w:t>
      </w:r>
      <w:r>
        <w:rPr>
          <w:color w:val="231F20"/>
          <w:spacing w:val="-6"/>
        </w:rPr>
        <w:t> </w:t>
      </w:r>
      <w:r>
        <w:rPr>
          <w:color w:val="231F20"/>
        </w:rPr>
        <w:t>sus</w:t>
      </w:r>
      <w:r>
        <w:rPr>
          <w:color w:val="231F20"/>
          <w:spacing w:val="-6"/>
        </w:rPr>
        <w:t> </w:t>
      </w:r>
      <w:r>
        <w:rPr>
          <w:color w:val="231F20"/>
        </w:rPr>
        <w:t>vínculos</w:t>
      </w:r>
      <w:r>
        <w:rPr>
          <w:color w:val="231F20"/>
          <w:spacing w:val="-6"/>
        </w:rPr>
        <w:t> </w:t>
      </w:r>
      <w:r>
        <w:rPr>
          <w:color w:val="231F20"/>
        </w:rPr>
        <w:t>mediante</w:t>
      </w:r>
      <w:r>
        <w:rPr>
          <w:color w:val="231F20"/>
          <w:spacing w:val="-6"/>
        </w:rPr>
        <w:t> </w:t>
      </w:r>
      <w:r>
        <w:rPr>
          <w:color w:val="231F20"/>
        </w:rPr>
        <w:t>la</w:t>
      </w:r>
      <w:r>
        <w:rPr>
          <w:color w:val="231F20"/>
          <w:spacing w:val="-6"/>
        </w:rPr>
        <w:t> </w:t>
      </w:r>
      <w:r>
        <w:rPr>
          <w:color w:val="231F20"/>
        </w:rPr>
        <w:t>remesa</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perma- nencia de una comunicación virtual (Puyana </w:t>
      </w:r>
      <w:r>
        <w:rPr>
          <w:i/>
          <w:color w:val="231F20"/>
        </w:rPr>
        <w:t>et al.</w:t>
      </w:r>
      <w:r>
        <w:rPr>
          <w:color w:val="231F20"/>
        </w:rPr>
        <w:t>, 2009). En las familias transnacionales</w:t>
      </w:r>
      <w:r>
        <w:rPr>
          <w:color w:val="231F20"/>
          <w:position w:val="7"/>
          <w:sz w:val="13"/>
        </w:rPr>
        <w:t>4 </w:t>
      </w:r>
      <w:r>
        <w:rPr>
          <w:color w:val="231F20"/>
        </w:rPr>
        <w:t>sus vínculos son constantemente establecidos, manteni- dos, reconfigurados y reducidos con el tiempo y las fronteras. No es posi- ble la generalización, el impacto social depende de diferentes factores de clase social, género, acceso a la justicia, prácticas familiares y culturales, integración en la economía mundial, cambios políticos y distancia</w:t>
      </w:r>
      <w:r>
        <w:rPr>
          <w:color w:val="231F20"/>
          <w:spacing w:val="-23"/>
        </w:rPr>
        <w:t> </w:t>
      </w:r>
      <w:r>
        <w:rPr>
          <w:color w:val="231F20"/>
        </w:rPr>
        <w:t>geográ- fica (Orellana </w:t>
      </w:r>
      <w:r>
        <w:rPr>
          <w:i/>
          <w:color w:val="231F20"/>
        </w:rPr>
        <w:t>et al</w:t>
      </w:r>
      <w:r>
        <w:rPr>
          <w:color w:val="231F20"/>
        </w:rPr>
        <w:t>., 2001) y</w:t>
      </w:r>
      <w:r>
        <w:rPr>
          <w:color w:val="231F20"/>
          <w:spacing w:val="-14"/>
        </w:rPr>
        <w:t> </w:t>
      </w:r>
      <w:r>
        <w:rPr>
          <w:color w:val="231F20"/>
        </w:rPr>
        <w:t>otros.</w:t>
      </w:r>
    </w:p>
    <w:p>
      <w:pPr>
        <w:pStyle w:val="BodyText"/>
        <w:spacing w:line="247" w:lineRule="auto"/>
        <w:ind w:left="117" w:right="114" w:firstLine="283"/>
        <w:jc w:val="both"/>
      </w:pPr>
      <w:r>
        <w:rPr>
          <w:color w:val="231F20"/>
        </w:rPr>
        <w:t>¿La cotidianidad? ¿La vida? ¿La familia? puede estar acompañada de rupturas</w:t>
      </w:r>
      <w:r>
        <w:rPr>
          <w:color w:val="231F20"/>
          <w:spacing w:val="-26"/>
        </w:rPr>
        <w:t> </w:t>
      </w:r>
      <w:r>
        <w:rPr>
          <w:color w:val="231F20"/>
        </w:rPr>
        <w:t>o</w:t>
      </w:r>
      <w:r>
        <w:rPr>
          <w:color w:val="231F20"/>
          <w:spacing w:val="-26"/>
        </w:rPr>
        <w:t> </w:t>
      </w:r>
      <w:r>
        <w:rPr>
          <w:color w:val="231F20"/>
        </w:rPr>
        <w:t>del</w:t>
      </w:r>
      <w:r>
        <w:rPr>
          <w:color w:val="231F20"/>
          <w:spacing w:val="-26"/>
        </w:rPr>
        <w:t> </w:t>
      </w:r>
      <w:r>
        <w:rPr>
          <w:color w:val="231F20"/>
        </w:rPr>
        <w:t>fortalecimiento</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vínculos</w:t>
      </w:r>
      <w:r>
        <w:rPr>
          <w:color w:val="231F20"/>
          <w:spacing w:val="-26"/>
        </w:rPr>
        <w:t> </w:t>
      </w:r>
      <w:r>
        <w:rPr>
          <w:color w:val="231F20"/>
        </w:rPr>
        <w:t>y</w:t>
      </w:r>
      <w:r>
        <w:rPr>
          <w:color w:val="231F20"/>
          <w:spacing w:val="-26"/>
        </w:rPr>
        <w:t> </w:t>
      </w:r>
      <w:r>
        <w:rPr>
          <w:color w:val="231F20"/>
        </w:rPr>
        <w:t>las</w:t>
      </w:r>
      <w:r>
        <w:rPr>
          <w:color w:val="231F20"/>
          <w:spacing w:val="-26"/>
        </w:rPr>
        <w:t> </w:t>
      </w:r>
      <w:r>
        <w:rPr>
          <w:color w:val="231F20"/>
        </w:rPr>
        <w:t>relaciones</w:t>
      </w:r>
      <w:r>
        <w:rPr>
          <w:color w:val="231F20"/>
          <w:spacing w:val="-26"/>
        </w:rPr>
        <w:t> </w:t>
      </w:r>
      <w:r>
        <w:rPr>
          <w:color w:val="231F20"/>
        </w:rPr>
        <w:t>parentofiliales, con sentimientos signados por la idea de prolongación de la presencia del padre o la madre y por las expectativas de su retorno, de la reunificación principalmente de sus hijos o hijas dependientes, del mantenimiento del proyecto familiar y de las remesas (Sánchez </w:t>
      </w:r>
      <w:r>
        <w:rPr>
          <w:i/>
          <w:color w:val="231F20"/>
        </w:rPr>
        <w:t>et al</w:t>
      </w:r>
      <w:r>
        <w:rPr>
          <w:color w:val="231F20"/>
        </w:rPr>
        <w:t>.,</w:t>
      </w:r>
      <w:r>
        <w:rPr>
          <w:color w:val="231F20"/>
          <w:spacing w:val="-3"/>
        </w:rPr>
        <w:t> </w:t>
      </w:r>
      <w:r>
        <w:rPr>
          <w:color w:val="231F20"/>
        </w:rPr>
        <w:t>2012).</w:t>
      </w:r>
    </w:p>
    <w:p>
      <w:pPr>
        <w:pStyle w:val="BodyText"/>
        <w:rPr>
          <w:sz w:val="20"/>
        </w:rPr>
      </w:pPr>
    </w:p>
    <w:p>
      <w:pPr>
        <w:pStyle w:val="BodyText"/>
        <w:spacing w:before="3"/>
        <w:rPr>
          <w:sz w:val="18"/>
        </w:rPr>
      </w:pPr>
      <w:r>
        <w:rPr/>
        <w:pict>
          <v:line style="position:absolute;mso-position-horizontal-relative:page;mso-position-vertical-relative:paragraph;z-index:2368;mso-wrap-distance-left:0;mso-wrap-distance-right:0" from="70.866096pt,12.861529pt" to="142.866096pt,12.861529pt" stroked="true" strokeweight=".75pt" strokecolor="#231f20">
            <w10:wrap type="topAndBottom"/>
          </v:line>
        </w:pict>
      </w:r>
    </w:p>
    <w:p>
      <w:pPr>
        <w:spacing w:line="208" w:lineRule="auto" w:before="0"/>
        <w:ind w:left="117" w:right="115" w:firstLine="0"/>
        <w:jc w:val="both"/>
        <w:rPr>
          <w:sz w:val="17"/>
        </w:rPr>
      </w:pPr>
      <w:r>
        <w:rPr>
          <w:color w:val="231F20"/>
          <w:position w:val="6"/>
          <w:sz w:val="10"/>
        </w:rPr>
        <w:t>4 </w:t>
      </w:r>
      <w:r>
        <w:rPr>
          <w:color w:val="231F20"/>
          <w:sz w:val="17"/>
        </w:rPr>
        <w:t>La obligación económica y la responsabilidad emocional se circunscribe a la filiación y no necesariamente se hace extensiva a los demás parientes, ni incorpora un proyecto común de convivencia o proyecto familiar —denominación inicial—.</w:t>
      </w:r>
    </w:p>
    <w:p>
      <w:pPr>
        <w:spacing w:line="170" w:lineRule="exact" w:before="2"/>
        <w:ind w:left="117" w:right="114" w:firstLine="0"/>
        <w:jc w:val="both"/>
        <w:rPr>
          <w:sz w:val="17"/>
        </w:rPr>
      </w:pPr>
      <w:r>
        <w:rPr>
          <w:color w:val="231F20"/>
          <w:sz w:val="17"/>
        </w:rPr>
        <w:t>Paternidad o maternidad transnacional. Padre o madre migrante separados antes de la migración o que no vivían con una pareja son padre o madre transnacional y al tiempo pueden ser parte de una familia en situación de transnacionalidad.</w:t>
      </w:r>
    </w:p>
    <w:p>
      <w:pPr>
        <w:spacing w:after="0" w:line="170" w:lineRule="exact"/>
        <w:jc w:val="both"/>
        <w:rPr>
          <w:sz w:val="17"/>
        </w:rPr>
        <w:sectPr>
          <w:pgSz w:w="9360" w:h="13040"/>
          <w:pgMar w:header="0" w:footer="496" w:top="740" w:bottom="680" w:left="1300" w:right="1300"/>
        </w:sectPr>
      </w:pPr>
    </w:p>
    <w:p>
      <w:pPr>
        <w:tabs>
          <w:tab w:pos="5536" w:val="left" w:leader="none"/>
        </w:tabs>
        <w:spacing w:before="48"/>
        <w:ind w:left="400" w:right="117" w:hanging="261"/>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firstLine="283"/>
        <w:jc w:val="both"/>
      </w:pPr>
      <w:r>
        <w:rPr>
          <w:color w:val="231F20"/>
        </w:rPr>
        <w:t>Los hallazgos en las tres investigaciones de referencia y en otras, no sólo en el Eje Cafetero de Colombia, señalan que los movimientos, recon- figuraciones, fortalecimientos o rupturas en las relaciones padre-madre- hijo-hija y en la dinámica familiar, están afincados tanto en una historia familiar de experiencias que preceden al episodio migratorio, así como en la construcción que se hace durante la migración dando lugar a la</w:t>
      </w:r>
      <w:r>
        <w:rPr>
          <w:color w:val="231F20"/>
          <w:spacing w:val="-38"/>
        </w:rPr>
        <w:t> </w:t>
      </w:r>
      <w:r>
        <w:rPr>
          <w:color w:val="231F20"/>
        </w:rPr>
        <w:t>vivencia del</w:t>
      </w:r>
      <w:r>
        <w:rPr>
          <w:color w:val="231F20"/>
          <w:spacing w:val="-4"/>
        </w:rPr>
        <w:t> </w:t>
      </w:r>
      <w:r>
        <w:rPr>
          <w:color w:val="231F20"/>
        </w:rPr>
        <w:t>cumplimiento</w:t>
      </w:r>
      <w:r>
        <w:rPr>
          <w:color w:val="231F20"/>
          <w:spacing w:val="-6"/>
        </w:rPr>
        <w:t> </w:t>
      </w:r>
      <w:r>
        <w:rPr>
          <w:color w:val="231F20"/>
        </w:rPr>
        <w:t>o</w:t>
      </w:r>
      <w:r>
        <w:rPr>
          <w:color w:val="231F20"/>
          <w:spacing w:val="-4"/>
        </w:rPr>
        <w:t> </w:t>
      </w:r>
      <w:r>
        <w:rPr>
          <w:color w:val="231F20"/>
        </w:rPr>
        <w:t>no</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expectativas,</w:t>
      </w:r>
      <w:r>
        <w:rPr>
          <w:color w:val="231F20"/>
          <w:spacing w:val="-6"/>
        </w:rPr>
        <w:t> </w:t>
      </w:r>
      <w:r>
        <w:rPr>
          <w:color w:val="231F20"/>
        </w:rPr>
        <w:t>promesas</w:t>
      </w:r>
      <w:r>
        <w:rPr>
          <w:color w:val="231F20"/>
          <w:spacing w:val="-4"/>
        </w:rPr>
        <w:t> </w:t>
      </w:r>
      <w:r>
        <w:rPr>
          <w:color w:val="231F20"/>
        </w:rPr>
        <w:t>o</w:t>
      </w:r>
      <w:r>
        <w:rPr>
          <w:color w:val="231F20"/>
          <w:spacing w:val="-4"/>
        </w:rPr>
        <w:t> </w:t>
      </w:r>
      <w:r>
        <w:rPr>
          <w:color w:val="231F20"/>
        </w:rPr>
        <w:t>acuerdos</w:t>
      </w:r>
      <w:r>
        <w:rPr>
          <w:color w:val="231F20"/>
          <w:spacing w:val="-6"/>
        </w:rPr>
        <w:t> </w:t>
      </w:r>
      <w:r>
        <w:rPr>
          <w:color w:val="231F20"/>
        </w:rPr>
        <w:t>que</w:t>
      </w:r>
      <w:r>
        <w:rPr>
          <w:color w:val="231F20"/>
          <w:spacing w:val="-4"/>
        </w:rPr>
        <w:t> </w:t>
      </w:r>
      <w:r>
        <w:rPr>
          <w:color w:val="231F20"/>
        </w:rPr>
        <w:t>lleva- ron a emprender el proyecto familiar migratorio, en particular, lo decidido frente</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remesas,</w:t>
      </w:r>
      <w:r>
        <w:rPr>
          <w:color w:val="231F20"/>
          <w:spacing w:val="-12"/>
        </w:rPr>
        <w:t> </w:t>
      </w:r>
      <w:r>
        <w:rPr>
          <w:color w:val="231F20"/>
        </w:rPr>
        <w:t>visitas,</w:t>
      </w:r>
      <w:r>
        <w:rPr>
          <w:color w:val="231F20"/>
          <w:spacing w:val="-12"/>
        </w:rPr>
        <w:t> </w:t>
      </w:r>
      <w:r>
        <w:rPr>
          <w:color w:val="231F20"/>
        </w:rPr>
        <w:t>retorno,</w:t>
      </w:r>
      <w:r>
        <w:rPr>
          <w:color w:val="231F20"/>
          <w:spacing w:val="-12"/>
        </w:rPr>
        <w:t> </w:t>
      </w:r>
      <w:r>
        <w:rPr>
          <w:color w:val="231F20"/>
        </w:rPr>
        <w:t>o</w:t>
      </w:r>
      <w:r>
        <w:rPr>
          <w:color w:val="231F20"/>
          <w:spacing w:val="-12"/>
        </w:rPr>
        <w:t> </w:t>
      </w:r>
      <w:r>
        <w:rPr>
          <w:color w:val="231F20"/>
        </w:rPr>
        <w:t>reunificación.</w:t>
      </w:r>
      <w:r>
        <w:rPr>
          <w:color w:val="231F20"/>
          <w:spacing w:val="-16"/>
        </w:rPr>
        <w:t> </w:t>
      </w:r>
      <w:r>
        <w:rPr>
          <w:color w:val="231F20"/>
          <w:spacing w:val="-4"/>
        </w:rPr>
        <w:t>Todo</w:t>
      </w:r>
      <w:r>
        <w:rPr>
          <w:color w:val="231F20"/>
          <w:spacing w:val="-12"/>
        </w:rPr>
        <w:t> </w:t>
      </w:r>
      <w:r>
        <w:rPr>
          <w:color w:val="231F20"/>
        </w:rPr>
        <w:t>ello,</w:t>
      </w:r>
      <w:r>
        <w:rPr>
          <w:color w:val="231F20"/>
          <w:spacing w:val="-12"/>
        </w:rPr>
        <w:t> </w:t>
      </w:r>
      <w:r>
        <w:rPr>
          <w:color w:val="231F20"/>
        </w:rPr>
        <w:t>mediado</w:t>
      </w:r>
      <w:r>
        <w:rPr>
          <w:color w:val="231F20"/>
          <w:spacing w:val="-12"/>
        </w:rPr>
        <w:t> </w:t>
      </w:r>
      <w:r>
        <w:rPr>
          <w:color w:val="231F20"/>
        </w:rPr>
        <w:t>en la cotidianidad familiar por la expectativa de prolongación de la presencia del</w:t>
      </w:r>
      <w:r>
        <w:rPr>
          <w:color w:val="231F20"/>
          <w:spacing w:val="-7"/>
        </w:rPr>
        <w:t> </w:t>
      </w:r>
      <w:r>
        <w:rPr>
          <w:color w:val="231F20"/>
        </w:rPr>
        <w:t>padre</w:t>
      </w:r>
      <w:r>
        <w:rPr>
          <w:color w:val="231F20"/>
          <w:spacing w:val="-7"/>
        </w:rPr>
        <w:t> </w:t>
      </w:r>
      <w:r>
        <w:rPr>
          <w:color w:val="231F20"/>
        </w:rPr>
        <w:t>o</w:t>
      </w:r>
      <w:r>
        <w:rPr>
          <w:color w:val="231F20"/>
          <w:spacing w:val="-6"/>
        </w:rPr>
        <w:t> </w:t>
      </w:r>
      <w:r>
        <w:rPr>
          <w:color w:val="231F20"/>
        </w:rPr>
        <w:t>la</w:t>
      </w:r>
      <w:r>
        <w:rPr>
          <w:color w:val="231F20"/>
          <w:spacing w:val="-7"/>
        </w:rPr>
        <w:t> </w:t>
      </w:r>
      <w:r>
        <w:rPr>
          <w:color w:val="231F20"/>
        </w:rPr>
        <w:t>madre</w:t>
      </w:r>
      <w:r>
        <w:rPr>
          <w:color w:val="231F20"/>
          <w:spacing w:val="-7"/>
        </w:rPr>
        <w:t> </w:t>
      </w:r>
      <w:r>
        <w:rPr>
          <w:color w:val="231F20"/>
        </w:rPr>
        <w:t>migrante,</w:t>
      </w:r>
      <w:r>
        <w:rPr>
          <w:color w:val="231F20"/>
          <w:spacing w:val="-7"/>
        </w:rPr>
        <w:t> </w:t>
      </w:r>
      <w:r>
        <w:rPr>
          <w:color w:val="231F20"/>
        </w:rPr>
        <w:t>por</w:t>
      </w:r>
      <w:r>
        <w:rPr>
          <w:color w:val="231F20"/>
          <w:spacing w:val="-6"/>
        </w:rPr>
        <w:t> </w:t>
      </w:r>
      <w:r>
        <w:rPr>
          <w:color w:val="231F20"/>
        </w:rPr>
        <w:t>medios</w:t>
      </w:r>
      <w:r>
        <w:rPr>
          <w:color w:val="231F20"/>
          <w:spacing w:val="-7"/>
        </w:rPr>
        <w:t> </w:t>
      </w:r>
      <w:r>
        <w:rPr>
          <w:color w:val="231F20"/>
        </w:rPr>
        <w:t>y</w:t>
      </w:r>
      <w:r>
        <w:rPr>
          <w:color w:val="231F20"/>
          <w:spacing w:val="-6"/>
        </w:rPr>
        <w:t> </w:t>
      </w:r>
      <w:r>
        <w:rPr>
          <w:color w:val="231F20"/>
        </w:rPr>
        <w:t>comunicaciones</w:t>
      </w:r>
      <w:r>
        <w:rPr>
          <w:color w:val="231F20"/>
          <w:spacing w:val="-7"/>
        </w:rPr>
        <w:t> </w:t>
      </w:r>
      <w:r>
        <w:rPr>
          <w:color w:val="231F20"/>
        </w:rPr>
        <w:t>que</w:t>
      </w:r>
      <w:r>
        <w:rPr>
          <w:color w:val="231F20"/>
          <w:spacing w:val="-6"/>
        </w:rPr>
        <w:t> </w:t>
      </w:r>
      <w:r>
        <w:rPr>
          <w:color w:val="231F20"/>
        </w:rPr>
        <w:t>avivan</w:t>
      </w:r>
      <w:r>
        <w:rPr>
          <w:color w:val="231F20"/>
          <w:spacing w:val="-7"/>
        </w:rPr>
        <w:t> </w:t>
      </w:r>
      <w:r>
        <w:rPr>
          <w:color w:val="231F20"/>
        </w:rPr>
        <w:t>la percepción de una vida familiar compartida y en cercanía</w:t>
      </w:r>
      <w:r>
        <w:rPr>
          <w:color w:val="231F20"/>
          <w:spacing w:val="-3"/>
        </w:rPr>
        <w:t> </w:t>
      </w:r>
      <w:r>
        <w:rPr>
          <w:color w:val="231F20"/>
        </w:rPr>
        <w:t>emocional.</w:t>
      </w:r>
    </w:p>
    <w:p>
      <w:pPr>
        <w:pStyle w:val="BodyText"/>
        <w:spacing w:line="247" w:lineRule="auto"/>
        <w:ind w:left="117" w:right="115" w:firstLine="283"/>
        <w:jc w:val="both"/>
      </w:pPr>
      <w:r>
        <w:rPr>
          <w:color w:val="231F20"/>
        </w:rPr>
        <w:t>Para dar cuenta de estas realidades se proponen nuevas categorías y conceptos, siendo en este caso: familia en situación de transnacionalidad, hogar glocal y proyecto familiar.</w:t>
      </w:r>
    </w:p>
    <w:p>
      <w:pPr>
        <w:spacing w:before="149"/>
        <w:ind w:left="117" w:right="0" w:firstLine="0"/>
        <w:jc w:val="both"/>
        <w:rPr>
          <w:i/>
          <w:sz w:val="22"/>
        </w:rPr>
      </w:pPr>
      <w:r>
        <w:rPr>
          <w:i/>
          <w:color w:val="231F20"/>
          <w:sz w:val="22"/>
        </w:rPr>
        <w:t>Familia en situación de transnacionalidad</w:t>
      </w:r>
    </w:p>
    <w:p>
      <w:pPr>
        <w:pStyle w:val="BodyText"/>
        <w:spacing w:line="247" w:lineRule="auto" w:before="177"/>
        <w:ind w:left="117" w:right="114"/>
        <w:jc w:val="both"/>
      </w:pPr>
      <w:r>
        <w:rPr>
          <w:color w:val="231F20"/>
        </w:rPr>
        <w:t>La migración por sí misma no genera una situación de transnacionalidad, el mantenimiento del tejido relacional y vinculante con su circularidad emocional, económica, social, política y cultural que le da sostenibilidad a los lazos familiares, sociales y emocionales entre los parientes —fami- lia—</w:t>
      </w:r>
      <w:r>
        <w:rPr>
          <w:color w:val="231F20"/>
          <w:spacing w:val="-5"/>
        </w:rPr>
        <w:t> </w:t>
      </w:r>
      <w:r>
        <w:rPr>
          <w:color w:val="231F20"/>
        </w:rPr>
        <w:t>y</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hogar</w:t>
      </w:r>
      <w:r>
        <w:rPr>
          <w:color w:val="231F20"/>
          <w:spacing w:val="-4"/>
        </w:rPr>
        <w:t> </w:t>
      </w:r>
      <w:r>
        <w:rPr>
          <w:color w:val="231F20"/>
        </w:rPr>
        <w:t>glocal</w:t>
      </w:r>
      <w:r>
        <w:rPr>
          <w:color w:val="231F20"/>
          <w:spacing w:val="-4"/>
        </w:rPr>
        <w:t> </w:t>
      </w:r>
      <w:r>
        <w:rPr>
          <w:color w:val="231F20"/>
        </w:rPr>
        <w:t>—pariente(s)</w:t>
      </w:r>
      <w:r>
        <w:rPr>
          <w:color w:val="231F20"/>
          <w:spacing w:val="-4"/>
        </w:rPr>
        <w:t> </w:t>
      </w:r>
      <w:r>
        <w:rPr>
          <w:color w:val="231F20"/>
        </w:rPr>
        <w:t>en</w:t>
      </w:r>
      <w:r>
        <w:rPr>
          <w:color w:val="231F20"/>
          <w:spacing w:val="-4"/>
        </w:rPr>
        <w:t> </w:t>
      </w:r>
      <w:r>
        <w:rPr>
          <w:color w:val="231F20"/>
        </w:rPr>
        <w:t>hogar</w:t>
      </w:r>
      <w:r>
        <w:rPr>
          <w:color w:val="231F20"/>
          <w:spacing w:val="-4"/>
        </w:rPr>
        <w:t> </w:t>
      </w:r>
      <w:r>
        <w:rPr>
          <w:color w:val="231F20"/>
        </w:rPr>
        <w:t>en</w:t>
      </w:r>
      <w:r>
        <w:rPr>
          <w:color w:val="231F20"/>
          <w:spacing w:val="-4"/>
        </w:rPr>
        <w:t> </w:t>
      </w:r>
      <w:r>
        <w:rPr>
          <w:color w:val="231F20"/>
        </w:rPr>
        <w:t>país(es)</w:t>
      </w:r>
      <w:r>
        <w:rPr>
          <w:color w:val="231F20"/>
          <w:spacing w:val="-4"/>
        </w:rPr>
        <w:t> </w:t>
      </w:r>
      <w:r>
        <w:rPr>
          <w:color w:val="231F20"/>
        </w:rPr>
        <w:t>de</w:t>
      </w:r>
      <w:r>
        <w:rPr>
          <w:color w:val="231F20"/>
          <w:spacing w:val="-4"/>
        </w:rPr>
        <w:t> </w:t>
      </w:r>
      <w:r>
        <w:rPr>
          <w:color w:val="231F20"/>
        </w:rPr>
        <w:t>origen</w:t>
      </w:r>
      <w:r>
        <w:rPr>
          <w:color w:val="231F20"/>
          <w:spacing w:val="-4"/>
        </w:rPr>
        <w:t> </w:t>
      </w:r>
      <w:r>
        <w:rPr>
          <w:color w:val="231F20"/>
        </w:rPr>
        <w:t>y</w:t>
      </w:r>
      <w:r>
        <w:rPr>
          <w:color w:val="231F20"/>
          <w:spacing w:val="-4"/>
        </w:rPr>
        <w:t> </w:t>
      </w:r>
      <w:r>
        <w:rPr>
          <w:color w:val="231F20"/>
        </w:rPr>
        <w:t>en hogar(es) en país(es) de destino—, requiere ser escrita constantemente en la vida cotidiana, de y entre los</w:t>
      </w:r>
      <w:r>
        <w:rPr>
          <w:color w:val="231F20"/>
          <w:spacing w:val="-3"/>
        </w:rPr>
        <w:t> </w:t>
      </w:r>
      <w:r>
        <w:rPr>
          <w:color w:val="231F20"/>
        </w:rPr>
        <w:t>participantes.</w:t>
      </w:r>
    </w:p>
    <w:p>
      <w:pPr>
        <w:pStyle w:val="BodyText"/>
        <w:spacing w:line="247" w:lineRule="auto"/>
        <w:ind w:left="117" w:right="115" w:firstLine="283"/>
        <w:jc w:val="both"/>
        <w:rPr>
          <w:sz w:val="13"/>
        </w:rPr>
      </w:pPr>
      <w:r>
        <w:rPr>
          <w:color w:val="231F20"/>
        </w:rPr>
        <w:t>Padres y madres como los principales responsables económicos de su familia actúan estratégicamente para lograr los propósitos de subsistencia lo que conlleva nuevas maneras de vivir la cotidianidad en la familia —la realidad familiar— y exige nuevas comprensiones, más allá de reconocer que</w:t>
      </w:r>
      <w:r>
        <w:rPr>
          <w:color w:val="231F20"/>
          <w:spacing w:val="-5"/>
        </w:rPr>
        <w:t> </w:t>
      </w:r>
      <w:r>
        <w:rPr>
          <w:color w:val="231F20"/>
        </w:rPr>
        <w:t>existe</w:t>
      </w:r>
      <w:r>
        <w:rPr>
          <w:color w:val="231F20"/>
          <w:spacing w:val="-5"/>
        </w:rPr>
        <w:t> </w:t>
      </w:r>
      <w:r>
        <w:rPr>
          <w:color w:val="231F20"/>
        </w:rPr>
        <w:t>una</w:t>
      </w:r>
      <w:r>
        <w:rPr>
          <w:color w:val="231F20"/>
          <w:spacing w:val="-5"/>
        </w:rPr>
        <w:t> </w:t>
      </w:r>
      <w:r>
        <w:rPr>
          <w:color w:val="231F20"/>
        </w:rPr>
        <w:t>experiencia</w:t>
      </w:r>
      <w:r>
        <w:rPr>
          <w:color w:val="231F20"/>
          <w:spacing w:val="-5"/>
        </w:rPr>
        <w:t> </w:t>
      </w:r>
      <w:r>
        <w:rPr>
          <w:color w:val="231F20"/>
        </w:rPr>
        <w:t>migratoria</w:t>
      </w:r>
      <w:r>
        <w:rPr>
          <w:color w:val="231F20"/>
          <w:spacing w:val="-5"/>
        </w:rPr>
        <w:t> </w:t>
      </w:r>
      <w:r>
        <w:rPr>
          <w:color w:val="231F20"/>
        </w:rPr>
        <w:t>donde</w:t>
      </w:r>
      <w:r>
        <w:rPr>
          <w:color w:val="231F20"/>
          <w:spacing w:val="-5"/>
        </w:rPr>
        <w:t> </w:t>
      </w:r>
      <w:r>
        <w:rPr>
          <w:color w:val="231F20"/>
        </w:rPr>
        <w:t>uno</w:t>
      </w:r>
      <w:r>
        <w:rPr>
          <w:color w:val="231F20"/>
          <w:spacing w:val="-5"/>
        </w:rPr>
        <w:t> </w:t>
      </w:r>
      <w:r>
        <w:rPr>
          <w:color w:val="231F20"/>
        </w:rPr>
        <w:t>o</w:t>
      </w:r>
      <w:r>
        <w:rPr>
          <w:color w:val="231F20"/>
          <w:spacing w:val="-5"/>
        </w:rPr>
        <w:t> </w:t>
      </w:r>
      <w:r>
        <w:rPr>
          <w:color w:val="231F20"/>
        </w:rPr>
        <w:t>algunos</w:t>
      </w:r>
      <w:r>
        <w:rPr>
          <w:color w:val="231F20"/>
          <w:spacing w:val="-5"/>
        </w:rPr>
        <w:t> </w:t>
      </w:r>
      <w:r>
        <w:rPr>
          <w:color w:val="231F20"/>
        </w:rPr>
        <w:t>integrantes</w:t>
      </w:r>
      <w:r>
        <w:rPr>
          <w:color w:val="231F20"/>
          <w:spacing w:val="-5"/>
        </w:rPr>
        <w:t> </w:t>
      </w:r>
      <w:r>
        <w:rPr>
          <w:color w:val="231F20"/>
        </w:rPr>
        <w:t>mi- gran de su lugar habitual de</w:t>
      </w:r>
      <w:r>
        <w:rPr>
          <w:color w:val="231F20"/>
          <w:spacing w:val="-4"/>
        </w:rPr>
        <w:t> </w:t>
      </w:r>
      <w:r>
        <w:rPr>
          <w:color w:val="231F20"/>
        </w:rPr>
        <w:t>residencia.</w:t>
      </w:r>
      <w:r>
        <w:rPr>
          <w:color w:val="231F20"/>
          <w:position w:val="7"/>
          <w:sz w:val="13"/>
        </w:rPr>
        <w:t>5</w:t>
      </w:r>
    </w:p>
    <w:p>
      <w:pPr>
        <w:pStyle w:val="BodyText"/>
        <w:spacing w:line="247" w:lineRule="auto"/>
        <w:ind w:left="117" w:right="115" w:firstLine="283"/>
        <w:jc w:val="both"/>
        <w:rPr>
          <w:i/>
        </w:rPr>
      </w:pPr>
      <w:r>
        <w:rPr>
          <w:color w:val="231F20"/>
        </w:rPr>
        <w:t>Familia transnacional es una categoría analítica de amplia utilización para</w:t>
      </w:r>
      <w:r>
        <w:rPr>
          <w:color w:val="231F20"/>
          <w:spacing w:val="-11"/>
        </w:rPr>
        <w:t> </w:t>
      </w:r>
      <w:r>
        <w:rPr>
          <w:color w:val="231F20"/>
        </w:rPr>
        <w:t>referirse</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construcción</w:t>
      </w:r>
      <w:r>
        <w:rPr>
          <w:color w:val="231F20"/>
          <w:spacing w:val="-11"/>
        </w:rPr>
        <w:t> </w:t>
      </w:r>
      <w:r>
        <w:rPr>
          <w:color w:val="231F20"/>
        </w:rPr>
        <w:t>imaginada</w:t>
      </w:r>
      <w:r>
        <w:rPr>
          <w:color w:val="231F20"/>
          <w:spacing w:val="-12"/>
        </w:rPr>
        <w:t> </w:t>
      </w:r>
      <w:r>
        <w:rPr>
          <w:color w:val="231F20"/>
        </w:rPr>
        <w:t>de</w:t>
      </w:r>
      <w:r>
        <w:rPr>
          <w:color w:val="231F20"/>
          <w:spacing w:val="-11"/>
        </w:rPr>
        <w:t> </w:t>
      </w:r>
      <w:r>
        <w:rPr>
          <w:color w:val="231F20"/>
        </w:rPr>
        <w:t>miembros</w:t>
      </w:r>
      <w:r>
        <w:rPr>
          <w:color w:val="231F20"/>
          <w:spacing w:val="-12"/>
        </w:rPr>
        <w:t> </w:t>
      </w:r>
      <w:r>
        <w:rPr>
          <w:color w:val="231F20"/>
        </w:rPr>
        <w:t>que</w:t>
      </w:r>
      <w:r>
        <w:rPr>
          <w:color w:val="231F20"/>
          <w:spacing w:val="-11"/>
        </w:rPr>
        <w:t> </w:t>
      </w:r>
      <w:r>
        <w:rPr>
          <w:color w:val="231F20"/>
        </w:rPr>
        <w:t>viven</w:t>
      </w:r>
      <w:r>
        <w:rPr>
          <w:color w:val="231F20"/>
          <w:spacing w:val="-11"/>
        </w:rPr>
        <w:t> </w:t>
      </w:r>
      <w:r>
        <w:rPr>
          <w:color w:val="231F20"/>
        </w:rPr>
        <w:t>la</w:t>
      </w:r>
      <w:r>
        <w:rPr>
          <w:color w:val="231F20"/>
          <w:spacing w:val="-11"/>
        </w:rPr>
        <w:t> </w:t>
      </w:r>
      <w:r>
        <w:rPr>
          <w:color w:val="231F20"/>
        </w:rPr>
        <w:t>mayor parte</w:t>
      </w:r>
      <w:r>
        <w:rPr>
          <w:color w:val="231F20"/>
          <w:spacing w:val="-6"/>
        </w:rPr>
        <w:t> </w:t>
      </w:r>
      <w:r>
        <w:rPr>
          <w:color w:val="231F20"/>
        </w:rPr>
        <w:t>del</w:t>
      </w:r>
      <w:r>
        <w:rPr>
          <w:color w:val="231F20"/>
          <w:spacing w:val="-6"/>
        </w:rPr>
        <w:t> </w:t>
      </w:r>
      <w:r>
        <w:rPr>
          <w:color w:val="231F20"/>
        </w:rPr>
        <w:t>tiempo</w:t>
      </w:r>
      <w:r>
        <w:rPr>
          <w:color w:val="231F20"/>
          <w:spacing w:val="-6"/>
        </w:rPr>
        <w:t> </w:t>
      </w:r>
      <w:r>
        <w:rPr>
          <w:color w:val="231F20"/>
        </w:rPr>
        <w:t>en</w:t>
      </w:r>
      <w:r>
        <w:rPr>
          <w:color w:val="231F20"/>
          <w:spacing w:val="-6"/>
        </w:rPr>
        <w:t> </w:t>
      </w:r>
      <w:r>
        <w:rPr>
          <w:color w:val="231F20"/>
        </w:rPr>
        <w:t>diversos</w:t>
      </w:r>
      <w:r>
        <w:rPr>
          <w:color w:val="231F20"/>
          <w:spacing w:val="-6"/>
        </w:rPr>
        <w:t> </w:t>
      </w:r>
      <w:r>
        <w:rPr>
          <w:color w:val="231F20"/>
        </w:rPr>
        <w:t>países</w:t>
      </w:r>
      <w:r>
        <w:rPr>
          <w:color w:val="231F20"/>
          <w:spacing w:val="-6"/>
        </w:rPr>
        <w:t> </w:t>
      </w:r>
      <w:r>
        <w:rPr>
          <w:color w:val="231F20"/>
        </w:rPr>
        <w:t>debido</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migración</w:t>
      </w:r>
      <w:r>
        <w:rPr>
          <w:color w:val="231F20"/>
          <w:spacing w:val="-7"/>
        </w:rPr>
        <w:t> </w:t>
      </w:r>
      <w:r>
        <w:rPr>
          <w:color w:val="231F20"/>
        </w:rPr>
        <w:t>de</w:t>
      </w:r>
      <w:r>
        <w:rPr>
          <w:color w:val="231F20"/>
          <w:spacing w:val="-6"/>
        </w:rPr>
        <w:t> </w:t>
      </w:r>
      <w:r>
        <w:rPr>
          <w:color w:val="231F20"/>
        </w:rPr>
        <w:t>uno</w:t>
      </w:r>
      <w:r>
        <w:rPr>
          <w:color w:val="231F20"/>
          <w:spacing w:val="-6"/>
        </w:rPr>
        <w:t> </w:t>
      </w:r>
      <w:r>
        <w:rPr>
          <w:color w:val="231F20"/>
        </w:rPr>
        <w:t>o</w:t>
      </w:r>
      <w:r>
        <w:rPr>
          <w:color w:val="231F20"/>
          <w:spacing w:val="-6"/>
        </w:rPr>
        <w:t> </w:t>
      </w:r>
      <w:r>
        <w:rPr>
          <w:color w:val="231F20"/>
        </w:rPr>
        <w:t>algunos de sus integrantes, mantienen vínculos fuertes, realizan actividades que requieren contacto habitual; crean un sentimiento y perciben su bienestar y unidad en una dimensión colectiva (Bryceson y Vuorela, 2002; Portes</w:t>
      </w:r>
      <w:r>
        <w:rPr>
          <w:color w:val="231F20"/>
          <w:spacing w:val="-28"/>
        </w:rPr>
        <w:t> </w:t>
      </w:r>
      <w:r>
        <w:rPr>
          <w:i/>
          <w:color w:val="231F20"/>
        </w:rPr>
        <w:t>et</w:t>
      </w:r>
    </w:p>
    <w:p>
      <w:pPr>
        <w:pStyle w:val="BodyText"/>
        <w:spacing w:before="7"/>
        <w:rPr>
          <w:i/>
          <w:sz w:val="9"/>
        </w:rPr>
      </w:pPr>
      <w:r>
        <w:rPr/>
        <w:pict>
          <v:line style="position:absolute;mso-position-horizontal-relative:page;mso-position-vertical-relative:paragraph;z-index:2392;mso-wrap-distance-left:0;mso-wrap-distance-right:0" from="70.866096pt,7.856555pt" to="142.866096pt,7.856555pt" stroked="true" strokeweight=".75pt" strokecolor="#231f20">
            <w10:wrap type="topAndBottom"/>
          </v:line>
        </w:pict>
      </w:r>
    </w:p>
    <w:p>
      <w:pPr>
        <w:spacing w:line="170" w:lineRule="exact" w:before="0"/>
        <w:ind w:left="117" w:right="115" w:firstLine="0"/>
        <w:jc w:val="both"/>
        <w:rPr>
          <w:sz w:val="17"/>
        </w:rPr>
      </w:pPr>
      <w:r>
        <w:rPr>
          <w:color w:val="231F20"/>
          <w:position w:val="6"/>
          <w:sz w:val="10"/>
        </w:rPr>
        <w:t>5</w:t>
      </w:r>
      <w:r>
        <w:rPr>
          <w:color w:val="231F20"/>
          <w:spacing w:val="13"/>
          <w:position w:val="6"/>
          <w:sz w:val="10"/>
        </w:rPr>
        <w:t> </w:t>
      </w:r>
      <w:r>
        <w:rPr>
          <w:color w:val="231F20"/>
          <w:sz w:val="17"/>
        </w:rPr>
        <w:t>El</w:t>
      </w:r>
      <w:r>
        <w:rPr>
          <w:color w:val="231F20"/>
          <w:spacing w:val="-4"/>
          <w:sz w:val="17"/>
        </w:rPr>
        <w:t> </w:t>
      </w:r>
      <w:r>
        <w:rPr>
          <w:color w:val="231F20"/>
          <w:sz w:val="17"/>
        </w:rPr>
        <w:t>hecho</w:t>
      </w:r>
      <w:r>
        <w:rPr>
          <w:color w:val="231F20"/>
          <w:spacing w:val="-4"/>
          <w:sz w:val="17"/>
        </w:rPr>
        <w:t> </w:t>
      </w:r>
      <w:r>
        <w:rPr>
          <w:color w:val="231F20"/>
          <w:sz w:val="17"/>
        </w:rPr>
        <w:t>de</w:t>
      </w:r>
      <w:r>
        <w:rPr>
          <w:color w:val="231F20"/>
          <w:spacing w:val="-4"/>
          <w:sz w:val="17"/>
        </w:rPr>
        <w:t> </w:t>
      </w:r>
      <w:r>
        <w:rPr>
          <w:color w:val="231F20"/>
          <w:sz w:val="17"/>
        </w:rPr>
        <w:t>vivir</w:t>
      </w:r>
      <w:r>
        <w:rPr>
          <w:color w:val="231F20"/>
          <w:spacing w:val="-4"/>
          <w:sz w:val="17"/>
        </w:rPr>
        <w:t> </w:t>
      </w:r>
      <w:r>
        <w:rPr>
          <w:color w:val="231F20"/>
          <w:sz w:val="17"/>
        </w:rPr>
        <w:t>uno</w:t>
      </w:r>
      <w:r>
        <w:rPr>
          <w:color w:val="231F20"/>
          <w:spacing w:val="-4"/>
          <w:sz w:val="17"/>
        </w:rPr>
        <w:t> </w:t>
      </w:r>
      <w:r>
        <w:rPr>
          <w:color w:val="231F20"/>
          <w:sz w:val="17"/>
        </w:rPr>
        <w:t>o</w:t>
      </w:r>
      <w:r>
        <w:rPr>
          <w:color w:val="231F20"/>
          <w:spacing w:val="-4"/>
          <w:sz w:val="17"/>
        </w:rPr>
        <w:t> </w:t>
      </w:r>
      <w:r>
        <w:rPr>
          <w:color w:val="231F20"/>
          <w:sz w:val="17"/>
        </w:rPr>
        <w:t>algunos</w:t>
      </w:r>
      <w:r>
        <w:rPr>
          <w:color w:val="231F20"/>
          <w:spacing w:val="-4"/>
          <w:sz w:val="17"/>
        </w:rPr>
        <w:t> </w:t>
      </w:r>
      <w:r>
        <w:rPr>
          <w:color w:val="231F20"/>
          <w:sz w:val="17"/>
        </w:rPr>
        <w:t>integrantes</w:t>
      </w:r>
      <w:r>
        <w:rPr>
          <w:color w:val="231F20"/>
          <w:spacing w:val="-4"/>
          <w:sz w:val="17"/>
        </w:rPr>
        <w:t> </w:t>
      </w:r>
      <w:r>
        <w:rPr>
          <w:color w:val="231F20"/>
          <w:sz w:val="17"/>
        </w:rPr>
        <w:t>en</w:t>
      </w:r>
      <w:r>
        <w:rPr>
          <w:color w:val="231F20"/>
          <w:spacing w:val="-4"/>
          <w:sz w:val="17"/>
        </w:rPr>
        <w:t> </w:t>
      </w:r>
      <w:r>
        <w:rPr>
          <w:color w:val="231F20"/>
          <w:sz w:val="17"/>
        </w:rPr>
        <w:t>hogares</w:t>
      </w:r>
      <w:r>
        <w:rPr>
          <w:color w:val="231F20"/>
          <w:spacing w:val="-4"/>
          <w:sz w:val="17"/>
        </w:rPr>
        <w:t> </w:t>
      </w:r>
      <w:r>
        <w:rPr>
          <w:color w:val="231F20"/>
          <w:sz w:val="17"/>
        </w:rPr>
        <w:t>separados</w:t>
      </w:r>
      <w:r>
        <w:rPr>
          <w:color w:val="231F20"/>
          <w:spacing w:val="-4"/>
          <w:sz w:val="17"/>
        </w:rPr>
        <w:t> </w:t>
      </w:r>
      <w:r>
        <w:rPr>
          <w:color w:val="231F20"/>
          <w:sz w:val="17"/>
        </w:rPr>
        <w:t>y</w:t>
      </w:r>
      <w:r>
        <w:rPr>
          <w:color w:val="231F20"/>
          <w:spacing w:val="-4"/>
          <w:sz w:val="17"/>
        </w:rPr>
        <w:t> </w:t>
      </w:r>
      <w:r>
        <w:rPr>
          <w:color w:val="231F20"/>
          <w:sz w:val="17"/>
        </w:rPr>
        <w:t>dispersos,</w:t>
      </w:r>
      <w:r>
        <w:rPr>
          <w:color w:val="231F20"/>
          <w:spacing w:val="-4"/>
          <w:sz w:val="17"/>
        </w:rPr>
        <w:t> </w:t>
      </w:r>
      <w:r>
        <w:rPr>
          <w:color w:val="231F20"/>
          <w:sz w:val="17"/>
        </w:rPr>
        <w:t>aquí</w:t>
      </w:r>
      <w:r>
        <w:rPr>
          <w:color w:val="231F20"/>
          <w:spacing w:val="-4"/>
          <w:sz w:val="17"/>
        </w:rPr>
        <w:t> </w:t>
      </w:r>
      <w:r>
        <w:rPr>
          <w:color w:val="231F20"/>
          <w:sz w:val="17"/>
        </w:rPr>
        <w:t>—en</w:t>
      </w:r>
      <w:r>
        <w:rPr>
          <w:color w:val="231F20"/>
          <w:spacing w:val="-4"/>
          <w:sz w:val="17"/>
        </w:rPr>
        <w:t> </w:t>
      </w:r>
      <w:r>
        <w:rPr>
          <w:color w:val="231F20"/>
          <w:sz w:val="17"/>
        </w:rPr>
        <w:t>el</w:t>
      </w:r>
      <w:r>
        <w:rPr>
          <w:color w:val="231F20"/>
          <w:spacing w:val="-4"/>
          <w:sz w:val="17"/>
        </w:rPr>
        <w:t> </w:t>
      </w:r>
      <w:r>
        <w:rPr>
          <w:color w:val="231F20"/>
          <w:sz w:val="17"/>
        </w:rPr>
        <w:t>país y</w:t>
      </w:r>
      <w:r>
        <w:rPr>
          <w:color w:val="231F20"/>
          <w:spacing w:val="-5"/>
          <w:sz w:val="17"/>
        </w:rPr>
        <w:t> </w:t>
      </w:r>
      <w:r>
        <w:rPr>
          <w:color w:val="231F20"/>
          <w:sz w:val="17"/>
        </w:rPr>
        <w:t>lugar</w:t>
      </w:r>
      <w:r>
        <w:rPr>
          <w:color w:val="231F20"/>
          <w:spacing w:val="-5"/>
          <w:sz w:val="17"/>
        </w:rPr>
        <w:t> </w:t>
      </w:r>
      <w:r>
        <w:rPr>
          <w:color w:val="231F20"/>
          <w:sz w:val="17"/>
        </w:rPr>
        <w:t>(es)</w:t>
      </w:r>
      <w:r>
        <w:rPr>
          <w:color w:val="231F20"/>
          <w:spacing w:val="-5"/>
          <w:sz w:val="17"/>
        </w:rPr>
        <w:t> </w:t>
      </w:r>
      <w:r>
        <w:rPr>
          <w:color w:val="231F20"/>
          <w:sz w:val="17"/>
        </w:rPr>
        <w:t>de</w:t>
      </w:r>
      <w:r>
        <w:rPr>
          <w:color w:val="231F20"/>
          <w:spacing w:val="-5"/>
          <w:sz w:val="17"/>
        </w:rPr>
        <w:t> </w:t>
      </w:r>
      <w:r>
        <w:rPr>
          <w:color w:val="231F20"/>
          <w:sz w:val="17"/>
        </w:rPr>
        <w:t>emigración—</w:t>
      </w:r>
      <w:r>
        <w:rPr>
          <w:color w:val="231F20"/>
          <w:spacing w:val="-5"/>
          <w:sz w:val="17"/>
        </w:rPr>
        <w:t> </w:t>
      </w:r>
      <w:r>
        <w:rPr>
          <w:color w:val="231F20"/>
          <w:sz w:val="17"/>
        </w:rPr>
        <w:t>y</w:t>
      </w:r>
      <w:r>
        <w:rPr>
          <w:color w:val="231F20"/>
          <w:spacing w:val="-5"/>
          <w:sz w:val="17"/>
        </w:rPr>
        <w:t> </w:t>
      </w:r>
      <w:r>
        <w:rPr>
          <w:color w:val="231F20"/>
          <w:sz w:val="17"/>
        </w:rPr>
        <w:t>más</w:t>
      </w:r>
      <w:r>
        <w:rPr>
          <w:color w:val="231F20"/>
          <w:spacing w:val="-5"/>
          <w:sz w:val="17"/>
        </w:rPr>
        <w:t> </w:t>
      </w:r>
      <w:r>
        <w:rPr>
          <w:color w:val="231F20"/>
          <w:sz w:val="17"/>
        </w:rPr>
        <w:t>allá</w:t>
      </w:r>
      <w:r>
        <w:rPr>
          <w:color w:val="231F20"/>
          <w:spacing w:val="-5"/>
          <w:sz w:val="17"/>
        </w:rPr>
        <w:t> </w:t>
      </w:r>
      <w:r>
        <w:rPr>
          <w:color w:val="231F20"/>
          <w:sz w:val="17"/>
        </w:rPr>
        <w:t>de</w:t>
      </w:r>
      <w:r>
        <w:rPr>
          <w:color w:val="231F20"/>
          <w:spacing w:val="-5"/>
          <w:sz w:val="17"/>
        </w:rPr>
        <w:t> </w:t>
      </w:r>
      <w:r>
        <w:rPr>
          <w:color w:val="231F20"/>
          <w:sz w:val="17"/>
        </w:rPr>
        <w:t>fronteras</w:t>
      </w:r>
      <w:r>
        <w:rPr>
          <w:color w:val="231F20"/>
          <w:spacing w:val="-5"/>
          <w:sz w:val="17"/>
        </w:rPr>
        <w:t> </w:t>
      </w:r>
      <w:r>
        <w:rPr>
          <w:color w:val="231F20"/>
          <w:sz w:val="17"/>
        </w:rPr>
        <w:t>nacionales</w:t>
      </w:r>
      <w:r>
        <w:rPr>
          <w:color w:val="231F20"/>
          <w:spacing w:val="-5"/>
          <w:sz w:val="17"/>
        </w:rPr>
        <w:t> </w:t>
      </w:r>
      <w:r>
        <w:rPr>
          <w:color w:val="231F20"/>
          <w:sz w:val="17"/>
        </w:rPr>
        <w:t>—en</w:t>
      </w:r>
      <w:r>
        <w:rPr>
          <w:color w:val="231F20"/>
          <w:spacing w:val="-5"/>
          <w:sz w:val="17"/>
        </w:rPr>
        <w:t> </w:t>
      </w:r>
      <w:r>
        <w:rPr>
          <w:color w:val="231F20"/>
          <w:sz w:val="17"/>
        </w:rPr>
        <w:t>el</w:t>
      </w:r>
      <w:r>
        <w:rPr>
          <w:color w:val="231F20"/>
          <w:spacing w:val="-5"/>
          <w:sz w:val="17"/>
        </w:rPr>
        <w:t> </w:t>
      </w:r>
      <w:r>
        <w:rPr>
          <w:color w:val="231F20"/>
          <w:sz w:val="17"/>
        </w:rPr>
        <w:t>país</w:t>
      </w:r>
      <w:r>
        <w:rPr>
          <w:color w:val="231F20"/>
          <w:spacing w:val="-5"/>
          <w:sz w:val="17"/>
        </w:rPr>
        <w:t> </w:t>
      </w:r>
      <w:r>
        <w:rPr>
          <w:color w:val="231F20"/>
          <w:sz w:val="17"/>
        </w:rPr>
        <w:t>y</w:t>
      </w:r>
      <w:r>
        <w:rPr>
          <w:color w:val="231F20"/>
          <w:spacing w:val="-5"/>
          <w:sz w:val="17"/>
        </w:rPr>
        <w:t> </w:t>
      </w:r>
      <w:r>
        <w:rPr>
          <w:color w:val="231F20"/>
          <w:sz w:val="17"/>
        </w:rPr>
        <w:t>lugar</w:t>
      </w:r>
      <w:r>
        <w:rPr>
          <w:color w:val="231F20"/>
          <w:spacing w:val="-5"/>
          <w:sz w:val="17"/>
        </w:rPr>
        <w:t> </w:t>
      </w:r>
      <w:r>
        <w:rPr>
          <w:color w:val="231F20"/>
          <w:sz w:val="17"/>
        </w:rPr>
        <w:t>(es)</w:t>
      </w:r>
      <w:r>
        <w:rPr>
          <w:color w:val="231F20"/>
          <w:spacing w:val="-5"/>
          <w:sz w:val="17"/>
        </w:rPr>
        <w:t> </w:t>
      </w:r>
      <w:r>
        <w:rPr>
          <w:color w:val="231F20"/>
          <w:sz w:val="17"/>
        </w:rPr>
        <w:t>de</w:t>
      </w:r>
      <w:r>
        <w:rPr>
          <w:color w:val="231F20"/>
          <w:spacing w:val="-5"/>
          <w:sz w:val="17"/>
        </w:rPr>
        <w:t> </w:t>
      </w:r>
      <w:r>
        <w:rPr>
          <w:color w:val="231F20"/>
          <w:sz w:val="17"/>
        </w:rPr>
        <w:t>inmi- gración—,</w:t>
      </w:r>
      <w:r>
        <w:rPr>
          <w:color w:val="231F20"/>
          <w:spacing w:val="-7"/>
          <w:sz w:val="17"/>
        </w:rPr>
        <w:t> </w:t>
      </w:r>
      <w:r>
        <w:rPr>
          <w:color w:val="231F20"/>
          <w:sz w:val="17"/>
        </w:rPr>
        <w:t>el</w:t>
      </w:r>
      <w:r>
        <w:rPr>
          <w:color w:val="231F20"/>
          <w:spacing w:val="-7"/>
          <w:sz w:val="17"/>
        </w:rPr>
        <w:t> </w:t>
      </w:r>
      <w:r>
        <w:rPr>
          <w:color w:val="231F20"/>
          <w:sz w:val="17"/>
        </w:rPr>
        <w:t>traspaso</w:t>
      </w:r>
      <w:r>
        <w:rPr>
          <w:color w:val="231F20"/>
          <w:spacing w:val="-7"/>
          <w:sz w:val="17"/>
        </w:rPr>
        <w:t> </w:t>
      </w:r>
      <w:r>
        <w:rPr>
          <w:color w:val="231F20"/>
          <w:sz w:val="17"/>
        </w:rPr>
        <w:t>de</w:t>
      </w:r>
      <w:r>
        <w:rPr>
          <w:color w:val="231F20"/>
          <w:spacing w:val="-7"/>
          <w:sz w:val="17"/>
        </w:rPr>
        <w:t> </w:t>
      </w:r>
      <w:r>
        <w:rPr>
          <w:color w:val="231F20"/>
          <w:sz w:val="17"/>
        </w:rPr>
        <w:t>fronteras</w:t>
      </w:r>
      <w:r>
        <w:rPr>
          <w:color w:val="231F20"/>
          <w:spacing w:val="-7"/>
          <w:sz w:val="17"/>
        </w:rPr>
        <w:t> </w:t>
      </w:r>
      <w:r>
        <w:rPr>
          <w:color w:val="231F20"/>
          <w:sz w:val="17"/>
        </w:rPr>
        <w:t>nacionales</w:t>
      </w:r>
      <w:r>
        <w:rPr>
          <w:color w:val="231F20"/>
          <w:spacing w:val="-7"/>
          <w:sz w:val="17"/>
        </w:rPr>
        <w:t> </w:t>
      </w:r>
      <w:r>
        <w:rPr>
          <w:color w:val="231F20"/>
          <w:sz w:val="17"/>
        </w:rPr>
        <w:t>de</w:t>
      </w:r>
      <w:r>
        <w:rPr>
          <w:color w:val="231F20"/>
          <w:spacing w:val="-7"/>
          <w:sz w:val="17"/>
        </w:rPr>
        <w:t> </w:t>
      </w:r>
      <w:r>
        <w:rPr>
          <w:color w:val="231F20"/>
          <w:sz w:val="17"/>
        </w:rPr>
        <w:t>uno/algunos</w:t>
      </w:r>
      <w:r>
        <w:rPr>
          <w:color w:val="231F20"/>
          <w:spacing w:val="-7"/>
          <w:sz w:val="17"/>
        </w:rPr>
        <w:t> </w:t>
      </w:r>
      <w:r>
        <w:rPr>
          <w:color w:val="231F20"/>
          <w:sz w:val="17"/>
        </w:rPr>
        <w:t>integrantes,</w:t>
      </w:r>
      <w:r>
        <w:rPr>
          <w:color w:val="231F20"/>
          <w:spacing w:val="-7"/>
          <w:sz w:val="17"/>
        </w:rPr>
        <w:t> </w:t>
      </w:r>
      <w:r>
        <w:rPr>
          <w:color w:val="231F20"/>
          <w:sz w:val="17"/>
        </w:rPr>
        <w:t>en</w:t>
      </w:r>
      <w:r>
        <w:rPr>
          <w:color w:val="231F20"/>
          <w:spacing w:val="-7"/>
          <w:sz w:val="17"/>
        </w:rPr>
        <w:t> </w:t>
      </w:r>
      <w:r>
        <w:rPr>
          <w:color w:val="231F20"/>
          <w:sz w:val="17"/>
        </w:rPr>
        <w:t>principio,</w:t>
      </w:r>
      <w:r>
        <w:rPr>
          <w:color w:val="231F20"/>
          <w:spacing w:val="-7"/>
          <w:sz w:val="17"/>
        </w:rPr>
        <w:t> </w:t>
      </w:r>
      <w:r>
        <w:rPr>
          <w:color w:val="231F20"/>
          <w:sz w:val="17"/>
        </w:rPr>
        <w:t>da</w:t>
      </w:r>
      <w:r>
        <w:rPr>
          <w:color w:val="231F20"/>
          <w:spacing w:val="-7"/>
          <w:sz w:val="17"/>
        </w:rPr>
        <w:t> </w:t>
      </w:r>
      <w:r>
        <w:rPr>
          <w:color w:val="231F20"/>
          <w:sz w:val="17"/>
        </w:rPr>
        <w:t>cuenta de la experiencia migratoria individual y por extensión de familias con experiencia</w:t>
      </w:r>
      <w:r>
        <w:rPr>
          <w:color w:val="231F20"/>
          <w:spacing w:val="-6"/>
          <w:sz w:val="17"/>
        </w:rPr>
        <w:t> </w:t>
      </w:r>
      <w:r>
        <w:rPr>
          <w:color w:val="231F20"/>
          <w:sz w:val="17"/>
        </w:rPr>
        <w:t>migratoria.</w:t>
      </w:r>
    </w:p>
    <w:p>
      <w:pPr>
        <w:spacing w:after="0" w:line="170" w:lineRule="exact"/>
        <w:jc w:val="both"/>
        <w:rPr>
          <w:sz w:val="17"/>
        </w:rPr>
        <w:sectPr>
          <w:footerReference w:type="default" r:id="rId86"/>
          <w:pgSz w:w="9360" w:h="13040"/>
          <w:pgMar w:footer="496" w:header="0" w:top="800" w:bottom="680" w:left="1300" w:right="1300"/>
        </w:sectPr>
      </w:pPr>
    </w:p>
    <w:p>
      <w:pPr>
        <w:spacing w:before="45"/>
        <w:ind w:left="117" w:right="0" w:firstLine="2714"/>
        <w:jc w:val="left"/>
        <w:rPr>
          <w:rFonts w:ascii="Arial" w:hAnsi="Arial"/>
          <w:sz w:val="20"/>
        </w:rPr>
      </w:pPr>
      <w:r>
        <w:rPr>
          <w:rFonts w:ascii="Arial" w:hAnsi="Arial"/>
          <w:color w:val="231F20"/>
          <w:w w:val="74"/>
          <w:sz w:val="20"/>
        </w:rPr>
        <w:t>Familias</w:t>
      </w:r>
      <w:r>
        <w:rPr>
          <w:rFonts w:ascii="Arial" w:hAnsi="Arial"/>
          <w:color w:val="231F20"/>
          <w:spacing w:val="-1"/>
          <w:sz w:val="20"/>
        </w:rPr>
        <w:t> </w:t>
      </w:r>
      <w:r>
        <w:rPr>
          <w:rFonts w:ascii="Arial" w:hAnsi="Arial"/>
          <w:color w:val="231F20"/>
          <w:spacing w:val="-1"/>
          <w:w w:val="72"/>
          <w:sz w:val="20"/>
        </w:rPr>
        <w:t>transnacionale</w:t>
      </w:r>
      <w:r>
        <w:rPr>
          <w:rFonts w:ascii="Arial" w:hAnsi="Arial"/>
          <w:color w:val="231F20"/>
          <w:w w:val="72"/>
          <w:sz w:val="20"/>
        </w:rPr>
        <w:t>s</w:t>
      </w:r>
      <w:r>
        <w:rPr>
          <w:rFonts w:ascii="Arial" w:hAnsi="Arial"/>
          <w:color w:val="231F20"/>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1"/>
          <w:sz w:val="20"/>
        </w:rPr>
        <w:t>Colombia</w:t>
      </w:r>
      <w:r>
        <w:rPr>
          <w:rFonts w:ascii="Arial" w:hAnsi="Arial"/>
          <w:color w:val="231F20"/>
          <w:spacing w:val="-1"/>
          <w:sz w:val="20"/>
        </w:rPr>
        <w:t> </w:t>
      </w:r>
      <w:r>
        <w:rPr>
          <w:rFonts w:ascii="Arial" w:hAnsi="Arial"/>
          <w:color w:val="231F20"/>
          <w:spacing w:val="-1"/>
          <w:w w:val="99"/>
          <w:sz w:val="20"/>
        </w:rPr>
        <w:t>/</w:t>
      </w:r>
      <w:r>
        <w:rPr>
          <w:rFonts w:ascii="Arial" w:hAnsi="Arial"/>
          <w:color w:val="231F20"/>
          <w:w w:val="48"/>
          <w:sz w:val="20"/>
        </w:rPr>
        <w:t>Luz</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50"/>
          <w:sz w:val="20"/>
        </w:rPr>
        <w:t>López-Montaño</w:t>
      </w:r>
    </w:p>
    <w:p>
      <w:pPr>
        <w:pStyle w:val="BodyText"/>
        <w:spacing w:before="7"/>
        <w:rPr>
          <w:rFonts w:ascii="Arial"/>
          <w:sz w:val="28"/>
        </w:rPr>
      </w:pPr>
    </w:p>
    <w:p>
      <w:pPr>
        <w:pStyle w:val="BodyText"/>
        <w:spacing w:line="247" w:lineRule="auto"/>
        <w:ind w:left="117" w:right="115"/>
        <w:jc w:val="both"/>
      </w:pPr>
      <w:r>
        <w:rPr>
          <w:i/>
          <w:color w:val="231F20"/>
        </w:rPr>
        <w:t>al</w:t>
      </w:r>
      <w:r>
        <w:rPr>
          <w:color w:val="231F20"/>
        </w:rPr>
        <w:t>., 2003; Le Gall, 2005). La fuerza del vínculo antes y después de la mi- gración parental es una forma de comprender la intensidad de la vivencia familiar transnacional (Martín y Felipe, 2006; Zapata, 2011).</w:t>
      </w:r>
    </w:p>
    <w:p>
      <w:pPr>
        <w:pStyle w:val="BodyText"/>
        <w:spacing w:line="247" w:lineRule="auto"/>
        <w:ind w:left="117" w:right="114" w:firstLine="283"/>
        <w:jc w:val="both"/>
      </w:pPr>
      <w:r>
        <w:rPr>
          <w:color w:val="231F20"/>
        </w:rPr>
        <w:t>Junto con los componentes del concepto </w:t>
      </w:r>
      <w:r>
        <w:rPr>
          <w:i/>
          <w:color w:val="231F20"/>
        </w:rPr>
        <w:t>familia transnacional </w:t>
      </w:r>
      <w:r>
        <w:rPr>
          <w:color w:val="231F20"/>
        </w:rPr>
        <w:t>—vín- culos emocionales y afectivos, remesas, comunicación constante y hogar glocal—, se propone el concepto </w:t>
      </w:r>
      <w:r>
        <w:rPr>
          <w:i/>
          <w:color w:val="231F20"/>
        </w:rPr>
        <w:t>familia en situación de transnacionali- </w:t>
      </w:r>
      <w:r>
        <w:rPr>
          <w:i/>
          <w:color w:val="231F20"/>
        </w:rPr>
        <w:t>dad </w:t>
      </w:r>
      <w:r>
        <w:rPr>
          <w:color w:val="231F20"/>
          <w:position w:val="7"/>
          <w:sz w:val="13"/>
        </w:rPr>
        <w:t>6 </w:t>
      </w:r>
      <w:r>
        <w:rPr>
          <w:color w:val="231F20"/>
        </w:rPr>
        <w:t>para enfatizar la existencia de un grupo social en “un estado de tran- sitoriedad”</w:t>
      </w:r>
      <w:r>
        <w:rPr>
          <w:color w:val="231F20"/>
          <w:spacing w:val="-4"/>
        </w:rPr>
        <w:t> </w:t>
      </w:r>
      <w:r>
        <w:rPr>
          <w:color w:val="231F20"/>
        </w:rPr>
        <w:t>del</w:t>
      </w:r>
      <w:r>
        <w:rPr>
          <w:color w:val="231F20"/>
          <w:spacing w:val="-4"/>
        </w:rPr>
        <w:t> </w:t>
      </w:r>
      <w:r>
        <w:rPr>
          <w:color w:val="231F20"/>
        </w:rPr>
        <w:t>modo</w:t>
      </w:r>
      <w:r>
        <w:rPr>
          <w:color w:val="231F20"/>
          <w:spacing w:val="-4"/>
        </w:rPr>
        <w:t> </w:t>
      </w:r>
      <w:r>
        <w:rPr>
          <w:color w:val="231F20"/>
        </w:rPr>
        <w:t>de</w:t>
      </w:r>
      <w:r>
        <w:rPr>
          <w:color w:val="231F20"/>
          <w:spacing w:val="-4"/>
        </w:rPr>
        <w:t> </w:t>
      </w:r>
      <w:r>
        <w:rPr>
          <w:color w:val="231F20"/>
        </w:rPr>
        <w:t>vida</w:t>
      </w:r>
      <w:r>
        <w:rPr>
          <w:color w:val="231F20"/>
          <w:spacing w:val="-4"/>
        </w:rPr>
        <w:t> </w:t>
      </w:r>
      <w:r>
        <w:rPr>
          <w:color w:val="231F20"/>
        </w:rPr>
        <w:t>de</w:t>
      </w:r>
      <w:r>
        <w:rPr>
          <w:color w:val="231F20"/>
          <w:spacing w:val="-4"/>
        </w:rPr>
        <w:t> </w:t>
      </w:r>
      <w:r>
        <w:rPr>
          <w:color w:val="231F20"/>
        </w:rPr>
        <w:t>sus</w:t>
      </w:r>
      <w:r>
        <w:rPr>
          <w:color w:val="231F20"/>
          <w:spacing w:val="-4"/>
        </w:rPr>
        <w:t> </w:t>
      </w:r>
      <w:r>
        <w:rPr>
          <w:color w:val="231F20"/>
        </w:rPr>
        <w:t>integrantes</w:t>
      </w:r>
      <w:r>
        <w:rPr>
          <w:color w:val="231F20"/>
          <w:spacing w:val="-4"/>
        </w:rPr>
        <w:t> </w:t>
      </w:r>
      <w:r>
        <w:rPr>
          <w:color w:val="231F20"/>
        </w:rPr>
        <w:t>en</w:t>
      </w:r>
      <w:r>
        <w:rPr>
          <w:color w:val="231F20"/>
          <w:spacing w:val="-4"/>
        </w:rPr>
        <w:t> </w:t>
      </w:r>
      <w:r>
        <w:rPr>
          <w:color w:val="231F20"/>
        </w:rPr>
        <w:t>hogares</w:t>
      </w:r>
      <w:r>
        <w:rPr>
          <w:color w:val="231F20"/>
          <w:spacing w:val="-4"/>
        </w:rPr>
        <w:t> </w:t>
      </w:r>
      <w:r>
        <w:rPr>
          <w:color w:val="231F20"/>
        </w:rPr>
        <w:t>parentales</w:t>
      </w:r>
      <w:r>
        <w:rPr>
          <w:color w:val="231F20"/>
          <w:spacing w:val="-4"/>
        </w:rPr>
        <w:t> </w:t>
      </w:r>
      <w:r>
        <w:rPr>
          <w:color w:val="231F20"/>
        </w:rPr>
        <w:t>aquí y</w:t>
      </w:r>
      <w:r>
        <w:rPr>
          <w:color w:val="231F20"/>
          <w:spacing w:val="-5"/>
        </w:rPr>
        <w:t> </w:t>
      </w:r>
      <w:r>
        <w:rPr>
          <w:color w:val="231F20"/>
        </w:rPr>
        <w:t>más</w:t>
      </w:r>
      <w:r>
        <w:rPr>
          <w:color w:val="231F20"/>
          <w:spacing w:val="-5"/>
        </w:rPr>
        <w:t> </w:t>
      </w:r>
      <w:r>
        <w:rPr>
          <w:color w:val="231F20"/>
        </w:rPr>
        <w:t>allá</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fronteras</w:t>
      </w:r>
      <w:r>
        <w:rPr>
          <w:color w:val="231F20"/>
          <w:spacing w:val="-5"/>
        </w:rPr>
        <w:t> </w:t>
      </w:r>
      <w:r>
        <w:rPr>
          <w:color w:val="231F20"/>
        </w:rPr>
        <w:t>nacionales</w:t>
      </w:r>
      <w:r>
        <w:rPr>
          <w:color w:val="231F20"/>
          <w:spacing w:val="-5"/>
        </w:rPr>
        <w:t> </w:t>
      </w:r>
      <w:r>
        <w:rPr>
          <w:color w:val="231F20"/>
        </w:rPr>
        <w:t>y</w:t>
      </w:r>
      <w:r>
        <w:rPr>
          <w:color w:val="231F20"/>
          <w:spacing w:val="-5"/>
        </w:rPr>
        <w:t> </w:t>
      </w:r>
      <w:r>
        <w:rPr>
          <w:color w:val="231F20"/>
        </w:rPr>
        <w:t>con</w:t>
      </w:r>
      <w:r>
        <w:rPr>
          <w:color w:val="231F20"/>
          <w:spacing w:val="-5"/>
        </w:rPr>
        <w:t> </w:t>
      </w:r>
      <w:r>
        <w:rPr>
          <w:color w:val="231F20"/>
        </w:rPr>
        <w:t>un</w:t>
      </w:r>
      <w:r>
        <w:rPr>
          <w:color w:val="231F20"/>
          <w:spacing w:val="-5"/>
        </w:rPr>
        <w:t> </w:t>
      </w:r>
      <w:r>
        <w:rPr>
          <w:color w:val="231F20"/>
        </w:rPr>
        <w:t>“estado</w:t>
      </w:r>
      <w:r>
        <w:rPr>
          <w:color w:val="231F20"/>
          <w:spacing w:val="-6"/>
        </w:rPr>
        <w:t> </w:t>
      </w:r>
      <w:r>
        <w:rPr>
          <w:color w:val="231F20"/>
        </w:rPr>
        <w:t>de</w:t>
      </w:r>
      <w:r>
        <w:rPr>
          <w:color w:val="231F20"/>
          <w:spacing w:val="-5"/>
        </w:rPr>
        <w:t> </w:t>
      </w:r>
      <w:r>
        <w:rPr>
          <w:color w:val="231F20"/>
        </w:rPr>
        <w:t>continuidad</w:t>
      </w:r>
      <w:r>
        <w:rPr>
          <w:color w:val="231F20"/>
          <w:spacing w:val="-6"/>
        </w:rPr>
        <w:t> </w:t>
      </w:r>
      <w:r>
        <w:rPr>
          <w:color w:val="231F20"/>
        </w:rPr>
        <w:t>o</w:t>
      </w:r>
      <w:r>
        <w:rPr>
          <w:color w:val="231F20"/>
          <w:spacing w:val="-5"/>
        </w:rPr>
        <w:t> </w:t>
      </w:r>
      <w:r>
        <w:rPr>
          <w:color w:val="231F20"/>
        </w:rPr>
        <w:t>de cierta</w:t>
      </w:r>
      <w:r>
        <w:rPr>
          <w:color w:val="231F20"/>
          <w:spacing w:val="-12"/>
        </w:rPr>
        <w:t> </w:t>
      </w:r>
      <w:r>
        <w:rPr>
          <w:color w:val="231F20"/>
        </w:rPr>
        <w:t>estabilidad”</w:t>
      </w:r>
      <w:r>
        <w:rPr>
          <w:color w:val="231F20"/>
          <w:spacing w:val="-12"/>
        </w:rPr>
        <w:t> </w:t>
      </w:r>
      <w:r>
        <w:rPr>
          <w:color w:val="231F20"/>
        </w:rPr>
        <w:t>que</w:t>
      </w:r>
      <w:r>
        <w:rPr>
          <w:color w:val="231F20"/>
          <w:spacing w:val="-11"/>
        </w:rPr>
        <w:t> </w:t>
      </w:r>
      <w:r>
        <w:rPr>
          <w:color w:val="231F20"/>
        </w:rPr>
        <w:t>se</w:t>
      </w:r>
      <w:r>
        <w:rPr>
          <w:color w:val="231F20"/>
          <w:spacing w:val="-11"/>
        </w:rPr>
        <w:t> </w:t>
      </w:r>
      <w:r>
        <w:rPr>
          <w:color w:val="231F20"/>
        </w:rPr>
        <w:t>sustenta</w:t>
      </w:r>
      <w:r>
        <w:rPr>
          <w:color w:val="231F20"/>
          <w:spacing w:val="-11"/>
        </w:rPr>
        <w:t> </w:t>
      </w:r>
      <w:r>
        <w:rPr>
          <w:color w:val="231F20"/>
        </w:rPr>
        <w:t>en</w:t>
      </w:r>
      <w:r>
        <w:rPr>
          <w:color w:val="231F20"/>
          <w:spacing w:val="-12"/>
        </w:rPr>
        <w:t> </w:t>
      </w:r>
      <w:r>
        <w:rPr>
          <w:color w:val="231F20"/>
        </w:rPr>
        <w:t>un</w:t>
      </w:r>
      <w:r>
        <w:rPr>
          <w:color w:val="231F20"/>
          <w:spacing w:val="-11"/>
        </w:rPr>
        <w:t> </w:t>
      </w:r>
      <w:r>
        <w:rPr>
          <w:color w:val="231F20"/>
        </w:rPr>
        <w:t>proyecto</w:t>
      </w:r>
      <w:r>
        <w:rPr>
          <w:color w:val="231F20"/>
          <w:spacing w:val="-12"/>
        </w:rPr>
        <w:t> </w:t>
      </w:r>
      <w:r>
        <w:rPr>
          <w:color w:val="231F20"/>
        </w:rPr>
        <w:t>familiar,</w:t>
      </w:r>
      <w:r>
        <w:rPr>
          <w:color w:val="231F20"/>
          <w:spacing w:val="-12"/>
        </w:rPr>
        <w:t> </w:t>
      </w:r>
      <w:r>
        <w:rPr>
          <w:color w:val="231F20"/>
        </w:rPr>
        <w:t>el</w:t>
      </w:r>
      <w:r>
        <w:rPr>
          <w:color w:val="231F20"/>
          <w:spacing w:val="-11"/>
        </w:rPr>
        <w:t> </w:t>
      </w:r>
      <w:r>
        <w:rPr>
          <w:color w:val="231F20"/>
        </w:rPr>
        <w:t>cual,</w:t>
      </w:r>
      <w:r>
        <w:rPr>
          <w:color w:val="231F20"/>
          <w:spacing w:val="-12"/>
        </w:rPr>
        <w:t> </w:t>
      </w:r>
      <w:r>
        <w:rPr>
          <w:color w:val="231F20"/>
        </w:rPr>
        <w:t>a</w:t>
      </w:r>
      <w:r>
        <w:rPr>
          <w:color w:val="231F20"/>
          <w:spacing w:val="-11"/>
        </w:rPr>
        <w:t> </w:t>
      </w:r>
      <w:r>
        <w:rPr>
          <w:color w:val="231F20"/>
        </w:rPr>
        <w:t>su</w:t>
      </w:r>
      <w:r>
        <w:rPr>
          <w:color w:val="231F20"/>
          <w:spacing w:val="-11"/>
        </w:rPr>
        <w:t> </w:t>
      </w:r>
      <w:r>
        <w:rPr>
          <w:color w:val="231F20"/>
        </w:rPr>
        <w:t>vez, es evidencia de sus vínculos emocionales y afectivos, organización</w:t>
      </w:r>
      <w:r>
        <w:rPr>
          <w:color w:val="231F20"/>
          <w:spacing w:val="-37"/>
        </w:rPr>
        <w:t> </w:t>
      </w:r>
      <w:r>
        <w:rPr>
          <w:color w:val="231F20"/>
        </w:rPr>
        <w:t>econó- mica familiar, coparticipación parental en origen o destino en el cuidado de los integrantes con énfasis en aquellos dependientes y con expectativas de futuro compartido y proyecciones de retorno o reunificación o sin ellos (López, 2012).</w:t>
      </w:r>
    </w:p>
    <w:p>
      <w:pPr>
        <w:pStyle w:val="BodyText"/>
        <w:spacing w:line="247" w:lineRule="auto"/>
        <w:ind w:left="117" w:right="115" w:firstLine="283"/>
        <w:jc w:val="both"/>
      </w:pPr>
      <w:r>
        <w:rPr>
          <w:color w:val="231F20"/>
        </w:rPr>
        <w:t>La </w:t>
      </w:r>
      <w:r>
        <w:rPr>
          <w:i/>
          <w:color w:val="231F20"/>
        </w:rPr>
        <w:t>situación</w:t>
      </w:r>
      <w:r>
        <w:rPr>
          <w:i/>
          <w:color w:val="231F20"/>
          <w:position w:val="7"/>
          <w:sz w:val="13"/>
        </w:rPr>
        <w:t>7 </w:t>
      </w:r>
      <w:r>
        <w:rPr>
          <w:i/>
          <w:color w:val="231F20"/>
        </w:rPr>
        <w:t>de transnacionalidad </w:t>
      </w:r>
      <w:r>
        <w:rPr>
          <w:color w:val="231F20"/>
        </w:rPr>
        <w:t>en o de la familia, señala una di- námica particular de interacción, de conexión constante —comunicativa, emocional, proyectiva— que posibilita la sostenibilidad del sentido rela- cional y vinculante entre los integrantes de la familia. Se caracteriza por su condición de movimiento generacional, de género, demandas de ser y atención</w:t>
      </w:r>
      <w:r>
        <w:rPr>
          <w:color w:val="231F20"/>
          <w:spacing w:val="-4"/>
        </w:rPr>
        <w:t> </w:t>
      </w:r>
      <w:r>
        <w:rPr>
          <w:color w:val="231F20"/>
        </w:rPr>
        <w:t>que</w:t>
      </w:r>
      <w:r>
        <w:rPr>
          <w:color w:val="231F20"/>
          <w:spacing w:val="-4"/>
        </w:rPr>
        <w:t> </w:t>
      </w:r>
      <w:r>
        <w:rPr>
          <w:color w:val="231F20"/>
        </w:rPr>
        <w:t>enfatizan</w:t>
      </w:r>
      <w:r>
        <w:rPr>
          <w:color w:val="231F20"/>
          <w:spacing w:val="-4"/>
        </w:rPr>
        <w:t> </w:t>
      </w:r>
      <w:r>
        <w:rPr>
          <w:color w:val="231F20"/>
        </w:rPr>
        <w:t>el</w:t>
      </w:r>
      <w:r>
        <w:rPr>
          <w:color w:val="231F20"/>
          <w:spacing w:val="-4"/>
        </w:rPr>
        <w:t> </w:t>
      </w:r>
      <w:r>
        <w:rPr>
          <w:color w:val="231F20"/>
        </w:rPr>
        <w:t>cuidado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hijos</w:t>
      </w:r>
      <w:r>
        <w:rPr>
          <w:color w:val="231F20"/>
          <w:spacing w:val="-4"/>
        </w:rPr>
        <w:t> </w:t>
      </w:r>
      <w:r>
        <w:rPr>
          <w:color w:val="231F20"/>
        </w:rPr>
        <w:t>e</w:t>
      </w:r>
      <w:r>
        <w:rPr>
          <w:color w:val="231F20"/>
          <w:spacing w:val="-4"/>
        </w:rPr>
        <w:t> </w:t>
      </w:r>
      <w:r>
        <w:rPr>
          <w:color w:val="231F20"/>
        </w:rPr>
        <w:t>hijas</w:t>
      </w:r>
      <w:r>
        <w:rPr>
          <w:color w:val="231F20"/>
          <w:spacing w:val="-4"/>
        </w:rPr>
        <w:t> </w:t>
      </w:r>
      <w:r>
        <w:rPr>
          <w:color w:val="231F20"/>
        </w:rPr>
        <w:t>—niños,</w:t>
      </w:r>
      <w:r>
        <w:rPr>
          <w:color w:val="231F20"/>
          <w:spacing w:val="-4"/>
        </w:rPr>
        <w:t> </w:t>
      </w:r>
      <w:r>
        <w:rPr>
          <w:color w:val="231F20"/>
        </w:rPr>
        <w:t>niñas</w:t>
      </w:r>
      <w:r>
        <w:rPr>
          <w:color w:val="231F20"/>
          <w:spacing w:val="-4"/>
        </w:rPr>
        <w:t> </w:t>
      </w:r>
      <w:r>
        <w:rPr>
          <w:color w:val="231F20"/>
        </w:rPr>
        <w:t>y</w:t>
      </w:r>
      <w:r>
        <w:rPr>
          <w:color w:val="231F20"/>
          <w:spacing w:val="-4"/>
        </w:rPr>
        <w:t> </w:t>
      </w:r>
      <w:r>
        <w:rPr>
          <w:color w:val="231F20"/>
        </w:rPr>
        <w:t>ado- lescentes— su educación, crianza y cuidado</w:t>
      </w:r>
      <w:r>
        <w:rPr>
          <w:color w:val="231F20"/>
          <w:spacing w:val="-5"/>
        </w:rPr>
        <w:t> </w:t>
      </w:r>
      <w:r>
        <w:rPr>
          <w:color w:val="231F20"/>
        </w:rPr>
        <w:t>personal.</w:t>
      </w:r>
    </w:p>
    <w:p>
      <w:pPr>
        <w:pStyle w:val="BodyText"/>
        <w:spacing w:line="247" w:lineRule="auto"/>
        <w:ind w:left="117" w:right="114" w:firstLine="283"/>
        <w:jc w:val="both"/>
      </w:pPr>
      <w:r>
        <w:rPr>
          <w:color w:val="231F20"/>
        </w:rPr>
        <w:t>La familia en situación de transnacionalidad, se asocia más a la com- prensión de un vivir familiar transnacional que a una tipología familiar convencional definida por la participación en un hogar como unidad de co-residencia</w:t>
      </w:r>
      <w:r>
        <w:rPr>
          <w:color w:val="231F20"/>
          <w:spacing w:val="-8"/>
        </w:rPr>
        <w:t> </w:t>
      </w:r>
      <w:r>
        <w:rPr>
          <w:color w:val="231F20"/>
        </w:rPr>
        <w:t>y</w:t>
      </w:r>
      <w:r>
        <w:rPr>
          <w:color w:val="231F20"/>
          <w:spacing w:val="-7"/>
        </w:rPr>
        <w:t> </w:t>
      </w:r>
      <w:r>
        <w:rPr>
          <w:color w:val="231F20"/>
        </w:rPr>
        <w:t>de</w:t>
      </w:r>
      <w:r>
        <w:rPr>
          <w:color w:val="231F20"/>
          <w:spacing w:val="-7"/>
        </w:rPr>
        <w:t> </w:t>
      </w:r>
      <w:r>
        <w:rPr>
          <w:color w:val="231F20"/>
        </w:rPr>
        <w:t>co-presencia</w:t>
      </w:r>
      <w:r>
        <w:rPr>
          <w:color w:val="231F20"/>
          <w:spacing w:val="-7"/>
        </w:rPr>
        <w:t> </w:t>
      </w:r>
      <w:r>
        <w:rPr>
          <w:color w:val="231F20"/>
        </w:rPr>
        <w:t>física</w:t>
      </w:r>
      <w:r>
        <w:rPr>
          <w:color w:val="231F20"/>
          <w:spacing w:val="-8"/>
        </w:rPr>
        <w:t> </w:t>
      </w:r>
      <w:r>
        <w:rPr>
          <w:color w:val="231F20"/>
        </w:rPr>
        <w:t>(Sánchez</w:t>
      </w:r>
      <w:r>
        <w:rPr>
          <w:color w:val="231F20"/>
          <w:spacing w:val="-7"/>
        </w:rPr>
        <w:t> </w:t>
      </w:r>
      <w:r>
        <w:rPr>
          <w:i/>
          <w:color w:val="231F20"/>
        </w:rPr>
        <w:t>et</w:t>
      </w:r>
      <w:r>
        <w:rPr>
          <w:i/>
          <w:color w:val="231F20"/>
          <w:spacing w:val="-7"/>
        </w:rPr>
        <w:t> </w:t>
      </w:r>
      <w:r>
        <w:rPr>
          <w:i/>
          <w:color w:val="231F20"/>
        </w:rPr>
        <w:t>al</w:t>
      </w:r>
      <w:r>
        <w:rPr>
          <w:color w:val="231F20"/>
        </w:rPr>
        <w:t>.,</w:t>
      </w:r>
      <w:r>
        <w:rPr>
          <w:color w:val="231F20"/>
          <w:spacing w:val="-7"/>
        </w:rPr>
        <w:t> </w:t>
      </w:r>
      <w:r>
        <w:rPr>
          <w:color w:val="231F20"/>
        </w:rPr>
        <w:t>2012).</w:t>
      </w:r>
      <w:r>
        <w:rPr>
          <w:color w:val="231F20"/>
          <w:spacing w:val="-7"/>
        </w:rPr>
        <w:t> </w:t>
      </w:r>
      <w:r>
        <w:rPr>
          <w:color w:val="231F20"/>
        </w:rPr>
        <w:t>Este</w:t>
      </w:r>
      <w:r>
        <w:rPr>
          <w:color w:val="231F20"/>
          <w:spacing w:val="-8"/>
        </w:rPr>
        <w:t> </w:t>
      </w:r>
      <w:r>
        <w:rPr>
          <w:color w:val="231F20"/>
        </w:rPr>
        <w:t>modo</w:t>
      </w:r>
      <w:r>
        <w:rPr>
          <w:color w:val="231F20"/>
          <w:spacing w:val="-8"/>
        </w:rPr>
        <w:t> </w:t>
      </w:r>
      <w:r>
        <w:rPr>
          <w:color w:val="231F20"/>
        </w:rPr>
        <w:t>de vivir familiar vincula varias realidades locales en el entorno internacional, realidades que constituyen espacios referenciales para sus miembros, ha- ciendo</w:t>
      </w:r>
      <w:r>
        <w:rPr>
          <w:color w:val="231F20"/>
          <w:spacing w:val="-9"/>
        </w:rPr>
        <w:t> </w:t>
      </w:r>
      <w:r>
        <w:rPr>
          <w:color w:val="231F20"/>
        </w:rPr>
        <w:t>necesaria</w:t>
      </w:r>
      <w:r>
        <w:rPr>
          <w:color w:val="231F20"/>
          <w:spacing w:val="-9"/>
        </w:rPr>
        <w:t> </w:t>
      </w:r>
      <w:r>
        <w:rPr>
          <w:color w:val="231F20"/>
        </w:rPr>
        <w:t>la</w:t>
      </w:r>
      <w:r>
        <w:rPr>
          <w:color w:val="231F20"/>
          <w:spacing w:val="-9"/>
        </w:rPr>
        <w:t> </w:t>
      </w:r>
      <w:r>
        <w:rPr>
          <w:color w:val="231F20"/>
        </w:rPr>
        <w:t>reactivación</w:t>
      </w:r>
      <w:r>
        <w:rPr>
          <w:color w:val="231F20"/>
          <w:spacing w:val="-9"/>
        </w:rPr>
        <w:t> </w:t>
      </w:r>
      <w:r>
        <w:rPr>
          <w:color w:val="231F20"/>
        </w:rPr>
        <w:t>constante</w:t>
      </w:r>
      <w:r>
        <w:rPr>
          <w:color w:val="231F20"/>
          <w:spacing w:val="-9"/>
        </w:rPr>
        <w:t> </w:t>
      </w:r>
      <w:r>
        <w:rPr>
          <w:color w:val="231F20"/>
        </w:rPr>
        <w:t>de</w:t>
      </w:r>
      <w:r>
        <w:rPr>
          <w:color w:val="231F20"/>
          <w:spacing w:val="-9"/>
        </w:rPr>
        <w:t> </w:t>
      </w:r>
      <w:r>
        <w:rPr>
          <w:color w:val="231F20"/>
        </w:rPr>
        <w:t>vínculos</w:t>
      </w:r>
      <w:r>
        <w:rPr>
          <w:color w:val="231F20"/>
          <w:spacing w:val="-9"/>
        </w:rPr>
        <w:t> </w:t>
      </w:r>
      <w:r>
        <w:rPr>
          <w:color w:val="231F20"/>
        </w:rPr>
        <w:t>interpersonales</w:t>
      </w:r>
      <w:r>
        <w:rPr>
          <w:color w:val="231F20"/>
          <w:spacing w:val="-9"/>
        </w:rPr>
        <w:t> </w:t>
      </w:r>
      <w:r>
        <w:rPr>
          <w:color w:val="231F20"/>
        </w:rPr>
        <w:t>a</w:t>
      </w:r>
      <w:r>
        <w:rPr>
          <w:color w:val="231F20"/>
          <w:spacing w:val="-9"/>
        </w:rPr>
        <w:t> </w:t>
      </w:r>
      <w:r>
        <w:rPr>
          <w:color w:val="231F20"/>
        </w:rPr>
        <w:t>fin de mantener la integridad y la preservación familiar con un alto contenido afectivo y simbólico (Ariza, 2002). Se mantiene el apego mediado por la eventualidad del retorno (Espinosa, 1998 citado por Ariza, 2002) en algu- nas de las</w:t>
      </w:r>
      <w:r>
        <w:rPr>
          <w:color w:val="231F20"/>
          <w:spacing w:val="-1"/>
        </w:rPr>
        <w:t> </w:t>
      </w:r>
      <w:r>
        <w:rPr>
          <w:color w:val="231F20"/>
        </w:rPr>
        <w:t>familias.</w:t>
      </w:r>
    </w:p>
    <w:p>
      <w:pPr>
        <w:pStyle w:val="BodyText"/>
        <w:spacing w:line="247" w:lineRule="auto"/>
        <w:ind w:left="117" w:right="114" w:firstLine="283"/>
        <w:jc w:val="both"/>
      </w:pPr>
      <w:r>
        <w:rPr/>
        <w:pict>
          <v:line style="position:absolute;mso-position-horizontal-relative:page;mso-position-vertical-relative:paragraph;z-index:2416;mso-wrap-distance-left:0;mso-wrap-distance-right:0" from="70.866096pt,32.868137pt" to="142.866096pt,32.868137pt" stroked="true" strokeweight=".75pt" strokecolor="#231f20">
            <w10:wrap type="topAndBottom"/>
          </v:line>
        </w:pict>
      </w:r>
      <w:r>
        <w:rPr>
          <w:color w:val="231F20"/>
        </w:rPr>
        <w:t>La</w:t>
      </w:r>
      <w:r>
        <w:rPr>
          <w:color w:val="231F20"/>
          <w:spacing w:val="-11"/>
        </w:rPr>
        <w:t> </w:t>
      </w:r>
      <w:r>
        <w:rPr>
          <w:color w:val="231F20"/>
        </w:rPr>
        <w:t>situación</w:t>
      </w:r>
      <w:r>
        <w:rPr>
          <w:color w:val="231F20"/>
          <w:spacing w:val="-11"/>
        </w:rPr>
        <w:t> </w:t>
      </w:r>
      <w:r>
        <w:rPr>
          <w:color w:val="231F20"/>
        </w:rPr>
        <w:t>de</w:t>
      </w:r>
      <w:r>
        <w:rPr>
          <w:color w:val="231F20"/>
          <w:spacing w:val="-11"/>
        </w:rPr>
        <w:t> </w:t>
      </w:r>
      <w:r>
        <w:rPr>
          <w:color w:val="231F20"/>
        </w:rPr>
        <w:t>transnacionalidad,</w:t>
      </w:r>
      <w:r>
        <w:rPr>
          <w:color w:val="231F20"/>
          <w:spacing w:val="-11"/>
        </w:rPr>
        <w:t> </w:t>
      </w:r>
      <w:r>
        <w:rPr>
          <w:color w:val="231F20"/>
        </w:rPr>
        <w:t>da</w:t>
      </w:r>
      <w:r>
        <w:rPr>
          <w:color w:val="231F20"/>
          <w:spacing w:val="-11"/>
        </w:rPr>
        <w:t> </w:t>
      </w:r>
      <w:r>
        <w:rPr>
          <w:color w:val="231F20"/>
        </w:rPr>
        <w:t>cuenta</w:t>
      </w:r>
      <w:r>
        <w:rPr>
          <w:color w:val="231F20"/>
          <w:spacing w:val="-12"/>
        </w:rPr>
        <w:t> </w:t>
      </w:r>
      <w:r>
        <w:rPr>
          <w:color w:val="231F20"/>
        </w:rPr>
        <w:t>de</w:t>
      </w:r>
      <w:r>
        <w:rPr>
          <w:color w:val="231F20"/>
          <w:spacing w:val="-11"/>
        </w:rPr>
        <w:t> </w:t>
      </w:r>
      <w:r>
        <w:rPr>
          <w:color w:val="231F20"/>
        </w:rPr>
        <w:t>un</w:t>
      </w:r>
      <w:r>
        <w:rPr>
          <w:color w:val="231F20"/>
          <w:spacing w:val="-11"/>
        </w:rPr>
        <w:t> </w:t>
      </w:r>
      <w:r>
        <w:rPr>
          <w:color w:val="231F20"/>
        </w:rPr>
        <w:t>estado</w:t>
      </w:r>
      <w:r>
        <w:rPr>
          <w:color w:val="231F20"/>
          <w:spacing w:val="-12"/>
        </w:rPr>
        <w:t> </w:t>
      </w:r>
      <w:r>
        <w:rPr>
          <w:color w:val="231F20"/>
        </w:rPr>
        <w:t>de</w:t>
      </w:r>
      <w:r>
        <w:rPr>
          <w:color w:val="231F20"/>
          <w:spacing w:val="-11"/>
        </w:rPr>
        <w:t> </w:t>
      </w:r>
      <w:r>
        <w:rPr>
          <w:color w:val="231F20"/>
        </w:rPr>
        <w:t>transitorie- dad —de la migración, del cuidado de hijos e hijas— de una condición  </w:t>
      </w:r>
      <w:r>
        <w:rPr>
          <w:color w:val="231F20"/>
          <w:spacing w:val="3"/>
        </w:rPr>
        <w:t> </w:t>
      </w:r>
      <w:r>
        <w:rPr>
          <w:color w:val="231F20"/>
        </w:rPr>
        <w:t>y</w:t>
      </w:r>
    </w:p>
    <w:p>
      <w:pPr>
        <w:spacing w:line="170" w:lineRule="exact" w:before="0"/>
        <w:ind w:left="117" w:right="115" w:firstLine="0"/>
        <w:jc w:val="both"/>
        <w:rPr>
          <w:sz w:val="17"/>
        </w:rPr>
      </w:pPr>
      <w:r>
        <w:rPr>
          <w:color w:val="231F20"/>
          <w:position w:val="6"/>
          <w:sz w:val="10"/>
        </w:rPr>
        <w:t>6 </w:t>
      </w:r>
      <w:r>
        <w:rPr>
          <w:color w:val="231F20"/>
          <w:sz w:val="17"/>
        </w:rPr>
        <w:t>Este concepto fue puesto en discusión por el grupo de investigación en las investigaciones: “Cambios y conflictos de las familias frente a la migración internacional” (2008-2011) y “Tra- yectorias de familia e infancia ante la migración internacional paterna o materna” (2010).</w:t>
      </w:r>
    </w:p>
    <w:p>
      <w:pPr>
        <w:spacing w:line="170" w:lineRule="exact" w:before="0"/>
        <w:ind w:left="117" w:right="115" w:firstLine="0"/>
        <w:jc w:val="both"/>
        <w:rPr>
          <w:sz w:val="17"/>
        </w:rPr>
      </w:pPr>
      <w:r>
        <w:rPr>
          <w:color w:val="231F20"/>
          <w:position w:val="6"/>
          <w:sz w:val="10"/>
        </w:rPr>
        <w:t>7 </w:t>
      </w:r>
      <w:r>
        <w:rPr>
          <w:color w:val="231F20"/>
          <w:sz w:val="17"/>
        </w:rPr>
        <w:t>La definición de situación es puesta por el interaccionismo simbólico para referirse a los pro- ductos del proceso de simbolización, en la medida en que toda situación de interacción social debe ser simbolizada, antes de generar cursos de acción, comportamientos, decisiones</w:t>
      </w:r>
      <w:r>
        <w:rPr>
          <w:color w:val="006FC0"/>
          <w:sz w:val="17"/>
        </w:rPr>
        <w:t>.</w:t>
      </w:r>
    </w:p>
    <w:p>
      <w:pPr>
        <w:spacing w:after="0" w:line="170" w:lineRule="exact"/>
        <w:jc w:val="both"/>
        <w:rPr>
          <w:sz w:val="17"/>
        </w:rPr>
        <w:sectPr>
          <w:footerReference w:type="default" r:id="rId87"/>
          <w:pgSz w:w="9360" w:h="13040"/>
          <w:pgMar w:footer="496" w:header="0" w:top="740" w:bottom="680" w:left="1300" w:right="1300"/>
          <w:pgNumType w:start="81"/>
        </w:sectPr>
      </w:pPr>
    </w:p>
    <w:p>
      <w:pPr>
        <w:tabs>
          <w:tab w:pos="5536" w:val="left" w:leader="none"/>
        </w:tabs>
        <w:spacing w:before="48"/>
        <w:ind w:left="117" w:right="0" w:firstLine="2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jc w:val="both"/>
      </w:pPr>
      <w:r>
        <w:rPr>
          <w:color w:val="231F20"/>
        </w:rPr>
        <w:t>simultaneidad</w:t>
      </w:r>
      <w:r>
        <w:rPr>
          <w:color w:val="231F20"/>
          <w:spacing w:val="-6"/>
        </w:rPr>
        <w:t> </w:t>
      </w:r>
      <w:r>
        <w:rPr>
          <w:color w:val="231F20"/>
        </w:rPr>
        <w:t>de</w:t>
      </w:r>
      <w:r>
        <w:rPr>
          <w:color w:val="231F20"/>
          <w:spacing w:val="-7"/>
        </w:rPr>
        <w:t> </w:t>
      </w:r>
      <w:r>
        <w:rPr>
          <w:color w:val="231F20"/>
        </w:rPr>
        <w:t>la</w:t>
      </w:r>
      <w:r>
        <w:rPr>
          <w:color w:val="231F20"/>
          <w:spacing w:val="-8"/>
        </w:rPr>
        <w:t> </w:t>
      </w:r>
      <w:r>
        <w:rPr>
          <w:color w:val="231F20"/>
        </w:rPr>
        <w:t>constancia</w:t>
      </w:r>
      <w:r>
        <w:rPr>
          <w:color w:val="231F20"/>
          <w:spacing w:val="-7"/>
        </w:rPr>
        <w:t> </w:t>
      </w:r>
      <w:r>
        <w:rPr>
          <w:color w:val="231F20"/>
        </w:rPr>
        <w:t>—se</w:t>
      </w:r>
      <w:r>
        <w:rPr>
          <w:color w:val="231F20"/>
          <w:spacing w:val="-7"/>
        </w:rPr>
        <w:t> </w:t>
      </w:r>
      <w:r>
        <w:rPr>
          <w:color w:val="231F20"/>
        </w:rPr>
        <w:t>es,</w:t>
      </w:r>
      <w:r>
        <w:rPr>
          <w:color w:val="231F20"/>
          <w:spacing w:val="-7"/>
        </w:rPr>
        <w:t> </w:t>
      </w:r>
      <w:r>
        <w:rPr>
          <w:color w:val="231F20"/>
        </w:rPr>
        <w:t>se</w:t>
      </w:r>
      <w:r>
        <w:rPr>
          <w:color w:val="231F20"/>
          <w:spacing w:val="-7"/>
        </w:rPr>
        <w:t> </w:t>
      </w:r>
      <w:r>
        <w:rPr>
          <w:color w:val="231F20"/>
        </w:rPr>
        <w:t>permanece—</w:t>
      </w:r>
      <w:r>
        <w:rPr>
          <w:color w:val="231F20"/>
          <w:spacing w:val="-7"/>
        </w:rPr>
        <w:t> </w:t>
      </w:r>
      <w:r>
        <w:rPr>
          <w:color w:val="231F20"/>
        </w:rPr>
        <w:t>y</w:t>
      </w:r>
      <w:r>
        <w:rPr>
          <w:color w:val="231F20"/>
          <w:spacing w:val="-7"/>
        </w:rPr>
        <w:t> </w:t>
      </w:r>
      <w:r>
        <w:rPr>
          <w:color w:val="231F20"/>
        </w:rPr>
        <w:t>del</w:t>
      </w:r>
      <w:r>
        <w:rPr>
          <w:color w:val="231F20"/>
          <w:spacing w:val="-7"/>
        </w:rPr>
        <w:t> </w:t>
      </w:r>
      <w:r>
        <w:rPr>
          <w:color w:val="231F20"/>
        </w:rPr>
        <w:t>tránsito</w:t>
      </w:r>
      <w:r>
        <w:rPr>
          <w:color w:val="231F20"/>
          <w:spacing w:val="-8"/>
        </w:rPr>
        <w:t> </w:t>
      </w:r>
      <w:r>
        <w:rPr>
          <w:color w:val="231F20"/>
        </w:rPr>
        <w:t>—es movimiento, denota cambio— asociados a la promesa de retorno, reunifi- cación o futuro compartido, no siempre ligado a una idea de futura corre- sidencia;</w:t>
      </w:r>
      <w:r>
        <w:rPr>
          <w:color w:val="231F20"/>
          <w:spacing w:val="-9"/>
        </w:rPr>
        <w:t> </w:t>
      </w:r>
      <w:r>
        <w:rPr>
          <w:color w:val="231F20"/>
        </w:rPr>
        <w:t>también</w:t>
      </w:r>
      <w:r>
        <w:rPr>
          <w:color w:val="231F20"/>
          <w:spacing w:val="-9"/>
        </w:rPr>
        <w:t> </w:t>
      </w:r>
      <w:r>
        <w:rPr>
          <w:color w:val="231F20"/>
        </w:rPr>
        <w:t>señala</w:t>
      </w:r>
      <w:r>
        <w:rPr>
          <w:color w:val="231F20"/>
          <w:spacing w:val="-9"/>
        </w:rPr>
        <w:t> </w:t>
      </w:r>
      <w:r>
        <w:rPr>
          <w:color w:val="231F20"/>
        </w:rPr>
        <w:t>la</w:t>
      </w:r>
      <w:r>
        <w:rPr>
          <w:color w:val="231F20"/>
          <w:spacing w:val="-9"/>
        </w:rPr>
        <w:t> </w:t>
      </w:r>
      <w:r>
        <w:rPr>
          <w:color w:val="231F20"/>
        </w:rPr>
        <w:t>redefinición</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dinámicas</w:t>
      </w:r>
      <w:r>
        <w:rPr>
          <w:color w:val="231F20"/>
          <w:spacing w:val="-9"/>
        </w:rPr>
        <w:t> </w:t>
      </w:r>
      <w:r>
        <w:rPr>
          <w:color w:val="231F20"/>
        </w:rPr>
        <w:t>familiares</w:t>
      </w:r>
      <w:r>
        <w:rPr>
          <w:color w:val="231F20"/>
          <w:spacing w:val="-9"/>
        </w:rPr>
        <w:t> </w:t>
      </w:r>
      <w:r>
        <w:rPr>
          <w:color w:val="231F20"/>
        </w:rPr>
        <w:t>locales con</w:t>
      </w:r>
      <w:r>
        <w:rPr>
          <w:color w:val="231F20"/>
          <w:spacing w:val="-9"/>
        </w:rPr>
        <w:t> </w:t>
      </w:r>
      <w:r>
        <w:rPr>
          <w:color w:val="231F20"/>
        </w:rPr>
        <w:t>acuerdos</w:t>
      </w:r>
      <w:r>
        <w:rPr>
          <w:color w:val="231F20"/>
          <w:spacing w:val="-9"/>
        </w:rPr>
        <w:t> </w:t>
      </w:r>
      <w:r>
        <w:rPr>
          <w:color w:val="231F20"/>
        </w:rPr>
        <w:t>implícitos</w:t>
      </w:r>
      <w:r>
        <w:rPr>
          <w:color w:val="231F20"/>
          <w:spacing w:val="-9"/>
        </w:rPr>
        <w:t> </w:t>
      </w:r>
      <w:r>
        <w:rPr>
          <w:color w:val="231F20"/>
        </w:rPr>
        <w:t>y</w:t>
      </w:r>
      <w:r>
        <w:rPr>
          <w:color w:val="231F20"/>
          <w:spacing w:val="-9"/>
        </w:rPr>
        <w:t> </w:t>
      </w:r>
      <w:r>
        <w:rPr>
          <w:color w:val="231F20"/>
        </w:rPr>
        <w:t>explícitos</w:t>
      </w:r>
      <w:r>
        <w:rPr>
          <w:color w:val="231F20"/>
          <w:spacing w:val="-9"/>
        </w:rPr>
        <w:t> </w:t>
      </w:r>
      <w:r>
        <w:rPr>
          <w:color w:val="231F20"/>
        </w:rPr>
        <w:t>de</w:t>
      </w:r>
      <w:r>
        <w:rPr>
          <w:color w:val="231F20"/>
          <w:spacing w:val="-9"/>
        </w:rPr>
        <w:t> </w:t>
      </w:r>
      <w:r>
        <w:rPr>
          <w:color w:val="231F20"/>
        </w:rPr>
        <w:t>cuidado,</w:t>
      </w:r>
      <w:r>
        <w:rPr>
          <w:color w:val="231F20"/>
          <w:spacing w:val="-9"/>
        </w:rPr>
        <w:t> </w:t>
      </w:r>
      <w:r>
        <w:rPr>
          <w:color w:val="231F20"/>
        </w:rPr>
        <w:t>crianza</w:t>
      </w:r>
      <w:r>
        <w:rPr>
          <w:color w:val="231F20"/>
          <w:spacing w:val="-9"/>
        </w:rPr>
        <w:t> </w:t>
      </w:r>
      <w:r>
        <w:rPr>
          <w:color w:val="231F20"/>
        </w:rPr>
        <w:t>y</w:t>
      </w:r>
      <w:r>
        <w:rPr>
          <w:color w:val="231F20"/>
          <w:spacing w:val="-9"/>
        </w:rPr>
        <w:t> </w:t>
      </w:r>
      <w:r>
        <w:rPr>
          <w:color w:val="231F20"/>
        </w:rPr>
        <w:t>educación</w:t>
      </w:r>
      <w:r>
        <w:rPr>
          <w:color w:val="231F20"/>
          <w:spacing w:val="-9"/>
        </w:rPr>
        <w:t> </w:t>
      </w:r>
      <w:r>
        <w:rPr>
          <w:color w:val="231F20"/>
        </w:rPr>
        <w:t>de</w:t>
      </w:r>
      <w:r>
        <w:rPr>
          <w:color w:val="231F20"/>
          <w:spacing w:val="-9"/>
        </w:rPr>
        <w:t> </w:t>
      </w:r>
      <w:r>
        <w:rPr>
          <w:color w:val="231F20"/>
        </w:rPr>
        <w:t>los hijos e hijas en etapas de infancia o adolescencia, las remesas económicas y sociales y el</w:t>
      </w:r>
      <w:r>
        <w:rPr>
          <w:color w:val="231F20"/>
          <w:spacing w:val="-7"/>
        </w:rPr>
        <w:t> </w:t>
      </w:r>
      <w:r>
        <w:rPr>
          <w:color w:val="231F20"/>
        </w:rPr>
        <w:t>patrimonio.</w:t>
      </w:r>
    </w:p>
    <w:p>
      <w:pPr>
        <w:pStyle w:val="BodyText"/>
        <w:spacing w:line="247" w:lineRule="auto"/>
        <w:ind w:left="117" w:right="114" w:firstLine="283"/>
        <w:jc w:val="both"/>
      </w:pPr>
      <w:r>
        <w:rPr>
          <w:color w:val="231F20"/>
        </w:rPr>
        <w:t>Asimismo, algunas familias en situación de transnacionalidad conser- van</w:t>
      </w:r>
      <w:r>
        <w:rPr>
          <w:color w:val="231F20"/>
          <w:spacing w:val="-10"/>
        </w:rPr>
        <w:t> </w:t>
      </w:r>
      <w:r>
        <w:rPr>
          <w:color w:val="231F20"/>
        </w:rPr>
        <w:t>una</w:t>
      </w:r>
      <w:r>
        <w:rPr>
          <w:color w:val="231F20"/>
          <w:spacing w:val="-10"/>
        </w:rPr>
        <w:t> </w:t>
      </w:r>
      <w:r>
        <w:rPr>
          <w:color w:val="231F20"/>
        </w:rPr>
        <w:t>forma</w:t>
      </w:r>
      <w:r>
        <w:rPr>
          <w:color w:val="231F20"/>
          <w:spacing w:val="-10"/>
        </w:rPr>
        <w:t> </w:t>
      </w:r>
      <w:r>
        <w:rPr>
          <w:color w:val="231F20"/>
        </w:rPr>
        <w:t>de</w:t>
      </w:r>
      <w:r>
        <w:rPr>
          <w:color w:val="231F20"/>
          <w:spacing w:val="-10"/>
        </w:rPr>
        <w:t> </w:t>
      </w:r>
      <w:r>
        <w:rPr>
          <w:color w:val="231F20"/>
        </w:rPr>
        <w:t>organización</w:t>
      </w:r>
      <w:r>
        <w:rPr>
          <w:color w:val="231F20"/>
          <w:spacing w:val="-10"/>
        </w:rPr>
        <w:t> </w:t>
      </w:r>
      <w:r>
        <w:rPr>
          <w:color w:val="231F20"/>
        </w:rPr>
        <w:t>nuclear,</w:t>
      </w:r>
      <w:r>
        <w:rPr>
          <w:color w:val="231F20"/>
          <w:spacing w:val="-10"/>
        </w:rPr>
        <w:t> </w:t>
      </w:r>
      <w:r>
        <w:rPr>
          <w:color w:val="231F20"/>
        </w:rPr>
        <w:t>otras</w:t>
      </w:r>
      <w:r>
        <w:rPr>
          <w:color w:val="231F20"/>
          <w:spacing w:val="-10"/>
        </w:rPr>
        <w:t> </w:t>
      </w:r>
      <w:r>
        <w:rPr>
          <w:color w:val="231F20"/>
        </w:rPr>
        <w:t>monoparental</w:t>
      </w:r>
      <w:r>
        <w:rPr>
          <w:color w:val="231F20"/>
          <w:spacing w:val="-10"/>
        </w:rPr>
        <w:t> </w:t>
      </w:r>
      <w:r>
        <w:rPr>
          <w:color w:val="231F20"/>
        </w:rPr>
        <w:t>—significando la presencia sólo de un genitor/a— otras, son de tipo extenso; muchas han sido reconformadas por segundas o terceras uniones de pareja de uno o ambos progenitores en origen o en destino. Las redes familiares tienen un lugar importante en el cuidado y allí, las cuidadoras de los hijos e hijas en proceso</w:t>
      </w:r>
      <w:r>
        <w:rPr>
          <w:color w:val="231F20"/>
          <w:spacing w:val="-11"/>
        </w:rPr>
        <w:t> </w:t>
      </w:r>
      <w:r>
        <w:rPr>
          <w:color w:val="231F20"/>
        </w:rPr>
        <w:t>de</w:t>
      </w:r>
      <w:r>
        <w:rPr>
          <w:color w:val="231F20"/>
          <w:spacing w:val="-11"/>
        </w:rPr>
        <w:t> </w:t>
      </w:r>
      <w:r>
        <w:rPr>
          <w:color w:val="231F20"/>
        </w:rPr>
        <w:t>formación.</w:t>
      </w:r>
      <w:r>
        <w:rPr>
          <w:color w:val="231F20"/>
          <w:spacing w:val="-11"/>
        </w:rPr>
        <w:t> </w:t>
      </w:r>
      <w:r>
        <w:rPr>
          <w:color w:val="231F20"/>
        </w:rPr>
        <w:t>Estas</w:t>
      </w:r>
      <w:r>
        <w:rPr>
          <w:color w:val="231F20"/>
          <w:spacing w:val="-12"/>
        </w:rPr>
        <w:t> </w:t>
      </w:r>
      <w:r>
        <w:rPr>
          <w:color w:val="231F20"/>
        </w:rPr>
        <w:t>familias</w:t>
      </w:r>
      <w:r>
        <w:rPr>
          <w:color w:val="231F20"/>
          <w:spacing w:val="-11"/>
        </w:rPr>
        <w:t> </w:t>
      </w:r>
      <w:r>
        <w:rPr>
          <w:color w:val="231F20"/>
        </w:rPr>
        <w:t>dan</w:t>
      </w:r>
      <w:r>
        <w:rPr>
          <w:color w:val="231F20"/>
          <w:spacing w:val="-11"/>
        </w:rPr>
        <w:t> </w:t>
      </w:r>
      <w:r>
        <w:rPr>
          <w:color w:val="231F20"/>
        </w:rPr>
        <w:t>cuenta</w:t>
      </w:r>
      <w:r>
        <w:rPr>
          <w:color w:val="231F20"/>
          <w:spacing w:val="-12"/>
        </w:rPr>
        <w:t> </w:t>
      </w:r>
      <w:r>
        <w:rPr>
          <w:color w:val="231F20"/>
        </w:rPr>
        <w:t>de</w:t>
      </w:r>
      <w:r>
        <w:rPr>
          <w:color w:val="231F20"/>
          <w:spacing w:val="-11"/>
        </w:rPr>
        <w:t> </w:t>
      </w:r>
      <w:r>
        <w:rPr>
          <w:color w:val="231F20"/>
        </w:rPr>
        <w:t>una</w:t>
      </w:r>
      <w:r>
        <w:rPr>
          <w:color w:val="231F20"/>
          <w:spacing w:val="-11"/>
        </w:rPr>
        <w:t> </w:t>
      </w:r>
      <w:r>
        <w:rPr>
          <w:color w:val="231F20"/>
        </w:rPr>
        <w:t>dinámica</w:t>
      </w:r>
      <w:r>
        <w:rPr>
          <w:color w:val="231F20"/>
          <w:spacing w:val="-11"/>
        </w:rPr>
        <w:t> </w:t>
      </w:r>
      <w:r>
        <w:rPr>
          <w:color w:val="231F20"/>
        </w:rPr>
        <w:t>constante de</w:t>
      </w:r>
      <w:r>
        <w:rPr>
          <w:color w:val="231F20"/>
          <w:spacing w:val="-11"/>
        </w:rPr>
        <w:t> </w:t>
      </w:r>
      <w:r>
        <w:rPr>
          <w:color w:val="231F20"/>
        </w:rPr>
        <w:t>circulación</w:t>
      </w:r>
      <w:r>
        <w:rPr>
          <w:color w:val="231F20"/>
          <w:spacing w:val="-11"/>
        </w:rPr>
        <w:t> </w:t>
      </w:r>
      <w:r>
        <w:rPr>
          <w:color w:val="231F20"/>
        </w:rPr>
        <w:t>de</w:t>
      </w:r>
      <w:r>
        <w:rPr>
          <w:color w:val="231F20"/>
          <w:spacing w:val="-11"/>
        </w:rPr>
        <w:t> </w:t>
      </w:r>
      <w:r>
        <w:rPr>
          <w:color w:val="231F20"/>
        </w:rPr>
        <w:t>visitas,</w:t>
      </w:r>
      <w:r>
        <w:rPr>
          <w:color w:val="231F20"/>
          <w:spacing w:val="-11"/>
        </w:rPr>
        <w:t> </w:t>
      </w:r>
      <w:r>
        <w:rPr>
          <w:color w:val="231F20"/>
        </w:rPr>
        <w:t>bienes,</w:t>
      </w:r>
      <w:r>
        <w:rPr>
          <w:color w:val="231F20"/>
          <w:spacing w:val="-11"/>
        </w:rPr>
        <w:t> </w:t>
      </w:r>
      <w:r>
        <w:rPr>
          <w:color w:val="231F20"/>
        </w:rPr>
        <w:t>ideas</w:t>
      </w:r>
      <w:r>
        <w:rPr>
          <w:color w:val="231F20"/>
          <w:spacing w:val="-11"/>
        </w:rPr>
        <w:t> </w:t>
      </w:r>
      <w:r>
        <w:rPr>
          <w:color w:val="231F20"/>
        </w:rPr>
        <w:t>y</w:t>
      </w:r>
      <w:r>
        <w:rPr>
          <w:color w:val="231F20"/>
          <w:spacing w:val="-11"/>
        </w:rPr>
        <w:t> </w:t>
      </w:r>
      <w:r>
        <w:rPr>
          <w:color w:val="231F20"/>
        </w:rPr>
        <w:t>reciprocidad.</w:t>
      </w:r>
      <w:r>
        <w:rPr>
          <w:color w:val="231F20"/>
          <w:spacing w:val="-11"/>
        </w:rPr>
        <w:t> </w:t>
      </w:r>
      <w:r>
        <w:rPr>
          <w:color w:val="231F20"/>
        </w:rPr>
        <w:t>Se</w:t>
      </w:r>
      <w:r>
        <w:rPr>
          <w:color w:val="231F20"/>
          <w:spacing w:val="-11"/>
        </w:rPr>
        <w:t> </w:t>
      </w:r>
      <w:r>
        <w:rPr>
          <w:color w:val="231F20"/>
        </w:rPr>
        <w:t>apoyan</w:t>
      </w:r>
      <w:r>
        <w:rPr>
          <w:color w:val="231F20"/>
          <w:spacing w:val="-11"/>
        </w:rPr>
        <w:t> </w:t>
      </w:r>
      <w:r>
        <w:rPr>
          <w:color w:val="231F20"/>
        </w:rPr>
        <w:t>en</w:t>
      </w:r>
      <w:r>
        <w:rPr>
          <w:color w:val="231F20"/>
          <w:spacing w:val="-11"/>
        </w:rPr>
        <w:t> </w:t>
      </w:r>
      <w:r>
        <w:rPr>
          <w:color w:val="231F20"/>
        </w:rPr>
        <w:t>media- dores tecnológicos virtuales, en encuentros cara a cara —visitas— remesa y otros. Se identifican por tener un proyecto familiar. Las investigaciones confirman el reclamo de la cercanía, presencia y continuidad de la</w:t>
      </w:r>
      <w:r>
        <w:rPr>
          <w:color w:val="231F20"/>
          <w:spacing w:val="-34"/>
        </w:rPr>
        <w:t> </w:t>
      </w:r>
      <w:r>
        <w:rPr>
          <w:color w:val="231F20"/>
        </w:rPr>
        <w:t>interac- ción entre el padre o la madre migrante —y no migrante— con sus hijos o hijas</w:t>
      </w:r>
      <w:r>
        <w:rPr>
          <w:color w:val="231F20"/>
          <w:spacing w:val="-4"/>
        </w:rPr>
        <w:t> </w:t>
      </w:r>
      <w:r>
        <w:rPr>
          <w:color w:val="231F20"/>
        </w:rPr>
        <w:t>dependientes</w:t>
      </w:r>
      <w:r>
        <w:rPr>
          <w:color w:val="231F20"/>
          <w:spacing w:val="-4"/>
        </w:rPr>
        <w:t> </w:t>
      </w:r>
      <w:r>
        <w:rPr>
          <w:color w:val="231F20"/>
        </w:rPr>
        <w:t>en</w:t>
      </w:r>
      <w:r>
        <w:rPr>
          <w:color w:val="231F20"/>
          <w:spacing w:val="-4"/>
        </w:rPr>
        <w:t> </w:t>
      </w:r>
      <w:r>
        <w:rPr>
          <w:color w:val="231F20"/>
        </w:rPr>
        <w:t>origen,</w:t>
      </w:r>
      <w:r>
        <w:rPr>
          <w:color w:val="231F20"/>
          <w:spacing w:val="-4"/>
        </w:rPr>
        <w:t> </w:t>
      </w:r>
      <w:r>
        <w:rPr>
          <w:color w:val="231F20"/>
        </w:rPr>
        <w:t>principalmente</w:t>
      </w:r>
      <w:r>
        <w:rPr>
          <w:color w:val="231F20"/>
          <w:spacing w:val="-4"/>
        </w:rPr>
        <w:t> </w:t>
      </w:r>
      <w:r>
        <w:rPr>
          <w:color w:val="231F20"/>
        </w:rPr>
        <w:t>durante</w:t>
      </w:r>
      <w:r>
        <w:rPr>
          <w:color w:val="231F20"/>
          <w:spacing w:val="-4"/>
        </w:rPr>
        <w:t> </w:t>
      </w:r>
      <w:r>
        <w:rPr>
          <w:color w:val="231F20"/>
        </w:rPr>
        <w:t>la</w:t>
      </w:r>
      <w:r>
        <w:rPr>
          <w:color w:val="231F20"/>
          <w:spacing w:val="-4"/>
        </w:rPr>
        <w:t> </w:t>
      </w:r>
      <w:r>
        <w:rPr>
          <w:color w:val="231F20"/>
        </w:rPr>
        <w:t>infancia</w:t>
      </w:r>
      <w:r>
        <w:rPr>
          <w:color w:val="231F20"/>
          <w:spacing w:val="-5"/>
        </w:rPr>
        <w:t> </w:t>
      </w:r>
      <w:r>
        <w:rPr>
          <w:color w:val="231F20"/>
        </w:rPr>
        <w:t>y</w:t>
      </w:r>
      <w:r>
        <w:rPr>
          <w:color w:val="231F20"/>
          <w:spacing w:val="-4"/>
        </w:rPr>
        <w:t> </w:t>
      </w:r>
      <w:r>
        <w:rPr>
          <w:color w:val="231F20"/>
        </w:rPr>
        <w:t>el</w:t>
      </w:r>
      <w:r>
        <w:rPr>
          <w:color w:val="231F20"/>
          <w:spacing w:val="-4"/>
        </w:rPr>
        <w:t> </w:t>
      </w:r>
      <w:r>
        <w:rPr>
          <w:color w:val="231F20"/>
        </w:rPr>
        <w:t>inicio de la adolescencia.</w:t>
      </w:r>
    </w:p>
    <w:p>
      <w:pPr>
        <w:spacing w:line="247" w:lineRule="auto" w:before="0"/>
        <w:ind w:left="117" w:right="116" w:firstLine="283"/>
        <w:jc w:val="both"/>
        <w:rPr>
          <w:sz w:val="22"/>
        </w:rPr>
      </w:pPr>
      <w:r>
        <w:rPr>
          <w:color w:val="231F20"/>
          <w:sz w:val="22"/>
        </w:rPr>
        <w:t>En síntesis, se propone el uso del concepto </w:t>
      </w:r>
      <w:r>
        <w:rPr>
          <w:i/>
          <w:color w:val="231F20"/>
          <w:sz w:val="22"/>
        </w:rPr>
        <w:t>familia en situación de </w:t>
      </w:r>
      <w:r>
        <w:rPr>
          <w:i/>
          <w:color w:val="231F20"/>
          <w:sz w:val="22"/>
        </w:rPr>
        <w:t>transnacionalidad</w:t>
      </w:r>
      <w:r>
        <w:rPr>
          <w:color w:val="231F20"/>
          <w:sz w:val="22"/>
        </w:rPr>
        <w:t>, para nombrar las dinámicas de una organización fa- miliar que se caracteriza por la estructuración de un </w:t>
      </w:r>
      <w:r>
        <w:rPr>
          <w:i/>
          <w:color w:val="231F20"/>
          <w:sz w:val="22"/>
        </w:rPr>
        <w:t>hogar glocal </w:t>
      </w:r>
      <w:r>
        <w:rPr>
          <w:color w:val="231F20"/>
          <w:sz w:val="22"/>
        </w:rPr>
        <w:t>como escenario familiar virtual, el mantenimiento del </w:t>
      </w:r>
      <w:r>
        <w:rPr>
          <w:i/>
          <w:color w:val="231F20"/>
          <w:sz w:val="22"/>
        </w:rPr>
        <w:t>proyecto familiar</w:t>
      </w:r>
      <w:r>
        <w:rPr>
          <w:color w:val="231F20"/>
          <w:sz w:val="22"/>
        </w:rPr>
        <w:t>, la con- sistencia</w:t>
      </w:r>
      <w:r>
        <w:rPr>
          <w:color w:val="231F20"/>
          <w:spacing w:val="-10"/>
          <w:sz w:val="22"/>
        </w:rPr>
        <w:t> </w:t>
      </w:r>
      <w:r>
        <w:rPr>
          <w:color w:val="231F20"/>
          <w:sz w:val="22"/>
        </w:rPr>
        <w:t>de</w:t>
      </w:r>
      <w:r>
        <w:rPr>
          <w:color w:val="231F20"/>
          <w:spacing w:val="-11"/>
          <w:sz w:val="22"/>
        </w:rPr>
        <w:t> </w:t>
      </w:r>
      <w:r>
        <w:rPr>
          <w:color w:val="231F20"/>
          <w:sz w:val="22"/>
        </w:rPr>
        <w:t>las</w:t>
      </w:r>
      <w:r>
        <w:rPr>
          <w:color w:val="231F20"/>
          <w:spacing w:val="-11"/>
          <w:sz w:val="22"/>
        </w:rPr>
        <w:t> </w:t>
      </w:r>
      <w:r>
        <w:rPr>
          <w:i/>
          <w:color w:val="231F20"/>
          <w:sz w:val="22"/>
        </w:rPr>
        <w:t>relaciones</w:t>
      </w:r>
      <w:r>
        <w:rPr>
          <w:i/>
          <w:color w:val="231F20"/>
          <w:spacing w:val="-11"/>
          <w:sz w:val="22"/>
        </w:rPr>
        <w:t> </w:t>
      </w:r>
      <w:r>
        <w:rPr>
          <w:i/>
          <w:color w:val="231F20"/>
          <w:sz w:val="22"/>
        </w:rPr>
        <w:t>y</w:t>
      </w:r>
      <w:r>
        <w:rPr>
          <w:i/>
          <w:color w:val="231F20"/>
          <w:spacing w:val="-11"/>
          <w:sz w:val="22"/>
        </w:rPr>
        <w:t> </w:t>
      </w:r>
      <w:r>
        <w:rPr>
          <w:i/>
          <w:color w:val="231F20"/>
          <w:sz w:val="22"/>
        </w:rPr>
        <w:t>vínculos</w:t>
      </w:r>
      <w:r>
        <w:rPr>
          <w:i/>
          <w:color w:val="231F20"/>
          <w:spacing w:val="-11"/>
          <w:sz w:val="22"/>
        </w:rPr>
        <w:t> </w:t>
      </w:r>
      <w:r>
        <w:rPr>
          <w:color w:val="231F20"/>
          <w:sz w:val="22"/>
        </w:rPr>
        <w:t>parentales</w:t>
      </w:r>
      <w:r>
        <w:rPr>
          <w:color w:val="231F20"/>
          <w:spacing w:val="-11"/>
          <w:sz w:val="22"/>
        </w:rPr>
        <w:t> </w:t>
      </w:r>
      <w:r>
        <w:rPr>
          <w:color w:val="231F20"/>
          <w:sz w:val="22"/>
        </w:rPr>
        <w:t>más</w:t>
      </w:r>
      <w:r>
        <w:rPr>
          <w:color w:val="231F20"/>
          <w:spacing w:val="-11"/>
          <w:sz w:val="22"/>
        </w:rPr>
        <w:t> </w:t>
      </w:r>
      <w:r>
        <w:rPr>
          <w:color w:val="231F20"/>
          <w:sz w:val="22"/>
        </w:rPr>
        <w:t>allá</w:t>
      </w:r>
      <w:r>
        <w:rPr>
          <w:color w:val="231F20"/>
          <w:spacing w:val="-11"/>
          <w:sz w:val="22"/>
        </w:rPr>
        <w:t> </w:t>
      </w:r>
      <w:r>
        <w:rPr>
          <w:color w:val="231F20"/>
          <w:sz w:val="22"/>
        </w:rPr>
        <w:t>de</w:t>
      </w:r>
      <w:r>
        <w:rPr>
          <w:color w:val="231F20"/>
          <w:spacing w:val="-11"/>
          <w:sz w:val="22"/>
        </w:rPr>
        <w:t> </w:t>
      </w:r>
      <w:r>
        <w:rPr>
          <w:color w:val="231F20"/>
          <w:sz w:val="22"/>
        </w:rPr>
        <w:t>las</w:t>
      </w:r>
      <w:r>
        <w:rPr>
          <w:color w:val="231F20"/>
          <w:spacing w:val="-11"/>
          <w:sz w:val="22"/>
        </w:rPr>
        <w:t> </w:t>
      </w:r>
      <w:r>
        <w:rPr>
          <w:color w:val="231F20"/>
          <w:sz w:val="22"/>
        </w:rPr>
        <w:t>fronteras,</w:t>
      </w:r>
      <w:r>
        <w:rPr>
          <w:color w:val="231F20"/>
          <w:spacing w:val="-11"/>
          <w:sz w:val="22"/>
        </w:rPr>
        <w:t> </w:t>
      </w:r>
      <w:r>
        <w:rPr>
          <w:color w:val="231F20"/>
          <w:sz w:val="22"/>
        </w:rPr>
        <w:t>el acompañamiento y </w:t>
      </w:r>
      <w:r>
        <w:rPr>
          <w:i/>
          <w:color w:val="231F20"/>
          <w:sz w:val="22"/>
        </w:rPr>
        <w:t>coparticipación en el cuidado </w:t>
      </w:r>
      <w:r>
        <w:rPr>
          <w:color w:val="231F20"/>
          <w:sz w:val="22"/>
        </w:rPr>
        <w:t>cuando hay hijos o</w:t>
      </w:r>
      <w:r>
        <w:rPr>
          <w:color w:val="231F20"/>
          <w:spacing w:val="-24"/>
          <w:sz w:val="22"/>
        </w:rPr>
        <w:t> </w:t>
      </w:r>
      <w:r>
        <w:rPr>
          <w:color w:val="231F20"/>
          <w:sz w:val="22"/>
        </w:rPr>
        <w:t>hijas dependientes.</w:t>
      </w:r>
    </w:p>
    <w:p>
      <w:pPr>
        <w:pStyle w:val="BodyText"/>
        <w:spacing w:line="247" w:lineRule="auto"/>
        <w:ind w:left="117" w:right="115" w:firstLine="283"/>
        <w:jc w:val="both"/>
      </w:pPr>
      <w:r>
        <w:rPr>
          <w:color w:val="231F20"/>
        </w:rPr>
        <w:t>Algunos conceptos subsidiarios por considerar en la familia en situa- ción de transnacionalidad, se especifican enseguida:</w:t>
      </w:r>
    </w:p>
    <w:p>
      <w:pPr>
        <w:pStyle w:val="BodyText"/>
        <w:spacing w:line="247" w:lineRule="auto"/>
        <w:ind w:left="117" w:right="114" w:firstLine="283"/>
        <w:jc w:val="both"/>
      </w:pPr>
      <w:r>
        <w:rPr>
          <w:color w:val="231F20"/>
        </w:rPr>
        <w:t>Migrantes y no migrantes viven en hogares separados por fronteras na- cionales y conforman un escenario familiar virtual; la nueva manera del hogar: </w:t>
      </w:r>
      <w:r>
        <w:rPr>
          <w:i/>
          <w:color w:val="231F20"/>
        </w:rPr>
        <w:t>el hogar glocal. </w:t>
      </w:r>
      <w:r>
        <w:rPr>
          <w:color w:val="231F20"/>
        </w:rPr>
        <w:t>En la familia en situación de transnacionalidad, la residencia común de padre-madre con sus hijos/hijas no es la constante y tampoco lo es el cuidado presencial y permanente. El nuevo territorio del hogar en algunas familias da paso a la constitución de un nuevo lugar en un espacio tiempo supranacional que conecta el hogar del país de origen, habitado por unos parientes: hijo, hija, padre o madre no migrante, tío, tía y otro(s), con el/los otro(s) hogar(es) del padre o madre migrante, </w:t>
      </w:r>
      <w:r>
        <w:rPr>
          <w:color w:val="231F20"/>
          <w:spacing w:val="53"/>
        </w:rPr>
        <w:t> </w:t>
      </w:r>
      <w:r>
        <w:rPr>
          <w:color w:val="231F20"/>
        </w:rPr>
        <w:t>hijo(a)</w:t>
      </w:r>
    </w:p>
    <w:p>
      <w:pPr>
        <w:spacing w:after="0" w:line="247" w:lineRule="auto"/>
        <w:jc w:val="both"/>
        <w:sectPr>
          <w:pgSz w:w="9360" w:h="13040"/>
          <w:pgMar w:header="0" w:footer="496" w:top="800" w:bottom="680" w:left="1300" w:right="1300"/>
        </w:sectPr>
      </w:pPr>
    </w:p>
    <w:p>
      <w:pPr>
        <w:spacing w:before="45"/>
        <w:ind w:left="117" w:right="0" w:firstLine="2714"/>
        <w:jc w:val="left"/>
        <w:rPr>
          <w:rFonts w:ascii="Arial" w:hAnsi="Arial"/>
          <w:sz w:val="20"/>
        </w:rPr>
      </w:pPr>
      <w:r>
        <w:rPr>
          <w:rFonts w:ascii="Arial" w:hAnsi="Arial"/>
          <w:color w:val="231F20"/>
          <w:w w:val="74"/>
          <w:sz w:val="20"/>
        </w:rPr>
        <w:t>Familias</w:t>
      </w:r>
      <w:r>
        <w:rPr>
          <w:rFonts w:ascii="Arial" w:hAnsi="Arial"/>
          <w:color w:val="231F20"/>
          <w:spacing w:val="-1"/>
          <w:sz w:val="20"/>
        </w:rPr>
        <w:t> </w:t>
      </w:r>
      <w:r>
        <w:rPr>
          <w:rFonts w:ascii="Arial" w:hAnsi="Arial"/>
          <w:color w:val="231F20"/>
          <w:spacing w:val="-1"/>
          <w:w w:val="72"/>
          <w:sz w:val="20"/>
        </w:rPr>
        <w:t>transnacionale</w:t>
      </w:r>
      <w:r>
        <w:rPr>
          <w:rFonts w:ascii="Arial" w:hAnsi="Arial"/>
          <w:color w:val="231F20"/>
          <w:w w:val="72"/>
          <w:sz w:val="20"/>
        </w:rPr>
        <w:t>s</w:t>
      </w:r>
      <w:r>
        <w:rPr>
          <w:rFonts w:ascii="Arial" w:hAnsi="Arial"/>
          <w:color w:val="231F20"/>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1"/>
          <w:sz w:val="20"/>
        </w:rPr>
        <w:t>Colombia</w:t>
      </w:r>
      <w:r>
        <w:rPr>
          <w:rFonts w:ascii="Arial" w:hAnsi="Arial"/>
          <w:color w:val="231F20"/>
          <w:spacing w:val="-1"/>
          <w:sz w:val="20"/>
        </w:rPr>
        <w:t> </w:t>
      </w:r>
      <w:r>
        <w:rPr>
          <w:rFonts w:ascii="Arial" w:hAnsi="Arial"/>
          <w:color w:val="231F20"/>
          <w:spacing w:val="-1"/>
          <w:w w:val="99"/>
          <w:sz w:val="20"/>
        </w:rPr>
        <w:t>/</w:t>
      </w:r>
      <w:r>
        <w:rPr>
          <w:rFonts w:ascii="Arial" w:hAnsi="Arial"/>
          <w:color w:val="231F20"/>
          <w:w w:val="48"/>
          <w:sz w:val="20"/>
        </w:rPr>
        <w:t>Luz</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50"/>
          <w:sz w:val="20"/>
        </w:rPr>
        <w:t>López-Montaño</w:t>
      </w:r>
    </w:p>
    <w:p>
      <w:pPr>
        <w:pStyle w:val="BodyText"/>
        <w:spacing w:before="7"/>
        <w:rPr>
          <w:rFonts w:ascii="Arial"/>
          <w:sz w:val="28"/>
        </w:rPr>
      </w:pPr>
    </w:p>
    <w:p>
      <w:pPr>
        <w:pStyle w:val="BodyText"/>
        <w:spacing w:line="247" w:lineRule="auto"/>
        <w:ind w:left="117" w:right="115"/>
        <w:jc w:val="both"/>
      </w:pPr>
      <w:r>
        <w:rPr>
          <w:color w:val="231F20"/>
        </w:rPr>
        <w:t>u otros parientes, en uno o varios países de destino. El hogar</w:t>
      </w:r>
      <w:r>
        <w:rPr>
          <w:color w:val="231F20"/>
          <w:position w:val="7"/>
          <w:sz w:val="13"/>
        </w:rPr>
        <w:t>8 </w:t>
      </w:r>
      <w:r>
        <w:rPr>
          <w:color w:val="231F20"/>
        </w:rPr>
        <w:t>local deja  de ser el referente simbólico de conexión emocional y la vivienda para ser habitada por los integrantes adquiere otra dimensión desde el patrimonio que</w:t>
      </w:r>
      <w:r>
        <w:rPr>
          <w:color w:val="231F20"/>
          <w:spacing w:val="-12"/>
        </w:rPr>
        <w:t> </w:t>
      </w:r>
      <w:r>
        <w:rPr>
          <w:color w:val="231F20"/>
        </w:rPr>
        <w:t>se</w:t>
      </w:r>
      <w:r>
        <w:rPr>
          <w:color w:val="231F20"/>
          <w:spacing w:val="-12"/>
        </w:rPr>
        <w:t> </w:t>
      </w:r>
      <w:r>
        <w:rPr>
          <w:color w:val="231F20"/>
        </w:rPr>
        <w:t>espera</w:t>
      </w:r>
      <w:r>
        <w:rPr>
          <w:color w:val="231F20"/>
          <w:spacing w:val="-13"/>
        </w:rPr>
        <w:t> </w:t>
      </w:r>
      <w:r>
        <w:rPr>
          <w:color w:val="231F20"/>
        </w:rPr>
        <w:t>consolidar</w:t>
      </w:r>
      <w:r>
        <w:rPr>
          <w:color w:val="231F20"/>
          <w:spacing w:val="-13"/>
        </w:rPr>
        <w:t> </w:t>
      </w:r>
      <w:r>
        <w:rPr>
          <w:color w:val="231F20"/>
        </w:rPr>
        <w:t>con</w:t>
      </w:r>
      <w:r>
        <w:rPr>
          <w:color w:val="231F20"/>
          <w:spacing w:val="-12"/>
        </w:rPr>
        <w:t> </w:t>
      </w:r>
      <w:r>
        <w:rPr>
          <w:color w:val="231F20"/>
        </w:rPr>
        <w:t>la</w:t>
      </w:r>
      <w:r>
        <w:rPr>
          <w:color w:val="231F20"/>
          <w:spacing w:val="-12"/>
        </w:rPr>
        <w:t> </w:t>
      </w:r>
      <w:r>
        <w:rPr>
          <w:color w:val="231F20"/>
        </w:rPr>
        <w:t>remesa,</w:t>
      </w:r>
      <w:r>
        <w:rPr>
          <w:color w:val="231F20"/>
          <w:spacing w:val="-12"/>
        </w:rPr>
        <w:t> </w:t>
      </w:r>
      <w:r>
        <w:rPr>
          <w:color w:val="231F20"/>
        </w:rPr>
        <w:t>ya</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propone</w:t>
      </w:r>
      <w:r>
        <w:rPr>
          <w:color w:val="231F20"/>
          <w:spacing w:val="-12"/>
        </w:rPr>
        <w:t> </w:t>
      </w:r>
      <w:r>
        <w:rPr>
          <w:color w:val="231F20"/>
        </w:rPr>
        <w:t>para</w:t>
      </w:r>
      <w:r>
        <w:rPr>
          <w:color w:val="231F20"/>
          <w:spacing w:val="-12"/>
        </w:rPr>
        <w:t> </w:t>
      </w:r>
      <w:r>
        <w:rPr>
          <w:color w:val="231F20"/>
        </w:rPr>
        <w:t>ser</w:t>
      </w:r>
      <w:r>
        <w:rPr>
          <w:color w:val="231F20"/>
          <w:spacing w:val="-12"/>
        </w:rPr>
        <w:t> </w:t>
      </w:r>
      <w:r>
        <w:rPr>
          <w:color w:val="231F20"/>
        </w:rPr>
        <w:t>habitada por todos en el futuro, no en el tiempo</w:t>
      </w:r>
      <w:r>
        <w:rPr>
          <w:color w:val="231F20"/>
          <w:spacing w:val="-4"/>
        </w:rPr>
        <w:t> </w:t>
      </w:r>
      <w:r>
        <w:rPr>
          <w:color w:val="231F20"/>
        </w:rPr>
        <w:t>presente.</w:t>
      </w:r>
    </w:p>
    <w:p>
      <w:pPr>
        <w:pStyle w:val="BodyText"/>
        <w:spacing w:line="247" w:lineRule="auto"/>
        <w:ind w:left="117" w:right="114" w:firstLine="283"/>
        <w:jc w:val="both"/>
      </w:pPr>
      <w:r>
        <w:rPr>
          <w:color w:val="231F20"/>
        </w:rPr>
        <w:t>La</w:t>
      </w:r>
      <w:r>
        <w:rPr>
          <w:color w:val="231F20"/>
          <w:spacing w:val="-9"/>
        </w:rPr>
        <w:t> </w:t>
      </w:r>
      <w:r>
        <w:rPr>
          <w:color w:val="231F20"/>
        </w:rPr>
        <w:t>conceptualización</w:t>
      </w:r>
      <w:r>
        <w:rPr>
          <w:color w:val="231F20"/>
          <w:spacing w:val="-9"/>
        </w:rPr>
        <w:t> </w:t>
      </w:r>
      <w:r>
        <w:rPr>
          <w:color w:val="231F20"/>
        </w:rPr>
        <w:t>del</w:t>
      </w:r>
      <w:r>
        <w:rPr>
          <w:color w:val="231F20"/>
          <w:spacing w:val="-8"/>
        </w:rPr>
        <w:t> </w:t>
      </w:r>
      <w:r>
        <w:rPr>
          <w:color w:val="231F20"/>
        </w:rPr>
        <w:t>hogar</w:t>
      </w:r>
      <w:r>
        <w:rPr>
          <w:color w:val="231F20"/>
          <w:spacing w:val="-8"/>
        </w:rPr>
        <w:t> </w:t>
      </w:r>
      <w:r>
        <w:rPr>
          <w:color w:val="231F20"/>
        </w:rPr>
        <w:t>no</w:t>
      </w:r>
      <w:r>
        <w:rPr>
          <w:color w:val="231F20"/>
          <w:spacing w:val="-8"/>
        </w:rPr>
        <w:t> </w:t>
      </w:r>
      <w:r>
        <w:rPr>
          <w:color w:val="231F20"/>
        </w:rPr>
        <w:t>está</w:t>
      </w:r>
      <w:r>
        <w:rPr>
          <w:color w:val="231F20"/>
          <w:spacing w:val="-9"/>
        </w:rPr>
        <w:t> </w:t>
      </w:r>
      <w:r>
        <w:rPr>
          <w:color w:val="231F20"/>
        </w:rPr>
        <w:t>determinada</w:t>
      </w:r>
      <w:r>
        <w:rPr>
          <w:color w:val="231F20"/>
          <w:spacing w:val="-8"/>
        </w:rPr>
        <w:t> </w:t>
      </w:r>
      <w:r>
        <w:rPr>
          <w:color w:val="231F20"/>
        </w:rPr>
        <w:t>por</w:t>
      </w:r>
      <w:r>
        <w:rPr>
          <w:color w:val="231F20"/>
          <w:spacing w:val="-8"/>
        </w:rPr>
        <w:t> </w:t>
      </w:r>
      <w:r>
        <w:rPr>
          <w:color w:val="231F20"/>
        </w:rPr>
        <w:t>la</w:t>
      </w:r>
      <w:r>
        <w:rPr>
          <w:color w:val="231F20"/>
          <w:spacing w:val="-9"/>
        </w:rPr>
        <w:t> </w:t>
      </w:r>
      <w:r>
        <w:rPr>
          <w:color w:val="231F20"/>
        </w:rPr>
        <w:t>“proximidad espacial” (Landolt, 2006). El nuevo escenario familiar contiene las expre- siones de las relaciones y vínculos, lógicas y maneras de actuar, pensar    y decir; mientras el cuerpo físico se mantiene en la distancia, el cuerpo físico puede ser visibilizado —cámaras web— y sus pensamientos vehi- culan</w:t>
      </w:r>
      <w:r>
        <w:rPr>
          <w:color w:val="231F20"/>
          <w:spacing w:val="-5"/>
        </w:rPr>
        <w:t> </w:t>
      </w:r>
      <w:r>
        <w:rPr>
          <w:color w:val="231F20"/>
        </w:rPr>
        <w:t>emociones,</w:t>
      </w:r>
      <w:r>
        <w:rPr>
          <w:color w:val="231F20"/>
          <w:spacing w:val="-5"/>
        </w:rPr>
        <w:t> </w:t>
      </w:r>
      <w:r>
        <w:rPr>
          <w:color w:val="231F20"/>
        </w:rPr>
        <w:t>afectos,</w:t>
      </w:r>
      <w:r>
        <w:rPr>
          <w:color w:val="231F20"/>
          <w:spacing w:val="-5"/>
        </w:rPr>
        <w:t> </w:t>
      </w:r>
      <w:r>
        <w:rPr>
          <w:color w:val="231F20"/>
        </w:rPr>
        <w:t>sentimientos,</w:t>
      </w:r>
      <w:r>
        <w:rPr>
          <w:color w:val="231F20"/>
          <w:spacing w:val="-4"/>
        </w:rPr>
        <w:t> </w:t>
      </w:r>
      <w:r>
        <w:rPr>
          <w:color w:val="231F20"/>
        </w:rPr>
        <w:t>sentido</w:t>
      </w:r>
      <w:r>
        <w:rPr>
          <w:color w:val="231F20"/>
          <w:spacing w:val="-4"/>
        </w:rPr>
        <w:t> </w:t>
      </w:r>
      <w:r>
        <w:rPr>
          <w:color w:val="231F20"/>
        </w:rPr>
        <w:t>de</w:t>
      </w:r>
      <w:r>
        <w:rPr>
          <w:color w:val="231F20"/>
          <w:spacing w:val="-4"/>
        </w:rPr>
        <w:t> </w:t>
      </w:r>
      <w:r>
        <w:rPr>
          <w:color w:val="231F20"/>
        </w:rPr>
        <w:t>vida,</w:t>
      </w:r>
      <w:r>
        <w:rPr>
          <w:color w:val="231F20"/>
          <w:spacing w:val="-4"/>
        </w:rPr>
        <w:t> </w:t>
      </w:r>
      <w:r>
        <w:rPr>
          <w:color w:val="231F20"/>
        </w:rPr>
        <w:t>como</w:t>
      </w:r>
      <w:r>
        <w:rPr>
          <w:color w:val="231F20"/>
          <w:spacing w:val="-5"/>
        </w:rPr>
        <w:t> </w:t>
      </w:r>
      <w:r>
        <w:rPr>
          <w:color w:val="231F20"/>
        </w:rPr>
        <w:t>un</w:t>
      </w:r>
      <w:r>
        <w:rPr>
          <w:color w:val="231F20"/>
          <w:spacing w:val="-4"/>
        </w:rPr>
        <w:t> </w:t>
      </w:r>
      <w:r>
        <w:rPr>
          <w:color w:val="231F20"/>
        </w:rPr>
        <w:t>pegante, una construcción de sentido de ser sí mismo con otros que logra crear una percepción de cercanía, de mutua influencia en la mente de cada integran- te. Desde Illouz (2007) es la sensación de que se está lo suficientemente cerca —no obstante la distancia geográfica— como para que se perciba la presencia de quien está ausente y se conserve la continuidad de un cono- cimiento práctico de sociabilidad (Illouz, 2007; citada por Sánchez </w:t>
      </w:r>
      <w:r>
        <w:rPr>
          <w:i/>
          <w:color w:val="231F20"/>
        </w:rPr>
        <w:t>et al</w:t>
      </w:r>
      <w:r>
        <w:rPr>
          <w:color w:val="231F20"/>
        </w:rPr>
        <w:t>., 2012).</w:t>
      </w:r>
    </w:p>
    <w:p>
      <w:pPr>
        <w:pStyle w:val="BodyText"/>
        <w:spacing w:line="247" w:lineRule="auto"/>
        <w:ind w:left="117" w:right="114" w:firstLine="283"/>
        <w:jc w:val="both"/>
      </w:pPr>
      <w:r>
        <w:rPr>
          <w:color w:val="231F20"/>
        </w:rPr>
        <w:t>Los integrantes coparticipan con actuaciones individuales y colectivas en un marco global y de la globalización de las comunicaciones, de las economías,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diferencias</w:t>
      </w:r>
      <w:r>
        <w:rPr>
          <w:color w:val="231F20"/>
          <w:spacing w:val="-5"/>
        </w:rPr>
        <w:t> </w:t>
      </w:r>
      <w:r>
        <w:rPr>
          <w:color w:val="231F20"/>
        </w:rPr>
        <w:t>entre</w:t>
      </w:r>
      <w:r>
        <w:rPr>
          <w:color w:val="231F20"/>
          <w:spacing w:val="-6"/>
        </w:rPr>
        <w:t> </w:t>
      </w:r>
      <w:r>
        <w:rPr>
          <w:color w:val="231F20"/>
        </w:rPr>
        <w:t>sociedades</w:t>
      </w:r>
      <w:r>
        <w:rPr>
          <w:color w:val="231F20"/>
          <w:spacing w:val="-5"/>
        </w:rPr>
        <w:t> </w:t>
      </w:r>
      <w:r>
        <w:rPr>
          <w:color w:val="231F20"/>
        </w:rPr>
        <w:t>y</w:t>
      </w:r>
      <w:r>
        <w:rPr>
          <w:color w:val="231F20"/>
          <w:spacing w:val="-6"/>
        </w:rPr>
        <w:t> </w:t>
      </w:r>
      <w:r>
        <w:rPr>
          <w:color w:val="231F20"/>
        </w:rPr>
        <w:t>poderes,</w:t>
      </w:r>
      <w:r>
        <w:rPr>
          <w:color w:val="231F20"/>
          <w:spacing w:val="-6"/>
        </w:rPr>
        <w:t> </w:t>
      </w:r>
      <w:r>
        <w:rPr>
          <w:color w:val="231F20"/>
        </w:rPr>
        <w:t>etc.,</w:t>
      </w:r>
      <w:r>
        <w:rPr>
          <w:color w:val="231F20"/>
          <w:spacing w:val="-6"/>
        </w:rPr>
        <w:t> </w:t>
      </w:r>
      <w:r>
        <w:rPr>
          <w:color w:val="231F20"/>
        </w:rPr>
        <w:t>dando</w:t>
      </w:r>
      <w:r>
        <w:rPr>
          <w:color w:val="231F20"/>
          <w:spacing w:val="-6"/>
        </w:rPr>
        <w:t> </w:t>
      </w:r>
      <w:r>
        <w:rPr>
          <w:color w:val="231F20"/>
        </w:rPr>
        <w:t>lugar a una vida familiar transnacional, mediatizada por ellos en el hogar lo- cal, entendido éste como un escenario virtual que visibiliza las decisiones, prácticas, tensiones o distensiones entre quienes participan de la experien- cia</w:t>
      </w:r>
      <w:r>
        <w:rPr>
          <w:color w:val="231F20"/>
          <w:spacing w:val="-14"/>
        </w:rPr>
        <w:t> </w:t>
      </w:r>
      <w:r>
        <w:rPr>
          <w:color w:val="231F20"/>
        </w:rPr>
        <w:t>familiar.</w:t>
      </w:r>
    </w:p>
    <w:p>
      <w:pPr>
        <w:pStyle w:val="BodyText"/>
        <w:spacing w:line="247" w:lineRule="auto"/>
        <w:ind w:left="117" w:right="115" w:firstLine="283"/>
        <w:jc w:val="both"/>
      </w:pPr>
      <w:r>
        <w:rPr>
          <w:color w:val="231F20"/>
        </w:rPr>
        <w:t>El hogar local es la manera estratégica de acercarse desde la distancia, por medios virtuales se participa y se da sostenibilidad a un ámbito fami- liar como referente de hogares habitados por parientes que mantienen co- nexiones o vínculos de diverso orden (proyecto familiar RLEF 2012). En la</w:t>
      </w:r>
      <w:r>
        <w:rPr>
          <w:color w:val="231F20"/>
          <w:spacing w:val="-11"/>
        </w:rPr>
        <w:t> </w:t>
      </w:r>
      <w:r>
        <w:rPr>
          <w:color w:val="231F20"/>
        </w:rPr>
        <w:t>familia</w:t>
      </w:r>
      <w:r>
        <w:rPr>
          <w:color w:val="231F20"/>
          <w:spacing w:val="-10"/>
        </w:rPr>
        <w:t> </w:t>
      </w:r>
      <w:r>
        <w:rPr>
          <w:color w:val="231F20"/>
        </w:rPr>
        <w:t>en</w:t>
      </w:r>
      <w:r>
        <w:rPr>
          <w:color w:val="231F20"/>
          <w:spacing w:val="-11"/>
        </w:rPr>
        <w:t> </w:t>
      </w:r>
      <w:r>
        <w:rPr>
          <w:color w:val="231F20"/>
        </w:rPr>
        <w:t>situación</w:t>
      </w:r>
      <w:r>
        <w:rPr>
          <w:color w:val="231F20"/>
          <w:spacing w:val="-10"/>
        </w:rPr>
        <w:t> </w:t>
      </w:r>
      <w:r>
        <w:rPr>
          <w:color w:val="231F20"/>
        </w:rPr>
        <w:t>de</w:t>
      </w:r>
      <w:r>
        <w:rPr>
          <w:color w:val="231F20"/>
          <w:spacing w:val="-11"/>
        </w:rPr>
        <w:t> </w:t>
      </w:r>
      <w:r>
        <w:rPr>
          <w:color w:val="231F20"/>
        </w:rPr>
        <w:t>transnacionalidad</w:t>
      </w:r>
      <w:r>
        <w:rPr>
          <w:color w:val="231F20"/>
          <w:spacing w:val="-11"/>
        </w:rPr>
        <w:t> </w:t>
      </w:r>
      <w:r>
        <w:rPr>
          <w:color w:val="231F20"/>
        </w:rPr>
        <w:t>estas</w:t>
      </w:r>
      <w:r>
        <w:rPr>
          <w:color w:val="231F20"/>
          <w:spacing w:val="-11"/>
        </w:rPr>
        <w:t> </w:t>
      </w:r>
      <w:r>
        <w:rPr>
          <w:color w:val="231F20"/>
        </w:rPr>
        <w:t>conexiones</w:t>
      </w:r>
      <w:r>
        <w:rPr>
          <w:color w:val="231F20"/>
          <w:spacing w:val="-11"/>
        </w:rPr>
        <w:t> </w:t>
      </w:r>
      <w:r>
        <w:rPr>
          <w:color w:val="231F20"/>
        </w:rPr>
        <w:t>son</w:t>
      </w:r>
      <w:r>
        <w:rPr>
          <w:color w:val="231F20"/>
          <w:spacing w:val="-10"/>
        </w:rPr>
        <w:t> </w:t>
      </w:r>
      <w:r>
        <w:rPr>
          <w:color w:val="231F20"/>
        </w:rPr>
        <w:t>mediadas por el proyecto</w:t>
      </w:r>
      <w:r>
        <w:rPr>
          <w:color w:val="231F20"/>
          <w:spacing w:val="-13"/>
        </w:rPr>
        <w:t> </w:t>
      </w:r>
      <w:r>
        <w:rPr>
          <w:color w:val="231F20"/>
        </w:rPr>
        <w:t>familiar.</w:t>
      </w:r>
    </w:p>
    <w:p>
      <w:pPr>
        <w:pStyle w:val="BodyText"/>
        <w:spacing w:line="247" w:lineRule="auto"/>
        <w:ind w:left="117" w:right="115" w:firstLine="283"/>
        <w:jc w:val="both"/>
      </w:pPr>
      <w:r>
        <w:rPr/>
        <w:pict>
          <v:line style="position:absolute;mso-position-horizontal-relative:page;mso-position-vertical-relative:paragraph;z-index:2440;mso-wrap-distance-left:0;mso-wrap-distance-right:0" from="70.866096pt,84.378838pt" to="142.866096pt,84.378838pt" stroked="true" strokeweight=".75pt" strokecolor="#231f20">
            <w10:wrap type="topAndBottom"/>
          </v:line>
        </w:pict>
      </w:r>
      <w:r>
        <w:rPr>
          <w:i/>
          <w:color w:val="231F20"/>
        </w:rPr>
        <w:t>El proyecto familiar </w:t>
      </w:r>
      <w:r>
        <w:rPr>
          <w:color w:val="231F20"/>
        </w:rPr>
        <w:t>expresa la consistencia de los vínculos emociona- les, económicos, de cuidado y crianza y educación. El proyecto familiar tiene foco en los sujetos que conforman una familia, quienes establecen compromisos diferenciables de acuerdo al lugar parental y la obligación individual; se ubica al padre o a la madre pensando y actuando en pro del bienestar propio y de los parientes que se asumen parte de esta. En el  por</w:t>
      </w:r>
    </w:p>
    <w:p>
      <w:pPr>
        <w:spacing w:line="170" w:lineRule="exact" w:before="0"/>
        <w:ind w:left="117" w:right="114" w:firstLine="0"/>
        <w:jc w:val="both"/>
        <w:rPr>
          <w:sz w:val="17"/>
        </w:rPr>
      </w:pPr>
      <w:r>
        <w:rPr>
          <w:color w:val="231F20"/>
          <w:position w:val="6"/>
          <w:sz w:val="10"/>
        </w:rPr>
        <w:t>8 </w:t>
      </w:r>
      <w:r>
        <w:rPr>
          <w:color w:val="231F20"/>
          <w:sz w:val="17"/>
        </w:rPr>
        <w:t>Hogar: persona/s, parientes o no, ocupantes de la totalidad o parte de una vivienda; atienden necesidades básicas con cargo a un presupuesto común y generalmente comparten las comidas (DANE, 2005).</w:t>
      </w:r>
    </w:p>
    <w:p>
      <w:pPr>
        <w:spacing w:after="0" w:line="170" w:lineRule="exact"/>
        <w:jc w:val="both"/>
        <w:rPr>
          <w:sz w:val="17"/>
        </w:rPr>
        <w:sectPr>
          <w:pgSz w:w="9360" w:h="13040"/>
          <w:pgMar w:header="0" w:footer="496" w:top="740" w:bottom="680" w:left="1300" w:right="1300"/>
        </w:sectPr>
      </w:pPr>
    </w:p>
    <w:p>
      <w:pPr>
        <w:tabs>
          <w:tab w:pos="5536" w:val="left" w:leader="none"/>
        </w:tabs>
        <w:spacing w:before="48"/>
        <w:ind w:left="117" w:right="0" w:firstLine="2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jc w:val="both"/>
      </w:pPr>
      <w:r>
        <w:rPr>
          <w:color w:val="231F20"/>
        </w:rPr>
        <w:t>qué y el para qué del proyecto familiar se anudan diversos matices de la vida cotidiana de la familia en situación de transnacionalidad, los mundos individuales y familiares del aquí y el allá (López, 2012).</w:t>
      </w:r>
    </w:p>
    <w:p>
      <w:pPr>
        <w:pStyle w:val="BodyText"/>
        <w:spacing w:line="247" w:lineRule="auto"/>
        <w:ind w:left="117" w:right="114" w:firstLine="283"/>
        <w:jc w:val="both"/>
      </w:pPr>
      <w:r>
        <w:rPr>
          <w:color w:val="231F20"/>
        </w:rPr>
        <w:t>Los</w:t>
      </w:r>
      <w:r>
        <w:rPr>
          <w:color w:val="231F20"/>
          <w:spacing w:val="-13"/>
        </w:rPr>
        <w:t> </w:t>
      </w:r>
      <w:r>
        <w:rPr>
          <w:color w:val="231F20"/>
        </w:rPr>
        <w:t>propósitos</w:t>
      </w:r>
      <w:r>
        <w:rPr>
          <w:color w:val="231F20"/>
          <w:spacing w:val="-13"/>
        </w:rPr>
        <w:t> </w:t>
      </w:r>
      <w:r>
        <w:rPr>
          <w:color w:val="231F20"/>
        </w:rPr>
        <w:t>o</w:t>
      </w:r>
      <w:r>
        <w:rPr>
          <w:color w:val="231F20"/>
          <w:spacing w:val="-13"/>
        </w:rPr>
        <w:t> </w:t>
      </w:r>
      <w:r>
        <w:rPr>
          <w:color w:val="231F20"/>
        </w:rPr>
        <w:t>proyectos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agentes</w:t>
      </w:r>
      <w:r>
        <w:rPr>
          <w:color w:val="231F20"/>
          <w:spacing w:val="-13"/>
        </w:rPr>
        <w:t> </w:t>
      </w:r>
      <w:r>
        <w:rPr>
          <w:color w:val="231F20"/>
        </w:rPr>
        <w:t>sobre</w:t>
      </w:r>
      <w:r>
        <w:rPr>
          <w:color w:val="231F20"/>
          <w:spacing w:val="-12"/>
        </w:rPr>
        <w:t> </w:t>
      </w:r>
      <w:r>
        <w:rPr>
          <w:color w:val="231F20"/>
        </w:rPr>
        <w:t>su</w:t>
      </w:r>
      <w:r>
        <w:rPr>
          <w:color w:val="231F20"/>
          <w:spacing w:val="-13"/>
        </w:rPr>
        <w:t> </w:t>
      </w:r>
      <w:r>
        <w:rPr>
          <w:color w:val="231F20"/>
        </w:rPr>
        <w:t>futuro</w:t>
      </w:r>
      <w:r>
        <w:rPr>
          <w:color w:val="231F20"/>
          <w:spacing w:val="-13"/>
        </w:rPr>
        <w:t> </w:t>
      </w:r>
      <w:r>
        <w:rPr>
          <w:color w:val="231F20"/>
        </w:rPr>
        <w:t>se</w:t>
      </w:r>
      <w:r>
        <w:rPr>
          <w:color w:val="231F20"/>
          <w:spacing w:val="-13"/>
        </w:rPr>
        <w:t> </w:t>
      </w:r>
      <w:r>
        <w:rPr>
          <w:color w:val="231F20"/>
        </w:rPr>
        <w:t>superponen u ordenan en el tiempo. Un proyecto exitoso está asociado a la existencia de vínculos afectivos fuertes, mientras un proyecto familiar débil deno-   ta posibilidad de separación o ruptura de relaciones, incumplimiento de obligaciones, quizá el fracaso del proyecto familiar. Los proyectos, según Aedo</w:t>
      </w:r>
      <w:r>
        <w:rPr>
          <w:color w:val="231F20"/>
          <w:spacing w:val="-9"/>
        </w:rPr>
        <w:t> </w:t>
      </w:r>
      <w:r>
        <w:rPr>
          <w:color w:val="231F20"/>
        </w:rPr>
        <w:t>(2011)</w:t>
      </w:r>
      <w:r>
        <w:rPr>
          <w:color w:val="231F20"/>
          <w:spacing w:val="-9"/>
        </w:rPr>
        <w:t> </w:t>
      </w:r>
      <w:r>
        <w:rPr>
          <w:color w:val="231F20"/>
        </w:rPr>
        <w:t>son</w:t>
      </w:r>
      <w:r>
        <w:rPr>
          <w:color w:val="231F20"/>
          <w:spacing w:val="-9"/>
        </w:rPr>
        <w:t> </w:t>
      </w:r>
      <w:r>
        <w:rPr>
          <w:color w:val="231F20"/>
        </w:rPr>
        <w:t>el</w:t>
      </w:r>
      <w:r>
        <w:rPr>
          <w:color w:val="231F20"/>
          <w:spacing w:val="-10"/>
        </w:rPr>
        <w:t> </w:t>
      </w:r>
      <w:r>
        <w:rPr>
          <w:color w:val="231F20"/>
        </w:rPr>
        <w:t>lugar</w:t>
      </w:r>
      <w:r>
        <w:rPr>
          <w:color w:val="231F20"/>
          <w:spacing w:val="-10"/>
        </w:rPr>
        <w:t> </w:t>
      </w:r>
      <w:r>
        <w:rPr>
          <w:color w:val="231F20"/>
        </w:rPr>
        <w:t>donde</w:t>
      </w:r>
      <w:r>
        <w:rPr>
          <w:color w:val="231F20"/>
          <w:spacing w:val="-9"/>
        </w:rPr>
        <w:t> </w:t>
      </w:r>
      <w:r>
        <w:rPr>
          <w:color w:val="231F20"/>
        </w:rPr>
        <w:t>las</w:t>
      </w:r>
      <w:r>
        <w:rPr>
          <w:color w:val="231F20"/>
          <w:spacing w:val="-9"/>
        </w:rPr>
        <w:t> </w:t>
      </w:r>
      <w:r>
        <w:rPr>
          <w:color w:val="231F20"/>
        </w:rPr>
        <w:t>acciones</w:t>
      </w:r>
      <w:r>
        <w:rPr>
          <w:color w:val="231F20"/>
          <w:spacing w:val="-10"/>
        </w:rPr>
        <w:t> </w:t>
      </w:r>
      <w:r>
        <w:rPr>
          <w:color w:val="231F20"/>
        </w:rPr>
        <w:t>de</w:t>
      </w:r>
      <w:r>
        <w:rPr>
          <w:color w:val="231F20"/>
          <w:spacing w:val="-9"/>
        </w:rPr>
        <w:t> </w:t>
      </w:r>
      <w:r>
        <w:rPr>
          <w:color w:val="231F20"/>
        </w:rPr>
        <w:t>las</w:t>
      </w:r>
      <w:r>
        <w:rPr>
          <w:color w:val="231F20"/>
          <w:spacing w:val="-9"/>
        </w:rPr>
        <w:t> </w:t>
      </w:r>
      <w:r>
        <w:rPr>
          <w:color w:val="231F20"/>
        </w:rPr>
        <w:t>personas</w:t>
      </w:r>
      <w:r>
        <w:rPr>
          <w:color w:val="231F20"/>
          <w:spacing w:val="-9"/>
        </w:rPr>
        <w:t> </w:t>
      </w:r>
      <w:r>
        <w:rPr>
          <w:color w:val="231F20"/>
        </w:rPr>
        <w:t>incorporan</w:t>
      </w:r>
      <w:r>
        <w:rPr>
          <w:color w:val="231F20"/>
          <w:spacing w:val="-10"/>
        </w:rPr>
        <w:t> </w:t>
      </w:r>
      <w:r>
        <w:rPr>
          <w:color w:val="231F20"/>
        </w:rPr>
        <w:t>los condicionamientos de la vida social; pueden ser profundamente valóricos o utilitarios, altamente reflexivos o con un sentido práctico, donde las</w:t>
      </w:r>
      <w:r>
        <w:rPr>
          <w:color w:val="231F20"/>
          <w:spacing w:val="-18"/>
        </w:rPr>
        <w:t> </w:t>
      </w:r>
      <w:r>
        <w:rPr>
          <w:color w:val="231F20"/>
        </w:rPr>
        <w:t>per- sonas deben ejercer una intencionalidad en su</w:t>
      </w:r>
      <w:r>
        <w:rPr>
          <w:color w:val="231F20"/>
          <w:spacing w:val="-21"/>
        </w:rPr>
        <w:t> </w:t>
      </w:r>
      <w:r>
        <w:rPr>
          <w:color w:val="231F20"/>
        </w:rPr>
        <w:t>proceder.</w:t>
      </w:r>
    </w:p>
    <w:p>
      <w:pPr>
        <w:pStyle w:val="BodyText"/>
        <w:spacing w:line="247" w:lineRule="auto"/>
        <w:ind w:left="117" w:right="114" w:firstLine="283"/>
        <w:jc w:val="both"/>
      </w:pPr>
      <w:r>
        <w:rPr>
          <w:color w:val="231F20"/>
        </w:rPr>
        <w:t>La intencionalidad previsora del proyecto familiar se orienta al bienestar</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integrantes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familia.</w:t>
      </w:r>
      <w:r>
        <w:rPr>
          <w:color w:val="231F20"/>
          <w:spacing w:val="-11"/>
        </w:rPr>
        <w:t> </w:t>
      </w:r>
      <w:r>
        <w:rPr>
          <w:color w:val="231F20"/>
        </w:rPr>
        <w:t>Suárez</w:t>
      </w:r>
      <w:r>
        <w:rPr>
          <w:color w:val="231F20"/>
          <w:spacing w:val="-11"/>
        </w:rPr>
        <w:t> </w:t>
      </w:r>
      <w:r>
        <w:rPr>
          <w:color w:val="231F20"/>
        </w:rPr>
        <w:t>y</w:t>
      </w:r>
      <w:r>
        <w:rPr>
          <w:color w:val="231F20"/>
          <w:spacing w:val="-11"/>
        </w:rPr>
        <w:t> </w:t>
      </w:r>
      <w:r>
        <w:rPr>
          <w:color w:val="231F20"/>
        </w:rPr>
        <w:t>Restrepo</w:t>
      </w:r>
      <w:r>
        <w:rPr>
          <w:color w:val="231F20"/>
          <w:spacing w:val="-11"/>
        </w:rPr>
        <w:t> </w:t>
      </w:r>
      <w:r>
        <w:rPr>
          <w:color w:val="231F20"/>
        </w:rPr>
        <w:t>(2005)</w:t>
      </w:r>
      <w:r>
        <w:rPr>
          <w:color w:val="231F20"/>
          <w:spacing w:val="-11"/>
        </w:rPr>
        <w:t> </w:t>
      </w:r>
      <w:r>
        <w:rPr>
          <w:color w:val="231F20"/>
        </w:rPr>
        <w:t>afirman que cada familia o grupo familiar que se constituye y se define como tal, construye,</w:t>
      </w:r>
      <w:r>
        <w:rPr>
          <w:color w:val="231F20"/>
          <w:spacing w:val="-9"/>
        </w:rPr>
        <w:t> </w:t>
      </w:r>
      <w:r>
        <w:rPr>
          <w:color w:val="231F20"/>
        </w:rPr>
        <w:t>desarrolla</w:t>
      </w:r>
      <w:r>
        <w:rPr>
          <w:color w:val="231F20"/>
          <w:spacing w:val="-8"/>
        </w:rPr>
        <w:t> </w:t>
      </w:r>
      <w:r>
        <w:rPr>
          <w:color w:val="231F20"/>
        </w:rPr>
        <w:t>y</w:t>
      </w:r>
      <w:r>
        <w:rPr>
          <w:color w:val="231F20"/>
          <w:spacing w:val="-8"/>
        </w:rPr>
        <w:t> </w:t>
      </w:r>
      <w:r>
        <w:rPr>
          <w:color w:val="231F20"/>
        </w:rPr>
        <w:t>vive</w:t>
      </w:r>
      <w:r>
        <w:rPr>
          <w:color w:val="231F20"/>
          <w:spacing w:val="-9"/>
        </w:rPr>
        <w:t> </w:t>
      </w:r>
      <w:r>
        <w:rPr>
          <w:color w:val="231F20"/>
        </w:rPr>
        <w:t>un</w:t>
      </w:r>
      <w:r>
        <w:rPr>
          <w:color w:val="231F20"/>
          <w:spacing w:val="-8"/>
        </w:rPr>
        <w:t> </w:t>
      </w:r>
      <w:r>
        <w:rPr>
          <w:color w:val="231F20"/>
        </w:rPr>
        <w:t>‘proyecto</w:t>
      </w:r>
      <w:r>
        <w:rPr>
          <w:color w:val="231F20"/>
          <w:spacing w:val="-8"/>
        </w:rPr>
        <w:t> </w:t>
      </w:r>
      <w:r>
        <w:rPr>
          <w:color w:val="231F20"/>
        </w:rPr>
        <w:t>familiar’</w:t>
      </w:r>
      <w:r>
        <w:rPr>
          <w:color w:val="231F20"/>
          <w:spacing w:val="-25"/>
        </w:rPr>
        <w:t> </w:t>
      </w:r>
      <w:r>
        <w:rPr>
          <w:color w:val="231F20"/>
        </w:rPr>
        <w:t>en</w:t>
      </w:r>
      <w:r>
        <w:rPr>
          <w:color w:val="231F20"/>
          <w:spacing w:val="-9"/>
        </w:rPr>
        <w:t> </w:t>
      </w:r>
      <w:r>
        <w:rPr>
          <w:color w:val="231F20"/>
        </w:rPr>
        <w:t>tanto</w:t>
      </w:r>
      <w:r>
        <w:rPr>
          <w:color w:val="231F20"/>
          <w:spacing w:val="-9"/>
        </w:rPr>
        <w:t> </w:t>
      </w:r>
      <w:r>
        <w:rPr>
          <w:color w:val="231F20"/>
        </w:rPr>
        <w:t>y</w:t>
      </w:r>
      <w:r>
        <w:rPr>
          <w:color w:val="231F20"/>
          <w:spacing w:val="-8"/>
        </w:rPr>
        <w:t> </w:t>
      </w:r>
      <w:r>
        <w:rPr>
          <w:color w:val="231F20"/>
        </w:rPr>
        <w:t>cuanto</w:t>
      </w:r>
      <w:r>
        <w:rPr>
          <w:color w:val="231F20"/>
          <w:spacing w:val="-9"/>
        </w:rPr>
        <w:t> </w:t>
      </w:r>
      <w:r>
        <w:rPr>
          <w:color w:val="231F20"/>
        </w:rPr>
        <w:t>exista, se</w:t>
      </w:r>
      <w:r>
        <w:rPr>
          <w:color w:val="231F20"/>
          <w:spacing w:val="-6"/>
        </w:rPr>
        <w:t> </w:t>
      </w:r>
      <w:r>
        <w:rPr>
          <w:color w:val="231F20"/>
        </w:rPr>
        <w:t>mantenga</w:t>
      </w:r>
      <w:r>
        <w:rPr>
          <w:color w:val="231F20"/>
          <w:spacing w:val="-6"/>
        </w:rPr>
        <w:t> </w:t>
      </w:r>
      <w:r>
        <w:rPr>
          <w:color w:val="231F20"/>
        </w:rPr>
        <w:t>y</w:t>
      </w:r>
      <w:r>
        <w:rPr>
          <w:color w:val="231F20"/>
          <w:spacing w:val="-6"/>
        </w:rPr>
        <w:t> </w:t>
      </w:r>
      <w:r>
        <w:rPr>
          <w:color w:val="231F20"/>
        </w:rPr>
        <w:t>se</w:t>
      </w:r>
      <w:r>
        <w:rPr>
          <w:color w:val="231F20"/>
          <w:spacing w:val="-6"/>
        </w:rPr>
        <w:t> </w:t>
      </w:r>
      <w:r>
        <w:rPr>
          <w:color w:val="231F20"/>
        </w:rPr>
        <w:t>defina</w:t>
      </w:r>
      <w:r>
        <w:rPr>
          <w:color w:val="231F20"/>
          <w:spacing w:val="-6"/>
        </w:rPr>
        <w:t> </w:t>
      </w:r>
      <w:r>
        <w:rPr>
          <w:color w:val="231F20"/>
        </w:rPr>
        <w:t>como</w:t>
      </w:r>
      <w:r>
        <w:rPr>
          <w:color w:val="231F20"/>
          <w:spacing w:val="-6"/>
        </w:rPr>
        <w:t> </w:t>
      </w:r>
      <w:r>
        <w:rPr>
          <w:color w:val="231F20"/>
        </w:rPr>
        <w:t>familia.</w:t>
      </w:r>
      <w:r>
        <w:rPr>
          <w:color w:val="231F20"/>
          <w:spacing w:val="-6"/>
        </w:rPr>
        <w:t> </w:t>
      </w:r>
      <w:r>
        <w:rPr>
          <w:color w:val="231F20"/>
        </w:rPr>
        <w:t>El</w:t>
      </w:r>
      <w:r>
        <w:rPr>
          <w:color w:val="231F20"/>
          <w:spacing w:val="-6"/>
        </w:rPr>
        <w:t> </w:t>
      </w:r>
      <w:r>
        <w:rPr>
          <w:color w:val="231F20"/>
        </w:rPr>
        <w:t>proyecto</w:t>
      </w:r>
      <w:r>
        <w:rPr>
          <w:color w:val="231F20"/>
          <w:spacing w:val="-6"/>
        </w:rPr>
        <w:t> </w:t>
      </w:r>
      <w:r>
        <w:rPr>
          <w:color w:val="231F20"/>
        </w:rPr>
        <w:t>familiar</w:t>
      </w:r>
      <w:r>
        <w:rPr>
          <w:color w:val="231F20"/>
          <w:spacing w:val="-6"/>
        </w:rPr>
        <w:t> </w:t>
      </w:r>
      <w:r>
        <w:rPr>
          <w:color w:val="231F20"/>
        </w:rPr>
        <w:t>adquiere</w:t>
      </w:r>
      <w:r>
        <w:rPr>
          <w:color w:val="231F20"/>
          <w:spacing w:val="-6"/>
        </w:rPr>
        <w:t> </w:t>
      </w:r>
      <w:r>
        <w:rPr>
          <w:color w:val="231F20"/>
        </w:rPr>
        <w:t>signi- ficado por las demandas y requerimientos de los hijos e hijas que quedan en el lugar de origen, en interjuego con requerimientos del padre y/o de la madre migrante y de otro/s parientes y con la definición de propósitos en torno</w:t>
      </w:r>
      <w:r>
        <w:rPr>
          <w:color w:val="231F20"/>
          <w:spacing w:val="-9"/>
        </w:rPr>
        <w:t> </w:t>
      </w:r>
      <w:r>
        <w:rPr>
          <w:color w:val="231F20"/>
        </w:rPr>
        <w:t>al</w:t>
      </w:r>
      <w:r>
        <w:rPr>
          <w:color w:val="231F20"/>
          <w:spacing w:val="-9"/>
        </w:rPr>
        <w:t> </w:t>
      </w:r>
      <w:r>
        <w:rPr>
          <w:color w:val="231F20"/>
        </w:rPr>
        <w:t>presente</w:t>
      </w:r>
      <w:r>
        <w:rPr>
          <w:color w:val="231F20"/>
          <w:spacing w:val="-9"/>
        </w:rPr>
        <w:t> </w:t>
      </w:r>
      <w:r>
        <w:rPr>
          <w:color w:val="231F20"/>
        </w:rPr>
        <w:t>y</w:t>
      </w:r>
      <w:r>
        <w:rPr>
          <w:color w:val="231F20"/>
          <w:spacing w:val="-9"/>
        </w:rPr>
        <w:t> </w:t>
      </w:r>
      <w:r>
        <w:rPr>
          <w:color w:val="231F20"/>
        </w:rPr>
        <w:t>futuro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integrantes,</w:t>
      </w:r>
      <w:r>
        <w:rPr>
          <w:color w:val="231F20"/>
          <w:spacing w:val="-10"/>
        </w:rPr>
        <w:t> </w:t>
      </w:r>
      <w:r>
        <w:rPr>
          <w:color w:val="231F20"/>
        </w:rPr>
        <w:t>sea</w:t>
      </w:r>
      <w:r>
        <w:rPr>
          <w:color w:val="231F20"/>
          <w:spacing w:val="-9"/>
        </w:rPr>
        <w:t> </w:t>
      </w:r>
      <w:r>
        <w:rPr>
          <w:color w:val="231F20"/>
        </w:rPr>
        <w:t>la</w:t>
      </w:r>
      <w:r>
        <w:rPr>
          <w:color w:val="231F20"/>
          <w:spacing w:val="-9"/>
        </w:rPr>
        <w:t> </w:t>
      </w:r>
      <w:r>
        <w:rPr>
          <w:color w:val="231F20"/>
        </w:rPr>
        <w:t>pareja</w:t>
      </w:r>
      <w:r>
        <w:rPr>
          <w:color w:val="231F20"/>
          <w:spacing w:val="-9"/>
        </w:rPr>
        <w:t> </w:t>
      </w:r>
      <w:r>
        <w:rPr>
          <w:color w:val="231F20"/>
        </w:rPr>
        <w:t>o</w:t>
      </w:r>
      <w:r>
        <w:rPr>
          <w:color w:val="231F20"/>
          <w:spacing w:val="-9"/>
        </w:rPr>
        <w:t> </w:t>
      </w:r>
      <w:r>
        <w:rPr>
          <w:color w:val="231F20"/>
        </w:rPr>
        <w:t>los</w:t>
      </w:r>
      <w:r>
        <w:rPr>
          <w:color w:val="231F20"/>
          <w:spacing w:val="-9"/>
        </w:rPr>
        <w:t> </w:t>
      </w:r>
      <w:r>
        <w:rPr>
          <w:color w:val="231F20"/>
        </w:rPr>
        <w:t>hijos,</w:t>
      </w:r>
      <w:r>
        <w:rPr>
          <w:color w:val="231F20"/>
          <w:spacing w:val="-9"/>
        </w:rPr>
        <w:t> </w:t>
      </w:r>
      <w:r>
        <w:rPr>
          <w:color w:val="231F20"/>
        </w:rPr>
        <w:t>en</w:t>
      </w:r>
      <w:r>
        <w:rPr>
          <w:color w:val="231F20"/>
          <w:spacing w:val="-9"/>
        </w:rPr>
        <w:t> </w:t>
      </w:r>
      <w:r>
        <w:rPr>
          <w:color w:val="231F20"/>
        </w:rPr>
        <w:t>sus vinculaciones emocionales, los recursos para el sustento y el patrimonio y el posible futuro compartido al darse la reunificación o el retorno (López, 2012).</w:t>
      </w:r>
    </w:p>
    <w:p>
      <w:pPr>
        <w:pStyle w:val="BodyText"/>
        <w:spacing w:line="247" w:lineRule="auto"/>
        <w:ind w:left="117" w:right="114" w:firstLine="283"/>
        <w:jc w:val="both"/>
      </w:pPr>
      <w:r>
        <w:rPr>
          <w:color w:val="231F20"/>
        </w:rPr>
        <w:t>No todas las familias con experiencia migratoria de alguno/s parientes viven</w:t>
      </w:r>
      <w:r>
        <w:rPr>
          <w:color w:val="231F20"/>
          <w:spacing w:val="-10"/>
        </w:rPr>
        <w:t> </w:t>
      </w:r>
      <w:r>
        <w:rPr>
          <w:color w:val="231F20"/>
        </w:rPr>
        <w:t>un</w:t>
      </w:r>
      <w:r>
        <w:rPr>
          <w:color w:val="231F20"/>
          <w:spacing w:val="-10"/>
        </w:rPr>
        <w:t> </w:t>
      </w:r>
      <w:r>
        <w:rPr>
          <w:color w:val="231F20"/>
        </w:rPr>
        <w:t>proyecto</w:t>
      </w:r>
      <w:r>
        <w:rPr>
          <w:color w:val="231F20"/>
          <w:spacing w:val="-10"/>
        </w:rPr>
        <w:t> </w:t>
      </w:r>
      <w:r>
        <w:rPr>
          <w:color w:val="231F20"/>
        </w:rPr>
        <w:t>familiar,</w:t>
      </w:r>
      <w:r>
        <w:rPr>
          <w:color w:val="231F20"/>
          <w:spacing w:val="-10"/>
        </w:rPr>
        <w:t> </w:t>
      </w:r>
      <w:r>
        <w:rPr>
          <w:color w:val="231F20"/>
        </w:rPr>
        <w:t>éste</w:t>
      </w:r>
      <w:r>
        <w:rPr>
          <w:color w:val="231F20"/>
          <w:spacing w:val="-10"/>
        </w:rPr>
        <w:t> </w:t>
      </w:r>
      <w:r>
        <w:rPr>
          <w:color w:val="231F20"/>
        </w:rPr>
        <w:t>es</w:t>
      </w:r>
      <w:r>
        <w:rPr>
          <w:color w:val="231F20"/>
          <w:spacing w:val="-10"/>
        </w:rPr>
        <w:t> </w:t>
      </w:r>
      <w:r>
        <w:rPr>
          <w:color w:val="231F20"/>
        </w:rPr>
        <w:t>propio</w:t>
      </w:r>
      <w:r>
        <w:rPr>
          <w:color w:val="231F20"/>
          <w:spacing w:val="-10"/>
        </w:rPr>
        <w:t> </w:t>
      </w:r>
      <w:r>
        <w:rPr>
          <w:color w:val="231F20"/>
        </w:rPr>
        <w:t>de</w:t>
      </w:r>
      <w:r>
        <w:rPr>
          <w:color w:val="231F20"/>
          <w:spacing w:val="-10"/>
        </w:rPr>
        <w:t> </w:t>
      </w:r>
      <w:r>
        <w:rPr>
          <w:color w:val="231F20"/>
        </w:rPr>
        <w:t>familias</w:t>
      </w:r>
      <w:r>
        <w:rPr>
          <w:color w:val="231F20"/>
          <w:spacing w:val="-10"/>
        </w:rPr>
        <w:t> </w:t>
      </w:r>
      <w:r>
        <w:rPr>
          <w:color w:val="231F20"/>
        </w:rPr>
        <w:t>en</w:t>
      </w:r>
      <w:r>
        <w:rPr>
          <w:color w:val="231F20"/>
          <w:spacing w:val="-10"/>
        </w:rPr>
        <w:t> </w:t>
      </w:r>
      <w:r>
        <w:rPr>
          <w:color w:val="231F20"/>
        </w:rPr>
        <w:t>situación</w:t>
      </w:r>
      <w:r>
        <w:rPr>
          <w:color w:val="231F20"/>
          <w:spacing w:val="-9"/>
        </w:rPr>
        <w:t> </w:t>
      </w:r>
      <w:r>
        <w:rPr>
          <w:color w:val="231F20"/>
        </w:rPr>
        <w:t>de</w:t>
      </w:r>
      <w:r>
        <w:rPr>
          <w:color w:val="231F20"/>
          <w:spacing w:val="-10"/>
        </w:rPr>
        <w:t> </w:t>
      </w:r>
      <w:r>
        <w:rPr>
          <w:color w:val="231F20"/>
        </w:rPr>
        <w:t>trans- nacionalidad. De hecho menos de la mitad de las familias con experiencia migratoria</w:t>
      </w:r>
      <w:r>
        <w:rPr>
          <w:color w:val="231F20"/>
          <w:spacing w:val="-9"/>
        </w:rPr>
        <w:t> </w:t>
      </w:r>
      <w:r>
        <w:rPr>
          <w:color w:val="231F20"/>
        </w:rPr>
        <w:t>del</w:t>
      </w:r>
      <w:r>
        <w:rPr>
          <w:color w:val="231F20"/>
          <w:spacing w:val="-8"/>
        </w:rPr>
        <w:t> </w:t>
      </w:r>
      <w:r>
        <w:rPr>
          <w:color w:val="231F20"/>
        </w:rPr>
        <w:t>padre</w:t>
      </w:r>
      <w:r>
        <w:rPr>
          <w:color w:val="231F20"/>
          <w:spacing w:val="-8"/>
        </w:rPr>
        <w:t> </w:t>
      </w:r>
      <w:r>
        <w:rPr>
          <w:color w:val="231F20"/>
        </w:rPr>
        <w:t>o</w:t>
      </w:r>
      <w:r>
        <w:rPr>
          <w:color w:val="231F20"/>
          <w:spacing w:val="-8"/>
        </w:rPr>
        <w:t> </w:t>
      </w:r>
      <w:r>
        <w:rPr>
          <w:color w:val="231F20"/>
        </w:rPr>
        <w:t>la</w:t>
      </w:r>
      <w:r>
        <w:rPr>
          <w:color w:val="231F20"/>
          <w:spacing w:val="-8"/>
        </w:rPr>
        <w:t> </w:t>
      </w:r>
      <w:r>
        <w:rPr>
          <w:color w:val="231F20"/>
        </w:rPr>
        <w:t>madre</w:t>
      </w:r>
      <w:r>
        <w:rPr>
          <w:color w:val="231F20"/>
          <w:spacing w:val="-9"/>
        </w:rPr>
        <w:t> </w:t>
      </w:r>
      <w:r>
        <w:rPr>
          <w:color w:val="231F20"/>
        </w:rPr>
        <w:t>al</w:t>
      </w:r>
      <w:r>
        <w:rPr>
          <w:color w:val="231F20"/>
          <w:spacing w:val="-8"/>
        </w:rPr>
        <w:t> </w:t>
      </w:r>
      <w:r>
        <w:rPr>
          <w:color w:val="231F20"/>
        </w:rPr>
        <w:t>exterior</w:t>
      </w:r>
      <w:r>
        <w:rPr>
          <w:color w:val="231F20"/>
          <w:spacing w:val="-9"/>
        </w:rPr>
        <w:t> </w:t>
      </w:r>
      <w:r>
        <w:rPr>
          <w:color w:val="231F20"/>
        </w:rPr>
        <w:t>mantienen</w:t>
      </w:r>
      <w:r>
        <w:rPr>
          <w:color w:val="231F20"/>
          <w:spacing w:val="-9"/>
        </w:rPr>
        <w:t> </w:t>
      </w:r>
      <w:r>
        <w:rPr>
          <w:color w:val="231F20"/>
        </w:rPr>
        <w:t>un</w:t>
      </w:r>
      <w:r>
        <w:rPr>
          <w:color w:val="231F20"/>
          <w:spacing w:val="-8"/>
        </w:rPr>
        <w:t> </w:t>
      </w:r>
      <w:r>
        <w:rPr>
          <w:color w:val="231F20"/>
        </w:rPr>
        <w:t>proyecto</w:t>
      </w:r>
      <w:r>
        <w:rPr>
          <w:color w:val="231F20"/>
          <w:spacing w:val="-9"/>
        </w:rPr>
        <w:t> </w:t>
      </w:r>
      <w:r>
        <w:rPr>
          <w:color w:val="231F20"/>
        </w:rPr>
        <w:t>familiar. En las familias que mantienen un proyecto familiar, en estas investigacio- nes, se enfatiza el papel del padre y/o la madre; no obstante reconocerle como un proceso de coparticipación entre los integrantes de la familia, los hijos e hijas dependientes constituyen el principal punto de confluencia</w:t>
      </w:r>
      <w:r>
        <w:rPr>
          <w:color w:val="231F20"/>
          <w:spacing w:val="-21"/>
        </w:rPr>
        <w:t> </w:t>
      </w:r>
      <w:r>
        <w:rPr>
          <w:color w:val="231F20"/>
        </w:rPr>
        <w:t>de los cursos de acción paterna, materna y de otros familiares (López, 2012; Sánchez </w:t>
      </w:r>
      <w:r>
        <w:rPr>
          <w:i/>
          <w:color w:val="231F20"/>
        </w:rPr>
        <w:t>et al</w:t>
      </w:r>
      <w:r>
        <w:rPr>
          <w:color w:val="231F20"/>
        </w:rPr>
        <w:t>.,</w:t>
      </w:r>
      <w:r>
        <w:rPr>
          <w:color w:val="231F20"/>
          <w:spacing w:val="-7"/>
        </w:rPr>
        <w:t> </w:t>
      </w:r>
      <w:r>
        <w:rPr>
          <w:color w:val="231F20"/>
        </w:rPr>
        <w:t>2012).</w:t>
      </w:r>
    </w:p>
    <w:p>
      <w:pPr>
        <w:spacing w:line="247" w:lineRule="auto" w:before="0"/>
        <w:ind w:left="117" w:right="115" w:firstLine="283"/>
        <w:jc w:val="both"/>
        <w:rPr>
          <w:sz w:val="22"/>
        </w:rPr>
      </w:pPr>
      <w:r>
        <w:rPr>
          <w:color w:val="231F20"/>
          <w:sz w:val="22"/>
        </w:rPr>
        <w:t>Los</w:t>
      </w:r>
      <w:r>
        <w:rPr>
          <w:color w:val="231F20"/>
          <w:spacing w:val="-8"/>
          <w:sz w:val="22"/>
        </w:rPr>
        <w:t> </w:t>
      </w:r>
      <w:r>
        <w:rPr>
          <w:color w:val="231F20"/>
          <w:sz w:val="22"/>
        </w:rPr>
        <w:t>elementos</w:t>
      </w:r>
      <w:r>
        <w:rPr>
          <w:color w:val="231F20"/>
          <w:spacing w:val="-8"/>
          <w:sz w:val="22"/>
        </w:rPr>
        <w:t> </w:t>
      </w:r>
      <w:r>
        <w:rPr>
          <w:color w:val="231F20"/>
          <w:sz w:val="22"/>
        </w:rPr>
        <w:t>constitutivos</w:t>
      </w:r>
      <w:r>
        <w:rPr>
          <w:color w:val="231F20"/>
          <w:spacing w:val="-9"/>
          <w:sz w:val="22"/>
        </w:rPr>
        <w:t> </w:t>
      </w:r>
      <w:r>
        <w:rPr>
          <w:color w:val="231F20"/>
          <w:sz w:val="22"/>
        </w:rPr>
        <w:t>e</w:t>
      </w:r>
      <w:r>
        <w:rPr>
          <w:color w:val="231F20"/>
          <w:spacing w:val="-8"/>
          <w:sz w:val="22"/>
        </w:rPr>
        <w:t> </w:t>
      </w:r>
      <w:r>
        <w:rPr>
          <w:color w:val="231F20"/>
          <w:sz w:val="22"/>
        </w:rPr>
        <w:t>interrelacionados</w:t>
      </w:r>
      <w:r>
        <w:rPr>
          <w:color w:val="231F20"/>
          <w:spacing w:val="-9"/>
          <w:sz w:val="22"/>
        </w:rPr>
        <w:t> </w:t>
      </w:r>
      <w:r>
        <w:rPr>
          <w:color w:val="231F20"/>
          <w:sz w:val="22"/>
        </w:rPr>
        <w:t>de</w:t>
      </w:r>
      <w:r>
        <w:rPr>
          <w:color w:val="231F20"/>
          <w:spacing w:val="-8"/>
          <w:sz w:val="22"/>
        </w:rPr>
        <w:t> </w:t>
      </w:r>
      <w:r>
        <w:rPr>
          <w:color w:val="231F20"/>
          <w:sz w:val="22"/>
        </w:rPr>
        <w:t>sostenibilidad</w:t>
      </w:r>
      <w:r>
        <w:rPr>
          <w:color w:val="231F20"/>
          <w:spacing w:val="-7"/>
          <w:sz w:val="22"/>
        </w:rPr>
        <w:t> </w:t>
      </w:r>
      <w:r>
        <w:rPr>
          <w:color w:val="231F20"/>
          <w:sz w:val="22"/>
        </w:rPr>
        <w:t>o</w:t>
      </w:r>
      <w:r>
        <w:rPr>
          <w:color w:val="231F20"/>
          <w:spacing w:val="-8"/>
          <w:sz w:val="22"/>
        </w:rPr>
        <w:t> </w:t>
      </w:r>
      <w:r>
        <w:rPr>
          <w:color w:val="231F20"/>
          <w:sz w:val="22"/>
        </w:rPr>
        <w:t>éxi- to del proyecto familiar, se sustentan en los vínculos, dado que su consis- tencia está relacionada con el mantenimiento de </w:t>
      </w:r>
      <w:r>
        <w:rPr>
          <w:i/>
          <w:color w:val="231F20"/>
          <w:sz w:val="22"/>
        </w:rPr>
        <w:t>conexión emocional</w:t>
      </w:r>
      <w:r>
        <w:rPr>
          <w:i/>
          <w:color w:val="231F20"/>
          <w:spacing w:val="-30"/>
          <w:sz w:val="22"/>
        </w:rPr>
        <w:t> </w:t>
      </w:r>
      <w:r>
        <w:rPr>
          <w:i/>
          <w:color w:val="231F20"/>
          <w:sz w:val="22"/>
        </w:rPr>
        <w:t>entre </w:t>
      </w:r>
      <w:r>
        <w:rPr>
          <w:i/>
          <w:color w:val="231F20"/>
          <w:sz w:val="22"/>
        </w:rPr>
        <w:t>los</w:t>
      </w:r>
      <w:r>
        <w:rPr>
          <w:i/>
          <w:color w:val="231F20"/>
          <w:spacing w:val="-5"/>
          <w:sz w:val="22"/>
        </w:rPr>
        <w:t> </w:t>
      </w:r>
      <w:r>
        <w:rPr>
          <w:i/>
          <w:color w:val="231F20"/>
          <w:sz w:val="22"/>
        </w:rPr>
        <w:t>integrantes</w:t>
      </w:r>
      <w:r>
        <w:rPr>
          <w:i/>
          <w:color w:val="231F20"/>
          <w:spacing w:val="-5"/>
          <w:sz w:val="22"/>
        </w:rPr>
        <w:t> </w:t>
      </w:r>
      <w:r>
        <w:rPr>
          <w:color w:val="231F20"/>
          <w:sz w:val="22"/>
        </w:rPr>
        <w:t>migrantes</w:t>
      </w:r>
      <w:r>
        <w:rPr>
          <w:color w:val="231F20"/>
          <w:spacing w:val="-5"/>
          <w:sz w:val="22"/>
        </w:rPr>
        <w:t> </w:t>
      </w:r>
      <w:r>
        <w:rPr>
          <w:color w:val="231F20"/>
          <w:sz w:val="22"/>
        </w:rPr>
        <w:t>y</w:t>
      </w:r>
      <w:r>
        <w:rPr>
          <w:color w:val="231F20"/>
          <w:spacing w:val="-5"/>
          <w:sz w:val="22"/>
        </w:rPr>
        <w:t> </w:t>
      </w:r>
      <w:r>
        <w:rPr>
          <w:color w:val="231F20"/>
          <w:sz w:val="22"/>
        </w:rPr>
        <w:t>no</w:t>
      </w:r>
      <w:r>
        <w:rPr>
          <w:color w:val="231F20"/>
          <w:spacing w:val="-5"/>
          <w:sz w:val="22"/>
        </w:rPr>
        <w:t> </w:t>
      </w:r>
      <w:r>
        <w:rPr>
          <w:color w:val="231F20"/>
          <w:sz w:val="22"/>
        </w:rPr>
        <w:t>migrantes,</w:t>
      </w:r>
      <w:r>
        <w:rPr>
          <w:color w:val="231F20"/>
          <w:spacing w:val="-6"/>
          <w:sz w:val="22"/>
        </w:rPr>
        <w:t> </w:t>
      </w:r>
      <w:r>
        <w:rPr>
          <w:color w:val="231F20"/>
          <w:sz w:val="22"/>
        </w:rPr>
        <w:t>con</w:t>
      </w:r>
      <w:r>
        <w:rPr>
          <w:color w:val="231F20"/>
          <w:spacing w:val="-5"/>
          <w:sz w:val="22"/>
        </w:rPr>
        <w:t> </w:t>
      </w:r>
      <w:r>
        <w:rPr>
          <w:color w:val="231F20"/>
          <w:sz w:val="22"/>
        </w:rPr>
        <w:t>las</w:t>
      </w:r>
      <w:r>
        <w:rPr>
          <w:color w:val="231F20"/>
          <w:spacing w:val="-5"/>
          <w:sz w:val="22"/>
        </w:rPr>
        <w:t> </w:t>
      </w:r>
      <w:r>
        <w:rPr>
          <w:i/>
          <w:color w:val="231F20"/>
          <w:sz w:val="22"/>
        </w:rPr>
        <w:t>contribuciones</w:t>
      </w:r>
      <w:r>
        <w:rPr>
          <w:i/>
          <w:color w:val="231F20"/>
          <w:spacing w:val="-5"/>
          <w:sz w:val="22"/>
        </w:rPr>
        <w:t> </w:t>
      </w:r>
      <w:r>
        <w:rPr>
          <w:i/>
          <w:color w:val="231F20"/>
          <w:sz w:val="22"/>
        </w:rPr>
        <w:t>económi- </w:t>
      </w:r>
      <w:r>
        <w:rPr>
          <w:i/>
          <w:color w:val="231F20"/>
          <w:sz w:val="22"/>
        </w:rPr>
        <w:t>cas para el sostenimiento y la formación de un patrimonio familiar </w:t>
      </w:r>
      <w:r>
        <w:rPr>
          <w:i/>
          <w:color w:val="231F20"/>
          <w:spacing w:val="50"/>
          <w:sz w:val="22"/>
        </w:rPr>
        <w:t> </w:t>
      </w:r>
      <w:r>
        <w:rPr>
          <w:color w:val="231F20"/>
          <w:sz w:val="22"/>
        </w:rPr>
        <w:t>—en</w:t>
      </w:r>
    </w:p>
    <w:p>
      <w:pPr>
        <w:spacing w:after="0" w:line="247" w:lineRule="auto"/>
        <w:jc w:val="both"/>
        <w:rPr>
          <w:sz w:val="22"/>
        </w:rPr>
        <w:sectPr>
          <w:pgSz w:w="9360" w:h="13040"/>
          <w:pgMar w:header="0" w:footer="496" w:top="800" w:bottom="680" w:left="1300" w:right="1300"/>
        </w:sectPr>
      </w:pPr>
    </w:p>
    <w:p>
      <w:pPr>
        <w:spacing w:before="45"/>
        <w:ind w:left="117" w:right="0" w:firstLine="2714"/>
        <w:jc w:val="left"/>
        <w:rPr>
          <w:rFonts w:ascii="Arial" w:hAnsi="Arial"/>
          <w:sz w:val="20"/>
        </w:rPr>
      </w:pPr>
      <w:r>
        <w:rPr>
          <w:rFonts w:ascii="Arial" w:hAnsi="Arial"/>
          <w:color w:val="231F20"/>
          <w:w w:val="74"/>
          <w:sz w:val="20"/>
        </w:rPr>
        <w:t>Familias</w:t>
      </w:r>
      <w:r>
        <w:rPr>
          <w:rFonts w:ascii="Arial" w:hAnsi="Arial"/>
          <w:color w:val="231F20"/>
          <w:spacing w:val="-1"/>
          <w:sz w:val="20"/>
        </w:rPr>
        <w:t> </w:t>
      </w:r>
      <w:r>
        <w:rPr>
          <w:rFonts w:ascii="Arial" w:hAnsi="Arial"/>
          <w:color w:val="231F20"/>
          <w:spacing w:val="-1"/>
          <w:w w:val="72"/>
          <w:sz w:val="20"/>
        </w:rPr>
        <w:t>transnacionale</w:t>
      </w:r>
      <w:r>
        <w:rPr>
          <w:rFonts w:ascii="Arial" w:hAnsi="Arial"/>
          <w:color w:val="231F20"/>
          <w:w w:val="72"/>
          <w:sz w:val="20"/>
        </w:rPr>
        <w:t>s</w:t>
      </w:r>
      <w:r>
        <w:rPr>
          <w:rFonts w:ascii="Arial" w:hAnsi="Arial"/>
          <w:color w:val="231F20"/>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1"/>
          <w:sz w:val="20"/>
        </w:rPr>
        <w:t>Colombia</w:t>
      </w:r>
      <w:r>
        <w:rPr>
          <w:rFonts w:ascii="Arial" w:hAnsi="Arial"/>
          <w:color w:val="231F20"/>
          <w:spacing w:val="-1"/>
          <w:sz w:val="20"/>
        </w:rPr>
        <w:t> </w:t>
      </w:r>
      <w:r>
        <w:rPr>
          <w:rFonts w:ascii="Arial" w:hAnsi="Arial"/>
          <w:color w:val="231F20"/>
          <w:spacing w:val="-1"/>
          <w:w w:val="99"/>
          <w:sz w:val="20"/>
        </w:rPr>
        <w:t>/</w:t>
      </w:r>
      <w:r>
        <w:rPr>
          <w:rFonts w:ascii="Arial" w:hAnsi="Arial"/>
          <w:color w:val="231F20"/>
          <w:w w:val="48"/>
          <w:sz w:val="20"/>
        </w:rPr>
        <w:t>Luz</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50"/>
          <w:sz w:val="20"/>
        </w:rPr>
        <w:t>López-Montaño</w:t>
      </w:r>
    </w:p>
    <w:p>
      <w:pPr>
        <w:pStyle w:val="BodyText"/>
        <w:spacing w:before="7"/>
        <w:rPr>
          <w:rFonts w:ascii="Arial"/>
          <w:sz w:val="28"/>
        </w:rPr>
      </w:pPr>
    </w:p>
    <w:p>
      <w:pPr>
        <w:pStyle w:val="BodyText"/>
        <w:spacing w:line="247" w:lineRule="auto"/>
        <w:ind w:left="117" w:right="114"/>
        <w:jc w:val="both"/>
      </w:pPr>
      <w:r>
        <w:rPr>
          <w:color w:val="231F20"/>
        </w:rPr>
        <w:t>su orden, el sostenimiento se orienta a educación, alimentación, cuidado  y crianza y el patrimonio se basa en la compra o mejora de la vivienda,   el montaje de un negocio o el ahorro— y con las </w:t>
      </w:r>
      <w:r>
        <w:rPr>
          <w:i/>
          <w:color w:val="231F20"/>
        </w:rPr>
        <w:t>expectativas de futuro </w:t>
      </w:r>
      <w:r>
        <w:rPr>
          <w:i/>
          <w:color w:val="231F20"/>
        </w:rPr>
        <w:t>compartido </w:t>
      </w:r>
      <w:r>
        <w:rPr>
          <w:color w:val="231F20"/>
        </w:rPr>
        <w:t>(López,</w:t>
      </w:r>
      <w:r>
        <w:rPr>
          <w:color w:val="231F20"/>
          <w:spacing w:val="-1"/>
        </w:rPr>
        <w:t> </w:t>
      </w:r>
      <w:r>
        <w:rPr>
          <w:color w:val="231F20"/>
        </w:rPr>
        <w:t>2012).</w:t>
      </w:r>
    </w:p>
    <w:p>
      <w:pPr>
        <w:pStyle w:val="BodyText"/>
        <w:spacing w:line="247" w:lineRule="auto"/>
        <w:ind w:left="117" w:right="114" w:firstLine="283"/>
        <w:jc w:val="both"/>
      </w:pPr>
      <w:r>
        <w:rPr>
          <w:i/>
          <w:color w:val="231F20"/>
        </w:rPr>
        <w:t>La conexión emocional </w:t>
      </w:r>
      <w:r>
        <w:rPr>
          <w:color w:val="231F20"/>
        </w:rPr>
        <w:t>tiene una alta implicación en las interacciones de proximidad, éstas son puestas en tensión durante las etapas de la mi- gración y están más signadas por expresiones de afecto, apego, intimidad, fusión, mutualidad. En el inicio de la etapa migratoria hay expresiones de reclamo,</w:t>
      </w:r>
      <w:r>
        <w:rPr>
          <w:color w:val="231F20"/>
          <w:spacing w:val="-7"/>
        </w:rPr>
        <w:t> </w:t>
      </w:r>
      <w:r>
        <w:rPr>
          <w:color w:val="231F20"/>
        </w:rPr>
        <w:t>por</w:t>
      </w:r>
      <w:r>
        <w:rPr>
          <w:color w:val="231F20"/>
          <w:spacing w:val="-7"/>
        </w:rPr>
        <w:t> </w:t>
      </w:r>
      <w:r>
        <w:rPr>
          <w:color w:val="231F20"/>
        </w:rPr>
        <w:t>lo</w:t>
      </w:r>
      <w:r>
        <w:rPr>
          <w:color w:val="231F20"/>
          <w:spacing w:val="-7"/>
        </w:rPr>
        <w:t> </w:t>
      </w:r>
      <w:r>
        <w:rPr>
          <w:color w:val="231F20"/>
        </w:rPr>
        <w:t>general,</w:t>
      </w:r>
      <w:r>
        <w:rPr>
          <w:color w:val="231F20"/>
          <w:spacing w:val="-7"/>
        </w:rPr>
        <w:t> </w:t>
      </w:r>
      <w:r>
        <w:rPr>
          <w:color w:val="231F20"/>
        </w:rPr>
        <w:t>los</w:t>
      </w:r>
      <w:r>
        <w:rPr>
          <w:color w:val="231F20"/>
          <w:spacing w:val="-7"/>
        </w:rPr>
        <w:t> </w:t>
      </w:r>
      <w:r>
        <w:rPr>
          <w:color w:val="231F20"/>
        </w:rPr>
        <w:t>hijos</w:t>
      </w:r>
      <w:r>
        <w:rPr>
          <w:color w:val="231F20"/>
          <w:spacing w:val="-7"/>
        </w:rPr>
        <w:t> </w:t>
      </w:r>
      <w:r>
        <w:rPr>
          <w:color w:val="231F20"/>
        </w:rPr>
        <w:t>e</w:t>
      </w:r>
      <w:r>
        <w:rPr>
          <w:color w:val="231F20"/>
          <w:spacing w:val="-7"/>
        </w:rPr>
        <w:t> </w:t>
      </w:r>
      <w:r>
        <w:rPr>
          <w:color w:val="231F20"/>
        </w:rPr>
        <w:t>hijas</w:t>
      </w:r>
      <w:r>
        <w:rPr>
          <w:color w:val="231F20"/>
          <w:spacing w:val="-7"/>
        </w:rPr>
        <w:t> </w:t>
      </w:r>
      <w:r>
        <w:rPr>
          <w:color w:val="231F20"/>
        </w:rPr>
        <w:t>reaccionan</w:t>
      </w:r>
      <w:r>
        <w:rPr>
          <w:color w:val="231F20"/>
          <w:spacing w:val="-7"/>
        </w:rPr>
        <w:t> </w:t>
      </w:r>
      <w:r>
        <w:rPr>
          <w:color w:val="231F20"/>
        </w:rPr>
        <w:t>con</w:t>
      </w:r>
      <w:r>
        <w:rPr>
          <w:color w:val="231F20"/>
          <w:spacing w:val="-7"/>
        </w:rPr>
        <w:t> </w:t>
      </w:r>
      <w:r>
        <w:rPr>
          <w:color w:val="231F20"/>
        </w:rPr>
        <w:t>agresividad</w:t>
      </w:r>
      <w:r>
        <w:rPr>
          <w:color w:val="231F20"/>
          <w:spacing w:val="-8"/>
        </w:rPr>
        <w:t> </w:t>
      </w:r>
      <w:r>
        <w:rPr>
          <w:color w:val="231F20"/>
        </w:rPr>
        <w:t>ante</w:t>
      </w:r>
      <w:r>
        <w:rPr>
          <w:color w:val="231F20"/>
          <w:spacing w:val="-7"/>
        </w:rPr>
        <w:t> </w:t>
      </w:r>
      <w:r>
        <w:rPr>
          <w:color w:val="231F20"/>
        </w:rPr>
        <w:t>la partida</w:t>
      </w:r>
      <w:r>
        <w:rPr>
          <w:color w:val="231F20"/>
          <w:spacing w:val="-6"/>
        </w:rPr>
        <w:t> </w:t>
      </w:r>
      <w:r>
        <w:rPr>
          <w:color w:val="231F20"/>
        </w:rPr>
        <w:t>del</w:t>
      </w:r>
      <w:r>
        <w:rPr>
          <w:color w:val="231F20"/>
          <w:spacing w:val="-6"/>
        </w:rPr>
        <w:t> </w:t>
      </w:r>
      <w:r>
        <w:rPr>
          <w:color w:val="231F20"/>
        </w:rPr>
        <w:t>padre</w:t>
      </w:r>
      <w:r>
        <w:rPr>
          <w:color w:val="231F20"/>
          <w:spacing w:val="-6"/>
        </w:rPr>
        <w:t> </w:t>
      </w:r>
      <w:r>
        <w:rPr>
          <w:color w:val="231F20"/>
        </w:rPr>
        <w:t>o</w:t>
      </w:r>
      <w:r>
        <w:rPr>
          <w:color w:val="231F20"/>
          <w:spacing w:val="-6"/>
        </w:rPr>
        <w:t> </w:t>
      </w:r>
      <w:r>
        <w:rPr>
          <w:color w:val="231F20"/>
        </w:rPr>
        <w:t>la</w:t>
      </w:r>
      <w:r>
        <w:rPr>
          <w:color w:val="231F20"/>
          <w:spacing w:val="-6"/>
        </w:rPr>
        <w:t> </w:t>
      </w:r>
      <w:r>
        <w:rPr>
          <w:color w:val="231F20"/>
        </w:rPr>
        <w:t>madre.</w:t>
      </w:r>
      <w:r>
        <w:rPr>
          <w:color w:val="231F20"/>
          <w:spacing w:val="-6"/>
        </w:rPr>
        <w:t> </w:t>
      </w:r>
      <w:r>
        <w:rPr>
          <w:color w:val="231F20"/>
        </w:rPr>
        <w:t>Como</w:t>
      </w:r>
      <w:r>
        <w:rPr>
          <w:color w:val="231F20"/>
          <w:spacing w:val="-6"/>
        </w:rPr>
        <w:t> </w:t>
      </w:r>
      <w:r>
        <w:rPr>
          <w:color w:val="231F20"/>
        </w:rPr>
        <w:t>plantea</w:t>
      </w:r>
      <w:r>
        <w:rPr>
          <w:color w:val="231F20"/>
          <w:spacing w:val="-6"/>
        </w:rPr>
        <w:t> </w:t>
      </w:r>
      <w:r>
        <w:rPr>
          <w:color w:val="231F20"/>
        </w:rPr>
        <w:t>Echeverría</w:t>
      </w:r>
      <w:r>
        <w:rPr>
          <w:color w:val="231F20"/>
          <w:spacing w:val="-6"/>
        </w:rPr>
        <w:t> </w:t>
      </w:r>
      <w:r>
        <w:rPr>
          <w:color w:val="231F20"/>
        </w:rPr>
        <w:t>(1998),</w:t>
      </w:r>
      <w:r>
        <w:rPr>
          <w:color w:val="231F20"/>
          <w:spacing w:val="-6"/>
        </w:rPr>
        <w:t> </w:t>
      </w:r>
      <w:r>
        <w:rPr>
          <w:color w:val="231F20"/>
        </w:rPr>
        <w:t>las</w:t>
      </w:r>
      <w:r>
        <w:rPr>
          <w:color w:val="231F20"/>
          <w:spacing w:val="-6"/>
        </w:rPr>
        <w:t> </w:t>
      </w:r>
      <w:r>
        <w:rPr>
          <w:color w:val="231F20"/>
        </w:rPr>
        <w:t>emocio- nes</w:t>
      </w:r>
      <w:r>
        <w:rPr>
          <w:color w:val="231F20"/>
          <w:spacing w:val="-3"/>
        </w:rPr>
        <w:t> </w:t>
      </w:r>
      <w:r>
        <w:rPr>
          <w:color w:val="231F20"/>
        </w:rPr>
        <w:t>son</w:t>
      </w:r>
      <w:r>
        <w:rPr>
          <w:color w:val="231F20"/>
          <w:spacing w:val="-3"/>
        </w:rPr>
        <w:t> </w:t>
      </w:r>
      <w:r>
        <w:rPr>
          <w:color w:val="231F20"/>
        </w:rPr>
        <w:t>específicas</w:t>
      </w:r>
      <w:r>
        <w:rPr>
          <w:color w:val="231F20"/>
          <w:spacing w:val="-3"/>
        </w:rPr>
        <w:t> </w:t>
      </w:r>
      <w:r>
        <w:rPr>
          <w:color w:val="231F20"/>
        </w:rPr>
        <w:t>y</w:t>
      </w:r>
      <w:r>
        <w:rPr>
          <w:color w:val="231F20"/>
          <w:spacing w:val="-3"/>
        </w:rPr>
        <w:t> </w:t>
      </w:r>
      <w:r>
        <w:rPr>
          <w:color w:val="231F20"/>
        </w:rPr>
        <w:t>reactivas,</w:t>
      </w:r>
      <w:r>
        <w:rPr>
          <w:color w:val="231F20"/>
          <w:spacing w:val="-3"/>
        </w:rPr>
        <w:t> </w:t>
      </w:r>
      <w:r>
        <w:rPr>
          <w:color w:val="231F20"/>
        </w:rPr>
        <w:t>su</w:t>
      </w:r>
      <w:r>
        <w:rPr>
          <w:color w:val="231F20"/>
          <w:spacing w:val="-3"/>
        </w:rPr>
        <w:t> </w:t>
      </w:r>
      <w:r>
        <w:rPr>
          <w:color w:val="231F20"/>
        </w:rPr>
        <w:t>intensidad</w:t>
      </w:r>
      <w:r>
        <w:rPr>
          <w:color w:val="231F20"/>
          <w:spacing w:val="-4"/>
        </w:rPr>
        <w:t> </w:t>
      </w:r>
      <w:r>
        <w:rPr>
          <w:color w:val="231F20"/>
        </w:rPr>
        <w:t>da</w:t>
      </w:r>
      <w:r>
        <w:rPr>
          <w:color w:val="231F20"/>
          <w:spacing w:val="-3"/>
        </w:rPr>
        <w:t> </w:t>
      </w:r>
      <w:r>
        <w:rPr>
          <w:color w:val="231F20"/>
        </w:rPr>
        <w:t>cuenta</w:t>
      </w:r>
      <w:r>
        <w:rPr>
          <w:color w:val="231F20"/>
          <w:spacing w:val="-4"/>
        </w:rPr>
        <w:t> </w:t>
      </w:r>
      <w:r>
        <w:rPr>
          <w:color w:val="231F20"/>
        </w:rPr>
        <w:t>de</w:t>
      </w:r>
      <w:r>
        <w:rPr>
          <w:color w:val="231F20"/>
          <w:spacing w:val="-3"/>
        </w:rPr>
        <w:t> </w:t>
      </w:r>
      <w:r>
        <w:rPr>
          <w:color w:val="231F20"/>
        </w:rPr>
        <w:t>la</w:t>
      </w:r>
      <w:r>
        <w:rPr>
          <w:color w:val="231F20"/>
          <w:spacing w:val="-3"/>
        </w:rPr>
        <w:t> </w:t>
      </w:r>
      <w:r>
        <w:rPr>
          <w:color w:val="231F20"/>
        </w:rPr>
        <w:t>densidad</w:t>
      </w:r>
      <w:r>
        <w:rPr>
          <w:color w:val="231F20"/>
          <w:spacing w:val="-3"/>
        </w:rPr>
        <w:t> </w:t>
      </w:r>
      <w:r>
        <w:rPr>
          <w:color w:val="231F20"/>
        </w:rPr>
        <w:t>vin- culante, los acontecimientos las preceden y algunas como ira, vergüenza, temor, alegría o el amor, son dominantes y sumamente poderosas (López, 2009).</w:t>
      </w:r>
    </w:p>
    <w:p>
      <w:pPr>
        <w:pStyle w:val="BodyText"/>
        <w:spacing w:line="247" w:lineRule="auto"/>
        <w:ind w:left="117" w:right="114" w:firstLine="283"/>
        <w:jc w:val="both"/>
      </w:pPr>
      <w:r>
        <w:rPr>
          <w:color w:val="231F20"/>
        </w:rPr>
        <w:t>La migración por sí misma no genera una situación de transnacionali- dad,</w:t>
      </w:r>
      <w:r>
        <w:rPr>
          <w:color w:val="231F20"/>
          <w:spacing w:val="-12"/>
        </w:rPr>
        <w:t> </w:t>
      </w:r>
      <w:r>
        <w:rPr>
          <w:color w:val="231F20"/>
        </w:rPr>
        <w:t>el</w:t>
      </w:r>
      <w:r>
        <w:rPr>
          <w:color w:val="231F20"/>
          <w:spacing w:val="-12"/>
        </w:rPr>
        <w:t> </w:t>
      </w:r>
      <w:r>
        <w:rPr>
          <w:color w:val="231F20"/>
        </w:rPr>
        <w:t>mantenimiento</w:t>
      </w:r>
      <w:r>
        <w:rPr>
          <w:color w:val="231F20"/>
          <w:spacing w:val="-13"/>
        </w:rPr>
        <w:t> </w:t>
      </w:r>
      <w:r>
        <w:rPr>
          <w:color w:val="231F20"/>
        </w:rPr>
        <w:t>del</w:t>
      </w:r>
      <w:r>
        <w:rPr>
          <w:color w:val="231F20"/>
          <w:spacing w:val="-12"/>
        </w:rPr>
        <w:t> </w:t>
      </w:r>
      <w:r>
        <w:rPr>
          <w:color w:val="231F20"/>
        </w:rPr>
        <w:t>tejido</w:t>
      </w:r>
      <w:r>
        <w:rPr>
          <w:color w:val="231F20"/>
          <w:spacing w:val="-13"/>
        </w:rPr>
        <w:t> </w:t>
      </w:r>
      <w:r>
        <w:rPr>
          <w:color w:val="231F20"/>
        </w:rPr>
        <w:t>relacional</w:t>
      </w:r>
      <w:r>
        <w:rPr>
          <w:color w:val="231F20"/>
          <w:spacing w:val="-12"/>
        </w:rPr>
        <w:t> </w:t>
      </w:r>
      <w:r>
        <w:rPr>
          <w:color w:val="231F20"/>
        </w:rPr>
        <w:t>y</w:t>
      </w:r>
      <w:r>
        <w:rPr>
          <w:color w:val="231F20"/>
          <w:spacing w:val="-12"/>
        </w:rPr>
        <w:t> </w:t>
      </w:r>
      <w:r>
        <w:rPr>
          <w:color w:val="231F20"/>
        </w:rPr>
        <w:t>vinculante</w:t>
      </w:r>
      <w:r>
        <w:rPr>
          <w:color w:val="231F20"/>
          <w:spacing w:val="-12"/>
        </w:rPr>
        <w:t> </w:t>
      </w:r>
      <w:r>
        <w:rPr>
          <w:color w:val="231F20"/>
        </w:rPr>
        <w:t>con</w:t>
      </w:r>
      <w:r>
        <w:rPr>
          <w:color w:val="231F20"/>
          <w:spacing w:val="-13"/>
        </w:rPr>
        <w:t> </w:t>
      </w:r>
      <w:r>
        <w:rPr>
          <w:color w:val="231F20"/>
        </w:rPr>
        <w:t>su</w:t>
      </w:r>
      <w:r>
        <w:rPr>
          <w:color w:val="231F20"/>
          <w:spacing w:val="-12"/>
        </w:rPr>
        <w:t> </w:t>
      </w:r>
      <w:r>
        <w:rPr>
          <w:color w:val="231F20"/>
        </w:rPr>
        <w:t>circularidad emocional, económica, social, política y cultural que da sostenibilidad a los</w:t>
      </w:r>
      <w:r>
        <w:rPr>
          <w:color w:val="231F20"/>
          <w:spacing w:val="-10"/>
        </w:rPr>
        <w:t> </w:t>
      </w:r>
      <w:r>
        <w:rPr>
          <w:color w:val="231F20"/>
        </w:rPr>
        <w:t>lazos</w:t>
      </w:r>
      <w:r>
        <w:rPr>
          <w:color w:val="231F20"/>
          <w:spacing w:val="-11"/>
        </w:rPr>
        <w:t> </w:t>
      </w:r>
      <w:r>
        <w:rPr>
          <w:color w:val="231F20"/>
        </w:rPr>
        <w:t>familiares,</w:t>
      </w:r>
      <w:r>
        <w:rPr>
          <w:color w:val="231F20"/>
          <w:spacing w:val="-10"/>
        </w:rPr>
        <w:t> </w:t>
      </w:r>
      <w:r>
        <w:rPr>
          <w:color w:val="231F20"/>
        </w:rPr>
        <w:t>sociales</w:t>
      </w:r>
      <w:r>
        <w:rPr>
          <w:color w:val="231F20"/>
          <w:spacing w:val="-10"/>
        </w:rPr>
        <w:t> </w:t>
      </w:r>
      <w:r>
        <w:rPr>
          <w:color w:val="231F20"/>
        </w:rPr>
        <w:t>y</w:t>
      </w:r>
      <w:r>
        <w:rPr>
          <w:color w:val="231F20"/>
          <w:spacing w:val="-10"/>
        </w:rPr>
        <w:t> </w:t>
      </w:r>
      <w:r>
        <w:rPr>
          <w:color w:val="231F20"/>
        </w:rPr>
        <w:t>emocionales</w:t>
      </w:r>
      <w:r>
        <w:rPr>
          <w:color w:val="231F20"/>
          <w:spacing w:val="-11"/>
        </w:rPr>
        <w:t> </w:t>
      </w:r>
      <w:r>
        <w:rPr>
          <w:color w:val="231F20"/>
        </w:rPr>
        <w:t>entre</w:t>
      </w:r>
      <w:r>
        <w:rPr>
          <w:color w:val="231F20"/>
          <w:spacing w:val="-10"/>
        </w:rPr>
        <w:t> </w:t>
      </w:r>
      <w:r>
        <w:rPr>
          <w:color w:val="231F20"/>
        </w:rPr>
        <w:t>los</w:t>
      </w:r>
      <w:r>
        <w:rPr>
          <w:color w:val="231F20"/>
          <w:spacing w:val="-10"/>
        </w:rPr>
        <w:t> </w:t>
      </w:r>
      <w:r>
        <w:rPr>
          <w:color w:val="231F20"/>
        </w:rPr>
        <w:t>parientes</w:t>
      </w:r>
      <w:r>
        <w:rPr>
          <w:color w:val="231F20"/>
          <w:spacing w:val="-10"/>
        </w:rPr>
        <w:t> </w:t>
      </w:r>
      <w:r>
        <w:rPr>
          <w:color w:val="231F20"/>
        </w:rPr>
        <w:t>—familia— y en el hogar glocal —hogar en país/es de origen y hogar/es en país/es de destino— requiere ser escrita constantemente en la vida cotidiana, de y entre los</w:t>
      </w:r>
      <w:r>
        <w:rPr>
          <w:color w:val="231F20"/>
          <w:spacing w:val="-2"/>
        </w:rPr>
        <w:t> </w:t>
      </w:r>
      <w:r>
        <w:rPr>
          <w:color w:val="231F20"/>
        </w:rPr>
        <w:t>participantes.</w:t>
      </w:r>
    </w:p>
    <w:p>
      <w:pPr>
        <w:pStyle w:val="BodyText"/>
        <w:spacing w:line="247" w:lineRule="auto"/>
        <w:ind w:left="117" w:right="115" w:firstLine="283"/>
        <w:jc w:val="both"/>
      </w:pPr>
      <w:r>
        <w:rPr>
          <w:color w:val="231F20"/>
        </w:rPr>
        <w:t>Los parientes y especialmente las cuidadoras orientan para que el niño o la niña construyan su propia imagen, símbolo de la relación que les une con</w:t>
      </w:r>
      <w:r>
        <w:rPr>
          <w:color w:val="231F20"/>
          <w:spacing w:val="-10"/>
        </w:rPr>
        <w:t> </w:t>
      </w:r>
      <w:r>
        <w:rPr>
          <w:color w:val="231F20"/>
        </w:rPr>
        <w:t>el</w:t>
      </w:r>
      <w:r>
        <w:rPr>
          <w:color w:val="231F20"/>
          <w:spacing w:val="-10"/>
        </w:rPr>
        <w:t> </w:t>
      </w:r>
      <w:r>
        <w:rPr>
          <w:color w:val="231F20"/>
        </w:rPr>
        <w:t>padre</w:t>
      </w:r>
      <w:r>
        <w:rPr>
          <w:color w:val="231F20"/>
          <w:spacing w:val="-10"/>
        </w:rPr>
        <w:t> </w:t>
      </w:r>
      <w:r>
        <w:rPr>
          <w:color w:val="231F20"/>
        </w:rPr>
        <w:t>o</w:t>
      </w:r>
      <w:r>
        <w:rPr>
          <w:color w:val="231F20"/>
          <w:spacing w:val="-10"/>
        </w:rPr>
        <w:t> </w:t>
      </w:r>
      <w:r>
        <w:rPr>
          <w:color w:val="231F20"/>
        </w:rPr>
        <w:t>madre</w:t>
      </w:r>
      <w:r>
        <w:rPr>
          <w:color w:val="231F20"/>
          <w:spacing w:val="-10"/>
        </w:rPr>
        <w:t> </w:t>
      </w:r>
      <w:r>
        <w:rPr>
          <w:color w:val="231F20"/>
        </w:rPr>
        <w:t>“distante”</w:t>
      </w:r>
      <w:r>
        <w:rPr>
          <w:color w:val="231F20"/>
          <w:spacing w:val="-10"/>
        </w:rPr>
        <w:t> </w:t>
      </w:r>
      <w:r>
        <w:rPr>
          <w:color w:val="231F20"/>
        </w:rPr>
        <w:t>físicamente,</w:t>
      </w:r>
      <w:r>
        <w:rPr>
          <w:color w:val="231F20"/>
          <w:spacing w:val="-11"/>
        </w:rPr>
        <w:t> </w:t>
      </w:r>
      <w:r>
        <w:rPr>
          <w:color w:val="231F20"/>
        </w:rPr>
        <w:t>pero</w:t>
      </w:r>
      <w:r>
        <w:rPr>
          <w:color w:val="231F20"/>
          <w:spacing w:val="-10"/>
        </w:rPr>
        <w:t> </w:t>
      </w:r>
      <w:r>
        <w:rPr>
          <w:color w:val="231F20"/>
        </w:rPr>
        <w:t>cercana/o</w:t>
      </w:r>
      <w:r>
        <w:rPr>
          <w:color w:val="231F20"/>
          <w:spacing w:val="-11"/>
        </w:rPr>
        <w:t> </w:t>
      </w:r>
      <w:r>
        <w:rPr>
          <w:color w:val="231F20"/>
        </w:rPr>
        <w:t>en</w:t>
      </w:r>
      <w:r>
        <w:rPr>
          <w:color w:val="231F20"/>
          <w:spacing w:val="-10"/>
        </w:rPr>
        <w:t> </w:t>
      </w:r>
      <w:r>
        <w:rPr>
          <w:color w:val="231F20"/>
        </w:rPr>
        <w:t>su</w:t>
      </w:r>
      <w:r>
        <w:rPr>
          <w:color w:val="231F20"/>
          <w:spacing w:val="-10"/>
        </w:rPr>
        <w:t> </w:t>
      </w:r>
      <w:r>
        <w:rPr>
          <w:color w:val="231F20"/>
        </w:rPr>
        <w:t>emoción. La </w:t>
      </w:r>
      <w:r>
        <w:rPr>
          <w:i/>
          <w:color w:val="231F20"/>
        </w:rPr>
        <w:t>presencia física </w:t>
      </w:r>
      <w:r>
        <w:rPr>
          <w:color w:val="231F20"/>
        </w:rPr>
        <w:t>se reemplaza por las palabras y los relatos que traen la sensibilidad</w:t>
      </w:r>
      <w:r>
        <w:rPr>
          <w:color w:val="231F20"/>
          <w:spacing w:val="-4"/>
        </w:rPr>
        <w:t> </w:t>
      </w:r>
      <w:r>
        <w:rPr>
          <w:color w:val="231F20"/>
        </w:rPr>
        <w:t>humana</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presencia</w:t>
      </w:r>
      <w:r>
        <w:rPr>
          <w:color w:val="231F20"/>
          <w:spacing w:val="-5"/>
        </w:rPr>
        <w:t> </w:t>
      </w:r>
      <w:r>
        <w:rPr>
          <w:color w:val="231F20"/>
        </w:rPr>
        <w:t>emocional,</w:t>
      </w:r>
      <w:r>
        <w:rPr>
          <w:color w:val="231F20"/>
          <w:spacing w:val="-5"/>
        </w:rPr>
        <w:t> </w:t>
      </w:r>
      <w:r>
        <w:rPr>
          <w:color w:val="231F20"/>
        </w:rPr>
        <w:t>se</w:t>
      </w:r>
      <w:r>
        <w:rPr>
          <w:color w:val="231F20"/>
          <w:spacing w:val="-4"/>
        </w:rPr>
        <w:t> </w:t>
      </w:r>
      <w:r>
        <w:rPr>
          <w:color w:val="231F20"/>
        </w:rPr>
        <w:t>mantiene</w:t>
      </w:r>
      <w:r>
        <w:rPr>
          <w:color w:val="231F20"/>
          <w:spacing w:val="-5"/>
        </w:rPr>
        <w:t> </w:t>
      </w:r>
      <w:r>
        <w:rPr>
          <w:color w:val="231F20"/>
        </w:rPr>
        <w:t>la</w:t>
      </w:r>
      <w:r>
        <w:rPr>
          <w:color w:val="231F20"/>
          <w:spacing w:val="-5"/>
        </w:rPr>
        <w:t> </w:t>
      </w:r>
      <w:r>
        <w:rPr>
          <w:color w:val="231F20"/>
        </w:rPr>
        <w:t>idea,</w:t>
      </w:r>
      <w:r>
        <w:rPr>
          <w:color w:val="231F20"/>
          <w:spacing w:val="-5"/>
        </w:rPr>
        <w:t> </w:t>
      </w:r>
      <w:r>
        <w:rPr>
          <w:color w:val="231F20"/>
        </w:rPr>
        <w:t>la</w:t>
      </w:r>
      <w:r>
        <w:rPr>
          <w:color w:val="231F20"/>
          <w:spacing w:val="-5"/>
        </w:rPr>
        <w:t> </w:t>
      </w:r>
      <w:r>
        <w:rPr>
          <w:color w:val="231F20"/>
        </w:rPr>
        <w:t>ima- gen construida del lugar y lo que simboliza el padre o la madre en la vida del niño o de la niña.</w:t>
      </w:r>
    </w:p>
    <w:p>
      <w:pPr>
        <w:pStyle w:val="BodyText"/>
        <w:spacing w:line="247" w:lineRule="auto"/>
        <w:ind w:left="117" w:right="114" w:firstLine="283"/>
        <w:jc w:val="both"/>
      </w:pPr>
      <w:r>
        <w:rPr>
          <w:color w:val="231F20"/>
        </w:rPr>
        <w:t>Cuanto más intensa y positiva ha sido la relación, una mayor </w:t>
      </w:r>
      <w:r>
        <w:rPr>
          <w:i/>
          <w:color w:val="231F20"/>
        </w:rPr>
        <w:t>densidad </w:t>
      </w:r>
      <w:r>
        <w:rPr>
          <w:i/>
          <w:color w:val="231F20"/>
        </w:rPr>
        <w:t>vinculante </w:t>
      </w:r>
      <w:r>
        <w:rPr>
          <w:color w:val="231F20"/>
        </w:rPr>
        <w:t>puede </w:t>
      </w:r>
      <w:r>
        <w:rPr>
          <w:color w:val="231F20"/>
          <w:spacing w:val="-3"/>
        </w:rPr>
        <w:t>emerger. </w:t>
      </w:r>
      <w:r>
        <w:rPr>
          <w:color w:val="231F20"/>
        </w:rPr>
        <w:t>Tristeza, impotencia, temor, preocupación, son sentimientos y emociones que expresan los niños, niñas y adolescentes en casos</w:t>
      </w:r>
      <w:r>
        <w:rPr>
          <w:color w:val="231F20"/>
          <w:spacing w:val="-7"/>
        </w:rPr>
        <w:t> </w:t>
      </w:r>
      <w:r>
        <w:rPr>
          <w:color w:val="231F20"/>
        </w:rPr>
        <w:t>extremos</w:t>
      </w:r>
      <w:r>
        <w:rPr>
          <w:color w:val="231F20"/>
          <w:spacing w:val="-7"/>
        </w:rPr>
        <w:t> </w:t>
      </w:r>
      <w:r>
        <w:rPr>
          <w:color w:val="231F20"/>
        </w:rPr>
        <w:t>cuando</w:t>
      </w:r>
      <w:r>
        <w:rPr>
          <w:color w:val="231F20"/>
          <w:spacing w:val="-7"/>
        </w:rPr>
        <w:t> </w:t>
      </w:r>
      <w:r>
        <w:rPr>
          <w:color w:val="231F20"/>
        </w:rPr>
        <w:t>ante</w:t>
      </w:r>
      <w:r>
        <w:rPr>
          <w:color w:val="231F20"/>
          <w:spacing w:val="-7"/>
        </w:rPr>
        <w:t> </w:t>
      </w:r>
      <w:r>
        <w:rPr>
          <w:color w:val="231F20"/>
        </w:rPr>
        <w:t>la</w:t>
      </w:r>
      <w:r>
        <w:rPr>
          <w:color w:val="231F20"/>
          <w:spacing w:val="-7"/>
        </w:rPr>
        <w:t> </w:t>
      </w:r>
      <w:r>
        <w:rPr>
          <w:color w:val="231F20"/>
        </w:rPr>
        <w:t>crisis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partida</w:t>
      </w:r>
      <w:r>
        <w:rPr>
          <w:color w:val="231F20"/>
          <w:spacing w:val="-7"/>
        </w:rPr>
        <w:t> </w:t>
      </w:r>
      <w:r>
        <w:rPr>
          <w:color w:val="231F20"/>
        </w:rPr>
        <w:t>se</w:t>
      </w:r>
      <w:r>
        <w:rPr>
          <w:color w:val="231F20"/>
          <w:spacing w:val="-7"/>
        </w:rPr>
        <w:t> </w:t>
      </w:r>
      <w:r>
        <w:rPr>
          <w:color w:val="231F20"/>
        </w:rPr>
        <w:t>comportan</w:t>
      </w:r>
      <w:r>
        <w:rPr>
          <w:color w:val="231F20"/>
          <w:spacing w:val="-7"/>
        </w:rPr>
        <w:t> </w:t>
      </w:r>
      <w:r>
        <w:rPr>
          <w:color w:val="231F20"/>
        </w:rPr>
        <w:t>con</w:t>
      </w:r>
      <w:r>
        <w:rPr>
          <w:color w:val="231F20"/>
          <w:spacing w:val="-7"/>
        </w:rPr>
        <w:t> </w:t>
      </w:r>
      <w:r>
        <w:rPr>
          <w:color w:val="231F20"/>
        </w:rPr>
        <w:t>agresi- vidad, lloran o se aislan. Durante la etapa migratoria, lo que empezó</w:t>
      </w:r>
      <w:r>
        <w:rPr>
          <w:color w:val="231F20"/>
          <w:spacing w:val="-36"/>
        </w:rPr>
        <w:t> </w:t>
      </w:r>
      <w:r>
        <w:rPr>
          <w:color w:val="231F20"/>
        </w:rPr>
        <w:t>como una emoción ligada a un determinado acontecimiento puede convertirse en un estado de ánimo si permanece con la persona el tiempo suficiente    y se traslada al trasfondo desde el cual ella actúa. La aceptación de la pa- ternidad o maternidad y del ser hija o hijo se afianza con la interacción y el acercamiento visual y la conversación a través de medios</w:t>
      </w:r>
      <w:r>
        <w:rPr>
          <w:color w:val="231F20"/>
          <w:spacing w:val="-4"/>
        </w:rPr>
        <w:t> </w:t>
      </w:r>
      <w:r>
        <w:rPr>
          <w:color w:val="231F20"/>
        </w:rPr>
        <w:t>tecnológicos.</w:t>
      </w:r>
    </w:p>
    <w:p>
      <w:pPr>
        <w:spacing w:after="0" w:line="247" w:lineRule="auto"/>
        <w:jc w:val="both"/>
        <w:sectPr>
          <w:pgSz w:w="9360" w:h="13040"/>
          <w:pgMar w:header="0" w:footer="496" w:top="740" w:bottom="680" w:left="1300" w:right="1300"/>
        </w:sectPr>
      </w:pPr>
    </w:p>
    <w:p>
      <w:pPr>
        <w:tabs>
          <w:tab w:pos="5536" w:val="left" w:leader="none"/>
        </w:tabs>
        <w:spacing w:before="48"/>
        <w:ind w:left="400" w:right="117" w:hanging="261"/>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firstLine="283"/>
        <w:jc w:val="both"/>
      </w:pPr>
      <w:r>
        <w:rPr>
          <w:color w:val="231F20"/>
        </w:rPr>
        <w:t>En muchas familias se modifican las relaciones de autoridad, las nor- mas familiares, la aprobación o desaprobación de quién asume la jefatura, los roles y las responsabilidades de las cuidadoras y de los/las menores</w:t>
      </w:r>
    </w:p>
    <w:p>
      <w:pPr>
        <w:pStyle w:val="BodyText"/>
        <w:spacing w:line="247" w:lineRule="auto"/>
        <w:ind w:left="117" w:right="114"/>
        <w:jc w:val="both"/>
      </w:pPr>
      <w:r>
        <w:rPr>
          <w:color w:val="231F20"/>
        </w:rPr>
        <w:t>—dependientes—. Socialización y autoridad son parte de la construcción de</w:t>
      </w:r>
      <w:r>
        <w:rPr>
          <w:color w:val="231F20"/>
          <w:spacing w:val="-5"/>
        </w:rPr>
        <w:t> </w:t>
      </w:r>
      <w:r>
        <w:rPr>
          <w:color w:val="231F20"/>
        </w:rPr>
        <w:t>la</w:t>
      </w:r>
      <w:r>
        <w:rPr>
          <w:color w:val="231F20"/>
          <w:spacing w:val="-5"/>
        </w:rPr>
        <w:t> </w:t>
      </w:r>
      <w:r>
        <w:rPr>
          <w:color w:val="231F20"/>
        </w:rPr>
        <w:t>presencia</w:t>
      </w:r>
      <w:r>
        <w:rPr>
          <w:color w:val="231F20"/>
          <w:spacing w:val="-6"/>
        </w:rPr>
        <w:t> </w:t>
      </w:r>
      <w:r>
        <w:rPr>
          <w:color w:val="231F20"/>
        </w:rPr>
        <w:t>en</w:t>
      </w:r>
      <w:r>
        <w:rPr>
          <w:color w:val="231F20"/>
          <w:spacing w:val="-5"/>
        </w:rPr>
        <w:t> </w:t>
      </w:r>
      <w:r>
        <w:rPr>
          <w:color w:val="231F20"/>
        </w:rPr>
        <w:t>una</w:t>
      </w:r>
      <w:r>
        <w:rPr>
          <w:color w:val="231F20"/>
          <w:spacing w:val="-5"/>
        </w:rPr>
        <w:t> </w:t>
      </w:r>
      <w:r>
        <w:rPr>
          <w:color w:val="231F20"/>
        </w:rPr>
        <w:t>cotidianidad</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reedita</w:t>
      </w:r>
      <w:r>
        <w:rPr>
          <w:color w:val="231F20"/>
          <w:spacing w:val="-5"/>
        </w:rPr>
        <w:t> </w:t>
      </w:r>
      <w:r>
        <w:rPr>
          <w:color w:val="231F20"/>
        </w:rPr>
        <w:t>de</w:t>
      </w:r>
      <w:r>
        <w:rPr>
          <w:color w:val="231F20"/>
          <w:spacing w:val="-5"/>
        </w:rPr>
        <w:t> </w:t>
      </w:r>
      <w:r>
        <w:rPr>
          <w:color w:val="231F20"/>
        </w:rPr>
        <w:t>modo</w:t>
      </w:r>
      <w:r>
        <w:rPr>
          <w:color w:val="231F20"/>
          <w:spacing w:val="-6"/>
        </w:rPr>
        <w:t> </w:t>
      </w:r>
      <w:r>
        <w:rPr>
          <w:color w:val="231F20"/>
        </w:rPr>
        <w:t>permanente,</w:t>
      </w:r>
      <w:r>
        <w:rPr>
          <w:color w:val="231F20"/>
          <w:spacing w:val="-5"/>
        </w:rPr>
        <w:t> </w:t>
      </w:r>
      <w:r>
        <w:rPr>
          <w:color w:val="231F20"/>
        </w:rPr>
        <w:t>en origen y destino, para mantener la condición de transnacionalidad. Según los</w:t>
      </w:r>
      <w:r>
        <w:rPr>
          <w:color w:val="231F20"/>
          <w:spacing w:val="-6"/>
        </w:rPr>
        <w:t> </w:t>
      </w:r>
      <w:r>
        <w:rPr>
          <w:color w:val="231F20"/>
        </w:rPr>
        <w:t>lazos</w:t>
      </w:r>
      <w:r>
        <w:rPr>
          <w:color w:val="231F20"/>
          <w:spacing w:val="-6"/>
        </w:rPr>
        <w:t> </w:t>
      </w:r>
      <w:r>
        <w:rPr>
          <w:color w:val="231F20"/>
        </w:rPr>
        <w:t>afectivos</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constancia</w:t>
      </w:r>
      <w:r>
        <w:rPr>
          <w:color w:val="231F20"/>
          <w:spacing w:val="-6"/>
        </w:rPr>
        <w:t> </w:t>
      </w:r>
      <w:r>
        <w:rPr>
          <w:color w:val="231F20"/>
        </w:rPr>
        <w:t>y</w:t>
      </w:r>
      <w:r>
        <w:rPr>
          <w:color w:val="231F20"/>
          <w:spacing w:val="-6"/>
        </w:rPr>
        <w:t> </w:t>
      </w:r>
      <w:r>
        <w:rPr>
          <w:color w:val="231F20"/>
        </w:rPr>
        <w:t>asertividad</w:t>
      </w:r>
      <w:r>
        <w:rPr>
          <w:color w:val="231F20"/>
          <w:spacing w:val="-7"/>
        </w:rPr>
        <w:t> </w:t>
      </w:r>
      <w:r>
        <w:rPr>
          <w:color w:val="231F20"/>
        </w:rPr>
        <w:t>en</w:t>
      </w:r>
      <w:r>
        <w:rPr>
          <w:color w:val="231F20"/>
          <w:spacing w:val="-6"/>
        </w:rPr>
        <w:t> </w:t>
      </w:r>
      <w:r>
        <w:rPr>
          <w:color w:val="231F20"/>
        </w:rPr>
        <w:t>la</w:t>
      </w:r>
      <w:r>
        <w:rPr>
          <w:color w:val="231F20"/>
          <w:spacing w:val="-6"/>
        </w:rPr>
        <w:t> </w:t>
      </w:r>
      <w:r>
        <w:rPr>
          <w:color w:val="231F20"/>
        </w:rPr>
        <w:t>comunicación,</w:t>
      </w:r>
      <w:r>
        <w:rPr>
          <w:color w:val="231F20"/>
          <w:spacing w:val="-7"/>
        </w:rPr>
        <w:t> </w:t>
      </w:r>
      <w:r>
        <w:rPr>
          <w:color w:val="231F20"/>
        </w:rPr>
        <w:t>niños, niñas y adolescentes expresan sentimientos y emociones de aceptación o rechazo</w:t>
      </w:r>
      <w:r>
        <w:rPr>
          <w:color w:val="231F20"/>
          <w:spacing w:val="-7"/>
        </w:rPr>
        <w:t> </w:t>
      </w:r>
      <w:r>
        <w:rPr>
          <w:color w:val="231F20"/>
        </w:rPr>
        <w:t>hacia</w:t>
      </w:r>
      <w:r>
        <w:rPr>
          <w:color w:val="231F20"/>
          <w:spacing w:val="-7"/>
        </w:rPr>
        <w:t> </w:t>
      </w:r>
      <w:r>
        <w:rPr>
          <w:color w:val="231F20"/>
        </w:rPr>
        <w:t>el</w:t>
      </w:r>
      <w:r>
        <w:rPr>
          <w:color w:val="231F20"/>
          <w:spacing w:val="-7"/>
        </w:rPr>
        <w:t> </w:t>
      </w:r>
      <w:r>
        <w:rPr>
          <w:color w:val="231F20"/>
        </w:rPr>
        <w:t>padre</w:t>
      </w:r>
      <w:r>
        <w:rPr>
          <w:color w:val="231F20"/>
          <w:spacing w:val="-7"/>
        </w:rPr>
        <w:t> </w:t>
      </w:r>
      <w:r>
        <w:rPr>
          <w:color w:val="231F20"/>
        </w:rPr>
        <w:t>o</w:t>
      </w:r>
      <w:r>
        <w:rPr>
          <w:color w:val="231F20"/>
          <w:spacing w:val="-7"/>
        </w:rPr>
        <w:t> </w:t>
      </w:r>
      <w:r>
        <w:rPr>
          <w:color w:val="231F20"/>
        </w:rPr>
        <w:t>la</w:t>
      </w:r>
      <w:r>
        <w:rPr>
          <w:color w:val="231F20"/>
          <w:spacing w:val="-7"/>
        </w:rPr>
        <w:t> </w:t>
      </w:r>
      <w:r>
        <w:rPr>
          <w:color w:val="231F20"/>
        </w:rPr>
        <w:t>madre</w:t>
      </w:r>
      <w:r>
        <w:rPr>
          <w:color w:val="231F20"/>
          <w:spacing w:val="-7"/>
        </w:rPr>
        <w:t> </w:t>
      </w:r>
      <w:r>
        <w:rPr>
          <w:color w:val="231F20"/>
        </w:rPr>
        <w:t>migrante</w:t>
      </w:r>
      <w:r>
        <w:rPr>
          <w:color w:val="231F20"/>
          <w:spacing w:val="-8"/>
        </w:rPr>
        <w:t> </w:t>
      </w:r>
      <w:r>
        <w:rPr>
          <w:color w:val="231F20"/>
        </w:rPr>
        <w:t>y</w:t>
      </w:r>
      <w:r>
        <w:rPr>
          <w:color w:val="231F20"/>
          <w:spacing w:val="-7"/>
        </w:rPr>
        <w:t> </w:t>
      </w:r>
      <w:r>
        <w:rPr>
          <w:color w:val="231F20"/>
        </w:rPr>
        <w:t>no</w:t>
      </w:r>
      <w:r>
        <w:rPr>
          <w:color w:val="231F20"/>
          <w:spacing w:val="-7"/>
        </w:rPr>
        <w:t> </w:t>
      </w:r>
      <w:r>
        <w:rPr>
          <w:color w:val="231F20"/>
        </w:rPr>
        <w:t>migrante.</w:t>
      </w:r>
      <w:r>
        <w:rPr>
          <w:color w:val="231F20"/>
          <w:spacing w:val="-8"/>
        </w:rPr>
        <w:t> </w:t>
      </w:r>
      <w:r>
        <w:rPr>
          <w:color w:val="231F20"/>
        </w:rPr>
        <w:t>La</w:t>
      </w:r>
      <w:r>
        <w:rPr>
          <w:color w:val="231F20"/>
          <w:spacing w:val="-7"/>
        </w:rPr>
        <w:t> </w:t>
      </w:r>
      <w:r>
        <w:rPr>
          <w:color w:val="231F20"/>
        </w:rPr>
        <w:t>distancia</w:t>
      </w:r>
      <w:r>
        <w:rPr>
          <w:color w:val="231F20"/>
          <w:spacing w:val="-7"/>
        </w:rPr>
        <w:t> </w:t>
      </w:r>
      <w:r>
        <w:rPr>
          <w:color w:val="231F20"/>
        </w:rPr>
        <w:t>y</w:t>
      </w:r>
      <w:r>
        <w:rPr>
          <w:color w:val="231F20"/>
          <w:spacing w:val="-7"/>
        </w:rPr>
        <w:t> </w:t>
      </w:r>
      <w:r>
        <w:rPr>
          <w:color w:val="231F20"/>
        </w:rPr>
        <w:t>la separación a temprana edad conlleva diversas consecuencias, en la misma familia,</w:t>
      </w:r>
      <w:r>
        <w:rPr>
          <w:color w:val="231F20"/>
          <w:spacing w:val="-7"/>
        </w:rPr>
        <w:t> </w:t>
      </w:r>
      <w:r>
        <w:rPr>
          <w:color w:val="231F20"/>
        </w:rPr>
        <w:t>se</w:t>
      </w:r>
      <w:r>
        <w:rPr>
          <w:color w:val="231F20"/>
          <w:spacing w:val="-7"/>
        </w:rPr>
        <w:t> </w:t>
      </w:r>
      <w:r>
        <w:rPr>
          <w:color w:val="231F20"/>
        </w:rPr>
        <w:t>presentan</w:t>
      </w:r>
      <w:r>
        <w:rPr>
          <w:color w:val="231F20"/>
          <w:spacing w:val="-8"/>
        </w:rPr>
        <w:t> </w:t>
      </w:r>
      <w:r>
        <w:rPr>
          <w:color w:val="231F20"/>
        </w:rPr>
        <w:t>sentimientos</w:t>
      </w:r>
      <w:r>
        <w:rPr>
          <w:color w:val="231F20"/>
          <w:spacing w:val="-7"/>
        </w:rPr>
        <w:t> </w:t>
      </w:r>
      <w:r>
        <w:rPr>
          <w:color w:val="231F20"/>
        </w:rPr>
        <w:t>que</w:t>
      </w:r>
      <w:r>
        <w:rPr>
          <w:color w:val="231F20"/>
          <w:spacing w:val="-7"/>
        </w:rPr>
        <w:t> </w:t>
      </w:r>
      <w:r>
        <w:rPr>
          <w:color w:val="231F20"/>
        </w:rPr>
        <w:t>expresan</w:t>
      </w:r>
      <w:r>
        <w:rPr>
          <w:color w:val="231F20"/>
          <w:spacing w:val="-8"/>
        </w:rPr>
        <w:t> </w:t>
      </w:r>
      <w:r>
        <w:rPr>
          <w:color w:val="231F20"/>
        </w:rPr>
        <w:t>amor</w:t>
      </w:r>
      <w:r>
        <w:rPr>
          <w:color w:val="231F20"/>
          <w:spacing w:val="-8"/>
        </w:rPr>
        <w:t> </w:t>
      </w:r>
      <w:r>
        <w:rPr>
          <w:color w:val="231F20"/>
        </w:rPr>
        <w:t>u</w:t>
      </w:r>
      <w:r>
        <w:rPr>
          <w:color w:val="231F20"/>
          <w:spacing w:val="-7"/>
        </w:rPr>
        <w:t> </w:t>
      </w:r>
      <w:r>
        <w:rPr>
          <w:color w:val="231F20"/>
        </w:rPr>
        <w:t>odio</w:t>
      </w:r>
      <w:r>
        <w:rPr>
          <w:color w:val="231F20"/>
          <w:spacing w:val="-7"/>
        </w:rPr>
        <w:t> </w:t>
      </w:r>
      <w:r>
        <w:rPr>
          <w:color w:val="231F20"/>
        </w:rPr>
        <w:t>ante</w:t>
      </w:r>
      <w:r>
        <w:rPr>
          <w:color w:val="231F20"/>
          <w:spacing w:val="-8"/>
        </w:rPr>
        <w:t> </w:t>
      </w:r>
      <w:r>
        <w:rPr>
          <w:color w:val="231F20"/>
        </w:rPr>
        <w:t>la</w:t>
      </w:r>
      <w:r>
        <w:rPr>
          <w:color w:val="231F20"/>
          <w:spacing w:val="-8"/>
        </w:rPr>
        <w:t> </w:t>
      </w:r>
      <w:r>
        <w:rPr>
          <w:color w:val="231F20"/>
        </w:rPr>
        <w:t>lejanía del padre o madre, el acceso y uso de mediadores virtuales contribuye al mantenimiento de cercanía, entendida como una “presencia”, sentimiento de “estar ahí”, de acompañarse, pero también de disentir, reclamar,</w:t>
      </w:r>
      <w:r>
        <w:rPr>
          <w:color w:val="231F20"/>
          <w:spacing w:val="-38"/>
        </w:rPr>
        <w:t> </w:t>
      </w:r>
      <w:r>
        <w:rPr>
          <w:color w:val="231F20"/>
        </w:rPr>
        <w:t>distan- ciarse, etc. (López,</w:t>
      </w:r>
      <w:r>
        <w:rPr>
          <w:color w:val="231F20"/>
          <w:spacing w:val="-2"/>
        </w:rPr>
        <w:t> </w:t>
      </w:r>
      <w:r>
        <w:rPr>
          <w:color w:val="231F20"/>
        </w:rPr>
        <w:t>2012).</w:t>
      </w:r>
    </w:p>
    <w:p>
      <w:pPr>
        <w:pStyle w:val="BodyText"/>
        <w:spacing w:line="247" w:lineRule="auto"/>
        <w:ind w:left="117" w:right="114" w:firstLine="283"/>
        <w:jc w:val="both"/>
      </w:pPr>
      <w:r>
        <w:rPr>
          <w:i/>
          <w:color w:val="231F20"/>
        </w:rPr>
        <w:t>Los vínculos económicos </w:t>
      </w:r>
      <w:r>
        <w:rPr>
          <w:color w:val="231F20"/>
        </w:rPr>
        <w:t>están representados en la contribución para</w:t>
      </w:r>
      <w:r>
        <w:rPr>
          <w:color w:val="231F20"/>
          <w:spacing w:val="-33"/>
        </w:rPr>
        <w:t> </w:t>
      </w:r>
      <w:r>
        <w:rPr>
          <w:color w:val="231F20"/>
        </w:rPr>
        <w:t>el sostenimiento</w:t>
      </w:r>
      <w:r>
        <w:rPr>
          <w:color w:val="231F20"/>
          <w:spacing w:val="-5"/>
        </w:rPr>
        <w:t> </w:t>
      </w:r>
      <w:r>
        <w:rPr>
          <w:color w:val="231F20"/>
        </w:rPr>
        <w:t>—educación,</w:t>
      </w:r>
      <w:r>
        <w:rPr>
          <w:color w:val="231F20"/>
          <w:spacing w:val="-6"/>
        </w:rPr>
        <w:t> </w:t>
      </w:r>
      <w:r>
        <w:rPr>
          <w:color w:val="231F20"/>
        </w:rPr>
        <w:t>alimentación,</w:t>
      </w:r>
      <w:r>
        <w:rPr>
          <w:color w:val="231F20"/>
          <w:spacing w:val="-7"/>
        </w:rPr>
        <w:t> </w:t>
      </w:r>
      <w:r>
        <w:rPr>
          <w:color w:val="231F20"/>
        </w:rPr>
        <w:t>cuidado</w:t>
      </w:r>
      <w:r>
        <w:rPr>
          <w:color w:val="231F20"/>
          <w:spacing w:val="-7"/>
        </w:rPr>
        <w:t> </w:t>
      </w:r>
      <w:r>
        <w:rPr>
          <w:color w:val="231F20"/>
        </w:rPr>
        <w:t>y</w:t>
      </w:r>
      <w:r>
        <w:rPr>
          <w:color w:val="231F20"/>
          <w:spacing w:val="-6"/>
        </w:rPr>
        <w:t> </w:t>
      </w:r>
      <w:r>
        <w:rPr>
          <w:color w:val="231F20"/>
        </w:rPr>
        <w:t>crianza—</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forma- ción</w:t>
      </w:r>
      <w:r>
        <w:rPr>
          <w:color w:val="231F20"/>
          <w:spacing w:val="-4"/>
        </w:rPr>
        <w:t> </w:t>
      </w:r>
      <w:r>
        <w:rPr>
          <w:color w:val="231F20"/>
        </w:rPr>
        <w:t>de</w:t>
      </w:r>
      <w:r>
        <w:rPr>
          <w:color w:val="231F20"/>
          <w:spacing w:val="-4"/>
        </w:rPr>
        <w:t> </w:t>
      </w:r>
      <w:r>
        <w:rPr>
          <w:color w:val="231F20"/>
        </w:rPr>
        <w:t>patrimonio.</w:t>
      </w:r>
      <w:r>
        <w:rPr>
          <w:color w:val="231F20"/>
          <w:spacing w:val="-4"/>
        </w:rPr>
        <w:t> </w:t>
      </w:r>
      <w:r>
        <w:rPr>
          <w:color w:val="231F20"/>
        </w:rPr>
        <w:t>El</w:t>
      </w:r>
      <w:r>
        <w:rPr>
          <w:color w:val="231F20"/>
          <w:spacing w:val="-4"/>
        </w:rPr>
        <w:t> </w:t>
      </w:r>
      <w:r>
        <w:rPr>
          <w:color w:val="231F20"/>
        </w:rPr>
        <w:t>aporte</w:t>
      </w:r>
      <w:r>
        <w:rPr>
          <w:color w:val="231F20"/>
          <w:spacing w:val="-3"/>
        </w:rPr>
        <w:t> </w:t>
      </w:r>
      <w:r>
        <w:rPr>
          <w:color w:val="231F20"/>
        </w:rPr>
        <w:t>monetario</w:t>
      </w:r>
      <w:r>
        <w:rPr>
          <w:color w:val="231F20"/>
          <w:spacing w:val="-4"/>
        </w:rPr>
        <w:t> </w:t>
      </w:r>
      <w:r>
        <w:rPr>
          <w:color w:val="231F20"/>
        </w:rPr>
        <w:t>del</w:t>
      </w:r>
      <w:r>
        <w:rPr>
          <w:color w:val="231F20"/>
          <w:spacing w:val="-4"/>
        </w:rPr>
        <w:t> </w:t>
      </w:r>
      <w:r>
        <w:rPr>
          <w:color w:val="231F20"/>
        </w:rPr>
        <w:t>padre</w:t>
      </w:r>
      <w:r>
        <w:rPr>
          <w:color w:val="231F20"/>
          <w:spacing w:val="-4"/>
        </w:rPr>
        <w:t> </w:t>
      </w:r>
      <w:r>
        <w:rPr>
          <w:color w:val="231F20"/>
        </w:rPr>
        <w:t>y/o</w:t>
      </w:r>
      <w:r>
        <w:rPr>
          <w:color w:val="231F20"/>
          <w:spacing w:val="-4"/>
        </w:rPr>
        <w:t> </w:t>
      </w:r>
      <w:r>
        <w:rPr>
          <w:color w:val="231F20"/>
        </w:rPr>
        <w:t>de</w:t>
      </w:r>
      <w:r>
        <w:rPr>
          <w:color w:val="231F20"/>
          <w:spacing w:val="-3"/>
        </w:rPr>
        <w:t> </w:t>
      </w:r>
      <w:r>
        <w:rPr>
          <w:color w:val="231F20"/>
        </w:rPr>
        <w:t>la</w:t>
      </w:r>
      <w:r>
        <w:rPr>
          <w:color w:val="231F20"/>
          <w:spacing w:val="-3"/>
        </w:rPr>
        <w:t> </w:t>
      </w:r>
      <w:r>
        <w:rPr>
          <w:color w:val="231F20"/>
        </w:rPr>
        <w:t>madre</w:t>
      </w:r>
      <w:r>
        <w:rPr>
          <w:color w:val="231F20"/>
          <w:spacing w:val="-4"/>
        </w:rPr>
        <w:t> </w:t>
      </w:r>
      <w:r>
        <w:rPr>
          <w:color w:val="231F20"/>
        </w:rPr>
        <w:t>migran- te para el sostenimiento antecede la migración misma, es un componente importante de las familias que mantienen el proyecto familiar, significa la presencia afectiva, confiere capacidad de consumo, inversión y/o ahorro en origen. En las familias con una organización nuclear, la formación de patrimonio</w:t>
      </w:r>
      <w:r>
        <w:rPr>
          <w:color w:val="231F20"/>
          <w:spacing w:val="-8"/>
        </w:rPr>
        <w:t> </w:t>
      </w:r>
      <w:r>
        <w:rPr>
          <w:color w:val="231F20"/>
        </w:rPr>
        <w:t>ocurre</w:t>
      </w:r>
      <w:r>
        <w:rPr>
          <w:color w:val="231F20"/>
          <w:spacing w:val="-8"/>
        </w:rPr>
        <w:t> </w:t>
      </w:r>
      <w:r>
        <w:rPr>
          <w:color w:val="231F20"/>
        </w:rPr>
        <w:t>si</w:t>
      </w:r>
      <w:r>
        <w:rPr>
          <w:color w:val="231F20"/>
          <w:spacing w:val="-8"/>
        </w:rPr>
        <w:t> </w:t>
      </w:r>
      <w:r>
        <w:rPr>
          <w:color w:val="231F20"/>
        </w:rPr>
        <w:t>la</w:t>
      </w:r>
      <w:r>
        <w:rPr>
          <w:color w:val="231F20"/>
          <w:spacing w:val="-8"/>
        </w:rPr>
        <w:t> </w:t>
      </w:r>
      <w:r>
        <w:rPr>
          <w:color w:val="231F20"/>
        </w:rPr>
        <w:t>relación</w:t>
      </w:r>
      <w:r>
        <w:rPr>
          <w:color w:val="231F20"/>
          <w:spacing w:val="-8"/>
        </w:rPr>
        <w:t> </w:t>
      </w:r>
      <w:r>
        <w:rPr>
          <w:color w:val="231F20"/>
        </w:rPr>
        <w:t>de</w:t>
      </w:r>
      <w:r>
        <w:rPr>
          <w:color w:val="231F20"/>
          <w:spacing w:val="-8"/>
        </w:rPr>
        <w:t> </w:t>
      </w:r>
      <w:r>
        <w:rPr>
          <w:color w:val="231F20"/>
        </w:rPr>
        <w:t>conyugalidad</w:t>
      </w:r>
      <w:r>
        <w:rPr>
          <w:color w:val="231F20"/>
          <w:spacing w:val="-9"/>
        </w:rPr>
        <w:t> </w:t>
      </w:r>
      <w:r>
        <w:rPr>
          <w:color w:val="231F20"/>
        </w:rPr>
        <w:t>es</w:t>
      </w:r>
      <w:r>
        <w:rPr>
          <w:color w:val="231F20"/>
          <w:spacing w:val="-8"/>
        </w:rPr>
        <w:t> </w:t>
      </w:r>
      <w:r>
        <w:rPr>
          <w:color w:val="231F20"/>
        </w:rPr>
        <w:t>vigente</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pareja</w:t>
      </w:r>
      <w:r>
        <w:rPr>
          <w:color w:val="231F20"/>
          <w:spacing w:val="-8"/>
        </w:rPr>
        <w:t> </w:t>
      </w:r>
      <w:r>
        <w:rPr>
          <w:color w:val="231F20"/>
        </w:rPr>
        <w:t>vela por sus hijos o hijas comunes dependientes (López, 2012, 2009) </w:t>
      </w:r>
      <w:r>
        <w:rPr>
          <w:color w:val="231F20"/>
          <w:spacing w:val="-8"/>
        </w:rPr>
        <w:t>y, </w:t>
      </w:r>
      <w:r>
        <w:rPr>
          <w:color w:val="231F20"/>
        </w:rPr>
        <w:t>en las monoparentales, cuando quien migró fue la</w:t>
      </w:r>
      <w:r>
        <w:rPr>
          <w:color w:val="231F20"/>
          <w:spacing w:val="-3"/>
        </w:rPr>
        <w:t> </w:t>
      </w:r>
      <w:r>
        <w:rPr>
          <w:color w:val="231F20"/>
        </w:rPr>
        <w:t>madre.</w:t>
      </w:r>
    </w:p>
    <w:p>
      <w:pPr>
        <w:pStyle w:val="BodyText"/>
        <w:spacing w:line="247" w:lineRule="auto"/>
        <w:ind w:left="117" w:right="115" w:firstLine="283"/>
        <w:jc w:val="both"/>
      </w:pPr>
      <w:r>
        <w:rPr>
          <w:i/>
          <w:color w:val="231F20"/>
        </w:rPr>
        <w:t>Los vínculos mediante la educación </w:t>
      </w:r>
      <w:r>
        <w:rPr>
          <w:color w:val="231F20"/>
        </w:rPr>
        <w:t>formal de los hijos e hijas en sus diferentes</w:t>
      </w:r>
      <w:r>
        <w:rPr>
          <w:color w:val="231F20"/>
          <w:spacing w:val="-8"/>
        </w:rPr>
        <w:t> </w:t>
      </w:r>
      <w:r>
        <w:rPr>
          <w:color w:val="231F20"/>
        </w:rPr>
        <w:t>niveles</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nuevos</w:t>
      </w:r>
      <w:r>
        <w:rPr>
          <w:color w:val="231F20"/>
          <w:spacing w:val="-8"/>
        </w:rPr>
        <w:t> </w:t>
      </w:r>
      <w:r>
        <w:rPr>
          <w:color w:val="231F20"/>
        </w:rPr>
        <w:t>conocimientos</w:t>
      </w:r>
      <w:r>
        <w:rPr>
          <w:color w:val="231F20"/>
          <w:spacing w:val="-9"/>
        </w:rPr>
        <w:t> </w:t>
      </w:r>
      <w:r>
        <w:rPr>
          <w:color w:val="231F20"/>
        </w:rPr>
        <w:t>que</w:t>
      </w:r>
      <w:r>
        <w:rPr>
          <w:color w:val="231F20"/>
          <w:spacing w:val="-8"/>
        </w:rPr>
        <w:t> </w:t>
      </w:r>
      <w:r>
        <w:rPr>
          <w:color w:val="231F20"/>
        </w:rPr>
        <w:t>éstos</w:t>
      </w:r>
      <w:r>
        <w:rPr>
          <w:color w:val="231F20"/>
          <w:spacing w:val="-8"/>
        </w:rPr>
        <w:t> </w:t>
      </w:r>
      <w:r>
        <w:rPr>
          <w:color w:val="231F20"/>
        </w:rPr>
        <w:t>adquieren</w:t>
      </w:r>
      <w:r>
        <w:rPr>
          <w:color w:val="231F20"/>
          <w:spacing w:val="-9"/>
        </w:rPr>
        <w:t> </w:t>
      </w:r>
      <w:r>
        <w:rPr>
          <w:color w:val="231F20"/>
        </w:rPr>
        <w:t>son</w:t>
      </w:r>
      <w:r>
        <w:rPr>
          <w:color w:val="231F20"/>
          <w:spacing w:val="-8"/>
        </w:rPr>
        <w:t> </w:t>
      </w:r>
      <w:r>
        <w:rPr>
          <w:color w:val="231F20"/>
        </w:rPr>
        <w:t>me- diados por la remesa, representan la vigencia de los compromisos y del apego del padre o la madre migrante que propicia la formación del capital social en sus hijos o</w:t>
      </w:r>
      <w:r>
        <w:rPr>
          <w:color w:val="231F20"/>
          <w:spacing w:val="-8"/>
        </w:rPr>
        <w:t> </w:t>
      </w:r>
      <w:r>
        <w:rPr>
          <w:color w:val="231F20"/>
        </w:rPr>
        <w:t>hijas.</w:t>
      </w:r>
    </w:p>
    <w:p>
      <w:pPr>
        <w:pStyle w:val="BodyText"/>
        <w:spacing w:line="247" w:lineRule="auto"/>
        <w:ind w:left="117" w:right="115" w:firstLine="283"/>
        <w:jc w:val="both"/>
      </w:pPr>
      <w:r>
        <w:rPr>
          <w:i/>
          <w:color w:val="231F20"/>
        </w:rPr>
        <w:t>Los vínculos en el cuidado y crianza </w:t>
      </w:r>
      <w:r>
        <w:rPr>
          <w:color w:val="231F20"/>
        </w:rPr>
        <w:t>enfatizan la protección de niños, niñas y adolescentes dependientes, la red parental extensa responde por la protección; es una forma de relación social que manifiesta la reciprocidad y el deber de mutuo beneficio intergeneracional. La reciprocidad y deber de mutuo beneficio, es un valor cultural de las familias que expresa la “unión familiar”, centrada en la madre-abuela, con participación de otros integrantes, principalmente mujeres, quienes conforman una red informal de apoyo parental.</w:t>
      </w:r>
    </w:p>
    <w:p>
      <w:pPr>
        <w:spacing w:after="0" w:line="247" w:lineRule="auto"/>
        <w:jc w:val="both"/>
        <w:sectPr>
          <w:pgSz w:w="9360" w:h="13040"/>
          <w:pgMar w:header="0" w:footer="496" w:top="800" w:bottom="680" w:left="1300" w:right="1300"/>
        </w:sectPr>
      </w:pPr>
    </w:p>
    <w:p>
      <w:pPr>
        <w:spacing w:before="45"/>
        <w:ind w:left="400" w:right="0" w:firstLine="2430"/>
        <w:jc w:val="left"/>
        <w:rPr>
          <w:rFonts w:ascii="Arial" w:hAnsi="Arial"/>
          <w:sz w:val="20"/>
        </w:rPr>
      </w:pPr>
      <w:r>
        <w:rPr>
          <w:rFonts w:ascii="Arial" w:hAnsi="Arial"/>
          <w:color w:val="231F20"/>
          <w:w w:val="74"/>
          <w:sz w:val="20"/>
        </w:rPr>
        <w:t>Familias</w:t>
      </w:r>
      <w:r>
        <w:rPr>
          <w:rFonts w:ascii="Arial" w:hAnsi="Arial"/>
          <w:color w:val="231F20"/>
          <w:spacing w:val="-1"/>
          <w:sz w:val="20"/>
        </w:rPr>
        <w:t> </w:t>
      </w:r>
      <w:r>
        <w:rPr>
          <w:rFonts w:ascii="Arial" w:hAnsi="Arial"/>
          <w:color w:val="231F20"/>
          <w:spacing w:val="-1"/>
          <w:w w:val="72"/>
          <w:sz w:val="20"/>
        </w:rPr>
        <w:t>transnacionale</w:t>
      </w:r>
      <w:r>
        <w:rPr>
          <w:rFonts w:ascii="Arial" w:hAnsi="Arial"/>
          <w:color w:val="231F20"/>
          <w:w w:val="72"/>
          <w:sz w:val="20"/>
        </w:rPr>
        <w:t>s</w:t>
      </w:r>
      <w:r>
        <w:rPr>
          <w:rFonts w:ascii="Arial" w:hAnsi="Arial"/>
          <w:color w:val="231F20"/>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1"/>
          <w:sz w:val="20"/>
        </w:rPr>
        <w:t>Colombia</w:t>
      </w:r>
      <w:r>
        <w:rPr>
          <w:rFonts w:ascii="Arial" w:hAnsi="Arial"/>
          <w:color w:val="231F20"/>
          <w:spacing w:val="-1"/>
          <w:sz w:val="20"/>
        </w:rPr>
        <w:t> </w:t>
      </w:r>
      <w:r>
        <w:rPr>
          <w:rFonts w:ascii="Arial" w:hAnsi="Arial"/>
          <w:color w:val="231F20"/>
          <w:spacing w:val="-1"/>
          <w:w w:val="99"/>
          <w:sz w:val="20"/>
        </w:rPr>
        <w:t>/</w:t>
      </w:r>
      <w:r>
        <w:rPr>
          <w:rFonts w:ascii="Arial" w:hAnsi="Arial"/>
          <w:color w:val="231F20"/>
          <w:w w:val="48"/>
          <w:sz w:val="20"/>
        </w:rPr>
        <w:t>Luz</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50"/>
          <w:sz w:val="20"/>
        </w:rPr>
        <w:t>López-Montaño</w:t>
      </w:r>
    </w:p>
    <w:p>
      <w:pPr>
        <w:pStyle w:val="BodyText"/>
        <w:spacing w:before="7"/>
        <w:rPr>
          <w:rFonts w:ascii="Arial"/>
          <w:sz w:val="28"/>
        </w:rPr>
      </w:pPr>
    </w:p>
    <w:p>
      <w:pPr>
        <w:pStyle w:val="BodyText"/>
        <w:spacing w:line="247" w:lineRule="auto"/>
        <w:ind w:left="117" w:right="114" w:firstLine="283"/>
        <w:jc w:val="both"/>
      </w:pPr>
      <w:r>
        <w:rPr>
          <w:color w:val="231F20"/>
        </w:rPr>
        <w:t>Los intercambios son influenciados por relaciones de género y genera- cionales; en la investigación sobre implicaciones económicas y afectivas un hallazgo significativo señala que en cien familias, sólo dos de cien pa- dres se ocupan directamente del cuidado de sus hijos o hijas, mientras 45 son las madres cuidadoras que cumplen el rol tradicional;</w:t>
      </w:r>
      <w:r>
        <w:rPr>
          <w:color w:val="231F20"/>
          <w:spacing w:val="-38"/>
        </w:rPr>
        <w:t> </w:t>
      </w:r>
      <w:r>
        <w:rPr>
          <w:color w:val="231F20"/>
        </w:rPr>
        <w:t>esto, en familias de estrato socioeconómico medio o bajo, lo que hace imperativo el apoyo parental</w:t>
      </w:r>
      <w:r>
        <w:rPr>
          <w:color w:val="231F20"/>
          <w:spacing w:val="-11"/>
        </w:rPr>
        <w:t> </w:t>
      </w:r>
      <w:r>
        <w:rPr>
          <w:color w:val="231F20"/>
        </w:rPr>
        <w:t>fuera</w:t>
      </w:r>
      <w:r>
        <w:rPr>
          <w:color w:val="231F20"/>
          <w:spacing w:val="-11"/>
        </w:rPr>
        <w:t> </w:t>
      </w:r>
      <w:r>
        <w:rPr>
          <w:color w:val="231F20"/>
        </w:rPr>
        <w:t>del</w:t>
      </w:r>
      <w:r>
        <w:rPr>
          <w:color w:val="231F20"/>
          <w:spacing w:val="-11"/>
        </w:rPr>
        <w:t> </w:t>
      </w:r>
      <w:r>
        <w:rPr>
          <w:color w:val="231F20"/>
        </w:rPr>
        <w:t>núcleo</w:t>
      </w:r>
      <w:r>
        <w:rPr>
          <w:color w:val="231F20"/>
          <w:spacing w:val="-11"/>
        </w:rPr>
        <w:t> </w:t>
      </w:r>
      <w:r>
        <w:rPr>
          <w:color w:val="231F20"/>
        </w:rPr>
        <w:t>familiar,</w:t>
      </w:r>
      <w:r>
        <w:rPr>
          <w:color w:val="231F20"/>
          <w:spacing w:val="-11"/>
        </w:rPr>
        <w:t> </w:t>
      </w:r>
      <w:r>
        <w:rPr>
          <w:color w:val="231F20"/>
        </w:rPr>
        <w:t>como</w:t>
      </w:r>
      <w:r>
        <w:rPr>
          <w:color w:val="231F20"/>
          <w:spacing w:val="-12"/>
        </w:rPr>
        <w:t> </w:t>
      </w:r>
      <w:r>
        <w:rPr>
          <w:color w:val="231F20"/>
        </w:rPr>
        <w:t>la</w:t>
      </w:r>
      <w:r>
        <w:rPr>
          <w:color w:val="231F20"/>
          <w:spacing w:val="-11"/>
        </w:rPr>
        <w:t> </w:t>
      </w:r>
      <w:r>
        <w:rPr>
          <w:color w:val="231F20"/>
        </w:rPr>
        <w:t>estrategia</w:t>
      </w:r>
      <w:r>
        <w:rPr>
          <w:color w:val="231F20"/>
          <w:spacing w:val="-12"/>
        </w:rPr>
        <w:t> </w:t>
      </w:r>
      <w:r>
        <w:rPr>
          <w:color w:val="231F20"/>
        </w:rPr>
        <w:t>familiar</w:t>
      </w:r>
      <w:r>
        <w:rPr>
          <w:color w:val="231F20"/>
          <w:spacing w:val="-11"/>
        </w:rPr>
        <w:t> </w:t>
      </w:r>
      <w:r>
        <w:rPr>
          <w:color w:val="231F20"/>
        </w:rPr>
        <w:t>para</w:t>
      </w:r>
      <w:r>
        <w:rPr>
          <w:color w:val="231F20"/>
          <w:spacing w:val="-11"/>
        </w:rPr>
        <w:t> </w:t>
      </w:r>
      <w:r>
        <w:rPr>
          <w:color w:val="231F20"/>
        </w:rPr>
        <w:t>maximi- zar</w:t>
      </w:r>
      <w:r>
        <w:rPr>
          <w:color w:val="231F20"/>
          <w:spacing w:val="-11"/>
        </w:rPr>
        <w:t> </w:t>
      </w:r>
      <w:r>
        <w:rPr>
          <w:color w:val="231F20"/>
        </w:rPr>
        <w:t>los</w:t>
      </w:r>
      <w:r>
        <w:rPr>
          <w:color w:val="231F20"/>
          <w:spacing w:val="-11"/>
        </w:rPr>
        <w:t> </w:t>
      </w:r>
      <w:r>
        <w:rPr>
          <w:color w:val="231F20"/>
        </w:rPr>
        <w:t>recursos</w:t>
      </w:r>
      <w:r>
        <w:rPr>
          <w:color w:val="231F20"/>
          <w:spacing w:val="-11"/>
        </w:rPr>
        <w:t> </w:t>
      </w:r>
      <w:r>
        <w:rPr>
          <w:color w:val="231F20"/>
        </w:rPr>
        <w:t>disponibles</w:t>
      </w:r>
      <w:r>
        <w:rPr>
          <w:color w:val="231F20"/>
          <w:spacing w:val="-11"/>
        </w:rPr>
        <w:t> </w:t>
      </w:r>
      <w:r>
        <w:rPr>
          <w:color w:val="231F20"/>
        </w:rPr>
        <w:t>y</w:t>
      </w:r>
      <w:r>
        <w:rPr>
          <w:color w:val="231F20"/>
          <w:spacing w:val="-11"/>
        </w:rPr>
        <w:t> </w:t>
      </w:r>
      <w:r>
        <w:rPr>
          <w:color w:val="231F20"/>
        </w:rPr>
        <w:t>lograr</w:t>
      </w:r>
      <w:r>
        <w:rPr>
          <w:color w:val="231F20"/>
          <w:spacing w:val="-11"/>
        </w:rPr>
        <w:t> </w:t>
      </w:r>
      <w:r>
        <w:rPr>
          <w:color w:val="231F20"/>
        </w:rPr>
        <w:t>la</w:t>
      </w:r>
      <w:r>
        <w:rPr>
          <w:color w:val="231F20"/>
          <w:spacing w:val="-11"/>
        </w:rPr>
        <w:t> </w:t>
      </w:r>
      <w:r>
        <w:rPr>
          <w:color w:val="231F20"/>
        </w:rPr>
        <w:t>atención.</w:t>
      </w:r>
      <w:r>
        <w:rPr>
          <w:color w:val="231F20"/>
          <w:spacing w:val="-11"/>
        </w:rPr>
        <w:t> </w:t>
      </w:r>
      <w:r>
        <w:rPr>
          <w:color w:val="231F20"/>
        </w:rPr>
        <w:t>El</w:t>
      </w:r>
      <w:r>
        <w:rPr>
          <w:color w:val="231F20"/>
          <w:spacing w:val="-11"/>
        </w:rPr>
        <w:t> </w:t>
      </w:r>
      <w:r>
        <w:rPr>
          <w:color w:val="231F20"/>
        </w:rPr>
        <w:t>apoyo</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cuidadora es</w:t>
      </w:r>
      <w:r>
        <w:rPr>
          <w:color w:val="231F20"/>
          <w:spacing w:val="-3"/>
        </w:rPr>
        <w:t> </w:t>
      </w:r>
      <w:r>
        <w:rPr>
          <w:color w:val="231F20"/>
        </w:rPr>
        <w:t>el</w:t>
      </w:r>
      <w:r>
        <w:rPr>
          <w:color w:val="231F20"/>
          <w:spacing w:val="-3"/>
        </w:rPr>
        <w:t> </w:t>
      </w:r>
      <w:r>
        <w:rPr>
          <w:color w:val="231F20"/>
        </w:rPr>
        <w:t>medio</w:t>
      </w:r>
      <w:r>
        <w:rPr>
          <w:color w:val="231F20"/>
          <w:spacing w:val="-3"/>
        </w:rPr>
        <w:t> </w:t>
      </w:r>
      <w:r>
        <w:rPr>
          <w:color w:val="231F20"/>
        </w:rPr>
        <w:t>que</w:t>
      </w:r>
      <w:r>
        <w:rPr>
          <w:color w:val="231F20"/>
          <w:spacing w:val="-3"/>
        </w:rPr>
        <w:t> </w:t>
      </w:r>
      <w:r>
        <w:rPr>
          <w:color w:val="231F20"/>
        </w:rPr>
        <w:t>hará</w:t>
      </w:r>
      <w:r>
        <w:rPr>
          <w:color w:val="231F20"/>
          <w:spacing w:val="-3"/>
        </w:rPr>
        <w:t> </w:t>
      </w:r>
      <w:r>
        <w:rPr>
          <w:color w:val="231F20"/>
        </w:rPr>
        <w:t>“más</w:t>
      </w:r>
      <w:r>
        <w:rPr>
          <w:color w:val="231F20"/>
          <w:spacing w:val="-3"/>
        </w:rPr>
        <w:t> </w:t>
      </w:r>
      <w:r>
        <w:rPr>
          <w:color w:val="231F20"/>
        </w:rPr>
        <w:t>fácil”</w:t>
      </w:r>
      <w:r>
        <w:rPr>
          <w:color w:val="231F20"/>
          <w:spacing w:val="-3"/>
        </w:rPr>
        <w:t> </w:t>
      </w:r>
      <w:r>
        <w:rPr>
          <w:color w:val="231F20"/>
        </w:rPr>
        <w:t>la</w:t>
      </w:r>
      <w:r>
        <w:rPr>
          <w:color w:val="231F20"/>
          <w:spacing w:val="-3"/>
        </w:rPr>
        <w:t> </w:t>
      </w:r>
      <w:r>
        <w:rPr>
          <w:color w:val="231F20"/>
        </w:rPr>
        <w:t>migración,</w:t>
      </w:r>
      <w:r>
        <w:rPr>
          <w:color w:val="231F20"/>
          <w:spacing w:val="-3"/>
        </w:rPr>
        <w:t> </w:t>
      </w:r>
      <w:r>
        <w:rPr>
          <w:color w:val="231F20"/>
        </w:rPr>
        <w:t>al</w:t>
      </w:r>
      <w:r>
        <w:rPr>
          <w:color w:val="231F20"/>
          <w:spacing w:val="-3"/>
        </w:rPr>
        <w:t> </w:t>
      </w:r>
      <w:r>
        <w:rPr>
          <w:color w:val="231F20"/>
        </w:rPr>
        <w:t>estar</w:t>
      </w:r>
      <w:r>
        <w:rPr>
          <w:color w:val="231F20"/>
          <w:spacing w:val="-3"/>
        </w:rPr>
        <w:t> </w:t>
      </w:r>
      <w:r>
        <w:rPr>
          <w:color w:val="231F20"/>
        </w:rPr>
        <w:t>los</w:t>
      </w:r>
      <w:r>
        <w:rPr>
          <w:color w:val="231F20"/>
          <w:spacing w:val="-3"/>
        </w:rPr>
        <w:t> </w:t>
      </w:r>
      <w:r>
        <w:rPr>
          <w:color w:val="231F20"/>
        </w:rPr>
        <w:t>hijos</w:t>
      </w:r>
      <w:r>
        <w:rPr>
          <w:color w:val="231F20"/>
          <w:spacing w:val="-3"/>
        </w:rPr>
        <w:t> </w:t>
      </w:r>
      <w:r>
        <w:rPr>
          <w:color w:val="231F20"/>
        </w:rPr>
        <w:t>e</w:t>
      </w:r>
      <w:r>
        <w:rPr>
          <w:color w:val="231F20"/>
          <w:spacing w:val="-3"/>
        </w:rPr>
        <w:t> </w:t>
      </w:r>
      <w:r>
        <w:rPr>
          <w:color w:val="231F20"/>
        </w:rPr>
        <w:t>hijas</w:t>
      </w:r>
      <w:r>
        <w:rPr>
          <w:color w:val="231F20"/>
          <w:spacing w:val="-3"/>
        </w:rPr>
        <w:t> </w:t>
      </w:r>
      <w:r>
        <w:rPr>
          <w:color w:val="231F20"/>
        </w:rPr>
        <w:t>del/ la migrante “como en casa”, ejercita el cuidado como su deber basado en una</w:t>
      </w:r>
      <w:r>
        <w:rPr>
          <w:color w:val="231F20"/>
          <w:spacing w:val="-4"/>
        </w:rPr>
        <w:t> </w:t>
      </w:r>
      <w:r>
        <w:rPr>
          <w:color w:val="231F20"/>
        </w:rPr>
        <w:t>relación</w:t>
      </w:r>
      <w:r>
        <w:rPr>
          <w:color w:val="231F20"/>
          <w:spacing w:val="-4"/>
        </w:rPr>
        <w:t> </w:t>
      </w:r>
      <w:r>
        <w:rPr>
          <w:color w:val="231F20"/>
        </w:rPr>
        <w:t>de</w:t>
      </w:r>
      <w:r>
        <w:rPr>
          <w:color w:val="231F20"/>
          <w:spacing w:val="-4"/>
        </w:rPr>
        <w:t> </w:t>
      </w:r>
      <w:r>
        <w:rPr>
          <w:color w:val="231F20"/>
        </w:rPr>
        <w:t>parentesco,</w:t>
      </w:r>
      <w:r>
        <w:rPr>
          <w:color w:val="231F20"/>
          <w:spacing w:val="-4"/>
        </w:rPr>
        <w:t> </w:t>
      </w:r>
      <w:r>
        <w:rPr>
          <w:color w:val="231F20"/>
        </w:rPr>
        <w:t>aunque</w:t>
      </w:r>
      <w:r>
        <w:rPr>
          <w:color w:val="231F20"/>
          <w:spacing w:val="-4"/>
        </w:rPr>
        <w:t> </w:t>
      </w:r>
      <w:r>
        <w:rPr>
          <w:color w:val="231F20"/>
        </w:rPr>
        <w:t>no</w:t>
      </w:r>
      <w:r>
        <w:rPr>
          <w:color w:val="231F20"/>
          <w:spacing w:val="-4"/>
        </w:rPr>
        <w:t> </w:t>
      </w:r>
      <w:r>
        <w:rPr>
          <w:color w:val="231F20"/>
        </w:rPr>
        <w:t>siempre</w:t>
      </w:r>
      <w:r>
        <w:rPr>
          <w:color w:val="231F20"/>
          <w:spacing w:val="-4"/>
        </w:rPr>
        <w:t> </w:t>
      </w:r>
      <w:r>
        <w:rPr>
          <w:color w:val="231F20"/>
        </w:rPr>
        <w:t>haya</w:t>
      </w:r>
      <w:r>
        <w:rPr>
          <w:color w:val="231F20"/>
          <w:spacing w:val="-4"/>
        </w:rPr>
        <w:t> </w:t>
      </w:r>
      <w:r>
        <w:rPr>
          <w:color w:val="231F20"/>
        </w:rPr>
        <w:t>total</w:t>
      </w:r>
      <w:r>
        <w:rPr>
          <w:color w:val="231F20"/>
          <w:spacing w:val="-4"/>
        </w:rPr>
        <w:t> </w:t>
      </w:r>
      <w:r>
        <w:rPr>
          <w:color w:val="231F20"/>
        </w:rPr>
        <w:t>acuerdo</w:t>
      </w:r>
      <w:r>
        <w:rPr>
          <w:color w:val="231F20"/>
          <w:spacing w:val="-4"/>
        </w:rPr>
        <w:t> </w:t>
      </w:r>
      <w:r>
        <w:rPr>
          <w:color w:val="231F20"/>
        </w:rPr>
        <w:t>desde</w:t>
      </w:r>
      <w:r>
        <w:rPr>
          <w:color w:val="231F20"/>
          <w:spacing w:val="-4"/>
        </w:rPr>
        <w:t> </w:t>
      </w:r>
      <w:r>
        <w:rPr>
          <w:color w:val="231F20"/>
        </w:rPr>
        <w:t>el punto de vista personal, de la conveniencia o de la compensación econó- mica.</w:t>
      </w:r>
    </w:p>
    <w:p>
      <w:pPr>
        <w:pStyle w:val="BodyText"/>
        <w:spacing w:line="247" w:lineRule="auto"/>
        <w:ind w:left="117" w:right="114" w:firstLine="283"/>
        <w:jc w:val="both"/>
      </w:pPr>
      <w:r>
        <w:rPr>
          <w:color w:val="231F20"/>
        </w:rPr>
        <w:t>Las mujeres —reemplazantes—, ejercen el cuidado y crianza y todo lo que</w:t>
      </w:r>
      <w:r>
        <w:rPr>
          <w:color w:val="231F20"/>
          <w:spacing w:val="-11"/>
        </w:rPr>
        <w:t> </w:t>
      </w:r>
      <w:r>
        <w:rPr>
          <w:color w:val="231F20"/>
        </w:rPr>
        <w:t>implican:</w:t>
      </w:r>
      <w:r>
        <w:rPr>
          <w:color w:val="231F20"/>
          <w:spacing w:val="-11"/>
        </w:rPr>
        <w:t> </w:t>
      </w:r>
      <w:r>
        <w:rPr>
          <w:color w:val="231F20"/>
        </w:rPr>
        <w:t>administración</w:t>
      </w:r>
      <w:r>
        <w:rPr>
          <w:color w:val="231F20"/>
          <w:spacing w:val="-11"/>
        </w:rPr>
        <w:t> </w:t>
      </w:r>
      <w:r>
        <w:rPr>
          <w:color w:val="231F20"/>
        </w:rPr>
        <w:t>de</w:t>
      </w:r>
      <w:r>
        <w:rPr>
          <w:color w:val="231F20"/>
          <w:spacing w:val="-11"/>
        </w:rPr>
        <w:t> </w:t>
      </w:r>
      <w:r>
        <w:rPr>
          <w:color w:val="231F20"/>
        </w:rPr>
        <w:t>recursos</w:t>
      </w:r>
      <w:r>
        <w:rPr>
          <w:color w:val="231F20"/>
          <w:spacing w:val="-11"/>
        </w:rPr>
        <w:t> </w:t>
      </w:r>
      <w:r>
        <w:rPr>
          <w:color w:val="231F20"/>
        </w:rPr>
        <w:t>materiales</w:t>
      </w:r>
      <w:r>
        <w:rPr>
          <w:color w:val="231F20"/>
          <w:spacing w:val="-11"/>
        </w:rPr>
        <w:t> </w:t>
      </w:r>
      <w:r>
        <w:rPr>
          <w:color w:val="231F20"/>
        </w:rPr>
        <w:t>y</w:t>
      </w:r>
      <w:r>
        <w:rPr>
          <w:color w:val="231F20"/>
          <w:spacing w:val="-11"/>
        </w:rPr>
        <w:t> </w:t>
      </w:r>
      <w:r>
        <w:rPr>
          <w:color w:val="231F20"/>
        </w:rPr>
        <w:t>no</w:t>
      </w:r>
      <w:r>
        <w:rPr>
          <w:color w:val="231F20"/>
          <w:spacing w:val="-11"/>
        </w:rPr>
        <w:t> </w:t>
      </w:r>
      <w:r>
        <w:rPr>
          <w:color w:val="231F20"/>
        </w:rPr>
        <w:t>materiales,</w:t>
      </w:r>
      <w:r>
        <w:rPr>
          <w:color w:val="231F20"/>
          <w:spacing w:val="-11"/>
        </w:rPr>
        <w:t> </w:t>
      </w:r>
      <w:r>
        <w:rPr>
          <w:color w:val="231F20"/>
        </w:rPr>
        <w:t>socia- lización, comunicación, educación, educación familiar, contacto escolar, atención de deberes escolares, organización de la cotidianidad, atención en salud, alimentación,en el hogar local </w:t>
      </w:r>
      <w:r>
        <w:rPr>
          <w:color w:val="231F20"/>
          <w:spacing w:val="-8"/>
        </w:rPr>
        <w:t>y, </w:t>
      </w:r>
      <w:r>
        <w:rPr>
          <w:color w:val="231F20"/>
        </w:rPr>
        <w:t>en las relaciones, decisiones y acciones,</w:t>
      </w:r>
      <w:r>
        <w:rPr>
          <w:color w:val="231F20"/>
          <w:spacing w:val="-9"/>
        </w:rPr>
        <w:t> </w:t>
      </w:r>
      <w:r>
        <w:rPr>
          <w:color w:val="231F20"/>
        </w:rPr>
        <w:t>en</w:t>
      </w:r>
      <w:r>
        <w:rPr>
          <w:color w:val="231F20"/>
          <w:spacing w:val="-8"/>
        </w:rPr>
        <w:t> </w:t>
      </w:r>
      <w:r>
        <w:rPr>
          <w:color w:val="231F20"/>
        </w:rPr>
        <w:t>el</w:t>
      </w:r>
      <w:r>
        <w:rPr>
          <w:color w:val="231F20"/>
          <w:spacing w:val="-8"/>
        </w:rPr>
        <w:t> </w:t>
      </w:r>
      <w:r>
        <w:rPr>
          <w:color w:val="231F20"/>
        </w:rPr>
        <w:t>hogar</w:t>
      </w:r>
      <w:r>
        <w:rPr>
          <w:color w:val="231F20"/>
          <w:spacing w:val="-8"/>
        </w:rPr>
        <w:t> </w:t>
      </w:r>
      <w:r>
        <w:rPr>
          <w:color w:val="231F20"/>
        </w:rPr>
        <w:t>glocal,</w:t>
      </w:r>
      <w:r>
        <w:rPr>
          <w:color w:val="231F20"/>
          <w:spacing w:val="-8"/>
        </w:rPr>
        <w:t> </w:t>
      </w:r>
      <w:r>
        <w:rPr>
          <w:color w:val="231F20"/>
        </w:rPr>
        <w:t>espacio</w:t>
      </w:r>
      <w:r>
        <w:rPr>
          <w:color w:val="231F20"/>
          <w:spacing w:val="-8"/>
        </w:rPr>
        <w:t> </w:t>
      </w:r>
      <w:r>
        <w:rPr>
          <w:color w:val="231F20"/>
        </w:rPr>
        <w:t>virtual</w:t>
      </w:r>
      <w:r>
        <w:rPr>
          <w:color w:val="231F20"/>
          <w:spacing w:val="-8"/>
        </w:rPr>
        <w:t> </w:t>
      </w:r>
      <w:r>
        <w:rPr>
          <w:color w:val="231F20"/>
        </w:rPr>
        <w:t>de</w:t>
      </w:r>
      <w:r>
        <w:rPr>
          <w:color w:val="231F20"/>
          <w:spacing w:val="-8"/>
        </w:rPr>
        <w:t> </w:t>
      </w:r>
      <w:r>
        <w:rPr>
          <w:color w:val="231F20"/>
        </w:rPr>
        <w:t>compartir</w:t>
      </w:r>
      <w:r>
        <w:rPr>
          <w:color w:val="231F20"/>
          <w:spacing w:val="-9"/>
        </w:rPr>
        <w:t> </w:t>
      </w:r>
      <w:r>
        <w:rPr>
          <w:color w:val="231F20"/>
        </w:rPr>
        <w:t>y</w:t>
      </w:r>
      <w:r>
        <w:rPr>
          <w:color w:val="231F20"/>
          <w:spacing w:val="-8"/>
        </w:rPr>
        <w:t> </w:t>
      </w:r>
      <w:r>
        <w:rPr>
          <w:color w:val="231F20"/>
        </w:rPr>
        <w:t>de</w:t>
      </w:r>
      <w:r>
        <w:rPr>
          <w:color w:val="231F20"/>
          <w:spacing w:val="-8"/>
        </w:rPr>
        <w:t> </w:t>
      </w:r>
      <w:r>
        <w:rPr>
          <w:color w:val="231F20"/>
        </w:rPr>
        <w:t>intercambiar nuevas convenciones, información y toma de decisiones,</w:t>
      </w:r>
      <w:r>
        <w:rPr>
          <w:color w:val="231F20"/>
          <w:spacing w:val="-3"/>
        </w:rPr>
        <w:t> </w:t>
      </w:r>
      <w:r>
        <w:rPr>
          <w:color w:val="231F20"/>
        </w:rPr>
        <w:t>recursos.</w:t>
      </w:r>
    </w:p>
    <w:p>
      <w:pPr>
        <w:pStyle w:val="BodyText"/>
        <w:spacing w:line="247" w:lineRule="auto"/>
        <w:ind w:left="117" w:right="114" w:firstLine="283"/>
        <w:jc w:val="both"/>
      </w:pPr>
      <w:r>
        <w:rPr>
          <w:color w:val="231F20"/>
        </w:rPr>
        <w:t>El padre y la madre son definitivamente, para sus hijos, un referente primario de interdependencia, fuente de claridad y cercanía, apoyo y co- nexión con el origen, sin embargo, la relación que surge con la cuidadora y la labor que desempeña no puede ser vista sólo como una ayuda, como algo externo que ocupa un espacio provisional.</w:t>
      </w:r>
    </w:p>
    <w:p>
      <w:pPr>
        <w:pStyle w:val="BodyText"/>
        <w:spacing w:line="247" w:lineRule="auto"/>
        <w:ind w:left="117" w:right="114" w:firstLine="283"/>
        <w:jc w:val="both"/>
      </w:pPr>
      <w:r>
        <w:rPr>
          <w:color w:val="231F20"/>
        </w:rPr>
        <w:t>Aunque no se descarta una buena dosis de conflicto en la cotidiani- dad familiar, llenar el vacío, la sensación de soledad, apoyar mediante la conversación, “estar con ellos”, expresar afecto, son fundamentales en la comunicación y la transmisión de normas, mandatos y observaciones re- lativas al comportamiento. Los conflictos derivados del curso de vida, de- mandas y necesidades económicas, afectivas, emocionales y relacionales, las</w:t>
      </w:r>
      <w:r>
        <w:rPr>
          <w:color w:val="231F20"/>
          <w:spacing w:val="-8"/>
        </w:rPr>
        <w:t> </w:t>
      </w:r>
      <w:r>
        <w:rPr>
          <w:color w:val="231F20"/>
        </w:rPr>
        <w:t>disputas</w:t>
      </w:r>
      <w:r>
        <w:rPr>
          <w:color w:val="231F20"/>
          <w:spacing w:val="-8"/>
        </w:rPr>
        <w:t> </w:t>
      </w:r>
      <w:r>
        <w:rPr>
          <w:color w:val="231F20"/>
        </w:rPr>
        <w:t>o</w:t>
      </w:r>
      <w:r>
        <w:rPr>
          <w:color w:val="231F20"/>
          <w:spacing w:val="-8"/>
        </w:rPr>
        <w:t> </w:t>
      </w:r>
      <w:r>
        <w:rPr>
          <w:color w:val="231F20"/>
        </w:rPr>
        <w:t>contradicciones</w:t>
      </w:r>
      <w:r>
        <w:rPr>
          <w:color w:val="231F20"/>
          <w:spacing w:val="-9"/>
        </w:rPr>
        <w:t> </w:t>
      </w:r>
      <w:r>
        <w:rPr>
          <w:color w:val="231F20"/>
        </w:rPr>
        <w:t>en</w:t>
      </w:r>
      <w:r>
        <w:rPr>
          <w:color w:val="231F20"/>
          <w:spacing w:val="-8"/>
        </w:rPr>
        <w:t> </w:t>
      </w:r>
      <w:r>
        <w:rPr>
          <w:color w:val="231F20"/>
        </w:rPr>
        <w:t>el</w:t>
      </w:r>
      <w:r>
        <w:rPr>
          <w:color w:val="231F20"/>
          <w:spacing w:val="-8"/>
        </w:rPr>
        <w:t> </w:t>
      </w:r>
      <w:r>
        <w:rPr>
          <w:color w:val="231F20"/>
        </w:rPr>
        <w:t>cuidado</w:t>
      </w:r>
      <w:r>
        <w:rPr>
          <w:color w:val="231F20"/>
          <w:spacing w:val="-8"/>
        </w:rPr>
        <w:t> </w:t>
      </w:r>
      <w:r>
        <w:rPr>
          <w:color w:val="231F20"/>
        </w:rPr>
        <w:t>de</w:t>
      </w:r>
      <w:r>
        <w:rPr>
          <w:color w:val="231F20"/>
          <w:spacing w:val="-8"/>
        </w:rPr>
        <w:t> </w:t>
      </w:r>
      <w:r>
        <w:rPr>
          <w:color w:val="231F20"/>
        </w:rPr>
        <w:t>niños,</w:t>
      </w:r>
      <w:r>
        <w:rPr>
          <w:color w:val="231F20"/>
          <w:spacing w:val="-8"/>
        </w:rPr>
        <w:t> </w:t>
      </w:r>
      <w:r>
        <w:rPr>
          <w:color w:val="231F20"/>
        </w:rPr>
        <w:t>niñas</w:t>
      </w:r>
      <w:r>
        <w:rPr>
          <w:color w:val="231F20"/>
          <w:spacing w:val="-8"/>
        </w:rPr>
        <w:t> </w:t>
      </w:r>
      <w:r>
        <w:rPr>
          <w:color w:val="231F20"/>
        </w:rPr>
        <w:t>y</w:t>
      </w:r>
      <w:r>
        <w:rPr>
          <w:color w:val="231F20"/>
          <w:spacing w:val="-8"/>
        </w:rPr>
        <w:t> </w:t>
      </w:r>
      <w:r>
        <w:rPr>
          <w:color w:val="231F20"/>
        </w:rPr>
        <w:t>adolescentes, están presentes en la nueva cotidianidad transnacional, el modo de vida</w:t>
      </w:r>
      <w:r>
        <w:rPr>
          <w:color w:val="231F20"/>
          <w:spacing w:val="-24"/>
        </w:rPr>
        <w:t> </w:t>
      </w:r>
      <w:r>
        <w:rPr>
          <w:color w:val="231F20"/>
        </w:rPr>
        <w:t>de una familia en situación de</w:t>
      </w:r>
      <w:r>
        <w:rPr>
          <w:color w:val="231F20"/>
          <w:spacing w:val="-9"/>
        </w:rPr>
        <w:t> </w:t>
      </w:r>
      <w:r>
        <w:rPr>
          <w:color w:val="231F20"/>
        </w:rPr>
        <w:t>transnacionalidad.</w:t>
      </w:r>
    </w:p>
    <w:p>
      <w:pPr>
        <w:pStyle w:val="BodyText"/>
        <w:spacing w:line="247" w:lineRule="auto"/>
        <w:ind w:left="117" w:right="114" w:firstLine="283"/>
        <w:jc w:val="both"/>
      </w:pPr>
      <w:r>
        <w:rPr>
          <w:color w:val="231F20"/>
        </w:rPr>
        <w:t>Comparto con Morad y Rodríguez (2011), que las evidencias obligan  a revisar las conceptualizaciones generalizadoras y las intervenciones tra- dicionales con los grupos familiares para dar espacio a la comprensión   de</w:t>
      </w:r>
      <w:r>
        <w:rPr>
          <w:color w:val="231F20"/>
          <w:spacing w:val="20"/>
        </w:rPr>
        <w:t> </w:t>
      </w:r>
      <w:r>
        <w:rPr>
          <w:color w:val="231F20"/>
        </w:rPr>
        <w:t>nuevas</w:t>
      </w:r>
      <w:r>
        <w:rPr>
          <w:color w:val="231F20"/>
          <w:spacing w:val="20"/>
        </w:rPr>
        <w:t> </w:t>
      </w:r>
      <w:r>
        <w:rPr>
          <w:color w:val="231F20"/>
        </w:rPr>
        <w:t>formas</w:t>
      </w:r>
      <w:r>
        <w:rPr>
          <w:color w:val="231F20"/>
          <w:spacing w:val="20"/>
        </w:rPr>
        <w:t> </w:t>
      </w:r>
      <w:r>
        <w:rPr>
          <w:color w:val="231F20"/>
        </w:rPr>
        <w:t>vinculantes</w:t>
      </w:r>
      <w:r>
        <w:rPr>
          <w:color w:val="231F20"/>
          <w:spacing w:val="20"/>
        </w:rPr>
        <w:t> </w:t>
      </w:r>
      <w:r>
        <w:rPr>
          <w:color w:val="231F20"/>
        </w:rPr>
        <w:t>basadas</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confianza</w:t>
      </w:r>
      <w:r>
        <w:rPr>
          <w:color w:val="231F20"/>
          <w:spacing w:val="20"/>
        </w:rPr>
        <w:t> </w:t>
      </w:r>
      <w:r>
        <w:rPr>
          <w:color w:val="231F20"/>
        </w:rPr>
        <w:t>y</w:t>
      </w:r>
      <w:r>
        <w:rPr>
          <w:color w:val="231F20"/>
          <w:spacing w:val="20"/>
        </w:rPr>
        <w:t> </w:t>
      </w:r>
      <w:r>
        <w:rPr>
          <w:color w:val="231F20"/>
        </w:rPr>
        <w:t>la</w:t>
      </w:r>
      <w:r>
        <w:rPr>
          <w:color w:val="231F20"/>
          <w:spacing w:val="20"/>
        </w:rPr>
        <w:t> </w:t>
      </w:r>
      <w:r>
        <w:rPr>
          <w:color w:val="231F20"/>
        </w:rPr>
        <w:t>reciprocidad,</w:t>
      </w:r>
    </w:p>
    <w:p>
      <w:pPr>
        <w:spacing w:after="0" w:line="247" w:lineRule="auto"/>
        <w:jc w:val="both"/>
        <w:sectPr>
          <w:pgSz w:w="9360" w:h="13040"/>
          <w:pgMar w:header="0" w:footer="496" w:top="740" w:bottom="680" w:left="1300" w:right="1300"/>
        </w:sectPr>
      </w:pPr>
    </w:p>
    <w:p>
      <w:pPr>
        <w:tabs>
          <w:tab w:pos="5536" w:val="left" w:leader="none"/>
        </w:tabs>
        <w:spacing w:before="48"/>
        <w:ind w:left="117" w:right="0" w:firstLine="2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jc w:val="both"/>
      </w:pPr>
      <w:r>
        <w:rPr>
          <w:color w:val="231F20"/>
        </w:rPr>
        <w:t>que trascienden los espacios geográficos y la corresidencia como únicos o principales elementos instituyentes de los hogares y los grupos familiares.</w:t>
      </w:r>
    </w:p>
    <w:p>
      <w:pPr>
        <w:pStyle w:val="Heading3"/>
      </w:pPr>
      <w:r>
        <w:rPr>
          <w:color w:val="231F20"/>
        </w:rPr>
        <w:t>Conclusiones o recomendaciones de política pública</w:t>
      </w:r>
    </w:p>
    <w:p>
      <w:pPr>
        <w:pStyle w:val="BodyText"/>
        <w:spacing w:line="247" w:lineRule="auto" w:before="172"/>
        <w:ind w:left="117" w:right="115"/>
        <w:jc w:val="both"/>
      </w:pPr>
      <w:r>
        <w:rPr>
          <w:color w:val="231F20"/>
        </w:rPr>
        <w:t>A partir de las investigaciones se presentan algunas consideraciones y se proponen elementos para la formulación de políticas públicas o guberna- mentales</w:t>
      </w:r>
      <w:r>
        <w:rPr>
          <w:color w:val="231F20"/>
          <w:spacing w:val="-7"/>
        </w:rPr>
        <w:t> </w:t>
      </w:r>
      <w:r>
        <w:rPr>
          <w:color w:val="231F20"/>
        </w:rPr>
        <w:t>de</w:t>
      </w:r>
      <w:r>
        <w:rPr>
          <w:color w:val="231F20"/>
          <w:spacing w:val="-6"/>
        </w:rPr>
        <w:t> </w:t>
      </w:r>
      <w:r>
        <w:rPr>
          <w:color w:val="231F20"/>
        </w:rPr>
        <w:t>familia</w:t>
      </w:r>
      <w:r>
        <w:rPr>
          <w:color w:val="231F20"/>
          <w:spacing w:val="-6"/>
        </w:rPr>
        <w:t> </w:t>
      </w:r>
      <w:r>
        <w:rPr>
          <w:color w:val="231F20"/>
        </w:rPr>
        <w:t>en</w:t>
      </w:r>
      <w:r>
        <w:rPr>
          <w:color w:val="231F20"/>
          <w:spacing w:val="-6"/>
        </w:rPr>
        <w:t> </w:t>
      </w:r>
      <w:r>
        <w:rPr>
          <w:color w:val="231F20"/>
        </w:rPr>
        <w:t>situación</w:t>
      </w:r>
      <w:r>
        <w:rPr>
          <w:color w:val="231F20"/>
          <w:spacing w:val="-6"/>
        </w:rPr>
        <w:t> </w:t>
      </w:r>
      <w:r>
        <w:rPr>
          <w:color w:val="231F20"/>
        </w:rPr>
        <w:t>de</w:t>
      </w:r>
      <w:r>
        <w:rPr>
          <w:color w:val="231F20"/>
          <w:spacing w:val="-6"/>
        </w:rPr>
        <w:t> </w:t>
      </w:r>
      <w:r>
        <w:rPr>
          <w:color w:val="231F20"/>
        </w:rPr>
        <w:t>transnacionalidad,</w:t>
      </w:r>
      <w:r>
        <w:rPr>
          <w:color w:val="231F20"/>
          <w:spacing w:val="-7"/>
        </w:rPr>
        <w:t> </w:t>
      </w:r>
      <w:r>
        <w:rPr>
          <w:color w:val="231F20"/>
        </w:rPr>
        <w:t>en</w:t>
      </w:r>
      <w:r>
        <w:rPr>
          <w:color w:val="231F20"/>
          <w:spacing w:val="-6"/>
        </w:rPr>
        <w:t> </w:t>
      </w:r>
      <w:r>
        <w:rPr>
          <w:color w:val="231F20"/>
        </w:rPr>
        <w:t>interrelación</w:t>
      </w:r>
      <w:r>
        <w:rPr>
          <w:color w:val="231F20"/>
          <w:spacing w:val="-7"/>
        </w:rPr>
        <w:t> </w:t>
      </w:r>
      <w:r>
        <w:rPr>
          <w:color w:val="231F20"/>
        </w:rPr>
        <w:t>con la globalización, el desarrollo y la migración.</w:t>
      </w:r>
    </w:p>
    <w:p>
      <w:pPr>
        <w:spacing w:before="149"/>
        <w:ind w:left="117" w:right="0" w:firstLine="0"/>
        <w:jc w:val="both"/>
        <w:rPr>
          <w:i/>
          <w:sz w:val="22"/>
        </w:rPr>
      </w:pPr>
      <w:r>
        <w:rPr>
          <w:i/>
          <w:color w:val="231F20"/>
          <w:sz w:val="22"/>
        </w:rPr>
        <w:t>Desde la investigación sobre implicaciones económicas y afectivas</w:t>
      </w:r>
    </w:p>
    <w:p>
      <w:pPr>
        <w:pStyle w:val="BodyText"/>
        <w:spacing w:line="247" w:lineRule="auto" w:before="177"/>
        <w:ind w:left="117" w:right="114"/>
        <w:jc w:val="both"/>
      </w:pPr>
      <w:r>
        <w:rPr>
          <w:color w:val="231F20"/>
        </w:rPr>
        <w:t>Los cambios en las familias son contundentes, para adecuarse a las rea- lidades de estos tiempos —empleo precario, deseos de explorar nuevos mundos, etc.—, para atender sus demandas de sobrevivencia movilizan</w:t>
      </w:r>
      <w:r>
        <w:rPr>
          <w:color w:val="231F20"/>
          <w:spacing w:val="-34"/>
        </w:rPr>
        <w:t> </w:t>
      </w:r>
      <w:r>
        <w:rPr>
          <w:color w:val="231F20"/>
        </w:rPr>
        <w:t>de nuevo sus recursos humanos, su capital social y simbólico, unos en el ho- gar</w:t>
      </w:r>
      <w:r>
        <w:rPr>
          <w:color w:val="231F20"/>
          <w:spacing w:val="-8"/>
        </w:rPr>
        <w:t> </w:t>
      </w:r>
      <w:r>
        <w:rPr>
          <w:color w:val="231F20"/>
        </w:rPr>
        <w:t>local</w:t>
      </w:r>
      <w:r>
        <w:rPr>
          <w:color w:val="231F20"/>
          <w:spacing w:val="-8"/>
        </w:rPr>
        <w:t> </w:t>
      </w:r>
      <w:r>
        <w:rPr>
          <w:color w:val="231F20"/>
        </w:rPr>
        <w:t>y</w:t>
      </w:r>
      <w:r>
        <w:rPr>
          <w:color w:val="231F20"/>
          <w:spacing w:val="-7"/>
        </w:rPr>
        <w:t> </w:t>
      </w:r>
      <w:r>
        <w:rPr>
          <w:color w:val="231F20"/>
        </w:rPr>
        <w:t>otros</w:t>
      </w:r>
      <w:r>
        <w:rPr>
          <w:color w:val="231F20"/>
          <w:spacing w:val="-7"/>
        </w:rPr>
        <w:t> </w:t>
      </w:r>
      <w:r>
        <w:rPr>
          <w:color w:val="231F20"/>
        </w:rPr>
        <w:t>en</w:t>
      </w:r>
      <w:r>
        <w:rPr>
          <w:color w:val="231F20"/>
          <w:spacing w:val="-8"/>
        </w:rPr>
        <w:t> </w:t>
      </w:r>
      <w:r>
        <w:rPr>
          <w:color w:val="231F20"/>
        </w:rPr>
        <w:t>el</w:t>
      </w:r>
      <w:r>
        <w:rPr>
          <w:color w:val="231F20"/>
          <w:spacing w:val="-8"/>
        </w:rPr>
        <w:t> </w:t>
      </w:r>
      <w:r>
        <w:rPr>
          <w:color w:val="231F20"/>
        </w:rPr>
        <w:t>mercado</w:t>
      </w:r>
      <w:r>
        <w:rPr>
          <w:color w:val="231F20"/>
          <w:spacing w:val="-8"/>
        </w:rPr>
        <w:t> </w:t>
      </w:r>
      <w:r>
        <w:rPr>
          <w:color w:val="231F20"/>
        </w:rPr>
        <w:t>global,</w:t>
      </w:r>
      <w:r>
        <w:rPr>
          <w:color w:val="231F20"/>
          <w:spacing w:val="-8"/>
        </w:rPr>
        <w:t> </w:t>
      </w:r>
      <w:r>
        <w:rPr>
          <w:color w:val="231F20"/>
        </w:rPr>
        <w:t>mientras</w:t>
      </w:r>
      <w:r>
        <w:rPr>
          <w:color w:val="231F20"/>
          <w:spacing w:val="-8"/>
        </w:rPr>
        <w:t> </w:t>
      </w:r>
      <w:r>
        <w:rPr>
          <w:color w:val="231F20"/>
        </w:rPr>
        <w:t>las</w:t>
      </w:r>
      <w:r>
        <w:rPr>
          <w:color w:val="231F20"/>
          <w:spacing w:val="-8"/>
        </w:rPr>
        <w:t> </w:t>
      </w:r>
      <w:r>
        <w:rPr>
          <w:color w:val="231F20"/>
        </w:rPr>
        <w:t>políticas</w:t>
      </w:r>
      <w:r>
        <w:rPr>
          <w:color w:val="231F20"/>
          <w:spacing w:val="-7"/>
        </w:rPr>
        <w:t> </w:t>
      </w:r>
      <w:r>
        <w:rPr>
          <w:color w:val="231F20"/>
        </w:rPr>
        <w:t>y</w:t>
      </w:r>
      <w:r>
        <w:rPr>
          <w:color w:val="231F20"/>
          <w:spacing w:val="-7"/>
        </w:rPr>
        <w:t> </w:t>
      </w:r>
      <w:r>
        <w:rPr>
          <w:color w:val="231F20"/>
        </w:rPr>
        <w:t>mecanismos de</w:t>
      </w:r>
      <w:r>
        <w:rPr>
          <w:color w:val="231F20"/>
          <w:spacing w:val="-12"/>
        </w:rPr>
        <w:t> </w:t>
      </w:r>
      <w:r>
        <w:rPr>
          <w:color w:val="231F20"/>
        </w:rPr>
        <w:t>atención</w:t>
      </w:r>
      <w:r>
        <w:rPr>
          <w:color w:val="231F20"/>
          <w:spacing w:val="-13"/>
        </w:rPr>
        <w:t> </w:t>
      </w:r>
      <w:r>
        <w:rPr>
          <w:color w:val="231F20"/>
        </w:rPr>
        <w:t>de</w:t>
      </w:r>
      <w:r>
        <w:rPr>
          <w:color w:val="231F20"/>
          <w:spacing w:val="-12"/>
        </w:rPr>
        <w:t> </w:t>
      </w:r>
      <w:r>
        <w:rPr>
          <w:color w:val="231F20"/>
        </w:rPr>
        <w:t>los</w:t>
      </w:r>
      <w:r>
        <w:rPr>
          <w:color w:val="231F20"/>
          <w:spacing w:val="-12"/>
        </w:rPr>
        <w:t> </w:t>
      </w:r>
      <w:r>
        <w:rPr>
          <w:color w:val="231F20"/>
        </w:rPr>
        <w:t>estados</w:t>
      </w:r>
      <w:r>
        <w:rPr>
          <w:color w:val="231F20"/>
          <w:spacing w:val="-13"/>
        </w:rPr>
        <w:t> </w:t>
      </w:r>
      <w:r>
        <w:rPr>
          <w:color w:val="231F20"/>
        </w:rPr>
        <w:t>y</w:t>
      </w:r>
      <w:r>
        <w:rPr>
          <w:color w:val="231F20"/>
          <w:spacing w:val="-12"/>
        </w:rPr>
        <w:t> </w:t>
      </w:r>
      <w:r>
        <w:rPr>
          <w:color w:val="231F20"/>
        </w:rPr>
        <w:t>los</w:t>
      </w:r>
      <w:r>
        <w:rPr>
          <w:color w:val="231F20"/>
          <w:spacing w:val="-12"/>
        </w:rPr>
        <w:t> </w:t>
      </w:r>
      <w:r>
        <w:rPr>
          <w:color w:val="231F20"/>
        </w:rPr>
        <w:t>programas</w:t>
      </w:r>
      <w:r>
        <w:rPr>
          <w:color w:val="231F20"/>
          <w:spacing w:val="-12"/>
        </w:rPr>
        <w:t> </w:t>
      </w:r>
      <w:r>
        <w:rPr>
          <w:color w:val="231F20"/>
        </w:rPr>
        <w:t>aún</w:t>
      </w:r>
      <w:r>
        <w:rPr>
          <w:color w:val="231F20"/>
          <w:spacing w:val="-12"/>
        </w:rPr>
        <w:t> </w:t>
      </w:r>
      <w:r>
        <w:rPr>
          <w:color w:val="231F20"/>
        </w:rPr>
        <w:t>son</w:t>
      </w:r>
      <w:r>
        <w:rPr>
          <w:color w:val="231F20"/>
          <w:spacing w:val="-12"/>
        </w:rPr>
        <w:t> </w:t>
      </w:r>
      <w:r>
        <w:rPr>
          <w:color w:val="231F20"/>
        </w:rPr>
        <w:t>incipientes</w:t>
      </w:r>
      <w:r>
        <w:rPr>
          <w:color w:val="231F20"/>
          <w:spacing w:val="-13"/>
        </w:rPr>
        <w:t> </w:t>
      </w:r>
      <w:r>
        <w:rPr>
          <w:color w:val="231F20"/>
        </w:rPr>
        <w:t>o</w:t>
      </w:r>
      <w:r>
        <w:rPr>
          <w:color w:val="231F20"/>
          <w:spacing w:val="-12"/>
        </w:rPr>
        <w:t> </w:t>
      </w:r>
      <w:r>
        <w:rPr>
          <w:color w:val="231F20"/>
        </w:rPr>
        <w:t>no</w:t>
      </w:r>
      <w:r>
        <w:rPr>
          <w:color w:val="231F20"/>
          <w:spacing w:val="-12"/>
        </w:rPr>
        <w:t> </w:t>
      </w:r>
      <w:r>
        <w:rPr>
          <w:color w:val="231F20"/>
        </w:rPr>
        <w:t>existen. El</w:t>
      </w:r>
      <w:r>
        <w:rPr>
          <w:color w:val="231F20"/>
          <w:spacing w:val="-10"/>
        </w:rPr>
        <w:t> </w:t>
      </w:r>
      <w:r>
        <w:rPr>
          <w:color w:val="231F20"/>
        </w:rPr>
        <w:t>cambio</w:t>
      </w:r>
      <w:r>
        <w:rPr>
          <w:color w:val="231F20"/>
          <w:spacing w:val="-10"/>
        </w:rPr>
        <w:t> </w:t>
      </w:r>
      <w:r>
        <w:rPr>
          <w:color w:val="231F20"/>
        </w:rPr>
        <w:t>en</w:t>
      </w:r>
      <w:r>
        <w:rPr>
          <w:color w:val="231F20"/>
          <w:spacing w:val="-10"/>
        </w:rPr>
        <w:t> </w:t>
      </w:r>
      <w:r>
        <w:rPr>
          <w:color w:val="231F20"/>
        </w:rPr>
        <w:t>la</w:t>
      </w:r>
      <w:r>
        <w:rPr>
          <w:color w:val="231F20"/>
          <w:spacing w:val="-11"/>
        </w:rPr>
        <w:t> </w:t>
      </w:r>
      <w:r>
        <w:rPr>
          <w:color w:val="231F20"/>
        </w:rPr>
        <w:t>familia</w:t>
      </w:r>
      <w:r>
        <w:rPr>
          <w:color w:val="231F20"/>
          <w:spacing w:val="-10"/>
        </w:rPr>
        <w:t> </w:t>
      </w:r>
      <w:r>
        <w:rPr>
          <w:color w:val="231F20"/>
        </w:rPr>
        <w:t>se</w:t>
      </w:r>
      <w:r>
        <w:rPr>
          <w:color w:val="231F20"/>
          <w:spacing w:val="-10"/>
        </w:rPr>
        <w:t> </w:t>
      </w:r>
      <w:r>
        <w:rPr>
          <w:color w:val="231F20"/>
        </w:rPr>
        <w:t>comprende</w:t>
      </w:r>
      <w:r>
        <w:rPr>
          <w:color w:val="231F20"/>
          <w:spacing w:val="-11"/>
        </w:rPr>
        <w:t> </w:t>
      </w:r>
      <w:r>
        <w:rPr>
          <w:color w:val="231F20"/>
        </w:rPr>
        <w:t>mejor</w:t>
      </w:r>
      <w:r>
        <w:rPr>
          <w:color w:val="231F20"/>
          <w:spacing w:val="-11"/>
        </w:rPr>
        <w:t> </w:t>
      </w:r>
      <w:r>
        <w:rPr>
          <w:color w:val="231F20"/>
        </w:rPr>
        <w:t>si</w:t>
      </w:r>
      <w:r>
        <w:rPr>
          <w:color w:val="231F20"/>
          <w:spacing w:val="-10"/>
        </w:rPr>
        <w:t> </w:t>
      </w:r>
      <w:r>
        <w:rPr>
          <w:color w:val="231F20"/>
        </w:rPr>
        <w:t>se</w:t>
      </w:r>
      <w:r>
        <w:rPr>
          <w:color w:val="231F20"/>
          <w:spacing w:val="-10"/>
        </w:rPr>
        <w:t> </w:t>
      </w:r>
      <w:r>
        <w:rPr>
          <w:color w:val="231F20"/>
        </w:rPr>
        <w:t>tiene</w:t>
      </w:r>
      <w:r>
        <w:rPr>
          <w:color w:val="231F20"/>
          <w:spacing w:val="-11"/>
        </w:rPr>
        <w:t> </w:t>
      </w:r>
      <w:r>
        <w:rPr>
          <w:color w:val="231F20"/>
        </w:rPr>
        <w:t>en</w:t>
      </w:r>
      <w:r>
        <w:rPr>
          <w:color w:val="231F20"/>
          <w:spacing w:val="-10"/>
        </w:rPr>
        <w:t> </w:t>
      </w:r>
      <w:r>
        <w:rPr>
          <w:color w:val="231F20"/>
        </w:rPr>
        <w:t>cuenta</w:t>
      </w:r>
      <w:r>
        <w:rPr>
          <w:color w:val="231F20"/>
          <w:spacing w:val="-11"/>
        </w:rPr>
        <w:t> </w:t>
      </w:r>
      <w:r>
        <w:rPr>
          <w:color w:val="231F20"/>
        </w:rPr>
        <w:t>que</w:t>
      </w:r>
      <w:r>
        <w:rPr>
          <w:color w:val="231F20"/>
          <w:spacing w:val="-10"/>
        </w:rPr>
        <w:t> </w:t>
      </w:r>
      <w:r>
        <w:rPr>
          <w:color w:val="231F20"/>
        </w:rPr>
        <w:t>se</w:t>
      </w:r>
      <w:r>
        <w:rPr>
          <w:color w:val="231F20"/>
          <w:spacing w:val="-10"/>
        </w:rPr>
        <w:t> </w:t>
      </w:r>
      <w:r>
        <w:rPr>
          <w:color w:val="231F20"/>
        </w:rPr>
        <w:t>de- riva</w:t>
      </w:r>
      <w:r>
        <w:rPr>
          <w:color w:val="231F20"/>
          <w:spacing w:val="-7"/>
        </w:rPr>
        <w:t> </w:t>
      </w:r>
      <w:r>
        <w:rPr>
          <w:color w:val="231F20"/>
        </w:rPr>
        <w:t>del</w:t>
      </w:r>
      <w:r>
        <w:rPr>
          <w:color w:val="231F20"/>
          <w:spacing w:val="-7"/>
        </w:rPr>
        <w:t> </w:t>
      </w:r>
      <w:r>
        <w:rPr>
          <w:color w:val="231F20"/>
        </w:rPr>
        <w:t>interjuego</w:t>
      </w:r>
      <w:r>
        <w:rPr>
          <w:color w:val="231F20"/>
          <w:spacing w:val="-8"/>
        </w:rPr>
        <w:t> </w:t>
      </w:r>
      <w:r>
        <w:rPr>
          <w:color w:val="231F20"/>
        </w:rPr>
        <w:t>entre</w:t>
      </w:r>
      <w:r>
        <w:rPr>
          <w:color w:val="231F20"/>
          <w:spacing w:val="-8"/>
        </w:rPr>
        <w:t> </w:t>
      </w:r>
      <w:r>
        <w:rPr>
          <w:color w:val="231F20"/>
        </w:rPr>
        <w:t>lo</w:t>
      </w:r>
      <w:r>
        <w:rPr>
          <w:color w:val="231F20"/>
          <w:spacing w:val="-7"/>
        </w:rPr>
        <w:t> </w:t>
      </w:r>
      <w:r>
        <w:rPr>
          <w:color w:val="231F20"/>
        </w:rPr>
        <w:t>macro</w:t>
      </w:r>
      <w:r>
        <w:rPr>
          <w:color w:val="231F20"/>
          <w:spacing w:val="-8"/>
        </w:rPr>
        <w:t> </w:t>
      </w:r>
      <w:r>
        <w:rPr>
          <w:color w:val="231F20"/>
        </w:rPr>
        <w:t>y</w:t>
      </w:r>
      <w:r>
        <w:rPr>
          <w:color w:val="231F20"/>
          <w:spacing w:val="-7"/>
        </w:rPr>
        <w:t> </w:t>
      </w:r>
      <w:r>
        <w:rPr>
          <w:color w:val="231F20"/>
        </w:rPr>
        <w:t>lo</w:t>
      </w:r>
      <w:r>
        <w:rPr>
          <w:color w:val="231F20"/>
          <w:spacing w:val="-7"/>
        </w:rPr>
        <w:t> </w:t>
      </w:r>
      <w:r>
        <w:rPr>
          <w:color w:val="231F20"/>
        </w:rPr>
        <w:t>micro,</w:t>
      </w:r>
      <w:r>
        <w:rPr>
          <w:color w:val="231F20"/>
          <w:spacing w:val="-8"/>
        </w:rPr>
        <w:t> </w:t>
      </w:r>
      <w:r>
        <w:rPr>
          <w:color w:val="231F20"/>
        </w:rPr>
        <w:t>en</w:t>
      </w:r>
      <w:r>
        <w:rPr>
          <w:color w:val="231F20"/>
          <w:spacing w:val="-7"/>
        </w:rPr>
        <w:t> </w:t>
      </w:r>
      <w:r>
        <w:rPr>
          <w:color w:val="231F20"/>
        </w:rPr>
        <w:t>la</w:t>
      </w:r>
      <w:r>
        <w:rPr>
          <w:color w:val="231F20"/>
          <w:spacing w:val="-8"/>
        </w:rPr>
        <w:t> </w:t>
      </w:r>
      <w:r>
        <w:rPr>
          <w:color w:val="231F20"/>
        </w:rPr>
        <w:t>interacción</w:t>
      </w:r>
      <w:r>
        <w:rPr>
          <w:color w:val="231F20"/>
          <w:spacing w:val="-8"/>
        </w:rPr>
        <w:t> </w:t>
      </w:r>
      <w:r>
        <w:rPr>
          <w:color w:val="231F20"/>
        </w:rPr>
        <w:t>en</w:t>
      </w:r>
      <w:r>
        <w:rPr>
          <w:color w:val="231F20"/>
          <w:spacing w:val="-7"/>
        </w:rPr>
        <w:t> </w:t>
      </w:r>
      <w:r>
        <w:rPr>
          <w:color w:val="231F20"/>
        </w:rPr>
        <w:t>la</w:t>
      </w:r>
      <w:r>
        <w:rPr>
          <w:color w:val="231F20"/>
          <w:spacing w:val="-7"/>
        </w:rPr>
        <w:t> </w:t>
      </w:r>
      <w:r>
        <w:rPr>
          <w:color w:val="231F20"/>
        </w:rPr>
        <w:t>familia y entre ésta, el Estado y los Estados y la sociedad (Villegas, 2008; López, 2012), pero ahora, más en el marco de la globalización —social, cultural, económica— y de la creciente movilidad</w:t>
      </w:r>
      <w:r>
        <w:rPr>
          <w:color w:val="231F20"/>
          <w:spacing w:val="-3"/>
        </w:rPr>
        <w:t> </w:t>
      </w:r>
      <w:r>
        <w:rPr>
          <w:color w:val="231F20"/>
        </w:rPr>
        <w:t>humana.</w:t>
      </w:r>
    </w:p>
    <w:p>
      <w:pPr>
        <w:pStyle w:val="BodyText"/>
        <w:spacing w:line="247" w:lineRule="auto"/>
        <w:ind w:left="117" w:right="114" w:firstLine="283"/>
        <w:jc w:val="both"/>
      </w:pPr>
      <w:r>
        <w:rPr>
          <w:color w:val="231F20"/>
        </w:rPr>
        <w:t>Entender a la familia más allá de lo nacional, en una relación entre</w:t>
      </w:r>
      <w:r>
        <w:rPr>
          <w:color w:val="231F20"/>
          <w:spacing w:val="-27"/>
        </w:rPr>
        <w:t> </w:t>
      </w:r>
      <w:r>
        <w:rPr>
          <w:color w:val="231F20"/>
        </w:rPr>
        <w:t>paí- ses. En la globalización, prospera una división y movilidad internacional del</w:t>
      </w:r>
      <w:r>
        <w:rPr>
          <w:color w:val="231F20"/>
          <w:spacing w:val="-8"/>
        </w:rPr>
        <w:t> </w:t>
      </w:r>
      <w:r>
        <w:rPr>
          <w:color w:val="231F20"/>
        </w:rPr>
        <w:t>trabajo</w:t>
      </w:r>
      <w:r>
        <w:rPr>
          <w:color w:val="231F20"/>
          <w:spacing w:val="-8"/>
        </w:rPr>
        <w:t> </w:t>
      </w:r>
      <w:r>
        <w:rPr>
          <w:color w:val="231F20"/>
        </w:rPr>
        <w:t>y</w:t>
      </w:r>
      <w:r>
        <w:rPr>
          <w:color w:val="231F20"/>
          <w:spacing w:val="-8"/>
        </w:rPr>
        <w:t> </w:t>
      </w:r>
      <w:r>
        <w:rPr>
          <w:color w:val="231F20"/>
        </w:rPr>
        <w:t>una</w:t>
      </w:r>
      <w:r>
        <w:rPr>
          <w:color w:val="231F20"/>
          <w:spacing w:val="-8"/>
        </w:rPr>
        <w:t> </w:t>
      </w:r>
      <w:r>
        <w:rPr>
          <w:color w:val="231F20"/>
        </w:rPr>
        <w:t>nueva</w:t>
      </w:r>
      <w:r>
        <w:rPr>
          <w:color w:val="231F20"/>
          <w:spacing w:val="-8"/>
        </w:rPr>
        <w:t> </w:t>
      </w:r>
      <w:r>
        <w:rPr>
          <w:color w:val="231F20"/>
        </w:rPr>
        <w:t>realidad</w:t>
      </w:r>
      <w:r>
        <w:rPr>
          <w:color w:val="231F20"/>
          <w:spacing w:val="-8"/>
        </w:rPr>
        <w:t> </w:t>
      </w:r>
      <w:r>
        <w:rPr>
          <w:color w:val="231F20"/>
        </w:rPr>
        <w:t>de</w:t>
      </w:r>
      <w:r>
        <w:rPr>
          <w:color w:val="231F20"/>
          <w:spacing w:val="-8"/>
        </w:rPr>
        <w:t> </w:t>
      </w:r>
      <w:r>
        <w:rPr>
          <w:color w:val="231F20"/>
        </w:rPr>
        <w:t>familias</w:t>
      </w:r>
      <w:r>
        <w:rPr>
          <w:color w:val="231F20"/>
          <w:spacing w:val="-8"/>
        </w:rPr>
        <w:t> </w:t>
      </w:r>
      <w:r>
        <w:rPr>
          <w:color w:val="231F20"/>
        </w:rPr>
        <w:t>transnacionales</w:t>
      </w:r>
      <w:r>
        <w:rPr>
          <w:color w:val="231F20"/>
          <w:spacing w:val="-9"/>
        </w:rPr>
        <w:t> </w:t>
      </w:r>
      <w:r>
        <w:rPr>
          <w:color w:val="231F20"/>
        </w:rPr>
        <w:t>que</w:t>
      </w:r>
      <w:r>
        <w:rPr>
          <w:color w:val="231F20"/>
          <w:spacing w:val="-8"/>
        </w:rPr>
        <w:t> </w:t>
      </w:r>
      <w:r>
        <w:rPr>
          <w:color w:val="231F20"/>
        </w:rPr>
        <w:t>nos</w:t>
      </w:r>
      <w:r>
        <w:rPr>
          <w:color w:val="231F20"/>
          <w:spacing w:val="-8"/>
        </w:rPr>
        <w:t> </w:t>
      </w:r>
      <w:r>
        <w:rPr>
          <w:color w:val="231F20"/>
        </w:rPr>
        <w:t>obliga a repensar la familia (Arriagada y Aranda,</w:t>
      </w:r>
      <w:r>
        <w:rPr>
          <w:color w:val="231F20"/>
          <w:spacing w:val="-19"/>
        </w:rPr>
        <w:t> </w:t>
      </w:r>
      <w:r>
        <w:rPr>
          <w:color w:val="231F20"/>
        </w:rPr>
        <w:t>2004).</w:t>
      </w:r>
    </w:p>
    <w:p>
      <w:pPr>
        <w:pStyle w:val="BodyText"/>
        <w:spacing w:line="247" w:lineRule="auto"/>
        <w:ind w:left="117" w:right="114" w:firstLine="283"/>
        <w:jc w:val="both"/>
      </w:pPr>
      <w:r>
        <w:rPr>
          <w:color w:val="231F20"/>
        </w:rPr>
        <w:t>En las políticas y debates sobre migración, los impactos sociales y</w:t>
      </w:r>
      <w:r>
        <w:rPr>
          <w:color w:val="231F20"/>
          <w:spacing w:val="-24"/>
        </w:rPr>
        <w:t> </w:t>
      </w:r>
      <w:r>
        <w:rPr>
          <w:color w:val="231F20"/>
        </w:rPr>
        <w:t>más los</w:t>
      </w:r>
      <w:r>
        <w:rPr>
          <w:color w:val="231F20"/>
          <w:spacing w:val="-11"/>
        </w:rPr>
        <w:t> </w:t>
      </w:r>
      <w:r>
        <w:rPr>
          <w:color w:val="231F20"/>
        </w:rPr>
        <w:t>impactos</w:t>
      </w:r>
      <w:r>
        <w:rPr>
          <w:color w:val="231F20"/>
          <w:spacing w:val="-11"/>
        </w:rPr>
        <w:t> </w:t>
      </w:r>
      <w:r>
        <w:rPr>
          <w:color w:val="231F20"/>
        </w:rPr>
        <w:t>familiares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migración</w:t>
      </w:r>
      <w:r>
        <w:rPr>
          <w:color w:val="231F20"/>
          <w:spacing w:val="-11"/>
        </w:rPr>
        <w:t> </w:t>
      </w:r>
      <w:r>
        <w:rPr>
          <w:color w:val="231F20"/>
        </w:rPr>
        <w:t>han</w:t>
      </w:r>
      <w:r>
        <w:rPr>
          <w:color w:val="231F20"/>
          <w:spacing w:val="-11"/>
        </w:rPr>
        <w:t> </w:t>
      </w:r>
      <w:r>
        <w:rPr>
          <w:color w:val="231F20"/>
        </w:rPr>
        <w:t>recibido</w:t>
      </w:r>
      <w:r>
        <w:rPr>
          <w:color w:val="231F20"/>
          <w:spacing w:val="-11"/>
        </w:rPr>
        <w:t> </w:t>
      </w:r>
      <w:r>
        <w:rPr>
          <w:color w:val="231F20"/>
        </w:rPr>
        <w:t>una</w:t>
      </w:r>
      <w:r>
        <w:rPr>
          <w:color w:val="231F20"/>
          <w:spacing w:val="-11"/>
        </w:rPr>
        <w:t> </w:t>
      </w:r>
      <w:r>
        <w:rPr>
          <w:color w:val="231F20"/>
        </w:rPr>
        <w:t>atención</w:t>
      </w:r>
      <w:r>
        <w:rPr>
          <w:color w:val="231F20"/>
          <w:spacing w:val="-11"/>
        </w:rPr>
        <w:t> </w:t>
      </w:r>
      <w:r>
        <w:rPr>
          <w:color w:val="231F20"/>
        </w:rPr>
        <w:t>limitada; los efectos sociales positivos o negativos de la movilidad en las familias cuyos miembros están en más de un país deben ser considerados; sin em- bargo, lo que más sorprende es la poca investigación existente (Orellana </w:t>
      </w:r>
      <w:r>
        <w:rPr>
          <w:i/>
          <w:color w:val="231F20"/>
        </w:rPr>
        <w:t>et al</w:t>
      </w:r>
      <w:r>
        <w:rPr>
          <w:color w:val="231F20"/>
        </w:rPr>
        <w:t>., 2001). En los procesos familiares, la producción/reproducción se transforma, manteniendo como particularidad la dependencia de sus pro- pios recursos; se requieren acciones concretas de promoción de actitudes y prácticas hacia la inclusión concreta de los hombres —padres o no— en el ámbito doméstico, en el desempeño de las labores de casa y cuidado de lo</w:t>
      </w:r>
      <w:r>
        <w:rPr>
          <w:color w:val="231F20"/>
          <w:spacing w:val="-1"/>
        </w:rPr>
        <w:t> </w:t>
      </w:r>
      <w:r>
        <w:rPr>
          <w:color w:val="231F20"/>
        </w:rPr>
        <w:t>humano.</w:t>
      </w:r>
    </w:p>
    <w:p>
      <w:pPr>
        <w:pStyle w:val="BodyText"/>
        <w:spacing w:line="247" w:lineRule="auto"/>
        <w:ind w:left="117" w:right="114" w:firstLine="283"/>
        <w:jc w:val="both"/>
      </w:pPr>
      <w:r>
        <w:rPr>
          <w:color w:val="231F20"/>
        </w:rPr>
        <w:t>Los gobiernos e instituciones pueden generar educación para proveer  a las familias de herramientas de análisis costo/beneficio de la realidad que</w:t>
      </w:r>
      <w:r>
        <w:rPr>
          <w:color w:val="231F20"/>
          <w:spacing w:val="24"/>
        </w:rPr>
        <w:t> </w:t>
      </w:r>
      <w:r>
        <w:rPr>
          <w:color w:val="231F20"/>
        </w:rPr>
        <w:t>deberán</w:t>
      </w:r>
      <w:r>
        <w:rPr>
          <w:color w:val="231F20"/>
          <w:spacing w:val="24"/>
        </w:rPr>
        <w:t> </w:t>
      </w:r>
      <w:r>
        <w:rPr>
          <w:color w:val="231F20"/>
        </w:rPr>
        <w:t>afrontar</w:t>
      </w:r>
      <w:r>
        <w:rPr>
          <w:color w:val="231F20"/>
          <w:spacing w:val="23"/>
        </w:rPr>
        <w:t> </w:t>
      </w:r>
      <w:r>
        <w:rPr>
          <w:color w:val="231F20"/>
        </w:rPr>
        <w:t>los</w:t>
      </w:r>
      <w:r>
        <w:rPr>
          <w:color w:val="231F20"/>
          <w:spacing w:val="24"/>
        </w:rPr>
        <w:t> </w:t>
      </w:r>
      <w:r>
        <w:rPr>
          <w:color w:val="231F20"/>
        </w:rPr>
        <w:t>integrantes,</w:t>
      </w:r>
      <w:r>
        <w:rPr>
          <w:color w:val="231F20"/>
          <w:spacing w:val="23"/>
        </w:rPr>
        <w:t> </w:t>
      </w:r>
      <w:r>
        <w:rPr>
          <w:color w:val="231F20"/>
        </w:rPr>
        <w:t>especialmente</w:t>
      </w:r>
      <w:r>
        <w:rPr>
          <w:color w:val="231F20"/>
          <w:spacing w:val="23"/>
        </w:rPr>
        <w:t> </w:t>
      </w:r>
      <w:r>
        <w:rPr>
          <w:color w:val="231F20"/>
        </w:rPr>
        <w:t>de</w:t>
      </w:r>
      <w:r>
        <w:rPr>
          <w:color w:val="231F20"/>
          <w:spacing w:val="24"/>
        </w:rPr>
        <w:t> </w:t>
      </w:r>
      <w:r>
        <w:rPr>
          <w:color w:val="231F20"/>
        </w:rPr>
        <w:t>aquellos</w:t>
      </w:r>
      <w:r>
        <w:rPr>
          <w:color w:val="231F20"/>
          <w:spacing w:val="23"/>
        </w:rPr>
        <w:t> </w:t>
      </w:r>
      <w:r>
        <w:rPr>
          <w:color w:val="231F20"/>
        </w:rPr>
        <w:t>que</w:t>
      </w:r>
      <w:r>
        <w:rPr>
          <w:color w:val="231F20"/>
          <w:spacing w:val="24"/>
        </w:rPr>
        <w:t> </w:t>
      </w:r>
      <w:r>
        <w:rPr>
          <w:color w:val="231F20"/>
        </w:rPr>
        <w:t>son</w:t>
      </w:r>
    </w:p>
    <w:p>
      <w:pPr>
        <w:spacing w:after="0" w:line="247" w:lineRule="auto"/>
        <w:jc w:val="both"/>
        <w:sectPr>
          <w:pgSz w:w="9360" w:h="13040"/>
          <w:pgMar w:header="0" w:footer="496" w:top="800" w:bottom="680" w:left="1300" w:right="1300"/>
        </w:sectPr>
      </w:pPr>
    </w:p>
    <w:p>
      <w:pPr>
        <w:spacing w:before="45"/>
        <w:ind w:left="117" w:right="0" w:firstLine="2714"/>
        <w:jc w:val="left"/>
        <w:rPr>
          <w:rFonts w:ascii="Arial" w:hAnsi="Arial"/>
          <w:sz w:val="20"/>
        </w:rPr>
      </w:pPr>
      <w:r>
        <w:rPr>
          <w:rFonts w:ascii="Arial" w:hAnsi="Arial"/>
          <w:color w:val="231F20"/>
          <w:w w:val="74"/>
          <w:sz w:val="20"/>
        </w:rPr>
        <w:t>Familias</w:t>
      </w:r>
      <w:r>
        <w:rPr>
          <w:rFonts w:ascii="Arial" w:hAnsi="Arial"/>
          <w:color w:val="231F20"/>
          <w:spacing w:val="-1"/>
          <w:sz w:val="20"/>
        </w:rPr>
        <w:t> </w:t>
      </w:r>
      <w:r>
        <w:rPr>
          <w:rFonts w:ascii="Arial" w:hAnsi="Arial"/>
          <w:color w:val="231F20"/>
          <w:spacing w:val="-1"/>
          <w:w w:val="72"/>
          <w:sz w:val="20"/>
        </w:rPr>
        <w:t>transnacionale</w:t>
      </w:r>
      <w:r>
        <w:rPr>
          <w:rFonts w:ascii="Arial" w:hAnsi="Arial"/>
          <w:color w:val="231F20"/>
          <w:w w:val="72"/>
          <w:sz w:val="20"/>
        </w:rPr>
        <w:t>s</w:t>
      </w:r>
      <w:r>
        <w:rPr>
          <w:rFonts w:ascii="Arial" w:hAnsi="Arial"/>
          <w:color w:val="231F20"/>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1"/>
          <w:sz w:val="20"/>
        </w:rPr>
        <w:t>Colombia</w:t>
      </w:r>
      <w:r>
        <w:rPr>
          <w:rFonts w:ascii="Arial" w:hAnsi="Arial"/>
          <w:color w:val="231F20"/>
          <w:spacing w:val="-1"/>
          <w:sz w:val="20"/>
        </w:rPr>
        <w:t> </w:t>
      </w:r>
      <w:r>
        <w:rPr>
          <w:rFonts w:ascii="Arial" w:hAnsi="Arial"/>
          <w:color w:val="231F20"/>
          <w:spacing w:val="-1"/>
          <w:w w:val="99"/>
          <w:sz w:val="20"/>
        </w:rPr>
        <w:t>/</w:t>
      </w:r>
      <w:r>
        <w:rPr>
          <w:rFonts w:ascii="Arial" w:hAnsi="Arial"/>
          <w:color w:val="231F20"/>
          <w:w w:val="48"/>
          <w:sz w:val="20"/>
        </w:rPr>
        <w:t>Luz</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50"/>
          <w:sz w:val="20"/>
        </w:rPr>
        <w:t>López-Montaño</w:t>
      </w:r>
    </w:p>
    <w:p>
      <w:pPr>
        <w:pStyle w:val="BodyText"/>
        <w:spacing w:before="7"/>
        <w:rPr>
          <w:rFonts w:ascii="Arial"/>
          <w:sz w:val="28"/>
        </w:rPr>
      </w:pPr>
    </w:p>
    <w:p>
      <w:pPr>
        <w:pStyle w:val="BodyText"/>
        <w:spacing w:line="247" w:lineRule="auto"/>
        <w:ind w:left="117" w:right="114"/>
        <w:jc w:val="both"/>
      </w:pPr>
      <w:r>
        <w:rPr>
          <w:color w:val="231F20"/>
        </w:rPr>
        <w:t>dependientes y que requieren acompañamiento sobre todo de género y de orientación sexual, de salud, saneamiento básico, formación en valores familiares, comunitarios y sociales. Entre las demandas de nuevo conoci- miento</w:t>
      </w:r>
      <w:r>
        <w:rPr>
          <w:color w:val="231F20"/>
          <w:spacing w:val="-7"/>
        </w:rPr>
        <w:t> </w:t>
      </w:r>
      <w:r>
        <w:rPr>
          <w:color w:val="231F20"/>
        </w:rPr>
        <w:t>entendiendo</w:t>
      </w:r>
      <w:r>
        <w:rPr>
          <w:color w:val="231F20"/>
          <w:spacing w:val="-8"/>
        </w:rPr>
        <w:t> </w:t>
      </w:r>
      <w:r>
        <w:rPr>
          <w:color w:val="231F20"/>
        </w:rPr>
        <w:t>que</w:t>
      </w:r>
      <w:r>
        <w:rPr>
          <w:color w:val="231F20"/>
          <w:spacing w:val="-7"/>
        </w:rPr>
        <w:t> </w:t>
      </w:r>
      <w:r>
        <w:rPr>
          <w:color w:val="231F20"/>
        </w:rPr>
        <w:t>la</w:t>
      </w:r>
      <w:r>
        <w:rPr>
          <w:color w:val="231F20"/>
          <w:spacing w:val="-7"/>
        </w:rPr>
        <w:t> </w:t>
      </w:r>
      <w:r>
        <w:rPr>
          <w:color w:val="231F20"/>
        </w:rPr>
        <w:t>familia</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actor</w:t>
      </w:r>
      <w:r>
        <w:rPr>
          <w:color w:val="231F20"/>
          <w:spacing w:val="-7"/>
        </w:rPr>
        <w:t> </w:t>
      </w:r>
      <w:r>
        <w:rPr>
          <w:color w:val="231F20"/>
        </w:rPr>
        <w:t>político</w:t>
      </w:r>
      <w:r>
        <w:rPr>
          <w:color w:val="231F20"/>
          <w:spacing w:val="-7"/>
        </w:rPr>
        <w:t> </w:t>
      </w:r>
      <w:r>
        <w:rPr>
          <w:color w:val="231F20"/>
        </w:rPr>
        <w:t>y</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Estado</w:t>
      </w:r>
      <w:r>
        <w:rPr>
          <w:color w:val="231F20"/>
          <w:spacing w:val="-7"/>
        </w:rPr>
        <w:t> </w:t>
      </w:r>
      <w:r>
        <w:rPr>
          <w:color w:val="231F20"/>
        </w:rPr>
        <w:t>y</w:t>
      </w:r>
      <w:r>
        <w:rPr>
          <w:color w:val="231F20"/>
          <w:spacing w:val="-7"/>
        </w:rPr>
        <w:t> </w:t>
      </w:r>
      <w:r>
        <w:rPr>
          <w:color w:val="231F20"/>
        </w:rPr>
        <w:t>las instituciones</w:t>
      </w:r>
      <w:r>
        <w:rPr>
          <w:color w:val="231F20"/>
          <w:spacing w:val="-13"/>
        </w:rPr>
        <w:t> </w:t>
      </w:r>
      <w:r>
        <w:rPr>
          <w:color w:val="231F20"/>
        </w:rPr>
        <w:t>pueden</w:t>
      </w:r>
      <w:r>
        <w:rPr>
          <w:color w:val="231F20"/>
          <w:spacing w:val="-13"/>
        </w:rPr>
        <w:t> </w:t>
      </w:r>
      <w:r>
        <w:rPr>
          <w:color w:val="231F20"/>
        </w:rPr>
        <w:t>ejercer</w:t>
      </w:r>
      <w:r>
        <w:rPr>
          <w:color w:val="231F20"/>
          <w:spacing w:val="-13"/>
        </w:rPr>
        <w:t> </w:t>
      </w:r>
      <w:r>
        <w:rPr>
          <w:color w:val="231F20"/>
        </w:rPr>
        <w:t>acciones</w:t>
      </w:r>
      <w:r>
        <w:rPr>
          <w:color w:val="231F20"/>
          <w:spacing w:val="-13"/>
        </w:rPr>
        <w:t> </w:t>
      </w:r>
      <w:r>
        <w:rPr>
          <w:color w:val="231F20"/>
        </w:rPr>
        <w:t>educativas,</w:t>
      </w:r>
      <w:r>
        <w:rPr>
          <w:color w:val="231F20"/>
          <w:spacing w:val="-13"/>
        </w:rPr>
        <w:t> </w:t>
      </w:r>
      <w:r>
        <w:rPr>
          <w:color w:val="231F20"/>
        </w:rPr>
        <w:t>se</w:t>
      </w:r>
      <w:r>
        <w:rPr>
          <w:color w:val="231F20"/>
          <w:spacing w:val="-13"/>
        </w:rPr>
        <w:t> </w:t>
      </w:r>
      <w:r>
        <w:rPr>
          <w:color w:val="231F20"/>
        </w:rPr>
        <w:t>requiere</w:t>
      </w:r>
      <w:r>
        <w:rPr>
          <w:color w:val="231F20"/>
          <w:spacing w:val="-13"/>
        </w:rPr>
        <w:t> </w:t>
      </w:r>
      <w:r>
        <w:rPr>
          <w:color w:val="231F20"/>
        </w:rPr>
        <w:t>de</w:t>
      </w:r>
      <w:r>
        <w:rPr>
          <w:color w:val="231F20"/>
          <w:spacing w:val="-13"/>
        </w:rPr>
        <w:t> </w:t>
      </w:r>
      <w:r>
        <w:rPr>
          <w:color w:val="231F20"/>
        </w:rPr>
        <w:t>reflexiones y acciones acerca de posibles problemáticas —abandono, embarazo, rela- ciones paralelas, separación, uniones sucesivas, desacuerdos— asociadas al cumplimiento de las obligaciones con los hijos e hijas</w:t>
      </w:r>
      <w:r>
        <w:rPr>
          <w:color w:val="231F20"/>
          <w:spacing w:val="-4"/>
        </w:rPr>
        <w:t> </w:t>
      </w:r>
      <w:r>
        <w:rPr>
          <w:color w:val="231F20"/>
        </w:rPr>
        <w:t>dependientes.</w:t>
      </w:r>
    </w:p>
    <w:p>
      <w:pPr>
        <w:spacing w:before="149"/>
        <w:ind w:left="117" w:right="0" w:firstLine="0"/>
        <w:jc w:val="both"/>
        <w:rPr>
          <w:i/>
          <w:sz w:val="22"/>
        </w:rPr>
      </w:pPr>
      <w:r>
        <w:rPr>
          <w:i/>
          <w:color w:val="231F20"/>
          <w:sz w:val="22"/>
        </w:rPr>
        <w:t>¿Política familiar migratoria? ¿Cuál sería la política pública por seguir?</w:t>
      </w:r>
    </w:p>
    <w:p>
      <w:pPr>
        <w:pStyle w:val="BodyText"/>
        <w:spacing w:line="247" w:lineRule="auto" w:before="177"/>
        <w:ind w:left="117" w:right="114"/>
        <w:jc w:val="both"/>
      </w:pPr>
      <w:r>
        <w:rPr>
          <w:color w:val="231F20"/>
        </w:rPr>
        <w:t>Creo</w:t>
      </w:r>
      <w:r>
        <w:rPr>
          <w:color w:val="231F20"/>
          <w:spacing w:val="-8"/>
        </w:rPr>
        <w:t> </w:t>
      </w:r>
      <w:r>
        <w:rPr>
          <w:color w:val="231F20"/>
        </w:rPr>
        <w:t>en</w:t>
      </w:r>
      <w:r>
        <w:rPr>
          <w:color w:val="231F20"/>
          <w:spacing w:val="-8"/>
        </w:rPr>
        <w:t> </w:t>
      </w:r>
      <w:r>
        <w:rPr>
          <w:color w:val="231F20"/>
        </w:rPr>
        <w:t>una</w:t>
      </w:r>
      <w:r>
        <w:rPr>
          <w:color w:val="231F20"/>
          <w:spacing w:val="-8"/>
        </w:rPr>
        <w:t> </w:t>
      </w:r>
      <w:r>
        <w:rPr>
          <w:color w:val="231F20"/>
        </w:rPr>
        <w:t>política</w:t>
      </w:r>
      <w:r>
        <w:rPr>
          <w:color w:val="231F20"/>
          <w:spacing w:val="-8"/>
        </w:rPr>
        <w:t> </w:t>
      </w:r>
      <w:r>
        <w:rPr>
          <w:color w:val="231F20"/>
        </w:rPr>
        <w:t>que</w:t>
      </w:r>
      <w:r>
        <w:rPr>
          <w:color w:val="231F20"/>
          <w:spacing w:val="-8"/>
        </w:rPr>
        <w:t> </w:t>
      </w:r>
      <w:r>
        <w:rPr>
          <w:color w:val="231F20"/>
        </w:rPr>
        <w:t>tenga</w:t>
      </w:r>
      <w:r>
        <w:rPr>
          <w:color w:val="231F20"/>
          <w:spacing w:val="-8"/>
        </w:rPr>
        <w:t> </w:t>
      </w:r>
      <w:r>
        <w:rPr>
          <w:color w:val="231F20"/>
        </w:rPr>
        <w:t>en</w:t>
      </w:r>
      <w:r>
        <w:rPr>
          <w:color w:val="231F20"/>
          <w:spacing w:val="-8"/>
        </w:rPr>
        <w:t> </w:t>
      </w:r>
      <w:r>
        <w:rPr>
          <w:color w:val="231F20"/>
        </w:rPr>
        <w:t>cuenta</w:t>
      </w:r>
      <w:r>
        <w:rPr>
          <w:color w:val="231F20"/>
          <w:spacing w:val="-8"/>
        </w:rPr>
        <w:t> </w:t>
      </w:r>
      <w:r>
        <w:rPr>
          <w:color w:val="231F20"/>
        </w:rPr>
        <w:t>el</w:t>
      </w:r>
      <w:r>
        <w:rPr>
          <w:color w:val="231F20"/>
          <w:spacing w:val="-8"/>
        </w:rPr>
        <w:t> </w:t>
      </w:r>
      <w:r>
        <w:rPr>
          <w:color w:val="231F20"/>
        </w:rPr>
        <w:t>curso</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ciclo</w:t>
      </w:r>
      <w:r>
        <w:rPr>
          <w:color w:val="231F20"/>
          <w:spacing w:val="-8"/>
        </w:rPr>
        <w:t> </w:t>
      </w:r>
      <w:r>
        <w:rPr>
          <w:color w:val="231F20"/>
        </w:rPr>
        <w:t>de</w:t>
      </w:r>
      <w:r>
        <w:rPr>
          <w:color w:val="231F20"/>
          <w:spacing w:val="-8"/>
        </w:rPr>
        <w:t> </w:t>
      </w:r>
      <w:r>
        <w:rPr>
          <w:color w:val="231F20"/>
        </w:rPr>
        <w:t>vida</w:t>
      </w:r>
      <w:r>
        <w:rPr>
          <w:color w:val="231F20"/>
          <w:spacing w:val="-8"/>
        </w:rPr>
        <w:t> </w:t>
      </w:r>
      <w:r>
        <w:rPr>
          <w:color w:val="231F20"/>
        </w:rPr>
        <w:t>familiar e individual, en las ofertas laborales cualificadas en el propio territorio,</w:t>
      </w:r>
      <w:r>
        <w:rPr>
          <w:color w:val="231F20"/>
          <w:spacing w:val="-11"/>
        </w:rPr>
        <w:t> </w:t>
      </w:r>
      <w:r>
        <w:rPr>
          <w:color w:val="231F20"/>
        </w:rPr>
        <w:t>en la necesidad de asumir de manera decidida políticas y programas que den relevancia,</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parte,</w:t>
      </w:r>
      <w:r>
        <w:rPr>
          <w:color w:val="231F20"/>
          <w:spacing w:val="-8"/>
        </w:rPr>
        <w:t> </w:t>
      </w:r>
      <w:r>
        <w:rPr>
          <w:color w:val="231F20"/>
        </w:rPr>
        <w:t>al</w:t>
      </w:r>
      <w:r>
        <w:rPr>
          <w:color w:val="231F20"/>
          <w:spacing w:val="-8"/>
        </w:rPr>
        <w:t> </w:t>
      </w:r>
      <w:r>
        <w:rPr>
          <w:color w:val="231F20"/>
        </w:rPr>
        <w:t>derecho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existencia</w:t>
      </w:r>
      <w:r>
        <w:rPr>
          <w:color w:val="231F20"/>
          <w:spacing w:val="-8"/>
        </w:rPr>
        <w:t> </w:t>
      </w:r>
      <w:r>
        <w:rPr>
          <w:color w:val="231F20"/>
        </w:rPr>
        <w:t>y</w:t>
      </w:r>
      <w:r>
        <w:rPr>
          <w:color w:val="231F20"/>
          <w:spacing w:val="-8"/>
        </w:rPr>
        <w:t> </w:t>
      </w:r>
      <w:r>
        <w:rPr>
          <w:color w:val="231F20"/>
        </w:rPr>
        <w:t>al</w:t>
      </w:r>
      <w:r>
        <w:rPr>
          <w:color w:val="231F20"/>
          <w:spacing w:val="-8"/>
        </w:rPr>
        <w:t> </w:t>
      </w:r>
      <w:r>
        <w:rPr>
          <w:color w:val="231F20"/>
        </w:rPr>
        <w:t>desarrollo</w:t>
      </w:r>
      <w:r>
        <w:rPr>
          <w:color w:val="231F20"/>
          <w:spacing w:val="-8"/>
        </w:rPr>
        <w:t> </w:t>
      </w:r>
      <w:r>
        <w:rPr>
          <w:color w:val="231F20"/>
        </w:rPr>
        <w:t>de</w:t>
      </w:r>
      <w:r>
        <w:rPr>
          <w:color w:val="231F20"/>
          <w:spacing w:val="-8"/>
        </w:rPr>
        <w:t> </w:t>
      </w:r>
      <w:r>
        <w:rPr>
          <w:color w:val="231F20"/>
        </w:rPr>
        <w:t>padres y madres con los demás integrantes de la familia en su territorio de origen </w:t>
      </w:r>
      <w:r>
        <w:rPr>
          <w:color w:val="231F20"/>
          <w:spacing w:val="-8"/>
        </w:rPr>
        <w:t>y, </w:t>
      </w:r>
      <w:r>
        <w:rPr>
          <w:color w:val="231F20"/>
        </w:rPr>
        <w:t>de la otra, a incentivar la permanencia en su territorio de origen (López, 2009).</w:t>
      </w:r>
    </w:p>
    <w:p>
      <w:pPr>
        <w:pStyle w:val="BodyText"/>
        <w:spacing w:line="247" w:lineRule="auto"/>
        <w:ind w:left="117" w:right="114" w:firstLine="283"/>
        <w:jc w:val="both"/>
      </w:pPr>
      <w:r>
        <w:rPr>
          <w:color w:val="231F20"/>
        </w:rPr>
        <w:t>Una</w:t>
      </w:r>
      <w:r>
        <w:rPr>
          <w:color w:val="231F20"/>
          <w:spacing w:val="-5"/>
        </w:rPr>
        <w:t> </w:t>
      </w:r>
      <w:r>
        <w:rPr>
          <w:color w:val="231F20"/>
        </w:rPr>
        <w:t>política</w:t>
      </w:r>
      <w:r>
        <w:rPr>
          <w:color w:val="231F20"/>
          <w:spacing w:val="-5"/>
        </w:rPr>
        <w:t> </w:t>
      </w:r>
      <w:r>
        <w:rPr>
          <w:color w:val="231F20"/>
        </w:rPr>
        <w:t>pública</w:t>
      </w:r>
      <w:r>
        <w:rPr>
          <w:color w:val="231F20"/>
          <w:spacing w:val="-6"/>
        </w:rPr>
        <w:t> </w:t>
      </w:r>
      <w:r>
        <w:rPr>
          <w:color w:val="231F20"/>
        </w:rPr>
        <w:t>con</w:t>
      </w:r>
      <w:r>
        <w:rPr>
          <w:color w:val="231F20"/>
          <w:spacing w:val="-6"/>
        </w:rPr>
        <w:t> </w:t>
      </w:r>
      <w:r>
        <w:rPr>
          <w:color w:val="231F20"/>
        </w:rPr>
        <w:t>participación</w:t>
      </w:r>
      <w:r>
        <w:rPr>
          <w:color w:val="231F20"/>
          <w:spacing w:val="-6"/>
        </w:rPr>
        <w:t> </w:t>
      </w:r>
      <w:r>
        <w:rPr>
          <w:color w:val="231F20"/>
        </w:rPr>
        <w:t>y</w:t>
      </w:r>
      <w:r>
        <w:rPr>
          <w:color w:val="231F20"/>
          <w:spacing w:val="-5"/>
        </w:rPr>
        <w:t> </w:t>
      </w:r>
      <w:r>
        <w:rPr>
          <w:color w:val="231F20"/>
        </w:rPr>
        <w:t>responsabilidad</w:t>
      </w:r>
      <w:r>
        <w:rPr>
          <w:color w:val="231F20"/>
          <w:spacing w:val="-5"/>
        </w:rPr>
        <w:t> </w:t>
      </w:r>
      <w:r>
        <w:rPr>
          <w:color w:val="231F20"/>
        </w:rPr>
        <w:t>compartida</w:t>
      </w:r>
      <w:r>
        <w:rPr>
          <w:color w:val="231F20"/>
          <w:spacing w:val="-6"/>
        </w:rPr>
        <w:t> </w:t>
      </w:r>
      <w:r>
        <w:rPr>
          <w:color w:val="231F20"/>
        </w:rPr>
        <w:t>de los gobiernos de origen y destino de migrantes y su familia, considerando que en la migración se recomponen las estructuras familiares, las relacio- nes familiares, los procesos familiares, el cuidado de personas dependien- tes, la residencia; se deben tener en cuenta asuntos como la seguridad del sujeto migrante laboral y de su familia, la reagrupación familiar, seguros de salud, educación, vivienda, prevención y promoción en</w:t>
      </w:r>
      <w:r>
        <w:rPr>
          <w:color w:val="231F20"/>
          <w:spacing w:val="-13"/>
        </w:rPr>
        <w:t> </w:t>
      </w:r>
      <w:r>
        <w:rPr>
          <w:color w:val="231F20"/>
        </w:rPr>
        <w:t>salud.</w:t>
      </w:r>
    </w:p>
    <w:p>
      <w:pPr>
        <w:spacing w:line="240" w:lineRule="exact" w:before="163"/>
        <w:ind w:left="117" w:right="117" w:firstLine="0"/>
        <w:jc w:val="left"/>
        <w:rPr>
          <w:i/>
          <w:sz w:val="22"/>
        </w:rPr>
      </w:pPr>
      <w:r>
        <w:rPr>
          <w:i/>
          <w:color w:val="231F20"/>
          <w:sz w:val="22"/>
        </w:rPr>
        <w:t>Desde la investigación. Trayectorias de familia y migración internacio- </w:t>
      </w:r>
      <w:r>
        <w:rPr>
          <w:i/>
          <w:color w:val="231F20"/>
          <w:sz w:val="22"/>
        </w:rPr>
        <w:t>nal: diagnóstico y propuestas</w:t>
      </w:r>
    </w:p>
    <w:p>
      <w:pPr>
        <w:pStyle w:val="BodyText"/>
        <w:spacing w:before="176"/>
        <w:ind w:left="400" w:right="117"/>
      </w:pPr>
      <w:r>
        <w:rPr>
          <w:color w:val="231F20"/>
        </w:rPr>
        <w:t>Se plantean tres líneas generales:</w:t>
      </w:r>
    </w:p>
    <w:p>
      <w:pPr>
        <w:pStyle w:val="ListParagraph"/>
        <w:numPr>
          <w:ilvl w:val="0"/>
          <w:numId w:val="1"/>
        </w:numPr>
        <w:tabs>
          <w:tab w:pos="478" w:val="left" w:leader="none"/>
        </w:tabs>
        <w:spacing w:line="247" w:lineRule="auto" w:before="177" w:after="0"/>
        <w:ind w:left="477" w:right="114" w:hanging="360"/>
        <w:jc w:val="both"/>
        <w:rPr>
          <w:color w:val="231F20"/>
          <w:sz w:val="22"/>
        </w:rPr>
      </w:pPr>
      <w:r>
        <w:rPr>
          <w:color w:val="231F20"/>
          <w:sz w:val="22"/>
        </w:rPr>
        <w:t>Formación de equipajes culturales, emocionales, políticos y legales</w:t>
      </w:r>
      <w:r>
        <w:rPr>
          <w:color w:val="231F20"/>
          <w:spacing w:val="-36"/>
          <w:sz w:val="22"/>
        </w:rPr>
        <w:t> </w:t>
      </w:r>
      <w:r>
        <w:rPr>
          <w:color w:val="231F20"/>
          <w:sz w:val="22"/>
        </w:rPr>
        <w:t>en las familias, la infancia y adolescencia que experimentan situaciones de migración de padres y/o madres al exterior, a través de: i)</w:t>
      </w:r>
      <w:r>
        <w:rPr>
          <w:color w:val="231F20"/>
          <w:spacing w:val="-33"/>
          <w:sz w:val="22"/>
        </w:rPr>
        <w:t> </w:t>
      </w:r>
      <w:r>
        <w:rPr>
          <w:color w:val="231F20"/>
          <w:sz w:val="22"/>
        </w:rPr>
        <w:t>sensibili- zación</w:t>
      </w:r>
      <w:r>
        <w:rPr>
          <w:color w:val="231F20"/>
          <w:spacing w:val="-6"/>
          <w:sz w:val="22"/>
        </w:rPr>
        <w:t> </w:t>
      </w:r>
      <w:r>
        <w:rPr>
          <w:color w:val="231F20"/>
          <w:sz w:val="22"/>
        </w:rPr>
        <w:t>y</w:t>
      </w:r>
      <w:r>
        <w:rPr>
          <w:color w:val="231F20"/>
          <w:spacing w:val="-6"/>
          <w:sz w:val="22"/>
        </w:rPr>
        <w:t> </w:t>
      </w:r>
      <w:r>
        <w:rPr>
          <w:color w:val="231F20"/>
          <w:sz w:val="22"/>
        </w:rPr>
        <w:t>formación</w:t>
      </w:r>
      <w:r>
        <w:rPr>
          <w:color w:val="231F20"/>
          <w:spacing w:val="-6"/>
          <w:sz w:val="22"/>
        </w:rPr>
        <w:t> </w:t>
      </w:r>
      <w:r>
        <w:rPr>
          <w:color w:val="231F20"/>
          <w:sz w:val="22"/>
        </w:rPr>
        <w:t>frente</w:t>
      </w:r>
      <w:r>
        <w:rPr>
          <w:color w:val="231F20"/>
          <w:spacing w:val="-6"/>
          <w:sz w:val="22"/>
        </w:rPr>
        <w:t> </w:t>
      </w:r>
      <w:r>
        <w:rPr>
          <w:color w:val="231F20"/>
          <w:sz w:val="22"/>
        </w:rPr>
        <w:t>a</w:t>
      </w:r>
      <w:r>
        <w:rPr>
          <w:color w:val="231F20"/>
          <w:spacing w:val="-6"/>
          <w:sz w:val="22"/>
        </w:rPr>
        <w:t> </w:t>
      </w:r>
      <w:r>
        <w:rPr>
          <w:color w:val="231F20"/>
          <w:sz w:val="22"/>
        </w:rPr>
        <w:t>la</w:t>
      </w:r>
      <w:r>
        <w:rPr>
          <w:color w:val="231F20"/>
          <w:spacing w:val="-6"/>
          <w:sz w:val="22"/>
        </w:rPr>
        <w:t> </w:t>
      </w:r>
      <w:r>
        <w:rPr>
          <w:color w:val="231F20"/>
          <w:sz w:val="22"/>
        </w:rPr>
        <w:t>migración</w:t>
      </w:r>
      <w:r>
        <w:rPr>
          <w:color w:val="231F20"/>
          <w:spacing w:val="-6"/>
          <w:sz w:val="22"/>
        </w:rPr>
        <w:t> </w:t>
      </w:r>
      <w:r>
        <w:rPr>
          <w:color w:val="231F20"/>
          <w:sz w:val="22"/>
        </w:rPr>
        <w:t>paterna</w:t>
      </w:r>
      <w:r>
        <w:rPr>
          <w:color w:val="231F20"/>
          <w:spacing w:val="-6"/>
          <w:sz w:val="22"/>
        </w:rPr>
        <w:t> </w:t>
      </w:r>
      <w:r>
        <w:rPr>
          <w:color w:val="231F20"/>
          <w:sz w:val="22"/>
        </w:rPr>
        <w:t>y</w:t>
      </w:r>
      <w:r>
        <w:rPr>
          <w:color w:val="231F20"/>
          <w:spacing w:val="-6"/>
          <w:sz w:val="22"/>
        </w:rPr>
        <w:t> </w:t>
      </w:r>
      <w:r>
        <w:rPr>
          <w:color w:val="231F20"/>
          <w:sz w:val="22"/>
        </w:rPr>
        <w:t>materna,</w:t>
      </w:r>
      <w:r>
        <w:rPr>
          <w:color w:val="231F20"/>
          <w:spacing w:val="-6"/>
          <w:sz w:val="22"/>
        </w:rPr>
        <w:t> </w:t>
      </w:r>
      <w:r>
        <w:rPr>
          <w:color w:val="231F20"/>
          <w:sz w:val="22"/>
        </w:rPr>
        <w:t>por</w:t>
      </w:r>
      <w:r>
        <w:rPr>
          <w:color w:val="231F20"/>
          <w:spacing w:val="-6"/>
          <w:sz w:val="22"/>
        </w:rPr>
        <w:t> </w:t>
      </w:r>
      <w:r>
        <w:rPr>
          <w:color w:val="231F20"/>
          <w:sz w:val="22"/>
        </w:rPr>
        <w:t>medio de alianzas interinstitucional e intersectorial y construcción de redes de información, ii) construcción de narrativas familiares de infancia y adolescencia frente a la migración internacional y iii) resignificación  y formalización de las responsabilidades legales parentales, frente al cuidado de niños/as y jóvenes a partir de la migración de padres y/o madres.</w:t>
      </w:r>
    </w:p>
    <w:p>
      <w:pPr>
        <w:spacing w:after="0" w:line="247" w:lineRule="auto"/>
        <w:jc w:val="both"/>
        <w:rPr>
          <w:sz w:val="22"/>
        </w:rPr>
        <w:sectPr>
          <w:pgSz w:w="9360" w:h="13040"/>
          <w:pgMar w:header="0" w:footer="496" w:top="740" w:bottom="680" w:left="1300" w:right="1300"/>
        </w:sectPr>
      </w:pPr>
    </w:p>
    <w:p>
      <w:pPr>
        <w:tabs>
          <w:tab w:pos="5536" w:val="left" w:leader="none"/>
        </w:tabs>
        <w:spacing w:before="48"/>
        <w:ind w:left="140" w:right="0" w:firstLine="0"/>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ListParagraph"/>
        <w:numPr>
          <w:ilvl w:val="0"/>
          <w:numId w:val="1"/>
        </w:numPr>
        <w:tabs>
          <w:tab w:pos="478" w:val="left" w:leader="none"/>
        </w:tabs>
        <w:spacing w:line="247" w:lineRule="auto" w:before="0" w:after="0"/>
        <w:ind w:left="477" w:right="115" w:hanging="360"/>
        <w:jc w:val="both"/>
        <w:rPr>
          <w:color w:val="231F20"/>
          <w:sz w:val="22"/>
        </w:rPr>
      </w:pPr>
      <w:r>
        <w:rPr>
          <w:color w:val="231F20"/>
          <w:sz w:val="22"/>
        </w:rPr>
        <w:t>Construcción de discursos y prácticas sociales en torno a las</w:t>
      </w:r>
      <w:r>
        <w:rPr>
          <w:color w:val="231F20"/>
          <w:spacing w:val="-26"/>
          <w:sz w:val="22"/>
        </w:rPr>
        <w:t> </w:t>
      </w:r>
      <w:r>
        <w:rPr>
          <w:color w:val="231F20"/>
          <w:sz w:val="22"/>
        </w:rPr>
        <w:t>oportuni- dades</w:t>
      </w:r>
      <w:r>
        <w:rPr>
          <w:color w:val="231F20"/>
          <w:spacing w:val="-9"/>
          <w:sz w:val="22"/>
        </w:rPr>
        <w:t> </w:t>
      </w:r>
      <w:r>
        <w:rPr>
          <w:color w:val="231F20"/>
          <w:sz w:val="22"/>
        </w:rPr>
        <w:t>y</w:t>
      </w:r>
      <w:r>
        <w:rPr>
          <w:color w:val="231F20"/>
          <w:spacing w:val="-9"/>
          <w:sz w:val="22"/>
        </w:rPr>
        <w:t> </w:t>
      </w:r>
      <w:r>
        <w:rPr>
          <w:color w:val="231F20"/>
          <w:sz w:val="22"/>
        </w:rPr>
        <w:t>riesgos</w:t>
      </w:r>
      <w:r>
        <w:rPr>
          <w:color w:val="231F20"/>
          <w:spacing w:val="-9"/>
          <w:sz w:val="22"/>
        </w:rPr>
        <w:t> </w:t>
      </w:r>
      <w:r>
        <w:rPr>
          <w:color w:val="231F20"/>
          <w:sz w:val="22"/>
        </w:rPr>
        <w:t>que</w:t>
      </w:r>
      <w:r>
        <w:rPr>
          <w:color w:val="231F20"/>
          <w:spacing w:val="-9"/>
          <w:sz w:val="22"/>
        </w:rPr>
        <w:t> </w:t>
      </w:r>
      <w:r>
        <w:rPr>
          <w:color w:val="231F20"/>
          <w:sz w:val="22"/>
        </w:rPr>
        <w:t>produce</w:t>
      </w:r>
      <w:r>
        <w:rPr>
          <w:color w:val="231F20"/>
          <w:spacing w:val="-9"/>
          <w:sz w:val="22"/>
        </w:rPr>
        <w:t> </w:t>
      </w:r>
      <w:r>
        <w:rPr>
          <w:color w:val="231F20"/>
          <w:sz w:val="22"/>
        </w:rPr>
        <w:t>la</w:t>
      </w:r>
      <w:r>
        <w:rPr>
          <w:color w:val="231F20"/>
          <w:spacing w:val="-9"/>
          <w:sz w:val="22"/>
        </w:rPr>
        <w:t> </w:t>
      </w:r>
      <w:r>
        <w:rPr>
          <w:color w:val="231F20"/>
          <w:sz w:val="22"/>
        </w:rPr>
        <w:t>migración</w:t>
      </w:r>
      <w:r>
        <w:rPr>
          <w:color w:val="231F20"/>
          <w:spacing w:val="-11"/>
          <w:sz w:val="22"/>
        </w:rPr>
        <w:t> </w:t>
      </w:r>
      <w:r>
        <w:rPr>
          <w:color w:val="231F20"/>
          <w:sz w:val="22"/>
        </w:rPr>
        <w:t>de</w:t>
      </w:r>
      <w:r>
        <w:rPr>
          <w:color w:val="231F20"/>
          <w:spacing w:val="-9"/>
          <w:sz w:val="22"/>
        </w:rPr>
        <w:t> </w:t>
      </w:r>
      <w:r>
        <w:rPr>
          <w:color w:val="231F20"/>
          <w:sz w:val="22"/>
        </w:rPr>
        <w:t>padres</w:t>
      </w:r>
      <w:r>
        <w:rPr>
          <w:color w:val="231F20"/>
          <w:spacing w:val="-9"/>
          <w:sz w:val="22"/>
        </w:rPr>
        <w:t> </w:t>
      </w:r>
      <w:r>
        <w:rPr>
          <w:color w:val="231F20"/>
          <w:sz w:val="22"/>
        </w:rPr>
        <w:t>y/o</w:t>
      </w:r>
      <w:r>
        <w:rPr>
          <w:color w:val="231F20"/>
          <w:spacing w:val="-9"/>
          <w:sz w:val="22"/>
        </w:rPr>
        <w:t> </w:t>
      </w:r>
      <w:r>
        <w:rPr>
          <w:color w:val="231F20"/>
          <w:sz w:val="22"/>
        </w:rPr>
        <w:t>madres</w:t>
      </w:r>
      <w:r>
        <w:rPr>
          <w:color w:val="231F20"/>
          <w:spacing w:val="-9"/>
          <w:sz w:val="22"/>
        </w:rPr>
        <w:t> </w:t>
      </w:r>
      <w:r>
        <w:rPr>
          <w:color w:val="231F20"/>
          <w:sz w:val="22"/>
        </w:rPr>
        <w:t>al</w:t>
      </w:r>
      <w:r>
        <w:rPr>
          <w:color w:val="231F20"/>
          <w:spacing w:val="-9"/>
          <w:sz w:val="22"/>
        </w:rPr>
        <w:t> </w:t>
      </w:r>
      <w:r>
        <w:rPr>
          <w:color w:val="231F20"/>
          <w:sz w:val="22"/>
        </w:rPr>
        <w:t>exte- rior</w:t>
      </w:r>
      <w:r>
        <w:rPr>
          <w:color w:val="231F20"/>
          <w:spacing w:val="-11"/>
          <w:sz w:val="22"/>
        </w:rPr>
        <w:t> </w:t>
      </w:r>
      <w:r>
        <w:rPr>
          <w:color w:val="231F20"/>
          <w:sz w:val="22"/>
        </w:rPr>
        <w:t>sobre</w:t>
      </w:r>
      <w:r>
        <w:rPr>
          <w:color w:val="231F20"/>
          <w:spacing w:val="-11"/>
          <w:sz w:val="22"/>
        </w:rPr>
        <w:t> </w:t>
      </w:r>
      <w:r>
        <w:rPr>
          <w:color w:val="231F20"/>
          <w:sz w:val="22"/>
        </w:rPr>
        <w:t>las</w:t>
      </w:r>
      <w:r>
        <w:rPr>
          <w:color w:val="231F20"/>
          <w:spacing w:val="-11"/>
          <w:sz w:val="22"/>
        </w:rPr>
        <w:t> </w:t>
      </w:r>
      <w:r>
        <w:rPr>
          <w:color w:val="231F20"/>
          <w:sz w:val="22"/>
        </w:rPr>
        <w:t>familias,</w:t>
      </w:r>
      <w:r>
        <w:rPr>
          <w:color w:val="231F20"/>
          <w:spacing w:val="-11"/>
          <w:sz w:val="22"/>
        </w:rPr>
        <w:t> </w:t>
      </w:r>
      <w:r>
        <w:rPr>
          <w:color w:val="231F20"/>
          <w:sz w:val="22"/>
        </w:rPr>
        <w:t>la</w:t>
      </w:r>
      <w:r>
        <w:rPr>
          <w:color w:val="231F20"/>
          <w:spacing w:val="-11"/>
          <w:sz w:val="22"/>
        </w:rPr>
        <w:t> </w:t>
      </w:r>
      <w:r>
        <w:rPr>
          <w:color w:val="231F20"/>
          <w:sz w:val="22"/>
        </w:rPr>
        <w:t>infancia</w:t>
      </w:r>
      <w:r>
        <w:rPr>
          <w:color w:val="231F20"/>
          <w:spacing w:val="-12"/>
          <w:sz w:val="22"/>
        </w:rPr>
        <w:t> </w:t>
      </w:r>
      <w:r>
        <w:rPr>
          <w:color w:val="231F20"/>
          <w:sz w:val="22"/>
        </w:rPr>
        <w:t>y</w:t>
      </w:r>
      <w:r>
        <w:rPr>
          <w:color w:val="231F20"/>
          <w:spacing w:val="-11"/>
          <w:sz w:val="22"/>
        </w:rPr>
        <w:t> </w:t>
      </w:r>
      <w:r>
        <w:rPr>
          <w:color w:val="231F20"/>
          <w:sz w:val="22"/>
        </w:rPr>
        <w:t>la</w:t>
      </w:r>
      <w:r>
        <w:rPr>
          <w:color w:val="231F20"/>
          <w:spacing w:val="-11"/>
          <w:sz w:val="22"/>
        </w:rPr>
        <w:t> </w:t>
      </w:r>
      <w:r>
        <w:rPr>
          <w:color w:val="231F20"/>
          <w:sz w:val="22"/>
        </w:rPr>
        <w:t>adolescencia,</w:t>
      </w:r>
      <w:r>
        <w:rPr>
          <w:color w:val="231F20"/>
          <w:spacing w:val="-12"/>
          <w:sz w:val="22"/>
        </w:rPr>
        <w:t> </w:t>
      </w:r>
      <w:r>
        <w:rPr>
          <w:color w:val="231F20"/>
          <w:sz w:val="22"/>
        </w:rPr>
        <w:t>mediante</w:t>
      </w:r>
      <w:r>
        <w:rPr>
          <w:color w:val="231F20"/>
          <w:spacing w:val="-11"/>
          <w:sz w:val="22"/>
        </w:rPr>
        <w:t> </w:t>
      </w:r>
      <w:r>
        <w:rPr>
          <w:color w:val="231F20"/>
          <w:sz w:val="22"/>
        </w:rPr>
        <w:t>opciones como: i) compartir y difundir nuevos discursos y prácticas en torno a las oportunidades y riesgos, y ii) confrontar los discursos</w:t>
      </w:r>
      <w:r>
        <w:rPr>
          <w:color w:val="231F20"/>
          <w:spacing w:val="-19"/>
          <w:sz w:val="22"/>
        </w:rPr>
        <w:t> </w:t>
      </w:r>
      <w:r>
        <w:rPr>
          <w:color w:val="231F20"/>
          <w:sz w:val="22"/>
        </w:rPr>
        <w:t>instituciona- les y familiares, sobre la migración de padres y</w:t>
      </w:r>
      <w:r>
        <w:rPr>
          <w:color w:val="231F20"/>
          <w:spacing w:val="-6"/>
          <w:sz w:val="22"/>
        </w:rPr>
        <w:t> </w:t>
      </w:r>
      <w:r>
        <w:rPr>
          <w:color w:val="231F20"/>
          <w:sz w:val="22"/>
        </w:rPr>
        <w:t>madres.</w:t>
      </w:r>
    </w:p>
    <w:p>
      <w:pPr>
        <w:pStyle w:val="ListParagraph"/>
        <w:numPr>
          <w:ilvl w:val="0"/>
          <w:numId w:val="1"/>
        </w:numPr>
        <w:tabs>
          <w:tab w:pos="478" w:val="left" w:leader="none"/>
        </w:tabs>
        <w:spacing w:line="247" w:lineRule="auto" w:before="0" w:after="0"/>
        <w:ind w:left="477" w:right="114" w:hanging="360"/>
        <w:jc w:val="both"/>
        <w:rPr>
          <w:color w:val="231F20"/>
          <w:sz w:val="22"/>
        </w:rPr>
      </w:pPr>
      <w:r>
        <w:rPr>
          <w:color w:val="231F20"/>
          <w:sz w:val="22"/>
        </w:rPr>
        <w:t>Fortalecimiento</w:t>
      </w:r>
      <w:r>
        <w:rPr>
          <w:color w:val="231F20"/>
          <w:spacing w:val="-6"/>
          <w:sz w:val="22"/>
        </w:rPr>
        <w:t> </w:t>
      </w:r>
      <w:r>
        <w:rPr>
          <w:color w:val="231F20"/>
          <w:sz w:val="22"/>
        </w:rPr>
        <w:t>de</w:t>
      </w:r>
      <w:r>
        <w:rPr>
          <w:color w:val="231F20"/>
          <w:spacing w:val="-7"/>
          <w:sz w:val="22"/>
        </w:rPr>
        <w:t> </w:t>
      </w:r>
      <w:r>
        <w:rPr>
          <w:color w:val="231F20"/>
          <w:sz w:val="22"/>
        </w:rPr>
        <w:t>la</w:t>
      </w:r>
      <w:r>
        <w:rPr>
          <w:color w:val="231F20"/>
          <w:spacing w:val="-7"/>
          <w:sz w:val="22"/>
        </w:rPr>
        <w:t> </w:t>
      </w:r>
      <w:r>
        <w:rPr>
          <w:color w:val="231F20"/>
          <w:sz w:val="22"/>
        </w:rPr>
        <w:t>densidad</w:t>
      </w:r>
      <w:r>
        <w:rPr>
          <w:color w:val="231F20"/>
          <w:spacing w:val="-7"/>
          <w:sz w:val="22"/>
        </w:rPr>
        <w:t> </w:t>
      </w:r>
      <w:r>
        <w:rPr>
          <w:color w:val="231F20"/>
          <w:sz w:val="22"/>
        </w:rPr>
        <w:t>institucional</w:t>
      </w:r>
      <w:r>
        <w:rPr>
          <w:color w:val="231F20"/>
          <w:spacing w:val="-8"/>
          <w:sz w:val="22"/>
        </w:rPr>
        <w:t> </w:t>
      </w:r>
      <w:r>
        <w:rPr>
          <w:color w:val="231F20"/>
          <w:sz w:val="22"/>
        </w:rPr>
        <w:t>y</w:t>
      </w:r>
      <w:r>
        <w:rPr>
          <w:color w:val="231F20"/>
          <w:spacing w:val="-7"/>
          <w:sz w:val="22"/>
        </w:rPr>
        <w:t> </w:t>
      </w:r>
      <w:r>
        <w:rPr>
          <w:color w:val="231F20"/>
          <w:sz w:val="22"/>
        </w:rPr>
        <w:t>programática</w:t>
      </w:r>
      <w:r>
        <w:rPr>
          <w:color w:val="231F20"/>
          <w:spacing w:val="-7"/>
          <w:sz w:val="22"/>
        </w:rPr>
        <w:t> </w:t>
      </w:r>
      <w:r>
        <w:rPr>
          <w:color w:val="231F20"/>
          <w:sz w:val="22"/>
        </w:rPr>
        <w:t>en</w:t>
      </w:r>
      <w:r>
        <w:rPr>
          <w:color w:val="231F20"/>
          <w:spacing w:val="-7"/>
          <w:sz w:val="22"/>
        </w:rPr>
        <w:t> </w:t>
      </w:r>
      <w:r>
        <w:rPr>
          <w:color w:val="231F20"/>
          <w:sz w:val="22"/>
        </w:rPr>
        <w:t>el</w:t>
      </w:r>
      <w:r>
        <w:rPr>
          <w:color w:val="231F20"/>
          <w:spacing w:val="-7"/>
          <w:sz w:val="22"/>
        </w:rPr>
        <w:t> </w:t>
      </w:r>
      <w:r>
        <w:rPr>
          <w:color w:val="231F20"/>
          <w:sz w:val="22"/>
        </w:rPr>
        <w:t>cam- po de las migraciones internacionales focalizadas hacia la familia, la infancia y la adolescencia a partir de i) la creación, consistencia y</w:t>
      </w:r>
      <w:r>
        <w:rPr>
          <w:color w:val="231F20"/>
          <w:spacing w:val="-29"/>
          <w:sz w:val="22"/>
        </w:rPr>
        <w:t> </w:t>
      </w:r>
      <w:r>
        <w:rPr>
          <w:color w:val="231F20"/>
          <w:sz w:val="22"/>
        </w:rPr>
        <w:t>sos- tenimiento de observatorios de migración internacional por regiones. Definición de un Sistema Único de Registro en Migración Internacio- nal (SURMI) de estadísticas, políticas y programas, ii) desarrollo per- manente de investigaciones y difusión de resultados, iii) inclusión en los currículos de una cátedra sobre migración internacional, familia, infancia y</w:t>
      </w:r>
      <w:r>
        <w:rPr>
          <w:color w:val="231F20"/>
          <w:spacing w:val="-1"/>
          <w:sz w:val="22"/>
        </w:rPr>
        <w:t> </w:t>
      </w:r>
      <w:r>
        <w:rPr>
          <w:color w:val="231F20"/>
          <w:sz w:val="22"/>
        </w:rPr>
        <w:t>adolescencia.</w:t>
      </w:r>
    </w:p>
    <w:p>
      <w:pPr>
        <w:pStyle w:val="ListParagraph"/>
        <w:numPr>
          <w:ilvl w:val="0"/>
          <w:numId w:val="1"/>
        </w:numPr>
        <w:tabs>
          <w:tab w:pos="478" w:val="left" w:leader="none"/>
        </w:tabs>
        <w:spacing w:line="247" w:lineRule="auto" w:before="0" w:after="0"/>
        <w:ind w:left="477" w:right="115" w:hanging="360"/>
        <w:jc w:val="both"/>
        <w:rPr>
          <w:color w:val="231F20"/>
          <w:sz w:val="22"/>
        </w:rPr>
      </w:pPr>
      <w:r>
        <w:rPr>
          <w:color w:val="231F20"/>
          <w:sz w:val="22"/>
        </w:rPr>
        <w:t>Se podrían retomar elementos de política de países como Ecuador y El Salvador que incorporan entre sus objetivos la protección de los migrantes y su familia, entre ellos: proteger a las familias de los emi- grantes y propiciar su reunificación; combatir la explotación laboral, la trata de personas y el tráfico de migrantes (programa Bienvenid@s a Casa) alentar la permanencia de los ecuatorianos en su país y apo- yarlos en el exterior y facilitar la comunicación de los radicados en el exterior con sus familias en sus lugares de</w:t>
      </w:r>
      <w:r>
        <w:rPr>
          <w:color w:val="231F20"/>
          <w:spacing w:val="-8"/>
          <w:sz w:val="22"/>
        </w:rPr>
        <w:t> </w:t>
      </w:r>
      <w:r>
        <w:rPr>
          <w:color w:val="231F20"/>
          <w:sz w:val="22"/>
        </w:rPr>
        <w:t>origen.</w:t>
      </w:r>
    </w:p>
    <w:p>
      <w:pPr>
        <w:pStyle w:val="BodyText"/>
        <w:spacing w:before="11"/>
        <w:rPr>
          <w:sz w:val="21"/>
        </w:rPr>
      </w:pPr>
    </w:p>
    <w:p>
      <w:pPr>
        <w:pStyle w:val="Heading3"/>
        <w:spacing w:before="0"/>
      </w:pPr>
      <w:r>
        <w:rPr>
          <w:color w:val="231F20"/>
        </w:rPr>
        <w:t>Bibliografía</w:t>
      </w:r>
    </w:p>
    <w:p>
      <w:pPr>
        <w:pStyle w:val="BodyText"/>
        <w:spacing w:before="2"/>
        <w:rPr>
          <w:b/>
          <w:sz w:val="21"/>
        </w:rPr>
      </w:pPr>
    </w:p>
    <w:p>
      <w:pPr>
        <w:spacing w:line="210" w:lineRule="exact" w:before="0"/>
        <w:ind w:left="117" w:right="115" w:firstLine="0"/>
        <w:jc w:val="both"/>
        <w:rPr>
          <w:sz w:val="20"/>
        </w:rPr>
      </w:pPr>
      <w:r>
        <w:rPr>
          <w:color w:val="231F20"/>
          <w:sz w:val="20"/>
        </w:rPr>
        <w:t>AEDO ENRÍQUEZ, Andrés, 2011, </w:t>
      </w:r>
      <w:r>
        <w:rPr>
          <w:i/>
          <w:color w:val="231F20"/>
          <w:sz w:val="20"/>
        </w:rPr>
        <w:t>El proyecto agencial como forma de estudio </w:t>
      </w:r>
      <w:r>
        <w:rPr>
          <w:i/>
          <w:color w:val="231F20"/>
          <w:sz w:val="20"/>
        </w:rPr>
        <w:t>de la subjetividad de clase: propuesta metodológica y análisis empírico</w:t>
      </w:r>
      <w:r>
        <w:rPr>
          <w:color w:val="231F20"/>
          <w:sz w:val="20"/>
        </w:rPr>
        <w:t>, en Po- nencia presentada en el </w:t>
      </w:r>
      <w:r>
        <w:rPr>
          <w:i/>
          <w:color w:val="231F20"/>
          <w:sz w:val="20"/>
        </w:rPr>
        <w:t>VI Congreso Chileno de Sociología</w:t>
      </w:r>
      <w:r>
        <w:rPr>
          <w:color w:val="231F20"/>
          <w:sz w:val="20"/>
        </w:rPr>
        <w:t>, abril 13-15, Valpa- raíso, Chile.</w:t>
      </w:r>
    </w:p>
    <w:p>
      <w:pPr>
        <w:spacing w:line="210" w:lineRule="exact" w:before="113"/>
        <w:ind w:left="117" w:right="115" w:firstLine="0"/>
        <w:jc w:val="both"/>
        <w:rPr>
          <w:sz w:val="20"/>
        </w:rPr>
      </w:pPr>
      <w:r>
        <w:rPr>
          <w:color w:val="231F20"/>
          <w:spacing w:val="-3"/>
          <w:sz w:val="20"/>
        </w:rPr>
        <w:t>APPADURAI,</w:t>
      </w:r>
      <w:r>
        <w:rPr>
          <w:color w:val="231F20"/>
          <w:spacing w:val="-19"/>
          <w:sz w:val="20"/>
        </w:rPr>
        <w:t> </w:t>
      </w:r>
      <w:r>
        <w:rPr>
          <w:color w:val="231F20"/>
          <w:sz w:val="20"/>
        </w:rPr>
        <w:t>Arjun,</w:t>
      </w:r>
      <w:r>
        <w:rPr>
          <w:color w:val="231F20"/>
          <w:spacing w:val="-8"/>
          <w:sz w:val="20"/>
        </w:rPr>
        <w:t> </w:t>
      </w:r>
      <w:r>
        <w:rPr>
          <w:color w:val="231F20"/>
          <w:sz w:val="20"/>
        </w:rPr>
        <w:t>2003,</w:t>
      </w:r>
      <w:r>
        <w:rPr>
          <w:color w:val="231F20"/>
          <w:spacing w:val="-8"/>
          <w:sz w:val="20"/>
        </w:rPr>
        <w:t> </w:t>
      </w:r>
      <w:r>
        <w:rPr>
          <w:i/>
          <w:color w:val="231F20"/>
          <w:sz w:val="20"/>
        </w:rPr>
        <w:t>Modernity</w:t>
      </w:r>
      <w:r>
        <w:rPr>
          <w:i/>
          <w:color w:val="231F20"/>
          <w:spacing w:val="-8"/>
          <w:sz w:val="20"/>
        </w:rPr>
        <w:t> </w:t>
      </w:r>
      <w:r>
        <w:rPr>
          <w:i/>
          <w:color w:val="231F20"/>
          <w:sz w:val="20"/>
        </w:rPr>
        <w:t>at</w:t>
      </w:r>
      <w:r>
        <w:rPr>
          <w:i/>
          <w:color w:val="231F20"/>
          <w:spacing w:val="-8"/>
          <w:sz w:val="20"/>
        </w:rPr>
        <w:t> </w:t>
      </w:r>
      <w:r>
        <w:rPr>
          <w:i/>
          <w:color w:val="231F20"/>
          <w:sz w:val="20"/>
        </w:rPr>
        <w:t>large.</w:t>
      </w:r>
      <w:r>
        <w:rPr>
          <w:i/>
          <w:color w:val="231F20"/>
          <w:spacing w:val="-8"/>
          <w:sz w:val="20"/>
        </w:rPr>
        <w:t> </w:t>
      </w:r>
      <w:r>
        <w:rPr>
          <w:i/>
          <w:color w:val="231F20"/>
          <w:sz w:val="20"/>
        </w:rPr>
        <w:t>Cultural</w:t>
      </w:r>
      <w:r>
        <w:rPr>
          <w:i/>
          <w:color w:val="231F20"/>
          <w:spacing w:val="-8"/>
          <w:sz w:val="20"/>
        </w:rPr>
        <w:t> </w:t>
      </w:r>
      <w:r>
        <w:rPr>
          <w:i/>
          <w:color w:val="231F20"/>
          <w:sz w:val="20"/>
        </w:rPr>
        <w:t>dimensions</w:t>
      </w:r>
      <w:r>
        <w:rPr>
          <w:i/>
          <w:color w:val="231F20"/>
          <w:spacing w:val="-8"/>
          <w:sz w:val="20"/>
        </w:rPr>
        <w:t> </w:t>
      </w:r>
      <w:r>
        <w:rPr>
          <w:i/>
          <w:color w:val="231F20"/>
          <w:sz w:val="20"/>
        </w:rPr>
        <w:t>of</w:t>
      </w:r>
      <w:r>
        <w:rPr>
          <w:i/>
          <w:color w:val="231F20"/>
          <w:spacing w:val="-8"/>
          <w:sz w:val="20"/>
        </w:rPr>
        <w:t> </w:t>
      </w:r>
      <w:r>
        <w:rPr>
          <w:i/>
          <w:color w:val="231F20"/>
          <w:sz w:val="20"/>
        </w:rPr>
        <w:t>globaliza- </w:t>
      </w:r>
      <w:r>
        <w:rPr>
          <w:i/>
          <w:color w:val="231F20"/>
          <w:sz w:val="20"/>
        </w:rPr>
        <w:t>tion</w:t>
      </w:r>
      <w:r>
        <w:rPr>
          <w:color w:val="231F20"/>
          <w:sz w:val="20"/>
        </w:rPr>
        <w:t>, University of California Press, Minneapolis y</w:t>
      </w:r>
      <w:r>
        <w:rPr>
          <w:color w:val="231F20"/>
          <w:spacing w:val="-25"/>
          <w:sz w:val="20"/>
        </w:rPr>
        <w:t> </w:t>
      </w:r>
      <w:r>
        <w:rPr>
          <w:color w:val="231F20"/>
          <w:sz w:val="20"/>
        </w:rPr>
        <w:t>Londres.</w:t>
      </w:r>
    </w:p>
    <w:p>
      <w:pPr>
        <w:spacing w:line="210" w:lineRule="exact" w:before="113"/>
        <w:ind w:left="117" w:right="114" w:firstLine="0"/>
        <w:jc w:val="both"/>
        <w:rPr>
          <w:sz w:val="20"/>
        </w:rPr>
      </w:pPr>
      <w:r>
        <w:rPr>
          <w:color w:val="231F20"/>
          <w:sz w:val="20"/>
        </w:rPr>
        <w:t>ARANGO, Joaquín, 2003, “La explicación teórica de las migraciones: luz y</w:t>
      </w:r>
      <w:r>
        <w:rPr>
          <w:color w:val="231F20"/>
          <w:spacing w:val="-20"/>
          <w:sz w:val="20"/>
        </w:rPr>
        <w:t> </w:t>
      </w:r>
      <w:r>
        <w:rPr>
          <w:color w:val="231F20"/>
          <w:sz w:val="20"/>
        </w:rPr>
        <w:t>som- bra”, en </w:t>
      </w:r>
      <w:r>
        <w:rPr>
          <w:i/>
          <w:color w:val="231F20"/>
          <w:sz w:val="20"/>
        </w:rPr>
        <w:t>Migración y Desarrollo </w:t>
      </w:r>
      <w:r>
        <w:rPr>
          <w:color w:val="231F20"/>
          <w:sz w:val="20"/>
        </w:rPr>
        <w:t>1, Red Internacional de Migración y Desarrollo, </w:t>
      </w:r>
      <w:hyperlink r:id="rId89">
        <w:r>
          <w:rPr>
            <w:color w:val="231F20"/>
            <w:sz w:val="20"/>
          </w:rPr>
          <w:t>http://rimd.reduaz.mx/revista/rev1/JoaquinArango.pdf,</w:t>
        </w:r>
      </w:hyperlink>
      <w:r>
        <w:rPr>
          <w:color w:val="231F20"/>
          <w:spacing w:val="-11"/>
          <w:sz w:val="20"/>
        </w:rPr>
        <w:t> </w:t>
      </w:r>
      <w:r>
        <w:rPr>
          <w:color w:val="231F20"/>
          <w:sz w:val="20"/>
        </w:rPr>
        <w:t>recuperado</w:t>
      </w:r>
      <w:r>
        <w:rPr>
          <w:color w:val="231F20"/>
          <w:spacing w:val="-11"/>
          <w:sz w:val="20"/>
        </w:rPr>
        <w:t> </w:t>
      </w:r>
      <w:r>
        <w:rPr>
          <w:color w:val="231F20"/>
          <w:sz w:val="20"/>
        </w:rPr>
        <w:t>en</w:t>
      </w:r>
      <w:r>
        <w:rPr>
          <w:color w:val="231F20"/>
          <w:spacing w:val="-11"/>
          <w:sz w:val="20"/>
        </w:rPr>
        <w:t> </w:t>
      </w:r>
      <w:r>
        <w:rPr>
          <w:color w:val="231F20"/>
          <w:sz w:val="20"/>
        </w:rPr>
        <w:t>enero</w:t>
      </w:r>
      <w:r>
        <w:rPr>
          <w:color w:val="231F20"/>
          <w:spacing w:val="-12"/>
          <w:sz w:val="20"/>
        </w:rPr>
        <w:t> </w:t>
      </w:r>
      <w:r>
        <w:rPr>
          <w:color w:val="231F20"/>
          <w:sz w:val="20"/>
        </w:rPr>
        <w:t>2012.</w:t>
      </w:r>
    </w:p>
    <w:p>
      <w:pPr>
        <w:spacing w:line="210" w:lineRule="exact" w:before="113"/>
        <w:ind w:left="117" w:right="114" w:firstLine="0"/>
        <w:jc w:val="both"/>
        <w:rPr>
          <w:sz w:val="20"/>
        </w:rPr>
      </w:pPr>
      <w:r>
        <w:rPr>
          <w:color w:val="231F20"/>
          <w:sz w:val="20"/>
        </w:rPr>
        <w:t>ARIZA, Marina, 2002, “Migración, familia y transnacionalidad”, en </w:t>
      </w:r>
      <w:r>
        <w:rPr>
          <w:i/>
          <w:color w:val="231F20"/>
          <w:sz w:val="20"/>
        </w:rPr>
        <w:t>Revista </w:t>
      </w:r>
      <w:r>
        <w:rPr>
          <w:i/>
          <w:color w:val="231F20"/>
          <w:sz w:val="20"/>
        </w:rPr>
        <w:t>Mexicana de Sociología </w:t>
      </w:r>
      <w:r>
        <w:rPr>
          <w:color w:val="231F20"/>
          <w:sz w:val="20"/>
        </w:rPr>
        <w:t>64(4): 53-84.</w:t>
      </w:r>
    </w:p>
    <w:p>
      <w:pPr>
        <w:spacing w:line="210" w:lineRule="exact" w:before="113"/>
        <w:ind w:left="117" w:right="115" w:firstLine="0"/>
        <w:jc w:val="both"/>
        <w:rPr>
          <w:sz w:val="20"/>
        </w:rPr>
      </w:pPr>
      <w:r>
        <w:rPr>
          <w:color w:val="231F20"/>
          <w:sz w:val="20"/>
        </w:rPr>
        <w:t>ARRIAGADA,</w:t>
      </w:r>
      <w:r>
        <w:rPr>
          <w:color w:val="231F20"/>
          <w:spacing w:val="-3"/>
          <w:sz w:val="20"/>
        </w:rPr>
        <w:t> </w:t>
      </w:r>
      <w:r>
        <w:rPr>
          <w:color w:val="231F20"/>
          <w:sz w:val="20"/>
        </w:rPr>
        <w:t>Irma</w:t>
      </w:r>
      <w:r>
        <w:rPr>
          <w:color w:val="231F20"/>
          <w:spacing w:val="-3"/>
          <w:sz w:val="20"/>
        </w:rPr>
        <w:t> </w:t>
      </w:r>
      <w:r>
        <w:rPr>
          <w:color w:val="231F20"/>
          <w:sz w:val="20"/>
        </w:rPr>
        <w:t>y</w:t>
      </w:r>
      <w:r>
        <w:rPr>
          <w:color w:val="231F20"/>
          <w:spacing w:val="-7"/>
          <w:sz w:val="20"/>
        </w:rPr>
        <w:t> </w:t>
      </w:r>
      <w:r>
        <w:rPr>
          <w:color w:val="231F20"/>
          <w:spacing w:val="-3"/>
          <w:sz w:val="20"/>
        </w:rPr>
        <w:t>Verónica</w:t>
      </w:r>
      <w:r>
        <w:rPr>
          <w:color w:val="231F20"/>
          <w:spacing w:val="-15"/>
          <w:sz w:val="20"/>
        </w:rPr>
        <w:t> </w:t>
      </w:r>
      <w:r>
        <w:rPr>
          <w:color w:val="231F20"/>
          <w:sz w:val="20"/>
        </w:rPr>
        <w:t>Aranda,</w:t>
      </w:r>
      <w:r>
        <w:rPr>
          <w:color w:val="231F20"/>
          <w:spacing w:val="-3"/>
          <w:sz w:val="20"/>
        </w:rPr>
        <w:t> </w:t>
      </w:r>
      <w:r>
        <w:rPr>
          <w:color w:val="231F20"/>
          <w:sz w:val="20"/>
        </w:rPr>
        <w:t>2004.</w:t>
      </w:r>
      <w:r>
        <w:rPr>
          <w:color w:val="231F20"/>
          <w:spacing w:val="-3"/>
          <w:sz w:val="20"/>
        </w:rPr>
        <w:t> </w:t>
      </w:r>
      <w:r>
        <w:rPr>
          <w:i/>
          <w:color w:val="231F20"/>
          <w:sz w:val="20"/>
        </w:rPr>
        <w:t>Cambio</w:t>
      </w:r>
      <w:r>
        <w:rPr>
          <w:i/>
          <w:color w:val="231F20"/>
          <w:spacing w:val="-3"/>
          <w:sz w:val="20"/>
        </w:rPr>
        <w:t> </w:t>
      </w:r>
      <w:r>
        <w:rPr>
          <w:i/>
          <w:color w:val="231F20"/>
          <w:sz w:val="20"/>
        </w:rPr>
        <w:t>de</w:t>
      </w:r>
      <w:r>
        <w:rPr>
          <w:i/>
          <w:color w:val="231F20"/>
          <w:spacing w:val="-3"/>
          <w:sz w:val="20"/>
        </w:rPr>
        <w:t> </w:t>
      </w:r>
      <w:r>
        <w:rPr>
          <w:i/>
          <w:color w:val="231F20"/>
          <w:sz w:val="20"/>
        </w:rPr>
        <w:t>las</w:t>
      </w:r>
      <w:r>
        <w:rPr>
          <w:i/>
          <w:color w:val="231F20"/>
          <w:spacing w:val="-3"/>
          <w:sz w:val="20"/>
        </w:rPr>
        <w:t> </w:t>
      </w:r>
      <w:r>
        <w:rPr>
          <w:i/>
          <w:color w:val="231F20"/>
          <w:sz w:val="20"/>
        </w:rPr>
        <w:t>familias</w:t>
      </w:r>
      <w:r>
        <w:rPr>
          <w:i/>
          <w:color w:val="231F20"/>
          <w:spacing w:val="-4"/>
          <w:sz w:val="20"/>
        </w:rPr>
        <w:t> </w:t>
      </w:r>
      <w:r>
        <w:rPr>
          <w:i/>
          <w:color w:val="231F20"/>
          <w:sz w:val="20"/>
        </w:rPr>
        <w:t>en</w:t>
      </w:r>
      <w:r>
        <w:rPr>
          <w:i/>
          <w:color w:val="231F20"/>
          <w:spacing w:val="-4"/>
          <w:sz w:val="20"/>
        </w:rPr>
        <w:t> </w:t>
      </w:r>
      <w:r>
        <w:rPr>
          <w:i/>
          <w:color w:val="231F20"/>
          <w:sz w:val="20"/>
        </w:rPr>
        <w:t>el</w:t>
      </w:r>
      <w:r>
        <w:rPr>
          <w:i/>
          <w:color w:val="231F20"/>
          <w:spacing w:val="-3"/>
          <w:sz w:val="20"/>
        </w:rPr>
        <w:t> </w:t>
      </w:r>
      <w:r>
        <w:rPr>
          <w:i/>
          <w:color w:val="231F20"/>
          <w:sz w:val="20"/>
        </w:rPr>
        <w:t>mar- </w:t>
      </w:r>
      <w:r>
        <w:rPr>
          <w:i/>
          <w:color w:val="231F20"/>
          <w:sz w:val="20"/>
        </w:rPr>
        <w:t>co de las transformaciones globales: Necesidad de políticas públicas eficaces</w:t>
      </w:r>
      <w:r>
        <w:rPr>
          <w:color w:val="231F20"/>
          <w:sz w:val="20"/>
        </w:rPr>
        <w:t>, Naciones Unidas, Santiago de</w:t>
      </w:r>
      <w:r>
        <w:rPr>
          <w:color w:val="231F20"/>
          <w:spacing w:val="-20"/>
          <w:sz w:val="20"/>
        </w:rPr>
        <w:t> </w:t>
      </w:r>
      <w:r>
        <w:rPr>
          <w:color w:val="231F20"/>
          <w:sz w:val="20"/>
        </w:rPr>
        <w:t>Chile.</w:t>
      </w:r>
    </w:p>
    <w:p>
      <w:pPr>
        <w:spacing w:after="0" w:line="210" w:lineRule="exact"/>
        <w:jc w:val="both"/>
        <w:rPr>
          <w:sz w:val="20"/>
        </w:rPr>
        <w:sectPr>
          <w:footerReference w:type="default" r:id="rId88"/>
          <w:pgSz w:w="9360" w:h="13040"/>
          <w:pgMar w:footer="496" w:header="0" w:top="800" w:bottom="680" w:left="1300" w:right="1300"/>
        </w:sectPr>
      </w:pPr>
    </w:p>
    <w:p>
      <w:pPr>
        <w:spacing w:before="45"/>
        <w:ind w:left="117" w:right="0" w:firstLine="2714"/>
        <w:jc w:val="left"/>
        <w:rPr>
          <w:rFonts w:ascii="Arial" w:hAnsi="Arial"/>
          <w:sz w:val="20"/>
        </w:rPr>
      </w:pPr>
      <w:r>
        <w:rPr>
          <w:rFonts w:ascii="Arial" w:hAnsi="Arial"/>
          <w:color w:val="231F20"/>
          <w:w w:val="74"/>
          <w:sz w:val="20"/>
        </w:rPr>
        <w:t>Familias</w:t>
      </w:r>
      <w:r>
        <w:rPr>
          <w:rFonts w:ascii="Arial" w:hAnsi="Arial"/>
          <w:color w:val="231F20"/>
          <w:spacing w:val="-1"/>
          <w:sz w:val="20"/>
        </w:rPr>
        <w:t> </w:t>
      </w:r>
      <w:r>
        <w:rPr>
          <w:rFonts w:ascii="Arial" w:hAnsi="Arial"/>
          <w:color w:val="231F20"/>
          <w:spacing w:val="-1"/>
          <w:w w:val="72"/>
          <w:sz w:val="20"/>
        </w:rPr>
        <w:t>transnacionale</w:t>
      </w:r>
      <w:r>
        <w:rPr>
          <w:rFonts w:ascii="Arial" w:hAnsi="Arial"/>
          <w:color w:val="231F20"/>
          <w:w w:val="72"/>
          <w:sz w:val="20"/>
        </w:rPr>
        <w:t>s</w:t>
      </w:r>
      <w:r>
        <w:rPr>
          <w:rFonts w:ascii="Arial" w:hAnsi="Arial"/>
          <w:color w:val="231F20"/>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1"/>
          <w:sz w:val="20"/>
        </w:rPr>
        <w:t>Colombia</w:t>
      </w:r>
      <w:r>
        <w:rPr>
          <w:rFonts w:ascii="Arial" w:hAnsi="Arial"/>
          <w:color w:val="231F20"/>
          <w:spacing w:val="-1"/>
          <w:sz w:val="20"/>
        </w:rPr>
        <w:t> </w:t>
      </w:r>
      <w:r>
        <w:rPr>
          <w:rFonts w:ascii="Arial" w:hAnsi="Arial"/>
          <w:color w:val="231F20"/>
          <w:spacing w:val="-1"/>
          <w:w w:val="99"/>
          <w:sz w:val="20"/>
        </w:rPr>
        <w:t>/</w:t>
      </w:r>
      <w:r>
        <w:rPr>
          <w:rFonts w:ascii="Arial" w:hAnsi="Arial"/>
          <w:color w:val="231F20"/>
          <w:w w:val="48"/>
          <w:sz w:val="20"/>
        </w:rPr>
        <w:t>Luz</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50"/>
          <w:sz w:val="20"/>
        </w:rPr>
        <w:t>López-Montaño</w:t>
      </w:r>
    </w:p>
    <w:p>
      <w:pPr>
        <w:pStyle w:val="BodyText"/>
        <w:rPr>
          <w:rFonts w:ascii="Arial"/>
          <w:sz w:val="20"/>
        </w:rPr>
      </w:pPr>
    </w:p>
    <w:p>
      <w:pPr>
        <w:spacing w:line="210" w:lineRule="exact" w:before="123"/>
        <w:ind w:left="117" w:right="115" w:firstLine="0"/>
        <w:jc w:val="both"/>
        <w:rPr>
          <w:sz w:val="20"/>
        </w:rPr>
      </w:pPr>
      <w:r>
        <w:rPr>
          <w:color w:val="231F20"/>
          <w:sz w:val="20"/>
        </w:rPr>
        <w:t>BECK-GERNSHEIM,</w:t>
      </w:r>
      <w:r>
        <w:rPr>
          <w:color w:val="231F20"/>
          <w:spacing w:val="-5"/>
          <w:sz w:val="20"/>
        </w:rPr>
        <w:t> </w:t>
      </w:r>
      <w:r>
        <w:rPr>
          <w:color w:val="231F20"/>
          <w:sz w:val="20"/>
        </w:rPr>
        <w:t>Elizabeth,</w:t>
      </w:r>
      <w:r>
        <w:rPr>
          <w:color w:val="231F20"/>
          <w:spacing w:val="-5"/>
          <w:sz w:val="20"/>
        </w:rPr>
        <w:t> </w:t>
      </w:r>
      <w:r>
        <w:rPr>
          <w:color w:val="231F20"/>
          <w:sz w:val="20"/>
        </w:rPr>
        <w:t>2003,</w:t>
      </w:r>
      <w:r>
        <w:rPr>
          <w:color w:val="231F20"/>
          <w:spacing w:val="-5"/>
          <w:sz w:val="20"/>
        </w:rPr>
        <w:t> </w:t>
      </w:r>
      <w:r>
        <w:rPr>
          <w:i/>
          <w:color w:val="231F20"/>
          <w:sz w:val="20"/>
        </w:rPr>
        <w:t>La</w:t>
      </w:r>
      <w:r>
        <w:rPr>
          <w:i/>
          <w:color w:val="231F20"/>
          <w:spacing w:val="-5"/>
          <w:sz w:val="20"/>
        </w:rPr>
        <w:t> </w:t>
      </w:r>
      <w:r>
        <w:rPr>
          <w:i/>
          <w:color w:val="231F20"/>
          <w:sz w:val="20"/>
        </w:rPr>
        <w:t>reinvención</w:t>
      </w:r>
      <w:r>
        <w:rPr>
          <w:i/>
          <w:color w:val="231F20"/>
          <w:spacing w:val="-6"/>
          <w:sz w:val="20"/>
        </w:rPr>
        <w:t> </w:t>
      </w:r>
      <w:r>
        <w:rPr>
          <w:i/>
          <w:color w:val="231F20"/>
          <w:sz w:val="20"/>
        </w:rPr>
        <w:t>de</w:t>
      </w:r>
      <w:r>
        <w:rPr>
          <w:i/>
          <w:color w:val="231F20"/>
          <w:spacing w:val="-5"/>
          <w:sz w:val="20"/>
        </w:rPr>
        <w:t> </w:t>
      </w:r>
      <w:r>
        <w:rPr>
          <w:i/>
          <w:color w:val="231F20"/>
          <w:sz w:val="20"/>
        </w:rPr>
        <w:t>la</w:t>
      </w:r>
      <w:r>
        <w:rPr>
          <w:i/>
          <w:color w:val="231F20"/>
          <w:spacing w:val="-6"/>
          <w:sz w:val="20"/>
        </w:rPr>
        <w:t> </w:t>
      </w:r>
      <w:r>
        <w:rPr>
          <w:i/>
          <w:color w:val="231F20"/>
          <w:sz w:val="20"/>
        </w:rPr>
        <w:t>familia.</w:t>
      </w:r>
      <w:r>
        <w:rPr>
          <w:i/>
          <w:color w:val="231F20"/>
          <w:spacing w:val="-6"/>
          <w:sz w:val="20"/>
        </w:rPr>
        <w:t> </w:t>
      </w:r>
      <w:r>
        <w:rPr>
          <w:i/>
          <w:color w:val="231F20"/>
          <w:sz w:val="20"/>
        </w:rPr>
        <w:t>En</w:t>
      </w:r>
      <w:r>
        <w:rPr>
          <w:i/>
          <w:color w:val="231F20"/>
          <w:spacing w:val="-6"/>
          <w:sz w:val="20"/>
        </w:rPr>
        <w:t> </w:t>
      </w:r>
      <w:r>
        <w:rPr>
          <w:i/>
          <w:color w:val="231F20"/>
          <w:sz w:val="20"/>
        </w:rPr>
        <w:t>busca</w:t>
      </w:r>
      <w:r>
        <w:rPr>
          <w:i/>
          <w:color w:val="231F20"/>
          <w:spacing w:val="-5"/>
          <w:sz w:val="20"/>
        </w:rPr>
        <w:t> </w:t>
      </w:r>
      <w:r>
        <w:rPr>
          <w:i/>
          <w:color w:val="231F20"/>
          <w:sz w:val="20"/>
        </w:rPr>
        <w:t>de </w:t>
      </w:r>
      <w:r>
        <w:rPr>
          <w:i/>
          <w:color w:val="231F20"/>
          <w:sz w:val="20"/>
        </w:rPr>
        <w:t>nuevas formas de convivencia</w:t>
      </w:r>
      <w:r>
        <w:rPr>
          <w:color w:val="231F20"/>
          <w:sz w:val="20"/>
        </w:rPr>
        <w:t>, Paidós,</w:t>
      </w:r>
      <w:r>
        <w:rPr>
          <w:color w:val="231F20"/>
          <w:spacing w:val="-8"/>
          <w:sz w:val="20"/>
        </w:rPr>
        <w:t> </w:t>
      </w:r>
      <w:r>
        <w:rPr>
          <w:color w:val="231F20"/>
          <w:sz w:val="20"/>
        </w:rPr>
        <w:t>Barcelona.</w:t>
      </w:r>
    </w:p>
    <w:p>
      <w:pPr>
        <w:spacing w:line="210" w:lineRule="exact" w:before="113"/>
        <w:ind w:left="117" w:right="115" w:firstLine="0"/>
        <w:jc w:val="both"/>
        <w:rPr>
          <w:sz w:val="20"/>
        </w:rPr>
      </w:pPr>
      <w:r>
        <w:rPr>
          <w:color w:val="231F20"/>
          <w:sz w:val="20"/>
        </w:rPr>
        <w:t>BRYCESON, Débora y Ulla Vuorela, 2002, </w:t>
      </w:r>
      <w:r>
        <w:rPr>
          <w:i/>
          <w:color w:val="231F20"/>
          <w:sz w:val="20"/>
        </w:rPr>
        <w:t>The transnational family new euro- </w:t>
      </w:r>
      <w:r>
        <w:rPr>
          <w:i/>
          <w:color w:val="231F20"/>
          <w:sz w:val="20"/>
        </w:rPr>
        <w:t>pean frontiers and global networks</w:t>
      </w:r>
      <w:r>
        <w:rPr>
          <w:color w:val="231F20"/>
          <w:sz w:val="20"/>
        </w:rPr>
        <w:t>, University Press, Oxford.</w:t>
      </w:r>
    </w:p>
    <w:p>
      <w:pPr>
        <w:spacing w:line="210" w:lineRule="exact" w:before="113"/>
        <w:ind w:left="117" w:right="114" w:firstLine="0"/>
        <w:jc w:val="both"/>
        <w:rPr>
          <w:sz w:val="20"/>
        </w:rPr>
      </w:pPr>
      <w:r>
        <w:rPr>
          <w:color w:val="231F20"/>
          <w:sz w:val="20"/>
        </w:rPr>
        <w:t>BURR, </w:t>
      </w:r>
      <w:r>
        <w:rPr>
          <w:color w:val="231F20"/>
          <w:spacing w:val="-5"/>
          <w:sz w:val="20"/>
        </w:rPr>
        <w:t>Wesley, </w:t>
      </w:r>
      <w:r>
        <w:rPr>
          <w:color w:val="231F20"/>
          <w:sz w:val="20"/>
        </w:rPr>
        <w:t>Donald Herrin, R </w:t>
      </w:r>
      <w:r>
        <w:rPr>
          <w:color w:val="231F20"/>
          <w:spacing w:val="-4"/>
          <w:sz w:val="20"/>
        </w:rPr>
        <w:t>Day, </w:t>
      </w:r>
      <w:r>
        <w:rPr>
          <w:color w:val="231F20"/>
          <w:sz w:val="20"/>
        </w:rPr>
        <w:t>Ivan Beutler, G. Leigh, 1998, “Epistemo- logías</w:t>
      </w:r>
      <w:r>
        <w:rPr>
          <w:color w:val="231F20"/>
          <w:spacing w:val="-10"/>
          <w:sz w:val="20"/>
        </w:rPr>
        <w:t> </w:t>
      </w:r>
      <w:r>
        <w:rPr>
          <w:color w:val="231F20"/>
          <w:sz w:val="20"/>
        </w:rPr>
        <w:t>que</w:t>
      </w:r>
      <w:r>
        <w:rPr>
          <w:color w:val="231F20"/>
          <w:spacing w:val="-9"/>
          <w:sz w:val="20"/>
        </w:rPr>
        <w:t> </w:t>
      </w:r>
      <w:r>
        <w:rPr>
          <w:color w:val="231F20"/>
          <w:sz w:val="20"/>
        </w:rPr>
        <w:t>conducen</w:t>
      </w:r>
      <w:r>
        <w:rPr>
          <w:color w:val="231F20"/>
          <w:spacing w:val="-10"/>
          <w:sz w:val="20"/>
        </w:rPr>
        <w:t> </w:t>
      </w:r>
      <w:r>
        <w:rPr>
          <w:color w:val="231F20"/>
          <w:sz w:val="20"/>
        </w:rPr>
        <w:t>a</w:t>
      </w:r>
      <w:r>
        <w:rPr>
          <w:color w:val="231F20"/>
          <w:spacing w:val="-9"/>
          <w:sz w:val="20"/>
        </w:rPr>
        <w:t> </w:t>
      </w:r>
      <w:r>
        <w:rPr>
          <w:color w:val="231F20"/>
          <w:sz w:val="20"/>
        </w:rPr>
        <w:t>explicaciones</w:t>
      </w:r>
      <w:r>
        <w:rPr>
          <w:color w:val="231F20"/>
          <w:spacing w:val="-9"/>
          <w:sz w:val="20"/>
        </w:rPr>
        <w:t> </w:t>
      </w:r>
      <w:r>
        <w:rPr>
          <w:color w:val="231F20"/>
          <w:sz w:val="20"/>
        </w:rPr>
        <w:t>primarias</w:t>
      </w:r>
      <w:r>
        <w:rPr>
          <w:color w:val="231F20"/>
          <w:spacing w:val="-9"/>
          <w:sz w:val="20"/>
        </w:rPr>
        <w:t> </w:t>
      </w:r>
      <w:r>
        <w:rPr>
          <w:color w:val="231F20"/>
          <w:sz w:val="20"/>
        </w:rPr>
        <w:t>en</w:t>
      </w:r>
      <w:r>
        <w:rPr>
          <w:color w:val="231F20"/>
          <w:spacing w:val="-9"/>
          <w:sz w:val="20"/>
        </w:rPr>
        <w:t> </w:t>
      </w:r>
      <w:r>
        <w:rPr>
          <w:color w:val="231F20"/>
          <w:sz w:val="20"/>
        </w:rPr>
        <w:t>la</w:t>
      </w:r>
      <w:r>
        <w:rPr>
          <w:color w:val="231F20"/>
          <w:spacing w:val="-9"/>
          <w:sz w:val="20"/>
        </w:rPr>
        <w:t> </w:t>
      </w:r>
      <w:r>
        <w:rPr>
          <w:color w:val="231F20"/>
          <w:sz w:val="20"/>
        </w:rPr>
        <w:t>ciencia</w:t>
      </w:r>
      <w:r>
        <w:rPr>
          <w:color w:val="231F20"/>
          <w:spacing w:val="-10"/>
          <w:sz w:val="20"/>
        </w:rPr>
        <w:t> </w:t>
      </w:r>
      <w:r>
        <w:rPr>
          <w:color w:val="231F20"/>
          <w:sz w:val="20"/>
        </w:rPr>
        <w:t>de</w:t>
      </w:r>
      <w:r>
        <w:rPr>
          <w:color w:val="231F20"/>
          <w:spacing w:val="-9"/>
          <w:sz w:val="20"/>
        </w:rPr>
        <w:t> </w:t>
      </w:r>
      <w:r>
        <w:rPr>
          <w:color w:val="231F20"/>
          <w:sz w:val="20"/>
        </w:rPr>
        <w:t>familia”,</w:t>
      </w:r>
      <w:r>
        <w:rPr>
          <w:color w:val="231F20"/>
          <w:spacing w:val="-9"/>
          <w:sz w:val="20"/>
        </w:rPr>
        <w:t> </w:t>
      </w:r>
      <w:r>
        <w:rPr>
          <w:color w:val="231F20"/>
          <w:sz w:val="20"/>
        </w:rPr>
        <w:t>en</w:t>
      </w:r>
      <w:r>
        <w:rPr>
          <w:color w:val="231F20"/>
          <w:spacing w:val="-10"/>
          <w:sz w:val="20"/>
        </w:rPr>
        <w:t> </w:t>
      </w:r>
      <w:r>
        <w:rPr>
          <w:i/>
          <w:color w:val="231F20"/>
          <w:sz w:val="20"/>
        </w:rPr>
        <w:t>Family </w:t>
      </w:r>
      <w:r>
        <w:rPr>
          <w:i/>
          <w:color w:val="231F20"/>
          <w:sz w:val="20"/>
        </w:rPr>
        <w:t>Science Review</w:t>
      </w:r>
      <w:r>
        <w:rPr>
          <w:color w:val="231F20"/>
          <w:sz w:val="20"/>
        </w:rPr>
        <w:t>,  núm.</w:t>
      </w:r>
      <w:r>
        <w:rPr>
          <w:color w:val="231F20"/>
          <w:spacing w:val="-1"/>
          <w:sz w:val="20"/>
        </w:rPr>
        <w:t> </w:t>
      </w:r>
      <w:r>
        <w:rPr>
          <w:color w:val="231F20"/>
          <w:sz w:val="20"/>
        </w:rPr>
        <w:t>3.</w:t>
      </w:r>
    </w:p>
    <w:p>
      <w:pPr>
        <w:spacing w:line="210" w:lineRule="exact" w:before="113"/>
        <w:ind w:left="117" w:right="114" w:firstLine="0"/>
        <w:jc w:val="both"/>
        <w:rPr>
          <w:sz w:val="20"/>
        </w:rPr>
      </w:pPr>
      <w:r>
        <w:rPr>
          <w:color w:val="231F20"/>
          <w:spacing w:val="-12"/>
          <w:sz w:val="20"/>
        </w:rPr>
        <w:t>DALY,</w:t>
      </w:r>
      <w:r>
        <w:rPr>
          <w:color w:val="231F20"/>
          <w:spacing w:val="-10"/>
          <w:sz w:val="20"/>
        </w:rPr>
        <w:t> </w:t>
      </w:r>
      <w:r>
        <w:rPr>
          <w:color w:val="231F20"/>
          <w:spacing w:val="-5"/>
          <w:sz w:val="20"/>
        </w:rPr>
        <w:t>Kerry,</w:t>
      </w:r>
      <w:r>
        <w:rPr>
          <w:color w:val="231F20"/>
          <w:spacing w:val="-10"/>
          <w:sz w:val="20"/>
        </w:rPr>
        <w:t> </w:t>
      </w:r>
      <w:r>
        <w:rPr>
          <w:color w:val="231F20"/>
          <w:spacing w:val="-3"/>
          <w:sz w:val="20"/>
        </w:rPr>
        <w:t>2003,</w:t>
      </w:r>
      <w:r>
        <w:rPr>
          <w:color w:val="231F20"/>
          <w:spacing w:val="-10"/>
          <w:sz w:val="20"/>
        </w:rPr>
        <w:t> </w:t>
      </w:r>
      <w:r>
        <w:rPr>
          <w:color w:val="231F20"/>
          <w:spacing w:val="-3"/>
          <w:sz w:val="20"/>
        </w:rPr>
        <w:t>“Family</w:t>
      </w:r>
      <w:r>
        <w:rPr>
          <w:color w:val="231F20"/>
          <w:spacing w:val="-11"/>
          <w:sz w:val="20"/>
        </w:rPr>
        <w:t> </w:t>
      </w:r>
      <w:r>
        <w:rPr>
          <w:color w:val="231F20"/>
          <w:spacing w:val="-3"/>
          <w:sz w:val="20"/>
        </w:rPr>
        <w:t>theory</w:t>
      </w:r>
      <w:r>
        <w:rPr>
          <w:color w:val="231F20"/>
          <w:spacing w:val="-11"/>
          <w:sz w:val="20"/>
        </w:rPr>
        <w:t> </w:t>
      </w:r>
      <w:r>
        <w:rPr>
          <w:color w:val="231F20"/>
          <w:spacing w:val="-3"/>
          <w:sz w:val="20"/>
        </w:rPr>
        <w:t>versus</w:t>
      </w:r>
      <w:r>
        <w:rPr>
          <w:color w:val="231F20"/>
          <w:spacing w:val="-11"/>
          <w:sz w:val="20"/>
        </w:rPr>
        <w:t> </w:t>
      </w:r>
      <w:r>
        <w:rPr>
          <w:color w:val="231F20"/>
          <w:sz w:val="20"/>
        </w:rPr>
        <w:t>the</w:t>
      </w:r>
      <w:r>
        <w:rPr>
          <w:color w:val="231F20"/>
          <w:spacing w:val="-11"/>
          <w:sz w:val="20"/>
        </w:rPr>
        <w:t> </w:t>
      </w:r>
      <w:r>
        <w:rPr>
          <w:color w:val="231F20"/>
          <w:spacing w:val="-3"/>
          <w:sz w:val="20"/>
        </w:rPr>
        <w:t>theories</w:t>
      </w:r>
      <w:r>
        <w:rPr>
          <w:color w:val="231F20"/>
          <w:spacing w:val="-11"/>
          <w:sz w:val="20"/>
        </w:rPr>
        <w:t> </w:t>
      </w:r>
      <w:r>
        <w:rPr>
          <w:color w:val="231F20"/>
          <w:spacing w:val="-3"/>
          <w:sz w:val="20"/>
        </w:rPr>
        <w:t>families</w:t>
      </w:r>
      <w:r>
        <w:rPr>
          <w:color w:val="231F20"/>
          <w:spacing w:val="-10"/>
          <w:sz w:val="20"/>
        </w:rPr>
        <w:t> </w:t>
      </w:r>
      <w:r>
        <w:rPr>
          <w:color w:val="231F20"/>
          <w:spacing w:val="-3"/>
          <w:sz w:val="20"/>
        </w:rPr>
        <w:t>live</w:t>
      </w:r>
      <w:r>
        <w:rPr>
          <w:color w:val="231F20"/>
          <w:spacing w:val="-11"/>
          <w:sz w:val="20"/>
        </w:rPr>
        <w:t> </w:t>
      </w:r>
      <w:r>
        <w:rPr>
          <w:color w:val="231F20"/>
          <w:sz w:val="20"/>
        </w:rPr>
        <w:t>by”,</w:t>
      </w:r>
      <w:r>
        <w:rPr>
          <w:color w:val="231F20"/>
          <w:spacing w:val="-6"/>
          <w:sz w:val="20"/>
        </w:rPr>
        <w:t> </w:t>
      </w:r>
      <w:r>
        <w:rPr>
          <w:color w:val="231F20"/>
          <w:sz w:val="20"/>
        </w:rPr>
        <w:t>en</w:t>
      </w:r>
      <w:r>
        <w:rPr>
          <w:color w:val="231F20"/>
          <w:spacing w:val="-6"/>
          <w:sz w:val="20"/>
        </w:rPr>
        <w:t> </w:t>
      </w:r>
      <w:r>
        <w:rPr>
          <w:i/>
          <w:color w:val="231F20"/>
          <w:sz w:val="20"/>
        </w:rPr>
        <w:t>Journal </w:t>
      </w:r>
      <w:r>
        <w:rPr>
          <w:i/>
          <w:color w:val="231F20"/>
          <w:sz w:val="20"/>
        </w:rPr>
        <w:t>of Marriage and Family, </w:t>
      </w:r>
      <w:r>
        <w:rPr>
          <w:color w:val="231F20"/>
          <w:sz w:val="20"/>
        </w:rPr>
        <w:t>núm</w:t>
      </w:r>
      <w:r>
        <w:rPr>
          <w:i/>
          <w:color w:val="231F20"/>
          <w:sz w:val="20"/>
        </w:rPr>
        <w:t>. </w:t>
      </w:r>
      <w:r>
        <w:rPr>
          <w:color w:val="231F20"/>
          <w:sz w:val="20"/>
        </w:rPr>
        <w:t>65. noviembre, pp.</w:t>
      </w:r>
      <w:r>
        <w:rPr>
          <w:color w:val="231F20"/>
          <w:spacing w:val="-12"/>
          <w:sz w:val="20"/>
        </w:rPr>
        <w:t> </w:t>
      </w:r>
      <w:r>
        <w:rPr>
          <w:color w:val="231F20"/>
          <w:sz w:val="20"/>
        </w:rPr>
        <w:t>771-784.</w:t>
      </w:r>
    </w:p>
    <w:p>
      <w:pPr>
        <w:spacing w:line="210" w:lineRule="exact" w:before="113"/>
        <w:ind w:left="117" w:right="115" w:firstLine="0"/>
        <w:jc w:val="both"/>
        <w:rPr>
          <w:sz w:val="20"/>
        </w:rPr>
      </w:pPr>
      <w:r>
        <w:rPr>
          <w:color w:val="231F20"/>
          <w:sz w:val="20"/>
        </w:rPr>
        <w:t>DANE, 2005, </w:t>
      </w:r>
      <w:r>
        <w:rPr>
          <w:i/>
          <w:color w:val="231F20"/>
          <w:sz w:val="20"/>
        </w:rPr>
        <w:t>Censo General 2005</w:t>
      </w:r>
      <w:r>
        <w:rPr>
          <w:color w:val="231F20"/>
          <w:sz w:val="20"/>
        </w:rPr>
        <w:t>, Departamento Administrativo Nacional de Estadística (DANE) Direccion de Censos y Demografia, Colombia.</w:t>
      </w:r>
    </w:p>
    <w:p>
      <w:pPr>
        <w:spacing w:before="94"/>
        <w:ind w:left="117" w:right="0" w:firstLine="0"/>
        <w:jc w:val="both"/>
        <w:rPr>
          <w:sz w:val="20"/>
        </w:rPr>
      </w:pPr>
      <w:r>
        <w:rPr>
          <w:color w:val="231F20"/>
          <w:sz w:val="20"/>
        </w:rPr>
        <w:t>ECHEVERRÍA, Rafaél, 1998, </w:t>
      </w:r>
      <w:r>
        <w:rPr>
          <w:i/>
          <w:color w:val="231F20"/>
          <w:sz w:val="20"/>
        </w:rPr>
        <w:t>Ontología del lenguaje</w:t>
      </w:r>
      <w:r>
        <w:rPr>
          <w:color w:val="231F20"/>
          <w:sz w:val="20"/>
        </w:rPr>
        <w:t>, Dolmen, Santiago.</w:t>
      </w:r>
    </w:p>
    <w:p>
      <w:pPr>
        <w:spacing w:line="210" w:lineRule="exact" w:before="112"/>
        <w:ind w:left="117" w:right="115" w:firstLine="0"/>
        <w:jc w:val="both"/>
        <w:rPr>
          <w:sz w:val="20"/>
        </w:rPr>
      </w:pPr>
      <w:r>
        <w:rPr>
          <w:color w:val="231F20"/>
          <w:spacing w:val="-6"/>
          <w:sz w:val="20"/>
        </w:rPr>
        <w:t>FAIST, </w:t>
      </w:r>
      <w:r>
        <w:rPr>
          <w:color w:val="231F20"/>
          <w:sz w:val="20"/>
        </w:rPr>
        <w:t>Thomas, 2000, </w:t>
      </w:r>
      <w:r>
        <w:rPr>
          <w:i/>
          <w:color w:val="231F20"/>
          <w:sz w:val="20"/>
        </w:rPr>
        <w:t>The </w:t>
      </w:r>
      <w:r>
        <w:rPr>
          <w:i/>
          <w:color w:val="231F20"/>
          <w:spacing w:val="-4"/>
          <w:sz w:val="20"/>
        </w:rPr>
        <w:t>Volume </w:t>
      </w:r>
      <w:r>
        <w:rPr>
          <w:i/>
          <w:color w:val="231F20"/>
          <w:sz w:val="20"/>
        </w:rPr>
        <w:t>and Dynamics of International Migration and </w:t>
      </w:r>
      <w:r>
        <w:rPr>
          <w:i/>
          <w:color w:val="231F20"/>
          <w:sz w:val="20"/>
        </w:rPr>
        <w:t>Transnational Social Spaces </w:t>
      </w:r>
      <w:r>
        <w:rPr>
          <w:color w:val="231F20"/>
          <w:sz w:val="20"/>
        </w:rPr>
        <w:t>Oxford: Oxford University Press.</w:t>
      </w:r>
    </w:p>
    <w:p>
      <w:pPr>
        <w:spacing w:before="94"/>
        <w:ind w:left="117" w:right="0" w:firstLine="0"/>
        <w:jc w:val="both"/>
        <w:rPr>
          <w:sz w:val="20"/>
        </w:rPr>
      </w:pPr>
      <w:r>
        <w:rPr>
          <w:color w:val="231F20"/>
          <w:sz w:val="20"/>
        </w:rPr>
        <w:t>FLAQUER, Lluis, 1998, </w:t>
      </w:r>
      <w:r>
        <w:rPr>
          <w:i/>
          <w:color w:val="231F20"/>
          <w:sz w:val="20"/>
        </w:rPr>
        <w:t>El destino de la familia</w:t>
      </w:r>
      <w:r>
        <w:rPr>
          <w:color w:val="231F20"/>
          <w:sz w:val="20"/>
        </w:rPr>
        <w:t>, Ariel, Barcelona.</w:t>
      </w:r>
    </w:p>
    <w:p>
      <w:pPr>
        <w:spacing w:line="210" w:lineRule="exact" w:before="112"/>
        <w:ind w:left="117" w:right="115" w:firstLine="0"/>
        <w:jc w:val="both"/>
        <w:rPr>
          <w:sz w:val="20"/>
        </w:rPr>
      </w:pPr>
      <w:r>
        <w:rPr>
          <w:color w:val="231F20"/>
          <w:sz w:val="20"/>
        </w:rPr>
        <w:t>GALLEGO, Gabriel, 2005, </w:t>
      </w:r>
      <w:r>
        <w:rPr>
          <w:i/>
          <w:color w:val="231F20"/>
          <w:sz w:val="20"/>
        </w:rPr>
        <w:t>Abordaje de la familia en las teorías </w:t>
      </w:r>
      <w:r>
        <w:rPr>
          <w:i/>
          <w:color w:val="231F20"/>
          <w:spacing w:val="-3"/>
          <w:sz w:val="20"/>
        </w:rPr>
        <w:t>sobre </w:t>
      </w:r>
      <w:r>
        <w:rPr>
          <w:i/>
          <w:color w:val="231F20"/>
          <w:sz w:val="20"/>
        </w:rPr>
        <w:t>migración </w:t>
      </w:r>
      <w:r>
        <w:rPr>
          <w:i/>
          <w:color w:val="231F20"/>
          <w:sz w:val="20"/>
        </w:rPr>
        <w:t>internacional</w:t>
      </w:r>
      <w:r>
        <w:rPr>
          <w:color w:val="231F20"/>
          <w:sz w:val="20"/>
        </w:rPr>
        <w:t>, Colegio de México, Ciudad de México.</w:t>
      </w:r>
    </w:p>
    <w:p>
      <w:pPr>
        <w:spacing w:line="210" w:lineRule="exact" w:before="113"/>
        <w:ind w:left="117" w:right="114" w:firstLine="0"/>
        <w:jc w:val="both"/>
        <w:rPr>
          <w:sz w:val="20"/>
        </w:rPr>
      </w:pPr>
      <w:r>
        <w:rPr>
          <w:color w:val="231F20"/>
          <w:spacing w:val="-8"/>
          <w:sz w:val="20"/>
        </w:rPr>
        <w:t>GARAY, </w:t>
      </w:r>
      <w:r>
        <w:rPr>
          <w:color w:val="231F20"/>
          <w:sz w:val="20"/>
        </w:rPr>
        <w:t>Luis Jorge, María Claudia Medina y M.I. Navia, 2006, “Hijos e hijas  de la migración”, en </w:t>
      </w:r>
      <w:r>
        <w:rPr>
          <w:i/>
          <w:color w:val="231F20"/>
          <w:sz w:val="20"/>
        </w:rPr>
        <w:t>El impacto de la migración parental en el funcionamiento </w:t>
      </w:r>
      <w:r>
        <w:rPr>
          <w:i/>
          <w:color w:val="231F20"/>
          <w:sz w:val="20"/>
        </w:rPr>
        <w:t>psicosocial de los menores. El caso del Área Metropolitana Centro Occidente de Colombia</w:t>
      </w:r>
      <w:r>
        <w:rPr>
          <w:color w:val="231F20"/>
          <w:sz w:val="20"/>
        </w:rPr>
        <w:t>, </w:t>
      </w:r>
      <w:r>
        <w:rPr>
          <w:color w:val="231F20"/>
          <w:spacing w:val="-4"/>
          <w:sz w:val="20"/>
        </w:rPr>
        <w:t>FIIAPP,</w:t>
      </w:r>
      <w:r>
        <w:rPr>
          <w:color w:val="231F20"/>
          <w:spacing w:val="-6"/>
          <w:sz w:val="20"/>
        </w:rPr>
        <w:t> </w:t>
      </w:r>
      <w:r>
        <w:rPr>
          <w:color w:val="231F20"/>
          <w:sz w:val="20"/>
        </w:rPr>
        <w:t>Madrid.</w:t>
      </w:r>
    </w:p>
    <w:p>
      <w:pPr>
        <w:spacing w:line="210" w:lineRule="exact" w:before="113"/>
        <w:ind w:left="117" w:right="115" w:firstLine="0"/>
        <w:jc w:val="both"/>
        <w:rPr>
          <w:sz w:val="20"/>
        </w:rPr>
      </w:pPr>
      <w:r>
        <w:rPr>
          <w:color w:val="231F20"/>
          <w:sz w:val="20"/>
        </w:rPr>
        <w:t>GLICK</w:t>
      </w:r>
      <w:r>
        <w:rPr>
          <w:color w:val="231F20"/>
          <w:spacing w:val="-8"/>
          <w:sz w:val="20"/>
        </w:rPr>
        <w:t> </w:t>
      </w:r>
      <w:r>
        <w:rPr>
          <w:color w:val="231F20"/>
          <w:sz w:val="20"/>
        </w:rPr>
        <w:t>SCHILLER,</w:t>
      </w:r>
      <w:r>
        <w:rPr>
          <w:color w:val="231F20"/>
          <w:spacing w:val="-8"/>
          <w:sz w:val="20"/>
        </w:rPr>
        <w:t> </w:t>
      </w:r>
      <w:r>
        <w:rPr>
          <w:color w:val="231F20"/>
          <w:sz w:val="20"/>
        </w:rPr>
        <w:t>Nina,</w:t>
      </w:r>
      <w:r>
        <w:rPr>
          <w:color w:val="231F20"/>
          <w:spacing w:val="-8"/>
          <w:sz w:val="20"/>
        </w:rPr>
        <w:t> </w:t>
      </w:r>
      <w:r>
        <w:rPr>
          <w:color w:val="231F20"/>
          <w:sz w:val="20"/>
        </w:rPr>
        <w:t>Linda</w:t>
      </w:r>
      <w:r>
        <w:rPr>
          <w:color w:val="231F20"/>
          <w:spacing w:val="-8"/>
          <w:sz w:val="20"/>
        </w:rPr>
        <w:t> </w:t>
      </w:r>
      <w:r>
        <w:rPr>
          <w:color w:val="231F20"/>
          <w:sz w:val="20"/>
        </w:rPr>
        <w:t>Bash</w:t>
      </w:r>
      <w:r>
        <w:rPr>
          <w:color w:val="231F20"/>
          <w:spacing w:val="-8"/>
          <w:sz w:val="20"/>
        </w:rPr>
        <w:t> </w:t>
      </w:r>
      <w:r>
        <w:rPr>
          <w:color w:val="231F20"/>
          <w:sz w:val="20"/>
        </w:rPr>
        <w:t>y</w:t>
      </w:r>
      <w:r>
        <w:rPr>
          <w:color w:val="231F20"/>
          <w:spacing w:val="-8"/>
          <w:sz w:val="20"/>
        </w:rPr>
        <w:t> </w:t>
      </w:r>
      <w:r>
        <w:rPr>
          <w:color w:val="231F20"/>
          <w:sz w:val="20"/>
        </w:rPr>
        <w:t>Cristina</w:t>
      </w:r>
      <w:r>
        <w:rPr>
          <w:color w:val="231F20"/>
          <w:spacing w:val="-8"/>
          <w:sz w:val="20"/>
        </w:rPr>
        <w:t> </w:t>
      </w:r>
      <w:r>
        <w:rPr>
          <w:color w:val="231F20"/>
          <w:sz w:val="20"/>
        </w:rPr>
        <w:t>Blanc-Szanton,</w:t>
      </w:r>
      <w:r>
        <w:rPr>
          <w:color w:val="231F20"/>
          <w:spacing w:val="-8"/>
          <w:sz w:val="20"/>
        </w:rPr>
        <w:t> </w:t>
      </w:r>
      <w:r>
        <w:rPr>
          <w:color w:val="231F20"/>
          <w:sz w:val="20"/>
        </w:rPr>
        <w:t>1992,</w:t>
      </w:r>
      <w:r>
        <w:rPr>
          <w:color w:val="231F20"/>
          <w:spacing w:val="-8"/>
          <w:sz w:val="20"/>
        </w:rPr>
        <w:t> </w:t>
      </w:r>
      <w:r>
        <w:rPr>
          <w:color w:val="231F20"/>
          <w:sz w:val="20"/>
        </w:rPr>
        <w:t>“Towards a transnational perspective in migration: race, class, ethnicity and nationalism re- considered”, en </w:t>
      </w:r>
      <w:r>
        <w:rPr>
          <w:i/>
          <w:color w:val="231F20"/>
          <w:sz w:val="20"/>
        </w:rPr>
        <w:t>Annals of the New </w:t>
      </w:r>
      <w:r>
        <w:rPr>
          <w:i/>
          <w:color w:val="231F20"/>
          <w:spacing w:val="-5"/>
          <w:sz w:val="20"/>
        </w:rPr>
        <w:t>York </w:t>
      </w:r>
      <w:r>
        <w:rPr>
          <w:i/>
          <w:color w:val="231F20"/>
          <w:sz w:val="20"/>
        </w:rPr>
        <w:t>Academy of Sciences</w:t>
      </w:r>
      <w:r>
        <w:rPr>
          <w:color w:val="231F20"/>
          <w:sz w:val="20"/>
        </w:rPr>
        <w:t>. (645):</w:t>
      </w:r>
      <w:r>
        <w:rPr>
          <w:color w:val="231F20"/>
          <w:spacing w:val="-4"/>
          <w:sz w:val="20"/>
        </w:rPr>
        <w:t> </w:t>
      </w:r>
      <w:r>
        <w:rPr>
          <w:color w:val="231F20"/>
          <w:sz w:val="20"/>
        </w:rPr>
        <w:t>1-24.</w:t>
      </w:r>
    </w:p>
    <w:p>
      <w:pPr>
        <w:spacing w:line="210" w:lineRule="exact" w:before="113"/>
        <w:ind w:left="117" w:right="115" w:firstLine="0"/>
        <w:jc w:val="both"/>
        <w:rPr>
          <w:sz w:val="20"/>
        </w:rPr>
      </w:pPr>
      <w:r>
        <w:rPr>
          <w:color w:val="231F20"/>
          <w:sz w:val="20"/>
        </w:rPr>
        <w:t>GUARNIZO, Luis Eduardo, 1997, “The emergence of a transnational social for- mation</w:t>
      </w:r>
      <w:r>
        <w:rPr>
          <w:color w:val="231F20"/>
          <w:spacing w:val="-6"/>
          <w:sz w:val="20"/>
        </w:rPr>
        <w:t> </w:t>
      </w:r>
      <w:r>
        <w:rPr>
          <w:color w:val="231F20"/>
          <w:sz w:val="20"/>
        </w:rPr>
        <w:t>and</w:t>
      </w:r>
      <w:r>
        <w:rPr>
          <w:color w:val="231F20"/>
          <w:spacing w:val="-6"/>
          <w:sz w:val="20"/>
        </w:rPr>
        <w:t> </w:t>
      </w:r>
      <w:r>
        <w:rPr>
          <w:color w:val="231F20"/>
          <w:sz w:val="20"/>
        </w:rPr>
        <w:t>the</w:t>
      </w:r>
      <w:r>
        <w:rPr>
          <w:color w:val="231F20"/>
          <w:spacing w:val="-6"/>
          <w:sz w:val="20"/>
        </w:rPr>
        <w:t> </w:t>
      </w:r>
      <w:r>
        <w:rPr>
          <w:color w:val="231F20"/>
          <w:sz w:val="20"/>
        </w:rPr>
        <w:t>mirage</w:t>
      </w:r>
      <w:r>
        <w:rPr>
          <w:color w:val="231F20"/>
          <w:spacing w:val="-6"/>
          <w:sz w:val="20"/>
        </w:rPr>
        <w:t> </w:t>
      </w:r>
      <w:r>
        <w:rPr>
          <w:color w:val="231F20"/>
          <w:sz w:val="20"/>
        </w:rPr>
        <w:t>of</w:t>
      </w:r>
      <w:r>
        <w:rPr>
          <w:color w:val="231F20"/>
          <w:spacing w:val="-5"/>
          <w:sz w:val="20"/>
        </w:rPr>
        <w:t> </w:t>
      </w:r>
      <w:r>
        <w:rPr>
          <w:color w:val="231F20"/>
          <w:sz w:val="20"/>
        </w:rPr>
        <w:t>return</w:t>
      </w:r>
      <w:r>
        <w:rPr>
          <w:color w:val="231F20"/>
          <w:spacing w:val="-5"/>
          <w:sz w:val="20"/>
        </w:rPr>
        <w:t> </w:t>
      </w:r>
      <w:r>
        <w:rPr>
          <w:color w:val="231F20"/>
          <w:sz w:val="20"/>
        </w:rPr>
        <w:t>migration</w:t>
      </w:r>
      <w:r>
        <w:rPr>
          <w:color w:val="231F20"/>
          <w:spacing w:val="-6"/>
          <w:sz w:val="20"/>
        </w:rPr>
        <w:t> </w:t>
      </w:r>
      <w:r>
        <w:rPr>
          <w:color w:val="231F20"/>
          <w:sz w:val="20"/>
        </w:rPr>
        <w:t>among</w:t>
      </w:r>
      <w:r>
        <w:rPr>
          <w:color w:val="231F20"/>
          <w:spacing w:val="-6"/>
          <w:sz w:val="20"/>
        </w:rPr>
        <w:t> </w:t>
      </w:r>
      <w:r>
        <w:rPr>
          <w:color w:val="231F20"/>
          <w:sz w:val="20"/>
        </w:rPr>
        <w:t>Dominican</w:t>
      </w:r>
      <w:r>
        <w:rPr>
          <w:color w:val="231F20"/>
          <w:spacing w:val="-5"/>
          <w:sz w:val="20"/>
        </w:rPr>
        <w:t> </w:t>
      </w:r>
      <w:r>
        <w:rPr>
          <w:color w:val="231F20"/>
          <w:sz w:val="20"/>
        </w:rPr>
        <w:t>transmigrants.</w:t>
      </w:r>
      <w:r>
        <w:rPr>
          <w:color w:val="231F20"/>
          <w:spacing w:val="-6"/>
          <w:sz w:val="20"/>
        </w:rPr>
        <w:t> </w:t>
      </w:r>
      <w:r>
        <w:rPr>
          <w:color w:val="231F20"/>
          <w:sz w:val="20"/>
        </w:rPr>
        <w:t>Iden- tities”, en </w:t>
      </w:r>
      <w:r>
        <w:rPr>
          <w:i/>
          <w:color w:val="231F20"/>
          <w:sz w:val="20"/>
        </w:rPr>
        <w:t>Global Studies in Culture and Power </w:t>
      </w:r>
      <w:r>
        <w:rPr>
          <w:color w:val="231F20"/>
          <w:sz w:val="20"/>
        </w:rPr>
        <w:t>4 (2):.281-322,</w:t>
      </w:r>
      <w:r>
        <w:rPr>
          <w:color w:val="231F20"/>
          <w:spacing w:val="-17"/>
          <w:sz w:val="20"/>
        </w:rPr>
        <w:t> </w:t>
      </w:r>
      <w:r>
        <w:rPr>
          <w:color w:val="231F20"/>
          <w:sz w:val="20"/>
        </w:rPr>
        <w:t>Philadelphia.</w:t>
      </w:r>
    </w:p>
    <w:p>
      <w:pPr>
        <w:spacing w:line="220" w:lineRule="exact" w:before="94"/>
        <w:ind w:left="117" w:right="0" w:firstLine="0"/>
        <w:jc w:val="both"/>
        <w:rPr>
          <w:sz w:val="20"/>
        </w:rPr>
      </w:pPr>
      <w:r>
        <w:rPr>
          <w:color w:val="231F20"/>
          <w:sz w:val="20"/>
        </w:rPr>
        <w:t>GUARNIZO, Luis Eduardo, 2003, “The economics of transnational living”,    en</w:t>
      </w:r>
    </w:p>
    <w:p>
      <w:pPr>
        <w:spacing w:line="220" w:lineRule="exact" w:before="0"/>
        <w:ind w:left="117" w:right="0" w:firstLine="0"/>
        <w:jc w:val="both"/>
        <w:rPr>
          <w:sz w:val="20"/>
        </w:rPr>
      </w:pPr>
      <w:r>
        <w:rPr>
          <w:i/>
          <w:color w:val="231F20"/>
          <w:sz w:val="20"/>
        </w:rPr>
        <w:t>International Migration Review</w:t>
      </w:r>
      <w:r>
        <w:rPr>
          <w:color w:val="231F20"/>
          <w:sz w:val="20"/>
        </w:rPr>
        <w:t>, 37 (3): 666-699, Nueva York.</w:t>
      </w:r>
    </w:p>
    <w:p>
      <w:pPr>
        <w:spacing w:line="210" w:lineRule="exact" w:before="112"/>
        <w:ind w:left="117" w:right="115" w:firstLine="0"/>
        <w:jc w:val="both"/>
        <w:rPr>
          <w:sz w:val="20"/>
        </w:rPr>
      </w:pPr>
      <w:r>
        <w:rPr>
          <w:color w:val="231F20"/>
          <w:sz w:val="20"/>
        </w:rPr>
        <w:t>GUARNIZO, Luis Eduardo, 2004, “La migración transnacional colombiana: Im- plicaciones teóricas y prácticas”, en </w:t>
      </w:r>
      <w:r>
        <w:rPr>
          <w:i/>
          <w:color w:val="231F20"/>
          <w:sz w:val="20"/>
        </w:rPr>
        <w:t>Migración internacional colombiana y la </w:t>
      </w:r>
      <w:r>
        <w:rPr>
          <w:i/>
          <w:color w:val="231F20"/>
          <w:sz w:val="20"/>
        </w:rPr>
        <w:t>conformación de sociedades transnacionales</w:t>
      </w:r>
      <w:r>
        <w:rPr>
          <w:color w:val="231F20"/>
          <w:sz w:val="20"/>
        </w:rPr>
        <w:t>. Memorias seminario. Junio 18 y  19 de 2003.</w:t>
      </w:r>
    </w:p>
    <w:p>
      <w:pPr>
        <w:spacing w:line="210" w:lineRule="exact" w:before="113"/>
        <w:ind w:left="117" w:right="115" w:firstLine="0"/>
        <w:jc w:val="both"/>
        <w:rPr>
          <w:sz w:val="20"/>
        </w:rPr>
      </w:pPr>
      <w:r>
        <w:rPr>
          <w:color w:val="231F20"/>
          <w:sz w:val="20"/>
        </w:rPr>
        <w:t>GUARNIZO, Luis Eduardo, 2006, “Migración, globalización y sociedad: teorías y tendencias en el siglo XX”, en </w:t>
      </w:r>
      <w:r>
        <w:rPr>
          <w:i/>
          <w:color w:val="231F20"/>
          <w:sz w:val="20"/>
        </w:rPr>
        <w:t>Colombia, migraciones, transnacionalismo y </w:t>
      </w:r>
      <w:r>
        <w:rPr>
          <w:i/>
          <w:color w:val="231F20"/>
          <w:sz w:val="20"/>
        </w:rPr>
        <w:t>desplazamiento</w:t>
      </w:r>
      <w:r>
        <w:rPr>
          <w:color w:val="231F20"/>
          <w:sz w:val="20"/>
        </w:rPr>
        <w:t>, ed. Gerardo Ardila, 65-112, Universidad Nacional de Colombia/ Centro de Estudios Sociales, Bogotá.</w:t>
      </w:r>
    </w:p>
    <w:p>
      <w:pPr>
        <w:spacing w:line="210" w:lineRule="exact" w:before="113"/>
        <w:ind w:left="117" w:right="115" w:firstLine="0"/>
        <w:jc w:val="both"/>
        <w:rPr>
          <w:sz w:val="20"/>
        </w:rPr>
      </w:pPr>
      <w:r>
        <w:rPr>
          <w:color w:val="231F20"/>
          <w:sz w:val="20"/>
        </w:rPr>
        <w:t>GUBRIUM, Jaber y James Holstein, 1990, </w:t>
      </w:r>
      <w:r>
        <w:rPr>
          <w:i/>
          <w:color w:val="231F20"/>
          <w:sz w:val="20"/>
        </w:rPr>
        <w:t>¿Qué es Familia?, </w:t>
      </w:r>
      <w:r>
        <w:rPr>
          <w:color w:val="231F20"/>
          <w:sz w:val="20"/>
        </w:rPr>
        <w:t>Mayfield Publis- hing, California.</w:t>
      </w:r>
    </w:p>
    <w:p>
      <w:pPr>
        <w:spacing w:after="0" w:line="210" w:lineRule="exact"/>
        <w:jc w:val="both"/>
        <w:rPr>
          <w:sz w:val="20"/>
        </w:rPr>
        <w:sectPr>
          <w:footerReference w:type="default" r:id="rId90"/>
          <w:pgSz w:w="9360" w:h="13040"/>
          <w:pgMar w:footer="496" w:header="0" w:top="740" w:bottom="680" w:left="1300" w:right="1300"/>
          <w:pgNumType w:start="91"/>
        </w:sectPr>
      </w:pPr>
    </w:p>
    <w:p>
      <w:pPr>
        <w:tabs>
          <w:tab w:pos="5536" w:val="left" w:leader="none"/>
        </w:tabs>
        <w:spacing w:before="48"/>
        <w:ind w:left="117" w:right="0" w:firstLine="2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pPr>
    </w:p>
    <w:p>
      <w:pPr>
        <w:spacing w:line="210" w:lineRule="exact" w:before="0"/>
        <w:ind w:left="117" w:right="115" w:firstLine="0"/>
        <w:jc w:val="both"/>
        <w:rPr>
          <w:sz w:val="20"/>
        </w:rPr>
      </w:pPr>
      <w:r>
        <w:rPr>
          <w:color w:val="231F20"/>
          <w:sz w:val="20"/>
        </w:rPr>
        <w:t>ILLOUZ,</w:t>
      </w:r>
      <w:r>
        <w:rPr>
          <w:color w:val="231F20"/>
          <w:spacing w:val="-5"/>
          <w:sz w:val="20"/>
        </w:rPr>
        <w:t> </w:t>
      </w:r>
      <w:r>
        <w:rPr>
          <w:color w:val="231F20"/>
          <w:sz w:val="20"/>
        </w:rPr>
        <w:t>Eva,</w:t>
      </w:r>
      <w:r>
        <w:rPr>
          <w:color w:val="231F20"/>
          <w:spacing w:val="-5"/>
          <w:sz w:val="20"/>
        </w:rPr>
        <w:t> </w:t>
      </w:r>
      <w:r>
        <w:rPr>
          <w:color w:val="231F20"/>
          <w:sz w:val="20"/>
        </w:rPr>
        <w:t>2007,</w:t>
      </w:r>
      <w:r>
        <w:rPr>
          <w:color w:val="231F20"/>
          <w:spacing w:val="-5"/>
          <w:sz w:val="20"/>
        </w:rPr>
        <w:t> </w:t>
      </w:r>
      <w:r>
        <w:rPr>
          <w:color w:val="231F20"/>
          <w:sz w:val="20"/>
        </w:rPr>
        <w:t>“Intimidades</w:t>
      </w:r>
      <w:r>
        <w:rPr>
          <w:color w:val="231F20"/>
          <w:spacing w:val="-6"/>
          <w:sz w:val="20"/>
        </w:rPr>
        <w:t> </w:t>
      </w:r>
      <w:r>
        <w:rPr>
          <w:color w:val="231F20"/>
          <w:sz w:val="20"/>
        </w:rPr>
        <w:t>congeladas”,</w:t>
      </w:r>
      <w:r>
        <w:rPr>
          <w:color w:val="231F20"/>
          <w:spacing w:val="-6"/>
          <w:sz w:val="20"/>
        </w:rPr>
        <w:t> </w:t>
      </w:r>
      <w:r>
        <w:rPr>
          <w:color w:val="231F20"/>
          <w:sz w:val="20"/>
        </w:rPr>
        <w:t>en</w:t>
      </w:r>
      <w:r>
        <w:rPr>
          <w:color w:val="231F20"/>
          <w:spacing w:val="-5"/>
          <w:sz w:val="20"/>
        </w:rPr>
        <w:t> </w:t>
      </w:r>
      <w:r>
        <w:rPr>
          <w:i/>
          <w:color w:val="231F20"/>
          <w:sz w:val="20"/>
        </w:rPr>
        <w:t>Las</w:t>
      </w:r>
      <w:r>
        <w:rPr>
          <w:i/>
          <w:color w:val="231F20"/>
          <w:spacing w:val="-5"/>
          <w:sz w:val="20"/>
        </w:rPr>
        <w:t> </w:t>
      </w:r>
      <w:r>
        <w:rPr>
          <w:i/>
          <w:color w:val="231F20"/>
          <w:sz w:val="20"/>
        </w:rPr>
        <w:t>emociones</w:t>
      </w:r>
      <w:r>
        <w:rPr>
          <w:i/>
          <w:color w:val="231F20"/>
          <w:spacing w:val="-5"/>
          <w:sz w:val="20"/>
        </w:rPr>
        <w:t> </w:t>
      </w:r>
      <w:r>
        <w:rPr>
          <w:i/>
          <w:color w:val="231F20"/>
          <w:sz w:val="20"/>
        </w:rPr>
        <w:t>en</w:t>
      </w:r>
      <w:r>
        <w:rPr>
          <w:i/>
          <w:color w:val="231F20"/>
          <w:spacing w:val="-5"/>
          <w:sz w:val="20"/>
        </w:rPr>
        <w:t> </w:t>
      </w:r>
      <w:r>
        <w:rPr>
          <w:i/>
          <w:color w:val="231F20"/>
          <w:sz w:val="20"/>
        </w:rPr>
        <w:t>el</w:t>
      </w:r>
      <w:r>
        <w:rPr>
          <w:i/>
          <w:color w:val="231F20"/>
          <w:spacing w:val="-5"/>
          <w:sz w:val="20"/>
        </w:rPr>
        <w:t> </w:t>
      </w:r>
      <w:r>
        <w:rPr>
          <w:i/>
          <w:color w:val="231F20"/>
          <w:sz w:val="20"/>
        </w:rPr>
        <w:t>capitalis- </w:t>
      </w:r>
      <w:r>
        <w:rPr>
          <w:i/>
          <w:color w:val="231F20"/>
          <w:sz w:val="20"/>
        </w:rPr>
        <w:t>mo, </w:t>
      </w:r>
      <w:r>
        <w:rPr>
          <w:color w:val="231F20"/>
          <w:sz w:val="20"/>
        </w:rPr>
        <w:t>Editorial Katz, Buenos</w:t>
      </w:r>
      <w:r>
        <w:rPr>
          <w:color w:val="231F20"/>
          <w:spacing w:val="-25"/>
          <w:sz w:val="20"/>
        </w:rPr>
        <w:t> </w:t>
      </w:r>
      <w:r>
        <w:rPr>
          <w:color w:val="231F20"/>
          <w:sz w:val="20"/>
        </w:rPr>
        <w:t>Aires.</w:t>
      </w:r>
    </w:p>
    <w:p>
      <w:pPr>
        <w:spacing w:line="220" w:lineRule="exact" w:before="94"/>
        <w:ind w:left="117" w:right="0" w:firstLine="0"/>
        <w:jc w:val="both"/>
        <w:rPr>
          <w:i/>
          <w:sz w:val="20"/>
        </w:rPr>
      </w:pPr>
      <w:r>
        <w:rPr>
          <w:color w:val="231F20"/>
          <w:sz w:val="20"/>
        </w:rPr>
        <w:t>JELIN, Elizabeth, 2004, “Pan y afectos”, en </w:t>
      </w:r>
      <w:r>
        <w:rPr>
          <w:i/>
          <w:color w:val="231F20"/>
          <w:sz w:val="20"/>
        </w:rPr>
        <w:t>La transformación de las familias,</w:t>
      </w:r>
    </w:p>
    <w:p>
      <w:pPr>
        <w:spacing w:line="220" w:lineRule="exact" w:before="0"/>
        <w:ind w:left="117" w:right="0" w:firstLine="0"/>
        <w:jc w:val="both"/>
        <w:rPr>
          <w:sz w:val="20"/>
        </w:rPr>
      </w:pPr>
      <w:r>
        <w:rPr>
          <w:color w:val="231F20"/>
          <w:sz w:val="20"/>
        </w:rPr>
        <w:t>FCE, Buenos Aires.</w:t>
      </w:r>
    </w:p>
    <w:p>
      <w:pPr>
        <w:spacing w:line="210" w:lineRule="exact" w:before="112"/>
        <w:ind w:left="117" w:right="115" w:firstLine="0"/>
        <w:jc w:val="both"/>
        <w:rPr>
          <w:sz w:val="20"/>
        </w:rPr>
      </w:pPr>
      <w:r>
        <w:rPr>
          <w:color w:val="231F20"/>
          <w:sz w:val="20"/>
        </w:rPr>
        <w:t>KASUN, Gail Sue, 2012, </w:t>
      </w:r>
      <w:r>
        <w:rPr>
          <w:i/>
          <w:color w:val="231F20"/>
          <w:sz w:val="20"/>
        </w:rPr>
        <w:t>Transnational Mexican-origin families: ways of know- </w:t>
      </w:r>
      <w:r>
        <w:rPr>
          <w:i/>
          <w:color w:val="231F20"/>
          <w:sz w:val="20"/>
        </w:rPr>
        <w:t>ing and implications for schooling</w:t>
      </w:r>
      <w:r>
        <w:rPr>
          <w:color w:val="231F20"/>
          <w:sz w:val="20"/>
        </w:rPr>
        <w:t>, University of Texas at Austin, mayo, Tesis Doctor of Philosophy.</w:t>
      </w:r>
    </w:p>
    <w:p>
      <w:pPr>
        <w:spacing w:line="210" w:lineRule="exact" w:before="113"/>
        <w:ind w:left="117" w:right="114" w:firstLine="0"/>
        <w:jc w:val="both"/>
        <w:rPr>
          <w:sz w:val="20"/>
        </w:rPr>
      </w:pPr>
      <w:r>
        <w:rPr>
          <w:color w:val="231F20"/>
          <w:sz w:val="20"/>
        </w:rPr>
        <w:t>LA SPINA, Encarnación, 2008, </w:t>
      </w:r>
      <w:r>
        <w:rPr>
          <w:i/>
          <w:color w:val="231F20"/>
          <w:sz w:val="20"/>
        </w:rPr>
        <w:t>La familia transnacional como factor de trans- </w:t>
      </w:r>
      <w:r>
        <w:rPr>
          <w:i/>
          <w:color w:val="231F20"/>
          <w:sz w:val="20"/>
        </w:rPr>
        <w:t>formaciones socioeconómicas, políticas y jurídicas</w:t>
      </w:r>
      <w:r>
        <w:rPr>
          <w:color w:val="231F20"/>
          <w:sz w:val="20"/>
        </w:rPr>
        <w:t>, en </w:t>
      </w:r>
      <w:hyperlink r:id="rId91">
        <w:r>
          <w:rPr>
            <w:color w:val="231F20"/>
            <w:sz w:val="20"/>
          </w:rPr>
          <w:t>http://docsgedime.files.</w:t>
        </w:r>
      </w:hyperlink>
      <w:r>
        <w:rPr>
          <w:color w:val="231F20"/>
          <w:sz w:val="20"/>
        </w:rPr>
        <w:t> wordpress.com/2008/02/tc-encarnacion-la-spina.pdf</w:t>
      </w:r>
    </w:p>
    <w:p>
      <w:pPr>
        <w:spacing w:line="210" w:lineRule="exact" w:before="113"/>
        <w:ind w:left="117" w:right="104" w:firstLine="0"/>
        <w:jc w:val="both"/>
        <w:rPr>
          <w:sz w:val="20"/>
        </w:rPr>
      </w:pPr>
      <w:r>
        <w:rPr>
          <w:color w:val="231F20"/>
          <w:sz w:val="20"/>
        </w:rPr>
        <w:t>LEVITT, Peggy, Nina Glick Schiller, 2004, “Conceptualizing Simultaneity: A Transnational Social Field Perspective on Society”, en </w:t>
      </w:r>
      <w:r>
        <w:rPr>
          <w:i/>
          <w:color w:val="231F20"/>
          <w:sz w:val="20"/>
        </w:rPr>
        <w:t>International Migration </w:t>
      </w:r>
      <w:r>
        <w:rPr>
          <w:i/>
          <w:color w:val="231F20"/>
          <w:sz w:val="20"/>
        </w:rPr>
        <w:t>Review</w:t>
      </w:r>
      <w:r>
        <w:rPr>
          <w:color w:val="231F20"/>
          <w:sz w:val="20"/>
        </w:rPr>
        <w:t>, 36 (3).</w:t>
      </w:r>
    </w:p>
    <w:p>
      <w:pPr>
        <w:spacing w:line="210" w:lineRule="exact" w:before="113"/>
        <w:ind w:left="117" w:right="115" w:firstLine="0"/>
        <w:jc w:val="both"/>
        <w:rPr>
          <w:sz w:val="20"/>
        </w:rPr>
      </w:pPr>
      <w:r>
        <w:rPr>
          <w:color w:val="231F20"/>
          <w:spacing w:val="-5"/>
          <w:sz w:val="20"/>
        </w:rPr>
        <w:t>LANDOLT, </w:t>
      </w:r>
      <w:r>
        <w:rPr>
          <w:color w:val="231F20"/>
          <w:sz w:val="20"/>
        </w:rPr>
        <w:t>Patricia, 2006, “Modernidad tardía y migración transnacional: re- flexiones conceptuales desde el caso de El Salvador”, en </w:t>
      </w:r>
      <w:r>
        <w:rPr>
          <w:i/>
          <w:color w:val="231F20"/>
          <w:sz w:val="20"/>
        </w:rPr>
        <w:t>Colombia, migraciones, </w:t>
      </w:r>
      <w:r>
        <w:rPr>
          <w:i/>
          <w:color w:val="231F20"/>
          <w:sz w:val="20"/>
        </w:rPr>
        <w:t>transnacionalismo</w:t>
      </w:r>
      <w:r>
        <w:rPr>
          <w:i/>
          <w:color w:val="231F20"/>
          <w:spacing w:val="-8"/>
          <w:sz w:val="20"/>
        </w:rPr>
        <w:t> </w:t>
      </w:r>
      <w:r>
        <w:rPr>
          <w:i/>
          <w:color w:val="231F20"/>
          <w:sz w:val="20"/>
        </w:rPr>
        <w:t>y</w:t>
      </w:r>
      <w:r>
        <w:rPr>
          <w:i/>
          <w:color w:val="231F20"/>
          <w:spacing w:val="-7"/>
          <w:sz w:val="20"/>
        </w:rPr>
        <w:t> </w:t>
      </w:r>
      <w:r>
        <w:rPr>
          <w:i/>
          <w:color w:val="231F20"/>
          <w:sz w:val="20"/>
        </w:rPr>
        <w:t>desplazamiento</w:t>
      </w:r>
      <w:r>
        <w:rPr>
          <w:color w:val="231F20"/>
          <w:sz w:val="20"/>
        </w:rPr>
        <w:t>,</w:t>
      </w:r>
      <w:r>
        <w:rPr>
          <w:color w:val="231F20"/>
          <w:spacing w:val="-7"/>
          <w:sz w:val="20"/>
        </w:rPr>
        <w:t> </w:t>
      </w:r>
      <w:r>
        <w:rPr>
          <w:color w:val="231F20"/>
          <w:sz w:val="20"/>
        </w:rPr>
        <w:t>ed.</w:t>
      </w:r>
      <w:r>
        <w:rPr>
          <w:color w:val="231F20"/>
          <w:spacing w:val="-7"/>
          <w:sz w:val="20"/>
        </w:rPr>
        <w:t> </w:t>
      </w:r>
      <w:r>
        <w:rPr>
          <w:color w:val="231F20"/>
          <w:sz w:val="20"/>
        </w:rPr>
        <w:t>Gerardo</w:t>
      </w:r>
      <w:r>
        <w:rPr>
          <w:color w:val="231F20"/>
          <w:spacing w:val="-17"/>
          <w:sz w:val="20"/>
        </w:rPr>
        <w:t> </w:t>
      </w:r>
      <w:r>
        <w:rPr>
          <w:color w:val="231F20"/>
          <w:sz w:val="20"/>
        </w:rPr>
        <w:t>Ardila,</w:t>
      </w:r>
      <w:r>
        <w:rPr>
          <w:color w:val="231F20"/>
          <w:spacing w:val="-7"/>
          <w:sz w:val="20"/>
        </w:rPr>
        <w:t> </w:t>
      </w:r>
      <w:r>
        <w:rPr>
          <w:color w:val="231F20"/>
          <w:sz w:val="20"/>
        </w:rPr>
        <w:t>UNIBIBLOS.</w:t>
      </w:r>
      <w:r>
        <w:rPr>
          <w:color w:val="231F20"/>
          <w:spacing w:val="-7"/>
          <w:sz w:val="20"/>
        </w:rPr>
        <w:t> </w:t>
      </w:r>
      <w:r>
        <w:rPr>
          <w:color w:val="231F20"/>
          <w:sz w:val="20"/>
        </w:rPr>
        <w:t>Universi- dad Nacional de Colombia/Centro de Estudios Sociales, Bogotá.</w:t>
      </w:r>
    </w:p>
    <w:p>
      <w:pPr>
        <w:spacing w:line="210" w:lineRule="exact" w:before="113"/>
        <w:ind w:left="117" w:right="115" w:firstLine="0"/>
        <w:jc w:val="both"/>
        <w:rPr>
          <w:sz w:val="20"/>
        </w:rPr>
      </w:pPr>
      <w:r>
        <w:rPr>
          <w:color w:val="231F20"/>
          <w:sz w:val="20"/>
        </w:rPr>
        <w:t>LE GALL, Josaine, 2005, “Familles trannationales: bilan des dereches et nouve- lles perspectives”, en </w:t>
      </w:r>
      <w:r>
        <w:rPr>
          <w:i/>
          <w:color w:val="231F20"/>
          <w:sz w:val="20"/>
        </w:rPr>
        <w:t>Diversité Urbaine </w:t>
      </w:r>
      <w:r>
        <w:rPr>
          <w:color w:val="231F20"/>
          <w:sz w:val="20"/>
        </w:rPr>
        <w:t>5, núm. 1.</w:t>
      </w:r>
    </w:p>
    <w:p>
      <w:pPr>
        <w:spacing w:line="210" w:lineRule="exact" w:before="113"/>
        <w:ind w:left="117" w:right="114" w:firstLine="0"/>
        <w:jc w:val="both"/>
        <w:rPr>
          <w:sz w:val="20"/>
        </w:rPr>
      </w:pPr>
      <w:r>
        <w:rPr>
          <w:color w:val="231F20"/>
          <w:sz w:val="20"/>
        </w:rPr>
        <w:t>LÓPEZ, M., Luz María, 2009, </w:t>
      </w:r>
      <w:r>
        <w:rPr>
          <w:i/>
          <w:color w:val="231F20"/>
          <w:sz w:val="20"/>
        </w:rPr>
        <w:t>Familias transnacionales: oportunidad y cambio </w:t>
      </w:r>
      <w:r>
        <w:rPr>
          <w:i/>
          <w:color w:val="231F20"/>
          <w:sz w:val="20"/>
        </w:rPr>
        <w:t>en contexto migratorio</w:t>
      </w:r>
      <w:r>
        <w:rPr>
          <w:color w:val="231F20"/>
          <w:sz w:val="20"/>
        </w:rPr>
        <w:t>, Editorial Universidad de Caldas, Fundación Esperanza, Manizales.</w:t>
      </w:r>
    </w:p>
    <w:p>
      <w:pPr>
        <w:spacing w:line="210" w:lineRule="exact" w:before="113"/>
        <w:ind w:left="117" w:right="115" w:firstLine="0"/>
        <w:jc w:val="both"/>
        <w:rPr>
          <w:sz w:val="20"/>
        </w:rPr>
      </w:pPr>
      <w:r>
        <w:rPr>
          <w:color w:val="231F20"/>
          <w:sz w:val="20"/>
        </w:rPr>
        <w:t>LÓPEZ, Luz María, 2012, “Proyecto familiar y familia en situación de transna- cionalidad en Colombia”, en </w:t>
      </w:r>
      <w:r>
        <w:rPr>
          <w:i/>
          <w:color w:val="231F20"/>
          <w:sz w:val="20"/>
        </w:rPr>
        <w:t>Revista Latinoamericana de Estudios de Familia</w:t>
      </w:r>
      <w:r>
        <w:rPr>
          <w:color w:val="231F20"/>
          <w:sz w:val="20"/>
        </w:rPr>
        <w:t>,  3, Departamento de Estudios de Familia, Manizales, Universidad de Caldas, en proceso de publicación.</w:t>
      </w:r>
    </w:p>
    <w:p>
      <w:pPr>
        <w:spacing w:line="210" w:lineRule="exact" w:before="113"/>
        <w:ind w:left="117" w:right="115" w:firstLine="0"/>
        <w:jc w:val="both"/>
        <w:rPr>
          <w:sz w:val="20"/>
        </w:rPr>
      </w:pPr>
      <w:r>
        <w:rPr>
          <w:color w:val="231F20"/>
          <w:sz w:val="20"/>
        </w:rPr>
        <w:t>LÓPEZ,</w:t>
      </w:r>
      <w:r>
        <w:rPr>
          <w:color w:val="231F20"/>
          <w:spacing w:val="-4"/>
          <w:sz w:val="20"/>
        </w:rPr>
        <w:t> </w:t>
      </w:r>
      <w:r>
        <w:rPr>
          <w:color w:val="231F20"/>
          <w:sz w:val="20"/>
        </w:rPr>
        <w:t>M.,</w:t>
      </w:r>
      <w:r>
        <w:rPr>
          <w:color w:val="231F20"/>
          <w:spacing w:val="-4"/>
          <w:sz w:val="20"/>
        </w:rPr>
        <w:t> </w:t>
      </w:r>
      <w:r>
        <w:rPr>
          <w:color w:val="231F20"/>
          <w:sz w:val="20"/>
        </w:rPr>
        <w:t>Luz</w:t>
      </w:r>
      <w:r>
        <w:rPr>
          <w:color w:val="231F20"/>
          <w:spacing w:val="-4"/>
          <w:sz w:val="20"/>
        </w:rPr>
        <w:t> </w:t>
      </w:r>
      <w:r>
        <w:rPr>
          <w:color w:val="231F20"/>
          <w:sz w:val="20"/>
        </w:rPr>
        <w:t>María,</w:t>
      </w:r>
      <w:r>
        <w:rPr>
          <w:color w:val="231F20"/>
          <w:spacing w:val="-4"/>
          <w:sz w:val="20"/>
        </w:rPr>
        <w:t> </w:t>
      </w:r>
      <w:r>
        <w:rPr>
          <w:color w:val="231F20"/>
          <w:sz w:val="20"/>
        </w:rPr>
        <w:t>María</w:t>
      </w:r>
      <w:r>
        <w:rPr>
          <w:color w:val="231F20"/>
          <w:spacing w:val="-4"/>
          <w:sz w:val="20"/>
        </w:rPr>
        <w:t> </w:t>
      </w:r>
      <w:r>
        <w:rPr>
          <w:color w:val="231F20"/>
          <w:sz w:val="20"/>
        </w:rPr>
        <w:t>Cristina</w:t>
      </w:r>
      <w:r>
        <w:rPr>
          <w:color w:val="231F20"/>
          <w:spacing w:val="-4"/>
          <w:sz w:val="20"/>
        </w:rPr>
        <w:t> </w:t>
      </w:r>
      <w:r>
        <w:rPr>
          <w:color w:val="231F20"/>
          <w:sz w:val="20"/>
        </w:rPr>
        <w:t>Palacio</w:t>
      </w:r>
      <w:r>
        <w:rPr>
          <w:color w:val="231F20"/>
          <w:spacing w:val="-4"/>
          <w:sz w:val="20"/>
        </w:rPr>
        <w:t> </w:t>
      </w:r>
      <w:r>
        <w:rPr>
          <w:color w:val="231F20"/>
          <w:sz w:val="20"/>
        </w:rPr>
        <w:t>y</w:t>
      </w:r>
      <w:r>
        <w:rPr>
          <w:color w:val="231F20"/>
          <w:spacing w:val="-4"/>
          <w:sz w:val="20"/>
        </w:rPr>
        <w:t> </w:t>
      </w:r>
      <w:r>
        <w:rPr>
          <w:color w:val="231F20"/>
          <w:sz w:val="20"/>
        </w:rPr>
        <w:t>Gloria</w:t>
      </w:r>
      <w:r>
        <w:rPr>
          <w:color w:val="231F20"/>
          <w:spacing w:val="-4"/>
          <w:sz w:val="20"/>
        </w:rPr>
        <w:t> </w:t>
      </w:r>
      <w:r>
        <w:rPr>
          <w:color w:val="231F20"/>
          <w:sz w:val="20"/>
        </w:rPr>
        <w:t>Inés</w:t>
      </w:r>
      <w:r>
        <w:rPr>
          <w:color w:val="231F20"/>
          <w:spacing w:val="-4"/>
          <w:sz w:val="20"/>
        </w:rPr>
        <w:t> </w:t>
      </w:r>
      <w:r>
        <w:rPr>
          <w:color w:val="231F20"/>
          <w:sz w:val="20"/>
        </w:rPr>
        <w:t>Sánchez,</w:t>
      </w:r>
      <w:r>
        <w:rPr>
          <w:color w:val="231F20"/>
          <w:spacing w:val="-4"/>
          <w:sz w:val="20"/>
        </w:rPr>
        <w:t> </w:t>
      </w:r>
      <w:r>
        <w:rPr>
          <w:color w:val="231F20"/>
          <w:sz w:val="20"/>
        </w:rPr>
        <w:t>2011,</w:t>
      </w:r>
      <w:r>
        <w:rPr>
          <w:color w:val="231F20"/>
          <w:spacing w:val="-4"/>
          <w:sz w:val="20"/>
        </w:rPr>
        <w:t> </w:t>
      </w:r>
      <w:r>
        <w:rPr>
          <w:color w:val="231F20"/>
          <w:sz w:val="20"/>
        </w:rPr>
        <w:t>“Fa- milia en situación de transnacionalidad”, en </w:t>
      </w:r>
      <w:r>
        <w:rPr>
          <w:i/>
          <w:color w:val="231F20"/>
          <w:sz w:val="20"/>
        </w:rPr>
        <w:t>Cambios y conflictos de las familias </w:t>
      </w:r>
      <w:r>
        <w:rPr>
          <w:i/>
          <w:color w:val="231F20"/>
          <w:sz w:val="20"/>
        </w:rPr>
        <w:t>frente</w:t>
      </w:r>
      <w:r>
        <w:rPr>
          <w:i/>
          <w:color w:val="231F20"/>
          <w:spacing w:val="-12"/>
          <w:sz w:val="20"/>
        </w:rPr>
        <w:t> </w:t>
      </w:r>
      <w:r>
        <w:rPr>
          <w:i/>
          <w:color w:val="231F20"/>
          <w:sz w:val="20"/>
        </w:rPr>
        <w:t>a</w:t>
      </w:r>
      <w:r>
        <w:rPr>
          <w:i/>
          <w:color w:val="231F20"/>
          <w:spacing w:val="-12"/>
          <w:sz w:val="20"/>
        </w:rPr>
        <w:t> </w:t>
      </w:r>
      <w:r>
        <w:rPr>
          <w:i/>
          <w:color w:val="231F20"/>
          <w:sz w:val="20"/>
        </w:rPr>
        <w:t>la</w:t>
      </w:r>
      <w:r>
        <w:rPr>
          <w:i/>
          <w:color w:val="231F20"/>
          <w:spacing w:val="-12"/>
          <w:sz w:val="20"/>
        </w:rPr>
        <w:t> </w:t>
      </w:r>
      <w:r>
        <w:rPr>
          <w:i/>
          <w:color w:val="231F20"/>
          <w:sz w:val="20"/>
        </w:rPr>
        <w:t>migración</w:t>
      </w:r>
      <w:r>
        <w:rPr>
          <w:i/>
          <w:color w:val="231F20"/>
          <w:spacing w:val="-11"/>
          <w:sz w:val="20"/>
        </w:rPr>
        <w:t> </w:t>
      </w:r>
      <w:r>
        <w:rPr>
          <w:i/>
          <w:color w:val="231F20"/>
          <w:sz w:val="20"/>
        </w:rPr>
        <w:t>internacional</w:t>
      </w:r>
      <w:r>
        <w:rPr>
          <w:color w:val="231F20"/>
          <w:sz w:val="20"/>
        </w:rPr>
        <w:t>,</w:t>
      </w:r>
      <w:r>
        <w:rPr>
          <w:color w:val="231F20"/>
          <w:spacing w:val="-12"/>
          <w:sz w:val="20"/>
        </w:rPr>
        <w:t> </w:t>
      </w:r>
      <w:r>
        <w:rPr>
          <w:color w:val="231F20"/>
          <w:sz w:val="20"/>
        </w:rPr>
        <w:t>Universidad</w:t>
      </w:r>
      <w:r>
        <w:rPr>
          <w:color w:val="231F20"/>
          <w:spacing w:val="-11"/>
          <w:sz w:val="20"/>
        </w:rPr>
        <w:t> </w:t>
      </w:r>
      <w:r>
        <w:rPr>
          <w:color w:val="231F20"/>
          <w:sz w:val="20"/>
        </w:rPr>
        <w:t>de</w:t>
      </w:r>
      <w:r>
        <w:rPr>
          <w:color w:val="231F20"/>
          <w:spacing w:val="-12"/>
          <w:sz w:val="20"/>
        </w:rPr>
        <w:t> </w:t>
      </w:r>
      <w:r>
        <w:rPr>
          <w:color w:val="231F20"/>
          <w:sz w:val="20"/>
        </w:rPr>
        <w:t>Caldas,</w:t>
      </w:r>
      <w:r>
        <w:rPr>
          <w:color w:val="231F20"/>
          <w:spacing w:val="-12"/>
          <w:sz w:val="20"/>
        </w:rPr>
        <w:t> </w:t>
      </w:r>
      <w:r>
        <w:rPr>
          <w:color w:val="231F20"/>
          <w:sz w:val="20"/>
        </w:rPr>
        <w:t>Universidad</w:t>
      </w:r>
      <w:r>
        <w:rPr>
          <w:color w:val="231F20"/>
          <w:spacing w:val="-11"/>
          <w:sz w:val="20"/>
        </w:rPr>
        <w:t> </w:t>
      </w:r>
      <w:r>
        <w:rPr>
          <w:color w:val="231F20"/>
          <w:sz w:val="20"/>
        </w:rPr>
        <w:t>de</w:t>
      </w:r>
      <w:r>
        <w:rPr>
          <w:color w:val="231F20"/>
          <w:spacing w:val="-12"/>
          <w:sz w:val="20"/>
        </w:rPr>
        <w:t> </w:t>
      </w:r>
      <w:r>
        <w:rPr>
          <w:color w:val="231F20"/>
          <w:sz w:val="20"/>
        </w:rPr>
        <w:t>Carta- gena, Universidad del </w:t>
      </w:r>
      <w:r>
        <w:rPr>
          <w:color w:val="231F20"/>
          <w:spacing w:val="-4"/>
          <w:sz w:val="20"/>
        </w:rPr>
        <w:t>Valle, </w:t>
      </w:r>
      <w:r>
        <w:rPr>
          <w:color w:val="231F20"/>
          <w:sz w:val="20"/>
        </w:rPr>
        <w:t>Universidad Nacional de</w:t>
      </w:r>
      <w:r>
        <w:rPr>
          <w:color w:val="231F20"/>
          <w:spacing w:val="-27"/>
          <w:sz w:val="20"/>
        </w:rPr>
        <w:t> </w:t>
      </w:r>
      <w:r>
        <w:rPr>
          <w:color w:val="231F20"/>
          <w:sz w:val="20"/>
        </w:rPr>
        <w:t>Colombia.</w:t>
      </w:r>
    </w:p>
    <w:p>
      <w:pPr>
        <w:spacing w:line="210" w:lineRule="exact" w:before="113"/>
        <w:ind w:left="117" w:right="115" w:firstLine="0"/>
        <w:jc w:val="both"/>
        <w:rPr>
          <w:sz w:val="20"/>
        </w:rPr>
      </w:pPr>
      <w:r>
        <w:rPr>
          <w:color w:val="231F20"/>
          <w:sz w:val="20"/>
        </w:rPr>
        <w:t>LÓPEZ, M., Luz María, María Cristina Palacio y Adriana Zapata, 2010, </w:t>
      </w:r>
      <w:r>
        <w:rPr>
          <w:i/>
          <w:color w:val="231F20"/>
          <w:sz w:val="20"/>
        </w:rPr>
        <w:t>Trayec- </w:t>
      </w:r>
      <w:r>
        <w:rPr>
          <w:i/>
          <w:color w:val="231F20"/>
          <w:sz w:val="20"/>
        </w:rPr>
        <w:t>torias de familia e infancia ante la migración internacional paterna o materna: diagnóstico y propuestas</w:t>
      </w:r>
      <w:r>
        <w:rPr>
          <w:color w:val="231F20"/>
          <w:sz w:val="20"/>
        </w:rPr>
        <w:t>, Universidad de Caldas-Cancillería de Colombia. Pro- grama Colombia Nos Une, Manizales.</w:t>
      </w:r>
    </w:p>
    <w:p>
      <w:pPr>
        <w:spacing w:line="210" w:lineRule="exact" w:before="113"/>
        <w:ind w:left="117" w:right="115" w:firstLine="0"/>
        <w:jc w:val="both"/>
        <w:rPr>
          <w:sz w:val="20"/>
        </w:rPr>
      </w:pPr>
      <w:r>
        <w:rPr>
          <w:color w:val="231F20"/>
          <w:sz w:val="20"/>
        </w:rPr>
        <w:t>LÓPEZ,</w:t>
      </w:r>
      <w:r>
        <w:rPr>
          <w:color w:val="231F20"/>
          <w:spacing w:val="-4"/>
          <w:sz w:val="20"/>
        </w:rPr>
        <w:t> </w:t>
      </w:r>
      <w:r>
        <w:rPr>
          <w:color w:val="231F20"/>
          <w:sz w:val="20"/>
        </w:rPr>
        <w:t>M.,</w:t>
      </w:r>
      <w:r>
        <w:rPr>
          <w:color w:val="231F20"/>
          <w:spacing w:val="-4"/>
          <w:sz w:val="20"/>
        </w:rPr>
        <w:t> </w:t>
      </w:r>
      <w:r>
        <w:rPr>
          <w:color w:val="231F20"/>
          <w:sz w:val="20"/>
        </w:rPr>
        <w:t>Luz</w:t>
      </w:r>
      <w:r>
        <w:rPr>
          <w:color w:val="231F20"/>
          <w:spacing w:val="-4"/>
          <w:sz w:val="20"/>
        </w:rPr>
        <w:t> </w:t>
      </w:r>
      <w:r>
        <w:rPr>
          <w:color w:val="231F20"/>
          <w:sz w:val="20"/>
        </w:rPr>
        <w:t>María</w:t>
      </w:r>
      <w:r>
        <w:rPr>
          <w:color w:val="231F20"/>
          <w:spacing w:val="-4"/>
          <w:sz w:val="20"/>
        </w:rPr>
        <w:t> </w:t>
      </w:r>
      <w:r>
        <w:rPr>
          <w:color w:val="231F20"/>
          <w:sz w:val="20"/>
        </w:rPr>
        <w:t>y</w:t>
      </w:r>
      <w:r>
        <w:rPr>
          <w:color w:val="231F20"/>
          <w:spacing w:val="-4"/>
          <w:sz w:val="20"/>
        </w:rPr>
        <w:t> </w:t>
      </w:r>
      <w:r>
        <w:rPr>
          <w:color w:val="231F20"/>
          <w:sz w:val="20"/>
        </w:rPr>
        <w:t>Germán</w:t>
      </w:r>
      <w:r>
        <w:rPr>
          <w:color w:val="231F20"/>
          <w:spacing w:val="-4"/>
          <w:sz w:val="20"/>
        </w:rPr>
        <w:t> </w:t>
      </w:r>
      <w:r>
        <w:rPr>
          <w:color w:val="231F20"/>
          <w:sz w:val="20"/>
        </w:rPr>
        <w:t>Darío</w:t>
      </w:r>
      <w:r>
        <w:rPr>
          <w:color w:val="231F20"/>
          <w:spacing w:val="-4"/>
          <w:sz w:val="20"/>
        </w:rPr>
        <w:t> </w:t>
      </w:r>
      <w:r>
        <w:rPr>
          <w:color w:val="231F20"/>
          <w:sz w:val="20"/>
        </w:rPr>
        <w:t>Herrera</w:t>
      </w:r>
      <w:r>
        <w:rPr>
          <w:color w:val="231F20"/>
          <w:spacing w:val="-4"/>
          <w:sz w:val="20"/>
        </w:rPr>
        <w:t> </w:t>
      </w:r>
      <w:r>
        <w:rPr>
          <w:color w:val="231F20"/>
          <w:spacing w:val="-3"/>
          <w:sz w:val="20"/>
        </w:rPr>
        <w:t>Saray,</w:t>
      </w:r>
      <w:r>
        <w:rPr>
          <w:color w:val="231F20"/>
          <w:spacing w:val="-4"/>
          <w:sz w:val="20"/>
        </w:rPr>
        <w:t> </w:t>
      </w:r>
      <w:r>
        <w:rPr>
          <w:color w:val="231F20"/>
          <w:sz w:val="20"/>
        </w:rPr>
        <w:t>2012a,</w:t>
      </w:r>
      <w:r>
        <w:rPr>
          <w:color w:val="231F20"/>
          <w:spacing w:val="-4"/>
          <w:sz w:val="20"/>
        </w:rPr>
        <w:t> </w:t>
      </w:r>
      <w:r>
        <w:rPr>
          <w:color w:val="231F20"/>
          <w:sz w:val="20"/>
        </w:rPr>
        <w:t>“Epistemología</w:t>
      </w:r>
      <w:r>
        <w:rPr>
          <w:color w:val="231F20"/>
          <w:spacing w:val="-5"/>
          <w:sz w:val="20"/>
        </w:rPr>
        <w:t> </w:t>
      </w:r>
      <w:r>
        <w:rPr>
          <w:color w:val="231F20"/>
          <w:sz w:val="20"/>
        </w:rPr>
        <w:t>de la ciencia de familia/estudios de familia”, en III Encuentro Latinoamericano De Metodología</w:t>
      </w:r>
      <w:r>
        <w:rPr>
          <w:color w:val="231F20"/>
          <w:spacing w:val="-6"/>
          <w:sz w:val="20"/>
        </w:rPr>
        <w:t> </w:t>
      </w:r>
      <w:r>
        <w:rPr>
          <w:color w:val="231F20"/>
          <w:sz w:val="20"/>
        </w:rPr>
        <w:t>de</w:t>
      </w:r>
      <w:r>
        <w:rPr>
          <w:color w:val="231F20"/>
          <w:spacing w:val="-6"/>
          <w:sz w:val="20"/>
        </w:rPr>
        <w:t> </w:t>
      </w:r>
      <w:r>
        <w:rPr>
          <w:color w:val="231F20"/>
          <w:sz w:val="20"/>
        </w:rPr>
        <w:t>las</w:t>
      </w:r>
      <w:r>
        <w:rPr>
          <w:color w:val="231F20"/>
          <w:spacing w:val="-7"/>
          <w:sz w:val="20"/>
        </w:rPr>
        <w:t> </w:t>
      </w:r>
      <w:r>
        <w:rPr>
          <w:color w:val="231F20"/>
          <w:sz w:val="20"/>
        </w:rPr>
        <w:t>Ciencias</w:t>
      </w:r>
      <w:r>
        <w:rPr>
          <w:color w:val="231F20"/>
          <w:spacing w:val="-6"/>
          <w:sz w:val="20"/>
        </w:rPr>
        <w:t> </w:t>
      </w:r>
      <w:r>
        <w:rPr>
          <w:color w:val="231F20"/>
          <w:sz w:val="20"/>
        </w:rPr>
        <w:t>Sociales,</w:t>
      </w:r>
      <w:r>
        <w:rPr>
          <w:color w:val="231F20"/>
          <w:spacing w:val="-6"/>
          <w:sz w:val="20"/>
        </w:rPr>
        <w:t> </w:t>
      </w:r>
      <w:r>
        <w:rPr>
          <w:color w:val="231F20"/>
          <w:sz w:val="20"/>
        </w:rPr>
        <w:t>30-31</w:t>
      </w:r>
      <w:r>
        <w:rPr>
          <w:color w:val="231F20"/>
          <w:spacing w:val="-6"/>
          <w:sz w:val="20"/>
        </w:rPr>
        <w:t> </w:t>
      </w:r>
      <w:r>
        <w:rPr>
          <w:color w:val="231F20"/>
          <w:sz w:val="20"/>
        </w:rPr>
        <w:t>de</w:t>
      </w:r>
      <w:r>
        <w:rPr>
          <w:color w:val="231F20"/>
          <w:spacing w:val="-6"/>
          <w:sz w:val="20"/>
        </w:rPr>
        <w:t> </w:t>
      </w:r>
      <w:r>
        <w:rPr>
          <w:color w:val="231F20"/>
          <w:sz w:val="20"/>
        </w:rPr>
        <w:t>agosto</w:t>
      </w:r>
      <w:r>
        <w:rPr>
          <w:color w:val="231F20"/>
          <w:spacing w:val="-7"/>
          <w:sz w:val="20"/>
        </w:rPr>
        <w:t> </w:t>
      </w:r>
      <w:r>
        <w:rPr>
          <w:color w:val="231F20"/>
          <w:sz w:val="20"/>
        </w:rPr>
        <w:t>y</w:t>
      </w:r>
      <w:r>
        <w:rPr>
          <w:color w:val="231F20"/>
          <w:spacing w:val="-6"/>
          <w:sz w:val="20"/>
        </w:rPr>
        <w:t> </w:t>
      </w:r>
      <w:r>
        <w:rPr>
          <w:color w:val="231F20"/>
          <w:sz w:val="20"/>
        </w:rPr>
        <w:t>1</w:t>
      </w:r>
      <w:r>
        <w:rPr>
          <w:color w:val="231F20"/>
          <w:spacing w:val="-6"/>
          <w:sz w:val="20"/>
        </w:rPr>
        <w:t> </w:t>
      </w:r>
      <w:r>
        <w:rPr>
          <w:color w:val="231F20"/>
          <w:sz w:val="20"/>
        </w:rPr>
        <w:t>de</w:t>
      </w:r>
      <w:r>
        <w:rPr>
          <w:color w:val="231F20"/>
          <w:spacing w:val="-6"/>
          <w:sz w:val="20"/>
        </w:rPr>
        <w:t> </w:t>
      </w:r>
      <w:r>
        <w:rPr>
          <w:color w:val="231F20"/>
          <w:sz w:val="20"/>
        </w:rPr>
        <w:t>septiembre</w:t>
      </w:r>
      <w:r>
        <w:rPr>
          <w:color w:val="231F20"/>
          <w:spacing w:val="-6"/>
          <w:sz w:val="20"/>
        </w:rPr>
        <w:t> </w:t>
      </w:r>
      <w:r>
        <w:rPr>
          <w:color w:val="231F20"/>
          <w:sz w:val="20"/>
        </w:rPr>
        <w:t>de</w:t>
      </w:r>
      <w:r>
        <w:rPr>
          <w:color w:val="231F20"/>
          <w:spacing w:val="-6"/>
          <w:sz w:val="20"/>
        </w:rPr>
        <w:t> </w:t>
      </w:r>
      <w:r>
        <w:rPr>
          <w:color w:val="231F20"/>
          <w:sz w:val="20"/>
        </w:rPr>
        <w:t>2012. Mesa</w:t>
      </w:r>
      <w:r>
        <w:rPr>
          <w:color w:val="231F20"/>
          <w:spacing w:val="-8"/>
          <w:sz w:val="20"/>
        </w:rPr>
        <w:t> </w:t>
      </w:r>
      <w:r>
        <w:rPr>
          <w:color w:val="231F20"/>
          <w:sz w:val="20"/>
        </w:rPr>
        <w:t>1.</w:t>
      </w:r>
      <w:r>
        <w:rPr>
          <w:color w:val="231F20"/>
          <w:spacing w:val="-8"/>
          <w:sz w:val="20"/>
        </w:rPr>
        <w:t> </w:t>
      </w:r>
      <w:r>
        <w:rPr>
          <w:color w:val="231F20"/>
          <w:sz w:val="20"/>
        </w:rPr>
        <w:t>Debates</w:t>
      </w:r>
      <w:r>
        <w:rPr>
          <w:color w:val="231F20"/>
          <w:spacing w:val="-8"/>
          <w:sz w:val="20"/>
        </w:rPr>
        <w:t> </w:t>
      </w:r>
      <w:r>
        <w:rPr>
          <w:color w:val="231F20"/>
          <w:sz w:val="20"/>
        </w:rPr>
        <w:t>Contemporáneos</w:t>
      </w:r>
      <w:r>
        <w:rPr>
          <w:color w:val="231F20"/>
          <w:spacing w:val="-8"/>
          <w:sz w:val="20"/>
        </w:rPr>
        <w:t> </w:t>
      </w:r>
      <w:r>
        <w:rPr>
          <w:color w:val="231F20"/>
          <w:sz w:val="20"/>
        </w:rPr>
        <w:t>en</w:t>
      </w:r>
      <w:r>
        <w:rPr>
          <w:color w:val="231F20"/>
          <w:spacing w:val="-8"/>
          <w:sz w:val="20"/>
        </w:rPr>
        <w:t> </w:t>
      </w:r>
      <w:r>
        <w:rPr>
          <w:color w:val="231F20"/>
          <w:sz w:val="20"/>
        </w:rPr>
        <w:t>Epistemología</w:t>
      </w:r>
      <w:r>
        <w:rPr>
          <w:color w:val="231F20"/>
          <w:spacing w:val="-9"/>
          <w:sz w:val="20"/>
        </w:rPr>
        <w:t> </w:t>
      </w:r>
      <w:r>
        <w:rPr>
          <w:color w:val="231F20"/>
          <w:sz w:val="20"/>
        </w:rPr>
        <w:t>de</w:t>
      </w:r>
      <w:r>
        <w:rPr>
          <w:color w:val="231F20"/>
          <w:spacing w:val="-8"/>
          <w:sz w:val="20"/>
        </w:rPr>
        <w:t> </w:t>
      </w:r>
      <w:r>
        <w:rPr>
          <w:color w:val="231F20"/>
          <w:sz w:val="20"/>
        </w:rPr>
        <w:t>las</w:t>
      </w:r>
      <w:r>
        <w:rPr>
          <w:color w:val="231F20"/>
          <w:spacing w:val="-8"/>
          <w:sz w:val="20"/>
        </w:rPr>
        <w:t> </w:t>
      </w:r>
      <w:r>
        <w:rPr>
          <w:color w:val="231F20"/>
          <w:sz w:val="20"/>
        </w:rPr>
        <w:t>Ciencias</w:t>
      </w:r>
      <w:r>
        <w:rPr>
          <w:color w:val="231F20"/>
          <w:spacing w:val="-8"/>
          <w:sz w:val="20"/>
        </w:rPr>
        <w:t> </w:t>
      </w:r>
      <w:r>
        <w:rPr>
          <w:color w:val="231F20"/>
          <w:sz w:val="20"/>
        </w:rPr>
        <w:t>Sociales,</w:t>
      </w:r>
      <w:r>
        <w:rPr>
          <w:color w:val="231F20"/>
          <w:spacing w:val="-8"/>
          <w:sz w:val="20"/>
        </w:rPr>
        <w:t> </w:t>
      </w:r>
      <w:r>
        <w:rPr>
          <w:color w:val="231F20"/>
          <w:sz w:val="20"/>
        </w:rPr>
        <w:t>Ma- nizales, Colombia.</w:t>
      </w:r>
    </w:p>
    <w:p>
      <w:pPr>
        <w:spacing w:line="210" w:lineRule="exact" w:before="113"/>
        <w:ind w:left="117" w:right="115" w:firstLine="0"/>
        <w:jc w:val="both"/>
        <w:rPr>
          <w:sz w:val="20"/>
        </w:rPr>
      </w:pPr>
      <w:r>
        <w:rPr>
          <w:color w:val="231F20"/>
          <w:sz w:val="20"/>
        </w:rPr>
        <w:t>LÓPEZ,</w:t>
      </w:r>
      <w:r>
        <w:rPr>
          <w:color w:val="231F20"/>
          <w:spacing w:val="-9"/>
          <w:sz w:val="20"/>
        </w:rPr>
        <w:t> </w:t>
      </w:r>
      <w:r>
        <w:rPr>
          <w:color w:val="231F20"/>
          <w:sz w:val="20"/>
        </w:rPr>
        <w:t>M.,</w:t>
      </w:r>
      <w:r>
        <w:rPr>
          <w:color w:val="231F20"/>
          <w:spacing w:val="-9"/>
          <w:sz w:val="20"/>
        </w:rPr>
        <w:t> </w:t>
      </w:r>
      <w:r>
        <w:rPr>
          <w:color w:val="231F20"/>
          <w:sz w:val="20"/>
        </w:rPr>
        <w:t>Luz</w:t>
      </w:r>
      <w:r>
        <w:rPr>
          <w:color w:val="231F20"/>
          <w:spacing w:val="-9"/>
          <w:sz w:val="20"/>
        </w:rPr>
        <w:t> </w:t>
      </w:r>
      <w:r>
        <w:rPr>
          <w:color w:val="231F20"/>
          <w:sz w:val="20"/>
        </w:rPr>
        <w:t>María</w:t>
      </w:r>
      <w:r>
        <w:rPr>
          <w:color w:val="231F20"/>
          <w:spacing w:val="-9"/>
          <w:sz w:val="20"/>
        </w:rPr>
        <w:t> </w:t>
      </w:r>
      <w:r>
        <w:rPr>
          <w:color w:val="231F20"/>
          <w:sz w:val="20"/>
        </w:rPr>
        <w:t>y</w:t>
      </w:r>
      <w:r>
        <w:rPr>
          <w:color w:val="231F20"/>
          <w:spacing w:val="-9"/>
          <w:sz w:val="20"/>
        </w:rPr>
        <w:t> </w:t>
      </w:r>
      <w:r>
        <w:rPr>
          <w:color w:val="231F20"/>
          <w:sz w:val="20"/>
        </w:rPr>
        <w:t>Germán</w:t>
      </w:r>
      <w:r>
        <w:rPr>
          <w:color w:val="231F20"/>
          <w:spacing w:val="-9"/>
          <w:sz w:val="20"/>
        </w:rPr>
        <w:t> </w:t>
      </w:r>
      <w:r>
        <w:rPr>
          <w:color w:val="231F20"/>
          <w:sz w:val="20"/>
        </w:rPr>
        <w:t>Darío</w:t>
      </w:r>
      <w:r>
        <w:rPr>
          <w:color w:val="231F20"/>
          <w:spacing w:val="-9"/>
          <w:sz w:val="20"/>
        </w:rPr>
        <w:t> </w:t>
      </w:r>
      <w:r>
        <w:rPr>
          <w:color w:val="231F20"/>
          <w:sz w:val="20"/>
        </w:rPr>
        <w:t>Herrera</w:t>
      </w:r>
      <w:r>
        <w:rPr>
          <w:color w:val="231F20"/>
          <w:spacing w:val="-9"/>
          <w:sz w:val="20"/>
        </w:rPr>
        <w:t> </w:t>
      </w:r>
      <w:r>
        <w:rPr>
          <w:color w:val="231F20"/>
          <w:spacing w:val="-3"/>
          <w:sz w:val="20"/>
        </w:rPr>
        <w:t>Saray,</w:t>
      </w:r>
      <w:r>
        <w:rPr>
          <w:color w:val="231F20"/>
          <w:spacing w:val="-9"/>
          <w:sz w:val="20"/>
        </w:rPr>
        <w:t> </w:t>
      </w:r>
      <w:r>
        <w:rPr>
          <w:color w:val="231F20"/>
          <w:sz w:val="20"/>
        </w:rPr>
        <w:t>2012b,</w:t>
      </w:r>
      <w:r>
        <w:rPr>
          <w:color w:val="231F20"/>
          <w:spacing w:val="-9"/>
          <w:sz w:val="20"/>
        </w:rPr>
        <w:t> </w:t>
      </w:r>
      <w:r>
        <w:rPr>
          <w:i/>
          <w:color w:val="231F20"/>
          <w:sz w:val="20"/>
        </w:rPr>
        <w:t>Sentimientos,</w:t>
      </w:r>
      <w:r>
        <w:rPr>
          <w:i/>
          <w:color w:val="231F20"/>
          <w:spacing w:val="-9"/>
          <w:sz w:val="20"/>
        </w:rPr>
        <w:t> </w:t>
      </w:r>
      <w:r>
        <w:rPr>
          <w:i/>
          <w:color w:val="231F20"/>
          <w:sz w:val="20"/>
        </w:rPr>
        <w:t>emo- </w:t>
      </w:r>
      <w:r>
        <w:rPr>
          <w:i/>
          <w:color w:val="231F20"/>
          <w:sz w:val="20"/>
        </w:rPr>
        <w:t>ciones</w:t>
      </w:r>
      <w:r>
        <w:rPr>
          <w:i/>
          <w:color w:val="231F20"/>
          <w:spacing w:val="-11"/>
          <w:sz w:val="20"/>
        </w:rPr>
        <w:t> </w:t>
      </w:r>
      <w:r>
        <w:rPr>
          <w:i/>
          <w:color w:val="231F20"/>
          <w:sz w:val="20"/>
        </w:rPr>
        <w:t>y</w:t>
      </w:r>
      <w:r>
        <w:rPr>
          <w:i/>
          <w:color w:val="231F20"/>
          <w:spacing w:val="-11"/>
          <w:sz w:val="20"/>
        </w:rPr>
        <w:t> </w:t>
      </w:r>
      <w:r>
        <w:rPr>
          <w:i/>
          <w:color w:val="231F20"/>
          <w:sz w:val="20"/>
        </w:rPr>
        <w:t>cuidado</w:t>
      </w:r>
      <w:r>
        <w:rPr>
          <w:i/>
          <w:color w:val="231F20"/>
          <w:spacing w:val="-11"/>
          <w:sz w:val="20"/>
        </w:rPr>
        <w:t> </w:t>
      </w:r>
      <w:r>
        <w:rPr>
          <w:i/>
          <w:color w:val="231F20"/>
          <w:sz w:val="20"/>
        </w:rPr>
        <w:t>en</w:t>
      </w:r>
      <w:r>
        <w:rPr>
          <w:i/>
          <w:color w:val="231F20"/>
          <w:spacing w:val="-11"/>
          <w:sz w:val="20"/>
        </w:rPr>
        <w:t> </w:t>
      </w:r>
      <w:r>
        <w:rPr>
          <w:i/>
          <w:color w:val="231F20"/>
          <w:sz w:val="20"/>
        </w:rPr>
        <w:t>la</w:t>
      </w:r>
      <w:r>
        <w:rPr>
          <w:i/>
          <w:color w:val="231F20"/>
          <w:spacing w:val="-11"/>
          <w:sz w:val="20"/>
        </w:rPr>
        <w:t> </w:t>
      </w:r>
      <w:r>
        <w:rPr>
          <w:i/>
          <w:color w:val="231F20"/>
          <w:sz w:val="20"/>
        </w:rPr>
        <w:t>familia</w:t>
      </w:r>
      <w:r>
        <w:rPr>
          <w:i/>
          <w:color w:val="231F20"/>
          <w:spacing w:val="-11"/>
          <w:sz w:val="20"/>
        </w:rPr>
        <w:t> </w:t>
      </w:r>
      <w:r>
        <w:rPr>
          <w:i/>
          <w:color w:val="231F20"/>
          <w:sz w:val="20"/>
        </w:rPr>
        <w:t>en</w:t>
      </w:r>
      <w:r>
        <w:rPr>
          <w:i/>
          <w:color w:val="231F20"/>
          <w:spacing w:val="-11"/>
          <w:sz w:val="20"/>
        </w:rPr>
        <w:t> </w:t>
      </w:r>
      <w:r>
        <w:rPr>
          <w:i/>
          <w:color w:val="231F20"/>
          <w:sz w:val="20"/>
        </w:rPr>
        <w:t>situación</w:t>
      </w:r>
      <w:r>
        <w:rPr>
          <w:i/>
          <w:color w:val="231F20"/>
          <w:spacing w:val="-10"/>
          <w:sz w:val="20"/>
        </w:rPr>
        <w:t> </w:t>
      </w:r>
      <w:r>
        <w:rPr>
          <w:i/>
          <w:color w:val="231F20"/>
          <w:sz w:val="20"/>
        </w:rPr>
        <w:t>de</w:t>
      </w:r>
      <w:r>
        <w:rPr>
          <w:i/>
          <w:color w:val="231F20"/>
          <w:spacing w:val="-11"/>
          <w:sz w:val="20"/>
        </w:rPr>
        <w:t> </w:t>
      </w:r>
      <w:r>
        <w:rPr>
          <w:i/>
          <w:color w:val="231F20"/>
          <w:sz w:val="20"/>
        </w:rPr>
        <w:t>trasnacionalidad:</w:t>
      </w:r>
      <w:r>
        <w:rPr>
          <w:i/>
          <w:color w:val="231F20"/>
          <w:spacing w:val="-12"/>
          <w:sz w:val="20"/>
        </w:rPr>
        <w:t> </w:t>
      </w:r>
      <w:r>
        <w:rPr>
          <w:i/>
          <w:color w:val="231F20"/>
          <w:sz w:val="20"/>
        </w:rPr>
        <w:t>cambios</w:t>
      </w:r>
      <w:r>
        <w:rPr>
          <w:i/>
          <w:color w:val="231F20"/>
          <w:spacing w:val="-11"/>
          <w:sz w:val="20"/>
        </w:rPr>
        <w:t> </w:t>
      </w:r>
      <w:r>
        <w:rPr>
          <w:i/>
          <w:color w:val="231F20"/>
          <w:sz w:val="20"/>
        </w:rPr>
        <w:t>y</w:t>
      </w:r>
      <w:r>
        <w:rPr>
          <w:i/>
          <w:color w:val="231F20"/>
          <w:spacing w:val="-11"/>
          <w:sz w:val="20"/>
        </w:rPr>
        <w:t> </w:t>
      </w:r>
      <w:r>
        <w:rPr>
          <w:i/>
          <w:color w:val="231F20"/>
          <w:sz w:val="20"/>
        </w:rPr>
        <w:t>perma- nencias</w:t>
      </w:r>
      <w:r>
        <w:rPr>
          <w:color w:val="231F20"/>
          <w:sz w:val="20"/>
        </w:rPr>
        <w:t>, en I Seminario Internacional y II Nacional de Familias</w:t>
      </w:r>
      <w:r>
        <w:rPr>
          <w:color w:val="231F20"/>
          <w:spacing w:val="25"/>
          <w:sz w:val="20"/>
        </w:rPr>
        <w:t> </w:t>
      </w:r>
      <w:r>
        <w:rPr>
          <w:color w:val="231F20"/>
          <w:sz w:val="20"/>
        </w:rPr>
        <w:t>Contemporáneas</w:t>
      </w:r>
    </w:p>
    <w:p>
      <w:pPr>
        <w:spacing w:after="0" w:line="210" w:lineRule="exact"/>
        <w:jc w:val="both"/>
        <w:rPr>
          <w:sz w:val="20"/>
        </w:rPr>
        <w:sectPr>
          <w:pgSz w:w="9360" w:h="13040"/>
          <w:pgMar w:header="0" w:footer="496" w:top="800" w:bottom="680" w:left="1300" w:right="1300"/>
        </w:sectPr>
      </w:pPr>
    </w:p>
    <w:p>
      <w:pPr>
        <w:spacing w:before="45"/>
        <w:ind w:left="117" w:right="0" w:firstLine="2714"/>
        <w:jc w:val="left"/>
        <w:rPr>
          <w:rFonts w:ascii="Arial" w:hAnsi="Arial"/>
          <w:sz w:val="20"/>
        </w:rPr>
      </w:pPr>
      <w:r>
        <w:rPr>
          <w:rFonts w:ascii="Arial" w:hAnsi="Arial"/>
          <w:color w:val="231F20"/>
          <w:w w:val="74"/>
          <w:sz w:val="20"/>
        </w:rPr>
        <w:t>Familias</w:t>
      </w:r>
      <w:r>
        <w:rPr>
          <w:rFonts w:ascii="Arial" w:hAnsi="Arial"/>
          <w:color w:val="231F20"/>
          <w:spacing w:val="-1"/>
          <w:sz w:val="20"/>
        </w:rPr>
        <w:t> </w:t>
      </w:r>
      <w:r>
        <w:rPr>
          <w:rFonts w:ascii="Arial" w:hAnsi="Arial"/>
          <w:color w:val="231F20"/>
          <w:spacing w:val="-1"/>
          <w:w w:val="72"/>
          <w:sz w:val="20"/>
        </w:rPr>
        <w:t>transnacionale</w:t>
      </w:r>
      <w:r>
        <w:rPr>
          <w:rFonts w:ascii="Arial" w:hAnsi="Arial"/>
          <w:color w:val="231F20"/>
          <w:w w:val="72"/>
          <w:sz w:val="20"/>
        </w:rPr>
        <w:t>s</w:t>
      </w:r>
      <w:r>
        <w:rPr>
          <w:rFonts w:ascii="Arial" w:hAnsi="Arial"/>
          <w:color w:val="231F20"/>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1"/>
          <w:sz w:val="20"/>
        </w:rPr>
        <w:t>Colombia</w:t>
      </w:r>
      <w:r>
        <w:rPr>
          <w:rFonts w:ascii="Arial" w:hAnsi="Arial"/>
          <w:color w:val="231F20"/>
          <w:spacing w:val="-1"/>
          <w:sz w:val="20"/>
        </w:rPr>
        <w:t> </w:t>
      </w:r>
      <w:r>
        <w:rPr>
          <w:rFonts w:ascii="Arial" w:hAnsi="Arial"/>
          <w:color w:val="231F20"/>
          <w:spacing w:val="-1"/>
          <w:w w:val="99"/>
          <w:sz w:val="20"/>
        </w:rPr>
        <w:t>/</w:t>
      </w:r>
      <w:r>
        <w:rPr>
          <w:rFonts w:ascii="Arial" w:hAnsi="Arial"/>
          <w:color w:val="231F20"/>
          <w:w w:val="48"/>
          <w:sz w:val="20"/>
        </w:rPr>
        <w:t>Luz</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50"/>
          <w:sz w:val="20"/>
        </w:rPr>
        <w:t>López-Montaño</w:t>
      </w:r>
    </w:p>
    <w:p>
      <w:pPr>
        <w:pStyle w:val="BodyText"/>
        <w:spacing w:before="9"/>
        <w:rPr>
          <w:rFonts w:ascii="Arial"/>
          <w:sz w:val="29"/>
        </w:rPr>
      </w:pPr>
    </w:p>
    <w:p>
      <w:pPr>
        <w:spacing w:line="210" w:lineRule="exact" w:before="0"/>
        <w:ind w:left="117" w:right="115" w:firstLine="0"/>
        <w:jc w:val="both"/>
        <w:rPr>
          <w:sz w:val="20"/>
        </w:rPr>
      </w:pPr>
      <w:r>
        <w:rPr>
          <w:color w:val="231F20"/>
          <w:sz w:val="20"/>
        </w:rPr>
        <w:t>y</w:t>
      </w:r>
      <w:r>
        <w:rPr>
          <w:color w:val="231F20"/>
          <w:spacing w:val="-4"/>
          <w:sz w:val="20"/>
        </w:rPr>
        <w:t> </w:t>
      </w:r>
      <w:r>
        <w:rPr>
          <w:color w:val="231F20"/>
          <w:sz w:val="20"/>
        </w:rPr>
        <w:t>Políticas</w:t>
      </w:r>
      <w:r>
        <w:rPr>
          <w:color w:val="231F20"/>
          <w:spacing w:val="-5"/>
          <w:sz w:val="20"/>
        </w:rPr>
        <w:t> </w:t>
      </w:r>
      <w:r>
        <w:rPr>
          <w:color w:val="231F20"/>
          <w:sz w:val="20"/>
        </w:rPr>
        <w:t>Públicas</w:t>
      </w:r>
      <w:r>
        <w:rPr>
          <w:color w:val="231F20"/>
          <w:spacing w:val="-4"/>
          <w:sz w:val="20"/>
        </w:rPr>
        <w:t> </w:t>
      </w:r>
      <w:r>
        <w:rPr>
          <w:color w:val="231F20"/>
          <w:sz w:val="20"/>
        </w:rPr>
        <w:t>Eje</w:t>
      </w:r>
      <w:r>
        <w:rPr>
          <w:color w:val="231F20"/>
          <w:spacing w:val="-4"/>
          <w:sz w:val="20"/>
        </w:rPr>
        <w:t> </w:t>
      </w:r>
      <w:r>
        <w:rPr>
          <w:color w:val="231F20"/>
          <w:sz w:val="20"/>
        </w:rPr>
        <w:t>temático</w:t>
      </w:r>
      <w:r>
        <w:rPr>
          <w:color w:val="231F20"/>
          <w:spacing w:val="-5"/>
          <w:sz w:val="20"/>
        </w:rPr>
        <w:t> </w:t>
      </w:r>
      <w:r>
        <w:rPr>
          <w:color w:val="231F20"/>
          <w:sz w:val="20"/>
        </w:rPr>
        <w:t>1:</w:t>
      </w:r>
      <w:r>
        <w:rPr>
          <w:color w:val="231F20"/>
          <w:spacing w:val="-4"/>
          <w:sz w:val="20"/>
        </w:rPr>
        <w:t> </w:t>
      </w:r>
      <w:r>
        <w:rPr>
          <w:color w:val="231F20"/>
          <w:sz w:val="20"/>
        </w:rPr>
        <w:t>Familias,</w:t>
      </w:r>
      <w:r>
        <w:rPr>
          <w:color w:val="231F20"/>
          <w:spacing w:val="-4"/>
          <w:sz w:val="20"/>
        </w:rPr>
        <w:t> </w:t>
      </w:r>
      <w:r>
        <w:rPr>
          <w:color w:val="231F20"/>
          <w:sz w:val="20"/>
        </w:rPr>
        <w:t>Migración</w:t>
      </w:r>
      <w:r>
        <w:rPr>
          <w:color w:val="231F20"/>
          <w:spacing w:val="-4"/>
          <w:sz w:val="20"/>
        </w:rPr>
        <w:t> </w:t>
      </w:r>
      <w:r>
        <w:rPr>
          <w:color w:val="231F20"/>
          <w:sz w:val="20"/>
        </w:rPr>
        <w:t>y</w:t>
      </w:r>
      <w:r>
        <w:rPr>
          <w:color w:val="231F20"/>
          <w:spacing w:val="-4"/>
          <w:sz w:val="20"/>
        </w:rPr>
        <w:t> </w:t>
      </w:r>
      <w:r>
        <w:rPr>
          <w:color w:val="231F20"/>
          <w:sz w:val="20"/>
        </w:rPr>
        <w:t>Globalización,</w:t>
      </w:r>
      <w:r>
        <w:rPr>
          <w:color w:val="231F20"/>
          <w:spacing w:val="-5"/>
          <w:sz w:val="20"/>
        </w:rPr>
        <w:t> </w:t>
      </w:r>
      <w:r>
        <w:rPr>
          <w:color w:val="231F20"/>
          <w:sz w:val="20"/>
        </w:rPr>
        <w:t>8</w:t>
      </w:r>
      <w:r>
        <w:rPr>
          <w:color w:val="231F20"/>
          <w:spacing w:val="-4"/>
          <w:sz w:val="20"/>
        </w:rPr>
        <w:t> </w:t>
      </w:r>
      <w:r>
        <w:rPr>
          <w:color w:val="231F20"/>
          <w:sz w:val="20"/>
        </w:rPr>
        <w:t>9</w:t>
      </w:r>
      <w:r>
        <w:rPr>
          <w:color w:val="231F20"/>
          <w:spacing w:val="-4"/>
          <w:sz w:val="20"/>
        </w:rPr>
        <w:t> </w:t>
      </w:r>
      <w:r>
        <w:rPr>
          <w:color w:val="231F20"/>
          <w:sz w:val="20"/>
        </w:rPr>
        <w:t>y</w:t>
      </w:r>
      <w:r>
        <w:rPr>
          <w:color w:val="231F20"/>
          <w:spacing w:val="-4"/>
          <w:sz w:val="20"/>
        </w:rPr>
        <w:t> </w:t>
      </w:r>
      <w:r>
        <w:rPr>
          <w:color w:val="231F20"/>
          <w:sz w:val="20"/>
        </w:rPr>
        <w:t>10 de 2012, Cartagena de Indias, Colombia.</w:t>
      </w:r>
    </w:p>
    <w:p>
      <w:pPr>
        <w:spacing w:line="210" w:lineRule="exact" w:before="113"/>
        <w:ind w:left="117" w:right="114" w:firstLine="0"/>
        <w:jc w:val="both"/>
        <w:rPr>
          <w:sz w:val="20"/>
        </w:rPr>
      </w:pPr>
      <w:r>
        <w:rPr>
          <w:color w:val="231F20"/>
          <w:sz w:val="20"/>
        </w:rPr>
        <w:t>MARTÍN,</w:t>
      </w:r>
      <w:r>
        <w:rPr>
          <w:color w:val="231F20"/>
          <w:spacing w:val="-8"/>
          <w:sz w:val="20"/>
        </w:rPr>
        <w:t> </w:t>
      </w:r>
      <w:r>
        <w:rPr>
          <w:color w:val="231F20"/>
          <w:sz w:val="20"/>
        </w:rPr>
        <w:t>Consuelo</w:t>
      </w:r>
      <w:r>
        <w:rPr>
          <w:color w:val="231F20"/>
          <w:spacing w:val="-8"/>
          <w:sz w:val="20"/>
        </w:rPr>
        <w:t> </w:t>
      </w:r>
      <w:r>
        <w:rPr>
          <w:color w:val="231F20"/>
          <w:sz w:val="20"/>
        </w:rPr>
        <w:t>y</w:t>
      </w:r>
      <w:r>
        <w:rPr>
          <w:color w:val="231F20"/>
          <w:spacing w:val="-14"/>
          <w:sz w:val="20"/>
        </w:rPr>
        <w:t> </w:t>
      </w:r>
      <w:r>
        <w:rPr>
          <w:color w:val="231F20"/>
          <w:spacing w:val="-4"/>
          <w:sz w:val="20"/>
        </w:rPr>
        <w:t>Yil</w:t>
      </w:r>
      <w:r>
        <w:rPr>
          <w:color w:val="231F20"/>
          <w:spacing w:val="-18"/>
          <w:sz w:val="20"/>
        </w:rPr>
        <w:t> </w:t>
      </w:r>
      <w:r>
        <w:rPr>
          <w:color w:val="231F20"/>
          <w:sz w:val="20"/>
        </w:rPr>
        <w:t>Aida</w:t>
      </w:r>
      <w:r>
        <w:rPr>
          <w:color w:val="231F20"/>
          <w:spacing w:val="-8"/>
          <w:sz w:val="20"/>
        </w:rPr>
        <w:t> </w:t>
      </w:r>
      <w:r>
        <w:rPr>
          <w:color w:val="231F20"/>
          <w:sz w:val="20"/>
        </w:rPr>
        <w:t>Felipe,</w:t>
      </w:r>
      <w:r>
        <w:rPr>
          <w:color w:val="231F20"/>
          <w:spacing w:val="-7"/>
          <w:sz w:val="20"/>
        </w:rPr>
        <w:t> </w:t>
      </w:r>
      <w:r>
        <w:rPr>
          <w:color w:val="231F20"/>
          <w:sz w:val="20"/>
        </w:rPr>
        <w:t>2006,</w:t>
      </w:r>
      <w:r>
        <w:rPr>
          <w:color w:val="231F20"/>
          <w:spacing w:val="-8"/>
          <w:sz w:val="20"/>
        </w:rPr>
        <w:t> </w:t>
      </w:r>
      <w:r>
        <w:rPr>
          <w:i/>
          <w:color w:val="231F20"/>
          <w:sz w:val="20"/>
        </w:rPr>
        <w:t>Prácticas</w:t>
      </w:r>
      <w:r>
        <w:rPr>
          <w:i/>
          <w:color w:val="231F20"/>
          <w:spacing w:val="-8"/>
          <w:sz w:val="20"/>
        </w:rPr>
        <w:t> </w:t>
      </w:r>
      <w:r>
        <w:rPr>
          <w:i/>
          <w:color w:val="231F20"/>
          <w:sz w:val="20"/>
        </w:rPr>
        <w:t>transnacionales</w:t>
      </w:r>
      <w:r>
        <w:rPr>
          <w:i/>
          <w:color w:val="231F20"/>
          <w:spacing w:val="-9"/>
          <w:sz w:val="20"/>
        </w:rPr>
        <w:t> </w:t>
      </w:r>
      <w:r>
        <w:rPr>
          <w:i/>
          <w:color w:val="231F20"/>
          <w:sz w:val="20"/>
        </w:rPr>
        <w:t>y</w:t>
      </w:r>
      <w:r>
        <w:rPr>
          <w:i/>
          <w:color w:val="231F20"/>
          <w:spacing w:val="-8"/>
          <w:sz w:val="20"/>
        </w:rPr>
        <w:t> </w:t>
      </w:r>
      <w:r>
        <w:rPr>
          <w:i/>
          <w:color w:val="231F20"/>
          <w:sz w:val="20"/>
        </w:rPr>
        <w:t>transfa- </w:t>
      </w:r>
      <w:r>
        <w:rPr>
          <w:i/>
          <w:color w:val="231F20"/>
          <w:sz w:val="20"/>
        </w:rPr>
        <w:t>miliares en la vida de la familia como sujeto del proceso migratorio</w:t>
      </w:r>
      <w:r>
        <w:rPr>
          <w:color w:val="231F20"/>
          <w:sz w:val="20"/>
        </w:rPr>
        <w:t>, en </w:t>
      </w:r>
      <w:r>
        <w:rPr>
          <w:i/>
          <w:color w:val="231F20"/>
          <w:sz w:val="20"/>
        </w:rPr>
        <w:t>S</w:t>
      </w:r>
      <w:r>
        <w:rPr>
          <w:color w:val="231F20"/>
          <w:sz w:val="20"/>
        </w:rPr>
        <w:t>egundo Coloquio Internacional sobre Migración y Desarrollo: Migración, Transnaciona- lismo y Transformación Social, Cocoyoc,</w:t>
      </w:r>
      <w:r>
        <w:rPr>
          <w:color w:val="231F20"/>
          <w:spacing w:val="-25"/>
          <w:sz w:val="20"/>
        </w:rPr>
        <w:t> </w:t>
      </w:r>
      <w:r>
        <w:rPr>
          <w:color w:val="231F20"/>
          <w:sz w:val="20"/>
        </w:rPr>
        <w:t>México.</w:t>
      </w:r>
    </w:p>
    <w:p>
      <w:pPr>
        <w:spacing w:line="210" w:lineRule="exact" w:before="113"/>
        <w:ind w:left="117" w:right="114" w:firstLine="0"/>
        <w:jc w:val="both"/>
        <w:rPr>
          <w:sz w:val="20"/>
        </w:rPr>
      </w:pPr>
      <w:r>
        <w:rPr>
          <w:color w:val="231F20"/>
          <w:spacing w:val="-5"/>
          <w:sz w:val="20"/>
        </w:rPr>
        <w:t>MASSEY, </w:t>
      </w:r>
      <w:r>
        <w:rPr>
          <w:color w:val="231F20"/>
          <w:sz w:val="20"/>
        </w:rPr>
        <w:t>Douglas, Joaquín Arango, Hugo Graeme, Adela Pellegrino, y Eduard </w:t>
      </w:r>
      <w:r>
        <w:rPr>
          <w:color w:val="231F20"/>
          <w:spacing w:val="-4"/>
          <w:sz w:val="20"/>
        </w:rPr>
        <w:t>Taylor, </w:t>
      </w:r>
      <w:r>
        <w:rPr>
          <w:color w:val="231F20"/>
          <w:sz w:val="20"/>
        </w:rPr>
        <w:t>2000, “Teorías sobre la migración internacional: una reseña y una evalua- ción”, en Revista </w:t>
      </w:r>
      <w:r>
        <w:rPr>
          <w:i/>
          <w:color w:val="231F20"/>
          <w:spacing w:val="-3"/>
          <w:sz w:val="20"/>
        </w:rPr>
        <w:t>Trabajo</w:t>
      </w:r>
      <w:r>
        <w:rPr>
          <w:color w:val="231F20"/>
          <w:spacing w:val="-3"/>
          <w:sz w:val="20"/>
        </w:rPr>
        <w:t>, </w:t>
      </w:r>
      <w:r>
        <w:rPr>
          <w:color w:val="231F20"/>
          <w:sz w:val="20"/>
        </w:rPr>
        <w:t>núm. 3, en </w:t>
      </w:r>
      <w:hyperlink r:id="rId92">
        <w:r>
          <w:rPr>
            <w:color w:val="231F20"/>
            <w:sz w:val="20"/>
          </w:rPr>
          <w:t>www.etnografia.inah.gob.mx/pdf/Linea5b.</w:t>
        </w:r>
      </w:hyperlink>
      <w:r>
        <w:rPr>
          <w:color w:val="231F20"/>
          <w:sz w:val="20"/>
        </w:rPr>
        <w:t> pdf</w:t>
      </w:r>
    </w:p>
    <w:p>
      <w:pPr>
        <w:spacing w:line="210" w:lineRule="exact" w:before="113"/>
        <w:ind w:left="117" w:right="115" w:firstLine="0"/>
        <w:jc w:val="both"/>
        <w:rPr>
          <w:sz w:val="20"/>
        </w:rPr>
      </w:pPr>
      <w:r>
        <w:rPr>
          <w:color w:val="231F20"/>
          <w:sz w:val="20"/>
        </w:rPr>
        <w:t>MEDINA, María Claudia, 2009, </w:t>
      </w:r>
      <w:r>
        <w:rPr>
          <w:i/>
          <w:color w:val="231F20"/>
          <w:sz w:val="20"/>
        </w:rPr>
        <w:t>Los Ausentes están siempre presentes. Una in- </w:t>
      </w:r>
      <w:r>
        <w:rPr>
          <w:i/>
          <w:color w:val="231F20"/>
          <w:sz w:val="20"/>
        </w:rPr>
        <w:t>terpretación de la experiencia materno-filial transnacional entre España y Co- lombia</w:t>
      </w:r>
      <w:r>
        <w:rPr>
          <w:color w:val="231F20"/>
          <w:sz w:val="20"/>
        </w:rPr>
        <w:t>, Tesis doctoral, Facultad de Ciencias Políticas y Sociología. Universidad Complutense de Madrid, Madrid.</w:t>
      </w:r>
    </w:p>
    <w:p>
      <w:pPr>
        <w:spacing w:line="210" w:lineRule="exact" w:before="113"/>
        <w:ind w:left="117" w:right="115" w:firstLine="0"/>
        <w:jc w:val="both"/>
        <w:rPr>
          <w:sz w:val="20"/>
        </w:rPr>
      </w:pPr>
      <w:r>
        <w:rPr>
          <w:color w:val="231F20"/>
          <w:sz w:val="20"/>
        </w:rPr>
        <w:t>MORAD, María del Pilar, y Mercedes Rodríguez López, 2011, </w:t>
      </w:r>
      <w:r>
        <w:rPr>
          <w:i/>
          <w:color w:val="231F20"/>
          <w:sz w:val="20"/>
        </w:rPr>
        <w:t>Familias con ex- </w:t>
      </w:r>
      <w:r>
        <w:rPr>
          <w:i/>
          <w:color w:val="231F20"/>
          <w:sz w:val="20"/>
        </w:rPr>
        <w:t>periencia migratoria internacional en Cartagena de indias. Retos y desafíos</w:t>
      </w:r>
      <w:r>
        <w:rPr>
          <w:color w:val="231F20"/>
          <w:sz w:val="20"/>
        </w:rPr>
        <w:t>, Por María del Pilar Morad y Mercedes Rodríguez López, IV Seminario Internacional Manizales, abril 2011.</w:t>
      </w:r>
    </w:p>
    <w:p>
      <w:pPr>
        <w:spacing w:line="210" w:lineRule="exact" w:before="113"/>
        <w:ind w:left="117" w:right="115" w:firstLine="0"/>
        <w:jc w:val="both"/>
        <w:rPr>
          <w:sz w:val="20"/>
        </w:rPr>
      </w:pPr>
      <w:r>
        <w:rPr>
          <w:color w:val="231F20"/>
          <w:sz w:val="20"/>
        </w:rPr>
        <w:t>ORELLANA, Marjorie, Barrie Thorne, Anna Chee, Eva L. y S. Wan, 2001, “Transnational chilhoods: the participation of children in processes of family mi- gration”, en </w:t>
      </w:r>
      <w:r>
        <w:rPr>
          <w:i/>
          <w:color w:val="231F20"/>
          <w:sz w:val="20"/>
        </w:rPr>
        <w:t>Social Problems</w:t>
      </w:r>
      <w:r>
        <w:rPr>
          <w:color w:val="231F20"/>
          <w:sz w:val="20"/>
        </w:rPr>
        <w:t>, 48 (4): pp. 572-591.</w:t>
      </w:r>
    </w:p>
    <w:p>
      <w:pPr>
        <w:spacing w:line="210" w:lineRule="exact" w:before="113"/>
        <w:ind w:left="117" w:right="115" w:firstLine="0"/>
        <w:jc w:val="both"/>
        <w:rPr>
          <w:sz w:val="20"/>
        </w:rPr>
      </w:pPr>
      <w:r>
        <w:rPr>
          <w:color w:val="231F20"/>
          <w:sz w:val="20"/>
        </w:rPr>
        <w:t>PALACIO, María Cristina, 2004, </w:t>
      </w:r>
      <w:r>
        <w:rPr>
          <w:i/>
          <w:color w:val="231F20"/>
          <w:sz w:val="20"/>
        </w:rPr>
        <w:t>Familia y violencia familiar</w:t>
      </w:r>
      <w:r>
        <w:rPr>
          <w:color w:val="231F20"/>
          <w:sz w:val="20"/>
        </w:rPr>
        <w:t>, Universidad de Caldas, Manizales.</w:t>
      </w:r>
    </w:p>
    <w:p>
      <w:pPr>
        <w:spacing w:line="210" w:lineRule="exact" w:before="113"/>
        <w:ind w:left="117" w:right="115" w:firstLine="0"/>
        <w:jc w:val="both"/>
        <w:rPr>
          <w:sz w:val="20"/>
        </w:rPr>
      </w:pPr>
      <w:r>
        <w:rPr>
          <w:color w:val="231F20"/>
          <w:spacing w:val="-4"/>
          <w:sz w:val="20"/>
        </w:rPr>
        <w:t>PALACIO,</w:t>
      </w:r>
      <w:r>
        <w:rPr>
          <w:color w:val="231F20"/>
          <w:spacing w:val="-5"/>
          <w:sz w:val="20"/>
        </w:rPr>
        <w:t> </w:t>
      </w:r>
      <w:r>
        <w:rPr>
          <w:color w:val="231F20"/>
          <w:sz w:val="20"/>
        </w:rPr>
        <w:t>María</w:t>
      </w:r>
      <w:r>
        <w:rPr>
          <w:color w:val="231F20"/>
          <w:spacing w:val="-5"/>
          <w:sz w:val="20"/>
        </w:rPr>
        <w:t> </w:t>
      </w:r>
      <w:r>
        <w:rPr>
          <w:color w:val="231F20"/>
          <w:sz w:val="20"/>
        </w:rPr>
        <w:t>Cristina,</w:t>
      </w:r>
      <w:r>
        <w:rPr>
          <w:color w:val="231F20"/>
          <w:spacing w:val="-5"/>
          <w:sz w:val="20"/>
        </w:rPr>
        <w:t> </w:t>
      </w:r>
      <w:r>
        <w:rPr>
          <w:color w:val="231F20"/>
          <w:sz w:val="20"/>
        </w:rPr>
        <w:t>2010,</w:t>
      </w:r>
      <w:r>
        <w:rPr>
          <w:color w:val="231F20"/>
          <w:spacing w:val="-5"/>
          <w:sz w:val="20"/>
        </w:rPr>
        <w:t> </w:t>
      </w:r>
      <w:r>
        <w:rPr>
          <w:color w:val="231F20"/>
          <w:sz w:val="20"/>
        </w:rPr>
        <w:t>“Cambios</w:t>
      </w:r>
      <w:r>
        <w:rPr>
          <w:color w:val="231F20"/>
          <w:spacing w:val="-6"/>
          <w:sz w:val="20"/>
        </w:rPr>
        <w:t> </w:t>
      </w:r>
      <w:r>
        <w:rPr>
          <w:color w:val="231F20"/>
          <w:sz w:val="20"/>
        </w:rPr>
        <w:t>y</w:t>
      </w:r>
      <w:r>
        <w:rPr>
          <w:color w:val="231F20"/>
          <w:spacing w:val="-5"/>
          <w:sz w:val="20"/>
        </w:rPr>
        <w:t> </w:t>
      </w:r>
      <w:r>
        <w:rPr>
          <w:color w:val="231F20"/>
          <w:sz w:val="20"/>
        </w:rPr>
        <w:t>transformaciones</w:t>
      </w:r>
      <w:r>
        <w:rPr>
          <w:color w:val="231F20"/>
          <w:spacing w:val="-7"/>
          <w:sz w:val="20"/>
        </w:rPr>
        <w:t> </w:t>
      </w:r>
      <w:r>
        <w:rPr>
          <w:color w:val="231F20"/>
          <w:sz w:val="20"/>
        </w:rPr>
        <w:t>de</w:t>
      </w:r>
      <w:r>
        <w:rPr>
          <w:color w:val="231F20"/>
          <w:spacing w:val="-5"/>
          <w:sz w:val="20"/>
        </w:rPr>
        <w:t> </w:t>
      </w:r>
      <w:r>
        <w:rPr>
          <w:color w:val="231F20"/>
          <w:sz w:val="20"/>
        </w:rPr>
        <w:t>la</w:t>
      </w:r>
      <w:r>
        <w:rPr>
          <w:color w:val="231F20"/>
          <w:spacing w:val="-5"/>
          <w:sz w:val="20"/>
        </w:rPr>
        <w:t> </w:t>
      </w:r>
      <w:r>
        <w:rPr>
          <w:color w:val="231F20"/>
          <w:sz w:val="20"/>
        </w:rPr>
        <w:t>familia.</w:t>
      </w:r>
      <w:r>
        <w:rPr>
          <w:color w:val="231F20"/>
          <w:spacing w:val="-5"/>
          <w:sz w:val="20"/>
        </w:rPr>
        <w:t> </w:t>
      </w:r>
      <w:r>
        <w:rPr>
          <w:color w:val="231F20"/>
          <w:sz w:val="20"/>
        </w:rPr>
        <w:t>Una tensión entre lo sólido y lo líquido”, en </w:t>
      </w:r>
      <w:r>
        <w:rPr>
          <w:i/>
          <w:color w:val="231F20"/>
          <w:sz w:val="20"/>
        </w:rPr>
        <w:t>Revista Latinoamericana de Estudios de </w:t>
      </w:r>
      <w:r>
        <w:rPr>
          <w:i/>
          <w:color w:val="231F20"/>
          <w:sz w:val="20"/>
        </w:rPr>
        <w:t>Familia</w:t>
      </w:r>
      <w:r>
        <w:rPr>
          <w:color w:val="231F20"/>
          <w:sz w:val="20"/>
        </w:rPr>
        <w:t>, 1, Departamento de Estudios de Familia, Universidad de Caldas, Mani- zales.</w:t>
      </w:r>
    </w:p>
    <w:p>
      <w:pPr>
        <w:spacing w:line="210" w:lineRule="exact" w:before="113"/>
        <w:ind w:left="117" w:right="115" w:firstLine="0"/>
        <w:jc w:val="both"/>
        <w:rPr>
          <w:sz w:val="20"/>
        </w:rPr>
      </w:pPr>
      <w:r>
        <w:rPr>
          <w:color w:val="231F20"/>
          <w:sz w:val="20"/>
        </w:rPr>
        <w:t>PARELLA, Sonia, 2007, “Los vínculos afectivos y de cuidado en las familias transnacionales. Migrantes ecuatorianos y peruanos en España”, en </w:t>
      </w:r>
      <w:r>
        <w:rPr>
          <w:i/>
          <w:color w:val="231F20"/>
          <w:sz w:val="20"/>
        </w:rPr>
        <w:t>Revista Mi- </w:t>
      </w:r>
      <w:r>
        <w:rPr>
          <w:i/>
          <w:color w:val="231F20"/>
          <w:sz w:val="20"/>
        </w:rPr>
        <w:t>graciones Internacionales </w:t>
      </w:r>
      <w:r>
        <w:rPr>
          <w:color w:val="231F20"/>
          <w:sz w:val="20"/>
        </w:rPr>
        <w:t>4, núm. 2: 151-188.</w:t>
      </w:r>
    </w:p>
    <w:p>
      <w:pPr>
        <w:spacing w:line="210" w:lineRule="exact" w:before="113"/>
        <w:ind w:left="117" w:right="115" w:firstLine="0"/>
        <w:jc w:val="both"/>
        <w:rPr>
          <w:sz w:val="20"/>
        </w:rPr>
      </w:pPr>
      <w:r>
        <w:rPr>
          <w:color w:val="231F20"/>
          <w:sz w:val="20"/>
        </w:rPr>
        <w:t>PEDONE, Claudia, 2006, “Los cambios familiares y educativos en los actuales contextos</w:t>
      </w:r>
      <w:r>
        <w:rPr>
          <w:color w:val="231F20"/>
          <w:spacing w:val="-8"/>
          <w:sz w:val="20"/>
        </w:rPr>
        <w:t> </w:t>
      </w:r>
      <w:r>
        <w:rPr>
          <w:color w:val="231F20"/>
          <w:sz w:val="20"/>
        </w:rPr>
        <w:t>migratorios</w:t>
      </w:r>
      <w:r>
        <w:rPr>
          <w:color w:val="231F20"/>
          <w:spacing w:val="-8"/>
          <w:sz w:val="20"/>
        </w:rPr>
        <w:t> </w:t>
      </w:r>
      <w:r>
        <w:rPr>
          <w:color w:val="231F20"/>
          <w:sz w:val="20"/>
        </w:rPr>
        <w:t>ecuatorianos:</w:t>
      </w:r>
      <w:r>
        <w:rPr>
          <w:color w:val="231F20"/>
          <w:spacing w:val="-8"/>
          <w:sz w:val="20"/>
        </w:rPr>
        <w:t> </w:t>
      </w:r>
      <w:r>
        <w:rPr>
          <w:color w:val="231F20"/>
          <w:sz w:val="20"/>
        </w:rPr>
        <w:t>una</w:t>
      </w:r>
      <w:r>
        <w:rPr>
          <w:color w:val="231F20"/>
          <w:spacing w:val="-8"/>
          <w:sz w:val="20"/>
        </w:rPr>
        <w:t> </w:t>
      </w:r>
      <w:r>
        <w:rPr>
          <w:color w:val="231F20"/>
          <w:sz w:val="20"/>
        </w:rPr>
        <w:t>perspectiva</w:t>
      </w:r>
      <w:r>
        <w:rPr>
          <w:color w:val="231F20"/>
          <w:spacing w:val="-8"/>
          <w:sz w:val="20"/>
        </w:rPr>
        <w:t> </w:t>
      </w:r>
      <w:r>
        <w:rPr>
          <w:color w:val="231F20"/>
          <w:sz w:val="20"/>
        </w:rPr>
        <w:t>trasatlántica”,</w:t>
      </w:r>
      <w:r>
        <w:rPr>
          <w:color w:val="231F20"/>
          <w:spacing w:val="-8"/>
          <w:sz w:val="20"/>
        </w:rPr>
        <w:t> </w:t>
      </w:r>
      <w:r>
        <w:rPr>
          <w:color w:val="231F20"/>
          <w:sz w:val="20"/>
        </w:rPr>
        <w:t>en</w:t>
      </w:r>
      <w:r>
        <w:rPr>
          <w:color w:val="231F20"/>
          <w:spacing w:val="-8"/>
          <w:sz w:val="20"/>
        </w:rPr>
        <w:t> </w:t>
      </w:r>
      <w:r>
        <w:rPr>
          <w:i/>
          <w:color w:val="231F20"/>
          <w:sz w:val="20"/>
        </w:rPr>
        <w:t>Athenea</w:t>
      </w:r>
      <w:r>
        <w:rPr>
          <w:i/>
          <w:color w:val="231F20"/>
          <w:spacing w:val="-8"/>
          <w:sz w:val="20"/>
        </w:rPr>
        <w:t> </w:t>
      </w:r>
      <w:r>
        <w:rPr>
          <w:i/>
          <w:color w:val="231F20"/>
          <w:sz w:val="20"/>
        </w:rPr>
        <w:t>Di- </w:t>
      </w:r>
      <w:r>
        <w:rPr>
          <w:i/>
          <w:color w:val="231F20"/>
          <w:sz w:val="20"/>
        </w:rPr>
        <w:t>gital</w:t>
      </w:r>
      <w:r>
        <w:rPr>
          <w:color w:val="231F20"/>
          <w:sz w:val="20"/>
        </w:rPr>
        <w:t>, 10.</w:t>
      </w:r>
    </w:p>
    <w:p>
      <w:pPr>
        <w:spacing w:line="210" w:lineRule="exact" w:before="113"/>
        <w:ind w:left="117" w:right="115" w:firstLine="0"/>
        <w:jc w:val="both"/>
        <w:rPr>
          <w:sz w:val="20"/>
        </w:rPr>
      </w:pPr>
      <w:r>
        <w:rPr>
          <w:color w:val="231F20"/>
          <w:sz w:val="20"/>
        </w:rPr>
        <w:t>PESSAR, Patricia y Sarah Mahler, 2001, “Gendered Geographies of Power: Analyzing Gender Across Transnational Spaces”, en I</w:t>
      </w:r>
      <w:r>
        <w:rPr>
          <w:i/>
          <w:color w:val="231F20"/>
          <w:sz w:val="20"/>
        </w:rPr>
        <w:t>dentities: Global Studies in </w:t>
      </w:r>
      <w:r>
        <w:rPr>
          <w:i/>
          <w:color w:val="231F20"/>
          <w:sz w:val="20"/>
        </w:rPr>
        <w:t>Culture and Power </w:t>
      </w:r>
      <w:r>
        <w:rPr>
          <w:color w:val="231F20"/>
          <w:sz w:val="20"/>
        </w:rPr>
        <w:t>(7): 441-459.</w:t>
      </w:r>
    </w:p>
    <w:p>
      <w:pPr>
        <w:spacing w:line="210" w:lineRule="exact" w:before="113"/>
        <w:ind w:left="117" w:right="115" w:firstLine="0"/>
        <w:jc w:val="both"/>
        <w:rPr>
          <w:sz w:val="20"/>
        </w:rPr>
      </w:pPr>
      <w:r>
        <w:rPr>
          <w:color w:val="231F20"/>
          <w:sz w:val="20"/>
        </w:rPr>
        <w:t>PONZETTI, James J. </w:t>
      </w:r>
      <w:r>
        <w:rPr>
          <w:color w:val="231F20"/>
          <w:spacing w:val="-3"/>
          <w:sz w:val="20"/>
        </w:rPr>
        <w:t>Jr., </w:t>
      </w:r>
      <w:r>
        <w:rPr>
          <w:color w:val="231F20"/>
          <w:sz w:val="20"/>
        </w:rPr>
        <w:t>2003, International Encyclopedia of Marriage and Fam- </w:t>
      </w:r>
      <w:r>
        <w:rPr>
          <w:color w:val="231F20"/>
          <w:spacing w:val="-4"/>
          <w:sz w:val="20"/>
        </w:rPr>
        <w:t>ily, </w:t>
      </w:r>
      <w:r>
        <w:rPr>
          <w:color w:val="231F20"/>
          <w:sz w:val="20"/>
        </w:rPr>
        <w:t>Macmillan Reference USA, Thomson Gale.</w:t>
      </w:r>
    </w:p>
    <w:p>
      <w:pPr>
        <w:spacing w:line="210" w:lineRule="exact" w:before="113"/>
        <w:ind w:left="117" w:right="114" w:firstLine="0"/>
        <w:jc w:val="both"/>
        <w:rPr>
          <w:sz w:val="20"/>
        </w:rPr>
      </w:pPr>
      <w:r>
        <w:rPr>
          <w:color w:val="231F20"/>
          <w:sz w:val="20"/>
        </w:rPr>
        <w:t>PORTES, Alejandro, Luis Eduardo Guarnizo y Patricia Landolt, 2003, </w:t>
      </w:r>
      <w:r>
        <w:rPr>
          <w:i/>
          <w:color w:val="231F20"/>
          <w:sz w:val="20"/>
        </w:rPr>
        <w:t>La globa- </w:t>
      </w:r>
      <w:r>
        <w:rPr>
          <w:i/>
          <w:color w:val="231F20"/>
          <w:sz w:val="20"/>
        </w:rPr>
        <w:t>lización desde abajo. Transnacionalismo inmigrante y desarrollo. La</w:t>
      </w:r>
      <w:r>
        <w:rPr>
          <w:i/>
          <w:color w:val="231F20"/>
          <w:spacing w:val="-33"/>
          <w:sz w:val="20"/>
        </w:rPr>
        <w:t> </w:t>
      </w:r>
      <w:r>
        <w:rPr>
          <w:i/>
          <w:color w:val="231F20"/>
          <w:sz w:val="20"/>
        </w:rPr>
        <w:t>experiencia de Estados Unidos y América Latina</w:t>
      </w:r>
      <w:r>
        <w:rPr>
          <w:color w:val="231F20"/>
          <w:sz w:val="20"/>
        </w:rPr>
        <w:t>, Facultad Latinoamericana de Ciencias So- ciales (FLACSO),</w:t>
      </w:r>
      <w:r>
        <w:rPr>
          <w:color w:val="231F20"/>
          <w:spacing w:val="-15"/>
          <w:sz w:val="20"/>
        </w:rPr>
        <w:t> </w:t>
      </w:r>
      <w:r>
        <w:rPr>
          <w:color w:val="231F20"/>
          <w:sz w:val="20"/>
        </w:rPr>
        <w:t>México.</w:t>
      </w:r>
    </w:p>
    <w:p>
      <w:pPr>
        <w:spacing w:after="0" w:line="210" w:lineRule="exact"/>
        <w:jc w:val="both"/>
        <w:rPr>
          <w:sz w:val="20"/>
        </w:rPr>
        <w:sectPr>
          <w:pgSz w:w="9360" w:h="13040"/>
          <w:pgMar w:header="0" w:footer="496" w:top="740" w:bottom="680" w:left="1300" w:right="1300"/>
        </w:sectPr>
      </w:pPr>
    </w:p>
    <w:p>
      <w:pPr>
        <w:spacing w:before="52"/>
        <w:ind w:left="124" w:right="-5" w:firstLine="0"/>
        <w:jc w:val="left"/>
        <w:rPr>
          <w:rFonts w:ascii="Arial" w:hAnsi="Arial"/>
          <w:sz w:val="20"/>
        </w:rPr>
      </w:pPr>
      <w:r>
        <w:rPr>
          <w:rFonts w:ascii="Arial" w:hAnsi="Arial"/>
          <w:color w:val="231F20"/>
          <w:w w:val="80"/>
          <w:sz w:val="20"/>
        </w:rPr>
        <w:t>Hitos</w:t>
      </w:r>
      <w:r>
        <w:rPr>
          <w:rFonts w:ascii="Arial" w:hAnsi="Arial"/>
          <w:color w:val="231F20"/>
          <w:spacing w:val="-23"/>
          <w:w w:val="80"/>
          <w:sz w:val="20"/>
        </w:rPr>
        <w:t> </w:t>
      </w:r>
      <w:r>
        <w:rPr>
          <w:rFonts w:ascii="Arial" w:hAnsi="Arial"/>
          <w:color w:val="231F20"/>
          <w:w w:val="80"/>
          <w:sz w:val="20"/>
        </w:rPr>
        <w:t>Demográficos</w:t>
      </w:r>
      <w:r>
        <w:rPr>
          <w:rFonts w:ascii="Arial" w:hAnsi="Arial"/>
          <w:color w:val="231F20"/>
          <w:spacing w:val="-23"/>
          <w:w w:val="80"/>
          <w:sz w:val="20"/>
        </w:rPr>
        <w:t> </w:t>
      </w:r>
      <w:r>
        <w:rPr>
          <w:rFonts w:ascii="Arial" w:hAnsi="Arial"/>
          <w:color w:val="231F20"/>
          <w:w w:val="80"/>
          <w:sz w:val="20"/>
        </w:rPr>
        <w:t>del</w:t>
      </w:r>
      <w:r>
        <w:rPr>
          <w:rFonts w:ascii="Arial" w:hAnsi="Arial"/>
          <w:color w:val="231F20"/>
          <w:spacing w:val="-23"/>
          <w:w w:val="80"/>
          <w:sz w:val="20"/>
        </w:rPr>
        <w:t> </w:t>
      </w:r>
      <w:r>
        <w:rPr>
          <w:rFonts w:ascii="Arial" w:hAnsi="Arial"/>
          <w:color w:val="231F20"/>
          <w:w w:val="80"/>
          <w:sz w:val="20"/>
        </w:rPr>
        <w:t>Siglo</w:t>
      </w:r>
      <w:r>
        <w:rPr>
          <w:rFonts w:ascii="Arial" w:hAnsi="Arial"/>
          <w:color w:val="231F20"/>
          <w:spacing w:val="-23"/>
          <w:w w:val="80"/>
          <w:sz w:val="20"/>
        </w:rPr>
        <w:t> </w:t>
      </w:r>
      <w:r>
        <w:rPr>
          <w:rFonts w:ascii="Arial" w:hAnsi="Arial"/>
          <w:color w:val="231F20"/>
          <w:w w:val="80"/>
          <w:sz w:val="20"/>
        </w:rPr>
        <w:t>XXI:</w:t>
      </w:r>
      <w:r>
        <w:rPr>
          <w:rFonts w:ascii="Arial" w:hAnsi="Arial"/>
          <w:color w:val="231F20"/>
          <w:spacing w:val="-23"/>
          <w:w w:val="80"/>
          <w:sz w:val="20"/>
        </w:rPr>
        <w:t> </w:t>
      </w:r>
      <w:r>
        <w:rPr>
          <w:rFonts w:ascii="Arial" w:hAnsi="Arial"/>
          <w:color w:val="231F20"/>
          <w:w w:val="80"/>
          <w:sz w:val="20"/>
        </w:rPr>
        <w:t>Migración</w:t>
      </w:r>
      <w:r>
        <w:rPr>
          <w:rFonts w:ascii="Arial" w:hAnsi="Arial"/>
          <w:color w:val="231F20"/>
          <w:spacing w:val="-23"/>
          <w:w w:val="80"/>
          <w:sz w:val="20"/>
        </w:rPr>
        <w:t> </w:t>
      </w:r>
      <w:r>
        <w:rPr>
          <w:rFonts w:ascii="Arial" w:hAnsi="Arial"/>
          <w:color w:val="231F20"/>
          <w:w w:val="80"/>
          <w:sz w:val="20"/>
        </w:rPr>
        <w:t>Internacional</w:t>
      </w:r>
    </w:p>
    <w:p>
      <w:pPr>
        <w:spacing w:before="54"/>
        <w:ind w:left="124" w:right="0" w:firstLine="0"/>
        <w:jc w:val="left"/>
        <w:rPr>
          <w:sz w:val="18"/>
        </w:rPr>
      </w:pPr>
      <w:r>
        <w:rPr/>
        <w:br w:type="column"/>
      </w:r>
      <w:r>
        <w:rPr>
          <w:color w:val="231F20"/>
          <w:sz w:val="18"/>
        </w:rPr>
        <w:t>CIEAP/UAEM</w:t>
      </w:r>
    </w:p>
    <w:p>
      <w:pPr>
        <w:spacing w:after="0"/>
        <w:jc w:val="left"/>
        <w:rPr>
          <w:sz w:val="18"/>
        </w:rPr>
        <w:sectPr>
          <w:pgSz w:w="9360" w:h="13040"/>
          <w:pgMar w:header="0" w:footer="496" w:top="840" w:bottom="680" w:left="1300" w:right="1300"/>
          <w:cols w:num="2" w:equalWidth="0">
            <w:col w:w="4101" w:space="1311"/>
            <w:col w:w="1348"/>
          </w:cols>
        </w:sectPr>
      </w:pPr>
    </w:p>
    <w:p>
      <w:pPr>
        <w:pStyle w:val="BodyText"/>
        <w:spacing w:before="4"/>
        <w:rPr>
          <w:sz w:val="13"/>
        </w:rPr>
      </w:pPr>
    </w:p>
    <w:p>
      <w:pPr>
        <w:spacing w:line="210" w:lineRule="exact" w:before="93"/>
        <w:ind w:left="124" w:right="108" w:firstLine="0"/>
        <w:jc w:val="both"/>
        <w:rPr>
          <w:sz w:val="20"/>
        </w:rPr>
      </w:pPr>
      <w:r>
        <w:rPr>
          <w:color w:val="231F20"/>
          <w:spacing w:val="-4"/>
          <w:sz w:val="20"/>
        </w:rPr>
        <w:t>PUYANA, </w:t>
      </w:r>
      <w:r>
        <w:rPr>
          <w:color w:val="231F20"/>
          <w:spacing w:val="-3"/>
          <w:sz w:val="20"/>
        </w:rPr>
        <w:t>Yolanda, </w:t>
      </w:r>
      <w:r>
        <w:rPr>
          <w:color w:val="231F20"/>
          <w:sz w:val="20"/>
        </w:rPr>
        <w:t>Julieth Motoa y Adriana Viviel, 2009, </w:t>
      </w:r>
      <w:r>
        <w:rPr>
          <w:i/>
          <w:color w:val="231F20"/>
          <w:sz w:val="20"/>
        </w:rPr>
        <w:t>Entre aquí y allá. Las </w:t>
      </w:r>
      <w:r>
        <w:rPr>
          <w:i/>
          <w:color w:val="231F20"/>
          <w:sz w:val="20"/>
        </w:rPr>
        <w:t>familias colombianas transnacionales</w:t>
      </w:r>
      <w:r>
        <w:rPr>
          <w:color w:val="231F20"/>
          <w:sz w:val="20"/>
        </w:rPr>
        <w:t>, Fundación Esperanza, Bogotá.</w:t>
      </w:r>
    </w:p>
    <w:p>
      <w:pPr>
        <w:spacing w:line="210" w:lineRule="exact" w:before="113"/>
        <w:ind w:left="124" w:right="108" w:firstLine="0"/>
        <w:jc w:val="both"/>
        <w:rPr>
          <w:sz w:val="20"/>
        </w:rPr>
      </w:pPr>
      <w:r>
        <w:rPr>
          <w:color w:val="231F20"/>
          <w:sz w:val="20"/>
        </w:rPr>
        <w:t>ROBLES, Leticia y Ana del Carmen Pérez, 2012, “Expectativas sobre la obliga- ción</w:t>
      </w:r>
      <w:r>
        <w:rPr>
          <w:color w:val="231F20"/>
          <w:spacing w:val="-9"/>
          <w:sz w:val="20"/>
        </w:rPr>
        <w:t> </w:t>
      </w:r>
      <w:r>
        <w:rPr>
          <w:color w:val="231F20"/>
          <w:sz w:val="20"/>
        </w:rPr>
        <w:t>filial:</w:t>
      </w:r>
      <w:r>
        <w:rPr>
          <w:color w:val="231F20"/>
          <w:spacing w:val="-9"/>
          <w:sz w:val="20"/>
        </w:rPr>
        <w:t> </w:t>
      </w:r>
      <w:r>
        <w:rPr>
          <w:color w:val="231F20"/>
          <w:sz w:val="20"/>
        </w:rPr>
        <w:t>comparación</w:t>
      </w:r>
      <w:r>
        <w:rPr>
          <w:color w:val="231F20"/>
          <w:spacing w:val="-9"/>
          <w:sz w:val="20"/>
        </w:rPr>
        <w:t> </w:t>
      </w:r>
      <w:r>
        <w:rPr>
          <w:color w:val="231F20"/>
          <w:sz w:val="20"/>
        </w:rPr>
        <w:t>de</w:t>
      </w:r>
      <w:r>
        <w:rPr>
          <w:color w:val="231F20"/>
          <w:spacing w:val="-9"/>
          <w:sz w:val="20"/>
        </w:rPr>
        <w:t> </w:t>
      </w:r>
      <w:r>
        <w:rPr>
          <w:color w:val="231F20"/>
          <w:sz w:val="20"/>
        </w:rPr>
        <w:t>dos</w:t>
      </w:r>
      <w:r>
        <w:rPr>
          <w:color w:val="231F20"/>
          <w:spacing w:val="-9"/>
          <w:sz w:val="20"/>
        </w:rPr>
        <w:t> </w:t>
      </w:r>
      <w:r>
        <w:rPr>
          <w:color w:val="231F20"/>
          <w:sz w:val="20"/>
        </w:rPr>
        <w:t>generaciones</w:t>
      </w:r>
      <w:r>
        <w:rPr>
          <w:color w:val="231F20"/>
          <w:spacing w:val="-9"/>
          <w:sz w:val="20"/>
        </w:rPr>
        <w:t> </w:t>
      </w:r>
      <w:r>
        <w:rPr>
          <w:color w:val="231F20"/>
          <w:sz w:val="20"/>
        </w:rPr>
        <w:t>en</w:t>
      </w:r>
      <w:r>
        <w:rPr>
          <w:color w:val="231F20"/>
          <w:spacing w:val="-9"/>
          <w:sz w:val="20"/>
        </w:rPr>
        <w:t> </w:t>
      </w:r>
      <w:r>
        <w:rPr>
          <w:color w:val="231F20"/>
          <w:sz w:val="20"/>
        </w:rPr>
        <w:t>México”,</w:t>
      </w:r>
      <w:r>
        <w:rPr>
          <w:color w:val="231F20"/>
          <w:spacing w:val="-9"/>
          <w:sz w:val="20"/>
        </w:rPr>
        <w:t> </w:t>
      </w:r>
      <w:r>
        <w:rPr>
          <w:color w:val="231F20"/>
          <w:sz w:val="20"/>
        </w:rPr>
        <w:t>en</w:t>
      </w:r>
      <w:r>
        <w:rPr>
          <w:color w:val="231F20"/>
          <w:spacing w:val="-9"/>
          <w:sz w:val="20"/>
        </w:rPr>
        <w:t> </w:t>
      </w:r>
      <w:r>
        <w:rPr>
          <w:i/>
          <w:color w:val="231F20"/>
          <w:sz w:val="20"/>
        </w:rPr>
        <w:t>Revista</w:t>
      </w:r>
      <w:r>
        <w:rPr>
          <w:i/>
          <w:color w:val="231F20"/>
          <w:spacing w:val="-9"/>
          <w:sz w:val="20"/>
        </w:rPr>
        <w:t> </w:t>
      </w:r>
      <w:r>
        <w:rPr>
          <w:i/>
          <w:color w:val="231F20"/>
          <w:sz w:val="20"/>
        </w:rPr>
        <w:t>Latinoameri- </w:t>
      </w:r>
      <w:r>
        <w:rPr>
          <w:i/>
          <w:color w:val="231F20"/>
          <w:sz w:val="20"/>
        </w:rPr>
        <w:t>cana de Ciencias Sociales Niñez y Juventud</w:t>
      </w:r>
      <w:r>
        <w:rPr>
          <w:color w:val="231F20"/>
          <w:sz w:val="20"/>
        </w:rPr>
        <w:t>, 10 (1):</w:t>
      </w:r>
      <w:r>
        <w:rPr>
          <w:color w:val="231F20"/>
          <w:spacing w:val="-2"/>
          <w:sz w:val="20"/>
        </w:rPr>
        <w:t> </w:t>
      </w:r>
      <w:r>
        <w:rPr>
          <w:color w:val="231F20"/>
          <w:sz w:val="20"/>
        </w:rPr>
        <w:t>527-540.</w:t>
      </w:r>
    </w:p>
    <w:p>
      <w:pPr>
        <w:spacing w:line="210" w:lineRule="exact" w:before="113"/>
        <w:ind w:left="124" w:right="108" w:firstLine="0"/>
        <w:jc w:val="both"/>
        <w:rPr>
          <w:sz w:val="20"/>
        </w:rPr>
      </w:pPr>
      <w:r>
        <w:rPr>
          <w:color w:val="231F20"/>
          <w:sz w:val="20"/>
        </w:rPr>
        <w:t>SÁNCHEZ, Gloria, Luz María López y María Cristina Palacio, 2012, Vida fami- liar transnacional. Nuevas lógicas para comprender la organización familiar, en Puyana, Micolta y Palacio (Eds.), </w:t>
      </w:r>
      <w:r>
        <w:rPr>
          <w:i/>
          <w:color w:val="231F20"/>
          <w:sz w:val="20"/>
        </w:rPr>
        <w:t>Familias colombianas y migración internacio- </w:t>
      </w:r>
      <w:r>
        <w:rPr>
          <w:i/>
          <w:color w:val="231F20"/>
          <w:sz w:val="20"/>
        </w:rPr>
        <w:t>nal. Entre la distancia y la proximidad</w:t>
      </w:r>
      <w:r>
        <w:rPr>
          <w:color w:val="231F20"/>
          <w:sz w:val="20"/>
        </w:rPr>
        <w:t>. (2013), Universidad Nacional de Colom- bia/Colección CES, Bogotá.</w:t>
      </w:r>
    </w:p>
    <w:p>
      <w:pPr>
        <w:spacing w:line="210" w:lineRule="exact" w:before="113"/>
        <w:ind w:left="124" w:right="108" w:firstLine="0"/>
        <w:jc w:val="both"/>
        <w:rPr>
          <w:sz w:val="20"/>
        </w:rPr>
      </w:pPr>
      <w:r>
        <w:rPr>
          <w:color w:val="231F20"/>
          <w:sz w:val="20"/>
        </w:rPr>
        <w:t>SOLÉ, Carlota, Sonia Parella, Leonardo Cavalcanti, 2007, </w:t>
      </w:r>
      <w:r>
        <w:rPr>
          <w:i/>
          <w:color w:val="231F20"/>
          <w:sz w:val="20"/>
        </w:rPr>
        <w:t>Los vínculos econó- </w:t>
      </w:r>
      <w:r>
        <w:rPr>
          <w:i/>
          <w:color w:val="231F20"/>
          <w:sz w:val="20"/>
        </w:rPr>
        <w:t>micos y familiares transnacionales. Los inmigrantes ecuatorianos y peruanos en España</w:t>
      </w:r>
      <w:r>
        <w:rPr>
          <w:color w:val="231F20"/>
          <w:sz w:val="20"/>
        </w:rPr>
        <w:t>, Fundación BBVA, Bilbao.</w:t>
      </w:r>
    </w:p>
    <w:p>
      <w:pPr>
        <w:spacing w:line="210" w:lineRule="exact" w:before="113"/>
        <w:ind w:left="124" w:right="108" w:firstLine="0"/>
        <w:jc w:val="both"/>
        <w:rPr>
          <w:sz w:val="20"/>
        </w:rPr>
      </w:pPr>
      <w:r>
        <w:rPr>
          <w:color w:val="231F20"/>
          <w:sz w:val="20"/>
        </w:rPr>
        <w:t>SORENSEN,</w:t>
      </w:r>
      <w:r>
        <w:rPr>
          <w:color w:val="231F20"/>
          <w:spacing w:val="-8"/>
          <w:sz w:val="20"/>
        </w:rPr>
        <w:t> </w:t>
      </w:r>
      <w:r>
        <w:rPr>
          <w:color w:val="231F20"/>
          <w:sz w:val="20"/>
        </w:rPr>
        <w:t>Nina</w:t>
      </w:r>
      <w:r>
        <w:rPr>
          <w:color w:val="231F20"/>
          <w:spacing w:val="-8"/>
          <w:sz w:val="20"/>
        </w:rPr>
        <w:t> </w:t>
      </w:r>
      <w:r>
        <w:rPr>
          <w:color w:val="231F20"/>
          <w:sz w:val="20"/>
        </w:rPr>
        <w:t>Nyberg,</w:t>
      </w:r>
      <w:r>
        <w:rPr>
          <w:color w:val="231F20"/>
          <w:spacing w:val="-8"/>
          <w:sz w:val="20"/>
        </w:rPr>
        <w:t> </w:t>
      </w:r>
      <w:r>
        <w:rPr>
          <w:color w:val="231F20"/>
          <w:sz w:val="20"/>
        </w:rPr>
        <w:t>2007,</w:t>
      </w:r>
      <w:r>
        <w:rPr>
          <w:color w:val="231F20"/>
          <w:spacing w:val="-8"/>
          <w:sz w:val="20"/>
        </w:rPr>
        <w:t> </w:t>
      </w:r>
      <w:r>
        <w:rPr>
          <w:color w:val="231F20"/>
          <w:sz w:val="20"/>
        </w:rPr>
        <w:t>“La</w:t>
      </w:r>
      <w:r>
        <w:rPr>
          <w:color w:val="231F20"/>
          <w:spacing w:val="-8"/>
          <w:sz w:val="20"/>
        </w:rPr>
        <w:t> </w:t>
      </w:r>
      <w:r>
        <w:rPr>
          <w:color w:val="231F20"/>
          <w:sz w:val="20"/>
        </w:rPr>
        <w:t>vida</w:t>
      </w:r>
      <w:r>
        <w:rPr>
          <w:color w:val="231F20"/>
          <w:spacing w:val="-8"/>
          <w:sz w:val="20"/>
        </w:rPr>
        <w:t> </w:t>
      </w:r>
      <w:r>
        <w:rPr>
          <w:color w:val="231F20"/>
          <w:sz w:val="20"/>
        </w:rPr>
        <w:t>de</w:t>
      </w:r>
      <w:r>
        <w:rPr>
          <w:color w:val="231F20"/>
          <w:spacing w:val="-8"/>
          <w:sz w:val="20"/>
        </w:rPr>
        <w:t> </w:t>
      </w:r>
      <w:r>
        <w:rPr>
          <w:color w:val="231F20"/>
          <w:sz w:val="20"/>
        </w:rPr>
        <w:t>la</w:t>
      </w:r>
      <w:r>
        <w:rPr>
          <w:color w:val="231F20"/>
          <w:spacing w:val="-8"/>
          <w:sz w:val="20"/>
        </w:rPr>
        <w:t> </w:t>
      </w:r>
      <w:r>
        <w:rPr>
          <w:color w:val="231F20"/>
          <w:sz w:val="20"/>
        </w:rPr>
        <w:t>familia</w:t>
      </w:r>
      <w:r>
        <w:rPr>
          <w:color w:val="231F20"/>
          <w:spacing w:val="-8"/>
          <w:sz w:val="20"/>
        </w:rPr>
        <w:t> </w:t>
      </w:r>
      <w:r>
        <w:rPr>
          <w:color w:val="231F20"/>
          <w:sz w:val="20"/>
        </w:rPr>
        <w:t>transnacional</w:t>
      </w:r>
      <w:r>
        <w:rPr>
          <w:color w:val="231F20"/>
          <w:spacing w:val="-9"/>
          <w:sz w:val="20"/>
        </w:rPr>
        <w:t> </w:t>
      </w:r>
      <w:r>
        <w:rPr>
          <w:color w:val="231F20"/>
          <w:sz w:val="20"/>
        </w:rPr>
        <w:t>a</w:t>
      </w:r>
      <w:r>
        <w:rPr>
          <w:color w:val="231F20"/>
          <w:spacing w:val="-8"/>
          <w:sz w:val="20"/>
        </w:rPr>
        <w:t> </w:t>
      </w:r>
      <w:r>
        <w:rPr>
          <w:color w:val="231F20"/>
          <w:sz w:val="20"/>
        </w:rPr>
        <w:t>través</w:t>
      </w:r>
      <w:r>
        <w:rPr>
          <w:color w:val="231F20"/>
          <w:spacing w:val="-9"/>
          <w:sz w:val="20"/>
        </w:rPr>
        <w:t> </w:t>
      </w:r>
      <w:r>
        <w:rPr>
          <w:color w:val="231F20"/>
          <w:sz w:val="20"/>
        </w:rPr>
        <w:t>del Atlántico: La experiencia de la población colombiana y dominicana migrante en Europa”, en </w:t>
      </w:r>
      <w:r>
        <w:rPr>
          <w:i/>
          <w:color w:val="231F20"/>
          <w:sz w:val="20"/>
        </w:rPr>
        <w:t>Puntos de </w:t>
      </w:r>
      <w:r>
        <w:rPr>
          <w:i/>
          <w:color w:val="231F20"/>
          <w:spacing w:val="-3"/>
          <w:sz w:val="20"/>
        </w:rPr>
        <w:t>Vista</w:t>
      </w:r>
      <w:r>
        <w:rPr>
          <w:color w:val="231F20"/>
          <w:spacing w:val="-3"/>
          <w:sz w:val="20"/>
        </w:rPr>
        <w:t>, </w:t>
      </w:r>
      <w:r>
        <w:rPr>
          <w:color w:val="231F20"/>
          <w:sz w:val="20"/>
        </w:rPr>
        <w:t>(9):</w:t>
      </w:r>
      <w:r>
        <w:rPr>
          <w:color w:val="231F20"/>
          <w:spacing w:val="2"/>
          <w:sz w:val="20"/>
        </w:rPr>
        <w:t> </w:t>
      </w:r>
      <w:r>
        <w:rPr>
          <w:color w:val="231F20"/>
          <w:sz w:val="20"/>
        </w:rPr>
        <w:t>7-28.</w:t>
      </w:r>
    </w:p>
    <w:p>
      <w:pPr>
        <w:spacing w:line="210" w:lineRule="exact" w:before="113"/>
        <w:ind w:left="124" w:right="108" w:firstLine="0"/>
        <w:jc w:val="both"/>
        <w:rPr>
          <w:sz w:val="20"/>
        </w:rPr>
      </w:pPr>
      <w:r>
        <w:rPr>
          <w:color w:val="231F20"/>
          <w:sz w:val="20"/>
        </w:rPr>
        <w:t>SUÁREZ,</w:t>
      </w:r>
      <w:r>
        <w:rPr>
          <w:color w:val="231F20"/>
          <w:spacing w:val="-8"/>
          <w:sz w:val="20"/>
        </w:rPr>
        <w:t> </w:t>
      </w:r>
      <w:r>
        <w:rPr>
          <w:color w:val="231F20"/>
          <w:sz w:val="20"/>
        </w:rPr>
        <w:t>Nelly</w:t>
      </w:r>
      <w:r>
        <w:rPr>
          <w:color w:val="231F20"/>
          <w:spacing w:val="-8"/>
          <w:sz w:val="20"/>
        </w:rPr>
        <w:t> </w:t>
      </w:r>
      <w:r>
        <w:rPr>
          <w:color w:val="231F20"/>
          <w:sz w:val="20"/>
        </w:rPr>
        <w:t>y</w:t>
      </w:r>
      <w:r>
        <w:rPr>
          <w:color w:val="231F20"/>
          <w:spacing w:val="-8"/>
          <w:sz w:val="20"/>
        </w:rPr>
        <w:t> </w:t>
      </w:r>
      <w:r>
        <w:rPr>
          <w:color w:val="231F20"/>
          <w:sz w:val="20"/>
        </w:rPr>
        <w:t>Dalia</w:t>
      </w:r>
      <w:r>
        <w:rPr>
          <w:color w:val="231F20"/>
          <w:spacing w:val="-8"/>
          <w:sz w:val="20"/>
        </w:rPr>
        <w:t> </w:t>
      </w:r>
      <w:r>
        <w:rPr>
          <w:color w:val="231F20"/>
          <w:sz w:val="20"/>
        </w:rPr>
        <w:t>Restrepo,</w:t>
      </w:r>
      <w:r>
        <w:rPr>
          <w:color w:val="231F20"/>
          <w:spacing w:val="-8"/>
          <w:sz w:val="20"/>
        </w:rPr>
        <w:t> </w:t>
      </w:r>
      <w:r>
        <w:rPr>
          <w:color w:val="231F20"/>
          <w:sz w:val="20"/>
        </w:rPr>
        <w:t>2005,</w:t>
      </w:r>
      <w:r>
        <w:rPr>
          <w:color w:val="231F20"/>
          <w:spacing w:val="-8"/>
          <w:sz w:val="20"/>
        </w:rPr>
        <w:t> </w:t>
      </w:r>
      <w:r>
        <w:rPr>
          <w:color w:val="231F20"/>
          <w:sz w:val="20"/>
        </w:rPr>
        <w:t>“Teoría</w:t>
      </w:r>
      <w:r>
        <w:rPr>
          <w:color w:val="231F20"/>
          <w:spacing w:val="-9"/>
          <w:sz w:val="20"/>
        </w:rPr>
        <w:t> </w:t>
      </w:r>
      <w:r>
        <w:rPr>
          <w:color w:val="231F20"/>
          <w:sz w:val="20"/>
        </w:rPr>
        <w:t>y</w:t>
      </w:r>
      <w:r>
        <w:rPr>
          <w:color w:val="231F20"/>
          <w:spacing w:val="-8"/>
          <w:sz w:val="20"/>
        </w:rPr>
        <w:t> </w:t>
      </w:r>
      <w:r>
        <w:rPr>
          <w:color w:val="231F20"/>
          <w:sz w:val="20"/>
        </w:rPr>
        <w:t>práctica</w:t>
      </w:r>
      <w:r>
        <w:rPr>
          <w:color w:val="231F20"/>
          <w:spacing w:val="-8"/>
          <w:sz w:val="20"/>
        </w:rPr>
        <w:t> </w:t>
      </w:r>
      <w:r>
        <w:rPr>
          <w:color w:val="231F20"/>
          <w:sz w:val="20"/>
        </w:rPr>
        <w:t>del</w:t>
      </w:r>
      <w:r>
        <w:rPr>
          <w:color w:val="231F20"/>
          <w:spacing w:val="-8"/>
          <w:sz w:val="20"/>
        </w:rPr>
        <w:t> </w:t>
      </w:r>
      <w:r>
        <w:rPr>
          <w:color w:val="231F20"/>
          <w:sz w:val="20"/>
        </w:rPr>
        <w:t>desarrollo</w:t>
      </w:r>
      <w:r>
        <w:rPr>
          <w:color w:val="231F20"/>
          <w:spacing w:val="-8"/>
          <w:sz w:val="20"/>
        </w:rPr>
        <w:t> </w:t>
      </w:r>
      <w:r>
        <w:rPr>
          <w:color w:val="231F20"/>
          <w:sz w:val="20"/>
        </w:rPr>
        <w:t>familiar en</w:t>
      </w:r>
      <w:r>
        <w:rPr>
          <w:color w:val="231F20"/>
          <w:spacing w:val="-10"/>
          <w:sz w:val="20"/>
        </w:rPr>
        <w:t> </w:t>
      </w:r>
      <w:r>
        <w:rPr>
          <w:color w:val="231F20"/>
          <w:sz w:val="20"/>
        </w:rPr>
        <w:t>Colombia”,</w:t>
      </w:r>
      <w:r>
        <w:rPr>
          <w:color w:val="231F20"/>
          <w:spacing w:val="-10"/>
          <w:sz w:val="20"/>
        </w:rPr>
        <w:t> </w:t>
      </w:r>
      <w:r>
        <w:rPr>
          <w:color w:val="231F20"/>
          <w:sz w:val="20"/>
        </w:rPr>
        <w:t>en</w:t>
      </w:r>
      <w:r>
        <w:rPr>
          <w:color w:val="231F20"/>
          <w:spacing w:val="-10"/>
          <w:sz w:val="20"/>
        </w:rPr>
        <w:t> </w:t>
      </w:r>
      <w:r>
        <w:rPr>
          <w:i/>
          <w:color w:val="231F20"/>
          <w:sz w:val="20"/>
        </w:rPr>
        <w:t>Revista</w:t>
      </w:r>
      <w:r>
        <w:rPr>
          <w:i/>
          <w:color w:val="231F20"/>
          <w:spacing w:val="-10"/>
          <w:sz w:val="20"/>
        </w:rPr>
        <w:t> </w:t>
      </w:r>
      <w:r>
        <w:rPr>
          <w:i/>
          <w:color w:val="231F20"/>
          <w:sz w:val="20"/>
        </w:rPr>
        <w:t>Latinoamericana</w:t>
      </w:r>
      <w:r>
        <w:rPr>
          <w:i/>
          <w:color w:val="231F20"/>
          <w:spacing w:val="-9"/>
          <w:sz w:val="20"/>
        </w:rPr>
        <w:t> </w:t>
      </w:r>
      <w:r>
        <w:rPr>
          <w:i/>
          <w:color w:val="231F20"/>
          <w:sz w:val="20"/>
        </w:rPr>
        <w:t>de</w:t>
      </w:r>
      <w:r>
        <w:rPr>
          <w:i/>
          <w:color w:val="231F20"/>
          <w:spacing w:val="-10"/>
          <w:sz w:val="20"/>
        </w:rPr>
        <w:t> </w:t>
      </w:r>
      <w:r>
        <w:rPr>
          <w:i/>
          <w:color w:val="231F20"/>
          <w:sz w:val="20"/>
        </w:rPr>
        <w:t>Ciencias</w:t>
      </w:r>
      <w:r>
        <w:rPr>
          <w:i/>
          <w:color w:val="231F20"/>
          <w:spacing w:val="-10"/>
          <w:sz w:val="20"/>
        </w:rPr>
        <w:t> </w:t>
      </w:r>
      <w:r>
        <w:rPr>
          <w:i/>
          <w:color w:val="231F20"/>
          <w:sz w:val="20"/>
        </w:rPr>
        <w:t>Sociales</w:t>
      </w:r>
      <w:r>
        <w:rPr>
          <w:i/>
          <w:color w:val="231F20"/>
          <w:spacing w:val="-10"/>
          <w:sz w:val="20"/>
        </w:rPr>
        <w:t> </w:t>
      </w:r>
      <w:r>
        <w:rPr>
          <w:i/>
          <w:color w:val="231F20"/>
          <w:sz w:val="20"/>
        </w:rPr>
        <w:t>Niñez</w:t>
      </w:r>
      <w:r>
        <w:rPr>
          <w:i/>
          <w:color w:val="231F20"/>
          <w:spacing w:val="-10"/>
          <w:sz w:val="20"/>
        </w:rPr>
        <w:t> </w:t>
      </w:r>
      <w:r>
        <w:rPr>
          <w:i/>
          <w:color w:val="231F20"/>
          <w:sz w:val="20"/>
        </w:rPr>
        <w:t>y</w:t>
      </w:r>
      <w:r>
        <w:rPr>
          <w:i/>
          <w:color w:val="231F20"/>
          <w:spacing w:val="-10"/>
          <w:sz w:val="20"/>
        </w:rPr>
        <w:t> </w:t>
      </w:r>
      <w:r>
        <w:rPr>
          <w:i/>
          <w:color w:val="231F20"/>
          <w:sz w:val="20"/>
        </w:rPr>
        <w:t>Juventud </w:t>
      </w:r>
      <w:r>
        <w:rPr>
          <w:color w:val="231F20"/>
          <w:sz w:val="20"/>
        </w:rPr>
        <w:t>3, núm. 1, 17-55.</w:t>
      </w:r>
    </w:p>
    <w:p>
      <w:pPr>
        <w:spacing w:line="210" w:lineRule="exact" w:before="113"/>
        <w:ind w:left="124" w:right="108" w:firstLine="0"/>
        <w:jc w:val="both"/>
        <w:rPr>
          <w:sz w:val="20"/>
        </w:rPr>
      </w:pPr>
      <w:r>
        <w:rPr>
          <w:color w:val="231F20"/>
          <w:sz w:val="20"/>
        </w:rPr>
        <w:t>VILLEGAS, Guillermo, 2008, </w:t>
      </w:r>
      <w:r>
        <w:rPr>
          <w:i/>
          <w:color w:val="231F20"/>
          <w:sz w:val="20"/>
        </w:rPr>
        <w:t>Familia, ¿cómo vas? individualismo y cambio de </w:t>
      </w:r>
      <w:r>
        <w:rPr>
          <w:i/>
          <w:color w:val="231F20"/>
          <w:sz w:val="20"/>
        </w:rPr>
        <w:t>la familia</w:t>
      </w:r>
      <w:r>
        <w:rPr>
          <w:color w:val="231F20"/>
          <w:sz w:val="20"/>
        </w:rPr>
        <w:t>, Editorial Universidad de Caldas, Manizales.</w:t>
      </w:r>
    </w:p>
    <w:p>
      <w:pPr>
        <w:spacing w:line="210" w:lineRule="exact" w:before="113"/>
        <w:ind w:left="124" w:right="108" w:firstLine="0"/>
        <w:jc w:val="both"/>
        <w:rPr>
          <w:sz w:val="20"/>
        </w:rPr>
      </w:pPr>
      <w:r>
        <w:rPr>
          <w:color w:val="231F20"/>
          <w:spacing w:val="-9"/>
          <w:sz w:val="20"/>
        </w:rPr>
        <w:t>ZAPATA, </w:t>
      </w:r>
      <w:r>
        <w:rPr>
          <w:color w:val="231F20"/>
          <w:sz w:val="20"/>
        </w:rPr>
        <w:t>Adriana, 2011, </w:t>
      </w:r>
      <w:r>
        <w:rPr>
          <w:i/>
          <w:color w:val="231F20"/>
          <w:spacing w:val="-4"/>
          <w:sz w:val="20"/>
        </w:rPr>
        <w:t>Vida </w:t>
      </w:r>
      <w:r>
        <w:rPr>
          <w:i/>
          <w:color w:val="231F20"/>
          <w:sz w:val="20"/>
        </w:rPr>
        <w:t>familiar en el contexto de la migración</w:t>
      </w:r>
      <w:r>
        <w:rPr>
          <w:i/>
          <w:color w:val="231F20"/>
          <w:spacing w:val="-33"/>
          <w:sz w:val="20"/>
        </w:rPr>
        <w:t> </w:t>
      </w:r>
      <w:r>
        <w:rPr>
          <w:i/>
          <w:color w:val="231F20"/>
          <w:sz w:val="20"/>
        </w:rPr>
        <w:t>internacio- </w:t>
      </w:r>
      <w:r>
        <w:rPr>
          <w:i/>
          <w:color w:val="231F20"/>
          <w:sz w:val="20"/>
        </w:rPr>
        <w:t>nal materna o paterna. Hijos e hijas que reciben remesas</w:t>
      </w:r>
      <w:r>
        <w:rPr>
          <w:color w:val="231F20"/>
          <w:sz w:val="20"/>
        </w:rPr>
        <w:t>, Editorial Comfenalco, Medellín.</w:t>
      </w:r>
    </w:p>
    <w:p>
      <w:pPr>
        <w:pStyle w:val="BodyText"/>
        <w:rPr>
          <w:sz w:val="20"/>
        </w:rPr>
      </w:pPr>
    </w:p>
    <w:p>
      <w:pPr>
        <w:spacing w:before="177"/>
        <w:ind w:left="117" w:right="0" w:firstLine="0"/>
        <w:jc w:val="both"/>
        <w:rPr>
          <w:i/>
          <w:sz w:val="22"/>
        </w:rPr>
      </w:pPr>
      <w:r>
        <w:rPr>
          <w:i/>
          <w:color w:val="231F20"/>
          <w:sz w:val="22"/>
        </w:rPr>
        <w:t>Luz María López-Montaño</w:t>
      </w:r>
    </w:p>
    <w:p>
      <w:pPr>
        <w:pStyle w:val="BodyText"/>
        <w:spacing w:before="2"/>
        <w:rPr>
          <w:i/>
          <w:sz w:val="23"/>
        </w:rPr>
      </w:pPr>
    </w:p>
    <w:p>
      <w:pPr>
        <w:pStyle w:val="BodyText"/>
        <w:spacing w:line="247" w:lineRule="auto"/>
        <w:ind w:left="117" w:right="114"/>
        <w:jc w:val="both"/>
      </w:pPr>
      <w:r>
        <w:rPr>
          <w:color w:val="231F20"/>
        </w:rPr>
        <w:t>Maestra en Estudios de Familia y Desarrollo por la Universidad de Cal- das (Manizales, Colombia). Es profesora titular de tiempo completo en la Facultad de Ciencias Jurídicas y Sociales de la Universidad de Caldas en donde imparte los cursos de Desarrollo familiar y Ciencia de familia. Es integrante del grupo de investigación Colectivo de Estudios de Familia Colciencias,</w:t>
      </w:r>
      <w:r>
        <w:rPr>
          <w:color w:val="231F20"/>
          <w:spacing w:val="-7"/>
        </w:rPr>
        <w:t> </w:t>
      </w:r>
      <w:r>
        <w:rPr>
          <w:color w:val="231F20"/>
        </w:rPr>
        <w:t>categoría</w:t>
      </w:r>
      <w:r>
        <w:rPr>
          <w:color w:val="231F20"/>
          <w:spacing w:val="-8"/>
        </w:rPr>
        <w:t> </w:t>
      </w:r>
      <w:r>
        <w:rPr>
          <w:color w:val="231F20"/>
        </w:rPr>
        <w:t>B.</w:t>
      </w:r>
      <w:r>
        <w:rPr>
          <w:color w:val="231F20"/>
          <w:spacing w:val="-7"/>
        </w:rPr>
        <w:t> </w:t>
      </w:r>
      <w:r>
        <w:rPr>
          <w:color w:val="231F20"/>
        </w:rPr>
        <w:t>Entre</w:t>
      </w:r>
      <w:r>
        <w:rPr>
          <w:color w:val="231F20"/>
          <w:spacing w:val="-7"/>
        </w:rPr>
        <w:t> </w:t>
      </w:r>
      <w:r>
        <w:rPr>
          <w:color w:val="231F20"/>
        </w:rPr>
        <w:t>sus</w:t>
      </w:r>
      <w:r>
        <w:rPr>
          <w:color w:val="231F20"/>
          <w:spacing w:val="-7"/>
        </w:rPr>
        <w:t> </w:t>
      </w:r>
      <w:r>
        <w:rPr>
          <w:color w:val="231F20"/>
        </w:rPr>
        <w:t>últimas</w:t>
      </w:r>
      <w:r>
        <w:rPr>
          <w:color w:val="231F20"/>
          <w:spacing w:val="-7"/>
        </w:rPr>
        <w:t> </w:t>
      </w:r>
      <w:r>
        <w:rPr>
          <w:color w:val="231F20"/>
        </w:rPr>
        <w:t>publicaciones</w:t>
      </w:r>
      <w:r>
        <w:rPr>
          <w:color w:val="231F20"/>
          <w:spacing w:val="-7"/>
        </w:rPr>
        <w:t> </w:t>
      </w:r>
      <w:r>
        <w:rPr>
          <w:color w:val="231F20"/>
        </w:rPr>
        <w:t>destacan</w:t>
      </w:r>
      <w:r>
        <w:rPr>
          <w:color w:val="231F20"/>
          <w:spacing w:val="-7"/>
        </w:rPr>
        <w:t> </w:t>
      </w:r>
      <w:r>
        <w:rPr>
          <w:i/>
          <w:color w:val="231F20"/>
          <w:spacing w:val="-3"/>
        </w:rPr>
        <w:t>Trayec- </w:t>
      </w:r>
      <w:r>
        <w:rPr>
          <w:i/>
          <w:color w:val="231F20"/>
        </w:rPr>
        <w:t>torias de familia y migración internacional </w:t>
      </w:r>
      <w:r>
        <w:rPr>
          <w:color w:val="231F20"/>
        </w:rPr>
        <w:t>(coautora), Editorial Univer- sidad de Caldas, 2012; </w:t>
      </w:r>
      <w:r>
        <w:rPr>
          <w:color w:val="231F20"/>
          <w:spacing w:val="-3"/>
        </w:rPr>
        <w:t>“Vida </w:t>
      </w:r>
      <w:r>
        <w:rPr>
          <w:color w:val="231F20"/>
        </w:rPr>
        <w:t>familiar transnacional: nuevas lógicas para comprender la organización familiar” (coautora) en </w:t>
      </w:r>
      <w:r>
        <w:rPr>
          <w:i/>
          <w:color w:val="231F20"/>
        </w:rPr>
        <w:t>Familias</w:t>
      </w:r>
      <w:r>
        <w:rPr>
          <w:i/>
          <w:color w:val="231F20"/>
          <w:spacing w:val="-27"/>
        </w:rPr>
        <w:t> </w:t>
      </w:r>
      <w:r>
        <w:rPr>
          <w:i/>
          <w:color w:val="231F20"/>
        </w:rPr>
        <w:t>colombianas </w:t>
      </w:r>
      <w:r>
        <w:rPr>
          <w:i/>
          <w:color w:val="231F20"/>
        </w:rPr>
        <w:t>y migración internacional: entre la distancia y la proximidad</w:t>
      </w:r>
      <w:r>
        <w:rPr>
          <w:color w:val="231F20"/>
        </w:rPr>
        <w:t>, CES Uni- versidad Nacional,</w:t>
      </w:r>
      <w:r>
        <w:rPr>
          <w:color w:val="231F20"/>
          <w:spacing w:val="-8"/>
        </w:rPr>
        <w:t> </w:t>
      </w:r>
      <w:r>
        <w:rPr>
          <w:color w:val="231F20"/>
        </w:rPr>
        <w:t>2013.</w:t>
      </w:r>
    </w:p>
    <w:p>
      <w:pPr>
        <w:pStyle w:val="BodyText"/>
        <w:spacing w:before="6"/>
      </w:pPr>
    </w:p>
    <w:p>
      <w:pPr>
        <w:pStyle w:val="BodyText"/>
        <w:ind w:left="117"/>
        <w:jc w:val="both"/>
      </w:pPr>
      <w:r>
        <w:rPr>
          <w:color w:val="231F20"/>
        </w:rPr>
        <w:t>Correo electrónico: </w:t>
      </w:r>
      <w:hyperlink r:id="rId93">
        <w:r>
          <w:rPr>
            <w:color w:val="231F20"/>
          </w:rPr>
          <w:t>luzmaria.lopez@ucaldas.edu.co</w:t>
        </w:r>
      </w:hyperlink>
    </w:p>
    <w:p>
      <w:pPr>
        <w:spacing w:after="0"/>
        <w:jc w:val="both"/>
        <w:sectPr>
          <w:type w:val="continuous"/>
          <w:pgSz w:w="9360" w:h="13040"/>
          <w:pgMar w:top="0" w:bottom="0" w:left="1300" w:right="1300"/>
        </w:sectPr>
      </w:pPr>
    </w:p>
    <w:p>
      <w:pPr>
        <w:pStyle w:val="BodyText"/>
        <w:ind w:left="108"/>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ind w:left="2094" w:right="1334" w:hanging="643"/>
      </w:pPr>
      <w:r>
        <w:rPr/>
        <w:pict>
          <v:shape style="position:absolute;margin-left:54.424999pt;margin-top:-44.926628pt;width:353.4pt;height:43.5pt;mso-position-horizontal-relative:page;mso-position-vertical-relative:paragraph;z-index:-642112" type="#_x0000_t202" filled="false" stroked="false">
            <v:textbox inset="0,0,0,0">
              <w:txbxContent>
                <w:p>
                  <w:pPr>
                    <w:pStyle w:val="BodyText"/>
                    <w:rPr>
                      <w:sz w:val="20"/>
                    </w:rPr>
                  </w:pPr>
                </w:p>
                <w:p>
                  <w:pPr>
                    <w:spacing w:before="159"/>
                    <w:ind w:left="955" w:right="0" w:firstLine="0"/>
                    <w:jc w:val="left"/>
                    <w:rPr>
                      <w:rFonts w:ascii="Arial" w:hAnsi="Arial"/>
                      <w:sz w:val="20"/>
                    </w:rPr>
                  </w:pPr>
                  <w:r>
                    <w:rPr>
                      <w:rFonts w:ascii="Arial" w:hAnsi="Arial"/>
                      <w:color w:val="231F20"/>
                      <w:w w:val="65"/>
                      <w:sz w:val="20"/>
                    </w:rPr>
                    <w:t>Factores contextuales de la migración internacional de    Honduras /Manuel Antonio Flores-Fonseca</w:t>
                  </w:r>
                </w:p>
              </w:txbxContent>
            </v:textbox>
            <w10:wrap type="none"/>
          </v:shape>
        </w:pict>
      </w:r>
      <w:r>
        <w:rPr>
          <w:color w:val="231F20"/>
          <w:w w:val="70"/>
        </w:rPr>
        <w:t>Factores contextuales de la migración internacional de Honduras</w:t>
      </w:r>
    </w:p>
    <w:p>
      <w:pPr>
        <w:pStyle w:val="BodyText"/>
        <w:rPr>
          <w:b/>
          <w:sz w:val="20"/>
        </w:rPr>
      </w:pPr>
    </w:p>
    <w:p>
      <w:pPr>
        <w:pStyle w:val="Heading2"/>
        <w:spacing w:before="222"/>
        <w:ind w:left="1764"/>
      </w:pPr>
      <w:r>
        <w:rPr/>
        <w:t>Manuel Antonio Flores-Fonseca</w:t>
      </w:r>
    </w:p>
    <w:p>
      <w:pPr>
        <w:pStyle w:val="BodyText"/>
        <w:rPr>
          <w:sz w:val="20"/>
        </w:rPr>
      </w:pPr>
    </w:p>
    <w:p>
      <w:pPr>
        <w:pStyle w:val="BodyText"/>
        <w:spacing w:before="7"/>
        <w:rPr>
          <w:sz w:val="21"/>
        </w:rPr>
      </w:pPr>
    </w:p>
    <w:p>
      <w:pPr>
        <w:spacing w:before="70"/>
        <w:ind w:left="919" w:right="378" w:firstLine="0"/>
        <w:jc w:val="left"/>
        <w:rPr>
          <w:i/>
          <w:sz w:val="24"/>
        </w:rPr>
      </w:pPr>
      <w:r>
        <w:rPr>
          <w:i/>
          <w:sz w:val="24"/>
        </w:rPr>
        <w:t>Universidad Nacional Autónoma de Honduras, Honduras</w:t>
      </w:r>
    </w:p>
    <w:p>
      <w:pPr>
        <w:pStyle w:val="BodyText"/>
        <w:rPr>
          <w:i/>
          <w:sz w:val="20"/>
        </w:rPr>
      </w:pPr>
    </w:p>
    <w:p>
      <w:pPr>
        <w:pStyle w:val="BodyText"/>
        <w:spacing w:before="5"/>
        <w:rPr>
          <w:i/>
          <w:sz w:val="16"/>
        </w:rPr>
      </w:pPr>
    </w:p>
    <w:p>
      <w:pPr>
        <w:spacing w:before="69"/>
        <w:ind w:left="437" w:right="913" w:firstLine="0"/>
        <w:jc w:val="left"/>
        <w:rPr>
          <w:b/>
          <w:sz w:val="24"/>
        </w:rPr>
      </w:pPr>
      <w:r>
        <w:rPr>
          <w:b/>
          <w:sz w:val="24"/>
        </w:rPr>
        <w:t>Introducción</w:t>
      </w:r>
    </w:p>
    <w:p>
      <w:pPr>
        <w:pStyle w:val="BodyText"/>
        <w:spacing w:before="5"/>
        <w:rPr>
          <w:b/>
          <w:sz w:val="19"/>
        </w:rPr>
      </w:pPr>
    </w:p>
    <w:p>
      <w:pPr>
        <w:pStyle w:val="BodyText"/>
        <w:spacing w:line="247" w:lineRule="auto" w:before="188"/>
        <w:ind w:left="1287" w:right="335"/>
        <w:jc w:val="both"/>
      </w:pPr>
      <w:r>
        <w:rPr/>
        <w:pict>
          <v:shape style="position:absolute;margin-left:70.866096pt;margin-top:5.033987pt;width:36.7pt;height:55pt;mso-position-horizontal-relative:page;mso-position-vertical-relative:paragraph;z-index:-642088" type="#_x0000_t202" filled="false" stroked="false">
            <v:textbox inset="0,0,0,0">
              <w:txbxContent>
                <w:p>
                  <w:pPr>
                    <w:spacing w:line="1100" w:lineRule="exact" w:before="0"/>
                    <w:ind w:left="0" w:right="0" w:firstLine="0"/>
                    <w:jc w:val="left"/>
                    <w:rPr>
                      <w:b/>
                      <w:sz w:val="110"/>
                    </w:rPr>
                  </w:pPr>
                  <w:r>
                    <w:rPr>
                      <w:b/>
                      <w:sz w:val="110"/>
                    </w:rPr>
                    <w:t>E</w:t>
                  </w:r>
                </w:p>
              </w:txbxContent>
            </v:textbox>
            <w10:wrap type="none"/>
          </v:shape>
        </w:pict>
      </w:r>
      <w:r>
        <w:rPr>
          <w:color w:val="231F20"/>
        </w:rPr>
        <w:t>l objetivo de este trabajo es presentar el comportamiento de la migración internacional de Honduras, principalmente en las úl- timas décadas, cuando la emigración se ha convertido en la pro-</w:t>
      </w:r>
    </w:p>
    <w:p>
      <w:pPr>
        <w:pStyle w:val="BodyText"/>
        <w:spacing w:line="247" w:lineRule="auto" w:before="12"/>
        <w:ind w:left="437" w:right="335"/>
        <w:jc w:val="both"/>
      </w:pPr>
      <w:r>
        <w:rPr>
          <w:color w:val="231F20"/>
        </w:rPr>
        <w:t>tagonista principal y en dicho proceso se conjugan una serie de factores contextuales de tipo demográfico, económico, social, político, cultural y ambiental</w:t>
      </w:r>
      <w:r>
        <w:rPr>
          <w:color w:val="231F20"/>
          <w:spacing w:val="-8"/>
        </w:rPr>
        <w:t> </w:t>
      </w:r>
      <w:r>
        <w:rPr>
          <w:color w:val="231F20"/>
        </w:rPr>
        <w:t>que</w:t>
      </w:r>
      <w:r>
        <w:rPr>
          <w:color w:val="231F20"/>
          <w:spacing w:val="-7"/>
        </w:rPr>
        <w:t> </w:t>
      </w:r>
      <w:r>
        <w:rPr>
          <w:color w:val="231F20"/>
        </w:rPr>
        <w:t>inciden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migración</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país</w:t>
      </w:r>
      <w:r>
        <w:rPr>
          <w:color w:val="231F20"/>
          <w:spacing w:val="-7"/>
        </w:rPr>
        <w:t> </w:t>
      </w:r>
      <w:r>
        <w:rPr>
          <w:color w:val="231F20"/>
        </w:rPr>
        <w:t>de</w:t>
      </w:r>
      <w:r>
        <w:rPr>
          <w:color w:val="231F20"/>
          <w:spacing w:val="-7"/>
        </w:rPr>
        <w:t> </w:t>
      </w:r>
      <w:r>
        <w:rPr>
          <w:color w:val="231F20"/>
        </w:rPr>
        <w:t>origen,</w:t>
      </w:r>
      <w:r>
        <w:rPr>
          <w:color w:val="231F20"/>
          <w:spacing w:val="-7"/>
        </w:rPr>
        <w:t> </w:t>
      </w:r>
      <w:r>
        <w:rPr>
          <w:color w:val="231F20"/>
        </w:rPr>
        <w:t>en</w:t>
      </w:r>
      <w:r>
        <w:rPr>
          <w:color w:val="231F20"/>
          <w:spacing w:val="-8"/>
        </w:rPr>
        <w:t> </w:t>
      </w:r>
      <w:r>
        <w:rPr>
          <w:color w:val="231F20"/>
        </w:rPr>
        <w:t>los</w:t>
      </w:r>
      <w:r>
        <w:rPr>
          <w:color w:val="231F20"/>
          <w:spacing w:val="-7"/>
        </w:rPr>
        <w:t> </w:t>
      </w:r>
      <w:r>
        <w:rPr>
          <w:color w:val="231F20"/>
        </w:rPr>
        <w:t>países</w:t>
      </w:r>
      <w:r>
        <w:rPr>
          <w:color w:val="231F20"/>
          <w:spacing w:val="-7"/>
        </w:rPr>
        <w:t> </w:t>
      </w:r>
      <w:r>
        <w:rPr>
          <w:color w:val="231F20"/>
        </w:rPr>
        <w:t>en tránsito y en los países de</w:t>
      </w:r>
      <w:r>
        <w:rPr>
          <w:color w:val="231F20"/>
          <w:spacing w:val="-3"/>
        </w:rPr>
        <w:t> </w:t>
      </w:r>
      <w:r>
        <w:rPr>
          <w:color w:val="231F20"/>
        </w:rPr>
        <w:t>destino.</w:t>
      </w:r>
    </w:p>
    <w:p>
      <w:pPr>
        <w:pStyle w:val="BodyText"/>
        <w:spacing w:line="247" w:lineRule="auto"/>
        <w:ind w:left="437" w:right="334" w:firstLine="283"/>
        <w:jc w:val="both"/>
      </w:pPr>
      <w:r>
        <w:rPr>
          <w:color w:val="231F20"/>
        </w:rPr>
        <w:t>En el caso de estos factores contextuales que son de diversa índole, se incluyen en el país de origen, aquellos que tienen características más es- tructurales,</w:t>
      </w:r>
      <w:r>
        <w:rPr>
          <w:color w:val="231F20"/>
          <w:spacing w:val="-8"/>
        </w:rPr>
        <w:t> </w:t>
      </w:r>
      <w:r>
        <w:rPr>
          <w:color w:val="231F20"/>
        </w:rPr>
        <w:t>como</w:t>
      </w:r>
      <w:r>
        <w:rPr>
          <w:color w:val="231F20"/>
          <w:spacing w:val="-7"/>
        </w:rPr>
        <w:t> </w:t>
      </w:r>
      <w:r>
        <w:rPr>
          <w:color w:val="231F20"/>
        </w:rPr>
        <w:t>los</w:t>
      </w:r>
      <w:r>
        <w:rPr>
          <w:color w:val="231F20"/>
          <w:spacing w:val="-7"/>
        </w:rPr>
        <w:t> </w:t>
      </w:r>
      <w:r>
        <w:rPr>
          <w:color w:val="231F20"/>
        </w:rPr>
        <w:t>demográficos,</w:t>
      </w:r>
      <w:r>
        <w:rPr>
          <w:color w:val="231F20"/>
          <w:spacing w:val="-7"/>
        </w:rPr>
        <w:t> </w:t>
      </w:r>
      <w:r>
        <w:rPr>
          <w:color w:val="231F20"/>
        </w:rPr>
        <w:t>la</w:t>
      </w:r>
      <w:r>
        <w:rPr>
          <w:color w:val="231F20"/>
          <w:spacing w:val="-7"/>
        </w:rPr>
        <w:t> </w:t>
      </w:r>
      <w:r>
        <w:rPr>
          <w:color w:val="231F20"/>
        </w:rPr>
        <w:t>pobreza</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problemas</w:t>
      </w:r>
      <w:r>
        <w:rPr>
          <w:color w:val="231F20"/>
          <w:spacing w:val="-7"/>
        </w:rPr>
        <w:t> </w:t>
      </w:r>
      <w:r>
        <w:rPr>
          <w:color w:val="231F20"/>
        </w:rPr>
        <w:t>de</w:t>
      </w:r>
      <w:r>
        <w:rPr>
          <w:color w:val="231F20"/>
          <w:spacing w:val="-7"/>
        </w:rPr>
        <w:t> </w:t>
      </w:r>
      <w:r>
        <w:rPr>
          <w:color w:val="231F20"/>
        </w:rPr>
        <w:t>empleo. Asimismo,</w:t>
      </w:r>
      <w:r>
        <w:rPr>
          <w:color w:val="231F20"/>
          <w:spacing w:val="-6"/>
        </w:rPr>
        <w:t> </w:t>
      </w:r>
      <w:r>
        <w:rPr>
          <w:color w:val="231F20"/>
        </w:rPr>
        <w:t>se</w:t>
      </w:r>
      <w:r>
        <w:rPr>
          <w:color w:val="231F20"/>
          <w:spacing w:val="-6"/>
        </w:rPr>
        <w:t> </w:t>
      </w:r>
      <w:r>
        <w:rPr>
          <w:color w:val="231F20"/>
        </w:rPr>
        <w:t>incluyen</w:t>
      </w:r>
      <w:r>
        <w:rPr>
          <w:color w:val="231F20"/>
          <w:spacing w:val="-7"/>
        </w:rPr>
        <w:t> </w:t>
      </w:r>
      <w:r>
        <w:rPr>
          <w:color w:val="231F20"/>
        </w:rPr>
        <w:t>factores</w:t>
      </w:r>
      <w:r>
        <w:rPr>
          <w:color w:val="231F20"/>
          <w:spacing w:val="-6"/>
        </w:rPr>
        <w:t> </w:t>
      </w:r>
      <w:r>
        <w:rPr>
          <w:color w:val="231F20"/>
        </w:rPr>
        <w:t>coyunturales</w:t>
      </w:r>
      <w:r>
        <w:rPr>
          <w:color w:val="231F20"/>
          <w:spacing w:val="-7"/>
        </w:rPr>
        <w:t> </w:t>
      </w:r>
      <w:r>
        <w:rPr>
          <w:color w:val="231F20"/>
        </w:rPr>
        <w:t>y</w:t>
      </w:r>
      <w:r>
        <w:rPr>
          <w:color w:val="231F20"/>
          <w:spacing w:val="-6"/>
        </w:rPr>
        <w:t> </w:t>
      </w:r>
      <w:r>
        <w:rPr>
          <w:color w:val="231F20"/>
        </w:rPr>
        <w:t>de</w:t>
      </w:r>
      <w:r>
        <w:rPr>
          <w:color w:val="231F20"/>
          <w:spacing w:val="-6"/>
        </w:rPr>
        <w:t> </w:t>
      </w:r>
      <w:r>
        <w:rPr>
          <w:color w:val="231F20"/>
        </w:rPr>
        <w:t>difícil</w:t>
      </w:r>
      <w:r>
        <w:rPr>
          <w:color w:val="231F20"/>
          <w:spacing w:val="-7"/>
        </w:rPr>
        <w:t> </w:t>
      </w:r>
      <w:r>
        <w:rPr>
          <w:color w:val="231F20"/>
        </w:rPr>
        <w:t>clasificación,</w:t>
      </w:r>
      <w:r>
        <w:rPr>
          <w:color w:val="231F20"/>
          <w:spacing w:val="-7"/>
        </w:rPr>
        <w:t> </w:t>
      </w:r>
      <w:r>
        <w:rPr>
          <w:color w:val="231F20"/>
        </w:rPr>
        <w:t>am- pliando el panorama de influencia en la migración, entre ellos las crisis económicas, los desastres naturales recurrentes, la proliferación de maras y pandillas, el narcotráfico y crimen organizado, la crisis política (Golpe de</w:t>
      </w:r>
      <w:r>
        <w:rPr>
          <w:color w:val="231F20"/>
          <w:spacing w:val="-8"/>
        </w:rPr>
        <w:t> </w:t>
      </w:r>
      <w:r>
        <w:rPr>
          <w:color w:val="231F20"/>
        </w:rPr>
        <w:t>Estado)</w:t>
      </w:r>
      <w:r>
        <w:rPr>
          <w:color w:val="231F20"/>
          <w:spacing w:val="-9"/>
        </w:rPr>
        <w:t> </w:t>
      </w:r>
      <w:r>
        <w:rPr>
          <w:color w:val="231F20"/>
        </w:rPr>
        <w:t>y</w:t>
      </w:r>
      <w:r>
        <w:rPr>
          <w:color w:val="231F20"/>
          <w:spacing w:val="-8"/>
        </w:rPr>
        <w:t> </w:t>
      </w:r>
      <w:r>
        <w:rPr>
          <w:color w:val="231F20"/>
        </w:rPr>
        <w:t>aceleramiento</w:t>
      </w:r>
      <w:r>
        <w:rPr>
          <w:color w:val="231F20"/>
          <w:spacing w:val="-9"/>
        </w:rPr>
        <w:t> </w:t>
      </w:r>
      <w:r>
        <w:rPr>
          <w:color w:val="231F20"/>
        </w:rPr>
        <w:t>del</w:t>
      </w:r>
      <w:r>
        <w:rPr>
          <w:color w:val="231F20"/>
          <w:spacing w:val="-8"/>
        </w:rPr>
        <w:t> </w:t>
      </w:r>
      <w:r>
        <w:rPr>
          <w:color w:val="231F20"/>
        </w:rPr>
        <w:t>neoliberalismo,</w:t>
      </w:r>
      <w:r>
        <w:rPr>
          <w:color w:val="231F20"/>
          <w:spacing w:val="-8"/>
        </w:rPr>
        <w:t> </w:t>
      </w:r>
      <w:r>
        <w:rPr>
          <w:color w:val="231F20"/>
        </w:rPr>
        <w:t>la</w:t>
      </w:r>
      <w:r>
        <w:rPr>
          <w:color w:val="231F20"/>
          <w:spacing w:val="-9"/>
        </w:rPr>
        <w:t> </w:t>
      </w:r>
      <w:r>
        <w:rPr>
          <w:color w:val="231F20"/>
        </w:rPr>
        <w:t>violencia</w:t>
      </w:r>
      <w:r>
        <w:rPr>
          <w:color w:val="231F20"/>
          <w:spacing w:val="-8"/>
        </w:rPr>
        <w:t> </w:t>
      </w:r>
      <w:r>
        <w:rPr>
          <w:color w:val="231F20"/>
        </w:rPr>
        <w:t>y</w:t>
      </w:r>
      <w:r>
        <w:rPr>
          <w:color w:val="231F20"/>
          <w:spacing w:val="-8"/>
        </w:rPr>
        <w:t> </w:t>
      </w:r>
      <w:r>
        <w:rPr>
          <w:color w:val="231F20"/>
        </w:rPr>
        <w:t>criminalidad, las remesas, la cultura migratoria. En suma, todos estos factores están in- fluenciando a las personas del país a tomar decisiones migratorias que las llevan a la movilidad internacional en busca de mejores opciones</w:t>
      </w:r>
      <w:r>
        <w:rPr>
          <w:color w:val="231F20"/>
          <w:spacing w:val="-23"/>
        </w:rPr>
        <w:t> </w:t>
      </w:r>
      <w:r>
        <w:rPr>
          <w:color w:val="231F20"/>
        </w:rPr>
        <w:t>persona- les y</w:t>
      </w:r>
      <w:r>
        <w:rPr>
          <w:color w:val="231F20"/>
          <w:spacing w:val="-1"/>
        </w:rPr>
        <w:t> </w:t>
      </w:r>
      <w:r>
        <w:rPr>
          <w:color w:val="231F20"/>
        </w:rPr>
        <w:t>familiares.</w:t>
      </w:r>
    </w:p>
    <w:p>
      <w:pPr>
        <w:pStyle w:val="BodyText"/>
        <w:spacing w:line="247" w:lineRule="auto"/>
        <w:ind w:left="437" w:right="334" w:firstLine="283"/>
        <w:jc w:val="both"/>
      </w:pPr>
      <w:r>
        <w:rPr>
          <w:color w:val="231F20"/>
        </w:rPr>
        <w:t>Una vez tomada la decisión de migrar y al llevarla a cabo, se presentan varios aspectos por considerar que se refieren a las formas, medios, re- cursos, peligros y redes por utilizar en la migración. En esos aspectos las acciones por lograr emigrar y alcanzar el país y lugar de destino implican traspasar fronteras en más de una vez y es donde surgen problemáticas especiales en los países del recorrido llamados “de tránsito”, muchas de</w:t>
      </w:r>
    </w:p>
    <w:p>
      <w:pPr>
        <w:spacing w:after="0" w:line="247" w:lineRule="auto"/>
        <w:jc w:val="both"/>
        <w:sectPr>
          <w:pgSz w:w="9360" w:h="13040"/>
          <w:pgMar w:header="0" w:footer="496" w:top="400" w:bottom="680" w:left="980" w:right="108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jc w:val="both"/>
      </w:pPr>
      <w:r>
        <w:rPr>
          <w:color w:val="231F20"/>
        </w:rPr>
        <w:t>las cuales incluyen huir de las redadas migratorias, grupos irregulares ar- mados, la extorsión, trata de blancas y la violencia. Asimismo, un aspecto por considerar son las organizaciones, movimientos, iglesias, refugios</w:t>
      </w:r>
      <w:r>
        <w:rPr>
          <w:color w:val="231F20"/>
          <w:spacing w:val="-18"/>
        </w:rPr>
        <w:t> </w:t>
      </w:r>
      <w:r>
        <w:rPr>
          <w:color w:val="231F20"/>
        </w:rPr>
        <w:t>que protegen a los migrantes en esos países de</w:t>
      </w:r>
      <w:r>
        <w:rPr>
          <w:color w:val="231F20"/>
          <w:spacing w:val="-4"/>
        </w:rPr>
        <w:t> </w:t>
      </w:r>
      <w:r>
        <w:rPr>
          <w:color w:val="231F20"/>
        </w:rPr>
        <w:t>tránsito.</w:t>
      </w:r>
    </w:p>
    <w:p>
      <w:pPr>
        <w:pStyle w:val="BodyText"/>
        <w:spacing w:line="247" w:lineRule="auto"/>
        <w:ind w:left="117" w:right="114" w:firstLine="283"/>
        <w:jc w:val="both"/>
      </w:pPr>
      <w:r>
        <w:rPr>
          <w:color w:val="231F20"/>
        </w:rPr>
        <w:t>En los países de destino, los factores que se visibilizan más son aque- llos que se relacionan con los efectos de las crisis económicas. </w:t>
      </w:r>
      <w:r>
        <w:rPr>
          <w:color w:val="231F20"/>
          <w:spacing w:val="-6"/>
        </w:rPr>
        <w:t>Tal </w:t>
      </w:r>
      <w:r>
        <w:rPr>
          <w:color w:val="231F20"/>
        </w:rPr>
        <w:t>es el ejemplo de la crisis inmobiliaria de Estados Unidos y más recientemente de</w:t>
      </w:r>
      <w:r>
        <w:rPr>
          <w:color w:val="231F20"/>
          <w:spacing w:val="-11"/>
        </w:rPr>
        <w:t> </w:t>
      </w:r>
      <w:r>
        <w:rPr>
          <w:color w:val="231F20"/>
        </w:rPr>
        <w:t>los</w:t>
      </w:r>
      <w:r>
        <w:rPr>
          <w:color w:val="231F20"/>
          <w:spacing w:val="-11"/>
        </w:rPr>
        <w:t> </w:t>
      </w:r>
      <w:r>
        <w:rPr>
          <w:color w:val="231F20"/>
        </w:rPr>
        <w:t>países</w:t>
      </w:r>
      <w:r>
        <w:rPr>
          <w:color w:val="231F20"/>
          <w:spacing w:val="-11"/>
        </w:rPr>
        <w:t> </w:t>
      </w:r>
      <w:r>
        <w:rPr>
          <w:color w:val="231F20"/>
        </w:rPr>
        <w:t>de</w:t>
      </w:r>
      <w:r>
        <w:rPr>
          <w:color w:val="231F20"/>
          <w:spacing w:val="-11"/>
        </w:rPr>
        <w:t> </w:t>
      </w:r>
      <w:r>
        <w:rPr>
          <w:color w:val="231F20"/>
        </w:rPr>
        <w:t>Europa.</w:t>
      </w:r>
      <w:r>
        <w:rPr>
          <w:color w:val="231F20"/>
          <w:spacing w:val="-24"/>
        </w:rPr>
        <w:t> </w:t>
      </w:r>
      <w:r>
        <w:rPr>
          <w:color w:val="231F20"/>
        </w:rPr>
        <w:t>A</w:t>
      </w:r>
      <w:r>
        <w:rPr>
          <w:color w:val="231F20"/>
          <w:spacing w:val="-23"/>
        </w:rPr>
        <w:t> </w:t>
      </w:r>
      <w:r>
        <w:rPr>
          <w:color w:val="231F20"/>
        </w:rPr>
        <w:t>su</w:t>
      </w:r>
      <w:r>
        <w:rPr>
          <w:color w:val="231F20"/>
          <w:spacing w:val="-11"/>
        </w:rPr>
        <w:t> </w:t>
      </w:r>
      <w:r>
        <w:rPr>
          <w:color w:val="231F20"/>
        </w:rPr>
        <w:t>vez,</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países</w:t>
      </w:r>
      <w:r>
        <w:rPr>
          <w:color w:val="231F20"/>
          <w:spacing w:val="-11"/>
        </w:rPr>
        <w:t> </w:t>
      </w:r>
      <w:r>
        <w:rPr>
          <w:color w:val="231F20"/>
        </w:rPr>
        <w:t>de</w:t>
      </w:r>
      <w:r>
        <w:rPr>
          <w:color w:val="231F20"/>
          <w:spacing w:val="-11"/>
        </w:rPr>
        <w:t> </w:t>
      </w:r>
      <w:r>
        <w:rPr>
          <w:color w:val="231F20"/>
        </w:rPr>
        <w:t>destino</w:t>
      </w:r>
      <w:r>
        <w:rPr>
          <w:color w:val="231F20"/>
          <w:spacing w:val="-11"/>
        </w:rPr>
        <w:t> </w:t>
      </w:r>
      <w:r>
        <w:rPr>
          <w:color w:val="231F20"/>
        </w:rPr>
        <w:t>las</w:t>
      </w:r>
      <w:r>
        <w:rPr>
          <w:color w:val="231F20"/>
          <w:spacing w:val="-11"/>
        </w:rPr>
        <w:t> </w:t>
      </w:r>
      <w:r>
        <w:rPr>
          <w:color w:val="231F20"/>
        </w:rPr>
        <w:t>políticas</w:t>
      </w:r>
      <w:r>
        <w:rPr>
          <w:color w:val="231F20"/>
          <w:spacing w:val="-11"/>
        </w:rPr>
        <w:t> </w:t>
      </w:r>
      <w:r>
        <w:rPr>
          <w:color w:val="231F20"/>
        </w:rPr>
        <w:t>de</w:t>
      </w:r>
      <w:r>
        <w:rPr>
          <w:color w:val="231F20"/>
          <w:spacing w:val="-11"/>
        </w:rPr>
        <w:t> </w:t>
      </w:r>
      <w:r>
        <w:rPr>
          <w:color w:val="231F20"/>
        </w:rPr>
        <w:t>la migración</w:t>
      </w:r>
      <w:r>
        <w:rPr>
          <w:color w:val="231F20"/>
          <w:spacing w:val="-12"/>
        </w:rPr>
        <w:t> </w:t>
      </w:r>
      <w:r>
        <w:rPr>
          <w:color w:val="231F20"/>
        </w:rPr>
        <w:t>cada</w:t>
      </w:r>
      <w:r>
        <w:rPr>
          <w:color w:val="231F20"/>
          <w:spacing w:val="-12"/>
        </w:rPr>
        <w:t> </w:t>
      </w:r>
      <w:r>
        <w:rPr>
          <w:color w:val="231F20"/>
        </w:rPr>
        <w:t>vez</w:t>
      </w:r>
      <w:r>
        <w:rPr>
          <w:color w:val="231F20"/>
          <w:spacing w:val="-12"/>
        </w:rPr>
        <w:t> </w:t>
      </w:r>
      <w:r>
        <w:rPr>
          <w:color w:val="231F20"/>
        </w:rPr>
        <w:t>se</w:t>
      </w:r>
      <w:r>
        <w:rPr>
          <w:color w:val="231F20"/>
          <w:spacing w:val="-12"/>
        </w:rPr>
        <w:t> </w:t>
      </w:r>
      <w:r>
        <w:rPr>
          <w:color w:val="231F20"/>
        </w:rPr>
        <w:t>vuelven</w:t>
      </w:r>
      <w:r>
        <w:rPr>
          <w:color w:val="231F20"/>
          <w:spacing w:val="-12"/>
        </w:rPr>
        <w:t> </w:t>
      </w:r>
      <w:r>
        <w:rPr>
          <w:color w:val="231F20"/>
        </w:rPr>
        <w:t>más</w:t>
      </w:r>
      <w:r>
        <w:rPr>
          <w:color w:val="231F20"/>
          <w:spacing w:val="-12"/>
        </w:rPr>
        <w:t> </w:t>
      </w:r>
      <w:r>
        <w:rPr>
          <w:color w:val="231F20"/>
        </w:rPr>
        <w:t>restrictivas</w:t>
      </w:r>
      <w:r>
        <w:rPr>
          <w:color w:val="231F20"/>
          <w:spacing w:val="-12"/>
        </w:rPr>
        <w:t> </w:t>
      </w:r>
      <w:r>
        <w:rPr>
          <w:color w:val="231F20"/>
        </w:rPr>
        <w:t>y</w:t>
      </w:r>
      <w:r>
        <w:rPr>
          <w:color w:val="231F20"/>
          <w:spacing w:val="-12"/>
        </w:rPr>
        <w:t> </w:t>
      </w:r>
      <w:r>
        <w:rPr>
          <w:color w:val="231F20"/>
        </w:rPr>
        <w:t>se</w:t>
      </w:r>
      <w:r>
        <w:rPr>
          <w:color w:val="231F20"/>
          <w:spacing w:val="-12"/>
        </w:rPr>
        <w:t> </w:t>
      </w:r>
      <w:r>
        <w:rPr>
          <w:color w:val="231F20"/>
        </w:rPr>
        <w:t>endurecen</w:t>
      </w:r>
      <w:r>
        <w:rPr>
          <w:color w:val="231F20"/>
          <w:spacing w:val="-12"/>
        </w:rPr>
        <w:t> </w:t>
      </w:r>
      <w:r>
        <w:rPr>
          <w:color w:val="231F20"/>
        </w:rPr>
        <w:t>las</w:t>
      </w:r>
      <w:r>
        <w:rPr>
          <w:color w:val="231F20"/>
          <w:spacing w:val="-12"/>
        </w:rPr>
        <w:t> </w:t>
      </w:r>
      <w:r>
        <w:rPr>
          <w:color w:val="231F20"/>
        </w:rPr>
        <w:t>medidas, tal es el caso de la Ley Migratoria del Estado de Arizona en Estados Uni- dos</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Directiva</w:t>
      </w:r>
      <w:r>
        <w:rPr>
          <w:color w:val="231F20"/>
          <w:spacing w:val="-9"/>
        </w:rPr>
        <w:t> </w:t>
      </w:r>
      <w:r>
        <w:rPr>
          <w:color w:val="231F20"/>
        </w:rPr>
        <w:t>de</w:t>
      </w:r>
      <w:r>
        <w:rPr>
          <w:color w:val="231F20"/>
          <w:spacing w:val="-9"/>
        </w:rPr>
        <w:t> </w:t>
      </w:r>
      <w:r>
        <w:rPr>
          <w:color w:val="231F20"/>
        </w:rPr>
        <w:t>Retorno</w:t>
      </w:r>
      <w:r>
        <w:rPr>
          <w:color w:val="231F20"/>
          <w:spacing w:val="-9"/>
        </w:rPr>
        <w:t> </w:t>
      </w:r>
      <w:r>
        <w:rPr>
          <w:color w:val="231F20"/>
        </w:rPr>
        <w:t>en</w:t>
      </w:r>
      <w:r>
        <w:rPr>
          <w:color w:val="231F20"/>
          <w:spacing w:val="-9"/>
        </w:rPr>
        <w:t> </w:t>
      </w:r>
      <w:r>
        <w:rPr>
          <w:color w:val="231F20"/>
        </w:rPr>
        <w:t>España</w:t>
      </w:r>
      <w:r>
        <w:rPr>
          <w:color w:val="231F20"/>
          <w:spacing w:val="-10"/>
        </w:rPr>
        <w:t> </w:t>
      </w:r>
      <w:r>
        <w:rPr>
          <w:color w:val="231F20"/>
        </w:rPr>
        <w:t>y</w:t>
      </w:r>
      <w:r>
        <w:rPr>
          <w:color w:val="231F20"/>
          <w:spacing w:val="-9"/>
        </w:rPr>
        <w:t> </w:t>
      </w:r>
      <w:r>
        <w:rPr>
          <w:color w:val="231F20"/>
        </w:rPr>
        <w:t>países</w:t>
      </w:r>
      <w:r>
        <w:rPr>
          <w:color w:val="231F20"/>
          <w:spacing w:val="-9"/>
        </w:rPr>
        <w:t> </w:t>
      </w:r>
      <w:r>
        <w:rPr>
          <w:color w:val="231F20"/>
        </w:rPr>
        <w:t>de</w:t>
      </w:r>
      <w:r>
        <w:rPr>
          <w:color w:val="231F20"/>
          <w:spacing w:val="-9"/>
        </w:rPr>
        <w:t> </w:t>
      </w:r>
      <w:r>
        <w:rPr>
          <w:color w:val="231F20"/>
        </w:rPr>
        <w:t>Europa,</w:t>
      </w:r>
      <w:r>
        <w:rPr>
          <w:color w:val="231F20"/>
          <w:spacing w:val="-10"/>
        </w:rPr>
        <w:t> </w:t>
      </w:r>
      <w:r>
        <w:rPr>
          <w:color w:val="231F20"/>
        </w:rPr>
        <w:t>que</w:t>
      </w:r>
      <w:r>
        <w:rPr>
          <w:color w:val="231F20"/>
          <w:spacing w:val="-9"/>
        </w:rPr>
        <w:t> </w:t>
      </w:r>
      <w:r>
        <w:rPr>
          <w:color w:val="231F20"/>
        </w:rPr>
        <w:t>incluso</w:t>
      </w:r>
      <w:r>
        <w:rPr>
          <w:color w:val="231F20"/>
          <w:spacing w:val="-10"/>
        </w:rPr>
        <w:t> </w:t>
      </w:r>
      <w:r>
        <w:rPr>
          <w:color w:val="231F20"/>
        </w:rPr>
        <w:t>ya hasta restringe el acceso a la salud de los inmigrantes</w:t>
      </w:r>
      <w:r>
        <w:rPr>
          <w:color w:val="231F20"/>
          <w:spacing w:val="-7"/>
        </w:rPr>
        <w:t> </w:t>
      </w:r>
      <w:r>
        <w:rPr>
          <w:color w:val="231F20"/>
        </w:rPr>
        <w:t>ilegales.</w:t>
      </w:r>
    </w:p>
    <w:p>
      <w:pPr>
        <w:pStyle w:val="BodyText"/>
        <w:spacing w:line="247" w:lineRule="auto"/>
        <w:ind w:left="117" w:right="115" w:firstLine="283"/>
        <w:jc w:val="both"/>
      </w:pPr>
      <w:r>
        <w:rPr>
          <w:color w:val="231F20"/>
        </w:rPr>
        <w:t>Todos estos aspectos de diversa índole están repercutiendo en las po- blaciones de Honduras a tomar decisiones migratorias que canalicen las posibilidades de ellas por mejorar y lograr movilidad social en el exterior.</w:t>
      </w:r>
    </w:p>
    <w:p>
      <w:pPr>
        <w:spacing w:before="171"/>
        <w:ind w:left="117" w:right="0" w:firstLine="0"/>
        <w:jc w:val="both"/>
        <w:rPr>
          <w:b/>
          <w:sz w:val="24"/>
        </w:rPr>
      </w:pPr>
      <w:r>
        <w:rPr>
          <w:b/>
          <w:color w:val="231F20"/>
          <w:sz w:val="24"/>
        </w:rPr>
        <w:t>Análisis teórico</w:t>
      </w:r>
    </w:p>
    <w:p>
      <w:pPr>
        <w:pStyle w:val="BodyText"/>
        <w:spacing w:line="247" w:lineRule="auto" w:before="172"/>
        <w:ind w:left="71" w:right="114"/>
        <w:jc w:val="right"/>
      </w:pPr>
      <w:r>
        <w:rPr>
          <w:color w:val="231F20"/>
        </w:rPr>
        <w:t>La</w:t>
      </w:r>
      <w:r>
        <w:rPr>
          <w:color w:val="231F20"/>
          <w:spacing w:val="-10"/>
        </w:rPr>
        <w:t> </w:t>
      </w:r>
      <w:r>
        <w:rPr>
          <w:color w:val="231F20"/>
        </w:rPr>
        <w:t>migración</w:t>
      </w:r>
      <w:r>
        <w:rPr>
          <w:color w:val="231F20"/>
          <w:spacing w:val="-11"/>
        </w:rPr>
        <w:t> </w:t>
      </w:r>
      <w:r>
        <w:rPr>
          <w:color w:val="231F20"/>
        </w:rPr>
        <w:t>como</w:t>
      </w:r>
      <w:r>
        <w:rPr>
          <w:color w:val="231F20"/>
          <w:spacing w:val="-10"/>
        </w:rPr>
        <w:t> </w:t>
      </w:r>
      <w:r>
        <w:rPr>
          <w:color w:val="231F20"/>
        </w:rPr>
        <w:t>fenómeno</w:t>
      </w:r>
      <w:r>
        <w:rPr>
          <w:color w:val="231F20"/>
          <w:spacing w:val="-10"/>
        </w:rPr>
        <w:t> </w:t>
      </w:r>
      <w:r>
        <w:rPr>
          <w:color w:val="231F20"/>
        </w:rPr>
        <w:t>social</w:t>
      </w:r>
      <w:r>
        <w:rPr>
          <w:color w:val="231F20"/>
          <w:spacing w:val="-10"/>
        </w:rPr>
        <w:t> </w:t>
      </w:r>
      <w:r>
        <w:rPr>
          <w:color w:val="231F20"/>
        </w:rPr>
        <w:t>es</w:t>
      </w:r>
      <w:r>
        <w:rPr>
          <w:color w:val="231F20"/>
          <w:spacing w:val="-10"/>
        </w:rPr>
        <w:t> </w:t>
      </w:r>
      <w:r>
        <w:rPr>
          <w:color w:val="231F20"/>
        </w:rPr>
        <w:t>complejo,</w:t>
      </w:r>
      <w:r>
        <w:rPr>
          <w:color w:val="231F20"/>
          <w:spacing w:val="-11"/>
        </w:rPr>
        <w:t> </w:t>
      </w:r>
      <w:r>
        <w:rPr>
          <w:color w:val="231F20"/>
        </w:rPr>
        <w:t>multidimensional</w:t>
      </w:r>
      <w:r>
        <w:rPr>
          <w:color w:val="231F20"/>
          <w:spacing w:val="-11"/>
        </w:rPr>
        <w:t> </w:t>
      </w:r>
      <w:r>
        <w:rPr>
          <w:color w:val="231F20"/>
        </w:rPr>
        <w:t>e</w:t>
      </w:r>
      <w:r>
        <w:rPr>
          <w:color w:val="231F20"/>
          <w:spacing w:val="-10"/>
        </w:rPr>
        <w:t> </w:t>
      </w:r>
      <w:r>
        <w:rPr>
          <w:color w:val="231F20"/>
        </w:rPr>
        <w:t>inte- rrelacionado</w:t>
      </w:r>
      <w:r>
        <w:rPr>
          <w:color w:val="231F20"/>
          <w:spacing w:val="-11"/>
        </w:rPr>
        <w:t> </w:t>
      </w:r>
      <w:r>
        <w:rPr>
          <w:color w:val="231F20"/>
        </w:rPr>
        <w:t>con</w:t>
      </w:r>
      <w:r>
        <w:rPr>
          <w:color w:val="231F20"/>
          <w:spacing w:val="-11"/>
        </w:rPr>
        <w:t> </w:t>
      </w:r>
      <w:r>
        <w:rPr>
          <w:color w:val="231F20"/>
        </w:rPr>
        <w:t>diversos</w:t>
      </w:r>
      <w:r>
        <w:rPr>
          <w:color w:val="231F20"/>
          <w:spacing w:val="-11"/>
        </w:rPr>
        <w:t> </w:t>
      </w:r>
      <w:r>
        <w:rPr>
          <w:color w:val="231F20"/>
        </w:rPr>
        <w:t>aspectos.</w:t>
      </w:r>
      <w:r>
        <w:rPr>
          <w:color w:val="231F20"/>
          <w:spacing w:val="-24"/>
        </w:rPr>
        <w:t> </w:t>
      </w:r>
      <w:r>
        <w:rPr>
          <w:color w:val="231F20"/>
        </w:rPr>
        <w:t>Asimismo,</w:t>
      </w:r>
      <w:r>
        <w:rPr>
          <w:color w:val="231F20"/>
          <w:spacing w:val="-10"/>
        </w:rPr>
        <w:t> </w:t>
      </w:r>
      <w:r>
        <w:rPr>
          <w:color w:val="231F20"/>
        </w:rPr>
        <w:t>dentro</w:t>
      </w:r>
      <w:r>
        <w:rPr>
          <w:color w:val="231F20"/>
          <w:spacing w:val="-11"/>
        </w:rPr>
        <w:t> </w:t>
      </w:r>
      <w:r>
        <w:rPr>
          <w:color w:val="231F20"/>
        </w:rPr>
        <w:t>de</w:t>
      </w:r>
      <w:r>
        <w:rPr>
          <w:color w:val="231F20"/>
          <w:spacing w:val="-11"/>
        </w:rPr>
        <w:t> </w:t>
      </w:r>
      <w:r>
        <w:rPr>
          <w:color w:val="231F20"/>
        </w:rPr>
        <w:t>esos</w:t>
      </w:r>
      <w:r>
        <w:rPr>
          <w:color w:val="231F20"/>
          <w:spacing w:val="-11"/>
        </w:rPr>
        <w:t> </w:t>
      </w:r>
      <w:r>
        <w:rPr>
          <w:color w:val="231F20"/>
        </w:rPr>
        <w:t>aspectos</w:t>
      </w:r>
      <w:r>
        <w:rPr>
          <w:color w:val="231F20"/>
          <w:spacing w:val="-11"/>
        </w:rPr>
        <w:t> </w:t>
      </w:r>
      <w:r>
        <w:rPr>
          <w:color w:val="231F20"/>
        </w:rPr>
        <w:t>hay factores contextuales más aproximativos en los cuales están</w:t>
      </w:r>
      <w:r>
        <w:rPr>
          <w:color w:val="231F20"/>
          <w:spacing w:val="1"/>
        </w:rPr>
        <w:t> </w:t>
      </w:r>
      <w:r>
        <w:rPr>
          <w:color w:val="231F20"/>
        </w:rPr>
        <w:t>inmersos</w:t>
      </w:r>
      <w:r>
        <w:rPr>
          <w:color w:val="231F20"/>
          <w:spacing w:val="20"/>
        </w:rPr>
        <w:t> </w:t>
      </w:r>
      <w:r>
        <w:rPr>
          <w:color w:val="231F20"/>
        </w:rPr>
        <w:t>el fenómeno migratorio y factores específicos que influyen en</w:t>
      </w:r>
      <w:r>
        <w:rPr>
          <w:color w:val="231F20"/>
          <w:spacing w:val="4"/>
        </w:rPr>
        <w:t> </w:t>
      </w:r>
      <w:r>
        <w:rPr>
          <w:color w:val="231F20"/>
        </w:rPr>
        <w:t>la</w:t>
      </w:r>
      <w:r>
        <w:rPr>
          <w:color w:val="231F20"/>
          <w:spacing w:val="7"/>
        </w:rPr>
        <w:t> </w:t>
      </w:r>
      <w:r>
        <w:rPr>
          <w:color w:val="231F20"/>
        </w:rPr>
        <w:t>migración,</w:t>
      </w:r>
      <w:r>
        <w:rPr>
          <w:color w:val="231F20"/>
          <w:w w:val="100"/>
        </w:rPr>
        <w:t> </w:t>
      </w:r>
      <w:r>
        <w:rPr>
          <w:color w:val="231F20"/>
        </w:rPr>
        <w:t>en el país de origen, en el país de destino y otros en los países</w:t>
      </w:r>
      <w:r>
        <w:rPr>
          <w:color w:val="231F20"/>
          <w:spacing w:val="-4"/>
        </w:rPr>
        <w:t> </w:t>
      </w:r>
      <w:r>
        <w:rPr>
          <w:color w:val="231F20"/>
        </w:rPr>
        <w:t>en</w:t>
      </w:r>
      <w:r>
        <w:rPr>
          <w:color w:val="231F20"/>
          <w:spacing w:val="-1"/>
        </w:rPr>
        <w:t> </w:t>
      </w:r>
      <w:r>
        <w:rPr>
          <w:color w:val="231F20"/>
        </w:rPr>
        <w:t>tránsito. En el país de origen encontramos factores relativos a los</w:t>
      </w:r>
      <w:r>
        <w:rPr>
          <w:color w:val="231F20"/>
          <w:spacing w:val="27"/>
        </w:rPr>
        <w:t> </w:t>
      </w:r>
      <w:r>
        <w:rPr>
          <w:color w:val="231F20"/>
        </w:rPr>
        <w:t>cambios</w:t>
      </w:r>
      <w:r>
        <w:rPr>
          <w:color w:val="231F20"/>
          <w:spacing w:val="13"/>
        </w:rPr>
        <w:t> </w:t>
      </w:r>
      <w:r>
        <w:rPr>
          <w:color w:val="231F20"/>
        </w:rPr>
        <w:t>de- mográficos, la pobreza estructural, los problemas de empleo,</w:t>
      </w:r>
      <w:r>
        <w:rPr>
          <w:color w:val="231F20"/>
          <w:spacing w:val="-11"/>
        </w:rPr>
        <w:t> </w:t>
      </w:r>
      <w:r>
        <w:rPr>
          <w:color w:val="231F20"/>
        </w:rPr>
        <w:t>crisis</w:t>
      </w:r>
      <w:r>
        <w:rPr>
          <w:color w:val="231F20"/>
          <w:spacing w:val="-2"/>
        </w:rPr>
        <w:t> </w:t>
      </w:r>
      <w:r>
        <w:rPr>
          <w:color w:val="231F20"/>
        </w:rPr>
        <w:t>econó- micas, desastres naturales recurrentes, proliferación de maras</w:t>
      </w:r>
      <w:r>
        <w:rPr>
          <w:color w:val="231F20"/>
          <w:spacing w:val="48"/>
        </w:rPr>
        <w:t> </w:t>
      </w:r>
      <w:r>
        <w:rPr>
          <w:color w:val="231F20"/>
        </w:rPr>
        <w:t>y</w:t>
      </w:r>
      <w:r>
        <w:rPr>
          <w:color w:val="231F20"/>
          <w:spacing w:val="7"/>
        </w:rPr>
        <w:t> </w:t>
      </w:r>
      <w:r>
        <w:rPr>
          <w:color w:val="231F20"/>
        </w:rPr>
        <w:t>pandillas, narcotráfico y crimen organizado, crisis política y aceleramiento</w:t>
      </w:r>
      <w:r>
        <w:rPr>
          <w:color w:val="231F20"/>
          <w:spacing w:val="10"/>
        </w:rPr>
        <w:t> </w:t>
      </w:r>
      <w:r>
        <w:rPr>
          <w:color w:val="231F20"/>
        </w:rPr>
        <w:t>del</w:t>
      </w:r>
      <w:r>
        <w:rPr>
          <w:color w:val="231F20"/>
          <w:spacing w:val="8"/>
        </w:rPr>
        <w:t> </w:t>
      </w:r>
      <w:r>
        <w:rPr>
          <w:color w:val="231F20"/>
        </w:rPr>
        <w:t>neo-</w:t>
      </w:r>
      <w:r>
        <w:rPr>
          <w:color w:val="231F20"/>
          <w:w w:val="100"/>
        </w:rPr>
        <w:t> </w:t>
      </w:r>
      <w:r>
        <w:rPr>
          <w:color w:val="231F20"/>
        </w:rPr>
        <w:t>liberalismo,</w:t>
      </w:r>
      <w:r>
        <w:rPr>
          <w:color w:val="231F20"/>
          <w:spacing w:val="-6"/>
        </w:rPr>
        <w:t> </w:t>
      </w:r>
      <w:r>
        <w:rPr>
          <w:color w:val="231F20"/>
        </w:rPr>
        <w:t>flujo</w:t>
      </w:r>
      <w:r>
        <w:rPr>
          <w:color w:val="231F20"/>
          <w:spacing w:val="-5"/>
        </w:rPr>
        <w:t> </w:t>
      </w:r>
      <w:r>
        <w:rPr>
          <w:color w:val="231F20"/>
        </w:rPr>
        <w:t>de</w:t>
      </w:r>
      <w:r>
        <w:rPr>
          <w:color w:val="231F20"/>
          <w:spacing w:val="-5"/>
        </w:rPr>
        <w:t> </w:t>
      </w:r>
      <w:r>
        <w:rPr>
          <w:color w:val="231F20"/>
        </w:rPr>
        <w:t>remesas,</w:t>
      </w:r>
      <w:r>
        <w:rPr>
          <w:color w:val="231F20"/>
          <w:spacing w:val="-6"/>
        </w:rPr>
        <w:t> </w:t>
      </w:r>
      <w:r>
        <w:rPr>
          <w:color w:val="231F20"/>
        </w:rPr>
        <w:t>violencia</w:t>
      </w:r>
      <w:r>
        <w:rPr>
          <w:color w:val="231F20"/>
          <w:spacing w:val="-6"/>
        </w:rPr>
        <w:t> </w:t>
      </w:r>
      <w:r>
        <w:rPr>
          <w:color w:val="231F20"/>
        </w:rPr>
        <w:t>y</w:t>
      </w:r>
      <w:r>
        <w:rPr>
          <w:color w:val="231F20"/>
          <w:spacing w:val="-5"/>
        </w:rPr>
        <w:t> </w:t>
      </w:r>
      <w:r>
        <w:rPr>
          <w:color w:val="231F20"/>
        </w:rPr>
        <w:t>criminalidad,</w:t>
      </w:r>
      <w:r>
        <w:rPr>
          <w:color w:val="231F20"/>
          <w:spacing w:val="-6"/>
        </w:rPr>
        <w:t> </w:t>
      </w:r>
      <w:r>
        <w:rPr>
          <w:color w:val="231F20"/>
        </w:rPr>
        <w:t>aspectos</w:t>
      </w:r>
      <w:r>
        <w:rPr>
          <w:color w:val="231F20"/>
          <w:spacing w:val="-6"/>
        </w:rPr>
        <w:t> </w:t>
      </w:r>
      <w:r>
        <w:rPr>
          <w:color w:val="231F20"/>
        </w:rPr>
        <w:t>culturales</w:t>
      </w:r>
    </w:p>
    <w:p>
      <w:pPr>
        <w:pStyle w:val="BodyText"/>
        <w:spacing w:line="253" w:lineRule="exact"/>
        <w:ind w:left="117"/>
        <w:jc w:val="both"/>
      </w:pPr>
      <w:r>
        <w:rPr>
          <w:color w:val="231F20"/>
        </w:rPr>
        <w:t>de la migración.</w:t>
      </w:r>
    </w:p>
    <w:p>
      <w:pPr>
        <w:pStyle w:val="BodyText"/>
        <w:spacing w:line="247" w:lineRule="auto" w:before="7"/>
        <w:ind w:left="117" w:right="114" w:firstLine="283"/>
        <w:jc w:val="both"/>
      </w:pPr>
      <w:r>
        <w:rPr>
          <w:color w:val="231F20"/>
        </w:rPr>
        <w:t>En</w:t>
      </w:r>
      <w:r>
        <w:rPr>
          <w:color w:val="231F20"/>
          <w:spacing w:val="-6"/>
        </w:rPr>
        <w:t> </w:t>
      </w:r>
      <w:r>
        <w:rPr>
          <w:color w:val="231F20"/>
        </w:rPr>
        <w:t>el</w:t>
      </w:r>
      <w:r>
        <w:rPr>
          <w:color w:val="231F20"/>
          <w:spacing w:val="-6"/>
        </w:rPr>
        <w:t> </w:t>
      </w:r>
      <w:r>
        <w:rPr>
          <w:color w:val="231F20"/>
        </w:rPr>
        <w:t>país</w:t>
      </w:r>
      <w:r>
        <w:rPr>
          <w:color w:val="231F20"/>
          <w:spacing w:val="-6"/>
        </w:rPr>
        <w:t> </w:t>
      </w:r>
      <w:r>
        <w:rPr>
          <w:color w:val="231F20"/>
        </w:rPr>
        <w:t>de</w:t>
      </w:r>
      <w:r>
        <w:rPr>
          <w:color w:val="231F20"/>
          <w:spacing w:val="-6"/>
        </w:rPr>
        <w:t> </w:t>
      </w:r>
      <w:r>
        <w:rPr>
          <w:color w:val="231F20"/>
        </w:rPr>
        <w:t>destino,</w:t>
      </w:r>
      <w:r>
        <w:rPr>
          <w:color w:val="231F20"/>
          <w:spacing w:val="-6"/>
        </w:rPr>
        <w:t> </w:t>
      </w:r>
      <w:r>
        <w:rPr>
          <w:color w:val="231F20"/>
        </w:rPr>
        <w:t>los</w:t>
      </w:r>
      <w:r>
        <w:rPr>
          <w:color w:val="231F20"/>
          <w:spacing w:val="-6"/>
        </w:rPr>
        <w:t> </w:t>
      </w:r>
      <w:r>
        <w:rPr>
          <w:color w:val="231F20"/>
        </w:rPr>
        <w:t>factores</w:t>
      </w:r>
      <w:r>
        <w:rPr>
          <w:color w:val="231F20"/>
          <w:spacing w:val="-6"/>
        </w:rPr>
        <w:t> </w:t>
      </w:r>
      <w:r>
        <w:rPr>
          <w:color w:val="231F20"/>
        </w:rPr>
        <w:t>que</w:t>
      </w:r>
      <w:r>
        <w:rPr>
          <w:color w:val="231F20"/>
          <w:spacing w:val="-6"/>
        </w:rPr>
        <w:t> </w:t>
      </w:r>
      <w:r>
        <w:rPr>
          <w:color w:val="231F20"/>
        </w:rPr>
        <w:t>sobresalen</w:t>
      </w:r>
      <w:r>
        <w:rPr>
          <w:color w:val="231F20"/>
          <w:spacing w:val="-5"/>
        </w:rPr>
        <w:t> </w:t>
      </w:r>
      <w:r>
        <w:rPr>
          <w:color w:val="231F20"/>
        </w:rPr>
        <w:t>son</w:t>
      </w:r>
      <w:r>
        <w:rPr>
          <w:color w:val="231F20"/>
          <w:spacing w:val="-6"/>
        </w:rPr>
        <w:t> </w:t>
      </w:r>
      <w:r>
        <w:rPr>
          <w:color w:val="231F20"/>
        </w:rPr>
        <w:t>relacionados</w:t>
      </w:r>
      <w:r>
        <w:rPr>
          <w:color w:val="231F20"/>
          <w:spacing w:val="-6"/>
        </w:rPr>
        <w:t> </w:t>
      </w:r>
      <w:r>
        <w:rPr>
          <w:color w:val="231F20"/>
        </w:rPr>
        <w:t>a</w:t>
      </w:r>
      <w:r>
        <w:rPr>
          <w:color w:val="231F20"/>
          <w:spacing w:val="-6"/>
        </w:rPr>
        <w:t> </w:t>
      </w:r>
      <w:r>
        <w:rPr>
          <w:color w:val="231F20"/>
        </w:rPr>
        <w:t>los efectos de la crisis económica internacional y los propios de las políticas restrictivas de la migración. En los países en tránsito se suman factores relativos</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evasión</w:t>
      </w:r>
      <w:r>
        <w:rPr>
          <w:color w:val="231F20"/>
          <w:spacing w:val="-10"/>
        </w:rPr>
        <w:t> </w:t>
      </w:r>
      <w:r>
        <w:rPr>
          <w:color w:val="231F20"/>
        </w:rPr>
        <w:t>de</w:t>
      </w:r>
      <w:r>
        <w:rPr>
          <w:color w:val="231F20"/>
          <w:spacing w:val="-10"/>
        </w:rPr>
        <w:t> </w:t>
      </w:r>
      <w:r>
        <w:rPr>
          <w:color w:val="231F20"/>
        </w:rPr>
        <w:t>controles</w:t>
      </w:r>
      <w:r>
        <w:rPr>
          <w:color w:val="231F20"/>
          <w:spacing w:val="-10"/>
        </w:rPr>
        <w:t> </w:t>
      </w:r>
      <w:r>
        <w:rPr>
          <w:color w:val="231F20"/>
        </w:rPr>
        <w:t>y</w:t>
      </w:r>
      <w:r>
        <w:rPr>
          <w:color w:val="231F20"/>
          <w:spacing w:val="-10"/>
        </w:rPr>
        <w:t> </w:t>
      </w:r>
      <w:r>
        <w:rPr>
          <w:color w:val="231F20"/>
        </w:rPr>
        <w:t>redadas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autoridades</w:t>
      </w:r>
      <w:r>
        <w:rPr>
          <w:color w:val="231F20"/>
          <w:spacing w:val="-10"/>
        </w:rPr>
        <w:t> </w:t>
      </w:r>
      <w:r>
        <w:rPr>
          <w:color w:val="231F20"/>
        </w:rPr>
        <w:t>migratorias, como de grupos irregulares que van desde delincuencia común, grupos ligados al narcotráfico y otras bandas delincuenciales, que ven en los mi- grantes un grupo vulnerable para obtención de lucro y que lleva a la</w:t>
      </w:r>
      <w:r>
        <w:rPr>
          <w:color w:val="231F20"/>
          <w:spacing w:val="-28"/>
        </w:rPr>
        <w:t> </w:t>
      </w:r>
      <w:r>
        <w:rPr>
          <w:color w:val="231F20"/>
        </w:rPr>
        <w:t>viola- ción de sus derechos</w:t>
      </w:r>
      <w:r>
        <w:rPr>
          <w:color w:val="231F20"/>
          <w:spacing w:val="-3"/>
        </w:rPr>
        <w:t> </w:t>
      </w:r>
      <w:r>
        <w:rPr>
          <w:color w:val="231F20"/>
        </w:rPr>
        <w:t>humanos.</w:t>
      </w:r>
    </w:p>
    <w:p>
      <w:pPr>
        <w:pStyle w:val="BodyText"/>
        <w:spacing w:line="247" w:lineRule="auto"/>
        <w:ind w:left="117" w:right="114" w:firstLine="283"/>
        <w:jc w:val="both"/>
      </w:pPr>
      <w:r>
        <w:rPr>
          <w:color w:val="231F20"/>
        </w:rPr>
        <w:t>Todos estos factores están inmersos en las teorías migratorias, que se inician en la neoclásica, la nueva economía de las migraciones laborales, de los mercados duales, del sistema mundial, las redes migratorias,    aná-</w:t>
      </w:r>
    </w:p>
    <w:p>
      <w:pPr>
        <w:spacing w:after="0" w:line="247" w:lineRule="auto"/>
        <w:jc w:val="both"/>
        <w:sectPr>
          <w:pgSz w:w="9360" w:h="13040"/>
          <w:pgMar w:header="0" w:footer="496" w:top="800" w:bottom="680" w:left="1300" w:right="1300"/>
        </w:sectPr>
      </w:pPr>
    </w:p>
    <w:p>
      <w:pPr>
        <w:spacing w:before="45"/>
        <w:ind w:left="117" w:right="117" w:firstLine="626"/>
        <w:jc w:val="left"/>
        <w:rPr>
          <w:rFonts w:ascii="Arial" w:hAnsi="Arial"/>
          <w:sz w:val="20"/>
        </w:rPr>
      </w:pPr>
      <w:r>
        <w:rPr>
          <w:rFonts w:ascii="Arial" w:hAnsi="Arial"/>
          <w:color w:val="231F20"/>
          <w:w w:val="65"/>
          <w:sz w:val="20"/>
        </w:rPr>
        <w:t>Factores contextuales de la migración internacional de    Honduras /Manuel Antonio Flores-Fonseca</w:t>
      </w:r>
    </w:p>
    <w:p>
      <w:pPr>
        <w:pStyle w:val="BodyText"/>
        <w:spacing w:before="7"/>
        <w:rPr>
          <w:rFonts w:ascii="Arial"/>
          <w:sz w:val="28"/>
        </w:rPr>
      </w:pPr>
    </w:p>
    <w:p>
      <w:pPr>
        <w:pStyle w:val="BodyText"/>
        <w:spacing w:line="247" w:lineRule="auto"/>
        <w:ind w:left="117" w:right="114"/>
        <w:jc w:val="both"/>
      </w:pPr>
      <w:r>
        <w:rPr>
          <w:color w:val="231F20"/>
        </w:rPr>
        <w:t>lisis de sistemas aplicados a las migraciones y la teoría de la causación acumulativa. Sin embargo, no existe una sola teoría que involucre todos los aspectos demográficos, económicos, sociales, políticos, ambientales, culturales, ya que el fenómeno migratorio es complejo y</w:t>
      </w:r>
      <w:r>
        <w:rPr>
          <w:color w:val="231F20"/>
          <w:spacing w:val="-36"/>
        </w:rPr>
        <w:t> </w:t>
      </w:r>
      <w:r>
        <w:rPr>
          <w:color w:val="231F20"/>
        </w:rPr>
        <w:t>multidimensional y los estudiosos se acercan a él desde diferentes</w:t>
      </w:r>
      <w:r>
        <w:rPr>
          <w:color w:val="231F20"/>
          <w:spacing w:val="-4"/>
        </w:rPr>
        <w:t> </w:t>
      </w:r>
      <w:r>
        <w:rPr>
          <w:color w:val="231F20"/>
        </w:rPr>
        <w:t>perspectivas.</w:t>
      </w:r>
    </w:p>
    <w:p>
      <w:pPr>
        <w:pStyle w:val="Heading3"/>
      </w:pPr>
      <w:r>
        <w:rPr>
          <w:color w:val="231F20"/>
        </w:rPr>
        <w:t>Metodología</w:t>
      </w:r>
    </w:p>
    <w:p>
      <w:pPr>
        <w:pStyle w:val="BodyText"/>
        <w:spacing w:line="247" w:lineRule="auto" w:before="172"/>
        <w:ind w:left="117" w:right="115"/>
        <w:jc w:val="both"/>
      </w:pPr>
      <w:r>
        <w:rPr>
          <w:color w:val="231F20"/>
        </w:rPr>
        <w:t>Este es un trabajo de tipo descriptivo que además de mostrar la situación actual de la migración internacional se centra en el estudio de los factores contextuales de tipo demográfico, social, económico, político, cultural y ambiental que han incidido y están incidiendo en el comportamiento de esta variable demográfica.</w:t>
      </w:r>
    </w:p>
    <w:p>
      <w:pPr>
        <w:pStyle w:val="BodyText"/>
        <w:spacing w:line="247" w:lineRule="auto"/>
        <w:ind w:left="117" w:right="114" w:firstLine="283"/>
        <w:jc w:val="both"/>
      </w:pPr>
      <w:r>
        <w:rPr>
          <w:color w:val="231F20"/>
        </w:rPr>
        <w:t>Para tal fin, se apoya en varias fuentes de datos, mismas que incluyen desde</w:t>
      </w:r>
      <w:r>
        <w:rPr>
          <w:color w:val="231F20"/>
          <w:spacing w:val="-6"/>
        </w:rPr>
        <w:t> </w:t>
      </w:r>
      <w:r>
        <w:rPr>
          <w:color w:val="231F20"/>
        </w:rPr>
        <w:t>las</w:t>
      </w:r>
      <w:r>
        <w:rPr>
          <w:color w:val="231F20"/>
          <w:spacing w:val="-6"/>
        </w:rPr>
        <w:t> </w:t>
      </w:r>
      <w:r>
        <w:rPr>
          <w:color w:val="231F20"/>
        </w:rPr>
        <w:t>fuentes</w:t>
      </w:r>
      <w:r>
        <w:rPr>
          <w:color w:val="231F20"/>
          <w:spacing w:val="-6"/>
        </w:rPr>
        <w:t> </w:t>
      </w:r>
      <w:r>
        <w:rPr>
          <w:color w:val="231F20"/>
        </w:rPr>
        <w:t>tradicionales</w:t>
      </w:r>
      <w:r>
        <w:rPr>
          <w:color w:val="231F20"/>
          <w:spacing w:val="-6"/>
        </w:rPr>
        <w:t> </w:t>
      </w:r>
      <w:r>
        <w:rPr>
          <w:color w:val="231F20"/>
        </w:rPr>
        <w:t>de</w:t>
      </w:r>
      <w:r>
        <w:rPr>
          <w:color w:val="231F20"/>
          <w:spacing w:val="-6"/>
        </w:rPr>
        <w:t> </w:t>
      </w:r>
      <w:r>
        <w:rPr>
          <w:color w:val="231F20"/>
        </w:rPr>
        <w:t>medición</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migración,</w:t>
      </w:r>
      <w:r>
        <w:rPr>
          <w:color w:val="231F20"/>
          <w:spacing w:val="-6"/>
        </w:rPr>
        <w:t> </w:t>
      </w:r>
      <w:r>
        <w:rPr>
          <w:color w:val="231F20"/>
        </w:rPr>
        <w:t>como</w:t>
      </w:r>
      <w:r>
        <w:rPr>
          <w:color w:val="231F20"/>
          <w:spacing w:val="-7"/>
        </w:rPr>
        <w:t> </w:t>
      </w:r>
      <w:r>
        <w:rPr>
          <w:color w:val="231F20"/>
        </w:rPr>
        <w:t>los</w:t>
      </w:r>
      <w:r>
        <w:rPr>
          <w:color w:val="231F20"/>
          <w:spacing w:val="-6"/>
        </w:rPr>
        <w:t> </w:t>
      </w:r>
      <w:r>
        <w:rPr>
          <w:color w:val="231F20"/>
        </w:rPr>
        <w:t>cen- sos</w:t>
      </w:r>
      <w:r>
        <w:rPr>
          <w:color w:val="231F20"/>
          <w:spacing w:val="-9"/>
        </w:rPr>
        <w:t> </w:t>
      </w:r>
      <w:r>
        <w:rPr>
          <w:color w:val="231F20"/>
        </w:rPr>
        <w:t>y</w:t>
      </w:r>
      <w:r>
        <w:rPr>
          <w:color w:val="231F20"/>
          <w:spacing w:val="-9"/>
        </w:rPr>
        <w:t> </w:t>
      </w:r>
      <w:r>
        <w:rPr>
          <w:color w:val="231F20"/>
        </w:rPr>
        <w:t>encuestas</w:t>
      </w:r>
      <w:r>
        <w:rPr>
          <w:color w:val="231F20"/>
          <w:spacing w:val="-9"/>
        </w:rPr>
        <w:t> </w:t>
      </w:r>
      <w:r>
        <w:rPr>
          <w:color w:val="231F20"/>
        </w:rPr>
        <w:t>demográficas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países</w:t>
      </w:r>
      <w:r>
        <w:rPr>
          <w:color w:val="231F20"/>
          <w:spacing w:val="-9"/>
        </w:rPr>
        <w:t> </w:t>
      </w:r>
      <w:r>
        <w:rPr>
          <w:color w:val="231F20"/>
        </w:rPr>
        <w:t>de</w:t>
      </w:r>
      <w:r>
        <w:rPr>
          <w:color w:val="231F20"/>
          <w:spacing w:val="-9"/>
        </w:rPr>
        <w:t> </w:t>
      </w:r>
      <w:r>
        <w:rPr>
          <w:color w:val="231F20"/>
        </w:rPr>
        <w:t>origen,</w:t>
      </w:r>
      <w:r>
        <w:rPr>
          <w:color w:val="231F20"/>
          <w:spacing w:val="-9"/>
        </w:rPr>
        <w:t> </w:t>
      </w:r>
      <w:r>
        <w:rPr>
          <w:color w:val="231F20"/>
        </w:rPr>
        <w:t>tránsito</w:t>
      </w:r>
      <w:r>
        <w:rPr>
          <w:color w:val="231F20"/>
          <w:spacing w:val="-9"/>
        </w:rPr>
        <w:t> </w:t>
      </w:r>
      <w:r>
        <w:rPr>
          <w:color w:val="231F20"/>
        </w:rPr>
        <w:t>y</w:t>
      </w:r>
      <w:r>
        <w:rPr>
          <w:color w:val="231F20"/>
          <w:spacing w:val="-9"/>
        </w:rPr>
        <w:t> </w:t>
      </w:r>
      <w:r>
        <w:rPr>
          <w:color w:val="231F20"/>
        </w:rPr>
        <w:t>destino.</w:t>
      </w:r>
      <w:r>
        <w:rPr>
          <w:color w:val="231F20"/>
          <w:spacing w:val="-9"/>
        </w:rPr>
        <w:t> </w:t>
      </w:r>
      <w:r>
        <w:rPr>
          <w:color w:val="231F20"/>
        </w:rPr>
        <w:t>De otras fuentes no demográficas se utiliza información que incluye, estadís- ticas, leyes, acuerdos, disposiciones, noticias y estudios, de los aspectos administrativos, del área económica, social, acontecer político, aspectos culturales y ambientales donde se insertan algunas variables específicas que influyen en el comportamiento de la</w:t>
      </w:r>
      <w:r>
        <w:rPr>
          <w:color w:val="231F20"/>
          <w:spacing w:val="-12"/>
        </w:rPr>
        <w:t> </w:t>
      </w:r>
      <w:r>
        <w:rPr>
          <w:color w:val="231F20"/>
        </w:rPr>
        <w:t>migración.</w:t>
      </w:r>
    </w:p>
    <w:p>
      <w:pPr>
        <w:pStyle w:val="Heading3"/>
      </w:pPr>
      <w:r>
        <w:rPr>
          <w:color w:val="231F20"/>
        </w:rPr>
        <w:t>Resultados</w:t>
      </w:r>
    </w:p>
    <w:p>
      <w:pPr>
        <w:spacing w:before="152"/>
        <w:ind w:left="117" w:right="0" w:firstLine="0"/>
        <w:jc w:val="both"/>
        <w:rPr>
          <w:i/>
          <w:sz w:val="22"/>
        </w:rPr>
      </w:pPr>
      <w:r>
        <w:rPr>
          <w:i/>
          <w:color w:val="231F20"/>
          <w:sz w:val="22"/>
        </w:rPr>
        <w:t>Tendencias migratorias recientes de Honduras</w:t>
      </w:r>
    </w:p>
    <w:p>
      <w:pPr>
        <w:pStyle w:val="BodyText"/>
        <w:spacing w:line="247" w:lineRule="auto" w:before="177"/>
        <w:ind w:left="117" w:right="114"/>
        <w:jc w:val="both"/>
      </w:pPr>
      <w:r>
        <w:rPr>
          <w:color w:val="231F20"/>
        </w:rPr>
        <w:t>En la sociedad hondureña a través de la historia la migración siempre ha estado presente e incluso en muchas épocas ha sido punto de discusión y de objeto de políticas, leyes y acciones gubernamentales para incidir en  su comportamiento. Hay que recordar en la historia que la población na- tiva recibió el impacto de la migración desde el descubrimiento, conquis- ta y colonia por los españoles, al mismo tiempo recibió contingentes de poblaciones negras desde el Caribe. En la época republicana se hicieron intentos por atraer inmigrantes, e incluso con la reforma liberal de finales del siglo XIX y el fortalecimiento de las economías de enclave, minero y después bananero, llegaron inmigrantes que giraban en torno a esas acti- vidades productivas. La relación de la economía bananera con los puertos de la costa este de Estados Unidos hizo que se iniciara la emigración de población garífuna y mestiza en busca de oportunidades de trabajo en ese país y en la marina mercante. Con el tiempo esta emigración llegó incluso a alcanzar el primer lugar de la región en la década del sesenta,   </w:t>
      </w:r>
      <w:r>
        <w:rPr>
          <w:color w:val="231F20"/>
          <w:spacing w:val="3"/>
        </w:rPr>
        <w:t> </w:t>
      </w:r>
      <w:r>
        <w:rPr>
          <w:color w:val="231F20"/>
        </w:rPr>
        <w:t>simultá-</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jc w:val="both"/>
      </w:pPr>
      <w:r>
        <w:rPr>
          <w:color w:val="231F20"/>
        </w:rPr>
        <w:t>neamente el país se fue transformando en atractivo para inmigrar por la población salvadoreña en la búsqueda de tierras y trabajo. En la década</w:t>
      </w:r>
      <w:r>
        <w:rPr>
          <w:color w:val="231F20"/>
          <w:spacing w:val="-24"/>
        </w:rPr>
        <w:t> </w:t>
      </w:r>
      <w:r>
        <w:rPr>
          <w:color w:val="231F20"/>
        </w:rPr>
        <w:t>de los setenta y ochenta la inmigración se produjo por los conflictos armados de</w:t>
      </w:r>
      <w:r>
        <w:rPr>
          <w:color w:val="231F20"/>
          <w:spacing w:val="-8"/>
        </w:rPr>
        <w:t> </w:t>
      </w:r>
      <w:r>
        <w:rPr>
          <w:color w:val="231F20"/>
        </w:rPr>
        <w:t>Guatemala,</w:t>
      </w:r>
      <w:r>
        <w:rPr>
          <w:color w:val="231F20"/>
          <w:spacing w:val="-7"/>
        </w:rPr>
        <w:t> </w:t>
      </w:r>
      <w:r>
        <w:rPr>
          <w:color w:val="231F20"/>
        </w:rPr>
        <w:t>El</w:t>
      </w:r>
      <w:r>
        <w:rPr>
          <w:color w:val="231F20"/>
          <w:spacing w:val="-8"/>
        </w:rPr>
        <w:t> </w:t>
      </w:r>
      <w:r>
        <w:rPr>
          <w:color w:val="231F20"/>
        </w:rPr>
        <w:t>Salvador</w:t>
      </w:r>
      <w:r>
        <w:rPr>
          <w:color w:val="231F20"/>
          <w:spacing w:val="-7"/>
        </w:rPr>
        <w:t> </w:t>
      </w:r>
      <w:r>
        <w:rPr>
          <w:color w:val="231F20"/>
        </w:rPr>
        <w:t>y</w:t>
      </w:r>
      <w:r>
        <w:rPr>
          <w:color w:val="231F20"/>
          <w:spacing w:val="-8"/>
        </w:rPr>
        <w:t> </w:t>
      </w:r>
      <w:r>
        <w:rPr>
          <w:color w:val="231F20"/>
        </w:rPr>
        <w:t>Nicaragua,</w:t>
      </w:r>
      <w:r>
        <w:rPr>
          <w:color w:val="231F20"/>
          <w:spacing w:val="-7"/>
        </w:rPr>
        <w:t> </w:t>
      </w:r>
      <w:r>
        <w:rPr>
          <w:color w:val="231F20"/>
        </w:rPr>
        <w:t>cuyos</w:t>
      </w:r>
      <w:r>
        <w:rPr>
          <w:color w:val="231F20"/>
          <w:spacing w:val="-8"/>
        </w:rPr>
        <w:t> </w:t>
      </w:r>
      <w:r>
        <w:rPr>
          <w:color w:val="231F20"/>
        </w:rPr>
        <w:t>ciudadanos</w:t>
      </w:r>
      <w:r>
        <w:rPr>
          <w:color w:val="231F20"/>
          <w:spacing w:val="-8"/>
        </w:rPr>
        <w:t> </w:t>
      </w:r>
      <w:r>
        <w:rPr>
          <w:color w:val="231F20"/>
        </w:rPr>
        <w:t>vinieron</w:t>
      </w:r>
      <w:r>
        <w:rPr>
          <w:color w:val="231F20"/>
          <w:spacing w:val="-8"/>
        </w:rPr>
        <w:t> </w:t>
      </w:r>
      <w:r>
        <w:rPr>
          <w:color w:val="231F20"/>
        </w:rPr>
        <w:t>al</w:t>
      </w:r>
      <w:r>
        <w:rPr>
          <w:color w:val="231F20"/>
          <w:spacing w:val="-8"/>
        </w:rPr>
        <w:t> </w:t>
      </w:r>
      <w:r>
        <w:rPr>
          <w:color w:val="231F20"/>
        </w:rPr>
        <w:t>país en busca de</w:t>
      </w:r>
      <w:r>
        <w:rPr>
          <w:color w:val="231F20"/>
          <w:spacing w:val="-1"/>
        </w:rPr>
        <w:t> </w:t>
      </w:r>
      <w:r>
        <w:rPr>
          <w:color w:val="231F20"/>
        </w:rPr>
        <w:t>refugio.</w:t>
      </w:r>
    </w:p>
    <w:p>
      <w:pPr>
        <w:pStyle w:val="BodyText"/>
        <w:spacing w:line="247" w:lineRule="auto"/>
        <w:ind w:left="117" w:right="114" w:firstLine="283"/>
        <w:jc w:val="both"/>
      </w:pPr>
      <w:r>
        <w:rPr>
          <w:color w:val="231F20"/>
        </w:rPr>
        <w:t>La</w:t>
      </w:r>
      <w:r>
        <w:rPr>
          <w:color w:val="231F20"/>
          <w:spacing w:val="-12"/>
        </w:rPr>
        <w:t> </w:t>
      </w:r>
      <w:r>
        <w:rPr>
          <w:color w:val="231F20"/>
        </w:rPr>
        <w:t>tendencia</w:t>
      </w:r>
      <w:r>
        <w:rPr>
          <w:color w:val="231F20"/>
          <w:spacing w:val="-12"/>
        </w:rPr>
        <w:t> </w:t>
      </w:r>
      <w:r>
        <w:rPr>
          <w:color w:val="231F20"/>
        </w:rPr>
        <w:t>actual</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migración</w:t>
      </w:r>
      <w:r>
        <w:rPr>
          <w:color w:val="231F20"/>
          <w:spacing w:val="-12"/>
        </w:rPr>
        <w:t> </w:t>
      </w:r>
      <w:r>
        <w:rPr>
          <w:color w:val="231F20"/>
        </w:rPr>
        <w:t>es</w:t>
      </w:r>
      <w:r>
        <w:rPr>
          <w:color w:val="231F20"/>
          <w:spacing w:val="-12"/>
        </w:rPr>
        <w:t> </w:t>
      </w:r>
      <w:r>
        <w:rPr>
          <w:color w:val="231F20"/>
        </w:rPr>
        <w:t>hacia</w:t>
      </w:r>
      <w:r>
        <w:rPr>
          <w:color w:val="231F20"/>
          <w:spacing w:val="-12"/>
        </w:rPr>
        <w:t> </w:t>
      </w:r>
      <w:r>
        <w:rPr>
          <w:color w:val="231F20"/>
        </w:rPr>
        <w:t>la</w:t>
      </w:r>
      <w:r>
        <w:rPr>
          <w:color w:val="231F20"/>
          <w:spacing w:val="-12"/>
        </w:rPr>
        <w:t> </w:t>
      </w:r>
      <w:r>
        <w:rPr>
          <w:color w:val="231F20"/>
        </w:rPr>
        <w:t>emigración,</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inicia más profusamente desde los años noventa con la implementación de las políticas</w:t>
      </w:r>
      <w:r>
        <w:rPr>
          <w:color w:val="231F20"/>
          <w:spacing w:val="-9"/>
        </w:rPr>
        <w:t> </w:t>
      </w:r>
      <w:r>
        <w:rPr>
          <w:color w:val="231F20"/>
        </w:rPr>
        <w:t>neoliberales,</w:t>
      </w:r>
      <w:r>
        <w:rPr>
          <w:color w:val="231F20"/>
          <w:spacing w:val="-10"/>
        </w:rPr>
        <w:t> </w:t>
      </w:r>
      <w:r>
        <w:rPr>
          <w:color w:val="231F20"/>
        </w:rPr>
        <w:t>que</w:t>
      </w:r>
      <w:r>
        <w:rPr>
          <w:color w:val="231F20"/>
          <w:spacing w:val="-9"/>
        </w:rPr>
        <w:t> </w:t>
      </w:r>
      <w:r>
        <w:rPr>
          <w:color w:val="231F20"/>
        </w:rPr>
        <w:t>deprimieran</w:t>
      </w:r>
      <w:r>
        <w:rPr>
          <w:color w:val="231F20"/>
          <w:spacing w:val="-9"/>
        </w:rPr>
        <w:t> </w:t>
      </w:r>
      <w:r>
        <w:rPr>
          <w:color w:val="231F20"/>
        </w:rPr>
        <w:t>algunos</w:t>
      </w:r>
      <w:r>
        <w:rPr>
          <w:color w:val="231F20"/>
          <w:spacing w:val="-10"/>
        </w:rPr>
        <w:t> </w:t>
      </w:r>
      <w:r>
        <w:rPr>
          <w:color w:val="231F20"/>
        </w:rPr>
        <w:t>sectores</w:t>
      </w:r>
      <w:r>
        <w:rPr>
          <w:color w:val="231F20"/>
          <w:spacing w:val="-9"/>
        </w:rPr>
        <w:t> </w:t>
      </w:r>
      <w:r>
        <w:rPr>
          <w:color w:val="231F20"/>
        </w:rPr>
        <w:t>económicos,</w:t>
      </w:r>
      <w:r>
        <w:rPr>
          <w:color w:val="231F20"/>
          <w:spacing w:val="-10"/>
        </w:rPr>
        <w:t> </w:t>
      </w:r>
      <w:r>
        <w:rPr>
          <w:color w:val="231F20"/>
        </w:rPr>
        <w:t>entre ellos</w:t>
      </w:r>
      <w:r>
        <w:rPr>
          <w:color w:val="231F20"/>
          <w:spacing w:val="-10"/>
        </w:rPr>
        <w:t> </w:t>
      </w:r>
      <w:r>
        <w:rPr>
          <w:color w:val="231F20"/>
        </w:rPr>
        <w:t>el</w:t>
      </w:r>
      <w:r>
        <w:rPr>
          <w:color w:val="231F20"/>
          <w:spacing w:val="-10"/>
        </w:rPr>
        <w:t> </w:t>
      </w:r>
      <w:r>
        <w:rPr>
          <w:color w:val="231F20"/>
        </w:rPr>
        <w:t>agrícola</w:t>
      </w:r>
      <w:r>
        <w:rPr>
          <w:color w:val="231F20"/>
          <w:spacing w:val="-10"/>
        </w:rPr>
        <w:t> </w:t>
      </w:r>
      <w:r>
        <w:rPr>
          <w:color w:val="231F20"/>
        </w:rPr>
        <w:t>y</w:t>
      </w:r>
      <w:r>
        <w:rPr>
          <w:color w:val="231F20"/>
          <w:spacing w:val="-10"/>
        </w:rPr>
        <w:t> </w:t>
      </w:r>
      <w:r>
        <w:rPr>
          <w:color w:val="231F20"/>
        </w:rPr>
        <w:t>generarann</w:t>
      </w:r>
      <w:r>
        <w:rPr>
          <w:color w:val="231F20"/>
          <w:spacing w:val="-10"/>
        </w:rPr>
        <w:t> </w:t>
      </w:r>
      <w:r>
        <w:rPr>
          <w:color w:val="231F20"/>
        </w:rPr>
        <w:t>una</w:t>
      </w:r>
      <w:r>
        <w:rPr>
          <w:color w:val="231F20"/>
          <w:spacing w:val="-10"/>
        </w:rPr>
        <w:t> </w:t>
      </w:r>
      <w:r>
        <w:rPr>
          <w:color w:val="231F20"/>
        </w:rPr>
        <w:t>gran</w:t>
      </w:r>
      <w:r>
        <w:rPr>
          <w:color w:val="231F20"/>
          <w:spacing w:val="-10"/>
        </w:rPr>
        <w:t> </w:t>
      </w:r>
      <w:r>
        <w:rPr>
          <w:color w:val="231F20"/>
        </w:rPr>
        <w:t>masa</w:t>
      </w:r>
      <w:r>
        <w:rPr>
          <w:color w:val="231F20"/>
          <w:spacing w:val="-10"/>
        </w:rPr>
        <w:t> </w:t>
      </w:r>
      <w:r>
        <w:rPr>
          <w:color w:val="231F20"/>
        </w:rPr>
        <w:t>de</w:t>
      </w:r>
      <w:r>
        <w:rPr>
          <w:color w:val="231F20"/>
          <w:spacing w:val="-10"/>
        </w:rPr>
        <w:t> </w:t>
      </w:r>
      <w:r>
        <w:rPr>
          <w:color w:val="231F20"/>
        </w:rPr>
        <w:t>jóvenes</w:t>
      </w:r>
      <w:r>
        <w:rPr>
          <w:color w:val="231F20"/>
          <w:spacing w:val="-10"/>
        </w:rPr>
        <w:t> </w:t>
      </w:r>
      <w:r>
        <w:rPr>
          <w:color w:val="231F20"/>
        </w:rPr>
        <w:t>sin</w:t>
      </w:r>
      <w:r>
        <w:rPr>
          <w:color w:val="231F20"/>
          <w:spacing w:val="-10"/>
        </w:rPr>
        <w:t> </w:t>
      </w:r>
      <w:r>
        <w:rPr>
          <w:color w:val="231F20"/>
        </w:rPr>
        <w:t>empleo</w:t>
      </w:r>
      <w:r>
        <w:rPr>
          <w:color w:val="231F20"/>
          <w:spacing w:val="-10"/>
        </w:rPr>
        <w:t> </w:t>
      </w:r>
      <w:r>
        <w:rPr>
          <w:color w:val="231F20"/>
        </w:rPr>
        <w:t>o</w:t>
      </w:r>
      <w:r>
        <w:rPr>
          <w:color w:val="231F20"/>
          <w:spacing w:val="-10"/>
        </w:rPr>
        <w:t> </w:t>
      </w:r>
      <w:r>
        <w:rPr>
          <w:color w:val="231F20"/>
        </w:rPr>
        <w:t>cuen- tapropistas muy proclives a la búsqueda de oportunidades en las regiones más desarrolladas del país y en gran medida en el exterior, principalmente en</w:t>
      </w:r>
      <w:r>
        <w:rPr>
          <w:color w:val="231F20"/>
          <w:spacing w:val="-5"/>
        </w:rPr>
        <w:t> </w:t>
      </w:r>
      <w:r>
        <w:rPr>
          <w:color w:val="231F20"/>
        </w:rPr>
        <w:t>los</w:t>
      </w:r>
      <w:r>
        <w:rPr>
          <w:color w:val="231F20"/>
          <w:spacing w:val="-5"/>
        </w:rPr>
        <w:t> </w:t>
      </w:r>
      <w:r>
        <w:rPr>
          <w:color w:val="231F20"/>
        </w:rPr>
        <w:t>Estados</w:t>
      </w:r>
      <w:r>
        <w:rPr>
          <w:color w:val="231F20"/>
          <w:spacing w:val="-6"/>
        </w:rPr>
        <w:t> </w:t>
      </w:r>
      <w:r>
        <w:rPr>
          <w:color w:val="231F20"/>
        </w:rPr>
        <w:t>Unidos</w:t>
      </w:r>
      <w:r>
        <w:rPr>
          <w:color w:val="231F20"/>
          <w:spacing w:val="-5"/>
        </w:rPr>
        <w:t> </w:t>
      </w:r>
      <w:r>
        <w:rPr>
          <w:color w:val="231F20"/>
        </w:rPr>
        <w:t>de</w:t>
      </w:r>
      <w:r>
        <w:rPr>
          <w:color w:val="231F20"/>
          <w:spacing w:val="-16"/>
        </w:rPr>
        <w:t> </w:t>
      </w:r>
      <w:r>
        <w:rPr>
          <w:color w:val="231F20"/>
        </w:rPr>
        <w:t>América,</w:t>
      </w:r>
      <w:r>
        <w:rPr>
          <w:color w:val="231F20"/>
          <w:spacing w:val="-4"/>
        </w:rPr>
        <w:t> </w:t>
      </w:r>
      <w:r>
        <w:rPr>
          <w:color w:val="231F20"/>
        </w:rPr>
        <w:t>a</w:t>
      </w:r>
      <w:r>
        <w:rPr>
          <w:color w:val="231F20"/>
          <w:spacing w:val="-5"/>
        </w:rPr>
        <w:t> </w:t>
      </w:r>
      <w:r>
        <w:rPr>
          <w:color w:val="231F20"/>
        </w:rPr>
        <w:t>esto</w:t>
      </w:r>
      <w:r>
        <w:rPr>
          <w:color w:val="231F20"/>
          <w:spacing w:val="-5"/>
        </w:rPr>
        <w:t> </w:t>
      </w:r>
      <w:r>
        <w:rPr>
          <w:color w:val="231F20"/>
        </w:rPr>
        <w:t>se</w:t>
      </w:r>
      <w:r>
        <w:rPr>
          <w:color w:val="231F20"/>
          <w:spacing w:val="-5"/>
        </w:rPr>
        <w:t> </w:t>
      </w:r>
      <w:r>
        <w:rPr>
          <w:color w:val="231F20"/>
        </w:rPr>
        <w:t>sumó</w:t>
      </w:r>
      <w:r>
        <w:rPr>
          <w:color w:val="231F20"/>
          <w:spacing w:val="-5"/>
        </w:rPr>
        <w:t> </w:t>
      </w:r>
      <w:r>
        <w:rPr>
          <w:color w:val="231F20"/>
        </w:rPr>
        <w:t>el</w:t>
      </w:r>
      <w:r>
        <w:rPr>
          <w:color w:val="231F20"/>
          <w:spacing w:val="-5"/>
        </w:rPr>
        <w:t> </w:t>
      </w:r>
      <w:r>
        <w:rPr>
          <w:color w:val="231F20"/>
        </w:rPr>
        <w:t>azote</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desastres naturales (Mitch) que como evento histórico desencadenó la emigración que a partir de ese momento se entronizó en la población hondureña</w:t>
      </w:r>
      <w:r>
        <w:rPr>
          <w:color w:val="231F20"/>
          <w:spacing w:val="-25"/>
        </w:rPr>
        <w:t> </w:t>
      </w:r>
      <w:r>
        <w:rPr>
          <w:color w:val="231F20"/>
        </w:rPr>
        <w:t>como estrategia de vida, que incluso ya diversifica sus destinos migratorios tra- dicionales (Flores,</w:t>
      </w:r>
      <w:r>
        <w:rPr>
          <w:color w:val="231F20"/>
          <w:spacing w:val="-9"/>
        </w:rPr>
        <w:t> </w:t>
      </w:r>
      <w:r>
        <w:rPr>
          <w:color w:val="231F20"/>
        </w:rPr>
        <w:t>2011).</w:t>
      </w:r>
    </w:p>
    <w:p>
      <w:pPr>
        <w:spacing w:before="149"/>
        <w:ind w:left="117" w:right="0" w:firstLine="0"/>
        <w:jc w:val="both"/>
        <w:rPr>
          <w:i/>
          <w:sz w:val="22"/>
        </w:rPr>
      </w:pPr>
      <w:r>
        <w:rPr>
          <w:i/>
          <w:color w:val="231F20"/>
          <w:sz w:val="22"/>
        </w:rPr>
        <w:t>Estimaciones recientes de la migración internacional</w:t>
      </w:r>
    </w:p>
    <w:p>
      <w:pPr>
        <w:pStyle w:val="BodyText"/>
        <w:spacing w:line="247" w:lineRule="auto" w:before="177"/>
        <w:ind w:left="117" w:right="114"/>
        <w:jc w:val="both"/>
      </w:pPr>
      <w:r>
        <w:rPr>
          <w:color w:val="231F20"/>
        </w:rPr>
        <w:t>Hay varias estimaciones de migrantes internacionales hondureños, en el caso</w:t>
      </w:r>
      <w:r>
        <w:rPr>
          <w:color w:val="231F20"/>
          <w:spacing w:val="-9"/>
        </w:rPr>
        <w:t> </w:t>
      </w:r>
      <w:r>
        <w:rPr>
          <w:color w:val="231F20"/>
        </w:rPr>
        <w:t>de</w:t>
      </w:r>
      <w:r>
        <w:rPr>
          <w:color w:val="231F20"/>
          <w:spacing w:val="-8"/>
        </w:rPr>
        <w:t> </w:t>
      </w:r>
      <w:r>
        <w:rPr>
          <w:color w:val="231F20"/>
        </w:rPr>
        <w:t>la</w:t>
      </w:r>
      <w:r>
        <w:rPr>
          <w:color w:val="231F20"/>
          <w:spacing w:val="-9"/>
        </w:rPr>
        <w:t> </w:t>
      </w:r>
      <w:r>
        <w:rPr>
          <w:color w:val="231F20"/>
        </w:rPr>
        <w:t>inmigración</w:t>
      </w:r>
      <w:r>
        <w:rPr>
          <w:color w:val="231F20"/>
          <w:spacing w:val="-9"/>
        </w:rPr>
        <w:t> </w:t>
      </w:r>
      <w:r>
        <w:rPr>
          <w:color w:val="231F20"/>
        </w:rPr>
        <w:t>no</w:t>
      </w:r>
      <w:r>
        <w:rPr>
          <w:color w:val="231F20"/>
          <w:spacing w:val="-9"/>
        </w:rPr>
        <w:t> </w:t>
      </w:r>
      <w:r>
        <w:rPr>
          <w:color w:val="231F20"/>
        </w:rPr>
        <w:t>debería</w:t>
      </w:r>
      <w:r>
        <w:rPr>
          <w:color w:val="231F20"/>
          <w:spacing w:val="-9"/>
        </w:rPr>
        <w:t> </w:t>
      </w:r>
      <w:r>
        <w:rPr>
          <w:color w:val="231F20"/>
        </w:rPr>
        <w:t>ser</w:t>
      </w:r>
      <w:r>
        <w:rPr>
          <w:color w:val="231F20"/>
          <w:spacing w:val="-8"/>
        </w:rPr>
        <w:t> </w:t>
      </w:r>
      <w:r>
        <w:rPr>
          <w:color w:val="231F20"/>
        </w:rPr>
        <w:t>una</w:t>
      </w:r>
      <w:r>
        <w:rPr>
          <w:color w:val="231F20"/>
          <w:spacing w:val="-8"/>
        </w:rPr>
        <w:t> </w:t>
      </w:r>
      <w:r>
        <w:rPr>
          <w:color w:val="231F20"/>
        </w:rPr>
        <w:t>complejidad</w:t>
      </w:r>
      <w:r>
        <w:rPr>
          <w:color w:val="231F20"/>
          <w:spacing w:val="-9"/>
        </w:rPr>
        <w:t> </w:t>
      </w:r>
      <w:r>
        <w:rPr>
          <w:color w:val="231F20"/>
        </w:rPr>
        <w:t>actualmente,</w:t>
      </w:r>
      <w:r>
        <w:rPr>
          <w:color w:val="231F20"/>
          <w:spacing w:val="-9"/>
        </w:rPr>
        <w:t> </w:t>
      </w:r>
      <w:r>
        <w:rPr>
          <w:color w:val="231F20"/>
        </w:rPr>
        <w:t>ya</w:t>
      </w:r>
      <w:r>
        <w:rPr>
          <w:color w:val="231F20"/>
          <w:spacing w:val="-8"/>
        </w:rPr>
        <w:t> </w:t>
      </w:r>
      <w:r>
        <w:rPr>
          <w:color w:val="231F20"/>
        </w:rPr>
        <w:t>que existen registros de migración, aunque son de difícil acceso público, sin embargo,</w:t>
      </w:r>
      <w:r>
        <w:rPr>
          <w:color w:val="231F20"/>
          <w:spacing w:val="-5"/>
        </w:rPr>
        <w:t> </w:t>
      </w:r>
      <w:r>
        <w:rPr>
          <w:color w:val="231F20"/>
        </w:rPr>
        <w:t>los</w:t>
      </w:r>
      <w:r>
        <w:rPr>
          <w:color w:val="231F20"/>
          <w:spacing w:val="-5"/>
        </w:rPr>
        <w:t> </w:t>
      </w:r>
      <w:r>
        <w:rPr>
          <w:color w:val="231F20"/>
        </w:rPr>
        <w:t>censos</w:t>
      </w:r>
      <w:r>
        <w:rPr>
          <w:color w:val="231F20"/>
          <w:spacing w:val="-5"/>
        </w:rPr>
        <w:t> </w:t>
      </w:r>
      <w:r>
        <w:rPr>
          <w:color w:val="231F20"/>
        </w:rPr>
        <w:t>de</w:t>
      </w:r>
      <w:r>
        <w:rPr>
          <w:color w:val="231F20"/>
          <w:spacing w:val="-5"/>
        </w:rPr>
        <w:t> </w:t>
      </w:r>
      <w:r>
        <w:rPr>
          <w:color w:val="231F20"/>
        </w:rPr>
        <w:t>población</w:t>
      </w:r>
      <w:r>
        <w:rPr>
          <w:color w:val="231F20"/>
          <w:spacing w:val="-5"/>
        </w:rPr>
        <w:t> </w:t>
      </w:r>
      <w:r>
        <w:rPr>
          <w:color w:val="231F20"/>
        </w:rPr>
        <w:t>del</w:t>
      </w:r>
      <w:r>
        <w:rPr>
          <w:color w:val="231F20"/>
          <w:spacing w:val="-5"/>
        </w:rPr>
        <w:t> </w:t>
      </w:r>
      <w:r>
        <w:rPr>
          <w:color w:val="231F20"/>
        </w:rPr>
        <w:t>país</w:t>
      </w:r>
      <w:r>
        <w:rPr>
          <w:color w:val="231F20"/>
          <w:spacing w:val="-5"/>
        </w:rPr>
        <w:t> </w:t>
      </w:r>
      <w:r>
        <w:rPr>
          <w:color w:val="231F20"/>
        </w:rPr>
        <w:t>han</w:t>
      </w:r>
      <w:r>
        <w:rPr>
          <w:color w:val="231F20"/>
          <w:spacing w:val="-5"/>
        </w:rPr>
        <w:t> </w:t>
      </w:r>
      <w:r>
        <w:rPr>
          <w:color w:val="231F20"/>
        </w:rPr>
        <w:t>recogido</w:t>
      </w:r>
      <w:r>
        <w:rPr>
          <w:color w:val="231F20"/>
          <w:spacing w:val="-5"/>
        </w:rPr>
        <w:t> </w:t>
      </w:r>
      <w:r>
        <w:rPr>
          <w:color w:val="231F20"/>
        </w:rPr>
        <w:t>información</w:t>
      </w:r>
      <w:r>
        <w:rPr>
          <w:color w:val="231F20"/>
          <w:spacing w:val="-5"/>
        </w:rPr>
        <w:t> </w:t>
      </w:r>
      <w:r>
        <w:rPr>
          <w:color w:val="231F20"/>
        </w:rPr>
        <w:t>sobre el</w:t>
      </w:r>
      <w:r>
        <w:rPr>
          <w:color w:val="231F20"/>
          <w:spacing w:val="-5"/>
        </w:rPr>
        <w:t> </w:t>
      </w:r>
      <w:r>
        <w:rPr>
          <w:color w:val="231F20"/>
        </w:rPr>
        <w:t>país</w:t>
      </w:r>
      <w:r>
        <w:rPr>
          <w:color w:val="231F20"/>
          <w:spacing w:val="-5"/>
        </w:rPr>
        <w:t> </w:t>
      </w:r>
      <w:r>
        <w:rPr>
          <w:color w:val="231F20"/>
        </w:rPr>
        <w:t>de</w:t>
      </w:r>
      <w:r>
        <w:rPr>
          <w:color w:val="231F20"/>
          <w:spacing w:val="-5"/>
        </w:rPr>
        <w:t> </w:t>
      </w:r>
      <w:r>
        <w:rPr>
          <w:color w:val="231F20"/>
        </w:rPr>
        <w:t>nacimiento</w:t>
      </w:r>
      <w:r>
        <w:rPr>
          <w:color w:val="231F20"/>
          <w:spacing w:val="-5"/>
        </w:rPr>
        <w:t> </w:t>
      </w:r>
      <w:r>
        <w:rPr>
          <w:color w:val="231F20"/>
        </w:rPr>
        <w:t>y</w:t>
      </w:r>
      <w:r>
        <w:rPr>
          <w:color w:val="231F20"/>
          <w:spacing w:val="-5"/>
        </w:rPr>
        <w:t> </w:t>
      </w:r>
      <w:r>
        <w:rPr>
          <w:color w:val="231F20"/>
        </w:rPr>
        <w:t>país</w:t>
      </w:r>
      <w:r>
        <w:rPr>
          <w:color w:val="231F20"/>
          <w:spacing w:val="-5"/>
        </w:rPr>
        <w:t> </w:t>
      </w:r>
      <w:r>
        <w:rPr>
          <w:color w:val="231F20"/>
        </w:rPr>
        <w:t>donde</w:t>
      </w:r>
      <w:r>
        <w:rPr>
          <w:color w:val="231F20"/>
          <w:spacing w:val="-5"/>
        </w:rPr>
        <w:t> </w:t>
      </w:r>
      <w:r>
        <w:rPr>
          <w:color w:val="231F20"/>
        </w:rPr>
        <w:t>residía</w:t>
      </w:r>
      <w:r>
        <w:rPr>
          <w:color w:val="231F20"/>
          <w:spacing w:val="-5"/>
        </w:rPr>
        <w:t> </w:t>
      </w:r>
      <w:r>
        <w:rPr>
          <w:color w:val="231F20"/>
        </w:rPr>
        <w:t>cinco</w:t>
      </w:r>
      <w:r>
        <w:rPr>
          <w:color w:val="231F20"/>
          <w:spacing w:val="-5"/>
        </w:rPr>
        <w:t> </w:t>
      </w:r>
      <w:r>
        <w:rPr>
          <w:color w:val="231F20"/>
        </w:rPr>
        <w:t>años</w:t>
      </w:r>
      <w:r>
        <w:rPr>
          <w:color w:val="231F20"/>
          <w:spacing w:val="-5"/>
        </w:rPr>
        <w:t> </w:t>
      </w:r>
      <w:r>
        <w:rPr>
          <w:color w:val="231F20"/>
        </w:rPr>
        <w:t>antes</w:t>
      </w:r>
      <w:r>
        <w:rPr>
          <w:color w:val="231F20"/>
          <w:spacing w:val="-5"/>
        </w:rPr>
        <w:t> </w:t>
      </w:r>
      <w:r>
        <w:rPr>
          <w:color w:val="231F20"/>
        </w:rPr>
        <w:t>del</w:t>
      </w:r>
      <w:r>
        <w:rPr>
          <w:color w:val="231F20"/>
          <w:spacing w:val="-5"/>
        </w:rPr>
        <w:t> </w:t>
      </w:r>
      <w:r>
        <w:rPr>
          <w:color w:val="231F20"/>
        </w:rPr>
        <w:t>censo,</w:t>
      </w:r>
      <w:r>
        <w:rPr>
          <w:color w:val="231F20"/>
          <w:spacing w:val="-5"/>
        </w:rPr>
        <w:t> </w:t>
      </w:r>
      <w:r>
        <w:rPr>
          <w:color w:val="231F20"/>
        </w:rPr>
        <w:t>en</w:t>
      </w:r>
      <w:r>
        <w:rPr>
          <w:color w:val="231F20"/>
          <w:spacing w:val="-5"/>
        </w:rPr>
        <w:t> </w:t>
      </w:r>
      <w:r>
        <w:rPr>
          <w:color w:val="231F20"/>
        </w:rPr>
        <w:t>el caso</w:t>
      </w:r>
      <w:r>
        <w:rPr>
          <w:color w:val="231F20"/>
          <w:spacing w:val="-11"/>
        </w:rPr>
        <w:t> </w:t>
      </w:r>
      <w:r>
        <w:rPr>
          <w:color w:val="231F20"/>
        </w:rPr>
        <w:t>del</w:t>
      </w:r>
      <w:r>
        <w:rPr>
          <w:color w:val="231F20"/>
          <w:spacing w:val="-11"/>
        </w:rPr>
        <w:t> </w:t>
      </w:r>
      <w:r>
        <w:rPr>
          <w:color w:val="231F20"/>
        </w:rPr>
        <w:t>censo</w:t>
      </w:r>
      <w:r>
        <w:rPr>
          <w:color w:val="231F20"/>
          <w:spacing w:val="-11"/>
        </w:rPr>
        <w:t> </w:t>
      </w:r>
      <w:r>
        <w:rPr>
          <w:color w:val="231F20"/>
        </w:rPr>
        <w:t>de</w:t>
      </w:r>
      <w:r>
        <w:rPr>
          <w:color w:val="231F20"/>
          <w:spacing w:val="-11"/>
        </w:rPr>
        <w:t> </w:t>
      </w:r>
      <w:r>
        <w:rPr>
          <w:color w:val="231F20"/>
        </w:rPr>
        <w:t>población</w:t>
      </w:r>
      <w:r>
        <w:rPr>
          <w:color w:val="231F20"/>
          <w:spacing w:val="-11"/>
        </w:rPr>
        <w:t> </w:t>
      </w:r>
      <w:r>
        <w:rPr>
          <w:color w:val="231F20"/>
        </w:rPr>
        <w:t>de</w:t>
      </w:r>
      <w:r>
        <w:rPr>
          <w:color w:val="231F20"/>
          <w:spacing w:val="-11"/>
        </w:rPr>
        <w:t> </w:t>
      </w:r>
      <w:r>
        <w:rPr>
          <w:color w:val="231F20"/>
        </w:rPr>
        <w:t>Honduras</w:t>
      </w:r>
      <w:r>
        <w:rPr>
          <w:color w:val="231F20"/>
          <w:spacing w:val="-10"/>
        </w:rPr>
        <w:t> </w:t>
      </w:r>
      <w:r>
        <w:rPr>
          <w:color w:val="231F20"/>
        </w:rPr>
        <w:t>de</w:t>
      </w:r>
      <w:r>
        <w:rPr>
          <w:color w:val="231F20"/>
          <w:spacing w:val="-11"/>
        </w:rPr>
        <w:t> </w:t>
      </w:r>
      <w:r>
        <w:rPr>
          <w:color w:val="231F20"/>
        </w:rPr>
        <w:t>2001</w:t>
      </w:r>
      <w:r>
        <w:rPr>
          <w:color w:val="231F20"/>
          <w:spacing w:val="-11"/>
        </w:rPr>
        <w:t> </w:t>
      </w:r>
      <w:r>
        <w:rPr>
          <w:color w:val="231F20"/>
        </w:rPr>
        <w:t>los</w:t>
      </w:r>
      <w:r>
        <w:rPr>
          <w:color w:val="231F20"/>
          <w:spacing w:val="-11"/>
        </w:rPr>
        <w:t> </w:t>
      </w:r>
      <w:r>
        <w:rPr>
          <w:color w:val="231F20"/>
        </w:rPr>
        <w:t>nacidos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exterior ascienden a 27 976 personas.</w:t>
      </w:r>
    </w:p>
    <w:p>
      <w:pPr>
        <w:pStyle w:val="BodyText"/>
        <w:spacing w:line="247" w:lineRule="auto"/>
        <w:ind w:left="117" w:right="114" w:firstLine="283"/>
        <w:jc w:val="both"/>
      </w:pPr>
      <w:r>
        <w:rPr>
          <w:color w:val="231F20"/>
        </w:rPr>
        <w:t>No pasa lo mismo con las estimaciones de emigrantes, que son más complejas, las estimaciones van desde utilizar los censos y encuestas de los</w:t>
      </w:r>
      <w:r>
        <w:rPr>
          <w:color w:val="231F20"/>
          <w:spacing w:val="-10"/>
        </w:rPr>
        <w:t> </w:t>
      </w:r>
      <w:r>
        <w:rPr>
          <w:color w:val="231F20"/>
        </w:rPr>
        <w:t>países</w:t>
      </w:r>
      <w:r>
        <w:rPr>
          <w:color w:val="231F20"/>
          <w:spacing w:val="-10"/>
        </w:rPr>
        <w:t> </w:t>
      </w:r>
      <w:r>
        <w:rPr>
          <w:color w:val="231F20"/>
        </w:rPr>
        <w:t>de</w:t>
      </w:r>
      <w:r>
        <w:rPr>
          <w:color w:val="231F20"/>
          <w:spacing w:val="-10"/>
        </w:rPr>
        <w:t> </w:t>
      </w:r>
      <w:r>
        <w:rPr>
          <w:color w:val="231F20"/>
        </w:rPr>
        <w:t>origen</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destino</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utilización</w:t>
      </w:r>
      <w:r>
        <w:rPr>
          <w:color w:val="231F20"/>
          <w:spacing w:val="-10"/>
        </w:rPr>
        <w:t> </w:t>
      </w:r>
      <w:r>
        <w:rPr>
          <w:color w:val="231F20"/>
        </w:rPr>
        <w:t>de</w:t>
      </w:r>
      <w:r>
        <w:rPr>
          <w:color w:val="231F20"/>
          <w:spacing w:val="-10"/>
        </w:rPr>
        <w:t> </w:t>
      </w:r>
      <w:r>
        <w:rPr>
          <w:color w:val="231F20"/>
        </w:rPr>
        <w:t>procedimientos</w:t>
      </w:r>
      <w:r>
        <w:rPr>
          <w:color w:val="231F20"/>
          <w:spacing w:val="-10"/>
        </w:rPr>
        <w:t> </w:t>
      </w:r>
      <w:r>
        <w:rPr>
          <w:color w:val="231F20"/>
        </w:rPr>
        <w:t>indirec- tos demográficos. Las estimaciones conservadoras más recientes</w:t>
      </w:r>
      <w:r>
        <w:rPr>
          <w:color w:val="231F20"/>
          <w:spacing w:val="-33"/>
        </w:rPr>
        <w:t> </w:t>
      </w:r>
      <w:r>
        <w:rPr>
          <w:color w:val="231F20"/>
        </w:rPr>
        <w:t>muestran una ancha franja de diferencias, el Banco Mundial 2010 estimó 569 700 migrantes, EPHPM 2010; 238 669, ACS 2009; 625 mil personas de ori- gen</w:t>
      </w:r>
      <w:r>
        <w:rPr>
          <w:color w:val="231F20"/>
          <w:spacing w:val="-6"/>
        </w:rPr>
        <w:t> </w:t>
      </w:r>
      <w:r>
        <w:rPr>
          <w:color w:val="231F20"/>
        </w:rPr>
        <w:t>hondureño</w:t>
      </w:r>
      <w:r>
        <w:rPr>
          <w:color w:val="231F20"/>
          <w:spacing w:val="-6"/>
        </w:rPr>
        <w:t> </w:t>
      </w:r>
      <w:r>
        <w:rPr>
          <w:color w:val="231F20"/>
        </w:rPr>
        <w:t>en</w:t>
      </w:r>
      <w:r>
        <w:rPr>
          <w:color w:val="231F20"/>
          <w:spacing w:val="-6"/>
        </w:rPr>
        <w:t> </w:t>
      </w:r>
      <w:r>
        <w:rPr>
          <w:color w:val="231F20"/>
        </w:rPr>
        <w:t>Estados</w:t>
      </w:r>
      <w:r>
        <w:rPr>
          <w:color w:val="231F20"/>
          <w:spacing w:val="-7"/>
        </w:rPr>
        <w:t> </w:t>
      </w:r>
      <w:r>
        <w:rPr>
          <w:color w:val="231F20"/>
        </w:rPr>
        <w:t>Unidos,</w:t>
      </w:r>
      <w:r>
        <w:rPr>
          <w:color w:val="231F20"/>
          <w:spacing w:val="-6"/>
        </w:rPr>
        <w:t> </w:t>
      </w:r>
      <w:r>
        <w:rPr>
          <w:color w:val="231F20"/>
        </w:rPr>
        <w:t>Censo</w:t>
      </w:r>
      <w:r>
        <w:rPr>
          <w:color w:val="231F20"/>
          <w:spacing w:val="-6"/>
        </w:rPr>
        <w:t> </w:t>
      </w:r>
      <w:r>
        <w:rPr>
          <w:color w:val="231F20"/>
        </w:rPr>
        <w:t>de</w:t>
      </w:r>
      <w:r>
        <w:rPr>
          <w:color w:val="231F20"/>
          <w:spacing w:val="-6"/>
        </w:rPr>
        <w:t> </w:t>
      </w:r>
      <w:r>
        <w:rPr>
          <w:color w:val="231F20"/>
        </w:rPr>
        <w:t>Población</w:t>
      </w:r>
      <w:r>
        <w:rPr>
          <w:color w:val="231F20"/>
          <w:spacing w:val="-6"/>
        </w:rPr>
        <w:t> </w:t>
      </w:r>
      <w:r>
        <w:rPr>
          <w:color w:val="231F20"/>
        </w:rPr>
        <w:t>de</w:t>
      </w:r>
      <w:r>
        <w:rPr>
          <w:color w:val="231F20"/>
          <w:spacing w:val="-6"/>
        </w:rPr>
        <w:t> </w:t>
      </w:r>
      <w:r>
        <w:rPr>
          <w:color w:val="231F20"/>
        </w:rPr>
        <w:t>Estados</w:t>
      </w:r>
      <w:r>
        <w:rPr>
          <w:color w:val="231F20"/>
          <w:spacing w:val="-7"/>
        </w:rPr>
        <w:t> </w:t>
      </w:r>
      <w:r>
        <w:rPr>
          <w:color w:val="231F20"/>
        </w:rPr>
        <w:t>Unidos 2010 estima 633 401 de origen hondureño, Censos de Población de ronda 2010 se calculó 677 950 nacidos y de origen hondureño (Flores, 2011). Los datos de ACS 2010 relacionados con población de origen hondureño ascienden a 529 312 personas (Flores, 2012). La última estimación de la ACS </w:t>
      </w:r>
      <w:r>
        <w:rPr>
          <w:color w:val="231F20"/>
          <w:spacing w:val="-3"/>
        </w:rPr>
        <w:t>2011 </w:t>
      </w:r>
      <w:r>
        <w:rPr>
          <w:color w:val="231F20"/>
        </w:rPr>
        <w:t>indica que en los Estados Unidos de América hay 695 761 per- sonas de origen hondureño y 490 636 extranjeros nacidos en Honduras, que indica una disminución que deberá ser estudiada</w:t>
      </w:r>
      <w:r>
        <w:rPr>
          <w:color w:val="231F20"/>
          <w:spacing w:val="-4"/>
        </w:rPr>
        <w:t> </w:t>
      </w:r>
      <w:r>
        <w:rPr>
          <w:color w:val="231F20"/>
        </w:rPr>
        <w:t>detenidamente.</w:t>
      </w:r>
    </w:p>
    <w:p>
      <w:pPr>
        <w:spacing w:after="0" w:line="247" w:lineRule="auto"/>
        <w:jc w:val="both"/>
        <w:sectPr>
          <w:pgSz w:w="9360" w:h="13040"/>
          <w:pgMar w:header="0" w:footer="496" w:top="800" w:bottom="680" w:left="1300" w:right="1300"/>
        </w:sectPr>
      </w:pPr>
    </w:p>
    <w:p>
      <w:pPr>
        <w:spacing w:before="45"/>
        <w:ind w:left="744" w:right="117" w:firstLine="0"/>
        <w:jc w:val="left"/>
        <w:rPr>
          <w:rFonts w:ascii="Arial" w:hAnsi="Arial"/>
          <w:sz w:val="20"/>
        </w:rPr>
      </w:pPr>
      <w:r>
        <w:rPr>
          <w:rFonts w:ascii="Arial" w:hAnsi="Arial"/>
          <w:color w:val="231F20"/>
          <w:w w:val="65"/>
          <w:sz w:val="20"/>
        </w:rPr>
        <w:t>Factores contextuales de la migración internacional de    Honduras /Manuel Antonio Flores-Fonseca</w:t>
      </w:r>
    </w:p>
    <w:p>
      <w:pPr>
        <w:pStyle w:val="BodyText"/>
        <w:spacing w:before="10"/>
        <w:rPr>
          <w:rFonts w:ascii="Arial"/>
          <w:sz w:val="27"/>
        </w:rPr>
      </w:pPr>
    </w:p>
    <w:p>
      <w:pPr>
        <w:pStyle w:val="Heading3"/>
        <w:spacing w:before="0"/>
      </w:pPr>
      <w:r>
        <w:rPr>
          <w:color w:val="231F20"/>
        </w:rPr>
        <w:t>Factores contextuales que influyen en la emigración</w:t>
      </w:r>
    </w:p>
    <w:p>
      <w:pPr>
        <w:spacing w:before="152"/>
        <w:ind w:left="117" w:right="0" w:firstLine="0"/>
        <w:jc w:val="both"/>
        <w:rPr>
          <w:i/>
          <w:sz w:val="22"/>
        </w:rPr>
      </w:pPr>
      <w:r>
        <w:rPr>
          <w:i/>
          <w:color w:val="231F20"/>
          <w:sz w:val="22"/>
        </w:rPr>
        <w:t>En el país de origen</w:t>
      </w:r>
    </w:p>
    <w:p>
      <w:pPr>
        <w:pStyle w:val="BodyText"/>
        <w:spacing w:line="247" w:lineRule="auto" w:before="177"/>
        <w:ind w:left="117" w:right="114"/>
        <w:jc w:val="both"/>
      </w:pPr>
      <w:r>
        <w:rPr>
          <w:color w:val="231F20"/>
        </w:rPr>
        <w:t>Los factores contextuales en el país de origen incluyen un sinnúmero de aspectos, aunque algunos podrían tener mayor influencia que otros. Sin embargo, hay algunos que se consideran de mayor relevancia y tienen que ver</w:t>
      </w:r>
      <w:r>
        <w:rPr>
          <w:color w:val="231F20"/>
          <w:spacing w:val="-4"/>
        </w:rPr>
        <w:t> </w:t>
      </w:r>
      <w:r>
        <w:rPr>
          <w:color w:val="231F20"/>
        </w:rPr>
        <w:t>con</w:t>
      </w:r>
      <w:r>
        <w:rPr>
          <w:color w:val="231F20"/>
          <w:spacing w:val="-4"/>
        </w:rPr>
        <w:t> </w:t>
      </w:r>
      <w:r>
        <w:rPr>
          <w:color w:val="231F20"/>
        </w:rPr>
        <w:t>factores</w:t>
      </w:r>
      <w:r>
        <w:rPr>
          <w:color w:val="231F20"/>
          <w:spacing w:val="-4"/>
        </w:rPr>
        <w:t> </w:t>
      </w:r>
      <w:r>
        <w:rPr>
          <w:color w:val="231F20"/>
        </w:rPr>
        <w:t>estructurales</w:t>
      </w:r>
      <w:r>
        <w:rPr>
          <w:color w:val="231F20"/>
          <w:spacing w:val="-4"/>
        </w:rPr>
        <w:t> </w:t>
      </w:r>
      <w:r>
        <w:rPr>
          <w:color w:val="231F20"/>
        </w:rPr>
        <w:t>o</w:t>
      </w:r>
      <w:r>
        <w:rPr>
          <w:color w:val="231F20"/>
          <w:spacing w:val="-4"/>
        </w:rPr>
        <w:t> </w:t>
      </w:r>
      <w:r>
        <w:rPr>
          <w:color w:val="231F20"/>
        </w:rPr>
        <w:t>proclives</w:t>
      </w:r>
      <w:r>
        <w:rPr>
          <w:color w:val="231F20"/>
          <w:spacing w:val="-4"/>
        </w:rPr>
        <w:t> </w:t>
      </w:r>
      <w:r>
        <w:rPr>
          <w:color w:val="231F20"/>
        </w:rPr>
        <w:t>al</w:t>
      </w:r>
      <w:r>
        <w:rPr>
          <w:color w:val="231F20"/>
          <w:spacing w:val="-4"/>
        </w:rPr>
        <w:t> </w:t>
      </w:r>
      <w:r>
        <w:rPr>
          <w:color w:val="231F20"/>
        </w:rPr>
        <w:t>cambio</w:t>
      </w:r>
      <w:r>
        <w:rPr>
          <w:color w:val="231F20"/>
          <w:spacing w:val="-4"/>
        </w:rPr>
        <w:t> </w:t>
      </w:r>
      <w:r>
        <w:rPr>
          <w:color w:val="231F20"/>
        </w:rPr>
        <w:t>lentamente,</w:t>
      </w:r>
      <w:r>
        <w:rPr>
          <w:color w:val="231F20"/>
          <w:spacing w:val="-5"/>
        </w:rPr>
        <w:t> </w:t>
      </w:r>
      <w:r>
        <w:rPr>
          <w:color w:val="231F20"/>
        </w:rPr>
        <w:t>entre</w:t>
      </w:r>
      <w:r>
        <w:rPr>
          <w:color w:val="231F20"/>
          <w:spacing w:val="-4"/>
        </w:rPr>
        <w:t> </w:t>
      </w:r>
      <w:r>
        <w:rPr>
          <w:color w:val="231F20"/>
        </w:rPr>
        <w:t>ellos los cambios demográficos, los relativos a la elevada pobreza y problemas de</w:t>
      </w:r>
      <w:r>
        <w:rPr>
          <w:color w:val="231F20"/>
          <w:spacing w:val="-10"/>
        </w:rPr>
        <w:t> </w:t>
      </w:r>
      <w:r>
        <w:rPr>
          <w:color w:val="231F20"/>
        </w:rPr>
        <w:t>empleo.</w:t>
      </w:r>
      <w:r>
        <w:rPr>
          <w:color w:val="231F20"/>
          <w:spacing w:val="-11"/>
        </w:rPr>
        <w:t> </w:t>
      </w:r>
      <w:r>
        <w:rPr>
          <w:color w:val="231F20"/>
        </w:rPr>
        <w:t>Otros</w:t>
      </w:r>
      <w:r>
        <w:rPr>
          <w:color w:val="231F20"/>
          <w:spacing w:val="-10"/>
        </w:rPr>
        <w:t> </w:t>
      </w:r>
      <w:r>
        <w:rPr>
          <w:color w:val="231F20"/>
        </w:rPr>
        <w:t>factores</w:t>
      </w:r>
      <w:r>
        <w:rPr>
          <w:color w:val="231F20"/>
          <w:spacing w:val="-11"/>
        </w:rPr>
        <w:t> </w:t>
      </w:r>
      <w:r>
        <w:rPr>
          <w:color w:val="231F20"/>
        </w:rPr>
        <w:t>son</w:t>
      </w:r>
      <w:r>
        <w:rPr>
          <w:color w:val="231F20"/>
          <w:spacing w:val="-10"/>
        </w:rPr>
        <w:t> </w:t>
      </w:r>
      <w:r>
        <w:rPr>
          <w:color w:val="231F20"/>
        </w:rPr>
        <w:t>los</w:t>
      </w:r>
      <w:r>
        <w:rPr>
          <w:color w:val="231F20"/>
          <w:spacing w:val="-11"/>
        </w:rPr>
        <w:t> </w:t>
      </w:r>
      <w:r>
        <w:rPr>
          <w:color w:val="231F20"/>
        </w:rPr>
        <w:t>de</w:t>
      </w:r>
      <w:r>
        <w:rPr>
          <w:color w:val="231F20"/>
          <w:spacing w:val="-11"/>
        </w:rPr>
        <w:t> </w:t>
      </w:r>
      <w:r>
        <w:rPr>
          <w:color w:val="231F20"/>
        </w:rPr>
        <w:t>tipo</w:t>
      </w:r>
      <w:r>
        <w:rPr>
          <w:color w:val="231F20"/>
          <w:spacing w:val="-11"/>
        </w:rPr>
        <w:t> </w:t>
      </w:r>
      <w:r>
        <w:rPr>
          <w:color w:val="231F20"/>
        </w:rPr>
        <w:t>coyuntural</w:t>
      </w:r>
      <w:r>
        <w:rPr>
          <w:color w:val="231F20"/>
          <w:spacing w:val="-11"/>
        </w:rPr>
        <w:t> </w:t>
      </w:r>
      <w:r>
        <w:rPr>
          <w:color w:val="231F20"/>
        </w:rPr>
        <w:t>que</w:t>
      </w:r>
      <w:r>
        <w:rPr>
          <w:color w:val="231F20"/>
          <w:spacing w:val="-11"/>
        </w:rPr>
        <w:t> </w:t>
      </w:r>
      <w:r>
        <w:rPr>
          <w:color w:val="231F20"/>
        </w:rPr>
        <w:t>aunque</w:t>
      </w:r>
      <w:r>
        <w:rPr>
          <w:color w:val="231F20"/>
          <w:spacing w:val="-11"/>
        </w:rPr>
        <w:t> </w:t>
      </w:r>
      <w:r>
        <w:rPr>
          <w:color w:val="231F20"/>
        </w:rPr>
        <w:t>son</w:t>
      </w:r>
      <w:r>
        <w:rPr>
          <w:color w:val="231F20"/>
          <w:spacing w:val="-10"/>
        </w:rPr>
        <w:t> </w:t>
      </w:r>
      <w:r>
        <w:rPr>
          <w:color w:val="231F20"/>
        </w:rPr>
        <w:t>aspec- tos relativos a crisis económicas, efectos de desastres naturales, violencia, proliferación de maras, pandillas, narcotráfico y crimen organizado, crisis política, otros aspectos contextuales relativos a la migración como la re- cepción de remesas y la formación de culturas migratorias en el país de origen.</w:t>
      </w:r>
    </w:p>
    <w:p>
      <w:pPr>
        <w:spacing w:before="149"/>
        <w:ind w:left="117" w:right="0" w:firstLine="0"/>
        <w:jc w:val="both"/>
        <w:rPr>
          <w:i/>
          <w:sz w:val="22"/>
        </w:rPr>
      </w:pPr>
      <w:r>
        <w:rPr>
          <w:i/>
          <w:color w:val="231F20"/>
          <w:sz w:val="22"/>
        </w:rPr>
        <w:t>Cambios demográficos</w:t>
      </w:r>
    </w:p>
    <w:p>
      <w:pPr>
        <w:pStyle w:val="BodyText"/>
        <w:spacing w:line="247" w:lineRule="auto" w:before="177"/>
        <w:ind w:left="117" w:right="115"/>
        <w:jc w:val="both"/>
      </w:pPr>
      <w:r>
        <w:rPr>
          <w:color w:val="231F20"/>
        </w:rPr>
        <w:t>Honduras en la segunda mitad del siglo pasado vivió cambios demográ- ficos que, producidos por la reducción de la mortalidad y después de la fecundidad, generaron un crecimiento acelerado de la población que se manifestó</w:t>
      </w:r>
      <w:r>
        <w:rPr>
          <w:color w:val="231F20"/>
          <w:spacing w:val="-13"/>
        </w:rPr>
        <w:t> </w:t>
      </w:r>
      <w:r>
        <w:rPr>
          <w:color w:val="231F20"/>
        </w:rPr>
        <w:t>en</w:t>
      </w:r>
      <w:r>
        <w:rPr>
          <w:color w:val="231F20"/>
          <w:spacing w:val="-12"/>
        </w:rPr>
        <w:t> </w:t>
      </w:r>
      <w:r>
        <w:rPr>
          <w:color w:val="231F20"/>
        </w:rPr>
        <w:t>tasas</w:t>
      </w:r>
      <w:r>
        <w:rPr>
          <w:color w:val="231F20"/>
          <w:spacing w:val="-13"/>
        </w:rPr>
        <w:t> </w:t>
      </w:r>
      <w:r>
        <w:rPr>
          <w:color w:val="231F20"/>
        </w:rPr>
        <w:t>elevadas</w:t>
      </w:r>
      <w:r>
        <w:rPr>
          <w:color w:val="231F20"/>
          <w:spacing w:val="-13"/>
        </w:rPr>
        <w:t> </w:t>
      </w:r>
      <w:r>
        <w:rPr>
          <w:color w:val="231F20"/>
        </w:rPr>
        <w:t>y</w:t>
      </w:r>
      <w:r>
        <w:rPr>
          <w:color w:val="231F20"/>
          <w:spacing w:val="-12"/>
        </w:rPr>
        <w:t> </w:t>
      </w:r>
      <w:r>
        <w:rPr>
          <w:color w:val="231F20"/>
        </w:rPr>
        <w:t>volúmenes</w:t>
      </w:r>
      <w:r>
        <w:rPr>
          <w:color w:val="231F20"/>
          <w:spacing w:val="-12"/>
        </w:rPr>
        <w:t> </w:t>
      </w:r>
      <w:r>
        <w:rPr>
          <w:color w:val="231F20"/>
        </w:rPr>
        <w:t>crecientes</w:t>
      </w:r>
      <w:r>
        <w:rPr>
          <w:color w:val="231F20"/>
          <w:spacing w:val="-13"/>
        </w:rPr>
        <w:t> </w:t>
      </w:r>
      <w:r>
        <w:rPr>
          <w:color w:val="231F20"/>
        </w:rPr>
        <w:t>de</w:t>
      </w:r>
      <w:r>
        <w:rPr>
          <w:color w:val="231F20"/>
          <w:spacing w:val="-12"/>
        </w:rPr>
        <w:t> </w:t>
      </w:r>
      <w:r>
        <w:rPr>
          <w:color w:val="231F20"/>
        </w:rPr>
        <w:t>efectivos.</w:t>
      </w:r>
      <w:r>
        <w:rPr>
          <w:color w:val="231F20"/>
          <w:spacing w:val="-13"/>
        </w:rPr>
        <w:t> </w:t>
      </w:r>
      <w:r>
        <w:rPr>
          <w:color w:val="231F20"/>
        </w:rPr>
        <w:t>Las</w:t>
      </w:r>
      <w:r>
        <w:rPr>
          <w:color w:val="231F20"/>
          <w:spacing w:val="-12"/>
        </w:rPr>
        <w:t> </w:t>
      </w:r>
      <w:r>
        <w:rPr>
          <w:color w:val="231F20"/>
        </w:rPr>
        <w:t>trans- formaciones en la estructura por edades significaron que las proporciones de población dependiente, principalmente en las primeras edades fuera muy alta, con los efectos de demandas en educación, salud, económicas y otras áreas.</w:t>
      </w:r>
    </w:p>
    <w:p>
      <w:pPr>
        <w:pStyle w:val="BodyText"/>
        <w:spacing w:line="247" w:lineRule="auto"/>
        <w:ind w:left="117" w:right="114" w:firstLine="283"/>
        <w:jc w:val="both"/>
      </w:pPr>
      <w:r>
        <w:rPr>
          <w:color w:val="231F20"/>
        </w:rPr>
        <w:t>Honduras arrancó una tardía transición demográfica que hace que la fecundidad, la mortalidad y la tasa de crecimiento desciendan a través del tiempo, producto de los efectos inerciales del pasado. Los volúmenes de población continúan en aumento y alcanzan su maximo en el volumen de la</w:t>
      </w:r>
      <w:r>
        <w:rPr>
          <w:color w:val="231F20"/>
          <w:spacing w:val="-5"/>
        </w:rPr>
        <w:t> </w:t>
      </w:r>
      <w:r>
        <w:rPr>
          <w:color w:val="231F20"/>
        </w:rPr>
        <w:t>población</w:t>
      </w:r>
      <w:r>
        <w:rPr>
          <w:color w:val="231F20"/>
          <w:spacing w:val="-4"/>
        </w:rPr>
        <w:t> </w:t>
      </w:r>
      <w:r>
        <w:rPr>
          <w:color w:val="231F20"/>
        </w:rPr>
        <w:t>en</w:t>
      </w:r>
      <w:r>
        <w:rPr>
          <w:color w:val="231F20"/>
          <w:spacing w:val="-5"/>
        </w:rPr>
        <w:t> </w:t>
      </w:r>
      <w:r>
        <w:rPr>
          <w:color w:val="231F20"/>
        </w:rPr>
        <w:t>el</w:t>
      </w:r>
      <w:r>
        <w:rPr>
          <w:color w:val="231F20"/>
          <w:spacing w:val="-5"/>
        </w:rPr>
        <w:t> </w:t>
      </w:r>
      <w:r>
        <w:rPr>
          <w:color w:val="231F20"/>
        </w:rPr>
        <w:t>largo</w:t>
      </w:r>
      <w:r>
        <w:rPr>
          <w:color w:val="231F20"/>
          <w:spacing w:val="-5"/>
        </w:rPr>
        <w:t> </w:t>
      </w:r>
      <w:r>
        <w:rPr>
          <w:color w:val="231F20"/>
        </w:rPr>
        <w:t>plazo</w:t>
      </w:r>
      <w:r>
        <w:rPr>
          <w:color w:val="231F20"/>
          <w:spacing w:val="-5"/>
        </w:rPr>
        <w:t> </w:t>
      </w:r>
      <w:r>
        <w:rPr>
          <w:color w:val="231F20"/>
        </w:rPr>
        <w:t>(año</w:t>
      </w:r>
      <w:r>
        <w:rPr>
          <w:color w:val="231F20"/>
          <w:spacing w:val="-5"/>
        </w:rPr>
        <w:t> </w:t>
      </w:r>
      <w:r>
        <w:rPr>
          <w:color w:val="231F20"/>
        </w:rPr>
        <w:t>2080).</w:t>
      </w:r>
      <w:r>
        <w:rPr>
          <w:color w:val="231F20"/>
          <w:spacing w:val="-5"/>
        </w:rPr>
        <w:t> </w:t>
      </w:r>
      <w:r>
        <w:rPr>
          <w:color w:val="231F20"/>
        </w:rPr>
        <w:t>Por</w:t>
      </w:r>
      <w:r>
        <w:rPr>
          <w:color w:val="231F20"/>
          <w:spacing w:val="-4"/>
        </w:rPr>
        <w:t> </w:t>
      </w:r>
      <w:r>
        <w:rPr>
          <w:color w:val="231F20"/>
        </w:rPr>
        <w:t>tal</w:t>
      </w:r>
      <w:r>
        <w:rPr>
          <w:color w:val="231F20"/>
          <w:spacing w:val="-5"/>
        </w:rPr>
        <w:t> </w:t>
      </w:r>
      <w:r>
        <w:rPr>
          <w:color w:val="231F20"/>
        </w:rPr>
        <w:t>razón</w:t>
      </w:r>
      <w:r>
        <w:rPr>
          <w:color w:val="231F20"/>
          <w:spacing w:val="-4"/>
        </w:rPr>
        <w:t> </w:t>
      </w:r>
      <w:r>
        <w:rPr>
          <w:color w:val="231F20"/>
        </w:rPr>
        <w:t>hay</w:t>
      </w:r>
      <w:r>
        <w:rPr>
          <w:color w:val="231F20"/>
          <w:spacing w:val="-5"/>
        </w:rPr>
        <w:t> </w:t>
      </w:r>
      <w:r>
        <w:rPr>
          <w:color w:val="231F20"/>
        </w:rPr>
        <w:t>un</w:t>
      </w:r>
      <w:r>
        <w:rPr>
          <w:color w:val="231F20"/>
          <w:spacing w:val="-5"/>
        </w:rPr>
        <w:t> </w:t>
      </w:r>
      <w:r>
        <w:rPr>
          <w:color w:val="231F20"/>
        </w:rPr>
        <w:t>aumento</w:t>
      </w:r>
      <w:r>
        <w:rPr>
          <w:color w:val="231F20"/>
          <w:spacing w:val="-5"/>
        </w:rPr>
        <w:t> </w:t>
      </w:r>
      <w:r>
        <w:rPr>
          <w:color w:val="231F20"/>
        </w:rPr>
        <w:t>de efectivos a largo tiempo y a su vez los cambios en la estructura por</w:t>
      </w:r>
      <w:r>
        <w:rPr>
          <w:color w:val="231F20"/>
          <w:spacing w:val="-37"/>
        </w:rPr>
        <w:t> </w:t>
      </w:r>
      <w:r>
        <w:rPr>
          <w:color w:val="231F20"/>
        </w:rPr>
        <w:t>edades de la población convertirán al segmento en edad de trabajar en el más nu- meroso de la historia hondureña, donde el aparato productivo actual sólo absorbe un décimo del aumento anual. A su vez, los descensos en las</w:t>
      </w:r>
      <w:r>
        <w:rPr>
          <w:color w:val="231F20"/>
          <w:spacing w:val="-22"/>
        </w:rPr>
        <w:t> </w:t>
      </w:r>
      <w:r>
        <w:rPr>
          <w:color w:val="231F20"/>
        </w:rPr>
        <w:t>rela- ciones</w:t>
      </w:r>
      <w:r>
        <w:rPr>
          <w:color w:val="231F20"/>
          <w:spacing w:val="-7"/>
        </w:rPr>
        <w:t> </w:t>
      </w:r>
      <w:r>
        <w:rPr>
          <w:color w:val="231F20"/>
        </w:rPr>
        <w:t>de</w:t>
      </w:r>
      <w:r>
        <w:rPr>
          <w:color w:val="231F20"/>
          <w:spacing w:val="-7"/>
        </w:rPr>
        <w:t> </w:t>
      </w:r>
      <w:r>
        <w:rPr>
          <w:color w:val="231F20"/>
        </w:rPr>
        <w:t>dependencia</w:t>
      </w:r>
      <w:r>
        <w:rPr>
          <w:color w:val="231F20"/>
          <w:spacing w:val="-7"/>
        </w:rPr>
        <w:t> </w:t>
      </w:r>
      <w:r>
        <w:rPr>
          <w:color w:val="231F20"/>
        </w:rPr>
        <w:t>indican</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umbral</w:t>
      </w:r>
      <w:r>
        <w:rPr>
          <w:color w:val="231F20"/>
          <w:spacing w:val="-7"/>
        </w:rPr>
        <w:t> </w:t>
      </w:r>
      <w:r>
        <w:rPr>
          <w:color w:val="231F20"/>
        </w:rPr>
        <w:t>del</w:t>
      </w:r>
      <w:r>
        <w:rPr>
          <w:color w:val="231F20"/>
          <w:spacing w:val="-7"/>
        </w:rPr>
        <w:t> </w:t>
      </w:r>
      <w:r>
        <w:rPr>
          <w:color w:val="231F20"/>
        </w:rPr>
        <w:t>bono</w:t>
      </w:r>
      <w:r>
        <w:rPr>
          <w:color w:val="231F20"/>
          <w:spacing w:val="-7"/>
        </w:rPr>
        <w:t> </w:t>
      </w:r>
      <w:r>
        <w:rPr>
          <w:color w:val="231F20"/>
        </w:rPr>
        <w:t>demográfico</w:t>
      </w:r>
      <w:r>
        <w:rPr>
          <w:color w:val="231F20"/>
          <w:spacing w:val="-7"/>
        </w:rPr>
        <w:t> </w:t>
      </w:r>
      <w:r>
        <w:rPr>
          <w:color w:val="231F20"/>
        </w:rPr>
        <w:t>está</w:t>
      </w:r>
      <w:r>
        <w:rPr>
          <w:color w:val="231F20"/>
          <w:spacing w:val="-7"/>
        </w:rPr>
        <w:t> </w:t>
      </w:r>
      <w:r>
        <w:rPr>
          <w:color w:val="231F20"/>
        </w:rPr>
        <w:t>en el corto plazo (Gráfica</w:t>
      </w:r>
      <w:r>
        <w:rPr>
          <w:color w:val="231F20"/>
          <w:spacing w:val="-12"/>
        </w:rPr>
        <w:t> </w:t>
      </w:r>
      <w:r>
        <w:rPr>
          <w:color w:val="231F20"/>
        </w:rPr>
        <w:t>1).</w:t>
      </w:r>
    </w:p>
    <w:p>
      <w:pPr>
        <w:pStyle w:val="BodyText"/>
        <w:spacing w:line="247" w:lineRule="auto"/>
        <w:ind w:left="117" w:right="115" w:firstLine="283"/>
        <w:jc w:val="both"/>
      </w:pPr>
      <w:r>
        <w:rPr>
          <w:color w:val="231F20"/>
        </w:rPr>
        <w:t>Al</w:t>
      </w:r>
      <w:r>
        <w:rPr>
          <w:color w:val="231F20"/>
          <w:spacing w:val="-7"/>
        </w:rPr>
        <w:t> </w:t>
      </w:r>
      <w:r>
        <w:rPr>
          <w:color w:val="231F20"/>
        </w:rPr>
        <w:t>mismo</w:t>
      </w:r>
      <w:r>
        <w:rPr>
          <w:color w:val="231F20"/>
          <w:spacing w:val="-7"/>
        </w:rPr>
        <w:t> </w:t>
      </w:r>
      <w:r>
        <w:rPr>
          <w:color w:val="231F20"/>
        </w:rPr>
        <w:t>tiempo</w:t>
      </w:r>
      <w:r>
        <w:rPr>
          <w:color w:val="231F20"/>
          <w:spacing w:val="-7"/>
        </w:rPr>
        <w:t> </w:t>
      </w:r>
      <w:r>
        <w:rPr>
          <w:color w:val="231F20"/>
        </w:rPr>
        <w:t>que</w:t>
      </w:r>
      <w:r>
        <w:rPr>
          <w:color w:val="231F20"/>
          <w:spacing w:val="-7"/>
        </w:rPr>
        <w:t> </w:t>
      </w:r>
      <w:r>
        <w:rPr>
          <w:color w:val="231F20"/>
        </w:rPr>
        <w:t>hay</w:t>
      </w:r>
      <w:r>
        <w:rPr>
          <w:color w:val="231F20"/>
          <w:spacing w:val="-7"/>
        </w:rPr>
        <w:t> </w:t>
      </w:r>
      <w:r>
        <w:rPr>
          <w:color w:val="231F20"/>
        </w:rPr>
        <w:t>que</w:t>
      </w:r>
      <w:r>
        <w:rPr>
          <w:color w:val="231F20"/>
          <w:spacing w:val="-7"/>
        </w:rPr>
        <w:t> </w:t>
      </w:r>
      <w:r>
        <w:rPr>
          <w:color w:val="231F20"/>
        </w:rPr>
        <w:t>atender</w:t>
      </w:r>
      <w:r>
        <w:rPr>
          <w:color w:val="231F20"/>
          <w:spacing w:val="-7"/>
        </w:rPr>
        <w:t> </w:t>
      </w:r>
      <w:r>
        <w:rPr>
          <w:color w:val="231F20"/>
        </w:rPr>
        <w:t>demandas</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poblaciones</w:t>
      </w:r>
      <w:r>
        <w:rPr>
          <w:color w:val="231F20"/>
          <w:spacing w:val="-7"/>
        </w:rPr>
        <w:t> </w:t>
      </w:r>
      <w:r>
        <w:rPr>
          <w:color w:val="231F20"/>
        </w:rPr>
        <w:t>de- pendientes, en las poblaciones productivas cada año ingresan fuertes</w:t>
      </w:r>
      <w:r>
        <w:rPr>
          <w:color w:val="231F20"/>
          <w:spacing w:val="34"/>
        </w:rPr>
        <w:t> </w:t>
      </w:r>
      <w:r>
        <w:rPr>
          <w:color w:val="231F20"/>
        </w:rPr>
        <w:t>con-</w:t>
      </w:r>
    </w:p>
    <w:p>
      <w:pPr>
        <w:spacing w:after="0" w:line="247" w:lineRule="auto"/>
        <w:jc w:val="both"/>
        <w:sectPr>
          <w:pgSz w:w="9360" w:h="13040"/>
          <w:pgMar w:header="0" w:footer="496" w:top="740" w:bottom="680" w:left="1300" w:right="1300"/>
        </w:sectPr>
      </w:pPr>
    </w:p>
    <w:p>
      <w:pPr>
        <w:pStyle w:val="BodyText"/>
        <w:rPr>
          <w:sz w:val="20"/>
        </w:rPr>
      </w:pPr>
      <w:r>
        <w:rPr/>
        <w:pict>
          <v:shape style="position:absolute;margin-left:595.506775pt;margin-top:69.299202pt;width:12pt;height:200.85pt;mso-position-horizontal-relative:page;mso-position-vertical-relative:page;z-index:2584" type="#_x0000_t202" filled="false" stroked="false">
            <v:textbox inset="0,0,0,0" style="layout-flow:vertical">
              <w:txbxContent>
                <w:p>
                  <w:pPr>
                    <w:spacing w:line="208" w:lineRule="exact" w:before="0"/>
                    <w:ind w:left="20" w:right="-673" w:firstLine="0"/>
                    <w:jc w:val="left"/>
                    <w:rPr>
                      <w:rFonts w:ascii="Arial" w:hAnsi="Arial"/>
                      <w:sz w:val="20"/>
                    </w:rPr>
                  </w:pPr>
                  <w:r>
                    <w:rPr>
                      <w:rFonts w:ascii="Arial" w:hAnsi="Arial"/>
                      <w:color w:val="231F20"/>
                      <w:spacing w:val="-1"/>
                      <w:w w:val="78"/>
                      <w:sz w:val="20"/>
                    </w:rPr>
                    <w:t>Hito</w:t>
                  </w:r>
                  <w:r>
                    <w:rPr>
                      <w:rFonts w:ascii="Arial" w:hAnsi="Arial"/>
                      <w:color w:val="231F20"/>
                      <w:w w:val="78"/>
                      <w:sz w:val="20"/>
                    </w:rPr>
                    <w:t>s</w:t>
                  </w:r>
                  <w:r>
                    <w:rPr>
                      <w:rFonts w:ascii="Arial" w:hAnsi="Arial"/>
                      <w:color w:val="231F20"/>
                      <w:spacing w:val="-1"/>
                      <w:sz w:val="20"/>
                    </w:rPr>
                    <w:t> </w:t>
                  </w:r>
                  <w:r>
                    <w:rPr>
                      <w:rFonts w:ascii="Arial" w:hAnsi="Arial"/>
                      <w:color w:val="231F20"/>
                      <w:w w:val="72"/>
                      <w:sz w:val="20"/>
                    </w:rPr>
                    <w:t>Demográficos</w:t>
                  </w:r>
                  <w:r>
                    <w:rPr>
                      <w:rFonts w:ascii="Arial" w:hAnsi="Arial"/>
                      <w:color w:val="231F20"/>
                      <w:spacing w:val="-1"/>
                      <w:sz w:val="20"/>
                    </w:rPr>
                    <w:t> </w:t>
                  </w:r>
                  <w:r>
                    <w:rPr>
                      <w:rFonts w:ascii="Arial" w:hAnsi="Arial"/>
                      <w:color w:val="231F20"/>
                      <w:w w:val="76"/>
                      <w:sz w:val="20"/>
                    </w:rPr>
                    <w:t>del</w:t>
                  </w:r>
                  <w:r>
                    <w:rPr>
                      <w:rFonts w:ascii="Arial" w:hAnsi="Arial"/>
                      <w:color w:val="231F20"/>
                      <w:spacing w:val="-1"/>
                      <w:sz w:val="20"/>
                    </w:rPr>
                    <w:t> </w:t>
                  </w:r>
                  <w:r>
                    <w:rPr>
                      <w:rFonts w:ascii="Arial" w:hAnsi="Arial"/>
                      <w:color w:val="231F20"/>
                      <w:spacing w:val="-1"/>
                      <w:w w:val="77"/>
                      <w:sz w:val="20"/>
                    </w:rPr>
                    <w:t>Sigl</w:t>
                  </w:r>
                  <w:r>
                    <w:rPr>
                      <w:rFonts w:ascii="Arial" w:hAnsi="Arial"/>
                      <w:color w:val="231F20"/>
                      <w:w w:val="77"/>
                      <w:sz w:val="20"/>
                    </w:rPr>
                    <w:t>o</w:t>
                  </w:r>
                  <w:r>
                    <w:rPr>
                      <w:rFonts w:ascii="Arial" w:hAnsi="Arial"/>
                      <w:color w:val="231F20"/>
                      <w:sz w:val="20"/>
                    </w:rPr>
                    <w:t> </w:t>
                  </w:r>
                  <w:r>
                    <w:rPr>
                      <w:rFonts w:ascii="Arial" w:hAnsi="Arial"/>
                      <w:color w:val="231F20"/>
                      <w:w w:val="80"/>
                      <w:sz w:val="20"/>
                    </w:rPr>
                    <w:t>XXI:</w:t>
                  </w:r>
                  <w:r>
                    <w:rPr>
                      <w:rFonts w:ascii="Arial" w:hAnsi="Arial"/>
                      <w:color w:val="231F20"/>
                      <w:spacing w:val="-1"/>
                      <w:sz w:val="20"/>
                    </w:rPr>
                    <w:t> </w:t>
                  </w:r>
                  <w:r>
                    <w:rPr>
                      <w:rFonts w:ascii="Arial" w:hAnsi="Arial"/>
                      <w:color w:val="231F20"/>
                      <w:w w:val="76"/>
                      <w:sz w:val="20"/>
                    </w:rPr>
                    <w:t>Migración</w:t>
                  </w:r>
                  <w:r>
                    <w:rPr>
                      <w:rFonts w:ascii="Arial" w:hAnsi="Arial"/>
                      <w:color w:val="231F20"/>
                      <w:spacing w:val="-1"/>
                      <w:sz w:val="20"/>
                    </w:rPr>
                    <w:t> </w:t>
                  </w:r>
                  <w:r>
                    <w:rPr>
                      <w:rFonts w:ascii="Arial" w:hAnsi="Arial"/>
                      <w:color w:val="231F20"/>
                      <w:w w:val="76"/>
                      <w:sz w:val="20"/>
                    </w:rPr>
                    <w:t>Internacional</w:t>
                  </w:r>
                </w:p>
              </w:txbxContent>
            </v:textbox>
            <w10:wrap type="none"/>
          </v:shape>
        </w:pict>
      </w:r>
      <w:r>
        <w:rPr/>
        <w:pict>
          <v:shape style="position:absolute;margin-left:595.135681pt;margin-top:340.848389pt;width:11pt;height:57.05pt;mso-position-horizontal-relative:page;mso-position-vertical-relative:page;z-index:2608" type="#_x0000_t202" filled="false" stroked="false">
            <v:textbox inset="0,0,0,0" style="layout-flow:vertical">
              <w:txbxContent>
                <w:p>
                  <w:pPr>
                    <w:spacing w:line="204" w:lineRule="exact" w:before="0"/>
                    <w:ind w:left="20" w:right="-921" w:firstLine="0"/>
                    <w:jc w:val="left"/>
                    <w:rPr>
                      <w:sz w:val="18"/>
                    </w:rPr>
                  </w:pPr>
                  <w:r>
                    <w:rPr>
                      <w:color w:val="231F20"/>
                      <w:sz w:val="18"/>
                    </w:rPr>
                    <w:t>CIEAP/UAEM</w:t>
                  </w:r>
                </w:p>
              </w:txbxContent>
            </v:textbox>
            <w10:wrap type="none"/>
          </v:shape>
        </w:pict>
      </w:r>
      <w:r>
        <w:rPr/>
        <w:pict>
          <v:shape style="position:absolute;margin-left:23.820354pt;margin-top:215.850403pt;width:12pt;height:21.25pt;mso-position-horizontal-relative:page;mso-position-vertical-relative:page;z-index:2632" type="#_x0000_t202" filled="false" stroked="false">
            <v:textbox inset="0,0,0,0" style="layout-flow:vertical">
              <w:txbxContent>
                <w:p>
                  <w:pPr>
                    <w:spacing w:line="214" w:lineRule="exact" w:before="0"/>
                    <w:ind w:left="20" w:right="-182" w:firstLine="0"/>
                    <w:jc w:val="left"/>
                    <w:rPr>
                      <w:rFonts w:ascii="Verdana"/>
                      <w:sz w:val="20"/>
                    </w:rPr>
                  </w:pPr>
                  <w:r>
                    <w:rPr>
                      <w:rFonts w:ascii="Verdana"/>
                      <w:color w:val="231F20"/>
                      <w:spacing w:val="-1"/>
                      <w:w w:val="100"/>
                      <w:sz w:val="20"/>
                    </w:rPr>
                    <w:t>100</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p>
    <w:p>
      <w:pPr>
        <w:spacing w:before="0"/>
        <w:ind w:left="902" w:right="0" w:firstLine="0"/>
        <w:jc w:val="left"/>
        <w:rPr>
          <w:sz w:val="20"/>
        </w:rPr>
      </w:pPr>
      <w:r>
        <w:rPr/>
        <w:pict>
          <v:group style="position:absolute;margin-left:110.139702pt;margin-top:19.125324pt;width:442.65pt;height:225.6pt;mso-position-horizontal-relative:page;mso-position-vertical-relative:paragraph;z-index:2560" coordorigin="2203,383" coordsize="8853,4512">
            <v:rect style="position:absolute;left:2898;top:574;width:7775;height:2872" filled="false" stroked="true" strokeweight=".75pt" strokecolor="#4f81bc"/>
            <v:line style="position:absolute" from="2898,3445" to="10673,3445" stroked="true" strokeweight=".75pt" strokecolor="#858585"/>
            <v:shape style="position:absolute;left:3021;top:1004;width:7526;height:1268" coordorigin="3021,1004" coordsize="7526,1268" path="m3021,1388l3276,1292,3525,1148,4025,1004,4279,1004,4529,1052,4778,1124,5028,1172,5282,1268,5532,1388,6031,1772,6285,1936,6535,2032,7034,2176,7289,2224,7538,2272,7788,2272,8037,2248,8292,2224,8541,2152,8791,2104,9041,2032,9295,1984,9545,1912,9794,1864,10044,1796,10298,1724,10547,1676e" filled="false" stroked="true" strokeweight=".5pt" strokecolor="#000000">
              <v:path arrowok="t"/>
            </v:shape>
            <v:shape style="position:absolute;left:3021;top:2305;width:7526;height:782" coordorigin="3021,2305" coordsize="7526,782" path="m3021,2435l3276,2392,3525,2353,3775,2324,4025,2305,4279,2310,4529,2324,5028,2363,5282,2387,5532,2430,5781,2492,6031,2564,6285,2627,6535,2680,6785,2723,7034,2776,7289,2824,7538,2867,7788,2905,8037,2939,8292,2972,8791,3020,9041,3040,9295,3054,9794,3073,10298,3083,10547,3086e" filled="false" stroked="true" strokeweight=".5pt" strokecolor="#000000">
              <v:path arrowok="t"/>
              <v:stroke dashstyle="dash"/>
            </v:shape>
            <v:shape style="position:absolute;left:3021;top:1840;width:7526;height:423" coordorigin="3021,1840" coordsize="7526,423" path="m3021,2156l3276,2185,3525,2224,4025,2262,4279,2262,4529,2248,4778,2228,5028,2219,5282,2195,5532,2156,5781,2104,6031,2036,6285,1979,6785,1912,7034,1883,7289,1854,7538,1840,7788,1840,8037,1844,8292,1864,9041,1936,9295,1960,10044,2032,10298,2051,10547,2075e" filled="false" stroked="true" strokeweight=".5pt" strokecolor="#000000">
              <v:path arrowok="t"/>
              <v:stroke dashstyle="dash"/>
            </v:shape>
            <v:shape style="position:absolute;left:3021;top:2780;width:7526;height:594" coordorigin="3021,2780" coordsize="7526,594" path="m3021,3352l3276,3361,3525,3371,3775,3371,4025,3374,4279,3371,4778,3371,5282,3361,5532,3352,6285,3337,6785,3308,7034,3289,7289,3265,7538,3236,7788,3203,8037,3160,8292,3107,8541,3054,9041,2968,9295,2929,9794,2862,10044,2833,10298,2804,10547,2780e" filled="false" stroked="true" strokeweight=".5pt" strokecolor="#000000">
              <v:path arrowok="t"/>
              <v:stroke dashstyle="dash"/>
            </v:shape>
            <v:rect style="position:absolute;left:4053;top:4348;width:5153;height:379" filled="false" stroked="true" strokeweight=".75pt" strokecolor="#4f81bc"/>
            <v:line style="position:absolute" from="4308,4537" to="4812,4537" stroked="true" strokeweight=".5pt" strokecolor="#000000"/>
            <v:line style="position:absolute" from="5387,4537" to="5891,4537" stroked="true" strokeweight=".5pt" strokecolor="#000000">
              <v:stroke dashstyle="dash"/>
            </v:line>
            <v:line style="position:absolute" from="6656,4537" to="7160,4537" stroked="true" strokeweight=".5pt" strokecolor="#000000">
              <v:stroke dashstyle="dash"/>
            </v:line>
            <v:line style="position:absolute" from="8024,4537" to="8528,4537" stroked="true" strokeweight=".5pt" strokecolor="#000000">
              <v:stroke dashstyle="dash"/>
            </v:line>
            <v:shape style="position:absolute;left:-244;top:6740;width:1938;height:1245" coordorigin="-244,6740" coordsize="1938,1245" path="m6530,2676l6530,4369m7775,2432l7775,4343m6530,2676l6530,2606e" filled="false" stroked="true" strokeweight=".75pt" strokecolor="#497dba">
              <v:path arrowok="t"/>
            </v:shape>
            <v:shape style="position:absolute;left:2210;top:390;width:8838;height:4497" type="#_x0000_t202" filled="false" stroked="true" strokeweight=".75pt" strokecolor="#858585">
              <v:textbox inset="0,0,0,0">
                <w:txbxContent>
                  <w:p>
                    <w:pPr>
                      <w:spacing w:before="69"/>
                      <w:ind w:left="199" w:right="8299" w:firstLine="0"/>
                      <w:jc w:val="center"/>
                      <w:rPr>
                        <w:sz w:val="20"/>
                      </w:rPr>
                    </w:pPr>
                    <w:r>
                      <w:rPr>
                        <w:sz w:val="20"/>
                      </w:rPr>
                      <w:t>120</w:t>
                    </w:r>
                  </w:p>
                  <w:p>
                    <w:pPr>
                      <w:spacing w:line="240" w:lineRule="auto" w:before="7"/>
                      <w:rPr>
                        <w:sz w:val="21"/>
                      </w:rPr>
                    </w:pPr>
                  </w:p>
                  <w:p>
                    <w:pPr>
                      <w:spacing w:before="0"/>
                      <w:ind w:left="199" w:right="8299" w:firstLine="0"/>
                      <w:jc w:val="center"/>
                      <w:rPr>
                        <w:sz w:val="20"/>
                      </w:rPr>
                    </w:pPr>
                    <w:r>
                      <w:rPr>
                        <w:sz w:val="20"/>
                      </w:rPr>
                      <w:t>100</w:t>
                    </w:r>
                  </w:p>
                  <w:p>
                    <w:pPr>
                      <w:spacing w:line="240" w:lineRule="auto" w:before="7"/>
                      <w:rPr>
                        <w:sz w:val="21"/>
                      </w:rPr>
                    </w:pPr>
                  </w:p>
                  <w:p>
                    <w:pPr>
                      <w:spacing w:before="0"/>
                      <w:ind w:left="199" w:right="8199" w:firstLine="0"/>
                      <w:jc w:val="center"/>
                      <w:rPr>
                        <w:sz w:val="20"/>
                      </w:rPr>
                    </w:pPr>
                    <w:r>
                      <w:rPr>
                        <w:sz w:val="20"/>
                      </w:rPr>
                      <w:t>80</w:t>
                    </w:r>
                  </w:p>
                  <w:p>
                    <w:pPr>
                      <w:spacing w:line="240" w:lineRule="auto" w:before="7"/>
                      <w:rPr>
                        <w:sz w:val="21"/>
                      </w:rPr>
                    </w:pPr>
                  </w:p>
                  <w:p>
                    <w:pPr>
                      <w:spacing w:before="0"/>
                      <w:ind w:left="199" w:right="8199" w:firstLine="0"/>
                      <w:jc w:val="center"/>
                      <w:rPr>
                        <w:sz w:val="20"/>
                      </w:rPr>
                    </w:pPr>
                    <w:r>
                      <w:rPr>
                        <w:sz w:val="20"/>
                      </w:rPr>
                      <w:t>60</w:t>
                    </w:r>
                  </w:p>
                  <w:p>
                    <w:pPr>
                      <w:spacing w:line="240" w:lineRule="auto" w:before="7"/>
                      <w:rPr>
                        <w:sz w:val="21"/>
                      </w:rPr>
                    </w:pPr>
                  </w:p>
                  <w:p>
                    <w:pPr>
                      <w:spacing w:before="0"/>
                      <w:ind w:left="199" w:right="8199" w:firstLine="0"/>
                      <w:jc w:val="center"/>
                      <w:rPr>
                        <w:sz w:val="20"/>
                      </w:rPr>
                    </w:pPr>
                    <w:r>
                      <w:rPr>
                        <w:sz w:val="20"/>
                      </w:rPr>
                      <w:t>40</w:t>
                    </w:r>
                  </w:p>
                  <w:p>
                    <w:pPr>
                      <w:spacing w:line="240" w:lineRule="auto" w:before="7"/>
                      <w:rPr>
                        <w:sz w:val="21"/>
                      </w:rPr>
                    </w:pPr>
                  </w:p>
                  <w:p>
                    <w:pPr>
                      <w:spacing w:before="0"/>
                      <w:ind w:left="199" w:right="8199" w:firstLine="0"/>
                      <w:jc w:val="center"/>
                      <w:rPr>
                        <w:sz w:val="20"/>
                      </w:rPr>
                    </w:pPr>
                    <w:r>
                      <w:rPr>
                        <w:sz w:val="20"/>
                      </w:rPr>
                      <w:t>20</w:t>
                    </w:r>
                  </w:p>
                  <w:p>
                    <w:pPr>
                      <w:spacing w:line="240" w:lineRule="auto" w:before="7"/>
                      <w:rPr>
                        <w:sz w:val="21"/>
                      </w:rPr>
                    </w:pPr>
                  </w:p>
                  <w:p>
                    <w:pPr>
                      <w:spacing w:before="0"/>
                      <w:ind w:left="0" w:right="7900" w:firstLine="0"/>
                      <w:jc w:val="center"/>
                      <w:rPr>
                        <w:sz w:val="20"/>
                      </w:rPr>
                    </w:pPr>
                    <w:r>
                      <w:rPr>
                        <w:sz w:val="20"/>
                      </w:rPr>
                      <w:t>0</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8"/>
                      <w:rPr>
                        <w:sz w:val="15"/>
                      </w:rPr>
                    </w:pPr>
                  </w:p>
                  <w:p>
                    <w:pPr>
                      <w:tabs>
                        <w:tab w:pos="3169" w:val="left" w:leader="none"/>
                        <w:tab w:pos="3726" w:val="left" w:leader="none"/>
                        <w:tab w:pos="4437" w:val="left" w:leader="none"/>
                        <w:tab w:pos="4994" w:val="left" w:leader="none"/>
                        <w:tab w:pos="5806" w:val="left" w:leader="none"/>
                        <w:tab w:pos="6363" w:val="left" w:leader="none"/>
                      </w:tabs>
                      <w:spacing w:before="1"/>
                      <w:ind w:left="2646" w:right="0" w:firstLine="0"/>
                      <w:jc w:val="left"/>
                      <w:rPr>
                        <w:sz w:val="20"/>
                      </w:rPr>
                    </w:pPr>
                    <w:r>
                      <w:rPr>
                        <w:sz w:val="20"/>
                      </w:rPr>
                      <w:t>RD</w:t>
                      <w:tab/>
                      <w:tab/>
                      <w:t>0 - 14</w:t>
                      <w:tab/>
                      <w:tab/>
                      <w:t>15 - 64</w:t>
                      <w:tab/>
                      <w:tab/>
                      <w:t>65 y+</w:t>
                    </w:r>
                  </w:p>
                </w:txbxContent>
              </v:textbox>
              <w10:wrap type="none"/>
            </v:shape>
            <w10:wrap type="none"/>
          </v:group>
        </w:pict>
      </w:r>
      <w:r>
        <w:rPr>
          <w:color w:val="231F20"/>
          <w:sz w:val="20"/>
        </w:rPr>
        <w:t>Gráfica 1. Honduras: cambios en estructura por edad, relación de dependencia y bono demográfico, 1950-2100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9"/>
        </w:rPr>
      </w:pPr>
    </w:p>
    <w:p>
      <w:pPr>
        <w:spacing w:before="0"/>
        <w:ind w:left="902" w:right="0" w:firstLine="0"/>
        <w:jc w:val="left"/>
        <w:rPr>
          <w:sz w:val="17"/>
        </w:rPr>
      </w:pPr>
      <w:r>
        <w:rPr/>
        <w:pict>
          <v:shape style="position:absolute;margin-left:146.130768pt;margin-top:-69.761559pt;width:388.2pt;height:22pt;mso-position-horizontal-relative:page;mso-position-vertical-relative:paragraph;z-index:2656" type="#_x0000_t202" filled="false" stroked="false">
            <v:textbox inset="0,0,0,0" style="layout-flow:vertical;mso-layout-flow-alt:bottom-to-top">
              <w:txbxContent>
                <w:p>
                  <w:pPr>
                    <w:spacing w:line="224" w:lineRule="exact" w:before="0"/>
                    <w:ind w:left="20" w:right="0" w:firstLine="0"/>
                    <w:jc w:val="left"/>
                    <w:rPr>
                      <w:sz w:val="20"/>
                    </w:rPr>
                  </w:pPr>
                  <w:r>
                    <w:rPr>
                      <w:sz w:val="20"/>
                    </w:rPr>
                    <w:t>1950</w:t>
                  </w:r>
                </w:p>
                <w:p>
                  <w:pPr>
                    <w:spacing w:before="21"/>
                    <w:ind w:left="20" w:right="0" w:firstLine="0"/>
                    <w:jc w:val="left"/>
                    <w:rPr>
                      <w:sz w:val="20"/>
                    </w:rPr>
                  </w:pPr>
                  <w:r>
                    <w:rPr>
                      <w:sz w:val="20"/>
                    </w:rPr>
                    <w:t>1955</w:t>
                  </w:r>
                </w:p>
                <w:p>
                  <w:pPr>
                    <w:spacing w:before="21"/>
                    <w:ind w:left="20" w:right="0" w:firstLine="0"/>
                    <w:jc w:val="left"/>
                    <w:rPr>
                      <w:sz w:val="20"/>
                    </w:rPr>
                  </w:pPr>
                  <w:r>
                    <w:rPr>
                      <w:sz w:val="20"/>
                    </w:rPr>
                    <w:t>1960</w:t>
                  </w:r>
                </w:p>
                <w:p>
                  <w:pPr>
                    <w:spacing w:before="21"/>
                    <w:ind w:left="20" w:right="0" w:firstLine="0"/>
                    <w:jc w:val="left"/>
                    <w:rPr>
                      <w:sz w:val="20"/>
                    </w:rPr>
                  </w:pPr>
                  <w:r>
                    <w:rPr>
                      <w:sz w:val="20"/>
                    </w:rPr>
                    <w:t>1965</w:t>
                  </w:r>
                </w:p>
                <w:p>
                  <w:pPr>
                    <w:spacing w:before="21"/>
                    <w:ind w:left="20" w:right="0" w:firstLine="0"/>
                    <w:jc w:val="left"/>
                    <w:rPr>
                      <w:sz w:val="20"/>
                    </w:rPr>
                  </w:pPr>
                  <w:r>
                    <w:rPr>
                      <w:sz w:val="20"/>
                    </w:rPr>
                    <w:t>1970</w:t>
                  </w:r>
                </w:p>
                <w:p>
                  <w:pPr>
                    <w:spacing w:before="21"/>
                    <w:ind w:left="20" w:right="0" w:firstLine="0"/>
                    <w:jc w:val="left"/>
                    <w:rPr>
                      <w:sz w:val="20"/>
                    </w:rPr>
                  </w:pPr>
                  <w:r>
                    <w:rPr>
                      <w:sz w:val="20"/>
                    </w:rPr>
                    <w:t>1975</w:t>
                  </w:r>
                </w:p>
                <w:p>
                  <w:pPr>
                    <w:spacing w:before="21"/>
                    <w:ind w:left="20" w:right="0" w:firstLine="0"/>
                    <w:jc w:val="left"/>
                    <w:rPr>
                      <w:sz w:val="20"/>
                    </w:rPr>
                  </w:pPr>
                  <w:r>
                    <w:rPr>
                      <w:sz w:val="20"/>
                    </w:rPr>
                    <w:t>1980</w:t>
                  </w:r>
                </w:p>
                <w:p>
                  <w:pPr>
                    <w:spacing w:before="21"/>
                    <w:ind w:left="20" w:right="0" w:firstLine="0"/>
                    <w:jc w:val="left"/>
                    <w:rPr>
                      <w:sz w:val="20"/>
                    </w:rPr>
                  </w:pPr>
                  <w:r>
                    <w:rPr>
                      <w:sz w:val="20"/>
                    </w:rPr>
                    <w:t>1985</w:t>
                  </w:r>
                </w:p>
                <w:p>
                  <w:pPr>
                    <w:spacing w:before="21"/>
                    <w:ind w:left="20" w:right="0" w:firstLine="0"/>
                    <w:jc w:val="left"/>
                    <w:rPr>
                      <w:sz w:val="20"/>
                    </w:rPr>
                  </w:pPr>
                  <w:r>
                    <w:rPr>
                      <w:sz w:val="20"/>
                    </w:rPr>
                    <w:t>1990</w:t>
                  </w:r>
                </w:p>
                <w:p>
                  <w:pPr>
                    <w:spacing w:before="21"/>
                    <w:ind w:left="20" w:right="0" w:firstLine="0"/>
                    <w:jc w:val="left"/>
                    <w:rPr>
                      <w:sz w:val="20"/>
                    </w:rPr>
                  </w:pPr>
                  <w:r>
                    <w:rPr>
                      <w:sz w:val="20"/>
                    </w:rPr>
                    <w:t>1995</w:t>
                  </w:r>
                </w:p>
                <w:p>
                  <w:pPr>
                    <w:spacing w:before="21"/>
                    <w:ind w:left="20" w:right="0" w:firstLine="0"/>
                    <w:jc w:val="left"/>
                    <w:rPr>
                      <w:sz w:val="20"/>
                    </w:rPr>
                  </w:pPr>
                  <w:r>
                    <w:rPr>
                      <w:sz w:val="20"/>
                    </w:rPr>
                    <w:t>2000</w:t>
                  </w:r>
                </w:p>
                <w:p>
                  <w:pPr>
                    <w:spacing w:before="21"/>
                    <w:ind w:left="20" w:right="0" w:firstLine="0"/>
                    <w:jc w:val="left"/>
                    <w:rPr>
                      <w:sz w:val="20"/>
                    </w:rPr>
                  </w:pPr>
                  <w:r>
                    <w:rPr>
                      <w:sz w:val="20"/>
                    </w:rPr>
                    <w:t>2005</w:t>
                  </w:r>
                </w:p>
                <w:p>
                  <w:pPr>
                    <w:spacing w:before="21"/>
                    <w:ind w:left="20" w:right="0" w:firstLine="0"/>
                    <w:jc w:val="left"/>
                    <w:rPr>
                      <w:sz w:val="20"/>
                    </w:rPr>
                  </w:pPr>
                  <w:r>
                    <w:rPr>
                      <w:sz w:val="20"/>
                    </w:rPr>
                    <w:t>2010</w:t>
                  </w:r>
                </w:p>
                <w:p>
                  <w:pPr>
                    <w:spacing w:before="21"/>
                    <w:ind w:left="20" w:right="0" w:firstLine="0"/>
                    <w:jc w:val="left"/>
                    <w:rPr>
                      <w:sz w:val="20"/>
                    </w:rPr>
                  </w:pPr>
                  <w:r>
                    <w:rPr>
                      <w:sz w:val="20"/>
                    </w:rPr>
                    <w:t>2015</w:t>
                  </w:r>
                </w:p>
                <w:p>
                  <w:pPr>
                    <w:spacing w:before="21"/>
                    <w:ind w:left="20" w:right="0" w:firstLine="0"/>
                    <w:jc w:val="left"/>
                    <w:rPr>
                      <w:sz w:val="20"/>
                    </w:rPr>
                  </w:pPr>
                  <w:r>
                    <w:rPr>
                      <w:sz w:val="20"/>
                    </w:rPr>
                    <w:t>2020</w:t>
                  </w:r>
                </w:p>
                <w:p>
                  <w:pPr>
                    <w:spacing w:before="21"/>
                    <w:ind w:left="20" w:right="0" w:firstLine="0"/>
                    <w:jc w:val="left"/>
                    <w:rPr>
                      <w:sz w:val="20"/>
                    </w:rPr>
                  </w:pPr>
                  <w:r>
                    <w:rPr>
                      <w:sz w:val="20"/>
                    </w:rPr>
                    <w:t>2025</w:t>
                  </w:r>
                </w:p>
                <w:p>
                  <w:pPr>
                    <w:spacing w:before="21"/>
                    <w:ind w:left="20" w:right="0" w:firstLine="0"/>
                    <w:jc w:val="left"/>
                    <w:rPr>
                      <w:sz w:val="20"/>
                    </w:rPr>
                  </w:pPr>
                  <w:r>
                    <w:rPr>
                      <w:sz w:val="20"/>
                    </w:rPr>
                    <w:t>2030</w:t>
                  </w:r>
                </w:p>
                <w:p>
                  <w:pPr>
                    <w:spacing w:before="21"/>
                    <w:ind w:left="20" w:right="0" w:firstLine="0"/>
                    <w:jc w:val="left"/>
                    <w:rPr>
                      <w:sz w:val="20"/>
                    </w:rPr>
                  </w:pPr>
                  <w:r>
                    <w:rPr>
                      <w:sz w:val="20"/>
                    </w:rPr>
                    <w:t>2035</w:t>
                  </w:r>
                </w:p>
                <w:p>
                  <w:pPr>
                    <w:spacing w:before="21"/>
                    <w:ind w:left="20" w:right="0" w:firstLine="0"/>
                    <w:jc w:val="left"/>
                    <w:rPr>
                      <w:sz w:val="20"/>
                    </w:rPr>
                  </w:pPr>
                  <w:r>
                    <w:rPr>
                      <w:sz w:val="20"/>
                    </w:rPr>
                    <w:t>2040</w:t>
                  </w:r>
                </w:p>
                <w:p>
                  <w:pPr>
                    <w:spacing w:before="21"/>
                    <w:ind w:left="20" w:right="0" w:firstLine="0"/>
                    <w:jc w:val="left"/>
                    <w:rPr>
                      <w:sz w:val="20"/>
                    </w:rPr>
                  </w:pPr>
                  <w:r>
                    <w:rPr>
                      <w:sz w:val="20"/>
                    </w:rPr>
                    <w:t>2045</w:t>
                  </w:r>
                </w:p>
                <w:p>
                  <w:pPr>
                    <w:spacing w:before="21"/>
                    <w:ind w:left="20" w:right="0" w:firstLine="0"/>
                    <w:jc w:val="left"/>
                    <w:rPr>
                      <w:sz w:val="20"/>
                    </w:rPr>
                  </w:pPr>
                  <w:r>
                    <w:rPr>
                      <w:sz w:val="20"/>
                    </w:rPr>
                    <w:t>2050</w:t>
                  </w:r>
                </w:p>
                <w:p>
                  <w:pPr>
                    <w:spacing w:before="21"/>
                    <w:ind w:left="20" w:right="0" w:firstLine="0"/>
                    <w:jc w:val="left"/>
                    <w:rPr>
                      <w:sz w:val="20"/>
                    </w:rPr>
                  </w:pPr>
                  <w:r>
                    <w:rPr>
                      <w:sz w:val="20"/>
                    </w:rPr>
                    <w:t>2055</w:t>
                  </w:r>
                </w:p>
                <w:p>
                  <w:pPr>
                    <w:spacing w:before="21"/>
                    <w:ind w:left="20" w:right="0" w:firstLine="0"/>
                    <w:jc w:val="left"/>
                    <w:rPr>
                      <w:sz w:val="20"/>
                    </w:rPr>
                  </w:pPr>
                  <w:r>
                    <w:rPr>
                      <w:sz w:val="20"/>
                    </w:rPr>
                    <w:t>2060</w:t>
                  </w:r>
                </w:p>
                <w:p>
                  <w:pPr>
                    <w:spacing w:before="21"/>
                    <w:ind w:left="20" w:right="0" w:firstLine="0"/>
                    <w:jc w:val="left"/>
                    <w:rPr>
                      <w:sz w:val="20"/>
                    </w:rPr>
                  </w:pPr>
                  <w:r>
                    <w:rPr>
                      <w:sz w:val="20"/>
                    </w:rPr>
                    <w:t>2065</w:t>
                  </w:r>
                </w:p>
                <w:p>
                  <w:pPr>
                    <w:spacing w:before="21"/>
                    <w:ind w:left="20" w:right="0" w:firstLine="0"/>
                    <w:jc w:val="left"/>
                    <w:rPr>
                      <w:sz w:val="20"/>
                    </w:rPr>
                  </w:pPr>
                  <w:r>
                    <w:rPr>
                      <w:sz w:val="20"/>
                    </w:rPr>
                    <w:t>2070</w:t>
                  </w:r>
                </w:p>
                <w:p>
                  <w:pPr>
                    <w:spacing w:before="21"/>
                    <w:ind w:left="20" w:right="0" w:firstLine="0"/>
                    <w:jc w:val="left"/>
                    <w:rPr>
                      <w:sz w:val="20"/>
                    </w:rPr>
                  </w:pPr>
                  <w:r>
                    <w:rPr>
                      <w:sz w:val="20"/>
                    </w:rPr>
                    <w:t>2075</w:t>
                  </w:r>
                </w:p>
                <w:p>
                  <w:pPr>
                    <w:spacing w:before="21"/>
                    <w:ind w:left="20" w:right="0" w:firstLine="0"/>
                    <w:jc w:val="left"/>
                    <w:rPr>
                      <w:sz w:val="20"/>
                    </w:rPr>
                  </w:pPr>
                  <w:r>
                    <w:rPr>
                      <w:sz w:val="20"/>
                    </w:rPr>
                    <w:t>2080</w:t>
                  </w:r>
                </w:p>
                <w:p>
                  <w:pPr>
                    <w:spacing w:before="21"/>
                    <w:ind w:left="20" w:right="0" w:firstLine="0"/>
                    <w:jc w:val="left"/>
                    <w:rPr>
                      <w:sz w:val="20"/>
                    </w:rPr>
                  </w:pPr>
                  <w:r>
                    <w:rPr>
                      <w:sz w:val="20"/>
                    </w:rPr>
                    <w:t>2085</w:t>
                  </w:r>
                </w:p>
                <w:p>
                  <w:pPr>
                    <w:spacing w:before="21"/>
                    <w:ind w:left="20" w:right="0" w:firstLine="0"/>
                    <w:jc w:val="left"/>
                    <w:rPr>
                      <w:sz w:val="20"/>
                    </w:rPr>
                  </w:pPr>
                  <w:r>
                    <w:rPr>
                      <w:sz w:val="20"/>
                    </w:rPr>
                    <w:t>2090</w:t>
                  </w:r>
                </w:p>
                <w:p>
                  <w:pPr>
                    <w:spacing w:before="21"/>
                    <w:ind w:left="20" w:right="0" w:firstLine="0"/>
                    <w:jc w:val="left"/>
                    <w:rPr>
                      <w:sz w:val="20"/>
                    </w:rPr>
                  </w:pPr>
                  <w:r>
                    <w:rPr>
                      <w:sz w:val="20"/>
                    </w:rPr>
                    <w:t>2095</w:t>
                  </w:r>
                </w:p>
                <w:p>
                  <w:pPr>
                    <w:spacing w:before="21"/>
                    <w:ind w:left="20" w:right="0" w:firstLine="0"/>
                    <w:jc w:val="left"/>
                    <w:rPr>
                      <w:sz w:val="20"/>
                    </w:rPr>
                  </w:pPr>
                  <w:r>
                    <w:rPr>
                      <w:sz w:val="20"/>
                    </w:rPr>
                    <w:t>2100</w:t>
                  </w:r>
                </w:p>
              </w:txbxContent>
            </v:textbox>
            <w10:wrap type="none"/>
          </v:shape>
        </w:pict>
      </w:r>
      <w:r>
        <w:rPr>
          <w:color w:val="231F20"/>
          <w:sz w:val="17"/>
        </w:rPr>
        <w:t>Fuente: INE, 2011.</w:t>
      </w:r>
    </w:p>
    <w:p>
      <w:pPr>
        <w:spacing w:after="0"/>
        <w:jc w:val="left"/>
        <w:rPr>
          <w:sz w:val="17"/>
        </w:rPr>
        <w:sectPr>
          <w:footerReference w:type="default" r:id="rId94"/>
          <w:pgSz w:w="13040" w:h="9360" w:orient="landscape"/>
          <w:pgMar w:footer="0" w:header="0" w:top="0" w:bottom="280" w:left="1280" w:right="1840"/>
        </w:sectPr>
      </w:pPr>
    </w:p>
    <w:p>
      <w:pPr>
        <w:spacing w:before="45"/>
        <w:ind w:left="71" w:right="115" w:firstLine="0"/>
        <w:jc w:val="right"/>
        <w:rPr>
          <w:rFonts w:ascii="Arial" w:hAnsi="Arial"/>
          <w:sz w:val="20"/>
        </w:rPr>
      </w:pPr>
      <w:r>
        <w:rPr>
          <w:rFonts w:ascii="Arial" w:hAnsi="Arial"/>
          <w:color w:val="231F20"/>
          <w:w w:val="65"/>
          <w:sz w:val="20"/>
        </w:rPr>
        <w:t>Factores contextuales de la migración internacional de    Honduras /Manuel Antonio Flores-Fonseca</w:t>
      </w:r>
    </w:p>
    <w:p>
      <w:pPr>
        <w:pStyle w:val="BodyText"/>
        <w:spacing w:before="7"/>
        <w:rPr>
          <w:rFonts w:ascii="Arial"/>
          <w:sz w:val="28"/>
        </w:rPr>
      </w:pPr>
    </w:p>
    <w:p>
      <w:pPr>
        <w:pStyle w:val="BodyText"/>
        <w:spacing w:line="247" w:lineRule="auto"/>
        <w:ind w:left="117" w:right="114"/>
        <w:jc w:val="both"/>
      </w:pPr>
      <w:r>
        <w:rPr>
          <w:color w:val="231F20"/>
        </w:rPr>
        <w:t>tingentes de jóvenes,</w:t>
      </w:r>
      <w:r>
        <w:rPr>
          <w:color w:val="231F20"/>
          <w:position w:val="7"/>
          <w:sz w:val="13"/>
        </w:rPr>
        <w:t>1 </w:t>
      </w:r>
      <w:r>
        <w:rPr>
          <w:color w:val="231F20"/>
        </w:rPr>
        <w:t>ansiosos por ubicarse en la actividad productiva, la mayoría con bajos niveles de educación y capacitación para el trabajo que accede al mercado laboral informal o en precariedad y consecuentemente hay una gran masa de población con escasas posibilidades de movilidad social.</w:t>
      </w:r>
    </w:p>
    <w:p>
      <w:pPr>
        <w:spacing w:before="149"/>
        <w:ind w:left="117" w:right="0" w:firstLine="0"/>
        <w:jc w:val="both"/>
        <w:rPr>
          <w:i/>
          <w:sz w:val="22"/>
        </w:rPr>
      </w:pPr>
      <w:r>
        <w:rPr>
          <w:i/>
          <w:color w:val="231F20"/>
          <w:sz w:val="22"/>
        </w:rPr>
        <w:t>Pobreza estructural</w:t>
      </w:r>
    </w:p>
    <w:p>
      <w:pPr>
        <w:pStyle w:val="BodyText"/>
        <w:spacing w:line="247" w:lineRule="auto" w:before="177"/>
        <w:ind w:left="117" w:right="115"/>
        <w:jc w:val="both"/>
      </w:pPr>
      <w:r>
        <w:rPr>
          <w:color w:val="231F20"/>
        </w:rPr>
        <w:t>En</w:t>
      </w:r>
      <w:r>
        <w:rPr>
          <w:color w:val="231F20"/>
          <w:spacing w:val="-8"/>
        </w:rPr>
        <w:t> </w:t>
      </w:r>
      <w:r>
        <w:rPr>
          <w:color w:val="231F20"/>
        </w:rPr>
        <w:t>Honduras</w:t>
      </w:r>
      <w:r>
        <w:rPr>
          <w:color w:val="231F20"/>
          <w:spacing w:val="-7"/>
        </w:rPr>
        <w:t> </w:t>
      </w:r>
      <w:r>
        <w:rPr>
          <w:color w:val="231F20"/>
        </w:rPr>
        <w:t>la</w:t>
      </w:r>
      <w:r>
        <w:rPr>
          <w:color w:val="231F20"/>
          <w:spacing w:val="-8"/>
        </w:rPr>
        <w:t> </w:t>
      </w:r>
      <w:r>
        <w:rPr>
          <w:i/>
          <w:color w:val="231F20"/>
        </w:rPr>
        <w:t>pobreza</w:t>
      </w:r>
      <w:r>
        <w:rPr>
          <w:i/>
          <w:color w:val="231F20"/>
          <w:spacing w:val="-8"/>
        </w:rPr>
        <w:t> </w:t>
      </w:r>
      <w:r>
        <w:rPr>
          <w:color w:val="231F20"/>
        </w:rPr>
        <w:t>es</w:t>
      </w:r>
      <w:r>
        <w:rPr>
          <w:color w:val="231F20"/>
          <w:spacing w:val="-8"/>
        </w:rPr>
        <w:t> </w:t>
      </w:r>
      <w:r>
        <w:rPr>
          <w:color w:val="231F20"/>
        </w:rPr>
        <w:t>extremadamente</w:t>
      </w:r>
      <w:r>
        <w:rPr>
          <w:color w:val="231F20"/>
          <w:spacing w:val="-9"/>
        </w:rPr>
        <w:t> </w:t>
      </w:r>
      <w:r>
        <w:rPr>
          <w:color w:val="231F20"/>
        </w:rPr>
        <w:t>alta,</w:t>
      </w:r>
      <w:r>
        <w:rPr>
          <w:color w:val="231F20"/>
          <w:spacing w:val="-8"/>
        </w:rPr>
        <w:t> </w:t>
      </w:r>
      <w:r>
        <w:rPr>
          <w:color w:val="231F20"/>
        </w:rPr>
        <w:t>principalmente</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área rural.</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última</w:t>
      </w:r>
      <w:r>
        <w:rPr>
          <w:color w:val="231F20"/>
          <w:spacing w:val="-4"/>
        </w:rPr>
        <w:t> </w:t>
      </w:r>
      <w:r>
        <w:rPr>
          <w:color w:val="231F20"/>
        </w:rPr>
        <w:t>década,</w:t>
      </w:r>
      <w:r>
        <w:rPr>
          <w:color w:val="231F20"/>
          <w:spacing w:val="-4"/>
        </w:rPr>
        <w:t> </w:t>
      </w:r>
      <w:r>
        <w:rPr>
          <w:color w:val="231F20"/>
        </w:rPr>
        <w:t>la</w:t>
      </w:r>
      <w:r>
        <w:rPr>
          <w:color w:val="231F20"/>
          <w:spacing w:val="-4"/>
        </w:rPr>
        <w:t> </w:t>
      </w:r>
      <w:r>
        <w:rPr>
          <w:color w:val="231F20"/>
        </w:rPr>
        <w:t>pobreza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población</w:t>
      </w:r>
      <w:r>
        <w:rPr>
          <w:color w:val="231F20"/>
          <w:spacing w:val="-4"/>
        </w:rPr>
        <w:t> </w:t>
      </w:r>
      <w:r>
        <w:rPr>
          <w:color w:val="231F20"/>
        </w:rPr>
        <w:t>a</w:t>
      </w:r>
      <w:r>
        <w:rPr>
          <w:color w:val="231F20"/>
          <w:spacing w:val="-4"/>
        </w:rPr>
        <w:t> </w:t>
      </w:r>
      <w:r>
        <w:rPr>
          <w:color w:val="231F20"/>
        </w:rPr>
        <w:t>nivel</w:t>
      </w:r>
      <w:r>
        <w:rPr>
          <w:color w:val="231F20"/>
          <w:spacing w:val="-4"/>
        </w:rPr>
        <w:t> </w:t>
      </w:r>
      <w:r>
        <w:rPr>
          <w:color w:val="231F20"/>
        </w:rPr>
        <w:t>nacional</w:t>
      </w:r>
      <w:r>
        <w:rPr>
          <w:color w:val="231F20"/>
          <w:spacing w:val="-4"/>
        </w:rPr>
        <w:t> </w:t>
      </w:r>
      <w:r>
        <w:rPr>
          <w:color w:val="231F20"/>
        </w:rPr>
        <w:t>ron- da entre 71 y 65 por ciento, llama la atención que en 2010 aumentó, para llegar</w:t>
      </w:r>
      <w:r>
        <w:rPr>
          <w:color w:val="231F20"/>
          <w:spacing w:val="-4"/>
        </w:rPr>
        <w:t> </w:t>
      </w:r>
      <w:r>
        <w:rPr>
          <w:color w:val="231F20"/>
        </w:rPr>
        <w:t>al</w:t>
      </w:r>
      <w:r>
        <w:rPr>
          <w:color w:val="231F20"/>
          <w:spacing w:val="-4"/>
        </w:rPr>
        <w:t> </w:t>
      </w:r>
      <w:r>
        <w:rPr>
          <w:color w:val="231F20"/>
        </w:rPr>
        <w:t>66</w:t>
      </w:r>
      <w:r>
        <w:rPr>
          <w:color w:val="231F20"/>
          <w:spacing w:val="-4"/>
        </w:rPr>
        <w:t> </w:t>
      </w:r>
      <w:r>
        <w:rPr>
          <w:color w:val="231F20"/>
        </w:rPr>
        <w:t>por</w:t>
      </w:r>
      <w:r>
        <w:rPr>
          <w:color w:val="231F20"/>
          <w:spacing w:val="-4"/>
        </w:rPr>
        <w:t> </w:t>
      </w:r>
      <w:r>
        <w:rPr>
          <w:color w:val="231F20"/>
        </w:rPr>
        <w:t>ciento.</w:t>
      </w:r>
      <w:r>
        <w:rPr>
          <w:color w:val="231F20"/>
          <w:spacing w:val="-4"/>
        </w:rPr>
        <w:t> </w:t>
      </w:r>
      <w:r>
        <w:rPr>
          <w:color w:val="231F20"/>
        </w:rPr>
        <w:t>La</w:t>
      </w:r>
      <w:r>
        <w:rPr>
          <w:color w:val="231F20"/>
          <w:spacing w:val="-4"/>
        </w:rPr>
        <w:t> </w:t>
      </w:r>
      <w:r>
        <w:rPr>
          <w:color w:val="231F20"/>
        </w:rPr>
        <w:t>pobreza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población</w:t>
      </w:r>
      <w:r>
        <w:rPr>
          <w:color w:val="231F20"/>
          <w:spacing w:val="-4"/>
        </w:rPr>
        <w:t> </w:t>
      </w:r>
      <w:r>
        <w:rPr>
          <w:color w:val="231F20"/>
        </w:rPr>
        <w:t>rural</w:t>
      </w:r>
      <w:r>
        <w:rPr>
          <w:color w:val="231F20"/>
          <w:spacing w:val="-4"/>
        </w:rPr>
        <w:t> </w:t>
      </w:r>
      <w:r>
        <w:rPr>
          <w:color w:val="231F20"/>
        </w:rPr>
        <w:t>ronda</w:t>
      </w:r>
      <w:r>
        <w:rPr>
          <w:color w:val="231F20"/>
          <w:spacing w:val="-4"/>
        </w:rPr>
        <w:t> </w:t>
      </w:r>
      <w:r>
        <w:rPr>
          <w:color w:val="231F20"/>
        </w:rPr>
        <w:t>entre</w:t>
      </w:r>
      <w:r>
        <w:rPr>
          <w:color w:val="231F20"/>
          <w:spacing w:val="-4"/>
        </w:rPr>
        <w:t> </w:t>
      </w:r>
      <w:r>
        <w:rPr>
          <w:color w:val="231F20"/>
        </w:rPr>
        <w:t>78</w:t>
      </w:r>
      <w:r>
        <w:rPr>
          <w:color w:val="231F20"/>
          <w:spacing w:val="-4"/>
        </w:rPr>
        <w:t> </w:t>
      </w:r>
      <w:r>
        <w:rPr>
          <w:color w:val="231F20"/>
        </w:rPr>
        <w:t>por ciento</w:t>
      </w:r>
      <w:r>
        <w:rPr>
          <w:color w:val="231F20"/>
          <w:spacing w:val="-10"/>
        </w:rPr>
        <w:t> </w:t>
      </w:r>
      <w:r>
        <w:rPr>
          <w:color w:val="231F20"/>
        </w:rPr>
        <w:t>y</w:t>
      </w:r>
      <w:r>
        <w:rPr>
          <w:color w:val="231F20"/>
          <w:spacing w:val="-10"/>
        </w:rPr>
        <w:t> </w:t>
      </w:r>
      <w:r>
        <w:rPr>
          <w:color w:val="231F20"/>
        </w:rPr>
        <w:t>70</w:t>
      </w:r>
      <w:r>
        <w:rPr>
          <w:color w:val="231F20"/>
          <w:spacing w:val="-10"/>
        </w:rPr>
        <w:t> </w:t>
      </w:r>
      <w:r>
        <w:rPr>
          <w:color w:val="231F20"/>
        </w:rPr>
        <w:t>por</w:t>
      </w:r>
      <w:r>
        <w:rPr>
          <w:color w:val="231F20"/>
          <w:spacing w:val="-10"/>
        </w:rPr>
        <w:t> </w:t>
      </w:r>
      <w:r>
        <w:rPr>
          <w:color w:val="231F20"/>
        </w:rPr>
        <w:t>ciento</w:t>
      </w:r>
      <w:r>
        <w:rPr>
          <w:color w:val="231F20"/>
          <w:spacing w:val="-10"/>
        </w:rPr>
        <w:t> </w:t>
      </w:r>
      <w:r>
        <w:rPr>
          <w:color w:val="231F20"/>
        </w:rPr>
        <w:t>y</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último</w:t>
      </w:r>
      <w:r>
        <w:rPr>
          <w:color w:val="231F20"/>
          <w:spacing w:val="-10"/>
        </w:rPr>
        <w:t> </w:t>
      </w:r>
      <w:r>
        <w:rPr>
          <w:color w:val="231F20"/>
        </w:rPr>
        <w:t>año</w:t>
      </w:r>
      <w:r>
        <w:rPr>
          <w:color w:val="231F20"/>
          <w:spacing w:val="-10"/>
        </w:rPr>
        <w:t> </w:t>
      </w:r>
      <w:r>
        <w:rPr>
          <w:color w:val="231F20"/>
        </w:rPr>
        <w:t>de</w:t>
      </w:r>
      <w:r>
        <w:rPr>
          <w:color w:val="231F20"/>
          <w:spacing w:val="-10"/>
        </w:rPr>
        <w:t> </w:t>
      </w:r>
      <w:r>
        <w:rPr>
          <w:color w:val="231F20"/>
        </w:rPr>
        <w:t>estimación</w:t>
      </w:r>
      <w:r>
        <w:rPr>
          <w:color w:val="231F20"/>
          <w:spacing w:val="-10"/>
        </w:rPr>
        <w:t> </w:t>
      </w:r>
      <w:r>
        <w:rPr>
          <w:color w:val="231F20"/>
        </w:rPr>
        <w:t>aumentó</w:t>
      </w:r>
      <w:r>
        <w:rPr>
          <w:color w:val="231F20"/>
          <w:spacing w:val="-10"/>
        </w:rPr>
        <w:t> </w:t>
      </w:r>
      <w:r>
        <w:rPr>
          <w:color w:val="231F20"/>
        </w:rPr>
        <w:t>dos</w:t>
      </w:r>
      <w:r>
        <w:rPr>
          <w:color w:val="231F20"/>
          <w:spacing w:val="-10"/>
        </w:rPr>
        <w:t> </w:t>
      </w:r>
      <w:r>
        <w:rPr>
          <w:color w:val="231F20"/>
        </w:rPr>
        <w:t>puntos porcentuales, asimismo lo hizo en el área</w:t>
      </w:r>
      <w:r>
        <w:rPr>
          <w:color w:val="231F20"/>
          <w:spacing w:val="-4"/>
        </w:rPr>
        <w:t> </w:t>
      </w:r>
      <w:r>
        <w:rPr>
          <w:color w:val="231F20"/>
        </w:rPr>
        <w:t>urbana.</w:t>
      </w:r>
    </w:p>
    <w:p>
      <w:pPr>
        <w:pStyle w:val="BodyText"/>
        <w:spacing w:line="247" w:lineRule="auto"/>
        <w:ind w:left="39" w:right="114" w:firstLine="283"/>
        <w:jc w:val="right"/>
      </w:pPr>
      <w:r>
        <w:rPr>
          <w:color w:val="231F20"/>
        </w:rPr>
        <w:t>En el caso de los hogares, la pobreza también manifiesta sus elevados</w:t>
      </w:r>
      <w:r>
        <w:rPr>
          <w:color w:val="231F20"/>
          <w:w w:val="100"/>
        </w:rPr>
        <w:t> </w:t>
      </w:r>
      <w:r>
        <w:rPr>
          <w:color w:val="231F20"/>
        </w:rPr>
        <w:t>niveles, principalmente en el área rural. En general, la pobreza total se ha reducido mínimamente en una década (63 a 60 por ciento) e incluso en el último año aumentó, y su efecto multiplicador se ve reflejado en el número</w:t>
      </w:r>
      <w:r>
        <w:rPr>
          <w:color w:val="231F20"/>
          <w:w w:val="100"/>
        </w:rPr>
        <w:t> </w:t>
      </w:r>
      <w:r>
        <w:rPr>
          <w:color w:val="231F20"/>
        </w:rPr>
        <w:t>de hogares pobres, que ya supera el millón de hogares. En el área rural,</w:t>
      </w:r>
      <w:r>
        <w:rPr>
          <w:color w:val="231F20"/>
          <w:w w:val="100"/>
        </w:rPr>
        <w:t> </w:t>
      </w:r>
      <w:r>
        <w:rPr>
          <w:color w:val="231F20"/>
        </w:rPr>
        <w:t>las reducciones porcentuales han sido un poco más visibles (71 a</w:t>
      </w:r>
      <w:r>
        <w:rPr>
          <w:color w:val="231F20"/>
          <w:spacing w:val="53"/>
        </w:rPr>
        <w:t> </w:t>
      </w:r>
      <w:r>
        <w:rPr>
          <w:color w:val="231F20"/>
        </w:rPr>
        <w:t>65 por</w:t>
      </w:r>
      <w:r>
        <w:rPr>
          <w:color w:val="231F20"/>
          <w:w w:val="100"/>
        </w:rPr>
        <w:t> </w:t>
      </w:r>
      <w:r>
        <w:rPr>
          <w:color w:val="231F20"/>
        </w:rPr>
        <w:t>ciento), sin embargo, en absolutos su valor aumenta cada año (Cuadro 1).</w:t>
      </w:r>
      <w:r>
        <w:rPr>
          <w:color w:val="231F20"/>
          <w:w w:val="100"/>
        </w:rPr>
        <w:t> </w:t>
      </w:r>
      <w:r>
        <w:rPr>
          <w:color w:val="231F20"/>
        </w:rPr>
        <w:t>La pobreza en el país disminuye muy lentamente, e incluso sube, aun</w:t>
      </w:r>
      <w:r>
        <w:rPr>
          <w:color w:val="231F20"/>
          <w:w w:val="100"/>
        </w:rPr>
        <w:t> </w:t>
      </w:r>
      <w:r>
        <w:rPr>
          <w:color w:val="231F20"/>
        </w:rPr>
        <w:t>cuando en la década se han producido periodos de crecimiento económico,</w:t>
      </w:r>
      <w:r>
        <w:rPr>
          <w:color w:val="231F20"/>
          <w:w w:val="100"/>
        </w:rPr>
        <w:t> </w:t>
      </w:r>
      <w:r>
        <w:rPr>
          <w:color w:val="231F20"/>
        </w:rPr>
        <w:t>sin embargo, la desigualdad de los ingresos es abrumadora</w:t>
      </w:r>
      <w:r>
        <w:rPr>
          <w:color w:val="231F20"/>
          <w:position w:val="7"/>
          <w:sz w:val="13"/>
        </w:rPr>
        <w:t>2</w:t>
      </w:r>
      <w:r>
        <w:rPr>
          <w:color w:val="231F20"/>
        </w:rPr>
        <w:t>, por lo que re- ducciones en ella podrían producir efectos importantes en la disminución de la pobreza, sin embargo, hay una pobreza generalizada en la cual la po- blación busca alternativas de satisfacción de las necesidades básicas, entre ellas las alimenticias y otras y consecuentemente lograr movilidad social y</w:t>
      </w:r>
    </w:p>
    <w:p>
      <w:pPr>
        <w:pStyle w:val="BodyText"/>
        <w:spacing w:line="253" w:lineRule="exact"/>
        <w:ind w:left="117"/>
        <w:jc w:val="both"/>
      </w:pPr>
      <w:r>
        <w:rPr>
          <w:color w:val="231F20"/>
        </w:rPr>
        <w:t>una opción es la migración, principalmente al exterior.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7"/>
        </w:rPr>
      </w:pPr>
      <w:r>
        <w:rPr/>
        <w:pict>
          <v:line style="position:absolute;mso-position-horizontal-relative:page;mso-position-vertical-relative:paragraph;z-index:2680;mso-wrap-distance-left:0;mso-wrap-distance-right:0" from="70.866096pt,12.226887pt" to="142.866096pt,12.226887pt" stroked="true" strokeweight=".75pt" strokecolor="#231f20">
            <w10:wrap type="topAndBottom"/>
          </v:line>
        </w:pict>
      </w:r>
    </w:p>
    <w:p>
      <w:pPr>
        <w:spacing w:line="208" w:lineRule="auto" w:before="0"/>
        <w:ind w:left="117" w:right="114" w:firstLine="0"/>
        <w:jc w:val="both"/>
        <w:rPr>
          <w:sz w:val="17"/>
        </w:rPr>
      </w:pPr>
      <w:r>
        <w:rPr>
          <w:color w:val="231F20"/>
          <w:position w:val="6"/>
          <w:sz w:val="10"/>
        </w:rPr>
        <w:t>1</w:t>
      </w:r>
      <w:r>
        <w:rPr>
          <w:color w:val="231F20"/>
          <w:spacing w:val="15"/>
          <w:position w:val="6"/>
          <w:sz w:val="10"/>
        </w:rPr>
        <w:t> </w:t>
      </w:r>
      <w:r>
        <w:rPr>
          <w:color w:val="231F20"/>
          <w:sz w:val="17"/>
        </w:rPr>
        <w:t>En</w:t>
      </w:r>
      <w:r>
        <w:rPr>
          <w:color w:val="231F20"/>
          <w:spacing w:val="-3"/>
          <w:sz w:val="17"/>
        </w:rPr>
        <w:t> </w:t>
      </w:r>
      <w:r>
        <w:rPr>
          <w:color w:val="231F20"/>
          <w:sz w:val="17"/>
        </w:rPr>
        <w:t>2012</w:t>
      </w:r>
      <w:r>
        <w:rPr>
          <w:color w:val="231F20"/>
          <w:spacing w:val="-3"/>
          <w:sz w:val="17"/>
        </w:rPr>
        <w:t> </w:t>
      </w:r>
      <w:r>
        <w:rPr>
          <w:color w:val="231F20"/>
          <w:sz w:val="17"/>
        </w:rPr>
        <w:t>se</w:t>
      </w:r>
      <w:r>
        <w:rPr>
          <w:color w:val="231F20"/>
          <w:spacing w:val="-3"/>
          <w:sz w:val="17"/>
        </w:rPr>
        <w:t> </w:t>
      </w:r>
      <w:r>
        <w:rPr>
          <w:color w:val="231F20"/>
          <w:sz w:val="17"/>
        </w:rPr>
        <w:t>estima</w:t>
      </w:r>
      <w:r>
        <w:rPr>
          <w:color w:val="231F20"/>
          <w:spacing w:val="-3"/>
          <w:sz w:val="17"/>
        </w:rPr>
        <w:t> </w:t>
      </w:r>
      <w:r>
        <w:rPr>
          <w:color w:val="231F20"/>
          <w:sz w:val="17"/>
        </w:rPr>
        <w:t>que</w:t>
      </w:r>
      <w:r>
        <w:rPr>
          <w:color w:val="231F20"/>
          <w:spacing w:val="-3"/>
          <w:sz w:val="17"/>
        </w:rPr>
        <w:t> </w:t>
      </w:r>
      <w:r>
        <w:rPr>
          <w:color w:val="231F20"/>
          <w:sz w:val="17"/>
        </w:rPr>
        <w:t>ingresaron</w:t>
      </w:r>
      <w:r>
        <w:rPr>
          <w:color w:val="231F20"/>
          <w:spacing w:val="-3"/>
          <w:sz w:val="17"/>
        </w:rPr>
        <w:t> </w:t>
      </w:r>
      <w:r>
        <w:rPr>
          <w:color w:val="231F20"/>
          <w:sz w:val="17"/>
        </w:rPr>
        <w:t>unas</w:t>
      </w:r>
      <w:r>
        <w:rPr>
          <w:color w:val="231F20"/>
          <w:spacing w:val="-3"/>
          <w:sz w:val="17"/>
        </w:rPr>
        <w:t> </w:t>
      </w:r>
      <w:r>
        <w:rPr>
          <w:color w:val="231F20"/>
          <w:sz w:val="17"/>
        </w:rPr>
        <w:t>190</w:t>
      </w:r>
      <w:r>
        <w:rPr>
          <w:color w:val="231F20"/>
          <w:spacing w:val="-3"/>
          <w:sz w:val="17"/>
        </w:rPr>
        <w:t> </w:t>
      </w:r>
      <w:r>
        <w:rPr>
          <w:color w:val="231F20"/>
          <w:sz w:val="17"/>
        </w:rPr>
        <w:t>121</w:t>
      </w:r>
      <w:r>
        <w:rPr>
          <w:color w:val="231F20"/>
          <w:spacing w:val="-3"/>
          <w:sz w:val="17"/>
        </w:rPr>
        <w:t> </w:t>
      </w:r>
      <w:r>
        <w:rPr>
          <w:color w:val="231F20"/>
          <w:sz w:val="17"/>
        </w:rPr>
        <w:t>personas</w:t>
      </w:r>
      <w:r>
        <w:rPr>
          <w:color w:val="231F20"/>
          <w:spacing w:val="-3"/>
          <w:sz w:val="17"/>
        </w:rPr>
        <w:t> </w:t>
      </w:r>
      <w:r>
        <w:rPr>
          <w:color w:val="231F20"/>
          <w:sz w:val="17"/>
        </w:rPr>
        <w:t>a</w:t>
      </w:r>
      <w:r>
        <w:rPr>
          <w:color w:val="231F20"/>
          <w:spacing w:val="-3"/>
          <w:sz w:val="17"/>
        </w:rPr>
        <w:t> </w:t>
      </w:r>
      <w:r>
        <w:rPr>
          <w:color w:val="231F20"/>
          <w:sz w:val="17"/>
        </w:rPr>
        <w:t>la</w:t>
      </w:r>
      <w:r>
        <w:rPr>
          <w:color w:val="231F20"/>
          <w:spacing w:val="-3"/>
          <w:sz w:val="17"/>
        </w:rPr>
        <w:t> </w:t>
      </w:r>
      <w:r>
        <w:rPr>
          <w:color w:val="231F20"/>
          <w:sz w:val="17"/>
        </w:rPr>
        <w:t>edad</w:t>
      </w:r>
      <w:r>
        <w:rPr>
          <w:color w:val="231F20"/>
          <w:spacing w:val="-3"/>
          <w:sz w:val="17"/>
        </w:rPr>
        <w:t> </w:t>
      </w:r>
      <w:r>
        <w:rPr>
          <w:color w:val="231F20"/>
          <w:sz w:val="17"/>
        </w:rPr>
        <w:t>de</w:t>
      </w:r>
      <w:r>
        <w:rPr>
          <w:color w:val="231F20"/>
          <w:spacing w:val="-3"/>
          <w:sz w:val="17"/>
        </w:rPr>
        <w:t> </w:t>
      </w:r>
      <w:r>
        <w:rPr>
          <w:color w:val="231F20"/>
          <w:sz w:val="17"/>
        </w:rPr>
        <w:t>quince</w:t>
      </w:r>
      <w:r>
        <w:rPr>
          <w:color w:val="231F20"/>
          <w:spacing w:val="-3"/>
          <w:sz w:val="17"/>
        </w:rPr>
        <w:t> </w:t>
      </w:r>
      <w:r>
        <w:rPr>
          <w:color w:val="231F20"/>
          <w:sz w:val="17"/>
        </w:rPr>
        <w:t>años,</w:t>
      </w:r>
      <w:r>
        <w:rPr>
          <w:color w:val="231F20"/>
          <w:spacing w:val="-3"/>
          <w:sz w:val="17"/>
        </w:rPr>
        <w:t> </w:t>
      </w:r>
      <w:r>
        <w:rPr>
          <w:color w:val="231F20"/>
          <w:sz w:val="17"/>
        </w:rPr>
        <w:t>es</w:t>
      </w:r>
      <w:r>
        <w:rPr>
          <w:color w:val="231F20"/>
          <w:spacing w:val="-3"/>
          <w:sz w:val="17"/>
        </w:rPr>
        <w:t> </w:t>
      </w:r>
      <w:r>
        <w:rPr>
          <w:color w:val="231F20"/>
          <w:sz w:val="17"/>
        </w:rPr>
        <w:t>decir</w:t>
      </w:r>
      <w:r>
        <w:rPr>
          <w:color w:val="231F20"/>
          <w:spacing w:val="-3"/>
          <w:sz w:val="17"/>
        </w:rPr>
        <w:t> </w:t>
      </w:r>
      <w:r>
        <w:rPr>
          <w:color w:val="231F20"/>
          <w:sz w:val="17"/>
        </w:rPr>
        <w:t>que ingresaron a la subpoblación de edad de trabajar (15 en adelante) y se suman a ese grupo que puede</w:t>
      </w:r>
      <w:r>
        <w:rPr>
          <w:color w:val="231F20"/>
          <w:spacing w:val="-6"/>
          <w:sz w:val="17"/>
        </w:rPr>
        <w:t> </w:t>
      </w:r>
      <w:r>
        <w:rPr>
          <w:color w:val="231F20"/>
          <w:sz w:val="17"/>
        </w:rPr>
        <w:t>ser</w:t>
      </w:r>
      <w:r>
        <w:rPr>
          <w:color w:val="231F20"/>
          <w:spacing w:val="-6"/>
          <w:sz w:val="17"/>
        </w:rPr>
        <w:t> </w:t>
      </w:r>
      <w:r>
        <w:rPr>
          <w:color w:val="231F20"/>
          <w:sz w:val="17"/>
        </w:rPr>
        <w:t>económicamente</w:t>
      </w:r>
      <w:r>
        <w:rPr>
          <w:color w:val="231F20"/>
          <w:spacing w:val="-6"/>
          <w:sz w:val="17"/>
        </w:rPr>
        <w:t> </w:t>
      </w:r>
      <w:r>
        <w:rPr>
          <w:color w:val="231F20"/>
          <w:sz w:val="17"/>
        </w:rPr>
        <w:t>activo</w:t>
      </w:r>
      <w:r>
        <w:rPr>
          <w:color w:val="231F20"/>
          <w:spacing w:val="-6"/>
          <w:sz w:val="17"/>
        </w:rPr>
        <w:t> </w:t>
      </w:r>
      <w:r>
        <w:rPr>
          <w:color w:val="231F20"/>
          <w:sz w:val="17"/>
        </w:rPr>
        <w:t>o</w:t>
      </w:r>
      <w:r>
        <w:rPr>
          <w:color w:val="231F20"/>
          <w:spacing w:val="-6"/>
          <w:sz w:val="17"/>
        </w:rPr>
        <w:t> </w:t>
      </w:r>
      <w:r>
        <w:rPr>
          <w:color w:val="231F20"/>
          <w:sz w:val="17"/>
        </w:rPr>
        <w:t>inactivo.</w:t>
      </w:r>
      <w:r>
        <w:rPr>
          <w:color w:val="231F20"/>
          <w:spacing w:val="-7"/>
          <w:sz w:val="17"/>
        </w:rPr>
        <w:t> </w:t>
      </w:r>
      <w:r>
        <w:rPr>
          <w:color w:val="231F20"/>
          <w:sz w:val="17"/>
        </w:rPr>
        <w:t>Estos</w:t>
      </w:r>
      <w:r>
        <w:rPr>
          <w:color w:val="231F20"/>
          <w:spacing w:val="-6"/>
          <w:sz w:val="17"/>
        </w:rPr>
        <w:t> </w:t>
      </w:r>
      <w:r>
        <w:rPr>
          <w:color w:val="231F20"/>
          <w:sz w:val="17"/>
        </w:rPr>
        <w:t>nuevos</w:t>
      </w:r>
      <w:r>
        <w:rPr>
          <w:color w:val="231F20"/>
          <w:spacing w:val="-6"/>
          <w:sz w:val="17"/>
        </w:rPr>
        <w:t> </w:t>
      </w:r>
      <w:r>
        <w:rPr>
          <w:color w:val="231F20"/>
          <w:sz w:val="17"/>
        </w:rPr>
        <w:t>ingresos</w:t>
      </w:r>
      <w:r>
        <w:rPr>
          <w:color w:val="231F20"/>
          <w:spacing w:val="-7"/>
          <w:sz w:val="17"/>
        </w:rPr>
        <w:t> </w:t>
      </w:r>
      <w:r>
        <w:rPr>
          <w:color w:val="231F20"/>
          <w:sz w:val="17"/>
        </w:rPr>
        <w:t>que</w:t>
      </w:r>
      <w:r>
        <w:rPr>
          <w:color w:val="231F20"/>
          <w:spacing w:val="-6"/>
          <w:sz w:val="17"/>
        </w:rPr>
        <w:t> </w:t>
      </w:r>
      <w:r>
        <w:rPr>
          <w:color w:val="231F20"/>
          <w:sz w:val="17"/>
        </w:rPr>
        <w:t>se</w:t>
      </w:r>
      <w:r>
        <w:rPr>
          <w:color w:val="231F20"/>
          <w:spacing w:val="-6"/>
          <w:sz w:val="17"/>
        </w:rPr>
        <w:t> </w:t>
      </w:r>
      <w:r>
        <w:rPr>
          <w:color w:val="231F20"/>
          <w:sz w:val="17"/>
        </w:rPr>
        <w:t>agregan</w:t>
      </w:r>
      <w:r>
        <w:rPr>
          <w:color w:val="231F20"/>
          <w:spacing w:val="-6"/>
          <w:sz w:val="17"/>
        </w:rPr>
        <w:t> </w:t>
      </w:r>
      <w:r>
        <w:rPr>
          <w:color w:val="231F20"/>
          <w:sz w:val="17"/>
        </w:rPr>
        <w:t>cada</w:t>
      </w:r>
      <w:r>
        <w:rPr>
          <w:color w:val="231F20"/>
          <w:spacing w:val="-6"/>
          <w:sz w:val="17"/>
        </w:rPr>
        <w:t> </w:t>
      </w:r>
      <w:r>
        <w:rPr>
          <w:color w:val="231F20"/>
          <w:sz w:val="17"/>
        </w:rPr>
        <w:t>año</w:t>
      </w:r>
      <w:r>
        <w:rPr>
          <w:color w:val="231F20"/>
          <w:spacing w:val="-6"/>
          <w:sz w:val="17"/>
        </w:rPr>
        <w:t> </w:t>
      </w:r>
      <w:r>
        <w:rPr>
          <w:color w:val="231F20"/>
          <w:sz w:val="17"/>
        </w:rPr>
        <w:t>han sido y siguen siendo crecientes y están basados en las proyecciones de población realizadas por el Instituto Nacional de Estadística, INE de</w:t>
      </w:r>
      <w:r>
        <w:rPr>
          <w:color w:val="231F20"/>
          <w:spacing w:val="-17"/>
          <w:sz w:val="17"/>
        </w:rPr>
        <w:t> </w:t>
      </w:r>
      <w:r>
        <w:rPr>
          <w:color w:val="231F20"/>
          <w:sz w:val="17"/>
        </w:rPr>
        <w:t>Honduras.</w:t>
      </w:r>
    </w:p>
    <w:p>
      <w:pPr>
        <w:spacing w:line="170" w:lineRule="exact" w:before="2"/>
        <w:ind w:left="117" w:right="115" w:firstLine="0"/>
        <w:jc w:val="both"/>
        <w:rPr>
          <w:sz w:val="17"/>
        </w:rPr>
      </w:pPr>
      <w:r>
        <w:rPr>
          <w:color w:val="231F20"/>
          <w:position w:val="6"/>
          <w:sz w:val="10"/>
        </w:rPr>
        <w:t>2 </w:t>
      </w:r>
      <w:r>
        <w:rPr>
          <w:color w:val="231F20"/>
          <w:sz w:val="17"/>
        </w:rPr>
        <w:t>En el caso de Honduras el decil 10 que contiene los hogares de más altos ingresos recibió 39.2 por ciento de todo el ingreso en el año 2010 y; mientras tanto, los cuatro deciles de menores ingresos, equivalente a 40 por ciento del total de hogares, solamente percibió 10.4 por ciento de ese mismo ingreso.</w:t>
      </w:r>
    </w:p>
    <w:p>
      <w:pPr>
        <w:spacing w:after="0" w:line="170" w:lineRule="exact"/>
        <w:jc w:val="both"/>
        <w:rPr>
          <w:sz w:val="17"/>
        </w:rPr>
        <w:sectPr>
          <w:footerReference w:type="default" r:id="rId95"/>
          <w:pgSz w:w="9360" w:h="13040"/>
          <w:pgMar w:footer="496" w:header="0" w:top="740" w:bottom="680" w:left="1300" w:right="1300"/>
        </w:sectPr>
      </w:pPr>
    </w:p>
    <w:p>
      <w:pPr>
        <w:tabs>
          <w:tab w:pos="5536" w:val="left" w:leader="none"/>
        </w:tabs>
        <w:spacing w:before="48"/>
        <w:ind w:left="105" w:right="117" w:firstLine="0"/>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1"/>
        <w:rPr>
          <w:sz w:val="23"/>
        </w:rPr>
      </w:pPr>
    </w:p>
    <w:p>
      <w:pPr>
        <w:spacing w:line="252" w:lineRule="auto" w:before="81"/>
        <w:ind w:left="327" w:right="377" w:firstLine="0"/>
        <w:jc w:val="left"/>
        <w:rPr>
          <w:sz w:val="19"/>
        </w:rPr>
      </w:pPr>
      <w:r>
        <w:rPr>
          <w:w w:val="105"/>
          <w:sz w:val="19"/>
        </w:rPr>
        <w:t>Cuadro 1. Honduras: pobreza por hogares por área de residencia según año, 2001-2010</w:t>
      </w:r>
    </w:p>
    <w:p>
      <w:pPr>
        <w:pStyle w:val="BodyText"/>
        <w:spacing w:line="20" w:lineRule="exact"/>
        <w:ind w:left="250"/>
        <w:rPr>
          <w:sz w:val="2"/>
        </w:rPr>
      </w:pPr>
      <w:r>
        <w:rPr>
          <w:sz w:val="2"/>
        </w:rPr>
        <w:pict>
          <v:group style="width:320.2pt;height:.5pt;mso-position-horizontal-relative:char;mso-position-vertical-relative:line" coordorigin="0,0" coordsize="6404,10">
            <v:line style="position:absolute" from="5,5" to="586,5" stroked="true" strokeweight=".48pt" strokecolor="#000000"/>
            <v:line style="position:absolute" from="586,5" to="595,5" stroked="true" strokeweight=".48pt" strokecolor="#000000"/>
            <v:line style="position:absolute" from="595,5" to="6399,5" stroked="true" strokeweight=".48pt" strokecolor="#000000"/>
          </v:group>
        </w:pict>
      </w:r>
      <w:r>
        <w:rPr>
          <w:sz w:val="2"/>
        </w:rPr>
      </w:r>
    </w:p>
    <w:p>
      <w:pPr>
        <w:spacing w:before="0" w:after="37"/>
        <w:ind w:left="2764" w:right="117" w:firstLine="0"/>
        <w:jc w:val="left"/>
        <w:rPr>
          <w:sz w:val="19"/>
        </w:rPr>
      </w:pPr>
      <w:r>
        <w:rPr>
          <w:w w:val="105"/>
          <w:sz w:val="19"/>
        </w:rPr>
        <w:t>Índice de pobreza (total)</w:t>
      </w:r>
    </w:p>
    <w:tbl>
      <w:tblPr>
        <w:tblW w:w="0" w:type="auto"/>
        <w:jc w:val="left"/>
        <w:tblInd w:w="25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13"/>
        <w:gridCol w:w="1197"/>
        <w:gridCol w:w="1141"/>
        <w:gridCol w:w="1123"/>
        <w:gridCol w:w="1120"/>
      </w:tblGrid>
      <w:tr>
        <w:trPr>
          <w:trHeight w:val="224" w:hRule="exact"/>
        </w:trPr>
        <w:tc>
          <w:tcPr>
            <w:tcW w:w="1813" w:type="dxa"/>
            <w:tcBorders>
              <w:bottom w:val="double" w:sz="4" w:space="0" w:color="000000"/>
            </w:tcBorders>
          </w:tcPr>
          <w:p>
            <w:pPr>
              <w:pStyle w:val="TableParagraph"/>
              <w:tabs>
                <w:tab w:pos="1224" w:val="left" w:leader="none"/>
              </w:tabs>
              <w:spacing w:line="203" w:lineRule="exact"/>
              <w:ind w:left="121"/>
              <w:jc w:val="left"/>
              <w:rPr>
                <w:sz w:val="19"/>
              </w:rPr>
            </w:pPr>
            <w:r>
              <w:rPr>
                <w:w w:val="105"/>
                <w:sz w:val="19"/>
              </w:rPr>
              <w:t>Año</w:t>
              <w:tab/>
              <w:t>Total</w:t>
            </w:r>
          </w:p>
        </w:tc>
        <w:tc>
          <w:tcPr>
            <w:tcW w:w="1197" w:type="dxa"/>
            <w:tcBorders>
              <w:bottom w:val="double" w:sz="4" w:space="0" w:color="000000"/>
            </w:tcBorders>
          </w:tcPr>
          <w:p>
            <w:pPr>
              <w:pStyle w:val="TableParagraph"/>
              <w:spacing w:line="203" w:lineRule="exact"/>
              <w:ind w:right="229"/>
              <w:rPr>
                <w:sz w:val="19"/>
              </w:rPr>
            </w:pPr>
            <w:r>
              <w:rPr>
                <w:sz w:val="19"/>
              </w:rPr>
              <w:t>Pobres</w:t>
            </w:r>
          </w:p>
        </w:tc>
        <w:tc>
          <w:tcPr>
            <w:tcW w:w="1141" w:type="dxa"/>
            <w:tcBorders>
              <w:bottom w:val="double" w:sz="4" w:space="0" w:color="000000"/>
            </w:tcBorders>
          </w:tcPr>
          <w:p>
            <w:pPr>
              <w:pStyle w:val="TableParagraph"/>
              <w:spacing w:line="203" w:lineRule="exact"/>
              <w:ind w:right="232"/>
              <w:rPr>
                <w:sz w:val="19"/>
              </w:rPr>
            </w:pPr>
            <w:r>
              <w:rPr>
                <w:sz w:val="19"/>
              </w:rPr>
              <w:t>Extrema</w:t>
            </w:r>
          </w:p>
        </w:tc>
        <w:tc>
          <w:tcPr>
            <w:tcW w:w="1123" w:type="dxa"/>
            <w:tcBorders>
              <w:bottom w:val="double" w:sz="4" w:space="0" w:color="000000"/>
            </w:tcBorders>
          </w:tcPr>
          <w:p>
            <w:pPr>
              <w:pStyle w:val="TableParagraph"/>
              <w:spacing w:line="203" w:lineRule="exact"/>
              <w:ind w:right="223"/>
              <w:rPr>
                <w:sz w:val="19"/>
              </w:rPr>
            </w:pPr>
            <w:r>
              <w:rPr>
                <w:sz w:val="19"/>
              </w:rPr>
              <w:t>Relativa</w:t>
            </w:r>
          </w:p>
        </w:tc>
        <w:tc>
          <w:tcPr>
            <w:tcW w:w="1120" w:type="dxa"/>
            <w:tcBorders>
              <w:bottom w:val="double" w:sz="4" w:space="0" w:color="000000"/>
            </w:tcBorders>
          </w:tcPr>
          <w:p>
            <w:pPr>
              <w:pStyle w:val="TableParagraph"/>
              <w:spacing w:line="203" w:lineRule="exact"/>
              <w:ind w:right="68"/>
              <w:rPr>
                <w:sz w:val="19"/>
              </w:rPr>
            </w:pPr>
            <w:r>
              <w:rPr>
                <w:w w:val="105"/>
                <w:sz w:val="19"/>
              </w:rPr>
              <w:t>No pobres</w:t>
            </w:r>
          </w:p>
        </w:tc>
      </w:tr>
      <w:tr>
        <w:trPr>
          <w:trHeight w:val="266" w:hRule="exact"/>
        </w:trPr>
        <w:tc>
          <w:tcPr>
            <w:tcW w:w="1813" w:type="dxa"/>
            <w:tcBorders>
              <w:top w:val="double" w:sz="4" w:space="0" w:color="000000"/>
            </w:tcBorders>
          </w:tcPr>
          <w:p>
            <w:pPr>
              <w:pStyle w:val="TableParagraph"/>
              <w:tabs>
                <w:tab w:pos="846" w:val="left" w:leader="none"/>
              </w:tabs>
              <w:spacing w:before="14"/>
              <w:ind w:left="72"/>
              <w:jc w:val="left"/>
              <w:rPr>
                <w:sz w:val="19"/>
              </w:rPr>
            </w:pPr>
            <w:r>
              <w:rPr>
                <w:w w:val="105"/>
                <w:sz w:val="19"/>
              </w:rPr>
              <w:t>2001</w:t>
              <w:tab/>
              <w:t>1 235</w:t>
            </w:r>
            <w:r>
              <w:rPr>
                <w:spacing w:val="-2"/>
                <w:w w:val="105"/>
                <w:sz w:val="19"/>
              </w:rPr>
              <w:t> </w:t>
            </w:r>
            <w:r>
              <w:rPr>
                <w:w w:val="105"/>
                <w:sz w:val="19"/>
              </w:rPr>
              <w:t>166</w:t>
            </w:r>
          </w:p>
        </w:tc>
        <w:tc>
          <w:tcPr>
            <w:tcW w:w="1197" w:type="dxa"/>
            <w:tcBorders>
              <w:top w:val="double" w:sz="4" w:space="0" w:color="000000"/>
            </w:tcBorders>
          </w:tcPr>
          <w:p>
            <w:pPr>
              <w:pStyle w:val="TableParagraph"/>
              <w:spacing w:before="14"/>
              <w:ind w:right="228"/>
              <w:rPr>
                <w:sz w:val="19"/>
              </w:rPr>
            </w:pPr>
            <w:r>
              <w:rPr>
                <w:w w:val="105"/>
                <w:sz w:val="19"/>
              </w:rPr>
              <w:t>786 529</w:t>
            </w:r>
          </w:p>
        </w:tc>
        <w:tc>
          <w:tcPr>
            <w:tcW w:w="1141" w:type="dxa"/>
            <w:tcBorders>
              <w:top w:val="double" w:sz="4" w:space="0" w:color="000000"/>
            </w:tcBorders>
          </w:tcPr>
          <w:p>
            <w:pPr>
              <w:pStyle w:val="TableParagraph"/>
              <w:spacing w:before="14"/>
              <w:ind w:right="231"/>
              <w:rPr>
                <w:sz w:val="19"/>
              </w:rPr>
            </w:pPr>
            <w:r>
              <w:rPr>
                <w:w w:val="105"/>
                <w:sz w:val="19"/>
              </w:rPr>
              <w:t>546 265</w:t>
            </w:r>
          </w:p>
        </w:tc>
        <w:tc>
          <w:tcPr>
            <w:tcW w:w="1123" w:type="dxa"/>
            <w:tcBorders>
              <w:top w:val="double" w:sz="4" w:space="0" w:color="000000"/>
            </w:tcBorders>
          </w:tcPr>
          <w:p>
            <w:pPr>
              <w:pStyle w:val="TableParagraph"/>
              <w:spacing w:before="14"/>
              <w:ind w:right="221"/>
              <w:rPr>
                <w:sz w:val="19"/>
              </w:rPr>
            </w:pPr>
            <w:r>
              <w:rPr>
                <w:w w:val="105"/>
                <w:sz w:val="19"/>
              </w:rPr>
              <w:t>240 263</w:t>
            </w:r>
          </w:p>
        </w:tc>
        <w:tc>
          <w:tcPr>
            <w:tcW w:w="1120" w:type="dxa"/>
            <w:tcBorders>
              <w:top w:val="double" w:sz="4" w:space="0" w:color="000000"/>
            </w:tcBorders>
          </w:tcPr>
          <w:p>
            <w:pPr>
              <w:pStyle w:val="TableParagraph"/>
              <w:spacing w:before="14"/>
              <w:ind w:right="66"/>
              <w:rPr>
                <w:sz w:val="19"/>
              </w:rPr>
            </w:pPr>
            <w:r>
              <w:rPr>
                <w:w w:val="105"/>
                <w:sz w:val="19"/>
              </w:rPr>
              <w:t>448 637</w:t>
            </w:r>
          </w:p>
        </w:tc>
      </w:tr>
      <w:tr>
        <w:trPr>
          <w:trHeight w:val="240" w:hRule="exact"/>
        </w:trPr>
        <w:tc>
          <w:tcPr>
            <w:tcW w:w="1813" w:type="dxa"/>
          </w:tcPr>
          <w:p>
            <w:pPr>
              <w:pStyle w:val="TableParagraph"/>
              <w:tabs>
                <w:tab w:pos="846" w:val="left" w:leader="none"/>
              </w:tabs>
              <w:spacing w:before="2"/>
              <w:ind w:left="72"/>
              <w:jc w:val="left"/>
              <w:rPr>
                <w:sz w:val="19"/>
              </w:rPr>
            </w:pPr>
            <w:r>
              <w:rPr>
                <w:w w:val="105"/>
                <w:sz w:val="19"/>
              </w:rPr>
              <w:t>2002</w:t>
              <w:tab/>
              <w:t>1 312</w:t>
            </w:r>
            <w:r>
              <w:rPr>
                <w:spacing w:val="-2"/>
                <w:w w:val="105"/>
                <w:sz w:val="19"/>
              </w:rPr>
              <w:t> </w:t>
            </w:r>
            <w:r>
              <w:rPr>
                <w:w w:val="105"/>
                <w:sz w:val="19"/>
              </w:rPr>
              <w:t>022</w:t>
            </w:r>
          </w:p>
        </w:tc>
        <w:tc>
          <w:tcPr>
            <w:tcW w:w="1197" w:type="dxa"/>
          </w:tcPr>
          <w:p>
            <w:pPr>
              <w:pStyle w:val="TableParagraph"/>
              <w:spacing w:before="2"/>
              <w:ind w:right="228"/>
              <w:rPr>
                <w:sz w:val="19"/>
              </w:rPr>
            </w:pPr>
            <w:r>
              <w:rPr>
                <w:w w:val="105"/>
                <w:sz w:val="19"/>
              </w:rPr>
              <w:t>849 664</w:t>
            </w:r>
          </w:p>
        </w:tc>
        <w:tc>
          <w:tcPr>
            <w:tcW w:w="1141" w:type="dxa"/>
          </w:tcPr>
          <w:p>
            <w:pPr>
              <w:pStyle w:val="TableParagraph"/>
              <w:spacing w:before="2"/>
              <w:ind w:right="231"/>
              <w:rPr>
                <w:sz w:val="19"/>
              </w:rPr>
            </w:pPr>
            <w:r>
              <w:rPr>
                <w:w w:val="105"/>
                <w:sz w:val="19"/>
              </w:rPr>
              <w:t>597 817</w:t>
            </w:r>
          </w:p>
        </w:tc>
        <w:tc>
          <w:tcPr>
            <w:tcW w:w="1123" w:type="dxa"/>
          </w:tcPr>
          <w:p>
            <w:pPr>
              <w:pStyle w:val="TableParagraph"/>
              <w:spacing w:before="2"/>
              <w:ind w:right="221"/>
              <w:rPr>
                <w:sz w:val="19"/>
              </w:rPr>
            </w:pPr>
            <w:r>
              <w:rPr>
                <w:w w:val="105"/>
                <w:sz w:val="19"/>
              </w:rPr>
              <w:t>251 848</w:t>
            </w:r>
          </w:p>
        </w:tc>
        <w:tc>
          <w:tcPr>
            <w:tcW w:w="1120" w:type="dxa"/>
          </w:tcPr>
          <w:p>
            <w:pPr>
              <w:pStyle w:val="TableParagraph"/>
              <w:spacing w:before="2"/>
              <w:ind w:right="66"/>
              <w:rPr>
                <w:sz w:val="19"/>
              </w:rPr>
            </w:pPr>
            <w:r>
              <w:rPr>
                <w:w w:val="105"/>
                <w:sz w:val="19"/>
              </w:rPr>
              <w:t>462 357</w:t>
            </w:r>
          </w:p>
        </w:tc>
      </w:tr>
      <w:tr>
        <w:trPr>
          <w:trHeight w:val="240" w:hRule="exact"/>
        </w:trPr>
        <w:tc>
          <w:tcPr>
            <w:tcW w:w="1813" w:type="dxa"/>
          </w:tcPr>
          <w:p>
            <w:pPr>
              <w:pStyle w:val="TableParagraph"/>
              <w:tabs>
                <w:tab w:pos="846" w:val="left" w:leader="none"/>
              </w:tabs>
              <w:spacing w:before="2"/>
              <w:ind w:left="72"/>
              <w:jc w:val="left"/>
              <w:rPr>
                <w:sz w:val="19"/>
              </w:rPr>
            </w:pPr>
            <w:r>
              <w:rPr>
                <w:w w:val="105"/>
                <w:sz w:val="19"/>
              </w:rPr>
              <w:t>2003</w:t>
              <w:tab/>
              <w:t>1 357</w:t>
            </w:r>
            <w:r>
              <w:rPr>
                <w:spacing w:val="-2"/>
                <w:w w:val="105"/>
                <w:sz w:val="19"/>
              </w:rPr>
              <w:t> </w:t>
            </w:r>
            <w:r>
              <w:rPr>
                <w:w w:val="105"/>
                <w:sz w:val="19"/>
              </w:rPr>
              <w:t>424</w:t>
            </w:r>
          </w:p>
        </w:tc>
        <w:tc>
          <w:tcPr>
            <w:tcW w:w="1197" w:type="dxa"/>
          </w:tcPr>
          <w:p>
            <w:pPr>
              <w:pStyle w:val="TableParagraph"/>
              <w:spacing w:before="2"/>
              <w:ind w:right="228"/>
              <w:rPr>
                <w:sz w:val="19"/>
              </w:rPr>
            </w:pPr>
            <w:r>
              <w:rPr>
                <w:w w:val="105"/>
                <w:sz w:val="19"/>
              </w:rPr>
              <w:t>885 958</w:t>
            </w:r>
          </w:p>
        </w:tc>
        <w:tc>
          <w:tcPr>
            <w:tcW w:w="1141" w:type="dxa"/>
          </w:tcPr>
          <w:p>
            <w:pPr>
              <w:pStyle w:val="TableParagraph"/>
              <w:spacing w:before="2"/>
              <w:ind w:right="231"/>
              <w:rPr>
                <w:sz w:val="19"/>
              </w:rPr>
            </w:pPr>
            <w:r>
              <w:rPr>
                <w:w w:val="105"/>
                <w:sz w:val="19"/>
              </w:rPr>
              <w:t>633 812</w:t>
            </w:r>
          </w:p>
        </w:tc>
        <w:tc>
          <w:tcPr>
            <w:tcW w:w="1123" w:type="dxa"/>
          </w:tcPr>
          <w:p>
            <w:pPr>
              <w:pStyle w:val="TableParagraph"/>
              <w:spacing w:before="2"/>
              <w:ind w:right="221"/>
              <w:rPr>
                <w:sz w:val="19"/>
              </w:rPr>
            </w:pPr>
            <w:r>
              <w:rPr>
                <w:w w:val="105"/>
                <w:sz w:val="19"/>
              </w:rPr>
              <w:t>252 146</w:t>
            </w:r>
          </w:p>
        </w:tc>
        <w:tc>
          <w:tcPr>
            <w:tcW w:w="1120" w:type="dxa"/>
          </w:tcPr>
          <w:p>
            <w:pPr>
              <w:pStyle w:val="TableParagraph"/>
              <w:spacing w:before="2"/>
              <w:ind w:right="66"/>
              <w:rPr>
                <w:sz w:val="19"/>
              </w:rPr>
            </w:pPr>
            <w:r>
              <w:rPr>
                <w:w w:val="105"/>
                <w:sz w:val="19"/>
              </w:rPr>
              <w:t>471 465</w:t>
            </w:r>
          </w:p>
        </w:tc>
      </w:tr>
      <w:tr>
        <w:trPr>
          <w:trHeight w:val="240" w:hRule="exact"/>
        </w:trPr>
        <w:tc>
          <w:tcPr>
            <w:tcW w:w="1813" w:type="dxa"/>
          </w:tcPr>
          <w:p>
            <w:pPr>
              <w:pStyle w:val="TableParagraph"/>
              <w:tabs>
                <w:tab w:pos="896" w:val="left" w:leader="none"/>
              </w:tabs>
              <w:spacing w:before="2"/>
              <w:ind w:left="72"/>
              <w:jc w:val="left"/>
              <w:rPr>
                <w:sz w:val="19"/>
              </w:rPr>
            </w:pPr>
            <w:r>
              <w:rPr>
                <w:w w:val="105"/>
                <w:sz w:val="19"/>
              </w:rPr>
              <w:t>2004</w:t>
              <w:tab/>
              <w:t>1392</w:t>
            </w:r>
            <w:r>
              <w:rPr>
                <w:spacing w:val="-2"/>
                <w:w w:val="105"/>
                <w:sz w:val="19"/>
              </w:rPr>
              <w:t> </w:t>
            </w:r>
            <w:r>
              <w:rPr>
                <w:w w:val="105"/>
                <w:sz w:val="19"/>
              </w:rPr>
              <w:t>151</w:t>
            </w:r>
          </w:p>
        </w:tc>
        <w:tc>
          <w:tcPr>
            <w:tcW w:w="1197" w:type="dxa"/>
          </w:tcPr>
          <w:p>
            <w:pPr>
              <w:pStyle w:val="TableParagraph"/>
              <w:spacing w:before="2"/>
              <w:ind w:right="228"/>
              <w:rPr>
                <w:sz w:val="19"/>
              </w:rPr>
            </w:pPr>
            <w:r>
              <w:rPr>
                <w:w w:val="105"/>
                <w:sz w:val="19"/>
              </w:rPr>
              <w:t>899 130</w:t>
            </w:r>
          </w:p>
        </w:tc>
        <w:tc>
          <w:tcPr>
            <w:tcW w:w="1141" w:type="dxa"/>
          </w:tcPr>
          <w:p>
            <w:pPr>
              <w:pStyle w:val="TableParagraph"/>
              <w:spacing w:before="2"/>
              <w:ind w:right="231"/>
              <w:rPr>
                <w:sz w:val="19"/>
              </w:rPr>
            </w:pPr>
            <w:r>
              <w:rPr>
                <w:w w:val="105"/>
                <w:sz w:val="19"/>
              </w:rPr>
              <w:t>642 673</w:t>
            </w:r>
          </w:p>
        </w:tc>
        <w:tc>
          <w:tcPr>
            <w:tcW w:w="1123" w:type="dxa"/>
          </w:tcPr>
          <w:p>
            <w:pPr>
              <w:pStyle w:val="TableParagraph"/>
              <w:spacing w:before="2"/>
              <w:ind w:right="221"/>
              <w:rPr>
                <w:sz w:val="19"/>
              </w:rPr>
            </w:pPr>
            <w:r>
              <w:rPr>
                <w:w w:val="105"/>
                <w:sz w:val="19"/>
              </w:rPr>
              <w:t>256 457</w:t>
            </w:r>
          </w:p>
        </w:tc>
        <w:tc>
          <w:tcPr>
            <w:tcW w:w="1120" w:type="dxa"/>
          </w:tcPr>
          <w:p>
            <w:pPr>
              <w:pStyle w:val="TableParagraph"/>
              <w:spacing w:before="2"/>
              <w:ind w:right="66"/>
              <w:rPr>
                <w:sz w:val="19"/>
              </w:rPr>
            </w:pPr>
            <w:r>
              <w:rPr>
                <w:w w:val="105"/>
                <w:sz w:val="19"/>
              </w:rPr>
              <w:t>493 022</w:t>
            </w:r>
          </w:p>
        </w:tc>
      </w:tr>
      <w:tr>
        <w:trPr>
          <w:trHeight w:val="240" w:hRule="exact"/>
        </w:trPr>
        <w:tc>
          <w:tcPr>
            <w:tcW w:w="1813" w:type="dxa"/>
          </w:tcPr>
          <w:p>
            <w:pPr>
              <w:pStyle w:val="TableParagraph"/>
              <w:tabs>
                <w:tab w:pos="846" w:val="left" w:leader="none"/>
              </w:tabs>
              <w:spacing w:before="2"/>
              <w:ind w:left="72"/>
              <w:jc w:val="left"/>
              <w:rPr>
                <w:sz w:val="19"/>
              </w:rPr>
            </w:pPr>
            <w:r>
              <w:rPr>
                <w:w w:val="105"/>
                <w:sz w:val="19"/>
              </w:rPr>
              <w:t>2005</w:t>
              <w:tab/>
              <w:t>1 459</w:t>
            </w:r>
            <w:r>
              <w:rPr>
                <w:spacing w:val="-2"/>
                <w:w w:val="105"/>
                <w:sz w:val="19"/>
              </w:rPr>
              <w:t> </w:t>
            </w:r>
            <w:r>
              <w:rPr>
                <w:w w:val="105"/>
                <w:sz w:val="19"/>
              </w:rPr>
              <w:t>656</w:t>
            </w:r>
          </w:p>
        </w:tc>
        <w:tc>
          <w:tcPr>
            <w:tcW w:w="1197" w:type="dxa"/>
          </w:tcPr>
          <w:p>
            <w:pPr>
              <w:pStyle w:val="TableParagraph"/>
              <w:spacing w:before="2"/>
              <w:ind w:right="228"/>
              <w:rPr>
                <w:sz w:val="19"/>
              </w:rPr>
            </w:pPr>
            <w:r>
              <w:rPr>
                <w:w w:val="105"/>
                <w:sz w:val="19"/>
              </w:rPr>
              <w:t>929 151</w:t>
            </w:r>
          </w:p>
        </w:tc>
        <w:tc>
          <w:tcPr>
            <w:tcW w:w="1141" w:type="dxa"/>
          </w:tcPr>
          <w:p>
            <w:pPr>
              <w:pStyle w:val="TableParagraph"/>
              <w:spacing w:before="2"/>
              <w:ind w:right="231"/>
              <w:rPr>
                <w:sz w:val="19"/>
              </w:rPr>
            </w:pPr>
            <w:r>
              <w:rPr>
                <w:w w:val="105"/>
                <w:sz w:val="19"/>
              </w:rPr>
              <w:t>672 159</w:t>
            </w:r>
          </w:p>
        </w:tc>
        <w:tc>
          <w:tcPr>
            <w:tcW w:w="1123" w:type="dxa"/>
          </w:tcPr>
          <w:p>
            <w:pPr>
              <w:pStyle w:val="TableParagraph"/>
              <w:spacing w:before="2"/>
              <w:ind w:right="221"/>
              <w:rPr>
                <w:sz w:val="19"/>
              </w:rPr>
            </w:pPr>
            <w:r>
              <w:rPr>
                <w:w w:val="105"/>
                <w:sz w:val="19"/>
              </w:rPr>
              <w:t>256 992</w:t>
            </w:r>
          </w:p>
        </w:tc>
        <w:tc>
          <w:tcPr>
            <w:tcW w:w="1120" w:type="dxa"/>
          </w:tcPr>
          <w:p>
            <w:pPr>
              <w:pStyle w:val="TableParagraph"/>
              <w:spacing w:before="2"/>
              <w:ind w:right="66"/>
              <w:rPr>
                <w:sz w:val="19"/>
              </w:rPr>
            </w:pPr>
            <w:r>
              <w:rPr>
                <w:w w:val="105"/>
                <w:sz w:val="19"/>
              </w:rPr>
              <w:t>530 505</w:t>
            </w:r>
          </w:p>
        </w:tc>
      </w:tr>
      <w:tr>
        <w:trPr>
          <w:trHeight w:val="240" w:hRule="exact"/>
        </w:trPr>
        <w:tc>
          <w:tcPr>
            <w:tcW w:w="1813" w:type="dxa"/>
          </w:tcPr>
          <w:p>
            <w:pPr>
              <w:pStyle w:val="TableParagraph"/>
              <w:tabs>
                <w:tab w:pos="846" w:val="left" w:leader="none"/>
              </w:tabs>
              <w:spacing w:before="2"/>
              <w:ind w:left="72"/>
              <w:jc w:val="left"/>
              <w:rPr>
                <w:sz w:val="19"/>
              </w:rPr>
            </w:pPr>
            <w:r>
              <w:rPr>
                <w:w w:val="105"/>
                <w:sz w:val="19"/>
              </w:rPr>
              <w:t>2006</w:t>
              <w:tab/>
              <w:t>1 516</w:t>
            </w:r>
            <w:r>
              <w:rPr>
                <w:spacing w:val="-2"/>
                <w:w w:val="105"/>
                <w:sz w:val="19"/>
              </w:rPr>
              <w:t> </w:t>
            </w:r>
            <w:r>
              <w:rPr>
                <w:w w:val="105"/>
                <w:sz w:val="19"/>
              </w:rPr>
              <w:t>227</w:t>
            </w:r>
          </w:p>
        </w:tc>
        <w:tc>
          <w:tcPr>
            <w:tcW w:w="1197" w:type="dxa"/>
          </w:tcPr>
          <w:p>
            <w:pPr>
              <w:pStyle w:val="TableParagraph"/>
              <w:spacing w:before="2"/>
              <w:ind w:right="228"/>
              <w:rPr>
                <w:sz w:val="19"/>
              </w:rPr>
            </w:pPr>
            <w:r>
              <w:rPr>
                <w:w w:val="105"/>
                <w:sz w:val="19"/>
              </w:rPr>
              <w:t>908 891</w:t>
            </w:r>
          </w:p>
        </w:tc>
        <w:tc>
          <w:tcPr>
            <w:tcW w:w="1141" w:type="dxa"/>
          </w:tcPr>
          <w:p>
            <w:pPr>
              <w:pStyle w:val="TableParagraph"/>
              <w:spacing w:before="2"/>
              <w:ind w:right="231"/>
              <w:rPr>
                <w:sz w:val="19"/>
              </w:rPr>
            </w:pPr>
            <w:r>
              <w:rPr>
                <w:w w:val="105"/>
                <w:sz w:val="19"/>
              </w:rPr>
              <w:t>612 407</w:t>
            </w:r>
          </w:p>
        </w:tc>
        <w:tc>
          <w:tcPr>
            <w:tcW w:w="1123" w:type="dxa"/>
          </w:tcPr>
          <w:p>
            <w:pPr>
              <w:pStyle w:val="TableParagraph"/>
              <w:spacing w:before="2"/>
              <w:ind w:right="221"/>
              <w:rPr>
                <w:sz w:val="19"/>
              </w:rPr>
            </w:pPr>
            <w:r>
              <w:rPr>
                <w:w w:val="105"/>
                <w:sz w:val="19"/>
              </w:rPr>
              <w:t>296 483</w:t>
            </w:r>
          </w:p>
        </w:tc>
        <w:tc>
          <w:tcPr>
            <w:tcW w:w="1120" w:type="dxa"/>
          </w:tcPr>
          <w:p>
            <w:pPr>
              <w:pStyle w:val="TableParagraph"/>
              <w:spacing w:before="2"/>
              <w:ind w:right="66"/>
              <w:rPr>
                <w:sz w:val="19"/>
              </w:rPr>
            </w:pPr>
            <w:r>
              <w:rPr>
                <w:w w:val="105"/>
                <w:sz w:val="19"/>
              </w:rPr>
              <w:t>607 336</w:t>
            </w:r>
          </w:p>
        </w:tc>
      </w:tr>
      <w:tr>
        <w:trPr>
          <w:trHeight w:val="240" w:hRule="exact"/>
        </w:trPr>
        <w:tc>
          <w:tcPr>
            <w:tcW w:w="1813" w:type="dxa"/>
          </w:tcPr>
          <w:p>
            <w:pPr>
              <w:pStyle w:val="TableParagraph"/>
              <w:tabs>
                <w:tab w:pos="846" w:val="left" w:leader="none"/>
              </w:tabs>
              <w:spacing w:before="2"/>
              <w:ind w:left="72"/>
              <w:jc w:val="left"/>
              <w:rPr>
                <w:sz w:val="19"/>
              </w:rPr>
            </w:pPr>
            <w:r>
              <w:rPr>
                <w:w w:val="105"/>
                <w:sz w:val="19"/>
              </w:rPr>
              <w:t>2007</w:t>
              <w:tab/>
              <w:t>1 608</w:t>
            </w:r>
            <w:r>
              <w:rPr>
                <w:spacing w:val="-2"/>
                <w:w w:val="105"/>
                <w:sz w:val="19"/>
              </w:rPr>
              <w:t> </w:t>
            </w:r>
            <w:r>
              <w:rPr>
                <w:w w:val="105"/>
                <w:sz w:val="19"/>
              </w:rPr>
              <w:t>124</w:t>
            </w:r>
          </w:p>
        </w:tc>
        <w:tc>
          <w:tcPr>
            <w:tcW w:w="1197" w:type="dxa"/>
          </w:tcPr>
          <w:p>
            <w:pPr>
              <w:pStyle w:val="TableParagraph"/>
              <w:spacing w:before="2"/>
              <w:ind w:right="228"/>
              <w:rPr>
                <w:sz w:val="19"/>
              </w:rPr>
            </w:pPr>
            <w:r>
              <w:rPr>
                <w:w w:val="105"/>
                <w:sz w:val="19"/>
              </w:rPr>
              <w:t>936 721</w:t>
            </w:r>
          </w:p>
        </w:tc>
        <w:tc>
          <w:tcPr>
            <w:tcW w:w="1141" w:type="dxa"/>
          </w:tcPr>
          <w:p>
            <w:pPr>
              <w:pStyle w:val="TableParagraph"/>
              <w:spacing w:before="2"/>
              <w:ind w:right="231"/>
              <w:rPr>
                <w:sz w:val="19"/>
              </w:rPr>
            </w:pPr>
            <w:r>
              <w:rPr>
                <w:w w:val="105"/>
                <w:sz w:val="19"/>
              </w:rPr>
              <w:t>602 628</w:t>
            </w:r>
          </w:p>
        </w:tc>
        <w:tc>
          <w:tcPr>
            <w:tcW w:w="1123" w:type="dxa"/>
          </w:tcPr>
          <w:p>
            <w:pPr>
              <w:pStyle w:val="TableParagraph"/>
              <w:spacing w:before="2"/>
              <w:ind w:right="221"/>
              <w:rPr>
                <w:sz w:val="19"/>
              </w:rPr>
            </w:pPr>
            <w:r>
              <w:rPr>
                <w:w w:val="105"/>
                <w:sz w:val="19"/>
              </w:rPr>
              <w:t>334 094</w:t>
            </w:r>
          </w:p>
        </w:tc>
        <w:tc>
          <w:tcPr>
            <w:tcW w:w="1120" w:type="dxa"/>
          </w:tcPr>
          <w:p>
            <w:pPr>
              <w:pStyle w:val="TableParagraph"/>
              <w:spacing w:before="2"/>
              <w:ind w:right="66"/>
              <w:rPr>
                <w:sz w:val="19"/>
              </w:rPr>
            </w:pPr>
            <w:r>
              <w:rPr>
                <w:w w:val="105"/>
                <w:sz w:val="19"/>
              </w:rPr>
              <w:t>671 402</w:t>
            </w:r>
          </w:p>
        </w:tc>
      </w:tr>
      <w:tr>
        <w:trPr>
          <w:trHeight w:val="240" w:hRule="exact"/>
        </w:trPr>
        <w:tc>
          <w:tcPr>
            <w:tcW w:w="1813" w:type="dxa"/>
          </w:tcPr>
          <w:p>
            <w:pPr>
              <w:pStyle w:val="TableParagraph"/>
              <w:tabs>
                <w:tab w:pos="846" w:val="left" w:leader="none"/>
              </w:tabs>
              <w:spacing w:before="2"/>
              <w:ind w:left="72"/>
              <w:jc w:val="left"/>
              <w:rPr>
                <w:sz w:val="19"/>
              </w:rPr>
            </w:pPr>
            <w:r>
              <w:rPr>
                <w:w w:val="105"/>
                <w:sz w:val="19"/>
              </w:rPr>
              <w:t>2008</w:t>
              <w:tab/>
              <w:t>1 650</w:t>
            </w:r>
            <w:r>
              <w:rPr>
                <w:spacing w:val="-2"/>
                <w:w w:val="105"/>
                <w:sz w:val="19"/>
              </w:rPr>
              <w:t> </w:t>
            </w:r>
            <w:r>
              <w:rPr>
                <w:w w:val="105"/>
                <w:sz w:val="19"/>
              </w:rPr>
              <w:t>934</w:t>
            </w:r>
          </w:p>
        </w:tc>
        <w:tc>
          <w:tcPr>
            <w:tcW w:w="1197" w:type="dxa"/>
          </w:tcPr>
          <w:p>
            <w:pPr>
              <w:pStyle w:val="TableParagraph"/>
              <w:spacing w:before="2"/>
              <w:ind w:right="228"/>
              <w:rPr>
                <w:sz w:val="19"/>
              </w:rPr>
            </w:pPr>
            <w:r>
              <w:rPr>
                <w:w w:val="105"/>
                <w:sz w:val="19"/>
              </w:rPr>
              <w:t>976 709</w:t>
            </w:r>
          </w:p>
        </w:tc>
        <w:tc>
          <w:tcPr>
            <w:tcW w:w="1141" w:type="dxa"/>
          </w:tcPr>
          <w:p>
            <w:pPr>
              <w:pStyle w:val="TableParagraph"/>
              <w:spacing w:before="2"/>
              <w:ind w:right="231"/>
              <w:rPr>
                <w:sz w:val="19"/>
              </w:rPr>
            </w:pPr>
            <w:r>
              <w:rPr>
                <w:w w:val="105"/>
                <w:sz w:val="19"/>
              </w:rPr>
              <w:t>598 328</w:t>
            </w:r>
          </w:p>
        </w:tc>
        <w:tc>
          <w:tcPr>
            <w:tcW w:w="1123" w:type="dxa"/>
          </w:tcPr>
          <w:p>
            <w:pPr>
              <w:pStyle w:val="TableParagraph"/>
              <w:spacing w:before="2"/>
              <w:ind w:right="221"/>
              <w:rPr>
                <w:sz w:val="19"/>
              </w:rPr>
            </w:pPr>
            <w:r>
              <w:rPr>
                <w:w w:val="105"/>
                <w:sz w:val="19"/>
              </w:rPr>
              <w:t>378 382</w:t>
            </w:r>
          </w:p>
        </w:tc>
        <w:tc>
          <w:tcPr>
            <w:tcW w:w="1120" w:type="dxa"/>
          </w:tcPr>
          <w:p>
            <w:pPr>
              <w:pStyle w:val="TableParagraph"/>
              <w:spacing w:before="2"/>
              <w:ind w:right="66"/>
              <w:rPr>
                <w:sz w:val="19"/>
              </w:rPr>
            </w:pPr>
            <w:r>
              <w:rPr>
                <w:w w:val="105"/>
                <w:sz w:val="19"/>
              </w:rPr>
              <w:t>674 225</w:t>
            </w:r>
          </w:p>
        </w:tc>
      </w:tr>
      <w:tr>
        <w:trPr>
          <w:trHeight w:val="240" w:hRule="exact"/>
        </w:trPr>
        <w:tc>
          <w:tcPr>
            <w:tcW w:w="1813" w:type="dxa"/>
          </w:tcPr>
          <w:p>
            <w:pPr>
              <w:pStyle w:val="TableParagraph"/>
              <w:tabs>
                <w:tab w:pos="846" w:val="left" w:leader="none"/>
              </w:tabs>
              <w:spacing w:before="2"/>
              <w:ind w:left="72"/>
              <w:jc w:val="left"/>
              <w:rPr>
                <w:sz w:val="19"/>
              </w:rPr>
            </w:pPr>
            <w:r>
              <w:rPr>
                <w:w w:val="105"/>
                <w:sz w:val="19"/>
              </w:rPr>
              <w:t>2009</w:t>
              <w:tab/>
              <w:t>1 688</w:t>
            </w:r>
            <w:r>
              <w:rPr>
                <w:spacing w:val="-2"/>
                <w:w w:val="105"/>
                <w:sz w:val="19"/>
              </w:rPr>
              <w:t> </w:t>
            </w:r>
            <w:r>
              <w:rPr>
                <w:w w:val="105"/>
                <w:sz w:val="19"/>
              </w:rPr>
              <w:t>104</w:t>
            </w:r>
          </w:p>
        </w:tc>
        <w:tc>
          <w:tcPr>
            <w:tcW w:w="1197" w:type="dxa"/>
          </w:tcPr>
          <w:p>
            <w:pPr>
              <w:pStyle w:val="TableParagraph"/>
              <w:spacing w:before="2"/>
              <w:ind w:right="228"/>
              <w:rPr>
                <w:sz w:val="19"/>
              </w:rPr>
            </w:pPr>
            <w:r>
              <w:rPr>
                <w:w w:val="105"/>
                <w:sz w:val="19"/>
              </w:rPr>
              <w:t>991 762</w:t>
            </w:r>
          </w:p>
        </w:tc>
        <w:tc>
          <w:tcPr>
            <w:tcW w:w="1141" w:type="dxa"/>
          </w:tcPr>
          <w:p>
            <w:pPr>
              <w:pStyle w:val="TableParagraph"/>
              <w:spacing w:before="2"/>
              <w:ind w:right="231"/>
              <w:rPr>
                <w:sz w:val="19"/>
              </w:rPr>
            </w:pPr>
            <w:r>
              <w:rPr>
                <w:w w:val="105"/>
                <w:sz w:val="19"/>
              </w:rPr>
              <w:t>614 825</w:t>
            </w:r>
          </w:p>
        </w:tc>
        <w:tc>
          <w:tcPr>
            <w:tcW w:w="1123" w:type="dxa"/>
          </w:tcPr>
          <w:p>
            <w:pPr>
              <w:pStyle w:val="TableParagraph"/>
              <w:spacing w:before="2"/>
              <w:ind w:right="221"/>
              <w:rPr>
                <w:sz w:val="19"/>
              </w:rPr>
            </w:pPr>
            <w:r>
              <w:rPr>
                <w:w w:val="105"/>
                <w:sz w:val="19"/>
              </w:rPr>
              <w:t>376 937</w:t>
            </w:r>
          </w:p>
        </w:tc>
        <w:tc>
          <w:tcPr>
            <w:tcW w:w="1120" w:type="dxa"/>
          </w:tcPr>
          <w:p>
            <w:pPr>
              <w:pStyle w:val="TableParagraph"/>
              <w:spacing w:before="2"/>
              <w:ind w:right="66"/>
              <w:rPr>
                <w:sz w:val="19"/>
              </w:rPr>
            </w:pPr>
            <w:r>
              <w:rPr>
                <w:w w:val="105"/>
                <w:sz w:val="19"/>
              </w:rPr>
              <w:t>696 342</w:t>
            </w:r>
          </w:p>
        </w:tc>
      </w:tr>
      <w:tr>
        <w:trPr>
          <w:trHeight w:val="240" w:hRule="exact"/>
        </w:trPr>
        <w:tc>
          <w:tcPr>
            <w:tcW w:w="1813" w:type="dxa"/>
          </w:tcPr>
          <w:p>
            <w:pPr>
              <w:pStyle w:val="TableParagraph"/>
              <w:tabs>
                <w:tab w:pos="846" w:val="left" w:leader="none"/>
              </w:tabs>
              <w:spacing w:before="2"/>
              <w:ind w:left="72"/>
              <w:jc w:val="left"/>
              <w:rPr>
                <w:sz w:val="19"/>
              </w:rPr>
            </w:pPr>
            <w:r>
              <w:rPr>
                <w:w w:val="105"/>
                <w:sz w:val="19"/>
              </w:rPr>
              <w:t>2010</w:t>
              <w:tab/>
              <w:t>1 732</w:t>
            </w:r>
            <w:r>
              <w:rPr>
                <w:spacing w:val="-2"/>
                <w:w w:val="105"/>
                <w:sz w:val="19"/>
              </w:rPr>
              <w:t> </w:t>
            </w:r>
            <w:r>
              <w:rPr>
                <w:w w:val="105"/>
                <w:sz w:val="19"/>
              </w:rPr>
              <w:t>600</w:t>
            </w:r>
          </w:p>
        </w:tc>
        <w:tc>
          <w:tcPr>
            <w:tcW w:w="1197" w:type="dxa"/>
          </w:tcPr>
          <w:p>
            <w:pPr>
              <w:pStyle w:val="TableParagraph"/>
              <w:spacing w:before="2"/>
              <w:ind w:right="228"/>
              <w:rPr>
                <w:sz w:val="19"/>
              </w:rPr>
            </w:pPr>
            <w:r>
              <w:rPr>
                <w:w w:val="105"/>
                <w:sz w:val="19"/>
              </w:rPr>
              <w:t>1 038 863</w:t>
            </w:r>
          </w:p>
        </w:tc>
        <w:tc>
          <w:tcPr>
            <w:tcW w:w="1141" w:type="dxa"/>
          </w:tcPr>
          <w:p>
            <w:pPr>
              <w:pStyle w:val="TableParagraph"/>
              <w:spacing w:before="2"/>
              <w:ind w:right="231"/>
              <w:rPr>
                <w:sz w:val="19"/>
              </w:rPr>
            </w:pPr>
            <w:r>
              <w:rPr>
                <w:w w:val="105"/>
                <w:sz w:val="19"/>
              </w:rPr>
              <w:t>362 130</w:t>
            </w:r>
          </w:p>
        </w:tc>
        <w:tc>
          <w:tcPr>
            <w:tcW w:w="1123" w:type="dxa"/>
          </w:tcPr>
          <w:p>
            <w:pPr>
              <w:pStyle w:val="TableParagraph"/>
              <w:spacing w:before="2"/>
              <w:ind w:right="221"/>
              <w:rPr>
                <w:sz w:val="19"/>
              </w:rPr>
            </w:pPr>
            <w:r>
              <w:rPr>
                <w:w w:val="105"/>
                <w:sz w:val="19"/>
              </w:rPr>
              <w:t>676 733</w:t>
            </w:r>
          </w:p>
        </w:tc>
        <w:tc>
          <w:tcPr>
            <w:tcW w:w="1120" w:type="dxa"/>
          </w:tcPr>
          <w:p>
            <w:pPr>
              <w:pStyle w:val="TableParagraph"/>
              <w:spacing w:before="2"/>
              <w:ind w:right="66"/>
              <w:rPr>
                <w:sz w:val="19"/>
              </w:rPr>
            </w:pPr>
            <w:r>
              <w:rPr>
                <w:w w:val="105"/>
                <w:sz w:val="19"/>
              </w:rPr>
              <w:t>693 737</w:t>
            </w:r>
          </w:p>
        </w:tc>
      </w:tr>
      <w:tr>
        <w:trPr>
          <w:trHeight w:val="240" w:hRule="exact"/>
        </w:trPr>
        <w:tc>
          <w:tcPr>
            <w:tcW w:w="1813" w:type="dxa"/>
          </w:tcPr>
          <w:p>
            <w:pPr>
              <w:pStyle w:val="TableParagraph"/>
              <w:spacing w:before="2"/>
              <w:ind w:left="121"/>
              <w:jc w:val="left"/>
              <w:rPr>
                <w:i/>
                <w:sz w:val="19"/>
              </w:rPr>
            </w:pPr>
            <w:r>
              <w:rPr>
                <w:i/>
                <w:w w:val="105"/>
                <w:sz w:val="19"/>
              </w:rPr>
              <w:t>Porcentaje</w:t>
            </w:r>
          </w:p>
        </w:tc>
        <w:tc>
          <w:tcPr>
            <w:tcW w:w="1197" w:type="dxa"/>
          </w:tcPr>
          <w:p>
            <w:pPr/>
          </w:p>
        </w:tc>
        <w:tc>
          <w:tcPr>
            <w:tcW w:w="1141" w:type="dxa"/>
          </w:tcPr>
          <w:p>
            <w:pPr/>
          </w:p>
        </w:tc>
        <w:tc>
          <w:tcPr>
            <w:tcW w:w="1123" w:type="dxa"/>
          </w:tcPr>
          <w:p>
            <w:pPr/>
          </w:p>
        </w:tc>
        <w:tc>
          <w:tcPr>
            <w:tcW w:w="1120" w:type="dxa"/>
          </w:tcPr>
          <w:p>
            <w:pPr/>
          </w:p>
        </w:tc>
      </w:tr>
      <w:tr>
        <w:trPr>
          <w:trHeight w:val="240" w:hRule="exact"/>
        </w:trPr>
        <w:tc>
          <w:tcPr>
            <w:tcW w:w="1813" w:type="dxa"/>
          </w:tcPr>
          <w:p>
            <w:pPr>
              <w:pStyle w:val="TableParagraph"/>
              <w:tabs>
                <w:tab w:pos="1055" w:val="left" w:leader="none"/>
              </w:tabs>
              <w:spacing w:before="2"/>
              <w:ind w:left="72"/>
              <w:jc w:val="left"/>
              <w:rPr>
                <w:sz w:val="19"/>
              </w:rPr>
            </w:pPr>
            <w:r>
              <w:rPr>
                <w:w w:val="105"/>
                <w:sz w:val="19"/>
              </w:rPr>
              <w:t>2001</w:t>
              <w:tab/>
              <w:t>100.0</w:t>
            </w:r>
          </w:p>
        </w:tc>
        <w:tc>
          <w:tcPr>
            <w:tcW w:w="1197" w:type="dxa"/>
          </w:tcPr>
          <w:p>
            <w:pPr>
              <w:pStyle w:val="TableParagraph"/>
              <w:spacing w:before="2"/>
              <w:ind w:right="228"/>
              <w:rPr>
                <w:sz w:val="19"/>
              </w:rPr>
            </w:pPr>
            <w:r>
              <w:rPr>
                <w:sz w:val="19"/>
              </w:rPr>
              <w:t>63.7</w:t>
            </w:r>
          </w:p>
        </w:tc>
        <w:tc>
          <w:tcPr>
            <w:tcW w:w="1141" w:type="dxa"/>
          </w:tcPr>
          <w:p>
            <w:pPr>
              <w:pStyle w:val="TableParagraph"/>
              <w:spacing w:before="2"/>
              <w:ind w:right="232"/>
              <w:rPr>
                <w:sz w:val="19"/>
              </w:rPr>
            </w:pPr>
            <w:r>
              <w:rPr>
                <w:sz w:val="19"/>
              </w:rPr>
              <w:t>44.2</w:t>
            </w:r>
          </w:p>
        </w:tc>
        <w:tc>
          <w:tcPr>
            <w:tcW w:w="1123" w:type="dxa"/>
          </w:tcPr>
          <w:p>
            <w:pPr>
              <w:pStyle w:val="TableParagraph"/>
              <w:spacing w:before="2"/>
              <w:ind w:right="223"/>
              <w:rPr>
                <w:sz w:val="19"/>
              </w:rPr>
            </w:pPr>
            <w:r>
              <w:rPr>
                <w:sz w:val="19"/>
              </w:rPr>
              <w:t>19.5</w:t>
            </w:r>
          </w:p>
        </w:tc>
        <w:tc>
          <w:tcPr>
            <w:tcW w:w="1120" w:type="dxa"/>
          </w:tcPr>
          <w:p>
            <w:pPr>
              <w:pStyle w:val="TableParagraph"/>
              <w:spacing w:before="2"/>
              <w:ind w:right="68"/>
              <w:rPr>
                <w:sz w:val="19"/>
              </w:rPr>
            </w:pPr>
            <w:r>
              <w:rPr>
                <w:sz w:val="19"/>
              </w:rPr>
              <w:t>36.3</w:t>
            </w:r>
          </w:p>
        </w:tc>
      </w:tr>
      <w:tr>
        <w:trPr>
          <w:trHeight w:val="240" w:hRule="exact"/>
        </w:trPr>
        <w:tc>
          <w:tcPr>
            <w:tcW w:w="1813" w:type="dxa"/>
          </w:tcPr>
          <w:p>
            <w:pPr>
              <w:pStyle w:val="TableParagraph"/>
              <w:tabs>
                <w:tab w:pos="1055" w:val="left" w:leader="none"/>
              </w:tabs>
              <w:spacing w:before="2"/>
              <w:ind w:left="72"/>
              <w:jc w:val="left"/>
              <w:rPr>
                <w:sz w:val="19"/>
              </w:rPr>
            </w:pPr>
            <w:r>
              <w:rPr>
                <w:w w:val="105"/>
                <w:sz w:val="19"/>
              </w:rPr>
              <w:t>2002</w:t>
              <w:tab/>
              <w:t>100.0</w:t>
            </w:r>
          </w:p>
        </w:tc>
        <w:tc>
          <w:tcPr>
            <w:tcW w:w="1197" w:type="dxa"/>
          </w:tcPr>
          <w:p>
            <w:pPr>
              <w:pStyle w:val="TableParagraph"/>
              <w:spacing w:before="2"/>
              <w:ind w:right="228"/>
              <w:rPr>
                <w:sz w:val="19"/>
              </w:rPr>
            </w:pPr>
            <w:r>
              <w:rPr>
                <w:sz w:val="19"/>
              </w:rPr>
              <w:t>64.8</w:t>
            </w:r>
          </w:p>
        </w:tc>
        <w:tc>
          <w:tcPr>
            <w:tcW w:w="1141" w:type="dxa"/>
          </w:tcPr>
          <w:p>
            <w:pPr>
              <w:pStyle w:val="TableParagraph"/>
              <w:spacing w:before="2"/>
              <w:ind w:right="232"/>
              <w:rPr>
                <w:sz w:val="19"/>
              </w:rPr>
            </w:pPr>
            <w:r>
              <w:rPr>
                <w:sz w:val="19"/>
              </w:rPr>
              <w:t>45.6</w:t>
            </w:r>
          </w:p>
        </w:tc>
        <w:tc>
          <w:tcPr>
            <w:tcW w:w="1123" w:type="dxa"/>
          </w:tcPr>
          <w:p>
            <w:pPr>
              <w:pStyle w:val="TableParagraph"/>
              <w:spacing w:before="2"/>
              <w:ind w:right="223"/>
              <w:rPr>
                <w:sz w:val="19"/>
              </w:rPr>
            </w:pPr>
            <w:r>
              <w:rPr>
                <w:sz w:val="19"/>
              </w:rPr>
              <w:t>19.2</w:t>
            </w:r>
          </w:p>
        </w:tc>
        <w:tc>
          <w:tcPr>
            <w:tcW w:w="1120" w:type="dxa"/>
          </w:tcPr>
          <w:p>
            <w:pPr>
              <w:pStyle w:val="TableParagraph"/>
              <w:spacing w:before="2"/>
              <w:ind w:right="68"/>
              <w:rPr>
                <w:sz w:val="19"/>
              </w:rPr>
            </w:pPr>
            <w:r>
              <w:rPr>
                <w:sz w:val="19"/>
              </w:rPr>
              <w:t>35.2</w:t>
            </w:r>
          </w:p>
        </w:tc>
      </w:tr>
      <w:tr>
        <w:trPr>
          <w:trHeight w:val="240" w:hRule="exact"/>
        </w:trPr>
        <w:tc>
          <w:tcPr>
            <w:tcW w:w="1813" w:type="dxa"/>
          </w:tcPr>
          <w:p>
            <w:pPr>
              <w:pStyle w:val="TableParagraph"/>
              <w:tabs>
                <w:tab w:pos="1055" w:val="left" w:leader="none"/>
              </w:tabs>
              <w:spacing w:before="2"/>
              <w:ind w:left="72"/>
              <w:jc w:val="left"/>
              <w:rPr>
                <w:sz w:val="19"/>
              </w:rPr>
            </w:pPr>
            <w:r>
              <w:rPr>
                <w:w w:val="105"/>
                <w:sz w:val="19"/>
              </w:rPr>
              <w:t>2003</w:t>
              <w:tab/>
              <w:t>100.0</w:t>
            </w:r>
          </w:p>
        </w:tc>
        <w:tc>
          <w:tcPr>
            <w:tcW w:w="1197" w:type="dxa"/>
          </w:tcPr>
          <w:p>
            <w:pPr>
              <w:pStyle w:val="TableParagraph"/>
              <w:spacing w:before="2"/>
              <w:ind w:right="228"/>
              <w:rPr>
                <w:sz w:val="19"/>
              </w:rPr>
            </w:pPr>
            <w:r>
              <w:rPr>
                <w:sz w:val="19"/>
              </w:rPr>
              <w:t>65.3</w:t>
            </w:r>
          </w:p>
        </w:tc>
        <w:tc>
          <w:tcPr>
            <w:tcW w:w="1141" w:type="dxa"/>
          </w:tcPr>
          <w:p>
            <w:pPr>
              <w:pStyle w:val="TableParagraph"/>
              <w:spacing w:before="2"/>
              <w:ind w:right="232"/>
              <w:rPr>
                <w:sz w:val="19"/>
              </w:rPr>
            </w:pPr>
            <w:r>
              <w:rPr>
                <w:sz w:val="19"/>
              </w:rPr>
              <w:t>46.7</w:t>
            </w:r>
          </w:p>
        </w:tc>
        <w:tc>
          <w:tcPr>
            <w:tcW w:w="1123" w:type="dxa"/>
          </w:tcPr>
          <w:p>
            <w:pPr>
              <w:pStyle w:val="TableParagraph"/>
              <w:spacing w:before="2"/>
              <w:ind w:right="223"/>
              <w:rPr>
                <w:sz w:val="19"/>
              </w:rPr>
            </w:pPr>
            <w:r>
              <w:rPr>
                <w:sz w:val="19"/>
              </w:rPr>
              <w:t>18.6</w:t>
            </w:r>
          </w:p>
        </w:tc>
        <w:tc>
          <w:tcPr>
            <w:tcW w:w="1120" w:type="dxa"/>
          </w:tcPr>
          <w:p>
            <w:pPr>
              <w:pStyle w:val="TableParagraph"/>
              <w:spacing w:before="2"/>
              <w:ind w:right="68"/>
              <w:rPr>
                <w:sz w:val="19"/>
              </w:rPr>
            </w:pPr>
            <w:r>
              <w:rPr>
                <w:sz w:val="19"/>
              </w:rPr>
              <w:t>34.7</w:t>
            </w:r>
          </w:p>
        </w:tc>
      </w:tr>
      <w:tr>
        <w:trPr>
          <w:trHeight w:val="240" w:hRule="exact"/>
        </w:trPr>
        <w:tc>
          <w:tcPr>
            <w:tcW w:w="1813" w:type="dxa"/>
          </w:tcPr>
          <w:p>
            <w:pPr>
              <w:pStyle w:val="TableParagraph"/>
              <w:tabs>
                <w:tab w:pos="1055" w:val="left" w:leader="none"/>
              </w:tabs>
              <w:spacing w:before="2"/>
              <w:ind w:left="72"/>
              <w:jc w:val="left"/>
              <w:rPr>
                <w:sz w:val="19"/>
              </w:rPr>
            </w:pPr>
            <w:r>
              <w:rPr>
                <w:w w:val="105"/>
                <w:sz w:val="19"/>
              </w:rPr>
              <w:t>2004</w:t>
              <w:tab/>
              <w:t>100.0</w:t>
            </w:r>
          </w:p>
        </w:tc>
        <w:tc>
          <w:tcPr>
            <w:tcW w:w="1197" w:type="dxa"/>
          </w:tcPr>
          <w:p>
            <w:pPr>
              <w:pStyle w:val="TableParagraph"/>
              <w:spacing w:before="2"/>
              <w:ind w:right="228"/>
              <w:rPr>
                <w:sz w:val="19"/>
              </w:rPr>
            </w:pPr>
            <w:r>
              <w:rPr>
                <w:sz w:val="19"/>
              </w:rPr>
              <w:t>64.6</w:t>
            </w:r>
          </w:p>
        </w:tc>
        <w:tc>
          <w:tcPr>
            <w:tcW w:w="1141" w:type="dxa"/>
          </w:tcPr>
          <w:p>
            <w:pPr>
              <w:pStyle w:val="TableParagraph"/>
              <w:spacing w:before="2"/>
              <w:ind w:right="232"/>
              <w:rPr>
                <w:sz w:val="19"/>
              </w:rPr>
            </w:pPr>
            <w:r>
              <w:rPr>
                <w:sz w:val="19"/>
              </w:rPr>
              <w:t>46.2</w:t>
            </w:r>
          </w:p>
        </w:tc>
        <w:tc>
          <w:tcPr>
            <w:tcW w:w="1123" w:type="dxa"/>
          </w:tcPr>
          <w:p>
            <w:pPr>
              <w:pStyle w:val="TableParagraph"/>
              <w:spacing w:before="2"/>
              <w:ind w:right="223"/>
              <w:rPr>
                <w:sz w:val="19"/>
              </w:rPr>
            </w:pPr>
            <w:r>
              <w:rPr>
                <w:sz w:val="19"/>
              </w:rPr>
              <w:t>18.4</w:t>
            </w:r>
          </w:p>
        </w:tc>
        <w:tc>
          <w:tcPr>
            <w:tcW w:w="1120" w:type="dxa"/>
          </w:tcPr>
          <w:p>
            <w:pPr>
              <w:pStyle w:val="TableParagraph"/>
              <w:spacing w:before="2"/>
              <w:ind w:right="68"/>
              <w:rPr>
                <w:sz w:val="19"/>
              </w:rPr>
            </w:pPr>
            <w:r>
              <w:rPr>
                <w:sz w:val="19"/>
              </w:rPr>
              <w:t>35.4</w:t>
            </w:r>
          </w:p>
        </w:tc>
      </w:tr>
      <w:tr>
        <w:trPr>
          <w:trHeight w:val="240" w:hRule="exact"/>
        </w:trPr>
        <w:tc>
          <w:tcPr>
            <w:tcW w:w="1813" w:type="dxa"/>
          </w:tcPr>
          <w:p>
            <w:pPr>
              <w:pStyle w:val="TableParagraph"/>
              <w:tabs>
                <w:tab w:pos="1055" w:val="left" w:leader="none"/>
              </w:tabs>
              <w:spacing w:before="2"/>
              <w:ind w:left="72"/>
              <w:jc w:val="left"/>
              <w:rPr>
                <w:sz w:val="19"/>
              </w:rPr>
            </w:pPr>
            <w:r>
              <w:rPr>
                <w:w w:val="105"/>
                <w:sz w:val="19"/>
              </w:rPr>
              <w:t>2005</w:t>
              <w:tab/>
              <w:t>100.0</w:t>
            </w:r>
          </w:p>
        </w:tc>
        <w:tc>
          <w:tcPr>
            <w:tcW w:w="1197" w:type="dxa"/>
          </w:tcPr>
          <w:p>
            <w:pPr>
              <w:pStyle w:val="TableParagraph"/>
              <w:spacing w:before="2"/>
              <w:ind w:right="228"/>
              <w:rPr>
                <w:sz w:val="19"/>
              </w:rPr>
            </w:pPr>
            <w:r>
              <w:rPr>
                <w:sz w:val="19"/>
              </w:rPr>
              <w:t>63.7</w:t>
            </w:r>
          </w:p>
        </w:tc>
        <w:tc>
          <w:tcPr>
            <w:tcW w:w="1141" w:type="dxa"/>
          </w:tcPr>
          <w:p>
            <w:pPr>
              <w:pStyle w:val="TableParagraph"/>
              <w:spacing w:before="2"/>
              <w:ind w:right="232"/>
              <w:rPr>
                <w:sz w:val="19"/>
              </w:rPr>
            </w:pPr>
            <w:r>
              <w:rPr>
                <w:sz w:val="19"/>
              </w:rPr>
              <w:t>46.0</w:t>
            </w:r>
          </w:p>
        </w:tc>
        <w:tc>
          <w:tcPr>
            <w:tcW w:w="1123" w:type="dxa"/>
          </w:tcPr>
          <w:p>
            <w:pPr>
              <w:pStyle w:val="TableParagraph"/>
              <w:spacing w:before="2"/>
              <w:ind w:right="223"/>
              <w:rPr>
                <w:sz w:val="19"/>
              </w:rPr>
            </w:pPr>
            <w:r>
              <w:rPr>
                <w:sz w:val="19"/>
              </w:rPr>
              <w:t>17.6</w:t>
            </w:r>
          </w:p>
        </w:tc>
        <w:tc>
          <w:tcPr>
            <w:tcW w:w="1120" w:type="dxa"/>
          </w:tcPr>
          <w:p>
            <w:pPr>
              <w:pStyle w:val="TableParagraph"/>
              <w:spacing w:before="2"/>
              <w:ind w:right="68"/>
              <w:rPr>
                <w:sz w:val="19"/>
              </w:rPr>
            </w:pPr>
            <w:r>
              <w:rPr>
                <w:sz w:val="19"/>
              </w:rPr>
              <w:t>36.3</w:t>
            </w:r>
          </w:p>
        </w:tc>
      </w:tr>
      <w:tr>
        <w:trPr>
          <w:trHeight w:val="240" w:hRule="exact"/>
        </w:trPr>
        <w:tc>
          <w:tcPr>
            <w:tcW w:w="1813" w:type="dxa"/>
          </w:tcPr>
          <w:p>
            <w:pPr>
              <w:pStyle w:val="TableParagraph"/>
              <w:tabs>
                <w:tab w:pos="1055" w:val="left" w:leader="none"/>
              </w:tabs>
              <w:spacing w:before="2"/>
              <w:ind w:left="72"/>
              <w:jc w:val="left"/>
              <w:rPr>
                <w:sz w:val="19"/>
              </w:rPr>
            </w:pPr>
            <w:r>
              <w:rPr>
                <w:w w:val="105"/>
                <w:sz w:val="19"/>
              </w:rPr>
              <w:t>2006</w:t>
              <w:tab/>
              <w:t>100.0</w:t>
            </w:r>
          </w:p>
        </w:tc>
        <w:tc>
          <w:tcPr>
            <w:tcW w:w="1197" w:type="dxa"/>
          </w:tcPr>
          <w:p>
            <w:pPr>
              <w:pStyle w:val="TableParagraph"/>
              <w:spacing w:before="2"/>
              <w:ind w:right="228"/>
              <w:rPr>
                <w:sz w:val="19"/>
              </w:rPr>
            </w:pPr>
            <w:r>
              <w:rPr>
                <w:sz w:val="19"/>
              </w:rPr>
              <w:t>59.9</w:t>
            </w:r>
          </w:p>
        </w:tc>
        <w:tc>
          <w:tcPr>
            <w:tcW w:w="1141" w:type="dxa"/>
          </w:tcPr>
          <w:p>
            <w:pPr>
              <w:pStyle w:val="TableParagraph"/>
              <w:spacing w:before="2"/>
              <w:ind w:right="232"/>
              <w:rPr>
                <w:sz w:val="19"/>
              </w:rPr>
            </w:pPr>
            <w:r>
              <w:rPr>
                <w:sz w:val="19"/>
              </w:rPr>
              <w:t>40.4</w:t>
            </w:r>
          </w:p>
        </w:tc>
        <w:tc>
          <w:tcPr>
            <w:tcW w:w="1123" w:type="dxa"/>
          </w:tcPr>
          <w:p>
            <w:pPr>
              <w:pStyle w:val="TableParagraph"/>
              <w:spacing w:before="2"/>
              <w:ind w:right="223"/>
              <w:rPr>
                <w:sz w:val="19"/>
              </w:rPr>
            </w:pPr>
            <w:r>
              <w:rPr>
                <w:sz w:val="19"/>
              </w:rPr>
              <w:t>19.6</w:t>
            </w:r>
          </w:p>
        </w:tc>
        <w:tc>
          <w:tcPr>
            <w:tcW w:w="1120" w:type="dxa"/>
          </w:tcPr>
          <w:p>
            <w:pPr>
              <w:pStyle w:val="TableParagraph"/>
              <w:spacing w:before="2"/>
              <w:ind w:right="68"/>
              <w:rPr>
                <w:sz w:val="19"/>
              </w:rPr>
            </w:pPr>
            <w:r>
              <w:rPr>
                <w:sz w:val="19"/>
              </w:rPr>
              <w:t>40.1</w:t>
            </w:r>
          </w:p>
        </w:tc>
      </w:tr>
      <w:tr>
        <w:trPr>
          <w:trHeight w:val="240" w:hRule="exact"/>
        </w:trPr>
        <w:tc>
          <w:tcPr>
            <w:tcW w:w="1813" w:type="dxa"/>
          </w:tcPr>
          <w:p>
            <w:pPr>
              <w:pStyle w:val="TableParagraph"/>
              <w:tabs>
                <w:tab w:pos="1055" w:val="left" w:leader="none"/>
              </w:tabs>
              <w:spacing w:before="2"/>
              <w:ind w:left="72"/>
              <w:jc w:val="left"/>
              <w:rPr>
                <w:sz w:val="19"/>
              </w:rPr>
            </w:pPr>
            <w:r>
              <w:rPr>
                <w:w w:val="105"/>
                <w:sz w:val="19"/>
              </w:rPr>
              <w:t>2007</w:t>
              <w:tab/>
              <w:t>100.0</w:t>
            </w:r>
          </w:p>
        </w:tc>
        <w:tc>
          <w:tcPr>
            <w:tcW w:w="1197" w:type="dxa"/>
          </w:tcPr>
          <w:p>
            <w:pPr>
              <w:pStyle w:val="TableParagraph"/>
              <w:spacing w:before="2"/>
              <w:ind w:right="228"/>
              <w:rPr>
                <w:sz w:val="19"/>
              </w:rPr>
            </w:pPr>
            <w:r>
              <w:rPr>
                <w:sz w:val="19"/>
              </w:rPr>
              <w:t>58.2</w:t>
            </w:r>
          </w:p>
        </w:tc>
        <w:tc>
          <w:tcPr>
            <w:tcW w:w="1141" w:type="dxa"/>
          </w:tcPr>
          <w:p>
            <w:pPr>
              <w:pStyle w:val="TableParagraph"/>
              <w:spacing w:before="2"/>
              <w:ind w:right="232"/>
              <w:rPr>
                <w:sz w:val="19"/>
              </w:rPr>
            </w:pPr>
            <w:r>
              <w:rPr>
                <w:sz w:val="19"/>
              </w:rPr>
              <w:t>37.5</w:t>
            </w:r>
          </w:p>
        </w:tc>
        <w:tc>
          <w:tcPr>
            <w:tcW w:w="1123" w:type="dxa"/>
          </w:tcPr>
          <w:p>
            <w:pPr>
              <w:pStyle w:val="TableParagraph"/>
              <w:spacing w:before="2"/>
              <w:ind w:right="223"/>
              <w:rPr>
                <w:sz w:val="19"/>
              </w:rPr>
            </w:pPr>
            <w:r>
              <w:rPr>
                <w:sz w:val="19"/>
              </w:rPr>
              <w:t>20.8</w:t>
            </w:r>
          </w:p>
        </w:tc>
        <w:tc>
          <w:tcPr>
            <w:tcW w:w="1120" w:type="dxa"/>
          </w:tcPr>
          <w:p>
            <w:pPr>
              <w:pStyle w:val="TableParagraph"/>
              <w:spacing w:before="2"/>
              <w:ind w:right="68"/>
              <w:rPr>
                <w:sz w:val="19"/>
              </w:rPr>
            </w:pPr>
            <w:r>
              <w:rPr>
                <w:sz w:val="19"/>
              </w:rPr>
              <w:t>41.8</w:t>
            </w:r>
          </w:p>
        </w:tc>
      </w:tr>
      <w:tr>
        <w:trPr>
          <w:trHeight w:val="240" w:hRule="exact"/>
        </w:trPr>
        <w:tc>
          <w:tcPr>
            <w:tcW w:w="1813" w:type="dxa"/>
          </w:tcPr>
          <w:p>
            <w:pPr>
              <w:pStyle w:val="TableParagraph"/>
              <w:tabs>
                <w:tab w:pos="1055" w:val="left" w:leader="none"/>
              </w:tabs>
              <w:spacing w:before="2"/>
              <w:ind w:left="72"/>
              <w:jc w:val="left"/>
              <w:rPr>
                <w:sz w:val="19"/>
              </w:rPr>
            </w:pPr>
            <w:r>
              <w:rPr>
                <w:w w:val="105"/>
                <w:sz w:val="19"/>
              </w:rPr>
              <w:t>2008</w:t>
              <w:tab/>
              <w:t>100.0</w:t>
            </w:r>
          </w:p>
        </w:tc>
        <w:tc>
          <w:tcPr>
            <w:tcW w:w="1197" w:type="dxa"/>
          </w:tcPr>
          <w:p>
            <w:pPr>
              <w:pStyle w:val="TableParagraph"/>
              <w:spacing w:before="2"/>
              <w:ind w:right="228"/>
              <w:rPr>
                <w:sz w:val="19"/>
              </w:rPr>
            </w:pPr>
            <w:r>
              <w:rPr>
                <w:sz w:val="19"/>
              </w:rPr>
              <w:t>59.2</w:t>
            </w:r>
          </w:p>
        </w:tc>
        <w:tc>
          <w:tcPr>
            <w:tcW w:w="1141" w:type="dxa"/>
          </w:tcPr>
          <w:p>
            <w:pPr>
              <w:pStyle w:val="TableParagraph"/>
              <w:spacing w:before="2"/>
              <w:ind w:right="232"/>
              <w:rPr>
                <w:sz w:val="19"/>
              </w:rPr>
            </w:pPr>
            <w:r>
              <w:rPr>
                <w:sz w:val="19"/>
              </w:rPr>
              <w:t>36.2</w:t>
            </w:r>
          </w:p>
        </w:tc>
        <w:tc>
          <w:tcPr>
            <w:tcW w:w="1123" w:type="dxa"/>
          </w:tcPr>
          <w:p>
            <w:pPr>
              <w:pStyle w:val="TableParagraph"/>
              <w:spacing w:before="2"/>
              <w:ind w:right="223"/>
              <w:rPr>
                <w:sz w:val="19"/>
              </w:rPr>
            </w:pPr>
            <w:r>
              <w:rPr>
                <w:sz w:val="19"/>
              </w:rPr>
              <w:t>22.9</w:t>
            </w:r>
          </w:p>
        </w:tc>
        <w:tc>
          <w:tcPr>
            <w:tcW w:w="1120" w:type="dxa"/>
          </w:tcPr>
          <w:p>
            <w:pPr>
              <w:pStyle w:val="TableParagraph"/>
              <w:spacing w:before="2"/>
              <w:ind w:right="68"/>
              <w:rPr>
                <w:sz w:val="19"/>
              </w:rPr>
            </w:pPr>
            <w:r>
              <w:rPr>
                <w:sz w:val="19"/>
              </w:rPr>
              <w:t>40.8</w:t>
            </w:r>
          </w:p>
        </w:tc>
      </w:tr>
      <w:tr>
        <w:trPr>
          <w:trHeight w:val="240" w:hRule="exact"/>
        </w:trPr>
        <w:tc>
          <w:tcPr>
            <w:tcW w:w="1813" w:type="dxa"/>
          </w:tcPr>
          <w:p>
            <w:pPr>
              <w:pStyle w:val="TableParagraph"/>
              <w:tabs>
                <w:tab w:pos="1055" w:val="left" w:leader="none"/>
              </w:tabs>
              <w:spacing w:before="2"/>
              <w:ind w:left="72"/>
              <w:jc w:val="left"/>
              <w:rPr>
                <w:sz w:val="19"/>
              </w:rPr>
            </w:pPr>
            <w:r>
              <w:rPr>
                <w:w w:val="105"/>
                <w:sz w:val="19"/>
              </w:rPr>
              <w:t>2009</w:t>
              <w:tab/>
              <w:t>100.0</w:t>
            </w:r>
          </w:p>
        </w:tc>
        <w:tc>
          <w:tcPr>
            <w:tcW w:w="1197" w:type="dxa"/>
          </w:tcPr>
          <w:p>
            <w:pPr>
              <w:pStyle w:val="TableParagraph"/>
              <w:spacing w:before="2"/>
              <w:ind w:right="228"/>
              <w:rPr>
                <w:sz w:val="19"/>
              </w:rPr>
            </w:pPr>
            <w:r>
              <w:rPr>
                <w:sz w:val="19"/>
              </w:rPr>
              <w:t>58.8</w:t>
            </w:r>
          </w:p>
        </w:tc>
        <w:tc>
          <w:tcPr>
            <w:tcW w:w="1141" w:type="dxa"/>
          </w:tcPr>
          <w:p>
            <w:pPr>
              <w:pStyle w:val="TableParagraph"/>
              <w:spacing w:before="2"/>
              <w:ind w:right="232"/>
              <w:rPr>
                <w:sz w:val="19"/>
              </w:rPr>
            </w:pPr>
            <w:r>
              <w:rPr>
                <w:sz w:val="19"/>
              </w:rPr>
              <w:t>36.4</w:t>
            </w:r>
          </w:p>
        </w:tc>
        <w:tc>
          <w:tcPr>
            <w:tcW w:w="1123" w:type="dxa"/>
          </w:tcPr>
          <w:p>
            <w:pPr>
              <w:pStyle w:val="TableParagraph"/>
              <w:spacing w:before="2"/>
              <w:ind w:right="223"/>
              <w:rPr>
                <w:sz w:val="19"/>
              </w:rPr>
            </w:pPr>
            <w:r>
              <w:rPr>
                <w:sz w:val="19"/>
              </w:rPr>
              <w:t>22.3</w:t>
            </w:r>
          </w:p>
        </w:tc>
        <w:tc>
          <w:tcPr>
            <w:tcW w:w="1120" w:type="dxa"/>
          </w:tcPr>
          <w:p>
            <w:pPr>
              <w:pStyle w:val="TableParagraph"/>
              <w:spacing w:before="2"/>
              <w:ind w:right="68"/>
              <w:rPr>
                <w:sz w:val="19"/>
              </w:rPr>
            </w:pPr>
            <w:r>
              <w:rPr>
                <w:sz w:val="19"/>
              </w:rPr>
              <w:t>41.2</w:t>
            </w:r>
          </w:p>
        </w:tc>
      </w:tr>
      <w:tr>
        <w:trPr>
          <w:trHeight w:val="242" w:hRule="exact"/>
        </w:trPr>
        <w:tc>
          <w:tcPr>
            <w:tcW w:w="1813" w:type="dxa"/>
            <w:tcBorders>
              <w:bottom w:val="double" w:sz="4" w:space="0" w:color="000000"/>
            </w:tcBorders>
          </w:tcPr>
          <w:p>
            <w:pPr>
              <w:pStyle w:val="TableParagraph"/>
              <w:tabs>
                <w:tab w:pos="1055" w:val="left" w:leader="none"/>
              </w:tabs>
              <w:spacing w:before="2"/>
              <w:ind w:left="72"/>
              <w:jc w:val="left"/>
              <w:rPr>
                <w:sz w:val="19"/>
              </w:rPr>
            </w:pPr>
            <w:r>
              <w:rPr>
                <w:w w:val="105"/>
                <w:sz w:val="19"/>
              </w:rPr>
              <w:t>2010</w:t>
              <w:tab/>
              <w:t>100.0</w:t>
            </w:r>
          </w:p>
        </w:tc>
        <w:tc>
          <w:tcPr>
            <w:tcW w:w="1197" w:type="dxa"/>
            <w:tcBorders>
              <w:bottom w:val="double" w:sz="4" w:space="0" w:color="000000"/>
            </w:tcBorders>
          </w:tcPr>
          <w:p>
            <w:pPr>
              <w:pStyle w:val="TableParagraph"/>
              <w:spacing w:before="2"/>
              <w:ind w:right="228"/>
              <w:rPr>
                <w:sz w:val="19"/>
              </w:rPr>
            </w:pPr>
            <w:r>
              <w:rPr>
                <w:sz w:val="19"/>
              </w:rPr>
              <w:t>60.0</w:t>
            </w:r>
          </w:p>
        </w:tc>
        <w:tc>
          <w:tcPr>
            <w:tcW w:w="1141" w:type="dxa"/>
            <w:tcBorders>
              <w:bottom w:val="double" w:sz="4" w:space="0" w:color="000000"/>
            </w:tcBorders>
          </w:tcPr>
          <w:p>
            <w:pPr>
              <w:pStyle w:val="TableParagraph"/>
              <w:spacing w:before="2"/>
              <w:ind w:right="232"/>
              <w:rPr>
                <w:sz w:val="19"/>
              </w:rPr>
            </w:pPr>
            <w:r>
              <w:rPr>
                <w:sz w:val="19"/>
              </w:rPr>
              <w:t>20.9</w:t>
            </w:r>
          </w:p>
        </w:tc>
        <w:tc>
          <w:tcPr>
            <w:tcW w:w="1123" w:type="dxa"/>
            <w:tcBorders>
              <w:bottom w:val="double" w:sz="4" w:space="0" w:color="000000"/>
            </w:tcBorders>
          </w:tcPr>
          <w:p>
            <w:pPr>
              <w:pStyle w:val="TableParagraph"/>
              <w:spacing w:before="2"/>
              <w:ind w:right="223"/>
              <w:rPr>
                <w:sz w:val="19"/>
              </w:rPr>
            </w:pPr>
            <w:r>
              <w:rPr>
                <w:sz w:val="19"/>
              </w:rPr>
              <w:t>39.1</w:t>
            </w:r>
          </w:p>
        </w:tc>
        <w:tc>
          <w:tcPr>
            <w:tcW w:w="1120" w:type="dxa"/>
            <w:tcBorders>
              <w:bottom w:val="double" w:sz="4" w:space="0" w:color="000000"/>
            </w:tcBorders>
          </w:tcPr>
          <w:p>
            <w:pPr>
              <w:pStyle w:val="TableParagraph"/>
              <w:spacing w:before="2"/>
              <w:ind w:right="68"/>
              <w:rPr>
                <w:sz w:val="19"/>
              </w:rPr>
            </w:pPr>
            <w:r>
              <w:rPr>
                <w:sz w:val="19"/>
              </w:rPr>
              <w:t>40.0</w:t>
            </w:r>
          </w:p>
        </w:tc>
      </w:tr>
    </w:tbl>
    <w:p>
      <w:pPr>
        <w:spacing w:line="237" w:lineRule="auto" w:before="0"/>
        <w:ind w:left="327" w:right="2103" w:firstLine="0"/>
        <w:jc w:val="left"/>
        <w:rPr>
          <w:sz w:val="16"/>
        </w:rPr>
      </w:pPr>
      <w:r>
        <w:rPr>
          <w:sz w:val="16"/>
        </w:rPr>
        <w:t>* Importante: sólo se consideran los hogares que declaran ingresos. Fuente: encuestas de mayo 2001-2010, INE.</w:t>
      </w:r>
    </w:p>
    <w:p>
      <w:pPr>
        <w:pStyle w:val="BodyText"/>
        <w:spacing w:before="9"/>
        <w:rPr>
          <w:sz w:val="11"/>
        </w:rPr>
      </w:pPr>
    </w:p>
    <w:p>
      <w:pPr>
        <w:spacing w:before="71"/>
        <w:ind w:left="117" w:right="0" w:firstLine="0"/>
        <w:jc w:val="both"/>
        <w:rPr>
          <w:i/>
          <w:sz w:val="22"/>
        </w:rPr>
      </w:pPr>
      <w:r>
        <w:rPr>
          <w:i/>
          <w:color w:val="231F20"/>
          <w:sz w:val="22"/>
        </w:rPr>
        <w:t>Problemas de empleo</w:t>
      </w:r>
    </w:p>
    <w:p>
      <w:pPr>
        <w:pStyle w:val="BodyText"/>
        <w:spacing w:line="247" w:lineRule="auto" w:before="177"/>
        <w:ind w:left="117" w:right="114"/>
        <w:jc w:val="both"/>
      </w:pPr>
      <w:r>
        <w:rPr>
          <w:color w:val="231F20"/>
        </w:rPr>
        <w:t>En relación con el empleo, Honduras es uno de los pocos países latinoa- mericanos en los cuales todavía más de la mitad de los ocupados están en el sector rural, mayoritariamente en actividades agropecuarias, que es el principal sector generador de empleo y donde se encuentran los ingresos más bajos. Pero los empleos rurales no agrícolas también son importantes y durante la década pasada, la creación de empleos fue mayor en áreas rurales</w:t>
      </w:r>
      <w:r>
        <w:rPr>
          <w:color w:val="231F20"/>
          <w:spacing w:val="-7"/>
        </w:rPr>
        <w:t> </w:t>
      </w:r>
      <w:r>
        <w:rPr>
          <w:color w:val="231F20"/>
        </w:rPr>
        <w:t>que</w:t>
      </w:r>
      <w:r>
        <w:rPr>
          <w:color w:val="231F20"/>
          <w:spacing w:val="-7"/>
        </w:rPr>
        <w:t> </w:t>
      </w:r>
      <w:r>
        <w:rPr>
          <w:color w:val="231F20"/>
        </w:rPr>
        <w:t>urbanas,</w:t>
      </w:r>
      <w:r>
        <w:rPr>
          <w:color w:val="231F20"/>
          <w:spacing w:val="-7"/>
        </w:rPr>
        <w:t> </w:t>
      </w:r>
      <w:r>
        <w:rPr>
          <w:color w:val="231F20"/>
        </w:rPr>
        <w:t>con</w:t>
      </w:r>
      <w:r>
        <w:rPr>
          <w:color w:val="231F20"/>
          <w:spacing w:val="-7"/>
        </w:rPr>
        <w:t> </w:t>
      </w:r>
      <w:r>
        <w:rPr>
          <w:color w:val="231F20"/>
        </w:rPr>
        <w:t>un</w:t>
      </w:r>
      <w:r>
        <w:rPr>
          <w:color w:val="231F20"/>
          <w:spacing w:val="-7"/>
        </w:rPr>
        <w:t> </w:t>
      </w:r>
      <w:r>
        <w:rPr>
          <w:color w:val="231F20"/>
        </w:rPr>
        <w:t>aumento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participación</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mujeres,</w:t>
      </w:r>
      <w:r>
        <w:rPr>
          <w:color w:val="231F20"/>
          <w:spacing w:val="-7"/>
        </w:rPr>
        <w:t> </w:t>
      </w:r>
      <w:r>
        <w:rPr>
          <w:color w:val="231F20"/>
        </w:rPr>
        <w:t>ac- tividades donde los ingresos son mayores. La estructura ocupacional está definida</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trabajo</w:t>
      </w:r>
      <w:r>
        <w:rPr>
          <w:color w:val="231F20"/>
          <w:spacing w:val="-6"/>
        </w:rPr>
        <w:t> </w:t>
      </w:r>
      <w:r>
        <w:rPr>
          <w:color w:val="231F20"/>
        </w:rPr>
        <w:t>por</w:t>
      </w:r>
      <w:r>
        <w:rPr>
          <w:color w:val="231F20"/>
          <w:spacing w:val="-6"/>
        </w:rPr>
        <w:t> </w:t>
      </w:r>
      <w:r>
        <w:rPr>
          <w:color w:val="231F20"/>
        </w:rPr>
        <w:t>cuenta</w:t>
      </w:r>
      <w:r>
        <w:rPr>
          <w:color w:val="231F20"/>
          <w:spacing w:val="-6"/>
        </w:rPr>
        <w:t> </w:t>
      </w:r>
      <w:r>
        <w:rPr>
          <w:color w:val="231F20"/>
        </w:rPr>
        <w:t>propia,</w:t>
      </w:r>
      <w:r>
        <w:rPr>
          <w:color w:val="231F20"/>
          <w:spacing w:val="-6"/>
        </w:rPr>
        <w:t> </w:t>
      </w:r>
      <w:r>
        <w:rPr>
          <w:color w:val="231F20"/>
        </w:rPr>
        <w:t>ayudado</w:t>
      </w:r>
      <w:r>
        <w:rPr>
          <w:color w:val="231F20"/>
          <w:spacing w:val="-6"/>
        </w:rPr>
        <w:t> </w:t>
      </w:r>
      <w:r>
        <w:rPr>
          <w:color w:val="231F20"/>
        </w:rPr>
        <w:t>por</w:t>
      </w:r>
      <w:r>
        <w:rPr>
          <w:color w:val="231F20"/>
          <w:spacing w:val="-6"/>
        </w:rPr>
        <w:t> </w:t>
      </w:r>
      <w:r>
        <w:rPr>
          <w:color w:val="231F20"/>
        </w:rPr>
        <w:t>familiares</w:t>
      </w:r>
      <w:r>
        <w:rPr>
          <w:color w:val="231F20"/>
          <w:spacing w:val="-6"/>
        </w:rPr>
        <w:t> </w:t>
      </w:r>
      <w:r>
        <w:rPr>
          <w:color w:val="231F20"/>
        </w:rPr>
        <w:t>sin</w:t>
      </w:r>
      <w:r>
        <w:rPr>
          <w:color w:val="231F20"/>
          <w:spacing w:val="-6"/>
        </w:rPr>
        <w:t> </w:t>
      </w:r>
      <w:r>
        <w:rPr>
          <w:color w:val="231F20"/>
        </w:rPr>
        <w:t>remu- neración, que constituyen más de la mitad de los ocupados (Klein,</w:t>
      </w:r>
      <w:r>
        <w:rPr>
          <w:color w:val="231F20"/>
          <w:spacing w:val="-13"/>
        </w:rPr>
        <w:t> </w:t>
      </w:r>
      <w:r>
        <w:rPr>
          <w:color w:val="231F20"/>
        </w:rPr>
        <w:t>2011).</w:t>
      </w:r>
    </w:p>
    <w:p>
      <w:pPr>
        <w:spacing w:after="0" w:line="247" w:lineRule="auto"/>
        <w:jc w:val="both"/>
        <w:sectPr>
          <w:footerReference w:type="default" r:id="rId96"/>
          <w:pgSz w:w="9360" w:h="13040"/>
          <w:pgMar w:footer="496" w:header="0" w:top="800" w:bottom="680" w:left="1300" w:right="1300"/>
          <w:pgNumType w:start="102"/>
        </w:sectPr>
      </w:pPr>
    </w:p>
    <w:p>
      <w:pPr>
        <w:spacing w:before="45"/>
        <w:ind w:left="744" w:right="117" w:firstLine="0"/>
        <w:jc w:val="left"/>
        <w:rPr>
          <w:rFonts w:ascii="Arial" w:hAnsi="Arial"/>
          <w:sz w:val="20"/>
        </w:rPr>
      </w:pPr>
      <w:r>
        <w:rPr>
          <w:rFonts w:ascii="Arial" w:hAnsi="Arial"/>
          <w:color w:val="231F20"/>
          <w:w w:val="65"/>
          <w:sz w:val="20"/>
        </w:rPr>
        <w:t>Factores contextuales de la migración internacional de    Honduras /Manuel Antonio Flores-Fonseca</w:t>
      </w:r>
    </w:p>
    <w:p>
      <w:pPr>
        <w:pStyle w:val="BodyText"/>
        <w:spacing w:before="7"/>
        <w:rPr>
          <w:rFonts w:ascii="Arial"/>
          <w:sz w:val="26"/>
        </w:rPr>
      </w:pPr>
    </w:p>
    <w:p>
      <w:pPr>
        <w:spacing w:line="252" w:lineRule="auto" w:before="81"/>
        <w:ind w:left="454" w:right="250" w:firstLine="0"/>
        <w:jc w:val="left"/>
        <w:rPr>
          <w:sz w:val="19"/>
        </w:rPr>
      </w:pPr>
      <w:r>
        <w:rPr>
          <w:w w:val="105"/>
          <w:sz w:val="19"/>
        </w:rPr>
        <w:t>Cuadro 1. Honduras: pobreza por hogares por área de residencia según año, 2001-2010 (continuación)</w:t>
      </w:r>
    </w:p>
    <w:p>
      <w:pPr>
        <w:pStyle w:val="BodyText"/>
        <w:spacing w:line="20" w:lineRule="exact"/>
        <w:ind w:left="377"/>
        <w:rPr>
          <w:sz w:val="2"/>
        </w:rPr>
      </w:pPr>
      <w:r>
        <w:rPr>
          <w:sz w:val="2"/>
        </w:rPr>
        <w:pict>
          <v:group style="width:313pt;height:.5pt;mso-position-horizontal-relative:char;mso-position-vertical-relative:line" coordorigin="0,0" coordsize="6260,10">
            <v:line style="position:absolute" from="5,5" to="586,5" stroked="true" strokeweight=".48pt" strokecolor="#000000"/>
            <v:line style="position:absolute" from="586,5" to="595,5" stroked="true" strokeweight=".48pt" strokecolor="#000000"/>
            <v:line style="position:absolute" from="595,5" to="6255,5" stroked="true" strokeweight=".48pt" strokecolor="#000000"/>
          </v:group>
        </w:pict>
      </w:r>
      <w:r>
        <w:rPr>
          <w:sz w:val="2"/>
        </w:rPr>
      </w:r>
    </w:p>
    <w:p>
      <w:pPr>
        <w:spacing w:before="0" w:after="37"/>
        <w:ind w:left="2792" w:right="117" w:firstLine="0"/>
        <w:jc w:val="left"/>
        <w:rPr>
          <w:sz w:val="19"/>
        </w:rPr>
      </w:pPr>
      <w:r>
        <w:rPr>
          <w:w w:val="105"/>
          <w:sz w:val="19"/>
        </w:rPr>
        <w:t>Índice de pobreza urbana</w:t>
      </w:r>
    </w:p>
    <w:tbl>
      <w:tblPr>
        <w:tblW w:w="0" w:type="auto"/>
        <w:jc w:val="left"/>
        <w:tblInd w:w="38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48"/>
        <w:gridCol w:w="1120"/>
        <w:gridCol w:w="1138"/>
        <w:gridCol w:w="1125"/>
        <w:gridCol w:w="1118"/>
      </w:tblGrid>
      <w:tr>
        <w:trPr>
          <w:trHeight w:val="224" w:hRule="exact"/>
        </w:trPr>
        <w:tc>
          <w:tcPr>
            <w:tcW w:w="1748" w:type="dxa"/>
            <w:tcBorders>
              <w:bottom w:val="double" w:sz="4" w:space="0" w:color="000000"/>
            </w:tcBorders>
          </w:tcPr>
          <w:p>
            <w:pPr>
              <w:pStyle w:val="TableParagraph"/>
              <w:tabs>
                <w:tab w:pos="1083" w:val="left" w:leader="none"/>
              </w:tabs>
              <w:spacing w:line="203" w:lineRule="exact"/>
              <w:ind w:left="121"/>
              <w:jc w:val="left"/>
              <w:rPr>
                <w:sz w:val="19"/>
              </w:rPr>
            </w:pPr>
            <w:r>
              <w:rPr>
                <w:w w:val="105"/>
                <w:sz w:val="19"/>
              </w:rPr>
              <w:t>Año</w:t>
              <w:tab/>
              <w:t>Total</w:t>
            </w:r>
          </w:p>
        </w:tc>
        <w:tc>
          <w:tcPr>
            <w:tcW w:w="1120" w:type="dxa"/>
            <w:tcBorders>
              <w:bottom w:val="double" w:sz="4" w:space="0" w:color="000000"/>
            </w:tcBorders>
          </w:tcPr>
          <w:p>
            <w:pPr>
              <w:pStyle w:val="TableParagraph"/>
              <w:spacing w:line="203" w:lineRule="exact"/>
              <w:ind w:right="227"/>
              <w:rPr>
                <w:sz w:val="19"/>
              </w:rPr>
            </w:pPr>
            <w:r>
              <w:rPr>
                <w:sz w:val="19"/>
              </w:rPr>
              <w:t>Pobres</w:t>
            </w:r>
          </w:p>
        </w:tc>
        <w:tc>
          <w:tcPr>
            <w:tcW w:w="1138" w:type="dxa"/>
            <w:tcBorders>
              <w:bottom w:val="double" w:sz="4" w:space="0" w:color="000000"/>
            </w:tcBorders>
          </w:tcPr>
          <w:p>
            <w:pPr>
              <w:pStyle w:val="TableParagraph"/>
              <w:spacing w:line="203" w:lineRule="exact"/>
              <w:ind w:right="232"/>
              <w:rPr>
                <w:sz w:val="19"/>
              </w:rPr>
            </w:pPr>
            <w:r>
              <w:rPr>
                <w:sz w:val="19"/>
              </w:rPr>
              <w:t>Extrema</w:t>
            </w:r>
          </w:p>
        </w:tc>
        <w:tc>
          <w:tcPr>
            <w:tcW w:w="1125" w:type="dxa"/>
            <w:tcBorders>
              <w:bottom w:val="double" w:sz="4" w:space="0" w:color="000000"/>
            </w:tcBorders>
          </w:tcPr>
          <w:p>
            <w:pPr>
              <w:pStyle w:val="TableParagraph"/>
              <w:spacing w:line="203" w:lineRule="exact"/>
              <w:ind w:right="225"/>
              <w:rPr>
                <w:sz w:val="19"/>
              </w:rPr>
            </w:pPr>
            <w:r>
              <w:rPr>
                <w:sz w:val="19"/>
              </w:rPr>
              <w:t>Relativa</w:t>
            </w:r>
          </w:p>
        </w:tc>
        <w:tc>
          <w:tcPr>
            <w:tcW w:w="1118" w:type="dxa"/>
            <w:tcBorders>
              <w:bottom w:val="double" w:sz="4" w:space="0" w:color="000000"/>
            </w:tcBorders>
          </w:tcPr>
          <w:p>
            <w:pPr>
              <w:pStyle w:val="TableParagraph"/>
              <w:spacing w:line="203" w:lineRule="exact"/>
              <w:ind w:right="64"/>
              <w:rPr>
                <w:sz w:val="19"/>
              </w:rPr>
            </w:pPr>
            <w:r>
              <w:rPr>
                <w:w w:val="105"/>
                <w:sz w:val="19"/>
              </w:rPr>
              <w:t>No pobres</w:t>
            </w:r>
          </w:p>
        </w:tc>
      </w:tr>
      <w:tr>
        <w:trPr>
          <w:trHeight w:val="266" w:hRule="exact"/>
        </w:trPr>
        <w:tc>
          <w:tcPr>
            <w:tcW w:w="1748" w:type="dxa"/>
            <w:tcBorders>
              <w:top w:val="double" w:sz="4" w:space="0" w:color="000000"/>
            </w:tcBorders>
          </w:tcPr>
          <w:p>
            <w:pPr>
              <w:pStyle w:val="TableParagraph"/>
              <w:tabs>
                <w:tab w:pos="855" w:val="left" w:leader="none"/>
              </w:tabs>
              <w:spacing w:before="14"/>
              <w:ind w:left="72"/>
              <w:jc w:val="left"/>
              <w:rPr>
                <w:sz w:val="19"/>
              </w:rPr>
            </w:pPr>
            <w:r>
              <w:rPr>
                <w:w w:val="105"/>
                <w:sz w:val="19"/>
              </w:rPr>
              <w:t>2001</w:t>
              <w:tab/>
              <w:t>612</w:t>
            </w:r>
            <w:r>
              <w:rPr>
                <w:spacing w:val="-2"/>
                <w:w w:val="105"/>
                <w:sz w:val="19"/>
              </w:rPr>
              <w:t> </w:t>
            </w:r>
            <w:r>
              <w:rPr>
                <w:w w:val="105"/>
                <w:sz w:val="19"/>
              </w:rPr>
              <w:t>398</w:t>
            </w:r>
          </w:p>
        </w:tc>
        <w:tc>
          <w:tcPr>
            <w:tcW w:w="1120" w:type="dxa"/>
            <w:tcBorders>
              <w:top w:val="double" w:sz="4" w:space="0" w:color="000000"/>
            </w:tcBorders>
          </w:tcPr>
          <w:p>
            <w:pPr>
              <w:pStyle w:val="TableParagraph"/>
              <w:spacing w:before="14"/>
              <w:ind w:right="225"/>
              <w:rPr>
                <w:sz w:val="19"/>
              </w:rPr>
            </w:pPr>
            <w:r>
              <w:rPr>
                <w:w w:val="105"/>
                <w:sz w:val="19"/>
              </w:rPr>
              <w:t>342 357</w:t>
            </w:r>
          </w:p>
        </w:tc>
        <w:tc>
          <w:tcPr>
            <w:tcW w:w="1138" w:type="dxa"/>
            <w:tcBorders>
              <w:top w:val="double" w:sz="4" w:space="0" w:color="000000"/>
            </w:tcBorders>
          </w:tcPr>
          <w:p>
            <w:pPr>
              <w:pStyle w:val="TableParagraph"/>
              <w:spacing w:before="14"/>
              <w:ind w:right="231"/>
              <w:rPr>
                <w:sz w:val="19"/>
              </w:rPr>
            </w:pPr>
            <w:r>
              <w:rPr>
                <w:w w:val="105"/>
                <w:sz w:val="19"/>
              </w:rPr>
              <w:t>162 535</w:t>
            </w:r>
          </w:p>
        </w:tc>
        <w:tc>
          <w:tcPr>
            <w:tcW w:w="1125" w:type="dxa"/>
            <w:tcBorders>
              <w:top w:val="double" w:sz="4" w:space="0" w:color="000000"/>
            </w:tcBorders>
          </w:tcPr>
          <w:p>
            <w:pPr>
              <w:pStyle w:val="TableParagraph"/>
              <w:spacing w:before="14"/>
              <w:ind w:right="223"/>
              <w:rPr>
                <w:sz w:val="19"/>
              </w:rPr>
            </w:pPr>
            <w:r>
              <w:rPr>
                <w:w w:val="105"/>
                <w:sz w:val="19"/>
              </w:rPr>
              <w:t>179 822</w:t>
            </w:r>
          </w:p>
        </w:tc>
        <w:tc>
          <w:tcPr>
            <w:tcW w:w="1118" w:type="dxa"/>
            <w:tcBorders>
              <w:top w:val="double" w:sz="4" w:space="0" w:color="000000"/>
            </w:tcBorders>
          </w:tcPr>
          <w:p>
            <w:pPr>
              <w:pStyle w:val="TableParagraph"/>
              <w:spacing w:before="14"/>
              <w:ind w:right="63"/>
              <w:rPr>
                <w:sz w:val="19"/>
              </w:rPr>
            </w:pPr>
            <w:r>
              <w:rPr>
                <w:w w:val="105"/>
                <w:sz w:val="19"/>
              </w:rPr>
              <w:t>270 041</w:t>
            </w:r>
          </w:p>
        </w:tc>
      </w:tr>
      <w:tr>
        <w:trPr>
          <w:trHeight w:val="240" w:hRule="exact"/>
        </w:trPr>
        <w:tc>
          <w:tcPr>
            <w:tcW w:w="1748" w:type="dxa"/>
          </w:tcPr>
          <w:p>
            <w:pPr>
              <w:pStyle w:val="TableParagraph"/>
              <w:tabs>
                <w:tab w:pos="855" w:val="left" w:leader="none"/>
              </w:tabs>
              <w:spacing w:before="2"/>
              <w:ind w:left="72"/>
              <w:jc w:val="left"/>
              <w:rPr>
                <w:sz w:val="19"/>
              </w:rPr>
            </w:pPr>
            <w:r>
              <w:rPr>
                <w:w w:val="105"/>
                <w:sz w:val="19"/>
              </w:rPr>
              <w:t>2002</w:t>
              <w:tab/>
              <w:t>646</w:t>
            </w:r>
            <w:r>
              <w:rPr>
                <w:spacing w:val="-2"/>
                <w:w w:val="105"/>
                <w:sz w:val="19"/>
              </w:rPr>
              <w:t> </w:t>
            </w:r>
            <w:r>
              <w:rPr>
                <w:w w:val="105"/>
                <w:sz w:val="19"/>
              </w:rPr>
              <w:t>709</w:t>
            </w:r>
          </w:p>
        </w:tc>
        <w:tc>
          <w:tcPr>
            <w:tcW w:w="1120" w:type="dxa"/>
          </w:tcPr>
          <w:p>
            <w:pPr>
              <w:pStyle w:val="TableParagraph"/>
              <w:spacing w:before="2"/>
              <w:ind w:right="225"/>
              <w:rPr>
                <w:sz w:val="19"/>
              </w:rPr>
            </w:pPr>
            <w:r>
              <w:rPr>
                <w:w w:val="105"/>
                <w:sz w:val="19"/>
              </w:rPr>
              <w:t>375 116</w:t>
            </w:r>
          </w:p>
        </w:tc>
        <w:tc>
          <w:tcPr>
            <w:tcW w:w="1138" w:type="dxa"/>
          </w:tcPr>
          <w:p>
            <w:pPr>
              <w:pStyle w:val="TableParagraph"/>
              <w:spacing w:before="2"/>
              <w:ind w:right="231"/>
              <w:rPr>
                <w:sz w:val="19"/>
              </w:rPr>
            </w:pPr>
            <w:r>
              <w:rPr>
                <w:w w:val="105"/>
                <w:sz w:val="19"/>
              </w:rPr>
              <w:t>186 289</w:t>
            </w:r>
          </w:p>
        </w:tc>
        <w:tc>
          <w:tcPr>
            <w:tcW w:w="1125" w:type="dxa"/>
          </w:tcPr>
          <w:p>
            <w:pPr>
              <w:pStyle w:val="TableParagraph"/>
              <w:spacing w:before="2"/>
              <w:ind w:right="223"/>
              <w:rPr>
                <w:sz w:val="19"/>
              </w:rPr>
            </w:pPr>
            <w:r>
              <w:rPr>
                <w:w w:val="105"/>
                <w:sz w:val="19"/>
              </w:rPr>
              <w:t>188 827</w:t>
            </w:r>
          </w:p>
        </w:tc>
        <w:tc>
          <w:tcPr>
            <w:tcW w:w="1118" w:type="dxa"/>
          </w:tcPr>
          <w:p>
            <w:pPr>
              <w:pStyle w:val="TableParagraph"/>
              <w:spacing w:before="2"/>
              <w:ind w:right="63"/>
              <w:rPr>
                <w:sz w:val="19"/>
              </w:rPr>
            </w:pPr>
            <w:r>
              <w:rPr>
                <w:w w:val="105"/>
                <w:sz w:val="19"/>
              </w:rPr>
              <w:t>271 593</w:t>
            </w:r>
          </w:p>
        </w:tc>
      </w:tr>
      <w:tr>
        <w:trPr>
          <w:trHeight w:val="240" w:hRule="exact"/>
        </w:trPr>
        <w:tc>
          <w:tcPr>
            <w:tcW w:w="1748" w:type="dxa"/>
          </w:tcPr>
          <w:p>
            <w:pPr>
              <w:pStyle w:val="TableParagraph"/>
              <w:tabs>
                <w:tab w:pos="855" w:val="left" w:leader="none"/>
              </w:tabs>
              <w:spacing w:before="2"/>
              <w:ind w:left="72"/>
              <w:jc w:val="left"/>
              <w:rPr>
                <w:sz w:val="19"/>
              </w:rPr>
            </w:pPr>
            <w:r>
              <w:rPr>
                <w:w w:val="105"/>
                <w:sz w:val="19"/>
              </w:rPr>
              <w:t>2003</w:t>
              <w:tab/>
              <w:t>663</w:t>
            </w:r>
            <w:r>
              <w:rPr>
                <w:spacing w:val="-2"/>
                <w:w w:val="105"/>
                <w:sz w:val="19"/>
              </w:rPr>
              <w:t> </w:t>
            </w:r>
            <w:r>
              <w:rPr>
                <w:w w:val="105"/>
                <w:sz w:val="19"/>
              </w:rPr>
              <w:t>881</w:t>
            </w:r>
          </w:p>
        </w:tc>
        <w:tc>
          <w:tcPr>
            <w:tcW w:w="1120" w:type="dxa"/>
          </w:tcPr>
          <w:p>
            <w:pPr>
              <w:pStyle w:val="TableParagraph"/>
              <w:spacing w:before="2"/>
              <w:ind w:right="225"/>
              <w:rPr>
                <w:sz w:val="19"/>
              </w:rPr>
            </w:pPr>
            <w:r>
              <w:rPr>
                <w:w w:val="105"/>
                <w:sz w:val="19"/>
              </w:rPr>
              <w:t>381 560</w:t>
            </w:r>
          </w:p>
        </w:tc>
        <w:tc>
          <w:tcPr>
            <w:tcW w:w="1138" w:type="dxa"/>
          </w:tcPr>
          <w:p>
            <w:pPr>
              <w:pStyle w:val="TableParagraph"/>
              <w:spacing w:before="2"/>
              <w:ind w:right="231"/>
              <w:rPr>
                <w:sz w:val="19"/>
              </w:rPr>
            </w:pPr>
            <w:r>
              <w:rPr>
                <w:w w:val="105"/>
                <w:sz w:val="19"/>
              </w:rPr>
              <w:t>198 966</w:t>
            </w:r>
          </w:p>
        </w:tc>
        <w:tc>
          <w:tcPr>
            <w:tcW w:w="1125" w:type="dxa"/>
          </w:tcPr>
          <w:p>
            <w:pPr>
              <w:pStyle w:val="TableParagraph"/>
              <w:spacing w:before="2"/>
              <w:ind w:right="223"/>
              <w:rPr>
                <w:sz w:val="19"/>
              </w:rPr>
            </w:pPr>
            <w:r>
              <w:rPr>
                <w:w w:val="105"/>
                <w:sz w:val="19"/>
              </w:rPr>
              <w:t>182 593</w:t>
            </w:r>
          </w:p>
        </w:tc>
        <w:tc>
          <w:tcPr>
            <w:tcW w:w="1118" w:type="dxa"/>
          </w:tcPr>
          <w:p>
            <w:pPr>
              <w:pStyle w:val="TableParagraph"/>
              <w:spacing w:before="2"/>
              <w:ind w:right="63"/>
              <w:rPr>
                <w:sz w:val="19"/>
              </w:rPr>
            </w:pPr>
            <w:r>
              <w:rPr>
                <w:w w:val="105"/>
                <w:sz w:val="19"/>
              </w:rPr>
              <w:t>282 322</w:t>
            </w:r>
          </w:p>
        </w:tc>
      </w:tr>
      <w:tr>
        <w:trPr>
          <w:trHeight w:val="240" w:hRule="exact"/>
        </w:trPr>
        <w:tc>
          <w:tcPr>
            <w:tcW w:w="1748" w:type="dxa"/>
          </w:tcPr>
          <w:p>
            <w:pPr>
              <w:pStyle w:val="TableParagraph"/>
              <w:tabs>
                <w:tab w:pos="855" w:val="left" w:leader="none"/>
              </w:tabs>
              <w:spacing w:before="2"/>
              <w:ind w:left="72"/>
              <w:jc w:val="left"/>
              <w:rPr>
                <w:sz w:val="19"/>
              </w:rPr>
            </w:pPr>
            <w:r>
              <w:rPr>
                <w:w w:val="105"/>
                <w:sz w:val="19"/>
              </w:rPr>
              <w:t>2004</w:t>
              <w:tab/>
              <w:t>679</w:t>
            </w:r>
            <w:r>
              <w:rPr>
                <w:spacing w:val="-2"/>
                <w:w w:val="105"/>
                <w:sz w:val="19"/>
              </w:rPr>
              <w:t> </w:t>
            </w:r>
            <w:r>
              <w:rPr>
                <w:w w:val="105"/>
                <w:sz w:val="19"/>
              </w:rPr>
              <w:t>751</w:t>
            </w:r>
          </w:p>
        </w:tc>
        <w:tc>
          <w:tcPr>
            <w:tcW w:w="1120" w:type="dxa"/>
          </w:tcPr>
          <w:p>
            <w:pPr>
              <w:pStyle w:val="TableParagraph"/>
              <w:spacing w:before="2"/>
              <w:ind w:right="225"/>
              <w:rPr>
                <w:sz w:val="19"/>
              </w:rPr>
            </w:pPr>
            <w:r>
              <w:rPr>
                <w:w w:val="105"/>
                <w:sz w:val="19"/>
              </w:rPr>
              <w:t>388 212</w:t>
            </w:r>
          </w:p>
        </w:tc>
        <w:tc>
          <w:tcPr>
            <w:tcW w:w="1138" w:type="dxa"/>
          </w:tcPr>
          <w:p>
            <w:pPr>
              <w:pStyle w:val="TableParagraph"/>
              <w:spacing w:before="2"/>
              <w:ind w:right="231"/>
              <w:rPr>
                <w:sz w:val="19"/>
              </w:rPr>
            </w:pPr>
            <w:r>
              <w:rPr>
                <w:w w:val="105"/>
                <w:sz w:val="19"/>
              </w:rPr>
              <w:t>199 373</w:t>
            </w:r>
          </w:p>
        </w:tc>
        <w:tc>
          <w:tcPr>
            <w:tcW w:w="1125" w:type="dxa"/>
          </w:tcPr>
          <w:p>
            <w:pPr>
              <w:pStyle w:val="TableParagraph"/>
              <w:spacing w:before="2"/>
              <w:ind w:right="223"/>
              <w:rPr>
                <w:sz w:val="19"/>
              </w:rPr>
            </w:pPr>
            <w:r>
              <w:rPr>
                <w:w w:val="105"/>
                <w:sz w:val="19"/>
              </w:rPr>
              <w:t>188 839</w:t>
            </w:r>
          </w:p>
        </w:tc>
        <w:tc>
          <w:tcPr>
            <w:tcW w:w="1118" w:type="dxa"/>
          </w:tcPr>
          <w:p>
            <w:pPr>
              <w:pStyle w:val="TableParagraph"/>
              <w:spacing w:before="2"/>
              <w:ind w:right="63"/>
              <w:rPr>
                <w:sz w:val="19"/>
              </w:rPr>
            </w:pPr>
            <w:r>
              <w:rPr>
                <w:w w:val="105"/>
                <w:sz w:val="19"/>
              </w:rPr>
              <w:t>291 538</w:t>
            </w:r>
          </w:p>
        </w:tc>
      </w:tr>
      <w:tr>
        <w:trPr>
          <w:trHeight w:val="240" w:hRule="exact"/>
        </w:trPr>
        <w:tc>
          <w:tcPr>
            <w:tcW w:w="1748" w:type="dxa"/>
          </w:tcPr>
          <w:p>
            <w:pPr>
              <w:pStyle w:val="TableParagraph"/>
              <w:tabs>
                <w:tab w:pos="855" w:val="left" w:leader="none"/>
              </w:tabs>
              <w:spacing w:before="2"/>
              <w:ind w:left="72"/>
              <w:jc w:val="left"/>
              <w:rPr>
                <w:sz w:val="19"/>
              </w:rPr>
            </w:pPr>
            <w:r>
              <w:rPr>
                <w:w w:val="105"/>
                <w:sz w:val="19"/>
              </w:rPr>
              <w:t>2005</w:t>
              <w:tab/>
              <w:t>723</w:t>
            </w:r>
            <w:r>
              <w:rPr>
                <w:spacing w:val="-2"/>
                <w:w w:val="105"/>
                <w:sz w:val="19"/>
              </w:rPr>
              <w:t> </w:t>
            </w:r>
            <w:r>
              <w:rPr>
                <w:w w:val="105"/>
                <w:sz w:val="19"/>
              </w:rPr>
              <w:t>706</w:t>
            </w:r>
          </w:p>
        </w:tc>
        <w:tc>
          <w:tcPr>
            <w:tcW w:w="1120" w:type="dxa"/>
          </w:tcPr>
          <w:p>
            <w:pPr>
              <w:pStyle w:val="TableParagraph"/>
              <w:spacing w:before="2"/>
              <w:ind w:right="225"/>
              <w:rPr>
                <w:sz w:val="19"/>
              </w:rPr>
            </w:pPr>
            <w:r>
              <w:rPr>
                <w:w w:val="105"/>
                <w:sz w:val="19"/>
              </w:rPr>
              <w:t>417 869</w:t>
            </w:r>
          </w:p>
        </w:tc>
        <w:tc>
          <w:tcPr>
            <w:tcW w:w="1138" w:type="dxa"/>
          </w:tcPr>
          <w:p>
            <w:pPr>
              <w:pStyle w:val="TableParagraph"/>
              <w:spacing w:before="2"/>
              <w:ind w:right="231"/>
              <w:rPr>
                <w:sz w:val="19"/>
              </w:rPr>
            </w:pPr>
            <w:r>
              <w:rPr>
                <w:w w:val="105"/>
                <w:sz w:val="19"/>
              </w:rPr>
              <w:t>209 879</w:t>
            </w:r>
          </w:p>
        </w:tc>
        <w:tc>
          <w:tcPr>
            <w:tcW w:w="1125" w:type="dxa"/>
          </w:tcPr>
          <w:p>
            <w:pPr>
              <w:pStyle w:val="TableParagraph"/>
              <w:spacing w:before="2"/>
              <w:ind w:right="223"/>
              <w:rPr>
                <w:sz w:val="19"/>
              </w:rPr>
            </w:pPr>
            <w:r>
              <w:rPr>
                <w:w w:val="105"/>
                <w:sz w:val="19"/>
              </w:rPr>
              <w:t>207 990</w:t>
            </w:r>
          </w:p>
        </w:tc>
        <w:tc>
          <w:tcPr>
            <w:tcW w:w="1118" w:type="dxa"/>
          </w:tcPr>
          <w:p>
            <w:pPr>
              <w:pStyle w:val="TableParagraph"/>
              <w:spacing w:before="2"/>
              <w:ind w:right="63"/>
              <w:rPr>
                <w:sz w:val="19"/>
              </w:rPr>
            </w:pPr>
            <w:r>
              <w:rPr>
                <w:w w:val="105"/>
                <w:sz w:val="19"/>
              </w:rPr>
              <w:t>305 837</w:t>
            </w:r>
          </w:p>
        </w:tc>
      </w:tr>
      <w:tr>
        <w:trPr>
          <w:trHeight w:val="240" w:hRule="exact"/>
        </w:trPr>
        <w:tc>
          <w:tcPr>
            <w:tcW w:w="1748" w:type="dxa"/>
          </w:tcPr>
          <w:p>
            <w:pPr>
              <w:pStyle w:val="TableParagraph"/>
              <w:tabs>
                <w:tab w:pos="855" w:val="left" w:leader="none"/>
              </w:tabs>
              <w:spacing w:before="2"/>
              <w:ind w:left="72"/>
              <w:jc w:val="left"/>
              <w:rPr>
                <w:sz w:val="19"/>
              </w:rPr>
            </w:pPr>
            <w:r>
              <w:rPr>
                <w:w w:val="105"/>
                <w:sz w:val="19"/>
              </w:rPr>
              <w:t>2006</w:t>
              <w:tab/>
              <w:t>743</w:t>
            </w:r>
            <w:r>
              <w:rPr>
                <w:spacing w:val="-2"/>
                <w:w w:val="105"/>
                <w:sz w:val="19"/>
              </w:rPr>
              <w:t> </w:t>
            </w:r>
            <w:r>
              <w:rPr>
                <w:w w:val="105"/>
                <w:sz w:val="19"/>
              </w:rPr>
              <w:t>824</w:t>
            </w:r>
          </w:p>
        </w:tc>
        <w:tc>
          <w:tcPr>
            <w:tcW w:w="1120" w:type="dxa"/>
          </w:tcPr>
          <w:p>
            <w:pPr>
              <w:pStyle w:val="TableParagraph"/>
              <w:spacing w:before="2"/>
              <w:ind w:right="225"/>
              <w:rPr>
                <w:sz w:val="19"/>
              </w:rPr>
            </w:pPr>
            <w:r>
              <w:rPr>
                <w:w w:val="105"/>
                <w:sz w:val="19"/>
              </w:rPr>
              <w:t>393 189</w:t>
            </w:r>
          </w:p>
        </w:tc>
        <w:tc>
          <w:tcPr>
            <w:tcW w:w="1138" w:type="dxa"/>
          </w:tcPr>
          <w:p>
            <w:pPr>
              <w:pStyle w:val="TableParagraph"/>
              <w:spacing w:before="2"/>
              <w:ind w:right="231"/>
              <w:rPr>
                <w:sz w:val="19"/>
              </w:rPr>
            </w:pPr>
            <w:r>
              <w:rPr>
                <w:w w:val="105"/>
                <w:sz w:val="19"/>
              </w:rPr>
              <w:t>174 550</w:t>
            </w:r>
          </w:p>
        </w:tc>
        <w:tc>
          <w:tcPr>
            <w:tcW w:w="1125" w:type="dxa"/>
          </w:tcPr>
          <w:p>
            <w:pPr>
              <w:pStyle w:val="TableParagraph"/>
              <w:spacing w:before="2"/>
              <w:ind w:right="223"/>
              <w:rPr>
                <w:sz w:val="19"/>
              </w:rPr>
            </w:pPr>
            <w:r>
              <w:rPr>
                <w:w w:val="105"/>
                <w:sz w:val="19"/>
              </w:rPr>
              <w:t>218 638</w:t>
            </w:r>
          </w:p>
        </w:tc>
        <w:tc>
          <w:tcPr>
            <w:tcW w:w="1118" w:type="dxa"/>
          </w:tcPr>
          <w:p>
            <w:pPr>
              <w:pStyle w:val="TableParagraph"/>
              <w:spacing w:before="2"/>
              <w:ind w:right="63"/>
              <w:rPr>
                <w:sz w:val="19"/>
              </w:rPr>
            </w:pPr>
            <w:r>
              <w:rPr>
                <w:w w:val="105"/>
                <w:sz w:val="19"/>
              </w:rPr>
              <w:t>350 635</w:t>
            </w:r>
          </w:p>
        </w:tc>
      </w:tr>
      <w:tr>
        <w:trPr>
          <w:trHeight w:val="240" w:hRule="exact"/>
        </w:trPr>
        <w:tc>
          <w:tcPr>
            <w:tcW w:w="1748" w:type="dxa"/>
          </w:tcPr>
          <w:p>
            <w:pPr>
              <w:pStyle w:val="TableParagraph"/>
              <w:tabs>
                <w:tab w:pos="855" w:val="left" w:leader="none"/>
              </w:tabs>
              <w:spacing w:before="2"/>
              <w:ind w:left="72"/>
              <w:jc w:val="left"/>
              <w:rPr>
                <w:sz w:val="19"/>
              </w:rPr>
            </w:pPr>
            <w:r>
              <w:rPr>
                <w:w w:val="105"/>
                <w:sz w:val="19"/>
              </w:rPr>
              <w:t>2007</w:t>
              <w:tab/>
              <w:t>789</w:t>
            </w:r>
            <w:r>
              <w:rPr>
                <w:spacing w:val="-2"/>
                <w:w w:val="105"/>
                <w:sz w:val="19"/>
              </w:rPr>
              <w:t> </w:t>
            </w:r>
            <w:r>
              <w:rPr>
                <w:w w:val="105"/>
                <w:sz w:val="19"/>
              </w:rPr>
              <w:t>232</w:t>
            </w:r>
          </w:p>
        </w:tc>
        <w:tc>
          <w:tcPr>
            <w:tcW w:w="1120" w:type="dxa"/>
          </w:tcPr>
          <w:p>
            <w:pPr>
              <w:pStyle w:val="TableParagraph"/>
              <w:spacing w:before="2"/>
              <w:ind w:right="225"/>
              <w:rPr>
                <w:sz w:val="19"/>
              </w:rPr>
            </w:pPr>
            <w:r>
              <w:rPr>
                <w:w w:val="105"/>
                <w:sz w:val="19"/>
              </w:rPr>
              <w:t>402 746</w:t>
            </w:r>
          </w:p>
        </w:tc>
        <w:tc>
          <w:tcPr>
            <w:tcW w:w="1138" w:type="dxa"/>
          </w:tcPr>
          <w:p>
            <w:pPr>
              <w:pStyle w:val="TableParagraph"/>
              <w:spacing w:before="2"/>
              <w:ind w:right="231"/>
              <w:rPr>
                <w:sz w:val="19"/>
              </w:rPr>
            </w:pPr>
            <w:r>
              <w:rPr>
                <w:w w:val="105"/>
                <w:sz w:val="19"/>
              </w:rPr>
              <w:t>161 392</w:t>
            </w:r>
          </w:p>
        </w:tc>
        <w:tc>
          <w:tcPr>
            <w:tcW w:w="1125" w:type="dxa"/>
          </w:tcPr>
          <w:p>
            <w:pPr>
              <w:pStyle w:val="TableParagraph"/>
              <w:spacing w:before="2"/>
              <w:ind w:right="223"/>
              <w:rPr>
                <w:sz w:val="19"/>
              </w:rPr>
            </w:pPr>
            <w:r>
              <w:rPr>
                <w:w w:val="105"/>
                <w:sz w:val="19"/>
              </w:rPr>
              <w:t>241 354</w:t>
            </w:r>
          </w:p>
        </w:tc>
        <w:tc>
          <w:tcPr>
            <w:tcW w:w="1118" w:type="dxa"/>
          </w:tcPr>
          <w:p>
            <w:pPr>
              <w:pStyle w:val="TableParagraph"/>
              <w:spacing w:before="2"/>
              <w:ind w:right="63"/>
              <w:rPr>
                <w:sz w:val="19"/>
              </w:rPr>
            </w:pPr>
            <w:r>
              <w:rPr>
                <w:w w:val="105"/>
                <w:sz w:val="19"/>
              </w:rPr>
              <w:t>386 485</w:t>
            </w:r>
          </w:p>
        </w:tc>
      </w:tr>
      <w:tr>
        <w:trPr>
          <w:trHeight w:val="240" w:hRule="exact"/>
        </w:trPr>
        <w:tc>
          <w:tcPr>
            <w:tcW w:w="1748" w:type="dxa"/>
          </w:tcPr>
          <w:p>
            <w:pPr>
              <w:pStyle w:val="TableParagraph"/>
              <w:tabs>
                <w:tab w:pos="855" w:val="left" w:leader="none"/>
              </w:tabs>
              <w:spacing w:before="2"/>
              <w:ind w:left="72"/>
              <w:jc w:val="left"/>
              <w:rPr>
                <w:sz w:val="19"/>
              </w:rPr>
            </w:pPr>
            <w:r>
              <w:rPr>
                <w:w w:val="105"/>
                <w:sz w:val="19"/>
              </w:rPr>
              <w:t>2008</w:t>
              <w:tab/>
              <w:t>817</w:t>
            </w:r>
            <w:r>
              <w:rPr>
                <w:spacing w:val="-2"/>
                <w:w w:val="105"/>
                <w:sz w:val="19"/>
              </w:rPr>
              <w:t> </w:t>
            </w:r>
            <w:r>
              <w:rPr>
                <w:w w:val="105"/>
                <w:sz w:val="19"/>
              </w:rPr>
              <w:t>242</w:t>
            </w:r>
          </w:p>
        </w:tc>
        <w:tc>
          <w:tcPr>
            <w:tcW w:w="1120" w:type="dxa"/>
          </w:tcPr>
          <w:p>
            <w:pPr>
              <w:pStyle w:val="TableParagraph"/>
              <w:spacing w:before="2"/>
              <w:ind w:right="225"/>
              <w:rPr>
                <w:sz w:val="19"/>
              </w:rPr>
            </w:pPr>
            <w:r>
              <w:rPr>
                <w:w w:val="105"/>
                <w:sz w:val="19"/>
              </w:rPr>
              <w:t>450 773</w:t>
            </w:r>
          </w:p>
        </w:tc>
        <w:tc>
          <w:tcPr>
            <w:tcW w:w="1138" w:type="dxa"/>
          </w:tcPr>
          <w:p>
            <w:pPr>
              <w:pStyle w:val="TableParagraph"/>
              <w:spacing w:before="2"/>
              <w:ind w:right="231"/>
              <w:rPr>
                <w:sz w:val="19"/>
              </w:rPr>
            </w:pPr>
            <w:r>
              <w:rPr>
                <w:w w:val="105"/>
                <w:sz w:val="19"/>
              </w:rPr>
              <w:t>185 952</w:t>
            </w:r>
          </w:p>
        </w:tc>
        <w:tc>
          <w:tcPr>
            <w:tcW w:w="1125" w:type="dxa"/>
          </w:tcPr>
          <w:p>
            <w:pPr>
              <w:pStyle w:val="TableParagraph"/>
              <w:spacing w:before="2"/>
              <w:ind w:right="223"/>
              <w:rPr>
                <w:sz w:val="19"/>
              </w:rPr>
            </w:pPr>
            <w:r>
              <w:rPr>
                <w:w w:val="105"/>
                <w:sz w:val="19"/>
              </w:rPr>
              <w:t>264 821</w:t>
            </w:r>
          </w:p>
        </w:tc>
        <w:tc>
          <w:tcPr>
            <w:tcW w:w="1118" w:type="dxa"/>
          </w:tcPr>
          <w:p>
            <w:pPr>
              <w:pStyle w:val="TableParagraph"/>
              <w:spacing w:before="2"/>
              <w:ind w:right="63"/>
              <w:rPr>
                <w:sz w:val="19"/>
              </w:rPr>
            </w:pPr>
            <w:r>
              <w:rPr>
                <w:w w:val="105"/>
                <w:sz w:val="19"/>
              </w:rPr>
              <w:t>366 469</w:t>
            </w:r>
          </w:p>
        </w:tc>
      </w:tr>
      <w:tr>
        <w:trPr>
          <w:trHeight w:val="240" w:hRule="exact"/>
        </w:trPr>
        <w:tc>
          <w:tcPr>
            <w:tcW w:w="1748" w:type="dxa"/>
          </w:tcPr>
          <w:p>
            <w:pPr>
              <w:pStyle w:val="TableParagraph"/>
              <w:tabs>
                <w:tab w:pos="855" w:val="left" w:leader="none"/>
              </w:tabs>
              <w:spacing w:before="2"/>
              <w:ind w:left="72"/>
              <w:jc w:val="left"/>
              <w:rPr>
                <w:sz w:val="19"/>
              </w:rPr>
            </w:pPr>
            <w:r>
              <w:rPr>
                <w:w w:val="105"/>
                <w:sz w:val="19"/>
              </w:rPr>
              <w:t>2009</w:t>
              <w:tab/>
              <w:t>828</w:t>
            </w:r>
            <w:r>
              <w:rPr>
                <w:spacing w:val="-2"/>
                <w:w w:val="105"/>
                <w:sz w:val="19"/>
              </w:rPr>
              <w:t> </w:t>
            </w:r>
            <w:r>
              <w:rPr>
                <w:w w:val="105"/>
                <w:sz w:val="19"/>
              </w:rPr>
              <w:t>383</w:t>
            </w:r>
          </w:p>
        </w:tc>
        <w:tc>
          <w:tcPr>
            <w:tcW w:w="1120" w:type="dxa"/>
          </w:tcPr>
          <w:p>
            <w:pPr>
              <w:pStyle w:val="TableParagraph"/>
              <w:spacing w:before="2"/>
              <w:ind w:right="225"/>
              <w:rPr>
                <w:sz w:val="19"/>
              </w:rPr>
            </w:pPr>
            <w:r>
              <w:rPr>
                <w:w w:val="105"/>
                <w:sz w:val="19"/>
              </w:rPr>
              <w:t>437 724</w:t>
            </w:r>
          </w:p>
        </w:tc>
        <w:tc>
          <w:tcPr>
            <w:tcW w:w="1138" w:type="dxa"/>
          </w:tcPr>
          <w:p>
            <w:pPr>
              <w:pStyle w:val="TableParagraph"/>
              <w:spacing w:before="2"/>
              <w:ind w:right="231"/>
              <w:rPr>
                <w:sz w:val="19"/>
              </w:rPr>
            </w:pPr>
            <w:r>
              <w:rPr>
                <w:w w:val="105"/>
                <w:sz w:val="19"/>
              </w:rPr>
              <w:t>168 171</w:t>
            </w:r>
          </w:p>
        </w:tc>
        <w:tc>
          <w:tcPr>
            <w:tcW w:w="1125" w:type="dxa"/>
          </w:tcPr>
          <w:p>
            <w:pPr>
              <w:pStyle w:val="TableParagraph"/>
              <w:spacing w:before="2"/>
              <w:ind w:right="223"/>
              <w:rPr>
                <w:sz w:val="19"/>
              </w:rPr>
            </w:pPr>
            <w:r>
              <w:rPr>
                <w:w w:val="105"/>
                <w:sz w:val="19"/>
              </w:rPr>
              <w:t>269 553</w:t>
            </w:r>
          </w:p>
        </w:tc>
        <w:tc>
          <w:tcPr>
            <w:tcW w:w="1118" w:type="dxa"/>
          </w:tcPr>
          <w:p>
            <w:pPr>
              <w:pStyle w:val="TableParagraph"/>
              <w:spacing w:before="2"/>
              <w:ind w:right="63"/>
              <w:rPr>
                <w:sz w:val="19"/>
              </w:rPr>
            </w:pPr>
            <w:r>
              <w:rPr>
                <w:w w:val="105"/>
                <w:sz w:val="19"/>
              </w:rPr>
              <w:t>390 659</w:t>
            </w:r>
          </w:p>
        </w:tc>
      </w:tr>
      <w:tr>
        <w:trPr>
          <w:trHeight w:val="240" w:hRule="exact"/>
        </w:trPr>
        <w:tc>
          <w:tcPr>
            <w:tcW w:w="1748" w:type="dxa"/>
          </w:tcPr>
          <w:p>
            <w:pPr>
              <w:pStyle w:val="TableParagraph"/>
              <w:tabs>
                <w:tab w:pos="855" w:val="left" w:leader="none"/>
              </w:tabs>
              <w:spacing w:before="2"/>
              <w:ind w:left="72"/>
              <w:jc w:val="left"/>
              <w:rPr>
                <w:sz w:val="19"/>
              </w:rPr>
            </w:pPr>
            <w:r>
              <w:rPr>
                <w:w w:val="105"/>
                <w:sz w:val="19"/>
              </w:rPr>
              <w:t>2010</w:t>
              <w:tab/>
              <w:t>847</w:t>
            </w:r>
            <w:r>
              <w:rPr>
                <w:spacing w:val="-2"/>
                <w:w w:val="105"/>
                <w:sz w:val="19"/>
              </w:rPr>
              <w:t> </w:t>
            </w:r>
            <w:r>
              <w:rPr>
                <w:w w:val="105"/>
                <w:sz w:val="19"/>
              </w:rPr>
              <w:t>778</w:t>
            </w:r>
          </w:p>
        </w:tc>
        <w:tc>
          <w:tcPr>
            <w:tcW w:w="1120" w:type="dxa"/>
          </w:tcPr>
          <w:p>
            <w:pPr>
              <w:pStyle w:val="TableParagraph"/>
              <w:spacing w:before="2"/>
              <w:ind w:right="225"/>
              <w:rPr>
                <w:sz w:val="19"/>
              </w:rPr>
            </w:pPr>
            <w:r>
              <w:rPr>
                <w:w w:val="105"/>
                <w:sz w:val="19"/>
              </w:rPr>
              <w:t>460 174</w:t>
            </w:r>
          </w:p>
        </w:tc>
        <w:tc>
          <w:tcPr>
            <w:tcW w:w="1138" w:type="dxa"/>
          </w:tcPr>
          <w:p>
            <w:pPr>
              <w:pStyle w:val="TableParagraph"/>
              <w:spacing w:before="2"/>
              <w:ind w:right="231"/>
              <w:rPr>
                <w:sz w:val="19"/>
              </w:rPr>
            </w:pPr>
            <w:r>
              <w:rPr>
                <w:w w:val="105"/>
                <w:sz w:val="19"/>
              </w:rPr>
              <w:t>258 896</w:t>
            </w:r>
          </w:p>
        </w:tc>
        <w:tc>
          <w:tcPr>
            <w:tcW w:w="1125" w:type="dxa"/>
          </w:tcPr>
          <w:p>
            <w:pPr>
              <w:pStyle w:val="TableParagraph"/>
              <w:spacing w:before="2"/>
              <w:ind w:right="223"/>
              <w:rPr>
                <w:sz w:val="19"/>
              </w:rPr>
            </w:pPr>
            <w:r>
              <w:rPr>
                <w:w w:val="105"/>
                <w:sz w:val="19"/>
              </w:rPr>
              <w:t>201 278</w:t>
            </w:r>
          </w:p>
        </w:tc>
        <w:tc>
          <w:tcPr>
            <w:tcW w:w="1118" w:type="dxa"/>
          </w:tcPr>
          <w:p>
            <w:pPr>
              <w:pStyle w:val="TableParagraph"/>
              <w:spacing w:before="2"/>
              <w:ind w:right="63"/>
              <w:rPr>
                <w:sz w:val="19"/>
              </w:rPr>
            </w:pPr>
            <w:r>
              <w:rPr>
                <w:w w:val="105"/>
                <w:sz w:val="19"/>
              </w:rPr>
              <w:t>387 603</w:t>
            </w:r>
          </w:p>
        </w:tc>
      </w:tr>
      <w:tr>
        <w:trPr>
          <w:trHeight w:val="240" w:hRule="exact"/>
        </w:trPr>
        <w:tc>
          <w:tcPr>
            <w:tcW w:w="1748" w:type="dxa"/>
          </w:tcPr>
          <w:p>
            <w:pPr>
              <w:pStyle w:val="TableParagraph"/>
              <w:spacing w:before="2"/>
              <w:ind w:left="121"/>
              <w:jc w:val="left"/>
              <w:rPr>
                <w:i/>
                <w:sz w:val="19"/>
              </w:rPr>
            </w:pPr>
            <w:r>
              <w:rPr>
                <w:i/>
                <w:w w:val="105"/>
                <w:sz w:val="19"/>
              </w:rPr>
              <w:t>Porcentaje</w:t>
            </w:r>
          </w:p>
        </w:tc>
        <w:tc>
          <w:tcPr>
            <w:tcW w:w="1120" w:type="dxa"/>
          </w:tcPr>
          <w:p>
            <w:pPr/>
          </w:p>
        </w:tc>
        <w:tc>
          <w:tcPr>
            <w:tcW w:w="1138" w:type="dxa"/>
          </w:tcPr>
          <w:p>
            <w:pPr/>
          </w:p>
        </w:tc>
        <w:tc>
          <w:tcPr>
            <w:tcW w:w="1125" w:type="dxa"/>
          </w:tcPr>
          <w:p>
            <w:pPr/>
          </w:p>
        </w:tc>
        <w:tc>
          <w:tcPr>
            <w:tcW w:w="1118" w:type="dxa"/>
          </w:tcPr>
          <w:p>
            <w:pPr/>
          </w:p>
        </w:tc>
      </w:tr>
      <w:tr>
        <w:trPr>
          <w:trHeight w:val="240" w:hRule="exact"/>
        </w:trPr>
        <w:tc>
          <w:tcPr>
            <w:tcW w:w="1748" w:type="dxa"/>
          </w:tcPr>
          <w:p>
            <w:pPr>
              <w:pStyle w:val="TableParagraph"/>
              <w:tabs>
                <w:tab w:pos="1055" w:val="left" w:leader="none"/>
              </w:tabs>
              <w:spacing w:before="2"/>
              <w:ind w:left="72"/>
              <w:jc w:val="left"/>
              <w:rPr>
                <w:sz w:val="19"/>
              </w:rPr>
            </w:pPr>
            <w:r>
              <w:rPr>
                <w:w w:val="105"/>
                <w:sz w:val="19"/>
              </w:rPr>
              <w:t>2001</w:t>
              <w:tab/>
              <w:t>100.0</w:t>
            </w:r>
          </w:p>
        </w:tc>
        <w:tc>
          <w:tcPr>
            <w:tcW w:w="1120" w:type="dxa"/>
          </w:tcPr>
          <w:p>
            <w:pPr>
              <w:pStyle w:val="TableParagraph"/>
              <w:spacing w:before="2"/>
              <w:ind w:right="227"/>
              <w:rPr>
                <w:sz w:val="19"/>
              </w:rPr>
            </w:pPr>
            <w:r>
              <w:rPr>
                <w:sz w:val="19"/>
              </w:rPr>
              <w:t>55.9</w:t>
            </w:r>
          </w:p>
        </w:tc>
        <w:tc>
          <w:tcPr>
            <w:tcW w:w="1138" w:type="dxa"/>
          </w:tcPr>
          <w:p>
            <w:pPr>
              <w:pStyle w:val="TableParagraph"/>
              <w:spacing w:before="2"/>
              <w:ind w:right="232"/>
              <w:rPr>
                <w:sz w:val="19"/>
              </w:rPr>
            </w:pPr>
            <w:r>
              <w:rPr>
                <w:sz w:val="19"/>
              </w:rPr>
              <w:t>26.5</w:t>
            </w:r>
          </w:p>
        </w:tc>
        <w:tc>
          <w:tcPr>
            <w:tcW w:w="1125" w:type="dxa"/>
          </w:tcPr>
          <w:p>
            <w:pPr>
              <w:pStyle w:val="TableParagraph"/>
              <w:spacing w:before="2"/>
              <w:ind w:right="225"/>
              <w:rPr>
                <w:sz w:val="19"/>
              </w:rPr>
            </w:pPr>
            <w:r>
              <w:rPr>
                <w:sz w:val="19"/>
              </w:rPr>
              <w:t>29.4</w:t>
            </w:r>
          </w:p>
        </w:tc>
        <w:tc>
          <w:tcPr>
            <w:tcW w:w="1118" w:type="dxa"/>
          </w:tcPr>
          <w:p>
            <w:pPr>
              <w:pStyle w:val="TableParagraph"/>
              <w:spacing w:before="2"/>
              <w:ind w:right="64"/>
              <w:rPr>
                <w:sz w:val="19"/>
              </w:rPr>
            </w:pPr>
            <w:r>
              <w:rPr>
                <w:sz w:val="19"/>
              </w:rPr>
              <w:t>44.1</w:t>
            </w:r>
          </w:p>
        </w:tc>
      </w:tr>
      <w:tr>
        <w:trPr>
          <w:trHeight w:val="240" w:hRule="exact"/>
        </w:trPr>
        <w:tc>
          <w:tcPr>
            <w:tcW w:w="1748" w:type="dxa"/>
          </w:tcPr>
          <w:p>
            <w:pPr>
              <w:pStyle w:val="TableParagraph"/>
              <w:tabs>
                <w:tab w:pos="1055" w:val="left" w:leader="none"/>
              </w:tabs>
              <w:spacing w:before="2"/>
              <w:ind w:left="72"/>
              <w:jc w:val="left"/>
              <w:rPr>
                <w:sz w:val="19"/>
              </w:rPr>
            </w:pPr>
            <w:r>
              <w:rPr>
                <w:w w:val="105"/>
                <w:sz w:val="19"/>
              </w:rPr>
              <w:t>2002</w:t>
              <w:tab/>
              <w:t>100.0</w:t>
            </w:r>
          </w:p>
        </w:tc>
        <w:tc>
          <w:tcPr>
            <w:tcW w:w="1120" w:type="dxa"/>
          </w:tcPr>
          <w:p>
            <w:pPr>
              <w:pStyle w:val="TableParagraph"/>
              <w:spacing w:before="2"/>
              <w:ind w:right="227"/>
              <w:rPr>
                <w:sz w:val="19"/>
              </w:rPr>
            </w:pPr>
            <w:r>
              <w:rPr>
                <w:sz w:val="19"/>
              </w:rPr>
              <w:t>58.0</w:t>
            </w:r>
          </w:p>
        </w:tc>
        <w:tc>
          <w:tcPr>
            <w:tcW w:w="1138" w:type="dxa"/>
          </w:tcPr>
          <w:p>
            <w:pPr>
              <w:pStyle w:val="TableParagraph"/>
              <w:spacing w:before="2"/>
              <w:ind w:right="232"/>
              <w:rPr>
                <w:sz w:val="19"/>
              </w:rPr>
            </w:pPr>
            <w:r>
              <w:rPr>
                <w:sz w:val="19"/>
              </w:rPr>
              <w:t>28.8</w:t>
            </w:r>
          </w:p>
        </w:tc>
        <w:tc>
          <w:tcPr>
            <w:tcW w:w="1125" w:type="dxa"/>
          </w:tcPr>
          <w:p>
            <w:pPr>
              <w:pStyle w:val="TableParagraph"/>
              <w:spacing w:before="2"/>
              <w:ind w:right="225"/>
              <w:rPr>
                <w:sz w:val="19"/>
              </w:rPr>
            </w:pPr>
            <w:r>
              <w:rPr>
                <w:sz w:val="19"/>
              </w:rPr>
              <w:t>29.2</w:t>
            </w:r>
          </w:p>
        </w:tc>
        <w:tc>
          <w:tcPr>
            <w:tcW w:w="1118" w:type="dxa"/>
          </w:tcPr>
          <w:p>
            <w:pPr>
              <w:pStyle w:val="TableParagraph"/>
              <w:spacing w:before="2"/>
              <w:ind w:right="64"/>
              <w:rPr>
                <w:sz w:val="19"/>
              </w:rPr>
            </w:pPr>
            <w:r>
              <w:rPr>
                <w:sz w:val="19"/>
              </w:rPr>
              <w:t>42.0</w:t>
            </w:r>
          </w:p>
        </w:tc>
      </w:tr>
      <w:tr>
        <w:trPr>
          <w:trHeight w:val="240" w:hRule="exact"/>
        </w:trPr>
        <w:tc>
          <w:tcPr>
            <w:tcW w:w="1748" w:type="dxa"/>
          </w:tcPr>
          <w:p>
            <w:pPr>
              <w:pStyle w:val="TableParagraph"/>
              <w:tabs>
                <w:tab w:pos="1055" w:val="left" w:leader="none"/>
              </w:tabs>
              <w:spacing w:before="2"/>
              <w:ind w:left="72"/>
              <w:jc w:val="left"/>
              <w:rPr>
                <w:sz w:val="19"/>
              </w:rPr>
            </w:pPr>
            <w:r>
              <w:rPr>
                <w:w w:val="105"/>
                <w:sz w:val="19"/>
              </w:rPr>
              <w:t>2003</w:t>
              <w:tab/>
              <w:t>100.0</w:t>
            </w:r>
          </w:p>
        </w:tc>
        <w:tc>
          <w:tcPr>
            <w:tcW w:w="1120" w:type="dxa"/>
          </w:tcPr>
          <w:p>
            <w:pPr>
              <w:pStyle w:val="TableParagraph"/>
              <w:spacing w:before="2"/>
              <w:ind w:right="227"/>
              <w:rPr>
                <w:sz w:val="19"/>
              </w:rPr>
            </w:pPr>
            <w:r>
              <w:rPr>
                <w:sz w:val="19"/>
              </w:rPr>
              <w:t>57.5</w:t>
            </w:r>
          </w:p>
        </w:tc>
        <w:tc>
          <w:tcPr>
            <w:tcW w:w="1138" w:type="dxa"/>
          </w:tcPr>
          <w:p>
            <w:pPr>
              <w:pStyle w:val="TableParagraph"/>
              <w:spacing w:before="2"/>
              <w:ind w:right="232"/>
              <w:rPr>
                <w:sz w:val="19"/>
              </w:rPr>
            </w:pPr>
            <w:r>
              <w:rPr>
                <w:sz w:val="19"/>
              </w:rPr>
              <w:t>30.0</w:t>
            </w:r>
          </w:p>
        </w:tc>
        <w:tc>
          <w:tcPr>
            <w:tcW w:w="1125" w:type="dxa"/>
          </w:tcPr>
          <w:p>
            <w:pPr>
              <w:pStyle w:val="TableParagraph"/>
              <w:spacing w:before="2"/>
              <w:ind w:right="225"/>
              <w:rPr>
                <w:sz w:val="19"/>
              </w:rPr>
            </w:pPr>
            <w:r>
              <w:rPr>
                <w:sz w:val="19"/>
              </w:rPr>
              <w:t>27.5</w:t>
            </w:r>
          </w:p>
        </w:tc>
        <w:tc>
          <w:tcPr>
            <w:tcW w:w="1118" w:type="dxa"/>
          </w:tcPr>
          <w:p>
            <w:pPr>
              <w:pStyle w:val="TableParagraph"/>
              <w:spacing w:before="2"/>
              <w:ind w:right="64"/>
              <w:rPr>
                <w:sz w:val="19"/>
              </w:rPr>
            </w:pPr>
            <w:r>
              <w:rPr>
                <w:sz w:val="19"/>
              </w:rPr>
              <w:t>42.5</w:t>
            </w:r>
          </w:p>
        </w:tc>
      </w:tr>
      <w:tr>
        <w:trPr>
          <w:trHeight w:val="240" w:hRule="exact"/>
        </w:trPr>
        <w:tc>
          <w:tcPr>
            <w:tcW w:w="1748" w:type="dxa"/>
          </w:tcPr>
          <w:p>
            <w:pPr>
              <w:pStyle w:val="TableParagraph"/>
              <w:tabs>
                <w:tab w:pos="1055" w:val="left" w:leader="none"/>
              </w:tabs>
              <w:spacing w:before="2"/>
              <w:ind w:left="72"/>
              <w:jc w:val="left"/>
              <w:rPr>
                <w:sz w:val="19"/>
              </w:rPr>
            </w:pPr>
            <w:r>
              <w:rPr>
                <w:w w:val="105"/>
                <w:sz w:val="19"/>
              </w:rPr>
              <w:t>2004</w:t>
              <w:tab/>
              <w:t>100.0</w:t>
            </w:r>
          </w:p>
        </w:tc>
        <w:tc>
          <w:tcPr>
            <w:tcW w:w="1120" w:type="dxa"/>
          </w:tcPr>
          <w:p>
            <w:pPr>
              <w:pStyle w:val="TableParagraph"/>
              <w:spacing w:before="2"/>
              <w:ind w:right="227"/>
              <w:rPr>
                <w:sz w:val="19"/>
              </w:rPr>
            </w:pPr>
            <w:r>
              <w:rPr>
                <w:sz w:val="19"/>
              </w:rPr>
              <w:t>57.1</w:t>
            </w:r>
          </w:p>
        </w:tc>
        <w:tc>
          <w:tcPr>
            <w:tcW w:w="1138" w:type="dxa"/>
          </w:tcPr>
          <w:p>
            <w:pPr>
              <w:pStyle w:val="TableParagraph"/>
              <w:spacing w:before="2"/>
              <w:ind w:right="232"/>
              <w:rPr>
                <w:sz w:val="19"/>
              </w:rPr>
            </w:pPr>
            <w:r>
              <w:rPr>
                <w:sz w:val="19"/>
              </w:rPr>
              <w:t>29.3</w:t>
            </w:r>
          </w:p>
        </w:tc>
        <w:tc>
          <w:tcPr>
            <w:tcW w:w="1125" w:type="dxa"/>
          </w:tcPr>
          <w:p>
            <w:pPr>
              <w:pStyle w:val="TableParagraph"/>
              <w:spacing w:before="2"/>
              <w:ind w:right="225"/>
              <w:rPr>
                <w:sz w:val="19"/>
              </w:rPr>
            </w:pPr>
            <w:r>
              <w:rPr>
                <w:sz w:val="19"/>
              </w:rPr>
              <w:t>27.8</w:t>
            </w:r>
          </w:p>
        </w:tc>
        <w:tc>
          <w:tcPr>
            <w:tcW w:w="1118" w:type="dxa"/>
          </w:tcPr>
          <w:p>
            <w:pPr>
              <w:pStyle w:val="TableParagraph"/>
              <w:spacing w:before="2"/>
              <w:ind w:right="64"/>
              <w:rPr>
                <w:sz w:val="19"/>
              </w:rPr>
            </w:pPr>
            <w:r>
              <w:rPr>
                <w:sz w:val="19"/>
              </w:rPr>
              <w:t>42.9</w:t>
            </w:r>
          </w:p>
        </w:tc>
      </w:tr>
      <w:tr>
        <w:trPr>
          <w:trHeight w:val="240" w:hRule="exact"/>
        </w:trPr>
        <w:tc>
          <w:tcPr>
            <w:tcW w:w="1748" w:type="dxa"/>
          </w:tcPr>
          <w:p>
            <w:pPr>
              <w:pStyle w:val="TableParagraph"/>
              <w:tabs>
                <w:tab w:pos="1055" w:val="left" w:leader="none"/>
              </w:tabs>
              <w:spacing w:before="2"/>
              <w:ind w:left="72"/>
              <w:jc w:val="left"/>
              <w:rPr>
                <w:sz w:val="19"/>
              </w:rPr>
            </w:pPr>
            <w:r>
              <w:rPr>
                <w:w w:val="105"/>
                <w:sz w:val="19"/>
              </w:rPr>
              <w:t>2005</w:t>
              <w:tab/>
              <w:t>100.0</w:t>
            </w:r>
          </w:p>
        </w:tc>
        <w:tc>
          <w:tcPr>
            <w:tcW w:w="1120" w:type="dxa"/>
          </w:tcPr>
          <w:p>
            <w:pPr>
              <w:pStyle w:val="TableParagraph"/>
              <w:spacing w:before="2"/>
              <w:ind w:right="227"/>
              <w:rPr>
                <w:sz w:val="19"/>
              </w:rPr>
            </w:pPr>
            <w:r>
              <w:rPr>
                <w:sz w:val="19"/>
              </w:rPr>
              <w:t>57.7</w:t>
            </w:r>
          </w:p>
        </w:tc>
        <w:tc>
          <w:tcPr>
            <w:tcW w:w="1138" w:type="dxa"/>
          </w:tcPr>
          <w:p>
            <w:pPr>
              <w:pStyle w:val="TableParagraph"/>
              <w:spacing w:before="2"/>
              <w:ind w:right="232"/>
              <w:rPr>
                <w:sz w:val="19"/>
              </w:rPr>
            </w:pPr>
            <w:r>
              <w:rPr>
                <w:sz w:val="19"/>
              </w:rPr>
              <w:t>29.0</w:t>
            </w:r>
          </w:p>
        </w:tc>
        <w:tc>
          <w:tcPr>
            <w:tcW w:w="1125" w:type="dxa"/>
          </w:tcPr>
          <w:p>
            <w:pPr>
              <w:pStyle w:val="TableParagraph"/>
              <w:spacing w:before="2"/>
              <w:ind w:right="225"/>
              <w:rPr>
                <w:sz w:val="19"/>
              </w:rPr>
            </w:pPr>
            <w:r>
              <w:rPr>
                <w:sz w:val="19"/>
              </w:rPr>
              <w:t>28.7</w:t>
            </w:r>
          </w:p>
        </w:tc>
        <w:tc>
          <w:tcPr>
            <w:tcW w:w="1118" w:type="dxa"/>
          </w:tcPr>
          <w:p>
            <w:pPr>
              <w:pStyle w:val="TableParagraph"/>
              <w:spacing w:before="2"/>
              <w:ind w:right="64"/>
              <w:rPr>
                <w:sz w:val="19"/>
              </w:rPr>
            </w:pPr>
            <w:r>
              <w:rPr>
                <w:sz w:val="19"/>
              </w:rPr>
              <w:t>42.3</w:t>
            </w:r>
          </w:p>
        </w:tc>
      </w:tr>
      <w:tr>
        <w:trPr>
          <w:trHeight w:val="240" w:hRule="exact"/>
        </w:trPr>
        <w:tc>
          <w:tcPr>
            <w:tcW w:w="1748" w:type="dxa"/>
          </w:tcPr>
          <w:p>
            <w:pPr>
              <w:pStyle w:val="TableParagraph"/>
              <w:tabs>
                <w:tab w:pos="1055" w:val="left" w:leader="none"/>
              </w:tabs>
              <w:spacing w:before="2"/>
              <w:ind w:left="72"/>
              <w:jc w:val="left"/>
              <w:rPr>
                <w:sz w:val="19"/>
              </w:rPr>
            </w:pPr>
            <w:r>
              <w:rPr>
                <w:w w:val="105"/>
                <w:sz w:val="19"/>
              </w:rPr>
              <w:t>2006</w:t>
              <w:tab/>
              <w:t>100.0</w:t>
            </w:r>
          </w:p>
        </w:tc>
        <w:tc>
          <w:tcPr>
            <w:tcW w:w="1120" w:type="dxa"/>
          </w:tcPr>
          <w:p>
            <w:pPr>
              <w:pStyle w:val="TableParagraph"/>
              <w:spacing w:before="2"/>
              <w:ind w:right="227"/>
              <w:rPr>
                <w:sz w:val="19"/>
              </w:rPr>
            </w:pPr>
            <w:r>
              <w:rPr>
                <w:sz w:val="19"/>
              </w:rPr>
              <w:t>52.9</w:t>
            </w:r>
          </w:p>
        </w:tc>
        <w:tc>
          <w:tcPr>
            <w:tcW w:w="1138" w:type="dxa"/>
          </w:tcPr>
          <w:p>
            <w:pPr>
              <w:pStyle w:val="TableParagraph"/>
              <w:spacing w:before="2"/>
              <w:ind w:right="232"/>
              <w:rPr>
                <w:sz w:val="19"/>
              </w:rPr>
            </w:pPr>
            <w:r>
              <w:rPr>
                <w:sz w:val="19"/>
              </w:rPr>
              <w:t>23.5</w:t>
            </w:r>
          </w:p>
        </w:tc>
        <w:tc>
          <w:tcPr>
            <w:tcW w:w="1125" w:type="dxa"/>
          </w:tcPr>
          <w:p>
            <w:pPr>
              <w:pStyle w:val="TableParagraph"/>
              <w:spacing w:before="2"/>
              <w:ind w:right="225"/>
              <w:rPr>
                <w:sz w:val="19"/>
              </w:rPr>
            </w:pPr>
            <w:r>
              <w:rPr>
                <w:sz w:val="19"/>
              </w:rPr>
              <w:t>29.4</w:t>
            </w:r>
          </w:p>
        </w:tc>
        <w:tc>
          <w:tcPr>
            <w:tcW w:w="1118" w:type="dxa"/>
          </w:tcPr>
          <w:p>
            <w:pPr>
              <w:pStyle w:val="TableParagraph"/>
              <w:spacing w:before="2"/>
              <w:ind w:right="64"/>
              <w:rPr>
                <w:sz w:val="19"/>
              </w:rPr>
            </w:pPr>
            <w:r>
              <w:rPr>
                <w:sz w:val="19"/>
              </w:rPr>
              <w:t>47.1</w:t>
            </w:r>
          </w:p>
        </w:tc>
      </w:tr>
      <w:tr>
        <w:trPr>
          <w:trHeight w:val="240" w:hRule="exact"/>
        </w:trPr>
        <w:tc>
          <w:tcPr>
            <w:tcW w:w="1748" w:type="dxa"/>
          </w:tcPr>
          <w:p>
            <w:pPr>
              <w:pStyle w:val="TableParagraph"/>
              <w:tabs>
                <w:tab w:pos="1055" w:val="left" w:leader="none"/>
              </w:tabs>
              <w:spacing w:before="2"/>
              <w:ind w:left="72"/>
              <w:jc w:val="left"/>
              <w:rPr>
                <w:sz w:val="19"/>
              </w:rPr>
            </w:pPr>
            <w:r>
              <w:rPr>
                <w:w w:val="105"/>
                <w:sz w:val="19"/>
              </w:rPr>
              <w:t>2007</w:t>
              <w:tab/>
              <w:t>100.0</w:t>
            </w:r>
          </w:p>
        </w:tc>
        <w:tc>
          <w:tcPr>
            <w:tcW w:w="1120" w:type="dxa"/>
          </w:tcPr>
          <w:p>
            <w:pPr>
              <w:pStyle w:val="TableParagraph"/>
              <w:spacing w:before="2"/>
              <w:ind w:right="227"/>
              <w:rPr>
                <w:sz w:val="19"/>
              </w:rPr>
            </w:pPr>
            <w:r>
              <w:rPr>
                <w:sz w:val="19"/>
              </w:rPr>
              <w:t>51.0</w:t>
            </w:r>
          </w:p>
        </w:tc>
        <w:tc>
          <w:tcPr>
            <w:tcW w:w="1138" w:type="dxa"/>
          </w:tcPr>
          <w:p>
            <w:pPr>
              <w:pStyle w:val="TableParagraph"/>
              <w:spacing w:before="2"/>
              <w:ind w:right="232"/>
              <w:rPr>
                <w:sz w:val="19"/>
              </w:rPr>
            </w:pPr>
            <w:r>
              <w:rPr>
                <w:sz w:val="19"/>
              </w:rPr>
              <w:t>20.4</w:t>
            </w:r>
          </w:p>
        </w:tc>
        <w:tc>
          <w:tcPr>
            <w:tcW w:w="1125" w:type="dxa"/>
          </w:tcPr>
          <w:p>
            <w:pPr>
              <w:pStyle w:val="TableParagraph"/>
              <w:spacing w:before="2"/>
              <w:ind w:right="225"/>
              <w:rPr>
                <w:sz w:val="19"/>
              </w:rPr>
            </w:pPr>
            <w:r>
              <w:rPr>
                <w:sz w:val="19"/>
              </w:rPr>
              <w:t>30.6</w:t>
            </w:r>
          </w:p>
        </w:tc>
        <w:tc>
          <w:tcPr>
            <w:tcW w:w="1118" w:type="dxa"/>
          </w:tcPr>
          <w:p>
            <w:pPr>
              <w:pStyle w:val="TableParagraph"/>
              <w:spacing w:before="2"/>
              <w:ind w:right="64"/>
              <w:rPr>
                <w:sz w:val="19"/>
              </w:rPr>
            </w:pPr>
            <w:r>
              <w:rPr>
                <w:sz w:val="19"/>
              </w:rPr>
              <w:t>49.0</w:t>
            </w:r>
          </w:p>
        </w:tc>
      </w:tr>
      <w:tr>
        <w:trPr>
          <w:trHeight w:val="240" w:hRule="exact"/>
        </w:trPr>
        <w:tc>
          <w:tcPr>
            <w:tcW w:w="1748" w:type="dxa"/>
          </w:tcPr>
          <w:p>
            <w:pPr>
              <w:pStyle w:val="TableParagraph"/>
              <w:tabs>
                <w:tab w:pos="1055" w:val="left" w:leader="none"/>
              </w:tabs>
              <w:spacing w:before="2"/>
              <w:ind w:left="72"/>
              <w:jc w:val="left"/>
              <w:rPr>
                <w:sz w:val="19"/>
              </w:rPr>
            </w:pPr>
            <w:r>
              <w:rPr>
                <w:w w:val="105"/>
                <w:sz w:val="19"/>
              </w:rPr>
              <w:t>2008</w:t>
              <w:tab/>
              <w:t>100.0</w:t>
            </w:r>
          </w:p>
        </w:tc>
        <w:tc>
          <w:tcPr>
            <w:tcW w:w="1120" w:type="dxa"/>
          </w:tcPr>
          <w:p>
            <w:pPr>
              <w:pStyle w:val="TableParagraph"/>
              <w:spacing w:before="2"/>
              <w:ind w:right="227"/>
              <w:rPr>
                <w:sz w:val="19"/>
              </w:rPr>
            </w:pPr>
            <w:r>
              <w:rPr>
                <w:sz w:val="19"/>
              </w:rPr>
              <w:t>55.2</w:t>
            </w:r>
          </w:p>
        </w:tc>
        <w:tc>
          <w:tcPr>
            <w:tcW w:w="1138" w:type="dxa"/>
          </w:tcPr>
          <w:p>
            <w:pPr>
              <w:pStyle w:val="TableParagraph"/>
              <w:spacing w:before="2"/>
              <w:ind w:right="232"/>
              <w:rPr>
                <w:sz w:val="19"/>
              </w:rPr>
            </w:pPr>
            <w:r>
              <w:rPr>
                <w:sz w:val="19"/>
              </w:rPr>
              <w:t>22.8</w:t>
            </w:r>
          </w:p>
        </w:tc>
        <w:tc>
          <w:tcPr>
            <w:tcW w:w="1125" w:type="dxa"/>
          </w:tcPr>
          <w:p>
            <w:pPr>
              <w:pStyle w:val="TableParagraph"/>
              <w:spacing w:before="2"/>
              <w:ind w:right="225"/>
              <w:rPr>
                <w:sz w:val="19"/>
              </w:rPr>
            </w:pPr>
            <w:r>
              <w:rPr>
                <w:sz w:val="19"/>
              </w:rPr>
              <w:t>32.4</w:t>
            </w:r>
          </w:p>
        </w:tc>
        <w:tc>
          <w:tcPr>
            <w:tcW w:w="1118" w:type="dxa"/>
          </w:tcPr>
          <w:p>
            <w:pPr>
              <w:pStyle w:val="TableParagraph"/>
              <w:spacing w:before="2"/>
              <w:ind w:right="64"/>
              <w:rPr>
                <w:sz w:val="19"/>
              </w:rPr>
            </w:pPr>
            <w:r>
              <w:rPr>
                <w:sz w:val="19"/>
              </w:rPr>
              <w:t>44.8</w:t>
            </w:r>
          </w:p>
        </w:tc>
      </w:tr>
      <w:tr>
        <w:trPr>
          <w:trHeight w:val="240" w:hRule="exact"/>
        </w:trPr>
        <w:tc>
          <w:tcPr>
            <w:tcW w:w="1748" w:type="dxa"/>
          </w:tcPr>
          <w:p>
            <w:pPr>
              <w:pStyle w:val="TableParagraph"/>
              <w:tabs>
                <w:tab w:pos="1055" w:val="left" w:leader="none"/>
              </w:tabs>
              <w:spacing w:before="2"/>
              <w:ind w:left="72"/>
              <w:jc w:val="left"/>
              <w:rPr>
                <w:sz w:val="19"/>
              </w:rPr>
            </w:pPr>
            <w:r>
              <w:rPr>
                <w:w w:val="105"/>
                <w:sz w:val="19"/>
              </w:rPr>
              <w:t>2009</w:t>
              <w:tab/>
              <w:t>100.0</w:t>
            </w:r>
          </w:p>
        </w:tc>
        <w:tc>
          <w:tcPr>
            <w:tcW w:w="1120" w:type="dxa"/>
          </w:tcPr>
          <w:p>
            <w:pPr>
              <w:pStyle w:val="TableParagraph"/>
              <w:spacing w:before="2"/>
              <w:ind w:right="227"/>
              <w:rPr>
                <w:sz w:val="19"/>
              </w:rPr>
            </w:pPr>
            <w:r>
              <w:rPr>
                <w:sz w:val="19"/>
              </w:rPr>
              <w:t>52.8</w:t>
            </w:r>
          </w:p>
        </w:tc>
        <w:tc>
          <w:tcPr>
            <w:tcW w:w="1138" w:type="dxa"/>
          </w:tcPr>
          <w:p>
            <w:pPr>
              <w:pStyle w:val="TableParagraph"/>
              <w:spacing w:before="2"/>
              <w:ind w:right="232"/>
              <w:rPr>
                <w:sz w:val="19"/>
              </w:rPr>
            </w:pPr>
            <w:r>
              <w:rPr>
                <w:sz w:val="19"/>
              </w:rPr>
              <w:t>20.3</w:t>
            </w:r>
          </w:p>
        </w:tc>
        <w:tc>
          <w:tcPr>
            <w:tcW w:w="1125" w:type="dxa"/>
          </w:tcPr>
          <w:p>
            <w:pPr>
              <w:pStyle w:val="TableParagraph"/>
              <w:spacing w:before="2"/>
              <w:ind w:right="225"/>
              <w:rPr>
                <w:sz w:val="19"/>
              </w:rPr>
            </w:pPr>
            <w:r>
              <w:rPr>
                <w:sz w:val="19"/>
              </w:rPr>
              <w:t>32.5</w:t>
            </w:r>
          </w:p>
        </w:tc>
        <w:tc>
          <w:tcPr>
            <w:tcW w:w="1118" w:type="dxa"/>
          </w:tcPr>
          <w:p>
            <w:pPr>
              <w:pStyle w:val="TableParagraph"/>
              <w:spacing w:before="2"/>
              <w:ind w:right="64"/>
              <w:rPr>
                <w:sz w:val="19"/>
              </w:rPr>
            </w:pPr>
            <w:r>
              <w:rPr>
                <w:sz w:val="19"/>
              </w:rPr>
              <w:t>47.2</w:t>
            </w:r>
          </w:p>
        </w:tc>
      </w:tr>
      <w:tr>
        <w:trPr>
          <w:trHeight w:val="242" w:hRule="exact"/>
        </w:trPr>
        <w:tc>
          <w:tcPr>
            <w:tcW w:w="1748" w:type="dxa"/>
            <w:tcBorders>
              <w:bottom w:val="double" w:sz="4" w:space="0" w:color="000000"/>
            </w:tcBorders>
          </w:tcPr>
          <w:p>
            <w:pPr>
              <w:pStyle w:val="TableParagraph"/>
              <w:tabs>
                <w:tab w:pos="1055" w:val="left" w:leader="none"/>
              </w:tabs>
              <w:spacing w:before="2"/>
              <w:ind w:left="72"/>
              <w:jc w:val="left"/>
              <w:rPr>
                <w:sz w:val="19"/>
              </w:rPr>
            </w:pPr>
            <w:r>
              <w:rPr>
                <w:w w:val="105"/>
                <w:sz w:val="19"/>
              </w:rPr>
              <w:t>2010</w:t>
              <w:tab/>
              <w:t>100.0</w:t>
            </w:r>
          </w:p>
        </w:tc>
        <w:tc>
          <w:tcPr>
            <w:tcW w:w="1120" w:type="dxa"/>
            <w:tcBorders>
              <w:bottom w:val="double" w:sz="4" w:space="0" w:color="000000"/>
            </w:tcBorders>
          </w:tcPr>
          <w:p>
            <w:pPr>
              <w:pStyle w:val="TableParagraph"/>
              <w:spacing w:before="2"/>
              <w:ind w:right="227"/>
              <w:rPr>
                <w:sz w:val="19"/>
              </w:rPr>
            </w:pPr>
            <w:r>
              <w:rPr>
                <w:sz w:val="19"/>
              </w:rPr>
              <w:t>54.3</w:t>
            </w:r>
          </w:p>
        </w:tc>
        <w:tc>
          <w:tcPr>
            <w:tcW w:w="1138" w:type="dxa"/>
            <w:tcBorders>
              <w:bottom w:val="double" w:sz="4" w:space="0" w:color="000000"/>
            </w:tcBorders>
          </w:tcPr>
          <w:p>
            <w:pPr>
              <w:pStyle w:val="TableParagraph"/>
              <w:spacing w:before="2"/>
              <w:ind w:right="232"/>
              <w:rPr>
                <w:sz w:val="19"/>
              </w:rPr>
            </w:pPr>
            <w:r>
              <w:rPr>
                <w:sz w:val="19"/>
              </w:rPr>
              <w:t>30.5</w:t>
            </w:r>
          </w:p>
        </w:tc>
        <w:tc>
          <w:tcPr>
            <w:tcW w:w="1125" w:type="dxa"/>
            <w:tcBorders>
              <w:bottom w:val="double" w:sz="4" w:space="0" w:color="000000"/>
            </w:tcBorders>
          </w:tcPr>
          <w:p>
            <w:pPr>
              <w:pStyle w:val="TableParagraph"/>
              <w:spacing w:before="2"/>
              <w:ind w:right="225"/>
              <w:rPr>
                <w:sz w:val="19"/>
              </w:rPr>
            </w:pPr>
            <w:r>
              <w:rPr>
                <w:sz w:val="19"/>
              </w:rPr>
              <w:t>23.7</w:t>
            </w:r>
          </w:p>
        </w:tc>
        <w:tc>
          <w:tcPr>
            <w:tcW w:w="1118" w:type="dxa"/>
            <w:tcBorders>
              <w:bottom w:val="double" w:sz="4" w:space="0" w:color="000000"/>
            </w:tcBorders>
          </w:tcPr>
          <w:p>
            <w:pPr>
              <w:pStyle w:val="TableParagraph"/>
              <w:spacing w:before="2"/>
              <w:ind w:right="64"/>
              <w:rPr>
                <w:sz w:val="19"/>
              </w:rPr>
            </w:pPr>
            <w:r>
              <w:rPr>
                <w:sz w:val="19"/>
              </w:rPr>
              <w:t>45.7</w:t>
            </w:r>
          </w:p>
        </w:tc>
      </w:tr>
    </w:tbl>
    <w:p>
      <w:pPr>
        <w:spacing w:line="237" w:lineRule="auto" w:before="0"/>
        <w:ind w:left="454" w:right="1976" w:firstLine="0"/>
        <w:jc w:val="left"/>
        <w:rPr>
          <w:sz w:val="16"/>
        </w:rPr>
      </w:pPr>
      <w:r>
        <w:rPr>
          <w:sz w:val="16"/>
        </w:rPr>
        <w:t>* Importante: sólo se consideran los hogares que declaran ingresos. Fuente: encuestas de mayo 2001-2010, INE.</w:t>
      </w:r>
    </w:p>
    <w:p>
      <w:pPr>
        <w:pStyle w:val="BodyText"/>
        <w:spacing w:before="9"/>
        <w:rPr>
          <w:sz w:val="16"/>
        </w:rPr>
      </w:pPr>
    </w:p>
    <w:p>
      <w:pPr>
        <w:pStyle w:val="BodyText"/>
        <w:spacing w:line="247" w:lineRule="auto" w:before="72"/>
        <w:ind w:left="117" w:right="114" w:firstLine="283"/>
        <w:jc w:val="both"/>
      </w:pPr>
      <w:r>
        <w:rPr>
          <w:color w:val="231F20"/>
        </w:rPr>
        <w:t>En el mercado de trabajo hondureño un poco más de la mitad de la población</w:t>
      </w:r>
      <w:r>
        <w:rPr>
          <w:color w:val="231F20"/>
          <w:spacing w:val="-7"/>
        </w:rPr>
        <w:t> </w:t>
      </w:r>
      <w:r>
        <w:rPr>
          <w:color w:val="231F20"/>
        </w:rPr>
        <w:t>está</w:t>
      </w:r>
      <w:r>
        <w:rPr>
          <w:color w:val="231F20"/>
          <w:spacing w:val="-7"/>
        </w:rPr>
        <w:t> </w:t>
      </w:r>
      <w:r>
        <w:rPr>
          <w:color w:val="231F20"/>
        </w:rPr>
        <w:t>incorporada</w:t>
      </w:r>
      <w:r>
        <w:rPr>
          <w:color w:val="231F20"/>
          <w:spacing w:val="-7"/>
        </w:rPr>
        <w:t> </w:t>
      </w:r>
      <w:r>
        <w:rPr>
          <w:color w:val="231F20"/>
        </w:rPr>
        <w:t>al</w:t>
      </w:r>
      <w:r>
        <w:rPr>
          <w:color w:val="231F20"/>
          <w:spacing w:val="-7"/>
        </w:rPr>
        <w:t> </w:t>
      </w:r>
      <w:r>
        <w:rPr>
          <w:color w:val="231F20"/>
        </w:rPr>
        <w:t>mundo</w:t>
      </w:r>
      <w:r>
        <w:rPr>
          <w:color w:val="231F20"/>
          <w:spacing w:val="-7"/>
        </w:rPr>
        <w:t> </w:t>
      </w:r>
      <w:r>
        <w:rPr>
          <w:color w:val="231F20"/>
        </w:rPr>
        <w:t>del</w:t>
      </w:r>
      <w:r>
        <w:rPr>
          <w:color w:val="231F20"/>
          <w:spacing w:val="-7"/>
        </w:rPr>
        <w:t> </w:t>
      </w:r>
      <w:r>
        <w:rPr>
          <w:color w:val="231F20"/>
        </w:rPr>
        <w:t>trabajo,</w:t>
      </w:r>
      <w:r>
        <w:rPr>
          <w:color w:val="231F20"/>
          <w:spacing w:val="-7"/>
        </w:rPr>
        <w:t> </w:t>
      </w:r>
      <w:r>
        <w:rPr>
          <w:color w:val="231F20"/>
        </w:rPr>
        <w:t>con</w:t>
      </w:r>
      <w:r>
        <w:rPr>
          <w:color w:val="231F20"/>
          <w:spacing w:val="-7"/>
        </w:rPr>
        <w:t> </w:t>
      </w:r>
      <w:r>
        <w:rPr>
          <w:color w:val="231F20"/>
        </w:rPr>
        <w:t>diferencias</w:t>
      </w:r>
      <w:r>
        <w:rPr>
          <w:color w:val="231F20"/>
          <w:spacing w:val="-7"/>
        </w:rPr>
        <w:t> </w:t>
      </w:r>
      <w:r>
        <w:rPr>
          <w:color w:val="231F20"/>
        </w:rPr>
        <w:t>significa- tivas</w:t>
      </w:r>
      <w:r>
        <w:rPr>
          <w:color w:val="231F20"/>
          <w:spacing w:val="-8"/>
        </w:rPr>
        <w:t> </w:t>
      </w:r>
      <w:r>
        <w:rPr>
          <w:color w:val="231F20"/>
        </w:rPr>
        <w:t>entre</w:t>
      </w:r>
      <w:r>
        <w:rPr>
          <w:color w:val="231F20"/>
          <w:spacing w:val="-8"/>
        </w:rPr>
        <w:t> </w:t>
      </w:r>
      <w:r>
        <w:rPr>
          <w:color w:val="231F20"/>
        </w:rPr>
        <w:t>la</w:t>
      </w:r>
      <w:r>
        <w:rPr>
          <w:color w:val="231F20"/>
          <w:spacing w:val="-8"/>
        </w:rPr>
        <w:t> </w:t>
      </w:r>
      <w:r>
        <w:rPr>
          <w:color w:val="231F20"/>
        </w:rPr>
        <w:t>participación</w:t>
      </w:r>
      <w:r>
        <w:rPr>
          <w:color w:val="231F20"/>
          <w:spacing w:val="-7"/>
        </w:rPr>
        <w:t> </w:t>
      </w:r>
      <w:r>
        <w:rPr>
          <w:color w:val="231F20"/>
        </w:rPr>
        <w:t>de</w:t>
      </w:r>
      <w:r>
        <w:rPr>
          <w:color w:val="231F20"/>
          <w:spacing w:val="-7"/>
        </w:rPr>
        <w:t> </w:t>
      </w:r>
      <w:r>
        <w:rPr>
          <w:color w:val="231F20"/>
        </w:rPr>
        <w:t>los</w:t>
      </w:r>
      <w:r>
        <w:rPr>
          <w:color w:val="231F20"/>
          <w:spacing w:val="-8"/>
        </w:rPr>
        <w:t> </w:t>
      </w:r>
      <w:r>
        <w:rPr>
          <w:color w:val="231F20"/>
        </w:rPr>
        <w:t>hombres</w:t>
      </w:r>
      <w:r>
        <w:rPr>
          <w:color w:val="231F20"/>
          <w:spacing w:val="-7"/>
        </w:rPr>
        <w:t> </w:t>
      </w:r>
      <w:r>
        <w:rPr>
          <w:color w:val="231F20"/>
        </w:rPr>
        <w:t>y</w:t>
      </w:r>
      <w:r>
        <w:rPr>
          <w:color w:val="231F20"/>
          <w:spacing w:val="-8"/>
        </w:rPr>
        <w:t> </w:t>
      </w:r>
      <w:r>
        <w:rPr>
          <w:color w:val="231F20"/>
        </w:rPr>
        <w:t>mujeres.</w:t>
      </w:r>
      <w:r>
        <w:rPr>
          <w:color w:val="231F20"/>
          <w:spacing w:val="-8"/>
        </w:rPr>
        <w:t> </w:t>
      </w:r>
      <w:r>
        <w:rPr>
          <w:color w:val="231F20"/>
        </w:rPr>
        <w:t>El</w:t>
      </w:r>
      <w:r>
        <w:rPr>
          <w:color w:val="231F20"/>
          <w:spacing w:val="-8"/>
        </w:rPr>
        <w:t> </w:t>
      </w:r>
      <w:r>
        <w:rPr>
          <w:color w:val="231F20"/>
        </w:rPr>
        <w:t>desempleo</w:t>
      </w:r>
      <w:r>
        <w:rPr>
          <w:color w:val="231F20"/>
          <w:spacing w:val="-8"/>
        </w:rPr>
        <w:t> </w:t>
      </w:r>
      <w:r>
        <w:rPr>
          <w:color w:val="231F20"/>
        </w:rPr>
        <w:t>abierto aparentemente tiene valores muy bajos, sin embargo, un problema grave es el subempleo, tanto visible como invisible y en estos el subempleo por bajos</w:t>
      </w:r>
      <w:r>
        <w:rPr>
          <w:color w:val="231F20"/>
          <w:spacing w:val="-11"/>
        </w:rPr>
        <w:t> </w:t>
      </w:r>
      <w:r>
        <w:rPr>
          <w:color w:val="231F20"/>
        </w:rPr>
        <w:t>ingresos</w:t>
      </w:r>
      <w:r>
        <w:rPr>
          <w:color w:val="231F20"/>
          <w:spacing w:val="-11"/>
        </w:rPr>
        <w:t> </w:t>
      </w:r>
      <w:r>
        <w:rPr>
          <w:color w:val="231F20"/>
        </w:rPr>
        <w:t>es</w:t>
      </w:r>
      <w:r>
        <w:rPr>
          <w:color w:val="231F20"/>
          <w:spacing w:val="-11"/>
        </w:rPr>
        <w:t> </w:t>
      </w:r>
      <w:r>
        <w:rPr>
          <w:color w:val="231F20"/>
        </w:rPr>
        <w:t>una</w:t>
      </w:r>
      <w:r>
        <w:rPr>
          <w:color w:val="231F20"/>
          <w:spacing w:val="-11"/>
        </w:rPr>
        <w:t> </w:t>
      </w:r>
      <w:r>
        <w:rPr>
          <w:color w:val="231F20"/>
        </w:rPr>
        <w:t>gran</w:t>
      </w:r>
      <w:r>
        <w:rPr>
          <w:color w:val="231F20"/>
          <w:spacing w:val="-11"/>
        </w:rPr>
        <w:t> </w:t>
      </w:r>
      <w:r>
        <w:rPr>
          <w:color w:val="231F20"/>
        </w:rPr>
        <w:t>preocupación</w:t>
      </w:r>
      <w:r>
        <w:rPr>
          <w:color w:val="231F20"/>
          <w:spacing w:val="-10"/>
        </w:rPr>
        <w:t> </w:t>
      </w:r>
      <w:r>
        <w:rPr>
          <w:color w:val="231F20"/>
        </w:rPr>
        <w:t>en</w:t>
      </w:r>
      <w:r>
        <w:rPr>
          <w:color w:val="231F20"/>
          <w:spacing w:val="-11"/>
        </w:rPr>
        <w:t> </w:t>
      </w:r>
      <w:r>
        <w:rPr>
          <w:color w:val="231F20"/>
        </w:rPr>
        <w:t>el</w:t>
      </w:r>
      <w:r>
        <w:rPr>
          <w:color w:val="231F20"/>
          <w:spacing w:val="-11"/>
        </w:rPr>
        <w:t> </w:t>
      </w:r>
      <w:r>
        <w:rPr>
          <w:color w:val="231F20"/>
        </w:rPr>
        <w:t>país.</w:t>
      </w:r>
      <w:r>
        <w:rPr>
          <w:color w:val="231F20"/>
          <w:spacing w:val="-11"/>
        </w:rPr>
        <w:t> </w:t>
      </w:r>
      <w:r>
        <w:rPr>
          <w:color w:val="231F20"/>
        </w:rPr>
        <w:t>El</w:t>
      </w:r>
      <w:r>
        <w:rPr>
          <w:color w:val="231F20"/>
          <w:spacing w:val="-11"/>
        </w:rPr>
        <w:t> </w:t>
      </w:r>
      <w:r>
        <w:rPr>
          <w:color w:val="231F20"/>
        </w:rPr>
        <w:t>desempleo</w:t>
      </w:r>
      <w:r>
        <w:rPr>
          <w:color w:val="231F20"/>
          <w:spacing w:val="-10"/>
        </w:rPr>
        <w:t> </w:t>
      </w:r>
      <w:r>
        <w:rPr>
          <w:color w:val="231F20"/>
        </w:rPr>
        <w:t>abierto</w:t>
      </w:r>
      <w:r>
        <w:rPr>
          <w:color w:val="231F20"/>
          <w:spacing w:val="-11"/>
        </w:rPr>
        <w:t> </w:t>
      </w:r>
      <w:r>
        <w:rPr>
          <w:color w:val="231F20"/>
        </w:rPr>
        <w:t>es bajo</w:t>
      </w:r>
      <w:r>
        <w:rPr>
          <w:color w:val="231F20"/>
          <w:spacing w:val="-5"/>
        </w:rPr>
        <w:t> </w:t>
      </w:r>
      <w:r>
        <w:rPr>
          <w:color w:val="231F20"/>
        </w:rPr>
        <w:t>porque</w:t>
      </w:r>
      <w:r>
        <w:rPr>
          <w:color w:val="231F20"/>
          <w:spacing w:val="-5"/>
        </w:rPr>
        <w:t> </w:t>
      </w:r>
      <w:r>
        <w:rPr>
          <w:color w:val="231F20"/>
        </w:rPr>
        <w:t>mide</w:t>
      </w:r>
      <w:r>
        <w:rPr>
          <w:color w:val="231F20"/>
          <w:spacing w:val="-5"/>
        </w:rPr>
        <w:t> </w:t>
      </w:r>
      <w:r>
        <w:rPr>
          <w:color w:val="231F20"/>
        </w:rPr>
        <w:t>más</w:t>
      </w:r>
      <w:r>
        <w:rPr>
          <w:color w:val="231F20"/>
          <w:spacing w:val="-5"/>
        </w:rPr>
        <w:t> </w:t>
      </w:r>
      <w:r>
        <w:rPr>
          <w:color w:val="231F20"/>
        </w:rPr>
        <w:t>bien</w:t>
      </w:r>
      <w:r>
        <w:rPr>
          <w:color w:val="231F20"/>
          <w:spacing w:val="-5"/>
        </w:rPr>
        <w:t> </w:t>
      </w:r>
      <w:r>
        <w:rPr>
          <w:color w:val="231F20"/>
        </w:rPr>
        <w:t>la</w:t>
      </w:r>
      <w:r>
        <w:rPr>
          <w:color w:val="231F20"/>
          <w:spacing w:val="-5"/>
        </w:rPr>
        <w:t> </w:t>
      </w:r>
      <w:r>
        <w:rPr>
          <w:color w:val="231F20"/>
        </w:rPr>
        <w:t>realidad</w:t>
      </w:r>
      <w:r>
        <w:rPr>
          <w:color w:val="231F20"/>
          <w:spacing w:val="-5"/>
        </w:rPr>
        <w:t> </w:t>
      </w:r>
      <w:r>
        <w:rPr>
          <w:color w:val="231F20"/>
        </w:rPr>
        <w:t>del</w:t>
      </w:r>
      <w:r>
        <w:rPr>
          <w:color w:val="231F20"/>
          <w:spacing w:val="-5"/>
        </w:rPr>
        <w:t> </w:t>
      </w:r>
      <w:r>
        <w:rPr>
          <w:color w:val="231F20"/>
        </w:rPr>
        <w:t>mercado</w:t>
      </w:r>
      <w:r>
        <w:rPr>
          <w:color w:val="231F20"/>
          <w:spacing w:val="-6"/>
        </w:rPr>
        <w:t> </w:t>
      </w:r>
      <w:r>
        <w:rPr>
          <w:color w:val="231F20"/>
        </w:rPr>
        <w:t>del</w:t>
      </w:r>
      <w:r>
        <w:rPr>
          <w:color w:val="231F20"/>
          <w:spacing w:val="-5"/>
        </w:rPr>
        <w:t> </w:t>
      </w:r>
      <w:r>
        <w:rPr>
          <w:color w:val="231F20"/>
        </w:rPr>
        <w:t>trabajo</w:t>
      </w:r>
      <w:r>
        <w:rPr>
          <w:color w:val="231F20"/>
          <w:spacing w:val="-5"/>
        </w:rPr>
        <w:t> </w:t>
      </w:r>
      <w:r>
        <w:rPr>
          <w:color w:val="231F20"/>
        </w:rPr>
        <w:t>urbano</w:t>
      </w:r>
      <w:r>
        <w:rPr>
          <w:color w:val="231F20"/>
          <w:spacing w:val="-5"/>
        </w:rPr>
        <w:t> </w:t>
      </w:r>
      <w:r>
        <w:rPr>
          <w:color w:val="231F20"/>
        </w:rPr>
        <w:t>y</w:t>
      </w:r>
      <w:r>
        <w:rPr>
          <w:color w:val="231F20"/>
          <w:spacing w:val="-5"/>
        </w:rPr>
        <w:t> </w:t>
      </w:r>
      <w:r>
        <w:rPr>
          <w:color w:val="231F20"/>
        </w:rPr>
        <w:t>en los sectores rurales, más que todo en la agricultura, no mide la verdadera subutilización debido a la estacionalidad de las actividades, momentos en los</w:t>
      </w:r>
      <w:r>
        <w:rPr>
          <w:color w:val="231F20"/>
          <w:spacing w:val="-7"/>
        </w:rPr>
        <w:t> </w:t>
      </w:r>
      <w:r>
        <w:rPr>
          <w:color w:val="231F20"/>
        </w:rPr>
        <w:t>cuales</w:t>
      </w:r>
      <w:r>
        <w:rPr>
          <w:color w:val="231F20"/>
          <w:spacing w:val="-7"/>
        </w:rPr>
        <w:t> </w:t>
      </w:r>
      <w:r>
        <w:rPr>
          <w:color w:val="231F20"/>
        </w:rPr>
        <w:t>las</w:t>
      </w:r>
      <w:r>
        <w:rPr>
          <w:color w:val="231F20"/>
          <w:spacing w:val="-7"/>
        </w:rPr>
        <w:t> </w:t>
      </w:r>
      <w:r>
        <w:rPr>
          <w:color w:val="231F20"/>
        </w:rPr>
        <w:t>personas</w:t>
      </w:r>
      <w:r>
        <w:rPr>
          <w:color w:val="231F20"/>
          <w:spacing w:val="-7"/>
        </w:rPr>
        <w:t> </w:t>
      </w:r>
      <w:r>
        <w:rPr>
          <w:color w:val="231F20"/>
        </w:rPr>
        <w:t>que</w:t>
      </w:r>
      <w:r>
        <w:rPr>
          <w:color w:val="231F20"/>
          <w:spacing w:val="-7"/>
        </w:rPr>
        <w:t> </w:t>
      </w:r>
      <w:r>
        <w:rPr>
          <w:color w:val="231F20"/>
        </w:rPr>
        <w:t>no</w:t>
      </w:r>
      <w:r>
        <w:rPr>
          <w:color w:val="231F20"/>
          <w:spacing w:val="-7"/>
        </w:rPr>
        <w:t> </w:t>
      </w:r>
      <w:r>
        <w:rPr>
          <w:color w:val="231F20"/>
        </w:rPr>
        <w:t>trabajan</w:t>
      </w:r>
      <w:r>
        <w:rPr>
          <w:color w:val="231F20"/>
          <w:spacing w:val="-8"/>
        </w:rPr>
        <w:t> </w:t>
      </w:r>
      <w:r>
        <w:rPr>
          <w:color w:val="231F20"/>
        </w:rPr>
        <w:t>no</w:t>
      </w:r>
      <w:r>
        <w:rPr>
          <w:color w:val="231F20"/>
          <w:spacing w:val="-7"/>
        </w:rPr>
        <w:t> </w:t>
      </w:r>
      <w:r>
        <w:rPr>
          <w:color w:val="231F20"/>
        </w:rPr>
        <w:t>buscan</w:t>
      </w:r>
      <w:r>
        <w:rPr>
          <w:color w:val="231F20"/>
          <w:spacing w:val="-7"/>
        </w:rPr>
        <w:t> </w:t>
      </w:r>
      <w:r>
        <w:rPr>
          <w:color w:val="231F20"/>
        </w:rPr>
        <w:t>tampoco</w:t>
      </w:r>
      <w:r>
        <w:rPr>
          <w:color w:val="231F20"/>
          <w:spacing w:val="-8"/>
        </w:rPr>
        <w:t> </w:t>
      </w:r>
      <w:r>
        <w:rPr>
          <w:color w:val="231F20"/>
        </w:rPr>
        <w:t>empleo</w:t>
      </w:r>
      <w:r>
        <w:rPr>
          <w:color w:val="231F20"/>
          <w:spacing w:val="-7"/>
        </w:rPr>
        <w:t> </w:t>
      </w:r>
      <w:r>
        <w:rPr>
          <w:color w:val="231F20"/>
        </w:rPr>
        <w:t>y</w:t>
      </w:r>
      <w:r>
        <w:rPr>
          <w:color w:val="231F20"/>
          <w:spacing w:val="-7"/>
        </w:rPr>
        <w:t> </w:t>
      </w:r>
      <w:r>
        <w:rPr>
          <w:color w:val="231F20"/>
        </w:rPr>
        <w:t>por</w:t>
      </w:r>
      <w:r>
        <w:rPr>
          <w:color w:val="231F20"/>
          <w:spacing w:val="-7"/>
        </w:rPr>
        <w:t> </w:t>
      </w:r>
      <w:r>
        <w:rPr>
          <w:color w:val="231F20"/>
        </w:rPr>
        <w:t>lo tanto</w:t>
      </w:r>
      <w:r>
        <w:rPr>
          <w:color w:val="231F20"/>
          <w:spacing w:val="-6"/>
        </w:rPr>
        <w:t> </w:t>
      </w:r>
      <w:r>
        <w:rPr>
          <w:color w:val="231F20"/>
        </w:rPr>
        <w:t>no</w:t>
      </w:r>
      <w:r>
        <w:rPr>
          <w:color w:val="231F20"/>
          <w:spacing w:val="-6"/>
        </w:rPr>
        <w:t> </w:t>
      </w:r>
      <w:r>
        <w:rPr>
          <w:color w:val="231F20"/>
        </w:rPr>
        <w:t>se</w:t>
      </w:r>
      <w:r>
        <w:rPr>
          <w:color w:val="231F20"/>
          <w:spacing w:val="-6"/>
        </w:rPr>
        <w:t> </w:t>
      </w:r>
      <w:r>
        <w:rPr>
          <w:color w:val="231F20"/>
        </w:rPr>
        <w:t>clasifican</w:t>
      </w:r>
      <w:r>
        <w:rPr>
          <w:color w:val="231F20"/>
          <w:spacing w:val="-6"/>
        </w:rPr>
        <w:t> </w:t>
      </w:r>
      <w:r>
        <w:rPr>
          <w:color w:val="231F20"/>
        </w:rPr>
        <w:t>como</w:t>
      </w:r>
      <w:r>
        <w:rPr>
          <w:color w:val="231F20"/>
          <w:spacing w:val="-6"/>
        </w:rPr>
        <w:t> </w:t>
      </w:r>
      <w:r>
        <w:rPr>
          <w:color w:val="231F20"/>
        </w:rPr>
        <w:t>desempleados</w:t>
      </w:r>
      <w:r>
        <w:rPr>
          <w:color w:val="231F20"/>
          <w:spacing w:val="-6"/>
        </w:rPr>
        <w:t> </w:t>
      </w:r>
      <w:r>
        <w:rPr>
          <w:color w:val="231F20"/>
        </w:rPr>
        <w:t>sino</w:t>
      </w:r>
      <w:r>
        <w:rPr>
          <w:color w:val="231F20"/>
          <w:spacing w:val="-6"/>
        </w:rPr>
        <w:t> </w:t>
      </w:r>
      <w:r>
        <w:rPr>
          <w:color w:val="231F20"/>
        </w:rPr>
        <w:t>como</w:t>
      </w:r>
      <w:r>
        <w:rPr>
          <w:color w:val="231F20"/>
          <w:spacing w:val="-6"/>
        </w:rPr>
        <w:t> </w:t>
      </w:r>
      <w:r>
        <w:rPr>
          <w:color w:val="231F20"/>
        </w:rPr>
        <w:t>inactivos</w:t>
      </w:r>
      <w:r>
        <w:rPr>
          <w:color w:val="231F20"/>
          <w:spacing w:val="-6"/>
        </w:rPr>
        <w:t> </w:t>
      </w:r>
      <w:r>
        <w:rPr>
          <w:color w:val="231F20"/>
        </w:rPr>
        <w:t>(Cuadro</w:t>
      </w:r>
      <w:r>
        <w:rPr>
          <w:color w:val="231F20"/>
          <w:spacing w:val="-6"/>
        </w:rPr>
        <w:t> </w:t>
      </w:r>
      <w:r>
        <w:rPr>
          <w:color w:val="231F20"/>
        </w:rPr>
        <w:t>2).</w:t>
      </w:r>
    </w:p>
    <w:p>
      <w:pPr>
        <w:spacing w:after="0" w:line="247" w:lineRule="auto"/>
        <w:jc w:val="both"/>
        <w:sectPr>
          <w:pgSz w:w="9360" w:h="13040"/>
          <w:pgMar w:header="0" w:footer="496" w:top="740" w:bottom="680" w:left="1300" w:right="1300"/>
        </w:sectPr>
      </w:pPr>
    </w:p>
    <w:p>
      <w:pPr>
        <w:tabs>
          <w:tab w:pos="5536" w:val="left" w:leader="none"/>
        </w:tabs>
        <w:spacing w:before="48"/>
        <w:ind w:left="105" w:right="117" w:firstLine="0"/>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18"/>
        </w:rPr>
      </w:pPr>
    </w:p>
    <w:p>
      <w:pPr>
        <w:spacing w:line="252" w:lineRule="auto" w:before="81"/>
        <w:ind w:left="454" w:right="248" w:firstLine="0"/>
        <w:jc w:val="left"/>
        <w:rPr>
          <w:sz w:val="19"/>
        </w:rPr>
      </w:pPr>
      <w:r>
        <w:rPr>
          <w:w w:val="105"/>
          <w:sz w:val="19"/>
        </w:rPr>
        <w:t>Cuadro 1. Honduras: pobreza por hogares por área de residencia según año, 2001-2010 (continuación)</w:t>
      </w:r>
    </w:p>
    <w:p>
      <w:pPr>
        <w:pStyle w:val="BodyText"/>
        <w:spacing w:line="20" w:lineRule="exact"/>
        <w:ind w:left="377"/>
        <w:rPr>
          <w:sz w:val="2"/>
        </w:rPr>
      </w:pPr>
      <w:r>
        <w:rPr>
          <w:sz w:val="2"/>
        </w:rPr>
        <w:pict>
          <v:group style="width:313pt;height:.5pt;mso-position-horizontal-relative:char;mso-position-vertical-relative:line" coordorigin="0,0" coordsize="6260,10">
            <v:line style="position:absolute" from="5,5" to="672,5" stroked="true" strokeweight=".48pt" strokecolor="#000000"/>
            <v:line style="position:absolute" from="672,5" to="682,5" stroked="true" strokeweight=".48pt" strokecolor="#000000"/>
            <v:line style="position:absolute" from="682,5" to="6255,5" stroked="true" strokeweight=".48pt" strokecolor="#000000"/>
          </v:group>
        </w:pict>
      </w:r>
      <w:r>
        <w:rPr>
          <w:sz w:val="2"/>
        </w:rPr>
      </w:r>
    </w:p>
    <w:p>
      <w:pPr>
        <w:spacing w:before="0" w:after="37"/>
        <w:ind w:left="2919" w:right="117" w:firstLine="0"/>
        <w:jc w:val="left"/>
        <w:rPr>
          <w:sz w:val="19"/>
        </w:rPr>
      </w:pPr>
      <w:r>
        <w:rPr>
          <w:w w:val="105"/>
          <w:sz w:val="19"/>
        </w:rPr>
        <w:t>Índice de pobreza rural</w:t>
      </w:r>
    </w:p>
    <w:tbl>
      <w:tblPr>
        <w:tblW w:w="0" w:type="auto"/>
        <w:jc w:val="left"/>
        <w:tblInd w:w="38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37"/>
        <w:gridCol w:w="928"/>
        <w:gridCol w:w="1119"/>
        <w:gridCol w:w="1102"/>
        <w:gridCol w:w="1015"/>
        <w:gridCol w:w="1048"/>
      </w:tblGrid>
      <w:tr>
        <w:trPr>
          <w:trHeight w:val="224" w:hRule="exact"/>
        </w:trPr>
        <w:tc>
          <w:tcPr>
            <w:tcW w:w="1037" w:type="dxa"/>
            <w:tcBorders>
              <w:bottom w:val="double" w:sz="4" w:space="0" w:color="000000"/>
            </w:tcBorders>
          </w:tcPr>
          <w:p>
            <w:pPr>
              <w:pStyle w:val="TableParagraph"/>
              <w:spacing w:line="203" w:lineRule="exact"/>
              <w:ind w:left="121"/>
              <w:jc w:val="left"/>
              <w:rPr>
                <w:sz w:val="19"/>
              </w:rPr>
            </w:pPr>
            <w:r>
              <w:rPr>
                <w:w w:val="105"/>
                <w:sz w:val="19"/>
              </w:rPr>
              <w:t>Año</w:t>
            </w:r>
          </w:p>
        </w:tc>
        <w:tc>
          <w:tcPr>
            <w:tcW w:w="928" w:type="dxa"/>
            <w:tcBorders>
              <w:bottom w:val="double" w:sz="4" w:space="0" w:color="000000"/>
            </w:tcBorders>
          </w:tcPr>
          <w:p>
            <w:pPr>
              <w:pStyle w:val="TableParagraph"/>
              <w:spacing w:line="203" w:lineRule="exact"/>
              <w:ind w:right="237"/>
              <w:rPr>
                <w:sz w:val="19"/>
              </w:rPr>
            </w:pPr>
            <w:r>
              <w:rPr>
                <w:sz w:val="19"/>
              </w:rPr>
              <w:t>Total</w:t>
            </w:r>
          </w:p>
        </w:tc>
        <w:tc>
          <w:tcPr>
            <w:tcW w:w="1119" w:type="dxa"/>
            <w:tcBorders>
              <w:bottom w:val="double" w:sz="4" w:space="0" w:color="000000"/>
            </w:tcBorders>
          </w:tcPr>
          <w:p>
            <w:pPr>
              <w:pStyle w:val="TableParagraph"/>
              <w:spacing w:line="203" w:lineRule="exact"/>
              <w:ind w:right="229"/>
              <w:rPr>
                <w:sz w:val="19"/>
              </w:rPr>
            </w:pPr>
            <w:r>
              <w:rPr>
                <w:sz w:val="19"/>
              </w:rPr>
              <w:t>Pobres</w:t>
            </w:r>
          </w:p>
        </w:tc>
        <w:tc>
          <w:tcPr>
            <w:tcW w:w="1102" w:type="dxa"/>
            <w:tcBorders>
              <w:bottom w:val="double" w:sz="4" w:space="0" w:color="000000"/>
            </w:tcBorders>
          </w:tcPr>
          <w:p>
            <w:pPr>
              <w:pStyle w:val="TableParagraph"/>
              <w:spacing w:line="203" w:lineRule="exact"/>
              <w:ind w:right="193"/>
              <w:rPr>
                <w:sz w:val="19"/>
              </w:rPr>
            </w:pPr>
            <w:r>
              <w:rPr>
                <w:sz w:val="19"/>
              </w:rPr>
              <w:t>Extrema</w:t>
            </w:r>
          </w:p>
        </w:tc>
        <w:tc>
          <w:tcPr>
            <w:tcW w:w="1015" w:type="dxa"/>
            <w:tcBorders>
              <w:bottom w:val="double" w:sz="4" w:space="0" w:color="000000"/>
            </w:tcBorders>
          </w:tcPr>
          <w:p>
            <w:pPr>
              <w:pStyle w:val="TableParagraph"/>
              <w:spacing w:line="203" w:lineRule="exact"/>
              <w:ind w:right="153"/>
              <w:rPr>
                <w:sz w:val="19"/>
              </w:rPr>
            </w:pPr>
            <w:r>
              <w:rPr>
                <w:sz w:val="19"/>
              </w:rPr>
              <w:t>Relativa</w:t>
            </w:r>
          </w:p>
        </w:tc>
        <w:tc>
          <w:tcPr>
            <w:tcW w:w="1048" w:type="dxa"/>
            <w:tcBorders>
              <w:bottom w:val="double" w:sz="4" w:space="0" w:color="000000"/>
            </w:tcBorders>
          </w:tcPr>
          <w:p>
            <w:pPr>
              <w:pStyle w:val="TableParagraph"/>
              <w:spacing w:line="203" w:lineRule="exact"/>
              <w:ind w:right="66"/>
              <w:rPr>
                <w:sz w:val="19"/>
              </w:rPr>
            </w:pPr>
            <w:r>
              <w:rPr>
                <w:w w:val="105"/>
                <w:sz w:val="19"/>
              </w:rPr>
              <w:t>No pobres</w:t>
            </w:r>
          </w:p>
        </w:tc>
      </w:tr>
      <w:tr>
        <w:trPr>
          <w:trHeight w:val="266" w:hRule="exact"/>
        </w:trPr>
        <w:tc>
          <w:tcPr>
            <w:tcW w:w="1037" w:type="dxa"/>
            <w:tcBorders>
              <w:top w:val="double" w:sz="4" w:space="0" w:color="000000"/>
            </w:tcBorders>
          </w:tcPr>
          <w:p>
            <w:pPr>
              <w:pStyle w:val="TableParagraph"/>
              <w:spacing w:before="14"/>
              <w:ind w:left="72"/>
              <w:jc w:val="left"/>
              <w:rPr>
                <w:sz w:val="19"/>
              </w:rPr>
            </w:pPr>
            <w:r>
              <w:rPr>
                <w:w w:val="105"/>
                <w:sz w:val="19"/>
              </w:rPr>
              <w:t>2001</w:t>
            </w:r>
          </w:p>
        </w:tc>
        <w:tc>
          <w:tcPr>
            <w:tcW w:w="928" w:type="dxa"/>
            <w:tcBorders>
              <w:top w:val="double" w:sz="4" w:space="0" w:color="000000"/>
            </w:tcBorders>
          </w:tcPr>
          <w:p>
            <w:pPr>
              <w:pStyle w:val="TableParagraph"/>
              <w:spacing w:before="14"/>
              <w:ind w:right="237"/>
              <w:rPr>
                <w:sz w:val="19"/>
              </w:rPr>
            </w:pPr>
            <w:r>
              <w:rPr>
                <w:w w:val="105"/>
                <w:sz w:val="19"/>
              </w:rPr>
              <w:t>622 768</w:t>
            </w:r>
          </w:p>
        </w:tc>
        <w:tc>
          <w:tcPr>
            <w:tcW w:w="1119" w:type="dxa"/>
            <w:tcBorders>
              <w:top w:val="double" w:sz="4" w:space="0" w:color="000000"/>
            </w:tcBorders>
          </w:tcPr>
          <w:p>
            <w:pPr>
              <w:pStyle w:val="TableParagraph"/>
              <w:spacing w:before="14"/>
              <w:ind w:right="228"/>
              <w:rPr>
                <w:sz w:val="19"/>
              </w:rPr>
            </w:pPr>
            <w:r>
              <w:rPr>
                <w:w w:val="105"/>
                <w:sz w:val="19"/>
              </w:rPr>
              <w:t>444 172</w:t>
            </w:r>
          </w:p>
        </w:tc>
        <w:tc>
          <w:tcPr>
            <w:tcW w:w="1102" w:type="dxa"/>
            <w:tcBorders>
              <w:top w:val="double" w:sz="4" w:space="0" w:color="000000"/>
            </w:tcBorders>
          </w:tcPr>
          <w:p>
            <w:pPr>
              <w:pStyle w:val="TableParagraph"/>
              <w:spacing w:before="14"/>
              <w:ind w:right="192"/>
              <w:rPr>
                <w:sz w:val="19"/>
              </w:rPr>
            </w:pPr>
            <w:r>
              <w:rPr>
                <w:w w:val="105"/>
                <w:sz w:val="19"/>
              </w:rPr>
              <w:t>383 731</w:t>
            </w:r>
          </w:p>
        </w:tc>
        <w:tc>
          <w:tcPr>
            <w:tcW w:w="1015" w:type="dxa"/>
            <w:tcBorders>
              <w:top w:val="double" w:sz="4" w:space="0" w:color="000000"/>
            </w:tcBorders>
          </w:tcPr>
          <w:p>
            <w:pPr>
              <w:pStyle w:val="TableParagraph"/>
              <w:spacing w:before="14"/>
              <w:ind w:right="151"/>
              <w:rPr>
                <w:sz w:val="19"/>
              </w:rPr>
            </w:pPr>
            <w:r>
              <w:rPr>
                <w:w w:val="105"/>
                <w:sz w:val="19"/>
              </w:rPr>
              <w:t>60 441</w:t>
            </w:r>
          </w:p>
        </w:tc>
        <w:tc>
          <w:tcPr>
            <w:tcW w:w="1048" w:type="dxa"/>
            <w:tcBorders>
              <w:top w:val="double" w:sz="4" w:space="0" w:color="000000"/>
            </w:tcBorders>
          </w:tcPr>
          <w:p>
            <w:pPr>
              <w:pStyle w:val="TableParagraph"/>
              <w:spacing w:before="14"/>
              <w:ind w:right="64"/>
              <w:rPr>
                <w:sz w:val="19"/>
              </w:rPr>
            </w:pPr>
            <w:r>
              <w:rPr>
                <w:w w:val="105"/>
                <w:sz w:val="19"/>
              </w:rPr>
              <w:t>178 596</w:t>
            </w:r>
          </w:p>
        </w:tc>
      </w:tr>
      <w:tr>
        <w:trPr>
          <w:trHeight w:val="240" w:hRule="exact"/>
        </w:trPr>
        <w:tc>
          <w:tcPr>
            <w:tcW w:w="1037" w:type="dxa"/>
          </w:tcPr>
          <w:p>
            <w:pPr>
              <w:pStyle w:val="TableParagraph"/>
              <w:spacing w:before="2"/>
              <w:ind w:left="72"/>
              <w:jc w:val="left"/>
              <w:rPr>
                <w:sz w:val="19"/>
              </w:rPr>
            </w:pPr>
            <w:r>
              <w:rPr>
                <w:w w:val="105"/>
                <w:sz w:val="19"/>
              </w:rPr>
              <w:t>2002</w:t>
            </w:r>
          </w:p>
        </w:tc>
        <w:tc>
          <w:tcPr>
            <w:tcW w:w="928" w:type="dxa"/>
          </w:tcPr>
          <w:p>
            <w:pPr>
              <w:pStyle w:val="TableParagraph"/>
              <w:spacing w:before="2"/>
              <w:ind w:right="237"/>
              <w:rPr>
                <w:sz w:val="19"/>
              </w:rPr>
            </w:pPr>
            <w:r>
              <w:rPr>
                <w:w w:val="105"/>
                <w:sz w:val="19"/>
              </w:rPr>
              <w:t>665 313</w:t>
            </w:r>
          </w:p>
        </w:tc>
        <w:tc>
          <w:tcPr>
            <w:tcW w:w="1119" w:type="dxa"/>
          </w:tcPr>
          <w:p>
            <w:pPr>
              <w:pStyle w:val="TableParagraph"/>
              <w:spacing w:before="2"/>
              <w:ind w:right="228"/>
              <w:rPr>
                <w:sz w:val="19"/>
              </w:rPr>
            </w:pPr>
            <w:r>
              <w:rPr>
                <w:w w:val="105"/>
                <w:sz w:val="19"/>
              </w:rPr>
              <w:t>474 549</w:t>
            </w:r>
          </w:p>
        </w:tc>
        <w:tc>
          <w:tcPr>
            <w:tcW w:w="1102" w:type="dxa"/>
          </w:tcPr>
          <w:p>
            <w:pPr>
              <w:pStyle w:val="TableParagraph"/>
              <w:spacing w:before="2"/>
              <w:ind w:right="192"/>
              <w:rPr>
                <w:sz w:val="19"/>
              </w:rPr>
            </w:pPr>
            <w:r>
              <w:rPr>
                <w:w w:val="105"/>
                <w:sz w:val="19"/>
              </w:rPr>
              <w:t>411 528</w:t>
            </w:r>
          </w:p>
        </w:tc>
        <w:tc>
          <w:tcPr>
            <w:tcW w:w="1015" w:type="dxa"/>
          </w:tcPr>
          <w:p>
            <w:pPr>
              <w:pStyle w:val="TableParagraph"/>
              <w:spacing w:before="2"/>
              <w:ind w:right="151"/>
              <w:rPr>
                <w:sz w:val="19"/>
              </w:rPr>
            </w:pPr>
            <w:r>
              <w:rPr>
                <w:w w:val="105"/>
                <w:sz w:val="19"/>
              </w:rPr>
              <w:t>63 021</w:t>
            </w:r>
          </w:p>
        </w:tc>
        <w:tc>
          <w:tcPr>
            <w:tcW w:w="1048" w:type="dxa"/>
          </w:tcPr>
          <w:p>
            <w:pPr>
              <w:pStyle w:val="TableParagraph"/>
              <w:spacing w:before="2"/>
              <w:ind w:right="64"/>
              <w:rPr>
                <w:sz w:val="19"/>
              </w:rPr>
            </w:pPr>
            <w:r>
              <w:rPr>
                <w:w w:val="105"/>
                <w:sz w:val="19"/>
              </w:rPr>
              <w:t>190 764</w:t>
            </w:r>
          </w:p>
        </w:tc>
      </w:tr>
      <w:tr>
        <w:trPr>
          <w:trHeight w:val="240" w:hRule="exact"/>
        </w:trPr>
        <w:tc>
          <w:tcPr>
            <w:tcW w:w="1037" w:type="dxa"/>
          </w:tcPr>
          <w:p>
            <w:pPr>
              <w:pStyle w:val="TableParagraph"/>
              <w:spacing w:before="2"/>
              <w:ind w:left="72"/>
              <w:jc w:val="left"/>
              <w:rPr>
                <w:sz w:val="19"/>
              </w:rPr>
            </w:pPr>
            <w:r>
              <w:rPr>
                <w:w w:val="105"/>
                <w:sz w:val="19"/>
              </w:rPr>
              <w:t>2003</w:t>
            </w:r>
          </w:p>
        </w:tc>
        <w:tc>
          <w:tcPr>
            <w:tcW w:w="928" w:type="dxa"/>
          </w:tcPr>
          <w:p>
            <w:pPr>
              <w:pStyle w:val="TableParagraph"/>
              <w:spacing w:before="2"/>
              <w:ind w:right="237"/>
              <w:rPr>
                <w:sz w:val="19"/>
              </w:rPr>
            </w:pPr>
            <w:r>
              <w:rPr>
                <w:w w:val="105"/>
                <w:sz w:val="19"/>
              </w:rPr>
              <w:t>693 542</w:t>
            </w:r>
          </w:p>
        </w:tc>
        <w:tc>
          <w:tcPr>
            <w:tcW w:w="1119" w:type="dxa"/>
          </w:tcPr>
          <w:p>
            <w:pPr>
              <w:pStyle w:val="TableParagraph"/>
              <w:spacing w:before="2"/>
              <w:ind w:right="228"/>
              <w:rPr>
                <w:sz w:val="19"/>
              </w:rPr>
            </w:pPr>
            <w:r>
              <w:rPr>
                <w:w w:val="105"/>
                <w:sz w:val="19"/>
              </w:rPr>
              <w:t>504 399</w:t>
            </w:r>
          </w:p>
        </w:tc>
        <w:tc>
          <w:tcPr>
            <w:tcW w:w="1102" w:type="dxa"/>
          </w:tcPr>
          <w:p>
            <w:pPr>
              <w:pStyle w:val="TableParagraph"/>
              <w:spacing w:before="2"/>
              <w:ind w:right="192"/>
              <w:rPr>
                <w:sz w:val="19"/>
              </w:rPr>
            </w:pPr>
            <w:r>
              <w:rPr>
                <w:w w:val="105"/>
                <w:sz w:val="19"/>
              </w:rPr>
              <w:t>434 846</w:t>
            </w:r>
          </w:p>
        </w:tc>
        <w:tc>
          <w:tcPr>
            <w:tcW w:w="1015" w:type="dxa"/>
          </w:tcPr>
          <w:p>
            <w:pPr>
              <w:pStyle w:val="TableParagraph"/>
              <w:spacing w:before="2"/>
              <w:ind w:right="151"/>
              <w:rPr>
                <w:sz w:val="19"/>
              </w:rPr>
            </w:pPr>
            <w:r>
              <w:rPr>
                <w:w w:val="105"/>
                <w:sz w:val="19"/>
              </w:rPr>
              <w:t>69 553</w:t>
            </w:r>
          </w:p>
        </w:tc>
        <w:tc>
          <w:tcPr>
            <w:tcW w:w="1048" w:type="dxa"/>
          </w:tcPr>
          <w:p>
            <w:pPr>
              <w:pStyle w:val="TableParagraph"/>
              <w:spacing w:before="2"/>
              <w:ind w:right="64"/>
              <w:rPr>
                <w:sz w:val="19"/>
              </w:rPr>
            </w:pPr>
            <w:r>
              <w:rPr>
                <w:w w:val="105"/>
                <w:sz w:val="19"/>
              </w:rPr>
              <w:t>189 144</w:t>
            </w:r>
          </w:p>
        </w:tc>
      </w:tr>
      <w:tr>
        <w:trPr>
          <w:trHeight w:val="240" w:hRule="exact"/>
        </w:trPr>
        <w:tc>
          <w:tcPr>
            <w:tcW w:w="1037" w:type="dxa"/>
          </w:tcPr>
          <w:p>
            <w:pPr>
              <w:pStyle w:val="TableParagraph"/>
              <w:spacing w:before="2"/>
              <w:ind w:left="72"/>
              <w:jc w:val="left"/>
              <w:rPr>
                <w:sz w:val="19"/>
              </w:rPr>
            </w:pPr>
            <w:r>
              <w:rPr>
                <w:w w:val="105"/>
                <w:sz w:val="19"/>
              </w:rPr>
              <w:t>2004</w:t>
            </w:r>
          </w:p>
        </w:tc>
        <w:tc>
          <w:tcPr>
            <w:tcW w:w="928" w:type="dxa"/>
          </w:tcPr>
          <w:p>
            <w:pPr>
              <w:pStyle w:val="TableParagraph"/>
              <w:spacing w:before="2"/>
              <w:ind w:right="237"/>
              <w:rPr>
                <w:sz w:val="19"/>
              </w:rPr>
            </w:pPr>
            <w:r>
              <w:rPr>
                <w:w w:val="105"/>
                <w:sz w:val="19"/>
              </w:rPr>
              <w:t>712 401</w:t>
            </w:r>
          </w:p>
        </w:tc>
        <w:tc>
          <w:tcPr>
            <w:tcW w:w="1119" w:type="dxa"/>
          </w:tcPr>
          <w:p>
            <w:pPr>
              <w:pStyle w:val="TableParagraph"/>
              <w:spacing w:before="2"/>
              <w:ind w:right="228"/>
              <w:rPr>
                <w:sz w:val="19"/>
              </w:rPr>
            </w:pPr>
            <w:r>
              <w:rPr>
                <w:w w:val="105"/>
                <w:sz w:val="19"/>
              </w:rPr>
              <w:t>510 917</w:t>
            </w:r>
          </w:p>
        </w:tc>
        <w:tc>
          <w:tcPr>
            <w:tcW w:w="1102" w:type="dxa"/>
          </w:tcPr>
          <w:p>
            <w:pPr>
              <w:pStyle w:val="TableParagraph"/>
              <w:spacing w:before="2"/>
              <w:ind w:right="192"/>
              <w:rPr>
                <w:sz w:val="19"/>
              </w:rPr>
            </w:pPr>
            <w:r>
              <w:rPr>
                <w:w w:val="105"/>
                <w:sz w:val="19"/>
              </w:rPr>
              <w:t>443 300</w:t>
            </w:r>
          </w:p>
        </w:tc>
        <w:tc>
          <w:tcPr>
            <w:tcW w:w="1015" w:type="dxa"/>
          </w:tcPr>
          <w:p>
            <w:pPr>
              <w:pStyle w:val="TableParagraph"/>
              <w:spacing w:before="2"/>
              <w:ind w:right="151"/>
              <w:rPr>
                <w:sz w:val="19"/>
              </w:rPr>
            </w:pPr>
            <w:r>
              <w:rPr>
                <w:w w:val="105"/>
                <w:sz w:val="19"/>
              </w:rPr>
              <w:t>67 617</w:t>
            </w:r>
          </w:p>
        </w:tc>
        <w:tc>
          <w:tcPr>
            <w:tcW w:w="1048" w:type="dxa"/>
          </w:tcPr>
          <w:p>
            <w:pPr>
              <w:pStyle w:val="TableParagraph"/>
              <w:spacing w:before="2"/>
              <w:ind w:right="64"/>
              <w:rPr>
                <w:sz w:val="19"/>
              </w:rPr>
            </w:pPr>
            <w:r>
              <w:rPr>
                <w:w w:val="105"/>
                <w:sz w:val="19"/>
              </w:rPr>
              <w:t>201 483</w:t>
            </w:r>
          </w:p>
        </w:tc>
      </w:tr>
      <w:tr>
        <w:trPr>
          <w:trHeight w:val="240" w:hRule="exact"/>
        </w:trPr>
        <w:tc>
          <w:tcPr>
            <w:tcW w:w="1037" w:type="dxa"/>
          </w:tcPr>
          <w:p>
            <w:pPr>
              <w:pStyle w:val="TableParagraph"/>
              <w:spacing w:before="2"/>
              <w:ind w:left="72"/>
              <w:jc w:val="left"/>
              <w:rPr>
                <w:sz w:val="19"/>
              </w:rPr>
            </w:pPr>
            <w:r>
              <w:rPr>
                <w:w w:val="105"/>
                <w:sz w:val="19"/>
              </w:rPr>
              <w:t>2005</w:t>
            </w:r>
          </w:p>
        </w:tc>
        <w:tc>
          <w:tcPr>
            <w:tcW w:w="928" w:type="dxa"/>
          </w:tcPr>
          <w:p>
            <w:pPr>
              <w:pStyle w:val="TableParagraph"/>
              <w:spacing w:before="2"/>
              <w:ind w:right="237"/>
              <w:rPr>
                <w:sz w:val="19"/>
              </w:rPr>
            </w:pPr>
            <w:r>
              <w:rPr>
                <w:w w:val="105"/>
                <w:sz w:val="19"/>
              </w:rPr>
              <w:t>735 950</w:t>
            </w:r>
          </w:p>
        </w:tc>
        <w:tc>
          <w:tcPr>
            <w:tcW w:w="1119" w:type="dxa"/>
          </w:tcPr>
          <w:p>
            <w:pPr>
              <w:pStyle w:val="TableParagraph"/>
              <w:spacing w:before="2"/>
              <w:ind w:right="228"/>
              <w:rPr>
                <w:sz w:val="19"/>
              </w:rPr>
            </w:pPr>
            <w:r>
              <w:rPr>
                <w:w w:val="105"/>
                <w:sz w:val="19"/>
              </w:rPr>
              <w:t>511 282</w:t>
            </w:r>
          </w:p>
        </w:tc>
        <w:tc>
          <w:tcPr>
            <w:tcW w:w="1102" w:type="dxa"/>
          </w:tcPr>
          <w:p>
            <w:pPr>
              <w:pStyle w:val="TableParagraph"/>
              <w:spacing w:before="2"/>
              <w:ind w:right="192"/>
              <w:rPr>
                <w:sz w:val="19"/>
              </w:rPr>
            </w:pPr>
            <w:r>
              <w:rPr>
                <w:w w:val="105"/>
                <w:sz w:val="19"/>
              </w:rPr>
              <w:t>462 280</w:t>
            </w:r>
          </w:p>
        </w:tc>
        <w:tc>
          <w:tcPr>
            <w:tcW w:w="1015" w:type="dxa"/>
          </w:tcPr>
          <w:p>
            <w:pPr>
              <w:pStyle w:val="TableParagraph"/>
              <w:spacing w:before="2"/>
              <w:ind w:right="151"/>
              <w:rPr>
                <w:sz w:val="19"/>
              </w:rPr>
            </w:pPr>
            <w:r>
              <w:rPr>
                <w:w w:val="105"/>
                <w:sz w:val="19"/>
              </w:rPr>
              <w:t>49 002</w:t>
            </w:r>
          </w:p>
        </w:tc>
        <w:tc>
          <w:tcPr>
            <w:tcW w:w="1048" w:type="dxa"/>
          </w:tcPr>
          <w:p>
            <w:pPr>
              <w:pStyle w:val="TableParagraph"/>
              <w:spacing w:before="2"/>
              <w:ind w:right="64"/>
              <w:rPr>
                <w:sz w:val="19"/>
              </w:rPr>
            </w:pPr>
            <w:r>
              <w:rPr>
                <w:w w:val="105"/>
                <w:sz w:val="19"/>
              </w:rPr>
              <w:t>224 668</w:t>
            </w:r>
          </w:p>
        </w:tc>
      </w:tr>
      <w:tr>
        <w:trPr>
          <w:trHeight w:val="240" w:hRule="exact"/>
        </w:trPr>
        <w:tc>
          <w:tcPr>
            <w:tcW w:w="1037" w:type="dxa"/>
          </w:tcPr>
          <w:p>
            <w:pPr>
              <w:pStyle w:val="TableParagraph"/>
              <w:spacing w:before="2"/>
              <w:ind w:left="72"/>
              <w:jc w:val="left"/>
              <w:rPr>
                <w:sz w:val="19"/>
              </w:rPr>
            </w:pPr>
            <w:r>
              <w:rPr>
                <w:w w:val="105"/>
                <w:sz w:val="19"/>
              </w:rPr>
              <w:t>2006</w:t>
            </w:r>
          </w:p>
        </w:tc>
        <w:tc>
          <w:tcPr>
            <w:tcW w:w="928" w:type="dxa"/>
          </w:tcPr>
          <w:p>
            <w:pPr>
              <w:pStyle w:val="TableParagraph"/>
              <w:spacing w:before="2"/>
              <w:ind w:right="237"/>
              <w:rPr>
                <w:sz w:val="19"/>
              </w:rPr>
            </w:pPr>
            <w:r>
              <w:rPr>
                <w:w w:val="105"/>
                <w:sz w:val="19"/>
              </w:rPr>
              <w:t>772 403</w:t>
            </w:r>
          </w:p>
        </w:tc>
        <w:tc>
          <w:tcPr>
            <w:tcW w:w="1119" w:type="dxa"/>
          </w:tcPr>
          <w:p>
            <w:pPr>
              <w:pStyle w:val="TableParagraph"/>
              <w:spacing w:before="2"/>
              <w:ind w:right="228"/>
              <w:rPr>
                <w:sz w:val="19"/>
              </w:rPr>
            </w:pPr>
            <w:r>
              <w:rPr>
                <w:w w:val="105"/>
                <w:sz w:val="19"/>
              </w:rPr>
              <w:t>515 702</w:t>
            </w:r>
          </w:p>
        </w:tc>
        <w:tc>
          <w:tcPr>
            <w:tcW w:w="1102" w:type="dxa"/>
          </w:tcPr>
          <w:p>
            <w:pPr>
              <w:pStyle w:val="TableParagraph"/>
              <w:spacing w:before="2"/>
              <w:ind w:right="192"/>
              <w:rPr>
                <w:sz w:val="19"/>
              </w:rPr>
            </w:pPr>
            <w:r>
              <w:rPr>
                <w:w w:val="105"/>
                <w:sz w:val="19"/>
              </w:rPr>
              <w:t>437 857</w:t>
            </w:r>
          </w:p>
        </w:tc>
        <w:tc>
          <w:tcPr>
            <w:tcW w:w="1015" w:type="dxa"/>
          </w:tcPr>
          <w:p>
            <w:pPr>
              <w:pStyle w:val="TableParagraph"/>
              <w:spacing w:before="2"/>
              <w:ind w:right="151"/>
              <w:rPr>
                <w:sz w:val="19"/>
              </w:rPr>
            </w:pPr>
            <w:r>
              <w:rPr>
                <w:w w:val="105"/>
                <w:sz w:val="19"/>
              </w:rPr>
              <w:t>77 845</w:t>
            </w:r>
          </w:p>
        </w:tc>
        <w:tc>
          <w:tcPr>
            <w:tcW w:w="1048" w:type="dxa"/>
          </w:tcPr>
          <w:p>
            <w:pPr>
              <w:pStyle w:val="TableParagraph"/>
              <w:spacing w:before="2"/>
              <w:ind w:right="64"/>
              <w:rPr>
                <w:sz w:val="19"/>
              </w:rPr>
            </w:pPr>
            <w:r>
              <w:rPr>
                <w:w w:val="105"/>
                <w:sz w:val="19"/>
              </w:rPr>
              <w:t>256 701</w:t>
            </w:r>
          </w:p>
        </w:tc>
      </w:tr>
      <w:tr>
        <w:trPr>
          <w:trHeight w:val="240" w:hRule="exact"/>
        </w:trPr>
        <w:tc>
          <w:tcPr>
            <w:tcW w:w="1037" w:type="dxa"/>
          </w:tcPr>
          <w:p>
            <w:pPr>
              <w:pStyle w:val="TableParagraph"/>
              <w:spacing w:before="2"/>
              <w:ind w:left="72"/>
              <w:jc w:val="left"/>
              <w:rPr>
                <w:sz w:val="19"/>
              </w:rPr>
            </w:pPr>
            <w:r>
              <w:rPr>
                <w:w w:val="105"/>
                <w:sz w:val="19"/>
              </w:rPr>
              <w:t>2007</w:t>
            </w:r>
          </w:p>
        </w:tc>
        <w:tc>
          <w:tcPr>
            <w:tcW w:w="928" w:type="dxa"/>
          </w:tcPr>
          <w:p>
            <w:pPr>
              <w:pStyle w:val="TableParagraph"/>
              <w:spacing w:before="2"/>
              <w:ind w:right="237"/>
              <w:rPr>
                <w:sz w:val="19"/>
              </w:rPr>
            </w:pPr>
            <w:r>
              <w:rPr>
                <w:w w:val="105"/>
                <w:sz w:val="19"/>
              </w:rPr>
              <w:t>818 892</w:t>
            </w:r>
          </w:p>
        </w:tc>
        <w:tc>
          <w:tcPr>
            <w:tcW w:w="1119" w:type="dxa"/>
          </w:tcPr>
          <w:p>
            <w:pPr>
              <w:pStyle w:val="TableParagraph"/>
              <w:spacing w:before="2"/>
              <w:ind w:right="228"/>
              <w:rPr>
                <w:sz w:val="19"/>
              </w:rPr>
            </w:pPr>
            <w:r>
              <w:rPr>
                <w:w w:val="105"/>
                <w:sz w:val="19"/>
              </w:rPr>
              <w:t>533 975</w:t>
            </w:r>
          </w:p>
        </w:tc>
        <w:tc>
          <w:tcPr>
            <w:tcW w:w="1102" w:type="dxa"/>
          </w:tcPr>
          <w:p>
            <w:pPr>
              <w:pStyle w:val="TableParagraph"/>
              <w:spacing w:before="2"/>
              <w:ind w:right="192"/>
              <w:rPr>
                <w:sz w:val="19"/>
              </w:rPr>
            </w:pPr>
            <w:r>
              <w:rPr>
                <w:w w:val="105"/>
                <w:sz w:val="19"/>
              </w:rPr>
              <w:t>441 235</w:t>
            </w:r>
          </w:p>
        </w:tc>
        <w:tc>
          <w:tcPr>
            <w:tcW w:w="1015" w:type="dxa"/>
          </w:tcPr>
          <w:p>
            <w:pPr>
              <w:pStyle w:val="TableParagraph"/>
              <w:spacing w:before="2"/>
              <w:ind w:right="151"/>
              <w:rPr>
                <w:sz w:val="19"/>
              </w:rPr>
            </w:pPr>
            <w:r>
              <w:rPr>
                <w:w w:val="105"/>
                <w:sz w:val="19"/>
              </w:rPr>
              <w:t>92 740</w:t>
            </w:r>
          </w:p>
        </w:tc>
        <w:tc>
          <w:tcPr>
            <w:tcW w:w="1048" w:type="dxa"/>
          </w:tcPr>
          <w:p>
            <w:pPr>
              <w:pStyle w:val="TableParagraph"/>
              <w:spacing w:before="2"/>
              <w:ind w:right="64"/>
              <w:rPr>
                <w:sz w:val="19"/>
              </w:rPr>
            </w:pPr>
            <w:r>
              <w:rPr>
                <w:w w:val="105"/>
                <w:sz w:val="19"/>
              </w:rPr>
              <w:t>284 917</w:t>
            </w:r>
          </w:p>
        </w:tc>
      </w:tr>
      <w:tr>
        <w:trPr>
          <w:trHeight w:val="240" w:hRule="exact"/>
        </w:trPr>
        <w:tc>
          <w:tcPr>
            <w:tcW w:w="1037" w:type="dxa"/>
          </w:tcPr>
          <w:p>
            <w:pPr>
              <w:pStyle w:val="TableParagraph"/>
              <w:spacing w:before="2"/>
              <w:ind w:left="72"/>
              <w:jc w:val="left"/>
              <w:rPr>
                <w:sz w:val="19"/>
              </w:rPr>
            </w:pPr>
            <w:r>
              <w:rPr>
                <w:w w:val="105"/>
                <w:sz w:val="19"/>
              </w:rPr>
              <w:t>2008</w:t>
            </w:r>
          </w:p>
        </w:tc>
        <w:tc>
          <w:tcPr>
            <w:tcW w:w="928" w:type="dxa"/>
          </w:tcPr>
          <w:p>
            <w:pPr>
              <w:pStyle w:val="TableParagraph"/>
              <w:spacing w:before="2"/>
              <w:ind w:right="237"/>
              <w:rPr>
                <w:sz w:val="19"/>
              </w:rPr>
            </w:pPr>
            <w:r>
              <w:rPr>
                <w:w w:val="105"/>
                <w:sz w:val="19"/>
              </w:rPr>
              <w:t>833 693</w:t>
            </w:r>
          </w:p>
        </w:tc>
        <w:tc>
          <w:tcPr>
            <w:tcW w:w="1119" w:type="dxa"/>
          </w:tcPr>
          <w:p>
            <w:pPr>
              <w:pStyle w:val="TableParagraph"/>
              <w:spacing w:before="2"/>
              <w:ind w:right="228"/>
              <w:rPr>
                <w:sz w:val="19"/>
              </w:rPr>
            </w:pPr>
            <w:r>
              <w:rPr>
                <w:w w:val="105"/>
                <w:sz w:val="19"/>
              </w:rPr>
              <w:t>525 936</w:t>
            </w:r>
          </w:p>
        </w:tc>
        <w:tc>
          <w:tcPr>
            <w:tcW w:w="1102" w:type="dxa"/>
          </w:tcPr>
          <w:p>
            <w:pPr>
              <w:pStyle w:val="TableParagraph"/>
              <w:spacing w:before="2"/>
              <w:ind w:right="192"/>
              <w:rPr>
                <w:sz w:val="19"/>
              </w:rPr>
            </w:pPr>
            <w:r>
              <w:rPr>
                <w:w w:val="105"/>
                <w:sz w:val="19"/>
              </w:rPr>
              <w:t>412 376</w:t>
            </w:r>
          </w:p>
        </w:tc>
        <w:tc>
          <w:tcPr>
            <w:tcW w:w="1015" w:type="dxa"/>
          </w:tcPr>
          <w:p>
            <w:pPr>
              <w:pStyle w:val="TableParagraph"/>
              <w:spacing w:before="2"/>
              <w:ind w:right="151"/>
              <w:rPr>
                <w:sz w:val="19"/>
              </w:rPr>
            </w:pPr>
            <w:r>
              <w:rPr>
                <w:w w:val="105"/>
                <w:sz w:val="19"/>
              </w:rPr>
              <w:t>113 560</w:t>
            </w:r>
          </w:p>
        </w:tc>
        <w:tc>
          <w:tcPr>
            <w:tcW w:w="1048" w:type="dxa"/>
          </w:tcPr>
          <w:p>
            <w:pPr>
              <w:pStyle w:val="TableParagraph"/>
              <w:spacing w:before="2"/>
              <w:ind w:right="64"/>
              <w:rPr>
                <w:sz w:val="19"/>
              </w:rPr>
            </w:pPr>
            <w:r>
              <w:rPr>
                <w:w w:val="105"/>
                <w:sz w:val="19"/>
              </w:rPr>
              <w:t>307 756</w:t>
            </w:r>
          </w:p>
        </w:tc>
      </w:tr>
      <w:tr>
        <w:trPr>
          <w:trHeight w:val="240" w:hRule="exact"/>
        </w:trPr>
        <w:tc>
          <w:tcPr>
            <w:tcW w:w="1037" w:type="dxa"/>
          </w:tcPr>
          <w:p>
            <w:pPr>
              <w:pStyle w:val="TableParagraph"/>
              <w:spacing w:before="2"/>
              <w:ind w:left="72"/>
              <w:jc w:val="left"/>
              <w:rPr>
                <w:sz w:val="19"/>
              </w:rPr>
            </w:pPr>
            <w:r>
              <w:rPr>
                <w:w w:val="105"/>
                <w:sz w:val="19"/>
              </w:rPr>
              <w:t>2009</w:t>
            </w:r>
          </w:p>
        </w:tc>
        <w:tc>
          <w:tcPr>
            <w:tcW w:w="928" w:type="dxa"/>
          </w:tcPr>
          <w:p>
            <w:pPr>
              <w:pStyle w:val="TableParagraph"/>
              <w:spacing w:before="2"/>
              <w:ind w:right="237"/>
              <w:rPr>
                <w:sz w:val="19"/>
              </w:rPr>
            </w:pPr>
            <w:r>
              <w:rPr>
                <w:w w:val="105"/>
                <w:sz w:val="19"/>
              </w:rPr>
              <w:t>859 720</w:t>
            </w:r>
          </w:p>
        </w:tc>
        <w:tc>
          <w:tcPr>
            <w:tcW w:w="1119" w:type="dxa"/>
          </w:tcPr>
          <w:p>
            <w:pPr>
              <w:pStyle w:val="TableParagraph"/>
              <w:spacing w:before="2"/>
              <w:ind w:right="228"/>
              <w:rPr>
                <w:sz w:val="19"/>
              </w:rPr>
            </w:pPr>
            <w:r>
              <w:rPr>
                <w:w w:val="105"/>
                <w:sz w:val="19"/>
              </w:rPr>
              <w:t>554 038</w:t>
            </w:r>
          </w:p>
        </w:tc>
        <w:tc>
          <w:tcPr>
            <w:tcW w:w="1102" w:type="dxa"/>
          </w:tcPr>
          <w:p>
            <w:pPr>
              <w:pStyle w:val="TableParagraph"/>
              <w:spacing w:before="2"/>
              <w:ind w:right="192"/>
              <w:rPr>
                <w:sz w:val="19"/>
              </w:rPr>
            </w:pPr>
            <w:r>
              <w:rPr>
                <w:w w:val="105"/>
                <w:sz w:val="19"/>
              </w:rPr>
              <w:t>446 653</w:t>
            </w:r>
          </w:p>
        </w:tc>
        <w:tc>
          <w:tcPr>
            <w:tcW w:w="1015" w:type="dxa"/>
          </w:tcPr>
          <w:p>
            <w:pPr>
              <w:pStyle w:val="TableParagraph"/>
              <w:spacing w:before="2"/>
              <w:ind w:right="151"/>
              <w:rPr>
                <w:sz w:val="19"/>
              </w:rPr>
            </w:pPr>
            <w:r>
              <w:rPr>
                <w:w w:val="105"/>
                <w:sz w:val="19"/>
              </w:rPr>
              <w:t>107 384</w:t>
            </w:r>
          </w:p>
        </w:tc>
        <w:tc>
          <w:tcPr>
            <w:tcW w:w="1048" w:type="dxa"/>
          </w:tcPr>
          <w:p>
            <w:pPr>
              <w:pStyle w:val="TableParagraph"/>
              <w:spacing w:before="2"/>
              <w:ind w:right="64"/>
              <w:rPr>
                <w:sz w:val="19"/>
              </w:rPr>
            </w:pPr>
            <w:r>
              <w:rPr>
                <w:w w:val="105"/>
                <w:sz w:val="19"/>
              </w:rPr>
              <w:t>305 683</w:t>
            </w:r>
          </w:p>
        </w:tc>
      </w:tr>
      <w:tr>
        <w:trPr>
          <w:trHeight w:val="240" w:hRule="exact"/>
        </w:trPr>
        <w:tc>
          <w:tcPr>
            <w:tcW w:w="1037" w:type="dxa"/>
          </w:tcPr>
          <w:p>
            <w:pPr>
              <w:pStyle w:val="TableParagraph"/>
              <w:spacing w:before="2"/>
              <w:ind w:left="72"/>
              <w:jc w:val="left"/>
              <w:rPr>
                <w:sz w:val="19"/>
              </w:rPr>
            </w:pPr>
            <w:r>
              <w:rPr>
                <w:w w:val="105"/>
                <w:sz w:val="19"/>
              </w:rPr>
              <w:t>2010</w:t>
            </w:r>
          </w:p>
        </w:tc>
        <w:tc>
          <w:tcPr>
            <w:tcW w:w="928" w:type="dxa"/>
          </w:tcPr>
          <w:p>
            <w:pPr>
              <w:pStyle w:val="TableParagraph"/>
              <w:spacing w:before="2"/>
              <w:ind w:right="237"/>
              <w:rPr>
                <w:sz w:val="19"/>
              </w:rPr>
            </w:pPr>
            <w:r>
              <w:rPr>
                <w:w w:val="105"/>
                <w:sz w:val="19"/>
              </w:rPr>
              <w:t>884 823</w:t>
            </w:r>
          </w:p>
        </w:tc>
        <w:tc>
          <w:tcPr>
            <w:tcW w:w="1119" w:type="dxa"/>
          </w:tcPr>
          <w:p>
            <w:pPr>
              <w:pStyle w:val="TableParagraph"/>
              <w:spacing w:before="2"/>
              <w:ind w:right="228"/>
              <w:rPr>
                <w:sz w:val="19"/>
              </w:rPr>
            </w:pPr>
            <w:r>
              <w:rPr>
                <w:w w:val="105"/>
                <w:sz w:val="19"/>
              </w:rPr>
              <w:t>578 689</w:t>
            </w:r>
          </w:p>
        </w:tc>
        <w:tc>
          <w:tcPr>
            <w:tcW w:w="1102" w:type="dxa"/>
          </w:tcPr>
          <w:p>
            <w:pPr>
              <w:pStyle w:val="TableParagraph"/>
              <w:spacing w:before="2"/>
              <w:ind w:right="192"/>
              <w:rPr>
                <w:sz w:val="19"/>
              </w:rPr>
            </w:pPr>
            <w:r>
              <w:rPr>
                <w:w w:val="105"/>
                <w:sz w:val="19"/>
              </w:rPr>
              <w:t>103 234</w:t>
            </w:r>
          </w:p>
        </w:tc>
        <w:tc>
          <w:tcPr>
            <w:tcW w:w="1015" w:type="dxa"/>
          </w:tcPr>
          <w:p>
            <w:pPr>
              <w:pStyle w:val="TableParagraph"/>
              <w:spacing w:before="2"/>
              <w:ind w:right="151"/>
              <w:rPr>
                <w:sz w:val="19"/>
              </w:rPr>
            </w:pPr>
            <w:r>
              <w:rPr>
                <w:w w:val="105"/>
                <w:sz w:val="19"/>
              </w:rPr>
              <w:t>475 455</w:t>
            </w:r>
          </w:p>
        </w:tc>
        <w:tc>
          <w:tcPr>
            <w:tcW w:w="1048" w:type="dxa"/>
          </w:tcPr>
          <w:p>
            <w:pPr>
              <w:pStyle w:val="TableParagraph"/>
              <w:spacing w:before="2"/>
              <w:ind w:right="64"/>
              <w:rPr>
                <w:sz w:val="19"/>
              </w:rPr>
            </w:pPr>
            <w:r>
              <w:rPr>
                <w:w w:val="105"/>
                <w:sz w:val="19"/>
              </w:rPr>
              <w:t>306 134</w:t>
            </w:r>
          </w:p>
        </w:tc>
      </w:tr>
      <w:tr>
        <w:trPr>
          <w:trHeight w:val="240" w:hRule="exact"/>
        </w:trPr>
        <w:tc>
          <w:tcPr>
            <w:tcW w:w="1037" w:type="dxa"/>
          </w:tcPr>
          <w:p>
            <w:pPr>
              <w:pStyle w:val="TableParagraph"/>
              <w:spacing w:before="2"/>
              <w:ind w:left="121"/>
              <w:jc w:val="left"/>
              <w:rPr>
                <w:i/>
                <w:sz w:val="19"/>
              </w:rPr>
            </w:pPr>
            <w:r>
              <w:rPr>
                <w:i/>
                <w:w w:val="105"/>
                <w:sz w:val="19"/>
              </w:rPr>
              <w:t>Porcentaje</w:t>
            </w:r>
          </w:p>
        </w:tc>
        <w:tc>
          <w:tcPr>
            <w:tcW w:w="928" w:type="dxa"/>
          </w:tcPr>
          <w:p>
            <w:pPr/>
          </w:p>
        </w:tc>
        <w:tc>
          <w:tcPr>
            <w:tcW w:w="1119" w:type="dxa"/>
          </w:tcPr>
          <w:p>
            <w:pPr/>
          </w:p>
        </w:tc>
        <w:tc>
          <w:tcPr>
            <w:tcW w:w="1102" w:type="dxa"/>
          </w:tcPr>
          <w:p>
            <w:pPr/>
          </w:p>
        </w:tc>
        <w:tc>
          <w:tcPr>
            <w:tcW w:w="1015" w:type="dxa"/>
          </w:tcPr>
          <w:p>
            <w:pPr/>
          </w:p>
        </w:tc>
        <w:tc>
          <w:tcPr>
            <w:tcW w:w="1048" w:type="dxa"/>
          </w:tcPr>
          <w:p>
            <w:pPr/>
          </w:p>
        </w:tc>
      </w:tr>
      <w:tr>
        <w:trPr>
          <w:trHeight w:val="240" w:hRule="exact"/>
        </w:trPr>
        <w:tc>
          <w:tcPr>
            <w:tcW w:w="1037" w:type="dxa"/>
          </w:tcPr>
          <w:p>
            <w:pPr>
              <w:pStyle w:val="TableParagraph"/>
              <w:spacing w:before="2"/>
              <w:ind w:left="72"/>
              <w:jc w:val="left"/>
              <w:rPr>
                <w:sz w:val="19"/>
              </w:rPr>
            </w:pPr>
            <w:r>
              <w:rPr>
                <w:w w:val="105"/>
                <w:sz w:val="19"/>
              </w:rPr>
              <w:t>2001</w:t>
            </w:r>
          </w:p>
        </w:tc>
        <w:tc>
          <w:tcPr>
            <w:tcW w:w="928" w:type="dxa"/>
          </w:tcPr>
          <w:p>
            <w:pPr>
              <w:pStyle w:val="TableParagraph"/>
              <w:spacing w:before="2"/>
              <w:ind w:right="238"/>
              <w:rPr>
                <w:sz w:val="19"/>
              </w:rPr>
            </w:pPr>
            <w:r>
              <w:rPr>
                <w:sz w:val="19"/>
              </w:rPr>
              <w:t>100.0</w:t>
            </w:r>
          </w:p>
        </w:tc>
        <w:tc>
          <w:tcPr>
            <w:tcW w:w="1119" w:type="dxa"/>
          </w:tcPr>
          <w:p>
            <w:pPr>
              <w:pStyle w:val="TableParagraph"/>
              <w:spacing w:before="2"/>
              <w:ind w:right="229"/>
              <w:rPr>
                <w:sz w:val="19"/>
              </w:rPr>
            </w:pPr>
            <w:r>
              <w:rPr>
                <w:sz w:val="19"/>
              </w:rPr>
              <w:t>71.3</w:t>
            </w:r>
          </w:p>
        </w:tc>
        <w:tc>
          <w:tcPr>
            <w:tcW w:w="1102" w:type="dxa"/>
          </w:tcPr>
          <w:p>
            <w:pPr>
              <w:pStyle w:val="TableParagraph"/>
              <w:spacing w:before="2"/>
              <w:ind w:right="194"/>
              <w:rPr>
                <w:sz w:val="19"/>
              </w:rPr>
            </w:pPr>
            <w:r>
              <w:rPr>
                <w:sz w:val="19"/>
              </w:rPr>
              <w:t>61.6</w:t>
            </w:r>
          </w:p>
        </w:tc>
        <w:tc>
          <w:tcPr>
            <w:tcW w:w="1015" w:type="dxa"/>
          </w:tcPr>
          <w:p>
            <w:pPr>
              <w:pStyle w:val="TableParagraph"/>
              <w:spacing w:before="2"/>
              <w:ind w:right="153"/>
              <w:rPr>
                <w:sz w:val="19"/>
              </w:rPr>
            </w:pPr>
            <w:r>
              <w:rPr>
                <w:sz w:val="19"/>
              </w:rPr>
              <w:t>9.7</w:t>
            </w:r>
          </w:p>
        </w:tc>
        <w:tc>
          <w:tcPr>
            <w:tcW w:w="1048" w:type="dxa"/>
          </w:tcPr>
          <w:p>
            <w:pPr>
              <w:pStyle w:val="TableParagraph"/>
              <w:spacing w:before="2"/>
              <w:ind w:right="66"/>
              <w:rPr>
                <w:sz w:val="19"/>
              </w:rPr>
            </w:pPr>
            <w:r>
              <w:rPr>
                <w:sz w:val="19"/>
              </w:rPr>
              <w:t>28.7</w:t>
            </w:r>
          </w:p>
        </w:tc>
      </w:tr>
      <w:tr>
        <w:trPr>
          <w:trHeight w:val="240" w:hRule="exact"/>
        </w:trPr>
        <w:tc>
          <w:tcPr>
            <w:tcW w:w="1037" w:type="dxa"/>
          </w:tcPr>
          <w:p>
            <w:pPr>
              <w:pStyle w:val="TableParagraph"/>
              <w:spacing w:before="2"/>
              <w:ind w:left="72"/>
              <w:jc w:val="left"/>
              <w:rPr>
                <w:sz w:val="19"/>
              </w:rPr>
            </w:pPr>
            <w:r>
              <w:rPr>
                <w:w w:val="105"/>
                <w:sz w:val="19"/>
              </w:rPr>
              <w:t>2002</w:t>
            </w:r>
          </w:p>
        </w:tc>
        <w:tc>
          <w:tcPr>
            <w:tcW w:w="928" w:type="dxa"/>
          </w:tcPr>
          <w:p>
            <w:pPr>
              <w:pStyle w:val="TableParagraph"/>
              <w:spacing w:before="2"/>
              <w:ind w:right="238"/>
              <w:rPr>
                <w:sz w:val="19"/>
              </w:rPr>
            </w:pPr>
            <w:r>
              <w:rPr>
                <w:sz w:val="19"/>
              </w:rPr>
              <w:t>100.0</w:t>
            </w:r>
          </w:p>
        </w:tc>
        <w:tc>
          <w:tcPr>
            <w:tcW w:w="1119" w:type="dxa"/>
          </w:tcPr>
          <w:p>
            <w:pPr>
              <w:pStyle w:val="TableParagraph"/>
              <w:spacing w:before="2"/>
              <w:ind w:right="229"/>
              <w:rPr>
                <w:sz w:val="19"/>
              </w:rPr>
            </w:pPr>
            <w:r>
              <w:rPr>
                <w:sz w:val="19"/>
              </w:rPr>
              <w:t>71.3</w:t>
            </w:r>
          </w:p>
        </w:tc>
        <w:tc>
          <w:tcPr>
            <w:tcW w:w="1102" w:type="dxa"/>
          </w:tcPr>
          <w:p>
            <w:pPr>
              <w:pStyle w:val="TableParagraph"/>
              <w:spacing w:before="2"/>
              <w:ind w:right="194"/>
              <w:rPr>
                <w:sz w:val="19"/>
              </w:rPr>
            </w:pPr>
            <w:r>
              <w:rPr>
                <w:sz w:val="19"/>
              </w:rPr>
              <w:t>61.9</w:t>
            </w:r>
          </w:p>
        </w:tc>
        <w:tc>
          <w:tcPr>
            <w:tcW w:w="1015" w:type="dxa"/>
          </w:tcPr>
          <w:p>
            <w:pPr>
              <w:pStyle w:val="TableParagraph"/>
              <w:spacing w:before="2"/>
              <w:ind w:right="153"/>
              <w:rPr>
                <w:sz w:val="19"/>
              </w:rPr>
            </w:pPr>
            <w:r>
              <w:rPr>
                <w:sz w:val="19"/>
              </w:rPr>
              <w:t>9.5</w:t>
            </w:r>
          </w:p>
        </w:tc>
        <w:tc>
          <w:tcPr>
            <w:tcW w:w="1048" w:type="dxa"/>
          </w:tcPr>
          <w:p>
            <w:pPr>
              <w:pStyle w:val="TableParagraph"/>
              <w:spacing w:before="2"/>
              <w:ind w:right="66"/>
              <w:rPr>
                <w:sz w:val="19"/>
              </w:rPr>
            </w:pPr>
            <w:r>
              <w:rPr>
                <w:sz w:val="19"/>
              </w:rPr>
              <w:t>28.7</w:t>
            </w:r>
          </w:p>
        </w:tc>
      </w:tr>
      <w:tr>
        <w:trPr>
          <w:trHeight w:val="240" w:hRule="exact"/>
        </w:trPr>
        <w:tc>
          <w:tcPr>
            <w:tcW w:w="1037" w:type="dxa"/>
          </w:tcPr>
          <w:p>
            <w:pPr>
              <w:pStyle w:val="TableParagraph"/>
              <w:spacing w:before="2"/>
              <w:ind w:left="72"/>
              <w:jc w:val="left"/>
              <w:rPr>
                <w:sz w:val="19"/>
              </w:rPr>
            </w:pPr>
            <w:r>
              <w:rPr>
                <w:w w:val="105"/>
                <w:sz w:val="19"/>
              </w:rPr>
              <w:t>2003</w:t>
            </w:r>
          </w:p>
        </w:tc>
        <w:tc>
          <w:tcPr>
            <w:tcW w:w="928" w:type="dxa"/>
          </w:tcPr>
          <w:p>
            <w:pPr>
              <w:pStyle w:val="TableParagraph"/>
              <w:spacing w:before="2"/>
              <w:ind w:right="238"/>
              <w:rPr>
                <w:sz w:val="19"/>
              </w:rPr>
            </w:pPr>
            <w:r>
              <w:rPr>
                <w:sz w:val="19"/>
              </w:rPr>
              <w:t>100.0</w:t>
            </w:r>
          </w:p>
        </w:tc>
        <w:tc>
          <w:tcPr>
            <w:tcW w:w="1119" w:type="dxa"/>
          </w:tcPr>
          <w:p>
            <w:pPr>
              <w:pStyle w:val="TableParagraph"/>
              <w:spacing w:before="2"/>
              <w:ind w:right="229"/>
              <w:rPr>
                <w:sz w:val="19"/>
              </w:rPr>
            </w:pPr>
            <w:r>
              <w:rPr>
                <w:sz w:val="19"/>
              </w:rPr>
              <w:t>72.7</w:t>
            </w:r>
          </w:p>
        </w:tc>
        <w:tc>
          <w:tcPr>
            <w:tcW w:w="1102" w:type="dxa"/>
          </w:tcPr>
          <w:p>
            <w:pPr>
              <w:pStyle w:val="TableParagraph"/>
              <w:spacing w:before="2"/>
              <w:ind w:right="194"/>
              <w:rPr>
                <w:sz w:val="19"/>
              </w:rPr>
            </w:pPr>
            <w:r>
              <w:rPr>
                <w:sz w:val="19"/>
              </w:rPr>
              <w:t>62.7</w:t>
            </w:r>
          </w:p>
        </w:tc>
        <w:tc>
          <w:tcPr>
            <w:tcW w:w="1015" w:type="dxa"/>
          </w:tcPr>
          <w:p>
            <w:pPr>
              <w:pStyle w:val="TableParagraph"/>
              <w:spacing w:before="2"/>
              <w:ind w:right="153"/>
              <w:rPr>
                <w:sz w:val="19"/>
              </w:rPr>
            </w:pPr>
            <w:r>
              <w:rPr>
                <w:sz w:val="19"/>
              </w:rPr>
              <w:t>10.0</w:t>
            </w:r>
          </w:p>
        </w:tc>
        <w:tc>
          <w:tcPr>
            <w:tcW w:w="1048" w:type="dxa"/>
          </w:tcPr>
          <w:p>
            <w:pPr>
              <w:pStyle w:val="TableParagraph"/>
              <w:spacing w:before="2"/>
              <w:ind w:right="66"/>
              <w:rPr>
                <w:sz w:val="19"/>
              </w:rPr>
            </w:pPr>
            <w:r>
              <w:rPr>
                <w:sz w:val="19"/>
              </w:rPr>
              <w:t>27.3</w:t>
            </w:r>
          </w:p>
        </w:tc>
      </w:tr>
      <w:tr>
        <w:trPr>
          <w:trHeight w:val="240" w:hRule="exact"/>
        </w:trPr>
        <w:tc>
          <w:tcPr>
            <w:tcW w:w="1037" w:type="dxa"/>
          </w:tcPr>
          <w:p>
            <w:pPr>
              <w:pStyle w:val="TableParagraph"/>
              <w:spacing w:before="2"/>
              <w:ind w:left="72"/>
              <w:jc w:val="left"/>
              <w:rPr>
                <w:sz w:val="19"/>
              </w:rPr>
            </w:pPr>
            <w:r>
              <w:rPr>
                <w:w w:val="105"/>
                <w:sz w:val="19"/>
              </w:rPr>
              <w:t>2004</w:t>
            </w:r>
          </w:p>
        </w:tc>
        <w:tc>
          <w:tcPr>
            <w:tcW w:w="928" w:type="dxa"/>
          </w:tcPr>
          <w:p>
            <w:pPr>
              <w:pStyle w:val="TableParagraph"/>
              <w:spacing w:before="2"/>
              <w:ind w:right="238"/>
              <w:rPr>
                <w:sz w:val="19"/>
              </w:rPr>
            </w:pPr>
            <w:r>
              <w:rPr>
                <w:sz w:val="19"/>
              </w:rPr>
              <w:t>100.0</w:t>
            </w:r>
          </w:p>
        </w:tc>
        <w:tc>
          <w:tcPr>
            <w:tcW w:w="1119" w:type="dxa"/>
          </w:tcPr>
          <w:p>
            <w:pPr>
              <w:pStyle w:val="TableParagraph"/>
              <w:spacing w:before="2"/>
              <w:ind w:right="229"/>
              <w:rPr>
                <w:sz w:val="19"/>
              </w:rPr>
            </w:pPr>
            <w:r>
              <w:rPr>
                <w:sz w:val="19"/>
              </w:rPr>
              <w:t>71.7</w:t>
            </w:r>
          </w:p>
        </w:tc>
        <w:tc>
          <w:tcPr>
            <w:tcW w:w="1102" w:type="dxa"/>
          </w:tcPr>
          <w:p>
            <w:pPr>
              <w:pStyle w:val="TableParagraph"/>
              <w:spacing w:before="2"/>
              <w:ind w:right="194"/>
              <w:rPr>
                <w:sz w:val="19"/>
              </w:rPr>
            </w:pPr>
            <w:r>
              <w:rPr>
                <w:sz w:val="19"/>
              </w:rPr>
              <w:t>62.2</w:t>
            </w:r>
          </w:p>
        </w:tc>
        <w:tc>
          <w:tcPr>
            <w:tcW w:w="1015" w:type="dxa"/>
          </w:tcPr>
          <w:p>
            <w:pPr>
              <w:pStyle w:val="TableParagraph"/>
              <w:spacing w:before="2"/>
              <w:ind w:right="153"/>
              <w:rPr>
                <w:sz w:val="19"/>
              </w:rPr>
            </w:pPr>
            <w:r>
              <w:rPr>
                <w:sz w:val="19"/>
              </w:rPr>
              <w:t>9.5</w:t>
            </w:r>
          </w:p>
        </w:tc>
        <w:tc>
          <w:tcPr>
            <w:tcW w:w="1048" w:type="dxa"/>
          </w:tcPr>
          <w:p>
            <w:pPr>
              <w:pStyle w:val="TableParagraph"/>
              <w:spacing w:before="2"/>
              <w:ind w:right="66"/>
              <w:rPr>
                <w:sz w:val="19"/>
              </w:rPr>
            </w:pPr>
            <w:r>
              <w:rPr>
                <w:sz w:val="19"/>
              </w:rPr>
              <w:t>28.3</w:t>
            </w:r>
          </w:p>
        </w:tc>
      </w:tr>
      <w:tr>
        <w:trPr>
          <w:trHeight w:val="240" w:hRule="exact"/>
        </w:trPr>
        <w:tc>
          <w:tcPr>
            <w:tcW w:w="1037" w:type="dxa"/>
          </w:tcPr>
          <w:p>
            <w:pPr>
              <w:pStyle w:val="TableParagraph"/>
              <w:spacing w:before="2"/>
              <w:ind w:left="72"/>
              <w:jc w:val="left"/>
              <w:rPr>
                <w:sz w:val="19"/>
              </w:rPr>
            </w:pPr>
            <w:r>
              <w:rPr>
                <w:w w:val="105"/>
                <w:sz w:val="19"/>
              </w:rPr>
              <w:t>2005</w:t>
            </w:r>
          </w:p>
        </w:tc>
        <w:tc>
          <w:tcPr>
            <w:tcW w:w="928" w:type="dxa"/>
          </w:tcPr>
          <w:p>
            <w:pPr>
              <w:pStyle w:val="TableParagraph"/>
              <w:spacing w:before="2"/>
              <w:ind w:right="238"/>
              <w:rPr>
                <w:sz w:val="19"/>
              </w:rPr>
            </w:pPr>
            <w:r>
              <w:rPr>
                <w:sz w:val="19"/>
              </w:rPr>
              <w:t>100.0</w:t>
            </w:r>
          </w:p>
        </w:tc>
        <w:tc>
          <w:tcPr>
            <w:tcW w:w="1119" w:type="dxa"/>
          </w:tcPr>
          <w:p>
            <w:pPr>
              <w:pStyle w:val="TableParagraph"/>
              <w:spacing w:before="2"/>
              <w:ind w:right="229"/>
              <w:rPr>
                <w:sz w:val="19"/>
              </w:rPr>
            </w:pPr>
            <w:r>
              <w:rPr>
                <w:sz w:val="19"/>
              </w:rPr>
              <w:t>69.5</w:t>
            </w:r>
          </w:p>
        </w:tc>
        <w:tc>
          <w:tcPr>
            <w:tcW w:w="1102" w:type="dxa"/>
          </w:tcPr>
          <w:p>
            <w:pPr>
              <w:pStyle w:val="TableParagraph"/>
              <w:spacing w:before="2"/>
              <w:ind w:right="194"/>
              <w:rPr>
                <w:sz w:val="19"/>
              </w:rPr>
            </w:pPr>
            <w:r>
              <w:rPr>
                <w:sz w:val="19"/>
              </w:rPr>
              <w:t>62.8</w:t>
            </w:r>
          </w:p>
        </w:tc>
        <w:tc>
          <w:tcPr>
            <w:tcW w:w="1015" w:type="dxa"/>
          </w:tcPr>
          <w:p>
            <w:pPr>
              <w:pStyle w:val="TableParagraph"/>
              <w:spacing w:before="2"/>
              <w:ind w:right="153"/>
              <w:rPr>
                <w:sz w:val="19"/>
              </w:rPr>
            </w:pPr>
            <w:r>
              <w:rPr>
                <w:sz w:val="19"/>
              </w:rPr>
              <w:t>6.7</w:t>
            </w:r>
          </w:p>
        </w:tc>
        <w:tc>
          <w:tcPr>
            <w:tcW w:w="1048" w:type="dxa"/>
          </w:tcPr>
          <w:p>
            <w:pPr>
              <w:pStyle w:val="TableParagraph"/>
              <w:spacing w:before="2"/>
              <w:ind w:right="66"/>
              <w:rPr>
                <w:sz w:val="19"/>
              </w:rPr>
            </w:pPr>
            <w:r>
              <w:rPr>
                <w:sz w:val="19"/>
              </w:rPr>
              <w:t>30.5</w:t>
            </w:r>
          </w:p>
        </w:tc>
      </w:tr>
      <w:tr>
        <w:trPr>
          <w:trHeight w:val="240" w:hRule="exact"/>
        </w:trPr>
        <w:tc>
          <w:tcPr>
            <w:tcW w:w="1037" w:type="dxa"/>
          </w:tcPr>
          <w:p>
            <w:pPr>
              <w:pStyle w:val="TableParagraph"/>
              <w:spacing w:before="2"/>
              <w:ind w:left="72"/>
              <w:jc w:val="left"/>
              <w:rPr>
                <w:sz w:val="19"/>
              </w:rPr>
            </w:pPr>
            <w:r>
              <w:rPr>
                <w:w w:val="105"/>
                <w:sz w:val="19"/>
              </w:rPr>
              <w:t>2006</w:t>
            </w:r>
          </w:p>
        </w:tc>
        <w:tc>
          <w:tcPr>
            <w:tcW w:w="928" w:type="dxa"/>
          </w:tcPr>
          <w:p>
            <w:pPr>
              <w:pStyle w:val="TableParagraph"/>
              <w:spacing w:before="2"/>
              <w:ind w:right="238"/>
              <w:rPr>
                <w:sz w:val="19"/>
              </w:rPr>
            </w:pPr>
            <w:r>
              <w:rPr>
                <w:sz w:val="19"/>
              </w:rPr>
              <w:t>100.0</w:t>
            </w:r>
          </w:p>
        </w:tc>
        <w:tc>
          <w:tcPr>
            <w:tcW w:w="1119" w:type="dxa"/>
          </w:tcPr>
          <w:p>
            <w:pPr>
              <w:pStyle w:val="TableParagraph"/>
              <w:spacing w:before="2"/>
              <w:ind w:right="229"/>
              <w:rPr>
                <w:sz w:val="19"/>
              </w:rPr>
            </w:pPr>
            <w:r>
              <w:rPr>
                <w:sz w:val="19"/>
              </w:rPr>
              <w:t>66.8</w:t>
            </w:r>
          </w:p>
        </w:tc>
        <w:tc>
          <w:tcPr>
            <w:tcW w:w="1102" w:type="dxa"/>
          </w:tcPr>
          <w:p>
            <w:pPr>
              <w:pStyle w:val="TableParagraph"/>
              <w:spacing w:before="2"/>
              <w:ind w:right="194"/>
              <w:rPr>
                <w:sz w:val="19"/>
              </w:rPr>
            </w:pPr>
            <w:r>
              <w:rPr>
                <w:sz w:val="19"/>
              </w:rPr>
              <w:t>56.7</w:t>
            </w:r>
          </w:p>
        </w:tc>
        <w:tc>
          <w:tcPr>
            <w:tcW w:w="1015" w:type="dxa"/>
          </w:tcPr>
          <w:p>
            <w:pPr>
              <w:pStyle w:val="TableParagraph"/>
              <w:spacing w:before="2"/>
              <w:ind w:right="153"/>
              <w:rPr>
                <w:sz w:val="19"/>
              </w:rPr>
            </w:pPr>
            <w:r>
              <w:rPr>
                <w:sz w:val="19"/>
              </w:rPr>
              <w:t>10.1</w:t>
            </w:r>
          </w:p>
        </w:tc>
        <w:tc>
          <w:tcPr>
            <w:tcW w:w="1048" w:type="dxa"/>
          </w:tcPr>
          <w:p>
            <w:pPr>
              <w:pStyle w:val="TableParagraph"/>
              <w:spacing w:before="2"/>
              <w:ind w:right="66"/>
              <w:rPr>
                <w:sz w:val="19"/>
              </w:rPr>
            </w:pPr>
            <w:r>
              <w:rPr>
                <w:sz w:val="19"/>
              </w:rPr>
              <w:t>33.2</w:t>
            </w:r>
          </w:p>
        </w:tc>
      </w:tr>
      <w:tr>
        <w:trPr>
          <w:trHeight w:val="240" w:hRule="exact"/>
        </w:trPr>
        <w:tc>
          <w:tcPr>
            <w:tcW w:w="1037" w:type="dxa"/>
          </w:tcPr>
          <w:p>
            <w:pPr>
              <w:pStyle w:val="TableParagraph"/>
              <w:spacing w:before="2"/>
              <w:ind w:left="72"/>
              <w:jc w:val="left"/>
              <w:rPr>
                <w:sz w:val="19"/>
              </w:rPr>
            </w:pPr>
            <w:r>
              <w:rPr>
                <w:w w:val="105"/>
                <w:sz w:val="19"/>
              </w:rPr>
              <w:t>2007</w:t>
            </w:r>
          </w:p>
        </w:tc>
        <w:tc>
          <w:tcPr>
            <w:tcW w:w="928" w:type="dxa"/>
          </w:tcPr>
          <w:p>
            <w:pPr>
              <w:pStyle w:val="TableParagraph"/>
              <w:spacing w:before="2"/>
              <w:ind w:right="238"/>
              <w:rPr>
                <w:sz w:val="19"/>
              </w:rPr>
            </w:pPr>
            <w:r>
              <w:rPr>
                <w:sz w:val="19"/>
              </w:rPr>
              <w:t>100.0</w:t>
            </w:r>
          </w:p>
        </w:tc>
        <w:tc>
          <w:tcPr>
            <w:tcW w:w="1119" w:type="dxa"/>
          </w:tcPr>
          <w:p>
            <w:pPr>
              <w:pStyle w:val="TableParagraph"/>
              <w:spacing w:before="2"/>
              <w:ind w:right="229"/>
              <w:rPr>
                <w:sz w:val="19"/>
              </w:rPr>
            </w:pPr>
            <w:r>
              <w:rPr>
                <w:sz w:val="19"/>
              </w:rPr>
              <w:t>65.2</w:t>
            </w:r>
          </w:p>
        </w:tc>
        <w:tc>
          <w:tcPr>
            <w:tcW w:w="1102" w:type="dxa"/>
          </w:tcPr>
          <w:p>
            <w:pPr>
              <w:pStyle w:val="TableParagraph"/>
              <w:spacing w:before="2"/>
              <w:ind w:right="194"/>
              <w:rPr>
                <w:sz w:val="19"/>
              </w:rPr>
            </w:pPr>
            <w:r>
              <w:rPr>
                <w:sz w:val="19"/>
              </w:rPr>
              <w:t>53.9</w:t>
            </w:r>
          </w:p>
        </w:tc>
        <w:tc>
          <w:tcPr>
            <w:tcW w:w="1015" w:type="dxa"/>
          </w:tcPr>
          <w:p>
            <w:pPr>
              <w:pStyle w:val="TableParagraph"/>
              <w:spacing w:before="2"/>
              <w:ind w:right="153"/>
              <w:rPr>
                <w:sz w:val="19"/>
              </w:rPr>
            </w:pPr>
            <w:r>
              <w:rPr>
                <w:sz w:val="19"/>
              </w:rPr>
              <w:t>11.3</w:t>
            </w:r>
          </w:p>
        </w:tc>
        <w:tc>
          <w:tcPr>
            <w:tcW w:w="1048" w:type="dxa"/>
          </w:tcPr>
          <w:p>
            <w:pPr>
              <w:pStyle w:val="TableParagraph"/>
              <w:spacing w:before="2"/>
              <w:ind w:right="66"/>
              <w:rPr>
                <w:sz w:val="19"/>
              </w:rPr>
            </w:pPr>
            <w:r>
              <w:rPr>
                <w:sz w:val="19"/>
              </w:rPr>
              <w:t>34.8</w:t>
            </w:r>
          </w:p>
        </w:tc>
      </w:tr>
      <w:tr>
        <w:trPr>
          <w:trHeight w:val="240" w:hRule="exact"/>
        </w:trPr>
        <w:tc>
          <w:tcPr>
            <w:tcW w:w="1037" w:type="dxa"/>
          </w:tcPr>
          <w:p>
            <w:pPr>
              <w:pStyle w:val="TableParagraph"/>
              <w:spacing w:before="2"/>
              <w:ind w:left="72"/>
              <w:jc w:val="left"/>
              <w:rPr>
                <w:sz w:val="19"/>
              </w:rPr>
            </w:pPr>
            <w:r>
              <w:rPr>
                <w:w w:val="105"/>
                <w:sz w:val="19"/>
              </w:rPr>
              <w:t>2008</w:t>
            </w:r>
          </w:p>
        </w:tc>
        <w:tc>
          <w:tcPr>
            <w:tcW w:w="928" w:type="dxa"/>
          </w:tcPr>
          <w:p>
            <w:pPr>
              <w:pStyle w:val="TableParagraph"/>
              <w:spacing w:before="2"/>
              <w:ind w:right="238"/>
              <w:rPr>
                <w:sz w:val="19"/>
              </w:rPr>
            </w:pPr>
            <w:r>
              <w:rPr>
                <w:sz w:val="19"/>
              </w:rPr>
              <w:t>100.0</w:t>
            </w:r>
          </w:p>
        </w:tc>
        <w:tc>
          <w:tcPr>
            <w:tcW w:w="1119" w:type="dxa"/>
          </w:tcPr>
          <w:p>
            <w:pPr>
              <w:pStyle w:val="TableParagraph"/>
              <w:spacing w:before="2"/>
              <w:ind w:right="229"/>
              <w:rPr>
                <w:sz w:val="19"/>
              </w:rPr>
            </w:pPr>
            <w:r>
              <w:rPr>
                <w:sz w:val="19"/>
              </w:rPr>
              <w:t>63.1</w:t>
            </w:r>
          </w:p>
        </w:tc>
        <w:tc>
          <w:tcPr>
            <w:tcW w:w="1102" w:type="dxa"/>
          </w:tcPr>
          <w:p>
            <w:pPr>
              <w:pStyle w:val="TableParagraph"/>
              <w:spacing w:before="2"/>
              <w:ind w:right="194"/>
              <w:rPr>
                <w:sz w:val="19"/>
              </w:rPr>
            </w:pPr>
            <w:r>
              <w:rPr>
                <w:sz w:val="19"/>
              </w:rPr>
              <w:t>49.5</w:t>
            </w:r>
          </w:p>
        </w:tc>
        <w:tc>
          <w:tcPr>
            <w:tcW w:w="1015" w:type="dxa"/>
          </w:tcPr>
          <w:p>
            <w:pPr>
              <w:pStyle w:val="TableParagraph"/>
              <w:spacing w:before="2"/>
              <w:ind w:right="153"/>
              <w:rPr>
                <w:sz w:val="19"/>
              </w:rPr>
            </w:pPr>
            <w:r>
              <w:rPr>
                <w:sz w:val="19"/>
              </w:rPr>
              <w:t>13.6</w:t>
            </w:r>
          </w:p>
        </w:tc>
        <w:tc>
          <w:tcPr>
            <w:tcW w:w="1048" w:type="dxa"/>
          </w:tcPr>
          <w:p>
            <w:pPr>
              <w:pStyle w:val="TableParagraph"/>
              <w:spacing w:before="2"/>
              <w:ind w:right="66"/>
              <w:rPr>
                <w:sz w:val="19"/>
              </w:rPr>
            </w:pPr>
            <w:r>
              <w:rPr>
                <w:sz w:val="19"/>
              </w:rPr>
              <w:t>36.9</w:t>
            </w:r>
          </w:p>
        </w:tc>
      </w:tr>
      <w:tr>
        <w:trPr>
          <w:trHeight w:val="240" w:hRule="exact"/>
        </w:trPr>
        <w:tc>
          <w:tcPr>
            <w:tcW w:w="1037" w:type="dxa"/>
          </w:tcPr>
          <w:p>
            <w:pPr>
              <w:pStyle w:val="TableParagraph"/>
              <w:spacing w:before="2"/>
              <w:ind w:left="72"/>
              <w:jc w:val="left"/>
              <w:rPr>
                <w:sz w:val="19"/>
              </w:rPr>
            </w:pPr>
            <w:r>
              <w:rPr>
                <w:w w:val="105"/>
                <w:sz w:val="19"/>
              </w:rPr>
              <w:t>2009</w:t>
            </w:r>
          </w:p>
        </w:tc>
        <w:tc>
          <w:tcPr>
            <w:tcW w:w="928" w:type="dxa"/>
          </w:tcPr>
          <w:p>
            <w:pPr>
              <w:pStyle w:val="TableParagraph"/>
              <w:spacing w:before="2"/>
              <w:ind w:right="238"/>
              <w:rPr>
                <w:sz w:val="19"/>
              </w:rPr>
            </w:pPr>
            <w:r>
              <w:rPr>
                <w:sz w:val="19"/>
              </w:rPr>
              <w:t>100.0</w:t>
            </w:r>
          </w:p>
        </w:tc>
        <w:tc>
          <w:tcPr>
            <w:tcW w:w="1119" w:type="dxa"/>
          </w:tcPr>
          <w:p>
            <w:pPr>
              <w:pStyle w:val="TableParagraph"/>
              <w:spacing w:before="2"/>
              <w:ind w:right="229"/>
              <w:rPr>
                <w:sz w:val="19"/>
              </w:rPr>
            </w:pPr>
            <w:r>
              <w:rPr>
                <w:sz w:val="19"/>
              </w:rPr>
              <w:t>64.4</w:t>
            </w:r>
          </w:p>
        </w:tc>
        <w:tc>
          <w:tcPr>
            <w:tcW w:w="1102" w:type="dxa"/>
          </w:tcPr>
          <w:p>
            <w:pPr>
              <w:pStyle w:val="TableParagraph"/>
              <w:spacing w:before="2"/>
              <w:ind w:right="194"/>
              <w:rPr>
                <w:sz w:val="19"/>
              </w:rPr>
            </w:pPr>
            <w:r>
              <w:rPr>
                <w:sz w:val="19"/>
              </w:rPr>
              <w:t>52.0</w:t>
            </w:r>
          </w:p>
        </w:tc>
        <w:tc>
          <w:tcPr>
            <w:tcW w:w="1015" w:type="dxa"/>
          </w:tcPr>
          <w:p>
            <w:pPr>
              <w:pStyle w:val="TableParagraph"/>
              <w:spacing w:before="2"/>
              <w:ind w:right="153"/>
              <w:rPr>
                <w:sz w:val="19"/>
              </w:rPr>
            </w:pPr>
            <w:r>
              <w:rPr>
                <w:sz w:val="19"/>
              </w:rPr>
              <w:t>12.5</w:t>
            </w:r>
          </w:p>
        </w:tc>
        <w:tc>
          <w:tcPr>
            <w:tcW w:w="1048" w:type="dxa"/>
          </w:tcPr>
          <w:p>
            <w:pPr>
              <w:pStyle w:val="TableParagraph"/>
              <w:spacing w:before="2"/>
              <w:ind w:right="66"/>
              <w:rPr>
                <w:sz w:val="19"/>
              </w:rPr>
            </w:pPr>
            <w:r>
              <w:rPr>
                <w:sz w:val="19"/>
              </w:rPr>
              <w:t>35.6</w:t>
            </w:r>
          </w:p>
        </w:tc>
      </w:tr>
      <w:tr>
        <w:trPr>
          <w:trHeight w:val="242" w:hRule="exact"/>
        </w:trPr>
        <w:tc>
          <w:tcPr>
            <w:tcW w:w="1037" w:type="dxa"/>
            <w:tcBorders>
              <w:bottom w:val="double" w:sz="4" w:space="0" w:color="000000"/>
            </w:tcBorders>
          </w:tcPr>
          <w:p>
            <w:pPr>
              <w:pStyle w:val="TableParagraph"/>
              <w:spacing w:before="2"/>
              <w:ind w:left="72"/>
              <w:jc w:val="left"/>
              <w:rPr>
                <w:sz w:val="19"/>
              </w:rPr>
            </w:pPr>
            <w:r>
              <w:rPr>
                <w:w w:val="105"/>
                <w:sz w:val="19"/>
              </w:rPr>
              <w:t>2010</w:t>
            </w:r>
          </w:p>
        </w:tc>
        <w:tc>
          <w:tcPr>
            <w:tcW w:w="928" w:type="dxa"/>
            <w:tcBorders>
              <w:bottom w:val="double" w:sz="4" w:space="0" w:color="000000"/>
            </w:tcBorders>
          </w:tcPr>
          <w:p>
            <w:pPr>
              <w:pStyle w:val="TableParagraph"/>
              <w:spacing w:before="2"/>
              <w:ind w:right="238"/>
              <w:rPr>
                <w:sz w:val="19"/>
              </w:rPr>
            </w:pPr>
            <w:r>
              <w:rPr>
                <w:sz w:val="19"/>
              </w:rPr>
              <w:t>100.0</w:t>
            </w:r>
          </w:p>
        </w:tc>
        <w:tc>
          <w:tcPr>
            <w:tcW w:w="1119" w:type="dxa"/>
            <w:tcBorders>
              <w:bottom w:val="double" w:sz="4" w:space="0" w:color="000000"/>
            </w:tcBorders>
          </w:tcPr>
          <w:p>
            <w:pPr>
              <w:pStyle w:val="TableParagraph"/>
              <w:spacing w:before="2"/>
              <w:ind w:right="229"/>
              <w:rPr>
                <w:sz w:val="19"/>
              </w:rPr>
            </w:pPr>
            <w:r>
              <w:rPr>
                <w:sz w:val="19"/>
              </w:rPr>
              <w:t>65.4</w:t>
            </w:r>
          </w:p>
        </w:tc>
        <w:tc>
          <w:tcPr>
            <w:tcW w:w="1102" w:type="dxa"/>
            <w:tcBorders>
              <w:bottom w:val="double" w:sz="4" w:space="0" w:color="000000"/>
            </w:tcBorders>
          </w:tcPr>
          <w:p>
            <w:pPr>
              <w:pStyle w:val="TableParagraph"/>
              <w:spacing w:before="2"/>
              <w:ind w:right="194"/>
              <w:rPr>
                <w:sz w:val="19"/>
              </w:rPr>
            </w:pPr>
            <w:r>
              <w:rPr>
                <w:sz w:val="19"/>
              </w:rPr>
              <w:t>11.7</w:t>
            </w:r>
          </w:p>
        </w:tc>
        <w:tc>
          <w:tcPr>
            <w:tcW w:w="1015" w:type="dxa"/>
            <w:tcBorders>
              <w:bottom w:val="double" w:sz="4" w:space="0" w:color="000000"/>
            </w:tcBorders>
          </w:tcPr>
          <w:p>
            <w:pPr>
              <w:pStyle w:val="TableParagraph"/>
              <w:spacing w:before="2"/>
              <w:ind w:right="153"/>
              <w:rPr>
                <w:sz w:val="19"/>
              </w:rPr>
            </w:pPr>
            <w:r>
              <w:rPr>
                <w:sz w:val="19"/>
              </w:rPr>
              <w:t>53.7</w:t>
            </w:r>
          </w:p>
        </w:tc>
        <w:tc>
          <w:tcPr>
            <w:tcW w:w="1048" w:type="dxa"/>
            <w:tcBorders>
              <w:bottom w:val="double" w:sz="4" w:space="0" w:color="000000"/>
            </w:tcBorders>
          </w:tcPr>
          <w:p>
            <w:pPr>
              <w:pStyle w:val="TableParagraph"/>
              <w:spacing w:before="2"/>
              <w:ind w:right="66"/>
              <w:rPr>
                <w:sz w:val="19"/>
              </w:rPr>
            </w:pPr>
            <w:r>
              <w:rPr>
                <w:sz w:val="19"/>
              </w:rPr>
              <w:t>34.6</w:t>
            </w:r>
          </w:p>
        </w:tc>
      </w:tr>
    </w:tbl>
    <w:p>
      <w:pPr>
        <w:spacing w:line="237" w:lineRule="auto" w:before="0"/>
        <w:ind w:left="454" w:right="1976" w:firstLine="0"/>
        <w:jc w:val="left"/>
        <w:rPr>
          <w:sz w:val="16"/>
        </w:rPr>
      </w:pPr>
      <w:r>
        <w:rPr>
          <w:sz w:val="16"/>
        </w:rPr>
        <w:t>* Importante: sólo se consideran los hogares que declaran ingresos. Fuente: encuestas de mayo 2001-2010, INE.</w:t>
      </w:r>
    </w:p>
    <w:p>
      <w:pPr>
        <w:pStyle w:val="BodyText"/>
        <w:spacing w:before="9"/>
        <w:rPr>
          <w:sz w:val="16"/>
        </w:rPr>
      </w:pPr>
    </w:p>
    <w:p>
      <w:pPr>
        <w:pStyle w:val="BodyText"/>
        <w:spacing w:line="247" w:lineRule="auto" w:before="72"/>
        <w:ind w:left="117" w:right="114" w:firstLine="283"/>
        <w:jc w:val="both"/>
      </w:pPr>
      <w:r>
        <w:rPr>
          <w:color w:val="231F20"/>
        </w:rPr>
        <w:t>La falta de creación de puestos de trabajo ha tenido crecientemente  una válvula de escape en la emigración de hondureños hacia el exterior, particularmente hacia los Estados Unidos. Hay que anotar también que   de acuerdo con estudios recientes, aproximadamente 70 por ciento de los emigrantes son hombres y 82 por ciento son menores de 35 años, que son justamente el grupo de edad que está más representado entre los desem- pleados. De manera tal que, sin exagerar, se puede estimar que el país exporta</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desempleados</w:t>
      </w:r>
      <w:r>
        <w:rPr>
          <w:color w:val="231F20"/>
          <w:spacing w:val="-9"/>
        </w:rPr>
        <w:t> </w:t>
      </w:r>
      <w:r>
        <w:rPr>
          <w:color w:val="231F20"/>
        </w:rPr>
        <w:t>y</w:t>
      </w:r>
      <w:r>
        <w:rPr>
          <w:color w:val="231F20"/>
          <w:spacing w:val="-9"/>
        </w:rPr>
        <w:t> </w:t>
      </w:r>
      <w:r>
        <w:rPr>
          <w:color w:val="231F20"/>
        </w:rPr>
        <w:t>ello</w:t>
      </w:r>
      <w:r>
        <w:rPr>
          <w:color w:val="231F20"/>
          <w:spacing w:val="-9"/>
        </w:rPr>
        <w:t> </w:t>
      </w:r>
      <w:r>
        <w:rPr>
          <w:color w:val="231F20"/>
        </w:rPr>
        <w:t>explica</w:t>
      </w:r>
      <w:r>
        <w:rPr>
          <w:color w:val="231F20"/>
          <w:spacing w:val="-9"/>
        </w:rPr>
        <w:t> </w:t>
      </w:r>
      <w:r>
        <w:rPr>
          <w:color w:val="231F20"/>
        </w:rPr>
        <w:t>por</w:t>
      </w:r>
      <w:r>
        <w:rPr>
          <w:color w:val="231F20"/>
          <w:spacing w:val="-9"/>
        </w:rPr>
        <w:t> </w:t>
      </w:r>
      <w:r>
        <w:rPr>
          <w:color w:val="231F20"/>
        </w:rPr>
        <w:t>qué,</w:t>
      </w:r>
      <w:r>
        <w:rPr>
          <w:color w:val="231F20"/>
          <w:spacing w:val="-9"/>
        </w:rPr>
        <w:t> </w:t>
      </w:r>
      <w:r>
        <w:rPr>
          <w:color w:val="231F20"/>
        </w:rPr>
        <w:t>según</w:t>
      </w:r>
      <w:r>
        <w:rPr>
          <w:color w:val="231F20"/>
          <w:spacing w:val="-9"/>
        </w:rPr>
        <w:t> </w:t>
      </w:r>
      <w:r>
        <w:rPr>
          <w:color w:val="231F20"/>
        </w:rPr>
        <w:t>el</w:t>
      </w:r>
      <w:r>
        <w:rPr>
          <w:color w:val="231F20"/>
          <w:spacing w:val="-9"/>
        </w:rPr>
        <w:t> </w:t>
      </w:r>
      <w:r>
        <w:rPr>
          <w:color w:val="231F20"/>
        </w:rPr>
        <w:t>mismo</w:t>
      </w:r>
      <w:r>
        <w:rPr>
          <w:color w:val="231F20"/>
          <w:spacing w:val="-9"/>
        </w:rPr>
        <w:t> </w:t>
      </w:r>
      <w:r>
        <w:rPr>
          <w:color w:val="231F20"/>
        </w:rPr>
        <w:t>estudio, 91 por ciento de los emigrantes encuestados indicaron que la razón para irse del país era la búsqueda de empleo</w:t>
      </w:r>
      <w:r>
        <w:rPr>
          <w:color w:val="231F20"/>
          <w:position w:val="7"/>
          <w:sz w:val="13"/>
        </w:rPr>
        <w:t>3  </w:t>
      </w:r>
      <w:r>
        <w:rPr>
          <w:color w:val="231F20"/>
        </w:rPr>
        <w:t>(Klein,</w:t>
      </w:r>
      <w:r>
        <w:rPr>
          <w:color w:val="231F20"/>
          <w:spacing w:val="-23"/>
        </w:rPr>
        <w:t> </w:t>
      </w:r>
      <w:r>
        <w:rPr>
          <w:color w:val="231F20"/>
        </w:rPr>
        <w:t>2011).</w:t>
      </w:r>
    </w:p>
    <w:p>
      <w:pPr>
        <w:pStyle w:val="BodyText"/>
        <w:rPr>
          <w:sz w:val="20"/>
        </w:rPr>
      </w:pPr>
    </w:p>
    <w:p>
      <w:pPr>
        <w:pStyle w:val="BodyText"/>
        <w:spacing w:before="8"/>
        <w:rPr>
          <w:sz w:val="11"/>
        </w:rPr>
      </w:pPr>
      <w:r>
        <w:rPr/>
        <w:pict>
          <v:line style="position:absolute;mso-position-horizontal-relative:page;mso-position-vertical-relative:paragraph;z-index:2776;mso-wrap-distance-left:0;mso-wrap-distance-right:0" from="70.866096pt,9.049433pt" to="142.866096pt,9.049433pt" stroked="true" strokeweight=".75pt" strokecolor="#231f20">
            <w10:wrap type="topAndBottom"/>
          </v:line>
        </w:pict>
      </w:r>
    </w:p>
    <w:p>
      <w:pPr>
        <w:spacing w:line="208" w:lineRule="auto" w:before="0"/>
        <w:ind w:left="117" w:right="115" w:firstLine="0"/>
        <w:jc w:val="both"/>
        <w:rPr>
          <w:sz w:val="17"/>
        </w:rPr>
      </w:pPr>
      <w:r>
        <w:rPr>
          <w:color w:val="231F20"/>
          <w:position w:val="6"/>
          <w:sz w:val="10"/>
        </w:rPr>
        <w:t>3 </w:t>
      </w:r>
      <w:r>
        <w:rPr>
          <w:color w:val="231F20"/>
          <w:sz w:val="17"/>
        </w:rPr>
        <w:t>Banco Central de Honduras, 2007, </w:t>
      </w:r>
      <w:r>
        <w:rPr>
          <w:i/>
          <w:color w:val="231F20"/>
          <w:sz w:val="17"/>
        </w:rPr>
        <w:t>Consideraciones sobre las remesas familiares enviadas a </w:t>
      </w:r>
      <w:r>
        <w:rPr>
          <w:i/>
          <w:color w:val="231F20"/>
          <w:sz w:val="17"/>
        </w:rPr>
        <w:t>Honduras</w:t>
      </w:r>
      <w:r>
        <w:rPr>
          <w:color w:val="231F20"/>
          <w:sz w:val="17"/>
        </w:rPr>
        <w:t>. Tegucigalpa, Banco Central y Banco Central de Honduras.2007, </w:t>
      </w:r>
      <w:r>
        <w:rPr>
          <w:i/>
          <w:color w:val="231F20"/>
          <w:sz w:val="17"/>
        </w:rPr>
        <w:t>El Rostro de las </w:t>
      </w:r>
      <w:r>
        <w:rPr>
          <w:i/>
          <w:color w:val="231F20"/>
          <w:sz w:val="17"/>
        </w:rPr>
        <w:t>Remesas</w:t>
      </w:r>
      <w:r>
        <w:rPr>
          <w:color w:val="231F20"/>
          <w:sz w:val="17"/>
        </w:rPr>
        <w:t>, Banco Central, Tegucigalpa.</w:t>
      </w:r>
    </w:p>
    <w:p>
      <w:pPr>
        <w:spacing w:after="0" w:line="208" w:lineRule="auto"/>
        <w:jc w:val="both"/>
        <w:rPr>
          <w:sz w:val="17"/>
        </w:rPr>
        <w:sectPr>
          <w:pgSz w:w="9360" w:h="13040"/>
          <w:pgMar w:header="0" w:footer="496" w:top="800" w:bottom="680" w:left="1300" w:right="1300"/>
        </w:sectPr>
      </w:pPr>
    </w:p>
    <w:p>
      <w:pPr>
        <w:pStyle w:val="BodyText"/>
        <w:rPr>
          <w:sz w:val="20"/>
        </w:rPr>
      </w:pPr>
      <w:r>
        <w:rPr/>
        <w:pict>
          <v:shape style="position:absolute;margin-left:598.624939pt;margin-top:101.212898pt;width:12pt;height:296.650pt;mso-position-horizontal-relative:page;mso-position-vertical-relative:page;z-index:2800" type="#_x0000_t202" filled="false" stroked="false">
            <v:textbox inset="0,0,0,0" style="layout-flow:vertical">
              <w:txbxContent>
                <w:p>
                  <w:pPr>
                    <w:spacing w:line="208" w:lineRule="exact" w:before="0"/>
                    <w:ind w:left="20" w:right="0" w:firstLine="0"/>
                    <w:jc w:val="left"/>
                    <w:rPr>
                      <w:rFonts w:ascii="Arial" w:hAnsi="Arial"/>
                      <w:sz w:val="20"/>
                    </w:rPr>
                  </w:pPr>
                  <w:r>
                    <w:rPr>
                      <w:rFonts w:ascii="Arial" w:hAnsi="Arial"/>
                      <w:color w:val="231F20"/>
                      <w:w w:val="71"/>
                      <w:sz w:val="20"/>
                    </w:rPr>
                    <w:t>Factores</w:t>
                  </w:r>
                  <w:r>
                    <w:rPr>
                      <w:rFonts w:ascii="Arial" w:hAnsi="Arial"/>
                      <w:color w:val="231F20"/>
                      <w:spacing w:val="-1"/>
                      <w:sz w:val="20"/>
                    </w:rPr>
                    <w:t> </w:t>
                  </w:r>
                  <w:r>
                    <w:rPr>
                      <w:rFonts w:ascii="Arial" w:hAnsi="Arial"/>
                      <w:color w:val="231F20"/>
                      <w:spacing w:val="-1"/>
                      <w:w w:val="73"/>
                      <w:sz w:val="20"/>
                    </w:rPr>
                    <w:t>contextuale</w:t>
                  </w:r>
                  <w:r>
                    <w:rPr>
                      <w:rFonts w:ascii="Arial" w:hAnsi="Arial"/>
                      <w:color w:val="231F20"/>
                      <w:w w:val="73"/>
                      <w:sz w:val="20"/>
                    </w:rPr>
                    <w:t>s</w:t>
                  </w:r>
                  <w:r>
                    <w:rPr>
                      <w:rFonts w:ascii="Arial" w:hAnsi="Arial"/>
                      <w:color w:val="231F20"/>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4"/>
                      <w:sz w:val="20"/>
                    </w:rPr>
                    <w:t>migración</w:t>
                  </w:r>
                  <w:r>
                    <w:rPr>
                      <w:rFonts w:ascii="Arial" w:hAnsi="Arial"/>
                      <w:color w:val="231F20"/>
                      <w:spacing w:val="-1"/>
                      <w:sz w:val="20"/>
                    </w:rPr>
                    <w:t> </w:t>
                  </w:r>
                  <w:r>
                    <w:rPr>
                      <w:rFonts w:ascii="Arial" w:hAnsi="Arial"/>
                      <w:color w:val="231F20"/>
                      <w:w w:val="76"/>
                      <w:sz w:val="20"/>
                    </w:rPr>
                    <w:t>internacional</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spacing w:val="-1"/>
                      <w:w w:val="70"/>
                      <w:sz w:val="20"/>
                    </w:rPr>
                    <w:t>Hondura</w:t>
                  </w:r>
                  <w:r>
                    <w:rPr>
                      <w:rFonts w:ascii="Arial" w:hAnsi="Arial"/>
                      <w:color w:val="231F20"/>
                      <w:w w:val="70"/>
                      <w:sz w:val="20"/>
                    </w:rPr>
                    <w:t>s</w:t>
                  </w:r>
                  <w:r>
                    <w:rPr>
                      <w:rFonts w:ascii="Arial" w:hAnsi="Arial"/>
                      <w:color w:val="231F20"/>
                      <w:sz w:val="20"/>
                    </w:rPr>
                    <w:t> </w:t>
                  </w:r>
                  <w:r>
                    <w:rPr>
                      <w:rFonts w:ascii="Arial" w:hAnsi="Arial"/>
                      <w:color w:val="231F20"/>
                      <w:w w:val="99"/>
                      <w:sz w:val="20"/>
                    </w:rPr>
                    <w:t>/</w:t>
                  </w:r>
                  <w:r>
                    <w:rPr>
                      <w:rFonts w:ascii="Arial" w:hAnsi="Arial"/>
                      <w:color w:val="231F20"/>
                      <w:w w:val="51"/>
                      <w:sz w:val="20"/>
                    </w:rPr>
                    <w:t>Manuel</w:t>
                  </w:r>
                  <w:r>
                    <w:rPr>
                      <w:rFonts w:ascii="Arial" w:hAnsi="Arial"/>
                      <w:color w:val="231F20"/>
                      <w:spacing w:val="-17"/>
                      <w:sz w:val="20"/>
                    </w:rPr>
                    <w:t> </w:t>
                  </w:r>
                  <w:r>
                    <w:rPr>
                      <w:rFonts w:ascii="Arial" w:hAnsi="Arial"/>
                      <w:color w:val="231F20"/>
                      <w:w w:val="53"/>
                      <w:sz w:val="20"/>
                    </w:rPr>
                    <w:t>Antonio</w:t>
                  </w:r>
                  <w:r>
                    <w:rPr>
                      <w:rFonts w:ascii="Arial" w:hAnsi="Arial"/>
                      <w:color w:val="231F20"/>
                      <w:spacing w:val="-17"/>
                      <w:sz w:val="20"/>
                    </w:rPr>
                    <w:t> </w:t>
                  </w:r>
                  <w:r>
                    <w:rPr>
                      <w:rFonts w:ascii="Arial" w:hAnsi="Arial"/>
                      <w:color w:val="231F20"/>
                      <w:w w:val="49"/>
                      <w:sz w:val="20"/>
                    </w:rPr>
                    <w:t>Flores-Fonseca</w:t>
                  </w:r>
                </w:p>
              </w:txbxContent>
            </v:textbox>
            <w10:wrap type="none"/>
          </v:shape>
        </w:pict>
      </w:r>
      <w:r>
        <w:rPr/>
        <w:pict>
          <v:shape style="position:absolute;margin-left:23.820354pt;margin-top:222.936996pt;width:12pt;height:21.25pt;mso-position-horizontal-relative:page;mso-position-vertical-relative:page;z-index:2824" type="#_x0000_t202" filled="false" stroked="false">
            <v:textbox inset="0,0,0,0" style="layout-flow:vertical">
              <w:txbxContent>
                <w:p>
                  <w:pPr>
                    <w:spacing w:line="214" w:lineRule="exact" w:before="0"/>
                    <w:ind w:left="20" w:right="-182" w:firstLine="0"/>
                    <w:jc w:val="left"/>
                    <w:rPr>
                      <w:rFonts w:ascii="Verdana"/>
                      <w:sz w:val="20"/>
                    </w:rPr>
                  </w:pPr>
                  <w:r>
                    <w:rPr>
                      <w:rFonts w:ascii="Verdana"/>
                      <w:color w:val="231F20"/>
                      <w:spacing w:val="-1"/>
                      <w:w w:val="100"/>
                      <w:sz w:val="20"/>
                    </w:rPr>
                    <w:t>105</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spacing w:before="81" w:after="12"/>
        <w:ind w:left="850" w:right="673" w:firstLine="0"/>
        <w:jc w:val="left"/>
        <w:rPr>
          <w:sz w:val="19"/>
        </w:rPr>
      </w:pPr>
      <w:r>
        <w:rPr>
          <w:w w:val="105"/>
          <w:sz w:val="19"/>
        </w:rPr>
        <w:t>Cuadro 2. Honduras: indicadores básicos del mercado de trabajo, 2001-2010</w:t>
      </w:r>
    </w:p>
    <w:tbl>
      <w:tblPr>
        <w:tblW w:w="0" w:type="auto"/>
        <w:jc w:val="left"/>
        <w:tblInd w:w="7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0"/>
        <w:gridCol w:w="1153"/>
        <w:gridCol w:w="1135"/>
        <w:gridCol w:w="1133"/>
        <w:gridCol w:w="1133"/>
        <w:gridCol w:w="1076"/>
      </w:tblGrid>
      <w:tr>
        <w:trPr>
          <w:trHeight w:val="250" w:hRule="exact"/>
        </w:trPr>
        <w:tc>
          <w:tcPr>
            <w:tcW w:w="2420" w:type="dxa"/>
            <w:tcBorders>
              <w:left w:val="nil"/>
              <w:bottom w:val="double" w:sz="4" w:space="0" w:color="000000"/>
              <w:right w:val="nil"/>
            </w:tcBorders>
          </w:tcPr>
          <w:p>
            <w:pPr>
              <w:pStyle w:val="TableParagraph"/>
              <w:spacing w:before="5"/>
              <w:ind w:left="110"/>
              <w:jc w:val="left"/>
              <w:rPr>
                <w:sz w:val="19"/>
              </w:rPr>
            </w:pPr>
            <w:r>
              <w:rPr>
                <w:w w:val="105"/>
                <w:sz w:val="19"/>
              </w:rPr>
              <w:t>Indicadores básicos</w:t>
            </w:r>
          </w:p>
        </w:tc>
        <w:tc>
          <w:tcPr>
            <w:tcW w:w="1153" w:type="dxa"/>
            <w:tcBorders>
              <w:left w:val="nil"/>
              <w:bottom w:val="double" w:sz="4" w:space="0" w:color="000000"/>
              <w:right w:val="nil"/>
            </w:tcBorders>
          </w:tcPr>
          <w:p>
            <w:pPr>
              <w:pStyle w:val="TableParagraph"/>
              <w:spacing w:before="5"/>
              <w:ind w:right="166"/>
              <w:rPr>
                <w:sz w:val="19"/>
              </w:rPr>
            </w:pPr>
            <w:r>
              <w:rPr>
                <w:sz w:val="19"/>
              </w:rPr>
              <w:t>2001</w:t>
            </w:r>
          </w:p>
        </w:tc>
        <w:tc>
          <w:tcPr>
            <w:tcW w:w="1135" w:type="dxa"/>
            <w:tcBorders>
              <w:left w:val="nil"/>
              <w:bottom w:val="double" w:sz="4" w:space="0" w:color="000000"/>
              <w:right w:val="nil"/>
            </w:tcBorders>
          </w:tcPr>
          <w:p>
            <w:pPr>
              <w:pStyle w:val="TableParagraph"/>
              <w:spacing w:before="5"/>
              <w:ind w:right="164"/>
              <w:rPr>
                <w:sz w:val="19"/>
              </w:rPr>
            </w:pPr>
            <w:r>
              <w:rPr>
                <w:sz w:val="19"/>
              </w:rPr>
              <w:t>2002</w:t>
            </w:r>
          </w:p>
        </w:tc>
        <w:tc>
          <w:tcPr>
            <w:tcW w:w="1133" w:type="dxa"/>
            <w:tcBorders>
              <w:left w:val="nil"/>
              <w:bottom w:val="double" w:sz="4" w:space="0" w:color="000000"/>
              <w:right w:val="nil"/>
            </w:tcBorders>
          </w:tcPr>
          <w:p>
            <w:pPr>
              <w:pStyle w:val="TableParagraph"/>
              <w:spacing w:before="5"/>
              <w:ind w:right="164"/>
              <w:rPr>
                <w:sz w:val="19"/>
              </w:rPr>
            </w:pPr>
            <w:r>
              <w:rPr>
                <w:sz w:val="19"/>
              </w:rPr>
              <w:t>2003</w:t>
            </w:r>
          </w:p>
        </w:tc>
        <w:tc>
          <w:tcPr>
            <w:tcW w:w="1133" w:type="dxa"/>
            <w:tcBorders>
              <w:left w:val="nil"/>
              <w:bottom w:val="double" w:sz="4" w:space="0" w:color="000000"/>
              <w:right w:val="nil"/>
            </w:tcBorders>
          </w:tcPr>
          <w:p>
            <w:pPr>
              <w:pStyle w:val="TableParagraph"/>
              <w:spacing w:before="5"/>
              <w:ind w:right="164"/>
              <w:rPr>
                <w:sz w:val="19"/>
              </w:rPr>
            </w:pPr>
            <w:r>
              <w:rPr>
                <w:sz w:val="19"/>
              </w:rPr>
              <w:t>2004</w:t>
            </w:r>
          </w:p>
        </w:tc>
        <w:tc>
          <w:tcPr>
            <w:tcW w:w="1076" w:type="dxa"/>
            <w:tcBorders>
              <w:left w:val="nil"/>
              <w:bottom w:val="double" w:sz="4" w:space="0" w:color="000000"/>
              <w:right w:val="nil"/>
            </w:tcBorders>
          </w:tcPr>
          <w:p>
            <w:pPr>
              <w:pStyle w:val="TableParagraph"/>
              <w:spacing w:before="5"/>
              <w:ind w:right="107"/>
              <w:rPr>
                <w:sz w:val="19"/>
              </w:rPr>
            </w:pPr>
            <w:r>
              <w:rPr>
                <w:sz w:val="19"/>
              </w:rPr>
              <w:t>2005</w:t>
            </w:r>
          </w:p>
        </w:tc>
      </w:tr>
      <w:tr>
        <w:trPr>
          <w:trHeight w:val="252" w:hRule="exact"/>
        </w:trPr>
        <w:tc>
          <w:tcPr>
            <w:tcW w:w="2420" w:type="dxa"/>
            <w:tcBorders>
              <w:top w:val="double" w:sz="4" w:space="0" w:color="000000"/>
              <w:left w:val="nil"/>
              <w:bottom w:val="nil"/>
              <w:right w:val="nil"/>
            </w:tcBorders>
          </w:tcPr>
          <w:p>
            <w:pPr>
              <w:pStyle w:val="TableParagraph"/>
              <w:spacing w:before="5"/>
              <w:ind w:left="110"/>
              <w:jc w:val="left"/>
              <w:rPr>
                <w:i/>
                <w:sz w:val="19"/>
              </w:rPr>
            </w:pPr>
            <w:r>
              <w:rPr>
                <w:i/>
                <w:w w:val="105"/>
                <w:sz w:val="19"/>
              </w:rPr>
              <w:t>Población</w:t>
            </w:r>
          </w:p>
        </w:tc>
        <w:tc>
          <w:tcPr>
            <w:tcW w:w="1153" w:type="dxa"/>
            <w:tcBorders>
              <w:top w:val="double" w:sz="4" w:space="0" w:color="000000"/>
              <w:left w:val="nil"/>
              <w:bottom w:val="nil"/>
              <w:right w:val="nil"/>
            </w:tcBorders>
          </w:tcPr>
          <w:p>
            <w:pPr>
              <w:pStyle w:val="TableParagraph"/>
              <w:spacing w:before="5"/>
              <w:ind w:right="166"/>
              <w:rPr>
                <w:sz w:val="19"/>
              </w:rPr>
            </w:pPr>
            <w:r>
              <w:rPr>
                <w:w w:val="105"/>
                <w:sz w:val="19"/>
              </w:rPr>
              <w:t>6 340 009</w:t>
            </w:r>
          </w:p>
        </w:tc>
        <w:tc>
          <w:tcPr>
            <w:tcW w:w="1135" w:type="dxa"/>
            <w:tcBorders>
              <w:top w:val="double" w:sz="4" w:space="0" w:color="000000"/>
              <w:left w:val="nil"/>
              <w:bottom w:val="nil"/>
              <w:right w:val="nil"/>
            </w:tcBorders>
          </w:tcPr>
          <w:p>
            <w:pPr>
              <w:pStyle w:val="TableParagraph"/>
              <w:spacing w:before="5"/>
              <w:ind w:right="164"/>
              <w:rPr>
                <w:sz w:val="19"/>
              </w:rPr>
            </w:pPr>
            <w:r>
              <w:rPr>
                <w:w w:val="105"/>
                <w:sz w:val="19"/>
              </w:rPr>
              <w:t>6 624 326</w:t>
            </w:r>
          </w:p>
        </w:tc>
        <w:tc>
          <w:tcPr>
            <w:tcW w:w="1133" w:type="dxa"/>
            <w:tcBorders>
              <w:top w:val="double" w:sz="4" w:space="0" w:color="000000"/>
              <w:left w:val="nil"/>
              <w:bottom w:val="nil"/>
              <w:right w:val="nil"/>
            </w:tcBorders>
          </w:tcPr>
          <w:p>
            <w:pPr>
              <w:pStyle w:val="TableParagraph"/>
              <w:spacing w:before="5"/>
              <w:ind w:right="164"/>
              <w:rPr>
                <w:sz w:val="19"/>
              </w:rPr>
            </w:pPr>
            <w:r>
              <w:rPr>
                <w:w w:val="105"/>
                <w:sz w:val="19"/>
              </w:rPr>
              <w:t>6 766 186</w:t>
            </w:r>
          </w:p>
        </w:tc>
        <w:tc>
          <w:tcPr>
            <w:tcW w:w="1133" w:type="dxa"/>
            <w:tcBorders>
              <w:top w:val="double" w:sz="4" w:space="0" w:color="000000"/>
              <w:left w:val="nil"/>
              <w:bottom w:val="nil"/>
              <w:right w:val="nil"/>
            </w:tcBorders>
          </w:tcPr>
          <w:p>
            <w:pPr>
              <w:pStyle w:val="TableParagraph"/>
              <w:spacing w:before="5"/>
              <w:ind w:right="164"/>
              <w:rPr>
                <w:sz w:val="19"/>
              </w:rPr>
            </w:pPr>
            <w:r>
              <w:rPr>
                <w:w w:val="105"/>
                <w:sz w:val="19"/>
              </w:rPr>
              <w:t>7 000 011</w:t>
            </w:r>
          </w:p>
        </w:tc>
        <w:tc>
          <w:tcPr>
            <w:tcW w:w="1076" w:type="dxa"/>
            <w:tcBorders>
              <w:top w:val="double" w:sz="4" w:space="0" w:color="000000"/>
              <w:left w:val="nil"/>
              <w:bottom w:val="nil"/>
              <w:right w:val="nil"/>
            </w:tcBorders>
          </w:tcPr>
          <w:p>
            <w:pPr>
              <w:pStyle w:val="TableParagraph"/>
              <w:spacing w:before="5"/>
              <w:ind w:right="107"/>
              <w:rPr>
                <w:sz w:val="19"/>
              </w:rPr>
            </w:pPr>
            <w:r>
              <w:rPr>
                <w:w w:val="105"/>
                <w:sz w:val="19"/>
              </w:rPr>
              <w:t>7 168 717</w:t>
            </w:r>
          </w:p>
        </w:tc>
      </w:tr>
      <w:tr>
        <w:trPr>
          <w:trHeight w:val="230" w:hRule="exact"/>
        </w:trPr>
        <w:tc>
          <w:tcPr>
            <w:tcW w:w="2420" w:type="dxa"/>
            <w:tcBorders>
              <w:top w:val="nil"/>
              <w:left w:val="nil"/>
              <w:bottom w:val="nil"/>
              <w:right w:val="nil"/>
            </w:tcBorders>
          </w:tcPr>
          <w:p>
            <w:pPr>
              <w:pStyle w:val="TableParagraph"/>
              <w:spacing w:line="216" w:lineRule="exact"/>
              <w:ind w:left="110"/>
              <w:jc w:val="left"/>
              <w:rPr>
                <w:sz w:val="19"/>
              </w:rPr>
            </w:pPr>
            <w:r>
              <w:rPr>
                <w:w w:val="105"/>
                <w:sz w:val="19"/>
              </w:rPr>
              <w:t>Hombres</w:t>
            </w:r>
          </w:p>
        </w:tc>
        <w:tc>
          <w:tcPr>
            <w:tcW w:w="1153" w:type="dxa"/>
            <w:tcBorders>
              <w:top w:val="nil"/>
              <w:left w:val="nil"/>
              <w:bottom w:val="nil"/>
              <w:right w:val="nil"/>
            </w:tcBorders>
          </w:tcPr>
          <w:p>
            <w:pPr>
              <w:pStyle w:val="TableParagraph"/>
              <w:spacing w:line="216" w:lineRule="exact"/>
              <w:ind w:right="166"/>
              <w:rPr>
                <w:sz w:val="19"/>
              </w:rPr>
            </w:pPr>
            <w:r>
              <w:rPr>
                <w:w w:val="105"/>
                <w:sz w:val="19"/>
              </w:rPr>
              <w:t>3 098 959</w:t>
            </w:r>
          </w:p>
        </w:tc>
        <w:tc>
          <w:tcPr>
            <w:tcW w:w="1135" w:type="dxa"/>
            <w:tcBorders>
              <w:top w:val="nil"/>
              <w:left w:val="nil"/>
              <w:bottom w:val="nil"/>
              <w:right w:val="nil"/>
            </w:tcBorders>
          </w:tcPr>
          <w:p>
            <w:pPr>
              <w:pStyle w:val="TableParagraph"/>
              <w:spacing w:line="216" w:lineRule="exact"/>
              <w:ind w:right="164"/>
              <w:rPr>
                <w:sz w:val="19"/>
              </w:rPr>
            </w:pPr>
            <w:r>
              <w:rPr>
                <w:w w:val="105"/>
                <w:sz w:val="19"/>
              </w:rPr>
              <w:t>3 253 241</w:t>
            </w:r>
          </w:p>
        </w:tc>
        <w:tc>
          <w:tcPr>
            <w:tcW w:w="1133" w:type="dxa"/>
            <w:tcBorders>
              <w:top w:val="nil"/>
              <w:left w:val="nil"/>
              <w:bottom w:val="nil"/>
              <w:right w:val="nil"/>
            </w:tcBorders>
          </w:tcPr>
          <w:p>
            <w:pPr>
              <w:pStyle w:val="TableParagraph"/>
              <w:spacing w:line="216" w:lineRule="exact"/>
              <w:ind w:right="164"/>
              <w:rPr>
                <w:sz w:val="19"/>
              </w:rPr>
            </w:pPr>
            <w:r>
              <w:rPr>
                <w:w w:val="105"/>
                <w:sz w:val="19"/>
              </w:rPr>
              <w:t>3 294 162</w:t>
            </w:r>
          </w:p>
        </w:tc>
        <w:tc>
          <w:tcPr>
            <w:tcW w:w="1133" w:type="dxa"/>
            <w:tcBorders>
              <w:top w:val="nil"/>
              <w:left w:val="nil"/>
              <w:bottom w:val="nil"/>
              <w:right w:val="nil"/>
            </w:tcBorders>
          </w:tcPr>
          <w:p>
            <w:pPr>
              <w:pStyle w:val="TableParagraph"/>
              <w:spacing w:line="216" w:lineRule="exact"/>
              <w:ind w:right="164"/>
              <w:rPr>
                <w:sz w:val="19"/>
              </w:rPr>
            </w:pPr>
            <w:r>
              <w:rPr>
                <w:w w:val="105"/>
                <w:sz w:val="19"/>
              </w:rPr>
              <w:t>3 395 786</w:t>
            </w:r>
          </w:p>
        </w:tc>
        <w:tc>
          <w:tcPr>
            <w:tcW w:w="1076" w:type="dxa"/>
            <w:tcBorders>
              <w:top w:val="nil"/>
              <w:left w:val="nil"/>
              <w:bottom w:val="nil"/>
              <w:right w:val="nil"/>
            </w:tcBorders>
          </w:tcPr>
          <w:p>
            <w:pPr>
              <w:pStyle w:val="TableParagraph"/>
              <w:spacing w:line="216" w:lineRule="exact"/>
              <w:ind w:right="107"/>
              <w:rPr>
                <w:sz w:val="19"/>
              </w:rPr>
            </w:pPr>
            <w:r>
              <w:rPr>
                <w:w w:val="105"/>
                <w:sz w:val="19"/>
              </w:rPr>
              <w:t>3 476 203</w:t>
            </w:r>
          </w:p>
        </w:tc>
      </w:tr>
      <w:tr>
        <w:trPr>
          <w:trHeight w:val="230" w:hRule="exact"/>
        </w:trPr>
        <w:tc>
          <w:tcPr>
            <w:tcW w:w="2420" w:type="dxa"/>
            <w:tcBorders>
              <w:top w:val="nil"/>
              <w:left w:val="nil"/>
              <w:bottom w:val="nil"/>
              <w:right w:val="nil"/>
            </w:tcBorders>
          </w:tcPr>
          <w:p>
            <w:pPr>
              <w:pStyle w:val="TableParagraph"/>
              <w:spacing w:line="216" w:lineRule="exact"/>
              <w:ind w:left="110"/>
              <w:jc w:val="left"/>
              <w:rPr>
                <w:sz w:val="19"/>
              </w:rPr>
            </w:pPr>
            <w:r>
              <w:rPr>
                <w:w w:val="105"/>
                <w:sz w:val="19"/>
              </w:rPr>
              <w:t>Mujeres</w:t>
            </w:r>
          </w:p>
        </w:tc>
        <w:tc>
          <w:tcPr>
            <w:tcW w:w="1153" w:type="dxa"/>
            <w:tcBorders>
              <w:top w:val="nil"/>
              <w:left w:val="nil"/>
              <w:bottom w:val="nil"/>
              <w:right w:val="nil"/>
            </w:tcBorders>
          </w:tcPr>
          <w:p>
            <w:pPr>
              <w:pStyle w:val="TableParagraph"/>
              <w:spacing w:line="216" w:lineRule="exact"/>
              <w:ind w:right="166"/>
              <w:rPr>
                <w:sz w:val="19"/>
              </w:rPr>
            </w:pPr>
            <w:r>
              <w:rPr>
                <w:w w:val="105"/>
                <w:sz w:val="19"/>
              </w:rPr>
              <w:t>3 241 050</w:t>
            </w:r>
          </w:p>
        </w:tc>
        <w:tc>
          <w:tcPr>
            <w:tcW w:w="1135" w:type="dxa"/>
            <w:tcBorders>
              <w:top w:val="nil"/>
              <w:left w:val="nil"/>
              <w:bottom w:val="nil"/>
              <w:right w:val="nil"/>
            </w:tcBorders>
          </w:tcPr>
          <w:p>
            <w:pPr>
              <w:pStyle w:val="TableParagraph"/>
              <w:spacing w:line="216" w:lineRule="exact"/>
              <w:ind w:right="164"/>
              <w:rPr>
                <w:sz w:val="19"/>
              </w:rPr>
            </w:pPr>
            <w:r>
              <w:rPr>
                <w:w w:val="105"/>
                <w:sz w:val="19"/>
              </w:rPr>
              <w:t>3 371 085</w:t>
            </w:r>
          </w:p>
        </w:tc>
        <w:tc>
          <w:tcPr>
            <w:tcW w:w="1133" w:type="dxa"/>
            <w:tcBorders>
              <w:top w:val="nil"/>
              <w:left w:val="nil"/>
              <w:bottom w:val="nil"/>
              <w:right w:val="nil"/>
            </w:tcBorders>
          </w:tcPr>
          <w:p>
            <w:pPr>
              <w:pStyle w:val="TableParagraph"/>
              <w:spacing w:line="216" w:lineRule="exact"/>
              <w:ind w:right="164"/>
              <w:rPr>
                <w:sz w:val="19"/>
              </w:rPr>
            </w:pPr>
            <w:r>
              <w:rPr>
                <w:w w:val="105"/>
                <w:sz w:val="19"/>
              </w:rPr>
              <w:t>3 472 024</w:t>
            </w:r>
          </w:p>
        </w:tc>
        <w:tc>
          <w:tcPr>
            <w:tcW w:w="1133" w:type="dxa"/>
            <w:tcBorders>
              <w:top w:val="nil"/>
              <w:left w:val="nil"/>
              <w:bottom w:val="nil"/>
              <w:right w:val="nil"/>
            </w:tcBorders>
          </w:tcPr>
          <w:p>
            <w:pPr>
              <w:pStyle w:val="TableParagraph"/>
              <w:spacing w:line="216" w:lineRule="exact"/>
              <w:ind w:right="164"/>
              <w:rPr>
                <w:sz w:val="19"/>
              </w:rPr>
            </w:pPr>
            <w:r>
              <w:rPr>
                <w:w w:val="105"/>
                <w:sz w:val="19"/>
              </w:rPr>
              <w:t>3 604 225</w:t>
            </w:r>
          </w:p>
        </w:tc>
        <w:tc>
          <w:tcPr>
            <w:tcW w:w="1076" w:type="dxa"/>
            <w:tcBorders>
              <w:top w:val="nil"/>
              <w:left w:val="nil"/>
              <w:bottom w:val="nil"/>
              <w:right w:val="nil"/>
            </w:tcBorders>
          </w:tcPr>
          <w:p>
            <w:pPr>
              <w:pStyle w:val="TableParagraph"/>
              <w:spacing w:line="216" w:lineRule="exact"/>
              <w:ind w:right="107"/>
              <w:rPr>
                <w:sz w:val="19"/>
              </w:rPr>
            </w:pPr>
            <w:r>
              <w:rPr>
                <w:w w:val="105"/>
                <w:sz w:val="19"/>
              </w:rPr>
              <w:t>3 692 514</w:t>
            </w:r>
          </w:p>
        </w:tc>
      </w:tr>
      <w:tr>
        <w:trPr>
          <w:trHeight w:val="230" w:hRule="exact"/>
        </w:trPr>
        <w:tc>
          <w:tcPr>
            <w:tcW w:w="2420" w:type="dxa"/>
            <w:tcBorders>
              <w:top w:val="nil"/>
              <w:left w:val="nil"/>
              <w:bottom w:val="nil"/>
              <w:right w:val="nil"/>
            </w:tcBorders>
          </w:tcPr>
          <w:p>
            <w:pPr>
              <w:pStyle w:val="TableParagraph"/>
              <w:spacing w:line="216" w:lineRule="exact"/>
              <w:ind w:left="110"/>
              <w:jc w:val="left"/>
              <w:rPr>
                <w:i/>
                <w:sz w:val="19"/>
              </w:rPr>
            </w:pPr>
            <w:r>
              <w:rPr>
                <w:i/>
                <w:w w:val="105"/>
                <w:sz w:val="19"/>
              </w:rPr>
              <w:t>PEA</w:t>
            </w:r>
          </w:p>
        </w:tc>
        <w:tc>
          <w:tcPr>
            <w:tcW w:w="1153" w:type="dxa"/>
            <w:tcBorders>
              <w:top w:val="nil"/>
              <w:left w:val="nil"/>
              <w:bottom w:val="nil"/>
              <w:right w:val="nil"/>
            </w:tcBorders>
          </w:tcPr>
          <w:p>
            <w:pPr>
              <w:pStyle w:val="TableParagraph"/>
              <w:spacing w:line="216" w:lineRule="exact"/>
              <w:ind w:right="166"/>
              <w:rPr>
                <w:sz w:val="19"/>
              </w:rPr>
            </w:pPr>
            <w:r>
              <w:rPr>
                <w:w w:val="105"/>
                <w:sz w:val="19"/>
              </w:rPr>
              <w:t>2 437 997</w:t>
            </w:r>
          </w:p>
        </w:tc>
        <w:tc>
          <w:tcPr>
            <w:tcW w:w="1135" w:type="dxa"/>
            <w:tcBorders>
              <w:top w:val="nil"/>
              <w:left w:val="nil"/>
              <w:bottom w:val="nil"/>
              <w:right w:val="nil"/>
            </w:tcBorders>
          </w:tcPr>
          <w:p>
            <w:pPr>
              <w:pStyle w:val="TableParagraph"/>
              <w:spacing w:line="216" w:lineRule="exact"/>
              <w:ind w:right="164"/>
              <w:rPr>
                <w:sz w:val="19"/>
              </w:rPr>
            </w:pPr>
            <w:r>
              <w:rPr>
                <w:w w:val="105"/>
                <w:sz w:val="19"/>
              </w:rPr>
              <w:t>2 497 860</w:t>
            </w:r>
          </w:p>
        </w:tc>
        <w:tc>
          <w:tcPr>
            <w:tcW w:w="1133" w:type="dxa"/>
            <w:tcBorders>
              <w:top w:val="nil"/>
              <w:left w:val="nil"/>
              <w:bottom w:val="nil"/>
              <w:right w:val="nil"/>
            </w:tcBorders>
          </w:tcPr>
          <w:p>
            <w:pPr>
              <w:pStyle w:val="TableParagraph"/>
              <w:spacing w:line="216" w:lineRule="exact"/>
              <w:ind w:right="164"/>
              <w:rPr>
                <w:sz w:val="19"/>
              </w:rPr>
            </w:pPr>
            <w:r>
              <w:rPr>
                <w:w w:val="105"/>
                <w:sz w:val="19"/>
              </w:rPr>
              <w:t>2 380 814</w:t>
            </w:r>
          </w:p>
        </w:tc>
        <w:tc>
          <w:tcPr>
            <w:tcW w:w="1133" w:type="dxa"/>
            <w:tcBorders>
              <w:top w:val="nil"/>
              <w:left w:val="nil"/>
              <w:bottom w:val="nil"/>
              <w:right w:val="nil"/>
            </w:tcBorders>
          </w:tcPr>
          <w:p>
            <w:pPr>
              <w:pStyle w:val="TableParagraph"/>
              <w:spacing w:line="216" w:lineRule="exact"/>
              <w:ind w:right="164"/>
              <w:rPr>
                <w:sz w:val="19"/>
              </w:rPr>
            </w:pPr>
            <w:r>
              <w:rPr>
                <w:w w:val="105"/>
                <w:sz w:val="19"/>
              </w:rPr>
              <w:t>2 592 186</w:t>
            </w:r>
          </w:p>
        </w:tc>
        <w:tc>
          <w:tcPr>
            <w:tcW w:w="1076" w:type="dxa"/>
            <w:tcBorders>
              <w:top w:val="nil"/>
              <w:left w:val="nil"/>
              <w:bottom w:val="nil"/>
              <w:right w:val="nil"/>
            </w:tcBorders>
          </w:tcPr>
          <w:p>
            <w:pPr>
              <w:pStyle w:val="TableParagraph"/>
              <w:spacing w:line="216" w:lineRule="exact"/>
              <w:ind w:right="107"/>
              <w:rPr>
                <w:sz w:val="19"/>
              </w:rPr>
            </w:pPr>
            <w:r>
              <w:rPr>
                <w:w w:val="105"/>
                <w:sz w:val="19"/>
              </w:rPr>
              <w:t>2 759 409</w:t>
            </w:r>
          </w:p>
        </w:tc>
      </w:tr>
      <w:tr>
        <w:trPr>
          <w:trHeight w:val="230" w:hRule="exact"/>
        </w:trPr>
        <w:tc>
          <w:tcPr>
            <w:tcW w:w="2420" w:type="dxa"/>
            <w:tcBorders>
              <w:top w:val="nil"/>
              <w:left w:val="nil"/>
              <w:bottom w:val="nil"/>
              <w:right w:val="nil"/>
            </w:tcBorders>
          </w:tcPr>
          <w:p>
            <w:pPr>
              <w:pStyle w:val="TableParagraph"/>
              <w:spacing w:line="216" w:lineRule="exact"/>
              <w:ind w:left="110"/>
              <w:jc w:val="left"/>
              <w:rPr>
                <w:sz w:val="19"/>
              </w:rPr>
            </w:pPr>
            <w:r>
              <w:rPr>
                <w:w w:val="105"/>
                <w:sz w:val="19"/>
              </w:rPr>
              <w:t>Hombres</w:t>
            </w:r>
          </w:p>
        </w:tc>
        <w:tc>
          <w:tcPr>
            <w:tcW w:w="1153" w:type="dxa"/>
            <w:tcBorders>
              <w:top w:val="nil"/>
              <w:left w:val="nil"/>
              <w:bottom w:val="nil"/>
              <w:right w:val="nil"/>
            </w:tcBorders>
          </w:tcPr>
          <w:p>
            <w:pPr>
              <w:pStyle w:val="TableParagraph"/>
              <w:spacing w:line="216" w:lineRule="exact"/>
              <w:ind w:right="166"/>
              <w:rPr>
                <w:sz w:val="19"/>
              </w:rPr>
            </w:pPr>
            <w:r>
              <w:rPr>
                <w:w w:val="105"/>
                <w:sz w:val="19"/>
              </w:rPr>
              <w:t>1 567 968</w:t>
            </w:r>
          </w:p>
        </w:tc>
        <w:tc>
          <w:tcPr>
            <w:tcW w:w="1135" w:type="dxa"/>
            <w:tcBorders>
              <w:top w:val="nil"/>
              <w:left w:val="nil"/>
              <w:bottom w:val="nil"/>
              <w:right w:val="nil"/>
            </w:tcBorders>
          </w:tcPr>
          <w:p>
            <w:pPr>
              <w:pStyle w:val="TableParagraph"/>
              <w:spacing w:line="216" w:lineRule="exact"/>
              <w:ind w:right="164"/>
              <w:rPr>
                <w:sz w:val="19"/>
              </w:rPr>
            </w:pPr>
            <w:r>
              <w:rPr>
                <w:w w:val="105"/>
                <w:sz w:val="19"/>
              </w:rPr>
              <w:t>1 684 685</w:t>
            </w:r>
          </w:p>
        </w:tc>
        <w:tc>
          <w:tcPr>
            <w:tcW w:w="1133" w:type="dxa"/>
            <w:tcBorders>
              <w:top w:val="nil"/>
              <w:left w:val="nil"/>
              <w:bottom w:val="nil"/>
              <w:right w:val="nil"/>
            </w:tcBorders>
          </w:tcPr>
          <w:p>
            <w:pPr>
              <w:pStyle w:val="TableParagraph"/>
              <w:spacing w:line="216" w:lineRule="exact"/>
              <w:ind w:right="164"/>
              <w:rPr>
                <w:sz w:val="19"/>
              </w:rPr>
            </w:pPr>
            <w:r>
              <w:rPr>
                <w:w w:val="105"/>
                <w:sz w:val="19"/>
              </w:rPr>
              <w:t>1 558 257</w:t>
            </w:r>
          </w:p>
        </w:tc>
        <w:tc>
          <w:tcPr>
            <w:tcW w:w="1133" w:type="dxa"/>
            <w:tcBorders>
              <w:top w:val="nil"/>
              <w:left w:val="nil"/>
              <w:bottom w:val="nil"/>
              <w:right w:val="nil"/>
            </w:tcBorders>
          </w:tcPr>
          <w:p>
            <w:pPr>
              <w:pStyle w:val="TableParagraph"/>
              <w:spacing w:line="216" w:lineRule="exact"/>
              <w:ind w:right="164"/>
              <w:rPr>
                <w:sz w:val="19"/>
              </w:rPr>
            </w:pPr>
            <w:r>
              <w:rPr>
                <w:w w:val="105"/>
                <w:sz w:val="19"/>
              </w:rPr>
              <w:t>1 719 122</w:t>
            </w:r>
          </w:p>
        </w:tc>
        <w:tc>
          <w:tcPr>
            <w:tcW w:w="1076" w:type="dxa"/>
            <w:tcBorders>
              <w:top w:val="nil"/>
              <w:left w:val="nil"/>
              <w:bottom w:val="nil"/>
              <w:right w:val="nil"/>
            </w:tcBorders>
          </w:tcPr>
          <w:p>
            <w:pPr>
              <w:pStyle w:val="TableParagraph"/>
              <w:spacing w:line="216" w:lineRule="exact"/>
              <w:ind w:right="107"/>
              <w:rPr>
                <w:sz w:val="19"/>
              </w:rPr>
            </w:pPr>
            <w:r>
              <w:rPr>
                <w:w w:val="105"/>
                <w:sz w:val="19"/>
              </w:rPr>
              <w:t>1 769 567</w:t>
            </w:r>
          </w:p>
        </w:tc>
      </w:tr>
      <w:tr>
        <w:trPr>
          <w:trHeight w:val="230" w:hRule="exact"/>
        </w:trPr>
        <w:tc>
          <w:tcPr>
            <w:tcW w:w="2420" w:type="dxa"/>
            <w:tcBorders>
              <w:top w:val="nil"/>
              <w:left w:val="nil"/>
              <w:bottom w:val="nil"/>
              <w:right w:val="nil"/>
            </w:tcBorders>
          </w:tcPr>
          <w:p>
            <w:pPr>
              <w:pStyle w:val="TableParagraph"/>
              <w:spacing w:line="216" w:lineRule="exact"/>
              <w:ind w:left="110"/>
              <w:jc w:val="left"/>
              <w:rPr>
                <w:sz w:val="19"/>
              </w:rPr>
            </w:pPr>
            <w:r>
              <w:rPr>
                <w:w w:val="105"/>
                <w:sz w:val="19"/>
              </w:rPr>
              <w:t>Mujeres</w:t>
            </w:r>
          </w:p>
        </w:tc>
        <w:tc>
          <w:tcPr>
            <w:tcW w:w="1153" w:type="dxa"/>
            <w:tcBorders>
              <w:top w:val="nil"/>
              <w:left w:val="nil"/>
              <w:bottom w:val="nil"/>
              <w:right w:val="nil"/>
            </w:tcBorders>
          </w:tcPr>
          <w:p>
            <w:pPr>
              <w:pStyle w:val="TableParagraph"/>
              <w:spacing w:line="216" w:lineRule="exact"/>
              <w:ind w:right="166"/>
              <w:rPr>
                <w:sz w:val="19"/>
              </w:rPr>
            </w:pPr>
            <w:r>
              <w:rPr>
                <w:w w:val="105"/>
                <w:sz w:val="19"/>
              </w:rPr>
              <w:t>870 029</w:t>
            </w:r>
          </w:p>
        </w:tc>
        <w:tc>
          <w:tcPr>
            <w:tcW w:w="1135" w:type="dxa"/>
            <w:tcBorders>
              <w:top w:val="nil"/>
              <w:left w:val="nil"/>
              <w:bottom w:val="nil"/>
              <w:right w:val="nil"/>
            </w:tcBorders>
          </w:tcPr>
          <w:p>
            <w:pPr>
              <w:pStyle w:val="TableParagraph"/>
              <w:spacing w:line="216" w:lineRule="exact"/>
              <w:ind w:right="164"/>
              <w:rPr>
                <w:sz w:val="19"/>
              </w:rPr>
            </w:pPr>
            <w:r>
              <w:rPr>
                <w:w w:val="105"/>
                <w:sz w:val="19"/>
              </w:rPr>
              <w:t>813 175</w:t>
            </w:r>
          </w:p>
        </w:tc>
        <w:tc>
          <w:tcPr>
            <w:tcW w:w="1133" w:type="dxa"/>
            <w:tcBorders>
              <w:top w:val="nil"/>
              <w:left w:val="nil"/>
              <w:bottom w:val="nil"/>
              <w:right w:val="nil"/>
            </w:tcBorders>
          </w:tcPr>
          <w:p>
            <w:pPr>
              <w:pStyle w:val="TableParagraph"/>
              <w:spacing w:line="216" w:lineRule="exact"/>
              <w:ind w:right="164"/>
              <w:rPr>
                <w:sz w:val="19"/>
              </w:rPr>
            </w:pPr>
            <w:r>
              <w:rPr>
                <w:w w:val="105"/>
                <w:sz w:val="19"/>
              </w:rPr>
              <w:t>822 557</w:t>
            </w:r>
          </w:p>
        </w:tc>
        <w:tc>
          <w:tcPr>
            <w:tcW w:w="1133" w:type="dxa"/>
            <w:tcBorders>
              <w:top w:val="nil"/>
              <w:left w:val="nil"/>
              <w:bottom w:val="nil"/>
              <w:right w:val="nil"/>
            </w:tcBorders>
          </w:tcPr>
          <w:p>
            <w:pPr>
              <w:pStyle w:val="TableParagraph"/>
              <w:spacing w:line="216" w:lineRule="exact"/>
              <w:ind w:right="164"/>
              <w:rPr>
                <w:sz w:val="19"/>
              </w:rPr>
            </w:pPr>
            <w:r>
              <w:rPr>
                <w:w w:val="105"/>
                <w:sz w:val="19"/>
              </w:rPr>
              <w:t>873 064</w:t>
            </w:r>
          </w:p>
        </w:tc>
        <w:tc>
          <w:tcPr>
            <w:tcW w:w="1076" w:type="dxa"/>
            <w:tcBorders>
              <w:top w:val="nil"/>
              <w:left w:val="nil"/>
              <w:bottom w:val="nil"/>
              <w:right w:val="nil"/>
            </w:tcBorders>
          </w:tcPr>
          <w:p>
            <w:pPr>
              <w:pStyle w:val="TableParagraph"/>
              <w:spacing w:line="216" w:lineRule="exact"/>
              <w:ind w:right="107"/>
              <w:rPr>
                <w:sz w:val="19"/>
              </w:rPr>
            </w:pPr>
            <w:r>
              <w:rPr>
                <w:w w:val="105"/>
                <w:sz w:val="19"/>
              </w:rPr>
              <w:t>989 842</w:t>
            </w:r>
          </w:p>
        </w:tc>
      </w:tr>
      <w:tr>
        <w:trPr>
          <w:trHeight w:val="230" w:hRule="exact"/>
        </w:trPr>
        <w:tc>
          <w:tcPr>
            <w:tcW w:w="2420" w:type="dxa"/>
            <w:tcBorders>
              <w:top w:val="nil"/>
              <w:left w:val="nil"/>
              <w:bottom w:val="nil"/>
              <w:right w:val="nil"/>
            </w:tcBorders>
          </w:tcPr>
          <w:p>
            <w:pPr>
              <w:pStyle w:val="TableParagraph"/>
              <w:spacing w:line="216" w:lineRule="exact"/>
              <w:ind w:left="110"/>
              <w:jc w:val="left"/>
              <w:rPr>
                <w:i/>
                <w:sz w:val="19"/>
              </w:rPr>
            </w:pPr>
            <w:r>
              <w:rPr>
                <w:i/>
                <w:w w:val="105"/>
                <w:sz w:val="19"/>
              </w:rPr>
              <w:t>Tasa de participación</w:t>
            </w:r>
          </w:p>
        </w:tc>
        <w:tc>
          <w:tcPr>
            <w:tcW w:w="1153" w:type="dxa"/>
            <w:tcBorders>
              <w:top w:val="nil"/>
              <w:left w:val="nil"/>
              <w:bottom w:val="nil"/>
              <w:right w:val="nil"/>
            </w:tcBorders>
          </w:tcPr>
          <w:p>
            <w:pPr>
              <w:pStyle w:val="TableParagraph"/>
              <w:spacing w:line="216" w:lineRule="exact"/>
              <w:ind w:right="168"/>
              <w:rPr>
                <w:sz w:val="19"/>
              </w:rPr>
            </w:pPr>
            <w:r>
              <w:rPr>
                <w:sz w:val="19"/>
              </w:rPr>
              <w:t>53.1</w:t>
            </w:r>
          </w:p>
        </w:tc>
        <w:tc>
          <w:tcPr>
            <w:tcW w:w="1135" w:type="dxa"/>
            <w:tcBorders>
              <w:top w:val="nil"/>
              <w:left w:val="nil"/>
              <w:bottom w:val="nil"/>
              <w:right w:val="nil"/>
            </w:tcBorders>
          </w:tcPr>
          <w:p>
            <w:pPr>
              <w:pStyle w:val="TableParagraph"/>
              <w:spacing w:line="216" w:lineRule="exact"/>
              <w:ind w:right="165"/>
              <w:rPr>
                <w:sz w:val="19"/>
              </w:rPr>
            </w:pPr>
            <w:r>
              <w:rPr>
                <w:sz w:val="19"/>
              </w:rPr>
              <w:t>52.5</w:t>
            </w:r>
          </w:p>
        </w:tc>
        <w:tc>
          <w:tcPr>
            <w:tcW w:w="1133" w:type="dxa"/>
            <w:tcBorders>
              <w:top w:val="nil"/>
              <w:left w:val="nil"/>
              <w:bottom w:val="nil"/>
              <w:right w:val="nil"/>
            </w:tcBorders>
          </w:tcPr>
          <w:p>
            <w:pPr>
              <w:pStyle w:val="TableParagraph"/>
              <w:spacing w:line="216" w:lineRule="exact"/>
              <w:ind w:right="165"/>
              <w:rPr>
                <w:sz w:val="19"/>
              </w:rPr>
            </w:pPr>
            <w:r>
              <w:rPr>
                <w:sz w:val="19"/>
              </w:rPr>
              <w:t>48.7</w:t>
            </w:r>
          </w:p>
        </w:tc>
        <w:tc>
          <w:tcPr>
            <w:tcW w:w="1133" w:type="dxa"/>
            <w:tcBorders>
              <w:top w:val="nil"/>
              <w:left w:val="nil"/>
              <w:bottom w:val="nil"/>
              <w:right w:val="nil"/>
            </w:tcBorders>
          </w:tcPr>
          <w:p>
            <w:pPr>
              <w:pStyle w:val="TableParagraph"/>
              <w:spacing w:line="216" w:lineRule="exact"/>
              <w:ind w:right="165"/>
              <w:rPr>
                <w:sz w:val="19"/>
              </w:rPr>
            </w:pPr>
            <w:r>
              <w:rPr>
                <w:sz w:val="19"/>
              </w:rPr>
              <w:t>50.6</w:t>
            </w:r>
          </w:p>
        </w:tc>
        <w:tc>
          <w:tcPr>
            <w:tcW w:w="1076" w:type="dxa"/>
            <w:tcBorders>
              <w:top w:val="nil"/>
              <w:left w:val="nil"/>
              <w:bottom w:val="nil"/>
              <w:right w:val="nil"/>
            </w:tcBorders>
          </w:tcPr>
          <w:p>
            <w:pPr>
              <w:pStyle w:val="TableParagraph"/>
              <w:spacing w:line="216" w:lineRule="exact"/>
              <w:ind w:right="108"/>
              <w:rPr>
                <w:sz w:val="19"/>
              </w:rPr>
            </w:pPr>
            <w:r>
              <w:rPr>
                <w:sz w:val="19"/>
              </w:rPr>
              <w:t>52.0</w:t>
            </w:r>
          </w:p>
        </w:tc>
      </w:tr>
      <w:tr>
        <w:trPr>
          <w:trHeight w:val="230" w:hRule="exact"/>
        </w:trPr>
        <w:tc>
          <w:tcPr>
            <w:tcW w:w="2420" w:type="dxa"/>
            <w:tcBorders>
              <w:top w:val="nil"/>
              <w:left w:val="nil"/>
              <w:bottom w:val="nil"/>
              <w:right w:val="nil"/>
            </w:tcBorders>
          </w:tcPr>
          <w:p>
            <w:pPr>
              <w:pStyle w:val="TableParagraph"/>
              <w:spacing w:line="216" w:lineRule="exact"/>
              <w:ind w:left="110"/>
              <w:jc w:val="left"/>
              <w:rPr>
                <w:sz w:val="19"/>
              </w:rPr>
            </w:pPr>
            <w:r>
              <w:rPr>
                <w:w w:val="105"/>
                <w:sz w:val="19"/>
              </w:rPr>
              <w:t>Hombres</w:t>
            </w:r>
          </w:p>
        </w:tc>
        <w:tc>
          <w:tcPr>
            <w:tcW w:w="1153" w:type="dxa"/>
            <w:tcBorders>
              <w:top w:val="nil"/>
              <w:left w:val="nil"/>
              <w:bottom w:val="nil"/>
              <w:right w:val="nil"/>
            </w:tcBorders>
          </w:tcPr>
          <w:p>
            <w:pPr>
              <w:pStyle w:val="TableParagraph"/>
              <w:spacing w:line="216" w:lineRule="exact"/>
              <w:ind w:right="168"/>
              <w:rPr>
                <w:sz w:val="19"/>
              </w:rPr>
            </w:pPr>
            <w:r>
              <w:rPr>
                <w:sz w:val="19"/>
              </w:rPr>
              <w:t>71.6</w:t>
            </w:r>
          </w:p>
        </w:tc>
        <w:tc>
          <w:tcPr>
            <w:tcW w:w="1135" w:type="dxa"/>
            <w:tcBorders>
              <w:top w:val="nil"/>
              <w:left w:val="nil"/>
              <w:bottom w:val="nil"/>
              <w:right w:val="nil"/>
            </w:tcBorders>
          </w:tcPr>
          <w:p>
            <w:pPr>
              <w:pStyle w:val="TableParagraph"/>
              <w:spacing w:line="216" w:lineRule="exact"/>
              <w:ind w:right="165"/>
              <w:rPr>
                <w:sz w:val="19"/>
              </w:rPr>
            </w:pPr>
            <w:r>
              <w:rPr>
                <w:sz w:val="19"/>
              </w:rPr>
              <w:t>93.2</w:t>
            </w:r>
          </w:p>
        </w:tc>
        <w:tc>
          <w:tcPr>
            <w:tcW w:w="1133" w:type="dxa"/>
            <w:tcBorders>
              <w:top w:val="nil"/>
              <w:left w:val="nil"/>
              <w:bottom w:val="nil"/>
              <w:right w:val="nil"/>
            </w:tcBorders>
          </w:tcPr>
          <w:p>
            <w:pPr>
              <w:pStyle w:val="TableParagraph"/>
              <w:spacing w:line="216" w:lineRule="exact"/>
              <w:ind w:right="165"/>
              <w:rPr>
                <w:sz w:val="19"/>
              </w:rPr>
            </w:pPr>
            <w:r>
              <w:rPr>
                <w:sz w:val="19"/>
              </w:rPr>
              <w:t>55.5</w:t>
            </w:r>
          </w:p>
        </w:tc>
        <w:tc>
          <w:tcPr>
            <w:tcW w:w="1133" w:type="dxa"/>
            <w:tcBorders>
              <w:top w:val="nil"/>
              <w:left w:val="nil"/>
              <w:bottom w:val="nil"/>
              <w:right w:val="nil"/>
            </w:tcBorders>
          </w:tcPr>
          <w:p>
            <w:pPr>
              <w:pStyle w:val="TableParagraph"/>
              <w:spacing w:line="216" w:lineRule="exact"/>
              <w:ind w:right="165"/>
              <w:rPr>
                <w:sz w:val="19"/>
              </w:rPr>
            </w:pPr>
            <w:r>
              <w:rPr>
                <w:sz w:val="19"/>
              </w:rPr>
              <w:t>70.0</w:t>
            </w:r>
          </w:p>
        </w:tc>
        <w:tc>
          <w:tcPr>
            <w:tcW w:w="1076" w:type="dxa"/>
            <w:tcBorders>
              <w:top w:val="nil"/>
              <w:left w:val="nil"/>
              <w:bottom w:val="nil"/>
              <w:right w:val="nil"/>
            </w:tcBorders>
          </w:tcPr>
          <w:p>
            <w:pPr>
              <w:pStyle w:val="TableParagraph"/>
              <w:spacing w:line="216" w:lineRule="exact"/>
              <w:ind w:right="108"/>
              <w:rPr>
                <w:sz w:val="19"/>
              </w:rPr>
            </w:pPr>
            <w:r>
              <w:rPr>
                <w:sz w:val="19"/>
              </w:rPr>
              <w:t>70.3</w:t>
            </w:r>
          </w:p>
        </w:tc>
      </w:tr>
      <w:tr>
        <w:trPr>
          <w:trHeight w:val="230" w:hRule="exact"/>
        </w:trPr>
        <w:tc>
          <w:tcPr>
            <w:tcW w:w="2420" w:type="dxa"/>
            <w:tcBorders>
              <w:top w:val="nil"/>
              <w:left w:val="nil"/>
              <w:bottom w:val="nil"/>
              <w:right w:val="nil"/>
            </w:tcBorders>
          </w:tcPr>
          <w:p>
            <w:pPr>
              <w:pStyle w:val="TableParagraph"/>
              <w:spacing w:line="216" w:lineRule="exact"/>
              <w:ind w:left="110"/>
              <w:jc w:val="left"/>
              <w:rPr>
                <w:sz w:val="19"/>
              </w:rPr>
            </w:pPr>
            <w:r>
              <w:rPr>
                <w:w w:val="105"/>
                <w:sz w:val="19"/>
              </w:rPr>
              <w:t>Mujeres</w:t>
            </w:r>
          </w:p>
        </w:tc>
        <w:tc>
          <w:tcPr>
            <w:tcW w:w="1153" w:type="dxa"/>
            <w:tcBorders>
              <w:top w:val="nil"/>
              <w:left w:val="nil"/>
              <w:bottom w:val="nil"/>
              <w:right w:val="nil"/>
            </w:tcBorders>
          </w:tcPr>
          <w:p>
            <w:pPr>
              <w:pStyle w:val="TableParagraph"/>
              <w:spacing w:line="216" w:lineRule="exact"/>
              <w:ind w:right="168"/>
              <w:rPr>
                <w:sz w:val="19"/>
              </w:rPr>
            </w:pPr>
            <w:r>
              <w:rPr>
                <w:sz w:val="19"/>
              </w:rPr>
              <w:t>36.3</w:t>
            </w:r>
          </w:p>
        </w:tc>
        <w:tc>
          <w:tcPr>
            <w:tcW w:w="1135" w:type="dxa"/>
            <w:tcBorders>
              <w:top w:val="nil"/>
              <w:left w:val="nil"/>
              <w:bottom w:val="nil"/>
              <w:right w:val="nil"/>
            </w:tcBorders>
          </w:tcPr>
          <w:p>
            <w:pPr>
              <w:pStyle w:val="TableParagraph"/>
              <w:spacing w:line="216" w:lineRule="exact"/>
              <w:ind w:right="165"/>
              <w:rPr>
                <w:sz w:val="19"/>
              </w:rPr>
            </w:pPr>
            <w:r>
              <w:rPr>
                <w:sz w:val="19"/>
              </w:rPr>
              <w:t>33.1</w:t>
            </w:r>
          </w:p>
        </w:tc>
        <w:tc>
          <w:tcPr>
            <w:tcW w:w="1133" w:type="dxa"/>
            <w:tcBorders>
              <w:top w:val="nil"/>
              <w:left w:val="nil"/>
              <w:bottom w:val="nil"/>
              <w:right w:val="nil"/>
            </w:tcBorders>
          </w:tcPr>
          <w:p>
            <w:pPr>
              <w:pStyle w:val="TableParagraph"/>
              <w:spacing w:line="216" w:lineRule="exact"/>
              <w:ind w:right="165"/>
              <w:rPr>
                <w:sz w:val="19"/>
              </w:rPr>
            </w:pPr>
            <w:r>
              <w:rPr>
                <w:sz w:val="19"/>
              </w:rPr>
              <w:t>32.3</w:t>
            </w:r>
          </w:p>
        </w:tc>
        <w:tc>
          <w:tcPr>
            <w:tcW w:w="1133" w:type="dxa"/>
            <w:tcBorders>
              <w:top w:val="nil"/>
              <w:left w:val="nil"/>
              <w:bottom w:val="nil"/>
              <w:right w:val="nil"/>
            </w:tcBorders>
          </w:tcPr>
          <w:p>
            <w:pPr>
              <w:pStyle w:val="TableParagraph"/>
              <w:spacing w:line="216" w:lineRule="exact"/>
              <w:ind w:right="165"/>
              <w:rPr>
                <w:sz w:val="19"/>
              </w:rPr>
            </w:pPr>
            <w:r>
              <w:rPr>
                <w:sz w:val="19"/>
              </w:rPr>
              <w:t>32.7</w:t>
            </w:r>
          </w:p>
        </w:tc>
        <w:tc>
          <w:tcPr>
            <w:tcW w:w="1076" w:type="dxa"/>
            <w:tcBorders>
              <w:top w:val="nil"/>
              <w:left w:val="nil"/>
              <w:bottom w:val="nil"/>
              <w:right w:val="nil"/>
            </w:tcBorders>
          </w:tcPr>
          <w:p>
            <w:pPr>
              <w:pStyle w:val="TableParagraph"/>
              <w:spacing w:line="216" w:lineRule="exact"/>
              <w:ind w:right="108"/>
              <w:rPr>
                <w:sz w:val="19"/>
              </w:rPr>
            </w:pPr>
            <w:r>
              <w:rPr>
                <w:sz w:val="19"/>
              </w:rPr>
              <w:t>35.5</w:t>
            </w:r>
          </w:p>
        </w:tc>
      </w:tr>
      <w:tr>
        <w:trPr>
          <w:trHeight w:val="228" w:hRule="exact"/>
        </w:trPr>
        <w:tc>
          <w:tcPr>
            <w:tcW w:w="2420" w:type="dxa"/>
            <w:tcBorders>
              <w:top w:val="nil"/>
              <w:left w:val="nil"/>
              <w:bottom w:val="nil"/>
              <w:right w:val="nil"/>
            </w:tcBorders>
          </w:tcPr>
          <w:p>
            <w:pPr>
              <w:pStyle w:val="TableParagraph"/>
              <w:spacing w:line="216" w:lineRule="exact"/>
              <w:ind w:left="110"/>
              <w:jc w:val="left"/>
              <w:rPr>
                <w:sz w:val="19"/>
              </w:rPr>
            </w:pPr>
            <w:r>
              <w:rPr>
                <w:w w:val="105"/>
                <w:sz w:val="19"/>
              </w:rPr>
              <w:t>Ocupados</w:t>
            </w:r>
          </w:p>
        </w:tc>
        <w:tc>
          <w:tcPr>
            <w:tcW w:w="1153" w:type="dxa"/>
            <w:tcBorders>
              <w:top w:val="nil"/>
              <w:left w:val="nil"/>
              <w:bottom w:val="nil"/>
              <w:right w:val="nil"/>
            </w:tcBorders>
          </w:tcPr>
          <w:p>
            <w:pPr>
              <w:pStyle w:val="TableParagraph"/>
              <w:spacing w:line="216" w:lineRule="exact"/>
              <w:ind w:right="166"/>
              <w:rPr>
                <w:sz w:val="19"/>
              </w:rPr>
            </w:pPr>
            <w:r>
              <w:rPr>
                <w:w w:val="105"/>
                <w:sz w:val="19"/>
              </w:rPr>
              <w:t>2 334 596</w:t>
            </w:r>
          </w:p>
        </w:tc>
        <w:tc>
          <w:tcPr>
            <w:tcW w:w="1135" w:type="dxa"/>
            <w:tcBorders>
              <w:top w:val="nil"/>
              <w:left w:val="nil"/>
              <w:bottom w:val="nil"/>
              <w:right w:val="nil"/>
            </w:tcBorders>
          </w:tcPr>
          <w:p>
            <w:pPr>
              <w:pStyle w:val="TableParagraph"/>
              <w:spacing w:line="216" w:lineRule="exact"/>
              <w:ind w:right="164"/>
              <w:rPr>
                <w:sz w:val="19"/>
              </w:rPr>
            </w:pPr>
            <w:r>
              <w:rPr>
                <w:w w:val="105"/>
                <w:sz w:val="19"/>
              </w:rPr>
              <w:t>239 634</w:t>
            </w:r>
          </w:p>
        </w:tc>
        <w:tc>
          <w:tcPr>
            <w:tcW w:w="1133" w:type="dxa"/>
            <w:tcBorders>
              <w:top w:val="nil"/>
              <w:left w:val="nil"/>
              <w:bottom w:val="nil"/>
              <w:right w:val="nil"/>
            </w:tcBorders>
          </w:tcPr>
          <w:p>
            <w:pPr>
              <w:pStyle w:val="TableParagraph"/>
              <w:spacing w:line="216" w:lineRule="exact"/>
              <w:ind w:right="164"/>
              <w:rPr>
                <w:sz w:val="19"/>
              </w:rPr>
            </w:pPr>
            <w:r>
              <w:rPr>
                <w:w w:val="105"/>
                <w:sz w:val="19"/>
              </w:rPr>
              <w:t>2 252 690</w:t>
            </w:r>
          </w:p>
        </w:tc>
        <w:tc>
          <w:tcPr>
            <w:tcW w:w="1133" w:type="dxa"/>
            <w:tcBorders>
              <w:top w:val="nil"/>
              <w:left w:val="nil"/>
              <w:bottom w:val="nil"/>
              <w:right w:val="nil"/>
            </w:tcBorders>
          </w:tcPr>
          <w:p>
            <w:pPr>
              <w:pStyle w:val="TableParagraph"/>
              <w:spacing w:line="216" w:lineRule="exact"/>
              <w:ind w:right="164"/>
              <w:rPr>
                <w:sz w:val="19"/>
              </w:rPr>
            </w:pPr>
            <w:r>
              <w:rPr>
                <w:w w:val="105"/>
                <w:sz w:val="19"/>
              </w:rPr>
              <w:t>2 439 955</w:t>
            </w:r>
          </w:p>
        </w:tc>
        <w:tc>
          <w:tcPr>
            <w:tcW w:w="1076" w:type="dxa"/>
            <w:tcBorders>
              <w:top w:val="nil"/>
              <w:left w:val="nil"/>
              <w:bottom w:val="nil"/>
              <w:right w:val="nil"/>
            </w:tcBorders>
          </w:tcPr>
          <w:p>
            <w:pPr>
              <w:pStyle w:val="TableParagraph"/>
              <w:spacing w:line="216" w:lineRule="exact"/>
              <w:ind w:right="107"/>
              <w:rPr>
                <w:sz w:val="19"/>
              </w:rPr>
            </w:pPr>
            <w:r>
              <w:rPr>
                <w:w w:val="105"/>
                <w:sz w:val="19"/>
              </w:rPr>
              <w:t>2 627 088</w:t>
            </w:r>
          </w:p>
        </w:tc>
      </w:tr>
      <w:tr>
        <w:trPr>
          <w:trHeight w:val="228" w:hRule="exact"/>
        </w:trPr>
        <w:tc>
          <w:tcPr>
            <w:tcW w:w="2420" w:type="dxa"/>
            <w:tcBorders>
              <w:top w:val="nil"/>
              <w:left w:val="nil"/>
              <w:bottom w:val="nil"/>
              <w:right w:val="nil"/>
            </w:tcBorders>
          </w:tcPr>
          <w:p>
            <w:pPr>
              <w:pStyle w:val="TableParagraph"/>
              <w:spacing w:line="214" w:lineRule="exact"/>
              <w:ind w:left="110"/>
              <w:jc w:val="left"/>
              <w:rPr>
                <w:sz w:val="19"/>
              </w:rPr>
            </w:pPr>
            <w:r>
              <w:rPr>
                <w:w w:val="105"/>
                <w:sz w:val="19"/>
              </w:rPr>
              <w:t>Desocupados</w:t>
            </w:r>
          </w:p>
        </w:tc>
        <w:tc>
          <w:tcPr>
            <w:tcW w:w="1153" w:type="dxa"/>
            <w:tcBorders>
              <w:top w:val="nil"/>
              <w:left w:val="nil"/>
              <w:bottom w:val="nil"/>
              <w:right w:val="nil"/>
            </w:tcBorders>
          </w:tcPr>
          <w:p>
            <w:pPr>
              <w:pStyle w:val="TableParagraph"/>
              <w:spacing w:line="214" w:lineRule="exact"/>
              <w:ind w:right="166"/>
              <w:rPr>
                <w:sz w:val="19"/>
              </w:rPr>
            </w:pPr>
            <w:r>
              <w:rPr>
                <w:w w:val="105"/>
                <w:sz w:val="19"/>
              </w:rPr>
              <w:t>103 401</w:t>
            </w:r>
          </w:p>
        </w:tc>
        <w:tc>
          <w:tcPr>
            <w:tcW w:w="1135" w:type="dxa"/>
            <w:tcBorders>
              <w:top w:val="nil"/>
              <w:left w:val="nil"/>
              <w:bottom w:val="nil"/>
              <w:right w:val="nil"/>
            </w:tcBorders>
          </w:tcPr>
          <w:p>
            <w:pPr>
              <w:pStyle w:val="TableParagraph"/>
              <w:spacing w:line="214" w:lineRule="exact"/>
              <w:ind w:right="164"/>
              <w:rPr>
                <w:sz w:val="19"/>
              </w:rPr>
            </w:pPr>
            <w:r>
              <w:rPr>
                <w:w w:val="105"/>
                <w:sz w:val="19"/>
              </w:rPr>
              <w:t>101 226</w:t>
            </w:r>
          </w:p>
        </w:tc>
        <w:tc>
          <w:tcPr>
            <w:tcW w:w="1133" w:type="dxa"/>
            <w:tcBorders>
              <w:top w:val="nil"/>
              <w:left w:val="nil"/>
              <w:bottom w:val="nil"/>
              <w:right w:val="nil"/>
            </w:tcBorders>
          </w:tcPr>
          <w:p>
            <w:pPr>
              <w:pStyle w:val="TableParagraph"/>
              <w:spacing w:line="214" w:lineRule="exact"/>
              <w:ind w:right="164"/>
              <w:rPr>
                <w:sz w:val="19"/>
              </w:rPr>
            </w:pPr>
            <w:r>
              <w:rPr>
                <w:w w:val="105"/>
                <w:sz w:val="19"/>
              </w:rPr>
              <w:t>128 124</w:t>
            </w:r>
          </w:p>
        </w:tc>
        <w:tc>
          <w:tcPr>
            <w:tcW w:w="1133" w:type="dxa"/>
            <w:tcBorders>
              <w:top w:val="nil"/>
              <w:left w:val="nil"/>
              <w:bottom w:val="nil"/>
              <w:right w:val="nil"/>
            </w:tcBorders>
          </w:tcPr>
          <w:p>
            <w:pPr>
              <w:pStyle w:val="TableParagraph"/>
              <w:spacing w:line="214" w:lineRule="exact"/>
              <w:ind w:right="164"/>
              <w:rPr>
                <w:sz w:val="19"/>
              </w:rPr>
            </w:pPr>
            <w:r>
              <w:rPr>
                <w:w w:val="105"/>
                <w:sz w:val="19"/>
              </w:rPr>
              <w:t>153 231</w:t>
            </w:r>
          </w:p>
        </w:tc>
        <w:tc>
          <w:tcPr>
            <w:tcW w:w="1076" w:type="dxa"/>
            <w:tcBorders>
              <w:top w:val="nil"/>
              <w:left w:val="nil"/>
              <w:bottom w:val="nil"/>
              <w:right w:val="nil"/>
            </w:tcBorders>
          </w:tcPr>
          <w:p>
            <w:pPr>
              <w:pStyle w:val="TableParagraph"/>
              <w:spacing w:line="214" w:lineRule="exact"/>
              <w:ind w:right="107"/>
              <w:rPr>
                <w:sz w:val="19"/>
              </w:rPr>
            </w:pPr>
            <w:r>
              <w:rPr>
                <w:w w:val="105"/>
                <w:sz w:val="19"/>
              </w:rPr>
              <w:t>132 321</w:t>
            </w:r>
          </w:p>
        </w:tc>
      </w:tr>
      <w:tr>
        <w:trPr>
          <w:trHeight w:val="238" w:hRule="exact"/>
        </w:trPr>
        <w:tc>
          <w:tcPr>
            <w:tcW w:w="2420" w:type="dxa"/>
            <w:tcBorders>
              <w:top w:val="nil"/>
              <w:left w:val="nil"/>
              <w:bottom w:val="double" w:sz="4" w:space="0" w:color="000000"/>
              <w:right w:val="nil"/>
            </w:tcBorders>
          </w:tcPr>
          <w:p>
            <w:pPr>
              <w:pStyle w:val="TableParagraph"/>
              <w:spacing w:line="216" w:lineRule="exact"/>
              <w:ind w:left="110"/>
              <w:jc w:val="left"/>
              <w:rPr>
                <w:sz w:val="19"/>
              </w:rPr>
            </w:pPr>
            <w:r>
              <w:rPr>
                <w:w w:val="105"/>
                <w:sz w:val="19"/>
              </w:rPr>
              <w:t>Tasa de desempleo abierto</w:t>
            </w:r>
          </w:p>
        </w:tc>
        <w:tc>
          <w:tcPr>
            <w:tcW w:w="1153" w:type="dxa"/>
            <w:tcBorders>
              <w:top w:val="nil"/>
              <w:left w:val="nil"/>
              <w:bottom w:val="double" w:sz="4" w:space="0" w:color="000000"/>
              <w:right w:val="nil"/>
            </w:tcBorders>
          </w:tcPr>
          <w:p>
            <w:pPr>
              <w:pStyle w:val="TableParagraph"/>
              <w:spacing w:line="216" w:lineRule="exact"/>
              <w:ind w:right="167"/>
              <w:rPr>
                <w:sz w:val="19"/>
              </w:rPr>
            </w:pPr>
            <w:r>
              <w:rPr>
                <w:sz w:val="19"/>
              </w:rPr>
              <w:t>5.9</w:t>
            </w:r>
          </w:p>
        </w:tc>
        <w:tc>
          <w:tcPr>
            <w:tcW w:w="1135" w:type="dxa"/>
            <w:tcBorders>
              <w:top w:val="nil"/>
              <w:left w:val="nil"/>
              <w:bottom w:val="double" w:sz="4" w:space="0" w:color="000000"/>
              <w:right w:val="nil"/>
            </w:tcBorders>
          </w:tcPr>
          <w:p>
            <w:pPr>
              <w:pStyle w:val="TableParagraph"/>
              <w:spacing w:line="216" w:lineRule="exact"/>
              <w:ind w:right="165"/>
              <w:rPr>
                <w:sz w:val="19"/>
              </w:rPr>
            </w:pPr>
            <w:r>
              <w:rPr>
                <w:sz w:val="19"/>
              </w:rPr>
              <w:t>6.1</w:t>
            </w:r>
          </w:p>
        </w:tc>
        <w:tc>
          <w:tcPr>
            <w:tcW w:w="1133" w:type="dxa"/>
            <w:tcBorders>
              <w:top w:val="nil"/>
              <w:left w:val="nil"/>
              <w:bottom w:val="double" w:sz="4" w:space="0" w:color="000000"/>
              <w:right w:val="nil"/>
            </w:tcBorders>
          </w:tcPr>
          <w:p>
            <w:pPr>
              <w:pStyle w:val="TableParagraph"/>
              <w:spacing w:line="216" w:lineRule="exact"/>
              <w:ind w:right="165"/>
              <w:rPr>
                <w:sz w:val="19"/>
              </w:rPr>
            </w:pPr>
            <w:r>
              <w:rPr>
                <w:sz w:val="19"/>
              </w:rPr>
              <w:t>7.6</w:t>
            </w:r>
          </w:p>
        </w:tc>
        <w:tc>
          <w:tcPr>
            <w:tcW w:w="1133" w:type="dxa"/>
            <w:tcBorders>
              <w:top w:val="nil"/>
              <w:left w:val="nil"/>
              <w:bottom w:val="double" w:sz="4" w:space="0" w:color="000000"/>
              <w:right w:val="nil"/>
            </w:tcBorders>
          </w:tcPr>
          <w:p>
            <w:pPr>
              <w:pStyle w:val="TableParagraph"/>
              <w:spacing w:line="216" w:lineRule="exact"/>
              <w:ind w:right="165"/>
              <w:rPr>
                <w:sz w:val="19"/>
              </w:rPr>
            </w:pPr>
            <w:r>
              <w:rPr>
                <w:sz w:val="19"/>
              </w:rPr>
              <w:t>8.0</w:t>
            </w:r>
          </w:p>
        </w:tc>
        <w:tc>
          <w:tcPr>
            <w:tcW w:w="1076" w:type="dxa"/>
            <w:tcBorders>
              <w:top w:val="nil"/>
              <w:left w:val="nil"/>
              <w:bottom w:val="double" w:sz="4" w:space="0" w:color="000000"/>
              <w:right w:val="nil"/>
            </w:tcBorders>
          </w:tcPr>
          <w:p>
            <w:pPr>
              <w:pStyle w:val="TableParagraph"/>
              <w:spacing w:line="216" w:lineRule="exact"/>
              <w:ind w:right="108"/>
              <w:rPr>
                <w:sz w:val="19"/>
              </w:rPr>
            </w:pPr>
            <w:r>
              <w:rPr>
                <w:sz w:val="19"/>
              </w:rPr>
              <w:t>6.5</w:t>
            </w:r>
          </w:p>
        </w:tc>
      </w:tr>
    </w:tbl>
    <w:p>
      <w:pPr>
        <w:spacing w:line="237" w:lineRule="auto" w:before="0"/>
        <w:ind w:left="850" w:right="673" w:firstLine="0"/>
        <w:jc w:val="left"/>
        <w:rPr>
          <w:sz w:val="16"/>
        </w:rPr>
      </w:pPr>
      <w:r>
        <w:rPr>
          <w:sz w:val="16"/>
        </w:rPr>
        <w:t>Fuente: Instituto Nacional de Estadística (INE). Encuesta Permanente de Hogares de Propósitos Múltiples; EPHPM 2001- 2010.</w:t>
      </w:r>
    </w:p>
    <w:p>
      <w:pPr>
        <w:spacing w:after="0" w:line="237" w:lineRule="auto"/>
        <w:jc w:val="left"/>
        <w:rPr>
          <w:sz w:val="16"/>
        </w:rPr>
        <w:sectPr>
          <w:footerReference w:type="default" r:id="rId97"/>
          <w:pgSz w:w="13040" w:h="9360" w:orient="landscape"/>
          <w:pgMar w:footer="0" w:header="0" w:top="0" w:bottom="280" w:left="1840" w:right="1840"/>
        </w:sectPr>
      </w:pPr>
    </w:p>
    <w:p>
      <w:pPr>
        <w:pStyle w:val="BodyText"/>
        <w:rPr>
          <w:sz w:val="20"/>
        </w:rPr>
      </w:pPr>
      <w:r>
        <w:rPr/>
        <w:pict>
          <v:shape style="position:absolute;margin-left:595.506775pt;margin-top:69.299202pt;width:12pt;height:200.85pt;mso-position-horizontal-relative:page;mso-position-vertical-relative:page;z-index:2848" type="#_x0000_t202" filled="false" stroked="false">
            <v:textbox inset="0,0,0,0" style="layout-flow:vertical">
              <w:txbxContent>
                <w:p>
                  <w:pPr>
                    <w:spacing w:line="208" w:lineRule="exact" w:before="0"/>
                    <w:ind w:left="20" w:right="-673" w:firstLine="0"/>
                    <w:jc w:val="left"/>
                    <w:rPr>
                      <w:rFonts w:ascii="Arial" w:hAnsi="Arial"/>
                      <w:sz w:val="20"/>
                    </w:rPr>
                  </w:pPr>
                  <w:r>
                    <w:rPr>
                      <w:rFonts w:ascii="Arial" w:hAnsi="Arial"/>
                      <w:color w:val="231F20"/>
                      <w:spacing w:val="-1"/>
                      <w:w w:val="78"/>
                      <w:sz w:val="20"/>
                    </w:rPr>
                    <w:t>Hito</w:t>
                  </w:r>
                  <w:r>
                    <w:rPr>
                      <w:rFonts w:ascii="Arial" w:hAnsi="Arial"/>
                      <w:color w:val="231F20"/>
                      <w:w w:val="78"/>
                      <w:sz w:val="20"/>
                    </w:rPr>
                    <w:t>s</w:t>
                  </w:r>
                  <w:r>
                    <w:rPr>
                      <w:rFonts w:ascii="Arial" w:hAnsi="Arial"/>
                      <w:color w:val="231F20"/>
                      <w:spacing w:val="-1"/>
                      <w:sz w:val="20"/>
                    </w:rPr>
                    <w:t> </w:t>
                  </w:r>
                  <w:r>
                    <w:rPr>
                      <w:rFonts w:ascii="Arial" w:hAnsi="Arial"/>
                      <w:color w:val="231F20"/>
                      <w:w w:val="72"/>
                      <w:sz w:val="20"/>
                    </w:rPr>
                    <w:t>Demográficos</w:t>
                  </w:r>
                  <w:r>
                    <w:rPr>
                      <w:rFonts w:ascii="Arial" w:hAnsi="Arial"/>
                      <w:color w:val="231F20"/>
                      <w:spacing w:val="-1"/>
                      <w:sz w:val="20"/>
                    </w:rPr>
                    <w:t> </w:t>
                  </w:r>
                  <w:r>
                    <w:rPr>
                      <w:rFonts w:ascii="Arial" w:hAnsi="Arial"/>
                      <w:color w:val="231F20"/>
                      <w:w w:val="76"/>
                      <w:sz w:val="20"/>
                    </w:rPr>
                    <w:t>del</w:t>
                  </w:r>
                  <w:r>
                    <w:rPr>
                      <w:rFonts w:ascii="Arial" w:hAnsi="Arial"/>
                      <w:color w:val="231F20"/>
                      <w:spacing w:val="-1"/>
                      <w:sz w:val="20"/>
                    </w:rPr>
                    <w:t> </w:t>
                  </w:r>
                  <w:r>
                    <w:rPr>
                      <w:rFonts w:ascii="Arial" w:hAnsi="Arial"/>
                      <w:color w:val="231F20"/>
                      <w:spacing w:val="-1"/>
                      <w:w w:val="77"/>
                      <w:sz w:val="20"/>
                    </w:rPr>
                    <w:t>Sigl</w:t>
                  </w:r>
                  <w:r>
                    <w:rPr>
                      <w:rFonts w:ascii="Arial" w:hAnsi="Arial"/>
                      <w:color w:val="231F20"/>
                      <w:w w:val="77"/>
                      <w:sz w:val="20"/>
                    </w:rPr>
                    <w:t>o</w:t>
                  </w:r>
                  <w:r>
                    <w:rPr>
                      <w:rFonts w:ascii="Arial" w:hAnsi="Arial"/>
                      <w:color w:val="231F20"/>
                      <w:sz w:val="20"/>
                    </w:rPr>
                    <w:t> </w:t>
                  </w:r>
                  <w:r>
                    <w:rPr>
                      <w:rFonts w:ascii="Arial" w:hAnsi="Arial"/>
                      <w:color w:val="231F20"/>
                      <w:w w:val="80"/>
                      <w:sz w:val="20"/>
                    </w:rPr>
                    <w:t>XXI:</w:t>
                  </w:r>
                  <w:r>
                    <w:rPr>
                      <w:rFonts w:ascii="Arial" w:hAnsi="Arial"/>
                      <w:color w:val="231F20"/>
                      <w:spacing w:val="-1"/>
                      <w:sz w:val="20"/>
                    </w:rPr>
                    <w:t> </w:t>
                  </w:r>
                  <w:r>
                    <w:rPr>
                      <w:rFonts w:ascii="Arial" w:hAnsi="Arial"/>
                      <w:color w:val="231F20"/>
                      <w:w w:val="76"/>
                      <w:sz w:val="20"/>
                    </w:rPr>
                    <w:t>Migración</w:t>
                  </w:r>
                  <w:r>
                    <w:rPr>
                      <w:rFonts w:ascii="Arial" w:hAnsi="Arial"/>
                      <w:color w:val="231F20"/>
                      <w:spacing w:val="-1"/>
                      <w:sz w:val="20"/>
                    </w:rPr>
                    <w:t> </w:t>
                  </w:r>
                  <w:r>
                    <w:rPr>
                      <w:rFonts w:ascii="Arial" w:hAnsi="Arial"/>
                      <w:color w:val="231F20"/>
                      <w:w w:val="76"/>
                      <w:sz w:val="20"/>
                    </w:rPr>
                    <w:t>Internacional</w:t>
                  </w:r>
                </w:p>
              </w:txbxContent>
            </v:textbox>
            <w10:wrap type="none"/>
          </v:shape>
        </w:pict>
      </w:r>
      <w:r>
        <w:rPr/>
        <w:pict>
          <v:shape style="position:absolute;margin-left:595.135681pt;margin-top:340.848389pt;width:11pt;height:57.05pt;mso-position-horizontal-relative:page;mso-position-vertical-relative:page;z-index:2872" type="#_x0000_t202" filled="false" stroked="false">
            <v:textbox inset="0,0,0,0" style="layout-flow:vertical">
              <w:txbxContent>
                <w:p>
                  <w:pPr>
                    <w:spacing w:line="204" w:lineRule="exact" w:before="0"/>
                    <w:ind w:left="20" w:right="-921" w:firstLine="0"/>
                    <w:jc w:val="left"/>
                    <w:rPr>
                      <w:sz w:val="18"/>
                    </w:rPr>
                  </w:pPr>
                  <w:r>
                    <w:rPr>
                      <w:color w:val="231F20"/>
                      <w:sz w:val="18"/>
                    </w:rPr>
                    <w:t>CIEAP/UAEM</w:t>
                  </w:r>
                </w:p>
              </w:txbxContent>
            </v:textbox>
            <w10:wrap type="none"/>
          </v:shape>
        </w:pict>
      </w:r>
      <w:r>
        <w:rPr/>
        <w:pict>
          <v:shape style="position:absolute;margin-left:23.820354pt;margin-top:215.850403pt;width:12pt;height:21.25pt;mso-position-horizontal-relative:page;mso-position-vertical-relative:page;z-index:2896" type="#_x0000_t202" filled="false" stroked="false">
            <v:textbox inset="0,0,0,0" style="layout-flow:vertical">
              <w:txbxContent>
                <w:p>
                  <w:pPr>
                    <w:spacing w:line="214" w:lineRule="exact" w:before="0"/>
                    <w:ind w:left="20" w:right="-182" w:firstLine="0"/>
                    <w:jc w:val="left"/>
                    <w:rPr>
                      <w:rFonts w:ascii="Verdana"/>
                      <w:sz w:val="20"/>
                    </w:rPr>
                  </w:pPr>
                  <w:r>
                    <w:rPr>
                      <w:rFonts w:ascii="Verdana"/>
                      <w:color w:val="231F20"/>
                      <w:spacing w:val="-1"/>
                      <w:w w:val="100"/>
                      <w:sz w:val="20"/>
                    </w:rPr>
                    <w:t>106</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spacing w:before="0" w:after="12"/>
        <w:ind w:left="1410" w:right="0" w:firstLine="0"/>
        <w:jc w:val="left"/>
        <w:rPr>
          <w:sz w:val="19"/>
        </w:rPr>
      </w:pPr>
      <w:r>
        <w:rPr>
          <w:w w:val="105"/>
          <w:sz w:val="19"/>
        </w:rPr>
        <w:t>Cuadro 2. Honduras: indicadores básicos del mercado de trabajo, 2001-2010 (continuación)</w:t>
      </w:r>
    </w:p>
    <w:tbl>
      <w:tblPr>
        <w:tblW w:w="0" w:type="auto"/>
        <w:jc w:val="left"/>
        <w:tblInd w:w="13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20"/>
        <w:gridCol w:w="1153"/>
        <w:gridCol w:w="1135"/>
        <w:gridCol w:w="1133"/>
        <w:gridCol w:w="1133"/>
        <w:gridCol w:w="1076"/>
      </w:tblGrid>
      <w:tr>
        <w:trPr>
          <w:trHeight w:val="250" w:hRule="exact"/>
        </w:trPr>
        <w:tc>
          <w:tcPr>
            <w:tcW w:w="2420" w:type="dxa"/>
            <w:tcBorders>
              <w:left w:val="nil"/>
              <w:bottom w:val="double" w:sz="4" w:space="0" w:color="000000"/>
              <w:right w:val="nil"/>
            </w:tcBorders>
          </w:tcPr>
          <w:p>
            <w:pPr>
              <w:pStyle w:val="TableParagraph"/>
              <w:spacing w:before="5"/>
              <w:ind w:left="110"/>
              <w:jc w:val="left"/>
              <w:rPr>
                <w:sz w:val="19"/>
              </w:rPr>
            </w:pPr>
            <w:r>
              <w:rPr>
                <w:w w:val="105"/>
                <w:sz w:val="19"/>
              </w:rPr>
              <w:t>Indicadores básicos</w:t>
            </w:r>
          </w:p>
        </w:tc>
        <w:tc>
          <w:tcPr>
            <w:tcW w:w="1153" w:type="dxa"/>
            <w:tcBorders>
              <w:left w:val="nil"/>
              <w:bottom w:val="double" w:sz="4" w:space="0" w:color="000000"/>
              <w:right w:val="nil"/>
            </w:tcBorders>
          </w:tcPr>
          <w:p>
            <w:pPr>
              <w:pStyle w:val="TableParagraph"/>
              <w:spacing w:before="5"/>
              <w:ind w:right="166"/>
              <w:rPr>
                <w:sz w:val="19"/>
              </w:rPr>
            </w:pPr>
            <w:r>
              <w:rPr>
                <w:sz w:val="19"/>
              </w:rPr>
              <w:t>2006</w:t>
            </w:r>
          </w:p>
        </w:tc>
        <w:tc>
          <w:tcPr>
            <w:tcW w:w="1135" w:type="dxa"/>
            <w:tcBorders>
              <w:left w:val="nil"/>
              <w:bottom w:val="double" w:sz="4" w:space="0" w:color="000000"/>
              <w:right w:val="nil"/>
            </w:tcBorders>
          </w:tcPr>
          <w:p>
            <w:pPr>
              <w:pStyle w:val="TableParagraph"/>
              <w:spacing w:before="5"/>
              <w:ind w:right="164"/>
              <w:rPr>
                <w:sz w:val="19"/>
              </w:rPr>
            </w:pPr>
            <w:r>
              <w:rPr>
                <w:sz w:val="19"/>
              </w:rPr>
              <w:t>2007</w:t>
            </w:r>
          </w:p>
        </w:tc>
        <w:tc>
          <w:tcPr>
            <w:tcW w:w="1133" w:type="dxa"/>
            <w:tcBorders>
              <w:left w:val="nil"/>
              <w:bottom w:val="double" w:sz="4" w:space="0" w:color="000000"/>
              <w:right w:val="nil"/>
            </w:tcBorders>
          </w:tcPr>
          <w:p>
            <w:pPr>
              <w:pStyle w:val="TableParagraph"/>
              <w:spacing w:before="5"/>
              <w:ind w:right="164"/>
              <w:rPr>
                <w:sz w:val="19"/>
              </w:rPr>
            </w:pPr>
            <w:r>
              <w:rPr>
                <w:sz w:val="19"/>
              </w:rPr>
              <w:t>2008</w:t>
            </w:r>
          </w:p>
        </w:tc>
        <w:tc>
          <w:tcPr>
            <w:tcW w:w="1133" w:type="dxa"/>
            <w:tcBorders>
              <w:left w:val="nil"/>
              <w:bottom w:val="double" w:sz="4" w:space="0" w:color="000000"/>
              <w:right w:val="nil"/>
            </w:tcBorders>
          </w:tcPr>
          <w:p>
            <w:pPr>
              <w:pStyle w:val="TableParagraph"/>
              <w:spacing w:before="5"/>
              <w:ind w:right="164"/>
              <w:rPr>
                <w:sz w:val="19"/>
              </w:rPr>
            </w:pPr>
            <w:r>
              <w:rPr>
                <w:sz w:val="19"/>
              </w:rPr>
              <w:t>2009</w:t>
            </w:r>
          </w:p>
        </w:tc>
        <w:tc>
          <w:tcPr>
            <w:tcW w:w="1076" w:type="dxa"/>
            <w:tcBorders>
              <w:left w:val="nil"/>
              <w:bottom w:val="double" w:sz="4" w:space="0" w:color="000000"/>
              <w:right w:val="nil"/>
            </w:tcBorders>
          </w:tcPr>
          <w:p>
            <w:pPr>
              <w:pStyle w:val="TableParagraph"/>
              <w:spacing w:before="5"/>
              <w:ind w:right="107"/>
              <w:rPr>
                <w:sz w:val="19"/>
              </w:rPr>
            </w:pPr>
            <w:r>
              <w:rPr>
                <w:sz w:val="19"/>
              </w:rPr>
              <w:t>2010</w:t>
            </w:r>
          </w:p>
        </w:tc>
      </w:tr>
      <w:tr>
        <w:trPr>
          <w:trHeight w:val="252" w:hRule="exact"/>
        </w:trPr>
        <w:tc>
          <w:tcPr>
            <w:tcW w:w="2420" w:type="dxa"/>
            <w:tcBorders>
              <w:top w:val="double" w:sz="4" w:space="0" w:color="000000"/>
              <w:left w:val="nil"/>
              <w:bottom w:val="nil"/>
              <w:right w:val="nil"/>
            </w:tcBorders>
          </w:tcPr>
          <w:p>
            <w:pPr>
              <w:pStyle w:val="TableParagraph"/>
              <w:spacing w:before="5"/>
              <w:ind w:left="110"/>
              <w:jc w:val="left"/>
              <w:rPr>
                <w:i/>
                <w:sz w:val="19"/>
              </w:rPr>
            </w:pPr>
            <w:r>
              <w:rPr>
                <w:i/>
                <w:w w:val="105"/>
                <w:sz w:val="19"/>
              </w:rPr>
              <w:t>Población</w:t>
            </w:r>
          </w:p>
        </w:tc>
        <w:tc>
          <w:tcPr>
            <w:tcW w:w="1153" w:type="dxa"/>
            <w:tcBorders>
              <w:top w:val="double" w:sz="4" w:space="0" w:color="000000"/>
              <w:left w:val="nil"/>
              <w:bottom w:val="nil"/>
              <w:right w:val="nil"/>
            </w:tcBorders>
          </w:tcPr>
          <w:p>
            <w:pPr>
              <w:pStyle w:val="TableParagraph"/>
              <w:spacing w:before="5"/>
              <w:ind w:right="168"/>
              <w:rPr>
                <w:sz w:val="19"/>
              </w:rPr>
            </w:pPr>
            <w:r>
              <w:rPr>
                <w:w w:val="105"/>
                <w:sz w:val="19"/>
              </w:rPr>
              <w:t>7 367 022</w:t>
            </w:r>
          </w:p>
        </w:tc>
        <w:tc>
          <w:tcPr>
            <w:tcW w:w="1135" w:type="dxa"/>
            <w:tcBorders>
              <w:top w:val="double" w:sz="4" w:space="0" w:color="000000"/>
              <w:left w:val="nil"/>
              <w:bottom w:val="nil"/>
              <w:right w:val="nil"/>
            </w:tcBorders>
          </w:tcPr>
          <w:p>
            <w:pPr>
              <w:pStyle w:val="TableParagraph"/>
              <w:spacing w:before="5"/>
              <w:ind w:right="164"/>
              <w:rPr>
                <w:sz w:val="19"/>
              </w:rPr>
            </w:pPr>
            <w:r>
              <w:rPr>
                <w:w w:val="105"/>
                <w:sz w:val="19"/>
              </w:rPr>
              <w:t>7 529 403</w:t>
            </w:r>
          </w:p>
        </w:tc>
        <w:tc>
          <w:tcPr>
            <w:tcW w:w="1133" w:type="dxa"/>
            <w:tcBorders>
              <w:top w:val="double" w:sz="4" w:space="0" w:color="000000"/>
              <w:left w:val="nil"/>
              <w:bottom w:val="nil"/>
              <w:right w:val="nil"/>
            </w:tcBorders>
          </w:tcPr>
          <w:p>
            <w:pPr>
              <w:pStyle w:val="TableParagraph"/>
              <w:spacing w:before="5"/>
              <w:ind w:right="164"/>
              <w:rPr>
                <w:sz w:val="19"/>
              </w:rPr>
            </w:pPr>
            <w:r>
              <w:rPr>
                <w:w w:val="105"/>
                <w:sz w:val="19"/>
              </w:rPr>
              <w:t>7 699 405</w:t>
            </w:r>
          </w:p>
        </w:tc>
        <w:tc>
          <w:tcPr>
            <w:tcW w:w="1133" w:type="dxa"/>
            <w:tcBorders>
              <w:top w:val="double" w:sz="4" w:space="0" w:color="000000"/>
              <w:left w:val="nil"/>
              <w:bottom w:val="nil"/>
              <w:right w:val="nil"/>
            </w:tcBorders>
          </w:tcPr>
          <w:p>
            <w:pPr>
              <w:pStyle w:val="TableParagraph"/>
              <w:spacing w:before="5"/>
              <w:ind w:right="164"/>
              <w:rPr>
                <w:sz w:val="19"/>
              </w:rPr>
            </w:pPr>
            <w:r>
              <w:rPr>
                <w:w w:val="105"/>
                <w:sz w:val="19"/>
              </w:rPr>
              <w:t>7 869 089</w:t>
            </w:r>
          </w:p>
        </w:tc>
        <w:tc>
          <w:tcPr>
            <w:tcW w:w="1076" w:type="dxa"/>
            <w:tcBorders>
              <w:top w:val="double" w:sz="4" w:space="0" w:color="000000"/>
              <w:left w:val="nil"/>
              <w:bottom w:val="nil"/>
              <w:right w:val="nil"/>
            </w:tcBorders>
          </w:tcPr>
          <w:p>
            <w:pPr>
              <w:pStyle w:val="TableParagraph"/>
              <w:spacing w:before="5"/>
              <w:ind w:right="107"/>
              <w:rPr>
                <w:sz w:val="19"/>
              </w:rPr>
            </w:pPr>
            <w:r>
              <w:rPr>
                <w:w w:val="105"/>
                <w:sz w:val="19"/>
              </w:rPr>
              <w:t>8 041 654</w:t>
            </w:r>
          </w:p>
        </w:tc>
      </w:tr>
      <w:tr>
        <w:trPr>
          <w:trHeight w:val="230" w:hRule="exact"/>
        </w:trPr>
        <w:tc>
          <w:tcPr>
            <w:tcW w:w="2420" w:type="dxa"/>
            <w:tcBorders>
              <w:top w:val="nil"/>
              <w:left w:val="nil"/>
              <w:bottom w:val="nil"/>
              <w:right w:val="nil"/>
            </w:tcBorders>
          </w:tcPr>
          <w:p>
            <w:pPr>
              <w:pStyle w:val="TableParagraph"/>
              <w:spacing w:line="216" w:lineRule="exact"/>
              <w:ind w:left="110"/>
              <w:jc w:val="left"/>
              <w:rPr>
                <w:sz w:val="19"/>
              </w:rPr>
            </w:pPr>
            <w:r>
              <w:rPr>
                <w:w w:val="105"/>
                <w:sz w:val="19"/>
              </w:rPr>
              <w:t>Hombres</w:t>
            </w:r>
          </w:p>
        </w:tc>
        <w:tc>
          <w:tcPr>
            <w:tcW w:w="1153" w:type="dxa"/>
            <w:tcBorders>
              <w:top w:val="nil"/>
              <w:left w:val="nil"/>
              <w:bottom w:val="nil"/>
              <w:right w:val="nil"/>
            </w:tcBorders>
          </w:tcPr>
          <w:p>
            <w:pPr>
              <w:pStyle w:val="TableParagraph"/>
              <w:spacing w:line="216" w:lineRule="exact"/>
              <w:ind w:right="168"/>
              <w:rPr>
                <w:sz w:val="19"/>
              </w:rPr>
            </w:pPr>
            <w:r>
              <w:rPr>
                <w:w w:val="105"/>
                <w:sz w:val="19"/>
              </w:rPr>
              <w:t>3 549 754</w:t>
            </w:r>
          </w:p>
        </w:tc>
        <w:tc>
          <w:tcPr>
            <w:tcW w:w="1135" w:type="dxa"/>
            <w:tcBorders>
              <w:top w:val="nil"/>
              <w:left w:val="nil"/>
              <w:bottom w:val="nil"/>
              <w:right w:val="nil"/>
            </w:tcBorders>
          </w:tcPr>
          <w:p>
            <w:pPr>
              <w:pStyle w:val="TableParagraph"/>
              <w:spacing w:line="216" w:lineRule="exact"/>
              <w:ind w:right="164"/>
              <w:rPr>
                <w:sz w:val="19"/>
              </w:rPr>
            </w:pPr>
            <w:r>
              <w:rPr>
                <w:w w:val="105"/>
                <w:sz w:val="19"/>
              </w:rPr>
              <w:t>3 640 073</w:t>
            </w:r>
          </w:p>
        </w:tc>
        <w:tc>
          <w:tcPr>
            <w:tcW w:w="1133" w:type="dxa"/>
            <w:tcBorders>
              <w:top w:val="nil"/>
              <w:left w:val="nil"/>
              <w:bottom w:val="nil"/>
              <w:right w:val="nil"/>
            </w:tcBorders>
          </w:tcPr>
          <w:p>
            <w:pPr>
              <w:pStyle w:val="TableParagraph"/>
              <w:spacing w:line="216" w:lineRule="exact"/>
              <w:ind w:right="164"/>
              <w:rPr>
                <w:sz w:val="19"/>
              </w:rPr>
            </w:pPr>
            <w:r>
              <w:rPr>
                <w:w w:val="105"/>
                <w:sz w:val="19"/>
              </w:rPr>
              <w:t>3 720 160</w:t>
            </w:r>
          </w:p>
        </w:tc>
        <w:tc>
          <w:tcPr>
            <w:tcW w:w="1133" w:type="dxa"/>
            <w:tcBorders>
              <w:top w:val="nil"/>
              <w:left w:val="nil"/>
              <w:bottom w:val="nil"/>
              <w:right w:val="nil"/>
            </w:tcBorders>
          </w:tcPr>
          <w:p>
            <w:pPr>
              <w:pStyle w:val="TableParagraph"/>
              <w:spacing w:line="216" w:lineRule="exact"/>
              <w:ind w:right="164"/>
              <w:rPr>
                <w:sz w:val="19"/>
              </w:rPr>
            </w:pPr>
            <w:r>
              <w:rPr>
                <w:w w:val="105"/>
                <w:sz w:val="19"/>
              </w:rPr>
              <w:t>3 800 102</w:t>
            </w:r>
          </w:p>
        </w:tc>
        <w:tc>
          <w:tcPr>
            <w:tcW w:w="1076" w:type="dxa"/>
            <w:tcBorders>
              <w:top w:val="nil"/>
              <w:left w:val="nil"/>
              <w:bottom w:val="nil"/>
              <w:right w:val="nil"/>
            </w:tcBorders>
          </w:tcPr>
          <w:p>
            <w:pPr>
              <w:pStyle w:val="TableParagraph"/>
              <w:spacing w:line="216" w:lineRule="exact"/>
              <w:ind w:right="107"/>
              <w:rPr>
                <w:sz w:val="19"/>
              </w:rPr>
            </w:pPr>
            <w:r>
              <w:rPr>
                <w:w w:val="105"/>
                <w:sz w:val="19"/>
              </w:rPr>
              <w:t>3 947 115</w:t>
            </w:r>
          </w:p>
        </w:tc>
      </w:tr>
      <w:tr>
        <w:trPr>
          <w:trHeight w:val="230" w:hRule="exact"/>
        </w:trPr>
        <w:tc>
          <w:tcPr>
            <w:tcW w:w="2420" w:type="dxa"/>
            <w:tcBorders>
              <w:top w:val="nil"/>
              <w:left w:val="nil"/>
              <w:bottom w:val="nil"/>
              <w:right w:val="nil"/>
            </w:tcBorders>
          </w:tcPr>
          <w:p>
            <w:pPr>
              <w:pStyle w:val="TableParagraph"/>
              <w:spacing w:line="216" w:lineRule="exact"/>
              <w:ind w:left="110"/>
              <w:jc w:val="left"/>
              <w:rPr>
                <w:sz w:val="19"/>
              </w:rPr>
            </w:pPr>
            <w:r>
              <w:rPr>
                <w:w w:val="105"/>
                <w:sz w:val="19"/>
              </w:rPr>
              <w:t>Mujeres</w:t>
            </w:r>
          </w:p>
        </w:tc>
        <w:tc>
          <w:tcPr>
            <w:tcW w:w="1153" w:type="dxa"/>
            <w:tcBorders>
              <w:top w:val="nil"/>
              <w:left w:val="nil"/>
              <w:bottom w:val="nil"/>
              <w:right w:val="nil"/>
            </w:tcBorders>
          </w:tcPr>
          <w:p>
            <w:pPr>
              <w:pStyle w:val="TableParagraph"/>
              <w:spacing w:line="216" w:lineRule="exact"/>
              <w:ind w:right="166"/>
              <w:rPr>
                <w:sz w:val="19"/>
              </w:rPr>
            </w:pPr>
            <w:r>
              <w:rPr>
                <w:w w:val="105"/>
                <w:sz w:val="19"/>
              </w:rPr>
              <w:t>3 817 268</w:t>
            </w:r>
          </w:p>
        </w:tc>
        <w:tc>
          <w:tcPr>
            <w:tcW w:w="1135" w:type="dxa"/>
            <w:tcBorders>
              <w:top w:val="nil"/>
              <w:left w:val="nil"/>
              <w:bottom w:val="nil"/>
              <w:right w:val="nil"/>
            </w:tcBorders>
          </w:tcPr>
          <w:p>
            <w:pPr>
              <w:pStyle w:val="TableParagraph"/>
              <w:spacing w:line="216" w:lineRule="exact"/>
              <w:ind w:right="164"/>
              <w:rPr>
                <w:sz w:val="19"/>
              </w:rPr>
            </w:pPr>
            <w:r>
              <w:rPr>
                <w:w w:val="105"/>
                <w:sz w:val="19"/>
              </w:rPr>
              <w:t>3 889 330</w:t>
            </w:r>
          </w:p>
        </w:tc>
        <w:tc>
          <w:tcPr>
            <w:tcW w:w="1133" w:type="dxa"/>
            <w:tcBorders>
              <w:top w:val="nil"/>
              <w:left w:val="nil"/>
              <w:bottom w:val="nil"/>
              <w:right w:val="nil"/>
            </w:tcBorders>
          </w:tcPr>
          <w:p>
            <w:pPr>
              <w:pStyle w:val="TableParagraph"/>
              <w:spacing w:line="216" w:lineRule="exact"/>
              <w:ind w:right="164"/>
              <w:rPr>
                <w:sz w:val="19"/>
              </w:rPr>
            </w:pPr>
            <w:r>
              <w:rPr>
                <w:w w:val="105"/>
                <w:sz w:val="19"/>
              </w:rPr>
              <w:t>3 979 245</w:t>
            </w:r>
          </w:p>
        </w:tc>
        <w:tc>
          <w:tcPr>
            <w:tcW w:w="1133" w:type="dxa"/>
            <w:tcBorders>
              <w:top w:val="nil"/>
              <w:left w:val="nil"/>
              <w:bottom w:val="nil"/>
              <w:right w:val="nil"/>
            </w:tcBorders>
          </w:tcPr>
          <w:p>
            <w:pPr>
              <w:pStyle w:val="TableParagraph"/>
              <w:spacing w:line="216" w:lineRule="exact"/>
              <w:ind w:right="164"/>
              <w:rPr>
                <w:sz w:val="19"/>
              </w:rPr>
            </w:pPr>
            <w:r>
              <w:rPr>
                <w:w w:val="105"/>
                <w:sz w:val="19"/>
              </w:rPr>
              <w:t>4 068 987</w:t>
            </w:r>
          </w:p>
        </w:tc>
        <w:tc>
          <w:tcPr>
            <w:tcW w:w="1076" w:type="dxa"/>
            <w:tcBorders>
              <w:top w:val="nil"/>
              <w:left w:val="nil"/>
              <w:bottom w:val="nil"/>
              <w:right w:val="nil"/>
            </w:tcBorders>
          </w:tcPr>
          <w:p>
            <w:pPr>
              <w:pStyle w:val="TableParagraph"/>
              <w:spacing w:line="216" w:lineRule="exact"/>
              <w:ind w:right="107"/>
              <w:rPr>
                <w:sz w:val="19"/>
              </w:rPr>
            </w:pPr>
            <w:r>
              <w:rPr>
                <w:w w:val="105"/>
                <w:sz w:val="19"/>
              </w:rPr>
              <w:t>4 094 539</w:t>
            </w:r>
          </w:p>
        </w:tc>
      </w:tr>
      <w:tr>
        <w:trPr>
          <w:trHeight w:val="230" w:hRule="exact"/>
        </w:trPr>
        <w:tc>
          <w:tcPr>
            <w:tcW w:w="2420" w:type="dxa"/>
            <w:tcBorders>
              <w:top w:val="nil"/>
              <w:left w:val="nil"/>
              <w:bottom w:val="nil"/>
              <w:right w:val="nil"/>
            </w:tcBorders>
          </w:tcPr>
          <w:p>
            <w:pPr>
              <w:pStyle w:val="TableParagraph"/>
              <w:spacing w:line="216" w:lineRule="exact"/>
              <w:ind w:left="110"/>
              <w:jc w:val="left"/>
              <w:rPr>
                <w:i/>
                <w:sz w:val="19"/>
              </w:rPr>
            </w:pPr>
            <w:r>
              <w:rPr>
                <w:i/>
                <w:w w:val="105"/>
                <w:sz w:val="19"/>
              </w:rPr>
              <w:t>PEA</w:t>
            </w:r>
          </w:p>
        </w:tc>
        <w:tc>
          <w:tcPr>
            <w:tcW w:w="1153" w:type="dxa"/>
            <w:tcBorders>
              <w:top w:val="nil"/>
              <w:left w:val="nil"/>
              <w:bottom w:val="nil"/>
              <w:right w:val="nil"/>
            </w:tcBorders>
          </w:tcPr>
          <w:p>
            <w:pPr>
              <w:pStyle w:val="TableParagraph"/>
              <w:spacing w:line="216" w:lineRule="exact"/>
              <w:ind w:right="168"/>
              <w:rPr>
                <w:sz w:val="19"/>
              </w:rPr>
            </w:pPr>
            <w:r>
              <w:rPr>
                <w:w w:val="105"/>
                <w:sz w:val="19"/>
              </w:rPr>
              <w:t>2 792 261</w:t>
            </w:r>
          </w:p>
        </w:tc>
        <w:tc>
          <w:tcPr>
            <w:tcW w:w="1135" w:type="dxa"/>
            <w:tcBorders>
              <w:top w:val="nil"/>
              <w:left w:val="nil"/>
              <w:bottom w:val="nil"/>
              <w:right w:val="nil"/>
            </w:tcBorders>
          </w:tcPr>
          <w:p>
            <w:pPr>
              <w:pStyle w:val="TableParagraph"/>
              <w:spacing w:line="216" w:lineRule="exact"/>
              <w:ind w:right="164"/>
              <w:rPr>
                <w:sz w:val="19"/>
              </w:rPr>
            </w:pPr>
            <w:r>
              <w:rPr>
                <w:w w:val="105"/>
                <w:sz w:val="19"/>
              </w:rPr>
              <w:t>2 860 866</w:t>
            </w:r>
          </w:p>
        </w:tc>
        <w:tc>
          <w:tcPr>
            <w:tcW w:w="1133" w:type="dxa"/>
            <w:tcBorders>
              <w:top w:val="nil"/>
              <w:left w:val="nil"/>
              <w:bottom w:val="nil"/>
              <w:right w:val="nil"/>
            </w:tcBorders>
          </w:tcPr>
          <w:p>
            <w:pPr>
              <w:pStyle w:val="TableParagraph"/>
              <w:spacing w:line="216" w:lineRule="exact"/>
              <w:ind w:right="164"/>
              <w:rPr>
                <w:sz w:val="19"/>
              </w:rPr>
            </w:pPr>
            <w:r>
              <w:rPr>
                <w:w w:val="105"/>
                <w:sz w:val="19"/>
              </w:rPr>
              <w:t>2 990 534</w:t>
            </w:r>
          </w:p>
        </w:tc>
        <w:tc>
          <w:tcPr>
            <w:tcW w:w="1133" w:type="dxa"/>
            <w:tcBorders>
              <w:top w:val="nil"/>
              <w:left w:val="nil"/>
              <w:bottom w:val="nil"/>
              <w:right w:val="nil"/>
            </w:tcBorders>
          </w:tcPr>
          <w:p>
            <w:pPr>
              <w:pStyle w:val="TableParagraph"/>
              <w:spacing w:line="216" w:lineRule="exact"/>
              <w:ind w:right="164"/>
              <w:rPr>
                <w:sz w:val="19"/>
              </w:rPr>
            </w:pPr>
            <w:r>
              <w:rPr>
                <w:w w:val="105"/>
                <w:sz w:val="19"/>
              </w:rPr>
              <w:t>3 236 860</w:t>
            </w:r>
          </w:p>
        </w:tc>
        <w:tc>
          <w:tcPr>
            <w:tcW w:w="1076" w:type="dxa"/>
            <w:tcBorders>
              <w:top w:val="nil"/>
              <w:left w:val="nil"/>
              <w:bottom w:val="nil"/>
              <w:right w:val="nil"/>
            </w:tcBorders>
          </w:tcPr>
          <w:p>
            <w:pPr>
              <w:pStyle w:val="TableParagraph"/>
              <w:spacing w:line="216" w:lineRule="exact"/>
              <w:ind w:right="107"/>
              <w:rPr>
                <w:sz w:val="19"/>
              </w:rPr>
            </w:pPr>
            <w:r>
              <w:rPr>
                <w:w w:val="105"/>
                <w:sz w:val="19"/>
              </w:rPr>
              <w:t>3 387 717</w:t>
            </w:r>
          </w:p>
        </w:tc>
      </w:tr>
      <w:tr>
        <w:trPr>
          <w:trHeight w:val="230" w:hRule="exact"/>
        </w:trPr>
        <w:tc>
          <w:tcPr>
            <w:tcW w:w="2420" w:type="dxa"/>
            <w:tcBorders>
              <w:top w:val="nil"/>
              <w:left w:val="nil"/>
              <w:bottom w:val="nil"/>
              <w:right w:val="nil"/>
            </w:tcBorders>
          </w:tcPr>
          <w:p>
            <w:pPr>
              <w:pStyle w:val="TableParagraph"/>
              <w:spacing w:line="216" w:lineRule="exact"/>
              <w:ind w:left="110"/>
              <w:jc w:val="left"/>
              <w:rPr>
                <w:sz w:val="19"/>
              </w:rPr>
            </w:pPr>
            <w:r>
              <w:rPr>
                <w:w w:val="105"/>
                <w:sz w:val="19"/>
              </w:rPr>
              <w:t>Hombres</w:t>
            </w:r>
          </w:p>
        </w:tc>
        <w:tc>
          <w:tcPr>
            <w:tcW w:w="1153" w:type="dxa"/>
            <w:tcBorders>
              <w:top w:val="nil"/>
              <w:left w:val="nil"/>
              <w:bottom w:val="nil"/>
              <w:right w:val="nil"/>
            </w:tcBorders>
          </w:tcPr>
          <w:p>
            <w:pPr>
              <w:pStyle w:val="TableParagraph"/>
              <w:spacing w:line="216" w:lineRule="exact"/>
              <w:ind w:right="168"/>
              <w:rPr>
                <w:sz w:val="19"/>
              </w:rPr>
            </w:pPr>
            <w:r>
              <w:rPr>
                <w:w w:val="105"/>
                <w:sz w:val="19"/>
              </w:rPr>
              <w:t>1 825 815</w:t>
            </w:r>
          </w:p>
        </w:tc>
        <w:tc>
          <w:tcPr>
            <w:tcW w:w="1135" w:type="dxa"/>
            <w:tcBorders>
              <w:top w:val="nil"/>
              <w:left w:val="nil"/>
              <w:bottom w:val="nil"/>
              <w:right w:val="nil"/>
            </w:tcBorders>
          </w:tcPr>
          <w:p>
            <w:pPr>
              <w:pStyle w:val="TableParagraph"/>
              <w:spacing w:line="216" w:lineRule="exact"/>
              <w:ind w:right="164"/>
              <w:rPr>
                <w:sz w:val="19"/>
              </w:rPr>
            </w:pPr>
            <w:r>
              <w:rPr>
                <w:w w:val="105"/>
                <w:sz w:val="19"/>
              </w:rPr>
              <w:t>1 879 092</w:t>
            </w:r>
          </w:p>
        </w:tc>
        <w:tc>
          <w:tcPr>
            <w:tcW w:w="1133" w:type="dxa"/>
            <w:tcBorders>
              <w:top w:val="nil"/>
              <w:left w:val="nil"/>
              <w:bottom w:val="nil"/>
              <w:right w:val="nil"/>
            </w:tcBorders>
          </w:tcPr>
          <w:p>
            <w:pPr>
              <w:pStyle w:val="TableParagraph"/>
              <w:spacing w:line="216" w:lineRule="exact"/>
              <w:ind w:right="164"/>
              <w:rPr>
                <w:sz w:val="19"/>
              </w:rPr>
            </w:pPr>
            <w:r>
              <w:rPr>
                <w:w w:val="105"/>
                <w:sz w:val="19"/>
              </w:rPr>
              <w:t>1 925 970</w:t>
            </w:r>
          </w:p>
        </w:tc>
        <w:tc>
          <w:tcPr>
            <w:tcW w:w="1133" w:type="dxa"/>
            <w:tcBorders>
              <w:top w:val="nil"/>
              <w:left w:val="nil"/>
              <w:bottom w:val="nil"/>
              <w:right w:val="nil"/>
            </w:tcBorders>
          </w:tcPr>
          <w:p>
            <w:pPr>
              <w:pStyle w:val="TableParagraph"/>
              <w:spacing w:line="216" w:lineRule="exact"/>
              <w:ind w:right="164"/>
              <w:rPr>
                <w:sz w:val="19"/>
              </w:rPr>
            </w:pPr>
            <w:r>
              <w:rPr>
                <w:w w:val="105"/>
                <w:sz w:val="19"/>
              </w:rPr>
              <w:t>2 086 874</w:t>
            </w:r>
          </w:p>
        </w:tc>
        <w:tc>
          <w:tcPr>
            <w:tcW w:w="1076" w:type="dxa"/>
            <w:tcBorders>
              <w:top w:val="nil"/>
              <w:left w:val="nil"/>
              <w:bottom w:val="nil"/>
              <w:right w:val="nil"/>
            </w:tcBorders>
          </w:tcPr>
          <w:p>
            <w:pPr>
              <w:pStyle w:val="TableParagraph"/>
              <w:spacing w:line="216" w:lineRule="exact"/>
              <w:ind w:right="107"/>
              <w:rPr>
                <w:sz w:val="19"/>
              </w:rPr>
            </w:pPr>
            <w:r>
              <w:rPr>
                <w:w w:val="105"/>
                <w:sz w:val="19"/>
              </w:rPr>
              <w:t>2 166 174</w:t>
            </w:r>
          </w:p>
        </w:tc>
      </w:tr>
      <w:tr>
        <w:trPr>
          <w:trHeight w:val="228" w:hRule="exact"/>
        </w:trPr>
        <w:tc>
          <w:tcPr>
            <w:tcW w:w="2420" w:type="dxa"/>
            <w:tcBorders>
              <w:top w:val="nil"/>
              <w:left w:val="nil"/>
              <w:bottom w:val="nil"/>
              <w:right w:val="nil"/>
            </w:tcBorders>
          </w:tcPr>
          <w:p>
            <w:pPr>
              <w:pStyle w:val="TableParagraph"/>
              <w:spacing w:line="216" w:lineRule="exact"/>
              <w:ind w:left="110"/>
              <w:jc w:val="left"/>
              <w:rPr>
                <w:sz w:val="19"/>
              </w:rPr>
            </w:pPr>
            <w:r>
              <w:rPr>
                <w:w w:val="105"/>
                <w:sz w:val="19"/>
              </w:rPr>
              <w:t>Mujeres</w:t>
            </w:r>
          </w:p>
        </w:tc>
        <w:tc>
          <w:tcPr>
            <w:tcW w:w="1153" w:type="dxa"/>
            <w:tcBorders>
              <w:top w:val="nil"/>
              <w:left w:val="nil"/>
              <w:bottom w:val="nil"/>
              <w:right w:val="nil"/>
            </w:tcBorders>
          </w:tcPr>
          <w:p>
            <w:pPr>
              <w:pStyle w:val="TableParagraph"/>
              <w:spacing w:line="216" w:lineRule="exact"/>
              <w:ind w:right="166"/>
              <w:rPr>
                <w:sz w:val="19"/>
              </w:rPr>
            </w:pPr>
            <w:r>
              <w:rPr>
                <w:w w:val="105"/>
                <w:sz w:val="19"/>
              </w:rPr>
              <w:t>966 446</w:t>
            </w:r>
          </w:p>
        </w:tc>
        <w:tc>
          <w:tcPr>
            <w:tcW w:w="1135" w:type="dxa"/>
            <w:tcBorders>
              <w:top w:val="nil"/>
              <w:left w:val="nil"/>
              <w:bottom w:val="nil"/>
              <w:right w:val="nil"/>
            </w:tcBorders>
          </w:tcPr>
          <w:p>
            <w:pPr>
              <w:pStyle w:val="TableParagraph"/>
              <w:spacing w:line="216" w:lineRule="exact"/>
              <w:ind w:right="164"/>
              <w:rPr>
                <w:sz w:val="19"/>
              </w:rPr>
            </w:pPr>
            <w:r>
              <w:rPr>
                <w:w w:val="105"/>
                <w:sz w:val="19"/>
              </w:rPr>
              <w:t>981 774</w:t>
            </w:r>
          </w:p>
        </w:tc>
        <w:tc>
          <w:tcPr>
            <w:tcW w:w="1133" w:type="dxa"/>
            <w:tcBorders>
              <w:top w:val="nil"/>
              <w:left w:val="nil"/>
              <w:bottom w:val="nil"/>
              <w:right w:val="nil"/>
            </w:tcBorders>
          </w:tcPr>
          <w:p>
            <w:pPr>
              <w:pStyle w:val="TableParagraph"/>
              <w:spacing w:line="216" w:lineRule="exact"/>
              <w:ind w:right="164"/>
              <w:rPr>
                <w:sz w:val="19"/>
              </w:rPr>
            </w:pPr>
            <w:r>
              <w:rPr>
                <w:w w:val="105"/>
                <w:sz w:val="19"/>
              </w:rPr>
              <w:t>1 64 564</w:t>
            </w:r>
          </w:p>
        </w:tc>
        <w:tc>
          <w:tcPr>
            <w:tcW w:w="1133" w:type="dxa"/>
            <w:tcBorders>
              <w:top w:val="nil"/>
              <w:left w:val="nil"/>
              <w:bottom w:val="nil"/>
              <w:right w:val="nil"/>
            </w:tcBorders>
          </w:tcPr>
          <w:p>
            <w:pPr>
              <w:pStyle w:val="TableParagraph"/>
              <w:spacing w:line="216" w:lineRule="exact"/>
              <w:ind w:right="164"/>
              <w:rPr>
                <w:sz w:val="19"/>
              </w:rPr>
            </w:pPr>
            <w:r>
              <w:rPr>
                <w:w w:val="105"/>
                <w:sz w:val="19"/>
              </w:rPr>
              <w:t>1 149 986</w:t>
            </w:r>
          </w:p>
        </w:tc>
        <w:tc>
          <w:tcPr>
            <w:tcW w:w="1076" w:type="dxa"/>
            <w:tcBorders>
              <w:top w:val="nil"/>
              <w:left w:val="nil"/>
              <w:bottom w:val="nil"/>
              <w:right w:val="nil"/>
            </w:tcBorders>
          </w:tcPr>
          <w:p>
            <w:pPr>
              <w:pStyle w:val="TableParagraph"/>
              <w:spacing w:line="216" w:lineRule="exact"/>
              <w:ind w:right="107"/>
              <w:rPr>
                <w:sz w:val="19"/>
              </w:rPr>
            </w:pPr>
            <w:r>
              <w:rPr>
                <w:w w:val="105"/>
                <w:sz w:val="19"/>
              </w:rPr>
              <w:t>1 221 543</w:t>
            </w:r>
          </w:p>
        </w:tc>
      </w:tr>
      <w:tr>
        <w:trPr>
          <w:trHeight w:val="228" w:hRule="exact"/>
        </w:trPr>
        <w:tc>
          <w:tcPr>
            <w:tcW w:w="2420" w:type="dxa"/>
            <w:tcBorders>
              <w:top w:val="nil"/>
              <w:left w:val="nil"/>
              <w:bottom w:val="nil"/>
              <w:right w:val="nil"/>
            </w:tcBorders>
          </w:tcPr>
          <w:p>
            <w:pPr>
              <w:pStyle w:val="TableParagraph"/>
              <w:spacing w:line="214" w:lineRule="exact"/>
              <w:ind w:left="110"/>
              <w:jc w:val="left"/>
              <w:rPr>
                <w:i/>
                <w:sz w:val="19"/>
              </w:rPr>
            </w:pPr>
            <w:r>
              <w:rPr>
                <w:i/>
                <w:w w:val="105"/>
                <w:sz w:val="19"/>
              </w:rPr>
              <w:t>Tasa de participación</w:t>
            </w:r>
          </w:p>
        </w:tc>
        <w:tc>
          <w:tcPr>
            <w:tcW w:w="1153" w:type="dxa"/>
            <w:tcBorders>
              <w:top w:val="nil"/>
              <w:left w:val="nil"/>
              <w:bottom w:val="nil"/>
              <w:right w:val="nil"/>
            </w:tcBorders>
          </w:tcPr>
          <w:p>
            <w:pPr>
              <w:pStyle w:val="TableParagraph"/>
              <w:spacing w:line="214" w:lineRule="exact"/>
              <w:ind w:right="168"/>
              <w:rPr>
                <w:sz w:val="19"/>
              </w:rPr>
            </w:pPr>
            <w:r>
              <w:rPr>
                <w:sz w:val="19"/>
              </w:rPr>
              <w:t>50.7</w:t>
            </w:r>
          </w:p>
        </w:tc>
        <w:tc>
          <w:tcPr>
            <w:tcW w:w="1135" w:type="dxa"/>
            <w:tcBorders>
              <w:top w:val="nil"/>
              <w:left w:val="nil"/>
              <w:bottom w:val="nil"/>
              <w:right w:val="nil"/>
            </w:tcBorders>
          </w:tcPr>
          <w:p>
            <w:pPr>
              <w:pStyle w:val="TableParagraph"/>
              <w:spacing w:line="214" w:lineRule="exact"/>
              <w:ind w:right="166"/>
              <w:rPr>
                <w:sz w:val="19"/>
              </w:rPr>
            </w:pPr>
            <w:r>
              <w:rPr>
                <w:sz w:val="19"/>
              </w:rPr>
              <w:t>50.4</w:t>
            </w:r>
          </w:p>
        </w:tc>
        <w:tc>
          <w:tcPr>
            <w:tcW w:w="1133" w:type="dxa"/>
            <w:tcBorders>
              <w:top w:val="nil"/>
              <w:left w:val="nil"/>
              <w:bottom w:val="nil"/>
              <w:right w:val="nil"/>
            </w:tcBorders>
          </w:tcPr>
          <w:p>
            <w:pPr>
              <w:pStyle w:val="TableParagraph"/>
              <w:spacing w:line="214" w:lineRule="exact"/>
              <w:ind w:right="166"/>
              <w:rPr>
                <w:sz w:val="19"/>
              </w:rPr>
            </w:pPr>
            <w:r>
              <w:rPr>
                <w:sz w:val="19"/>
              </w:rPr>
              <w:t>50.7</w:t>
            </w:r>
          </w:p>
        </w:tc>
        <w:tc>
          <w:tcPr>
            <w:tcW w:w="1133" w:type="dxa"/>
            <w:tcBorders>
              <w:top w:val="nil"/>
              <w:left w:val="nil"/>
              <w:bottom w:val="nil"/>
              <w:right w:val="nil"/>
            </w:tcBorders>
          </w:tcPr>
          <w:p>
            <w:pPr>
              <w:pStyle w:val="TableParagraph"/>
              <w:spacing w:line="214" w:lineRule="exact"/>
              <w:ind w:right="166"/>
              <w:rPr>
                <w:sz w:val="19"/>
              </w:rPr>
            </w:pPr>
            <w:r>
              <w:rPr>
                <w:sz w:val="19"/>
              </w:rPr>
              <w:t>53.1</w:t>
            </w:r>
          </w:p>
        </w:tc>
        <w:tc>
          <w:tcPr>
            <w:tcW w:w="1076" w:type="dxa"/>
            <w:tcBorders>
              <w:top w:val="nil"/>
              <w:left w:val="nil"/>
              <w:bottom w:val="nil"/>
              <w:right w:val="nil"/>
            </w:tcBorders>
          </w:tcPr>
          <w:p>
            <w:pPr>
              <w:pStyle w:val="TableParagraph"/>
              <w:spacing w:line="214" w:lineRule="exact"/>
              <w:ind w:right="108"/>
              <w:rPr>
                <w:sz w:val="19"/>
              </w:rPr>
            </w:pPr>
            <w:r>
              <w:rPr>
                <w:sz w:val="19"/>
              </w:rPr>
              <w:t>53.6</w:t>
            </w:r>
          </w:p>
        </w:tc>
      </w:tr>
      <w:tr>
        <w:trPr>
          <w:trHeight w:val="230" w:hRule="exact"/>
        </w:trPr>
        <w:tc>
          <w:tcPr>
            <w:tcW w:w="2420" w:type="dxa"/>
            <w:tcBorders>
              <w:top w:val="nil"/>
              <w:left w:val="nil"/>
              <w:bottom w:val="nil"/>
              <w:right w:val="nil"/>
            </w:tcBorders>
          </w:tcPr>
          <w:p>
            <w:pPr>
              <w:pStyle w:val="TableParagraph"/>
              <w:spacing w:line="216" w:lineRule="exact"/>
              <w:ind w:left="110"/>
              <w:jc w:val="left"/>
              <w:rPr>
                <w:sz w:val="19"/>
              </w:rPr>
            </w:pPr>
            <w:r>
              <w:rPr>
                <w:w w:val="105"/>
                <w:sz w:val="19"/>
              </w:rPr>
              <w:t>Hombres</w:t>
            </w:r>
          </w:p>
        </w:tc>
        <w:tc>
          <w:tcPr>
            <w:tcW w:w="1153" w:type="dxa"/>
            <w:tcBorders>
              <w:top w:val="nil"/>
              <w:left w:val="nil"/>
              <w:bottom w:val="nil"/>
              <w:right w:val="nil"/>
            </w:tcBorders>
          </w:tcPr>
          <w:p>
            <w:pPr>
              <w:pStyle w:val="TableParagraph"/>
              <w:spacing w:line="216" w:lineRule="exact"/>
              <w:ind w:right="168"/>
              <w:rPr>
                <w:sz w:val="19"/>
              </w:rPr>
            </w:pPr>
            <w:r>
              <w:rPr>
                <w:sz w:val="19"/>
              </w:rPr>
              <w:t>70.0</w:t>
            </w:r>
          </w:p>
        </w:tc>
        <w:tc>
          <w:tcPr>
            <w:tcW w:w="1135" w:type="dxa"/>
            <w:tcBorders>
              <w:top w:val="nil"/>
              <w:left w:val="nil"/>
              <w:bottom w:val="nil"/>
              <w:right w:val="nil"/>
            </w:tcBorders>
          </w:tcPr>
          <w:p>
            <w:pPr>
              <w:pStyle w:val="TableParagraph"/>
              <w:spacing w:line="216" w:lineRule="exact"/>
              <w:ind w:right="166"/>
              <w:rPr>
                <w:sz w:val="19"/>
              </w:rPr>
            </w:pPr>
            <w:r>
              <w:rPr>
                <w:sz w:val="19"/>
              </w:rPr>
              <w:t>69.8</w:t>
            </w:r>
          </w:p>
        </w:tc>
        <w:tc>
          <w:tcPr>
            <w:tcW w:w="1133" w:type="dxa"/>
            <w:tcBorders>
              <w:top w:val="nil"/>
              <w:left w:val="nil"/>
              <w:bottom w:val="nil"/>
              <w:right w:val="nil"/>
            </w:tcBorders>
          </w:tcPr>
          <w:p>
            <w:pPr>
              <w:pStyle w:val="TableParagraph"/>
              <w:spacing w:line="216" w:lineRule="exact"/>
              <w:ind w:right="166"/>
              <w:rPr>
                <w:sz w:val="19"/>
              </w:rPr>
            </w:pPr>
            <w:r>
              <w:rPr>
                <w:sz w:val="19"/>
              </w:rPr>
              <w:t>68.7</w:t>
            </w:r>
          </w:p>
        </w:tc>
        <w:tc>
          <w:tcPr>
            <w:tcW w:w="1133" w:type="dxa"/>
            <w:tcBorders>
              <w:top w:val="nil"/>
              <w:left w:val="nil"/>
              <w:bottom w:val="nil"/>
              <w:right w:val="nil"/>
            </w:tcBorders>
          </w:tcPr>
          <w:p>
            <w:pPr>
              <w:pStyle w:val="TableParagraph"/>
              <w:spacing w:line="216" w:lineRule="exact"/>
              <w:ind w:right="166"/>
              <w:rPr>
                <w:sz w:val="19"/>
              </w:rPr>
            </w:pPr>
            <w:r>
              <w:rPr>
                <w:sz w:val="19"/>
              </w:rPr>
              <w:t>72.3</w:t>
            </w:r>
          </w:p>
        </w:tc>
        <w:tc>
          <w:tcPr>
            <w:tcW w:w="1076" w:type="dxa"/>
            <w:tcBorders>
              <w:top w:val="nil"/>
              <w:left w:val="nil"/>
              <w:bottom w:val="nil"/>
              <w:right w:val="nil"/>
            </w:tcBorders>
          </w:tcPr>
          <w:p>
            <w:pPr>
              <w:pStyle w:val="TableParagraph"/>
              <w:spacing w:line="216" w:lineRule="exact"/>
              <w:ind w:right="108"/>
              <w:rPr>
                <w:sz w:val="19"/>
              </w:rPr>
            </w:pPr>
            <w:r>
              <w:rPr>
                <w:sz w:val="19"/>
              </w:rPr>
              <w:t>71.0</w:t>
            </w:r>
          </w:p>
        </w:tc>
      </w:tr>
      <w:tr>
        <w:trPr>
          <w:trHeight w:val="230" w:hRule="exact"/>
        </w:trPr>
        <w:tc>
          <w:tcPr>
            <w:tcW w:w="2420" w:type="dxa"/>
            <w:tcBorders>
              <w:top w:val="nil"/>
              <w:left w:val="nil"/>
              <w:bottom w:val="nil"/>
              <w:right w:val="nil"/>
            </w:tcBorders>
          </w:tcPr>
          <w:p>
            <w:pPr>
              <w:pStyle w:val="TableParagraph"/>
              <w:spacing w:line="216" w:lineRule="exact"/>
              <w:ind w:left="110"/>
              <w:jc w:val="left"/>
              <w:rPr>
                <w:sz w:val="19"/>
              </w:rPr>
            </w:pPr>
            <w:r>
              <w:rPr>
                <w:w w:val="105"/>
                <w:sz w:val="19"/>
              </w:rPr>
              <w:t>Mujeres</w:t>
            </w:r>
          </w:p>
        </w:tc>
        <w:tc>
          <w:tcPr>
            <w:tcW w:w="1153" w:type="dxa"/>
            <w:tcBorders>
              <w:top w:val="nil"/>
              <w:left w:val="nil"/>
              <w:bottom w:val="nil"/>
              <w:right w:val="nil"/>
            </w:tcBorders>
          </w:tcPr>
          <w:p>
            <w:pPr>
              <w:pStyle w:val="TableParagraph"/>
              <w:spacing w:line="216" w:lineRule="exact"/>
              <w:ind w:right="168"/>
              <w:rPr>
                <w:sz w:val="19"/>
              </w:rPr>
            </w:pPr>
            <w:r>
              <w:rPr>
                <w:sz w:val="19"/>
              </w:rPr>
              <w:t>33.3</w:t>
            </w:r>
          </w:p>
        </w:tc>
        <w:tc>
          <w:tcPr>
            <w:tcW w:w="1135" w:type="dxa"/>
            <w:tcBorders>
              <w:top w:val="nil"/>
              <w:left w:val="nil"/>
              <w:bottom w:val="nil"/>
              <w:right w:val="nil"/>
            </w:tcBorders>
          </w:tcPr>
          <w:p>
            <w:pPr>
              <w:pStyle w:val="TableParagraph"/>
              <w:spacing w:line="216" w:lineRule="exact"/>
              <w:ind w:right="166"/>
              <w:rPr>
                <w:sz w:val="19"/>
              </w:rPr>
            </w:pPr>
            <w:r>
              <w:rPr>
                <w:sz w:val="19"/>
              </w:rPr>
              <w:t>32.9</w:t>
            </w:r>
          </w:p>
        </w:tc>
        <w:tc>
          <w:tcPr>
            <w:tcW w:w="1133" w:type="dxa"/>
            <w:tcBorders>
              <w:top w:val="nil"/>
              <w:left w:val="nil"/>
              <w:bottom w:val="nil"/>
              <w:right w:val="nil"/>
            </w:tcBorders>
          </w:tcPr>
          <w:p>
            <w:pPr>
              <w:pStyle w:val="TableParagraph"/>
              <w:spacing w:line="216" w:lineRule="exact"/>
              <w:ind w:right="166"/>
              <w:rPr>
                <w:sz w:val="19"/>
              </w:rPr>
            </w:pPr>
            <w:r>
              <w:rPr>
                <w:sz w:val="19"/>
              </w:rPr>
              <w:t>34.3</w:t>
            </w:r>
          </w:p>
        </w:tc>
        <w:tc>
          <w:tcPr>
            <w:tcW w:w="1133" w:type="dxa"/>
            <w:tcBorders>
              <w:top w:val="nil"/>
              <w:left w:val="nil"/>
              <w:bottom w:val="nil"/>
              <w:right w:val="nil"/>
            </w:tcBorders>
          </w:tcPr>
          <w:p>
            <w:pPr>
              <w:pStyle w:val="TableParagraph"/>
              <w:spacing w:line="216" w:lineRule="exact"/>
              <w:ind w:right="166"/>
              <w:rPr>
                <w:sz w:val="19"/>
              </w:rPr>
            </w:pPr>
            <w:r>
              <w:rPr>
                <w:sz w:val="19"/>
              </w:rPr>
              <w:t>35.9</w:t>
            </w:r>
          </w:p>
        </w:tc>
        <w:tc>
          <w:tcPr>
            <w:tcW w:w="1076" w:type="dxa"/>
            <w:tcBorders>
              <w:top w:val="nil"/>
              <w:left w:val="nil"/>
              <w:bottom w:val="nil"/>
              <w:right w:val="nil"/>
            </w:tcBorders>
          </w:tcPr>
          <w:p>
            <w:pPr>
              <w:pStyle w:val="TableParagraph"/>
              <w:spacing w:line="216" w:lineRule="exact"/>
              <w:ind w:right="108"/>
              <w:rPr>
                <w:sz w:val="19"/>
              </w:rPr>
            </w:pPr>
            <w:r>
              <w:rPr>
                <w:sz w:val="19"/>
              </w:rPr>
              <w:t>37.4</w:t>
            </w:r>
          </w:p>
        </w:tc>
      </w:tr>
      <w:tr>
        <w:trPr>
          <w:trHeight w:val="230" w:hRule="exact"/>
        </w:trPr>
        <w:tc>
          <w:tcPr>
            <w:tcW w:w="2420" w:type="dxa"/>
            <w:tcBorders>
              <w:top w:val="nil"/>
              <w:left w:val="nil"/>
              <w:bottom w:val="nil"/>
              <w:right w:val="nil"/>
            </w:tcBorders>
          </w:tcPr>
          <w:p>
            <w:pPr>
              <w:pStyle w:val="TableParagraph"/>
              <w:spacing w:line="216" w:lineRule="exact"/>
              <w:ind w:left="110"/>
              <w:jc w:val="left"/>
              <w:rPr>
                <w:sz w:val="19"/>
              </w:rPr>
            </w:pPr>
            <w:r>
              <w:rPr>
                <w:w w:val="105"/>
                <w:sz w:val="19"/>
              </w:rPr>
              <w:t>Ocupados</w:t>
            </w:r>
          </w:p>
        </w:tc>
        <w:tc>
          <w:tcPr>
            <w:tcW w:w="1153" w:type="dxa"/>
            <w:tcBorders>
              <w:top w:val="nil"/>
              <w:left w:val="nil"/>
              <w:bottom w:val="nil"/>
              <w:right w:val="nil"/>
            </w:tcBorders>
          </w:tcPr>
          <w:p>
            <w:pPr>
              <w:pStyle w:val="TableParagraph"/>
              <w:spacing w:line="216" w:lineRule="exact"/>
              <w:ind w:right="168"/>
              <w:rPr>
                <w:sz w:val="19"/>
              </w:rPr>
            </w:pPr>
            <w:r>
              <w:rPr>
                <w:w w:val="105"/>
                <w:sz w:val="19"/>
              </w:rPr>
              <w:t>2 695 847</w:t>
            </w:r>
          </w:p>
        </w:tc>
        <w:tc>
          <w:tcPr>
            <w:tcW w:w="1135" w:type="dxa"/>
            <w:tcBorders>
              <w:top w:val="nil"/>
              <w:left w:val="nil"/>
              <w:bottom w:val="nil"/>
              <w:right w:val="nil"/>
            </w:tcBorders>
          </w:tcPr>
          <w:p>
            <w:pPr>
              <w:pStyle w:val="TableParagraph"/>
              <w:spacing w:line="216" w:lineRule="exact"/>
              <w:ind w:right="164"/>
              <w:rPr>
                <w:sz w:val="19"/>
              </w:rPr>
            </w:pPr>
            <w:r>
              <w:rPr>
                <w:w w:val="105"/>
                <w:sz w:val="19"/>
              </w:rPr>
              <w:t>2 773 492</w:t>
            </w:r>
          </w:p>
        </w:tc>
        <w:tc>
          <w:tcPr>
            <w:tcW w:w="1133" w:type="dxa"/>
            <w:tcBorders>
              <w:top w:val="nil"/>
              <w:left w:val="nil"/>
              <w:bottom w:val="nil"/>
              <w:right w:val="nil"/>
            </w:tcBorders>
          </w:tcPr>
          <w:p>
            <w:pPr>
              <w:pStyle w:val="TableParagraph"/>
              <w:spacing w:line="216" w:lineRule="exact"/>
              <w:ind w:right="164"/>
              <w:rPr>
                <w:sz w:val="19"/>
              </w:rPr>
            </w:pPr>
            <w:r>
              <w:rPr>
                <w:w w:val="105"/>
                <w:sz w:val="19"/>
              </w:rPr>
              <w:t>2 901 076</w:t>
            </w:r>
          </w:p>
        </w:tc>
        <w:tc>
          <w:tcPr>
            <w:tcW w:w="1133" w:type="dxa"/>
            <w:tcBorders>
              <w:top w:val="nil"/>
              <w:left w:val="nil"/>
              <w:bottom w:val="nil"/>
              <w:right w:val="nil"/>
            </w:tcBorders>
          </w:tcPr>
          <w:p>
            <w:pPr>
              <w:pStyle w:val="TableParagraph"/>
              <w:spacing w:line="216" w:lineRule="exact"/>
              <w:ind w:right="164"/>
              <w:rPr>
                <w:sz w:val="19"/>
              </w:rPr>
            </w:pPr>
            <w:r>
              <w:rPr>
                <w:w w:val="105"/>
                <w:sz w:val="19"/>
              </w:rPr>
              <w:t>3 135 564</w:t>
            </w:r>
          </w:p>
        </w:tc>
        <w:tc>
          <w:tcPr>
            <w:tcW w:w="1076" w:type="dxa"/>
            <w:tcBorders>
              <w:top w:val="nil"/>
              <w:left w:val="nil"/>
              <w:bottom w:val="nil"/>
              <w:right w:val="nil"/>
            </w:tcBorders>
          </w:tcPr>
          <w:p>
            <w:pPr>
              <w:pStyle w:val="TableParagraph"/>
              <w:spacing w:line="216" w:lineRule="exact"/>
              <w:ind w:right="107"/>
              <w:rPr>
                <w:sz w:val="19"/>
              </w:rPr>
            </w:pPr>
            <w:r>
              <w:rPr>
                <w:w w:val="105"/>
                <w:sz w:val="19"/>
              </w:rPr>
              <w:t>3 253 980</w:t>
            </w:r>
          </w:p>
        </w:tc>
      </w:tr>
      <w:tr>
        <w:trPr>
          <w:trHeight w:val="230" w:hRule="exact"/>
        </w:trPr>
        <w:tc>
          <w:tcPr>
            <w:tcW w:w="2420" w:type="dxa"/>
            <w:tcBorders>
              <w:top w:val="nil"/>
              <w:left w:val="nil"/>
              <w:bottom w:val="nil"/>
              <w:right w:val="nil"/>
            </w:tcBorders>
          </w:tcPr>
          <w:p>
            <w:pPr>
              <w:pStyle w:val="TableParagraph"/>
              <w:spacing w:line="216" w:lineRule="exact"/>
              <w:ind w:left="110"/>
              <w:jc w:val="left"/>
              <w:rPr>
                <w:sz w:val="19"/>
              </w:rPr>
            </w:pPr>
            <w:r>
              <w:rPr>
                <w:w w:val="105"/>
                <w:sz w:val="19"/>
              </w:rPr>
              <w:t>Desocupados</w:t>
            </w:r>
          </w:p>
        </w:tc>
        <w:tc>
          <w:tcPr>
            <w:tcW w:w="1153" w:type="dxa"/>
            <w:tcBorders>
              <w:top w:val="nil"/>
              <w:left w:val="nil"/>
              <w:bottom w:val="nil"/>
              <w:right w:val="nil"/>
            </w:tcBorders>
          </w:tcPr>
          <w:p>
            <w:pPr>
              <w:pStyle w:val="TableParagraph"/>
              <w:spacing w:line="216" w:lineRule="exact"/>
              <w:ind w:right="166"/>
              <w:rPr>
                <w:sz w:val="19"/>
              </w:rPr>
            </w:pPr>
            <w:r>
              <w:rPr>
                <w:w w:val="105"/>
                <w:sz w:val="19"/>
              </w:rPr>
              <w:t>96 414</w:t>
            </w:r>
          </w:p>
        </w:tc>
        <w:tc>
          <w:tcPr>
            <w:tcW w:w="1135" w:type="dxa"/>
            <w:tcBorders>
              <w:top w:val="nil"/>
              <w:left w:val="nil"/>
              <w:bottom w:val="nil"/>
              <w:right w:val="nil"/>
            </w:tcBorders>
          </w:tcPr>
          <w:p>
            <w:pPr>
              <w:pStyle w:val="TableParagraph"/>
              <w:spacing w:line="216" w:lineRule="exact"/>
              <w:ind w:right="164"/>
              <w:rPr>
                <w:sz w:val="19"/>
              </w:rPr>
            </w:pPr>
            <w:r>
              <w:rPr>
                <w:w w:val="105"/>
                <w:sz w:val="19"/>
              </w:rPr>
              <w:t>87 375</w:t>
            </w:r>
          </w:p>
        </w:tc>
        <w:tc>
          <w:tcPr>
            <w:tcW w:w="1133" w:type="dxa"/>
            <w:tcBorders>
              <w:top w:val="nil"/>
              <w:left w:val="nil"/>
              <w:bottom w:val="nil"/>
              <w:right w:val="nil"/>
            </w:tcBorders>
          </w:tcPr>
          <w:p>
            <w:pPr>
              <w:pStyle w:val="TableParagraph"/>
              <w:spacing w:line="216" w:lineRule="exact"/>
              <w:ind w:right="164"/>
              <w:rPr>
                <w:sz w:val="19"/>
              </w:rPr>
            </w:pPr>
            <w:r>
              <w:rPr>
                <w:w w:val="105"/>
                <w:sz w:val="19"/>
              </w:rPr>
              <w:t>89 458</w:t>
            </w:r>
          </w:p>
        </w:tc>
        <w:tc>
          <w:tcPr>
            <w:tcW w:w="1133" w:type="dxa"/>
            <w:tcBorders>
              <w:top w:val="nil"/>
              <w:left w:val="nil"/>
              <w:bottom w:val="nil"/>
              <w:right w:val="nil"/>
            </w:tcBorders>
          </w:tcPr>
          <w:p>
            <w:pPr>
              <w:pStyle w:val="TableParagraph"/>
              <w:spacing w:line="216" w:lineRule="exact"/>
              <w:ind w:right="164"/>
              <w:rPr>
                <w:sz w:val="19"/>
              </w:rPr>
            </w:pPr>
            <w:r>
              <w:rPr>
                <w:w w:val="105"/>
                <w:sz w:val="19"/>
              </w:rPr>
              <w:t>101 296</w:t>
            </w:r>
          </w:p>
        </w:tc>
        <w:tc>
          <w:tcPr>
            <w:tcW w:w="1076" w:type="dxa"/>
            <w:tcBorders>
              <w:top w:val="nil"/>
              <w:left w:val="nil"/>
              <w:bottom w:val="nil"/>
              <w:right w:val="nil"/>
            </w:tcBorders>
          </w:tcPr>
          <w:p>
            <w:pPr>
              <w:pStyle w:val="TableParagraph"/>
              <w:spacing w:line="216" w:lineRule="exact"/>
              <w:ind w:right="107"/>
              <w:rPr>
                <w:sz w:val="19"/>
              </w:rPr>
            </w:pPr>
            <w:r>
              <w:rPr>
                <w:w w:val="105"/>
                <w:sz w:val="19"/>
              </w:rPr>
              <w:t>133 737</w:t>
            </w:r>
          </w:p>
        </w:tc>
      </w:tr>
      <w:tr>
        <w:trPr>
          <w:trHeight w:val="238" w:hRule="exact"/>
        </w:trPr>
        <w:tc>
          <w:tcPr>
            <w:tcW w:w="2420" w:type="dxa"/>
            <w:tcBorders>
              <w:top w:val="nil"/>
              <w:left w:val="nil"/>
              <w:bottom w:val="double" w:sz="4" w:space="0" w:color="000000"/>
              <w:right w:val="nil"/>
            </w:tcBorders>
          </w:tcPr>
          <w:p>
            <w:pPr>
              <w:pStyle w:val="TableParagraph"/>
              <w:spacing w:line="216" w:lineRule="exact"/>
              <w:ind w:left="110"/>
              <w:jc w:val="left"/>
              <w:rPr>
                <w:sz w:val="19"/>
              </w:rPr>
            </w:pPr>
            <w:r>
              <w:rPr>
                <w:w w:val="105"/>
                <w:sz w:val="19"/>
              </w:rPr>
              <w:t>Tasa de desempleo abierto</w:t>
            </w:r>
          </w:p>
        </w:tc>
        <w:tc>
          <w:tcPr>
            <w:tcW w:w="1153" w:type="dxa"/>
            <w:tcBorders>
              <w:top w:val="nil"/>
              <w:left w:val="nil"/>
              <w:bottom w:val="double" w:sz="4" w:space="0" w:color="000000"/>
              <w:right w:val="nil"/>
            </w:tcBorders>
          </w:tcPr>
          <w:p>
            <w:pPr>
              <w:pStyle w:val="TableParagraph"/>
              <w:spacing w:line="216" w:lineRule="exact"/>
              <w:ind w:right="167"/>
              <w:rPr>
                <w:sz w:val="19"/>
              </w:rPr>
            </w:pPr>
            <w:r>
              <w:rPr>
                <w:sz w:val="19"/>
              </w:rPr>
              <w:t>4.9</w:t>
            </w:r>
          </w:p>
        </w:tc>
        <w:tc>
          <w:tcPr>
            <w:tcW w:w="1135" w:type="dxa"/>
            <w:tcBorders>
              <w:top w:val="nil"/>
              <w:left w:val="nil"/>
              <w:bottom w:val="double" w:sz="4" w:space="0" w:color="000000"/>
              <w:right w:val="nil"/>
            </w:tcBorders>
          </w:tcPr>
          <w:p>
            <w:pPr>
              <w:pStyle w:val="TableParagraph"/>
              <w:spacing w:line="216" w:lineRule="exact"/>
              <w:ind w:right="165"/>
              <w:rPr>
                <w:sz w:val="19"/>
              </w:rPr>
            </w:pPr>
            <w:r>
              <w:rPr>
                <w:sz w:val="19"/>
              </w:rPr>
              <w:t>4.0</w:t>
            </w:r>
          </w:p>
        </w:tc>
        <w:tc>
          <w:tcPr>
            <w:tcW w:w="1133" w:type="dxa"/>
            <w:tcBorders>
              <w:top w:val="nil"/>
              <w:left w:val="nil"/>
              <w:bottom w:val="double" w:sz="4" w:space="0" w:color="000000"/>
              <w:right w:val="nil"/>
            </w:tcBorders>
          </w:tcPr>
          <w:p>
            <w:pPr>
              <w:pStyle w:val="TableParagraph"/>
              <w:spacing w:line="216" w:lineRule="exact"/>
              <w:ind w:right="165"/>
              <w:rPr>
                <w:sz w:val="19"/>
              </w:rPr>
            </w:pPr>
            <w:r>
              <w:rPr>
                <w:sz w:val="19"/>
              </w:rPr>
              <w:t>4.1</w:t>
            </w:r>
          </w:p>
        </w:tc>
        <w:tc>
          <w:tcPr>
            <w:tcW w:w="1133" w:type="dxa"/>
            <w:tcBorders>
              <w:top w:val="nil"/>
              <w:left w:val="nil"/>
              <w:bottom w:val="double" w:sz="4" w:space="0" w:color="000000"/>
              <w:right w:val="nil"/>
            </w:tcBorders>
          </w:tcPr>
          <w:p>
            <w:pPr>
              <w:pStyle w:val="TableParagraph"/>
              <w:spacing w:line="216" w:lineRule="exact"/>
              <w:ind w:right="165"/>
              <w:rPr>
                <w:sz w:val="19"/>
              </w:rPr>
            </w:pPr>
            <w:r>
              <w:rPr>
                <w:sz w:val="19"/>
              </w:rPr>
              <w:t>4.9</w:t>
            </w:r>
          </w:p>
        </w:tc>
        <w:tc>
          <w:tcPr>
            <w:tcW w:w="1076" w:type="dxa"/>
            <w:tcBorders>
              <w:top w:val="nil"/>
              <w:left w:val="nil"/>
              <w:bottom w:val="double" w:sz="4" w:space="0" w:color="000000"/>
              <w:right w:val="nil"/>
            </w:tcBorders>
          </w:tcPr>
          <w:p>
            <w:pPr>
              <w:pStyle w:val="TableParagraph"/>
              <w:spacing w:line="216" w:lineRule="exact"/>
              <w:ind w:right="108"/>
              <w:rPr>
                <w:sz w:val="19"/>
              </w:rPr>
            </w:pPr>
            <w:r>
              <w:rPr>
                <w:sz w:val="19"/>
              </w:rPr>
              <w:t>6.4</w:t>
            </w:r>
          </w:p>
        </w:tc>
      </w:tr>
    </w:tbl>
    <w:p>
      <w:pPr>
        <w:spacing w:line="169" w:lineRule="exact" w:before="0"/>
        <w:ind w:left="1410" w:right="0" w:firstLine="0"/>
        <w:jc w:val="left"/>
        <w:rPr>
          <w:sz w:val="16"/>
        </w:rPr>
      </w:pPr>
      <w:r>
        <w:rPr>
          <w:sz w:val="16"/>
        </w:rPr>
        <w:t>Fuente: Instituto Nacional de Estadística (INE). Encuesta Permanente de Hogares de Propósitos Múltiples; EPHPM</w:t>
      </w:r>
    </w:p>
    <w:p>
      <w:pPr>
        <w:spacing w:before="3"/>
        <w:ind w:left="1410" w:right="0" w:firstLine="0"/>
        <w:jc w:val="left"/>
        <w:rPr>
          <w:sz w:val="16"/>
        </w:rPr>
      </w:pPr>
      <w:r>
        <w:rPr>
          <w:sz w:val="16"/>
        </w:rPr>
        <w:t>2001-2010.</w:t>
      </w:r>
    </w:p>
    <w:p>
      <w:pPr>
        <w:spacing w:after="0"/>
        <w:jc w:val="left"/>
        <w:rPr>
          <w:sz w:val="16"/>
        </w:rPr>
        <w:sectPr>
          <w:footerReference w:type="default" r:id="rId98"/>
          <w:pgSz w:w="13040" w:h="9360" w:orient="landscape"/>
          <w:pgMar w:footer="0" w:header="0" w:top="0" w:bottom="280" w:left="1280" w:right="1840"/>
        </w:sectPr>
      </w:pPr>
    </w:p>
    <w:p>
      <w:pPr>
        <w:spacing w:before="45"/>
        <w:ind w:left="400" w:right="117" w:firstLine="343"/>
        <w:jc w:val="left"/>
        <w:rPr>
          <w:rFonts w:ascii="Arial" w:hAnsi="Arial"/>
          <w:sz w:val="20"/>
        </w:rPr>
      </w:pPr>
      <w:r>
        <w:rPr>
          <w:rFonts w:ascii="Arial" w:hAnsi="Arial"/>
          <w:color w:val="231F20"/>
          <w:w w:val="65"/>
          <w:sz w:val="20"/>
        </w:rPr>
        <w:t>Factores contextuales de la migración internacional de    Honduras /Manuel Antonio Flores-Fonseca</w:t>
      </w:r>
    </w:p>
    <w:p>
      <w:pPr>
        <w:pStyle w:val="BodyText"/>
        <w:spacing w:before="7"/>
        <w:rPr>
          <w:rFonts w:ascii="Arial"/>
          <w:sz w:val="28"/>
        </w:rPr>
      </w:pPr>
    </w:p>
    <w:p>
      <w:pPr>
        <w:pStyle w:val="BodyText"/>
        <w:spacing w:line="247" w:lineRule="auto"/>
        <w:ind w:left="117" w:right="114" w:firstLine="283"/>
        <w:jc w:val="both"/>
      </w:pPr>
      <w:r>
        <w:rPr>
          <w:color w:val="231F20"/>
        </w:rPr>
        <w:t>Pero no sólo desempleados exporta el país, porque las evidencias em- píricas de los estudios de la migración indican que o bien las personas emigrantes</w:t>
      </w:r>
      <w:r>
        <w:rPr>
          <w:color w:val="231F20"/>
          <w:spacing w:val="-13"/>
        </w:rPr>
        <w:t> </w:t>
      </w:r>
      <w:r>
        <w:rPr>
          <w:color w:val="231F20"/>
        </w:rPr>
        <w:t>estaban</w:t>
      </w:r>
      <w:r>
        <w:rPr>
          <w:color w:val="231F20"/>
          <w:spacing w:val="-13"/>
        </w:rPr>
        <w:t> </w:t>
      </w:r>
      <w:r>
        <w:rPr>
          <w:color w:val="231F20"/>
        </w:rPr>
        <w:t>desempleadas</w:t>
      </w:r>
      <w:r>
        <w:rPr>
          <w:color w:val="231F20"/>
          <w:spacing w:val="-12"/>
        </w:rPr>
        <w:t> </w:t>
      </w:r>
      <w:r>
        <w:rPr>
          <w:color w:val="231F20"/>
        </w:rPr>
        <w:t>o</w:t>
      </w:r>
      <w:r>
        <w:rPr>
          <w:color w:val="231F20"/>
          <w:spacing w:val="-12"/>
        </w:rPr>
        <w:t> </w:t>
      </w:r>
      <w:r>
        <w:rPr>
          <w:color w:val="231F20"/>
        </w:rPr>
        <w:t>estaban</w:t>
      </w:r>
      <w:r>
        <w:rPr>
          <w:color w:val="231F20"/>
          <w:spacing w:val="-13"/>
        </w:rPr>
        <w:t> </w:t>
      </w:r>
      <w:r>
        <w:rPr>
          <w:color w:val="231F20"/>
        </w:rPr>
        <w:t>subempleados</w:t>
      </w:r>
      <w:r>
        <w:rPr>
          <w:color w:val="231F20"/>
          <w:spacing w:val="-12"/>
        </w:rPr>
        <w:t> </w:t>
      </w:r>
      <w:r>
        <w:rPr>
          <w:color w:val="231F20"/>
        </w:rPr>
        <w:t>o</w:t>
      </w:r>
      <w:r>
        <w:rPr>
          <w:color w:val="231F20"/>
          <w:spacing w:val="-12"/>
        </w:rPr>
        <w:t> </w:t>
      </w:r>
      <w:r>
        <w:rPr>
          <w:color w:val="231F20"/>
        </w:rPr>
        <w:t>trabajando</w:t>
      </w:r>
      <w:r>
        <w:rPr>
          <w:color w:val="231F20"/>
          <w:spacing w:val="-13"/>
        </w:rPr>
        <w:t> </w:t>
      </w:r>
      <w:r>
        <w:rPr>
          <w:color w:val="231F20"/>
        </w:rPr>
        <w:t>es- porádicamente o en forma permanente, pero sus ingresos eran muy bajos. En este aspecto los diferenciales en ingresos y la brecha salarial de 9 a 12 veces para mano de obra no calificada es una motivación de la migración </w:t>
      </w:r>
      <w:r>
        <w:rPr>
          <w:color w:val="231F20"/>
          <w:spacing w:val="-3"/>
        </w:rPr>
        <w:t>(World</w:t>
      </w:r>
      <w:r>
        <w:rPr>
          <w:color w:val="231F20"/>
          <w:spacing w:val="-8"/>
        </w:rPr>
        <w:t> </w:t>
      </w:r>
      <w:r>
        <w:rPr>
          <w:color w:val="231F20"/>
        </w:rPr>
        <w:t>Bank,</w:t>
      </w:r>
      <w:r>
        <w:rPr>
          <w:color w:val="231F20"/>
          <w:spacing w:val="-8"/>
        </w:rPr>
        <w:t> </w:t>
      </w:r>
      <w:r>
        <w:rPr>
          <w:color w:val="231F20"/>
        </w:rPr>
        <w:t>2009).</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módulo</w:t>
      </w:r>
      <w:r>
        <w:rPr>
          <w:color w:val="231F20"/>
          <w:spacing w:val="-8"/>
        </w:rPr>
        <w:t> </w:t>
      </w:r>
      <w:r>
        <w:rPr>
          <w:color w:val="231F20"/>
        </w:rPr>
        <w:t>de</w:t>
      </w:r>
      <w:r>
        <w:rPr>
          <w:color w:val="231F20"/>
          <w:spacing w:val="-8"/>
        </w:rPr>
        <w:t> </w:t>
      </w:r>
      <w:r>
        <w:rPr>
          <w:color w:val="231F20"/>
        </w:rPr>
        <w:t>migración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Encuesta</w:t>
      </w:r>
      <w:r>
        <w:rPr>
          <w:color w:val="231F20"/>
          <w:spacing w:val="-8"/>
        </w:rPr>
        <w:t> </w:t>
      </w:r>
      <w:r>
        <w:rPr>
          <w:color w:val="231F20"/>
        </w:rPr>
        <w:t>Permanen- te de Hogares y de Propósitos Múltiples de 2010 se auscultó sobre causas de</w:t>
      </w:r>
      <w:r>
        <w:rPr>
          <w:color w:val="231F20"/>
          <w:spacing w:val="-7"/>
        </w:rPr>
        <w:t> </w:t>
      </w:r>
      <w:r>
        <w:rPr>
          <w:color w:val="231F20"/>
        </w:rPr>
        <w:t>emigrar,</w:t>
      </w:r>
      <w:r>
        <w:rPr>
          <w:color w:val="231F20"/>
          <w:spacing w:val="-7"/>
        </w:rPr>
        <w:t> </w:t>
      </w:r>
      <w:r>
        <w:rPr>
          <w:color w:val="231F20"/>
        </w:rPr>
        <w:t>donde</w:t>
      </w:r>
      <w:r>
        <w:rPr>
          <w:color w:val="231F20"/>
          <w:spacing w:val="-7"/>
        </w:rPr>
        <w:t> </w:t>
      </w:r>
      <w:r>
        <w:rPr>
          <w:color w:val="231F20"/>
        </w:rPr>
        <w:t>los</w:t>
      </w:r>
      <w:r>
        <w:rPr>
          <w:color w:val="231F20"/>
          <w:spacing w:val="-7"/>
        </w:rPr>
        <w:t> </w:t>
      </w:r>
      <w:r>
        <w:rPr>
          <w:color w:val="231F20"/>
        </w:rPr>
        <w:t>hogares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emigrantes</w:t>
      </w:r>
      <w:r>
        <w:rPr>
          <w:color w:val="231F20"/>
          <w:spacing w:val="-7"/>
        </w:rPr>
        <w:t> </w:t>
      </w:r>
      <w:r>
        <w:rPr>
          <w:color w:val="231F20"/>
        </w:rPr>
        <w:t>expresan</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obtención de un empleo y enviar remesas (nueve de cada diez) es la principal razón para migrar por sus familiares (INE,</w:t>
      </w:r>
      <w:r>
        <w:rPr>
          <w:color w:val="231F20"/>
          <w:spacing w:val="-12"/>
        </w:rPr>
        <w:t> </w:t>
      </w:r>
      <w:r>
        <w:rPr>
          <w:color w:val="231F20"/>
        </w:rPr>
        <w:t>2011).</w:t>
      </w:r>
    </w:p>
    <w:p>
      <w:pPr>
        <w:spacing w:before="149"/>
        <w:ind w:left="117" w:right="0" w:firstLine="0"/>
        <w:jc w:val="both"/>
        <w:rPr>
          <w:i/>
          <w:sz w:val="22"/>
        </w:rPr>
      </w:pPr>
      <w:r>
        <w:rPr>
          <w:i/>
          <w:color w:val="231F20"/>
          <w:sz w:val="22"/>
        </w:rPr>
        <w:t>Las crisis económicas del país</w:t>
      </w:r>
    </w:p>
    <w:p>
      <w:pPr>
        <w:pStyle w:val="BodyText"/>
        <w:spacing w:line="247" w:lineRule="auto" w:before="177"/>
        <w:ind w:left="117" w:right="114"/>
        <w:jc w:val="both"/>
      </w:pPr>
      <w:r>
        <w:rPr>
          <w:color w:val="231F20"/>
        </w:rPr>
        <w:t>La crisis económica de la década de los ochenta agravó la vulnerabilidad de la sociedad hondureña, llevando a un deterioro del nivel de vida, con una baja de los salarios reales y precios más altos para los productos de primera necesidad, provocando inflación, que fue tratado de mitigar con medidas económicas asesoradas por el Fondo Monetario Internacional (FMI)</w:t>
      </w:r>
      <w:r>
        <w:rPr>
          <w:color w:val="231F20"/>
          <w:spacing w:val="-11"/>
        </w:rPr>
        <w:t> </w:t>
      </w:r>
      <w:r>
        <w:rPr>
          <w:color w:val="231F20"/>
        </w:rPr>
        <w:t>y</w:t>
      </w:r>
      <w:r>
        <w:rPr>
          <w:color w:val="231F20"/>
          <w:spacing w:val="-11"/>
        </w:rPr>
        <w:t> </w:t>
      </w:r>
      <w:r>
        <w:rPr>
          <w:color w:val="231F20"/>
        </w:rPr>
        <w:t>otros</w:t>
      </w:r>
      <w:r>
        <w:rPr>
          <w:color w:val="231F20"/>
          <w:spacing w:val="-11"/>
        </w:rPr>
        <w:t> </w:t>
      </w:r>
      <w:r>
        <w:rPr>
          <w:color w:val="231F20"/>
        </w:rPr>
        <w:t>organismos</w:t>
      </w:r>
      <w:r>
        <w:rPr>
          <w:color w:val="231F20"/>
          <w:spacing w:val="-11"/>
        </w:rPr>
        <w:t> </w:t>
      </w:r>
      <w:r>
        <w:rPr>
          <w:color w:val="231F20"/>
        </w:rPr>
        <w:t>internacionales</w:t>
      </w:r>
      <w:r>
        <w:rPr>
          <w:color w:val="231F20"/>
          <w:spacing w:val="-12"/>
        </w:rPr>
        <w:t> </w:t>
      </w:r>
      <w:r>
        <w:rPr>
          <w:color w:val="231F20"/>
        </w:rPr>
        <w:t>a</w:t>
      </w:r>
      <w:r>
        <w:rPr>
          <w:color w:val="231F20"/>
          <w:spacing w:val="-11"/>
        </w:rPr>
        <w:t> </w:t>
      </w:r>
      <w:r>
        <w:rPr>
          <w:color w:val="231F20"/>
        </w:rPr>
        <w:t>partir</w:t>
      </w:r>
      <w:r>
        <w:rPr>
          <w:color w:val="231F20"/>
          <w:spacing w:val="-12"/>
        </w:rPr>
        <w:t> </w:t>
      </w:r>
      <w:r>
        <w:rPr>
          <w:color w:val="231F20"/>
        </w:rPr>
        <w:t>de</w:t>
      </w:r>
      <w:r>
        <w:rPr>
          <w:color w:val="231F20"/>
          <w:spacing w:val="-11"/>
        </w:rPr>
        <w:t> </w:t>
      </w:r>
      <w:r>
        <w:rPr>
          <w:color w:val="231F20"/>
        </w:rPr>
        <w:t>1990</w:t>
      </w:r>
      <w:r>
        <w:rPr>
          <w:color w:val="231F20"/>
          <w:spacing w:val="-11"/>
        </w:rPr>
        <w:t> </w:t>
      </w:r>
      <w:r>
        <w:rPr>
          <w:color w:val="231F20"/>
        </w:rPr>
        <w:t>en</w:t>
      </w:r>
      <w:r>
        <w:rPr>
          <w:color w:val="231F20"/>
          <w:spacing w:val="-11"/>
        </w:rPr>
        <w:t> </w:t>
      </w:r>
      <w:r>
        <w:rPr>
          <w:color w:val="231F20"/>
        </w:rPr>
        <w:t>el</w:t>
      </w:r>
      <w:r>
        <w:rPr>
          <w:color w:val="231F20"/>
          <w:spacing w:val="-12"/>
        </w:rPr>
        <w:t> </w:t>
      </w:r>
      <w:r>
        <w:rPr>
          <w:color w:val="231F20"/>
        </w:rPr>
        <w:t>marco</w:t>
      </w:r>
      <w:r>
        <w:rPr>
          <w:color w:val="231F20"/>
          <w:spacing w:val="-12"/>
        </w:rPr>
        <w:t> </w:t>
      </w:r>
      <w:r>
        <w:rPr>
          <w:color w:val="231F20"/>
        </w:rPr>
        <w:t>de</w:t>
      </w:r>
      <w:r>
        <w:rPr>
          <w:color w:val="231F20"/>
          <w:spacing w:val="-11"/>
        </w:rPr>
        <w:t> </w:t>
      </w:r>
      <w:r>
        <w:rPr>
          <w:color w:val="231F20"/>
        </w:rPr>
        <w:t>la llamada</w:t>
      </w:r>
      <w:r>
        <w:rPr>
          <w:color w:val="231F20"/>
          <w:spacing w:val="-8"/>
        </w:rPr>
        <w:t> </w:t>
      </w:r>
      <w:r>
        <w:rPr>
          <w:color w:val="231F20"/>
        </w:rPr>
        <w:t>“Ley</w:t>
      </w:r>
      <w:r>
        <w:rPr>
          <w:color w:val="231F20"/>
          <w:spacing w:val="-7"/>
        </w:rPr>
        <w:t> </w:t>
      </w:r>
      <w:r>
        <w:rPr>
          <w:color w:val="231F20"/>
        </w:rPr>
        <w:t>de</w:t>
      </w:r>
      <w:r>
        <w:rPr>
          <w:color w:val="231F20"/>
          <w:spacing w:val="-7"/>
        </w:rPr>
        <w:t> </w:t>
      </w:r>
      <w:r>
        <w:rPr>
          <w:color w:val="231F20"/>
        </w:rPr>
        <w:t>Ordenamiento</w:t>
      </w:r>
      <w:r>
        <w:rPr>
          <w:color w:val="231F20"/>
          <w:spacing w:val="-7"/>
        </w:rPr>
        <w:t> </w:t>
      </w:r>
      <w:r>
        <w:rPr>
          <w:color w:val="231F20"/>
        </w:rPr>
        <w:t>Estructural</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Economía”.</w:t>
      </w:r>
      <w:r>
        <w:rPr>
          <w:color w:val="231F20"/>
          <w:spacing w:val="-19"/>
        </w:rPr>
        <w:t> </w:t>
      </w:r>
      <w:r>
        <w:rPr>
          <w:color w:val="231F20"/>
        </w:rPr>
        <w:t>Así</w:t>
      </w:r>
      <w:r>
        <w:rPr>
          <w:color w:val="231F20"/>
          <w:spacing w:val="-7"/>
        </w:rPr>
        <w:t> </w:t>
      </w:r>
      <w:r>
        <w:rPr>
          <w:color w:val="231F20"/>
        </w:rPr>
        <w:t>se</w:t>
      </w:r>
      <w:r>
        <w:rPr>
          <w:color w:val="231F20"/>
          <w:spacing w:val="-7"/>
        </w:rPr>
        <w:t> </w:t>
      </w:r>
      <w:r>
        <w:rPr>
          <w:color w:val="231F20"/>
        </w:rPr>
        <w:t>recon- figuró la economía nacional, no aumentó significativamente la</w:t>
      </w:r>
      <w:r>
        <w:rPr>
          <w:color w:val="231F20"/>
          <w:spacing w:val="-24"/>
        </w:rPr>
        <w:t> </w:t>
      </w:r>
      <w:r>
        <w:rPr>
          <w:color w:val="231F20"/>
        </w:rPr>
        <w:t>producción ni la exportación, con relación al crecimiento poblacional, pero generó la disminución del gasto público, cierto grado de diversificación y mejores condiciones para la inversión privada</w:t>
      </w:r>
      <w:r>
        <w:rPr>
          <w:color w:val="231F20"/>
          <w:spacing w:val="-2"/>
        </w:rPr>
        <w:t> </w:t>
      </w:r>
      <w:r>
        <w:rPr>
          <w:color w:val="231F20"/>
        </w:rPr>
        <w:t>internacional.</w:t>
      </w:r>
    </w:p>
    <w:p>
      <w:pPr>
        <w:pStyle w:val="BodyText"/>
        <w:spacing w:line="247" w:lineRule="auto"/>
        <w:ind w:left="117" w:right="115" w:firstLine="283"/>
        <w:jc w:val="both"/>
      </w:pPr>
      <w:r>
        <w:rPr>
          <w:color w:val="231F20"/>
        </w:rPr>
        <w:t>Desde los años noventa cada nueva administración gubernamental aprueba medidas económicas para cumplimiento de recetas del Fondo Monetario Internacional, algunos de las cuales han aplicado medidas con mayor severidad, dirigidas a las clases medias y bajas,</w:t>
      </w:r>
      <w:r>
        <w:rPr>
          <w:color w:val="231F20"/>
          <w:position w:val="7"/>
          <w:sz w:val="13"/>
        </w:rPr>
        <w:t>4 </w:t>
      </w:r>
      <w:r>
        <w:rPr>
          <w:color w:val="231F20"/>
        </w:rPr>
        <w:t>sin embargo, los beneficios de esos sacrificios no son palpables en el bienestar económico, reducción de la pobreza y de la desigualdad social.</w:t>
      </w:r>
    </w:p>
    <w:p>
      <w:pPr>
        <w:pStyle w:val="BodyText"/>
        <w:spacing w:line="247" w:lineRule="auto"/>
        <w:ind w:left="117" w:right="115" w:firstLine="283"/>
        <w:jc w:val="both"/>
      </w:pPr>
      <w:r>
        <w:rPr>
          <w:color w:val="231F20"/>
        </w:rPr>
        <w:t>La crisis política del Golpe de Estado de 2009 generó una crisis eco- nómica de gran impacto en el país, esto porque se cerraron las fuentes de financiamiento internacional por un año y medio, lo que condujo a endeu- damiento gubernamental con la banca nacional a elevados intereses y</w:t>
      </w:r>
      <w:r>
        <w:rPr>
          <w:color w:val="231F20"/>
          <w:spacing w:val="-22"/>
        </w:rPr>
        <w:t> </w:t>
      </w:r>
      <w:r>
        <w:rPr>
          <w:color w:val="231F20"/>
        </w:rPr>
        <w:t>para cubrir esas obligaciones la administración Lobo ha echado mano de seis reformas</w:t>
      </w:r>
      <w:r>
        <w:rPr>
          <w:color w:val="231F20"/>
          <w:spacing w:val="23"/>
        </w:rPr>
        <w:t> </w:t>
      </w:r>
      <w:r>
        <w:rPr>
          <w:color w:val="231F20"/>
        </w:rPr>
        <w:t>fiscales</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últimos</w:t>
      </w:r>
      <w:r>
        <w:rPr>
          <w:color w:val="231F20"/>
          <w:spacing w:val="23"/>
        </w:rPr>
        <w:t> </w:t>
      </w:r>
      <w:r>
        <w:rPr>
          <w:color w:val="231F20"/>
        </w:rPr>
        <w:t>tres</w:t>
      </w:r>
      <w:r>
        <w:rPr>
          <w:color w:val="231F20"/>
          <w:spacing w:val="23"/>
        </w:rPr>
        <w:t> </w:t>
      </w:r>
      <w:r>
        <w:rPr>
          <w:color w:val="231F20"/>
        </w:rPr>
        <w:t>años,</w:t>
      </w:r>
      <w:r>
        <w:rPr>
          <w:color w:val="231F20"/>
          <w:position w:val="7"/>
          <w:sz w:val="13"/>
        </w:rPr>
        <w:t>5 </w:t>
      </w:r>
      <w:r>
        <w:rPr>
          <w:color w:val="231F20"/>
          <w:spacing w:val="13"/>
          <w:position w:val="7"/>
          <w:sz w:val="13"/>
        </w:rPr>
        <w:t> </w:t>
      </w:r>
      <w:r>
        <w:rPr>
          <w:color w:val="231F20"/>
        </w:rPr>
        <w:t>dejando</w:t>
      </w:r>
      <w:r>
        <w:rPr>
          <w:color w:val="231F20"/>
          <w:spacing w:val="24"/>
        </w:rPr>
        <w:t> </w:t>
      </w:r>
      <w:r>
        <w:rPr>
          <w:color w:val="231F20"/>
        </w:rPr>
        <w:t>pendientes</w:t>
      </w:r>
      <w:r>
        <w:rPr>
          <w:color w:val="231F20"/>
          <w:spacing w:val="24"/>
        </w:rPr>
        <w:t> </w:t>
      </w:r>
      <w:r>
        <w:rPr>
          <w:color w:val="231F20"/>
        </w:rPr>
        <w:t>dos,</w:t>
      </w:r>
      <w:r>
        <w:rPr>
          <w:color w:val="231F20"/>
          <w:spacing w:val="23"/>
        </w:rPr>
        <w:t> </w:t>
      </w:r>
      <w:r>
        <w:rPr>
          <w:color w:val="231F20"/>
        </w:rPr>
        <w:t>que</w:t>
      </w:r>
    </w:p>
    <w:p>
      <w:pPr>
        <w:pStyle w:val="BodyText"/>
        <w:spacing w:before="7"/>
        <w:rPr>
          <w:sz w:val="9"/>
        </w:rPr>
      </w:pPr>
      <w:r>
        <w:rPr/>
        <w:pict>
          <v:line style="position:absolute;mso-position-horizontal-relative:page;mso-position-vertical-relative:paragraph;z-index:2920;mso-wrap-distance-left:0;mso-wrap-distance-right:0" from="70.866096pt,7.856555pt" to="142.866096pt,7.856555pt" stroked="true" strokeweight=".75pt" strokecolor="#231f20">
            <w10:wrap type="topAndBottom"/>
          </v:line>
        </w:pict>
      </w:r>
    </w:p>
    <w:p>
      <w:pPr>
        <w:spacing w:line="170" w:lineRule="exact" w:before="0"/>
        <w:ind w:left="117" w:right="117" w:firstLine="0"/>
        <w:jc w:val="left"/>
        <w:rPr>
          <w:sz w:val="17"/>
        </w:rPr>
      </w:pPr>
      <w:r>
        <w:rPr>
          <w:color w:val="231F20"/>
          <w:position w:val="6"/>
          <w:sz w:val="10"/>
        </w:rPr>
        <w:t>4 </w:t>
      </w:r>
      <w:r>
        <w:rPr>
          <w:color w:val="231F20"/>
          <w:sz w:val="17"/>
        </w:rPr>
        <w:t>Administraciones Gubernamentales de Leonardo Callejas (1990-1994), Carlos Flores (1998- 2002), Ricardo Maduro (2002-2006) y Porfirio Lobo (2010-2014).</w:t>
      </w:r>
    </w:p>
    <w:p>
      <w:pPr>
        <w:spacing w:line="170" w:lineRule="exact" w:before="0"/>
        <w:ind w:left="117" w:right="117" w:firstLine="0"/>
        <w:jc w:val="left"/>
        <w:rPr>
          <w:sz w:val="17"/>
        </w:rPr>
      </w:pPr>
      <w:r>
        <w:rPr>
          <w:color w:val="231F20"/>
          <w:position w:val="6"/>
          <w:sz w:val="10"/>
        </w:rPr>
        <w:t>5 </w:t>
      </w:r>
      <w:r>
        <w:rPr>
          <w:sz w:val="17"/>
        </w:rPr>
        <w:t>En la presente administración se han aprobado la Ley de Fortalecimiento de los Ingresos, Equidad Social y Racionalización del Gasto Público (Decreto 17-2010), la Ley de Seguridad</w:t>
      </w:r>
    </w:p>
    <w:p>
      <w:pPr>
        <w:spacing w:after="0" w:line="170" w:lineRule="exact"/>
        <w:jc w:val="left"/>
        <w:rPr>
          <w:sz w:val="17"/>
        </w:rPr>
        <w:sectPr>
          <w:footerReference w:type="default" r:id="rId99"/>
          <w:pgSz w:w="9360" w:h="13040"/>
          <w:pgMar w:footer="496" w:header="0" w:top="740" w:bottom="680" w:left="1300" w:right="1300"/>
          <w:pgNumType w:start="107"/>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jc w:val="both"/>
      </w:pPr>
      <w:r>
        <w:rPr>
          <w:color w:val="231F20"/>
        </w:rPr>
        <w:t>han</w:t>
      </w:r>
      <w:r>
        <w:rPr>
          <w:color w:val="231F20"/>
          <w:spacing w:val="-10"/>
        </w:rPr>
        <w:t> </w:t>
      </w:r>
      <w:r>
        <w:rPr>
          <w:color w:val="231F20"/>
        </w:rPr>
        <w:t>tenido</w:t>
      </w:r>
      <w:r>
        <w:rPr>
          <w:color w:val="231F20"/>
          <w:spacing w:val="-10"/>
        </w:rPr>
        <w:t> </w:t>
      </w:r>
      <w:r>
        <w:rPr>
          <w:color w:val="231F20"/>
        </w:rPr>
        <w:t>un</w:t>
      </w:r>
      <w:r>
        <w:rPr>
          <w:color w:val="231F20"/>
          <w:spacing w:val="-10"/>
        </w:rPr>
        <w:t> </w:t>
      </w:r>
      <w:r>
        <w:rPr>
          <w:color w:val="231F20"/>
        </w:rPr>
        <w:t>fuerte</w:t>
      </w:r>
      <w:r>
        <w:rPr>
          <w:color w:val="231F20"/>
          <w:spacing w:val="-10"/>
        </w:rPr>
        <w:t> </w:t>
      </w:r>
      <w:r>
        <w:rPr>
          <w:color w:val="231F20"/>
        </w:rPr>
        <w:t>impacto</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finanzas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contribuyentes,</w:t>
      </w:r>
      <w:r>
        <w:rPr>
          <w:color w:val="231F20"/>
          <w:spacing w:val="-10"/>
        </w:rPr>
        <w:t> </w:t>
      </w:r>
      <w:r>
        <w:rPr>
          <w:color w:val="231F20"/>
        </w:rPr>
        <w:t>pero</w:t>
      </w:r>
      <w:r>
        <w:rPr>
          <w:color w:val="231F20"/>
          <w:spacing w:val="-10"/>
        </w:rPr>
        <w:t> </w:t>
      </w:r>
      <w:r>
        <w:rPr>
          <w:color w:val="231F20"/>
        </w:rPr>
        <w:t>sin sacrificio en la reducción y moderación del gasto público. En los últimos meses se han caído las recaudaciones tributarias, lo que incluso ha</w:t>
      </w:r>
      <w:r>
        <w:rPr>
          <w:color w:val="231F20"/>
          <w:spacing w:val="-24"/>
        </w:rPr>
        <w:t> </w:t>
      </w:r>
      <w:r>
        <w:rPr>
          <w:color w:val="231F20"/>
        </w:rPr>
        <w:t>llevado a intervenir la Dirección Ejecutiva de Ingresos (DEI), situación que lleva a que el Estado se endeuda tanto interna como externamente, no reduce</w:t>
      </w:r>
      <w:r>
        <w:rPr>
          <w:color w:val="231F20"/>
          <w:spacing w:val="-20"/>
        </w:rPr>
        <w:t> </w:t>
      </w:r>
      <w:r>
        <w:rPr>
          <w:color w:val="231F20"/>
        </w:rPr>
        <w:t>su déficit</w:t>
      </w:r>
      <w:r>
        <w:rPr>
          <w:color w:val="231F20"/>
          <w:spacing w:val="-5"/>
        </w:rPr>
        <w:t> </w:t>
      </w:r>
      <w:r>
        <w:rPr>
          <w:color w:val="231F20"/>
        </w:rPr>
        <w:t>fiscal</w:t>
      </w:r>
      <w:r>
        <w:rPr>
          <w:color w:val="231F20"/>
          <w:spacing w:val="-5"/>
        </w:rPr>
        <w:t> </w:t>
      </w:r>
      <w:r>
        <w:rPr>
          <w:color w:val="231F20"/>
        </w:rPr>
        <w:t>continuando</w:t>
      </w:r>
      <w:r>
        <w:rPr>
          <w:color w:val="231F20"/>
          <w:spacing w:val="-5"/>
        </w:rPr>
        <w:t> </w:t>
      </w:r>
      <w:r>
        <w:rPr>
          <w:color w:val="231F20"/>
        </w:rPr>
        <w:t>con</w:t>
      </w:r>
      <w:r>
        <w:rPr>
          <w:color w:val="231F20"/>
          <w:spacing w:val="-5"/>
        </w:rPr>
        <w:t> </w:t>
      </w:r>
      <w:r>
        <w:rPr>
          <w:color w:val="231F20"/>
        </w:rPr>
        <w:t>su</w:t>
      </w:r>
      <w:r>
        <w:rPr>
          <w:color w:val="231F20"/>
          <w:spacing w:val="-5"/>
        </w:rPr>
        <w:t> </w:t>
      </w:r>
      <w:r>
        <w:rPr>
          <w:color w:val="231F20"/>
        </w:rPr>
        <w:t>elevado</w:t>
      </w:r>
      <w:r>
        <w:rPr>
          <w:color w:val="231F20"/>
          <w:spacing w:val="-5"/>
        </w:rPr>
        <w:t> </w:t>
      </w:r>
      <w:r>
        <w:rPr>
          <w:color w:val="231F20"/>
        </w:rPr>
        <w:t>gasto,</w:t>
      </w:r>
      <w:r>
        <w:rPr>
          <w:color w:val="231F20"/>
          <w:spacing w:val="-5"/>
        </w:rPr>
        <w:t> </w:t>
      </w:r>
      <w:r>
        <w:rPr>
          <w:color w:val="231F20"/>
        </w:rPr>
        <w:t>introduce</w:t>
      </w:r>
      <w:r>
        <w:rPr>
          <w:color w:val="231F20"/>
          <w:spacing w:val="-5"/>
        </w:rPr>
        <w:t> </w:t>
      </w:r>
      <w:r>
        <w:rPr>
          <w:color w:val="231F20"/>
        </w:rPr>
        <w:t>nuevas</w:t>
      </w:r>
      <w:r>
        <w:rPr>
          <w:color w:val="231F20"/>
          <w:spacing w:val="-5"/>
        </w:rPr>
        <w:t> </w:t>
      </w:r>
      <w:r>
        <w:rPr>
          <w:color w:val="231F20"/>
        </w:rPr>
        <w:t>reformas fiscales</w:t>
      </w:r>
      <w:r>
        <w:rPr>
          <w:color w:val="231F20"/>
          <w:spacing w:val="-4"/>
        </w:rPr>
        <w:t> </w:t>
      </w:r>
      <w:r>
        <w:rPr>
          <w:color w:val="231F20"/>
        </w:rPr>
        <w:t>y</w:t>
      </w:r>
      <w:r>
        <w:rPr>
          <w:color w:val="231F20"/>
          <w:spacing w:val="-4"/>
        </w:rPr>
        <w:t> </w:t>
      </w:r>
      <w:r>
        <w:rPr>
          <w:color w:val="231F20"/>
        </w:rPr>
        <w:t>deprime</w:t>
      </w:r>
      <w:r>
        <w:rPr>
          <w:color w:val="231F20"/>
          <w:spacing w:val="-4"/>
        </w:rPr>
        <w:t> </w:t>
      </w:r>
      <w:r>
        <w:rPr>
          <w:color w:val="231F20"/>
        </w:rPr>
        <w:t>la</w:t>
      </w:r>
      <w:r>
        <w:rPr>
          <w:color w:val="231F20"/>
          <w:spacing w:val="-4"/>
        </w:rPr>
        <w:t> </w:t>
      </w:r>
      <w:r>
        <w:rPr>
          <w:color w:val="231F20"/>
        </w:rPr>
        <w:t>actividad</w:t>
      </w:r>
      <w:r>
        <w:rPr>
          <w:color w:val="231F20"/>
          <w:spacing w:val="-4"/>
        </w:rPr>
        <w:t> </w:t>
      </w:r>
      <w:r>
        <w:rPr>
          <w:color w:val="231F20"/>
        </w:rPr>
        <w:t>económica,</w:t>
      </w:r>
      <w:r>
        <w:rPr>
          <w:color w:val="231F20"/>
          <w:spacing w:val="-4"/>
        </w:rPr>
        <w:t> </w:t>
      </w:r>
      <w:r>
        <w:rPr>
          <w:color w:val="231F20"/>
        </w:rPr>
        <w:t>que</w:t>
      </w:r>
      <w:r>
        <w:rPr>
          <w:color w:val="231F20"/>
          <w:spacing w:val="-4"/>
        </w:rPr>
        <w:t> </w:t>
      </w:r>
      <w:r>
        <w:rPr>
          <w:color w:val="231F20"/>
        </w:rPr>
        <w:t>causa</w:t>
      </w:r>
      <w:r>
        <w:rPr>
          <w:color w:val="231F20"/>
          <w:spacing w:val="-4"/>
        </w:rPr>
        <w:t> </w:t>
      </w:r>
      <w:r>
        <w:rPr>
          <w:color w:val="231F20"/>
        </w:rPr>
        <w:t>a</w:t>
      </w:r>
      <w:r>
        <w:rPr>
          <w:color w:val="231F20"/>
          <w:spacing w:val="-4"/>
        </w:rPr>
        <w:t> </w:t>
      </w:r>
      <w:r>
        <w:rPr>
          <w:color w:val="231F20"/>
        </w:rPr>
        <w:t>poca</w:t>
      </w:r>
      <w:r>
        <w:rPr>
          <w:color w:val="231F20"/>
          <w:spacing w:val="-4"/>
        </w:rPr>
        <w:t> </w:t>
      </w:r>
      <w:r>
        <w:rPr>
          <w:color w:val="231F20"/>
        </w:rPr>
        <w:t>generación</w:t>
      </w:r>
      <w:r>
        <w:rPr>
          <w:color w:val="231F20"/>
          <w:spacing w:val="-4"/>
        </w:rPr>
        <w:t> </w:t>
      </w:r>
      <w:r>
        <w:rPr>
          <w:color w:val="231F20"/>
        </w:rPr>
        <w:t>de empleo</w:t>
      </w:r>
      <w:r>
        <w:rPr>
          <w:color w:val="231F20"/>
          <w:spacing w:val="-5"/>
        </w:rPr>
        <w:t> </w:t>
      </w:r>
      <w:r>
        <w:rPr>
          <w:color w:val="231F20"/>
        </w:rPr>
        <w:t>y</w:t>
      </w:r>
      <w:r>
        <w:rPr>
          <w:color w:val="231F20"/>
          <w:spacing w:val="-4"/>
        </w:rPr>
        <w:t> </w:t>
      </w:r>
      <w:r>
        <w:rPr>
          <w:color w:val="231F20"/>
        </w:rPr>
        <w:t>hace</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jóvenes</w:t>
      </w:r>
      <w:r>
        <w:rPr>
          <w:color w:val="231F20"/>
          <w:spacing w:val="-4"/>
        </w:rPr>
        <w:t> </w:t>
      </w:r>
      <w:r>
        <w:rPr>
          <w:color w:val="231F20"/>
        </w:rPr>
        <w:t>no</w:t>
      </w:r>
      <w:r>
        <w:rPr>
          <w:color w:val="231F20"/>
          <w:spacing w:val="-4"/>
        </w:rPr>
        <w:t> </w:t>
      </w:r>
      <w:r>
        <w:rPr>
          <w:color w:val="231F20"/>
        </w:rPr>
        <w:t>puedan</w:t>
      </w:r>
      <w:r>
        <w:rPr>
          <w:color w:val="231F20"/>
          <w:spacing w:val="-4"/>
        </w:rPr>
        <w:t> </w:t>
      </w:r>
      <w:r>
        <w:rPr>
          <w:color w:val="231F20"/>
        </w:rPr>
        <w:t>insertarse</w:t>
      </w:r>
      <w:r>
        <w:rPr>
          <w:color w:val="231F20"/>
          <w:spacing w:val="-5"/>
        </w:rPr>
        <w:t> </w:t>
      </w:r>
      <w:r>
        <w:rPr>
          <w:color w:val="231F20"/>
        </w:rPr>
        <w:t>en</w:t>
      </w:r>
      <w:r>
        <w:rPr>
          <w:color w:val="231F20"/>
          <w:spacing w:val="-4"/>
        </w:rPr>
        <w:t> </w:t>
      </w:r>
      <w:r>
        <w:rPr>
          <w:color w:val="231F20"/>
        </w:rPr>
        <w:t>el</w:t>
      </w:r>
      <w:r>
        <w:rPr>
          <w:color w:val="231F20"/>
          <w:spacing w:val="-5"/>
        </w:rPr>
        <w:t> </w:t>
      </w:r>
      <w:r>
        <w:rPr>
          <w:color w:val="231F20"/>
        </w:rPr>
        <w:t>mercado</w:t>
      </w:r>
      <w:r>
        <w:rPr>
          <w:color w:val="231F20"/>
          <w:spacing w:val="-5"/>
        </w:rPr>
        <w:t> </w:t>
      </w:r>
      <w:r>
        <w:rPr>
          <w:color w:val="231F20"/>
        </w:rPr>
        <w:t>laboral, recurriendo a otras actividades o a</w:t>
      </w:r>
      <w:r>
        <w:rPr>
          <w:color w:val="231F20"/>
          <w:spacing w:val="-14"/>
        </w:rPr>
        <w:t> </w:t>
      </w:r>
      <w:r>
        <w:rPr>
          <w:color w:val="231F20"/>
        </w:rPr>
        <w:t>migrar.</w:t>
      </w:r>
    </w:p>
    <w:p>
      <w:pPr>
        <w:spacing w:before="149"/>
        <w:ind w:left="117" w:right="0" w:firstLine="0"/>
        <w:jc w:val="both"/>
        <w:rPr>
          <w:i/>
          <w:sz w:val="22"/>
        </w:rPr>
      </w:pPr>
      <w:r>
        <w:rPr>
          <w:i/>
          <w:color w:val="231F20"/>
          <w:sz w:val="22"/>
        </w:rPr>
        <w:t>Los desastres naturales recurrentes</w:t>
      </w:r>
    </w:p>
    <w:p>
      <w:pPr>
        <w:pStyle w:val="BodyText"/>
        <w:spacing w:line="247" w:lineRule="auto" w:before="177"/>
        <w:ind w:left="117" w:right="114"/>
        <w:jc w:val="both"/>
      </w:pPr>
      <w:r>
        <w:rPr>
          <w:color w:val="231F20"/>
        </w:rPr>
        <w:t>Honduras tiene un historial de más de doscientos años de ocurrencia de desastres naturales, más recientemente los huracanes Francelia, Fifí, Gil- berto y otras tormentas tropicales habían hecho mella en la nación. En el año de 1998 el Huracán Mitch se convirtió en el fenómeno hidrometereo- lógico más grave que haya afectado a la región centroamericana y en el territorio hondureño alcanzó niveles catastróficos. El Mitch prácticamente afectó todo el país, a 6.2 millones de hondureños, generando 1.5 millones de damnificados, 5 657 muertos, 12 275 heridos y 8 058 desaparecidos. Produjo daños en las viviendas, infraestructura de la salud y educación, carreteras, puentes, aeropuertos, puertos, comunicaciones, energía, acue- ductos, sistemas de riego, daños en el aparato productivo, principalmente en la agricultura, ganadería, pesca, silvicultura, industria y comercio, en  el medio ambiente con la destrucción de la foresta y fauna. Los daños se calcularon en 3 800 millones de dólares (70 por ciento del PIB 1998).</w:t>
      </w:r>
    </w:p>
    <w:p>
      <w:pPr>
        <w:pStyle w:val="BodyText"/>
        <w:spacing w:line="247" w:lineRule="auto"/>
        <w:ind w:left="117" w:right="116" w:firstLine="283"/>
        <w:jc w:val="both"/>
      </w:pPr>
      <w:r>
        <w:rPr>
          <w:color w:val="231F20"/>
        </w:rPr>
        <w:t>En el censo de población de Honduras de 2001 se estimó que en 3.34 por</w:t>
      </w:r>
      <w:r>
        <w:rPr>
          <w:color w:val="231F20"/>
          <w:spacing w:val="-5"/>
        </w:rPr>
        <w:t> </w:t>
      </w:r>
      <w:r>
        <w:rPr>
          <w:color w:val="231F20"/>
        </w:rPr>
        <w:t>ciento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hogares</w:t>
      </w:r>
      <w:r>
        <w:rPr>
          <w:color w:val="231F20"/>
          <w:spacing w:val="-5"/>
        </w:rPr>
        <w:t> </w:t>
      </w:r>
      <w:r>
        <w:rPr>
          <w:color w:val="231F20"/>
        </w:rPr>
        <w:t>hondureños,</w:t>
      </w:r>
      <w:r>
        <w:rPr>
          <w:color w:val="231F20"/>
          <w:spacing w:val="-5"/>
        </w:rPr>
        <w:t> </w:t>
      </w:r>
      <w:r>
        <w:rPr>
          <w:color w:val="231F20"/>
        </w:rPr>
        <w:t>alguna</w:t>
      </w:r>
      <w:r>
        <w:rPr>
          <w:color w:val="231F20"/>
          <w:spacing w:val="-6"/>
        </w:rPr>
        <w:t> </w:t>
      </w:r>
      <w:r>
        <w:rPr>
          <w:color w:val="231F20"/>
        </w:rPr>
        <w:t>persona</w:t>
      </w:r>
      <w:r>
        <w:rPr>
          <w:color w:val="231F20"/>
          <w:spacing w:val="-5"/>
        </w:rPr>
        <w:t> </w:t>
      </w:r>
      <w:r>
        <w:rPr>
          <w:color w:val="231F20"/>
        </w:rPr>
        <w:t>había</w:t>
      </w:r>
      <w:r>
        <w:rPr>
          <w:color w:val="231F20"/>
          <w:spacing w:val="-5"/>
        </w:rPr>
        <w:t> </w:t>
      </w:r>
      <w:r>
        <w:rPr>
          <w:color w:val="231F20"/>
        </w:rPr>
        <w:t>salido</w:t>
      </w:r>
      <w:r>
        <w:rPr>
          <w:color w:val="231F20"/>
          <w:spacing w:val="-5"/>
        </w:rPr>
        <w:t> </w:t>
      </w:r>
      <w:r>
        <w:rPr>
          <w:color w:val="231F20"/>
        </w:rPr>
        <w:t>del</w:t>
      </w:r>
      <w:r>
        <w:rPr>
          <w:color w:val="231F20"/>
          <w:spacing w:val="-5"/>
        </w:rPr>
        <w:t> </w:t>
      </w:r>
      <w:r>
        <w:rPr>
          <w:color w:val="231F20"/>
        </w:rPr>
        <w:t>país en los tres años anteriores, teniendo como referencia temporal el huracán Mitch, un fenómeno natural que quedó en la memoria colectiva de la po- blación. Los resultados mostraron que los departamentos de </w:t>
      </w:r>
      <w:r>
        <w:rPr>
          <w:color w:val="231F20"/>
          <w:spacing w:val="-5"/>
        </w:rPr>
        <w:t>Valle, Yoro, </w:t>
      </w:r>
      <w:r>
        <w:rPr>
          <w:color w:val="231F20"/>
        </w:rPr>
        <w:t>Colón, Olancho y Atlántida tenían altas proporciones de hogares con emi- grantes,</w:t>
      </w:r>
      <w:r>
        <w:rPr>
          <w:color w:val="231F20"/>
          <w:spacing w:val="-5"/>
        </w:rPr>
        <w:t> </w:t>
      </w:r>
      <w:r>
        <w:rPr>
          <w:color w:val="231F20"/>
        </w:rPr>
        <w:t>que</w:t>
      </w:r>
      <w:r>
        <w:rPr>
          <w:color w:val="231F20"/>
          <w:spacing w:val="-5"/>
        </w:rPr>
        <w:t> </w:t>
      </w:r>
      <w:r>
        <w:rPr>
          <w:color w:val="231F20"/>
        </w:rPr>
        <w:t>alcanzaban</w:t>
      </w:r>
      <w:r>
        <w:rPr>
          <w:color w:val="231F20"/>
          <w:spacing w:val="-6"/>
        </w:rPr>
        <w:t> </w:t>
      </w:r>
      <w:r>
        <w:rPr>
          <w:color w:val="231F20"/>
        </w:rPr>
        <w:t>6.28</w:t>
      </w:r>
      <w:r>
        <w:rPr>
          <w:color w:val="231F20"/>
          <w:spacing w:val="-5"/>
        </w:rPr>
        <w:t> </w:t>
      </w:r>
      <w:r>
        <w:rPr>
          <w:color w:val="231F20"/>
        </w:rPr>
        <w:t>por</w:t>
      </w:r>
      <w:r>
        <w:rPr>
          <w:color w:val="231F20"/>
          <w:spacing w:val="-5"/>
        </w:rPr>
        <w:t> </w:t>
      </w:r>
      <w:r>
        <w:rPr>
          <w:color w:val="231F20"/>
        </w:rPr>
        <w:t>ciento.</w:t>
      </w:r>
      <w:r>
        <w:rPr>
          <w:color w:val="231F20"/>
          <w:spacing w:val="-6"/>
        </w:rPr>
        <w:t> </w:t>
      </w:r>
      <w:r>
        <w:rPr>
          <w:color w:val="231F20"/>
        </w:rPr>
        <w:t>El</w:t>
      </w:r>
      <w:r>
        <w:rPr>
          <w:color w:val="231F20"/>
          <w:spacing w:val="-5"/>
        </w:rPr>
        <w:t> </w:t>
      </w:r>
      <w:r>
        <w:rPr>
          <w:color w:val="231F20"/>
        </w:rPr>
        <w:t>fenómeno</w:t>
      </w:r>
      <w:r>
        <w:rPr>
          <w:color w:val="231F20"/>
          <w:spacing w:val="-5"/>
        </w:rPr>
        <w:t> </w:t>
      </w:r>
      <w:r>
        <w:rPr>
          <w:color w:val="231F20"/>
        </w:rPr>
        <w:t>migratorio</w:t>
      </w:r>
      <w:r>
        <w:rPr>
          <w:color w:val="231F20"/>
          <w:spacing w:val="-6"/>
        </w:rPr>
        <w:t> </w:t>
      </w:r>
      <w:r>
        <w:rPr>
          <w:color w:val="231F20"/>
        </w:rPr>
        <w:t>ya</w:t>
      </w:r>
      <w:r>
        <w:rPr>
          <w:color w:val="231F20"/>
          <w:spacing w:val="-5"/>
        </w:rPr>
        <w:t> </w:t>
      </w:r>
      <w:r>
        <w:rPr>
          <w:color w:val="231F20"/>
        </w:rPr>
        <w:t>estaba presente en ese año y en algunos municipios, el porcentaje de hogares con emigrantes era de entre 10 y 22 por ciento. La zona fronteriza con El</w:t>
      </w:r>
      <w:r>
        <w:rPr>
          <w:color w:val="231F20"/>
          <w:spacing w:val="52"/>
        </w:rPr>
        <w:t> </w:t>
      </w:r>
      <w:r>
        <w:rPr>
          <w:color w:val="231F20"/>
        </w:rPr>
        <w:t>Sal-</w:t>
      </w:r>
    </w:p>
    <w:p>
      <w:pPr>
        <w:pStyle w:val="BodyText"/>
        <w:spacing w:before="3"/>
        <w:rPr>
          <w:sz w:val="10"/>
        </w:rPr>
      </w:pPr>
      <w:r>
        <w:rPr/>
        <w:pict>
          <v:line style="position:absolute;mso-position-horizontal-relative:page;mso-position-vertical-relative:paragraph;z-index:2944;mso-wrap-distance-left:0;mso-wrap-distance-right:0" from="70.866096pt,8.356555pt" to="358.866096pt,8.356555pt" stroked="true" strokeweight="1pt" strokecolor="#231f20">
            <w10:wrap type="topAndBottom"/>
          </v:line>
        </w:pict>
      </w:r>
    </w:p>
    <w:p>
      <w:pPr>
        <w:spacing w:line="208" w:lineRule="auto" w:before="0"/>
        <w:ind w:left="117" w:right="114" w:firstLine="0"/>
        <w:jc w:val="both"/>
        <w:rPr>
          <w:sz w:val="17"/>
        </w:rPr>
      </w:pPr>
      <w:r>
        <w:rPr>
          <w:sz w:val="17"/>
        </w:rPr>
        <w:t>Poblacional</w:t>
      </w:r>
      <w:r>
        <w:rPr>
          <w:spacing w:val="-4"/>
          <w:sz w:val="17"/>
        </w:rPr>
        <w:t> </w:t>
      </w:r>
      <w:r>
        <w:rPr>
          <w:sz w:val="17"/>
        </w:rPr>
        <w:t>(Decreto</w:t>
      </w:r>
      <w:r>
        <w:rPr>
          <w:spacing w:val="-4"/>
          <w:sz w:val="17"/>
        </w:rPr>
        <w:t> </w:t>
      </w:r>
      <w:r>
        <w:rPr>
          <w:sz w:val="17"/>
        </w:rPr>
        <w:t>105-2011),</w:t>
      </w:r>
      <w:r>
        <w:rPr>
          <w:spacing w:val="-4"/>
          <w:sz w:val="17"/>
        </w:rPr>
        <w:t> </w:t>
      </w:r>
      <w:r>
        <w:rPr>
          <w:sz w:val="17"/>
        </w:rPr>
        <w:t>la</w:t>
      </w:r>
      <w:r>
        <w:rPr>
          <w:spacing w:val="-4"/>
          <w:sz w:val="17"/>
        </w:rPr>
        <w:t> </w:t>
      </w:r>
      <w:r>
        <w:rPr>
          <w:sz w:val="17"/>
        </w:rPr>
        <w:t>Ley</w:t>
      </w:r>
      <w:r>
        <w:rPr>
          <w:spacing w:val="-4"/>
          <w:sz w:val="17"/>
        </w:rPr>
        <w:t> </w:t>
      </w:r>
      <w:r>
        <w:rPr>
          <w:sz w:val="17"/>
        </w:rPr>
        <w:t>de</w:t>
      </w:r>
      <w:r>
        <w:rPr>
          <w:spacing w:val="-4"/>
          <w:sz w:val="17"/>
        </w:rPr>
        <w:t> </w:t>
      </w:r>
      <w:r>
        <w:rPr>
          <w:sz w:val="17"/>
        </w:rPr>
        <w:t>Eficiencia</w:t>
      </w:r>
      <w:r>
        <w:rPr>
          <w:spacing w:val="-4"/>
          <w:sz w:val="17"/>
        </w:rPr>
        <w:t> </w:t>
      </w:r>
      <w:r>
        <w:rPr>
          <w:sz w:val="17"/>
        </w:rPr>
        <w:t>en</w:t>
      </w:r>
      <w:r>
        <w:rPr>
          <w:spacing w:val="-4"/>
          <w:sz w:val="17"/>
        </w:rPr>
        <w:t> </w:t>
      </w:r>
      <w:r>
        <w:rPr>
          <w:sz w:val="17"/>
        </w:rPr>
        <w:t>los</w:t>
      </w:r>
      <w:r>
        <w:rPr>
          <w:spacing w:val="-4"/>
          <w:sz w:val="17"/>
        </w:rPr>
        <w:t> </w:t>
      </w:r>
      <w:r>
        <w:rPr>
          <w:sz w:val="17"/>
        </w:rPr>
        <w:t>Ingresos</w:t>
      </w:r>
      <w:r>
        <w:rPr>
          <w:spacing w:val="-4"/>
          <w:sz w:val="17"/>
        </w:rPr>
        <w:t> </w:t>
      </w:r>
      <w:r>
        <w:rPr>
          <w:sz w:val="17"/>
        </w:rPr>
        <w:t>y</w:t>
      </w:r>
      <w:r>
        <w:rPr>
          <w:spacing w:val="-4"/>
          <w:sz w:val="17"/>
        </w:rPr>
        <w:t> </w:t>
      </w:r>
      <w:r>
        <w:rPr>
          <w:sz w:val="17"/>
        </w:rPr>
        <w:t>el</w:t>
      </w:r>
      <w:r>
        <w:rPr>
          <w:spacing w:val="-4"/>
          <w:sz w:val="17"/>
        </w:rPr>
        <w:t> </w:t>
      </w:r>
      <w:r>
        <w:rPr>
          <w:sz w:val="17"/>
        </w:rPr>
        <w:t>Gasto</w:t>
      </w:r>
      <w:r>
        <w:rPr>
          <w:spacing w:val="-4"/>
          <w:sz w:val="17"/>
        </w:rPr>
        <w:t> </w:t>
      </w:r>
      <w:r>
        <w:rPr>
          <w:sz w:val="17"/>
        </w:rPr>
        <w:t>Público</w:t>
      </w:r>
      <w:r>
        <w:rPr>
          <w:spacing w:val="-4"/>
          <w:sz w:val="17"/>
        </w:rPr>
        <w:t> </w:t>
      </w:r>
      <w:r>
        <w:rPr>
          <w:sz w:val="17"/>
        </w:rPr>
        <w:t>(Decre- to 113-2011), la Ley de Regulación de Precios de Transferencia (Decreto 232-2011), Amnistía Tributaria (Decreto 260-2011) y la Ley de Medida Anti Evasión en el Impuesto sobre la Renta (Decreto 96-2012). Además, el gobierno de Porfirio Lobo Sosa ha anunciado la reforma del Ar- tículo</w:t>
      </w:r>
      <w:r>
        <w:rPr>
          <w:spacing w:val="-5"/>
          <w:sz w:val="17"/>
        </w:rPr>
        <w:t> </w:t>
      </w:r>
      <w:r>
        <w:rPr>
          <w:sz w:val="17"/>
        </w:rPr>
        <w:t>5</w:t>
      </w:r>
      <w:r>
        <w:rPr>
          <w:spacing w:val="-5"/>
          <w:sz w:val="17"/>
        </w:rPr>
        <w:t> </w:t>
      </w:r>
      <w:r>
        <w:rPr>
          <w:sz w:val="17"/>
        </w:rPr>
        <w:t>de</w:t>
      </w:r>
      <w:r>
        <w:rPr>
          <w:spacing w:val="-5"/>
          <w:sz w:val="17"/>
        </w:rPr>
        <w:t> </w:t>
      </w:r>
      <w:r>
        <w:rPr>
          <w:sz w:val="17"/>
        </w:rPr>
        <w:t>la</w:t>
      </w:r>
      <w:r>
        <w:rPr>
          <w:spacing w:val="-5"/>
          <w:sz w:val="17"/>
        </w:rPr>
        <w:t> </w:t>
      </w:r>
      <w:r>
        <w:rPr>
          <w:sz w:val="17"/>
        </w:rPr>
        <w:t>Ley</w:t>
      </w:r>
      <w:r>
        <w:rPr>
          <w:spacing w:val="-5"/>
          <w:sz w:val="17"/>
        </w:rPr>
        <w:t> </w:t>
      </w:r>
      <w:r>
        <w:rPr>
          <w:sz w:val="17"/>
        </w:rPr>
        <w:t>del</w:t>
      </w:r>
      <w:r>
        <w:rPr>
          <w:spacing w:val="-5"/>
          <w:sz w:val="17"/>
        </w:rPr>
        <w:t> </w:t>
      </w:r>
      <w:r>
        <w:rPr>
          <w:sz w:val="17"/>
        </w:rPr>
        <w:t>Impuesto</w:t>
      </w:r>
      <w:r>
        <w:rPr>
          <w:spacing w:val="-5"/>
          <w:sz w:val="17"/>
        </w:rPr>
        <w:t> </w:t>
      </w:r>
      <w:r>
        <w:rPr>
          <w:sz w:val="17"/>
        </w:rPr>
        <w:t>Sobre</w:t>
      </w:r>
      <w:r>
        <w:rPr>
          <w:spacing w:val="-5"/>
          <w:sz w:val="17"/>
        </w:rPr>
        <w:t> </w:t>
      </w:r>
      <w:r>
        <w:rPr>
          <w:sz w:val="17"/>
        </w:rPr>
        <w:t>la</w:t>
      </w:r>
      <w:r>
        <w:rPr>
          <w:spacing w:val="-5"/>
          <w:sz w:val="17"/>
        </w:rPr>
        <w:t> </w:t>
      </w:r>
      <w:r>
        <w:rPr>
          <w:sz w:val="17"/>
        </w:rPr>
        <w:t>Renta</w:t>
      </w:r>
      <w:r>
        <w:rPr>
          <w:spacing w:val="-5"/>
          <w:sz w:val="17"/>
        </w:rPr>
        <w:t> </w:t>
      </w:r>
      <w:r>
        <w:rPr>
          <w:sz w:val="17"/>
        </w:rPr>
        <w:t>y</w:t>
      </w:r>
      <w:r>
        <w:rPr>
          <w:spacing w:val="-5"/>
          <w:sz w:val="17"/>
        </w:rPr>
        <w:t> </w:t>
      </w:r>
      <w:r>
        <w:rPr>
          <w:sz w:val="17"/>
        </w:rPr>
        <w:t>la</w:t>
      </w:r>
      <w:r>
        <w:rPr>
          <w:spacing w:val="-5"/>
          <w:sz w:val="17"/>
        </w:rPr>
        <w:t> </w:t>
      </w:r>
      <w:r>
        <w:rPr>
          <w:sz w:val="17"/>
        </w:rPr>
        <w:t>Ley</w:t>
      </w:r>
      <w:r>
        <w:rPr>
          <w:spacing w:val="-5"/>
          <w:sz w:val="17"/>
        </w:rPr>
        <w:t> </w:t>
      </w:r>
      <w:r>
        <w:rPr>
          <w:sz w:val="17"/>
        </w:rPr>
        <w:t>de</w:t>
      </w:r>
      <w:r>
        <w:rPr>
          <w:spacing w:val="-5"/>
          <w:sz w:val="17"/>
        </w:rPr>
        <w:t> </w:t>
      </w:r>
      <w:r>
        <w:rPr>
          <w:sz w:val="17"/>
        </w:rPr>
        <w:t>Racionalización</w:t>
      </w:r>
      <w:r>
        <w:rPr>
          <w:spacing w:val="-5"/>
          <w:sz w:val="17"/>
        </w:rPr>
        <w:t> </w:t>
      </w:r>
      <w:r>
        <w:rPr>
          <w:sz w:val="17"/>
        </w:rPr>
        <w:t>de</w:t>
      </w:r>
      <w:r>
        <w:rPr>
          <w:spacing w:val="-5"/>
          <w:sz w:val="17"/>
        </w:rPr>
        <w:t> </w:t>
      </w:r>
      <w:r>
        <w:rPr>
          <w:sz w:val="17"/>
        </w:rPr>
        <w:t>las</w:t>
      </w:r>
      <w:r>
        <w:rPr>
          <w:spacing w:val="-5"/>
          <w:sz w:val="17"/>
        </w:rPr>
        <w:t> </w:t>
      </w:r>
      <w:r>
        <w:rPr>
          <w:sz w:val="17"/>
        </w:rPr>
        <w:t>Exoneraciones Fiscales, reformas que cuentan con el visto bueno del Fondo Monetario Internacional y que son parte de los compromisos adquiridos para la firma de un nuevo programa</w:t>
      </w:r>
      <w:r>
        <w:rPr>
          <w:spacing w:val="-9"/>
          <w:sz w:val="17"/>
        </w:rPr>
        <w:t> </w:t>
      </w:r>
      <w:r>
        <w:rPr>
          <w:sz w:val="17"/>
        </w:rPr>
        <w:t>económico.</w:t>
      </w:r>
    </w:p>
    <w:p>
      <w:pPr>
        <w:spacing w:after="0" w:line="208" w:lineRule="auto"/>
        <w:jc w:val="both"/>
        <w:rPr>
          <w:sz w:val="17"/>
        </w:rPr>
        <w:sectPr>
          <w:pgSz w:w="9360" w:h="13040"/>
          <w:pgMar w:header="0" w:footer="496" w:top="800" w:bottom="680" w:left="1300" w:right="1300"/>
        </w:sectPr>
      </w:pPr>
    </w:p>
    <w:p>
      <w:pPr>
        <w:spacing w:before="45"/>
        <w:ind w:left="117" w:right="117" w:firstLine="626"/>
        <w:jc w:val="left"/>
        <w:rPr>
          <w:rFonts w:ascii="Arial" w:hAnsi="Arial"/>
          <w:sz w:val="20"/>
        </w:rPr>
      </w:pPr>
      <w:r>
        <w:rPr>
          <w:rFonts w:ascii="Arial" w:hAnsi="Arial"/>
          <w:color w:val="231F20"/>
          <w:w w:val="65"/>
          <w:sz w:val="20"/>
        </w:rPr>
        <w:t>Factores contextuales de la migración internacional de    Honduras /Manuel Antonio Flores-Fonseca</w:t>
      </w:r>
    </w:p>
    <w:p>
      <w:pPr>
        <w:pStyle w:val="BodyText"/>
        <w:spacing w:before="7"/>
        <w:rPr>
          <w:rFonts w:ascii="Arial"/>
          <w:sz w:val="28"/>
        </w:rPr>
      </w:pPr>
    </w:p>
    <w:p>
      <w:pPr>
        <w:pStyle w:val="BodyText"/>
        <w:spacing w:line="247" w:lineRule="auto"/>
        <w:ind w:left="117" w:right="115"/>
        <w:jc w:val="both"/>
      </w:pPr>
      <w:r>
        <w:rPr>
          <w:color w:val="231F20"/>
        </w:rPr>
        <w:t>vador era la más elegida, en particular, en los municipios de Magdalena, San Antonio, La Virtud, Alianza, Aramecina y otros municipios de Fran- cisco Morazán como El Porvenir, </w:t>
      </w:r>
      <w:r>
        <w:rPr>
          <w:color w:val="231F20"/>
          <w:spacing w:val="-3"/>
        </w:rPr>
        <w:t>Vallecillo. </w:t>
      </w:r>
      <w:r>
        <w:rPr>
          <w:color w:val="231F20"/>
        </w:rPr>
        <w:t>En los municipios de Santa María del Real, Silca y San Francisco de Becerra, en el departamento de Olancho, donde el huracán de 1998 no tuvo efectos devastadores que in- fluyeran directamente en la emigración, ya existía una red de información emigratoria muy fluida que seguramente fue aprovechada por la</w:t>
      </w:r>
      <w:r>
        <w:rPr>
          <w:color w:val="231F20"/>
          <w:spacing w:val="-38"/>
        </w:rPr>
        <w:t> </w:t>
      </w:r>
      <w:r>
        <w:rPr>
          <w:color w:val="231F20"/>
        </w:rPr>
        <w:t>población (Flores, 2010).</w:t>
      </w:r>
    </w:p>
    <w:p>
      <w:pPr>
        <w:pStyle w:val="BodyText"/>
        <w:spacing w:line="247" w:lineRule="auto"/>
        <w:ind w:left="117" w:right="114" w:firstLine="283"/>
        <w:jc w:val="both"/>
      </w:pPr>
      <w:r>
        <w:rPr>
          <w:color w:val="231F20"/>
        </w:rPr>
        <w:t>Prácticamente</w:t>
      </w:r>
      <w:r>
        <w:rPr>
          <w:color w:val="231F20"/>
          <w:spacing w:val="-8"/>
        </w:rPr>
        <w:t> </w:t>
      </w:r>
      <w:r>
        <w:rPr>
          <w:color w:val="231F20"/>
        </w:rPr>
        <w:t>el</w:t>
      </w:r>
      <w:r>
        <w:rPr>
          <w:color w:val="231F20"/>
          <w:spacing w:val="-9"/>
        </w:rPr>
        <w:t> </w:t>
      </w:r>
      <w:r>
        <w:rPr>
          <w:color w:val="231F20"/>
        </w:rPr>
        <w:t>desastre</w:t>
      </w:r>
      <w:r>
        <w:rPr>
          <w:color w:val="231F20"/>
          <w:spacing w:val="-9"/>
        </w:rPr>
        <w:t> </w:t>
      </w:r>
      <w:r>
        <w:rPr>
          <w:color w:val="231F20"/>
        </w:rPr>
        <w:t>cambió</w:t>
      </w:r>
      <w:r>
        <w:rPr>
          <w:color w:val="231F20"/>
          <w:spacing w:val="-9"/>
        </w:rPr>
        <w:t> </w:t>
      </w:r>
      <w:r>
        <w:rPr>
          <w:color w:val="231F20"/>
        </w:rPr>
        <w:t>a</w:t>
      </w:r>
      <w:r>
        <w:rPr>
          <w:color w:val="231F20"/>
          <w:spacing w:val="-9"/>
        </w:rPr>
        <w:t> </w:t>
      </w:r>
      <w:r>
        <w:rPr>
          <w:color w:val="231F20"/>
        </w:rPr>
        <w:t>Honduras,</w:t>
      </w:r>
      <w:r>
        <w:rPr>
          <w:color w:val="231F20"/>
          <w:spacing w:val="-8"/>
        </w:rPr>
        <w:t> </w:t>
      </w:r>
      <w:r>
        <w:rPr>
          <w:color w:val="231F20"/>
        </w:rPr>
        <w:t>no</w:t>
      </w:r>
      <w:r>
        <w:rPr>
          <w:color w:val="231F20"/>
          <w:spacing w:val="-9"/>
        </w:rPr>
        <w:t> </w:t>
      </w:r>
      <w:r>
        <w:rPr>
          <w:color w:val="231F20"/>
        </w:rPr>
        <w:t>sólo</w:t>
      </w:r>
      <w:r>
        <w:rPr>
          <w:color w:val="231F20"/>
          <w:spacing w:val="-9"/>
        </w:rPr>
        <w:t> </w:t>
      </w:r>
      <w:r>
        <w:rPr>
          <w:color w:val="231F20"/>
        </w:rPr>
        <w:t>físicamente,</w:t>
      </w:r>
      <w:r>
        <w:rPr>
          <w:color w:val="231F20"/>
          <w:spacing w:val="-9"/>
        </w:rPr>
        <w:t> </w:t>
      </w:r>
      <w:r>
        <w:rPr>
          <w:color w:val="231F20"/>
        </w:rPr>
        <w:t>sino que</w:t>
      </w:r>
      <w:r>
        <w:rPr>
          <w:color w:val="231F20"/>
          <w:spacing w:val="-10"/>
        </w:rPr>
        <w:t> </w:t>
      </w:r>
      <w:r>
        <w:rPr>
          <w:color w:val="231F20"/>
        </w:rPr>
        <w:t>sus</w:t>
      </w:r>
      <w:r>
        <w:rPr>
          <w:color w:val="231F20"/>
          <w:spacing w:val="-10"/>
        </w:rPr>
        <w:t> </w:t>
      </w:r>
      <w:r>
        <w:rPr>
          <w:color w:val="231F20"/>
        </w:rPr>
        <w:t>efectos</w:t>
      </w:r>
      <w:r>
        <w:rPr>
          <w:color w:val="231F20"/>
          <w:spacing w:val="-10"/>
        </w:rPr>
        <w:t> </w:t>
      </w:r>
      <w:r>
        <w:rPr>
          <w:color w:val="231F20"/>
        </w:rPr>
        <w:t>económicos</w:t>
      </w:r>
      <w:r>
        <w:rPr>
          <w:color w:val="231F20"/>
          <w:spacing w:val="-10"/>
        </w:rPr>
        <w:t> </w:t>
      </w:r>
      <w:r>
        <w:rPr>
          <w:color w:val="231F20"/>
        </w:rPr>
        <w:t>y</w:t>
      </w:r>
      <w:r>
        <w:rPr>
          <w:color w:val="231F20"/>
          <w:spacing w:val="-10"/>
        </w:rPr>
        <w:t> </w:t>
      </w:r>
      <w:r>
        <w:rPr>
          <w:color w:val="231F20"/>
        </w:rPr>
        <w:t>sociales</w:t>
      </w:r>
      <w:r>
        <w:rPr>
          <w:color w:val="231F20"/>
          <w:spacing w:val="-10"/>
        </w:rPr>
        <w:t> </w:t>
      </w:r>
      <w:r>
        <w:rPr>
          <w:color w:val="231F20"/>
        </w:rPr>
        <w:t>(entre</w:t>
      </w:r>
      <w:r>
        <w:rPr>
          <w:color w:val="231F20"/>
          <w:spacing w:val="-10"/>
        </w:rPr>
        <w:t> </w:t>
      </w:r>
      <w:r>
        <w:rPr>
          <w:color w:val="231F20"/>
        </w:rPr>
        <w:t>ellos</w:t>
      </w:r>
      <w:r>
        <w:rPr>
          <w:color w:val="231F20"/>
          <w:spacing w:val="-10"/>
        </w:rPr>
        <w:t> </w:t>
      </w:r>
      <w:r>
        <w:rPr>
          <w:color w:val="231F20"/>
        </w:rPr>
        <w:t>los</w:t>
      </w:r>
      <w:r>
        <w:rPr>
          <w:color w:val="231F20"/>
          <w:spacing w:val="-10"/>
        </w:rPr>
        <w:t> </w:t>
      </w:r>
      <w:r>
        <w:rPr>
          <w:color w:val="231F20"/>
        </w:rPr>
        <w:t>demográficos)</w:t>
      </w:r>
      <w:r>
        <w:rPr>
          <w:color w:val="231F20"/>
          <w:spacing w:val="-10"/>
        </w:rPr>
        <w:t> </w:t>
      </w:r>
      <w:r>
        <w:rPr>
          <w:color w:val="231F20"/>
        </w:rPr>
        <w:t>se</w:t>
      </w:r>
      <w:r>
        <w:rPr>
          <w:color w:val="231F20"/>
          <w:spacing w:val="-10"/>
        </w:rPr>
        <w:t> </w:t>
      </w:r>
      <w:r>
        <w:rPr>
          <w:color w:val="231F20"/>
        </w:rPr>
        <w:t>ini- ciaron</w:t>
      </w:r>
      <w:r>
        <w:rPr>
          <w:color w:val="231F20"/>
          <w:spacing w:val="-10"/>
        </w:rPr>
        <w:t> </w:t>
      </w:r>
      <w:r>
        <w:rPr>
          <w:color w:val="231F20"/>
        </w:rPr>
        <w:t>desde</w:t>
      </w:r>
      <w:r>
        <w:rPr>
          <w:color w:val="231F20"/>
          <w:spacing w:val="-10"/>
        </w:rPr>
        <w:t> </w:t>
      </w:r>
      <w:r>
        <w:rPr>
          <w:color w:val="231F20"/>
        </w:rPr>
        <w:t>la</w:t>
      </w:r>
      <w:r>
        <w:rPr>
          <w:color w:val="231F20"/>
          <w:spacing w:val="-9"/>
        </w:rPr>
        <w:t> </w:t>
      </w:r>
      <w:r>
        <w:rPr>
          <w:color w:val="231F20"/>
        </w:rPr>
        <w:t>ocurrencia</w:t>
      </w:r>
      <w:r>
        <w:rPr>
          <w:color w:val="231F20"/>
          <w:spacing w:val="-9"/>
        </w:rPr>
        <w:t> </w:t>
      </w:r>
      <w:r>
        <w:rPr>
          <w:color w:val="231F20"/>
        </w:rPr>
        <w:t>del</w:t>
      </w:r>
      <w:r>
        <w:rPr>
          <w:color w:val="231F20"/>
          <w:spacing w:val="-10"/>
        </w:rPr>
        <w:t> </w:t>
      </w:r>
      <w:r>
        <w:rPr>
          <w:color w:val="231F20"/>
        </w:rPr>
        <w:t>fenómeno</w:t>
      </w:r>
      <w:r>
        <w:rPr>
          <w:color w:val="231F20"/>
          <w:spacing w:val="-9"/>
        </w:rPr>
        <w:t> </w:t>
      </w:r>
      <w:r>
        <w:rPr>
          <w:color w:val="231F20"/>
        </w:rPr>
        <w:t>y</w:t>
      </w:r>
      <w:r>
        <w:rPr>
          <w:color w:val="231F20"/>
          <w:spacing w:val="-9"/>
        </w:rPr>
        <w:t> </w:t>
      </w:r>
      <w:r>
        <w:rPr>
          <w:color w:val="231F20"/>
        </w:rPr>
        <w:t>han</w:t>
      </w:r>
      <w:r>
        <w:rPr>
          <w:color w:val="231F20"/>
          <w:spacing w:val="-10"/>
        </w:rPr>
        <w:t> </w:t>
      </w:r>
      <w:r>
        <w:rPr>
          <w:color w:val="231F20"/>
        </w:rPr>
        <w:t>seguido</w:t>
      </w:r>
      <w:r>
        <w:rPr>
          <w:color w:val="231F20"/>
          <w:spacing w:val="-9"/>
        </w:rPr>
        <w:t> </w:t>
      </w:r>
      <w:r>
        <w:rPr>
          <w:color w:val="231F20"/>
        </w:rPr>
        <w:t>a</w:t>
      </w:r>
      <w:r>
        <w:rPr>
          <w:color w:val="231F20"/>
          <w:spacing w:val="-10"/>
        </w:rPr>
        <w:t> </w:t>
      </w:r>
      <w:r>
        <w:rPr>
          <w:color w:val="231F20"/>
        </w:rPr>
        <w:t>través</w:t>
      </w:r>
      <w:r>
        <w:rPr>
          <w:color w:val="231F20"/>
          <w:spacing w:val="-10"/>
        </w:rPr>
        <w:t> </w:t>
      </w:r>
      <w:r>
        <w:rPr>
          <w:color w:val="231F20"/>
        </w:rPr>
        <w:t>del</w:t>
      </w:r>
      <w:r>
        <w:rPr>
          <w:color w:val="231F20"/>
          <w:spacing w:val="-10"/>
        </w:rPr>
        <w:t> </w:t>
      </w:r>
      <w:r>
        <w:rPr>
          <w:color w:val="231F20"/>
        </w:rPr>
        <w:t>tiempo. Uno de ellos fue la visibilización y aceleramiento de la migración interna- cional,</w:t>
      </w:r>
      <w:r>
        <w:rPr>
          <w:color w:val="231F20"/>
          <w:spacing w:val="-11"/>
        </w:rPr>
        <w:t> </w:t>
      </w:r>
      <w:r>
        <w:rPr>
          <w:color w:val="231F20"/>
        </w:rPr>
        <w:t>específicamente</w:t>
      </w:r>
      <w:r>
        <w:rPr>
          <w:color w:val="231F20"/>
          <w:spacing w:val="-11"/>
        </w:rPr>
        <w:t> </w:t>
      </w:r>
      <w:r>
        <w:rPr>
          <w:color w:val="231F20"/>
        </w:rPr>
        <w:t>la</w:t>
      </w:r>
      <w:r>
        <w:rPr>
          <w:color w:val="231F20"/>
          <w:spacing w:val="-11"/>
        </w:rPr>
        <w:t> </w:t>
      </w:r>
      <w:r>
        <w:rPr>
          <w:color w:val="231F20"/>
        </w:rPr>
        <w:t>migración</w:t>
      </w:r>
      <w:r>
        <w:rPr>
          <w:color w:val="231F20"/>
          <w:spacing w:val="-11"/>
        </w:rPr>
        <w:t> </w:t>
      </w:r>
      <w:r>
        <w:rPr>
          <w:color w:val="231F20"/>
        </w:rPr>
        <w:t>hacia</w:t>
      </w:r>
      <w:r>
        <w:rPr>
          <w:color w:val="231F20"/>
          <w:spacing w:val="-11"/>
        </w:rPr>
        <w:t> </w:t>
      </w:r>
      <w:r>
        <w:rPr>
          <w:color w:val="231F20"/>
        </w:rPr>
        <w:t>los</w:t>
      </w:r>
      <w:r>
        <w:rPr>
          <w:color w:val="231F20"/>
          <w:spacing w:val="-10"/>
        </w:rPr>
        <w:t> </w:t>
      </w:r>
      <w:r>
        <w:rPr>
          <w:color w:val="231F20"/>
        </w:rPr>
        <w:t>Estados</w:t>
      </w:r>
      <w:r>
        <w:rPr>
          <w:color w:val="231F20"/>
          <w:spacing w:val="-11"/>
        </w:rPr>
        <w:t> </w:t>
      </w:r>
      <w:r>
        <w:rPr>
          <w:color w:val="231F20"/>
        </w:rPr>
        <w:t>Unidos</w:t>
      </w:r>
      <w:r>
        <w:rPr>
          <w:color w:val="231F20"/>
          <w:spacing w:val="-10"/>
        </w:rPr>
        <w:t> </w:t>
      </w:r>
      <w:r>
        <w:rPr>
          <w:color w:val="231F20"/>
        </w:rPr>
        <w:t>de</w:t>
      </w:r>
      <w:r>
        <w:rPr>
          <w:color w:val="231F20"/>
          <w:spacing w:val="-22"/>
        </w:rPr>
        <w:t> </w:t>
      </w:r>
      <w:r>
        <w:rPr>
          <w:color w:val="231F20"/>
        </w:rPr>
        <w:t>América, gobierno que aprueba el Estatus de Protección Temporal (TPS) para con- ceder</w:t>
      </w:r>
      <w:r>
        <w:rPr>
          <w:color w:val="231F20"/>
          <w:spacing w:val="-9"/>
        </w:rPr>
        <w:t> </w:t>
      </w:r>
      <w:r>
        <w:rPr>
          <w:color w:val="231F20"/>
        </w:rPr>
        <w:t>protección</w:t>
      </w:r>
      <w:r>
        <w:rPr>
          <w:color w:val="231F20"/>
          <w:spacing w:val="-9"/>
        </w:rPr>
        <w:t> </w:t>
      </w:r>
      <w:r>
        <w:rPr>
          <w:color w:val="231F20"/>
        </w:rPr>
        <w:t>a</w:t>
      </w:r>
      <w:r>
        <w:rPr>
          <w:color w:val="231F20"/>
          <w:spacing w:val="-9"/>
        </w:rPr>
        <w:t> </w:t>
      </w:r>
      <w:r>
        <w:rPr>
          <w:color w:val="231F20"/>
        </w:rPr>
        <w:t>inmigrantes</w:t>
      </w:r>
      <w:r>
        <w:rPr>
          <w:color w:val="231F20"/>
          <w:spacing w:val="-9"/>
        </w:rPr>
        <w:t> </w:t>
      </w:r>
      <w:r>
        <w:rPr>
          <w:color w:val="231F20"/>
        </w:rPr>
        <w:t>hondureños</w:t>
      </w:r>
      <w:r>
        <w:rPr>
          <w:color w:val="231F20"/>
          <w:spacing w:val="-9"/>
        </w:rPr>
        <w:t> </w:t>
      </w:r>
      <w:r>
        <w:rPr>
          <w:color w:val="231F20"/>
        </w:rPr>
        <w:t>y</w:t>
      </w:r>
      <w:r>
        <w:rPr>
          <w:color w:val="231F20"/>
          <w:spacing w:val="-9"/>
        </w:rPr>
        <w:t> </w:t>
      </w:r>
      <w:r>
        <w:rPr>
          <w:color w:val="231F20"/>
        </w:rPr>
        <w:t>nicaragüenses</w:t>
      </w:r>
      <w:r>
        <w:rPr>
          <w:color w:val="231F20"/>
          <w:spacing w:val="-9"/>
        </w:rPr>
        <w:t> </w:t>
      </w:r>
      <w:r>
        <w:rPr>
          <w:color w:val="231F20"/>
        </w:rPr>
        <w:t>que</w:t>
      </w:r>
      <w:r>
        <w:rPr>
          <w:color w:val="231F20"/>
          <w:spacing w:val="-9"/>
        </w:rPr>
        <w:t> </w:t>
      </w:r>
      <w:r>
        <w:rPr>
          <w:color w:val="231F20"/>
        </w:rPr>
        <w:t>estuviesen residiendo ilegalmente en el país del norte antes del 30 de diciembre de 1998. En este procedimiento migratorio se beneficiaron en promedio unas ochenta mil personas, con ampliaciones a través del tiempo. Aparte de es- tos acogidos temporalmente que se hicieron visibles, se acrecentó el flujo de emigrantes a partir del desastre natural y sus consecuencias en toda la década.</w:t>
      </w:r>
    </w:p>
    <w:p>
      <w:pPr>
        <w:spacing w:before="149"/>
        <w:ind w:left="117" w:right="0" w:firstLine="0"/>
        <w:jc w:val="both"/>
        <w:rPr>
          <w:i/>
          <w:sz w:val="22"/>
        </w:rPr>
      </w:pPr>
      <w:r>
        <w:rPr>
          <w:i/>
          <w:color w:val="231F20"/>
          <w:sz w:val="22"/>
        </w:rPr>
        <w:t>Proliferación de maras y pandillas</w:t>
      </w:r>
    </w:p>
    <w:p>
      <w:pPr>
        <w:pStyle w:val="BodyText"/>
        <w:spacing w:line="247" w:lineRule="auto" w:before="177"/>
        <w:ind w:left="117" w:right="114"/>
        <w:jc w:val="both"/>
      </w:pPr>
      <w:r>
        <w:rPr>
          <w:color w:val="231F20"/>
        </w:rPr>
        <w:t>En la primera década del nuevo siglo, otros fenómenos sociales, econó- micos y políticos saltaran a la palestra nacional, entre ellos la </w:t>
      </w:r>
      <w:r>
        <w:rPr>
          <w:i/>
          <w:color w:val="231F20"/>
        </w:rPr>
        <w:t>prolifera- </w:t>
      </w:r>
      <w:r>
        <w:rPr>
          <w:i/>
          <w:color w:val="231F20"/>
        </w:rPr>
        <w:t>ción de pandillas juveniles</w:t>
      </w:r>
      <w:r>
        <w:rPr>
          <w:color w:val="231F20"/>
        </w:rPr>
        <w:t>, llamadas maras (Salvatrucha y 18) que son agrupaciones de jóvenes excluidos que se organizan para crear economías subterráneas</w:t>
      </w:r>
      <w:r>
        <w:rPr>
          <w:color w:val="231F20"/>
          <w:spacing w:val="-11"/>
        </w:rPr>
        <w:t> </w:t>
      </w:r>
      <w:r>
        <w:rPr>
          <w:color w:val="231F20"/>
        </w:rPr>
        <w:t>de</w:t>
      </w:r>
      <w:r>
        <w:rPr>
          <w:color w:val="231F20"/>
          <w:spacing w:val="-11"/>
        </w:rPr>
        <w:t> </w:t>
      </w:r>
      <w:r>
        <w:rPr>
          <w:color w:val="231F20"/>
        </w:rPr>
        <w:t>generación</w:t>
      </w:r>
      <w:r>
        <w:rPr>
          <w:color w:val="231F20"/>
          <w:spacing w:val="-12"/>
        </w:rPr>
        <w:t> </w:t>
      </w:r>
      <w:r>
        <w:rPr>
          <w:color w:val="231F20"/>
        </w:rPr>
        <w:t>de</w:t>
      </w:r>
      <w:r>
        <w:rPr>
          <w:color w:val="231F20"/>
          <w:spacing w:val="-11"/>
        </w:rPr>
        <w:t> </w:t>
      </w:r>
      <w:r>
        <w:rPr>
          <w:color w:val="231F20"/>
        </w:rPr>
        <w:t>ingresos</w:t>
      </w:r>
      <w:r>
        <w:rPr>
          <w:color w:val="231F20"/>
          <w:spacing w:val="-12"/>
        </w:rPr>
        <w:t> </w:t>
      </w:r>
      <w:r>
        <w:rPr>
          <w:color w:val="231F20"/>
        </w:rPr>
        <w:t>a</w:t>
      </w:r>
      <w:r>
        <w:rPr>
          <w:color w:val="231F20"/>
          <w:spacing w:val="-11"/>
        </w:rPr>
        <w:t> </w:t>
      </w:r>
      <w:r>
        <w:rPr>
          <w:color w:val="231F20"/>
        </w:rPr>
        <w:t>través</w:t>
      </w:r>
      <w:r>
        <w:rPr>
          <w:color w:val="231F20"/>
          <w:spacing w:val="-12"/>
        </w:rPr>
        <w:t> </w:t>
      </w:r>
      <w:r>
        <w:rPr>
          <w:color w:val="231F20"/>
        </w:rPr>
        <w:t>de</w:t>
      </w:r>
      <w:r>
        <w:rPr>
          <w:color w:val="231F20"/>
          <w:spacing w:val="-11"/>
        </w:rPr>
        <w:t> </w:t>
      </w:r>
      <w:r>
        <w:rPr>
          <w:color w:val="231F20"/>
        </w:rPr>
        <w:t>la</w:t>
      </w:r>
      <w:r>
        <w:rPr>
          <w:color w:val="231F20"/>
          <w:spacing w:val="-12"/>
        </w:rPr>
        <w:t> </w:t>
      </w:r>
      <w:r>
        <w:rPr>
          <w:color w:val="231F20"/>
        </w:rPr>
        <w:t>protección,</w:t>
      </w:r>
      <w:r>
        <w:rPr>
          <w:color w:val="231F20"/>
          <w:spacing w:val="-12"/>
        </w:rPr>
        <w:t> </w:t>
      </w:r>
      <w:r>
        <w:rPr>
          <w:color w:val="231F20"/>
        </w:rPr>
        <w:t>extorsión, secuestros y robos a los ciudadanos en sus</w:t>
      </w:r>
      <w:r>
        <w:rPr>
          <w:color w:val="231F20"/>
          <w:spacing w:val="-15"/>
        </w:rPr>
        <w:t> </w:t>
      </w:r>
      <w:r>
        <w:rPr>
          <w:color w:val="231F20"/>
        </w:rPr>
        <w:t>comunidades.</w:t>
      </w:r>
    </w:p>
    <w:p>
      <w:pPr>
        <w:pStyle w:val="BodyText"/>
        <w:spacing w:line="247" w:lineRule="auto"/>
        <w:ind w:left="117" w:right="114" w:firstLine="283"/>
        <w:jc w:val="both"/>
      </w:pPr>
      <w:r>
        <w:rPr>
          <w:color w:val="231F20"/>
        </w:rPr>
        <w:t>Este fenómeno social llevó a las autoridades gubernamentales a poner en práctica políticas de mano dura hacia estos grupos (Cero Tolerancia) incluso criminalizarla como asociación ilícita con penas de cárcel en el gobierno de Ricardo Maduro (2002-2006), llenando las cárceles de</w:t>
      </w:r>
      <w:r>
        <w:rPr>
          <w:color w:val="231F20"/>
          <w:spacing w:val="-26"/>
        </w:rPr>
        <w:t> </w:t>
      </w:r>
      <w:r>
        <w:rPr>
          <w:color w:val="231F20"/>
        </w:rPr>
        <w:t>líderes mareros, lo que también provocó masacres e incendios en ellas (cárcel de El</w:t>
      </w:r>
      <w:r>
        <w:rPr>
          <w:color w:val="231F20"/>
          <w:spacing w:val="-8"/>
        </w:rPr>
        <w:t> </w:t>
      </w:r>
      <w:r>
        <w:rPr>
          <w:color w:val="231F20"/>
        </w:rPr>
        <w:t>Porvenir,</w:t>
      </w:r>
      <w:r>
        <w:rPr>
          <w:color w:val="231F20"/>
          <w:spacing w:val="-8"/>
        </w:rPr>
        <w:t> </w:t>
      </w:r>
      <w:r>
        <w:rPr>
          <w:color w:val="231F20"/>
        </w:rPr>
        <w:t>La</w:t>
      </w:r>
      <w:r>
        <w:rPr>
          <w:color w:val="231F20"/>
          <w:spacing w:val="-8"/>
        </w:rPr>
        <w:t> </w:t>
      </w:r>
      <w:r>
        <w:rPr>
          <w:color w:val="231F20"/>
        </w:rPr>
        <w:t>Ceiba,</w:t>
      </w:r>
      <w:r>
        <w:rPr>
          <w:color w:val="231F20"/>
          <w:spacing w:val="-8"/>
        </w:rPr>
        <w:t> </w:t>
      </w:r>
      <w:r>
        <w:rPr>
          <w:color w:val="231F20"/>
        </w:rPr>
        <w:t>2003)</w:t>
      </w:r>
      <w:r>
        <w:rPr>
          <w:color w:val="231F20"/>
          <w:spacing w:val="-8"/>
        </w:rPr>
        <w:t> </w:t>
      </w:r>
      <w:r>
        <w:rPr>
          <w:color w:val="231F20"/>
        </w:rPr>
        <w:t>y</w:t>
      </w:r>
      <w:r>
        <w:rPr>
          <w:color w:val="231F20"/>
          <w:spacing w:val="-8"/>
        </w:rPr>
        <w:t> </w:t>
      </w:r>
      <w:r>
        <w:rPr>
          <w:color w:val="231F20"/>
        </w:rPr>
        <w:t>condujo</w:t>
      </w:r>
      <w:r>
        <w:rPr>
          <w:color w:val="231F20"/>
          <w:spacing w:val="-9"/>
        </w:rPr>
        <w:t> </w:t>
      </w:r>
      <w:r>
        <w:rPr>
          <w:color w:val="231F20"/>
        </w:rPr>
        <w:t>a</w:t>
      </w:r>
      <w:r>
        <w:rPr>
          <w:color w:val="231F20"/>
          <w:spacing w:val="-8"/>
        </w:rPr>
        <w:t> </w:t>
      </w:r>
      <w:r>
        <w:rPr>
          <w:color w:val="231F20"/>
        </w:rPr>
        <w:t>estrategias</w:t>
      </w:r>
      <w:r>
        <w:rPr>
          <w:color w:val="231F20"/>
          <w:spacing w:val="-9"/>
        </w:rPr>
        <w:t> </w:t>
      </w:r>
      <w:r>
        <w:rPr>
          <w:color w:val="231F20"/>
        </w:rPr>
        <w:t>de</w:t>
      </w:r>
      <w:r>
        <w:rPr>
          <w:color w:val="231F20"/>
          <w:spacing w:val="-8"/>
        </w:rPr>
        <w:t> </w:t>
      </w:r>
      <w:r>
        <w:rPr>
          <w:color w:val="231F20"/>
        </w:rPr>
        <w:t>invisibilidad</w:t>
      </w:r>
      <w:r>
        <w:rPr>
          <w:color w:val="231F20"/>
          <w:spacing w:val="-9"/>
        </w:rPr>
        <w:t> </w:t>
      </w:r>
      <w:r>
        <w:rPr>
          <w:color w:val="231F20"/>
        </w:rPr>
        <w:t>en</w:t>
      </w:r>
      <w:r>
        <w:rPr>
          <w:color w:val="231F20"/>
          <w:spacing w:val="-8"/>
        </w:rPr>
        <w:t> </w:t>
      </w:r>
      <w:r>
        <w:rPr>
          <w:color w:val="231F20"/>
        </w:rPr>
        <w:t>los grupos.</w:t>
      </w:r>
    </w:p>
    <w:p>
      <w:pPr>
        <w:pStyle w:val="BodyText"/>
        <w:spacing w:line="247" w:lineRule="auto"/>
        <w:ind w:left="117" w:right="115" w:firstLine="283"/>
        <w:jc w:val="both"/>
      </w:pPr>
      <w:r>
        <w:rPr>
          <w:color w:val="231F20"/>
        </w:rPr>
        <w:t>Las maras y pandillas en los últimos años saltaron de acciones irre- gulares locales de barrio a otras actividades delincuenciales de tráfico y distribución de drogas de mayor escala, sicariato, extorsión no sólo   indi-</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jc w:val="both"/>
      </w:pPr>
      <w:r>
        <w:rPr>
          <w:color w:val="231F20"/>
        </w:rPr>
        <w:t>vidual, sino a nivel micro, pequeño empresarial (impuesto de guerra) que ha llevado al cierre de negocios y a su vez provocado la muerte de empre- sarios y trabajadores (tal es el caso de empleados del transporte urbano). Incluso,</w:t>
      </w:r>
      <w:r>
        <w:rPr>
          <w:color w:val="231F20"/>
          <w:spacing w:val="-7"/>
        </w:rPr>
        <w:t> </w:t>
      </w:r>
      <w:r>
        <w:rPr>
          <w:color w:val="231F20"/>
        </w:rPr>
        <w:t>los</w:t>
      </w:r>
      <w:r>
        <w:rPr>
          <w:color w:val="231F20"/>
          <w:spacing w:val="-7"/>
        </w:rPr>
        <w:t> </w:t>
      </w:r>
      <w:r>
        <w:rPr>
          <w:color w:val="231F20"/>
        </w:rPr>
        <w:t>tentáculos</w:t>
      </w:r>
      <w:r>
        <w:rPr>
          <w:color w:val="231F20"/>
          <w:spacing w:val="-8"/>
        </w:rPr>
        <w:t> </w:t>
      </w:r>
      <w:r>
        <w:rPr>
          <w:color w:val="231F20"/>
        </w:rPr>
        <w:t>de</w:t>
      </w:r>
      <w:r>
        <w:rPr>
          <w:color w:val="231F20"/>
          <w:spacing w:val="-7"/>
        </w:rPr>
        <w:t> </w:t>
      </w:r>
      <w:r>
        <w:rPr>
          <w:color w:val="231F20"/>
        </w:rPr>
        <w:t>esas</w:t>
      </w:r>
      <w:r>
        <w:rPr>
          <w:color w:val="231F20"/>
          <w:spacing w:val="-7"/>
        </w:rPr>
        <w:t> </w:t>
      </w:r>
      <w:r>
        <w:rPr>
          <w:color w:val="231F20"/>
        </w:rPr>
        <w:t>organizaciones</w:t>
      </w:r>
      <w:r>
        <w:rPr>
          <w:color w:val="231F20"/>
          <w:spacing w:val="-7"/>
        </w:rPr>
        <w:t> </w:t>
      </w:r>
      <w:r>
        <w:rPr>
          <w:color w:val="231F20"/>
        </w:rPr>
        <w:t>han</w:t>
      </w:r>
      <w:r>
        <w:rPr>
          <w:color w:val="231F20"/>
          <w:spacing w:val="-7"/>
        </w:rPr>
        <w:t> </w:t>
      </w:r>
      <w:r>
        <w:rPr>
          <w:color w:val="231F20"/>
        </w:rPr>
        <w:t>incursionado</w:t>
      </w:r>
      <w:r>
        <w:rPr>
          <w:color w:val="231F20"/>
          <w:spacing w:val="-8"/>
        </w:rPr>
        <w:t> </w:t>
      </w:r>
      <w:r>
        <w:rPr>
          <w:color w:val="231F20"/>
        </w:rPr>
        <w:t>en</w:t>
      </w:r>
      <w:r>
        <w:rPr>
          <w:color w:val="231F20"/>
          <w:spacing w:val="-7"/>
        </w:rPr>
        <w:t> </w:t>
      </w:r>
      <w:r>
        <w:rPr>
          <w:color w:val="231F20"/>
        </w:rPr>
        <w:t>algunas actividades</w:t>
      </w:r>
      <w:r>
        <w:rPr>
          <w:color w:val="231F20"/>
          <w:spacing w:val="-1"/>
        </w:rPr>
        <w:t> </w:t>
      </w:r>
      <w:r>
        <w:rPr>
          <w:color w:val="231F20"/>
        </w:rPr>
        <w:t>empresariales.</w:t>
      </w:r>
    </w:p>
    <w:p>
      <w:pPr>
        <w:pStyle w:val="BodyText"/>
        <w:spacing w:line="247" w:lineRule="auto"/>
        <w:ind w:left="117" w:right="114" w:firstLine="283"/>
        <w:jc w:val="both"/>
      </w:pPr>
      <w:r>
        <w:rPr>
          <w:color w:val="231F20"/>
        </w:rPr>
        <w:t>En los barrios y colonias las maras y pandillas han obligado a los jóve- nes a insertarse en ellas, la negativa ha sido la muerte, llevando a muchos a huir a otras comunidades del interior e incluso salir del país como alter- nativa más segura de sobrevivencia.</w:t>
      </w:r>
    </w:p>
    <w:p>
      <w:pPr>
        <w:spacing w:before="149"/>
        <w:ind w:left="117" w:right="0" w:firstLine="0"/>
        <w:jc w:val="both"/>
        <w:rPr>
          <w:i/>
          <w:sz w:val="22"/>
        </w:rPr>
      </w:pPr>
      <w:r>
        <w:rPr>
          <w:i/>
          <w:color w:val="231F20"/>
          <w:sz w:val="22"/>
        </w:rPr>
        <w:t>Narcotráfico y crimen organizado</w:t>
      </w:r>
    </w:p>
    <w:p>
      <w:pPr>
        <w:pStyle w:val="BodyText"/>
        <w:spacing w:line="247" w:lineRule="auto" w:before="177"/>
        <w:ind w:left="117" w:right="114"/>
        <w:jc w:val="both"/>
      </w:pPr>
      <w:r>
        <w:rPr>
          <w:color w:val="231F20"/>
        </w:rPr>
        <w:t>Aunque el </w:t>
      </w:r>
      <w:r>
        <w:rPr>
          <w:i/>
          <w:color w:val="231F20"/>
        </w:rPr>
        <w:t>narcotráfico </w:t>
      </w:r>
      <w:r>
        <w:rPr>
          <w:color w:val="231F20"/>
        </w:rPr>
        <w:t>como actividad transnacional y figura del crimen organizado data en el país desde la década de los setenta, Honduras se convertía en un eslabón del tránsito de drogas hacia los Estados Unidos  de América, donde los militares además de gobernar, eran cómplices en esa actividad. En los años ochenta se incrementaron la narcoactividad y  el tráfico de armas en el marco de la guerra de baja intensidad donde Cen- troamérica era el territorio de conflictividad. En los años noventa además de la renovación de los carteles de la droga, se pagaron servicios de pro- tección con dinero y drogas que hicieron incrementar el consumo interno y las organizaciones delictivas. En el siglo XXI el país recibió la presión de</w:t>
      </w:r>
      <w:r>
        <w:rPr>
          <w:color w:val="231F20"/>
          <w:spacing w:val="-7"/>
        </w:rPr>
        <w:t> </w:t>
      </w:r>
      <w:r>
        <w:rPr>
          <w:color w:val="231F20"/>
        </w:rPr>
        <w:t>organismos</w:t>
      </w:r>
      <w:r>
        <w:rPr>
          <w:color w:val="231F20"/>
          <w:spacing w:val="-7"/>
        </w:rPr>
        <w:t> </w:t>
      </w:r>
      <w:r>
        <w:rPr>
          <w:color w:val="231F20"/>
        </w:rPr>
        <w:t>fiscalizadores</w:t>
      </w:r>
      <w:r>
        <w:rPr>
          <w:color w:val="231F20"/>
          <w:spacing w:val="-8"/>
        </w:rPr>
        <w:t> </w:t>
      </w:r>
      <w:r>
        <w:rPr>
          <w:color w:val="231F20"/>
        </w:rPr>
        <w:t>internacionales</w:t>
      </w:r>
      <w:r>
        <w:rPr>
          <w:color w:val="231F20"/>
          <w:spacing w:val="-8"/>
        </w:rPr>
        <w:t> </w:t>
      </w:r>
      <w:r>
        <w:rPr>
          <w:color w:val="231F20"/>
        </w:rPr>
        <w:t>por</w:t>
      </w:r>
      <w:r>
        <w:rPr>
          <w:color w:val="231F20"/>
          <w:spacing w:val="-7"/>
        </w:rPr>
        <w:t> </w:t>
      </w:r>
      <w:r>
        <w:rPr>
          <w:color w:val="231F20"/>
        </w:rPr>
        <w:t>la</w:t>
      </w:r>
      <w:r>
        <w:rPr>
          <w:color w:val="231F20"/>
          <w:spacing w:val="-8"/>
        </w:rPr>
        <w:t> </w:t>
      </w:r>
      <w:r>
        <w:rPr>
          <w:color w:val="231F20"/>
        </w:rPr>
        <w:t>inclusión</w:t>
      </w:r>
      <w:r>
        <w:rPr>
          <w:color w:val="231F20"/>
          <w:spacing w:val="-7"/>
        </w:rPr>
        <w:t> </w:t>
      </w:r>
      <w:r>
        <w:rPr>
          <w:color w:val="231F20"/>
        </w:rPr>
        <w:t>de</w:t>
      </w:r>
      <w:r>
        <w:rPr>
          <w:color w:val="231F20"/>
          <w:spacing w:val="-7"/>
        </w:rPr>
        <w:t> </w:t>
      </w:r>
      <w:r>
        <w:rPr>
          <w:color w:val="231F20"/>
        </w:rPr>
        <w:t>países</w:t>
      </w:r>
      <w:r>
        <w:rPr>
          <w:color w:val="231F20"/>
          <w:spacing w:val="-7"/>
        </w:rPr>
        <w:t> </w:t>
      </w:r>
      <w:r>
        <w:rPr>
          <w:color w:val="231F20"/>
        </w:rPr>
        <w:t>que no hacen esfuerzos para combatir el narcotráfico, esto hizo mella cuando en 2003 se decomisaron 5 648 kilos de cocaína, aunque continuaban las rutas de transporte aéreas, terrestres y marítimas. La zona norte</w:t>
      </w:r>
      <w:r>
        <w:rPr>
          <w:color w:val="231F20"/>
          <w:spacing w:val="-34"/>
        </w:rPr>
        <w:t> </w:t>
      </w:r>
      <w:r>
        <w:rPr>
          <w:color w:val="231F20"/>
        </w:rPr>
        <w:t>hondureña es la de mayor intensificación del narcotráfico, principalmente las fronte- ras y los departamentos de Atlántida, Colón y Gracias a Dios, este último reconocido territorio de alto tráfico de drogas, puente hacia el interior y otros países. Otros delitos ligados al narcotráfico son el lavado de activos, tráfico de armas, robo de autos, secuestros y homicidios y hasta el tráfico de migrantes ilegales (Caldera y Landaverde,</w:t>
      </w:r>
      <w:r>
        <w:rPr>
          <w:color w:val="231F20"/>
          <w:spacing w:val="-3"/>
        </w:rPr>
        <w:t> </w:t>
      </w:r>
      <w:r>
        <w:rPr>
          <w:color w:val="231F20"/>
        </w:rPr>
        <w:t>2006).</w:t>
      </w:r>
    </w:p>
    <w:p>
      <w:pPr>
        <w:pStyle w:val="BodyText"/>
        <w:spacing w:line="247" w:lineRule="auto"/>
        <w:ind w:left="117" w:right="114" w:firstLine="283"/>
        <w:jc w:val="both"/>
        <w:rPr>
          <w:sz w:val="13"/>
        </w:rPr>
      </w:pPr>
      <w:r>
        <w:rPr>
          <w:color w:val="231F20"/>
        </w:rPr>
        <w:t>En los últimos años el incremento del consumo, narcomenudeo y tráfi- co ha llevado a la violencia de involucrados, algunos de los cuales tienen que</w:t>
      </w:r>
      <w:r>
        <w:rPr>
          <w:color w:val="231F20"/>
          <w:spacing w:val="-6"/>
        </w:rPr>
        <w:t> </w:t>
      </w:r>
      <w:r>
        <w:rPr>
          <w:color w:val="231F20"/>
        </w:rPr>
        <w:t>huir</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inseguridad</w:t>
      </w:r>
      <w:r>
        <w:rPr>
          <w:color w:val="231F20"/>
          <w:spacing w:val="-7"/>
        </w:rPr>
        <w:t> </w:t>
      </w:r>
      <w:r>
        <w:rPr>
          <w:color w:val="231F20"/>
        </w:rPr>
        <w:t>en</w:t>
      </w:r>
      <w:r>
        <w:rPr>
          <w:color w:val="231F20"/>
          <w:spacing w:val="-6"/>
        </w:rPr>
        <w:t> </w:t>
      </w:r>
      <w:r>
        <w:rPr>
          <w:color w:val="231F20"/>
        </w:rPr>
        <w:t>sus</w:t>
      </w:r>
      <w:r>
        <w:rPr>
          <w:color w:val="231F20"/>
          <w:spacing w:val="-6"/>
        </w:rPr>
        <w:t> </w:t>
      </w:r>
      <w:r>
        <w:rPr>
          <w:color w:val="231F20"/>
        </w:rPr>
        <w:t>comunidades</w:t>
      </w:r>
      <w:r>
        <w:rPr>
          <w:color w:val="231F20"/>
          <w:spacing w:val="-7"/>
        </w:rPr>
        <w:t> </w:t>
      </w:r>
      <w:r>
        <w:rPr>
          <w:color w:val="231F20"/>
        </w:rPr>
        <w:t>y</w:t>
      </w:r>
      <w:r>
        <w:rPr>
          <w:color w:val="231F20"/>
          <w:spacing w:val="-6"/>
        </w:rPr>
        <w:t> </w:t>
      </w:r>
      <w:r>
        <w:rPr>
          <w:color w:val="231F20"/>
        </w:rPr>
        <w:t>que</w:t>
      </w:r>
      <w:r>
        <w:rPr>
          <w:color w:val="231F20"/>
          <w:spacing w:val="-6"/>
        </w:rPr>
        <w:t> </w:t>
      </w:r>
      <w:r>
        <w:rPr>
          <w:color w:val="231F20"/>
        </w:rPr>
        <w:t>además</w:t>
      </w:r>
      <w:r>
        <w:rPr>
          <w:color w:val="231F20"/>
          <w:spacing w:val="-6"/>
        </w:rPr>
        <w:t> </w:t>
      </w:r>
      <w:r>
        <w:rPr>
          <w:color w:val="231F20"/>
        </w:rPr>
        <w:t>alcanza</w:t>
      </w:r>
      <w:r>
        <w:rPr>
          <w:color w:val="231F20"/>
          <w:spacing w:val="-6"/>
        </w:rPr>
        <w:t> </w:t>
      </w:r>
      <w:r>
        <w:rPr>
          <w:color w:val="231F20"/>
        </w:rPr>
        <w:t>hasta a los funcionarios que la</w:t>
      </w:r>
      <w:r>
        <w:rPr>
          <w:color w:val="231F20"/>
          <w:spacing w:val="-3"/>
        </w:rPr>
        <w:t> </w:t>
      </w:r>
      <w:r>
        <w:rPr>
          <w:color w:val="231F20"/>
        </w:rPr>
        <w:t>combaten.</w:t>
      </w:r>
      <w:r>
        <w:rPr>
          <w:color w:val="231F20"/>
          <w:position w:val="7"/>
          <w:sz w:val="13"/>
        </w:rPr>
        <w:t>6</w:t>
      </w:r>
    </w:p>
    <w:p>
      <w:pPr>
        <w:pStyle w:val="BodyText"/>
        <w:spacing w:line="247" w:lineRule="auto"/>
        <w:ind w:left="117" w:right="115" w:firstLine="283"/>
        <w:jc w:val="both"/>
      </w:pPr>
      <w:r>
        <w:rPr>
          <w:color w:val="231F20"/>
        </w:rPr>
        <w:t>En lo que va de 2012 las autoridades hondureñas han incautado unos seis mil kilogramos de cocaína, mientras que en 2011 superaron las 22</w:t>
      </w:r>
    </w:p>
    <w:p>
      <w:pPr>
        <w:pStyle w:val="BodyText"/>
      </w:pPr>
      <w:r>
        <w:rPr/>
        <w:pict>
          <v:line style="position:absolute;mso-position-horizontal-relative:page;mso-position-vertical-relative:paragraph;z-index:2968;mso-wrap-distance-left:0;mso-wrap-distance-right:0" from="70.866096pt,14.978555pt" to="142.866096pt,14.978555pt" stroked="true" strokeweight=".75pt" strokecolor="#231f20">
            <w10:wrap type="topAndBottom"/>
          </v:line>
        </w:pict>
      </w:r>
    </w:p>
    <w:p>
      <w:pPr>
        <w:spacing w:line="208" w:lineRule="auto" w:before="0"/>
        <w:ind w:left="117" w:right="114" w:firstLine="0"/>
        <w:jc w:val="both"/>
        <w:rPr>
          <w:sz w:val="17"/>
        </w:rPr>
      </w:pPr>
      <w:r>
        <w:rPr>
          <w:color w:val="231F20"/>
          <w:position w:val="6"/>
          <w:sz w:val="10"/>
        </w:rPr>
        <w:t>6</w:t>
      </w:r>
      <w:r>
        <w:rPr>
          <w:color w:val="231F20"/>
          <w:spacing w:val="11"/>
          <w:position w:val="6"/>
          <w:sz w:val="10"/>
        </w:rPr>
        <w:t> </w:t>
      </w:r>
      <w:r>
        <w:rPr>
          <w:color w:val="231F20"/>
          <w:sz w:val="17"/>
        </w:rPr>
        <w:t>En</w:t>
      </w:r>
      <w:r>
        <w:rPr>
          <w:color w:val="231F20"/>
          <w:spacing w:val="-6"/>
          <w:sz w:val="17"/>
        </w:rPr>
        <w:t> </w:t>
      </w:r>
      <w:r>
        <w:rPr>
          <w:color w:val="231F20"/>
          <w:sz w:val="17"/>
        </w:rPr>
        <w:t>el</w:t>
      </w:r>
      <w:r>
        <w:rPr>
          <w:color w:val="231F20"/>
          <w:spacing w:val="-6"/>
          <w:sz w:val="17"/>
        </w:rPr>
        <w:t> </w:t>
      </w:r>
      <w:r>
        <w:rPr>
          <w:color w:val="231F20"/>
          <w:sz w:val="17"/>
        </w:rPr>
        <w:t>año</w:t>
      </w:r>
      <w:r>
        <w:rPr>
          <w:color w:val="231F20"/>
          <w:spacing w:val="-6"/>
          <w:sz w:val="17"/>
        </w:rPr>
        <w:t> </w:t>
      </w:r>
      <w:r>
        <w:rPr>
          <w:color w:val="231F20"/>
          <w:sz w:val="17"/>
        </w:rPr>
        <w:t>2009</w:t>
      </w:r>
      <w:r>
        <w:rPr>
          <w:color w:val="231F20"/>
          <w:spacing w:val="-6"/>
          <w:sz w:val="17"/>
        </w:rPr>
        <w:t> </w:t>
      </w:r>
      <w:r>
        <w:rPr>
          <w:color w:val="231F20"/>
          <w:sz w:val="17"/>
        </w:rPr>
        <w:t>fue</w:t>
      </w:r>
      <w:r>
        <w:rPr>
          <w:color w:val="231F20"/>
          <w:spacing w:val="-6"/>
          <w:sz w:val="17"/>
        </w:rPr>
        <w:t> </w:t>
      </w:r>
      <w:r>
        <w:rPr>
          <w:color w:val="231F20"/>
          <w:sz w:val="17"/>
        </w:rPr>
        <w:t>asesinado</w:t>
      </w:r>
      <w:r>
        <w:rPr>
          <w:color w:val="231F20"/>
          <w:spacing w:val="-6"/>
          <w:sz w:val="17"/>
        </w:rPr>
        <w:t> </w:t>
      </w:r>
      <w:r>
        <w:rPr>
          <w:color w:val="231F20"/>
          <w:sz w:val="17"/>
        </w:rPr>
        <w:t>por</w:t>
      </w:r>
      <w:r>
        <w:rPr>
          <w:color w:val="231F20"/>
          <w:spacing w:val="-6"/>
          <w:sz w:val="17"/>
        </w:rPr>
        <w:t> </w:t>
      </w:r>
      <w:r>
        <w:rPr>
          <w:color w:val="231F20"/>
          <w:sz w:val="17"/>
        </w:rPr>
        <w:t>sicarios</w:t>
      </w:r>
      <w:r>
        <w:rPr>
          <w:color w:val="231F20"/>
          <w:spacing w:val="-6"/>
          <w:sz w:val="17"/>
        </w:rPr>
        <w:t> </w:t>
      </w:r>
      <w:r>
        <w:rPr>
          <w:color w:val="231F20"/>
          <w:sz w:val="17"/>
        </w:rPr>
        <w:t>el</w:t>
      </w:r>
      <w:r>
        <w:rPr>
          <w:color w:val="231F20"/>
          <w:spacing w:val="-6"/>
          <w:sz w:val="17"/>
        </w:rPr>
        <w:t> </w:t>
      </w:r>
      <w:r>
        <w:rPr>
          <w:color w:val="231F20"/>
          <w:sz w:val="17"/>
        </w:rPr>
        <w:t>General</w:t>
      </w:r>
      <w:r>
        <w:rPr>
          <w:color w:val="231F20"/>
          <w:spacing w:val="-6"/>
          <w:sz w:val="17"/>
        </w:rPr>
        <w:t> </w:t>
      </w:r>
      <w:r>
        <w:rPr>
          <w:color w:val="231F20"/>
          <w:sz w:val="17"/>
        </w:rPr>
        <w:t>retirado</w:t>
      </w:r>
      <w:r>
        <w:rPr>
          <w:color w:val="231F20"/>
          <w:spacing w:val="-6"/>
          <w:sz w:val="17"/>
        </w:rPr>
        <w:t> </w:t>
      </w:r>
      <w:r>
        <w:rPr>
          <w:color w:val="231F20"/>
          <w:sz w:val="17"/>
        </w:rPr>
        <w:t>Julián</w:t>
      </w:r>
      <w:r>
        <w:rPr>
          <w:color w:val="231F20"/>
          <w:spacing w:val="-16"/>
          <w:sz w:val="17"/>
        </w:rPr>
        <w:t> </w:t>
      </w:r>
      <w:r>
        <w:rPr>
          <w:color w:val="231F20"/>
          <w:sz w:val="17"/>
        </w:rPr>
        <w:t>Arístides</w:t>
      </w:r>
      <w:r>
        <w:rPr>
          <w:color w:val="231F20"/>
          <w:spacing w:val="-6"/>
          <w:sz w:val="17"/>
        </w:rPr>
        <w:t> </w:t>
      </w:r>
      <w:r>
        <w:rPr>
          <w:color w:val="231F20"/>
          <w:sz w:val="17"/>
        </w:rPr>
        <w:t>Gonzales</w:t>
      </w:r>
      <w:r>
        <w:rPr>
          <w:color w:val="231F20"/>
          <w:spacing w:val="-6"/>
          <w:sz w:val="17"/>
        </w:rPr>
        <w:t> </w:t>
      </w:r>
      <w:r>
        <w:rPr>
          <w:color w:val="231F20"/>
          <w:sz w:val="17"/>
        </w:rPr>
        <w:t>Director de la Lucha contra el Narcotráfico y en el año 2011 fue asesinado el ex-Secretario Ejecutivo del Consejo Nacional Contra el Narcotráfico, Ingeniero Alfredo</w:t>
      </w:r>
      <w:r>
        <w:rPr>
          <w:color w:val="231F20"/>
          <w:spacing w:val="-19"/>
          <w:sz w:val="17"/>
        </w:rPr>
        <w:t> </w:t>
      </w:r>
      <w:r>
        <w:rPr>
          <w:color w:val="231F20"/>
          <w:sz w:val="17"/>
        </w:rPr>
        <w:t>Landaverde.</w:t>
      </w:r>
    </w:p>
    <w:p>
      <w:pPr>
        <w:spacing w:after="0" w:line="208" w:lineRule="auto"/>
        <w:jc w:val="both"/>
        <w:rPr>
          <w:sz w:val="17"/>
        </w:rPr>
        <w:sectPr>
          <w:footerReference w:type="default" r:id="rId100"/>
          <w:pgSz w:w="9360" w:h="13040"/>
          <w:pgMar w:footer="496" w:header="0" w:top="800" w:bottom="680" w:left="1300" w:right="1300"/>
        </w:sectPr>
      </w:pPr>
    </w:p>
    <w:p>
      <w:pPr>
        <w:spacing w:before="45"/>
        <w:ind w:left="117" w:right="117" w:firstLine="626"/>
        <w:jc w:val="left"/>
        <w:rPr>
          <w:rFonts w:ascii="Arial" w:hAnsi="Arial"/>
          <w:sz w:val="20"/>
        </w:rPr>
      </w:pPr>
      <w:r>
        <w:rPr>
          <w:rFonts w:ascii="Arial" w:hAnsi="Arial"/>
          <w:color w:val="231F20"/>
          <w:w w:val="65"/>
          <w:sz w:val="20"/>
        </w:rPr>
        <w:t>Factores contextuales de la migración internacional de    Honduras /Manuel Antonio Flores-Fonseca</w:t>
      </w:r>
    </w:p>
    <w:p>
      <w:pPr>
        <w:pStyle w:val="BodyText"/>
        <w:spacing w:before="7"/>
        <w:rPr>
          <w:rFonts w:ascii="Arial"/>
          <w:sz w:val="28"/>
        </w:rPr>
      </w:pPr>
    </w:p>
    <w:p>
      <w:pPr>
        <w:pStyle w:val="BodyText"/>
        <w:spacing w:line="247" w:lineRule="auto"/>
        <w:ind w:left="117" w:right="114"/>
        <w:jc w:val="both"/>
        <w:rPr>
          <w:sz w:val="13"/>
        </w:rPr>
      </w:pPr>
      <w:r>
        <w:rPr>
          <w:color w:val="231F20"/>
        </w:rPr>
        <w:t>toneladas, según fuentes de la Secretaría de Seguridad. Al mismo tiempo autoridades de Estados Unidos aseguran que cerca de 90 por ciento de la droga</w:t>
      </w:r>
      <w:r>
        <w:rPr>
          <w:color w:val="231F20"/>
          <w:spacing w:val="-5"/>
        </w:rPr>
        <w:t> </w:t>
      </w:r>
      <w:r>
        <w:rPr>
          <w:color w:val="231F20"/>
        </w:rPr>
        <w:t>que</w:t>
      </w:r>
      <w:r>
        <w:rPr>
          <w:color w:val="231F20"/>
          <w:spacing w:val="-5"/>
        </w:rPr>
        <w:t> </w:t>
      </w:r>
      <w:r>
        <w:rPr>
          <w:color w:val="231F20"/>
        </w:rPr>
        <w:t>llega</w:t>
      </w:r>
      <w:r>
        <w:rPr>
          <w:color w:val="231F20"/>
          <w:spacing w:val="-5"/>
        </w:rPr>
        <w:t> </w:t>
      </w:r>
      <w:r>
        <w:rPr>
          <w:color w:val="231F20"/>
        </w:rPr>
        <w:t>al</w:t>
      </w:r>
      <w:r>
        <w:rPr>
          <w:color w:val="231F20"/>
          <w:spacing w:val="-5"/>
        </w:rPr>
        <w:t> </w:t>
      </w:r>
      <w:r>
        <w:rPr>
          <w:color w:val="231F20"/>
        </w:rPr>
        <w:t>país</w:t>
      </w:r>
      <w:r>
        <w:rPr>
          <w:color w:val="231F20"/>
          <w:spacing w:val="-5"/>
        </w:rPr>
        <w:t> </w:t>
      </w:r>
      <w:r>
        <w:rPr>
          <w:color w:val="231F20"/>
        </w:rPr>
        <w:t>proviene</w:t>
      </w:r>
      <w:r>
        <w:rPr>
          <w:color w:val="231F20"/>
          <w:spacing w:val="-5"/>
        </w:rPr>
        <w:t> </w:t>
      </w:r>
      <w:r>
        <w:rPr>
          <w:color w:val="231F20"/>
        </w:rPr>
        <w:t>de</w:t>
      </w:r>
      <w:r>
        <w:rPr>
          <w:color w:val="231F20"/>
          <w:spacing w:val="-5"/>
        </w:rPr>
        <w:t> </w:t>
      </w:r>
      <w:r>
        <w:rPr>
          <w:color w:val="231F20"/>
        </w:rPr>
        <w:t>Sudamérica</w:t>
      </w:r>
      <w:r>
        <w:rPr>
          <w:color w:val="231F20"/>
          <w:spacing w:val="-5"/>
        </w:rPr>
        <w:t> </w:t>
      </w:r>
      <w:r>
        <w:rPr>
          <w:color w:val="231F20"/>
        </w:rPr>
        <w:t>a</w:t>
      </w:r>
      <w:r>
        <w:rPr>
          <w:color w:val="231F20"/>
          <w:spacing w:val="-5"/>
        </w:rPr>
        <w:t> </w:t>
      </w:r>
      <w:r>
        <w:rPr>
          <w:color w:val="231F20"/>
        </w:rPr>
        <w:t>través</w:t>
      </w:r>
      <w:r>
        <w:rPr>
          <w:color w:val="231F20"/>
          <w:spacing w:val="-6"/>
        </w:rPr>
        <w:t> </w:t>
      </w:r>
      <w:r>
        <w:rPr>
          <w:color w:val="231F20"/>
        </w:rPr>
        <w:t>de</w:t>
      </w:r>
      <w:r>
        <w:rPr>
          <w:color w:val="231F20"/>
          <w:spacing w:val="-5"/>
        </w:rPr>
        <w:t> </w:t>
      </w:r>
      <w:r>
        <w:rPr>
          <w:color w:val="231F20"/>
        </w:rPr>
        <w:t>Centroamérica. El Departamento Antidrogas de Estados Unidos (DEA) junto a militares  y policías hondureños emprende una ofensiva contra los narcotraficantes, aunque los resultados no han sido tan positivos como se esperan. El Co- misionado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Derechos</w:t>
      </w:r>
      <w:r>
        <w:rPr>
          <w:color w:val="231F20"/>
          <w:spacing w:val="-6"/>
        </w:rPr>
        <w:t> </w:t>
      </w:r>
      <w:r>
        <w:rPr>
          <w:color w:val="231F20"/>
        </w:rPr>
        <w:t>Humanos</w:t>
      </w:r>
      <w:r>
        <w:rPr>
          <w:color w:val="231F20"/>
          <w:spacing w:val="-6"/>
        </w:rPr>
        <w:t> </w:t>
      </w:r>
      <w:r>
        <w:rPr>
          <w:color w:val="231F20"/>
        </w:rPr>
        <w:t>de</w:t>
      </w:r>
      <w:r>
        <w:rPr>
          <w:color w:val="231F20"/>
          <w:spacing w:val="-6"/>
        </w:rPr>
        <w:t> </w:t>
      </w:r>
      <w:r>
        <w:rPr>
          <w:color w:val="231F20"/>
        </w:rPr>
        <w:t>Honduras</w:t>
      </w:r>
      <w:r>
        <w:rPr>
          <w:color w:val="231F20"/>
          <w:spacing w:val="-6"/>
        </w:rPr>
        <w:t> </w:t>
      </w:r>
      <w:r>
        <w:rPr>
          <w:color w:val="231F20"/>
        </w:rPr>
        <w:t>recientemente</w:t>
      </w:r>
      <w:r>
        <w:rPr>
          <w:color w:val="231F20"/>
          <w:spacing w:val="-6"/>
        </w:rPr>
        <w:t> </w:t>
      </w:r>
      <w:r>
        <w:rPr>
          <w:color w:val="231F20"/>
        </w:rPr>
        <w:t>apoyó</w:t>
      </w:r>
      <w:r>
        <w:rPr>
          <w:color w:val="231F20"/>
          <w:spacing w:val="-6"/>
        </w:rPr>
        <w:t> </w:t>
      </w:r>
      <w:r>
        <w:rPr>
          <w:color w:val="231F20"/>
        </w:rPr>
        <w:t>la realización de una encuesta, en la cual seis de cada diez hondureños con- sideran que los narcotraficantes tienen mucha y algún grado de</w:t>
      </w:r>
      <w:r>
        <w:rPr>
          <w:color w:val="231F20"/>
          <w:spacing w:val="-14"/>
        </w:rPr>
        <w:t> </w:t>
      </w:r>
      <w:r>
        <w:rPr>
          <w:color w:val="231F20"/>
        </w:rPr>
        <w:t>influencia, tanto en su municipio como en el departamento donde viven. Igualmente, ocho de cada diez consultados también expresaron que para defender la soberanía</w:t>
      </w:r>
      <w:r>
        <w:rPr>
          <w:color w:val="231F20"/>
          <w:spacing w:val="-7"/>
        </w:rPr>
        <w:t> </w:t>
      </w:r>
      <w:r>
        <w:rPr>
          <w:color w:val="231F20"/>
        </w:rPr>
        <w:t>nacional,</w:t>
      </w:r>
      <w:r>
        <w:rPr>
          <w:color w:val="231F20"/>
          <w:spacing w:val="-8"/>
        </w:rPr>
        <w:t> </w:t>
      </w:r>
      <w:r>
        <w:rPr>
          <w:color w:val="231F20"/>
        </w:rPr>
        <w:t>Honduras</w:t>
      </w:r>
      <w:r>
        <w:rPr>
          <w:color w:val="231F20"/>
          <w:spacing w:val="-7"/>
        </w:rPr>
        <w:t> </w:t>
      </w:r>
      <w:r>
        <w:rPr>
          <w:color w:val="231F20"/>
        </w:rPr>
        <w:t>debe</w:t>
      </w:r>
      <w:r>
        <w:rPr>
          <w:color w:val="231F20"/>
          <w:spacing w:val="-8"/>
        </w:rPr>
        <w:t> </w:t>
      </w:r>
      <w:r>
        <w:rPr>
          <w:color w:val="231F20"/>
        </w:rPr>
        <w:t>tener</w:t>
      </w:r>
      <w:r>
        <w:rPr>
          <w:color w:val="231F20"/>
          <w:spacing w:val="-8"/>
        </w:rPr>
        <w:t> </w:t>
      </w:r>
      <w:r>
        <w:rPr>
          <w:color w:val="231F20"/>
        </w:rPr>
        <w:t>“su</w:t>
      </w:r>
      <w:r>
        <w:rPr>
          <w:color w:val="231F20"/>
          <w:spacing w:val="-8"/>
        </w:rPr>
        <w:t> </w:t>
      </w:r>
      <w:r>
        <w:rPr>
          <w:color w:val="231F20"/>
        </w:rPr>
        <w:t>propio</w:t>
      </w:r>
      <w:r>
        <w:rPr>
          <w:color w:val="231F20"/>
          <w:spacing w:val="-8"/>
        </w:rPr>
        <w:t> </w:t>
      </w:r>
      <w:r>
        <w:rPr>
          <w:color w:val="231F20"/>
        </w:rPr>
        <w:t>radar”,</w:t>
      </w:r>
      <w:r>
        <w:rPr>
          <w:color w:val="231F20"/>
          <w:spacing w:val="-8"/>
        </w:rPr>
        <w:t> </w:t>
      </w:r>
      <w:r>
        <w:rPr>
          <w:color w:val="231F20"/>
        </w:rPr>
        <w:t>para</w:t>
      </w:r>
      <w:r>
        <w:rPr>
          <w:color w:val="231F20"/>
          <w:spacing w:val="-8"/>
        </w:rPr>
        <w:t> </w:t>
      </w:r>
      <w:r>
        <w:rPr>
          <w:color w:val="231F20"/>
        </w:rPr>
        <w:t>evitar</w:t>
      </w:r>
      <w:r>
        <w:rPr>
          <w:color w:val="231F20"/>
          <w:spacing w:val="-8"/>
        </w:rPr>
        <w:t> </w:t>
      </w:r>
      <w:r>
        <w:rPr>
          <w:color w:val="231F20"/>
        </w:rPr>
        <w:t>que las</w:t>
      </w:r>
      <w:r>
        <w:rPr>
          <w:color w:val="231F20"/>
          <w:spacing w:val="-5"/>
        </w:rPr>
        <w:t> </w:t>
      </w:r>
      <w:r>
        <w:rPr>
          <w:color w:val="231F20"/>
        </w:rPr>
        <w:t>narco-avionetas</w:t>
      </w:r>
      <w:r>
        <w:rPr>
          <w:color w:val="231F20"/>
          <w:spacing w:val="-4"/>
        </w:rPr>
        <w:t> </w:t>
      </w:r>
      <w:r>
        <w:rPr>
          <w:color w:val="231F20"/>
        </w:rPr>
        <w:t>violen</w:t>
      </w:r>
      <w:r>
        <w:rPr>
          <w:color w:val="231F20"/>
          <w:spacing w:val="-5"/>
        </w:rPr>
        <w:t> </w:t>
      </w:r>
      <w:r>
        <w:rPr>
          <w:color w:val="231F20"/>
        </w:rPr>
        <w:t>el</w:t>
      </w:r>
      <w:r>
        <w:rPr>
          <w:color w:val="231F20"/>
          <w:spacing w:val="-5"/>
        </w:rPr>
        <w:t> </w:t>
      </w:r>
      <w:r>
        <w:rPr>
          <w:color w:val="231F20"/>
        </w:rPr>
        <w:t>espacio</w:t>
      </w:r>
      <w:r>
        <w:rPr>
          <w:color w:val="231F20"/>
          <w:spacing w:val="-5"/>
        </w:rPr>
        <w:t> </w:t>
      </w:r>
      <w:r>
        <w:rPr>
          <w:color w:val="231F20"/>
        </w:rPr>
        <w:t>aéreo</w:t>
      </w:r>
      <w:r>
        <w:rPr>
          <w:color w:val="231F20"/>
          <w:spacing w:val="-5"/>
        </w:rPr>
        <w:t> </w:t>
      </w:r>
      <w:r>
        <w:rPr>
          <w:color w:val="231F20"/>
        </w:rPr>
        <w:t>nacional.</w:t>
      </w:r>
      <w:r>
        <w:rPr>
          <w:color w:val="231F20"/>
          <w:spacing w:val="-5"/>
        </w:rPr>
        <w:t> </w:t>
      </w:r>
      <w:r>
        <w:rPr>
          <w:color w:val="231F20"/>
        </w:rPr>
        <w:t>73.5</w:t>
      </w:r>
      <w:r>
        <w:rPr>
          <w:color w:val="231F20"/>
          <w:spacing w:val="-5"/>
        </w:rPr>
        <w:t> </w:t>
      </w:r>
      <w:r>
        <w:rPr>
          <w:color w:val="231F20"/>
        </w:rPr>
        <w:t>por</w:t>
      </w:r>
      <w:r>
        <w:rPr>
          <w:color w:val="231F20"/>
          <w:spacing w:val="-5"/>
        </w:rPr>
        <w:t> </w:t>
      </w:r>
      <w:r>
        <w:rPr>
          <w:color w:val="231F20"/>
        </w:rPr>
        <w:t>ciento</w:t>
      </w:r>
      <w:r>
        <w:rPr>
          <w:color w:val="231F20"/>
          <w:spacing w:val="-5"/>
        </w:rPr>
        <w:t> </w:t>
      </w:r>
      <w:r>
        <w:rPr>
          <w:color w:val="231F20"/>
        </w:rPr>
        <w:t>mani- festó estar de acuerdo con “derribar las narco-avionetas que no se quieran identificar y que violan la soberanía</w:t>
      </w:r>
      <w:r>
        <w:rPr>
          <w:color w:val="231F20"/>
          <w:spacing w:val="-14"/>
        </w:rPr>
        <w:t> </w:t>
      </w:r>
      <w:r>
        <w:rPr>
          <w:color w:val="231F20"/>
        </w:rPr>
        <w:t>hondureña”.</w:t>
      </w:r>
      <w:r>
        <w:rPr>
          <w:color w:val="231F20"/>
          <w:position w:val="7"/>
          <w:sz w:val="13"/>
        </w:rPr>
        <w:t>7</w:t>
      </w:r>
    </w:p>
    <w:p>
      <w:pPr>
        <w:spacing w:before="149"/>
        <w:ind w:left="117" w:right="0" w:firstLine="0"/>
        <w:jc w:val="both"/>
        <w:rPr>
          <w:i/>
          <w:sz w:val="22"/>
        </w:rPr>
      </w:pPr>
      <w:r>
        <w:rPr>
          <w:i/>
          <w:color w:val="231F20"/>
          <w:sz w:val="22"/>
        </w:rPr>
        <w:t>Golpe de Estado y aceleramiento del neoliberalismo</w:t>
      </w:r>
    </w:p>
    <w:p>
      <w:pPr>
        <w:pStyle w:val="BodyText"/>
        <w:spacing w:line="247" w:lineRule="auto" w:before="177"/>
        <w:ind w:left="117" w:right="115"/>
        <w:jc w:val="both"/>
      </w:pPr>
      <w:r>
        <w:rPr>
          <w:color w:val="231F20"/>
        </w:rPr>
        <w:t>En el 2009 se produjo una </w:t>
      </w:r>
      <w:r>
        <w:rPr>
          <w:i/>
          <w:color w:val="231F20"/>
        </w:rPr>
        <w:t>crisis política nacional </w:t>
      </w:r>
      <w:r>
        <w:rPr>
          <w:color w:val="231F20"/>
        </w:rPr>
        <w:t>que generó un Golpe</w:t>
      </w:r>
      <w:r>
        <w:rPr>
          <w:color w:val="231F20"/>
          <w:spacing w:val="-31"/>
        </w:rPr>
        <w:t> </w:t>
      </w:r>
      <w:r>
        <w:rPr>
          <w:color w:val="231F20"/>
        </w:rPr>
        <w:t>de Estado, donde se unieron dos poderes del Estado, grupos de poder, igle- sias,</w:t>
      </w:r>
      <w:r>
        <w:rPr>
          <w:color w:val="231F20"/>
          <w:spacing w:val="-13"/>
        </w:rPr>
        <w:t> </w:t>
      </w:r>
      <w:r>
        <w:rPr>
          <w:color w:val="231F20"/>
        </w:rPr>
        <w:t>poderes</w:t>
      </w:r>
      <w:r>
        <w:rPr>
          <w:color w:val="231F20"/>
          <w:spacing w:val="-13"/>
        </w:rPr>
        <w:t> </w:t>
      </w:r>
      <w:r>
        <w:rPr>
          <w:color w:val="231F20"/>
        </w:rPr>
        <w:t>mediáticos</w:t>
      </w:r>
      <w:r>
        <w:rPr>
          <w:color w:val="231F20"/>
          <w:spacing w:val="-14"/>
        </w:rPr>
        <w:t> </w:t>
      </w:r>
      <w:r>
        <w:rPr>
          <w:color w:val="231F20"/>
        </w:rPr>
        <w:t>y</w:t>
      </w:r>
      <w:r>
        <w:rPr>
          <w:color w:val="231F20"/>
          <w:spacing w:val="-13"/>
        </w:rPr>
        <w:t> </w:t>
      </w:r>
      <w:r>
        <w:rPr>
          <w:color w:val="231F20"/>
        </w:rPr>
        <w:t>desde</w:t>
      </w:r>
      <w:r>
        <w:rPr>
          <w:color w:val="231F20"/>
          <w:spacing w:val="-13"/>
        </w:rPr>
        <w:t> </w:t>
      </w:r>
      <w:r>
        <w:rPr>
          <w:color w:val="231F20"/>
        </w:rPr>
        <w:t>luego</w:t>
      </w:r>
      <w:r>
        <w:rPr>
          <w:color w:val="231F20"/>
          <w:spacing w:val="-14"/>
        </w:rPr>
        <w:t> </w:t>
      </w:r>
      <w:r>
        <w:rPr>
          <w:color w:val="231F20"/>
        </w:rPr>
        <w:t>militares</w:t>
      </w:r>
      <w:r>
        <w:rPr>
          <w:color w:val="231F20"/>
          <w:spacing w:val="-14"/>
        </w:rPr>
        <w:t> </w:t>
      </w:r>
      <w:r>
        <w:rPr>
          <w:color w:val="231F20"/>
        </w:rPr>
        <w:t>para</w:t>
      </w:r>
      <w:r>
        <w:rPr>
          <w:color w:val="231F20"/>
          <w:spacing w:val="-13"/>
        </w:rPr>
        <w:t> </w:t>
      </w:r>
      <w:r>
        <w:rPr>
          <w:color w:val="231F20"/>
        </w:rPr>
        <w:t>derrocar</w:t>
      </w:r>
      <w:r>
        <w:rPr>
          <w:color w:val="231F20"/>
          <w:spacing w:val="-13"/>
        </w:rPr>
        <w:t> </w:t>
      </w:r>
      <w:r>
        <w:rPr>
          <w:color w:val="231F20"/>
        </w:rPr>
        <w:t>al</w:t>
      </w:r>
      <w:r>
        <w:rPr>
          <w:color w:val="231F20"/>
          <w:spacing w:val="-13"/>
        </w:rPr>
        <w:t> </w:t>
      </w:r>
      <w:r>
        <w:rPr>
          <w:color w:val="231F20"/>
        </w:rPr>
        <w:t>Presidente Constitucional Manuel Zelaya Rosales (siete meses antes de cumplir su mandato), lo que esto llevó al aislamiento económico y político del país y generó una crisis económica que tuvo su impacto en el empleo de la po- blación. Desde el golpe de estado, los militares han tomado el control de algunas instituciones gubernamentales como las relativas a las telecomu- nicaciones, aeronáutica civil y la migración</w:t>
      </w:r>
      <w:r>
        <w:rPr>
          <w:color w:val="231F20"/>
          <w:position w:val="7"/>
          <w:sz w:val="13"/>
        </w:rPr>
        <w:t>8  </w:t>
      </w:r>
      <w:r>
        <w:rPr>
          <w:color w:val="231F20"/>
        </w:rPr>
        <w:t>y todavía están en su</w:t>
      </w:r>
      <w:r>
        <w:rPr>
          <w:color w:val="231F20"/>
          <w:spacing w:val="-13"/>
        </w:rPr>
        <w:t> </w:t>
      </w:r>
      <w:r>
        <w:rPr>
          <w:color w:val="231F20"/>
          <w:spacing w:val="-3"/>
        </w:rPr>
        <w:t>poder.</w:t>
      </w:r>
    </w:p>
    <w:p>
      <w:pPr>
        <w:pStyle w:val="BodyText"/>
        <w:spacing w:line="247" w:lineRule="auto"/>
        <w:ind w:left="117" w:right="114" w:firstLine="283"/>
        <w:jc w:val="both"/>
      </w:pPr>
      <w:r>
        <w:rPr/>
        <w:pict>
          <v:line style="position:absolute;mso-position-horizontal-relative:page;mso-position-vertical-relative:paragraph;z-index:2992;mso-wrap-distance-left:0;mso-wrap-distance-right:0" from="70.866096pt,120.870934pt" to="142.866096pt,120.870934pt" stroked="true" strokeweight=".75pt" strokecolor="#231f20">
            <w10:wrap type="topAndBottom"/>
          </v:line>
        </w:pict>
      </w:r>
      <w:r>
        <w:rPr>
          <w:color w:val="231F20"/>
        </w:rPr>
        <w:t>Ese mismo año, se realizaron las elecciones nacionales para resolver la crisis política, aunque con poca participación electoral llevaron al poder a Porfirio Lobo (2010-2014) quien asumió un </w:t>
      </w:r>
      <w:r>
        <w:rPr>
          <w:i/>
          <w:color w:val="231F20"/>
        </w:rPr>
        <w:t>camino estrictamente neoli- </w:t>
      </w:r>
      <w:r>
        <w:rPr>
          <w:i/>
          <w:color w:val="231F20"/>
        </w:rPr>
        <w:t>beral</w:t>
      </w:r>
      <w:r>
        <w:rPr>
          <w:color w:val="231F20"/>
        </w:rPr>
        <w:t>, implementado medidas económicas con reiterados ajustes</w:t>
      </w:r>
      <w:r>
        <w:rPr>
          <w:color w:val="231F20"/>
          <w:spacing w:val="-37"/>
        </w:rPr>
        <w:t> </w:t>
      </w:r>
      <w:r>
        <w:rPr>
          <w:color w:val="231F20"/>
        </w:rPr>
        <w:t>económi- cos, aumentos de las tarifas de servicios públicos, mayor endeudamiento externo e interno, contracción de los salarios, acelerada depreciación de la moneda, nuevas tasas e impuestos, concesión y privatización de empresas públicas en varias actividades gubernamentales fundamentales, como ca- rreteras, aeropuertos, puertos, energía, telecomunicaciones, incluso  </w:t>
      </w:r>
      <w:r>
        <w:rPr>
          <w:color w:val="231F20"/>
          <w:spacing w:val="7"/>
        </w:rPr>
        <w:t> </w:t>
      </w:r>
      <w:r>
        <w:rPr>
          <w:color w:val="231F20"/>
        </w:rPr>
        <w:t>terri-</w:t>
      </w:r>
    </w:p>
    <w:p>
      <w:pPr>
        <w:spacing w:line="170" w:lineRule="exact" w:before="0"/>
        <w:ind w:left="117" w:right="114" w:firstLine="0"/>
        <w:jc w:val="both"/>
        <w:rPr>
          <w:sz w:val="17"/>
        </w:rPr>
      </w:pPr>
      <w:r>
        <w:rPr>
          <w:color w:val="231F20"/>
          <w:position w:val="6"/>
          <w:sz w:val="10"/>
        </w:rPr>
        <w:t>7 </w:t>
      </w:r>
      <w:r>
        <w:rPr>
          <w:color w:val="231F20"/>
          <w:sz w:val="17"/>
        </w:rPr>
        <w:t>Estas declaraciones fueron hechas, ya que con el derribo de una narco-avioneta en territorio hondureño el gobierno de Estados Unidos reprochó dicha acción y culminó con el cambio del Jefe de la Fuerza Aérea hondureña</w:t>
      </w:r>
    </w:p>
    <w:p>
      <w:pPr>
        <w:spacing w:line="170" w:lineRule="exact" w:before="0"/>
        <w:ind w:left="117" w:right="115" w:firstLine="0"/>
        <w:jc w:val="both"/>
        <w:rPr>
          <w:sz w:val="17"/>
        </w:rPr>
      </w:pPr>
      <w:r>
        <w:rPr>
          <w:color w:val="231F20"/>
          <w:position w:val="6"/>
          <w:sz w:val="10"/>
        </w:rPr>
        <w:t>8 </w:t>
      </w:r>
      <w:r>
        <w:rPr>
          <w:color w:val="231F20"/>
          <w:sz w:val="17"/>
        </w:rPr>
        <w:t>Empresa Hondureña de Telecomunicaciones (HONDUTEL), Dirección General de Aeronáuti- ca Civil (DGAC), Dirección General de Marina Mercante y la Dirección General de Migración y Extranjería (DGME).</w:t>
      </w:r>
    </w:p>
    <w:p>
      <w:pPr>
        <w:spacing w:after="0" w:line="170" w:lineRule="exact"/>
        <w:jc w:val="both"/>
        <w:rPr>
          <w:sz w:val="17"/>
        </w:rPr>
        <w:sectPr>
          <w:footerReference w:type="default" r:id="rId101"/>
          <w:pgSz w:w="9360" w:h="13040"/>
          <w:pgMar w:footer="496" w:header="0" w:top="740" w:bottom="680" w:left="1300" w:right="1300"/>
          <w:pgNumType w:start="111"/>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jc w:val="both"/>
      </w:pPr>
      <w:r>
        <w:rPr>
          <w:color w:val="231F20"/>
        </w:rPr>
        <w:t>torios con el establecimiento de bases militares a ejércitos extranjeros y el Proyecto de Ciudades Modelo, etc.</w:t>
      </w:r>
    </w:p>
    <w:p>
      <w:pPr>
        <w:pStyle w:val="BodyText"/>
        <w:spacing w:line="247" w:lineRule="auto"/>
        <w:ind w:left="117" w:right="114" w:firstLine="283"/>
        <w:jc w:val="both"/>
      </w:pPr>
      <w:r>
        <w:rPr>
          <w:color w:val="231F20"/>
        </w:rPr>
        <w:t>El gobierno actual ha administrado propiamente una </w:t>
      </w:r>
      <w:r>
        <w:rPr>
          <w:i/>
          <w:color w:val="231F20"/>
        </w:rPr>
        <w:t>crisis económi- </w:t>
      </w:r>
      <w:r>
        <w:rPr>
          <w:i/>
          <w:color w:val="231F20"/>
        </w:rPr>
        <w:t>ca y política </w:t>
      </w:r>
      <w:r>
        <w:rPr>
          <w:color w:val="231F20"/>
        </w:rPr>
        <w:t>y las acciones no han tenido los efectos esperados, continúa deprimida la economía, hay una evidente corrupción, poca generación de empleo,</w:t>
      </w:r>
      <w:r>
        <w:rPr>
          <w:color w:val="231F20"/>
          <w:spacing w:val="-12"/>
        </w:rPr>
        <w:t> </w:t>
      </w:r>
      <w:r>
        <w:rPr>
          <w:color w:val="231F20"/>
        </w:rPr>
        <w:t>poca</w:t>
      </w:r>
      <w:r>
        <w:rPr>
          <w:color w:val="231F20"/>
          <w:spacing w:val="-11"/>
        </w:rPr>
        <w:t> </w:t>
      </w:r>
      <w:r>
        <w:rPr>
          <w:color w:val="231F20"/>
        </w:rPr>
        <w:t>inversión</w:t>
      </w:r>
      <w:r>
        <w:rPr>
          <w:color w:val="231F20"/>
          <w:spacing w:val="-11"/>
        </w:rPr>
        <w:t> </w:t>
      </w:r>
      <w:r>
        <w:rPr>
          <w:color w:val="231F20"/>
        </w:rPr>
        <w:t>directa,</w:t>
      </w:r>
      <w:r>
        <w:rPr>
          <w:color w:val="231F20"/>
          <w:spacing w:val="-12"/>
        </w:rPr>
        <w:t> </w:t>
      </w:r>
      <w:r>
        <w:rPr>
          <w:color w:val="231F20"/>
        </w:rPr>
        <w:t>deprimida</w:t>
      </w:r>
      <w:r>
        <w:rPr>
          <w:color w:val="231F20"/>
          <w:spacing w:val="-12"/>
        </w:rPr>
        <w:t> </w:t>
      </w:r>
      <w:r>
        <w:rPr>
          <w:color w:val="231F20"/>
        </w:rPr>
        <w:t>captación</w:t>
      </w:r>
      <w:r>
        <w:rPr>
          <w:color w:val="231F20"/>
          <w:spacing w:val="-12"/>
        </w:rPr>
        <w:t> </w:t>
      </w:r>
      <w:r>
        <w:rPr>
          <w:color w:val="231F20"/>
        </w:rPr>
        <w:t>de</w:t>
      </w:r>
      <w:r>
        <w:rPr>
          <w:color w:val="231F20"/>
          <w:spacing w:val="-11"/>
        </w:rPr>
        <w:t> </w:t>
      </w:r>
      <w:r>
        <w:rPr>
          <w:color w:val="231F20"/>
        </w:rPr>
        <w:t>impuestos,</w:t>
      </w:r>
      <w:r>
        <w:rPr>
          <w:color w:val="231F20"/>
          <w:spacing w:val="-11"/>
        </w:rPr>
        <w:t> </w:t>
      </w:r>
      <w:r>
        <w:rPr>
          <w:color w:val="231F20"/>
        </w:rPr>
        <w:t>conflic- tos y violencia contra los gremios y personas opuestas al Golpe de</w:t>
      </w:r>
      <w:r>
        <w:rPr>
          <w:color w:val="231F20"/>
          <w:spacing w:val="-31"/>
        </w:rPr>
        <w:t> </w:t>
      </w:r>
      <w:r>
        <w:rPr>
          <w:color w:val="231F20"/>
        </w:rPr>
        <w:t>Estado, como campesinos, periodistas, dirigentes sindicales, patronatos, asociados lésbico </w:t>
      </w:r>
      <w:r>
        <w:rPr>
          <w:i/>
          <w:color w:val="231F20"/>
        </w:rPr>
        <w:t>gay </w:t>
      </w:r>
      <w:r>
        <w:rPr>
          <w:color w:val="231F20"/>
        </w:rPr>
        <w:t>y otros grupos, a los que se suma la dirigida hacia jóvenes infractores que delinquen y que llevan a la impunidad y violación de</w:t>
      </w:r>
      <w:r>
        <w:rPr>
          <w:color w:val="231F20"/>
          <w:spacing w:val="-25"/>
        </w:rPr>
        <w:t> </w:t>
      </w:r>
      <w:r>
        <w:rPr>
          <w:color w:val="231F20"/>
        </w:rPr>
        <w:t>dere- chos</w:t>
      </w:r>
      <w:r>
        <w:rPr>
          <w:color w:val="231F20"/>
          <w:spacing w:val="-10"/>
        </w:rPr>
        <w:t> </w:t>
      </w:r>
      <w:r>
        <w:rPr>
          <w:color w:val="231F20"/>
        </w:rPr>
        <w:t>humanos,</w:t>
      </w:r>
      <w:r>
        <w:rPr>
          <w:color w:val="231F20"/>
          <w:spacing w:val="-10"/>
        </w:rPr>
        <w:t> </w:t>
      </w:r>
      <w:r>
        <w:rPr>
          <w:color w:val="231F20"/>
        </w:rPr>
        <w:t>en</w:t>
      </w:r>
      <w:r>
        <w:rPr>
          <w:color w:val="231F20"/>
          <w:spacing w:val="-10"/>
        </w:rPr>
        <w:t> </w:t>
      </w:r>
      <w:r>
        <w:rPr>
          <w:color w:val="231F20"/>
        </w:rPr>
        <w:t>fin,</w:t>
      </w:r>
      <w:r>
        <w:rPr>
          <w:color w:val="231F20"/>
          <w:spacing w:val="-10"/>
        </w:rPr>
        <w:t> </w:t>
      </w:r>
      <w:r>
        <w:rPr>
          <w:color w:val="231F20"/>
        </w:rPr>
        <w:t>desconfianza</w:t>
      </w:r>
      <w:r>
        <w:rPr>
          <w:color w:val="231F20"/>
          <w:spacing w:val="-10"/>
        </w:rPr>
        <w:t> </w:t>
      </w:r>
      <w:r>
        <w:rPr>
          <w:color w:val="231F20"/>
        </w:rPr>
        <w:t>en</w:t>
      </w:r>
      <w:r>
        <w:rPr>
          <w:color w:val="231F20"/>
          <w:spacing w:val="-10"/>
        </w:rPr>
        <w:t> </w:t>
      </w:r>
      <w:r>
        <w:rPr>
          <w:color w:val="231F20"/>
        </w:rPr>
        <w:t>las</w:t>
      </w:r>
      <w:r>
        <w:rPr>
          <w:color w:val="231F20"/>
          <w:spacing w:val="-10"/>
        </w:rPr>
        <w:t> </w:t>
      </w:r>
      <w:r>
        <w:rPr>
          <w:color w:val="231F20"/>
        </w:rPr>
        <w:t>autoridades</w:t>
      </w:r>
      <w:r>
        <w:rPr>
          <w:color w:val="231F20"/>
          <w:spacing w:val="-10"/>
        </w:rPr>
        <w:t> </w:t>
      </w:r>
      <w:r>
        <w:rPr>
          <w:color w:val="231F20"/>
        </w:rPr>
        <w:t>y</w:t>
      </w:r>
      <w:r>
        <w:rPr>
          <w:color w:val="231F20"/>
          <w:spacing w:val="-10"/>
        </w:rPr>
        <w:t> </w:t>
      </w:r>
      <w:r>
        <w:rPr>
          <w:color w:val="231F20"/>
        </w:rPr>
        <w:t>desesperanza</w:t>
      </w:r>
      <w:r>
        <w:rPr>
          <w:color w:val="231F20"/>
          <w:spacing w:val="-10"/>
        </w:rPr>
        <w:t> </w:t>
      </w:r>
      <w:r>
        <w:rPr>
          <w:color w:val="231F20"/>
        </w:rPr>
        <w:t>en</w:t>
      </w:r>
      <w:r>
        <w:rPr>
          <w:color w:val="231F20"/>
          <w:spacing w:val="-10"/>
        </w:rPr>
        <w:t> </w:t>
      </w:r>
      <w:r>
        <w:rPr>
          <w:color w:val="231F20"/>
        </w:rPr>
        <w:t>la población,</w:t>
      </w:r>
      <w:r>
        <w:rPr>
          <w:color w:val="231F20"/>
          <w:position w:val="7"/>
          <w:sz w:val="13"/>
        </w:rPr>
        <w:t>9 </w:t>
      </w:r>
      <w:r>
        <w:rPr>
          <w:color w:val="231F20"/>
        </w:rPr>
        <w:t>especialmente en los jóvenes, que incide en que la migración pueda</w:t>
      </w:r>
      <w:r>
        <w:rPr>
          <w:color w:val="231F20"/>
          <w:spacing w:val="-8"/>
        </w:rPr>
        <w:t> </w:t>
      </w:r>
      <w:r>
        <w:rPr>
          <w:color w:val="231F20"/>
        </w:rPr>
        <w:t>ser</w:t>
      </w:r>
      <w:r>
        <w:rPr>
          <w:color w:val="231F20"/>
          <w:spacing w:val="-8"/>
        </w:rPr>
        <w:t> </w:t>
      </w:r>
      <w:r>
        <w:rPr>
          <w:color w:val="231F20"/>
        </w:rPr>
        <w:t>una</w:t>
      </w:r>
      <w:r>
        <w:rPr>
          <w:color w:val="231F20"/>
          <w:spacing w:val="-8"/>
        </w:rPr>
        <w:t> </w:t>
      </w:r>
      <w:r>
        <w:rPr>
          <w:color w:val="231F20"/>
        </w:rPr>
        <w:t>alternativa</w:t>
      </w:r>
      <w:r>
        <w:rPr>
          <w:color w:val="231F20"/>
          <w:spacing w:val="-9"/>
        </w:rPr>
        <w:t> </w:t>
      </w:r>
      <w:r>
        <w:rPr>
          <w:color w:val="231F20"/>
        </w:rPr>
        <w:t>de</w:t>
      </w:r>
      <w:r>
        <w:rPr>
          <w:color w:val="231F20"/>
          <w:spacing w:val="-8"/>
        </w:rPr>
        <w:t> </w:t>
      </w:r>
      <w:r>
        <w:rPr>
          <w:color w:val="231F20"/>
        </w:rPr>
        <w:t>protección</w:t>
      </w:r>
      <w:r>
        <w:rPr>
          <w:color w:val="231F20"/>
          <w:spacing w:val="-8"/>
        </w:rPr>
        <w:t> </w:t>
      </w:r>
      <w:r>
        <w:rPr>
          <w:color w:val="231F20"/>
        </w:rPr>
        <w:t>y</w:t>
      </w:r>
      <w:r>
        <w:rPr>
          <w:color w:val="231F20"/>
          <w:spacing w:val="-8"/>
        </w:rPr>
        <w:t> </w:t>
      </w:r>
      <w:r>
        <w:rPr>
          <w:color w:val="231F20"/>
        </w:rPr>
        <w:t>búsqueda</w:t>
      </w:r>
      <w:r>
        <w:rPr>
          <w:color w:val="231F20"/>
          <w:spacing w:val="-8"/>
        </w:rPr>
        <w:t> </w:t>
      </w:r>
      <w:r>
        <w:rPr>
          <w:color w:val="231F20"/>
        </w:rPr>
        <w:t>de</w:t>
      </w:r>
      <w:r>
        <w:rPr>
          <w:color w:val="231F20"/>
          <w:spacing w:val="-8"/>
        </w:rPr>
        <w:t> </w:t>
      </w:r>
      <w:r>
        <w:rPr>
          <w:color w:val="231F20"/>
        </w:rPr>
        <w:t>cumplimiento</w:t>
      </w:r>
      <w:r>
        <w:rPr>
          <w:color w:val="231F20"/>
          <w:spacing w:val="-9"/>
        </w:rPr>
        <w:t> </w:t>
      </w:r>
      <w:r>
        <w:rPr>
          <w:color w:val="231F20"/>
        </w:rPr>
        <w:t>de</w:t>
      </w:r>
      <w:r>
        <w:rPr>
          <w:color w:val="231F20"/>
          <w:spacing w:val="-8"/>
        </w:rPr>
        <w:t> </w:t>
      </w:r>
      <w:r>
        <w:rPr>
          <w:color w:val="231F20"/>
        </w:rPr>
        <w:t>las aspiraciones de movilidad social. A estos problemas se suman los efectos de la crisis económica internacional en el</w:t>
      </w:r>
      <w:r>
        <w:rPr>
          <w:color w:val="231F20"/>
          <w:spacing w:val="-4"/>
        </w:rPr>
        <w:t> </w:t>
      </w:r>
      <w:r>
        <w:rPr>
          <w:color w:val="231F20"/>
        </w:rPr>
        <w:t>país.</w:t>
      </w:r>
    </w:p>
    <w:p>
      <w:pPr>
        <w:spacing w:before="149"/>
        <w:ind w:left="117" w:right="0" w:firstLine="0"/>
        <w:jc w:val="both"/>
        <w:rPr>
          <w:i/>
          <w:sz w:val="22"/>
        </w:rPr>
      </w:pPr>
      <w:r>
        <w:rPr>
          <w:i/>
          <w:color w:val="231F20"/>
          <w:sz w:val="22"/>
        </w:rPr>
        <w:t>Violencia y criminalidad</w:t>
      </w:r>
    </w:p>
    <w:p>
      <w:pPr>
        <w:pStyle w:val="BodyText"/>
        <w:spacing w:line="247" w:lineRule="auto" w:before="177"/>
        <w:ind w:left="117" w:right="115"/>
        <w:jc w:val="both"/>
      </w:pPr>
      <w:r>
        <w:rPr>
          <w:color w:val="231F20"/>
        </w:rPr>
        <w:t>La escalada de </w:t>
      </w:r>
      <w:r>
        <w:rPr>
          <w:i/>
          <w:color w:val="231F20"/>
        </w:rPr>
        <w:t>violencia y criminalidad </w:t>
      </w:r>
      <w:r>
        <w:rPr>
          <w:color w:val="231F20"/>
        </w:rPr>
        <w:t>ha aumentado en el país, los ho- micidios han crecido en los últimos años, para </w:t>
      </w:r>
      <w:r>
        <w:rPr>
          <w:color w:val="231F20"/>
          <w:spacing w:val="-3"/>
        </w:rPr>
        <w:t>2011 </w:t>
      </w:r>
      <w:r>
        <w:rPr>
          <w:color w:val="231F20"/>
        </w:rPr>
        <w:t>se produjeron 9 799 muertes por causas externas, de las cuales 7 104 son homicidios, que</w:t>
      </w:r>
      <w:r>
        <w:rPr>
          <w:color w:val="231F20"/>
          <w:spacing w:val="-26"/>
        </w:rPr>
        <w:t> </w:t>
      </w:r>
      <w:r>
        <w:rPr>
          <w:color w:val="231F20"/>
        </w:rPr>
        <w:t>lleva a una tasa de homicidios de 86.5 por 100 mil habitantes (Cuadro 3), una de</w:t>
      </w:r>
      <w:r>
        <w:rPr>
          <w:color w:val="231F20"/>
          <w:spacing w:val="-4"/>
        </w:rPr>
        <w:t> </w:t>
      </w:r>
      <w:r>
        <w:rPr>
          <w:color w:val="231F20"/>
        </w:rPr>
        <w:t>las</w:t>
      </w:r>
      <w:r>
        <w:rPr>
          <w:color w:val="231F20"/>
          <w:spacing w:val="-4"/>
        </w:rPr>
        <w:t> </w:t>
      </w:r>
      <w:r>
        <w:rPr>
          <w:color w:val="231F20"/>
        </w:rPr>
        <w:t>más</w:t>
      </w:r>
      <w:r>
        <w:rPr>
          <w:color w:val="231F20"/>
          <w:spacing w:val="-4"/>
        </w:rPr>
        <w:t> </w:t>
      </w:r>
      <w:r>
        <w:rPr>
          <w:color w:val="231F20"/>
        </w:rPr>
        <w:t>elevadas</w:t>
      </w:r>
      <w:r>
        <w:rPr>
          <w:color w:val="231F20"/>
          <w:spacing w:val="-4"/>
        </w:rPr>
        <w:t> </w:t>
      </w:r>
      <w:r>
        <w:rPr>
          <w:color w:val="231F20"/>
        </w:rPr>
        <w:t>a</w:t>
      </w:r>
      <w:r>
        <w:rPr>
          <w:color w:val="231F20"/>
          <w:spacing w:val="-4"/>
        </w:rPr>
        <w:t> </w:t>
      </w:r>
      <w:r>
        <w:rPr>
          <w:color w:val="231F20"/>
        </w:rPr>
        <w:t>nivel</w:t>
      </w:r>
      <w:r>
        <w:rPr>
          <w:color w:val="231F20"/>
          <w:spacing w:val="-4"/>
        </w:rPr>
        <w:t> </w:t>
      </w:r>
      <w:r>
        <w:rPr>
          <w:color w:val="231F20"/>
        </w:rPr>
        <w:t>mundial,</w:t>
      </w:r>
      <w:r>
        <w:rPr>
          <w:color w:val="231F20"/>
          <w:spacing w:val="-4"/>
        </w:rPr>
        <w:t> </w:t>
      </w:r>
      <w:r>
        <w:rPr>
          <w:color w:val="231F20"/>
        </w:rPr>
        <w:t>592</w:t>
      </w:r>
      <w:r>
        <w:rPr>
          <w:color w:val="231F20"/>
          <w:spacing w:val="-4"/>
        </w:rPr>
        <w:t> </w:t>
      </w:r>
      <w:r>
        <w:rPr>
          <w:color w:val="231F20"/>
        </w:rPr>
        <w:t>homicidios</w:t>
      </w:r>
      <w:r>
        <w:rPr>
          <w:color w:val="231F20"/>
          <w:spacing w:val="-4"/>
        </w:rPr>
        <w:t> </w:t>
      </w:r>
      <w:r>
        <w:rPr>
          <w:color w:val="231F20"/>
        </w:rPr>
        <w:t>mensuales</w:t>
      </w:r>
      <w:r>
        <w:rPr>
          <w:color w:val="231F20"/>
          <w:spacing w:val="-4"/>
        </w:rPr>
        <w:t> </w:t>
      </w:r>
      <w:r>
        <w:rPr>
          <w:color w:val="231F20"/>
        </w:rPr>
        <w:t>y</w:t>
      </w:r>
      <w:r>
        <w:rPr>
          <w:color w:val="231F20"/>
          <w:spacing w:val="-4"/>
        </w:rPr>
        <w:t> </w:t>
      </w:r>
      <w:r>
        <w:rPr>
          <w:color w:val="231F20"/>
        </w:rPr>
        <w:t>20</w:t>
      </w:r>
      <w:r>
        <w:rPr>
          <w:color w:val="231F20"/>
          <w:spacing w:val="-4"/>
        </w:rPr>
        <w:t> </w:t>
      </w:r>
      <w:r>
        <w:rPr>
          <w:color w:val="231F20"/>
        </w:rPr>
        <w:t>vícti- mas diarias, en 85 por ciento causados con armas de fuego. Del año 2004 al </w:t>
      </w:r>
      <w:r>
        <w:rPr>
          <w:color w:val="231F20"/>
          <w:spacing w:val="-3"/>
        </w:rPr>
        <w:t>2011 </w:t>
      </w:r>
      <w:r>
        <w:rPr>
          <w:color w:val="231F20"/>
        </w:rPr>
        <w:t>se han producido en el país 33 mil homicidios (UNAH-IUDPAS, 2012). El informe sobre seguridad ciudadana en las Américas cataloga a Honduras,</w:t>
      </w:r>
      <w:r>
        <w:rPr>
          <w:color w:val="231F20"/>
          <w:spacing w:val="-7"/>
        </w:rPr>
        <w:t> </w:t>
      </w:r>
      <w:r>
        <w:rPr>
          <w:color w:val="231F20"/>
        </w:rPr>
        <w:t>que</w:t>
      </w:r>
      <w:r>
        <w:rPr>
          <w:color w:val="231F20"/>
          <w:spacing w:val="-7"/>
        </w:rPr>
        <w:t> </w:t>
      </w:r>
      <w:r>
        <w:rPr>
          <w:color w:val="231F20"/>
        </w:rPr>
        <w:t>ocupa</w:t>
      </w:r>
      <w:r>
        <w:rPr>
          <w:color w:val="231F20"/>
          <w:spacing w:val="-8"/>
        </w:rPr>
        <w:t> </w:t>
      </w:r>
      <w:r>
        <w:rPr>
          <w:color w:val="231F20"/>
        </w:rPr>
        <w:t>el</w:t>
      </w:r>
      <w:r>
        <w:rPr>
          <w:color w:val="231F20"/>
          <w:spacing w:val="-8"/>
        </w:rPr>
        <w:t> </w:t>
      </w:r>
      <w:r>
        <w:rPr>
          <w:color w:val="231F20"/>
        </w:rPr>
        <w:t>primer</w:t>
      </w:r>
      <w:r>
        <w:rPr>
          <w:color w:val="231F20"/>
          <w:spacing w:val="-8"/>
        </w:rPr>
        <w:t> </w:t>
      </w:r>
      <w:r>
        <w:rPr>
          <w:color w:val="231F20"/>
        </w:rPr>
        <w:t>lugar</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mayor</w:t>
      </w:r>
      <w:r>
        <w:rPr>
          <w:color w:val="231F20"/>
          <w:spacing w:val="-8"/>
        </w:rPr>
        <w:t> </w:t>
      </w:r>
      <w:r>
        <w:rPr>
          <w:color w:val="231F20"/>
        </w:rPr>
        <w:t>tasa</w:t>
      </w:r>
      <w:r>
        <w:rPr>
          <w:color w:val="231F20"/>
          <w:spacing w:val="-8"/>
        </w:rPr>
        <w:t> </w:t>
      </w:r>
      <w:r>
        <w:rPr>
          <w:color w:val="231F20"/>
        </w:rPr>
        <w:t>de</w:t>
      </w:r>
      <w:r>
        <w:rPr>
          <w:color w:val="231F20"/>
          <w:spacing w:val="-7"/>
        </w:rPr>
        <w:t> </w:t>
      </w:r>
      <w:r>
        <w:rPr>
          <w:color w:val="231F20"/>
        </w:rPr>
        <w:t>homicidios</w:t>
      </w:r>
      <w:r>
        <w:rPr>
          <w:color w:val="231F20"/>
          <w:spacing w:val="-7"/>
        </w:rPr>
        <w:t> </w:t>
      </w:r>
      <w:r>
        <w:rPr>
          <w:color w:val="231F20"/>
        </w:rPr>
        <w:t>de</w:t>
      </w:r>
      <w:r>
        <w:rPr>
          <w:color w:val="231F20"/>
          <w:spacing w:val="-7"/>
        </w:rPr>
        <w:t> </w:t>
      </w:r>
      <w:r>
        <w:rPr>
          <w:color w:val="231F20"/>
        </w:rPr>
        <w:t>la última década (OEA,</w:t>
      </w:r>
      <w:r>
        <w:rPr>
          <w:color w:val="231F20"/>
          <w:spacing w:val="-10"/>
        </w:rPr>
        <w:t> </w:t>
      </w:r>
      <w:r>
        <w:rPr>
          <w:color w:val="231F20"/>
        </w:rPr>
        <w:t>2011).</w:t>
      </w:r>
    </w:p>
    <w:p>
      <w:pPr>
        <w:pStyle w:val="BodyText"/>
        <w:spacing w:line="247" w:lineRule="auto"/>
        <w:ind w:left="117" w:right="114" w:firstLine="283"/>
        <w:jc w:val="both"/>
      </w:pPr>
      <w:r>
        <w:rPr>
          <w:color w:val="231F20"/>
        </w:rPr>
        <w:t>Como las muertes en su mayoría se producen en las edades entre 15 y 44 años, afectan a jóvenes y adultos, lo que provoca un ambiente de inse- guridad generalizada y la búsqueda de lugares seguros, que bien pueden ser en el extranjero, principalmente en aquellos países donde este no es</w:t>
      </w:r>
      <w:r>
        <w:rPr>
          <w:color w:val="231F20"/>
          <w:spacing w:val="-18"/>
        </w:rPr>
        <w:t> </w:t>
      </w:r>
      <w:r>
        <w:rPr>
          <w:color w:val="231F20"/>
        </w:rPr>
        <w:t>un fenómeno alarmante.</w:t>
      </w:r>
    </w:p>
    <w:p>
      <w:pPr>
        <w:pStyle w:val="BodyText"/>
        <w:spacing w:line="247" w:lineRule="auto"/>
        <w:ind w:left="117" w:right="115" w:firstLine="283"/>
        <w:jc w:val="both"/>
      </w:pPr>
      <w:r>
        <w:rPr>
          <w:color w:val="231F20"/>
        </w:rPr>
        <w:t>Existen mecanismos de protección en el exterior, en países que no son el de origen, que implica en la mayoría de los casos alcanzar llegar al te- rritorio de acogida y solicitar protección a las autoridades y   demostrarla,</w:t>
      </w:r>
    </w:p>
    <w:p>
      <w:pPr>
        <w:pStyle w:val="BodyText"/>
        <w:spacing w:before="5"/>
        <w:rPr>
          <w:sz w:val="17"/>
        </w:rPr>
      </w:pPr>
      <w:r>
        <w:rPr/>
        <w:pict>
          <v:line style="position:absolute;mso-position-horizontal-relative:page;mso-position-vertical-relative:paragraph;z-index:3016;mso-wrap-distance-left:0;mso-wrap-distance-right:0" from="70.866096pt,12.356555pt" to="142.866096pt,12.356555pt" stroked="true" strokeweight=".75pt" strokecolor="#231f20">
            <w10:wrap type="topAndBottom"/>
          </v:line>
        </w:pict>
      </w:r>
    </w:p>
    <w:p>
      <w:pPr>
        <w:spacing w:line="208" w:lineRule="auto" w:before="0"/>
        <w:ind w:left="117" w:right="115" w:firstLine="0"/>
        <w:jc w:val="both"/>
        <w:rPr>
          <w:sz w:val="17"/>
        </w:rPr>
      </w:pPr>
      <w:r>
        <w:rPr>
          <w:color w:val="231F20"/>
          <w:position w:val="6"/>
          <w:sz w:val="10"/>
        </w:rPr>
        <w:t>9 </w:t>
      </w:r>
      <w:r>
        <w:rPr>
          <w:color w:val="231F20"/>
          <w:sz w:val="17"/>
        </w:rPr>
        <w:t>El Informe de Transparencia 2012 del Consejo Nacional Anticorrupción (CNA) resalta que 90 por ciento de los hondureños tienen poca o ninguna confianza en otras personas, también en los partidos políticos. 80 por ciento no tiene confianza en el Congreso Nacional y 98 por ciento de la</w:t>
      </w:r>
      <w:r>
        <w:rPr>
          <w:color w:val="231F20"/>
          <w:spacing w:val="-2"/>
          <w:sz w:val="17"/>
        </w:rPr>
        <w:t> </w:t>
      </w:r>
      <w:r>
        <w:rPr>
          <w:color w:val="231F20"/>
          <w:sz w:val="17"/>
        </w:rPr>
        <w:t>población</w:t>
      </w:r>
      <w:r>
        <w:rPr>
          <w:color w:val="231F20"/>
          <w:spacing w:val="-2"/>
          <w:sz w:val="17"/>
        </w:rPr>
        <w:t> </w:t>
      </w:r>
      <w:r>
        <w:rPr>
          <w:color w:val="231F20"/>
          <w:sz w:val="17"/>
        </w:rPr>
        <w:t>manifiesta</w:t>
      </w:r>
      <w:r>
        <w:rPr>
          <w:color w:val="231F20"/>
          <w:spacing w:val="-2"/>
          <w:sz w:val="17"/>
        </w:rPr>
        <w:t> </w:t>
      </w:r>
      <w:r>
        <w:rPr>
          <w:color w:val="231F20"/>
          <w:sz w:val="17"/>
        </w:rPr>
        <w:t>que</w:t>
      </w:r>
      <w:r>
        <w:rPr>
          <w:color w:val="231F20"/>
          <w:spacing w:val="-2"/>
          <w:sz w:val="17"/>
        </w:rPr>
        <w:t> </w:t>
      </w:r>
      <w:r>
        <w:rPr>
          <w:color w:val="231F20"/>
          <w:sz w:val="17"/>
        </w:rPr>
        <w:t>el</w:t>
      </w:r>
      <w:r>
        <w:rPr>
          <w:color w:val="231F20"/>
          <w:spacing w:val="-2"/>
          <w:sz w:val="17"/>
        </w:rPr>
        <w:t> </w:t>
      </w:r>
      <w:r>
        <w:rPr>
          <w:color w:val="231F20"/>
          <w:sz w:val="17"/>
        </w:rPr>
        <w:t>país</w:t>
      </w:r>
      <w:r>
        <w:rPr>
          <w:color w:val="231F20"/>
          <w:spacing w:val="-2"/>
          <w:sz w:val="17"/>
        </w:rPr>
        <w:t> </w:t>
      </w:r>
      <w:r>
        <w:rPr>
          <w:color w:val="231F20"/>
          <w:sz w:val="17"/>
        </w:rPr>
        <w:t>existe</w:t>
      </w:r>
      <w:r>
        <w:rPr>
          <w:color w:val="231F20"/>
          <w:spacing w:val="-2"/>
          <w:sz w:val="17"/>
        </w:rPr>
        <w:t> </w:t>
      </w:r>
      <w:r>
        <w:rPr>
          <w:color w:val="231F20"/>
          <w:sz w:val="17"/>
        </w:rPr>
        <w:t>demasiada</w:t>
      </w:r>
      <w:r>
        <w:rPr>
          <w:color w:val="231F20"/>
          <w:spacing w:val="-2"/>
          <w:sz w:val="17"/>
        </w:rPr>
        <w:t> </w:t>
      </w:r>
      <w:r>
        <w:rPr>
          <w:color w:val="231F20"/>
          <w:sz w:val="17"/>
        </w:rPr>
        <w:t>o</w:t>
      </w:r>
      <w:r>
        <w:rPr>
          <w:color w:val="231F20"/>
          <w:spacing w:val="-2"/>
          <w:sz w:val="17"/>
        </w:rPr>
        <w:t> </w:t>
      </w:r>
      <w:r>
        <w:rPr>
          <w:color w:val="231F20"/>
          <w:sz w:val="17"/>
        </w:rPr>
        <w:t>mucha</w:t>
      </w:r>
      <w:r>
        <w:rPr>
          <w:color w:val="231F20"/>
          <w:spacing w:val="-2"/>
          <w:sz w:val="17"/>
        </w:rPr>
        <w:t> </w:t>
      </w:r>
      <w:r>
        <w:rPr>
          <w:color w:val="231F20"/>
          <w:sz w:val="17"/>
        </w:rPr>
        <w:t>corrupción</w:t>
      </w:r>
      <w:r>
        <w:rPr>
          <w:color w:val="231F20"/>
          <w:spacing w:val="-2"/>
          <w:sz w:val="17"/>
        </w:rPr>
        <w:t> </w:t>
      </w:r>
      <w:r>
        <w:rPr>
          <w:color w:val="231F20"/>
          <w:sz w:val="17"/>
        </w:rPr>
        <w:t>(Diario</w:t>
      </w:r>
      <w:r>
        <w:rPr>
          <w:color w:val="231F20"/>
          <w:spacing w:val="-2"/>
          <w:sz w:val="17"/>
        </w:rPr>
        <w:t> </w:t>
      </w:r>
      <w:r>
        <w:rPr>
          <w:color w:val="231F20"/>
          <w:sz w:val="17"/>
        </w:rPr>
        <w:t>La</w:t>
      </w:r>
      <w:r>
        <w:rPr>
          <w:color w:val="231F20"/>
          <w:spacing w:val="-5"/>
          <w:sz w:val="17"/>
        </w:rPr>
        <w:t> </w:t>
      </w:r>
      <w:r>
        <w:rPr>
          <w:color w:val="231F20"/>
          <w:sz w:val="17"/>
        </w:rPr>
        <w:t>Tribuna</w:t>
      </w:r>
      <w:r>
        <w:rPr>
          <w:color w:val="231F20"/>
          <w:spacing w:val="-2"/>
          <w:sz w:val="17"/>
        </w:rPr>
        <w:t> </w:t>
      </w:r>
      <w:r>
        <w:rPr>
          <w:color w:val="231F20"/>
          <w:sz w:val="17"/>
        </w:rPr>
        <w:t>del 19 de abril del 2012).</w:t>
      </w:r>
    </w:p>
    <w:p>
      <w:pPr>
        <w:spacing w:after="0" w:line="208" w:lineRule="auto"/>
        <w:jc w:val="both"/>
        <w:rPr>
          <w:sz w:val="17"/>
        </w:rPr>
        <w:sectPr>
          <w:pgSz w:w="9360" w:h="13040"/>
          <w:pgMar w:header="0" w:footer="496" w:top="800" w:bottom="680" w:left="1300" w:right="1300"/>
        </w:sectPr>
      </w:pPr>
    </w:p>
    <w:p>
      <w:pPr>
        <w:spacing w:before="45"/>
        <w:ind w:left="117" w:right="117" w:firstLine="626"/>
        <w:jc w:val="left"/>
        <w:rPr>
          <w:rFonts w:ascii="Arial" w:hAnsi="Arial"/>
          <w:sz w:val="20"/>
        </w:rPr>
      </w:pPr>
      <w:r>
        <w:rPr>
          <w:rFonts w:ascii="Arial" w:hAnsi="Arial"/>
          <w:color w:val="231F20"/>
          <w:w w:val="65"/>
          <w:sz w:val="20"/>
        </w:rPr>
        <w:t>Factores contextuales de la migración internacional de    Honduras /Manuel Antonio Flores-Fonseca</w:t>
      </w:r>
    </w:p>
    <w:p>
      <w:pPr>
        <w:pStyle w:val="BodyText"/>
        <w:spacing w:before="7"/>
        <w:rPr>
          <w:rFonts w:ascii="Arial"/>
          <w:sz w:val="28"/>
        </w:rPr>
      </w:pPr>
    </w:p>
    <w:p>
      <w:pPr>
        <w:pStyle w:val="BodyText"/>
        <w:spacing w:line="247" w:lineRule="auto"/>
        <w:ind w:left="117" w:right="114"/>
        <w:jc w:val="both"/>
      </w:pPr>
      <w:r>
        <w:rPr>
          <w:color w:val="231F20"/>
        </w:rPr>
        <w:t>siendo un proceso que lleva tiempo, por lo tanto accesar a este</w:t>
      </w:r>
      <w:r>
        <w:rPr>
          <w:color w:val="231F20"/>
          <w:spacing w:val="-34"/>
        </w:rPr>
        <w:t> </w:t>
      </w:r>
      <w:r>
        <w:rPr>
          <w:color w:val="231F20"/>
        </w:rPr>
        <w:t>mecanismo no es una opción expedita y pocas personas aplican, ya que no tienen la información y desconocen los mecanismos. En el caso de México de</w:t>
      </w:r>
      <w:r>
        <w:rPr>
          <w:color w:val="231F20"/>
          <w:spacing w:val="-29"/>
        </w:rPr>
        <w:t> </w:t>
      </w:r>
      <w:r>
        <w:rPr>
          <w:color w:val="231F20"/>
        </w:rPr>
        <w:t>2002 a</w:t>
      </w:r>
      <w:r>
        <w:rPr>
          <w:color w:val="231F20"/>
          <w:spacing w:val="-10"/>
        </w:rPr>
        <w:t> </w:t>
      </w:r>
      <w:r>
        <w:rPr>
          <w:color w:val="231F20"/>
        </w:rPr>
        <w:t>2012</w:t>
      </w:r>
      <w:r>
        <w:rPr>
          <w:color w:val="231F20"/>
          <w:spacing w:val="-10"/>
        </w:rPr>
        <w:t> </w:t>
      </w:r>
      <w:r>
        <w:rPr>
          <w:color w:val="231F20"/>
        </w:rPr>
        <w:t>hay</w:t>
      </w:r>
      <w:r>
        <w:rPr>
          <w:color w:val="231F20"/>
          <w:spacing w:val="-10"/>
        </w:rPr>
        <w:t> </w:t>
      </w:r>
      <w:r>
        <w:rPr>
          <w:color w:val="231F20"/>
        </w:rPr>
        <w:t>registradas</w:t>
      </w:r>
      <w:r>
        <w:rPr>
          <w:color w:val="231F20"/>
          <w:spacing w:val="-10"/>
        </w:rPr>
        <w:t> </w:t>
      </w:r>
      <w:r>
        <w:rPr>
          <w:color w:val="231F20"/>
        </w:rPr>
        <w:t>82</w:t>
      </w:r>
      <w:r>
        <w:rPr>
          <w:color w:val="231F20"/>
          <w:spacing w:val="-10"/>
        </w:rPr>
        <w:t> </w:t>
      </w:r>
      <w:r>
        <w:rPr>
          <w:color w:val="231F20"/>
        </w:rPr>
        <w:t>personas</w:t>
      </w:r>
      <w:r>
        <w:rPr>
          <w:color w:val="231F20"/>
          <w:spacing w:val="-10"/>
        </w:rPr>
        <w:t> </w:t>
      </w:r>
      <w:r>
        <w:rPr>
          <w:color w:val="231F20"/>
        </w:rPr>
        <w:t>refugiadas,</w:t>
      </w:r>
      <w:r>
        <w:rPr>
          <w:color w:val="231F20"/>
          <w:position w:val="7"/>
          <w:sz w:val="13"/>
        </w:rPr>
        <w:t>10</w:t>
      </w:r>
      <w:r>
        <w:rPr>
          <w:color w:val="231F20"/>
          <w:spacing w:val="12"/>
          <w:position w:val="7"/>
          <w:sz w:val="13"/>
        </w:rPr>
        <w:t> </w:t>
      </w:r>
      <w:r>
        <w:rPr>
          <w:color w:val="231F20"/>
        </w:rPr>
        <w:t>su</w:t>
      </w:r>
      <w:r>
        <w:rPr>
          <w:color w:val="231F20"/>
          <w:spacing w:val="-10"/>
        </w:rPr>
        <w:t> </w:t>
      </w:r>
      <w:r>
        <w:rPr>
          <w:color w:val="231F20"/>
        </w:rPr>
        <w:t>mayor</w:t>
      </w:r>
      <w:r>
        <w:rPr>
          <w:color w:val="231F20"/>
          <w:spacing w:val="-11"/>
        </w:rPr>
        <w:t> </w:t>
      </w:r>
      <w:r>
        <w:rPr>
          <w:color w:val="231F20"/>
        </w:rPr>
        <w:t>número</w:t>
      </w:r>
      <w:r>
        <w:rPr>
          <w:color w:val="231F20"/>
          <w:spacing w:val="-10"/>
        </w:rPr>
        <w:t> </w:t>
      </w:r>
      <w:r>
        <w:rPr>
          <w:color w:val="231F20"/>
        </w:rPr>
        <w:t>es</w:t>
      </w:r>
      <w:r>
        <w:rPr>
          <w:color w:val="231F20"/>
          <w:spacing w:val="-10"/>
        </w:rPr>
        <w:t> </w:t>
      </w:r>
      <w:r>
        <w:rPr>
          <w:color w:val="231F20"/>
        </w:rPr>
        <w:t>desde 2009,</w:t>
      </w:r>
      <w:r>
        <w:rPr>
          <w:color w:val="231F20"/>
          <w:spacing w:val="-9"/>
        </w:rPr>
        <w:t> </w:t>
      </w:r>
      <w:r>
        <w:rPr>
          <w:color w:val="231F20"/>
        </w:rPr>
        <w:t>mientras</w:t>
      </w:r>
      <w:r>
        <w:rPr>
          <w:color w:val="231F20"/>
          <w:spacing w:val="-9"/>
        </w:rPr>
        <w:t> </w:t>
      </w:r>
      <w:r>
        <w:rPr>
          <w:color w:val="231F20"/>
        </w:rPr>
        <w:t>tanto</w:t>
      </w:r>
      <w:r>
        <w:rPr>
          <w:color w:val="231F20"/>
          <w:spacing w:val="-9"/>
        </w:rPr>
        <w:t> </w:t>
      </w:r>
      <w:r>
        <w:rPr>
          <w:color w:val="231F20"/>
        </w:rPr>
        <w:t>en</w:t>
      </w:r>
      <w:r>
        <w:rPr>
          <w:color w:val="231F20"/>
          <w:spacing w:val="-9"/>
        </w:rPr>
        <w:t> </w:t>
      </w:r>
      <w:r>
        <w:rPr>
          <w:color w:val="231F20"/>
        </w:rPr>
        <w:t>Estados</w:t>
      </w:r>
      <w:r>
        <w:rPr>
          <w:color w:val="231F20"/>
          <w:spacing w:val="-9"/>
        </w:rPr>
        <w:t> </w:t>
      </w:r>
      <w:r>
        <w:rPr>
          <w:color w:val="231F20"/>
        </w:rPr>
        <w:t>Unidos,</w:t>
      </w:r>
      <w:r>
        <w:rPr>
          <w:color w:val="231F20"/>
          <w:spacing w:val="-9"/>
        </w:rPr>
        <w:t> </w:t>
      </w:r>
      <w:r>
        <w:rPr>
          <w:color w:val="231F20"/>
        </w:rPr>
        <w:t>sólo</w:t>
      </w:r>
      <w:r>
        <w:rPr>
          <w:color w:val="231F20"/>
          <w:spacing w:val="-9"/>
        </w:rPr>
        <w:t> </w:t>
      </w:r>
      <w:r>
        <w:rPr>
          <w:color w:val="231F20"/>
        </w:rPr>
        <w:t>25</w:t>
      </w:r>
      <w:r>
        <w:rPr>
          <w:color w:val="231F20"/>
          <w:spacing w:val="-9"/>
        </w:rPr>
        <w:t> </w:t>
      </w:r>
      <w:r>
        <w:rPr>
          <w:color w:val="231F20"/>
        </w:rPr>
        <w:t>personas</w:t>
      </w:r>
      <w:r>
        <w:rPr>
          <w:color w:val="231F20"/>
          <w:spacing w:val="-9"/>
        </w:rPr>
        <w:t> </w:t>
      </w:r>
      <w:r>
        <w:rPr>
          <w:color w:val="231F20"/>
        </w:rPr>
        <w:t>se</w:t>
      </w:r>
      <w:r>
        <w:rPr>
          <w:color w:val="231F20"/>
          <w:spacing w:val="-9"/>
        </w:rPr>
        <w:t> </w:t>
      </w:r>
      <w:r>
        <w:rPr>
          <w:color w:val="231F20"/>
        </w:rPr>
        <w:t>han</w:t>
      </w:r>
      <w:r>
        <w:rPr>
          <w:color w:val="231F20"/>
          <w:spacing w:val="-9"/>
        </w:rPr>
        <w:t> </w:t>
      </w:r>
      <w:r>
        <w:rPr>
          <w:color w:val="231F20"/>
        </w:rPr>
        <w:t>asilado</w:t>
      </w:r>
      <w:r>
        <w:rPr>
          <w:color w:val="231F20"/>
          <w:spacing w:val="-9"/>
        </w:rPr>
        <w:t> </w:t>
      </w:r>
      <w:r>
        <w:rPr>
          <w:color w:val="231F20"/>
        </w:rPr>
        <w:t>en los años 2010 y</w:t>
      </w:r>
      <w:r>
        <w:rPr>
          <w:color w:val="231F20"/>
          <w:spacing w:val="-11"/>
        </w:rPr>
        <w:t> </w:t>
      </w:r>
      <w:r>
        <w:rPr>
          <w:color w:val="231F20"/>
        </w:rPr>
        <w:t>2011.</w:t>
      </w:r>
    </w:p>
    <w:p>
      <w:pPr>
        <w:spacing w:before="127" w:after="12"/>
        <w:ind w:left="397" w:right="117" w:firstLine="0"/>
        <w:jc w:val="left"/>
        <w:rPr>
          <w:sz w:val="19"/>
        </w:rPr>
      </w:pPr>
      <w:r>
        <w:rPr>
          <w:w w:val="105"/>
          <w:sz w:val="19"/>
        </w:rPr>
        <w:t>Cuadro 3. Honduras: muertes por homicidios, 2004-2011</w:t>
      </w:r>
    </w:p>
    <w:tbl>
      <w:tblPr>
        <w:tblW w:w="0" w:type="auto"/>
        <w:jc w:val="left"/>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28"/>
        <w:gridCol w:w="2427"/>
        <w:gridCol w:w="2791"/>
      </w:tblGrid>
      <w:tr>
        <w:trPr>
          <w:trHeight w:val="250" w:hRule="exact"/>
        </w:trPr>
        <w:tc>
          <w:tcPr>
            <w:tcW w:w="1128" w:type="dxa"/>
            <w:tcBorders>
              <w:left w:val="nil"/>
              <w:bottom w:val="double" w:sz="4" w:space="0" w:color="000000"/>
              <w:right w:val="nil"/>
            </w:tcBorders>
          </w:tcPr>
          <w:p>
            <w:pPr>
              <w:pStyle w:val="TableParagraph"/>
              <w:spacing w:before="5"/>
              <w:ind w:left="110"/>
              <w:jc w:val="left"/>
              <w:rPr>
                <w:sz w:val="19"/>
              </w:rPr>
            </w:pPr>
            <w:r>
              <w:rPr>
                <w:w w:val="105"/>
                <w:sz w:val="19"/>
              </w:rPr>
              <w:t>Año</w:t>
            </w:r>
          </w:p>
        </w:tc>
        <w:tc>
          <w:tcPr>
            <w:tcW w:w="2427" w:type="dxa"/>
            <w:tcBorders>
              <w:left w:val="nil"/>
              <w:bottom w:val="double" w:sz="4" w:space="0" w:color="000000"/>
              <w:right w:val="nil"/>
            </w:tcBorders>
          </w:tcPr>
          <w:p>
            <w:pPr>
              <w:pStyle w:val="TableParagraph"/>
              <w:spacing w:before="5"/>
              <w:ind w:right="431"/>
              <w:rPr>
                <w:sz w:val="19"/>
              </w:rPr>
            </w:pPr>
            <w:r>
              <w:rPr>
                <w:w w:val="105"/>
                <w:sz w:val="19"/>
              </w:rPr>
              <w:t>Número de casos</w:t>
            </w:r>
          </w:p>
        </w:tc>
        <w:tc>
          <w:tcPr>
            <w:tcW w:w="2791" w:type="dxa"/>
            <w:tcBorders>
              <w:left w:val="nil"/>
              <w:bottom w:val="double" w:sz="4" w:space="0" w:color="000000"/>
              <w:right w:val="nil"/>
            </w:tcBorders>
          </w:tcPr>
          <w:p>
            <w:pPr>
              <w:pStyle w:val="TableParagraph"/>
              <w:spacing w:before="5"/>
              <w:ind w:right="100"/>
              <w:rPr>
                <w:sz w:val="19"/>
              </w:rPr>
            </w:pPr>
            <w:r>
              <w:rPr>
                <w:w w:val="105"/>
                <w:sz w:val="19"/>
              </w:rPr>
              <w:t>Tasa por cien mil habitantes</w:t>
            </w:r>
          </w:p>
        </w:tc>
      </w:tr>
      <w:tr>
        <w:trPr>
          <w:trHeight w:val="252" w:hRule="exact"/>
        </w:trPr>
        <w:tc>
          <w:tcPr>
            <w:tcW w:w="1128" w:type="dxa"/>
            <w:tcBorders>
              <w:top w:val="double" w:sz="4" w:space="0" w:color="000000"/>
              <w:left w:val="nil"/>
              <w:bottom w:val="nil"/>
              <w:right w:val="nil"/>
            </w:tcBorders>
          </w:tcPr>
          <w:p>
            <w:pPr>
              <w:pStyle w:val="TableParagraph"/>
              <w:spacing w:before="5"/>
              <w:ind w:left="110"/>
              <w:jc w:val="left"/>
              <w:rPr>
                <w:sz w:val="19"/>
              </w:rPr>
            </w:pPr>
            <w:r>
              <w:rPr>
                <w:w w:val="105"/>
                <w:sz w:val="19"/>
              </w:rPr>
              <w:t>2004</w:t>
            </w:r>
          </w:p>
        </w:tc>
        <w:tc>
          <w:tcPr>
            <w:tcW w:w="2427" w:type="dxa"/>
            <w:tcBorders>
              <w:top w:val="double" w:sz="4" w:space="0" w:color="000000"/>
              <w:left w:val="nil"/>
              <w:bottom w:val="nil"/>
              <w:right w:val="nil"/>
            </w:tcBorders>
          </w:tcPr>
          <w:p>
            <w:pPr>
              <w:pStyle w:val="TableParagraph"/>
              <w:spacing w:before="5"/>
              <w:ind w:right="430"/>
              <w:rPr>
                <w:sz w:val="19"/>
              </w:rPr>
            </w:pPr>
            <w:r>
              <w:rPr>
                <w:w w:val="105"/>
                <w:sz w:val="19"/>
              </w:rPr>
              <w:t>2 155</w:t>
            </w:r>
          </w:p>
        </w:tc>
        <w:tc>
          <w:tcPr>
            <w:tcW w:w="2791" w:type="dxa"/>
            <w:tcBorders>
              <w:top w:val="double" w:sz="4" w:space="0" w:color="000000"/>
              <w:left w:val="nil"/>
              <w:bottom w:val="nil"/>
              <w:right w:val="nil"/>
            </w:tcBorders>
          </w:tcPr>
          <w:p>
            <w:pPr>
              <w:pStyle w:val="TableParagraph"/>
              <w:spacing w:before="5"/>
              <w:ind w:right="102"/>
              <w:rPr>
                <w:sz w:val="19"/>
              </w:rPr>
            </w:pPr>
            <w:r>
              <w:rPr>
                <w:sz w:val="19"/>
              </w:rPr>
              <w:t>30.7</w:t>
            </w:r>
          </w:p>
        </w:tc>
      </w:tr>
      <w:tr>
        <w:trPr>
          <w:trHeight w:val="230" w:hRule="exact"/>
        </w:trPr>
        <w:tc>
          <w:tcPr>
            <w:tcW w:w="1128" w:type="dxa"/>
            <w:tcBorders>
              <w:top w:val="nil"/>
              <w:left w:val="nil"/>
              <w:bottom w:val="nil"/>
              <w:right w:val="nil"/>
            </w:tcBorders>
          </w:tcPr>
          <w:p>
            <w:pPr>
              <w:pStyle w:val="TableParagraph"/>
              <w:spacing w:line="216" w:lineRule="exact"/>
              <w:ind w:left="110"/>
              <w:jc w:val="left"/>
              <w:rPr>
                <w:sz w:val="19"/>
              </w:rPr>
            </w:pPr>
            <w:r>
              <w:rPr>
                <w:w w:val="105"/>
                <w:sz w:val="19"/>
              </w:rPr>
              <w:t>2005</w:t>
            </w:r>
          </w:p>
        </w:tc>
        <w:tc>
          <w:tcPr>
            <w:tcW w:w="2427" w:type="dxa"/>
            <w:tcBorders>
              <w:top w:val="nil"/>
              <w:left w:val="nil"/>
              <w:bottom w:val="nil"/>
              <w:right w:val="nil"/>
            </w:tcBorders>
          </w:tcPr>
          <w:p>
            <w:pPr>
              <w:pStyle w:val="TableParagraph"/>
              <w:spacing w:line="216" w:lineRule="exact"/>
              <w:ind w:right="430"/>
              <w:rPr>
                <w:sz w:val="19"/>
              </w:rPr>
            </w:pPr>
            <w:r>
              <w:rPr>
                <w:w w:val="105"/>
                <w:sz w:val="19"/>
              </w:rPr>
              <w:t>2 417</w:t>
            </w:r>
          </w:p>
        </w:tc>
        <w:tc>
          <w:tcPr>
            <w:tcW w:w="2791" w:type="dxa"/>
            <w:tcBorders>
              <w:top w:val="nil"/>
              <w:left w:val="nil"/>
              <w:bottom w:val="nil"/>
              <w:right w:val="nil"/>
            </w:tcBorders>
          </w:tcPr>
          <w:p>
            <w:pPr>
              <w:pStyle w:val="TableParagraph"/>
              <w:spacing w:line="216" w:lineRule="exact"/>
              <w:ind w:right="102"/>
              <w:rPr>
                <w:sz w:val="19"/>
              </w:rPr>
            </w:pPr>
            <w:r>
              <w:rPr>
                <w:sz w:val="19"/>
              </w:rPr>
              <w:t>37.0</w:t>
            </w:r>
          </w:p>
        </w:tc>
      </w:tr>
      <w:tr>
        <w:trPr>
          <w:trHeight w:val="230" w:hRule="exact"/>
        </w:trPr>
        <w:tc>
          <w:tcPr>
            <w:tcW w:w="1128" w:type="dxa"/>
            <w:tcBorders>
              <w:top w:val="nil"/>
              <w:left w:val="nil"/>
              <w:bottom w:val="nil"/>
              <w:right w:val="nil"/>
            </w:tcBorders>
          </w:tcPr>
          <w:p>
            <w:pPr>
              <w:pStyle w:val="TableParagraph"/>
              <w:spacing w:line="216" w:lineRule="exact"/>
              <w:ind w:left="110"/>
              <w:jc w:val="left"/>
              <w:rPr>
                <w:sz w:val="19"/>
              </w:rPr>
            </w:pPr>
            <w:r>
              <w:rPr>
                <w:w w:val="105"/>
                <w:sz w:val="19"/>
              </w:rPr>
              <w:t>2006</w:t>
            </w:r>
          </w:p>
        </w:tc>
        <w:tc>
          <w:tcPr>
            <w:tcW w:w="2427" w:type="dxa"/>
            <w:tcBorders>
              <w:top w:val="nil"/>
              <w:left w:val="nil"/>
              <w:bottom w:val="nil"/>
              <w:right w:val="nil"/>
            </w:tcBorders>
          </w:tcPr>
          <w:p>
            <w:pPr>
              <w:pStyle w:val="TableParagraph"/>
              <w:spacing w:line="216" w:lineRule="exact"/>
              <w:ind w:right="430"/>
              <w:rPr>
                <w:sz w:val="19"/>
              </w:rPr>
            </w:pPr>
            <w:r>
              <w:rPr>
                <w:w w:val="105"/>
                <w:sz w:val="19"/>
              </w:rPr>
              <w:t>3 018</w:t>
            </w:r>
          </w:p>
        </w:tc>
        <w:tc>
          <w:tcPr>
            <w:tcW w:w="2791" w:type="dxa"/>
            <w:tcBorders>
              <w:top w:val="nil"/>
              <w:left w:val="nil"/>
              <w:bottom w:val="nil"/>
              <w:right w:val="nil"/>
            </w:tcBorders>
          </w:tcPr>
          <w:p>
            <w:pPr>
              <w:pStyle w:val="TableParagraph"/>
              <w:spacing w:line="216" w:lineRule="exact"/>
              <w:ind w:right="102"/>
              <w:rPr>
                <w:sz w:val="19"/>
              </w:rPr>
            </w:pPr>
            <w:r>
              <w:rPr>
                <w:sz w:val="19"/>
              </w:rPr>
              <w:t>46.2</w:t>
            </w:r>
          </w:p>
        </w:tc>
      </w:tr>
      <w:tr>
        <w:trPr>
          <w:trHeight w:val="230" w:hRule="exact"/>
        </w:trPr>
        <w:tc>
          <w:tcPr>
            <w:tcW w:w="1128" w:type="dxa"/>
            <w:tcBorders>
              <w:top w:val="nil"/>
              <w:left w:val="nil"/>
              <w:bottom w:val="nil"/>
              <w:right w:val="nil"/>
            </w:tcBorders>
          </w:tcPr>
          <w:p>
            <w:pPr>
              <w:pStyle w:val="TableParagraph"/>
              <w:spacing w:line="216" w:lineRule="exact"/>
              <w:ind w:left="110"/>
              <w:jc w:val="left"/>
              <w:rPr>
                <w:sz w:val="19"/>
              </w:rPr>
            </w:pPr>
            <w:r>
              <w:rPr>
                <w:w w:val="105"/>
                <w:sz w:val="19"/>
              </w:rPr>
              <w:t>2007</w:t>
            </w:r>
          </w:p>
        </w:tc>
        <w:tc>
          <w:tcPr>
            <w:tcW w:w="2427" w:type="dxa"/>
            <w:tcBorders>
              <w:top w:val="nil"/>
              <w:left w:val="nil"/>
              <w:bottom w:val="nil"/>
              <w:right w:val="nil"/>
            </w:tcBorders>
          </w:tcPr>
          <w:p>
            <w:pPr>
              <w:pStyle w:val="TableParagraph"/>
              <w:spacing w:line="216" w:lineRule="exact"/>
              <w:ind w:right="430"/>
              <w:rPr>
                <w:sz w:val="19"/>
              </w:rPr>
            </w:pPr>
            <w:r>
              <w:rPr>
                <w:w w:val="105"/>
                <w:sz w:val="19"/>
              </w:rPr>
              <w:t>3 262</w:t>
            </w:r>
          </w:p>
        </w:tc>
        <w:tc>
          <w:tcPr>
            <w:tcW w:w="2791" w:type="dxa"/>
            <w:tcBorders>
              <w:top w:val="nil"/>
              <w:left w:val="nil"/>
              <w:bottom w:val="nil"/>
              <w:right w:val="nil"/>
            </w:tcBorders>
          </w:tcPr>
          <w:p>
            <w:pPr>
              <w:pStyle w:val="TableParagraph"/>
              <w:spacing w:line="216" w:lineRule="exact"/>
              <w:ind w:right="102"/>
              <w:rPr>
                <w:sz w:val="19"/>
              </w:rPr>
            </w:pPr>
            <w:r>
              <w:rPr>
                <w:sz w:val="19"/>
              </w:rPr>
              <w:t>49.9</w:t>
            </w:r>
          </w:p>
        </w:tc>
      </w:tr>
      <w:tr>
        <w:trPr>
          <w:trHeight w:val="230" w:hRule="exact"/>
        </w:trPr>
        <w:tc>
          <w:tcPr>
            <w:tcW w:w="1128" w:type="dxa"/>
            <w:tcBorders>
              <w:top w:val="nil"/>
              <w:left w:val="nil"/>
              <w:bottom w:val="nil"/>
              <w:right w:val="nil"/>
            </w:tcBorders>
          </w:tcPr>
          <w:p>
            <w:pPr>
              <w:pStyle w:val="TableParagraph"/>
              <w:spacing w:line="216" w:lineRule="exact"/>
              <w:ind w:left="110"/>
              <w:jc w:val="left"/>
              <w:rPr>
                <w:sz w:val="19"/>
              </w:rPr>
            </w:pPr>
            <w:r>
              <w:rPr>
                <w:w w:val="105"/>
                <w:sz w:val="19"/>
              </w:rPr>
              <w:t>2008</w:t>
            </w:r>
          </w:p>
        </w:tc>
        <w:tc>
          <w:tcPr>
            <w:tcW w:w="2427" w:type="dxa"/>
            <w:tcBorders>
              <w:top w:val="nil"/>
              <w:left w:val="nil"/>
              <w:bottom w:val="nil"/>
              <w:right w:val="nil"/>
            </w:tcBorders>
          </w:tcPr>
          <w:p>
            <w:pPr>
              <w:pStyle w:val="TableParagraph"/>
              <w:spacing w:line="216" w:lineRule="exact"/>
              <w:ind w:right="430"/>
              <w:rPr>
                <w:sz w:val="19"/>
              </w:rPr>
            </w:pPr>
            <w:r>
              <w:rPr>
                <w:w w:val="105"/>
                <w:sz w:val="19"/>
              </w:rPr>
              <w:t>4 473</w:t>
            </w:r>
          </w:p>
        </w:tc>
        <w:tc>
          <w:tcPr>
            <w:tcW w:w="2791" w:type="dxa"/>
            <w:tcBorders>
              <w:top w:val="nil"/>
              <w:left w:val="nil"/>
              <w:bottom w:val="nil"/>
              <w:right w:val="nil"/>
            </w:tcBorders>
          </w:tcPr>
          <w:p>
            <w:pPr>
              <w:pStyle w:val="TableParagraph"/>
              <w:spacing w:line="216" w:lineRule="exact"/>
              <w:ind w:right="102"/>
              <w:rPr>
                <w:sz w:val="19"/>
              </w:rPr>
            </w:pPr>
            <w:r>
              <w:rPr>
                <w:sz w:val="19"/>
              </w:rPr>
              <w:t>57.9</w:t>
            </w:r>
          </w:p>
        </w:tc>
      </w:tr>
      <w:tr>
        <w:trPr>
          <w:trHeight w:val="228" w:hRule="exact"/>
        </w:trPr>
        <w:tc>
          <w:tcPr>
            <w:tcW w:w="1128" w:type="dxa"/>
            <w:tcBorders>
              <w:top w:val="nil"/>
              <w:left w:val="nil"/>
              <w:bottom w:val="nil"/>
              <w:right w:val="nil"/>
            </w:tcBorders>
          </w:tcPr>
          <w:p>
            <w:pPr>
              <w:pStyle w:val="TableParagraph"/>
              <w:spacing w:line="216" w:lineRule="exact"/>
              <w:ind w:left="110"/>
              <w:jc w:val="left"/>
              <w:rPr>
                <w:sz w:val="19"/>
              </w:rPr>
            </w:pPr>
            <w:r>
              <w:rPr>
                <w:w w:val="105"/>
                <w:sz w:val="19"/>
              </w:rPr>
              <w:t>2009</w:t>
            </w:r>
          </w:p>
        </w:tc>
        <w:tc>
          <w:tcPr>
            <w:tcW w:w="2427" w:type="dxa"/>
            <w:tcBorders>
              <w:top w:val="nil"/>
              <w:left w:val="nil"/>
              <w:bottom w:val="nil"/>
              <w:right w:val="nil"/>
            </w:tcBorders>
          </w:tcPr>
          <w:p>
            <w:pPr>
              <w:pStyle w:val="TableParagraph"/>
              <w:spacing w:line="216" w:lineRule="exact"/>
              <w:ind w:right="430"/>
              <w:rPr>
                <w:sz w:val="19"/>
              </w:rPr>
            </w:pPr>
            <w:r>
              <w:rPr>
                <w:w w:val="105"/>
                <w:sz w:val="19"/>
              </w:rPr>
              <w:t>5 265</w:t>
            </w:r>
          </w:p>
        </w:tc>
        <w:tc>
          <w:tcPr>
            <w:tcW w:w="2791" w:type="dxa"/>
            <w:tcBorders>
              <w:top w:val="nil"/>
              <w:left w:val="nil"/>
              <w:bottom w:val="nil"/>
              <w:right w:val="nil"/>
            </w:tcBorders>
          </w:tcPr>
          <w:p>
            <w:pPr>
              <w:pStyle w:val="TableParagraph"/>
              <w:spacing w:line="216" w:lineRule="exact"/>
              <w:ind w:right="102"/>
              <w:rPr>
                <w:sz w:val="19"/>
              </w:rPr>
            </w:pPr>
            <w:r>
              <w:rPr>
                <w:sz w:val="19"/>
              </w:rPr>
              <w:t>66.8</w:t>
            </w:r>
          </w:p>
        </w:tc>
      </w:tr>
      <w:tr>
        <w:trPr>
          <w:trHeight w:val="228" w:hRule="exact"/>
        </w:trPr>
        <w:tc>
          <w:tcPr>
            <w:tcW w:w="1128" w:type="dxa"/>
            <w:tcBorders>
              <w:top w:val="nil"/>
              <w:left w:val="nil"/>
              <w:bottom w:val="nil"/>
              <w:right w:val="nil"/>
            </w:tcBorders>
          </w:tcPr>
          <w:p>
            <w:pPr>
              <w:pStyle w:val="TableParagraph"/>
              <w:spacing w:line="214" w:lineRule="exact"/>
              <w:ind w:left="110"/>
              <w:jc w:val="left"/>
              <w:rPr>
                <w:sz w:val="19"/>
              </w:rPr>
            </w:pPr>
            <w:r>
              <w:rPr>
                <w:w w:val="105"/>
                <w:sz w:val="19"/>
              </w:rPr>
              <w:t>2010</w:t>
            </w:r>
          </w:p>
        </w:tc>
        <w:tc>
          <w:tcPr>
            <w:tcW w:w="2427" w:type="dxa"/>
            <w:tcBorders>
              <w:top w:val="nil"/>
              <w:left w:val="nil"/>
              <w:bottom w:val="nil"/>
              <w:right w:val="nil"/>
            </w:tcBorders>
          </w:tcPr>
          <w:p>
            <w:pPr>
              <w:pStyle w:val="TableParagraph"/>
              <w:spacing w:line="214" w:lineRule="exact"/>
              <w:ind w:right="430"/>
              <w:rPr>
                <w:sz w:val="19"/>
              </w:rPr>
            </w:pPr>
            <w:r>
              <w:rPr>
                <w:w w:val="105"/>
                <w:sz w:val="19"/>
              </w:rPr>
              <w:t>6 239</w:t>
            </w:r>
          </w:p>
        </w:tc>
        <w:tc>
          <w:tcPr>
            <w:tcW w:w="2791" w:type="dxa"/>
            <w:tcBorders>
              <w:top w:val="nil"/>
              <w:left w:val="nil"/>
              <w:bottom w:val="nil"/>
              <w:right w:val="nil"/>
            </w:tcBorders>
          </w:tcPr>
          <w:p>
            <w:pPr>
              <w:pStyle w:val="TableParagraph"/>
              <w:spacing w:line="214" w:lineRule="exact"/>
              <w:ind w:right="102"/>
              <w:rPr>
                <w:sz w:val="19"/>
              </w:rPr>
            </w:pPr>
            <w:r>
              <w:rPr>
                <w:sz w:val="19"/>
              </w:rPr>
              <w:t>77.5</w:t>
            </w:r>
          </w:p>
        </w:tc>
      </w:tr>
      <w:tr>
        <w:trPr>
          <w:trHeight w:val="238" w:hRule="exact"/>
        </w:trPr>
        <w:tc>
          <w:tcPr>
            <w:tcW w:w="1128" w:type="dxa"/>
            <w:tcBorders>
              <w:top w:val="nil"/>
              <w:left w:val="nil"/>
              <w:bottom w:val="double" w:sz="4" w:space="0" w:color="000000"/>
              <w:right w:val="nil"/>
            </w:tcBorders>
          </w:tcPr>
          <w:p>
            <w:pPr>
              <w:pStyle w:val="TableParagraph"/>
              <w:spacing w:line="216" w:lineRule="exact"/>
              <w:ind w:left="110"/>
              <w:jc w:val="left"/>
              <w:rPr>
                <w:sz w:val="19"/>
              </w:rPr>
            </w:pPr>
            <w:r>
              <w:rPr>
                <w:w w:val="105"/>
                <w:sz w:val="19"/>
              </w:rPr>
              <w:t>2011</w:t>
            </w:r>
          </w:p>
        </w:tc>
        <w:tc>
          <w:tcPr>
            <w:tcW w:w="2427" w:type="dxa"/>
            <w:tcBorders>
              <w:top w:val="nil"/>
              <w:left w:val="nil"/>
              <w:bottom w:val="double" w:sz="4" w:space="0" w:color="000000"/>
              <w:right w:val="nil"/>
            </w:tcBorders>
          </w:tcPr>
          <w:p>
            <w:pPr>
              <w:pStyle w:val="TableParagraph"/>
              <w:spacing w:line="216" w:lineRule="exact"/>
              <w:ind w:right="430"/>
              <w:rPr>
                <w:sz w:val="19"/>
              </w:rPr>
            </w:pPr>
            <w:r>
              <w:rPr>
                <w:w w:val="105"/>
                <w:sz w:val="19"/>
              </w:rPr>
              <w:t>7 104</w:t>
            </w:r>
          </w:p>
        </w:tc>
        <w:tc>
          <w:tcPr>
            <w:tcW w:w="2791" w:type="dxa"/>
            <w:tcBorders>
              <w:top w:val="nil"/>
              <w:left w:val="nil"/>
              <w:bottom w:val="double" w:sz="4" w:space="0" w:color="000000"/>
              <w:right w:val="nil"/>
            </w:tcBorders>
          </w:tcPr>
          <w:p>
            <w:pPr>
              <w:pStyle w:val="TableParagraph"/>
              <w:spacing w:line="216" w:lineRule="exact"/>
              <w:ind w:right="102"/>
              <w:rPr>
                <w:sz w:val="19"/>
              </w:rPr>
            </w:pPr>
            <w:r>
              <w:rPr>
                <w:sz w:val="19"/>
              </w:rPr>
              <w:t>86.5</w:t>
            </w:r>
          </w:p>
        </w:tc>
      </w:tr>
    </w:tbl>
    <w:p>
      <w:pPr>
        <w:spacing w:line="174" w:lineRule="exact" w:before="0"/>
        <w:ind w:left="397" w:right="117" w:firstLine="0"/>
        <w:jc w:val="left"/>
        <w:rPr>
          <w:sz w:val="16"/>
        </w:rPr>
      </w:pPr>
      <w:r>
        <w:rPr>
          <w:sz w:val="16"/>
        </w:rPr>
        <w:t>Fuente: elaborado a partir de datos de Boletín No.24, UNAH/IUDPAS, 2012.</w:t>
      </w:r>
    </w:p>
    <w:p>
      <w:pPr>
        <w:pStyle w:val="BodyText"/>
        <w:spacing w:before="9"/>
        <w:rPr>
          <w:sz w:val="15"/>
        </w:rPr>
      </w:pPr>
    </w:p>
    <w:p>
      <w:pPr>
        <w:pStyle w:val="BodyText"/>
        <w:spacing w:line="247" w:lineRule="auto" w:before="1"/>
        <w:ind w:left="117" w:right="114" w:firstLine="283"/>
        <w:jc w:val="both"/>
        <w:rPr>
          <w:sz w:val="13"/>
        </w:rPr>
      </w:pPr>
      <w:r>
        <w:rPr>
          <w:color w:val="231F20"/>
        </w:rPr>
        <w:t>El gobierno hondureño agobiado por los reclamos de la población en general acerca de la situación de violencia en el país ha establecido una estrategia</w:t>
      </w:r>
      <w:r>
        <w:rPr>
          <w:color w:val="231F20"/>
          <w:spacing w:val="-8"/>
        </w:rPr>
        <w:t> </w:t>
      </w:r>
      <w:r>
        <w:rPr>
          <w:color w:val="231F20"/>
        </w:rPr>
        <w:t>de</w:t>
      </w:r>
      <w:r>
        <w:rPr>
          <w:color w:val="231F20"/>
          <w:spacing w:val="-7"/>
        </w:rPr>
        <w:t> </w:t>
      </w:r>
      <w:r>
        <w:rPr>
          <w:color w:val="231F20"/>
        </w:rPr>
        <w:t>seguridad</w:t>
      </w:r>
      <w:r>
        <w:rPr>
          <w:color w:val="231F20"/>
          <w:spacing w:val="-7"/>
        </w:rPr>
        <w:t> </w:t>
      </w:r>
      <w:r>
        <w:rPr>
          <w:color w:val="231F20"/>
        </w:rPr>
        <w:t>que</w:t>
      </w:r>
      <w:r>
        <w:rPr>
          <w:color w:val="231F20"/>
          <w:spacing w:val="-7"/>
        </w:rPr>
        <w:t> </w:t>
      </w:r>
      <w:r>
        <w:rPr>
          <w:color w:val="231F20"/>
        </w:rPr>
        <w:t>no</w:t>
      </w:r>
      <w:r>
        <w:rPr>
          <w:color w:val="231F20"/>
          <w:spacing w:val="-7"/>
        </w:rPr>
        <w:t> </w:t>
      </w:r>
      <w:r>
        <w:rPr>
          <w:color w:val="231F20"/>
        </w:rPr>
        <w:t>ha</w:t>
      </w:r>
      <w:r>
        <w:rPr>
          <w:color w:val="231F20"/>
          <w:spacing w:val="-7"/>
        </w:rPr>
        <w:t> </w:t>
      </w:r>
      <w:r>
        <w:rPr>
          <w:color w:val="231F20"/>
        </w:rPr>
        <w:t>alcanzado</w:t>
      </w:r>
      <w:r>
        <w:rPr>
          <w:color w:val="231F20"/>
          <w:spacing w:val="-8"/>
        </w:rPr>
        <w:t> </w:t>
      </w:r>
      <w:r>
        <w:rPr>
          <w:color w:val="231F20"/>
        </w:rPr>
        <w:t>logros</w:t>
      </w:r>
      <w:r>
        <w:rPr>
          <w:color w:val="231F20"/>
          <w:spacing w:val="-8"/>
        </w:rPr>
        <w:t> </w:t>
      </w:r>
      <w:r>
        <w:rPr>
          <w:color w:val="231F20"/>
        </w:rPr>
        <w:t>aceptables.</w:t>
      </w:r>
      <w:r>
        <w:rPr>
          <w:color w:val="231F20"/>
          <w:spacing w:val="-8"/>
        </w:rPr>
        <w:t> </w:t>
      </w:r>
      <w:r>
        <w:rPr>
          <w:color w:val="231F20"/>
        </w:rPr>
        <w:t>En</w:t>
      </w:r>
      <w:r>
        <w:rPr>
          <w:color w:val="231F20"/>
          <w:spacing w:val="-7"/>
        </w:rPr>
        <w:t> </w:t>
      </w:r>
      <w:r>
        <w:rPr>
          <w:color w:val="231F20"/>
        </w:rPr>
        <w:t>este</w:t>
      </w:r>
      <w:r>
        <w:rPr>
          <w:color w:val="231F20"/>
          <w:spacing w:val="-8"/>
        </w:rPr>
        <w:t> </w:t>
      </w:r>
      <w:r>
        <w:rPr>
          <w:color w:val="231F20"/>
        </w:rPr>
        <w:t>me- nester destinó 11.68 por ciento del presupuesto nacional a la defensa y se- guridad en 2012, elevando los presupuestos de las secretarías de Defensa, Seguridad, Poder Judicial, Ministerio Público y otras. En 2012 estableció un impuesto sobre la seguridad poblacional, mal visto por los aportantes, que al final de cuentas son los contribuyentes</w:t>
      </w:r>
      <w:r>
        <w:rPr>
          <w:color w:val="231F20"/>
          <w:spacing w:val="-25"/>
        </w:rPr>
        <w:t> </w:t>
      </w:r>
      <w:r>
        <w:rPr>
          <w:color w:val="231F20"/>
        </w:rPr>
        <w:t>naturales.</w:t>
      </w:r>
      <w:r>
        <w:rPr>
          <w:color w:val="231F20"/>
          <w:position w:val="7"/>
          <w:sz w:val="13"/>
        </w:rPr>
        <w:t>11</w:t>
      </w:r>
    </w:p>
    <w:p>
      <w:pPr>
        <w:spacing w:before="149"/>
        <w:ind w:left="117" w:right="0" w:firstLine="0"/>
        <w:jc w:val="both"/>
        <w:rPr>
          <w:i/>
          <w:sz w:val="22"/>
        </w:rPr>
      </w:pPr>
      <w:r>
        <w:rPr>
          <w:i/>
          <w:color w:val="231F20"/>
          <w:sz w:val="22"/>
        </w:rPr>
        <w:t>Flujo de remesas</w:t>
      </w:r>
    </w:p>
    <w:p>
      <w:pPr>
        <w:pStyle w:val="BodyText"/>
        <w:spacing w:line="247" w:lineRule="auto" w:before="177"/>
        <w:ind w:left="117" w:right="114"/>
        <w:jc w:val="both"/>
      </w:pPr>
      <w:r>
        <w:rPr>
          <w:color w:val="231F20"/>
        </w:rPr>
        <w:t>Aparejados al fenómeno de la emigración están los flujos de remesas que se</w:t>
      </w:r>
      <w:r>
        <w:rPr>
          <w:color w:val="231F20"/>
          <w:spacing w:val="-10"/>
        </w:rPr>
        <w:t> </w:t>
      </w:r>
      <w:r>
        <w:rPr>
          <w:i/>
          <w:color w:val="231F20"/>
        </w:rPr>
        <w:t>incrementan</w:t>
      </w:r>
      <w:r>
        <w:rPr>
          <w:i/>
          <w:color w:val="231F20"/>
          <w:spacing w:val="-10"/>
        </w:rPr>
        <w:t> </w:t>
      </w:r>
      <w:r>
        <w:rPr>
          <w:i/>
          <w:color w:val="231F20"/>
        </w:rPr>
        <w:t>a</w:t>
      </w:r>
      <w:r>
        <w:rPr>
          <w:i/>
          <w:color w:val="231F20"/>
          <w:spacing w:val="-10"/>
        </w:rPr>
        <w:t> </w:t>
      </w:r>
      <w:r>
        <w:rPr>
          <w:i/>
          <w:color w:val="231F20"/>
        </w:rPr>
        <w:t>través</w:t>
      </w:r>
      <w:r>
        <w:rPr>
          <w:i/>
          <w:color w:val="231F20"/>
          <w:spacing w:val="-10"/>
        </w:rPr>
        <w:t> </w:t>
      </w:r>
      <w:r>
        <w:rPr>
          <w:i/>
          <w:color w:val="231F20"/>
        </w:rPr>
        <w:t>del</w:t>
      </w:r>
      <w:r>
        <w:rPr>
          <w:i/>
          <w:color w:val="231F20"/>
          <w:spacing w:val="-10"/>
        </w:rPr>
        <w:t> </w:t>
      </w:r>
      <w:r>
        <w:rPr>
          <w:i/>
          <w:color w:val="231F20"/>
        </w:rPr>
        <w:t>tiempo</w:t>
      </w:r>
      <w:r>
        <w:rPr>
          <w:color w:val="231F20"/>
        </w:rPr>
        <w:t>,</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década</w:t>
      </w:r>
      <w:r>
        <w:rPr>
          <w:color w:val="231F20"/>
          <w:spacing w:val="-10"/>
        </w:rPr>
        <w:t> </w:t>
      </w:r>
      <w:r>
        <w:rPr>
          <w:color w:val="231F20"/>
        </w:rPr>
        <w:t>de</w:t>
      </w:r>
      <w:r>
        <w:rPr>
          <w:color w:val="231F20"/>
          <w:spacing w:val="-10"/>
        </w:rPr>
        <w:t> </w:t>
      </w:r>
      <w:r>
        <w:rPr>
          <w:color w:val="231F20"/>
        </w:rPr>
        <w:t>2000</w:t>
      </w:r>
      <w:r>
        <w:rPr>
          <w:color w:val="231F20"/>
          <w:spacing w:val="-10"/>
        </w:rPr>
        <w:t> </w:t>
      </w:r>
      <w:r>
        <w:rPr>
          <w:color w:val="231F20"/>
        </w:rPr>
        <w:t>se</w:t>
      </w:r>
      <w:r>
        <w:rPr>
          <w:color w:val="231F20"/>
          <w:spacing w:val="-10"/>
        </w:rPr>
        <w:t> </w:t>
      </w:r>
      <w:r>
        <w:rPr>
          <w:color w:val="231F20"/>
        </w:rPr>
        <w:t>han</w:t>
      </w:r>
      <w:r>
        <w:rPr>
          <w:color w:val="231F20"/>
          <w:spacing w:val="-10"/>
        </w:rPr>
        <w:t> </w:t>
      </w:r>
      <w:r>
        <w:rPr>
          <w:color w:val="231F20"/>
        </w:rPr>
        <w:t>convertido en</w:t>
      </w:r>
      <w:r>
        <w:rPr>
          <w:color w:val="231F20"/>
          <w:spacing w:val="-5"/>
        </w:rPr>
        <w:t> </w:t>
      </w:r>
      <w:r>
        <w:rPr>
          <w:color w:val="231F20"/>
        </w:rPr>
        <w:t>una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fuentes</w:t>
      </w:r>
      <w:r>
        <w:rPr>
          <w:color w:val="231F20"/>
          <w:spacing w:val="-5"/>
        </w:rPr>
        <w:t> </w:t>
      </w:r>
      <w:r>
        <w:rPr>
          <w:color w:val="231F20"/>
        </w:rPr>
        <w:t>más</w:t>
      </w:r>
      <w:r>
        <w:rPr>
          <w:color w:val="231F20"/>
          <w:spacing w:val="-5"/>
        </w:rPr>
        <w:t> </w:t>
      </w:r>
      <w:r>
        <w:rPr>
          <w:color w:val="231F20"/>
        </w:rPr>
        <w:t>importantes</w:t>
      </w:r>
      <w:r>
        <w:rPr>
          <w:color w:val="231F20"/>
          <w:spacing w:val="-6"/>
        </w:rPr>
        <w:t> </w:t>
      </w:r>
      <w:r>
        <w:rPr>
          <w:color w:val="231F20"/>
        </w:rPr>
        <w:t>de</w:t>
      </w:r>
      <w:r>
        <w:rPr>
          <w:color w:val="231F20"/>
          <w:spacing w:val="-5"/>
        </w:rPr>
        <w:t> </w:t>
      </w:r>
      <w:r>
        <w:rPr>
          <w:color w:val="231F20"/>
        </w:rPr>
        <w:t>divisas</w:t>
      </w:r>
      <w:r>
        <w:rPr>
          <w:color w:val="231F20"/>
          <w:spacing w:val="-5"/>
        </w:rPr>
        <w:t> </w:t>
      </w:r>
      <w:r>
        <w:rPr>
          <w:color w:val="231F20"/>
        </w:rPr>
        <w:t>del</w:t>
      </w:r>
      <w:r>
        <w:rPr>
          <w:color w:val="231F20"/>
          <w:spacing w:val="-5"/>
        </w:rPr>
        <w:t> </w:t>
      </w:r>
      <w:r>
        <w:rPr>
          <w:color w:val="231F20"/>
        </w:rPr>
        <w:t>país</w:t>
      </w:r>
      <w:r>
        <w:rPr>
          <w:color w:val="231F20"/>
          <w:spacing w:val="-5"/>
        </w:rPr>
        <w:t> </w:t>
      </w:r>
      <w:r>
        <w:rPr>
          <w:color w:val="231F20"/>
        </w:rPr>
        <w:t>y</w:t>
      </w:r>
      <w:r>
        <w:rPr>
          <w:color w:val="231F20"/>
          <w:spacing w:val="-5"/>
        </w:rPr>
        <w:t> </w:t>
      </w:r>
      <w:r>
        <w:rPr>
          <w:color w:val="231F20"/>
        </w:rPr>
        <w:t>llegan</w:t>
      </w:r>
      <w:r>
        <w:rPr>
          <w:color w:val="231F20"/>
          <w:spacing w:val="-6"/>
        </w:rPr>
        <w:t> </w:t>
      </w:r>
      <w:r>
        <w:rPr>
          <w:color w:val="231F20"/>
        </w:rPr>
        <w:t>a</w:t>
      </w:r>
      <w:r>
        <w:rPr>
          <w:color w:val="231F20"/>
          <w:spacing w:val="-5"/>
        </w:rPr>
        <w:t> </w:t>
      </w:r>
      <w:r>
        <w:rPr>
          <w:color w:val="231F20"/>
        </w:rPr>
        <w:t>niveles considerados altos en relación al PIB nacional, de hasta 20.4 por ciento en el año 2007. Este incremento en remesas fue más palpable entre los años 2005 a 2008, cuando produjo ingresos entre 1 821 y 2 869 millones de dólares que ingresaron a la economía nacional (Cuadro</w:t>
      </w:r>
      <w:r>
        <w:rPr>
          <w:color w:val="231F20"/>
          <w:spacing w:val="-2"/>
        </w:rPr>
        <w:t> </w:t>
      </w:r>
      <w:r>
        <w:rPr>
          <w:color w:val="231F20"/>
        </w:rPr>
        <w:t>4).</w:t>
      </w:r>
    </w:p>
    <w:p>
      <w:pPr>
        <w:spacing w:line="247" w:lineRule="auto" w:before="0"/>
        <w:ind w:left="117" w:right="115" w:firstLine="283"/>
        <w:jc w:val="both"/>
        <w:rPr>
          <w:sz w:val="22"/>
        </w:rPr>
      </w:pPr>
      <w:r>
        <w:rPr>
          <w:color w:val="231F20"/>
          <w:sz w:val="22"/>
        </w:rPr>
        <w:t>Datos recientes sobre Migración y Remesas (World Bank, 2011) rea- firman a </w:t>
      </w:r>
      <w:r>
        <w:rPr>
          <w:i/>
          <w:color w:val="231F20"/>
          <w:sz w:val="22"/>
        </w:rPr>
        <w:t>Honduras en el top mundial de los diez países receptores de re- </w:t>
      </w:r>
      <w:r>
        <w:rPr>
          <w:i/>
          <w:color w:val="231F20"/>
          <w:sz w:val="22"/>
        </w:rPr>
        <w:t>mesas </w:t>
      </w:r>
      <w:r>
        <w:rPr>
          <w:color w:val="231F20"/>
          <w:sz w:val="22"/>
        </w:rPr>
        <w:t>del 2009 (utilizando el porcentaje con respecto al PIB)  alcanzando</w:t>
      </w:r>
    </w:p>
    <w:p>
      <w:pPr>
        <w:pStyle w:val="BodyText"/>
        <w:spacing w:before="6"/>
        <w:rPr>
          <w:sz w:val="16"/>
        </w:rPr>
      </w:pPr>
      <w:r>
        <w:rPr/>
        <w:pict>
          <v:line style="position:absolute;mso-position-horizontal-relative:page;mso-position-vertical-relative:paragraph;z-index:3040;mso-wrap-distance-left:0;mso-wrap-distance-right:0" from="70.866096pt,11.856555pt" to="142.866096pt,11.856555pt" stroked="true" strokeweight=".75pt" strokecolor="#231f20">
            <w10:wrap type="topAndBottom"/>
          </v:line>
        </w:pict>
      </w:r>
    </w:p>
    <w:p>
      <w:pPr>
        <w:spacing w:line="158" w:lineRule="exact" w:before="0"/>
        <w:ind w:left="117" w:right="117" w:firstLine="0"/>
        <w:jc w:val="left"/>
        <w:rPr>
          <w:sz w:val="17"/>
        </w:rPr>
      </w:pPr>
      <w:r>
        <w:rPr>
          <w:color w:val="231F20"/>
          <w:position w:val="6"/>
          <w:sz w:val="10"/>
        </w:rPr>
        <w:t>10 </w:t>
      </w:r>
      <w:r>
        <w:rPr>
          <w:color w:val="231F20"/>
          <w:sz w:val="17"/>
        </w:rPr>
        <w:t>Boletines del Instituto Nacional de Migración de México.</w:t>
      </w:r>
    </w:p>
    <w:p>
      <w:pPr>
        <w:spacing w:line="183" w:lineRule="exact" w:before="0"/>
        <w:ind w:left="117" w:right="117" w:firstLine="0"/>
        <w:jc w:val="left"/>
        <w:rPr>
          <w:sz w:val="17"/>
        </w:rPr>
      </w:pPr>
      <w:r>
        <w:rPr>
          <w:color w:val="231F20"/>
          <w:position w:val="6"/>
          <w:sz w:val="10"/>
        </w:rPr>
        <w:t>11  </w:t>
      </w:r>
      <w:r>
        <w:rPr>
          <w:color w:val="231F20"/>
          <w:sz w:val="17"/>
        </w:rPr>
        <w:t>Las recaudaciones de este impuesto cayeron en los meses de julio y agosto del 2012.</w:t>
      </w:r>
    </w:p>
    <w:p>
      <w:pPr>
        <w:spacing w:after="0" w:line="183" w:lineRule="exact"/>
        <w:jc w:val="left"/>
        <w:rPr>
          <w:sz w:val="17"/>
        </w:rPr>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jc w:val="both"/>
      </w:pPr>
      <w:r>
        <w:rPr>
          <w:color w:val="231F20"/>
        </w:rPr>
        <w:t>el octavo lugar (19.3 por ciento) y también en la posición séptima de los diez destinos de remesas en América Latina. Aunque hubo una disminu- ción</w:t>
      </w:r>
      <w:r>
        <w:rPr>
          <w:color w:val="231F20"/>
          <w:spacing w:val="-3"/>
        </w:rPr>
        <w:t> </w:t>
      </w:r>
      <w:r>
        <w:rPr>
          <w:color w:val="231F20"/>
        </w:rPr>
        <w:t>en</w:t>
      </w:r>
      <w:r>
        <w:rPr>
          <w:color w:val="231F20"/>
          <w:spacing w:val="-3"/>
        </w:rPr>
        <w:t> </w:t>
      </w:r>
      <w:r>
        <w:rPr>
          <w:color w:val="231F20"/>
        </w:rPr>
        <w:t>las</w:t>
      </w:r>
      <w:r>
        <w:rPr>
          <w:color w:val="231F20"/>
          <w:spacing w:val="-3"/>
        </w:rPr>
        <w:t> </w:t>
      </w:r>
      <w:r>
        <w:rPr>
          <w:color w:val="231F20"/>
        </w:rPr>
        <w:t>remesas</w:t>
      </w:r>
      <w:r>
        <w:rPr>
          <w:color w:val="231F20"/>
          <w:spacing w:val="-3"/>
        </w:rPr>
        <w:t> </w:t>
      </w:r>
      <w:r>
        <w:rPr>
          <w:color w:val="231F20"/>
        </w:rPr>
        <w:t>en</w:t>
      </w:r>
      <w:r>
        <w:rPr>
          <w:color w:val="231F20"/>
          <w:spacing w:val="-3"/>
        </w:rPr>
        <w:t> </w:t>
      </w:r>
      <w:r>
        <w:rPr>
          <w:color w:val="231F20"/>
        </w:rPr>
        <w:t>los</w:t>
      </w:r>
      <w:r>
        <w:rPr>
          <w:color w:val="231F20"/>
          <w:spacing w:val="-3"/>
        </w:rPr>
        <w:t> </w:t>
      </w:r>
      <w:r>
        <w:rPr>
          <w:color w:val="231F20"/>
        </w:rPr>
        <w:t>años</w:t>
      </w:r>
      <w:r>
        <w:rPr>
          <w:color w:val="231F20"/>
          <w:spacing w:val="-3"/>
        </w:rPr>
        <w:t> </w:t>
      </w:r>
      <w:r>
        <w:rPr>
          <w:color w:val="231F20"/>
        </w:rPr>
        <w:t>2009</w:t>
      </w:r>
      <w:r>
        <w:rPr>
          <w:color w:val="231F20"/>
          <w:spacing w:val="-3"/>
        </w:rPr>
        <w:t> </w:t>
      </w:r>
      <w:r>
        <w:rPr>
          <w:color w:val="231F20"/>
        </w:rPr>
        <w:t>y</w:t>
      </w:r>
      <w:r>
        <w:rPr>
          <w:color w:val="231F20"/>
          <w:spacing w:val="-3"/>
        </w:rPr>
        <w:t> </w:t>
      </w:r>
      <w:r>
        <w:rPr>
          <w:color w:val="231F20"/>
        </w:rPr>
        <w:t>2010</w:t>
      </w:r>
      <w:r>
        <w:rPr>
          <w:color w:val="231F20"/>
          <w:spacing w:val="-3"/>
        </w:rPr>
        <w:t> </w:t>
      </w:r>
      <w:r>
        <w:rPr>
          <w:color w:val="231F20"/>
        </w:rPr>
        <w:t>los</w:t>
      </w:r>
      <w:r>
        <w:rPr>
          <w:color w:val="231F20"/>
          <w:spacing w:val="-3"/>
        </w:rPr>
        <w:t> </w:t>
      </w:r>
      <w:r>
        <w:rPr>
          <w:color w:val="231F20"/>
        </w:rPr>
        <w:t>valores</w:t>
      </w:r>
      <w:r>
        <w:rPr>
          <w:color w:val="231F20"/>
          <w:spacing w:val="-3"/>
        </w:rPr>
        <w:t> </w:t>
      </w:r>
      <w:r>
        <w:rPr>
          <w:color w:val="231F20"/>
        </w:rPr>
        <w:t>giran</w:t>
      </w:r>
      <w:r>
        <w:rPr>
          <w:color w:val="231F20"/>
          <w:spacing w:val="-3"/>
        </w:rPr>
        <w:t> </w:t>
      </w:r>
      <w:r>
        <w:rPr>
          <w:color w:val="231F20"/>
        </w:rPr>
        <w:t>alrededor</w:t>
      </w:r>
      <w:r>
        <w:rPr>
          <w:color w:val="231F20"/>
          <w:spacing w:val="-3"/>
        </w:rPr>
        <w:t> </w:t>
      </w:r>
      <w:r>
        <w:rPr>
          <w:color w:val="231F20"/>
        </w:rPr>
        <w:t>de 2</w:t>
      </w:r>
      <w:r>
        <w:rPr>
          <w:color w:val="231F20"/>
          <w:spacing w:val="-7"/>
        </w:rPr>
        <w:t> </w:t>
      </w:r>
      <w:r>
        <w:rPr>
          <w:color w:val="231F20"/>
        </w:rPr>
        <w:t>600</w:t>
      </w:r>
      <w:r>
        <w:rPr>
          <w:color w:val="231F20"/>
          <w:spacing w:val="-8"/>
        </w:rPr>
        <w:t> </w:t>
      </w:r>
      <w:r>
        <w:rPr>
          <w:color w:val="231F20"/>
        </w:rPr>
        <w:t>millones</w:t>
      </w:r>
      <w:r>
        <w:rPr>
          <w:color w:val="231F20"/>
          <w:spacing w:val="-8"/>
        </w:rPr>
        <w:t> </w:t>
      </w:r>
      <w:r>
        <w:rPr>
          <w:color w:val="231F20"/>
        </w:rPr>
        <w:t>de</w:t>
      </w:r>
      <w:r>
        <w:rPr>
          <w:color w:val="231F20"/>
          <w:spacing w:val="-7"/>
        </w:rPr>
        <w:t> </w:t>
      </w:r>
      <w:r>
        <w:rPr>
          <w:color w:val="231F20"/>
        </w:rPr>
        <w:t>dólares,</w:t>
      </w:r>
      <w:r>
        <w:rPr>
          <w:color w:val="231F20"/>
          <w:spacing w:val="-7"/>
        </w:rPr>
        <w:t> </w:t>
      </w:r>
      <w:r>
        <w:rPr>
          <w:color w:val="231F20"/>
        </w:rPr>
        <w:t>que</w:t>
      </w:r>
      <w:r>
        <w:rPr>
          <w:color w:val="231F20"/>
          <w:spacing w:val="-7"/>
        </w:rPr>
        <w:t> </w:t>
      </w:r>
      <w:r>
        <w:rPr>
          <w:color w:val="231F20"/>
        </w:rPr>
        <w:t>tiene</w:t>
      </w:r>
      <w:r>
        <w:rPr>
          <w:color w:val="231F20"/>
          <w:spacing w:val="-8"/>
        </w:rPr>
        <w:t> </w:t>
      </w:r>
      <w:r>
        <w:rPr>
          <w:color w:val="231F20"/>
        </w:rPr>
        <w:t>un</w:t>
      </w:r>
      <w:r>
        <w:rPr>
          <w:color w:val="231F20"/>
          <w:spacing w:val="-7"/>
        </w:rPr>
        <w:t> </w:t>
      </w:r>
      <w:r>
        <w:rPr>
          <w:color w:val="231F20"/>
        </w:rPr>
        <w:t>impacto</w:t>
      </w:r>
      <w:r>
        <w:rPr>
          <w:color w:val="231F20"/>
          <w:spacing w:val="-8"/>
        </w:rPr>
        <w:t> </w:t>
      </w:r>
      <w:r>
        <w:rPr>
          <w:color w:val="231F20"/>
        </w:rPr>
        <w:t>muy</w:t>
      </w:r>
      <w:r>
        <w:rPr>
          <w:color w:val="231F20"/>
          <w:spacing w:val="-8"/>
        </w:rPr>
        <w:t> </w:t>
      </w:r>
      <w:r>
        <w:rPr>
          <w:color w:val="231F20"/>
        </w:rPr>
        <w:t>grande</w:t>
      </w:r>
      <w:r>
        <w:rPr>
          <w:color w:val="231F20"/>
          <w:spacing w:val="-7"/>
        </w:rPr>
        <w:t> </w:t>
      </w:r>
      <w:r>
        <w:rPr>
          <w:color w:val="231F20"/>
        </w:rPr>
        <w:t>y</w:t>
      </w:r>
      <w:r>
        <w:rPr>
          <w:color w:val="231F20"/>
          <w:spacing w:val="-7"/>
        </w:rPr>
        <w:t> </w:t>
      </w:r>
      <w:r>
        <w:rPr>
          <w:color w:val="231F20"/>
        </w:rPr>
        <w:t>hace</w:t>
      </w:r>
      <w:r>
        <w:rPr>
          <w:color w:val="231F20"/>
          <w:spacing w:val="-7"/>
        </w:rPr>
        <w:t> </w:t>
      </w:r>
      <w:r>
        <w:rPr>
          <w:color w:val="231F20"/>
        </w:rPr>
        <w:t>que</w:t>
      </w:r>
      <w:r>
        <w:rPr>
          <w:color w:val="231F20"/>
          <w:spacing w:val="-7"/>
        </w:rPr>
        <w:t> </w:t>
      </w:r>
      <w:r>
        <w:rPr>
          <w:color w:val="231F20"/>
        </w:rPr>
        <w:t>los emigrantes sostengan gran parte de la economía</w:t>
      </w:r>
      <w:r>
        <w:rPr>
          <w:color w:val="231F20"/>
          <w:spacing w:val="-10"/>
        </w:rPr>
        <w:t> </w:t>
      </w:r>
      <w:r>
        <w:rPr>
          <w:color w:val="231F20"/>
        </w:rPr>
        <w:t>nacional.</w:t>
      </w:r>
    </w:p>
    <w:p>
      <w:pPr>
        <w:spacing w:before="166" w:after="12"/>
        <w:ind w:left="257" w:right="117" w:firstLine="0"/>
        <w:jc w:val="left"/>
        <w:rPr>
          <w:sz w:val="19"/>
        </w:rPr>
      </w:pPr>
      <w:r>
        <w:rPr>
          <w:w w:val="105"/>
          <w:sz w:val="19"/>
        </w:rPr>
        <w:t>Cuadro 4. Honduras: flujos de remesas en millones de dólares, 2003-2010</w:t>
      </w:r>
    </w:p>
    <w:tbl>
      <w:tblPr>
        <w:tblW w:w="0" w:type="auto"/>
        <w:jc w:val="lef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49"/>
        <w:gridCol w:w="1232"/>
        <w:gridCol w:w="1651"/>
        <w:gridCol w:w="1561"/>
        <w:gridCol w:w="1396"/>
      </w:tblGrid>
      <w:tr>
        <w:trPr>
          <w:trHeight w:val="242" w:hRule="exact"/>
        </w:trPr>
        <w:tc>
          <w:tcPr>
            <w:tcW w:w="1881" w:type="dxa"/>
            <w:gridSpan w:val="2"/>
            <w:tcBorders>
              <w:left w:val="nil"/>
              <w:bottom w:val="nil"/>
              <w:right w:val="nil"/>
            </w:tcBorders>
          </w:tcPr>
          <w:p>
            <w:pPr>
              <w:pStyle w:val="TableParagraph"/>
              <w:tabs>
                <w:tab w:pos="815" w:val="left" w:leader="none"/>
              </w:tabs>
              <w:spacing w:line="273" w:lineRule="exact" w:before="5"/>
              <w:ind w:left="110"/>
              <w:jc w:val="left"/>
              <w:rPr>
                <w:sz w:val="19"/>
              </w:rPr>
            </w:pPr>
            <w:r>
              <w:rPr>
                <w:w w:val="105"/>
                <w:position w:val="-11"/>
                <w:sz w:val="19"/>
              </w:rPr>
              <w:t>Año</w:t>
              <w:tab/>
            </w:r>
            <w:r>
              <w:rPr>
                <w:w w:val="105"/>
                <w:sz w:val="19"/>
              </w:rPr>
              <w:t>Remesas</w:t>
            </w:r>
            <w:r>
              <w:rPr>
                <w:spacing w:val="-3"/>
                <w:w w:val="105"/>
                <w:sz w:val="19"/>
              </w:rPr>
              <w:t> </w:t>
            </w:r>
            <w:r>
              <w:rPr>
                <w:w w:val="105"/>
                <w:sz w:val="19"/>
              </w:rPr>
              <w:t>de</w:t>
            </w:r>
          </w:p>
        </w:tc>
        <w:tc>
          <w:tcPr>
            <w:tcW w:w="1651" w:type="dxa"/>
            <w:tcBorders>
              <w:left w:val="nil"/>
              <w:bottom w:val="nil"/>
              <w:right w:val="nil"/>
            </w:tcBorders>
          </w:tcPr>
          <w:p>
            <w:pPr>
              <w:pStyle w:val="TableParagraph"/>
              <w:spacing w:before="5"/>
              <w:ind w:right="124"/>
              <w:rPr>
                <w:sz w:val="19"/>
              </w:rPr>
            </w:pPr>
            <w:r>
              <w:rPr>
                <w:sz w:val="19"/>
              </w:rPr>
              <w:t>Remuneración</w:t>
            </w:r>
          </w:p>
        </w:tc>
        <w:tc>
          <w:tcPr>
            <w:tcW w:w="1561" w:type="dxa"/>
            <w:tcBorders>
              <w:left w:val="nil"/>
              <w:bottom w:val="nil"/>
              <w:right w:val="nil"/>
            </w:tcBorders>
          </w:tcPr>
          <w:p>
            <w:pPr>
              <w:pStyle w:val="TableParagraph"/>
              <w:spacing w:before="5"/>
              <w:ind w:right="124"/>
              <w:rPr>
                <w:sz w:val="19"/>
              </w:rPr>
            </w:pPr>
            <w:r>
              <w:rPr>
                <w:sz w:val="19"/>
              </w:rPr>
              <w:t>Transferencia</w:t>
            </w:r>
          </w:p>
        </w:tc>
        <w:tc>
          <w:tcPr>
            <w:tcW w:w="1396" w:type="dxa"/>
            <w:tcBorders>
              <w:left w:val="nil"/>
              <w:bottom w:val="nil"/>
              <w:right w:val="nil"/>
            </w:tcBorders>
          </w:tcPr>
          <w:p>
            <w:pPr>
              <w:pStyle w:val="TableParagraph"/>
              <w:spacing w:before="5"/>
              <w:ind w:right="102"/>
              <w:rPr>
                <w:sz w:val="19"/>
              </w:rPr>
            </w:pPr>
            <w:r>
              <w:rPr>
                <w:w w:val="105"/>
                <w:sz w:val="19"/>
              </w:rPr>
              <w:t>Total de flujos</w:t>
            </w:r>
          </w:p>
        </w:tc>
      </w:tr>
      <w:tr>
        <w:trPr>
          <w:trHeight w:val="238" w:hRule="exact"/>
        </w:trPr>
        <w:tc>
          <w:tcPr>
            <w:tcW w:w="649" w:type="dxa"/>
            <w:tcBorders>
              <w:top w:val="nil"/>
              <w:left w:val="nil"/>
              <w:bottom w:val="double" w:sz="4" w:space="0" w:color="000000"/>
              <w:right w:val="nil"/>
            </w:tcBorders>
          </w:tcPr>
          <w:p>
            <w:pPr/>
          </w:p>
        </w:tc>
        <w:tc>
          <w:tcPr>
            <w:tcW w:w="1232" w:type="dxa"/>
            <w:tcBorders>
              <w:top w:val="nil"/>
              <w:left w:val="nil"/>
              <w:bottom w:val="double" w:sz="4" w:space="0" w:color="000000"/>
              <w:right w:val="nil"/>
            </w:tcBorders>
          </w:tcPr>
          <w:p>
            <w:pPr>
              <w:pStyle w:val="TableParagraph"/>
              <w:spacing w:line="199" w:lineRule="exact"/>
              <w:ind w:right="113"/>
              <w:rPr>
                <w:sz w:val="19"/>
              </w:rPr>
            </w:pPr>
            <w:r>
              <w:rPr>
                <w:sz w:val="19"/>
              </w:rPr>
              <w:t>trabajadores</w:t>
            </w:r>
          </w:p>
        </w:tc>
        <w:tc>
          <w:tcPr>
            <w:tcW w:w="1651" w:type="dxa"/>
            <w:tcBorders>
              <w:top w:val="nil"/>
              <w:left w:val="nil"/>
              <w:bottom w:val="double" w:sz="4" w:space="0" w:color="000000"/>
              <w:right w:val="nil"/>
            </w:tcBorders>
          </w:tcPr>
          <w:p>
            <w:pPr>
              <w:pStyle w:val="TableParagraph"/>
              <w:spacing w:line="199" w:lineRule="exact"/>
              <w:ind w:right="124"/>
              <w:rPr>
                <w:sz w:val="19"/>
              </w:rPr>
            </w:pPr>
            <w:r>
              <w:rPr>
                <w:w w:val="105"/>
                <w:sz w:val="19"/>
              </w:rPr>
              <w:t>de los asalariados</w:t>
            </w:r>
          </w:p>
        </w:tc>
        <w:tc>
          <w:tcPr>
            <w:tcW w:w="1561" w:type="dxa"/>
            <w:tcBorders>
              <w:top w:val="nil"/>
              <w:left w:val="nil"/>
              <w:bottom w:val="double" w:sz="4" w:space="0" w:color="000000"/>
              <w:right w:val="nil"/>
            </w:tcBorders>
          </w:tcPr>
          <w:p>
            <w:pPr>
              <w:pStyle w:val="TableParagraph"/>
              <w:spacing w:line="199" w:lineRule="exact"/>
              <w:ind w:right="125"/>
              <w:rPr>
                <w:sz w:val="19"/>
              </w:rPr>
            </w:pPr>
            <w:r>
              <w:rPr>
                <w:w w:val="105"/>
                <w:sz w:val="19"/>
              </w:rPr>
              <w:t>de los migrantes</w:t>
            </w:r>
          </w:p>
        </w:tc>
        <w:tc>
          <w:tcPr>
            <w:tcW w:w="1396" w:type="dxa"/>
            <w:tcBorders>
              <w:top w:val="nil"/>
              <w:left w:val="nil"/>
              <w:bottom w:val="double" w:sz="4" w:space="0" w:color="000000"/>
              <w:right w:val="nil"/>
            </w:tcBorders>
          </w:tcPr>
          <w:p>
            <w:pPr>
              <w:pStyle w:val="TableParagraph"/>
              <w:spacing w:line="199" w:lineRule="exact"/>
              <w:ind w:right="102"/>
              <w:rPr>
                <w:sz w:val="19"/>
              </w:rPr>
            </w:pPr>
            <w:r>
              <w:rPr>
                <w:w w:val="105"/>
                <w:sz w:val="19"/>
              </w:rPr>
              <w:t>de remesas</w:t>
            </w:r>
          </w:p>
        </w:tc>
      </w:tr>
      <w:tr>
        <w:trPr>
          <w:trHeight w:val="252" w:hRule="exact"/>
        </w:trPr>
        <w:tc>
          <w:tcPr>
            <w:tcW w:w="649" w:type="dxa"/>
            <w:tcBorders>
              <w:top w:val="double" w:sz="4" w:space="0" w:color="000000"/>
              <w:left w:val="nil"/>
              <w:bottom w:val="nil"/>
              <w:right w:val="nil"/>
            </w:tcBorders>
          </w:tcPr>
          <w:p>
            <w:pPr>
              <w:pStyle w:val="TableParagraph"/>
              <w:spacing w:before="5"/>
              <w:ind w:left="110"/>
              <w:jc w:val="left"/>
              <w:rPr>
                <w:sz w:val="19"/>
              </w:rPr>
            </w:pPr>
            <w:r>
              <w:rPr>
                <w:w w:val="105"/>
                <w:sz w:val="19"/>
              </w:rPr>
              <w:t>2003</w:t>
            </w:r>
          </w:p>
        </w:tc>
        <w:tc>
          <w:tcPr>
            <w:tcW w:w="1232" w:type="dxa"/>
            <w:tcBorders>
              <w:top w:val="double" w:sz="4" w:space="0" w:color="000000"/>
              <w:left w:val="nil"/>
              <w:bottom w:val="nil"/>
              <w:right w:val="nil"/>
            </w:tcBorders>
          </w:tcPr>
          <w:p>
            <w:pPr>
              <w:pStyle w:val="TableParagraph"/>
              <w:spacing w:before="5"/>
              <w:ind w:right="113"/>
              <w:rPr>
                <w:sz w:val="19"/>
              </w:rPr>
            </w:pPr>
            <w:r>
              <w:rPr>
                <w:sz w:val="19"/>
              </w:rPr>
              <w:t>842</w:t>
            </w:r>
          </w:p>
        </w:tc>
        <w:tc>
          <w:tcPr>
            <w:tcW w:w="1651" w:type="dxa"/>
            <w:tcBorders>
              <w:top w:val="double" w:sz="4" w:space="0" w:color="000000"/>
              <w:left w:val="nil"/>
              <w:bottom w:val="nil"/>
              <w:right w:val="nil"/>
            </w:tcBorders>
          </w:tcPr>
          <w:p>
            <w:pPr>
              <w:pStyle w:val="TableParagraph"/>
              <w:spacing w:before="5"/>
              <w:ind w:right="122"/>
              <w:rPr>
                <w:sz w:val="19"/>
              </w:rPr>
            </w:pPr>
            <w:r>
              <w:rPr>
                <w:sz w:val="19"/>
              </w:rPr>
              <w:t>23</w:t>
            </w:r>
          </w:p>
        </w:tc>
        <w:tc>
          <w:tcPr>
            <w:tcW w:w="1561" w:type="dxa"/>
            <w:tcBorders>
              <w:top w:val="double" w:sz="4" w:space="0" w:color="000000"/>
              <w:left w:val="nil"/>
              <w:bottom w:val="nil"/>
              <w:right w:val="nil"/>
            </w:tcBorders>
          </w:tcPr>
          <w:p>
            <w:pPr>
              <w:pStyle w:val="TableParagraph"/>
              <w:spacing w:before="5"/>
              <w:ind w:right="123"/>
              <w:rPr>
                <w:sz w:val="19"/>
              </w:rPr>
            </w:pPr>
            <w:r>
              <w:rPr>
                <w:sz w:val="19"/>
              </w:rPr>
              <w:t>18</w:t>
            </w:r>
          </w:p>
        </w:tc>
        <w:tc>
          <w:tcPr>
            <w:tcW w:w="1396" w:type="dxa"/>
            <w:tcBorders>
              <w:top w:val="double" w:sz="4" w:space="0" w:color="000000"/>
              <w:left w:val="nil"/>
              <w:bottom w:val="nil"/>
              <w:right w:val="nil"/>
            </w:tcBorders>
          </w:tcPr>
          <w:p>
            <w:pPr>
              <w:pStyle w:val="TableParagraph"/>
              <w:spacing w:before="5"/>
              <w:ind w:right="102"/>
              <w:rPr>
                <w:sz w:val="19"/>
              </w:rPr>
            </w:pPr>
            <w:r>
              <w:rPr>
                <w:sz w:val="19"/>
              </w:rPr>
              <w:t>883</w:t>
            </w:r>
          </w:p>
        </w:tc>
      </w:tr>
      <w:tr>
        <w:trPr>
          <w:trHeight w:val="230" w:hRule="exact"/>
        </w:trPr>
        <w:tc>
          <w:tcPr>
            <w:tcW w:w="649" w:type="dxa"/>
            <w:tcBorders>
              <w:top w:val="nil"/>
              <w:left w:val="nil"/>
              <w:bottom w:val="nil"/>
              <w:right w:val="nil"/>
            </w:tcBorders>
          </w:tcPr>
          <w:p>
            <w:pPr>
              <w:pStyle w:val="TableParagraph"/>
              <w:spacing w:line="216" w:lineRule="exact"/>
              <w:ind w:left="110"/>
              <w:jc w:val="left"/>
              <w:rPr>
                <w:sz w:val="19"/>
              </w:rPr>
            </w:pPr>
            <w:r>
              <w:rPr>
                <w:w w:val="105"/>
                <w:sz w:val="19"/>
              </w:rPr>
              <w:t>2004</w:t>
            </w:r>
          </w:p>
        </w:tc>
        <w:tc>
          <w:tcPr>
            <w:tcW w:w="1232" w:type="dxa"/>
            <w:tcBorders>
              <w:top w:val="nil"/>
              <w:left w:val="nil"/>
              <w:bottom w:val="nil"/>
              <w:right w:val="nil"/>
            </w:tcBorders>
          </w:tcPr>
          <w:p>
            <w:pPr>
              <w:pStyle w:val="TableParagraph"/>
              <w:spacing w:line="216" w:lineRule="exact"/>
              <w:ind w:right="113"/>
              <w:rPr>
                <w:sz w:val="19"/>
              </w:rPr>
            </w:pPr>
            <w:r>
              <w:rPr>
                <w:w w:val="105"/>
                <w:sz w:val="19"/>
              </w:rPr>
              <w:t>1 138</w:t>
            </w:r>
          </w:p>
        </w:tc>
        <w:tc>
          <w:tcPr>
            <w:tcW w:w="1651" w:type="dxa"/>
            <w:tcBorders>
              <w:top w:val="nil"/>
              <w:left w:val="nil"/>
              <w:bottom w:val="nil"/>
              <w:right w:val="nil"/>
            </w:tcBorders>
          </w:tcPr>
          <w:p>
            <w:pPr>
              <w:pStyle w:val="TableParagraph"/>
              <w:spacing w:line="216" w:lineRule="exact"/>
              <w:ind w:right="122"/>
              <w:rPr>
                <w:sz w:val="19"/>
              </w:rPr>
            </w:pPr>
            <w:r>
              <w:rPr>
                <w:sz w:val="19"/>
              </w:rPr>
              <w:t>31</w:t>
            </w:r>
          </w:p>
        </w:tc>
        <w:tc>
          <w:tcPr>
            <w:tcW w:w="1561" w:type="dxa"/>
            <w:tcBorders>
              <w:top w:val="nil"/>
              <w:left w:val="nil"/>
              <w:bottom w:val="nil"/>
              <w:right w:val="nil"/>
            </w:tcBorders>
          </w:tcPr>
          <w:p>
            <w:pPr>
              <w:pStyle w:val="TableParagraph"/>
              <w:spacing w:line="216" w:lineRule="exact"/>
              <w:ind w:right="124"/>
              <w:rPr>
                <w:sz w:val="19"/>
              </w:rPr>
            </w:pPr>
            <w:r>
              <w:rPr>
                <w:w w:val="103"/>
                <w:sz w:val="19"/>
              </w:rPr>
              <w:t>6</w:t>
            </w:r>
          </w:p>
        </w:tc>
        <w:tc>
          <w:tcPr>
            <w:tcW w:w="1396" w:type="dxa"/>
            <w:tcBorders>
              <w:top w:val="nil"/>
              <w:left w:val="nil"/>
              <w:bottom w:val="nil"/>
              <w:right w:val="nil"/>
            </w:tcBorders>
          </w:tcPr>
          <w:p>
            <w:pPr>
              <w:pStyle w:val="TableParagraph"/>
              <w:spacing w:line="216" w:lineRule="exact"/>
              <w:ind w:right="102"/>
              <w:rPr>
                <w:sz w:val="19"/>
              </w:rPr>
            </w:pPr>
            <w:r>
              <w:rPr>
                <w:w w:val="105"/>
                <w:sz w:val="19"/>
              </w:rPr>
              <w:t>1 175</w:t>
            </w:r>
          </w:p>
        </w:tc>
      </w:tr>
      <w:tr>
        <w:trPr>
          <w:trHeight w:val="230" w:hRule="exact"/>
        </w:trPr>
        <w:tc>
          <w:tcPr>
            <w:tcW w:w="649" w:type="dxa"/>
            <w:tcBorders>
              <w:top w:val="nil"/>
              <w:left w:val="nil"/>
              <w:bottom w:val="nil"/>
              <w:right w:val="nil"/>
            </w:tcBorders>
          </w:tcPr>
          <w:p>
            <w:pPr>
              <w:pStyle w:val="TableParagraph"/>
              <w:spacing w:line="216" w:lineRule="exact"/>
              <w:ind w:left="110"/>
              <w:jc w:val="left"/>
              <w:rPr>
                <w:sz w:val="19"/>
              </w:rPr>
            </w:pPr>
            <w:r>
              <w:rPr>
                <w:w w:val="105"/>
                <w:sz w:val="19"/>
              </w:rPr>
              <w:t>2005</w:t>
            </w:r>
          </w:p>
        </w:tc>
        <w:tc>
          <w:tcPr>
            <w:tcW w:w="1232" w:type="dxa"/>
            <w:tcBorders>
              <w:top w:val="nil"/>
              <w:left w:val="nil"/>
              <w:bottom w:val="nil"/>
              <w:right w:val="nil"/>
            </w:tcBorders>
          </w:tcPr>
          <w:p>
            <w:pPr>
              <w:pStyle w:val="TableParagraph"/>
              <w:spacing w:line="216" w:lineRule="exact"/>
              <w:ind w:right="113"/>
              <w:rPr>
                <w:sz w:val="19"/>
              </w:rPr>
            </w:pPr>
            <w:r>
              <w:rPr>
                <w:w w:val="105"/>
                <w:sz w:val="19"/>
              </w:rPr>
              <w:t>1 776</w:t>
            </w:r>
          </w:p>
        </w:tc>
        <w:tc>
          <w:tcPr>
            <w:tcW w:w="1651" w:type="dxa"/>
            <w:tcBorders>
              <w:top w:val="nil"/>
              <w:left w:val="nil"/>
              <w:bottom w:val="nil"/>
              <w:right w:val="nil"/>
            </w:tcBorders>
          </w:tcPr>
          <w:p>
            <w:pPr>
              <w:pStyle w:val="TableParagraph"/>
              <w:spacing w:line="216" w:lineRule="exact"/>
              <w:ind w:right="122"/>
              <w:rPr>
                <w:sz w:val="19"/>
              </w:rPr>
            </w:pPr>
            <w:r>
              <w:rPr>
                <w:sz w:val="19"/>
              </w:rPr>
              <w:t>29</w:t>
            </w:r>
          </w:p>
        </w:tc>
        <w:tc>
          <w:tcPr>
            <w:tcW w:w="1561" w:type="dxa"/>
            <w:tcBorders>
              <w:top w:val="nil"/>
              <w:left w:val="nil"/>
              <w:bottom w:val="nil"/>
              <w:right w:val="nil"/>
            </w:tcBorders>
          </w:tcPr>
          <w:p>
            <w:pPr>
              <w:pStyle w:val="TableParagraph"/>
              <w:spacing w:line="216" w:lineRule="exact"/>
              <w:ind w:right="123"/>
              <w:rPr>
                <w:sz w:val="19"/>
              </w:rPr>
            </w:pPr>
            <w:r>
              <w:rPr>
                <w:sz w:val="19"/>
              </w:rPr>
              <w:t>16</w:t>
            </w:r>
          </w:p>
        </w:tc>
        <w:tc>
          <w:tcPr>
            <w:tcW w:w="1396" w:type="dxa"/>
            <w:tcBorders>
              <w:top w:val="nil"/>
              <w:left w:val="nil"/>
              <w:bottom w:val="nil"/>
              <w:right w:val="nil"/>
            </w:tcBorders>
          </w:tcPr>
          <w:p>
            <w:pPr>
              <w:pStyle w:val="TableParagraph"/>
              <w:spacing w:line="216" w:lineRule="exact"/>
              <w:ind w:right="102"/>
              <w:rPr>
                <w:sz w:val="19"/>
              </w:rPr>
            </w:pPr>
            <w:r>
              <w:rPr>
                <w:w w:val="105"/>
                <w:sz w:val="19"/>
              </w:rPr>
              <w:t>1 821</w:t>
            </w:r>
          </w:p>
        </w:tc>
      </w:tr>
      <w:tr>
        <w:trPr>
          <w:trHeight w:val="230" w:hRule="exact"/>
        </w:trPr>
        <w:tc>
          <w:tcPr>
            <w:tcW w:w="649" w:type="dxa"/>
            <w:tcBorders>
              <w:top w:val="nil"/>
              <w:left w:val="nil"/>
              <w:bottom w:val="nil"/>
              <w:right w:val="nil"/>
            </w:tcBorders>
          </w:tcPr>
          <w:p>
            <w:pPr>
              <w:pStyle w:val="TableParagraph"/>
              <w:spacing w:line="216" w:lineRule="exact"/>
              <w:ind w:left="110"/>
              <w:jc w:val="left"/>
              <w:rPr>
                <w:sz w:val="19"/>
              </w:rPr>
            </w:pPr>
            <w:r>
              <w:rPr>
                <w:w w:val="105"/>
                <w:sz w:val="19"/>
              </w:rPr>
              <w:t>2006</w:t>
            </w:r>
          </w:p>
        </w:tc>
        <w:tc>
          <w:tcPr>
            <w:tcW w:w="1232" w:type="dxa"/>
            <w:tcBorders>
              <w:top w:val="nil"/>
              <w:left w:val="nil"/>
              <w:bottom w:val="nil"/>
              <w:right w:val="nil"/>
            </w:tcBorders>
          </w:tcPr>
          <w:p>
            <w:pPr>
              <w:pStyle w:val="TableParagraph"/>
              <w:spacing w:line="216" w:lineRule="exact"/>
              <w:ind w:right="113"/>
              <w:rPr>
                <w:sz w:val="19"/>
              </w:rPr>
            </w:pPr>
            <w:r>
              <w:rPr>
                <w:w w:val="105"/>
                <w:sz w:val="19"/>
              </w:rPr>
              <w:t>2 329</w:t>
            </w:r>
          </w:p>
        </w:tc>
        <w:tc>
          <w:tcPr>
            <w:tcW w:w="1651" w:type="dxa"/>
            <w:tcBorders>
              <w:top w:val="nil"/>
              <w:left w:val="nil"/>
              <w:bottom w:val="nil"/>
              <w:right w:val="nil"/>
            </w:tcBorders>
          </w:tcPr>
          <w:p>
            <w:pPr>
              <w:pStyle w:val="TableParagraph"/>
              <w:spacing w:line="216" w:lineRule="exact"/>
              <w:ind w:right="122"/>
              <w:rPr>
                <w:sz w:val="19"/>
              </w:rPr>
            </w:pPr>
            <w:r>
              <w:rPr>
                <w:sz w:val="19"/>
              </w:rPr>
              <w:t>30</w:t>
            </w:r>
          </w:p>
        </w:tc>
        <w:tc>
          <w:tcPr>
            <w:tcW w:w="1561" w:type="dxa"/>
            <w:tcBorders>
              <w:top w:val="nil"/>
              <w:left w:val="nil"/>
              <w:bottom w:val="nil"/>
              <w:right w:val="nil"/>
            </w:tcBorders>
          </w:tcPr>
          <w:p>
            <w:pPr>
              <w:pStyle w:val="TableParagraph"/>
              <w:spacing w:line="216" w:lineRule="exact"/>
              <w:ind w:right="123"/>
              <w:rPr>
                <w:sz w:val="19"/>
              </w:rPr>
            </w:pPr>
            <w:r>
              <w:rPr>
                <w:sz w:val="19"/>
              </w:rPr>
              <w:t>32</w:t>
            </w:r>
          </w:p>
        </w:tc>
        <w:tc>
          <w:tcPr>
            <w:tcW w:w="1396" w:type="dxa"/>
            <w:tcBorders>
              <w:top w:val="nil"/>
              <w:left w:val="nil"/>
              <w:bottom w:val="nil"/>
              <w:right w:val="nil"/>
            </w:tcBorders>
          </w:tcPr>
          <w:p>
            <w:pPr>
              <w:pStyle w:val="TableParagraph"/>
              <w:spacing w:line="216" w:lineRule="exact"/>
              <w:ind w:right="102"/>
              <w:rPr>
                <w:sz w:val="19"/>
              </w:rPr>
            </w:pPr>
            <w:r>
              <w:rPr>
                <w:w w:val="105"/>
                <w:sz w:val="19"/>
              </w:rPr>
              <w:t>2 391</w:t>
            </w:r>
          </w:p>
        </w:tc>
      </w:tr>
      <w:tr>
        <w:trPr>
          <w:trHeight w:val="230" w:hRule="exact"/>
        </w:trPr>
        <w:tc>
          <w:tcPr>
            <w:tcW w:w="649" w:type="dxa"/>
            <w:tcBorders>
              <w:top w:val="nil"/>
              <w:left w:val="nil"/>
              <w:bottom w:val="nil"/>
              <w:right w:val="nil"/>
            </w:tcBorders>
          </w:tcPr>
          <w:p>
            <w:pPr>
              <w:pStyle w:val="TableParagraph"/>
              <w:spacing w:line="216" w:lineRule="exact"/>
              <w:ind w:left="110"/>
              <w:jc w:val="left"/>
              <w:rPr>
                <w:sz w:val="19"/>
              </w:rPr>
            </w:pPr>
            <w:r>
              <w:rPr>
                <w:w w:val="105"/>
                <w:sz w:val="19"/>
              </w:rPr>
              <w:t>2007</w:t>
            </w:r>
          </w:p>
        </w:tc>
        <w:tc>
          <w:tcPr>
            <w:tcW w:w="1232" w:type="dxa"/>
            <w:tcBorders>
              <w:top w:val="nil"/>
              <w:left w:val="nil"/>
              <w:bottom w:val="nil"/>
              <w:right w:val="nil"/>
            </w:tcBorders>
          </w:tcPr>
          <w:p>
            <w:pPr>
              <w:pStyle w:val="TableParagraph"/>
              <w:spacing w:line="216" w:lineRule="exact"/>
              <w:ind w:right="113"/>
              <w:rPr>
                <w:sz w:val="19"/>
              </w:rPr>
            </w:pPr>
            <w:r>
              <w:rPr>
                <w:w w:val="105"/>
                <w:sz w:val="19"/>
              </w:rPr>
              <w:t>2 561</w:t>
            </w:r>
          </w:p>
        </w:tc>
        <w:tc>
          <w:tcPr>
            <w:tcW w:w="1651" w:type="dxa"/>
            <w:tcBorders>
              <w:top w:val="nil"/>
              <w:left w:val="nil"/>
              <w:bottom w:val="nil"/>
              <w:right w:val="nil"/>
            </w:tcBorders>
          </w:tcPr>
          <w:p>
            <w:pPr>
              <w:pStyle w:val="TableParagraph"/>
              <w:spacing w:line="216" w:lineRule="exact"/>
              <w:ind w:right="122"/>
              <w:rPr>
                <w:sz w:val="19"/>
              </w:rPr>
            </w:pPr>
            <w:r>
              <w:rPr>
                <w:sz w:val="19"/>
              </w:rPr>
              <w:t>33</w:t>
            </w:r>
          </w:p>
        </w:tc>
        <w:tc>
          <w:tcPr>
            <w:tcW w:w="1561" w:type="dxa"/>
            <w:tcBorders>
              <w:top w:val="nil"/>
              <w:left w:val="nil"/>
              <w:bottom w:val="nil"/>
              <w:right w:val="nil"/>
            </w:tcBorders>
          </w:tcPr>
          <w:p>
            <w:pPr>
              <w:pStyle w:val="TableParagraph"/>
              <w:spacing w:line="216" w:lineRule="exact"/>
              <w:ind w:right="123"/>
              <w:rPr>
                <w:sz w:val="19"/>
              </w:rPr>
            </w:pPr>
            <w:r>
              <w:rPr>
                <w:sz w:val="19"/>
              </w:rPr>
              <w:t>31</w:t>
            </w:r>
          </w:p>
        </w:tc>
        <w:tc>
          <w:tcPr>
            <w:tcW w:w="1396" w:type="dxa"/>
            <w:tcBorders>
              <w:top w:val="nil"/>
              <w:left w:val="nil"/>
              <w:bottom w:val="nil"/>
              <w:right w:val="nil"/>
            </w:tcBorders>
          </w:tcPr>
          <w:p>
            <w:pPr>
              <w:pStyle w:val="TableParagraph"/>
              <w:spacing w:line="216" w:lineRule="exact"/>
              <w:ind w:right="102"/>
              <w:rPr>
                <w:sz w:val="19"/>
              </w:rPr>
            </w:pPr>
            <w:r>
              <w:rPr>
                <w:w w:val="105"/>
                <w:sz w:val="19"/>
              </w:rPr>
              <w:t>2 625</w:t>
            </w:r>
          </w:p>
        </w:tc>
      </w:tr>
      <w:tr>
        <w:trPr>
          <w:trHeight w:val="230" w:hRule="exact"/>
        </w:trPr>
        <w:tc>
          <w:tcPr>
            <w:tcW w:w="649" w:type="dxa"/>
            <w:tcBorders>
              <w:top w:val="nil"/>
              <w:left w:val="nil"/>
              <w:bottom w:val="nil"/>
              <w:right w:val="nil"/>
            </w:tcBorders>
          </w:tcPr>
          <w:p>
            <w:pPr>
              <w:pStyle w:val="TableParagraph"/>
              <w:spacing w:line="216" w:lineRule="exact"/>
              <w:ind w:left="110"/>
              <w:jc w:val="left"/>
              <w:rPr>
                <w:sz w:val="19"/>
              </w:rPr>
            </w:pPr>
            <w:r>
              <w:rPr>
                <w:w w:val="105"/>
                <w:sz w:val="19"/>
              </w:rPr>
              <w:t>2008</w:t>
            </w:r>
          </w:p>
        </w:tc>
        <w:tc>
          <w:tcPr>
            <w:tcW w:w="1232" w:type="dxa"/>
            <w:tcBorders>
              <w:top w:val="nil"/>
              <w:left w:val="nil"/>
              <w:bottom w:val="nil"/>
              <w:right w:val="nil"/>
            </w:tcBorders>
          </w:tcPr>
          <w:p>
            <w:pPr>
              <w:pStyle w:val="TableParagraph"/>
              <w:spacing w:line="216" w:lineRule="exact"/>
              <w:ind w:right="113"/>
              <w:rPr>
                <w:sz w:val="19"/>
              </w:rPr>
            </w:pPr>
            <w:r>
              <w:rPr>
                <w:w w:val="105"/>
                <w:sz w:val="19"/>
              </w:rPr>
              <w:t>2 801</w:t>
            </w:r>
          </w:p>
        </w:tc>
        <w:tc>
          <w:tcPr>
            <w:tcW w:w="1651" w:type="dxa"/>
            <w:tcBorders>
              <w:top w:val="nil"/>
              <w:left w:val="nil"/>
              <w:bottom w:val="nil"/>
              <w:right w:val="nil"/>
            </w:tcBorders>
          </w:tcPr>
          <w:p>
            <w:pPr>
              <w:pStyle w:val="TableParagraph"/>
              <w:spacing w:line="216" w:lineRule="exact"/>
              <w:ind w:right="122"/>
              <w:rPr>
                <w:sz w:val="19"/>
              </w:rPr>
            </w:pPr>
            <w:r>
              <w:rPr>
                <w:sz w:val="19"/>
              </w:rPr>
              <w:t>29</w:t>
            </w:r>
          </w:p>
        </w:tc>
        <w:tc>
          <w:tcPr>
            <w:tcW w:w="1561" w:type="dxa"/>
            <w:tcBorders>
              <w:top w:val="nil"/>
              <w:left w:val="nil"/>
              <w:bottom w:val="nil"/>
              <w:right w:val="nil"/>
            </w:tcBorders>
          </w:tcPr>
          <w:p>
            <w:pPr>
              <w:pStyle w:val="TableParagraph"/>
              <w:spacing w:line="216" w:lineRule="exact"/>
              <w:ind w:right="123"/>
              <w:rPr>
                <w:sz w:val="19"/>
              </w:rPr>
            </w:pPr>
            <w:r>
              <w:rPr>
                <w:sz w:val="19"/>
              </w:rPr>
              <w:t>39</w:t>
            </w:r>
          </w:p>
        </w:tc>
        <w:tc>
          <w:tcPr>
            <w:tcW w:w="1396" w:type="dxa"/>
            <w:tcBorders>
              <w:top w:val="nil"/>
              <w:left w:val="nil"/>
              <w:bottom w:val="nil"/>
              <w:right w:val="nil"/>
            </w:tcBorders>
          </w:tcPr>
          <w:p>
            <w:pPr>
              <w:pStyle w:val="TableParagraph"/>
              <w:spacing w:line="216" w:lineRule="exact"/>
              <w:ind w:right="102"/>
              <w:rPr>
                <w:sz w:val="19"/>
              </w:rPr>
            </w:pPr>
            <w:r>
              <w:rPr>
                <w:w w:val="105"/>
                <w:sz w:val="19"/>
              </w:rPr>
              <w:t>2 869</w:t>
            </w:r>
          </w:p>
        </w:tc>
      </w:tr>
      <w:tr>
        <w:trPr>
          <w:trHeight w:val="230" w:hRule="exact"/>
        </w:trPr>
        <w:tc>
          <w:tcPr>
            <w:tcW w:w="649" w:type="dxa"/>
            <w:tcBorders>
              <w:top w:val="nil"/>
              <w:left w:val="nil"/>
              <w:bottom w:val="nil"/>
              <w:right w:val="nil"/>
            </w:tcBorders>
          </w:tcPr>
          <w:p>
            <w:pPr>
              <w:pStyle w:val="TableParagraph"/>
              <w:spacing w:line="216" w:lineRule="exact"/>
              <w:ind w:left="110"/>
              <w:jc w:val="left"/>
              <w:rPr>
                <w:sz w:val="19"/>
              </w:rPr>
            </w:pPr>
            <w:r>
              <w:rPr>
                <w:w w:val="105"/>
                <w:sz w:val="19"/>
              </w:rPr>
              <w:t>2009</w:t>
            </w:r>
          </w:p>
        </w:tc>
        <w:tc>
          <w:tcPr>
            <w:tcW w:w="1232" w:type="dxa"/>
            <w:tcBorders>
              <w:top w:val="nil"/>
              <w:left w:val="nil"/>
              <w:bottom w:val="nil"/>
              <w:right w:val="nil"/>
            </w:tcBorders>
          </w:tcPr>
          <w:p>
            <w:pPr>
              <w:pStyle w:val="TableParagraph"/>
              <w:spacing w:line="216" w:lineRule="exact"/>
              <w:ind w:right="113"/>
              <w:rPr>
                <w:sz w:val="19"/>
              </w:rPr>
            </w:pPr>
            <w:r>
              <w:rPr>
                <w:w w:val="105"/>
                <w:sz w:val="19"/>
              </w:rPr>
              <w:t>2 476</w:t>
            </w:r>
          </w:p>
        </w:tc>
        <w:tc>
          <w:tcPr>
            <w:tcW w:w="1651" w:type="dxa"/>
            <w:tcBorders>
              <w:top w:val="nil"/>
              <w:left w:val="nil"/>
              <w:bottom w:val="nil"/>
              <w:right w:val="nil"/>
            </w:tcBorders>
          </w:tcPr>
          <w:p>
            <w:pPr>
              <w:pStyle w:val="TableParagraph"/>
              <w:spacing w:line="216" w:lineRule="exact"/>
              <w:ind w:right="124"/>
              <w:rPr>
                <w:sz w:val="19"/>
              </w:rPr>
            </w:pPr>
            <w:r>
              <w:rPr>
                <w:w w:val="103"/>
                <w:sz w:val="19"/>
              </w:rPr>
              <w:t>9</w:t>
            </w:r>
          </w:p>
        </w:tc>
        <w:tc>
          <w:tcPr>
            <w:tcW w:w="1561" w:type="dxa"/>
            <w:tcBorders>
              <w:top w:val="nil"/>
              <w:left w:val="nil"/>
              <w:bottom w:val="nil"/>
              <w:right w:val="nil"/>
            </w:tcBorders>
          </w:tcPr>
          <w:p>
            <w:pPr>
              <w:pStyle w:val="TableParagraph"/>
              <w:spacing w:line="216" w:lineRule="exact"/>
              <w:ind w:right="123"/>
              <w:rPr>
                <w:sz w:val="19"/>
              </w:rPr>
            </w:pPr>
            <w:r>
              <w:rPr>
                <w:sz w:val="19"/>
              </w:rPr>
              <w:t>35</w:t>
            </w:r>
          </w:p>
        </w:tc>
        <w:tc>
          <w:tcPr>
            <w:tcW w:w="1396" w:type="dxa"/>
            <w:tcBorders>
              <w:top w:val="nil"/>
              <w:left w:val="nil"/>
              <w:bottom w:val="nil"/>
              <w:right w:val="nil"/>
            </w:tcBorders>
          </w:tcPr>
          <w:p>
            <w:pPr>
              <w:pStyle w:val="TableParagraph"/>
              <w:spacing w:line="216" w:lineRule="exact"/>
              <w:ind w:right="102"/>
              <w:rPr>
                <w:sz w:val="19"/>
              </w:rPr>
            </w:pPr>
            <w:r>
              <w:rPr>
                <w:w w:val="105"/>
                <w:sz w:val="19"/>
              </w:rPr>
              <w:t>2 553</w:t>
            </w:r>
          </w:p>
        </w:tc>
      </w:tr>
      <w:tr>
        <w:trPr>
          <w:trHeight w:val="238" w:hRule="exact"/>
        </w:trPr>
        <w:tc>
          <w:tcPr>
            <w:tcW w:w="649" w:type="dxa"/>
            <w:tcBorders>
              <w:top w:val="nil"/>
              <w:left w:val="nil"/>
              <w:bottom w:val="double" w:sz="4" w:space="0" w:color="000000"/>
              <w:right w:val="nil"/>
            </w:tcBorders>
          </w:tcPr>
          <w:p>
            <w:pPr>
              <w:pStyle w:val="TableParagraph"/>
              <w:spacing w:line="216" w:lineRule="exact"/>
              <w:ind w:left="110"/>
              <w:jc w:val="left"/>
              <w:rPr>
                <w:sz w:val="19"/>
              </w:rPr>
            </w:pPr>
            <w:r>
              <w:rPr>
                <w:w w:val="105"/>
                <w:sz w:val="19"/>
              </w:rPr>
              <w:t>2010</w:t>
            </w:r>
          </w:p>
        </w:tc>
        <w:tc>
          <w:tcPr>
            <w:tcW w:w="1232" w:type="dxa"/>
            <w:tcBorders>
              <w:top w:val="nil"/>
              <w:left w:val="nil"/>
              <w:bottom w:val="double" w:sz="4" w:space="0" w:color="000000"/>
              <w:right w:val="nil"/>
            </w:tcBorders>
          </w:tcPr>
          <w:p>
            <w:pPr/>
          </w:p>
        </w:tc>
        <w:tc>
          <w:tcPr>
            <w:tcW w:w="1651" w:type="dxa"/>
            <w:tcBorders>
              <w:top w:val="nil"/>
              <w:left w:val="nil"/>
              <w:bottom w:val="double" w:sz="4" w:space="0" w:color="000000"/>
              <w:right w:val="nil"/>
            </w:tcBorders>
          </w:tcPr>
          <w:p>
            <w:pPr/>
          </w:p>
        </w:tc>
        <w:tc>
          <w:tcPr>
            <w:tcW w:w="1561" w:type="dxa"/>
            <w:tcBorders>
              <w:top w:val="nil"/>
              <w:left w:val="nil"/>
              <w:bottom w:val="double" w:sz="4" w:space="0" w:color="000000"/>
              <w:right w:val="nil"/>
            </w:tcBorders>
          </w:tcPr>
          <w:p>
            <w:pPr/>
          </w:p>
        </w:tc>
        <w:tc>
          <w:tcPr>
            <w:tcW w:w="1396" w:type="dxa"/>
            <w:tcBorders>
              <w:top w:val="nil"/>
              <w:left w:val="nil"/>
              <w:bottom w:val="double" w:sz="4" w:space="0" w:color="000000"/>
              <w:right w:val="nil"/>
            </w:tcBorders>
          </w:tcPr>
          <w:p>
            <w:pPr>
              <w:pStyle w:val="TableParagraph"/>
              <w:spacing w:line="216" w:lineRule="exact"/>
              <w:ind w:right="102"/>
              <w:rPr>
                <w:sz w:val="19"/>
              </w:rPr>
            </w:pPr>
            <w:r>
              <w:rPr>
                <w:w w:val="105"/>
                <w:sz w:val="19"/>
              </w:rPr>
              <w:t>2 662</w:t>
            </w:r>
          </w:p>
        </w:tc>
      </w:tr>
    </w:tbl>
    <w:p>
      <w:pPr>
        <w:spacing w:line="169" w:lineRule="exact" w:before="0"/>
        <w:ind w:left="257" w:right="117" w:firstLine="0"/>
        <w:jc w:val="left"/>
        <w:rPr>
          <w:sz w:val="16"/>
        </w:rPr>
      </w:pPr>
      <w:r>
        <w:rPr>
          <w:sz w:val="16"/>
        </w:rPr>
        <w:t>Fuente: elaborado con base en Migration and Remittances, Factbook 2011.</w:t>
      </w:r>
    </w:p>
    <w:p>
      <w:pPr>
        <w:pStyle w:val="BodyText"/>
        <w:spacing w:before="1"/>
        <w:rPr>
          <w:sz w:val="28"/>
        </w:rPr>
      </w:pPr>
    </w:p>
    <w:p>
      <w:pPr>
        <w:pStyle w:val="BodyText"/>
        <w:spacing w:line="247" w:lineRule="auto" w:before="72"/>
        <w:ind w:left="117" w:right="114" w:firstLine="283"/>
        <w:jc w:val="both"/>
      </w:pPr>
      <w:r>
        <w:rPr>
          <w:color w:val="231F20"/>
        </w:rPr>
        <w:t>Las remesas que envían los emigrantes han tenido impactos positivos en la economía nacional, por un lado han impulsado el crecimiento de la actividad económica y en la acumulación de reservas internacionales que favorecen la estabilización cambiaria y de precios. El impacto positivo en la</w:t>
      </w:r>
      <w:r>
        <w:rPr>
          <w:color w:val="231F20"/>
          <w:spacing w:val="-9"/>
        </w:rPr>
        <w:t> </w:t>
      </w:r>
      <w:r>
        <w:rPr>
          <w:color w:val="231F20"/>
        </w:rPr>
        <w:t>actividad</w:t>
      </w:r>
      <w:r>
        <w:rPr>
          <w:color w:val="231F20"/>
          <w:spacing w:val="-10"/>
        </w:rPr>
        <w:t> </w:t>
      </w:r>
      <w:r>
        <w:rPr>
          <w:color w:val="231F20"/>
        </w:rPr>
        <w:t>económica</w:t>
      </w:r>
      <w:r>
        <w:rPr>
          <w:color w:val="231F20"/>
          <w:spacing w:val="-10"/>
        </w:rPr>
        <w:t> </w:t>
      </w:r>
      <w:r>
        <w:rPr>
          <w:color w:val="231F20"/>
        </w:rPr>
        <w:t>es</w:t>
      </w:r>
      <w:r>
        <w:rPr>
          <w:color w:val="231F20"/>
          <w:spacing w:val="-9"/>
        </w:rPr>
        <w:t> </w:t>
      </w:r>
      <w:r>
        <w:rPr>
          <w:color w:val="231F20"/>
        </w:rPr>
        <w:t>generado</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del</w:t>
      </w:r>
      <w:r>
        <w:rPr>
          <w:color w:val="231F20"/>
          <w:spacing w:val="-9"/>
        </w:rPr>
        <w:t> </w:t>
      </w:r>
      <w:r>
        <w:rPr>
          <w:color w:val="231F20"/>
        </w:rPr>
        <w:t>gasto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hogares</w:t>
      </w:r>
      <w:r>
        <w:rPr>
          <w:color w:val="231F20"/>
          <w:spacing w:val="-9"/>
        </w:rPr>
        <w:t> </w:t>
      </w:r>
      <w:r>
        <w:rPr>
          <w:color w:val="231F20"/>
        </w:rPr>
        <w:t>recep- tores de remesas, en productos de origen importado, nacionales y en ser- vicios del cuidado de la salud, educación y en restaurantes y hoteles. Los hogares</w:t>
      </w:r>
      <w:r>
        <w:rPr>
          <w:color w:val="231F20"/>
          <w:spacing w:val="-9"/>
        </w:rPr>
        <w:t> </w:t>
      </w:r>
      <w:r>
        <w:rPr>
          <w:color w:val="231F20"/>
        </w:rPr>
        <w:t>receptores</w:t>
      </w:r>
      <w:r>
        <w:rPr>
          <w:color w:val="231F20"/>
          <w:spacing w:val="-9"/>
        </w:rPr>
        <w:t> </w:t>
      </w:r>
      <w:r>
        <w:rPr>
          <w:color w:val="231F20"/>
        </w:rPr>
        <w:t>gozan</w:t>
      </w:r>
      <w:r>
        <w:rPr>
          <w:color w:val="231F20"/>
          <w:spacing w:val="-10"/>
        </w:rPr>
        <w:t> </w:t>
      </w:r>
      <w:r>
        <w:rPr>
          <w:color w:val="231F20"/>
        </w:rPr>
        <w:t>de</w:t>
      </w:r>
      <w:r>
        <w:rPr>
          <w:color w:val="231F20"/>
          <w:spacing w:val="-9"/>
        </w:rPr>
        <w:t> </w:t>
      </w:r>
      <w:r>
        <w:rPr>
          <w:color w:val="231F20"/>
        </w:rPr>
        <w:t>un</w:t>
      </w:r>
      <w:r>
        <w:rPr>
          <w:color w:val="231F20"/>
          <w:spacing w:val="-9"/>
        </w:rPr>
        <w:t> </w:t>
      </w:r>
      <w:r>
        <w:rPr>
          <w:color w:val="231F20"/>
        </w:rPr>
        <w:t>ingreso</w:t>
      </w:r>
      <w:r>
        <w:rPr>
          <w:color w:val="231F20"/>
          <w:spacing w:val="-10"/>
        </w:rPr>
        <w:t> </w:t>
      </w:r>
      <w:r>
        <w:rPr>
          <w:color w:val="231F20"/>
        </w:rPr>
        <w:t>promedio</w:t>
      </w:r>
      <w:r>
        <w:rPr>
          <w:color w:val="231F20"/>
          <w:spacing w:val="-10"/>
        </w:rPr>
        <w:t> </w:t>
      </w:r>
      <w:r>
        <w:rPr>
          <w:color w:val="231F20"/>
        </w:rPr>
        <w:t>superior</w:t>
      </w:r>
      <w:r>
        <w:rPr>
          <w:color w:val="231F20"/>
          <w:spacing w:val="-9"/>
        </w:rPr>
        <w:t> </w:t>
      </w:r>
      <w:r>
        <w:rPr>
          <w:color w:val="231F20"/>
        </w:rPr>
        <w:t>en</w:t>
      </w:r>
      <w:r>
        <w:rPr>
          <w:color w:val="231F20"/>
          <w:spacing w:val="-9"/>
        </w:rPr>
        <w:t> </w:t>
      </w:r>
      <w:r>
        <w:rPr>
          <w:color w:val="231F20"/>
        </w:rPr>
        <w:t>comparación con los no receptores, teniendo menos restricciones en sus ingresos lo que influye en la modificación de los patrones de consumo e inversión (BCH, 2007). Esto hace que a nivel micro los emigrantes y sus familias sean per- cibidos</w:t>
      </w:r>
      <w:r>
        <w:rPr>
          <w:color w:val="231F20"/>
          <w:spacing w:val="-7"/>
        </w:rPr>
        <w:t> </w:t>
      </w:r>
      <w:r>
        <w:rPr>
          <w:color w:val="231F20"/>
        </w:rPr>
        <w:t>como</w:t>
      </w:r>
      <w:r>
        <w:rPr>
          <w:color w:val="231F20"/>
          <w:spacing w:val="-6"/>
        </w:rPr>
        <w:t> </w:t>
      </w:r>
      <w:r>
        <w:rPr>
          <w:color w:val="231F20"/>
        </w:rPr>
        <w:t>privilegiados</w:t>
      </w:r>
      <w:r>
        <w:rPr>
          <w:color w:val="231F20"/>
          <w:spacing w:val="-6"/>
        </w:rPr>
        <w:t> </w:t>
      </w:r>
      <w:r>
        <w:rPr>
          <w:color w:val="231F20"/>
        </w:rPr>
        <w:t>y</w:t>
      </w:r>
      <w:r>
        <w:rPr>
          <w:color w:val="231F20"/>
          <w:spacing w:val="-6"/>
        </w:rPr>
        <w:t> </w:t>
      </w:r>
      <w:r>
        <w:rPr>
          <w:color w:val="231F20"/>
        </w:rPr>
        <w:t>con</w:t>
      </w:r>
      <w:r>
        <w:rPr>
          <w:color w:val="231F20"/>
          <w:spacing w:val="-6"/>
        </w:rPr>
        <w:t> </w:t>
      </w:r>
      <w:r>
        <w:rPr>
          <w:color w:val="231F20"/>
        </w:rPr>
        <w:t>mejores</w:t>
      </w:r>
      <w:r>
        <w:rPr>
          <w:color w:val="231F20"/>
          <w:spacing w:val="-7"/>
        </w:rPr>
        <w:t> </w:t>
      </w:r>
      <w:r>
        <w:rPr>
          <w:color w:val="231F20"/>
        </w:rPr>
        <w:t>opciones</w:t>
      </w:r>
      <w:r>
        <w:rPr>
          <w:color w:val="231F20"/>
          <w:spacing w:val="-6"/>
        </w:rPr>
        <w:t> </w:t>
      </w:r>
      <w:r>
        <w:rPr>
          <w:color w:val="231F20"/>
        </w:rPr>
        <w:t>de</w:t>
      </w:r>
      <w:r>
        <w:rPr>
          <w:color w:val="231F20"/>
          <w:spacing w:val="-6"/>
        </w:rPr>
        <w:t> </w:t>
      </w:r>
      <w:r>
        <w:rPr>
          <w:color w:val="231F20"/>
        </w:rPr>
        <w:t>movilidad</w:t>
      </w:r>
      <w:r>
        <w:rPr>
          <w:color w:val="231F20"/>
          <w:spacing w:val="-7"/>
        </w:rPr>
        <w:t> </w:t>
      </w:r>
      <w:r>
        <w:rPr>
          <w:color w:val="231F20"/>
        </w:rPr>
        <w:t>social,</w:t>
      </w:r>
      <w:r>
        <w:rPr>
          <w:color w:val="231F20"/>
          <w:spacing w:val="-6"/>
        </w:rPr>
        <w:t> </w:t>
      </w:r>
      <w:r>
        <w:rPr>
          <w:color w:val="231F20"/>
        </w:rPr>
        <w:t>lo que contribuye en la promoción de la migración como estrategia de</w:t>
      </w:r>
      <w:r>
        <w:rPr>
          <w:color w:val="231F20"/>
          <w:spacing w:val="-5"/>
        </w:rPr>
        <w:t> </w:t>
      </w:r>
      <w:r>
        <w:rPr>
          <w:color w:val="231F20"/>
        </w:rPr>
        <w:t>vida.</w:t>
      </w:r>
    </w:p>
    <w:p>
      <w:pPr>
        <w:pStyle w:val="BodyText"/>
        <w:spacing w:line="247" w:lineRule="auto"/>
        <w:ind w:left="117" w:right="114" w:firstLine="283"/>
        <w:jc w:val="both"/>
      </w:pPr>
      <w:r>
        <w:rPr>
          <w:color w:val="231F20"/>
        </w:rPr>
        <w:t>La última Encuesta Semestral de Gastos y Remesas 2012 que realizó el Banco Central de Honduras a familiares de nacionales residiendo en el exterior, estima un promedio mensual de 315.2 dólares</w:t>
      </w:r>
      <w:r>
        <w:rPr>
          <w:color w:val="231F20"/>
          <w:spacing w:val="-25"/>
        </w:rPr>
        <w:t> </w:t>
      </w:r>
      <w:r>
        <w:rPr>
          <w:color w:val="231F20"/>
        </w:rPr>
        <w:t>(aproximadamente unos</w:t>
      </w:r>
      <w:r>
        <w:rPr>
          <w:color w:val="231F20"/>
          <w:spacing w:val="-6"/>
        </w:rPr>
        <w:t> </w:t>
      </w:r>
      <w:r>
        <w:rPr>
          <w:color w:val="231F20"/>
        </w:rPr>
        <w:t>seis</w:t>
      </w:r>
      <w:r>
        <w:rPr>
          <w:color w:val="231F20"/>
          <w:spacing w:val="-6"/>
        </w:rPr>
        <w:t> </w:t>
      </w:r>
      <w:r>
        <w:rPr>
          <w:color w:val="231F20"/>
        </w:rPr>
        <w:t>mil</w:t>
      </w:r>
      <w:r>
        <w:rPr>
          <w:color w:val="231F20"/>
          <w:spacing w:val="-7"/>
        </w:rPr>
        <w:t> </w:t>
      </w:r>
      <w:r>
        <w:rPr>
          <w:color w:val="231F20"/>
        </w:rPr>
        <w:t>Lempiras)</w:t>
      </w:r>
      <w:r>
        <w:rPr>
          <w:color w:val="231F20"/>
          <w:spacing w:val="-7"/>
        </w:rPr>
        <w:t> </w:t>
      </w:r>
      <w:r>
        <w:rPr>
          <w:color w:val="231F20"/>
        </w:rPr>
        <w:t>que</w:t>
      </w:r>
      <w:r>
        <w:rPr>
          <w:color w:val="231F20"/>
          <w:spacing w:val="-7"/>
        </w:rPr>
        <w:t> </w:t>
      </w:r>
      <w:r>
        <w:rPr>
          <w:color w:val="231F20"/>
        </w:rPr>
        <w:t>cada</w:t>
      </w:r>
      <w:r>
        <w:rPr>
          <w:color w:val="231F20"/>
          <w:spacing w:val="-7"/>
        </w:rPr>
        <w:t> </w:t>
      </w:r>
      <w:r>
        <w:rPr>
          <w:color w:val="231F20"/>
        </w:rPr>
        <w:t>hondureño</w:t>
      </w:r>
      <w:r>
        <w:rPr>
          <w:color w:val="231F20"/>
          <w:spacing w:val="-7"/>
        </w:rPr>
        <w:t> </w:t>
      </w:r>
      <w:r>
        <w:rPr>
          <w:color w:val="231F20"/>
        </w:rPr>
        <w:t>residente</w:t>
      </w:r>
      <w:r>
        <w:rPr>
          <w:color w:val="231F20"/>
          <w:spacing w:val="-6"/>
        </w:rPr>
        <w:t> </w:t>
      </w:r>
      <w:r>
        <w:rPr>
          <w:color w:val="231F20"/>
        </w:rPr>
        <w:t>en</w:t>
      </w:r>
      <w:r>
        <w:rPr>
          <w:color w:val="231F20"/>
          <w:spacing w:val="-7"/>
        </w:rPr>
        <w:t> </w:t>
      </w:r>
      <w:r>
        <w:rPr>
          <w:color w:val="231F20"/>
        </w:rPr>
        <w:t>el</w:t>
      </w:r>
      <w:r>
        <w:rPr>
          <w:color w:val="231F20"/>
          <w:spacing w:val="-7"/>
        </w:rPr>
        <w:t> </w:t>
      </w:r>
      <w:r>
        <w:rPr>
          <w:color w:val="231F20"/>
        </w:rPr>
        <w:t>exterior,</w:t>
      </w:r>
      <w:r>
        <w:rPr>
          <w:color w:val="231F20"/>
          <w:spacing w:val="-7"/>
        </w:rPr>
        <w:t> </w:t>
      </w:r>
      <w:r>
        <w:rPr>
          <w:color w:val="231F20"/>
        </w:rPr>
        <w:t>espe- cialmente en Estados Unidos envió a sus familiares en el</w:t>
      </w:r>
      <w:r>
        <w:rPr>
          <w:color w:val="231F20"/>
          <w:spacing w:val="-12"/>
        </w:rPr>
        <w:t> </w:t>
      </w:r>
      <w:r>
        <w:rPr>
          <w:color w:val="231F20"/>
        </w:rPr>
        <w:t>país.</w:t>
      </w:r>
    </w:p>
    <w:p>
      <w:pPr>
        <w:spacing w:after="0" w:line="247" w:lineRule="auto"/>
        <w:jc w:val="both"/>
        <w:sectPr>
          <w:pgSz w:w="9360" w:h="13040"/>
          <w:pgMar w:header="0" w:footer="496" w:top="800" w:bottom="680" w:left="1300" w:right="1300"/>
        </w:sectPr>
      </w:pPr>
    </w:p>
    <w:p>
      <w:pPr>
        <w:spacing w:before="45"/>
        <w:ind w:left="744" w:right="117" w:firstLine="0"/>
        <w:jc w:val="left"/>
        <w:rPr>
          <w:rFonts w:ascii="Arial" w:hAnsi="Arial"/>
          <w:sz w:val="20"/>
        </w:rPr>
      </w:pPr>
      <w:r>
        <w:rPr>
          <w:rFonts w:ascii="Arial" w:hAnsi="Arial"/>
          <w:color w:val="231F20"/>
          <w:w w:val="65"/>
          <w:sz w:val="20"/>
        </w:rPr>
        <w:t>Factores contextuales de la migración internacional de    Honduras /Manuel Antonio Flores-Fonseca</w:t>
      </w:r>
    </w:p>
    <w:p>
      <w:pPr>
        <w:pStyle w:val="BodyText"/>
        <w:spacing w:before="10"/>
        <w:rPr>
          <w:rFonts w:ascii="Arial"/>
          <w:sz w:val="27"/>
        </w:rPr>
      </w:pPr>
    </w:p>
    <w:p>
      <w:pPr>
        <w:pStyle w:val="Heading3"/>
        <w:spacing w:before="0"/>
      </w:pPr>
      <w:r>
        <w:rPr>
          <w:color w:val="231F20"/>
        </w:rPr>
        <w:t>Aspectos culturales de la migración</w:t>
      </w:r>
    </w:p>
    <w:p>
      <w:pPr>
        <w:pStyle w:val="BodyText"/>
        <w:spacing w:line="247" w:lineRule="auto" w:before="172"/>
        <w:ind w:left="117" w:right="114"/>
        <w:jc w:val="both"/>
      </w:pPr>
      <w:r>
        <w:rPr>
          <w:color w:val="231F20"/>
        </w:rPr>
        <w:t>La migración conlleva un proceso que contiene elementos culturales, mis- mos que se van construyendo desde el lugar de origen, el país o lugar de tránsito y el lugar o país de destino. Estos aspectos culturales de la migra- ción son múltiples y contienen elementos que se agrupan en las llamadas “culturas de la migración”. La migración no puede entenderse como un fenómeno que se mantiene estático conservando las mismas causas y con- ceptos, sino que dentro de ésta operan muchos niveles de transformación, de dinamización y reinterpretación de símbolos, a su vez las culturas mi- gratorias contienen tres elementos constitutivos, el proyecto migratorio, el capital cultural migrante y la utopía (Flores, 2012).</w:t>
      </w:r>
    </w:p>
    <w:p>
      <w:pPr>
        <w:pStyle w:val="BodyText"/>
        <w:spacing w:line="247" w:lineRule="auto"/>
        <w:ind w:left="117" w:right="114" w:firstLine="283"/>
        <w:jc w:val="both"/>
      </w:pPr>
      <w:r>
        <w:rPr>
          <w:color w:val="231F20"/>
        </w:rPr>
        <w:t>En el caso de Honduras es necesario un estudio empírico que conten- ga los elementos culturales de la migración o culturas migratorias. Una aproximación inicial que parte en algunos estudios de caso de remesas </w:t>
      </w:r>
      <w:r>
        <w:rPr>
          <w:color w:val="231F20"/>
          <w:spacing w:val="-3"/>
        </w:rPr>
        <w:t>(World </w:t>
      </w:r>
      <w:r>
        <w:rPr>
          <w:color w:val="231F20"/>
        </w:rPr>
        <w:t>Bank, 2009) se podría utilizar para identificar culturas, tal es el caso de la zona norte, una región donde podría descubrirse o está constru- yéndose</w:t>
      </w:r>
      <w:r>
        <w:rPr>
          <w:color w:val="231F20"/>
          <w:spacing w:val="-11"/>
        </w:rPr>
        <w:t> </w:t>
      </w:r>
      <w:r>
        <w:rPr>
          <w:color w:val="231F20"/>
        </w:rPr>
        <w:t>una</w:t>
      </w:r>
      <w:r>
        <w:rPr>
          <w:color w:val="231F20"/>
          <w:spacing w:val="-11"/>
        </w:rPr>
        <w:t> </w:t>
      </w:r>
      <w:r>
        <w:rPr>
          <w:color w:val="231F20"/>
        </w:rPr>
        <w:t>cultura</w:t>
      </w:r>
      <w:r>
        <w:rPr>
          <w:color w:val="231F20"/>
          <w:spacing w:val="-11"/>
        </w:rPr>
        <w:t> </w:t>
      </w:r>
      <w:r>
        <w:rPr>
          <w:color w:val="231F20"/>
        </w:rPr>
        <w:t>migratoria,</w:t>
      </w:r>
      <w:r>
        <w:rPr>
          <w:color w:val="231F20"/>
          <w:spacing w:val="-11"/>
        </w:rPr>
        <w:t> </w:t>
      </w:r>
      <w:r>
        <w:rPr>
          <w:color w:val="231F20"/>
        </w:rPr>
        <w:t>que</w:t>
      </w:r>
      <w:r>
        <w:rPr>
          <w:color w:val="231F20"/>
          <w:spacing w:val="-11"/>
        </w:rPr>
        <w:t> </w:t>
      </w:r>
      <w:r>
        <w:rPr>
          <w:color w:val="231F20"/>
        </w:rPr>
        <w:t>es</w:t>
      </w:r>
      <w:r>
        <w:rPr>
          <w:color w:val="231F20"/>
          <w:spacing w:val="-11"/>
        </w:rPr>
        <w:t> </w:t>
      </w:r>
      <w:r>
        <w:rPr>
          <w:color w:val="231F20"/>
        </w:rPr>
        <w:t>la</w:t>
      </w:r>
      <w:r>
        <w:rPr>
          <w:color w:val="231F20"/>
          <w:spacing w:val="-11"/>
        </w:rPr>
        <w:t> </w:t>
      </w:r>
      <w:r>
        <w:rPr>
          <w:color w:val="231F20"/>
        </w:rPr>
        <w:t>de</w:t>
      </w:r>
      <w:r>
        <w:rPr>
          <w:color w:val="231F20"/>
          <w:spacing w:val="-11"/>
        </w:rPr>
        <w:t> </w:t>
      </w:r>
      <w:r>
        <w:rPr>
          <w:color w:val="231F20"/>
        </w:rPr>
        <w:t>mayor</w:t>
      </w:r>
      <w:r>
        <w:rPr>
          <w:color w:val="231F20"/>
          <w:spacing w:val="-11"/>
        </w:rPr>
        <w:t> </w:t>
      </w:r>
      <w:r>
        <w:rPr>
          <w:color w:val="231F20"/>
        </w:rPr>
        <w:t>data</w:t>
      </w:r>
      <w:r>
        <w:rPr>
          <w:color w:val="231F20"/>
          <w:spacing w:val="-11"/>
        </w:rPr>
        <w:t> </w:t>
      </w:r>
      <w:r>
        <w:rPr>
          <w:color w:val="231F20"/>
        </w:rPr>
        <w:t>histórica,</w:t>
      </w:r>
      <w:r>
        <w:rPr>
          <w:color w:val="231F20"/>
          <w:spacing w:val="-11"/>
        </w:rPr>
        <w:t> </w:t>
      </w:r>
      <w:r>
        <w:rPr>
          <w:color w:val="231F20"/>
        </w:rPr>
        <w:t>y</w:t>
      </w:r>
      <w:r>
        <w:rPr>
          <w:color w:val="231F20"/>
          <w:spacing w:val="-11"/>
        </w:rPr>
        <w:t> </w:t>
      </w:r>
      <w:r>
        <w:rPr>
          <w:color w:val="231F20"/>
        </w:rPr>
        <w:t>que</w:t>
      </w:r>
      <w:r>
        <w:rPr>
          <w:color w:val="231F20"/>
          <w:spacing w:val="-11"/>
        </w:rPr>
        <w:t> </w:t>
      </w:r>
      <w:r>
        <w:rPr>
          <w:color w:val="231F20"/>
        </w:rPr>
        <w:t>fue construyéndose desde la época bananera con el intercambio cultural alre- dedor de la economía de enclave y que produjo las primeras emigraciones hacia los puertos de la costa este de Estados Unidos. Al mismo tiempo, la necesidad de mano de obra en la marina mercante también fue generando empleo</w:t>
      </w:r>
      <w:r>
        <w:rPr>
          <w:color w:val="231F20"/>
          <w:spacing w:val="-10"/>
        </w:rPr>
        <w:t> </w:t>
      </w:r>
      <w:r>
        <w:rPr>
          <w:color w:val="231F20"/>
        </w:rPr>
        <w:t>en</w:t>
      </w:r>
      <w:r>
        <w:rPr>
          <w:color w:val="231F20"/>
          <w:spacing w:val="-9"/>
        </w:rPr>
        <w:t> </w:t>
      </w:r>
      <w:r>
        <w:rPr>
          <w:color w:val="231F20"/>
        </w:rPr>
        <w:t>ultramar,</w:t>
      </w:r>
      <w:r>
        <w:rPr>
          <w:color w:val="231F20"/>
          <w:spacing w:val="-9"/>
        </w:rPr>
        <w:t> </w:t>
      </w:r>
      <w:r>
        <w:rPr>
          <w:color w:val="231F20"/>
        </w:rPr>
        <w:t>siendo</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dos</w:t>
      </w:r>
      <w:r>
        <w:rPr>
          <w:color w:val="231F20"/>
          <w:spacing w:val="-9"/>
        </w:rPr>
        <w:t> </w:t>
      </w:r>
      <w:r>
        <w:rPr>
          <w:color w:val="231F20"/>
        </w:rPr>
        <w:t>opciones</w:t>
      </w:r>
      <w:r>
        <w:rPr>
          <w:color w:val="231F20"/>
          <w:spacing w:val="-9"/>
        </w:rPr>
        <w:t> </w:t>
      </w:r>
      <w:r>
        <w:rPr>
          <w:color w:val="231F20"/>
        </w:rPr>
        <w:t>partícipes</w:t>
      </w:r>
      <w:r>
        <w:rPr>
          <w:color w:val="231F20"/>
          <w:spacing w:val="-9"/>
        </w:rPr>
        <w:t> </w:t>
      </w:r>
      <w:r>
        <w:rPr>
          <w:color w:val="231F20"/>
        </w:rPr>
        <w:t>la</w:t>
      </w:r>
      <w:r>
        <w:rPr>
          <w:color w:val="231F20"/>
          <w:spacing w:val="-10"/>
        </w:rPr>
        <w:t> </w:t>
      </w:r>
      <w:r>
        <w:rPr>
          <w:color w:val="231F20"/>
        </w:rPr>
        <w:t>etnia</w:t>
      </w:r>
      <w:r>
        <w:rPr>
          <w:color w:val="231F20"/>
          <w:spacing w:val="-10"/>
        </w:rPr>
        <w:t> </w:t>
      </w:r>
      <w:r>
        <w:rPr>
          <w:color w:val="231F20"/>
        </w:rPr>
        <w:t>garífuna, negros ingleses y mestizos asociados a la economía transnacional. Este flujo fue generando una cultura migratoria en la zona norte del país como lugar de origen y en el lugar de destino en las ciudades de la costa este, como</w:t>
      </w:r>
      <w:r>
        <w:rPr>
          <w:color w:val="231F20"/>
          <w:spacing w:val="-12"/>
        </w:rPr>
        <w:t> </w:t>
      </w:r>
      <w:r>
        <w:rPr>
          <w:color w:val="231F20"/>
        </w:rPr>
        <w:t>Nueva</w:t>
      </w:r>
      <w:r>
        <w:rPr>
          <w:color w:val="231F20"/>
          <w:spacing w:val="-12"/>
        </w:rPr>
        <w:t> </w:t>
      </w:r>
      <w:r>
        <w:rPr>
          <w:color w:val="231F20"/>
        </w:rPr>
        <w:t>Orleans</w:t>
      </w:r>
      <w:r>
        <w:rPr>
          <w:color w:val="231F20"/>
          <w:spacing w:val="-12"/>
        </w:rPr>
        <w:t> </w:t>
      </w:r>
      <w:r>
        <w:rPr>
          <w:color w:val="231F20"/>
        </w:rPr>
        <w:t>y</w:t>
      </w:r>
      <w:r>
        <w:rPr>
          <w:color w:val="231F20"/>
          <w:spacing w:val="-12"/>
        </w:rPr>
        <w:t> </w:t>
      </w:r>
      <w:r>
        <w:rPr>
          <w:color w:val="231F20"/>
        </w:rPr>
        <w:t>Nueva</w:t>
      </w:r>
      <w:r>
        <w:rPr>
          <w:color w:val="231F20"/>
          <w:spacing w:val="-20"/>
        </w:rPr>
        <w:t> </w:t>
      </w:r>
      <w:r>
        <w:rPr>
          <w:color w:val="231F20"/>
          <w:spacing w:val="-6"/>
        </w:rPr>
        <w:t>York</w:t>
      </w:r>
      <w:r>
        <w:rPr>
          <w:color w:val="231F20"/>
          <w:spacing w:val="-12"/>
        </w:rPr>
        <w:t> </w:t>
      </w:r>
      <w:r>
        <w:rPr>
          <w:color w:val="231F20"/>
        </w:rPr>
        <w:t>que</w:t>
      </w:r>
      <w:r>
        <w:rPr>
          <w:color w:val="231F20"/>
          <w:spacing w:val="-12"/>
        </w:rPr>
        <w:t> </w:t>
      </w:r>
      <w:r>
        <w:rPr>
          <w:color w:val="231F20"/>
        </w:rPr>
        <w:t>data</w:t>
      </w:r>
      <w:r>
        <w:rPr>
          <w:color w:val="231F20"/>
          <w:spacing w:val="-12"/>
        </w:rPr>
        <w:t> </w:t>
      </w:r>
      <w:r>
        <w:rPr>
          <w:color w:val="231F20"/>
        </w:rPr>
        <w:t>desde</w:t>
      </w:r>
      <w:r>
        <w:rPr>
          <w:color w:val="231F20"/>
          <w:spacing w:val="-12"/>
        </w:rPr>
        <w:t> </w:t>
      </w:r>
      <w:r>
        <w:rPr>
          <w:color w:val="231F20"/>
        </w:rPr>
        <w:t>los</w:t>
      </w:r>
      <w:r>
        <w:rPr>
          <w:color w:val="231F20"/>
          <w:spacing w:val="-12"/>
        </w:rPr>
        <w:t> </w:t>
      </w:r>
      <w:r>
        <w:rPr>
          <w:color w:val="231F20"/>
        </w:rPr>
        <w:t>años</w:t>
      </w:r>
      <w:r>
        <w:rPr>
          <w:color w:val="231F20"/>
          <w:spacing w:val="-12"/>
        </w:rPr>
        <w:t> </w:t>
      </w:r>
      <w:r>
        <w:rPr>
          <w:color w:val="231F20"/>
        </w:rPr>
        <w:t>treinta</w:t>
      </w:r>
      <w:r>
        <w:rPr>
          <w:color w:val="231F20"/>
          <w:spacing w:val="-12"/>
        </w:rPr>
        <w:t> </w:t>
      </w:r>
      <w:r>
        <w:rPr>
          <w:color w:val="231F20"/>
        </w:rPr>
        <w:t>y</w:t>
      </w:r>
      <w:r>
        <w:rPr>
          <w:color w:val="231F20"/>
          <w:spacing w:val="-12"/>
        </w:rPr>
        <w:t> </w:t>
      </w:r>
      <w:r>
        <w:rPr>
          <w:color w:val="231F20"/>
        </w:rPr>
        <w:t>que</w:t>
      </w:r>
      <w:r>
        <w:rPr>
          <w:color w:val="231F20"/>
          <w:spacing w:val="-12"/>
        </w:rPr>
        <w:t> </w:t>
      </w:r>
      <w:r>
        <w:rPr>
          <w:color w:val="231F20"/>
        </w:rPr>
        <w:t>ha evolucionado</w:t>
      </w:r>
      <w:r>
        <w:rPr>
          <w:color w:val="231F20"/>
          <w:spacing w:val="-5"/>
        </w:rPr>
        <w:t> </w:t>
      </w:r>
      <w:r>
        <w:rPr>
          <w:color w:val="231F20"/>
        </w:rPr>
        <w:t>y</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desparramado</w:t>
      </w:r>
      <w:r>
        <w:rPr>
          <w:color w:val="231F20"/>
          <w:spacing w:val="-5"/>
        </w:rPr>
        <w:t> </w:t>
      </w:r>
      <w:r>
        <w:rPr>
          <w:color w:val="231F20"/>
        </w:rPr>
        <w:t>hacia</w:t>
      </w:r>
      <w:r>
        <w:rPr>
          <w:color w:val="231F20"/>
          <w:spacing w:val="-5"/>
        </w:rPr>
        <w:t> </w:t>
      </w:r>
      <w:r>
        <w:rPr>
          <w:color w:val="231F20"/>
        </w:rPr>
        <w:t>otras</w:t>
      </w:r>
      <w:r>
        <w:rPr>
          <w:color w:val="231F20"/>
          <w:spacing w:val="-5"/>
        </w:rPr>
        <w:t> </w:t>
      </w:r>
      <w:r>
        <w:rPr>
          <w:color w:val="231F20"/>
        </w:rPr>
        <w:t>regiones</w:t>
      </w:r>
      <w:r>
        <w:rPr>
          <w:color w:val="231F20"/>
          <w:spacing w:val="-5"/>
        </w:rPr>
        <w:t> </w:t>
      </w:r>
      <w:r>
        <w:rPr>
          <w:color w:val="231F20"/>
        </w:rPr>
        <w:t>del</w:t>
      </w:r>
      <w:r>
        <w:rPr>
          <w:color w:val="231F20"/>
          <w:spacing w:val="-5"/>
        </w:rPr>
        <w:t> </w:t>
      </w:r>
      <w:r>
        <w:rPr>
          <w:color w:val="231F20"/>
        </w:rPr>
        <w:t>país</w:t>
      </w:r>
      <w:r>
        <w:rPr>
          <w:color w:val="231F20"/>
          <w:spacing w:val="-5"/>
        </w:rPr>
        <w:t> </w:t>
      </w:r>
      <w:r>
        <w:rPr>
          <w:color w:val="231F20"/>
        </w:rPr>
        <w:t>de</w:t>
      </w:r>
      <w:r>
        <w:rPr>
          <w:color w:val="231F20"/>
          <w:spacing w:val="-5"/>
        </w:rPr>
        <w:t> </w:t>
      </w:r>
      <w:r>
        <w:rPr>
          <w:color w:val="231F20"/>
        </w:rPr>
        <w:t>origen y de destino.</w:t>
      </w:r>
    </w:p>
    <w:p>
      <w:pPr>
        <w:pStyle w:val="BodyText"/>
        <w:spacing w:line="247" w:lineRule="auto"/>
        <w:ind w:left="117" w:right="114" w:firstLine="283"/>
        <w:jc w:val="both"/>
      </w:pPr>
      <w:r>
        <w:rPr>
          <w:color w:val="231F20"/>
        </w:rPr>
        <w:t>Otra evidencia empírica de aspectos culturales migratorios puede en- contrarse en algunas zonas del país fronterizas con las repúblicas de El Salvador y Guatemala, que aprovechando las redes migratorias de mayor experiencia de esos países han producido flujos migratorios que generan una</w:t>
      </w:r>
      <w:r>
        <w:rPr>
          <w:color w:val="231F20"/>
          <w:spacing w:val="-8"/>
        </w:rPr>
        <w:t> </w:t>
      </w:r>
      <w:r>
        <w:rPr>
          <w:color w:val="231F20"/>
        </w:rPr>
        <w:t>cultura,</w:t>
      </w:r>
      <w:r>
        <w:rPr>
          <w:color w:val="231F20"/>
          <w:spacing w:val="-8"/>
        </w:rPr>
        <w:t> </w:t>
      </w:r>
      <w:r>
        <w:rPr>
          <w:color w:val="231F20"/>
        </w:rPr>
        <w:t>tanto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país</w:t>
      </w:r>
      <w:r>
        <w:rPr>
          <w:color w:val="231F20"/>
          <w:spacing w:val="-8"/>
        </w:rPr>
        <w:t> </w:t>
      </w:r>
      <w:r>
        <w:rPr>
          <w:color w:val="231F20"/>
        </w:rPr>
        <w:t>de</w:t>
      </w:r>
      <w:r>
        <w:rPr>
          <w:color w:val="231F20"/>
          <w:spacing w:val="-8"/>
        </w:rPr>
        <w:t> </w:t>
      </w:r>
      <w:r>
        <w:rPr>
          <w:color w:val="231F20"/>
        </w:rPr>
        <w:t>origen</w:t>
      </w:r>
      <w:r>
        <w:rPr>
          <w:color w:val="231F20"/>
          <w:spacing w:val="-8"/>
        </w:rPr>
        <w:t> </w:t>
      </w:r>
      <w:r>
        <w:rPr>
          <w:color w:val="231F20"/>
        </w:rPr>
        <w:t>como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exterior.</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caso</w:t>
      </w:r>
      <w:r>
        <w:rPr>
          <w:color w:val="231F20"/>
          <w:spacing w:val="-8"/>
        </w:rPr>
        <w:t> </w:t>
      </w:r>
      <w:r>
        <w:rPr>
          <w:color w:val="231F20"/>
        </w:rPr>
        <w:t>de</w:t>
      </w:r>
      <w:r>
        <w:rPr>
          <w:color w:val="231F20"/>
          <w:spacing w:val="-8"/>
        </w:rPr>
        <w:t> </w:t>
      </w:r>
      <w:r>
        <w:rPr>
          <w:color w:val="231F20"/>
        </w:rPr>
        <w:t>las comunidades fronterizas con El Salvador está documentada la migración del sur de Intibucá que ha consolidado sus inversiones en La Esperanza y cuyo origen migratorio parece ser el típico centroamericano del pasado de guerras civiles y contrainsurgencia y comenzó hace más de veinte años en las municipalidades fronterizas </w:t>
      </w:r>
      <w:r>
        <w:rPr>
          <w:color w:val="231F20"/>
          <w:spacing w:val="-3"/>
        </w:rPr>
        <w:t>(World  </w:t>
      </w:r>
      <w:r>
        <w:rPr>
          <w:color w:val="231F20"/>
        </w:rPr>
        <w:t>Bank-GTZ, 2009). Otra zona   </w:t>
      </w:r>
      <w:r>
        <w:rPr>
          <w:color w:val="231F20"/>
          <w:spacing w:val="17"/>
        </w:rPr>
        <w:t> </w:t>
      </w:r>
      <w:r>
        <w:rPr>
          <w:color w:val="231F20"/>
        </w:rPr>
        <w:t>de</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jc w:val="both"/>
      </w:pPr>
      <w:r>
        <w:rPr>
          <w:color w:val="231F20"/>
        </w:rPr>
        <w:t>influencia es el área fronteriza en la parte </w:t>
      </w:r>
      <w:r>
        <w:rPr>
          <w:color w:val="231F20"/>
          <w:spacing w:val="-3"/>
        </w:rPr>
        <w:t>sur, </w:t>
      </w:r>
      <w:r>
        <w:rPr>
          <w:color w:val="231F20"/>
        </w:rPr>
        <w:t>específicamente del depar- tamento de </w:t>
      </w:r>
      <w:r>
        <w:rPr>
          <w:color w:val="231F20"/>
          <w:spacing w:val="-5"/>
        </w:rPr>
        <w:t>Valle, </w:t>
      </w:r>
      <w:r>
        <w:rPr>
          <w:color w:val="231F20"/>
        </w:rPr>
        <w:t>donde las comunidades más próximas a El Salvador han recogido a la migración como vehículo de movilidad social.</w:t>
      </w:r>
    </w:p>
    <w:p>
      <w:pPr>
        <w:pStyle w:val="BodyText"/>
        <w:spacing w:line="247" w:lineRule="auto"/>
        <w:ind w:left="117" w:right="114" w:firstLine="283"/>
        <w:jc w:val="both"/>
      </w:pPr>
      <w:r>
        <w:rPr>
          <w:color w:val="231F20"/>
        </w:rPr>
        <w:t>En el caso del departamento de Olancho, el más grande del país en ex- tensión</w:t>
      </w:r>
      <w:r>
        <w:rPr>
          <w:color w:val="231F20"/>
          <w:spacing w:val="-6"/>
        </w:rPr>
        <w:t> </w:t>
      </w:r>
      <w:r>
        <w:rPr>
          <w:color w:val="231F20"/>
        </w:rPr>
        <w:t>territorial</w:t>
      </w:r>
      <w:r>
        <w:rPr>
          <w:color w:val="231F20"/>
          <w:spacing w:val="-7"/>
        </w:rPr>
        <w:t> </w:t>
      </w:r>
      <w:r>
        <w:rPr>
          <w:color w:val="231F20"/>
        </w:rPr>
        <w:t>y</w:t>
      </w:r>
      <w:r>
        <w:rPr>
          <w:color w:val="231F20"/>
          <w:spacing w:val="-6"/>
        </w:rPr>
        <w:t> </w:t>
      </w:r>
      <w:r>
        <w:rPr>
          <w:color w:val="231F20"/>
        </w:rPr>
        <w:t>más</w:t>
      </w:r>
      <w:r>
        <w:rPr>
          <w:color w:val="231F20"/>
          <w:spacing w:val="-6"/>
        </w:rPr>
        <w:t> </w:t>
      </w:r>
      <w:r>
        <w:rPr>
          <w:color w:val="231F20"/>
        </w:rPr>
        <w:t>rico</w:t>
      </w:r>
      <w:r>
        <w:rPr>
          <w:color w:val="231F20"/>
          <w:spacing w:val="-6"/>
        </w:rPr>
        <w:t> </w:t>
      </w:r>
      <w:r>
        <w:rPr>
          <w:color w:val="231F20"/>
        </w:rPr>
        <w:t>en</w:t>
      </w:r>
      <w:r>
        <w:rPr>
          <w:color w:val="231F20"/>
          <w:spacing w:val="-6"/>
        </w:rPr>
        <w:t> </w:t>
      </w:r>
      <w:r>
        <w:rPr>
          <w:color w:val="231F20"/>
        </w:rPr>
        <w:t>recursos</w:t>
      </w:r>
      <w:r>
        <w:rPr>
          <w:color w:val="231F20"/>
          <w:spacing w:val="-6"/>
        </w:rPr>
        <w:t> </w:t>
      </w:r>
      <w:r>
        <w:rPr>
          <w:color w:val="231F20"/>
        </w:rPr>
        <w:t>naturales,</w:t>
      </w:r>
      <w:r>
        <w:rPr>
          <w:color w:val="231F20"/>
          <w:spacing w:val="-6"/>
        </w:rPr>
        <w:t> </w:t>
      </w:r>
      <w:r>
        <w:rPr>
          <w:color w:val="231F20"/>
        </w:rPr>
        <w:t>como</w:t>
      </w:r>
      <w:r>
        <w:rPr>
          <w:color w:val="231F20"/>
          <w:spacing w:val="-6"/>
        </w:rPr>
        <w:t> </w:t>
      </w:r>
      <w:r>
        <w:rPr>
          <w:color w:val="231F20"/>
        </w:rPr>
        <w:t>bosques,</w:t>
      </w:r>
      <w:r>
        <w:rPr>
          <w:color w:val="231F20"/>
          <w:spacing w:val="-6"/>
        </w:rPr>
        <w:t> </w:t>
      </w:r>
      <w:r>
        <w:rPr>
          <w:color w:val="231F20"/>
        </w:rPr>
        <w:t>tierras</w:t>
      </w:r>
      <w:r>
        <w:rPr>
          <w:color w:val="231F20"/>
          <w:spacing w:val="-6"/>
        </w:rPr>
        <w:t> </w:t>
      </w:r>
      <w:r>
        <w:rPr>
          <w:color w:val="231F20"/>
        </w:rPr>
        <w:t>y aguas, se fue generando una tendencia emigratoria hacia Estados Unidos, que ha generado elementos culturales migratorios de características espe- ciales. Los nacidos en este departamento tienen características particula- res: una imagen sólida de machismo, lazos familiares muy extensos, una identificación fuerte con su terruño de nacimiento, cultura gastronómica especial, patrones y costumbres culturales arraigadas y utilización de tér- minos particulares en su lenguaje. </w:t>
      </w:r>
      <w:r>
        <w:rPr>
          <w:color w:val="231F20"/>
          <w:spacing w:val="-4"/>
        </w:rPr>
        <w:t>Todos </w:t>
      </w:r>
      <w:r>
        <w:rPr>
          <w:color w:val="231F20"/>
        </w:rPr>
        <w:t>estos elementos de arraigo se incluyen en los procesos migratorios desde el punto de vista cultural que hacen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emigración</w:t>
      </w:r>
      <w:r>
        <w:rPr>
          <w:color w:val="231F20"/>
          <w:spacing w:val="-9"/>
        </w:rPr>
        <w:t> </w:t>
      </w:r>
      <w:r>
        <w:rPr>
          <w:color w:val="231F20"/>
        </w:rPr>
        <w:t>olanchana</w:t>
      </w:r>
      <w:r>
        <w:rPr>
          <w:color w:val="231F20"/>
          <w:spacing w:val="-9"/>
        </w:rPr>
        <w:t> </w:t>
      </w:r>
      <w:r>
        <w:rPr>
          <w:color w:val="231F20"/>
        </w:rPr>
        <w:t>un</w:t>
      </w:r>
      <w:r>
        <w:rPr>
          <w:color w:val="231F20"/>
          <w:spacing w:val="-9"/>
        </w:rPr>
        <w:t> </w:t>
      </w:r>
      <w:r>
        <w:rPr>
          <w:color w:val="231F20"/>
        </w:rPr>
        <w:t>flujo</w:t>
      </w:r>
      <w:r>
        <w:rPr>
          <w:color w:val="231F20"/>
          <w:spacing w:val="-9"/>
        </w:rPr>
        <w:t> </w:t>
      </w:r>
      <w:r>
        <w:rPr>
          <w:color w:val="231F20"/>
        </w:rPr>
        <w:t>especial</w:t>
      </w:r>
      <w:r>
        <w:rPr>
          <w:color w:val="231F20"/>
          <w:spacing w:val="-9"/>
        </w:rPr>
        <w:t> </w:t>
      </w:r>
      <w:r>
        <w:rPr>
          <w:color w:val="231F20"/>
        </w:rPr>
        <w:t>(Flores,</w:t>
      </w:r>
      <w:r>
        <w:rPr>
          <w:color w:val="231F20"/>
          <w:spacing w:val="-9"/>
        </w:rPr>
        <w:t> </w:t>
      </w:r>
      <w:r>
        <w:rPr>
          <w:color w:val="231F20"/>
        </w:rPr>
        <w:t>2009).</w:t>
      </w:r>
      <w:r>
        <w:rPr>
          <w:color w:val="231F20"/>
          <w:spacing w:val="-9"/>
        </w:rPr>
        <w:t> </w:t>
      </w:r>
      <w:r>
        <w:rPr>
          <w:color w:val="231F20"/>
        </w:rPr>
        <w:t>El</w:t>
      </w:r>
      <w:r>
        <w:rPr>
          <w:color w:val="231F20"/>
          <w:spacing w:val="-9"/>
        </w:rPr>
        <w:t> </w:t>
      </w:r>
      <w:r>
        <w:rPr>
          <w:color w:val="231F20"/>
        </w:rPr>
        <w:t>olan- chano en cualquier lugar del país se identifica como tal, qué decir cuando se encuentra en el exterior, que muchos se identifican primero como olan- chanos y después como hondureños. Aunque esta migración inició desde los noventa, fue después del paso del Huracán Mitch (1998) cuando se volvió más profusa, aun cuando el fenómeno natural provocó destrucción en la región, los efectos económicos pudieron ser más palpables por la población que escogió a la migración como estrategia de vida. En Estados Unidos algunas ciudades como Miami, Palm Beach y otras en el estado  de La Florida tienen muchos originarios del departamento. El mercado de productos</w:t>
      </w:r>
      <w:r>
        <w:rPr>
          <w:color w:val="231F20"/>
          <w:spacing w:val="-7"/>
        </w:rPr>
        <w:t> </w:t>
      </w:r>
      <w:r>
        <w:rPr>
          <w:color w:val="231F20"/>
        </w:rPr>
        <w:t>nostálgicos</w:t>
      </w:r>
      <w:r>
        <w:rPr>
          <w:color w:val="231F20"/>
          <w:spacing w:val="-7"/>
        </w:rPr>
        <w:t> </w:t>
      </w:r>
      <w:r>
        <w:rPr>
          <w:color w:val="231F20"/>
        </w:rPr>
        <w:t>del</w:t>
      </w:r>
      <w:r>
        <w:rPr>
          <w:color w:val="231F20"/>
          <w:spacing w:val="-7"/>
        </w:rPr>
        <w:t> </w:t>
      </w:r>
      <w:r>
        <w:rPr>
          <w:color w:val="231F20"/>
        </w:rPr>
        <w:t>terruño</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lugares</w:t>
      </w:r>
      <w:r>
        <w:rPr>
          <w:color w:val="231F20"/>
          <w:spacing w:val="-7"/>
        </w:rPr>
        <w:t> </w:t>
      </w:r>
      <w:r>
        <w:rPr>
          <w:color w:val="231F20"/>
        </w:rPr>
        <w:t>de</w:t>
      </w:r>
      <w:r>
        <w:rPr>
          <w:color w:val="231F20"/>
          <w:spacing w:val="-7"/>
        </w:rPr>
        <w:t> </w:t>
      </w:r>
      <w:r>
        <w:rPr>
          <w:color w:val="231F20"/>
        </w:rPr>
        <w:t>destino</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fenómeno creciente, principalmente de quesos, rosquillas y dulces. En los lugares  de origen, en muchas comunidades olanchanas es visible el impacto cul- tural de la migración, que va desde mejoramiento de bienes inmuebles, inversiones comerciales y productivas, la transferencia de conocimientos en</w:t>
      </w:r>
      <w:r>
        <w:rPr>
          <w:color w:val="231F20"/>
          <w:spacing w:val="-12"/>
        </w:rPr>
        <w:t> </w:t>
      </w:r>
      <w:r>
        <w:rPr>
          <w:color w:val="231F20"/>
        </w:rPr>
        <w:t>nuevos</w:t>
      </w:r>
      <w:r>
        <w:rPr>
          <w:color w:val="231F20"/>
          <w:spacing w:val="-12"/>
        </w:rPr>
        <w:t> </w:t>
      </w:r>
      <w:r>
        <w:rPr>
          <w:color w:val="231F20"/>
        </w:rPr>
        <w:t>oficios,</w:t>
      </w:r>
      <w:r>
        <w:rPr>
          <w:color w:val="231F20"/>
          <w:spacing w:val="-12"/>
        </w:rPr>
        <w:t> </w:t>
      </w:r>
      <w:r>
        <w:rPr>
          <w:color w:val="231F20"/>
        </w:rPr>
        <w:t>flujos</w:t>
      </w:r>
      <w:r>
        <w:rPr>
          <w:color w:val="231F20"/>
          <w:spacing w:val="-12"/>
        </w:rPr>
        <w:t> </w:t>
      </w:r>
      <w:r>
        <w:rPr>
          <w:color w:val="231F20"/>
        </w:rPr>
        <w:t>de</w:t>
      </w:r>
      <w:r>
        <w:rPr>
          <w:color w:val="231F20"/>
          <w:spacing w:val="-12"/>
        </w:rPr>
        <w:t> </w:t>
      </w:r>
      <w:r>
        <w:rPr>
          <w:color w:val="231F20"/>
        </w:rPr>
        <w:t>comunicación,</w:t>
      </w:r>
      <w:r>
        <w:rPr>
          <w:color w:val="231F20"/>
          <w:spacing w:val="-12"/>
        </w:rPr>
        <w:t> </w:t>
      </w:r>
      <w:r>
        <w:rPr>
          <w:color w:val="231F20"/>
        </w:rPr>
        <w:t>compañías</w:t>
      </w:r>
      <w:r>
        <w:rPr>
          <w:color w:val="231F20"/>
          <w:spacing w:val="-12"/>
        </w:rPr>
        <w:t> </w:t>
      </w:r>
      <w:r>
        <w:rPr>
          <w:color w:val="231F20"/>
        </w:rPr>
        <w:t>remesadoras,</w:t>
      </w:r>
      <w:r>
        <w:rPr>
          <w:color w:val="231F20"/>
          <w:spacing w:val="-12"/>
        </w:rPr>
        <w:t> </w:t>
      </w:r>
      <w:r>
        <w:rPr>
          <w:color w:val="231F20"/>
        </w:rPr>
        <w:t>banca- rización de remesas, etc.</w:t>
      </w:r>
    </w:p>
    <w:p>
      <w:pPr>
        <w:pStyle w:val="Heading3"/>
      </w:pPr>
      <w:r>
        <w:rPr>
          <w:color w:val="231F20"/>
        </w:rPr>
        <w:t>En los países de destino</w:t>
      </w:r>
    </w:p>
    <w:p>
      <w:pPr>
        <w:spacing w:before="152"/>
        <w:ind w:left="117" w:right="0" w:firstLine="0"/>
        <w:jc w:val="both"/>
        <w:rPr>
          <w:i/>
          <w:sz w:val="22"/>
        </w:rPr>
      </w:pPr>
      <w:r>
        <w:rPr>
          <w:i/>
          <w:color w:val="231F20"/>
          <w:sz w:val="22"/>
        </w:rPr>
        <w:t>Crisis económica mundial</w:t>
      </w:r>
    </w:p>
    <w:p>
      <w:pPr>
        <w:pStyle w:val="BodyText"/>
        <w:spacing w:line="247" w:lineRule="auto" w:before="177"/>
        <w:ind w:left="117" w:right="114"/>
        <w:jc w:val="both"/>
      </w:pPr>
      <w:r>
        <w:rPr>
          <w:color w:val="231F20"/>
        </w:rPr>
        <w:t>La </w:t>
      </w:r>
      <w:r>
        <w:rPr>
          <w:i/>
          <w:color w:val="231F20"/>
        </w:rPr>
        <w:t>crisis económica a nivel mundial </w:t>
      </w:r>
      <w:r>
        <w:rPr>
          <w:color w:val="231F20"/>
        </w:rPr>
        <w:t>se generó a fines de la década de 2000 e inicios de la década actual, específicamente entre el 2008 y 2012, siendo</w:t>
      </w:r>
      <w:r>
        <w:rPr>
          <w:color w:val="231F20"/>
          <w:spacing w:val="-4"/>
        </w:rPr>
        <w:t> </w:t>
      </w:r>
      <w:r>
        <w:rPr>
          <w:color w:val="231F20"/>
        </w:rPr>
        <w:t>algunos</w:t>
      </w:r>
      <w:r>
        <w:rPr>
          <w:color w:val="231F20"/>
          <w:spacing w:val="-4"/>
        </w:rPr>
        <w:t> </w:t>
      </w:r>
      <w:r>
        <w:rPr>
          <w:color w:val="231F20"/>
        </w:rPr>
        <w:t>factores</w:t>
      </w:r>
      <w:r>
        <w:rPr>
          <w:color w:val="231F20"/>
          <w:spacing w:val="-4"/>
        </w:rPr>
        <w:t> </w:t>
      </w:r>
      <w:r>
        <w:rPr>
          <w:color w:val="231F20"/>
        </w:rPr>
        <w:t>los</w:t>
      </w:r>
      <w:r>
        <w:rPr>
          <w:color w:val="231F20"/>
          <w:spacing w:val="-4"/>
        </w:rPr>
        <w:t> </w:t>
      </w:r>
      <w:r>
        <w:rPr>
          <w:color w:val="231F20"/>
        </w:rPr>
        <w:t>ligados</w:t>
      </w:r>
      <w:r>
        <w:rPr>
          <w:color w:val="231F20"/>
          <w:spacing w:val="-4"/>
        </w:rPr>
        <w:t> </w:t>
      </w:r>
      <w:r>
        <w:rPr>
          <w:color w:val="231F20"/>
        </w:rPr>
        <w:t>al</w:t>
      </w:r>
      <w:r>
        <w:rPr>
          <w:color w:val="231F20"/>
          <w:spacing w:val="-4"/>
        </w:rPr>
        <w:t> </w:t>
      </w:r>
      <w:r>
        <w:rPr>
          <w:color w:val="231F20"/>
        </w:rPr>
        <w:t>incremento</w:t>
      </w:r>
      <w:r>
        <w:rPr>
          <w:color w:val="231F20"/>
          <w:spacing w:val="-5"/>
        </w:rPr>
        <w:t> </w:t>
      </w:r>
      <w:r>
        <w:rPr>
          <w:color w:val="231F20"/>
        </w:rPr>
        <w:t>de</w:t>
      </w:r>
      <w:r>
        <w:rPr>
          <w:color w:val="231F20"/>
          <w:spacing w:val="-4"/>
        </w:rPr>
        <w:t> </w:t>
      </w:r>
      <w:r>
        <w:rPr>
          <w:color w:val="231F20"/>
        </w:rPr>
        <w:t>los</w:t>
      </w:r>
      <w:r>
        <w:rPr>
          <w:color w:val="231F20"/>
          <w:spacing w:val="-4"/>
        </w:rPr>
        <w:t> </w:t>
      </w:r>
      <w:r>
        <w:rPr>
          <w:color w:val="231F20"/>
        </w:rPr>
        <w:t>precios</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ma- terias primas, crisis energética, crisis alimentaria, inflación y amenaza de una</w:t>
      </w:r>
      <w:r>
        <w:rPr>
          <w:color w:val="231F20"/>
          <w:spacing w:val="-2"/>
        </w:rPr>
        <w:t> </w:t>
      </w:r>
      <w:r>
        <w:rPr>
          <w:color w:val="231F20"/>
        </w:rPr>
        <w:t>recesión</w:t>
      </w:r>
      <w:r>
        <w:rPr>
          <w:color w:val="231F20"/>
          <w:spacing w:val="-2"/>
        </w:rPr>
        <w:t> </w:t>
      </w:r>
      <w:r>
        <w:rPr>
          <w:color w:val="231F20"/>
        </w:rPr>
        <w:t>mundial.</w:t>
      </w:r>
      <w:r>
        <w:rPr>
          <w:color w:val="231F20"/>
          <w:spacing w:val="-15"/>
        </w:rPr>
        <w:t> </w:t>
      </w:r>
      <w:r>
        <w:rPr>
          <w:color w:val="231F20"/>
        </w:rPr>
        <w:t>A</w:t>
      </w:r>
      <w:r>
        <w:rPr>
          <w:color w:val="231F20"/>
          <w:spacing w:val="-14"/>
        </w:rPr>
        <w:t> </w:t>
      </w:r>
      <w:r>
        <w:rPr>
          <w:color w:val="231F20"/>
        </w:rPr>
        <w:t>su</w:t>
      </w:r>
      <w:r>
        <w:rPr>
          <w:color w:val="231F20"/>
          <w:spacing w:val="-2"/>
        </w:rPr>
        <w:t> </w:t>
      </w:r>
      <w:r>
        <w:rPr>
          <w:color w:val="231F20"/>
        </w:rPr>
        <w:t>vez</w:t>
      </w:r>
      <w:r>
        <w:rPr>
          <w:color w:val="231F20"/>
          <w:spacing w:val="-2"/>
        </w:rPr>
        <w:t> </w:t>
      </w:r>
      <w:r>
        <w:rPr>
          <w:color w:val="231F20"/>
        </w:rPr>
        <w:t>la</w:t>
      </w:r>
      <w:r>
        <w:rPr>
          <w:color w:val="231F20"/>
          <w:spacing w:val="-2"/>
        </w:rPr>
        <w:t> </w:t>
      </w:r>
      <w:r>
        <w:rPr>
          <w:color w:val="231F20"/>
        </w:rPr>
        <w:t>crisis</w:t>
      </w:r>
      <w:r>
        <w:rPr>
          <w:color w:val="231F20"/>
          <w:spacing w:val="-3"/>
        </w:rPr>
        <w:t> </w:t>
      </w:r>
      <w:r>
        <w:rPr>
          <w:color w:val="231F20"/>
        </w:rPr>
        <w:t>crediticia</w:t>
      </w:r>
      <w:r>
        <w:rPr>
          <w:color w:val="231F20"/>
          <w:spacing w:val="-3"/>
        </w:rPr>
        <w:t> </w:t>
      </w:r>
      <w:r>
        <w:rPr>
          <w:color w:val="231F20"/>
        </w:rPr>
        <w:t>e</w:t>
      </w:r>
      <w:r>
        <w:rPr>
          <w:color w:val="231F20"/>
          <w:spacing w:val="-2"/>
        </w:rPr>
        <w:t> </w:t>
      </w:r>
      <w:r>
        <w:rPr>
          <w:color w:val="231F20"/>
        </w:rPr>
        <w:t>hipotecaria</w:t>
      </w:r>
      <w:r>
        <w:rPr>
          <w:color w:val="231F20"/>
          <w:spacing w:val="-3"/>
        </w:rPr>
        <w:t> </w:t>
      </w:r>
      <w:r>
        <w:rPr>
          <w:color w:val="231F20"/>
        </w:rPr>
        <w:t>de</w:t>
      </w:r>
      <w:r>
        <w:rPr>
          <w:color w:val="231F20"/>
          <w:spacing w:val="-2"/>
        </w:rPr>
        <w:t> </w:t>
      </w:r>
      <w:r>
        <w:rPr>
          <w:color w:val="231F20"/>
        </w:rPr>
        <w:t>Estados</w:t>
      </w:r>
    </w:p>
    <w:p>
      <w:pPr>
        <w:spacing w:after="0" w:line="247" w:lineRule="auto"/>
        <w:jc w:val="both"/>
        <w:sectPr>
          <w:pgSz w:w="9360" w:h="13040"/>
          <w:pgMar w:header="0" w:footer="496" w:top="800" w:bottom="680" w:left="1300" w:right="1300"/>
        </w:sectPr>
      </w:pPr>
    </w:p>
    <w:p>
      <w:pPr>
        <w:spacing w:before="45"/>
        <w:ind w:left="117" w:right="117" w:firstLine="626"/>
        <w:jc w:val="left"/>
        <w:rPr>
          <w:rFonts w:ascii="Arial" w:hAnsi="Arial"/>
          <w:sz w:val="20"/>
        </w:rPr>
      </w:pPr>
      <w:r>
        <w:rPr>
          <w:rFonts w:ascii="Arial" w:hAnsi="Arial"/>
          <w:color w:val="231F20"/>
          <w:w w:val="65"/>
          <w:sz w:val="20"/>
        </w:rPr>
        <w:t>Factores contextuales de la migración internacional de    Honduras /Manuel Antonio Flores-Fonseca</w:t>
      </w:r>
    </w:p>
    <w:p>
      <w:pPr>
        <w:pStyle w:val="BodyText"/>
        <w:spacing w:before="7"/>
        <w:rPr>
          <w:rFonts w:ascii="Arial"/>
          <w:sz w:val="28"/>
        </w:rPr>
      </w:pPr>
    </w:p>
    <w:p>
      <w:pPr>
        <w:pStyle w:val="BodyText"/>
        <w:spacing w:line="247" w:lineRule="auto"/>
        <w:ind w:left="117" w:right="114"/>
        <w:jc w:val="both"/>
      </w:pPr>
      <w:r>
        <w:rPr>
          <w:color w:val="231F20"/>
        </w:rPr>
        <w:t>Unidos en 2008 afectó a la mayor economía mundial con repercusiones globales, consecuentemente la crisis se manifiesta en Europa donde los gobiernos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comunidad</w:t>
      </w:r>
      <w:r>
        <w:rPr>
          <w:color w:val="231F20"/>
          <w:spacing w:val="-5"/>
        </w:rPr>
        <w:t> </w:t>
      </w:r>
      <w:r>
        <w:rPr>
          <w:color w:val="231F20"/>
        </w:rPr>
        <w:t>económica</w:t>
      </w:r>
      <w:r>
        <w:rPr>
          <w:color w:val="231F20"/>
          <w:spacing w:val="-5"/>
        </w:rPr>
        <w:t> </w:t>
      </w:r>
      <w:r>
        <w:rPr>
          <w:color w:val="231F20"/>
        </w:rPr>
        <w:t>hacen</w:t>
      </w:r>
      <w:r>
        <w:rPr>
          <w:color w:val="231F20"/>
          <w:spacing w:val="-5"/>
        </w:rPr>
        <w:t> </w:t>
      </w:r>
      <w:r>
        <w:rPr>
          <w:color w:val="231F20"/>
        </w:rPr>
        <w:t>recortes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rPr>
        <w:t>bien- estar en un ambiente de crecimiento del desempleo de carácter histórico. Lógicamente la llamada crisis de los países desarrollados no sólo afecta a sus nacionales, sino a los inmigrantes llegados de los demás países, entre ellos los de la región, que tienen que sufrir los efectos de las crisis. En el caso de la crisis de Estados Unidos el efecto en el sector construcción</w:t>
      </w:r>
      <w:r>
        <w:rPr>
          <w:color w:val="231F20"/>
          <w:position w:val="7"/>
          <w:sz w:val="13"/>
        </w:rPr>
        <w:t>12 </w:t>
      </w:r>
      <w:r>
        <w:rPr>
          <w:color w:val="231F20"/>
        </w:rPr>
        <w:t>ha generado problemas en los obreros emigrantes hondureños, principalmen- te hombres.</w:t>
      </w:r>
    </w:p>
    <w:p>
      <w:pPr>
        <w:pStyle w:val="BodyText"/>
        <w:spacing w:line="247" w:lineRule="auto"/>
        <w:ind w:left="117" w:right="114" w:firstLine="283"/>
        <w:jc w:val="both"/>
      </w:pPr>
      <w:r>
        <w:rPr>
          <w:color w:val="231F20"/>
        </w:rPr>
        <w:t>En España la crisis ha hecho mella más recientemente y aunque ha ge- nerado un desempleo exorbitante (los parados en el primer trimestre del 2012 ascendieron a 5 639 500 y la tasa de paro es de 24.44 por ciento, según </w:t>
      </w:r>
      <w:r>
        <w:rPr>
          <w:color w:val="231F20"/>
          <w:spacing w:val="-6"/>
        </w:rPr>
        <w:t>EPA, </w:t>
      </w:r>
      <w:r>
        <w:rPr>
          <w:color w:val="231F20"/>
        </w:rPr>
        <w:t>INE), cierto es que podrían tenerse menores efectos en la</w:t>
      </w:r>
      <w:r>
        <w:rPr>
          <w:color w:val="231F20"/>
          <w:spacing w:val="-36"/>
        </w:rPr>
        <w:t> </w:t>
      </w:r>
      <w:r>
        <w:rPr>
          <w:color w:val="231F20"/>
        </w:rPr>
        <w:t>emi- gración hondureña por la característica de su feminización y la ubicación de sus trabajos en las familias españolas en los servicios domésticos y de atención de niños y ancianos, aunque se tienen que realizar estudios espe- cíficos sobre los efectos de la crisis en los emigrantes hondureños. En los últimos años la tasa de desempleo de los emigrantes hondureños en Esta- dos Unidos y Europa tuvo el comportamiento siguiente, de 7.2 en 2006 </w:t>
      </w:r>
      <w:r>
        <w:rPr>
          <w:color w:val="231F20"/>
          <w:spacing w:val="27"/>
        </w:rPr>
        <w:t> </w:t>
      </w:r>
      <w:r>
        <w:rPr>
          <w:color w:val="231F20"/>
        </w:rPr>
        <w:t>a</w:t>
      </w:r>
    </w:p>
    <w:p>
      <w:pPr>
        <w:pStyle w:val="BodyText"/>
        <w:spacing w:line="247" w:lineRule="auto"/>
        <w:ind w:left="117" w:right="115"/>
        <w:jc w:val="both"/>
      </w:pPr>
      <w:r>
        <w:rPr>
          <w:color w:val="231F20"/>
        </w:rPr>
        <w:t>6.2</w:t>
      </w:r>
      <w:r>
        <w:rPr>
          <w:color w:val="231F20"/>
          <w:spacing w:val="-5"/>
        </w:rPr>
        <w:t> </w:t>
      </w:r>
      <w:r>
        <w:rPr>
          <w:color w:val="231F20"/>
        </w:rPr>
        <w:t>en</w:t>
      </w:r>
      <w:r>
        <w:rPr>
          <w:color w:val="231F20"/>
          <w:spacing w:val="-5"/>
        </w:rPr>
        <w:t> </w:t>
      </w:r>
      <w:r>
        <w:rPr>
          <w:color w:val="231F20"/>
        </w:rPr>
        <w:t>2007,</w:t>
      </w:r>
      <w:r>
        <w:rPr>
          <w:color w:val="231F20"/>
          <w:spacing w:val="-5"/>
        </w:rPr>
        <w:t> </w:t>
      </w:r>
      <w:r>
        <w:rPr>
          <w:color w:val="231F20"/>
        </w:rPr>
        <w:t>9.9</w:t>
      </w:r>
      <w:r>
        <w:rPr>
          <w:color w:val="231F20"/>
          <w:spacing w:val="-5"/>
        </w:rPr>
        <w:t> </w:t>
      </w:r>
      <w:r>
        <w:rPr>
          <w:color w:val="231F20"/>
        </w:rPr>
        <w:t>en</w:t>
      </w:r>
      <w:r>
        <w:rPr>
          <w:color w:val="231F20"/>
          <w:spacing w:val="-5"/>
        </w:rPr>
        <w:t> </w:t>
      </w:r>
      <w:r>
        <w:rPr>
          <w:color w:val="231F20"/>
        </w:rPr>
        <w:t>2008</w:t>
      </w:r>
      <w:r>
        <w:rPr>
          <w:color w:val="231F20"/>
          <w:spacing w:val="-5"/>
        </w:rPr>
        <w:t> </w:t>
      </w:r>
      <w:r>
        <w:rPr>
          <w:color w:val="231F20"/>
        </w:rPr>
        <w:t>hasta</w:t>
      </w:r>
      <w:r>
        <w:rPr>
          <w:color w:val="231F20"/>
          <w:spacing w:val="-5"/>
        </w:rPr>
        <w:t> </w:t>
      </w:r>
      <w:r>
        <w:rPr>
          <w:color w:val="231F20"/>
        </w:rPr>
        <w:t>llegar</w:t>
      </w:r>
      <w:r>
        <w:rPr>
          <w:color w:val="231F20"/>
          <w:spacing w:val="-5"/>
        </w:rPr>
        <w:t> </w:t>
      </w:r>
      <w:r>
        <w:rPr>
          <w:color w:val="231F20"/>
        </w:rPr>
        <w:t>a</w:t>
      </w:r>
      <w:r>
        <w:rPr>
          <w:color w:val="231F20"/>
          <w:spacing w:val="-5"/>
        </w:rPr>
        <w:t> </w:t>
      </w:r>
      <w:r>
        <w:rPr>
          <w:color w:val="231F20"/>
        </w:rPr>
        <w:t>17.7</w:t>
      </w:r>
      <w:r>
        <w:rPr>
          <w:color w:val="231F20"/>
          <w:spacing w:val="-5"/>
        </w:rPr>
        <w:t> </w:t>
      </w:r>
      <w:r>
        <w:rPr>
          <w:color w:val="231F20"/>
        </w:rPr>
        <w:t>en</w:t>
      </w:r>
      <w:r>
        <w:rPr>
          <w:color w:val="231F20"/>
          <w:spacing w:val="-5"/>
        </w:rPr>
        <w:t> </w:t>
      </w:r>
      <w:r>
        <w:rPr>
          <w:color w:val="231F20"/>
        </w:rPr>
        <w:t>2009</w:t>
      </w:r>
      <w:r>
        <w:rPr>
          <w:color w:val="231F20"/>
          <w:spacing w:val="-5"/>
        </w:rPr>
        <w:t> </w:t>
      </w:r>
      <w:r>
        <w:rPr>
          <w:color w:val="231F20"/>
        </w:rPr>
        <w:t>(OEA,</w:t>
      </w:r>
      <w:r>
        <w:rPr>
          <w:color w:val="231F20"/>
          <w:spacing w:val="-5"/>
        </w:rPr>
        <w:t> </w:t>
      </w:r>
      <w:r>
        <w:rPr>
          <w:color w:val="231F20"/>
        </w:rPr>
        <w:t>2011a)</w:t>
      </w:r>
      <w:r>
        <w:rPr>
          <w:color w:val="231F20"/>
          <w:spacing w:val="-5"/>
        </w:rPr>
        <w:t> </w:t>
      </w:r>
      <w:r>
        <w:rPr>
          <w:color w:val="231F20"/>
        </w:rPr>
        <w:t>propia- mente en los años de crisis económica aumentó el</w:t>
      </w:r>
      <w:r>
        <w:rPr>
          <w:color w:val="231F20"/>
          <w:spacing w:val="-7"/>
        </w:rPr>
        <w:t> </w:t>
      </w:r>
      <w:r>
        <w:rPr>
          <w:color w:val="231F20"/>
        </w:rPr>
        <w:t>desempleo.</w:t>
      </w:r>
    </w:p>
    <w:p>
      <w:pPr>
        <w:spacing w:before="149"/>
        <w:ind w:left="117" w:right="0" w:firstLine="0"/>
        <w:jc w:val="both"/>
        <w:rPr>
          <w:i/>
          <w:sz w:val="22"/>
        </w:rPr>
      </w:pPr>
      <w:r>
        <w:rPr>
          <w:i/>
          <w:color w:val="231F20"/>
          <w:sz w:val="22"/>
        </w:rPr>
        <w:t>Políticas migratorias restrictivas</w:t>
      </w:r>
    </w:p>
    <w:p>
      <w:pPr>
        <w:pStyle w:val="BodyText"/>
        <w:spacing w:line="247" w:lineRule="auto" w:before="177"/>
        <w:ind w:left="117" w:right="114"/>
        <w:jc w:val="both"/>
      </w:pPr>
      <w:r>
        <w:rPr>
          <w:color w:val="231F20"/>
        </w:rPr>
        <w:t>A su vez los países receptores de migrantes en los últimos años se esfuer- zan por fortalecer sus </w:t>
      </w:r>
      <w:r>
        <w:rPr>
          <w:i/>
          <w:color w:val="231F20"/>
        </w:rPr>
        <w:t>políticas migratorias que cada vez se vuelven más </w:t>
      </w:r>
      <w:r>
        <w:rPr>
          <w:i/>
          <w:color w:val="231F20"/>
        </w:rPr>
        <w:t>restrictivas </w:t>
      </w:r>
      <w:r>
        <w:rPr>
          <w:color w:val="231F20"/>
        </w:rPr>
        <w:t>e incluso hasta hacer de la migración un delito que lleve a la detención y expulsión hacia los países de origen. Honduras en la última década</w:t>
      </w:r>
      <w:r>
        <w:rPr>
          <w:color w:val="231F20"/>
          <w:spacing w:val="-11"/>
        </w:rPr>
        <w:t> </w:t>
      </w:r>
      <w:r>
        <w:rPr>
          <w:color w:val="231F20"/>
        </w:rPr>
        <w:t>recibe</w:t>
      </w:r>
      <w:r>
        <w:rPr>
          <w:color w:val="231F20"/>
          <w:spacing w:val="-11"/>
        </w:rPr>
        <w:t> </w:t>
      </w:r>
      <w:r>
        <w:rPr>
          <w:color w:val="231F20"/>
        </w:rPr>
        <w:t>principalmente</w:t>
      </w:r>
      <w:r>
        <w:rPr>
          <w:color w:val="231F20"/>
          <w:spacing w:val="-11"/>
        </w:rPr>
        <w:t> </w:t>
      </w:r>
      <w:r>
        <w:rPr>
          <w:color w:val="231F20"/>
        </w:rPr>
        <w:t>de</w:t>
      </w:r>
      <w:r>
        <w:rPr>
          <w:color w:val="231F20"/>
          <w:spacing w:val="-10"/>
        </w:rPr>
        <w:t> </w:t>
      </w:r>
      <w:r>
        <w:rPr>
          <w:color w:val="231F20"/>
        </w:rPr>
        <w:t>Estados</w:t>
      </w:r>
      <w:r>
        <w:rPr>
          <w:color w:val="231F20"/>
          <w:spacing w:val="-11"/>
        </w:rPr>
        <w:t> </w:t>
      </w:r>
      <w:r>
        <w:rPr>
          <w:color w:val="231F20"/>
        </w:rPr>
        <w:t>Unidos</w:t>
      </w:r>
      <w:r>
        <w:rPr>
          <w:color w:val="231F20"/>
          <w:spacing w:val="-10"/>
        </w:rPr>
        <w:t> </w:t>
      </w:r>
      <w:r>
        <w:rPr>
          <w:color w:val="231F20"/>
        </w:rPr>
        <w:t>y</w:t>
      </w:r>
      <w:r>
        <w:rPr>
          <w:color w:val="231F20"/>
          <w:spacing w:val="-11"/>
        </w:rPr>
        <w:t> </w:t>
      </w:r>
      <w:r>
        <w:rPr>
          <w:color w:val="231F20"/>
        </w:rPr>
        <w:t>México</w:t>
      </w:r>
      <w:r>
        <w:rPr>
          <w:color w:val="231F20"/>
          <w:spacing w:val="-10"/>
        </w:rPr>
        <w:t> </w:t>
      </w:r>
      <w:r>
        <w:rPr>
          <w:color w:val="231F20"/>
        </w:rPr>
        <w:t>un</w:t>
      </w:r>
      <w:r>
        <w:rPr>
          <w:color w:val="231F20"/>
          <w:spacing w:val="-10"/>
        </w:rPr>
        <w:t> </w:t>
      </w:r>
      <w:r>
        <w:rPr>
          <w:color w:val="231F20"/>
        </w:rPr>
        <w:t>número</w:t>
      </w:r>
      <w:r>
        <w:rPr>
          <w:color w:val="231F20"/>
          <w:spacing w:val="-11"/>
        </w:rPr>
        <w:t> </w:t>
      </w:r>
      <w:r>
        <w:rPr>
          <w:color w:val="231F20"/>
        </w:rPr>
        <w:t>muy alto</w:t>
      </w:r>
      <w:r>
        <w:rPr>
          <w:color w:val="231F20"/>
          <w:spacing w:val="-10"/>
        </w:rPr>
        <w:t> </w:t>
      </w:r>
      <w:r>
        <w:rPr>
          <w:color w:val="231F20"/>
        </w:rPr>
        <w:t>de</w:t>
      </w:r>
      <w:r>
        <w:rPr>
          <w:color w:val="231F20"/>
          <w:spacing w:val="-10"/>
        </w:rPr>
        <w:t> </w:t>
      </w:r>
      <w:r>
        <w:rPr>
          <w:color w:val="231F20"/>
        </w:rPr>
        <w:t>migrantes</w:t>
      </w:r>
      <w:r>
        <w:rPr>
          <w:color w:val="231F20"/>
          <w:spacing w:val="-10"/>
        </w:rPr>
        <w:t> </w:t>
      </w:r>
      <w:r>
        <w:rPr>
          <w:color w:val="231F20"/>
        </w:rPr>
        <w:t>deportados</w:t>
      </w:r>
      <w:r>
        <w:rPr>
          <w:color w:val="231F20"/>
          <w:spacing w:val="-10"/>
        </w:rPr>
        <w:t> </w:t>
      </w:r>
      <w:r>
        <w:rPr>
          <w:color w:val="231F20"/>
        </w:rPr>
        <w:t>y</w:t>
      </w:r>
      <w:r>
        <w:rPr>
          <w:color w:val="231F20"/>
          <w:spacing w:val="-10"/>
        </w:rPr>
        <w:t> </w:t>
      </w:r>
      <w:r>
        <w:rPr>
          <w:color w:val="231F20"/>
        </w:rPr>
        <w:t>devueltos.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caso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Estados</w:t>
      </w:r>
      <w:r>
        <w:rPr>
          <w:color w:val="231F20"/>
          <w:spacing w:val="-10"/>
        </w:rPr>
        <w:t> </w:t>
      </w:r>
      <w:r>
        <w:rPr>
          <w:color w:val="231F20"/>
        </w:rPr>
        <w:t>Unidos se</w:t>
      </w:r>
      <w:r>
        <w:rPr>
          <w:color w:val="231F20"/>
          <w:spacing w:val="-10"/>
        </w:rPr>
        <w:t> </w:t>
      </w:r>
      <w:r>
        <w:rPr>
          <w:color w:val="231F20"/>
        </w:rPr>
        <w:t>envían</w:t>
      </w:r>
      <w:r>
        <w:rPr>
          <w:color w:val="231F20"/>
          <w:spacing w:val="-11"/>
        </w:rPr>
        <w:t> </w:t>
      </w:r>
      <w:r>
        <w:rPr>
          <w:color w:val="231F20"/>
        </w:rPr>
        <w:t>deportados</w:t>
      </w:r>
      <w:r>
        <w:rPr>
          <w:color w:val="231F20"/>
          <w:spacing w:val="-10"/>
        </w:rPr>
        <w:t> </w:t>
      </w:r>
      <w:r>
        <w:rPr>
          <w:color w:val="231F20"/>
        </w:rPr>
        <w:t>por</w:t>
      </w:r>
      <w:r>
        <w:rPr>
          <w:color w:val="231F20"/>
          <w:spacing w:val="-10"/>
        </w:rPr>
        <w:t> </w:t>
      </w:r>
      <w:r>
        <w:rPr>
          <w:color w:val="231F20"/>
        </w:rPr>
        <w:t>vía</w:t>
      </w:r>
      <w:r>
        <w:rPr>
          <w:color w:val="231F20"/>
          <w:spacing w:val="-10"/>
        </w:rPr>
        <w:t> </w:t>
      </w:r>
      <w:r>
        <w:rPr>
          <w:color w:val="231F20"/>
        </w:rPr>
        <w:t>área,</w:t>
      </w:r>
      <w:r>
        <w:rPr>
          <w:color w:val="231F20"/>
          <w:spacing w:val="-11"/>
        </w:rPr>
        <w:t> </w:t>
      </w:r>
      <w:r>
        <w:rPr>
          <w:color w:val="231F20"/>
        </w:rPr>
        <w:t>mismo</w:t>
      </w:r>
      <w:r>
        <w:rPr>
          <w:color w:val="231F20"/>
          <w:spacing w:val="-11"/>
        </w:rPr>
        <w:t> </w:t>
      </w:r>
      <w:r>
        <w:rPr>
          <w:color w:val="231F20"/>
        </w:rPr>
        <w:t>que</w:t>
      </w:r>
      <w:r>
        <w:rPr>
          <w:color w:val="231F20"/>
          <w:spacing w:val="-10"/>
        </w:rPr>
        <w:t> </w:t>
      </w:r>
      <w:r>
        <w:rPr>
          <w:color w:val="231F20"/>
        </w:rPr>
        <w:t>son</w:t>
      </w:r>
      <w:r>
        <w:rPr>
          <w:color w:val="231F20"/>
          <w:spacing w:val="-10"/>
        </w:rPr>
        <w:t> </w:t>
      </w:r>
      <w:r>
        <w:rPr>
          <w:color w:val="231F20"/>
        </w:rPr>
        <w:t>registrados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país</w:t>
      </w:r>
      <w:r>
        <w:rPr>
          <w:color w:val="231F20"/>
          <w:spacing w:val="-10"/>
        </w:rPr>
        <w:t> </w:t>
      </w:r>
      <w:r>
        <w:rPr>
          <w:color w:val="231F20"/>
        </w:rPr>
        <w:t>por el Centro de Atención al Migrante Retornado (CAMR). En el periodo de 2001 a 2012 se habían recibido 220 468 deportados. En México en el pe- riodo</w:t>
      </w:r>
      <w:r>
        <w:rPr>
          <w:color w:val="231F20"/>
          <w:spacing w:val="-9"/>
        </w:rPr>
        <w:t> </w:t>
      </w:r>
      <w:r>
        <w:rPr>
          <w:color w:val="231F20"/>
        </w:rPr>
        <w:t>2001</w:t>
      </w:r>
      <w:r>
        <w:rPr>
          <w:color w:val="231F20"/>
          <w:spacing w:val="-9"/>
        </w:rPr>
        <w:t> </w:t>
      </w:r>
      <w:r>
        <w:rPr>
          <w:color w:val="231F20"/>
        </w:rPr>
        <w:t>a</w:t>
      </w:r>
      <w:r>
        <w:rPr>
          <w:color w:val="231F20"/>
          <w:spacing w:val="-9"/>
        </w:rPr>
        <w:t> </w:t>
      </w:r>
      <w:r>
        <w:rPr>
          <w:color w:val="231F20"/>
        </w:rPr>
        <w:t>2012</w:t>
      </w:r>
      <w:r>
        <w:rPr>
          <w:color w:val="231F20"/>
          <w:spacing w:val="-9"/>
        </w:rPr>
        <w:t> </w:t>
      </w:r>
      <w:r>
        <w:rPr>
          <w:color w:val="231F20"/>
        </w:rPr>
        <w:t>se</w:t>
      </w:r>
      <w:r>
        <w:rPr>
          <w:color w:val="231F20"/>
          <w:spacing w:val="-9"/>
        </w:rPr>
        <w:t> </w:t>
      </w:r>
      <w:r>
        <w:rPr>
          <w:color w:val="231F20"/>
        </w:rPr>
        <w:t>registraron</w:t>
      </w:r>
      <w:r>
        <w:rPr>
          <w:color w:val="231F20"/>
          <w:spacing w:val="-9"/>
        </w:rPr>
        <w:t> </w:t>
      </w:r>
      <w:r>
        <w:rPr>
          <w:color w:val="231F20"/>
        </w:rPr>
        <w:t>un</w:t>
      </w:r>
      <w:r>
        <w:rPr>
          <w:color w:val="231F20"/>
          <w:spacing w:val="-9"/>
        </w:rPr>
        <w:t> </w:t>
      </w:r>
      <w:r>
        <w:rPr>
          <w:color w:val="231F20"/>
        </w:rPr>
        <w:t>total</w:t>
      </w:r>
      <w:r>
        <w:rPr>
          <w:color w:val="231F20"/>
          <w:spacing w:val="-9"/>
        </w:rPr>
        <w:t> </w:t>
      </w:r>
      <w:r>
        <w:rPr>
          <w:color w:val="231F20"/>
        </w:rPr>
        <w:t>de</w:t>
      </w:r>
      <w:r>
        <w:rPr>
          <w:color w:val="231F20"/>
          <w:spacing w:val="-9"/>
        </w:rPr>
        <w:t> </w:t>
      </w:r>
      <w:r>
        <w:rPr>
          <w:color w:val="231F20"/>
        </w:rPr>
        <w:t>490</w:t>
      </w:r>
      <w:r>
        <w:rPr>
          <w:color w:val="231F20"/>
          <w:spacing w:val="-9"/>
        </w:rPr>
        <w:t> </w:t>
      </w:r>
      <w:r>
        <w:rPr>
          <w:color w:val="231F20"/>
        </w:rPr>
        <w:t>344</w:t>
      </w:r>
      <w:r>
        <w:rPr>
          <w:color w:val="231F20"/>
          <w:spacing w:val="-9"/>
        </w:rPr>
        <w:t> </w:t>
      </w:r>
      <w:r>
        <w:rPr>
          <w:color w:val="231F20"/>
        </w:rPr>
        <w:t>eventos</w:t>
      </w:r>
      <w:r>
        <w:rPr>
          <w:color w:val="231F20"/>
          <w:spacing w:val="-9"/>
        </w:rPr>
        <w:t> </w:t>
      </w:r>
      <w:r>
        <w:rPr>
          <w:color w:val="231F20"/>
        </w:rPr>
        <w:t>de</w:t>
      </w:r>
      <w:r>
        <w:rPr>
          <w:color w:val="231F20"/>
          <w:spacing w:val="-9"/>
        </w:rPr>
        <w:t> </w:t>
      </w:r>
      <w:r>
        <w:rPr>
          <w:color w:val="231F20"/>
        </w:rPr>
        <w:t>devolución que incluyen a los expulsados, repatriados voluntariamente y los menores de edad (Cuadro</w:t>
      </w:r>
      <w:r>
        <w:rPr>
          <w:color w:val="231F20"/>
          <w:spacing w:val="-1"/>
        </w:rPr>
        <w:t> </w:t>
      </w:r>
      <w:r>
        <w:rPr>
          <w:color w:val="231F20"/>
        </w:rPr>
        <w:t>5).</w:t>
      </w:r>
    </w:p>
    <w:p>
      <w:pPr>
        <w:pStyle w:val="BodyText"/>
        <w:rPr>
          <w:sz w:val="20"/>
        </w:rPr>
      </w:pPr>
    </w:p>
    <w:p>
      <w:pPr>
        <w:pStyle w:val="BodyText"/>
        <w:spacing w:before="2"/>
        <w:rPr>
          <w:sz w:val="19"/>
        </w:rPr>
      </w:pPr>
      <w:r>
        <w:rPr/>
        <w:pict>
          <v:line style="position:absolute;mso-position-horizontal-relative:page;mso-position-vertical-relative:paragraph;z-index:3064;mso-wrap-distance-left:0;mso-wrap-distance-right:0" from="70.866203pt,13.374231pt" to="142.866203pt,13.374231pt" stroked="true" strokeweight=".75pt" strokecolor="#231f20">
            <w10:wrap type="topAndBottom"/>
          </v:line>
        </w:pict>
      </w:r>
    </w:p>
    <w:p>
      <w:pPr>
        <w:spacing w:line="208" w:lineRule="auto" w:before="0"/>
        <w:ind w:left="117" w:right="117" w:firstLine="0"/>
        <w:jc w:val="left"/>
        <w:rPr>
          <w:sz w:val="17"/>
        </w:rPr>
      </w:pPr>
      <w:r>
        <w:rPr>
          <w:color w:val="231F20"/>
          <w:position w:val="6"/>
          <w:sz w:val="10"/>
        </w:rPr>
        <w:t>12 </w:t>
      </w:r>
      <w:r>
        <w:rPr>
          <w:color w:val="231F20"/>
          <w:sz w:val="17"/>
        </w:rPr>
        <w:t>En ACS 2010 la rama de actividad económica de la construcción absorbe 24.5 por ciento del total de la población inmigrante en Estados Unidos.</w:t>
      </w:r>
    </w:p>
    <w:p>
      <w:pPr>
        <w:spacing w:after="0" w:line="208" w:lineRule="auto"/>
        <w:jc w:val="left"/>
        <w:rPr>
          <w:sz w:val="17"/>
        </w:rPr>
        <w:sectPr>
          <w:pgSz w:w="9360" w:h="13040"/>
          <w:pgMar w:header="0" w:footer="496" w:top="740" w:bottom="6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spacing w:line="252" w:lineRule="auto" w:before="81"/>
        <w:ind w:left="1286" w:right="465" w:firstLine="0"/>
        <w:jc w:val="left"/>
        <w:rPr>
          <w:sz w:val="19"/>
        </w:rPr>
      </w:pPr>
      <w:r>
        <w:rPr/>
        <w:pict>
          <v:group style="position:absolute;margin-left:122.542999pt;margin-top:26.829542pt;width:417.15pt;height:.5pt;mso-position-horizontal-relative:page;mso-position-vertical-relative:paragraph;z-index:-641512" coordorigin="2451,537" coordsize="8343,10">
            <v:shape style="position:absolute;left:2456;top:542;width:4791;height:2" coordorigin="2456,542" coordsize="4791,0" path="m2456,542l3176,542m3176,542l3185,542m3185,542l4693,542m4693,542l4702,542m4702,542l6109,542m6109,542l6118,542m6118,542l7246,542e" filled="false" stroked="true" strokeweight=".48pt" strokecolor="#000000">
              <v:path arrowok="t"/>
            </v:shape>
            <v:shape style="position:absolute;left:7246;top:542;width:3543;height:2" coordorigin="7246,542" coordsize="3543,0" path="m7246,542l7256,542m7256,542l8379,542m8379,542l8389,542m8389,542l9656,542m9656,542l9665,542m9665,542l10789,542e" filled="false" stroked="true" strokeweight=".48pt" strokecolor="#000000">
              <v:path arrowok="t"/>
            </v:shape>
            <w10:wrap type="none"/>
          </v:group>
        </w:pict>
      </w:r>
      <w:r>
        <w:rPr>
          <w:w w:val="105"/>
          <w:sz w:val="19"/>
        </w:rPr>
        <w:t>Cuadro 5. Honduras: deportados, aseguramientos y expulsiones procedentes de Estados Unidos y México, 2001-2012</w:t>
      </w:r>
    </w:p>
    <w:p>
      <w:pPr>
        <w:spacing w:after="0" w:line="252" w:lineRule="auto"/>
        <w:jc w:val="left"/>
        <w:rPr>
          <w:sz w:val="19"/>
        </w:rPr>
        <w:sectPr>
          <w:footerReference w:type="default" r:id="rId102"/>
          <w:pgSz w:w="13040" w:h="9360" w:orient="landscape"/>
          <w:pgMar w:footer="0" w:header="0" w:top="0" w:bottom="280" w:left="1280" w:right="1840"/>
        </w:sectPr>
      </w:pPr>
    </w:p>
    <w:p>
      <w:pPr>
        <w:pStyle w:val="BodyText"/>
        <w:spacing w:before="11"/>
        <w:rPr>
          <w:sz w:val="20"/>
        </w:rPr>
      </w:pPr>
    </w:p>
    <w:p>
      <w:pPr>
        <w:spacing w:before="0"/>
        <w:ind w:left="0" w:right="0" w:firstLine="0"/>
        <w:jc w:val="right"/>
        <w:rPr>
          <w:sz w:val="19"/>
        </w:rPr>
      </w:pPr>
      <w:r>
        <w:rPr>
          <w:sz w:val="19"/>
        </w:rPr>
        <w:t>Año</w:t>
      </w:r>
    </w:p>
    <w:p>
      <w:pPr>
        <w:spacing w:line="252" w:lineRule="auto" w:before="11"/>
        <w:ind w:left="388" w:right="-16" w:firstLine="89"/>
        <w:jc w:val="left"/>
        <w:rPr>
          <w:sz w:val="19"/>
        </w:rPr>
      </w:pPr>
      <w:r>
        <w:rPr/>
        <w:br w:type="column"/>
      </w:r>
      <w:r>
        <w:rPr>
          <w:w w:val="105"/>
          <w:sz w:val="19"/>
        </w:rPr>
        <w:t>Deportados de Estados Unidos</w:t>
      </w:r>
    </w:p>
    <w:p>
      <w:pPr>
        <w:spacing w:line="252" w:lineRule="auto" w:before="11"/>
        <w:ind w:left="208" w:right="-17" w:firstLine="360"/>
        <w:jc w:val="left"/>
        <w:rPr>
          <w:sz w:val="19"/>
        </w:rPr>
      </w:pPr>
      <w:r>
        <w:rPr/>
        <w:br w:type="column"/>
      </w:r>
      <w:r>
        <w:rPr>
          <w:w w:val="105"/>
          <w:sz w:val="19"/>
        </w:rPr>
        <w:t>Evento de aseguramiento</w:t>
      </w:r>
    </w:p>
    <w:p>
      <w:pPr>
        <w:spacing w:line="252" w:lineRule="auto" w:before="11"/>
        <w:ind w:left="204" w:right="-18" w:firstLine="83"/>
        <w:jc w:val="left"/>
        <w:rPr>
          <w:sz w:val="19"/>
        </w:rPr>
      </w:pPr>
      <w:r>
        <w:rPr/>
        <w:br w:type="column"/>
      </w:r>
      <w:r>
        <w:rPr>
          <w:w w:val="105"/>
          <w:sz w:val="19"/>
        </w:rPr>
        <w:t>Evento de devolución</w:t>
      </w:r>
    </w:p>
    <w:p>
      <w:pPr>
        <w:spacing w:before="126"/>
        <w:ind w:left="287" w:right="-18" w:firstLine="0"/>
        <w:jc w:val="left"/>
        <w:rPr>
          <w:sz w:val="19"/>
        </w:rPr>
      </w:pPr>
      <w:r>
        <w:rPr/>
        <w:br w:type="column"/>
      </w:r>
      <w:r>
        <w:rPr>
          <w:w w:val="105"/>
          <w:sz w:val="19"/>
        </w:rPr>
        <w:t>Evento de</w:t>
      </w:r>
    </w:p>
    <w:p>
      <w:pPr>
        <w:spacing w:line="252" w:lineRule="auto" w:before="11"/>
        <w:ind w:left="284" w:right="-17" w:firstLine="71"/>
        <w:jc w:val="left"/>
        <w:rPr>
          <w:sz w:val="19"/>
        </w:rPr>
      </w:pPr>
      <w:r>
        <w:rPr/>
        <w:br w:type="column"/>
      </w:r>
      <w:r>
        <w:rPr>
          <w:w w:val="105"/>
          <w:sz w:val="19"/>
        </w:rPr>
        <w:t>Eventos de repatriación</w:t>
      </w:r>
    </w:p>
    <w:p>
      <w:pPr>
        <w:spacing w:line="252" w:lineRule="auto" w:before="11"/>
        <w:ind w:left="417" w:right="496" w:hanging="206"/>
        <w:jc w:val="left"/>
        <w:rPr>
          <w:sz w:val="19"/>
        </w:rPr>
      </w:pPr>
      <w:r>
        <w:rPr/>
        <w:br w:type="column"/>
      </w:r>
      <w:r>
        <w:rPr>
          <w:w w:val="105"/>
          <w:sz w:val="19"/>
        </w:rPr>
        <w:t>Eventos de menores</w:t>
      </w:r>
    </w:p>
    <w:p>
      <w:pPr>
        <w:spacing w:after="0" w:line="252" w:lineRule="auto"/>
        <w:jc w:val="left"/>
        <w:rPr>
          <w:sz w:val="19"/>
        </w:rPr>
        <w:sectPr>
          <w:type w:val="continuous"/>
          <w:pgSz w:w="13040" w:h="9360" w:orient="landscape"/>
          <w:pgMar w:top="0" w:bottom="0" w:left="1280" w:right="1840"/>
          <w:cols w:num="7" w:equalWidth="0">
            <w:col w:w="1631" w:space="40"/>
            <w:col w:w="1639" w:space="40"/>
            <w:col w:w="1375" w:space="40"/>
            <w:col w:w="1093" w:space="40"/>
            <w:col w:w="1093" w:space="40"/>
            <w:col w:w="1240" w:space="40"/>
            <w:col w:w="1609"/>
          </w:cols>
        </w:sectPr>
      </w:pPr>
    </w:p>
    <w:p>
      <w:pPr>
        <w:pStyle w:val="BodyText"/>
        <w:rPr>
          <w:sz w:val="20"/>
        </w:rPr>
      </w:pPr>
      <w:r>
        <w:rPr/>
        <w:pict>
          <v:shape style="position:absolute;margin-left:595.506775pt;margin-top:69.299202pt;width:12pt;height:200.85pt;mso-position-horizontal-relative:page;mso-position-vertical-relative:page;z-index:3112" type="#_x0000_t202" filled="false" stroked="false">
            <v:textbox inset="0,0,0,0" style="layout-flow:vertical">
              <w:txbxContent>
                <w:p>
                  <w:pPr>
                    <w:spacing w:line="208" w:lineRule="exact" w:before="0"/>
                    <w:ind w:left="20" w:right="-673" w:firstLine="0"/>
                    <w:jc w:val="left"/>
                    <w:rPr>
                      <w:rFonts w:ascii="Arial" w:hAnsi="Arial"/>
                      <w:sz w:val="20"/>
                    </w:rPr>
                  </w:pPr>
                  <w:r>
                    <w:rPr>
                      <w:rFonts w:ascii="Arial" w:hAnsi="Arial"/>
                      <w:color w:val="231F20"/>
                      <w:spacing w:val="-1"/>
                      <w:w w:val="78"/>
                      <w:sz w:val="20"/>
                    </w:rPr>
                    <w:t>Hito</w:t>
                  </w:r>
                  <w:r>
                    <w:rPr>
                      <w:rFonts w:ascii="Arial" w:hAnsi="Arial"/>
                      <w:color w:val="231F20"/>
                      <w:w w:val="78"/>
                      <w:sz w:val="20"/>
                    </w:rPr>
                    <w:t>s</w:t>
                  </w:r>
                  <w:r>
                    <w:rPr>
                      <w:rFonts w:ascii="Arial" w:hAnsi="Arial"/>
                      <w:color w:val="231F20"/>
                      <w:spacing w:val="-1"/>
                      <w:sz w:val="20"/>
                    </w:rPr>
                    <w:t> </w:t>
                  </w:r>
                  <w:r>
                    <w:rPr>
                      <w:rFonts w:ascii="Arial" w:hAnsi="Arial"/>
                      <w:color w:val="231F20"/>
                      <w:w w:val="72"/>
                      <w:sz w:val="20"/>
                    </w:rPr>
                    <w:t>Demográficos</w:t>
                  </w:r>
                  <w:r>
                    <w:rPr>
                      <w:rFonts w:ascii="Arial" w:hAnsi="Arial"/>
                      <w:color w:val="231F20"/>
                      <w:spacing w:val="-1"/>
                      <w:sz w:val="20"/>
                    </w:rPr>
                    <w:t> </w:t>
                  </w:r>
                  <w:r>
                    <w:rPr>
                      <w:rFonts w:ascii="Arial" w:hAnsi="Arial"/>
                      <w:color w:val="231F20"/>
                      <w:w w:val="76"/>
                      <w:sz w:val="20"/>
                    </w:rPr>
                    <w:t>del</w:t>
                  </w:r>
                  <w:r>
                    <w:rPr>
                      <w:rFonts w:ascii="Arial" w:hAnsi="Arial"/>
                      <w:color w:val="231F20"/>
                      <w:spacing w:val="-1"/>
                      <w:sz w:val="20"/>
                    </w:rPr>
                    <w:t> </w:t>
                  </w:r>
                  <w:r>
                    <w:rPr>
                      <w:rFonts w:ascii="Arial" w:hAnsi="Arial"/>
                      <w:color w:val="231F20"/>
                      <w:spacing w:val="-1"/>
                      <w:w w:val="77"/>
                      <w:sz w:val="20"/>
                    </w:rPr>
                    <w:t>Sigl</w:t>
                  </w:r>
                  <w:r>
                    <w:rPr>
                      <w:rFonts w:ascii="Arial" w:hAnsi="Arial"/>
                      <w:color w:val="231F20"/>
                      <w:w w:val="77"/>
                      <w:sz w:val="20"/>
                    </w:rPr>
                    <w:t>o</w:t>
                  </w:r>
                  <w:r>
                    <w:rPr>
                      <w:rFonts w:ascii="Arial" w:hAnsi="Arial"/>
                      <w:color w:val="231F20"/>
                      <w:sz w:val="20"/>
                    </w:rPr>
                    <w:t> </w:t>
                  </w:r>
                  <w:r>
                    <w:rPr>
                      <w:rFonts w:ascii="Arial" w:hAnsi="Arial"/>
                      <w:color w:val="231F20"/>
                      <w:w w:val="80"/>
                      <w:sz w:val="20"/>
                    </w:rPr>
                    <w:t>XXI:</w:t>
                  </w:r>
                  <w:r>
                    <w:rPr>
                      <w:rFonts w:ascii="Arial" w:hAnsi="Arial"/>
                      <w:color w:val="231F20"/>
                      <w:spacing w:val="-1"/>
                      <w:sz w:val="20"/>
                    </w:rPr>
                    <w:t> </w:t>
                  </w:r>
                  <w:r>
                    <w:rPr>
                      <w:rFonts w:ascii="Arial" w:hAnsi="Arial"/>
                      <w:color w:val="231F20"/>
                      <w:w w:val="76"/>
                      <w:sz w:val="20"/>
                    </w:rPr>
                    <w:t>Migración</w:t>
                  </w:r>
                  <w:r>
                    <w:rPr>
                      <w:rFonts w:ascii="Arial" w:hAnsi="Arial"/>
                      <w:color w:val="231F20"/>
                      <w:spacing w:val="-1"/>
                      <w:sz w:val="20"/>
                    </w:rPr>
                    <w:t> </w:t>
                  </w:r>
                  <w:r>
                    <w:rPr>
                      <w:rFonts w:ascii="Arial" w:hAnsi="Arial"/>
                      <w:color w:val="231F20"/>
                      <w:w w:val="76"/>
                      <w:sz w:val="20"/>
                    </w:rPr>
                    <w:t>Internacional</w:t>
                  </w:r>
                </w:p>
              </w:txbxContent>
            </v:textbox>
            <w10:wrap type="none"/>
          </v:shape>
        </w:pict>
      </w:r>
      <w:r>
        <w:rPr/>
        <w:pict>
          <v:shape style="position:absolute;margin-left:595.135681pt;margin-top:340.848389pt;width:11pt;height:57.05pt;mso-position-horizontal-relative:page;mso-position-vertical-relative:page;z-index:3136" type="#_x0000_t202" filled="false" stroked="false">
            <v:textbox inset="0,0,0,0" style="layout-flow:vertical">
              <w:txbxContent>
                <w:p>
                  <w:pPr>
                    <w:spacing w:line="204" w:lineRule="exact" w:before="0"/>
                    <w:ind w:left="20" w:right="-921" w:firstLine="0"/>
                    <w:jc w:val="left"/>
                    <w:rPr>
                      <w:sz w:val="18"/>
                    </w:rPr>
                  </w:pPr>
                  <w:r>
                    <w:rPr>
                      <w:color w:val="231F20"/>
                      <w:sz w:val="18"/>
                    </w:rPr>
                    <w:t>CIEAP/UAEM</w:t>
                  </w:r>
                </w:p>
              </w:txbxContent>
            </v:textbox>
            <w10:wrap type="none"/>
          </v:shape>
        </w:pict>
      </w:r>
      <w:r>
        <w:rPr/>
        <w:pict>
          <v:shape style="position:absolute;margin-left:23.820354pt;margin-top:215.850403pt;width:12pt;height:21.25pt;mso-position-horizontal-relative:page;mso-position-vertical-relative:page;z-index:3160" type="#_x0000_t202" filled="false" stroked="false">
            <v:textbox inset="0,0,0,0" style="layout-flow:vertical">
              <w:txbxContent>
                <w:p>
                  <w:pPr>
                    <w:spacing w:line="214" w:lineRule="exact" w:before="0"/>
                    <w:ind w:left="20" w:right="-182" w:firstLine="0"/>
                    <w:jc w:val="left"/>
                    <w:rPr>
                      <w:rFonts w:ascii="Verdana"/>
                      <w:sz w:val="20"/>
                    </w:rPr>
                  </w:pPr>
                  <w:r>
                    <w:rPr>
                      <w:rFonts w:ascii="Verdana"/>
                      <w:color w:val="231F20"/>
                      <w:spacing w:val="-1"/>
                      <w:w w:val="100"/>
                      <w:sz w:val="20"/>
                    </w:rPr>
                    <w:t>118</w:t>
                  </w:r>
                </w:p>
              </w:txbxContent>
            </v:textbox>
            <w10:wrap type="none"/>
          </v:shape>
        </w:pict>
      </w:r>
      <w:r>
        <w:rPr/>
        <w:pict>
          <v:shape style="position:absolute;margin-left:122.792999pt;margin-top:119.474312pt;width:416.65pt;height:153.8pt;mso-position-horizontal-relative:page;mso-position-vertical-relative:page;z-index:31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23"/>
                    <w:gridCol w:w="1569"/>
                    <w:gridCol w:w="1274"/>
                    <w:gridCol w:w="1307"/>
                    <w:gridCol w:w="1076"/>
                    <w:gridCol w:w="1229"/>
                    <w:gridCol w:w="1055"/>
                  </w:tblGrid>
                  <w:tr>
                    <w:trPr>
                      <w:trHeight w:val="253" w:hRule="exact"/>
                    </w:trPr>
                    <w:tc>
                      <w:tcPr>
                        <w:tcW w:w="823" w:type="dxa"/>
                        <w:tcBorders>
                          <w:bottom w:val="double" w:sz="4" w:space="0" w:color="000000"/>
                        </w:tcBorders>
                      </w:tcPr>
                      <w:p>
                        <w:pPr/>
                      </w:p>
                    </w:tc>
                    <w:tc>
                      <w:tcPr>
                        <w:tcW w:w="1569" w:type="dxa"/>
                        <w:tcBorders>
                          <w:bottom w:val="double" w:sz="4" w:space="0" w:color="000000"/>
                        </w:tcBorders>
                      </w:tcPr>
                      <w:p>
                        <w:pPr>
                          <w:pStyle w:val="TableParagraph"/>
                          <w:spacing w:line="237" w:lineRule="exact"/>
                          <w:ind w:right="256"/>
                          <w:rPr>
                            <w:sz w:val="13"/>
                          </w:rPr>
                        </w:pPr>
                        <w:r>
                          <w:rPr>
                            <w:w w:val="105"/>
                            <w:sz w:val="19"/>
                          </w:rPr>
                          <w:t>por vía aerea</w:t>
                        </w:r>
                        <w:r>
                          <w:rPr>
                            <w:w w:val="105"/>
                            <w:position w:val="9"/>
                            <w:sz w:val="13"/>
                          </w:rPr>
                          <w:t>1</w:t>
                        </w:r>
                      </w:p>
                    </w:tc>
                    <w:tc>
                      <w:tcPr>
                        <w:tcW w:w="1274" w:type="dxa"/>
                        <w:tcBorders>
                          <w:bottom w:val="double" w:sz="4" w:space="0" w:color="000000"/>
                        </w:tcBorders>
                      </w:tcPr>
                      <w:p>
                        <w:pPr>
                          <w:pStyle w:val="TableParagraph"/>
                          <w:spacing w:line="237" w:lineRule="exact"/>
                          <w:ind w:right="115"/>
                          <w:rPr>
                            <w:sz w:val="13"/>
                          </w:rPr>
                        </w:pPr>
                        <w:r>
                          <w:rPr>
                            <w:sz w:val="19"/>
                          </w:rPr>
                          <w:t>(personas)</w:t>
                        </w:r>
                        <w:r>
                          <w:rPr>
                            <w:position w:val="9"/>
                            <w:sz w:val="13"/>
                          </w:rPr>
                          <w:t>2</w:t>
                        </w:r>
                      </w:p>
                    </w:tc>
                    <w:tc>
                      <w:tcPr>
                        <w:tcW w:w="1307" w:type="dxa"/>
                        <w:tcBorders>
                          <w:bottom w:val="double" w:sz="4" w:space="0" w:color="000000"/>
                        </w:tcBorders>
                      </w:tcPr>
                      <w:p>
                        <w:pPr>
                          <w:pStyle w:val="TableParagraph"/>
                          <w:spacing w:line="237" w:lineRule="exact"/>
                          <w:ind w:right="289"/>
                          <w:rPr>
                            <w:sz w:val="13"/>
                          </w:rPr>
                        </w:pPr>
                        <w:r>
                          <w:rPr>
                            <w:sz w:val="19"/>
                          </w:rPr>
                          <w:t>(personas)</w:t>
                        </w:r>
                        <w:r>
                          <w:rPr>
                            <w:position w:val="9"/>
                            <w:sz w:val="13"/>
                          </w:rPr>
                          <w:t>3</w:t>
                        </w:r>
                      </w:p>
                    </w:tc>
                    <w:tc>
                      <w:tcPr>
                        <w:tcW w:w="1076" w:type="dxa"/>
                        <w:tcBorders>
                          <w:bottom w:val="double" w:sz="4" w:space="0" w:color="000000"/>
                        </w:tcBorders>
                      </w:tcPr>
                      <w:p>
                        <w:pPr>
                          <w:pStyle w:val="TableParagraph"/>
                          <w:spacing w:line="121" w:lineRule="exact"/>
                          <w:ind w:right="232"/>
                          <w:rPr>
                            <w:sz w:val="19"/>
                          </w:rPr>
                        </w:pPr>
                        <w:r>
                          <w:rPr>
                            <w:sz w:val="19"/>
                          </w:rPr>
                          <w:t>expulsión</w:t>
                        </w:r>
                      </w:p>
                    </w:tc>
                    <w:tc>
                      <w:tcPr>
                        <w:tcW w:w="1229" w:type="dxa"/>
                        <w:tcBorders>
                          <w:bottom w:val="double" w:sz="4" w:space="0" w:color="000000"/>
                        </w:tcBorders>
                      </w:tcPr>
                      <w:p>
                        <w:pPr>
                          <w:pStyle w:val="TableParagraph"/>
                          <w:spacing w:before="18"/>
                          <w:ind w:right="183"/>
                          <w:rPr>
                            <w:sz w:val="19"/>
                          </w:rPr>
                        </w:pPr>
                        <w:r>
                          <w:rPr>
                            <w:sz w:val="19"/>
                          </w:rPr>
                          <w:t>voluntaria</w:t>
                        </w:r>
                      </w:p>
                    </w:tc>
                    <w:tc>
                      <w:tcPr>
                        <w:tcW w:w="1055" w:type="dxa"/>
                        <w:tcBorders>
                          <w:bottom w:val="double" w:sz="4" w:space="0" w:color="000000"/>
                        </w:tcBorders>
                      </w:tcPr>
                      <w:p>
                        <w:pPr>
                          <w:pStyle w:val="TableParagraph"/>
                          <w:spacing w:before="18"/>
                          <w:ind w:right="102"/>
                          <w:rPr>
                            <w:sz w:val="19"/>
                          </w:rPr>
                        </w:pPr>
                        <w:r>
                          <w:rPr>
                            <w:sz w:val="19"/>
                          </w:rPr>
                          <w:t>devueltos</w:t>
                        </w:r>
                      </w:p>
                    </w:tc>
                  </w:tr>
                  <w:tr>
                    <w:trPr>
                      <w:trHeight w:val="257" w:hRule="exact"/>
                    </w:trPr>
                    <w:tc>
                      <w:tcPr>
                        <w:tcW w:w="823" w:type="dxa"/>
                        <w:tcBorders>
                          <w:top w:val="double" w:sz="4" w:space="0" w:color="000000"/>
                        </w:tcBorders>
                      </w:tcPr>
                      <w:p>
                        <w:pPr>
                          <w:pStyle w:val="TableParagraph"/>
                          <w:spacing w:before="10"/>
                          <w:ind w:left="110"/>
                          <w:jc w:val="left"/>
                          <w:rPr>
                            <w:sz w:val="19"/>
                          </w:rPr>
                        </w:pPr>
                        <w:r>
                          <w:rPr>
                            <w:w w:val="105"/>
                            <w:sz w:val="19"/>
                          </w:rPr>
                          <w:t>2001</w:t>
                        </w:r>
                      </w:p>
                    </w:tc>
                    <w:tc>
                      <w:tcPr>
                        <w:tcW w:w="1569" w:type="dxa"/>
                        <w:tcBorders>
                          <w:top w:val="double" w:sz="4" w:space="0" w:color="000000"/>
                        </w:tcBorders>
                      </w:tcPr>
                      <w:p>
                        <w:pPr>
                          <w:pStyle w:val="TableParagraph"/>
                          <w:spacing w:before="10"/>
                          <w:ind w:right="256"/>
                          <w:rPr>
                            <w:sz w:val="19"/>
                          </w:rPr>
                        </w:pPr>
                        <w:r>
                          <w:rPr>
                            <w:w w:val="105"/>
                            <w:sz w:val="19"/>
                          </w:rPr>
                          <w:t>3 903</w:t>
                        </w:r>
                      </w:p>
                    </w:tc>
                    <w:tc>
                      <w:tcPr>
                        <w:tcW w:w="1274" w:type="dxa"/>
                        <w:tcBorders>
                          <w:top w:val="double" w:sz="4" w:space="0" w:color="000000"/>
                        </w:tcBorders>
                      </w:tcPr>
                      <w:p>
                        <w:pPr>
                          <w:pStyle w:val="TableParagraph"/>
                          <w:spacing w:before="10"/>
                          <w:ind w:right="115"/>
                          <w:rPr>
                            <w:sz w:val="19"/>
                          </w:rPr>
                        </w:pPr>
                        <w:r>
                          <w:rPr>
                            <w:w w:val="105"/>
                            <w:sz w:val="19"/>
                          </w:rPr>
                          <w:t>40 105</w:t>
                        </w:r>
                      </w:p>
                    </w:tc>
                    <w:tc>
                      <w:tcPr>
                        <w:tcW w:w="1307" w:type="dxa"/>
                        <w:tcBorders>
                          <w:top w:val="double" w:sz="4" w:space="0" w:color="000000"/>
                        </w:tcBorders>
                      </w:tcPr>
                      <w:p>
                        <w:pPr>
                          <w:pStyle w:val="TableParagraph"/>
                          <w:spacing w:before="10"/>
                          <w:ind w:right="289"/>
                          <w:rPr>
                            <w:sz w:val="19"/>
                          </w:rPr>
                        </w:pPr>
                        <w:r>
                          <w:rPr>
                            <w:w w:val="105"/>
                            <w:sz w:val="19"/>
                          </w:rPr>
                          <w:t>37 546</w:t>
                        </w:r>
                      </w:p>
                    </w:tc>
                    <w:tc>
                      <w:tcPr>
                        <w:tcW w:w="1076" w:type="dxa"/>
                        <w:tcBorders>
                          <w:top w:val="double" w:sz="4" w:space="0" w:color="000000"/>
                        </w:tcBorders>
                      </w:tcPr>
                      <w:p>
                        <w:pPr/>
                      </w:p>
                    </w:tc>
                    <w:tc>
                      <w:tcPr>
                        <w:tcW w:w="1229" w:type="dxa"/>
                        <w:tcBorders>
                          <w:top w:val="double" w:sz="4" w:space="0" w:color="000000"/>
                        </w:tcBorders>
                      </w:tcPr>
                      <w:p>
                        <w:pPr/>
                      </w:p>
                    </w:tc>
                    <w:tc>
                      <w:tcPr>
                        <w:tcW w:w="1055" w:type="dxa"/>
                        <w:tcBorders>
                          <w:top w:val="double" w:sz="4" w:space="0" w:color="000000"/>
                        </w:tcBorders>
                      </w:tcPr>
                      <w:p>
                        <w:pPr/>
                      </w:p>
                    </w:tc>
                  </w:tr>
                  <w:tr>
                    <w:trPr>
                      <w:trHeight w:val="230" w:hRule="exact"/>
                    </w:trPr>
                    <w:tc>
                      <w:tcPr>
                        <w:tcW w:w="823" w:type="dxa"/>
                      </w:tcPr>
                      <w:p>
                        <w:pPr>
                          <w:pStyle w:val="TableParagraph"/>
                          <w:spacing w:line="216" w:lineRule="exact"/>
                          <w:ind w:left="110"/>
                          <w:jc w:val="left"/>
                          <w:rPr>
                            <w:sz w:val="19"/>
                          </w:rPr>
                        </w:pPr>
                        <w:r>
                          <w:rPr>
                            <w:w w:val="105"/>
                            <w:sz w:val="19"/>
                          </w:rPr>
                          <w:t>2002</w:t>
                        </w:r>
                      </w:p>
                    </w:tc>
                    <w:tc>
                      <w:tcPr>
                        <w:tcW w:w="1569" w:type="dxa"/>
                      </w:tcPr>
                      <w:p>
                        <w:pPr>
                          <w:pStyle w:val="TableParagraph"/>
                          <w:spacing w:line="216" w:lineRule="exact"/>
                          <w:ind w:right="256"/>
                          <w:rPr>
                            <w:sz w:val="19"/>
                          </w:rPr>
                        </w:pPr>
                        <w:r>
                          <w:rPr>
                            <w:w w:val="105"/>
                            <w:sz w:val="19"/>
                          </w:rPr>
                          <w:t>6 304</w:t>
                        </w:r>
                      </w:p>
                    </w:tc>
                    <w:tc>
                      <w:tcPr>
                        <w:tcW w:w="1274" w:type="dxa"/>
                      </w:tcPr>
                      <w:p>
                        <w:pPr>
                          <w:pStyle w:val="TableParagraph"/>
                          <w:spacing w:line="216" w:lineRule="exact"/>
                          <w:ind w:right="115"/>
                          <w:rPr>
                            <w:sz w:val="19"/>
                          </w:rPr>
                        </w:pPr>
                        <w:r>
                          <w:rPr>
                            <w:w w:val="105"/>
                            <w:sz w:val="19"/>
                          </w:rPr>
                          <w:t>41 801</w:t>
                        </w:r>
                      </w:p>
                    </w:tc>
                    <w:tc>
                      <w:tcPr>
                        <w:tcW w:w="1307" w:type="dxa"/>
                      </w:tcPr>
                      <w:p>
                        <w:pPr>
                          <w:pStyle w:val="TableParagraph"/>
                          <w:spacing w:line="216" w:lineRule="exact"/>
                          <w:ind w:right="289"/>
                          <w:rPr>
                            <w:sz w:val="19"/>
                          </w:rPr>
                        </w:pPr>
                        <w:r>
                          <w:rPr>
                            <w:w w:val="105"/>
                            <w:sz w:val="19"/>
                          </w:rPr>
                          <w:t>33 350</w:t>
                        </w:r>
                      </w:p>
                    </w:tc>
                    <w:tc>
                      <w:tcPr>
                        <w:tcW w:w="1076" w:type="dxa"/>
                      </w:tcPr>
                      <w:p>
                        <w:pPr/>
                      </w:p>
                    </w:tc>
                    <w:tc>
                      <w:tcPr>
                        <w:tcW w:w="1229" w:type="dxa"/>
                      </w:tcPr>
                      <w:p>
                        <w:pPr/>
                      </w:p>
                    </w:tc>
                    <w:tc>
                      <w:tcPr>
                        <w:tcW w:w="1055" w:type="dxa"/>
                      </w:tcPr>
                      <w:p>
                        <w:pPr/>
                      </w:p>
                    </w:tc>
                  </w:tr>
                  <w:tr>
                    <w:trPr>
                      <w:trHeight w:val="228" w:hRule="exact"/>
                    </w:trPr>
                    <w:tc>
                      <w:tcPr>
                        <w:tcW w:w="823" w:type="dxa"/>
                      </w:tcPr>
                      <w:p>
                        <w:pPr>
                          <w:pStyle w:val="TableParagraph"/>
                          <w:spacing w:line="216" w:lineRule="exact"/>
                          <w:ind w:left="110"/>
                          <w:jc w:val="left"/>
                          <w:rPr>
                            <w:sz w:val="19"/>
                          </w:rPr>
                        </w:pPr>
                        <w:r>
                          <w:rPr>
                            <w:w w:val="105"/>
                            <w:sz w:val="19"/>
                          </w:rPr>
                          <w:t>2003</w:t>
                        </w:r>
                      </w:p>
                    </w:tc>
                    <w:tc>
                      <w:tcPr>
                        <w:tcW w:w="1569" w:type="dxa"/>
                      </w:tcPr>
                      <w:p>
                        <w:pPr>
                          <w:pStyle w:val="TableParagraph"/>
                          <w:spacing w:line="216" w:lineRule="exact"/>
                          <w:ind w:right="256"/>
                          <w:rPr>
                            <w:sz w:val="19"/>
                          </w:rPr>
                        </w:pPr>
                        <w:r>
                          <w:rPr>
                            <w:w w:val="105"/>
                            <w:sz w:val="19"/>
                          </w:rPr>
                          <w:t>7 105</w:t>
                        </w:r>
                      </w:p>
                    </w:tc>
                    <w:tc>
                      <w:tcPr>
                        <w:tcW w:w="1274" w:type="dxa"/>
                      </w:tcPr>
                      <w:p>
                        <w:pPr>
                          <w:pStyle w:val="TableParagraph"/>
                          <w:spacing w:line="216" w:lineRule="exact"/>
                          <w:ind w:right="115"/>
                          <w:rPr>
                            <w:sz w:val="19"/>
                          </w:rPr>
                        </w:pPr>
                        <w:r>
                          <w:rPr>
                            <w:w w:val="105"/>
                            <w:sz w:val="19"/>
                          </w:rPr>
                          <w:t>61 900</w:t>
                        </w:r>
                      </w:p>
                    </w:tc>
                    <w:tc>
                      <w:tcPr>
                        <w:tcW w:w="1307" w:type="dxa"/>
                      </w:tcPr>
                      <w:p>
                        <w:pPr>
                          <w:pStyle w:val="TableParagraph"/>
                          <w:spacing w:line="216" w:lineRule="exact"/>
                          <w:ind w:right="289"/>
                          <w:rPr>
                            <w:sz w:val="19"/>
                          </w:rPr>
                        </w:pPr>
                        <w:r>
                          <w:rPr>
                            <w:w w:val="105"/>
                            <w:sz w:val="19"/>
                          </w:rPr>
                          <w:t>59 952</w:t>
                        </w:r>
                      </w:p>
                    </w:tc>
                    <w:tc>
                      <w:tcPr>
                        <w:tcW w:w="1076" w:type="dxa"/>
                      </w:tcPr>
                      <w:p>
                        <w:pPr/>
                      </w:p>
                    </w:tc>
                    <w:tc>
                      <w:tcPr>
                        <w:tcW w:w="1229" w:type="dxa"/>
                      </w:tcPr>
                      <w:p>
                        <w:pPr/>
                      </w:p>
                    </w:tc>
                    <w:tc>
                      <w:tcPr>
                        <w:tcW w:w="1055" w:type="dxa"/>
                      </w:tcPr>
                      <w:p>
                        <w:pPr/>
                      </w:p>
                    </w:tc>
                  </w:tr>
                  <w:tr>
                    <w:trPr>
                      <w:trHeight w:val="228" w:hRule="exact"/>
                    </w:trPr>
                    <w:tc>
                      <w:tcPr>
                        <w:tcW w:w="823" w:type="dxa"/>
                      </w:tcPr>
                      <w:p>
                        <w:pPr>
                          <w:pStyle w:val="TableParagraph"/>
                          <w:spacing w:line="214" w:lineRule="exact"/>
                          <w:ind w:left="110"/>
                          <w:jc w:val="left"/>
                          <w:rPr>
                            <w:sz w:val="19"/>
                          </w:rPr>
                        </w:pPr>
                        <w:r>
                          <w:rPr>
                            <w:w w:val="105"/>
                            <w:sz w:val="19"/>
                          </w:rPr>
                          <w:t>2004</w:t>
                        </w:r>
                      </w:p>
                    </w:tc>
                    <w:tc>
                      <w:tcPr>
                        <w:tcW w:w="1569" w:type="dxa"/>
                      </w:tcPr>
                      <w:p>
                        <w:pPr>
                          <w:pStyle w:val="TableParagraph"/>
                          <w:spacing w:line="214" w:lineRule="exact"/>
                          <w:ind w:right="256"/>
                          <w:rPr>
                            <w:sz w:val="19"/>
                          </w:rPr>
                        </w:pPr>
                        <w:r>
                          <w:rPr>
                            <w:w w:val="105"/>
                            <w:sz w:val="19"/>
                          </w:rPr>
                          <w:t>9 350</w:t>
                        </w:r>
                      </w:p>
                    </w:tc>
                    <w:tc>
                      <w:tcPr>
                        <w:tcW w:w="1274" w:type="dxa"/>
                      </w:tcPr>
                      <w:p>
                        <w:pPr>
                          <w:pStyle w:val="TableParagraph"/>
                          <w:spacing w:line="214" w:lineRule="exact"/>
                          <w:ind w:right="115"/>
                          <w:rPr>
                            <w:sz w:val="19"/>
                          </w:rPr>
                        </w:pPr>
                        <w:r>
                          <w:rPr>
                            <w:w w:val="105"/>
                            <w:sz w:val="19"/>
                          </w:rPr>
                          <w:t>72 684</w:t>
                        </w:r>
                      </w:p>
                    </w:tc>
                    <w:tc>
                      <w:tcPr>
                        <w:tcW w:w="1307" w:type="dxa"/>
                      </w:tcPr>
                      <w:p>
                        <w:pPr>
                          <w:pStyle w:val="TableParagraph"/>
                          <w:spacing w:line="214" w:lineRule="exact"/>
                          <w:ind w:right="289"/>
                          <w:rPr>
                            <w:sz w:val="19"/>
                          </w:rPr>
                        </w:pPr>
                        <w:r>
                          <w:rPr>
                            <w:w w:val="105"/>
                            <w:sz w:val="19"/>
                          </w:rPr>
                          <w:t>73 046</w:t>
                        </w:r>
                      </w:p>
                    </w:tc>
                    <w:tc>
                      <w:tcPr>
                        <w:tcW w:w="1076" w:type="dxa"/>
                      </w:tcPr>
                      <w:p>
                        <w:pPr/>
                      </w:p>
                    </w:tc>
                    <w:tc>
                      <w:tcPr>
                        <w:tcW w:w="1229" w:type="dxa"/>
                      </w:tcPr>
                      <w:p>
                        <w:pPr/>
                      </w:p>
                    </w:tc>
                    <w:tc>
                      <w:tcPr>
                        <w:tcW w:w="1055" w:type="dxa"/>
                      </w:tcPr>
                      <w:p>
                        <w:pPr/>
                      </w:p>
                    </w:tc>
                  </w:tr>
                  <w:tr>
                    <w:trPr>
                      <w:trHeight w:val="230" w:hRule="exact"/>
                    </w:trPr>
                    <w:tc>
                      <w:tcPr>
                        <w:tcW w:w="823" w:type="dxa"/>
                      </w:tcPr>
                      <w:p>
                        <w:pPr>
                          <w:pStyle w:val="TableParagraph"/>
                          <w:spacing w:line="216" w:lineRule="exact"/>
                          <w:ind w:left="110"/>
                          <w:jc w:val="left"/>
                          <w:rPr>
                            <w:sz w:val="19"/>
                          </w:rPr>
                        </w:pPr>
                        <w:r>
                          <w:rPr>
                            <w:w w:val="105"/>
                            <w:sz w:val="19"/>
                          </w:rPr>
                          <w:t>2005</w:t>
                        </w:r>
                      </w:p>
                    </w:tc>
                    <w:tc>
                      <w:tcPr>
                        <w:tcW w:w="1569" w:type="dxa"/>
                      </w:tcPr>
                      <w:p>
                        <w:pPr>
                          <w:pStyle w:val="TableParagraph"/>
                          <w:spacing w:line="216" w:lineRule="exact"/>
                          <w:ind w:right="256"/>
                          <w:rPr>
                            <w:sz w:val="19"/>
                          </w:rPr>
                        </w:pPr>
                        <w:r>
                          <w:rPr>
                            <w:w w:val="105"/>
                            <w:sz w:val="19"/>
                          </w:rPr>
                          <w:t>18 941</w:t>
                        </w:r>
                      </w:p>
                    </w:tc>
                    <w:tc>
                      <w:tcPr>
                        <w:tcW w:w="1274" w:type="dxa"/>
                      </w:tcPr>
                      <w:p>
                        <w:pPr>
                          <w:pStyle w:val="TableParagraph"/>
                          <w:spacing w:line="216" w:lineRule="exact"/>
                          <w:ind w:right="115"/>
                          <w:rPr>
                            <w:sz w:val="19"/>
                          </w:rPr>
                        </w:pPr>
                        <w:r>
                          <w:rPr>
                            <w:w w:val="105"/>
                            <w:sz w:val="19"/>
                          </w:rPr>
                          <w:t>78 326</w:t>
                        </w:r>
                      </w:p>
                    </w:tc>
                    <w:tc>
                      <w:tcPr>
                        <w:tcW w:w="1307" w:type="dxa"/>
                      </w:tcPr>
                      <w:p>
                        <w:pPr>
                          <w:pStyle w:val="TableParagraph"/>
                          <w:spacing w:line="216" w:lineRule="exact"/>
                          <w:ind w:right="289"/>
                          <w:rPr>
                            <w:sz w:val="19"/>
                          </w:rPr>
                        </w:pPr>
                        <w:r>
                          <w:rPr>
                            <w:w w:val="105"/>
                            <w:sz w:val="19"/>
                          </w:rPr>
                          <w:t>77 730</w:t>
                        </w:r>
                      </w:p>
                    </w:tc>
                    <w:tc>
                      <w:tcPr>
                        <w:tcW w:w="1076" w:type="dxa"/>
                      </w:tcPr>
                      <w:p>
                        <w:pPr/>
                      </w:p>
                    </w:tc>
                    <w:tc>
                      <w:tcPr>
                        <w:tcW w:w="1229" w:type="dxa"/>
                      </w:tcPr>
                      <w:p>
                        <w:pPr/>
                      </w:p>
                    </w:tc>
                    <w:tc>
                      <w:tcPr>
                        <w:tcW w:w="1055" w:type="dxa"/>
                      </w:tcPr>
                      <w:p>
                        <w:pPr/>
                      </w:p>
                    </w:tc>
                  </w:tr>
                  <w:tr>
                    <w:trPr>
                      <w:trHeight w:val="230" w:hRule="exact"/>
                    </w:trPr>
                    <w:tc>
                      <w:tcPr>
                        <w:tcW w:w="823" w:type="dxa"/>
                      </w:tcPr>
                      <w:p>
                        <w:pPr>
                          <w:pStyle w:val="TableParagraph"/>
                          <w:spacing w:line="216" w:lineRule="exact"/>
                          <w:ind w:left="110"/>
                          <w:jc w:val="left"/>
                          <w:rPr>
                            <w:sz w:val="19"/>
                          </w:rPr>
                        </w:pPr>
                        <w:r>
                          <w:rPr>
                            <w:w w:val="105"/>
                            <w:sz w:val="19"/>
                          </w:rPr>
                          <w:t>2006</w:t>
                        </w:r>
                      </w:p>
                    </w:tc>
                    <w:tc>
                      <w:tcPr>
                        <w:tcW w:w="1569" w:type="dxa"/>
                      </w:tcPr>
                      <w:p>
                        <w:pPr>
                          <w:pStyle w:val="TableParagraph"/>
                          <w:spacing w:line="216" w:lineRule="exact"/>
                          <w:ind w:right="256"/>
                          <w:rPr>
                            <w:sz w:val="19"/>
                          </w:rPr>
                        </w:pPr>
                        <w:r>
                          <w:rPr>
                            <w:w w:val="105"/>
                            <w:sz w:val="19"/>
                          </w:rPr>
                          <w:t>24 643</w:t>
                        </w:r>
                      </w:p>
                    </w:tc>
                    <w:tc>
                      <w:tcPr>
                        <w:tcW w:w="1274" w:type="dxa"/>
                      </w:tcPr>
                      <w:p>
                        <w:pPr>
                          <w:pStyle w:val="TableParagraph"/>
                          <w:spacing w:line="216" w:lineRule="exact"/>
                          <w:ind w:right="115"/>
                          <w:rPr>
                            <w:sz w:val="19"/>
                          </w:rPr>
                        </w:pPr>
                        <w:r>
                          <w:rPr>
                            <w:w w:val="105"/>
                            <w:sz w:val="19"/>
                          </w:rPr>
                          <w:t>58 001</w:t>
                        </w:r>
                      </w:p>
                    </w:tc>
                    <w:tc>
                      <w:tcPr>
                        <w:tcW w:w="1307" w:type="dxa"/>
                      </w:tcPr>
                      <w:p>
                        <w:pPr>
                          <w:pStyle w:val="TableParagraph"/>
                          <w:spacing w:line="216" w:lineRule="exact"/>
                          <w:ind w:right="289"/>
                          <w:rPr>
                            <w:sz w:val="19"/>
                          </w:rPr>
                        </w:pPr>
                        <w:r>
                          <w:rPr>
                            <w:w w:val="105"/>
                            <w:sz w:val="19"/>
                          </w:rPr>
                          <w:t>59 013</w:t>
                        </w:r>
                      </w:p>
                    </w:tc>
                    <w:tc>
                      <w:tcPr>
                        <w:tcW w:w="1076" w:type="dxa"/>
                      </w:tcPr>
                      <w:p>
                        <w:pPr/>
                      </w:p>
                    </w:tc>
                    <w:tc>
                      <w:tcPr>
                        <w:tcW w:w="1229" w:type="dxa"/>
                      </w:tcPr>
                      <w:p>
                        <w:pPr/>
                      </w:p>
                    </w:tc>
                    <w:tc>
                      <w:tcPr>
                        <w:tcW w:w="1055" w:type="dxa"/>
                      </w:tcPr>
                      <w:p>
                        <w:pPr/>
                      </w:p>
                    </w:tc>
                  </w:tr>
                  <w:tr>
                    <w:trPr>
                      <w:trHeight w:val="230" w:hRule="exact"/>
                    </w:trPr>
                    <w:tc>
                      <w:tcPr>
                        <w:tcW w:w="823" w:type="dxa"/>
                      </w:tcPr>
                      <w:p>
                        <w:pPr>
                          <w:pStyle w:val="TableParagraph"/>
                          <w:spacing w:line="216" w:lineRule="exact"/>
                          <w:ind w:left="110"/>
                          <w:jc w:val="left"/>
                          <w:rPr>
                            <w:sz w:val="19"/>
                          </w:rPr>
                        </w:pPr>
                        <w:r>
                          <w:rPr>
                            <w:w w:val="105"/>
                            <w:sz w:val="19"/>
                          </w:rPr>
                          <w:t>2007</w:t>
                        </w:r>
                      </w:p>
                    </w:tc>
                    <w:tc>
                      <w:tcPr>
                        <w:tcW w:w="1569" w:type="dxa"/>
                      </w:tcPr>
                      <w:p>
                        <w:pPr>
                          <w:pStyle w:val="TableParagraph"/>
                          <w:spacing w:line="216" w:lineRule="exact"/>
                          <w:ind w:right="256"/>
                          <w:rPr>
                            <w:sz w:val="19"/>
                          </w:rPr>
                        </w:pPr>
                        <w:r>
                          <w:rPr>
                            <w:w w:val="105"/>
                            <w:sz w:val="19"/>
                          </w:rPr>
                          <w:t>29 348</w:t>
                        </w:r>
                      </w:p>
                    </w:tc>
                    <w:tc>
                      <w:tcPr>
                        <w:tcW w:w="1274" w:type="dxa"/>
                      </w:tcPr>
                      <w:p>
                        <w:pPr>
                          <w:pStyle w:val="TableParagraph"/>
                          <w:spacing w:line="216" w:lineRule="exact"/>
                          <w:ind w:right="115"/>
                          <w:rPr>
                            <w:sz w:val="19"/>
                          </w:rPr>
                        </w:pPr>
                        <w:r>
                          <w:rPr>
                            <w:w w:val="105"/>
                            <w:sz w:val="19"/>
                          </w:rPr>
                          <w:t>38 584</w:t>
                        </w:r>
                      </w:p>
                    </w:tc>
                    <w:tc>
                      <w:tcPr>
                        <w:tcW w:w="1307" w:type="dxa"/>
                      </w:tcPr>
                      <w:p>
                        <w:pPr>
                          <w:pStyle w:val="TableParagraph"/>
                          <w:spacing w:line="216" w:lineRule="exact"/>
                          <w:ind w:right="289"/>
                          <w:rPr>
                            <w:sz w:val="19"/>
                          </w:rPr>
                        </w:pPr>
                        <w:r>
                          <w:rPr>
                            <w:w w:val="105"/>
                            <w:sz w:val="19"/>
                          </w:rPr>
                          <w:t>37 344</w:t>
                        </w:r>
                      </w:p>
                    </w:tc>
                    <w:tc>
                      <w:tcPr>
                        <w:tcW w:w="1076" w:type="dxa"/>
                      </w:tcPr>
                      <w:p>
                        <w:pPr>
                          <w:pStyle w:val="TableParagraph"/>
                          <w:spacing w:line="216" w:lineRule="exact"/>
                          <w:ind w:right="232"/>
                          <w:rPr>
                            <w:sz w:val="19"/>
                          </w:rPr>
                        </w:pPr>
                        <w:r>
                          <w:rPr>
                            <w:w w:val="105"/>
                            <w:sz w:val="19"/>
                          </w:rPr>
                          <w:t>21 017</w:t>
                        </w:r>
                      </w:p>
                    </w:tc>
                    <w:tc>
                      <w:tcPr>
                        <w:tcW w:w="1229" w:type="dxa"/>
                      </w:tcPr>
                      <w:p>
                        <w:pPr>
                          <w:pStyle w:val="TableParagraph"/>
                          <w:spacing w:line="216" w:lineRule="exact"/>
                          <w:ind w:right="182"/>
                          <w:rPr>
                            <w:sz w:val="19"/>
                          </w:rPr>
                        </w:pPr>
                        <w:r>
                          <w:rPr>
                            <w:w w:val="105"/>
                            <w:sz w:val="19"/>
                          </w:rPr>
                          <w:t>13 494</w:t>
                        </w:r>
                      </w:p>
                    </w:tc>
                    <w:tc>
                      <w:tcPr>
                        <w:tcW w:w="1055" w:type="dxa"/>
                      </w:tcPr>
                      <w:p>
                        <w:pPr>
                          <w:pStyle w:val="TableParagraph"/>
                          <w:spacing w:line="216" w:lineRule="exact"/>
                          <w:ind w:right="102"/>
                          <w:rPr>
                            <w:sz w:val="19"/>
                          </w:rPr>
                        </w:pPr>
                        <w:r>
                          <w:rPr>
                            <w:w w:val="105"/>
                            <w:sz w:val="19"/>
                          </w:rPr>
                          <w:t>2 833</w:t>
                        </w:r>
                      </w:p>
                    </w:tc>
                  </w:tr>
                  <w:tr>
                    <w:trPr>
                      <w:trHeight w:val="230" w:hRule="exact"/>
                    </w:trPr>
                    <w:tc>
                      <w:tcPr>
                        <w:tcW w:w="823" w:type="dxa"/>
                      </w:tcPr>
                      <w:p>
                        <w:pPr>
                          <w:pStyle w:val="TableParagraph"/>
                          <w:spacing w:line="216" w:lineRule="exact"/>
                          <w:ind w:left="110"/>
                          <w:jc w:val="left"/>
                          <w:rPr>
                            <w:sz w:val="19"/>
                          </w:rPr>
                        </w:pPr>
                        <w:r>
                          <w:rPr>
                            <w:w w:val="105"/>
                            <w:sz w:val="19"/>
                          </w:rPr>
                          <w:t>2008</w:t>
                        </w:r>
                      </w:p>
                    </w:tc>
                    <w:tc>
                      <w:tcPr>
                        <w:tcW w:w="1569" w:type="dxa"/>
                      </w:tcPr>
                      <w:p>
                        <w:pPr>
                          <w:pStyle w:val="TableParagraph"/>
                          <w:spacing w:line="216" w:lineRule="exact"/>
                          <w:ind w:right="256"/>
                          <w:rPr>
                            <w:sz w:val="19"/>
                          </w:rPr>
                        </w:pPr>
                        <w:r>
                          <w:rPr>
                            <w:w w:val="105"/>
                            <w:sz w:val="19"/>
                          </w:rPr>
                          <w:t>30 018</w:t>
                        </w:r>
                      </w:p>
                    </w:tc>
                    <w:tc>
                      <w:tcPr>
                        <w:tcW w:w="1274" w:type="dxa"/>
                      </w:tcPr>
                      <w:p>
                        <w:pPr>
                          <w:pStyle w:val="TableParagraph"/>
                          <w:spacing w:line="216" w:lineRule="exact"/>
                          <w:ind w:right="115"/>
                          <w:rPr>
                            <w:sz w:val="19"/>
                          </w:rPr>
                        </w:pPr>
                        <w:r>
                          <w:rPr>
                            <w:w w:val="105"/>
                            <w:sz w:val="19"/>
                          </w:rPr>
                          <w:t>30 696</w:t>
                        </w:r>
                      </w:p>
                    </w:tc>
                    <w:tc>
                      <w:tcPr>
                        <w:tcW w:w="1307" w:type="dxa"/>
                      </w:tcPr>
                      <w:p>
                        <w:pPr>
                          <w:pStyle w:val="TableParagraph"/>
                          <w:spacing w:line="216" w:lineRule="exact"/>
                          <w:ind w:right="289"/>
                          <w:rPr>
                            <w:sz w:val="19"/>
                          </w:rPr>
                        </w:pPr>
                        <w:r>
                          <w:rPr>
                            <w:w w:val="105"/>
                            <w:sz w:val="19"/>
                          </w:rPr>
                          <w:t>28 990</w:t>
                        </w:r>
                      </w:p>
                    </w:tc>
                    <w:tc>
                      <w:tcPr>
                        <w:tcW w:w="1076" w:type="dxa"/>
                      </w:tcPr>
                      <w:p>
                        <w:pPr>
                          <w:pStyle w:val="TableParagraph"/>
                          <w:spacing w:line="216" w:lineRule="exact"/>
                          <w:ind w:right="232"/>
                          <w:rPr>
                            <w:sz w:val="19"/>
                          </w:rPr>
                        </w:pPr>
                        <w:r>
                          <w:rPr>
                            <w:w w:val="105"/>
                            <w:sz w:val="19"/>
                          </w:rPr>
                          <w:t>13 771</w:t>
                        </w:r>
                      </w:p>
                    </w:tc>
                    <w:tc>
                      <w:tcPr>
                        <w:tcW w:w="1229" w:type="dxa"/>
                      </w:tcPr>
                      <w:p>
                        <w:pPr>
                          <w:pStyle w:val="TableParagraph"/>
                          <w:spacing w:line="216" w:lineRule="exact"/>
                          <w:ind w:right="182"/>
                          <w:rPr>
                            <w:sz w:val="19"/>
                          </w:rPr>
                        </w:pPr>
                        <w:r>
                          <w:rPr>
                            <w:w w:val="105"/>
                            <w:sz w:val="19"/>
                          </w:rPr>
                          <w:t>12 304</w:t>
                        </w:r>
                      </w:p>
                    </w:tc>
                    <w:tc>
                      <w:tcPr>
                        <w:tcW w:w="1055" w:type="dxa"/>
                      </w:tcPr>
                      <w:p>
                        <w:pPr>
                          <w:pStyle w:val="TableParagraph"/>
                          <w:spacing w:line="216" w:lineRule="exact"/>
                          <w:ind w:right="102"/>
                          <w:rPr>
                            <w:sz w:val="19"/>
                          </w:rPr>
                        </w:pPr>
                        <w:r>
                          <w:rPr>
                            <w:w w:val="105"/>
                            <w:sz w:val="19"/>
                          </w:rPr>
                          <w:t>2 915</w:t>
                        </w:r>
                      </w:p>
                    </w:tc>
                  </w:tr>
                  <w:tr>
                    <w:trPr>
                      <w:trHeight w:val="230" w:hRule="exact"/>
                    </w:trPr>
                    <w:tc>
                      <w:tcPr>
                        <w:tcW w:w="823" w:type="dxa"/>
                      </w:tcPr>
                      <w:p>
                        <w:pPr>
                          <w:pStyle w:val="TableParagraph"/>
                          <w:spacing w:line="216" w:lineRule="exact"/>
                          <w:ind w:left="110"/>
                          <w:jc w:val="left"/>
                          <w:rPr>
                            <w:sz w:val="19"/>
                          </w:rPr>
                        </w:pPr>
                        <w:r>
                          <w:rPr>
                            <w:w w:val="105"/>
                            <w:sz w:val="19"/>
                          </w:rPr>
                          <w:t>2009</w:t>
                        </w:r>
                      </w:p>
                    </w:tc>
                    <w:tc>
                      <w:tcPr>
                        <w:tcW w:w="1569" w:type="dxa"/>
                      </w:tcPr>
                      <w:p>
                        <w:pPr>
                          <w:pStyle w:val="TableParagraph"/>
                          <w:spacing w:line="216" w:lineRule="exact"/>
                          <w:ind w:right="256"/>
                          <w:rPr>
                            <w:sz w:val="19"/>
                          </w:rPr>
                        </w:pPr>
                        <w:r>
                          <w:rPr>
                            <w:w w:val="105"/>
                            <w:sz w:val="19"/>
                          </w:rPr>
                          <w:t>25 101</w:t>
                        </w:r>
                      </w:p>
                    </w:tc>
                    <w:tc>
                      <w:tcPr>
                        <w:tcW w:w="1274" w:type="dxa"/>
                      </w:tcPr>
                      <w:p>
                        <w:pPr>
                          <w:pStyle w:val="TableParagraph"/>
                          <w:spacing w:line="216" w:lineRule="exact"/>
                          <w:ind w:right="115"/>
                          <w:rPr>
                            <w:sz w:val="19"/>
                          </w:rPr>
                        </w:pPr>
                        <w:r>
                          <w:rPr>
                            <w:w w:val="105"/>
                            <w:sz w:val="19"/>
                          </w:rPr>
                          <w:t>24 040</w:t>
                        </w:r>
                      </w:p>
                    </w:tc>
                    <w:tc>
                      <w:tcPr>
                        <w:tcW w:w="1307" w:type="dxa"/>
                      </w:tcPr>
                      <w:p>
                        <w:pPr>
                          <w:pStyle w:val="TableParagraph"/>
                          <w:spacing w:line="216" w:lineRule="exact"/>
                          <w:ind w:right="289"/>
                          <w:rPr>
                            <w:sz w:val="19"/>
                          </w:rPr>
                        </w:pPr>
                        <w:r>
                          <w:rPr>
                            <w:w w:val="105"/>
                            <w:sz w:val="19"/>
                          </w:rPr>
                          <w:t>22 946</w:t>
                        </w:r>
                      </w:p>
                    </w:tc>
                    <w:tc>
                      <w:tcPr>
                        <w:tcW w:w="1076" w:type="dxa"/>
                      </w:tcPr>
                      <w:p>
                        <w:pPr>
                          <w:pStyle w:val="TableParagraph"/>
                          <w:spacing w:line="216" w:lineRule="exact"/>
                          <w:ind w:right="232"/>
                          <w:rPr>
                            <w:sz w:val="19"/>
                          </w:rPr>
                        </w:pPr>
                        <w:r>
                          <w:rPr>
                            <w:w w:val="105"/>
                            <w:sz w:val="19"/>
                          </w:rPr>
                          <w:t>1 464</w:t>
                        </w:r>
                      </w:p>
                    </w:tc>
                    <w:tc>
                      <w:tcPr>
                        <w:tcW w:w="1229" w:type="dxa"/>
                      </w:tcPr>
                      <w:p>
                        <w:pPr>
                          <w:pStyle w:val="TableParagraph"/>
                          <w:spacing w:line="216" w:lineRule="exact"/>
                          <w:ind w:right="182"/>
                          <w:rPr>
                            <w:sz w:val="19"/>
                          </w:rPr>
                        </w:pPr>
                        <w:r>
                          <w:rPr>
                            <w:w w:val="105"/>
                            <w:sz w:val="19"/>
                          </w:rPr>
                          <w:t>20 097</w:t>
                        </w:r>
                      </w:p>
                    </w:tc>
                    <w:tc>
                      <w:tcPr>
                        <w:tcW w:w="1055" w:type="dxa"/>
                      </w:tcPr>
                      <w:p>
                        <w:pPr>
                          <w:pStyle w:val="TableParagraph"/>
                          <w:spacing w:line="216" w:lineRule="exact"/>
                          <w:ind w:right="102"/>
                          <w:rPr>
                            <w:sz w:val="19"/>
                          </w:rPr>
                        </w:pPr>
                        <w:r>
                          <w:rPr>
                            <w:w w:val="105"/>
                            <w:sz w:val="19"/>
                          </w:rPr>
                          <w:t>1 385</w:t>
                        </w:r>
                      </w:p>
                    </w:tc>
                  </w:tr>
                  <w:tr>
                    <w:trPr>
                      <w:trHeight w:val="230" w:hRule="exact"/>
                    </w:trPr>
                    <w:tc>
                      <w:tcPr>
                        <w:tcW w:w="823" w:type="dxa"/>
                      </w:tcPr>
                      <w:p>
                        <w:pPr>
                          <w:pStyle w:val="TableParagraph"/>
                          <w:spacing w:line="216" w:lineRule="exact"/>
                          <w:ind w:left="110"/>
                          <w:jc w:val="left"/>
                          <w:rPr>
                            <w:sz w:val="19"/>
                          </w:rPr>
                        </w:pPr>
                        <w:r>
                          <w:rPr>
                            <w:w w:val="105"/>
                            <w:sz w:val="19"/>
                          </w:rPr>
                          <w:t>2010</w:t>
                        </w:r>
                      </w:p>
                    </w:tc>
                    <w:tc>
                      <w:tcPr>
                        <w:tcW w:w="1569" w:type="dxa"/>
                      </w:tcPr>
                      <w:p>
                        <w:pPr>
                          <w:pStyle w:val="TableParagraph"/>
                          <w:spacing w:line="216" w:lineRule="exact"/>
                          <w:ind w:right="256"/>
                          <w:rPr>
                            <w:sz w:val="19"/>
                          </w:rPr>
                        </w:pPr>
                        <w:r>
                          <w:rPr>
                            <w:w w:val="105"/>
                            <w:sz w:val="19"/>
                          </w:rPr>
                          <w:t>23 580</w:t>
                        </w:r>
                      </w:p>
                    </w:tc>
                    <w:tc>
                      <w:tcPr>
                        <w:tcW w:w="1274" w:type="dxa"/>
                      </w:tcPr>
                      <w:p>
                        <w:pPr>
                          <w:pStyle w:val="TableParagraph"/>
                          <w:spacing w:line="216" w:lineRule="exact"/>
                          <w:ind w:right="115"/>
                          <w:rPr>
                            <w:sz w:val="19"/>
                          </w:rPr>
                        </w:pPr>
                        <w:r>
                          <w:rPr>
                            <w:w w:val="105"/>
                            <w:sz w:val="19"/>
                          </w:rPr>
                          <w:t>23 788</w:t>
                        </w:r>
                      </w:p>
                    </w:tc>
                    <w:tc>
                      <w:tcPr>
                        <w:tcW w:w="1307" w:type="dxa"/>
                      </w:tcPr>
                      <w:p>
                        <w:pPr>
                          <w:pStyle w:val="TableParagraph"/>
                          <w:spacing w:line="216" w:lineRule="exact"/>
                          <w:ind w:right="289"/>
                          <w:rPr>
                            <w:sz w:val="19"/>
                          </w:rPr>
                        </w:pPr>
                        <w:r>
                          <w:rPr>
                            <w:w w:val="105"/>
                            <w:sz w:val="19"/>
                          </w:rPr>
                          <w:t>23 580</w:t>
                        </w:r>
                      </w:p>
                    </w:tc>
                    <w:tc>
                      <w:tcPr>
                        <w:tcW w:w="1076" w:type="dxa"/>
                      </w:tcPr>
                      <w:p>
                        <w:pPr>
                          <w:pStyle w:val="TableParagraph"/>
                          <w:spacing w:line="216" w:lineRule="exact"/>
                          <w:ind w:right="232"/>
                          <w:rPr>
                            <w:sz w:val="19"/>
                          </w:rPr>
                        </w:pPr>
                        <w:r>
                          <w:rPr>
                            <w:w w:val="105"/>
                            <w:sz w:val="19"/>
                          </w:rPr>
                          <w:t>1 494</w:t>
                        </w:r>
                      </w:p>
                    </w:tc>
                    <w:tc>
                      <w:tcPr>
                        <w:tcW w:w="1229" w:type="dxa"/>
                      </w:tcPr>
                      <w:p>
                        <w:pPr>
                          <w:pStyle w:val="TableParagraph"/>
                          <w:spacing w:line="216" w:lineRule="exact"/>
                          <w:ind w:right="182"/>
                          <w:rPr>
                            <w:sz w:val="19"/>
                          </w:rPr>
                        </w:pPr>
                        <w:r>
                          <w:rPr>
                            <w:w w:val="105"/>
                            <w:sz w:val="19"/>
                          </w:rPr>
                          <w:t>20 394</w:t>
                        </w:r>
                      </w:p>
                    </w:tc>
                    <w:tc>
                      <w:tcPr>
                        <w:tcW w:w="1055" w:type="dxa"/>
                      </w:tcPr>
                      <w:p>
                        <w:pPr>
                          <w:pStyle w:val="TableParagraph"/>
                          <w:spacing w:line="216" w:lineRule="exact"/>
                          <w:ind w:right="102"/>
                          <w:rPr>
                            <w:sz w:val="19"/>
                          </w:rPr>
                        </w:pPr>
                        <w:r>
                          <w:rPr>
                            <w:w w:val="105"/>
                            <w:sz w:val="19"/>
                          </w:rPr>
                          <w:t>1 692</w:t>
                        </w:r>
                      </w:p>
                    </w:tc>
                  </w:tr>
                  <w:tr>
                    <w:trPr>
                      <w:trHeight w:val="230" w:hRule="exact"/>
                    </w:trPr>
                    <w:tc>
                      <w:tcPr>
                        <w:tcW w:w="823" w:type="dxa"/>
                      </w:tcPr>
                      <w:p>
                        <w:pPr>
                          <w:pStyle w:val="TableParagraph"/>
                          <w:spacing w:line="216" w:lineRule="exact"/>
                          <w:ind w:left="110"/>
                          <w:jc w:val="left"/>
                          <w:rPr>
                            <w:sz w:val="19"/>
                          </w:rPr>
                        </w:pPr>
                        <w:r>
                          <w:rPr>
                            <w:w w:val="105"/>
                            <w:sz w:val="19"/>
                          </w:rPr>
                          <w:t>2011</w:t>
                        </w:r>
                      </w:p>
                    </w:tc>
                    <w:tc>
                      <w:tcPr>
                        <w:tcW w:w="1569" w:type="dxa"/>
                      </w:tcPr>
                      <w:p>
                        <w:pPr>
                          <w:pStyle w:val="TableParagraph"/>
                          <w:spacing w:line="216" w:lineRule="exact"/>
                          <w:ind w:right="256"/>
                          <w:rPr>
                            <w:sz w:val="19"/>
                          </w:rPr>
                        </w:pPr>
                        <w:r>
                          <w:rPr>
                            <w:w w:val="105"/>
                            <w:sz w:val="19"/>
                          </w:rPr>
                          <w:t>18 748</w:t>
                        </w:r>
                      </w:p>
                    </w:tc>
                    <w:tc>
                      <w:tcPr>
                        <w:tcW w:w="1274" w:type="dxa"/>
                      </w:tcPr>
                      <w:p>
                        <w:pPr>
                          <w:pStyle w:val="TableParagraph"/>
                          <w:spacing w:line="216" w:lineRule="exact"/>
                          <w:ind w:right="115"/>
                          <w:rPr>
                            <w:sz w:val="19"/>
                          </w:rPr>
                        </w:pPr>
                        <w:r>
                          <w:rPr>
                            <w:w w:val="105"/>
                            <w:sz w:val="19"/>
                          </w:rPr>
                          <w:t>19 340</w:t>
                        </w:r>
                      </w:p>
                    </w:tc>
                    <w:tc>
                      <w:tcPr>
                        <w:tcW w:w="1307" w:type="dxa"/>
                      </w:tcPr>
                      <w:p>
                        <w:pPr>
                          <w:pStyle w:val="TableParagraph"/>
                          <w:spacing w:line="216" w:lineRule="exact"/>
                          <w:ind w:right="289"/>
                          <w:rPr>
                            <w:sz w:val="19"/>
                          </w:rPr>
                        </w:pPr>
                        <w:r>
                          <w:rPr>
                            <w:w w:val="105"/>
                            <w:sz w:val="19"/>
                          </w:rPr>
                          <w:t>18 748</w:t>
                        </w:r>
                      </w:p>
                    </w:tc>
                    <w:tc>
                      <w:tcPr>
                        <w:tcW w:w="1076" w:type="dxa"/>
                      </w:tcPr>
                      <w:p>
                        <w:pPr>
                          <w:pStyle w:val="TableParagraph"/>
                          <w:spacing w:line="216" w:lineRule="exact"/>
                          <w:ind w:right="232"/>
                          <w:rPr>
                            <w:sz w:val="19"/>
                          </w:rPr>
                        </w:pPr>
                        <w:r>
                          <w:rPr>
                            <w:w w:val="105"/>
                            <w:sz w:val="19"/>
                          </w:rPr>
                          <w:t>1 159</w:t>
                        </w:r>
                      </w:p>
                    </w:tc>
                    <w:tc>
                      <w:tcPr>
                        <w:tcW w:w="1229" w:type="dxa"/>
                      </w:tcPr>
                      <w:p>
                        <w:pPr>
                          <w:pStyle w:val="TableParagraph"/>
                          <w:spacing w:line="216" w:lineRule="exact"/>
                          <w:ind w:right="182"/>
                          <w:rPr>
                            <w:sz w:val="19"/>
                          </w:rPr>
                        </w:pPr>
                        <w:r>
                          <w:rPr>
                            <w:w w:val="105"/>
                            <w:sz w:val="19"/>
                          </w:rPr>
                          <w:t>16 301</w:t>
                        </w:r>
                      </w:p>
                    </w:tc>
                    <w:tc>
                      <w:tcPr>
                        <w:tcW w:w="1055" w:type="dxa"/>
                      </w:tcPr>
                      <w:p>
                        <w:pPr>
                          <w:pStyle w:val="TableParagraph"/>
                          <w:spacing w:line="216" w:lineRule="exact"/>
                          <w:ind w:right="102"/>
                          <w:rPr>
                            <w:sz w:val="19"/>
                          </w:rPr>
                        </w:pPr>
                        <w:r>
                          <w:rPr>
                            <w:w w:val="105"/>
                            <w:sz w:val="19"/>
                          </w:rPr>
                          <w:t>1 288</w:t>
                        </w:r>
                      </w:p>
                    </w:tc>
                  </w:tr>
                  <w:tr>
                    <w:trPr>
                      <w:trHeight w:val="238" w:hRule="exact"/>
                    </w:trPr>
                    <w:tc>
                      <w:tcPr>
                        <w:tcW w:w="823" w:type="dxa"/>
                        <w:tcBorders>
                          <w:bottom w:val="double" w:sz="4" w:space="0" w:color="000000"/>
                        </w:tcBorders>
                      </w:tcPr>
                      <w:p>
                        <w:pPr>
                          <w:pStyle w:val="TableParagraph"/>
                          <w:spacing w:line="216" w:lineRule="exact"/>
                          <w:ind w:left="110"/>
                          <w:jc w:val="left"/>
                          <w:rPr>
                            <w:sz w:val="19"/>
                          </w:rPr>
                        </w:pPr>
                        <w:r>
                          <w:rPr>
                            <w:w w:val="105"/>
                            <w:sz w:val="19"/>
                          </w:rPr>
                          <w:t>2012*</w:t>
                        </w:r>
                      </w:p>
                    </w:tc>
                    <w:tc>
                      <w:tcPr>
                        <w:tcW w:w="1569" w:type="dxa"/>
                        <w:tcBorders>
                          <w:bottom w:val="double" w:sz="4" w:space="0" w:color="000000"/>
                        </w:tcBorders>
                      </w:tcPr>
                      <w:p>
                        <w:pPr>
                          <w:pStyle w:val="TableParagraph"/>
                          <w:spacing w:line="216" w:lineRule="exact"/>
                          <w:ind w:right="256"/>
                          <w:rPr>
                            <w:sz w:val="19"/>
                          </w:rPr>
                        </w:pPr>
                        <w:r>
                          <w:rPr>
                            <w:w w:val="105"/>
                            <w:sz w:val="19"/>
                          </w:rPr>
                          <w:t>26 172</w:t>
                        </w:r>
                      </w:p>
                    </w:tc>
                    <w:tc>
                      <w:tcPr>
                        <w:tcW w:w="1274" w:type="dxa"/>
                        <w:tcBorders>
                          <w:bottom w:val="double" w:sz="4" w:space="0" w:color="000000"/>
                        </w:tcBorders>
                      </w:tcPr>
                      <w:p>
                        <w:pPr>
                          <w:pStyle w:val="TableParagraph"/>
                          <w:spacing w:line="216" w:lineRule="exact"/>
                          <w:ind w:right="115"/>
                          <w:rPr>
                            <w:sz w:val="19"/>
                          </w:rPr>
                        </w:pPr>
                        <w:r>
                          <w:rPr>
                            <w:w w:val="105"/>
                            <w:sz w:val="19"/>
                          </w:rPr>
                          <w:t>18 147</w:t>
                        </w:r>
                      </w:p>
                    </w:tc>
                    <w:tc>
                      <w:tcPr>
                        <w:tcW w:w="1307" w:type="dxa"/>
                        <w:tcBorders>
                          <w:bottom w:val="double" w:sz="4" w:space="0" w:color="000000"/>
                        </w:tcBorders>
                      </w:tcPr>
                      <w:p>
                        <w:pPr>
                          <w:pStyle w:val="TableParagraph"/>
                          <w:spacing w:line="216" w:lineRule="exact"/>
                          <w:ind w:right="289"/>
                          <w:rPr>
                            <w:sz w:val="19"/>
                          </w:rPr>
                        </w:pPr>
                        <w:r>
                          <w:rPr>
                            <w:w w:val="105"/>
                            <w:sz w:val="19"/>
                          </w:rPr>
                          <w:t>18 099</w:t>
                        </w:r>
                      </w:p>
                    </w:tc>
                    <w:tc>
                      <w:tcPr>
                        <w:tcW w:w="1076" w:type="dxa"/>
                        <w:tcBorders>
                          <w:bottom w:val="double" w:sz="4" w:space="0" w:color="000000"/>
                        </w:tcBorders>
                      </w:tcPr>
                      <w:p>
                        <w:pPr>
                          <w:pStyle w:val="TableParagraph"/>
                          <w:spacing w:line="216" w:lineRule="exact"/>
                          <w:ind w:right="232"/>
                          <w:rPr>
                            <w:sz w:val="19"/>
                          </w:rPr>
                        </w:pPr>
                        <w:r>
                          <w:rPr>
                            <w:w w:val="105"/>
                            <w:sz w:val="19"/>
                          </w:rPr>
                          <w:t>1 385</w:t>
                        </w:r>
                      </w:p>
                    </w:tc>
                    <w:tc>
                      <w:tcPr>
                        <w:tcW w:w="1229" w:type="dxa"/>
                        <w:tcBorders>
                          <w:bottom w:val="double" w:sz="4" w:space="0" w:color="000000"/>
                        </w:tcBorders>
                      </w:tcPr>
                      <w:p>
                        <w:pPr>
                          <w:pStyle w:val="TableParagraph"/>
                          <w:spacing w:line="216" w:lineRule="exact"/>
                          <w:ind w:right="182"/>
                          <w:rPr>
                            <w:sz w:val="19"/>
                          </w:rPr>
                        </w:pPr>
                        <w:r>
                          <w:rPr>
                            <w:w w:val="105"/>
                            <w:sz w:val="19"/>
                          </w:rPr>
                          <w:t>15 507</w:t>
                        </w:r>
                      </w:p>
                    </w:tc>
                    <w:tc>
                      <w:tcPr>
                        <w:tcW w:w="1055" w:type="dxa"/>
                        <w:tcBorders>
                          <w:bottom w:val="double" w:sz="4" w:space="0" w:color="000000"/>
                        </w:tcBorders>
                      </w:tcPr>
                      <w:p>
                        <w:pPr>
                          <w:pStyle w:val="TableParagraph"/>
                          <w:spacing w:line="216" w:lineRule="exact"/>
                          <w:ind w:right="102"/>
                          <w:rPr>
                            <w:sz w:val="19"/>
                          </w:rPr>
                        </w:pPr>
                        <w:r>
                          <w:rPr>
                            <w:w w:val="105"/>
                            <w:sz w:val="19"/>
                          </w:rPr>
                          <w:t>1 207</w:t>
                        </w:r>
                      </w:p>
                    </w:tc>
                  </w:tr>
                </w:tbl>
                <w:p>
                  <w:pPr>
                    <w:pStyle w:val="BodyText"/>
                  </w:pP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6"/>
        </w:rPr>
      </w:pPr>
    </w:p>
    <w:p>
      <w:pPr>
        <w:spacing w:line="186" w:lineRule="exact" w:before="95"/>
        <w:ind w:left="1286" w:right="0" w:firstLine="0"/>
        <w:jc w:val="left"/>
        <w:rPr>
          <w:sz w:val="16"/>
        </w:rPr>
      </w:pPr>
      <w:r>
        <w:rPr>
          <w:position w:val="7"/>
          <w:sz w:val="9"/>
        </w:rPr>
        <w:t>1 </w:t>
      </w:r>
      <w:r>
        <w:rPr>
          <w:sz w:val="16"/>
        </w:rPr>
        <w:t>Datos del Centro de Atención al Migrante Retornado (CAMR), Honduras.</w:t>
      </w:r>
    </w:p>
    <w:p>
      <w:pPr>
        <w:spacing w:line="185" w:lineRule="exact" w:before="0"/>
        <w:ind w:left="1286" w:right="0" w:firstLine="0"/>
        <w:jc w:val="left"/>
        <w:rPr>
          <w:sz w:val="16"/>
        </w:rPr>
      </w:pPr>
      <w:r>
        <w:rPr>
          <w:position w:val="7"/>
          <w:sz w:val="9"/>
        </w:rPr>
        <w:t>2 </w:t>
      </w:r>
      <w:r>
        <w:rPr>
          <w:sz w:val="16"/>
        </w:rPr>
        <w:t>A partir de 2007 son eventos de extranjeros alojados en estaciones migratorias mexicanas.</w:t>
      </w:r>
    </w:p>
    <w:p>
      <w:pPr>
        <w:spacing w:line="240" w:lineRule="auto" w:before="0"/>
        <w:ind w:left="1286" w:right="465" w:hanging="1"/>
        <w:jc w:val="left"/>
        <w:rPr>
          <w:sz w:val="16"/>
        </w:rPr>
      </w:pPr>
      <w:r>
        <w:rPr>
          <w:position w:val="7"/>
          <w:sz w:val="9"/>
        </w:rPr>
        <w:t>3 </w:t>
      </w:r>
      <w:r>
        <w:rPr>
          <w:sz w:val="16"/>
        </w:rPr>
        <w:t>a partir de 2007 son eventos de extranjeros devueltos por la autoridad migratoria mexicana. Incluye los eventos de expulsión referida a devoluciones de migrantes a su país de origen por haber infringido la Ley General de Población, su reglamento y otras disposiciones legales en México. Eventos de repatriación voluntaria: se refiere a migrantes devueltos que se acogieron al “Memorándum de entendimiento entre los gobiernos de México, El Salvador, Guatemala, Honduras y Nicaragua para la repatriación digna, ordenada, ágil y segura de nacionales centroamericanos migrantes vía terrestre” suscrito el 5 de mayo de 2006 y su anexo del 26 de abril de 2007. Eventos de menores devueltos: se refiere a eventos de menores extranjeros de cualquier nacionalidad que por disposición legal no pueden ser expulsados del país, pero si devueltos a su país de origen, en el caso de los no acompañados bajo custodia del INM a fin de garantizar la protección de sus derechos.</w:t>
      </w:r>
    </w:p>
    <w:p>
      <w:pPr>
        <w:spacing w:line="244" w:lineRule="auto" w:before="0"/>
        <w:ind w:left="1286" w:right="514" w:hanging="1"/>
        <w:jc w:val="left"/>
        <w:rPr>
          <w:sz w:val="16"/>
        </w:rPr>
      </w:pPr>
      <w:r>
        <w:rPr>
          <w:sz w:val="16"/>
        </w:rPr>
        <w:t>* Comprende hasta inicios de octubre del 2012 en deportados de Estados Unidos y de enero a julio del 2012 a los devueltos de México.</w:t>
      </w:r>
    </w:p>
    <w:p>
      <w:pPr>
        <w:spacing w:line="237" w:lineRule="auto" w:before="0"/>
        <w:ind w:left="1286" w:right="465" w:firstLine="0"/>
        <w:jc w:val="left"/>
        <w:rPr>
          <w:sz w:val="16"/>
        </w:rPr>
      </w:pPr>
      <w:r>
        <w:rPr>
          <w:sz w:val="16"/>
        </w:rPr>
        <w:t>Fuente: elaboración con base en datos de Centro de Atención al Migrante Retornado (CAMR) de Honduras y Boletines del Instituto Nacional de Migración (INM) de México.</w:t>
      </w:r>
    </w:p>
    <w:p>
      <w:pPr>
        <w:spacing w:after="0" w:line="237" w:lineRule="auto"/>
        <w:jc w:val="left"/>
        <w:rPr>
          <w:sz w:val="16"/>
        </w:rPr>
        <w:sectPr>
          <w:type w:val="continuous"/>
          <w:pgSz w:w="13040" w:h="9360" w:orient="landscape"/>
          <w:pgMar w:top="0" w:bottom="0" w:left="1280" w:right="1840"/>
        </w:sectPr>
      </w:pPr>
    </w:p>
    <w:p>
      <w:pPr>
        <w:spacing w:before="45"/>
        <w:ind w:left="389" w:right="117" w:firstLine="354"/>
        <w:jc w:val="left"/>
        <w:rPr>
          <w:rFonts w:ascii="Arial" w:hAnsi="Arial"/>
          <w:sz w:val="20"/>
        </w:rPr>
      </w:pPr>
      <w:r>
        <w:rPr>
          <w:rFonts w:ascii="Arial" w:hAnsi="Arial"/>
          <w:color w:val="231F20"/>
          <w:w w:val="65"/>
          <w:sz w:val="20"/>
        </w:rPr>
        <w:t>Factores contextuales de la migración internacional de    Honduras /Manuel Antonio Flores-Fonseca</w:t>
      </w:r>
    </w:p>
    <w:p>
      <w:pPr>
        <w:pStyle w:val="BodyText"/>
        <w:spacing w:before="7"/>
        <w:rPr>
          <w:rFonts w:ascii="Arial"/>
          <w:sz w:val="28"/>
        </w:rPr>
      </w:pPr>
    </w:p>
    <w:p>
      <w:pPr>
        <w:pStyle w:val="BodyText"/>
        <w:spacing w:line="247" w:lineRule="auto"/>
        <w:ind w:left="105" w:right="115" w:firstLine="283"/>
        <w:jc w:val="both"/>
      </w:pPr>
      <w:r>
        <w:rPr>
          <w:color w:val="231F20"/>
        </w:rPr>
        <w:t>En el último año, la mayoría de los eventos de aseguramiento en</w:t>
      </w:r>
      <w:r>
        <w:rPr>
          <w:color w:val="231F20"/>
          <w:spacing w:val="-28"/>
        </w:rPr>
        <w:t> </w:t>
      </w:r>
      <w:r>
        <w:rPr>
          <w:color w:val="231F20"/>
        </w:rPr>
        <w:t>Méxi- co se produjeron en los estados de Chiapas, </w:t>
      </w:r>
      <w:r>
        <w:rPr>
          <w:color w:val="231F20"/>
          <w:spacing w:val="-3"/>
        </w:rPr>
        <w:t>Veracruz, </w:t>
      </w:r>
      <w:r>
        <w:rPr>
          <w:color w:val="231F20"/>
        </w:rPr>
        <w:t>Estado de México, Tamaulipas y</w:t>
      </w:r>
      <w:r>
        <w:rPr>
          <w:color w:val="231F20"/>
          <w:spacing w:val="-37"/>
        </w:rPr>
        <w:t> </w:t>
      </w:r>
      <w:r>
        <w:rPr>
          <w:color w:val="231F20"/>
        </w:rPr>
        <w:t>Tabasco.</w:t>
      </w:r>
    </w:p>
    <w:p>
      <w:pPr>
        <w:pStyle w:val="BodyText"/>
        <w:spacing w:line="247" w:lineRule="auto"/>
        <w:ind w:left="105" w:right="114" w:firstLine="283"/>
        <w:jc w:val="both"/>
      </w:pPr>
      <w:r>
        <w:rPr>
          <w:color w:val="231F20"/>
        </w:rPr>
        <w:t>Si sumamos los deportados de Estados Unidos y los devueltos de Mé- xico estaríamos incluyendo a más de 700 mil personas, que equivale a un diez</w:t>
      </w:r>
      <w:r>
        <w:rPr>
          <w:color w:val="231F20"/>
          <w:spacing w:val="-4"/>
        </w:rPr>
        <w:t> </w:t>
      </w:r>
      <w:r>
        <w:rPr>
          <w:color w:val="231F20"/>
        </w:rPr>
        <w:t>por</w:t>
      </w:r>
      <w:r>
        <w:rPr>
          <w:color w:val="231F20"/>
          <w:spacing w:val="-5"/>
        </w:rPr>
        <w:t> </w:t>
      </w:r>
      <w:r>
        <w:rPr>
          <w:color w:val="231F20"/>
        </w:rPr>
        <w:t>ciento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población</w:t>
      </w:r>
      <w:r>
        <w:rPr>
          <w:color w:val="231F20"/>
          <w:spacing w:val="-5"/>
        </w:rPr>
        <w:t> </w:t>
      </w:r>
      <w:r>
        <w:rPr>
          <w:color w:val="231F20"/>
        </w:rPr>
        <w:t>hondureña</w:t>
      </w:r>
      <w:r>
        <w:rPr>
          <w:color w:val="231F20"/>
          <w:spacing w:val="-4"/>
        </w:rPr>
        <w:t> </w:t>
      </w:r>
      <w:r>
        <w:rPr>
          <w:color w:val="231F20"/>
        </w:rPr>
        <w:t>promedio</w:t>
      </w:r>
      <w:r>
        <w:rPr>
          <w:color w:val="231F20"/>
          <w:spacing w:val="-4"/>
        </w:rPr>
        <w:t> </w:t>
      </w:r>
      <w:r>
        <w:rPr>
          <w:color w:val="231F20"/>
        </w:rPr>
        <w:t>de</w:t>
      </w:r>
      <w:r>
        <w:rPr>
          <w:color w:val="231F20"/>
          <w:spacing w:val="-5"/>
        </w:rPr>
        <w:t> </w:t>
      </w:r>
      <w:r>
        <w:rPr>
          <w:color w:val="231F20"/>
        </w:rPr>
        <w:t>la</w:t>
      </w:r>
      <w:r>
        <w:rPr>
          <w:color w:val="231F20"/>
          <w:spacing w:val="-5"/>
        </w:rPr>
        <w:t> </w:t>
      </w:r>
      <w:r>
        <w:rPr>
          <w:color w:val="231F20"/>
        </w:rPr>
        <w:t>década,</w:t>
      </w:r>
      <w:r>
        <w:rPr>
          <w:color w:val="231F20"/>
          <w:spacing w:val="-4"/>
        </w:rPr>
        <w:t> </w:t>
      </w:r>
      <w:r>
        <w:rPr>
          <w:color w:val="231F20"/>
        </w:rPr>
        <w:t>un</w:t>
      </w:r>
      <w:r>
        <w:rPr>
          <w:color w:val="231F20"/>
          <w:spacing w:val="-5"/>
        </w:rPr>
        <w:t> </w:t>
      </w:r>
      <w:r>
        <w:rPr>
          <w:color w:val="231F20"/>
        </w:rPr>
        <w:t>valor nada despreciable. Una serie de factores hay que tomar en cuenta en este proceso migratorio fallido, como los vueltos a inmigrar que han decidido quedarse</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rPr>
        <w:t>país</w:t>
      </w:r>
      <w:r>
        <w:rPr>
          <w:color w:val="231F20"/>
          <w:spacing w:val="-9"/>
        </w:rPr>
        <w:t> </w:t>
      </w:r>
      <w:r>
        <w:rPr>
          <w:color w:val="231F20"/>
        </w:rPr>
        <w:t>de</w:t>
      </w:r>
      <w:r>
        <w:rPr>
          <w:color w:val="231F20"/>
          <w:spacing w:val="-9"/>
        </w:rPr>
        <w:t> </w:t>
      </w:r>
      <w:r>
        <w:rPr>
          <w:color w:val="231F20"/>
        </w:rPr>
        <w:t>tránsito,</w:t>
      </w:r>
      <w:r>
        <w:rPr>
          <w:color w:val="231F20"/>
          <w:spacing w:val="-9"/>
        </w:rPr>
        <w:t> </w:t>
      </w:r>
      <w:r>
        <w:rPr>
          <w:color w:val="231F20"/>
        </w:rPr>
        <w:t>o</w:t>
      </w:r>
      <w:r>
        <w:rPr>
          <w:color w:val="231F20"/>
          <w:spacing w:val="-9"/>
        </w:rPr>
        <w:t> </w:t>
      </w:r>
      <w:r>
        <w:rPr>
          <w:color w:val="231F20"/>
        </w:rPr>
        <w:t>estar</w:t>
      </w:r>
      <w:r>
        <w:rPr>
          <w:color w:val="231F20"/>
          <w:spacing w:val="-9"/>
        </w:rPr>
        <w:t> </w:t>
      </w:r>
      <w:r>
        <w:rPr>
          <w:color w:val="231F20"/>
        </w:rPr>
        <w:t>en</w:t>
      </w:r>
      <w:r>
        <w:rPr>
          <w:color w:val="231F20"/>
          <w:spacing w:val="-9"/>
        </w:rPr>
        <w:t> </w:t>
      </w:r>
      <w:r>
        <w:rPr>
          <w:color w:val="231F20"/>
        </w:rPr>
        <w:t>tránsito</w:t>
      </w:r>
      <w:r>
        <w:rPr>
          <w:color w:val="231F20"/>
          <w:spacing w:val="-9"/>
        </w:rPr>
        <w:t> </w:t>
      </w:r>
      <w:r>
        <w:rPr>
          <w:color w:val="231F20"/>
        </w:rPr>
        <w:t>laborando</w:t>
      </w:r>
      <w:r>
        <w:rPr>
          <w:color w:val="231F20"/>
          <w:spacing w:val="-9"/>
        </w:rPr>
        <w:t> </w:t>
      </w:r>
      <w:r>
        <w:rPr>
          <w:color w:val="231F20"/>
        </w:rPr>
        <w:t>para</w:t>
      </w:r>
      <w:r>
        <w:rPr>
          <w:color w:val="231F20"/>
          <w:spacing w:val="-9"/>
        </w:rPr>
        <w:t> </w:t>
      </w:r>
      <w:r>
        <w:rPr>
          <w:color w:val="231F20"/>
        </w:rPr>
        <w:t>continuar el viaje. Un hecho irrefutable es que una regular cantidad de emigrantes hondureños</w:t>
      </w:r>
      <w:r>
        <w:rPr>
          <w:color w:val="231F20"/>
          <w:spacing w:val="-10"/>
        </w:rPr>
        <w:t> </w:t>
      </w:r>
      <w:r>
        <w:rPr>
          <w:color w:val="231F20"/>
        </w:rPr>
        <w:t>logra</w:t>
      </w:r>
      <w:r>
        <w:rPr>
          <w:color w:val="231F20"/>
          <w:spacing w:val="-10"/>
        </w:rPr>
        <w:t> </w:t>
      </w:r>
      <w:r>
        <w:rPr>
          <w:color w:val="231F20"/>
        </w:rPr>
        <w:t>alcanzar</w:t>
      </w:r>
      <w:r>
        <w:rPr>
          <w:color w:val="231F20"/>
          <w:spacing w:val="-10"/>
        </w:rPr>
        <w:t> </w:t>
      </w:r>
      <w:r>
        <w:rPr>
          <w:color w:val="231F20"/>
        </w:rPr>
        <w:t>el</w:t>
      </w:r>
      <w:r>
        <w:rPr>
          <w:color w:val="231F20"/>
          <w:spacing w:val="-10"/>
        </w:rPr>
        <w:t> </w:t>
      </w:r>
      <w:r>
        <w:rPr>
          <w:color w:val="231F20"/>
        </w:rPr>
        <w:t>territorio</w:t>
      </w:r>
      <w:r>
        <w:rPr>
          <w:color w:val="231F20"/>
          <w:spacing w:val="-10"/>
        </w:rPr>
        <w:t> </w:t>
      </w:r>
      <w:r>
        <w:rPr>
          <w:color w:val="231F20"/>
        </w:rPr>
        <w:t>estadounidense</w:t>
      </w:r>
      <w:r>
        <w:rPr>
          <w:color w:val="231F20"/>
          <w:spacing w:val="-10"/>
        </w:rPr>
        <w:t> </w:t>
      </w:r>
      <w:r>
        <w:rPr>
          <w:color w:val="231F20"/>
        </w:rPr>
        <w:t>donde</w:t>
      </w:r>
      <w:r>
        <w:rPr>
          <w:color w:val="231F20"/>
          <w:spacing w:val="-10"/>
        </w:rPr>
        <w:t> </w:t>
      </w:r>
      <w:r>
        <w:rPr>
          <w:color w:val="231F20"/>
        </w:rPr>
        <w:t>hay</w:t>
      </w:r>
      <w:r>
        <w:rPr>
          <w:color w:val="231F20"/>
          <w:spacing w:val="-10"/>
        </w:rPr>
        <w:t> </w:t>
      </w:r>
      <w:r>
        <w:rPr>
          <w:color w:val="231F20"/>
        </w:rPr>
        <w:t>otra</w:t>
      </w:r>
      <w:r>
        <w:rPr>
          <w:color w:val="231F20"/>
          <w:spacing w:val="-10"/>
        </w:rPr>
        <w:t> </w:t>
      </w:r>
      <w:r>
        <w:rPr>
          <w:color w:val="231F20"/>
        </w:rPr>
        <w:t>serie de avatares que sortear para no ser devueltos al país de</w:t>
      </w:r>
      <w:r>
        <w:rPr>
          <w:color w:val="231F20"/>
          <w:spacing w:val="-9"/>
        </w:rPr>
        <w:t> </w:t>
      </w:r>
      <w:r>
        <w:rPr>
          <w:color w:val="231F20"/>
        </w:rPr>
        <w:t>origen.</w:t>
      </w:r>
    </w:p>
    <w:p>
      <w:pPr>
        <w:pStyle w:val="BodyText"/>
        <w:spacing w:line="247" w:lineRule="auto"/>
        <w:ind w:left="105" w:right="114" w:firstLine="283"/>
        <w:jc w:val="both"/>
      </w:pPr>
      <w:r>
        <w:rPr>
          <w:color w:val="231F20"/>
        </w:rPr>
        <w:t>La política migratoria de Estados Unidos hacia México y Centroaméri- ca</w:t>
      </w:r>
      <w:r>
        <w:rPr>
          <w:color w:val="231F20"/>
          <w:spacing w:val="-8"/>
        </w:rPr>
        <w:t> </w:t>
      </w:r>
      <w:r>
        <w:rPr>
          <w:color w:val="231F20"/>
        </w:rPr>
        <w:t>históricamente</w:t>
      </w:r>
      <w:r>
        <w:rPr>
          <w:color w:val="231F20"/>
          <w:spacing w:val="-8"/>
        </w:rPr>
        <w:t> </w:t>
      </w:r>
      <w:r>
        <w:rPr>
          <w:color w:val="231F20"/>
        </w:rPr>
        <w:t>ha</w:t>
      </w:r>
      <w:r>
        <w:rPr>
          <w:color w:val="231F20"/>
          <w:spacing w:val="-8"/>
        </w:rPr>
        <w:t> </w:t>
      </w:r>
      <w:r>
        <w:rPr>
          <w:color w:val="231F20"/>
        </w:rPr>
        <w:t>sido</w:t>
      </w:r>
      <w:r>
        <w:rPr>
          <w:color w:val="231F20"/>
          <w:spacing w:val="-8"/>
        </w:rPr>
        <w:t> </w:t>
      </w:r>
      <w:r>
        <w:rPr>
          <w:color w:val="231F20"/>
        </w:rPr>
        <w:t>errática</w:t>
      </w:r>
      <w:r>
        <w:rPr>
          <w:color w:val="231F20"/>
          <w:spacing w:val="-9"/>
        </w:rPr>
        <w:t> </w:t>
      </w:r>
      <w:r>
        <w:rPr>
          <w:color w:val="231F20"/>
        </w:rPr>
        <w:t>y</w:t>
      </w:r>
      <w:r>
        <w:rPr>
          <w:color w:val="231F20"/>
          <w:spacing w:val="-8"/>
        </w:rPr>
        <w:t> </w:t>
      </w:r>
      <w:r>
        <w:rPr>
          <w:color w:val="231F20"/>
        </w:rPr>
        <w:t>dictada</w:t>
      </w:r>
      <w:r>
        <w:rPr>
          <w:color w:val="231F20"/>
          <w:spacing w:val="-8"/>
        </w:rPr>
        <w:t> </w:t>
      </w:r>
      <w:r>
        <w:rPr>
          <w:color w:val="231F20"/>
        </w:rPr>
        <w:t>por</w:t>
      </w:r>
      <w:r>
        <w:rPr>
          <w:color w:val="231F20"/>
          <w:spacing w:val="-8"/>
        </w:rPr>
        <w:t> </w:t>
      </w:r>
      <w:r>
        <w:rPr>
          <w:color w:val="231F20"/>
        </w:rPr>
        <w:t>condiciones</w:t>
      </w:r>
      <w:r>
        <w:rPr>
          <w:color w:val="231F20"/>
          <w:spacing w:val="-8"/>
        </w:rPr>
        <w:t> </w:t>
      </w:r>
      <w:r>
        <w:rPr>
          <w:color w:val="231F20"/>
        </w:rPr>
        <w:t>coyunturales</w:t>
      </w:r>
      <w:r>
        <w:rPr>
          <w:color w:val="231F20"/>
          <w:spacing w:val="-9"/>
        </w:rPr>
        <w:t> </w:t>
      </w:r>
      <w:r>
        <w:rPr>
          <w:color w:val="231F20"/>
        </w:rPr>
        <w:t>y posturas políticas. Ahora bien, a partir de los eventos del </w:t>
      </w:r>
      <w:r>
        <w:rPr>
          <w:color w:val="231F20"/>
          <w:spacing w:val="-5"/>
        </w:rPr>
        <w:t>11 </w:t>
      </w:r>
      <w:r>
        <w:rPr>
          <w:color w:val="231F20"/>
        </w:rPr>
        <w:t>de septiembre de</w:t>
      </w:r>
      <w:r>
        <w:rPr>
          <w:color w:val="231F20"/>
          <w:spacing w:val="-4"/>
        </w:rPr>
        <w:t> </w:t>
      </w:r>
      <w:r>
        <w:rPr>
          <w:color w:val="231F20"/>
        </w:rPr>
        <w:t>2001</w:t>
      </w:r>
      <w:r>
        <w:rPr>
          <w:color w:val="231F20"/>
          <w:spacing w:val="-4"/>
        </w:rPr>
        <w:t> </w:t>
      </w:r>
      <w:r>
        <w:rPr>
          <w:color w:val="231F20"/>
        </w:rPr>
        <w:t>(11S)</w:t>
      </w:r>
      <w:r>
        <w:rPr>
          <w:color w:val="231F20"/>
          <w:spacing w:val="-4"/>
        </w:rPr>
        <w:t> </w:t>
      </w:r>
      <w:r>
        <w:rPr>
          <w:color w:val="231F20"/>
        </w:rPr>
        <w:t>aunque</w:t>
      </w:r>
      <w:r>
        <w:rPr>
          <w:color w:val="231F20"/>
          <w:spacing w:val="-5"/>
        </w:rPr>
        <w:t> </w:t>
      </w:r>
      <w:r>
        <w:rPr>
          <w:color w:val="231F20"/>
        </w:rPr>
        <w:t>se</w:t>
      </w:r>
      <w:r>
        <w:rPr>
          <w:color w:val="231F20"/>
          <w:spacing w:val="-4"/>
        </w:rPr>
        <w:t> </w:t>
      </w:r>
      <w:r>
        <w:rPr>
          <w:color w:val="231F20"/>
        </w:rPr>
        <w:t>mantiene</w:t>
      </w:r>
      <w:r>
        <w:rPr>
          <w:color w:val="231F20"/>
          <w:spacing w:val="-5"/>
        </w:rPr>
        <w:t> </w:t>
      </w:r>
      <w:r>
        <w:rPr>
          <w:color w:val="231F20"/>
        </w:rPr>
        <w:t>el</w:t>
      </w:r>
      <w:r>
        <w:rPr>
          <w:color w:val="231F20"/>
          <w:spacing w:val="-4"/>
        </w:rPr>
        <w:t> </w:t>
      </w:r>
      <w:r>
        <w:rPr>
          <w:color w:val="231F20"/>
        </w:rPr>
        <w:t>patrón</w:t>
      </w:r>
      <w:r>
        <w:rPr>
          <w:color w:val="231F20"/>
          <w:spacing w:val="-4"/>
        </w:rPr>
        <w:t> </w:t>
      </w:r>
      <w:r>
        <w:rPr>
          <w:color w:val="231F20"/>
        </w:rPr>
        <w:t>hay</w:t>
      </w:r>
      <w:r>
        <w:rPr>
          <w:color w:val="231F20"/>
          <w:spacing w:val="-4"/>
        </w:rPr>
        <w:t> </w:t>
      </w:r>
      <w:r>
        <w:rPr>
          <w:color w:val="231F20"/>
        </w:rPr>
        <w:t>un</w:t>
      </w:r>
      <w:r>
        <w:rPr>
          <w:color w:val="231F20"/>
          <w:spacing w:val="-4"/>
        </w:rPr>
        <w:t> </w:t>
      </w:r>
      <w:r>
        <w:rPr>
          <w:color w:val="231F20"/>
        </w:rPr>
        <w:t>enfoque</w:t>
      </w:r>
      <w:r>
        <w:rPr>
          <w:color w:val="231F20"/>
          <w:spacing w:val="-5"/>
        </w:rPr>
        <w:t> </w:t>
      </w:r>
      <w:r>
        <w:rPr>
          <w:color w:val="231F20"/>
        </w:rPr>
        <w:t>con</w:t>
      </w:r>
      <w:r>
        <w:rPr>
          <w:color w:val="231F20"/>
          <w:spacing w:val="-4"/>
        </w:rPr>
        <w:t> </w:t>
      </w:r>
      <w:r>
        <w:rPr>
          <w:color w:val="231F20"/>
        </w:rPr>
        <w:t>importan- cia de la seguridad y control fronterizo, entre ellos el registro electrónico  y la construcción de barreras físicas en la frontera mexicana (Hernández, 2008).</w:t>
      </w:r>
    </w:p>
    <w:p>
      <w:pPr>
        <w:pStyle w:val="BodyText"/>
        <w:spacing w:line="247" w:lineRule="auto"/>
        <w:ind w:left="105" w:right="116" w:firstLine="283"/>
        <w:jc w:val="both"/>
      </w:pPr>
      <w:r>
        <w:rPr>
          <w:color w:val="231F20"/>
        </w:rPr>
        <w:t>En Estados Unidos algunos estados han aprobado leyes atentatorias contra la migración, tal es el caso de la famosa “Ley de Arizona SB1070 de 2010”, también conocida como “Ley del odio” (principalmente por sus oponentes) que supone la acción más amplia y estricta contra la inmigra- ción</w:t>
      </w:r>
      <w:r>
        <w:rPr>
          <w:color w:val="231F20"/>
          <w:spacing w:val="-10"/>
        </w:rPr>
        <w:t> </w:t>
      </w:r>
      <w:r>
        <w:rPr>
          <w:color w:val="231F20"/>
        </w:rPr>
        <w:t>ilegal.</w:t>
      </w:r>
      <w:r>
        <w:rPr>
          <w:color w:val="231F20"/>
          <w:spacing w:val="-10"/>
        </w:rPr>
        <w:t> </w:t>
      </w:r>
      <w:r>
        <w:rPr>
          <w:color w:val="231F20"/>
        </w:rPr>
        <w:t>Ha</w:t>
      </w:r>
      <w:r>
        <w:rPr>
          <w:color w:val="231F20"/>
          <w:spacing w:val="-10"/>
        </w:rPr>
        <w:t> </w:t>
      </w:r>
      <w:r>
        <w:rPr>
          <w:color w:val="231F20"/>
        </w:rPr>
        <w:t>recibido</w:t>
      </w:r>
      <w:r>
        <w:rPr>
          <w:color w:val="231F20"/>
          <w:spacing w:val="-10"/>
        </w:rPr>
        <w:t> </w:t>
      </w:r>
      <w:r>
        <w:rPr>
          <w:color w:val="231F20"/>
        </w:rPr>
        <w:t>la</w:t>
      </w:r>
      <w:r>
        <w:rPr>
          <w:color w:val="231F20"/>
          <w:spacing w:val="-10"/>
        </w:rPr>
        <w:t> </w:t>
      </w:r>
      <w:r>
        <w:rPr>
          <w:color w:val="231F20"/>
        </w:rPr>
        <w:t>atención</w:t>
      </w:r>
      <w:r>
        <w:rPr>
          <w:color w:val="231F20"/>
          <w:spacing w:val="-10"/>
        </w:rPr>
        <w:t> </w:t>
      </w:r>
      <w:r>
        <w:rPr>
          <w:color w:val="231F20"/>
        </w:rPr>
        <w:t>ya</w:t>
      </w:r>
      <w:r>
        <w:rPr>
          <w:color w:val="231F20"/>
          <w:spacing w:val="-10"/>
        </w:rPr>
        <w:t> </w:t>
      </w:r>
      <w:r>
        <w:rPr>
          <w:color w:val="231F20"/>
        </w:rPr>
        <w:t>que</w:t>
      </w:r>
      <w:r>
        <w:rPr>
          <w:color w:val="231F20"/>
          <w:spacing w:val="-10"/>
        </w:rPr>
        <w:t> </w:t>
      </w:r>
      <w:r>
        <w:rPr>
          <w:color w:val="231F20"/>
        </w:rPr>
        <w:t>criminaliza</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inmigrantes</w:t>
      </w:r>
      <w:r>
        <w:rPr>
          <w:color w:val="231F20"/>
          <w:spacing w:val="-10"/>
        </w:rPr>
        <w:t> </w:t>
      </w:r>
      <w:r>
        <w:rPr>
          <w:color w:val="231F20"/>
        </w:rPr>
        <w:t>sin documentos y considera sospechosos de crímenes a todos los que por su aspecto puedan parecer inmigrantes, ya sean ciudadanos norteamericanos o inmigrantes legales o ilegales. Datos de ACS de 2010 indican que en  ese estado sólo vive 0.5 por ciento de la población de origen hondureño, aunque los pocos que residen, principalmente los no autorizados, sufren</w:t>
      </w:r>
      <w:r>
        <w:rPr>
          <w:color w:val="231F20"/>
          <w:spacing w:val="-16"/>
        </w:rPr>
        <w:t> </w:t>
      </w:r>
      <w:r>
        <w:rPr>
          <w:color w:val="231F20"/>
        </w:rPr>
        <w:t>el impacto de esas</w:t>
      </w:r>
      <w:r>
        <w:rPr>
          <w:color w:val="231F20"/>
          <w:spacing w:val="-2"/>
        </w:rPr>
        <w:t> </w:t>
      </w:r>
      <w:r>
        <w:rPr>
          <w:color w:val="231F20"/>
        </w:rPr>
        <w:t>leyes.</w:t>
      </w:r>
    </w:p>
    <w:p>
      <w:pPr>
        <w:pStyle w:val="BodyText"/>
        <w:spacing w:line="247" w:lineRule="auto"/>
        <w:ind w:left="105" w:right="115" w:firstLine="283"/>
        <w:jc w:val="both"/>
      </w:pPr>
      <w:r>
        <w:rPr>
          <w:color w:val="231F20"/>
        </w:rPr>
        <w:t>El </w:t>
      </w:r>
      <w:r>
        <w:rPr>
          <w:i/>
          <w:color w:val="231F20"/>
        </w:rPr>
        <w:t>Estatus de Protección </w:t>
      </w:r>
      <w:r>
        <w:rPr>
          <w:i/>
          <w:color w:val="231F20"/>
          <w:spacing w:val="-3"/>
        </w:rPr>
        <w:t>Temporal </w:t>
      </w:r>
      <w:r>
        <w:rPr>
          <w:color w:val="231F20"/>
        </w:rPr>
        <w:t>(TPS) fue una medida del gobierno de</w:t>
      </w:r>
      <w:r>
        <w:rPr>
          <w:color w:val="231F20"/>
          <w:spacing w:val="-13"/>
        </w:rPr>
        <w:t> </w:t>
      </w:r>
      <w:r>
        <w:rPr>
          <w:color w:val="231F20"/>
        </w:rPr>
        <w:t>los</w:t>
      </w:r>
      <w:r>
        <w:rPr>
          <w:color w:val="231F20"/>
          <w:spacing w:val="-13"/>
        </w:rPr>
        <w:t> </w:t>
      </w:r>
      <w:r>
        <w:rPr>
          <w:color w:val="231F20"/>
        </w:rPr>
        <w:t>Estados</w:t>
      </w:r>
      <w:r>
        <w:rPr>
          <w:color w:val="231F20"/>
          <w:spacing w:val="-14"/>
        </w:rPr>
        <w:t> </w:t>
      </w:r>
      <w:r>
        <w:rPr>
          <w:color w:val="231F20"/>
        </w:rPr>
        <w:t>Unidos</w:t>
      </w:r>
      <w:r>
        <w:rPr>
          <w:color w:val="231F20"/>
          <w:spacing w:val="-13"/>
        </w:rPr>
        <w:t> </w:t>
      </w:r>
      <w:r>
        <w:rPr>
          <w:color w:val="231F20"/>
        </w:rPr>
        <w:t>de</w:t>
      </w:r>
      <w:r>
        <w:rPr>
          <w:color w:val="231F20"/>
          <w:spacing w:val="-24"/>
        </w:rPr>
        <w:t> </w:t>
      </w:r>
      <w:r>
        <w:rPr>
          <w:color w:val="231F20"/>
        </w:rPr>
        <w:t>América</w:t>
      </w:r>
      <w:r>
        <w:rPr>
          <w:color w:val="231F20"/>
          <w:spacing w:val="-13"/>
        </w:rPr>
        <w:t> </w:t>
      </w:r>
      <w:r>
        <w:rPr>
          <w:color w:val="231F20"/>
        </w:rPr>
        <w:t>para</w:t>
      </w:r>
      <w:r>
        <w:rPr>
          <w:color w:val="231F20"/>
          <w:spacing w:val="-13"/>
        </w:rPr>
        <w:t> </w:t>
      </w:r>
      <w:r>
        <w:rPr>
          <w:color w:val="231F20"/>
        </w:rPr>
        <w:t>favorecer</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rPr>
        <w:t>inmigrantes</w:t>
      </w:r>
      <w:r>
        <w:rPr>
          <w:color w:val="231F20"/>
          <w:spacing w:val="-13"/>
        </w:rPr>
        <w:t> </w:t>
      </w:r>
      <w:r>
        <w:rPr>
          <w:color w:val="231F20"/>
        </w:rPr>
        <w:t>de</w:t>
      </w:r>
      <w:r>
        <w:rPr>
          <w:color w:val="231F20"/>
          <w:spacing w:val="-13"/>
        </w:rPr>
        <w:t> </w:t>
      </w:r>
      <w:r>
        <w:rPr>
          <w:color w:val="231F20"/>
        </w:rPr>
        <w:t>Hon- duras y Nicaragua ante la emergencia provocada por el Huracán Mitch. Esta</w:t>
      </w:r>
      <w:r>
        <w:rPr>
          <w:color w:val="231F20"/>
          <w:spacing w:val="-4"/>
        </w:rPr>
        <w:t> </w:t>
      </w:r>
      <w:r>
        <w:rPr>
          <w:color w:val="231F20"/>
        </w:rPr>
        <w:t>medida</w:t>
      </w:r>
      <w:r>
        <w:rPr>
          <w:color w:val="231F20"/>
          <w:spacing w:val="-4"/>
        </w:rPr>
        <w:t> </w:t>
      </w:r>
      <w:r>
        <w:rPr>
          <w:color w:val="231F20"/>
        </w:rPr>
        <w:t>fue</w:t>
      </w:r>
      <w:r>
        <w:rPr>
          <w:color w:val="231F20"/>
          <w:spacing w:val="-4"/>
        </w:rPr>
        <w:t> </w:t>
      </w:r>
      <w:r>
        <w:rPr>
          <w:color w:val="231F20"/>
        </w:rPr>
        <w:t>aprobada</w:t>
      </w:r>
      <w:r>
        <w:rPr>
          <w:color w:val="231F20"/>
          <w:spacing w:val="-4"/>
        </w:rPr>
        <w:t> </w:t>
      </w:r>
      <w:r>
        <w:rPr>
          <w:color w:val="231F20"/>
        </w:rPr>
        <w:t>el</w:t>
      </w:r>
      <w:r>
        <w:rPr>
          <w:color w:val="231F20"/>
          <w:spacing w:val="-4"/>
        </w:rPr>
        <w:t> </w:t>
      </w:r>
      <w:r>
        <w:rPr>
          <w:color w:val="231F20"/>
        </w:rPr>
        <w:t>28</w:t>
      </w:r>
      <w:r>
        <w:rPr>
          <w:color w:val="231F20"/>
          <w:spacing w:val="-4"/>
        </w:rPr>
        <w:t> </w:t>
      </w:r>
      <w:r>
        <w:rPr>
          <w:color w:val="231F20"/>
        </w:rPr>
        <w:t>de</w:t>
      </w:r>
      <w:r>
        <w:rPr>
          <w:color w:val="231F20"/>
          <w:spacing w:val="-4"/>
        </w:rPr>
        <w:t> </w:t>
      </w:r>
      <w:r>
        <w:rPr>
          <w:color w:val="231F20"/>
        </w:rPr>
        <w:t>diciembre</w:t>
      </w:r>
      <w:r>
        <w:rPr>
          <w:color w:val="231F20"/>
          <w:spacing w:val="-4"/>
        </w:rPr>
        <w:t> </w:t>
      </w:r>
      <w:r>
        <w:rPr>
          <w:color w:val="231F20"/>
        </w:rPr>
        <w:t>de</w:t>
      </w:r>
      <w:r>
        <w:rPr>
          <w:color w:val="231F20"/>
          <w:spacing w:val="-4"/>
        </w:rPr>
        <w:t> </w:t>
      </w:r>
      <w:r>
        <w:rPr>
          <w:color w:val="231F20"/>
        </w:rPr>
        <w:t>1998,</w:t>
      </w:r>
      <w:r>
        <w:rPr>
          <w:color w:val="231F20"/>
          <w:spacing w:val="-4"/>
        </w:rPr>
        <w:t> </w:t>
      </w:r>
      <w:r>
        <w:rPr>
          <w:color w:val="231F20"/>
        </w:rPr>
        <w:t>su</w:t>
      </w:r>
      <w:r>
        <w:rPr>
          <w:color w:val="231F20"/>
          <w:spacing w:val="-3"/>
        </w:rPr>
        <w:t> </w:t>
      </w:r>
      <w:r>
        <w:rPr>
          <w:color w:val="231F20"/>
        </w:rPr>
        <w:t>primera</w:t>
      </w:r>
      <w:r>
        <w:rPr>
          <w:color w:val="231F20"/>
          <w:spacing w:val="-4"/>
        </w:rPr>
        <w:t> </w:t>
      </w:r>
      <w:r>
        <w:rPr>
          <w:color w:val="231F20"/>
        </w:rPr>
        <w:t>vigencia fue de 18 meses (enero 1999 hasta julio 2000). La última extensión com- prendió un periodo adicional de 18 meses, comenzando el 6 de enero de 2012 y terminando el 5 de julio de 2013. Ha estado en vigencia a través  de varias prórrogas y se han beneficiado más de setenta mil personas.</w:t>
      </w:r>
      <w:r>
        <w:rPr>
          <w:color w:val="231F20"/>
          <w:spacing w:val="-15"/>
        </w:rPr>
        <w:t> </w:t>
      </w:r>
      <w:r>
        <w:rPr>
          <w:color w:val="231F20"/>
        </w:rPr>
        <w:t>Esta medida</w:t>
      </w:r>
      <w:r>
        <w:rPr>
          <w:color w:val="231F20"/>
          <w:spacing w:val="13"/>
        </w:rPr>
        <w:t> </w:t>
      </w:r>
      <w:r>
        <w:rPr>
          <w:color w:val="231F20"/>
        </w:rPr>
        <w:t>ha</w:t>
      </w:r>
      <w:r>
        <w:rPr>
          <w:color w:val="231F20"/>
          <w:spacing w:val="13"/>
        </w:rPr>
        <w:t> </w:t>
      </w:r>
      <w:r>
        <w:rPr>
          <w:color w:val="231F20"/>
        </w:rPr>
        <w:t>sido</w:t>
      </w:r>
      <w:r>
        <w:rPr>
          <w:color w:val="231F20"/>
          <w:spacing w:val="13"/>
        </w:rPr>
        <w:t> </w:t>
      </w:r>
      <w:r>
        <w:rPr>
          <w:color w:val="231F20"/>
        </w:rPr>
        <w:t>un</w:t>
      </w:r>
      <w:r>
        <w:rPr>
          <w:color w:val="231F20"/>
          <w:spacing w:val="13"/>
        </w:rPr>
        <w:t> </w:t>
      </w:r>
      <w:r>
        <w:rPr>
          <w:color w:val="231F20"/>
        </w:rPr>
        <w:t>respiro,</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sentido</w:t>
      </w:r>
      <w:r>
        <w:rPr>
          <w:color w:val="231F20"/>
          <w:spacing w:val="14"/>
        </w:rPr>
        <w:t> </w:t>
      </w:r>
      <w:r>
        <w:rPr>
          <w:color w:val="231F20"/>
        </w:rPr>
        <w:t>de</w:t>
      </w:r>
      <w:r>
        <w:rPr>
          <w:color w:val="231F20"/>
          <w:spacing w:val="13"/>
        </w:rPr>
        <w:t> </w:t>
      </w:r>
      <w:r>
        <w:rPr>
          <w:color w:val="231F20"/>
        </w:rPr>
        <w:t>que</w:t>
      </w:r>
      <w:r>
        <w:rPr>
          <w:color w:val="231F20"/>
          <w:spacing w:val="13"/>
        </w:rPr>
        <w:t> </w:t>
      </w:r>
      <w:r>
        <w:rPr>
          <w:color w:val="231F20"/>
        </w:rPr>
        <w:t>ha</w:t>
      </w:r>
      <w:r>
        <w:rPr>
          <w:color w:val="231F20"/>
          <w:spacing w:val="13"/>
        </w:rPr>
        <w:t> </w:t>
      </w:r>
      <w:r>
        <w:rPr>
          <w:color w:val="231F20"/>
        </w:rPr>
        <w:t>permitido</w:t>
      </w:r>
      <w:r>
        <w:rPr>
          <w:color w:val="231F20"/>
          <w:spacing w:val="13"/>
        </w:rPr>
        <w:t> </w:t>
      </w:r>
      <w:r>
        <w:rPr>
          <w:color w:val="231F20"/>
        </w:rPr>
        <w:t>por</w:t>
      </w:r>
      <w:r>
        <w:rPr>
          <w:color w:val="231F20"/>
          <w:spacing w:val="13"/>
        </w:rPr>
        <w:t> </w:t>
      </w:r>
      <w:r>
        <w:rPr>
          <w:color w:val="231F20"/>
        </w:rPr>
        <w:t>más</w:t>
      </w:r>
      <w:r>
        <w:rPr>
          <w:color w:val="231F20"/>
          <w:spacing w:val="13"/>
        </w:rPr>
        <w:t> </w:t>
      </w:r>
      <w:r>
        <w:rPr>
          <w:color w:val="231F20"/>
        </w:rPr>
        <w:t>de</w:t>
      </w:r>
    </w:p>
    <w:p>
      <w:pPr>
        <w:spacing w:after="0" w:line="247" w:lineRule="auto"/>
        <w:jc w:val="both"/>
        <w:sectPr>
          <w:footerReference w:type="default" r:id="rId103"/>
          <w:pgSz w:w="9360" w:h="13040"/>
          <w:pgMar w:footer="496" w:header="0" w:top="740" w:bottom="680" w:left="1300" w:right="1300"/>
          <w:pgNumType w:start="11"/>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jc w:val="both"/>
      </w:pPr>
      <w:r>
        <w:rPr>
          <w:color w:val="231F20"/>
        </w:rPr>
        <w:t>una década que una parte de los inmigrantes hondureños en Estados Uni- dos apliquen cumpliendo ciertos requisitos para accesar a una protección temporal que les permita residir y trabajar sin ser deportados por las auto- ridades.</w:t>
      </w:r>
    </w:p>
    <w:p>
      <w:pPr>
        <w:pStyle w:val="BodyText"/>
        <w:spacing w:line="247" w:lineRule="auto"/>
        <w:ind w:left="117" w:right="114" w:firstLine="283"/>
        <w:jc w:val="both"/>
        <w:rPr>
          <w:sz w:val="13"/>
        </w:rPr>
      </w:pPr>
      <w:r>
        <w:rPr>
          <w:color w:val="231F20"/>
        </w:rPr>
        <w:t>En</w:t>
      </w:r>
      <w:r>
        <w:rPr>
          <w:color w:val="231F20"/>
          <w:spacing w:val="-13"/>
        </w:rPr>
        <w:t> </w:t>
      </w:r>
      <w:r>
        <w:rPr>
          <w:color w:val="231F20"/>
        </w:rPr>
        <w:t>Europa</w:t>
      </w:r>
      <w:r>
        <w:rPr>
          <w:color w:val="231F20"/>
          <w:spacing w:val="-14"/>
        </w:rPr>
        <w:t> </w:t>
      </w:r>
      <w:r>
        <w:rPr>
          <w:color w:val="231F20"/>
        </w:rPr>
        <w:t>se</w:t>
      </w:r>
      <w:r>
        <w:rPr>
          <w:color w:val="231F20"/>
          <w:spacing w:val="-13"/>
        </w:rPr>
        <w:t> </w:t>
      </w:r>
      <w:r>
        <w:rPr>
          <w:color w:val="231F20"/>
        </w:rPr>
        <w:t>está</w:t>
      </w:r>
      <w:r>
        <w:rPr>
          <w:color w:val="231F20"/>
          <w:spacing w:val="-13"/>
        </w:rPr>
        <w:t> </w:t>
      </w:r>
      <w:r>
        <w:rPr>
          <w:color w:val="231F20"/>
        </w:rPr>
        <w:t>implementado</w:t>
      </w:r>
      <w:r>
        <w:rPr>
          <w:color w:val="231F20"/>
          <w:spacing w:val="-13"/>
        </w:rPr>
        <w:t> </w:t>
      </w:r>
      <w:r>
        <w:rPr>
          <w:color w:val="231F20"/>
        </w:rPr>
        <w:t>una</w:t>
      </w:r>
      <w:r>
        <w:rPr>
          <w:color w:val="231F20"/>
          <w:spacing w:val="-13"/>
        </w:rPr>
        <w:t> </w:t>
      </w:r>
      <w:r>
        <w:rPr>
          <w:color w:val="231F20"/>
        </w:rPr>
        <w:t>política</w:t>
      </w:r>
      <w:r>
        <w:rPr>
          <w:color w:val="231F20"/>
          <w:spacing w:val="-13"/>
        </w:rPr>
        <w:t> </w:t>
      </w:r>
      <w:r>
        <w:rPr>
          <w:color w:val="231F20"/>
        </w:rPr>
        <w:t>de</w:t>
      </w:r>
      <w:r>
        <w:rPr>
          <w:color w:val="231F20"/>
          <w:spacing w:val="-13"/>
        </w:rPr>
        <w:t> </w:t>
      </w:r>
      <w:r>
        <w:rPr>
          <w:color w:val="231F20"/>
        </w:rPr>
        <w:t>inmigración</w:t>
      </w:r>
      <w:r>
        <w:rPr>
          <w:color w:val="231F20"/>
          <w:spacing w:val="-13"/>
        </w:rPr>
        <w:t> </w:t>
      </w:r>
      <w:r>
        <w:rPr>
          <w:color w:val="231F20"/>
        </w:rPr>
        <w:t>común</w:t>
      </w:r>
      <w:r>
        <w:rPr>
          <w:color w:val="231F20"/>
          <w:spacing w:val="-14"/>
        </w:rPr>
        <w:t> </w:t>
      </w:r>
      <w:r>
        <w:rPr>
          <w:color w:val="231F20"/>
        </w:rPr>
        <w:t>por parte</w:t>
      </w:r>
      <w:r>
        <w:rPr>
          <w:color w:val="231F20"/>
          <w:spacing w:val="-8"/>
        </w:rPr>
        <w:t> </w:t>
      </w:r>
      <w:r>
        <w:rPr>
          <w:color w:val="231F20"/>
        </w:rPr>
        <w:t>del</w:t>
      </w:r>
      <w:r>
        <w:rPr>
          <w:color w:val="231F20"/>
          <w:spacing w:val="-8"/>
        </w:rPr>
        <w:t> </w:t>
      </w:r>
      <w:r>
        <w:rPr>
          <w:color w:val="231F20"/>
        </w:rPr>
        <w:t>parlamente</w:t>
      </w:r>
      <w:r>
        <w:rPr>
          <w:color w:val="231F20"/>
          <w:spacing w:val="-8"/>
        </w:rPr>
        <w:t> </w:t>
      </w:r>
      <w:r>
        <w:rPr>
          <w:color w:val="231F20"/>
        </w:rPr>
        <w:t>europeo,</w:t>
      </w:r>
      <w:r>
        <w:rPr>
          <w:color w:val="231F20"/>
          <w:spacing w:val="-8"/>
        </w:rPr>
        <w:t> </w:t>
      </w:r>
      <w:r>
        <w:rPr>
          <w:color w:val="231F20"/>
        </w:rPr>
        <w:t>llamada</w:t>
      </w:r>
      <w:r>
        <w:rPr>
          <w:color w:val="231F20"/>
          <w:spacing w:val="-9"/>
        </w:rPr>
        <w:t> </w:t>
      </w:r>
      <w:r>
        <w:rPr>
          <w:color w:val="231F20"/>
        </w:rPr>
        <w:t>“Directiva</w:t>
      </w:r>
      <w:r>
        <w:rPr>
          <w:color w:val="231F20"/>
          <w:spacing w:val="-9"/>
        </w:rPr>
        <w:t> </w:t>
      </w:r>
      <w:r>
        <w:rPr>
          <w:color w:val="231F20"/>
        </w:rPr>
        <w:t>de</w:t>
      </w:r>
      <w:r>
        <w:rPr>
          <w:color w:val="231F20"/>
          <w:spacing w:val="-8"/>
        </w:rPr>
        <w:t> </w:t>
      </w:r>
      <w:r>
        <w:rPr>
          <w:color w:val="231F20"/>
        </w:rPr>
        <w:t>Retorno”,</w:t>
      </w:r>
      <w:r>
        <w:rPr>
          <w:color w:val="231F20"/>
          <w:spacing w:val="-8"/>
        </w:rPr>
        <w:t> </w:t>
      </w:r>
      <w:r>
        <w:rPr>
          <w:color w:val="231F20"/>
        </w:rPr>
        <w:t>que</w:t>
      </w:r>
      <w:r>
        <w:rPr>
          <w:color w:val="231F20"/>
          <w:spacing w:val="-8"/>
        </w:rPr>
        <w:t> </w:t>
      </w:r>
      <w:r>
        <w:rPr>
          <w:color w:val="231F20"/>
        </w:rPr>
        <w:t>aunque fue presentada en 2005 y aprobada tres años más tarde su aplicación ha</w:t>
      </w:r>
      <w:r>
        <w:rPr>
          <w:color w:val="231F20"/>
          <w:spacing w:val="-19"/>
        </w:rPr>
        <w:t> </w:t>
      </w:r>
      <w:r>
        <w:rPr>
          <w:color w:val="231F20"/>
        </w:rPr>
        <w:t>de transponerse a los ordenamiento jurídicos de cada estado miembro. Inclu- ye medidas como el retorno, retención, orden de internamiento, prohibi- ción de reingreso, excepción, menores y persecución. La crisis económica que viven los países de Europa, aparte de que afecta a los nativos también produce efectos a los migrantes, para quienes los mecanismos restrictivos de la migración se vuelven más agresivos, tal es el caso de impedir el ac- ceso a servicios médicos a inmigrantes irregulares en algunas provincias de</w:t>
      </w:r>
      <w:r>
        <w:rPr>
          <w:color w:val="231F20"/>
          <w:spacing w:val="-3"/>
        </w:rPr>
        <w:t> </w:t>
      </w:r>
      <w:r>
        <w:rPr>
          <w:color w:val="231F20"/>
        </w:rPr>
        <w:t>España.</w:t>
      </w:r>
      <w:r>
        <w:rPr>
          <w:color w:val="231F20"/>
          <w:position w:val="7"/>
          <w:sz w:val="13"/>
        </w:rPr>
        <w:t>13</w:t>
      </w:r>
    </w:p>
    <w:p>
      <w:pPr>
        <w:pStyle w:val="Heading3"/>
      </w:pPr>
      <w:r>
        <w:rPr>
          <w:color w:val="231F20"/>
        </w:rPr>
        <w:t>En los países en tránsito</w:t>
      </w:r>
    </w:p>
    <w:p>
      <w:pPr>
        <w:pStyle w:val="BodyText"/>
        <w:spacing w:line="247" w:lineRule="auto" w:before="172"/>
        <w:ind w:left="117" w:right="114"/>
        <w:jc w:val="both"/>
      </w:pPr>
      <w:r>
        <w:rPr>
          <w:color w:val="231F20"/>
        </w:rPr>
        <w:t>Como</w:t>
      </w:r>
      <w:r>
        <w:rPr>
          <w:color w:val="231F20"/>
          <w:spacing w:val="-8"/>
        </w:rPr>
        <w:t> </w:t>
      </w:r>
      <w:r>
        <w:rPr>
          <w:color w:val="231F20"/>
        </w:rPr>
        <w:t>el</w:t>
      </w:r>
      <w:r>
        <w:rPr>
          <w:color w:val="231F20"/>
          <w:spacing w:val="-8"/>
        </w:rPr>
        <w:t> </w:t>
      </w:r>
      <w:r>
        <w:rPr>
          <w:color w:val="231F20"/>
        </w:rPr>
        <w:t>mayor</w:t>
      </w:r>
      <w:r>
        <w:rPr>
          <w:color w:val="231F20"/>
          <w:spacing w:val="-8"/>
        </w:rPr>
        <w:t> </w:t>
      </w:r>
      <w:r>
        <w:rPr>
          <w:color w:val="231F20"/>
        </w:rPr>
        <w:t>flujo</w:t>
      </w:r>
      <w:r>
        <w:rPr>
          <w:color w:val="231F20"/>
          <w:spacing w:val="-8"/>
        </w:rPr>
        <w:t> </w:t>
      </w:r>
      <w:r>
        <w:rPr>
          <w:color w:val="231F20"/>
        </w:rPr>
        <w:t>emigratorio</w:t>
      </w:r>
      <w:r>
        <w:rPr>
          <w:color w:val="231F20"/>
          <w:spacing w:val="-8"/>
        </w:rPr>
        <w:t> </w:t>
      </w:r>
      <w:r>
        <w:rPr>
          <w:color w:val="231F20"/>
        </w:rPr>
        <w:t>hondureño</w:t>
      </w:r>
      <w:r>
        <w:rPr>
          <w:color w:val="231F20"/>
          <w:spacing w:val="-8"/>
        </w:rPr>
        <w:t> </w:t>
      </w:r>
      <w:r>
        <w:rPr>
          <w:color w:val="231F20"/>
        </w:rPr>
        <w:t>es</w:t>
      </w:r>
      <w:r>
        <w:rPr>
          <w:color w:val="231F20"/>
          <w:spacing w:val="-8"/>
        </w:rPr>
        <w:t> </w:t>
      </w:r>
      <w:r>
        <w:rPr>
          <w:color w:val="231F20"/>
        </w:rPr>
        <w:t>para</w:t>
      </w:r>
      <w:r>
        <w:rPr>
          <w:color w:val="231F20"/>
          <w:spacing w:val="-8"/>
        </w:rPr>
        <w:t> </w:t>
      </w:r>
      <w:r>
        <w:rPr>
          <w:color w:val="231F20"/>
        </w:rPr>
        <w:t>los</w:t>
      </w:r>
      <w:r>
        <w:rPr>
          <w:color w:val="231F20"/>
          <w:spacing w:val="-8"/>
        </w:rPr>
        <w:t> </w:t>
      </w:r>
      <w:r>
        <w:rPr>
          <w:color w:val="231F20"/>
        </w:rPr>
        <w:t>Estados</w:t>
      </w:r>
      <w:r>
        <w:rPr>
          <w:color w:val="231F20"/>
          <w:spacing w:val="-8"/>
        </w:rPr>
        <w:t> </w:t>
      </w:r>
      <w:r>
        <w:rPr>
          <w:color w:val="231F20"/>
        </w:rPr>
        <w:t>Unidos</w:t>
      </w:r>
      <w:r>
        <w:rPr>
          <w:color w:val="231F20"/>
          <w:spacing w:val="-8"/>
        </w:rPr>
        <w:t> </w:t>
      </w:r>
      <w:r>
        <w:rPr>
          <w:color w:val="231F20"/>
        </w:rPr>
        <w:t>de América,</w:t>
      </w:r>
      <w:r>
        <w:rPr>
          <w:color w:val="231F20"/>
          <w:spacing w:val="-5"/>
        </w:rPr>
        <w:t> </w:t>
      </w:r>
      <w:r>
        <w:rPr>
          <w:color w:val="231F20"/>
        </w:rPr>
        <w:t>las</w:t>
      </w:r>
      <w:r>
        <w:rPr>
          <w:color w:val="231F20"/>
          <w:spacing w:val="-5"/>
        </w:rPr>
        <w:t> </w:t>
      </w:r>
      <w:r>
        <w:rPr>
          <w:color w:val="231F20"/>
        </w:rPr>
        <w:t>movilidades</w:t>
      </w:r>
      <w:r>
        <w:rPr>
          <w:color w:val="231F20"/>
          <w:spacing w:val="-6"/>
        </w:rPr>
        <w:t> </w:t>
      </w:r>
      <w:r>
        <w:rPr>
          <w:color w:val="231F20"/>
        </w:rPr>
        <w:t>utilizadas</w:t>
      </w:r>
      <w:r>
        <w:rPr>
          <w:color w:val="231F20"/>
          <w:spacing w:val="-5"/>
        </w:rPr>
        <w:t> </w:t>
      </w:r>
      <w:r>
        <w:rPr>
          <w:color w:val="231F20"/>
        </w:rPr>
        <w:t>son</w:t>
      </w:r>
      <w:r>
        <w:rPr>
          <w:color w:val="231F20"/>
          <w:spacing w:val="-5"/>
        </w:rPr>
        <w:t> </w:t>
      </w:r>
      <w:r>
        <w:rPr>
          <w:color w:val="231F20"/>
        </w:rPr>
        <w:t>la</w:t>
      </w:r>
      <w:r>
        <w:rPr>
          <w:color w:val="231F20"/>
          <w:spacing w:val="-5"/>
        </w:rPr>
        <w:t> </w:t>
      </w:r>
      <w:r>
        <w:rPr>
          <w:color w:val="231F20"/>
        </w:rPr>
        <w:t>aérea,</w:t>
      </w:r>
      <w:r>
        <w:rPr>
          <w:color w:val="231F20"/>
          <w:spacing w:val="-6"/>
        </w:rPr>
        <w:t> </w:t>
      </w:r>
      <w:r>
        <w:rPr>
          <w:color w:val="231F20"/>
        </w:rPr>
        <w:t>la</w:t>
      </w:r>
      <w:r>
        <w:rPr>
          <w:color w:val="231F20"/>
          <w:spacing w:val="-5"/>
        </w:rPr>
        <w:t> </w:t>
      </w:r>
      <w:r>
        <w:rPr>
          <w:color w:val="231F20"/>
        </w:rPr>
        <w:t>marítima</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terrestre, siendo ésta última la vía más utilizada si es de manera indocumentada</w:t>
      </w:r>
      <w:r>
        <w:rPr>
          <w:color w:val="231F20"/>
          <w:spacing w:val="-32"/>
        </w:rPr>
        <w:t> </w:t>
      </w:r>
      <w:r>
        <w:rPr>
          <w:color w:val="231F20"/>
        </w:rPr>
        <w:t>(sin visa), tránsito que hacen a pie, en trenes de carga, autobuses, autos parti- culares, por lo que alcanzar ese territorio implica al menos traspasar dos países en tránsito, Guatemala y México. Sin duda que ingresar al primer país no implica ningún problema migratorio, por la libre movilidad auto- rizada en el C4, pero sí otras dificultades relacionadas con la presencia en un país extraño.</w:t>
      </w:r>
    </w:p>
    <w:p>
      <w:pPr>
        <w:pStyle w:val="BodyText"/>
        <w:spacing w:line="247" w:lineRule="auto"/>
        <w:ind w:left="117" w:right="114" w:firstLine="283"/>
        <w:jc w:val="both"/>
      </w:pPr>
      <w:r>
        <w:rPr/>
        <w:pict>
          <v:line style="position:absolute;mso-position-horizontal-relative:page;mso-position-vertical-relative:paragraph;z-index:3208;mso-wrap-distance-left:0;mso-wrap-distance-right:0" from="70.866096pt,110.370934pt" to="142.866096pt,110.370934pt" stroked="true" strokeweight=".75pt" strokecolor="#231f20">
            <w10:wrap type="topAndBottom"/>
          </v:line>
        </w:pict>
      </w:r>
      <w:r>
        <w:rPr>
          <w:color w:val="231F20"/>
        </w:rPr>
        <w:t>En el caso de México, el primer obstáculo es ingresar al territorio y se tienen varias opciones de entrada, sin embargo, casi todas implican el in- greso a los estados de Chiapas y Tabasco, mismos que se convierten en el primer</w:t>
      </w:r>
      <w:r>
        <w:rPr>
          <w:color w:val="231F20"/>
          <w:spacing w:val="-7"/>
        </w:rPr>
        <w:t> </w:t>
      </w:r>
      <w:r>
        <w:rPr>
          <w:color w:val="231F20"/>
        </w:rPr>
        <w:t>muro</w:t>
      </w:r>
      <w:r>
        <w:rPr>
          <w:color w:val="231F20"/>
          <w:spacing w:val="-7"/>
        </w:rPr>
        <w:t> </w:t>
      </w:r>
      <w:r>
        <w:rPr>
          <w:color w:val="231F20"/>
        </w:rPr>
        <w:t>de</w:t>
      </w:r>
      <w:r>
        <w:rPr>
          <w:color w:val="231F20"/>
          <w:spacing w:val="-7"/>
        </w:rPr>
        <w:t> </w:t>
      </w:r>
      <w:r>
        <w:rPr>
          <w:color w:val="231F20"/>
        </w:rPr>
        <w:t>contención</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migración</w:t>
      </w:r>
      <w:r>
        <w:rPr>
          <w:color w:val="231F20"/>
          <w:spacing w:val="-8"/>
        </w:rPr>
        <w:t> </w:t>
      </w:r>
      <w:r>
        <w:rPr>
          <w:color w:val="231F20"/>
        </w:rPr>
        <w:t>centroamericana</w:t>
      </w:r>
      <w:r>
        <w:rPr>
          <w:color w:val="231F20"/>
          <w:spacing w:val="-8"/>
        </w:rPr>
        <w:t> </w:t>
      </w:r>
      <w:r>
        <w:rPr>
          <w:color w:val="231F20"/>
        </w:rPr>
        <w:t>hacia</w:t>
      </w:r>
      <w:r>
        <w:rPr>
          <w:color w:val="231F20"/>
          <w:spacing w:val="-7"/>
        </w:rPr>
        <w:t> </w:t>
      </w:r>
      <w:r>
        <w:rPr>
          <w:color w:val="231F20"/>
        </w:rPr>
        <w:t>Estados Unidos, prueba de ello es que en los reportes de aseguramientos se produ- cen en ellos, además de los vecinos Oaxaca y </w:t>
      </w:r>
      <w:r>
        <w:rPr>
          <w:color w:val="231F20"/>
          <w:spacing w:val="-3"/>
        </w:rPr>
        <w:t>Veracruz, </w:t>
      </w:r>
      <w:r>
        <w:rPr>
          <w:color w:val="231F20"/>
        </w:rPr>
        <w:t>que conforman la entrada inferior del embudo del tránsito de la transmigración Centroame- ricana en</w:t>
      </w:r>
      <w:r>
        <w:rPr>
          <w:color w:val="231F20"/>
          <w:spacing w:val="-8"/>
        </w:rPr>
        <w:t> </w:t>
      </w:r>
      <w:r>
        <w:rPr>
          <w:color w:val="231F20"/>
        </w:rPr>
        <w:t>México.</w:t>
      </w:r>
    </w:p>
    <w:p>
      <w:pPr>
        <w:spacing w:line="170" w:lineRule="exact" w:before="0"/>
        <w:ind w:left="117" w:right="114" w:firstLine="0"/>
        <w:jc w:val="both"/>
        <w:rPr>
          <w:sz w:val="17"/>
        </w:rPr>
      </w:pPr>
      <w:r>
        <w:rPr>
          <w:color w:val="231F20"/>
          <w:position w:val="6"/>
          <w:sz w:val="10"/>
        </w:rPr>
        <w:t>13</w:t>
      </w:r>
      <w:r>
        <w:rPr>
          <w:color w:val="231F20"/>
          <w:spacing w:val="8"/>
          <w:position w:val="6"/>
          <w:sz w:val="10"/>
        </w:rPr>
        <w:t> </w:t>
      </w:r>
      <w:r>
        <w:rPr>
          <w:color w:val="231F20"/>
          <w:sz w:val="17"/>
        </w:rPr>
        <w:t>El</w:t>
      </w:r>
      <w:r>
        <w:rPr>
          <w:color w:val="231F20"/>
          <w:spacing w:val="-9"/>
          <w:sz w:val="17"/>
        </w:rPr>
        <w:t> </w:t>
      </w:r>
      <w:r>
        <w:rPr>
          <w:color w:val="231F20"/>
          <w:sz w:val="17"/>
        </w:rPr>
        <w:t>Servicio</w:t>
      </w:r>
      <w:r>
        <w:rPr>
          <w:color w:val="231F20"/>
          <w:spacing w:val="-9"/>
          <w:sz w:val="17"/>
        </w:rPr>
        <w:t> </w:t>
      </w:r>
      <w:r>
        <w:rPr>
          <w:color w:val="231F20"/>
          <w:sz w:val="17"/>
        </w:rPr>
        <w:t>Cántabro</w:t>
      </w:r>
      <w:r>
        <w:rPr>
          <w:color w:val="231F20"/>
          <w:spacing w:val="-9"/>
          <w:sz w:val="17"/>
        </w:rPr>
        <w:t> </w:t>
      </w:r>
      <w:r>
        <w:rPr>
          <w:color w:val="231F20"/>
          <w:sz w:val="17"/>
        </w:rPr>
        <w:t>de</w:t>
      </w:r>
      <w:r>
        <w:rPr>
          <w:color w:val="231F20"/>
          <w:spacing w:val="-9"/>
          <w:sz w:val="17"/>
        </w:rPr>
        <w:t> </w:t>
      </w:r>
      <w:r>
        <w:rPr>
          <w:color w:val="231F20"/>
          <w:sz w:val="17"/>
        </w:rPr>
        <w:t>Salud</w:t>
      </w:r>
      <w:r>
        <w:rPr>
          <w:color w:val="231F20"/>
          <w:spacing w:val="-9"/>
          <w:sz w:val="17"/>
        </w:rPr>
        <w:t> </w:t>
      </w:r>
      <w:r>
        <w:rPr>
          <w:color w:val="231F20"/>
          <w:sz w:val="17"/>
        </w:rPr>
        <w:t>(CSC)</w:t>
      </w:r>
      <w:r>
        <w:rPr>
          <w:color w:val="231F20"/>
          <w:spacing w:val="-9"/>
          <w:sz w:val="17"/>
        </w:rPr>
        <w:t> </w:t>
      </w:r>
      <w:r>
        <w:rPr>
          <w:color w:val="231F20"/>
          <w:sz w:val="17"/>
        </w:rPr>
        <w:t>de</w:t>
      </w:r>
      <w:r>
        <w:rPr>
          <w:color w:val="231F20"/>
          <w:spacing w:val="-9"/>
          <w:sz w:val="17"/>
        </w:rPr>
        <w:t> </w:t>
      </w:r>
      <w:r>
        <w:rPr>
          <w:color w:val="231F20"/>
          <w:sz w:val="17"/>
        </w:rPr>
        <w:t>Cantabria,</w:t>
      </w:r>
      <w:r>
        <w:rPr>
          <w:color w:val="231F20"/>
          <w:spacing w:val="-9"/>
          <w:sz w:val="17"/>
        </w:rPr>
        <w:t> </w:t>
      </w:r>
      <w:r>
        <w:rPr>
          <w:color w:val="231F20"/>
          <w:sz w:val="17"/>
        </w:rPr>
        <w:t>España</w:t>
      </w:r>
      <w:r>
        <w:rPr>
          <w:color w:val="231F20"/>
          <w:spacing w:val="-10"/>
          <w:sz w:val="17"/>
        </w:rPr>
        <w:t> </w:t>
      </w:r>
      <w:r>
        <w:rPr>
          <w:color w:val="231F20"/>
          <w:sz w:val="17"/>
        </w:rPr>
        <w:t>ha</w:t>
      </w:r>
      <w:r>
        <w:rPr>
          <w:color w:val="231F20"/>
          <w:spacing w:val="-9"/>
          <w:sz w:val="17"/>
        </w:rPr>
        <w:t> </w:t>
      </w:r>
      <w:r>
        <w:rPr>
          <w:color w:val="231F20"/>
          <w:sz w:val="17"/>
        </w:rPr>
        <w:t>dado</w:t>
      </w:r>
      <w:r>
        <w:rPr>
          <w:color w:val="231F20"/>
          <w:spacing w:val="-9"/>
          <w:sz w:val="17"/>
        </w:rPr>
        <w:t> </w:t>
      </w:r>
      <w:r>
        <w:rPr>
          <w:color w:val="231F20"/>
          <w:sz w:val="17"/>
        </w:rPr>
        <w:t>de</w:t>
      </w:r>
      <w:r>
        <w:rPr>
          <w:color w:val="231F20"/>
          <w:spacing w:val="-9"/>
          <w:sz w:val="17"/>
        </w:rPr>
        <w:t> </w:t>
      </w:r>
      <w:r>
        <w:rPr>
          <w:color w:val="231F20"/>
          <w:sz w:val="17"/>
        </w:rPr>
        <w:t>baja</w:t>
      </w:r>
      <w:r>
        <w:rPr>
          <w:color w:val="231F20"/>
          <w:spacing w:val="-9"/>
          <w:sz w:val="17"/>
        </w:rPr>
        <w:t> </w:t>
      </w:r>
      <w:r>
        <w:rPr>
          <w:color w:val="231F20"/>
          <w:sz w:val="17"/>
        </w:rPr>
        <w:t>a</w:t>
      </w:r>
      <w:r>
        <w:rPr>
          <w:color w:val="231F20"/>
          <w:spacing w:val="-9"/>
          <w:sz w:val="17"/>
        </w:rPr>
        <w:t> </w:t>
      </w:r>
      <w:r>
        <w:rPr>
          <w:color w:val="231F20"/>
          <w:sz w:val="17"/>
        </w:rPr>
        <w:t>4</w:t>
      </w:r>
      <w:r>
        <w:rPr>
          <w:color w:val="231F20"/>
          <w:spacing w:val="-9"/>
          <w:sz w:val="17"/>
        </w:rPr>
        <w:t> </w:t>
      </w:r>
      <w:r>
        <w:rPr>
          <w:color w:val="231F20"/>
          <w:sz w:val="17"/>
        </w:rPr>
        <w:t>810</w:t>
      </w:r>
      <w:r>
        <w:rPr>
          <w:color w:val="231F20"/>
          <w:spacing w:val="-9"/>
          <w:sz w:val="17"/>
        </w:rPr>
        <w:t> </w:t>
      </w:r>
      <w:r>
        <w:rPr>
          <w:color w:val="231F20"/>
          <w:sz w:val="17"/>
        </w:rPr>
        <w:t>inmigrantes irregulares, que eran considerados como no asegurados. </w:t>
      </w:r>
      <w:r>
        <w:rPr>
          <w:sz w:val="17"/>
        </w:rPr>
        <w:t>El SCS facturará el coste de la atención sanitaria a un tercero: bien al país de origen del no asegurado asistido; a su mutua, si la posee, o directamente</w:t>
      </w:r>
      <w:r>
        <w:rPr>
          <w:spacing w:val="-4"/>
          <w:sz w:val="17"/>
        </w:rPr>
        <w:t> </w:t>
      </w:r>
      <w:r>
        <w:rPr>
          <w:sz w:val="17"/>
        </w:rPr>
        <w:t>al</w:t>
      </w:r>
      <w:r>
        <w:rPr>
          <w:spacing w:val="-4"/>
          <w:sz w:val="17"/>
        </w:rPr>
        <w:t> </w:t>
      </w:r>
      <w:r>
        <w:rPr>
          <w:sz w:val="17"/>
        </w:rPr>
        <w:t>particular</w:t>
      </w:r>
      <w:r>
        <w:rPr>
          <w:spacing w:val="-4"/>
          <w:sz w:val="17"/>
        </w:rPr>
        <w:t> </w:t>
      </w:r>
      <w:r>
        <w:rPr>
          <w:sz w:val="17"/>
        </w:rPr>
        <w:t>atendido.</w:t>
      </w:r>
      <w:r>
        <w:rPr>
          <w:spacing w:val="-13"/>
          <w:sz w:val="17"/>
        </w:rPr>
        <w:t> </w:t>
      </w:r>
      <w:r>
        <w:rPr>
          <w:sz w:val="17"/>
        </w:rPr>
        <w:t>Aunque</w:t>
      </w:r>
      <w:r>
        <w:rPr>
          <w:spacing w:val="-3"/>
          <w:sz w:val="17"/>
        </w:rPr>
        <w:t> </w:t>
      </w:r>
      <w:r>
        <w:rPr>
          <w:sz w:val="17"/>
        </w:rPr>
        <w:t>atenderá</w:t>
      </w:r>
      <w:r>
        <w:rPr>
          <w:spacing w:val="-4"/>
          <w:sz w:val="17"/>
        </w:rPr>
        <w:t> </w:t>
      </w:r>
      <w:r>
        <w:rPr>
          <w:sz w:val="17"/>
        </w:rPr>
        <w:t>gratuitamente</w:t>
      </w:r>
      <w:r>
        <w:rPr>
          <w:spacing w:val="-4"/>
          <w:sz w:val="17"/>
        </w:rPr>
        <w:t> </w:t>
      </w:r>
      <w:r>
        <w:rPr>
          <w:sz w:val="17"/>
        </w:rPr>
        <w:t>en</w:t>
      </w:r>
      <w:r>
        <w:rPr>
          <w:spacing w:val="-4"/>
          <w:sz w:val="17"/>
        </w:rPr>
        <w:t> </w:t>
      </w:r>
      <w:r>
        <w:rPr>
          <w:sz w:val="17"/>
        </w:rPr>
        <w:t>las</w:t>
      </w:r>
      <w:r>
        <w:rPr>
          <w:spacing w:val="-4"/>
          <w:sz w:val="17"/>
        </w:rPr>
        <w:t> </w:t>
      </w:r>
      <w:r>
        <w:rPr>
          <w:sz w:val="17"/>
        </w:rPr>
        <w:t>excepciones</w:t>
      </w:r>
      <w:r>
        <w:rPr>
          <w:spacing w:val="-4"/>
          <w:sz w:val="17"/>
        </w:rPr>
        <w:t> </w:t>
      </w:r>
      <w:r>
        <w:rPr>
          <w:sz w:val="17"/>
        </w:rPr>
        <w:t>como</w:t>
      </w:r>
      <w:r>
        <w:rPr>
          <w:spacing w:val="-4"/>
          <w:sz w:val="17"/>
        </w:rPr>
        <w:t> </w:t>
      </w:r>
      <w:r>
        <w:rPr>
          <w:sz w:val="17"/>
        </w:rPr>
        <w:t>los gastos de la asistencia a los menores de 18 años, a las mujeres embarazadas, aquellos atendidos en urgencias, además de aquellos que estén recibiendo tratamiento por enfermedades crónicas y contra las enfermedades infecciosas y</w:t>
      </w:r>
      <w:r>
        <w:rPr>
          <w:spacing w:val="-4"/>
          <w:sz w:val="17"/>
        </w:rPr>
        <w:t> </w:t>
      </w:r>
      <w:r>
        <w:rPr>
          <w:sz w:val="17"/>
        </w:rPr>
        <w:t>transmisibles.</w:t>
      </w:r>
    </w:p>
    <w:p>
      <w:pPr>
        <w:spacing w:after="0" w:line="170" w:lineRule="exact"/>
        <w:jc w:val="both"/>
        <w:rPr>
          <w:sz w:val="17"/>
        </w:rPr>
        <w:sectPr>
          <w:pgSz w:w="9360" w:h="13040"/>
          <w:pgMar w:header="0" w:footer="496" w:top="800" w:bottom="680" w:left="1300" w:right="1300"/>
        </w:sectPr>
      </w:pPr>
    </w:p>
    <w:p>
      <w:pPr>
        <w:spacing w:before="45"/>
        <w:ind w:left="400" w:right="117" w:firstLine="343"/>
        <w:jc w:val="left"/>
        <w:rPr>
          <w:rFonts w:ascii="Arial" w:hAnsi="Arial"/>
          <w:sz w:val="20"/>
        </w:rPr>
      </w:pPr>
      <w:r>
        <w:rPr>
          <w:rFonts w:ascii="Arial" w:hAnsi="Arial"/>
          <w:color w:val="231F20"/>
          <w:w w:val="65"/>
          <w:sz w:val="20"/>
        </w:rPr>
        <w:t>Factores contextuales de la migración internacional de    Honduras /Manuel Antonio Flores-Fonseca</w:t>
      </w:r>
    </w:p>
    <w:p>
      <w:pPr>
        <w:pStyle w:val="BodyText"/>
        <w:spacing w:before="7"/>
        <w:rPr>
          <w:rFonts w:ascii="Arial"/>
          <w:sz w:val="28"/>
        </w:rPr>
      </w:pPr>
    </w:p>
    <w:p>
      <w:pPr>
        <w:pStyle w:val="BodyText"/>
        <w:spacing w:line="247" w:lineRule="auto"/>
        <w:ind w:left="117" w:right="114" w:firstLine="283"/>
        <w:jc w:val="both"/>
      </w:pPr>
      <w:r>
        <w:rPr>
          <w:color w:val="231F20"/>
        </w:rPr>
        <w:t>Los migrantes en México, principalmente los que llevan menos recur- sos utilizan generalmente los medios más riesgosos, tales como caminar a pie, pedir aventones y usar el fatídico tren de carga en el cual transitan so- portando la intemperie para mantenerse en él y avanzar internándose en el territorio mexicano. Los controles y redadas de las autoridades hacen que los migrantes realicen estrategias de evasión, qué decir de tener contacto con</w:t>
      </w:r>
      <w:r>
        <w:rPr>
          <w:color w:val="231F20"/>
          <w:spacing w:val="-7"/>
        </w:rPr>
        <w:t> </w:t>
      </w:r>
      <w:r>
        <w:rPr>
          <w:color w:val="231F20"/>
        </w:rPr>
        <w:t>grupos</w:t>
      </w:r>
      <w:r>
        <w:rPr>
          <w:color w:val="231F20"/>
          <w:spacing w:val="-7"/>
        </w:rPr>
        <w:t> </w:t>
      </w:r>
      <w:r>
        <w:rPr>
          <w:color w:val="231F20"/>
        </w:rPr>
        <w:t>irregulares</w:t>
      </w:r>
      <w:r>
        <w:rPr>
          <w:color w:val="231F20"/>
          <w:spacing w:val="-8"/>
        </w:rPr>
        <w:t> </w:t>
      </w:r>
      <w:r>
        <w:rPr>
          <w:color w:val="231F20"/>
        </w:rPr>
        <w:t>como</w:t>
      </w:r>
      <w:r>
        <w:rPr>
          <w:color w:val="231F20"/>
          <w:spacing w:val="-7"/>
        </w:rPr>
        <w:t> </w:t>
      </w:r>
      <w:r>
        <w:rPr>
          <w:color w:val="231F20"/>
        </w:rPr>
        <w:t>cárteles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droga,</w:t>
      </w:r>
      <w:r>
        <w:rPr>
          <w:color w:val="231F20"/>
          <w:spacing w:val="-7"/>
        </w:rPr>
        <w:t> </w:t>
      </w:r>
      <w:r>
        <w:rPr>
          <w:color w:val="231F20"/>
        </w:rPr>
        <w:t>Zetas</w:t>
      </w:r>
      <w:r>
        <w:rPr>
          <w:color w:val="231F20"/>
          <w:spacing w:val="-7"/>
        </w:rPr>
        <w:t> </w:t>
      </w:r>
      <w:r>
        <w:rPr>
          <w:color w:val="231F20"/>
        </w:rPr>
        <w:t>y</w:t>
      </w:r>
      <w:r>
        <w:rPr>
          <w:color w:val="231F20"/>
          <w:spacing w:val="-7"/>
        </w:rPr>
        <w:t> </w:t>
      </w:r>
      <w:r>
        <w:rPr>
          <w:color w:val="231F20"/>
        </w:rPr>
        <w:t>otras</w:t>
      </w:r>
      <w:r>
        <w:rPr>
          <w:color w:val="231F20"/>
          <w:spacing w:val="-7"/>
        </w:rPr>
        <w:t> </w:t>
      </w:r>
      <w:r>
        <w:rPr>
          <w:color w:val="231F20"/>
        </w:rPr>
        <w:t>bandas,</w:t>
      </w:r>
      <w:r>
        <w:rPr>
          <w:color w:val="231F20"/>
          <w:spacing w:val="-7"/>
        </w:rPr>
        <w:t> </w:t>
      </w:r>
      <w:r>
        <w:rPr>
          <w:color w:val="231F20"/>
        </w:rPr>
        <w:t>que han hecho de este grupo vulnerable una fuente de lucro a través de robo, extorsión, maltrato, violación, trata de blancas, violencia y un sinnúmero de vejámenes que irrespetan sus derechos</w:t>
      </w:r>
      <w:r>
        <w:rPr>
          <w:color w:val="231F20"/>
          <w:spacing w:val="-3"/>
        </w:rPr>
        <w:t> </w:t>
      </w:r>
      <w:r>
        <w:rPr>
          <w:color w:val="231F20"/>
        </w:rPr>
        <w:t>humanos.</w:t>
      </w:r>
    </w:p>
    <w:p>
      <w:pPr>
        <w:pStyle w:val="Heading3"/>
      </w:pPr>
      <w:r>
        <w:rPr>
          <w:color w:val="231F20"/>
        </w:rPr>
        <w:t>Conclusiones</w:t>
      </w:r>
    </w:p>
    <w:p>
      <w:pPr>
        <w:pStyle w:val="BodyText"/>
        <w:spacing w:line="247" w:lineRule="auto" w:before="172"/>
        <w:ind w:left="117" w:right="114"/>
        <w:jc w:val="both"/>
      </w:pPr>
      <w:r>
        <w:rPr>
          <w:color w:val="231F20"/>
        </w:rPr>
        <w:t>La emigración es la tendencia de mayor preponderancia en el comporta- miento migratorio internacional de Honduras, misma que fue aumentando desde la década del noventa, se visibilizó a finales de la década, después del desastre natural Mitch y ha continuado en el siglo XXI.</w:t>
      </w:r>
    </w:p>
    <w:p>
      <w:pPr>
        <w:pStyle w:val="BodyText"/>
        <w:spacing w:line="247" w:lineRule="auto"/>
        <w:ind w:left="117" w:right="115" w:firstLine="283"/>
        <w:jc w:val="both"/>
      </w:pPr>
      <w:r>
        <w:rPr>
          <w:color w:val="231F20"/>
        </w:rPr>
        <w:t>En las últimas décadas, el país ha vivido acontecimientos que han</w:t>
      </w:r>
      <w:r>
        <w:rPr>
          <w:color w:val="231F20"/>
          <w:spacing w:val="-13"/>
        </w:rPr>
        <w:t> </w:t>
      </w:r>
      <w:r>
        <w:rPr>
          <w:color w:val="231F20"/>
        </w:rPr>
        <w:t>inci- dido</w:t>
      </w:r>
      <w:r>
        <w:rPr>
          <w:color w:val="231F20"/>
          <w:spacing w:val="-8"/>
        </w:rPr>
        <w:t> </w:t>
      </w:r>
      <w:r>
        <w:rPr>
          <w:color w:val="231F20"/>
        </w:rPr>
        <w:t>en</w:t>
      </w:r>
      <w:r>
        <w:rPr>
          <w:color w:val="231F20"/>
          <w:spacing w:val="-7"/>
        </w:rPr>
        <w:t> </w:t>
      </w:r>
      <w:r>
        <w:rPr>
          <w:color w:val="231F20"/>
        </w:rPr>
        <w:t>los</w:t>
      </w:r>
      <w:r>
        <w:rPr>
          <w:color w:val="231F20"/>
          <w:spacing w:val="-8"/>
        </w:rPr>
        <w:t> </w:t>
      </w:r>
      <w:r>
        <w:rPr>
          <w:color w:val="231F20"/>
        </w:rPr>
        <w:t>cambios</w:t>
      </w:r>
      <w:r>
        <w:rPr>
          <w:color w:val="231F20"/>
          <w:spacing w:val="-7"/>
        </w:rPr>
        <w:t> </w:t>
      </w:r>
      <w:r>
        <w:rPr>
          <w:color w:val="231F20"/>
        </w:rPr>
        <w:t>del</w:t>
      </w:r>
      <w:r>
        <w:rPr>
          <w:color w:val="231F20"/>
          <w:spacing w:val="-8"/>
        </w:rPr>
        <w:t> </w:t>
      </w:r>
      <w:r>
        <w:rPr>
          <w:color w:val="231F20"/>
        </w:rPr>
        <w:t>comportamiento</w:t>
      </w:r>
      <w:r>
        <w:rPr>
          <w:color w:val="231F20"/>
          <w:spacing w:val="-8"/>
        </w:rPr>
        <w:t> </w:t>
      </w:r>
      <w:r>
        <w:rPr>
          <w:color w:val="231F20"/>
        </w:rPr>
        <w:t>de</w:t>
      </w:r>
      <w:r>
        <w:rPr>
          <w:color w:val="231F20"/>
          <w:spacing w:val="-7"/>
        </w:rPr>
        <w:t> </w:t>
      </w:r>
      <w:r>
        <w:rPr>
          <w:color w:val="231F20"/>
        </w:rPr>
        <w:t>la</w:t>
      </w:r>
      <w:r>
        <w:rPr>
          <w:color w:val="231F20"/>
          <w:spacing w:val="-8"/>
        </w:rPr>
        <w:t> </w:t>
      </w:r>
      <w:r>
        <w:rPr>
          <w:color w:val="231F20"/>
        </w:rPr>
        <w:t>migración,</w:t>
      </w:r>
      <w:r>
        <w:rPr>
          <w:color w:val="231F20"/>
          <w:spacing w:val="-8"/>
        </w:rPr>
        <w:t> </w:t>
      </w:r>
      <w:r>
        <w:rPr>
          <w:color w:val="231F20"/>
        </w:rPr>
        <w:t>entre</w:t>
      </w:r>
      <w:r>
        <w:rPr>
          <w:color w:val="231F20"/>
          <w:spacing w:val="-8"/>
        </w:rPr>
        <w:t> </w:t>
      </w:r>
      <w:r>
        <w:rPr>
          <w:color w:val="231F20"/>
        </w:rPr>
        <w:t>ellos</w:t>
      </w:r>
      <w:r>
        <w:rPr>
          <w:color w:val="231F20"/>
          <w:spacing w:val="-8"/>
        </w:rPr>
        <w:t> </w:t>
      </w:r>
      <w:r>
        <w:rPr>
          <w:color w:val="231F20"/>
        </w:rPr>
        <w:t>facto- res</w:t>
      </w:r>
      <w:r>
        <w:rPr>
          <w:color w:val="231F20"/>
          <w:spacing w:val="-5"/>
        </w:rPr>
        <w:t> </w:t>
      </w:r>
      <w:r>
        <w:rPr>
          <w:color w:val="231F20"/>
        </w:rPr>
        <w:t>contextuales,</w:t>
      </w:r>
      <w:r>
        <w:rPr>
          <w:color w:val="231F20"/>
          <w:spacing w:val="-6"/>
        </w:rPr>
        <w:t> </w:t>
      </w:r>
      <w:r>
        <w:rPr>
          <w:color w:val="231F20"/>
        </w:rPr>
        <w:t>de</w:t>
      </w:r>
      <w:r>
        <w:rPr>
          <w:color w:val="231F20"/>
          <w:spacing w:val="-6"/>
        </w:rPr>
        <w:t> </w:t>
      </w:r>
      <w:r>
        <w:rPr>
          <w:color w:val="231F20"/>
        </w:rPr>
        <w:t>tipo</w:t>
      </w:r>
      <w:r>
        <w:rPr>
          <w:color w:val="231F20"/>
          <w:spacing w:val="-6"/>
        </w:rPr>
        <w:t> </w:t>
      </w:r>
      <w:r>
        <w:rPr>
          <w:color w:val="231F20"/>
        </w:rPr>
        <w:t>demográfico,</w:t>
      </w:r>
      <w:r>
        <w:rPr>
          <w:color w:val="231F20"/>
          <w:spacing w:val="-6"/>
        </w:rPr>
        <w:t> </w:t>
      </w:r>
      <w:r>
        <w:rPr>
          <w:color w:val="231F20"/>
        </w:rPr>
        <w:t>económico,</w:t>
      </w:r>
      <w:r>
        <w:rPr>
          <w:color w:val="231F20"/>
          <w:spacing w:val="-6"/>
        </w:rPr>
        <w:t> </w:t>
      </w:r>
      <w:r>
        <w:rPr>
          <w:color w:val="231F20"/>
        </w:rPr>
        <w:t>social,</w:t>
      </w:r>
      <w:r>
        <w:rPr>
          <w:color w:val="231F20"/>
          <w:spacing w:val="-6"/>
        </w:rPr>
        <w:t> </w:t>
      </w:r>
      <w:r>
        <w:rPr>
          <w:color w:val="231F20"/>
        </w:rPr>
        <w:t>político,</w:t>
      </w:r>
      <w:r>
        <w:rPr>
          <w:color w:val="231F20"/>
          <w:spacing w:val="-6"/>
        </w:rPr>
        <w:t> </w:t>
      </w:r>
      <w:r>
        <w:rPr>
          <w:color w:val="231F20"/>
        </w:rPr>
        <w:t>cultural y ambiental.</w:t>
      </w:r>
    </w:p>
    <w:p>
      <w:pPr>
        <w:pStyle w:val="BodyText"/>
        <w:spacing w:line="247" w:lineRule="auto"/>
        <w:ind w:left="117" w:right="115" w:firstLine="283"/>
        <w:jc w:val="both"/>
      </w:pPr>
      <w:r>
        <w:rPr>
          <w:color w:val="231F20"/>
        </w:rPr>
        <w:t>Hay algunos que se consideran como de mayor relevancia y tienen que ver con factores estructurales o proclives al cambio muy lentamente,</w:t>
      </w:r>
      <w:r>
        <w:rPr>
          <w:color w:val="231F20"/>
          <w:spacing w:val="-20"/>
        </w:rPr>
        <w:t> </w:t>
      </w:r>
      <w:r>
        <w:rPr>
          <w:color w:val="231F20"/>
        </w:rPr>
        <w:t>entre ellos los demográficos, los relativos a la elevada pobreza y problemas de empleo.</w:t>
      </w:r>
    </w:p>
    <w:p>
      <w:pPr>
        <w:pStyle w:val="BodyText"/>
        <w:spacing w:line="247" w:lineRule="auto"/>
        <w:ind w:left="117" w:right="114" w:firstLine="283"/>
        <w:jc w:val="both"/>
      </w:pPr>
      <w:r>
        <w:rPr>
          <w:color w:val="231F20"/>
        </w:rPr>
        <w:t>Otros factores que incluimos como coyunturales son aspectos relati- vos a crisis económicas, los efectos de desastres naturales, la violencia, la proliferación de maras, pandillas, narcotráfico y crimen organizado, crisis políticas, aparte de otros aspectos contextuales relativos a la migración como la recepción de remesas y la formación de culturas migratorias en el país de origen.</w:t>
      </w:r>
    </w:p>
    <w:p>
      <w:pPr>
        <w:pStyle w:val="BodyText"/>
        <w:spacing w:line="247" w:lineRule="auto"/>
        <w:ind w:left="117" w:right="114" w:firstLine="283"/>
        <w:jc w:val="both"/>
      </w:pPr>
      <w:r>
        <w:rPr>
          <w:color w:val="231F20"/>
        </w:rPr>
        <w:t>En los países receptores de la migración hondureña la crisis</w:t>
      </w:r>
      <w:r>
        <w:rPr>
          <w:color w:val="231F20"/>
          <w:spacing w:val="-23"/>
        </w:rPr>
        <w:t> </w:t>
      </w:r>
      <w:r>
        <w:rPr>
          <w:color w:val="231F20"/>
        </w:rPr>
        <w:t>económica internacional y sus efectos en esos países, las políticas migratorias restric- tivas</w:t>
      </w:r>
      <w:r>
        <w:rPr>
          <w:color w:val="231F20"/>
          <w:spacing w:val="-6"/>
        </w:rPr>
        <w:t> </w:t>
      </w:r>
      <w:r>
        <w:rPr>
          <w:color w:val="231F20"/>
        </w:rPr>
        <w:t>son</w:t>
      </w:r>
      <w:r>
        <w:rPr>
          <w:color w:val="231F20"/>
          <w:spacing w:val="-6"/>
        </w:rPr>
        <w:t> </w:t>
      </w:r>
      <w:r>
        <w:rPr>
          <w:color w:val="231F20"/>
        </w:rPr>
        <w:t>factores</w:t>
      </w:r>
      <w:r>
        <w:rPr>
          <w:color w:val="231F20"/>
          <w:spacing w:val="-6"/>
        </w:rPr>
        <w:t> </w:t>
      </w:r>
      <w:r>
        <w:rPr>
          <w:color w:val="231F20"/>
        </w:rPr>
        <w:t>contextuales</w:t>
      </w:r>
      <w:r>
        <w:rPr>
          <w:color w:val="231F20"/>
          <w:spacing w:val="-7"/>
        </w:rPr>
        <w:t> </w:t>
      </w:r>
      <w:r>
        <w:rPr>
          <w:color w:val="231F20"/>
        </w:rPr>
        <w:t>que</w:t>
      </w:r>
      <w:r>
        <w:rPr>
          <w:color w:val="231F20"/>
          <w:spacing w:val="-6"/>
        </w:rPr>
        <w:t> </w:t>
      </w:r>
      <w:r>
        <w:rPr>
          <w:color w:val="231F20"/>
        </w:rPr>
        <w:t>afectan</w:t>
      </w:r>
      <w:r>
        <w:rPr>
          <w:color w:val="231F20"/>
          <w:spacing w:val="-7"/>
        </w:rPr>
        <w:t> </w:t>
      </w:r>
      <w:r>
        <w:rPr>
          <w:color w:val="231F20"/>
        </w:rPr>
        <w:t>a</w:t>
      </w:r>
      <w:r>
        <w:rPr>
          <w:color w:val="231F20"/>
          <w:spacing w:val="-6"/>
        </w:rPr>
        <w:t> </w:t>
      </w:r>
      <w:r>
        <w:rPr>
          <w:color w:val="231F20"/>
        </w:rPr>
        <w:t>los</w:t>
      </w:r>
      <w:r>
        <w:rPr>
          <w:color w:val="231F20"/>
          <w:spacing w:val="-6"/>
        </w:rPr>
        <w:t> </w:t>
      </w:r>
      <w:r>
        <w:rPr>
          <w:color w:val="231F20"/>
        </w:rPr>
        <w:t>migrantes,</w:t>
      </w:r>
      <w:r>
        <w:rPr>
          <w:color w:val="231F20"/>
          <w:spacing w:val="-7"/>
        </w:rPr>
        <w:t> </w:t>
      </w:r>
      <w:r>
        <w:rPr>
          <w:color w:val="231F20"/>
        </w:rPr>
        <w:t>principalmente cuando tienen estatus</w:t>
      </w:r>
      <w:r>
        <w:rPr>
          <w:color w:val="231F20"/>
          <w:spacing w:val="-16"/>
        </w:rPr>
        <w:t> </w:t>
      </w:r>
      <w:r>
        <w:rPr>
          <w:color w:val="231F20"/>
        </w:rPr>
        <w:t>irregular.</w:t>
      </w:r>
    </w:p>
    <w:p>
      <w:pPr>
        <w:pStyle w:val="BodyText"/>
        <w:spacing w:line="247" w:lineRule="auto"/>
        <w:ind w:left="117" w:right="114" w:firstLine="283"/>
        <w:jc w:val="both"/>
      </w:pPr>
      <w:r>
        <w:rPr>
          <w:color w:val="231F20"/>
        </w:rPr>
        <w:t>En los países en tránsito, aparte de las dificultades de la travesía, los controles migratorios se endurecen y devuelven volúmenes significativos de</w:t>
      </w:r>
      <w:r>
        <w:rPr>
          <w:color w:val="231F20"/>
          <w:spacing w:val="-9"/>
        </w:rPr>
        <w:t> </w:t>
      </w:r>
      <w:r>
        <w:rPr>
          <w:color w:val="231F20"/>
        </w:rPr>
        <w:t>migrantes,</w:t>
      </w:r>
      <w:r>
        <w:rPr>
          <w:color w:val="231F20"/>
          <w:spacing w:val="-10"/>
        </w:rPr>
        <w:t> </w:t>
      </w:r>
      <w:r>
        <w:rPr>
          <w:color w:val="231F20"/>
        </w:rPr>
        <w:t>al</w:t>
      </w:r>
      <w:r>
        <w:rPr>
          <w:color w:val="231F20"/>
          <w:spacing w:val="-10"/>
        </w:rPr>
        <w:t> </w:t>
      </w:r>
      <w:r>
        <w:rPr>
          <w:color w:val="231F20"/>
        </w:rPr>
        <w:t>mismo</w:t>
      </w:r>
      <w:r>
        <w:rPr>
          <w:color w:val="231F20"/>
          <w:spacing w:val="-10"/>
        </w:rPr>
        <w:t> </w:t>
      </w:r>
      <w:r>
        <w:rPr>
          <w:color w:val="231F20"/>
        </w:rPr>
        <w:t>tiempo</w:t>
      </w:r>
      <w:r>
        <w:rPr>
          <w:color w:val="231F20"/>
          <w:spacing w:val="-10"/>
        </w:rPr>
        <w:t> </w:t>
      </w:r>
      <w:r>
        <w:rPr>
          <w:color w:val="231F20"/>
        </w:rPr>
        <w:t>que</w:t>
      </w:r>
      <w:r>
        <w:rPr>
          <w:color w:val="231F20"/>
          <w:spacing w:val="-9"/>
        </w:rPr>
        <w:t> </w:t>
      </w:r>
      <w:r>
        <w:rPr>
          <w:color w:val="231F20"/>
        </w:rPr>
        <w:t>son</w:t>
      </w:r>
      <w:r>
        <w:rPr>
          <w:color w:val="231F20"/>
          <w:spacing w:val="-9"/>
        </w:rPr>
        <w:t> </w:t>
      </w:r>
      <w:r>
        <w:rPr>
          <w:color w:val="231F20"/>
        </w:rPr>
        <w:t>vistos</w:t>
      </w:r>
      <w:r>
        <w:rPr>
          <w:color w:val="231F20"/>
          <w:spacing w:val="-9"/>
        </w:rPr>
        <w:t> </w:t>
      </w:r>
      <w:r>
        <w:rPr>
          <w:color w:val="231F20"/>
        </w:rPr>
        <w:t>como</w:t>
      </w:r>
      <w:r>
        <w:rPr>
          <w:color w:val="231F20"/>
          <w:spacing w:val="-10"/>
        </w:rPr>
        <w:t> </w:t>
      </w:r>
      <w:r>
        <w:rPr>
          <w:color w:val="231F20"/>
        </w:rPr>
        <w:t>fuente</w:t>
      </w:r>
      <w:r>
        <w:rPr>
          <w:color w:val="231F20"/>
          <w:spacing w:val="-10"/>
        </w:rPr>
        <w:t> </w:t>
      </w:r>
      <w:r>
        <w:rPr>
          <w:color w:val="231F20"/>
        </w:rPr>
        <w:t>de</w:t>
      </w:r>
      <w:r>
        <w:rPr>
          <w:color w:val="231F20"/>
          <w:spacing w:val="-9"/>
        </w:rPr>
        <w:t> </w:t>
      </w:r>
      <w:r>
        <w:rPr>
          <w:color w:val="231F20"/>
        </w:rPr>
        <w:t>lucro</w:t>
      </w:r>
      <w:r>
        <w:rPr>
          <w:color w:val="231F20"/>
          <w:spacing w:val="-10"/>
        </w:rPr>
        <w:t> </w:t>
      </w:r>
      <w:r>
        <w:rPr>
          <w:color w:val="231F20"/>
        </w:rPr>
        <w:t>de</w:t>
      </w:r>
      <w:r>
        <w:rPr>
          <w:color w:val="231F20"/>
          <w:spacing w:val="-9"/>
        </w:rPr>
        <w:t> </w:t>
      </w:r>
      <w:r>
        <w:rPr>
          <w:color w:val="231F20"/>
        </w:rPr>
        <w:t>gru- pos irregulares que irrespetan sus derechos fundamentales en esas tierras en su calidad de</w:t>
      </w:r>
      <w:r>
        <w:rPr>
          <w:color w:val="231F20"/>
          <w:spacing w:val="-3"/>
        </w:rPr>
        <w:t> </w:t>
      </w:r>
      <w:r>
        <w:rPr>
          <w:color w:val="231F20"/>
        </w:rPr>
        <w:t>extranjeros.</w:t>
      </w:r>
    </w:p>
    <w:p>
      <w:pPr>
        <w:spacing w:after="0" w:line="247" w:lineRule="auto"/>
        <w:jc w:val="both"/>
        <w:sectPr>
          <w:footerReference w:type="default" r:id="rId104"/>
          <w:pgSz w:w="9360" w:h="13040"/>
          <w:pgMar w:footer="496" w:header="0" w:top="740" w:bottom="680" w:left="1300" w:right="1300"/>
          <w:pgNumType w:start="121"/>
        </w:sectPr>
      </w:pPr>
    </w:p>
    <w:p>
      <w:pPr>
        <w:tabs>
          <w:tab w:pos="5536" w:val="left" w:leader="none"/>
        </w:tabs>
        <w:spacing w:before="48"/>
        <w:ind w:left="105" w:right="0" w:firstLine="0"/>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6"/>
        <w:rPr>
          <w:sz w:val="18"/>
        </w:rPr>
      </w:pPr>
    </w:p>
    <w:p>
      <w:pPr>
        <w:pStyle w:val="Heading3"/>
        <w:spacing w:before="0"/>
      </w:pPr>
      <w:r>
        <w:rPr>
          <w:color w:val="231F20"/>
        </w:rPr>
        <w:t>Recomendaciones</w:t>
      </w:r>
    </w:p>
    <w:p>
      <w:pPr>
        <w:pStyle w:val="BodyText"/>
        <w:spacing w:line="247" w:lineRule="auto" w:before="172"/>
        <w:ind w:left="117" w:right="114"/>
        <w:jc w:val="both"/>
      </w:pPr>
      <w:r>
        <w:rPr>
          <w:color w:val="231F20"/>
        </w:rPr>
        <w:t>Es necesaria la recolección, recopilación, registro y análisis de</w:t>
      </w:r>
      <w:r>
        <w:rPr>
          <w:color w:val="231F20"/>
          <w:spacing w:val="-38"/>
        </w:rPr>
        <w:t> </w:t>
      </w:r>
      <w:r>
        <w:rPr>
          <w:color w:val="231F20"/>
        </w:rPr>
        <w:t>estadísticas migratorias de los hondureños para tener un mejor conocimiento del fenó- meno,</w:t>
      </w:r>
      <w:r>
        <w:rPr>
          <w:color w:val="231F20"/>
          <w:spacing w:val="-6"/>
        </w:rPr>
        <w:t> </w:t>
      </w:r>
      <w:r>
        <w:rPr>
          <w:color w:val="231F20"/>
        </w:rPr>
        <w:t>no</w:t>
      </w:r>
      <w:r>
        <w:rPr>
          <w:color w:val="231F20"/>
          <w:spacing w:val="-6"/>
        </w:rPr>
        <w:t> </w:t>
      </w:r>
      <w:r>
        <w:rPr>
          <w:color w:val="231F20"/>
        </w:rPr>
        <w:t>sólo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país</w:t>
      </w:r>
      <w:r>
        <w:rPr>
          <w:color w:val="231F20"/>
          <w:spacing w:val="-6"/>
        </w:rPr>
        <w:t> </w:t>
      </w:r>
      <w:r>
        <w:rPr>
          <w:color w:val="231F20"/>
        </w:rPr>
        <w:t>de</w:t>
      </w:r>
      <w:r>
        <w:rPr>
          <w:color w:val="231F20"/>
          <w:spacing w:val="-6"/>
        </w:rPr>
        <w:t> </w:t>
      </w:r>
      <w:r>
        <w:rPr>
          <w:color w:val="231F20"/>
        </w:rPr>
        <w:t>origen,</w:t>
      </w:r>
      <w:r>
        <w:rPr>
          <w:color w:val="231F20"/>
          <w:spacing w:val="-6"/>
        </w:rPr>
        <w:t> </w:t>
      </w:r>
      <w:r>
        <w:rPr>
          <w:color w:val="231F20"/>
        </w:rPr>
        <w:t>sino</w:t>
      </w:r>
      <w:r>
        <w:rPr>
          <w:color w:val="231F20"/>
          <w:spacing w:val="-6"/>
        </w:rPr>
        <w:t> </w:t>
      </w:r>
      <w:r>
        <w:rPr>
          <w:color w:val="231F20"/>
        </w:rPr>
        <w:t>capturar</w:t>
      </w:r>
      <w:r>
        <w:rPr>
          <w:color w:val="231F20"/>
          <w:spacing w:val="-6"/>
        </w:rPr>
        <w:t> </w:t>
      </w:r>
      <w:r>
        <w:rPr>
          <w:color w:val="231F20"/>
        </w:rPr>
        <w:t>la</w:t>
      </w:r>
      <w:r>
        <w:rPr>
          <w:color w:val="231F20"/>
          <w:spacing w:val="-6"/>
        </w:rPr>
        <w:t> </w:t>
      </w:r>
      <w:r>
        <w:rPr>
          <w:color w:val="231F20"/>
        </w:rPr>
        <w:t>información</w:t>
      </w:r>
      <w:r>
        <w:rPr>
          <w:color w:val="231F20"/>
          <w:spacing w:val="-7"/>
        </w:rPr>
        <w:t> </w:t>
      </w:r>
      <w:r>
        <w:rPr>
          <w:color w:val="231F20"/>
        </w:rPr>
        <w:t>migratoria atinente en las instituciones pertinentes en los países de destino y de trán- sito</w:t>
      </w:r>
      <w:r>
        <w:rPr>
          <w:color w:val="231F20"/>
          <w:spacing w:val="-3"/>
        </w:rPr>
        <w:t> </w:t>
      </w:r>
      <w:r>
        <w:rPr>
          <w:color w:val="231F20"/>
        </w:rPr>
        <w:t>migratorio.</w:t>
      </w:r>
    </w:p>
    <w:p>
      <w:pPr>
        <w:pStyle w:val="BodyText"/>
        <w:spacing w:line="247" w:lineRule="auto"/>
        <w:ind w:left="117" w:right="115" w:firstLine="283"/>
        <w:jc w:val="both"/>
      </w:pPr>
      <w:r>
        <w:rPr>
          <w:color w:val="231F20"/>
        </w:rPr>
        <w:t>El fenómeno migratorio hondureño incluye una gama de factores</w:t>
      </w:r>
      <w:r>
        <w:rPr>
          <w:color w:val="231F20"/>
          <w:spacing w:val="-34"/>
        </w:rPr>
        <w:t> </w:t>
      </w:r>
      <w:r>
        <w:rPr>
          <w:color w:val="231F20"/>
        </w:rPr>
        <w:t>sobre los</w:t>
      </w:r>
      <w:r>
        <w:rPr>
          <w:color w:val="231F20"/>
          <w:spacing w:val="-7"/>
        </w:rPr>
        <w:t> </w:t>
      </w:r>
      <w:r>
        <w:rPr>
          <w:color w:val="231F20"/>
        </w:rPr>
        <w:t>cuales</w:t>
      </w:r>
      <w:r>
        <w:rPr>
          <w:color w:val="231F20"/>
          <w:spacing w:val="-7"/>
        </w:rPr>
        <w:t> </w:t>
      </w:r>
      <w:r>
        <w:rPr>
          <w:color w:val="231F20"/>
        </w:rPr>
        <w:t>hay</w:t>
      </w:r>
      <w:r>
        <w:rPr>
          <w:color w:val="231F20"/>
          <w:spacing w:val="-7"/>
        </w:rPr>
        <w:t> </w:t>
      </w:r>
      <w:r>
        <w:rPr>
          <w:color w:val="231F20"/>
        </w:rPr>
        <w:t>que</w:t>
      </w:r>
      <w:r>
        <w:rPr>
          <w:color w:val="231F20"/>
          <w:spacing w:val="-7"/>
        </w:rPr>
        <w:t> </w:t>
      </w:r>
      <w:r>
        <w:rPr>
          <w:color w:val="231F20"/>
        </w:rPr>
        <w:t>investigar</w:t>
      </w:r>
      <w:r>
        <w:rPr>
          <w:color w:val="231F20"/>
          <w:spacing w:val="-8"/>
        </w:rPr>
        <w:t> </w:t>
      </w:r>
      <w:r>
        <w:rPr>
          <w:color w:val="231F20"/>
        </w:rPr>
        <w:t>para</w:t>
      </w:r>
      <w:r>
        <w:rPr>
          <w:color w:val="231F20"/>
          <w:spacing w:val="-7"/>
        </w:rPr>
        <w:t> </w:t>
      </w:r>
      <w:r>
        <w:rPr>
          <w:color w:val="231F20"/>
        </w:rPr>
        <w:t>formular</w:t>
      </w:r>
      <w:r>
        <w:rPr>
          <w:color w:val="231F20"/>
          <w:spacing w:val="-7"/>
        </w:rPr>
        <w:t> </w:t>
      </w:r>
      <w:r>
        <w:rPr>
          <w:color w:val="231F20"/>
        </w:rPr>
        <w:t>políticas</w:t>
      </w:r>
      <w:r>
        <w:rPr>
          <w:color w:val="231F20"/>
          <w:spacing w:val="-7"/>
        </w:rPr>
        <w:t> </w:t>
      </w:r>
      <w:r>
        <w:rPr>
          <w:color w:val="231F20"/>
        </w:rPr>
        <w:t>que</w:t>
      </w:r>
      <w:r>
        <w:rPr>
          <w:color w:val="231F20"/>
          <w:spacing w:val="-7"/>
        </w:rPr>
        <w:t> </w:t>
      </w:r>
      <w:r>
        <w:rPr>
          <w:color w:val="231F20"/>
        </w:rPr>
        <w:t>coadyuven</w:t>
      </w:r>
      <w:r>
        <w:rPr>
          <w:color w:val="231F20"/>
          <w:spacing w:val="-7"/>
        </w:rPr>
        <w:t> </w:t>
      </w:r>
      <w:r>
        <w:rPr>
          <w:color w:val="231F20"/>
        </w:rPr>
        <w:t>a</w:t>
      </w:r>
      <w:r>
        <w:rPr>
          <w:color w:val="231F20"/>
          <w:spacing w:val="-7"/>
        </w:rPr>
        <w:t> </w:t>
      </w:r>
      <w:r>
        <w:rPr>
          <w:color w:val="231F20"/>
        </w:rPr>
        <w:t>ami- norar, encausar o mejorar los movimientos migratorios de manera segura. Hay</w:t>
      </w:r>
      <w:r>
        <w:rPr>
          <w:color w:val="231F20"/>
          <w:spacing w:val="-9"/>
        </w:rPr>
        <w:t> </w:t>
      </w:r>
      <w:r>
        <w:rPr>
          <w:color w:val="231F20"/>
        </w:rPr>
        <w:t>que</w:t>
      </w:r>
      <w:r>
        <w:rPr>
          <w:color w:val="231F20"/>
          <w:spacing w:val="-9"/>
        </w:rPr>
        <w:t> </w:t>
      </w:r>
      <w:r>
        <w:rPr>
          <w:color w:val="231F20"/>
        </w:rPr>
        <w:t>iniciar</w:t>
      </w:r>
      <w:r>
        <w:rPr>
          <w:color w:val="231F20"/>
          <w:spacing w:val="-9"/>
        </w:rPr>
        <w:t> </w:t>
      </w:r>
      <w:r>
        <w:rPr>
          <w:color w:val="231F20"/>
        </w:rPr>
        <w:t>con</w:t>
      </w:r>
      <w:r>
        <w:rPr>
          <w:color w:val="231F20"/>
          <w:spacing w:val="-9"/>
        </w:rPr>
        <w:t> </w:t>
      </w:r>
      <w:r>
        <w:rPr>
          <w:color w:val="231F20"/>
        </w:rPr>
        <w:t>las</w:t>
      </w:r>
      <w:r>
        <w:rPr>
          <w:color w:val="231F20"/>
          <w:spacing w:val="-9"/>
        </w:rPr>
        <w:t> </w:t>
      </w:r>
      <w:r>
        <w:rPr>
          <w:color w:val="231F20"/>
        </w:rPr>
        <w:t>investigaciones</w:t>
      </w:r>
      <w:r>
        <w:rPr>
          <w:color w:val="231F20"/>
          <w:spacing w:val="-10"/>
        </w:rPr>
        <w:t> </w:t>
      </w:r>
      <w:r>
        <w:rPr>
          <w:color w:val="231F20"/>
        </w:rPr>
        <w:t>descriptivas,</w:t>
      </w:r>
      <w:r>
        <w:rPr>
          <w:color w:val="231F20"/>
          <w:spacing w:val="-9"/>
        </w:rPr>
        <w:t> </w:t>
      </w:r>
      <w:r>
        <w:rPr>
          <w:color w:val="231F20"/>
        </w:rPr>
        <w:t>para</w:t>
      </w:r>
      <w:r>
        <w:rPr>
          <w:color w:val="231F20"/>
          <w:spacing w:val="-9"/>
        </w:rPr>
        <w:t> </w:t>
      </w:r>
      <w:r>
        <w:rPr>
          <w:color w:val="231F20"/>
        </w:rPr>
        <w:t>continuar</w:t>
      </w:r>
      <w:r>
        <w:rPr>
          <w:color w:val="231F20"/>
          <w:spacing w:val="-9"/>
        </w:rPr>
        <w:t> </w:t>
      </w:r>
      <w:r>
        <w:rPr>
          <w:color w:val="231F20"/>
        </w:rPr>
        <w:t>con</w:t>
      </w:r>
      <w:r>
        <w:rPr>
          <w:color w:val="231F20"/>
          <w:spacing w:val="-9"/>
        </w:rPr>
        <w:t> </w:t>
      </w:r>
      <w:r>
        <w:rPr>
          <w:color w:val="231F20"/>
        </w:rPr>
        <w:t>las explicativas, y la construcción de modelos que permitan probar científica- mente los factores de mayor influencia del</w:t>
      </w:r>
      <w:r>
        <w:rPr>
          <w:color w:val="231F20"/>
          <w:spacing w:val="-12"/>
        </w:rPr>
        <w:t> </w:t>
      </w:r>
      <w:r>
        <w:rPr>
          <w:color w:val="231F20"/>
        </w:rPr>
        <w:t>fenómeno.</w:t>
      </w:r>
    </w:p>
    <w:p>
      <w:pPr>
        <w:pStyle w:val="BodyText"/>
        <w:spacing w:line="247" w:lineRule="auto"/>
        <w:ind w:left="117" w:right="115" w:firstLine="283"/>
        <w:jc w:val="both"/>
      </w:pPr>
      <w:r>
        <w:rPr>
          <w:color w:val="231F20"/>
        </w:rPr>
        <w:t>La Academia podría brindar un gran aporte en la investigación, esta- bleciendo Centros, Unidades, Grupos Académicos u Observatorios que canalicen los esfuerzos de investigación y formación del tema alrededor del</w:t>
      </w:r>
      <w:r>
        <w:rPr>
          <w:color w:val="231F20"/>
          <w:spacing w:val="-5"/>
        </w:rPr>
        <w:t> </w:t>
      </w:r>
      <w:r>
        <w:rPr>
          <w:color w:val="231F20"/>
        </w:rPr>
        <w:t>cual</w:t>
      </w:r>
      <w:r>
        <w:rPr>
          <w:color w:val="231F20"/>
          <w:spacing w:val="-5"/>
        </w:rPr>
        <w:t> </w:t>
      </w:r>
      <w:r>
        <w:rPr>
          <w:color w:val="231F20"/>
        </w:rPr>
        <w:t>gire</w:t>
      </w:r>
      <w:r>
        <w:rPr>
          <w:color w:val="231F20"/>
          <w:spacing w:val="-5"/>
        </w:rPr>
        <w:t> </w:t>
      </w:r>
      <w:r>
        <w:rPr>
          <w:color w:val="231F20"/>
        </w:rPr>
        <w:t>una</w:t>
      </w:r>
      <w:r>
        <w:rPr>
          <w:color w:val="231F20"/>
          <w:spacing w:val="-5"/>
        </w:rPr>
        <w:t> </w:t>
      </w:r>
      <w:r>
        <w:rPr>
          <w:color w:val="231F20"/>
        </w:rPr>
        <w:t>masa</w:t>
      </w:r>
      <w:r>
        <w:rPr>
          <w:color w:val="231F20"/>
          <w:spacing w:val="-5"/>
        </w:rPr>
        <w:t> </w:t>
      </w:r>
      <w:r>
        <w:rPr>
          <w:color w:val="231F20"/>
        </w:rPr>
        <w:t>crítica</w:t>
      </w:r>
      <w:r>
        <w:rPr>
          <w:color w:val="231F20"/>
          <w:spacing w:val="-5"/>
        </w:rPr>
        <w:t> </w:t>
      </w:r>
      <w:r>
        <w:rPr>
          <w:color w:val="231F20"/>
        </w:rPr>
        <w:t>de</w:t>
      </w:r>
      <w:r>
        <w:rPr>
          <w:color w:val="231F20"/>
          <w:spacing w:val="-5"/>
        </w:rPr>
        <w:t> </w:t>
      </w:r>
      <w:r>
        <w:rPr>
          <w:color w:val="231F20"/>
        </w:rPr>
        <w:t>profesionales</w:t>
      </w:r>
      <w:r>
        <w:rPr>
          <w:color w:val="231F20"/>
          <w:spacing w:val="-5"/>
        </w:rPr>
        <w:t> </w:t>
      </w:r>
      <w:r>
        <w:rPr>
          <w:color w:val="231F20"/>
        </w:rPr>
        <w:t>que</w:t>
      </w:r>
      <w:r>
        <w:rPr>
          <w:color w:val="231F20"/>
          <w:spacing w:val="-5"/>
        </w:rPr>
        <w:t> </w:t>
      </w:r>
      <w:r>
        <w:rPr>
          <w:color w:val="231F20"/>
        </w:rPr>
        <w:t>produzcan</w:t>
      </w:r>
      <w:r>
        <w:rPr>
          <w:color w:val="231F20"/>
          <w:spacing w:val="-5"/>
        </w:rPr>
        <w:t> </w:t>
      </w:r>
      <w:r>
        <w:rPr>
          <w:color w:val="231F20"/>
        </w:rPr>
        <w:t>conocimien- tos científicos y formen nuevos cuadros. Un paso inicial será establecer el “Estado</w:t>
      </w:r>
      <w:r>
        <w:rPr>
          <w:color w:val="231F20"/>
          <w:spacing w:val="-7"/>
        </w:rPr>
        <w:t> </w:t>
      </w:r>
      <w:r>
        <w:rPr>
          <w:color w:val="231F20"/>
        </w:rPr>
        <w:t>del</w:t>
      </w:r>
      <w:r>
        <w:rPr>
          <w:color w:val="231F20"/>
          <w:spacing w:val="-18"/>
        </w:rPr>
        <w:t> </w:t>
      </w:r>
      <w:r>
        <w:rPr>
          <w:color w:val="231F20"/>
        </w:rPr>
        <w:t>Arte”</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conocimiento</w:t>
      </w:r>
      <w:r>
        <w:rPr>
          <w:color w:val="231F20"/>
          <w:spacing w:val="-7"/>
        </w:rPr>
        <w:t> </w:t>
      </w:r>
      <w:r>
        <w:rPr>
          <w:color w:val="231F20"/>
        </w:rPr>
        <w:t>migratorio</w:t>
      </w:r>
      <w:r>
        <w:rPr>
          <w:color w:val="231F20"/>
          <w:spacing w:val="-7"/>
        </w:rPr>
        <w:t> </w:t>
      </w:r>
      <w:r>
        <w:rPr>
          <w:color w:val="231F20"/>
        </w:rPr>
        <w:t>hondureño,</w:t>
      </w:r>
      <w:r>
        <w:rPr>
          <w:color w:val="231F20"/>
          <w:spacing w:val="-6"/>
        </w:rPr>
        <w:t> </w:t>
      </w:r>
      <w:r>
        <w:rPr>
          <w:color w:val="231F20"/>
        </w:rPr>
        <w:t>un</w:t>
      </w:r>
      <w:r>
        <w:rPr>
          <w:color w:val="231F20"/>
          <w:spacing w:val="-6"/>
        </w:rPr>
        <w:t> </w:t>
      </w:r>
      <w:r>
        <w:rPr>
          <w:color w:val="231F20"/>
        </w:rPr>
        <w:t>“Banco</w:t>
      </w:r>
      <w:r>
        <w:rPr>
          <w:color w:val="231F20"/>
          <w:spacing w:val="-7"/>
        </w:rPr>
        <w:t> </w:t>
      </w:r>
      <w:r>
        <w:rPr>
          <w:color w:val="231F20"/>
        </w:rPr>
        <w:t>de Datos” de la migración, “Inventario de Recursos Humanos” calificado en el país y las “Necesidades de Información”,</w:t>
      </w:r>
      <w:r>
        <w:rPr>
          <w:color w:val="231F20"/>
          <w:spacing w:val="-2"/>
        </w:rPr>
        <w:t> </w:t>
      </w:r>
      <w:r>
        <w:rPr>
          <w:color w:val="231F20"/>
        </w:rPr>
        <w:t>etc.</w:t>
      </w:r>
    </w:p>
    <w:p>
      <w:pPr>
        <w:pStyle w:val="BodyText"/>
        <w:spacing w:before="6"/>
        <w:rPr>
          <w:sz w:val="21"/>
        </w:rPr>
      </w:pPr>
    </w:p>
    <w:p>
      <w:pPr>
        <w:pStyle w:val="Heading3"/>
        <w:spacing w:before="0"/>
      </w:pPr>
      <w:r>
        <w:rPr>
          <w:color w:val="231F20"/>
        </w:rPr>
        <w:t>Bibliografía</w:t>
      </w:r>
    </w:p>
    <w:p>
      <w:pPr>
        <w:pStyle w:val="BodyText"/>
        <w:spacing w:before="2"/>
        <w:rPr>
          <w:b/>
          <w:sz w:val="21"/>
        </w:rPr>
      </w:pPr>
    </w:p>
    <w:p>
      <w:pPr>
        <w:spacing w:line="210" w:lineRule="exact" w:before="0"/>
        <w:ind w:left="117" w:right="115" w:firstLine="0"/>
        <w:jc w:val="both"/>
        <w:rPr>
          <w:sz w:val="20"/>
        </w:rPr>
      </w:pPr>
      <w:r>
        <w:rPr>
          <w:color w:val="231F20"/>
          <w:sz w:val="20"/>
        </w:rPr>
        <w:t>CALDERA, Hilda y Alfredo Landaverde, 2006, </w:t>
      </w:r>
      <w:r>
        <w:rPr>
          <w:i/>
          <w:color w:val="231F20"/>
          <w:sz w:val="20"/>
        </w:rPr>
        <w:t>Comportamiento reciente del </w:t>
      </w:r>
      <w:r>
        <w:rPr>
          <w:i/>
          <w:color w:val="231F20"/>
          <w:sz w:val="20"/>
        </w:rPr>
        <w:t>narcotráfico, el crimen organizado y maras en Honduras</w:t>
      </w:r>
      <w:r>
        <w:rPr>
          <w:color w:val="231F20"/>
          <w:sz w:val="20"/>
        </w:rPr>
        <w:t>, PNUD, Tegucigalpa.</w:t>
      </w:r>
    </w:p>
    <w:p>
      <w:pPr>
        <w:spacing w:line="210" w:lineRule="exact" w:before="113"/>
        <w:ind w:left="117" w:right="115" w:firstLine="0"/>
        <w:jc w:val="both"/>
        <w:rPr>
          <w:sz w:val="20"/>
        </w:rPr>
      </w:pPr>
      <w:r>
        <w:rPr>
          <w:color w:val="231F20"/>
          <w:sz w:val="20"/>
        </w:rPr>
        <w:t>BCH (Banco Central de Honduras), 2007, </w:t>
      </w:r>
      <w:r>
        <w:rPr>
          <w:i/>
          <w:color w:val="231F20"/>
          <w:sz w:val="20"/>
        </w:rPr>
        <w:t>El rostro de las remesas: su impacto y </w:t>
      </w:r>
      <w:r>
        <w:rPr>
          <w:i/>
          <w:color w:val="231F20"/>
          <w:sz w:val="20"/>
        </w:rPr>
        <w:t>sostenibilidad</w:t>
      </w:r>
      <w:r>
        <w:rPr>
          <w:color w:val="231F20"/>
          <w:sz w:val="20"/>
        </w:rPr>
        <w:t>, Tegucigalpa.</w:t>
      </w:r>
    </w:p>
    <w:p>
      <w:pPr>
        <w:spacing w:line="210" w:lineRule="exact" w:before="113"/>
        <w:ind w:left="117" w:right="115" w:firstLine="0"/>
        <w:jc w:val="both"/>
        <w:rPr>
          <w:sz w:val="20"/>
        </w:rPr>
      </w:pPr>
      <w:r>
        <w:rPr>
          <w:color w:val="231F20"/>
          <w:sz w:val="20"/>
        </w:rPr>
        <w:t>FLORES FONSECA, Manuel Antonio, 2009, “Migración y remesas en Olancho, Honduras” en </w:t>
      </w:r>
      <w:r>
        <w:rPr>
          <w:i/>
          <w:color w:val="231F20"/>
          <w:sz w:val="20"/>
        </w:rPr>
        <w:t>Temáticas migratorias actuales en américa latina: remesas, polí- </w:t>
      </w:r>
      <w:r>
        <w:rPr>
          <w:i/>
          <w:color w:val="231F20"/>
          <w:sz w:val="20"/>
        </w:rPr>
        <w:t>ticas y emigración</w:t>
      </w:r>
      <w:r>
        <w:rPr>
          <w:color w:val="231F20"/>
          <w:sz w:val="20"/>
        </w:rPr>
        <w:t>, 7, Asociación Latinoamericana de Población, ALAP, Río de Janeiro.</w:t>
      </w:r>
    </w:p>
    <w:p>
      <w:pPr>
        <w:spacing w:line="210" w:lineRule="exact" w:before="113"/>
        <w:ind w:left="117" w:right="115" w:firstLine="0"/>
        <w:jc w:val="both"/>
        <w:rPr>
          <w:sz w:val="20"/>
        </w:rPr>
      </w:pPr>
      <w:r>
        <w:rPr>
          <w:color w:val="231F20"/>
          <w:sz w:val="20"/>
        </w:rPr>
        <w:t>FLORES FONSECA, Manuel Antonio, 2010, “La medición censal de la migra- ción en Honduras” en </w:t>
      </w:r>
      <w:r>
        <w:rPr>
          <w:i/>
          <w:color w:val="231F20"/>
          <w:sz w:val="20"/>
        </w:rPr>
        <w:t>Notas de Población</w:t>
      </w:r>
      <w:r>
        <w:rPr>
          <w:color w:val="231F20"/>
          <w:sz w:val="20"/>
        </w:rPr>
        <w:t>, 88, CEPAL, Santiago.</w:t>
      </w:r>
    </w:p>
    <w:p>
      <w:pPr>
        <w:spacing w:line="210" w:lineRule="exact" w:before="113"/>
        <w:ind w:left="117" w:right="115" w:firstLine="0"/>
        <w:jc w:val="both"/>
        <w:rPr>
          <w:sz w:val="20"/>
        </w:rPr>
      </w:pPr>
      <w:r>
        <w:rPr>
          <w:color w:val="231F20"/>
          <w:sz w:val="20"/>
        </w:rPr>
        <w:t>FLORES FONSECA, Manuel Antonio, 2011, </w:t>
      </w:r>
      <w:r>
        <w:rPr>
          <w:i/>
          <w:color w:val="231F20"/>
          <w:sz w:val="20"/>
        </w:rPr>
        <w:t>Tendencias migratorias de la mi- </w:t>
      </w:r>
      <w:r>
        <w:rPr>
          <w:i/>
          <w:color w:val="231F20"/>
          <w:sz w:val="20"/>
        </w:rPr>
        <w:t>gración internacional de Honduras</w:t>
      </w:r>
      <w:r>
        <w:rPr>
          <w:color w:val="231F20"/>
          <w:sz w:val="20"/>
        </w:rPr>
        <w:t>, presentado en 3er. Coloquio de Migración Internacional, IIES-UNAH, San Cristóbal de las Casas, Chiapas.</w:t>
      </w:r>
    </w:p>
    <w:p>
      <w:pPr>
        <w:spacing w:line="210" w:lineRule="exact" w:before="113"/>
        <w:ind w:left="117" w:right="115" w:firstLine="0"/>
        <w:jc w:val="both"/>
        <w:rPr>
          <w:sz w:val="20"/>
        </w:rPr>
      </w:pPr>
      <w:r>
        <w:rPr>
          <w:color w:val="231F20"/>
          <w:sz w:val="20"/>
        </w:rPr>
        <w:t>FLORES FONSECA, Manuel Antonio, 2012, “Migración internacional reciente de Honduras”, en </w:t>
      </w:r>
      <w:r>
        <w:rPr>
          <w:i/>
          <w:color w:val="231F20"/>
          <w:sz w:val="20"/>
        </w:rPr>
        <w:t>Revista Población y Desarrollo, Caminantes y Argonautas, </w:t>
      </w:r>
      <w:r>
        <w:rPr>
          <w:color w:val="231F20"/>
          <w:sz w:val="20"/>
        </w:rPr>
        <w:t>8, MDS/PLATS-UNAH, Tegucigalpa.</w:t>
      </w:r>
    </w:p>
    <w:p>
      <w:pPr>
        <w:spacing w:after="0" w:line="210" w:lineRule="exact"/>
        <w:jc w:val="both"/>
        <w:rPr>
          <w:sz w:val="20"/>
        </w:rPr>
        <w:sectPr>
          <w:pgSz w:w="9360" w:h="13040"/>
          <w:pgMar w:header="0" w:footer="496" w:top="800" w:bottom="680" w:left="1300" w:right="1300"/>
        </w:sectPr>
      </w:pPr>
    </w:p>
    <w:p>
      <w:pPr>
        <w:spacing w:before="45"/>
        <w:ind w:left="117" w:right="117" w:firstLine="626"/>
        <w:jc w:val="left"/>
        <w:rPr>
          <w:rFonts w:ascii="Arial" w:hAnsi="Arial"/>
          <w:sz w:val="20"/>
        </w:rPr>
      </w:pPr>
      <w:r>
        <w:rPr>
          <w:rFonts w:ascii="Arial" w:hAnsi="Arial"/>
          <w:color w:val="231F20"/>
          <w:w w:val="65"/>
          <w:sz w:val="20"/>
        </w:rPr>
        <w:t>Factores contextuales de la migración internacional de    Honduras /Manuel Antonio Flores-Fonseca</w:t>
      </w:r>
    </w:p>
    <w:p>
      <w:pPr>
        <w:pStyle w:val="BodyText"/>
        <w:spacing w:before="1"/>
        <w:rPr>
          <w:rFonts w:ascii="Arial"/>
          <w:sz w:val="29"/>
        </w:rPr>
      </w:pPr>
    </w:p>
    <w:p>
      <w:pPr>
        <w:spacing w:line="210" w:lineRule="exact" w:before="0"/>
        <w:ind w:left="117" w:right="115" w:firstLine="0"/>
        <w:jc w:val="both"/>
        <w:rPr>
          <w:sz w:val="20"/>
        </w:rPr>
      </w:pPr>
      <w:r>
        <w:rPr>
          <w:color w:val="231F20"/>
          <w:sz w:val="20"/>
        </w:rPr>
        <w:t>FLORES,</w:t>
      </w:r>
      <w:r>
        <w:rPr>
          <w:color w:val="231F20"/>
          <w:spacing w:val="-13"/>
          <w:sz w:val="20"/>
        </w:rPr>
        <w:t> </w:t>
      </w:r>
      <w:r>
        <w:rPr>
          <w:color w:val="231F20"/>
          <w:sz w:val="20"/>
        </w:rPr>
        <w:t>Mariana,</w:t>
      </w:r>
      <w:r>
        <w:rPr>
          <w:color w:val="231F20"/>
          <w:spacing w:val="-13"/>
          <w:sz w:val="20"/>
        </w:rPr>
        <w:t> </w:t>
      </w:r>
      <w:r>
        <w:rPr>
          <w:color w:val="231F20"/>
          <w:sz w:val="20"/>
        </w:rPr>
        <w:t>2012,</w:t>
      </w:r>
      <w:r>
        <w:rPr>
          <w:color w:val="231F20"/>
          <w:spacing w:val="-14"/>
          <w:sz w:val="20"/>
        </w:rPr>
        <w:t> </w:t>
      </w:r>
      <w:r>
        <w:rPr>
          <w:i/>
          <w:color w:val="231F20"/>
          <w:sz w:val="20"/>
        </w:rPr>
        <w:t>Culturas</w:t>
      </w:r>
      <w:r>
        <w:rPr>
          <w:i/>
          <w:color w:val="231F20"/>
          <w:spacing w:val="-14"/>
          <w:sz w:val="20"/>
        </w:rPr>
        <w:t> </w:t>
      </w:r>
      <w:r>
        <w:rPr>
          <w:i/>
          <w:color w:val="231F20"/>
          <w:sz w:val="20"/>
        </w:rPr>
        <w:t>migratorias</w:t>
      </w:r>
      <w:r>
        <w:rPr>
          <w:i/>
          <w:color w:val="231F20"/>
          <w:spacing w:val="-13"/>
          <w:sz w:val="20"/>
        </w:rPr>
        <w:t> </w:t>
      </w:r>
      <w:r>
        <w:rPr>
          <w:i/>
          <w:color w:val="231F20"/>
          <w:sz w:val="20"/>
        </w:rPr>
        <w:t>en</w:t>
      </w:r>
      <w:r>
        <w:rPr>
          <w:i/>
          <w:color w:val="231F20"/>
          <w:spacing w:val="-14"/>
          <w:sz w:val="20"/>
        </w:rPr>
        <w:t> </w:t>
      </w:r>
      <w:r>
        <w:rPr>
          <w:i/>
          <w:color w:val="231F20"/>
          <w:sz w:val="20"/>
        </w:rPr>
        <w:t>Centroamérica.</w:t>
      </w:r>
      <w:r>
        <w:rPr>
          <w:i/>
          <w:color w:val="231F20"/>
          <w:spacing w:val="-14"/>
          <w:sz w:val="20"/>
        </w:rPr>
        <w:t> </w:t>
      </w:r>
      <w:r>
        <w:rPr>
          <w:i/>
          <w:color w:val="231F20"/>
          <w:sz w:val="20"/>
        </w:rPr>
        <w:t>Una</w:t>
      </w:r>
      <w:r>
        <w:rPr>
          <w:i/>
          <w:color w:val="231F20"/>
          <w:spacing w:val="-14"/>
          <w:sz w:val="20"/>
        </w:rPr>
        <w:t> </w:t>
      </w:r>
      <w:r>
        <w:rPr>
          <w:i/>
          <w:color w:val="231F20"/>
          <w:sz w:val="20"/>
        </w:rPr>
        <w:t>propuesta </w:t>
      </w:r>
      <w:r>
        <w:rPr>
          <w:i/>
          <w:color w:val="231F20"/>
          <w:sz w:val="20"/>
        </w:rPr>
        <w:t>teórica</w:t>
      </w:r>
      <w:r>
        <w:rPr>
          <w:color w:val="231F20"/>
          <w:sz w:val="20"/>
        </w:rPr>
        <w:t>,</w:t>
      </w:r>
      <w:r>
        <w:rPr>
          <w:color w:val="231F20"/>
          <w:spacing w:val="-10"/>
          <w:sz w:val="20"/>
        </w:rPr>
        <w:t> </w:t>
      </w:r>
      <w:r>
        <w:rPr>
          <w:color w:val="231F20"/>
          <w:sz w:val="20"/>
        </w:rPr>
        <w:t>Ponencia</w:t>
      </w:r>
      <w:r>
        <w:rPr>
          <w:color w:val="231F20"/>
          <w:spacing w:val="-10"/>
          <w:sz w:val="20"/>
        </w:rPr>
        <w:t> </w:t>
      </w:r>
      <w:r>
        <w:rPr>
          <w:color w:val="231F20"/>
          <w:sz w:val="20"/>
        </w:rPr>
        <w:t>presentada</w:t>
      </w:r>
      <w:r>
        <w:rPr>
          <w:color w:val="231F20"/>
          <w:spacing w:val="-10"/>
          <w:sz w:val="20"/>
        </w:rPr>
        <w:t> </w:t>
      </w:r>
      <w:r>
        <w:rPr>
          <w:color w:val="231F20"/>
          <w:sz w:val="20"/>
        </w:rPr>
        <w:t>en</w:t>
      </w:r>
      <w:r>
        <w:rPr>
          <w:color w:val="231F20"/>
          <w:spacing w:val="-10"/>
          <w:sz w:val="20"/>
        </w:rPr>
        <w:t> </w:t>
      </w:r>
      <w:r>
        <w:rPr>
          <w:color w:val="231F20"/>
          <w:sz w:val="20"/>
        </w:rPr>
        <w:t>el</w:t>
      </w:r>
      <w:r>
        <w:rPr>
          <w:color w:val="231F20"/>
          <w:spacing w:val="-10"/>
          <w:sz w:val="20"/>
        </w:rPr>
        <w:t> </w:t>
      </w:r>
      <w:r>
        <w:rPr>
          <w:i/>
          <w:color w:val="231F20"/>
          <w:sz w:val="20"/>
        </w:rPr>
        <w:t>XIII</w:t>
      </w:r>
      <w:r>
        <w:rPr>
          <w:i/>
          <w:color w:val="231F20"/>
          <w:spacing w:val="-10"/>
          <w:sz w:val="20"/>
        </w:rPr>
        <w:t> </w:t>
      </w:r>
      <w:r>
        <w:rPr>
          <w:i/>
          <w:color w:val="231F20"/>
          <w:sz w:val="20"/>
        </w:rPr>
        <w:t>Congreso</w:t>
      </w:r>
      <w:r>
        <w:rPr>
          <w:i/>
          <w:color w:val="231F20"/>
          <w:spacing w:val="-10"/>
          <w:sz w:val="20"/>
        </w:rPr>
        <w:t> </w:t>
      </w:r>
      <w:r>
        <w:rPr>
          <w:i/>
          <w:color w:val="231F20"/>
          <w:sz w:val="20"/>
        </w:rPr>
        <w:t>Centroamericano</w:t>
      </w:r>
      <w:r>
        <w:rPr>
          <w:i/>
          <w:color w:val="231F20"/>
          <w:spacing w:val="-10"/>
          <w:sz w:val="20"/>
        </w:rPr>
        <w:t> </w:t>
      </w:r>
      <w:r>
        <w:rPr>
          <w:i/>
          <w:color w:val="231F20"/>
          <w:sz w:val="20"/>
        </w:rPr>
        <w:t>de</w:t>
      </w:r>
      <w:r>
        <w:rPr>
          <w:i/>
          <w:color w:val="231F20"/>
          <w:spacing w:val="-10"/>
          <w:sz w:val="20"/>
        </w:rPr>
        <w:t> </w:t>
      </w:r>
      <w:r>
        <w:rPr>
          <w:i/>
          <w:color w:val="231F20"/>
          <w:sz w:val="20"/>
        </w:rPr>
        <w:t>Sociología</w:t>
      </w:r>
      <w:r>
        <w:rPr>
          <w:color w:val="231F20"/>
          <w:sz w:val="20"/>
        </w:rPr>
        <w:t>, Tegucigalpa.</w:t>
      </w:r>
    </w:p>
    <w:p>
      <w:pPr>
        <w:spacing w:line="210" w:lineRule="exact" w:before="113"/>
        <w:ind w:left="117" w:right="115" w:firstLine="0"/>
        <w:jc w:val="both"/>
        <w:rPr>
          <w:sz w:val="20"/>
        </w:rPr>
      </w:pPr>
      <w:r>
        <w:rPr>
          <w:color w:val="231F20"/>
          <w:sz w:val="20"/>
        </w:rPr>
        <w:t>HERNÁNDEZ JOSEPH, Daniel, 2008, “Política migratoria y de control fronteri- zo de Estados Unidos hacia México y Centroamérica”, en </w:t>
      </w:r>
      <w:r>
        <w:rPr>
          <w:i/>
          <w:color w:val="231F20"/>
          <w:sz w:val="20"/>
        </w:rPr>
        <w:t>Revista Enfoques</w:t>
      </w:r>
      <w:r>
        <w:rPr>
          <w:color w:val="231F20"/>
          <w:sz w:val="20"/>
        </w:rPr>
        <w:t>, año VI, núm. 8, primer semestre.</w:t>
      </w:r>
    </w:p>
    <w:p>
      <w:pPr>
        <w:spacing w:line="210" w:lineRule="exact" w:before="113"/>
        <w:ind w:left="117" w:right="115" w:firstLine="0"/>
        <w:jc w:val="both"/>
        <w:rPr>
          <w:sz w:val="20"/>
        </w:rPr>
      </w:pPr>
      <w:r>
        <w:rPr>
          <w:color w:val="231F20"/>
          <w:sz w:val="20"/>
        </w:rPr>
        <w:t>INE,</w:t>
      </w:r>
      <w:r>
        <w:rPr>
          <w:color w:val="231F20"/>
          <w:spacing w:val="-10"/>
          <w:sz w:val="20"/>
        </w:rPr>
        <w:t> </w:t>
      </w:r>
      <w:r>
        <w:rPr>
          <w:color w:val="231F20"/>
          <w:sz w:val="20"/>
        </w:rPr>
        <w:t>2011,</w:t>
      </w:r>
      <w:r>
        <w:rPr>
          <w:color w:val="231F20"/>
          <w:spacing w:val="-11"/>
          <w:sz w:val="20"/>
        </w:rPr>
        <w:t> </w:t>
      </w:r>
      <w:r>
        <w:rPr>
          <w:i/>
          <w:color w:val="231F20"/>
          <w:sz w:val="20"/>
        </w:rPr>
        <w:t>Comportamiento</w:t>
      </w:r>
      <w:r>
        <w:rPr>
          <w:i/>
          <w:color w:val="231F20"/>
          <w:spacing w:val="-10"/>
          <w:sz w:val="20"/>
        </w:rPr>
        <w:t> </w:t>
      </w:r>
      <w:r>
        <w:rPr>
          <w:i/>
          <w:color w:val="231F20"/>
          <w:sz w:val="20"/>
        </w:rPr>
        <w:t>de</w:t>
      </w:r>
      <w:r>
        <w:rPr>
          <w:i/>
          <w:color w:val="231F20"/>
          <w:spacing w:val="-10"/>
          <w:sz w:val="20"/>
        </w:rPr>
        <w:t> </w:t>
      </w:r>
      <w:r>
        <w:rPr>
          <w:i/>
          <w:color w:val="231F20"/>
          <w:sz w:val="20"/>
        </w:rPr>
        <w:t>la</w:t>
      </w:r>
      <w:r>
        <w:rPr>
          <w:i/>
          <w:color w:val="231F20"/>
          <w:spacing w:val="-11"/>
          <w:sz w:val="20"/>
        </w:rPr>
        <w:t> </w:t>
      </w:r>
      <w:r>
        <w:rPr>
          <w:i/>
          <w:color w:val="231F20"/>
          <w:sz w:val="20"/>
        </w:rPr>
        <w:t>migración</w:t>
      </w:r>
      <w:r>
        <w:rPr>
          <w:i/>
          <w:color w:val="231F20"/>
          <w:spacing w:val="-10"/>
          <w:sz w:val="20"/>
        </w:rPr>
        <w:t> </w:t>
      </w:r>
      <w:r>
        <w:rPr>
          <w:i/>
          <w:color w:val="231F20"/>
          <w:sz w:val="20"/>
        </w:rPr>
        <w:t>y</w:t>
      </w:r>
      <w:r>
        <w:rPr>
          <w:i/>
          <w:color w:val="231F20"/>
          <w:spacing w:val="-10"/>
          <w:sz w:val="20"/>
        </w:rPr>
        <w:t> </w:t>
      </w:r>
      <w:r>
        <w:rPr>
          <w:i/>
          <w:color w:val="231F20"/>
          <w:sz w:val="20"/>
        </w:rPr>
        <w:t>remesas</w:t>
      </w:r>
      <w:r>
        <w:rPr>
          <w:i/>
          <w:color w:val="231F20"/>
          <w:spacing w:val="-11"/>
          <w:sz w:val="20"/>
        </w:rPr>
        <w:t> </w:t>
      </w:r>
      <w:r>
        <w:rPr>
          <w:i/>
          <w:color w:val="231F20"/>
          <w:sz w:val="20"/>
        </w:rPr>
        <w:t>internacionales</w:t>
      </w:r>
      <w:r>
        <w:rPr>
          <w:i/>
          <w:color w:val="231F20"/>
          <w:spacing w:val="-10"/>
          <w:sz w:val="20"/>
        </w:rPr>
        <w:t> </w:t>
      </w:r>
      <w:r>
        <w:rPr>
          <w:i/>
          <w:color w:val="231F20"/>
          <w:sz w:val="20"/>
        </w:rPr>
        <w:t>2010</w:t>
      </w:r>
      <w:r>
        <w:rPr>
          <w:color w:val="231F20"/>
          <w:sz w:val="20"/>
        </w:rPr>
        <w:t>,</w:t>
      </w:r>
      <w:r>
        <w:rPr>
          <w:color w:val="231F20"/>
          <w:spacing w:val="-10"/>
          <w:sz w:val="20"/>
        </w:rPr>
        <w:t> </w:t>
      </w:r>
      <w:r>
        <w:rPr>
          <w:color w:val="231F20"/>
          <w:sz w:val="20"/>
        </w:rPr>
        <w:t>Ins- tituto Nacional de Estadística (INE),</w:t>
      </w:r>
      <w:r>
        <w:rPr>
          <w:color w:val="231F20"/>
          <w:spacing w:val="-28"/>
          <w:sz w:val="20"/>
        </w:rPr>
        <w:t> </w:t>
      </w:r>
      <w:r>
        <w:rPr>
          <w:color w:val="231F20"/>
          <w:sz w:val="20"/>
        </w:rPr>
        <w:t>Tegucigalpa.</w:t>
      </w:r>
    </w:p>
    <w:p>
      <w:pPr>
        <w:spacing w:line="210" w:lineRule="exact" w:before="113"/>
        <w:ind w:left="117" w:right="115" w:firstLine="0"/>
        <w:jc w:val="both"/>
        <w:rPr>
          <w:sz w:val="20"/>
        </w:rPr>
      </w:pPr>
      <w:r>
        <w:rPr>
          <w:color w:val="231F20"/>
          <w:sz w:val="20"/>
        </w:rPr>
        <w:t>KLEIN, Emilio, 2011, </w:t>
      </w:r>
      <w:r>
        <w:rPr>
          <w:i/>
          <w:color w:val="231F20"/>
          <w:sz w:val="20"/>
        </w:rPr>
        <w:t>Consideraciones para definir una política de empleo para </w:t>
      </w:r>
      <w:r>
        <w:rPr>
          <w:i/>
          <w:color w:val="231F20"/>
          <w:sz w:val="20"/>
        </w:rPr>
        <w:t>disminuir la pobreza en Honduras</w:t>
      </w:r>
      <w:r>
        <w:rPr>
          <w:color w:val="231F20"/>
          <w:sz w:val="20"/>
        </w:rPr>
        <w:t>, Ministerio de Trabajo y Previsión Social, Te- gucigalpa.</w:t>
      </w:r>
    </w:p>
    <w:p>
      <w:pPr>
        <w:spacing w:line="210" w:lineRule="exact" w:before="113"/>
        <w:ind w:left="117" w:right="115" w:firstLine="0"/>
        <w:jc w:val="both"/>
        <w:rPr>
          <w:sz w:val="20"/>
        </w:rPr>
      </w:pPr>
      <w:r>
        <w:rPr>
          <w:color w:val="231F20"/>
          <w:sz w:val="20"/>
        </w:rPr>
        <w:t>LA TRIBUNA, 2012, </w:t>
      </w:r>
      <w:r>
        <w:rPr>
          <w:i/>
          <w:color w:val="231F20"/>
          <w:sz w:val="20"/>
        </w:rPr>
        <w:t>90% de los hondureños tiene poca o nula confianza en los </w:t>
      </w:r>
      <w:r>
        <w:rPr>
          <w:i/>
          <w:color w:val="231F20"/>
          <w:sz w:val="20"/>
        </w:rPr>
        <w:t>demás</w:t>
      </w:r>
      <w:r>
        <w:rPr>
          <w:color w:val="231F20"/>
          <w:sz w:val="20"/>
        </w:rPr>
        <w:t>, 19 de abril, Honduras.</w:t>
      </w:r>
    </w:p>
    <w:p>
      <w:pPr>
        <w:spacing w:line="210" w:lineRule="exact" w:before="113"/>
        <w:ind w:left="117" w:right="115" w:firstLine="0"/>
        <w:jc w:val="both"/>
        <w:rPr>
          <w:sz w:val="20"/>
        </w:rPr>
      </w:pPr>
      <w:r>
        <w:rPr>
          <w:color w:val="231F20"/>
          <w:sz w:val="20"/>
        </w:rPr>
        <w:t>OEA, 2011a, </w:t>
      </w:r>
      <w:r>
        <w:rPr>
          <w:i/>
          <w:color w:val="231F20"/>
          <w:sz w:val="20"/>
        </w:rPr>
        <w:t>Migración internacional en las Américas</w:t>
      </w:r>
      <w:r>
        <w:rPr>
          <w:color w:val="231F20"/>
          <w:sz w:val="20"/>
        </w:rPr>
        <w:t>, primer informe del siste- ma continuo de reportes de migración internacional en las Américas” (SICREMI 2011), Washington.</w:t>
      </w:r>
    </w:p>
    <w:p>
      <w:pPr>
        <w:spacing w:line="210" w:lineRule="exact" w:before="113"/>
        <w:ind w:left="117" w:right="116" w:firstLine="0"/>
        <w:jc w:val="both"/>
        <w:rPr>
          <w:sz w:val="20"/>
        </w:rPr>
      </w:pPr>
      <w:r>
        <w:rPr>
          <w:color w:val="231F20"/>
          <w:sz w:val="20"/>
        </w:rPr>
        <w:t>OEA (Organización de Estados Americanos), 2011b, </w:t>
      </w:r>
      <w:r>
        <w:rPr>
          <w:i/>
          <w:color w:val="231F20"/>
          <w:sz w:val="20"/>
        </w:rPr>
        <w:t>El informe sobre seguridad </w:t>
      </w:r>
      <w:r>
        <w:rPr>
          <w:i/>
          <w:color w:val="231F20"/>
          <w:sz w:val="20"/>
        </w:rPr>
        <w:t>ciudadana en las Américas 2011</w:t>
      </w:r>
      <w:r>
        <w:rPr>
          <w:color w:val="231F20"/>
          <w:sz w:val="20"/>
        </w:rPr>
        <w:t>, Washington.</w:t>
      </w:r>
    </w:p>
    <w:p>
      <w:pPr>
        <w:spacing w:line="210" w:lineRule="exact" w:before="113"/>
        <w:ind w:left="117" w:right="115" w:firstLine="0"/>
        <w:jc w:val="both"/>
        <w:rPr>
          <w:sz w:val="20"/>
        </w:rPr>
      </w:pPr>
      <w:r>
        <w:rPr>
          <w:color w:val="231F20"/>
          <w:spacing w:val="-3"/>
          <w:sz w:val="20"/>
        </w:rPr>
        <w:t>UNAH-IUDPAS,</w:t>
      </w:r>
      <w:r>
        <w:rPr>
          <w:color w:val="231F20"/>
          <w:spacing w:val="-6"/>
          <w:sz w:val="20"/>
        </w:rPr>
        <w:t> </w:t>
      </w:r>
      <w:r>
        <w:rPr>
          <w:color w:val="231F20"/>
          <w:sz w:val="20"/>
        </w:rPr>
        <w:t>2012,</w:t>
      </w:r>
      <w:r>
        <w:rPr>
          <w:color w:val="231F20"/>
          <w:spacing w:val="-6"/>
          <w:sz w:val="20"/>
        </w:rPr>
        <w:t> </w:t>
      </w:r>
      <w:r>
        <w:rPr>
          <w:color w:val="231F20"/>
          <w:sz w:val="20"/>
        </w:rPr>
        <w:t>“Observatorio</w:t>
      </w:r>
      <w:r>
        <w:rPr>
          <w:color w:val="231F20"/>
          <w:spacing w:val="-7"/>
          <w:sz w:val="20"/>
        </w:rPr>
        <w:t> </w:t>
      </w:r>
      <w:r>
        <w:rPr>
          <w:color w:val="231F20"/>
          <w:sz w:val="20"/>
        </w:rPr>
        <w:t>de</w:t>
      </w:r>
      <w:r>
        <w:rPr>
          <w:color w:val="231F20"/>
          <w:spacing w:val="-6"/>
          <w:sz w:val="20"/>
        </w:rPr>
        <w:t> </w:t>
      </w:r>
      <w:r>
        <w:rPr>
          <w:color w:val="231F20"/>
          <w:sz w:val="20"/>
        </w:rPr>
        <w:t>la</w:t>
      </w:r>
      <w:r>
        <w:rPr>
          <w:color w:val="231F20"/>
          <w:spacing w:val="-7"/>
          <w:sz w:val="20"/>
        </w:rPr>
        <w:t> </w:t>
      </w:r>
      <w:r>
        <w:rPr>
          <w:color w:val="231F20"/>
          <w:sz w:val="20"/>
        </w:rPr>
        <w:t>violencia,</w:t>
      </w:r>
      <w:r>
        <w:rPr>
          <w:color w:val="231F20"/>
          <w:spacing w:val="-6"/>
          <w:sz w:val="20"/>
        </w:rPr>
        <w:t> </w:t>
      </w:r>
      <w:r>
        <w:rPr>
          <w:color w:val="231F20"/>
          <w:sz w:val="20"/>
        </w:rPr>
        <w:t>mortalidad</w:t>
      </w:r>
      <w:r>
        <w:rPr>
          <w:color w:val="231F20"/>
          <w:spacing w:val="-7"/>
          <w:sz w:val="20"/>
        </w:rPr>
        <w:t> </w:t>
      </w:r>
      <w:r>
        <w:rPr>
          <w:color w:val="231F20"/>
          <w:sz w:val="20"/>
        </w:rPr>
        <w:t>y</w:t>
      </w:r>
      <w:r>
        <w:rPr>
          <w:color w:val="231F20"/>
          <w:spacing w:val="-6"/>
          <w:sz w:val="20"/>
        </w:rPr>
        <w:t> </w:t>
      </w:r>
      <w:r>
        <w:rPr>
          <w:color w:val="231F20"/>
          <w:sz w:val="20"/>
        </w:rPr>
        <w:t>otros”,</w:t>
      </w:r>
      <w:r>
        <w:rPr>
          <w:color w:val="231F20"/>
          <w:spacing w:val="-6"/>
          <w:sz w:val="20"/>
        </w:rPr>
        <w:t> </w:t>
      </w:r>
      <w:r>
        <w:rPr>
          <w:color w:val="231F20"/>
          <w:sz w:val="20"/>
        </w:rPr>
        <w:t>en</w:t>
      </w:r>
      <w:r>
        <w:rPr>
          <w:color w:val="231F20"/>
          <w:spacing w:val="-7"/>
          <w:sz w:val="20"/>
        </w:rPr>
        <w:t> </w:t>
      </w:r>
      <w:r>
        <w:rPr>
          <w:i/>
          <w:color w:val="231F20"/>
          <w:sz w:val="20"/>
        </w:rPr>
        <w:t>Bo- </w:t>
      </w:r>
      <w:r>
        <w:rPr>
          <w:i/>
          <w:color w:val="231F20"/>
          <w:sz w:val="20"/>
        </w:rPr>
        <w:t>letín, </w:t>
      </w:r>
      <w:r>
        <w:rPr>
          <w:color w:val="231F20"/>
          <w:sz w:val="20"/>
        </w:rPr>
        <w:t>núm. 24, marzo, </w:t>
      </w:r>
      <w:r>
        <w:rPr>
          <w:color w:val="231F20"/>
          <w:spacing w:val="-3"/>
          <w:sz w:val="20"/>
        </w:rPr>
        <w:t>IUDPAS,</w:t>
      </w:r>
      <w:r>
        <w:rPr>
          <w:color w:val="231F20"/>
          <w:spacing w:val="-20"/>
          <w:sz w:val="20"/>
        </w:rPr>
        <w:t> </w:t>
      </w:r>
      <w:r>
        <w:rPr>
          <w:color w:val="231F20"/>
          <w:sz w:val="20"/>
        </w:rPr>
        <w:t>Tegucigalpa.</w:t>
      </w:r>
    </w:p>
    <w:p>
      <w:pPr>
        <w:spacing w:line="210" w:lineRule="exact" w:before="113"/>
        <w:ind w:left="117" w:right="115" w:firstLine="0"/>
        <w:jc w:val="both"/>
        <w:rPr>
          <w:sz w:val="20"/>
        </w:rPr>
      </w:pPr>
      <w:r>
        <w:rPr>
          <w:color w:val="231F20"/>
          <w:sz w:val="20"/>
        </w:rPr>
        <w:t>WORLD BANK, 2009, </w:t>
      </w:r>
      <w:r>
        <w:rPr>
          <w:i/>
          <w:color w:val="231F20"/>
          <w:sz w:val="20"/>
        </w:rPr>
        <w:t>El corredor de remesas Estados Unidos-Honduras. Ac- </w:t>
      </w:r>
      <w:r>
        <w:rPr>
          <w:i/>
          <w:color w:val="231F20"/>
          <w:sz w:val="20"/>
        </w:rPr>
        <w:t>tuando sobre oportunidades de incrementar la inclusión financiera y fomento al desarrollo de una economía transnacional</w:t>
      </w:r>
      <w:r>
        <w:rPr>
          <w:color w:val="231F20"/>
          <w:sz w:val="20"/>
        </w:rPr>
        <w:t>, World Bank-GTZ.</w:t>
      </w:r>
    </w:p>
    <w:p>
      <w:pPr>
        <w:spacing w:line="210" w:lineRule="exact" w:before="113"/>
        <w:ind w:left="117" w:right="115" w:firstLine="0"/>
        <w:jc w:val="both"/>
        <w:rPr>
          <w:sz w:val="20"/>
        </w:rPr>
      </w:pPr>
      <w:r>
        <w:rPr>
          <w:color w:val="231F20"/>
          <w:sz w:val="20"/>
        </w:rPr>
        <w:t>WORLD BANK, 2011, </w:t>
      </w:r>
      <w:r>
        <w:rPr>
          <w:i/>
          <w:color w:val="231F20"/>
          <w:sz w:val="20"/>
        </w:rPr>
        <w:t>Migration and remittances factbook 2011, Washington</w:t>
      </w:r>
      <w:r>
        <w:rPr>
          <w:color w:val="231F20"/>
          <w:sz w:val="20"/>
        </w:rPr>
        <w:t>, The International Bank for Reconstrucction and Development/The World Bank.</w:t>
      </w:r>
    </w:p>
    <w:p>
      <w:pPr>
        <w:spacing w:after="0" w:line="210" w:lineRule="exact"/>
        <w:jc w:val="both"/>
        <w:rPr>
          <w:sz w:val="20"/>
        </w:rPr>
        <w:sectPr>
          <w:pgSz w:w="9360" w:h="13040"/>
          <w:pgMar w:header="0" w:footer="496" w:top="740" w:bottom="680" w:left="1300" w:right="1300"/>
        </w:sectPr>
      </w:pPr>
    </w:p>
    <w:p>
      <w:pPr>
        <w:tabs>
          <w:tab w:pos="5536" w:val="left" w:leader="none"/>
        </w:tabs>
        <w:spacing w:before="48"/>
        <w:ind w:left="105" w:right="0" w:firstLine="0"/>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spacing w:before="1"/>
        <w:ind w:left="105" w:right="0" w:firstLine="0"/>
        <w:jc w:val="both"/>
        <w:rPr>
          <w:i/>
          <w:sz w:val="22"/>
        </w:rPr>
      </w:pPr>
      <w:r>
        <w:rPr>
          <w:i/>
          <w:color w:val="231F20"/>
          <w:sz w:val="22"/>
        </w:rPr>
        <w:t>Manuel Antonio Flores-Fonseca</w:t>
      </w:r>
    </w:p>
    <w:p>
      <w:pPr>
        <w:pStyle w:val="BodyText"/>
        <w:spacing w:before="2"/>
        <w:rPr>
          <w:i/>
          <w:sz w:val="23"/>
        </w:rPr>
      </w:pPr>
    </w:p>
    <w:p>
      <w:pPr>
        <w:pStyle w:val="BodyText"/>
        <w:spacing w:line="247" w:lineRule="auto"/>
        <w:ind w:left="105" w:right="114"/>
        <w:jc w:val="both"/>
      </w:pPr>
      <w:r>
        <w:rPr>
          <w:color w:val="231F20"/>
        </w:rPr>
        <w:t>Maestro</w:t>
      </w:r>
      <w:r>
        <w:rPr>
          <w:color w:val="231F20"/>
          <w:spacing w:val="-11"/>
        </w:rPr>
        <w:t> </w:t>
      </w:r>
      <w:r>
        <w:rPr>
          <w:color w:val="231F20"/>
        </w:rPr>
        <w:t>en</w:t>
      </w:r>
      <w:r>
        <w:rPr>
          <w:color w:val="231F20"/>
          <w:spacing w:val="-11"/>
        </w:rPr>
        <w:t> </w:t>
      </w:r>
      <w:r>
        <w:rPr>
          <w:color w:val="231F20"/>
        </w:rPr>
        <w:t>Población</w:t>
      </w:r>
      <w:r>
        <w:rPr>
          <w:color w:val="231F20"/>
          <w:spacing w:val="-10"/>
        </w:rPr>
        <w:t> </w:t>
      </w:r>
      <w:r>
        <w:rPr>
          <w:color w:val="231F20"/>
        </w:rPr>
        <w:t>y</w:t>
      </w:r>
      <w:r>
        <w:rPr>
          <w:color w:val="231F20"/>
          <w:spacing w:val="-11"/>
        </w:rPr>
        <w:t> </w:t>
      </w:r>
      <w:r>
        <w:rPr>
          <w:color w:val="231F20"/>
        </w:rPr>
        <w:t>Desarrollo</w:t>
      </w:r>
      <w:r>
        <w:rPr>
          <w:color w:val="231F20"/>
          <w:spacing w:val="-10"/>
        </w:rPr>
        <w:t> </w:t>
      </w:r>
      <w:r>
        <w:rPr>
          <w:color w:val="231F20"/>
        </w:rPr>
        <w:t>por</w:t>
      </w:r>
      <w:r>
        <w:rPr>
          <w:color w:val="231F20"/>
          <w:spacing w:val="-11"/>
        </w:rPr>
        <w:t> </w:t>
      </w:r>
      <w:r>
        <w:rPr>
          <w:color w:val="231F20"/>
        </w:rPr>
        <w:t>la</w:t>
      </w:r>
      <w:r>
        <w:rPr>
          <w:color w:val="231F20"/>
          <w:spacing w:val="-11"/>
        </w:rPr>
        <w:t> </w:t>
      </w:r>
      <w:r>
        <w:rPr>
          <w:color w:val="231F20"/>
        </w:rPr>
        <w:t>Universidad</w:t>
      </w:r>
      <w:r>
        <w:rPr>
          <w:color w:val="231F20"/>
          <w:spacing w:val="-10"/>
        </w:rPr>
        <w:t> </w:t>
      </w:r>
      <w:r>
        <w:rPr>
          <w:color w:val="231F20"/>
        </w:rPr>
        <w:t>Nacional</w:t>
      </w:r>
      <w:r>
        <w:rPr>
          <w:color w:val="231F20"/>
          <w:spacing w:val="-22"/>
        </w:rPr>
        <w:t> </w:t>
      </w:r>
      <w:r>
        <w:rPr>
          <w:color w:val="231F20"/>
        </w:rPr>
        <w:t>Autónoma de Honduras. Es investigador en el Instituto de Investigaciones Económi- cas y Sociales de la Facultad de Ciencias Económicas y profesor de la Maestría en Demografía y Desarrollo de la Facultad de Ciencias Sociales de la Universidad Nacional Autónoma de Honduras, en donde imparte la materia </w:t>
      </w:r>
      <w:r>
        <w:rPr>
          <w:color w:val="231F20"/>
          <w:spacing w:val="-3"/>
        </w:rPr>
        <w:t>Taller </w:t>
      </w:r>
      <w:r>
        <w:rPr>
          <w:color w:val="231F20"/>
        </w:rPr>
        <w:t>de investigación. Entre sus últimas publicaciones destacan “Tendencias Migratorias Internacionales de Honduras”, en el núm. 2 de la revista </w:t>
      </w:r>
      <w:r>
        <w:rPr>
          <w:i/>
          <w:color w:val="231F20"/>
        </w:rPr>
        <w:t>Economía y Administración</w:t>
      </w:r>
      <w:r>
        <w:rPr>
          <w:color w:val="231F20"/>
        </w:rPr>
        <w:t>, 2012; “La investigación de las Cien- cias Económicas, Administrativas y Contables en la Educación Superior de Honduras”, en el núm. 2 de la revista </w:t>
      </w:r>
      <w:r>
        <w:rPr>
          <w:i/>
          <w:color w:val="231F20"/>
        </w:rPr>
        <w:t>Economía y Administración </w:t>
      </w:r>
      <w:r>
        <w:rPr>
          <w:color w:val="231F20"/>
        </w:rPr>
        <w:t>y “Migración</w:t>
      </w:r>
      <w:r>
        <w:rPr>
          <w:color w:val="231F20"/>
          <w:spacing w:val="-12"/>
        </w:rPr>
        <w:t> </w:t>
      </w:r>
      <w:r>
        <w:rPr>
          <w:color w:val="231F20"/>
        </w:rPr>
        <w:t>Internacional</w:t>
      </w:r>
      <w:r>
        <w:rPr>
          <w:color w:val="231F20"/>
          <w:spacing w:val="-11"/>
        </w:rPr>
        <w:t> </w:t>
      </w:r>
      <w:r>
        <w:rPr>
          <w:color w:val="231F20"/>
        </w:rPr>
        <w:t>Reciente</w:t>
      </w:r>
      <w:r>
        <w:rPr>
          <w:color w:val="231F20"/>
          <w:spacing w:val="-11"/>
        </w:rPr>
        <w:t> </w:t>
      </w:r>
      <w:r>
        <w:rPr>
          <w:color w:val="231F20"/>
        </w:rPr>
        <w:t>de</w:t>
      </w:r>
      <w:r>
        <w:rPr>
          <w:color w:val="231F20"/>
          <w:spacing w:val="-11"/>
        </w:rPr>
        <w:t> </w:t>
      </w:r>
      <w:r>
        <w:rPr>
          <w:color w:val="231F20"/>
        </w:rPr>
        <w:t>Honduras”,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vol.</w:t>
      </w:r>
      <w:r>
        <w:rPr>
          <w:color w:val="231F20"/>
          <w:spacing w:val="-11"/>
        </w:rPr>
        <w:t> </w:t>
      </w:r>
      <w:r>
        <w:rPr>
          <w:color w:val="231F20"/>
        </w:rPr>
        <w:t>8</w:t>
      </w:r>
      <w:r>
        <w:rPr>
          <w:color w:val="231F20"/>
          <w:spacing w:val="-11"/>
        </w:rPr>
        <w:t> </w:t>
      </w:r>
      <w:r>
        <w:rPr>
          <w:color w:val="231F20"/>
        </w:rPr>
        <w:t>de</w:t>
      </w:r>
      <w:r>
        <w:rPr>
          <w:color w:val="231F20"/>
          <w:spacing w:val="-11"/>
        </w:rPr>
        <w:t> </w:t>
      </w:r>
      <w:r>
        <w:rPr>
          <w:color w:val="231F20"/>
        </w:rPr>
        <w:t>la</w:t>
      </w:r>
      <w:r>
        <w:rPr>
          <w:color w:val="231F20"/>
          <w:spacing w:val="33"/>
        </w:rPr>
        <w:t> </w:t>
      </w:r>
      <w:r>
        <w:rPr>
          <w:i/>
          <w:color w:val="231F20"/>
        </w:rPr>
        <w:t>Revista </w:t>
      </w:r>
      <w:r>
        <w:rPr>
          <w:i/>
          <w:color w:val="231F20"/>
        </w:rPr>
        <w:t>Población y Desarrollo: Argonautas y Caminantes</w:t>
      </w:r>
      <w:r>
        <w:rPr>
          <w:color w:val="231F20"/>
        </w:rPr>
        <w:t>,</w:t>
      </w:r>
      <w:r>
        <w:rPr>
          <w:color w:val="231F20"/>
          <w:spacing w:val="-29"/>
        </w:rPr>
        <w:t> </w:t>
      </w:r>
      <w:r>
        <w:rPr>
          <w:color w:val="231F20"/>
        </w:rPr>
        <w:t>2012.</w:t>
      </w:r>
    </w:p>
    <w:p>
      <w:pPr>
        <w:pStyle w:val="BodyText"/>
        <w:spacing w:before="6"/>
      </w:pPr>
    </w:p>
    <w:p>
      <w:pPr>
        <w:pStyle w:val="BodyText"/>
        <w:ind w:left="105"/>
        <w:jc w:val="both"/>
      </w:pPr>
      <w:r>
        <w:rPr>
          <w:color w:val="231F20"/>
        </w:rPr>
        <w:t>Correo electrónico: </w:t>
      </w:r>
      <w:hyperlink r:id="rId105">
        <w:r>
          <w:rPr>
            <w:color w:val="231F20"/>
          </w:rPr>
          <w:t>mflores@iies-unah.org,</w:t>
        </w:r>
      </w:hyperlink>
      <w:r>
        <w:rPr>
          <w:color w:val="231F20"/>
        </w:rPr>
        <w:t> </w:t>
      </w:r>
      <w:hyperlink r:id="rId106">
        <w:r>
          <w:rPr>
            <w:color w:val="231F20"/>
          </w:rPr>
          <w:t>manuel.flores@unah.edu.hn</w:t>
        </w:r>
      </w:hyperlink>
    </w:p>
    <w:p>
      <w:pPr>
        <w:spacing w:after="0"/>
        <w:jc w:val="both"/>
        <w:sectPr>
          <w:pgSz w:w="9360" w:h="13040"/>
          <w:pgMar w:header="0" w:footer="496" w:top="800" w:bottom="680" w:left="1300" w:right="1300"/>
        </w:sectPr>
      </w:pPr>
    </w:p>
    <w:p>
      <w:pPr>
        <w:pStyle w:val="BodyText"/>
        <w:ind w:left="107"/>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spacing w:line="370" w:lineRule="exact" w:before="0"/>
        <w:jc w:val="center"/>
      </w:pPr>
      <w:r>
        <w:rPr/>
        <w:pict>
          <v:shape style="position:absolute;margin-left:62.362pt;margin-top:-44.814999pt;width:353.4pt;height:43.5pt;mso-position-horizontal-relative:page;mso-position-vertical-relative:paragraph;z-index:-641320" type="#_x0000_t202" filled="false" stroked="false">
            <v:textbox inset="0,0,0,0">
              <w:txbxContent>
                <w:p>
                  <w:pPr>
                    <w:pStyle w:val="BodyText"/>
                    <w:spacing w:before="4"/>
                    <w:rPr>
                      <w:sz w:val="28"/>
                    </w:rPr>
                  </w:pPr>
                </w:p>
                <w:p>
                  <w:pPr>
                    <w:spacing w:before="1"/>
                    <w:ind w:left="565" w:right="0" w:firstLine="0"/>
                    <w:jc w:val="left"/>
                    <w:rPr>
                      <w:rFonts w:ascii="Arial" w:hAnsi="Arial"/>
                      <w:sz w:val="20"/>
                    </w:rPr>
                  </w:pPr>
                  <w:r>
                    <w:rPr>
                      <w:rFonts w:ascii="Arial" w:hAnsi="Arial"/>
                      <w:color w:val="231F20"/>
                      <w:w w:val="70"/>
                      <w:sz w:val="20"/>
                    </w:rPr>
                    <w:t>El migrante centroamericano de paso por México y los derechos humanos /Luis Raúl Ortiz-Ramírez</w:t>
                  </w:r>
                </w:p>
              </w:txbxContent>
            </v:textbox>
            <w10:wrap type="none"/>
          </v:shape>
        </w:pict>
      </w:r>
      <w:r>
        <w:rPr>
          <w:color w:val="231F20"/>
          <w:w w:val="70"/>
        </w:rPr>
        <w:t>El migrante centroamericano de paso</w:t>
      </w:r>
    </w:p>
    <w:p>
      <w:pPr>
        <w:spacing w:line="430" w:lineRule="exact" w:before="0"/>
        <w:ind w:left="330" w:right="548" w:firstLine="0"/>
        <w:jc w:val="center"/>
        <w:rPr>
          <w:b/>
          <w:sz w:val="40"/>
        </w:rPr>
      </w:pPr>
      <w:r>
        <w:rPr>
          <w:b/>
          <w:color w:val="231F20"/>
          <w:w w:val="70"/>
          <w:sz w:val="40"/>
        </w:rPr>
        <w:t>por México y los derechos humanos</w:t>
      </w:r>
    </w:p>
    <w:p>
      <w:pPr>
        <w:pStyle w:val="BodyText"/>
        <w:rPr>
          <w:b/>
          <w:sz w:val="20"/>
        </w:rPr>
      </w:pPr>
    </w:p>
    <w:p>
      <w:pPr>
        <w:pStyle w:val="BodyText"/>
        <w:spacing w:before="2"/>
        <w:rPr>
          <w:b/>
          <w:sz w:val="29"/>
        </w:rPr>
      </w:pPr>
    </w:p>
    <w:p>
      <w:pPr>
        <w:pStyle w:val="Heading2"/>
        <w:ind w:left="2064"/>
      </w:pPr>
      <w:r>
        <w:rPr>
          <w:color w:val="231F20"/>
        </w:rPr>
        <w:t>Luis Raúl Ortiz-Ramírez</w:t>
      </w:r>
    </w:p>
    <w:p>
      <w:pPr>
        <w:pStyle w:val="BodyText"/>
        <w:spacing w:before="8"/>
        <w:rPr>
          <w:sz w:val="13"/>
        </w:rPr>
      </w:pPr>
    </w:p>
    <w:p>
      <w:pPr>
        <w:spacing w:before="72"/>
        <w:ind w:left="1159" w:right="913" w:firstLine="0"/>
        <w:jc w:val="left"/>
        <w:rPr>
          <w:i/>
          <w:sz w:val="22"/>
        </w:rPr>
      </w:pPr>
      <w:r>
        <w:rPr>
          <w:i/>
          <w:color w:val="231F20"/>
          <w:sz w:val="22"/>
        </w:rPr>
        <w:t>Universidad Autónoma del Estado de México, México</w:t>
      </w:r>
    </w:p>
    <w:p>
      <w:pPr>
        <w:pStyle w:val="BodyText"/>
        <w:rPr>
          <w:i/>
          <w:sz w:val="20"/>
        </w:rPr>
      </w:pPr>
    </w:p>
    <w:p>
      <w:pPr>
        <w:pStyle w:val="BodyText"/>
        <w:spacing w:before="3"/>
        <w:rPr>
          <w:i/>
          <w:sz w:val="16"/>
        </w:rPr>
      </w:pPr>
    </w:p>
    <w:p>
      <w:pPr>
        <w:pStyle w:val="Heading3"/>
        <w:spacing w:before="69"/>
        <w:ind w:left="277" w:right="913"/>
        <w:jc w:val="left"/>
      </w:pPr>
      <w:r>
        <w:rPr>
          <w:color w:val="231F20"/>
        </w:rPr>
        <w:t>Justificación</w:t>
      </w:r>
    </w:p>
    <w:p>
      <w:pPr>
        <w:pStyle w:val="BodyText"/>
        <w:spacing w:before="9"/>
        <w:rPr>
          <w:b/>
          <w:sz w:val="11"/>
        </w:rPr>
      </w:pPr>
    </w:p>
    <w:p>
      <w:pPr>
        <w:pStyle w:val="BodyText"/>
        <w:spacing w:line="247" w:lineRule="auto" w:before="188"/>
        <w:ind w:left="1278" w:right="494"/>
        <w:jc w:val="both"/>
      </w:pPr>
      <w:r>
        <w:rPr/>
        <w:pict>
          <v:shape style="position:absolute;margin-left:70.866096pt;margin-top:5.034091pt;width:36.7pt;height:55pt;mso-position-horizontal-relative:page;mso-position-vertical-relative:paragraph;z-index:-641296" type="#_x0000_t202" filled="false" stroked="false">
            <v:textbox inset="0,0,0,0">
              <w:txbxContent>
                <w:p>
                  <w:pPr>
                    <w:spacing w:line="1100" w:lineRule="exact" w:before="0"/>
                    <w:ind w:left="0" w:right="0" w:firstLine="0"/>
                    <w:jc w:val="left"/>
                    <w:rPr>
                      <w:b/>
                      <w:sz w:val="110"/>
                    </w:rPr>
                  </w:pPr>
                  <w:r>
                    <w:rPr>
                      <w:b/>
                      <w:color w:val="231F20"/>
                      <w:sz w:val="110"/>
                    </w:rPr>
                    <w:t>L</w:t>
                  </w:r>
                </w:p>
              </w:txbxContent>
            </v:textbox>
            <w10:wrap type="none"/>
          </v:shape>
        </w:pict>
      </w:r>
      <w:r>
        <w:rPr>
          <w:color w:val="231F20"/>
        </w:rPr>
        <w:t>a migración es un fenómeno que ha sido ampliamente estu- diado desde diversas y diferentes perspectivas, esencialmente demográficas, económicas y antropológicas.</w:t>
      </w:r>
      <w:r>
        <w:rPr>
          <w:color w:val="231F20"/>
          <w:position w:val="7"/>
          <w:sz w:val="13"/>
        </w:rPr>
        <w:t>1  </w:t>
      </w:r>
      <w:r>
        <w:rPr>
          <w:color w:val="231F20"/>
        </w:rPr>
        <w:t>La propuesta</w:t>
      </w:r>
      <w:r>
        <w:rPr>
          <w:color w:val="231F20"/>
          <w:spacing w:val="-36"/>
        </w:rPr>
        <w:t> </w:t>
      </w:r>
      <w:r>
        <w:rPr>
          <w:color w:val="231F20"/>
        </w:rPr>
        <w:t>que</w:t>
      </w:r>
    </w:p>
    <w:p>
      <w:pPr>
        <w:pStyle w:val="BodyText"/>
        <w:spacing w:line="247" w:lineRule="auto" w:before="12"/>
        <w:ind w:left="277" w:right="494"/>
        <w:jc w:val="both"/>
      </w:pPr>
      <w:r>
        <w:rPr>
          <w:color w:val="231F20"/>
        </w:rPr>
        <w:t>se plantea en este trabajo radica en centrar la atención no únicamente en  el fenómeno migratorio como único objeto de estudio desde el abordaje teórico metodológico, sino en el sujeto migrante. No se pretende soslayar la importancia que los abordajes teóricos previamente mencionados han arrojado, por el contrario, de lo que se trata es de echar mano de ellos, así como de otros instrumentos y construcciones que permitan realizar una aportación</w:t>
      </w:r>
      <w:r>
        <w:rPr>
          <w:color w:val="231F20"/>
          <w:spacing w:val="-7"/>
        </w:rPr>
        <w:t> </w:t>
      </w:r>
      <w:r>
        <w:rPr>
          <w:color w:val="231F20"/>
        </w:rPr>
        <w:t>con</w:t>
      </w:r>
      <w:r>
        <w:rPr>
          <w:color w:val="231F20"/>
          <w:spacing w:val="-6"/>
        </w:rPr>
        <w:t> </w:t>
      </w:r>
      <w:r>
        <w:rPr>
          <w:color w:val="231F20"/>
        </w:rPr>
        <w:t>una</w:t>
      </w:r>
      <w:r>
        <w:rPr>
          <w:color w:val="231F20"/>
          <w:spacing w:val="-6"/>
        </w:rPr>
        <w:t> </w:t>
      </w:r>
      <w:r>
        <w:rPr>
          <w:color w:val="231F20"/>
        </w:rPr>
        <w:t>mirada</w:t>
      </w:r>
      <w:r>
        <w:rPr>
          <w:color w:val="231F20"/>
          <w:spacing w:val="-7"/>
        </w:rPr>
        <w:t> </w:t>
      </w:r>
      <w:r>
        <w:rPr>
          <w:color w:val="231F20"/>
        </w:rPr>
        <w:t>diferente,</w:t>
      </w:r>
      <w:r>
        <w:rPr>
          <w:color w:val="231F20"/>
          <w:spacing w:val="-6"/>
        </w:rPr>
        <w:t> </w:t>
      </w:r>
      <w:r>
        <w:rPr>
          <w:color w:val="231F20"/>
        </w:rPr>
        <w:t>centrada</w:t>
      </w:r>
      <w:r>
        <w:rPr>
          <w:color w:val="231F20"/>
          <w:spacing w:val="-7"/>
        </w:rPr>
        <w:t> </w:t>
      </w:r>
      <w:r>
        <w:rPr>
          <w:color w:val="231F20"/>
        </w:rPr>
        <w:t>en</w:t>
      </w:r>
      <w:r>
        <w:rPr>
          <w:color w:val="231F20"/>
          <w:spacing w:val="-6"/>
        </w:rPr>
        <w:t> </w:t>
      </w:r>
      <w:r>
        <w:rPr>
          <w:color w:val="231F20"/>
        </w:rPr>
        <w:t>el</w:t>
      </w:r>
      <w:r>
        <w:rPr>
          <w:color w:val="231F20"/>
          <w:spacing w:val="-6"/>
        </w:rPr>
        <w:t> </w:t>
      </w:r>
      <w:r>
        <w:rPr>
          <w:color w:val="231F20"/>
        </w:rPr>
        <w:t>sujeto</w:t>
      </w:r>
      <w:r>
        <w:rPr>
          <w:color w:val="231F20"/>
          <w:spacing w:val="-6"/>
        </w:rPr>
        <w:t> </w:t>
      </w:r>
      <w:r>
        <w:rPr>
          <w:color w:val="231F20"/>
        </w:rPr>
        <w:t>y</w:t>
      </w:r>
      <w:r>
        <w:rPr>
          <w:color w:val="231F20"/>
          <w:spacing w:val="-6"/>
        </w:rPr>
        <w:t> </w:t>
      </w:r>
      <w:r>
        <w:rPr>
          <w:color w:val="231F20"/>
        </w:rPr>
        <w:t>su</w:t>
      </w:r>
      <w:r>
        <w:rPr>
          <w:color w:val="231F20"/>
          <w:spacing w:val="-6"/>
        </w:rPr>
        <w:t> </w:t>
      </w:r>
      <w:r>
        <w:rPr>
          <w:color w:val="231F20"/>
        </w:rPr>
        <w:t>experiencia a nivel individual y también a nivel de colectivo o población</w:t>
      </w:r>
      <w:r>
        <w:rPr>
          <w:color w:val="231F20"/>
          <w:spacing w:val="-3"/>
        </w:rPr>
        <w:t> </w:t>
      </w:r>
      <w:r>
        <w:rPr>
          <w:color w:val="231F20"/>
        </w:rPr>
        <w:t>migrante.</w:t>
      </w:r>
    </w:p>
    <w:p>
      <w:pPr>
        <w:pStyle w:val="BodyText"/>
        <w:spacing w:line="247" w:lineRule="auto"/>
        <w:ind w:left="277" w:right="411" w:firstLine="283"/>
      </w:pPr>
      <w:r>
        <w:rPr>
          <w:color w:val="231F20"/>
        </w:rPr>
        <w:t>Se toma como base teórica para la construcción de este proyecto, el trabajo del sociólogo posestructuralista francés Michael Foucault, quien ha</w:t>
      </w:r>
    </w:p>
    <w:p>
      <w:pPr>
        <w:pStyle w:val="BodyText"/>
        <w:rPr>
          <w:sz w:val="20"/>
        </w:rPr>
      </w:pPr>
    </w:p>
    <w:p>
      <w:pPr>
        <w:pStyle w:val="BodyText"/>
        <w:rPr>
          <w:sz w:val="20"/>
        </w:rPr>
      </w:pPr>
    </w:p>
    <w:p>
      <w:pPr>
        <w:pStyle w:val="BodyText"/>
        <w:spacing w:before="11"/>
        <w:rPr>
          <w:sz w:val="11"/>
        </w:rPr>
      </w:pPr>
      <w:r>
        <w:rPr/>
        <w:pict>
          <v:line style="position:absolute;mso-position-horizontal-relative:page;mso-position-vertical-relative:paragraph;z-index:3256;mso-wrap-distance-left:0;mso-wrap-distance-right:0" from="70.866096pt,9.219111pt" to="158.173096pt,9.219111pt" stroked="true" strokeweight=".75pt" strokecolor="#231f20">
            <w10:wrap type="topAndBottom"/>
          </v:line>
        </w:pict>
      </w:r>
    </w:p>
    <w:p>
      <w:pPr>
        <w:spacing w:line="170" w:lineRule="exact" w:before="64"/>
        <w:ind w:left="277" w:right="494" w:firstLine="0"/>
        <w:jc w:val="both"/>
        <w:rPr>
          <w:sz w:val="17"/>
        </w:rPr>
      </w:pPr>
      <w:r>
        <w:rPr>
          <w:color w:val="231F20"/>
          <w:position w:val="6"/>
          <w:sz w:val="10"/>
        </w:rPr>
        <w:t>1</w:t>
      </w:r>
      <w:r>
        <w:rPr>
          <w:color w:val="231F20"/>
          <w:spacing w:val="9"/>
          <w:position w:val="6"/>
          <w:sz w:val="10"/>
        </w:rPr>
        <w:t> </w:t>
      </w:r>
      <w:r>
        <w:rPr>
          <w:color w:val="231F20"/>
          <w:sz w:val="17"/>
        </w:rPr>
        <w:t>Para</w:t>
      </w:r>
      <w:r>
        <w:rPr>
          <w:color w:val="231F20"/>
          <w:spacing w:val="-8"/>
          <w:sz w:val="17"/>
        </w:rPr>
        <w:t> </w:t>
      </w:r>
      <w:r>
        <w:rPr>
          <w:color w:val="231F20"/>
          <w:sz w:val="17"/>
        </w:rPr>
        <w:t>ejemplificar</w:t>
      </w:r>
      <w:r>
        <w:rPr>
          <w:color w:val="231F20"/>
          <w:spacing w:val="-9"/>
          <w:sz w:val="17"/>
        </w:rPr>
        <w:t> </w:t>
      </w:r>
      <w:r>
        <w:rPr>
          <w:color w:val="231F20"/>
          <w:sz w:val="17"/>
        </w:rPr>
        <w:t>estas</w:t>
      </w:r>
      <w:r>
        <w:rPr>
          <w:color w:val="231F20"/>
          <w:spacing w:val="-8"/>
          <w:sz w:val="17"/>
        </w:rPr>
        <w:t> </w:t>
      </w:r>
      <w:r>
        <w:rPr>
          <w:color w:val="231F20"/>
          <w:sz w:val="17"/>
        </w:rPr>
        <w:t>aproximaciones,</w:t>
      </w:r>
      <w:r>
        <w:rPr>
          <w:color w:val="231F20"/>
          <w:spacing w:val="-9"/>
          <w:sz w:val="17"/>
        </w:rPr>
        <w:t> </w:t>
      </w:r>
      <w:r>
        <w:rPr>
          <w:color w:val="231F20"/>
          <w:sz w:val="17"/>
        </w:rPr>
        <w:t>se</w:t>
      </w:r>
      <w:r>
        <w:rPr>
          <w:color w:val="231F20"/>
          <w:spacing w:val="-8"/>
          <w:sz w:val="17"/>
        </w:rPr>
        <w:t> </w:t>
      </w:r>
      <w:r>
        <w:rPr>
          <w:color w:val="231F20"/>
          <w:sz w:val="17"/>
        </w:rPr>
        <w:t>mencionarán</w:t>
      </w:r>
      <w:r>
        <w:rPr>
          <w:color w:val="231F20"/>
          <w:spacing w:val="-9"/>
          <w:sz w:val="17"/>
        </w:rPr>
        <w:t> </w:t>
      </w:r>
      <w:r>
        <w:rPr>
          <w:color w:val="231F20"/>
          <w:sz w:val="17"/>
        </w:rPr>
        <w:t>brevemente</w:t>
      </w:r>
      <w:r>
        <w:rPr>
          <w:color w:val="231F20"/>
          <w:spacing w:val="-9"/>
          <w:sz w:val="17"/>
        </w:rPr>
        <w:t> </w:t>
      </w:r>
      <w:r>
        <w:rPr>
          <w:color w:val="231F20"/>
          <w:sz w:val="17"/>
        </w:rPr>
        <w:t>algunas</w:t>
      </w:r>
      <w:r>
        <w:rPr>
          <w:color w:val="231F20"/>
          <w:spacing w:val="-9"/>
          <w:sz w:val="17"/>
        </w:rPr>
        <w:t> </w:t>
      </w:r>
      <w:r>
        <w:rPr>
          <w:color w:val="231F20"/>
          <w:sz w:val="17"/>
        </w:rPr>
        <w:t>teorías</w:t>
      </w:r>
      <w:r>
        <w:rPr>
          <w:color w:val="231F20"/>
          <w:spacing w:val="-9"/>
          <w:sz w:val="17"/>
        </w:rPr>
        <w:t> </w:t>
      </w:r>
      <w:r>
        <w:rPr>
          <w:color w:val="231F20"/>
          <w:sz w:val="17"/>
        </w:rPr>
        <w:t>al</w:t>
      </w:r>
      <w:r>
        <w:rPr>
          <w:color w:val="231F20"/>
          <w:spacing w:val="-8"/>
          <w:sz w:val="17"/>
        </w:rPr>
        <w:t> </w:t>
      </w:r>
      <w:r>
        <w:rPr>
          <w:color w:val="231F20"/>
          <w:sz w:val="17"/>
        </w:rPr>
        <w:t>respecto. Matriz Social Accounting Matrix- Computable General Equilibrium (SAM-CGE). Esta teoría propone</w:t>
      </w:r>
      <w:r>
        <w:rPr>
          <w:color w:val="231F20"/>
          <w:spacing w:val="-7"/>
          <w:sz w:val="17"/>
        </w:rPr>
        <w:t> </w:t>
      </w:r>
      <w:r>
        <w:rPr>
          <w:color w:val="231F20"/>
          <w:sz w:val="17"/>
        </w:rPr>
        <w:t>el</w:t>
      </w:r>
      <w:r>
        <w:rPr>
          <w:color w:val="231F20"/>
          <w:spacing w:val="-7"/>
          <w:sz w:val="17"/>
        </w:rPr>
        <w:t> </w:t>
      </w:r>
      <w:r>
        <w:rPr>
          <w:color w:val="231F20"/>
          <w:sz w:val="17"/>
        </w:rPr>
        <w:t>modelo</w:t>
      </w:r>
      <w:r>
        <w:rPr>
          <w:color w:val="231F20"/>
          <w:spacing w:val="-7"/>
          <w:sz w:val="17"/>
        </w:rPr>
        <w:t> </w:t>
      </w:r>
      <w:r>
        <w:rPr>
          <w:color w:val="231F20"/>
          <w:sz w:val="17"/>
        </w:rPr>
        <w:t>SAM-CGE</w:t>
      </w:r>
      <w:r>
        <w:rPr>
          <w:color w:val="231F20"/>
          <w:spacing w:val="-6"/>
          <w:sz w:val="17"/>
        </w:rPr>
        <w:t> </w:t>
      </w:r>
      <w:r>
        <w:rPr>
          <w:color w:val="231F20"/>
          <w:sz w:val="17"/>
        </w:rPr>
        <w:t>para</w:t>
      </w:r>
      <w:r>
        <w:rPr>
          <w:color w:val="231F20"/>
          <w:spacing w:val="-7"/>
          <w:sz w:val="17"/>
        </w:rPr>
        <w:t> </w:t>
      </w:r>
      <w:r>
        <w:rPr>
          <w:color w:val="231F20"/>
          <w:sz w:val="17"/>
        </w:rPr>
        <w:t>examinar</w:t>
      </w:r>
      <w:r>
        <w:rPr>
          <w:color w:val="231F20"/>
          <w:spacing w:val="-7"/>
          <w:sz w:val="17"/>
        </w:rPr>
        <w:t> </w:t>
      </w:r>
      <w:r>
        <w:rPr>
          <w:color w:val="231F20"/>
          <w:sz w:val="17"/>
        </w:rPr>
        <w:t>los</w:t>
      </w:r>
      <w:r>
        <w:rPr>
          <w:color w:val="231F20"/>
          <w:spacing w:val="-7"/>
          <w:sz w:val="17"/>
        </w:rPr>
        <w:t> </w:t>
      </w:r>
      <w:r>
        <w:rPr>
          <w:color w:val="231F20"/>
          <w:sz w:val="17"/>
        </w:rPr>
        <w:t>efectos</w:t>
      </w:r>
      <w:r>
        <w:rPr>
          <w:color w:val="231F20"/>
          <w:spacing w:val="-7"/>
          <w:sz w:val="17"/>
        </w:rPr>
        <w:t> </w:t>
      </w:r>
      <w:r>
        <w:rPr>
          <w:color w:val="231F20"/>
          <w:sz w:val="17"/>
        </w:rPr>
        <w:t>de</w:t>
      </w:r>
      <w:r>
        <w:rPr>
          <w:color w:val="231F20"/>
          <w:spacing w:val="-7"/>
          <w:sz w:val="17"/>
        </w:rPr>
        <w:t> </w:t>
      </w:r>
      <w:r>
        <w:rPr>
          <w:color w:val="231F20"/>
          <w:sz w:val="17"/>
        </w:rPr>
        <w:t>la</w:t>
      </w:r>
      <w:r>
        <w:rPr>
          <w:color w:val="231F20"/>
          <w:spacing w:val="-7"/>
          <w:sz w:val="17"/>
        </w:rPr>
        <w:t> </w:t>
      </w:r>
      <w:r>
        <w:rPr>
          <w:color w:val="231F20"/>
          <w:sz w:val="17"/>
        </w:rPr>
        <w:t>multiplicación</w:t>
      </w:r>
      <w:r>
        <w:rPr>
          <w:color w:val="231F20"/>
          <w:spacing w:val="-7"/>
          <w:sz w:val="17"/>
        </w:rPr>
        <w:t> </w:t>
      </w:r>
      <w:r>
        <w:rPr>
          <w:color w:val="231F20"/>
          <w:sz w:val="17"/>
        </w:rPr>
        <w:t>del</w:t>
      </w:r>
      <w:r>
        <w:rPr>
          <w:color w:val="231F20"/>
          <w:spacing w:val="-7"/>
          <w:sz w:val="17"/>
        </w:rPr>
        <w:t> </w:t>
      </w:r>
      <w:r>
        <w:rPr>
          <w:color w:val="231F20"/>
          <w:sz w:val="17"/>
        </w:rPr>
        <w:t>Producto</w:t>
      </w:r>
      <w:r>
        <w:rPr>
          <w:color w:val="231F20"/>
          <w:spacing w:val="-6"/>
          <w:sz w:val="17"/>
        </w:rPr>
        <w:t> </w:t>
      </w:r>
      <w:r>
        <w:rPr>
          <w:color w:val="231F20"/>
          <w:sz w:val="17"/>
        </w:rPr>
        <w:t>Inter- no</w:t>
      </w:r>
      <w:r>
        <w:rPr>
          <w:color w:val="231F20"/>
          <w:spacing w:val="-3"/>
          <w:sz w:val="17"/>
        </w:rPr>
        <w:t> </w:t>
      </w:r>
      <w:r>
        <w:rPr>
          <w:color w:val="231F20"/>
          <w:sz w:val="17"/>
        </w:rPr>
        <w:t>Bruto</w:t>
      </w:r>
      <w:r>
        <w:rPr>
          <w:color w:val="231F20"/>
          <w:spacing w:val="-3"/>
          <w:sz w:val="17"/>
        </w:rPr>
        <w:t> </w:t>
      </w:r>
      <w:r>
        <w:rPr>
          <w:color w:val="231F20"/>
          <w:sz w:val="17"/>
        </w:rPr>
        <w:t>de</w:t>
      </w:r>
      <w:r>
        <w:rPr>
          <w:color w:val="231F20"/>
          <w:spacing w:val="-3"/>
          <w:sz w:val="17"/>
        </w:rPr>
        <w:t> </w:t>
      </w:r>
      <w:r>
        <w:rPr>
          <w:color w:val="231F20"/>
          <w:sz w:val="17"/>
        </w:rPr>
        <w:t>la</w:t>
      </w:r>
      <w:r>
        <w:rPr>
          <w:color w:val="231F20"/>
          <w:spacing w:val="-3"/>
          <w:sz w:val="17"/>
        </w:rPr>
        <w:t> </w:t>
      </w:r>
      <w:r>
        <w:rPr>
          <w:color w:val="231F20"/>
          <w:sz w:val="17"/>
        </w:rPr>
        <w:t>migración</w:t>
      </w:r>
      <w:r>
        <w:rPr>
          <w:color w:val="231F20"/>
          <w:spacing w:val="-4"/>
          <w:sz w:val="17"/>
        </w:rPr>
        <w:t> </w:t>
      </w:r>
      <w:r>
        <w:rPr>
          <w:color w:val="231F20"/>
          <w:sz w:val="17"/>
        </w:rPr>
        <w:t>y</w:t>
      </w:r>
      <w:r>
        <w:rPr>
          <w:color w:val="231F20"/>
          <w:spacing w:val="-3"/>
          <w:sz w:val="17"/>
        </w:rPr>
        <w:t> </w:t>
      </w:r>
      <w:r>
        <w:rPr>
          <w:color w:val="231F20"/>
          <w:sz w:val="17"/>
        </w:rPr>
        <w:t>las</w:t>
      </w:r>
      <w:r>
        <w:rPr>
          <w:color w:val="231F20"/>
          <w:spacing w:val="-3"/>
          <w:sz w:val="17"/>
        </w:rPr>
        <w:t> </w:t>
      </w:r>
      <w:r>
        <w:rPr>
          <w:color w:val="231F20"/>
          <w:sz w:val="17"/>
        </w:rPr>
        <w:t>remesas</w:t>
      </w:r>
      <w:r>
        <w:rPr>
          <w:color w:val="231F20"/>
          <w:spacing w:val="-3"/>
          <w:sz w:val="17"/>
        </w:rPr>
        <w:t> </w:t>
      </w:r>
      <w:r>
        <w:rPr>
          <w:color w:val="231F20"/>
          <w:sz w:val="17"/>
        </w:rPr>
        <w:t>y</w:t>
      </w:r>
      <w:r>
        <w:rPr>
          <w:color w:val="231F20"/>
          <w:spacing w:val="-3"/>
          <w:sz w:val="17"/>
        </w:rPr>
        <w:t> </w:t>
      </w:r>
      <w:r>
        <w:rPr>
          <w:color w:val="231F20"/>
          <w:sz w:val="17"/>
        </w:rPr>
        <w:t>de</w:t>
      </w:r>
      <w:r>
        <w:rPr>
          <w:color w:val="231F20"/>
          <w:spacing w:val="-3"/>
          <w:sz w:val="17"/>
        </w:rPr>
        <w:t> </w:t>
      </w:r>
      <w:r>
        <w:rPr>
          <w:color w:val="231F20"/>
          <w:sz w:val="17"/>
        </w:rPr>
        <w:t>las</w:t>
      </w:r>
      <w:r>
        <w:rPr>
          <w:color w:val="231F20"/>
          <w:spacing w:val="-3"/>
          <w:sz w:val="17"/>
        </w:rPr>
        <w:t> </w:t>
      </w:r>
      <w:r>
        <w:rPr>
          <w:color w:val="231F20"/>
          <w:sz w:val="17"/>
        </w:rPr>
        <w:t>reformas</w:t>
      </w:r>
      <w:r>
        <w:rPr>
          <w:color w:val="231F20"/>
          <w:spacing w:val="-3"/>
          <w:sz w:val="17"/>
        </w:rPr>
        <w:t> </w:t>
      </w:r>
      <w:r>
        <w:rPr>
          <w:color w:val="231F20"/>
          <w:sz w:val="17"/>
        </w:rPr>
        <w:t>en</w:t>
      </w:r>
      <w:r>
        <w:rPr>
          <w:color w:val="231F20"/>
          <w:spacing w:val="-3"/>
          <w:sz w:val="17"/>
        </w:rPr>
        <w:t> </w:t>
      </w:r>
      <w:r>
        <w:rPr>
          <w:color w:val="231F20"/>
          <w:sz w:val="17"/>
        </w:rPr>
        <w:t>las</w:t>
      </w:r>
      <w:r>
        <w:rPr>
          <w:color w:val="231F20"/>
          <w:spacing w:val="-3"/>
          <w:sz w:val="17"/>
        </w:rPr>
        <w:t> </w:t>
      </w:r>
      <w:r>
        <w:rPr>
          <w:color w:val="231F20"/>
          <w:sz w:val="17"/>
        </w:rPr>
        <w:t>políticas</w:t>
      </w:r>
      <w:r>
        <w:rPr>
          <w:color w:val="231F20"/>
          <w:spacing w:val="-3"/>
          <w:sz w:val="17"/>
        </w:rPr>
        <w:t> </w:t>
      </w:r>
      <w:r>
        <w:rPr>
          <w:color w:val="231F20"/>
          <w:sz w:val="17"/>
        </w:rPr>
        <w:t>para</w:t>
      </w:r>
      <w:r>
        <w:rPr>
          <w:color w:val="231F20"/>
          <w:spacing w:val="-3"/>
          <w:sz w:val="17"/>
        </w:rPr>
        <w:t> </w:t>
      </w:r>
      <w:r>
        <w:rPr>
          <w:color w:val="231F20"/>
          <w:sz w:val="17"/>
        </w:rPr>
        <w:t>movilizar</w:t>
      </w:r>
      <w:r>
        <w:rPr>
          <w:color w:val="231F20"/>
          <w:spacing w:val="-4"/>
          <w:sz w:val="17"/>
        </w:rPr>
        <w:t> </w:t>
      </w:r>
      <w:r>
        <w:rPr>
          <w:color w:val="231F20"/>
          <w:sz w:val="17"/>
        </w:rPr>
        <w:t>las</w:t>
      </w:r>
      <w:r>
        <w:rPr>
          <w:color w:val="231F20"/>
          <w:spacing w:val="-3"/>
          <w:sz w:val="17"/>
        </w:rPr>
        <w:t> </w:t>
      </w:r>
      <w:r>
        <w:rPr>
          <w:color w:val="231F20"/>
          <w:sz w:val="17"/>
        </w:rPr>
        <w:t>redes comunitarias</w:t>
      </w:r>
      <w:r>
        <w:rPr>
          <w:color w:val="231F20"/>
          <w:spacing w:val="-5"/>
          <w:sz w:val="17"/>
        </w:rPr>
        <w:t> </w:t>
      </w:r>
      <w:r>
        <w:rPr>
          <w:color w:val="231F20"/>
          <w:sz w:val="17"/>
        </w:rPr>
        <w:t>transnacionales.</w:t>
      </w:r>
      <w:r>
        <w:rPr>
          <w:color w:val="231F20"/>
          <w:spacing w:val="-5"/>
          <w:sz w:val="17"/>
        </w:rPr>
        <w:t> </w:t>
      </w:r>
      <w:r>
        <w:rPr>
          <w:color w:val="231F20"/>
          <w:sz w:val="17"/>
        </w:rPr>
        <w:t>Su</w:t>
      </w:r>
      <w:r>
        <w:rPr>
          <w:color w:val="231F20"/>
          <w:spacing w:val="-4"/>
          <w:sz w:val="17"/>
        </w:rPr>
        <w:t> </w:t>
      </w:r>
      <w:r>
        <w:rPr>
          <w:color w:val="231F20"/>
          <w:sz w:val="17"/>
        </w:rPr>
        <w:t>impacto</w:t>
      </w:r>
      <w:r>
        <w:rPr>
          <w:color w:val="231F20"/>
          <w:spacing w:val="-5"/>
          <w:sz w:val="17"/>
        </w:rPr>
        <w:t> </w:t>
      </w:r>
      <w:r>
        <w:rPr>
          <w:color w:val="231F20"/>
          <w:sz w:val="17"/>
        </w:rPr>
        <w:t>es</w:t>
      </w:r>
      <w:r>
        <w:rPr>
          <w:color w:val="231F20"/>
          <w:spacing w:val="-4"/>
          <w:sz w:val="17"/>
        </w:rPr>
        <w:t> </w:t>
      </w:r>
      <w:r>
        <w:rPr>
          <w:color w:val="231F20"/>
          <w:sz w:val="17"/>
        </w:rPr>
        <w:t>eminentemente</w:t>
      </w:r>
      <w:r>
        <w:rPr>
          <w:color w:val="231F20"/>
          <w:spacing w:val="-5"/>
          <w:sz w:val="17"/>
        </w:rPr>
        <w:t> </w:t>
      </w:r>
      <w:r>
        <w:rPr>
          <w:color w:val="231F20"/>
          <w:sz w:val="17"/>
        </w:rPr>
        <w:t>económico</w:t>
      </w:r>
      <w:r>
        <w:rPr>
          <w:color w:val="231F20"/>
          <w:spacing w:val="-5"/>
          <w:sz w:val="17"/>
        </w:rPr>
        <w:t> </w:t>
      </w:r>
      <w:r>
        <w:rPr>
          <w:color w:val="231F20"/>
          <w:sz w:val="17"/>
        </w:rPr>
        <w:t>y</w:t>
      </w:r>
      <w:r>
        <w:rPr>
          <w:color w:val="231F20"/>
          <w:spacing w:val="-4"/>
          <w:sz w:val="17"/>
        </w:rPr>
        <w:t> </w:t>
      </w:r>
      <w:r>
        <w:rPr>
          <w:color w:val="231F20"/>
          <w:sz w:val="17"/>
        </w:rPr>
        <w:t>recalca</w:t>
      </w:r>
      <w:r>
        <w:rPr>
          <w:color w:val="231F20"/>
          <w:spacing w:val="-4"/>
          <w:sz w:val="17"/>
        </w:rPr>
        <w:t> </w:t>
      </w:r>
      <w:r>
        <w:rPr>
          <w:color w:val="231F20"/>
          <w:sz w:val="17"/>
        </w:rPr>
        <w:t>la</w:t>
      </w:r>
      <w:r>
        <w:rPr>
          <w:color w:val="231F20"/>
          <w:spacing w:val="-4"/>
          <w:sz w:val="17"/>
        </w:rPr>
        <w:t> </w:t>
      </w:r>
      <w:r>
        <w:rPr>
          <w:color w:val="231F20"/>
          <w:sz w:val="17"/>
        </w:rPr>
        <w:t>importancia que cobra dentro del esquema actual globalizado y capitalista el papel que juega la migración internacional. Fue propuesta por Hinojosa (Canales,</w:t>
      </w:r>
      <w:r>
        <w:rPr>
          <w:color w:val="231F20"/>
          <w:spacing w:val="-10"/>
          <w:sz w:val="17"/>
        </w:rPr>
        <w:t> </w:t>
      </w:r>
      <w:r>
        <w:rPr>
          <w:color w:val="231F20"/>
          <w:sz w:val="17"/>
        </w:rPr>
        <w:t>2000).</w:t>
      </w:r>
    </w:p>
    <w:p>
      <w:pPr>
        <w:spacing w:line="170" w:lineRule="exact" w:before="0"/>
        <w:ind w:left="277" w:right="495" w:firstLine="113"/>
        <w:jc w:val="both"/>
        <w:rPr>
          <w:sz w:val="17"/>
        </w:rPr>
      </w:pPr>
      <w:r>
        <w:rPr>
          <w:color w:val="231F20"/>
          <w:sz w:val="17"/>
        </w:rPr>
        <w:t>Paradigma transnacional de desarrollo: éste consta de seis elementos que se pueden resumir en las siguientes aseveraciones; i) la existencia de redes migrantes en el país de destino que fa- vorecen la migración al mismo; ii) las remesas contribuyen al desarrollo del país de origen; iii) la productividad de un país se puede ver mermada si pierde cierto perfil de mano de obra (Haas, 2007) fue propuesta por</w:t>
      </w:r>
      <w:r>
        <w:rPr>
          <w:color w:val="231F20"/>
          <w:spacing w:val="-25"/>
          <w:sz w:val="17"/>
        </w:rPr>
        <w:t> </w:t>
      </w:r>
      <w:r>
        <w:rPr>
          <w:color w:val="231F20"/>
          <w:sz w:val="17"/>
        </w:rPr>
        <w:t>Abella-Ducanes.</w:t>
      </w:r>
    </w:p>
    <w:p>
      <w:pPr>
        <w:spacing w:line="170" w:lineRule="exact" w:before="0"/>
        <w:ind w:left="277" w:right="495" w:firstLine="113"/>
        <w:jc w:val="both"/>
        <w:rPr>
          <w:sz w:val="17"/>
        </w:rPr>
      </w:pPr>
      <w:r>
        <w:rPr>
          <w:color w:val="231F20"/>
          <w:sz w:val="17"/>
        </w:rPr>
        <w:t>El sistema migratorio: teoría que surgió en Sudáfrica y fue propuesta por Magobunge. Con- tribuye con el concepto de sistema migratorio: conjunto de espacios vinculados por flujos y contraflujos de personas, bienes, servicios e información, que tienden a facilitar intercambios posteriores, incluida la migración (Wise </w:t>
      </w:r>
      <w:r>
        <w:rPr>
          <w:i/>
          <w:color w:val="231F20"/>
          <w:sz w:val="17"/>
        </w:rPr>
        <w:t>et al</w:t>
      </w:r>
      <w:r>
        <w:rPr>
          <w:color w:val="231F20"/>
          <w:sz w:val="17"/>
        </w:rPr>
        <w:t>., 2007).</w:t>
      </w:r>
    </w:p>
    <w:p>
      <w:pPr>
        <w:spacing w:after="0" w:line="170" w:lineRule="exact"/>
        <w:jc w:val="both"/>
        <w:rPr>
          <w:sz w:val="17"/>
        </w:rPr>
        <w:sectPr>
          <w:pgSz w:w="9360" w:h="13040"/>
          <w:pgMar w:header="0" w:footer="496" w:top="460" w:bottom="680" w:left="1140" w:right="92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jc w:val="both"/>
      </w:pPr>
      <w:r>
        <w:rPr>
          <w:color w:val="231F20"/>
        </w:rPr>
        <w:t>sido también identificado con el posestructuralismo,</w:t>
      </w:r>
      <w:r>
        <w:rPr>
          <w:color w:val="231F20"/>
          <w:position w:val="7"/>
          <w:sz w:val="13"/>
        </w:rPr>
        <w:t>2 </w:t>
      </w:r>
      <w:r>
        <w:rPr>
          <w:color w:val="231F20"/>
        </w:rPr>
        <w:t>en el sentido de que sus conceptos proveen de un medio para hacer una lectura diferente de la historia</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sociedad,</w:t>
      </w:r>
      <w:r>
        <w:rPr>
          <w:color w:val="231F20"/>
          <w:spacing w:val="-9"/>
        </w:rPr>
        <w:t> </w:t>
      </w:r>
      <w:r>
        <w:rPr>
          <w:color w:val="231F20"/>
        </w:rPr>
        <w:t>no</w:t>
      </w:r>
      <w:r>
        <w:rPr>
          <w:color w:val="231F20"/>
          <w:spacing w:val="-10"/>
        </w:rPr>
        <w:t> </w:t>
      </w:r>
      <w:r>
        <w:rPr>
          <w:color w:val="231F20"/>
        </w:rPr>
        <w:t>aceptando</w:t>
      </w:r>
      <w:r>
        <w:rPr>
          <w:color w:val="231F20"/>
          <w:spacing w:val="-11"/>
        </w:rPr>
        <w:t> </w:t>
      </w:r>
      <w:r>
        <w:rPr>
          <w:color w:val="231F20"/>
        </w:rPr>
        <w:t>una</w:t>
      </w:r>
      <w:r>
        <w:rPr>
          <w:color w:val="231F20"/>
          <w:spacing w:val="-10"/>
        </w:rPr>
        <w:t> </w:t>
      </w:r>
      <w:r>
        <w:rPr>
          <w:color w:val="231F20"/>
        </w:rPr>
        <w:t>única</w:t>
      </w:r>
      <w:r>
        <w:rPr>
          <w:color w:val="231F20"/>
          <w:spacing w:val="-10"/>
        </w:rPr>
        <w:t> </w:t>
      </w:r>
      <w:r>
        <w:rPr>
          <w:color w:val="231F20"/>
        </w:rPr>
        <w:t>forma</w:t>
      </w:r>
      <w:r>
        <w:rPr>
          <w:color w:val="231F20"/>
          <w:spacing w:val="-10"/>
        </w:rPr>
        <w:t> </w:t>
      </w:r>
      <w:r>
        <w:rPr>
          <w:color w:val="231F20"/>
        </w:rPr>
        <w:t>de</w:t>
      </w:r>
      <w:r>
        <w:rPr>
          <w:color w:val="231F20"/>
          <w:spacing w:val="-10"/>
        </w:rPr>
        <w:t> </w:t>
      </w:r>
      <w:r>
        <w:rPr>
          <w:color w:val="231F20"/>
          <w:spacing w:val="-3"/>
        </w:rPr>
        <w:t>ser,</w:t>
      </w:r>
      <w:r>
        <w:rPr>
          <w:color w:val="231F20"/>
          <w:spacing w:val="-10"/>
        </w:rPr>
        <w:t> </w:t>
      </w:r>
      <w:r>
        <w:rPr>
          <w:color w:val="231F20"/>
        </w:rPr>
        <w:t>hacer</w:t>
      </w:r>
      <w:r>
        <w:rPr>
          <w:color w:val="231F20"/>
          <w:spacing w:val="-10"/>
        </w:rPr>
        <w:t> </w:t>
      </w:r>
      <w:r>
        <w:rPr>
          <w:color w:val="231F20"/>
        </w:rPr>
        <w:t>o</w:t>
      </w:r>
      <w:r>
        <w:rPr>
          <w:color w:val="231F20"/>
          <w:spacing w:val="-10"/>
        </w:rPr>
        <w:t> </w:t>
      </w:r>
      <w:r>
        <w:rPr>
          <w:color w:val="231F20"/>
        </w:rPr>
        <w:t>pensar, de</w:t>
      </w:r>
      <w:r>
        <w:rPr>
          <w:color w:val="231F20"/>
          <w:spacing w:val="-4"/>
        </w:rPr>
        <w:t> </w:t>
      </w:r>
      <w:r>
        <w:rPr>
          <w:color w:val="231F20"/>
        </w:rPr>
        <w:t>concebir</w:t>
      </w:r>
      <w:r>
        <w:rPr>
          <w:color w:val="231F20"/>
          <w:spacing w:val="-4"/>
        </w:rPr>
        <w:t> </w:t>
      </w:r>
      <w:r>
        <w:rPr>
          <w:color w:val="231F20"/>
        </w:rPr>
        <w:t>y</w:t>
      </w:r>
      <w:r>
        <w:rPr>
          <w:color w:val="231F20"/>
          <w:spacing w:val="-4"/>
        </w:rPr>
        <w:t> </w:t>
      </w:r>
      <w:r>
        <w:rPr>
          <w:color w:val="231F20"/>
        </w:rPr>
        <w:t>ejercer</w:t>
      </w:r>
      <w:r>
        <w:rPr>
          <w:color w:val="231F20"/>
          <w:spacing w:val="-4"/>
        </w:rPr>
        <w:t> </w:t>
      </w:r>
      <w:r>
        <w:rPr>
          <w:color w:val="231F20"/>
        </w:rPr>
        <w:t>el</w:t>
      </w:r>
      <w:r>
        <w:rPr>
          <w:color w:val="231F20"/>
          <w:spacing w:val="-4"/>
        </w:rPr>
        <w:t> </w:t>
      </w:r>
      <w:r>
        <w:rPr>
          <w:color w:val="231F20"/>
          <w:spacing w:val="-3"/>
        </w:rPr>
        <w:t>poder.</w:t>
      </w:r>
      <w:r>
        <w:rPr>
          <w:color w:val="231F20"/>
          <w:spacing w:val="-4"/>
        </w:rPr>
        <w:t> </w:t>
      </w:r>
      <w:r>
        <w:rPr>
          <w:color w:val="231F20"/>
        </w:rPr>
        <w:t>No</w:t>
      </w:r>
      <w:r>
        <w:rPr>
          <w:color w:val="231F20"/>
          <w:spacing w:val="-4"/>
        </w:rPr>
        <w:t> </w:t>
      </w:r>
      <w:r>
        <w:rPr>
          <w:color w:val="231F20"/>
        </w:rPr>
        <w:t>asume</w:t>
      </w:r>
      <w:r>
        <w:rPr>
          <w:color w:val="231F20"/>
          <w:spacing w:val="-4"/>
        </w:rPr>
        <w:t> </w:t>
      </w:r>
      <w:r>
        <w:rPr>
          <w:color w:val="231F20"/>
        </w:rPr>
        <w:t>que</w:t>
      </w:r>
      <w:r>
        <w:rPr>
          <w:color w:val="231F20"/>
          <w:spacing w:val="-4"/>
        </w:rPr>
        <w:t> </w:t>
      </w:r>
      <w:r>
        <w:rPr>
          <w:color w:val="231F20"/>
        </w:rPr>
        <w:t>exista</w:t>
      </w:r>
      <w:r>
        <w:rPr>
          <w:color w:val="231F20"/>
          <w:spacing w:val="-4"/>
        </w:rPr>
        <w:t> </w:t>
      </w:r>
      <w:r>
        <w:rPr>
          <w:color w:val="231F20"/>
        </w:rPr>
        <w:t>tampoco</w:t>
      </w:r>
      <w:r>
        <w:rPr>
          <w:color w:val="231F20"/>
          <w:spacing w:val="-4"/>
        </w:rPr>
        <w:t> </w:t>
      </w:r>
      <w:r>
        <w:rPr>
          <w:color w:val="231F20"/>
        </w:rPr>
        <w:t>una</w:t>
      </w:r>
      <w:r>
        <w:rPr>
          <w:color w:val="231F20"/>
          <w:spacing w:val="-4"/>
        </w:rPr>
        <w:t> </w:t>
      </w:r>
      <w:r>
        <w:rPr>
          <w:color w:val="231F20"/>
        </w:rPr>
        <w:t>única</w:t>
      </w:r>
      <w:r>
        <w:rPr>
          <w:color w:val="231F20"/>
          <w:spacing w:val="-4"/>
        </w:rPr>
        <w:t> </w:t>
      </w:r>
      <w:r>
        <w:rPr>
          <w:color w:val="231F20"/>
        </w:rPr>
        <w:t>es- tructura</w:t>
      </w:r>
      <w:r>
        <w:rPr>
          <w:color w:val="231F20"/>
          <w:spacing w:val="-9"/>
        </w:rPr>
        <w:t> </w:t>
      </w:r>
      <w:r>
        <w:rPr>
          <w:color w:val="231F20"/>
        </w:rPr>
        <w:t>que</w:t>
      </w:r>
      <w:r>
        <w:rPr>
          <w:color w:val="231F20"/>
          <w:spacing w:val="-9"/>
        </w:rPr>
        <w:t> </w:t>
      </w:r>
      <w:r>
        <w:rPr>
          <w:color w:val="231F20"/>
        </w:rPr>
        <w:t>obligue</w:t>
      </w:r>
      <w:r>
        <w:rPr>
          <w:color w:val="231F20"/>
          <w:spacing w:val="-9"/>
        </w:rPr>
        <w:t> </w:t>
      </w:r>
      <w:r>
        <w:rPr>
          <w:color w:val="231F20"/>
        </w:rPr>
        <w:t>al</w:t>
      </w:r>
      <w:r>
        <w:rPr>
          <w:color w:val="231F20"/>
          <w:spacing w:val="-9"/>
        </w:rPr>
        <w:t> </w:t>
      </w:r>
      <w:r>
        <w:rPr>
          <w:color w:val="231F20"/>
        </w:rPr>
        <w:t>sujeto</w:t>
      </w:r>
      <w:r>
        <w:rPr>
          <w:color w:val="231F20"/>
          <w:spacing w:val="-9"/>
        </w:rPr>
        <w:t> </w:t>
      </w:r>
      <w:r>
        <w:rPr>
          <w:color w:val="231F20"/>
        </w:rPr>
        <w:t>a</w:t>
      </w:r>
      <w:r>
        <w:rPr>
          <w:color w:val="231F20"/>
          <w:spacing w:val="-9"/>
        </w:rPr>
        <w:t> </w:t>
      </w:r>
      <w:r>
        <w:rPr>
          <w:color w:val="231F20"/>
        </w:rPr>
        <w:t>actuar</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u</w:t>
      </w:r>
      <w:r>
        <w:rPr>
          <w:color w:val="231F20"/>
          <w:spacing w:val="-9"/>
        </w:rPr>
        <w:t> </w:t>
      </w:r>
      <w:r>
        <w:rPr>
          <w:color w:val="231F20"/>
        </w:rPr>
        <w:t>otra</w:t>
      </w:r>
      <w:r>
        <w:rPr>
          <w:color w:val="231F20"/>
          <w:spacing w:val="-9"/>
        </w:rPr>
        <w:t> </w:t>
      </w:r>
      <w:r>
        <w:rPr>
          <w:color w:val="231F20"/>
        </w:rPr>
        <w:t>forma.</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contrario, cuestiona todas esas formas tradicionales. Lo anterior permite realizar una aproximación más libre —que no laxa— respecto del significado, motiva- ciones, idealidades y decisiones que el sujeto migrante efectúa a lo largo de su</w:t>
      </w:r>
      <w:r>
        <w:rPr>
          <w:color w:val="231F20"/>
          <w:spacing w:val="-1"/>
        </w:rPr>
        <w:t> </w:t>
      </w:r>
      <w:r>
        <w:rPr>
          <w:color w:val="231F20"/>
        </w:rPr>
        <w:t>trayecto.</w:t>
      </w:r>
    </w:p>
    <w:p>
      <w:pPr>
        <w:pStyle w:val="BodyText"/>
        <w:spacing w:line="247" w:lineRule="auto"/>
        <w:ind w:left="117" w:right="115" w:firstLine="283"/>
        <w:jc w:val="both"/>
      </w:pPr>
      <w:r>
        <w:rPr>
          <w:color w:val="231F20"/>
        </w:rPr>
        <w:t>De esta suerte es que se usará como referente empírico la categoría determinada por los derechos humanos de tercera generación, entendidos desde</w:t>
      </w:r>
      <w:r>
        <w:rPr>
          <w:color w:val="231F20"/>
          <w:spacing w:val="-6"/>
        </w:rPr>
        <w:t> </w:t>
      </w:r>
      <w:r>
        <w:rPr>
          <w:color w:val="231F20"/>
        </w:rPr>
        <w:t>la</w:t>
      </w:r>
      <w:r>
        <w:rPr>
          <w:color w:val="231F20"/>
          <w:spacing w:val="-6"/>
        </w:rPr>
        <w:t> </w:t>
      </w:r>
      <w:r>
        <w:rPr>
          <w:color w:val="231F20"/>
        </w:rPr>
        <w:t>lógica</w:t>
      </w:r>
      <w:r>
        <w:rPr>
          <w:color w:val="231F20"/>
          <w:spacing w:val="-7"/>
        </w:rPr>
        <w:t> </w:t>
      </w:r>
      <w:r>
        <w:rPr>
          <w:color w:val="231F20"/>
        </w:rPr>
        <w:t>de</w:t>
      </w:r>
      <w:r>
        <w:rPr>
          <w:color w:val="231F20"/>
          <w:spacing w:val="-6"/>
        </w:rPr>
        <w:t> </w:t>
      </w:r>
      <w:r>
        <w:rPr>
          <w:color w:val="231F20"/>
        </w:rPr>
        <w:t>Foucault,</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rPr>
        <w:t>papel</w:t>
      </w:r>
      <w:r>
        <w:rPr>
          <w:color w:val="231F20"/>
          <w:spacing w:val="-6"/>
        </w:rPr>
        <w:t> </w:t>
      </w:r>
      <w:r>
        <w:rPr>
          <w:color w:val="231F20"/>
        </w:rPr>
        <w:t>de</w:t>
      </w:r>
      <w:r>
        <w:rPr>
          <w:color w:val="231F20"/>
          <w:spacing w:val="-6"/>
        </w:rPr>
        <w:t> </w:t>
      </w:r>
      <w:r>
        <w:rPr>
          <w:color w:val="231F20"/>
        </w:rPr>
        <w:t>dispositivos,</w:t>
      </w:r>
      <w:r>
        <w:rPr>
          <w:color w:val="231F20"/>
          <w:position w:val="7"/>
          <w:sz w:val="13"/>
        </w:rPr>
        <w:t>3</w:t>
      </w:r>
      <w:r>
        <w:rPr>
          <w:color w:val="231F20"/>
          <w:spacing w:val="16"/>
          <w:position w:val="7"/>
          <w:sz w:val="13"/>
        </w:rPr>
        <w:t> </w:t>
      </w:r>
      <w:r>
        <w:rPr>
          <w:color w:val="231F20"/>
        </w:rPr>
        <w:t>usados</w:t>
      </w:r>
      <w:r>
        <w:rPr>
          <w:color w:val="231F20"/>
          <w:spacing w:val="-6"/>
        </w:rPr>
        <w:t> </w:t>
      </w:r>
      <w:r>
        <w:rPr>
          <w:color w:val="231F20"/>
        </w:rPr>
        <w:t>como</w:t>
      </w:r>
      <w:r>
        <w:rPr>
          <w:color w:val="231F20"/>
          <w:spacing w:val="-6"/>
        </w:rPr>
        <w:t> </w:t>
      </w:r>
      <w:r>
        <w:rPr>
          <w:color w:val="231F20"/>
        </w:rPr>
        <w:t>me- dios para la consecución de los fines del biopoder y la biopolítica. Como categoría de análisis, los derechos humanos de tercera generación se ade- cuan</w:t>
      </w:r>
      <w:r>
        <w:rPr>
          <w:color w:val="231F20"/>
          <w:spacing w:val="-11"/>
        </w:rPr>
        <w:t> </w:t>
      </w:r>
      <w:r>
        <w:rPr>
          <w:color w:val="231F20"/>
        </w:rPr>
        <w:t>al</w:t>
      </w:r>
      <w:r>
        <w:rPr>
          <w:color w:val="231F20"/>
          <w:spacing w:val="-11"/>
        </w:rPr>
        <w:t> </w:t>
      </w:r>
      <w:r>
        <w:rPr>
          <w:color w:val="231F20"/>
        </w:rPr>
        <w:t>propósito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investigación</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presenta,</w:t>
      </w:r>
      <w:r>
        <w:rPr>
          <w:color w:val="231F20"/>
          <w:spacing w:val="-11"/>
        </w:rPr>
        <w:t> </w:t>
      </w:r>
      <w:r>
        <w:rPr>
          <w:color w:val="231F20"/>
        </w:rPr>
        <w:t>pues</w:t>
      </w:r>
      <w:r>
        <w:rPr>
          <w:color w:val="231F20"/>
          <w:spacing w:val="-11"/>
        </w:rPr>
        <w:t> </w:t>
      </w:r>
      <w:r>
        <w:rPr>
          <w:color w:val="231F20"/>
        </w:rPr>
        <w:t>son</w:t>
      </w:r>
      <w:r>
        <w:rPr>
          <w:color w:val="231F20"/>
          <w:spacing w:val="-11"/>
        </w:rPr>
        <w:t> </w:t>
      </w:r>
      <w:r>
        <w:rPr>
          <w:color w:val="231F20"/>
        </w:rPr>
        <w:t>susceptibles de ser exigidos como medio de protección a cualquier gobierno, indepen- dientemente de que se sea nacional o ciudadano del</w:t>
      </w:r>
      <w:r>
        <w:rPr>
          <w:color w:val="231F20"/>
          <w:spacing w:val="-4"/>
        </w:rPr>
        <w:t> </w:t>
      </w:r>
      <w:r>
        <w:rPr>
          <w:color w:val="231F20"/>
        </w:rPr>
        <w:t>mismo.</w:t>
      </w:r>
    </w:p>
    <w:p>
      <w:pPr>
        <w:pStyle w:val="BodyText"/>
        <w:spacing w:line="247" w:lineRule="auto"/>
        <w:ind w:left="117" w:right="114" w:firstLine="283"/>
        <w:jc w:val="both"/>
      </w:pPr>
      <w:r>
        <w:rPr/>
        <w:pict>
          <v:line style="position:absolute;mso-position-horizontal-relative:page;mso-position-vertical-relative:paragraph;z-index:3328;mso-wrap-distance-left:0;mso-wrap-distance-right:0" from="70.866096pt,121.878838pt" to="142.866096pt,121.878838pt" stroked="true" strokeweight=".75pt" strokecolor="#231f20">
            <w10:wrap type="topAndBottom"/>
          </v:line>
        </w:pict>
      </w:r>
      <w:r>
        <w:rPr>
          <w:color w:val="231F20"/>
        </w:rPr>
        <w:t>Es de notarse que la categoría de los derechos humanos de tercera ge- neración surge en la década de los setenta originalmente como un instru- mento jurídico que busca dar solución a una serie de hechos sociales que han afectado el desarrollo integral de grupos de personas. Son una nueva propuesta en función de las condiciones globales que responde a las ne- cesidades creadas en este contexto y a las que los de segunda y primera generación no respondían. Al igual que en las generaciones anteriores, los derechos humanos de tercera generación resultan una serie de</w:t>
      </w:r>
      <w:r>
        <w:rPr>
          <w:color w:val="231F20"/>
          <w:spacing w:val="-21"/>
        </w:rPr>
        <w:t> </w:t>
      </w:r>
      <w:r>
        <w:rPr>
          <w:color w:val="231F20"/>
        </w:rPr>
        <w:t>prescripcio- nes deontológicas que describen las condiciones de lo que debería </w:t>
      </w:r>
      <w:r>
        <w:rPr>
          <w:color w:val="231F20"/>
          <w:spacing w:val="-3"/>
        </w:rPr>
        <w:t>ser,</w:t>
      </w:r>
      <w:r>
        <w:rPr>
          <w:color w:val="231F20"/>
          <w:spacing w:val="30"/>
        </w:rPr>
        <w:t> </w:t>
      </w:r>
      <w:r>
        <w:rPr>
          <w:color w:val="231F20"/>
        </w:rPr>
        <w:t>sin</w:t>
      </w:r>
    </w:p>
    <w:p>
      <w:pPr>
        <w:spacing w:line="170" w:lineRule="exact" w:before="0"/>
        <w:ind w:left="117" w:right="114" w:firstLine="0"/>
        <w:jc w:val="both"/>
        <w:rPr>
          <w:sz w:val="17"/>
        </w:rPr>
      </w:pPr>
      <w:r>
        <w:rPr>
          <w:color w:val="231F20"/>
          <w:position w:val="6"/>
          <w:sz w:val="10"/>
        </w:rPr>
        <w:t>2 </w:t>
      </w:r>
      <w:r>
        <w:rPr>
          <w:color w:val="231F20"/>
          <w:sz w:val="17"/>
        </w:rPr>
        <w:t>Al igual que Michael Foucault, se puede considerar, por sus abordajes, posturas y aportaciones posestructuralistas</w:t>
      </w:r>
      <w:r>
        <w:rPr>
          <w:color w:val="231F20"/>
          <w:spacing w:val="-12"/>
          <w:sz w:val="17"/>
        </w:rPr>
        <w:t> </w:t>
      </w:r>
      <w:r>
        <w:rPr>
          <w:color w:val="231F20"/>
          <w:sz w:val="17"/>
        </w:rPr>
        <w:t>a</w:t>
      </w:r>
      <w:r>
        <w:rPr>
          <w:color w:val="231F20"/>
          <w:spacing w:val="-12"/>
          <w:sz w:val="17"/>
        </w:rPr>
        <w:t> </w:t>
      </w:r>
      <w:r>
        <w:rPr>
          <w:color w:val="231F20"/>
          <w:sz w:val="17"/>
        </w:rPr>
        <w:t>los</w:t>
      </w:r>
      <w:r>
        <w:rPr>
          <w:color w:val="231F20"/>
          <w:spacing w:val="-12"/>
          <w:sz w:val="17"/>
        </w:rPr>
        <w:t> </w:t>
      </w:r>
      <w:r>
        <w:rPr>
          <w:color w:val="231F20"/>
          <w:sz w:val="17"/>
        </w:rPr>
        <w:t>pensadores</w:t>
      </w:r>
      <w:r>
        <w:rPr>
          <w:color w:val="231F20"/>
          <w:spacing w:val="-12"/>
          <w:sz w:val="17"/>
        </w:rPr>
        <w:t> </w:t>
      </w:r>
      <w:r>
        <w:rPr>
          <w:color w:val="231F20"/>
          <w:sz w:val="17"/>
        </w:rPr>
        <w:t>Gilles</w:t>
      </w:r>
      <w:r>
        <w:rPr>
          <w:color w:val="231F20"/>
          <w:spacing w:val="-11"/>
          <w:sz w:val="17"/>
        </w:rPr>
        <w:t> </w:t>
      </w:r>
      <w:r>
        <w:rPr>
          <w:color w:val="231F20"/>
          <w:sz w:val="17"/>
        </w:rPr>
        <w:t>Deleuze,</w:t>
      </w:r>
      <w:r>
        <w:rPr>
          <w:color w:val="231F20"/>
          <w:spacing w:val="-12"/>
          <w:sz w:val="17"/>
        </w:rPr>
        <w:t> </w:t>
      </w:r>
      <w:r>
        <w:rPr>
          <w:color w:val="231F20"/>
          <w:sz w:val="17"/>
        </w:rPr>
        <w:t>Gianni</w:t>
      </w:r>
      <w:r>
        <w:rPr>
          <w:color w:val="231F20"/>
          <w:spacing w:val="-14"/>
          <w:sz w:val="17"/>
        </w:rPr>
        <w:t> </w:t>
      </w:r>
      <w:r>
        <w:rPr>
          <w:color w:val="231F20"/>
          <w:spacing w:val="-3"/>
          <w:sz w:val="17"/>
        </w:rPr>
        <w:t>Vattimo,</w:t>
      </w:r>
      <w:r>
        <w:rPr>
          <w:color w:val="231F20"/>
          <w:spacing w:val="-12"/>
          <w:sz w:val="17"/>
        </w:rPr>
        <w:t> </w:t>
      </w:r>
      <w:r>
        <w:rPr>
          <w:color w:val="231F20"/>
          <w:sz w:val="17"/>
        </w:rPr>
        <w:t>Jacques</w:t>
      </w:r>
      <w:r>
        <w:rPr>
          <w:color w:val="231F20"/>
          <w:spacing w:val="-11"/>
          <w:sz w:val="17"/>
        </w:rPr>
        <w:t> </w:t>
      </w:r>
      <w:r>
        <w:rPr>
          <w:color w:val="231F20"/>
          <w:sz w:val="17"/>
        </w:rPr>
        <w:t>Derrida,</w:t>
      </w:r>
      <w:r>
        <w:rPr>
          <w:color w:val="231F20"/>
          <w:spacing w:val="-12"/>
          <w:sz w:val="17"/>
        </w:rPr>
        <w:t> </w:t>
      </w:r>
      <w:r>
        <w:rPr>
          <w:color w:val="231F20"/>
          <w:sz w:val="17"/>
        </w:rPr>
        <w:t>entre</w:t>
      </w:r>
      <w:r>
        <w:rPr>
          <w:color w:val="231F20"/>
          <w:spacing w:val="-12"/>
          <w:sz w:val="17"/>
        </w:rPr>
        <w:t> </w:t>
      </w:r>
      <w:r>
        <w:rPr>
          <w:color w:val="231F20"/>
          <w:sz w:val="17"/>
        </w:rPr>
        <w:t>otros.</w:t>
      </w:r>
    </w:p>
    <w:p>
      <w:pPr>
        <w:spacing w:line="170" w:lineRule="exact" w:before="0"/>
        <w:ind w:left="117" w:right="115" w:firstLine="0"/>
        <w:jc w:val="both"/>
        <w:rPr>
          <w:sz w:val="17"/>
        </w:rPr>
      </w:pPr>
      <w:r>
        <w:rPr>
          <w:color w:val="231F20"/>
          <w:position w:val="6"/>
          <w:sz w:val="10"/>
        </w:rPr>
        <w:t>3 </w:t>
      </w:r>
      <w:r>
        <w:rPr>
          <w:color w:val="231F20"/>
          <w:sz w:val="17"/>
        </w:rPr>
        <w:t>Según Foucault, un dispositivo de seguridad es un elemento que consiste en una </w:t>
      </w:r>
      <w:r>
        <w:rPr>
          <w:color w:val="231F20"/>
          <w:spacing w:val="-3"/>
          <w:sz w:val="17"/>
        </w:rPr>
        <w:t>ley. </w:t>
      </w:r>
      <w:r>
        <w:rPr>
          <w:color w:val="231F20"/>
          <w:sz w:val="17"/>
        </w:rPr>
        <w:t>En el sistema de código legal con partición binaria se convierte en un elemento que distingue entre lo permitido</w:t>
      </w:r>
      <w:r>
        <w:rPr>
          <w:color w:val="231F20"/>
          <w:spacing w:val="-7"/>
          <w:sz w:val="17"/>
        </w:rPr>
        <w:t> </w:t>
      </w:r>
      <w:r>
        <w:rPr>
          <w:color w:val="231F20"/>
          <w:sz w:val="17"/>
        </w:rPr>
        <w:t>y</w:t>
      </w:r>
      <w:r>
        <w:rPr>
          <w:color w:val="231F20"/>
          <w:spacing w:val="-7"/>
          <w:sz w:val="17"/>
        </w:rPr>
        <w:t> </w:t>
      </w:r>
      <w:r>
        <w:rPr>
          <w:color w:val="231F20"/>
          <w:sz w:val="17"/>
        </w:rPr>
        <w:t>lo</w:t>
      </w:r>
      <w:r>
        <w:rPr>
          <w:color w:val="231F20"/>
          <w:spacing w:val="-7"/>
          <w:sz w:val="17"/>
        </w:rPr>
        <w:t> </w:t>
      </w:r>
      <w:r>
        <w:rPr>
          <w:color w:val="231F20"/>
          <w:sz w:val="17"/>
        </w:rPr>
        <w:t>vedado</w:t>
      </w:r>
      <w:r>
        <w:rPr>
          <w:color w:val="231F20"/>
          <w:spacing w:val="-7"/>
          <w:sz w:val="17"/>
        </w:rPr>
        <w:t> </w:t>
      </w:r>
      <w:r>
        <w:rPr>
          <w:color w:val="231F20"/>
          <w:sz w:val="17"/>
        </w:rPr>
        <w:t>y</w:t>
      </w:r>
      <w:r>
        <w:rPr>
          <w:color w:val="231F20"/>
          <w:spacing w:val="-7"/>
          <w:sz w:val="17"/>
        </w:rPr>
        <w:t> </w:t>
      </w:r>
      <w:r>
        <w:rPr>
          <w:color w:val="231F20"/>
          <w:sz w:val="17"/>
        </w:rPr>
        <w:t>un</w:t>
      </w:r>
      <w:r>
        <w:rPr>
          <w:color w:val="231F20"/>
          <w:spacing w:val="-7"/>
          <w:sz w:val="17"/>
        </w:rPr>
        <w:t> </w:t>
      </w:r>
      <w:r>
        <w:rPr>
          <w:color w:val="231F20"/>
          <w:sz w:val="17"/>
        </w:rPr>
        <w:t>acoplamiento</w:t>
      </w:r>
      <w:r>
        <w:rPr>
          <w:color w:val="231F20"/>
          <w:spacing w:val="-7"/>
          <w:sz w:val="17"/>
        </w:rPr>
        <w:t> </w:t>
      </w:r>
      <w:r>
        <w:rPr>
          <w:color w:val="231F20"/>
          <w:sz w:val="17"/>
        </w:rPr>
        <w:t>que</w:t>
      </w:r>
      <w:r>
        <w:rPr>
          <w:color w:val="231F20"/>
          <w:spacing w:val="-7"/>
          <w:sz w:val="17"/>
        </w:rPr>
        <w:t> </w:t>
      </w:r>
      <w:r>
        <w:rPr>
          <w:color w:val="231F20"/>
          <w:sz w:val="17"/>
        </w:rPr>
        <w:t>es</w:t>
      </w:r>
      <w:r>
        <w:rPr>
          <w:color w:val="231F20"/>
          <w:spacing w:val="-7"/>
          <w:sz w:val="17"/>
        </w:rPr>
        <w:t> </w:t>
      </w:r>
      <w:r>
        <w:rPr>
          <w:color w:val="231F20"/>
          <w:sz w:val="17"/>
        </w:rPr>
        <w:t>justamente</w:t>
      </w:r>
      <w:r>
        <w:rPr>
          <w:color w:val="231F20"/>
          <w:spacing w:val="-7"/>
          <w:sz w:val="17"/>
        </w:rPr>
        <w:t> </w:t>
      </w:r>
      <w:r>
        <w:rPr>
          <w:color w:val="231F20"/>
          <w:sz w:val="17"/>
        </w:rPr>
        <w:t>el</w:t>
      </w:r>
      <w:r>
        <w:rPr>
          <w:color w:val="231F20"/>
          <w:spacing w:val="-7"/>
          <w:sz w:val="17"/>
        </w:rPr>
        <w:t> </w:t>
      </w:r>
      <w:r>
        <w:rPr>
          <w:color w:val="231F20"/>
          <w:sz w:val="17"/>
        </w:rPr>
        <w:t>meollo</w:t>
      </w:r>
      <w:r>
        <w:rPr>
          <w:color w:val="231F20"/>
          <w:spacing w:val="-7"/>
          <w:sz w:val="17"/>
        </w:rPr>
        <w:t> </w:t>
      </w:r>
      <w:r>
        <w:rPr>
          <w:color w:val="231F20"/>
          <w:sz w:val="17"/>
        </w:rPr>
        <w:t>del</w:t>
      </w:r>
      <w:r>
        <w:rPr>
          <w:color w:val="231F20"/>
          <w:spacing w:val="-7"/>
          <w:sz w:val="17"/>
        </w:rPr>
        <w:t> </w:t>
      </w:r>
      <w:r>
        <w:rPr>
          <w:color w:val="231F20"/>
          <w:sz w:val="17"/>
        </w:rPr>
        <w:t>código,</w:t>
      </w:r>
      <w:r>
        <w:rPr>
          <w:color w:val="231F20"/>
          <w:spacing w:val="-7"/>
          <w:sz w:val="17"/>
        </w:rPr>
        <w:t> </w:t>
      </w:r>
      <w:r>
        <w:rPr>
          <w:color w:val="231F20"/>
          <w:sz w:val="17"/>
        </w:rPr>
        <w:t>entre</w:t>
      </w:r>
      <w:r>
        <w:rPr>
          <w:color w:val="231F20"/>
          <w:spacing w:val="-7"/>
          <w:sz w:val="17"/>
        </w:rPr>
        <w:t> </w:t>
      </w:r>
      <w:r>
        <w:rPr>
          <w:color w:val="231F20"/>
          <w:sz w:val="17"/>
        </w:rPr>
        <w:t>un</w:t>
      </w:r>
      <w:r>
        <w:rPr>
          <w:color w:val="231F20"/>
          <w:spacing w:val="-7"/>
          <w:sz w:val="17"/>
        </w:rPr>
        <w:t> </w:t>
      </w:r>
      <w:r>
        <w:rPr>
          <w:color w:val="231F20"/>
          <w:sz w:val="17"/>
        </w:rPr>
        <w:t>tipo</w:t>
      </w:r>
      <w:r>
        <w:rPr>
          <w:color w:val="231F20"/>
          <w:spacing w:val="-7"/>
          <w:sz w:val="17"/>
        </w:rPr>
        <w:t> </w:t>
      </w:r>
      <w:r>
        <w:rPr>
          <w:color w:val="231F20"/>
          <w:sz w:val="17"/>
        </w:rPr>
        <w:t>de acción</w:t>
      </w:r>
      <w:r>
        <w:rPr>
          <w:color w:val="231F20"/>
          <w:spacing w:val="-4"/>
          <w:sz w:val="17"/>
        </w:rPr>
        <w:t> </w:t>
      </w:r>
      <w:r>
        <w:rPr>
          <w:color w:val="231F20"/>
          <w:sz w:val="17"/>
        </w:rPr>
        <w:t>prohibida</w:t>
      </w:r>
      <w:r>
        <w:rPr>
          <w:color w:val="231F20"/>
          <w:spacing w:val="-3"/>
          <w:sz w:val="17"/>
        </w:rPr>
        <w:t> </w:t>
      </w:r>
      <w:r>
        <w:rPr>
          <w:color w:val="231F20"/>
          <w:sz w:val="17"/>
        </w:rPr>
        <w:t>y</w:t>
      </w:r>
      <w:r>
        <w:rPr>
          <w:color w:val="231F20"/>
          <w:spacing w:val="-3"/>
          <w:sz w:val="17"/>
        </w:rPr>
        <w:t> </w:t>
      </w:r>
      <w:r>
        <w:rPr>
          <w:color w:val="231F20"/>
          <w:sz w:val="17"/>
        </w:rPr>
        <w:t>un</w:t>
      </w:r>
      <w:r>
        <w:rPr>
          <w:color w:val="231F20"/>
          <w:spacing w:val="-3"/>
          <w:sz w:val="17"/>
        </w:rPr>
        <w:t> </w:t>
      </w:r>
      <w:r>
        <w:rPr>
          <w:color w:val="231F20"/>
          <w:sz w:val="17"/>
        </w:rPr>
        <w:t>tipo</w:t>
      </w:r>
      <w:r>
        <w:rPr>
          <w:color w:val="231F20"/>
          <w:spacing w:val="-3"/>
          <w:sz w:val="17"/>
        </w:rPr>
        <w:t> </w:t>
      </w:r>
      <w:r>
        <w:rPr>
          <w:color w:val="231F20"/>
          <w:sz w:val="17"/>
        </w:rPr>
        <w:t>de</w:t>
      </w:r>
      <w:r>
        <w:rPr>
          <w:color w:val="231F20"/>
          <w:spacing w:val="-3"/>
          <w:sz w:val="17"/>
        </w:rPr>
        <w:t> </w:t>
      </w:r>
      <w:r>
        <w:rPr>
          <w:color w:val="231F20"/>
          <w:sz w:val="17"/>
        </w:rPr>
        <w:t>castigo.</w:t>
      </w:r>
      <w:r>
        <w:rPr>
          <w:color w:val="231F20"/>
          <w:spacing w:val="-4"/>
          <w:sz w:val="17"/>
        </w:rPr>
        <w:t> </w:t>
      </w:r>
      <w:r>
        <w:rPr>
          <w:color w:val="231F20"/>
          <w:sz w:val="17"/>
        </w:rPr>
        <w:t>Se</w:t>
      </w:r>
      <w:r>
        <w:rPr>
          <w:color w:val="231F20"/>
          <w:spacing w:val="-3"/>
          <w:sz w:val="17"/>
        </w:rPr>
        <w:t> </w:t>
      </w:r>
      <w:r>
        <w:rPr>
          <w:color w:val="231F20"/>
          <w:sz w:val="17"/>
        </w:rPr>
        <w:t>trata</w:t>
      </w:r>
      <w:r>
        <w:rPr>
          <w:color w:val="231F20"/>
          <w:spacing w:val="-3"/>
          <w:sz w:val="17"/>
        </w:rPr>
        <w:t> </w:t>
      </w:r>
      <w:r>
        <w:rPr>
          <w:color w:val="231F20"/>
          <w:sz w:val="17"/>
        </w:rPr>
        <w:t>pues</w:t>
      </w:r>
      <w:r>
        <w:rPr>
          <w:color w:val="231F20"/>
          <w:spacing w:val="-3"/>
          <w:sz w:val="17"/>
        </w:rPr>
        <w:t> </w:t>
      </w:r>
      <w:r>
        <w:rPr>
          <w:color w:val="231F20"/>
          <w:sz w:val="17"/>
        </w:rPr>
        <w:t>de</w:t>
      </w:r>
      <w:r>
        <w:rPr>
          <w:color w:val="231F20"/>
          <w:spacing w:val="-3"/>
          <w:sz w:val="17"/>
        </w:rPr>
        <w:t> </w:t>
      </w:r>
      <w:r>
        <w:rPr>
          <w:color w:val="231F20"/>
          <w:sz w:val="17"/>
        </w:rPr>
        <w:t>un</w:t>
      </w:r>
      <w:r>
        <w:rPr>
          <w:color w:val="231F20"/>
          <w:spacing w:val="-3"/>
          <w:sz w:val="17"/>
        </w:rPr>
        <w:t> </w:t>
      </w:r>
      <w:r>
        <w:rPr>
          <w:color w:val="231F20"/>
          <w:sz w:val="17"/>
        </w:rPr>
        <w:t>mecanismo</w:t>
      </w:r>
      <w:r>
        <w:rPr>
          <w:color w:val="231F20"/>
          <w:spacing w:val="-4"/>
          <w:sz w:val="17"/>
        </w:rPr>
        <w:t> </w:t>
      </w:r>
      <w:r>
        <w:rPr>
          <w:color w:val="231F20"/>
          <w:sz w:val="17"/>
        </w:rPr>
        <w:t>legal</w:t>
      </w:r>
      <w:r>
        <w:rPr>
          <w:color w:val="231F20"/>
          <w:spacing w:val="-3"/>
          <w:sz w:val="17"/>
        </w:rPr>
        <w:t> </w:t>
      </w:r>
      <w:r>
        <w:rPr>
          <w:color w:val="231F20"/>
          <w:sz w:val="17"/>
        </w:rPr>
        <w:t>o</w:t>
      </w:r>
      <w:r>
        <w:rPr>
          <w:color w:val="231F20"/>
          <w:spacing w:val="-3"/>
          <w:sz w:val="17"/>
        </w:rPr>
        <w:t> </w:t>
      </w:r>
      <w:r>
        <w:rPr>
          <w:color w:val="231F20"/>
          <w:sz w:val="17"/>
        </w:rPr>
        <w:t>jurídico.</w:t>
      </w:r>
      <w:r>
        <w:rPr>
          <w:color w:val="231F20"/>
          <w:spacing w:val="-4"/>
          <w:sz w:val="17"/>
        </w:rPr>
        <w:t> </w:t>
      </w:r>
      <w:r>
        <w:rPr>
          <w:color w:val="231F20"/>
          <w:sz w:val="17"/>
        </w:rPr>
        <w:t>(Foucault, 2006: 21).</w:t>
      </w:r>
    </w:p>
    <w:p>
      <w:pPr>
        <w:spacing w:line="170" w:lineRule="exact" w:before="0"/>
        <w:ind w:left="117" w:right="115" w:firstLine="113"/>
        <w:jc w:val="both"/>
        <w:rPr>
          <w:sz w:val="17"/>
        </w:rPr>
      </w:pPr>
      <w:r>
        <w:rPr>
          <w:color w:val="231F20"/>
          <w:sz w:val="17"/>
        </w:rPr>
        <w:t>Las reacciones de poder frente al fenómeno que implica el dispositivo se incorporarán a un cálculo de costos (consecuencias)…y se fijarán medidas consideradas como óptimas, así como límites para lo aceptable, más allá de los cuales no se habrá de pasar.</w:t>
      </w:r>
    </w:p>
    <w:p>
      <w:pPr>
        <w:spacing w:line="170" w:lineRule="exact" w:before="0"/>
        <w:ind w:left="117" w:right="114" w:firstLine="113"/>
        <w:jc w:val="both"/>
        <w:rPr>
          <w:sz w:val="17"/>
        </w:rPr>
      </w:pPr>
      <w:r>
        <w:rPr>
          <w:color w:val="231F20"/>
          <w:sz w:val="17"/>
        </w:rPr>
        <w:t>Ahora bien, estas leyes son, desde la perspectiva teórica propuesta por Foucault, mecanismos de</w:t>
      </w:r>
      <w:r>
        <w:rPr>
          <w:color w:val="231F20"/>
          <w:spacing w:val="-3"/>
          <w:sz w:val="17"/>
        </w:rPr>
        <w:t> </w:t>
      </w:r>
      <w:r>
        <w:rPr>
          <w:color w:val="231F20"/>
          <w:sz w:val="17"/>
        </w:rPr>
        <w:t>seguridad,</w:t>
      </w:r>
      <w:r>
        <w:rPr>
          <w:color w:val="231F20"/>
          <w:spacing w:val="-2"/>
          <w:sz w:val="17"/>
        </w:rPr>
        <w:t> </w:t>
      </w:r>
      <w:r>
        <w:rPr>
          <w:color w:val="231F20"/>
          <w:sz w:val="17"/>
        </w:rPr>
        <w:t>pues</w:t>
      </w:r>
      <w:r>
        <w:rPr>
          <w:color w:val="231F20"/>
          <w:spacing w:val="-3"/>
          <w:sz w:val="17"/>
        </w:rPr>
        <w:t> </w:t>
      </w:r>
      <w:r>
        <w:rPr>
          <w:color w:val="231F20"/>
          <w:sz w:val="17"/>
        </w:rPr>
        <w:t>establecen</w:t>
      </w:r>
      <w:r>
        <w:rPr>
          <w:color w:val="231F20"/>
          <w:spacing w:val="-3"/>
          <w:sz w:val="17"/>
        </w:rPr>
        <w:t> </w:t>
      </w:r>
      <w:r>
        <w:rPr>
          <w:color w:val="231F20"/>
          <w:sz w:val="17"/>
        </w:rPr>
        <w:t>qué</w:t>
      </w:r>
      <w:r>
        <w:rPr>
          <w:color w:val="231F20"/>
          <w:spacing w:val="-3"/>
          <w:sz w:val="17"/>
        </w:rPr>
        <w:t> </w:t>
      </w:r>
      <w:r>
        <w:rPr>
          <w:color w:val="231F20"/>
          <w:sz w:val="17"/>
        </w:rPr>
        <w:t>es</w:t>
      </w:r>
      <w:r>
        <w:rPr>
          <w:color w:val="231F20"/>
          <w:spacing w:val="-3"/>
          <w:sz w:val="17"/>
        </w:rPr>
        <w:t> </w:t>
      </w:r>
      <w:r>
        <w:rPr>
          <w:color w:val="231F20"/>
          <w:sz w:val="17"/>
        </w:rPr>
        <w:t>lo</w:t>
      </w:r>
      <w:r>
        <w:rPr>
          <w:color w:val="231F20"/>
          <w:spacing w:val="-3"/>
          <w:sz w:val="17"/>
        </w:rPr>
        <w:t> </w:t>
      </w:r>
      <w:r>
        <w:rPr>
          <w:color w:val="231F20"/>
          <w:sz w:val="17"/>
        </w:rPr>
        <w:t>que</w:t>
      </w:r>
      <w:r>
        <w:rPr>
          <w:color w:val="231F20"/>
          <w:spacing w:val="-3"/>
          <w:sz w:val="17"/>
        </w:rPr>
        <w:t> </w:t>
      </w:r>
      <w:r>
        <w:rPr>
          <w:color w:val="231F20"/>
          <w:sz w:val="17"/>
        </w:rPr>
        <w:t>el</w:t>
      </w:r>
      <w:r>
        <w:rPr>
          <w:color w:val="231F20"/>
          <w:spacing w:val="-3"/>
          <w:sz w:val="17"/>
        </w:rPr>
        <w:t> </w:t>
      </w:r>
      <w:r>
        <w:rPr>
          <w:color w:val="231F20"/>
          <w:sz w:val="17"/>
        </w:rPr>
        <w:t>sujeto</w:t>
      </w:r>
      <w:r>
        <w:rPr>
          <w:color w:val="231F20"/>
          <w:spacing w:val="-3"/>
          <w:sz w:val="17"/>
        </w:rPr>
        <w:t> </w:t>
      </w:r>
      <w:r>
        <w:rPr>
          <w:color w:val="231F20"/>
          <w:sz w:val="17"/>
        </w:rPr>
        <w:t>extranjero</w:t>
      </w:r>
      <w:r>
        <w:rPr>
          <w:color w:val="231F20"/>
          <w:spacing w:val="-4"/>
          <w:sz w:val="17"/>
        </w:rPr>
        <w:t> </w:t>
      </w:r>
      <w:r>
        <w:rPr>
          <w:color w:val="231F20"/>
          <w:sz w:val="17"/>
        </w:rPr>
        <w:t>debe</w:t>
      </w:r>
      <w:r>
        <w:rPr>
          <w:color w:val="231F20"/>
          <w:spacing w:val="-3"/>
          <w:sz w:val="17"/>
        </w:rPr>
        <w:t> </w:t>
      </w:r>
      <w:r>
        <w:rPr>
          <w:color w:val="231F20"/>
          <w:sz w:val="17"/>
        </w:rPr>
        <w:t>hacer</w:t>
      </w:r>
      <w:r>
        <w:rPr>
          <w:color w:val="231F20"/>
          <w:spacing w:val="-3"/>
          <w:sz w:val="17"/>
        </w:rPr>
        <w:t> </w:t>
      </w:r>
      <w:r>
        <w:rPr>
          <w:color w:val="231F20"/>
          <w:sz w:val="17"/>
        </w:rPr>
        <w:t>para</w:t>
      </w:r>
      <w:r>
        <w:rPr>
          <w:color w:val="231F20"/>
          <w:spacing w:val="-3"/>
          <w:sz w:val="17"/>
        </w:rPr>
        <w:t> </w:t>
      </w:r>
      <w:r>
        <w:rPr>
          <w:color w:val="231F20"/>
          <w:sz w:val="17"/>
        </w:rPr>
        <w:t>poder</w:t>
      </w:r>
      <w:r>
        <w:rPr>
          <w:color w:val="231F20"/>
          <w:spacing w:val="-3"/>
          <w:sz w:val="17"/>
        </w:rPr>
        <w:t> </w:t>
      </w:r>
      <w:r>
        <w:rPr>
          <w:color w:val="231F20"/>
          <w:sz w:val="17"/>
        </w:rPr>
        <w:t>internarse en el país, determinan la condición en la que se encuentra el sujeto que no siga tales reglas;  para efectos de la autoridad, determinan qué acciones puede tomar. En ambos casos, autoridad  o sujeto migrante, quedan muy delimitadas las barreras que separan lo lícito de lo que no lo es, fungiendo así como parámetros que deben ser aplicados en la administración de la migración y del sujeto</w:t>
      </w:r>
      <w:r>
        <w:rPr>
          <w:color w:val="231F20"/>
          <w:spacing w:val="-5"/>
          <w:sz w:val="17"/>
        </w:rPr>
        <w:t> </w:t>
      </w:r>
      <w:r>
        <w:rPr>
          <w:color w:val="231F20"/>
          <w:sz w:val="17"/>
        </w:rPr>
        <w:t>migrante.</w:t>
      </w:r>
    </w:p>
    <w:p>
      <w:pPr>
        <w:spacing w:line="170" w:lineRule="exact" w:before="0"/>
        <w:ind w:left="117" w:right="115" w:firstLine="113"/>
        <w:jc w:val="both"/>
        <w:rPr>
          <w:sz w:val="17"/>
        </w:rPr>
      </w:pPr>
      <w:r>
        <w:rPr>
          <w:color w:val="231F20"/>
          <w:sz w:val="17"/>
        </w:rPr>
        <w:t>En términos concretos, estos mecanismos de seguridad reciben el nombre de Ley General de Población,</w:t>
      </w:r>
      <w:r>
        <w:rPr>
          <w:color w:val="231F20"/>
          <w:spacing w:val="-4"/>
          <w:sz w:val="17"/>
        </w:rPr>
        <w:t> </w:t>
      </w:r>
      <w:r>
        <w:rPr>
          <w:color w:val="231F20"/>
          <w:sz w:val="17"/>
        </w:rPr>
        <w:t>Ley</w:t>
      </w:r>
      <w:r>
        <w:rPr>
          <w:color w:val="231F20"/>
          <w:spacing w:val="-4"/>
          <w:sz w:val="17"/>
        </w:rPr>
        <w:t> </w:t>
      </w:r>
      <w:r>
        <w:rPr>
          <w:color w:val="231F20"/>
          <w:sz w:val="17"/>
        </w:rPr>
        <w:t>de</w:t>
      </w:r>
      <w:r>
        <w:rPr>
          <w:color w:val="231F20"/>
          <w:spacing w:val="-4"/>
          <w:sz w:val="17"/>
        </w:rPr>
        <w:t> </w:t>
      </w:r>
      <w:r>
        <w:rPr>
          <w:color w:val="231F20"/>
          <w:sz w:val="17"/>
        </w:rPr>
        <w:t>Migración,</w:t>
      </w:r>
      <w:r>
        <w:rPr>
          <w:color w:val="231F20"/>
          <w:spacing w:val="-4"/>
          <w:sz w:val="17"/>
        </w:rPr>
        <w:t> </w:t>
      </w:r>
      <w:r>
        <w:rPr>
          <w:color w:val="231F20"/>
          <w:sz w:val="17"/>
        </w:rPr>
        <w:t>Constitución</w:t>
      </w:r>
      <w:r>
        <w:rPr>
          <w:color w:val="231F20"/>
          <w:spacing w:val="-4"/>
          <w:sz w:val="17"/>
        </w:rPr>
        <w:t> </w:t>
      </w:r>
      <w:r>
        <w:rPr>
          <w:color w:val="231F20"/>
          <w:sz w:val="17"/>
        </w:rPr>
        <w:t>Política</w:t>
      </w:r>
      <w:r>
        <w:rPr>
          <w:color w:val="231F20"/>
          <w:spacing w:val="-4"/>
          <w:sz w:val="17"/>
        </w:rPr>
        <w:t> </w:t>
      </w:r>
      <w:r>
        <w:rPr>
          <w:color w:val="231F20"/>
          <w:sz w:val="17"/>
        </w:rPr>
        <w:t>de</w:t>
      </w:r>
      <w:r>
        <w:rPr>
          <w:color w:val="231F20"/>
          <w:spacing w:val="-4"/>
          <w:sz w:val="17"/>
        </w:rPr>
        <w:t> </w:t>
      </w:r>
      <w:r>
        <w:rPr>
          <w:color w:val="231F20"/>
          <w:sz w:val="17"/>
        </w:rPr>
        <w:t>los</w:t>
      </w:r>
      <w:r>
        <w:rPr>
          <w:color w:val="231F20"/>
          <w:spacing w:val="-4"/>
          <w:sz w:val="17"/>
        </w:rPr>
        <w:t> </w:t>
      </w:r>
      <w:r>
        <w:rPr>
          <w:color w:val="231F20"/>
          <w:sz w:val="17"/>
        </w:rPr>
        <w:t>Estados</w:t>
      </w:r>
      <w:r>
        <w:rPr>
          <w:color w:val="231F20"/>
          <w:spacing w:val="-5"/>
          <w:sz w:val="17"/>
        </w:rPr>
        <w:t> </w:t>
      </w:r>
      <w:r>
        <w:rPr>
          <w:color w:val="231F20"/>
          <w:sz w:val="17"/>
        </w:rPr>
        <w:t>Unidos</w:t>
      </w:r>
      <w:r>
        <w:rPr>
          <w:color w:val="231F20"/>
          <w:spacing w:val="-4"/>
          <w:sz w:val="17"/>
        </w:rPr>
        <w:t> </w:t>
      </w:r>
      <w:r>
        <w:rPr>
          <w:color w:val="231F20"/>
          <w:sz w:val="17"/>
        </w:rPr>
        <w:t>Mexicanos,</w:t>
      </w:r>
      <w:r>
        <w:rPr>
          <w:color w:val="231F20"/>
          <w:spacing w:val="-4"/>
          <w:sz w:val="17"/>
        </w:rPr>
        <w:t> </w:t>
      </w:r>
      <w:r>
        <w:rPr>
          <w:color w:val="231F20"/>
          <w:sz w:val="17"/>
        </w:rPr>
        <w:t>así</w:t>
      </w:r>
      <w:r>
        <w:rPr>
          <w:color w:val="231F20"/>
          <w:spacing w:val="-4"/>
          <w:sz w:val="17"/>
        </w:rPr>
        <w:t> </w:t>
      </w:r>
      <w:r>
        <w:rPr>
          <w:color w:val="231F20"/>
          <w:sz w:val="17"/>
        </w:rPr>
        <w:t>como diversos tratados y convenciones</w:t>
      </w:r>
      <w:r>
        <w:rPr>
          <w:color w:val="231F20"/>
          <w:spacing w:val="-2"/>
          <w:sz w:val="17"/>
        </w:rPr>
        <w:t> </w:t>
      </w:r>
      <w:r>
        <w:rPr>
          <w:color w:val="231F20"/>
          <w:sz w:val="17"/>
        </w:rPr>
        <w:t>internacionales.</w:t>
      </w:r>
    </w:p>
    <w:p>
      <w:pPr>
        <w:spacing w:after="0" w:line="170" w:lineRule="exact"/>
        <w:jc w:val="both"/>
        <w:rPr>
          <w:sz w:val="17"/>
        </w:rPr>
        <w:sectPr>
          <w:pgSz w:w="9360" w:h="13040"/>
          <w:pgMar w:header="0" w:footer="496" w:top="800" w:bottom="680" w:left="1300" w:right="1300"/>
        </w:sectPr>
      </w:pPr>
    </w:p>
    <w:p>
      <w:pPr>
        <w:spacing w:before="45"/>
        <w:ind w:left="117" w:right="0" w:firstLine="395"/>
        <w:jc w:val="left"/>
        <w:rPr>
          <w:rFonts w:ascii="Arial" w:hAnsi="Arial"/>
          <w:sz w:val="20"/>
        </w:rPr>
      </w:pPr>
      <w:r>
        <w:rPr>
          <w:rFonts w:ascii="Arial" w:hAnsi="Arial"/>
          <w:color w:val="231F20"/>
          <w:w w:val="70"/>
          <w:sz w:val="20"/>
        </w:rPr>
        <w:t>El migrante centroamericano de paso por México y los derechos humanos /Luis Raúl Ortiz-Ramírez</w:t>
      </w:r>
    </w:p>
    <w:p>
      <w:pPr>
        <w:pStyle w:val="BodyText"/>
        <w:spacing w:before="7"/>
        <w:rPr>
          <w:rFonts w:ascii="Arial"/>
          <w:sz w:val="28"/>
        </w:rPr>
      </w:pPr>
    </w:p>
    <w:p>
      <w:pPr>
        <w:pStyle w:val="BodyText"/>
        <w:spacing w:line="247" w:lineRule="auto"/>
        <w:ind w:left="117" w:right="114"/>
        <w:jc w:val="both"/>
      </w:pPr>
      <w:r>
        <w:rPr>
          <w:color w:val="231F20"/>
        </w:rPr>
        <w:t>haber encontrado, hasta el momento, un vehículo que los transporte del nivel discursivo al de la realidad. En muchos casos su reconocimiento y adopción obedece a pautas de necesidad, pues de otra forma, los estados no podrían participar de la firma de tratados y convenios internacionales, o de beneficios y recursos otorgados por grupos y organismos de carácter supranacional.</w:t>
      </w:r>
    </w:p>
    <w:p>
      <w:pPr>
        <w:pStyle w:val="BodyText"/>
        <w:spacing w:line="247" w:lineRule="auto"/>
        <w:ind w:left="117" w:right="114" w:firstLine="283"/>
        <w:jc w:val="both"/>
      </w:pPr>
      <w:r>
        <w:rPr>
          <w:color w:val="231F20"/>
        </w:rPr>
        <w:t>Por lo anteriormente descrito, se debe mencionar que el trabajo repre- senta un esfuerzo de tipo micro sociológico, es decir, aquella Sociología que se refiere a las ocasiones sociales y a las realidades pequeñas y transi- torias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emplean</w:t>
      </w:r>
      <w:r>
        <w:rPr>
          <w:color w:val="231F20"/>
          <w:spacing w:val="-11"/>
        </w:rPr>
        <w:t> </w:t>
      </w:r>
      <w:r>
        <w:rPr>
          <w:color w:val="231F20"/>
        </w:rPr>
        <w:t>como</w:t>
      </w:r>
      <w:r>
        <w:rPr>
          <w:color w:val="231F20"/>
          <w:spacing w:val="-11"/>
        </w:rPr>
        <w:t> </w:t>
      </w:r>
      <w:r>
        <w:rPr>
          <w:color w:val="231F20"/>
        </w:rPr>
        <w:t>campos</w:t>
      </w:r>
      <w:r>
        <w:rPr>
          <w:color w:val="231F20"/>
          <w:spacing w:val="-11"/>
        </w:rPr>
        <w:t> </w:t>
      </w:r>
      <w:r>
        <w:rPr>
          <w:color w:val="231F20"/>
        </w:rPr>
        <w:t>de</w:t>
      </w:r>
      <w:r>
        <w:rPr>
          <w:color w:val="231F20"/>
          <w:spacing w:val="-11"/>
        </w:rPr>
        <w:t> </w:t>
      </w:r>
      <w:r>
        <w:rPr>
          <w:color w:val="231F20"/>
        </w:rPr>
        <w:t>investigación.</w:t>
      </w:r>
      <w:r>
        <w:rPr>
          <w:color w:val="231F20"/>
          <w:spacing w:val="-12"/>
        </w:rPr>
        <w:t> </w:t>
      </w:r>
      <w:r>
        <w:rPr>
          <w:color w:val="231F20"/>
        </w:rPr>
        <w:t>Lo</w:t>
      </w:r>
      <w:r>
        <w:rPr>
          <w:color w:val="231F20"/>
          <w:spacing w:val="-11"/>
        </w:rPr>
        <w:t> </w:t>
      </w:r>
      <w:r>
        <w:rPr>
          <w:color w:val="231F20"/>
        </w:rPr>
        <w:t>anterior</w:t>
      </w:r>
      <w:r>
        <w:rPr>
          <w:color w:val="231F20"/>
          <w:spacing w:val="-11"/>
        </w:rPr>
        <w:t> </w:t>
      </w:r>
      <w:r>
        <w:rPr>
          <w:color w:val="231F20"/>
        </w:rPr>
        <w:t>deriva</w:t>
      </w:r>
      <w:r>
        <w:rPr>
          <w:color w:val="231F20"/>
          <w:spacing w:val="-11"/>
        </w:rPr>
        <w:t> </w:t>
      </w:r>
      <w:r>
        <w:rPr>
          <w:color w:val="231F20"/>
        </w:rPr>
        <w:t>de la necesidad de encontrar una serie de elementos que permitan compren- der de qué manera los derechos humanos de tercera generación, desde la perspectiva</w:t>
      </w:r>
      <w:r>
        <w:rPr>
          <w:color w:val="231F20"/>
          <w:spacing w:val="-7"/>
        </w:rPr>
        <w:t> </w:t>
      </w:r>
      <w:r>
        <w:rPr>
          <w:color w:val="231F20"/>
        </w:rPr>
        <w:t>de</w:t>
      </w:r>
      <w:r>
        <w:rPr>
          <w:color w:val="231F20"/>
          <w:spacing w:val="-7"/>
        </w:rPr>
        <w:t> </w:t>
      </w:r>
      <w:r>
        <w:rPr>
          <w:color w:val="231F20"/>
        </w:rPr>
        <w:t>Foucault</w:t>
      </w:r>
      <w:r>
        <w:rPr>
          <w:color w:val="231F20"/>
          <w:spacing w:val="-7"/>
        </w:rPr>
        <w:t> </w:t>
      </w:r>
      <w:r>
        <w:rPr>
          <w:color w:val="231F20"/>
        </w:rPr>
        <w:t>participan</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comprensión</w:t>
      </w:r>
      <w:r>
        <w:rPr>
          <w:color w:val="231F20"/>
          <w:spacing w:val="-7"/>
        </w:rPr>
        <w:t> </w:t>
      </w:r>
      <w:r>
        <w:rPr>
          <w:color w:val="231F20"/>
        </w:rPr>
        <w:t>de</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significa</w:t>
      </w:r>
      <w:r>
        <w:rPr>
          <w:color w:val="231F20"/>
          <w:spacing w:val="-7"/>
        </w:rPr>
        <w:t> </w:t>
      </w:r>
      <w:r>
        <w:rPr>
          <w:color w:val="231F20"/>
        </w:rPr>
        <w:t>el sujeto migrante centroamericano de paso por</w:t>
      </w:r>
      <w:r>
        <w:rPr>
          <w:color w:val="231F20"/>
          <w:spacing w:val="-14"/>
        </w:rPr>
        <w:t> </w:t>
      </w:r>
      <w:r>
        <w:rPr>
          <w:color w:val="231F20"/>
        </w:rPr>
        <w:t>México.</w:t>
      </w:r>
    </w:p>
    <w:p>
      <w:pPr>
        <w:pStyle w:val="Heading3"/>
      </w:pPr>
      <w:r>
        <w:rPr>
          <w:color w:val="231F20"/>
        </w:rPr>
        <w:t>Cultura, subjetividad y dispositivos</w:t>
      </w:r>
    </w:p>
    <w:p>
      <w:pPr>
        <w:pStyle w:val="BodyText"/>
        <w:spacing w:line="247" w:lineRule="auto" w:before="172"/>
        <w:ind w:left="117" w:right="114"/>
        <w:jc w:val="both"/>
      </w:pPr>
      <w:r>
        <w:rPr>
          <w:color w:val="231F20"/>
        </w:rPr>
        <w:t>Como se ha mencionado anteriormente durante el desarrollo de éste</w:t>
      </w:r>
      <w:r>
        <w:rPr>
          <w:color w:val="231F20"/>
          <w:spacing w:val="-23"/>
        </w:rPr>
        <w:t> </w:t>
      </w:r>
      <w:r>
        <w:rPr>
          <w:color w:val="231F20"/>
        </w:rPr>
        <w:t>traba- jo,</w:t>
      </w:r>
      <w:r>
        <w:rPr>
          <w:color w:val="231F20"/>
          <w:spacing w:val="-4"/>
        </w:rPr>
        <w:t> </w:t>
      </w:r>
      <w:r>
        <w:rPr>
          <w:color w:val="231F20"/>
        </w:rPr>
        <w:t>los</w:t>
      </w:r>
      <w:r>
        <w:rPr>
          <w:color w:val="231F20"/>
          <w:spacing w:val="-4"/>
        </w:rPr>
        <w:t> </w:t>
      </w:r>
      <w:r>
        <w:rPr>
          <w:color w:val="231F20"/>
        </w:rPr>
        <w:t>dispositivos</w:t>
      </w:r>
      <w:r>
        <w:rPr>
          <w:color w:val="231F20"/>
          <w:spacing w:val="-4"/>
        </w:rPr>
        <w:t> </w:t>
      </w:r>
      <w:r>
        <w:rPr>
          <w:color w:val="231F20"/>
        </w:rPr>
        <w:t>son</w:t>
      </w:r>
      <w:r>
        <w:rPr>
          <w:color w:val="231F20"/>
          <w:spacing w:val="-4"/>
        </w:rPr>
        <w:t> </w:t>
      </w:r>
      <w:r>
        <w:rPr>
          <w:color w:val="231F20"/>
        </w:rPr>
        <w:t>mecanismos</w:t>
      </w:r>
      <w:r>
        <w:rPr>
          <w:color w:val="231F20"/>
          <w:spacing w:val="-5"/>
        </w:rPr>
        <w:t> </w:t>
      </w:r>
      <w:r>
        <w:rPr>
          <w:color w:val="231F20"/>
        </w:rPr>
        <w:t>que</w:t>
      </w:r>
      <w:r>
        <w:rPr>
          <w:color w:val="231F20"/>
          <w:spacing w:val="-4"/>
        </w:rPr>
        <w:t> </w:t>
      </w:r>
      <w:r>
        <w:rPr>
          <w:color w:val="231F20"/>
        </w:rPr>
        <w:t>se</w:t>
      </w:r>
      <w:r>
        <w:rPr>
          <w:color w:val="231F20"/>
          <w:spacing w:val="-4"/>
        </w:rPr>
        <w:t> </w:t>
      </w:r>
      <w:r>
        <w:rPr>
          <w:color w:val="231F20"/>
        </w:rPr>
        <w:t>han</w:t>
      </w:r>
      <w:r>
        <w:rPr>
          <w:color w:val="231F20"/>
          <w:spacing w:val="-4"/>
        </w:rPr>
        <w:t> </w:t>
      </w:r>
      <w:r>
        <w:rPr>
          <w:color w:val="231F20"/>
        </w:rPr>
        <w:t>adaptado</w:t>
      </w:r>
      <w:r>
        <w:rPr>
          <w:color w:val="231F20"/>
          <w:spacing w:val="-5"/>
        </w:rPr>
        <w:t> </w:t>
      </w:r>
      <w:r>
        <w:rPr>
          <w:color w:val="231F20"/>
        </w:rPr>
        <w:t>dentro</w:t>
      </w:r>
      <w:r>
        <w:rPr>
          <w:color w:val="231F20"/>
          <w:spacing w:val="-4"/>
        </w:rPr>
        <w:t> </w:t>
      </w:r>
      <w:r>
        <w:rPr>
          <w:color w:val="231F20"/>
        </w:rPr>
        <w:t>una</w:t>
      </w:r>
      <w:r>
        <w:rPr>
          <w:color w:val="231F20"/>
          <w:spacing w:val="-4"/>
        </w:rPr>
        <w:t> </w:t>
      </w:r>
      <w:r>
        <w:rPr>
          <w:color w:val="231F20"/>
        </w:rPr>
        <w:t>socie- dad para ejercer control y poder sobre los cuerpos y sobre lo vivo, a nivel particular</w:t>
      </w:r>
      <w:r>
        <w:rPr>
          <w:color w:val="231F20"/>
          <w:spacing w:val="-9"/>
        </w:rPr>
        <w:t> </w:t>
      </w:r>
      <w:r>
        <w:rPr>
          <w:color w:val="231F20"/>
        </w:rPr>
        <w:t>y</w:t>
      </w:r>
      <w:r>
        <w:rPr>
          <w:color w:val="231F20"/>
          <w:spacing w:val="-9"/>
        </w:rPr>
        <w:t> </w:t>
      </w:r>
      <w:r>
        <w:rPr>
          <w:color w:val="231F20"/>
        </w:rPr>
        <w:t>a</w:t>
      </w:r>
      <w:r>
        <w:rPr>
          <w:color w:val="231F20"/>
          <w:spacing w:val="-9"/>
        </w:rPr>
        <w:t> </w:t>
      </w:r>
      <w:r>
        <w:rPr>
          <w:color w:val="231F20"/>
        </w:rPr>
        <w:t>nivel</w:t>
      </w:r>
      <w:r>
        <w:rPr>
          <w:color w:val="231F20"/>
          <w:spacing w:val="-9"/>
        </w:rPr>
        <w:t> </w:t>
      </w:r>
      <w:r>
        <w:rPr>
          <w:color w:val="231F20"/>
        </w:rPr>
        <w:t>colectivo.</w:t>
      </w:r>
      <w:r>
        <w:rPr>
          <w:color w:val="231F20"/>
          <w:spacing w:val="-10"/>
        </w:rPr>
        <w:t> </w:t>
      </w:r>
      <w:r>
        <w:rPr>
          <w:color w:val="231F20"/>
        </w:rPr>
        <w:t>No</w:t>
      </w:r>
      <w:r>
        <w:rPr>
          <w:color w:val="231F20"/>
          <w:spacing w:val="-9"/>
        </w:rPr>
        <w:t> </w:t>
      </w:r>
      <w:r>
        <w:rPr>
          <w:color w:val="231F20"/>
        </w:rPr>
        <w:t>obstante,</w:t>
      </w:r>
      <w:r>
        <w:rPr>
          <w:color w:val="231F20"/>
          <w:spacing w:val="-9"/>
        </w:rPr>
        <w:t> </w:t>
      </w:r>
      <w:r>
        <w:rPr>
          <w:color w:val="231F20"/>
        </w:rPr>
        <w:t>estos</w:t>
      </w:r>
      <w:r>
        <w:rPr>
          <w:color w:val="231F20"/>
          <w:spacing w:val="-10"/>
        </w:rPr>
        <w:t> </w:t>
      </w:r>
      <w:r>
        <w:rPr>
          <w:color w:val="231F20"/>
        </w:rPr>
        <w:t>dispositivos</w:t>
      </w:r>
      <w:r>
        <w:rPr>
          <w:color w:val="231F20"/>
          <w:spacing w:val="-9"/>
        </w:rPr>
        <w:t> </w:t>
      </w:r>
      <w:r>
        <w:rPr>
          <w:color w:val="231F20"/>
        </w:rPr>
        <w:t>se</w:t>
      </w:r>
      <w:r>
        <w:rPr>
          <w:color w:val="231F20"/>
          <w:spacing w:val="-9"/>
        </w:rPr>
        <w:t> </w:t>
      </w:r>
      <w:r>
        <w:rPr>
          <w:color w:val="231F20"/>
        </w:rPr>
        <w:t>encuentran imbricados a lo largo de la sociedad a través de diversas producciones so- ciales y culturales, entendiendo a la cultura desde la perspectiva</w:t>
      </w:r>
      <w:r>
        <w:rPr>
          <w:color w:val="231F20"/>
          <w:spacing w:val="-21"/>
        </w:rPr>
        <w:t> </w:t>
      </w:r>
      <w:r>
        <w:rPr>
          <w:color w:val="231F20"/>
        </w:rPr>
        <w:t>propuesta por Alexander Jeffrey (2000: 10) quien menciona que la cultura</w:t>
      </w:r>
      <w:r>
        <w:rPr>
          <w:color w:val="231F20"/>
          <w:spacing w:val="-36"/>
        </w:rPr>
        <w:t> </w:t>
      </w:r>
      <w:r>
        <w:rPr>
          <w:color w:val="231F20"/>
        </w:rPr>
        <w:t>interviene en los hechos sociales. De esta manera, se puede concluir que los dispo- sitivos a los que Michel Foucault hace referencia pueden encontrarse con facilidad dispersos en los diferentes niveles de la sociedad, así como entre los</w:t>
      </w:r>
      <w:r>
        <w:rPr>
          <w:color w:val="231F20"/>
          <w:spacing w:val="-10"/>
        </w:rPr>
        <w:t> </w:t>
      </w:r>
      <w:r>
        <w:rPr>
          <w:color w:val="231F20"/>
        </w:rPr>
        <w:t>individuos</w:t>
      </w:r>
      <w:r>
        <w:rPr>
          <w:color w:val="231F20"/>
          <w:spacing w:val="-11"/>
        </w:rPr>
        <w:t> </w:t>
      </w:r>
      <w:r>
        <w:rPr>
          <w:color w:val="231F20"/>
        </w:rPr>
        <w:t>mediante</w:t>
      </w:r>
      <w:r>
        <w:rPr>
          <w:color w:val="231F20"/>
          <w:spacing w:val="-11"/>
        </w:rPr>
        <w:t> </w:t>
      </w:r>
      <w:r>
        <w:rPr>
          <w:color w:val="231F20"/>
        </w:rPr>
        <w:t>formas</w:t>
      </w:r>
      <w:r>
        <w:rPr>
          <w:color w:val="231F20"/>
          <w:spacing w:val="-10"/>
        </w:rPr>
        <w:t> </w:t>
      </w:r>
      <w:r>
        <w:rPr>
          <w:color w:val="231F20"/>
        </w:rPr>
        <w:t>o</w:t>
      </w:r>
      <w:r>
        <w:rPr>
          <w:color w:val="231F20"/>
          <w:spacing w:val="-10"/>
        </w:rPr>
        <w:t> </w:t>
      </w:r>
      <w:r>
        <w:rPr>
          <w:color w:val="231F20"/>
        </w:rPr>
        <w:t>construcciones,</w:t>
      </w:r>
      <w:r>
        <w:rPr>
          <w:color w:val="231F20"/>
          <w:spacing w:val="-11"/>
        </w:rPr>
        <w:t> </w:t>
      </w:r>
      <w:r>
        <w:rPr>
          <w:color w:val="231F20"/>
        </w:rPr>
        <w:t>mismas</w:t>
      </w:r>
      <w:r>
        <w:rPr>
          <w:color w:val="231F20"/>
          <w:spacing w:val="-11"/>
        </w:rPr>
        <w:t> </w:t>
      </w:r>
      <w:r>
        <w:rPr>
          <w:color w:val="231F20"/>
        </w:rPr>
        <w:t>que</w:t>
      </w:r>
      <w:r>
        <w:rPr>
          <w:color w:val="231F20"/>
          <w:spacing w:val="-10"/>
        </w:rPr>
        <w:t> </w:t>
      </w:r>
      <w:r>
        <w:rPr>
          <w:color w:val="231F20"/>
        </w:rPr>
        <w:t>son</w:t>
      </w:r>
      <w:r>
        <w:rPr>
          <w:color w:val="231F20"/>
          <w:spacing w:val="-10"/>
        </w:rPr>
        <w:t> </w:t>
      </w:r>
      <w:r>
        <w:rPr>
          <w:color w:val="231F20"/>
        </w:rPr>
        <w:t>apropia- das y aplicadas por los sujetos que en ellas se</w:t>
      </w:r>
      <w:r>
        <w:rPr>
          <w:color w:val="231F20"/>
          <w:spacing w:val="-11"/>
        </w:rPr>
        <w:t> </w:t>
      </w:r>
      <w:r>
        <w:rPr>
          <w:color w:val="231F20"/>
        </w:rPr>
        <w:t>desarrollan.</w:t>
      </w:r>
    </w:p>
    <w:p>
      <w:pPr>
        <w:pStyle w:val="BodyText"/>
        <w:spacing w:line="247" w:lineRule="auto"/>
        <w:ind w:left="117" w:right="114" w:firstLine="283"/>
        <w:jc w:val="both"/>
      </w:pPr>
      <w:r>
        <w:rPr>
          <w:color w:val="231F20"/>
        </w:rPr>
        <w:t>Estas</w:t>
      </w:r>
      <w:r>
        <w:rPr>
          <w:color w:val="231F20"/>
          <w:spacing w:val="-12"/>
        </w:rPr>
        <w:t> </w:t>
      </w:r>
      <w:r>
        <w:rPr>
          <w:color w:val="231F20"/>
        </w:rPr>
        <w:t>producciones</w:t>
      </w:r>
      <w:r>
        <w:rPr>
          <w:color w:val="231F20"/>
          <w:spacing w:val="-12"/>
        </w:rPr>
        <w:t> </w:t>
      </w:r>
      <w:r>
        <w:rPr>
          <w:color w:val="231F20"/>
        </w:rPr>
        <w:t>culturales</w:t>
      </w:r>
      <w:r>
        <w:rPr>
          <w:color w:val="231F20"/>
          <w:spacing w:val="-12"/>
        </w:rPr>
        <w:t> </w:t>
      </w:r>
      <w:r>
        <w:rPr>
          <w:color w:val="231F20"/>
        </w:rPr>
        <w:t>buscan</w:t>
      </w:r>
      <w:r>
        <w:rPr>
          <w:color w:val="231F20"/>
          <w:spacing w:val="-12"/>
        </w:rPr>
        <w:t> </w:t>
      </w:r>
      <w:r>
        <w:rPr>
          <w:color w:val="231F20"/>
        </w:rPr>
        <w:t>muchas</w:t>
      </w:r>
      <w:r>
        <w:rPr>
          <w:color w:val="231F20"/>
          <w:spacing w:val="-12"/>
        </w:rPr>
        <w:t> </w:t>
      </w:r>
      <w:r>
        <w:rPr>
          <w:color w:val="231F20"/>
        </w:rPr>
        <w:t>veces</w:t>
      </w:r>
      <w:r>
        <w:rPr>
          <w:color w:val="231F20"/>
          <w:spacing w:val="-12"/>
        </w:rPr>
        <w:t> </w:t>
      </w:r>
      <w:r>
        <w:rPr>
          <w:color w:val="231F20"/>
        </w:rPr>
        <w:t>a</w:t>
      </w:r>
      <w:r>
        <w:rPr>
          <w:color w:val="231F20"/>
          <w:spacing w:val="-12"/>
        </w:rPr>
        <w:t> </w:t>
      </w:r>
      <w:r>
        <w:rPr>
          <w:color w:val="231F20"/>
        </w:rPr>
        <w:t>través</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prác- ticas discursivas y no discursivas, a través de instituciones… normalizar- nos, es decir, “vincular a cada individuo a una identidad sabida, conocida, determinada de una vez por todas” (Deleuze, 1987: 139). Estos mecanis- mos son a los que Foucault denomina dispositivos y normalmente funcio- nan como medios para que el poder logre mantener una ubicación precisa de los individuos y una distribución de los mismos en un espacio… de ahí que el carnet de identidad en las sociedades contemporáneas se haya con- vertido en una “condición de existencia”. La ciudadanía se puede ejercer solamente</w:t>
      </w:r>
      <w:r>
        <w:rPr>
          <w:color w:val="231F20"/>
          <w:spacing w:val="19"/>
        </w:rPr>
        <w:t> </w:t>
      </w:r>
      <w:r>
        <w:rPr>
          <w:color w:val="231F20"/>
        </w:rPr>
        <w:t>si</w:t>
      </w:r>
      <w:r>
        <w:rPr>
          <w:color w:val="231F20"/>
          <w:spacing w:val="18"/>
        </w:rPr>
        <w:t> </w:t>
      </w:r>
      <w:r>
        <w:rPr>
          <w:color w:val="231F20"/>
        </w:rPr>
        <w:t>el</w:t>
      </w:r>
      <w:r>
        <w:rPr>
          <w:color w:val="231F20"/>
          <w:spacing w:val="18"/>
        </w:rPr>
        <w:t> </w:t>
      </w:r>
      <w:r>
        <w:rPr>
          <w:color w:val="231F20"/>
        </w:rPr>
        <w:t>individuo</w:t>
      </w:r>
      <w:r>
        <w:rPr>
          <w:color w:val="231F20"/>
          <w:spacing w:val="17"/>
        </w:rPr>
        <w:t> </w:t>
      </w:r>
      <w:r>
        <w:rPr>
          <w:color w:val="231F20"/>
        </w:rPr>
        <w:t>puede</w:t>
      </w:r>
      <w:r>
        <w:rPr>
          <w:color w:val="231F20"/>
          <w:spacing w:val="18"/>
        </w:rPr>
        <w:t> </w:t>
      </w:r>
      <w:r>
        <w:rPr>
          <w:color w:val="231F20"/>
        </w:rPr>
        <w:t>ser</w:t>
      </w:r>
      <w:r>
        <w:rPr>
          <w:color w:val="231F20"/>
          <w:spacing w:val="18"/>
        </w:rPr>
        <w:t> </w:t>
      </w:r>
      <w:r>
        <w:rPr>
          <w:color w:val="231F20"/>
        </w:rPr>
        <w:t>localizado;</w:t>
      </w:r>
      <w:r>
        <w:rPr>
          <w:color w:val="231F20"/>
          <w:spacing w:val="17"/>
        </w:rPr>
        <w:t> </w:t>
      </w:r>
      <w:r>
        <w:rPr>
          <w:color w:val="231F20"/>
        </w:rPr>
        <w:t>el</w:t>
      </w:r>
      <w:r>
        <w:rPr>
          <w:color w:val="231F20"/>
          <w:spacing w:val="18"/>
        </w:rPr>
        <w:t> </w:t>
      </w:r>
      <w:r>
        <w:rPr>
          <w:color w:val="231F20"/>
        </w:rPr>
        <w:t>acta</w:t>
      </w:r>
      <w:r>
        <w:rPr>
          <w:color w:val="231F20"/>
          <w:spacing w:val="18"/>
        </w:rPr>
        <w:t> </w:t>
      </w:r>
      <w:r>
        <w:rPr>
          <w:color w:val="231F20"/>
        </w:rPr>
        <w:t>de</w:t>
      </w:r>
      <w:r>
        <w:rPr>
          <w:color w:val="231F20"/>
          <w:spacing w:val="18"/>
        </w:rPr>
        <w:t> </w:t>
      </w:r>
      <w:r>
        <w:rPr>
          <w:color w:val="231F20"/>
        </w:rPr>
        <w:t>nacimiento,</w:t>
      </w:r>
      <w:r>
        <w:rPr>
          <w:color w:val="231F20"/>
          <w:spacing w:val="18"/>
        </w:rPr>
        <w:t> </w:t>
      </w:r>
      <w:r>
        <w:rPr>
          <w:color w:val="231F20"/>
        </w:rPr>
        <w:t>el</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6"/>
        <w:jc w:val="both"/>
      </w:pPr>
      <w:r>
        <w:rPr>
          <w:color w:val="231F20"/>
        </w:rPr>
        <w:t>lugar de trabajo y el domicilio son requisitos indispensables (De la Peza, 1997: 146).</w:t>
      </w:r>
    </w:p>
    <w:p>
      <w:pPr>
        <w:pStyle w:val="BodyText"/>
        <w:spacing w:line="247" w:lineRule="auto"/>
        <w:ind w:left="117" w:right="114" w:firstLine="283"/>
        <w:jc w:val="both"/>
      </w:pPr>
      <w:r>
        <w:rPr>
          <w:color w:val="231F20"/>
        </w:rPr>
        <w:t>Ahora bien, el nivel de discusión previo se encuentra circunscrito den- tro del marco de las construcciones teóricas, no obstante que a nivel</w:t>
      </w:r>
      <w:r>
        <w:rPr>
          <w:color w:val="231F20"/>
          <w:spacing w:val="-30"/>
        </w:rPr>
        <w:t> </w:t>
      </w:r>
      <w:r>
        <w:rPr>
          <w:color w:val="231F20"/>
        </w:rPr>
        <w:t>empí- rico</w:t>
      </w:r>
      <w:r>
        <w:rPr>
          <w:color w:val="231F20"/>
          <w:spacing w:val="-4"/>
        </w:rPr>
        <w:t> </w:t>
      </w:r>
      <w:r>
        <w:rPr>
          <w:color w:val="231F20"/>
        </w:rPr>
        <w:t>se</w:t>
      </w:r>
      <w:r>
        <w:rPr>
          <w:color w:val="231F20"/>
          <w:spacing w:val="-4"/>
        </w:rPr>
        <w:t> </w:t>
      </w:r>
      <w:r>
        <w:rPr>
          <w:color w:val="231F20"/>
        </w:rPr>
        <w:t>abordan</w:t>
      </w:r>
      <w:r>
        <w:rPr>
          <w:color w:val="231F20"/>
          <w:spacing w:val="-5"/>
        </w:rPr>
        <w:t> </w:t>
      </w:r>
      <w:r>
        <w:rPr>
          <w:color w:val="231F20"/>
        </w:rPr>
        <w:t>los</w:t>
      </w:r>
      <w:r>
        <w:rPr>
          <w:color w:val="231F20"/>
          <w:spacing w:val="-5"/>
        </w:rPr>
        <w:t> </w:t>
      </w:r>
      <w:r>
        <w:rPr>
          <w:color w:val="231F20"/>
        </w:rPr>
        <w:t>hechos</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que</w:t>
      </w:r>
      <w:r>
        <w:rPr>
          <w:color w:val="231F20"/>
          <w:spacing w:val="-5"/>
        </w:rPr>
        <w:t> </w:t>
      </w:r>
      <w:r>
        <w:rPr>
          <w:color w:val="231F20"/>
        </w:rPr>
        <w:t>se</w:t>
      </w:r>
      <w:r>
        <w:rPr>
          <w:color w:val="231F20"/>
          <w:spacing w:val="-4"/>
        </w:rPr>
        <w:t> </w:t>
      </w:r>
      <w:r>
        <w:rPr>
          <w:color w:val="231F20"/>
        </w:rPr>
        <w:t>hace</w:t>
      </w:r>
      <w:r>
        <w:rPr>
          <w:color w:val="231F20"/>
          <w:spacing w:val="-5"/>
        </w:rPr>
        <w:t> </w:t>
      </w:r>
      <w:r>
        <w:rPr>
          <w:color w:val="231F20"/>
        </w:rPr>
        <w:t>referencia</w:t>
      </w:r>
      <w:r>
        <w:rPr>
          <w:color w:val="231F20"/>
          <w:spacing w:val="-5"/>
        </w:rPr>
        <w:t> </w:t>
      </w:r>
      <w:r>
        <w:rPr>
          <w:color w:val="231F20"/>
        </w:rPr>
        <w:t>de</w:t>
      </w:r>
      <w:r>
        <w:rPr>
          <w:color w:val="231F20"/>
          <w:spacing w:val="-5"/>
        </w:rPr>
        <w:t> </w:t>
      </w:r>
      <w:r>
        <w:rPr>
          <w:color w:val="231F20"/>
        </w:rPr>
        <w:t>manera</w:t>
      </w:r>
      <w:r>
        <w:rPr>
          <w:color w:val="231F20"/>
          <w:spacing w:val="-5"/>
        </w:rPr>
        <w:t> </w:t>
      </w:r>
      <w:r>
        <w:rPr>
          <w:color w:val="231F20"/>
        </w:rPr>
        <w:t>práctica, pues</w:t>
      </w:r>
      <w:r>
        <w:rPr>
          <w:color w:val="231F20"/>
          <w:spacing w:val="-11"/>
        </w:rPr>
        <w:t> </w:t>
      </w:r>
      <w:r>
        <w:rPr>
          <w:color w:val="231F20"/>
        </w:rPr>
        <w:t>son</w:t>
      </w:r>
      <w:r>
        <w:rPr>
          <w:color w:val="231F20"/>
          <w:spacing w:val="-11"/>
        </w:rPr>
        <w:t> </w:t>
      </w:r>
      <w:r>
        <w:rPr>
          <w:color w:val="231F20"/>
        </w:rPr>
        <w:t>hechos</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encuentran</w:t>
      </w:r>
      <w:r>
        <w:rPr>
          <w:color w:val="231F20"/>
          <w:spacing w:val="-12"/>
        </w:rPr>
        <w:t> </w:t>
      </w:r>
      <w:r>
        <w:rPr>
          <w:color w:val="231F20"/>
        </w:rPr>
        <w:t>en</w:t>
      </w:r>
      <w:r>
        <w:rPr>
          <w:color w:val="231F20"/>
          <w:spacing w:val="-11"/>
        </w:rPr>
        <w:t> </w:t>
      </w:r>
      <w:r>
        <w:rPr>
          <w:color w:val="231F20"/>
        </w:rPr>
        <w:t>la</w:t>
      </w:r>
      <w:r>
        <w:rPr>
          <w:color w:val="231F20"/>
          <w:spacing w:val="-11"/>
        </w:rPr>
        <w:t> </w:t>
      </w:r>
      <w:r>
        <w:rPr>
          <w:color w:val="231F20"/>
        </w:rPr>
        <w:t>sociedad</w:t>
      </w:r>
      <w:r>
        <w:rPr>
          <w:color w:val="231F20"/>
          <w:spacing w:val="-10"/>
        </w:rPr>
        <w:t> </w:t>
      </w:r>
      <w:r>
        <w:rPr>
          <w:color w:val="231F20"/>
        </w:rPr>
        <w:t>y</w:t>
      </w:r>
      <w:r>
        <w:rPr>
          <w:color w:val="231F20"/>
          <w:spacing w:val="-11"/>
        </w:rPr>
        <w:t> </w:t>
      </w:r>
      <w:r>
        <w:rPr>
          <w:color w:val="231F20"/>
        </w:rPr>
        <w:t>que</w:t>
      </w:r>
      <w:r>
        <w:rPr>
          <w:color w:val="231F20"/>
          <w:spacing w:val="-11"/>
        </w:rPr>
        <w:t> </w:t>
      </w:r>
      <w:r>
        <w:rPr>
          <w:color w:val="231F20"/>
        </w:rPr>
        <w:t>serán</w:t>
      </w:r>
      <w:r>
        <w:rPr>
          <w:color w:val="231F20"/>
          <w:spacing w:val="-11"/>
        </w:rPr>
        <w:t> </w:t>
      </w:r>
      <w:r>
        <w:rPr>
          <w:color w:val="231F20"/>
        </w:rPr>
        <w:t>considerados como objeto de estudio, entendiendo que como lo dice Mauro</w:t>
      </w:r>
      <w:r>
        <w:rPr>
          <w:color w:val="231F20"/>
          <w:spacing w:val="-12"/>
        </w:rPr>
        <w:t> </w:t>
      </w:r>
      <w:r>
        <w:rPr>
          <w:color w:val="231F20"/>
          <w:spacing w:val="-4"/>
        </w:rPr>
        <w:t>Wolf,</w:t>
      </w:r>
    </w:p>
    <w:p>
      <w:pPr>
        <w:spacing w:line="249" w:lineRule="auto" w:before="168"/>
        <w:ind w:left="400" w:right="115" w:firstLine="0"/>
        <w:jc w:val="both"/>
        <w:rPr>
          <w:sz w:val="20"/>
        </w:rPr>
      </w:pPr>
      <w:r>
        <w:rPr>
          <w:sz w:val="20"/>
        </w:rPr>
        <w:t>el objeto de investigación es ante todo la producción de la sociedad: y la pro- ducción de la sociedad es un esfuerzo consciente, mantenido y llevado a efec- to`</w:t>
      </w:r>
      <w:r>
        <w:rPr>
          <w:spacing w:val="-6"/>
          <w:sz w:val="20"/>
        </w:rPr>
        <w:t> </w:t>
      </w:r>
      <w:r>
        <w:rPr>
          <w:sz w:val="20"/>
        </w:rPr>
        <w:t>por</w:t>
      </w:r>
      <w:r>
        <w:rPr>
          <w:spacing w:val="-6"/>
          <w:sz w:val="20"/>
        </w:rPr>
        <w:t> </w:t>
      </w:r>
      <w:r>
        <w:rPr>
          <w:sz w:val="20"/>
        </w:rPr>
        <w:t>seres</w:t>
      </w:r>
      <w:r>
        <w:rPr>
          <w:spacing w:val="-6"/>
          <w:sz w:val="20"/>
        </w:rPr>
        <w:t> </w:t>
      </w:r>
      <w:r>
        <w:rPr>
          <w:sz w:val="20"/>
        </w:rPr>
        <w:t>humanos</w:t>
      </w:r>
      <w:r>
        <w:rPr>
          <w:spacing w:val="-6"/>
          <w:sz w:val="20"/>
        </w:rPr>
        <w:t> </w:t>
      </w:r>
      <w:r>
        <w:rPr>
          <w:sz w:val="20"/>
        </w:rPr>
        <w:t>y</w:t>
      </w:r>
      <w:r>
        <w:rPr>
          <w:spacing w:val="-6"/>
          <w:sz w:val="20"/>
        </w:rPr>
        <w:t> </w:t>
      </w:r>
      <w:r>
        <w:rPr>
          <w:sz w:val="20"/>
        </w:rPr>
        <w:t>continúa</w:t>
      </w:r>
      <w:r>
        <w:rPr>
          <w:spacing w:val="-6"/>
          <w:sz w:val="20"/>
        </w:rPr>
        <w:t> </w:t>
      </w:r>
      <w:r>
        <w:rPr>
          <w:sz w:val="20"/>
        </w:rPr>
        <w:t>explicando:</w:t>
      </w:r>
      <w:r>
        <w:rPr>
          <w:spacing w:val="-6"/>
          <w:sz w:val="20"/>
        </w:rPr>
        <w:t> </w:t>
      </w:r>
      <w:r>
        <w:rPr>
          <w:sz w:val="20"/>
        </w:rPr>
        <w:t>…el</w:t>
      </w:r>
      <w:r>
        <w:rPr>
          <w:spacing w:val="-6"/>
          <w:sz w:val="20"/>
        </w:rPr>
        <w:t> </w:t>
      </w:r>
      <w:r>
        <w:rPr>
          <w:sz w:val="20"/>
        </w:rPr>
        <w:t>fenómeno</w:t>
      </w:r>
      <w:r>
        <w:rPr>
          <w:spacing w:val="-6"/>
          <w:sz w:val="20"/>
        </w:rPr>
        <w:t> </w:t>
      </w:r>
      <w:r>
        <w:rPr>
          <w:sz w:val="20"/>
        </w:rPr>
        <w:t>no</w:t>
      </w:r>
      <w:r>
        <w:rPr>
          <w:spacing w:val="-6"/>
          <w:sz w:val="20"/>
        </w:rPr>
        <w:t> </w:t>
      </w:r>
      <w:r>
        <w:rPr>
          <w:sz w:val="20"/>
        </w:rPr>
        <w:t>se</w:t>
      </w:r>
      <w:r>
        <w:rPr>
          <w:spacing w:val="-6"/>
          <w:sz w:val="20"/>
        </w:rPr>
        <w:t> </w:t>
      </w:r>
      <w:r>
        <w:rPr>
          <w:sz w:val="20"/>
        </w:rPr>
        <w:t>limita</w:t>
      </w:r>
      <w:r>
        <w:rPr>
          <w:spacing w:val="-6"/>
          <w:sz w:val="20"/>
        </w:rPr>
        <w:t> </w:t>
      </w:r>
      <w:r>
        <w:rPr>
          <w:sz w:val="20"/>
        </w:rPr>
        <w:t>sola- mente a un juego académico (2000: 13, 16).</w:t>
      </w:r>
    </w:p>
    <w:p>
      <w:pPr>
        <w:pStyle w:val="BodyText"/>
        <w:spacing w:line="247" w:lineRule="auto" w:before="172"/>
        <w:ind w:left="117" w:right="115" w:firstLine="283"/>
        <w:jc w:val="both"/>
      </w:pPr>
      <w:r>
        <w:rPr>
          <w:color w:val="231F20"/>
        </w:rPr>
        <w:t>Un postulado similar es el que Alexander Jeffrey propone, cuando es- tablece</w:t>
      </w:r>
      <w:r>
        <w:rPr>
          <w:color w:val="231F20"/>
          <w:spacing w:val="-4"/>
        </w:rPr>
        <w:t> </w:t>
      </w:r>
      <w:r>
        <w:rPr>
          <w:color w:val="231F20"/>
        </w:rPr>
        <w:t>que</w:t>
      </w:r>
      <w:r>
        <w:rPr>
          <w:color w:val="231F20"/>
          <w:spacing w:val="-4"/>
        </w:rPr>
        <w:t> </w:t>
      </w:r>
      <w:r>
        <w:rPr>
          <w:color w:val="231F20"/>
        </w:rPr>
        <w:t>“es</w:t>
      </w:r>
      <w:r>
        <w:rPr>
          <w:color w:val="231F20"/>
          <w:spacing w:val="-4"/>
        </w:rPr>
        <w:t> </w:t>
      </w:r>
      <w:r>
        <w:rPr>
          <w:color w:val="231F20"/>
        </w:rPr>
        <w:t>necesario</w:t>
      </w:r>
      <w:r>
        <w:rPr>
          <w:color w:val="231F20"/>
          <w:spacing w:val="-4"/>
        </w:rPr>
        <w:t> </w:t>
      </w:r>
      <w:r>
        <w:rPr>
          <w:color w:val="231F20"/>
        </w:rPr>
        <w:t>evitar</w:t>
      </w:r>
      <w:r>
        <w:rPr>
          <w:color w:val="231F20"/>
          <w:spacing w:val="-4"/>
        </w:rPr>
        <w:t> </w:t>
      </w:r>
      <w:r>
        <w:rPr>
          <w:color w:val="231F20"/>
        </w:rPr>
        <w:t>el</w:t>
      </w:r>
      <w:r>
        <w:rPr>
          <w:color w:val="231F20"/>
          <w:spacing w:val="-4"/>
        </w:rPr>
        <w:t> </w:t>
      </w:r>
      <w:r>
        <w:rPr>
          <w:color w:val="231F20"/>
        </w:rPr>
        <w:t>error</w:t>
      </w:r>
      <w:r>
        <w:rPr>
          <w:color w:val="231F20"/>
          <w:spacing w:val="-4"/>
        </w:rPr>
        <w:t> </w:t>
      </w:r>
      <w:r>
        <w:rPr>
          <w:color w:val="231F20"/>
        </w:rPr>
        <w:t>muy</w:t>
      </w:r>
      <w:r>
        <w:rPr>
          <w:color w:val="231F20"/>
          <w:spacing w:val="-4"/>
        </w:rPr>
        <w:t> </w:t>
      </w:r>
      <w:r>
        <w:rPr>
          <w:color w:val="231F20"/>
        </w:rPr>
        <w:t>difundido</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ciencia</w:t>
      </w:r>
      <w:r>
        <w:rPr>
          <w:color w:val="231F20"/>
          <w:spacing w:val="-4"/>
        </w:rPr>
        <w:t> </w:t>
      </w:r>
      <w:r>
        <w:rPr>
          <w:color w:val="231F20"/>
        </w:rPr>
        <w:t>social racional, según el cual es posible intentar explicar las instancias de la sub- jetividad a través de una “causalidad objetiva” que estaría reflejando “es- tructuras reales” de los hechos sociales. </w:t>
      </w:r>
      <w:r>
        <w:rPr>
          <w:color w:val="231F20"/>
          <w:spacing w:val="-3"/>
        </w:rPr>
        <w:t>(Jeffrey, </w:t>
      </w:r>
      <w:r>
        <w:rPr>
          <w:color w:val="231F20"/>
        </w:rPr>
        <w:t>2000: 9). Para el autor en comento —y para fines del trabajo que se desarrolla— resulta importante la</w:t>
      </w:r>
      <w:r>
        <w:rPr>
          <w:color w:val="231F20"/>
          <w:spacing w:val="-11"/>
        </w:rPr>
        <w:t> </w:t>
      </w:r>
      <w:r>
        <w:rPr>
          <w:color w:val="231F20"/>
        </w:rPr>
        <w:t>irrupción</w:t>
      </w:r>
      <w:r>
        <w:rPr>
          <w:color w:val="231F20"/>
          <w:spacing w:val="-11"/>
        </w:rPr>
        <w:t> </w:t>
      </w:r>
      <w:r>
        <w:rPr>
          <w:color w:val="231F20"/>
        </w:rPr>
        <w:t>de</w:t>
      </w:r>
      <w:r>
        <w:rPr>
          <w:color w:val="231F20"/>
          <w:spacing w:val="-10"/>
        </w:rPr>
        <w:t> </w:t>
      </w:r>
      <w:r>
        <w:rPr>
          <w:color w:val="231F20"/>
        </w:rPr>
        <w:t>la</w:t>
      </w:r>
      <w:r>
        <w:rPr>
          <w:color w:val="231F20"/>
          <w:spacing w:val="-11"/>
        </w:rPr>
        <w:t> </w:t>
      </w:r>
      <w:r>
        <w:rPr>
          <w:color w:val="231F20"/>
        </w:rPr>
        <w:t>cultura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escena</w:t>
      </w:r>
      <w:r>
        <w:rPr>
          <w:color w:val="231F20"/>
          <w:spacing w:val="-11"/>
        </w:rPr>
        <w:t> </w:t>
      </w:r>
      <w:r>
        <w:rPr>
          <w:color w:val="231F20"/>
        </w:rPr>
        <w:t>central</w:t>
      </w:r>
      <w:r>
        <w:rPr>
          <w:color w:val="231F20"/>
          <w:spacing w:val="-11"/>
        </w:rPr>
        <w:t> </w:t>
      </w:r>
      <w:r>
        <w:rPr>
          <w:color w:val="231F20"/>
        </w:rPr>
        <w:t>de</w:t>
      </w:r>
      <w:r>
        <w:rPr>
          <w:color w:val="231F20"/>
          <w:spacing w:val="-10"/>
        </w:rPr>
        <w:t> </w:t>
      </w:r>
      <w:r>
        <w:rPr>
          <w:color w:val="231F20"/>
        </w:rPr>
        <w:t>la</w:t>
      </w:r>
      <w:r>
        <w:rPr>
          <w:color w:val="231F20"/>
          <w:spacing w:val="-11"/>
        </w:rPr>
        <w:t> </w:t>
      </w:r>
      <w:r>
        <w:rPr>
          <w:color w:val="231F20"/>
        </w:rPr>
        <w:t>investigación</w:t>
      </w:r>
      <w:r>
        <w:rPr>
          <w:color w:val="231F20"/>
          <w:spacing w:val="-11"/>
        </w:rPr>
        <w:t> </w:t>
      </w:r>
      <w:r>
        <w:rPr>
          <w:color w:val="231F20"/>
        </w:rPr>
        <w:t>y</w:t>
      </w:r>
      <w:r>
        <w:rPr>
          <w:color w:val="231F20"/>
          <w:spacing w:val="-11"/>
        </w:rPr>
        <w:t> </w:t>
      </w:r>
      <w:r>
        <w:rPr>
          <w:color w:val="231F20"/>
        </w:rPr>
        <w:t>el</w:t>
      </w:r>
      <w:r>
        <w:rPr>
          <w:color w:val="231F20"/>
          <w:spacing w:val="-10"/>
        </w:rPr>
        <w:t> </w:t>
      </w:r>
      <w:r>
        <w:rPr>
          <w:color w:val="231F20"/>
        </w:rPr>
        <w:t>debate sociológico durante el último tramo del siglo XX </w:t>
      </w:r>
      <w:r>
        <w:rPr>
          <w:color w:val="231F20"/>
          <w:spacing w:val="-3"/>
        </w:rPr>
        <w:t>(Jeffrey, </w:t>
      </w:r>
      <w:r>
        <w:rPr>
          <w:color w:val="231F20"/>
        </w:rPr>
        <w:t>2000: 10). Para el autor, hablar de Sociología Cultural implica analizar el modo como la cultura interviene en los hechos</w:t>
      </w:r>
      <w:r>
        <w:rPr>
          <w:color w:val="231F20"/>
          <w:spacing w:val="-13"/>
        </w:rPr>
        <w:t> </w:t>
      </w:r>
      <w:r>
        <w:rPr>
          <w:color w:val="231F20"/>
        </w:rPr>
        <w:t>sociales.</w:t>
      </w:r>
    </w:p>
    <w:p>
      <w:pPr>
        <w:pStyle w:val="BodyText"/>
        <w:spacing w:line="247" w:lineRule="auto"/>
        <w:ind w:left="117" w:right="114" w:firstLine="283"/>
        <w:jc w:val="both"/>
      </w:pPr>
      <w:r>
        <w:rPr>
          <w:color w:val="231F20"/>
        </w:rPr>
        <w:t>Es importante mencionar que uno de los temas nodales de la Socio- logía se encuentra en la relación entre cultura, acción y sistema social,    es decir, de aquella perspectiva analítica en donde la cultura proyecta el ámbito privilegiado de las dimensiones simbólicas y constituye un</w:t>
      </w:r>
      <w:r>
        <w:rPr>
          <w:color w:val="231F20"/>
          <w:spacing w:val="-26"/>
        </w:rPr>
        <w:t> </w:t>
      </w:r>
      <w:r>
        <w:rPr>
          <w:color w:val="231F20"/>
        </w:rPr>
        <w:t>criterio de investigación que considera a esas mediaciones de la cultura como el fundamento necesario para estudiar los hechos sociales. </w:t>
      </w:r>
      <w:r>
        <w:rPr>
          <w:color w:val="231F20"/>
          <w:spacing w:val="-3"/>
        </w:rPr>
        <w:t>(Jeffrey, </w:t>
      </w:r>
      <w:r>
        <w:rPr>
          <w:color w:val="231F20"/>
        </w:rPr>
        <w:t>2000: x). Siguiendo con la discusión anterior, el autor menciona que la sociedad civil cuenta con una dimensión subjetiva representada por el ámbito de   la conciencia estructurada y socialmente establecida con sus particulares códigos simbólicos distintivos y con la necesaria constitución del sentido crítico de la</w:t>
      </w:r>
      <w:r>
        <w:rPr>
          <w:color w:val="231F20"/>
          <w:spacing w:val="-10"/>
        </w:rPr>
        <w:t> </w:t>
      </w:r>
      <w:r>
        <w:rPr>
          <w:color w:val="231F20"/>
        </w:rPr>
        <w:t>sociedad.</w:t>
      </w:r>
    </w:p>
    <w:p>
      <w:pPr>
        <w:pStyle w:val="BodyText"/>
        <w:spacing w:line="247" w:lineRule="auto"/>
        <w:ind w:left="117" w:right="114" w:firstLine="283"/>
        <w:jc w:val="both"/>
      </w:pPr>
      <w:r>
        <w:rPr>
          <w:color w:val="231F20"/>
        </w:rPr>
        <w:t>Como anteriormente se ha mencionado, se pretende operativizar una nueva forma de aproximarse al objeto de estudio, que es el migrante cen- troamericano, desde su propia concepción, sus formas particulares, sus motivos y formas de adaptarse y sortear obstáculos. Este objeto de</w:t>
      </w:r>
      <w:r>
        <w:rPr>
          <w:color w:val="231F20"/>
          <w:spacing w:val="-30"/>
        </w:rPr>
        <w:t> </w:t>
      </w:r>
      <w:r>
        <w:rPr>
          <w:color w:val="231F20"/>
        </w:rPr>
        <w:t>estudio</w:t>
      </w:r>
    </w:p>
    <w:p>
      <w:pPr>
        <w:pStyle w:val="BodyText"/>
        <w:spacing w:line="247" w:lineRule="auto"/>
        <w:ind w:left="117" w:right="115"/>
        <w:jc w:val="both"/>
      </w:pPr>
      <w:r>
        <w:rPr>
          <w:color w:val="231F20"/>
        </w:rPr>
        <w:t>—el</w:t>
      </w:r>
      <w:r>
        <w:rPr>
          <w:color w:val="231F20"/>
          <w:spacing w:val="-11"/>
        </w:rPr>
        <w:t> </w:t>
      </w:r>
      <w:r>
        <w:rPr>
          <w:color w:val="231F20"/>
        </w:rPr>
        <w:t>migrante</w:t>
      </w:r>
      <w:r>
        <w:rPr>
          <w:color w:val="231F20"/>
          <w:spacing w:val="-12"/>
        </w:rPr>
        <w:t> </w:t>
      </w:r>
      <w:r>
        <w:rPr>
          <w:color w:val="231F20"/>
        </w:rPr>
        <w:t>centroamericano—</w:t>
      </w:r>
      <w:r>
        <w:rPr>
          <w:color w:val="231F20"/>
          <w:spacing w:val="-12"/>
        </w:rPr>
        <w:t> </w:t>
      </w:r>
      <w:r>
        <w:rPr>
          <w:color w:val="231F20"/>
        </w:rPr>
        <w:t>será</w:t>
      </w:r>
      <w:r>
        <w:rPr>
          <w:color w:val="231F20"/>
          <w:spacing w:val="-11"/>
        </w:rPr>
        <w:t> </w:t>
      </w:r>
      <w:r>
        <w:rPr>
          <w:color w:val="231F20"/>
        </w:rPr>
        <w:t>analizado</w:t>
      </w:r>
      <w:r>
        <w:rPr>
          <w:color w:val="231F20"/>
          <w:spacing w:val="-12"/>
        </w:rPr>
        <w:t> </w:t>
      </w:r>
      <w:r>
        <w:rPr>
          <w:color w:val="231F20"/>
        </w:rPr>
        <w:t>desde</w:t>
      </w:r>
      <w:r>
        <w:rPr>
          <w:color w:val="231F20"/>
          <w:spacing w:val="-11"/>
        </w:rPr>
        <w:t> </w:t>
      </w:r>
      <w:r>
        <w:rPr>
          <w:color w:val="231F20"/>
        </w:rPr>
        <w:t>el</w:t>
      </w:r>
      <w:r>
        <w:rPr>
          <w:color w:val="231F20"/>
          <w:spacing w:val="-11"/>
        </w:rPr>
        <w:t> </w:t>
      </w:r>
      <w:r>
        <w:rPr>
          <w:color w:val="231F20"/>
        </w:rPr>
        <w:t>planteamiento</w:t>
      </w:r>
      <w:r>
        <w:rPr>
          <w:color w:val="231F20"/>
          <w:spacing w:val="-11"/>
        </w:rPr>
        <w:t> </w:t>
      </w:r>
      <w:r>
        <w:rPr>
          <w:color w:val="231F20"/>
        </w:rPr>
        <w:t>de los</w:t>
      </w:r>
      <w:r>
        <w:rPr>
          <w:color w:val="231F20"/>
          <w:spacing w:val="-11"/>
        </w:rPr>
        <w:t> </w:t>
      </w:r>
      <w:r>
        <w:rPr>
          <w:color w:val="231F20"/>
        </w:rPr>
        <w:t>derechos</w:t>
      </w:r>
      <w:r>
        <w:rPr>
          <w:color w:val="231F20"/>
          <w:spacing w:val="-11"/>
        </w:rPr>
        <w:t> </w:t>
      </w:r>
      <w:r>
        <w:rPr>
          <w:color w:val="231F20"/>
        </w:rPr>
        <w:t>humanos</w:t>
      </w:r>
      <w:r>
        <w:rPr>
          <w:color w:val="231F20"/>
          <w:spacing w:val="-11"/>
        </w:rPr>
        <w:t> </w:t>
      </w:r>
      <w:r>
        <w:rPr>
          <w:color w:val="231F20"/>
        </w:rPr>
        <w:t>de</w:t>
      </w:r>
      <w:r>
        <w:rPr>
          <w:color w:val="231F20"/>
          <w:spacing w:val="-11"/>
        </w:rPr>
        <w:t> </w:t>
      </w:r>
      <w:r>
        <w:rPr>
          <w:color w:val="231F20"/>
        </w:rPr>
        <w:t>tercera</w:t>
      </w:r>
      <w:r>
        <w:rPr>
          <w:color w:val="231F20"/>
          <w:spacing w:val="-11"/>
        </w:rPr>
        <w:t> </w:t>
      </w:r>
      <w:r>
        <w:rPr>
          <w:color w:val="231F20"/>
        </w:rPr>
        <w:t>generación,</w:t>
      </w:r>
      <w:r>
        <w:rPr>
          <w:color w:val="231F20"/>
          <w:spacing w:val="-11"/>
        </w:rPr>
        <w:t> </w:t>
      </w:r>
      <w:r>
        <w:rPr>
          <w:color w:val="231F20"/>
        </w:rPr>
        <w:t>mismos</w:t>
      </w:r>
      <w:r>
        <w:rPr>
          <w:color w:val="231F20"/>
          <w:spacing w:val="-11"/>
        </w:rPr>
        <w:t> </w:t>
      </w:r>
      <w:r>
        <w:rPr>
          <w:color w:val="231F20"/>
        </w:rPr>
        <w:t>que</w:t>
      </w:r>
      <w:r>
        <w:rPr>
          <w:color w:val="231F20"/>
          <w:spacing w:val="-11"/>
        </w:rPr>
        <w:t> </w:t>
      </w:r>
      <w:r>
        <w:rPr>
          <w:color w:val="231F20"/>
        </w:rPr>
        <w:t>serán</w:t>
      </w:r>
      <w:r>
        <w:rPr>
          <w:color w:val="231F20"/>
          <w:spacing w:val="-11"/>
        </w:rPr>
        <w:t> </w:t>
      </w:r>
      <w:r>
        <w:rPr>
          <w:color w:val="231F20"/>
        </w:rPr>
        <w:t>revisados</w:t>
      </w:r>
      <w:r>
        <w:rPr>
          <w:color w:val="231F20"/>
          <w:spacing w:val="-11"/>
        </w:rPr>
        <w:t> </w:t>
      </w:r>
      <w:r>
        <w:rPr>
          <w:color w:val="231F20"/>
        </w:rPr>
        <w:t>y discutidos desde la perspectiva crítica de</w:t>
      </w:r>
      <w:r>
        <w:rPr>
          <w:color w:val="231F20"/>
          <w:spacing w:val="-10"/>
        </w:rPr>
        <w:t> </w:t>
      </w:r>
      <w:r>
        <w:rPr>
          <w:color w:val="231F20"/>
        </w:rPr>
        <w:t>Foucault.</w:t>
      </w:r>
    </w:p>
    <w:p>
      <w:pPr>
        <w:spacing w:after="0" w:line="247" w:lineRule="auto"/>
        <w:jc w:val="both"/>
        <w:sectPr>
          <w:pgSz w:w="9360" w:h="13040"/>
          <w:pgMar w:header="0" w:footer="496" w:top="800" w:bottom="680" w:left="1300" w:right="1300"/>
        </w:sectPr>
      </w:pPr>
    </w:p>
    <w:p>
      <w:pPr>
        <w:spacing w:before="45"/>
        <w:ind w:left="400" w:right="0" w:firstLine="111"/>
        <w:jc w:val="left"/>
        <w:rPr>
          <w:rFonts w:ascii="Arial" w:hAnsi="Arial"/>
          <w:sz w:val="20"/>
        </w:rPr>
      </w:pPr>
      <w:r>
        <w:rPr>
          <w:rFonts w:ascii="Arial" w:hAnsi="Arial"/>
          <w:color w:val="231F20"/>
          <w:w w:val="70"/>
          <w:sz w:val="20"/>
        </w:rPr>
        <w:t>El migrante centroamericano de paso por México y los derechos humanos /Luis Raúl Ortiz-Ramírez</w:t>
      </w:r>
    </w:p>
    <w:p>
      <w:pPr>
        <w:pStyle w:val="BodyText"/>
        <w:spacing w:before="7"/>
        <w:rPr>
          <w:rFonts w:ascii="Arial"/>
          <w:sz w:val="28"/>
        </w:rPr>
      </w:pPr>
    </w:p>
    <w:p>
      <w:pPr>
        <w:pStyle w:val="BodyText"/>
        <w:spacing w:line="247" w:lineRule="auto"/>
        <w:ind w:left="117" w:right="115" w:firstLine="283"/>
        <w:jc w:val="both"/>
      </w:pPr>
      <w:r>
        <w:rPr>
          <w:color w:val="231F20"/>
        </w:rPr>
        <w:t>Para</w:t>
      </w:r>
      <w:r>
        <w:rPr>
          <w:color w:val="231F20"/>
          <w:spacing w:val="-4"/>
        </w:rPr>
        <w:t> </w:t>
      </w:r>
      <w:r>
        <w:rPr>
          <w:color w:val="231F20"/>
        </w:rPr>
        <w:t>tal</w:t>
      </w:r>
      <w:r>
        <w:rPr>
          <w:color w:val="231F20"/>
          <w:spacing w:val="-4"/>
        </w:rPr>
        <w:t> </w:t>
      </w:r>
      <w:r>
        <w:rPr>
          <w:color w:val="231F20"/>
        </w:rPr>
        <w:t>efecto,</w:t>
      </w:r>
      <w:r>
        <w:rPr>
          <w:color w:val="231F20"/>
          <w:spacing w:val="-4"/>
        </w:rPr>
        <w:t> </w:t>
      </w:r>
      <w:r>
        <w:rPr>
          <w:color w:val="231F20"/>
        </w:rPr>
        <w:t>resulta</w:t>
      </w:r>
      <w:r>
        <w:rPr>
          <w:color w:val="231F20"/>
          <w:spacing w:val="-4"/>
        </w:rPr>
        <w:t> </w:t>
      </w:r>
      <w:r>
        <w:rPr>
          <w:color w:val="231F20"/>
        </w:rPr>
        <w:t>importante</w:t>
      </w:r>
      <w:r>
        <w:rPr>
          <w:color w:val="231F20"/>
          <w:spacing w:val="-4"/>
        </w:rPr>
        <w:t> </w:t>
      </w:r>
      <w:r>
        <w:rPr>
          <w:color w:val="231F20"/>
        </w:rPr>
        <w:t>clarificar</w:t>
      </w:r>
      <w:r>
        <w:rPr>
          <w:color w:val="231F20"/>
          <w:spacing w:val="-4"/>
        </w:rPr>
        <w:t> </w:t>
      </w:r>
      <w:r>
        <w:rPr>
          <w:color w:val="231F20"/>
        </w:rPr>
        <w:t>qué</w:t>
      </w:r>
      <w:r>
        <w:rPr>
          <w:color w:val="231F20"/>
          <w:spacing w:val="-4"/>
        </w:rPr>
        <w:t> </w:t>
      </w:r>
      <w:r>
        <w:rPr>
          <w:color w:val="231F20"/>
        </w:rPr>
        <w:t>son</w:t>
      </w:r>
      <w:r>
        <w:rPr>
          <w:color w:val="231F20"/>
          <w:spacing w:val="-3"/>
        </w:rPr>
        <w:t> </w:t>
      </w:r>
      <w:r>
        <w:rPr>
          <w:color w:val="231F20"/>
        </w:rPr>
        <w:t>el</w:t>
      </w:r>
      <w:r>
        <w:rPr>
          <w:color w:val="231F20"/>
          <w:spacing w:val="-4"/>
        </w:rPr>
        <w:t> </w:t>
      </w:r>
      <w:r>
        <w:rPr>
          <w:color w:val="231F20"/>
        </w:rPr>
        <w:t>bipoder</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bio- política, así como la gobernabilidad. Para el autor de referencia, la biopo- lítica es el encuentro entre la política y la vida (Foucault, 2002: 217). Se  le denomina así también, y por lo mismo, al ejercicio que hace el aparato político del biopoder. El biopoder es el poder que se ejerce sobre lo vivo (Foucault, 2002: 229) existiendo así formas de administrar lo vivo, deter- minando entonces lo que debe vivir, dónde debe vivir, cómo debe vivir y con quién debe</w:t>
      </w:r>
      <w:r>
        <w:rPr>
          <w:color w:val="231F20"/>
          <w:spacing w:val="4"/>
        </w:rPr>
        <w:t> </w:t>
      </w:r>
      <w:r>
        <w:rPr>
          <w:color w:val="231F20"/>
          <w:spacing w:val="-3"/>
        </w:rPr>
        <w:t>vivir.</w:t>
      </w:r>
    </w:p>
    <w:p>
      <w:pPr>
        <w:pStyle w:val="BodyText"/>
        <w:spacing w:line="247" w:lineRule="auto"/>
        <w:ind w:left="117" w:right="114" w:firstLine="283"/>
        <w:jc w:val="both"/>
      </w:pPr>
      <w:r>
        <w:rPr>
          <w:color w:val="231F20"/>
        </w:rPr>
        <w:t>Es</w:t>
      </w:r>
      <w:r>
        <w:rPr>
          <w:color w:val="231F20"/>
          <w:spacing w:val="-13"/>
        </w:rPr>
        <w:t> </w:t>
      </w:r>
      <w:r>
        <w:rPr>
          <w:color w:val="231F20"/>
        </w:rPr>
        <w:t>menester</w:t>
      </w:r>
      <w:r>
        <w:rPr>
          <w:color w:val="231F20"/>
          <w:spacing w:val="-13"/>
        </w:rPr>
        <w:t> </w:t>
      </w:r>
      <w:r>
        <w:rPr>
          <w:color w:val="231F20"/>
        </w:rPr>
        <w:t>recordar</w:t>
      </w:r>
      <w:r>
        <w:rPr>
          <w:color w:val="231F20"/>
          <w:spacing w:val="-12"/>
        </w:rPr>
        <w:t> </w:t>
      </w:r>
      <w:r>
        <w:rPr>
          <w:color w:val="231F20"/>
        </w:rPr>
        <w:t>que</w:t>
      </w:r>
      <w:r>
        <w:rPr>
          <w:color w:val="231F20"/>
          <w:spacing w:val="-12"/>
        </w:rPr>
        <w:t> </w:t>
      </w:r>
      <w:r>
        <w:rPr>
          <w:color w:val="231F20"/>
        </w:rPr>
        <w:t>el</w:t>
      </w:r>
      <w:r>
        <w:rPr>
          <w:color w:val="231F20"/>
          <w:spacing w:val="-13"/>
        </w:rPr>
        <w:t> </w:t>
      </w:r>
      <w:r>
        <w:rPr>
          <w:color w:val="231F20"/>
        </w:rPr>
        <w:t>poder,</w:t>
      </w:r>
      <w:r>
        <w:rPr>
          <w:color w:val="231F20"/>
          <w:spacing w:val="-12"/>
        </w:rPr>
        <w:t> </w:t>
      </w:r>
      <w:r>
        <w:rPr>
          <w:color w:val="231F20"/>
        </w:rPr>
        <w:t>así</w:t>
      </w:r>
      <w:r>
        <w:rPr>
          <w:color w:val="231F20"/>
          <w:spacing w:val="-13"/>
        </w:rPr>
        <w:t> </w:t>
      </w:r>
      <w:r>
        <w:rPr>
          <w:color w:val="231F20"/>
        </w:rPr>
        <w:t>como</w:t>
      </w:r>
      <w:r>
        <w:rPr>
          <w:color w:val="231F20"/>
          <w:spacing w:val="-13"/>
        </w:rPr>
        <w:t> </w:t>
      </w:r>
      <w:r>
        <w:rPr>
          <w:color w:val="231F20"/>
        </w:rPr>
        <w:t>el</w:t>
      </w:r>
      <w:r>
        <w:rPr>
          <w:color w:val="231F20"/>
          <w:spacing w:val="-13"/>
        </w:rPr>
        <w:t> </w:t>
      </w:r>
      <w:r>
        <w:rPr>
          <w:color w:val="231F20"/>
        </w:rPr>
        <w:t>biopoder</w:t>
      </w:r>
      <w:r>
        <w:rPr>
          <w:color w:val="231F20"/>
          <w:spacing w:val="-13"/>
        </w:rPr>
        <w:t> </w:t>
      </w:r>
      <w:r>
        <w:rPr>
          <w:color w:val="231F20"/>
        </w:rPr>
        <w:t>y</w:t>
      </w:r>
      <w:r>
        <w:rPr>
          <w:color w:val="231F20"/>
          <w:spacing w:val="-12"/>
        </w:rPr>
        <w:t> </w:t>
      </w:r>
      <w:r>
        <w:rPr>
          <w:color w:val="231F20"/>
        </w:rPr>
        <w:t>la</w:t>
      </w:r>
      <w:r>
        <w:rPr>
          <w:color w:val="231F20"/>
          <w:spacing w:val="-12"/>
        </w:rPr>
        <w:t> </w:t>
      </w:r>
      <w:r>
        <w:rPr>
          <w:color w:val="231F20"/>
        </w:rPr>
        <w:t>biopolítica, por</w:t>
      </w:r>
      <w:r>
        <w:rPr>
          <w:color w:val="231F20"/>
          <w:spacing w:val="-12"/>
        </w:rPr>
        <w:t> </w:t>
      </w:r>
      <w:r>
        <w:rPr>
          <w:color w:val="231F20"/>
        </w:rPr>
        <w:t>ende,</w:t>
      </w:r>
      <w:r>
        <w:rPr>
          <w:color w:val="231F20"/>
          <w:spacing w:val="-12"/>
        </w:rPr>
        <w:t> </w:t>
      </w:r>
      <w:r>
        <w:rPr>
          <w:color w:val="231F20"/>
        </w:rPr>
        <w:t>se</w:t>
      </w:r>
      <w:r>
        <w:rPr>
          <w:color w:val="231F20"/>
          <w:spacing w:val="-12"/>
        </w:rPr>
        <w:t> </w:t>
      </w:r>
      <w:r>
        <w:rPr>
          <w:color w:val="231F20"/>
        </w:rPr>
        <w:t>encuentran</w:t>
      </w:r>
      <w:r>
        <w:rPr>
          <w:color w:val="231F20"/>
          <w:spacing w:val="-12"/>
        </w:rPr>
        <w:t> </w:t>
      </w:r>
      <w:r>
        <w:rPr>
          <w:color w:val="231F20"/>
        </w:rPr>
        <w:t>establecidos</w:t>
      </w:r>
      <w:r>
        <w:rPr>
          <w:color w:val="231F20"/>
          <w:spacing w:val="-12"/>
        </w:rPr>
        <w:t> </w:t>
      </w:r>
      <w:r>
        <w:rPr>
          <w:color w:val="231F20"/>
        </w:rPr>
        <w:t>en</w:t>
      </w:r>
      <w:r>
        <w:rPr>
          <w:color w:val="231F20"/>
          <w:spacing w:val="-12"/>
        </w:rPr>
        <w:t> </w:t>
      </w:r>
      <w:r>
        <w:rPr>
          <w:color w:val="231F20"/>
        </w:rPr>
        <w:t>un</w:t>
      </w:r>
      <w:r>
        <w:rPr>
          <w:color w:val="231F20"/>
          <w:spacing w:val="-12"/>
        </w:rPr>
        <w:t> </w:t>
      </w:r>
      <w:r>
        <w:rPr>
          <w:color w:val="231F20"/>
        </w:rPr>
        <w:t>sistema</w:t>
      </w:r>
      <w:r>
        <w:rPr>
          <w:color w:val="231F20"/>
          <w:spacing w:val="-12"/>
        </w:rPr>
        <w:t> </w:t>
      </w:r>
      <w:r>
        <w:rPr>
          <w:color w:val="231F20"/>
        </w:rPr>
        <w:t>de</w:t>
      </w:r>
      <w:r>
        <w:rPr>
          <w:color w:val="231F20"/>
          <w:spacing w:val="-12"/>
        </w:rPr>
        <w:t> </w:t>
      </w:r>
      <w:r>
        <w:rPr>
          <w:color w:val="231F20"/>
        </w:rPr>
        <w:t>redes</w:t>
      </w:r>
      <w:r>
        <w:rPr>
          <w:color w:val="231F20"/>
          <w:spacing w:val="-12"/>
        </w:rPr>
        <w:t> </w:t>
      </w:r>
      <w:r>
        <w:rPr>
          <w:color w:val="231F20"/>
        </w:rPr>
        <w:t>intrincadas</w:t>
      </w:r>
      <w:r>
        <w:rPr>
          <w:color w:val="231F20"/>
          <w:spacing w:val="-13"/>
        </w:rPr>
        <w:t> </w:t>
      </w:r>
      <w:r>
        <w:rPr>
          <w:color w:val="231F20"/>
        </w:rPr>
        <w:t>que se</w:t>
      </w:r>
      <w:r>
        <w:rPr>
          <w:color w:val="231F20"/>
          <w:spacing w:val="-11"/>
        </w:rPr>
        <w:t> </w:t>
      </w:r>
      <w:r>
        <w:rPr>
          <w:color w:val="231F20"/>
        </w:rPr>
        <w:t>permean</w:t>
      </w:r>
      <w:r>
        <w:rPr>
          <w:color w:val="231F20"/>
          <w:spacing w:val="-10"/>
        </w:rPr>
        <w:t> </w:t>
      </w:r>
      <w:r>
        <w:rPr>
          <w:color w:val="231F20"/>
        </w:rPr>
        <w:t>y</w:t>
      </w:r>
      <w:r>
        <w:rPr>
          <w:color w:val="231F20"/>
          <w:spacing w:val="-11"/>
        </w:rPr>
        <w:t> </w:t>
      </w:r>
      <w:r>
        <w:rPr>
          <w:color w:val="231F20"/>
        </w:rPr>
        <w:t>comparten</w:t>
      </w:r>
      <w:r>
        <w:rPr>
          <w:color w:val="231F20"/>
          <w:spacing w:val="-11"/>
        </w:rPr>
        <w:t> </w:t>
      </w:r>
      <w:r>
        <w:rPr>
          <w:color w:val="231F20"/>
        </w:rPr>
        <w:t>entre</w:t>
      </w:r>
      <w:r>
        <w:rPr>
          <w:color w:val="231F20"/>
          <w:spacing w:val="-11"/>
        </w:rPr>
        <w:t> </w:t>
      </w:r>
      <w:r>
        <w:rPr>
          <w:color w:val="231F20"/>
        </w:rPr>
        <w:t>todos</w:t>
      </w:r>
      <w:r>
        <w:rPr>
          <w:color w:val="231F20"/>
          <w:spacing w:val="-11"/>
        </w:rPr>
        <w:t> </w:t>
      </w:r>
      <w:r>
        <w:rPr>
          <w:color w:val="231F20"/>
        </w:rPr>
        <w:t>los</w:t>
      </w:r>
      <w:r>
        <w:rPr>
          <w:color w:val="231F20"/>
          <w:spacing w:val="-11"/>
        </w:rPr>
        <w:t> </w:t>
      </w:r>
      <w:r>
        <w:rPr>
          <w:color w:val="231F20"/>
        </w:rPr>
        <w:t>sectores</w:t>
      </w:r>
      <w:r>
        <w:rPr>
          <w:color w:val="231F20"/>
          <w:spacing w:val="-10"/>
        </w:rPr>
        <w:t> </w:t>
      </w:r>
      <w:r>
        <w:rPr>
          <w:color w:val="231F20"/>
        </w:rPr>
        <w:t>de</w:t>
      </w:r>
      <w:r>
        <w:rPr>
          <w:color w:val="231F20"/>
          <w:spacing w:val="-11"/>
        </w:rPr>
        <w:t> </w:t>
      </w:r>
      <w:r>
        <w:rPr>
          <w:color w:val="231F20"/>
        </w:rPr>
        <w:t>la</w:t>
      </w:r>
      <w:r>
        <w:rPr>
          <w:color w:val="231F20"/>
          <w:spacing w:val="-11"/>
        </w:rPr>
        <w:t> </w:t>
      </w:r>
      <w:r>
        <w:rPr>
          <w:color w:val="231F20"/>
        </w:rPr>
        <w:t>sociedad.</w:t>
      </w:r>
      <w:r>
        <w:rPr>
          <w:color w:val="231F20"/>
          <w:spacing w:val="-10"/>
        </w:rPr>
        <w:t> </w:t>
      </w:r>
      <w:r>
        <w:rPr>
          <w:color w:val="231F20"/>
        </w:rPr>
        <w:t>Pueden</w:t>
      </w:r>
      <w:r>
        <w:rPr>
          <w:color w:val="231F20"/>
          <w:spacing w:val="-10"/>
        </w:rPr>
        <w:t> </w:t>
      </w:r>
      <w:r>
        <w:rPr>
          <w:color w:val="231F20"/>
        </w:rPr>
        <w:t>ser vistos como usos o costumbres adoptados por grupos sociales, pueden ser encontrados</w:t>
      </w:r>
      <w:r>
        <w:rPr>
          <w:color w:val="231F20"/>
          <w:spacing w:val="-6"/>
        </w:rPr>
        <w:t> </w:t>
      </w:r>
      <w:r>
        <w:rPr>
          <w:color w:val="231F20"/>
        </w:rPr>
        <w:t>también</w:t>
      </w:r>
      <w:r>
        <w:rPr>
          <w:color w:val="231F20"/>
          <w:spacing w:val="-5"/>
        </w:rPr>
        <w:t> </w:t>
      </w:r>
      <w:r>
        <w:rPr>
          <w:color w:val="231F20"/>
        </w:rPr>
        <w:t>como</w:t>
      </w:r>
      <w:r>
        <w:rPr>
          <w:color w:val="231F20"/>
          <w:spacing w:val="-5"/>
        </w:rPr>
        <w:t> </w:t>
      </w:r>
      <w:r>
        <w:rPr>
          <w:color w:val="231F20"/>
        </w:rPr>
        <w:t>formas</w:t>
      </w:r>
      <w:r>
        <w:rPr>
          <w:color w:val="231F20"/>
          <w:spacing w:val="-5"/>
        </w:rPr>
        <w:t> </w:t>
      </w:r>
      <w:r>
        <w:rPr>
          <w:color w:val="231F20"/>
        </w:rPr>
        <w:t>propuestas</w:t>
      </w:r>
      <w:r>
        <w:rPr>
          <w:color w:val="231F20"/>
          <w:spacing w:val="-5"/>
        </w:rPr>
        <w:t> </w:t>
      </w:r>
      <w:r>
        <w:rPr>
          <w:color w:val="231F20"/>
        </w:rPr>
        <w:t>de</w:t>
      </w:r>
      <w:r>
        <w:rPr>
          <w:color w:val="231F20"/>
          <w:spacing w:val="-5"/>
        </w:rPr>
        <w:t> </w:t>
      </w:r>
      <w:r>
        <w:rPr>
          <w:color w:val="231F20"/>
        </w:rPr>
        <w:t>consumo,</w:t>
      </w:r>
      <w:r>
        <w:rPr>
          <w:color w:val="231F20"/>
          <w:spacing w:val="-5"/>
        </w:rPr>
        <w:t> </w:t>
      </w:r>
      <w:r>
        <w:rPr>
          <w:color w:val="231F20"/>
        </w:rPr>
        <w:t>como</w:t>
      </w:r>
      <w:r>
        <w:rPr>
          <w:color w:val="231F20"/>
          <w:spacing w:val="-5"/>
        </w:rPr>
        <w:t> </w:t>
      </w:r>
      <w:r>
        <w:rPr>
          <w:color w:val="231F20"/>
        </w:rPr>
        <w:t>acciones de gobierno con la finalidad de garantizar seguridad o salud o desarrollo. La</w:t>
      </w:r>
      <w:r>
        <w:rPr>
          <w:color w:val="231F20"/>
          <w:spacing w:val="-4"/>
        </w:rPr>
        <w:t> </w:t>
      </w:r>
      <w:r>
        <w:rPr>
          <w:color w:val="231F20"/>
        </w:rPr>
        <w:t>vida</w:t>
      </w:r>
      <w:r>
        <w:rPr>
          <w:color w:val="231F20"/>
          <w:spacing w:val="-4"/>
        </w:rPr>
        <w:t> </w:t>
      </w:r>
      <w:r>
        <w:rPr>
          <w:color w:val="231F20"/>
        </w:rPr>
        <w:t>y</w:t>
      </w:r>
      <w:r>
        <w:rPr>
          <w:color w:val="231F20"/>
          <w:spacing w:val="-4"/>
        </w:rPr>
        <w:t> </w:t>
      </w:r>
      <w:r>
        <w:rPr>
          <w:color w:val="231F20"/>
        </w:rPr>
        <w:t>forma</w:t>
      </w:r>
      <w:r>
        <w:rPr>
          <w:color w:val="231F20"/>
          <w:spacing w:val="-4"/>
        </w:rPr>
        <w:t> </w:t>
      </w:r>
      <w:r>
        <w:rPr>
          <w:color w:val="231F20"/>
        </w:rPr>
        <w:t>de</w:t>
      </w:r>
      <w:r>
        <w:rPr>
          <w:color w:val="231F20"/>
          <w:spacing w:val="-4"/>
        </w:rPr>
        <w:t> </w:t>
      </w:r>
      <w:r>
        <w:rPr>
          <w:color w:val="231F20"/>
        </w:rPr>
        <w:t>estas</w:t>
      </w:r>
      <w:r>
        <w:rPr>
          <w:color w:val="231F20"/>
          <w:spacing w:val="-5"/>
        </w:rPr>
        <w:t> </w:t>
      </w:r>
      <w:r>
        <w:rPr>
          <w:color w:val="231F20"/>
        </w:rPr>
        <w:t>maneras</w:t>
      </w:r>
      <w:r>
        <w:rPr>
          <w:color w:val="231F20"/>
          <w:spacing w:val="-5"/>
        </w:rPr>
        <w:t> </w:t>
      </w:r>
      <w:r>
        <w:rPr>
          <w:color w:val="231F20"/>
        </w:rPr>
        <w:t>de</w:t>
      </w:r>
      <w:r>
        <w:rPr>
          <w:color w:val="231F20"/>
          <w:spacing w:val="-4"/>
        </w:rPr>
        <w:t> </w:t>
      </w:r>
      <w:r>
        <w:rPr>
          <w:color w:val="231F20"/>
        </w:rPr>
        <w:t>ejercer</w:t>
      </w:r>
      <w:r>
        <w:rPr>
          <w:color w:val="231F20"/>
          <w:spacing w:val="-5"/>
        </w:rPr>
        <w:t> </w:t>
      </w:r>
      <w:r>
        <w:rPr>
          <w:color w:val="231F20"/>
        </w:rPr>
        <w:t>el</w:t>
      </w:r>
      <w:r>
        <w:rPr>
          <w:color w:val="231F20"/>
          <w:spacing w:val="-4"/>
        </w:rPr>
        <w:t> </w:t>
      </w:r>
      <w:r>
        <w:rPr>
          <w:color w:val="231F20"/>
        </w:rPr>
        <w:t>poder</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política</w:t>
      </w:r>
      <w:r>
        <w:rPr>
          <w:color w:val="231F20"/>
          <w:spacing w:val="-4"/>
        </w:rPr>
        <w:t> </w:t>
      </w:r>
      <w:r>
        <w:rPr>
          <w:color w:val="231F20"/>
        </w:rPr>
        <w:t>tienden</w:t>
      </w:r>
      <w:r>
        <w:rPr>
          <w:color w:val="231F20"/>
          <w:spacing w:val="-5"/>
        </w:rPr>
        <w:t> </w:t>
      </w:r>
      <w:r>
        <w:rPr>
          <w:color w:val="231F20"/>
        </w:rPr>
        <w:t>a ser muy sutiles, pero también muy</w:t>
      </w:r>
      <w:r>
        <w:rPr>
          <w:color w:val="231F20"/>
          <w:spacing w:val="-12"/>
        </w:rPr>
        <w:t> </w:t>
      </w:r>
      <w:r>
        <w:rPr>
          <w:color w:val="231F20"/>
        </w:rPr>
        <w:t>claras.</w:t>
      </w:r>
    </w:p>
    <w:p>
      <w:pPr>
        <w:pStyle w:val="BodyText"/>
        <w:spacing w:line="247" w:lineRule="auto"/>
        <w:ind w:left="117" w:right="115" w:firstLine="283"/>
        <w:jc w:val="both"/>
      </w:pPr>
      <w:r>
        <w:rPr>
          <w:color w:val="231F20"/>
        </w:rPr>
        <w:t>Por otro lado, Foucault entiende a la gubernamentalidad como un con- junto de instituciones, procedimientos, análisis y reflexiones, cálculos y tácticas</w:t>
      </w:r>
      <w:r>
        <w:rPr>
          <w:color w:val="231F20"/>
          <w:spacing w:val="-12"/>
        </w:rPr>
        <w:t> </w:t>
      </w:r>
      <w:r>
        <w:rPr>
          <w:color w:val="231F20"/>
        </w:rPr>
        <w:t>que</w:t>
      </w:r>
      <w:r>
        <w:rPr>
          <w:color w:val="231F20"/>
          <w:spacing w:val="-11"/>
        </w:rPr>
        <w:t> </w:t>
      </w:r>
      <w:r>
        <w:rPr>
          <w:color w:val="231F20"/>
        </w:rPr>
        <w:t>emiten</w:t>
      </w:r>
      <w:r>
        <w:rPr>
          <w:color w:val="231F20"/>
          <w:spacing w:val="-11"/>
        </w:rPr>
        <w:t> </w:t>
      </w:r>
      <w:r>
        <w:rPr>
          <w:color w:val="231F20"/>
        </w:rPr>
        <w:t>ejercer</w:t>
      </w:r>
      <w:r>
        <w:rPr>
          <w:color w:val="231F20"/>
          <w:spacing w:val="-11"/>
        </w:rPr>
        <w:t> </w:t>
      </w:r>
      <w:r>
        <w:rPr>
          <w:color w:val="231F20"/>
        </w:rPr>
        <w:t>esa</w:t>
      </w:r>
      <w:r>
        <w:rPr>
          <w:color w:val="231F20"/>
          <w:spacing w:val="-11"/>
        </w:rPr>
        <w:t> </w:t>
      </w:r>
      <w:r>
        <w:rPr>
          <w:color w:val="231F20"/>
        </w:rPr>
        <w:t>forma</w:t>
      </w:r>
      <w:r>
        <w:rPr>
          <w:color w:val="231F20"/>
          <w:spacing w:val="-11"/>
        </w:rPr>
        <w:t> </w:t>
      </w:r>
      <w:r>
        <w:rPr>
          <w:color w:val="231F20"/>
        </w:rPr>
        <w:t>bien</w:t>
      </w:r>
      <w:r>
        <w:rPr>
          <w:color w:val="231F20"/>
          <w:spacing w:val="-11"/>
        </w:rPr>
        <w:t> </w:t>
      </w:r>
      <w:r>
        <w:rPr>
          <w:color w:val="231F20"/>
        </w:rPr>
        <w:t>específica</w:t>
      </w:r>
      <w:r>
        <w:rPr>
          <w:color w:val="231F20"/>
          <w:spacing w:val="-11"/>
        </w:rPr>
        <w:t> </w:t>
      </w:r>
      <w:r>
        <w:rPr>
          <w:color w:val="231F20"/>
        </w:rPr>
        <w:t>aunque</w:t>
      </w:r>
      <w:r>
        <w:rPr>
          <w:color w:val="231F20"/>
          <w:spacing w:val="-11"/>
        </w:rPr>
        <w:t> </w:t>
      </w:r>
      <w:r>
        <w:rPr>
          <w:color w:val="231F20"/>
        </w:rPr>
        <w:t>muy</w:t>
      </w:r>
      <w:r>
        <w:rPr>
          <w:color w:val="231F20"/>
          <w:spacing w:val="-11"/>
        </w:rPr>
        <w:t> </w:t>
      </w:r>
      <w:r>
        <w:rPr>
          <w:color w:val="231F20"/>
        </w:rPr>
        <w:t>compleja de poder que tiene por blanco la población, por forma mayor de saber la Economía Política y por dispositivo técnico esencial los dispositivos de seguridad (Foucault, 2006: 132).</w:t>
      </w:r>
    </w:p>
    <w:p>
      <w:pPr>
        <w:pStyle w:val="BodyText"/>
        <w:spacing w:line="247" w:lineRule="auto"/>
        <w:ind w:left="117" w:right="115" w:firstLine="283"/>
        <w:jc w:val="both"/>
      </w:pPr>
      <w:r>
        <w:rPr>
          <w:color w:val="231F20"/>
        </w:rPr>
        <w:t>Para el autor la gubernamentalidad es también la tendencia o línea de fuerza que en todo occidente no deja de conducir y desde hace mucho, a la preeminencia del tipo de poder que hoy llamamos gobierno (Foucault, 2006:</w:t>
      </w:r>
      <w:r>
        <w:rPr>
          <w:color w:val="231F20"/>
          <w:spacing w:val="-8"/>
        </w:rPr>
        <w:t> </w:t>
      </w:r>
      <w:r>
        <w:rPr>
          <w:color w:val="231F20"/>
        </w:rPr>
        <w:t>132).</w:t>
      </w:r>
      <w:r>
        <w:rPr>
          <w:color w:val="231F20"/>
          <w:spacing w:val="-8"/>
        </w:rPr>
        <w:t> </w:t>
      </w:r>
      <w:r>
        <w:rPr>
          <w:color w:val="231F20"/>
        </w:rPr>
        <w:t>Como</w:t>
      </w:r>
      <w:r>
        <w:rPr>
          <w:color w:val="231F20"/>
          <w:spacing w:val="-8"/>
        </w:rPr>
        <w:t> </w:t>
      </w:r>
      <w:r>
        <w:rPr>
          <w:color w:val="231F20"/>
        </w:rPr>
        <w:t>bien</w:t>
      </w:r>
      <w:r>
        <w:rPr>
          <w:color w:val="231F20"/>
          <w:spacing w:val="-8"/>
        </w:rPr>
        <w:t> </w:t>
      </w:r>
      <w:r>
        <w:rPr>
          <w:color w:val="231F20"/>
        </w:rPr>
        <w:t>se</w:t>
      </w:r>
      <w:r>
        <w:rPr>
          <w:color w:val="231F20"/>
          <w:spacing w:val="-8"/>
        </w:rPr>
        <w:t> </w:t>
      </w:r>
      <w:r>
        <w:rPr>
          <w:color w:val="231F20"/>
        </w:rPr>
        <w:t>puede</w:t>
      </w:r>
      <w:r>
        <w:rPr>
          <w:color w:val="231F20"/>
          <w:spacing w:val="-8"/>
        </w:rPr>
        <w:t> </w:t>
      </w:r>
      <w:r>
        <w:rPr>
          <w:color w:val="231F20"/>
        </w:rPr>
        <w:t>observar,</w:t>
      </w:r>
      <w:r>
        <w:rPr>
          <w:color w:val="231F20"/>
          <w:spacing w:val="-8"/>
        </w:rPr>
        <w:t> </w:t>
      </w:r>
      <w:r>
        <w:rPr>
          <w:color w:val="231F20"/>
        </w:rPr>
        <w:t>una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características</w:t>
      </w:r>
      <w:r>
        <w:rPr>
          <w:color w:val="231F20"/>
          <w:spacing w:val="-9"/>
        </w:rPr>
        <w:t> </w:t>
      </w:r>
      <w:r>
        <w:rPr>
          <w:color w:val="231F20"/>
        </w:rPr>
        <w:t>princi- pales</w:t>
      </w:r>
      <w:r>
        <w:rPr>
          <w:color w:val="231F20"/>
          <w:spacing w:val="-7"/>
        </w:rPr>
        <w:t> </w:t>
      </w:r>
      <w:r>
        <w:rPr>
          <w:color w:val="231F20"/>
        </w:rPr>
        <w:t>de</w:t>
      </w:r>
      <w:r>
        <w:rPr>
          <w:color w:val="231F20"/>
          <w:spacing w:val="-7"/>
        </w:rPr>
        <w:t> </w:t>
      </w:r>
      <w:r>
        <w:rPr>
          <w:color w:val="231F20"/>
        </w:rPr>
        <w:t>estas</w:t>
      </w:r>
      <w:r>
        <w:rPr>
          <w:color w:val="231F20"/>
          <w:spacing w:val="-7"/>
        </w:rPr>
        <w:t> </w:t>
      </w:r>
      <w:r>
        <w:rPr>
          <w:color w:val="231F20"/>
        </w:rPr>
        <w:t>definiciones</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concatenación</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nociones</w:t>
      </w:r>
      <w:r>
        <w:rPr>
          <w:color w:val="231F20"/>
          <w:spacing w:val="-7"/>
        </w:rPr>
        <w:t> </w:t>
      </w:r>
      <w:r>
        <w:rPr>
          <w:color w:val="231F20"/>
        </w:rPr>
        <w:t>de</w:t>
      </w:r>
      <w:r>
        <w:rPr>
          <w:color w:val="231F20"/>
          <w:spacing w:val="-7"/>
        </w:rPr>
        <w:t> </w:t>
      </w:r>
      <w:r>
        <w:rPr>
          <w:color w:val="231F20"/>
        </w:rPr>
        <w:t>gobierno (como lo concebimos hoy en día) con la de dispositivos de seguridad, los cuales cuentan con algunas características</w:t>
      </w:r>
      <w:r>
        <w:rPr>
          <w:color w:val="231F20"/>
          <w:spacing w:val="-5"/>
        </w:rPr>
        <w:t> </w:t>
      </w:r>
      <w:r>
        <w:rPr>
          <w:color w:val="231F20"/>
        </w:rPr>
        <w:t>básicas.</w:t>
      </w:r>
    </w:p>
    <w:p>
      <w:pPr>
        <w:pStyle w:val="BodyText"/>
        <w:spacing w:line="247" w:lineRule="auto"/>
        <w:ind w:left="117" w:right="115" w:firstLine="283"/>
        <w:jc w:val="both"/>
      </w:pPr>
      <w:r>
        <w:rPr>
          <w:color w:val="231F20"/>
        </w:rPr>
        <w:t>Los</w:t>
      </w:r>
      <w:r>
        <w:rPr>
          <w:color w:val="231F20"/>
          <w:spacing w:val="-7"/>
        </w:rPr>
        <w:t> </w:t>
      </w:r>
      <w:r>
        <w:rPr>
          <w:color w:val="231F20"/>
        </w:rPr>
        <w:t>conceptos</w:t>
      </w:r>
      <w:r>
        <w:rPr>
          <w:color w:val="231F20"/>
          <w:spacing w:val="-7"/>
        </w:rPr>
        <w:t> </w:t>
      </w:r>
      <w:r>
        <w:rPr>
          <w:color w:val="231F20"/>
        </w:rPr>
        <w:t>anteriormente</w:t>
      </w:r>
      <w:r>
        <w:rPr>
          <w:color w:val="231F20"/>
          <w:spacing w:val="-8"/>
        </w:rPr>
        <w:t> </w:t>
      </w:r>
      <w:r>
        <w:rPr>
          <w:color w:val="231F20"/>
        </w:rPr>
        <w:t>mencionados</w:t>
      </w:r>
      <w:r>
        <w:rPr>
          <w:color w:val="231F20"/>
          <w:spacing w:val="-8"/>
        </w:rPr>
        <w:t> </w:t>
      </w:r>
      <w:r>
        <w:rPr>
          <w:color w:val="231F20"/>
        </w:rPr>
        <w:t>permiten</w:t>
      </w:r>
      <w:r>
        <w:rPr>
          <w:color w:val="231F20"/>
          <w:spacing w:val="-7"/>
        </w:rPr>
        <w:t> </w:t>
      </w:r>
      <w:r>
        <w:rPr>
          <w:color w:val="231F20"/>
        </w:rPr>
        <w:t>armar</w:t>
      </w:r>
      <w:r>
        <w:rPr>
          <w:color w:val="231F20"/>
          <w:spacing w:val="-7"/>
        </w:rPr>
        <w:t> </w:t>
      </w:r>
      <w:r>
        <w:rPr>
          <w:color w:val="231F20"/>
        </w:rPr>
        <w:t>un</w:t>
      </w:r>
      <w:r>
        <w:rPr>
          <w:color w:val="231F20"/>
          <w:spacing w:val="-7"/>
        </w:rPr>
        <w:t> </w:t>
      </w:r>
      <w:r>
        <w:rPr>
          <w:color w:val="231F20"/>
        </w:rPr>
        <w:t>entrama- do</w:t>
      </w:r>
      <w:r>
        <w:rPr>
          <w:color w:val="231F20"/>
          <w:spacing w:val="-8"/>
        </w:rPr>
        <w:t> </w:t>
      </w:r>
      <w:r>
        <w:rPr>
          <w:color w:val="231F20"/>
        </w:rPr>
        <w:t>teórico</w:t>
      </w:r>
      <w:r>
        <w:rPr>
          <w:color w:val="231F20"/>
          <w:spacing w:val="-8"/>
        </w:rPr>
        <w:t> </w:t>
      </w:r>
      <w:r>
        <w:rPr>
          <w:color w:val="231F20"/>
        </w:rPr>
        <w:t>conceptual</w:t>
      </w:r>
      <w:r>
        <w:rPr>
          <w:color w:val="231F20"/>
          <w:spacing w:val="-9"/>
        </w:rPr>
        <w:t> </w:t>
      </w:r>
      <w:r>
        <w:rPr>
          <w:color w:val="231F20"/>
        </w:rPr>
        <w:t>que</w:t>
      </w:r>
      <w:r>
        <w:rPr>
          <w:color w:val="231F20"/>
          <w:spacing w:val="-8"/>
        </w:rPr>
        <w:t> </w:t>
      </w:r>
      <w:r>
        <w:rPr>
          <w:color w:val="231F20"/>
        </w:rPr>
        <w:t>provee</w:t>
      </w:r>
      <w:r>
        <w:rPr>
          <w:color w:val="231F20"/>
          <w:spacing w:val="-8"/>
        </w:rPr>
        <w:t> </w:t>
      </w:r>
      <w:r>
        <w:rPr>
          <w:color w:val="231F20"/>
        </w:rPr>
        <w:t>de</w:t>
      </w:r>
      <w:r>
        <w:rPr>
          <w:color w:val="231F20"/>
          <w:spacing w:val="-8"/>
        </w:rPr>
        <w:t> </w:t>
      </w:r>
      <w:r>
        <w:rPr>
          <w:color w:val="231F20"/>
        </w:rPr>
        <w:t>referentes</w:t>
      </w:r>
      <w:r>
        <w:rPr>
          <w:color w:val="231F20"/>
          <w:spacing w:val="-8"/>
        </w:rPr>
        <w:t> </w:t>
      </w:r>
      <w:r>
        <w:rPr>
          <w:color w:val="231F20"/>
        </w:rPr>
        <w:t>necesarios</w:t>
      </w:r>
      <w:r>
        <w:rPr>
          <w:color w:val="231F20"/>
          <w:spacing w:val="-8"/>
        </w:rPr>
        <w:t> </w:t>
      </w:r>
      <w:r>
        <w:rPr>
          <w:color w:val="231F20"/>
        </w:rPr>
        <w:t>para</w:t>
      </w:r>
      <w:r>
        <w:rPr>
          <w:color w:val="231F20"/>
          <w:spacing w:val="-8"/>
        </w:rPr>
        <w:t> </w:t>
      </w:r>
      <w:r>
        <w:rPr>
          <w:color w:val="231F20"/>
        </w:rPr>
        <w:t>realizar</w:t>
      </w:r>
      <w:r>
        <w:rPr>
          <w:color w:val="231F20"/>
          <w:spacing w:val="-8"/>
        </w:rPr>
        <w:t> </w:t>
      </w:r>
      <w:r>
        <w:rPr>
          <w:color w:val="231F20"/>
        </w:rPr>
        <w:t>una crítica a los dispositivos creados por el Estado, en su función administra- dora y la sociedad (con respecto a quién y a qué lo tolera y a lo que</w:t>
      </w:r>
      <w:r>
        <w:rPr>
          <w:color w:val="231F20"/>
          <w:spacing w:val="-10"/>
        </w:rPr>
        <w:t> </w:t>
      </w:r>
      <w:r>
        <w:rPr>
          <w:color w:val="231F20"/>
        </w:rPr>
        <w:t>no).</w:t>
      </w:r>
    </w:p>
    <w:p>
      <w:pPr>
        <w:pStyle w:val="Heading3"/>
        <w:spacing w:line="242" w:lineRule="auto"/>
        <w:ind w:right="117"/>
        <w:jc w:val="left"/>
      </w:pPr>
      <w:r>
        <w:rPr>
          <w:color w:val="231F20"/>
        </w:rPr>
        <w:t>Perfil sociodemográfico del migrante centroamericano de paso por México</w:t>
      </w:r>
    </w:p>
    <w:p>
      <w:pPr>
        <w:pStyle w:val="BodyText"/>
        <w:spacing w:line="247" w:lineRule="auto" w:before="170"/>
        <w:ind w:left="117" w:right="115"/>
        <w:jc w:val="both"/>
      </w:pPr>
      <w:r>
        <w:rPr>
          <w:color w:val="231F20"/>
        </w:rPr>
        <w:t>Para iniciar con esta parte del trabajo de investigación resultará indispen- sable hablar de los instrumentos que desde la posición estatal existen para hacer referencia al perfil del migrante centroamericano de paso por Méxi-</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jc w:val="both"/>
      </w:pPr>
      <w:r>
        <w:rPr>
          <w:color w:val="231F20"/>
        </w:rPr>
        <w:t>co.</w:t>
      </w:r>
      <w:r>
        <w:rPr>
          <w:color w:val="231F20"/>
          <w:spacing w:val="-11"/>
        </w:rPr>
        <w:t> </w:t>
      </w:r>
      <w:r>
        <w:rPr>
          <w:color w:val="231F20"/>
        </w:rPr>
        <w:t>Cabe</w:t>
      </w:r>
      <w:r>
        <w:rPr>
          <w:color w:val="231F20"/>
          <w:spacing w:val="-10"/>
        </w:rPr>
        <w:t> </w:t>
      </w:r>
      <w:r>
        <w:rPr>
          <w:color w:val="231F20"/>
        </w:rPr>
        <w:t>mencionar</w:t>
      </w:r>
      <w:r>
        <w:rPr>
          <w:color w:val="231F20"/>
          <w:spacing w:val="-11"/>
        </w:rPr>
        <w:t> </w:t>
      </w:r>
      <w:r>
        <w:rPr>
          <w:color w:val="231F20"/>
        </w:rPr>
        <w:t>que</w:t>
      </w:r>
      <w:r>
        <w:rPr>
          <w:color w:val="231F20"/>
          <w:spacing w:val="-10"/>
        </w:rPr>
        <w:t> </w:t>
      </w:r>
      <w:r>
        <w:rPr>
          <w:color w:val="231F20"/>
        </w:rPr>
        <w:t>en</w:t>
      </w:r>
      <w:r>
        <w:rPr>
          <w:color w:val="231F20"/>
          <w:spacing w:val="-11"/>
        </w:rPr>
        <w:t> </w:t>
      </w:r>
      <w:r>
        <w:rPr>
          <w:color w:val="231F20"/>
        </w:rPr>
        <w:t>el</w:t>
      </w:r>
      <w:r>
        <w:rPr>
          <w:color w:val="231F20"/>
          <w:spacing w:val="-10"/>
        </w:rPr>
        <w:t> </w:t>
      </w:r>
      <w:r>
        <w:rPr>
          <w:color w:val="231F20"/>
        </w:rPr>
        <w:t>caso</w:t>
      </w:r>
      <w:r>
        <w:rPr>
          <w:color w:val="231F20"/>
          <w:spacing w:val="-11"/>
        </w:rPr>
        <w:t> </w:t>
      </w:r>
      <w:r>
        <w:rPr>
          <w:color w:val="231F20"/>
        </w:rPr>
        <w:t>de</w:t>
      </w:r>
      <w:r>
        <w:rPr>
          <w:color w:val="231F20"/>
          <w:spacing w:val="-10"/>
        </w:rPr>
        <w:t> </w:t>
      </w:r>
      <w:r>
        <w:rPr>
          <w:color w:val="231F20"/>
        </w:rPr>
        <w:t>nuestro</w:t>
      </w:r>
      <w:r>
        <w:rPr>
          <w:color w:val="231F20"/>
          <w:spacing w:val="-10"/>
        </w:rPr>
        <w:t> </w:t>
      </w:r>
      <w:r>
        <w:rPr>
          <w:color w:val="231F20"/>
        </w:rPr>
        <w:t>país,</w:t>
      </w:r>
      <w:r>
        <w:rPr>
          <w:color w:val="231F20"/>
          <w:spacing w:val="-10"/>
        </w:rPr>
        <w:t> </w:t>
      </w:r>
      <w:r>
        <w:rPr>
          <w:color w:val="231F20"/>
        </w:rPr>
        <w:t>el</w:t>
      </w:r>
      <w:r>
        <w:rPr>
          <w:color w:val="231F20"/>
          <w:spacing w:val="-10"/>
        </w:rPr>
        <w:t> </w:t>
      </w:r>
      <w:r>
        <w:rPr>
          <w:color w:val="231F20"/>
        </w:rPr>
        <w:t>organismo</w:t>
      </w:r>
      <w:r>
        <w:rPr>
          <w:color w:val="231F20"/>
          <w:spacing w:val="-10"/>
        </w:rPr>
        <w:t> </w:t>
      </w:r>
      <w:r>
        <w:rPr>
          <w:color w:val="231F20"/>
        </w:rPr>
        <w:t>encargado de establecer la política migratoria es el Instituto Nacional de Migración (INM), el cual depende de la secretaria de Gobernación (SEGOB). Este instituto cuenta, entre otras muchas sub dependencias, con un Centro de Investigación en Migración, el cual realiza estudios relativos al campo de la migración.</w:t>
      </w:r>
    </w:p>
    <w:p>
      <w:pPr>
        <w:pStyle w:val="BodyText"/>
        <w:spacing w:line="247" w:lineRule="auto"/>
        <w:ind w:left="117" w:right="114" w:firstLine="283"/>
        <w:jc w:val="both"/>
      </w:pPr>
      <w:r>
        <w:rPr>
          <w:color w:val="231F20"/>
        </w:rPr>
        <w:t>Para tal efecto, el INM a través de su centro de investigación publica su </w:t>
      </w:r>
      <w:r>
        <w:rPr>
          <w:i/>
          <w:color w:val="231F20"/>
        </w:rPr>
        <w:t>dossier</w:t>
      </w:r>
      <w:r>
        <w:rPr>
          <w:color w:val="231F20"/>
        </w:rPr>
        <w:t>, mismo que debería ser emitido de manera anual, sin embra- go, no aparecen todos los años. Como dato interesante, es de resaltar que estos </w:t>
      </w:r>
      <w:r>
        <w:rPr>
          <w:i/>
          <w:color w:val="231F20"/>
        </w:rPr>
        <w:t>dossiers </w:t>
      </w:r>
      <w:r>
        <w:rPr>
          <w:color w:val="231F20"/>
        </w:rPr>
        <w:t>o informes son publicados desde el año 2002, aunque su continuidad no ha sido estable.</w:t>
      </w:r>
      <w:r>
        <w:rPr>
          <w:color w:val="231F20"/>
          <w:position w:val="7"/>
          <w:sz w:val="13"/>
        </w:rPr>
        <w:t>4 </w:t>
      </w:r>
      <w:r>
        <w:rPr>
          <w:color w:val="231F20"/>
        </w:rPr>
        <w:t>No obstante, en el correspondiente al año 2009 se hace mención de un estimado de migrantes que cruza cada año, siendo éste de dos millones (INM, 2009: 1). Desafortunadamente, sólo se trata de una aproximación, misma que en la propia publicación carece de sustento  o referente empírico. Contrastado con la información anterior,  el mismo INM, en un documento emitido por su centro de investigación, denominado </w:t>
      </w:r>
      <w:r>
        <w:rPr>
          <w:i/>
          <w:color w:val="231F20"/>
        </w:rPr>
        <w:t>Apuntes </w:t>
      </w:r>
      <w:r>
        <w:rPr>
          <w:i/>
          <w:color w:val="231F20"/>
          <w:spacing w:val="-3"/>
        </w:rPr>
        <w:t>sobre </w:t>
      </w:r>
      <w:r>
        <w:rPr>
          <w:i/>
          <w:color w:val="231F20"/>
        </w:rPr>
        <w:t>migración </w:t>
      </w:r>
      <w:r>
        <w:rPr>
          <w:color w:val="231F20"/>
        </w:rPr>
        <w:t>establece que (INM, 2011: 1) “la migración centroamericana de transito irregular por México…cambia a la baja en 2006 y se estabiliza durante 2009-2010”. En el mismo documento se</w:t>
      </w:r>
      <w:r>
        <w:rPr>
          <w:color w:val="231F20"/>
          <w:spacing w:val="-6"/>
        </w:rPr>
        <w:t> </w:t>
      </w:r>
      <w:r>
        <w:rPr>
          <w:color w:val="231F20"/>
        </w:rPr>
        <w:t>establece</w:t>
      </w:r>
      <w:r>
        <w:rPr>
          <w:color w:val="231F20"/>
          <w:spacing w:val="-6"/>
        </w:rPr>
        <w:t> </w:t>
      </w:r>
      <w:r>
        <w:rPr>
          <w:color w:val="231F20"/>
        </w:rPr>
        <w:t>que</w:t>
      </w:r>
      <w:r>
        <w:rPr>
          <w:color w:val="231F20"/>
          <w:spacing w:val="-6"/>
        </w:rPr>
        <w:t> </w:t>
      </w:r>
      <w:r>
        <w:rPr>
          <w:color w:val="231F20"/>
        </w:rPr>
        <w:t>del</w:t>
      </w:r>
      <w:r>
        <w:rPr>
          <w:color w:val="231F20"/>
          <w:spacing w:val="-6"/>
        </w:rPr>
        <w:t> </w:t>
      </w:r>
      <w:r>
        <w:rPr>
          <w:color w:val="231F20"/>
        </w:rPr>
        <w:t>total</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migrantes</w:t>
      </w:r>
      <w:r>
        <w:rPr>
          <w:color w:val="231F20"/>
          <w:spacing w:val="-6"/>
        </w:rPr>
        <w:t> </w:t>
      </w:r>
      <w:r>
        <w:rPr>
          <w:color w:val="231F20"/>
        </w:rPr>
        <w:t>irregulares</w:t>
      </w:r>
      <w:r>
        <w:rPr>
          <w:color w:val="231F20"/>
          <w:spacing w:val="-6"/>
        </w:rPr>
        <w:t> </w:t>
      </w:r>
      <w:r>
        <w:rPr>
          <w:color w:val="231F20"/>
        </w:rPr>
        <w:t>asegurados</w:t>
      </w:r>
      <w:r>
        <w:rPr>
          <w:color w:val="231F20"/>
          <w:spacing w:val="-6"/>
        </w:rPr>
        <w:t> </w:t>
      </w:r>
      <w:r>
        <w:rPr>
          <w:color w:val="231F20"/>
        </w:rPr>
        <w:t>en</w:t>
      </w:r>
      <w:r>
        <w:rPr>
          <w:color w:val="231F20"/>
          <w:spacing w:val="-6"/>
        </w:rPr>
        <w:t> </w:t>
      </w:r>
      <w:r>
        <w:rPr>
          <w:color w:val="231F20"/>
        </w:rPr>
        <w:t>Méxi- co, 89 por ciento son centroamericanos (INM, 2011: 2) y casi la mitad de ellos son guatemaltecos (INM, 2011: 3). Este mismo documento hace una desagregación por sexo, mencionando que a partir de 2007 se puede notar una disminución de migrantes mujeres, las cuales representaban 22.9 por ciento del total de migrantes en 2007, reduciéndose a 13.8 por ciento en 2010 (INM, 2011:</w:t>
      </w:r>
      <w:r>
        <w:rPr>
          <w:color w:val="231F20"/>
          <w:spacing w:val="-10"/>
        </w:rPr>
        <w:t> </w:t>
      </w:r>
      <w:r>
        <w:rPr>
          <w:color w:val="231F20"/>
        </w:rPr>
        <w:t>5).</w:t>
      </w:r>
    </w:p>
    <w:p>
      <w:pPr>
        <w:pStyle w:val="BodyText"/>
        <w:spacing w:before="2"/>
        <w:rPr>
          <w:sz w:val="19"/>
        </w:rPr>
      </w:pPr>
      <w:r>
        <w:rPr/>
        <w:pict>
          <v:line style="position:absolute;mso-position-horizontal-relative:page;mso-position-vertical-relative:paragraph;z-index:3352;mso-wrap-distance-left:0;mso-wrap-distance-right:0" from="70.866096pt,13.364459pt" to="142.866096pt,13.364459pt" stroked="true" strokeweight=".75pt" strokecolor="#231f20">
            <w10:wrap type="topAndBottom"/>
          </v:line>
        </w:pict>
      </w:r>
    </w:p>
    <w:p>
      <w:pPr>
        <w:spacing w:line="208" w:lineRule="auto" w:before="0"/>
        <w:ind w:left="117" w:right="114" w:firstLine="0"/>
        <w:jc w:val="both"/>
        <w:rPr>
          <w:sz w:val="17"/>
        </w:rPr>
      </w:pPr>
      <w:r>
        <w:rPr>
          <w:color w:val="231F20"/>
          <w:position w:val="6"/>
          <w:sz w:val="10"/>
        </w:rPr>
        <w:t>4</w:t>
      </w:r>
      <w:r>
        <w:rPr>
          <w:color w:val="231F20"/>
          <w:spacing w:val="13"/>
          <w:position w:val="6"/>
          <w:sz w:val="10"/>
        </w:rPr>
        <w:t> </w:t>
      </w:r>
      <w:r>
        <w:rPr>
          <w:color w:val="231F20"/>
          <w:sz w:val="17"/>
        </w:rPr>
        <w:t>El</w:t>
      </w:r>
      <w:r>
        <w:rPr>
          <w:color w:val="231F20"/>
          <w:spacing w:val="-5"/>
          <w:sz w:val="17"/>
        </w:rPr>
        <w:t> </w:t>
      </w:r>
      <w:r>
        <w:rPr>
          <w:color w:val="231F20"/>
          <w:sz w:val="17"/>
        </w:rPr>
        <w:t>19</w:t>
      </w:r>
      <w:r>
        <w:rPr>
          <w:color w:val="231F20"/>
          <w:spacing w:val="-5"/>
          <w:sz w:val="17"/>
        </w:rPr>
        <w:t> </w:t>
      </w:r>
      <w:r>
        <w:rPr>
          <w:color w:val="231F20"/>
          <w:sz w:val="17"/>
        </w:rPr>
        <w:t>de</w:t>
      </w:r>
      <w:r>
        <w:rPr>
          <w:color w:val="231F20"/>
          <w:spacing w:val="-5"/>
          <w:sz w:val="17"/>
        </w:rPr>
        <w:t> </w:t>
      </w:r>
      <w:r>
        <w:rPr>
          <w:color w:val="231F20"/>
          <w:sz w:val="17"/>
        </w:rPr>
        <w:t>octubre</w:t>
      </w:r>
      <w:r>
        <w:rPr>
          <w:color w:val="231F20"/>
          <w:spacing w:val="-5"/>
          <w:sz w:val="17"/>
        </w:rPr>
        <w:t> </w:t>
      </w:r>
      <w:r>
        <w:rPr>
          <w:color w:val="231F20"/>
          <w:sz w:val="17"/>
        </w:rPr>
        <w:t>de</w:t>
      </w:r>
      <w:r>
        <w:rPr>
          <w:color w:val="231F20"/>
          <w:spacing w:val="-5"/>
          <w:sz w:val="17"/>
        </w:rPr>
        <w:t> </w:t>
      </w:r>
      <w:r>
        <w:rPr>
          <w:color w:val="231F20"/>
          <w:sz w:val="17"/>
        </w:rPr>
        <w:t>1993</w:t>
      </w:r>
      <w:r>
        <w:rPr>
          <w:color w:val="231F20"/>
          <w:spacing w:val="-5"/>
          <w:sz w:val="17"/>
        </w:rPr>
        <w:t> </w:t>
      </w:r>
      <w:r>
        <w:rPr>
          <w:color w:val="231F20"/>
          <w:sz w:val="17"/>
        </w:rPr>
        <w:t>fue</w:t>
      </w:r>
      <w:r>
        <w:rPr>
          <w:color w:val="231F20"/>
          <w:spacing w:val="-5"/>
          <w:sz w:val="17"/>
        </w:rPr>
        <w:t> </w:t>
      </w:r>
      <w:r>
        <w:rPr>
          <w:color w:val="231F20"/>
          <w:sz w:val="17"/>
        </w:rPr>
        <w:t>creado</w:t>
      </w:r>
      <w:r>
        <w:rPr>
          <w:color w:val="231F20"/>
          <w:spacing w:val="-5"/>
          <w:sz w:val="17"/>
        </w:rPr>
        <w:t> </w:t>
      </w:r>
      <w:r>
        <w:rPr>
          <w:color w:val="231F20"/>
          <w:sz w:val="17"/>
        </w:rPr>
        <w:t>el</w:t>
      </w:r>
      <w:r>
        <w:rPr>
          <w:color w:val="231F20"/>
          <w:spacing w:val="-5"/>
          <w:sz w:val="17"/>
        </w:rPr>
        <w:t> </w:t>
      </w:r>
      <w:r>
        <w:rPr>
          <w:color w:val="231F20"/>
          <w:sz w:val="17"/>
        </w:rPr>
        <w:t>Instituto</w:t>
      </w:r>
      <w:r>
        <w:rPr>
          <w:color w:val="231F20"/>
          <w:spacing w:val="-5"/>
          <w:sz w:val="17"/>
        </w:rPr>
        <w:t> </w:t>
      </w:r>
      <w:r>
        <w:rPr>
          <w:color w:val="231F20"/>
          <w:sz w:val="17"/>
        </w:rPr>
        <w:t>Nacional</w:t>
      </w:r>
      <w:r>
        <w:rPr>
          <w:color w:val="231F20"/>
          <w:spacing w:val="-5"/>
          <w:sz w:val="17"/>
        </w:rPr>
        <w:t> </w:t>
      </w:r>
      <w:r>
        <w:rPr>
          <w:color w:val="231F20"/>
          <w:sz w:val="17"/>
        </w:rPr>
        <w:t>de</w:t>
      </w:r>
      <w:r>
        <w:rPr>
          <w:color w:val="231F20"/>
          <w:spacing w:val="-5"/>
          <w:sz w:val="17"/>
        </w:rPr>
        <w:t> </w:t>
      </w:r>
      <w:r>
        <w:rPr>
          <w:color w:val="231F20"/>
          <w:sz w:val="17"/>
        </w:rPr>
        <w:t>Migración</w:t>
      </w:r>
      <w:r>
        <w:rPr>
          <w:color w:val="231F20"/>
          <w:spacing w:val="-5"/>
          <w:sz w:val="17"/>
        </w:rPr>
        <w:t> </w:t>
      </w:r>
      <w:r>
        <w:rPr>
          <w:color w:val="231F20"/>
          <w:sz w:val="17"/>
        </w:rPr>
        <w:t>(INM),</w:t>
      </w:r>
      <w:r>
        <w:rPr>
          <w:color w:val="231F20"/>
          <w:spacing w:val="-5"/>
          <w:sz w:val="17"/>
        </w:rPr>
        <w:t> </w:t>
      </w:r>
      <w:r>
        <w:rPr>
          <w:color w:val="231F20"/>
          <w:sz w:val="17"/>
        </w:rPr>
        <w:t>el</w:t>
      </w:r>
      <w:r>
        <w:rPr>
          <w:color w:val="231F20"/>
          <w:spacing w:val="-5"/>
          <w:sz w:val="17"/>
        </w:rPr>
        <w:t> </w:t>
      </w:r>
      <w:r>
        <w:rPr>
          <w:color w:val="231F20"/>
          <w:sz w:val="17"/>
        </w:rPr>
        <w:t>cual</w:t>
      </w:r>
      <w:r>
        <w:rPr>
          <w:color w:val="231F20"/>
          <w:spacing w:val="-5"/>
          <w:sz w:val="17"/>
        </w:rPr>
        <w:t> </w:t>
      </w:r>
      <w:r>
        <w:rPr>
          <w:color w:val="231F20"/>
          <w:sz w:val="17"/>
        </w:rPr>
        <w:t>tiene</w:t>
      </w:r>
      <w:r>
        <w:rPr>
          <w:color w:val="231F20"/>
          <w:spacing w:val="-5"/>
          <w:sz w:val="17"/>
        </w:rPr>
        <w:t> </w:t>
      </w:r>
      <w:r>
        <w:rPr>
          <w:color w:val="231F20"/>
          <w:sz w:val="17"/>
        </w:rPr>
        <w:t>por objeto la planeación, ejecución, control, supervisión y evaluación de los servicios migratorios, al</w:t>
      </w:r>
      <w:r>
        <w:rPr>
          <w:color w:val="231F20"/>
          <w:spacing w:val="-4"/>
          <w:sz w:val="17"/>
        </w:rPr>
        <w:t> </w:t>
      </w:r>
      <w:r>
        <w:rPr>
          <w:color w:val="231F20"/>
          <w:sz w:val="17"/>
        </w:rPr>
        <w:t>igual</w:t>
      </w:r>
      <w:r>
        <w:rPr>
          <w:color w:val="231F20"/>
          <w:spacing w:val="-4"/>
          <w:sz w:val="17"/>
        </w:rPr>
        <w:t> </w:t>
      </w:r>
      <w:r>
        <w:rPr>
          <w:color w:val="231F20"/>
          <w:sz w:val="17"/>
        </w:rPr>
        <w:t>que</w:t>
      </w:r>
      <w:r>
        <w:rPr>
          <w:color w:val="231F20"/>
          <w:spacing w:val="-4"/>
          <w:sz w:val="17"/>
        </w:rPr>
        <w:t> </w:t>
      </w:r>
      <w:r>
        <w:rPr>
          <w:color w:val="231F20"/>
          <w:sz w:val="17"/>
        </w:rPr>
        <w:t>las</w:t>
      </w:r>
      <w:r>
        <w:rPr>
          <w:color w:val="231F20"/>
          <w:spacing w:val="-4"/>
          <w:sz w:val="17"/>
        </w:rPr>
        <w:t> </w:t>
      </w:r>
      <w:r>
        <w:rPr>
          <w:color w:val="231F20"/>
          <w:sz w:val="17"/>
        </w:rPr>
        <w:t>relaciones</w:t>
      </w:r>
      <w:r>
        <w:rPr>
          <w:color w:val="231F20"/>
          <w:spacing w:val="-4"/>
          <w:sz w:val="17"/>
        </w:rPr>
        <w:t> </w:t>
      </w:r>
      <w:r>
        <w:rPr>
          <w:color w:val="231F20"/>
          <w:sz w:val="17"/>
        </w:rPr>
        <w:t>de</w:t>
      </w:r>
      <w:r>
        <w:rPr>
          <w:color w:val="231F20"/>
          <w:spacing w:val="-4"/>
          <w:sz w:val="17"/>
        </w:rPr>
        <w:t> </w:t>
      </w:r>
      <w:r>
        <w:rPr>
          <w:color w:val="231F20"/>
          <w:sz w:val="17"/>
        </w:rPr>
        <w:t>coordinación</w:t>
      </w:r>
      <w:r>
        <w:rPr>
          <w:color w:val="231F20"/>
          <w:spacing w:val="-4"/>
          <w:sz w:val="17"/>
        </w:rPr>
        <w:t> </w:t>
      </w:r>
      <w:r>
        <w:rPr>
          <w:color w:val="231F20"/>
          <w:sz w:val="17"/>
        </w:rPr>
        <w:t>con</w:t>
      </w:r>
      <w:r>
        <w:rPr>
          <w:color w:val="231F20"/>
          <w:spacing w:val="-4"/>
          <w:sz w:val="17"/>
        </w:rPr>
        <w:t> </w:t>
      </w:r>
      <w:r>
        <w:rPr>
          <w:color w:val="231F20"/>
          <w:sz w:val="17"/>
        </w:rPr>
        <w:t>las</w:t>
      </w:r>
      <w:r>
        <w:rPr>
          <w:color w:val="231F20"/>
          <w:spacing w:val="-4"/>
          <w:sz w:val="17"/>
        </w:rPr>
        <w:t> </w:t>
      </w:r>
      <w:r>
        <w:rPr>
          <w:color w:val="231F20"/>
          <w:sz w:val="17"/>
        </w:rPr>
        <w:t>diferentes</w:t>
      </w:r>
      <w:r>
        <w:rPr>
          <w:color w:val="231F20"/>
          <w:spacing w:val="-4"/>
          <w:sz w:val="17"/>
        </w:rPr>
        <w:t> </w:t>
      </w:r>
      <w:r>
        <w:rPr>
          <w:color w:val="231F20"/>
          <w:sz w:val="17"/>
        </w:rPr>
        <w:t>dependencias</w:t>
      </w:r>
      <w:r>
        <w:rPr>
          <w:color w:val="231F20"/>
          <w:spacing w:val="-4"/>
          <w:sz w:val="17"/>
        </w:rPr>
        <w:t> </w:t>
      </w:r>
      <w:r>
        <w:rPr>
          <w:color w:val="231F20"/>
          <w:sz w:val="17"/>
        </w:rPr>
        <w:t>de</w:t>
      </w:r>
      <w:r>
        <w:rPr>
          <w:color w:val="231F20"/>
          <w:spacing w:val="-4"/>
          <w:sz w:val="17"/>
        </w:rPr>
        <w:t> </w:t>
      </w:r>
      <w:r>
        <w:rPr>
          <w:color w:val="231F20"/>
          <w:sz w:val="17"/>
        </w:rPr>
        <w:t>la</w:t>
      </w:r>
      <w:r>
        <w:rPr>
          <w:color w:val="231F20"/>
          <w:spacing w:val="-12"/>
          <w:sz w:val="17"/>
        </w:rPr>
        <w:t> </w:t>
      </w:r>
      <w:r>
        <w:rPr>
          <w:color w:val="231F20"/>
          <w:sz w:val="17"/>
        </w:rPr>
        <w:t>Administración Pública Federal que concurrieran en la atención y solución de los asuntos relacionados con la materia. La reforma a la Ley General de Población de 1996 ajustó diversos aspectos de la le- gislación migratoria, entre los cuales se permite el registro de los hijos de extranjeros nacidos en territorio nacional, sin solicitar la comprobación previa de la legal estancia de los padres. Asimismo,</w:t>
      </w:r>
      <w:r>
        <w:rPr>
          <w:color w:val="231F20"/>
          <w:spacing w:val="-4"/>
          <w:sz w:val="17"/>
        </w:rPr>
        <w:t> </w:t>
      </w:r>
      <w:r>
        <w:rPr>
          <w:color w:val="231F20"/>
          <w:sz w:val="17"/>
        </w:rPr>
        <w:t>se</w:t>
      </w:r>
      <w:r>
        <w:rPr>
          <w:color w:val="231F20"/>
          <w:spacing w:val="-4"/>
          <w:sz w:val="17"/>
        </w:rPr>
        <w:t> </w:t>
      </w:r>
      <w:r>
        <w:rPr>
          <w:color w:val="231F20"/>
          <w:sz w:val="17"/>
        </w:rPr>
        <w:t>estableció</w:t>
      </w:r>
      <w:r>
        <w:rPr>
          <w:color w:val="231F20"/>
          <w:spacing w:val="-5"/>
          <w:sz w:val="17"/>
        </w:rPr>
        <w:t> </w:t>
      </w:r>
      <w:r>
        <w:rPr>
          <w:color w:val="231F20"/>
          <w:sz w:val="17"/>
        </w:rPr>
        <w:t>la</w:t>
      </w:r>
      <w:r>
        <w:rPr>
          <w:color w:val="231F20"/>
          <w:spacing w:val="-4"/>
          <w:sz w:val="17"/>
        </w:rPr>
        <w:t> </w:t>
      </w:r>
      <w:r>
        <w:rPr>
          <w:color w:val="231F20"/>
          <w:sz w:val="17"/>
        </w:rPr>
        <w:t>obligatoriedad</w:t>
      </w:r>
      <w:r>
        <w:rPr>
          <w:color w:val="231F20"/>
          <w:spacing w:val="-4"/>
          <w:sz w:val="17"/>
        </w:rPr>
        <w:t> </w:t>
      </w:r>
      <w:r>
        <w:rPr>
          <w:color w:val="231F20"/>
          <w:sz w:val="17"/>
        </w:rPr>
        <w:t>de</w:t>
      </w:r>
      <w:r>
        <w:rPr>
          <w:color w:val="231F20"/>
          <w:spacing w:val="-4"/>
          <w:sz w:val="17"/>
        </w:rPr>
        <w:t> </w:t>
      </w:r>
      <w:r>
        <w:rPr>
          <w:color w:val="231F20"/>
          <w:sz w:val="17"/>
        </w:rPr>
        <w:t>que</w:t>
      </w:r>
      <w:r>
        <w:rPr>
          <w:color w:val="231F20"/>
          <w:spacing w:val="-4"/>
          <w:sz w:val="17"/>
        </w:rPr>
        <w:t> </w:t>
      </w:r>
      <w:r>
        <w:rPr>
          <w:color w:val="231F20"/>
          <w:sz w:val="17"/>
        </w:rPr>
        <w:t>los</w:t>
      </w:r>
      <w:r>
        <w:rPr>
          <w:color w:val="231F20"/>
          <w:spacing w:val="-4"/>
          <w:sz w:val="17"/>
        </w:rPr>
        <w:t> </w:t>
      </w:r>
      <w:r>
        <w:rPr>
          <w:color w:val="231F20"/>
          <w:sz w:val="17"/>
        </w:rPr>
        <w:t>matrimonios</w:t>
      </w:r>
      <w:r>
        <w:rPr>
          <w:color w:val="231F20"/>
          <w:spacing w:val="-5"/>
          <w:sz w:val="17"/>
        </w:rPr>
        <w:t> </w:t>
      </w:r>
      <w:r>
        <w:rPr>
          <w:color w:val="231F20"/>
          <w:sz w:val="17"/>
        </w:rPr>
        <w:t>y</w:t>
      </w:r>
      <w:r>
        <w:rPr>
          <w:color w:val="231F20"/>
          <w:spacing w:val="-4"/>
          <w:sz w:val="17"/>
        </w:rPr>
        <w:t> </w:t>
      </w:r>
      <w:r>
        <w:rPr>
          <w:color w:val="231F20"/>
          <w:sz w:val="17"/>
        </w:rPr>
        <w:t>divorcios</w:t>
      </w:r>
      <w:r>
        <w:rPr>
          <w:color w:val="231F20"/>
          <w:spacing w:val="-4"/>
          <w:sz w:val="17"/>
        </w:rPr>
        <w:t> </w:t>
      </w:r>
      <w:r>
        <w:rPr>
          <w:color w:val="231F20"/>
          <w:sz w:val="17"/>
        </w:rPr>
        <w:t>entre</w:t>
      </w:r>
      <w:r>
        <w:rPr>
          <w:color w:val="231F20"/>
          <w:spacing w:val="-4"/>
          <w:sz w:val="17"/>
        </w:rPr>
        <w:t> </w:t>
      </w:r>
      <w:r>
        <w:rPr>
          <w:color w:val="231F20"/>
          <w:sz w:val="17"/>
        </w:rPr>
        <w:t>mexicanos</w:t>
      </w:r>
      <w:r>
        <w:rPr>
          <w:color w:val="231F20"/>
          <w:spacing w:val="-5"/>
          <w:sz w:val="17"/>
        </w:rPr>
        <w:t> </w:t>
      </w:r>
      <w:r>
        <w:rPr>
          <w:color w:val="231F20"/>
          <w:sz w:val="17"/>
        </w:rPr>
        <w:t>y extranjeros</w:t>
      </w:r>
      <w:r>
        <w:rPr>
          <w:color w:val="231F20"/>
          <w:spacing w:val="-5"/>
          <w:sz w:val="17"/>
        </w:rPr>
        <w:t> </w:t>
      </w:r>
      <w:r>
        <w:rPr>
          <w:color w:val="231F20"/>
          <w:sz w:val="17"/>
        </w:rPr>
        <w:t>se</w:t>
      </w:r>
      <w:r>
        <w:rPr>
          <w:color w:val="231F20"/>
          <w:spacing w:val="-5"/>
          <w:sz w:val="17"/>
        </w:rPr>
        <w:t> </w:t>
      </w:r>
      <w:r>
        <w:rPr>
          <w:color w:val="231F20"/>
          <w:sz w:val="17"/>
        </w:rPr>
        <w:t>inscriban</w:t>
      </w:r>
      <w:r>
        <w:rPr>
          <w:color w:val="231F20"/>
          <w:spacing w:val="-5"/>
          <w:sz w:val="17"/>
        </w:rPr>
        <w:t> </w:t>
      </w:r>
      <w:r>
        <w:rPr>
          <w:color w:val="231F20"/>
          <w:sz w:val="17"/>
        </w:rPr>
        <w:t>en</w:t>
      </w:r>
      <w:r>
        <w:rPr>
          <w:color w:val="231F20"/>
          <w:spacing w:val="-5"/>
          <w:sz w:val="17"/>
        </w:rPr>
        <w:t> </w:t>
      </w:r>
      <w:r>
        <w:rPr>
          <w:color w:val="231F20"/>
          <w:sz w:val="17"/>
        </w:rPr>
        <w:t>el</w:t>
      </w:r>
      <w:r>
        <w:rPr>
          <w:color w:val="231F20"/>
          <w:spacing w:val="-5"/>
          <w:sz w:val="17"/>
        </w:rPr>
        <w:t> </w:t>
      </w:r>
      <w:r>
        <w:rPr>
          <w:color w:val="231F20"/>
          <w:sz w:val="17"/>
        </w:rPr>
        <w:t>Registro</w:t>
      </w:r>
      <w:r>
        <w:rPr>
          <w:color w:val="231F20"/>
          <w:spacing w:val="-5"/>
          <w:sz w:val="17"/>
        </w:rPr>
        <w:t> </w:t>
      </w:r>
      <w:r>
        <w:rPr>
          <w:color w:val="231F20"/>
          <w:sz w:val="17"/>
        </w:rPr>
        <w:t>Nacional</w:t>
      </w:r>
      <w:r>
        <w:rPr>
          <w:color w:val="231F20"/>
          <w:spacing w:val="-4"/>
          <w:sz w:val="17"/>
        </w:rPr>
        <w:t> </w:t>
      </w:r>
      <w:r>
        <w:rPr>
          <w:color w:val="231F20"/>
          <w:sz w:val="17"/>
        </w:rPr>
        <w:t>de</w:t>
      </w:r>
      <w:r>
        <w:rPr>
          <w:color w:val="231F20"/>
          <w:spacing w:val="-5"/>
          <w:sz w:val="17"/>
        </w:rPr>
        <w:t> </w:t>
      </w:r>
      <w:r>
        <w:rPr>
          <w:color w:val="231F20"/>
          <w:sz w:val="17"/>
        </w:rPr>
        <w:t>Extranjeros</w:t>
      </w:r>
      <w:r>
        <w:rPr>
          <w:color w:val="231F20"/>
          <w:spacing w:val="-5"/>
          <w:sz w:val="17"/>
        </w:rPr>
        <w:t> </w:t>
      </w:r>
      <w:r>
        <w:rPr>
          <w:color w:val="231F20"/>
          <w:sz w:val="17"/>
        </w:rPr>
        <w:t>y</w:t>
      </w:r>
      <w:r>
        <w:rPr>
          <w:color w:val="231F20"/>
          <w:spacing w:val="-5"/>
          <w:sz w:val="17"/>
        </w:rPr>
        <w:t> </w:t>
      </w:r>
      <w:r>
        <w:rPr>
          <w:color w:val="231F20"/>
          <w:sz w:val="17"/>
        </w:rPr>
        <w:t>se</w:t>
      </w:r>
      <w:r>
        <w:rPr>
          <w:color w:val="231F20"/>
          <w:spacing w:val="-5"/>
          <w:sz w:val="17"/>
        </w:rPr>
        <w:t> </w:t>
      </w:r>
      <w:r>
        <w:rPr>
          <w:color w:val="231F20"/>
          <w:sz w:val="17"/>
        </w:rPr>
        <w:t>incrementaron</w:t>
      </w:r>
      <w:r>
        <w:rPr>
          <w:color w:val="231F20"/>
          <w:spacing w:val="-5"/>
          <w:sz w:val="17"/>
        </w:rPr>
        <w:t> </w:t>
      </w:r>
      <w:r>
        <w:rPr>
          <w:color w:val="231F20"/>
          <w:sz w:val="17"/>
        </w:rPr>
        <w:t>las</w:t>
      </w:r>
      <w:r>
        <w:rPr>
          <w:color w:val="231F20"/>
          <w:spacing w:val="-5"/>
          <w:sz w:val="17"/>
        </w:rPr>
        <w:t> </w:t>
      </w:r>
      <w:r>
        <w:rPr>
          <w:color w:val="231F20"/>
          <w:sz w:val="17"/>
        </w:rPr>
        <w:t>sanciones para los traficantes de personas y servidores públicos que incurran en esta conducta delictiva. En el año 2000 se incorporó en el Reglamento de la Ley General de Población la facultad de   la autoridad migratoria para crear grupos de protección a migrantes, lo cual es el sustento legal para</w:t>
      </w:r>
      <w:r>
        <w:rPr>
          <w:color w:val="231F20"/>
          <w:spacing w:val="-3"/>
          <w:sz w:val="17"/>
        </w:rPr>
        <w:t> </w:t>
      </w:r>
      <w:r>
        <w:rPr>
          <w:color w:val="231F20"/>
          <w:sz w:val="17"/>
        </w:rPr>
        <w:t>la</w:t>
      </w:r>
      <w:r>
        <w:rPr>
          <w:color w:val="231F20"/>
          <w:spacing w:val="-3"/>
          <w:sz w:val="17"/>
        </w:rPr>
        <w:t> </w:t>
      </w:r>
      <w:r>
        <w:rPr>
          <w:color w:val="231F20"/>
          <w:sz w:val="17"/>
        </w:rPr>
        <w:t>creación</w:t>
      </w:r>
      <w:r>
        <w:rPr>
          <w:color w:val="231F20"/>
          <w:spacing w:val="-3"/>
          <w:sz w:val="17"/>
        </w:rPr>
        <w:t> </w:t>
      </w:r>
      <w:r>
        <w:rPr>
          <w:color w:val="231F20"/>
          <w:sz w:val="17"/>
        </w:rPr>
        <w:t>y</w:t>
      </w:r>
      <w:r>
        <w:rPr>
          <w:color w:val="231F20"/>
          <w:spacing w:val="-3"/>
          <w:sz w:val="17"/>
        </w:rPr>
        <w:t> </w:t>
      </w:r>
      <w:r>
        <w:rPr>
          <w:color w:val="231F20"/>
          <w:sz w:val="17"/>
        </w:rPr>
        <w:t>funcionamiento</w:t>
      </w:r>
      <w:r>
        <w:rPr>
          <w:color w:val="231F20"/>
          <w:spacing w:val="-3"/>
          <w:sz w:val="17"/>
        </w:rPr>
        <w:t> </w:t>
      </w:r>
      <w:r>
        <w:rPr>
          <w:color w:val="231F20"/>
          <w:sz w:val="17"/>
        </w:rPr>
        <w:t>de</w:t>
      </w:r>
      <w:r>
        <w:rPr>
          <w:color w:val="231F20"/>
          <w:spacing w:val="-3"/>
          <w:sz w:val="17"/>
        </w:rPr>
        <w:t> </w:t>
      </w:r>
      <w:r>
        <w:rPr>
          <w:color w:val="231F20"/>
          <w:sz w:val="17"/>
        </w:rPr>
        <w:t>los</w:t>
      </w:r>
      <w:r>
        <w:rPr>
          <w:color w:val="231F20"/>
          <w:spacing w:val="-3"/>
          <w:sz w:val="17"/>
        </w:rPr>
        <w:t> </w:t>
      </w:r>
      <w:r>
        <w:rPr>
          <w:color w:val="231F20"/>
          <w:sz w:val="17"/>
        </w:rPr>
        <w:t>Grupos</w:t>
      </w:r>
      <w:r>
        <w:rPr>
          <w:color w:val="231F20"/>
          <w:spacing w:val="-3"/>
          <w:sz w:val="17"/>
        </w:rPr>
        <w:t> </w:t>
      </w:r>
      <w:r>
        <w:rPr>
          <w:color w:val="231F20"/>
          <w:sz w:val="17"/>
        </w:rPr>
        <w:t>Beta</w:t>
      </w:r>
      <w:r>
        <w:rPr>
          <w:color w:val="231F20"/>
          <w:spacing w:val="-3"/>
          <w:sz w:val="17"/>
        </w:rPr>
        <w:t> </w:t>
      </w:r>
      <w:r>
        <w:rPr>
          <w:color w:val="231F20"/>
          <w:sz w:val="17"/>
        </w:rPr>
        <w:t>que</w:t>
      </w:r>
      <w:r>
        <w:rPr>
          <w:color w:val="231F20"/>
          <w:spacing w:val="-3"/>
          <w:sz w:val="17"/>
        </w:rPr>
        <w:t> </w:t>
      </w:r>
      <w:r>
        <w:rPr>
          <w:color w:val="231F20"/>
          <w:sz w:val="17"/>
        </w:rPr>
        <w:t>coordina</w:t>
      </w:r>
      <w:r>
        <w:rPr>
          <w:color w:val="231F20"/>
          <w:spacing w:val="-3"/>
          <w:sz w:val="17"/>
        </w:rPr>
        <w:t> </w:t>
      </w:r>
      <w:r>
        <w:rPr>
          <w:color w:val="231F20"/>
          <w:sz w:val="17"/>
        </w:rPr>
        <w:t>el</w:t>
      </w:r>
      <w:r>
        <w:rPr>
          <w:color w:val="231F20"/>
          <w:spacing w:val="-3"/>
          <w:sz w:val="17"/>
        </w:rPr>
        <w:t> </w:t>
      </w:r>
      <w:r>
        <w:rPr>
          <w:color w:val="231F20"/>
          <w:sz w:val="17"/>
        </w:rPr>
        <w:t>INM,</w:t>
      </w:r>
      <w:r>
        <w:rPr>
          <w:color w:val="231F20"/>
          <w:spacing w:val="-3"/>
          <w:sz w:val="17"/>
        </w:rPr>
        <w:t> </w:t>
      </w:r>
      <w:r>
        <w:rPr>
          <w:color w:val="231F20"/>
          <w:sz w:val="17"/>
        </w:rPr>
        <w:t>con</w:t>
      </w:r>
      <w:r>
        <w:rPr>
          <w:color w:val="231F20"/>
          <w:spacing w:val="-3"/>
          <w:sz w:val="17"/>
        </w:rPr>
        <w:t> </w:t>
      </w:r>
      <w:r>
        <w:rPr>
          <w:color w:val="231F20"/>
          <w:sz w:val="17"/>
        </w:rPr>
        <w:t>la</w:t>
      </w:r>
      <w:r>
        <w:rPr>
          <w:color w:val="231F20"/>
          <w:spacing w:val="-3"/>
          <w:sz w:val="17"/>
        </w:rPr>
        <w:t> </w:t>
      </w:r>
      <w:r>
        <w:rPr>
          <w:color w:val="231F20"/>
          <w:sz w:val="17"/>
        </w:rPr>
        <w:t>participación de los estados y municipios correspondientes. Finalmente, el día 18 de mayo de 2005 mediante acuerdo</w:t>
      </w:r>
      <w:r>
        <w:rPr>
          <w:color w:val="231F20"/>
          <w:spacing w:val="-6"/>
          <w:sz w:val="17"/>
        </w:rPr>
        <w:t> </w:t>
      </w:r>
      <w:r>
        <w:rPr>
          <w:color w:val="231F20"/>
          <w:sz w:val="17"/>
        </w:rPr>
        <w:t>fue</w:t>
      </w:r>
      <w:r>
        <w:rPr>
          <w:color w:val="231F20"/>
          <w:spacing w:val="-6"/>
          <w:sz w:val="17"/>
        </w:rPr>
        <w:t> </w:t>
      </w:r>
      <w:r>
        <w:rPr>
          <w:color w:val="231F20"/>
          <w:sz w:val="17"/>
        </w:rPr>
        <w:t>reconocido</w:t>
      </w:r>
      <w:r>
        <w:rPr>
          <w:color w:val="231F20"/>
          <w:spacing w:val="-6"/>
          <w:sz w:val="17"/>
        </w:rPr>
        <w:t> </w:t>
      </w:r>
      <w:r>
        <w:rPr>
          <w:color w:val="231F20"/>
          <w:sz w:val="17"/>
        </w:rPr>
        <w:t>como</w:t>
      </w:r>
      <w:r>
        <w:rPr>
          <w:color w:val="231F20"/>
          <w:spacing w:val="-6"/>
          <w:sz w:val="17"/>
        </w:rPr>
        <w:t> </w:t>
      </w:r>
      <w:r>
        <w:rPr>
          <w:color w:val="231F20"/>
          <w:sz w:val="17"/>
        </w:rPr>
        <w:t>instancia</w:t>
      </w:r>
      <w:r>
        <w:rPr>
          <w:color w:val="231F20"/>
          <w:spacing w:val="-6"/>
          <w:sz w:val="17"/>
        </w:rPr>
        <w:t> </w:t>
      </w:r>
      <w:r>
        <w:rPr>
          <w:color w:val="231F20"/>
          <w:sz w:val="17"/>
        </w:rPr>
        <w:t>de</w:t>
      </w:r>
      <w:r>
        <w:rPr>
          <w:color w:val="231F20"/>
          <w:spacing w:val="-6"/>
          <w:sz w:val="17"/>
        </w:rPr>
        <w:t> </w:t>
      </w:r>
      <w:r>
        <w:rPr>
          <w:color w:val="231F20"/>
          <w:sz w:val="17"/>
        </w:rPr>
        <w:t>seguridad</w:t>
      </w:r>
      <w:r>
        <w:rPr>
          <w:color w:val="231F20"/>
          <w:spacing w:val="-5"/>
          <w:sz w:val="17"/>
        </w:rPr>
        <w:t> </w:t>
      </w:r>
      <w:r>
        <w:rPr>
          <w:color w:val="231F20"/>
          <w:sz w:val="17"/>
        </w:rPr>
        <w:t>nacional.</w:t>
      </w:r>
      <w:r>
        <w:rPr>
          <w:color w:val="231F20"/>
          <w:spacing w:val="-15"/>
          <w:sz w:val="17"/>
        </w:rPr>
        <w:t> </w:t>
      </w:r>
      <w:r>
        <w:rPr>
          <w:color w:val="231F20"/>
          <w:sz w:val="17"/>
        </w:rPr>
        <w:t>A</w:t>
      </w:r>
      <w:r>
        <w:rPr>
          <w:color w:val="231F20"/>
          <w:spacing w:val="-15"/>
          <w:sz w:val="17"/>
        </w:rPr>
        <w:t> </w:t>
      </w:r>
      <w:r>
        <w:rPr>
          <w:color w:val="231F20"/>
          <w:sz w:val="17"/>
        </w:rPr>
        <w:t>partir</w:t>
      </w:r>
      <w:r>
        <w:rPr>
          <w:color w:val="231F20"/>
          <w:spacing w:val="-6"/>
          <w:sz w:val="17"/>
        </w:rPr>
        <w:t> </w:t>
      </w:r>
      <w:r>
        <w:rPr>
          <w:color w:val="231F20"/>
          <w:sz w:val="17"/>
        </w:rPr>
        <w:t>de</w:t>
      </w:r>
      <w:r>
        <w:rPr>
          <w:color w:val="231F20"/>
          <w:spacing w:val="-6"/>
          <w:sz w:val="17"/>
        </w:rPr>
        <w:t> </w:t>
      </w:r>
      <w:r>
        <w:rPr>
          <w:color w:val="231F20"/>
          <w:sz w:val="17"/>
        </w:rPr>
        <w:t>su</w:t>
      </w:r>
      <w:r>
        <w:rPr>
          <w:color w:val="231F20"/>
          <w:spacing w:val="-6"/>
          <w:sz w:val="17"/>
        </w:rPr>
        <w:t> </w:t>
      </w:r>
      <w:r>
        <w:rPr>
          <w:color w:val="231F20"/>
          <w:sz w:val="17"/>
        </w:rPr>
        <w:t>creación,</w:t>
      </w:r>
      <w:r>
        <w:rPr>
          <w:color w:val="231F20"/>
          <w:spacing w:val="-6"/>
          <w:sz w:val="17"/>
        </w:rPr>
        <w:t> </w:t>
      </w:r>
      <w:r>
        <w:rPr>
          <w:color w:val="231F20"/>
          <w:sz w:val="17"/>
        </w:rPr>
        <w:t>el</w:t>
      </w:r>
      <w:r>
        <w:rPr>
          <w:color w:val="231F20"/>
          <w:spacing w:val="-6"/>
          <w:sz w:val="17"/>
        </w:rPr>
        <w:t> </w:t>
      </w:r>
      <w:r>
        <w:rPr>
          <w:color w:val="231F20"/>
          <w:sz w:val="17"/>
        </w:rPr>
        <w:t>INM</w:t>
      </w:r>
      <w:r>
        <w:rPr>
          <w:color w:val="231F20"/>
          <w:spacing w:val="-6"/>
          <w:sz w:val="17"/>
        </w:rPr>
        <w:t> </w:t>
      </w:r>
      <w:r>
        <w:rPr>
          <w:color w:val="231F20"/>
          <w:sz w:val="17"/>
        </w:rPr>
        <w:t>ha mantenido</w:t>
      </w:r>
      <w:r>
        <w:rPr>
          <w:color w:val="231F20"/>
          <w:spacing w:val="-9"/>
          <w:sz w:val="17"/>
        </w:rPr>
        <w:t> </w:t>
      </w:r>
      <w:r>
        <w:rPr>
          <w:color w:val="231F20"/>
          <w:sz w:val="17"/>
        </w:rPr>
        <w:t>la</w:t>
      </w:r>
      <w:r>
        <w:rPr>
          <w:color w:val="231F20"/>
          <w:spacing w:val="-9"/>
          <w:sz w:val="17"/>
        </w:rPr>
        <w:t> </w:t>
      </w:r>
      <w:r>
        <w:rPr>
          <w:color w:val="231F20"/>
          <w:sz w:val="17"/>
        </w:rPr>
        <w:t>existencia</w:t>
      </w:r>
      <w:r>
        <w:rPr>
          <w:color w:val="231F20"/>
          <w:spacing w:val="-9"/>
          <w:sz w:val="17"/>
        </w:rPr>
        <w:t> </w:t>
      </w:r>
      <w:r>
        <w:rPr>
          <w:color w:val="231F20"/>
          <w:sz w:val="17"/>
        </w:rPr>
        <w:t>de</w:t>
      </w:r>
      <w:r>
        <w:rPr>
          <w:color w:val="231F20"/>
          <w:spacing w:val="-9"/>
          <w:sz w:val="17"/>
        </w:rPr>
        <w:t> </w:t>
      </w:r>
      <w:r>
        <w:rPr>
          <w:color w:val="231F20"/>
          <w:sz w:val="17"/>
        </w:rPr>
        <w:t>diversos</w:t>
      </w:r>
      <w:r>
        <w:rPr>
          <w:color w:val="231F20"/>
          <w:spacing w:val="-9"/>
          <w:sz w:val="17"/>
        </w:rPr>
        <w:t> </w:t>
      </w:r>
      <w:r>
        <w:rPr>
          <w:color w:val="231F20"/>
          <w:sz w:val="17"/>
        </w:rPr>
        <w:t>informes</w:t>
      </w:r>
      <w:r>
        <w:rPr>
          <w:color w:val="231F20"/>
          <w:spacing w:val="-9"/>
          <w:sz w:val="17"/>
        </w:rPr>
        <w:t> </w:t>
      </w:r>
      <w:r>
        <w:rPr>
          <w:color w:val="231F20"/>
          <w:sz w:val="17"/>
        </w:rPr>
        <w:t>estadísticos</w:t>
      </w:r>
      <w:r>
        <w:rPr>
          <w:color w:val="231F20"/>
          <w:spacing w:val="-9"/>
          <w:sz w:val="17"/>
        </w:rPr>
        <w:t> </w:t>
      </w:r>
      <w:r>
        <w:rPr>
          <w:color w:val="231F20"/>
          <w:sz w:val="17"/>
        </w:rPr>
        <w:t>y</w:t>
      </w:r>
      <w:r>
        <w:rPr>
          <w:color w:val="231F20"/>
          <w:spacing w:val="-9"/>
          <w:sz w:val="17"/>
        </w:rPr>
        <w:t> </w:t>
      </w:r>
      <w:r>
        <w:rPr>
          <w:color w:val="231F20"/>
          <w:sz w:val="17"/>
        </w:rPr>
        <w:t>demográficos,</w:t>
      </w:r>
      <w:r>
        <w:rPr>
          <w:color w:val="231F20"/>
          <w:spacing w:val="-9"/>
          <w:sz w:val="17"/>
        </w:rPr>
        <w:t> </w:t>
      </w:r>
      <w:r>
        <w:rPr>
          <w:color w:val="231F20"/>
          <w:sz w:val="17"/>
        </w:rPr>
        <w:t>en</w:t>
      </w:r>
      <w:r>
        <w:rPr>
          <w:color w:val="231F20"/>
          <w:spacing w:val="-9"/>
          <w:sz w:val="17"/>
        </w:rPr>
        <w:t> </w:t>
      </w:r>
      <w:r>
        <w:rPr>
          <w:color w:val="231F20"/>
          <w:sz w:val="17"/>
        </w:rPr>
        <w:t>congruencia</w:t>
      </w:r>
      <w:r>
        <w:rPr>
          <w:color w:val="231F20"/>
          <w:spacing w:val="-9"/>
          <w:sz w:val="17"/>
        </w:rPr>
        <w:t> </w:t>
      </w:r>
      <w:r>
        <w:rPr>
          <w:color w:val="231F20"/>
          <w:sz w:val="17"/>
        </w:rPr>
        <w:t>con</w:t>
      </w:r>
      <w:r>
        <w:rPr>
          <w:color w:val="231F20"/>
          <w:spacing w:val="-9"/>
          <w:sz w:val="17"/>
        </w:rPr>
        <w:t> </w:t>
      </w:r>
      <w:r>
        <w:rPr>
          <w:color w:val="231F20"/>
          <w:sz w:val="17"/>
        </w:rPr>
        <w:t>las atribuciones</w:t>
      </w:r>
      <w:r>
        <w:rPr>
          <w:color w:val="231F20"/>
          <w:spacing w:val="-9"/>
          <w:sz w:val="17"/>
        </w:rPr>
        <w:t> </w:t>
      </w:r>
      <w:r>
        <w:rPr>
          <w:color w:val="231F20"/>
          <w:sz w:val="17"/>
        </w:rPr>
        <w:t>que</w:t>
      </w:r>
      <w:r>
        <w:rPr>
          <w:color w:val="231F20"/>
          <w:spacing w:val="-9"/>
          <w:sz w:val="17"/>
        </w:rPr>
        <w:t> </w:t>
      </w:r>
      <w:r>
        <w:rPr>
          <w:color w:val="231F20"/>
          <w:sz w:val="17"/>
        </w:rPr>
        <w:t>la</w:t>
      </w:r>
      <w:r>
        <w:rPr>
          <w:color w:val="231F20"/>
          <w:spacing w:val="-9"/>
          <w:sz w:val="17"/>
        </w:rPr>
        <w:t> </w:t>
      </w:r>
      <w:r>
        <w:rPr>
          <w:color w:val="231F20"/>
          <w:sz w:val="17"/>
        </w:rPr>
        <w:t>Ley</w:t>
      </w:r>
      <w:r>
        <w:rPr>
          <w:color w:val="231F20"/>
          <w:spacing w:val="-9"/>
          <w:sz w:val="17"/>
        </w:rPr>
        <w:t> </w:t>
      </w:r>
      <w:r>
        <w:rPr>
          <w:color w:val="231F20"/>
          <w:sz w:val="17"/>
        </w:rPr>
        <w:t>General</w:t>
      </w:r>
      <w:r>
        <w:rPr>
          <w:color w:val="231F20"/>
          <w:spacing w:val="-9"/>
          <w:sz w:val="17"/>
        </w:rPr>
        <w:t> </w:t>
      </w:r>
      <w:r>
        <w:rPr>
          <w:color w:val="231F20"/>
          <w:sz w:val="17"/>
        </w:rPr>
        <w:t>de</w:t>
      </w:r>
      <w:r>
        <w:rPr>
          <w:color w:val="231F20"/>
          <w:spacing w:val="-9"/>
          <w:sz w:val="17"/>
        </w:rPr>
        <w:t> </w:t>
      </w:r>
      <w:r>
        <w:rPr>
          <w:color w:val="231F20"/>
          <w:sz w:val="17"/>
        </w:rPr>
        <w:t>Población</w:t>
      </w:r>
      <w:r>
        <w:rPr>
          <w:color w:val="231F20"/>
          <w:spacing w:val="-9"/>
          <w:sz w:val="17"/>
        </w:rPr>
        <w:t> </w:t>
      </w:r>
      <w:r>
        <w:rPr>
          <w:color w:val="231F20"/>
          <w:sz w:val="17"/>
        </w:rPr>
        <w:t>y</w:t>
      </w:r>
      <w:r>
        <w:rPr>
          <w:color w:val="231F20"/>
          <w:spacing w:val="-9"/>
          <w:sz w:val="17"/>
        </w:rPr>
        <w:t> </w:t>
      </w:r>
      <w:r>
        <w:rPr>
          <w:color w:val="231F20"/>
          <w:sz w:val="17"/>
        </w:rPr>
        <w:t>la</w:t>
      </w:r>
      <w:r>
        <w:rPr>
          <w:color w:val="231F20"/>
          <w:spacing w:val="-9"/>
          <w:sz w:val="17"/>
        </w:rPr>
        <w:t> </w:t>
      </w:r>
      <w:r>
        <w:rPr>
          <w:color w:val="231F20"/>
          <w:sz w:val="17"/>
        </w:rPr>
        <w:t>Ley</w:t>
      </w:r>
      <w:r>
        <w:rPr>
          <w:color w:val="231F20"/>
          <w:spacing w:val="-9"/>
          <w:sz w:val="17"/>
        </w:rPr>
        <w:t> </w:t>
      </w:r>
      <w:r>
        <w:rPr>
          <w:color w:val="231F20"/>
          <w:sz w:val="17"/>
        </w:rPr>
        <w:t>de</w:t>
      </w:r>
      <w:r>
        <w:rPr>
          <w:color w:val="231F20"/>
          <w:spacing w:val="-9"/>
          <w:sz w:val="17"/>
        </w:rPr>
        <w:t> </w:t>
      </w:r>
      <w:r>
        <w:rPr>
          <w:color w:val="231F20"/>
          <w:sz w:val="17"/>
        </w:rPr>
        <w:t>Migración</w:t>
      </w:r>
      <w:r>
        <w:rPr>
          <w:color w:val="231F20"/>
          <w:spacing w:val="-9"/>
          <w:sz w:val="17"/>
        </w:rPr>
        <w:t> </w:t>
      </w:r>
      <w:r>
        <w:rPr>
          <w:color w:val="231F20"/>
          <w:sz w:val="17"/>
        </w:rPr>
        <w:t>le</w:t>
      </w:r>
      <w:r>
        <w:rPr>
          <w:color w:val="231F20"/>
          <w:spacing w:val="-9"/>
          <w:sz w:val="17"/>
        </w:rPr>
        <w:t> </w:t>
      </w:r>
      <w:r>
        <w:rPr>
          <w:color w:val="231F20"/>
          <w:sz w:val="17"/>
        </w:rPr>
        <w:t>confieren.</w:t>
      </w:r>
      <w:r>
        <w:rPr>
          <w:color w:val="231F20"/>
          <w:spacing w:val="-9"/>
          <w:sz w:val="17"/>
        </w:rPr>
        <w:t> </w:t>
      </w:r>
      <w:r>
        <w:rPr>
          <w:color w:val="231F20"/>
          <w:sz w:val="17"/>
        </w:rPr>
        <w:t>La</w:t>
      </w:r>
      <w:r>
        <w:rPr>
          <w:color w:val="231F20"/>
          <w:spacing w:val="-9"/>
          <w:sz w:val="17"/>
        </w:rPr>
        <w:t> </w:t>
      </w:r>
      <w:r>
        <w:rPr>
          <w:color w:val="231F20"/>
          <w:sz w:val="17"/>
        </w:rPr>
        <w:t>información que produce es considerada como un referente por distintos organismos, tales como el Consejo General de Población (CONAPO) y el Instituto Nacional de Migración (INM, 2011:</w:t>
      </w:r>
      <w:r>
        <w:rPr>
          <w:color w:val="231F20"/>
          <w:spacing w:val="-7"/>
          <w:sz w:val="17"/>
        </w:rPr>
        <w:t> </w:t>
      </w:r>
      <w:r>
        <w:rPr>
          <w:color w:val="231F20"/>
          <w:sz w:val="17"/>
        </w:rPr>
        <w:t>2).</w:t>
      </w:r>
    </w:p>
    <w:p>
      <w:pPr>
        <w:spacing w:after="0" w:line="208" w:lineRule="auto"/>
        <w:jc w:val="both"/>
        <w:rPr>
          <w:sz w:val="17"/>
        </w:rPr>
        <w:sectPr>
          <w:footerReference w:type="default" r:id="rId107"/>
          <w:pgSz w:w="9360" w:h="13040"/>
          <w:pgMar w:footer="496" w:header="0" w:top="800" w:bottom="680" w:left="1300" w:right="1300"/>
        </w:sectPr>
      </w:pPr>
    </w:p>
    <w:p>
      <w:pPr>
        <w:spacing w:before="45"/>
        <w:ind w:left="400" w:right="0" w:firstLine="111"/>
        <w:jc w:val="left"/>
        <w:rPr>
          <w:rFonts w:ascii="Arial" w:hAnsi="Arial"/>
          <w:sz w:val="20"/>
        </w:rPr>
      </w:pPr>
      <w:r>
        <w:rPr>
          <w:rFonts w:ascii="Arial" w:hAnsi="Arial"/>
          <w:color w:val="231F20"/>
          <w:w w:val="70"/>
          <w:sz w:val="20"/>
        </w:rPr>
        <w:t>El migrante centroamericano de paso por México y los derechos humanos /Luis Raúl Ortiz-Ramírez</w:t>
      </w:r>
    </w:p>
    <w:p>
      <w:pPr>
        <w:pStyle w:val="BodyText"/>
        <w:spacing w:before="7"/>
        <w:rPr>
          <w:rFonts w:ascii="Arial"/>
          <w:sz w:val="28"/>
        </w:rPr>
      </w:pPr>
    </w:p>
    <w:p>
      <w:pPr>
        <w:pStyle w:val="BodyText"/>
        <w:spacing w:line="247" w:lineRule="auto"/>
        <w:ind w:left="117" w:right="114" w:firstLine="283"/>
        <w:jc w:val="both"/>
      </w:pPr>
      <w:r>
        <w:rPr>
          <w:color w:val="231F20"/>
        </w:rPr>
        <w:t>A partir de 2004 se implementó un instrumento denominado Encuesta de Migración de la frontera México Guatemala (EMIF GUAMEX) (INM, 2008: 2), el cual contenía un registro del flujo de entradas documentadas</w:t>
      </w:r>
      <w:r>
        <w:rPr>
          <w:color w:val="231F20"/>
          <w:spacing w:val="-37"/>
        </w:rPr>
        <w:t> </w:t>
      </w:r>
      <w:r>
        <w:rPr>
          <w:color w:val="231F20"/>
        </w:rPr>
        <w:t>y no documentadas por la frontera sur de México entre el periodo compren- dido</w:t>
      </w:r>
      <w:r>
        <w:rPr>
          <w:color w:val="231F20"/>
          <w:spacing w:val="-9"/>
        </w:rPr>
        <w:t> </w:t>
      </w:r>
      <w:r>
        <w:rPr>
          <w:color w:val="231F20"/>
        </w:rPr>
        <w:t>entre</w:t>
      </w:r>
      <w:r>
        <w:rPr>
          <w:color w:val="231F20"/>
          <w:spacing w:val="-9"/>
        </w:rPr>
        <w:t> </w:t>
      </w:r>
      <w:r>
        <w:rPr>
          <w:color w:val="231F20"/>
        </w:rPr>
        <w:t>2000</w:t>
      </w:r>
      <w:r>
        <w:rPr>
          <w:color w:val="231F20"/>
          <w:spacing w:val="-9"/>
        </w:rPr>
        <w:t> </w:t>
      </w:r>
      <w:r>
        <w:rPr>
          <w:color w:val="231F20"/>
        </w:rPr>
        <w:t>y</w:t>
      </w:r>
      <w:r>
        <w:rPr>
          <w:color w:val="231F20"/>
          <w:spacing w:val="-9"/>
        </w:rPr>
        <w:t> </w:t>
      </w:r>
      <w:r>
        <w:rPr>
          <w:color w:val="231F20"/>
        </w:rPr>
        <w:t>2007.</w:t>
      </w:r>
      <w:r>
        <w:rPr>
          <w:color w:val="231F20"/>
          <w:spacing w:val="-9"/>
        </w:rPr>
        <w:t> </w:t>
      </w:r>
      <w:r>
        <w:rPr>
          <w:color w:val="231F20"/>
        </w:rPr>
        <w:t>Este</w:t>
      </w:r>
      <w:r>
        <w:rPr>
          <w:color w:val="231F20"/>
          <w:spacing w:val="-9"/>
        </w:rPr>
        <w:t> </w:t>
      </w:r>
      <w:r>
        <w:rPr>
          <w:color w:val="231F20"/>
        </w:rPr>
        <w:t>instrumento</w:t>
      </w:r>
      <w:r>
        <w:rPr>
          <w:color w:val="231F20"/>
          <w:spacing w:val="-10"/>
        </w:rPr>
        <w:t> </w:t>
      </w:r>
      <w:r>
        <w:rPr>
          <w:color w:val="231F20"/>
        </w:rPr>
        <w:t>representa</w:t>
      </w:r>
      <w:r>
        <w:rPr>
          <w:color w:val="231F20"/>
          <w:spacing w:val="-9"/>
        </w:rPr>
        <w:t> </w:t>
      </w:r>
      <w:r>
        <w:rPr>
          <w:color w:val="231F20"/>
        </w:rPr>
        <w:t>un</w:t>
      </w:r>
      <w:r>
        <w:rPr>
          <w:color w:val="231F20"/>
          <w:spacing w:val="-9"/>
        </w:rPr>
        <w:t> </w:t>
      </w:r>
      <w:r>
        <w:rPr>
          <w:color w:val="231F20"/>
        </w:rPr>
        <w:t>primer</w:t>
      </w:r>
      <w:r>
        <w:rPr>
          <w:color w:val="231F20"/>
          <w:spacing w:val="-9"/>
        </w:rPr>
        <w:t> </w:t>
      </w:r>
      <w:r>
        <w:rPr>
          <w:color w:val="231F20"/>
        </w:rPr>
        <w:t>antecedente de lo que posteriormente llegó a convertirse en EMIF</w:t>
      </w:r>
      <w:r>
        <w:rPr>
          <w:color w:val="231F20"/>
          <w:spacing w:val="-9"/>
        </w:rPr>
        <w:t> </w:t>
      </w:r>
      <w:r>
        <w:rPr>
          <w:color w:val="231F20"/>
        </w:rPr>
        <w:t>SUR.</w:t>
      </w:r>
    </w:p>
    <w:p>
      <w:pPr>
        <w:pStyle w:val="BodyText"/>
        <w:spacing w:line="247" w:lineRule="auto"/>
        <w:ind w:left="117" w:right="114" w:firstLine="283"/>
        <w:jc w:val="both"/>
      </w:pPr>
      <w:r>
        <w:rPr>
          <w:color w:val="231F20"/>
        </w:rPr>
        <w:t>En otro de sus </w:t>
      </w:r>
      <w:r>
        <w:rPr>
          <w:i/>
          <w:color w:val="231F20"/>
        </w:rPr>
        <w:t>dossier</w:t>
      </w:r>
      <w:r>
        <w:rPr>
          <w:color w:val="231F20"/>
        </w:rPr>
        <w:t>, el INM describe cuatro rutas que los migrantes centroamericanos siguen para entrar al país, siendo éstas las de: i) costa chiapaneca,</w:t>
      </w:r>
      <w:r>
        <w:rPr>
          <w:color w:val="231F20"/>
          <w:spacing w:val="-15"/>
        </w:rPr>
        <w:t> </w:t>
      </w:r>
      <w:r>
        <w:rPr>
          <w:color w:val="231F20"/>
        </w:rPr>
        <w:t>ii)</w:t>
      </w:r>
      <w:r>
        <w:rPr>
          <w:color w:val="231F20"/>
          <w:spacing w:val="-14"/>
        </w:rPr>
        <w:t> </w:t>
      </w:r>
      <w:r>
        <w:rPr>
          <w:color w:val="231F20"/>
        </w:rPr>
        <w:t>centro-presa,</w:t>
      </w:r>
      <w:r>
        <w:rPr>
          <w:color w:val="231F20"/>
          <w:spacing w:val="-15"/>
        </w:rPr>
        <w:t> </w:t>
      </w:r>
      <w:r>
        <w:rPr>
          <w:color w:val="231F20"/>
        </w:rPr>
        <w:t>también</w:t>
      </w:r>
      <w:r>
        <w:rPr>
          <w:color w:val="231F20"/>
          <w:spacing w:val="-15"/>
        </w:rPr>
        <w:t> </w:t>
      </w:r>
      <w:r>
        <w:rPr>
          <w:color w:val="231F20"/>
        </w:rPr>
        <w:t>en</w:t>
      </w:r>
      <w:r>
        <w:rPr>
          <w:color w:val="231F20"/>
          <w:spacing w:val="-14"/>
        </w:rPr>
        <w:t> </w:t>
      </w:r>
      <w:r>
        <w:rPr>
          <w:color w:val="231F20"/>
        </w:rPr>
        <w:t>Chiapas,</w:t>
      </w:r>
      <w:r>
        <w:rPr>
          <w:color w:val="231F20"/>
          <w:spacing w:val="-14"/>
        </w:rPr>
        <w:t> </w:t>
      </w:r>
      <w:r>
        <w:rPr>
          <w:color w:val="231F20"/>
        </w:rPr>
        <w:t>iii)</w:t>
      </w:r>
      <w:r>
        <w:rPr>
          <w:color w:val="231F20"/>
          <w:spacing w:val="-15"/>
        </w:rPr>
        <w:t> </w:t>
      </w:r>
      <w:r>
        <w:rPr>
          <w:color w:val="231F20"/>
        </w:rPr>
        <w:t>selva,</w:t>
      </w:r>
      <w:r>
        <w:rPr>
          <w:color w:val="231F20"/>
          <w:spacing w:val="-14"/>
        </w:rPr>
        <w:t> </w:t>
      </w:r>
      <w:r>
        <w:rPr>
          <w:color w:val="231F20"/>
        </w:rPr>
        <w:t>comprendiendo municipios de Chiapas y Tabasco, iv) peninsular: </w:t>
      </w:r>
      <w:r>
        <w:rPr>
          <w:color w:val="231F20"/>
          <w:spacing w:val="-4"/>
        </w:rPr>
        <w:t>Yucatán, </w:t>
      </w:r>
      <w:r>
        <w:rPr>
          <w:color w:val="231F20"/>
        </w:rPr>
        <w:t>Quintana Roo y Campeche. Este mismo instrumento establece que el total de migrantes indocumentados asegurados en 2010 fue de 46 826 (INM, 2011: 2). Cabe mencionar que a lo largo del documento se contrasta información corres- pondiente</w:t>
      </w:r>
      <w:r>
        <w:rPr>
          <w:color w:val="231F20"/>
          <w:spacing w:val="-12"/>
        </w:rPr>
        <w:t> </w:t>
      </w:r>
      <w:r>
        <w:rPr>
          <w:color w:val="231F20"/>
        </w:rPr>
        <w:t>al</w:t>
      </w:r>
      <w:r>
        <w:rPr>
          <w:color w:val="231F20"/>
          <w:spacing w:val="-12"/>
        </w:rPr>
        <w:t> </w:t>
      </w:r>
      <w:r>
        <w:rPr>
          <w:color w:val="231F20"/>
        </w:rPr>
        <w:t>periodo</w:t>
      </w:r>
      <w:r>
        <w:rPr>
          <w:color w:val="231F20"/>
          <w:spacing w:val="-12"/>
        </w:rPr>
        <w:t> </w:t>
      </w:r>
      <w:r>
        <w:rPr>
          <w:color w:val="231F20"/>
        </w:rPr>
        <w:t>de</w:t>
      </w:r>
      <w:r>
        <w:rPr>
          <w:color w:val="231F20"/>
          <w:spacing w:val="-12"/>
        </w:rPr>
        <w:t> </w:t>
      </w:r>
      <w:r>
        <w:rPr>
          <w:color w:val="231F20"/>
        </w:rPr>
        <w:t>años</w:t>
      </w:r>
      <w:r>
        <w:rPr>
          <w:color w:val="231F20"/>
          <w:spacing w:val="-12"/>
        </w:rPr>
        <w:t> </w:t>
      </w:r>
      <w:r>
        <w:rPr>
          <w:color w:val="231F20"/>
        </w:rPr>
        <w:t>comprendidos</w:t>
      </w:r>
      <w:r>
        <w:rPr>
          <w:color w:val="231F20"/>
          <w:spacing w:val="-13"/>
        </w:rPr>
        <w:t> </w:t>
      </w:r>
      <w:r>
        <w:rPr>
          <w:color w:val="231F20"/>
        </w:rPr>
        <w:t>entre</w:t>
      </w:r>
      <w:r>
        <w:rPr>
          <w:color w:val="231F20"/>
          <w:spacing w:val="-12"/>
        </w:rPr>
        <w:t> </w:t>
      </w:r>
      <w:r>
        <w:rPr>
          <w:color w:val="231F20"/>
        </w:rPr>
        <w:t>2001</w:t>
      </w:r>
      <w:r>
        <w:rPr>
          <w:color w:val="231F20"/>
          <w:spacing w:val="-12"/>
        </w:rPr>
        <w:t> </w:t>
      </w:r>
      <w:r>
        <w:rPr>
          <w:color w:val="231F20"/>
        </w:rPr>
        <w:t>y</w:t>
      </w:r>
      <w:r>
        <w:rPr>
          <w:color w:val="231F20"/>
          <w:spacing w:val="-12"/>
        </w:rPr>
        <w:t> </w:t>
      </w:r>
      <w:r>
        <w:rPr>
          <w:color w:val="231F20"/>
        </w:rPr>
        <w:t>2010,</w:t>
      </w:r>
      <w:r>
        <w:rPr>
          <w:color w:val="231F20"/>
          <w:spacing w:val="-12"/>
        </w:rPr>
        <w:t> </w:t>
      </w:r>
      <w:r>
        <w:rPr>
          <w:color w:val="231F20"/>
        </w:rPr>
        <w:t>que</w:t>
      </w:r>
      <w:r>
        <w:rPr>
          <w:color w:val="231F20"/>
          <w:spacing w:val="-12"/>
        </w:rPr>
        <w:t> </w:t>
      </w:r>
      <w:r>
        <w:rPr>
          <w:color w:val="231F20"/>
        </w:rPr>
        <w:t>segrega la</w:t>
      </w:r>
      <w:r>
        <w:rPr>
          <w:color w:val="231F20"/>
          <w:spacing w:val="-5"/>
        </w:rPr>
        <w:t> </w:t>
      </w:r>
      <w:r>
        <w:rPr>
          <w:color w:val="231F20"/>
        </w:rPr>
        <w:t>información</w:t>
      </w:r>
      <w:r>
        <w:rPr>
          <w:color w:val="231F20"/>
          <w:spacing w:val="-6"/>
        </w:rPr>
        <w:t> </w:t>
      </w:r>
      <w:r>
        <w:rPr>
          <w:color w:val="231F20"/>
        </w:rPr>
        <w:t>por</w:t>
      </w:r>
      <w:r>
        <w:rPr>
          <w:color w:val="231F20"/>
          <w:spacing w:val="-5"/>
        </w:rPr>
        <w:t> </w:t>
      </w:r>
      <w:r>
        <w:rPr>
          <w:color w:val="231F20"/>
        </w:rPr>
        <w:t>rubros</w:t>
      </w:r>
      <w:r>
        <w:rPr>
          <w:color w:val="231F20"/>
          <w:spacing w:val="-5"/>
        </w:rPr>
        <w:t> </w:t>
      </w:r>
      <w:r>
        <w:rPr>
          <w:color w:val="231F20"/>
        </w:rPr>
        <w:t>tales</w:t>
      </w:r>
      <w:r>
        <w:rPr>
          <w:color w:val="231F20"/>
          <w:spacing w:val="-6"/>
        </w:rPr>
        <w:t> </w:t>
      </w:r>
      <w:r>
        <w:rPr>
          <w:color w:val="231F20"/>
        </w:rPr>
        <w:t>como</w:t>
      </w:r>
      <w:r>
        <w:rPr>
          <w:color w:val="231F20"/>
          <w:spacing w:val="-5"/>
        </w:rPr>
        <w:t> </w:t>
      </w:r>
      <w:r>
        <w:rPr>
          <w:color w:val="231F20"/>
        </w:rPr>
        <w:t>detenciones</w:t>
      </w:r>
      <w:r>
        <w:rPr>
          <w:color w:val="231F20"/>
          <w:spacing w:val="-5"/>
        </w:rPr>
        <w:t> </w:t>
      </w:r>
      <w:r>
        <w:rPr>
          <w:color w:val="231F20"/>
        </w:rPr>
        <w:t>por</w:t>
      </w:r>
      <w:r>
        <w:rPr>
          <w:color w:val="231F20"/>
          <w:spacing w:val="-5"/>
        </w:rPr>
        <w:t> </w:t>
      </w:r>
      <w:r>
        <w:rPr>
          <w:color w:val="231F20"/>
        </w:rPr>
        <w:t>delegación</w:t>
      </w:r>
      <w:r>
        <w:rPr>
          <w:color w:val="231F20"/>
          <w:spacing w:val="-5"/>
        </w:rPr>
        <w:t> </w:t>
      </w:r>
      <w:r>
        <w:rPr>
          <w:color w:val="231F20"/>
        </w:rPr>
        <w:t>del</w:t>
      </w:r>
      <w:r>
        <w:rPr>
          <w:color w:val="231F20"/>
          <w:spacing w:val="-5"/>
        </w:rPr>
        <w:t> </w:t>
      </w:r>
      <w:r>
        <w:rPr>
          <w:color w:val="231F20"/>
        </w:rPr>
        <w:t>INM, por zona en el país (sur, centro y norte), así como por</w:t>
      </w:r>
      <w:r>
        <w:rPr>
          <w:color w:val="231F20"/>
          <w:spacing w:val="-15"/>
        </w:rPr>
        <w:t> </w:t>
      </w:r>
      <w:r>
        <w:rPr>
          <w:color w:val="231F20"/>
        </w:rPr>
        <w:t>nacionalidad.</w:t>
      </w:r>
    </w:p>
    <w:p>
      <w:pPr>
        <w:spacing w:before="149"/>
        <w:ind w:left="117" w:right="0" w:firstLine="0"/>
        <w:jc w:val="both"/>
        <w:rPr>
          <w:i/>
          <w:sz w:val="22"/>
        </w:rPr>
      </w:pPr>
      <w:r>
        <w:rPr>
          <w:i/>
          <w:color w:val="231F20"/>
          <w:sz w:val="22"/>
        </w:rPr>
        <w:t>La EMIF sur</w:t>
      </w:r>
    </w:p>
    <w:p>
      <w:pPr>
        <w:pStyle w:val="BodyText"/>
        <w:spacing w:line="247" w:lineRule="auto" w:before="177"/>
        <w:ind w:left="117" w:right="116"/>
        <w:jc w:val="both"/>
      </w:pPr>
      <w:r>
        <w:rPr>
          <w:color w:val="231F20"/>
        </w:rPr>
        <w:t>Como anteriormente se mencionó, la EMIF SUR surge originalmente en 2003</w:t>
      </w:r>
      <w:r>
        <w:rPr>
          <w:color w:val="231F20"/>
          <w:spacing w:val="-12"/>
        </w:rPr>
        <w:t> </w:t>
      </w:r>
      <w:r>
        <w:rPr>
          <w:color w:val="231F20"/>
        </w:rPr>
        <w:t>y</w:t>
      </w:r>
      <w:r>
        <w:rPr>
          <w:color w:val="231F20"/>
          <w:spacing w:val="-12"/>
        </w:rPr>
        <w:t> </w:t>
      </w:r>
      <w:r>
        <w:rPr>
          <w:color w:val="231F20"/>
        </w:rPr>
        <w:t>es</w:t>
      </w:r>
      <w:r>
        <w:rPr>
          <w:color w:val="231F20"/>
          <w:spacing w:val="-12"/>
        </w:rPr>
        <w:t> </w:t>
      </w:r>
      <w:r>
        <w:rPr>
          <w:color w:val="231F20"/>
        </w:rPr>
        <w:t>un</w:t>
      </w:r>
      <w:r>
        <w:rPr>
          <w:color w:val="231F20"/>
          <w:spacing w:val="-12"/>
        </w:rPr>
        <w:t> </w:t>
      </w:r>
      <w:r>
        <w:rPr>
          <w:color w:val="231F20"/>
        </w:rPr>
        <w:t>mecanismo</w:t>
      </w:r>
      <w:r>
        <w:rPr>
          <w:color w:val="231F20"/>
          <w:spacing w:val="-13"/>
        </w:rPr>
        <w:t> </w:t>
      </w:r>
      <w:r>
        <w:rPr>
          <w:color w:val="231F20"/>
        </w:rPr>
        <w:t>de</w:t>
      </w:r>
      <w:r>
        <w:rPr>
          <w:color w:val="231F20"/>
          <w:spacing w:val="-12"/>
        </w:rPr>
        <w:t> </w:t>
      </w:r>
      <w:r>
        <w:rPr>
          <w:color w:val="231F20"/>
        </w:rPr>
        <w:t>obtención</w:t>
      </w:r>
      <w:r>
        <w:rPr>
          <w:color w:val="231F20"/>
          <w:spacing w:val="-12"/>
        </w:rPr>
        <w:t> </w:t>
      </w:r>
      <w:r>
        <w:rPr>
          <w:color w:val="231F20"/>
        </w:rPr>
        <w:t>de</w:t>
      </w:r>
      <w:r>
        <w:rPr>
          <w:color w:val="231F20"/>
          <w:spacing w:val="-12"/>
        </w:rPr>
        <w:t> </w:t>
      </w:r>
      <w:r>
        <w:rPr>
          <w:color w:val="231F20"/>
        </w:rPr>
        <w:t>información</w:t>
      </w:r>
      <w:r>
        <w:rPr>
          <w:color w:val="231F20"/>
          <w:spacing w:val="-13"/>
        </w:rPr>
        <w:t> </w:t>
      </w:r>
      <w:r>
        <w:rPr>
          <w:color w:val="231F20"/>
        </w:rPr>
        <w:t>que</w:t>
      </w:r>
      <w:r>
        <w:rPr>
          <w:color w:val="231F20"/>
          <w:spacing w:val="-12"/>
        </w:rPr>
        <w:t> </w:t>
      </w:r>
      <w:r>
        <w:rPr>
          <w:color w:val="231F20"/>
        </w:rPr>
        <w:t>tiene</w:t>
      </w:r>
      <w:r>
        <w:rPr>
          <w:color w:val="231F20"/>
          <w:spacing w:val="-12"/>
        </w:rPr>
        <w:t> </w:t>
      </w:r>
      <w:r>
        <w:rPr>
          <w:color w:val="231F20"/>
        </w:rPr>
        <w:t>como</w:t>
      </w:r>
      <w:r>
        <w:rPr>
          <w:color w:val="231F20"/>
          <w:spacing w:val="-12"/>
        </w:rPr>
        <w:t> </w:t>
      </w:r>
      <w:r>
        <w:rPr>
          <w:color w:val="231F20"/>
        </w:rPr>
        <w:t>ante- cedente</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EMIF</w:t>
      </w:r>
      <w:r>
        <w:rPr>
          <w:color w:val="231F20"/>
          <w:spacing w:val="-7"/>
        </w:rPr>
        <w:t> </w:t>
      </w:r>
      <w:r>
        <w:rPr>
          <w:color w:val="231F20"/>
          <w:spacing w:val="-3"/>
        </w:rPr>
        <w:t>NORTE,</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aplica</w:t>
      </w:r>
      <w:r>
        <w:rPr>
          <w:color w:val="231F20"/>
          <w:spacing w:val="-7"/>
        </w:rPr>
        <w:t> </w:t>
      </w:r>
      <w:r>
        <w:rPr>
          <w:color w:val="231F20"/>
        </w:rPr>
        <w:t>desde</w:t>
      </w:r>
      <w:r>
        <w:rPr>
          <w:color w:val="231F20"/>
          <w:spacing w:val="-7"/>
        </w:rPr>
        <w:t> </w:t>
      </w:r>
      <w:r>
        <w:rPr>
          <w:color w:val="231F20"/>
        </w:rPr>
        <w:t>1994.</w:t>
      </w:r>
      <w:r>
        <w:rPr>
          <w:color w:val="231F20"/>
          <w:spacing w:val="-7"/>
        </w:rPr>
        <w:t> </w:t>
      </w:r>
      <w:r>
        <w:rPr>
          <w:color w:val="231F20"/>
        </w:rPr>
        <w:t>La</w:t>
      </w:r>
      <w:r>
        <w:rPr>
          <w:color w:val="231F20"/>
          <w:spacing w:val="-7"/>
        </w:rPr>
        <w:t> </w:t>
      </w:r>
      <w:r>
        <w:rPr>
          <w:color w:val="231F20"/>
        </w:rPr>
        <w:t>EMIF</w:t>
      </w:r>
      <w:r>
        <w:rPr>
          <w:color w:val="231F20"/>
          <w:spacing w:val="-7"/>
        </w:rPr>
        <w:t> </w:t>
      </w:r>
      <w:r>
        <w:rPr>
          <w:color w:val="231F20"/>
        </w:rPr>
        <w:t>SUR</w:t>
      </w:r>
      <w:r>
        <w:rPr>
          <w:color w:val="231F20"/>
          <w:spacing w:val="-7"/>
        </w:rPr>
        <w:t> </w:t>
      </w:r>
      <w:r>
        <w:rPr>
          <w:color w:val="231F20"/>
        </w:rPr>
        <w:t>es</w:t>
      </w:r>
      <w:r>
        <w:rPr>
          <w:color w:val="231F20"/>
          <w:spacing w:val="-7"/>
        </w:rPr>
        <w:t> </w:t>
      </w:r>
      <w:r>
        <w:rPr>
          <w:color w:val="231F20"/>
        </w:rPr>
        <w:t>un instrumento cuantitativo que es elaborado en colaboración con el Colegio de la Frontera Norte (COLEF), la Secretaría de Gobernación (SEGOB),  el Consejo Nacional de Población (CONAPO), la Secretaría del Trabajo y Previsión Social (STPS), la Secretaría de Salud (SS), el INM y la Secreta- ría de Relaciones Exteriores</w:t>
      </w:r>
      <w:r>
        <w:rPr>
          <w:color w:val="231F20"/>
          <w:spacing w:val="-1"/>
        </w:rPr>
        <w:t> </w:t>
      </w:r>
      <w:r>
        <w:rPr>
          <w:color w:val="231F20"/>
        </w:rPr>
        <w:t>(SRE).</w:t>
      </w:r>
    </w:p>
    <w:p>
      <w:pPr>
        <w:pStyle w:val="BodyText"/>
        <w:spacing w:line="247" w:lineRule="auto"/>
        <w:ind w:left="117" w:right="115" w:firstLine="283"/>
        <w:jc w:val="both"/>
      </w:pPr>
      <w:r>
        <w:rPr>
          <w:color w:val="231F20"/>
        </w:rPr>
        <w:t>Este instrumento sirve para proporcionar datos estadísticos utilizados para la elaboración de políticas públicas aplicadas por las distintas insti- tuciones y dependencias que en su conformación participan. </w:t>
      </w:r>
      <w:r>
        <w:rPr>
          <w:color w:val="231F20"/>
          <w:spacing w:val="-3"/>
        </w:rPr>
        <w:t>También </w:t>
      </w:r>
      <w:r>
        <w:rPr>
          <w:color w:val="231F20"/>
        </w:rPr>
        <w:t>sir- ve para proporcionar información a organismos internacionales, entre los cuales</w:t>
      </w:r>
      <w:r>
        <w:rPr>
          <w:color w:val="231F20"/>
          <w:spacing w:val="-13"/>
        </w:rPr>
        <w:t> </w:t>
      </w:r>
      <w:r>
        <w:rPr>
          <w:color w:val="231F20"/>
        </w:rPr>
        <w:t>destacan</w:t>
      </w:r>
      <w:r>
        <w:rPr>
          <w:color w:val="231F20"/>
          <w:spacing w:val="-12"/>
        </w:rPr>
        <w:t> </w:t>
      </w:r>
      <w:r>
        <w:rPr>
          <w:color w:val="231F20"/>
        </w:rPr>
        <w:t>la</w:t>
      </w:r>
      <w:r>
        <w:rPr>
          <w:color w:val="231F20"/>
          <w:spacing w:val="-12"/>
        </w:rPr>
        <w:t> </w:t>
      </w:r>
      <w:r>
        <w:rPr>
          <w:color w:val="231F20"/>
        </w:rPr>
        <w:t>Organización</w:t>
      </w:r>
      <w:r>
        <w:rPr>
          <w:color w:val="231F20"/>
          <w:spacing w:val="-12"/>
        </w:rPr>
        <w:t> </w:t>
      </w:r>
      <w:r>
        <w:rPr>
          <w:color w:val="231F20"/>
        </w:rPr>
        <w:t>Internacional</w:t>
      </w:r>
      <w:r>
        <w:rPr>
          <w:color w:val="231F20"/>
          <w:spacing w:val="-12"/>
        </w:rPr>
        <w:t> </w:t>
      </w:r>
      <w:r>
        <w:rPr>
          <w:color w:val="231F20"/>
        </w:rPr>
        <w:t>para</w:t>
      </w:r>
      <w:r>
        <w:rPr>
          <w:color w:val="231F20"/>
          <w:spacing w:val="-12"/>
        </w:rPr>
        <w:t> </w:t>
      </w:r>
      <w:r>
        <w:rPr>
          <w:color w:val="231F20"/>
        </w:rPr>
        <w:t>las</w:t>
      </w:r>
      <w:r>
        <w:rPr>
          <w:color w:val="231F20"/>
          <w:spacing w:val="-12"/>
        </w:rPr>
        <w:t> </w:t>
      </w:r>
      <w:r>
        <w:rPr>
          <w:color w:val="231F20"/>
        </w:rPr>
        <w:t>Migraciones</w:t>
      </w:r>
      <w:r>
        <w:rPr>
          <w:color w:val="231F20"/>
          <w:spacing w:val="-12"/>
        </w:rPr>
        <w:t> </w:t>
      </w:r>
      <w:r>
        <w:rPr>
          <w:color w:val="231F20"/>
        </w:rPr>
        <w:t>(OIM), dependiente de la Organización de las Naciones Unidas (ONU), la cual tiene oficina de representación en México desde el año</w:t>
      </w:r>
      <w:r>
        <w:rPr>
          <w:color w:val="231F20"/>
          <w:spacing w:val="-12"/>
        </w:rPr>
        <w:t> </w:t>
      </w:r>
      <w:r>
        <w:rPr>
          <w:color w:val="231F20"/>
        </w:rPr>
        <w:t>2004.</w:t>
      </w:r>
    </w:p>
    <w:p>
      <w:pPr>
        <w:spacing w:line="240" w:lineRule="exact" w:before="163"/>
        <w:ind w:left="117" w:right="307" w:firstLine="0"/>
        <w:jc w:val="left"/>
        <w:rPr>
          <w:i/>
          <w:sz w:val="22"/>
        </w:rPr>
      </w:pPr>
      <w:r>
        <w:rPr>
          <w:i/>
          <w:color w:val="231F20"/>
          <w:sz w:val="22"/>
        </w:rPr>
        <w:t>La versión no oficial: la Comisión Nacional de los Derechos Humanos </w:t>
      </w:r>
      <w:r>
        <w:rPr>
          <w:i/>
          <w:color w:val="231F20"/>
          <w:sz w:val="22"/>
        </w:rPr>
        <w:t>y Amnistía Internacional</w:t>
      </w:r>
    </w:p>
    <w:p>
      <w:pPr>
        <w:pStyle w:val="BodyText"/>
        <w:spacing w:line="247" w:lineRule="auto" w:before="176"/>
        <w:ind w:left="117" w:right="114"/>
        <w:jc w:val="both"/>
      </w:pPr>
      <w:r>
        <w:rPr>
          <w:color w:val="231F20"/>
        </w:rPr>
        <w:t>Es importante mencionar que existen una serie de esfuerzos por parte de organismos tales como la Comisión Nacional de los Derechos Humanos (CNDH), así como de asociaciones internacionales con presencia en el</w:t>
      </w:r>
    </w:p>
    <w:p>
      <w:pPr>
        <w:spacing w:after="0" w:line="247" w:lineRule="auto"/>
        <w:jc w:val="both"/>
        <w:sectPr>
          <w:footerReference w:type="default" r:id="rId108"/>
          <w:pgSz w:w="9360" w:h="13040"/>
          <w:pgMar w:footer="496" w:header="0" w:top="740" w:bottom="680" w:left="1300" w:right="1300"/>
          <w:pgNumType w:start="131"/>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jc w:val="both"/>
      </w:pPr>
      <w:r>
        <w:rPr>
          <w:color w:val="231F20"/>
        </w:rPr>
        <w:t>país, tales como Amnistía Internacional (AI), las cuales se han esforzado por documentar lo que ellas consideran como parte de la realidad que</w:t>
      </w:r>
      <w:r>
        <w:rPr>
          <w:color w:val="231F20"/>
          <w:spacing w:val="-26"/>
        </w:rPr>
        <w:t> </w:t>
      </w:r>
      <w:r>
        <w:rPr>
          <w:color w:val="231F20"/>
        </w:rPr>
        <w:t>vive el</w:t>
      </w:r>
      <w:r>
        <w:rPr>
          <w:color w:val="231F20"/>
          <w:spacing w:val="-6"/>
        </w:rPr>
        <w:t> </w:t>
      </w:r>
      <w:r>
        <w:rPr>
          <w:color w:val="231F20"/>
        </w:rPr>
        <w:t>migrante</w:t>
      </w:r>
      <w:r>
        <w:rPr>
          <w:color w:val="231F20"/>
          <w:spacing w:val="-7"/>
        </w:rPr>
        <w:t> </w:t>
      </w:r>
      <w:r>
        <w:rPr>
          <w:color w:val="231F20"/>
        </w:rPr>
        <w:t>centroamericano.</w:t>
      </w:r>
      <w:r>
        <w:rPr>
          <w:color w:val="231F20"/>
          <w:spacing w:val="-7"/>
        </w:rPr>
        <w:t> </w:t>
      </w:r>
      <w:r>
        <w:rPr>
          <w:color w:val="231F20"/>
        </w:rPr>
        <w:t>Resulta</w:t>
      </w:r>
      <w:r>
        <w:rPr>
          <w:color w:val="231F20"/>
          <w:spacing w:val="-7"/>
        </w:rPr>
        <w:t> </w:t>
      </w:r>
      <w:r>
        <w:rPr>
          <w:color w:val="231F20"/>
        </w:rPr>
        <w:t>interesante</w:t>
      </w:r>
      <w:r>
        <w:rPr>
          <w:color w:val="231F20"/>
          <w:spacing w:val="-7"/>
        </w:rPr>
        <w:t> </w:t>
      </w:r>
      <w:r>
        <w:rPr>
          <w:color w:val="231F20"/>
        </w:rPr>
        <w:t>observar</w:t>
      </w:r>
      <w:r>
        <w:rPr>
          <w:color w:val="231F20"/>
          <w:spacing w:val="-6"/>
        </w:rPr>
        <w:t> </w:t>
      </w:r>
      <w:r>
        <w:rPr>
          <w:color w:val="231F20"/>
        </w:rPr>
        <w:t>cómo</w:t>
      </w:r>
      <w:r>
        <w:rPr>
          <w:color w:val="231F20"/>
          <w:spacing w:val="-7"/>
        </w:rPr>
        <w:t> </w:t>
      </w:r>
      <w:r>
        <w:rPr>
          <w:color w:val="231F20"/>
        </w:rPr>
        <w:t>los</w:t>
      </w:r>
      <w:r>
        <w:rPr>
          <w:color w:val="231F20"/>
          <w:spacing w:val="-7"/>
        </w:rPr>
        <w:t> </w:t>
      </w:r>
      <w:r>
        <w:rPr>
          <w:color w:val="231F20"/>
        </w:rPr>
        <w:t>dispo- sitivos</w:t>
      </w:r>
      <w:r>
        <w:rPr>
          <w:color w:val="231F20"/>
          <w:spacing w:val="-5"/>
        </w:rPr>
        <w:t> </w:t>
      </w:r>
      <w:r>
        <w:rPr>
          <w:color w:val="231F20"/>
        </w:rPr>
        <w:t>adoptados</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Estado</w:t>
      </w:r>
      <w:r>
        <w:rPr>
          <w:color w:val="231F20"/>
          <w:spacing w:val="-6"/>
        </w:rPr>
        <w:t> </w:t>
      </w:r>
      <w:r>
        <w:rPr>
          <w:color w:val="231F20"/>
        </w:rPr>
        <w:t>mexicano</w:t>
      </w:r>
      <w:r>
        <w:rPr>
          <w:color w:val="231F20"/>
          <w:spacing w:val="-6"/>
        </w:rPr>
        <w:t> </w:t>
      </w:r>
      <w:r>
        <w:rPr>
          <w:color w:val="231F20"/>
        </w:rPr>
        <w:t>resultan</w:t>
      </w:r>
      <w:r>
        <w:rPr>
          <w:color w:val="231F20"/>
          <w:spacing w:val="-5"/>
        </w:rPr>
        <w:t> </w:t>
      </w:r>
      <w:r>
        <w:rPr>
          <w:color w:val="231F20"/>
        </w:rPr>
        <w:t>inexistentes.</w:t>
      </w:r>
      <w:r>
        <w:rPr>
          <w:color w:val="231F20"/>
          <w:spacing w:val="-6"/>
        </w:rPr>
        <w:t> </w:t>
      </w:r>
      <w:r>
        <w:rPr>
          <w:color w:val="231F20"/>
        </w:rPr>
        <w:t>El</w:t>
      </w:r>
      <w:r>
        <w:rPr>
          <w:color w:val="231F20"/>
          <w:spacing w:val="-5"/>
        </w:rPr>
        <w:t> </w:t>
      </w:r>
      <w:r>
        <w:rPr>
          <w:color w:val="231F20"/>
        </w:rPr>
        <w:t>texto</w:t>
      </w:r>
      <w:r>
        <w:rPr>
          <w:color w:val="231F20"/>
          <w:spacing w:val="-5"/>
        </w:rPr>
        <w:t> </w:t>
      </w:r>
      <w:r>
        <w:rPr>
          <w:color w:val="231F20"/>
        </w:rPr>
        <w:t>de la ley no rebasa las páginas donde está contenido, creando así un espacio para la simulación y la</w:t>
      </w:r>
      <w:r>
        <w:rPr>
          <w:color w:val="231F20"/>
          <w:spacing w:val="-9"/>
        </w:rPr>
        <w:t> </w:t>
      </w:r>
      <w:r>
        <w:rPr>
          <w:color w:val="231F20"/>
        </w:rPr>
        <w:t>impunidad.</w:t>
      </w:r>
    </w:p>
    <w:p>
      <w:pPr>
        <w:pStyle w:val="BodyText"/>
        <w:spacing w:line="247" w:lineRule="auto"/>
        <w:ind w:left="117" w:right="114" w:firstLine="283"/>
        <w:jc w:val="right"/>
      </w:pPr>
      <w:r>
        <w:rPr>
          <w:color w:val="231F20"/>
        </w:rPr>
        <w:t>En primer término, se esboza la revisión del maltrato al</w:t>
      </w:r>
      <w:r>
        <w:rPr>
          <w:color w:val="231F20"/>
          <w:spacing w:val="20"/>
        </w:rPr>
        <w:t> </w:t>
      </w:r>
      <w:r>
        <w:rPr>
          <w:color w:val="231F20"/>
        </w:rPr>
        <w:t>migrante</w:t>
      </w:r>
      <w:r>
        <w:rPr>
          <w:color w:val="231F20"/>
          <w:spacing w:val="6"/>
        </w:rPr>
        <w:t> </w:t>
      </w:r>
      <w:r>
        <w:rPr>
          <w:color w:val="231F20"/>
        </w:rPr>
        <w:t>cen- troamericano por parte de un sector de la sociedad mexicana y pese</w:t>
      </w:r>
      <w:r>
        <w:rPr>
          <w:color w:val="231F20"/>
          <w:spacing w:val="40"/>
        </w:rPr>
        <w:t> </w:t>
      </w:r>
      <w:r>
        <w:rPr>
          <w:color w:val="231F20"/>
        </w:rPr>
        <w:t>a</w:t>
      </w:r>
      <w:r>
        <w:rPr>
          <w:color w:val="231F20"/>
          <w:spacing w:val="8"/>
        </w:rPr>
        <w:t> </w:t>
      </w:r>
      <w:r>
        <w:rPr>
          <w:color w:val="231F20"/>
        </w:rPr>
        <w:t>los estudios y esfuerzos hechos por autoridades y organizaciones</w:t>
      </w:r>
      <w:r>
        <w:rPr>
          <w:color w:val="231F20"/>
          <w:spacing w:val="4"/>
        </w:rPr>
        <w:t> </w:t>
      </w:r>
      <w:r>
        <w:rPr>
          <w:color w:val="231F20"/>
        </w:rPr>
        <w:t>no</w:t>
      </w:r>
      <w:r>
        <w:rPr>
          <w:color w:val="231F20"/>
          <w:spacing w:val="1"/>
        </w:rPr>
        <w:t> </w:t>
      </w:r>
      <w:r>
        <w:rPr>
          <w:color w:val="231F20"/>
        </w:rPr>
        <w:t>guberna- mentales (ONG) no se ha determinado completamente su ubicación</w:t>
      </w:r>
      <w:r>
        <w:rPr>
          <w:color w:val="231F20"/>
          <w:spacing w:val="32"/>
        </w:rPr>
        <w:t> </w:t>
      </w:r>
      <w:r>
        <w:rPr>
          <w:color w:val="231F20"/>
        </w:rPr>
        <w:t>y</w:t>
      </w:r>
      <w:r>
        <w:rPr>
          <w:color w:val="231F20"/>
          <w:spacing w:val="9"/>
        </w:rPr>
        <w:t> </w:t>
      </w:r>
      <w:r>
        <w:rPr>
          <w:color w:val="231F20"/>
        </w:rPr>
        <w:t>las causas del comportamiento. A este respecto la CNDH en su</w:t>
      </w:r>
      <w:r>
        <w:rPr>
          <w:color w:val="231F20"/>
          <w:spacing w:val="53"/>
        </w:rPr>
        <w:t> </w:t>
      </w:r>
      <w:r>
        <w:rPr>
          <w:color w:val="231F20"/>
        </w:rPr>
        <w:t>informe</w:t>
      </w:r>
      <w:r>
        <w:rPr>
          <w:color w:val="231F20"/>
          <w:spacing w:val="18"/>
        </w:rPr>
        <w:t> </w:t>
      </w:r>
      <w:r>
        <w:rPr>
          <w:color w:val="231F20"/>
        </w:rPr>
        <w:t>del 2009</w:t>
      </w:r>
      <w:r>
        <w:rPr>
          <w:color w:val="231F20"/>
          <w:spacing w:val="30"/>
        </w:rPr>
        <w:t> </w:t>
      </w:r>
      <w:r>
        <w:rPr>
          <w:color w:val="231F20"/>
        </w:rPr>
        <w:t>señala</w:t>
      </w:r>
      <w:r>
        <w:rPr>
          <w:color w:val="231F20"/>
          <w:spacing w:val="29"/>
        </w:rPr>
        <w:t> </w:t>
      </w:r>
      <w:r>
        <w:rPr>
          <w:color w:val="231F20"/>
        </w:rPr>
        <w:t>que</w:t>
      </w:r>
      <w:r>
        <w:rPr>
          <w:color w:val="231F20"/>
          <w:spacing w:val="29"/>
        </w:rPr>
        <w:t> </w:t>
      </w:r>
      <w:r>
        <w:rPr>
          <w:color w:val="231F20"/>
        </w:rPr>
        <w:t>en</w:t>
      </w:r>
      <w:r>
        <w:rPr>
          <w:color w:val="231F20"/>
          <w:spacing w:val="29"/>
        </w:rPr>
        <w:t> </w:t>
      </w:r>
      <w:r>
        <w:rPr>
          <w:color w:val="231F20"/>
        </w:rPr>
        <w:t>un</w:t>
      </w:r>
      <w:r>
        <w:rPr>
          <w:color w:val="231F20"/>
          <w:spacing w:val="30"/>
        </w:rPr>
        <w:t> </w:t>
      </w:r>
      <w:r>
        <w:rPr>
          <w:color w:val="231F20"/>
        </w:rPr>
        <w:t>periodo</w:t>
      </w:r>
      <w:r>
        <w:rPr>
          <w:color w:val="231F20"/>
          <w:spacing w:val="29"/>
        </w:rPr>
        <w:t> </w:t>
      </w:r>
      <w:r>
        <w:rPr>
          <w:color w:val="231F20"/>
        </w:rPr>
        <w:t>de</w:t>
      </w:r>
      <w:r>
        <w:rPr>
          <w:color w:val="231F20"/>
          <w:spacing w:val="29"/>
        </w:rPr>
        <w:t> </w:t>
      </w:r>
      <w:r>
        <w:rPr>
          <w:color w:val="231F20"/>
        </w:rPr>
        <w:t>seis</w:t>
      </w:r>
      <w:r>
        <w:rPr>
          <w:color w:val="231F20"/>
          <w:spacing w:val="30"/>
        </w:rPr>
        <w:t> </w:t>
      </w:r>
      <w:r>
        <w:rPr>
          <w:color w:val="231F20"/>
        </w:rPr>
        <w:t>meses</w:t>
      </w:r>
      <w:r>
        <w:rPr>
          <w:color w:val="231F20"/>
          <w:spacing w:val="29"/>
        </w:rPr>
        <w:t> </w:t>
      </w:r>
      <w:r>
        <w:rPr>
          <w:color w:val="231F20"/>
        </w:rPr>
        <w:t>(septiembre</w:t>
      </w:r>
      <w:r>
        <w:rPr>
          <w:color w:val="231F20"/>
          <w:spacing w:val="29"/>
        </w:rPr>
        <w:t> </w:t>
      </w:r>
      <w:r>
        <w:rPr>
          <w:color w:val="231F20"/>
        </w:rPr>
        <w:t>2008-febrero</w:t>
      </w:r>
      <w:r>
        <w:rPr>
          <w:color w:val="231F20"/>
          <w:w w:val="100"/>
        </w:rPr>
        <w:t> </w:t>
      </w:r>
      <w:r>
        <w:rPr>
          <w:color w:val="231F20"/>
        </w:rPr>
        <w:t>2009) se registraron 198 casos de secuestro masivo de inmigrantes</w:t>
      </w:r>
      <w:r>
        <w:rPr>
          <w:color w:val="231F20"/>
          <w:spacing w:val="10"/>
        </w:rPr>
        <w:t> </w:t>
      </w:r>
      <w:r>
        <w:rPr>
          <w:color w:val="231F20"/>
        </w:rPr>
        <w:t>con</w:t>
      </w:r>
      <w:r>
        <w:rPr>
          <w:color w:val="231F20"/>
          <w:spacing w:val="1"/>
        </w:rPr>
        <w:t> </w:t>
      </w:r>
      <w:r>
        <w:rPr>
          <w:color w:val="231F20"/>
        </w:rPr>
        <w:t>un</w:t>
      </w:r>
      <w:r>
        <w:rPr>
          <w:color w:val="231F20"/>
          <w:w w:val="100"/>
        </w:rPr>
        <w:t> </w:t>
      </w:r>
      <w:r>
        <w:rPr>
          <w:color w:val="231F20"/>
        </w:rPr>
        <w:t>total de 9 mil 758 víctimas es decir, más de mil 600 secuestrados</w:t>
      </w:r>
      <w:r>
        <w:rPr>
          <w:color w:val="231F20"/>
          <w:spacing w:val="-9"/>
        </w:rPr>
        <w:t> </w:t>
      </w:r>
      <w:r>
        <w:rPr>
          <w:color w:val="231F20"/>
        </w:rPr>
        <w:t>por</w:t>
      </w:r>
      <w:r>
        <w:rPr>
          <w:color w:val="231F20"/>
          <w:spacing w:val="-1"/>
        </w:rPr>
        <w:t> </w:t>
      </w:r>
      <w:r>
        <w:rPr>
          <w:color w:val="231F20"/>
        </w:rPr>
        <w:t>mes. En el mismo informe se revela que entre las principales</w:t>
      </w:r>
      <w:r>
        <w:rPr>
          <w:color w:val="231F20"/>
          <w:spacing w:val="18"/>
        </w:rPr>
        <w:t> </w:t>
      </w:r>
      <w:r>
        <w:rPr>
          <w:color w:val="231F20"/>
        </w:rPr>
        <w:t>violaciones</w:t>
      </w:r>
      <w:r>
        <w:rPr>
          <w:color w:val="231F20"/>
          <w:spacing w:val="12"/>
        </w:rPr>
        <w:t> </w:t>
      </w:r>
      <w:r>
        <w:rPr>
          <w:color w:val="231F20"/>
        </w:rPr>
        <w:t>a los</w:t>
      </w:r>
      <w:r>
        <w:rPr>
          <w:color w:val="231F20"/>
          <w:spacing w:val="-8"/>
        </w:rPr>
        <w:t> </w:t>
      </w:r>
      <w:r>
        <w:rPr>
          <w:color w:val="231F20"/>
        </w:rPr>
        <w:t>derechos</w:t>
      </w:r>
      <w:r>
        <w:rPr>
          <w:color w:val="231F20"/>
          <w:spacing w:val="-8"/>
        </w:rPr>
        <w:t> </w:t>
      </w:r>
      <w:r>
        <w:rPr>
          <w:color w:val="231F20"/>
        </w:rPr>
        <w:t>humanos</w:t>
      </w:r>
      <w:r>
        <w:rPr>
          <w:color w:val="231F20"/>
          <w:spacing w:val="-8"/>
        </w:rPr>
        <w:t> </w:t>
      </w:r>
      <w:r>
        <w:rPr>
          <w:color w:val="231F20"/>
        </w:rPr>
        <w:t>cometidas</w:t>
      </w:r>
      <w:r>
        <w:rPr>
          <w:color w:val="231F20"/>
          <w:spacing w:val="-8"/>
        </w:rPr>
        <w:t> </w:t>
      </w:r>
      <w:r>
        <w:rPr>
          <w:color w:val="231F20"/>
        </w:rPr>
        <w:t>por</w:t>
      </w:r>
      <w:r>
        <w:rPr>
          <w:color w:val="231F20"/>
          <w:spacing w:val="-8"/>
        </w:rPr>
        <w:t> </w:t>
      </w:r>
      <w:r>
        <w:rPr>
          <w:color w:val="231F20"/>
        </w:rPr>
        <w:t>las</w:t>
      </w:r>
      <w:r>
        <w:rPr>
          <w:color w:val="231F20"/>
          <w:spacing w:val="-8"/>
        </w:rPr>
        <w:t> </w:t>
      </w:r>
      <w:r>
        <w:rPr>
          <w:color w:val="231F20"/>
        </w:rPr>
        <w:t>autoridades</w:t>
      </w:r>
      <w:r>
        <w:rPr>
          <w:color w:val="231F20"/>
          <w:spacing w:val="-9"/>
        </w:rPr>
        <w:t> </w:t>
      </w:r>
      <w:r>
        <w:rPr>
          <w:color w:val="231F20"/>
        </w:rPr>
        <w:t>mexicanas</w:t>
      </w:r>
      <w:r>
        <w:rPr>
          <w:color w:val="231F20"/>
          <w:spacing w:val="-8"/>
        </w:rPr>
        <w:t> </w:t>
      </w:r>
      <w:r>
        <w:rPr>
          <w:color w:val="231F20"/>
        </w:rPr>
        <w:t>se</w:t>
      </w:r>
      <w:r>
        <w:rPr>
          <w:color w:val="231F20"/>
          <w:spacing w:val="-8"/>
        </w:rPr>
        <w:t> </w:t>
      </w:r>
      <w:r>
        <w:rPr>
          <w:color w:val="231F20"/>
        </w:rPr>
        <w:t>encuen- tran</w:t>
      </w:r>
      <w:r>
        <w:rPr>
          <w:color w:val="231F20"/>
          <w:spacing w:val="-5"/>
        </w:rPr>
        <w:t> </w:t>
      </w:r>
      <w:r>
        <w:rPr>
          <w:color w:val="231F20"/>
        </w:rPr>
        <w:t>la</w:t>
      </w:r>
      <w:r>
        <w:rPr>
          <w:color w:val="231F20"/>
          <w:spacing w:val="-5"/>
        </w:rPr>
        <w:t> </w:t>
      </w:r>
      <w:r>
        <w:rPr>
          <w:color w:val="231F20"/>
        </w:rPr>
        <w:t>discriminación</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corrupción,</w:t>
      </w:r>
      <w:r>
        <w:rPr>
          <w:color w:val="231F20"/>
          <w:spacing w:val="-6"/>
        </w:rPr>
        <w:t> </w:t>
      </w:r>
      <w:r>
        <w:rPr>
          <w:color w:val="231F20"/>
        </w:rPr>
        <w:t>así</w:t>
      </w:r>
      <w:r>
        <w:rPr>
          <w:color w:val="231F20"/>
          <w:spacing w:val="-5"/>
        </w:rPr>
        <w:t> </w:t>
      </w:r>
      <w:r>
        <w:rPr>
          <w:color w:val="231F20"/>
        </w:rPr>
        <w:t>como</w:t>
      </w:r>
      <w:r>
        <w:rPr>
          <w:color w:val="231F20"/>
          <w:spacing w:val="-5"/>
        </w:rPr>
        <w:t> </w:t>
      </w:r>
      <w:r>
        <w:rPr>
          <w:color w:val="231F20"/>
        </w:rPr>
        <w:t>la</w:t>
      </w:r>
      <w:r>
        <w:rPr>
          <w:color w:val="231F20"/>
          <w:spacing w:val="-5"/>
        </w:rPr>
        <w:t> </w:t>
      </w:r>
      <w:r>
        <w:rPr>
          <w:color w:val="231F20"/>
        </w:rPr>
        <w:t>privación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libertad, seguidas del robo, el cohecho y la extorsión, acompañados en la </w:t>
      </w:r>
      <w:r>
        <w:rPr>
          <w:color w:val="231F20"/>
          <w:spacing w:val="45"/>
        </w:rPr>
        <w:t> </w:t>
      </w:r>
      <w:r>
        <w:rPr>
          <w:color w:val="231F20"/>
        </w:rPr>
        <w:t>mayoría</w:t>
      </w:r>
    </w:p>
    <w:p>
      <w:pPr>
        <w:pStyle w:val="BodyText"/>
        <w:spacing w:line="253" w:lineRule="exact"/>
        <w:ind w:left="117"/>
        <w:jc w:val="both"/>
      </w:pPr>
      <w:r>
        <w:rPr>
          <w:color w:val="231F20"/>
        </w:rPr>
        <w:t>de los casos por golpes e insultos.</w:t>
      </w:r>
    </w:p>
    <w:p>
      <w:pPr>
        <w:pStyle w:val="BodyText"/>
        <w:spacing w:line="247" w:lineRule="auto" w:before="7"/>
        <w:ind w:left="117" w:right="114" w:firstLine="283"/>
        <w:jc w:val="both"/>
      </w:pPr>
      <w:r>
        <w:rPr>
          <w:color w:val="231F20"/>
        </w:rPr>
        <w:t>En 2009, la CNDH publicó un informe especial en el que</w:t>
      </w:r>
      <w:r>
        <w:rPr>
          <w:color w:val="231F20"/>
          <w:spacing w:val="-38"/>
        </w:rPr>
        <w:t> </w:t>
      </w:r>
      <w:r>
        <w:rPr>
          <w:color w:val="231F20"/>
        </w:rPr>
        <w:t>documentaba la</w:t>
      </w:r>
      <w:r>
        <w:rPr>
          <w:color w:val="231F20"/>
          <w:spacing w:val="-5"/>
        </w:rPr>
        <w:t> </w:t>
      </w:r>
      <w:r>
        <w:rPr>
          <w:color w:val="231F20"/>
        </w:rPr>
        <w:t>alarmante</w:t>
      </w:r>
      <w:r>
        <w:rPr>
          <w:color w:val="231F20"/>
          <w:spacing w:val="-5"/>
        </w:rPr>
        <w:t> </w:t>
      </w:r>
      <w:r>
        <w:rPr>
          <w:color w:val="231F20"/>
        </w:rPr>
        <w:t>cantidad</w:t>
      </w:r>
      <w:r>
        <w:rPr>
          <w:color w:val="231F20"/>
          <w:spacing w:val="-5"/>
        </w:rPr>
        <w:t> </w:t>
      </w:r>
      <w:r>
        <w:rPr>
          <w:color w:val="231F20"/>
        </w:rPr>
        <w:t>de</w:t>
      </w:r>
      <w:r>
        <w:rPr>
          <w:color w:val="231F20"/>
          <w:spacing w:val="-5"/>
        </w:rPr>
        <w:t> </w:t>
      </w:r>
      <w:r>
        <w:rPr>
          <w:color w:val="231F20"/>
        </w:rPr>
        <w:t>secuestros</w:t>
      </w:r>
      <w:r>
        <w:rPr>
          <w:color w:val="231F20"/>
          <w:spacing w:val="-4"/>
        </w:rPr>
        <w:t> </w:t>
      </w:r>
      <w:r>
        <w:rPr>
          <w:color w:val="231F20"/>
        </w:rPr>
        <w:t>de</w:t>
      </w:r>
      <w:r>
        <w:rPr>
          <w:color w:val="231F20"/>
          <w:spacing w:val="-5"/>
        </w:rPr>
        <w:t> </w:t>
      </w:r>
      <w:r>
        <w:rPr>
          <w:color w:val="231F20"/>
        </w:rPr>
        <w:t>migrantes</w:t>
      </w:r>
      <w:r>
        <w:rPr>
          <w:color w:val="231F20"/>
          <w:spacing w:val="-5"/>
        </w:rPr>
        <w:t> </w:t>
      </w:r>
      <w:r>
        <w:rPr>
          <w:color w:val="231F20"/>
        </w:rPr>
        <w:t>a</w:t>
      </w:r>
      <w:r>
        <w:rPr>
          <w:color w:val="231F20"/>
          <w:spacing w:val="-5"/>
        </w:rPr>
        <w:t> </w:t>
      </w:r>
      <w:r>
        <w:rPr>
          <w:color w:val="231F20"/>
        </w:rPr>
        <w:t>manos</w:t>
      </w:r>
      <w:r>
        <w:rPr>
          <w:color w:val="231F20"/>
          <w:spacing w:val="-5"/>
        </w:rPr>
        <w:t> </w:t>
      </w:r>
      <w:r>
        <w:rPr>
          <w:color w:val="231F20"/>
        </w:rPr>
        <w:t>de</w:t>
      </w:r>
      <w:r>
        <w:rPr>
          <w:color w:val="231F20"/>
          <w:spacing w:val="-5"/>
        </w:rPr>
        <w:t> </w:t>
      </w:r>
      <w:r>
        <w:rPr>
          <w:color w:val="231F20"/>
        </w:rPr>
        <w:t>bandas</w:t>
      </w:r>
      <w:r>
        <w:rPr>
          <w:color w:val="231F20"/>
          <w:spacing w:val="-5"/>
        </w:rPr>
        <w:t> </w:t>
      </w:r>
      <w:r>
        <w:rPr>
          <w:color w:val="231F20"/>
        </w:rPr>
        <w:t>delic- tivas y los abusos relacionados con ellos. El informe concluía que, sobre la base de las entrevistas realizadas, hasta 9 758 migrantes, entre ellos al menos 57 menores, habían sido secuestrados en un periodo de seis meses entre 2008 y 2009.</w:t>
      </w:r>
    </w:p>
    <w:p>
      <w:pPr>
        <w:pStyle w:val="BodyText"/>
        <w:spacing w:line="247" w:lineRule="auto"/>
        <w:ind w:left="117" w:right="114" w:firstLine="283"/>
        <w:jc w:val="both"/>
      </w:pPr>
      <w:r>
        <w:rPr>
          <w:color w:val="231F20"/>
        </w:rPr>
        <w:t>El informe sugería que México estaba sufriendo una epidemia oculta de secuestros y que la mayoría de los abusos más graves tenían lugar en los estados por los que pasaban los trenes de carga de las principales rutas utilizadas por los migrantes, como Chiapas, Oaxaca, Tabasco, Veracruz y Tamaulipas (AI, 2010).</w:t>
      </w:r>
    </w:p>
    <w:p>
      <w:pPr>
        <w:pStyle w:val="BodyText"/>
        <w:spacing w:line="247" w:lineRule="auto"/>
        <w:ind w:left="117" w:right="115" w:firstLine="283"/>
        <w:jc w:val="both"/>
      </w:pPr>
      <w:r>
        <w:rPr>
          <w:color w:val="231F20"/>
        </w:rPr>
        <w:t>El viaje de los migrantes a través de México se ha convertido en una lucrativa</w:t>
      </w:r>
      <w:r>
        <w:rPr>
          <w:color w:val="231F20"/>
          <w:spacing w:val="-8"/>
        </w:rPr>
        <w:t> </w:t>
      </w:r>
      <w:r>
        <w:rPr>
          <w:color w:val="231F20"/>
        </w:rPr>
        <w:t>fuente</w:t>
      </w:r>
      <w:r>
        <w:rPr>
          <w:color w:val="231F20"/>
          <w:spacing w:val="-8"/>
        </w:rPr>
        <w:t> </w:t>
      </w:r>
      <w:r>
        <w:rPr>
          <w:color w:val="231F20"/>
        </w:rPr>
        <w:t>de</w:t>
      </w:r>
      <w:r>
        <w:rPr>
          <w:color w:val="231F20"/>
          <w:spacing w:val="-8"/>
        </w:rPr>
        <w:t> </w:t>
      </w:r>
      <w:r>
        <w:rPr>
          <w:color w:val="231F20"/>
        </w:rPr>
        <w:t>ingresos</w:t>
      </w:r>
      <w:r>
        <w:rPr>
          <w:color w:val="231F20"/>
          <w:spacing w:val="-9"/>
        </w:rPr>
        <w:t> </w:t>
      </w:r>
      <w:r>
        <w:rPr>
          <w:color w:val="231F20"/>
        </w:rPr>
        <w:t>para</w:t>
      </w:r>
      <w:r>
        <w:rPr>
          <w:color w:val="231F20"/>
          <w:spacing w:val="-8"/>
        </w:rPr>
        <w:t> </w:t>
      </w:r>
      <w:r>
        <w:rPr>
          <w:color w:val="231F20"/>
        </w:rPr>
        <w:t>las</w:t>
      </w:r>
      <w:r>
        <w:rPr>
          <w:color w:val="231F20"/>
          <w:spacing w:val="-8"/>
        </w:rPr>
        <w:t> </w:t>
      </w:r>
      <w:r>
        <w:rPr>
          <w:color w:val="231F20"/>
        </w:rPr>
        <w:t>bandas</w:t>
      </w:r>
      <w:r>
        <w:rPr>
          <w:color w:val="231F20"/>
          <w:spacing w:val="-8"/>
        </w:rPr>
        <w:t> </w:t>
      </w:r>
      <w:r>
        <w:rPr>
          <w:color w:val="231F20"/>
        </w:rPr>
        <w:t>delictivas</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secuestro</w:t>
      </w:r>
      <w:r>
        <w:rPr>
          <w:color w:val="231F20"/>
          <w:spacing w:val="-7"/>
        </w:rPr>
        <w:t> </w:t>
      </w:r>
      <w:r>
        <w:rPr>
          <w:color w:val="231F20"/>
        </w:rPr>
        <w:t>de</w:t>
      </w:r>
      <w:r>
        <w:rPr>
          <w:color w:val="231F20"/>
          <w:spacing w:val="-8"/>
        </w:rPr>
        <w:t> </w:t>
      </w:r>
      <w:r>
        <w:rPr>
          <w:color w:val="231F20"/>
        </w:rPr>
        <w:t>mi- grantes</w:t>
      </w:r>
      <w:r>
        <w:rPr>
          <w:color w:val="231F20"/>
          <w:spacing w:val="-11"/>
        </w:rPr>
        <w:t> </w:t>
      </w:r>
      <w:r>
        <w:rPr>
          <w:color w:val="231F20"/>
        </w:rPr>
        <w:t>a</w:t>
      </w:r>
      <w:r>
        <w:rPr>
          <w:color w:val="231F20"/>
          <w:spacing w:val="-11"/>
        </w:rPr>
        <w:t> </w:t>
      </w:r>
      <w:r>
        <w:rPr>
          <w:color w:val="231F20"/>
        </w:rPr>
        <w:t>cambio</w:t>
      </w:r>
      <w:r>
        <w:rPr>
          <w:color w:val="231F20"/>
          <w:spacing w:val="-11"/>
        </w:rPr>
        <w:t> </w:t>
      </w:r>
      <w:r>
        <w:rPr>
          <w:color w:val="231F20"/>
        </w:rPr>
        <w:t>de</w:t>
      </w:r>
      <w:r>
        <w:rPr>
          <w:color w:val="231F20"/>
          <w:spacing w:val="-11"/>
        </w:rPr>
        <w:t> </w:t>
      </w:r>
      <w:r>
        <w:rPr>
          <w:color w:val="231F20"/>
        </w:rPr>
        <w:t>rescate</w:t>
      </w:r>
      <w:r>
        <w:rPr>
          <w:color w:val="231F20"/>
          <w:spacing w:val="-11"/>
        </w:rPr>
        <w:t> </w:t>
      </w:r>
      <w:r>
        <w:rPr>
          <w:color w:val="231F20"/>
        </w:rPr>
        <w:t>se</w:t>
      </w:r>
      <w:r>
        <w:rPr>
          <w:color w:val="231F20"/>
          <w:spacing w:val="-11"/>
        </w:rPr>
        <w:t> </w:t>
      </w:r>
      <w:r>
        <w:rPr>
          <w:color w:val="231F20"/>
        </w:rPr>
        <w:t>ha</w:t>
      </w:r>
      <w:r>
        <w:rPr>
          <w:color w:val="231F20"/>
          <w:spacing w:val="-11"/>
        </w:rPr>
        <w:t> </w:t>
      </w:r>
      <w:r>
        <w:rPr>
          <w:color w:val="231F20"/>
        </w:rPr>
        <w:t>hecho</w:t>
      </w:r>
      <w:r>
        <w:rPr>
          <w:color w:val="231F20"/>
          <w:spacing w:val="-11"/>
        </w:rPr>
        <w:t> </w:t>
      </w:r>
      <w:r>
        <w:rPr>
          <w:color w:val="231F20"/>
        </w:rPr>
        <w:t>generalizado.</w:t>
      </w:r>
      <w:r>
        <w:rPr>
          <w:color w:val="231F20"/>
          <w:spacing w:val="-11"/>
        </w:rPr>
        <w:t> </w:t>
      </w:r>
      <w:r>
        <w:rPr>
          <w:color w:val="231F20"/>
        </w:rPr>
        <w:t>En</w:t>
      </w:r>
      <w:r>
        <w:rPr>
          <w:color w:val="231F20"/>
          <w:spacing w:val="-11"/>
        </w:rPr>
        <w:t> </w:t>
      </w:r>
      <w:r>
        <w:rPr>
          <w:color w:val="231F20"/>
        </w:rPr>
        <w:t>muchos</w:t>
      </w:r>
      <w:r>
        <w:rPr>
          <w:color w:val="231F20"/>
          <w:spacing w:val="-12"/>
        </w:rPr>
        <w:t> </w:t>
      </w:r>
      <w:r>
        <w:rPr>
          <w:color w:val="231F20"/>
        </w:rPr>
        <w:t>aspectos, la experiencia de Ramón (nombre ficticio) refleja la de muchos migrantes irregulares. En noviembre de 2008, él y otros 35 migrantes fueron secues- trados por hombres armados en un tren de carga en el estado de </w:t>
      </w:r>
      <w:r>
        <w:rPr>
          <w:color w:val="231F20"/>
          <w:spacing w:val="-3"/>
        </w:rPr>
        <w:t>Veracruz. </w:t>
      </w:r>
      <w:r>
        <w:rPr>
          <w:color w:val="231F20"/>
        </w:rPr>
        <w:t>Fueron conducidos a un rancho en Reynosa, estado de Tamaulipas, donde una</w:t>
      </w:r>
      <w:r>
        <w:rPr>
          <w:color w:val="231F20"/>
          <w:spacing w:val="-6"/>
        </w:rPr>
        <w:t> </w:t>
      </w:r>
      <w:r>
        <w:rPr>
          <w:color w:val="231F20"/>
        </w:rPr>
        <w:t>banda</w:t>
      </w:r>
      <w:r>
        <w:rPr>
          <w:color w:val="231F20"/>
          <w:spacing w:val="-6"/>
        </w:rPr>
        <w:t> </w:t>
      </w:r>
      <w:r>
        <w:rPr>
          <w:color w:val="231F20"/>
        </w:rPr>
        <w:t>retenía</w:t>
      </w:r>
      <w:r>
        <w:rPr>
          <w:color w:val="231F20"/>
          <w:spacing w:val="-6"/>
        </w:rPr>
        <w:t> </w:t>
      </w:r>
      <w:r>
        <w:rPr>
          <w:color w:val="231F20"/>
        </w:rPr>
        <w:t>a</w:t>
      </w:r>
      <w:r>
        <w:rPr>
          <w:color w:val="231F20"/>
          <w:spacing w:val="-6"/>
        </w:rPr>
        <w:t> </w:t>
      </w:r>
      <w:r>
        <w:rPr>
          <w:color w:val="231F20"/>
        </w:rPr>
        <w:t>decenas</w:t>
      </w:r>
      <w:r>
        <w:rPr>
          <w:color w:val="231F20"/>
          <w:spacing w:val="-6"/>
        </w:rPr>
        <w:t> </w:t>
      </w:r>
      <w:r>
        <w:rPr>
          <w:color w:val="231F20"/>
        </w:rPr>
        <w:t>de</w:t>
      </w:r>
      <w:r>
        <w:rPr>
          <w:color w:val="231F20"/>
          <w:spacing w:val="-6"/>
        </w:rPr>
        <w:t> </w:t>
      </w:r>
      <w:r>
        <w:rPr>
          <w:color w:val="231F20"/>
        </w:rPr>
        <w:t>migrantes</w:t>
      </w:r>
      <w:r>
        <w:rPr>
          <w:color w:val="231F20"/>
          <w:spacing w:val="-7"/>
        </w:rPr>
        <w:t> </w:t>
      </w:r>
      <w:r>
        <w:rPr>
          <w:color w:val="231F20"/>
        </w:rPr>
        <w:t>más</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que,</w:t>
      </w:r>
      <w:r>
        <w:rPr>
          <w:color w:val="231F20"/>
          <w:spacing w:val="-6"/>
        </w:rPr>
        <w:t> </w:t>
      </w:r>
      <w:r>
        <w:rPr>
          <w:color w:val="231F20"/>
        </w:rPr>
        <w:t>a</w:t>
      </w:r>
      <w:r>
        <w:rPr>
          <w:color w:val="231F20"/>
          <w:spacing w:val="-6"/>
        </w:rPr>
        <w:t> </w:t>
      </w:r>
      <w:r>
        <w:rPr>
          <w:color w:val="231F20"/>
        </w:rPr>
        <w:t>punta</w:t>
      </w:r>
      <w:r>
        <w:rPr>
          <w:color w:val="231F20"/>
          <w:spacing w:val="-6"/>
        </w:rPr>
        <w:t> </w:t>
      </w:r>
      <w:r>
        <w:rPr>
          <w:color w:val="231F20"/>
        </w:rPr>
        <w:t>de</w:t>
      </w:r>
      <w:r>
        <w:rPr>
          <w:color w:val="231F20"/>
          <w:spacing w:val="-6"/>
        </w:rPr>
        <w:t> </w:t>
      </w:r>
      <w:r>
        <w:rPr>
          <w:color w:val="231F20"/>
        </w:rPr>
        <w:t>pistola, obligaban</w:t>
      </w:r>
      <w:r>
        <w:rPr>
          <w:color w:val="231F20"/>
          <w:spacing w:val="-12"/>
        </w:rPr>
        <w:t> </w:t>
      </w:r>
      <w:r>
        <w:rPr>
          <w:color w:val="231F20"/>
        </w:rPr>
        <w:t>a</w:t>
      </w:r>
      <w:r>
        <w:rPr>
          <w:color w:val="231F20"/>
          <w:spacing w:val="-12"/>
        </w:rPr>
        <w:t> </w:t>
      </w:r>
      <w:r>
        <w:rPr>
          <w:color w:val="231F20"/>
        </w:rPr>
        <w:t>revelar</w:t>
      </w:r>
      <w:r>
        <w:rPr>
          <w:color w:val="231F20"/>
          <w:spacing w:val="-12"/>
        </w:rPr>
        <w:t> </w:t>
      </w:r>
      <w:r>
        <w:rPr>
          <w:color w:val="231F20"/>
        </w:rPr>
        <w:t>el</w:t>
      </w:r>
      <w:r>
        <w:rPr>
          <w:color w:val="231F20"/>
          <w:spacing w:val="-12"/>
        </w:rPr>
        <w:t> </w:t>
      </w:r>
      <w:r>
        <w:rPr>
          <w:color w:val="231F20"/>
        </w:rPr>
        <w:t>teléfono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familiares</w:t>
      </w:r>
      <w:r>
        <w:rPr>
          <w:color w:val="231F20"/>
          <w:spacing w:val="-12"/>
        </w:rPr>
        <w:t> </w:t>
      </w:r>
      <w:r>
        <w:rPr>
          <w:color w:val="231F20"/>
        </w:rPr>
        <w:t>a</w:t>
      </w:r>
      <w:r>
        <w:rPr>
          <w:color w:val="231F20"/>
          <w:spacing w:val="-12"/>
        </w:rPr>
        <w:t> </w:t>
      </w:r>
      <w:r>
        <w:rPr>
          <w:color w:val="231F20"/>
        </w:rPr>
        <w:t>quienes</w:t>
      </w:r>
      <w:r>
        <w:rPr>
          <w:color w:val="231F20"/>
          <w:spacing w:val="-12"/>
        </w:rPr>
        <w:t> </w:t>
      </w:r>
      <w:r>
        <w:rPr>
          <w:color w:val="231F20"/>
        </w:rPr>
        <w:t>se</w:t>
      </w:r>
      <w:r>
        <w:rPr>
          <w:color w:val="231F20"/>
          <w:spacing w:val="-12"/>
        </w:rPr>
        <w:t> </w:t>
      </w:r>
      <w:r>
        <w:rPr>
          <w:color w:val="231F20"/>
        </w:rPr>
        <w:t>les</w:t>
      </w:r>
      <w:r>
        <w:rPr>
          <w:color w:val="231F20"/>
          <w:spacing w:val="-12"/>
        </w:rPr>
        <w:t> </w:t>
      </w:r>
      <w:r>
        <w:rPr>
          <w:color w:val="231F20"/>
        </w:rPr>
        <w:t>podía</w:t>
      </w:r>
      <w:r>
        <w:rPr>
          <w:color w:val="231F20"/>
          <w:spacing w:val="-12"/>
        </w:rPr>
        <w:t> </w:t>
      </w:r>
      <w:r>
        <w:rPr>
          <w:color w:val="231F20"/>
        </w:rPr>
        <w:t>pedir</w:t>
      </w:r>
    </w:p>
    <w:p>
      <w:pPr>
        <w:spacing w:after="0" w:line="247" w:lineRule="auto"/>
        <w:jc w:val="both"/>
        <w:sectPr>
          <w:pgSz w:w="9360" w:h="13040"/>
          <w:pgMar w:header="0" w:footer="496" w:top="800" w:bottom="680" w:left="1300" w:right="1300"/>
        </w:sectPr>
      </w:pPr>
    </w:p>
    <w:p>
      <w:pPr>
        <w:spacing w:before="45"/>
        <w:ind w:left="117" w:right="0" w:firstLine="395"/>
        <w:jc w:val="left"/>
        <w:rPr>
          <w:rFonts w:ascii="Arial" w:hAnsi="Arial"/>
          <w:sz w:val="20"/>
        </w:rPr>
      </w:pPr>
      <w:r>
        <w:rPr>
          <w:rFonts w:ascii="Arial" w:hAnsi="Arial"/>
          <w:color w:val="231F20"/>
          <w:w w:val="70"/>
          <w:sz w:val="20"/>
        </w:rPr>
        <w:t>El migrante centroamericano de paso por México y los derechos humanos /Luis Raúl Ortiz-Ramírez</w:t>
      </w:r>
    </w:p>
    <w:p>
      <w:pPr>
        <w:pStyle w:val="BodyText"/>
        <w:spacing w:before="7"/>
        <w:rPr>
          <w:rFonts w:ascii="Arial"/>
          <w:sz w:val="28"/>
        </w:rPr>
      </w:pPr>
    </w:p>
    <w:p>
      <w:pPr>
        <w:pStyle w:val="BodyText"/>
        <w:spacing w:line="247" w:lineRule="auto"/>
        <w:ind w:left="117" w:right="115"/>
        <w:jc w:val="both"/>
      </w:pPr>
      <w:r>
        <w:rPr>
          <w:color w:val="231F20"/>
        </w:rPr>
        <w:t>un rescate. El rancho fue allanado más tarde por el Ejército y algunos de los secuestradores fueron detenidos. Ramón y otros prestaron declaración ante funcionarios de la Procuraduría General de la República (PGR) que investigaban</w:t>
      </w:r>
      <w:r>
        <w:rPr>
          <w:color w:val="231F20"/>
          <w:spacing w:val="-9"/>
        </w:rPr>
        <w:t> </w:t>
      </w:r>
      <w:r>
        <w:rPr>
          <w:color w:val="231F20"/>
        </w:rPr>
        <w:t>el</w:t>
      </w:r>
      <w:r>
        <w:rPr>
          <w:color w:val="231F20"/>
          <w:spacing w:val="-9"/>
        </w:rPr>
        <w:t> </w:t>
      </w:r>
      <w:r>
        <w:rPr>
          <w:color w:val="231F20"/>
        </w:rPr>
        <w:t>caso,</w:t>
      </w:r>
      <w:r>
        <w:rPr>
          <w:color w:val="231F20"/>
          <w:spacing w:val="-9"/>
        </w:rPr>
        <w:t> </w:t>
      </w:r>
      <w:r>
        <w:rPr>
          <w:color w:val="231F20"/>
        </w:rPr>
        <w:t>pero</w:t>
      </w:r>
      <w:r>
        <w:rPr>
          <w:color w:val="231F20"/>
          <w:spacing w:val="-9"/>
        </w:rPr>
        <w:t> </w:t>
      </w:r>
      <w:r>
        <w:rPr>
          <w:color w:val="231F20"/>
        </w:rPr>
        <w:t>nadie</w:t>
      </w:r>
      <w:r>
        <w:rPr>
          <w:color w:val="231F20"/>
          <w:spacing w:val="-9"/>
        </w:rPr>
        <w:t> </w:t>
      </w:r>
      <w:r>
        <w:rPr>
          <w:color w:val="231F20"/>
        </w:rPr>
        <w:t>les</w:t>
      </w:r>
      <w:r>
        <w:rPr>
          <w:color w:val="231F20"/>
          <w:spacing w:val="-9"/>
        </w:rPr>
        <w:t> </w:t>
      </w:r>
      <w:r>
        <w:rPr>
          <w:color w:val="231F20"/>
        </w:rPr>
        <w:t>dijo</w:t>
      </w:r>
      <w:r>
        <w:rPr>
          <w:color w:val="231F20"/>
          <w:spacing w:val="-9"/>
        </w:rPr>
        <w:t> </w:t>
      </w:r>
      <w:r>
        <w:rPr>
          <w:color w:val="231F20"/>
        </w:rPr>
        <w:t>que</w:t>
      </w:r>
      <w:r>
        <w:rPr>
          <w:color w:val="231F20"/>
          <w:spacing w:val="-9"/>
        </w:rPr>
        <w:t> </w:t>
      </w:r>
      <w:r>
        <w:rPr>
          <w:color w:val="231F20"/>
        </w:rPr>
        <w:t>podían</w:t>
      </w:r>
      <w:r>
        <w:rPr>
          <w:color w:val="231F20"/>
          <w:spacing w:val="-9"/>
        </w:rPr>
        <w:t> </w:t>
      </w:r>
      <w:r>
        <w:rPr>
          <w:color w:val="231F20"/>
        </w:rPr>
        <w:t>presentar</w:t>
      </w:r>
      <w:r>
        <w:rPr>
          <w:color w:val="231F20"/>
          <w:spacing w:val="-9"/>
        </w:rPr>
        <w:t> </w:t>
      </w:r>
      <w:r>
        <w:rPr>
          <w:color w:val="231F20"/>
        </w:rPr>
        <w:t>una</w:t>
      </w:r>
      <w:r>
        <w:rPr>
          <w:color w:val="231F20"/>
          <w:spacing w:val="-9"/>
        </w:rPr>
        <w:t> </w:t>
      </w:r>
      <w:r>
        <w:rPr>
          <w:color w:val="231F20"/>
        </w:rPr>
        <w:t>denuncia por el secuestro o las amenazas contra su vida, o que podían obtener un visado temporal en espera de que se investigaran los abusos cometidos en el rancho (AI,</w:t>
      </w:r>
      <w:r>
        <w:rPr>
          <w:color w:val="231F20"/>
          <w:spacing w:val="-1"/>
        </w:rPr>
        <w:t> </w:t>
      </w:r>
      <w:r>
        <w:rPr>
          <w:color w:val="231F20"/>
        </w:rPr>
        <w:t>2010).</w:t>
      </w:r>
    </w:p>
    <w:p>
      <w:pPr>
        <w:pStyle w:val="BodyText"/>
        <w:spacing w:line="247" w:lineRule="auto"/>
        <w:ind w:left="117" w:right="114" w:firstLine="283"/>
        <w:jc w:val="both"/>
      </w:pPr>
      <w:r>
        <w:rPr>
          <w:color w:val="231F20"/>
        </w:rPr>
        <w:t>Algunos migrantes que habían sido secuestrados y sobrevivieron han dicho a Amnistía Internacional que estaban tan traumatizados por la expe- riencia que se habían entregado voluntariamente al INM para que los de- volviera a su país antes de arriesgarse a caer de nuevo en las manos de las bandas delictivas. Otros optaron por volver a la frontera </w:t>
      </w:r>
      <w:r>
        <w:rPr>
          <w:color w:val="231F20"/>
          <w:spacing w:val="-3"/>
        </w:rPr>
        <w:t>sur, </w:t>
      </w:r>
      <w:r>
        <w:rPr>
          <w:color w:val="231F20"/>
        </w:rPr>
        <w:t>pues temían que los agentes del INM los entregaran a las bandas. Describieron cómo las bandas actuaban con aparente impunidad, capturando periódicamente a más de un centenar de migrantes cada vez. Luego obligaban a las víc- timas a revelar el número de teléfono de sus familiares en Centroamérica o Estados Unidos, se ponían en contacto con ellos y les daban unos días para</w:t>
      </w:r>
      <w:r>
        <w:rPr>
          <w:color w:val="231F20"/>
          <w:spacing w:val="-7"/>
        </w:rPr>
        <w:t> </w:t>
      </w:r>
      <w:r>
        <w:rPr>
          <w:color w:val="231F20"/>
        </w:rPr>
        <w:t>transferir</w:t>
      </w:r>
      <w:r>
        <w:rPr>
          <w:color w:val="231F20"/>
          <w:spacing w:val="-8"/>
        </w:rPr>
        <w:t> </w:t>
      </w:r>
      <w:r>
        <w:rPr>
          <w:color w:val="231F20"/>
        </w:rPr>
        <w:t>dinero</w:t>
      </w:r>
      <w:r>
        <w:rPr>
          <w:color w:val="231F20"/>
          <w:spacing w:val="-7"/>
        </w:rPr>
        <w:t> </w:t>
      </w:r>
      <w:r>
        <w:rPr>
          <w:color w:val="231F20"/>
        </w:rPr>
        <w:t>para</w:t>
      </w:r>
      <w:r>
        <w:rPr>
          <w:color w:val="231F20"/>
          <w:spacing w:val="-7"/>
        </w:rPr>
        <w:t> </w:t>
      </w:r>
      <w:r>
        <w:rPr>
          <w:color w:val="231F20"/>
        </w:rPr>
        <w:t>pagar</w:t>
      </w:r>
      <w:r>
        <w:rPr>
          <w:color w:val="231F20"/>
          <w:spacing w:val="-7"/>
        </w:rPr>
        <w:t> </w:t>
      </w:r>
      <w:r>
        <w:rPr>
          <w:color w:val="231F20"/>
        </w:rPr>
        <w:t>el</w:t>
      </w:r>
      <w:r>
        <w:rPr>
          <w:color w:val="231F20"/>
          <w:spacing w:val="-7"/>
        </w:rPr>
        <w:t> </w:t>
      </w:r>
      <w:r>
        <w:rPr>
          <w:color w:val="231F20"/>
        </w:rPr>
        <w:t>rescate.</w:t>
      </w:r>
      <w:r>
        <w:rPr>
          <w:color w:val="231F20"/>
          <w:spacing w:val="-11"/>
        </w:rPr>
        <w:t> </w:t>
      </w:r>
      <w:r>
        <w:rPr>
          <w:color w:val="231F20"/>
          <w:spacing w:val="-5"/>
        </w:rPr>
        <w:t>Varios</w:t>
      </w:r>
      <w:r>
        <w:rPr>
          <w:color w:val="231F20"/>
          <w:spacing w:val="-8"/>
        </w:rPr>
        <w:t> </w:t>
      </w:r>
      <w:r>
        <w:rPr>
          <w:color w:val="231F20"/>
        </w:rPr>
        <w:t>de</w:t>
      </w:r>
      <w:r>
        <w:rPr>
          <w:color w:val="231F20"/>
          <w:spacing w:val="-7"/>
        </w:rPr>
        <w:t> </w:t>
      </w:r>
      <w:r>
        <w:rPr>
          <w:color w:val="231F20"/>
        </w:rPr>
        <w:t>los</w:t>
      </w:r>
      <w:r>
        <w:rPr>
          <w:color w:val="231F20"/>
          <w:spacing w:val="-7"/>
        </w:rPr>
        <w:t> </w:t>
      </w:r>
      <w:r>
        <w:rPr>
          <w:color w:val="231F20"/>
        </w:rPr>
        <w:t>entrevistados</w:t>
      </w:r>
      <w:r>
        <w:rPr>
          <w:color w:val="231F20"/>
          <w:spacing w:val="-8"/>
        </w:rPr>
        <w:t> </w:t>
      </w:r>
      <w:r>
        <w:rPr>
          <w:color w:val="231F20"/>
        </w:rPr>
        <w:t>des- cribieron cómo los migrantes eran torturados o asesinados si el dinero no llegaba a</w:t>
      </w:r>
      <w:r>
        <w:rPr>
          <w:color w:val="231F20"/>
          <w:spacing w:val="-1"/>
        </w:rPr>
        <w:t> </w:t>
      </w:r>
      <w:r>
        <w:rPr>
          <w:color w:val="231F20"/>
        </w:rPr>
        <w:t>tiempo.</w:t>
      </w:r>
    </w:p>
    <w:p>
      <w:pPr>
        <w:pStyle w:val="BodyText"/>
        <w:spacing w:line="247" w:lineRule="auto"/>
        <w:ind w:left="117" w:right="114" w:firstLine="283"/>
        <w:jc w:val="both"/>
      </w:pPr>
      <w:r>
        <w:rPr>
          <w:color w:val="231F20"/>
        </w:rPr>
        <w:t>La CNDH entrevistó a 238 víctimas y testigos de 198 secuestros de migrantes perpetrados entre septiembre de 2008 y febrero de 2009. Se</w:t>
      </w:r>
      <w:r>
        <w:rPr>
          <w:color w:val="231F20"/>
          <w:spacing w:val="-33"/>
        </w:rPr>
        <w:t> </w:t>
      </w:r>
      <w:r>
        <w:rPr>
          <w:color w:val="231F20"/>
        </w:rPr>
        <w:t>cal- culaba que durante ese periodo se había secuestrado a 9 758 migrantes. De los migrantes entrevistados, 91 manifestaron que su secuestro había sido responsabilidad directa de funcionarios públicos y otros 99 observa- ron que la policía actuaba en connivencia con los secuestradores durante su cautiverio. De las 157 mujeres cuyo secuestro se había confirmado, al menos dos fueron asesinadas y otras fueron violadas. Al menos una se vio obligada</w:t>
      </w:r>
      <w:r>
        <w:rPr>
          <w:color w:val="231F20"/>
          <w:spacing w:val="-4"/>
        </w:rPr>
        <w:t> </w:t>
      </w:r>
      <w:r>
        <w:rPr>
          <w:color w:val="231F20"/>
        </w:rPr>
        <w:t>a</w:t>
      </w:r>
      <w:r>
        <w:rPr>
          <w:color w:val="231F20"/>
          <w:spacing w:val="-4"/>
        </w:rPr>
        <w:t> </w:t>
      </w:r>
      <w:r>
        <w:rPr>
          <w:color w:val="231F20"/>
        </w:rPr>
        <w:t>quedarse</w:t>
      </w:r>
      <w:r>
        <w:rPr>
          <w:color w:val="231F20"/>
          <w:spacing w:val="-4"/>
        </w:rPr>
        <w:t> </w:t>
      </w:r>
      <w:r>
        <w:rPr>
          <w:color w:val="231F20"/>
        </w:rPr>
        <w:t>con</w:t>
      </w:r>
      <w:r>
        <w:rPr>
          <w:color w:val="231F20"/>
          <w:spacing w:val="-5"/>
        </w:rPr>
        <w:t> </w:t>
      </w:r>
      <w:r>
        <w:rPr>
          <w:color w:val="231F20"/>
        </w:rPr>
        <w:t>el</w:t>
      </w:r>
      <w:r>
        <w:rPr>
          <w:color w:val="231F20"/>
          <w:spacing w:val="-4"/>
        </w:rPr>
        <w:t> </w:t>
      </w:r>
      <w:r>
        <w:rPr>
          <w:color w:val="231F20"/>
        </w:rPr>
        <w:t>cabecilla</w:t>
      </w:r>
      <w:r>
        <w:rPr>
          <w:color w:val="231F20"/>
          <w:spacing w:val="-5"/>
        </w:rPr>
        <w:t> </w:t>
      </w:r>
      <w:r>
        <w:rPr>
          <w:color w:val="231F20"/>
        </w:rPr>
        <w:t>de</w:t>
      </w:r>
      <w:r>
        <w:rPr>
          <w:color w:val="231F20"/>
          <w:spacing w:val="-4"/>
        </w:rPr>
        <w:t> </w:t>
      </w:r>
      <w:r>
        <w:rPr>
          <w:color w:val="231F20"/>
        </w:rPr>
        <w:t>la</w:t>
      </w:r>
      <w:r>
        <w:rPr>
          <w:color w:val="231F20"/>
          <w:spacing w:val="-4"/>
        </w:rPr>
        <w:t> </w:t>
      </w:r>
      <w:r>
        <w:rPr>
          <w:color w:val="231F20"/>
        </w:rPr>
        <w:t>banda</w:t>
      </w:r>
      <w:r>
        <w:rPr>
          <w:color w:val="231F20"/>
          <w:spacing w:val="-4"/>
        </w:rPr>
        <w:t> </w:t>
      </w:r>
      <w:r>
        <w:rPr>
          <w:color w:val="231F20"/>
        </w:rPr>
        <w:t>como</w:t>
      </w:r>
      <w:r>
        <w:rPr>
          <w:color w:val="231F20"/>
          <w:spacing w:val="-5"/>
        </w:rPr>
        <w:t> </w:t>
      </w:r>
      <w:r>
        <w:rPr>
          <w:color w:val="231F20"/>
        </w:rPr>
        <w:t>“trofeo”.</w:t>
      </w:r>
      <w:r>
        <w:rPr>
          <w:color w:val="231F20"/>
          <w:spacing w:val="-5"/>
        </w:rPr>
        <w:t> </w:t>
      </w:r>
      <w:r>
        <w:rPr>
          <w:color w:val="231F20"/>
        </w:rPr>
        <w:t>La</w:t>
      </w:r>
      <w:r>
        <w:rPr>
          <w:color w:val="231F20"/>
          <w:spacing w:val="-4"/>
        </w:rPr>
        <w:t> </w:t>
      </w:r>
      <w:r>
        <w:rPr>
          <w:color w:val="231F20"/>
        </w:rPr>
        <w:t>CNDH calculaba</w:t>
      </w:r>
      <w:r>
        <w:rPr>
          <w:color w:val="231F20"/>
          <w:spacing w:val="-1"/>
        </w:rPr>
        <w:t> </w:t>
      </w:r>
      <w:r>
        <w:rPr>
          <w:color w:val="231F20"/>
        </w:rPr>
        <w:t>que</w:t>
      </w:r>
    </w:p>
    <w:p>
      <w:pPr>
        <w:spacing w:line="249" w:lineRule="auto" w:before="168"/>
        <w:ind w:left="400" w:right="114" w:firstLine="0"/>
        <w:jc w:val="both"/>
        <w:rPr>
          <w:sz w:val="20"/>
        </w:rPr>
      </w:pPr>
      <w:r>
        <w:rPr>
          <w:sz w:val="20"/>
        </w:rPr>
        <w:t>nueve de cada 10 víctimas (8 478) padecieron amenazas de muerte, en perjui- cio de ellos o de sus familiares o de ambos y fueron amagados con armas de fuego</w:t>
      </w:r>
      <w:r>
        <w:rPr>
          <w:spacing w:val="-9"/>
          <w:sz w:val="20"/>
        </w:rPr>
        <w:t> </w:t>
      </w:r>
      <w:r>
        <w:rPr>
          <w:sz w:val="20"/>
        </w:rPr>
        <w:t>o</w:t>
      </w:r>
      <w:r>
        <w:rPr>
          <w:spacing w:val="-9"/>
          <w:sz w:val="20"/>
        </w:rPr>
        <w:t> </w:t>
      </w:r>
      <w:r>
        <w:rPr>
          <w:sz w:val="20"/>
        </w:rPr>
        <w:t>armas</w:t>
      </w:r>
      <w:r>
        <w:rPr>
          <w:spacing w:val="-9"/>
          <w:sz w:val="20"/>
        </w:rPr>
        <w:t> </w:t>
      </w:r>
      <w:r>
        <w:rPr>
          <w:sz w:val="20"/>
        </w:rPr>
        <w:t>blancas,</w:t>
      </w:r>
      <w:r>
        <w:rPr>
          <w:spacing w:val="-9"/>
          <w:sz w:val="20"/>
        </w:rPr>
        <w:t> </w:t>
      </w:r>
      <w:r>
        <w:rPr>
          <w:sz w:val="20"/>
        </w:rPr>
        <w:t>si</w:t>
      </w:r>
      <w:r>
        <w:rPr>
          <w:spacing w:val="-9"/>
          <w:sz w:val="20"/>
        </w:rPr>
        <w:t> </w:t>
      </w:r>
      <w:r>
        <w:rPr>
          <w:sz w:val="20"/>
        </w:rPr>
        <w:t>no</w:t>
      </w:r>
      <w:r>
        <w:rPr>
          <w:spacing w:val="-9"/>
          <w:sz w:val="20"/>
        </w:rPr>
        <w:t> </w:t>
      </w:r>
      <w:r>
        <w:rPr>
          <w:sz w:val="20"/>
        </w:rPr>
        <w:t>pagaban</w:t>
      </w:r>
      <w:r>
        <w:rPr>
          <w:spacing w:val="-9"/>
          <w:sz w:val="20"/>
        </w:rPr>
        <w:t> </w:t>
      </w:r>
      <w:r>
        <w:rPr>
          <w:sz w:val="20"/>
        </w:rPr>
        <w:t>el</w:t>
      </w:r>
      <w:r>
        <w:rPr>
          <w:spacing w:val="-9"/>
          <w:sz w:val="20"/>
        </w:rPr>
        <w:t> </w:t>
      </w:r>
      <w:r>
        <w:rPr>
          <w:sz w:val="20"/>
        </w:rPr>
        <w:t>rescate.</w:t>
      </w:r>
      <w:r>
        <w:rPr>
          <w:spacing w:val="-9"/>
          <w:sz w:val="20"/>
        </w:rPr>
        <w:t> </w:t>
      </w:r>
      <w:r>
        <w:rPr>
          <w:sz w:val="20"/>
        </w:rPr>
        <w:t>Por</w:t>
      </w:r>
      <w:r>
        <w:rPr>
          <w:spacing w:val="-9"/>
          <w:sz w:val="20"/>
        </w:rPr>
        <w:t> </w:t>
      </w:r>
      <w:r>
        <w:rPr>
          <w:sz w:val="20"/>
        </w:rPr>
        <w:t>otra</w:t>
      </w:r>
      <w:r>
        <w:rPr>
          <w:spacing w:val="-9"/>
          <w:sz w:val="20"/>
        </w:rPr>
        <w:t> </w:t>
      </w:r>
      <w:r>
        <w:rPr>
          <w:sz w:val="20"/>
        </w:rPr>
        <w:t>parte,</w:t>
      </w:r>
      <w:r>
        <w:rPr>
          <w:spacing w:val="-9"/>
          <w:sz w:val="20"/>
        </w:rPr>
        <w:t> </w:t>
      </w:r>
      <w:r>
        <w:rPr>
          <w:sz w:val="20"/>
        </w:rPr>
        <w:t>la</w:t>
      </w:r>
      <w:r>
        <w:rPr>
          <w:spacing w:val="-9"/>
          <w:sz w:val="20"/>
        </w:rPr>
        <w:t> </w:t>
      </w:r>
      <w:r>
        <w:rPr>
          <w:sz w:val="20"/>
        </w:rPr>
        <w:t>investigación permite calcular que al menos 1 456 migrantes fueron golpeados con puños, pies, armas, garrotes, palos y otros</w:t>
      </w:r>
      <w:r>
        <w:rPr>
          <w:spacing w:val="-1"/>
          <w:sz w:val="20"/>
        </w:rPr>
        <w:t> </w:t>
      </w:r>
      <w:r>
        <w:rPr>
          <w:sz w:val="20"/>
        </w:rPr>
        <w:t>objetos.</w:t>
      </w:r>
    </w:p>
    <w:p>
      <w:pPr>
        <w:pStyle w:val="BodyText"/>
        <w:spacing w:line="247" w:lineRule="auto" w:before="172"/>
        <w:ind w:left="117" w:right="115" w:firstLine="283"/>
        <w:jc w:val="both"/>
      </w:pPr>
      <w:r>
        <w:rPr>
          <w:color w:val="231F20"/>
        </w:rPr>
        <w:t>La CNDH instó a las autoridades a mejorar las medidas para prevenir esos abusos y eliminar los obstáculos con los que se encuentran los mi- grantes a la hora de presentar denuncias penales (AI, 2010).</w:t>
      </w:r>
    </w:p>
    <w:p>
      <w:pPr>
        <w:spacing w:after="0" w:line="247" w:lineRule="auto"/>
        <w:jc w:val="both"/>
        <w:sectPr>
          <w:pgSz w:w="9360" w:h="13040"/>
          <w:pgMar w:header="0" w:footer="496" w:top="740" w:bottom="680" w:left="1300" w:right="1300"/>
        </w:sectPr>
      </w:pPr>
    </w:p>
    <w:p>
      <w:pPr>
        <w:tabs>
          <w:tab w:pos="5536" w:val="left" w:leader="none"/>
        </w:tabs>
        <w:spacing w:before="48"/>
        <w:ind w:left="105" w:right="0" w:firstLine="0"/>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
        <w:rPr>
          <w:sz w:val="20"/>
        </w:rPr>
      </w:pPr>
    </w:p>
    <w:p>
      <w:pPr>
        <w:pStyle w:val="Heading3"/>
        <w:spacing w:before="1"/>
      </w:pPr>
      <w:r>
        <w:rPr>
          <w:color w:val="231F20"/>
        </w:rPr>
        <w:t>Definición de Centroamerica</w:t>
      </w:r>
    </w:p>
    <w:p>
      <w:pPr>
        <w:pStyle w:val="BodyText"/>
        <w:spacing w:line="247" w:lineRule="auto" w:before="172"/>
        <w:ind w:left="117" w:right="115"/>
        <w:jc w:val="both"/>
      </w:pPr>
      <w:r>
        <w:rPr>
          <w:color w:val="231F20"/>
        </w:rPr>
        <w:t>Para el caso del trabajo que se desarrolla resulta de vital importancia defi- nir lo que es Centroamérica, pues es de esta región en particular de donde proviene el sujeto objeto estudio. En específico aquel que migra hacia Es- tados Unidos a través de nuestro territorio.</w:t>
      </w:r>
    </w:p>
    <w:p>
      <w:pPr>
        <w:pStyle w:val="BodyText"/>
        <w:spacing w:line="247" w:lineRule="auto"/>
        <w:ind w:left="117" w:right="114" w:firstLine="283"/>
        <w:jc w:val="both"/>
      </w:pPr>
      <w:r>
        <w:rPr>
          <w:color w:val="231F20"/>
        </w:rPr>
        <w:t>Cabe mencionar que en el caso de las regiones, la nomenclatura es una construcción social, que se articula sobre la existencia de una diferencia regional respecto de otras donde se valoriza lo particular, lo propio de la región,</w:t>
      </w:r>
      <w:r>
        <w:rPr>
          <w:color w:val="231F20"/>
          <w:spacing w:val="-13"/>
        </w:rPr>
        <w:t> </w:t>
      </w:r>
      <w:r>
        <w:rPr>
          <w:color w:val="231F20"/>
        </w:rPr>
        <w:t>su</w:t>
      </w:r>
      <w:r>
        <w:rPr>
          <w:color w:val="231F20"/>
          <w:spacing w:val="-13"/>
        </w:rPr>
        <w:t> </w:t>
      </w:r>
      <w:r>
        <w:rPr>
          <w:color w:val="231F20"/>
        </w:rPr>
        <w:t>cultura,</w:t>
      </w:r>
      <w:r>
        <w:rPr>
          <w:color w:val="231F20"/>
          <w:spacing w:val="-13"/>
        </w:rPr>
        <w:t> </w:t>
      </w:r>
      <w:r>
        <w:rPr>
          <w:color w:val="231F20"/>
        </w:rPr>
        <w:t>sus</w:t>
      </w:r>
      <w:r>
        <w:rPr>
          <w:color w:val="231F20"/>
          <w:spacing w:val="-13"/>
        </w:rPr>
        <w:t> </w:t>
      </w:r>
      <w:r>
        <w:rPr>
          <w:color w:val="231F20"/>
        </w:rPr>
        <w:t>tradiciones,</w:t>
      </w:r>
      <w:r>
        <w:rPr>
          <w:color w:val="231F20"/>
          <w:spacing w:val="-14"/>
        </w:rPr>
        <w:t> </w:t>
      </w:r>
      <w:r>
        <w:rPr>
          <w:color w:val="231F20"/>
        </w:rPr>
        <w:t>sus</w:t>
      </w:r>
      <w:r>
        <w:rPr>
          <w:color w:val="231F20"/>
          <w:spacing w:val="-13"/>
        </w:rPr>
        <w:t> </w:t>
      </w:r>
      <w:r>
        <w:rPr>
          <w:color w:val="231F20"/>
        </w:rPr>
        <w:t>pobladores</w:t>
      </w:r>
      <w:r>
        <w:rPr>
          <w:color w:val="231F20"/>
          <w:spacing w:val="-13"/>
        </w:rPr>
        <w:t> </w:t>
      </w:r>
      <w:r>
        <w:rPr>
          <w:color w:val="231F20"/>
        </w:rPr>
        <w:t>y</w:t>
      </w:r>
      <w:r>
        <w:rPr>
          <w:color w:val="231F20"/>
          <w:spacing w:val="-13"/>
        </w:rPr>
        <w:t> </w:t>
      </w:r>
      <w:r>
        <w:rPr>
          <w:color w:val="231F20"/>
        </w:rPr>
        <w:t>los</w:t>
      </w:r>
      <w:r>
        <w:rPr>
          <w:color w:val="231F20"/>
          <w:spacing w:val="-13"/>
        </w:rPr>
        <w:t> </w:t>
      </w:r>
      <w:r>
        <w:rPr>
          <w:color w:val="231F20"/>
        </w:rPr>
        <w:t>elementos</w:t>
      </w:r>
      <w:r>
        <w:rPr>
          <w:color w:val="231F20"/>
          <w:spacing w:val="-14"/>
        </w:rPr>
        <w:t> </w:t>
      </w:r>
      <w:r>
        <w:rPr>
          <w:color w:val="231F20"/>
        </w:rPr>
        <w:t>geográfi- cos</w:t>
      </w:r>
      <w:r>
        <w:rPr>
          <w:color w:val="231F20"/>
          <w:spacing w:val="-5"/>
        </w:rPr>
        <w:t> </w:t>
      </w:r>
      <w:r>
        <w:rPr>
          <w:color w:val="231F20"/>
        </w:rPr>
        <w:t>(Silva,</w:t>
      </w:r>
      <w:r>
        <w:rPr>
          <w:color w:val="231F20"/>
          <w:spacing w:val="-5"/>
        </w:rPr>
        <w:t> </w:t>
      </w:r>
      <w:r>
        <w:rPr>
          <w:color w:val="231F20"/>
        </w:rPr>
        <w:t>2006:</w:t>
      </w:r>
      <w:r>
        <w:rPr>
          <w:color w:val="231F20"/>
          <w:spacing w:val="-5"/>
        </w:rPr>
        <w:t> </w:t>
      </w:r>
      <w:r>
        <w:rPr>
          <w:color w:val="231F20"/>
        </w:rPr>
        <w:t>2).</w:t>
      </w:r>
      <w:r>
        <w:rPr>
          <w:color w:val="231F20"/>
          <w:spacing w:val="-5"/>
        </w:rPr>
        <w:t> </w:t>
      </w:r>
      <w:r>
        <w:rPr>
          <w:color w:val="231F20"/>
        </w:rPr>
        <w:t>La</w:t>
      </w:r>
      <w:r>
        <w:rPr>
          <w:color w:val="231F20"/>
          <w:spacing w:val="-5"/>
        </w:rPr>
        <w:t> </w:t>
      </w:r>
      <w:r>
        <w:rPr>
          <w:color w:val="231F20"/>
        </w:rPr>
        <w:t>región</w:t>
      </w:r>
      <w:r>
        <w:rPr>
          <w:color w:val="231F20"/>
          <w:spacing w:val="-5"/>
        </w:rPr>
        <w:t> </w:t>
      </w:r>
      <w:r>
        <w:rPr>
          <w:color w:val="231F20"/>
        </w:rPr>
        <w:t>deja</w:t>
      </w:r>
      <w:r>
        <w:rPr>
          <w:color w:val="231F20"/>
          <w:spacing w:val="-5"/>
        </w:rPr>
        <w:t> </w:t>
      </w:r>
      <w:r>
        <w:rPr>
          <w:color w:val="231F20"/>
        </w:rPr>
        <w:t>de</w:t>
      </w:r>
      <w:r>
        <w:rPr>
          <w:color w:val="231F20"/>
          <w:spacing w:val="-5"/>
        </w:rPr>
        <w:t> </w:t>
      </w:r>
      <w:r>
        <w:rPr>
          <w:color w:val="231F20"/>
        </w:rPr>
        <w:t>ser</w:t>
      </w:r>
      <w:r>
        <w:rPr>
          <w:color w:val="231F20"/>
          <w:spacing w:val="-5"/>
        </w:rPr>
        <w:t> </w:t>
      </w:r>
      <w:r>
        <w:rPr>
          <w:color w:val="231F20"/>
        </w:rPr>
        <w:t>un</w:t>
      </w:r>
      <w:r>
        <w:rPr>
          <w:color w:val="231F20"/>
          <w:spacing w:val="-5"/>
        </w:rPr>
        <w:t> </w:t>
      </w:r>
      <w:r>
        <w:rPr>
          <w:color w:val="231F20"/>
        </w:rPr>
        <w:t>hecho</w:t>
      </w:r>
      <w:r>
        <w:rPr>
          <w:color w:val="231F20"/>
          <w:spacing w:val="-5"/>
        </w:rPr>
        <w:t> </w:t>
      </w:r>
      <w:r>
        <w:rPr>
          <w:color w:val="231F20"/>
        </w:rPr>
        <w:t>físico</w:t>
      </w:r>
      <w:r>
        <w:rPr>
          <w:color w:val="231F20"/>
          <w:spacing w:val="-5"/>
        </w:rPr>
        <w:t> </w:t>
      </w:r>
      <w:r>
        <w:rPr>
          <w:color w:val="231F20"/>
        </w:rPr>
        <w:t>para</w:t>
      </w:r>
      <w:r>
        <w:rPr>
          <w:color w:val="231F20"/>
          <w:spacing w:val="-5"/>
        </w:rPr>
        <w:t> </w:t>
      </w:r>
      <w:r>
        <w:rPr>
          <w:color w:val="231F20"/>
        </w:rPr>
        <w:t>constituirse en una conciencia colectiva, en una identidad regional que en la mayoría de</w:t>
      </w:r>
      <w:r>
        <w:rPr>
          <w:color w:val="231F20"/>
          <w:spacing w:val="-12"/>
        </w:rPr>
        <w:t> </w:t>
      </w:r>
      <w:r>
        <w:rPr>
          <w:color w:val="231F20"/>
        </w:rPr>
        <w:t>los</w:t>
      </w:r>
      <w:r>
        <w:rPr>
          <w:color w:val="231F20"/>
          <w:spacing w:val="-12"/>
        </w:rPr>
        <w:t> </w:t>
      </w:r>
      <w:r>
        <w:rPr>
          <w:color w:val="231F20"/>
        </w:rPr>
        <w:t>casos</w:t>
      </w:r>
      <w:r>
        <w:rPr>
          <w:color w:val="231F20"/>
          <w:spacing w:val="-13"/>
        </w:rPr>
        <w:t> </w:t>
      </w:r>
      <w:r>
        <w:rPr>
          <w:color w:val="231F20"/>
        </w:rPr>
        <w:t>se</w:t>
      </w:r>
      <w:r>
        <w:rPr>
          <w:color w:val="231F20"/>
          <w:spacing w:val="-12"/>
        </w:rPr>
        <w:t> </w:t>
      </w:r>
      <w:r>
        <w:rPr>
          <w:color w:val="231F20"/>
        </w:rPr>
        <w:t>asigna</w:t>
      </w:r>
      <w:r>
        <w:rPr>
          <w:color w:val="231F20"/>
          <w:spacing w:val="-13"/>
        </w:rPr>
        <w:t> </w:t>
      </w:r>
      <w:r>
        <w:rPr>
          <w:color w:val="231F20"/>
        </w:rPr>
        <w:t>de</w:t>
      </w:r>
      <w:r>
        <w:rPr>
          <w:color w:val="231F20"/>
          <w:spacing w:val="-12"/>
        </w:rPr>
        <w:t> </w:t>
      </w:r>
      <w:r>
        <w:rPr>
          <w:color w:val="231F20"/>
        </w:rPr>
        <w:t>manera</w:t>
      </w:r>
      <w:r>
        <w:rPr>
          <w:color w:val="231F20"/>
          <w:spacing w:val="-12"/>
        </w:rPr>
        <w:t> </w:t>
      </w:r>
      <w:r>
        <w:rPr>
          <w:color w:val="231F20"/>
        </w:rPr>
        <w:t>arbitraria,</w:t>
      </w:r>
      <w:r>
        <w:rPr>
          <w:color w:val="231F20"/>
          <w:spacing w:val="-13"/>
        </w:rPr>
        <w:t> </w:t>
      </w:r>
      <w:r>
        <w:rPr>
          <w:color w:val="231F20"/>
        </w:rPr>
        <w:t>desde</w:t>
      </w:r>
      <w:r>
        <w:rPr>
          <w:color w:val="231F20"/>
          <w:spacing w:val="-12"/>
        </w:rPr>
        <w:t> </w:t>
      </w:r>
      <w:r>
        <w:rPr>
          <w:color w:val="231F20"/>
        </w:rPr>
        <w:t>un</w:t>
      </w:r>
      <w:r>
        <w:rPr>
          <w:color w:val="231F20"/>
          <w:spacing w:val="-12"/>
        </w:rPr>
        <w:t> </w:t>
      </w:r>
      <w:r>
        <w:rPr>
          <w:color w:val="231F20"/>
        </w:rPr>
        <w:t>criterio</w:t>
      </w:r>
      <w:r>
        <w:rPr>
          <w:color w:val="231F20"/>
          <w:spacing w:val="-13"/>
        </w:rPr>
        <w:t> </w:t>
      </w:r>
      <w:r>
        <w:rPr>
          <w:color w:val="231F20"/>
        </w:rPr>
        <w:t>interior</w:t>
      </w:r>
      <w:r>
        <w:rPr>
          <w:color w:val="231F20"/>
          <w:spacing w:val="-13"/>
        </w:rPr>
        <w:t> </w:t>
      </w:r>
      <w:r>
        <w:rPr>
          <w:color w:val="231F20"/>
        </w:rPr>
        <w:t>que</w:t>
      </w:r>
      <w:r>
        <w:rPr>
          <w:color w:val="231F20"/>
          <w:spacing w:val="-12"/>
        </w:rPr>
        <w:t> </w:t>
      </w:r>
      <w:r>
        <w:rPr>
          <w:color w:val="231F20"/>
        </w:rPr>
        <w:t>no recoge el sentir o la concepción de los propios habitantes del</w:t>
      </w:r>
      <w:r>
        <w:rPr>
          <w:color w:val="231F20"/>
          <w:spacing w:val="-3"/>
        </w:rPr>
        <w:t> lugar.</w:t>
      </w:r>
    </w:p>
    <w:p>
      <w:pPr>
        <w:pStyle w:val="BodyText"/>
        <w:spacing w:line="247" w:lineRule="auto"/>
        <w:ind w:left="117" w:right="115" w:firstLine="283"/>
        <w:jc w:val="both"/>
      </w:pPr>
      <w:r>
        <w:rPr>
          <w:color w:val="231F20"/>
        </w:rPr>
        <w:t>El</w:t>
      </w:r>
      <w:r>
        <w:rPr>
          <w:color w:val="231F20"/>
          <w:spacing w:val="-9"/>
        </w:rPr>
        <w:t> </w:t>
      </w:r>
      <w:r>
        <w:rPr>
          <w:color w:val="231F20"/>
        </w:rPr>
        <w:t>nombre</w:t>
      </w:r>
      <w:r>
        <w:rPr>
          <w:color w:val="231F20"/>
          <w:spacing w:val="-8"/>
        </w:rPr>
        <w:t> </w:t>
      </w:r>
      <w:r>
        <w:rPr>
          <w:color w:val="231F20"/>
        </w:rPr>
        <w:t>Centroamérica</w:t>
      </w:r>
      <w:r>
        <w:rPr>
          <w:color w:val="231F20"/>
          <w:spacing w:val="-9"/>
        </w:rPr>
        <w:t> </w:t>
      </w:r>
      <w:r>
        <w:rPr>
          <w:color w:val="231F20"/>
        </w:rPr>
        <w:t>es</w:t>
      </w:r>
      <w:r>
        <w:rPr>
          <w:color w:val="231F20"/>
          <w:spacing w:val="-8"/>
        </w:rPr>
        <w:t> </w:t>
      </w:r>
      <w:r>
        <w:rPr>
          <w:color w:val="231F20"/>
        </w:rPr>
        <w:t>un</w:t>
      </w:r>
      <w:r>
        <w:rPr>
          <w:color w:val="231F20"/>
          <w:spacing w:val="-8"/>
        </w:rPr>
        <w:t> </w:t>
      </w:r>
      <w:r>
        <w:rPr>
          <w:color w:val="231F20"/>
        </w:rPr>
        <w:t>concepto</w:t>
      </w:r>
      <w:r>
        <w:rPr>
          <w:color w:val="231F20"/>
          <w:spacing w:val="-9"/>
        </w:rPr>
        <w:t> </w:t>
      </w:r>
      <w:r>
        <w:rPr>
          <w:color w:val="231F20"/>
        </w:rPr>
        <w:t>histórico-político</w:t>
      </w:r>
      <w:r>
        <w:rPr>
          <w:color w:val="231F20"/>
          <w:spacing w:val="-8"/>
        </w:rPr>
        <w:t> </w:t>
      </w:r>
      <w:r>
        <w:rPr>
          <w:color w:val="231F20"/>
        </w:rPr>
        <w:t>que</w:t>
      </w:r>
      <w:r>
        <w:rPr>
          <w:color w:val="231F20"/>
          <w:spacing w:val="-8"/>
        </w:rPr>
        <w:t> </w:t>
      </w:r>
      <w:r>
        <w:rPr>
          <w:color w:val="231F20"/>
        </w:rPr>
        <w:t>ha</w:t>
      </w:r>
      <w:r>
        <w:rPr>
          <w:color w:val="231F20"/>
          <w:spacing w:val="-8"/>
        </w:rPr>
        <w:t> </w:t>
      </w:r>
      <w:r>
        <w:rPr>
          <w:color w:val="231F20"/>
        </w:rPr>
        <w:t>teni- do diversos significados y distintas delimitaciones geográficas. El</w:t>
      </w:r>
      <w:r>
        <w:rPr>
          <w:color w:val="231F20"/>
          <w:spacing w:val="-15"/>
        </w:rPr>
        <w:t> </w:t>
      </w:r>
      <w:r>
        <w:rPr>
          <w:color w:val="231F20"/>
        </w:rPr>
        <w:t>término fue creado para designar la estructura estatal constituida por las antiguas provincias</w:t>
      </w:r>
      <w:r>
        <w:rPr>
          <w:color w:val="231F20"/>
          <w:spacing w:val="-10"/>
        </w:rPr>
        <w:t> </w:t>
      </w:r>
      <w:r>
        <w:rPr>
          <w:color w:val="231F20"/>
        </w:rPr>
        <w:t>del</w:t>
      </w:r>
      <w:r>
        <w:rPr>
          <w:color w:val="231F20"/>
          <w:spacing w:val="-10"/>
        </w:rPr>
        <w:t> </w:t>
      </w:r>
      <w:r>
        <w:rPr>
          <w:color w:val="231F20"/>
        </w:rPr>
        <w:t>Reino</w:t>
      </w:r>
      <w:r>
        <w:rPr>
          <w:color w:val="231F20"/>
          <w:spacing w:val="-10"/>
        </w:rPr>
        <w:t> </w:t>
      </w:r>
      <w:r>
        <w:rPr>
          <w:color w:val="231F20"/>
        </w:rPr>
        <w:t>de</w:t>
      </w:r>
      <w:r>
        <w:rPr>
          <w:color w:val="231F20"/>
          <w:spacing w:val="-10"/>
        </w:rPr>
        <w:t> </w:t>
      </w:r>
      <w:r>
        <w:rPr>
          <w:color w:val="231F20"/>
        </w:rPr>
        <w:t>Guatemala.</w:t>
      </w:r>
      <w:r>
        <w:rPr>
          <w:color w:val="231F20"/>
          <w:spacing w:val="-9"/>
        </w:rPr>
        <w:t> </w:t>
      </w:r>
      <w:r>
        <w:rPr>
          <w:color w:val="231F20"/>
        </w:rPr>
        <w:t>No</w:t>
      </w:r>
      <w:r>
        <w:rPr>
          <w:color w:val="231F20"/>
          <w:spacing w:val="-10"/>
        </w:rPr>
        <w:t> </w:t>
      </w:r>
      <w:r>
        <w:rPr>
          <w:color w:val="231F20"/>
        </w:rPr>
        <w:t>obstante,</w:t>
      </w:r>
      <w:r>
        <w:rPr>
          <w:color w:val="231F20"/>
          <w:spacing w:val="-10"/>
        </w:rPr>
        <w:t> </w:t>
      </w:r>
      <w:r>
        <w:rPr>
          <w:color w:val="231F20"/>
        </w:rPr>
        <w:t>hacia</w:t>
      </w:r>
      <w:r>
        <w:rPr>
          <w:color w:val="231F20"/>
          <w:spacing w:val="-10"/>
        </w:rPr>
        <w:t> </w:t>
      </w:r>
      <w:r>
        <w:rPr>
          <w:color w:val="231F20"/>
        </w:rPr>
        <w:t>1838,</w:t>
      </w:r>
      <w:r>
        <w:rPr>
          <w:color w:val="231F20"/>
          <w:spacing w:val="-10"/>
        </w:rPr>
        <w:t> </w:t>
      </w:r>
      <w:r>
        <w:rPr>
          <w:color w:val="231F20"/>
        </w:rPr>
        <w:t>la</w:t>
      </w:r>
      <w:r>
        <w:rPr>
          <w:color w:val="231F20"/>
          <w:spacing w:val="-10"/>
        </w:rPr>
        <w:t> </w:t>
      </w:r>
      <w:r>
        <w:rPr>
          <w:color w:val="231F20"/>
        </w:rPr>
        <w:t>denomina- ción</w:t>
      </w:r>
      <w:r>
        <w:rPr>
          <w:color w:val="231F20"/>
          <w:spacing w:val="-8"/>
        </w:rPr>
        <w:t> </w:t>
      </w:r>
      <w:r>
        <w:rPr>
          <w:color w:val="231F20"/>
        </w:rPr>
        <w:t>empezó</w:t>
      </w:r>
      <w:r>
        <w:rPr>
          <w:color w:val="231F20"/>
          <w:spacing w:val="-8"/>
        </w:rPr>
        <w:t> </w:t>
      </w:r>
      <w:r>
        <w:rPr>
          <w:color w:val="231F20"/>
        </w:rPr>
        <w:t>a</w:t>
      </w:r>
      <w:r>
        <w:rPr>
          <w:color w:val="231F20"/>
          <w:spacing w:val="-8"/>
        </w:rPr>
        <w:t> </w:t>
      </w:r>
      <w:r>
        <w:rPr>
          <w:color w:val="231F20"/>
        </w:rPr>
        <w:t>ser</w:t>
      </w:r>
      <w:r>
        <w:rPr>
          <w:color w:val="231F20"/>
          <w:spacing w:val="-8"/>
        </w:rPr>
        <w:t> </w:t>
      </w:r>
      <w:r>
        <w:rPr>
          <w:color w:val="231F20"/>
        </w:rPr>
        <w:t>trasladada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estructura</w:t>
      </w:r>
      <w:r>
        <w:rPr>
          <w:color w:val="231F20"/>
          <w:spacing w:val="-8"/>
        </w:rPr>
        <w:t> </w:t>
      </w:r>
      <w:r>
        <w:rPr>
          <w:color w:val="231F20"/>
        </w:rPr>
        <w:t>política</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región</w:t>
      </w:r>
      <w:r>
        <w:rPr>
          <w:color w:val="231F20"/>
          <w:spacing w:val="-8"/>
        </w:rPr>
        <w:t> </w:t>
      </w:r>
      <w:r>
        <w:rPr>
          <w:color w:val="231F20"/>
        </w:rPr>
        <w:t>geográfica y paulatinamente se fue constituyendo en una conciencia</w:t>
      </w:r>
      <w:r>
        <w:rPr>
          <w:color w:val="231F20"/>
          <w:spacing w:val="-4"/>
        </w:rPr>
        <w:t> </w:t>
      </w:r>
      <w:r>
        <w:rPr>
          <w:color w:val="231F20"/>
        </w:rPr>
        <w:t>colectiva.</w:t>
      </w:r>
    </w:p>
    <w:p>
      <w:pPr>
        <w:pStyle w:val="BodyText"/>
        <w:spacing w:line="247" w:lineRule="auto"/>
        <w:ind w:left="117" w:right="114" w:firstLine="283"/>
        <w:jc w:val="both"/>
      </w:pPr>
      <w:r>
        <w:rPr>
          <w:color w:val="231F20"/>
        </w:rPr>
        <w:t>El nombre de Centroamérica fue inventado entre 1823 y 1824 por el Congreso Constituyente formado por los representantes de las provincias del Reino de Guatemala, quienes denominaron con el nombre de Repúbli- ca Federal de Centro América o Federación Centroamericana, la entidad política constituida por Guatemala, Honduras, Nicaragua, El Salvador y Costa</w:t>
      </w:r>
      <w:r>
        <w:rPr>
          <w:color w:val="231F20"/>
          <w:spacing w:val="-4"/>
        </w:rPr>
        <w:t> </w:t>
      </w:r>
      <w:r>
        <w:rPr>
          <w:color w:val="231F20"/>
        </w:rPr>
        <w:t>Rica,</w:t>
      </w:r>
      <w:r>
        <w:rPr>
          <w:color w:val="231F20"/>
          <w:spacing w:val="-4"/>
        </w:rPr>
        <w:t> </w:t>
      </w:r>
      <w:r>
        <w:rPr>
          <w:color w:val="231F20"/>
        </w:rPr>
        <w:t>de</w:t>
      </w:r>
      <w:r>
        <w:rPr>
          <w:color w:val="231F20"/>
          <w:spacing w:val="-4"/>
        </w:rPr>
        <w:t> </w:t>
      </w:r>
      <w:r>
        <w:rPr>
          <w:color w:val="231F20"/>
        </w:rPr>
        <w:t>ahí</w:t>
      </w:r>
      <w:r>
        <w:rPr>
          <w:color w:val="231F20"/>
          <w:spacing w:val="-4"/>
        </w:rPr>
        <w:t> </w:t>
      </w:r>
      <w:r>
        <w:rPr>
          <w:color w:val="231F20"/>
        </w:rPr>
        <w:t>la</w:t>
      </w:r>
      <w:r>
        <w:rPr>
          <w:color w:val="231F20"/>
          <w:spacing w:val="-4"/>
        </w:rPr>
        <w:t> </w:t>
      </w:r>
      <w:r>
        <w:rPr>
          <w:color w:val="231F20"/>
        </w:rPr>
        <w:t>consideración</w:t>
      </w:r>
      <w:r>
        <w:rPr>
          <w:color w:val="231F20"/>
          <w:spacing w:val="-4"/>
        </w:rPr>
        <w:t> </w:t>
      </w:r>
      <w:r>
        <w:rPr>
          <w:color w:val="231F20"/>
        </w:rPr>
        <w:t>de</w:t>
      </w:r>
      <w:r>
        <w:rPr>
          <w:color w:val="231F20"/>
          <w:spacing w:val="-4"/>
        </w:rPr>
        <w:t> </w:t>
      </w:r>
      <w:r>
        <w:rPr>
          <w:color w:val="231F20"/>
        </w:rPr>
        <w:t>que</w:t>
      </w:r>
      <w:r>
        <w:rPr>
          <w:color w:val="231F20"/>
          <w:spacing w:val="-4"/>
        </w:rPr>
        <w:t> </w:t>
      </w:r>
      <w:r>
        <w:rPr>
          <w:color w:val="231F20"/>
        </w:rPr>
        <w:t>hoy</w:t>
      </w:r>
      <w:r>
        <w:rPr>
          <w:color w:val="231F20"/>
          <w:spacing w:val="-4"/>
        </w:rPr>
        <w:t> </w:t>
      </w:r>
      <w:r>
        <w:rPr>
          <w:color w:val="231F20"/>
        </w:rPr>
        <w:t>en</w:t>
      </w:r>
      <w:r>
        <w:rPr>
          <w:color w:val="231F20"/>
          <w:spacing w:val="-4"/>
        </w:rPr>
        <w:t> </w:t>
      </w:r>
      <w:r>
        <w:rPr>
          <w:color w:val="231F20"/>
        </w:rPr>
        <w:t>día</w:t>
      </w:r>
      <w:r>
        <w:rPr>
          <w:color w:val="231F20"/>
          <w:spacing w:val="-4"/>
        </w:rPr>
        <w:t> </w:t>
      </w:r>
      <w:r>
        <w:rPr>
          <w:color w:val="231F20"/>
        </w:rPr>
        <w:t>Centroamérica</w:t>
      </w:r>
      <w:r>
        <w:rPr>
          <w:color w:val="231F20"/>
          <w:spacing w:val="-4"/>
        </w:rPr>
        <w:t> </w:t>
      </w:r>
      <w:r>
        <w:rPr>
          <w:color w:val="231F20"/>
        </w:rPr>
        <w:t>es</w:t>
      </w:r>
      <w:r>
        <w:rPr>
          <w:color w:val="231F20"/>
          <w:spacing w:val="-4"/>
        </w:rPr>
        <w:t> </w:t>
      </w:r>
      <w:r>
        <w:rPr>
          <w:color w:val="231F20"/>
        </w:rPr>
        <w:t>un espacio</w:t>
      </w:r>
      <w:r>
        <w:rPr>
          <w:color w:val="231F20"/>
          <w:spacing w:val="-12"/>
        </w:rPr>
        <w:t> </w:t>
      </w:r>
      <w:r>
        <w:rPr>
          <w:color w:val="231F20"/>
        </w:rPr>
        <w:t>conformado</w:t>
      </w:r>
      <w:r>
        <w:rPr>
          <w:color w:val="231F20"/>
          <w:spacing w:val="-12"/>
        </w:rPr>
        <w:t> </w:t>
      </w:r>
      <w:r>
        <w:rPr>
          <w:color w:val="231F20"/>
        </w:rPr>
        <w:t>por</w:t>
      </w:r>
      <w:r>
        <w:rPr>
          <w:color w:val="231F20"/>
          <w:spacing w:val="-11"/>
        </w:rPr>
        <w:t> </w:t>
      </w:r>
      <w:r>
        <w:rPr>
          <w:color w:val="231F20"/>
        </w:rPr>
        <w:t>estos</w:t>
      </w:r>
      <w:r>
        <w:rPr>
          <w:color w:val="231F20"/>
          <w:spacing w:val="-12"/>
        </w:rPr>
        <w:t> </w:t>
      </w:r>
      <w:r>
        <w:rPr>
          <w:color w:val="231F20"/>
        </w:rPr>
        <w:t>países,</w:t>
      </w:r>
      <w:r>
        <w:rPr>
          <w:color w:val="231F20"/>
          <w:spacing w:val="-11"/>
        </w:rPr>
        <w:t> </w:t>
      </w:r>
      <w:r>
        <w:rPr>
          <w:color w:val="231F20"/>
        </w:rPr>
        <w:t>dejando</w:t>
      </w:r>
      <w:r>
        <w:rPr>
          <w:color w:val="231F20"/>
          <w:spacing w:val="-11"/>
        </w:rPr>
        <w:t> </w:t>
      </w:r>
      <w:r>
        <w:rPr>
          <w:color w:val="231F20"/>
        </w:rPr>
        <w:t>fuera</w:t>
      </w:r>
      <w:r>
        <w:rPr>
          <w:color w:val="231F20"/>
          <w:spacing w:val="-11"/>
        </w:rPr>
        <w:t> </w:t>
      </w:r>
      <w:r>
        <w:rPr>
          <w:color w:val="231F20"/>
        </w:rPr>
        <w:t>a</w:t>
      </w:r>
      <w:r>
        <w:rPr>
          <w:color w:val="231F20"/>
          <w:spacing w:val="-11"/>
        </w:rPr>
        <w:t> </w:t>
      </w:r>
      <w:r>
        <w:rPr>
          <w:color w:val="231F20"/>
        </w:rPr>
        <w:t>Belice</w:t>
      </w:r>
      <w:r>
        <w:rPr>
          <w:color w:val="231F20"/>
          <w:spacing w:val="-11"/>
        </w:rPr>
        <w:t> </w:t>
      </w:r>
      <w:r>
        <w:rPr>
          <w:color w:val="231F20"/>
        </w:rPr>
        <w:t>y</w:t>
      </w:r>
      <w:r>
        <w:rPr>
          <w:color w:val="231F20"/>
          <w:spacing w:val="-11"/>
        </w:rPr>
        <w:t> </w:t>
      </w:r>
      <w:r>
        <w:rPr>
          <w:color w:val="231F20"/>
        </w:rPr>
        <w:t>a</w:t>
      </w:r>
      <w:r>
        <w:rPr>
          <w:color w:val="231F20"/>
          <w:spacing w:val="-11"/>
        </w:rPr>
        <w:t> </w:t>
      </w:r>
      <w:r>
        <w:rPr>
          <w:color w:val="231F20"/>
        </w:rPr>
        <w:t>Nicaragua. No obstante no hay un fundamento para considerar esta enunciación</w:t>
      </w:r>
      <w:r>
        <w:rPr>
          <w:color w:val="231F20"/>
          <w:spacing w:val="-34"/>
        </w:rPr>
        <w:t> </w:t>
      </w:r>
      <w:r>
        <w:rPr>
          <w:color w:val="231F20"/>
        </w:rPr>
        <w:t>como exacta, pues no existe un criterio definido para determinar qué país forma parte o no de qué región.</w:t>
      </w:r>
    </w:p>
    <w:p>
      <w:pPr>
        <w:pStyle w:val="BodyText"/>
        <w:spacing w:line="247" w:lineRule="auto"/>
        <w:ind w:left="117" w:right="114" w:firstLine="283"/>
        <w:jc w:val="both"/>
      </w:pPr>
      <w:r>
        <w:rPr>
          <w:color w:val="231F20"/>
        </w:rPr>
        <w:t>La</w:t>
      </w:r>
      <w:r>
        <w:rPr>
          <w:color w:val="231F20"/>
          <w:spacing w:val="-9"/>
        </w:rPr>
        <w:t> </w:t>
      </w:r>
      <w:r>
        <w:rPr>
          <w:color w:val="231F20"/>
        </w:rPr>
        <w:t>visión</w:t>
      </w:r>
      <w:r>
        <w:rPr>
          <w:color w:val="231F20"/>
          <w:spacing w:val="-8"/>
        </w:rPr>
        <w:t> </w:t>
      </w:r>
      <w:r>
        <w:rPr>
          <w:color w:val="231F20"/>
        </w:rPr>
        <w:t>de</w:t>
      </w:r>
      <w:r>
        <w:rPr>
          <w:color w:val="231F20"/>
          <w:spacing w:val="-8"/>
        </w:rPr>
        <w:t> </w:t>
      </w:r>
      <w:r>
        <w:rPr>
          <w:color w:val="231F20"/>
        </w:rPr>
        <w:t>Centroamérica</w:t>
      </w:r>
      <w:r>
        <w:rPr>
          <w:color w:val="231F20"/>
          <w:spacing w:val="-9"/>
        </w:rPr>
        <w:t> </w:t>
      </w:r>
      <w:r>
        <w:rPr>
          <w:color w:val="231F20"/>
        </w:rPr>
        <w:t>como</w:t>
      </w:r>
      <w:r>
        <w:rPr>
          <w:color w:val="231F20"/>
          <w:spacing w:val="-9"/>
        </w:rPr>
        <w:t> </w:t>
      </w:r>
      <w:r>
        <w:rPr>
          <w:color w:val="231F20"/>
        </w:rPr>
        <w:t>una</w:t>
      </w:r>
      <w:r>
        <w:rPr>
          <w:color w:val="231F20"/>
          <w:spacing w:val="-8"/>
        </w:rPr>
        <w:t> </w:t>
      </w:r>
      <w:r>
        <w:rPr>
          <w:color w:val="231F20"/>
        </w:rPr>
        <w:t>región</w:t>
      </w:r>
      <w:r>
        <w:rPr>
          <w:color w:val="231F20"/>
          <w:spacing w:val="-8"/>
        </w:rPr>
        <w:t> </w:t>
      </w:r>
      <w:r>
        <w:rPr>
          <w:color w:val="231F20"/>
        </w:rPr>
        <w:t>históricamente</w:t>
      </w:r>
      <w:r>
        <w:rPr>
          <w:color w:val="231F20"/>
          <w:spacing w:val="-8"/>
        </w:rPr>
        <w:t> </w:t>
      </w:r>
      <w:r>
        <w:rPr>
          <w:color w:val="231F20"/>
        </w:rPr>
        <w:t>conforma- da subsiste hasta nuestros días. Hacia 1970, la denominación adquirió un nuevo</w:t>
      </w:r>
      <w:r>
        <w:rPr>
          <w:color w:val="231F20"/>
          <w:spacing w:val="-4"/>
        </w:rPr>
        <w:t> </w:t>
      </w:r>
      <w:r>
        <w:rPr>
          <w:color w:val="231F20"/>
        </w:rPr>
        <w:t>significado</w:t>
      </w:r>
      <w:r>
        <w:rPr>
          <w:color w:val="231F20"/>
          <w:spacing w:val="-4"/>
        </w:rPr>
        <w:t> </w:t>
      </w:r>
      <w:r>
        <w:rPr>
          <w:color w:val="231F20"/>
        </w:rPr>
        <w:t>a</w:t>
      </w:r>
      <w:r>
        <w:rPr>
          <w:color w:val="231F20"/>
          <w:spacing w:val="-4"/>
        </w:rPr>
        <w:t> </w:t>
      </w:r>
      <w:r>
        <w:rPr>
          <w:color w:val="231F20"/>
        </w:rPr>
        <w:t>partir</w:t>
      </w:r>
      <w:r>
        <w:rPr>
          <w:color w:val="231F20"/>
          <w:spacing w:val="-4"/>
        </w:rPr>
        <w:t> </w:t>
      </w:r>
      <w:r>
        <w:rPr>
          <w:color w:val="231F20"/>
        </w:rPr>
        <w:t>del</w:t>
      </w:r>
      <w:r>
        <w:rPr>
          <w:color w:val="231F20"/>
          <w:spacing w:val="-4"/>
        </w:rPr>
        <w:t> </w:t>
      </w:r>
      <w:r>
        <w:rPr>
          <w:color w:val="231F20"/>
        </w:rPr>
        <w:t>análisis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inserción</w:t>
      </w:r>
      <w:r>
        <w:rPr>
          <w:color w:val="231F20"/>
          <w:spacing w:val="-4"/>
        </w:rPr>
        <w:t> </w:t>
      </w:r>
      <w:r>
        <w:rPr>
          <w:color w:val="231F20"/>
        </w:rPr>
        <w:t>del</w:t>
      </w:r>
      <w:r>
        <w:rPr>
          <w:color w:val="231F20"/>
          <w:spacing w:val="-4"/>
        </w:rPr>
        <w:t> </w:t>
      </w:r>
      <w:r>
        <w:rPr>
          <w:color w:val="231F20"/>
        </w:rPr>
        <w:t>área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sistema capitalista mundial. El llamado enfoque de estructuración regional capita- lista se asienta sobre el principio de la división territorial del trabajo y el desarrollo de las fuerzas productivas para establecer elementos comunes entre los distintos países del</w:t>
      </w:r>
      <w:r>
        <w:rPr>
          <w:color w:val="231F20"/>
          <w:spacing w:val="-2"/>
        </w:rPr>
        <w:t> </w:t>
      </w:r>
      <w:r>
        <w:rPr>
          <w:color w:val="231F20"/>
        </w:rPr>
        <w:t>área.</w:t>
      </w:r>
    </w:p>
    <w:p>
      <w:pPr>
        <w:pStyle w:val="BodyText"/>
        <w:spacing w:line="247" w:lineRule="auto"/>
        <w:ind w:left="117" w:right="115" w:firstLine="283"/>
        <w:jc w:val="both"/>
      </w:pPr>
      <w:r>
        <w:rPr>
          <w:color w:val="231F20"/>
        </w:rPr>
        <w:t>En resumen, Centroamérica fue un concepto inventado en el siglo XIX para denominar la estructura estatal creada en 1824. Sin embargo, el    ca-</w:t>
      </w:r>
    </w:p>
    <w:p>
      <w:pPr>
        <w:spacing w:after="0" w:line="247" w:lineRule="auto"/>
        <w:jc w:val="both"/>
        <w:sectPr>
          <w:pgSz w:w="9360" w:h="13040"/>
          <w:pgMar w:header="0" w:footer="496" w:top="800" w:bottom="680" w:left="1300" w:right="1300"/>
        </w:sectPr>
      </w:pPr>
    </w:p>
    <w:p>
      <w:pPr>
        <w:spacing w:before="45"/>
        <w:ind w:left="117" w:right="0" w:firstLine="395"/>
        <w:jc w:val="left"/>
        <w:rPr>
          <w:rFonts w:ascii="Arial" w:hAnsi="Arial"/>
          <w:sz w:val="20"/>
        </w:rPr>
      </w:pPr>
      <w:r>
        <w:rPr>
          <w:rFonts w:ascii="Arial" w:hAnsi="Arial"/>
          <w:color w:val="231F20"/>
          <w:w w:val="70"/>
          <w:sz w:val="20"/>
        </w:rPr>
        <w:t>El migrante centroamericano de paso por México y los derechos humanos /Luis Raúl Ortiz-Ramírez</w:t>
      </w:r>
    </w:p>
    <w:p>
      <w:pPr>
        <w:pStyle w:val="BodyText"/>
        <w:spacing w:before="7"/>
        <w:rPr>
          <w:rFonts w:ascii="Arial"/>
          <w:sz w:val="28"/>
        </w:rPr>
      </w:pPr>
    </w:p>
    <w:p>
      <w:pPr>
        <w:pStyle w:val="BodyText"/>
        <w:spacing w:line="247" w:lineRule="auto"/>
        <w:ind w:left="117" w:right="115"/>
        <w:jc w:val="both"/>
      </w:pPr>
      <w:r>
        <w:rPr>
          <w:color w:val="231F20"/>
        </w:rPr>
        <w:t>rácter geográfico del término y su fundamento en la experiencia histórico- administrativa</w:t>
      </w:r>
      <w:r>
        <w:rPr>
          <w:color w:val="231F20"/>
          <w:spacing w:val="-9"/>
        </w:rPr>
        <w:t> </w:t>
      </w:r>
      <w:r>
        <w:rPr>
          <w:color w:val="231F20"/>
        </w:rPr>
        <w:t>colonial,</w:t>
      </w:r>
      <w:r>
        <w:rPr>
          <w:color w:val="231F20"/>
          <w:spacing w:val="-8"/>
        </w:rPr>
        <w:t> </w:t>
      </w:r>
      <w:r>
        <w:rPr>
          <w:color w:val="231F20"/>
        </w:rPr>
        <w:t>propiciaron</w:t>
      </w:r>
      <w:r>
        <w:rPr>
          <w:color w:val="231F20"/>
          <w:spacing w:val="-8"/>
        </w:rPr>
        <w:t> </w:t>
      </w:r>
      <w:r>
        <w:rPr>
          <w:color w:val="231F20"/>
        </w:rPr>
        <w:t>el</w:t>
      </w:r>
      <w:r>
        <w:rPr>
          <w:color w:val="231F20"/>
          <w:spacing w:val="-8"/>
        </w:rPr>
        <w:t> </w:t>
      </w:r>
      <w:r>
        <w:rPr>
          <w:color w:val="231F20"/>
        </w:rPr>
        <w:t>uso</w:t>
      </w:r>
      <w:r>
        <w:rPr>
          <w:color w:val="231F20"/>
          <w:spacing w:val="-8"/>
        </w:rPr>
        <w:t> </w:t>
      </w:r>
      <w:r>
        <w:rPr>
          <w:color w:val="231F20"/>
        </w:rPr>
        <w:t>del</w:t>
      </w:r>
      <w:r>
        <w:rPr>
          <w:color w:val="231F20"/>
          <w:spacing w:val="-8"/>
        </w:rPr>
        <w:t> </w:t>
      </w:r>
      <w:r>
        <w:rPr>
          <w:color w:val="231F20"/>
        </w:rPr>
        <w:t>concepto</w:t>
      </w:r>
      <w:r>
        <w:rPr>
          <w:color w:val="231F20"/>
          <w:spacing w:val="-8"/>
        </w:rPr>
        <w:t> </w:t>
      </w:r>
      <w:r>
        <w:rPr>
          <w:color w:val="231F20"/>
        </w:rPr>
        <w:t>como</w:t>
      </w:r>
      <w:r>
        <w:rPr>
          <w:color w:val="231F20"/>
          <w:spacing w:val="-8"/>
        </w:rPr>
        <w:t> </w:t>
      </w:r>
      <w:r>
        <w:rPr>
          <w:color w:val="231F20"/>
        </w:rPr>
        <w:t>nombre</w:t>
      </w:r>
      <w:r>
        <w:rPr>
          <w:color w:val="231F20"/>
          <w:spacing w:val="-8"/>
        </w:rPr>
        <w:t> </w:t>
      </w:r>
      <w:r>
        <w:rPr>
          <w:color w:val="231F20"/>
        </w:rPr>
        <w:t>ads- crito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región</w:t>
      </w:r>
      <w:r>
        <w:rPr>
          <w:color w:val="231F20"/>
          <w:spacing w:val="-7"/>
        </w:rPr>
        <w:t> </w:t>
      </w:r>
      <w:r>
        <w:rPr>
          <w:color w:val="231F20"/>
        </w:rPr>
        <w:t>geográfica.</w:t>
      </w:r>
      <w:r>
        <w:rPr>
          <w:color w:val="231F20"/>
          <w:spacing w:val="-18"/>
        </w:rPr>
        <w:t> </w:t>
      </w:r>
      <w:r>
        <w:rPr>
          <w:color w:val="231F20"/>
        </w:rPr>
        <w:t>Además,</w:t>
      </w:r>
      <w:r>
        <w:rPr>
          <w:color w:val="231F20"/>
          <w:spacing w:val="-7"/>
        </w:rPr>
        <w:t> </w:t>
      </w:r>
      <w:r>
        <w:rPr>
          <w:color w:val="231F20"/>
        </w:rPr>
        <w:t>el</w:t>
      </w:r>
      <w:r>
        <w:rPr>
          <w:color w:val="231F20"/>
          <w:spacing w:val="-7"/>
        </w:rPr>
        <w:t> </w:t>
      </w:r>
      <w:r>
        <w:rPr>
          <w:color w:val="231F20"/>
        </w:rPr>
        <w:t>desarrollo</w:t>
      </w:r>
      <w:r>
        <w:rPr>
          <w:color w:val="231F20"/>
          <w:spacing w:val="-7"/>
        </w:rPr>
        <w:t> </w:t>
      </w:r>
      <w:r>
        <w:rPr>
          <w:color w:val="231F20"/>
        </w:rPr>
        <w:t>de</w:t>
      </w:r>
      <w:r>
        <w:rPr>
          <w:color w:val="231F20"/>
          <w:spacing w:val="-7"/>
        </w:rPr>
        <w:t> </w:t>
      </w:r>
      <w:r>
        <w:rPr>
          <w:color w:val="231F20"/>
        </w:rPr>
        <w:t>imágenes</w:t>
      </w:r>
      <w:r>
        <w:rPr>
          <w:color w:val="231F20"/>
          <w:spacing w:val="-7"/>
        </w:rPr>
        <w:t> </w:t>
      </w:r>
      <w:r>
        <w:rPr>
          <w:color w:val="231F20"/>
        </w:rPr>
        <w:t>y</w:t>
      </w:r>
      <w:r>
        <w:rPr>
          <w:color w:val="231F20"/>
          <w:spacing w:val="-7"/>
        </w:rPr>
        <w:t> </w:t>
      </w:r>
      <w:r>
        <w:rPr>
          <w:color w:val="231F20"/>
        </w:rPr>
        <w:t>discursos ligados a los ideales de unidad y solidaridad regional proporcionarían al nombre Centroamérica una dimensión simbólica que sería fundamental</w:t>
      </w:r>
      <w:r>
        <w:rPr>
          <w:color w:val="231F20"/>
          <w:spacing w:val="-34"/>
        </w:rPr>
        <w:t> </w:t>
      </w:r>
      <w:r>
        <w:rPr>
          <w:color w:val="231F20"/>
        </w:rPr>
        <w:t>en la conformación de la identidad regional (Silva,</w:t>
      </w:r>
      <w:r>
        <w:rPr>
          <w:color w:val="231F20"/>
          <w:spacing w:val="-10"/>
        </w:rPr>
        <w:t> </w:t>
      </w:r>
      <w:r>
        <w:rPr>
          <w:color w:val="231F20"/>
        </w:rPr>
        <w:t>2006:11).</w:t>
      </w:r>
    </w:p>
    <w:p>
      <w:pPr>
        <w:pStyle w:val="BodyText"/>
        <w:spacing w:line="247" w:lineRule="auto"/>
        <w:ind w:left="117" w:right="115" w:firstLine="283"/>
        <w:jc w:val="both"/>
      </w:pPr>
      <w:r>
        <w:rPr>
          <w:color w:val="231F20"/>
        </w:rPr>
        <w:t>A partir de las nociones anteriores, se puede entender que hay tres di- mensiones de análisis respecto de las cuales se pueden hacer</w:t>
      </w:r>
      <w:r>
        <w:rPr>
          <w:color w:val="231F20"/>
          <w:spacing w:val="-36"/>
        </w:rPr>
        <w:t> </w:t>
      </w:r>
      <w:r>
        <w:rPr>
          <w:color w:val="231F20"/>
        </w:rPr>
        <w:t>aproximacio- nes teórico conceptuales respecto de Centroamérica, a saber (Granados, 1996: 9).</w:t>
      </w:r>
    </w:p>
    <w:p>
      <w:pPr>
        <w:pStyle w:val="BodyText"/>
        <w:spacing w:line="247" w:lineRule="auto"/>
        <w:ind w:left="117" w:right="114" w:firstLine="283"/>
        <w:jc w:val="both"/>
      </w:pPr>
      <w:r>
        <w:rPr>
          <w:color w:val="231F20"/>
        </w:rPr>
        <w:t>Desde una perspectiva sociopolítica, independientemente de que se asuma Centroamérica como cinco, seis o siete países, es claro que el área está conformada por repúblicas que divergen mucho entre sí. En lo polí- tico coexisten gobiernos de larga trayectoria autoritaria (Guatemala y El Salvador) de larga trayectoria democrático-burguesa (Costa Rica) y de corte revolucionario-socialista (Nicaragua). En lo económico se observan países de economías primordialmente cafetaleras (Guatemala, Costa Rica, El Salvador), bananeras (Honduras) o de economías terciarias (Panamá). Culturalmente hablando, el mosaico se extiende desde naciones donde la herencia indígena fue destruida casi por completo por el coloniaje español (El Salvador, Honduras) hasta países donde el legado nativo es todavía muy fuerte (Guatemala). El inglés es el lenguaje del poder en Belice y el español</w:t>
      </w:r>
      <w:r>
        <w:rPr>
          <w:color w:val="231F20"/>
          <w:spacing w:val="-8"/>
        </w:rPr>
        <w:t> </w:t>
      </w:r>
      <w:r>
        <w:rPr>
          <w:color w:val="231F20"/>
        </w:rPr>
        <w:t>en</w:t>
      </w:r>
      <w:r>
        <w:rPr>
          <w:color w:val="231F20"/>
          <w:spacing w:val="-7"/>
        </w:rPr>
        <w:t> </w:t>
      </w:r>
      <w:r>
        <w:rPr>
          <w:color w:val="231F20"/>
        </w:rPr>
        <w:t>los</w:t>
      </w:r>
      <w:r>
        <w:rPr>
          <w:color w:val="231F20"/>
          <w:spacing w:val="-7"/>
        </w:rPr>
        <w:t> </w:t>
      </w:r>
      <w:r>
        <w:rPr>
          <w:color w:val="231F20"/>
        </w:rPr>
        <w:t>restantes</w:t>
      </w:r>
      <w:r>
        <w:rPr>
          <w:color w:val="231F20"/>
          <w:spacing w:val="-7"/>
        </w:rPr>
        <w:t> </w:t>
      </w:r>
      <w:r>
        <w:rPr>
          <w:color w:val="231F20"/>
        </w:rPr>
        <w:t>países.</w:t>
      </w:r>
      <w:r>
        <w:rPr>
          <w:color w:val="231F20"/>
          <w:spacing w:val="-7"/>
        </w:rPr>
        <w:t> </w:t>
      </w:r>
      <w:r>
        <w:rPr>
          <w:color w:val="231F20"/>
        </w:rPr>
        <w:t>Pero</w:t>
      </w:r>
      <w:r>
        <w:rPr>
          <w:color w:val="231F20"/>
          <w:spacing w:val="-7"/>
        </w:rPr>
        <w:t> </w:t>
      </w:r>
      <w:r>
        <w:rPr>
          <w:color w:val="231F20"/>
        </w:rPr>
        <w:t>las</w:t>
      </w:r>
      <w:r>
        <w:rPr>
          <w:color w:val="231F20"/>
          <w:spacing w:val="-7"/>
        </w:rPr>
        <w:t> </w:t>
      </w:r>
      <w:r>
        <w:rPr>
          <w:color w:val="231F20"/>
        </w:rPr>
        <w:t>lenguas</w:t>
      </w:r>
      <w:r>
        <w:rPr>
          <w:color w:val="231F20"/>
          <w:spacing w:val="-8"/>
        </w:rPr>
        <w:t> </w:t>
      </w:r>
      <w:r>
        <w:rPr>
          <w:color w:val="231F20"/>
        </w:rPr>
        <w:t>indígenas</w:t>
      </w:r>
      <w:r>
        <w:rPr>
          <w:color w:val="231F20"/>
          <w:spacing w:val="-8"/>
        </w:rPr>
        <w:t> </w:t>
      </w:r>
      <w:r>
        <w:rPr>
          <w:color w:val="231F20"/>
        </w:rPr>
        <w:t>tienen</w:t>
      </w:r>
      <w:r>
        <w:rPr>
          <w:color w:val="231F20"/>
          <w:spacing w:val="-7"/>
        </w:rPr>
        <w:t> </w:t>
      </w:r>
      <w:r>
        <w:rPr>
          <w:color w:val="231F20"/>
        </w:rPr>
        <w:t>una</w:t>
      </w:r>
      <w:r>
        <w:rPr>
          <w:color w:val="231F20"/>
          <w:spacing w:val="-7"/>
        </w:rPr>
        <w:t> </w:t>
      </w:r>
      <w:r>
        <w:rPr>
          <w:color w:val="231F20"/>
        </w:rPr>
        <w:t>enor- me relevancia en Guatemala y Panamá, mientras que en Belice sectores considerables de la población hablan español y hasta</w:t>
      </w:r>
      <w:r>
        <w:rPr>
          <w:color w:val="231F20"/>
          <w:spacing w:val="-2"/>
        </w:rPr>
        <w:t> </w:t>
      </w:r>
      <w:r>
        <w:rPr>
          <w:color w:val="231F20"/>
        </w:rPr>
        <w:t>alemán.</w:t>
      </w:r>
    </w:p>
    <w:p>
      <w:pPr>
        <w:pStyle w:val="BodyText"/>
        <w:spacing w:line="247" w:lineRule="auto"/>
        <w:ind w:left="117" w:right="115" w:firstLine="283"/>
        <w:jc w:val="both"/>
      </w:pPr>
      <w:r>
        <w:rPr>
          <w:color w:val="231F20"/>
        </w:rPr>
        <w:t>Nótese cómo Centroamérica es simultáneamente considerada como re- gión en sí misma y como región en conjunto con otros territorios del</w:t>
      </w:r>
      <w:r>
        <w:rPr>
          <w:color w:val="231F20"/>
          <w:spacing w:val="-19"/>
        </w:rPr>
        <w:t> </w:t>
      </w:r>
      <w:r>
        <w:rPr>
          <w:color w:val="231F20"/>
        </w:rPr>
        <w:t>Cari- be. Añádase, además, que la afirmación de Centroamérica como región</w:t>
      </w:r>
      <w:r>
        <w:rPr>
          <w:color w:val="231F20"/>
          <w:spacing w:val="-13"/>
        </w:rPr>
        <w:t> </w:t>
      </w:r>
      <w:r>
        <w:rPr>
          <w:color w:val="231F20"/>
        </w:rPr>
        <w:t>en sí se decreta sin mayor explicación y se tendrá el cuadro de otra regionali- zación insuficientemente justificada (Granados, 1996:</w:t>
      </w:r>
      <w:r>
        <w:rPr>
          <w:color w:val="231F20"/>
          <w:spacing w:val="-24"/>
        </w:rPr>
        <w:t> </w:t>
      </w:r>
      <w:r>
        <w:rPr>
          <w:color w:val="231F20"/>
        </w:rPr>
        <w:t>10).</w:t>
      </w:r>
    </w:p>
    <w:p>
      <w:pPr>
        <w:pStyle w:val="BodyText"/>
        <w:spacing w:line="247" w:lineRule="auto"/>
        <w:ind w:left="117" w:right="114" w:firstLine="283"/>
        <w:jc w:val="both"/>
      </w:pPr>
      <w:r>
        <w:rPr>
          <w:color w:val="231F20"/>
        </w:rPr>
        <w:t>Desde</w:t>
      </w:r>
      <w:r>
        <w:rPr>
          <w:color w:val="231F20"/>
          <w:spacing w:val="-12"/>
        </w:rPr>
        <w:t> </w:t>
      </w:r>
      <w:r>
        <w:rPr>
          <w:color w:val="231F20"/>
        </w:rPr>
        <w:t>el</w:t>
      </w:r>
      <w:r>
        <w:rPr>
          <w:color w:val="231F20"/>
          <w:spacing w:val="-12"/>
        </w:rPr>
        <w:t> </w:t>
      </w:r>
      <w:r>
        <w:rPr>
          <w:color w:val="231F20"/>
        </w:rPr>
        <w:t>ángulo</w:t>
      </w:r>
      <w:r>
        <w:rPr>
          <w:color w:val="231F20"/>
          <w:spacing w:val="-12"/>
        </w:rPr>
        <w:t> </w:t>
      </w:r>
      <w:r>
        <w:rPr>
          <w:color w:val="231F20"/>
        </w:rPr>
        <w:t>económico,</w:t>
      </w:r>
      <w:r>
        <w:rPr>
          <w:color w:val="231F20"/>
          <w:spacing w:val="-13"/>
        </w:rPr>
        <w:t> </w:t>
      </w:r>
      <w:r>
        <w:rPr>
          <w:color w:val="231F20"/>
        </w:rPr>
        <w:t>salta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luz</w:t>
      </w:r>
      <w:r>
        <w:rPr>
          <w:color w:val="231F20"/>
          <w:spacing w:val="-12"/>
        </w:rPr>
        <w:t> </w:t>
      </w:r>
      <w:r>
        <w:rPr>
          <w:color w:val="231F20"/>
        </w:rPr>
        <w:t>que</w:t>
      </w:r>
      <w:r>
        <w:rPr>
          <w:color w:val="231F20"/>
          <w:spacing w:val="-12"/>
        </w:rPr>
        <w:t> </w:t>
      </w:r>
      <w:r>
        <w:rPr>
          <w:color w:val="231F20"/>
        </w:rPr>
        <w:t>al</w:t>
      </w:r>
      <w:r>
        <w:rPr>
          <w:color w:val="231F20"/>
          <w:spacing w:val="-12"/>
        </w:rPr>
        <w:t> </w:t>
      </w:r>
      <w:r>
        <w:rPr>
          <w:color w:val="231F20"/>
        </w:rPr>
        <w:t>área</w:t>
      </w:r>
      <w:r>
        <w:rPr>
          <w:color w:val="231F20"/>
          <w:spacing w:val="-12"/>
        </w:rPr>
        <w:t> </w:t>
      </w:r>
      <w:r>
        <w:rPr>
          <w:color w:val="231F20"/>
        </w:rPr>
        <w:t>le</w:t>
      </w:r>
      <w:r>
        <w:rPr>
          <w:color w:val="231F20"/>
          <w:spacing w:val="-12"/>
        </w:rPr>
        <w:t> </w:t>
      </w:r>
      <w:r>
        <w:rPr>
          <w:color w:val="231F20"/>
        </w:rPr>
        <w:t>ha</w:t>
      </w:r>
      <w:r>
        <w:rPr>
          <w:color w:val="231F20"/>
          <w:spacing w:val="-12"/>
        </w:rPr>
        <w:t> </w:t>
      </w:r>
      <w:r>
        <w:rPr>
          <w:color w:val="231F20"/>
        </w:rPr>
        <w:t>sido</w:t>
      </w:r>
      <w:r>
        <w:rPr>
          <w:color w:val="231F20"/>
          <w:spacing w:val="-12"/>
        </w:rPr>
        <w:t> </w:t>
      </w:r>
      <w:r>
        <w:rPr>
          <w:color w:val="231F20"/>
        </w:rPr>
        <w:t>asignado un papel en la producción capitalista. Como certeramente ha puntualizado </w:t>
      </w:r>
      <w:r>
        <w:rPr>
          <w:color w:val="231F20"/>
          <w:spacing w:val="-3"/>
        </w:rPr>
        <w:t>Torres </w:t>
      </w:r>
      <w:r>
        <w:rPr>
          <w:color w:val="231F20"/>
        </w:rPr>
        <w:t>Rivas, a partir del contacto con la economía mundial,</w:t>
      </w:r>
      <w:r>
        <w:rPr>
          <w:color w:val="231F20"/>
          <w:spacing w:val="-16"/>
        </w:rPr>
        <w:t> </w:t>
      </w:r>
      <w:r>
        <w:rPr>
          <w:color w:val="231F20"/>
        </w:rPr>
        <w:t>Centroaméri- ca</w:t>
      </w:r>
      <w:r>
        <w:rPr>
          <w:color w:val="231F20"/>
          <w:spacing w:val="-8"/>
        </w:rPr>
        <w:t> </w:t>
      </w:r>
      <w:r>
        <w:rPr>
          <w:color w:val="231F20"/>
        </w:rPr>
        <w:t>hubo</w:t>
      </w:r>
      <w:r>
        <w:rPr>
          <w:color w:val="231F20"/>
          <w:spacing w:val="-8"/>
        </w:rPr>
        <w:t> </w:t>
      </w:r>
      <w:r>
        <w:rPr>
          <w:color w:val="231F20"/>
        </w:rPr>
        <w:t>de</w:t>
      </w:r>
      <w:r>
        <w:rPr>
          <w:color w:val="231F20"/>
          <w:spacing w:val="-7"/>
        </w:rPr>
        <w:t> </w:t>
      </w:r>
      <w:r>
        <w:rPr>
          <w:color w:val="231F20"/>
        </w:rPr>
        <w:t>especializarse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producción</w:t>
      </w:r>
      <w:r>
        <w:rPr>
          <w:color w:val="231F20"/>
          <w:spacing w:val="-8"/>
        </w:rPr>
        <w:t> </w:t>
      </w:r>
      <w:r>
        <w:rPr>
          <w:color w:val="231F20"/>
        </w:rPr>
        <w:t>de</w:t>
      </w:r>
      <w:r>
        <w:rPr>
          <w:color w:val="231F20"/>
          <w:spacing w:val="-7"/>
        </w:rPr>
        <w:t> </w:t>
      </w:r>
      <w:r>
        <w:rPr>
          <w:color w:val="231F20"/>
        </w:rPr>
        <w:t>alimentos</w:t>
      </w:r>
      <w:r>
        <w:rPr>
          <w:color w:val="231F20"/>
          <w:spacing w:val="-8"/>
        </w:rPr>
        <w:t> </w:t>
      </w:r>
      <w:r>
        <w:rPr>
          <w:color w:val="231F20"/>
        </w:rPr>
        <w:t>y</w:t>
      </w:r>
      <w:r>
        <w:rPr>
          <w:color w:val="231F20"/>
          <w:spacing w:val="-8"/>
        </w:rPr>
        <w:t> </w:t>
      </w:r>
      <w:r>
        <w:rPr>
          <w:color w:val="231F20"/>
        </w:rPr>
        <w:t>materias</w:t>
      </w:r>
      <w:r>
        <w:rPr>
          <w:color w:val="231F20"/>
          <w:spacing w:val="-8"/>
        </w:rPr>
        <w:t> </w:t>
      </w:r>
      <w:r>
        <w:rPr>
          <w:color w:val="231F20"/>
        </w:rPr>
        <w:t>primas, sobre todo agrícolas, para el mercado externo, a la vez que se convertía</w:t>
      </w:r>
      <w:r>
        <w:rPr>
          <w:color w:val="231F20"/>
          <w:spacing w:val="-23"/>
        </w:rPr>
        <w:t> </w:t>
      </w:r>
      <w:r>
        <w:rPr>
          <w:color w:val="231F20"/>
        </w:rPr>
        <w:t>en consumidora de bienes manufacturados en Europa y Estados</w:t>
      </w:r>
      <w:r>
        <w:rPr>
          <w:color w:val="231F20"/>
          <w:spacing w:val="-12"/>
        </w:rPr>
        <w:t> </w:t>
      </w:r>
      <w:r>
        <w:rPr>
          <w:color w:val="231F20"/>
        </w:rPr>
        <w:t>Unidos.</w:t>
      </w:r>
    </w:p>
    <w:p>
      <w:pPr>
        <w:pStyle w:val="BodyText"/>
        <w:spacing w:line="247" w:lineRule="auto"/>
        <w:ind w:left="117" w:right="115" w:firstLine="283"/>
        <w:jc w:val="both"/>
      </w:pPr>
      <w:r>
        <w:rPr>
          <w:color w:val="231F20"/>
        </w:rPr>
        <w:t>Como región funcional, se enfatizan los vínculos establecidos entre los diferentes grupos sociales y territorios componentes de la región y no su grado de homogeneidad. Es decir, lo que importa es el grado de    integra-</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jc w:val="both"/>
      </w:pPr>
      <w:r>
        <w:rPr>
          <w:color w:val="231F20"/>
        </w:rPr>
        <w:t>ción funcional de las partes al todo, aunque se trate de partes diversas. En esta óptica, la región normalmente es polarizada: una jerarquía de polos o centros</w:t>
      </w:r>
      <w:r>
        <w:rPr>
          <w:color w:val="231F20"/>
          <w:spacing w:val="-4"/>
        </w:rPr>
        <w:t> </w:t>
      </w:r>
      <w:r>
        <w:rPr>
          <w:color w:val="231F20"/>
        </w:rPr>
        <w:t>económicos</w:t>
      </w:r>
      <w:r>
        <w:rPr>
          <w:color w:val="231F20"/>
          <w:spacing w:val="-4"/>
        </w:rPr>
        <w:t> </w:t>
      </w:r>
      <w:r>
        <w:rPr>
          <w:color w:val="231F20"/>
        </w:rPr>
        <w:t>son</w:t>
      </w:r>
      <w:r>
        <w:rPr>
          <w:color w:val="231F20"/>
          <w:spacing w:val="-4"/>
        </w:rPr>
        <w:t> </w:t>
      </w:r>
      <w:r>
        <w:rPr>
          <w:color w:val="231F20"/>
        </w:rPr>
        <w:t>la</w:t>
      </w:r>
      <w:r>
        <w:rPr>
          <w:color w:val="231F20"/>
          <w:spacing w:val="-4"/>
        </w:rPr>
        <w:t> </w:t>
      </w:r>
      <w:r>
        <w:rPr>
          <w:color w:val="231F20"/>
        </w:rPr>
        <w:t>base</w:t>
      </w:r>
      <w:r>
        <w:rPr>
          <w:color w:val="231F20"/>
          <w:spacing w:val="-4"/>
        </w:rPr>
        <w:t> </w:t>
      </w:r>
      <w:r>
        <w:rPr>
          <w:color w:val="231F20"/>
        </w:rPr>
        <w:t>del</w:t>
      </w:r>
      <w:r>
        <w:rPr>
          <w:color w:val="231F20"/>
          <w:spacing w:val="-4"/>
        </w:rPr>
        <w:t> </w:t>
      </w:r>
      <w:r>
        <w:rPr>
          <w:color w:val="231F20"/>
        </w:rPr>
        <w:t>engranaje</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región</w:t>
      </w:r>
      <w:r>
        <w:rPr>
          <w:color w:val="231F20"/>
          <w:spacing w:val="-4"/>
        </w:rPr>
        <w:t> </w:t>
      </w:r>
      <w:r>
        <w:rPr>
          <w:color w:val="231F20"/>
        </w:rPr>
        <w:t>como</w:t>
      </w:r>
      <w:r>
        <w:rPr>
          <w:color w:val="231F20"/>
          <w:spacing w:val="-4"/>
        </w:rPr>
        <w:t> </w:t>
      </w:r>
      <w:r>
        <w:rPr>
          <w:color w:val="231F20"/>
        </w:rPr>
        <w:t>unidad</w:t>
      </w:r>
      <w:r>
        <w:rPr>
          <w:color w:val="231F20"/>
          <w:spacing w:val="-4"/>
        </w:rPr>
        <w:t> </w:t>
      </w:r>
      <w:r>
        <w:rPr>
          <w:color w:val="231F20"/>
        </w:rPr>
        <w:t>de funcionamiento.</w:t>
      </w:r>
    </w:p>
    <w:p>
      <w:pPr>
        <w:pStyle w:val="BodyText"/>
        <w:spacing w:line="247" w:lineRule="auto"/>
        <w:ind w:left="117" w:right="115" w:firstLine="283"/>
        <w:jc w:val="both"/>
      </w:pPr>
      <w:r>
        <w:rPr>
          <w:color w:val="231F20"/>
        </w:rPr>
        <w:t>Para</w:t>
      </w:r>
      <w:r>
        <w:rPr>
          <w:color w:val="231F20"/>
          <w:spacing w:val="-13"/>
        </w:rPr>
        <w:t> </w:t>
      </w:r>
      <w:r>
        <w:rPr>
          <w:color w:val="231F20"/>
        </w:rPr>
        <w:t>efectos</w:t>
      </w:r>
      <w:r>
        <w:rPr>
          <w:color w:val="231F20"/>
          <w:spacing w:val="-13"/>
        </w:rPr>
        <w:t> </w:t>
      </w:r>
      <w:r>
        <w:rPr>
          <w:color w:val="231F20"/>
        </w:rPr>
        <w:t>del</w:t>
      </w:r>
      <w:r>
        <w:rPr>
          <w:color w:val="231F20"/>
          <w:spacing w:val="-13"/>
        </w:rPr>
        <w:t> </w:t>
      </w:r>
      <w:r>
        <w:rPr>
          <w:color w:val="231F20"/>
        </w:rPr>
        <w:t>trabajo</w:t>
      </w:r>
      <w:r>
        <w:rPr>
          <w:color w:val="231F20"/>
          <w:spacing w:val="-14"/>
        </w:rPr>
        <w:t> </w:t>
      </w:r>
      <w:r>
        <w:rPr>
          <w:color w:val="231F20"/>
        </w:rPr>
        <w:t>que</w:t>
      </w:r>
      <w:r>
        <w:rPr>
          <w:color w:val="231F20"/>
          <w:spacing w:val="-13"/>
        </w:rPr>
        <w:t> </w:t>
      </w:r>
      <w:r>
        <w:rPr>
          <w:color w:val="231F20"/>
        </w:rPr>
        <w:t>se</w:t>
      </w:r>
      <w:r>
        <w:rPr>
          <w:color w:val="231F20"/>
          <w:spacing w:val="-13"/>
        </w:rPr>
        <w:t> </w:t>
      </w:r>
      <w:r>
        <w:rPr>
          <w:color w:val="231F20"/>
        </w:rPr>
        <w:t>presenta,</w:t>
      </w:r>
      <w:r>
        <w:rPr>
          <w:color w:val="231F20"/>
          <w:spacing w:val="-13"/>
        </w:rPr>
        <w:t> </w:t>
      </w:r>
      <w:r>
        <w:rPr>
          <w:color w:val="231F20"/>
        </w:rPr>
        <w:t>se</w:t>
      </w:r>
      <w:r>
        <w:rPr>
          <w:color w:val="231F20"/>
          <w:spacing w:val="-13"/>
        </w:rPr>
        <w:t> </w:t>
      </w:r>
      <w:r>
        <w:rPr>
          <w:color w:val="231F20"/>
        </w:rPr>
        <w:t>entenderá</w:t>
      </w:r>
      <w:r>
        <w:rPr>
          <w:color w:val="231F20"/>
          <w:spacing w:val="-14"/>
        </w:rPr>
        <w:t> </w:t>
      </w:r>
      <w:r>
        <w:rPr>
          <w:color w:val="231F20"/>
        </w:rPr>
        <w:t>entonces</w:t>
      </w:r>
      <w:r>
        <w:rPr>
          <w:color w:val="231F20"/>
          <w:spacing w:val="-14"/>
        </w:rPr>
        <w:t> </w:t>
      </w:r>
      <w:r>
        <w:rPr>
          <w:color w:val="231F20"/>
        </w:rPr>
        <w:t>a</w:t>
      </w:r>
      <w:r>
        <w:rPr>
          <w:color w:val="231F20"/>
          <w:spacing w:val="-13"/>
        </w:rPr>
        <w:t> </w:t>
      </w:r>
      <w:r>
        <w:rPr>
          <w:color w:val="231F20"/>
        </w:rPr>
        <w:t>Centro- américa como el espacio geográfico y político constituido, en términos de tradición, por los países de Guatemala, Honduras, Nicaragua, El Salvador y Costa Rica. Resulta importante tomar en cuenta, que de acuerdo con el INM, la mayoría de los extranjeros indocumentados asegurados en el país dentro de las estaciones migratorias, en el año de 2010 fueron guatemalte- cos (24 154 migrantes), seguidos por los hondureños (23 788 migrantes), estando en tercer lugar los salvadoreños (10 573 migrantes) representado en conjunto más de 90 por ciento de los migrantes centroamericanos dete- nidos en el país (INM, 2011:</w:t>
      </w:r>
      <w:r>
        <w:rPr>
          <w:color w:val="231F20"/>
          <w:spacing w:val="-9"/>
        </w:rPr>
        <w:t> </w:t>
      </w:r>
      <w:r>
        <w:rPr>
          <w:color w:val="231F20"/>
        </w:rPr>
        <w:t>17).</w:t>
      </w:r>
    </w:p>
    <w:p>
      <w:pPr>
        <w:pStyle w:val="BodyText"/>
        <w:spacing w:line="247" w:lineRule="auto"/>
        <w:ind w:left="117" w:right="114" w:firstLine="283"/>
        <w:jc w:val="both"/>
      </w:pPr>
      <w:r>
        <w:rPr>
          <w:color w:val="231F20"/>
        </w:rPr>
        <w:t>De esta suerte es que cuando nos referimos a la población migrante centroamericana</w:t>
      </w:r>
      <w:r>
        <w:rPr>
          <w:color w:val="231F20"/>
          <w:spacing w:val="-10"/>
        </w:rPr>
        <w:t> </w:t>
      </w:r>
      <w:r>
        <w:rPr>
          <w:color w:val="231F20"/>
        </w:rPr>
        <w:t>se</w:t>
      </w:r>
      <w:r>
        <w:rPr>
          <w:color w:val="231F20"/>
          <w:spacing w:val="-9"/>
        </w:rPr>
        <w:t> </w:t>
      </w:r>
      <w:r>
        <w:rPr>
          <w:color w:val="231F20"/>
        </w:rPr>
        <w:t>hace</w:t>
      </w:r>
      <w:r>
        <w:rPr>
          <w:color w:val="231F20"/>
          <w:spacing w:val="-9"/>
        </w:rPr>
        <w:t> </w:t>
      </w:r>
      <w:r>
        <w:rPr>
          <w:color w:val="231F20"/>
        </w:rPr>
        <w:t>mención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sujetos</w:t>
      </w:r>
      <w:r>
        <w:rPr>
          <w:color w:val="231F20"/>
          <w:spacing w:val="-9"/>
        </w:rPr>
        <w:t> </w:t>
      </w:r>
      <w:r>
        <w:rPr>
          <w:color w:val="231F20"/>
        </w:rPr>
        <w:t>que</w:t>
      </w:r>
      <w:r>
        <w:rPr>
          <w:color w:val="231F20"/>
          <w:spacing w:val="-9"/>
        </w:rPr>
        <w:t> </w:t>
      </w:r>
      <w:r>
        <w:rPr>
          <w:color w:val="231F20"/>
        </w:rPr>
        <w:t>pertenecen</w:t>
      </w:r>
      <w:r>
        <w:rPr>
          <w:color w:val="231F20"/>
          <w:spacing w:val="-9"/>
        </w:rPr>
        <w:t> </w:t>
      </w:r>
      <w:r>
        <w:rPr>
          <w:color w:val="231F20"/>
        </w:rPr>
        <w:t>a</w:t>
      </w:r>
      <w:r>
        <w:rPr>
          <w:color w:val="231F20"/>
          <w:spacing w:val="-9"/>
        </w:rPr>
        <w:t> </w:t>
      </w:r>
      <w:r>
        <w:rPr>
          <w:color w:val="231F20"/>
        </w:rPr>
        <w:t>esta</w:t>
      </w:r>
      <w:r>
        <w:rPr>
          <w:color w:val="231F20"/>
          <w:spacing w:val="-9"/>
        </w:rPr>
        <w:t> </w:t>
      </w:r>
      <w:r>
        <w:rPr>
          <w:color w:val="231F20"/>
        </w:rPr>
        <w:t>zona geopolítica conocida como Centroamérica, integrada por estos cinco</w:t>
      </w:r>
      <w:r>
        <w:rPr>
          <w:color w:val="231F20"/>
          <w:spacing w:val="-17"/>
        </w:rPr>
        <w:t> </w:t>
      </w:r>
      <w:r>
        <w:rPr>
          <w:color w:val="231F20"/>
        </w:rPr>
        <w:t>Esta- dos emergentes, de los cuales la gran mayoría de los migrantes son guate- maltecos, hondureños y</w:t>
      </w:r>
      <w:r>
        <w:rPr>
          <w:color w:val="231F20"/>
          <w:spacing w:val="-14"/>
        </w:rPr>
        <w:t> </w:t>
      </w:r>
      <w:r>
        <w:rPr>
          <w:color w:val="231F20"/>
        </w:rPr>
        <w:t>salvadoreños.</w:t>
      </w:r>
    </w:p>
    <w:p>
      <w:pPr>
        <w:pStyle w:val="Heading3"/>
      </w:pPr>
      <w:r>
        <w:rPr>
          <w:color w:val="231F20"/>
        </w:rPr>
        <w:t>Derechos humanos de tercera generación</w:t>
      </w:r>
    </w:p>
    <w:p>
      <w:pPr>
        <w:pStyle w:val="BodyText"/>
        <w:spacing w:line="247" w:lineRule="auto" w:before="172"/>
        <w:ind w:left="117" w:right="114"/>
        <w:jc w:val="both"/>
      </w:pPr>
      <w:r>
        <w:rPr>
          <w:color w:val="231F20"/>
        </w:rPr>
        <w:t>El</w:t>
      </w:r>
      <w:r>
        <w:rPr>
          <w:color w:val="231F20"/>
          <w:spacing w:val="-4"/>
        </w:rPr>
        <w:t> </w:t>
      </w:r>
      <w:r>
        <w:rPr>
          <w:color w:val="231F20"/>
        </w:rPr>
        <w:t>Estado</w:t>
      </w:r>
      <w:r>
        <w:rPr>
          <w:color w:val="231F20"/>
          <w:spacing w:val="-4"/>
        </w:rPr>
        <w:t> </w:t>
      </w:r>
      <w:r>
        <w:rPr>
          <w:color w:val="231F20"/>
        </w:rPr>
        <w:t>mexicano</w:t>
      </w:r>
      <w:r>
        <w:rPr>
          <w:color w:val="231F20"/>
          <w:spacing w:val="-4"/>
        </w:rPr>
        <w:t> </w:t>
      </w:r>
      <w:r>
        <w:rPr>
          <w:color w:val="231F20"/>
        </w:rPr>
        <w:t>se</w:t>
      </w:r>
      <w:r>
        <w:rPr>
          <w:color w:val="231F20"/>
          <w:spacing w:val="-4"/>
        </w:rPr>
        <w:t> </w:t>
      </w:r>
      <w:r>
        <w:rPr>
          <w:color w:val="231F20"/>
        </w:rPr>
        <w:t>funda</w:t>
      </w:r>
      <w:r>
        <w:rPr>
          <w:color w:val="231F20"/>
          <w:spacing w:val="-4"/>
        </w:rPr>
        <w:t> </w:t>
      </w:r>
      <w:r>
        <w:rPr>
          <w:color w:val="231F20"/>
        </w:rPr>
        <w:t>en</w:t>
      </w:r>
      <w:r>
        <w:rPr>
          <w:color w:val="231F20"/>
          <w:spacing w:val="-4"/>
        </w:rPr>
        <w:t> </w:t>
      </w:r>
      <w:r>
        <w:rPr>
          <w:color w:val="231F20"/>
        </w:rPr>
        <w:t>un</w:t>
      </w:r>
      <w:r>
        <w:rPr>
          <w:color w:val="231F20"/>
          <w:spacing w:val="-4"/>
        </w:rPr>
        <w:t> </w:t>
      </w:r>
      <w:r>
        <w:rPr>
          <w:color w:val="231F20"/>
        </w:rPr>
        <w:t>contexto</w:t>
      </w:r>
      <w:r>
        <w:rPr>
          <w:color w:val="231F20"/>
          <w:spacing w:val="-4"/>
        </w:rPr>
        <w:t> </w:t>
      </w:r>
      <w:r>
        <w:rPr>
          <w:color w:val="231F20"/>
        </w:rPr>
        <w:t>previo</w:t>
      </w:r>
      <w:r>
        <w:rPr>
          <w:color w:val="231F20"/>
          <w:spacing w:val="-4"/>
        </w:rPr>
        <w:t> </w:t>
      </w:r>
      <w:r>
        <w:rPr>
          <w:color w:val="231F20"/>
        </w:rPr>
        <w:t>al</w:t>
      </w:r>
      <w:r>
        <w:rPr>
          <w:color w:val="231F20"/>
          <w:spacing w:val="-4"/>
        </w:rPr>
        <w:t> </w:t>
      </w:r>
      <w:r>
        <w:rPr>
          <w:color w:val="231F20"/>
        </w:rPr>
        <w:t>modernismo</w:t>
      </w:r>
      <w:r>
        <w:rPr>
          <w:color w:val="231F20"/>
          <w:position w:val="7"/>
          <w:sz w:val="13"/>
        </w:rPr>
        <w:t>5</w:t>
      </w:r>
      <w:r>
        <w:rPr>
          <w:color w:val="231F20"/>
        </w:rPr>
        <w:t>,</w:t>
      </w:r>
      <w:r>
        <w:rPr>
          <w:color w:val="231F20"/>
          <w:spacing w:val="-4"/>
        </w:rPr>
        <w:t> </w:t>
      </w:r>
      <w:r>
        <w:rPr>
          <w:color w:val="231F20"/>
        </w:rPr>
        <w:t>en</w:t>
      </w:r>
      <w:r>
        <w:rPr>
          <w:color w:val="231F20"/>
          <w:spacing w:val="-4"/>
        </w:rPr>
        <w:t> </w:t>
      </w:r>
      <w:r>
        <w:rPr>
          <w:color w:val="231F20"/>
        </w:rPr>
        <w:t>un momento histórico donde la libertad, la igualdad, el orden y el progreso representan los ideales fundamentales de una nación nueva, misma que los integra dentro de su carta magna, que es, como la de cualquier Estado moderno, su documento</w:t>
      </w:r>
      <w:r>
        <w:rPr>
          <w:color w:val="231F20"/>
          <w:spacing w:val="-2"/>
        </w:rPr>
        <w:t> </w:t>
      </w:r>
      <w:r>
        <w:rPr>
          <w:color w:val="231F20"/>
        </w:rPr>
        <w:t>constitutivo.</w:t>
      </w:r>
    </w:p>
    <w:p>
      <w:pPr>
        <w:pStyle w:val="BodyText"/>
        <w:spacing w:line="247" w:lineRule="auto"/>
        <w:ind w:left="117" w:right="115" w:firstLine="283"/>
        <w:jc w:val="both"/>
      </w:pPr>
      <w:r>
        <w:rPr>
          <w:color w:val="231F20"/>
        </w:rPr>
        <w:t>Por</w:t>
      </w:r>
      <w:r>
        <w:rPr>
          <w:color w:val="231F20"/>
          <w:spacing w:val="-8"/>
        </w:rPr>
        <w:t> </w:t>
      </w:r>
      <w:r>
        <w:rPr>
          <w:color w:val="231F20"/>
        </w:rPr>
        <w:t>diversas</w:t>
      </w:r>
      <w:r>
        <w:rPr>
          <w:color w:val="231F20"/>
          <w:spacing w:val="-8"/>
        </w:rPr>
        <w:t> </w:t>
      </w:r>
      <w:r>
        <w:rPr>
          <w:color w:val="231F20"/>
        </w:rPr>
        <w:t>circunstancias,</w:t>
      </w:r>
      <w:r>
        <w:rPr>
          <w:color w:val="231F20"/>
          <w:spacing w:val="-9"/>
        </w:rPr>
        <w:t> </w:t>
      </w:r>
      <w:r>
        <w:rPr>
          <w:color w:val="231F20"/>
        </w:rPr>
        <w:t>quizá</w:t>
      </w:r>
      <w:r>
        <w:rPr>
          <w:color w:val="231F20"/>
          <w:spacing w:val="-8"/>
        </w:rPr>
        <w:t> </w:t>
      </w:r>
      <w:r>
        <w:rPr>
          <w:color w:val="231F20"/>
        </w:rPr>
        <w:t>algunas</w:t>
      </w:r>
      <w:r>
        <w:rPr>
          <w:color w:val="231F20"/>
          <w:spacing w:val="-9"/>
        </w:rPr>
        <w:t> </w:t>
      </w:r>
      <w:r>
        <w:rPr>
          <w:color w:val="231F20"/>
        </w:rPr>
        <w:t>internas,</w:t>
      </w:r>
      <w:r>
        <w:rPr>
          <w:color w:val="231F20"/>
          <w:spacing w:val="-9"/>
        </w:rPr>
        <w:t> </w:t>
      </w:r>
      <w:r>
        <w:rPr>
          <w:color w:val="231F20"/>
        </w:rPr>
        <w:t>otras</w:t>
      </w:r>
      <w:r>
        <w:rPr>
          <w:color w:val="231F20"/>
          <w:spacing w:val="-8"/>
        </w:rPr>
        <w:t> </w:t>
      </w:r>
      <w:r>
        <w:rPr>
          <w:color w:val="231F20"/>
        </w:rPr>
        <w:t>externas;</w:t>
      </w:r>
      <w:r>
        <w:rPr>
          <w:color w:val="231F20"/>
          <w:spacing w:val="-9"/>
        </w:rPr>
        <w:t> </w:t>
      </w:r>
      <w:r>
        <w:rPr>
          <w:color w:val="231F20"/>
        </w:rPr>
        <w:t>unas sociales, otras gubernamentales, tendientes a relacionarse con la partici- pación ciudadana o con las políticas públicas vigentes en el momento o bien quizá porque lo propuesto en ellas no era factible y siguiendo con esta</w:t>
      </w:r>
      <w:r>
        <w:rPr>
          <w:color w:val="231F20"/>
          <w:spacing w:val="-11"/>
        </w:rPr>
        <w:t> </w:t>
      </w:r>
      <w:r>
        <w:rPr>
          <w:color w:val="231F20"/>
        </w:rPr>
        <w:t>decadencia</w:t>
      </w:r>
      <w:r>
        <w:rPr>
          <w:color w:val="231F20"/>
          <w:spacing w:val="-11"/>
        </w:rPr>
        <w:t> </w:t>
      </w:r>
      <w:r>
        <w:rPr>
          <w:color w:val="231F20"/>
        </w:rPr>
        <w:t>del</w:t>
      </w:r>
      <w:r>
        <w:rPr>
          <w:color w:val="231F20"/>
          <w:spacing w:val="-11"/>
        </w:rPr>
        <w:t> </w:t>
      </w:r>
      <w:r>
        <w:rPr>
          <w:color w:val="231F20"/>
        </w:rPr>
        <w:t>modernismo,</w:t>
      </w:r>
      <w:r>
        <w:rPr>
          <w:color w:val="231F20"/>
          <w:spacing w:val="-11"/>
        </w:rPr>
        <w:t> </w:t>
      </w:r>
      <w:r>
        <w:rPr>
          <w:color w:val="231F20"/>
        </w:rPr>
        <w:t>tampoco</w:t>
      </w:r>
      <w:r>
        <w:rPr>
          <w:color w:val="231F20"/>
          <w:spacing w:val="-11"/>
        </w:rPr>
        <w:t> </w:t>
      </w:r>
      <w:r>
        <w:rPr>
          <w:color w:val="231F20"/>
        </w:rPr>
        <w:t>racional,</w:t>
      </w:r>
      <w:r>
        <w:rPr>
          <w:color w:val="231F20"/>
          <w:spacing w:val="-11"/>
        </w:rPr>
        <w:t> </w:t>
      </w:r>
      <w:r>
        <w:rPr>
          <w:color w:val="231F20"/>
        </w:rPr>
        <w:t>los</w:t>
      </w:r>
      <w:r>
        <w:rPr>
          <w:color w:val="231F20"/>
          <w:spacing w:val="-11"/>
        </w:rPr>
        <w:t> </w:t>
      </w:r>
      <w:r>
        <w:rPr>
          <w:color w:val="231F20"/>
        </w:rPr>
        <w:t>ideales</w:t>
      </w:r>
      <w:r>
        <w:rPr>
          <w:color w:val="231F20"/>
          <w:spacing w:val="-11"/>
        </w:rPr>
        <w:t> </w:t>
      </w:r>
      <w:r>
        <w:rPr>
          <w:color w:val="231F20"/>
        </w:rPr>
        <w:t>de</w:t>
      </w:r>
      <w:r>
        <w:rPr>
          <w:color w:val="231F20"/>
          <w:spacing w:val="-11"/>
        </w:rPr>
        <w:t> </w:t>
      </w:r>
      <w:r>
        <w:rPr>
          <w:color w:val="231F20"/>
        </w:rPr>
        <w:t>progreso general, disminución de la pobreza, prosperidad y un estado de bienestar generalizado, se vieron inconclusos en la mayoría de los países</w:t>
      </w:r>
      <w:r>
        <w:rPr>
          <w:color w:val="231F20"/>
          <w:spacing w:val="-32"/>
        </w:rPr>
        <w:t> </w:t>
      </w:r>
      <w:r>
        <w:rPr>
          <w:color w:val="231F20"/>
        </w:rPr>
        <w:t>latinoame- ricanos.</w:t>
      </w:r>
    </w:p>
    <w:p>
      <w:pPr>
        <w:pStyle w:val="BodyText"/>
        <w:rPr>
          <w:sz w:val="20"/>
        </w:rPr>
      </w:pPr>
    </w:p>
    <w:p>
      <w:pPr>
        <w:pStyle w:val="BodyText"/>
        <w:spacing w:before="6"/>
        <w:rPr>
          <w:sz w:val="16"/>
        </w:rPr>
      </w:pPr>
      <w:r>
        <w:rPr/>
        <w:pict>
          <v:line style="position:absolute;mso-position-horizontal-relative:page;mso-position-vertical-relative:paragraph;z-index:3376;mso-wrap-distance-left:0;mso-wrap-distance-right:0" from="70.866096pt,11.857532pt" to="142.866096pt,11.857532pt" stroked="true" strokeweight=".75pt" strokecolor="#231f20">
            <w10:wrap type="topAndBottom"/>
          </v:line>
        </w:pict>
      </w:r>
    </w:p>
    <w:p>
      <w:pPr>
        <w:spacing w:line="208" w:lineRule="auto" w:before="0"/>
        <w:ind w:left="117" w:right="115" w:firstLine="0"/>
        <w:jc w:val="both"/>
        <w:rPr>
          <w:sz w:val="17"/>
        </w:rPr>
      </w:pPr>
      <w:r>
        <w:rPr>
          <w:color w:val="231F20"/>
          <w:position w:val="6"/>
          <w:sz w:val="10"/>
        </w:rPr>
        <w:t>5 </w:t>
      </w:r>
      <w:r>
        <w:rPr>
          <w:color w:val="231F20"/>
          <w:sz w:val="17"/>
        </w:rPr>
        <w:t>La posición posmodernista, que se adhiere mejor a la realidad social que se aprecia, surge entonces con toda su fuerza en este punto, pues, según (Lash, 2007), el posmodernismo puede considerarse…como un intento de resolución de problemas, es decir como una búsqueda desti- nada a elaborar las permutaciones e implicaciones por las cuales la realidad se transforma y se vuelve frágil.</w:t>
      </w:r>
    </w:p>
    <w:p>
      <w:pPr>
        <w:spacing w:after="0" w:line="208" w:lineRule="auto"/>
        <w:jc w:val="both"/>
        <w:rPr>
          <w:sz w:val="17"/>
        </w:rPr>
        <w:sectPr>
          <w:pgSz w:w="9360" w:h="13040"/>
          <w:pgMar w:header="0" w:footer="496" w:top="800" w:bottom="680" w:left="1300" w:right="1300"/>
        </w:sectPr>
      </w:pPr>
    </w:p>
    <w:p>
      <w:pPr>
        <w:spacing w:before="45"/>
        <w:ind w:left="400" w:right="0" w:firstLine="111"/>
        <w:jc w:val="left"/>
        <w:rPr>
          <w:rFonts w:ascii="Arial" w:hAnsi="Arial"/>
          <w:sz w:val="20"/>
        </w:rPr>
      </w:pPr>
      <w:r>
        <w:rPr>
          <w:rFonts w:ascii="Arial" w:hAnsi="Arial"/>
          <w:color w:val="231F20"/>
          <w:w w:val="70"/>
          <w:sz w:val="20"/>
        </w:rPr>
        <w:t>El migrante centroamericano de paso por México y los derechos humanos /Luis Raúl Ortiz-Ramírez</w:t>
      </w:r>
    </w:p>
    <w:p>
      <w:pPr>
        <w:pStyle w:val="BodyText"/>
        <w:spacing w:before="7"/>
        <w:rPr>
          <w:rFonts w:ascii="Arial"/>
          <w:sz w:val="28"/>
        </w:rPr>
      </w:pPr>
    </w:p>
    <w:p>
      <w:pPr>
        <w:pStyle w:val="BodyText"/>
        <w:spacing w:line="247" w:lineRule="auto"/>
        <w:ind w:left="117" w:right="115" w:firstLine="283"/>
        <w:jc w:val="both"/>
      </w:pPr>
      <w:r>
        <w:rPr>
          <w:color w:val="231F20"/>
        </w:rPr>
        <w:t>Es</w:t>
      </w:r>
      <w:r>
        <w:rPr>
          <w:color w:val="231F20"/>
          <w:spacing w:val="-4"/>
        </w:rPr>
        <w:t> </w:t>
      </w:r>
      <w:r>
        <w:rPr>
          <w:color w:val="231F20"/>
        </w:rPr>
        <w:t>en</w:t>
      </w:r>
      <w:r>
        <w:rPr>
          <w:color w:val="231F20"/>
          <w:spacing w:val="-4"/>
        </w:rPr>
        <w:t> </w:t>
      </w:r>
      <w:r>
        <w:rPr>
          <w:color w:val="231F20"/>
        </w:rPr>
        <w:t>este</w:t>
      </w:r>
      <w:r>
        <w:rPr>
          <w:color w:val="231F20"/>
          <w:spacing w:val="-4"/>
        </w:rPr>
        <w:t> </w:t>
      </w:r>
      <w:r>
        <w:rPr>
          <w:color w:val="231F20"/>
        </w:rPr>
        <w:t>punto</w:t>
      </w:r>
      <w:r>
        <w:rPr>
          <w:color w:val="231F20"/>
          <w:spacing w:val="-4"/>
        </w:rPr>
        <w:t> </w:t>
      </w:r>
      <w:r>
        <w:rPr>
          <w:color w:val="231F20"/>
        </w:rPr>
        <w:t>que</w:t>
      </w:r>
      <w:r>
        <w:rPr>
          <w:color w:val="231F20"/>
          <w:spacing w:val="-4"/>
        </w:rPr>
        <w:t> </w:t>
      </w:r>
      <w:r>
        <w:rPr>
          <w:color w:val="231F20"/>
        </w:rPr>
        <w:t>resulta</w:t>
      </w:r>
      <w:r>
        <w:rPr>
          <w:color w:val="231F20"/>
          <w:spacing w:val="-4"/>
        </w:rPr>
        <w:t> </w:t>
      </w:r>
      <w:r>
        <w:rPr>
          <w:color w:val="231F20"/>
        </w:rPr>
        <w:t>necesario</w:t>
      </w:r>
      <w:r>
        <w:rPr>
          <w:color w:val="231F20"/>
          <w:spacing w:val="-4"/>
        </w:rPr>
        <w:t> </w:t>
      </w:r>
      <w:r>
        <w:rPr>
          <w:color w:val="231F20"/>
        </w:rPr>
        <w:t>traer</w:t>
      </w:r>
      <w:r>
        <w:rPr>
          <w:color w:val="231F20"/>
          <w:spacing w:val="-4"/>
        </w:rPr>
        <w:t> </w:t>
      </w:r>
      <w:r>
        <w:rPr>
          <w:color w:val="231F20"/>
        </w:rPr>
        <w:t>a</w:t>
      </w:r>
      <w:r>
        <w:rPr>
          <w:color w:val="231F20"/>
          <w:spacing w:val="-4"/>
        </w:rPr>
        <w:t> </w:t>
      </w:r>
      <w:r>
        <w:rPr>
          <w:color w:val="231F20"/>
        </w:rPr>
        <w:t>colación</w:t>
      </w:r>
      <w:r>
        <w:rPr>
          <w:color w:val="231F20"/>
          <w:spacing w:val="-5"/>
        </w:rPr>
        <w:t> </w:t>
      </w:r>
      <w:r>
        <w:rPr>
          <w:color w:val="231F20"/>
        </w:rPr>
        <w:t>una</w:t>
      </w:r>
      <w:r>
        <w:rPr>
          <w:color w:val="231F20"/>
          <w:spacing w:val="-4"/>
        </w:rPr>
        <w:t> </w:t>
      </w:r>
      <w:r>
        <w:rPr>
          <w:color w:val="231F20"/>
        </w:rPr>
        <w:t>reseña</w:t>
      </w:r>
      <w:r>
        <w:rPr>
          <w:color w:val="231F20"/>
          <w:spacing w:val="-4"/>
        </w:rPr>
        <w:t> </w:t>
      </w:r>
      <w:r>
        <w:rPr>
          <w:color w:val="231F20"/>
        </w:rPr>
        <w:t>sobre la discusión que al respecto de los derechos humanos se ha hecho y es momento también de explicar por qué este trabajo descansa sobre la base de los derechos humanos de tercera generación. Para tal efecto resulta in- dispensable</w:t>
      </w:r>
      <w:r>
        <w:rPr>
          <w:color w:val="231F20"/>
          <w:spacing w:val="-7"/>
        </w:rPr>
        <w:t> </w:t>
      </w:r>
      <w:r>
        <w:rPr>
          <w:color w:val="231F20"/>
        </w:rPr>
        <w:t>para</w:t>
      </w:r>
      <w:r>
        <w:rPr>
          <w:color w:val="231F20"/>
          <w:spacing w:val="-7"/>
        </w:rPr>
        <w:t> </w:t>
      </w:r>
      <w:r>
        <w:rPr>
          <w:color w:val="231F20"/>
        </w:rPr>
        <w:t>la</w:t>
      </w:r>
      <w:r>
        <w:rPr>
          <w:color w:val="231F20"/>
          <w:spacing w:val="-7"/>
        </w:rPr>
        <w:t> </w:t>
      </w:r>
      <w:r>
        <w:rPr>
          <w:color w:val="231F20"/>
        </w:rPr>
        <w:t>realización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propuesta</w:t>
      </w:r>
      <w:r>
        <w:rPr>
          <w:color w:val="231F20"/>
          <w:spacing w:val="-7"/>
        </w:rPr>
        <w:t> </w:t>
      </w:r>
      <w:r>
        <w:rPr>
          <w:color w:val="231F20"/>
        </w:rPr>
        <w:t>de</w:t>
      </w:r>
      <w:r>
        <w:rPr>
          <w:color w:val="231F20"/>
          <w:spacing w:val="-7"/>
        </w:rPr>
        <w:t> </w:t>
      </w:r>
      <w:r>
        <w:rPr>
          <w:color w:val="231F20"/>
        </w:rPr>
        <w:t>investigación</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rea- liza,</w:t>
      </w:r>
      <w:r>
        <w:rPr>
          <w:color w:val="231F20"/>
          <w:spacing w:val="-4"/>
        </w:rPr>
        <w:t> </w:t>
      </w:r>
      <w:r>
        <w:rPr>
          <w:color w:val="231F20"/>
        </w:rPr>
        <w:t>el</w:t>
      </w:r>
      <w:r>
        <w:rPr>
          <w:color w:val="231F20"/>
          <w:spacing w:val="-4"/>
        </w:rPr>
        <w:t> </w:t>
      </w:r>
      <w:r>
        <w:rPr>
          <w:color w:val="231F20"/>
        </w:rPr>
        <w:t>hecho</w:t>
      </w:r>
      <w:r>
        <w:rPr>
          <w:color w:val="231F20"/>
          <w:spacing w:val="-4"/>
        </w:rPr>
        <w:t> </w:t>
      </w:r>
      <w:r>
        <w:rPr>
          <w:color w:val="231F20"/>
        </w:rPr>
        <w:t>de</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defina</w:t>
      </w:r>
      <w:r>
        <w:rPr>
          <w:color w:val="231F20"/>
          <w:spacing w:val="-4"/>
        </w:rPr>
        <w:t> </w:t>
      </w:r>
      <w:r>
        <w:rPr>
          <w:color w:val="231F20"/>
        </w:rPr>
        <w:t>el</w:t>
      </w:r>
      <w:r>
        <w:rPr>
          <w:color w:val="231F20"/>
          <w:spacing w:val="-4"/>
        </w:rPr>
        <w:t> </w:t>
      </w:r>
      <w:r>
        <w:rPr>
          <w:color w:val="231F20"/>
        </w:rPr>
        <w:t>contexto</w:t>
      </w:r>
      <w:r>
        <w:rPr>
          <w:color w:val="231F20"/>
          <w:spacing w:val="-4"/>
        </w:rPr>
        <w:t> </w:t>
      </w:r>
      <w:r>
        <w:rPr>
          <w:color w:val="231F20"/>
        </w:rPr>
        <w:t>legal</w:t>
      </w:r>
      <w:r>
        <w:rPr>
          <w:color w:val="231F20"/>
          <w:spacing w:val="-4"/>
        </w:rPr>
        <w:t> </w:t>
      </w:r>
      <w:r>
        <w:rPr>
          <w:color w:val="231F20"/>
        </w:rPr>
        <w:t>dentro</w:t>
      </w:r>
      <w:r>
        <w:rPr>
          <w:color w:val="231F20"/>
          <w:spacing w:val="-4"/>
        </w:rPr>
        <w:t> </w:t>
      </w:r>
      <w:r>
        <w:rPr>
          <w:color w:val="231F20"/>
        </w:rPr>
        <w:t>del</w:t>
      </w:r>
      <w:r>
        <w:rPr>
          <w:color w:val="231F20"/>
          <w:spacing w:val="-4"/>
        </w:rPr>
        <w:t> </w:t>
      </w:r>
      <w:r>
        <w:rPr>
          <w:color w:val="231F20"/>
        </w:rPr>
        <w:t>cual</w:t>
      </w:r>
      <w:r>
        <w:rPr>
          <w:color w:val="231F20"/>
          <w:spacing w:val="-4"/>
        </w:rPr>
        <w:t> </w:t>
      </w:r>
      <w:r>
        <w:rPr>
          <w:color w:val="231F20"/>
        </w:rPr>
        <w:t>se</w:t>
      </w:r>
      <w:r>
        <w:rPr>
          <w:color w:val="231F20"/>
          <w:spacing w:val="-4"/>
        </w:rPr>
        <w:t> </w:t>
      </w:r>
      <w:r>
        <w:rPr>
          <w:color w:val="231F20"/>
        </w:rPr>
        <w:t>pretende desarrollar la misma.</w:t>
      </w:r>
    </w:p>
    <w:p>
      <w:pPr>
        <w:pStyle w:val="BodyText"/>
        <w:spacing w:line="247" w:lineRule="auto"/>
        <w:ind w:left="117" w:right="115" w:firstLine="283"/>
        <w:jc w:val="both"/>
      </w:pPr>
      <w:r>
        <w:rPr>
          <w:color w:val="231F20"/>
        </w:rPr>
        <w:t>Este contexto será el de los derechos humanos de tercera generación, entendiendo que se habla de otras tres: dos generaciones previas y una cuarta tentativa; generaciones que serán explicadas para entender el por qué de la elección de la tercera para el contexto de este trabajo.</w:t>
      </w:r>
    </w:p>
    <w:p>
      <w:pPr>
        <w:pStyle w:val="BodyText"/>
        <w:spacing w:line="247" w:lineRule="auto"/>
        <w:ind w:left="117" w:right="115" w:firstLine="283"/>
        <w:jc w:val="both"/>
      </w:pPr>
      <w:r>
        <w:rPr>
          <w:color w:val="231F20"/>
        </w:rPr>
        <w:t>La primera generación de derechos humanos surge con la Revolución Francesa y se compone por los denominados derechos civiles y políticos, que imponen al Estado la obligación de siempre respetarlos, es decir, co- rresponden al individuo frente al Estado o ante cualquier autoridad. Para el caso de los derechos civiles, el titular es cualquier ser humano y para el caso de los derechos políticos, la titularidad recaerá sobre cualquier ciu- dadano. Un asunto fundamental que resulta ser una característica esencial de esta generación de derechos humanos es que su reclamo corresponde</w:t>
      </w:r>
      <w:r>
        <w:rPr>
          <w:color w:val="231F20"/>
          <w:spacing w:val="-32"/>
        </w:rPr>
        <w:t> </w:t>
      </w:r>
      <w:r>
        <w:rPr>
          <w:color w:val="231F20"/>
        </w:rPr>
        <w:t>al propio individuo.</w:t>
      </w:r>
    </w:p>
    <w:p>
      <w:pPr>
        <w:pStyle w:val="BodyText"/>
        <w:spacing w:line="247" w:lineRule="auto"/>
        <w:ind w:left="117" w:right="115" w:firstLine="283"/>
        <w:jc w:val="both"/>
      </w:pPr>
      <w:r>
        <w:rPr>
          <w:color w:val="231F20"/>
        </w:rPr>
        <w:t>Los derechos humanos de segunda generación resultan ser aquellos de tipo colectivo, tales como los derechos sociales, los económicos y los cul- turales. Surgen como resultado de la Revolución Industrial, también cons- tituyen</w:t>
      </w:r>
      <w:r>
        <w:rPr>
          <w:color w:val="231F20"/>
          <w:spacing w:val="-11"/>
        </w:rPr>
        <w:t> </w:t>
      </w:r>
      <w:r>
        <w:rPr>
          <w:color w:val="231F20"/>
        </w:rPr>
        <w:t>una</w:t>
      </w:r>
      <w:r>
        <w:rPr>
          <w:color w:val="231F20"/>
          <w:spacing w:val="-11"/>
        </w:rPr>
        <w:t> </w:t>
      </w:r>
      <w:r>
        <w:rPr>
          <w:color w:val="231F20"/>
        </w:rPr>
        <w:t>obligación</w:t>
      </w:r>
      <w:r>
        <w:rPr>
          <w:color w:val="231F20"/>
          <w:spacing w:val="-11"/>
        </w:rPr>
        <w:t> </w:t>
      </w:r>
      <w:r>
        <w:rPr>
          <w:color w:val="231F20"/>
        </w:rPr>
        <w:t>de</w:t>
      </w:r>
      <w:r>
        <w:rPr>
          <w:color w:val="231F20"/>
          <w:spacing w:val="-11"/>
        </w:rPr>
        <w:t> </w:t>
      </w:r>
      <w:r>
        <w:rPr>
          <w:color w:val="231F20"/>
        </w:rPr>
        <w:t>hacer</w:t>
      </w:r>
      <w:r>
        <w:rPr>
          <w:color w:val="231F20"/>
          <w:spacing w:val="-11"/>
        </w:rPr>
        <w:t> </w:t>
      </w:r>
      <w:r>
        <w:rPr>
          <w:color w:val="231F20"/>
        </w:rPr>
        <w:t>para</w:t>
      </w:r>
      <w:r>
        <w:rPr>
          <w:color w:val="231F20"/>
          <w:spacing w:val="-11"/>
        </w:rPr>
        <w:t> </w:t>
      </w:r>
      <w:r>
        <w:rPr>
          <w:color w:val="231F20"/>
        </w:rPr>
        <w:t>el</w:t>
      </w:r>
      <w:r>
        <w:rPr>
          <w:color w:val="231F20"/>
          <w:spacing w:val="-11"/>
        </w:rPr>
        <w:t> </w:t>
      </w:r>
      <w:r>
        <w:rPr>
          <w:color w:val="231F20"/>
        </w:rPr>
        <w:t>Estado,</w:t>
      </w:r>
      <w:r>
        <w:rPr>
          <w:color w:val="231F20"/>
          <w:spacing w:val="-12"/>
        </w:rPr>
        <w:t> </w:t>
      </w:r>
      <w:r>
        <w:rPr>
          <w:color w:val="231F20"/>
        </w:rPr>
        <w:t>pero</w:t>
      </w:r>
      <w:r>
        <w:rPr>
          <w:color w:val="231F20"/>
          <w:spacing w:val="-11"/>
        </w:rPr>
        <w:t> </w:t>
      </w:r>
      <w:r>
        <w:rPr>
          <w:color w:val="231F20"/>
        </w:rPr>
        <w:t>son</w:t>
      </w:r>
      <w:r>
        <w:rPr>
          <w:color w:val="231F20"/>
          <w:spacing w:val="-11"/>
        </w:rPr>
        <w:t> </w:t>
      </w:r>
      <w:r>
        <w:rPr>
          <w:color w:val="231F20"/>
        </w:rPr>
        <w:t>de</w:t>
      </w:r>
      <w:r>
        <w:rPr>
          <w:color w:val="231F20"/>
          <w:spacing w:val="-11"/>
        </w:rPr>
        <w:t> </w:t>
      </w:r>
      <w:r>
        <w:rPr>
          <w:color w:val="231F20"/>
        </w:rPr>
        <w:t>tipo</w:t>
      </w:r>
      <w:r>
        <w:rPr>
          <w:color w:val="231F20"/>
          <w:spacing w:val="-11"/>
        </w:rPr>
        <w:t> </w:t>
      </w:r>
      <w:r>
        <w:rPr>
          <w:color w:val="231F20"/>
        </w:rPr>
        <w:t>progresivo, es decir, dependen de la capacidad económica del mismo para su satisfac- ción. En pocas palabras son derechos de contenido social para procurar mejores</w:t>
      </w:r>
      <w:r>
        <w:rPr>
          <w:color w:val="231F20"/>
          <w:spacing w:val="-10"/>
        </w:rPr>
        <w:t> </w:t>
      </w:r>
      <w:r>
        <w:rPr>
          <w:color w:val="231F20"/>
        </w:rPr>
        <w:t>condiciones</w:t>
      </w:r>
      <w:r>
        <w:rPr>
          <w:color w:val="231F20"/>
          <w:spacing w:val="-10"/>
        </w:rPr>
        <w:t> </w:t>
      </w:r>
      <w:r>
        <w:rPr>
          <w:color w:val="231F20"/>
        </w:rPr>
        <w:t>de</w:t>
      </w:r>
      <w:r>
        <w:rPr>
          <w:color w:val="231F20"/>
          <w:spacing w:val="-10"/>
        </w:rPr>
        <w:t> </w:t>
      </w:r>
      <w:r>
        <w:rPr>
          <w:color w:val="231F20"/>
        </w:rPr>
        <w:t>vida,</w:t>
      </w:r>
      <w:r>
        <w:rPr>
          <w:color w:val="231F20"/>
          <w:spacing w:val="-10"/>
        </w:rPr>
        <w:t> </w:t>
      </w:r>
      <w:r>
        <w:rPr>
          <w:color w:val="231F20"/>
        </w:rPr>
        <w:t>siendo</w:t>
      </w:r>
      <w:r>
        <w:rPr>
          <w:color w:val="231F20"/>
          <w:spacing w:val="-9"/>
        </w:rPr>
        <w:t> </w:t>
      </w:r>
      <w:r>
        <w:rPr>
          <w:color w:val="231F20"/>
        </w:rPr>
        <w:t>estas</w:t>
      </w:r>
      <w:r>
        <w:rPr>
          <w:color w:val="231F20"/>
          <w:spacing w:val="-10"/>
        </w:rPr>
        <w:t> </w:t>
      </w:r>
      <w:r>
        <w:rPr>
          <w:color w:val="231F20"/>
        </w:rPr>
        <w:t>legítimas</w:t>
      </w:r>
      <w:r>
        <w:rPr>
          <w:color w:val="231F20"/>
          <w:spacing w:val="-10"/>
        </w:rPr>
        <w:t> </w:t>
      </w:r>
      <w:r>
        <w:rPr>
          <w:color w:val="231F20"/>
        </w:rPr>
        <w:t>aspiraciones.</w:t>
      </w:r>
      <w:r>
        <w:rPr>
          <w:color w:val="231F20"/>
          <w:spacing w:val="-10"/>
        </w:rPr>
        <w:t> </w:t>
      </w:r>
      <w:r>
        <w:rPr>
          <w:color w:val="231F20"/>
        </w:rPr>
        <w:t>Su</w:t>
      </w:r>
      <w:r>
        <w:rPr>
          <w:color w:val="231F20"/>
          <w:spacing w:val="-10"/>
        </w:rPr>
        <w:t> </w:t>
      </w:r>
      <w:r>
        <w:rPr>
          <w:color w:val="231F20"/>
        </w:rPr>
        <w:t>titular es el individuo en colectivo, que se une para lograr su</w:t>
      </w:r>
      <w:r>
        <w:rPr>
          <w:color w:val="231F20"/>
          <w:spacing w:val="-7"/>
        </w:rPr>
        <w:t> </w:t>
      </w:r>
      <w:r>
        <w:rPr>
          <w:color w:val="231F20"/>
        </w:rPr>
        <w:t>defensa.</w:t>
      </w:r>
    </w:p>
    <w:p>
      <w:pPr>
        <w:pStyle w:val="BodyText"/>
        <w:spacing w:line="247" w:lineRule="auto"/>
        <w:ind w:left="117" w:right="114" w:firstLine="283"/>
        <w:jc w:val="both"/>
      </w:pPr>
      <w:r>
        <w:rPr>
          <w:color w:val="231F20"/>
        </w:rPr>
        <w:t>Por su parte, los derechos humanos de tercera generación pertenecen   a grupos imprecisos de personas que tienen un interés colectivo común. Requieren para su cumplimiento obligaciones de hacer y de no hacer por parte del Estado y pueden serle reclamados al Estado mismo de origen de la persona o a un Estado extranjero. Esta generación de derechos</w:t>
      </w:r>
      <w:r>
        <w:rPr>
          <w:color w:val="231F20"/>
          <w:spacing w:val="-34"/>
        </w:rPr>
        <w:t> </w:t>
      </w:r>
      <w:r>
        <w:rPr>
          <w:color w:val="231F20"/>
        </w:rPr>
        <w:t>humanos surge como respuesta a la necesidad de colaboración entre las naciones. Son conocidos también como derechos colectivos (SCJN,</w:t>
      </w:r>
      <w:r>
        <w:rPr>
          <w:color w:val="231F20"/>
          <w:spacing w:val="-7"/>
        </w:rPr>
        <w:t> </w:t>
      </w:r>
      <w:r>
        <w:rPr>
          <w:color w:val="231F20"/>
        </w:rPr>
        <w:t>2012).</w:t>
      </w:r>
    </w:p>
    <w:p>
      <w:pPr>
        <w:pStyle w:val="BodyText"/>
        <w:spacing w:line="247" w:lineRule="auto"/>
        <w:ind w:left="117" w:right="115" w:firstLine="283"/>
        <w:jc w:val="both"/>
      </w:pPr>
      <w:r>
        <w:rPr>
          <w:color w:val="231F20"/>
        </w:rPr>
        <w:t>Por otro lado, imponen al Estado obligaciones de hacer o de no hacer, independientemente de su capacidad financiera. Esto se entiende dentro del contexto que establece que los derechos humanos tienen como finali- dad salvaguardar, mantener y promover la dignidad, integridad y  realiza-</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jc w:val="both"/>
      </w:pPr>
      <w:r>
        <w:rPr>
          <w:color w:val="231F20"/>
        </w:rPr>
        <w:t>ción del individuo. Por último, estos derechos representan la posibilidad de ser exigidos tanto al Estado de origen del individuo como a un Estado extranjero;</w:t>
      </w:r>
      <w:r>
        <w:rPr>
          <w:color w:val="231F20"/>
          <w:spacing w:val="-13"/>
        </w:rPr>
        <w:t> </w:t>
      </w:r>
      <w:r>
        <w:rPr>
          <w:color w:val="231F20"/>
        </w:rPr>
        <w:t>lo</w:t>
      </w:r>
      <w:r>
        <w:rPr>
          <w:color w:val="231F20"/>
          <w:spacing w:val="-12"/>
        </w:rPr>
        <w:t> </w:t>
      </w:r>
      <w:r>
        <w:rPr>
          <w:color w:val="231F20"/>
        </w:rPr>
        <w:t>anterior</w:t>
      </w:r>
      <w:r>
        <w:rPr>
          <w:color w:val="231F20"/>
          <w:spacing w:val="-13"/>
        </w:rPr>
        <w:t> </w:t>
      </w:r>
      <w:r>
        <w:rPr>
          <w:color w:val="231F20"/>
        </w:rPr>
        <w:t>a</w:t>
      </w:r>
      <w:r>
        <w:rPr>
          <w:color w:val="231F20"/>
          <w:spacing w:val="-12"/>
        </w:rPr>
        <w:t> </w:t>
      </w:r>
      <w:r>
        <w:rPr>
          <w:color w:val="231F20"/>
        </w:rPr>
        <w:t>raíz</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obligaciones</w:t>
      </w:r>
      <w:r>
        <w:rPr>
          <w:color w:val="231F20"/>
          <w:spacing w:val="-12"/>
        </w:rPr>
        <w:t> </w:t>
      </w:r>
      <w:r>
        <w:rPr>
          <w:color w:val="231F20"/>
        </w:rPr>
        <w:t>que</w:t>
      </w:r>
      <w:r>
        <w:rPr>
          <w:color w:val="231F20"/>
          <w:spacing w:val="-12"/>
        </w:rPr>
        <w:t> </w:t>
      </w:r>
      <w:r>
        <w:rPr>
          <w:color w:val="231F20"/>
        </w:rPr>
        <w:t>surgen</w:t>
      </w:r>
      <w:r>
        <w:rPr>
          <w:color w:val="231F20"/>
          <w:spacing w:val="-12"/>
        </w:rPr>
        <w:t> </w:t>
      </w:r>
      <w:r>
        <w:rPr>
          <w:color w:val="231F20"/>
        </w:rPr>
        <w:t>del</w:t>
      </w:r>
      <w:r>
        <w:rPr>
          <w:color w:val="231F20"/>
          <w:spacing w:val="-12"/>
        </w:rPr>
        <w:t> </w:t>
      </w:r>
      <w:r>
        <w:rPr>
          <w:i/>
          <w:color w:val="231F20"/>
        </w:rPr>
        <w:t>ius</w:t>
      </w:r>
      <w:r>
        <w:rPr>
          <w:i/>
          <w:color w:val="231F20"/>
          <w:spacing w:val="-12"/>
        </w:rPr>
        <w:t> </w:t>
      </w:r>
      <w:r>
        <w:rPr>
          <w:i/>
          <w:color w:val="231F20"/>
        </w:rPr>
        <w:t>gentium</w:t>
      </w:r>
      <w:r>
        <w:rPr>
          <w:color w:val="231F20"/>
        </w:rPr>
        <w:t>, que se rige por el principio de </w:t>
      </w:r>
      <w:r>
        <w:rPr>
          <w:i/>
          <w:color w:val="231F20"/>
        </w:rPr>
        <w:t>pactum est servanda,</w:t>
      </w:r>
      <w:r>
        <w:rPr>
          <w:color w:val="231F20"/>
          <w:position w:val="7"/>
          <w:sz w:val="13"/>
        </w:rPr>
        <w:t>6 </w:t>
      </w:r>
      <w:r>
        <w:rPr>
          <w:color w:val="231F20"/>
        </w:rPr>
        <w:t>mismo que obliga al Estado a cumplir los tratados, protocolos, leyes y convenciones que haya firmado y</w:t>
      </w:r>
      <w:r>
        <w:rPr>
          <w:color w:val="231F20"/>
          <w:spacing w:val="-24"/>
        </w:rPr>
        <w:t> </w:t>
      </w:r>
      <w:r>
        <w:rPr>
          <w:color w:val="231F20"/>
        </w:rPr>
        <w:t>ratificado.</w:t>
      </w:r>
    </w:p>
    <w:p>
      <w:pPr>
        <w:pStyle w:val="BodyText"/>
        <w:spacing w:line="247" w:lineRule="auto"/>
        <w:ind w:left="117" w:right="114" w:firstLine="283"/>
        <w:jc w:val="both"/>
      </w:pPr>
      <w:r>
        <w:rPr>
          <w:color w:val="231F20"/>
        </w:rPr>
        <w:t>Cuando se habla de manera general respecto de los derechos humanos de tercera generación, se hace también alusión a los términos derechos de los</w:t>
      </w:r>
      <w:r>
        <w:rPr>
          <w:color w:val="231F20"/>
          <w:spacing w:val="-4"/>
        </w:rPr>
        <w:t> </w:t>
      </w:r>
      <w:r>
        <w:rPr>
          <w:color w:val="231F20"/>
        </w:rPr>
        <w:t>pueblos</w:t>
      </w:r>
      <w:r>
        <w:rPr>
          <w:color w:val="231F20"/>
          <w:spacing w:val="-4"/>
        </w:rPr>
        <w:t> </w:t>
      </w:r>
      <w:r>
        <w:rPr>
          <w:color w:val="231F20"/>
        </w:rPr>
        <w:t>o</w:t>
      </w:r>
      <w:r>
        <w:rPr>
          <w:color w:val="231F20"/>
          <w:spacing w:val="-4"/>
        </w:rPr>
        <w:t> </w:t>
      </w:r>
      <w:r>
        <w:rPr>
          <w:color w:val="231F20"/>
        </w:rPr>
        <w:t>de</w:t>
      </w:r>
      <w:r>
        <w:rPr>
          <w:color w:val="231F20"/>
          <w:spacing w:val="-4"/>
        </w:rPr>
        <w:t> </w:t>
      </w:r>
      <w:r>
        <w:rPr>
          <w:color w:val="231F20"/>
        </w:rPr>
        <w:t>solidaridad.</w:t>
      </w:r>
      <w:r>
        <w:rPr>
          <w:color w:val="231F20"/>
          <w:spacing w:val="-3"/>
        </w:rPr>
        <w:t> </w:t>
      </w:r>
      <w:r>
        <w:rPr>
          <w:color w:val="231F20"/>
        </w:rPr>
        <w:t>Estos</w:t>
      </w:r>
      <w:r>
        <w:rPr>
          <w:color w:val="231F20"/>
          <w:spacing w:val="-4"/>
        </w:rPr>
        <w:t> </w:t>
      </w:r>
      <w:r>
        <w:rPr>
          <w:color w:val="231F20"/>
        </w:rPr>
        <w:t>derechos,</w:t>
      </w:r>
      <w:r>
        <w:rPr>
          <w:color w:val="231F20"/>
          <w:spacing w:val="-4"/>
        </w:rPr>
        <w:t> </w:t>
      </w:r>
      <w:r>
        <w:rPr>
          <w:color w:val="231F20"/>
        </w:rPr>
        <w:t>tal</w:t>
      </w:r>
      <w:r>
        <w:rPr>
          <w:color w:val="231F20"/>
          <w:spacing w:val="-4"/>
        </w:rPr>
        <w:t> </w:t>
      </w:r>
      <w:r>
        <w:rPr>
          <w:color w:val="231F20"/>
        </w:rPr>
        <w:t>y</w:t>
      </w:r>
      <w:r>
        <w:rPr>
          <w:color w:val="231F20"/>
          <w:spacing w:val="-4"/>
        </w:rPr>
        <w:t> </w:t>
      </w:r>
      <w:r>
        <w:rPr>
          <w:color w:val="231F20"/>
        </w:rPr>
        <w:t>como</w:t>
      </w:r>
      <w:r>
        <w:rPr>
          <w:color w:val="231F20"/>
          <w:spacing w:val="-4"/>
        </w:rPr>
        <w:t> </w:t>
      </w:r>
      <w:r>
        <w:rPr>
          <w:color w:val="231F20"/>
        </w:rPr>
        <w:t>se</w:t>
      </w:r>
      <w:r>
        <w:rPr>
          <w:color w:val="231F20"/>
          <w:spacing w:val="-4"/>
        </w:rPr>
        <w:t> </w:t>
      </w:r>
      <w:r>
        <w:rPr>
          <w:color w:val="231F20"/>
        </w:rPr>
        <w:t>ha</w:t>
      </w:r>
      <w:r>
        <w:rPr>
          <w:color w:val="231F20"/>
          <w:spacing w:val="-4"/>
        </w:rPr>
        <w:t> </w:t>
      </w:r>
      <w:r>
        <w:rPr>
          <w:color w:val="231F20"/>
        </w:rPr>
        <w:t>mencionado anteriormente,</w:t>
      </w:r>
      <w:r>
        <w:rPr>
          <w:color w:val="231F20"/>
          <w:spacing w:val="-8"/>
        </w:rPr>
        <w:t> </w:t>
      </w:r>
      <w:r>
        <w:rPr>
          <w:color w:val="231F20"/>
        </w:rPr>
        <w:t>aluden</w:t>
      </w:r>
      <w:r>
        <w:rPr>
          <w:color w:val="231F20"/>
          <w:spacing w:val="-7"/>
        </w:rPr>
        <w:t> </w:t>
      </w:r>
      <w:r>
        <w:rPr>
          <w:color w:val="231F20"/>
        </w:rPr>
        <w:t>al</w:t>
      </w:r>
      <w:r>
        <w:rPr>
          <w:color w:val="231F20"/>
          <w:spacing w:val="-7"/>
        </w:rPr>
        <w:t> </w:t>
      </w:r>
      <w:r>
        <w:rPr>
          <w:color w:val="231F20"/>
        </w:rPr>
        <w:t>reconocimiento</w:t>
      </w:r>
      <w:r>
        <w:rPr>
          <w:color w:val="231F20"/>
          <w:spacing w:val="-7"/>
        </w:rPr>
        <w:t> </w:t>
      </w:r>
      <w:r>
        <w:rPr>
          <w:color w:val="231F20"/>
        </w:rPr>
        <w:t>que</w:t>
      </w:r>
      <w:r>
        <w:rPr>
          <w:color w:val="231F20"/>
          <w:spacing w:val="-7"/>
        </w:rPr>
        <w:t> </w:t>
      </w:r>
      <w:r>
        <w:rPr>
          <w:color w:val="231F20"/>
        </w:rPr>
        <w:t>tienen</w:t>
      </w:r>
      <w:r>
        <w:rPr>
          <w:color w:val="231F20"/>
          <w:spacing w:val="-7"/>
        </w:rPr>
        <w:t> </w:t>
      </w:r>
      <w:r>
        <w:rPr>
          <w:color w:val="231F20"/>
        </w:rPr>
        <w:t>las</w:t>
      </w:r>
      <w:r>
        <w:rPr>
          <w:color w:val="231F20"/>
          <w:spacing w:val="-7"/>
        </w:rPr>
        <w:t> </w:t>
      </w:r>
      <w:r>
        <w:rPr>
          <w:color w:val="231F20"/>
        </w:rPr>
        <w:t>personas,</w:t>
      </w:r>
      <w:r>
        <w:rPr>
          <w:color w:val="231F20"/>
          <w:spacing w:val="-7"/>
        </w:rPr>
        <w:t> </w:t>
      </w:r>
      <w:r>
        <w:rPr>
          <w:color w:val="231F20"/>
        </w:rPr>
        <w:t>de</w:t>
      </w:r>
      <w:r>
        <w:rPr>
          <w:color w:val="231F20"/>
          <w:spacing w:val="-7"/>
        </w:rPr>
        <w:t> </w:t>
      </w:r>
      <w:r>
        <w:rPr>
          <w:color w:val="231F20"/>
        </w:rPr>
        <w:t>mane- ra individual y colectiva, a la protección por parte del Estado de necesida- des</w:t>
      </w:r>
      <w:r>
        <w:rPr>
          <w:color w:val="231F20"/>
          <w:spacing w:val="-12"/>
        </w:rPr>
        <w:t> </w:t>
      </w:r>
      <w:r>
        <w:rPr>
          <w:color w:val="231F20"/>
        </w:rPr>
        <w:t>específicas.</w:t>
      </w:r>
    </w:p>
    <w:p>
      <w:pPr>
        <w:pStyle w:val="BodyText"/>
        <w:spacing w:line="247" w:lineRule="auto"/>
        <w:ind w:left="117" w:right="115" w:firstLine="283"/>
        <w:jc w:val="both"/>
      </w:pPr>
      <w:r>
        <w:rPr>
          <w:color w:val="231F20"/>
        </w:rPr>
        <w:t>Es importante señalar que estos derechos incluyen dentro de su dis- cusión una serie de postulados y premisas que pretenden convertirse en obligaciones progresivas de los Estados y por lo mismo consideran nocio- nes discursivas tales como el derecho a la justicia internacional, relativo a la persecución de delitos de orden internacional tales como el genocidio, los crímenes de la humanidad y los crímenes de guerra; se hace mención también al principio de cooperación regional e internacional, misma que se</w:t>
      </w:r>
      <w:r>
        <w:rPr>
          <w:color w:val="231F20"/>
          <w:spacing w:val="-10"/>
        </w:rPr>
        <w:t> </w:t>
      </w:r>
      <w:r>
        <w:rPr>
          <w:color w:val="231F20"/>
        </w:rPr>
        <w:t>hace</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rubro</w:t>
      </w:r>
      <w:r>
        <w:rPr>
          <w:color w:val="231F20"/>
          <w:spacing w:val="-10"/>
        </w:rPr>
        <w:t> </w:t>
      </w:r>
      <w:r>
        <w:rPr>
          <w:color w:val="231F20"/>
        </w:rPr>
        <w:t>del</w:t>
      </w:r>
      <w:r>
        <w:rPr>
          <w:color w:val="231F20"/>
          <w:spacing w:val="-10"/>
        </w:rPr>
        <w:t> </w:t>
      </w:r>
      <w:r>
        <w:rPr>
          <w:color w:val="231F20"/>
        </w:rPr>
        <w:t>desarrollo</w:t>
      </w:r>
      <w:r>
        <w:rPr>
          <w:color w:val="231F20"/>
          <w:spacing w:val="-10"/>
        </w:rPr>
        <w:t> </w:t>
      </w:r>
      <w:r>
        <w:rPr>
          <w:color w:val="231F20"/>
        </w:rPr>
        <w:t>económico,</w:t>
      </w:r>
      <w:r>
        <w:rPr>
          <w:color w:val="231F20"/>
          <w:spacing w:val="-10"/>
        </w:rPr>
        <w:t> </w:t>
      </w:r>
      <w:r>
        <w:rPr>
          <w:color w:val="231F20"/>
        </w:rPr>
        <w:t>a</w:t>
      </w:r>
      <w:r>
        <w:rPr>
          <w:color w:val="231F20"/>
          <w:spacing w:val="-10"/>
        </w:rPr>
        <w:t> </w:t>
      </w:r>
      <w:r>
        <w:rPr>
          <w:color w:val="231F20"/>
        </w:rPr>
        <w:t>través</w:t>
      </w:r>
      <w:r>
        <w:rPr>
          <w:color w:val="231F20"/>
          <w:spacing w:val="-10"/>
        </w:rPr>
        <w:t> </w:t>
      </w:r>
      <w:r>
        <w:rPr>
          <w:color w:val="231F20"/>
        </w:rPr>
        <w:t>de</w:t>
      </w:r>
      <w:r>
        <w:rPr>
          <w:color w:val="231F20"/>
          <w:spacing w:val="-10"/>
        </w:rPr>
        <w:t> </w:t>
      </w:r>
      <w:r>
        <w:rPr>
          <w:color w:val="231F20"/>
        </w:rPr>
        <w:t>organismos</w:t>
      </w:r>
      <w:r>
        <w:rPr>
          <w:color w:val="231F20"/>
          <w:spacing w:val="-10"/>
        </w:rPr>
        <w:t> </w:t>
      </w:r>
      <w:r>
        <w:rPr>
          <w:color w:val="231F20"/>
        </w:rPr>
        <w:t>finan- ciadores</w:t>
      </w:r>
      <w:r>
        <w:rPr>
          <w:color w:val="231F20"/>
          <w:spacing w:val="-11"/>
        </w:rPr>
        <w:t> </w:t>
      </w:r>
      <w:r>
        <w:rPr>
          <w:color w:val="231F20"/>
        </w:rPr>
        <w:t>tales</w:t>
      </w:r>
      <w:r>
        <w:rPr>
          <w:color w:val="231F20"/>
          <w:spacing w:val="-11"/>
        </w:rPr>
        <w:t> </w:t>
      </w:r>
      <w:r>
        <w:rPr>
          <w:color w:val="231F20"/>
        </w:rPr>
        <w:t>como</w:t>
      </w:r>
      <w:r>
        <w:rPr>
          <w:color w:val="231F20"/>
          <w:spacing w:val="-11"/>
        </w:rPr>
        <w:t> </w:t>
      </w:r>
      <w:r>
        <w:rPr>
          <w:color w:val="231F20"/>
        </w:rPr>
        <w:t>el</w:t>
      </w:r>
      <w:r>
        <w:rPr>
          <w:color w:val="231F20"/>
          <w:spacing w:val="-11"/>
        </w:rPr>
        <w:t> </w:t>
      </w:r>
      <w:r>
        <w:rPr>
          <w:color w:val="231F20"/>
        </w:rPr>
        <w:t>Banco</w:t>
      </w:r>
      <w:r>
        <w:rPr>
          <w:color w:val="231F20"/>
          <w:spacing w:val="-11"/>
        </w:rPr>
        <w:t> </w:t>
      </w:r>
      <w:r>
        <w:rPr>
          <w:color w:val="231F20"/>
        </w:rPr>
        <w:t>Mundial</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Fondo</w:t>
      </w:r>
      <w:r>
        <w:rPr>
          <w:color w:val="231F20"/>
          <w:spacing w:val="-11"/>
        </w:rPr>
        <w:t> </w:t>
      </w:r>
      <w:r>
        <w:rPr>
          <w:color w:val="231F20"/>
        </w:rPr>
        <w:t>Monetario</w:t>
      </w:r>
      <w:r>
        <w:rPr>
          <w:color w:val="231F20"/>
          <w:spacing w:val="-10"/>
        </w:rPr>
        <w:t> </w:t>
      </w:r>
      <w:r>
        <w:rPr>
          <w:color w:val="231F20"/>
        </w:rPr>
        <w:t>Internacional, así como el Banco Interamericano de</w:t>
      </w:r>
      <w:r>
        <w:rPr>
          <w:color w:val="231F20"/>
          <w:spacing w:val="-13"/>
        </w:rPr>
        <w:t> </w:t>
      </w:r>
      <w:r>
        <w:rPr>
          <w:color w:val="231F20"/>
        </w:rPr>
        <w:t>Desarrollo.</w:t>
      </w:r>
    </w:p>
    <w:p>
      <w:pPr>
        <w:pStyle w:val="BodyText"/>
        <w:spacing w:line="247" w:lineRule="auto"/>
        <w:ind w:left="117" w:right="116" w:firstLine="283"/>
        <w:jc w:val="both"/>
      </w:pPr>
      <w:r>
        <w:rPr>
          <w:color w:val="231F20"/>
        </w:rPr>
        <w:t>Estos</w:t>
      </w:r>
      <w:r>
        <w:rPr>
          <w:color w:val="231F20"/>
          <w:spacing w:val="-7"/>
        </w:rPr>
        <w:t> </w:t>
      </w:r>
      <w:r>
        <w:rPr>
          <w:color w:val="231F20"/>
        </w:rPr>
        <w:t>derechos</w:t>
      </w:r>
      <w:r>
        <w:rPr>
          <w:color w:val="231F20"/>
          <w:spacing w:val="-7"/>
        </w:rPr>
        <w:t> </w:t>
      </w:r>
      <w:r>
        <w:rPr>
          <w:color w:val="231F20"/>
        </w:rPr>
        <w:t>mencionan</w:t>
      </w:r>
      <w:r>
        <w:rPr>
          <w:color w:val="231F20"/>
          <w:spacing w:val="-8"/>
        </w:rPr>
        <w:t> </w:t>
      </w:r>
      <w:r>
        <w:rPr>
          <w:color w:val="231F20"/>
        </w:rPr>
        <w:t>también</w:t>
      </w:r>
      <w:r>
        <w:rPr>
          <w:color w:val="231F20"/>
          <w:spacing w:val="-7"/>
        </w:rPr>
        <w:t> </w:t>
      </w:r>
      <w:r>
        <w:rPr>
          <w:color w:val="231F20"/>
        </w:rPr>
        <w:t>la</w:t>
      </w:r>
      <w:r>
        <w:rPr>
          <w:color w:val="231F20"/>
          <w:spacing w:val="-7"/>
        </w:rPr>
        <w:t> </w:t>
      </w:r>
      <w:r>
        <w:rPr>
          <w:color w:val="231F20"/>
        </w:rPr>
        <w:t>ayuda</w:t>
      </w:r>
      <w:r>
        <w:rPr>
          <w:color w:val="231F20"/>
          <w:spacing w:val="-7"/>
        </w:rPr>
        <w:t> </w:t>
      </w:r>
      <w:r>
        <w:rPr>
          <w:color w:val="231F20"/>
        </w:rPr>
        <w:t>para</w:t>
      </w:r>
      <w:r>
        <w:rPr>
          <w:color w:val="231F20"/>
          <w:spacing w:val="-7"/>
        </w:rPr>
        <w:t> </w:t>
      </w:r>
      <w:r>
        <w:rPr>
          <w:color w:val="231F20"/>
        </w:rPr>
        <w:t>la</w:t>
      </w:r>
      <w:r>
        <w:rPr>
          <w:color w:val="231F20"/>
          <w:spacing w:val="-7"/>
        </w:rPr>
        <w:t> </w:t>
      </w:r>
      <w:r>
        <w:rPr>
          <w:color w:val="231F20"/>
        </w:rPr>
        <w:t>solución</w:t>
      </w:r>
      <w:r>
        <w:rPr>
          <w:color w:val="231F20"/>
          <w:spacing w:val="-7"/>
        </w:rPr>
        <w:t> </w:t>
      </w:r>
      <w:r>
        <w:rPr>
          <w:color w:val="231F20"/>
        </w:rPr>
        <w:t>de</w:t>
      </w:r>
      <w:r>
        <w:rPr>
          <w:color w:val="231F20"/>
          <w:spacing w:val="-7"/>
        </w:rPr>
        <w:t> </w:t>
      </w:r>
      <w:r>
        <w:rPr>
          <w:color w:val="231F20"/>
        </w:rPr>
        <w:t>proble- mas educativos, ambientales y demográficos. Desde la perspectiva plan- teada en los instrumentos donde éstos se originan, la pretendida ayuda se hace a través de préstamos de organismos internacionales como los men- cionados en el párrafo anterior, los cuales argumentan proveer financia- miento a cambio de la implantación de ciertas políticas públicas, mismas que</w:t>
      </w:r>
      <w:r>
        <w:rPr>
          <w:color w:val="231F20"/>
          <w:spacing w:val="-9"/>
        </w:rPr>
        <w:t> </w:t>
      </w:r>
      <w:r>
        <w:rPr>
          <w:color w:val="231F20"/>
        </w:rPr>
        <w:t>—desde</w:t>
      </w:r>
      <w:r>
        <w:rPr>
          <w:color w:val="231F20"/>
          <w:spacing w:val="-9"/>
        </w:rPr>
        <w:t> </w:t>
      </w:r>
      <w:r>
        <w:rPr>
          <w:color w:val="231F20"/>
        </w:rPr>
        <w:t>la</w:t>
      </w:r>
      <w:r>
        <w:rPr>
          <w:color w:val="231F20"/>
          <w:spacing w:val="-9"/>
        </w:rPr>
        <w:t> </w:t>
      </w:r>
      <w:r>
        <w:rPr>
          <w:color w:val="231F20"/>
        </w:rPr>
        <w:t>perspectiva</w:t>
      </w:r>
      <w:r>
        <w:rPr>
          <w:color w:val="231F20"/>
          <w:spacing w:val="-9"/>
        </w:rPr>
        <w:t> </w:t>
      </w:r>
      <w:r>
        <w:rPr>
          <w:color w:val="231F20"/>
        </w:rPr>
        <w:t>de</w:t>
      </w:r>
      <w:r>
        <w:rPr>
          <w:color w:val="231F20"/>
          <w:spacing w:val="-9"/>
        </w:rPr>
        <w:t> </w:t>
      </w:r>
      <w:r>
        <w:rPr>
          <w:color w:val="231F20"/>
        </w:rPr>
        <w:t>estos</w:t>
      </w:r>
      <w:r>
        <w:rPr>
          <w:color w:val="231F20"/>
          <w:spacing w:val="-9"/>
        </w:rPr>
        <w:t> </w:t>
      </w:r>
      <w:r>
        <w:rPr>
          <w:color w:val="231F20"/>
        </w:rPr>
        <w:t>organismos—</w:t>
      </w:r>
      <w:r>
        <w:rPr>
          <w:color w:val="231F20"/>
          <w:spacing w:val="-9"/>
        </w:rPr>
        <w:t> </w:t>
      </w:r>
      <w:r>
        <w:rPr>
          <w:color w:val="231F20"/>
        </w:rPr>
        <w:t>están</w:t>
      </w:r>
      <w:r>
        <w:rPr>
          <w:color w:val="231F20"/>
          <w:spacing w:val="-9"/>
        </w:rPr>
        <w:t> </w:t>
      </w:r>
      <w:r>
        <w:rPr>
          <w:color w:val="231F20"/>
        </w:rPr>
        <w:t>llamadas</w:t>
      </w:r>
      <w:r>
        <w:rPr>
          <w:color w:val="231F20"/>
          <w:spacing w:val="-9"/>
        </w:rPr>
        <w:t> </w:t>
      </w:r>
      <w:r>
        <w:rPr>
          <w:color w:val="231F20"/>
        </w:rPr>
        <w:t>a</w:t>
      </w:r>
      <w:r>
        <w:rPr>
          <w:color w:val="231F20"/>
          <w:spacing w:val="-9"/>
        </w:rPr>
        <w:t> </w:t>
      </w:r>
      <w:r>
        <w:rPr>
          <w:color w:val="231F20"/>
        </w:rPr>
        <w:t>mitigar los efectos de los problemas que se</w:t>
      </w:r>
      <w:r>
        <w:rPr>
          <w:color w:val="231F20"/>
          <w:spacing w:val="-4"/>
        </w:rPr>
        <w:t> </w:t>
      </w:r>
      <w:r>
        <w:rPr>
          <w:color w:val="231F20"/>
        </w:rPr>
        <w:t>presenten.</w:t>
      </w:r>
    </w:p>
    <w:p>
      <w:pPr>
        <w:pStyle w:val="BodyText"/>
        <w:spacing w:line="247" w:lineRule="auto"/>
        <w:ind w:left="117" w:right="114" w:firstLine="283"/>
        <w:jc w:val="both"/>
      </w:pPr>
      <w:r>
        <w:rPr>
          <w:color w:val="231F20"/>
        </w:rPr>
        <w:t>Son, como se ha mencionado en páginas previas, mecanismos que se establecen para gestionar, dar cauce o administrar fenómenos específicos. No obstante su redacción se hace en la mayoría de los casos en térmi-   nos muy generales, que no comprometen ni vinculan a los Estados a nada específico, pero que sí les crean las condiciones para la creación de un discurso con alto sentido de reivindicación o protección, en otras palabras funcionan perfectamente como dispositivos pues permiten la  </w:t>
      </w:r>
      <w:r>
        <w:rPr>
          <w:color w:val="231F20"/>
          <w:spacing w:val="8"/>
        </w:rPr>
        <w:t> </w:t>
      </w:r>
      <w:r>
        <w:rPr>
          <w:color w:val="231F20"/>
        </w:rPr>
        <w:t>concepción</w:t>
      </w:r>
    </w:p>
    <w:p>
      <w:pPr>
        <w:pStyle w:val="BodyText"/>
        <w:rPr>
          <w:sz w:val="20"/>
        </w:rPr>
      </w:pPr>
    </w:p>
    <w:p>
      <w:pPr>
        <w:pStyle w:val="BodyText"/>
        <w:spacing w:before="6"/>
        <w:rPr>
          <w:sz w:val="16"/>
        </w:rPr>
      </w:pPr>
      <w:r>
        <w:rPr/>
        <w:pict>
          <v:line style="position:absolute;mso-position-horizontal-relative:page;mso-position-vertical-relative:paragraph;z-index:3400;mso-wrap-distance-left:0;mso-wrap-distance-right:0" from="70.866096pt,11.865436pt" to="142.866096pt,11.865436pt" stroked="true" strokeweight=".75pt" strokecolor="#231f20">
            <w10:wrap type="topAndBottom"/>
          </v:line>
        </w:pict>
      </w:r>
    </w:p>
    <w:p>
      <w:pPr>
        <w:spacing w:line="170" w:lineRule="exact" w:before="0"/>
        <w:ind w:left="117" w:right="117" w:firstLine="0"/>
        <w:jc w:val="left"/>
        <w:rPr>
          <w:sz w:val="17"/>
        </w:rPr>
      </w:pPr>
      <w:r>
        <w:rPr>
          <w:color w:val="231F20"/>
          <w:position w:val="6"/>
          <w:sz w:val="10"/>
        </w:rPr>
        <w:t>6  </w:t>
      </w:r>
      <w:r>
        <w:rPr>
          <w:color w:val="231F20"/>
          <w:sz w:val="17"/>
        </w:rPr>
        <w:t>Esto es: los tratados deben cumplirse.</w:t>
      </w:r>
    </w:p>
    <w:p>
      <w:pPr>
        <w:spacing w:after="0" w:line="170" w:lineRule="exact"/>
        <w:jc w:val="left"/>
        <w:rPr>
          <w:sz w:val="17"/>
        </w:rPr>
        <w:sectPr>
          <w:pgSz w:w="9360" w:h="13040"/>
          <w:pgMar w:header="0" w:footer="496" w:top="800" w:bottom="680" w:left="1300" w:right="1300"/>
        </w:sectPr>
      </w:pPr>
    </w:p>
    <w:p>
      <w:pPr>
        <w:spacing w:before="45"/>
        <w:ind w:left="117" w:right="0" w:firstLine="395"/>
        <w:jc w:val="left"/>
        <w:rPr>
          <w:rFonts w:ascii="Arial" w:hAnsi="Arial"/>
          <w:sz w:val="20"/>
        </w:rPr>
      </w:pPr>
      <w:r>
        <w:rPr>
          <w:rFonts w:ascii="Arial" w:hAnsi="Arial"/>
          <w:color w:val="231F20"/>
          <w:w w:val="70"/>
          <w:sz w:val="20"/>
        </w:rPr>
        <w:t>El migrante centroamericano de paso por México y los derechos humanos /Luis Raúl Ortiz-Ramírez</w:t>
      </w:r>
    </w:p>
    <w:p>
      <w:pPr>
        <w:pStyle w:val="BodyText"/>
        <w:spacing w:before="7"/>
        <w:rPr>
          <w:rFonts w:ascii="Arial"/>
          <w:sz w:val="28"/>
        </w:rPr>
      </w:pPr>
    </w:p>
    <w:p>
      <w:pPr>
        <w:pStyle w:val="BodyText"/>
        <w:spacing w:line="247" w:lineRule="auto"/>
        <w:ind w:left="117" w:right="115"/>
        <w:jc w:val="both"/>
      </w:pPr>
      <w:r>
        <w:rPr>
          <w:color w:val="231F20"/>
        </w:rPr>
        <w:t>y adopción de políticas públicas que administran claramente el desarrollo desde una perspectiva teórica, pero no empírica.</w:t>
      </w:r>
    </w:p>
    <w:p>
      <w:pPr>
        <w:pStyle w:val="BodyText"/>
        <w:spacing w:line="247" w:lineRule="auto"/>
        <w:ind w:left="117" w:right="114" w:firstLine="283"/>
        <w:jc w:val="both"/>
      </w:pPr>
      <w:r>
        <w:rPr>
          <w:color w:val="231F20"/>
        </w:rPr>
        <w:t>Sumado a lo anterior, la doctrina jurídica establece que los derechos humanos de tercera generación no deben verse desagregados, ya que en</w:t>
      </w:r>
      <w:r>
        <w:rPr>
          <w:color w:val="231F20"/>
          <w:spacing w:val="-36"/>
        </w:rPr>
        <w:t> </w:t>
      </w:r>
      <w:r>
        <w:rPr>
          <w:color w:val="231F20"/>
        </w:rPr>
        <w:t>su conjunto</w:t>
      </w:r>
      <w:r>
        <w:rPr>
          <w:color w:val="231F20"/>
          <w:spacing w:val="-5"/>
        </w:rPr>
        <w:t> </w:t>
      </w:r>
      <w:r>
        <w:rPr>
          <w:color w:val="231F20"/>
        </w:rPr>
        <w:t>de</w:t>
      </w:r>
      <w:r>
        <w:rPr>
          <w:color w:val="231F20"/>
          <w:spacing w:val="-5"/>
        </w:rPr>
        <w:t> </w:t>
      </w:r>
      <w:r>
        <w:rPr>
          <w:color w:val="231F20"/>
        </w:rPr>
        <w:t>postulados</w:t>
      </w:r>
      <w:r>
        <w:rPr>
          <w:color w:val="231F20"/>
          <w:spacing w:val="-5"/>
        </w:rPr>
        <w:t> </w:t>
      </w:r>
      <w:r>
        <w:rPr>
          <w:color w:val="231F20"/>
        </w:rPr>
        <w:t>dogmáticos,</w:t>
      </w:r>
      <w:r>
        <w:rPr>
          <w:color w:val="231F20"/>
          <w:spacing w:val="-5"/>
        </w:rPr>
        <w:t> </w:t>
      </w:r>
      <w:r>
        <w:rPr>
          <w:color w:val="231F20"/>
        </w:rPr>
        <w:t>estos</w:t>
      </w:r>
      <w:r>
        <w:rPr>
          <w:color w:val="231F20"/>
          <w:spacing w:val="-5"/>
        </w:rPr>
        <w:t> </w:t>
      </w:r>
      <w:r>
        <w:rPr>
          <w:color w:val="231F20"/>
        </w:rPr>
        <w:t>derechos</w:t>
      </w:r>
      <w:r>
        <w:rPr>
          <w:color w:val="231F20"/>
          <w:spacing w:val="-5"/>
        </w:rPr>
        <w:t> </w:t>
      </w:r>
      <w:r>
        <w:rPr>
          <w:color w:val="231F20"/>
        </w:rPr>
        <w:t>representan</w:t>
      </w:r>
      <w:r>
        <w:rPr>
          <w:color w:val="231F20"/>
          <w:spacing w:val="-5"/>
        </w:rPr>
        <w:t> </w:t>
      </w:r>
      <w:r>
        <w:rPr>
          <w:color w:val="231F20"/>
        </w:rPr>
        <w:t>un</w:t>
      </w:r>
      <w:r>
        <w:rPr>
          <w:color w:val="231F20"/>
          <w:spacing w:val="-5"/>
        </w:rPr>
        <w:t> </w:t>
      </w:r>
      <w:r>
        <w:rPr>
          <w:color w:val="231F20"/>
        </w:rPr>
        <w:t>conjun- to de garantías consagradas en diversos textos legales y que presuponen una serie de mejorías. Por eso se les denomina de solidaridad, pues reco- bran</w:t>
      </w:r>
      <w:r>
        <w:rPr>
          <w:color w:val="231F20"/>
          <w:spacing w:val="-6"/>
        </w:rPr>
        <w:t> </w:t>
      </w:r>
      <w:r>
        <w:rPr>
          <w:color w:val="231F20"/>
        </w:rPr>
        <w:t>un</w:t>
      </w:r>
      <w:r>
        <w:rPr>
          <w:color w:val="231F20"/>
          <w:spacing w:val="-6"/>
        </w:rPr>
        <w:t> </w:t>
      </w:r>
      <w:r>
        <w:rPr>
          <w:color w:val="231F20"/>
        </w:rPr>
        <w:t>ideal</w:t>
      </w:r>
      <w:r>
        <w:rPr>
          <w:color w:val="231F20"/>
          <w:spacing w:val="-7"/>
        </w:rPr>
        <w:t> </w:t>
      </w:r>
      <w:r>
        <w:rPr>
          <w:color w:val="231F20"/>
        </w:rPr>
        <w:t>de</w:t>
      </w:r>
      <w:r>
        <w:rPr>
          <w:color w:val="231F20"/>
          <w:spacing w:val="-6"/>
        </w:rPr>
        <w:t> </w:t>
      </w:r>
      <w:r>
        <w:rPr>
          <w:color w:val="231F20"/>
        </w:rPr>
        <w:t>progreso</w:t>
      </w:r>
      <w:r>
        <w:rPr>
          <w:color w:val="231F20"/>
          <w:spacing w:val="-6"/>
        </w:rPr>
        <w:t> </w:t>
      </w:r>
      <w:r>
        <w:rPr>
          <w:color w:val="231F20"/>
        </w:rPr>
        <w:t>en</w:t>
      </w:r>
      <w:r>
        <w:rPr>
          <w:color w:val="231F20"/>
          <w:spacing w:val="-6"/>
        </w:rPr>
        <w:t> </w:t>
      </w:r>
      <w:r>
        <w:rPr>
          <w:color w:val="231F20"/>
        </w:rPr>
        <w:t>términos</w:t>
      </w:r>
      <w:r>
        <w:rPr>
          <w:color w:val="231F20"/>
          <w:spacing w:val="-7"/>
        </w:rPr>
        <w:t> </w:t>
      </w:r>
      <w:r>
        <w:rPr>
          <w:color w:val="231F20"/>
        </w:rPr>
        <w:t>de</w:t>
      </w:r>
      <w:r>
        <w:rPr>
          <w:color w:val="231F20"/>
          <w:spacing w:val="-6"/>
        </w:rPr>
        <w:t> </w:t>
      </w:r>
      <w:r>
        <w:rPr>
          <w:color w:val="231F20"/>
        </w:rPr>
        <w:t>desarrollo</w:t>
      </w:r>
      <w:r>
        <w:rPr>
          <w:color w:val="231F20"/>
          <w:spacing w:val="-6"/>
        </w:rPr>
        <w:t> </w:t>
      </w:r>
      <w:r>
        <w:rPr>
          <w:color w:val="231F20"/>
        </w:rPr>
        <w:t>occidental.</w:t>
      </w:r>
      <w:r>
        <w:rPr>
          <w:color w:val="231F20"/>
          <w:spacing w:val="-6"/>
        </w:rPr>
        <w:t> </w:t>
      </w:r>
      <w:r>
        <w:rPr>
          <w:color w:val="231F20"/>
        </w:rPr>
        <w:t>Estos</w:t>
      </w:r>
      <w:r>
        <w:rPr>
          <w:color w:val="231F20"/>
          <w:spacing w:val="-7"/>
        </w:rPr>
        <w:t> </w:t>
      </w:r>
      <w:r>
        <w:rPr>
          <w:color w:val="231F20"/>
        </w:rPr>
        <w:t>dere- chos están contenidos en la Declaración Universal de los Derechos de los pueblos, dictada en Argel, en 1976 que contiene como rubros principales de protección el derecho a la existencia, el derecho a la</w:t>
      </w:r>
      <w:r>
        <w:rPr>
          <w:color w:val="231F20"/>
          <w:spacing w:val="-23"/>
        </w:rPr>
        <w:t> </w:t>
      </w:r>
      <w:r>
        <w:rPr>
          <w:color w:val="231F20"/>
        </w:rPr>
        <w:t>autodeterminación política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pueblos,</w:t>
      </w:r>
      <w:r>
        <w:rPr>
          <w:color w:val="231F20"/>
          <w:spacing w:val="-10"/>
        </w:rPr>
        <w:t> </w:t>
      </w:r>
      <w:r>
        <w:rPr>
          <w:color w:val="231F20"/>
        </w:rPr>
        <w:t>derechos</w:t>
      </w:r>
      <w:r>
        <w:rPr>
          <w:color w:val="231F20"/>
          <w:spacing w:val="-10"/>
        </w:rPr>
        <w:t> </w:t>
      </w:r>
      <w:r>
        <w:rPr>
          <w:color w:val="231F20"/>
        </w:rPr>
        <w:t>económicos,</w:t>
      </w:r>
      <w:r>
        <w:rPr>
          <w:color w:val="231F20"/>
          <w:spacing w:val="-11"/>
        </w:rPr>
        <w:t> </w:t>
      </w:r>
      <w:r>
        <w:rPr>
          <w:color w:val="231F20"/>
        </w:rPr>
        <w:t>derecho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cultura,</w:t>
      </w:r>
      <w:r>
        <w:rPr>
          <w:color w:val="231F20"/>
          <w:spacing w:val="-10"/>
        </w:rPr>
        <w:t> </w:t>
      </w:r>
      <w:r>
        <w:rPr>
          <w:color w:val="231F20"/>
        </w:rPr>
        <w:t>derecho al</w:t>
      </w:r>
      <w:r>
        <w:rPr>
          <w:color w:val="231F20"/>
          <w:spacing w:val="-8"/>
        </w:rPr>
        <w:t> </w:t>
      </w:r>
      <w:r>
        <w:rPr>
          <w:color w:val="231F20"/>
        </w:rPr>
        <w:t>medio</w:t>
      </w:r>
      <w:r>
        <w:rPr>
          <w:color w:val="231F20"/>
          <w:spacing w:val="-8"/>
        </w:rPr>
        <w:t> </w:t>
      </w:r>
      <w:r>
        <w:rPr>
          <w:color w:val="231F20"/>
        </w:rPr>
        <w:t>ambiente</w:t>
      </w:r>
      <w:r>
        <w:rPr>
          <w:color w:val="231F20"/>
          <w:spacing w:val="-8"/>
        </w:rPr>
        <w:t> </w:t>
      </w:r>
      <w:r>
        <w:rPr>
          <w:color w:val="231F20"/>
        </w:rPr>
        <w:t>y</w:t>
      </w:r>
      <w:r>
        <w:rPr>
          <w:color w:val="231F20"/>
          <w:spacing w:val="-8"/>
        </w:rPr>
        <w:t> </w:t>
      </w:r>
      <w:r>
        <w:rPr>
          <w:color w:val="231F20"/>
        </w:rPr>
        <w:t>recursos</w:t>
      </w:r>
      <w:r>
        <w:rPr>
          <w:color w:val="231F20"/>
          <w:spacing w:val="-8"/>
        </w:rPr>
        <w:t> </w:t>
      </w:r>
      <w:r>
        <w:rPr>
          <w:color w:val="231F20"/>
        </w:rPr>
        <w:t>comunes,</w:t>
      </w:r>
      <w:r>
        <w:rPr>
          <w:color w:val="231F20"/>
          <w:spacing w:val="-8"/>
        </w:rPr>
        <w:t> </w:t>
      </w:r>
      <w:r>
        <w:rPr>
          <w:color w:val="231F20"/>
        </w:rPr>
        <w:t>derechos</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minorías,</w:t>
      </w:r>
      <w:r>
        <w:rPr>
          <w:color w:val="231F20"/>
          <w:spacing w:val="-9"/>
        </w:rPr>
        <w:t> </w:t>
      </w:r>
      <w:r>
        <w:rPr>
          <w:color w:val="231F20"/>
        </w:rPr>
        <w:t>así</w:t>
      </w:r>
      <w:r>
        <w:rPr>
          <w:color w:val="231F20"/>
          <w:spacing w:val="-8"/>
        </w:rPr>
        <w:t> </w:t>
      </w:r>
      <w:r>
        <w:rPr>
          <w:color w:val="231F20"/>
        </w:rPr>
        <w:t>como un apartado de garantías y sanciones. Haciendo un ejercicio hermenéutico de</w:t>
      </w:r>
      <w:r>
        <w:rPr>
          <w:color w:val="231F20"/>
          <w:spacing w:val="-7"/>
        </w:rPr>
        <w:t> </w:t>
      </w:r>
      <w:r>
        <w:rPr>
          <w:color w:val="231F20"/>
        </w:rPr>
        <w:t>los</w:t>
      </w:r>
      <w:r>
        <w:rPr>
          <w:color w:val="231F20"/>
          <w:spacing w:val="-8"/>
        </w:rPr>
        <w:t> </w:t>
      </w:r>
      <w:r>
        <w:rPr>
          <w:color w:val="231F20"/>
        </w:rPr>
        <w:t>principios</w:t>
      </w:r>
      <w:r>
        <w:rPr>
          <w:color w:val="231F20"/>
          <w:spacing w:val="-8"/>
        </w:rPr>
        <w:t> </w:t>
      </w:r>
      <w:r>
        <w:rPr>
          <w:color w:val="231F20"/>
        </w:rPr>
        <w:t>anteriormente</w:t>
      </w:r>
      <w:r>
        <w:rPr>
          <w:color w:val="231F20"/>
          <w:spacing w:val="-8"/>
        </w:rPr>
        <w:t> </w:t>
      </w:r>
      <w:r>
        <w:rPr>
          <w:color w:val="231F20"/>
        </w:rPr>
        <w:t>mencionados,</w:t>
      </w:r>
      <w:r>
        <w:rPr>
          <w:color w:val="231F20"/>
          <w:spacing w:val="-8"/>
        </w:rPr>
        <w:t> </w:t>
      </w:r>
      <w:r>
        <w:rPr>
          <w:color w:val="231F20"/>
        </w:rPr>
        <w:t>se</w:t>
      </w:r>
      <w:r>
        <w:rPr>
          <w:color w:val="231F20"/>
          <w:spacing w:val="-7"/>
        </w:rPr>
        <w:t> </w:t>
      </w:r>
      <w:r>
        <w:rPr>
          <w:color w:val="231F20"/>
        </w:rPr>
        <w:t>concluye</w:t>
      </w:r>
      <w:r>
        <w:rPr>
          <w:color w:val="231F20"/>
          <w:spacing w:val="-8"/>
        </w:rPr>
        <w:t> </w:t>
      </w:r>
      <w:r>
        <w:rPr>
          <w:color w:val="231F20"/>
        </w:rPr>
        <w:t>que</w:t>
      </w:r>
      <w:r>
        <w:rPr>
          <w:color w:val="231F20"/>
          <w:spacing w:val="-7"/>
        </w:rPr>
        <w:t> </w:t>
      </w:r>
      <w:r>
        <w:rPr>
          <w:color w:val="231F20"/>
        </w:rPr>
        <w:t>el</w:t>
      </w:r>
      <w:r>
        <w:rPr>
          <w:color w:val="231F20"/>
          <w:spacing w:val="-7"/>
        </w:rPr>
        <w:t> </w:t>
      </w:r>
      <w:r>
        <w:rPr>
          <w:color w:val="231F20"/>
        </w:rPr>
        <w:t>derecho</w:t>
      </w:r>
      <w:r>
        <w:rPr>
          <w:color w:val="231F20"/>
          <w:spacing w:val="-8"/>
        </w:rPr>
        <w:t> </w:t>
      </w:r>
      <w:r>
        <w:rPr>
          <w:color w:val="231F20"/>
        </w:rPr>
        <w:t>a la dignidad es uno de los que deben ser protegidos y</w:t>
      </w:r>
      <w:r>
        <w:rPr>
          <w:color w:val="231F20"/>
          <w:spacing w:val="-4"/>
        </w:rPr>
        <w:t> </w:t>
      </w:r>
      <w:r>
        <w:rPr>
          <w:color w:val="231F20"/>
        </w:rPr>
        <w:t>consagrados.</w:t>
      </w:r>
    </w:p>
    <w:p>
      <w:pPr>
        <w:pStyle w:val="Heading3"/>
      </w:pPr>
      <w:r>
        <w:rPr>
          <w:color w:val="231F20"/>
        </w:rPr>
        <w:t>Conclusión</w:t>
      </w:r>
    </w:p>
    <w:p>
      <w:pPr>
        <w:pStyle w:val="BodyText"/>
        <w:spacing w:line="247" w:lineRule="auto" w:before="172"/>
        <w:ind w:left="117" w:right="114"/>
        <w:jc w:val="both"/>
      </w:pPr>
      <w:r>
        <w:rPr>
          <w:color w:val="231F20"/>
        </w:rPr>
        <w:t>La migración es un fenómeno sobre el cual se ha escrito desde muchas trincheras, todas ellas muy importantes para la construcción del fenómeno migratorio. La mayoría de estos estudios hacen énfasis en las perspectivas antropológicas,</w:t>
      </w:r>
      <w:r>
        <w:rPr>
          <w:color w:val="231F20"/>
          <w:spacing w:val="-12"/>
        </w:rPr>
        <w:t> </w:t>
      </w:r>
      <w:r>
        <w:rPr>
          <w:color w:val="231F20"/>
        </w:rPr>
        <w:t>demográficas,</w:t>
      </w:r>
      <w:r>
        <w:rPr>
          <w:color w:val="231F20"/>
          <w:spacing w:val="-12"/>
        </w:rPr>
        <w:t> </w:t>
      </w:r>
      <w:r>
        <w:rPr>
          <w:color w:val="231F20"/>
        </w:rPr>
        <w:t>políticas</w:t>
      </w:r>
      <w:r>
        <w:rPr>
          <w:color w:val="231F20"/>
          <w:spacing w:val="-12"/>
        </w:rPr>
        <w:t> </w:t>
      </w:r>
      <w:r>
        <w:rPr>
          <w:color w:val="231F20"/>
        </w:rPr>
        <w:t>y</w:t>
      </w:r>
      <w:r>
        <w:rPr>
          <w:color w:val="231F20"/>
          <w:spacing w:val="-12"/>
        </w:rPr>
        <w:t> </w:t>
      </w:r>
      <w:r>
        <w:rPr>
          <w:color w:val="231F20"/>
        </w:rPr>
        <w:t>económicas,</w:t>
      </w:r>
      <w:r>
        <w:rPr>
          <w:color w:val="231F20"/>
          <w:spacing w:val="-12"/>
        </w:rPr>
        <w:t> </w:t>
      </w:r>
      <w:r>
        <w:rPr>
          <w:color w:val="231F20"/>
        </w:rPr>
        <w:t>sin</w:t>
      </w:r>
      <w:r>
        <w:rPr>
          <w:color w:val="231F20"/>
          <w:spacing w:val="-12"/>
        </w:rPr>
        <w:t> </w:t>
      </w:r>
      <w:r>
        <w:rPr>
          <w:color w:val="231F20"/>
        </w:rPr>
        <w:t>embargo,</w:t>
      </w:r>
      <w:r>
        <w:rPr>
          <w:color w:val="231F20"/>
          <w:spacing w:val="-12"/>
        </w:rPr>
        <w:t> </w:t>
      </w:r>
      <w:r>
        <w:rPr>
          <w:color w:val="231F20"/>
        </w:rPr>
        <w:t>en</w:t>
      </w:r>
      <w:r>
        <w:rPr>
          <w:color w:val="231F20"/>
          <w:spacing w:val="-12"/>
        </w:rPr>
        <w:t> </w:t>
      </w:r>
      <w:r>
        <w:rPr>
          <w:color w:val="231F20"/>
        </w:rPr>
        <w:t>este artículo se pretende presentar una mirada hacia el migrante y su experien- cia desde la perspectiva foucaultiana, la cual permite leer la historia y los discursos</w:t>
      </w:r>
      <w:r>
        <w:rPr>
          <w:color w:val="231F20"/>
          <w:spacing w:val="-5"/>
        </w:rPr>
        <w:t> </w:t>
      </w:r>
      <w:r>
        <w:rPr>
          <w:color w:val="231F20"/>
        </w:rPr>
        <w:t>bajo</w:t>
      </w:r>
      <w:r>
        <w:rPr>
          <w:color w:val="231F20"/>
          <w:spacing w:val="-5"/>
        </w:rPr>
        <w:t> </w:t>
      </w:r>
      <w:r>
        <w:rPr>
          <w:color w:val="231F20"/>
        </w:rPr>
        <w:t>una</w:t>
      </w:r>
      <w:r>
        <w:rPr>
          <w:color w:val="231F20"/>
          <w:spacing w:val="-5"/>
        </w:rPr>
        <w:t> </w:t>
      </w:r>
      <w:r>
        <w:rPr>
          <w:color w:val="231F20"/>
        </w:rPr>
        <w:t>lupa</w:t>
      </w:r>
      <w:r>
        <w:rPr>
          <w:color w:val="231F20"/>
          <w:spacing w:val="-5"/>
        </w:rPr>
        <w:t> </w:t>
      </w:r>
      <w:r>
        <w:rPr>
          <w:color w:val="231F20"/>
        </w:rPr>
        <w:t>crítica.</w:t>
      </w:r>
      <w:r>
        <w:rPr>
          <w:color w:val="231F20"/>
          <w:spacing w:val="-5"/>
        </w:rPr>
        <w:t> </w:t>
      </w:r>
      <w:r>
        <w:rPr>
          <w:color w:val="231F20"/>
        </w:rPr>
        <w:t>La</w:t>
      </w:r>
      <w:r>
        <w:rPr>
          <w:color w:val="231F20"/>
          <w:spacing w:val="-5"/>
        </w:rPr>
        <w:t> </w:t>
      </w:r>
      <w:r>
        <w:rPr>
          <w:color w:val="231F20"/>
        </w:rPr>
        <w:t>mirada</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adoptó</w:t>
      </w:r>
      <w:r>
        <w:rPr>
          <w:color w:val="231F20"/>
          <w:spacing w:val="-5"/>
        </w:rPr>
        <w:t> </w:t>
      </w:r>
      <w:r>
        <w:rPr>
          <w:color w:val="231F20"/>
        </w:rPr>
        <w:t>durante</w:t>
      </w:r>
      <w:r>
        <w:rPr>
          <w:color w:val="231F20"/>
          <w:spacing w:val="-5"/>
        </w:rPr>
        <w:t> </w:t>
      </w:r>
      <w:r>
        <w:rPr>
          <w:color w:val="231F20"/>
        </w:rPr>
        <w:t>la</w:t>
      </w:r>
      <w:r>
        <w:rPr>
          <w:color w:val="231F20"/>
          <w:spacing w:val="-5"/>
        </w:rPr>
        <w:t> </w:t>
      </w:r>
      <w:r>
        <w:rPr>
          <w:color w:val="231F20"/>
        </w:rPr>
        <w:t>confor- mación de este texto pretende poner sobre la mesa el tema concerniente al discurso de protección de los derechos humanos de los migrantes a través de diversos mecanismos, denominados</w:t>
      </w:r>
      <w:r>
        <w:rPr>
          <w:color w:val="231F20"/>
          <w:spacing w:val="-1"/>
        </w:rPr>
        <w:t> </w:t>
      </w:r>
      <w:r>
        <w:rPr>
          <w:color w:val="231F20"/>
        </w:rPr>
        <w:t>dispositivos.</w:t>
      </w:r>
    </w:p>
    <w:p>
      <w:pPr>
        <w:pStyle w:val="BodyText"/>
        <w:spacing w:line="247" w:lineRule="auto"/>
        <w:ind w:left="117" w:right="114" w:firstLine="283"/>
        <w:jc w:val="both"/>
      </w:pPr>
      <w:r>
        <w:rPr>
          <w:color w:val="231F20"/>
        </w:rPr>
        <w:t>Estos dispositivos, como se mencionó en páginas anteriores, buscan   la normalización, implementación y aceptación de una serie de políticas públicas, así como de actitudes y acciones tomadas por parte de la socie- dad civil. Estas acciones encuentran un cauce o una forma de existencia a través de las diversas manifestaciones culturales que aparecen a lo largo de las relaciones sociales. De esta forma se logra administrar y controlar a lo vivo, desde diferentes lugares (lo público y lo privado) y con diferentes enunciaciones, unas restrictivas, pero que garantizan protección de los in- tereses de los locales, como la Ley de Migración o la Ley General de Po- blación. Otras brindan un escenario muy alentador, pero sin   mecanismos</w:t>
      </w:r>
    </w:p>
    <w:p>
      <w:pPr>
        <w:spacing w:after="0" w:line="247" w:lineRule="auto"/>
        <w:jc w:val="both"/>
        <w:sectPr>
          <w:pgSz w:w="9360" w:h="13040"/>
          <w:pgMar w:header="0" w:footer="496" w:top="740" w:bottom="680" w:left="1300" w:right="1300"/>
        </w:sectPr>
      </w:pPr>
    </w:p>
    <w:p>
      <w:pPr>
        <w:tabs>
          <w:tab w:pos="5536" w:val="left" w:leader="none"/>
        </w:tabs>
        <w:spacing w:before="48"/>
        <w:ind w:left="117" w:right="117" w:hanging="12"/>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49"/>
      </w:pPr>
      <w:r>
        <w:rPr>
          <w:color w:val="231F20"/>
        </w:rPr>
        <w:t>efectivos de aplicación, tales como los diversos tratados internacionales en materia de protección de los derechos humanos.</w:t>
      </w:r>
    </w:p>
    <w:p>
      <w:pPr>
        <w:pStyle w:val="BodyText"/>
        <w:spacing w:line="247" w:lineRule="auto"/>
        <w:ind w:left="117" w:right="114" w:firstLine="283"/>
        <w:jc w:val="both"/>
      </w:pPr>
      <w:r>
        <w:rPr>
          <w:color w:val="231F20"/>
        </w:rPr>
        <w:t>Y</w:t>
      </w:r>
      <w:r>
        <w:rPr>
          <w:color w:val="231F20"/>
          <w:spacing w:val="-20"/>
        </w:rPr>
        <w:t> </w:t>
      </w:r>
      <w:r>
        <w:rPr>
          <w:color w:val="231F20"/>
        </w:rPr>
        <w:t>así,</w:t>
      </w:r>
      <w:r>
        <w:rPr>
          <w:color w:val="231F20"/>
          <w:spacing w:val="-12"/>
        </w:rPr>
        <w:t> </w:t>
      </w:r>
      <w:r>
        <w:rPr>
          <w:color w:val="231F20"/>
        </w:rPr>
        <w:t>el</w:t>
      </w:r>
      <w:r>
        <w:rPr>
          <w:color w:val="231F20"/>
          <w:spacing w:val="-11"/>
        </w:rPr>
        <w:t> </w:t>
      </w:r>
      <w:r>
        <w:rPr>
          <w:color w:val="231F20"/>
        </w:rPr>
        <w:t>sujeto</w:t>
      </w:r>
      <w:r>
        <w:rPr>
          <w:color w:val="231F20"/>
          <w:spacing w:val="-11"/>
        </w:rPr>
        <w:t> </w:t>
      </w:r>
      <w:r>
        <w:rPr>
          <w:color w:val="231F20"/>
        </w:rPr>
        <w:t>migrante</w:t>
      </w:r>
      <w:r>
        <w:rPr>
          <w:color w:val="231F20"/>
          <w:spacing w:val="-12"/>
        </w:rPr>
        <w:t> </w:t>
      </w:r>
      <w:r>
        <w:rPr>
          <w:color w:val="231F20"/>
        </w:rPr>
        <w:t>centroamericano</w:t>
      </w:r>
      <w:r>
        <w:rPr>
          <w:color w:val="231F20"/>
          <w:spacing w:val="-12"/>
        </w:rPr>
        <w:t> </w:t>
      </w:r>
      <w:r>
        <w:rPr>
          <w:color w:val="231F20"/>
        </w:rPr>
        <w:t>se</w:t>
      </w:r>
      <w:r>
        <w:rPr>
          <w:color w:val="231F20"/>
          <w:spacing w:val="-11"/>
        </w:rPr>
        <w:t> </w:t>
      </w:r>
      <w:r>
        <w:rPr>
          <w:color w:val="231F20"/>
        </w:rPr>
        <w:t>encuentra</w:t>
      </w:r>
      <w:r>
        <w:rPr>
          <w:color w:val="231F20"/>
          <w:spacing w:val="-12"/>
        </w:rPr>
        <w:t> </w:t>
      </w:r>
      <w:r>
        <w:rPr>
          <w:color w:val="231F20"/>
        </w:rPr>
        <w:t>en</w:t>
      </w:r>
      <w:r>
        <w:rPr>
          <w:color w:val="231F20"/>
          <w:spacing w:val="-11"/>
        </w:rPr>
        <w:t> </w:t>
      </w:r>
      <w:r>
        <w:rPr>
          <w:color w:val="231F20"/>
        </w:rPr>
        <w:t>un</w:t>
      </w:r>
      <w:r>
        <w:rPr>
          <w:color w:val="231F20"/>
          <w:spacing w:val="-11"/>
        </w:rPr>
        <w:t> </w:t>
      </w:r>
      <w:r>
        <w:rPr>
          <w:color w:val="231F20"/>
        </w:rPr>
        <w:t>limbo</w:t>
      </w:r>
      <w:r>
        <w:rPr>
          <w:color w:val="231F20"/>
          <w:spacing w:val="-12"/>
        </w:rPr>
        <w:t> </w:t>
      </w:r>
      <w:r>
        <w:rPr>
          <w:color w:val="231F20"/>
        </w:rPr>
        <w:t>jurí- dico, social y garantista. No se le reconoce su identidad, pues sin importar que él se defina o no como centroamericano (a pesar de las diferencias culturales</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artificialidad</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impone</w:t>
      </w:r>
      <w:r>
        <w:rPr>
          <w:color w:val="231F20"/>
          <w:spacing w:val="-7"/>
        </w:rPr>
        <w:t> </w:t>
      </w:r>
      <w:r>
        <w:rPr>
          <w:color w:val="231F20"/>
        </w:rPr>
        <w:t>el</w:t>
      </w:r>
      <w:r>
        <w:rPr>
          <w:color w:val="231F20"/>
          <w:spacing w:val="-7"/>
        </w:rPr>
        <w:t> </w:t>
      </w:r>
      <w:r>
        <w:rPr>
          <w:color w:val="231F20"/>
        </w:rPr>
        <w:t>término)</w:t>
      </w:r>
      <w:r>
        <w:rPr>
          <w:color w:val="231F20"/>
          <w:spacing w:val="-7"/>
        </w:rPr>
        <w:t> </w:t>
      </w:r>
      <w:r>
        <w:rPr>
          <w:color w:val="231F20"/>
        </w:rPr>
        <w:t>pasa</w:t>
      </w:r>
      <w:r>
        <w:rPr>
          <w:color w:val="231F20"/>
          <w:spacing w:val="-7"/>
        </w:rPr>
        <w:t> </w:t>
      </w:r>
      <w:r>
        <w:rPr>
          <w:color w:val="231F20"/>
        </w:rPr>
        <w:t>a</w:t>
      </w:r>
      <w:r>
        <w:rPr>
          <w:color w:val="231F20"/>
          <w:spacing w:val="-7"/>
        </w:rPr>
        <w:t> </w:t>
      </w:r>
      <w:r>
        <w:rPr>
          <w:color w:val="231F20"/>
        </w:rPr>
        <w:t>formar parte de un colectivo que goza de la protección discursiva del concierto internacional y de manera particular en todo aquello que concierne a la responsabilidad</w:t>
      </w:r>
      <w:r>
        <w:rPr>
          <w:color w:val="231F20"/>
          <w:spacing w:val="-7"/>
        </w:rPr>
        <w:t> </w:t>
      </w:r>
      <w:r>
        <w:rPr>
          <w:color w:val="231F20"/>
        </w:rPr>
        <w:t>y</w:t>
      </w:r>
      <w:r>
        <w:rPr>
          <w:color w:val="231F20"/>
          <w:spacing w:val="-7"/>
        </w:rPr>
        <w:t> </w:t>
      </w:r>
      <w:r>
        <w:rPr>
          <w:color w:val="231F20"/>
        </w:rPr>
        <w:t>aplicación</w:t>
      </w:r>
      <w:r>
        <w:rPr>
          <w:color w:val="231F20"/>
          <w:spacing w:val="-8"/>
        </w:rPr>
        <w:t> </w:t>
      </w:r>
      <w:r>
        <w:rPr>
          <w:color w:val="231F20"/>
        </w:rPr>
        <w:t>del</w:t>
      </w:r>
      <w:r>
        <w:rPr>
          <w:color w:val="231F20"/>
          <w:spacing w:val="-8"/>
        </w:rPr>
        <w:t> </w:t>
      </w:r>
      <w:r>
        <w:rPr>
          <w:color w:val="231F20"/>
        </w:rPr>
        <w:t>gobierno</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sociedad.</w:t>
      </w:r>
      <w:r>
        <w:rPr>
          <w:color w:val="231F20"/>
          <w:spacing w:val="-19"/>
        </w:rPr>
        <w:t> </w:t>
      </w:r>
      <w:r>
        <w:rPr>
          <w:color w:val="231F20"/>
        </w:rPr>
        <w:t>A</w:t>
      </w:r>
      <w:r>
        <w:rPr>
          <w:color w:val="231F20"/>
          <w:spacing w:val="-20"/>
        </w:rPr>
        <w:t> </w:t>
      </w:r>
      <w:r>
        <w:rPr>
          <w:color w:val="231F20"/>
        </w:rPr>
        <w:t>estos</w:t>
      </w:r>
      <w:r>
        <w:rPr>
          <w:color w:val="231F20"/>
          <w:spacing w:val="-8"/>
        </w:rPr>
        <w:t> </w:t>
      </w:r>
      <w:r>
        <w:rPr>
          <w:color w:val="231F20"/>
        </w:rPr>
        <w:t>problemas que tradicionalmente enfrenta, tales como violencia, abuso de autoridad, extorsión y contrabando, entre otros, habría que sumar la cuestiones de violencia y crimen organizado del país que se presentan desde antes de 1999 (Stolowicz, 1999: 1) de tal forma que se ha levantado una serie de denuncias por parte de los migrantes, quienes en el discurso cuentan con una</w:t>
      </w:r>
      <w:r>
        <w:rPr>
          <w:color w:val="231F20"/>
          <w:spacing w:val="-5"/>
        </w:rPr>
        <w:t> </w:t>
      </w:r>
      <w:r>
        <w:rPr>
          <w:color w:val="231F20"/>
        </w:rPr>
        <w:t>serie</w:t>
      </w:r>
      <w:r>
        <w:rPr>
          <w:color w:val="231F20"/>
          <w:spacing w:val="-5"/>
        </w:rPr>
        <w:t> </w:t>
      </w:r>
      <w:r>
        <w:rPr>
          <w:color w:val="231F20"/>
        </w:rPr>
        <w:t>de</w:t>
      </w:r>
      <w:r>
        <w:rPr>
          <w:color w:val="231F20"/>
          <w:spacing w:val="-5"/>
        </w:rPr>
        <w:t> </w:t>
      </w:r>
      <w:r>
        <w:rPr>
          <w:color w:val="231F20"/>
        </w:rPr>
        <w:t>protecciones</w:t>
      </w:r>
      <w:r>
        <w:rPr>
          <w:color w:val="231F20"/>
          <w:spacing w:val="-5"/>
        </w:rPr>
        <w:t> </w:t>
      </w:r>
      <w:r>
        <w:rPr>
          <w:color w:val="231F20"/>
        </w:rPr>
        <w:t>contenidas</w:t>
      </w:r>
      <w:r>
        <w:rPr>
          <w:color w:val="231F20"/>
          <w:spacing w:val="-6"/>
        </w:rPr>
        <w:t> </w:t>
      </w:r>
      <w:r>
        <w:rPr>
          <w:color w:val="231F20"/>
        </w:rPr>
        <w:t>en</w:t>
      </w:r>
      <w:r>
        <w:rPr>
          <w:color w:val="231F20"/>
          <w:spacing w:val="-5"/>
        </w:rPr>
        <w:t> </w:t>
      </w:r>
      <w:r>
        <w:rPr>
          <w:color w:val="231F20"/>
        </w:rPr>
        <w:t>instrumentos</w:t>
      </w:r>
      <w:r>
        <w:rPr>
          <w:color w:val="231F20"/>
          <w:spacing w:val="-6"/>
        </w:rPr>
        <w:t> </w:t>
      </w:r>
      <w:r>
        <w:rPr>
          <w:color w:val="231F20"/>
        </w:rPr>
        <w:t>legales</w:t>
      </w:r>
      <w:r>
        <w:rPr>
          <w:color w:val="231F20"/>
          <w:spacing w:val="-5"/>
        </w:rPr>
        <w:t> </w:t>
      </w:r>
      <w:r>
        <w:rPr>
          <w:color w:val="231F20"/>
        </w:rPr>
        <w:t>internaciona- les,</w:t>
      </w:r>
      <w:r>
        <w:rPr>
          <w:color w:val="231F20"/>
          <w:spacing w:val="-8"/>
        </w:rPr>
        <w:t> </w:t>
      </w:r>
      <w:r>
        <w:rPr>
          <w:color w:val="231F20"/>
        </w:rPr>
        <w:t>pero</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la</w:t>
      </w:r>
      <w:r>
        <w:rPr>
          <w:color w:val="231F20"/>
          <w:spacing w:val="-8"/>
        </w:rPr>
        <w:t> </w:t>
      </w:r>
      <w:r>
        <w:rPr>
          <w:color w:val="231F20"/>
        </w:rPr>
        <w:t>práctica</w:t>
      </w:r>
      <w:r>
        <w:rPr>
          <w:color w:val="231F20"/>
          <w:spacing w:val="-7"/>
        </w:rPr>
        <w:t> </w:t>
      </w:r>
      <w:r>
        <w:rPr>
          <w:color w:val="231F20"/>
        </w:rPr>
        <w:t>son</w:t>
      </w:r>
      <w:r>
        <w:rPr>
          <w:color w:val="231F20"/>
          <w:spacing w:val="-7"/>
        </w:rPr>
        <w:t> </w:t>
      </w:r>
      <w:r>
        <w:rPr>
          <w:color w:val="231F20"/>
        </w:rPr>
        <w:t>vulneradas</w:t>
      </w:r>
      <w:r>
        <w:rPr>
          <w:color w:val="231F20"/>
          <w:spacing w:val="-8"/>
        </w:rPr>
        <w:t> </w:t>
      </w:r>
      <w:r>
        <w:rPr>
          <w:color w:val="231F20"/>
        </w:rPr>
        <w:t>por</w:t>
      </w:r>
      <w:r>
        <w:rPr>
          <w:color w:val="231F20"/>
          <w:spacing w:val="-7"/>
        </w:rPr>
        <w:t> </w:t>
      </w:r>
      <w:r>
        <w:rPr>
          <w:color w:val="231F20"/>
        </w:rPr>
        <w:t>las</w:t>
      </w:r>
      <w:r>
        <w:rPr>
          <w:color w:val="231F20"/>
          <w:spacing w:val="-8"/>
        </w:rPr>
        <w:t> </w:t>
      </w:r>
      <w:r>
        <w:rPr>
          <w:color w:val="231F20"/>
        </w:rPr>
        <w:t>instituciones</w:t>
      </w:r>
      <w:r>
        <w:rPr>
          <w:color w:val="231F20"/>
          <w:spacing w:val="-8"/>
        </w:rPr>
        <w:t> </w:t>
      </w:r>
      <w:r>
        <w:rPr>
          <w:color w:val="231F20"/>
        </w:rPr>
        <w:t>de</w:t>
      </w:r>
      <w:r>
        <w:rPr>
          <w:color w:val="231F20"/>
          <w:spacing w:val="-7"/>
        </w:rPr>
        <w:t> </w:t>
      </w:r>
      <w:r>
        <w:rPr>
          <w:color w:val="231F20"/>
        </w:rPr>
        <w:t>Derecho interno.</w:t>
      </w:r>
    </w:p>
    <w:p>
      <w:pPr>
        <w:pStyle w:val="BodyText"/>
        <w:spacing w:line="247" w:lineRule="auto"/>
        <w:ind w:left="117" w:right="114" w:firstLine="283"/>
        <w:jc w:val="both"/>
      </w:pPr>
      <w:r>
        <w:rPr>
          <w:color w:val="231F20"/>
        </w:rPr>
        <w:t>Sus idealidades, aspiraciones, necesidades y derechos pasan a segundo plano. Lo importante parece ser la mención de cifras, el decreto de leyes, el anuncio de políticas, la realización de promesas, elementos todos que conforman la realidad oficial, con la que algunos actores de los sectores públicos</w:t>
      </w:r>
      <w:r>
        <w:rPr>
          <w:color w:val="231F20"/>
          <w:spacing w:val="-8"/>
        </w:rPr>
        <w:t> </w:t>
      </w:r>
      <w:r>
        <w:rPr>
          <w:color w:val="231F20"/>
        </w:rPr>
        <w:t>y</w:t>
      </w:r>
      <w:r>
        <w:rPr>
          <w:color w:val="231F20"/>
          <w:spacing w:val="-8"/>
        </w:rPr>
        <w:t> </w:t>
      </w:r>
      <w:r>
        <w:rPr>
          <w:color w:val="231F20"/>
        </w:rPr>
        <w:t>privados,</w:t>
      </w:r>
      <w:r>
        <w:rPr>
          <w:color w:val="231F20"/>
          <w:spacing w:val="-8"/>
        </w:rPr>
        <w:t> </w:t>
      </w:r>
      <w:r>
        <w:rPr>
          <w:color w:val="231F20"/>
        </w:rPr>
        <w:t>locales</w:t>
      </w:r>
      <w:r>
        <w:rPr>
          <w:color w:val="231F20"/>
          <w:spacing w:val="-8"/>
        </w:rPr>
        <w:t> </w:t>
      </w:r>
      <w:r>
        <w:rPr>
          <w:color w:val="231F20"/>
        </w:rPr>
        <w:t>e</w:t>
      </w:r>
      <w:r>
        <w:rPr>
          <w:color w:val="231F20"/>
          <w:spacing w:val="-8"/>
        </w:rPr>
        <w:t> </w:t>
      </w:r>
      <w:r>
        <w:rPr>
          <w:color w:val="231F20"/>
        </w:rPr>
        <w:t>internacionales,</w:t>
      </w:r>
      <w:r>
        <w:rPr>
          <w:color w:val="231F20"/>
          <w:spacing w:val="-9"/>
        </w:rPr>
        <w:t> </w:t>
      </w:r>
      <w:r>
        <w:rPr>
          <w:color w:val="231F20"/>
        </w:rPr>
        <w:t>nutren</w:t>
      </w:r>
      <w:r>
        <w:rPr>
          <w:color w:val="231F20"/>
          <w:spacing w:val="-8"/>
        </w:rPr>
        <w:t> </w:t>
      </w:r>
      <w:r>
        <w:rPr>
          <w:color w:val="231F20"/>
        </w:rPr>
        <w:t>sus</w:t>
      </w:r>
      <w:r>
        <w:rPr>
          <w:color w:val="231F20"/>
          <w:spacing w:val="-7"/>
        </w:rPr>
        <w:t> </w:t>
      </w:r>
      <w:r>
        <w:rPr>
          <w:color w:val="231F20"/>
        </w:rPr>
        <w:t>informes,</w:t>
      </w:r>
      <w:r>
        <w:rPr>
          <w:color w:val="231F20"/>
          <w:spacing w:val="-8"/>
        </w:rPr>
        <w:t> </w:t>
      </w:r>
      <w:r>
        <w:rPr>
          <w:color w:val="231F20"/>
        </w:rPr>
        <w:t>sus</w:t>
      </w:r>
      <w:r>
        <w:rPr>
          <w:color w:val="231F20"/>
          <w:spacing w:val="-7"/>
        </w:rPr>
        <w:t> </w:t>
      </w:r>
      <w:r>
        <w:rPr>
          <w:color w:val="231F20"/>
        </w:rPr>
        <w:t>jui- cios de valor y sus perspectivas, sin considerar que pueden o no coincidir con la experiencia del migrante centroamericano de paso por</w:t>
      </w:r>
      <w:r>
        <w:rPr>
          <w:color w:val="231F20"/>
          <w:spacing w:val="-11"/>
        </w:rPr>
        <w:t> </w:t>
      </w:r>
      <w:r>
        <w:rPr>
          <w:color w:val="231F20"/>
        </w:rPr>
        <w:t>México.</w:t>
      </w:r>
    </w:p>
    <w:p>
      <w:pPr>
        <w:pStyle w:val="BodyText"/>
        <w:spacing w:before="1"/>
        <w:rPr>
          <w:sz w:val="13"/>
        </w:rPr>
      </w:pPr>
    </w:p>
    <w:p>
      <w:pPr>
        <w:pStyle w:val="Heading3"/>
        <w:spacing w:before="69"/>
        <w:ind w:right="117"/>
        <w:jc w:val="left"/>
      </w:pPr>
      <w:r>
        <w:rPr>
          <w:color w:val="231F20"/>
        </w:rPr>
        <w:t>Bibliografía</w:t>
      </w:r>
    </w:p>
    <w:p>
      <w:pPr>
        <w:pStyle w:val="BodyText"/>
        <w:spacing w:before="11"/>
        <w:rPr>
          <w:b/>
          <w:sz w:val="24"/>
        </w:rPr>
      </w:pPr>
    </w:p>
    <w:p>
      <w:pPr>
        <w:spacing w:line="210" w:lineRule="exact" w:before="93"/>
        <w:ind w:left="117" w:right="116" w:firstLine="0"/>
        <w:jc w:val="both"/>
        <w:rPr>
          <w:sz w:val="20"/>
        </w:rPr>
      </w:pPr>
      <w:r>
        <w:rPr>
          <w:color w:val="231F20"/>
          <w:sz w:val="20"/>
        </w:rPr>
        <w:t>AI (Amnistía Internacional), 2010, </w:t>
      </w:r>
      <w:r>
        <w:rPr>
          <w:i/>
          <w:color w:val="231F20"/>
          <w:sz w:val="20"/>
        </w:rPr>
        <w:t>Víctimas invisibles, migrantes en movimiento </w:t>
      </w:r>
      <w:r>
        <w:rPr>
          <w:i/>
          <w:color w:val="231F20"/>
          <w:sz w:val="20"/>
        </w:rPr>
        <w:t>en México, </w:t>
      </w:r>
      <w:r>
        <w:rPr>
          <w:color w:val="231F20"/>
          <w:sz w:val="20"/>
        </w:rPr>
        <w:t>Editorial Amnistía Internacional, UK</w:t>
      </w:r>
    </w:p>
    <w:p>
      <w:pPr>
        <w:spacing w:line="210" w:lineRule="exact" w:before="113"/>
        <w:ind w:left="117" w:right="115" w:firstLine="0"/>
        <w:jc w:val="both"/>
        <w:rPr>
          <w:sz w:val="20"/>
        </w:rPr>
      </w:pPr>
      <w:r>
        <w:rPr>
          <w:color w:val="231F20"/>
          <w:sz w:val="20"/>
        </w:rPr>
        <w:t>CANALES I., Alejandro y Christian Zlolniski, 2000, “Comunidades transnacio- nales y migración en la era de la globalización”, en </w:t>
      </w:r>
      <w:r>
        <w:rPr>
          <w:i/>
          <w:color w:val="231F20"/>
          <w:sz w:val="20"/>
        </w:rPr>
        <w:t>Migración-proyectos</w:t>
      </w:r>
      <w:r>
        <w:rPr>
          <w:color w:val="231F20"/>
          <w:sz w:val="20"/>
        </w:rPr>
        <w:t>, Comi- sión</w:t>
      </w:r>
      <w:r>
        <w:rPr>
          <w:color w:val="231F20"/>
          <w:spacing w:val="-12"/>
          <w:sz w:val="20"/>
        </w:rPr>
        <w:t> </w:t>
      </w:r>
      <w:r>
        <w:rPr>
          <w:color w:val="231F20"/>
          <w:sz w:val="20"/>
        </w:rPr>
        <w:t>Económica</w:t>
      </w:r>
      <w:r>
        <w:rPr>
          <w:color w:val="231F20"/>
          <w:spacing w:val="-12"/>
          <w:sz w:val="20"/>
        </w:rPr>
        <w:t> </w:t>
      </w:r>
      <w:r>
        <w:rPr>
          <w:color w:val="231F20"/>
          <w:sz w:val="20"/>
        </w:rPr>
        <w:t>para</w:t>
      </w:r>
      <w:r>
        <w:rPr>
          <w:color w:val="231F20"/>
          <w:spacing w:val="-22"/>
          <w:sz w:val="20"/>
        </w:rPr>
        <w:t> </w:t>
      </w:r>
      <w:r>
        <w:rPr>
          <w:color w:val="231F20"/>
          <w:sz w:val="20"/>
        </w:rPr>
        <w:t>América</w:t>
      </w:r>
      <w:r>
        <w:rPr>
          <w:color w:val="231F20"/>
          <w:spacing w:val="-12"/>
          <w:sz w:val="20"/>
        </w:rPr>
        <w:t> </w:t>
      </w:r>
      <w:r>
        <w:rPr>
          <w:color w:val="231F20"/>
          <w:sz w:val="20"/>
        </w:rPr>
        <w:t>Latina</w:t>
      </w:r>
      <w:r>
        <w:rPr>
          <w:color w:val="231F20"/>
          <w:spacing w:val="-12"/>
          <w:sz w:val="20"/>
        </w:rPr>
        <w:t> </w:t>
      </w:r>
      <w:r>
        <w:rPr>
          <w:color w:val="231F20"/>
          <w:sz w:val="20"/>
        </w:rPr>
        <w:t>y</w:t>
      </w:r>
      <w:r>
        <w:rPr>
          <w:color w:val="231F20"/>
          <w:spacing w:val="-12"/>
          <w:sz w:val="20"/>
        </w:rPr>
        <w:t> </w:t>
      </w:r>
      <w:r>
        <w:rPr>
          <w:color w:val="231F20"/>
          <w:sz w:val="20"/>
        </w:rPr>
        <w:t>el</w:t>
      </w:r>
      <w:r>
        <w:rPr>
          <w:color w:val="231F20"/>
          <w:spacing w:val="-12"/>
          <w:sz w:val="20"/>
        </w:rPr>
        <w:t> </w:t>
      </w:r>
      <w:r>
        <w:rPr>
          <w:color w:val="231F20"/>
          <w:sz w:val="20"/>
        </w:rPr>
        <w:t>Caribe</w:t>
      </w:r>
      <w:r>
        <w:rPr>
          <w:color w:val="231F20"/>
          <w:spacing w:val="-12"/>
          <w:sz w:val="20"/>
        </w:rPr>
        <w:t> </w:t>
      </w:r>
      <w:r>
        <w:rPr>
          <w:color w:val="231F20"/>
          <w:spacing w:val="-3"/>
          <w:sz w:val="20"/>
        </w:rPr>
        <w:t>(CEPAL),</w:t>
      </w:r>
      <w:r>
        <w:rPr>
          <w:color w:val="231F20"/>
          <w:spacing w:val="-12"/>
          <w:sz w:val="20"/>
        </w:rPr>
        <w:t> </w:t>
      </w:r>
      <w:hyperlink r:id="rId110">
        <w:r>
          <w:rPr>
            <w:color w:val="231F20"/>
            <w:sz w:val="20"/>
          </w:rPr>
          <w:t>www.eclac.org/celade/</w:t>
        </w:r>
      </w:hyperlink>
      <w:r>
        <w:rPr>
          <w:color w:val="231F20"/>
          <w:sz w:val="20"/>
        </w:rPr>
        <w:t> proyectos/migracion/Canales.doc, fecha de consulta: 23 de noviembre de 2008, Chile.</w:t>
      </w:r>
    </w:p>
    <w:p>
      <w:pPr>
        <w:spacing w:line="210" w:lineRule="exact" w:before="113"/>
        <w:ind w:left="117" w:right="115" w:firstLine="0"/>
        <w:jc w:val="both"/>
        <w:rPr>
          <w:sz w:val="20"/>
        </w:rPr>
      </w:pPr>
      <w:r>
        <w:rPr>
          <w:color w:val="231F20"/>
          <w:sz w:val="20"/>
        </w:rPr>
        <w:t>DELEUZE, Gilles, 1987, “¿Qué es un dispositivo?” en </w:t>
      </w:r>
      <w:r>
        <w:rPr>
          <w:i/>
          <w:color w:val="231F20"/>
          <w:sz w:val="20"/>
        </w:rPr>
        <w:t>Michel Foucault, filósofo</w:t>
      </w:r>
      <w:r>
        <w:rPr>
          <w:color w:val="231F20"/>
          <w:sz w:val="20"/>
        </w:rPr>
        <w:t>, Gedisa, Barcelona.</w:t>
      </w:r>
    </w:p>
    <w:p>
      <w:pPr>
        <w:spacing w:line="210" w:lineRule="exact" w:before="113"/>
        <w:ind w:left="117" w:right="115" w:firstLine="0"/>
        <w:jc w:val="both"/>
        <w:rPr>
          <w:sz w:val="20"/>
        </w:rPr>
      </w:pPr>
      <w:r>
        <w:rPr>
          <w:color w:val="231F20"/>
          <w:sz w:val="20"/>
        </w:rPr>
        <w:t>DE LA PEZA C. Ma. Del Carmen, 1997, “Medios de comunicación, gobierno de la población y sujetos”, en Emma León y Hugo Zelman, </w:t>
      </w:r>
      <w:r>
        <w:rPr>
          <w:i/>
          <w:color w:val="231F20"/>
          <w:sz w:val="20"/>
        </w:rPr>
        <w:t>Subjetividad: umbrales </w:t>
      </w:r>
      <w:r>
        <w:rPr>
          <w:i/>
          <w:color w:val="231F20"/>
          <w:sz w:val="20"/>
        </w:rPr>
        <w:t>del pensamiento social</w:t>
      </w:r>
      <w:r>
        <w:rPr>
          <w:color w:val="231F20"/>
          <w:sz w:val="20"/>
        </w:rPr>
        <w:t>, Anthropos, México.</w:t>
      </w:r>
    </w:p>
    <w:p>
      <w:pPr>
        <w:spacing w:after="0" w:line="210" w:lineRule="exact"/>
        <w:jc w:val="both"/>
        <w:rPr>
          <w:sz w:val="20"/>
        </w:rPr>
        <w:sectPr>
          <w:footerReference w:type="default" r:id="rId109"/>
          <w:pgSz w:w="9360" w:h="13040"/>
          <w:pgMar w:footer="496" w:header="0" w:top="800" w:bottom="680" w:left="1300" w:right="1300"/>
        </w:sectPr>
      </w:pPr>
    </w:p>
    <w:p>
      <w:pPr>
        <w:spacing w:before="45"/>
        <w:ind w:left="117" w:right="0" w:firstLine="395"/>
        <w:jc w:val="left"/>
        <w:rPr>
          <w:rFonts w:ascii="Arial" w:hAnsi="Arial"/>
          <w:sz w:val="20"/>
        </w:rPr>
      </w:pPr>
      <w:r>
        <w:rPr>
          <w:rFonts w:ascii="Arial" w:hAnsi="Arial"/>
          <w:color w:val="231F20"/>
          <w:w w:val="70"/>
          <w:sz w:val="20"/>
        </w:rPr>
        <w:t>El migrante centroamericano de paso por México y los derechos humanos /Luis Raúl Ortiz-Ramírez</w:t>
      </w:r>
    </w:p>
    <w:p>
      <w:pPr>
        <w:pStyle w:val="BodyText"/>
        <w:rPr>
          <w:rFonts w:ascii="Arial"/>
          <w:sz w:val="20"/>
        </w:rPr>
      </w:pPr>
    </w:p>
    <w:p>
      <w:pPr>
        <w:spacing w:line="210" w:lineRule="exact" w:before="123"/>
        <w:ind w:left="117" w:right="114" w:firstLine="0"/>
        <w:jc w:val="both"/>
        <w:rPr>
          <w:sz w:val="20"/>
        </w:rPr>
      </w:pPr>
      <w:r>
        <w:rPr>
          <w:color w:val="231F20"/>
          <w:spacing w:val="-5"/>
          <w:sz w:val="20"/>
        </w:rPr>
        <w:t>FOUCAULT, </w:t>
      </w:r>
      <w:r>
        <w:rPr>
          <w:color w:val="231F20"/>
          <w:sz w:val="20"/>
        </w:rPr>
        <w:t>Michel, 2002, </w:t>
      </w:r>
      <w:r>
        <w:rPr>
          <w:i/>
          <w:color w:val="231F20"/>
          <w:sz w:val="20"/>
        </w:rPr>
        <w:t>Defender la sociedad</w:t>
      </w:r>
      <w:r>
        <w:rPr>
          <w:color w:val="231F20"/>
          <w:sz w:val="20"/>
        </w:rPr>
        <w:t>, Fondo de Cultura Económica, México.</w:t>
      </w:r>
    </w:p>
    <w:p>
      <w:pPr>
        <w:spacing w:line="210" w:lineRule="exact" w:before="113"/>
        <w:ind w:left="117" w:right="115" w:firstLine="0"/>
        <w:jc w:val="both"/>
        <w:rPr>
          <w:sz w:val="20"/>
        </w:rPr>
      </w:pPr>
      <w:r>
        <w:rPr>
          <w:color w:val="231F20"/>
          <w:sz w:val="20"/>
        </w:rPr>
        <w:t>FOUCAULT, Michel, 2006, </w:t>
      </w:r>
      <w:r>
        <w:rPr>
          <w:i/>
          <w:color w:val="231F20"/>
          <w:sz w:val="20"/>
        </w:rPr>
        <w:t>Seguridad, territorio y población</w:t>
      </w:r>
      <w:r>
        <w:rPr>
          <w:color w:val="231F20"/>
          <w:sz w:val="20"/>
        </w:rPr>
        <w:t>, Fondo de Cultura Económica, Argentina.</w:t>
      </w:r>
    </w:p>
    <w:p>
      <w:pPr>
        <w:spacing w:line="210" w:lineRule="exact" w:before="113"/>
        <w:ind w:left="117" w:right="115" w:firstLine="0"/>
        <w:jc w:val="both"/>
        <w:rPr>
          <w:sz w:val="20"/>
        </w:rPr>
      </w:pPr>
      <w:r>
        <w:rPr>
          <w:color w:val="231F20"/>
          <w:sz w:val="20"/>
        </w:rPr>
        <w:t>GRANADOS,</w:t>
      </w:r>
      <w:r>
        <w:rPr>
          <w:color w:val="231F20"/>
          <w:spacing w:val="-7"/>
          <w:sz w:val="20"/>
        </w:rPr>
        <w:t> </w:t>
      </w:r>
      <w:r>
        <w:rPr>
          <w:color w:val="231F20"/>
          <w:sz w:val="20"/>
        </w:rPr>
        <w:t>C.,</w:t>
      </w:r>
      <w:r>
        <w:rPr>
          <w:color w:val="231F20"/>
          <w:spacing w:val="-7"/>
          <w:sz w:val="20"/>
        </w:rPr>
        <w:t> </w:t>
      </w:r>
      <w:r>
        <w:rPr>
          <w:color w:val="231F20"/>
          <w:sz w:val="20"/>
        </w:rPr>
        <w:t>Carlos,</w:t>
      </w:r>
      <w:r>
        <w:rPr>
          <w:color w:val="231F20"/>
          <w:spacing w:val="-7"/>
          <w:sz w:val="20"/>
        </w:rPr>
        <w:t> </w:t>
      </w:r>
      <w:r>
        <w:rPr>
          <w:color w:val="231F20"/>
          <w:sz w:val="20"/>
        </w:rPr>
        <w:t>1996,</w:t>
      </w:r>
      <w:r>
        <w:rPr>
          <w:color w:val="231F20"/>
          <w:spacing w:val="-7"/>
          <w:sz w:val="20"/>
        </w:rPr>
        <w:t> </w:t>
      </w:r>
      <w:r>
        <w:rPr>
          <w:color w:val="231F20"/>
          <w:sz w:val="20"/>
        </w:rPr>
        <w:t>Geopolítica</w:t>
      </w:r>
      <w:r>
        <w:rPr>
          <w:color w:val="231F20"/>
          <w:spacing w:val="-7"/>
          <w:sz w:val="20"/>
        </w:rPr>
        <w:t> </w:t>
      </w:r>
      <w:r>
        <w:rPr>
          <w:color w:val="231F20"/>
          <w:sz w:val="20"/>
        </w:rPr>
        <w:t>en</w:t>
      </w:r>
      <w:r>
        <w:rPr>
          <w:color w:val="231F20"/>
          <w:spacing w:val="-7"/>
          <w:sz w:val="20"/>
        </w:rPr>
        <w:t> </w:t>
      </w:r>
      <w:r>
        <w:rPr>
          <w:color w:val="231F20"/>
          <w:sz w:val="20"/>
        </w:rPr>
        <w:t>Centroamérica,</w:t>
      </w:r>
      <w:r>
        <w:rPr>
          <w:color w:val="231F20"/>
          <w:spacing w:val="-7"/>
          <w:sz w:val="20"/>
        </w:rPr>
        <w:t> </w:t>
      </w:r>
      <w:r>
        <w:rPr>
          <w:color w:val="231F20"/>
          <w:sz w:val="20"/>
        </w:rPr>
        <w:t>en</w:t>
      </w:r>
      <w:r>
        <w:rPr>
          <w:color w:val="231F20"/>
          <w:spacing w:val="-7"/>
          <w:sz w:val="20"/>
        </w:rPr>
        <w:t> </w:t>
      </w:r>
      <w:r>
        <w:rPr>
          <w:i/>
          <w:color w:val="231F20"/>
          <w:sz w:val="20"/>
        </w:rPr>
        <w:t>Cuadernos</w:t>
      </w:r>
      <w:r>
        <w:rPr>
          <w:i/>
          <w:color w:val="231F20"/>
          <w:spacing w:val="-7"/>
          <w:sz w:val="20"/>
        </w:rPr>
        <w:t> </w:t>
      </w:r>
      <w:r>
        <w:rPr>
          <w:i/>
          <w:color w:val="231F20"/>
          <w:sz w:val="20"/>
        </w:rPr>
        <w:t>Po- </w:t>
      </w:r>
      <w:r>
        <w:rPr>
          <w:i/>
          <w:color w:val="231F20"/>
          <w:sz w:val="20"/>
        </w:rPr>
        <w:t>líticos, </w:t>
      </w:r>
      <w:r>
        <w:rPr>
          <w:color w:val="231F20"/>
          <w:sz w:val="20"/>
        </w:rPr>
        <w:t>núm. 46, abril-junio de 1986, pp. 74-89, Ediciones Era,</w:t>
      </w:r>
      <w:r>
        <w:rPr>
          <w:color w:val="231F20"/>
          <w:spacing w:val="-1"/>
          <w:sz w:val="20"/>
        </w:rPr>
        <w:t> </w:t>
      </w:r>
      <w:r>
        <w:rPr>
          <w:color w:val="231F20"/>
          <w:sz w:val="20"/>
        </w:rPr>
        <w:t>México.</w:t>
      </w:r>
    </w:p>
    <w:p>
      <w:pPr>
        <w:spacing w:line="210" w:lineRule="exact" w:before="113"/>
        <w:ind w:left="117" w:right="115" w:firstLine="0"/>
        <w:jc w:val="both"/>
        <w:rPr>
          <w:sz w:val="20"/>
        </w:rPr>
      </w:pPr>
      <w:r>
        <w:rPr>
          <w:color w:val="231F20"/>
          <w:sz w:val="20"/>
        </w:rPr>
        <w:t>HAAS, Hein, 2007, “Sistemas migratorios en el norte de África” en </w:t>
      </w:r>
      <w:r>
        <w:rPr>
          <w:i/>
          <w:color w:val="231F20"/>
          <w:sz w:val="20"/>
        </w:rPr>
        <w:t>Migración y </w:t>
      </w:r>
      <w:r>
        <w:rPr>
          <w:i/>
          <w:color w:val="231F20"/>
          <w:sz w:val="20"/>
        </w:rPr>
        <w:t>desarrollo: perspectivas desde el sur</w:t>
      </w:r>
      <w:r>
        <w:rPr>
          <w:color w:val="231F20"/>
          <w:sz w:val="20"/>
        </w:rPr>
        <w:t>, Porrúa-INM, México.</w:t>
      </w:r>
    </w:p>
    <w:p>
      <w:pPr>
        <w:spacing w:line="210" w:lineRule="exact" w:before="113"/>
        <w:ind w:left="117" w:right="110" w:firstLine="0"/>
        <w:jc w:val="both"/>
        <w:rPr>
          <w:sz w:val="20"/>
        </w:rPr>
      </w:pPr>
      <w:r>
        <w:rPr>
          <w:color w:val="231F20"/>
          <w:sz w:val="20"/>
        </w:rPr>
        <w:t>INM (Instituto Nacional de Migración), 2008, </w:t>
      </w:r>
      <w:r>
        <w:rPr>
          <w:i/>
          <w:color w:val="231F20"/>
          <w:sz w:val="20"/>
        </w:rPr>
        <w:t>Dossier</w:t>
      </w:r>
      <w:r>
        <w:rPr>
          <w:color w:val="231F20"/>
          <w:sz w:val="20"/>
        </w:rPr>
        <w:t>, en </w:t>
      </w:r>
      <w:hyperlink r:id="rId112">
        <w:r>
          <w:rPr>
            <w:color w:val="231F20"/>
            <w:sz w:val="20"/>
          </w:rPr>
          <w:t>http://www.inm.gob.</w:t>
        </w:r>
      </w:hyperlink>
      <w:r>
        <w:rPr>
          <w:color w:val="231F20"/>
          <w:sz w:val="20"/>
        </w:rPr>
        <w:t> mx/static/Centro_de_Estudios/Investigacion/Avances_Investigacion/Dossier_ Frontera_Sur_2008_ver_27-08-09.pdf</w:t>
      </w:r>
    </w:p>
    <w:p>
      <w:pPr>
        <w:spacing w:line="210" w:lineRule="exact" w:before="113"/>
        <w:ind w:left="117" w:right="115" w:firstLine="0"/>
        <w:jc w:val="both"/>
        <w:rPr>
          <w:sz w:val="20"/>
        </w:rPr>
      </w:pPr>
      <w:r>
        <w:rPr>
          <w:color w:val="231F20"/>
          <w:sz w:val="20"/>
        </w:rPr>
        <w:t>INM (Instituto Nacional de Migración), 2009, </w:t>
      </w:r>
      <w:r>
        <w:rPr>
          <w:i/>
          <w:color w:val="231F20"/>
          <w:sz w:val="20"/>
        </w:rPr>
        <w:t>Dossier</w:t>
      </w:r>
      <w:r>
        <w:rPr>
          <w:color w:val="231F20"/>
          <w:sz w:val="20"/>
        </w:rPr>
        <w:t>,Instituto Nacional de Mi- gración (INM), en </w:t>
      </w:r>
      <w:hyperlink r:id="rId113">
        <w:r>
          <w:rPr>
            <w:color w:val="231F20"/>
            <w:sz w:val="20"/>
          </w:rPr>
          <w:t>http://www.inm.gob.mx/static/Centro_de_Estudios/Investiga-</w:t>
        </w:r>
      </w:hyperlink>
      <w:r>
        <w:rPr>
          <w:color w:val="231F20"/>
          <w:sz w:val="20"/>
        </w:rPr>
        <w:t> cion/Avances_Investigacion/D</w:t>
      </w:r>
    </w:p>
    <w:p>
      <w:pPr>
        <w:spacing w:line="210" w:lineRule="exact" w:before="113"/>
        <w:ind w:left="117" w:right="110" w:firstLine="0"/>
        <w:jc w:val="both"/>
        <w:rPr>
          <w:sz w:val="20"/>
        </w:rPr>
      </w:pPr>
      <w:r>
        <w:rPr>
          <w:color w:val="231F20"/>
          <w:sz w:val="20"/>
        </w:rPr>
        <w:t>INM (Instituto Nacional de Migración), 2011, </w:t>
      </w:r>
      <w:r>
        <w:rPr>
          <w:i/>
          <w:color w:val="231F20"/>
          <w:sz w:val="20"/>
        </w:rPr>
        <w:t>Dossier</w:t>
      </w:r>
      <w:r>
        <w:rPr>
          <w:color w:val="231F20"/>
          <w:sz w:val="20"/>
        </w:rPr>
        <w:t>, en </w:t>
      </w:r>
      <w:hyperlink r:id="rId112">
        <w:r>
          <w:rPr>
            <w:color w:val="231F20"/>
            <w:sz w:val="20"/>
          </w:rPr>
          <w:t>http://www.inm.gob.</w:t>
        </w:r>
      </w:hyperlink>
      <w:r>
        <w:rPr>
          <w:color w:val="231F20"/>
          <w:sz w:val="20"/>
        </w:rPr>
        <w:t> mx/static/Centro_de_Estudios/Investigacion/Avances_Investigacion/Dossier_ Asegurados_Centroamericanos_23-Jun-11.pdf</w:t>
      </w:r>
    </w:p>
    <w:p>
      <w:pPr>
        <w:spacing w:line="210" w:lineRule="exact" w:before="113"/>
        <w:ind w:left="117" w:right="115" w:firstLine="0"/>
        <w:jc w:val="both"/>
        <w:rPr>
          <w:sz w:val="20"/>
        </w:rPr>
      </w:pPr>
      <w:r>
        <w:rPr>
          <w:color w:val="231F20"/>
          <w:sz w:val="20"/>
        </w:rPr>
        <w:t>INM (Instituto Nacional de Migración), 2012, </w:t>
      </w:r>
      <w:r>
        <w:rPr>
          <w:i/>
          <w:color w:val="231F20"/>
          <w:sz w:val="20"/>
        </w:rPr>
        <w:t>Página oficial. Antecedentes, se- </w:t>
      </w:r>
      <w:r>
        <w:rPr>
          <w:i/>
          <w:color w:val="231F20"/>
          <w:sz w:val="20"/>
        </w:rPr>
        <w:t>gunda página</w:t>
      </w:r>
      <w:r>
        <w:rPr>
          <w:color w:val="231F20"/>
          <w:sz w:val="20"/>
        </w:rPr>
        <w:t>, en </w:t>
      </w:r>
      <w:hyperlink r:id="rId114">
        <w:r>
          <w:rPr>
            <w:color w:val="231F20"/>
            <w:sz w:val="20"/>
          </w:rPr>
          <w:t>http://www.inm.gob.mx/index.php/page/Antecedentes</w:t>
        </w:r>
      </w:hyperlink>
    </w:p>
    <w:p>
      <w:pPr>
        <w:spacing w:line="338" w:lineRule="auto" w:before="94"/>
        <w:ind w:left="117" w:right="115" w:firstLine="0"/>
        <w:jc w:val="both"/>
        <w:rPr>
          <w:sz w:val="20"/>
        </w:rPr>
      </w:pPr>
      <w:r>
        <w:rPr>
          <w:color w:val="231F20"/>
          <w:sz w:val="20"/>
        </w:rPr>
        <w:t>JEFFREY</w:t>
      </w:r>
      <w:r>
        <w:rPr>
          <w:color w:val="231F20"/>
          <w:spacing w:val="-20"/>
          <w:sz w:val="20"/>
        </w:rPr>
        <w:t> </w:t>
      </w:r>
      <w:r>
        <w:rPr>
          <w:color w:val="231F20"/>
          <w:sz w:val="20"/>
        </w:rPr>
        <w:t>C.,</w:t>
      </w:r>
      <w:r>
        <w:rPr>
          <w:color w:val="231F20"/>
          <w:spacing w:val="-24"/>
          <w:sz w:val="20"/>
        </w:rPr>
        <w:t> </w:t>
      </w:r>
      <w:r>
        <w:rPr>
          <w:color w:val="231F20"/>
          <w:sz w:val="20"/>
        </w:rPr>
        <w:t>Alexander,</w:t>
      </w:r>
      <w:r>
        <w:rPr>
          <w:color w:val="231F20"/>
          <w:spacing w:val="-14"/>
          <w:sz w:val="20"/>
        </w:rPr>
        <w:t> </w:t>
      </w:r>
      <w:r>
        <w:rPr>
          <w:color w:val="231F20"/>
          <w:sz w:val="20"/>
        </w:rPr>
        <w:t>2000,</w:t>
      </w:r>
      <w:r>
        <w:rPr>
          <w:color w:val="231F20"/>
          <w:spacing w:val="-14"/>
          <w:sz w:val="20"/>
        </w:rPr>
        <w:t> </w:t>
      </w:r>
      <w:r>
        <w:rPr>
          <w:i/>
          <w:color w:val="231F20"/>
          <w:sz w:val="20"/>
        </w:rPr>
        <w:t>Sociología</w:t>
      </w:r>
      <w:r>
        <w:rPr>
          <w:i/>
          <w:color w:val="231F20"/>
          <w:spacing w:val="-14"/>
          <w:sz w:val="20"/>
        </w:rPr>
        <w:t> </w:t>
      </w:r>
      <w:r>
        <w:rPr>
          <w:i/>
          <w:color w:val="231F20"/>
          <w:sz w:val="20"/>
        </w:rPr>
        <w:t>cultural</w:t>
      </w:r>
      <w:r>
        <w:rPr>
          <w:color w:val="231F20"/>
          <w:sz w:val="20"/>
        </w:rPr>
        <w:t>.</w:t>
      </w:r>
      <w:r>
        <w:rPr>
          <w:color w:val="231F20"/>
          <w:spacing w:val="-24"/>
          <w:sz w:val="20"/>
        </w:rPr>
        <w:t> </w:t>
      </w:r>
      <w:r>
        <w:rPr>
          <w:color w:val="231F20"/>
          <w:sz w:val="20"/>
        </w:rPr>
        <w:t>Anthropos/FLACSO,</w:t>
      </w:r>
      <w:r>
        <w:rPr>
          <w:color w:val="231F20"/>
          <w:spacing w:val="-14"/>
          <w:sz w:val="20"/>
        </w:rPr>
        <w:t> </w:t>
      </w:r>
      <w:r>
        <w:rPr>
          <w:color w:val="231F20"/>
          <w:sz w:val="20"/>
        </w:rPr>
        <w:t>España. LASH,</w:t>
      </w:r>
      <w:r>
        <w:rPr>
          <w:color w:val="231F20"/>
          <w:spacing w:val="-4"/>
          <w:sz w:val="20"/>
        </w:rPr>
        <w:t> </w:t>
      </w:r>
      <w:r>
        <w:rPr>
          <w:color w:val="231F20"/>
          <w:sz w:val="20"/>
        </w:rPr>
        <w:t>Scot.,</w:t>
      </w:r>
      <w:r>
        <w:rPr>
          <w:color w:val="231F20"/>
          <w:spacing w:val="-3"/>
          <w:sz w:val="20"/>
        </w:rPr>
        <w:t> </w:t>
      </w:r>
      <w:r>
        <w:rPr>
          <w:color w:val="231F20"/>
          <w:sz w:val="20"/>
        </w:rPr>
        <w:t>2007,</w:t>
      </w:r>
      <w:r>
        <w:rPr>
          <w:color w:val="231F20"/>
          <w:spacing w:val="-3"/>
          <w:sz w:val="20"/>
        </w:rPr>
        <w:t> </w:t>
      </w:r>
      <w:r>
        <w:rPr>
          <w:i/>
          <w:color w:val="231F20"/>
          <w:sz w:val="20"/>
        </w:rPr>
        <w:t>Sociología</w:t>
      </w:r>
      <w:r>
        <w:rPr>
          <w:i/>
          <w:color w:val="231F20"/>
          <w:spacing w:val="-3"/>
          <w:sz w:val="20"/>
        </w:rPr>
        <w:t> </w:t>
      </w:r>
      <w:r>
        <w:rPr>
          <w:i/>
          <w:color w:val="231F20"/>
          <w:sz w:val="20"/>
        </w:rPr>
        <w:t>del</w:t>
      </w:r>
      <w:r>
        <w:rPr>
          <w:i/>
          <w:color w:val="231F20"/>
          <w:spacing w:val="-3"/>
          <w:sz w:val="20"/>
        </w:rPr>
        <w:t> </w:t>
      </w:r>
      <w:r>
        <w:rPr>
          <w:i/>
          <w:color w:val="231F20"/>
          <w:sz w:val="20"/>
        </w:rPr>
        <w:t>posmodernismo</w:t>
      </w:r>
      <w:r>
        <w:rPr>
          <w:color w:val="231F20"/>
          <w:sz w:val="20"/>
        </w:rPr>
        <w:t>.</w:t>
      </w:r>
      <w:r>
        <w:rPr>
          <w:color w:val="231F20"/>
          <w:spacing w:val="-14"/>
          <w:sz w:val="20"/>
        </w:rPr>
        <w:t> </w:t>
      </w:r>
      <w:r>
        <w:rPr>
          <w:color w:val="231F20"/>
          <w:sz w:val="20"/>
        </w:rPr>
        <w:t>Amorrotú,</w:t>
      </w:r>
      <w:r>
        <w:rPr>
          <w:color w:val="231F20"/>
          <w:spacing w:val="-3"/>
          <w:sz w:val="20"/>
        </w:rPr>
        <w:t> </w:t>
      </w:r>
      <w:r>
        <w:rPr>
          <w:color w:val="231F20"/>
          <w:sz w:val="20"/>
        </w:rPr>
        <w:t>Buenos</w:t>
      </w:r>
      <w:r>
        <w:rPr>
          <w:color w:val="231F20"/>
          <w:spacing w:val="-14"/>
          <w:sz w:val="20"/>
        </w:rPr>
        <w:t> </w:t>
      </w:r>
      <w:r>
        <w:rPr>
          <w:color w:val="231F20"/>
          <w:sz w:val="20"/>
        </w:rPr>
        <w:t>Aires.</w:t>
      </w:r>
    </w:p>
    <w:p>
      <w:pPr>
        <w:spacing w:line="210" w:lineRule="exact" w:before="21"/>
        <w:ind w:left="117" w:right="115" w:firstLine="0"/>
        <w:jc w:val="both"/>
        <w:rPr>
          <w:sz w:val="20"/>
        </w:rPr>
      </w:pPr>
      <w:r>
        <w:rPr>
          <w:color w:val="231F20"/>
          <w:sz w:val="20"/>
        </w:rPr>
        <w:t>SILVA H., Margarita, 2006, </w:t>
      </w:r>
      <w:r>
        <w:rPr>
          <w:i/>
          <w:color w:val="231F20"/>
          <w:sz w:val="20"/>
        </w:rPr>
        <w:t>El nombre Centroamérica y la invención de la iden- </w:t>
      </w:r>
      <w:r>
        <w:rPr>
          <w:i/>
          <w:color w:val="231F20"/>
          <w:sz w:val="20"/>
        </w:rPr>
        <w:t>tidad</w:t>
      </w:r>
      <w:r>
        <w:rPr>
          <w:color w:val="231F20"/>
          <w:sz w:val="20"/>
        </w:rPr>
        <w:t>, en Coloquio Internacional Creando las Naciones. Los Nombres de los Paí- ses de América Latina: Identidades Políticas y Nacionalismos</w:t>
      </w:r>
      <w:r>
        <w:rPr>
          <w:i/>
          <w:color w:val="231F20"/>
          <w:sz w:val="20"/>
        </w:rPr>
        <w:t>, </w:t>
      </w:r>
      <w:r>
        <w:rPr>
          <w:color w:val="231F20"/>
          <w:sz w:val="20"/>
        </w:rPr>
        <w:t>SER/COLMEX/ UAM-Xochimilco, México.</w:t>
      </w:r>
    </w:p>
    <w:p>
      <w:pPr>
        <w:spacing w:line="210" w:lineRule="exact" w:before="113"/>
        <w:ind w:left="117" w:right="115" w:firstLine="0"/>
        <w:jc w:val="both"/>
        <w:rPr>
          <w:sz w:val="20"/>
        </w:rPr>
      </w:pPr>
      <w:r>
        <w:rPr>
          <w:color w:val="231F20"/>
          <w:sz w:val="20"/>
        </w:rPr>
        <w:t>STOLOWICZ, Beatriz, 1999, “Gobernabilidad como dominación conservadora”, en Darío Salinas Figueredo, </w:t>
      </w:r>
      <w:r>
        <w:rPr>
          <w:i/>
          <w:color w:val="231F20"/>
          <w:sz w:val="20"/>
        </w:rPr>
        <w:t>Problemas y perspectivas de la democracia en Amé- </w:t>
      </w:r>
      <w:r>
        <w:rPr>
          <w:i/>
          <w:color w:val="231F20"/>
          <w:sz w:val="20"/>
        </w:rPr>
        <w:t>rica Latina</w:t>
      </w:r>
      <w:r>
        <w:rPr>
          <w:color w:val="231F20"/>
          <w:sz w:val="20"/>
        </w:rPr>
        <w:t>, Ediciones Triana/UIA, México.</w:t>
      </w:r>
    </w:p>
    <w:p>
      <w:pPr>
        <w:spacing w:line="210" w:lineRule="exact" w:before="113"/>
        <w:ind w:left="117" w:right="115" w:firstLine="0"/>
        <w:jc w:val="both"/>
        <w:rPr>
          <w:sz w:val="20"/>
        </w:rPr>
      </w:pPr>
      <w:r>
        <w:rPr>
          <w:color w:val="231F20"/>
          <w:sz w:val="20"/>
        </w:rPr>
        <w:t>SCJN</w:t>
      </w:r>
      <w:r>
        <w:rPr>
          <w:color w:val="231F20"/>
          <w:spacing w:val="-4"/>
          <w:sz w:val="20"/>
        </w:rPr>
        <w:t> </w:t>
      </w:r>
      <w:r>
        <w:rPr>
          <w:color w:val="231F20"/>
          <w:sz w:val="20"/>
        </w:rPr>
        <w:t>(Suprema</w:t>
      </w:r>
      <w:r>
        <w:rPr>
          <w:color w:val="231F20"/>
          <w:spacing w:val="-4"/>
          <w:sz w:val="20"/>
        </w:rPr>
        <w:t> </w:t>
      </w:r>
      <w:r>
        <w:rPr>
          <w:color w:val="231F20"/>
          <w:sz w:val="20"/>
        </w:rPr>
        <w:t>Corte</w:t>
      </w:r>
      <w:r>
        <w:rPr>
          <w:color w:val="231F20"/>
          <w:spacing w:val="-4"/>
          <w:sz w:val="20"/>
        </w:rPr>
        <w:t> </w:t>
      </w:r>
      <w:r>
        <w:rPr>
          <w:color w:val="231F20"/>
          <w:sz w:val="20"/>
        </w:rPr>
        <w:t>de</w:t>
      </w:r>
      <w:r>
        <w:rPr>
          <w:color w:val="231F20"/>
          <w:spacing w:val="-4"/>
          <w:sz w:val="20"/>
        </w:rPr>
        <w:t> </w:t>
      </w:r>
      <w:r>
        <w:rPr>
          <w:color w:val="231F20"/>
          <w:sz w:val="20"/>
        </w:rPr>
        <w:t>Justicia</w:t>
      </w:r>
      <w:r>
        <w:rPr>
          <w:color w:val="231F20"/>
          <w:spacing w:val="-4"/>
          <w:sz w:val="20"/>
        </w:rPr>
        <w:t> </w:t>
      </w:r>
      <w:r>
        <w:rPr>
          <w:color w:val="231F20"/>
          <w:sz w:val="20"/>
        </w:rPr>
        <w:t>de</w:t>
      </w:r>
      <w:r>
        <w:rPr>
          <w:color w:val="231F20"/>
          <w:spacing w:val="-4"/>
          <w:sz w:val="20"/>
        </w:rPr>
        <w:t> </w:t>
      </w:r>
      <w:r>
        <w:rPr>
          <w:color w:val="231F20"/>
          <w:sz w:val="20"/>
        </w:rPr>
        <w:t>la</w:t>
      </w:r>
      <w:r>
        <w:rPr>
          <w:color w:val="231F20"/>
          <w:spacing w:val="-4"/>
          <w:sz w:val="20"/>
        </w:rPr>
        <w:t> </w:t>
      </w:r>
      <w:r>
        <w:rPr>
          <w:color w:val="231F20"/>
          <w:sz w:val="20"/>
        </w:rPr>
        <w:t>Nación),</w:t>
      </w:r>
      <w:r>
        <w:rPr>
          <w:color w:val="231F20"/>
          <w:spacing w:val="-4"/>
          <w:sz w:val="20"/>
        </w:rPr>
        <w:t> </w:t>
      </w:r>
      <w:r>
        <w:rPr>
          <w:color w:val="231F20"/>
          <w:sz w:val="20"/>
        </w:rPr>
        <w:t>2012,</w:t>
      </w:r>
      <w:r>
        <w:rPr>
          <w:color w:val="231F20"/>
          <w:spacing w:val="-20"/>
          <w:sz w:val="20"/>
        </w:rPr>
        <w:t> </w:t>
      </w:r>
      <w:r>
        <w:rPr>
          <w:i/>
          <w:color w:val="231F20"/>
          <w:spacing w:val="-5"/>
          <w:sz w:val="20"/>
        </w:rPr>
        <w:t>¿Qué</w:t>
      </w:r>
      <w:r>
        <w:rPr>
          <w:i/>
          <w:color w:val="231F20"/>
          <w:spacing w:val="-4"/>
          <w:sz w:val="20"/>
        </w:rPr>
        <w:t> </w:t>
      </w:r>
      <w:r>
        <w:rPr>
          <w:i/>
          <w:color w:val="231F20"/>
          <w:sz w:val="20"/>
        </w:rPr>
        <w:t>son</w:t>
      </w:r>
      <w:r>
        <w:rPr>
          <w:i/>
          <w:color w:val="231F20"/>
          <w:spacing w:val="-4"/>
          <w:sz w:val="20"/>
        </w:rPr>
        <w:t> </w:t>
      </w:r>
      <w:r>
        <w:rPr>
          <w:i/>
          <w:color w:val="231F20"/>
          <w:sz w:val="20"/>
        </w:rPr>
        <w:t>los</w:t>
      </w:r>
      <w:r>
        <w:rPr>
          <w:i/>
          <w:color w:val="231F20"/>
          <w:spacing w:val="-4"/>
          <w:sz w:val="20"/>
        </w:rPr>
        <w:t> </w:t>
      </w:r>
      <w:r>
        <w:rPr>
          <w:i/>
          <w:color w:val="231F20"/>
          <w:sz w:val="20"/>
        </w:rPr>
        <w:t>“derechos</w:t>
      </w:r>
      <w:r>
        <w:rPr>
          <w:i/>
          <w:color w:val="231F20"/>
          <w:spacing w:val="-4"/>
          <w:sz w:val="20"/>
        </w:rPr>
        <w:t> </w:t>
      </w:r>
      <w:r>
        <w:rPr>
          <w:i/>
          <w:color w:val="231F20"/>
          <w:sz w:val="20"/>
        </w:rPr>
        <w:t>de </w:t>
      </w:r>
      <w:r>
        <w:rPr>
          <w:i/>
          <w:color w:val="231F20"/>
          <w:sz w:val="20"/>
        </w:rPr>
        <w:t>grupo”, “derechos colectivos” o “derechos de minorías”?, </w:t>
      </w:r>
      <w:r>
        <w:rPr>
          <w:color w:val="231F20"/>
          <w:sz w:val="20"/>
        </w:rPr>
        <w:t>http://www.equidad. scjn.gob.mx/spip.php?article615</w:t>
      </w:r>
    </w:p>
    <w:p>
      <w:pPr>
        <w:spacing w:line="210" w:lineRule="exact" w:before="113"/>
        <w:ind w:left="117" w:right="115" w:firstLine="0"/>
        <w:jc w:val="both"/>
        <w:rPr>
          <w:sz w:val="20"/>
        </w:rPr>
      </w:pPr>
      <w:r>
        <w:rPr>
          <w:color w:val="231F20"/>
          <w:sz w:val="20"/>
        </w:rPr>
        <w:t>WISE, Raúl y Humberto Márquez Covarrubias, 2007, </w:t>
      </w:r>
      <w:r>
        <w:rPr>
          <w:i/>
          <w:color w:val="231F20"/>
          <w:sz w:val="20"/>
        </w:rPr>
        <w:t>El sistema migratorio Mé- </w:t>
      </w:r>
      <w:r>
        <w:rPr>
          <w:i/>
          <w:color w:val="231F20"/>
          <w:sz w:val="20"/>
        </w:rPr>
        <w:t>xico-Estados</w:t>
      </w:r>
      <w:r>
        <w:rPr>
          <w:i/>
          <w:color w:val="231F20"/>
          <w:spacing w:val="-11"/>
          <w:sz w:val="20"/>
        </w:rPr>
        <w:t> </w:t>
      </w:r>
      <w:r>
        <w:rPr>
          <w:i/>
          <w:color w:val="231F20"/>
          <w:sz w:val="20"/>
        </w:rPr>
        <w:t>Unidos:</w:t>
      </w:r>
      <w:r>
        <w:rPr>
          <w:i/>
          <w:color w:val="231F20"/>
          <w:spacing w:val="-10"/>
          <w:sz w:val="20"/>
        </w:rPr>
        <w:t> </w:t>
      </w:r>
      <w:r>
        <w:rPr>
          <w:i/>
          <w:color w:val="231F20"/>
          <w:sz w:val="20"/>
        </w:rPr>
        <w:t>dilemas</w:t>
      </w:r>
      <w:r>
        <w:rPr>
          <w:i/>
          <w:color w:val="231F20"/>
          <w:spacing w:val="-10"/>
          <w:sz w:val="20"/>
        </w:rPr>
        <w:t> </w:t>
      </w:r>
      <w:r>
        <w:rPr>
          <w:i/>
          <w:color w:val="231F20"/>
          <w:sz w:val="20"/>
        </w:rPr>
        <w:t>de</w:t>
      </w:r>
      <w:r>
        <w:rPr>
          <w:i/>
          <w:color w:val="231F20"/>
          <w:spacing w:val="-10"/>
          <w:sz w:val="20"/>
        </w:rPr>
        <w:t> </w:t>
      </w:r>
      <w:r>
        <w:rPr>
          <w:i/>
          <w:color w:val="231F20"/>
          <w:sz w:val="20"/>
        </w:rPr>
        <w:t>la</w:t>
      </w:r>
      <w:r>
        <w:rPr>
          <w:i/>
          <w:color w:val="231F20"/>
          <w:spacing w:val="-11"/>
          <w:sz w:val="20"/>
        </w:rPr>
        <w:t> </w:t>
      </w:r>
      <w:r>
        <w:rPr>
          <w:i/>
          <w:color w:val="231F20"/>
          <w:sz w:val="20"/>
        </w:rPr>
        <w:t>integración</w:t>
      </w:r>
      <w:r>
        <w:rPr>
          <w:i/>
          <w:color w:val="231F20"/>
          <w:spacing w:val="-11"/>
          <w:sz w:val="20"/>
        </w:rPr>
        <w:t> </w:t>
      </w:r>
      <w:r>
        <w:rPr>
          <w:i/>
          <w:color w:val="231F20"/>
          <w:sz w:val="20"/>
        </w:rPr>
        <w:t>regional,</w:t>
      </w:r>
      <w:r>
        <w:rPr>
          <w:i/>
          <w:color w:val="231F20"/>
          <w:spacing w:val="-11"/>
          <w:sz w:val="20"/>
        </w:rPr>
        <w:t> </w:t>
      </w:r>
      <w:r>
        <w:rPr>
          <w:i/>
          <w:color w:val="231F20"/>
          <w:sz w:val="20"/>
        </w:rPr>
        <w:t>el</w:t>
      </w:r>
      <w:r>
        <w:rPr>
          <w:i/>
          <w:color w:val="231F20"/>
          <w:spacing w:val="-10"/>
          <w:sz w:val="20"/>
        </w:rPr>
        <w:t> </w:t>
      </w:r>
      <w:r>
        <w:rPr>
          <w:i/>
          <w:color w:val="231F20"/>
          <w:sz w:val="20"/>
        </w:rPr>
        <w:t>desarrollo</w:t>
      </w:r>
      <w:r>
        <w:rPr>
          <w:i/>
          <w:color w:val="231F20"/>
          <w:spacing w:val="-10"/>
          <w:sz w:val="20"/>
        </w:rPr>
        <w:t> </w:t>
      </w:r>
      <w:r>
        <w:rPr>
          <w:i/>
          <w:color w:val="231F20"/>
          <w:sz w:val="20"/>
        </w:rPr>
        <w:t>y</w:t>
      </w:r>
      <w:r>
        <w:rPr>
          <w:i/>
          <w:color w:val="231F20"/>
          <w:spacing w:val="-10"/>
          <w:sz w:val="20"/>
        </w:rPr>
        <w:t> </w:t>
      </w:r>
      <w:r>
        <w:rPr>
          <w:i/>
          <w:color w:val="231F20"/>
          <w:sz w:val="20"/>
        </w:rPr>
        <w:t>la</w:t>
      </w:r>
      <w:r>
        <w:rPr>
          <w:i/>
          <w:color w:val="231F20"/>
          <w:spacing w:val="-11"/>
          <w:sz w:val="20"/>
        </w:rPr>
        <w:t> </w:t>
      </w:r>
      <w:r>
        <w:rPr>
          <w:i/>
          <w:color w:val="231F20"/>
          <w:sz w:val="20"/>
        </w:rPr>
        <w:t>migra- ción, en Migración y desarrollo: perspectivas desde el sur</w:t>
      </w:r>
      <w:r>
        <w:rPr>
          <w:color w:val="231F20"/>
          <w:sz w:val="20"/>
        </w:rPr>
        <w:t>, Porrúa-INM,</w:t>
      </w:r>
      <w:r>
        <w:rPr>
          <w:color w:val="231F20"/>
          <w:spacing w:val="-30"/>
          <w:sz w:val="20"/>
        </w:rPr>
        <w:t> </w:t>
      </w:r>
      <w:r>
        <w:rPr>
          <w:color w:val="231F20"/>
          <w:sz w:val="20"/>
        </w:rPr>
        <w:t>México.</w:t>
      </w:r>
    </w:p>
    <w:p>
      <w:pPr>
        <w:spacing w:before="94"/>
        <w:ind w:left="117" w:right="0" w:firstLine="0"/>
        <w:jc w:val="both"/>
        <w:rPr>
          <w:sz w:val="20"/>
        </w:rPr>
      </w:pPr>
      <w:r>
        <w:rPr>
          <w:color w:val="231F20"/>
          <w:sz w:val="20"/>
        </w:rPr>
        <w:t>WOLF, Mauro, 2000, </w:t>
      </w:r>
      <w:r>
        <w:rPr>
          <w:i/>
          <w:color w:val="231F20"/>
          <w:sz w:val="20"/>
        </w:rPr>
        <w:t>Sociologías de la vida cotidiana</w:t>
      </w:r>
      <w:r>
        <w:rPr>
          <w:color w:val="231F20"/>
          <w:sz w:val="20"/>
        </w:rPr>
        <w:t>, Cátedra, España.</w:t>
      </w:r>
    </w:p>
    <w:p>
      <w:pPr>
        <w:spacing w:after="0"/>
        <w:jc w:val="both"/>
        <w:rPr>
          <w:sz w:val="20"/>
        </w:rPr>
        <w:sectPr>
          <w:footerReference w:type="default" r:id="rId111"/>
          <w:pgSz w:w="9360" w:h="13040"/>
          <w:pgMar w:footer="496" w:header="0" w:top="740" w:bottom="680" w:left="1300" w:right="1300"/>
          <w:pgNumType w:start="141"/>
        </w:sectPr>
      </w:pPr>
    </w:p>
    <w:p>
      <w:pPr>
        <w:tabs>
          <w:tab w:pos="5536" w:val="left" w:leader="none"/>
        </w:tabs>
        <w:spacing w:before="48"/>
        <w:ind w:left="105" w:right="0" w:firstLine="0"/>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spacing w:before="1"/>
        <w:ind w:left="105" w:right="0" w:firstLine="0"/>
        <w:jc w:val="both"/>
        <w:rPr>
          <w:i/>
          <w:sz w:val="22"/>
        </w:rPr>
      </w:pPr>
      <w:r>
        <w:rPr>
          <w:i/>
          <w:color w:val="231F20"/>
          <w:sz w:val="22"/>
        </w:rPr>
        <w:t>Luis Raúl Ortiz-Ramírez</w:t>
      </w:r>
    </w:p>
    <w:p>
      <w:pPr>
        <w:pStyle w:val="BodyText"/>
        <w:spacing w:before="2"/>
        <w:rPr>
          <w:i/>
          <w:sz w:val="23"/>
        </w:rPr>
      </w:pPr>
    </w:p>
    <w:p>
      <w:pPr>
        <w:pStyle w:val="BodyText"/>
        <w:spacing w:line="247" w:lineRule="auto"/>
        <w:ind w:left="105" w:right="115"/>
        <w:jc w:val="both"/>
      </w:pPr>
      <w:r>
        <w:rPr>
          <w:color w:val="231F20"/>
        </w:rPr>
        <w:t>Maestro</w:t>
      </w:r>
      <w:r>
        <w:rPr>
          <w:color w:val="231F20"/>
          <w:spacing w:val="-10"/>
        </w:rPr>
        <w:t> </w:t>
      </w:r>
      <w:r>
        <w:rPr>
          <w:color w:val="231F20"/>
        </w:rPr>
        <w:t>en</w:t>
      </w:r>
      <w:r>
        <w:rPr>
          <w:color w:val="231F20"/>
          <w:spacing w:val="-11"/>
        </w:rPr>
        <w:t> </w:t>
      </w:r>
      <w:r>
        <w:rPr>
          <w:color w:val="231F20"/>
        </w:rPr>
        <w:t>Derecho.</w:t>
      </w:r>
      <w:r>
        <w:rPr>
          <w:color w:val="231F20"/>
          <w:spacing w:val="-10"/>
        </w:rPr>
        <w:t> </w:t>
      </w:r>
      <w:r>
        <w:rPr>
          <w:color w:val="231F20"/>
        </w:rPr>
        <w:t>Es</w:t>
      </w:r>
      <w:r>
        <w:rPr>
          <w:color w:val="231F20"/>
          <w:spacing w:val="-11"/>
        </w:rPr>
        <w:t> </w:t>
      </w:r>
      <w:r>
        <w:rPr>
          <w:color w:val="231F20"/>
        </w:rPr>
        <w:t>profesor</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Facultad</w:t>
      </w:r>
      <w:r>
        <w:rPr>
          <w:color w:val="231F20"/>
          <w:spacing w:val="-10"/>
        </w:rPr>
        <w:t> </w:t>
      </w:r>
      <w:r>
        <w:rPr>
          <w:color w:val="231F20"/>
        </w:rPr>
        <w:t>de</w:t>
      </w:r>
      <w:r>
        <w:rPr>
          <w:color w:val="231F20"/>
          <w:spacing w:val="-10"/>
        </w:rPr>
        <w:t> </w:t>
      </w:r>
      <w:r>
        <w:rPr>
          <w:color w:val="231F20"/>
        </w:rPr>
        <w:t>Derecho</w:t>
      </w:r>
      <w:r>
        <w:rPr>
          <w:color w:val="231F20"/>
          <w:spacing w:val="-10"/>
        </w:rPr>
        <w:t> </w:t>
      </w:r>
      <w:r>
        <w:rPr>
          <w:color w:val="231F20"/>
        </w:rPr>
        <w:t>de</w:t>
      </w:r>
      <w:r>
        <w:rPr>
          <w:color w:val="231F20"/>
          <w:spacing w:val="-10"/>
        </w:rPr>
        <w:t> </w:t>
      </w:r>
      <w:r>
        <w:rPr>
          <w:color w:val="231F20"/>
        </w:rPr>
        <w:t>la</w:t>
      </w:r>
      <w:r>
        <w:rPr>
          <w:color w:val="231F20"/>
          <w:spacing w:val="-11"/>
        </w:rPr>
        <w:t> </w:t>
      </w:r>
      <w:r>
        <w:rPr>
          <w:color w:val="231F20"/>
        </w:rPr>
        <w:t>Universi- dad</w:t>
      </w:r>
      <w:r>
        <w:rPr>
          <w:color w:val="231F20"/>
          <w:spacing w:val="-23"/>
        </w:rPr>
        <w:t> </w:t>
      </w:r>
      <w:r>
        <w:rPr>
          <w:color w:val="231F20"/>
        </w:rPr>
        <w:t>Autónoma</w:t>
      </w:r>
      <w:r>
        <w:rPr>
          <w:color w:val="231F20"/>
          <w:spacing w:val="-10"/>
        </w:rPr>
        <w:t> </w:t>
      </w:r>
      <w:r>
        <w:rPr>
          <w:color w:val="231F20"/>
        </w:rPr>
        <w:t>del</w:t>
      </w:r>
      <w:r>
        <w:rPr>
          <w:color w:val="231F20"/>
          <w:spacing w:val="-11"/>
        </w:rPr>
        <w:t> </w:t>
      </w:r>
      <w:r>
        <w:rPr>
          <w:color w:val="231F20"/>
        </w:rPr>
        <w:t>Estado</w:t>
      </w:r>
      <w:r>
        <w:rPr>
          <w:color w:val="231F20"/>
          <w:spacing w:val="-11"/>
        </w:rPr>
        <w:t> </w:t>
      </w:r>
      <w:r>
        <w:rPr>
          <w:color w:val="231F20"/>
        </w:rPr>
        <w:t>de</w:t>
      </w:r>
      <w:r>
        <w:rPr>
          <w:color w:val="231F20"/>
          <w:spacing w:val="-11"/>
        </w:rPr>
        <w:t> </w:t>
      </w:r>
      <w:r>
        <w:rPr>
          <w:color w:val="231F20"/>
        </w:rPr>
        <w:t>México,</w:t>
      </w:r>
      <w:r>
        <w:rPr>
          <w:color w:val="231F20"/>
          <w:spacing w:val="-10"/>
        </w:rPr>
        <w:t> </w:t>
      </w:r>
      <w:r>
        <w:rPr>
          <w:color w:val="231F20"/>
        </w:rPr>
        <w:t>donde</w:t>
      </w:r>
      <w:r>
        <w:rPr>
          <w:color w:val="231F20"/>
          <w:spacing w:val="-11"/>
        </w:rPr>
        <w:t> </w:t>
      </w:r>
      <w:r>
        <w:rPr>
          <w:color w:val="231F20"/>
        </w:rPr>
        <w:t>imparte</w:t>
      </w:r>
      <w:r>
        <w:rPr>
          <w:color w:val="231F20"/>
          <w:spacing w:val="-11"/>
        </w:rPr>
        <w:t> </w:t>
      </w:r>
      <w:r>
        <w:rPr>
          <w:color w:val="231F20"/>
        </w:rPr>
        <w:t>los</w:t>
      </w:r>
      <w:r>
        <w:rPr>
          <w:color w:val="231F20"/>
          <w:spacing w:val="-11"/>
        </w:rPr>
        <w:t> </w:t>
      </w:r>
      <w:r>
        <w:rPr>
          <w:color w:val="231F20"/>
        </w:rPr>
        <w:t>cursos</w:t>
      </w:r>
      <w:r>
        <w:rPr>
          <w:color w:val="231F20"/>
          <w:spacing w:val="-11"/>
        </w:rPr>
        <w:t> </w:t>
      </w:r>
      <w:r>
        <w:rPr>
          <w:color w:val="231F20"/>
        </w:rPr>
        <w:t>de</w:t>
      </w:r>
      <w:r>
        <w:rPr>
          <w:color w:val="231F20"/>
          <w:spacing w:val="-11"/>
        </w:rPr>
        <w:t> </w:t>
      </w:r>
      <w:r>
        <w:rPr>
          <w:color w:val="231F20"/>
        </w:rPr>
        <w:t>Derecho Internacional Público, Derecho Internacional Privado y Metodología de  la Investigación. Entre sus últimas publicaciones destacan el artículo “El migrante</w:t>
      </w:r>
      <w:r>
        <w:rPr>
          <w:color w:val="231F20"/>
          <w:spacing w:val="-11"/>
        </w:rPr>
        <w:t> </w:t>
      </w:r>
      <w:r>
        <w:rPr>
          <w:color w:val="231F20"/>
        </w:rPr>
        <w:t>centroamericano</w:t>
      </w:r>
      <w:r>
        <w:rPr>
          <w:color w:val="231F20"/>
          <w:spacing w:val="-11"/>
        </w:rPr>
        <w:t> </w:t>
      </w:r>
      <w:r>
        <w:rPr>
          <w:color w:val="231F20"/>
        </w:rPr>
        <w:t>de</w:t>
      </w:r>
      <w:r>
        <w:rPr>
          <w:color w:val="231F20"/>
          <w:spacing w:val="-10"/>
        </w:rPr>
        <w:t> </w:t>
      </w:r>
      <w:r>
        <w:rPr>
          <w:color w:val="231F20"/>
        </w:rPr>
        <w:t>paso</w:t>
      </w:r>
      <w:r>
        <w:rPr>
          <w:color w:val="231F20"/>
          <w:spacing w:val="-10"/>
        </w:rPr>
        <w:t> </w:t>
      </w:r>
      <w:r>
        <w:rPr>
          <w:color w:val="231F20"/>
        </w:rPr>
        <w:t>por</w:t>
      </w:r>
      <w:r>
        <w:rPr>
          <w:color w:val="231F20"/>
          <w:spacing w:val="-10"/>
        </w:rPr>
        <w:t> </w:t>
      </w:r>
      <w:r>
        <w:rPr>
          <w:color w:val="231F20"/>
        </w:rPr>
        <w:t>México,</w:t>
      </w:r>
      <w:r>
        <w:rPr>
          <w:color w:val="231F20"/>
          <w:spacing w:val="-10"/>
        </w:rPr>
        <w:t> </w:t>
      </w:r>
      <w:r>
        <w:rPr>
          <w:color w:val="231F20"/>
        </w:rPr>
        <w:t>una</w:t>
      </w:r>
      <w:r>
        <w:rPr>
          <w:color w:val="231F20"/>
          <w:spacing w:val="-10"/>
        </w:rPr>
        <w:t> </w:t>
      </w:r>
      <w:r>
        <w:rPr>
          <w:color w:val="231F20"/>
        </w:rPr>
        <w:t>revisión</w:t>
      </w:r>
      <w:r>
        <w:rPr>
          <w:color w:val="231F20"/>
          <w:spacing w:val="-10"/>
        </w:rPr>
        <w:t> </w:t>
      </w:r>
      <w:r>
        <w:rPr>
          <w:color w:val="231F20"/>
        </w:rPr>
        <w:t>a</w:t>
      </w:r>
      <w:r>
        <w:rPr>
          <w:color w:val="231F20"/>
          <w:spacing w:val="-10"/>
        </w:rPr>
        <w:t> </w:t>
      </w:r>
      <w:r>
        <w:rPr>
          <w:color w:val="231F20"/>
        </w:rPr>
        <w:t>su</w:t>
      </w:r>
      <w:r>
        <w:rPr>
          <w:color w:val="231F20"/>
          <w:spacing w:val="-10"/>
        </w:rPr>
        <w:t> </w:t>
      </w:r>
      <w:r>
        <w:rPr>
          <w:color w:val="231F20"/>
        </w:rPr>
        <w:t>condición social” (coautor) en la revista </w:t>
      </w:r>
      <w:r>
        <w:rPr>
          <w:i/>
          <w:color w:val="231F20"/>
        </w:rPr>
        <w:t>Convergencia </w:t>
      </w:r>
      <w:r>
        <w:rPr>
          <w:color w:val="231F20"/>
        </w:rPr>
        <w:t>de la Facultad de Ciencias Políticas y Sociales de la UAEM, 2012; “Reflexiones sobre el derecho al desarrollo de los migrantes centroamericanos de paso por México y su ex- periencia al cruzar el país” en </w:t>
      </w:r>
      <w:r>
        <w:rPr>
          <w:i/>
          <w:color w:val="231F20"/>
        </w:rPr>
        <w:t>La investigación social en México </w:t>
      </w:r>
      <w:r>
        <w:rPr>
          <w:i/>
          <w:color w:val="231F20"/>
          <w:spacing w:val="-4"/>
        </w:rPr>
        <w:t>2011</w:t>
      </w:r>
      <w:r>
        <w:rPr>
          <w:color w:val="231F20"/>
          <w:spacing w:val="-4"/>
        </w:rPr>
        <w:t>, </w:t>
      </w:r>
      <w:r>
        <w:rPr>
          <w:color w:val="231F20"/>
        </w:rPr>
        <w:t>UAEH, </w:t>
      </w:r>
      <w:r>
        <w:rPr>
          <w:color w:val="231F20"/>
          <w:spacing w:val="-3"/>
        </w:rPr>
        <w:t>2011 </w:t>
      </w:r>
      <w:r>
        <w:rPr>
          <w:color w:val="231F20"/>
        </w:rPr>
        <w:t>y “El migrante centroamericano de paso por México. Una mirada crítica a la construcción estructurante desde la visión de Michel Foucault”, en </w:t>
      </w:r>
      <w:r>
        <w:rPr>
          <w:i/>
          <w:color w:val="231F20"/>
        </w:rPr>
        <w:t>La Investigación Social en México</w:t>
      </w:r>
      <w:r>
        <w:rPr>
          <w:color w:val="231F20"/>
        </w:rPr>
        <w:t>, UAEH,</w:t>
      </w:r>
      <w:r>
        <w:rPr>
          <w:color w:val="231F20"/>
          <w:spacing w:val="-17"/>
        </w:rPr>
        <w:t> </w:t>
      </w:r>
      <w:r>
        <w:rPr>
          <w:color w:val="231F20"/>
        </w:rPr>
        <w:t>2013.</w:t>
      </w:r>
    </w:p>
    <w:p>
      <w:pPr>
        <w:pStyle w:val="BodyText"/>
        <w:spacing w:before="6"/>
      </w:pPr>
    </w:p>
    <w:p>
      <w:pPr>
        <w:pStyle w:val="BodyText"/>
        <w:ind w:left="105"/>
        <w:jc w:val="both"/>
      </w:pPr>
      <w:r>
        <w:rPr>
          <w:color w:val="231F20"/>
        </w:rPr>
        <w:t>Correo electrónico: </w:t>
      </w:r>
      <w:hyperlink r:id="rId115">
        <w:r>
          <w:rPr>
            <w:color w:val="231F20"/>
          </w:rPr>
          <w:t>raul_ciceron@hotmail.com</w:t>
        </w:r>
      </w:hyperlink>
    </w:p>
    <w:p>
      <w:pPr>
        <w:spacing w:after="0"/>
        <w:jc w:val="both"/>
        <w:sectPr>
          <w:pgSz w:w="9360" w:h="13040"/>
          <w:pgMar w:header="0" w:footer="496" w:top="800" w:bottom="680" w:left="1300" w:right="1300"/>
        </w:sectPr>
      </w:pPr>
    </w:p>
    <w:p>
      <w:pPr>
        <w:pStyle w:val="BodyText"/>
        <w:ind w:left="109"/>
        <w:rPr>
          <w:sz w:val="20"/>
        </w:rPr>
      </w:pPr>
      <w:r>
        <w:rPr/>
        <w:pict>
          <v:shape style="position:absolute;margin-left:50.457001pt;margin-top:20.784994pt;width:353.4pt;height:43.5pt;mso-position-horizontal-relative:page;mso-position-vertical-relative:page;z-index:-641128" type="#_x0000_t202" filled="false" stroked="false">
            <v:textbox inset="0,0,0,0">
              <w:txbxContent>
                <w:p>
                  <w:pPr>
                    <w:pStyle w:val="BodyText"/>
                    <w:rPr>
                      <w:b/>
                      <w:sz w:val="20"/>
                    </w:rPr>
                  </w:pPr>
                </w:p>
                <w:p>
                  <w:pPr>
                    <w:spacing w:before="159"/>
                    <w:ind w:left="1103" w:right="0" w:firstLine="0"/>
                    <w:jc w:val="left"/>
                    <w:rPr>
                      <w:rFonts w:ascii="Arial" w:hAnsi="Arial"/>
                      <w:i/>
                      <w:sz w:val="20"/>
                    </w:rPr>
                  </w:pP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participación</w:t>
                  </w:r>
                  <w:r>
                    <w:rPr>
                      <w:rFonts w:ascii="Arial" w:hAnsi="Arial"/>
                      <w:color w:val="231F20"/>
                      <w:spacing w:val="-15"/>
                      <w:w w:val="70"/>
                      <w:sz w:val="20"/>
                    </w:rPr>
                    <w:t> </w:t>
                  </w:r>
                  <w:r>
                    <w:rPr>
                      <w:rFonts w:ascii="Arial" w:hAnsi="Arial"/>
                      <w:color w:val="231F20"/>
                      <w:w w:val="70"/>
                      <w:sz w:val="20"/>
                    </w:rPr>
                    <w:t>de</w:t>
                  </w:r>
                  <w:r>
                    <w:rPr>
                      <w:rFonts w:ascii="Arial" w:hAnsi="Arial"/>
                      <w:color w:val="231F20"/>
                      <w:spacing w:val="-15"/>
                      <w:w w:val="70"/>
                      <w:sz w:val="20"/>
                    </w:rPr>
                    <w:t> </w:t>
                  </w:r>
                  <w:r>
                    <w:rPr>
                      <w:rFonts w:ascii="Arial" w:hAnsi="Arial"/>
                      <w:color w:val="231F20"/>
                      <w:w w:val="70"/>
                      <w:sz w:val="20"/>
                    </w:rPr>
                    <w:t>los</w:t>
                  </w:r>
                  <w:r>
                    <w:rPr>
                      <w:rFonts w:ascii="Arial" w:hAnsi="Arial"/>
                      <w:color w:val="231F20"/>
                      <w:spacing w:val="-15"/>
                      <w:w w:val="70"/>
                      <w:sz w:val="20"/>
                    </w:rPr>
                    <w:t> </w:t>
                  </w:r>
                  <w:r>
                    <w:rPr>
                      <w:rFonts w:ascii="Arial" w:hAnsi="Arial"/>
                      <w:color w:val="231F20"/>
                      <w:w w:val="70"/>
                      <w:sz w:val="20"/>
                    </w:rPr>
                    <w:t>migrantes</w:t>
                  </w:r>
                  <w:r>
                    <w:rPr>
                      <w:rFonts w:ascii="Arial" w:hAnsi="Arial"/>
                      <w:color w:val="231F20"/>
                      <w:spacing w:val="-15"/>
                      <w:w w:val="70"/>
                      <w:sz w:val="20"/>
                    </w:rPr>
                    <w:t> </w:t>
                  </w:r>
                  <w:r>
                    <w:rPr>
                      <w:rFonts w:ascii="Arial" w:hAnsi="Arial"/>
                      <w:color w:val="231F20"/>
                      <w:w w:val="70"/>
                      <w:sz w:val="20"/>
                    </w:rPr>
                    <w:t>mexicanos</w:t>
                  </w:r>
                  <w:r>
                    <w:rPr>
                      <w:rFonts w:ascii="Arial" w:hAnsi="Arial"/>
                      <w:color w:val="231F20"/>
                      <w:spacing w:val="-15"/>
                      <w:w w:val="70"/>
                      <w:sz w:val="20"/>
                    </w:rPr>
                    <w:t> </w:t>
                  </w:r>
                  <w:r>
                    <w:rPr>
                      <w:rFonts w:ascii="Arial" w:hAnsi="Arial"/>
                      <w:color w:val="231F20"/>
                      <w:w w:val="70"/>
                      <w:sz w:val="20"/>
                    </w:rPr>
                    <w:t>en</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economía...</w:t>
                  </w:r>
                  <w:r>
                    <w:rPr>
                      <w:rFonts w:ascii="Arial" w:hAnsi="Arial"/>
                      <w:color w:val="231F20"/>
                      <w:spacing w:val="-15"/>
                      <w:w w:val="70"/>
                      <w:sz w:val="20"/>
                    </w:rPr>
                    <w:t> </w:t>
                  </w:r>
                  <w:r>
                    <w:rPr>
                      <w:rFonts w:ascii="Arial" w:hAnsi="Arial"/>
                      <w:color w:val="231F20"/>
                      <w:w w:val="70"/>
                      <w:sz w:val="20"/>
                    </w:rPr>
                    <w:t>/Esther</w:t>
                  </w:r>
                  <w:r>
                    <w:rPr>
                      <w:rFonts w:ascii="Arial" w:hAnsi="Arial"/>
                      <w:color w:val="231F20"/>
                      <w:spacing w:val="-22"/>
                      <w:w w:val="70"/>
                      <w:sz w:val="20"/>
                    </w:rPr>
                    <w:t> </w:t>
                  </w:r>
                  <w:r>
                    <w:rPr>
                      <w:rFonts w:ascii="Arial" w:hAnsi="Arial"/>
                      <w:color w:val="231F20"/>
                      <w:w w:val="70"/>
                      <w:sz w:val="20"/>
                    </w:rPr>
                    <w:t>Figueroa-Hernández</w:t>
                  </w:r>
                  <w:r>
                    <w:rPr>
                      <w:rFonts w:ascii="Arial" w:hAnsi="Arial"/>
                      <w:color w:val="231F20"/>
                      <w:spacing w:val="-22"/>
                      <w:w w:val="70"/>
                      <w:sz w:val="20"/>
                    </w:rPr>
                    <w:t> </w:t>
                  </w:r>
                  <w:r>
                    <w:rPr>
                      <w:rFonts w:ascii="Arial" w:hAnsi="Arial"/>
                      <w:i/>
                      <w:color w:val="231F20"/>
                      <w:w w:val="70"/>
                      <w:sz w:val="20"/>
                    </w:rPr>
                    <w:t>et</w:t>
                  </w:r>
                  <w:r>
                    <w:rPr>
                      <w:rFonts w:ascii="Arial" w:hAnsi="Arial"/>
                      <w:i/>
                      <w:color w:val="231F20"/>
                      <w:spacing w:val="-22"/>
                      <w:w w:val="70"/>
                      <w:sz w:val="20"/>
                    </w:rPr>
                    <w:t> </w:t>
                  </w:r>
                  <w:r>
                    <w:rPr>
                      <w:rFonts w:ascii="Arial" w:hAnsi="Arial"/>
                      <w:i/>
                      <w:color w:val="231F20"/>
                      <w:w w:val="70"/>
                      <w:sz w:val="20"/>
                    </w:rPr>
                    <w:t>al.</w:t>
                  </w:r>
                </w:p>
              </w:txbxContent>
            </v:textbox>
            <w10:wrap type="none"/>
          </v:shape>
        </w:pict>
      </w:r>
      <w:r>
        <w:rPr/>
        <w:pict>
          <v:shape style="position:absolute;margin-left:57.165001pt;margin-top:598.109985pt;width:353.4pt;height:43.5pt;mso-position-horizontal-relative:page;mso-position-vertical-relative:page;z-index:-641104" type="#_x0000_t202" filled="false" stroked="false">
            <v:textbox inset="0,0,0,0">
              <w:txbxContent>
                <w:p>
                  <w:pPr>
                    <w:pStyle w:val="BodyText"/>
                    <w:spacing w:before="10"/>
                    <w:rPr>
                      <w:b/>
                      <w:sz w:val="28"/>
                    </w:rPr>
                  </w:pPr>
                </w:p>
                <w:p>
                  <w:pPr>
                    <w:spacing w:before="0"/>
                    <w:ind w:left="3015" w:right="3026" w:firstLine="0"/>
                    <w:jc w:val="center"/>
                    <w:rPr>
                      <w:rFonts w:ascii="Verdana"/>
                      <w:sz w:val="20"/>
                    </w:rPr>
                  </w:pPr>
                  <w:r>
                    <w:rPr>
                      <w:rFonts w:ascii="Verdana"/>
                      <w:color w:val="231F20"/>
                      <w:sz w:val="20"/>
                    </w:rPr>
                    <w:t>143</w:t>
                  </w:r>
                </w:p>
              </w:txbxContent>
            </v:textbox>
            <w10:wrap type="none"/>
          </v:shape>
        </w:pict>
      </w: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249" w:lineRule="auto" w:before="209"/>
        <w:ind w:left="1743" w:right="358" w:firstLine="4368"/>
      </w:pPr>
      <w:r>
        <w:rPr>
          <w:color w:val="231F20"/>
          <w:w w:val="75"/>
        </w:rPr>
        <w:t>Parte 3 Migrantes y remesas en la economía local</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1"/>
        </w:rPr>
      </w:pPr>
      <w:r>
        <w:rPr/>
        <w:pict>
          <v:rect style="position:absolute;margin-left:57.165001pt;margin-top:14.090481pt;width:353.386pt;height:43.469pt;mso-position-horizontal-relative:page;mso-position-vertical-relative:paragraph;z-index:3448;mso-wrap-distance-left:0;mso-wrap-distance-right:0" filled="true" fillcolor="#ffffff" stroked="false">
            <v:fill type="solid"/>
            <w10:wrap type="topAndBottom"/>
          </v:rect>
        </w:pict>
      </w:r>
    </w:p>
    <w:p>
      <w:pPr>
        <w:spacing w:after="0"/>
        <w:rPr>
          <w:sz w:val="21"/>
        </w:rPr>
        <w:sectPr>
          <w:footerReference w:type="default" r:id="rId116"/>
          <w:pgSz w:w="9360" w:h="13040"/>
          <w:pgMar w:footer="0" w:header="0" w:top="400" w:bottom="0" w:left="900" w:right="1040"/>
        </w:sectPr>
      </w:pPr>
    </w:p>
    <w:p>
      <w:pPr>
        <w:pStyle w:val="BodyText"/>
        <w:ind w:left="103"/>
        <w:rPr>
          <w:sz w:val="20"/>
        </w:rPr>
      </w:pPr>
      <w:r>
        <w:rPr/>
        <w:pict>
          <v:shape style="position:absolute;margin-left:57.165001pt;margin-top:23.243994pt;width:353.4pt;height:43.5pt;mso-position-horizontal-relative:page;mso-position-vertical-relative:page;z-index:-641032" type="#_x0000_t202" filled="false" stroked="false">
            <v:textbox inset="0,0,0,0">
              <w:txbxContent>
                <w:p>
                  <w:pPr>
                    <w:pStyle w:val="BodyText"/>
                    <w:rPr>
                      <w:b/>
                    </w:rPr>
                  </w:pPr>
                </w:p>
                <w:p>
                  <w:pPr>
                    <w:tabs>
                      <w:tab w:pos="5693" w:val="left" w:leader="none"/>
                    </w:tabs>
                    <w:spacing w:before="193"/>
                    <w:ind w:left="274" w:right="0" w:firstLine="0"/>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txbxContent>
            </v:textbox>
            <w10:wrap type="none"/>
          </v:shape>
        </w:pict>
      </w:r>
      <w:r>
        <w:rPr/>
        <w:pict>
          <v:shape style="position:absolute;margin-left:57.165001pt;margin-top:595.864014pt;width:353.4pt;height:43.5pt;mso-position-horizontal-relative:page;mso-position-vertical-relative:page;z-index:-641008" type="#_x0000_t202" filled="false" stroked="false">
            <v:textbox inset="0,0,0,0">
              <w:txbxContent>
                <w:p>
                  <w:pPr>
                    <w:pStyle w:val="BodyText"/>
                    <w:rPr>
                      <w:b/>
                      <w:sz w:val="20"/>
                    </w:rPr>
                  </w:pPr>
                </w:p>
                <w:p>
                  <w:pPr>
                    <w:spacing w:before="147"/>
                    <w:ind w:left="2761" w:right="3055" w:firstLine="0"/>
                    <w:jc w:val="center"/>
                    <w:rPr>
                      <w:rFonts w:ascii="Verdana"/>
                      <w:sz w:val="20"/>
                    </w:rPr>
                  </w:pPr>
                  <w:r>
                    <w:rPr>
                      <w:rFonts w:ascii="Verdana"/>
                      <w:color w:val="231F20"/>
                      <w:sz w:val="20"/>
                    </w:rPr>
                    <w:t>144</w:t>
                  </w:r>
                </w:p>
              </w:txbxContent>
            </v:textbox>
            <w10:wrap type="none"/>
          </v:shape>
        </w:pict>
      </w: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5"/>
        </w:rPr>
      </w:pPr>
      <w:r>
        <w:rPr/>
        <w:pict>
          <v:rect style="position:absolute;margin-left:57.165001pt;margin-top:10.688946pt;width:353.386pt;height:43.469pt;mso-position-horizontal-relative:page;mso-position-vertical-relative:paragraph;z-index:3544;mso-wrap-distance-left:0;mso-wrap-distance-right:0" filled="true" fillcolor="#ffffff" stroked="false">
            <v:fill type="solid"/>
            <w10:wrap type="topAndBottom"/>
          </v:rect>
        </w:pict>
      </w:r>
    </w:p>
    <w:p>
      <w:pPr>
        <w:spacing w:after="0"/>
        <w:rPr>
          <w:sz w:val="15"/>
        </w:rPr>
        <w:sectPr>
          <w:footerReference w:type="default" r:id="rId117"/>
          <w:pgSz w:w="9360" w:h="13040"/>
          <w:pgMar w:footer="0" w:header="0" w:top="440" w:bottom="0" w:left="1040" w:right="1040"/>
        </w:sectPr>
      </w:pPr>
    </w:p>
    <w:p>
      <w:pPr>
        <w:pStyle w:val="BodyText"/>
        <w:ind w:left="114"/>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ind w:left="1406" w:right="1241"/>
        <w:jc w:val="center"/>
      </w:pPr>
      <w:r>
        <w:rPr/>
        <w:pict>
          <v:shape style="position:absolute;margin-left:52.723999pt;margin-top:-44.926628pt;width:353.4pt;height:43.5pt;mso-position-horizontal-relative:page;mso-position-vertical-relative:paragraph;z-index:-640960" type="#_x0000_t202" filled="false" stroked="false">
            <v:textbox inset="0,0,0,0">
              <w:txbxContent>
                <w:p>
                  <w:pPr>
                    <w:pStyle w:val="BodyText"/>
                    <w:rPr>
                      <w:sz w:val="20"/>
                    </w:rPr>
                  </w:pPr>
                </w:p>
                <w:p>
                  <w:pPr>
                    <w:spacing w:before="159"/>
                    <w:ind w:left="1057" w:right="0" w:firstLine="0"/>
                    <w:jc w:val="left"/>
                    <w:rPr>
                      <w:rFonts w:ascii="Arial" w:hAnsi="Arial"/>
                      <w:i/>
                      <w:sz w:val="20"/>
                    </w:rPr>
                  </w:pP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participación</w:t>
                  </w:r>
                  <w:r>
                    <w:rPr>
                      <w:rFonts w:ascii="Arial" w:hAnsi="Arial"/>
                      <w:color w:val="231F20"/>
                      <w:spacing w:val="-15"/>
                      <w:w w:val="70"/>
                      <w:sz w:val="20"/>
                    </w:rPr>
                    <w:t> </w:t>
                  </w:r>
                  <w:r>
                    <w:rPr>
                      <w:rFonts w:ascii="Arial" w:hAnsi="Arial"/>
                      <w:color w:val="231F20"/>
                      <w:w w:val="70"/>
                      <w:sz w:val="20"/>
                    </w:rPr>
                    <w:t>de</w:t>
                  </w:r>
                  <w:r>
                    <w:rPr>
                      <w:rFonts w:ascii="Arial" w:hAnsi="Arial"/>
                      <w:color w:val="231F20"/>
                      <w:spacing w:val="-15"/>
                      <w:w w:val="70"/>
                      <w:sz w:val="20"/>
                    </w:rPr>
                    <w:t> </w:t>
                  </w:r>
                  <w:r>
                    <w:rPr>
                      <w:rFonts w:ascii="Arial" w:hAnsi="Arial"/>
                      <w:color w:val="231F20"/>
                      <w:w w:val="70"/>
                      <w:sz w:val="20"/>
                    </w:rPr>
                    <w:t>los</w:t>
                  </w:r>
                  <w:r>
                    <w:rPr>
                      <w:rFonts w:ascii="Arial" w:hAnsi="Arial"/>
                      <w:color w:val="231F20"/>
                      <w:spacing w:val="-15"/>
                      <w:w w:val="70"/>
                      <w:sz w:val="20"/>
                    </w:rPr>
                    <w:t> </w:t>
                  </w:r>
                  <w:r>
                    <w:rPr>
                      <w:rFonts w:ascii="Arial" w:hAnsi="Arial"/>
                      <w:color w:val="231F20"/>
                      <w:w w:val="70"/>
                      <w:sz w:val="20"/>
                    </w:rPr>
                    <w:t>migrantes</w:t>
                  </w:r>
                  <w:r>
                    <w:rPr>
                      <w:rFonts w:ascii="Arial" w:hAnsi="Arial"/>
                      <w:color w:val="231F20"/>
                      <w:spacing w:val="-15"/>
                      <w:w w:val="70"/>
                      <w:sz w:val="20"/>
                    </w:rPr>
                    <w:t> </w:t>
                  </w:r>
                  <w:r>
                    <w:rPr>
                      <w:rFonts w:ascii="Arial" w:hAnsi="Arial"/>
                      <w:color w:val="231F20"/>
                      <w:w w:val="70"/>
                      <w:sz w:val="20"/>
                    </w:rPr>
                    <w:t>mexicanos</w:t>
                  </w:r>
                  <w:r>
                    <w:rPr>
                      <w:rFonts w:ascii="Arial" w:hAnsi="Arial"/>
                      <w:color w:val="231F20"/>
                      <w:spacing w:val="-15"/>
                      <w:w w:val="70"/>
                      <w:sz w:val="20"/>
                    </w:rPr>
                    <w:t> </w:t>
                  </w:r>
                  <w:r>
                    <w:rPr>
                      <w:rFonts w:ascii="Arial" w:hAnsi="Arial"/>
                      <w:color w:val="231F20"/>
                      <w:w w:val="70"/>
                      <w:sz w:val="20"/>
                    </w:rPr>
                    <w:t>en</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economía...</w:t>
                  </w:r>
                  <w:r>
                    <w:rPr>
                      <w:rFonts w:ascii="Arial" w:hAnsi="Arial"/>
                      <w:color w:val="231F20"/>
                      <w:spacing w:val="-15"/>
                      <w:w w:val="70"/>
                      <w:sz w:val="20"/>
                    </w:rPr>
                    <w:t> </w:t>
                  </w:r>
                  <w:r>
                    <w:rPr>
                      <w:rFonts w:ascii="Arial" w:hAnsi="Arial"/>
                      <w:color w:val="231F20"/>
                      <w:w w:val="70"/>
                      <w:sz w:val="20"/>
                    </w:rPr>
                    <w:t>/Esther</w:t>
                  </w:r>
                  <w:r>
                    <w:rPr>
                      <w:rFonts w:ascii="Arial" w:hAnsi="Arial"/>
                      <w:color w:val="231F20"/>
                      <w:spacing w:val="-22"/>
                      <w:w w:val="70"/>
                      <w:sz w:val="20"/>
                    </w:rPr>
                    <w:t> </w:t>
                  </w:r>
                  <w:r>
                    <w:rPr>
                      <w:rFonts w:ascii="Arial" w:hAnsi="Arial"/>
                      <w:color w:val="231F20"/>
                      <w:w w:val="70"/>
                      <w:sz w:val="20"/>
                    </w:rPr>
                    <w:t>Figueroa-Hernández</w:t>
                  </w:r>
                  <w:r>
                    <w:rPr>
                      <w:rFonts w:ascii="Arial" w:hAnsi="Arial"/>
                      <w:color w:val="231F20"/>
                      <w:spacing w:val="-22"/>
                      <w:w w:val="70"/>
                      <w:sz w:val="20"/>
                    </w:rPr>
                    <w:t> </w:t>
                  </w:r>
                  <w:r>
                    <w:rPr>
                      <w:rFonts w:ascii="Arial" w:hAnsi="Arial"/>
                      <w:i/>
                      <w:color w:val="231F20"/>
                      <w:w w:val="70"/>
                      <w:sz w:val="20"/>
                    </w:rPr>
                    <w:t>et</w:t>
                  </w:r>
                  <w:r>
                    <w:rPr>
                      <w:rFonts w:ascii="Arial" w:hAnsi="Arial"/>
                      <w:i/>
                      <w:color w:val="231F20"/>
                      <w:spacing w:val="-22"/>
                      <w:w w:val="70"/>
                      <w:sz w:val="20"/>
                    </w:rPr>
                    <w:t> </w:t>
                  </w:r>
                  <w:r>
                    <w:rPr>
                      <w:rFonts w:ascii="Arial" w:hAnsi="Arial"/>
                      <w:i/>
                      <w:color w:val="231F20"/>
                      <w:w w:val="70"/>
                      <w:sz w:val="20"/>
                    </w:rPr>
                    <w:t>al.</w:t>
                  </w:r>
                </w:p>
              </w:txbxContent>
            </v:textbox>
            <w10:wrap type="none"/>
          </v:shape>
        </w:pict>
      </w:r>
      <w:r>
        <w:rPr>
          <w:spacing w:val="-9"/>
          <w:w w:val="70"/>
        </w:rPr>
        <w:t>La </w:t>
      </w:r>
      <w:r>
        <w:rPr>
          <w:spacing w:val="-17"/>
          <w:w w:val="70"/>
        </w:rPr>
        <w:t>participación </w:t>
      </w:r>
      <w:r>
        <w:rPr>
          <w:spacing w:val="-9"/>
          <w:w w:val="70"/>
        </w:rPr>
        <w:t>de </w:t>
      </w:r>
      <w:r>
        <w:rPr>
          <w:spacing w:val="-12"/>
          <w:w w:val="70"/>
        </w:rPr>
        <w:t>los </w:t>
      </w:r>
      <w:r>
        <w:rPr>
          <w:spacing w:val="-16"/>
          <w:w w:val="70"/>
        </w:rPr>
        <w:t>migrantes </w:t>
      </w:r>
      <w:r>
        <w:rPr>
          <w:spacing w:val="-18"/>
          <w:w w:val="70"/>
        </w:rPr>
        <w:t>mexicanos </w:t>
      </w:r>
      <w:r>
        <w:rPr>
          <w:spacing w:val="-9"/>
          <w:w w:val="70"/>
        </w:rPr>
        <w:t>en la </w:t>
      </w:r>
      <w:r>
        <w:rPr>
          <w:spacing w:val="-16"/>
          <w:w w:val="70"/>
        </w:rPr>
        <w:t>economía </w:t>
      </w:r>
      <w:r>
        <w:rPr>
          <w:spacing w:val="-18"/>
          <w:w w:val="70"/>
        </w:rPr>
        <w:t>norteamericana</w:t>
      </w:r>
    </w:p>
    <w:p>
      <w:pPr>
        <w:pStyle w:val="Heading2"/>
        <w:spacing w:line="300" w:lineRule="exact" w:before="351"/>
        <w:ind w:left="729" w:right="548"/>
        <w:jc w:val="center"/>
      </w:pPr>
      <w:r>
        <w:rPr/>
        <w:t>Esther Figueroa-Hernández, Francisco Pérez-Soto y Lucila Godínez-Montoya</w:t>
      </w:r>
    </w:p>
    <w:p>
      <w:pPr>
        <w:spacing w:before="196"/>
        <w:ind w:left="728" w:right="548" w:firstLine="0"/>
        <w:jc w:val="center"/>
        <w:rPr>
          <w:i/>
          <w:sz w:val="24"/>
        </w:rPr>
      </w:pPr>
      <w:r>
        <w:rPr>
          <w:i/>
          <w:sz w:val="24"/>
        </w:rPr>
        <w:t>Universidad Autónoma de Chapingo, México</w:t>
      </w:r>
    </w:p>
    <w:p>
      <w:pPr>
        <w:pStyle w:val="BodyText"/>
        <w:spacing w:before="8"/>
        <w:rPr>
          <w:i/>
          <w:sz w:val="34"/>
        </w:rPr>
      </w:pPr>
    </w:p>
    <w:p>
      <w:pPr>
        <w:spacing w:before="0"/>
        <w:ind w:left="477" w:right="913" w:firstLine="0"/>
        <w:jc w:val="left"/>
        <w:rPr>
          <w:b/>
          <w:sz w:val="24"/>
        </w:rPr>
      </w:pPr>
      <w:r>
        <w:rPr>
          <w:b/>
          <w:color w:val="231F20"/>
          <w:sz w:val="24"/>
        </w:rPr>
        <w:t>Introducción</w:t>
      </w:r>
    </w:p>
    <w:p>
      <w:pPr>
        <w:pStyle w:val="BodyText"/>
        <w:rPr>
          <w:b/>
          <w:sz w:val="20"/>
        </w:rPr>
      </w:pPr>
    </w:p>
    <w:p>
      <w:pPr>
        <w:pStyle w:val="BodyText"/>
        <w:spacing w:before="4"/>
        <w:rPr>
          <w:b/>
        </w:rPr>
      </w:pPr>
    </w:p>
    <w:p>
      <w:pPr>
        <w:pStyle w:val="BodyText"/>
        <w:spacing w:line="247" w:lineRule="auto" w:before="187"/>
        <w:ind w:left="1356" w:right="294"/>
        <w:jc w:val="both"/>
      </w:pPr>
      <w:r>
        <w:rPr/>
        <w:pict>
          <v:shape style="position:absolute;margin-left:70.866096pt;margin-top:4.98409pt;width:36.7pt;height:55pt;mso-position-horizontal-relative:page;mso-position-vertical-relative:paragraph;z-index:-640936" type="#_x0000_t202" filled="false" stroked="false">
            <v:textbox inset="0,0,0,0">
              <w:txbxContent>
                <w:p>
                  <w:pPr>
                    <w:spacing w:line="1100" w:lineRule="exact" w:before="0"/>
                    <w:ind w:left="0" w:right="0" w:firstLine="0"/>
                    <w:jc w:val="left"/>
                    <w:rPr>
                      <w:b/>
                      <w:sz w:val="110"/>
                    </w:rPr>
                  </w:pPr>
                  <w:r>
                    <w:rPr>
                      <w:b/>
                      <w:sz w:val="110"/>
                    </w:rPr>
                    <w:t>L</w:t>
                  </w:r>
                </w:p>
              </w:txbxContent>
            </v:textbox>
            <w10:wrap type="none"/>
          </v:shape>
        </w:pict>
      </w:r>
      <w:r>
        <w:rPr>
          <w:color w:val="231F20"/>
        </w:rPr>
        <w:t>a economía mundial registró una importante recuperación en 2010-2011</w:t>
      </w:r>
      <w:r>
        <w:rPr>
          <w:color w:val="231F20"/>
          <w:spacing w:val="-7"/>
        </w:rPr>
        <w:t> </w:t>
      </w:r>
      <w:r>
        <w:rPr>
          <w:color w:val="231F20"/>
        </w:rPr>
        <w:t>(aunque</w:t>
      </w:r>
      <w:r>
        <w:rPr>
          <w:color w:val="231F20"/>
          <w:spacing w:val="-7"/>
        </w:rPr>
        <w:t> </w:t>
      </w:r>
      <w:r>
        <w:rPr>
          <w:color w:val="231F20"/>
        </w:rPr>
        <w:t>de</w:t>
      </w:r>
      <w:r>
        <w:rPr>
          <w:color w:val="231F20"/>
          <w:spacing w:val="-7"/>
        </w:rPr>
        <w:t> </w:t>
      </w:r>
      <w:r>
        <w:rPr>
          <w:color w:val="231F20"/>
        </w:rPr>
        <w:t>carácter</w:t>
      </w:r>
      <w:r>
        <w:rPr>
          <w:color w:val="231F20"/>
          <w:spacing w:val="-7"/>
        </w:rPr>
        <w:t> </w:t>
      </w:r>
      <w:r>
        <w:rPr>
          <w:color w:val="231F20"/>
        </w:rPr>
        <w:t>mixto).</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países</w:t>
      </w:r>
      <w:r>
        <w:rPr>
          <w:color w:val="231F20"/>
          <w:spacing w:val="-7"/>
        </w:rPr>
        <w:t> </w:t>
      </w:r>
      <w:r>
        <w:rPr>
          <w:color w:val="231F20"/>
        </w:rPr>
        <w:t>emergentes y los países en desarrollo la tasa de crecimiento media del </w:t>
      </w:r>
      <w:r>
        <w:rPr>
          <w:color w:val="231F20"/>
          <w:spacing w:val="49"/>
        </w:rPr>
        <w:t> </w:t>
      </w:r>
      <w:r>
        <w:rPr>
          <w:color w:val="231F20"/>
        </w:rPr>
        <w:t>Pro-</w:t>
      </w:r>
    </w:p>
    <w:p>
      <w:pPr>
        <w:pStyle w:val="BodyText"/>
        <w:spacing w:line="247" w:lineRule="auto"/>
        <w:ind w:left="477" w:right="294"/>
        <w:jc w:val="both"/>
      </w:pPr>
      <w:r>
        <w:rPr>
          <w:color w:val="231F20"/>
        </w:rPr>
        <w:t>ducto Interno Bruto (PIB) fue de 7.1 por ciento en 2010, en comparación con 2.6 por ciento en 2009, pero la recuperación fue más modesta en las economías industrializadas avanzadas (de -3.4 por ciento en 2009 a tres por ciento en 2010) y a mediados de </w:t>
      </w:r>
      <w:r>
        <w:rPr>
          <w:color w:val="231F20"/>
          <w:spacing w:val="-3"/>
        </w:rPr>
        <w:t>2011 </w:t>
      </w:r>
      <w:r>
        <w:rPr>
          <w:color w:val="231F20"/>
        </w:rPr>
        <w:t>el desempleo seguía siendo ele- vado. Desde febrero de </w:t>
      </w:r>
      <w:r>
        <w:rPr>
          <w:color w:val="231F20"/>
          <w:spacing w:val="-3"/>
        </w:rPr>
        <w:t>2011 </w:t>
      </w:r>
      <w:r>
        <w:rPr>
          <w:color w:val="231F20"/>
        </w:rPr>
        <w:t>y por primera vez desde el inicio de la crisis económica mundial, se registraron tendencias decrecientes en las tasas de desempleo de la mayoría de los países de la Organización para la Coope- ración y el Desarrollo Económicos (OCDE). En esa misma fecha, alrede- dor de 45 millones de personas estaban desempleadas en los países de la OCDE —una disminución de 2.1 millones en comparación con febrero de 2009, pero un aumento de 14.3 millones con respecto a febrero de 2008.</w:t>
      </w:r>
    </w:p>
    <w:p>
      <w:pPr>
        <w:pStyle w:val="BodyText"/>
        <w:spacing w:line="247" w:lineRule="auto"/>
        <w:ind w:left="477" w:right="295" w:firstLine="283"/>
        <w:jc w:val="both"/>
      </w:pPr>
      <w:r>
        <w:rPr>
          <w:color w:val="231F20"/>
        </w:rPr>
        <w:t>De</w:t>
      </w:r>
      <w:r>
        <w:rPr>
          <w:color w:val="231F20"/>
          <w:spacing w:val="-7"/>
        </w:rPr>
        <w:t> </w:t>
      </w:r>
      <w:r>
        <w:rPr>
          <w:color w:val="231F20"/>
        </w:rPr>
        <w:t>acuerdo</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Organización</w:t>
      </w:r>
      <w:r>
        <w:rPr>
          <w:color w:val="231F20"/>
          <w:spacing w:val="-8"/>
        </w:rPr>
        <w:t> </w:t>
      </w:r>
      <w:r>
        <w:rPr>
          <w:color w:val="231F20"/>
        </w:rPr>
        <w:t>Internacional</w:t>
      </w:r>
      <w:r>
        <w:rPr>
          <w:color w:val="231F20"/>
          <w:spacing w:val="-7"/>
        </w:rPr>
        <w:t> </w:t>
      </w:r>
      <w:r>
        <w:rPr>
          <w:color w:val="231F20"/>
        </w:rPr>
        <w:t>de</w:t>
      </w:r>
      <w:r>
        <w:rPr>
          <w:color w:val="231F20"/>
          <w:spacing w:val="-8"/>
        </w:rPr>
        <w:t> </w:t>
      </w:r>
      <w:r>
        <w:rPr>
          <w:color w:val="231F20"/>
        </w:rPr>
        <w:t>Migración</w:t>
      </w:r>
      <w:r>
        <w:rPr>
          <w:color w:val="231F20"/>
          <w:spacing w:val="-7"/>
        </w:rPr>
        <w:t> </w:t>
      </w:r>
      <w:r>
        <w:rPr>
          <w:color w:val="231F20"/>
        </w:rPr>
        <w:t>(OIM)</w:t>
      </w:r>
      <w:r>
        <w:rPr>
          <w:color w:val="231F20"/>
          <w:spacing w:val="-8"/>
        </w:rPr>
        <w:t> </w:t>
      </w:r>
      <w:r>
        <w:rPr>
          <w:color w:val="231F20"/>
        </w:rPr>
        <w:t>hay 214 millones de migrantes internacionales a nivel mundial, esto es que una de cada 33 personas es migrante. Por su parte Estados Unidos</w:t>
      </w:r>
      <w:r>
        <w:rPr>
          <w:color w:val="231F20"/>
          <w:spacing w:val="-3"/>
        </w:rPr>
        <w:t> </w:t>
      </w:r>
      <w:r>
        <w:rPr>
          <w:color w:val="231F20"/>
        </w:rPr>
        <w:t>alberga</w:t>
      </w:r>
    </w:p>
    <w:p>
      <w:pPr>
        <w:pStyle w:val="BodyText"/>
        <w:spacing w:line="247" w:lineRule="auto"/>
        <w:ind w:left="477" w:right="294"/>
        <w:jc w:val="both"/>
      </w:pPr>
      <w:r>
        <w:rPr>
          <w:color w:val="231F20"/>
        </w:rPr>
        <w:t>42.8 millones de migrantes, es decir, 20 por ciento de ese gran total de población migrante. Para poder hablar de un impacto del fenómeno mi- gratorio dentro de una economía, en primer término es preciso delimitar dos puntos muy importantes porque éstos arrojarán datos significativos a la</w:t>
      </w:r>
      <w:r>
        <w:rPr>
          <w:color w:val="231F20"/>
          <w:spacing w:val="-8"/>
        </w:rPr>
        <w:t> </w:t>
      </w:r>
      <w:r>
        <w:rPr>
          <w:color w:val="231F20"/>
        </w:rPr>
        <w:t>conclusión</w:t>
      </w:r>
      <w:r>
        <w:rPr>
          <w:color w:val="231F20"/>
          <w:spacing w:val="-8"/>
        </w:rPr>
        <w:t> </w:t>
      </w:r>
      <w:r>
        <w:rPr>
          <w:color w:val="231F20"/>
        </w:rPr>
        <w:t>del</w:t>
      </w:r>
      <w:r>
        <w:rPr>
          <w:color w:val="231F20"/>
          <w:spacing w:val="-8"/>
        </w:rPr>
        <w:t> </w:t>
      </w:r>
      <w:r>
        <w:rPr>
          <w:color w:val="231F20"/>
        </w:rPr>
        <w:t>tema,</w:t>
      </w:r>
      <w:r>
        <w:rPr>
          <w:color w:val="231F20"/>
          <w:spacing w:val="-8"/>
        </w:rPr>
        <w:t> </w:t>
      </w:r>
      <w:r>
        <w:rPr>
          <w:color w:val="231F20"/>
        </w:rPr>
        <w:t>esto</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rPr>
        <w:t>migración</w:t>
      </w:r>
      <w:r>
        <w:rPr>
          <w:color w:val="231F20"/>
          <w:spacing w:val="-8"/>
        </w:rPr>
        <w:t> </w:t>
      </w:r>
      <w:r>
        <w:rPr>
          <w:color w:val="231F20"/>
        </w:rPr>
        <w:t>legal</w:t>
      </w:r>
      <w:r>
        <w:rPr>
          <w:color w:val="231F20"/>
          <w:spacing w:val="-8"/>
        </w:rPr>
        <w:t> </w:t>
      </w:r>
      <w:r>
        <w:rPr>
          <w:color w:val="231F20"/>
        </w:rPr>
        <w:t>y</w:t>
      </w:r>
      <w:r>
        <w:rPr>
          <w:color w:val="231F20"/>
          <w:spacing w:val="-7"/>
        </w:rPr>
        <w:t> </w:t>
      </w:r>
      <w:r>
        <w:rPr>
          <w:color w:val="231F20"/>
        </w:rPr>
        <w:t>la</w:t>
      </w:r>
      <w:r>
        <w:rPr>
          <w:color w:val="231F20"/>
          <w:spacing w:val="-8"/>
        </w:rPr>
        <w:t> </w:t>
      </w:r>
      <w:r>
        <w:rPr>
          <w:color w:val="231F20"/>
        </w:rPr>
        <w:t>ilegal.</w:t>
      </w:r>
      <w:r>
        <w:rPr>
          <w:color w:val="231F20"/>
          <w:spacing w:val="-20"/>
        </w:rPr>
        <w:t> </w:t>
      </w:r>
      <w:r>
        <w:rPr>
          <w:color w:val="231F20"/>
        </w:rPr>
        <w:t>Así,</w:t>
      </w:r>
      <w:r>
        <w:rPr>
          <w:color w:val="231F20"/>
          <w:spacing w:val="-7"/>
        </w:rPr>
        <w:t> </w:t>
      </w:r>
      <w:r>
        <w:rPr>
          <w:color w:val="231F20"/>
        </w:rPr>
        <w:t>la</w:t>
      </w:r>
      <w:r>
        <w:rPr>
          <w:color w:val="231F20"/>
          <w:spacing w:val="-8"/>
        </w:rPr>
        <w:t> </w:t>
      </w:r>
      <w:r>
        <w:rPr>
          <w:color w:val="231F20"/>
        </w:rPr>
        <w:t>migra- ción</w:t>
      </w:r>
      <w:r>
        <w:rPr>
          <w:color w:val="231F20"/>
          <w:spacing w:val="-11"/>
        </w:rPr>
        <w:t> </w:t>
      </w:r>
      <w:r>
        <w:rPr>
          <w:color w:val="231F20"/>
        </w:rPr>
        <w:t>legal</w:t>
      </w:r>
      <w:r>
        <w:rPr>
          <w:color w:val="231F20"/>
          <w:spacing w:val="-12"/>
        </w:rPr>
        <w:t> </w:t>
      </w:r>
      <w:r>
        <w:rPr>
          <w:color w:val="231F20"/>
        </w:rPr>
        <w:t>en</w:t>
      </w:r>
      <w:r>
        <w:rPr>
          <w:color w:val="231F20"/>
          <w:spacing w:val="-11"/>
        </w:rPr>
        <w:t> </w:t>
      </w:r>
      <w:r>
        <w:rPr>
          <w:color w:val="231F20"/>
        </w:rPr>
        <w:t>mayor</w:t>
      </w:r>
      <w:r>
        <w:rPr>
          <w:color w:val="231F20"/>
          <w:spacing w:val="-11"/>
        </w:rPr>
        <w:t> </w:t>
      </w:r>
      <w:r>
        <w:rPr>
          <w:color w:val="231F20"/>
        </w:rPr>
        <w:t>medida</w:t>
      </w:r>
      <w:r>
        <w:rPr>
          <w:color w:val="231F20"/>
          <w:spacing w:val="-12"/>
        </w:rPr>
        <w:t> </w:t>
      </w:r>
      <w:r>
        <w:rPr>
          <w:color w:val="231F20"/>
        </w:rPr>
        <w:t>puede</w:t>
      </w:r>
      <w:r>
        <w:rPr>
          <w:color w:val="231F20"/>
          <w:spacing w:val="-11"/>
        </w:rPr>
        <w:t> </w:t>
      </w:r>
      <w:r>
        <w:rPr>
          <w:color w:val="231F20"/>
        </w:rPr>
        <w:t>plantear</w:t>
      </w:r>
      <w:r>
        <w:rPr>
          <w:color w:val="231F20"/>
          <w:spacing w:val="-12"/>
        </w:rPr>
        <w:t> </w:t>
      </w:r>
      <w:r>
        <w:rPr>
          <w:color w:val="231F20"/>
        </w:rPr>
        <w:t>más</w:t>
      </w:r>
      <w:r>
        <w:rPr>
          <w:color w:val="231F20"/>
          <w:spacing w:val="-11"/>
        </w:rPr>
        <w:t> </w:t>
      </w:r>
      <w:r>
        <w:rPr>
          <w:color w:val="231F20"/>
        </w:rPr>
        <w:t>beneficios</w:t>
      </w:r>
      <w:r>
        <w:rPr>
          <w:color w:val="231F20"/>
          <w:spacing w:val="-11"/>
        </w:rPr>
        <w:t> </w:t>
      </w:r>
      <w:r>
        <w:rPr>
          <w:color w:val="231F20"/>
        </w:rPr>
        <w:t>que</w:t>
      </w:r>
      <w:r>
        <w:rPr>
          <w:color w:val="231F20"/>
          <w:spacing w:val="-11"/>
        </w:rPr>
        <w:t> </w:t>
      </w:r>
      <w:r>
        <w:rPr>
          <w:color w:val="231F20"/>
        </w:rPr>
        <w:t>implicación de problemas, pero para esto se deben olvidar las falacias inspiradas en grupos nacionalistas radicales, tales como: “los migrantes nos </w:t>
      </w:r>
      <w:r>
        <w:rPr>
          <w:color w:val="231F20"/>
          <w:spacing w:val="19"/>
        </w:rPr>
        <w:t> </w:t>
      </w:r>
      <w:r>
        <w:rPr>
          <w:color w:val="231F20"/>
        </w:rPr>
        <w:t>sustituyen,</w:t>
      </w:r>
    </w:p>
    <w:p>
      <w:pPr>
        <w:spacing w:after="0" w:line="247" w:lineRule="auto"/>
        <w:jc w:val="both"/>
        <w:sectPr>
          <w:footerReference w:type="default" r:id="rId118"/>
          <w:pgSz w:w="9360" w:h="13040"/>
          <w:pgMar w:footer="496" w:header="0" w:top="400" w:bottom="680" w:left="940" w:right="1120"/>
          <w:pgNumType w:start="145"/>
        </w:sectPr>
      </w:pPr>
    </w:p>
    <w:p>
      <w:pPr>
        <w:tabs>
          <w:tab w:pos="5536" w:val="left" w:leader="none"/>
        </w:tabs>
        <w:spacing w:before="51"/>
        <w:ind w:left="117" w:right="0" w:firstLine="0"/>
        <w:jc w:val="both"/>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114"/>
        <w:jc w:val="both"/>
      </w:pPr>
      <w:r>
        <w:rPr>
          <w:color w:val="231F20"/>
        </w:rPr>
        <w:t>nos</w:t>
      </w:r>
      <w:r>
        <w:rPr>
          <w:color w:val="231F20"/>
          <w:spacing w:val="-4"/>
        </w:rPr>
        <w:t> </w:t>
      </w:r>
      <w:r>
        <w:rPr>
          <w:color w:val="231F20"/>
        </w:rPr>
        <w:t>desplazan</w:t>
      </w:r>
      <w:r>
        <w:rPr>
          <w:color w:val="231F20"/>
          <w:spacing w:val="-4"/>
        </w:rPr>
        <w:t> </w:t>
      </w:r>
      <w:r>
        <w:rPr>
          <w:color w:val="231F20"/>
        </w:rPr>
        <w:t>y</w:t>
      </w:r>
      <w:r>
        <w:rPr>
          <w:color w:val="231F20"/>
          <w:spacing w:val="-4"/>
        </w:rPr>
        <w:t> </w:t>
      </w:r>
      <w:r>
        <w:rPr>
          <w:color w:val="231F20"/>
        </w:rPr>
        <w:t>nos</w:t>
      </w:r>
      <w:r>
        <w:rPr>
          <w:color w:val="231F20"/>
          <w:spacing w:val="-4"/>
        </w:rPr>
        <w:t> </w:t>
      </w:r>
      <w:r>
        <w:rPr>
          <w:color w:val="231F20"/>
        </w:rPr>
        <w:t>dejan</w:t>
      </w:r>
      <w:r>
        <w:rPr>
          <w:color w:val="231F20"/>
          <w:spacing w:val="-4"/>
        </w:rPr>
        <w:t> </w:t>
      </w:r>
      <w:r>
        <w:rPr>
          <w:color w:val="231F20"/>
        </w:rPr>
        <w:t>sin</w:t>
      </w:r>
      <w:r>
        <w:rPr>
          <w:color w:val="231F20"/>
          <w:spacing w:val="-4"/>
        </w:rPr>
        <w:t> </w:t>
      </w:r>
      <w:r>
        <w:rPr>
          <w:color w:val="231F20"/>
        </w:rPr>
        <w:t>empleo”.</w:t>
      </w:r>
      <w:r>
        <w:rPr>
          <w:color w:val="231F20"/>
          <w:spacing w:val="-4"/>
        </w:rPr>
        <w:t> </w:t>
      </w:r>
      <w:r>
        <w:rPr>
          <w:color w:val="231F20"/>
        </w:rPr>
        <w:t>Este</w:t>
      </w:r>
      <w:r>
        <w:rPr>
          <w:color w:val="231F20"/>
          <w:spacing w:val="-4"/>
        </w:rPr>
        <w:t> </w:t>
      </w:r>
      <w:r>
        <w:rPr>
          <w:color w:val="231F20"/>
        </w:rPr>
        <w:t>tipo</w:t>
      </w:r>
      <w:r>
        <w:rPr>
          <w:color w:val="231F20"/>
          <w:spacing w:val="-4"/>
        </w:rPr>
        <w:t> </w:t>
      </w:r>
      <w:r>
        <w:rPr>
          <w:color w:val="231F20"/>
        </w:rPr>
        <w:t>de</w:t>
      </w:r>
      <w:r>
        <w:rPr>
          <w:color w:val="231F20"/>
          <w:spacing w:val="-4"/>
        </w:rPr>
        <w:t> </w:t>
      </w:r>
      <w:r>
        <w:rPr>
          <w:color w:val="231F20"/>
        </w:rPr>
        <w:t>argumentos</w:t>
      </w:r>
      <w:r>
        <w:rPr>
          <w:color w:val="231F20"/>
          <w:spacing w:val="-4"/>
        </w:rPr>
        <w:t> </w:t>
      </w:r>
      <w:r>
        <w:rPr>
          <w:color w:val="231F20"/>
        </w:rPr>
        <w:t>son</w:t>
      </w:r>
      <w:r>
        <w:rPr>
          <w:color w:val="231F20"/>
          <w:spacing w:val="-4"/>
        </w:rPr>
        <w:t> </w:t>
      </w:r>
      <w:r>
        <w:rPr>
          <w:color w:val="231F20"/>
        </w:rPr>
        <w:t>falsos y para desenmascararlos hay que remitirnos a las legislaciones laborales, de</w:t>
      </w:r>
      <w:r>
        <w:rPr>
          <w:color w:val="231F20"/>
          <w:spacing w:val="-5"/>
        </w:rPr>
        <w:t> </w:t>
      </w:r>
      <w:r>
        <w:rPr>
          <w:color w:val="231F20"/>
        </w:rPr>
        <w:t>lo</w:t>
      </w:r>
      <w:r>
        <w:rPr>
          <w:color w:val="231F20"/>
          <w:spacing w:val="-5"/>
        </w:rPr>
        <w:t> </w:t>
      </w:r>
      <w:r>
        <w:rPr>
          <w:color w:val="231F20"/>
        </w:rPr>
        <w:t>cual</w:t>
      </w:r>
      <w:r>
        <w:rPr>
          <w:color w:val="231F20"/>
          <w:spacing w:val="-5"/>
        </w:rPr>
        <w:t> </w:t>
      </w:r>
      <w:r>
        <w:rPr>
          <w:color w:val="231F20"/>
        </w:rPr>
        <w:t>deriva</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migrantes</w:t>
      </w:r>
      <w:r>
        <w:rPr>
          <w:color w:val="231F20"/>
          <w:spacing w:val="-5"/>
        </w:rPr>
        <w:t> </w:t>
      </w:r>
      <w:r>
        <w:rPr>
          <w:color w:val="231F20"/>
        </w:rPr>
        <w:t>no</w:t>
      </w:r>
      <w:r>
        <w:rPr>
          <w:color w:val="231F20"/>
          <w:spacing w:val="-5"/>
        </w:rPr>
        <w:t> </w:t>
      </w:r>
      <w:r>
        <w:rPr>
          <w:color w:val="231F20"/>
        </w:rPr>
        <w:t>sustituyen,</w:t>
      </w:r>
      <w:r>
        <w:rPr>
          <w:color w:val="231F20"/>
          <w:spacing w:val="-4"/>
        </w:rPr>
        <w:t> </w:t>
      </w:r>
      <w:r>
        <w:rPr>
          <w:color w:val="231F20"/>
        </w:rPr>
        <w:t>sino</w:t>
      </w:r>
      <w:r>
        <w:rPr>
          <w:color w:val="231F20"/>
          <w:spacing w:val="-4"/>
        </w:rPr>
        <w:t> </w:t>
      </w:r>
      <w:r>
        <w:rPr>
          <w:color w:val="231F20"/>
        </w:rPr>
        <w:t>que</w:t>
      </w:r>
      <w:r>
        <w:rPr>
          <w:color w:val="231F20"/>
          <w:spacing w:val="-5"/>
        </w:rPr>
        <w:t> </w:t>
      </w:r>
      <w:r>
        <w:rPr>
          <w:color w:val="231F20"/>
        </w:rPr>
        <w:t>complementan, esto es, las empresas tienen permitido contratar personal extranjero si y sólo</w:t>
      </w:r>
      <w:r>
        <w:rPr>
          <w:color w:val="231F20"/>
          <w:spacing w:val="-9"/>
        </w:rPr>
        <w:t> </w:t>
      </w:r>
      <w:r>
        <w:rPr>
          <w:color w:val="231F20"/>
        </w:rPr>
        <w:t>si,</w:t>
      </w:r>
      <w:r>
        <w:rPr>
          <w:color w:val="231F20"/>
          <w:spacing w:val="-9"/>
        </w:rPr>
        <w:t> </w:t>
      </w:r>
      <w:r>
        <w:rPr>
          <w:color w:val="231F20"/>
        </w:rPr>
        <w:t>sus</w:t>
      </w:r>
      <w:r>
        <w:rPr>
          <w:color w:val="231F20"/>
          <w:spacing w:val="-9"/>
        </w:rPr>
        <w:t> </w:t>
      </w:r>
      <w:r>
        <w:rPr>
          <w:color w:val="231F20"/>
        </w:rPr>
        <w:t>nacionales</w:t>
      </w:r>
      <w:r>
        <w:rPr>
          <w:color w:val="231F20"/>
          <w:spacing w:val="-9"/>
        </w:rPr>
        <w:t> </w:t>
      </w:r>
      <w:r>
        <w:rPr>
          <w:color w:val="231F20"/>
        </w:rPr>
        <w:t>no</w:t>
      </w:r>
      <w:r>
        <w:rPr>
          <w:color w:val="231F20"/>
          <w:spacing w:val="-9"/>
        </w:rPr>
        <w:t> </w:t>
      </w:r>
      <w:r>
        <w:rPr>
          <w:color w:val="231F20"/>
        </w:rPr>
        <w:t>cubren</w:t>
      </w:r>
      <w:r>
        <w:rPr>
          <w:color w:val="231F20"/>
          <w:spacing w:val="-9"/>
        </w:rPr>
        <w:t> </w:t>
      </w:r>
      <w:r>
        <w:rPr>
          <w:color w:val="231F20"/>
        </w:rPr>
        <w:t>el</w:t>
      </w:r>
      <w:r>
        <w:rPr>
          <w:color w:val="231F20"/>
          <w:spacing w:val="-9"/>
        </w:rPr>
        <w:t> </w:t>
      </w:r>
      <w:r>
        <w:rPr>
          <w:color w:val="231F20"/>
        </w:rPr>
        <w:t>perfil</w:t>
      </w:r>
      <w:r>
        <w:rPr>
          <w:color w:val="231F20"/>
          <w:spacing w:val="-9"/>
        </w:rPr>
        <w:t> </w:t>
      </w:r>
      <w:r>
        <w:rPr>
          <w:color w:val="231F20"/>
        </w:rPr>
        <w:t>y/o</w:t>
      </w:r>
      <w:r>
        <w:rPr>
          <w:color w:val="231F20"/>
          <w:spacing w:val="-9"/>
        </w:rPr>
        <w:t> </w:t>
      </w:r>
      <w:r>
        <w:rPr>
          <w:color w:val="231F20"/>
        </w:rPr>
        <w:t>no</w:t>
      </w:r>
      <w:r>
        <w:rPr>
          <w:color w:val="231F20"/>
          <w:spacing w:val="-9"/>
        </w:rPr>
        <w:t> </w:t>
      </w:r>
      <w:r>
        <w:rPr>
          <w:color w:val="231F20"/>
        </w:rPr>
        <w:t>hay</w:t>
      </w:r>
      <w:r>
        <w:rPr>
          <w:color w:val="231F20"/>
          <w:spacing w:val="-9"/>
        </w:rPr>
        <w:t> </w:t>
      </w:r>
      <w:r>
        <w:rPr>
          <w:color w:val="231F20"/>
        </w:rPr>
        <w:t>candidatos</w:t>
      </w:r>
      <w:r>
        <w:rPr>
          <w:color w:val="231F20"/>
          <w:spacing w:val="-9"/>
        </w:rPr>
        <w:t> </w:t>
      </w:r>
      <w:r>
        <w:rPr>
          <w:color w:val="231F20"/>
        </w:rPr>
        <w:t>que</w:t>
      </w:r>
      <w:r>
        <w:rPr>
          <w:color w:val="231F20"/>
          <w:spacing w:val="-9"/>
        </w:rPr>
        <w:t> </w:t>
      </w:r>
      <w:r>
        <w:rPr>
          <w:color w:val="231F20"/>
        </w:rPr>
        <w:t>deseen llenar</w:t>
      </w:r>
      <w:r>
        <w:rPr>
          <w:color w:val="231F20"/>
          <w:spacing w:val="-6"/>
        </w:rPr>
        <w:t> </w:t>
      </w:r>
      <w:r>
        <w:rPr>
          <w:color w:val="231F20"/>
        </w:rPr>
        <w:t>ese</w:t>
      </w:r>
      <w:r>
        <w:rPr>
          <w:color w:val="231F20"/>
          <w:spacing w:val="-6"/>
        </w:rPr>
        <w:t> </w:t>
      </w:r>
      <w:r>
        <w:rPr>
          <w:color w:val="231F20"/>
        </w:rPr>
        <w:t>vacío.</w:t>
      </w:r>
      <w:r>
        <w:rPr>
          <w:color w:val="231F20"/>
          <w:spacing w:val="-6"/>
        </w:rPr>
        <w:t> </w:t>
      </w:r>
      <w:r>
        <w:rPr>
          <w:color w:val="231F20"/>
        </w:rPr>
        <w:t>Por</w:t>
      </w:r>
      <w:r>
        <w:rPr>
          <w:color w:val="231F20"/>
          <w:spacing w:val="-6"/>
        </w:rPr>
        <w:t> </w:t>
      </w:r>
      <w:r>
        <w:rPr>
          <w:color w:val="231F20"/>
        </w:rPr>
        <w:t>ende</w:t>
      </w:r>
      <w:r>
        <w:rPr>
          <w:color w:val="231F20"/>
          <w:spacing w:val="-6"/>
        </w:rPr>
        <w:t> </w:t>
      </w:r>
      <w:r>
        <w:rPr>
          <w:color w:val="231F20"/>
        </w:rPr>
        <w:t>no</w:t>
      </w:r>
      <w:r>
        <w:rPr>
          <w:color w:val="231F20"/>
          <w:spacing w:val="-6"/>
        </w:rPr>
        <w:t> </w:t>
      </w:r>
      <w:r>
        <w:rPr>
          <w:color w:val="231F20"/>
        </w:rPr>
        <w:t>existe</w:t>
      </w:r>
      <w:r>
        <w:rPr>
          <w:color w:val="231F20"/>
          <w:spacing w:val="-6"/>
        </w:rPr>
        <w:t> </w:t>
      </w:r>
      <w:r>
        <w:rPr>
          <w:color w:val="231F20"/>
        </w:rPr>
        <w:t>ningún</w:t>
      </w:r>
      <w:r>
        <w:rPr>
          <w:color w:val="231F20"/>
          <w:spacing w:val="-6"/>
        </w:rPr>
        <w:t> </w:t>
      </w:r>
      <w:r>
        <w:rPr>
          <w:color w:val="231F20"/>
        </w:rPr>
        <w:t>desplazamiento</w:t>
      </w:r>
      <w:r>
        <w:rPr>
          <w:color w:val="231F20"/>
          <w:spacing w:val="-6"/>
        </w:rPr>
        <w:t> </w:t>
      </w:r>
      <w:r>
        <w:rPr>
          <w:color w:val="231F20"/>
        </w:rPr>
        <w:t>laboral</w:t>
      </w:r>
      <w:r>
        <w:rPr>
          <w:color w:val="231F20"/>
          <w:spacing w:val="-6"/>
        </w:rPr>
        <w:t> </w:t>
      </w:r>
      <w:r>
        <w:rPr>
          <w:color w:val="231F20"/>
        </w:rPr>
        <w:t>(Iscabt. wordpress,</w:t>
      </w:r>
      <w:r>
        <w:rPr>
          <w:color w:val="231F20"/>
          <w:spacing w:val="-10"/>
        </w:rPr>
        <w:t> </w:t>
      </w:r>
      <w:r>
        <w:rPr>
          <w:color w:val="231F20"/>
        </w:rPr>
        <w:t>2011).</w:t>
      </w:r>
    </w:p>
    <w:p>
      <w:pPr>
        <w:pStyle w:val="BodyText"/>
        <w:spacing w:line="247" w:lineRule="auto"/>
        <w:ind w:left="117" w:right="114" w:firstLine="283"/>
        <w:jc w:val="both"/>
      </w:pPr>
      <w:r>
        <w:rPr>
          <w:color w:val="231F20"/>
        </w:rPr>
        <w:t>Otro argumento más, generalmente entre los grupos radicales, indica que</w:t>
      </w:r>
      <w:r>
        <w:rPr>
          <w:color w:val="231F20"/>
          <w:spacing w:val="-10"/>
        </w:rPr>
        <w:t> </w:t>
      </w:r>
      <w:r>
        <w:rPr>
          <w:color w:val="231F20"/>
        </w:rPr>
        <w:t>los</w:t>
      </w:r>
      <w:r>
        <w:rPr>
          <w:color w:val="231F20"/>
          <w:spacing w:val="-10"/>
        </w:rPr>
        <w:t> </w:t>
      </w:r>
      <w:r>
        <w:rPr>
          <w:color w:val="231F20"/>
        </w:rPr>
        <w:t>migrantes</w:t>
      </w:r>
      <w:r>
        <w:rPr>
          <w:color w:val="231F20"/>
          <w:spacing w:val="-10"/>
        </w:rPr>
        <w:t> </w:t>
      </w:r>
      <w:r>
        <w:rPr>
          <w:color w:val="231F20"/>
        </w:rPr>
        <w:t>hacen</w:t>
      </w:r>
      <w:r>
        <w:rPr>
          <w:color w:val="231F20"/>
          <w:spacing w:val="-10"/>
        </w:rPr>
        <w:t> </w:t>
      </w:r>
      <w:r>
        <w:rPr>
          <w:color w:val="231F20"/>
        </w:rPr>
        <w:t>uso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servicios</w:t>
      </w:r>
      <w:r>
        <w:rPr>
          <w:color w:val="231F20"/>
          <w:spacing w:val="-9"/>
        </w:rPr>
        <w:t> </w:t>
      </w:r>
      <w:r>
        <w:rPr>
          <w:color w:val="231F20"/>
        </w:rPr>
        <w:t>de</w:t>
      </w:r>
      <w:r>
        <w:rPr>
          <w:color w:val="231F20"/>
          <w:spacing w:val="-10"/>
        </w:rPr>
        <w:t> </w:t>
      </w:r>
      <w:r>
        <w:rPr>
          <w:color w:val="231F20"/>
        </w:rPr>
        <w:t>salud</w:t>
      </w:r>
      <w:r>
        <w:rPr>
          <w:color w:val="231F20"/>
          <w:spacing w:val="-10"/>
        </w:rPr>
        <w:t> </w:t>
      </w:r>
      <w:r>
        <w:rPr>
          <w:color w:val="231F20"/>
        </w:rPr>
        <w:t>en</w:t>
      </w:r>
      <w:r>
        <w:rPr>
          <w:color w:val="231F20"/>
          <w:spacing w:val="-10"/>
        </w:rPr>
        <w:t> </w:t>
      </w:r>
      <w:r>
        <w:rPr>
          <w:color w:val="231F20"/>
        </w:rPr>
        <w:t>mayor</w:t>
      </w:r>
      <w:r>
        <w:rPr>
          <w:color w:val="231F20"/>
          <w:spacing w:val="-10"/>
        </w:rPr>
        <w:t> </w:t>
      </w:r>
      <w:r>
        <w:rPr>
          <w:color w:val="231F20"/>
        </w:rPr>
        <w:t>medida</w:t>
      </w:r>
      <w:r>
        <w:rPr>
          <w:color w:val="231F20"/>
          <w:spacing w:val="-10"/>
        </w:rPr>
        <w:t> </w:t>
      </w:r>
      <w:r>
        <w:rPr>
          <w:color w:val="231F20"/>
        </w:rPr>
        <w:t>que los nacionales, lo cual ha deteriorado el sistema de salud, pensiones, etc., sin</w:t>
      </w:r>
      <w:r>
        <w:rPr>
          <w:color w:val="231F20"/>
          <w:spacing w:val="-9"/>
        </w:rPr>
        <w:t> </w:t>
      </w:r>
      <w:r>
        <w:rPr>
          <w:color w:val="231F20"/>
        </w:rPr>
        <w:t>embargo,</w:t>
      </w:r>
      <w:r>
        <w:rPr>
          <w:color w:val="231F20"/>
          <w:spacing w:val="-9"/>
        </w:rPr>
        <w:t> </w:t>
      </w:r>
      <w:r>
        <w:rPr>
          <w:color w:val="231F20"/>
        </w:rPr>
        <w:t>a</w:t>
      </w:r>
      <w:r>
        <w:rPr>
          <w:color w:val="231F20"/>
          <w:spacing w:val="-9"/>
        </w:rPr>
        <w:t> </w:t>
      </w:r>
      <w:r>
        <w:rPr>
          <w:color w:val="231F20"/>
        </w:rPr>
        <w:t>favor</w:t>
      </w:r>
      <w:r>
        <w:rPr>
          <w:color w:val="231F20"/>
          <w:spacing w:val="-9"/>
        </w:rPr>
        <w:t> </w:t>
      </w:r>
      <w:r>
        <w:rPr>
          <w:color w:val="231F20"/>
        </w:rPr>
        <w:t>se</w:t>
      </w:r>
      <w:r>
        <w:rPr>
          <w:color w:val="231F20"/>
          <w:spacing w:val="-9"/>
        </w:rPr>
        <w:t> </w:t>
      </w:r>
      <w:r>
        <w:rPr>
          <w:color w:val="231F20"/>
        </w:rPr>
        <w:t>puede</w:t>
      </w:r>
      <w:r>
        <w:rPr>
          <w:color w:val="231F20"/>
          <w:spacing w:val="-9"/>
        </w:rPr>
        <w:t> </w:t>
      </w:r>
      <w:r>
        <w:rPr>
          <w:color w:val="231F20"/>
        </w:rPr>
        <w:t>decir</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migrantes</w:t>
      </w:r>
      <w:r>
        <w:rPr>
          <w:color w:val="231F20"/>
          <w:spacing w:val="-10"/>
        </w:rPr>
        <w:t> </w:t>
      </w:r>
      <w:r>
        <w:rPr>
          <w:color w:val="231F20"/>
        </w:rPr>
        <w:t>que</w:t>
      </w:r>
      <w:r>
        <w:rPr>
          <w:color w:val="231F20"/>
          <w:spacing w:val="-9"/>
        </w:rPr>
        <w:t> </w:t>
      </w:r>
      <w:r>
        <w:rPr>
          <w:color w:val="231F20"/>
        </w:rPr>
        <w:t>tienen</w:t>
      </w:r>
      <w:r>
        <w:rPr>
          <w:color w:val="231F20"/>
          <w:spacing w:val="-9"/>
        </w:rPr>
        <w:t> </w:t>
      </w:r>
      <w:r>
        <w:rPr>
          <w:color w:val="231F20"/>
        </w:rPr>
        <w:t>un</w:t>
      </w:r>
      <w:r>
        <w:rPr>
          <w:color w:val="231F20"/>
          <w:spacing w:val="-9"/>
        </w:rPr>
        <w:t> </w:t>
      </w:r>
      <w:r>
        <w:rPr>
          <w:color w:val="231F20"/>
        </w:rPr>
        <w:t>estatus regular deben pagar impuestos y por ende tienen también derecho a acce- der a este tipo de servicios brindados por el Estado. Dichos impuestos no sólo se ven reflejados en el sistema de salud, sino en general en servicios brindados</w:t>
      </w:r>
      <w:r>
        <w:rPr>
          <w:color w:val="231F20"/>
          <w:spacing w:val="-8"/>
        </w:rPr>
        <w:t> </w:t>
      </w:r>
      <w:r>
        <w:rPr>
          <w:color w:val="231F20"/>
        </w:rPr>
        <w:t>por</w:t>
      </w:r>
      <w:r>
        <w:rPr>
          <w:color w:val="231F20"/>
          <w:spacing w:val="-8"/>
        </w:rPr>
        <w:t> </w:t>
      </w:r>
      <w:r>
        <w:rPr>
          <w:color w:val="231F20"/>
        </w:rPr>
        <w:t>el</w:t>
      </w:r>
      <w:r>
        <w:rPr>
          <w:color w:val="231F20"/>
          <w:spacing w:val="-8"/>
        </w:rPr>
        <w:t> </w:t>
      </w:r>
      <w:r>
        <w:rPr>
          <w:color w:val="231F20"/>
        </w:rPr>
        <w:t>mismo.</w:t>
      </w:r>
      <w:r>
        <w:rPr>
          <w:color w:val="231F20"/>
          <w:spacing w:val="-8"/>
        </w:rPr>
        <w:t> </w:t>
      </w:r>
      <w:r>
        <w:rPr>
          <w:color w:val="231F20"/>
        </w:rPr>
        <w:t>En</w:t>
      </w:r>
      <w:r>
        <w:rPr>
          <w:color w:val="231F20"/>
          <w:spacing w:val="-8"/>
        </w:rPr>
        <w:t> </w:t>
      </w:r>
      <w:r>
        <w:rPr>
          <w:color w:val="231F20"/>
        </w:rPr>
        <w:t>este</w:t>
      </w:r>
      <w:r>
        <w:rPr>
          <w:color w:val="231F20"/>
          <w:spacing w:val="-8"/>
        </w:rPr>
        <w:t> </w:t>
      </w:r>
      <w:r>
        <w:rPr>
          <w:color w:val="231F20"/>
        </w:rPr>
        <w:t>sentido,</w:t>
      </w:r>
      <w:r>
        <w:rPr>
          <w:color w:val="231F20"/>
          <w:spacing w:val="-8"/>
        </w:rPr>
        <w:t> </w:t>
      </w:r>
      <w:r>
        <w:rPr>
          <w:color w:val="231F20"/>
        </w:rPr>
        <w:t>de</w:t>
      </w:r>
      <w:r>
        <w:rPr>
          <w:color w:val="231F20"/>
          <w:spacing w:val="-8"/>
        </w:rPr>
        <w:t> </w:t>
      </w:r>
      <w:r>
        <w:rPr>
          <w:color w:val="231F20"/>
        </w:rPr>
        <w:t>acuerdo</w:t>
      </w:r>
      <w:r>
        <w:rPr>
          <w:color w:val="231F20"/>
          <w:spacing w:val="-8"/>
        </w:rPr>
        <w:t> </w:t>
      </w:r>
      <w:r>
        <w:rPr>
          <w:color w:val="231F20"/>
        </w:rPr>
        <w:t>con</w:t>
      </w:r>
      <w:r>
        <w:rPr>
          <w:color w:val="231F20"/>
          <w:spacing w:val="-8"/>
        </w:rPr>
        <w:t> </w:t>
      </w:r>
      <w:r>
        <w:rPr>
          <w:color w:val="231F20"/>
        </w:rPr>
        <w:t>una</w:t>
      </w:r>
      <w:r>
        <w:rPr>
          <w:color w:val="231F20"/>
          <w:spacing w:val="-8"/>
        </w:rPr>
        <w:t> </w:t>
      </w:r>
      <w:r>
        <w:rPr>
          <w:color w:val="231F20"/>
        </w:rPr>
        <w:t>relatoría</w:t>
      </w:r>
      <w:r>
        <w:rPr>
          <w:color w:val="231F20"/>
          <w:spacing w:val="-8"/>
        </w:rPr>
        <w:t> </w:t>
      </w:r>
      <w:r>
        <w:rPr>
          <w:color w:val="231F20"/>
        </w:rPr>
        <w:t>de</w:t>
      </w:r>
      <w:r>
        <w:rPr>
          <w:color w:val="231F20"/>
          <w:spacing w:val="-8"/>
        </w:rPr>
        <w:t> </w:t>
      </w:r>
      <w:r>
        <w:rPr>
          <w:color w:val="231F20"/>
        </w:rPr>
        <w:t>la Comisión Interamericana de Derechos Humanos, el impacto, sea positivo o negativo, es mínimo, pues en general, “las tasas de desempleo y el nivel de salarios están más bien relacionados con ciclos económicos y con la estructura de la economía, y no con el número de personas o la densidad poblacional” (CIDH,</w:t>
      </w:r>
      <w:r>
        <w:rPr>
          <w:color w:val="231F20"/>
          <w:spacing w:val="-1"/>
        </w:rPr>
        <w:t> </w:t>
      </w:r>
      <w:r>
        <w:rPr>
          <w:color w:val="231F20"/>
        </w:rPr>
        <w:t>2010).</w:t>
      </w:r>
    </w:p>
    <w:p>
      <w:pPr>
        <w:pStyle w:val="BodyText"/>
        <w:spacing w:line="247" w:lineRule="auto"/>
        <w:ind w:left="117" w:right="114" w:firstLine="283"/>
        <w:jc w:val="both"/>
      </w:pPr>
      <w:r>
        <w:rPr>
          <w:color w:val="231F20"/>
        </w:rPr>
        <w:t>Con base en el Departamento de Seguridad Nacional del gobierno de Estados Unidos, en 2009 se otorgaron 1 130 818 residencias, de las cua- les 479 845 fueron a personas de origen americano, primordialmente de México, Cuba, República Dominicana, Haití, Belice, Costa Rica, El Sal- vador, Guatemala, Argentina, Bolivia, Chile, Colombia, Ecuador y Vene- zuela (DHS, 2009). Estos residentes legales se encuentran en su mayoría, en Illinois, California, Texas, Arizona, Nueva York y Pennsylvania. Del gran total, la mayoría oscilaba entre los 25 y 39 años de edad y sólo 95 844 se encontraban desempleados, esto es, 8.4 por ciento. Estos datos son significativos porque hablan de la fuerza laboral y por ende del aporte al incremento del PIB.</w:t>
      </w:r>
    </w:p>
    <w:p>
      <w:pPr>
        <w:pStyle w:val="BodyText"/>
        <w:spacing w:line="247" w:lineRule="auto"/>
        <w:ind w:left="117" w:right="114" w:firstLine="283"/>
        <w:jc w:val="both"/>
      </w:pPr>
      <w:r>
        <w:rPr>
          <w:color w:val="231F20"/>
        </w:rPr>
        <w:t>En los ingresos documentados, por cuestiones de placer, negocios, estudios, entre otros, en 2009 se dieron 36 231 554, de los cuales 33.22 por ciento lo concentraron Norteamérica y Sudamérica. De este total,       1 703 697 fueron trabajadores temporales y de éstos, apenas 33.66 por ciento corresponden a Norteamérica y Sudamérica. Estas cifras siguen siendo un reflejo del argumento que se viene manejando sobre el impacto positivo en el sistema norteamericano en general, porque todas estas per- sonas se encuentran dentro del marco legal de Estados Unidos, lo cual</w:t>
      </w:r>
      <w:r>
        <w:rPr>
          <w:color w:val="231F20"/>
          <w:spacing w:val="-30"/>
        </w:rPr>
        <w:t> </w:t>
      </w:r>
      <w:r>
        <w:rPr>
          <w:color w:val="231F20"/>
        </w:rPr>
        <w:t>im-</w:t>
      </w:r>
    </w:p>
    <w:p>
      <w:pPr>
        <w:spacing w:after="0" w:line="247" w:lineRule="auto"/>
        <w:jc w:val="both"/>
        <w:sectPr>
          <w:pgSz w:w="9360" w:h="13040"/>
          <w:pgMar w:header="0" w:footer="496" w:top="840" w:bottom="680" w:left="1300" w:right="1300"/>
        </w:sectPr>
      </w:pPr>
    </w:p>
    <w:p>
      <w:pPr>
        <w:spacing w:before="45"/>
        <w:ind w:left="71" w:right="115" w:firstLine="0"/>
        <w:jc w:val="right"/>
        <w:rPr>
          <w:rFonts w:ascii="Arial" w:hAnsi="Arial"/>
          <w:i/>
          <w:sz w:val="20"/>
        </w:rPr>
      </w:pPr>
      <w:r>
        <w:rPr>
          <w:rFonts w:ascii="Arial" w:hAnsi="Arial"/>
          <w:color w:val="231F20"/>
          <w:w w:val="70"/>
          <w:sz w:val="20"/>
        </w:rPr>
        <w:t>La participación de los migrantes mexicanos en la economía... /Esther Figueroa-Hernández </w:t>
      </w:r>
      <w:r>
        <w:rPr>
          <w:rFonts w:ascii="Arial" w:hAnsi="Arial"/>
          <w:i/>
          <w:color w:val="231F20"/>
          <w:w w:val="70"/>
          <w:sz w:val="20"/>
        </w:rPr>
        <w:t>et al.</w:t>
      </w:r>
    </w:p>
    <w:p>
      <w:pPr>
        <w:pStyle w:val="BodyText"/>
        <w:spacing w:before="7"/>
        <w:rPr>
          <w:rFonts w:ascii="Arial"/>
          <w:i/>
          <w:sz w:val="28"/>
        </w:rPr>
      </w:pPr>
    </w:p>
    <w:p>
      <w:pPr>
        <w:pStyle w:val="BodyText"/>
        <w:spacing w:line="247" w:lineRule="auto"/>
        <w:ind w:left="117" w:right="114"/>
        <w:jc w:val="both"/>
      </w:pPr>
      <w:r>
        <w:rPr>
          <w:color w:val="231F20"/>
        </w:rPr>
        <w:t>plica pago de impuestos, consumo de bienes y servicios, incremento en la fuerza laboral y por ende en la competitividad de la empresa, etc. (Iscabt. wordpress, 2011).</w:t>
      </w:r>
    </w:p>
    <w:p>
      <w:pPr>
        <w:pStyle w:val="BodyText"/>
        <w:spacing w:line="247" w:lineRule="auto"/>
        <w:ind w:left="57" w:right="114" w:firstLine="283"/>
        <w:jc w:val="right"/>
      </w:pPr>
      <w:r>
        <w:rPr>
          <w:color w:val="231F20"/>
        </w:rPr>
        <w:t>Las migraciones son un fenómeno histórico que existe y existirá, por- que además está muy ligado a las cuestiones de globalización y desde ese enfoque, sin migración, no hay progreso. Dentro de los datos de interés en este sentido, se tiene que según el Banco Mundial (BM) para</w:t>
      </w:r>
      <w:r>
        <w:rPr>
          <w:color w:val="231F20"/>
          <w:spacing w:val="51"/>
        </w:rPr>
        <w:t> </w:t>
      </w:r>
      <w:r>
        <w:rPr>
          <w:color w:val="231F20"/>
        </w:rPr>
        <w:t>2008, había una población total en Estados Unidos de 304 060 000 personas, con una tasa de desempleo de 5.8 por ciento. Mientras Centroamérica y Sudamé- rica concentran 17.1 por ciento de la tasa de pobreza mundial. Asimismo,</w:t>
      </w:r>
      <w:r>
        <w:rPr>
          <w:color w:val="231F20"/>
          <w:spacing w:val="-1"/>
        </w:rPr>
        <w:t> </w:t>
      </w:r>
      <w:r>
        <w:rPr>
          <w:color w:val="231F20"/>
        </w:rPr>
        <w:t>para el Banco Mundial (BM), de los siete países con mayor deuda exter- na, en la región de Latinoamérica y el Caribe, se encuentran dos de esos países, que son México y Brasil. De acuerdo con un reporte del Instituto Nacional de Estadística y Geografía (INEGI) en 2002, 72 por ciento de los migrantes laborales, en su último viaje a Estados Unidos, carecía de docu- mentos que los autorizaran a trabajar en ese país (Iscabt.wordpress, 2011). En 2010, Estados Unidos daba acogida a alrededor de 43 millones de extranjeros, lo que representaba 13.5 por ciento de la población total del país (Banco Mundial, 2010). Los resultados del Censo de 2010 indicaban que los hispanos constituían prácticamente 16.3 por ciento del total</w:t>
      </w:r>
      <w:r>
        <w:rPr>
          <w:color w:val="231F20"/>
          <w:spacing w:val="54"/>
        </w:rPr>
        <w:t> </w:t>
      </w:r>
      <w:r>
        <w:rPr>
          <w:color w:val="231F20"/>
        </w:rPr>
        <w:t>de la población y que su número aumentó de 35.3 millones en 2000 a 50.5 mi- llones en 2010. Alrededor de </w:t>
      </w:r>
      <w:r>
        <w:rPr>
          <w:color w:val="231F20"/>
          <w:spacing w:val="-3"/>
        </w:rPr>
        <w:t>11.6 </w:t>
      </w:r>
      <w:r>
        <w:rPr>
          <w:color w:val="231F20"/>
        </w:rPr>
        <w:t>millones de inmigrantes provenían de México, lo que significa que prácticamente uno de cada tres   inmigrantes</w:t>
      </w:r>
    </w:p>
    <w:p>
      <w:pPr>
        <w:pStyle w:val="BodyText"/>
        <w:spacing w:line="253" w:lineRule="exact"/>
        <w:ind w:left="117"/>
        <w:jc w:val="both"/>
      </w:pPr>
      <w:r>
        <w:rPr>
          <w:color w:val="231F20"/>
        </w:rPr>
        <w:t>era mexicano (Pew Hispanic Center, 2010).</w:t>
      </w:r>
    </w:p>
    <w:p>
      <w:pPr>
        <w:pStyle w:val="BodyText"/>
        <w:spacing w:line="247" w:lineRule="auto" w:before="7"/>
        <w:ind w:left="117" w:right="114" w:firstLine="283"/>
        <w:jc w:val="both"/>
      </w:pPr>
      <w:r>
        <w:rPr>
          <w:color w:val="231F20"/>
        </w:rPr>
        <w:t>El número estimado de migrantes irregulares en 2010 se mantuvo en unos </w:t>
      </w:r>
      <w:r>
        <w:rPr>
          <w:color w:val="231F20"/>
          <w:spacing w:val="-3"/>
        </w:rPr>
        <w:t>11.2 </w:t>
      </w:r>
      <w:r>
        <w:rPr>
          <w:color w:val="231F20"/>
        </w:rPr>
        <w:t>millones, tras un descenso de dos años a partir de un máximo  de 12 millones en 2007, según datos del Pew Hispanic Center (2010). Es probable que esa reducción guarde relación con el descenso general de la migración</w:t>
      </w:r>
      <w:r>
        <w:rPr>
          <w:color w:val="231F20"/>
          <w:spacing w:val="-4"/>
        </w:rPr>
        <w:t> </w:t>
      </w:r>
      <w:r>
        <w:rPr>
          <w:color w:val="231F20"/>
        </w:rPr>
        <w:t>de</w:t>
      </w:r>
      <w:r>
        <w:rPr>
          <w:color w:val="231F20"/>
          <w:spacing w:val="-4"/>
        </w:rPr>
        <w:t> </w:t>
      </w:r>
      <w:r>
        <w:rPr>
          <w:color w:val="231F20"/>
        </w:rPr>
        <w:t>México</w:t>
      </w:r>
      <w:r>
        <w:rPr>
          <w:color w:val="231F20"/>
          <w:spacing w:val="-3"/>
        </w:rPr>
        <w:t> </w:t>
      </w:r>
      <w:r>
        <w:rPr>
          <w:color w:val="231F20"/>
        </w:rPr>
        <w:t>desde</w:t>
      </w:r>
      <w:r>
        <w:rPr>
          <w:color w:val="231F20"/>
          <w:spacing w:val="-4"/>
        </w:rPr>
        <w:t> </w:t>
      </w:r>
      <w:r>
        <w:rPr>
          <w:color w:val="231F20"/>
        </w:rPr>
        <w:t>2007,</w:t>
      </w:r>
      <w:r>
        <w:rPr>
          <w:color w:val="231F20"/>
          <w:spacing w:val="-4"/>
        </w:rPr>
        <w:t> </w:t>
      </w:r>
      <w:r>
        <w:rPr>
          <w:color w:val="231F20"/>
        </w:rPr>
        <w:t>debido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crisis</w:t>
      </w:r>
      <w:r>
        <w:rPr>
          <w:color w:val="231F20"/>
          <w:spacing w:val="-4"/>
        </w:rPr>
        <w:t> </w:t>
      </w:r>
      <w:r>
        <w:rPr>
          <w:color w:val="231F20"/>
        </w:rPr>
        <w:t>económica.</w:t>
      </w:r>
      <w:r>
        <w:rPr>
          <w:color w:val="231F20"/>
          <w:spacing w:val="-16"/>
        </w:rPr>
        <w:t> </w:t>
      </w:r>
      <w:r>
        <w:rPr>
          <w:color w:val="231F20"/>
        </w:rPr>
        <w:t>Aunque</w:t>
      </w:r>
      <w:r>
        <w:rPr>
          <w:color w:val="231F20"/>
          <w:spacing w:val="-3"/>
        </w:rPr>
        <w:t> </w:t>
      </w:r>
      <w:r>
        <w:rPr>
          <w:color w:val="231F20"/>
        </w:rPr>
        <w:t>la economía</w:t>
      </w:r>
      <w:r>
        <w:rPr>
          <w:color w:val="231F20"/>
          <w:spacing w:val="-5"/>
        </w:rPr>
        <w:t> </w:t>
      </w:r>
      <w:r>
        <w:rPr>
          <w:color w:val="231F20"/>
        </w:rPr>
        <w:t>ha</w:t>
      </w:r>
      <w:r>
        <w:rPr>
          <w:color w:val="231F20"/>
          <w:spacing w:val="-4"/>
        </w:rPr>
        <w:t> </w:t>
      </w:r>
      <w:r>
        <w:rPr>
          <w:color w:val="231F20"/>
        </w:rPr>
        <w:t>empezado</w:t>
      </w:r>
      <w:r>
        <w:rPr>
          <w:color w:val="231F20"/>
          <w:spacing w:val="-5"/>
        </w:rPr>
        <w:t> </w:t>
      </w:r>
      <w:r>
        <w:rPr>
          <w:color w:val="231F20"/>
        </w:rPr>
        <w:t>a</w:t>
      </w:r>
      <w:r>
        <w:rPr>
          <w:color w:val="231F20"/>
          <w:spacing w:val="-4"/>
        </w:rPr>
        <w:t> </w:t>
      </w:r>
      <w:r>
        <w:rPr>
          <w:color w:val="231F20"/>
        </w:rPr>
        <w:t>recuperarse,</w:t>
      </w:r>
      <w:r>
        <w:rPr>
          <w:color w:val="231F20"/>
          <w:spacing w:val="-5"/>
        </w:rPr>
        <w:t> </w:t>
      </w:r>
      <w:r>
        <w:rPr>
          <w:color w:val="231F20"/>
        </w:rPr>
        <w:t>ello</w:t>
      </w:r>
      <w:r>
        <w:rPr>
          <w:color w:val="231F20"/>
          <w:spacing w:val="-5"/>
        </w:rPr>
        <w:t> </w:t>
      </w:r>
      <w:r>
        <w:rPr>
          <w:color w:val="231F20"/>
        </w:rPr>
        <w:t>no</w:t>
      </w:r>
      <w:r>
        <w:rPr>
          <w:color w:val="231F20"/>
          <w:spacing w:val="-4"/>
        </w:rPr>
        <w:t> </w:t>
      </w:r>
      <w:r>
        <w:rPr>
          <w:color w:val="231F20"/>
        </w:rPr>
        <w:t>se</w:t>
      </w:r>
      <w:r>
        <w:rPr>
          <w:color w:val="231F20"/>
          <w:spacing w:val="-4"/>
        </w:rPr>
        <w:t> </w:t>
      </w:r>
      <w:r>
        <w:rPr>
          <w:color w:val="231F20"/>
        </w:rPr>
        <w:t>ha</w:t>
      </w:r>
      <w:r>
        <w:rPr>
          <w:color w:val="231F20"/>
          <w:spacing w:val="-4"/>
        </w:rPr>
        <w:t> </w:t>
      </w:r>
      <w:r>
        <w:rPr>
          <w:color w:val="231F20"/>
        </w:rPr>
        <w:t>reflejado</w:t>
      </w:r>
      <w:r>
        <w:rPr>
          <w:color w:val="231F20"/>
          <w:spacing w:val="-5"/>
        </w:rPr>
        <w:t> </w:t>
      </w:r>
      <w:r>
        <w:rPr>
          <w:color w:val="231F20"/>
        </w:rPr>
        <w:t>aún</w:t>
      </w:r>
      <w:r>
        <w:rPr>
          <w:color w:val="231F20"/>
          <w:spacing w:val="-4"/>
        </w:rPr>
        <w:t> </w:t>
      </w:r>
      <w:r>
        <w:rPr>
          <w:color w:val="231F20"/>
        </w:rPr>
        <w:t>en</w:t>
      </w:r>
      <w:r>
        <w:rPr>
          <w:color w:val="231F20"/>
          <w:spacing w:val="-4"/>
        </w:rPr>
        <w:t> </w:t>
      </w:r>
      <w:r>
        <w:rPr>
          <w:color w:val="231F20"/>
        </w:rPr>
        <w:t>térmi- nos de empleo (OIM,</w:t>
      </w:r>
      <w:r>
        <w:rPr>
          <w:color w:val="231F20"/>
          <w:spacing w:val="-12"/>
        </w:rPr>
        <w:t> </w:t>
      </w:r>
      <w:r>
        <w:rPr>
          <w:color w:val="231F20"/>
        </w:rPr>
        <w:t>2011).</w:t>
      </w:r>
    </w:p>
    <w:p>
      <w:pPr>
        <w:pStyle w:val="BodyText"/>
        <w:spacing w:line="247" w:lineRule="auto"/>
        <w:ind w:left="117" w:right="115" w:firstLine="283"/>
        <w:jc w:val="both"/>
      </w:pPr>
      <w:r>
        <w:rPr>
          <w:color w:val="231F20"/>
        </w:rPr>
        <w:t>Del</w:t>
      </w:r>
      <w:r>
        <w:rPr>
          <w:color w:val="231F20"/>
          <w:spacing w:val="-6"/>
        </w:rPr>
        <w:t> </w:t>
      </w:r>
      <w:r>
        <w:rPr>
          <w:color w:val="231F20"/>
        </w:rPr>
        <w:t>total</w:t>
      </w:r>
      <w:r>
        <w:rPr>
          <w:color w:val="231F20"/>
          <w:spacing w:val="-6"/>
        </w:rPr>
        <w:t> </w:t>
      </w:r>
      <w:r>
        <w:rPr>
          <w:color w:val="231F20"/>
        </w:rPr>
        <w:t>de</w:t>
      </w:r>
      <w:r>
        <w:rPr>
          <w:color w:val="231F20"/>
          <w:spacing w:val="-6"/>
        </w:rPr>
        <w:t> </w:t>
      </w:r>
      <w:r>
        <w:rPr>
          <w:color w:val="231F20"/>
        </w:rPr>
        <w:t>migrantes</w:t>
      </w:r>
      <w:r>
        <w:rPr>
          <w:color w:val="231F20"/>
          <w:spacing w:val="-6"/>
        </w:rPr>
        <w:t> </w:t>
      </w:r>
      <w:r>
        <w:rPr>
          <w:color w:val="231F20"/>
        </w:rPr>
        <w:t>mexicanos</w:t>
      </w:r>
      <w:r>
        <w:rPr>
          <w:color w:val="231F20"/>
          <w:spacing w:val="-6"/>
        </w:rPr>
        <w:t> </w:t>
      </w:r>
      <w:r>
        <w:rPr>
          <w:color w:val="231F20"/>
        </w:rPr>
        <w:t>que</w:t>
      </w:r>
      <w:r>
        <w:rPr>
          <w:color w:val="231F20"/>
          <w:spacing w:val="-6"/>
        </w:rPr>
        <w:t> </w:t>
      </w:r>
      <w:r>
        <w:rPr>
          <w:color w:val="231F20"/>
        </w:rPr>
        <w:t>salen</w:t>
      </w:r>
      <w:r>
        <w:rPr>
          <w:color w:val="231F20"/>
          <w:spacing w:val="-6"/>
        </w:rPr>
        <w:t> </w:t>
      </w:r>
      <w:r>
        <w:rPr>
          <w:color w:val="231F20"/>
        </w:rPr>
        <w:t>del</w:t>
      </w:r>
      <w:r>
        <w:rPr>
          <w:color w:val="231F20"/>
          <w:spacing w:val="-6"/>
        </w:rPr>
        <w:t> </w:t>
      </w:r>
      <w:r>
        <w:rPr>
          <w:color w:val="231F20"/>
        </w:rPr>
        <w:t>país,</w:t>
      </w:r>
      <w:r>
        <w:rPr>
          <w:color w:val="231F20"/>
          <w:spacing w:val="-6"/>
        </w:rPr>
        <w:t> </w:t>
      </w:r>
      <w:r>
        <w:rPr>
          <w:color w:val="231F20"/>
        </w:rPr>
        <w:t>se</w:t>
      </w:r>
      <w:r>
        <w:rPr>
          <w:color w:val="231F20"/>
          <w:spacing w:val="-6"/>
        </w:rPr>
        <w:t> </w:t>
      </w:r>
      <w:r>
        <w:rPr>
          <w:color w:val="231F20"/>
        </w:rPr>
        <w:t>estima</w:t>
      </w:r>
      <w:r>
        <w:rPr>
          <w:color w:val="231F20"/>
          <w:spacing w:val="-6"/>
        </w:rPr>
        <w:t> </w:t>
      </w:r>
      <w:r>
        <w:rPr>
          <w:color w:val="231F20"/>
        </w:rPr>
        <w:t>que</w:t>
      </w:r>
      <w:r>
        <w:rPr>
          <w:color w:val="231F20"/>
          <w:spacing w:val="-6"/>
        </w:rPr>
        <w:t> </w:t>
      </w:r>
      <w:r>
        <w:rPr>
          <w:color w:val="231F20"/>
        </w:rPr>
        <w:t>96.1 por ciento se dirige al vecino del norte. De los más de un millón y medio de mexicanos que se dirigen a Estados Unidos, 4.9 por ciento son</w:t>
      </w:r>
      <w:r>
        <w:rPr>
          <w:color w:val="231F20"/>
          <w:spacing w:val="-37"/>
        </w:rPr>
        <w:t> </w:t>
      </w:r>
      <w:r>
        <w:rPr>
          <w:color w:val="231F20"/>
        </w:rPr>
        <w:t>veracru- zanos.</w:t>
      </w:r>
    </w:p>
    <w:p>
      <w:pPr>
        <w:pStyle w:val="BodyText"/>
        <w:spacing w:line="247" w:lineRule="auto"/>
        <w:ind w:left="117" w:right="116" w:firstLine="283"/>
        <w:jc w:val="both"/>
      </w:pPr>
      <w:r>
        <w:rPr>
          <w:color w:val="231F20"/>
        </w:rPr>
        <w:t>Así, la migración latina, y en particular la primera minoría migrante en Estados Unidos, los mexicanos, ha generado impactos positivos, aunque de poca notoriedad en el marco macroeconómico, en sentido de mano  de</w:t>
      </w:r>
    </w:p>
    <w:p>
      <w:pPr>
        <w:spacing w:after="0" w:line="247" w:lineRule="auto"/>
        <w:jc w:val="both"/>
        <w:sectPr>
          <w:pgSz w:w="9360" w:h="13040"/>
          <w:pgMar w:header="0" w:footer="496" w:top="740" w:bottom="680" w:left="1300" w:right="1300"/>
        </w:sectPr>
      </w:pPr>
    </w:p>
    <w:p>
      <w:pPr>
        <w:tabs>
          <w:tab w:pos="5536" w:val="left" w:leader="none"/>
        </w:tabs>
        <w:spacing w:before="51"/>
        <w:ind w:left="117" w:right="0" w:firstLine="0"/>
        <w:jc w:val="both"/>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115"/>
        <w:jc w:val="both"/>
      </w:pPr>
      <w:r>
        <w:rPr>
          <w:color w:val="231F20"/>
        </w:rPr>
        <w:t>obra barata, competitividad empresarial, la productividad, consumo,</w:t>
      </w:r>
      <w:r>
        <w:rPr>
          <w:color w:val="231F20"/>
          <w:spacing w:val="-12"/>
        </w:rPr>
        <w:t> </w:t>
      </w:r>
      <w:r>
        <w:rPr>
          <w:color w:val="231F20"/>
        </w:rPr>
        <w:t>refle- jado al final, en la balanza de pagos y PIB (Iscabt.wordpress,</w:t>
      </w:r>
      <w:r>
        <w:rPr>
          <w:color w:val="231F20"/>
          <w:spacing w:val="-21"/>
        </w:rPr>
        <w:t> </w:t>
      </w:r>
      <w:r>
        <w:rPr>
          <w:color w:val="231F20"/>
        </w:rPr>
        <w:t>2011).</w:t>
      </w:r>
    </w:p>
    <w:p>
      <w:pPr>
        <w:spacing w:before="171"/>
        <w:ind w:left="117" w:right="0" w:firstLine="0"/>
        <w:jc w:val="both"/>
        <w:rPr>
          <w:b/>
          <w:sz w:val="24"/>
        </w:rPr>
      </w:pPr>
      <w:r>
        <w:rPr>
          <w:b/>
          <w:color w:val="231F20"/>
          <w:sz w:val="24"/>
        </w:rPr>
        <w:t>Análisis teórico</w:t>
      </w:r>
    </w:p>
    <w:p>
      <w:pPr>
        <w:pStyle w:val="BodyText"/>
        <w:spacing w:line="247" w:lineRule="auto" w:before="172"/>
        <w:ind w:left="117" w:right="114"/>
        <w:jc w:val="both"/>
      </w:pPr>
      <w:r>
        <w:rPr>
          <w:color w:val="231F20"/>
        </w:rPr>
        <w:t>Para la estimación de la participación de los inmigrantes mexicanos en la economía</w:t>
      </w:r>
      <w:r>
        <w:rPr>
          <w:color w:val="231F20"/>
          <w:spacing w:val="-8"/>
        </w:rPr>
        <w:t> </w:t>
      </w:r>
      <w:r>
        <w:rPr>
          <w:color w:val="231F20"/>
        </w:rPr>
        <w:t>de</w:t>
      </w:r>
      <w:r>
        <w:rPr>
          <w:color w:val="231F20"/>
          <w:spacing w:val="-8"/>
        </w:rPr>
        <w:t> </w:t>
      </w:r>
      <w:r>
        <w:rPr>
          <w:color w:val="231F20"/>
        </w:rPr>
        <w:t>Estados</w:t>
      </w:r>
      <w:r>
        <w:rPr>
          <w:color w:val="231F20"/>
          <w:spacing w:val="-7"/>
        </w:rPr>
        <w:t> </w:t>
      </w:r>
      <w:r>
        <w:rPr>
          <w:color w:val="231F20"/>
        </w:rPr>
        <w:t>Unidos,</w:t>
      </w:r>
      <w:r>
        <w:rPr>
          <w:color w:val="231F20"/>
          <w:spacing w:val="-7"/>
        </w:rPr>
        <w:t> </w:t>
      </w:r>
      <w:r>
        <w:rPr>
          <w:color w:val="231F20"/>
        </w:rPr>
        <w:t>se</w:t>
      </w:r>
      <w:r>
        <w:rPr>
          <w:color w:val="231F20"/>
          <w:spacing w:val="-7"/>
        </w:rPr>
        <w:t> </w:t>
      </w:r>
      <w:r>
        <w:rPr>
          <w:color w:val="231F20"/>
        </w:rPr>
        <w:t>tomó</w:t>
      </w:r>
      <w:r>
        <w:rPr>
          <w:color w:val="231F20"/>
          <w:spacing w:val="-8"/>
        </w:rPr>
        <w:t> </w:t>
      </w:r>
      <w:r>
        <w:rPr>
          <w:color w:val="231F20"/>
        </w:rPr>
        <w:t>en</w:t>
      </w:r>
      <w:r>
        <w:rPr>
          <w:color w:val="231F20"/>
          <w:spacing w:val="-8"/>
        </w:rPr>
        <w:t> </w:t>
      </w:r>
      <w:r>
        <w:rPr>
          <w:color w:val="231F20"/>
        </w:rPr>
        <w:t>cuenta</w:t>
      </w:r>
      <w:r>
        <w:rPr>
          <w:color w:val="231F20"/>
          <w:spacing w:val="-8"/>
        </w:rPr>
        <w:t> </w:t>
      </w:r>
      <w:r>
        <w:rPr>
          <w:color w:val="231F20"/>
        </w:rPr>
        <w:t>la</w:t>
      </w:r>
      <w:r>
        <w:rPr>
          <w:color w:val="231F20"/>
          <w:spacing w:val="-8"/>
        </w:rPr>
        <w:t> </w:t>
      </w:r>
      <w:r>
        <w:rPr>
          <w:color w:val="231F20"/>
        </w:rPr>
        <w:t>clasificación</w:t>
      </w:r>
      <w:r>
        <w:rPr>
          <w:color w:val="231F20"/>
          <w:spacing w:val="-8"/>
        </w:rPr>
        <w:t> </w:t>
      </w:r>
      <w:r>
        <w:rPr>
          <w:color w:val="231F20"/>
        </w:rPr>
        <w:t>de</w:t>
      </w:r>
      <w:r>
        <w:rPr>
          <w:color w:val="231F20"/>
          <w:spacing w:val="-8"/>
        </w:rPr>
        <w:t> </w:t>
      </w:r>
      <w:r>
        <w:rPr>
          <w:color w:val="231F20"/>
        </w:rPr>
        <w:t>los</w:t>
      </w:r>
      <w:r>
        <w:rPr>
          <w:color w:val="231F20"/>
          <w:spacing w:val="-7"/>
        </w:rPr>
        <w:t> </w:t>
      </w:r>
      <w:r>
        <w:rPr>
          <w:color w:val="231F20"/>
        </w:rPr>
        <w:t>sec- tores y actividades económicas que ofrece el </w:t>
      </w:r>
      <w:r>
        <w:rPr>
          <w:i/>
          <w:color w:val="231F20"/>
        </w:rPr>
        <w:t>Buró de Análisis Económico </w:t>
      </w:r>
      <w:r>
        <w:rPr>
          <w:color w:val="231F20"/>
        </w:rPr>
        <w:t>(BEA, por sus siglas en inglés) para el PIB </w:t>
      </w:r>
      <w:r>
        <w:rPr>
          <w:color w:val="231F20"/>
          <w:spacing w:val="-8"/>
        </w:rPr>
        <w:t>y, </w:t>
      </w:r>
      <w:r>
        <w:rPr>
          <w:color w:val="231F20"/>
        </w:rPr>
        <w:t>por otro lado, el nivel de desagregación que a este respecto ofrece la </w:t>
      </w:r>
      <w:r>
        <w:rPr>
          <w:i/>
          <w:color w:val="231F20"/>
        </w:rPr>
        <w:t>Current Population Survey </w:t>
      </w:r>
      <w:r>
        <w:rPr>
          <w:color w:val="231F20"/>
        </w:rPr>
        <w:t>(CPS) de la fuerza de trabajo mexicana. En concreto, toma una</w:t>
      </w:r>
      <w:r>
        <w:rPr>
          <w:color w:val="231F20"/>
          <w:spacing w:val="-31"/>
        </w:rPr>
        <w:t> </w:t>
      </w:r>
      <w:r>
        <w:rPr>
          <w:color w:val="231F20"/>
        </w:rPr>
        <w:t>desagrega- ción de 34 sectores de actividad económica. El modelo siguiente se basa en las siguientes ecuaciones:</w:t>
      </w:r>
    </w:p>
    <w:p>
      <w:pPr>
        <w:pStyle w:val="BodyText"/>
        <w:tabs>
          <w:tab w:pos="3980" w:val="left" w:leader="none"/>
        </w:tabs>
        <w:spacing w:before="56"/>
        <w:ind w:left="400" w:right="117"/>
      </w:pPr>
      <w:r>
        <w:rPr/>
        <w:pict>
          <v:shape style="position:absolute;margin-left:178.828201pt;margin-top:11.572171pt;width:1.8pt;height:6.45pt;mso-position-horizontal-relative:page;mso-position-vertical-relative:paragraph;z-index:-640912" type="#_x0000_t202" filled="false" stroked="false">
            <v:textbox inset="0,0,0,0">
              <w:txbxContent>
                <w:p>
                  <w:pPr>
                    <w:spacing w:line="128" w:lineRule="exact" w:before="0"/>
                    <w:ind w:left="0" w:right="0" w:firstLine="0"/>
                    <w:jc w:val="left"/>
                    <w:rPr>
                      <w:sz w:val="13"/>
                    </w:rPr>
                  </w:pPr>
                  <w:r>
                    <w:rPr>
                      <w:color w:val="231F20"/>
                      <w:w w:val="98"/>
                      <w:sz w:val="13"/>
                    </w:rPr>
                    <w:t>i</w:t>
                  </w:r>
                </w:p>
              </w:txbxContent>
            </v:textbox>
            <w10:wrap type="none"/>
          </v:shape>
        </w:pict>
      </w:r>
      <w:r>
        <w:rPr>
          <w:color w:val="231F20"/>
        </w:rPr>
        <w:t>PIB</w:t>
      </w:r>
      <w:r>
        <w:rPr>
          <w:color w:val="231F20"/>
          <w:position w:val="7"/>
          <w:sz w:val="13"/>
        </w:rPr>
        <w:t>M </w:t>
      </w:r>
      <w:r>
        <w:rPr>
          <w:color w:val="231F20"/>
        </w:rPr>
        <w:t>= SUMA</w:t>
      </w:r>
      <w:r>
        <w:rPr>
          <w:color w:val="231F20"/>
          <w:spacing w:val="-17"/>
        </w:rPr>
        <w:t> </w:t>
      </w:r>
      <w:r>
        <w:rPr>
          <w:color w:val="231F20"/>
        </w:rPr>
        <w:t>(PIB</w:t>
      </w:r>
      <w:r>
        <w:rPr>
          <w:color w:val="231F20"/>
          <w:position w:val="7"/>
          <w:sz w:val="13"/>
        </w:rPr>
        <w:t>M</w:t>
      </w:r>
      <w:r>
        <w:rPr>
          <w:color w:val="231F20"/>
          <w:spacing w:val="2"/>
          <w:position w:val="7"/>
          <w:sz w:val="13"/>
        </w:rPr>
        <w:t> </w:t>
      </w:r>
      <w:r>
        <w:rPr>
          <w:color w:val="231F20"/>
        </w:rPr>
        <w:t>)</w:t>
        <w:tab/>
        <w:t>(1)</w:t>
      </w:r>
    </w:p>
    <w:p>
      <w:pPr>
        <w:tabs>
          <w:tab w:pos="3978" w:val="left" w:leader="none"/>
        </w:tabs>
        <w:spacing w:before="63"/>
        <w:ind w:left="400" w:right="117" w:firstLine="0"/>
        <w:jc w:val="left"/>
        <w:rPr>
          <w:sz w:val="22"/>
        </w:rPr>
      </w:pPr>
      <w:r>
        <w:rPr/>
        <w:pict>
          <v:shape style="position:absolute;margin-left:107.8592pt;margin-top:11.922146pt;width:63.1pt;height:6.45pt;mso-position-horizontal-relative:page;mso-position-vertical-relative:paragraph;z-index:-640864" type="#_x0000_t202" filled="false" stroked="false">
            <v:textbox inset="0,0,0,0">
              <w:txbxContent>
                <w:p>
                  <w:pPr>
                    <w:tabs>
                      <w:tab w:pos="721" w:val="left" w:leader="none"/>
                      <w:tab w:pos="1226" w:val="left" w:leader="none"/>
                    </w:tabs>
                    <w:spacing w:line="128" w:lineRule="exact" w:before="0"/>
                    <w:ind w:left="0" w:right="0" w:firstLine="0"/>
                    <w:jc w:val="left"/>
                    <w:rPr>
                      <w:sz w:val="13"/>
                    </w:rPr>
                  </w:pPr>
                  <w:r>
                    <w:rPr>
                      <w:color w:val="231F20"/>
                      <w:sz w:val="13"/>
                    </w:rPr>
                    <w:t>i</w:t>
                    <w:tab/>
                    <w:t>i</w:t>
                    <w:tab/>
                  </w:r>
                  <w:r>
                    <w:rPr>
                      <w:color w:val="231F20"/>
                      <w:w w:val="95"/>
                      <w:sz w:val="13"/>
                    </w:rPr>
                    <w:t>i</w:t>
                  </w:r>
                </w:p>
              </w:txbxContent>
            </v:textbox>
            <w10:wrap type="none"/>
          </v:shape>
        </w:pict>
      </w:r>
      <w:r>
        <w:rPr>
          <w:color w:val="231F20"/>
          <w:sz w:val="22"/>
        </w:rPr>
        <w:t>PIB</w:t>
      </w:r>
      <w:r>
        <w:rPr>
          <w:color w:val="231F20"/>
          <w:position w:val="7"/>
          <w:sz w:val="13"/>
        </w:rPr>
        <w:t>M   </w:t>
      </w:r>
      <w:r>
        <w:rPr>
          <w:color w:val="231F20"/>
          <w:sz w:val="22"/>
        </w:rPr>
        <w:t>= PME</w:t>
      </w:r>
      <w:r>
        <w:rPr>
          <w:color w:val="231F20"/>
          <w:spacing w:val="25"/>
          <w:sz w:val="22"/>
        </w:rPr>
        <w:t> </w:t>
      </w:r>
      <w:r>
        <w:rPr>
          <w:color w:val="231F20"/>
          <w:sz w:val="22"/>
        </w:rPr>
        <w:t>*</w:t>
      </w:r>
      <w:r>
        <w:rPr>
          <w:color w:val="231F20"/>
          <w:spacing w:val="-1"/>
          <w:sz w:val="22"/>
        </w:rPr>
        <w:t> </w:t>
      </w:r>
      <w:r>
        <w:rPr>
          <w:color w:val="231F20"/>
          <w:sz w:val="22"/>
        </w:rPr>
        <w:t>L</w:t>
      </w:r>
      <w:r>
        <w:rPr>
          <w:color w:val="231F20"/>
          <w:position w:val="7"/>
          <w:sz w:val="13"/>
        </w:rPr>
        <w:t>M</w:t>
        <w:tab/>
      </w:r>
      <w:r>
        <w:rPr>
          <w:color w:val="231F20"/>
          <w:sz w:val="22"/>
        </w:rPr>
        <w:t>(2)</w:t>
      </w:r>
    </w:p>
    <w:p>
      <w:pPr>
        <w:pStyle w:val="BodyText"/>
        <w:tabs>
          <w:tab w:pos="3982" w:val="left" w:leader="none"/>
        </w:tabs>
        <w:spacing w:before="63"/>
        <w:ind w:left="400" w:right="117"/>
      </w:pPr>
      <w:r>
        <w:rPr/>
        <w:pict>
          <v:shape style="position:absolute;margin-left:107.656998pt;margin-top:11.922159pt;width:49.45pt;height:6.45pt;mso-position-horizontal-relative:page;mso-position-vertical-relative:paragraph;z-index:-640840" type="#_x0000_t202" filled="false" stroked="false">
            <v:textbox inset="0,0,0,0">
              <w:txbxContent>
                <w:p>
                  <w:pPr>
                    <w:tabs>
                      <w:tab w:pos="611" w:val="left" w:leader="none"/>
                      <w:tab w:pos="953" w:val="left" w:leader="none"/>
                    </w:tabs>
                    <w:spacing w:line="128" w:lineRule="exact" w:before="0"/>
                    <w:ind w:left="0" w:right="0" w:firstLine="0"/>
                    <w:jc w:val="left"/>
                    <w:rPr>
                      <w:sz w:val="13"/>
                    </w:rPr>
                  </w:pPr>
                  <w:r>
                    <w:rPr>
                      <w:color w:val="231F20"/>
                      <w:sz w:val="13"/>
                    </w:rPr>
                    <w:t>i</w:t>
                    <w:tab/>
                    <w:t>i</w:t>
                    <w:tab/>
                  </w:r>
                  <w:r>
                    <w:rPr>
                      <w:color w:val="231F20"/>
                      <w:w w:val="95"/>
                      <w:sz w:val="13"/>
                    </w:rPr>
                    <w:t>i</w:t>
                  </w:r>
                </w:p>
              </w:txbxContent>
            </v:textbox>
            <w10:wrap type="none"/>
          </v:shape>
        </w:pict>
      </w:r>
      <w:r>
        <w:rPr>
          <w:color w:val="231F20"/>
        </w:rPr>
        <w:t>PME  = PIB</w:t>
      </w:r>
      <w:r>
        <w:rPr>
          <w:color w:val="231F20"/>
          <w:spacing w:val="13"/>
        </w:rPr>
        <w:t> </w:t>
      </w:r>
      <w:r>
        <w:rPr>
          <w:color w:val="231F20"/>
        </w:rPr>
        <w:t>/</w:t>
      </w:r>
      <w:r>
        <w:rPr>
          <w:color w:val="231F20"/>
          <w:spacing w:val="-1"/>
        </w:rPr>
        <w:t> </w:t>
      </w:r>
      <w:r>
        <w:rPr>
          <w:color w:val="231F20"/>
        </w:rPr>
        <w:t>L</w:t>
        <w:tab/>
        <w:t>(3)</w:t>
      </w:r>
    </w:p>
    <w:p>
      <w:pPr>
        <w:pStyle w:val="BodyText"/>
        <w:spacing w:line="247" w:lineRule="auto" w:before="63"/>
        <w:ind w:left="117" w:right="117" w:firstLine="283"/>
      </w:pPr>
      <w:r>
        <w:rPr/>
        <w:pict>
          <v:shape style="position:absolute;margin-left:169.4142pt;margin-top:24.922165pt;width:1.8pt;height:6.45pt;mso-position-horizontal-relative:page;mso-position-vertical-relative:paragraph;z-index:-640888" type="#_x0000_t202" filled="false" stroked="false">
            <v:textbox inset="0,0,0,0">
              <w:txbxContent>
                <w:p>
                  <w:pPr>
                    <w:spacing w:line="128" w:lineRule="exact" w:before="0"/>
                    <w:ind w:left="0" w:right="0" w:firstLine="0"/>
                    <w:jc w:val="left"/>
                    <w:rPr>
                      <w:sz w:val="13"/>
                    </w:rPr>
                  </w:pPr>
                  <w:r>
                    <w:rPr>
                      <w:color w:val="231F20"/>
                      <w:w w:val="98"/>
                      <w:sz w:val="13"/>
                    </w:rPr>
                    <w:t>i</w:t>
                  </w:r>
                </w:p>
              </w:txbxContent>
            </v:textbox>
            <w10:wrap type="none"/>
          </v:shape>
        </w:pict>
      </w:r>
      <w:r>
        <w:rPr>
          <w:color w:val="231F20"/>
        </w:rPr>
        <w:t>Donde: PIB</w:t>
      </w:r>
      <w:r>
        <w:rPr>
          <w:color w:val="231F20"/>
          <w:position w:val="7"/>
          <w:sz w:val="13"/>
        </w:rPr>
        <w:t>M </w:t>
      </w:r>
      <w:r>
        <w:rPr>
          <w:color w:val="231F20"/>
        </w:rPr>
        <w:t>= PIB total generado por los trabajadores mexicanos en Estados Unidos; PIB</w:t>
      </w:r>
      <w:r>
        <w:rPr>
          <w:color w:val="231F20"/>
          <w:position w:val="7"/>
          <w:sz w:val="13"/>
        </w:rPr>
        <w:t>M </w:t>
      </w:r>
      <w:r>
        <w:rPr>
          <w:color w:val="231F20"/>
        </w:rPr>
        <w:t>= PIB generado por los trabajadores mexicanos  en</w:t>
      </w:r>
    </w:p>
    <w:p>
      <w:pPr>
        <w:pStyle w:val="BodyText"/>
        <w:spacing w:line="253" w:lineRule="exact"/>
        <w:ind w:left="117" w:right="117"/>
      </w:pPr>
      <w:r>
        <w:rPr/>
        <w:pict>
          <v:shape style="position:absolute;margin-left:145.426193pt;margin-top:8.75779pt;width:1.8pt;height:6.45pt;mso-position-horizontal-relative:page;mso-position-vertical-relative:paragraph;z-index:-640816" type="#_x0000_t202" filled="false" stroked="false">
            <v:textbox inset="0,0,0,0">
              <w:txbxContent>
                <w:p>
                  <w:pPr>
                    <w:spacing w:line="128" w:lineRule="exact" w:before="0"/>
                    <w:ind w:left="0" w:right="0" w:firstLine="0"/>
                    <w:jc w:val="left"/>
                    <w:rPr>
                      <w:sz w:val="13"/>
                    </w:rPr>
                  </w:pPr>
                  <w:r>
                    <w:rPr>
                      <w:color w:val="231F20"/>
                      <w:w w:val="98"/>
                      <w:sz w:val="13"/>
                    </w:rPr>
                    <w:t>i</w:t>
                  </w:r>
                </w:p>
              </w:txbxContent>
            </v:textbox>
            <w10:wrap type="none"/>
          </v:shape>
        </w:pict>
      </w:r>
      <w:r>
        <w:rPr/>
        <w:pict>
          <v:shape style="position:absolute;margin-left:339.834808pt;margin-top:8.75779pt;width:1.8pt;height:6.45pt;mso-position-horizontal-relative:page;mso-position-vertical-relative:paragraph;z-index:-640744" type="#_x0000_t202" filled="false" stroked="false">
            <v:textbox inset="0,0,0,0">
              <w:txbxContent>
                <w:p>
                  <w:pPr>
                    <w:spacing w:line="128" w:lineRule="exact" w:before="0"/>
                    <w:ind w:left="0" w:right="0" w:firstLine="0"/>
                    <w:jc w:val="left"/>
                    <w:rPr>
                      <w:sz w:val="13"/>
                    </w:rPr>
                  </w:pPr>
                  <w:r>
                    <w:rPr>
                      <w:color w:val="231F20"/>
                      <w:w w:val="98"/>
                      <w:sz w:val="13"/>
                    </w:rPr>
                    <w:t>i</w:t>
                  </w:r>
                </w:p>
              </w:txbxContent>
            </v:textbox>
            <w10:wrap type="none"/>
          </v:shape>
        </w:pict>
      </w:r>
      <w:r>
        <w:rPr>
          <w:color w:val="231F20"/>
        </w:rPr>
        <w:t>el sector i;  PME = Productividad media en el sector “i”; L</w:t>
      </w:r>
      <w:r>
        <w:rPr>
          <w:color w:val="231F20"/>
          <w:position w:val="7"/>
          <w:sz w:val="13"/>
        </w:rPr>
        <w:t>M     </w:t>
      </w:r>
      <w:r>
        <w:rPr>
          <w:color w:val="231F20"/>
        </w:rPr>
        <w:t>= Fuerza de</w:t>
      </w:r>
    </w:p>
    <w:p>
      <w:pPr>
        <w:pStyle w:val="BodyText"/>
        <w:spacing w:line="247" w:lineRule="auto" w:before="7"/>
        <w:ind w:left="117" w:right="114"/>
        <w:jc w:val="both"/>
      </w:pPr>
      <w:r>
        <w:rPr/>
        <w:pict>
          <v:shape style="position:absolute;margin-left:331.731598pt;margin-top:9.122165pt;width:1.8pt;height:6.45pt;mso-position-horizontal-relative:page;mso-position-vertical-relative:paragraph;z-index:-640792" type="#_x0000_t202" filled="false" stroked="false">
            <v:textbox inset="0,0,0,0">
              <w:txbxContent>
                <w:p>
                  <w:pPr>
                    <w:spacing w:line="128" w:lineRule="exact" w:before="0"/>
                    <w:ind w:left="0" w:right="0" w:firstLine="0"/>
                    <w:jc w:val="left"/>
                    <w:rPr>
                      <w:sz w:val="13"/>
                    </w:rPr>
                  </w:pPr>
                  <w:r>
                    <w:rPr>
                      <w:color w:val="231F20"/>
                      <w:w w:val="98"/>
                      <w:sz w:val="13"/>
                    </w:rPr>
                    <w:t>i</w:t>
                  </w:r>
                </w:p>
              </w:txbxContent>
            </v:textbox>
            <w10:wrap type="none"/>
          </v:shape>
        </w:pict>
      </w:r>
      <w:r>
        <w:rPr/>
        <w:pict>
          <v:shape style="position:absolute;margin-left:118.867203pt;margin-top:22.122166pt;width:1.8pt;height:6.45pt;mso-position-horizontal-relative:page;mso-position-vertical-relative:paragraph;z-index:-640768" type="#_x0000_t202" filled="false" stroked="false">
            <v:textbox inset="0,0,0,0">
              <w:txbxContent>
                <w:p>
                  <w:pPr>
                    <w:spacing w:line="128" w:lineRule="exact" w:before="0"/>
                    <w:ind w:left="0" w:right="0" w:firstLine="0"/>
                    <w:jc w:val="left"/>
                    <w:rPr>
                      <w:sz w:val="13"/>
                    </w:rPr>
                  </w:pPr>
                  <w:r>
                    <w:rPr>
                      <w:color w:val="231F20"/>
                      <w:w w:val="98"/>
                      <w:sz w:val="13"/>
                    </w:rPr>
                    <w:t>i</w:t>
                  </w:r>
                </w:p>
              </w:txbxContent>
            </v:textbox>
            <w10:wrap type="none"/>
          </v:shape>
        </w:pict>
      </w:r>
      <w:r>
        <w:rPr>
          <w:color w:val="231F20"/>
        </w:rPr>
        <w:t>trabajo</w:t>
      </w:r>
      <w:r>
        <w:rPr>
          <w:color w:val="231F20"/>
          <w:spacing w:val="-13"/>
        </w:rPr>
        <w:t> </w:t>
      </w:r>
      <w:r>
        <w:rPr>
          <w:color w:val="231F20"/>
        </w:rPr>
        <w:t>migrante</w:t>
      </w:r>
      <w:r>
        <w:rPr>
          <w:color w:val="231F20"/>
          <w:spacing w:val="-13"/>
        </w:rPr>
        <w:t> </w:t>
      </w:r>
      <w:r>
        <w:rPr>
          <w:color w:val="231F20"/>
        </w:rPr>
        <w:t>(mexicanos)</w:t>
      </w:r>
      <w:r>
        <w:rPr>
          <w:color w:val="231F20"/>
          <w:spacing w:val="-12"/>
        </w:rPr>
        <w:t> </w:t>
      </w:r>
      <w:r>
        <w:rPr>
          <w:color w:val="231F20"/>
        </w:rPr>
        <w:t>ocupados</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sector</w:t>
      </w:r>
      <w:r>
        <w:rPr>
          <w:color w:val="231F20"/>
          <w:spacing w:val="-12"/>
        </w:rPr>
        <w:t> </w:t>
      </w:r>
      <w:r>
        <w:rPr>
          <w:color w:val="231F20"/>
        </w:rPr>
        <w:t>“i”;</w:t>
      </w:r>
      <w:r>
        <w:rPr>
          <w:color w:val="231F20"/>
          <w:spacing w:val="-12"/>
        </w:rPr>
        <w:t> </w:t>
      </w:r>
      <w:r>
        <w:rPr>
          <w:color w:val="231F20"/>
        </w:rPr>
        <w:t>PIB</w:t>
      </w:r>
      <w:r>
        <w:rPr>
          <w:color w:val="231F20"/>
          <w:spacing w:val="23"/>
        </w:rPr>
        <w:t> </w:t>
      </w:r>
      <w:r>
        <w:rPr>
          <w:color w:val="231F20"/>
        </w:rPr>
        <w:t>=</w:t>
      </w:r>
      <w:r>
        <w:rPr>
          <w:color w:val="231F20"/>
          <w:spacing w:val="-12"/>
        </w:rPr>
        <w:t> </w:t>
      </w:r>
      <w:r>
        <w:rPr>
          <w:color w:val="231F20"/>
        </w:rPr>
        <w:t>PIB</w:t>
      </w:r>
      <w:r>
        <w:rPr>
          <w:color w:val="231F20"/>
          <w:spacing w:val="-12"/>
        </w:rPr>
        <w:t> </w:t>
      </w:r>
      <w:r>
        <w:rPr>
          <w:color w:val="231F20"/>
        </w:rPr>
        <w:t>del</w:t>
      </w:r>
      <w:r>
        <w:rPr>
          <w:color w:val="231F20"/>
          <w:spacing w:val="-12"/>
        </w:rPr>
        <w:t> </w:t>
      </w:r>
      <w:r>
        <w:rPr>
          <w:color w:val="231F20"/>
        </w:rPr>
        <w:t>sec- tor “i”, y L es la fuerza de trabajo total ocupada en el sector “i”. Con estas ecuaciones,</w:t>
      </w:r>
      <w:r>
        <w:rPr>
          <w:color w:val="231F20"/>
          <w:spacing w:val="-8"/>
        </w:rPr>
        <w:t> </w:t>
      </w:r>
      <w:r>
        <w:rPr>
          <w:color w:val="231F20"/>
        </w:rPr>
        <w:t>el</w:t>
      </w:r>
      <w:r>
        <w:rPr>
          <w:color w:val="231F20"/>
          <w:spacing w:val="-7"/>
        </w:rPr>
        <w:t> </w:t>
      </w:r>
      <w:r>
        <w:rPr>
          <w:color w:val="231F20"/>
        </w:rPr>
        <w:t>PIB</w:t>
      </w:r>
      <w:r>
        <w:rPr>
          <w:color w:val="231F20"/>
          <w:spacing w:val="-7"/>
        </w:rPr>
        <w:t> </w:t>
      </w:r>
      <w:r>
        <w:rPr>
          <w:color w:val="231F20"/>
        </w:rPr>
        <w:t>generado</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fuerza</w:t>
      </w:r>
      <w:r>
        <w:rPr>
          <w:color w:val="231F20"/>
          <w:spacing w:val="-7"/>
        </w:rPr>
        <w:t> </w:t>
      </w:r>
      <w:r>
        <w:rPr>
          <w:color w:val="231F20"/>
        </w:rPr>
        <w:t>de</w:t>
      </w:r>
      <w:r>
        <w:rPr>
          <w:color w:val="231F20"/>
          <w:spacing w:val="-7"/>
        </w:rPr>
        <w:t> </w:t>
      </w:r>
      <w:r>
        <w:rPr>
          <w:color w:val="231F20"/>
        </w:rPr>
        <w:t>trabajo</w:t>
      </w:r>
      <w:r>
        <w:rPr>
          <w:color w:val="231F20"/>
          <w:spacing w:val="-8"/>
        </w:rPr>
        <w:t> </w:t>
      </w:r>
      <w:r>
        <w:rPr>
          <w:color w:val="231F20"/>
        </w:rPr>
        <w:t>mexicana</w:t>
      </w:r>
      <w:r>
        <w:rPr>
          <w:color w:val="231F20"/>
          <w:spacing w:val="-8"/>
        </w:rPr>
        <w:t> </w:t>
      </w:r>
      <w:r>
        <w:rPr>
          <w:color w:val="231F20"/>
        </w:rPr>
        <w:t>migrante</w:t>
      </w:r>
      <w:r>
        <w:rPr>
          <w:color w:val="231F20"/>
          <w:spacing w:val="-8"/>
        </w:rPr>
        <w:t> </w:t>
      </w:r>
      <w:r>
        <w:rPr>
          <w:color w:val="231F20"/>
        </w:rPr>
        <w:t>en Estados Unidos se calculó de la siguiente forma:</w:t>
      </w:r>
    </w:p>
    <w:p>
      <w:pPr>
        <w:tabs>
          <w:tab w:pos="6178" w:val="left" w:leader="none"/>
        </w:tabs>
        <w:spacing w:before="56"/>
        <w:ind w:left="400" w:right="117" w:firstLine="0"/>
        <w:jc w:val="left"/>
        <w:rPr>
          <w:sz w:val="22"/>
        </w:rPr>
      </w:pPr>
      <w:r>
        <w:rPr>
          <w:color w:val="231F20"/>
          <w:sz w:val="22"/>
        </w:rPr>
        <w:t>PIBM = PME</w:t>
      </w:r>
      <w:r>
        <w:rPr>
          <w:color w:val="231F20"/>
          <w:position w:val="-6"/>
          <w:sz w:val="13"/>
        </w:rPr>
        <w:t>1 </w:t>
      </w:r>
      <w:r>
        <w:rPr>
          <w:color w:val="231F20"/>
          <w:sz w:val="22"/>
        </w:rPr>
        <w:t>* LM</w:t>
      </w:r>
      <w:r>
        <w:rPr>
          <w:color w:val="231F20"/>
          <w:position w:val="-6"/>
          <w:sz w:val="13"/>
        </w:rPr>
        <w:t>1 </w:t>
      </w:r>
      <w:r>
        <w:rPr>
          <w:color w:val="231F20"/>
          <w:sz w:val="22"/>
        </w:rPr>
        <w:t>+ PME</w:t>
      </w:r>
      <w:r>
        <w:rPr>
          <w:color w:val="231F20"/>
          <w:position w:val="-6"/>
          <w:sz w:val="13"/>
        </w:rPr>
        <w:t>2 </w:t>
      </w:r>
      <w:r>
        <w:rPr>
          <w:color w:val="231F20"/>
          <w:sz w:val="22"/>
        </w:rPr>
        <w:t>* LM</w:t>
      </w:r>
      <w:r>
        <w:rPr>
          <w:color w:val="231F20"/>
          <w:position w:val="-6"/>
          <w:sz w:val="13"/>
        </w:rPr>
        <w:t>2 </w:t>
      </w:r>
      <w:r>
        <w:rPr>
          <w:color w:val="231F20"/>
          <w:sz w:val="22"/>
        </w:rPr>
        <w:t>+ … + PME</w:t>
      </w:r>
      <w:r>
        <w:rPr>
          <w:color w:val="231F20"/>
          <w:position w:val="-6"/>
          <w:sz w:val="13"/>
        </w:rPr>
        <w:t>34   </w:t>
      </w:r>
      <w:r>
        <w:rPr>
          <w:color w:val="231F20"/>
          <w:spacing w:val="4"/>
          <w:position w:val="-6"/>
          <w:sz w:val="13"/>
        </w:rPr>
        <w:t> </w:t>
      </w:r>
      <w:r>
        <w:rPr>
          <w:color w:val="231F20"/>
          <w:sz w:val="22"/>
        </w:rPr>
        <w:t>*</w:t>
      </w:r>
      <w:r>
        <w:rPr>
          <w:color w:val="231F20"/>
          <w:spacing w:val="-1"/>
          <w:sz w:val="22"/>
        </w:rPr>
        <w:t> </w:t>
      </w:r>
      <w:r>
        <w:rPr>
          <w:color w:val="231F20"/>
          <w:sz w:val="22"/>
        </w:rPr>
        <w:t>LM</w:t>
      </w:r>
      <w:r>
        <w:rPr>
          <w:color w:val="231F20"/>
          <w:position w:val="-6"/>
          <w:sz w:val="13"/>
        </w:rPr>
        <w:t>34</w:t>
        <w:tab/>
      </w:r>
      <w:r>
        <w:rPr>
          <w:color w:val="231F20"/>
          <w:sz w:val="22"/>
        </w:rPr>
        <w:t>(4)</w:t>
      </w:r>
    </w:p>
    <w:p>
      <w:pPr>
        <w:pStyle w:val="BodyText"/>
        <w:spacing w:line="247" w:lineRule="auto" w:before="13"/>
        <w:ind w:left="117" w:right="115" w:firstLine="283"/>
        <w:jc w:val="both"/>
      </w:pPr>
      <w:r>
        <w:rPr>
          <w:color w:val="231F20"/>
        </w:rPr>
        <w:t>Cabe señalar que la estimación es válida para el PIB total generado</w:t>
      </w:r>
      <w:r>
        <w:rPr>
          <w:color w:val="231F20"/>
          <w:spacing w:val="-33"/>
        </w:rPr>
        <w:t> </w:t>
      </w:r>
      <w:r>
        <w:rPr>
          <w:color w:val="231F20"/>
        </w:rPr>
        <w:t>por los</w:t>
      </w:r>
      <w:r>
        <w:rPr>
          <w:color w:val="231F20"/>
          <w:spacing w:val="-7"/>
        </w:rPr>
        <w:t> </w:t>
      </w:r>
      <w:r>
        <w:rPr>
          <w:color w:val="231F20"/>
        </w:rPr>
        <w:t>trabajadores</w:t>
      </w:r>
      <w:r>
        <w:rPr>
          <w:color w:val="231F20"/>
          <w:spacing w:val="-8"/>
        </w:rPr>
        <w:t> </w:t>
      </w:r>
      <w:r>
        <w:rPr>
          <w:color w:val="231F20"/>
        </w:rPr>
        <w:t>mexicanos,</w:t>
      </w:r>
      <w:r>
        <w:rPr>
          <w:color w:val="231F20"/>
          <w:spacing w:val="-7"/>
        </w:rPr>
        <w:t> </w:t>
      </w:r>
      <w:r>
        <w:rPr>
          <w:color w:val="231F20"/>
        </w:rPr>
        <w:t>pero</w:t>
      </w:r>
      <w:r>
        <w:rPr>
          <w:color w:val="231F20"/>
          <w:spacing w:val="-7"/>
        </w:rPr>
        <w:t> </w:t>
      </w:r>
      <w:r>
        <w:rPr>
          <w:color w:val="231F20"/>
        </w:rPr>
        <w:t>no</w:t>
      </w:r>
      <w:r>
        <w:rPr>
          <w:color w:val="231F20"/>
          <w:spacing w:val="-7"/>
        </w:rPr>
        <w:t> </w:t>
      </w:r>
      <w:r>
        <w:rPr>
          <w:color w:val="231F20"/>
        </w:rPr>
        <w:t>lo</w:t>
      </w:r>
      <w:r>
        <w:rPr>
          <w:color w:val="231F20"/>
          <w:spacing w:val="-7"/>
        </w:rPr>
        <w:t> </w:t>
      </w:r>
      <w:r>
        <w:rPr>
          <w:color w:val="231F20"/>
        </w:rPr>
        <w:t>sería</w:t>
      </w:r>
      <w:r>
        <w:rPr>
          <w:color w:val="231F20"/>
          <w:spacing w:val="-7"/>
        </w:rPr>
        <w:t> </w:t>
      </w:r>
      <w:r>
        <w:rPr>
          <w:color w:val="231F20"/>
        </w:rPr>
        <w:t>para</w:t>
      </w:r>
      <w:r>
        <w:rPr>
          <w:color w:val="231F20"/>
          <w:spacing w:val="-7"/>
        </w:rPr>
        <w:t> </w:t>
      </w:r>
      <w:r>
        <w:rPr>
          <w:color w:val="231F20"/>
        </w:rPr>
        <w:t>cada</w:t>
      </w:r>
      <w:r>
        <w:rPr>
          <w:color w:val="231F20"/>
          <w:spacing w:val="-7"/>
        </w:rPr>
        <w:t> </w:t>
      </w:r>
      <w:r>
        <w:rPr>
          <w:color w:val="231F20"/>
        </w:rPr>
        <w:t>sector</w:t>
      </w:r>
      <w:r>
        <w:rPr>
          <w:color w:val="231F20"/>
          <w:spacing w:val="-6"/>
        </w:rPr>
        <w:t> </w:t>
      </w:r>
      <w:r>
        <w:rPr>
          <w:color w:val="231F20"/>
        </w:rPr>
        <w:t>por</w:t>
      </w:r>
      <w:r>
        <w:rPr>
          <w:color w:val="231F20"/>
          <w:spacing w:val="-7"/>
        </w:rPr>
        <w:t> </w:t>
      </w:r>
      <w:r>
        <w:rPr>
          <w:color w:val="231F20"/>
        </w:rPr>
        <w:t>separado, pues en ese caso el tamaño de la muestra y los supuestos subyacentes no lo permitieron (Información obtenida de </w:t>
      </w:r>
      <w:r>
        <w:rPr>
          <w:i/>
          <w:color w:val="231F20"/>
        </w:rPr>
        <w:t>Current Population Survey, </w:t>
      </w:r>
      <w:r>
        <w:rPr>
          <w:color w:val="231F20"/>
        </w:rPr>
        <w:t>su- plemento de marzo, y de </w:t>
      </w:r>
      <w:r>
        <w:rPr>
          <w:i/>
          <w:color w:val="231F20"/>
        </w:rPr>
        <w:t>U.S. Bureau of Economic Activity</w:t>
      </w:r>
      <w:r>
        <w:rPr>
          <w:color w:val="231F20"/>
        </w:rPr>
        <w:t>,</w:t>
      </w:r>
      <w:r>
        <w:rPr>
          <w:color w:val="231F20"/>
          <w:spacing w:val="-21"/>
        </w:rPr>
        <w:t> </w:t>
      </w:r>
      <w:r>
        <w:rPr>
          <w:color w:val="231F20"/>
        </w:rPr>
        <w:t>1994-2010).</w:t>
      </w:r>
    </w:p>
    <w:p>
      <w:pPr>
        <w:pStyle w:val="Heading3"/>
      </w:pPr>
      <w:r>
        <w:rPr>
          <w:color w:val="231F20"/>
        </w:rPr>
        <w:t>Metodología</w:t>
      </w:r>
    </w:p>
    <w:p>
      <w:pPr>
        <w:pStyle w:val="BodyText"/>
        <w:spacing w:line="247" w:lineRule="auto" w:before="172"/>
        <w:ind w:left="117" w:right="115"/>
        <w:jc w:val="both"/>
        <w:rPr>
          <w:i/>
        </w:rPr>
      </w:pPr>
      <w:r>
        <w:rPr>
          <w:color w:val="231F20"/>
        </w:rPr>
        <w:t>Se realizó una investigación documental a partir de la información en- contrada por diferentes publicaciones y de instituciones gubernamentales, como El Banco de México (BANXICO), Instituto Nacional de Estadística y Geografía (INEGI), Consejo Nacional de Población (CONAPO), Orga- nización</w:t>
      </w:r>
      <w:r>
        <w:rPr>
          <w:color w:val="231F20"/>
          <w:spacing w:val="-6"/>
        </w:rPr>
        <w:t> </w:t>
      </w:r>
      <w:r>
        <w:rPr>
          <w:color w:val="231F20"/>
        </w:rPr>
        <w:t>Internacional</w:t>
      </w:r>
      <w:r>
        <w:rPr>
          <w:color w:val="231F20"/>
          <w:spacing w:val="-6"/>
        </w:rPr>
        <w:t> </w:t>
      </w:r>
      <w:r>
        <w:rPr>
          <w:color w:val="231F20"/>
        </w:rPr>
        <w:t>para</w:t>
      </w:r>
      <w:r>
        <w:rPr>
          <w:color w:val="231F20"/>
          <w:spacing w:val="-6"/>
        </w:rPr>
        <w:t> </w:t>
      </w:r>
      <w:r>
        <w:rPr>
          <w:color w:val="231F20"/>
        </w:rPr>
        <w:t>las</w:t>
      </w:r>
      <w:r>
        <w:rPr>
          <w:color w:val="231F20"/>
          <w:spacing w:val="-6"/>
        </w:rPr>
        <w:t> </w:t>
      </w:r>
      <w:r>
        <w:rPr>
          <w:color w:val="231F20"/>
        </w:rPr>
        <w:t>Migraciones</w:t>
      </w:r>
      <w:r>
        <w:rPr>
          <w:color w:val="231F20"/>
          <w:spacing w:val="-5"/>
        </w:rPr>
        <w:t> </w:t>
      </w:r>
      <w:r>
        <w:rPr>
          <w:color w:val="231F20"/>
        </w:rPr>
        <w:t>(OIM),</w:t>
      </w:r>
      <w:r>
        <w:rPr>
          <w:color w:val="231F20"/>
          <w:spacing w:val="-6"/>
        </w:rPr>
        <w:t> </w:t>
      </w:r>
      <w:r>
        <w:rPr>
          <w:color w:val="231F20"/>
        </w:rPr>
        <w:t>Banco</w:t>
      </w:r>
      <w:r>
        <w:rPr>
          <w:color w:val="231F20"/>
          <w:spacing w:val="-6"/>
        </w:rPr>
        <w:t> </w:t>
      </w:r>
      <w:r>
        <w:rPr>
          <w:color w:val="231F20"/>
        </w:rPr>
        <w:t>Mundial</w:t>
      </w:r>
      <w:r>
        <w:rPr>
          <w:color w:val="231F20"/>
          <w:spacing w:val="-6"/>
        </w:rPr>
        <w:t> </w:t>
      </w:r>
      <w:r>
        <w:rPr>
          <w:color w:val="231F20"/>
        </w:rPr>
        <w:t>(BM), Comisión Económica para América Latina </w:t>
      </w:r>
      <w:r>
        <w:rPr>
          <w:color w:val="231F20"/>
          <w:spacing w:val="-3"/>
        </w:rPr>
        <w:t>(CEPAL), </w:t>
      </w:r>
      <w:r>
        <w:rPr>
          <w:color w:val="231F20"/>
        </w:rPr>
        <w:t>Organización para la</w:t>
      </w:r>
      <w:r>
        <w:rPr>
          <w:color w:val="231F20"/>
          <w:spacing w:val="-5"/>
        </w:rPr>
        <w:t> </w:t>
      </w:r>
      <w:r>
        <w:rPr>
          <w:color w:val="231F20"/>
        </w:rPr>
        <w:t>Cooperación</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Desarrollo</w:t>
      </w:r>
      <w:r>
        <w:rPr>
          <w:color w:val="231F20"/>
          <w:spacing w:val="-4"/>
        </w:rPr>
        <w:t> </w:t>
      </w:r>
      <w:r>
        <w:rPr>
          <w:color w:val="231F20"/>
        </w:rPr>
        <w:t>Económico</w:t>
      </w:r>
      <w:r>
        <w:rPr>
          <w:color w:val="231F20"/>
          <w:spacing w:val="-6"/>
        </w:rPr>
        <w:t> </w:t>
      </w:r>
      <w:r>
        <w:rPr>
          <w:color w:val="231F20"/>
        </w:rPr>
        <w:t>(OCDE),</w:t>
      </w:r>
      <w:r>
        <w:rPr>
          <w:color w:val="231F20"/>
          <w:spacing w:val="-5"/>
        </w:rPr>
        <w:t> </w:t>
      </w:r>
      <w:r>
        <w:rPr>
          <w:i/>
          <w:color w:val="231F20"/>
        </w:rPr>
        <w:t>Bureau</w:t>
      </w:r>
      <w:r>
        <w:rPr>
          <w:i/>
          <w:color w:val="231F20"/>
          <w:spacing w:val="-5"/>
        </w:rPr>
        <w:t> </w:t>
      </w:r>
      <w:r>
        <w:rPr>
          <w:i/>
          <w:color w:val="231F20"/>
        </w:rPr>
        <w:t>of</w:t>
      </w:r>
      <w:r>
        <w:rPr>
          <w:i/>
          <w:color w:val="231F20"/>
          <w:spacing w:val="-5"/>
        </w:rPr>
        <w:t> </w:t>
      </w:r>
      <w:r>
        <w:rPr>
          <w:i/>
          <w:color w:val="231F20"/>
        </w:rPr>
        <w:t>Labor</w:t>
      </w:r>
      <w:r>
        <w:rPr>
          <w:i/>
          <w:color w:val="231F20"/>
          <w:spacing w:val="-5"/>
        </w:rPr>
        <w:t> </w:t>
      </w:r>
      <w:r>
        <w:rPr>
          <w:i/>
          <w:color w:val="231F20"/>
        </w:rPr>
        <w:t>Sta-</w:t>
      </w:r>
    </w:p>
    <w:p>
      <w:pPr>
        <w:spacing w:after="0" w:line="247" w:lineRule="auto"/>
        <w:jc w:val="both"/>
        <w:sectPr>
          <w:pgSz w:w="9360" w:h="13040"/>
          <w:pgMar w:header="0" w:footer="496" w:top="840" w:bottom="680" w:left="1300" w:right="1300"/>
        </w:sectPr>
      </w:pPr>
    </w:p>
    <w:p>
      <w:pPr>
        <w:spacing w:before="45"/>
        <w:ind w:left="117" w:right="0" w:firstLine="694"/>
        <w:jc w:val="left"/>
        <w:rPr>
          <w:rFonts w:ascii="Arial" w:hAnsi="Arial"/>
          <w:i/>
          <w:sz w:val="20"/>
        </w:rPr>
      </w:pP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participación</w:t>
      </w:r>
      <w:r>
        <w:rPr>
          <w:rFonts w:ascii="Arial" w:hAnsi="Arial"/>
          <w:color w:val="231F20"/>
          <w:spacing w:val="-15"/>
          <w:w w:val="70"/>
          <w:sz w:val="20"/>
        </w:rPr>
        <w:t> </w:t>
      </w:r>
      <w:r>
        <w:rPr>
          <w:rFonts w:ascii="Arial" w:hAnsi="Arial"/>
          <w:color w:val="231F20"/>
          <w:w w:val="70"/>
          <w:sz w:val="20"/>
        </w:rPr>
        <w:t>de</w:t>
      </w:r>
      <w:r>
        <w:rPr>
          <w:rFonts w:ascii="Arial" w:hAnsi="Arial"/>
          <w:color w:val="231F20"/>
          <w:spacing w:val="-15"/>
          <w:w w:val="70"/>
          <w:sz w:val="20"/>
        </w:rPr>
        <w:t> </w:t>
      </w:r>
      <w:r>
        <w:rPr>
          <w:rFonts w:ascii="Arial" w:hAnsi="Arial"/>
          <w:color w:val="231F20"/>
          <w:w w:val="70"/>
          <w:sz w:val="20"/>
        </w:rPr>
        <w:t>los</w:t>
      </w:r>
      <w:r>
        <w:rPr>
          <w:rFonts w:ascii="Arial" w:hAnsi="Arial"/>
          <w:color w:val="231F20"/>
          <w:spacing w:val="-15"/>
          <w:w w:val="70"/>
          <w:sz w:val="20"/>
        </w:rPr>
        <w:t> </w:t>
      </w:r>
      <w:r>
        <w:rPr>
          <w:rFonts w:ascii="Arial" w:hAnsi="Arial"/>
          <w:color w:val="231F20"/>
          <w:w w:val="70"/>
          <w:sz w:val="20"/>
        </w:rPr>
        <w:t>migrantes</w:t>
      </w:r>
      <w:r>
        <w:rPr>
          <w:rFonts w:ascii="Arial" w:hAnsi="Arial"/>
          <w:color w:val="231F20"/>
          <w:spacing w:val="-15"/>
          <w:w w:val="70"/>
          <w:sz w:val="20"/>
        </w:rPr>
        <w:t> </w:t>
      </w:r>
      <w:r>
        <w:rPr>
          <w:rFonts w:ascii="Arial" w:hAnsi="Arial"/>
          <w:color w:val="231F20"/>
          <w:w w:val="70"/>
          <w:sz w:val="20"/>
        </w:rPr>
        <w:t>mexicanos</w:t>
      </w:r>
      <w:r>
        <w:rPr>
          <w:rFonts w:ascii="Arial" w:hAnsi="Arial"/>
          <w:color w:val="231F20"/>
          <w:spacing w:val="-15"/>
          <w:w w:val="70"/>
          <w:sz w:val="20"/>
        </w:rPr>
        <w:t> </w:t>
      </w:r>
      <w:r>
        <w:rPr>
          <w:rFonts w:ascii="Arial" w:hAnsi="Arial"/>
          <w:color w:val="231F20"/>
          <w:w w:val="70"/>
          <w:sz w:val="20"/>
        </w:rPr>
        <w:t>en</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economía...</w:t>
      </w:r>
      <w:r>
        <w:rPr>
          <w:rFonts w:ascii="Arial" w:hAnsi="Arial"/>
          <w:color w:val="231F20"/>
          <w:spacing w:val="-15"/>
          <w:w w:val="70"/>
          <w:sz w:val="20"/>
        </w:rPr>
        <w:t> </w:t>
      </w:r>
      <w:r>
        <w:rPr>
          <w:rFonts w:ascii="Arial" w:hAnsi="Arial"/>
          <w:color w:val="231F20"/>
          <w:w w:val="70"/>
          <w:sz w:val="20"/>
        </w:rPr>
        <w:t>/Esther</w:t>
      </w:r>
      <w:r>
        <w:rPr>
          <w:rFonts w:ascii="Arial" w:hAnsi="Arial"/>
          <w:color w:val="231F20"/>
          <w:spacing w:val="-22"/>
          <w:w w:val="70"/>
          <w:sz w:val="20"/>
        </w:rPr>
        <w:t> </w:t>
      </w:r>
      <w:r>
        <w:rPr>
          <w:rFonts w:ascii="Arial" w:hAnsi="Arial"/>
          <w:color w:val="231F20"/>
          <w:w w:val="70"/>
          <w:sz w:val="20"/>
        </w:rPr>
        <w:t>Figueroa-Hernández</w:t>
      </w:r>
      <w:r>
        <w:rPr>
          <w:rFonts w:ascii="Arial" w:hAnsi="Arial"/>
          <w:color w:val="231F20"/>
          <w:spacing w:val="-22"/>
          <w:w w:val="70"/>
          <w:sz w:val="20"/>
        </w:rPr>
        <w:t> </w:t>
      </w:r>
      <w:r>
        <w:rPr>
          <w:rFonts w:ascii="Arial" w:hAnsi="Arial"/>
          <w:i/>
          <w:color w:val="231F20"/>
          <w:w w:val="70"/>
          <w:sz w:val="20"/>
        </w:rPr>
        <w:t>et</w:t>
      </w:r>
      <w:r>
        <w:rPr>
          <w:rFonts w:ascii="Arial" w:hAnsi="Arial"/>
          <w:i/>
          <w:color w:val="231F20"/>
          <w:spacing w:val="-22"/>
          <w:w w:val="70"/>
          <w:sz w:val="20"/>
        </w:rPr>
        <w:t> </w:t>
      </w:r>
      <w:r>
        <w:rPr>
          <w:rFonts w:ascii="Arial" w:hAnsi="Arial"/>
          <w:i/>
          <w:color w:val="231F20"/>
          <w:w w:val="70"/>
          <w:sz w:val="20"/>
        </w:rPr>
        <w:t>al.</w:t>
      </w:r>
    </w:p>
    <w:p>
      <w:pPr>
        <w:pStyle w:val="BodyText"/>
        <w:spacing w:before="7"/>
        <w:rPr>
          <w:rFonts w:ascii="Arial"/>
          <w:i/>
          <w:sz w:val="28"/>
        </w:rPr>
      </w:pPr>
    </w:p>
    <w:p>
      <w:pPr>
        <w:pStyle w:val="BodyText"/>
        <w:spacing w:line="247" w:lineRule="auto"/>
        <w:ind w:left="117" w:right="115"/>
        <w:jc w:val="both"/>
      </w:pPr>
      <w:r>
        <w:rPr>
          <w:i/>
          <w:color w:val="231F20"/>
        </w:rPr>
        <w:t>tistics</w:t>
      </w:r>
      <w:r>
        <w:rPr>
          <w:color w:val="231F20"/>
        </w:rPr>
        <w:t>, </w:t>
      </w:r>
      <w:r>
        <w:rPr>
          <w:i/>
          <w:color w:val="231F20"/>
        </w:rPr>
        <w:t>Current Population Survey </w:t>
      </w:r>
      <w:r>
        <w:rPr>
          <w:color w:val="231F20"/>
        </w:rPr>
        <w:t>(CPS), Instituto Nacional para la Eva- luación de la Educación (INEE), Comisión Interamericana de Derechos Humanos (CIDH), Pew Hispanic Center (PHC), BBVA Research Banco- mer, entre otras, que ayudará a analizar el contexto en el que se genera la migración.</w:t>
      </w:r>
    </w:p>
    <w:p>
      <w:pPr>
        <w:pStyle w:val="Heading3"/>
      </w:pPr>
      <w:r>
        <w:rPr>
          <w:color w:val="231F20"/>
        </w:rPr>
        <w:t>Diagnóstico</w:t>
      </w:r>
    </w:p>
    <w:p>
      <w:pPr>
        <w:spacing w:before="152"/>
        <w:ind w:left="117" w:right="0" w:firstLine="0"/>
        <w:jc w:val="both"/>
        <w:rPr>
          <w:i/>
          <w:sz w:val="22"/>
        </w:rPr>
      </w:pPr>
      <w:r>
        <w:rPr>
          <w:i/>
          <w:color w:val="231F20"/>
          <w:sz w:val="22"/>
        </w:rPr>
        <w:t>El aporte laboral</w:t>
      </w:r>
    </w:p>
    <w:p>
      <w:pPr>
        <w:pStyle w:val="BodyText"/>
        <w:spacing w:line="247" w:lineRule="auto" w:before="177"/>
        <w:ind w:left="117" w:right="116"/>
        <w:jc w:val="both"/>
      </w:pPr>
      <w:r>
        <w:rPr>
          <w:color w:val="231F20"/>
        </w:rPr>
        <w:t>A</w:t>
      </w:r>
      <w:r>
        <w:rPr>
          <w:color w:val="231F20"/>
          <w:spacing w:val="-19"/>
        </w:rPr>
        <w:t> </w:t>
      </w:r>
      <w:r>
        <w:rPr>
          <w:color w:val="231F20"/>
        </w:rPr>
        <w:t>lo</w:t>
      </w:r>
      <w:r>
        <w:rPr>
          <w:color w:val="231F20"/>
          <w:spacing w:val="-7"/>
        </w:rPr>
        <w:t> </w:t>
      </w:r>
      <w:r>
        <w:rPr>
          <w:color w:val="231F20"/>
        </w:rPr>
        <w:t>largo</w:t>
      </w:r>
      <w:r>
        <w:rPr>
          <w:color w:val="231F20"/>
          <w:spacing w:val="-7"/>
        </w:rPr>
        <w:t> </w:t>
      </w:r>
      <w:r>
        <w:rPr>
          <w:color w:val="231F20"/>
        </w:rPr>
        <w:t>del</w:t>
      </w:r>
      <w:r>
        <w:rPr>
          <w:color w:val="231F20"/>
          <w:spacing w:val="-11"/>
        </w:rPr>
        <w:t> </w:t>
      </w:r>
      <w:r>
        <w:rPr>
          <w:color w:val="231F20"/>
        </w:rPr>
        <w:t>Tratado</w:t>
      </w:r>
      <w:r>
        <w:rPr>
          <w:color w:val="231F20"/>
          <w:spacing w:val="-7"/>
        </w:rPr>
        <w:t> </w:t>
      </w:r>
      <w:r>
        <w:rPr>
          <w:color w:val="231F20"/>
        </w:rPr>
        <w:t>de</w:t>
      </w:r>
      <w:r>
        <w:rPr>
          <w:color w:val="231F20"/>
          <w:spacing w:val="-7"/>
        </w:rPr>
        <w:t> </w:t>
      </w:r>
      <w:r>
        <w:rPr>
          <w:color w:val="231F20"/>
        </w:rPr>
        <w:t>Libre</w:t>
      </w:r>
      <w:r>
        <w:rPr>
          <w:color w:val="231F20"/>
          <w:spacing w:val="-7"/>
        </w:rPr>
        <w:t> </w:t>
      </w:r>
      <w:r>
        <w:rPr>
          <w:color w:val="231F20"/>
        </w:rPr>
        <w:t>Comercio</w:t>
      </w:r>
      <w:r>
        <w:rPr>
          <w:color w:val="231F20"/>
          <w:spacing w:val="-7"/>
        </w:rPr>
        <w:t> </w:t>
      </w:r>
      <w:r>
        <w:rPr>
          <w:color w:val="231F20"/>
        </w:rPr>
        <w:t>de</w:t>
      </w:r>
      <w:r>
        <w:rPr>
          <w:color w:val="231F20"/>
          <w:spacing w:val="-19"/>
        </w:rPr>
        <w:t> </w:t>
      </w:r>
      <w:r>
        <w:rPr>
          <w:color w:val="231F20"/>
        </w:rPr>
        <w:t>América</w:t>
      </w:r>
      <w:r>
        <w:rPr>
          <w:color w:val="231F20"/>
          <w:spacing w:val="-7"/>
        </w:rPr>
        <w:t> </w:t>
      </w:r>
      <w:r>
        <w:rPr>
          <w:color w:val="231F20"/>
        </w:rPr>
        <w:t>del</w:t>
      </w:r>
      <w:r>
        <w:rPr>
          <w:color w:val="231F20"/>
          <w:spacing w:val="-7"/>
        </w:rPr>
        <w:t> </w:t>
      </w:r>
      <w:r>
        <w:rPr>
          <w:color w:val="231F20"/>
        </w:rPr>
        <w:t>Norte</w:t>
      </w:r>
      <w:r>
        <w:rPr>
          <w:color w:val="231F20"/>
          <w:spacing w:val="-7"/>
        </w:rPr>
        <w:t> </w:t>
      </w:r>
      <w:r>
        <w:rPr>
          <w:color w:val="231F20"/>
        </w:rPr>
        <w:t>(TLCAN), los</w:t>
      </w:r>
      <w:r>
        <w:rPr>
          <w:color w:val="231F20"/>
          <w:spacing w:val="-9"/>
        </w:rPr>
        <w:t> </w:t>
      </w:r>
      <w:r>
        <w:rPr>
          <w:color w:val="231F20"/>
        </w:rPr>
        <w:t>migrantes</w:t>
      </w:r>
      <w:r>
        <w:rPr>
          <w:color w:val="231F20"/>
          <w:spacing w:val="-10"/>
        </w:rPr>
        <w:t> </w:t>
      </w:r>
      <w:r>
        <w:rPr>
          <w:color w:val="231F20"/>
        </w:rPr>
        <w:t>mexicanos</w:t>
      </w:r>
      <w:r>
        <w:rPr>
          <w:color w:val="231F20"/>
          <w:spacing w:val="-10"/>
        </w:rPr>
        <w:t> </w:t>
      </w:r>
      <w:r>
        <w:rPr>
          <w:color w:val="231F20"/>
        </w:rPr>
        <w:t>han</w:t>
      </w:r>
      <w:r>
        <w:rPr>
          <w:color w:val="231F20"/>
          <w:spacing w:val="-9"/>
        </w:rPr>
        <w:t> </w:t>
      </w:r>
      <w:r>
        <w:rPr>
          <w:color w:val="231F20"/>
        </w:rPr>
        <w:t>cumplido</w:t>
      </w:r>
      <w:r>
        <w:rPr>
          <w:color w:val="231F20"/>
          <w:spacing w:val="-10"/>
        </w:rPr>
        <w:t> </w:t>
      </w:r>
      <w:r>
        <w:rPr>
          <w:color w:val="231F20"/>
        </w:rPr>
        <w:t>un</w:t>
      </w:r>
      <w:r>
        <w:rPr>
          <w:color w:val="231F20"/>
          <w:spacing w:val="-9"/>
        </w:rPr>
        <w:t> </w:t>
      </w:r>
      <w:r>
        <w:rPr>
          <w:color w:val="231F20"/>
        </w:rPr>
        <w:t>papel</w:t>
      </w:r>
      <w:r>
        <w:rPr>
          <w:color w:val="231F20"/>
          <w:spacing w:val="-9"/>
        </w:rPr>
        <w:t> </w:t>
      </w:r>
      <w:r>
        <w:rPr>
          <w:color w:val="231F20"/>
        </w:rPr>
        <w:t>medular</w:t>
      </w:r>
      <w:r>
        <w:rPr>
          <w:color w:val="231F20"/>
          <w:spacing w:val="-10"/>
        </w:rPr>
        <w:t> </w:t>
      </w:r>
      <w:r>
        <w:rPr>
          <w:color w:val="231F20"/>
        </w:rPr>
        <w:t>en</w:t>
      </w:r>
      <w:r>
        <w:rPr>
          <w:color w:val="231F20"/>
          <w:spacing w:val="-9"/>
        </w:rPr>
        <w:t> </w:t>
      </w:r>
      <w:r>
        <w:rPr>
          <w:color w:val="231F20"/>
        </w:rPr>
        <w:t>la</w:t>
      </w:r>
      <w:r>
        <w:rPr>
          <w:color w:val="231F20"/>
          <w:spacing w:val="-9"/>
        </w:rPr>
        <w:t> </w:t>
      </w:r>
      <w:r>
        <w:rPr>
          <w:color w:val="231F20"/>
        </w:rPr>
        <w:t>satisfacción de la demanda laboral estadounidense. De 18.1 millones de nuevos pues- tos de trabajo generados en Estados Unidos entre 1994 y 2011, casi una quinta parte (18.3 por ciento) estuvo cubierta por trabajadores nacidos en México. Más aún, ante la incapacidad de la población nativa para cubrir las necesidades laborales en ese país, poco más de la mitad de la demanda en</w:t>
      </w:r>
      <w:r>
        <w:rPr>
          <w:color w:val="231F20"/>
          <w:spacing w:val="-9"/>
        </w:rPr>
        <w:t> </w:t>
      </w:r>
      <w:r>
        <w:rPr>
          <w:color w:val="231F20"/>
        </w:rPr>
        <w:t>el</w:t>
      </w:r>
      <w:r>
        <w:rPr>
          <w:color w:val="231F20"/>
          <w:spacing w:val="-9"/>
        </w:rPr>
        <w:t> </w:t>
      </w:r>
      <w:r>
        <w:rPr>
          <w:color w:val="231F20"/>
        </w:rPr>
        <w:t>periodo,</w:t>
      </w:r>
      <w:r>
        <w:rPr>
          <w:color w:val="231F20"/>
          <w:spacing w:val="-9"/>
        </w:rPr>
        <w:t> </w:t>
      </w:r>
      <w:r>
        <w:rPr>
          <w:color w:val="231F20"/>
        </w:rPr>
        <w:t>es</w:t>
      </w:r>
      <w:r>
        <w:rPr>
          <w:color w:val="231F20"/>
          <w:spacing w:val="-9"/>
        </w:rPr>
        <w:t> </w:t>
      </w:r>
      <w:r>
        <w:rPr>
          <w:color w:val="231F20"/>
        </w:rPr>
        <w:t>decir,</w:t>
      </w:r>
      <w:r>
        <w:rPr>
          <w:color w:val="231F20"/>
          <w:spacing w:val="-9"/>
        </w:rPr>
        <w:t> </w:t>
      </w:r>
      <w:r>
        <w:rPr>
          <w:color w:val="231F20"/>
        </w:rPr>
        <w:t>55.8</w:t>
      </w:r>
      <w:r>
        <w:rPr>
          <w:color w:val="231F20"/>
          <w:spacing w:val="-9"/>
        </w:rPr>
        <w:t> </w:t>
      </w:r>
      <w:r>
        <w:rPr>
          <w:color w:val="231F20"/>
        </w:rPr>
        <w:t>por</w:t>
      </w:r>
      <w:r>
        <w:rPr>
          <w:color w:val="231F20"/>
          <w:spacing w:val="-9"/>
        </w:rPr>
        <w:t> </w:t>
      </w:r>
      <w:r>
        <w:rPr>
          <w:color w:val="231F20"/>
        </w:rPr>
        <w:t>ciento,</w:t>
      </w:r>
      <w:r>
        <w:rPr>
          <w:color w:val="231F20"/>
          <w:spacing w:val="-10"/>
        </w:rPr>
        <w:t> </w:t>
      </w:r>
      <w:r>
        <w:rPr>
          <w:color w:val="231F20"/>
        </w:rPr>
        <w:t>fue</w:t>
      </w:r>
      <w:r>
        <w:rPr>
          <w:color w:val="231F20"/>
          <w:spacing w:val="-9"/>
        </w:rPr>
        <w:t> </w:t>
      </w:r>
      <w:r>
        <w:rPr>
          <w:color w:val="231F20"/>
        </w:rPr>
        <w:t>satisfecha</w:t>
      </w:r>
      <w:r>
        <w:rPr>
          <w:color w:val="231F20"/>
          <w:spacing w:val="-9"/>
        </w:rPr>
        <w:t> </w:t>
      </w:r>
      <w:r>
        <w:rPr>
          <w:color w:val="231F20"/>
        </w:rPr>
        <w:t>mediante</w:t>
      </w:r>
      <w:r>
        <w:rPr>
          <w:color w:val="231F20"/>
          <w:spacing w:val="-10"/>
        </w:rPr>
        <w:t> </w:t>
      </w:r>
      <w:r>
        <w:rPr>
          <w:color w:val="231F20"/>
        </w:rPr>
        <w:t>el</w:t>
      </w:r>
      <w:r>
        <w:rPr>
          <w:color w:val="231F20"/>
          <w:spacing w:val="-9"/>
        </w:rPr>
        <w:t> </w:t>
      </w:r>
      <w:r>
        <w:rPr>
          <w:color w:val="231F20"/>
        </w:rPr>
        <w:t>concurso de trabajadores inmigrantes, de los cuales la tercera parte (3.3 millones) fueron</w:t>
      </w:r>
      <w:r>
        <w:rPr>
          <w:color w:val="231F20"/>
          <w:spacing w:val="-9"/>
        </w:rPr>
        <w:t> </w:t>
      </w:r>
      <w:r>
        <w:rPr>
          <w:color w:val="231F20"/>
        </w:rPr>
        <w:t>originarios</w:t>
      </w:r>
      <w:r>
        <w:rPr>
          <w:color w:val="231F20"/>
          <w:spacing w:val="-9"/>
        </w:rPr>
        <w:t> </w:t>
      </w:r>
      <w:r>
        <w:rPr>
          <w:color w:val="231F20"/>
        </w:rPr>
        <w:t>del</w:t>
      </w:r>
      <w:r>
        <w:rPr>
          <w:color w:val="231F20"/>
          <w:spacing w:val="-9"/>
        </w:rPr>
        <w:t> </w:t>
      </w:r>
      <w:r>
        <w:rPr>
          <w:color w:val="231F20"/>
        </w:rPr>
        <w:t>país</w:t>
      </w:r>
      <w:r>
        <w:rPr>
          <w:color w:val="231F20"/>
          <w:spacing w:val="-9"/>
        </w:rPr>
        <w:t> </w:t>
      </w:r>
      <w:r>
        <w:rPr>
          <w:color w:val="231F20"/>
        </w:rPr>
        <w:t>(Cuadro</w:t>
      </w:r>
      <w:r>
        <w:rPr>
          <w:color w:val="231F20"/>
          <w:spacing w:val="-9"/>
        </w:rPr>
        <w:t> </w:t>
      </w:r>
      <w:r>
        <w:rPr>
          <w:color w:val="231F20"/>
        </w:rPr>
        <w:t>1).</w:t>
      </w:r>
      <w:r>
        <w:rPr>
          <w:color w:val="231F20"/>
          <w:spacing w:val="-13"/>
        </w:rPr>
        <w:t> </w:t>
      </w:r>
      <w:r>
        <w:rPr>
          <w:color w:val="231F20"/>
          <w:spacing w:val="-6"/>
        </w:rPr>
        <w:t>Tan</w:t>
      </w:r>
      <w:r>
        <w:rPr>
          <w:color w:val="231F20"/>
          <w:spacing w:val="-9"/>
        </w:rPr>
        <w:t> </w:t>
      </w:r>
      <w:r>
        <w:rPr>
          <w:color w:val="231F20"/>
        </w:rPr>
        <w:t>requerida</w:t>
      </w:r>
      <w:r>
        <w:rPr>
          <w:color w:val="231F20"/>
          <w:spacing w:val="-9"/>
        </w:rPr>
        <w:t> </w:t>
      </w:r>
      <w:r>
        <w:rPr>
          <w:color w:val="231F20"/>
        </w:rPr>
        <w:t>y</w:t>
      </w:r>
      <w:r>
        <w:rPr>
          <w:color w:val="231F20"/>
          <w:spacing w:val="-9"/>
        </w:rPr>
        <w:t> </w:t>
      </w:r>
      <w:r>
        <w:rPr>
          <w:color w:val="231F20"/>
        </w:rPr>
        <w:t>apreciada</w:t>
      </w:r>
      <w:r>
        <w:rPr>
          <w:color w:val="231F20"/>
          <w:spacing w:val="-10"/>
        </w:rPr>
        <w:t> </w:t>
      </w:r>
      <w:r>
        <w:rPr>
          <w:color w:val="231F20"/>
        </w:rPr>
        <w:t>ha</w:t>
      </w:r>
      <w:r>
        <w:rPr>
          <w:color w:val="231F20"/>
          <w:spacing w:val="-9"/>
        </w:rPr>
        <w:t> </w:t>
      </w:r>
      <w:r>
        <w:rPr>
          <w:color w:val="231F20"/>
        </w:rPr>
        <w:t>sido</w:t>
      </w:r>
      <w:r>
        <w:rPr>
          <w:color w:val="231F20"/>
          <w:spacing w:val="-9"/>
        </w:rPr>
        <w:t> </w:t>
      </w:r>
      <w:r>
        <w:rPr>
          <w:color w:val="231F20"/>
        </w:rPr>
        <w:t>la oferta de trabajadores mexicanos, que su ocupación creció 99.0 por ciento frente</w:t>
      </w:r>
      <w:r>
        <w:rPr>
          <w:color w:val="231F20"/>
          <w:spacing w:val="-8"/>
        </w:rPr>
        <w:t> </w:t>
      </w:r>
      <w:r>
        <w:rPr>
          <w:color w:val="231F20"/>
        </w:rPr>
        <w:t>a</w:t>
      </w:r>
      <w:r>
        <w:rPr>
          <w:color w:val="231F20"/>
          <w:spacing w:val="-8"/>
        </w:rPr>
        <w:t> </w:t>
      </w:r>
      <w:r>
        <w:rPr>
          <w:color w:val="231F20"/>
        </w:rPr>
        <w:t>un</w:t>
      </w:r>
      <w:r>
        <w:rPr>
          <w:color w:val="231F20"/>
          <w:spacing w:val="-9"/>
        </w:rPr>
        <w:t> </w:t>
      </w:r>
      <w:r>
        <w:rPr>
          <w:color w:val="231F20"/>
        </w:rPr>
        <w:t>crecimiento</w:t>
      </w:r>
      <w:r>
        <w:rPr>
          <w:color w:val="231F20"/>
          <w:spacing w:val="-9"/>
        </w:rPr>
        <w:t> </w:t>
      </w:r>
      <w:r>
        <w:rPr>
          <w:color w:val="231F20"/>
        </w:rPr>
        <w:t>de</w:t>
      </w:r>
      <w:r>
        <w:rPr>
          <w:color w:val="231F20"/>
          <w:spacing w:val="-8"/>
        </w:rPr>
        <w:t> </w:t>
      </w:r>
      <w:r>
        <w:rPr>
          <w:color w:val="231F20"/>
        </w:rPr>
        <w:t>15.1</w:t>
      </w:r>
      <w:r>
        <w:rPr>
          <w:color w:val="231F20"/>
          <w:spacing w:val="-9"/>
        </w:rPr>
        <w:t> </w:t>
      </w:r>
      <w:r>
        <w:rPr>
          <w:color w:val="231F20"/>
        </w:rPr>
        <w:t>por</w:t>
      </w:r>
      <w:r>
        <w:rPr>
          <w:color w:val="231F20"/>
          <w:spacing w:val="-9"/>
        </w:rPr>
        <w:t> </w:t>
      </w:r>
      <w:r>
        <w:rPr>
          <w:color w:val="231F20"/>
        </w:rPr>
        <w:t>ciento</w:t>
      </w:r>
      <w:r>
        <w:rPr>
          <w:color w:val="231F20"/>
          <w:spacing w:val="-9"/>
        </w:rPr>
        <w:t> </w:t>
      </w:r>
      <w:r>
        <w:rPr>
          <w:color w:val="231F20"/>
        </w:rPr>
        <w:t>del</w:t>
      </w:r>
      <w:r>
        <w:rPr>
          <w:color w:val="231F20"/>
          <w:spacing w:val="-8"/>
        </w:rPr>
        <w:t> </w:t>
      </w:r>
      <w:r>
        <w:rPr>
          <w:color w:val="231F20"/>
        </w:rPr>
        <w:t>empleo</w:t>
      </w:r>
      <w:r>
        <w:rPr>
          <w:color w:val="231F20"/>
          <w:spacing w:val="-9"/>
        </w:rPr>
        <w:t> </w:t>
      </w:r>
      <w:r>
        <w:rPr>
          <w:color w:val="231F20"/>
        </w:rPr>
        <w:t>total</w:t>
      </w:r>
      <w:r>
        <w:rPr>
          <w:color w:val="231F20"/>
          <w:spacing w:val="-9"/>
        </w:rPr>
        <w:t> </w:t>
      </w:r>
      <w:r>
        <w:rPr>
          <w:color w:val="231F20"/>
        </w:rPr>
        <w:t>en</w:t>
      </w:r>
      <w:r>
        <w:rPr>
          <w:color w:val="231F20"/>
          <w:spacing w:val="-9"/>
        </w:rPr>
        <w:t> </w:t>
      </w:r>
      <w:r>
        <w:rPr>
          <w:color w:val="231F20"/>
        </w:rPr>
        <w:t>Estados</w:t>
      </w:r>
      <w:r>
        <w:rPr>
          <w:color w:val="231F20"/>
          <w:spacing w:val="-9"/>
        </w:rPr>
        <w:t> </w:t>
      </w:r>
      <w:r>
        <w:rPr>
          <w:color w:val="231F20"/>
        </w:rPr>
        <w:t>Uni- dos a lo largo del periodo considerado (Delgado y Olvera,</w:t>
      </w:r>
      <w:r>
        <w:rPr>
          <w:color w:val="231F20"/>
          <w:spacing w:val="-14"/>
        </w:rPr>
        <w:t> </w:t>
      </w:r>
      <w:r>
        <w:rPr>
          <w:color w:val="231F20"/>
        </w:rPr>
        <w:t>2012).</w:t>
      </w:r>
    </w:p>
    <w:p>
      <w:pPr>
        <w:pStyle w:val="BodyText"/>
        <w:spacing w:line="247" w:lineRule="auto"/>
        <w:ind w:left="117" w:right="114" w:firstLine="283"/>
        <w:jc w:val="both"/>
      </w:pPr>
      <w:r>
        <w:rPr>
          <w:color w:val="231F20"/>
        </w:rPr>
        <w:t>La crisis económica de finales de 2007 afectó a todos los trabajadores. Entre 2008 y 2011, el empleo global decreció -1.5 por ciento; los inmi- grantes mexicanos redujeron su ocupación en una proporción ligeramente mayor: -1.7 por ciento anual. A ello se agrega que durante 2009 la tasa   de desempleo de los mexicanos en Estados Unidos alcanzó su máximo histórico</w:t>
      </w:r>
      <w:r>
        <w:rPr>
          <w:color w:val="231F20"/>
          <w:spacing w:val="-8"/>
        </w:rPr>
        <w:t> </w:t>
      </w:r>
      <w:r>
        <w:rPr>
          <w:color w:val="231F20"/>
        </w:rPr>
        <w:t>con</w:t>
      </w:r>
      <w:r>
        <w:rPr>
          <w:color w:val="231F20"/>
          <w:spacing w:val="-8"/>
        </w:rPr>
        <w:t> </w:t>
      </w:r>
      <w:r>
        <w:rPr>
          <w:color w:val="231F20"/>
        </w:rPr>
        <w:t>13.3</w:t>
      </w:r>
      <w:r>
        <w:rPr>
          <w:color w:val="231F20"/>
          <w:spacing w:val="-8"/>
        </w:rPr>
        <w:t> </w:t>
      </w:r>
      <w:r>
        <w:rPr>
          <w:color w:val="231F20"/>
        </w:rPr>
        <w:t>por</w:t>
      </w:r>
      <w:r>
        <w:rPr>
          <w:color w:val="231F20"/>
          <w:spacing w:val="-8"/>
        </w:rPr>
        <w:t> </w:t>
      </w:r>
      <w:r>
        <w:rPr>
          <w:color w:val="231F20"/>
        </w:rPr>
        <w:t>ciento.</w:t>
      </w:r>
      <w:r>
        <w:rPr>
          <w:color w:val="231F20"/>
          <w:spacing w:val="-16"/>
        </w:rPr>
        <w:t> </w:t>
      </w:r>
      <w:r>
        <w:rPr>
          <w:color w:val="231F20"/>
        </w:rPr>
        <w:t>Y</w:t>
      </w:r>
      <w:r>
        <w:rPr>
          <w:color w:val="231F20"/>
          <w:spacing w:val="-16"/>
        </w:rPr>
        <w:t> </w:t>
      </w:r>
      <w:r>
        <w:rPr>
          <w:color w:val="231F20"/>
        </w:rPr>
        <w:t>si</w:t>
      </w:r>
      <w:r>
        <w:rPr>
          <w:color w:val="231F20"/>
          <w:spacing w:val="-8"/>
        </w:rPr>
        <w:t> </w:t>
      </w:r>
      <w:r>
        <w:rPr>
          <w:color w:val="231F20"/>
        </w:rPr>
        <w:t>bien</w:t>
      </w:r>
      <w:r>
        <w:rPr>
          <w:color w:val="231F20"/>
          <w:spacing w:val="-8"/>
        </w:rPr>
        <w:t> </w:t>
      </w:r>
      <w:r>
        <w:rPr>
          <w:color w:val="231F20"/>
        </w:rPr>
        <w:t>esta</w:t>
      </w:r>
      <w:r>
        <w:rPr>
          <w:color w:val="231F20"/>
          <w:spacing w:val="-8"/>
        </w:rPr>
        <w:t> </w:t>
      </w:r>
      <w:r>
        <w:rPr>
          <w:color w:val="231F20"/>
        </w:rPr>
        <w:t>situación</w:t>
      </w:r>
      <w:r>
        <w:rPr>
          <w:color w:val="231F20"/>
          <w:spacing w:val="-7"/>
        </w:rPr>
        <w:t> </w:t>
      </w:r>
      <w:r>
        <w:rPr>
          <w:color w:val="231F20"/>
        </w:rPr>
        <w:t>ha</w:t>
      </w:r>
      <w:r>
        <w:rPr>
          <w:color w:val="231F20"/>
          <w:spacing w:val="-8"/>
        </w:rPr>
        <w:t> </w:t>
      </w:r>
      <w:r>
        <w:rPr>
          <w:color w:val="231F20"/>
        </w:rPr>
        <w:t>disminuido</w:t>
      </w:r>
      <w:r>
        <w:rPr>
          <w:color w:val="231F20"/>
          <w:spacing w:val="-8"/>
        </w:rPr>
        <w:t> </w:t>
      </w:r>
      <w:r>
        <w:rPr>
          <w:color w:val="231F20"/>
        </w:rPr>
        <w:t>ligera- mente en los últimos dos años no hay signos claros de que vaya a cambiar drásticamente en el futuro inmediato (Cuadro 1). Es justo señalar al res- pecto que el movimiento de la migración mexicana a Estados Unidos está positivamente correlacionado con la tasa de desempleo en aquel país. En este sentido, decir que los mexicanos están quitando empleos a los</w:t>
      </w:r>
      <w:r>
        <w:rPr>
          <w:color w:val="231F20"/>
          <w:spacing w:val="-31"/>
        </w:rPr>
        <w:t> </w:t>
      </w:r>
      <w:r>
        <w:rPr>
          <w:color w:val="231F20"/>
        </w:rPr>
        <w:t>nativos es un mito que contradice la evidencia. En todo caso, como se verá más adelante, no se trata de un simple juego de oferta y demanda laboral, sino que, en el trasfondo de este comportamiento, subyace una estrategia cor- porativa</w:t>
      </w:r>
      <w:r>
        <w:rPr>
          <w:color w:val="231F20"/>
          <w:spacing w:val="-9"/>
        </w:rPr>
        <w:t> </w:t>
      </w:r>
      <w:r>
        <w:rPr>
          <w:color w:val="231F20"/>
        </w:rPr>
        <w:t>tendiente</w:t>
      </w:r>
      <w:r>
        <w:rPr>
          <w:color w:val="231F20"/>
          <w:spacing w:val="-10"/>
        </w:rPr>
        <w:t> </w:t>
      </w:r>
      <w:r>
        <w:rPr>
          <w:color w:val="231F20"/>
        </w:rPr>
        <w:t>a</w:t>
      </w:r>
      <w:r>
        <w:rPr>
          <w:color w:val="231F20"/>
          <w:spacing w:val="-10"/>
        </w:rPr>
        <w:t> </w:t>
      </w:r>
      <w:r>
        <w:rPr>
          <w:color w:val="231F20"/>
        </w:rPr>
        <w:t>reducir</w:t>
      </w:r>
      <w:r>
        <w:rPr>
          <w:color w:val="231F20"/>
          <w:spacing w:val="-9"/>
        </w:rPr>
        <w:t> </w:t>
      </w:r>
      <w:r>
        <w:rPr>
          <w:color w:val="231F20"/>
        </w:rPr>
        <w:t>costos</w:t>
      </w:r>
      <w:r>
        <w:rPr>
          <w:color w:val="231F20"/>
          <w:spacing w:val="-10"/>
        </w:rPr>
        <w:t> </w:t>
      </w:r>
      <w:r>
        <w:rPr>
          <w:color w:val="231F20"/>
        </w:rPr>
        <w:t>laborales</w:t>
      </w:r>
      <w:r>
        <w:rPr>
          <w:color w:val="231F20"/>
          <w:spacing w:val="-10"/>
        </w:rPr>
        <w:t> </w:t>
      </w:r>
      <w:r>
        <w:rPr>
          <w:color w:val="231F20"/>
        </w:rPr>
        <w:t>sin</w:t>
      </w:r>
      <w:r>
        <w:rPr>
          <w:color w:val="231F20"/>
          <w:spacing w:val="-9"/>
        </w:rPr>
        <w:t> </w:t>
      </w:r>
      <w:r>
        <w:rPr>
          <w:color w:val="231F20"/>
        </w:rPr>
        <w:t>importar</w:t>
      </w:r>
      <w:r>
        <w:rPr>
          <w:color w:val="231F20"/>
          <w:spacing w:val="-10"/>
        </w:rPr>
        <w:t> </w:t>
      </w:r>
      <w:r>
        <w:rPr>
          <w:color w:val="231F20"/>
        </w:rPr>
        <w:t>sus</w:t>
      </w:r>
      <w:r>
        <w:rPr>
          <w:color w:val="231F20"/>
          <w:spacing w:val="-9"/>
        </w:rPr>
        <w:t> </w:t>
      </w:r>
      <w:r>
        <w:rPr>
          <w:color w:val="231F20"/>
        </w:rPr>
        <w:t>repercusiones para los migrantes y sus familias ni para la clase trabajadora en general de los Estados Unidos (Delgado y Olvera,</w:t>
      </w:r>
      <w:r>
        <w:rPr>
          <w:color w:val="231F20"/>
          <w:spacing w:val="-13"/>
        </w:rPr>
        <w:t> </w:t>
      </w:r>
      <w:r>
        <w:rPr>
          <w:color w:val="231F20"/>
        </w:rPr>
        <w:t>2012).</w:t>
      </w:r>
    </w:p>
    <w:p>
      <w:pPr>
        <w:spacing w:after="0" w:line="247" w:lineRule="auto"/>
        <w:jc w:val="both"/>
        <w:sectPr>
          <w:pgSz w:w="9360" w:h="13040"/>
          <w:pgMar w:header="0" w:footer="496" w:top="740" w:bottom="6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pPr>
    </w:p>
    <w:p>
      <w:pPr>
        <w:tabs>
          <w:tab w:pos="10341" w:val="left" w:leader="none"/>
        </w:tabs>
        <w:spacing w:before="0"/>
        <w:ind w:left="214" w:right="0" w:firstLine="0"/>
        <w:jc w:val="left"/>
        <w:rPr>
          <w:sz w:val="19"/>
        </w:rPr>
      </w:pPr>
      <w:r>
        <w:rPr>
          <w:spacing w:val="18"/>
          <w:w w:val="85"/>
          <w:sz w:val="19"/>
          <w:u w:val="single"/>
        </w:rPr>
        <w:t> </w:t>
      </w:r>
      <w:r>
        <w:rPr>
          <w:w w:val="90"/>
          <w:sz w:val="19"/>
          <w:u w:val="single"/>
        </w:rPr>
        <w:t>Cuadro</w:t>
      </w:r>
      <w:r>
        <w:rPr>
          <w:spacing w:val="-24"/>
          <w:w w:val="90"/>
          <w:sz w:val="19"/>
          <w:u w:val="single"/>
        </w:rPr>
        <w:t> </w:t>
      </w:r>
      <w:r>
        <w:rPr>
          <w:w w:val="90"/>
          <w:sz w:val="19"/>
          <w:u w:val="single"/>
        </w:rPr>
        <w:t>1.</w:t>
      </w:r>
      <w:r>
        <w:rPr>
          <w:spacing w:val="-24"/>
          <w:w w:val="90"/>
          <w:sz w:val="19"/>
          <w:u w:val="single"/>
        </w:rPr>
        <w:t> </w:t>
      </w:r>
      <w:r>
        <w:rPr>
          <w:w w:val="90"/>
          <w:sz w:val="19"/>
          <w:u w:val="single"/>
        </w:rPr>
        <w:t>Población</w:t>
      </w:r>
      <w:r>
        <w:rPr>
          <w:spacing w:val="-24"/>
          <w:w w:val="90"/>
          <w:sz w:val="19"/>
          <w:u w:val="single"/>
        </w:rPr>
        <w:t> </w:t>
      </w:r>
      <w:r>
        <w:rPr>
          <w:w w:val="90"/>
          <w:sz w:val="19"/>
          <w:u w:val="single"/>
        </w:rPr>
        <w:t>ocupada</w:t>
      </w:r>
      <w:r>
        <w:rPr>
          <w:spacing w:val="-24"/>
          <w:w w:val="90"/>
          <w:sz w:val="19"/>
          <w:u w:val="single"/>
        </w:rPr>
        <w:t> </w:t>
      </w:r>
      <w:r>
        <w:rPr>
          <w:w w:val="90"/>
          <w:sz w:val="19"/>
          <w:u w:val="single"/>
        </w:rPr>
        <w:t>en</w:t>
      </w:r>
      <w:r>
        <w:rPr>
          <w:spacing w:val="-24"/>
          <w:w w:val="90"/>
          <w:sz w:val="19"/>
          <w:u w:val="single"/>
        </w:rPr>
        <w:t> </w:t>
      </w:r>
      <w:r>
        <w:rPr>
          <w:w w:val="90"/>
          <w:sz w:val="19"/>
          <w:u w:val="single"/>
        </w:rPr>
        <w:t>Estados</w:t>
      </w:r>
      <w:r>
        <w:rPr>
          <w:spacing w:val="-24"/>
          <w:w w:val="90"/>
          <w:sz w:val="19"/>
          <w:u w:val="single"/>
        </w:rPr>
        <w:t> </w:t>
      </w:r>
      <w:r>
        <w:rPr>
          <w:w w:val="90"/>
          <w:sz w:val="19"/>
          <w:u w:val="single"/>
        </w:rPr>
        <w:t>Unidos</w:t>
      </w:r>
      <w:r>
        <w:rPr>
          <w:spacing w:val="-24"/>
          <w:w w:val="90"/>
          <w:sz w:val="19"/>
          <w:u w:val="single"/>
        </w:rPr>
        <w:t> </w:t>
      </w:r>
      <w:r>
        <w:rPr>
          <w:w w:val="90"/>
          <w:sz w:val="19"/>
          <w:u w:val="single"/>
        </w:rPr>
        <w:t>según</w:t>
      </w:r>
      <w:r>
        <w:rPr>
          <w:spacing w:val="-24"/>
          <w:w w:val="90"/>
          <w:sz w:val="19"/>
          <w:u w:val="single"/>
        </w:rPr>
        <w:t> </w:t>
      </w:r>
      <w:r>
        <w:rPr>
          <w:w w:val="90"/>
          <w:sz w:val="19"/>
          <w:u w:val="single"/>
        </w:rPr>
        <w:t>condición</w:t>
      </w:r>
      <w:r>
        <w:rPr>
          <w:spacing w:val="-24"/>
          <w:w w:val="90"/>
          <w:sz w:val="19"/>
          <w:u w:val="single"/>
        </w:rPr>
        <w:t> </w:t>
      </w:r>
      <w:r>
        <w:rPr>
          <w:w w:val="90"/>
          <w:sz w:val="19"/>
          <w:u w:val="single"/>
        </w:rPr>
        <w:t>migratoria,</w:t>
      </w:r>
      <w:r>
        <w:rPr>
          <w:spacing w:val="-24"/>
          <w:w w:val="90"/>
          <w:sz w:val="19"/>
          <w:u w:val="single"/>
        </w:rPr>
        <w:t> </w:t>
      </w:r>
      <w:r>
        <w:rPr>
          <w:w w:val="90"/>
          <w:sz w:val="19"/>
          <w:u w:val="single"/>
        </w:rPr>
        <w:t>1994-2011</w:t>
      </w:r>
      <w:r>
        <w:rPr>
          <w:sz w:val="19"/>
          <w:u w:val="single"/>
        </w:rPr>
        <w:tab/>
      </w:r>
    </w:p>
    <w:p>
      <w:pPr>
        <w:spacing w:after="0"/>
        <w:jc w:val="left"/>
        <w:rPr>
          <w:sz w:val="19"/>
        </w:rPr>
        <w:sectPr>
          <w:footerReference w:type="default" r:id="rId119"/>
          <w:pgSz w:w="13040" w:h="9360" w:orient="landscape"/>
          <w:pgMar w:footer="0" w:header="0" w:top="0" w:bottom="280" w:left="1280" w:right="1300"/>
        </w:sectPr>
      </w:pPr>
    </w:p>
    <w:p>
      <w:pPr>
        <w:pStyle w:val="BodyText"/>
        <w:rPr>
          <w:sz w:val="20"/>
        </w:rPr>
      </w:pPr>
    </w:p>
    <w:p>
      <w:pPr>
        <w:spacing w:before="151"/>
        <w:ind w:left="0" w:right="0" w:firstLine="0"/>
        <w:jc w:val="right"/>
        <w:rPr>
          <w:sz w:val="19"/>
        </w:rPr>
      </w:pPr>
      <w:r>
        <w:rPr/>
        <w:pict>
          <v:shape style="position:absolute;margin-left:74.710068pt;margin-top:2.738521pt;width:506.4pt;height:150.75pt;mso-position-horizontal-relative:page;mso-position-vertical-relative:paragraph;z-index:395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49"/>
                    <w:gridCol w:w="943"/>
                    <w:gridCol w:w="705"/>
                    <w:gridCol w:w="657"/>
                    <w:gridCol w:w="1011"/>
                    <w:gridCol w:w="1151"/>
                    <w:gridCol w:w="793"/>
                    <w:gridCol w:w="869"/>
                    <w:gridCol w:w="1151"/>
                    <w:gridCol w:w="720"/>
                    <w:gridCol w:w="880"/>
                  </w:tblGrid>
                  <w:tr>
                    <w:trPr>
                      <w:trHeight w:val="214" w:hRule="exact"/>
                    </w:trPr>
                    <w:tc>
                      <w:tcPr>
                        <w:tcW w:w="1249" w:type="dxa"/>
                      </w:tcPr>
                      <w:p>
                        <w:pPr>
                          <w:pStyle w:val="TableParagraph"/>
                          <w:spacing w:line="199" w:lineRule="exact"/>
                          <w:ind w:left="59"/>
                          <w:jc w:val="left"/>
                          <w:rPr>
                            <w:sz w:val="19"/>
                          </w:rPr>
                        </w:pPr>
                        <w:r>
                          <w:rPr>
                            <w:w w:val="95"/>
                            <w:sz w:val="19"/>
                          </w:rPr>
                          <w:t>Ocupados</w:t>
                        </w:r>
                      </w:p>
                    </w:tc>
                    <w:tc>
                      <w:tcPr>
                        <w:tcW w:w="943" w:type="dxa"/>
                      </w:tcPr>
                      <w:p>
                        <w:pPr>
                          <w:pStyle w:val="TableParagraph"/>
                          <w:spacing w:line="199" w:lineRule="exact"/>
                          <w:ind w:left="528"/>
                          <w:jc w:val="left"/>
                          <w:rPr>
                            <w:sz w:val="19"/>
                          </w:rPr>
                        </w:pPr>
                        <w:r>
                          <w:rPr>
                            <w:w w:val="95"/>
                            <w:sz w:val="19"/>
                          </w:rPr>
                          <w:t>2011</w:t>
                        </w:r>
                      </w:p>
                    </w:tc>
                    <w:tc>
                      <w:tcPr>
                        <w:tcW w:w="705" w:type="dxa"/>
                      </w:tcPr>
                      <w:p>
                        <w:pPr>
                          <w:pStyle w:val="TableParagraph"/>
                          <w:spacing w:line="199" w:lineRule="exact"/>
                          <w:ind w:right="82"/>
                          <w:rPr>
                            <w:sz w:val="19"/>
                          </w:rPr>
                        </w:pPr>
                        <w:r>
                          <w:rPr>
                            <w:w w:val="85"/>
                            <w:sz w:val="19"/>
                          </w:rPr>
                          <w:t>1994</w:t>
                        </w:r>
                      </w:p>
                    </w:tc>
                    <w:tc>
                      <w:tcPr>
                        <w:tcW w:w="7231" w:type="dxa"/>
                        <w:gridSpan w:val="8"/>
                      </w:tcPr>
                      <w:p>
                        <w:pPr>
                          <w:pStyle w:val="TableParagraph"/>
                          <w:tabs>
                            <w:tab w:pos="859" w:val="left" w:leader="none"/>
                            <w:tab w:pos="2715" w:val="left" w:leader="none"/>
                            <w:tab w:pos="3673" w:val="left" w:leader="none"/>
                            <w:tab w:pos="5529" w:val="left" w:leader="none"/>
                          </w:tabs>
                          <w:spacing w:line="204" w:lineRule="exact"/>
                          <w:ind w:left="291"/>
                          <w:jc w:val="left"/>
                          <w:rPr>
                            <w:sz w:val="19"/>
                          </w:rPr>
                        </w:pPr>
                        <w:r>
                          <w:rPr>
                            <w:w w:val="95"/>
                            <w:position w:val="-11"/>
                            <w:sz w:val="19"/>
                          </w:rPr>
                          <w:t>2008</w:t>
                          <w:tab/>
                        </w:r>
                        <w:r>
                          <w:rPr>
                            <w:w w:val="95"/>
                            <w:sz w:val="19"/>
                          </w:rPr>
                          <w:t>Diferencia</w:t>
                        </w:r>
                        <w:r>
                          <w:rPr>
                            <w:spacing w:val="42"/>
                            <w:w w:val="95"/>
                            <w:sz w:val="19"/>
                          </w:rPr>
                          <w:t> </w:t>
                        </w:r>
                        <w:r>
                          <w:rPr>
                            <w:w w:val="95"/>
                            <w:position w:val="-11"/>
                            <w:sz w:val="19"/>
                          </w:rPr>
                          <w:t>crecimiento</w:t>
                          <w:tab/>
                        </w:r>
                        <w:r>
                          <w:rPr>
                            <w:w w:val="95"/>
                            <w:sz w:val="19"/>
                          </w:rPr>
                          <w:t>1994-2008</w:t>
                          <w:tab/>
                          <w:t>Diferencia</w:t>
                        </w:r>
                        <w:r>
                          <w:rPr>
                            <w:spacing w:val="39"/>
                            <w:w w:val="95"/>
                            <w:sz w:val="19"/>
                          </w:rPr>
                          <w:t> </w:t>
                        </w:r>
                        <w:r>
                          <w:rPr>
                            <w:w w:val="95"/>
                            <w:position w:val="-11"/>
                            <w:sz w:val="19"/>
                          </w:rPr>
                          <w:t>crecimiento</w:t>
                          <w:tab/>
                        </w:r>
                        <w:r>
                          <w:rPr>
                            <w:w w:val="90"/>
                            <w:sz w:val="19"/>
                          </w:rPr>
                          <w:t>1994-2011</w:t>
                        </w:r>
                        <w:r>
                          <w:rPr>
                            <w:spacing w:val="41"/>
                            <w:w w:val="90"/>
                            <w:sz w:val="19"/>
                          </w:rPr>
                          <w:t> </w:t>
                        </w:r>
                        <w:r>
                          <w:rPr>
                            <w:w w:val="90"/>
                            <w:position w:val="-11"/>
                            <w:sz w:val="19"/>
                          </w:rPr>
                          <w:t>crecimiento</w:t>
                        </w:r>
                      </w:p>
                    </w:tc>
                  </w:tr>
                  <w:tr>
                    <w:trPr>
                      <w:trHeight w:val="252" w:hRule="exact"/>
                    </w:trPr>
                    <w:tc>
                      <w:tcPr>
                        <w:tcW w:w="2191" w:type="dxa"/>
                        <w:gridSpan w:val="2"/>
                        <w:tcBorders>
                          <w:bottom w:val="double" w:sz="4" w:space="0" w:color="000000"/>
                        </w:tcBorders>
                      </w:tcPr>
                      <w:p>
                        <w:pPr/>
                      </w:p>
                    </w:tc>
                    <w:tc>
                      <w:tcPr>
                        <w:tcW w:w="705" w:type="dxa"/>
                        <w:tcBorders>
                          <w:bottom w:val="double" w:sz="4" w:space="0" w:color="000000"/>
                        </w:tcBorders>
                      </w:tcPr>
                      <w:p>
                        <w:pPr/>
                      </w:p>
                    </w:tc>
                    <w:tc>
                      <w:tcPr>
                        <w:tcW w:w="657" w:type="dxa"/>
                        <w:tcBorders>
                          <w:bottom w:val="double" w:sz="4" w:space="0" w:color="000000"/>
                        </w:tcBorders>
                      </w:tcPr>
                      <w:p>
                        <w:pPr/>
                      </w:p>
                    </w:tc>
                    <w:tc>
                      <w:tcPr>
                        <w:tcW w:w="1011" w:type="dxa"/>
                        <w:tcBorders>
                          <w:bottom w:val="double" w:sz="4" w:space="0" w:color="000000"/>
                        </w:tcBorders>
                      </w:tcPr>
                      <w:p>
                        <w:pPr/>
                      </w:p>
                    </w:tc>
                    <w:tc>
                      <w:tcPr>
                        <w:tcW w:w="1944" w:type="dxa"/>
                        <w:gridSpan w:val="2"/>
                        <w:tcBorders>
                          <w:bottom w:val="double" w:sz="4" w:space="0" w:color="000000"/>
                        </w:tcBorders>
                      </w:tcPr>
                      <w:p>
                        <w:pPr>
                          <w:pStyle w:val="TableParagraph"/>
                          <w:spacing w:line="204" w:lineRule="exact"/>
                          <w:ind w:left="112"/>
                          <w:jc w:val="left"/>
                          <w:rPr>
                            <w:sz w:val="19"/>
                          </w:rPr>
                        </w:pPr>
                        <w:r>
                          <w:rPr>
                            <w:w w:val="90"/>
                            <w:position w:val="-11"/>
                            <w:sz w:val="19"/>
                          </w:rPr>
                          <w:t>1994-2008  </w:t>
                        </w:r>
                        <w:r>
                          <w:rPr>
                            <w:w w:val="90"/>
                            <w:sz w:val="19"/>
                          </w:rPr>
                          <w:t>( por ciento)</w:t>
                        </w:r>
                      </w:p>
                    </w:tc>
                    <w:tc>
                      <w:tcPr>
                        <w:tcW w:w="869" w:type="dxa"/>
                        <w:tcBorders>
                          <w:bottom w:val="double" w:sz="4" w:space="0" w:color="000000"/>
                        </w:tcBorders>
                      </w:tcPr>
                      <w:p>
                        <w:pPr/>
                      </w:p>
                    </w:tc>
                    <w:tc>
                      <w:tcPr>
                        <w:tcW w:w="1151" w:type="dxa"/>
                        <w:tcBorders>
                          <w:bottom w:val="double" w:sz="4" w:space="0" w:color="000000"/>
                        </w:tcBorders>
                      </w:tcPr>
                      <w:p>
                        <w:pPr>
                          <w:pStyle w:val="TableParagraph"/>
                          <w:spacing w:line="199" w:lineRule="exact"/>
                          <w:ind w:left="109" w:right="-1"/>
                          <w:jc w:val="left"/>
                          <w:rPr>
                            <w:sz w:val="19"/>
                          </w:rPr>
                        </w:pPr>
                        <w:r>
                          <w:rPr>
                            <w:w w:val="95"/>
                            <w:sz w:val="19"/>
                          </w:rPr>
                          <w:t>1994-2011 </w:t>
                        </w:r>
                        <w:r>
                          <w:rPr>
                            <w:w w:val="95"/>
                            <w:position w:val="12"/>
                            <w:sz w:val="19"/>
                          </w:rPr>
                          <w:t>( p</w:t>
                        </w:r>
                      </w:p>
                    </w:tc>
                    <w:tc>
                      <w:tcPr>
                        <w:tcW w:w="720" w:type="dxa"/>
                        <w:tcBorders>
                          <w:bottom w:val="double" w:sz="4" w:space="0" w:color="000000"/>
                        </w:tcBorders>
                      </w:tcPr>
                      <w:p>
                        <w:pPr/>
                      </w:p>
                    </w:tc>
                    <w:tc>
                      <w:tcPr>
                        <w:tcW w:w="880" w:type="dxa"/>
                        <w:tcBorders>
                          <w:bottom w:val="double" w:sz="4" w:space="0" w:color="000000"/>
                        </w:tcBorders>
                      </w:tcPr>
                      <w:p>
                        <w:pPr>
                          <w:pStyle w:val="TableParagraph"/>
                          <w:spacing w:line="199" w:lineRule="exact"/>
                          <w:ind w:right="56"/>
                          <w:rPr>
                            <w:sz w:val="19"/>
                          </w:rPr>
                        </w:pPr>
                        <w:r>
                          <w:rPr>
                            <w:w w:val="85"/>
                            <w:sz w:val="19"/>
                          </w:rPr>
                          <w:t>2008-2011</w:t>
                        </w:r>
                      </w:p>
                    </w:tc>
                  </w:tr>
                  <w:tr>
                    <w:trPr>
                      <w:trHeight w:val="391" w:hRule="exact"/>
                    </w:trPr>
                    <w:tc>
                      <w:tcPr>
                        <w:tcW w:w="2191" w:type="dxa"/>
                        <w:gridSpan w:val="2"/>
                        <w:tcBorders>
                          <w:top w:val="double" w:sz="4" w:space="0" w:color="000000"/>
                        </w:tcBorders>
                      </w:tcPr>
                      <w:p>
                        <w:pPr>
                          <w:pStyle w:val="TableParagraph"/>
                          <w:tabs>
                            <w:tab w:pos="1570" w:val="left" w:leader="none"/>
                          </w:tabs>
                          <w:spacing w:before="77"/>
                          <w:ind w:left="59"/>
                          <w:jc w:val="left"/>
                          <w:rPr>
                            <w:sz w:val="19"/>
                          </w:rPr>
                        </w:pPr>
                        <w:r>
                          <w:rPr>
                            <w:w w:val="90"/>
                            <w:sz w:val="19"/>
                          </w:rPr>
                          <w:t>Población</w:t>
                        </w:r>
                        <w:r>
                          <w:rPr>
                            <w:spacing w:val="-15"/>
                            <w:w w:val="90"/>
                            <w:sz w:val="19"/>
                          </w:rPr>
                          <w:t> </w:t>
                        </w:r>
                        <w:r>
                          <w:rPr>
                            <w:w w:val="90"/>
                            <w:sz w:val="19"/>
                          </w:rPr>
                          <w:t>ocupada</w:t>
                          <w:tab/>
                          <w:t>138</w:t>
                        </w:r>
                        <w:r>
                          <w:rPr>
                            <w:spacing w:val="-21"/>
                            <w:w w:val="90"/>
                            <w:sz w:val="19"/>
                          </w:rPr>
                          <w:t> </w:t>
                        </w:r>
                        <w:r>
                          <w:rPr>
                            <w:w w:val="90"/>
                            <w:sz w:val="19"/>
                          </w:rPr>
                          <w:t>523</w:t>
                        </w:r>
                      </w:p>
                    </w:tc>
                    <w:tc>
                      <w:tcPr>
                        <w:tcW w:w="705" w:type="dxa"/>
                        <w:tcBorders>
                          <w:top w:val="double" w:sz="4" w:space="0" w:color="000000"/>
                        </w:tcBorders>
                      </w:tcPr>
                      <w:p>
                        <w:pPr>
                          <w:pStyle w:val="TableParagraph"/>
                          <w:spacing w:before="77"/>
                          <w:ind w:right="82"/>
                          <w:rPr>
                            <w:sz w:val="19"/>
                          </w:rPr>
                        </w:pPr>
                        <w:r>
                          <w:rPr>
                            <w:w w:val="90"/>
                            <w:sz w:val="19"/>
                          </w:rPr>
                          <w:t>120 383</w:t>
                        </w:r>
                      </w:p>
                    </w:tc>
                    <w:tc>
                      <w:tcPr>
                        <w:tcW w:w="657" w:type="dxa"/>
                        <w:tcBorders>
                          <w:top w:val="double" w:sz="4" w:space="0" w:color="000000"/>
                        </w:tcBorders>
                      </w:tcPr>
                      <w:p>
                        <w:pPr>
                          <w:pStyle w:val="TableParagraph"/>
                          <w:spacing w:before="77"/>
                          <w:ind w:right="33"/>
                          <w:rPr>
                            <w:sz w:val="19"/>
                          </w:rPr>
                        </w:pPr>
                        <w:r>
                          <w:rPr>
                            <w:w w:val="90"/>
                            <w:sz w:val="19"/>
                          </w:rPr>
                          <w:t>145 013</w:t>
                        </w:r>
                      </w:p>
                    </w:tc>
                    <w:tc>
                      <w:tcPr>
                        <w:tcW w:w="1011" w:type="dxa"/>
                        <w:tcBorders>
                          <w:top w:val="double" w:sz="4" w:space="0" w:color="000000"/>
                        </w:tcBorders>
                      </w:tcPr>
                      <w:p>
                        <w:pPr>
                          <w:pStyle w:val="TableParagraph"/>
                          <w:spacing w:before="77"/>
                          <w:ind w:right="110"/>
                          <w:rPr>
                            <w:sz w:val="19"/>
                          </w:rPr>
                        </w:pPr>
                        <w:r>
                          <w:rPr>
                            <w:w w:val="85"/>
                            <w:sz w:val="19"/>
                          </w:rPr>
                          <w:t>1.3</w:t>
                        </w:r>
                      </w:p>
                    </w:tc>
                    <w:tc>
                      <w:tcPr>
                        <w:tcW w:w="1151" w:type="dxa"/>
                        <w:tcBorders>
                          <w:top w:val="double" w:sz="4" w:space="0" w:color="000000"/>
                        </w:tcBorders>
                      </w:tcPr>
                      <w:p>
                        <w:pPr>
                          <w:pStyle w:val="TableParagraph"/>
                          <w:spacing w:before="77"/>
                          <w:ind w:right="321"/>
                          <w:rPr>
                            <w:sz w:val="19"/>
                          </w:rPr>
                        </w:pPr>
                        <w:r>
                          <w:rPr>
                            <w:w w:val="85"/>
                            <w:sz w:val="19"/>
                          </w:rPr>
                          <w:t>1.3</w:t>
                        </w:r>
                      </w:p>
                    </w:tc>
                    <w:tc>
                      <w:tcPr>
                        <w:tcW w:w="793" w:type="dxa"/>
                        <w:tcBorders>
                          <w:top w:val="double" w:sz="4" w:space="0" w:color="000000"/>
                        </w:tcBorders>
                      </w:tcPr>
                      <w:p>
                        <w:pPr>
                          <w:pStyle w:val="TableParagraph"/>
                          <w:spacing w:before="77"/>
                          <w:ind w:right="178"/>
                          <w:rPr>
                            <w:sz w:val="19"/>
                          </w:rPr>
                        </w:pPr>
                        <w:r>
                          <w:rPr>
                            <w:w w:val="85"/>
                            <w:sz w:val="19"/>
                          </w:rPr>
                          <w:t>100</w:t>
                        </w:r>
                      </w:p>
                    </w:tc>
                    <w:tc>
                      <w:tcPr>
                        <w:tcW w:w="869" w:type="dxa"/>
                        <w:tcBorders>
                          <w:top w:val="double" w:sz="4" w:space="0" w:color="000000"/>
                        </w:tcBorders>
                      </w:tcPr>
                      <w:p>
                        <w:pPr>
                          <w:pStyle w:val="TableParagraph"/>
                          <w:spacing w:before="77"/>
                          <w:ind w:left="233" w:right="39"/>
                          <w:jc w:val="center"/>
                          <w:rPr>
                            <w:sz w:val="19"/>
                          </w:rPr>
                        </w:pPr>
                        <w:r>
                          <w:rPr>
                            <w:w w:val="95"/>
                            <w:sz w:val="19"/>
                          </w:rPr>
                          <w:t>18,140</w:t>
                        </w:r>
                      </w:p>
                    </w:tc>
                    <w:tc>
                      <w:tcPr>
                        <w:tcW w:w="1151" w:type="dxa"/>
                        <w:tcBorders>
                          <w:top w:val="double" w:sz="4" w:space="0" w:color="000000"/>
                        </w:tcBorders>
                      </w:tcPr>
                      <w:p>
                        <w:pPr>
                          <w:pStyle w:val="TableParagraph"/>
                          <w:spacing w:before="77"/>
                          <w:ind w:left="619" w:right="-1"/>
                          <w:jc w:val="left"/>
                          <w:rPr>
                            <w:sz w:val="19"/>
                          </w:rPr>
                        </w:pPr>
                        <w:r>
                          <w:rPr>
                            <w:w w:val="95"/>
                            <w:sz w:val="19"/>
                          </w:rPr>
                          <w:t>0.8</w:t>
                        </w:r>
                      </w:p>
                    </w:tc>
                    <w:tc>
                      <w:tcPr>
                        <w:tcW w:w="720" w:type="dxa"/>
                        <w:tcBorders>
                          <w:top w:val="double" w:sz="4" w:space="0" w:color="000000"/>
                        </w:tcBorders>
                      </w:tcPr>
                      <w:p>
                        <w:pPr>
                          <w:pStyle w:val="TableParagraph"/>
                          <w:spacing w:before="77"/>
                          <w:ind w:right="103"/>
                          <w:rPr>
                            <w:sz w:val="19"/>
                          </w:rPr>
                        </w:pPr>
                        <w:r>
                          <w:rPr>
                            <w:w w:val="85"/>
                            <w:sz w:val="19"/>
                          </w:rPr>
                          <w:t>100</w:t>
                        </w:r>
                      </w:p>
                    </w:tc>
                    <w:tc>
                      <w:tcPr>
                        <w:tcW w:w="880" w:type="dxa"/>
                        <w:tcBorders>
                          <w:top w:val="double" w:sz="4" w:space="0" w:color="000000"/>
                        </w:tcBorders>
                      </w:tcPr>
                      <w:p>
                        <w:pPr>
                          <w:pStyle w:val="TableParagraph"/>
                          <w:spacing w:before="77"/>
                          <w:ind w:right="57"/>
                          <w:rPr>
                            <w:sz w:val="19"/>
                          </w:rPr>
                        </w:pPr>
                        <w:r>
                          <w:rPr>
                            <w:w w:val="85"/>
                            <w:sz w:val="19"/>
                          </w:rPr>
                          <w:t>-1.5</w:t>
                        </w:r>
                      </w:p>
                    </w:tc>
                  </w:tr>
                  <w:tr>
                    <w:trPr>
                      <w:trHeight w:val="398" w:hRule="exact"/>
                    </w:trPr>
                    <w:tc>
                      <w:tcPr>
                        <w:tcW w:w="2191" w:type="dxa"/>
                        <w:gridSpan w:val="2"/>
                      </w:tcPr>
                      <w:p>
                        <w:pPr>
                          <w:pStyle w:val="TableParagraph"/>
                          <w:spacing w:line="124" w:lineRule="exact"/>
                          <w:ind w:left="59"/>
                          <w:jc w:val="left"/>
                          <w:rPr>
                            <w:sz w:val="19"/>
                          </w:rPr>
                        </w:pPr>
                        <w:r>
                          <w:rPr>
                            <w:w w:val="85"/>
                            <w:sz w:val="19"/>
                          </w:rPr>
                          <w:t>Población ocupada</w:t>
                        </w:r>
                      </w:p>
                      <w:p>
                        <w:pPr>
                          <w:pStyle w:val="TableParagraph"/>
                          <w:tabs>
                            <w:tab w:pos="1570" w:val="left" w:leader="none"/>
                          </w:tabs>
                          <w:spacing w:line="290" w:lineRule="exact"/>
                          <w:ind w:left="59"/>
                          <w:jc w:val="left"/>
                          <w:rPr>
                            <w:sz w:val="19"/>
                          </w:rPr>
                        </w:pPr>
                        <w:r>
                          <w:rPr>
                            <w:w w:val="95"/>
                            <w:position w:val="-12"/>
                            <w:sz w:val="19"/>
                          </w:rPr>
                          <w:t>nativa</w:t>
                          <w:tab/>
                        </w:r>
                        <w:r>
                          <w:rPr>
                            <w:w w:val="90"/>
                            <w:sz w:val="19"/>
                          </w:rPr>
                          <w:t>115</w:t>
                        </w:r>
                        <w:r>
                          <w:rPr>
                            <w:spacing w:val="-21"/>
                            <w:w w:val="90"/>
                            <w:sz w:val="19"/>
                          </w:rPr>
                          <w:t> </w:t>
                        </w:r>
                        <w:r>
                          <w:rPr>
                            <w:w w:val="90"/>
                            <w:sz w:val="19"/>
                          </w:rPr>
                          <w:t>443</w:t>
                        </w:r>
                      </w:p>
                    </w:tc>
                    <w:tc>
                      <w:tcPr>
                        <w:tcW w:w="705" w:type="dxa"/>
                      </w:tcPr>
                      <w:p>
                        <w:pPr>
                          <w:pStyle w:val="TableParagraph"/>
                          <w:spacing w:before="65"/>
                          <w:ind w:right="82"/>
                          <w:rPr>
                            <w:sz w:val="19"/>
                          </w:rPr>
                        </w:pPr>
                        <w:r>
                          <w:rPr>
                            <w:w w:val="90"/>
                            <w:sz w:val="19"/>
                          </w:rPr>
                          <w:t>107 416</w:t>
                        </w:r>
                      </w:p>
                    </w:tc>
                    <w:tc>
                      <w:tcPr>
                        <w:tcW w:w="657" w:type="dxa"/>
                      </w:tcPr>
                      <w:p>
                        <w:pPr>
                          <w:pStyle w:val="TableParagraph"/>
                          <w:spacing w:before="65"/>
                          <w:ind w:right="33"/>
                          <w:rPr>
                            <w:sz w:val="19"/>
                          </w:rPr>
                        </w:pPr>
                        <w:r>
                          <w:rPr>
                            <w:w w:val="90"/>
                            <w:sz w:val="19"/>
                          </w:rPr>
                          <w:t>121 405</w:t>
                        </w:r>
                      </w:p>
                    </w:tc>
                    <w:tc>
                      <w:tcPr>
                        <w:tcW w:w="1011" w:type="dxa"/>
                      </w:tcPr>
                      <w:p>
                        <w:pPr>
                          <w:pStyle w:val="TableParagraph"/>
                          <w:spacing w:before="65"/>
                          <w:ind w:right="110"/>
                          <w:rPr>
                            <w:sz w:val="19"/>
                          </w:rPr>
                        </w:pPr>
                        <w:r>
                          <w:rPr>
                            <w:w w:val="85"/>
                            <w:sz w:val="19"/>
                          </w:rPr>
                          <w:t>0.9</w:t>
                        </w:r>
                      </w:p>
                    </w:tc>
                    <w:tc>
                      <w:tcPr>
                        <w:tcW w:w="1151" w:type="dxa"/>
                      </w:tcPr>
                      <w:p>
                        <w:pPr>
                          <w:pStyle w:val="TableParagraph"/>
                          <w:spacing w:before="65"/>
                          <w:ind w:right="321"/>
                          <w:rPr>
                            <w:sz w:val="19"/>
                          </w:rPr>
                        </w:pPr>
                        <w:r>
                          <w:rPr>
                            <w:w w:val="85"/>
                            <w:sz w:val="19"/>
                          </w:rPr>
                          <w:t>0.9</w:t>
                        </w:r>
                      </w:p>
                    </w:tc>
                    <w:tc>
                      <w:tcPr>
                        <w:tcW w:w="793" w:type="dxa"/>
                      </w:tcPr>
                      <w:p>
                        <w:pPr>
                          <w:pStyle w:val="TableParagraph"/>
                          <w:spacing w:before="65"/>
                          <w:ind w:right="180"/>
                          <w:rPr>
                            <w:sz w:val="19"/>
                          </w:rPr>
                        </w:pPr>
                        <w:r>
                          <w:rPr>
                            <w:w w:val="85"/>
                            <w:sz w:val="19"/>
                          </w:rPr>
                          <w:t>56.8</w:t>
                        </w:r>
                      </w:p>
                    </w:tc>
                    <w:tc>
                      <w:tcPr>
                        <w:tcW w:w="869" w:type="dxa"/>
                      </w:tcPr>
                      <w:p>
                        <w:pPr>
                          <w:pStyle w:val="TableParagraph"/>
                          <w:spacing w:before="65"/>
                          <w:ind w:left="221" w:right="69"/>
                          <w:jc w:val="center"/>
                          <w:rPr>
                            <w:sz w:val="19"/>
                          </w:rPr>
                        </w:pPr>
                        <w:r>
                          <w:rPr>
                            <w:w w:val="90"/>
                            <w:sz w:val="19"/>
                          </w:rPr>
                          <w:t>8 026.0</w:t>
                        </w:r>
                      </w:p>
                    </w:tc>
                    <w:tc>
                      <w:tcPr>
                        <w:tcW w:w="1151" w:type="dxa"/>
                      </w:tcPr>
                      <w:p>
                        <w:pPr>
                          <w:pStyle w:val="TableParagraph"/>
                          <w:spacing w:before="65"/>
                          <w:ind w:left="619" w:right="-1"/>
                          <w:jc w:val="left"/>
                          <w:rPr>
                            <w:sz w:val="19"/>
                          </w:rPr>
                        </w:pPr>
                        <w:r>
                          <w:rPr>
                            <w:w w:val="95"/>
                            <w:sz w:val="19"/>
                          </w:rPr>
                          <w:t>0.4</w:t>
                        </w:r>
                      </w:p>
                    </w:tc>
                    <w:tc>
                      <w:tcPr>
                        <w:tcW w:w="720" w:type="dxa"/>
                      </w:tcPr>
                      <w:p>
                        <w:pPr>
                          <w:pStyle w:val="TableParagraph"/>
                          <w:spacing w:before="65"/>
                          <w:ind w:right="105"/>
                          <w:rPr>
                            <w:sz w:val="19"/>
                          </w:rPr>
                        </w:pPr>
                        <w:r>
                          <w:rPr>
                            <w:w w:val="85"/>
                            <w:sz w:val="19"/>
                          </w:rPr>
                          <w:t>44.2</w:t>
                        </w:r>
                      </w:p>
                    </w:tc>
                    <w:tc>
                      <w:tcPr>
                        <w:tcW w:w="880" w:type="dxa"/>
                      </w:tcPr>
                      <w:p>
                        <w:pPr>
                          <w:pStyle w:val="TableParagraph"/>
                          <w:spacing w:before="65"/>
                          <w:ind w:right="57"/>
                          <w:rPr>
                            <w:sz w:val="19"/>
                          </w:rPr>
                        </w:pPr>
                        <w:r>
                          <w:rPr>
                            <w:w w:val="85"/>
                            <w:sz w:val="19"/>
                          </w:rPr>
                          <w:t>-1.7</w:t>
                        </w:r>
                      </w:p>
                    </w:tc>
                  </w:tr>
                  <w:tr>
                    <w:trPr>
                      <w:trHeight w:val="365" w:hRule="exact"/>
                    </w:trPr>
                    <w:tc>
                      <w:tcPr>
                        <w:tcW w:w="2191" w:type="dxa"/>
                        <w:gridSpan w:val="2"/>
                      </w:tcPr>
                      <w:p>
                        <w:pPr>
                          <w:pStyle w:val="TableParagraph"/>
                          <w:tabs>
                            <w:tab w:pos="1736" w:val="left" w:leader="none"/>
                          </w:tabs>
                          <w:spacing w:before="98"/>
                          <w:ind w:left="59"/>
                          <w:jc w:val="left"/>
                          <w:rPr>
                            <w:sz w:val="19"/>
                          </w:rPr>
                        </w:pPr>
                        <w:r>
                          <w:rPr>
                            <w:w w:val="90"/>
                            <w:sz w:val="19"/>
                          </w:rPr>
                          <w:t>México-Americana</w:t>
                          <w:tab/>
                          <w:t>6</w:t>
                        </w:r>
                        <w:r>
                          <w:rPr>
                            <w:spacing w:val="-15"/>
                            <w:w w:val="90"/>
                            <w:sz w:val="19"/>
                          </w:rPr>
                          <w:t> </w:t>
                        </w:r>
                        <w:r>
                          <w:rPr>
                            <w:w w:val="90"/>
                            <w:sz w:val="19"/>
                          </w:rPr>
                          <w:t>021</w:t>
                        </w:r>
                      </w:p>
                    </w:tc>
                    <w:tc>
                      <w:tcPr>
                        <w:tcW w:w="705" w:type="dxa"/>
                      </w:tcPr>
                      <w:p>
                        <w:pPr>
                          <w:pStyle w:val="TableParagraph"/>
                          <w:spacing w:before="98"/>
                          <w:ind w:right="82"/>
                          <w:rPr>
                            <w:sz w:val="19"/>
                          </w:rPr>
                        </w:pPr>
                        <w:r>
                          <w:rPr>
                            <w:w w:val="90"/>
                            <w:sz w:val="19"/>
                          </w:rPr>
                          <w:t>3 409</w:t>
                        </w:r>
                      </w:p>
                    </w:tc>
                    <w:tc>
                      <w:tcPr>
                        <w:tcW w:w="657" w:type="dxa"/>
                      </w:tcPr>
                      <w:p>
                        <w:pPr>
                          <w:pStyle w:val="TableParagraph"/>
                          <w:spacing w:before="98"/>
                          <w:ind w:right="33"/>
                          <w:rPr>
                            <w:sz w:val="19"/>
                          </w:rPr>
                        </w:pPr>
                        <w:r>
                          <w:rPr>
                            <w:w w:val="90"/>
                            <w:sz w:val="19"/>
                          </w:rPr>
                          <w:t>5 985</w:t>
                        </w:r>
                      </w:p>
                    </w:tc>
                    <w:tc>
                      <w:tcPr>
                        <w:tcW w:w="1011" w:type="dxa"/>
                      </w:tcPr>
                      <w:p>
                        <w:pPr>
                          <w:pStyle w:val="TableParagraph"/>
                          <w:spacing w:before="98"/>
                          <w:ind w:right="110"/>
                          <w:rPr>
                            <w:sz w:val="19"/>
                          </w:rPr>
                        </w:pPr>
                        <w:r>
                          <w:rPr>
                            <w:w w:val="85"/>
                            <w:sz w:val="19"/>
                          </w:rPr>
                          <w:t>4.1</w:t>
                        </w:r>
                      </w:p>
                    </w:tc>
                    <w:tc>
                      <w:tcPr>
                        <w:tcW w:w="1151" w:type="dxa"/>
                      </w:tcPr>
                      <w:p>
                        <w:pPr>
                          <w:pStyle w:val="TableParagraph"/>
                          <w:spacing w:before="98"/>
                          <w:ind w:right="321"/>
                          <w:rPr>
                            <w:sz w:val="19"/>
                          </w:rPr>
                        </w:pPr>
                        <w:r>
                          <w:rPr>
                            <w:w w:val="85"/>
                            <w:sz w:val="19"/>
                          </w:rPr>
                          <w:t>4.1</w:t>
                        </w:r>
                      </w:p>
                    </w:tc>
                    <w:tc>
                      <w:tcPr>
                        <w:tcW w:w="793" w:type="dxa"/>
                      </w:tcPr>
                      <w:p>
                        <w:pPr>
                          <w:pStyle w:val="TableParagraph"/>
                          <w:spacing w:before="98"/>
                          <w:ind w:right="180"/>
                          <w:rPr>
                            <w:sz w:val="19"/>
                          </w:rPr>
                        </w:pPr>
                        <w:r>
                          <w:rPr>
                            <w:w w:val="85"/>
                            <w:sz w:val="19"/>
                          </w:rPr>
                          <w:t>10.5</w:t>
                        </w:r>
                      </w:p>
                    </w:tc>
                    <w:tc>
                      <w:tcPr>
                        <w:tcW w:w="869" w:type="dxa"/>
                      </w:tcPr>
                      <w:p>
                        <w:pPr>
                          <w:pStyle w:val="TableParagraph"/>
                          <w:spacing w:before="98"/>
                          <w:ind w:left="221" w:right="69"/>
                          <w:jc w:val="center"/>
                          <w:rPr>
                            <w:sz w:val="19"/>
                          </w:rPr>
                        </w:pPr>
                        <w:r>
                          <w:rPr>
                            <w:w w:val="90"/>
                            <w:sz w:val="19"/>
                          </w:rPr>
                          <w:t>2 611.0</w:t>
                        </w:r>
                      </w:p>
                    </w:tc>
                    <w:tc>
                      <w:tcPr>
                        <w:tcW w:w="1151" w:type="dxa"/>
                      </w:tcPr>
                      <w:p>
                        <w:pPr>
                          <w:pStyle w:val="TableParagraph"/>
                          <w:spacing w:before="98"/>
                          <w:ind w:left="619" w:right="-1"/>
                          <w:jc w:val="left"/>
                          <w:rPr>
                            <w:sz w:val="19"/>
                          </w:rPr>
                        </w:pPr>
                        <w:r>
                          <w:rPr>
                            <w:w w:val="95"/>
                            <w:sz w:val="19"/>
                          </w:rPr>
                          <w:t>3.4</w:t>
                        </w:r>
                      </w:p>
                    </w:tc>
                    <w:tc>
                      <w:tcPr>
                        <w:tcW w:w="720" w:type="dxa"/>
                      </w:tcPr>
                      <w:p>
                        <w:pPr>
                          <w:pStyle w:val="TableParagraph"/>
                          <w:spacing w:before="98"/>
                          <w:ind w:right="105"/>
                          <w:rPr>
                            <w:sz w:val="19"/>
                          </w:rPr>
                        </w:pPr>
                        <w:r>
                          <w:rPr>
                            <w:w w:val="85"/>
                            <w:sz w:val="19"/>
                          </w:rPr>
                          <w:t>14.4</w:t>
                        </w:r>
                      </w:p>
                    </w:tc>
                    <w:tc>
                      <w:tcPr>
                        <w:tcW w:w="880" w:type="dxa"/>
                      </w:tcPr>
                      <w:p>
                        <w:pPr>
                          <w:pStyle w:val="TableParagraph"/>
                          <w:spacing w:before="98"/>
                          <w:ind w:right="57"/>
                          <w:rPr>
                            <w:sz w:val="19"/>
                          </w:rPr>
                        </w:pPr>
                        <w:r>
                          <w:rPr>
                            <w:w w:val="85"/>
                            <w:sz w:val="19"/>
                          </w:rPr>
                          <w:t>0.2</w:t>
                        </w:r>
                      </w:p>
                    </w:tc>
                  </w:tr>
                  <w:tr>
                    <w:trPr>
                      <w:trHeight w:val="331" w:hRule="exact"/>
                    </w:trPr>
                    <w:tc>
                      <w:tcPr>
                        <w:tcW w:w="2191" w:type="dxa"/>
                        <w:gridSpan w:val="2"/>
                      </w:tcPr>
                      <w:p>
                        <w:pPr>
                          <w:pStyle w:val="TableParagraph"/>
                          <w:tabs>
                            <w:tab w:pos="1570" w:val="left" w:leader="none"/>
                          </w:tabs>
                          <w:spacing w:before="31"/>
                          <w:ind w:left="59"/>
                          <w:jc w:val="left"/>
                          <w:rPr>
                            <w:sz w:val="19"/>
                          </w:rPr>
                        </w:pPr>
                        <w:r>
                          <w:rPr>
                            <w:w w:val="95"/>
                            <w:sz w:val="19"/>
                          </w:rPr>
                          <w:t>Otros</w:t>
                        </w:r>
                        <w:r>
                          <w:rPr>
                            <w:spacing w:val="-28"/>
                            <w:w w:val="95"/>
                            <w:sz w:val="19"/>
                          </w:rPr>
                          <w:t> </w:t>
                        </w:r>
                        <w:r>
                          <w:rPr>
                            <w:w w:val="95"/>
                            <w:sz w:val="19"/>
                          </w:rPr>
                          <w:t>nativos</w:t>
                          <w:tab/>
                        </w:r>
                        <w:r>
                          <w:rPr>
                            <w:w w:val="90"/>
                            <w:sz w:val="19"/>
                          </w:rPr>
                          <w:t>109</w:t>
                        </w:r>
                        <w:r>
                          <w:rPr>
                            <w:spacing w:val="-21"/>
                            <w:w w:val="90"/>
                            <w:sz w:val="19"/>
                          </w:rPr>
                          <w:t> </w:t>
                        </w:r>
                        <w:r>
                          <w:rPr>
                            <w:w w:val="90"/>
                            <w:sz w:val="19"/>
                          </w:rPr>
                          <w:t>422</w:t>
                        </w:r>
                      </w:p>
                    </w:tc>
                    <w:tc>
                      <w:tcPr>
                        <w:tcW w:w="705" w:type="dxa"/>
                      </w:tcPr>
                      <w:p>
                        <w:pPr>
                          <w:pStyle w:val="TableParagraph"/>
                          <w:spacing w:before="31"/>
                          <w:ind w:right="82"/>
                          <w:rPr>
                            <w:sz w:val="19"/>
                          </w:rPr>
                        </w:pPr>
                        <w:r>
                          <w:rPr>
                            <w:w w:val="90"/>
                            <w:sz w:val="19"/>
                          </w:rPr>
                          <w:t>104 007</w:t>
                        </w:r>
                      </w:p>
                    </w:tc>
                    <w:tc>
                      <w:tcPr>
                        <w:tcW w:w="657" w:type="dxa"/>
                      </w:tcPr>
                      <w:p>
                        <w:pPr>
                          <w:pStyle w:val="TableParagraph"/>
                          <w:spacing w:before="31"/>
                          <w:ind w:right="33"/>
                          <w:rPr>
                            <w:sz w:val="19"/>
                          </w:rPr>
                        </w:pPr>
                        <w:r>
                          <w:rPr>
                            <w:w w:val="90"/>
                            <w:sz w:val="19"/>
                          </w:rPr>
                          <w:t>115 419</w:t>
                        </w:r>
                      </w:p>
                    </w:tc>
                    <w:tc>
                      <w:tcPr>
                        <w:tcW w:w="1011" w:type="dxa"/>
                      </w:tcPr>
                      <w:p>
                        <w:pPr>
                          <w:pStyle w:val="TableParagraph"/>
                          <w:spacing w:before="31"/>
                          <w:ind w:right="110"/>
                          <w:rPr>
                            <w:sz w:val="19"/>
                          </w:rPr>
                        </w:pPr>
                        <w:r>
                          <w:rPr>
                            <w:w w:val="85"/>
                            <w:sz w:val="19"/>
                          </w:rPr>
                          <w:t>0.7</w:t>
                        </w:r>
                      </w:p>
                    </w:tc>
                    <w:tc>
                      <w:tcPr>
                        <w:tcW w:w="1151" w:type="dxa"/>
                      </w:tcPr>
                      <w:p>
                        <w:pPr>
                          <w:pStyle w:val="TableParagraph"/>
                          <w:spacing w:before="31"/>
                          <w:ind w:right="321"/>
                          <w:rPr>
                            <w:sz w:val="19"/>
                          </w:rPr>
                        </w:pPr>
                        <w:r>
                          <w:rPr>
                            <w:w w:val="85"/>
                            <w:sz w:val="19"/>
                          </w:rPr>
                          <w:t>0.7</w:t>
                        </w:r>
                      </w:p>
                    </w:tc>
                    <w:tc>
                      <w:tcPr>
                        <w:tcW w:w="793" w:type="dxa"/>
                      </w:tcPr>
                      <w:p>
                        <w:pPr>
                          <w:pStyle w:val="TableParagraph"/>
                          <w:spacing w:before="31"/>
                          <w:ind w:right="180"/>
                          <w:rPr>
                            <w:sz w:val="19"/>
                          </w:rPr>
                        </w:pPr>
                        <w:r>
                          <w:rPr>
                            <w:w w:val="85"/>
                            <w:sz w:val="19"/>
                          </w:rPr>
                          <w:t>46.3</w:t>
                        </w:r>
                      </w:p>
                    </w:tc>
                    <w:tc>
                      <w:tcPr>
                        <w:tcW w:w="869" w:type="dxa"/>
                      </w:tcPr>
                      <w:p>
                        <w:pPr>
                          <w:pStyle w:val="TableParagraph"/>
                          <w:spacing w:before="31"/>
                          <w:ind w:left="221" w:right="69"/>
                          <w:jc w:val="center"/>
                          <w:rPr>
                            <w:sz w:val="19"/>
                          </w:rPr>
                        </w:pPr>
                        <w:r>
                          <w:rPr>
                            <w:w w:val="90"/>
                            <w:sz w:val="19"/>
                          </w:rPr>
                          <w:t>5 415.0</w:t>
                        </w:r>
                      </w:p>
                    </w:tc>
                    <w:tc>
                      <w:tcPr>
                        <w:tcW w:w="1151" w:type="dxa"/>
                      </w:tcPr>
                      <w:p>
                        <w:pPr>
                          <w:pStyle w:val="TableParagraph"/>
                          <w:spacing w:before="31"/>
                          <w:ind w:left="619" w:right="-1"/>
                          <w:jc w:val="left"/>
                          <w:rPr>
                            <w:sz w:val="19"/>
                          </w:rPr>
                        </w:pPr>
                        <w:r>
                          <w:rPr>
                            <w:w w:val="95"/>
                            <w:sz w:val="19"/>
                          </w:rPr>
                          <w:t>0.3</w:t>
                        </w:r>
                      </w:p>
                    </w:tc>
                    <w:tc>
                      <w:tcPr>
                        <w:tcW w:w="720" w:type="dxa"/>
                      </w:tcPr>
                      <w:p>
                        <w:pPr>
                          <w:pStyle w:val="TableParagraph"/>
                          <w:spacing w:before="31"/>
                          <w:ind w:right="105"/>
                          <w:rPr>
                            <w:sz w:val="19"/>
                          </w:rPr>
                        </w:pPr>
                        <w:r>
                          <w:rPr>
                            <w:w w:val="85"/>
                            <w:sz w:val="19"/>
                          </w:rPr>
                          <w:t>29.9</w:t>
                        </w:r>
                      </w:p>
                    </w:tc>
                    <w:tc>
                      <w:tcPr>
                        <w:tcW w:w="880" w:type="dxa"/>
                      </w:tcPr>
                      <w:p>
                        <w:pPr>
                          <w:pStyle w:val="TableParagraph"/>
                          <w:spacing w:before="31"/>
                          <w:ind w:right="57"/>
                          <w:rPr>
                            <w:sz w:val="19"/>
                          </w:rPr>
                        </w:pPr>
                        <w:r>
                          <w:rPr>
                            <w:w w:val="85"/>
                            <w:sz w:val="19"/>
                          </w:rPr>
                          <w:t>-1.8</w:t>
                        </w:r>
                      </w:p>
                    </w:tc>
                  </w:tr>
                  <w:tr>
                    <w:trPr>
                      <w:trHeight w:val="398" w:hRule="exact"/>
                    </w:trPr>
                    <w:tc>
                      <w:tcPr>
                        <w:tcW w:w="2191" w:type="dxa"/>
                        <w:gridSpan w:val="2"/>
                      </w:tcPr>
                      <w:p>
                        <w:pPr>
                          <w:pStyle w:val="TableParagraph"/>
                          <w:spacing w:line="126" w:lineRule="exact"/>
                          <w:ind w:left="59"/>
                          <w:jc w:val="left"/>
                          <w:rPr>
                            <w:sz w:val="19"/>
                          </w:rPr>
                        </w:pPr>
                        <w:r>
                          <w:rPr>
                            <w:w w:val="85"/>
                            <w:sz w:val="19"/>
                          </w:rPr>
                          <w:t>Población ocupada</w:t>
                        </w:r>
                      </w:p>
                      <w:p>
                        <w:pPr>
                          <w:pStyle w:val="TableParagraph"/>
                          <w:tabs>
                            <w:tab w:pos="1653" w:val="left" w:leader="none"/>
                          </w:tabs>
                          <w:spacing w:line="287" w:lineRule="exact"/>
                          <w:ind w:left="59"/>
                          <w:jc w:val="left"/>
                          <w:rPr>
                            <w:sz w:val="19"/>
                          </w:rPr>
                        </w:pPr>
                        <w:r>
                          <w:rPr>
                            <w:w w:val="95"/>
                            <w:sz w:val="19"/>
                          </w:rPr>
                          <w:t>migrante</w:t>
                          <w:tab/>
                        </w:r>
                        <w:r>
                          <w:rPr>
                            <w:w w:val="90"/>
                            <w:position w:val="13"/>
                            <w:sz w:val="19"/>
                          </w:rPr>
                          <w:t>23</w:t>
                        </w:r>
                        <w:r>
                          <w:rPr>
                            <w:spacing w:val="-18"/>
                            <w:w w:val="90"/>
                            <w:position w:val="13"/>
                            <w:sz w:val="19"/>
                          </w:rPr>
                          <w:t> </w:t>
                        </w:r>
                        <w:r>
                          <w:rPr>
                            <w:w w:val="90"/>
                            <w:position w:val="13"/>
                            <w:sz w:val="19"/>
                          </w:rPr>
                          <w:t>080</w:t>
                        </w:r>
                      </w:p>
                    </w:tc>
                    <w:tc>
                      <w:tcPr>
                        <w:tcW w:w="705" w:type="dxa"/>
                      </w:tcPr>
                      <w:p>
                        <w:pPr>
                          <w:pStyle w:val="TableParagraph"/>
                          <w:spacing w:before="65"/>
                          <w:ind w:right="82"/>
                          <w:rPr>
                            <w:sz w:val="19"/>
                          </w:rPr>
                        </w:pPr>
                        <w:r>
                          <w:rPr>
                            <w:w w:val="90"/>
                            <w:sz w:val="19"/>
                          </w:rPr>
                          <w:t>12 967</w:t>
                        </w:r>
                      </w:p>
                    </w:tc>
                    <w:tc>
                      <w:tcPr>
                        <w:tcW w:w="657" w:type="dxa"/>
                      </w:tcPr>
                      <w:p>
                        <w:pPr>
                          <w:pStyle w:val="TableParagraph"/>
                          <w:spacing w:before="65"/>
                          <w:ind w:right="33"/>
                          <w:rPr>
                            <w:sz w:val="19"/>
                          </w:rPr>
                        </w:pPr>
                        <w:r>
                          <w:rPr>
                            <w:w w:val="90"/>
                            <w:sz w:val="19"/>
                          </w:rPr>
                          <w:t>23 608</w:t>
                        </w:r>
                      </w:p>
                    </w:tc>
                    <w:tc>
                      <w:tcPr>
                        <w:tcW w:w="1011" w:type="dxa"/>
                      </w:tcPr>
                      <w:p>
                        <w:pPr>
                          <w:pStyle w:val="TableParagraph"/>
                          <w:spacing w:before="65"/>
                          <w:ind w:right="110"/>
                          <w:rPr>
                            <w:sz w:val="19"/>
                          </w:rPr>
                        </w:pPr>
                        <w:r>
                          <w:rPr>
                            <w:w w:val="85"/>
                            <w:sz w:val="19"/>
                          </w:rPr>
                          <w:t>4.4</w:t>
                        </w:r>
                      </w:p>
                    </w:tc>
                    <w:tc>
                      <w:tcPr>
                        <w:tcW w:w="1151" w:type="dxa"/>
                      </w:tcPr>
                      <w:p>
                        <w:pPr>
                          <w:pStyle w:val="TableParagraph"/>
                          <w:spacing w:before="65"/>
                          <w:ind w:right="321"/>
                          <w:rPr>
                            <w:sz w:val="19"/>
                          </w:rPr>
                        </w:pPr>
                        <w:r>
                          <w:rPr>
                            <w:w w:val="85"/>
                            <w:sz w:val="19"/>
                          </w:rPr>
                          <w:t>4.4</w:t>
                        </w:r>
                      </w:p>
                    </w:tc>
                    <w:tc>
                      <w:tcPr>
                        <w:tcW w:w="793" w:type="dxa"/>
                      </w:tcPr>
                      <w:p>
                        <w:pPr>
                          <w:pStyle w:val="TableParagraph"/>
                          <w:spacing w:before="65"/>
                          <w:ind w:right="180"/>
                          <w:rPr>
                            <w:sz w:val="19"/>
                          </w:rPr>
                        </w:pPr>
                        <w:r>
                          <w:rPr>
                            <w:w w:val="85"/>
                            <w:sz w:val="19"/>
                          </w:rPr>
                          <w:t>43.2</w:t>
                        </w:r>
                      </w:p>
                    </w:tc>
                    <w:tc>
                      <w:tcPr>
                        <w:tcW w:w="869" w:type="dxa"/>
                      </w:tcPr>
                      <w:p>
                        <w:pPr>
                          <w:pStyle w:val="TableParagraph"/>
                          <w:spacing w:before="65"/>
                          <w:ind w:left="138" w:right="69"/>
                          <w:jc w:val="center"/>
                          <w:rPr>
                            <w:sz w:val="19"/>
                          </w:rPr>
                        </w:pPr>
                        <w:r>
                          <w:rPr>
                            <w:w w:val="90"/>
                            <w:sz w:val="19"/>
                          </w:rPr>
                          <w:t>10 113.0</w:t>
                        </w:r>
                      </w:p>
                    </w:tc>
                    <w:tc>
                      <w:tcPr>
                        <w:tcW w:w="1151" w:type="dxa"/>
                      </w:tcPr>
                      <w:p>
                        <w:pPr>
                          <w:pStyle w:val="TableParagraph"/>
                          <w:spacing w:before="65"/>
                          <w:ind w:left="619" w:right="-1"/>
                          <w:jc w:val="left"/>
                          <w:rPr>
                            <w:sz w:val="19"/>
                          </w:rPr>
                        </w:pPr>
                        <w:r>
                          <w:rPr>
                            <w:w w:val="95"/>
                            <w:sz w:val="19"/>
                          </w:rPr>
                          <w:t>3.4</w:t>
                        </w:r>
                      </w:p>
                    </w:tc>
                    <w:tc>
                      <w:tcPr>
                        <w:tcW w:w="720" w:type="dxa"/>
                      </w:tcPr>
                      <w:p>
                        <w:pPr>
                          <w:pStyle w:val="TableParagraph"/>
                          <w:spacing w:before="65"/>
                          <w:ind w:right="105"/>
                          <w:rPr>
                            <w:sz w:val="19"/>
                          </w:rPr>
                        </w:pPr>
                        <w:r>
                          <w:rPr>
                            <w:w w:val="85"/>
                            <w:sz w:val="19"/>
                          </w:rPr>
                          <w:t>55.8</w:t>
                        </w:r>
                      </w:p>
                    </w:tc>
                    <w:tc>
                      <w:tcPr>
                        <w:tcW w:w="880" w:type="dxa"/>
                      </w:tcPr>
                      <w:p>
                        <w:pPr>
                          <w:pStyle w:val="TableParagraph"/>
                          <w:spacing w:before="65"/>
                          <w:ind w:right="57"/>
                          <w:rPr>
                            <w:sz w:val="19"/>
                          </w:rPr>
                        </w:pPr>
                        <w:r>
                          <w:rPr>
                            <w:w w:val="85"/>
                            <w:sz w:val="19"/>
                          </w:rPr>
                          <w:t>-0.8</w:t>
                        </w:r>
                      </w:p>
                    </w:tc>
                  </w:tr>
                  <w:tr>
                    <w:trPr>
                      <w:trHeight w:val="365" w:hRule="exact"/>
                    </w:trPr>
                    <w:tc>
                      <w:tcPr>
                        <w:tcW w:w="2191" w:type="dxa"/>
                        <w:gridSpan w:val="2"/>
                      </w:tcPr>
                      <w:p>
                        <w:pPr>
                          <w:pStyle w:val="TableParagraph"/>
                          <w:tabs>
                            <w:tab w:pos="1736" w:val="left" w:leader="none"/>
                          </w:tabs>
                          <w:spacing w:before="98"/>
                          <w:ind w:left="59"/>
                          <w:jc w:val="left"/>
                          <w:rPr>
                            <w:sz w:val="19"/>
                          </w:rPr>
                        </w:pPr>
                        <w:r>
                          <w:rPr>
                            <w:w w:val="95"/>
                            <w:sz w:val="19"/>
                          </w:rPr>
                          <w:t>Mexicana</w:t>
                          <w:tab/>
                        </w:r>
                        <w:r>
                          <w:rPr>
                            <w:w w:val="90"/>
                            <w:sz w:val="19"/>
                          </w:rPr>
                          <w:t>6</w:t>
                        </w:r>
                        <w:r>
                          <w:rPr>
                            <w:spacing w:val="-15"/>
                            <w:w w:val="90"/>
                            <w:sz w:val="19"/>
                          </w:rPr>
                          <w:t> </w:t>
                        </w:r>
                        <w:r>
                          <w:rPr>
                            <w:w w:val="90"/>
                            <w:sz w:val="19"/>
                          </w:rPr>
                          <w:t>666</w:t>
                        </w:r>
                      </w:p>
                    </w:tc>
                    <w:tc>
                      <w:tcPr>
                        <w:tcW w:w="705" w:type="dxa"/>
                      </w:tcPr>
                      <w:p>
                        <w:pPr>
                          <w:pStyle w:val="TableParagraph"/>
                          <w:spacing w:before="98"/>
                          <w:ind w:right="82"/>
                          <w:rPr>
                            <w:sz w:val="19"/>
                          </w:rPr>
                        </w:pPr>
                        <w:r>
                          <w:rPr>
                            <w:w w:val="90"/>
                            <w:sz w:val="19"/>
                          </w:rPr>
                          <w:t>3 350</w:t>
                        </w:r>
                      </w:p>
                    </w:tc>
                    <w:tc>
                      <w:tcPr>
                        <w:tcW w:w="657" w:type="dxa"/>
                      </w:tcPr>
                      <w:p>
                        <w:pPr>
                          <w:pStyle w:val="TableParagraph"/>
                          <w:spacing w:before="98"/>
                          <w:ind w:right="33"/>
                          <w:rPr>
                            <w:sz w:val="19"/>
                          </w:rPr>
                        </w:pPr>
                        <w:r>
                          <w:rPr>
                            <w:w w:val="90"/>
                            <w:sz w:val="19"/>
                          </w:rPr>
                          <w:t>7 009</w:t>
                        </w:r>
                      </w:p>
                    </w:tc>
                    <w:tc>
                      <w:tcPr>
                        <w:tcW w:w="1011" w:type="dxa"/>
                      </w:tcPr>
                      <w:p>
                        <w:pPr>
                          <w:pStyle w:val="TableParagraph"/>
                          <w:spacing w:before="98"/>
                          <w:ind w:right="110"/>
                          <w:rPr>
                            <w:sz w:val="19"/>
                          </w:rPr>
                        </w:pPr>
                        <w:r>
                          <w:rPr>
                            <w:w w:val="85"/>
                            <w:sz w:val="19"/>
                          </w:rPr>
                          <w:t>5.4</w:t>
                        </w:r>
                      </w:p>
                    </w:tc>
                    <w:tc>
                      <w:tcPr>
                        <w:tcW w:w="1151" w:type="dxa"/>
                      </w:tcPr>
                      <w:p>
                        <w:pPr>
                          <w:pStyle w:val="TableParagraph"/>
                          <w:spacing w:before="98"/>
                          <w:ind w:right="321"/>
                          <w:rPr>
                            <w:sz w:val="19"/>
                          </w:rPr>
                        </w:pPr>
                        <w:r>
                          <w:rPr>
                            <w:w w:val="85"/>
                            <w:sz w:val="19"/>
                          </w:rPr>
                          <w:t>5.4</w:t>
                        </w:r>
                      </w:p>
                    </w:tc>
                    <w:tc>
                      <w:tcPr>
                        <w:tcW w:w="793" w:type="dxa"/>
                      </w:tcPr>
                      <w:p>
                        <w:pPr>
                          <w:pStyle w:val="TableParagraph"/>
                          <w:spacing w:before="98"/>
                          <w:ind w:right="180"/>
                          <w:rPr>
                            <w:sz w:val="19"/>
                          </w:rPr>
                        </w:pPr>
                        <w:r>
                          <w:rPr>
                            <w:w w:val="85"/>
                            <w:sz w:val="19"/>
                          </w:rPr>
                          <w:t>14.9</w:t>
                        </w:r>
                      </w:p>
                    </w:tc>
                    <w:tc>
                      <w:tcPr>
                        <w:tcW w:w="869" w:type="dxa"/>
                      </w:tcPr>
                      <w:p>
                        <w:pPr>
                          <w:pStyle w:val="TableParagraph"/>
                          <w:spacing w:before="98"/>
                          <w:ind w:left="221" w:right="69"/>
                          <w:jc w:val="center"/>
                          <w:rPr>
                            <w:sz w:val="19"/>
                          </w:rPr>
                        </w:pPr>
                        <w:r>
                          <w:rPr>
                            <w:w w:val="90"/>
                            <w:sz w:val="19"/>
                          </w:rPr>
                          <w:t>3 316.0</w:t>
                        </w:r>
                      </w:p>
                    </w:tc>
                    <w:tc>
                      <w:tcPr>
                        <w:tcW w:w="1151" w:type="dxa"/>
                      </w:tcPr>
                      <w:p>
                        <w:pPr>
                          <w:pStyle w:val="TableParagraph"/>
                          <w:spacing w:before="98"/>
                          <w:ind w:left="619" w:right="-1"/>
                          <w:jc w:val="left"/>
                          <w:rPr>
                            <w:sz w:val="19"/>
                          </w:rPr>
                        </w:pPr>
                        <w:r>
                          <w:rPr>
                            <w:w w:val="95"/>
                            <w:sz w:val="19"/>
                          </w:rPr>
                          <w:t>4.1</w:t>
                        </w:r>
                      </w:p>
                    </w:tc>
                    <w:tc>
                      <w:tcPr>
                        <w:tcW w:w="720" w:type="dxa"/>
                      </w:tcPr>
                      <w:p>
                        <w:pPr>
                          <w:pStyle w:val="TableParagraph"/>
                          <w:spacing w:before="98"/>
                          <w:ind w:right="105"/>
                          <w:rPr>
                            <w:sz w:val="19"/>
                          </w:rPr>
                        </w:pPr>
                        <w:r>
                          <w:rPr>
                            <w:w w:val="85"/>
                            <w:sz w:val="19"/>
                          </w:rPr>
                          <w:t>18.3</w:t>
                        </w:r>
                      </w:p>
                    </w:tc>
                    <w:tc>
                      <w:tcPr>
                        <w:tcW w:w="880" w:type="dxa"/>
                      </w:tcPr>
                      <w:p>
                        <w:pPr>
                          <w:pStyle w:val="TableParagraph"/>
                          <w:spacing w:before="98"/>
                          <w:ind w:right="57"/>
                          <w:rPr>
                            <w:sz w:val="19"/>
                          </w:rPr>
                        </w:pPr>
                        <w:r>
                          <w:rPr>
                            <w:w w:val="85"/>
                            <w:sz w:val="19"/>
                          </w:rPr>
                          <w:t>-1.7</w:t>
                        </w:r>
                      </w:p>
                    </w:tc>
                  </w:tr>
                  <w:tr>
                    <w:trPr>
                      <w:trHeight w:val="271" w:hRule="exact"/>
                    </w:trPr>
                    <w:tc>
                      <w:tcPr>
                        <w:tcW w:w="2191" w:type="dxa"/>
                        <w:gridSpan w:val="2"/>
                        <w:tcBorders>
                          <w:bottom w:val="double" w:sz="4" w:space="0" w:color="000000"/>
                        </w:tcBorders>
                      </w:tcPr>
                      <w:p>
                        <w:pPr>
                          <w:pStyle w:val="TableParagraph"/>
                          <w:tabs>
                            <w:tab w:pos="1653" w:val="left" w:leader="none"/>
                          </w:tabs>
                          <w:spacing w:before="31"/>
                          <w:ind w:left="59"/>
                          <w:jc w:val="left"/>
                          <w:rPr>
                            <w:sz w:val="19"/>
                          </w:rPr>
                        </w:pPr>
                        <w:r>
                          <w:rPr>
                            <w:w w:val="95"/>
                            <w:sz w:val="19"/>
                          </w:rPr>
                          <w:t>No</w:t>
                        </w:r>
                        <w:r>
                          <w:rPr>
                            <w:spacing w:val="-26"/>
                            <w:w w:val="95"/>
                            <w:sz w:val="19"/>
                          </w:rPr>
                          <w:t> </w:t>
                        </w:r>
                        <w:r>
                          <w:rPr>
                            <w:w w:val="95"/>
                            <w:sz w:val="19"/>
                          </w:rPr>
                          <w:t>mexicana</w:t>
                          <w:tab/>
                        </w:r>
                        <w:r>
                          <w:rPr>
                            <w:w w:val="90"/>
                            <w:sz w:val="19"/>
                          </w:rPr>
                          <w:t>16</w:t>
                        </w:r>
                        <w:r>
                          <w:rPr>
                            <w:spacing w:val="-18"/>
                            <w:w w:val="90"/>
                            <w:sz w:val="19"/>
                          </w:rPr>
                          <w:t> </w:t>
                        </w:r>
                        <w:r>
                          <w:rPr>
                            <w:w w:val="90"/>
                            <w:sz w:val="19"/>
                          </w:rPr>
                          <w:t>414</w:t>
                        </w:r>
                      </w:p>
                    </w:tc>
                    <w:tc>
                      <w:tcPr>
                        <w:tcW w:w="705" w:type="dxa"/>
                        <w:tcBorders>
                          <w:bottom w:val="double" w:sz="4" w:space="0" w:color="000000"/>
                        </w:tcBorders>
                      </w:tcPr>
                      <w:p>
                        <w:pPr>
                          <w:pStyle w:val="TableParagraph"/>
                          <w:spacing w:before="31"/>
                          <w:ind w:right="82"/>
                          <w:rPr>
                            <w:sz w:val="19"/>
                          </w:rPr>
                        </w:pPr>
                        <w:r>
                          <w:rPr>
                            <w:w w:val="90"/>
                            <w:sz w:val="19"/>
                          </w:rPr>
                          <w:t>9 617</w:t>
                        </w:r>
                      </w:p>
                    </w:tc>
                    <w:tc>
                      <w:tcPr>
                        <w:tcW w:w="657" w:type="dxa"/>
                        <w:tcBorders>
                          <w:bottom w:val="double" w:sz="4" w:space="0" w:color="000000"/>
                        </w:tcBorders>
                      </w:tcPr>
                      <w:p>
                        <w:pPr>
                          <w:pStyle w:val="TableParagraph"/>
                          <w:spacing w:before="31"/>
                          <w:ind w:right="33"/>
                          <w:rPr>
                            <w:sz w:val="19"/>
                          </w:rPr>
                        </w:pPr>
                        <w:r>
                          <w:rPr>
                            <w:w w:val="90"/>
                            <w:sz w:val="19"/>
                          </w:rPr>
                          <w:t>16 599</w:t>
                        </w:r>
                      </w:p>
                    </w:tc>
                    <w:tc>
                      <w:tcPr>
                        <w:tcW w:w="1011" w:type="dxa"/>
                        <w:tcBorders>
                          <w:bottom w:val="double" w:sz="4" w:space="0" w:color="000000"/>
                        </w:tcBorders>
                      </w:tcPr>
                      <w:p>
                        <w:pPr>
                          <w:pStyle w:val="TableParagraph"/>
                          <w:spacing w:before="31"/>
                          <w:ind w:right="110"/>
                          <w:rPr>
                            <w:sz w:val="19"/>
                          </w:rPr>
                        </w:pPr>
                        <w:r>
                          <w:rPr>
                            <w:w w:val="85"/>
                            <w:sz w:val="19"/>
                          </w:rPr>
                          <w:t>4.0</w:t>
                        </w:r>
                      </w:p>
                    </w:tc>
                    <w:tc>
                      <w:tcPr>
                        <w:tcW w:w="1151" w:type="dxa"/>
                        <w:tcBorders>
                          <w:bottom w:val="double" w:sz="4" w:space="0" w:color="000000"/>
                        </w:tcBorders>
                      </w:tcPr>
                      <w:p>
                        <w:pPr>
                          <w:pStyle w:val="TableParagraph"/>
                          <w:spacing w:before="31"/>
                          <w:ind w:right="321"/>
                          <w:rPr>
                            <w:sz w:val="19"/>
                          </w:rPr>
                        </w:pPr>
                        <w:r>
                          <w:rPr>
                            <w:w w:val="85"/>
                            <w:sz w:val="19"/>
                          </w:rPr>
                          <w:t>4.0</w:t>
                        </w:r>
                      </w:p>
                    </w:tc>
                    <w:tc>
                      <w:tcPr>
                        <w:tcW w:w="793" w:type="dxa"/>
                        <w:tcBorders>
                          <w:bottom w:val="double" w:sz="4" w:space="0" w:color="000000"/>
                        </w:tcBorders>
                      </w:tcPr>
                      <w:p>
                        <w:pPr>
                          <w:pStyle w:val="TableParagraph"/>
                          <w:spacing w:before="31"/>
                          <w:ind w:right="180"/>
                          <w:rPr>
                            <w:sz w:val="19"/>
                          </w:rPr>
                        </w:pPr>
                        <w:r>
                          <w:rPr>
                            <w:w w:val="85"/>
                            <w:sz w:val="19"/>
                          </w:rPr>
                          <w:t>28.3</w:t>
                        </w:r>
                      </w:p>
                    </w:tc>
                    <w:tc>
                      <w:tcPr>
                        <w:tcW w:w="869" w:type="dxa"/>
                        <w:tcBorders>
                          <w:bottom w:val="double" w:sz="4" w:space="0" w:color="000000"/>
                        </w:tcBorders>
                      </w:tcPr>
                      <w:p>
                        <w:pPr>
                          <w:pStyle w:val="TableParagraph"/>
                          <w:spacing w:before="31"/>
                          <w:ind w:left="221" w:right="69"/>
                          <w:jc w:val="center"/>
                          <w:rPr>
                            <w:sz w:val="19"/>
                          </w:rPr>
                        </w:pPr>
                        <w:r>
                          <w:rPr>
                            <w:w w:val="90"/>
                            <w:sz w:val="19"/>
                          </w:rPr>
                          <w:t>6 798.0</w:t>
                        </w:r>
                      </w:p>
                    </w:tc>
                    <w:tc>
                      <w:tcPr>
                        <w:tcW w:w="1151" w:type="dxa"/>
                        <w:tcBorders>
                          <w:bottom w:val="double" w:sz="4" w:space="0" w:color="000000"/>
                        </w:tcBorders>
                      </w:tcPr>
                      <w:p>
                        <w:pPr>
                          <w:pStyle w:val="TableParagraph"/>
                          <w:spacing w:before="31"/>
                          <w:ind w:left="619" w:right="-1"/>
                          <w:jc w:val="left"/>
                          <w:rPr>
                            <w:sz w:val="19"/>
                          </w:rPr>
                        </w:pPr>
                        <w:r>
                          <w:rPr>
                            <w:w w:val="95"/>
                            <w:sz w:val="19"/>
                          </w:rPr>
                          <w:t>3.2</w:t>
                        </w:r>
                      </w:p>
                    </w:tc>
                    <w:tc>
                      <w:tcPr>
                        <w:tcW w:w="720" w:type="dxa"/>
                        <w:tcBorders>
                          <w:bottom w:val="double" w:sz="4" w:space="0" w:color="000000"/>
                        </w:tcBorders>
                      </w:tcPr>
                      <w:p>
                        <w:pPr>
                          <w:pStyle w:val="TableParagraph"/>
                          <w:spacing w:before="31"/>
                          <w:ind w:right="105"/>
                          <w:rPr>
                            <w:sz w:val="19"/>
                          </w:rPr>
                        </w:pPr>
                        <w:r>
                          <w:rPr>
                            <w:w w:val="85"/>
                            <w:sz w:val="19"/>
                          </w:rPr>
                          <w:t>37.5</w:t>
                        </w:r>
                      </w:p>
                    </w:tc>
                    <w:tc>
                      <w:tcPr>
                        <w:tcW w:w="880" w:type="dxa"/>
                        <w:tcBorders>
                          <w:bottom w:val="double" w:sz="4" w:space="0" w:color="000000"/>
                        </w:tcBorders>
                      </w:tcPr>
                      <w:p>
                        <w:pPr>
                          <w:pStyle w:val="TableParagraph"/>
                          <w:spacing w:before="31"/>
                          <w:ind w:right="57"/>
                          <w:rPr>
                            <w:sz w:val="19"/>
                          </w:rPr>
                        </w:pPr>
                        <w:r>
                          <w:rPr>
                            <w:w w:val="85"/>
                            <w:sz w:val="19"/>
                          </w:rPr>
                          <w:t>-0.4</w:t>
                        </w:r>
                      </w:p>
                    </w:tc>
                  </w:tr>
                </w:tbl>
                <w:p>
                  <w:pPr>
                    <w:pStyle w:val="BodyText"/>
                  </w:pPr>
                </w:p>
              </w:txbxContent>
            </v:textbox>
            <w10:wrap type="none"/>
          </v:shape>
        </w:pict>
      </w:r>
      <w:r>
        <w:rPr>
          <w:w w:val="85"/>
          <w:sz w:val="19"/>
        </w:rPr>
        <w:t>1994-2008</w:t>
      </w:r>
    </w:p>
    <w:p>
      <w:pPr>
        <w:spacing w:before="40"/>
        <w:ind w:left="390" w:right="-16" w:firstLine="0"/>
        <w:jc w:val="left"/>
        <w:rPr>
          <w:sz w:val="19"/>
        </w:rPr>
      </w:pPr>
      <w:r>
        <w:rPr/>
        <w:br w:type="column"/>
      </w:r>
      <w:r>
        <w:rPr>
          <w:w w:val="90"/>
          <w:sz w:val="19"/>
        </w:rPr>
        <w:t>Tasa</w:t>
      </w:r>
      <w:r>
        <w:rPr>
          <w:spacing w:val="-22"/>
          <w:w w:val="90"/>
          <w:sz w:val="19"/>
        </w:rPr>
        <w:t> </w:t>
      </w:r>
      <w:r>
        <w:rPr>
          <w:w w:val="90"/>
          <w:sz w:val="19"/>
        </w:rPr>
        <w:t>de</w:t>
      </w:r>
    </w:p>
    <w:p>
      <w:pPr>
        <w:pStyle w:val="BodyText"/>
        <w:rPr>
          <w:sz w:val="20"/>
        </w:rPr>
      </w:pPr>
      <w:r>
        <w:rPr/>
        <w:br w:type="column"/>
      </w:r>
      <w:r>
        <w:rPr>
          <w:sz w:val="20"/>
        </w:rPr>
      </w:r>
    </w:p>
    <w:p>
      <w:pPr>
        <w:spacing w:before="151"/>
        <w:ind w:left="1120" w:right="-4" w:firstLine="0"/>
        <w:jc w:val="left"/>
        <w:rPr>
          <w:sz w:val="19"/>
        </w:rPr>
      </w:pPr>
      <w:r>
        <w:rPr>
          <w:w w:val="85"/>
          <w:sz w:val="19"/>
        </w:rPr>
        <w:t>1994-2011</w:t>
      </w:r>
    </w:p>
    <w:p>
      <w:pPr>
        <w:spacing w:before="40"/>
        <w:ind w:left="386" w:right="-16" w:firstLine="0"/>
        <w:jc w:val="left"/>
        <w:rPr>
          <w:sz w:val="19"/>
        </w:rPr>
      </w:pPr>
      <w:r>
        <w:rPr/>
        <w:br w:type="column"/>
      </w:r>
      <w:r>
        <w:rPr>
          <w:w w:val="90"/>
          <w:sz w:val="19"/>
        </w:rPr>
        <w:t>Tasa</w:t>
      </w:r>
      <w:r>
        <w:rPr>
          <w:spacing w:val="-22"/>
          <w:w w:val="90"/>
          <w:sz w:val="19"/>
        </w:rPr>
        <w:t> </w:t>
      </w:r>
      <w:r>
        <w:rPr>
          <w:w w:val="90"/>
          <w:sz w:val="19"/>
        </w:rPr>
        <w:t>de</w:t>
      </w:r>
    </w:p>
    <w:p>
      <w:pPr>
        <w:pStyle w:val="BodyText"/>
        <w:rPr>
          <w:sz w:val="20"/>
        </w:rPr>
      </w:pPr>
      <w:r>
        <w:rPr/>
        <w:br w:type="column"/>
      </w:r>
      <w:r>
        <w:rPr>
          <w:sz w:val="20"/>
        </w:rPr>
      </w:r>
    </w:p>
    <w:p>
      <w:pPr>
        <w:spacing w:before="151"/>
        <w:ind w:left="263" w:right="-16" w:firstLine="0"/>
        <w:jc w:val="left"/>
        <w:rPr>
          <w:sz w:val="19"/>
        </w:rPr>
      </w:pPr>
      <w:r>
        <w:rPr>
          <w:w w:val="90"/>
          <w:sz w:val="19"/>
        </w:rPr>
        <w:t>or</w:t>
      </w:r>
      <w:r>
        <w:rPr>
          <w:spacing w:val="-27"/>
          <w:w w:val="90"/>
          <w:sz w:val="19"/>
        </w:rPr>
        <w:t> </w:t>
      </w:r>
      <w:r>
        <w:rPr>
          <w:w w:val="90"/>
          <w:sz w:val="19"/>
        </w:rPr>
        <w:t>ciento)</w:t>
      </w:r>
    </w:p>
    <w:p>
      <w:pPr>
        <w:spacing w:before="40"/>
        <w:ind w:left="379" w:right="0" w:firstLine="0"/>
        <w:jc w:val="left"/>
        <w:rPr>
          <w:sz w:val="19"/>
        </w:rPr>
      </w:pPr>
      <w:r>
        <w:rPr/>
        <w:br w:type="column"/>
      </w:r>
      <w:r>
        <w:rPr>
          <w:w w:val="90"/>
          <w:sz w:val="19"/>
        </w:rPr>
        <w:t>Tasa de</w:t>
      </w:r>
    </w:p>
    <w:p>
      <w:pPr>
        <w:spacing w:after="0"/>
        <w:jc w:val="left"/>
        <w:rPr>
          <w:sz w:val="19"/>
        </w:rPr>
        <w:sectPr>
          <w:type w:val="continuous"/>
          <w:pgSz w:w="13040" w:h="9360" w:orient="landscape"/>
          <w:pgMar w:top="0" w:bottom="0" w:left="1280" w:right="1300"/>
          <w:cols w:num="6" w:equalWidth="0">
            <w:col w:w="4667" w:space="40"/>
            <w:col w:w="899" w:space="40"/>
            <w:col w:w="1836" w:space="40"/>
            <w:col w:w="895" w:space="40"/>
            <w:col w:w="900" w:space="40"/>
            <w:col w:w="1063"/>
          </w:cols>
        </w:sectPr>
      </w:pPr>
    </w:p>
    <w:p>
      <w:pPr>
        <w:pStyle w:val="BodyText"/>
        <w:rPr>
          <w:sz w:val="20"/>
        </w:rPr>
      </w:pPr>
      <w:r>
        <w:rPr/>
        <w:pict>
          <v:shape style="position:absolute;margin-left:595.135681pt;margin-top:340.848389pt;width:11pt;height:57.05pt;mso-position-horizontal-relative:page;mso-position-vertical-relative:page;z-index:3880" type="#_x0000_t202" filled="false" stroked="false">
            <v:textbox inset="0,0,0,0" style="layout-flow:vertical">
              <w:txbxContent>
                <w:p>
                  <w:pPr>
                    <w:spacing w:line="204" w:lineRule="exact" w:before="0"/>
                    <w:ind w:left="20" w:right="-921" w:firstLine="0"/>
                    <w:jc w:val="left"/>
                    <w:rPr>
                      <w:sz w:val="18"/>
                    </w:rPr>
                  </w:pPr>
                  <w:r>
                    <w:rPr>
                      <w:color w:val="231F20"/>
                      <w:sz w:val="18"/>
                    </w:rPr>
                    <w:t>CIEAP/UAEM</w:t>
                  </w:r>
                </w:p>
              </w:txbxContent>
            </v:textbox>
            <w10:wrap type="none"/>
          </v:shape>
        </w:pict>
      </w:r>
      <w:r>
        <w:rPr/>
        <w:pict>
          <v:shape style="position:absolute;margin-left:593.309937pt;margin-top:69.866096pt;width:12pt;height:200.85pt;mso-position-horizontal-relative:page;mso-position-vertical-relative:page;z-index:3904" type="#_x0000_t202" filled="false" stroked="false">
            <v:textbox inset="0,0,0,0" style="layout-flow:vertical">
              <w:txbxContent>
                <w:p>
                  <w:pPr>
                    <w:spacing w:line="208" w:lineRule="exact" w:before="0"/>
                    <w:ind w:left="20" w:right="-673" w:firstLine="0"/>
                    <w:jc w:val="left"/>
                    <w:rPr>
                      <w:rFonts w:ascii="Arial" w:hAnsi="Arial"/>
                      <w:sz w:val="20"/>
                    </w:rPr>
                  </w:pPr>
                  <w:r>
                    <w:rPr>
                      <w:rFonts w:ascii="Arial" w:hAnsi="Arial"/>
                      <w:color w:val="231F20"/>
                      <w:spacing w:val="-1"/>
                      <w:w w:val="78"/>
                      <w:sz w:val="20"/>
                    </w:rPr>
                    <w:t>Hito</w:t>
                  </w:r>
                  <w:r>
                    <w:rPr>
                      <w:rFonts w:ascii="Arial" w:hAnsi="Arial"/>
                      <w:color w:val="231F20"/>
                      <w:w w:val="78"/>
                      <w:sz w:val="20"/>
                    </w:rPr>
                    <w:t>s</w:t>
                  </w:r>
                  <w:r>
                    <w:rPr>
                      <w:rFonts w:ascii="Arial" w:hAnsi="Arial"/>
                      <w:color w:val="231F20"/>
                      <w:spacing w:val="-1"/>
                      <w:sz w:val="20"/>
                    </w:rPr>
                    <w:t> </w:t>
                  </w:r>
                  <w:r>
                    <w:rPr>
                      <w:rFonts w:ascii="Arial" w:hAnsi="Arial"/>
                      <w:color w:val="231F20"/>
                      <w:w w:val="72"/>
                      <w:sz w:val="20"/>
                    </w:rPr>
                    <w:t>Demográficos</w:t>
                  </w:r>
                  <w:r>
                    <w:rPr>
                      <w:rFonts w:ascii="Arial" w:hAnsi="Arial"/>
                      <w:color w:val="231F20"/>
                      <w:spacing w:val="-1"/>
                      <w:sz w:val="20"/>
                    </w:rPr>
                    <w:t> </w:t>
                  </w:r>
                  <w:r>
                    <w:rPr>
                      <w:rFonts w:ascii="Arial" w:hAnsi="Arial"/>
                      <w:color w:val="231F20"/>
                      <w:w w:val="76"/>
                      <w:sz w:val="20"/>
                    </w:rPr>
                    <w:t>del</w:t>
                  </w:r>
                  <w:r>
                    <w:rPr>
                      <w:rFonts w:ascii="Arial" w:hAnsi="Arial"/>
                      <w:color w:val="231F20"/>
                      <w:spacing w:val="-1"/>
                      <w:sz w:val="20"/>
                    </w:rPr>
                    <w:t> </w:t>
                  </w:r>
                  <w:r>
                    <w:rPr>
                      <w:rFonts w:ascii="Arial" w:hAnsi="Arial"/>
                      <w:color w:val="231F20"/>
                      <w:spacing w:val="-1"/>
                      <w:w w:val="77"/>
                      <w:sz w:val="20"/>
                    </w:rPr>
                    <w:t>Sigl</w:t>
                  </w:r>
                  <w:r>
                    <w:rPr>
                      <w:rFonts w:ascii="Arial" w:hAnsi="Arial"/>
                      <w:color w:val="231F20"/>
                      <w:w w:val="77"/>
                      <w:sz w:val="20"/>
                    </w:rPr>
                    <w:t>o</w:t>
                  </w:r>
                  <w:r>
                    <w:rPr>
                      <w:rFonts w:ascii="Arial" w:hAnsi="Arial"/>
                      <w:color w:val="231F20"/>
                      <w:sz w:val="20"/>
                    </w:rPr>
                    <w:t> </w:t>
                  </w:r>
                  <w:r>
                    <w:rPr>
                      <w:rFonts w:ascii="Arial" w:hAnsi="Arial"/>
                      <w:color w:val="231F20"/>
                      <w:w w:val="80"/>
                      <w:sz w:val="20"/>
                    </w:rPr>
                    <w:t>XXI:</w:t>
                  </w:r>
                  <w:r>
                    <w:rPr>
                      <w:rFonts w:ascii="Arial" w:hAnsi="Arial"/>
                      <w:color w:val="231F20"/>
                      <w:spacing w:val="-1"/>
                      <w:sz w:val="20"/>
                    </w:rPr>
                    <w:t> </w:t>
                  </w:r>
                  <w:r>
                    <w:rPr>
                      <w:rFonts w:ascii="Arial" w:hAnsi="Arial"/>
                      <w:color w:val="231F20"/>
                      <w:w w:val="76"/>
                      <w:sz w:val="20"/>
                    </w:rPr>
                    <w:t>Migración</w:t>
                  </w:r>
                  <w:r>
                    <w:rPr>
                      <w:rFonts w:ascii="Arial" w:hAnsi="Arial"/>
                      <w:color w:val="231F20"/>
                      <w:spacing w:val="-1"/>
                      <w:sz w:val="20"/>
                    </w:rPr>
                    <w:t> </w:t>
                  </w:r>
                  <w:r>
                    <w:rPr>
                      <w:rFonts w:ascii="Arial" w:hAnsi="Arial"/>
                      <w:color w:val="231F20"/>
                      <w:w w:val="76"/>
                      <w:sz w:val="20"/>
                    </w:rPr>
                    <w:t>Internacional</w:t>
                  </w:r>
                </w:p>
              </w:txbxContent>
            </v:textbox>
            <w10:wrap type="none"/>
          </v:shape>
        </w:pict>
      </w:r>
      <w:r>
        <w:rPr/>
        <w:pict>
          <v:shape style="position:absolute;margin-left:23.820354pt;margin-top:215.850403pt;width:12pt;height:21.25pt;mso-position-horizontal-relative:page;mso-position-vertical-relative:page;z-index:3928" type="#_x0000_t202" filled="false" stroked="false">
            <v:textbox inset="0,0,0,0" style="layout-flow:vertical">
              <w:txbxContent>
                <w:p>
                  <w:pPr>
                    <w:spacing w:line="214" w:lineRule="exact" w:before="0"/>
                    <w:ind w:left="20" w:right="-182" w:firstLine="0"/>
                    <w:jc w:val="left"/>
                    <w:rPr>
                      <w:rFonts w:ascii="Verdana"/>
                      <w:sz w:val="20"/>
                    </w:rPr>
                  </w:pPr>
                  <w:r>
                    <w:rPr>
                      <w:rFonts w:ascii="Verdana"/>
                      <w:color w:val="231F20"/>
                      <w:spacing w:val="-1"/>
                      <w:w w:val="100"/>
                      <w:sz w:val="20"/>
                    </w:rPr>
                    <w:t>150</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7"/>
        </w:rPr>
      </w:pPr>
    </w:p>
    <w:p>
      <w:pPr>
        <w:spacing w:before="78"/>
        <w:ind w:left="273" w:right="0" w:firstLine="0"/>
        <w:jc w:val="left"/>
        <w:rPr>
          <w:sz w:val="16"/>
        </w:rPr>
      </w:pPr>
      <w:r>
        <w:rPr>
          <w:w w:val="85"/>
          <w:sz w:val="16"/>
        </w:rPr>
        <w:t>Fuente: Delgado </w:t>
      </w:r>
      <w:r>
        <w:rPr>
          <w:color w:val="211E1F"/>
          <w:w w:val="85"/>
          <w:sz w:val="16"/>
        </w:rPr>
        <w:t>y Olvera</w:t>
      </w:r>
      <w:r>
        <w:rPr>
          <w:w w:val="85"/>
          <w:sz w:val="16"/>
        </w:rPr>
        <w:t>, 2012.</w:t>
      </w:r>
    </w:p>
    <w:p>
      <w:pPr>
        <w:spacing w:after="0"/>
        <w:jc w:val="left"/>
        <w:rPr>
          <w:sz w:val="16"/>
        </w:rPr>
        <w:sectPr>
          <w:type w:val="continuous"/>
          <w:pgSz w:w="13040" w:h="9360" w:orient="landscape"/>
          <w:pgMar w:top="0" w:bottom="0" w:left="1280" w:right="1300"/>
        </w:sectPr>
      </w:pPr>
    </w:p>
    <w:p>
      <w:pPr>
        <w:spacing w:before="45"/>
        <w:ind w:left="400" w:right="0" w:firstLine="411"/>
        <w:jc w:val="left"/>
        <w:rPr>
          <w:rFonts w:ascii="Arial" w:hAnsi="Arial"/>
          <w:i/>
          <w:sz w:val="20"/>
        </w:rPr>
      </w:pP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participación</w:t>
      </w:r>
      <w:r>
        <w:rPr>
          <w:rFonts w:ascii="Arial" w:hAnsi="Arial"/>
          <w:color w:val="231F20"/>
          <w:spacing w:val="-15"/>
          <w:w w:val="70"/>
          <w:sz w:val="20"/>
        </w:rPr>
        <w:t> </w:t>
      </w:r>
      <w:r>
        <w:rPr>
          <w:rFonts w:ascii="Arial" w:hAnsi="Arial"/>
          <w:color w:val="231F20"/>
          <w:w w:val="70"/>
          <w:sz w:val="20"/>
        </w:rPr>
        <w:t>de</w:t>
      </w:r>
      <w:r>
        <w:rPr>
          <w:rFonts w:ascii="Arial" w:hAnsi="Arial"/>
          <w:color w:val="231F20"/>
          <w:spacing w:val="-15"/>
          <w:w w:val="70"/>
          <w:sz w:val="20"/>
        </w:rPr>
        <w:t> </w:t>
      </w:r>
      <w:r>
        <w:rPr>
          <w:rFonts w:ascii="Arial" w:hAnsi="Arial"/>
          <w:color w:val="231F20"/>
          <w:w w:val="70"/>
          <w:sz w:val="20"/>
        </w:rPr>
        <w:t>los</w:t>
      </w:r>
      <w:r>
        <w:rPr>
          <w:rFonts w:ascii="Arial" w:hAnsi="Arial"/>
          <w:color w:val="231F20"/>
          <w:spacing w:val="-15"/>
          <w:w w:val="70"/>
          <w:sz w:val="20"/>
        </w:rPr>
        <w:t> </w:t>
      </w:r>
      <w:r>
        <w:rPr>
          <w:rFonts w:ascii="Arial" w:hAnsi="Arial"/>
          <w:color w:val="231F20"/>
          <w:w w:val="70"/>
          <w:sz w:val="20"/>
        </w:rPr>
        <w:t>migrantes</w:t>
      </w:r>
      <w:r>
        <w:rPr>
          <w:rFonts w:ascii="Arial" w:hAnsi="Arial"/>
          <w:color w:val="231F20"/>
          <w:spacing w:val="-15"/>
          <w:w w:val="70"/>
          <w:sz w:val="20"/>
        </w:rPr>
        <w:t> </w:t>
      </w:r>
      <w:r>
        <w:rPr>
          <w:rFonts w:ascii="Arial" w:hAnsi="Arial"/>
          <w:color w:val="231F20"/>
          <w:w w:val="70"/>
          <w:sz w:val="20"/>
        </w:rPr>
        <w:t>mexicanos</w:t>
      </w:r>
      <w:r>
        <w:rPr>
          <w:rFonts w:ascii="Arial" w:hAnsi="Arial"/>
          <w:color w:val="231F20"/>
          <w:spacing w:val="-15"/>
          <w:w w:val="70"/>
          <w:sz w:val="20"/>
        </w:rPr>
        <w:t> </w:t>
      </w:r>
      <w:r>
        <w:rPr>
          <w:rFonts w:ascii="Arial" w:hAnsi="Arial"/>
          <w:color w:val="231F20"/>
          <w:w w:val="70"/>
          <w:sz w:val="20"/>
        </w:rPr>
        <w:t>en</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economía...</w:t>
      </w:r>
      <w:r>
        <w:rPr>
          <w:rFonts w:ascii="Arial" w:hAnsi="Arial"/>
          <w:color w:val="231F20"/>
          <w:spacing w:val="-15"/>
          <w:w w:val="70"/>
          <w:sz w:val="20"/>
        </w:rPr>
        <w:t> </w:t>
      </w:r>
      <w:r>
        <w:rPr>
          <w:rFonts w:ascii="Arial" w:hAnsi="Arial"/>
          <w:color w:val="231F20"/>
          <w:w w:val="70"/>
          <w:sz w:val="20"/>
        </w:rPr>
        <w:t>/Esther</w:t>
      </w:r>
      <w:r>
        <w:rPr>
          <w:rFonts w:ascii="Arial" w:hAnsi="Arial"/>
          <w:color w:val="231F20"/>
          <w:spacing w:val="-22"/>
          <w:w w:val="70"/>
          <w:sz w:val="20"/>
        </w:rPr>
        <w:t> </w:t>
      </w:r>
      <w:r>
        <w:rPr>
          <w:rFonts w:ascii="Arial" w:hAnsi="Arial"/>
          <w:color w:val="231F20"/>
          <w:w w:val="70"/>
          <w:sz w:val="20"/>
        </w:rPr>
        <w:t>Figueroa-Hernández</w:t>
      </w:r>
      <w:r>
        <w:rPr>
          <w:rFonts w:ascii="Arial" w:hAnsi="Arial"/>
          <w:color w:val="231F20"/>
          <w:spacing w:val="-22"/>
          <w:w w:val="70"/>
          <w:sz w:val="20"/>
        </w:rPr>
        <w:t> </w:t>
      </w:r>
      <w:r>
        <w:rPr>
          <w:rFonts w:ascii="Arial" w:hAnsi="Arial"/>
          <w:i/>
          <w:color w:val="231F20"/>
          <w:w w:val="70"/>
          <w:sz w:val="20"/>
        </w:rPr>
        <w:t>et</w:t>
      </w:r>
      <w:r>
        <w:rPr>
          <w:rFonts w:ascii="Arial" w:hAnsi="Arial"/>
          <w:i/>
          <w:color w:val="231F20"/>
          <w:spacing w:val="-22"/>
          <w:w w:val="70"/>
          <w:sz w:val="20"/>
        </w:rPr>
        <w:t> </w:t>
      </w:r>
      <w:r>
        <w:rPr>
          <w:rFonts w:ascii="Arial" w:hAnsi="Arial"/>
          <w:i/>
          <w:color w:val="231F20"/>
          <w:w w:val="70"/>
          <w:sz w:val="20"/>
        </w:rPr>
        <w:t>al.</w:t>
      </w:r>
    </w:p>
    <w:p>
      <w:pPr>
        <w:pStyle w:val="BodyText"/>
        <w:spacing w:before="7"/>
        <w:rPr>
          <w:rFonts w:ascii="Arial"/>
          <w:i/>
          <w:sz w:val="28"/>
        </w:rPr>
      </w:pPr>
    </w:p>
    <w:p>
      <w:pPr>
        <w:pStyle w:val="BodyText"/>
        <w:spacing w:line="247" w:lineRule="auto"/>
        <w:ind w:left="117" w:right="114" w:firstLine="283"/>
        <w:jc w:val="both"/>
      </w:pPr>
      <w:r>
        <w:rPr>
          <w:color w:val="231F20"/>
        </w:rPr>
        <w:t>El impacto de la migración mexicana hacia el país vecino del norte    ha sido contrastante para ambos países. En México ha sido el fruto de    un proceso de integración asimétrico y subordinado, que ha traído consi- go el desmantelamiento del aparato productivo, comercial y de servicios, bajo una lógica de “maquilización” acompañada de una disminución en  la capacidad para generar empleo con el consecuente desencadenamiento de dinámicas de expulsión y descomposición social (Cypher y Delgado, 2012). A</w:t>
      </w:r>
      <w:r>
        <w:rPr>
          <w:color w:val="231F20"/>
          <w:spacing w:val="-41"/>
        </w:rPr>
        <w:t> </w:t>
      </w:r>
      <w:r>
        <w:rPr>
          <w:color w:val="231F20"/>
        </w:rPr>
        <w:t>tal grado se ha dado este proceso que el país ha tenido uno de los peores</w:t>
      </w:r>
      <w:r>
        <w:rPr>
          <w:color w:val="231F20"/>
          <w:spacing w:val="-4"/>
        </w:rPr>
        <w:t> </w:t>
      </w:r>
      <w:r>
        <w:rPr>
          <w:color w:val="231F20"/>
        </w:rPr>
        <w:t>desempeños</w:t>
      </w:r>
      <w:r>
        <w:rPr>
          <w:color w:val="231F20"/>
          <w:spacing w:val="-4"/>
        </w:rPr>
        <w:t> </w:t>
      </w:r>
      <w:r>
        <w:rPr>
          <w:color w:val="231F20"/>
        </w:rPr>
        <w:t>en</w:t>
      </w:r>
      <w:r>
        <w:rPr>
          <w:color w:val="231F20"/>
          <w:spacing w:val="-4"/>
        </w:rPr>
        <w:t> </w:t>
      </w:r>
      <w:r>
        <w:rPr>
          <w:color w:val="231F20"/>
        </w:rPr>
        <w:t>términos</w:t>
      </w:r>
      <w:r>
        <w:rPr>
          <w:color w:val="231F20"/>
          <w:spacing w:val="-4"/>
        </w:rPr>
        <w:t> </w:t>
      </w:r>
      <w:r>
        <w:rPr>
          <w:color w:val="231F20"/>
        </w:rPr>
        <w:t>de</w:t>
      </w:r>
      <w:r>
        <w:rPr>
          <w:color w:val="231F20"/>
          <w:spacing w:val="-4"/>
        </w:rPr>
        <w:t> </w:t>
      </w:r>
      <w:r>
        <w:rPr>
          <w:color w:val="231F20"/>
        </w:rPr>
        <w:t>crecimiento</w:t>
      </w:r>
      <w:r>
        <w:rPr>
          <w:color w:val="231F20"/>
          <w:spacing w:val="-5"/>
        </w:rPr>
        <w:t> </w:t>
      </w:r>
      <w:r>
        <w:rPr>
          <w:color w:val="231F20"/>
        </w:rPr>
        <w:t>económico</w:t>
      </w:r>
      <w:r>
        <w:rPr>
          <w:color w:val="231F20"/>
          <w:spacing w:val="-4"/>
        </w:rPr>
        <w:t> </w:t>
      </w:r>
      <w:r>
        <w:rPr>
          <w:color w:val="231F20"/>
        </w:rPr>
        <w:t>de</w:t>
      </w:r>
      <w:r>
        <w:rPr>
          <w:color w:val="231F20"/>
          <w:spacing w:val="-4"/>
        </w:rPr>
        <w:t> </w:t>
      </w:r>
      <w:r>
        <w:rPr>
          <w:color w:val="231F20"/>
        </w:rPr>
        <w:t>toda</w:t>
      </w:r>
      <w:r>
        <w:rPr>
          <w:color w:val="231F20"/>
          <w:spacing w:val="-16"/>
        </w:rPr>
        <w:t> </w:t>
      </w:r>
      <w:r>
        <w:rPr>
          <w:color w:val="231F20"/>
        </w:rPr>
        <w:t>Améri- ca</w:t>
      </w:r>
      <w:r>
        <w:rPr>
          <w:color w:val="231F20"/>
          <w:spacing w:val="-7"/>
        </w:rPr>
        <w:t> </w:t>
      </w:r>
      <w:r>
        <w:rPr>
          <w:color w:val="231F20"/>
        </w:rPr>
        <w:t>Latina.</w:t>
      </w:r>
      <w:r>
        <w:rPr>
          <w:color w:val="231F20"/>
          <w:spacing w:val="-7"/>
        </w:rPr>
        <w:t> </w:t>
      </w:r>
      <w:r>
        <w:rPr>
          <w:color w:val="231F20"/>
        </w:rPr>
        <w:t>En</w:t>
      </w:r>
      <w:r>
        <w:rPr>
          <w:color w:val="231F20"/>
          <w:spacing w:val="-7"/>
        </w:rPr>
        <w:t> </w:t>
      </w:r>
      <w:r>
        <w:rPr>
          <w:color w:val="231F20"/>
        </w:rPr>
        <w:t>Estados</w:t>
      </w:r>
      <w:r>
        <w:rPr>
          <w:color w:val="231F20"/>
          <w:spacing w:val="-7"/>
        </w:rPr>
        <w:t> </w:t>
      </w:r>
      <w:r>
        <w:rPr>
          <w:color w:val="231F20"/>
        </w:rPr>
        <w:t>Unidos</w:t>
      </w:r>
      <w:r>
        <w:rPr>
          <w:color w:val="231F20"/>
          <w:spacing w:val="-7"/>
        </w:rPr>
        <w:t> </w:t>
      </w:r>
      <w:r>
        <w:rPr>
          <w:color w:val="231F20"/>
        </w:rPr>
        <w:t>ha</w:t>
      </w:r>
      <w:r>
        <w:rPr>
          <w:color w:val="231F20"/>
          <w:spacing w:val="-7"/>
        </w:rPr>
        <w:t> </w:t>
      </w:r>
      <w:r>
        <w:rPr>
          <w:color w:val="231F20"/>
        </w:rPr>
        <w:t>contribuido</w:t>
      </w:r>
      <w:r>
        <w:rPr>
          <w:color w:val="231F20"/>
          <w:spacing w:val="-7"/>
        </w:rPr>
        <w:t> </w:t>
      </w:r>
      <w:r>
        <w:rPr>
          <w:color w:val="231F20"/>
        </w:rPr>
        <w:t>a</w:t>
      </w:r>
      <w:r>
        <w:rPr>
          <w:color w:val="231F20"/>
          <w:spacing w:val="-7"/>
        </w:rPr>
        <w:t> </w:t>
      </w:r>
      <w:r>
        <w:rPr>
          <w:color w:val="231F20"/>
        </w:rPr>
        <w:t>nutrir</w:t>
      </w:r>
      <w:r>
        <w:rPr>
          <w:color w:val="231F20"/>
          <w:spacing w:val="-7"/>
        </w:rPr>
        <w:t> </w:t>
      </w:r>
      <w:r>
        <w:rPr>
          <w:color w:val="231F20"/>
        </w:rPr>
        <w:t>y</w:t>
      </w:r>
      <w:r>
        <w:rPr>
          <w:color w:val="231F20"/>
          <w:spacing w:val="-7"/>
        </w:rPr>
        <w:t> </w:t>
      </w:r>
      <w:r>
        <w:rPr>
          <w:color w:val="231F20"/>
        </w:rPr>
        <w:t>flexibilizar</w:t>
      </w:r>
      <w:r>
        <w:rPr>
          <w:color w:val="231F20"/>
          <w:spacing w:val="-7"/>
        </w:rPr>
        <w:t> </w:t>
      </w:r>
      <w:r>
        <w:rPr>
          <w:color w:val="231F20"/>
        </w:rPr>
        <w:t>la</w:t>
      </w:r>
      <w:r>
        <w:rPr>
          <w:color w:val="231F20"/>
          <w:spacing w:val="-7"/>
        </w:rPr>
        <w:t> </w:t>
      </w:r>
      <w:r>
        <w:rPr>
          <w:color w:val="231F20"/>
        </w:rPr>
        <w:t>oferta laboral, abaratar costos e incrementar los beneficios al capital (Delgado y Olvera, 2012,</w:t>
      </w:r>
      <w:r>
        <w:rPr>
          <w:color w:val="231F20"/>
          <w:spacing w:val="-6"/>
        </w:rPr>
        <w:t> </w:t>
      </w:r>
      <w:r>
        <w:rPr>
          <w:color w:val="231F20"/>
        </w:rPr>
        <w:t>2012).</w:t>
      </w:r>
    </w:p>
    <w:p>
      <w:pPr>
        <w:pStyle w:val="BodyText"/>
        <w:spacing w:line="247" w:lineRule="auto"/>
        <w:ind w:left="117" w:right="114" w:firstLine="283"/>
        <w:jc w:val="both"/>
      </w:pPr>
      <w:r>
        <w:rPr>
          <w:color w:val="231F20"/>
        </w:rPr>
        <w:t>En la manufactura acontece un doble movimiento. Por un lado, la sus- titución de trabajadores nativos por migrantes. Considerando que en los periodos</w:t>
      </w:r>
      <w:r>
        <w:rPr>
          <w:color w:val="231F20"/>
          <w:spacing w:val="-8"/>
        </w:rPr>
        <w:t> </w:t>
      </w:r>
      <w:r>
        <w:rPr>
          <w:color w:val="231F20"/>
        </w:rPr>
        <w:t>1994-2008</w:t>
      </w:r>
      <w:r>
        <w:rPr>
          <w:color w:val="231F20"/>
          <w:spacing w:val="-8"/>
        </w:rPr>
        <w:t> </w:t>
      </w:r>
      <w:r>
        <w:rPr>
          <w:color w:val="231F20"/>
        </w:rPr>
        <w:t>y</w:t>
      </w:r>
      <w:r>
        <w:rPr>
          <w:color w:val="231F20"/>
          <w:spacing w:val="-8"/>
        </w:rPr>
        <w:t> </w:t>
      </w:r>
      <w:r>
        <w:rPr>
          <w:color w:val="231F20"/>
        </w:rPr>
        <w:t>2008-2011,</w:t>
      </w:r>
      <w:r>
        <w:rPr>
          <w:color w:val="231F20"/>
          <w:spacing w:val="-8"/>
        </w:rPr>
        <w:t> </w:t>
      </w:r>
      <w:r>
        <w:rPr>
          <w:color w:val="231F20"/>
        </w:rPr>
        <w:t>el</w:t>
      </w:r>
      <w:r>
        <w:rPr>
          <w:color w:val="231F20"/>
          <w:spacing w:val="-8"/>
        </w:rPr>
        <w:t> </w:t>
      </w:r>
      <w:r>
        <w:rPr>
          <w:color w:val="231F20"/>
        </w:rPr>
        <w:t>personal</w:t>
      </w:r>
      <w:r>
        <w:rPr>
          <w:color w:val="231F20"/>
          <w:spacing w:val="-8"/>
        </w:rPr>
        <w:t> </w:t>
      </w:r>
      <w:r>
        <w:rPr>
          <w:color w:val="231F20"/>
        </w:rPr>
        <w:t>nativo</w:t>
      </w:r>
      <w:r>
        <w:rPr>
          <w:color w:val="231F20"/>
          <w:spacing w:val="-8"/>
        </w:rPr>
        <w:t> </w:t>
      </w:r>
      <w:r>
        <w:rPr>
          <w:color w:val="231F20"/>
        </w:rPr>
        <w:t>ocupado</w:t>
      </w:r>
      <w:r>
        <w:rPr>
          <w:color w:val="231F20"/>
          <w:spacing w:val="-8"/>
        </w:rPr>
        <w:t> </w:t>
      </w:r>
      <w:r>
        <w:rPr>
          <w:color w:val="231F20"/>
        </w:rPr>
        <w:t>en</w:t>
      </w:r>
      <w:r>
        <w:rPr>
          <w:color w:val="231F20"/>
          <w:spacing w:val="-8"/>
        </w:rPr>
        <w:t> </w:t>
      </w:r>
      <w:r>
        <w:rPr>
          <w:color w:val="231F20"/>
        </w:rPr>
        <w:t>ese</w:t>
      </w:r>
      <w:r>
        <w:rPr>
          <w:color w:val="231F20"/>
          <w:spacing w:val="-8"/>
        </w:rPr>
        <w:t> </w:t>
      </w:r>
      <w:r>
        <w:rPr>
          <w:color w:val="231F20"/>
        </w:rPr>
        <w:t>sector disminuyó en 4.3 millones y 1.5 millones, respectivamente, al tiempo que los migrantes ocupados aumentaron en </w:t>
      </w:r>
      <w:r>
        <w:rPr>
          <w:color w:val="231F20"/>
          <w:spacing w:val="-3"/>
        </w:rPr>
        <w:t>411 </w:t>
      </w:r>
      <w:r>
        <w:rPr>
          <w:color w:val="231F20"/>
        </w:rPr>
        <w:t>mil y 262 mil, de los cuales poco</w:t>
      </w:r>
      <w:r>
        <w:rPr>
          <w:color w:val="231F20"/>
          <w:spacing w:val="-7"/>
        </w:rPr>
        <w:t> </w:t>
      </w:r>
      <w:r>
        <w:rPr>
          <w:color w:val="231F20"/>
        </w:rPr>
        <w:t>más</w:t>
      </w:r>
      <w:r>
        <w:rPr>
          <w:color w:val="231F20"/>
          <w:spacing w:val="-7"/>
        </w:rPr>
        <w:t> </w:t>
      </w:r>
      <w:r>
        <w:rPr>
          <w:color w:val="231F20"/>
        </w:rPr>
        <w:t>de</w:t>
      </w:r>
      <w:r>
        <w:rPr>
          <w:color w:val="231F20"/>
          <w:spacing w:val="-7"/>
        </w:rPr>
        <w:t> </w:t>
      </w:r>
      <w:r>
        <w:rPr>
          <w:color w:val="231F20"/>
        </w:rPr>
        <w:t>163</w:t>
      </w:r>
      <w:r>
        <w:rPr>
          <w:color w:val="231F20"/>
          <w:spacing w:val="-7"/>
        </w:rPr>
        <w:t> </w:t>
      </w:r>
      <w:r>
        <w:rPr>
          <w:color w:val="231F20"/>
        </w:rPr>
        <w:t>mil</w:t>
      </w:r>
      <w:r>
        <w:rPr>
          <w:color w:val="231F20"/>
          <w:spacing w:val="-7"/>
        </w:rPr>
        <w:t> </w:t>
      </w:r>
      <w:r>
        <w:rPr>
          <w:color w:val="231F20"/>
        </w:rPr>
        <w:t>(40</w:t>
      </w:r>
      <w:r>
        <w:rPr>
          <w:color w:val="231F20"/>
          <w:spacing w:val="-7"/>
        </w:rPr>
        <w:t> </w:t>
      </w:r>
      <w:r>
        <w:rPr>
          <w:color w:val="231F20"/>
        </w:rPr>
        <w:t>por</w:t>
      </w:r>
      <w:r>
        <w:rPr>
          <w:color w:val="231F20"/>
          <w:spacing w:val="-7"/>
        </w:rPr>
        <w:t> </w:t>
      </w:r>
      <w:r>
        <w:rPr>
          <w:color w:val="231F20"/>
        </w:rPr>
        <w:t>ciento)</w:t>
      </w:r>
      <w:r>
        <w:rPr>
          <w:color w:val="231F20"/>
          <w:spacing w:val="-7"/>
        </w:rPr>
        <w:t> </w:t>
      </w:r>
      <w:r>
        <w:rPr>
          <w:color w:val="231F20"/>
        </w:rPr>
        <w:t>y</w:t>
      </w:r>
      <w:r>
        <w:rPr>
          <w:color w:val="231F20"/>
          <w:spacing w:val="-7"/>
        </w:rPr>
        <w:t> </w:t>
      </w:r>
      <w:r>
        <w:rPr>
          <w:color w:val="231F20"/>
        </w:rPr>
        <w:t>62</w:t>
      </w:r>
      <w:r>
        <w:rPr>
          <w:color w:val="231F20"/>
          <w:spacing w:val="-7"/>
        </w:rPr>
        <w:t> </w:t>
      </w:r>
      <w:r>
        <w:rPr>
          <w:color w:val="231F20"/>
        </w:rPr>
        <w:t>mil</w:t>
      </w:r>
      <w:r>
        <w:rPr>
          <w:color w:val="231F20"/>
          <w:spacing w:val="-7"/>
        </w:rPr>
        <w:t> </w:t>
      </w:r>
      <w:r>
        <w:rPr>
          <w:color w:val="231F20"/>
        </w:rPr>
        <w:t>(24</w:t>
      </w:r>
      <w:r>
        <w:rPr>
          <w:color w:val="231F20"/>
          <w:spacing w:val="-7"/>
        </w:rPr>
        <w:t> </w:t>
      </w:r>
      <w:r>
        <w:rPr>
          <w:color w:val="231F20"/>
        </w:rPr>
        <w:t>por</w:t>
      </w:r>
      <w:r>
        <w:rPr>
          <w:color w:val="231F20"/>
          <w:spacing w:val="-7"/>
        </w:rPr>
        <w:t> </w:t>
      </w:r>
      <w:r>
        <w:rPr>
          <w:color w:val="231F20"/>
        </w:rPr>
        <w:t>ciento)</w:t>
      </w:r>
      <w:r>
        <w:rPr>
          <w:color w:val="231F20"/>
          <w:spacing w:val="-7"/>
        </w:rPr>
        <w:t> </w:t>
      </w:r>
      <w:r>
        <w:rPr>
          <w:color w:val="231F20"/>
        </w:rPr>
        <w:t>correspondie- ron a trabajadores de origen mexicano. Por otro lado, para ciertos grupos de inmigrantes, en particular los inmigrantes mexicanos ubicados en la manufactura, se otorgaron niveles salariales muy bajos. En 2011, el sala- rio promedio anual de un migrante mexicano ocupado en la manufactura equivalía al salario promedio que 14 años atrás (1994) percibía un nativo ocupado en ese sector (Cuadro</w:t>
      </w:r>
      <w:r>
        <w:rPr>
          <w:color w:val="231F20"/>
          <w:spacing w:val="-7"/>
        </w:rPr>
        <w:t> </w:t>
      </w:r>
      <w:r>
        <w:rPr>
          <w:color w:val="231F20"/>
        </w:rPr>
        <w:t>2).</w:t>
      </w:r>
    </w:p>
    <w:p>
      <w:pPr>
        <w:pStyle w:val="BodyText"/>
        <w:spacing w:line="247" w:lineRule="auto"/>
        <w:ind w:left="117" w:right="114" w:firstLine="283"/>
        <w:jc w:val="both"/>
      </w:pPr>
      <w:r>
        <w:rPr>
          <w:color w:val="231F20"/>
        </w:rPr>
        <w:t>Desde el inicio de la recesión económica de 2007 hasta marzo de </w:t>
      </w:r>
      <w:r>
        <w:rPr>
          <w:color w:val="231F20"/>
          <w:spacing w:val="-3"/>
        </w:rPr>
        <w:t>2011 </w:t>
      </w:r>
      <w:r>
        <w:rPr>
          <w:color w:val="231F20"/>
        </w:rPr>
        <w:t>se perdieron casi 6.5 millones de empleos en Estados Unidos. Del total  de inmigrantes, los mexicanos contribuyeron a esta reducción con cinco por ciento, el resto con tres por ciento y los nativos de origen mexicano tuvieron una ganancia de uno por ciento. Los sectores económicos más afectados a nivel estadounidense y para los inmigrantes mexicanos fueron construcción y manufactura, en ese orden de importancia. En contraste,  es pertinente acotar que los mexicanos ocupados en el sector educativo    y servicios de salud registraron un crecimiento de 19.8 por ciento, lo que representa en términos absolutos casi </w:t>
      </w:r>
      <w:r>
        <w:rPr>
          <w:color w:val="231F20"/>
          <w:spacing w:val="-6"/>
        </w:rPr>
        <w:t>111 </w:t>
      </w:r>
      <w:r>
        <w:rPr>
          <w:color w:val="231F20"/>
        </w:rPr>
        <w:t>mil nuevos puestos de trabajo. Asimismo, aunque en menor medida, el monto de trabajadores de origen mexicano ocupados en administración pública creció en 2.5 por ciento (ocho mil nuevos empleos) entre 2008 y</w:t>
      </w:r>
      <w:r>
        <w:rPr>
          <w:color w:val="231F20"/>
          <w:spacing w:val="-12"/>
        </w:rPr>
        <w:t> </w:t>
      </w:r>
      <w:r>
        <w:rPr>
          <w:color w:val="231F20"/>
        </w:rPr>
        <w:t>2011.</w:t>
      </w:r>
    </w:p>
    <w:p>
      <w:pPr>
        <w:spacing w:after="0" w:line="247" w:lineRule="auto"/>
        <w:jc w:val="both"/>
        <w:sectPr>
          <w:footerReference w:type="default" r:id="rId120"/>
          <w:pgSz w:w="9360" w:h="13040"/>
          <w:pgMar w:footer="496" w:header="0" w:top="740" w:bottom="6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p>
    <w:p>
      <w:pPr>
        <w:spacing w:before="84"/>
        <w:ind w:left="280" w:right="0" w:firstLine="0"/>
        <w:jc w:val="left"/>
        <w:rPr>
          <w:sz w:val="15"/>
        </w:rPr>
      </w:pPr>
      <w:r>
        <w:rPr>
          <w:w w:val="115"/>
          <w:sz w:val="15"/>
        </w:rPr>
        <w:t>Cuadro 2. Trabajadores ocupados en la manufactura según condición migratoria, 1994-2011</w:t>
      </w:r>
    </w:p>
    <w:p>
      <w:pPr>
        <w:pStyle w:val="BodyText"/>
        <w:spacing w:before="9"/>
        <w:rPr>
          <w:sz w:val="19"/>
        </w:rPr>
      </w:pPr>
    </w:p>
    <w:p>
      <w:pPr>
        <w:spacing w:after="0"/>
        <w:rPr>
          <w:sz w:val="19"/>
        </w:rPr>
        <w:sectPr>
          <w:footerReference w:type="default" r:id="rId121"/>
          <w:pgSz w:w="13040" w:h="9360" w:orient="landscape"/>
          <w:pgMar w:footer="0" w:header="0" w:top="0" w:bottom="280" w:left="1280" w:right="1300"/>
        </w:sectPr>
      </w:pPr>
    </w:p>
    <w:p>
      <w:pPr>
        <w:spacing w:before="84"/>
        <w:ind w:left="0" w:right="0" w:firstLine="0"/>
        <w:jc w:val="right"/>
        <w:rPr>
          <w:sz w:val="15"/>
        </w:rPr>
      </w:pPr>
      <w:r>
        <w:rPr/>
        <w:pict>
          <v:shape style="position:absolute;margin-left:74.893784pt;margin-top:-9.620936pt;width:506.25pt;height:306.75pt;mso-position-horizontal-relative:page;mso-position-vertical-relative:paragraph;z-index:4048" type="#_x0000_t202" filled="false" stroked="false">
            <v:textbox inset="0,0,0,0">
              <w:txbxContent>
                <w:tbl>
                  <w:tblPr>
                    <w:tblW w:w="0" w:type="auto"/>
                    <w:jc w:val="left"/>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433"/>
                    <w:gridCol w:w="978"/>
                    <w:gridCol w:w="941"/>
                    <w:gridCol w:w="940"/>
                    <w:gridCol w:w="965"/>
                    <w:gridCol w:w="981"/>
                    <w:gridCol w:w="980"/>
                    <w:gridCol w:w="900"/>
                    <w:gridCol w:w="1005"/>
                  </w:tblGrid>
                  <w:tr>
                    <w:trPr>
                      <w:trHeight w:val="203" w:hRule="exact"/>
                    </w:trPr>
                    <w:tc>
                      <w:tcPr>
                        <w:tcW w:w="10124" w:type="dxa"/>
                        <w:gridSpan w:val="9"/>
                        <w:tcBorders>
                          <w:left w:val="nil"/>
                          <w:bottom w:val="nil"/>
                          <w:right w:val="nil"/>
                        </w:tcBorders>
                      </w:tcPr>
                      <w:p>
                        <w:pPr>
                          <w:pStyle w:val="TableParagraph"/>
                          <w:tabs>
                            <w:tab w:pos="8550" w:val="left" w:leader="none"/>
                          </w:tabs>
                          <w:spacing w:before="2"/>
                          <w:ind w:left="6589"/>
                          <w:jc w:val="left"/>
                          <w:rPr>
                            <w:sz w:val="15"/>
                          </w:rPr>
                        </w:pPr>
                        <w:r>
                          <w:rPr>
                            <w:w w:val="115"/>
                            <w:sz w:val="15"/>
                          </w:rPr>
                          <w:t>Tasa</w:t>
                        </w:r>
                        <w:r>
                          <w:rPr>
                            <w:spacing w:val="-1"/>
                            <w:w w:val="115"/>
                            <w:sz w:val="15"/>
                          </w:rPr>
                          <w:t> </w:t>
                        </w:r>
                        <w:r>
                          <w:rPr>
                            <w:w w:val="115"/>
                            <w:sz w:val="15"/>
                          </w:rPr>
                          <w:t>de</w:t>
                          <w:tab/>
                          <w:t>Tasa</w:t>
                        </w:r>
                        <w:r>
                          <w:rPr>
                            <w:spacing w:val="-2"/>
                            <w:w w:val="115"/>
                            <w:sz w:val="15"/>
                          </w:rPr>
                          <w:t> </w:t>
                        </w:r>
                        <w:r>
                          <w:rPr>
                            <w:w w:val="115"/>
                            <w:sz w:val="15"/>
                          </w:rPr>
                          <w:t>de</w:t>
                        </w:r>
                      </w:p>
                    </w:tc>
                  </w:tr>
                  <w:tr>
                    <w:trPr>
                      <w:trHeight w:val="180" w:hRule="exact"/>
                    </w:trPr>
                    <w:tc>
                      <w:tcPr>
                        <w:tcW w:w="2433" w:type="dxa"/>
                        <w:tcBorders>
                          <w:top w:val="nil"/>
                          <w:left w:val="nil"/>
                          <w:bottom w:val="nil"/>
                          <w:right w:val="nil"/>
                        </w:tcBorders>
                      </w:tcPr>
                      <w:p>
                        <w:pPr>
                          <w:pStyle w:val="TableParagraph"/>
                          <w:spacing w:line="156" w:lineRule="exact"/>
                          <w:ind w:left="62"/>
                          <w:jc w:val="left"/>
                          <w:rPr>
                            <w:sz w:val="15"/>
                          </w:rPr>
                        </w:pPr>
                        <w:r>
                          <w:rPr>
                            <w:w w:val="115"/>
                            <w:sz w:val="15"/>
                          </w:rPr>
                          <w:t>Ocupados</w:t>
                        </w:r>
                      </w:p>
                    </w:tc>
                    <w:tc>
                      <w:tcPr>
                        <w:tcW w:w="978" w:type="dxa"/>
                        <w:tcBorders>
                          <w:top w:val="nil"/>
                          <w:left w:val="nil"/>
                          <w:bottom w:val="nil"/>
                          <w:right w:val="nil"/>
                        </w:tcBorders>
                      </w:tcPr>
                      <w:p>
                        <w:pPr>
                          <w:pStyle w:val="TableParagraph"/>
                          <w:spacing w:line="156" w:lineRule="exact"/>
                          <w:ind w:right="98"/>
                          <w:rPr>
                            <w:sz w:val="15"/>
                          </w:rPr>
                        </w:pPr>
                        <w:r>
                          <w:rPr>
                            <w:w w:val="110"/>
                            <w:sz w:val="15"/>
                          </w:rPr>
                          <w:t>1994</w:t>
                        </w:r>
                      </w:p>
                    </w:tc>
                    <w:tc>
                      <w:tcPr>
                        <w:tcW w:w="941" w:type="dxa"/>
                        <w:tcBorders>
                          <w:top w:val="nil"/>
                          <w:left w:val="nil"/>
                          <w:bottom w:val="nil"/>
                          <w:right w:val="nil"/>
                        </w:tcBorders>
                      </w:tcPr>
                      <w:p>
                        <w:pPr>
                          <w:pStyle w:val="TableParagraph"/>
                          <w:spacing w:line="156" w:lineRule="exact"/>
                          <w:ind w:right="60"/>
                          <w:rPr>
                            <w:sz w:val="15"/>
                          </w:rPr>
                        </w:pPr>
                        <w:r>
                          <w:rPr>
                            <w:w w:val="110"/>
                            <w:sz w:val="15"/>
                          </w:rPr>
                          <w:t>2008</w:t>
                        </w:r>
                      </w:p>
                    </w:tc>
                    <w:tc>
                      <w:tcPr>
                        <w:tcW w:w="5772" w:type="dxa"/>
                        <w:gridSpan w:val="6"/>
                        <w:tcBorders>
                          <w:top w:val="nil"/>
                          <w:left w:val="nil"/>
                          <w:bottom w:val="nil"/>
                          <w:right w:val="nil"/>
                        </w:tcBorders>
                      </w:tcPr>
                      <w:p>
                        <w:pPr>
                          <w:pStyle w:val="TableParagraph"/>
                          <w:tabs>
                            <w:tab w:pos="1058" w:val="left" w:leader="none"/>
                            <w:tab w:pos="3021" w:val="left" w:leader="none"/>
                            <w:tab w:pos="4979" w:val="left" w:leader="none"/>
                          </w:tabs>
                          <w:spacing w:line="156" w:lineRule="exact"/>
                          <w:ind w:left="495"/>
                          <w:jc w:val="left"/>
                          <w:rPr>
                            <w:sz w:val="15"/>
                          </w:rPr>
                        </w:pPr>
                        <w:r>
                          <w:rPr>
                            <w:w w:val="115"/>
                            <w:position w:val="-8"/>
                            <w:sz w:val="15"/>
                          </w:rPr>
                          <w:t>2011</w:t>
                          <w:tab/>
                        </w:r>
                        <w:r>
                          <w:rPr>
                            <w:w w:val="115"/>
                            <w:sz w:val="15"/>
                          </w:rPr>
                          <w:t>Diferencia  </w:t>
                        </w:r>
                        <w:r>
                          <w:rPr>
                            <w:spacing w:val="33"/>
                            <w:w w:val="115"/>
                            <w:sz w:val="15"/>
                          </w:rPr>
                          <w:t> </w:t>
                        </w:r>
                        <w:r>
                          <w:rPr>
                            <w:w w:val="115"/>
                            <w:position w:val="-8"/>
                            <w:sz w:val="15"/>
                          </w:rPr>
                          <w:t>crecimiento</w:t>
                          <w:tab/>
                        </w:r>
                        <w:r>
                          <w:rPr>
                            <w:w w:val="115"/>
                            <w:sz w:val="15"/>
                          </w:rPr>
                          <w:t>Diferencia  </w:t>
                        </w:r>
                        <w:r>
                          <w:rPr>
                            <w:spacing w:val="32"/>
                            <w:w w:val="115"/>
                            <w:sz w:val="15"/>
                          </w:rPr>
                          <w:t> </w:t>
                        </w:r>
                        <w:r>
                          <w:rPr>
                            <w:w w:val="115"/>
                            <w:position w:val="-8"/>
                            <w:sz w:val="15"/>
                          </w:rPr>
                          <w:t>crecimiento</w:t>
                          <w:tab/>
                        </w:r>
                        <w:r>
                          <w:rPr>
                            <w:w w:val="115"/>
                            <w:sz w:val="15"/>
                          </w:rPr>
                          <w:t>Diferencia</w:t>
                        </w:r>
                      </w:p>
                    </w:tc>
                  </w:tr>
                  <w:tr>
                    <w:trPr>
                      <w:trHeight w:val="172" w:hRule="exact"/>
                    </w:trPr>
                    <w:tc>
                      <w:tcPr>
                        <w:tcW w:w="2433" w:type="dxa"/>
                        <w:tcBorders>
                          <w:top w:val="nil"/>
                          <w:left w:val="nil"/>
                          <w:bottom w:val="double" w:sz="3" w:space="0" w:color="000000"/>
                          <w:right w:val="nil"/>
                        </w:tcBorders>
                      </w:tcPr>
                      <w:p>
                        <w:pPr/>
                      </w:p>
                    </w:tc>
                    <w:tc>
                      <w:tcPr>
                        <w:tcW w:w="978" w:type="dxa"/>
                        <w:tcBorders>
                          <w:top w:val="nil"/>
                          <w:left w:val="nil"/>
                          <w:bottom w:val="double" w:sz="3" w:space="0" w:color="000000"/>
                          <w:right w:val="nil"/>
                        </w:tcBorders>
                      </w:tcPr>
                      <w:p>
                        <w:pPr/>
                      </w:p>
                    </w:tc>
                    <w:tc>
                      <w:tcPr>
                        <w:tcW w:w="941" w:type="dxa"/>
                        <w:tcBorders>
                          <w:top w:val="nil"/>
                          <w:left w:val="nil"/>
                          <w:bottom w:val="double" w:sz="3" w:space="0" w:color="000000"/>
                          <w:right w:val="nil"/>
                        </w:tcBorders>
                      </w:tcPr>
                      <w:p>
                        <w:pPr/>
                      </w:p>
                    </w:tc>
                    <w:tc>
                      <w:tcPr>
                        <w:tcW w:w="940" w:type="dxa"/>
                        <w:tcBorders>
                          <w:top w:val="nil"/>
                          <w:left w:val="nil"/>
                          <w:bottom w:val="double" w:sz="3" w:space="0" w:color="000000"/>
                          <w:right w:val="nil"/>
                        </w:tcBorders>
                      </w:tcPr>
                      <w:p>
                        <w:pPr/>
                      </w:p>
                    </w:tc>
                    <w:tc>
                      <w:tcPr>
                        <w:tcW w:w="965" w:type="dxa"/>
                        <w:tcBorders>
                          <w:top w:val="nil"/>
                          <w:left w:val="nil"/>
                          <w:bottom w:val="double" w:sz="3" w:space="0" w:color="000000"/>
                          <w:right w:val="nil"/>
                        </w:tcBorders>
                      </w:tcPr>
                      <w:p>
                        <w:pPr/>
                      </w:p>
                    </w:tc>
                    <w:tc>
                      <w:tcPr>
                        <w:tcW w:w="981" w:type="dxa"/>
                        <w:tcBorders>
                          <w:top w:val="nil"/>
                          <w:left w:val="nil"/>
                          <w:bottom w:val="double" w:sz="3" w:space="0" w:color="000000"/>
                          <w:right w:val="nil"/>
                        </w:tcBorders>
                      </w:tcPr>
                      <w:p>
                        <w:pPr>
                          <w:pStyle w:val="TableParagraph"/>
                          <w:spacing w:line="156" w:lineRule="exact"/>
                          <w:ind w:right="113"/>
                          <w:rPr>
                            <w:sz w:val="15"/>
                          </w:rPr>
                        </w:pPr>
                        <w:r>
                          <w:rPr>
                            <w:w w:val="110"/>
                            <w:sz w:val="15"/>
                          </w:rPr>
                          <w:t>1994-2008</w:t>
                        </w:r>
                      </w:p>
                    </w:tc>
                    <w:tc>
                      <w:tcPr>
                        <w:tcW w:w="980" w:type="dxa"/>
                        <w:tcBorders>
                          <w:top w:val="nil"/>
                          <w:left w:val="nil"/>
                          <w:bottom w:val="double" w:sz="3" w:space="0" w:color="000000"/>
                          <w:right w:val="nil"/>
                        </w:tcBorders>
                      </w:tcPr>
                      <w:p>
                        <w:pPr/>
                      </w:p>
                    </w:tc>
                    <w:tc>
                      <w:tcPr>
                        <w:tcW w:w="900" w:type="dxa"/>
                        <w:tcBorders>
                          <w:top w:val="nil"/>
                          <w:left w:val="nil"/>
                          <w:bottom w:val="double" w:sz="3" w:space="0" w:color="000000"/>
                          <w:right w:val="nil"/>
                        </w:tcBorders>
                      </w:tcPr>
                      <w:p>
                        <w:pPr>
                          <w:pStyle w:val="TableParagraph"/>
                          <w:spacing w:line="156" w:lineRule="exact"/>
                          <w:ind w:right="33"/>
                          <w:rPr>
                            <w:sz w:val="15"/>
                          </w:rPr>
                        </w:pPr>
                        <w:r>
                          <w:rPr>
                            <w:w w:val="110"/>
                            <w:sz w:val="15"/>
                          </w:rPr>
                          <w:t>2008-2011</w:t>
                        </w:r>
                      </w:p>
                    </w:tc>
                    <w:tc>
                      <w:tcPr>
                        <w:tcW w:w="1005" w:type="dxa"/>
                        <w:tcBorders>
                          <w:top w:val="nil"/>
                          <w:left w:val="nil"/>
                          <w:bottom w:val="double" w:sz="3" w:space="0" w:color="000000"/>
                          <w:right w:val="nil"/>
                        </w:tcBorders>
                      </w:tcPr>
                      <w:p>
                        <w:pPr/>
                      </w:p>
                    </w:tc>
                  </w:tr>
                  <w:tr>
                    <w:trPr>
                      <w:trHeight w:val="514" w:hRule="exact"/>
                    </w:trPr>
                    <w:tc>
                      <w:tcPr>
                        <w:tcW w:w="2433" w:type="dxa"/>
                        <w:tcBorders>
                          <w:top w:val="double" w:sz="3" w:space="0" w:color="000000"/>
                          <w:left w:val="nil"/>
                          <w:bottom w:val="nil"/>
                          <w:right w:val="nil"/>
                        </w:tcBorders>
                      </w:tcPr>
                      <w:p>
                        <w:pPr>
                          <w:pStyle w:val="TableParagraph"/>
                          <w:spacing w:before="58"/>
                          <w:ind w:left="62"/>
                          <w:jc w:val="left"/>
                          <w:rPr>
                            <w:i/>
                            <w:sz w:val="15"/>
                          </w:rPr>
                        </w:pPr>
                        <w:r>
                          <w:rPr>
                            <w:i/>
                            <w:w w:val="115"/>
                            <w:sz w:val="15"/>
                          </w:rPr>
                          <w:t>Manufactura</w:t>
                        </w:r>
                      </w:p>
                      <w:p>
                        <w:pPr>
                          <w:pStyle w:val="TableParagraph"/>
                          <w:spacing w:before="60"/>
                          <w:ind w:left="62"/>
                          <w:jc w:val="left"/>
                          <w:rPr>
                            <w:sz w:val="15"/>
                          </w:rPr>
                        </w:pPr>
                        <w:r>
                          <w:rPr>
                            <w:w w:val="115"/>
                            <w:sz w:val="15"/>
                          </w:rPr>
                          <w:t>Población ocupada</w:t>
                        </w:r>
                      </w:p>
                    </w:tc>
                    <w:tc>
                      <w:tcPr>
                        <w:tcW w:w="978" w:type="dxa"/>
                        <w:tcBorders>
                          <w:top w:val="double" w:sz="3" w:space="0" w:color="000000"/>
                          <w:left w:val="nil"/>
                          <w:bottom w:val="nil"/>
                          <w:right w:val="nil"/>
                        </w:tcBorders>
                      </w:tcPr>
                      <w:p>
                        <w:pPr>
                          <w:pStyle w:val="TableParagraph"/>
                          <w:jc w:val="left"/>
                          <w:rPr>
                            <w:sz w:val="14"/>
                          </w:rPr>
                        </w:pPr>
                      </w:p>
                      <w:p>
                        <w:pPr>
                          <w:pStyle w:val="TableParagraph"/>
                          <w:spacing w:before="3"/>
                          <w:jc w:val="left"/>
                          <w:rPr>
                            <w:sz w:val="11"/>
                          </w:rPr>
                        </w:pPr>
                      </w:p>
                      <w:p>
                        <w:pPr>
                          <w:pStyle w:val="TableParagraph"/>
                          <w:spacing w:before="1"/>
                          <w:ind w:right="98"/>
                          <w:rPr>
                            <w:sz w:val="15"/>
                          </w:rPr>
                        </w:pPr>
                        <w:r>
                          <w:rPr>
                            <w:w w:val="115"/>
                            <w:sz w:val="15"/>
                          </w:rPr>
                          <w:t>19 758 085</w:t>
                        </w:r>
                      </w:p>
                    </w:tc>
                    <w:tc>
                      <w:tcPr>
                        <w:tcW w:w="941" w:type="dxa"/>
                        <w:tcBorders>
                          <w:top w:val="double" w:sz="3" w:space="0" w:color="000000"/>
                          <w:left w:val="nil"/>
                          <w:bottom w:val="nil"/>
                          <w:right w:val="nil"/>
                        </w:tcBorders>
                      </w:tcPr>
                      <w:p>
                        <w:pPr>
                          <w:pStyle w:val="TableParagraph"/>
                          <w:jc w:val="left"/>
                          <w:rPr>
                            <w:sz w:val="14"/>
                          </w:rPr>
                        </w:pPr>
                      </w:p>
                      <w:p>
                        <w:pPr>
                          <w:pStyle w:val="TableParagraph"/>
                          <w:spacing w:before="3"/>
                          <w:jc w:val="left"/>
                          <w:rPr>
                            <w:sz w:val="11"/>
                          </w:rPr>
                        </w:pPr>
                      </w:p>
                      <w:p>
                        <w:pPr>
                          <w:pStyle w:val="TableParagraph"/>
                          <w:spacing w:before="1"/>
                          <w:ind w:right="60"/>
                          <w:rPr>
                            <w:sz w:val="15"/>
                          </w:rPr>
                        </w:pPr>
                        <w:r>
                          <w:rPr>
                            <w:w w:val="115"/>
                            <w:sz w:val="15"/>
                          </w:rPr>
                          <w:t>15 842 747</w:t>
                        </w:r>
                      </w:p>
                    </w:tc>
                    <w:tc>
                      <w:tcPr>
                        <w:tcW w:w="940" w:type="dxa"/>
                        <w:tcBorders>
                          <w:top w:val="double" w:sz="3" w:space="0" w:color="000000"/>
                          <w:left w:val="nil"/>
                          <w:bottom w:val="nil"/>
                          <w:right w:val="nil"/>
                        </w:tcBorders>
                      </w:tcPr>
                      <w:p>
                        <w:pPr>
                          <w:pStyle w:val="TableParagraph"/>
                          <w:jc w:val="left"/>
                          <w:rPr>
                            <w:sz w:val="14"/>
                          </w:rPr>
                        </w:pPr>
                      </w:p>
                      <w:p>
                        <w:pPr>
                          <w:pStyle w:val="TableParagraph"/>
                          <w:spacing w:before="3"/>
                          <w:jc w:val="left"/>
                          <w:rPr>
                            <w:sz w:val="11"/>
                          </w:rPr>
                        </w:pPr>
                      </w:p>
                      <w:p>
                        <w:pPr>
                          <w:pStyle w:val="TableParagraph"/>
                          <w:spacing w:before="1"/>
                          <w:ind w:right="97"/>
                          <w:rPr>
                            <w:sz w:val="15"/>
                          </w:rPr>
                        </w:pPr>
                        <w:r>
                          <w:rPr>
                            <w:w w:val="115"/>
                            <w:sz w:val="15"/>
                          </w:rPr>
                          <w:t>14 126 604</w:t>
                        </w:r>
                      </w:p>
                    </w:tc>
                    <w:tc>
                      <w:tcPr>
                        <w:tcW w:w="965" w:type="dxa"/>
                        <w:tcBorders>
                          <w:top w:val="double" w:sz="3" w:space="0" w:color="000000"/>
                          <w:left w:val="nil"/>
                          <w:bottom w:val="nil"/>
                          <w:right w:val="nil"/>
                        </w:tcBorders>
                      </w:tcPr>
                      <w:p>
                        <w:pPr>
                          <w:pStyle w:val="TableParagraph"/>
                          <w:jc w:val="left"/>
                          <w:rPr>
                            <w:sz w:val="14"/>
                          </w:rPr>
                        </w:pPr>
                      </w:p>
                      <w:p>
                        <w:pPr>
                          <w:pStyle w:val="TableParagraph"/>
                          <w:spacing w:before="3"/>
                          <w:jc w:val="left"/>
                          <w:rPr>
                            <w:sz w:val="11"/>
                          </w:rPr>
                        </w:pPr>
                      </w:p>
                      <w:p>
                        <w:pPr>
                          <w:pStyle w:val="TableParagraph"/>
                          <w:spacing w:before="1"/>
                          <w:ind w:right="113"/>
                          <w:rPr>
                            <w:sz w:val="15"/>
                          </w:rPr>
                        </w:pPr>
                        <w:r>
                          <w:rPr>
                            <w:w w:val="115"/>
                            <w:sz w:val="15"/>
                          </w:rPr>
                          <w:t>-3 915 339</w:t>
                        </w:r>
                      </w:p>
                    </w:tc>
                    <w:tc>
                      <w:tcPr>
                        <w:tcW w:w="981" w:type="dxa"/>
                        <w:tcBorders>
                          <w:top w:val="double" w:sz="3" w:space="0" w:color="000000"/>
                          <w:left w:val="nil"/>
                          <w:bottom w:val="nil"/>
                          <w:right w:val="nil"/>
                        </w:tcBorders>
                      </w:tcPr>
                      <w:p>
                        <w:pPr>
                          <w:pStyle w:val="TableParagraph"/>
                          <w:jc w:val="left"/>
                          <w:rPr>
                            <w:sz w:val="14"/>
                          </w:rPr>
                        </w:pPr>
                      </w:p>
                      <w:p>
                        <w:pPr>
                          <w:pStyle w:val="TableParagraph"/>
                          <w:spacing w:before="3"/>
                          <w:jc w:val="left"/>
                          <w:rPr>
                            <w:sz w:val="11"/>
                          </w:rPr>
                        </w:pPr>
                      </w:p>
                      <w:p>
                        <w:pPr>
                          <w:pStyle w:val="TableParagraph"/>
                          <w:spacing w:before="1"/>
                          <w:ind w:right="113"/>
                          <w:rPr>
                            <w:sz w:val="15"/>
                          </w:rPr>
                        </w:pPr>
                        <w:r>
                          <w:rPr>
                            <w:w w:val="110"/>
                            <w:sz w:val="15"/>
                          </w:rPr>
                          <w:t>-1.6</w:t>
                        </w:r>
                      </w:p>
                    </w:tc>
                    <w:tc>
                      <w:tcPr>
                        <w:tcW w:w="980" w:type="dxa"/>
                        <w:tcBorders>
                          <w:top w:val="double" w:sz="3" w:space="0" w:color="000000"/>
                          <w:left w:val="nil"/>
                          <w:bottom w:val="nil"/>
                          <w:right w:val="nil"/>
                        </w:tcBorders>
                      </w:tcPr>
                      <w:p>
                        <w:pPr>
                          <w:pStyle w:val="TableParagraph"/>
                          <w:jc w:val="left"/>
                          <w:rPr>
                            <w:sz w:val="14"/>
                          </w:rPr>
                        </w:pPr>
                      </w:p>
                      <w:p>
                        <w:pPr>
                          <w:pStyle w:val="TableParagraph"/>
                          <w:spacing w:before="3"/>
                          <w:jc w:val="left"/>
                          <w:rPr>
                            <w:sz w:val="11"/>
                          </w:rPr>
                        </w:pPr>
                      </w:p>
                      <w:p>
                        <w:pPr>
                          <w:pStyle w:val="TableParagraph"/>
                          <w:spacing w:before="1"/>
                          <w:ind w:right="113"/>
                          <w:rPr>
                            <w:sz w:val="15"/>
                          </w:rPr>
                        </w:pPr>
                        <w:r>
                          <w:rPr>
                            <w:w w:val="115"/>
                            <w:sz w:val="15"/>
                          </w:rPr>
                          <w:t>-1 716 143</w:t>
                        </w:r>
                      </w:p>
                    </w:tc>
                    <w:tc>
                      <w:tcPr>
                        <w:tcW w:w="900" w:type="dxa"/>
                        <w:tcBorders>
                          <w:top w:val="double" w:sz="3" w:space="0" w:color="000000"/>
                          <w:left w:val="nil"/>
                          <w:bottom w:val="nil"/>
                          <w:right w:val="nil"/>
                        </w:tcBorders>
                      </w:tcPr>
                      <w:p>
                        <w:pPr>
                          <w:pStyle w:val="TableParagraph"/>
                          <w:jc w:val="left"/>
                          <w:rPr>
                            <w:sz w:val="14"/>
                          </w:rPr>
                        </w:pPr>
                      </w:p>
                      <w:p>
                        <w:pPr>
                          <w:pStyle w:val="TableParagraph"/>
                          <w:spacing w:before="3"/>
                          <w:jc w:val="left"/>
                          <w:rPr>
                            <w:sz w:val="11"/>
                          </w:rPr>
                        </w:pPr>
                      </w:p>
                      <w:p>
                        <w:pPr>
                          <w:pStyle w:val="TableParagraph"/>
                          <w:spacing w:before="1"/>
                          <w:ind w:right="33"/>
                          <w:rPr>
                            <w:sz w:val="15"/>
                          </w:rPr>
                        </w:pPr>
                        <w:r>
                          <w:rPr>
                            <w:w w:val="110"/>
                            <w:sz w:val="15"/>
                          </w:rPr>
                          <w:t>-3.7</w:t>
                        </w:r>
                      </w:p>
                    </w:tc>
                    <w:tc>
                      <w:tcPr>
                        <w:tcW w:w="1005" w:type="dxa"/>
                        <w:tcBorders>
                          <w:top w:val="double" w:sz="3" w:space="0" w:color="000000"/>
                          <w:left w:val="nil"/>
                          <w:bottom w:val="nil"/>
                          <w:right w:val="nil"/>
                        </w:tcBorders>
                      </w:tcPr>
                      <w:p>
                        <w:pPr>
                          <w:pStyle w:val="TableParagraph"/>
                          <w:jc w:val="left"/>
                          <w:rPr>
                            <w:sz w:val="14"/>
                          </w:rPr>
                        </w:pPr>
                      </w:p>
                      <w:p>
                        <w:pPr>
                          <w:pStyle w:val="TableParagraph"/>
                          <w:spacing w:before="3"/>
                          <w:jc w:val="left"/>
                          <w:rPr>
                            <w:sz w:val="11"/>
                          </w:rPr>
                        </w:pPr>
                      </w:p>
                      <w:p>
                        <w:pPr>
                          <w:pStyle w:val="TableParagraph"/>
                          <w:spacing w:before="1"/>
                          <w:ind w:right="60"/>
                          <w:rPr>
                            <w:sz w:val="15"/>
                          </w:rPr>
                        </w:pPr>
                        <w:r>
                          <w:rPr>
                            <w:w w:val="115"/>
                            <w:sz w:val="15"/>
                          </w:rPr>
                          <w:t>-5 631 482</w:t>
                        </w:r>
                      </w:p>
                    </w:tc>
                  </w:tr>
                  <w:tr>
                    <w:trPr>
                      <w:trHeight w:val="234" w:hRule="exact"/>
                    </w:trPr>
                    <w:tc>
                      <w:tcPr>
                        <w:tcW w:w="2433" w:type="dxa"/>
                        <w:tcBorders>
                          <w:top w:val="nil"/>
                          <w:left w:val="nil"/>
                          <w:bottom w:val="nil"/>
                          <w:right w:val="nil"/>
                        </w:tcBorders>
                      </w:tcPr>
                      <w:p>
                        <w:pPr>
                          <w:pStyle w:val="TableParagraph"/>
                          <w:spacing w:before="25"/>
                          <w:ind w:left="62"/>
                          <w:jc w:val="left"/>
                          <w:rPr>
                            <w:sz w:val="15"/>
                          </w:rPr>
                        </w:pPr>
                        <w:r>
                          <w:rPr>
                            <w:w w:val="115"/>
                            <w:sz w:val="15"/>
                          </w:rPr>
                          <w:t>Salario promedio anual (dólares)</w:t>
                        </w:r>
                      </w:p>
                    </w:tc>
                    <w:tc>
                      <w:tcPr>
                        <w:tcW w:w="978" w:type="dxa"/>
                        <w:tcBorders>
                          <w:top w:val="nil"/>
                          <w:left w:val="nil"/>
                          <w:bottom w:val="nil"/>
                          <w:right w:val="nil"/>
                        </w:tcBorders>
                      </w:tcPr>
                      <w:p>
                        <w:pPr>
                          <w:pStyle w:val="TableParagraph"/>
                          <w:spacing w:before="25"/>
                          <w:ind w:right="98"/>
                          <w:rPr>
                            <w:sz w:val="15"/>
                          </w:rPr>
                        </w:pPr>
                        <w:r>
                          <w:rPr>
                            <w:w w:val="115"/>
                            <w:sz w:val="15"/>
                          </w:rPr>
                          <w:t>29 013</w:t>
                        </w:r>
                      </w:p>
                    </w:tc>
                    <w:tc>
                      <w:tcPr>
                        <w:tcW w:w="941" w:type="dxa"/>
                        <w:tcBorders>
                          <w:top w:val="nil"/>
                          <w:left w:val="nil"/>
                          <w:bottom w:val="nil"/>
                          <w:right w:val="nil"/>
                        </w:tcBorders>
                      </w:tcPr>
                      <w:p>
                        <w:pPr>
                          <w:pStyle w:val="TableParagraph"/>
                          <w:spacing w:before="25"/>
                          <w:ind w:right="60"/>
                          <w:rPr>
                            <w:sz w:val="15"/>
                          </w:rPr>
                        </w:pPr>
                        <w:r>
                          <w:rPr>
                            <w:w w:val="115"/>
                            <w:sz w:val="15"/>
                          </w:rPr>
                          <w:t>47 316</w:t>
                        </w:r>
                      </w:p>
                    </w:tc>
                    <w:tc>
                      <w:tcPr>
                        <w:tcW w:w="940" w:type="dxa"/>
                        <w:tcBorders>
                          <w:top w:val="nil"/>
                          <w:left w:val="nil"/>
                          <w:bottom w:val="nil"/>
                          <w:right w:val="nil"/>
                        </w:tcBorders>
                      </w:tcPr>
                      <w:p>
                        <w:pPr>
                          <w:pStyle w:val="TableParagraph"/>
                          <w:spacing w:before="25"/>
                          <w:ind w:right="97"/>
                          <w:rPr>
                            <w:sz w:val="15"/>
                          </w:rPr>
                        </w:pPr>
                        <w:r>
                          <w:rPr>
                            <w:w w:val="115"/>
                            <w:sz w:val="15"/>
                          </w:rPr>
                          <w:t>49 789</w:t>
                        </w:r>
                      </w:p>
                    </w:tc>
                    <w:tc>
                      <w:tcPr>
                        <w:tcW w:w="965" w:type="dxa"/>
                        <w:tcBorders>
                          <w:top w:val="nil"/>
                          <w:left w:val="nil"/>
                          <w:bottom w:val="nil"/>
                          <w:right w:val="nil"/>
                        </w:tcBorders>
                      </w:tcPr>
                      <w:p>
                        <w:pPr/>
                      </w:p>
                    </w:tc>
                    <w:tc>
                      <w:tcPr>
                        <w:tcW w:w="981" w:type="dxa"/>
                        <w:tcBorders>
                          <w:top w:val="nil"/>
                          <w:left w:val="nil"/>
                          <w:bottom w:val="nil"/>
                          <w:right w:val="nil"/>
                        </w:tcBorders>
                      </w:tcPr>
                      <w:p>
                        <w:pPr/>
                      </w:p>
                    </w:tc>
                    <w:tc>
                      <w:tcPr>
                        <w:tcW w:w="980" w:type="dxa"/>
                        <w:tcBorders>
                          <w:top w:val="nil"/>
                          <w:left w:val="nil"/>
                          <w:bottom w:val="nil"/>
                          <w:right w:val="nil"/>
                        </w:tcBorders>
                      </w:tcPr>
                      <w:p>
                        <w:pPr/>
                      </w:p>
                    </w:tc>
                    <w:tc>
                      <w:tcPr>
                        <w:tcW w:w="900" w:type="dxa"/>
                        <w:tcBorders>
                          <w:top w:val="nil"/>
                          <w:left w:val="nil"/>
                          <w:bottom w:val="nil"/>
                          <w:right w:val="nil"/>
                        </w:tcBorders>
                      </w:tcPr>
                      <w:p>
                        <w:pPr/>
                      </w:p>
                    </w:tc>
                    <w:tc>
                      <w:tcPr>
                        <w:tcW w:w="1005" w:type="dxa"/>
                        <w:tcBorders>
                          <w:top w:val="nil"/>
                          <w:left w:val="nil"/>
                          <w:bottom w:val="nil"/>
                          <w:right w:val="nil"/>
                        </w:tcBorders>
                      </w:tcPr>
                      <w:p>
                        <w:pPr/>
                      </w:p>
                    </w:tc>
                  </w:tr>
                  <w:tr>
                    <w:trPr>
                      <w:trHeight w:val="234" w:hRule="exact"/>
                    </w:trPr>
                    <w:tc>
                      <w:tcPr>
                        <w:tcW w:w="2433" w:type="dxa"/>
                        <w:tcBorders>
                          <w:top w:val="nil"/>
                          <w:left w:val="nil"/>
                          <w:bottom w:val="nil"/>
                          <w:right w:val="nil"/>
                        </w:tcBorders>
                      </w:tcPr>
                      <w:p>
                        <w:pPr>
                          <w:pStyle w:val="TableParagraph"/>
                          <w:spacing w:before="23"/>
                          <w:ind w:left="62"/>
                          <w:jc w:val="left"/>
                          <w:rPr>
                            <w:sz w:val="15"/>
                          </w:rPr>
                        </w:pPr>
                        <w:r>
                          <w:rPr>
                            <w:w w:val="115"/>
                            <w:sz w:val="15"/>
                          </w:rPr>
                          <w:t>Población ocupada nativa</w:t>
                        </w:r>
                      </w:p>
                    </w:tc>
                    <w:tc>
                      <w:tcPr>
                        <w:tcW w:w="978" w:type="dxa"/>
                        <w:tcBorders>
                          <w:top w:val="nil"/>
                          <w:left w:val="nil"/>
                          <w:bottom w:val="nil"/>
                          <w:right w:val="nil"/>
                        </w:tcBorders>
                      </w:tcPr>
                      <w:p>
                        <w:pPr>
                          <w:pStyle w:val="TableParagraph"/>
                          <w:spacing w:before="23"/>
                          <w:ind w:right="98"/>
                          <w:rPr>
                            <w:sz w:val="15"/>
                          </w:rPr>
                        </w:pPr>
                        <w:r>
                          <w:rPr>
                            <w:w w:val="115"/>
                            <w:sz w:val="15"/>
                          </w:rPr>
                          <w:t>17 179 705</w:t>
                        </w:r>
                      </w:p>
                    </w:tc>
                    <w:tc>
                      <w:tcPr>
                        <w:tcW w:w="941" w:type="dxa"/>
                        <w:tcBorders>
                          <w:top w:val="nil"/>
                          <w:left w:val="nil"/>
                          <w:bottom w:val="nil"/>
                          <w:right w:val="nil"/>
                        </w:tcBorders>
                      </w:tcPr>
                      <w:p>
                        <w:pPr>
                          <w:pStyle w:val="TableParagraph"/>
                          <w:spacing w:before="23"/>
                          <w:ind w:right="60"/>
                          <w:rPr>
                            <w:sz w:val="15"/>
                          </w:rPr>
                        </w:pPr>
                        <w:r>
                          <w:rPr>
                            <w:w w:val="115"/>
                            <w:sz w:val="15"/>
                          </w:rPr>
                          <w:t>12 853 157</w:t>
                        </w:r>
                      </w:p>
                    </w:tc>
                    <w:tc>
                      <w:tcPr>
                        <w:tcW w:w="940" w:type="dxa"/>
                        <w:tcBorders>
                          <w:top w:val="nil"/>
                          <w:left w:val="nil"/>
                          <w:bottom w:val="nil"/>
                          <w:right w:val="nil"/>
                        </w:tcBorders>
                      </w:tcPr>
                      <w:p>
                        <w:pPr>
                          <w:pStyle w:val="TableParagraph"/>
                          <w:spacing w:before="23"/>
                          <w:ind w:right="97"/>
                          <w:rPr>
                            <w:sz w:val="15"/>
                          </w:rPr>
                        </w:pPr>
                        <w:r>
                          <w:rPr>
                            <w:w w:val="115"/>
                            <w:sz w:val="15"/>
                          </w:rPr>
                          <w:t>11 286 063</w:t>
                        </w:r>
                      </w:p>
                    </w:tc>
                    <w:tc>
                      <w:tcPr>
                        <w:tcW w:w="965" w:type="dxa"/>
                        <w:tcBorders>
                          <w:top w:val="nil"/>
                          <w:left w:val="nil"/>
                          <w:bottom w:val="nil"/>
                          <w:right w:val="nil"/>
                        </w:tcBorders>
                      </w:tcPr>
                      <w:p>
                        <w:pPr>
                          <w:pStyle w:val="TableParagraph"/>
                          <w:spacing w:before="23"/>
                          <w:ind w:right="113"/>
                          <w:rPr>
                            <w:sz w:val="15"/>
                          </w:rPr>
                        </w:pPr>
                        <w:r>
                          <w:rPr>
                            <w:w w:val="115"/>
                            <w:sz w:val="15"/>
                          </w:rPr>
                          <w:t>-4 326 548</w:t>
                        </w:r>
                      </w:p>
                    </w:tc>
                    <w:tc>
                      <w:tcPr>
                        <w:tcW w:w="981" w:type="dxa"/>
                        <w:tcBorders>
                          <w:top w:val="nil"/>
                          <w:left w:val="nil"/>
                          <w:bottom w:val="nil"/>
                          <w:right w:val="nil"/>
                        </w:tcBorders>
                      </w:tcPr>
                      <w:p>
                        <w:pPr>
                          <w:pStyle w:val="TableParagraph"/>
                          <w:spacing w:before="23"/>
                          <w:ind w:right="113"/>
                          <w:rPr>
                            <w:sz w:val="15"/>
                          </w:rPr>
                        </w:pPr>
                        <w:r>
                          <w:rPr>
                            <w:w w:val="110"/>
                            <w:sz w:val="15"/>
                          </w:rPr>
                          <w:t>-2.1</w:t>
                        </w:r>
                      </w:p>
                    </w:tc>
                    <w:tc>
                      <w:tcPr>
                        <w:tcW w:w="980" w:type="dxa"/>
                        <w:tcBorders>
                          <w:top w:val="nil"/>
                          <w:left w:val="nil"/>
                          <w:bottom w:val="nil"/>
                          <w:right w:val="nil"/>
                        </w:tcBorders>
                      </w:tcPr>
                      <w:p>
                        <w:pPr>
                          <w:pStyle w:val="TableParagraph"/>
                          <w:spacing w:before="23"/>
                          <w:ind w:right="113"/>
                          <w:rPr>
                            <w:sz w:val="15"/>
                          </w:rPr>
                        </w:pPr>
                        <w:r>
                          <w:rPr>
                            <w:w w:val="115"/>
                            <w:sz w:val="15"/>
                          </w:rPr>
                          <w:t>-1 567 094</w:t>
                        </w:r>
                      </w:p>
                    </w:tc>
                    <w:tc>
                      <w:tcPr>
                        <w:tcW w:w="900" w:type="dxa"/>
                        <w:tcBorders>
                          <w:top w:val="nil"/>
                          <w:left w:val="nil"/>
                          <w:bottom w:val="nil"/>
                          <w:right w:val="nil"/>
                        </w:tcBorders>
                      </w:tcPr>
                      <w:p>
                        <w:pPr>
                          <w:pStyle w:val="TableParagraph"/>
                          <w:spacing w:before="23"/>
                          <w:ind w:right="33"/>
                          <w:rPr>
                            <w:sz w:val="15"/>
                          </w:rPr>
                        </w:pPr>
                        <w:r>
                          <w:rPr>
                            <w:w w:val="110"/>
                            <w:sz w:val="15"/>
                          </w:rPr>
                          <w:t>-4.2</w:t>
                        </w:r>
                      </w:p>
                    </w:tc>
                    <w:tc>
                      <w:tcPr>
                        <w:tcW w:w="1005" w:type="dxa"/>
                        <w:tcBorders>
                          <w:top w:val="nil"/>
                          <w:left w:val="nil"/>
                          <w:bottom w:val="nil"/>
                          <w:right w:val="nil"/>
                        </w:tcBorders>
                      </w:tcPr>
                      <w:p>
                        <w:pPr>
                          <w:pStyle w:val="TableParagraph"/>
                          <w:spacing w:before="23"/>
                          <w:ind w:right="60"/>
                          <w:rPr>
                            <w:sz w:val="15"/>
                          </w:rPr>
                        </w:pPr>
                        <w:r>
                          <w:rPr>
                            <w:w w:val="115"/>
                            <w:sz w:val="15"/>
                          </w:rPr>
                          <w:t>- 5893 642</w:t>
                        </w:r>
                      </w:p>
                    </w:tc>
                  </w:tr>
                  <w:tr>
                    <w:trPr>
                      <w:trHeight w:val="234" w:hRule="exact"/>
                    </w:trPr>
                    <w:tc>
                      <w:tcPr>
                        <w:tcW w:w="2433" w:type="dxa"/>
                        <w:tcBorders>
                          <w:top w:val="nil"/>
                          <w:left w:val="nil"/>
                          <w:bottom w:val="nil"/>
                          <w:right w:val="nil"/>
                        </w:tcBorders>
                      </w:tcPr>
                      <w:p>
                        <w:pPr>
                          <w:pStyle w:val="TableParagraph"/>
                          <w:spacing w:before="25"/>
                          <w:ind w:left="62"/>
                          <w:jc w:val="left"/>
                          <w:rPr>
                            <w:sz w:val="15"/>
                          </w:rPr>
                        </w:pPr>
                        <w:r>
                          <w:rPr>
                            <w:w w:val="115"/>
                            <w:sz w:val="15"/>
                          </w:rPr>
                          <w:t>Salario promedio anual (dólares)</w:t>
                        </w:r>
                      </w:p>
                    </w:tc>
                    <w:tc>
                      <w:tcPr>
                        <w:tcW w:w="978" w:type="dxa"/>
                        <w:tcBorders>
                          <w:top w:val="nil"/>
                          <w:left w:val="nil"/>
                          <w:bottom w:val="nil"/>
                          <w:right w:val="nil"/>
                        </w:tcBorders>
                      </w:tcPr>
                      <w:p>
                        <w:pPr>
                          <w:pStyle w:val="TableParagraph"/>
                          <w:spacing w:before="25"/>
                          <w:ind w:right="98"/>
                          <w:rPr>
                            <w:sz w:val="15"/>
                          </w:rPr>
                        </w:pPr>
                        <w:r>
                          <w:rPr>
                            <w:w w:val="115"/>
                            <w:sz w:val="15"/>
                          </w:rPr>
                          <w:t>29 688</w:t>
                        </w:r>
                      </w:p>
                    </w:tc>
                    <w:tc>
                      <w:tcPr>
                        <w:tcW w:w="941" w:type="dxa"/>
                        <w:tcBorders>
                          <w:top w:val="nil"/>
                          <w:left w:val="nil"/>
                          <w:bottom w:val="nil"/>
                          <w:right w:val="nil"/>
                        </w:tcBorders>
                      </w:tcPr>
                      <w:p>
                        <w:pPr>
                          <w:pStyle w:val="TableParagraph"/>
                          <w:spacing w:before="25"/>
                          <w:ind w:right="60"/>
                          <w:rPr>
                            <w:sz w:val="15"/>
                          </w:rPr>
                        </w:pPr>
                        <w:r>
                          <w:rPr>
                            <w:w w:val="115"/>
                            <w:sz w:val="15"/>
                          </w:rPr>
                          <w:t>48 637</w:t>
                        </w:r>
                      </w:p>
                    </w:tc>
                    <w:tc>
                      <w:tcPr>
                        <w:tcW w:w="940" w:type="dxa"/>
                        <w:tcBorders>
                          <w:top w:val="nil"/>
                          <w:left w:val="nil"/>
                          <w:bottom w:val="nil"/>
                          <w:right w:val="nil"/>
                        </w:tcBorders>
                      </w:tcPr>
                      <w:p>
                        <w:pPr>
                          <w:pStyle w:val="TableParagraph"/>
                          <w:spacing w:before="25"/>
                          <w:ind w:right="97"/>
                          <w:rPr>
                            <w:sz w:val="15"/>
                          </w:rPr>
                        </w:pPr>
                        <w:r>
                          <w:rPr>
                            <w:w w:val="115"/>
                            <w:sz w:val="15"/>
                          </w:rPr>
                          <w:t>51 657</w:t>
                        </w:r>
                      </w:p>
                    </w:tc>
                    <w:tc>
                      <w:tcPr>
                        <w:tcW w:w="965" w:type="dxa"/>
                        <w:tcBorders>
                          <w:top w:val="nil"/>
                          <w:left w:val="nil"/>
                          <w:bottom w:val="nil"/>
                          <w:right w:val="nil"/>
                        </w:tcBorders>
                      </w:tcPr>
                      <w:p>
                        <w:pPr/>
                      </w:p>
                    </w:tc>
                    <w:tc>
                      <w:tcPr>
                        <w:tcW w:w="981" w:type="dxa"/>
                        <w:tcBorders>
                          <w:top w:val="nil"/>
                          <w:left w:val="nil"/>
                          <w:bottom w:val="nil"/>
                          <w:right w:val="nil"/>
                        </w:tcBorders>
                      </w:tcPr>
                      <w:p>
                        <w:pPr/>
                      </w:p>
                    </w:tc>
                    <w:tc>
                      <w:tcPr>
                        <w:tcW w:w="980" w:type="dxa"/>
                        <w:tcBorders>
                          <w:top w:val="nil"/>
                          <w:left w:val="nil"/>
                          <w:bottom w:val="nil"/>
                          <w:right w:val="nil"/>
                        </w:tcBorders>
                      </w:tcPr>
                      <w:p>
                        <w:pPr/>
                      </w:p>
                    </w:tc>
                    <w:tc>
                      <w:tcPr>
                        <w:tcW w:w="900" w:type="dxa"/>
                        <w:tcBorders>
                          <w:top w:val="nil"/>
                          <w:left w:val="nil"/>
                          <w:bottom w:val="nil"/>
                          <w:right w:val="nil"/>
                        </w:tcBorders>
                      </w:tcPr>
                      <w:p>
                        <w:pPr/>
                      </w:p>
                    </w:tc>
                    <w:tc>
                      <w:tcPr>
                        <w:tcW w:w="1005" w:type="dxa"/>
                        <w:tcBorders>
                          <w:top w:val="nil"/>
                          <w:left w:val="nil"/>
                          <w:bottom w:val="nil"/>
                          <w:right w:val="nil"/>
                        </w:tcBorders>
                      </w:tcPr>
                      <w:p>
                        <w:pPr/>
                      </w:p>
                    </w:tc>
                  </w:tr>
                  <w:tr>
                    <w:trPr>
                      <w:trHeight w:val="234" w:hRule="exact"/>
                    </w:trPr>
                    <w:tc>
                      <w:tcPr>
                        <w:tcW w:w="2433" w:type="dxa"/>
                        <w:tcBorders>
                          <w:top w:val="nil"/>
                          <w:left w:val="nil"/>
                          <w:bottom w:val="nil"/>
                          <w:right w:val="nil"/>
                        </w:tcBorders>
                      </w:tcPr>
                      <w:p>
                        <w:pPr>
                          <w:pStyle w:val="TableParagraph"/>
                          <w:spacing w:before="23"/>
                          <w:ind w:left="62"/>
                          <w:jc w:val="left"/>
                          <w:rPr>
                            <w:sz w:val="15"/>
                          </w:rPr>
                        </w:pPr>
                        <w:r>
                          <w:rPr>
                            <w:w w:val="115"/>
                            <w:sz w:val="15"/>
                          </w:rPr>
                          <w:t>México-Americana</w:t>
                        </w:r>
                      </w:p>
                    </w:tc>
                    <w:tc>
                      <w:tcPr>
                        <w:tcW w:w="978" w:type="dxa"/>
                        <w:tcBorders>
                          <w:top w:val="nil"/>
                          <w:left w:val="nil"/>
                          <w:bottom w:val="nil"/>
                          <w:right w:val="nil"/>
                        </w:tcBorders>
                      </w:tcPr>
                      <w:p>
                        <w:pPr>
                          <w:pStyle w:val="TableParagraph"/>
                          <w:spacing w:before="23"/>
                          <w:ind w:right="98"/>
                          <w:rPr>
                            <w:sz w:val="15"/>
                          </w:rPr>
                        </w:pPr>
                        <w:r>
                          <w:rPr>
                            <w:w w:val="115"/>
                            <w:sz w:val="15"/>
                          </w:rPr>
                          <w:t>463 048</w:t>
                        </w:r>
                      </w:p>
                    </w:tc>
                    <w:tc>
                      <w:tcPr>
                        <w:tcW w:w="941" w:type="dxa"/>
                        <w:tcBorders>
                          <w:top w:val="nil"/>
                          <w:left w:val="nil"/>
                          <w:bottom w:val="nil"/>
                          <w:right w:val="nil"/>
                        </w:tcBorders>
                      </w:tcPr>
                      <w:p>
                        <w:pPr>
                          <w:pStyle w:val="TableParagraph"/>
                          <w:spacing w:before="23"/>
                          <w:ind w:right="60"/>
                          <w:rPr>
                            <w:sz w:val="15"/>
                          </w:rPr>
                        </w:pPr>
                        <w:r>
                          <w:rPr>
                            <w:w w:val="115"/>
                            <w:sz w:val="15"/>
                          </w:rPr>
                          <w:t>592 735</w:t>
                        </w:r>
                      </w:p>
                    </w:tc>
                    <w:tc>
                      <w:tcPr>
                        <w:tcW w:w="940" w:type="dxa"/>
                        <w:tcBorders>
                          <w:top w:val="nil"/>
                          <w:left w:val="nil"/>
                          <w:bottom w:val="nil"/>
                          <w:right w:val="nil"/>
                        </w:tcBorders>
                      </w:tcPr>
                      <w:p>
                        <w:pPr>
                          <w:pStyle w:val="TableParagraph"/>
                          <w:spacing w:before="23"/>
                          <w:ind w:right="97"/>
                          <w:rPr>
                            <w:sz w:val="15"/>
                          </w:rPr>
                        </w:pPr>
                        <w:r>
                          <w:rPr>
                            <w:w w:val="115"/>
                            <w:sz w:val="15"/>
                          </w:rPr>
                          <w:t>537 424</w:t>
                        </w:r>
                      </w:p>
                    </w:tc>
                    <w:tc>
                      <w:tcPr>
                        <w:tcW w:w="965" w:type="dxa"/>
                        <w:tcBorders>
                          <w:top w:val="nil"/>
                          <w:left w:val="nil"/>
                          <w:bottom w:val="nil"/>
                          <w:right w:val="nil"/>
                        </w:tcBorders>
                      </w:tcPr>
                      <w:p>
                        <w:pPr>
                          <w:pStyle w:val="TableParagraph"/>
                          <w:spacing w:before="23"/>
                          <w:ind w:right="113"/>
                          <w:rPr>
                            <w:sz w:val="15"/>
                          </w:rPr>
                        </w:pPr>
                        <w:r>
                          <w:rPr>
                            <w:w w:val="115"/>
                            <w:sz w:val="15"/>
                          </w:rPr>
                          <w:t>129 687</w:t>
                        </w:r>
                      </w:p>
                    </w:tc>
                    <w:tc>
                      <w:tcPr>
                        <w:tcW w:w="981" w:type="dxa"/>
                        <w:tcBorders>
                          <w:top w:val="nil"/>
                          <w:left w:val="nil"/>
                          <w:bottom w:val="nil"/>
                          <w:right w:val="nil"/>
                        </w:tcBorders>
                      </w:tcPr>
                      <w:p>
                        <w:pPr>
                          <w:pStyle w:val="TableParagraph"/>
                          <w:spacing w:before="23"/>
                          <w:ind w:right="113"/>
                          <w:rPr>
                            <w:sz w:val="15"/>
                          </w:rPr>
                        </w:pPr>
                        <w:r>
                          <w:rPr>
                            <w:w w:val="110"/>
                            <w:sz w:val="15"/>
                          </w:rPr>
                          <w:t>1.8</w:t>
                        </w:r>
                      </w:p>
                    </w:tc>
                    <w:tc>
                      <w:tcPr>
                        <w:tcW w:w="980" w:type="dxa"/>
                        <w:tcBorders>
                          <w:top w:val="nil"/>
                          <w:left w:val="nil"/>
                          <w:bottom w:val="nil"/>
                          <w:right w:val="nil"/>
                        </w:tcBorders>
                      </w:tcPr>
                      <w:p>
                        <w:pPr>
                          <w:pStyle w:val="TableParagraph"/>
                          <w:spacing w:before="23"/>
                          <w:ind w:right="113"/>
                          <w:rPr>
                            <w:sz w:val="15"/>
                          </w:rPr>
                        </w:pPr>
                        <w:r>
                          <w:rPr>
                            <w:w w:val="115"/>
                            <w:sz w:val="15"/>
                          </w:rPr>
                          <w:t>-55 311</w:t>
                        </w:r>
                      </w:p>
                    </w:tc>
                    <w:tc>
                      <w:tcPr>
                        <w:tcW w:w="900" w:type="dxa"/>
                        <w:tcBorders>
                          <w:top w:val="nil"/>
                          <w:left w:val="nil"/>
                          <w:bottom w:val="nil"/>
                          <w:right w:val="nil"/>
                        </w:tcBorders>
                      </w:tcPr>
                      <w:p>
                        <w:pPr>
                          <w:pStyle w:val="TableParagraph"/>
                          <w:spacing w:before="23"/>
                          <w:ind w:right="33"/>
                          <w:rPr>
                            <w:sz w:val="15"/>
                          </w:rPr>
                        </w:pPr>
                        <w:r>
                          <w:rPr>
                            <w:w w:val="110"/>
                            <w:sz w:val="15"/>
                          </w:rPr>
                          <w:t>-3.1</w:t>
                        </w:r>
                      </w:p>
                    </w:tc>
                    <w:tc>
                      <w:tcPr>
                        <w:tcW w:w="1005" w:type="dxa"/>
                        <w:tcBorders>
                          <w:top w:val="nil"/>
                          <w:left w:val="nil"/>
                          <w:bottom w:val="nil"/>
                          <w:right w:val="nil"/>
                        </w:tcBorders>
                      </w:tcPr>
                      <w:p>
                        <w:pPr>
                          <w:pStyle w:val="TableParagraph"/>
                          <w:spacing w:before="23"/>
                          <w:ind w:right="60"/>
                          <w:rPr>
                            <w:sz w:val="15"/>
                          </w:rPr>
                        </w:pPr>
                        <w:r>
                          <w:rPr>
                            <w:w w:val="115"/>
                            <w:sz w:val="15"/>
                          </w:rPr>
                          <w:t>-74 376</w:t>
                        </w:r>
                      </w:p>
                    </w:tc>
                  </w:tr>
                  <w:tr>
                    <w:trPr>
                      <w:trHeight w:val="234" w:hRule="exact"/>
                    </w:trPr>
                    <w:tc>
                      <w:tcPr>
                        <w:tcW w:w="2433" w:type="dxa"/>
                        <w:tcBorders>
                          <w:top w:val="nil"/>
                          <w:left w:val="nil"/>
                          <w:bottom w:val="nil"/>
                          <w:right w:val="nil"/>
                        </w:tcBorders>
                      </w:tcPr>
                      <w:p>
                        <w:pPr>
                          <w:pStyle w:val="TableParagraph"/>
                          <w:spacing w:before="25"/>
                          <w:ind w:left="62"/>
                          <w:jc w:val="left"/>
                          <w:rPr>
                            <w:sz w:val="15"/>
                          </w:rPr>
                        </w:pPr>
                        <w:r>
                          <w:rPr>
                            <w:w w:val="115"/>
                            <w:sz w:val="15"/>
                          </w:rPr>
                          <w:t>Salario promedio anual (dólares)</w:t>
                        </w:r>
                      </w:p>
                    </w:tc>
                    <w:tc>
                      <w:tcPr>
                        <w:tcW w:w="978" w:type="dxa"/>
                        <w:tcBorders>
                          <w:top w:val="nil"/>
                          <w:left w:val="nil"/>
                          <w:bottom w:val="nil"/>
                          <w:right w:val="nil"/>
                        </w:tcBorders>
                      </w:tcPr>
                      <w:p>
                        <w:pPr>
                          <w:pStyle w:val="TableParagraph"/>
                          <w:spacing w:before="25"/>
                          <w:ind w:right="98"/>
                          <w:rPr>
                            <w:sz w:val="15"/>
                          </w:rPr>
                        </w:pPr>
                        <w:r>
                          <w:rPr>
                            <w:w w:val="115"/>
                            <w:sz w:val="15"/>
                          </w:rPr>
                          <w:t>24 757</w:t>
                        </w:r>
                      </w:p>
                    </w:tc>
                    <w:tc>
                      <w:tcPr>
                        <w:tcW w:w="941" w:type="dxa"/>
                        <w:tcBorders>
                          <w:top w:val="nil"/>
                          <w:left w:val="nil"/>
                          <w:bottom w:val="nil"/>
                          <w:right w:val="nil"/>
                        </w:tcBorders>
                      </w:tcPr>
                      <w:p>
                        <w:pPr>
                          <w:pStyle w:val="TableParagraph"/>
                          <w:spacing w:before="25"/>
                          <w:ind w:right="60"/>
                          <w:rPr>
                            <w:sz w:val="15"/>
                          </w:rPr>
                        </w:pPr>
                        <w:r>
                          <w:rPr>
                            <w:w w:val="115"/>
                            <w:sz w:val="15"/>
                          </w:rPr>
                          <w:t>35 335</w:t>
                        </w:r>
                      </w:p>
                    </w:tc>
                    <w:tc>
                      <w:tcPr>
                        <w:tcW w:w="940" w:type="dxa"/>
                        <w:tcBorders>
                          <w:top w:val="nil"/>
                          <w:left w:val="nil"/>
                          <w:bottom w:val="nil"/>
                          <w:right w:val="nil"/>
                        </w:tcBorders>
                      </w:tcPr>
                      <w:p>
                        <w:pPr>
                          <w:pStyle w:val="TableParagraph"/>
                          <w:spacing w:before="25"/>
                          <w:ind w:right="97"/>
                          <w:rPr>
                            <w:sz w:val="15"/>
                          </w:rPr>
                        </w:pPr>
                        <w:r>
                          <w:rPr>
                            <w:w w:val="115"/>
                            <w:sz w:val="15"/>
                          </w:rPr>
                          <w:t>40 458</w:t>
                        </w:r>
                      </w:p>
                    </w:tc>
                    <w:tc>
                      <w:tcPr>
                        <w:tcW w:w="965" w:type="dxa"/>
                        <w:tcBorders>
                          <w:top w:val="nil"/>
                          <w:left w:val="nil"/>
                          <w:bottom w:val="nil"/>
                          <w:right w:val="nil"/>
                        </w:tcBorders>
                      </w:tcPr>
                      <w:p>
                        <w:pPr/>
                      </w:p>
                    </w:tc>
                    <w:tc>
                      <w:tcPr>
                        <w:tcW w:w="981" w:type="dxa"/>
                        <w:tcBorders>
                          <w:top w:val="nil"/>
                          <w:left w:val="nil"/>
                          <w:bottom w:val="nil"/>
                          <w:right w:val="nil"/>
                        </w:tcBorders>
                      </w:tcPr>
                      <w:p>
                        <w:pPr/>
                      </w:p>
                    </w:tc>
                    <w:tc>
                      <w:tcPr>
                        <w:tcW w:w="980" w:type="dxa"/>
                        <w:tcBorders>
                          <w:top w:val="nil"/>
                          <w:left w:val="nil"/>
                          <w:bottom w:val="nil"/>
                          <w:right w:val="nil"/>
                        </w:tcBorders>
                      </w:tcPr>
                      <w:p>
                        <w:pPr/>
                      </w:p>
                    </w:tc>
                    <w:tc>
                      <w:tcPr>
                        <w:tcW w:w="900" w:type="dxa"/>
                        <w:tcBorders>
                          <w:top w:val="nil"/>
                          <w:left w:val="nil"/>
                          <w:bottom w:val="nil"/>
                          <w:right w:val="nil"/>
                        </w:tcBorders>
                      </w:tcPr>
                      <w:p>
                        <w:pPr/>
                      </w:p>
                    </w:tc>
                    <w:tc>
                      <w:tcPr>
                        <w:tcW w:w="1005" w:type="dxa"/>
                        <w:tcBorders>
                          <w:top w:val="nil"/>
                          <w:left w:val="nil"/>
                          <w:bottom w:val="nil"/>
                          <w:right w:val="nil"/>
                        </w:tcBorders>
                      </w:tcPr>
                      <w:p>
                        <w:pPr/>
                      </w:p>
                    </w:tc>
                  </w:tr>
                  <w:tr>
                    <w:trPr>
                      <w:trHeight w:val="234" w:hRule="exact"/>
                    </w:trPr>
                    <w:tc>
                      <w:tcPr>
                        <w:tcW w:w="2433" w:type="dxa"/>
                        <w:tcBorders>
                          <w:top w:val="nil"/>
                          <w:left w:val="nil"/>
                          <w:bottom w:val="nil"/>
                          <w:right w:val="nil"/>
                        </w:tcBorders>
                      </w:tcPr>
                      <w:p>
                        <w:pPr>
                          <w:pStyle w:val="TableParagraph"/>
                          <w:spacing w:before="23"/>
                          <w:ind w:left="62"/>
                          <w:jc w:val="left"/>
                          <w:rPr>
                            <w:sz w:val="15"/>
                          </w:rPr>
                        </w:pPr>
                        <w:r>
                          <w:rPr>
                            <w:w w:val="115"/>
                            <w:sz w:val="15"/>
                          </w:rPr>
                          <w:t>Resto de nativos</w:t>
                        </w:r>
                      </w:p>
                    </w:tc>
                    <w:tc>
                      <w:tcPr>
                        <w:tcW w:w="978" w:type="dxa"/>
                        <w:tcBorders>
                          <w:top w:val="nil"/>
                          <w:left w:val="nil"/>
                          <w:bottom w:val="nil"/>
                          <w:right w:val="nil"/>
                        </w:tcBorders>
                      </w:tcPr>
                      <w:p>
                        <w:pPr>
                          <w:pStyle w:val="TableParagraph"/>
                          <w:spacing w:before="23"/>
                          <w:ind w:right="98"/>
                          <w:rPr>
                            <w:sz w:val="15"/>
                          </w:rPr>
                        </w:pPr>
                        <w:r>
                          <w:rPr>
                            <w:w w:val="115"/>
                            <w:sz w:val="15"/>
                          </w:rPr>
                          <w:t>16 716 657</w:t>
                        </w:r>
                      </w:p>
                    </w:tc>
                    <w:tc>
                      <w:tcPr>
                        <w:tcW w:w="941" w:type="dxa"/>
                        <w:tcBorders>
                          <w:top w:val="nil"/>
                          <w:left w:val="nil"/>
                          <w:bottom w:val="nil"/>
                          <w:right w:val="nil"/>
                        </w:tcBorders>
                      </w:tcPr>
                      <w:p>
                        <w:pPr>
                          <w:pStyle w:val="TableParagraph"/>
                          <w:spacing w:before="23"/>
                          <w:ind w:right="60"/>
                          <w:rPr>
                            <w:sz w:val="15"/>
                          </w:rPr>
                        </w:pPr>
                        <w:r>
                          <w:rPr>
                            <w:w w:val="115"/>
                            <w:sz w:val="15"/>
                          </w:rPr>
                          <w:t>12 260 422</w:t>
                        </w:r>
                      </w:p>
                    </w:tc>
                    <w:tc>
                      <w:tcPr>
                        <w:tcW w:w="940" w:type="dxa"/>
                        <w:tcBorders>
                          <w:top w:val="nil"/>
                          <w:left w:val="nil"/>
                          <w:bottom w:val="nil"/>
                          <w:right w:val="nil"/>
                        </w:tcBorders>
                      </w:tcPr>
                      <w:p>
                        <w:pPr>
                          <w:pStyle w:val="TableParagraph"/>
                          <w:spacing w:before="23"/>
                          <w:ind w:right="97"/>
                          <w:rPr>
                            <w:sz w:val="15"/>
                          </w:rPr>
                        </w:pPr>
                        <w:r>
                          <w:rPr>
                            <w:w w:val="115"/>
                            <w:sz w:val="15"/>
                          </w:rPr>
                          <w:t>10 748 639</w:t>
                        </w:r>
                      </w:p>
                    </w:tc>
                    <w:tc>
                      <w:tcPr>
                        <w:tcW w:w="965" w:type="dxa"/>
                        <w:tcBorders>
                          <w:top w:val="nil"/>
                          <w:left w:val="nil"/>
                          <w:bottom w:val="nil"/>
                          <w:right w:val="nil"/>
                        </w:tcBorders>
                      </w:tcPr>
                      <w:p>
                        <w:pPr>
                          <w:pStyle w:val="TableParagraph"/>
                          <w:spacing w:before="23"/>
                          <w:ind w:right="113"/>
                          <w:rPr>
                            <w:sz w:val="15"/>
                          </w:rPr>
                        </w:pPr>
                        <w:r>
                          <w:rPr>
                            <w:w w:val="115"/>
                            <w:sz w:val="15"/>
                          </w:rPr>
                          <w:t>-4 456 235</w:t>
                        </w:r>
                      </w:p>
                    </w:tc>
                    <w:tc>
                      <w:tcPr>
                        <w:tcW w:w="981" w:type="dxa"/>
                        <w:tcBorders>
                          <w:top w:val="nil"/>
                          <w:left w:val="nil"/>
                          <w:bottom w:val="nil"/>
                          <w:right w:val="nil"/>
                        </w:tcBorders>
                      </w:tcPr>
                      <w:p>
                        <w:pPr>
                          <w:pStyle w:val="TableParagraph"/>
                          <w:spacing w:before="23"/>
                          <w:ind w:right="113"/>
                          <w:rPr>
                            <w:sz w:val="15"/>
                          </w:rPr>
                        </w:pPr>
                        <w:r>
                          <w:rPr>
                            <w:w w:val="110"/>
                            <w:sz w:val="15"/>
                          </w:rPr>
                          <w:t>-2.2</w:t>
                        </w:r>
                      </w:p>
                    </w:tc>
                    <w:tc>
                      <w:tcPr>
                        <w:tcW w:w="980" w:type="dxa"/>
                        <w:tcBorders>
                          <w:top w:val="nil"/>
                          <w:left w:val="nil"/>
                          <w:bottom w:val="nil"/>
                          <w:right w:val="nil"/>
                        </w:tcBorders>
                      </w:tcPr>
                      <w:p>
                        <w:pPr>
                          <w:pStyle w:val="TableParagraph"/>
                          <w:spacing w:before="23"/>
                          <w:ind w:right="113"/>
                          <w:rPr>
                            <w:sz w:val="15"/>
                          </w:rPr>
                        </w:pPr>
                        <w:r>
                          <w:rPr>
                            <w:w w:val="115"/>
                            <w:sz w:val="15"/>
                          </w:rPr>
                          <w:t>-1 511 783</w:t>
                        </w:r>
                      </w:p>
                    </w:tc>
                    <w:tc>
                      <w:tcPr>
                        <w:tcW w:w="900" w:type="dxa"/>
                        <w:tcBorders>
                          <w:top w:val="nil"/>
                          <w:left w:val="nil"/>
                          <w:bottom w:val="nil"/>
                          <w:right w:val="nil"/>
                        </w:tcBorders>
                      </w:tcPr>
                      <w:p>
                        <w:pPr>
                          <w:pStyle w:val="TableParagraph"/>
                          <w:spacing w:before="23"/>
                          <w:ind w:right="33"/>
                          <w:rPr>
                            <w:sz w:val="15"/>
                          </w:rPr>
                        </w:pPr>
                        <w:r>
                          <w:rPr>
                            <w:w w:val="110"/>
                            <w:sz w:val="15"/>
                          </w:rPr>
                          <w:t>-4.3</w:t>
                        </w:r>
                      </w:p>
                    </w:tc>
                    <w:tc>
                      <w:tcPr>
                        <w:tcW w:w="1005" w:type="dxa"/>
                        <w:tcBorders>
                          <w:top w:val="nil"/>
                          <w:left w:val="nil"/>
                          <w:bottom w:val="nil"/>
                          <w:right w:val="nil"/>
                        </w:tcBorders>
                      </w:tcPr>
                      <w:p>
                        <w:pPr>
                          <w:pStyle w:val="TableParagraph"/>
                          <w:spacing w:before="23"/>
                          <w:ind w:right="60"/>
                          <w:rPr>
                            <w:sz w:val="15"/>
                          </w:rPr>
                        </w:pPr>
                        <w:r>
                          <w:rPr>
                            <w:w w:val="115"/>
                            <w:sz w:val="15"/>
                          </w:rPr>
                          <w:t>-5 968 018</w:t>
                        </w:r>
                      </w:p>
                    </w:tc>
                  </w:tr>
                  <w:tr>
                    <w:trPr>
                      <w:trHeight w:val="234" w:hRule="exact"/>
                    </w:trPr>
                    <w:tc>
                      <w:tcPr>
                        <w:tcW w:w="2433" w:type="dxa"/>
                        <w:tcBorders>
                          <w:top w:val="nil"/>
                          <w:left w:val="nil"/>
                          <w:bottom w:val="nil"/>
                          <w:right w:val="nil"/>
                        </w:tcBorders>
                      </w:tcPr>
                      <w:p>
                        <w:pPr>
                          <w:pStyle w:val="TableParagraph"/>
                          <w:spacing w:before="25"/>
                          <w:ind w:left="62"/>
                          <w:jc w:val="left"/>
                          <w:rPr>
                            <w:sz w:val="15"/>
                          </w:rPr>
                        </w:pPr>
                        <w:r>
                          <w:rPr>
                            <w:w w:val="115"/>
                            <w:sz w:val="15"/>
                          </w:rPr>
                          <w:t>Salario promedio anual (dólares)</w:t>
                        </w:r>
                      </w:p>
                    </w:tc>
                    <w:tc>
                      <w:tcPr>
                        <w:tcW w:w="978" w:type="dxa"/>
                        <w:tcBorders>
                          <w:top w:val="nil"/>
                          <w:left w:val="nil"/>
                          <w:bottom w:val="nil"/>
                          <w:right w:val="nil"/>
                        </w:tcBorders>
                      </w:tcPr>
                      <w:p>
                        <w:pPr>
                          <w:pStyle w:val="TableParagraph"/>
                          <w:spacing w:before="25"/>
                          <w:ind w:right="98"/>
                          <w:rPr>
                            <w:sz w:val="15"/>
                          </w:rPr>
                        </w:pPr>
                        <w:r>
                          <w:rPr>
                            <w:w w:val="115"/>
                            <w:sz w:val="15"/>
                          </w:rPr>
                          <w:t>29 824</w:t>
                        </w:r>
                      </w:p>
                    </w:tc>
                    <w:tc>
                      <w:tcPr>
                        <w:tcW w:w="941" w:type="dxa"/>
                        <w:tcBorders>
                          <w:top w:val="nil"/>
                          <w:left w:val="nil"/>
                          <w:bottom w:val="nil"/>
                          <w:right w:val="nil"/>
                        </w:tcBorders>
                      </w:tcPr>
                      <w:p>
                        <w:pPr>
                          <w:pStyle w:val="TableParagraph"/>
                          <w:spacing w:before="25"/>
                          <w:ind w:right="60"/>
                          <w:rPr>
                            <w:sz w:val="15"/>
                          </w:rPr>
                        </w:pPr>
                        <w:r>
                          <w:rPr>
                            <w:w w:val="115"/>
                            <w:sz w:val="15"/>
                          </w:rPr>
                          <w:t>49 279</w:t>
                        </w:r>
                      </w:p>
                    </w:tc>
                    <w:tc>
                      <w:tcPr>
                        <w:tcW w:w="940" w:type="dxa"/>
                        <w:tcBorders>
                          <w:top w:val="nil"/>
                          <w:left w:val="nil"/>
                          <w:bottom w:val="nil"/>
                          <w:right w:val="nil"/>
                        </w:tcBorders>
                      </w:tcPr>
                      <w:p>
                        <w:pPr>
                          <w:pStyle w:val="TableParagraph"/>
                          <w:spacing w:before="25"/>
                          <w:ind w:right="97"/>
                          <w:rPr>
                            <w:sz w:val="15"/>
                          </w:rPr>
                        </w:pPr>
                        <w:r>
                          <w:rPr>
                            <w:w w:val="115"/>
                            <w:sz w:val="15"/>
                          </w:rPr>
                          <w:t>52 220</w:t>
                        </w:r>
                      </w:p>
                    </w:tc>
                    <w:tc>
                      <w:tcPr>
                        <w:tcW w:w="965" w:type="dxa"/>
                        <w:tcBorders>
                          <w:top w:val="nil"/>
                          <w:left w:val="nil"/>
                          <w:bottom w:val="nil"/>
                          <w:right w:val="nil"/>
                        </w:tcBorders>
                      </w:tcPr>
                      <w:p>
                        <w:pPr/>
                      </w:p>
                    </w:tc>
                    <w:tc>
                      <w:tcPr>
                        <w:tcW w:w="981" w:type="dxa"/>
                        <w:tcBorders>
                          <w:top w:val="nil"/>
                          <w:left w:val="nil"/>
                          <w:bottom w:val="nil"/>
                          <w:right w:val="nil"/>
                        </w:tcBorders>
                      </w:tcPr>
                      <w:p>
                        <w:pPr/>
                      </w:p>
                    </w:tc>
                    <w:tc>
                      <w:tcPr>
                        <w:tcW w:w="980" w:type="dxa"/>
                        <w:tcBorders>
                          <w:top w:val="nil"/>
                          <w:left w:val="nil"/>
                          <w:bottom w:val="nil"/>
                          <w:right w:val="nil"/>
                        </w:tcBorders>
                      </w:tcPr>
                      <w:p>
                        <w:pPr/>
                      </w:p>
                    </w:tc>
                    <w:tc>
                      <w:tcPr>
                        <w:tcW w:w="900" w:type="dxa"/>
                        <w:tcBorders>
                          <w:top w:val="nil"/>
                          <w:left w:val="nil"/>
                          <w:bottom w:val="nil"/>
                          <w:right w:val="nil"/>
                        </w:tcBorders>
                      </w:tcPr>
                      <w:p>
                        <w:pPr/>
                      </w:p>
                    </w:tc>
                    <w:tc>
                      <w:tcPr>
                        <w:tcW w:w="1005" w:type="dxa"/>
                        <w:tcBorders>
                          <w:top w:val="nil"/>
                          <w:left w:val="nil"/>
                          <w:bottom w:val="nil"/>
                          <w:right w:val="nil"/>
                        </w:tcBorders>
                      </w:tcPr>
                      <w:p>
                        <w:pPr/>
                      </w:p>
                    </w:tc>
                  </w:tr>
                  <w:tr>
                    <w:trPr>
                      <w:trHeight w:val="234" w:hRule="exact"/>
                    </w:trPr>
                    <w:tc>
                      <w:tcPr>
                        <w:tcW w:w="2433" w:type="dxa"/>
                        <w:tcBorders>
                          <w:top w:val="nil"/>
                          <w:left w:val="nil"/>
                          <w:bottom w:val="nil"/>
                          <w:right w:val="nil"/>
                        </w:tcBorders>
                      </w:tcPr>
                      <w:p>
                        <w:pPr>
                          <w:pStyle w:val="TableParagraph"/>
                          <w:spacing w:before="23"/>
                          <w:ind w:left="62"/>
                          <w:jc w:val="left"/>
                          <w:rPr>
                            <w:sz w:val="15"/>
                          </w:rPr>
                        </w:pPr>
                        <w:r>
                          <w:rPr>
                            <w:w w:val="115"/>
                            <w:sz w:val="15"/>
                          </w:rPr>
                          <w:t>Población ocupada migrante</w:t>
                        </w:r>
                      </w:p>
                    </w:tc>
                    <w:tc>
                      <w:tcPr>
                        <w:tcW w:w="978" w:type="dxa"/>
                        <w:tcBorders>
                          <w:top w:val="nil"/>
                          <w:left w:val="nil"/>
                          <w:bottom w:val="nil"/>
                          <w:right w:val="nil"/>
                        </w:tcBorders>
                      </w:tcPr>
                      <w:p>
                        <w:pPr>
                          <w:pStyle w:val="TableParagraph"/>
                          <w:spacing w:before="23"/>
                          <w:ind w:right="98"/>
                          <w:rPr>
                            <w:sz w:val="15"/>
                          </w:rPr>
                        </w:pPr>
                        <w:r>
                          <w:rPr>
                            <w:w w:val="115"/>
                            <w:sz w:val="15"/>
                          </w:rPr>
                          <w:t>2 578 381</w:t>
                        </w:r>
                      </w:p>
                    </w:tc>
                    <w:tc>
                      <w:tcPr>
                        <w:tcW w:w="941" w:type="dxa"/>
                        <w:tcBorders>
                          <w:top w:val="nil"/>
                          <w:left w:val="nil"/>
                          <w:bottom w:val="nil"/>
                          <w:right w:val="nil"/>
                        </w:tcBorders>
                      </w:tcPr>
                      <w:p>
                        <w:pPr>
                          <w:pStyle w:val="TableParagraph"/>
                          <w:spacing w:before="23"/>
                          <w:ind w:right="60"/>
                          <w:rPr>
                            <w:sz w:val="15"/>
                          </w:rPr>
                        </w:pPr>
                        <w:r>
                          <w:rPr>
                            <w:w w:val="115"/>
                            <w:sz w:val="15"/>
                          </w:rPr>
                          <w:t>2 989 590</w:t>
                        </w:r>
                      </w:p>
                    </w:tc>
                    <w:tc>
                      <w:tcPr>
                        <w:tcW w:w="940" w:type="dxa"/>
                        <w:tcBorders>
                          <w:top w:val="nil"/>
                          <w:left w:val="nil"/>
                          <w:bottom w:val="nil"/>
                          <w:right w:val="nil"/>
                        </w:tcBorders>
                      </w:tcPr>
                      <w:p>
                        <w:pPr>
                          <w:pStyle w:val="TableParagraph"/>
                          <w:spacing w:before="23"/>
                          <w:ind w:right="97"/>
                          <w:rPr>
                            <w:sz w:val="15"/>
                          </w:rPr>
                        </w:pPr>
                        <w:r>
                          <w:rPr>
                            <w:w w:val="115"/>
                            <w:sz w:val="15"/>
                          </w:rPr>
                          <w:t>2 840 541</w:t>
                        </w:r>
                      </w:p>
                    </w:tc>
                    <w:tc>
                      <w:tcPr>
                        <w:tcW w:w="965" w:type="dxa"/>
                        <w:tcBorders>
                          <w:top w:val="nil"/>
                          <w:left w:val="nil"/>
                          <w:bottom w:val="nil"/>
                          <w:right w:val="nil"/>
                        </w:tcBorders>
                      </w:tcPr>
                      <w:p>
                        <w:pPr>
                          <w:pStyle w:val="TableParagraph"/>
                          <w:spacing w:before="23"/>
                          <w:ind w:right="113"/>
                          <w:rPr>
                            <w:sz w:val="15"/>
                          </w:rPr>
                        </w:pPr>
                        <w:r>
                          <w:rPr>
                            <w:w w:val="115"/>
                            <w:sz w:val="15"/>
                          </w:rPr>
                          <w:t>411 209</w:t>
                        </w:r>
                      </w:p>
                    </w:tc>
                    <w:tc>
                      <w:tcPr>
                        <w:tcW w:w="981" w:type="dxa"/>
                        <w:tcBorders>
                          <w:top w:val="nil"/>
                          <w:left w:val="nil"/>
                          <w:bottom w:val="nil"/>
                          <w:right w:val="nil"/>
                        </w:tcBorders>
                      </w:tcPr>
                      <w:p>
                        <w:pPr>
                          <w:pStyle w:val="TableParagraph"/>
                          <w:spacing w:before="23"/>
                          <w:ind w:right="113"/>
                          <w:rPr>
                            <w:sz w:val="15"/>
                          </w:rPr>
                        </w:pPr>
                        <w:r>
                          <w:rPr>
                            <w:w w:val="110"/>
                            <w:sz w:val="15"/>
                          </w:rPr>
                          <w:t>1.1</w:t>
                        </w:r>
                      </w:p>
                    </w:tc>
                    <w:tc>
                      <w:tcPr>
                        <w:tcW w:w="980" w:type="dxa"/>
                        <w:tcBorders>
                          <w:top w:val="nil"/>
                          <w:left w:val="nil"/>
                          <w:bottom w:val="nil"/>
                          <w:right w:val="nil"/>
                        </w:tcBorders>
                      </w:tcPr>
                      <w:p>
                        <w:pPr>
                          <w:pStyle w:val="TableParagraph"/>
                          <w:spacing w:before="23"/>
                          <w:ind w:right="113"/>
                          <w:rPr>
                            <w:sz w:val="15"/>
                          </w:rPr>
                        </w:pPr>
                        <w:r>
                          <w:rPr>
                            <w:w w:val="115"/>
                            <w:sz w:val="15"/>
                          </w:rPr>
                          <w:t>-149 049</w:t>
                        </w:r>
                      </w:p>
                    </w:tc>
                    <w:tc>
                      <w:tcPr>
                        <w:tcW w:w="900" w:type="dxa"/>
                        <w:tcBorders>
                          <w:top w:val="nil"/>
                          <w:left w:val="nil"/>
                          <w:bottom w:val="nil"/>
                          <w:right w:val="nil"/>
                        </w:tcBorders>
                      </w:tcPr>
                      <w:p>
                        <w:pPr>
                          <w:pStyle w:val="TableParagraph"/>
                          <w:spacing w:before="23"/>
                          <w:ind w:right="33"/>
                          <w:rPr>
                            <w:sz w:val="15"/>
                          </w:rPr>
                        </w:pPr>
                        <w:r>
                          <w:rPr>
                            <w:w w:val="110"/>
                            <w:sz w:val="15"/>
                          </w:rPr>
                          <w:t>-1.7</w:t>
                        </w:r>
                      </w:p>
                    </w:tc>
                    <w:tc>
                      <w:tcPr>
                        <w:tcW w:w="1005" w:type="dxa"/>
                        <w:tcBorders>
                          <w:top w:val="nil"/>
                          <w:left w:val="nil"/>
                          <w:bottom w:val="nil"/>
                          <w:right w:val="nil"/>
                        </w:tcBorders>
                      </w:tcPr>
                      <w:p>
                        <w:pPr>
                          <w:pStyle w:val="TableParagraph"/>
                          <w:spacing w:before="23"/>
                          <w:ind w:right="60"/>
                          <w:rPr>
                            <w:sz w:val="15"/>
                          </w:rPr>
                        </w:pPr>
                        <w:r>
                          <w:rPr>
                            <w:w w:val="115"/>
                            <w:sz w:val="15"/>
                          </w:rPr>
                          <w:t>262 160</w:t>
                        </w:r>
                      </w:p>
                    </w:tc>
                  </w:tr>
                  <w:tr>
                    <w:trPr>
                      <w:trHeight w:val="234" w:hRule="exact"/>
                    </w:trPr>
                    <w:tc>
                      <w:tcPr>
                        <w:tcW w:w="2433" w:type="dxa"/>
                        <w:tcBorders>
                          <w:top w:val="nil"/>
                          <w:left w:val="nil"/>
                          <w:bottom w:val="nil"/>
                          <w:right w:val="nil"/>
                        </w:tcBorders>
                      </w:tcPr>
                      <w:p>
                        <w:pPr>
                          <w:pStyle w:val="TableParagraph"/>
                          <w:spacing w:before="25"/>
                          <w:ind w:left="62"/>
                          <w:jc w:val="left"/>
                          <w:rPr>
                            <w:sz w:val="15"/>
                          </w:rPr>
                        </w:pPr>
                        <w:r>
                          <w:rPr>
                            <w:w w:val="115"/>
                            <w:sz w:val="15"/>
                          </w:rPr>
                          <w:t>Salario promedio anual (dólares)</w:t>
                        </w:r>
                      </w:p>
                    </w:tc>
                    <w:tc>
                      <w:tcPr>
                        <w:tcW w:w="978" w:type="dxa"/>
                        <w:tcBorders>
                          <w:top w:val="nil"/>
                          <w:left w:val="nil"/>
                          <w:bottom w:val="nil"/>
                          <w:right w:val="nil"/>
                        </w:tcBorders>
                      </w:tcPr>
                      <w:p>
                        <w:pPr>
                          <w:pStyle w:val="TableParagraph"/>
                          <w:spacing w:before="25"/>
                          <w:ind w:right="98"/>
                          <w:rPr>
                            <w:sz w:val="15"/>
                          </w:rPr>
                        </w:pPr>
                        <w:r>
                          <w:rPr>
                            <w:w w:val="115"/>
                            <w:sz w:val="15"/>
                          </w:rPr>
                          <w:t>24 389</w:t>
                        </w:r>
                      </w:p>
                    </w:tc>
                    <w:tc>
                      <w:tcPr>
                        <w:tcW w:w="941" w:type="dxa"/>
                        <w:tcBorders>
                          <w:top w:val="nil"/>
                          <w:left w:val="nil"/>
                          <w:bottom w:val="nil"/>
                          <w:right w:val="nil"/>
                        </w:tcBorders>
                      </w:tcPr>
                      <w:p>
                        <w:pPr>
                          <w:pStyle w:val="TableParagraph"/>
                          <w:spacing w:before="25"/>
                          <w:ind w:right="60"/>
                          <w:rPr>
                            <w:sz w:val="15"/>
                          </w:rPr>
                        </w:pPr>
                        <w:r>
                          <w:rPr>
                            <w:w w:val="115"/>
                            <w:sz w:val="15"/>
                          </w:rPr>
                          <w:t>41 555</w:t>
                        </w:r>
                      </w:p>
                    </w:tc>
                    <w:tc>
                      <w:tcPr>
                        <w:tcW w:w="940" w:type="dxa"/>
                        <w:tcBorders>
                          <w:top w:val="nil"/>
                          <w:left w:val="nil"/>
                          <w:bottom w:val="nil"/>
                          <w:right w:val="nil"/>
                        </w:tcBorders>
                      </w:tcPr>
                      <w:p>
                        <w:pPr>
                          <w:pStyle w:val="TableParagraph"/>
                          <w:spacing w:before="25"/>
                          <w:ind w:right="97"/>
                          <w:rPr>
                            <w:sz w:val="15"/>
                          </w:rPr>
                        </w:pPr>
                        <w:r>
                          <w:rPr>
                            <w:w w:val="115"/>
                            <w:sz w:val="15"/>
                          </w:rPr>
                          <w:t>42 351</w:t>
                        </w:r>
                      </w:p>
                    </w:tc>
                    <w:tc>
                      <w:tcPr>
                        <w:tcW w:w="965" w:type="dxa"/>
                        <w:tcBorders>
                          <w:top w:val="nil"/>
                          <w:left w:val="nil"/>
                          <w:bottom w:val="nil"/>
                          <w:right w:val="nil"/>
                        </w:tcBorders>
                      </w:tcPr>
                      <w:p>
                        <w:pPr/>
                      </w:p>
                    </w:tc>
                    <w:tc>
                      <w:tcPr>
                        <w:tcW w:w="981" w:type="dxa"/>
                        <w:tcBorders>
                          <w:top w:val="nil"/>
                          <w:left w:val="nil"/>
                          <w:bottom w:val="nil"/>
                          <w:right w:val="nil"/>
                        </w:tcBorders>
                      </w:tcPr>
                      <w:p>
                        <w:pPr/>
                      </w:p>
                    </w:tc>
                    <w:tc>
                      <w:tcPr>
                        <w:tcW w:w="980" w:type="dxa"/>
                        <w:tcBorders>
                          <w:top w:val="nil"/>
                          <w:left w:val="nil"/>
                          <w:bottom w:val="nil"/>
                          <w:right w:val="nil"/>
                        </w:tcBorders>
                      </w:tcPr>
                      <w:p>
                        <w:pPr/>
                      </w:p>
                    </w:tc>
                    <w:tc>
                      <w:tcPr>
                        <w:tcW w:w="900" w:type="dxa"/>
                        <w:tcBorders>
                          <w:top w:val="nil"/>
                          <w:left w:val="nil"/>
                          <w:bottom w:val="nil"/>
                          <w:right w:val="nil"/>
                        </w:tcBorders>
                      </w:tcPr>
                      <w:p>
                        <w:pPr/>
                      </w:p>
                    </w:tc>
                    <w:tc>
                      <w:tcPr>
                        <w:tcW w:w="1005" w:type="dxa"/>
                        <w:tcBorders>
                          <w:top w:val="nil"/>
                          <w:left w:val="nil"/>
                          <w:bottom w:val="nil"/>
                          <w:right w:val="nil"/>
                        </w:tcBorders>
                      </w:tcPr>
                      <w:p>
                        <w:pPr/>
                      </w:p>
                    </w:tc>
                  </w:tr>
                  <w:tr>
                    <w:trPr>
                      <w:trHeight w:val="234" w:hRule="exact"/>
                    </w:trPr>
                    <w:tc>
                      <w:tcPr>
                        <w:tcW w:w="2433" w:type="dxa"/>
                        <w:tcBorders>
                          <w:top w:val="nil"/>
                          <w:left w:val="nil"/>
                          <w:bottom w:val="nil"/>
                          <w:right w:val="nil"/>
                        </w:tcBorders>
                      </w:tcPr>
                      <w:p>
                        <w:pPr>
                          <w:pStyle w:val="TableParagraph"/>
                          <w:spacing w:before="23"/>
                          <w:ind w:left="62"/>
                          <w:jc w:val="left"/>
                          <w:rPr>
                            <w:sz w:val="15"/>
                          </w:rPr>
                        </w:pPr>
                        <w:r>
                          <w:rPr>
                            <w:w w:val="115"/>
                            <w:sz w:val="15"/>
                          </w:rPr>
                          <w:t>Mexicana</w:t>
                        </w:r>
                      </w:p>
                    </w:tc>
                    <w:tc>
                      <w:tcPr>
                        <w:tcW w:w="978" w:type="dxa"/>
                        <w:tcBorders>
                          <w:top w:val="nil"/>
                          <w:left w:val="nil"/>
                          <w:bottom w:val="nil"/>
                          <w:right w:val="nil"/>
                        </w:tcBorders>
                      </w:tcPr>
                      <w:p>
                        <w:pPr>
                          <w:pStyle w:val="TableParagraph"/>
                          <w:spacing w:before="23"/>
                          <w:ind w:right="98"/>
                          <w:rPr>
                            <w:sz w:val="15"/>
                          </w:rPr>
                        </w:pPr>
                        <w:r>
                          <w:rPr>
                            <w:w w:val="115"/>
                            <w:sz w:val="15"/>
                          </w:rPr>
                          <w:t>904 230</w:t>
                        </w:r>
                      </w:p>
                    </w:tc>
                    <w:tc>
                      <w:tcPr>
                        <w:tcW w:w="941" w:type="dxa"/>
                        <w:tcBorders>
                          <w:top w:val="nil"/>
                          <w:left w:val="nil"/>
                          <w:bottom w:val="nil"/>
                          <w:right w:val="nil"/>
                        </w:tcBorders>
                      </w:tcPr>
                      <w:p>
                        <w:pPr>
                          <w:pStyle w:val="TableParagraph"/>
                          <w:spacing w:before="23"/>
                          <w:ind w:right="60"/>
                          <w:rPr>
                            <w:sz w:val="15"/>
                          </w:rPr>
                        </w:pPr>
                        <w:r>
                          <w:rPr>
                            <w:w w:val="115"/>
                            <w:sz w:val="15"/>
                          </w:rPr>
                          <w:t>1 067 445</w:t>
                        </w:r>
                      </w:p>
                    </w:tc>
                    <w:tc>
                      <w:tcPr>
                        <w:tcW w:w="940" w:type="dxa"/>
                        <w:tcBorders>
                          <w:top w:val="nil"/>
                          <w:left w:val="nil"/>
                          <w:bottom w:val="nil"/>
                          <w:right w:val="nil"/>
                        </w:tcBorders>
                      </w:tcPr>
                      <w:p>
                        <w:pPr>
                          <w:pStyle w:val="TableParagraph"/>
                          <w:spacing w:before="23"/>
                          <w:ind w:right="97"/>
                          <w:rPr>
                            <w:sz w:val="15"/>
                          </w:rPr>
                        </w:pPr>
                        <w:r>
                          <w:rPr>
                            <w:w w:val="115"/>
                            <w:sz w:val="15"/>
                          </w:rPr>
                          <w:t>966 346</w:t>
                        </w:r>
                      </w:p>
                    </w:tc>
                    <w:tc>
                      <w:tcPr>
                        <w:tcW w:w="965" w:type="dxa"/>
                        <w:tcBorders>
                          <w:top w:val="nil"/>
                          <w:left w:val="nil"/>
                          <w:bottom w:val="nil"/>
                          <w:right w:val="nil"/>
                        </w:tcBorders>
                      </w:tcPr>
                      <w:p>
                        <w:pPr>
                          <w:pStyle w:val="TableParagraph"/>
                          <w:spacing w:before="23"/>
                          <w:ind w:right="113"/>
                          <w:rPr>
                            <w:sz w:val="15"/>
                          </w:rPr>
                        </w:pPr>
                        <w:r>
                          <w:rPr>
                            <w:w w:val="115"/>
                            <w:sz w:val="15"/>
                          </w:rPr>
                          <w:t>163 215</w:t>
                        </w:r>
                      </w:p>
                    </w:tc>
                    <w:tc>
                      <w:tcPr>
                        <w:tcW w:w="981" w:type="dxa"/>
                        <w:tcBorders>
                          <w:top w:val="nil"/>
                          <w:left w:val="nil"/>
                          <w:bottom w:val="nil"/>
                          <w:right w:val="nil"/>
                        </w:tcBorders>
                      </w:tcPr>
                      <w:p>
                        <w:pPr>
                          <w:pStyle w:val="TableParagraph"/>
                          <w:spacing w:before="23"/>
                          <w:ind w:right="113"/>
                          <w:rPr>
                            <w:sz w:val="15"/>
                          </w:rPr>
                        </w:pPr>
                        <w:r>
                          <w:rPr>
                            <w:w w:val="110"/>
                            <w:sz w:val="15"/>
                          </w:rPr>
                          <w:t>1.2</w:t>
                        </w:r>
                      </w:p>
                    </w:tc>
                    <w:tc>
                      <w:tcPr>
                        <w:tcW w:w="980" w:type="dxa"/>
                        <w:tcBorders>
                          <w:top w:val="nil"/>
                          <w:left w:val="nil"/>
                          <w:bottom w:val="nil"/>
                          <w:right w:val="nil"/>
                        </w:tcBorders>
                      </w:tcPr>
                      <w:p>
                        <w:pPr>
                          <w:pStyle w:val="TableParagraph"/>
                          <w:spacing w:before="23"/>
                          <w:ind w:right="113"/>
                          <w:rPr>
                            <w:sz w:val="15"/>
                          </w:rPr>
                        </w:pPr>
                        <w:r>
                          <w:rPr>
                            <w:w w:val="115"/>
                            <w:sz w:val="15"/>
                          </w:rPr>
                          <w:t>-101 099</w:t>
                        </w:r>
                      </w:p>
                    </w:tc>
                    <w:tc>
                      <w:tcPr>
                        <w:tcW w:w="900" w:type="dxa"/>
                        <w:tcBorders>
                          <w:top w:val="nil"/>
                          <w:left w:val="nil"/>
                          <w:bottom w:val="nil"/>
                          <w:right w:val="nil"/>
                        </w:tcBorders>
                      </w:tcPr>
                      <w:p>
                        <w:pPr>
                          <w:pStyle w:val="TableParagraph"/>
                          <w:spacing w:before="23"/>
                          <w:ind w:right="33"/>
                          <w:rPr>
                            <w:sz w:val="15"/>
                          </w:rPr>
                        </w:pPr>
                        <w:r>
                          <w:rPr>
                            <w:w w:val="110"/>
                            <w:sz w:val="15"/>
                          </w:rPr>
                          <w:t>-3.3</w:t>
                        </w:r>
                      </w:p>
                    </w:tc>
                    <w:tc>
                      <w:tcPr>
                        <w:tcW w:w="1005" w:type="dxa"/>
                        <w:tcBorders>
                          <w:top w:val="nil"/>
                          <w:left w:val="nil"/>
                          <w:bottom w:val="nil"/>
                          <w:right w:val="nil"/>
                        </w:tcBorders>
                      </w:tcPr>
                      <w:p>
                        <w:pPr>
                          <w:pStyle w:val="TableParagraph"/>
                          <w:spacing w:before="23"/>
                          <w:ind w:right="60"/>
                          <w:rPr>
                            <w:sz w:val="15"/>
                          </w:rPr>
                        </w:pPr>
                        <w:r>
                          <w:rPr>
                            <w:w w:val="115"/>
                            <w:sz w:val="15"/>
                          </w:rPr>
                          <w:t>62 116</w:t>
                        </w:r>
                      </w:p>
                    </w:tc>
                  </w:tr>
                  <w:tr>
                    <w:trPr>
                      <w:trHeight w:val="234" w:hRule="exact"/>
                    </w:trPr>
                    <w:tc>
                      <w:tcPr>
                        <w:tcW w:w="2433" w:type="dxa"/>
                        <w:tcBorders>
                          <w:top w:val="nil"/>
                          <w:left w:val="nil"/>
                          <w:bottom w:val="nil"/>
                          <w:right w:val="nil"/>
                        </w:tcBorders>
                      </w:tcPr>
                      <w:p>
                        <w:pPr>
                          <w:pStyle w:val="TableParagraph"/>
                          <w:spacing w:before="25"/>
                          <w:ind w:left="62"/>
                          <w:jc w:val="left"/>
                          <w:rPr>
                            <w:sz w:val="15"/>
                          </w:rPr>
                        </w:pPr>
                        <w:r>
                          <w:rPr>
                            <w:w w:val="115"/>
                            <w:sz w:val="15"/>
                          </w:rPr>
                          <w:t>Salario promedio anual (dólares)</w:t>
                        </w:r>
                      </w:p>
                    </w:tc>
                    <w:tc>
                      <w:tcPr>
                        <w:tcW w:w="978" w:type="dxa"/>
                        <w:tcBorders>
                          <w:top w:val="nil"/>
                          <w:left w:val="nil"/>
                          <w:bottom w:val="nil"/>
                          <w:right w:val="nil"/>
                        </w:tcBorders>
                      </w:tcPr>
                      <w:p>
                        <w:pPr>
                          <w:pStyle w:val="TableParagraph"/>
                          <w:spacing w:before="25"/>
                          <w:ind w:right="98"/>
                          <w:rPr>
                            <w:sz w:val="15"/>
                          </w:rPr>
                        </w:pPr>
                        <w:r>
                          <w:rPr>
                            <w:w w:val="115"/>
                            <w:sz w:val="15"/>
                          </w:rPr>
                          <w:t>15 691</w:t>
                        </w:r>
                      </w:p>
                    </w:tc>
                    <w:tc>
                      <w:tcPr>
                        <w:tcW w:w="941" w:type="dxa"/>
                        <w:tcBorders>
                          <w:top w:val="nil"/>
                          <w:left w:val="nil"/>
                          <w:bottom w:val="nil"/>
                          <w:right w:val="nil"/>
                        </w:tcBorders>
                      </w:tcPr>
                      <w:p>
                        <w:pPr>
                          <w:pStyle w:val="TableParagraph"/>
                          <w:spacing w:before="25"/>
                          <w:ind w:right="60"/>
                          <w:rPr>
                            <w:sz w:val="15"/>
                          </w:rPr>
                        </w:pPr>
                        <w:r>
                          <w:rPr>
                            <w:w w:val="115"/>
                            <w:sz w:val="15"/>
                          </w:rPr>
                          <w:t>27 190</w:t>
                        </w:r>
                      </w:p>
                    </w:tc>
                    <w:tc>
                      <w:tcPr>
                        <w:tcW w:w="940" w:type="dxa"/>
                        <w:tcBorders>
                          <w:top w:val="nil"/>
                          <w:left w:val="nil"/>
                          <w:bottom w:val="nil"/>
                          <w:right w:val="nil"/>
                        </w:tcBorders>
                      </w:tcPr>
                      <w:p>
                        <w:pPr>
                          <w:pStyle w:val="TableParagraph"/>
                          <w:spacing w:before="25"/>
                          <w:ind w:right="97"/>
                          <w:rPr>
                            <w:sz w:val="15"/>
                          </w:rPr>
                        </w:pPr>
                        <w:r>
                          <w:rPr>
                            <w:w w:val="115"/>
                            <w:sz w:val="15"/>
                          </w:rPr>
                          <w:t>29 575</w:t>
                        </w:r>
                      </w:p>
                    </w:tc>
                    <w:tc>
                      <w:tcPr>
                        <w:tcW w:w="965" w:type="dxa"/>
                        <w:tcBorders>
                          <w:top w:val="nil"/>
                          <w:left w:val="nil"/>
                          <w:bottom w:val="nil"/>
                          <w:right w:val="nil"/>
                        </w:tcBorders>
                      </w:tcPr>
                      <w:p>
                        <w:pPr/>
                      </w:p>
                    </w:tc>
                    <w:tc>
                      <w:tcPr>
                        <w:tcW w:w="981" w:type="dxa"/>
                        <w:tcBorders>
                          <w:top w:val="nil"/>
                          <w:left w:val="nil"/>
                          <w:bottom w:val="nil"/>
                          <w:right w:val="nil"/>
                        </w:tcBorders>
                      </w:tcPr>
                      <w:p>
                        <w:pPr/>
                      </w:p>
                    </w:tc>
                    <w:tc>
                      <w:tcPr>
                        <w:tcW w:w="980" w:type="dxa"/>
                        <w:tcBorders>
                          <w:top w:val="nil"/>
                          <w:left w:val="nil"/>
                          <w:bottom w:val="nil"/>
                          <w:right w:val="nil"/>
                        </w:tcBorders>
                      </w:tcPr>
                      <w:p>
                        <w:pPr/>
                      </w:p>
                    </w:tc>
                    <w:tc>
                      <w:tcPr>
                        <w:tcW w:w="900" w:type="dxa"/>
                        <w:tcBorders>
                          <w:top w:val="nil"/>
                          <w:left w:val="nil"/>
                          <w:bottom w:val="nil"/>
                          <w:right w:val="nil"/>
                        </w:tcBorders>
                      </w:tcPr>
                      <w:p>
                        <w:pPr/>
                      </w:p>
                    </w:tc>
                    <w:tc>
                      <w:tcPr>
                        <w:tcW w:w="1005" w:type="dxa"/>
                        <w:tcBorders>
                          <w:top w:val="nil"/>
                          <w:left w:val="nil"/>
                          <w:bottom w:val="nil"/>
                          <w:right w:val="nil"/>
                        </w:tcBorders>
                      </w:tcPr>
                      <w:p>
                        <w:pPr/>
                      </w:p>
                    </w:tc>
                  </w:tr>
                  <w:tr>
                    <w:trPr>
                      <w:trHeight w:val="234" w:hRule="exact"/>
                    </w:trPr>
                    <w:tc>
                      <w:tcPr>
                        <w:tcW w:w="2433" w:type="dxa"/>
                        <w:tcBorders>
                          <w:top w:val="nil"/>
                          <w:left w:val="nil"/>
                          <w:bottom w:val="nil"/>
                          <w:right w:val="nil"/>
                        </w:tcBorders>
                      </w:tcPr>
                      <w:p>
                        <w:pPr>
                          <w:pStyle w:val="TableParagraph"/>
                          <w:spacing w:before="23"/>
                          <w:ind w:left="62"/>
                          <w:jc w:val="left"/>
                          <w:rPr>
                            <w:sz w:val="15"/>
                          </w:rPr>
                        </w:pPr>
                        <w:r>
                          <w:rPr>
                            <w:w w:val="115"/>
                            <w:sz w:val="15"/>
                          </w:rPr>
                          <w:t>No Mexicana</w:t>
                        </w:r>
                      </w:p>
                    </w:tc>
                    <w:tc>
                      <w:tcPr>
                        <w:tcW w:w="978" w:type="dxa"/>
                        <w:tcBorders>
                          <w:top w:val="nil"/>
                          <w:left w:val="nil"/>
                          <w:bottom w:val="nil"/>
                          <w:right w:val="nil"/>
                        </w:tcBorders>
                      </w:tcPr>
                      <w:p>
                        <w:pPr>
                          <w:pStyle w:val="TableParagraph"/>
                          <w:spacing w:before="23"/>
                          <w:ind w:right="98"/>
                          <w:rPr>
                            <w:sz w:val="15"/>
                          </w:rPr>
                        </w:pPr>
                        <w:r>
                          <w:rPr>
                            <w:w w:val="115"/>
                            <w:sz w:val="15"/>
                          </w:rPr>
                          <w:t>1674 151</w:t>
                        </w:r>
                      </w:p>
                    </w:tc>
                    <w:tc>
                      <w:tcPr>
                        <w:tcW w:w="941" w:type="dxa"/>
                        <w:tcBorders>
                          <w:top w:val="nil"/>
                          <w:left w:val="nil"/>
                          <w:bottom w:val="nil"/>
                          <w:right w:val="nil"/>
                        </w:tcBorders>
                      </w:tcPr>
                      <w:p>
                        <w:pPr>
                          <w:pStyle w:val="TableParagraph"/>
                          <w:spacing w:before="23"/>
                          <w:ind w:right="60"/>
                          <w:rPr>
                            <w:sz w:val="15"/>
                          </w:rPr>
                        </w:pPr>
                        <w:r>
                          <w:rPr>
                            <w:w w:val="115"/>
                            <w:sz w:val="15"/>
                          </w:rPr>
                          <w:t>1 922 145</w:t>
                        </w:r>
                      </w:p>
                    </w:tc>
                    <w:tc>
                      <w:tcPr>
                        <w:tcW w:w="940" w:type="dxa"/>
                        <w:tcBorders>
                          <w:top w:val="nil"/>
                          <w:left w:val="nil"/>
                          <w:bottom w:val="nil"/>
                          <w:right w:val="nil"/>
                        </w:tcBorders>
                      </w:tcPr>
                      <w:p>
                        <w:pPr>
                          <w:pStyle w:val="TableParagraph"/>
                          <w:spacing w:before="23"/>
                          <w:ind w:right="97"/>
                          <w:rPr>
                            <w:sz w:val="15"/>
                          </w:rPr>
                        </w:pPr>
                        <w:r>
                          <w:rPr>
                            <w:w w:val="115"/>
                            <w:sz w:val="15"/>
                          </w:rPr>
                          <w:t>1 874 195</w:t>
                        </w:r>
                      </w:p>
                    </w:tc>
                    <w:tc>
                      <w:tcPr>
                        <w:tcW w:w="965" w:type="dxa"/>
                        <w:tcBorders>
                          <w:top w:val="nil"/>
                          <w:left w:val="nil"/>
                          <w:bottom w:val="nil"/>
                          <w:right w:val="nil"/>
                        </w:tcBorders>
                      </w:tcPr>
                      <w:p>
                        <w:pPr>
                          <w:pStyle w:val="TableParagraph"/>
                          <w:spacing w:before="23"/>
                          <w:ind w:right="113"/>
                          <w:rPr>
                            <w:sz w:val="15"/>
                          </w:rPr>
                        </w:pPr>
                        <w:r>
                          <w:rPr>
                            <w:w w:val="115"/>
                            <w:sz w:val="15"/>
                          </w:rPr>
                          <w:t>246 994</w:t>
                        </w:r>
                      </w:p>
                    </w:tc>
                    <w:tc>
                      <w:tcPr>
                        <w:tcW w:w="981" w:type="dxa"/>
                        <w:tcBorders>
                          <w:top w:val="nil"/>
                          <w:left w:val="nil"/>
                          <w:bottom w:val="nil"/>
                          <w:right w:val="nil"/>
                        </w:tcBorders>
                      </w:tcPr>
                      <w:p>
                        <w:pPr>
                          <w:pStyle w:val="TableParagraph"/>
                          <w:spacing w:before="23"/>
                          <w:ind w:right="114"/>
                          <w:rPr>
                            <w:sz w:val="15"/>
                          </w:rPr>
                        </w:pPr>
                        <w:r>
                          <w:rPr>
                            <w:w w:val="113"/>
                            <w:sz w:val="15"/>
                          </w:rPr>
                          <w:t>1</w:t>
                        </w:r>
                      </w:p>
                    </w:tc>
                    <w:tc>
                      <w:tcPr>
                        <w:tcW w:w="980" w:type="dxa"/>
                        <w:tcBorders>
                          <w:top w:val="nil"/>
                          <w:left w:val="nil"/>
                          <w:bottom w:val="nil"/>
                          <w:right w:val="nil"/>
                        </w:tcBorders>
                      </w:tcPr>
                      <w:p>
                        <w:pPr>
                          <w:pStyle w:val="TableParagraph"/>
                          <w:spacing w:before="23"/>
                          <w:ind w:right="113"/>
                          <w:rPr>
                            <w:sz w:val="15"/>
                          </w:rPr>
                        </w:pPr>
                        <w:r>
                          <w:rPr>
                            <w:w w:val="115"/>
                            <w:sz w:val="15"/>
                          </w:rPr>
                          <w:t>-47 950</w:t>
                        </w:r>
                      </w:p>
                    </w:tc>
                    <w:tc>
                      <w:tcPr>
                        <w:tcW w:w="900" w:type="dxa"/>
                        <w:tcBorders>
                          <w:top w:val="nil"/>
                          <w:left w:val="nil"/>
                          <w:bottom w:val="nil"/>
                          <w:right w:val="nil"/>
                        </w:tcBorders>
                      </w:tcPr>
                      <w:p>
                        <w:pPr>
                          <w:pStyle w:val="TableParagraph"/>
                          <w:spacing w:before="23"/>
                          <w:ind w:right="33"/>
                          <w:rPr>
                            <w:sz w:val="15"/>
                          </w:rPr>
                        </w:pPr>
                        <w:r>
                          <w:rPr>
                            <w:w w:val="110"/>
                            <w:sz w:val="15"/>
                          </w:rPr>
                          <w:t>-0.8</w:t>
                        </w:r>
                      </w:p>
                    </w:tc>
                    <w:tc>
                      <w:tcPr>
                        <w:tcW w:w="1005" w:type="dxa"/>
                        <w:tcBorders>
                          <w:top w:val="nil"/>
                          <w:left w:val="nil"/>
                          <w:bottom w:val="nil"/>
                          <w:right w:val="nil"/>
                        </w:tcBorders>
                      </w:tcPr>
                      <w:p>
                        <w:pPr>
                          <w:pStyle w:val="TableParagraph"/>
                          <w:spacing w:before="23"/>
                          <w:ind w:right="60"/>
                          <w:rPr>
                            <w:sz w:val="15"/>
                          </w:rPr>
                        </w:pPr>
                        <w:r>
                          <w:rPr>
                            <w:w w:val="115"/>
                            <w:sz w:val="15"/>
                          </w:rPr>
                          <w:t>200 044</w:t>
                        </w:r>
                      </w:p>
                    </w:tc>
                  </w:tr>
                  <w:tr>
                    <w:trPr>
                      <w:trHeight w:val="469" w:hRule="exact"/>
                    </w:trPr>
                    <w:tc>
                      <w:tcPr>
                        <w:tcW w:w="2433" w:type="dxa"/>
                        <w:tcBorders>
                          <w:top w:val="nil"/>
                          <w:left w:val="nil"/>
                          <w:bottom w:val="nil"/>
                          <w:right w:val="nil"/>
                        </w:tcBorders>
                      </w:tcPr>
                      <w:p>
                        <w:pPr>
                          <w:pStyle w:val="TableParagraph"/>
                          <w:spacing w:before="25"/>
                          <w:ind w:left="62"/>
                          <w:jc w:val="left"/>
                          <w:rPr>
                            <w:sz w:val="15"/>
                          </w:rPr>
                        </w:pPr>
                        <w:r>
                          <w:rPr>
                            <w:w w:val="115"/>
                            <w:sz w:val="15"/>
                          </w:rPr>
                          <w:t>Salario promedio anual (dólares)</w:t>
                        </w:r>
                      </w:p>
                    </w:tc>
                    <w:tc>
                      <w:tcPr>
                        <w:tcW w:w="978" w:type="dxa"/>
                        <w:tcBorders>
                          <w:top w:val="nil"/>
                          <w:left w:val="nil"/>
                          <w:bottom w:val="nil"/>
                          <w:right w:val="nil"/>
                        </w:tcBorders>
                      </w:tcPr>
                      <w:p>
                        <w:pPr>
                          <w:pStyle w:val="TableParagraph"/>
                          <w:spacing w:before="25"/>
                          <w:ind w:right="98"/>
                          <w:rPr>
                            <w:sz w:val="15"/>
                          </w:rPr>
                        </w:pPr>
                        <w:r>
                          <w:rPr>
                            <w:w w:val="115"/>
                            <w:sz w:val="15"/>
                          </w:rPr>
                          <w:t>29 093</w:t>
                        </w:r>
                      </w:p>
                    </w:tc>
                    <w:tc>
                      <w:tcPr>
                        <w:tcW w:w="941" w:type="dxa"/>
                        <w:tcBorders>
                          <w:top w:val="nil"/>
                          <w:left w:val="nil"/>
                          <w:bottom w:val="nil"/>
                          <w:right w:val="nil"/>
                        </w:tcBorders>
                      </w:tcPr>
                      <w:p>
                        <w:pPr>
                          <w:pStyle w:val="TableParagraph"/>
                          <w:spacing w:before="25"/>
                          <w:ind w:right="60"/>
                          <w:rPr>
                            <w:sz w:val="15"/>
                          </w:rPr>
                        </w:pPr>
                        <w:r>
                          <w:rPr>
                            <w:w w:val="115"/>
                            <w:sz w:val="15"/>
                          </w:rPr>
                          <w:t>49 655</w:t>
                        </w:r>
                      </w:p>
                    </w:tc>
                    <w:tc>
                      <w:tcPr>
                        <w:tcW w:w="940" w:type="dxa"/>
                        <w:tcBorders>
                          <w:top w:val="nil"/>
                          <w:left w:val="nil"/>
                          <w:bottom w:val="nil"/>
                          <w:right w:val="nil"/>
                        </w:tcBorders>
                      </w:tcPr>
                      <w:p>
                        <w:pPr>
                          <w:pStyle w:val="TableParagraph"/>
                          <w:spacing w:before="25"/>
                          <w:ind w:right="97"/>
                          <w:rPr>
                            <w:sz w:val="15"/>
                          </w:rPr>
                        </w:pPr>
                        <w:r>
                          <w:rPr>
                            <w:w w:val="115"/>
                            <w:sz w:val="15"/>
                          </w:rPr>
                          <w:t>49 028</w:t>
                        </w:r>
                      </w:p>
                    </w:tc>
                    <w:tc>
                      <w:tcPr>
                        <w:tcW w:w="965" w:type="dxa"/>
                        <w:tcBorders>
                          <w:top w:val="nil"/>
                          <w:left w:val="nil"/>
                          <w:bottom w:val="nil"/>
                          <w:right w:val="nil"/>
                        </w:tcBorders>
                      </w:tcPr>
                      <w:p>
                        <w:pPr/>
                      </w:p>
                    </w:tc>
                    <w:tc>
                      <w:tcPr>
                        <w:tcW w:w="981" w:type="dxa"/>
                        <w:tcBorders>
                          <w:top w:val="nil"/>
                          <w:left w:val="nil"/>
                          <w:bottom w:val="nil"/>
                          <w:right w:val="nil"/>
                        </w:tcBorders>
                      </w:tcPr>
                      <w:p>
                        <w:pPr>
                          <w:pStyle w:val="TableParagraph"/>
                          <w:jc w:val="left"/>
                          <w:rPr>
                            <w:sz w:val="14"/>
                          </w:rPr>
                        </w:pPr>
                      </w:p>
                      <w:p>
                        <w:pPr>
                          <w:pStyle w:val="TableParagraph"/>
                          <w:spacing w:before="96"/>
                          <w:ind w:right="113"/>
                          <w:rPr>
                            <w:sz w:val="15"/>
                          </w:rPr>
                        </w:pPr>
                        <w:r>
                          <w:rPr>
                            <w:w w:val="110"/>
                            <w:sz w:val="15"/>
                          </w:rPr>
                          <w:t>1994</w:t>
                        </w:r>
                      </w:p>
                    </w:tc>
                    <w:tc>
                      <w:tcPr>
                        <w:tcW w:w="980" w:type="dxa"/>
                        <w:tcBorders>
                          <w:top w:val="nil"/>
                          <w:left w:val="nil"/>
                          <w:bottom w:val="nil"/>
                          <w:right w:val="nil"/>
                        </w:tcBorders>
                      </w:tcPr>
                      <w:p>
                        <w:pPr>
                          <w:pStyle w:val="TableParagraph"/>
                          <w:jc w:val="left"/>
                          <w:rPr>
                            <w:sz w:val="14"/>
                          </w:rPr>
                        </w:pPr>
                      </w:p>
                      <w:p>
                        <w:pPr>
                          <w:pStyle w:val="TableParagraph"/>
                          <w:spacing w:before="96"/>
                          <w:ind w:right="113"/>
                          <w:rPr>
                            <w:sz w:val="15"/>
                          </w:rPr>
                        </w:pPr>
                        <w:r>
                          <w:rPr>
                            <w:w w:val="110"/>
                            <w:sz w:val="15"/>
                          </w:rPr>
                          <w:t>2008</w:t>
                        </w:r>
                      </w:p>
                    </w:tc>
                    <w:tc>
                      <w:tcPr>
                        <w:tcW w:w="900" w:type="dxa"/>
                        <w:tcBorders>
                          <w:top w:val="nil"/>
                          <w:left w:val="nil"/>
                          <w:bottom w:val="nil"/>
                          <w:right w:val="nil"/>
                        </w:tcBorders>
                      </w:tcPr>
                      <w:p>
                        <w:pPr>
                          <w:pStyle w:val="TableParagraph"/>
                          <w:jc w:val="left"/>
                          <w:rPr>
                            <w:sz w:val="14"/>
                          </w:rPr>
                        </w:pPr>
                      </w:p>
                      <w:p>
                        <w:pPr>
                          <w:pStyle w:val="TableParagraph"/>
                          <w:spacing w:before="96"/>
                          <w:ind w:right="33"/>
                          <w:rPr>
                            <w:sz w:val="15"/>
                          </w:rPr>
                        </w:pPr>
                        <w:r>
                          <w:rPr>
                            <w:w w:val="110"/>
                            <w:sz w:val="15"/>
                          </w:rPr>
                          <w:t>2011</w:t>
                        </w:r>
                      </w:p>
                    </w:tc>
                    <w:tc>
                      <w:tcPr>
                        <w:tcW w:w="1005" w:type="dxa"/>
                        <w:tcBorders>
                          <w:top w:val="nil"/>
                          <w:left w:val="nil"/>
                          <w:bottom w:val="nil"/>
                          <w:right w:val="nil"/>
                        </w:tcBorders>
                      </w:tcPr>
                      <w:p>
                        <w:pPr/>
                      </w:p>
                    </w:tc>
                  </w:tr>
                  <w:tr>
                    <w:trPr>
                      <w:trHeight w:val="234" w:hRule="exact"/>
                    </w:trPr>
                    <w:tc>
                      <w:tcPr>
                        <w:tcW w:w="6257" w:type="dxa"/>
                        <w:gridSpan w:val="5"/>
                        <w:tcBorders>
                          <w:top w:val="nil"/>
                          <w:left w:val="nil"/>
                          <w:bottom w:val="nil"/>
                          <w:right w:val="nil"/>
                        </w:tcBorders>
                      </w:tcPr>
                      <w:p>
                        <w:pPr>
                          <w:pStyle w:val="TableParagraph"/>
                          <w:spacing w:before="25"/>
                          <w:ind w:left="62"/>
                          <w:jc w:val="left"/>
                          <w:rPr>
                            <w:sz w:val="15"/>
                          </w:rPr>
                        </w:pPr>
                        <w:r>
                          <w:rPr>
                            <w:w w:val="115"/>
                            <w:sz w:val="15"/>
                          </w:rPr>
                          <w:t>Diferencia salarial del nativo vs migrante mexicano</w:t>
                        </w:r>
                      </w:p>
                    </w:tc>
                    <w:tc>
                      <w:tcPr>
                        <w:tcW w:w="981" w:type="dxa"/>
                        <w:tcBorders>
                          <w:top w:val="nil"/>
                          <w:left w:val="nil"/>
                          <w:bottom w:val="nil"/>
                          <w:right w:val="nil"/>
                        </w:tcBorders>
                      </w:tcPr>
                      <w:p>
                        <w:pPr>
                          <w:pStyle w:val="TableParagraph"/>
                          <w:spacing w:before="25"/>
                          <w:ind w:right="113"/>
                          <w:rPr>
                            <w:sz w:val="15"/>
                          </w:rPr>
                        </w:pPr>
                        <w:r>
                          <w:rPr>
                            <w:w w:val="115"/>
                            <w:sz w:val="15"/>
                          </w:rPr>
                          <w:t>$10 580</w:t>
                        </w:r>
                      </w:p>
                    </w:tc>
                    <w:tc>
                      <w:tcPr>
                        <w:tcW w:w="980" w:type="dxa"/>
                        <w:tcBorders>
                          <w:top w:val="nil"/>
                          <w:left w:val="nil"/>
                          <w:bottom w:val="nil"/>
                          <w:right w:val="nil"/>
                        </w:tcBorders>
                      </w:tcPr>
                      <w:p>
                        <w:pPr>
                          <w:pStyle w:val="TableParagraph"/>
                          <w:spacing w:before="25"/>
                          <w:ind w:right="113"/>
                          <w:rPr>
                            <w:sz w:val="15"/>
                          </w:rPr>
                        </w:pPr>
                        <w:r>
                          <w:rPr>
                            <w:w w:val="115"/>
                            <w:sz w:val="15"/>
                          </w:rPr>
                          <w:t>$15 524</w:t>
                        </w:r>
                      </w:p>
                    </w:tc>
                    <w:tc>
                      <w:tcPr>
                        <w:tcW w:w="1905" w:type="dxa"/>
                        <w:gridSpan w:val="2"/>
                        <w:tcBorders>
                          <w:top w:val="nil"/>
                          <w:left w:val="nil"/>
                          <w:bottom w:val="nil"/>
                          <w:right w:val="nil"/>
                        </w:tcBorders>
                      </w:tcPr>
                      <w:p>
                        <w:pPr>
                          <w:pStyle w:val="TableParagraph"/>
                          <w:spacing w:before="25"/>
                          <w:ind w:left="302"/>
                          <w:jc w:val="left"/>
                          <w:rPr>
                            <w:sz w:val="15"/>
                          </w:rPr>
                        </w:pPr>
                        <w:r>
                          <w:rPr>
                            <w:w w:val="115"/>
                            <w:sz w:val="15"/>
                          </w:rPr>
                          <w:t>$17 529</w:t>
                        </w:r>
                      </w:p>
                    </w:tc>
                  </w:tr>
                  <w:tr>
                    <w:trPr>
                      <w:trHeight w:val="234" w:hRule="exact"/>
                    </w:trPr>
                    <w:tc>
                      <w:tcPr>
                        <w:tcW w:w="6257" w:type="dxa"/>
                        <w:gridSpan w:val="5"/>
                        <w:tcBorders>
                          <w:top w:val="nil"/>
                          <w:left w:val="nil"/>
                          <w:bottom w:val="nil"/>
                          <w:right w:val="nil"/>
                        </w:tcBorders>
                      </w:tcPr>
                      <w:p>
                        <w:pPr>
                          <w:pStyle w:val="TableParagraph"/>
                          <w:spacing w:before="23"/>
                          <w:ind w:left="62"/>
                          <w:jc w:val="left"/>
                          <w:rPr>
                            <w:sz w:val="15"/>
                          </w:rPr>
                        </w:pPr>
                        <w:r>
                          <w:rPr>
                            <w:w w:val="115"/>
                            <w:sz w:val="15"/>
                          </w:rPr>
                          <w:t>Diferencia salarial del migrante no mexicano vs mexicano</w:t>
                        </w:r>
                      </w:p>
                    </w:tc>
                    <w:tc>
                      <w:tcPr>
                        <w:tcW w:w="981" w:type="dxa"/>
                        <w:tcBorders>
                          <w:top w:val="nil"/>
                          <w:left w:val="nil"/>
                          <w:bottom w:val="nil"/>
                          <w:right w:val="nil"/>
                        </w:tcBorders>
                      </w:tcPr>
                      <w:p>
                        <w:pPr>
                          <w:pStyle w:val="TableParagraph"/>
                          <w:spacing w:before="23"/>
                          <w:ind w:right="113"/>
                          <w:rPr>
                            <w:sz w:val="15"/>
                          </w:rPr>
                        </w:pPr>
                        <w:r>
                          <w:rPr>
                            <w:w w:val="115"/>
                            <w:sz w:val="15"/>
                          </w:rPr>
                          <w:t>$10 770</w:t>
                        </w:r>
                      </w:p>
                    </w:tc>
                    <w:tc>
                      <w:tcPr>
                        <w:tcW w:w="980" w:type="dxa"/>
                        <w:tcBorders>
                          <w:top w:val="nil"/>
                          <w:left w:val="nil"/>
                          <w:bottom w:val="nil"/>
                          <w:right w:val="nil"/>
                        </w:tcBorders>
                      </w:tcPr>
                      <w:p>
                        <w:pPr>
                          <w:pStyle w:val="TableParagraph"/>
                          <w:spacing w:before="23"/>
                          <w:ind w:right="113"/>
                          <w:rPr>
                            <w:sz w:val="15"/>
                          </w:rPr>
                        </w:pPr>
                        <w:r>
                          <w:rPr>
                            <w:w w:val="115"/>
                            <w:sz w:val="15"/>
                          </w:rPr>
                          <w:t>$16 874</w:t>
                        </w:r>
                      </w:p>
                    </w:tc>
                    <w:tc>
                      <w:tcPr>
                        <w:tcW w:w="1905" w:type="dxa"/>
                        <w:gridSpan w:val="2"/>
                        <w:tcBorders>
                          <w:top w:val="nil"/>
                          <w:left w:val="nil"/>
                          <w:bottom w:val="nil"/>
                          <w:right w:val="nil"/>
                        </w:tcBorders>
                      </w:tcPr>
                      <w:p>
                        <w:pPr>
                          <w:pStyle w:val="TableParagraph"/>
                          <w:spacing w:before="23"/>
                          <w:ind w:left="302"/>
                          <w:jc w:val="left"/>
                          <w:rPr>
                            <w:sz w:val="15"/>
                          </w:rPr>
                        </w:pPr>
                        <w:r>
                          <w:rPr>
                            <w:w w:val="115"/>
                            <w:sz w:val="15"/>
                          </w:rPr>
                          <w:t>$18 084</w:t>
                        </w:r>
                      </w:p>
                    </w:tc>
                  </w:tr>
                  <w:tr>
                    <w:trPr>
                      <w:trHeight w:val="251" w:hRule="exact"/>
                    </w:trPr>
                    <w:tc>
                      <w:tcPr>
                        <w:tcW w:w="6257" w:type="dxa"/>
                        <w:gridSpan w:val="5"/>
                        <w:tcBorders>
                          <w:top w:val="nil"/>
                          <w:left w:val="nil"/>
                          <w:bottom w:val="nil"/>
                          <w:right w:val="nil"/>
                        </w:tcBorders>
                      </w:tcPr>
                      <w:p>
                        <w:pPr>
                          <w:pStyle w:val="TableParagraph"/>
                          <w:spacing w:before="25"/>
                          <w:ind w:left="105"/>
                          <w:jc w:val="left"/>
                          <w:rPr>
                            <w:sz w:val="15"/>
                          </w:rPr>
                        </w:pPr>
                        <w:r>
                          <w:rPr>
                            <w:w w:val="115"/>
                            <w:sz w:val="15"/>
                          </w:rPr>
                          <w:t>Por ciento de población ocupada nativa respecto al total de ocupados en manufactura</w:t>
                        </w:r>
                      </w:p>
                    </w:tc>
                    <w:tc>
                      <w:tcPr>
                        <w:tcW w:w="981" w:type="dxa"/>
                        <w:tcBorders>
                          <w:top w:val="nil"/>
                          <w:left w:val="nil"/>
                          <w:bottom w:val="nil"/>
                          <w:right w:val="nil"/>
                        </w:tcBorders>
                      </w:tcPr>
                      <w:p>
                        <w:pPr>
                          <w:pStyle w:val="TableParagraph"/>
                          <w:spacing w:before="25"/>
                          <w:ind w:right="113"/>
                          <w:rPr>
                            <w:sz w:val="15"/>
                          </w:rPr>
                        </w:pPr>
                        <w:r>
                          <w:rPr>
                            <w:w w:val="110"/>
                            <w:sz w:val="15"/>
                          </w:rPr>
                          <w:t>0.87</w:t>
                        </w:r>
                      </w:p>
                    </w:tc>
                    <w:tc>
                      <w:tcPr>
                        <w:tcW w:w="980" w:type="dxa"/>
                        <w:tcBorders>
                          <w:top w:val="nil"/>
                          <w:left w:val="nil"/>
                          <w:bottom w:val="nil"/>
                          <w:right w:val="nil"/>
                        </w:tcBorders>
                      </w:tcPr>
                      <w:p>
                        <w:pPr>
                          <w:pStyle w:val="TableParagraph"/>
                          <w:spacing w:before="25"/>
                          <w:ind w:right="113"/>
                          <w:rPr>
                            <w:sz w:val="15"/>
                          </w:rPr>
                        </w:pPr>
                        <w:r>
                          <w:rPr>
                            <w:w w:val="110"/>
                            <w:sz w:val="15"/>
                          </w:rPr>
                          <w:t>0.81</w:t>
                        </w:r>
                      </w:p>
                    </w:tc>
                    <w:tc>
                      <w:tcPr>
                        <w:tcW w:w="1905" w:type="dxa"/>
                        <w:gridSpan w:val="2"/>
                        <w:tcBorders>
                          <w:top w:val="nil"/>
                          <w:left w:val="nil"/>
                          <w:bottom w:val="nil"/>
                          <w:right w:val="nil"/>
                        </w:tcBorders>
                      </w:tcPr>
                      <w:p>
                        <w:pPr>
                          <w:pStyle w:val="TableParagraph"/>
                          <w:spacing w:before="25"/>
                          <w:ind w:left="562"/>
                          <w:jc w:val="left"/>
                          <w:rPr>
                            <w:sz w:val="15"/>
                          </w:rPr>
                        </w:pPr>
                        <w:r>
                          <w:rPr>
                            <w:w w:val="115"/>
                            <w:sz w:val="15"/>
                          </w:rPr>
                          <w:t>0.80</w:t>
                        </w:r>
                      </w:p>
                    </w:tc>
                  </w:tr>
                  <w:tr>
                    <w:trPr>
                      <w:trHeight w:val="313" w:hRule="exact"/>
                    </w:trPr>
                    <w:tc>
                      <w:tcPr>
                        <w:tcW w:w="7239" w:type="dxa"/>
                        <w:gridSpan w:val="6"/>
                        <w:tcBorders>
                          <w:top w:val="nil"/>
                          <w:left w:val="nil"/>
                          <w:bottom w:val="nil"/>
                          <w:right w:val="nil"/>
                        </w:tcBorders>
                      </w:tcPr>
                      <w:p>
                        <w:pPr>
                          <w:pStyle w:val="TableParagraph"/>
                          <w:spacing w:line="81" w:lineRule="exact"/>
                          <w:ind w:left="105"/>
                          <w:jc w:val="left"/>
                          <w:rPr>
                            <w:sz w:val="15"/>
                          </w:rPr>
                        </w:pPr>
                        <w:r>
                          <w:rPr>
                            <w:w w:val="115"/>
                            <w:sz w:val="15"/>
                          </w:rPr>
                          <w:t>Por ciento de población ocupada migrante no mexicana respecto al total de ocupados</w:t>
                        </w:r>
                      </w:p>
                      <w:p>
                        <w:pPr>
                          <w:pStyle w:val="TableParagraph"/>
                          <w:tabs>
                            <w:tab w:pos="7123" w:val="right" w:leader="none"/>
                          </w:tabs>
                          <w:spacing w:line="221" w:lineRule="exact"/>
                          <w:ind w:left="62"/>
                          <w:jc w:val="left"/>
                          <w:rPr>
                            <w:sz w:val="15"/>
                          </w:rPr>
                        </w:pPr>
                        <w:r>
                          <w:rPr>
                            <w:w w:val="115"/>
                            <w:sz w:val="15"/>
                          </w:rPr>
                          <w:t>en</w:t>
                        </w:r>
                        <w:r>
                          <w:rPr>
                            <w:spacing w:val="1"/>
                            <w:w w:val="115"/>
                            <w:sz w:val="15"/>
                          </w:rPr>
                          <w:t> </w:t>
                        </w:r>
                        <w:r>
                          <w:rPr>
                            <w:w w:val="115"/>
                            <w:sz w:val="15"/>
                          </w:rPr>
                          <w:t>manufactura</w:t>
                        </w:r>
                        <w:r>
                          <w:rPr>
                            <w:w w:val="115"/>
                            <w:position w:val="9"/>
                            <w:sz w:val="15"/>
                          </w:rPr>
                          <w:tab/>
                          <w:t>0.09</w:t>
                        </w:r>
                      </w:p>
                    </w:tc>
                    <w:tc>
                      <w:tcPr>
                        <w:tcW w:w="980" w:type="dxa"/>
                        <w:tcBorders>
                          <w:top w:val="nil"/>
                          <w:left w:val="nil"/>
                          <w:bottom w:val="nil"/>
                          <w:right w:val="nil"/>
                        </w:tcBorders>
                      </w:tcPr>
                      <w:p>
                        <w:pPr>
                          <w:pStyle w:val="TableParagraph"/>
                          <w:spacing w:before="40"/>
                          <w:ind w:right="113"/>
                          <w:rPr>
                            <w:sz w:val="15"/>
                          </w:rPr>
                        </w:pPr>
                        <w:r>
                          <w:rPr>
                            <w:w w:val="110"/>
                            <w:sz w:val="15"/>
                          </w:rPr>
                          <w:t>0.12</w:t>
                        </w:r>
                      </w:p>
                    </w:tc>
                    <w:tc>
                      <w:tcPr>
                        <w:tcW w:w="900" w:type="dxa"/>
                        <w:tcBorders>
                          <w:top w:val="nil"/>
                          <w:left w:val="nil"/>
                          <w:bottom w:val="nil"/>
                          <w:right w:val="nil"/>
                        </w:tcBorders>
                      </w:tcPr>
                      <w:p>
                        <w:pPr>
                          <w:pStyle w:val="TableParagraph"/>
                          <w:spacing w:before="40"/>
                          <w:ind w:right="33"/>
                          <w:rPr>
                            <w:sz w:val="15"/>
                          </w:rPr>
                        </w:pPr>
                        <w:r>
                          <w:rPr>
                            <w:w w:val="110"/>
                            <w:sz w:val="15"/>
                          </w:rPr>
                          <w:t>0.13</w:t>
                        </w:r>
                      </w:p>
                    </w:tc>
                    <w:tc>
                      <w:tcPr>
                        <w:tcW w:w="1005" w:type="dxa"/>
                        <w:tcBorders>
                          <w:top w:val="nil"/>
                          <w:left w:val="nil"/>
                          <w:bottom w:val="nil"/>
                          <w:right w:val="nil"/>
                        </w:tcBorders>
                      </w:tcPr>
                      <w:p>
                        <w:pPr/>
                      </w:p>
                    </w:tc>
                  </w:tr>
                  <w:tr>
                    <w:trPr>
                      <w:trHeight w:val="360" w:hRule="exact"/>
                    </w:trPr>
                    <w:tc>
                      <w:tcPr>
                        <w:tcW w:w="7239" w:type="dxa"/>
                        <w:gridSpan w:val="6"/>
                        <w:tcBorders>
                          <w:top w:val="nil"/>
                          <w:left w:val="nil"/>
                          <w:bottom w:val="nil"/>
                          <w:right w:val="nil"/>
                        </w:tcBorders>
                      </w:tcPr>
                      <w:p>
                        <w:pPr>
                          <w:pStyle w:val="TableParagraph"/>
                          <w:spacing w:line="128" w:lineRule="exact"/>
                          <w:ind w:left="105"/>
                          <w:jc w:val="left"/>
                          <w:rPr>
                            <w:sz w:val="15"/>
                          </w:rPr>
                        </w:pPr>
                        <w:r>
                          <w:rPr>
                            <w:w w:val="115"/>
                            <w:sz w:val="15"/>
                          </w:rPr>
                          <w:t>Por ciento de población ocupada migrante mexicana respecto al total de ocupados en</w:t>
                        </w:r>
                      </w:p>
                      <w:p>
                        <w:pPr>
                          <w:pStyle w:val="TableParagraph"/>
                          <w:tabs>
                            <w:tab w:pos="7123" w:val="right" w:leader="none"/>
                          </w:tabs>
                          <w:spacing w:line="221" w:lineRule="exact"/>
                          <w:ind w:left="62"/>
                          <w:jc w:val="left"/>
                          <w:rPr>
                            <w:sz w:val="15"/>
                          </w:rPr>
                        </w:pPr>
                        <w:r>
                          <w:rPr>
                            <w:w w:val="115"/>
                            <w:sz w:val="15"/>
                          </w:rPr>
                          <w:t>manufactura</w:t>
                        </w:r>
                        <w:r>
                          <w:rPr>
                            <w:w w:val="115"/>
                            <w:position w:val="9"/>
                            <w:sz w:val="15"/>
                          </w:rPr>
                          <w:tab/>
                          <w:t>0.05</w:t>
                        </w:r>
                      </w:p>
                    </w:tc>
                    <w:tc>
                      <w:tcPr>
                        <w:tcW w:w="980" w:type="dxa"/>
                        <w:tcBorders>
                          <w:top w:val="nil"/>
                          <w:left w:val="nil"/>
                          <w:bottom w:val="nil"/>
                          <w:right w:val="nil"/>
                        </w:tcBorders>
                      </w:tcPr>
                      <w:p>
                        <w:pPr>
                          <w:pStyle w:val="TableParagraph"/>
                          <w:spacing w:before="87"/>
                          <w:ind w:right="113"/>
                          <w:rPr>
                            <w:sz w:val="15"/>
                          </w:rPr>
                        </w:pPr>
                        <w:r>
                          <w:rPr>
                            <w:w w:val="110"/>
                            <w:sz w:val="15"/>
                          </w:rPr>
                          <w:t>0.07</w:t>
                        </w:r>
                      </w:p>
                    </w:tc>
                    <w:tc>
                      <w:tcPr>
                        <w:tcW w:w="900" w:type="dxa"/>
                        <w:tcBorders>
                          <w:top w:val="nil"/>
                          <w:left w:val="nil"/>
                          <w:bottom w:val="nil"/>
                          <w:right w:val="nil"/>
                        </w:tcBorders>
                      </w:tcPr>
                      <w:p>
                        <w:pPr>
                          <w:pStyle w:val="TableParagraph"/>
                          <w:spacing w:before="87"/>
                          <w:ind w:right="33"/>
                          <w:rPr>
                            <w:sz w:val="15"/>
                          </w:rPr>
                        </w:pPr>
                        <w:r>
                          <w:rPr>
                            <w:w w:val="110"/>
                            <w:sz w:val="15"/>
                          </w:rPr>
                          <w:t>0.07</w:t>
                        </w:r>
                      </w:p>
                    </w:tc>
                    <w:tc>
                      <w:tcPr>
                        <w:tcW w:w="1005" w:type="dxa"/>
                        <w:tcBorders>
                          <w:top w:val="nil"/>
                          <w:left w:val="nil"/>
                          <w:bottom w:val="nil"/>
                          <w:right w:val="nil"/>
                        </w:tcBorders>
                      </w:tcPr>
                      <w:p>
                        <w:pPr/>
                      </w:p>
                    </w:tc>
                  </w:tr>
                  <w:tr>
                    <w:trPr>
                      <w:trHeight w:val="366" w:hRule="exact"/>
                    </w:trPr>
                    <w:tc>
                      <w:tcPr>
                        <w:tcW w:w="7239" w:type="dxa"/>
                        <w:gridSpan w:val="6"/>
                        <w:tcBorders>
                          <w:top w:val="nil"/>
                          <w:left w:val="nil"/>
                          <w:bottom w:val="double" w:sz="3" w:space="0" w:color="000000"/>
                          <w:right w:val="nil"/>
                        </w:tcBorders>
                      </w:tcPr>
                      <w:p>
                        <w:pPr>
                          <w:pStyle w:val="TableParagraph"/>
                          <w:spacing w:line="128" w:lineRule="exact"/>
                          <w:ind w:left="105"/>
                          <w:jc w:val="left"/>
                          <w:rPr>
                            <w:sz w:val="15"/>
                          </w:rPr>
                        </w:pPr>
                        <w:r>
                          <w:rPr>
                            <w:w w:val="115"/>
                            <w:sz w:val="15"/>
                          </w:rPr>
                          <w:t>Por ciento de población ocupada México-americana respecto al total de ocupados en</w:t>
                        </w:r>
                      </w:p>
                      <w:p>
                        <w:pPr>
                          <w:pStyle w:val="TableParagraph"/>
                          <w:tabs>
                            <w:tab w:pos="7123" w:val="right" w:leader="none"/>
                          </w:tabs>
                          <w:spacing w:line="221" w:lineRule="exact"/>
                          <w:ind w:left="62"/>
                          <w:jc w:val="left"/>
                          <w:rPr>
                            <w:sz w:val="15"/>
                          </w:rPr>
                        </w:pPr>
                        <w:r>
                          <w:rPr>
                            <w:w w:val="115"/>
                            <w:sz w:val="15"/>
                          </w:rPr>
                          <w:t>manufactura</w:t>
                        </w:r>
                        <w:r>
                          <w:rPr>
                            <w:w w:val="115"/>
                            <w:position w:val="9"/>
                            <w:sz w:val="15"/>
                          </w:rPr>
                          <w:tab/>
                          <w:t>0.02</w:t>
                        </w:r>
                      </w:p>
                    </w:tc>
                    <w:tc>
                      <w:tcPr>
                        <w:tcW w:w="980" w:type="dxa"/>
                        <w:tcBorders>
                          <w:top w:val="nil"/>
                          <w:left w:val="nil"/>
                          <w:bottom w:val="double" w:sz="3" w:space="0" w:color="000000"/>
                          <w:right w:val="nil"/>
                        </w:tcBorders>
                      </w:tcPr>
                      <w:p>
                        <w:pPr>
                          <w:pStyle w:val="TableParagraph"/>
                          <w:spacing w:before="87"/>
                          <w:ind w:right="113"/>
                          <w:rPr>
                            <w:sz w:val="15"/>
                          </w:rPr>
                        </w:pPr>
                        <w:r>
                          <w:rPr>
                            <w:w w:val="110"/>
                            <w:sz w:val="15"/>
                          </w:rPr>
                          <w:t>0.04</w:t>
                        </w:r>
                      </w:p>
                    </w:tc>
                    <w:tc>
                      <w:tcPr>
                        <w:tcW w:w="900" w:type="dxa"/>
                        <w:tcBorders>
                          <w:top w:val="nil"/>
                          <w:left w:val="nil"/>
                          <w:bottom w:val="double" w:sz="3" w:space="0" w:color="000000"/>
                          <w:right w:val="nil"/>
                        </w:tcBorders>
                      </w:tcPr>
                      <w:p>
                        <w:pPr>
                          <w:pStyle w:val="TableParagraph"/>
                          <w:spacing w:before="87"/>
                          <w:ind w:right="33"/>
                          <w:rPr>
                            <w:sz w:val="15"/>
                          </w:rPr>
                        </w:pPr>
                        <w:r>
                          <w:rPr>
                            <w:w w:val="110"/>
                            <w:sz w:val="15"/>
                          </w:rPr>
                          <w:t>0.04</w:t>
                        </w:r>
                      </w:p>
                    </w:tc>
                    <w:tc>
                      <w:tcPr>
                        <w:tcW w:w="1005" w:type="dxa"/>
                        <w:tcBorders>
                          <w:top w:val="nil"/>
                          <w:left w:val="nil"/>
                          <w:bottom w:val="double" w:sz="3" w:space="0" w:color="000000"/>
                          <w:right w:val="nil"/>
                        </w:tcBorders>
                      </w:tcPr>
                      <w:p>
                        <w:pPr/>
                      </w:p>
                    </w:tc>
                  </w:tr>
                </w:tbl>
                <w:p>
                  <w:pPr>
                    <w:pStyle w:val="BodyText"/>
                  </w:pPr>
                </w:p>
              </w:txbxContent>
            </v:textbox>
            <w10:wrap type="none"/>
          </v:shape>
        </w:pict>
      </w:r>
      <w:r>
        <w:rPr>
          <w:w w:val="110"/>
          <w:sz w:val="15"/>
        </w:rPr>
        <w:t>1994-2008</w:t>
      </w:r>
    </w:p>
    <w:p>
      <w:pPr>
        <w:spacing w:before="84"/>
        <w:ind w:left="1172" w:right="-17" w:firstLine="0"/>
        <w:jc w:val="left"/>
        <w:rPr>
          <w:sz w:val="15"/>
        </w:rPr>
      </w:pPr>
      <w:r>
        <w:rPr/>
        <w:br w:type="column"/>
      </w:r>
      <w:r>
        <w:rPr>
          <w:w w:val="115"/>
          <w:sz w:val="15"/>
        </w:rPr>
        <w:t>2008-2011</w:t>
      </w:r>
    </w:p>
    <w:p>
      <w:pPr>
        <w:spacing w:before="84"/>
        <w:ind w:left="1168" w:right="0" w:firstLine="0"/>
        <w:jc w:val="left"/>
        <w:rPr>
          <w:sz w:val="15"/>
        </w:rPr>
      </w:pPr>
      <w:r>
        <w:rPr/>
        <w:br w:type="column"/>
      </w:r>
      <w:r>
        <w:rPr>
          <w:w w:val="115"/>
          <w:sz w:val="15"/>
        </w:rPr>
        <w:t>1994-2011</w:t>
      </w:r>
    </w:p>
    <w:p>
      <w:pPr>
        <w:spacing w:after="0"/>
        <w:jc w:val="left"/>
        <w:rPr>
          <w:sz w:val="15"/>
        </w:rPr>
        <w:sectPr>
          <w:type w:val="continuous"/>
          <w:pgSz w:w="13040" w:h="9360" w:orient="landscape"/>
          <w:pgMar w:top="0" w:bottom="0" w:left="1280" w:right="1300"/>
          <w:cols w:num="3" w:equalWidth="0">
            <w:col w:w="6360" w:space="40"/>
            <w:col w:w="1923" w:space="40"/>
            <w:col w:w="2097"/>
          </w:cols>
        </w:sectPr>
      </w:pPr>
    </w:p>
    <w:p>
      <w:pPr>
        <w:pStyle w:val="BodyText"/>
        <w:rPr>
          <w:sz w:val="20"/>
        </w:rPr>
      </w:pPr>
      <w:r>
        <w:rPr/>
        <w:pict>
          <v:shape style="position:absolute;margin-left:595.135681pt;margin-top:340.848389pt;width:11pt;height:57.05pt;mso-position-horizontal-relative:page;mso-position-vertical-relative:page;z-index:3976" type="#_x0000_t202" filled="false" stroked="false">
            <v:textbox inset="0,0,0,0" style="layout-flow:vertical">
              <w:txbxContent>
                <w:p>
                  <w:pPr>
                    <w:spacing w:line="204" w:lineRule="exact" w:before="0"/>
                    <w:ind w:left="20" w:right="-921" w:firstLine="0"/>
                    <w:jc w:val="left"/>
                    <w:rPr>
                      <w:sz w:val="18"/>
                    </w:rPr>
                  </w:pPr>
                  <w:r>
                    <w:rPr>
                      <w:color w:val="231F20"/>
                      <w:sz w:val="18"/>
                    </w:rPr>
                    <w:t>CIEAP/UAEM</w:t>
                  </w:r>
                </w:p>
              </w:txbxContent>
            </v:textbox>
            <w10:wrap type="none"/>
          </v:shape>
        </w:pict>
      </w:r>
      <w:r>
        <w:rPr/>
        <w:pict>
          <v:shape style="position:absolute;margin-left:593.309937pt;margin-top:69.866096pt;width:12pt;height:200.85pt;mso-position-horizontal-relative:page;mso-position-vertical-relative:page;z-index:4000" type="#_x0000_t202" filled="false" stroked="false">
            <v:textbox inset="0,0,0,0" style="layout-flow:vertical">
              <w:txbxContent>
                <w:p>
                  <w:pPr>
                    <w:spacing w:line="208" w:lineRule="exact" w:before="0"/>
                    <w:ind w:left="20" w:right="-673" w:firstLine="0"/>
                    <w:jc w:val="left"/>
                    <w:rPr>
                      <w:rFonts w:ascii="Arial" w:hAnsi="Arial"/>
                      <w:sz w:val="20"/>
                    </w:rPr>
                  </w:pPr>
                  <w:r>
                    <w:rPr>
                      <w:rFonts w:ascii="Arial" w:hAnsi="Arial"/>
                      <w:color w:val="231F20"/>
                      <w:spacing w:val="-1"/>
                      <w:w w:val="78"/>
                      <w:sz w:val="20"/>
                    </w:rPr>
                    <w:t>Hito</w:t>
                  </w:r>
                  <w:r>
                    <w:rPr>
                      <w:rFonts w:ascii="Arial" w:hAnsi="Arial"/>
                      <w:color w:val="231F20"/>
                      <w:w w:val="78"/>
                      <w:sz w:val="20"/>
                    </w:rPr>
                    <w:t>s</w:t>
                  </w:r>
                  <w:r>
                    <w:rPr>
                      <w:rFonts w:ascii="Arial" w:hAnsi="Arial"/>
                      <w:color w:val="231F20"/>
                      <w:spacing w:val="-1"/>
                      <w:sz w:val="20"/>
                    </w:rPr>
                    <w:t> </w:t>
                  </w:r>
                  <w:r>
                    <w:rPr>
                      <w:rFonts w:ascii="Arial" w:hAnsi="Arial"/>
                      <w:color w:val="231F20"/>
                      <w:w w:val="72"/>
                      <w:sz w:val="20"/>
                    </w:rPr>
                    <w:t>Demográficos</w:t>
                  </w:r>
                  <w:r>
                    <w:rPr>
                      <w:rFonts w:ascii="Arial" w:hAnsi="Arial"/>
                      <w:color w:val="231F20"/>
                      <w:spacing w:val="-1"/>
                      <w:sz w:val="20"/>
                    </w:rPr>
                    <w:t> </w:t>
                  </w:r>
                  <w:r>
                    <w:rPr>
                      <w:rFonts w:ascii="Arial" w:hAnsi="Arial"/>
                      <w:color w:val="231F20"/>
                      <w:w w:val="76"/>
                      <w:sz w:val="20"/>
                    </w:rPr>
                    <w:t>del</w:t>
                  </w:r>
                  <w:r>
                    <w:rPr>
                      <w:rFonts w:ascii="Arial" w:hAnsi="Arial"/>
                      <w:color w:val="231F20"/>
                      <w:spacing w:val="-1"/>
                      <w:sz w:val="20"/>
                    </w:rPr>
                    <w:t> </w:t>
                  </w:r>
                  <w:r>
                    <w:rPr>
                      <w:rFonts w:ascii="Arial" w:hAnsi="Arial"/>
                      <w:color w:val="231F20"/>
                      <w:spacing w:val="-1"/>
                      <w:w w:val="77"/>
                      <w:sz w:val="20"/>
                    </w:rPr>
                    <w:t>Sigl</w:t>
                  </w:r>
                  <w:r>
                    <w:rPr>
                      <w:rFonts w:ascii="Arial" w:hAnsi="Arial"/>
                      <w:color w:val="231F20"/>
                      <w:w w:val="77"/>
                      <w:sz w:val="20"/>
                    </w:rPr>
                    <w:t>o</w:t>
                  </w:r>
                  <w:r>
                    <w:rPr>
                      <w:rFonts w:ascii="Arial" w:hAnsi="Arial"/>
                      <w:color w:val="231F20"/>
                      <w:sz w:val="20"/>
                    </w:rPr>
                    <w:t> </w:t>
                  </w:r>
                  <w:r>
                    <w:rPr>
                      <w:rFonts w:ascii="Arial" w:hAnsi="Arial"/>
                      <w:color w:val="231F20"/>
                      <w:w w:val="80"/>
                      <w:sz w:val="20"/>
                    </w:rPr>
                    <w:t>XXI:</w:t>
                  </w:r>
                  <w:r>
                    <w:rPr>
                      <w:rFonts w:ascii="Arial" w:hAnsi="Arial"/>
                      <w:color w:val="231F20"/>
                      <w:spacing w:val="-1"/>
                      <w:sz w:val="20"/>
                    </w:rPr>
                    <w:t> </w:t>
                  </w:r>
                  <w:r>
                    <w:rPr>
                      <w:rFonts w:ascii="Arial" w:hAnsi="Arial"/>
                      <w:color w:val="231F20"/>
                      <w:w w:val="76"/>
                      <w:sz w:val="20"/>
                    </w:rPr>
                    <w:t>Migración</w:t>
                  </w:r>
                  <w:r>
                    <w:rPr>
                      <w:rFonts w:ascii="Arial" w:hAnsi="Arial"/>
                      <w:color w:val="231F20"/>
                      <w:spacing w:val="-1"/>
                      <w:sz w:val="20"/>
                    </w:rPr>
                    <w:t> </w:t>
                  </w:r>
                  <w:r>
                    <w:rPr>
                      <w:rFonts w:ascii="Arial" w:hAnsi="Arial"/>
                      <w:color w:val="231F20"/>
                      <w:w w:val="76"/>
                      <w:sz w:val="20"/>
                    </w:rPr>
                    <w:t>Internacional</w:t>
                  </w:r>
                </w:p>
              </w:txbxContent>
            </v:textbox>
            <w10:wrap type="none"/>
          </v:shape>
        </w:pict>
      </w:r>
      <w:r>
        <w:rPr/>
        <w:pict>
          <v:shape style="position:absolute;margin-left:23.820354pt;margin-top:215.850403pt;width:12pt;height:21.25pt;mso-position-horizontal-relative:page;mso-position-vertical-relative:page;z-index:4024" type="#_x0000_t202" filled="false" stroked="false">
            <v:textbox inset="0,0,0,0" style="layout-flow:vertical">
              <w:txbxContent>
                <w:p>
                  <w:pPr>
                    <w:spacing w:line="214" w:lineRule="exact" w:before="0"/>
                    <w:ind w:left="20" w:right="-182" w:firstLine="0"/>
                    <w:jc w:val="left"/>
                    <w:rPr>
                      <w:rFonts w:ascii="Verdana"/>
                      <w:sz w:val="20"/>
                    </w:rPr>
                  </w:pPr>
                  <w:r>
                    <w:rPr>
                      <w:rFonts w:ascii="Verdana"/>
                      <w:color w:val="231F20"/>
                      <w:spacing w:val="-1"/>
                      <w:w w:val="100"/>
                      <w:sz w:val="20"/>
                    </w:rPr>
                    <w:t>152</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2"/>
        </w:rPr>
      </w:pPr>
    </w:p>
    <w:p>
      <w:pPr>
        <w:spacing w:before="80"/>
        <w:ind w:left="280" w:right="0" w:firstLine="0"/>
        <w:jc w:val="left"/>
        <w:rPr>
          <w:sz w:val="12"/>
        </w:rPr>
      </w:pPr>
      <w:r>
        <w:rPr>
          <w:w w:val="115"/>
          <w:sz w:val="12"/>
        </w:rPr>
        <w:t>Fuente: Delgado y Olvera, 2012.</w:t>
      </w:r>
    </w:p>
    <w:p>
      <w:pPr>
        <w:spacing w:after="0"/>
        <w:jc w:val="left"/>
        <w:rPr>
          <w:sz w:val="12"/>
        </w:rPr>
        <w:sectPr>
          <w:type w:val="continuous"/>
          <w:pgSz w:w="13040" w:h="9360" w:orient="landscape"/>
          <w:pgMar w:top="0" w:bottom="0" w:left="1280" w:right="1300"/>
        </w:sectPr>
      </w:pPr>
    </w:p>
    <w:p>
      <w:pPr>
        <w:spacing w:before="45"/>
        <w:ind w:left="400" w:right="0" w:firstLine="411"/>
        <w:jc w:val="left"/>
        <w:rPr>
          <w:rFonts w:ascii="Arial" w:hAnsi="Arial"/>
          <w:i/>
          <w:sz w:val="20"/>
        </w:rPr>
      </w:pP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participación</w:t>
      </w:r>
      <w:r>
        <w:rPr>
          <w:rFonts w:ascii="Arial" w:hAnsi="Arial"/>
          <w:color w:val="231F20"/>
          <w:spacing w:val="-15"/>
          <w:w w:val="70"/>
          <w:sz w:val="20"/>
        </w:rPr>
        <w:t> </w:t>
      </w:r>
      <w:r>
        <w:rPr>
          <w:rFonts w:ascii="Arial" w:hAnsi="Arial"/>
          <w:color w:val="231F20"/>
          <w:w w:val="70"/>
          <w:sz w:val="20"/>
        </w:rPr>
        <w:t>de</w:t>
      </w:r>
      <w:r>
        <w:rPr>
          <w:rFonts w:ascii="Arial" w:hAnsi="Arial"/>
          <w:color w:val="231F20"/>
          <w:spacing w:val="-15"/>
          <w:w w:val="70"/>
          <w:sz w:val="20"/>
        </w:rPr>
        <w:t> </w:t>
      </w:r>
      <w:r>
        <w:rPr>
          <w:rFonts w:ascii="Arial" w:hAnsi="Arial"/>
          <w:color w:val="231F20"/>
          <w:w w:val="70"/>
          <w:sz w:val="20"/>
        </w:rPr>
        <w:t>los</w:t>
      </w:r>
      <w:r>
        <w:rPr>
          <w:rFonts w:ascii="Arial" w:hAnsi="Arial"/>
          <w:color w:val="231F20"/>
          <w:spacing w:val="-15"/>
          <w:w w:val="70"/>
          <w:sz w:val="20"/>
        </w:rPr>
        <w:t> </w:t>
      </w:r>
      <w:r>
        <w:rPr>
          <w:rFonts w:ascii="Arial" w:hAnsi="Arial"/>
          <w:color w:val="231F20"/>
          <w:w w:val="70"/>
          <w:sz w:val="20"/>
        </w:rPr>
        <w:t>migrantes</w:t>
      </w:r>
      <w:r>
        <w:rPr>
          <w:rFonts w:ascii="Arial" w:hAnsi="Arial"/>
          <w:color w:val="231F20"/>
          <w:spacing w:val="-15"/>
          <w:w w:val="70"/>
          <w:sz w:val="20"/>
        </w:rPr>
        <w:t> </w:t>
      </w:r>
      <w:r>
        <w:rPr>
          <w:rFonts w:ascii="Arial" w:hAnsi="Arial"/>
          <w:color w:val="231F20"/>
          <w:w w:val="70"/>
          <w:sz w:val="20"/>
        </w:rPr>
        <w:t>mexicanos</w:t>
      </w:r>
      <w:r>
        <w:rPr>
          <w:rFonts w:ascii="Arial" w:hAnsi="Arial"/>
          <w:color w:val="231F20"/>
          <w:spacing w:val="-15"/>
          <w:w w:val="70"/>
          <w:sz w:val="20"/>
        </w:rPr>
        <w:t> </w:t>
      </w:r>
      <w:r>
        <w:rPr>
          <w:rFonts w:ascii="Arial" w:hAnsi="Arial"/>
          <w:color w:val="231F20"/>
          <w:w w:val="70"/>
          <w:sz w:val="20"/>
        </w:rPr>
        <w:t>en</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economía...</w:t>
      </w:r>
      <w:r>
        <w:rPr>
          <w:rFonts w:ascii="Arial" w:hAnsi="Arial"/>
          <w:color w:val="231F20"/>
          <w:spacing w:val="-15"/>
          <w:w w:val="70"/>
          <w:sz w:val="20"/>
        </w:rPr>
        <w:t> </w:t>
      </w:r>
      <w:r>
        <w:rPr>
          <w:rFonts w:ascii="Arial" w:hAnsi="Arial"/>
          <w:color w:val="231F20"/>
          <w:w w:val="70"/>
          <w:sz w:val="20"/>
        </w:rPr>
        <w:t>/Esther</w:t>
      </w:r>
      <w:r>
        <w:rPr>
          <w:rFonts w:ascii="Arial" w:hAnsi="Arial"/>
          <w:color w:val="231F20"/>
          <w:spacing w:val="-22"/>
          <w:w w:val="70"/>
          <w:sz w:val="20"/>
        </w:rPr>
        <w:t> </w:t>
      </w:r>
      <w:r>
        <w:rPr>
          <w:rFonts w:ascii="Arial" w:hAnsi="Arial"/>
          <w:color w:val="231F20"/>
          <w:w w:val="70"/>
          <w:sz w:val="20"/>
        </w:rPr>
        <w:t>Figueroa-Hernández</w:t>
      </w:r>
      <w:r>
        <w:rPr>
          <w:rFonts w:ascii="Arial" w:hAnsi="Arial"/>
          <w:color w:val="231F20"/>
          <w:spacing w:val="-22"/>
          <w:w w:val="70"/>
          <w:sz w:val="20"/>
        </w:rPr>
        <w:t> </w:t>
      </w:r>
      <w:r>
        <w:rPr>
          <w:rFonts w:ascii="Arial" w:hAnsi="Arial"/>
          <w:i/>
          <w:color w:val="231F20"/>
          <w:w w:val="70"/>
          <w:sz w:val="20"/>
        </w:rPr>
        <w:t>et</w:t>
      </w:r>
      <w:r>
        <w:rPr>
          <w:rFonts w:ascii="Arial" w:hAnsi="Arial"/>
          <w:i/>
          <w:color w:val="231F20"/>
          <w:spacing w:val="-22"/>
          <w:w w:val="70"/>
          <w:sz w:val="20"/>
        </w:rPr>
        <w:t> </w:t>
      </w:r>
      <w:r>
        <w:rPr>
          <w:rFonts w:ascii="Arial" w:hAnsi="Arial"/>
          <w:i/>
          <w:color w:val="231F20"/>
          <w:w w:val="70"/>
          <w:sz w:val="20"/>
        </w:rPr>
        <w:t>al.</w:t>
      </w:r>
    </w:p>
    <w:p>
      <w:pPr>
        <w:pStyle w:val="BodyText"/>
        <w:spacing w:before="7"/>
        <w:rPr>
          <w:rFonts w:ascii="Arial"/>
          <w:i/>
          <w:sz w:val="28"/>
        </w:rPr>
      </w:pPr>
    </w:p>
    <w:p>
      <w:pPr>
        <w:pStyle w:val="BodyText"/>
        <w:spacing w:line="247" w:lineRule="auto"/>
        <w:ind w:left="117" w:right="114" w:firstLine="283"/>
        <w:jc w:val="both"/>
      </w:pPr>
      <w:r>
        <w:rPr>
          <w:color w:val="231F20"/>
        </w:rPr>
        <w:t>La precariedad del mercado laboral se agudiza con el remplazo de trabajadores, la inestabilidad o la fragilidad en el empleo y el marcado declive en los estándares laborales en un contexto de desmantelamiento sindical. Este proceso forma parte de la estrategia de desindustrialización de la economía estadounidense y la configuración de redes globales de</w:t>
      </w:r>
      <w:r>
        <w:rPr>
          <w:color w:val="231F20"/>
          <w:spacing w:val="-32"/>
        </w:rPr>
        <w:t> </w:t>
      </w:r>
      <w:r>
        <w:rPr>
          <w:color w:val="231F20"/>
        </w:rPr>
        <w:t>ca- pital,</w:t>
      </w:r>
      <w:r>
        <w:rPr>
          <w:color w:val="231F20"/>
          <w:spacing w:val="-11"/>
        </w:rPr>
        <w:t> </w:t>
      </w:r>
      <w:r>
        <w:rPr>
          <w:color w:val="231F20"/>
        </w:rPr>
        <w:t>donde</w:t>
      </w:r>
      <w:r>
        <w:rPr>
          <w:color w:val="231F20"/>
          <w:spacing w:val="-11"/>
        </w:rPr>
        <w:t> </w:t>
      </w:r>
      <w:r>
        <w:rPr>
          <w:color w:val="231F20"/>
        </w:rPr>
        <w:t>el</w:t>
      </w:r>
      <w:r>
        <w:rPr>
          <w:color w:val="231F20"/>
          <w:spacing w:val="-11"/>
        </w:rPr>
        <w:t> </w:t>
      </w:r>
      <w:r>
        <w:rPr>
          <w:color w:val="231F20"/>
        </w:rPr>
        <w:t>modelo</w:t>
      </w:r>
      <w:r>
        <w:rPr>
          <w:color w:val="231F20"/>
          <w:spacing w:val="-11"/>
        </w:rPr>
        <w:t> </w:t>
      </w:r>
      <w:r>
        <w:rPr>
          <w:color w:val="231F20"/>
        </w:rPr>
        <w:t>mexicano</w:t>
      </w:r>
      <w:r>
        <w:rPr>
          <w:color w:val="231F20"/>
          <w:spacing w:val="-11"/>
        </w:rPr>
        <w:t> </w:t>
      </w:r>
      <w:r>
        <w:rPr>
          <w:color w:val="231F20"/>
        </w:rPr>
        <w:t>de</w:t>
      </w:r>
      <w:r>
        <w:rPr>
          <w:color w:val="231F20"/>
          <w:spacing w:val="-11"/>
        </w:rPr>
        <w:t> </w:t>
      </w:r>
      <w:r>
        <w:rPr>
          <w:color w:val="231F20"/>
        </w:rPr>
        <w:t>exportación</w:t>
      </w:r>
      <w:r>
        <w:rPr>
          <w:color w:val="231F20"/>
          <w:spacing w:val="-11"/>
        </w:rPr>
        <w:t> </w:t>
      </w:r>
      <w:r>
        <w:rPr>
          <w:color w:val="231F20"/>
        </w:rPr>
        <w:t>de</w:t>
      </w:r>
      <w:r>
        <w:rPr>
          <w:color w:val="231F20"/>
          <w:spacing w:val="-11"/>
        </w:rPr>
        <w:t> </w:t>
      </w:r>
      <w:r>
        <w:rPr>
          <w:color w:val="231F20"/>
        </w:rPr>
        <w:t>fuerza</w:t>
      </w:r>
      <w:r>
        <w:rPr>
          <w:color w:val="231F20"/>
          <w:spacing w:val="-11"/>
        </w:rPr>
        <w:t> </w:t>
      </w:r>
      <w:r>
        <w:rPr>
          <w:color w:val="231F20"/>
        </w:rPr>
        <w:t>de</w:t>
      </w:r>
      <w:r>
        <w:rPr>
          <w:color w:val="231F20"/>
          <w:spacing w:val="-11"/>
        </w:rPr>
        <w:t> </w:t>
      </w:r>
      <w:r>
        <w:rPr>
          <w:color w:val="231F20"/>
        </w:rPr>
        <w:t>trabajo</w:t>
      </w:r>
      <w:r>
        <w:rPr>
          <w:color w:val="231F20"/>
          <w:spacing w:val="-11"/>
        </w:rPr>
        <w:t> </w:t>
      </w:r>
      <w:r>
        <w:rPr>
          <w:color w:val="231F20"/>
        </w:rPr>
        <w:t>barata desempeña un papel central (Delgado y Olvera,</w:t>
      </w:r>
      <w:r>
        <w:rPr>
          <w:color w:val="231F20"/>
          <w:spacing w:val="-7"/>
        </w:rPr>
        <w:t> </w:t>
      </w:r>
      <w:r>
        <w:rPr>
          <w:color w:val="231F20"/>
        </w:rPr>
        <w:t>2012).</w:t>
      </w:r>
    </w:p>
    <w:p>
      <w:pPr>
        <w:spacing w:before="149"/>
        <w:ind w:left="117" w:right="0" w:firstLine="0"/>
        <w:jc w:val="both"/>
        <w:rPr>
          <w:i/>
          <w:sz w:val="22"/>
        </w:rPr>
      </w:pPr>
      <w:r>
        <w:rPr>
          <w:i/>
          <w:color w:val="231F20"/>
          <w:sz w:val="22"/>
        </w:rPr>
        <w:t>La contribución a la producción</w:t>
      </w:r>
    </w:p>
    <w:p>
      <w:pPr>
        <w:pStyle w:val="BodyText"/>
        <w:spacing w:line="247" w:lineRule="auto" w:before="177"/>
        <w:ind w:left="117" w:right="115"/>
        <w:jc w:val="both"/>
      </w:pPr>
      <w:r>
        <w:rPr>
          <w:color w:val="231F20"/>
        </w:rPr>
        <w:t>La gran cantidad de migrantes mexicanos que trabajan y residen en Esta- dos Unidos contribuye de manera muy significativa al crecimiento econó- mico de la economía más poderosa del mundo.</w:t>
      </w:r>
    </w:p>
    <w:p>
      <w:pPr>
        <w:pStyle w:val="BodyText"/>
        <w:spacing w:line="247" w:lineRule="auto"/>
        <w:ind w:left="117" w:right="114" w:firstLine="283"/>
        <w:jc w:val="both"/>
      </w:pPr>
      <w:r>
        <w:rPr>
          <w:color w:val="231F20"/>
        </w:rPr>
        <w:t>Su contribución al PIB casi se cuadruplicó de 1994 a 2010 (Cuadro 3). En 2010 tal aporte ascendió a 586 mil millones de dólares (mmdd) cifra equivalente a cuatro por ciento del PIB de Estados Unidos y 38 por ciento del</w:t>
      </w:r>
      <w:r>
        <w:rPr>
          <w:color w:val="231F20"/>
          <w:spacing w:val="-10"/>
        </w:rPr>
        <w:t> </w:t>
      </w:r>
      <w:r>
        <w:rPr>
          <w:color w:val="231F20"/>
        </w:rPr>
        <w:t>PIB</w:t>
      </w:r>
      <w:r>
        <w:rPr>
          <w:color w:val="231F20"/>
          <w:spacing w:val="-10"/>
        </w:rPr>
        <w:t> </w:t>
      </w:r>
      <w:r>
        <w:rPr>
          <w:color w:val="231F20"/>
        </w:rPr>
        <w:t>mexicano,</w:t>
      </w:r>
      <w:r>
        <w:rPr>
          <w:color w:val="231F20"/>
          <w:spacing w:val="-11"/>
        </w:rPr>
        <w:t> </w:t>
      </w:r>
      <w:r>
        <w:rPr>
          <w:color w:val="231F20"/>
        </w:rPr>
        <w:t>así</w:t>
      </w:r>
      <w:r>
        <w:rPr>
          <w:color w:val="231F20"/>
          <w:spacing w:val="-11"/>
        </w:rPr>
        <w:t> </w:t>
      </w:r>
      <w:r>
        <w:rPr>
          <w:color w:val="231F20"/>
        </w:rPr>
        <w:t>como</w:t>
      </w:r>
      <w:r>
        <w:rPr>
          <w:color w:val="231F20"/>
          <w:spacing w:val="-11"/>
        </w:rPr>
        <w:t> </w:t>
      </w:r>
      <w:r>
        <w:rPr>
          <w:color w:val="231F20"/>
        </w:rPr>
        <w:t>76</w:t>
      </w:r>
      <w:r>
        <w:rPr>
          <w:color w:val="231F20"/>
          <w:spacing w:val="-10"/>
        </w:rPr>
        <w:t> </w:t>
      </w:r>
      <w:r>
        <w:rPr>
          <w:color w:val="231F20"/>
        </w:rPr>
        <w:t>por</w:t>
      </w:r>
      <w:r>
        <w:rPr>
          <w:color w:val="231F20"/>
          <w:spacing w:val="-11"/>
        </w:rPr>
        <w:t> </w:t>
      </w:r>
      <w:r>
        <w:rPr>
          <w:color w:val="231F20"/>
        </w:rPr>
        <w:t>ciento</w:t>
      </w:r>
      <w:r>
        <w:rPr>
          <w:color w:val="231F20"/>
          <w:spacing w:val="-11"/>
        </w:rPr>
        <w:t> </w:t>
      </w:r>
      <w:r>
        <w:rPr>
          <w:color w:val="231F20"/>
        </w:rPr>
        <w:t>de</w:t>
      </w:r>
      <w:r>
        <w:rPr>
          <w:color w:val="231F20"/>
          <w:spacing w:val="-10"/>
        </w:rPr>
        <w:t> </w:t>
      </w:r>
      <w:r>
        <w:rPr>
          <w:color w:val="231F20"/>
        </w:rPr>
        <w:t>la</w:t>
      </w:r>
      <w:r>
        <w:rPr>
          <w:color w:val="231F20"/>
          <w:spacing w:val="-11"/>
        </w:rPr>
        <w:t> </w:t>
      </w:r>
      <w:r>
        <w:rPr>
          <w:color w:val="231F20"/>
        </w:rPr>
        <w:t>inversión</w:t>
      </w:r>
      <w:r>
        <w:rPr>
          <w:color w:val="231F20"/>
          <w:spacing w:val="-11"/>
        </w:rPr>
        <w:t> </w:t>
      </w:r>
      <w:r>
        <w:rPr>
          <w:color w:val="231F20"/>
        </w:rPr>
        <w:t>extranjera</w:t>
      </w:r>
      <w:r>
        <w:rPr>
          <w:color w:val="231F20"/>
          <w:spacing w:val="-11"/>
        </w:rPr>
        <w:t> </w:t>
      </w:r>
      <w:r>
        <w:rPr>
          <w:color w:val="231F20"/>
        </w:rPr>
        <w:t>directa captada en</w:t>
      </w:r>
      <w:r>
        <w:rPr>
          <w:color w:val="231F20"/>
          <w:spacing w:val="-9"/>
        </w:rPr>
        <w:t> </w:t>
      </w:r>
      <w:r>
        <w:rPr>
          <w:color w:val="231F20"/>
        </w:rPr>
        <w:t>México.</w:t>
      </w:r>
    </w:p>
    <w:p>
      <w:pPr>
        <w:pStyle w:val="BodyText"/>
        <w:spacing w:line="247" w:lineRule="auto"/>
        <w:ind w:left="117" w:right="114" w:firstLine="283"/>
        <w:jc w:val="both"/>
      </w:pPr>
      <w:r>
        <w:rPr>
          <w:color w:val="231F20"/>
        </w:rPr>
        <w:t>De acuerdo con la Figura 1, la estimación sobre la contribución de los inmigrantes</w:t>
      </w:r>
      <w:r>
        <w:rPr>
          <w:color w:val="231F20"/>
          <w:spacing w:val="-10"/>
        </w:rPr>
        <w:t> </w:t>
      </w:r>
      <w:r>
        <w:rPr>
          <w:color w:val="231F20"/>
        </w:rPr>
        <w:t>mexicanos</w:t>
      </w:r>
      <w:r>
        <w:rPr>
          <w:color w:val="231F20"/>
          <w:spacing w:val="-10"/>
        </w:rPr>
        <w:t> </w:t>
      </w:r>
      <w:r>
        <w:rPr>
          <w:color w:val="231F20"/>
        </w:rPr>
        <w:t>al</w:t>
      </w:r>
      <w:r>
        <w:rPr>
          <w:color w:val="231F20"/>
          <w:spacing w:val="-9"/>
        </w:rPr>
        <w:t> </w:t>
      </w:r>
      <w:r>
        <w:rPr>
          <w:color w:val="231F20"/>
        </w:rPr>
        <w:t>PIB</w:t>
      </w:r>
      <w:r>
        <w:rPr>
          <w:color w:val="231F20"/>
          <w:spacing w:val="-9"/>
        </w:rPr>
        <w:t> </w:t>
      </w:r>
      <w:r>
        <w:rPr>
          <w:color w:val="231F20"/>
        </w:rPr>
        <w:t>de</w:t>
      </w:r>
      <w:r>
        <w:rPr>
          <w:color w:val="231F20"/>
          <w:spacing w:val="-9"/>
        </w:rPr>
        <w:t> </w:t>
      </w:r>
      <w:r>
        <w:rPr>
          <w:color w:val="231F20"/>
        </w:rPr>
        <w:t>Estados</w:t>
      </w:r>
      <w:r>
        <w:rPr>
          <w:color w:val="231F20"/>
          <w:spacing w:val="-10"/>
        </w:rPr>
        <w:t> </w:t>
      </w:r>
      <w:r>
        <w:rPr>
          <w:color w:val="231F20"/>
        </w:rPr>
        <w:t>Unidos</w:t>
      </w:r>
      <w:r>
        <w:rPr>
          <w:color w:val="231F20"/>
          <w:spacing w:val="-9"/>
        </w:rPr>
        <w:t> </w:t>
      </w:r>
      <w:r>
        <w:rPr>
          <w:color w:val="231F20"/>
        </w:rPr>
        <w:t>se</w:t>
      </w:r>
      <w:r>
        <w:rPr>
          <w:color w:val="231F20"/>
          <w:spacing w:val="-9"/>
        </w:rPr>
        <w:t> </w:t>
      </w:r>
      <w:r>
        <w:rPr>
          <w:color w:val="231F20"/>
        </w:rPr>
        <w:t>basa</w:t>
      </w:r>
      <w:r>
        <w:rPr>
          <w:color w:val="231F20"/>
          <w:spacing w:val="-9"/>
        </w:rPr>
        <w:t> </w:t>
      </w:r>
      <w:r>
        <w:rPr>
          <w:color w:val="231F20"/>
        </w:rPr>
        <w:t>en</w:t>
      </w:r>
      <w:r>
        <w:rPr>
          <w:color w:val="231F20"/>
          <w:spacing w:val="-9"/>
        </w:rPr>
        <w:t> </w:t>
      </w:r>
      <w:r>
        <w:rPr>
          <w:color w:val="231F20"/>
        </w:rPr>
        <w:t>datos</w:t>
      </w:r>
      <w:r>
        <w:rPr>
          <w:color w:val="231F20"/>
          <w:spacing w:val="-9"/>
        </w:rPr>
        <w:t> </w:t>
      </w:r>
      <w:r>
        <w:rPr>
          <w:color w:val="231F20"/>
        </w:rPr>
        <w:t>desagre- gados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Current</w:t>
      </w:r>
      <w:r>
        <w:rPr>
          <w:color w:val="231F20"/>
          <w:spacing w:val="-6"/>
        </w:rPr>
        <w:t> </w:t>
      </w:r>
      <w:r>
        <w:rPr>
          <w:color w:val="231F20"/>
        </w:rPr>
        <w:t>Population</w:t>
      </w:r>
      <w:r>
        <w:rPr>
          <w:color w:val="231F20"/>
          <w:spacing w:val="-6"/>
        </w:rPr>
        <w:t> </w:t>
      </w:r>
      <w:r>
        <w:rPr>
          <w:color w:val="231F20"/>
        </w:rPr>
        <w:t>Survey</w:t>
      </w:r>
      <w:r>
        <w:rPr>
          <w:color w:val="231F20"/>
          <w:spacing w:val="-5"/>
        </w:rPr>
        <w:t> </w:t>
      </w:r>
      <w:r>
        <w:rPr>
          <w:color w:val="231F20"/>
        </w:rPr>
        <w:t>(suplemento</w:t>
      </w:r>
      <w:r>
        <w:rPr>
          <w:color w:val="231F20"/>
          <w:spacing w:val="-5"/>
        </w:rPr>
        <w:t> </w:t>
      </w:r>
      <w:r>
        <w:rPr>
          <w:color w:val="231F20"/>
        </w:rPr>
        <w:t>de</w:t>
      </w:r>
      <w:r>
        <w:rPr>
          <w:color w:val="231F20"/>
          <w:spacing w:val="-6"/>
        </w:rPr>
        <w:t> </w:t>
      </w:r>
      <w:r>
        <w:rPr>
          <w:color w:val="231F20"/>
        </w:rPr>
        <w:t>marzo)</w:t>
      </w:r>
      <w:r>
        <w:rPr>
          <w:color w:val="231F20"/>
          <w:spacing w:val="-6"/>
        </w:rPr>
        <w:t> </w:t>
      </w:r>
      <w:r>
        <w:rPr>
          <w:color w:val="231F20"/>
        </w:rPr>
        <w:t>y</w:t>
      </w:r>
      <w:r>
        <w:rPr>
          <w:color w:val="231F20"/>
          <w:spacing w:val="-6"/>
        </w:rPr>
        <w:t> </w:t>
      </w:r>
      <w:r>
        <w:rPr>
          <w:color w:val="231F20"/>
        </w:rPr>
        <w:t>considera la participación de los mexicanos en 34 actividades y sectores de la eco- nomía, multiplicándolos por las cifras correspondientes a la productividad promedio en el sector, que proporciona el U.S. Bureau of Economic Acti- vity (1994-2010), para  el año 2000 contribuyeron con 5.8 por ciento,  </w:t>
      </w:r>
      <w:r>
        <w:rPr>
          <w:color w:val="231F20"/>
          <w:spacing w:val="34"/>
        </w:rPr>
        <w:t> </w:t>
      </w:r>
      <w:r>
        <w:rPr>
          <w:color w:val="231F20"/>
        </w:rPr>
        <w:t>de</w:t>
      </w:r>
    </w:p>
    <w:p>
      <w:pPr>
        <w:pStyle w:val="BodyText"/>
        <w:spacing w:line="253" w:lineRule="exact"/>
        <w:ind w:left="117"/>
        <w:jc w:val="both"/>
      </w:pPr>
      <w:r>
        <w:rPr>
          <w:color w:val="231F20"/>
        </w:rPr>
        <w:t>7.9 por ciento en 2006 y de 8.3 por ciento en 2010.</w:t>
      </w:r>
    </w:p>
    <w:p>
      <w:pPr>
        <w:pStyle w:val="BodyText"/>
        <w:spacing w:line="247" w:lineRule="auto" w:before="7"/>
        <w:ind w:left="117" w:right="115" w:firstLine="283"/>
        <w:jc w:val="both"/>
      </w:pPr>
      <w:r>
        <w:rPr>
          <w:color w:val="231F20"/>
        </w:rPr>
        <w:t>Más significativo aún resulta el hecho de que entre 1994 y 2010, el  PIB de Estados Unidos creció en términos reales 4 219 mmdd (a precios de 2010); a este incremento los mexicanos aportaron 358 mmdd, lo que corresponde a ocho por ciento de ese crecimiento. Entre 2000 y 2008, sin considerar el efecto de la crisis, la contribución de los migrantes al cre- cimiento del PIB estadounidense fue por lo demás contundente, con un aporte de 32 por ciento; de ese aporte el grupo de inmigrantes que más contribuyó a dicho incremento fue, precisamente, el de los mexicanos con una contribución de </w:t>
      </w:r>
      <w:r>
        <w:rPr>
          <w:color w:val="231F20"/>
          <w:spacing w:val="-5"/>
        </w:rPr>
        <w:t>11 </w:t>
      </w:r>
      <w:r>
        <w:rPr>
          <w:color w:val="231F20"/>
        </w:rPr>
        <w:t>por ciento al crecimiento total (Canales,</w:t>
      </w:r>
      <w:r>
        <w:rPr>
          <w:color w:val="231F20"/>
          <w:spacing w:val="-8"/>
        </w:rPr>
        <w:t> </w:t>
      </w:r>
      <w:r>
        <w:rPr>
          <w:color w:val="231F20"/>
        </w:rPr>
        <w:t>2011).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6"/>
        </w:rPr>
      </w:pPr>
    </w:p>
    <w:p>
      <w:pPr>
        <w:spacing w:before="0"/>
        <w:ind w:left="2180" w:right="2190" w:firstLine="0"/>
        <w:jc w:val="center"/>
        <w:rPr>
          <w:rFonts w:ascii="Verdana"/>
          <w:sz w:val="20"/>
        </w:rPr>
      </w:pPr>
      <w:r>
        <w:rPr>
          <w:rFonts w:ascii="Verdana"/>
          <w:color w:val="231F20"/>
          <w:sz w:val="20"/>
        </w:rPr>
        <w:t>153</w:t>
      </w:r>
    </w:p>
    <w:p>
      <w:pPr>
        <w:spacing w:after="0"/>
        <w:jc w:val="center"/>
        <w:rPr>
          <w:rFonts w:ascii="Verdana"/>
          <w:sz w:val="20"/>
        </w:rPr>
        <w:sectPr>
          <w:footerReference w:type="default" r:id="rId122"/>
          <w:pgSz w:w="9360" w:h="13040"/>
          <w:pgMar w:footer="0" w:header="0" w:top="740" w:bottom="280" w:left="1300" w:right="1300"/>
        </w:sectPr>
      </w:pPr>
    </w:p>
    <w:p>
      <w:pPr>
        <w:pStyle w:val="BodyText"/>
        <w:rPr>
          <w:rFonts w:ascii="Verdana"/>
          <w:sz w:val="20"/>
        </w:rPr>
      </w:pPr>
      <w:r>
        <w:rPr/>
        <w:pict>
          <v:shape style="position:absolute;margin-left:595.135681pt;margin-top:340.848389pt;width:11pt;height:57.05pt;mso-position-horizontal-relative:page;mso-position-vertical-relative:page;z-index:4072" type="#_x0000_t202" filled="false" stroked="false">
            <v:textbox inset="0,0,0,0" style="layout-flow:vertical">
              <w:txbxContent>
                <w:p>
                  <w:pPr>
                    <w:spacing w:line="204" w:lineRule="exact" w:before="0"/>
                    <w:ind w:left="20" w:right="-921" w:firstLine="0"/>
                    <w:jc w:val="left"/>
                    <w:rPr>
                      <w:sz w:val="18"/>
                    </w:rPr>
                  </w:pPr>
                  <w:r>
                    <w:rPr>
                      <w:color w:val="231F20"/>
                      <w:sz w:val="18"/>
                    </w:rPr>
                    <w:t>CIEAP/UAEM</w:t>
                  </w:r>
                </w:p>
              </w:txbxContent>
            </v:textbox>
            <w10:wrap type="none"/>
          </v:shape>
        </w:pict>
      </w:r>
      <w:r>
        <w:rPr/>
        <w:pict>
          <v:shape style="position:absolute;margin-left:593.309937pt;margin-top:69.866096pt;width:12pt;height:200.85pt;mso-position-horizontal-relative:page;mso-position-vertical-relative:page;z-index:4096" type="#_x0000_t202" filled="false" stroked="false">
            <v:textbox inset="0,0,0,0" style="layout-flow:vertical">
              <w:txbxContent>
                <w:p>
                  <w:pPr>
                    <w:spacing w:line="208" w:lineRule="exact" w:before="0"/>
                    <w:ind w:left="20" w:right="-673" w:firstLine="0"/>
                    <w:jc w:val="left"/>
                    <w:rPr>
                      <w:rFonts w:ascii="Arial" w:hAnsi="Arial"/>
                      <w:sz w:val="20"/>
                    </w:rPr>
                  </w:pPr>
                  <w:r>
                    <w:rPr>
                      <w:rFonts w:ascii="Arial" w:hAnsi="Arial"/>
                      <w:color w:val="231F20"/>
                      <w:spacing w:val="-1"/>
                      <w:w w:val="78"/>
                      <w:sz w:val="20"/>
                    </w:rPr>
                    <w:t>Hito</w:t>
                  </w:r>
                  <w:r>
                    <w:rPr>
                      <w:rFonts w:ascii="Arial" w:hAnsi="Arial"/>
                      <w:color w:val="231F20"/>
                      <w:w w:val="78"/>
                      <w:sz w:val="20"/>
                    </w:rPr>
                    <w:t>s</w:t>
                  </w:r>
                  <w:r>
                    <w:rPr>
                      <w:rFonts w:ascii="Arial" w:hAnsi="Arial"/>
                      <w:color w:val="231F20"/>
                      <w:spacing w:val="-1"/>
                      <w:sz w:val="20"/>
                    </w:rPr>
                    <w:t> </w:t>
                  </w:r>
                  <w:r>
                    <w:rPr>
                      <w:rFonts w:ascii="Arial" w:hAnsi="Arial"/>
                      <w:color w:val="231F20"/>
                      <w:w w:val="72"/>
                      <w:sz w:val="20"/>
                    </w:rPr>
                    <w:t>Demográficos</w:t>
                  </w:r>
                  <w:r>
                    <w:rPr>
                      <w:rFonts w:ascii="Arial" w:hAnsi="Arial"/>
                      <w:color w:val="231F20"/>
                      <w:spacing w:val="-1"/>
                      <w:sz w:val="20"/>
                    </w:rPr>
                    <w:t> </w:t>
                  </w:r>
                  <w:r>
                    <w:rPr>
                      <w:rFonts w:ascii="Arial" w:hAnsi="Arial"/>
                      <w:color w:val="231F20"/>
                      <w:w w:val="76"/>
                      <w:sz w:val="20"/>
                    </w:rPr>
                    <w:t>del</w:t>
                  </w:r>
                  <w:r>
                    <w:rPr>
                      <w:rFonts w:ascii="Arial" w:hAnsi="Arial"/>
                      <w:color w:val="231F20"/>
                      <w:spacing w:val="-1"/>
                      <w:sz w:val="20"/>
                    </w:rPr>
                    <w:t> </w:t>
                  </w:r>
                  <w:r>
                    <w:rPr>
                      <w:rFonts w:ascii="Arial" w:hAnsi="Arial"/>
                      <w:color w:val="231F20"/>
                      <w:spacing w:val="-1"/>
                      <w:w w:val="77"/>
                      <w:sz w:val="20"/>
                    </w:rPr>
                    <w:t>Sigl</w:t>
                  </w:r>
                  <w:r>
                    <w:rPr>
                      <w:rFonts w:ascii="Arial" w:hAnsi="Arial"/>
                      <w:color w:val="231F20"/>
                      <w:w w:val="77"/>
                      <w:sz w:val="20"/>
                    </w:rPr>
                    <w:t>o</w:t>
                  </w:r>
                  <w:r>
                    <w:rPr>
                      <w:rFonts w:ascii="Arial" w:hAnsi="Arial"/>
                      <w:color w:val="231F20"/>
                      <w:sz w:val="20"/>
                    </w:rPr>
                    <w:t> </w:t>
                  </w:r>
                  <w:r>
                    <w:rPr>
                      <w:rFonts w:ascii="Arial" w:hAnsi="Arial"/>
                      <w:color w:val="231F20"/>
                      <w:w w:val="80"/>
                      <w:sz w:val="20"/>
                    </w:rPr>
                    <w:t>XXI:</w:t>
                  </w:r>
                  <w:r>
                    <w:rPr>
                      <w:rFonts w:ascii="Arial" w:hAnsi="Arial"/>
                      <w:color w:val="231F20"/>
                      <w:spacing w:val="-1"/>
                      <w:sz w:val="20"/>
                    </w:rPr>
                    <w:t> </w:t>
                  </w:r>
                  <w:r>
                    <w:rPr>
                      <w:rFonts w:ascii="Arial" w:hAnsi="Arial"/>
                      <w:color w:val="231F20"/>
                      <w:w w:val="76"/>
                      <w:sz w:val="20"/>
                    </w:rPr>
                    <w:t>Migración</w:t>
                  </w:r>
                  <w:r>
                    <w:rPr>
                      <w:rFonts w:ascii="Arial" w:hAnsi="Arial"/>
                      <w:color w:val="231F20"/>
                      <w:spacing w:val="-1"/>
                      <w:sz w:val="20"/>
                    </w:rPr>
                    <w:t> </w:t>
                  </w:r>
                  <w:r>
                    <w:rPr>
                      <w:rFonts w:ascii="Arial" w:hAnsi="Arial"/>
                      <w:color w:val="231F20"/>
                      <w:w w:val="76"/>
                      <w:sz w:val="20"/>
                    </w:rPr>
                    <w:t>Internacional</w:t>
                  </w:r>
                </w:p>
              </w:txbxContent>
            </v:textbox>
            <w10:wrap type="none"/>
          </v:shape>
        </w:pict>
      </w:r>
      <w:r>
        <w:rPr/>
        <w:pict>
          <v:shape style="position:absolute;margin-left:23.820354pt;margin-top:215.850403pt;width:12pt;height:21.25pt;mso-position-horizontal-relative:page;mso-position-vertical-relative:page;z-index:4120" type="#_x0000_t202" filled="false" stroked="false">
            <v:textbox inset="0,0,0,0" style="layout-flow:vertical">
              <w:txbxContent>
                <w:p>
                  <w:pPr>
                    <w:spacing w:line="214" w:lineRule="exact" w:before="0"/>
                    <w:ind w:left="20" w:right="-182" w:firstLine="0"/>
                    <w:jc w:val="left"/>
                    <w:rPr>
                      <w:rFonts w:ascii="Verdana"/>
                      <w:sz w:val="20"/>
                    </w:rPr>
                  </w:pPr>
                  <w:r>
                    <w:rPr>
                      <w:rFonts w:ascii="Verdana"/>
                      <w:color w:val="231F20"/>
                      <w:spacing w:val="-1"/>
                      <w:w w:val="100"/>
                      <w:sz w:val="20"/>
                    </w:rPr>
                    <w:t>154</w:t>
                  </w:r>
                </w:p>
              </w:txbxContent>
            </v:textbox>
            <w10:wrap type="none"/>
          </v:shape>
        </w:pict>
      </w: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spacing w:before="4"/>
        <w:rPr>
          <w:rFonts w:ascii="Verdana"/>
          <w:sz w:val="20"/>
        </w:rPr>
      </w:pPr>
    </w:p>
    <w:p>
      <w:pPr>
        <w:tabs>
          <w:tab w:pos="9999" w:val="left" w:leader="none"/>
        </w:tabs>
        <w:spacing w:before="0" w:after="41"/>
        <w:ind w:left="572" w:right="0" w:firstLine="0"/>
        <w:jc w:val="left"/>
        <w:rPr>
          <w:sz w:val="19"/>
        </w:rPr>
      </w:pPr>
      <w:r>
        <w:rPr>
          <w:spacing w:val="22"/>
          <w:w w:val="103"/>
          <w:sz w:val="19"/>
          <w:u w:val="single"/>
        </w:rPr>
        <w:t> </w:t>
      </w:r>
      <w:r>
        <w:rPr>
          <w:w w:val="105"/>
          <w:sz w:val="19"/>
          <w:u w:val="single"/>
        </w:rPr>
        <w:t>Cuadro 3. Indicadores del PIB y fuerza de</w:t>
      </w:r>
      <w:r>
        <w:rPr>
          <w:spacing w:val="-10"/>
          <w:w w:val="105"/>
          <w:sz w:val="19"/>
          <w:u w:val="single"/>
        </w:rPr>
        <w:t> </w:t>
      </w:r>
      <w:r>
        <w:rPr>
          <w:w w:val="105"/>
          <w:sz w:val="19"/>
          <w:u w:val="single"/>
        </w:rPr>
        <w:t>trabajo</w:t>
      </w:r>
      <w:r>
        <w:rPr>
          <w:sz w:val="19"/>
          <w:u w:val="single"/>
        </w:rPr>
        <w:tab/>
      </w:r>
    </w:p>
    <w:tbl>
      <w:tblPr>
        <w:tblW w:w="0" w:type="auto"/>
        <w:jc w:val="left"/>
        <w:tblInd w:w="57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33"/>
        <w:gridCol w:w="810"/>
        <w:gridCol w:w="807"/>
        <w:gridCol w:w="807"/>
        <w:gridCol w:w="792"/>
        <w:gridCol w:w="809"/>
        <w:gridCol w:w="809"/>
        <w:gridCol w:w="822"/>
        <w:gridCol w:w="1037"/>
      </w:tblGrid>
      <w:tr>
        <w:trPr>
          <w:trHeight w:val="551" w:hRule="exact"/>
        </w:trPr>
        <w:tc>
          <w:tcPr>
            <w:tcW w:w="2733" w:type="dxa"/>
            <w:tcBorders>
              <w:bottom w:val="double" w:sz="4" w:space="0" w:color="000000"/>
            </w:tcBorders>
          </w:tcPr>
          <w:p>
            <w:pPr>
              <w:pStyle w:val="TableParagraph"/>
              <w:spacing w:line="252" w:lineRule="auto" w:before="81"/>
              <w:ind w:left="72" w:right="546"/>
              <w:jc w:val="left"/>
              <w:rPr>
                <w:sz w:val="19"/>
              </w:rPr>
            </w:pPr>
            <w:r>
              <w:rPr>
                <w:w w:val="105"/>
                <w:sz w:val="19"/>
              </w:rPr>
              <w:t>PIB (Miles de millones de dólares a precios de 2010</w:t>
            </w:r>
          </w:p>
        </w:tc>
        <w:tc>
          <w:tcPr>
            <w:tcW w:w="810" w:type="dxa"/>
            <w:tcBorders>
              <w:bottom w:val="double" w:sz="4" w:space="0" w:color="000000"/>
            </w:tcBorders>
          </w:tcPr>
          <w:p>
            <w:pPr>
              <w:pStyle w:val="TableParagraph"/>
              <w:jc w:val="left"/>
              <w:rPr>
                <w:sz w:val="27"/>
              </w:rPr>
            </w:pPr>
          </w:p>
          <w:p>
            <w:pPr>
              <w:pStyle w:val="TableParagraph"/>
              <w:spacing w:before="1"/>
              <w:ind w:right="69"/>
              <w:rPr>
                <w:sz w:val="19"/>
              </w:rPr>
            </w:pPr>
            <w:r>
              <w:rPr>
                <w:sz w:val="19"/>
              </w:rPr>
              <w:t>2003</w:t>
            </w:r>
          </w:p>
        </w:tc>
        <w:tc>
          <w:tcPr>
            <w:tcW w:w="807" w:type="dxa"/>
            <w:tcBorders>
              <w:bottom w:val="double" w:sz="4" w:space="0" w:color="000000"/>
            </w:tcBorders>
          </w:tcPr>
          <w:p>
            <w:pPr>
              <w:pStyle w:val="TableParagraph"/>
              <w:jc w:val="left"/>
              <w:rPr>
                <w:sz w:val="27"/>
              </w:rPr>
            </w:pPr>
          </w:p>
          <w:p>
            <w:pPr>
              <w:pStyle w:val="TableParagraph"/>
              <w:spacing w:before="1"/>
              <w:ind w:right="84"/>
              <w:rPr>
                <w:sz w:val="19"/>
              </w:rPr>
            </w:pPr>
            <w:r>
              <w:rPr>
                <w:sz w:val="19"/>
              </w:rPr>
              <w:t>2004</w:t>
            </w:r>
          </w:p>
        </w:tc>
        <w:tc>
          <w:tcPr>
            <w:tcW w:w="807" w:type="dxa"/>
            <w:tcBorders>
              <w:bottom w:val="double" w:sz="4" w:space="0" w:color="000000"/>
            </w:tcBorders>
          </w:tcPr>
          <w:p>
            <w:pPr>
              <w:pStyle w:val="TableParagraph"/>
              <w:jc w:val="left"/>
              <w:rPr>
                <w:sz w:val="27"/>
              </w:rPr>
            </w:pPr>
          </w:p>
          <w:p>
            <w:pPr>
              <w:pStyle w:val="TableParagraph"/>
              <w:spacing w:before="1"/>
              <w:ind w:right="69"/>
              <w:rPr>
                <w:sz w:val="19"/>
              </w:rPr>
            </w:pPr>
            <w:r>
              <w:rPr>
                <w:sz w:val="19"/>
              </w:rPr>
              <w:t>2005</w:t>
            </w:r>
          </w:p>
        </w:tc>
        <w:tc>
          <w:tcPr>
            <w:tcW w:w="792" w:type="dxa"/>
            <w:tcBorders>
              <w:bottom w:val="double" w:sz="4" w:space="0" w:color="000000"/>
            </w:tcBorders>
          </w:tcPr>
          <w:p>
            <w:pPr>
              <w:pStyle w:val="TableParagraph"/>
              <w:jc w:val="left"/>
              <w:rPr>
                <w:sz w:val="27"/>
              </w:rPr>
            </w:pPr>
          </w:p>
          <w:p>
            <w:pPr>
              <w:pStyle w:val="TableParagraph"/>
              <w:spacing w:before="1"/>
              <w:ind w:right="68"/>
              <w:rPr>
                <w:sz w:val="19"/>
              </w:rPr>
            </w:pPr>
            <w:r>
              <w:rPr>
                <w:sz w:val="19"/>
              </w:rPr>
              <w:t>2006</w:t>
            </w:r>
          </w:p>
        </w:tc>
        <w:tc>
          <w:tcPr>
            <w:tcW w:w="809" w:type="dxa"/>
            <w:tcBorders>
              <w:bottom w:val="double" w:sz="4" w:space="0" w:color="000000"/>
            </w:tcBorders>
          </w:tcPr>
          <w:p>
            <w:pPr>
              <w:pStyle w:val="TableParagraph"/>
              <w:jc w:val="left"/>
              <w:rPr>
                <w:sz w:val="27"/>
              </w:rPr>
            </w:pPr>
          </w:p>
          <w:p>
            <w:pPr>
              <w:pStyle w:val="TableParagraph"/>
              <w:spacing w:before="1"/>
              <w:ind w:right="85"/>
              <w:rPr>
                <w:sz w:val="19"/>
              </w:rPr>
            </w:pPr>
            <w:r>
              <w:rPr>
                <w:sz w:val="19"/>
              </w:rPr>
              <w:t>2007</w:t>
            </w:r>
          </w:p>
        </w:tc>
        <w:tc>
          <w:tcPr>
            <w:tcW w:w="809" w:type="dxa"/>
            <w:tcBorders>
              <w:bottom w:val="double" w:sz="4" w:space="0" w:color="000000"/>
            </w:tcBorders>
          </w:tcPr>
          <w:p>
            <w:pPr>
              <w:pStyle w:val="TableParagraph"/>
              <w:jc w:val="left"/>
              <w:rPr>
                <w:sz w:val="27"/>
              </w:rPr>
            </w:pPr>
          </w:p>
          <w:p>
            <w:pPr>
              <w:pStyle w:val="TableParagraph"/>
              <w:spacing w:before="1"/>
              <w:ind w:right="68"/>
              <w:rPr>
                <w:sz w:val="19"/>
              </w:rPr>
            </w:pPr>
            <w:r>
              <w:rPr>
                <w:sz w:val="19"/>
              </w:rPr>
              <w:t>2008</w:t>
            </w:r>
          </w:p>
        </w:tc>
        <w:tc>
          <w:tcPr>
            <w:tcW w:w="822" w:type="dxa"/>
            <w:tcBorders>
              <w:bottom w:val="double" w:sz="4" w:space="0" w:color="000000"/>
            </w:tcBorders>
          </w:tcPr>
          <w:p>
            <w:pPr>
              <w:pStyle w:val="TableParagraph"/>
              <w:jc w:val="left"/>
              <w:rPr>
                <w:sz w:val="27"/>
              </w:rPr>
            </w:pPr>
          </w:p>
          <w:p>
            <w:pPr>
              <w:pStyle w:val="TableParagraph"/>
              <w:spacing w:before="1"/>
              <w:ind w:right="99"/>
              <w:rPr>
                <w:sz w:val="19"/>
              </w:rPr>
            </w:pPr>
            <w:r>
              <w:rPr>
                <w:sz w:val="19"/>
              </w:rPr>
              <w:t>2009</w:t>
            </w:r>
          </w:p>
        </w:tc>
        <w:tc>
          <w:tcPr>
            <w:tcW w:w="1037" w:type="dxa"/>
            <w:tcBorders>
              <w:bottom w:val="double" w:sz="4" w:space="0" w:color="000000"/>
            </w:tcBorders>
          </w:tcPr>
          <w:p>
            <w:pPr>
              <w:pStyle w:val="TableParagraph"/>
              <w:spacing w:line="252" w:lineRule="auto" w:before="81"/>
              <w:ind w:left="101" w:right="67" w:firstLine="88"/>
              <w:jc w:val="left"/>
              <w:rPr>
                <w:sz w:val="19"/>
              </w:rPr>
            </w:pPr>
            <w:r>
              <w:rPr>
                <w:w w:val="105"/>
                <w:sz w:val="19"/>
              </w:rPr>
              <w:t>Promedio 2003-2010</w:t>
            </w:r>
          </w:p>
        </w:tc>
      </w:tr>
      <w:tr>
        <w:trPr>
          <w:trHeight w:val="355" w:hRule="exact"/>
        </w:trPr>
        <w:tc>
          <w:tcPr>
            <w:tcW w:w="2733" w:type="dxa"/>
            <w:tcBorders>
              <w:top w:val="double" w:sz="4" w:space="0" w:color="000000"/>
            </w:tcBorders>
          </w:tcPr>
          <w:p>
            <w:pPr>
              <w:pStyle w:val="TableParagraph"/>
              <w:spacing w:before="72"/>
              <w:ind w:left="72" w:right="546"/>
              <w:jc w:val="left"/>
              <w:rPr>
                <w:sz w:val="19"/>
              </w:rPr>
            </w:pPr>
            <w:r>
              <w:rPr>
                <w:w w:val="105"/>
                <w:sz w:val="19"/>
              </w:rPr>
              <w:t>PIB Estados Unidos</w:t>
            </w:r>
          </w:p>
        </w:tc>
        <w:tc>
          <w:tcPr>
            <w:tcW w:w="810" w:type="dxa"/>
            <w:tcBorders>
              <w:top w:val="double" w:sz="4" w:space="0" w:color="000000"/>
            </w:tcBorders>
          </w:tcPr>
          <w:p>
            <w:pPr>
              <w:pStyle w:val="TableParagraph"/>
              <w:spacing w:before="72"/>
              <w:ind w:right="69"/>
              <w:rPr>
                <w:sz w:val="19"/>
              </w:rPr>
            </w:pPr>
            <w:r>
              <w:rPr>
                <w:w w:val="105"/>
                <w:sz w:val="19"/>
              </w:rPr>
              <w:t>13 209</w:t>
            </w:r>
          </w:p>
        </w:tc>
        <w:tc>
          <w:tcPr>
            <w:tcW w:w="807" w:type="dxa"/>
            <w:tcBorders>
              <w:top w:val="double" w:sz="4" w:space="0" w:color="000000"/>
            </w:tcBorders>
          </w:tcPr>
          <w:p>
            <w:pPr>
              <w:pStyle w:val="TableParagraph"/>
              <w:spacing w:before="72"/>
              <w:ind w:right="84"/>
              <w:rPr>
                <w:sz w:val="19"/>
              </w:rPr>
            </w:pPr>
            <w:r>
              <w:rPr>
                <w:w w:val="105"/>
                <w:sz w:val="19"/>
              </w:rPr>
              <w:t>13 682</w:t>
            </w:r>
          </w:p>
        </w:tc>
        <w:tc>
          <w:tcPr>
            <w:tcW w:w="807" w:type="dxa"/>
            <w:tcBorders>
              <w:top w:val="double" w:sz="4" w:space="0" w:color="000000"/>
            </w:tcBorders>
          </w:tcPr>
          <w:p>
            <w:pPr>
              <w:pStyle w:val="TableParagraph"/>
              <w:spacing w:before="72"/>
              <w:ind w:right="69"/>
              <w:rPr>
                <w:sz w:val="19"/>
              </w:rPr>
            </w:pPr>
            <w:r>
              <w:rPr>
                <w:w w:val="105"/>
                <w:sz w:val="19"/>
              </w:rPr>
              <w:t>14 098</w:t>
            </w:r>
          </w:p>
        </w:tc>
        <w:tc>
          <w:tcPr>
            <w:tcW w:w="792" w:type="dxa"/>
            <w:tcBorders>
              <w:top w:val="double" w:sz="4" w:space="0" w:color="000000"/>
            </w:tcBorders>
          </w:tcPr>
          <w:p>
            <w:pPr>
              <w:pStyle w:val="TableParagraph"/>
              <w:spacing w:before="72"/>
              <w:ind w:right="68"/>
              <w:rPr>
                <w:sz w:val="19"/>
              </w:rPr>
            </w:pPr>
            <w:r>
              <w:rPr>
                <w:w w:val="105"/>
                <w:sz w:val="19"/>
              </w:rPr>
              <w:t>14 466</w:t>
            </w:r>
          </w:p>
        </w:tc>
        <w:tc>
          <w:tcPr>
            <w:tcW w:w="809" w:type="dxa"/>
            <w:tcBorders>
              <w:top w:val="double" w:sz="4" w:space="0" w:color="000000"/>
            </w:tcBorders>
          </w:tcPr>
          <w:p>
            <w:pPr>
              <w:pStyle w:val="TableParagraph"/>
              <w:spacing w:before="72"/>
              <w:ind w:right="85"/>
              <w:rPr>
                <w:sz w:val="19"/>
              </w:rPr>
            </w:pPr>
            <w:r>
              <w:rPr>
                <w:w w:val="105"/>
                <w:sz w:val="19"/>
              </w:rPr>
              <w:t>14 752</w:t>
            </w:r>
          </w:p>
        </w:tc>
        <w:tc>
          <w:tcPr>
            <w:tcW w:w="809" w:type="dxa"/>
            <w:tcBorders>
              <w:top w:val="double" w:sz="4" w:space="0" w:color="000000"/>
            </w:tcBorders>
          </w:tcPr>
          <w:p>
            <w:pPr>
              <w:pStyle w:val="TableParagraph"/>
              <w:spacing w:before="72"/>
              <w:ind w:right="68"/>
              <w:rPr>
                <w:sz w:val="19"/>
              </w:rPr>
            </w:pPr>
            <w:r>
              <w:rPr>
                <w:w w:val="105"/>
                <w:sz w:val="19"/>
              </w:rPr>
              <w:t>14 472</w:t>
            </w:r>
          </w:p>
        </w:tc>
        <w:tc>
          <w:tcPr>
            <w:tcW w:w="822" w:type="dxa"/>
            <w:tcBorders>
              <w:top w:val="double" w:sz="4" w:space="0" w:color="000000"/>
            </w:tcBorders>
          </w:tcPr>
          <w:p>
            <w:pPr>
              <w:pStyle w:val="TableParagraph"/>
              <w:spacing w:before="72"/>
              <w:ind w:right="99"/>
              <w:rPr>
                <w:sz w:val="19"/>
              </w:rPr>
            </w:pPr>
            <w:r>
              <w:rPr>
                <w:w w:val="105"/>
                <w:sz w:val="19"/>
              </w:rPr>
              <w:t>14 169</w:t>
            </w:r>
          </w:p>
        </w:tc>
        <w:tc>
          <w:tcPr>
            <w:tcW w:w="1037" w:type="dxa"/>
            <w:tcBorders>
              <w:top w:val="double" w:sz="4" w:space="0" w:color="000000"/>
            </w:tcBorders>
          </w:tcPr>
          <w:p>
            <w:pPr>
              <w:pStyle w:val="TableParagraph"/>
              <w:spacing w:before="72"/>
              <w:ind w:right="67"/>
              <w:rPr>
                <w:sz w:val="19"/>
              </w:rPr>
            </w:pPr>
            <w:r>
              <w:rPr>
                <w:w w:val="105"/>
                <w:sz w:val="19"/>
              </w:rPr>
              <w:t>14 172</w:t>
            </w:r>
          </w:p>
        </w:tc>
      </w:tr>
      <w:tr>
        <w:trPr>
          <w:trHeight w:val="300" w:hRule="exact"/>
        </w:trPr>
        <w:tc>
          <w:tcPr>
            <w:tcW w:w="2733" w:type="dxa"/>
          </w:tcPr>
          <w:p>
            <w:pPr>
              <w:pStyle w:val="TableParagraph"/>
              <w:spacing w:before="33"/>
              <w:ind w:left="72" w:right="546"/>
              <w:jc w:val="left"/>
              <w:rPr>
                <w:sz w:val="19"/>
              </w:rPr>
            </w:pPr>
            <w:r>
              <w:rPr>
                <w:w w:val="105"/>
                <w:sz w:val="19"/>
              </w:rPr>
              <w:t>PIB Mexicanos en USA</w:t>
            </w:r>
          </w:p>
        </w:tc>
        <w:tc>
          <w:tcPr>
            <w:tcW w:w="810" w:type="dxa"/>
          </w:tcPr>
          <w:p>
            <w:pPr>
              <w:pStyle w:val="TableParagraph"/>
              <w:spacing w:before="33"/>
              <w:ind w:right="69"/>
              <w:rPr>
                <w:sz w:val="19"/>
              </w:rPr>
            </w:pPr>
            <w:r>
              <w:rPr>
                <w:sz w:val="19"/>
              </w:rPr>
              <w:t>482</w:t>
            </w:r>
          </w:p>
        </w:tc>
        <w:tc>
          <w:tcPr>
            <w:tcW w:w="807" w:type="dxa"/>
          </w:tcPr>
          <w:p>
            <w:pPr>
              <w:pStyle w:val="TableParagraph"/>
              <w:spacing w:before="33"/>
              <w:ind w:right="84"/>
              <w:rPr>
                <w:sz w:val="19"/>
              </w:rPr>
            </w:pPr>
            <w:r>
              <w:rPr>
                <w:sz w:val="19"/>
              </w:rPr>
              <w:t>515</w:t>
            </w:r>
          </w:p>
        </w:tc>
        <w:tc>
          <w:tcPr>
            <w:tcW w:w="807" w:type="dxa"/>
          </w:tcPr>
          <w:p>
            <w:pPr>
              <w:pStyle w:val="TableParagraph"/>
              <w:spacing w:before="33"/>
              <w:ind w:right="69"/>
              <w:rPr>
                <w:sz w:val="19"/>
              </w:rPr>
            </w:pPr>
            <w:r>
              <w:rPr>
                <w:sz w:val="19"/>
              </w:rPr>
              <w:t>542</w:t>
            </w:r>
          </w:p>
        </w:tc>
        <w:tc>
          <w:tcPr>
            <w:tcW w:w="792" w:type="dxa"/>
          </w:tcPr>
          <w:p>
            <w:pPr>
              <w:pStyle w:val="TableParagraph"/>
              <w:spacing w:before="33"/>
              <w:ind w:right="69"/>
              <w:rPr>
                <w:sz w:val="19"/>
              </w:rPr>
            </w:pPr>
            <w:r>
              <w:rPr>
                <w:sz w:val="19"/>
              </w:rPr>
              <w:t>567</w:t>
            </w:r>
          </w:p>
        </w:tc>
        <w:tc>
          <w:tcPr>
            <w:tcW w:w="809" w:type="dxa"/>
          </w:tcPr>
          <w:p>
            <w:pPr>
              <w:pStyle w:val="TableParagraph"/>
              <w:spacing w:before="33"/>
              <w:ind w:right="86"/>
              <w:rPr>
                <w:sz w:val="19"/>
              </w:rPr>
            </w:pPr>
            <w:r>
              <w:rPr>
                <w:sz w:val="19"/>
              </w:rPr>
              <w:t>598</w:t>
            </w:r>
          </w:p>
        </w:tc>
        <w:tc>
          <w:tcPr>
            <w:tcW w:w="809" w:type="dxa"/>
          </w:tcPr>
          <w:p>
            <w:pPr>
              <w:pStyle w:val="TableParagraph"/>
              <w:spacing w:before="33"/>
              <w:ind w:right="68"/>
              <w:rPr>
                <w:sz w:val="19"/>
              </w:rPr>
            </w:pPr>
            <w:r>
              <w:rPr>
                <w:sz w:val="19"/>
              </w:rPr>
              <w:t>572</w:t>
            </w:r>
          </w:p>
        </w:tc>
        <w:tc>
          <w:tcPr>
            <w:tcW w:w="822" w:type="dxa"/>
          </w:tcPr>
          <w:p>
            <w:pPr>
              <w:pStyle w:val="TableParagraph"/>
              <w:spacing w:before="33"/>
              <w:ind w:right="99"/>
              <w:rPr>
                <w:sz w:val="19"/>
              </w:rPr>
            </w:pPr>
            <w:r>
              <w:rPr>
                <w:sz w:val="19"/>
              </w:rPr>
              <w:t>543</w:t>
            </w:r>
          </w:p>
        </w:tc>
        <w:tc>
          <w:tcPr>
            <w:tcW w:w="1037" w:type="dxa"/>
          </w:tcPr>
          <w:p>
            <w:pPr>
              <w:pStyle w:val="TableParagraph"/>
              <w:spacing w:before="33"/>
              <w:ind w:right="67"/>
              <w:rPr>
                <w:sz w:val="19"/>
              </w:rPr>
            </w:pPr>
            <w:r>
              <w:rPr>
                <w:sz w:val="19"/>
              </w:rPr>
              <w:t>551</w:t>
            </w:r>
          </w:p>
        </w:tc>
      </w:tr>
      <w:tr>
        <w:trPr>
          <w:trHeight w:val="336" w:hRule="exact"/>
        </w:trPr>
        <w:tc>
          <w:tcPr>
            <w:tcW w:w="2733" w:type="dxa"/>
          </w:tcPr>
          <w:p>
            <w:pPr>
              <w:pStyle w:val="TableParagraph"/>
              <w:spacing w:before="31"/>
              <w:ind w:left="72" w:right="546"/>
              <w:jc w:val="left"/>
              <w:rPr>
                <w:sz w:val="19"/>
              </w:rPr>
            </w:pPr>
            <w:r>
              <w:rPr>
                <w:w w:val="105"/>
                <w:sz w:val="19"/>
              </w:rPr>
              <w:t>PIB México</w:t>
            </w:r>
          </w:p>
        </w:tc>
        <w:tc>
          <w:tcPr>
            <w:tcW w:w="810" w:type="dxa"/>
          </w:tcPr>
          <w:p>
            <w:pPr>
              <w:pStyle w:val="TableParagraph"/>
              <w:spacing w:before="31"/>
              <w:ind w:right="69"/>
              <w:rPr>
                <w:sz w:val="19"/>
              </w:rPr>
            </w:pPr>
            <w:r>
              <w:rPr>
                <w:sz w:val="19"/>
              </w:rPr>
              <w:t>805</w:t>
            </w:r>
          </w:p>
        </w:tc>
        <w:tc>
          <w:tcPr>
            <w:tcW w:w="807" w:type="dxa"/>
          </w:tcPr>
          <w:p>
            <w:pPr>
              <w:pStyle w:val="TableParagraph"/>
              <w:spacing w:before="31"/>
              <w:ind w:right="84"/>
              <w:rPr>
                <w:sz w:val="19"/>
              </w:rPr>
            </w:pPr>
            <w:r>
              <w:rPr>
                <w:sz w:val="19"/>
              </w:rPr>
              <w:t>917</w:t>
            </w:r>
          </w:p>
        </w:tc>
        <w:tc>
          <w:tcPr>
            <w:tcW w:w="807" w:type="dxa"/>
          </w:tcPr>
          <w:p>
            <w:pPr>
              <w:pStyle w:val="TableParagraph"/>
              <w:spacing w:before="31"/>
              <w:ind w:right="69"/>
              <w:rPr>
                <w:sz w:val="19"/>
              </w:rPr>
            </w:pPr>
            <w:r>
              <w:rPr>
                <w:sz w:val="19"/>
              </w:rPr>
              <w:t>945</w:t>
            </w:r>
          </w:p>
        </w:tc>
        <w:tc>
          <w:tcPr>
            <w:tcW w:w="792" w:type="dxa"/>
          </w:tcPr>
          <w:p>
            <w:pPr>
              <w:pStyle w:val="TableParagraph"/>
              <w:spacing w:before="31"/>
              <w:ind w:right="68"/>
              <w:rPr>
                <w:sz w:val="19"/>
              </w:rPr>
            </w:pPr>
            <w:r>
              <w:rPr>
                <w:w w:val="105"/>
                <w:sz w:val="19"/>
              </w:rPr>
              <w:t>1 081</w:t>
            </w:r>
          </w:p>
        </w:tc>
        <w:tc>
          <w:tcPr>
            <w:tcW w:w="809" w:type="dxa"/>
          </w:tcPr>
          <w:p>
            <w:pPr>
              <w:pStyle w:val="TableParagraph"/>
              <w:spacing w:before="31"/>
              <w:ind w:right="85"/>
              <w:rPr>
                <w:sz w:val="19"/>
              </w:rPr>
            </w:pPr>
            <w:r>
              <w:rPr>
                <w:w w:val="105"/>
                <w:sz w:val="19"/>
              </w:rPr>
              <w:t>1 184</w:t>
            </w:r>
          </w:p>
        </w:tc>
        <w:tc>
          <w:tcPr>
            <w:tcW w:w="809" w:type="dxa"/>
          </w:tcPr>
          <w:p>
            <w:pPr>
              <w:pStyle w:val="TableParagraph"/>
              <w:spacing w:before="31"/>
              <w:ind w:right="68"/>
              <w:rPr>
                <w:sz w:val="19"/>
              </w:rPr>
            </w:pPr>
            <w:r>
              <w:rPr>
                <w:w w:val="105"/>
                <w:sz w:val="19"/>
              </w:rPr>
              <w:t>1 631</w:t>
            </w:r>
          </w:p>
        </w:tc>
        <w:tc>
          <w:tcPr>
            <w:tcW w:w="822" w:type="dxa"/>
          </w:tcPr>
          <w:p>
            <w:pPr>
              <w:pStyle w:val="TableParagraph"/>
              <w:spacing w:before="31"/>
              <w:ind w:right="99"/>
              <w:rPr>
                <w:sz w:val="19"/>
              </w:rPr>
            </w:pPr>
            <w:r>
              <w:rPr>
                <w:w w:val="105"/>
                <w:sz w:val="19"/>
              </w:rPr>
              <w:t>1 484</w:t>
            </w:r>
          </w:p>
        </w:tc>
        <w:tc>
          <w:tcPr>
            <w:tcW w:w="1037" w:type="dxa"/>
          </w:tcPr>
          <w:p>
            <w:pPr>
              <w:pStyle w:val="TableParagraph"/>
              <w:spacing w:before="31"/>
              <w:ind w:right="67"/>
              <w:rPr>
                <w:sz w:val="19"/>
              </w:rPr>
            </w:pPr>
            <w:r>
              <w:rPr>
                <w:w w:val="105"/>
                <w:sz w:val="19"/>
              </w:rPr>
              <w:t>1 199</w:t>
            </w:r>
          </w:p>
        </w:tc>
      </w:tr>
      <w:tr>
        <w:trPr>
          <w:trHeight w:val="564" w:hRule="exact"/>
        </w:trPr>
        <w:tc>
          <w:tcPr>
            <w:tcW w:w="2733" w:type="dxa"/>
          </w:tcPr>
          <w:p>
            <w:pPr>
              <w:pStyle w:val="TableParagraph"/>
              <w:spacing w:line="247" w:lineRule="auto" w:before="69"/>
              <w:ind w:left="72" w:right="569"/>
              <w:jc w:val="left"/>
              <w:rPr>
                <w:sz w:val="19"/>
              </w:rPr>
            </w:pPr>
            <w:r>
              <w:rPr>
                <w:w w:val="105"/>
                <w:sz w:val="19"/>
              </w:rPr>
              <w:t>Fuerza de trabajo en USA (miles de personas)</w:t>
            </w:r>
          </w:p>
        </w:tc>
        <w:tc>
          <w:tcPr>
            <w:tcW w:w="810" w:type="dxa"/>
          </w:tcPr>
          <w:p>
            <w:pPr/>
          </w:p>
        </w:tc>
        <w:tc>
          <w:tcPr>
            <w:tcW w:w="807" w:type="dxa"/>
          </w:tcPr>
          <w:p>
            <w:pPr/>
          </w:p>
        </w:tc>
        <w:tc>
          <w:tcPr>
            <w:tcW w:w="807" w:type="dxa"/>
          </w:tcPr>
          <w:p>
            <w:pPr/>
          </w:p>
        </w:tc>
        <w:tc>
          <w:tcPr>
            <w:tcW w:w="792" w:type="dxa"/>
          </w:tcPr>
          <w:p>
            <w:pPr/>
          </w:p>
        </w:tc>
        <w:tc>
          <w:tcPr>
            <w:tcW w:w="809" w:type="dxa"/>
          </w:tcPr>
          <w:p>
            <w:pPr/>
          </w:p>
        </w:tc>
        <w:tc>
          <w:tcPr>
            <w:tcW w:w="809" w:type="dxa"/>
          </w:tcPr>
          <w:p>
            <w:pPr/>
          </w:p>
        </w:tc>
        <w:tc>
          <w:tcPr>
            <w:tcW w:w="822" w:type="dxa"/>
          </w:tcPr>
          <w:p>
            <w:pPr/>
          </w:p>
        </w:tc>
        <w:tc>
          <w:tcPr>
            <w:tcW w:w="1037" w:type="dxa"/>
          </w:tcPr>
          <w:p>
            <w:pPr/>
          </w:p>
        </w:tc>
      </w:tr>
      <w:tr>
        <w:trPr>
          <w:trHeight w:val="761" w:hRule="exact"/>
        </w:trPr>
        <w:tc>
          <w:tcPr>
            <w:tcW w:w="2733" w:type="dxa"/>
          </w:tcPr>
          <w:p>
            <w:pPr>
              <w:pStyle w:val="TableParagraph"/>
              <w:spacing w:line="252" w:lineRule="auto" w:before="33"/>
              <w:ind w:left="72" w:right="485"/>
              <w:jc w:val="left"/>
              <w:rPr>
                <w:sz w:val="19"/>
              </w:rPr>
            </w:pPr>
            <w:r>
              <w:rPr>
                <w:w w:val="105"/>
                <w:sz w:val="19"/>
              </w:rPr>
              <w:t>Total fuerza de trabajo Otros ocupados en Estados Unidos</w:t>
            </w:r>
          </w:p>
        </w:tc>
        <w:tc>
          <w:tcPr>
            <w:tcW w:w="810" w:type="dxa"/>
          </w:tcPr>
          <w:p>
            <w:pPr>
              <w:pStyle w:val="TableParagraph"/>
              <w:spacing w:before="33"/>
              <w:ind w:left="89"/>
              <w:jc w:val="left"/>
              <w:rPr>
                <w:sz w:val="19"/>
              </w:rPr>
            </w:pPr>
            <w:r>
              <w:rPr>
                <w:w w:val="105"/>
                <w:sz w:val="19"/>
              </w:rPr>
              <w:t>136 557</w:t>
            </w:r>
          </w:p>
          <w:p>
            <w:pPr>
              <w:pStyle w:val="TableParagraph"/>
              <w:jc w:val="left"/>
              <w:rPr>
                <w:sz w:val="21"/>
              </w:rPr>
            </w:pPr>
          </w:p>
          <w:p>
            <w:pPr>
              <w:pStyle w:val="TableParagraph"/>
              <w:spacing w:before="1"/>
              <w:ind w:left="89"/>
              <w:jc w:val="left"/>
              <w:rPr>
                <w:sz w:val="19"/>
              </w:rPr>
            </w:pPr>
            <w:r>
              <w:rPr>
                <w:w w:val="105"/>
                <w:sz w:val="19"/>
              </w:rPr>
              <w:t>130 722</w:t>
            </w:r>
          </w:p>
        </w:tc>
        <w:tc>
          <w:tcPr>
            <w:tcW w:w="807" w:type="dxa"/>
          </w:tcPr>
          <w:p>
            <w:pPr>
              <w:pStyle w:val="TableParagraph"/>
              <w:spacing w:before="33"/>
              <w:ind w:left="71"/>
              <w:jc w:val="left"/>
              <w:rPr>
                <w:sz w:val="19"/>
              </w:rPr>
            </w:pPr>
            <w:r>
              <w:rPr>
                <w:w w:val="105"/>
                <w:sz w:val="19"/>
              </w:rPr>
              <w:t>137 428</w:t>
            </w:r>
          </w:p>
          <w:p>
            <w:pPr>
              <w:pStyle w:val="TableParagraph"/>
              <w:jc w:val="left"/>
              <w:rPr>
                <w:sz w:val="21"/>
              </w:rPr>
            </w:pPr>
          </w:p>
          <w:p>
            <w:pPr>
              <w:pStyle w:val="TableParagraph"/>
              <w:spacing w:before="1"/>
              <w:ind w:left="71"/>
              <w:jc w:val="left"/>
              <w:rPr>
                <w:sz w:val="19"/>
              </w:rPr>
            </w:pPr>
            <w:r>
              <w:rPr>
                <w:w w:val="105"/>
                <w:sz w:val="19"/>
              </w:rPr>
              <w:t>131 208</w:t>
            </w:r>
          </w:p>
        </w:tc>
        <w:tc>
          <w:tcPr>
            <w:tcW w:w="807" w:type="dxa"/>
          </w:tcPr>
          <w:p>
            <w:pPr>
              <w:pStyle w:val="TableParagraph"/>
              <w:spacing w:before="33"/>
              <w:ind w:left="86"/>
              <w:jc w:val="left"/>
              <w:rPr>
                <w:sz w:val="19"/>
              </w:rPr>
            </w:pPr>
            <w:r>
              <w:rPr>
                <w:w w:val="105"/>
                <w:sz w:val="19"/>
              </w:rPr>
              <w:t>139 552</w:t>
            </w:r>
          </w:p>
          <w:p>
            <w:pPr>
              <w:pStyle w:val="TableParagraph"/>
              <w:jc w:val="left"/>
              <w:rPr>
                <w:sz w:val="21"/>
              </w:rPr>
            </w:pPr>
          </w:p>
          <w:p>
            <w:pPr>
              <w:pStyle w:val="TableParagraph"/>
              <w:spacing w:before="1"/>
              <w:ind w:left="86"/>
              <w:jc w:val="left"/>
              <w:rPr>
                <w:sz w:val="19"/>
              </w:rPr>
            </w:pPr>
            <w:r>
              <w:rPr>
                <w:w w:val="105"/>
                <w:sz w:val="19"/>
              </w:rPr>
              <w:t>133 042</w:t>
            </w:r>
          </w:p>
        </w:tc>
        <w:tc>
          <w:tcPr>
            <w:tcW w:w="792" w:type="dxa"/>
          </w:tcPr>
          <w:p>
            <w:pPr>
              <w:pStyle w:val="TableParagraph"/>
              <w:spacing w:before="33"/>
              <w:ind w:left="71"/>
              <w:jc w:val="left"/>
              <w:rPr>
                <w:sz w:val="19"/>
              </w:rPr>
            </w:pPr>
            <w:r>
              <w:rPr>
                <w:w w:val="105"/>
                <w:sz w:val="19"/>
              </w:rPr>
              <w:t>142 398</w:t>
            </w:r>
          </w:p>
          <w:p>
            <w:pPr>
              <w:pStyle w:val="TableParagraph"/>
              <w:jc w:val="left"/>
              <w:rPr>
                <w:sz w:val="21"/>
              </w:rPr>
            </w:pPr>
          </w:p>
          <w:p>
            <w:pPr>
              <w:pStyle w:val="TableParagraph"/>
              <w:spacing w:before="1"/>
              <w:ind w:left="71"/>
              <w:jc w:val="left"/>
              <w:rPr>
                <w:sz w:val="19"/>
              </w:rPr>
            </w:pPr>
            <w:r>
              <w:rPr>
                <w:w w:val="105"/>
                <w:sz w:val="19"/>
              </w:rPr>
              <w:t>135 602</w:t>
            </w:r>
          </w:p>
        </w:tc>
        <w:tc>
          <w:tcPr>
            <w:tcW w:w="809" w:type="dxa"/>
          </w:tcPr>
          <w:p>
            <w:pPr>
              <w:pStyle w:val="TableParagraph"/>
              <w:spacing w:before="33"/>
              <w:ind w:left="70"/>
              <w:jc w:val="left"/>
              <w:rPr>
                <w:sz w:val="19"/>
              </w:rPr>
            </w:pPr>
            <w:r>
              <w:rPr>
                <w:w w:val="105"/>
                <w:sz w:val="19"/>
              </w:rPr>
              <w:t>145 347</w:t>
            </w:r>
          </w:p>
          <w:p>
            <w:pPr>
              <w:pStyle w:val="TableParagraph"/>
              <w:jc w:val="left"/>
              <w:rPr>
                <w:sz w:val="21"/>
              </w:rPr>
            </w:pPr>
          </w:p>
          <w:p>
            <w:pPr>
              <w:pStyle w:val="TableParagraph"/>
              <w:spacing w:before="1"/>
              <w:ind w:left="70"/>
              <w:jc w:val="left"/>
              <w:rPr>
                <w:sz w:val="19"/>
              </w:rPr>
            </w:pPr>
            <w:r>
              <w:rPr>
                <w:w w:val="105"/>
                <w:sz w:val="19"/>
              </w:rPr>
              <w:t>138 105</w:t>
            </w:r>
          </w:p>
        </w:tc>
        <w:tc>
          <w:tcPr>
            <w:tcW w:w="809" w:type="dxa"/>
          </w:tcPr>
          <w:p>
            <w:pPr>
              <w:pStyle w:val="TableParagraph"/>
              <w:spacing w:before="33"/>
              <w:ind w:left="87"/>
              <w:jc w:val="left"/>
              <w:rPr>
                <w:sz w:val="19"/>
              </w:rPr>
            </w:pPr>
            <w:r>
              <w:rPr>
                <w:w w:val="105"/>
                <w:sz w:val="19"/>
              </w:rPr>
              <w:t>145 013</w:t>
            </w:r>
          </w:p>
          <w:p>
            <w:pPr>
              <w:pStyle w:val="TableParagraph"/>
              <w:jc w:val="left"/>
              <w:rPr>
                <w:sz w:val="21"/>
              </w:rPr>
            </w:pPr>
          </w:p>
          <w:p>
            <w:pPr>
              <w:pStyle w:val="TableParagraph"/>
              <w:spacing w:before="1"/>
              <w:ind w:left="87"/>
              <w:jc w:val="left"/>
              <w:rPr>
                <w:sz w:val="19"/>
              </w:rPr>
            </w:pPr>
            <w:r>
              <w:rPr>
                <w:w w:val="105"/>
                <w:sz w:val="19"/>
              </w:rPr>
              <w:t>138 004</w:t>
            </w:r>
          </w:p>
        </w:tc>
        <w:tc>
          <w:tcPr>
            <w:tcW w:w="822" w:type="dxa"/>
          </w:tcPr>
          <w:p>
            <w:pPr>
              <w:pStyle w:val="TableParagraph"/>
              <w:spacing w:before="33"/>
              <w:ind w:left="70"/>
              <w:jc w:val="left"/>
              <w:rPr>
                <w:sz w:val="19"/>
              </w:rPr>
            </w:pPr>
            <w:r>
              <w:rPr>
                <w:w w:val="105"/>
                <w:sz w:val="19"/>
              </w:rPr>
              <w:t>139 149</w:t>
            </w:r>
          </w:p>
          <w:p>
            <w:pPr>
              <w:pStyle w:val="TableParagraph"/>
              <w:jc w:val="left"/>
              <w:rPr>
                <w:sz w:val="21"/>
              </w:rPr>
            </w:pPr>
          </w:p>
          <w:p>
            <w:pPr>
              <w:pStyle w:val="TableParagraph"/>
              <w:spacing w:before="1"/>
              <w:ind w:left="70"/>
              <w:jc w:val="left"/>
              <w:rPr>
                <w:sz w:val="19"/>
              </w:rPr>
            </w:pPr>
            <w:r>
              <w:rPr>
                <w:w w:val="105"/>
                <w:sz w:val="19"/>
              </w:rPr>
              <w:t>132 493</w:t>
            </w:r>
          </w:p>
        </w:tc>
        <w:tc>
          <w:tcPr>
            <w:tcW w:w="1037" w:type="dxa"/>
          </w:tcPr>
          <w:p>
            <w:pPr>
              <w:pStyle w:val="TableParagraph"/>
              <w:spacing w:before="33"/>
              <w:ind w:left="317"/>
              <w:jc w:val="left"/>
              <w:rPr>
                <w:sz w:val="19"/>
              </w:rPr>
            </w:pPr>
            <w:r>
              <w:rPr>
                <w:w w:val="105"/>
                <w:sz w:val="19"/>
              </w:rPr>
              <w:t>140 418</w:t>
            </w:r>
          </w:p>
          <w:p>
            <w:pPr>
              <w:pStyle w:val="TableParagraph"/>
              <w:jc w:val="left"/>
              <w:rPr>
                <w:sz w:val="21"/>
              </w:rPr>
            </w:pPr>
          </w:p>
          <w:p>
            <w:pPr>
              <w:pStyle w:val="TableParagraph"/>
              <w:spacing w:before="1"/>
              <w:ind w:left="317"/>
              <w:jc w:val="left"/>
              <w:rPr>
                <w:sz w:val="19"/>
              </w:rPr>
            </w:pPr>
            <w:r>
              <w:rPr>
                <w:w w:val="105"/>
                <w:sz w:val="19"/>
              </w:rPr>
              <w:t>133 788</w:t>
            </w:r>
          </w:p>
        </w:tc>
      </w:tr>
      <w:tr>
        <w:trPr>
          <w:trHeight w:val="334" w:hRule="exact"/>
        </w:trPr>
        <w:tc>
          <w:tcPr>
            <w:tcW w:w="2733" w:type="dxa"/>
          </w:tcPr>
          <w:p>
            <w:pPr>
              <w:pStyle w:val="TableParagraph"/>
              <w:spacing w:before="31"/>
              <w:ind w:left="71"/>
              <w:jc w:val="left"/>
              <w:rPr>
                <w:sz w:val="19"/>
              </w:rPr>
            </w:pPr>
            <w:r>
              <w:rPr>
                <w:w w:val="105"/>
                <w:sz w:val="19"/>
              </w:rPr>
              <w:t>Migrantes  mexicanos ocupados</w:t>
            </w:r>
          </w:p>
        </w:tc>
        <w:tc>
          <w:tcPr>
            <w:tcW w:w="810" w:type="dxa"/>
          </w:tcPr>
          <w:p>
            <w:pPr>
              <w:pStyle w:val="TableParagraph"/>
              <w:spacing w:before="31"/>
              <w:ind w:right="69"/>
              <w:rPr>
                <w:sz w:val="19"/>
              </w:rPr>
            </w:pPr>
            <w:r>
              <w:rPr>
                <w:w w:val="105"/>
                <w:sz w:val="19"/>
              </w:rPr>
              <w:t>5 836</w:t>
            </w:r>
          </w:p>
        </w:tc>
        <w:tc>
          <w:tcPr>
            <w:tcW w:w="807" w:type="dxa"/>
          </w:tcPr>
          <w:p>
            <w:pPr>
              <w:pStyle w:val="TableParagraph"/>
              <w:spacing w:before="31"/>
              <w:ind w:right="84"/>
              <w:rPr>
                <w:sz w:val="19"/>
              </w:rPr>
            </w:pPr>
            <w:r>
              <w:rPr>
                <w:w w:val="105"/>
                <w:sz w:val="19"/>
              </w:rPr>
              <w:t>6 220</w:t>
            </w:r>
          </w:p>
        </w:tc>
        <w:tc>
          <w:tcPr>
            <w:tcW w:w="807" w:type="dxa"/>
          </w:tcPr>
          <w:p>
            <w:pPr>
              <w:pStyle w:val="TableParagraph"/>
              <w:spacing w:before="31"/>
              <w:ind w:right="70"/>
              <w:rPr>
                <w:sz w:val="19"/>
              </w:rPr>
            </w:pPr>
            <w:r>
              <w:rPr>
                <w:w w:val="105"/>
                <w:sz w:val="19"/>
              </w:rPr>
              <w:t>6 510</w:t>
            </w:r>
          </w:p>
        </w:tc>
        <w:tc>
          <w:tcPr>
            <w:tcW w:w="792" w:type="dxa"/>
          </w:tcPr>
          <w:p>
            <w:pPr>
              <w:pStyle w:val="TableParagraph"/>
              <w:spacing w:before="31"/>
              <w:ind w:right="69"/>
              <w:rPr>
                <w:sz w:val="19"/>
              </w:rPr>
            </w:pPr>
            <w:r>
              <w:rPr>
                <w:w w:val="105"/>
                <w:sz w:val="19"/>
              </w:rPr>
              <w:t>6 796</w:t>
            </w:r>
          </w:p>
        </w:tc>
        <w:tc>
          <w:tcPr>
            <w:tcW w:w="809" w:type="dxa"/>
          </w:tcPr>
          <w:p>
            <w:pPr>
              <w:pStyle w:val="TableParagraph"/>
              <w:spacing w:before="31"/>
              <w:ind w:right="86"/>
              <w:rPr>
                <w:sz w:val="19"/>
              </w:rPr>
            </w:pPr>
            <w:r>
              <w:rPr>
                <w:w w:val="105"/>
                <w:sz w:val="19"/>
              </w:rPr>
              <w:t>7 241</w:t>
            </w:r>
          </w:p>
        </w:tc>
        <w:tc>
          <w:tcPr>
            <w:tcW w:w="809" w:type="dxa"/>
          </w:tcPr>
          <w:p>
            <w:pPr>
              <w:pStyle w:val="TableParagraph"/>
              <w:spacing w:before="31"/>
              <w:ind w:right="69"/>
              <w:rPr>
                <w:sz w:val="19"/>
              </w:rPr>
            </w:pPr>
            <w:r>
              <w:rPr>
                <w:w w:val="105"/>
                <w:sz w:val="19"/>
              </w:rPr>
              <w:t>7 009</w:t>
            </w:r>
          </w:p>
        </w:tc>
        <w:tc>
          <w:tcPr>
            <w:tcW w:w="822" w:type="dxa"/>
          </w:tcPr>
          <w:p>
            <w:pPr>
              <w:pStyle w:val="TableParagraph"/>
              <w:spacing w:before="31"/>
              <w:ind w:right="100"/>
              <w:rPr>
                <w:sz w:val="19"/>
              </w:rPr>
            </w:pPr>
            <w:r>
              <w:rPr>
                <w:w w:val="105"/>
                <w:sz w:val="19"/>
              </w:rPr>
              <w:t>6 656</w:t>
            </w:r>
          </w:p>
        </w:tc>
        <w:tc>
          <w:tcPr>
            <w:tcW w:w="1037" w:type="dxa"/>
          </w:tcPr>
          <w:p>
            <w:pPr>
              <w:pStyle w:val="TableParagraph"/>
              <w:spacing w:before="31"/>
              <w:ind w:right="68"/>
              <w:rPr>
                <w:sz w:val="19"/>
              </w:rPr>
            </w:pPr>
            <w:r>
              <w:rPr>
                <w:w w:val="105"/>
                <w:sz w:val="19"/>
              </w:rPr>
              <w:t>6 630</w:t>
            </w:r>
          </w:p>
        </w:tc>
      </w:tr>
      <w:tr>
        <w:trPr>
          <w:trHeight w:val="991" w:hRule="exact"/>
        </w:trPr>
        <w:tc>
          <w:tcPr>
            <w:tcW w:w="2733" w:type="dxa"/>
          </w:tcPr>
          <w:p>
            <w:pPr>
              <w:pStyle w:val="TableParagraph"/>
              <w:spacing w:line="252" w:lineRule="auto" w:before="67"/>
              <w:ind w:left="70" w:right="787"/>
              <w:jc w:val="left"/>
              <w:rPr>
                <w:sz w:val="19"/>
              </w:rPr>
            </w:pPr>
            <w:r>
              <w:rPr>
                <w:w w:val="105"/>
                <w:sz w:val="19"/>
              </w:rPr>
              <w:t>Importancia del PIB de mexicanos en USA</w:t>
            </w:r>
          </w:p>
          <w:p>
            <w:pPr>
              <w:pStyle w:val="TableParagraph"/>
              <w:spacing w:line="252" w:lineRule="auto" w:before="1"/>
              <w:ind w:left="72" w:right="391"/>
              <w:jc w:val="left"/>
              <w:rPr>
                <w:sz w:val="19"/>
              </w:rPr>
            </w:pPr>
            <w:r>
              <w:rPr>
                <w:w w:val="105"/>
                <w:sz w:val="19"/>
              </w:rPr>
              <w:t>Aporte de mexicanos al PIB USA (por ciento)</w:t>
            </w:r>
          </w:p>
        </w:tc>
        <w:tc>
          <w:tcPr>
            <w:tcW w:w="810" w:type="dxa"/>
          </w:tcPr>
          <w:p>
            <w:pPr>
              <w:pStyle w:val="TableParagraph"/>
              <w:jc w:val="left"/>
              <w:rPr>
                <w:sz w:val="20"/>
              </w:rPr>
            </w:pPr>
          </w:p>
          <w:p>
            <w:pPr>
              <w:pStyle w:val="TableParagraph"/>
              <w:jc w:val="left"/>
              <w:rPr>
                <w:sz w:val="20"/>
              </w:rPr>
            </w:pPr>
          </w:p>
          <w:p>
            <w:pPr>
              <w:pStyle w:val="TableParagraph"/>
              <w:spacing w:before="11"/>
              <w:jc w:val="left"/>
              <w:rPr>
                <w:sz w:val="25"/>
              </w:rPr>
            </w:pPr>
          </w:p>
          <w:p>
            <w:pPr>
              <w:pStyle w:val="TableParagraph"/>
              <w:ind w:right="69"/>
              <w:rPr>
                <w:sz w:val="19"/>
              </w:rPr>
            </w:pPr>
            <w:r>
              <w:rPr>
                <w:sz w:val="19"/>
              </w:rPr>
              <w:t>3.65</w:t>
            </w:r>
          </w:p>
        </w:tc>
        <w:tc>
          <w:tcPr>
            <w:tcW w:w="807" w:type="dxa"/>
          </w:tcPr>
          <w:p>
            <w:pPr>
              <w:pStyle w:val="TableParagraph"/>
              <w:jc w:val="left"/>
              <w:rPr>
                <w:sz w:val="20"/>
              </w:rPr>
            </w:pPr>
          </w:p>
          <w:p>
            <w:pPr>
              <w:pStyle w:val="TableParagraph"/>
              <w:jc w:val="left"/>
              <w:rPr>
                <w:sz w:val="20"/>
              </w:rPr>
            </w:pPr>
          </w:p>
          <w:p>
            <w:pPr>
              <w:pStyle w:val="TableParagraph"/>
              <w:spacing w:before="11"/>
              <w:jc w:val="left"/>
              <w:rPr>
                <w:sz w:val="25"/>
              </w:rPr>
            </w:pPr>
          </w:p>
          <w:p>
            <w:pPr>
              <w:pStyle w:val="TableParagraph"/>
              <w:ind w:right="84"/>
              <w:rPr>
                <w:sz w:val="19"/>
              </w:rPr>
            </w:pPr>
            <w:r>
              <w:rPr>
                <w:sz w:val="19"/>
              </w:rPr>
              <w:t>3.76</w:t>
            </w:r>
          </w:p>
        </w:tc>
        <w:tc>
          <w:tcPr>
            <w:tcW w:w="807" w:type="dxa"/>
          </w:tcPr>
          <w:p>
            <w:pPr>
              <w:pStyle w:val="TableParagraph"/>
              <w:jc w:val="left"/>
              <w:rPr>
                <w:sz w:val="20"/>
              </w:rPr>
            </w:pPr>
          </w:p>
          <w:p>
            <w:pPr>
              <w:pStyle w:val="TableParagraph"/>
              <w:jc w:val="left"/>
              <w:rPr>
                <w:sz w:val="20"/>
              </w:rPr>
            </w:pPr>
          </w:p>
          <w:p>
            <w:pPr>
              <w:pStyle w:val="TableParagraph"/>
              <w:spacing w:before="11"/>
              <w:jc w:val="left"/>
              <w:rPr>
                <w:sz w:val="25"/>
              </w:rPr>
            </w:pPr>
          </w:p>
          <w:p>
            <w:pPr>
              <w:pStyle w:val="TableParagraph"/>
              <w:ind w:right="69"/>
              <w:rPr>
                <w:sz w:val="19"/>
              </w:rPr>
            </w:pPr>
            <w:r>
              <w:rPr>
                <w:sz w:val="19"/>
              </w:rPr>
              <w:t>3.85</w:t>
            </w:r>
          </w:p>
        </w:tc>
        <w:tc>
          <w:tcPr>
            <w:tcW w:w="792" w:type="dxa"/>
          </w:tcPr>
          <w:p>
            <w:pPr>
              <w:pStyle w:val="TableParagraph"/>
              <w:jc w:val="left"/>
              <w:rPr>
                <w:sz w:val="20"/>
              </w:rPr>
            </w:pPr>
          </w:p>
          <w:p>
            <w:pPr>
              <w:pStyle w:val="TableParagraph"/>
              <w:jc w:val="left"/>
              <w:rPr>
                <w:sz w:val="20"/>
              </w:rPr>
            </w:pPr>
          </w:p>
          <w:p>
            <w:pPr>
              <w:pStyle w:val="TableParagraph"/>
              <w:spacing w:before="11"/>
              <w:jc w:val="left"/>
              <w:rPr>
                <w:sz w:val="25"/>
              </w:rPr>
            </w:pPr>
          </w:p>
          <w:p>
            <w:pPr>
              <w:pStyle w:val="TableParagraph"/>
              <w:ind w:right="69"/>
              <w:rPr>
                <w:sz w:val="19"/>
              </w:rPr>
            </w:pPr>
            <w:r>
              <w:rPr>
                <w:sz w:val="19"/>
              </w:rPr>
              <w:t>3.92</w:t>
            </w:r>
          </w:p>
        </w:tc>
        <w:tc>
          <w:tcPr>
            <w:tcW w:w="809" w:type="dxa"/>
          </w:tcPr>
          <w:p>
            <w:pPr>
              <w:pStyle w:val="TableParagraph"/>
              <w:jc w:val="left"/>
              <w:rPr>
                <w:sz w:val="20"/>
              </w:rPr>
            </w:pPr>
          </w:p>
          <w:p>
            <w:pPr>
              <w:pStyle w:val="TableParagraph"/>
              <w:jc w:val="left"/>
              <w:rPr>
                <w:sz w:val="20"/>
              </w:rPr>
            </w:pPr>
          </w:p>
          <w:p>
            <w:pPr>
              <w:pStyle w:val="TableParagraph"/>
              <w:spacing w:before="11"/>
              <w:jc w:val="left"/>
              <w:rPr>
                <w:sz w:val="25"/>
              </w:rPr>
            </w:pPr>
          </w:p>
          <w:p>
            <w:pPr>
              <w:pStyle w:val="TableParagraph"/>
              <w:ind w:right="86"/>
              <w:rPr>
                <w:sz w:val="19"/>
              </w:rPr>
            </w:pPr>
            <w:r>
              <w:rPr>
                <w:sz w:val="19"/>
              </w:rPr>
              <w:t>4.05</w:t>
            </w:r>
          </w:p>
        </w:tc>
        <w:tc>
          <w:tcPr>
            <w:tcW w:w="809" w:type="dxa"/>
          </w:tcPr>
          <w:p>
            <w:pPr>
              <w:pStyle w:val="TableParagraph"/>
              <w:jc w:val="left"/>
              <w:rPr>
                <w:sz w:val="20"/>
              </w:rPr>
            </w:pPr>
          </w:p>
          <w:p>
            <w:pPr>
              <w:pStyle w:val="TableParagraph"/>
              <w:jc w:val="left"/>
              <w:rPr>
                <w:sz w:val="20"/>
              </w:rPr>
            </w:pPr>
          </w:p>
          <w:p>
            <w:pPr>
              <w:pStyle w:val="TableParagraph"/>
              <w:spacing w:before="11"/>
              <w:jc w:val="left"/>
              <w:rPr>
                <w:sz w:val="25"/>
              </w:rPr>
            </w:pPr>
          </w:p>
          <w:p>
            <w:pPr>
              <w:pStyle w:val="TableParagraph"/>
              <w:ind w:right="68"/>
              <w:rPr>
                <w:sz w:val="19"/>
              </w:rPr>
            </w:pPr>
            <w:r>
              <w:rPr>
                <w:sz w:val="19"/>
              </w:rPr>
              <w:t>3.95</w:t>
            </w:r>
          </w:p>
        </w:tc>
        <w:tc>
          <w:tcPr>
            <w:tcW w:w="822" w:type="dxa"/>
          </w:tcPr>
          <w:p>
            <w:pPr>
              <w:pStyle w:val="TableParagraph"/>
              <w:jc w:val="left"/>
              <w:rPr>
                <w:sz w:val="20"/>
              </w:rPr>
            </w:pPr>
          </w:p>
          <w:p>
            <w:pPr>
              <w:pStyle w:val="TableParagraph"/>
              <w:jc w:val="left"/>
              <w:rPr>
                <w:sz w:val="20"/>
              </w:rPr>
            </w:pPr>
          </w:p>
          <w:p>
            <w:pPr>
              <w:pStyle w:val="TableParagraph"/>
              <w:spacing w:before="11"/>
              <w:jc w:val="left"/>
              <w:rPr>
                <w:sz w:val="25"/>
              </w:rPr>
            </w:pPr>
          </w:p>
          <w:p>
            <w:pPr>
              <w:pStyle w:val="TableParagraph"/>
              <w:ind w:right="99"/>
              <w:rPr>
                <w:sz w:val="19"/>
              </w:rPr>
            </w:pPr>
            <w:r>
              <w:rPr>
                <w:sz w:val="19"/>
              </w:rPr>
              <w:t>3.83</w:t>
            </w:r>
          </w:p>
        </w:tc>
        <w:tc>
          <w:tcPr>
            <w:tcW w:w="1037" w:type="dxa"/>
          </w:tcPr>
          <w:p>
            <w:pPr>
              <w:pStyle w:val="TableParagraph"/>
              <w:jc w:val="left"/>
              <w:rPr>
                <w:sz w:val="20"/>
              </w:rPr>
            </w:pPr>
          </w:p>
          <w:p>
            <w:pPr>
              <w:pStyle w:val="TableParagraph"/>
              <w:jc w:val="left"/>
              <w:rPr>
                <w:sz w:val="20"/>
              </w:rPr>
            </w:pPr>
          </w:p>
          <w:p>
            <w:pPr>
              <w:pStyle w:val="TableParagraph"/>
              <w:spacing w:before="11"/>
              <w:jc w:val="left"/>
              <w:rPr>
                <w:sz w:val="25"/>
              </w:rPr>
            </w:pPr>
          </w:p>
          <w:p>
            <w:pPr>
              <w:pStyle w:val="TableParagraph"/>
              <w:ind w:right="67"/>
              <w:rPr>
                <w:sz w:val="19"/>
              </w:rPr>
            </w:pPr>
            <w:r>
              <w:rPr>
                <w:sz w:val="19"/>
              </w:rPr>
              <w:t>3.88</w:t>
            </w:r>
          </w:p>
        </w:tc>
      </w:tr>
      <w:tr>
        <w:trPr>
          <w:trHeight w:val="461" w:hRule="exact"/>
        </w:trPr>
        <w:tc>
          <w:tcPr>
            <w:tcW w:w="2733" w:type="dxa"/>
          </w:tcPr>
          <w:p>
            <w:pPr>
              <w:pStyle w:val="TableParagraph"/>
              <w:spacing w:line="252" w:lineRule="auto"/>
              <w:ind w:left="72" w:right="92"/>
              <w:jc w:val="left"/>
              <w:rPr>
                <w:sz w:val="19"/>
              </w:rPr>
            </w:pPr>
            <w:r>
              <w:rPr>
                <w:w w:val="105"/>
                <w:sz w:val="19"/>
              </w:rPr>
              <w:t>Aporte de mexicanos a la FT en USA (por ciento)</w:t>
            </w:r>
          </w:p>
        </w:tc>
        <w:tc>
          <w:tcPr>
            <w:tcW w:w="810" w:type="dxa"/>
          </w:tcPr>
          <w:p>
            <w:pPr>
              <w:pStyle w:val="TableParagraph"/>
              <w:spacing w:before="9"/>
              <w:jc w:val="left"/>
              <w:rPr>
                <w:sz w:val="19"/>
              </w:rPr>
            </w:pPr>
          </w:p>
          <w:p>
            <w:pPr>
              <w:pStyle w:val="TableParagraph"/>
              <w:ind w:right="69"/>
              <w:rPr>
                <w:sz w:val="19"/>
              </w:rPr>
            </w:pPr>
            <w:r>
              <w:rPr>
                <w:sz w:val="19"/>
              </w:rPr>
              <w:t>4.27</w:t>
            </w:r>
          </w:p>
        </w:tc>
        <w:tc>
          <w:tcPr>
            <w:tcW w:w="807" w:type="dxa"/>
          </w:tcPr>
          <w:p>
            <w:pPr>
              <w:pStyle w:val="TableParagraph"/>
              <w:spacing w:before="9"/>
              <w:jc w:val="left"/>
              <w:rPr>
                <w:sz w:val="19"/>
              </w:rPr>
            </w:pPr>
          </w:p>
          <w:p>
            <w:pPr>
              <w:pStyle w:val="TableParagraph"/>
              <w:ind w:right="84"/>
              <w:rPr>
                <w:sz w:val="19"/>
              </w:rPr>
            </w:pPr>
            <w:r>
              <w:rPr>
                <w:sz w:val="19"/>
              </w:rPr>
              <w:t>4.53</w:t>
            </w:r>
          </w:p>
        </w:tc>
        <w:tc>
          <w:tcPr>
            <w:tcW w:w="807" w:type="dxa"/>
          </w:tcPr>
          <w:p>
            <w:pPr>
              <w:pStyle w:val="TableParagraph"/>
              <w:spacing w:before="9"/>
              <w:jc w:val="left"/>
              <w:rPr>
                <w:sz w:val="19"/>
              </w:rPr>
            </w:pPr>
          </w:p>
          <w:p>
            <w:pPr>
              <w:pStyle w:val="TableParagraph"/>
              <w:ind w:right="69"/>
              <w:rPr>
                <w:sz w:val="19"/>
              </w:rPr>
            </w:pPr>
            <w:r>
              <w:rPr>
                <w:sz w:val="19"/>
              </w:rPr>
              <w:t>4.66</w:t>
            </w:r>
          </w:p>
        </w:tc>
        <w:tc>
          <w:tcPr>
            <w:tcW w:w="792" w:type="dxa"/>
          </w:tcPr>
          <w:p>
            <w:pPr>
              <w:pStyle w:val="TableParagraph"/>
              <w:spacing w:before="9"/>
              <w:jc w:val="left"/>
              <w:rPr>
                <w:sz w:val="19"/>
              </w:rPr>
            </w:pPr>
          </w:p>
          <w:p>
            <w:pPr>
              <w:pStyle w:val="TableParagraph"/>
              <w:ind w:right="69"/>
              <w:rPr>
                <w:sz w:val="19"/>
              </w:rPr>
            </w:pPr>
            <w:r>
              <w:rPr>
                <w:sz w:val="19"/>
              </w:rPr>
              <w:t>4.77</w:t>
            </w:r>
          </w:p>
        </w:tc>
        <w:tc>
          <w:tcPr>
            <w:tcW w:w="809" w:type="dxa"/>
          </w:tcPr>
          <w:p>
            <w:pPr>
              <w:pStyle w:val="TableParagraph"/>
              <w:spacing w:before="9"/>
              <w:jc w:val="left"/>
              <w:rPr>
                <w:sz w:val="19"/>
              </w:rPr>
            </w:pPr>
          </w:p>
          <w:p>
            <w:pPr>
              <w:pStyle w:val="TableParagraph"/>
              <w:ind w:right="86"/>
              <w:rPr>
                <w:sz w:val="19"/>
              </w:rPr>
            </w:pPr>
            <w:r>
              <w:rPr>
                <w:sz w:val="19"/>
              </w:rPr>
              <w:t>4.98</w:t>
            </w:r>
          </w:p>
        </w:tc>
        <w:tc>
          <w:tcPr>
            <w:tcW w:w="809" w:type="dxa"/>
          </w:tcPr>
          <w:p>
            <w:pPr>
              <w:pStyle w:val="TableParagraph"/>
              <w:spacing w:before="9"/>
              <w:jc w:val="left"/>
              <w:rPr>
                <w:sz w:val="19"/>
              </w:rPr>
            </w:pPr>
          </w:p>
          <w:p>
            <w:pPr>
              <w:pStyle w:val="TableParagraph"/>
              <w:ind w:right="68"/>
              <w:rPr>
                <w:sz w:val="19"/>
              </w:rPr>
            </w:pPr>
            <w:r>
              <w:rPr>
                <w:sz w:val="19"/>
              </w:rPr>
              <w:t>4.83</w:t>
            </w:r>
          </w:p>
        </w:tc>
        <w:tc>
          <w:tcPr>
            <w:tcW w:w="822" w:type="dxa"/>
          </w:tcPr>
          <w:p>
            <w:pPr>
              <w:pStyle w:val="TableParagraph"/>
              <w:spacing w:before="9"/>
              <w:jc w:val="left"/>
              <w:rPr>
                <w:sz w:val="19"/>
              </w:rPr>
            </w:pPr>
          </w:p>
          <w:p>
            <w:pPr>
              <w:pStyle w:val="TableParagraph"/>
              <w:ind w:right="99"/>
              <w:rPr>
                <w:sz w:val="19"/>
              </w:rPr>
            </w:pPr>
            <w:r>
              <w:rPr>
                <w:sz w:val="19"/>
              </w:rPr>
              <w:t>4.78</w:t>
            </w:r>
          </w:p>
        </w:tc>
        <w:tc>
          <w:tcPr>
            <w:tcW w:w="1037" w:type="dxa"/>
          </w:tcPr>
          <w:p>
            <w:pPr>
              <w:pStyle w:val="TableParagraph"/>
              <w:spacing w:before="9"/>
              <w:jc w:val="left"/>
              <w:rPr>
                <w:sz w:val="19"/>
              </w:rPr>
            </w:pPr>
          </w:p>
          <w:p>
            <w:pPr>
              <w:pStyle w:val="TableParagraph"/>
              <w:ind w:right="67"/>
              <w:rPr>
                <w:sz w:val="19"/>
              </w:rPr>
            </w:pPr>
            <w:r>
              <w:rPr>
                <w:sz w:val="19"/>
              </w:rPr>
              <w:t>4.72</w:t>
            </w:r>
          </w:p>
        </w:tc>
      </w:tr>
      <w:tr>
        <w:trPr>
          <w:trHeight w:val="468" w:hRule="exact"/>
        </w:trPr>
        <w:tc>
          <w:tcPr>
            <w:tcW w:w="2733" w:type="dxa"/>
            <w:tcBorders>
              <w:bottom w:val="double" w:sz="4" w:space="0" w:color="000000"/>
            </w:tcBorders>
          </w:tcPr>
          <w:p>
            <w:pPr>
              <w:pStyle w:val="TableParagraph"/>
              <w:spacing w:line="252" w:lineRule="auto"/>
              <w:ind w:left="72" w:right="120"/>
              <w:jc w:val="left"/>
              <w:rPr>
                <w:sz w:val="19"/>
              </w:rPr>
            </w:pPr>
            <w:r>
              <w:rPr>
                <w:w w:val="105"/>
                <w:sz w:val="19"/>
              </w:rPr>
              <w:t>PIB migrantes como porcentaje del PIB México</w:t>
            </w:r>
          </w:p>
        </w:tc>
        <w:tc>
          <w:tcPr>
            <w:tcW w:w="810" w:type="dxa"/>
            <w:tcBorders>
              <w:bottom w:val="double" w:sz="4" w:space="0" w:color="000000"/>
            </w:tcBorders>
          </w:tcPr>
          <w:p>
            <w:pPr>
              <w:pStyle w:val="TableParagraph"/>
              <w:spacing w:before="9"/>
              <w:jc w:val="left"/>
              <w:rPr>
                <w:sz w:val="19"/>
              </w:rPr>
            </w:pPr>
          </w:p>
          <w:p>
            <w:pPr>
              <w:pStyle w:val="TableParagraph"/>
              <w:ind w:right="69"/>
              <w:rPr>
                <w:sz w:val="19"/>
              </w:rPr>
            </w:pPr>
            <w:r>
              <w:rPr>
                <w:sz w:val="19"/>
              </w:rPr>
              <w:t>59.88</w:t>
            </w:r>
          </w:p>
        </w:tc>
        <w:tc>
          <w:tcPr>
            <w:tcW w:w="807" w:type="dxa"/>
            <w:tcBorders>
              <w:bottom w:val="double" w:sz="4" w:space="0" w:color="000000"/>
            </w:tcBorders>
          </w:tcPr>
          <w:p>
            <w:pPr>
              <w:pStyle w:val="TableParagraph"/>
              <w:spacing w:before="9"/>
              <w:jc w:val="left"/>
              <w:rPr>
                <w:sz w:val="19"/>
              </w:rPr>
            </w:pPr>
          </w:p>
          <w:p>
            <w:pPr>
              <w:pStyle w:val="TableParagraph"/>
              <w:ind w:right="84"/>
              <w:rPr>
                <w:sz w:val="19"/>
              </w:rPr>
            </w:pPr>
            <w:r>
              <w:rPr>
                <w:sz w:val="19"/>
              </w:rPr>
              <w:t>56.14</w:t>
            </w:r>
          </w:p>
        </w:tc>
        <w:tc>
          <w:tcPr>
            <w:tcW w:w="807" w:type="dxa"/>
            <w:tcBorders>
              <w:bottom w:val="double" w:sz="4" w:space="0" w:color="000000"/>
            </w:tcBorders>
          </w:tcPr>
          <w:p>
            <w:pPr>
              <w:pStyle w:val="TableParagraph"/>
              <w:spacing w:before="9"/>
              <w:jc w:val="left"/>
              <w:rPr>
                <w:sz w:val="19"/>
              </w:rPr>
            </w:pPr>
          </w:p>
          <w:p>
            <w:pPr>
              <w:pStyle w:val="TableParagraph"/>
              <w:ind w:right="69"/>
              <w:rPr>
                <w:sz w:val="19"/>
              </w:rPr>
            </w:pPr>
            <w:r>
              <w:rPr>
                <w:sz w:val="19"/>
              </w:rPr>
              <w:t>57.38</w:t>
            </w:r>
          </w:p>
        </w:tc>
        <w:tc>
          <w:tcPr>
            <w:tcW w:w="792" w:type="dxa"/>
            <w:tcBorders>
              <w:bottom w:val="double" w:sz="4" w:space="0" w:color="000000"/>
            </w:tcBorders>
          </w:tcPr>
          <w:p>
            <w:pPr>
              <w:pStyle w:val="TableParagraph"/>
              <w:spacing w:before="9"/>
              <w:jc w:val="left"/>
              <w:rPr>
                <w:sz w:val="19"/>
              </w:rPr>
            </w:pPr>
          </w:p>
          <w:p>
            <w:pPr>
              <w:pStyle w:val="TableParagraph"/>
              <w:ind w:right="69"/>
              <w:rPr>
                <w:sz w:val="19"/>
              </w:rPr>
            </w:pPr>
            <w:r>
              <w:rPr>
                <w:sz w:val="19"/>
              </w:rPr>
              <w:t>52.42</w:t>
            </w:r>
          </w:p>
        </w:tc>
        <w:tc>
          <w:tcPr>
            <w:tcW w:w="809" w:type="dxa"/>
            <w:tcBorders>
              <w:bottom w:val="double" w:sz="4" w:space="0" w:color="000000"/>
            </w:tcBorders>
          </w:tcPr>
          <w:p>
            <w:pPr>
              <w:pStyle w:val="TableParagraph"/>
              <w:spacing w:before="9"/>
              <w:jc w:val="left"/>
              <w:rPr>
                <w:sz w:val="19"/>
              </w:rPr>
            </w:pPr>
          </w:p>
          <w:p>
            <w:pPr>
              <w:pStyle w:val="TableParagraph"/>
              <w:ind w:right="86"/>
              <w:rPr>
                <w:sz w:val="19"/>
              </w:rPr>
            </w:pPr>
            <w:r>
              <w:rPr>
                <w:sz w:val="19"/>
              </w:rPr>
              <w:t>50.54</w:t>
            </w:r>
          </w:p>
        </w:tc>
        <w:tc>
          <w:tcPr>
            <w:tcW w:w="809" w:type="dxa"/>
            <w:tcBorders>
              <w:bottom w:val="double" w:sz="4" w:space="0" w:color="000000"/>
            </w:tcBorders>
          </w:tcPr>
          <w:p>
            <w:pPr>
              <w:pStyle w:val="TableParagraph"/>
              <w:spacing w:before="9"/>
              <w:jc w:val="left"/>
              <w:rPr>
                <w:sz w:val="19"/>
              </w:rPr>
            </w:pPr>
          </w:p>
          <w:p>
            <w:pPr>
              <w:pStyle w:val="TableParagraph"/>
              <w:ind w:right="69"/>
              <w:rPr>
                <w:sz w:val="19"/>
              </w:rPr>
            </w:pPr>
            <w:r>
              <w:rPr>
                <w:sz w:val="19"/>
              </w:rPr>
              <w:t>35.07</w:t>
            </w:r>
          </w:p>
        </w:tc>
        <w:tc>
          <w:tcPr>
            <w:tcW w:w="822" w:type="dxa"/>
            <w:tcBorders>
              <w:bottom w:val="double" w:sz="4" w:space="0" w:color="000000"/>
            </w:tcBorders>
          </w:tcPr>
          <w:p>
            <w:pPr>
              <w:pStyle w:val="TableParagraph"/>
              <w:spacing w:before="9"/>
              <w:jc w:val="left"/>
              <w:rPr>
                <w:sz w:val="19"/>
              </w:rPr>
            </w:pPr>
          </w:p>
          <w:p>
            <w:pPr>
              <w:pStyle w:val="TableParagraph"/>
              <w:ind w:right="99"/>
              <w:rPr>
                <w:sz w:val="19"/>
              </w:rPr>
            </w:pPr>
            <w:r>
              <w:rPr>
                <w:sz w:val="19"/>
              </w:rPr>
              <w:t>36.55</w:t>
            </w:r>
          </w:p>
        </w:tc>
        <w:tc>
          <w:tcPr>
            <w:tcW w:w="1037" w:type="dxa"/>
            <w:tcBorders>
              <w:bottom w:val="double" w:sz="4" w:space="0" w:color="000000"/>
            </w:tcBorders>
          </w:tcPr>
          <w:p>
            <w:pPr>
              <w:pStyle w:val="TableParagraph"/>
              <w:spacing w:before="9"/>
              <w:jc w:val="left"/>
              <w:rPr>
                <w:sz w:val="19"/>
              </w:rPr>
            </w:pPr>
          </w:p>
          <w:p>
            <w:pPr>
              <w:pStyle w:val="TableParagraph"/>
              <w:ind w:right="67"/>
              <w:rPr>
                <w:sz w:val="19"/>
              </w:rPr>
            </w:pPr>
            <w:r>
              <w:rPr>
                <w:sz w:val="19"/>
              </w:rPr>
              <w:t>45.90</w:t>
            </w:r>
          </w:p>
        </w:tc>
      </w:tr>
      <w:tr>
        <w:trPr>
          <w:trHeight w:val="294" w:hRule="exact"/>
        </w:trPr>
        <w:tc>
          <w:tcPr>
            <w:tcW w:w="2733" w:type="dxa"/>
            <w:tcBorders>
              <w:top w:val="double" w:sz="4" w:space="0" w:color="000000"/>
            </w:tcBorders>
          </w:tcPr>
          <w:p>
            <w:pPr>
              <w:pStyle w:val="TableParagraph"/>
              <w:spacing w:line="183" w:lineRule="exact"/>
              <w:ind w:left="72" w:right="485"/>
              <w:jc w:val="left"/>
              <w:rPr>
                <w:sz w:val="16"/>
              </w:rPr>
            </w:pPr>
            <w:r>
              <w:rPr>
                <w:sz w:val="16"/>
              </w:rPr>
              <w:t>Fuente: Delgado y Olvera, 2012.</w:t>
            </w:r>
          </w:p>
        </w:tc>
        <w:tc>
          <w:tcPr>
            <w:tcW w:w="810" w:type="dxa"/>
            <w:tcBorders>
              <w:top w:val="double" w:sz="4" w:space="0" w:color="000000"/>
            </w:tcBorders>
          </w:tcPr>
          <w:p>
            <w:pPr/>
          </w:p>
        </w:tc>
        <w:tc>
          <w:tcPr>
            <w:tcW w:w="807" w:type="dxa"/>
            <w:tcBorders>
              <w:top w:val="double" w:sz="4" w:space="0" w:color="000000"/>
            </w:tcBorders>
          </w:tcPr>
          <w:p>
            <w:pPr/>
          </w:p>
        </w:tc>
        <w:tc>
          <w:tcPr>
            <w:tcW w:w="807" w:type="dxa"/>
            <w:tcBorders>
              <w:top w:val="double" w:sz="4" w:space="0" w:color="000000"/>
            </w:tcBorders>
          </w:tcPr>
          <w:p>
            <w:pPr/>
          </w:p>
        </w:tc>
        <w:tc>
          <w:tcPr>
            <w:tcW w:w="792" w:type="dxa"/>
            <w:tcBorders>
              <w:top w:val="double" w:sz="4" w:space="0" w:color="000000"/>
            </w:tcBorders>
          </w:tcPr>
          <w:p>
            <w:pPr/>
          </w:p>
        </w:tc>
        <w:tc>
          <w:tcPr>
            <w:tcW w:w="809" w:type="dxa"/>
            <w:tcBorders>
              <w:top w:val="double" w:sz="4" w:space="0" w:color="000000"/>
            </w:tcBorders>
          </w:tcPr>
          <w:p>
            <w:pPr/>
          </w:p>
        </w:tc>
        <w:tc>
          <w:tcPr>
            <w:tcW w:w="809" w:type="dxa"/>
            <w:tcBorders>
              <w:top w:val="double" w:sz="4" w:space="0" w:color="000000"/>
            </w:tcBorders>
          </w:tcPr>
          <w:p>
            <w:pPr/>
          </w:p>
        </w:tc>
        <w:tc>
          <w:tcPr>
            <w:tcW w:w="822" w:type="dxa"/>
            <w:tcBorders>
              <w:top w:val="double" w:sz="4" w:space="0" w:color="000000"/>
            </w:tcBorders>
          </w:tcPr>
          <w:p>
            <w:pPr/>
          </w:p>
        </w:tc>
        <w:tc>
          <w:tcPr>
            <w:tcW w:w="1037" w:type="dxa"/>
            <w:tcBorders>
              <w:top w:val="double" w:sz="4" w:space="0" w:color="000000"/>
            </w:tcBorders>
          </w:tcPr>
          <w:p>
            <w:pPr/>
          </w:p>
        </w:tc>
      </w:tr>
    </w:tbl>
    <w:p>
      <w:pPr>
        <w:spacing w:after="0"/>
        <w:sectPr>
          <w:footerReference w:type="default" r:id="rId123"/>
          <w:pgSz w:w="13040" w:h="9360" w:orient="landscape"/>
          <w:pgMar w:footer="0" w:header="0" w:top="0" w:bottom="280" w:left="1280" w:right="1640"/>
        </w:sectPr>
      </w:pPr>
    </w:p>
    <w:p>
      <w:pPr>
        <w:pStyle w:val="BodyText"/>
        <w:rPr>
          <w:sz w:val="20"/>
        </w:rPr>
      </w:pPr>
      <w:r>
        <w:rPr/>
        <w:pict>
          <v:shape style="position:absolute;margin-left:598.529175pt;margin-top:104.613098pt;width:12.4pt;height:293.25pt;mso-position-horizontal-relative:page;mso-position-vertical-relative:page;z-index:4384" type="#_x0000_t202" filled="false" stroked="false">
            <v:textbox inset="0,0,0,0" style="layout-flow:vertical">
              <w:txbxContent>
                <w:p>
                  <w:pPr>
                    <w:spacing w:line="213" w:lineRule="exact" w:before="0"/>
                    <w:ind w:left="20" w:right="0" w:firstLine="0"/>
                    <w:jc w:val="left"/>
                    <w:rPr>
                      <w:rFonts w:ascii="Arial" w:hAnsi="Arial"/>
                      <w:i/>
                      <w:sz w:val="20"/>
                    </w:rPr>
                  </w:pPr>
                  <w:r>
                    <w:rPr>
                      <w:rFonts w:ascii="Arial" w:hAnsi="Arial"/>
                      <w:color w:val="231F20"/>
                      <w:w w:val="66"/>
                      <w:sz w:val="20"/>
                    </w:rPr>
                    <w:t>La</w:t>
                  </w:r>
                  <w:r>
                    <w:rPr>
                      <w:rFonts w:ascii="Arial" w:hAnsi="Arial"/>
                      <w:color w:val="231F20"/>
                      <w:spacing w:val="-1"/>
                      <w:sz w:val="20"/>
                    </w:rPr>
                    <w:t> </w:t>
                  </w:r>
                  <w:r>
                    <w:rPr>
                      <w:rFonts w:ascii="Arial" w:hAnsi="Arial"/>
                      <w:color w:val="231F20"/>
                      <w:w w:val="76"/>
                      <w:sz w:val="20"/>
                    </w:rPr>
                    <w:t>participación</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w w:val="73"/>
                      <w:sz w:val="20"/>
                    </w:rPr>
                    <w:t>migrantes</w:t>
                  </w:r>
                  <w:r>
                    <w:rPr>
                      <w:rFonts w:ascii="Arial" w:hAnsi="Arial"/>
                      <w:color w:val="231F20"/>
                      <w:spacing w:val="-1"/>
                      <w:sz w:val="20"/>
                    </w:rPr>
                    <w:t> </w:t>
                  </w:r>
                  <w:r>
                    <w:rPr>
                      <w:rFonts w:ascii="Arial" w:hAnsi="Arial"/>
                      <w:color w:val="231F20"/>
                      <w:w w:val="69"/>
                      <w:sz w:val="20"/>
                    </w:rPr>
                    <w:t>mexicanos</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3"/>
                      <w:sz w:val="20"/>
                    </w:rPr>
                    <w:t>economía...</w:t>
                  </w:r>
                  <w:r>
                    <w:rPr>
                      <w:rFonts w:ascii="Arial" w:hAnsi="Arial"/>
                      <w:color w:val="231F20"/>
                      <w:spacing w:val="-1"/>
                      <w:sz w:val="20"/>
                    </w:rPr>
                    <w:t> </w:t>
                  </w:r>
                  <w:r>
                    <w:rPr>
                      <w:rFonts w:ascii="Arial" w:hAnsi="Arial"/>
                      <w:color w:val="231F20"/>
                      <w:w w:val="99"/>
                      <w:sz w:val="20"/>
                    </w:rPr>
                    <w:t>/</w:t>
                  </w:r>
                  <w:r>
                    <w:rPr>
                      <w:rFonts w:ascii="Arial" w:hAnsi="Arial"/>
                      <w:color w:val="231F20"/>
                      <w:w w:val="52"/>
                      <w:sz w:val="20"/>
                    </w:rPr>
                    <w:t>Esther</w:t>
                  </w:r>
                  <w:r>
                    <w:rPr>
                      <w:rFonts w:ascii="Arial" w:hAnsi="Arial"/>
                      <w:color w:val="231F20"/>
                      <w:spacing w:val="-17"/>
                      <w:sz w:val="20"/>
                    </w:rPr>
                    <w:t> </w:t>
                  </w:r>
                  <w:r>
                    <w:rPr>
                      <w:rFonts w:ascii="Arial" w:hAnsi="Arial"/>
                      <w:color w:val="231F20"/>
                      <w:w w:val="50"/>
                      <w:sz w:val="20"/>
                    </w:rPr>
                    <w:t>Figueroa-Hernández</w:t>
                  </w:r>
                  <w:r>
                    <w:rPr>
                      <w:rFonts w:ascii="Arial" w:hAnsi="Arial"/>
                      <w:color w:val="231F20"/>
                      <w:spacing w:val="-17"/>
                      <w:sz w:val="20"/>
                    </w:rPr>
                    <w:t> </w:t>
                  </w:r>
                  <w:r>
                    <w:rPr>
                      <w:rFonts w:ascii="Arial" w:hAnsi="Arial"/>
                      <w:i/>
                      <w:color w:val="231F20"/>
                      <w:w w:val="55"/>
                      <w:sz w:val="20"/>
                    </w:rPr>
                    <w:t>et</w:t>
                  </w:r>
                  <w:r>
                    <w:rPr>
                      <w:rFonts w:ascii="Arial" w:hAnsi="Arial"/>
                      <w:i/>
                      <w:color w:val="231F20"/>
                      <w:spacing w:val="-17"/>
                      <w:sz w:val="20"/>
                    </w:rPr>
                    <w:t> </w:t>
                  </w:r>
                  <w:r>
                    <w:rPr>
                      <w:rFonts w:ascii="Arial" w:hAnsi="Arial"/>
                      <w:i/>
                      <w:color w:val="231F20"/>
                      <w:w w:val="58"/>
                      <w:sz w:val="20"/>
                    </w:rPr>
                    <w:t>al.</w:t>
                  </w:r>
                </w:p>
              </w:txbxContent>
            </v:textbox>
            <w10:wrap type="none"/>
          </v:shape>
        </w:pict>
      </w:r>
      <w:r>
        <w:rPr/>
        <w:pict>
          <v:shape style="position:absolute;margin-left:23.820354pt;margin-top:222.936996pt;width:12pt;height:21.25pt;mso-position-horizontal-relative:page;mso-position-vertical-relative:page;z-index:4408" type="#_x0000_t202" filled="false" stroked="false">
            <v:textbox inset="0,0,0,0" style="layout-flow:vertical">
              <w:txbxContent>
                <w:p>
                  <w:pPr>
                    <w:spacing w:line="214" w:lineRule="exact" w:before="0"/>
                    <w:ind w:left="20" w:right="-182" w:firstLine="0"/>
                    <w:jc w:val="left"/>
                    <w:rPr>
                      <w:rFonts w:ascii="Verdana"/>
                      <w:sz w:val="20"/>
                    </w:rPr>
                  </w:pPr>
                  <w:r>
                    <w:rPr>
                      <w:rFonts w:ascii="Verdana"/>
                      <w:color w:val="231F20"/>
                      <w:spacing w:val="-1"/>
                      <w:w w:val="100"/>
                      <w:sz w:val="20"/>
                    </w:rPr>
                    <w:t>155</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spacing w:line="249" w:lineRule="auto" w:before="0"/>
        <w:ind w:left="138" w:right="673" w:firstLine="0"/>
        <w:jc w:val="left"/>
        <w:rPr>
          <w:sz w:val="20"/>
        </w:rPr>
      </w:pPr>
      <w:r>
        <w:rPr/>
        <w:pict>
          <v:group style="position:absolute;margin-left:98.924004pt;margin-top:30.49634pt;width:445pt;height:222.25pt;mso-position-horizontal-relative:page;mso-position-vertical-relative:paragraph;z-index:4360;mso-wrap-distance-left:0;mso-wrap-distance-right:0" coordorigin="1978,610" coordsize="8900,4445">
            <v:line style="position:absolute" from="2007,639" to="10849,639" stroked="true" strokeweight="1.44pt" strokecolor="#000000"/>
            <v:line style="position:absolute" from="1993,624" to="1993,5040" stroked="true" strokeweight="1.44pt" strokecolor="#000000"/>
            <v:line style="position:absolute" from="10863,624" to="10863,5040" stroked="true" strokeweight="1.44pt" strokecolor="#000000"/>
            <v:line style="position:absolute" from="2007,5026" to="10849,5026" stroked="true" strokeweight="1.44pt" strokecolor="#000000"/>
            <v:shape style="position:absolute;left:2980;top:2417;width:923;height:57" coordorigin="2980,2417" coordsize="923,57" path="m2980,2417l3057,2422,3134,2429,3211,2436,3288,2445,3364,2453,3441,2461,3518,2467,3595,2472,3672,2474,3749,2473,3825,2469,3902,2461e" filled="false" stroked="true" strokeweight="1pt" strokecolor="#000000">
              <v:path arrowok="t"/>
            </v:shape>
            <v:shape style="position:absolute;left:3902;top:2166;width:922;height:295" coordorigin="3902,2166" coordsize="922,295" path="m3902,2460l3978,2447,4055,2428,4132,2405,4209,2378,4286,2349,4363,2319,4440,2288,4516,2258,4593,2230,4670,2205,4747,2183,4823,2166e" filled="false" stroked="true" strokeweight="1pt" strokecolor="#000000">
              <v:path arrowok="t"/>
            </v:shape>
            <v:shape style="position:absolute;left:4823;top:2124;width:922;height:44" coordorigin="4823,2124" coordsize="922,44" path="m4823,2167l4900,2156,4977,2150,5054,2148,5131,2149,5207,2152,5284,2156,5361,2159,5438,2160,5515,2158,5591,2153,5668,2142,5745,2124e" filled="false" stroked="true" strokeweight="1pt" strokecolor="#000000">
              <v:path arrowok="t"/>
            </v:shape>
            <v:shape style="position:absolute;left:5745;top:1661;width:922;height:463" coordorigin="5745,1661" coordsize="922,463" path="m5745,2124l5816,2102,5887,2074,5957,2041,6028,2004,6099,1965,6170,1924,6241,1882,6312,1840,6383,1799,6454,1759,6524,1723,6595,1690,6666,1661e" filled="false" stroked="true" strokeweight="1pt" strokecolor="#000000">
              <v:path arrowok="t"/>
            </v:shape>
            <v:shape style="position:absolute;left:6666;top:1451;width:922;height:211" coordorigin="6666,1451" coordsize="922,211" path="m6666,1661l6743,1635,6820,1611,6897,1591,6973,1572,7050,1556,7127,1540,7204,1526,7280,1511,7357,1497,7434,1483,7511,1467,7588,1451e" filled="false" stroked="true" strokeweight="1pt" strokecolor="#000000">
              <v:path arrowok="t"/>
            </v:shape>
            <v:shape style="position:absolute;left:7588;top:1240;width:921;height:211" coordorigin="7588,1240" coordsize="921,211" path="m7588,1451l7665,1433,7741,1414,7818,1395,7895,1376,7972,1357,8048,1338,8125,1319,8202,1301,8279,1284,8355,1268,8432,1253,8509,1240e" filled="false" stroked="true" strokeweight="1pt" strokecolor="#000000">
              <v:path arrowok="t"/>
            </v:shape>
            <v:shape style="position:absolute;left:8510;top:1156;width:921;height:85" coordorigin="8510,1156" coordsize="921,85" path="m8510,1240l8586,1229,8663,1219,8740,1210,8816,1203,8893,1196,8970,1190,9046,1185,9123,1179,9200,1174,9277,1169,9354,1163,9430,1156e" filled="false" stroked="true" strokeweight="1.0pt" strokecolor="#000000">
              <v:path arrowok="t"/>
            </v:shape>
            <v:shape style="position:absolute;left:9431;top:1072;width:921;height:83" coordorigin="9431,1072" coordsize="921,83" path="m9431,1155l9508,1148,9584,1141,9661,1134,9738,1128,9814,1121,9891,1114,9968,1107,10045,1100,10121,1093,10198,1086,10275,1079,10352,1072e" filled="false" stroked="true" strokeweight="1pt" strokecolor="#000000">
              <v:path arrowok="t"/>
            </v:shape>
            <v:shape style="position:absolute;left:2924;top:2362;width:114;height:115" type="#_x0000_t75" stroked="false">
              <v:imagedata r:id="rId125" o:title=""/>
            </v:shape>
            <v:line style="position:absolute" from="3903,2412" to="3903,2511" stroked="true" strokeweight="4.927pt" strokecolor="#1f487c"/>
            <v:rect style="position:absolute;left:3854;top:2412;width:99;height:99" filled="false" stroked="true" strokeweight=".75pt" strokecolor="#a8423e"/>
            <v:shape style="position:absolute;left:4768;top:2107;width:111;height:116" type="#_x0000_t75" stroked="false">
              <v:imagedata r:id="rId126" o:title=""/>
            </v:shape>
            <v:shape style="position:absolute;left:5689;top:2028;width:111;height:192" type="#_x0000_t75" stroked="false">
              <v:imagedata r:id="rId127" o:title=""/>
            </v:shape>
            <v:shape style="position:absolute;left:6611;top:1563;width:111;height:196" type="#_x0000_t75" stroked="false">
              <v:imagedata r:id="rId128" o:title=""/>
            </v:shape>
            <v:shape style="position:absolute;left:7528;top:1395;width:115;height:115" type="#_x0000_t75" stroked="false">
              <v:imagedata r:id="rId129" o:title=""/>
            </v:shape>
            <v:rect style="position:absolute;left:8457;top:1188;width:101;height:101" filled="true" fillcolor="#1f487c" stroked="false">
              <v:fill type="solid"/>
            </v:rect>
            <v:rect style="position:absolute;left:8457;top:1188;width:101;height:101" filled="false" stroked="true" strokeweight=".75pt" strokecolor="#1f487c"/>
            <v:line style="position:absolute" from="8510,1188" to="8510,1289" stroked="true" strokeweight=".75pt" strokecolor="#8ea4ca"/>
            <v:line style="position:absolute" from="8457,1241" to="8558,1241" stroked="true" strokeweight=".75pt" strokecolor="#8ea4ca"/>
            <v:rect style="position:absolute;left:9431;top:1145;width:48;height:19" filled="true" fillcolor="#1f487c" stroked="false">
              <v:fill type="solid"/>
            </v:rect>
            <v:rect style="position:absolute;left:9424;top:1138;width:63;height:34" filled="true" fillcolor="#ce8e8d" stroked="false">
              <v:fill type="solid"/>
            </v:rect>
            <v:rect style="position:absolute;left:10300;top:1063;width:101;height:18" filled="true" fillcolor="#1f487c" stroked="false">
              <v:fill type="solid"/>
            </v:rect>
            <v:rect style="position:absolute;left:10292;top:1056;width:116;height:33" filled="true" fillcolor="#b5c992" stroked="false">
              <v:fill type="solid"/>
            </v:rect>
            <v:shape style="position:absolute;left:2289;top:2674;width:404;height:116" type="#_x0000_t75" stroked="false">
              <v:imagedata r:id="rId130" o:title=""/>
            </v:shape>
            <v:line style="position:absolute" from="3591,2014" to="3487,2014" stroked="true" strokeweight="1pt" strokecolor="#000000"/>
            <v:line style="position:absolute" from="3388,2014" to="3284,2014" stroked="true" strokeweight="1pt" strokecolor="#000000"/>
            <v:line style="position:absolute" from="3438,1966" to="3438,2062" stroked="true" strokeweight="4.972pt" strokecolor="#1f487c"/>
            <v:rect style="position:absolute;left:3388;top:1966;width:99;height:96" filled="false" stroked="true" strokeweight=".75pt" strokecolor="#a8423e"/>
            <v:shape style="position:absolute;left:4705;top:2424;width:404;height:114" type="#_x0000_t75" stroked="false">
              <v:imagedata r:id="rId131" o:title=""/>
            </v:shape>
            <v:shape style="position:absolute;left:4802;top:1781;width:404;height:116" type="#_x0000_t75" stroked="false">
              <v:imagedata r:id="rId132" o:title=""/>
            </v:shape>
            <v:line style="position:absolute" from="4953,1840" to="4812,1840" stroked="true" strokeweight="1pt" strokecolor="#000000"/>
            <v:shape style="position:absolute;left:6063;top:1935;width:404;height:200" type="#_x0000_t75" stroked="false">
              <v:imagedata r:id="rId133" o:title=""/>
            </v:shape>
            <v:line style="position:absolute" from="6215,2035" to="6073,2035" stroked="true" strokeweight="1pt" strokecolor="#000000"/>
            <v:shape style="position:absolute;left:7138;top:1049;width:404;height:115" type="#_x0000_t75" stroked="false">
              <v:imagedata r:id="rId134" o:title=""/>
            </v:shape>
            <v:line style="position:absolute" from="8444,1494" to="8302,1494" stroked="true" strokeweight="1pt" strokecolor="#000000"/>
            <v:line style="position:absolute" from="8202,1494" to="8060,1494" stroked="true" strokeweight="1pt" strokecolor="#000000"/>
            <v:line style="position:absolute" from="8252,1443" to="8252,1543" stroked="true" strokeweight="4.991pt" strokecolor="#1f487c"/>
            <v:rect style="position:absolute;left:8202;top:1443;width:100;height:101" filled="false" stroked="true" strokeweight=".75pt" strokecolor="#1f487c"/>
            <v:line style="position:absolute" from="8250,1443" to="8250,1543" stroked="true" strokeweight=".75pt" strokecolor="#8ea4ca"/>
            <v:line style="position:absolute" from="8202,1495" to="8302,1495" stroked="true" strokeweight=".75pt" strokecolor="#8ea4ca"/>
            <v:line style="position:absolute" from="8771,931" to="9155,931" stroked="true" strokeweight="1pt" strokecolor="#000000"/>
            <v:rect style="position:absolute;left:8961;top:919;width:52;height:22" filled="true" fillcolor="#1f487c" stroked="false">
              <v:fill type="solid"/>
            </v:rect>
            <v:rect style="position:absolute;left:8953;top:912;width:67;height:37" filled="true" fillcolor="#ce8e8d" stroked="false">
              <v:fill type="solid"/>
            </v:rect>
            <v:line style="position:absolute" from="9600,1446" to="9984,1446" stroked="true" strokeweight="1pt" strokecolor="#000000"/>
            <v:line style="position:absolute" from="9743,1447" to="9842,1447" stroked="true" strokeweight=".896pt" strokecolor="#1f487c"/>
            <v:line style="position:absolute" from="9736,1447" to="9849,1447" stroked="true" strokeweight="1.647pt" strokecolor="#b5c992"/>
            <v:shape style="position:absolute;left:2010;top:655;width:8802;height:4310" coordorigin="2010,655" coordsize="8802,4310" path="m2010,855l2026,778,2069,714,2133,671,2210,655,10612,655,10690,671,10754,714,10797,778,10812,855,10812,4765,10797,4843,10754,4907,10690,4950,10612,4965,2210,4965,2133,4950,2069,4907,2026,4843,2010,4765,2010,855xe" filled="false" stroked="true" strokeweight=".75pt" strokecolor="#858585">
              <v:path arrowok="t"/>
            </v:shape>
            <v:shape style="position:absolute;left:9183;top:851;width:788;height:160" type="#_x0000_t202" filled="false" stroked="false">
              <v:textbox inset="0,0,0,0">
                <w:txbxContent>
                  <w:p>
                    <w:pPr>
                      <w:spacing w:line="160" w:lineRule="exact" w:before="0"/>
                      <w:ind w:left="0" w:right="0" w:firstLine="0"/>
                      <w:jc w:val="left"/>
                      <w:rPr>
                        <w:rFonts w:ascii="Arial"/>
                        <w:sz w:val="16"/>
                      </w:rPr>
                    </w:pPr>
                    <w:r>
                      <w:rPr>
                        <w:rFonts w:ascii="Arial"/>
                        <w:sz w:val="16"/>
                        <w:shd w:fill="FCEADA" w:color="auto" w:val="clear"/>
                      </w:rPr>
                      <w:t>  2008, 8.1 </w:t>
                    </w:r>
                  </w:p>
                </w:txbxContent>
              </v:textbox>
              <w10:wrap type="none"/>
            </v:shape>
            <v:shape style="position:absolute;left:7560;top:1025;width:788;height:160" type="#_x0000_t202" filled="false" stroked="false">
              <v:textbox inset="0,0,0,0">
                <w:txbxContent>
                  <w:p>
                    <w:pPr>
                      <w:spacing w:line="160" w:lineRule="exact" w:before="0"/>
                      <w:ind w:left="0" w:right="0" w:firstLine="0"/>
                      <w:jc w:val="left"/>
                      <w:rPr>
                        <w:rFonts w:ascii="Arial"/>
                        <w:sz w:val="16"/>
                      </w:rPr>
                    </w:pPr>
                    <w:r>
                      <w:rPr>
                        <w:rFonts w:ascii="Arial"/>
                        <w:sz w:val="16"/>
                        <w:shd w:fill="FCEADA" w:color="auto" w:val="clear"/>
                      </w:rPr>
                      <w:t>  2004, 7.4 </w:t>
                    </w:r>
                  </w:p>
                </w:txbxContent>
              </v:textbox>
              <w10:wrap type="none"/>
            </v:shape>
            <v:shape style="position:absolute;left:8472;top:1414;width:788;height:160" type="#_x0000_t202" filled="false" stroked="false">
              <v:textbox inset="0,0,0,0">
                <w:txbxContent>
                  <w:p>
                    <w:pPr>
                      <w:spacing w:line="160" w:lineRule="exact" w:before="0"/>
                      <w:ind w:left="0" w:right="0" w:firstLine="0"/>
                      <w:jc w:val="left"/>
                      <w:rPr>
                        <w:rFonts w:ascii="Arial"/>
                        <w:sz w:val="16"/>
                      </w:rPr>
                    </w:pPr>
                    <w:r>
                      <w:rPr>
                        <w:rFonts w:ascii="Arial"/>
                        <w:sz w:val="16"/>
                        <w:shd w:fill="FCEADA" w:color="auto" w:val="clear"/>
                      </w:rPr>
                      <w:t>  2006, 7.9 </w:t>
                    </w:r>
                  </w:p>
                </w:txbxContent>
              </v:textbox>
              <w10:wrap type="none"/>
            </v:shape>
            <v:shape style="position:absolute;left:10012;top:1366;width:788;height:160" type="#_x0000_t202" filled="false" stroked="false">
              <v:textbox inset="0,0,0,0">
                <w:txbxContent>
                  <w:p>
                    <w:pPr>
                      <w:spacing w:line="160" w:lineRule="exact" w:before="0"/>
                      <w:ind w:left="0" w:right="0" w:firstLine="0"/>
                      <w:jc w:val="left"/>
                      <w:rPr>
                        <w:rFonts w:ascii="Arial"/>
                        <w:sz w:val="16"/>
                      </w:rPr>
                    </w:pPr>
                    <w:r>
                      <w:rPr>
                        <w:rFonts w:ascii="Arial"/>
                        <w:sz w:val="16"/>
                        <w:shd w:fill="FCEADA" w:color="auto" w:val="clear"/>
                      </w:rPr>
                      <w:t>  2010, 8.3 </w:t>
                    </w:r>
                  </w:p>
                </w:txbxContent>
              </v:textbox>
              <w10:wrap type="none"/>
            </v:shape>
            <v:shape style="position:absolute;left:5224;top:1759;width:788;height:160" type="#_x0000_t202" filled="false" stroked="false">
              <v:textbox inset="0,0,0,0">
                <w:txbxContent>
                  <w:p>
                    <w:pPr>
                      <w:spacing w:line="160" w:lineRule="exact" w:before="0"/>
                      <w:ind w:left="0" w:right="0" w:firstLine="0"/>
                      <w:jc w:val="left"/>
                      <w:rPr>
                        <w:rFonts w:ascii="Arial"/>
                        <w:sz w:val="16"/>
                      </w:rPr>
                    </w:pPr>
                    <w:r>
                      <w:rPr>
                        <w:rFonts w:ascii="Arial"/>
                        <w:sz w:val="16"/>
                        <w:shd w:fill="FCEADA" w:color="auto" w:val="clear"/>
                      </w:rPr>
                      <w:t>  2000, 5.8 </w:t>
                    </w:r>
                  </w:p>
                </w:txbxContent>
              </v:textbox>
              <w10:wrap type="none"/>
            </v:shape>
            <v:shape style="position:absolute;left:3610;top:1956;width:788;height:160" type="#_x0000_t202" filled="false" stroked="false">
              <v:textbox inset="0,0,0,0">
                <w:txbxContent>
                  <w:p>
                    <w:pPr>
                      <w:spacing w:line="160" w:lineRule="exact" w:before="0"/>
                      <w:ind w:left="0" w:right="0" w:firstLine="0"/>
                      <w:jc w:val="left"/>
                      <w:rPr>
                        <w:rFonts w:ascii="Arial"/>
                        <w:sz w:val="16"/>
                      </w:rPr>
                    </w:pPr>
                    <w:r>
                      <w:rPr>
                        <w:rFonts w:ascii="Arial"/>
                        <w:sz w:val="16"/>
                        <w:shd w:fill="FCEADA" w:color="auto" w:val="clear"/>
                      </w:rPr>
                      <w:t>  1996, 5.0 </w:t>
                    </w:r>
                  </w:p>
                </w:txbxContent>
              </v:textbox>
              <w10:wrap type="none"/>
            </v:shape>
            <v:shape style="position:absolute;left:6485;top:1955;width:788;height:160" type="#_x0000_t202" filled="false" stroked="false">
              <v:textbox inset="0,0,0,0">
                <w:txbxContent>
                  <w:p>
                    <w:pPr>
                      <w:spacing w:line="160" w:lineRule="exact" w:before="0"/>
                      <w:ind w:left="0" w:right="0" w:firstLine="0"/>
                      <w:jc w:val="left"/>
                      <w:rPr>
                        <w:rFonts w:ascii="Arial"/>
                        <w:sz w:val="16"/>
                      </w:rPr>
                    </w:pPr>
                    <w:r>
                      <w:rPr>
                        <w:rFonts w:ascii="Arial"/>
                        <w:sz w:val="16"/>
                        <w:shd w:fill="FCEADA" w:color="auto" w:val="clear"/>
                      </w:rPr>
                      <w:t>  2002, 6.9 </w:t>
                    </w:r>
                  </w:p>
                </w:txbxContent>
              </v:textbox>
              <w10:wrap type="none"/>
            </v:shape>
            <v:shape style="position:absolute;left:5127;top:2400;width:788;height:160" type="#_x0000_t202" filled="false" stroked="false">
              <v:textbox inset="0,0,0,0">
                <w:txbxContent>
                  <w:p>
                    <w:pPr>
                      <w:spacing w:line="160" w:lineRule="exact" w:before="0"/>
                      <w:ind w:left="0" w:right="0" w:firstLine="0"/>
                      <w:jc w:val="left"/>
                      <w:rPr>
                        <w:rFonts w:ascii="Arial"/>
                        <w:sz w:val="16"/>
                      </w:rPr>
                    </w:pPr>
                    <w:r>
                      <w:rPr>
                        <w:rFonts w:ascii="Arial"/>
                        <w:sz w:val="16"/>
                        <w:shd w:fill="FCEADA" w:color="auto" w:val="clear"/>
                      </w:rPr>
                      <w:t>  1998, 5.7 </w:t>
                    </w:r>
                  </w:p>
                </w:txbxContent>
              </v:textbox>
              <w10:wrap type="none"/>
            </v:shape>
            <v:shape style="position:absolute;left:2711;top:2652;width:788;height:160" type="#_x0000_t202" filled="false" stroked="false">
              <v:textbox inset="0,0,0,0">
                <w:txbxContent>
                  <w:p>
                    <w:pPr>
                      <w:spacing w:line="160" w:lineRule="exact" w:before="0"/>
                      <w:ind w:left="0" w:right="0" w:firstLine="0"/>
                      <w:jc w:val="left"/>
                      <w:rPr>
                        <w:rFonts w:ascii="Arial"/>
                        <w:sz w:val="16"/>
                      </w:rPr>
                    </w:pPr>
                    <w:r>
                      <w:rPr>
                        <w:rFonts w:ascii="Arial"/>
                        <w:sz w:val="16"/>
                        <w:shd w:fill="FCEADA" w:color="auto" w:val="clear"/>
                      </w:rPr>
                      <w:t>  1994, 5.1 </w:t>
                    </w:r>
                  </w:p>
                </w:txbxContent>
              </v:textbox>
              <w10:wrap type="none"/>
            </v:shape>
            <w10:wrap type="topAndBottom"/>
          </v:group>
        </w:pict>
      </w:r>
      <w:r>
        <w:rPr>
          <w:color w:val="231F20"/>
          <w:sz w:val="20"/>
        </w:rPr>
        <w:t>Figura 1. Contribución de los migrantes mexicanos y México-americanos al PIB de 1994-2010 (Miles de millones de dólares a precios de 2010)</w:t>
      </w:r>
    </w:p>
    <w:p>
      <w:pPr>
        <w:spacing w:before="63"/>
        <w:ind w:left="138" w:right="673" w:firstLine="0"/>
        <w:jc w:val="left"/>
        <w:rPr>
          <w:sz w:val="17"/>
        </w:rPr>
      </w:pPr>
      <w:r>
        <w:rPr>
          <w:color w:val="231F20"/>
          <w:sz w:val="17"/>
        </w:rPr>
        <w:t>Fuente: elaborada con datos de Delgado y Olvera, 2012.</w:t>
      </w:r>
    </w:p>
    <w:p>
      <w:pPr>
        <w:spacing w:after="0"/>
        <w:jc w:val="left"/>
        <w:rPr>
          <w:sz w:val="17"/>
        </w:rPr>
        <w:sectPr>
          <w:footerReference w:type="default" r:id="rId124"/>
          <w:pgSz w:w="13040" w:h="9360" w:orient="landscape"/>
          <w:pgMar w:footer="0" w:header="0" w:top="0" w:bottom="280" w:left="1840" w:right="1840"/>
        </w:sectPr>
      </w:pPr>
    </w:p>
    <w:p>
      <w:pPr>
        <w:tabs>
          <w:tab w:pos="5536" w:val="left" w:leader="none"/>
        </w:tabs>
        <w:spacing w:before="51"/>
        <w:ind w:left="117" w:right="0" w:firstLine="0"/>
        <w:jc w:val="both"/>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spacing w:before="1"/>
        <w:ind w:left="117" w:right="0" w:firstLine="0"/>
        <w:jc w:val="both"/>
        <w:rPr>
          <w:i/>
          <w:sz w:val="22"/>
        </w:rPr>
      </w:pPr>
      <w:r>
        <w:rPr>
          <w:i/>
          <w:color w:val="231F20"/>
          <w:sz w:val="22"/>
        </w:rPr>
        <w:t>El subsidio a la seguridad social</w:t>
      </w:r>
    </w:p>
    <w:p>
      <w:pPr>
        <w:pStyle w:val="BodyText"/>
        <w:spacing w:line="247" w:lineRule="auto" w:before="177"/>
        <w:ind w:left="117" w:right="114"/>
        <w:jc w:val="both"/>
      </w:pPr>
      <w:r>
        <w:rPr>
          <w:color w:val="231F20"/>
        </w:rPr>
        <w:t>Suele decirse que los migrantes constituyen una carga fiscal y social para las naciones receptoras. Se trata de otro gran mito que contraviene la evi- dencia. En efecto, los migrantes mexicanos residentes en Estados Unidos aportaron</w:t>
      </w:r>
      <w:r>
        <w:rPr>
          <w:color w:val="231F20"/>
          <w:spacing w:val="-7"/>
        </w:rPr>
        <w:t> </w:t>
      </w:r>
      <w:r>
        <w:rPr>
          <w:color w:val="231F20"/>
        </w:rPr>
        <w:t>al</w:t>
      </w:r>
      <w:r>
        <w:rPr>
          <w:color w:val="231F20"/>
          <w:spacing w:val="-7"/>
        </w:rPr>
        <w:t> </w:t>
      </w:r>
      <w:r>
        <w:rPr>
          <w:color w:val="231F20"/>
        </w:rPr>
        <w:t>fondo</w:t>
      </w:r>
      <w:r>
        <w:rPr>
          <w:color w:val="231F20"/>
          <w:spacing w:val="-7"/>
        </w:rPr>
        <w:t> </w:t>
      </w:r>
      <w:r>
        <w:rPr>
          <w:color w:val="231F20"/>
        </w:rPr>
        <w:t>fiscal</w:t>
      </w:r>
      <w:r>
        <w:rPr>
          <w:color w:val="231F20"/>
          <w:spacing w:val="-7"/>
        </w:rPr>
        <w:t> </w:t>
      </w:r>
      <w:r>
        <w:rPr>
          <w:color w:val="231F20"/>
        </w:rPr>
        <w:t>52.8</w:t>
      </w:r>
      <w:r>
        <w:rPr>
          <w:color w:val="231F20"/>
          <w:spacing w:val="-7"/>
        </w:rPr>
        <w:t> </w:t>
      </w:r>
      <w:r>
        <w:rPr>
          <w:color w:val="231F20"/>
        </w:rPr>
        <w:t>mmdd</w:t>
      </w:r>
      <w:r>
        <w:rPr>
          <w:color w:val="231F20"/>
          <w:spacing w:val="-7"/>
        </w:rPr>
        <w:t> </w:t>
      </w:r>
      <w:r>
        <w:rPr>
          <w:color w:val="231F20"/>
        </w:rPr>
        <w:t>por</w:t>
      </w:r>
      <w:r>
        <w:rPr>
          <w:color w:val="231F20"/>
          <w:spacing w:val="-7"/>
        </w:rPr>
        <w:t> </w:t>
      </w:r>
      <w:r>
        <w:rPr>
          <w:color w:val="231F20"/>
        </w:rPr>
        <w:t>concepto</w:t>
      </w:r>
      <w:r>
        <w:rPr>
          <w:color w:val="231F20"/>
          <w:spacing w:val="-7"/>
        </w:rPr>
        <w:t> </w:t>
      </w:r>
      <w:r>
        <w:rPr>
          <w:color w:val="231F20"/>
        </w:rPr>
        <w:t>de</w:t>
      </w:r>
      <w:r>
        <w:rPr>
          <w:color w:val="231F20"/>
          <w:spacing w:val="-7"/>
        </w:rPr>
        <w:t> </w:t>
      </w:r>
      <w:r>
        <w:rPr>
          <w:color w:val="231F20"/>
        </w:rPr>
        <w:t>impuestos</w:t>
      </w:r>
      <w:r>
        <w:rPr>
          <w:color w:val="231F20"/>
          <w:spacing w:val="-7"/>
        </w:rPr>
        <w:t> </w:t>
      </w:r>
      <w:r>
        <w:rPr>
          <w:color w:val="231F20"/>
        </w:rPr>
        <w:t>directos</w:t>
      </w:r>
      <w:r>
        <w:rPr>
          <w:color w:val="231F20"/>
          <w:spacing w:val="-7"/>
        </w:rPr>
        <w:t> </w:t>
      </w:r>
      <w:r>
        <w:rPr>
          <w:color w:val="231F20"/>
        </w:rPr>
        <w:t>al trabajo (14.4 mmdd) y de impuestos indirectos vía consumo (44.3 mmdd) en 2008 (los datos provienen de Current Population Survey (CPS) y del esquema de impuestos aplicados bajo la </w:t>
      </w:r>
      <w:r>
        <w:rPr>
          <w:i/>
          <w:color w:val="231F20"/>
        </w:rPr>
        <w:t>US </w:t>
      </w:r>
      <w:r>
        <w:rPr>
          <w:i/>
          <w:color w:val="231F20"/>
          <w:spacing w:val="-7"/>
        </w:rPr>
        <w:t>Tax  </w:t>
      </w:r>
      <w:r>
        <w:rPr>
          <w:i/>
          <w:color w:val="231F20"/>
        </w:rPr>
        <w:t>Law </w:t>
      </w:r>
      <w:r>
        <w:rPr>
          <w:color w:val="231F20"/>
        </w:rPr>
        <w:t>de los años 1992     a 2011). Esta cantidad poco más que duplica el monto total de remesas enviado a México e, irónicamente, equivale al presupuesto de la Patrulla Fronteriza</w:t>
      </w:r>
      <w:r>
        <w:rPr>
          <w:color w:val="231F20"/>
          <w:spacing w:val="-4"/>
        </w:rPr>
        <w:t> </w:t>
      </w:r>
      <w:r>
        <w:rPr>
          <w:color w:val="231F20"/>
        </w:rPr>
        <w:t>que,</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mismo</w:t>
      </w:r>
      <w:r>
        <w:rPr>
          <w:color w:val="231F20"/>
          <w:spacing w:val="-5"/>
        </w:rPr>
        <w:t> </w:t>
      </w:r>
      <w:r>
        <w:rPr>
          <w:color w:val="231F20"/>
        </w:rPr>
        <w:t>año,</w:t>
      </w:r>
      <w:r>
        <w:rPr>
          <w:color w:val="231F20"/>
          <w:spacing w:val="-5"/>
        </w:rPr>
        <w:t> </w:t>
      </w:r>
      <w:r>
        <w:rPr>
          <w:color w:val="231F20"/>
        </w:rPr>
        <w:t>fue</w:t>
      </w:r>
      <w:r>
        <w:rPr>
          <w:color w:val="231F20"/>
          <w:spacing w:val="-5"/>
        </w:rPr>
        <w:t> </w:t>
      </w:r>
      <w:r>
        <w:rPr>
          <w:color w:val="231F20"/>
        </w:rPr>
        <w:t>de</w:t>
      </w:r>
      <w:r>
        <w:rPr>
          <w:color w:val="231F20"/>
          <w:spacing w:val="-5"/>
        </w:rPr>
        <w:t> </w:t>
      </w:r>
      <w:r>
        <w:rPr>
          <w:color w:val="231F20"/>
        </w:rPr>
        <w:t>53</w:t>
      </w:r>
      <w:r>
        <w:rPr>
          <w:color w:val="231F20"/>
          <w:spacing w:val="-5"/>
        </w:rPr>
        <w:t> </w:t>
      </w:r>
      <w:r>
        <w:rPr>
          <w:color w:val="231F20"/>
        </w:rPr>
        <w:t>mmdd,</w:t>
      </w:r>
      <w:r>
        <w:rPr>
          <w:color w:val="231F20"/>
          <w:spacing w:val="-5"/>
        </w:rPr>
        <w:t> </w:t>
      </w:r>
      <w:r>
        <w:rPr>
          <w:color w:val="231F20"/>
        </w:rPr>
        <w:t>según</w:t>
      </w:r>
      <w:r>
        <w:rPr>
          <w:color w:val="231F20"/>
          <w:spacing w:val="-4"/>
        </w:rPr>
        <w:t> </w:t>
      </w:r>
      <w:r>
        <w:rPr>
          <w:color w:val="231F20"/>
        </w:rPr>
        <w:t>el</w:t>
      </w:r>
      <w:r>
        <w:rPr>
          <w:color w:val="231F20"/>
          <w:spacing w:val="-5"/>
        </w:rPr>
        <w:t> </w:t>
      </w:r>
      <w:r>
        <w:rPr>
          <w:color w:val="231F20"/>
        </w:rPr>
        <w:t>Department</w:t>
      </w:r>
      <w:r>
        <w:rPr>
          <w:color w:val="231F20"/>
          <w:spacing w:val="-4"/>
        </w:rPr>
        <w:t> </w:t>
      </w:r>
      <w:r>
        <w:rPr>
          <w:color w:val="231F20"/>
        </w:rPr>
        <w:t>of Homeland</w:t>
      </w:r>
      <w:r>
        <w:rPr>
          <w:color w:val="231F20"/>
          <w:spacing w:val="-2"/>
        </w:rPr>
        <w:t> </w:t>
      </w:r>
      <w:r>
        <w:rPr>
          <w:color w:val="231F20"/>
          <w:spacing w:val="-3"/>
        </w:rPr>
        <w:t>Security.</w:t>
      </w:r>
    </w:p>
    <w:p>
      <w:pPr>
        <w:pStyle w:val="BodyText"/>
        <w:spacing w:line="247" w:lineRule="auto"/>
        <w:ind w:left="117" w:right="114" w:firstLine="283"/>
        <w:jc w:val="both"/>
      </w:pPr>
      <w:r>
        <w:rPr>
          <w:color w:val="231F20"/>
        </w:rPr>
        <w:t>En el Cuadro 4 se puede observar que la aportación de los mexicanos por pago de impuesto al trabajo (14.1 mmdd en 2011) representa casi una aportación neta al fisco de Estados Unidos, pues los ingresos percibidos por concepto de asistencia infantil, educación, asistencia pública, seguri- dad social, desempleo, ingreso para veteranos y discapacidad, sólo</w:t>
      </w:r>
      <w:r>
        <w:rPr>
          <w:color w:val="231F20"/>
          <w:spacing w:val="-28"/>
        </w:rPr>
        <w:t> </w:t>
      </w:r>
      <w:r>
        <w:rPr>
          <w:color w:val="231F20"/>
        </w:rPr>
        <w:t>ascien- den</w:t>
      </w:r>
      <w:r>
        <w:rPr>
          <w:color w:val="231F20"/>
          <w:spacing w:val="-10"/>
        </w:rPr>
        <w:t> </w:t>
      </w:r>
      <w:r>
        <w:rPr>
          <w:color w:val="231F20"/>
        </w:rPr>
        <w:t>a</w:t>
      </w:r>
      <w:r>
        <w:rPr>
          <w:color w:val="231F20"/>
          <w:spacing w:val="-10"/>
        </w:rPr>
        <w:t> </w:t>
      </w:r>
      <w:r>
        <w:rPr>
          <w:color w:val="231F20"/>
        </w:rPr>
        <w:t>297</w:t>
      </w:r>
      <w:r>
        <w:rPr>
          <w:color w:val="231F20"/>
          <w:spacing w:val="-10"/>
        </w:rPr>
        <w:t> </w:t>
      </w:r>
      <w:r>
        <w:rPr>
          <w:color w:val="231F20"/>
        </w:rPr>
        <w:t>millones</w:t>
      </w:r>
      <w:r>
        <w:rPr>
          <w:color w:val="231F20"/>
          <w:spacing w:val="-10"/>
        </w:rPr>
        <w:t> </w:t>
      </w:r>
      <w:r>
        <w:rPr>
          <w:color w:val="231F20"/>
        </w:rPr>
        <w:t>de</w:t>
      </w:r>
      <w:r>
        <w:rPr>
          <w:color w:val="231F20"/>
          <w:spacing w:val="-10"/>
        </w:rPr>
        <w:t> </w:t>
      </w:r>
      <w:r>
        <w:rPr>
          <w:color w:val="231F20"/>
        </w:rPr>
        <w:t>dólares,</w:t>
      </w:r>
      <w:r>
        <w:rPr>
          <w:color w:val="231F20"/>
          <w:spacing w:val="-10"/>
        </w:rPr>
        <w:t> </w:t>
      </w:r>
      <w:r>
        <w:rPr>
          <w:color w:val="231F20"/>
        </w:rPr>
        <w:t>es</w:t>
      </w:r>
      <w:r>
        <w:rPr>
          <w:color w:val="231F20"/>
          <w:spacing w:val="-10"/>
        </w:rPr>
        <w:t> </w:t>
      </w:r>
      <w:r>
        <w:rPr>
          <w:color w:val="231F20"/>
        </w:rPr>
        <w:t>decir,</w:t>
      </w:r>
      <w:r>
        <w:rPr>
          <w:color w:val="231F20"/>
          <w:spacing w:val="-10"/>
        </w:rPr>
        <w:t> </w:t>
      </w:r>
      <w:r>
        <w:rPr>
          <w:color w:val="231F20"/>
        </w:rPr>
        <w:t>2.1</w:t>
      </w:r>
      <w:r>
        <w:rPr>
          <w:color w:val="231F20"/>
          <w:spacing w:val="-10"/>
        </w:rPr>
        <w:t> </w:t>
      </w:r>
      <w:r>
        <w:rPr>
          <w:color w:val="231F20"/>
        </w:rPr>
        <w:t>por</w:t>
      </w:r>
      <w:r>
        <w:rPr>
          <w:color w:val="231F20"/>
          <w:spacing w:val="-10"/>
        </w:rPr>
        <w:t> </w:t>
      </w:r>
      <w:r>
        <w:rPr>
          <w:color w:val="231F20"/>
        </w:rPr>
        <w:t>ciento</w:t>
      </w:r>
      <w:r>
        <w:rPr>
          <w:color w:val="231F20"/>
          <w:spacing w:val="-10"/>
        </w:rPr>
        <w:t> </w:t>
      </w:r>
      <w:r>
        <w:rPr>
          <w:color w:val="231F20"/>
        </w:rPr>
        <w:t>de</w:t>
      </w:r>
      <w:r>
        <w:rPr>
          <w:color w:val="231F20"/>
          <w:spacing w:val="-10"/>
        </w:rPr>
        <w:t> </w:t>
      </w:r>
      <w:r>
        <w:rPr>
          <w:color w:val="231F20"/>
        </w:rPr>
        <w:t>ingresos</w:t>
      </w:r>
      <w:r>
        <w:rPr>
          <w:color w:val="231F20"/>
          <w:spacing w:val="-10"/>
        </w:rPr>
        <w:t> </w:t>
      </w:r>
      <w:r>
        <w:rPr>
          <w:color w:val="231F20"/>
        </w:rPr>
        <w:t>y</w:t>
      </w:r>
      <w:r>
        <w:rPr>
          <w:color w:val="231F20"/>
          <w:spacing w:val="-10"/>
        </w:rPr>
        <w:t> </w:t>
      </w:r>
      <w:r>
        <w:rPr>
          <w:color w:val="231F20"/>
        </w:rPr>
        <w:t>presen- tan</w:t>
      </w:r>
      <w:r>
        <w:rPr>
          <w:color w:val="231F20"/>
          <w:spacing w:val="-5"/>
        </w:rPr>
        <w:t> </w:t>
      </w:r>
      <w:r>
        <w:rPr>
          <w:color w:val="231F20"/>
        </w:rPr>
        <w:t>los</w:t>
      </w:r>
      <w:r>
        <w:rPr>
          <w:color w:val="231F20"/>
          <w:spacing w:val="-5"/>
        </w:rPr>
        <w:t> </w:t>
      </w:r>
      <w:r>
        <w:rPr>
          <w:color w:val="231F20"/>
        </w:rPr>
        <w:t>mayores</w:t>
      </w:r>
      <w:r>
        <w:rPr>
          <w:color w:val="231F20"/>
          <w:spacing w:val="-5"/>
        </w:rPr>
        <w:t> </w:t>
      </w:r>
      <w:r>
        <w:rPr>
          <w:color w:val="231F20"/>
        </w:rPr>
        <w:t>índices</w:t>
      </w:r>
      <w:r>
        <w:rPr>
          <w:color w:val="231F20"/>
          <w:spacing w:val="-5"/>
        </w:rPr>
        <w:t> </w:t>
      </w:r>
      <w:r>
        <w:rPr>
          <w:color w:val="231F20"/>
        </w:rPr>
        <w:t>de</w:t>
      </w:r>
      <w:r>
        <w:rPr>
          <w:color w:val="231F20"/>
          <w:spacing w:val="-5"/>
        </w:rPr>
        <w:t> </w:t>
      </w:r>
      <w:r>
        <w:rPr>
          <w:color w:val="231F20"/>
        </w:rPr>
        <w:t>pobreza.</w:t>
      </w:r>
      <w:r>
        <w:rPr>
          <w:color w:val="231F20"/>
          <w:spacing w:val="-4"/>
        </w:rPr>
        <w:t> </w:t>
      </w:r>
      <w:r>
        <w:rPr>
          <w:color w:val="231F20"/>
        </w:rPr>
        <w:t>De</w:t>
      </w:r>
      <w:r>
        <w:rPr>
          <w:color w:val="231F20"/>
          <w:spacing w:val="-4"/>
        </w:rPr>
        <w:t> </w:t>
      </w:r>
      <w:r>
        <w:rPr>
          <w:color w:val="231F20"/>
        </w:rPr>
        <w:t>acuerdo</w:t>
      </w:r>
      <w:r>
        <w:rPr>
          <w:color w:val="231F20"/>
          <w:spacing w:val="-5"/>
        </w:rPr>
        <w:t> </w:t>
      </w:r>
      <w:r>
        <w:rPr>
          <w:color w:val="231F20"/>
        </w:rPr>
        <w:t>con</w:t>
      </w:r>
      <w:r>
        <w:rPr>
          <w:color w:val="231F20"/>
          <w:spacing w:val="-5"/>
        </w:rPr>
        <w:t> </w:t>
      </w:r>
      <w:r>
        <w:rPr>
          <w:color w:val="231F20"/>
        </w:rPr>
        <w:t>la</w:t>
      </w:r>
      <w:r>
        <w:rPr>
          <w:color w:val="231F20"/>
          <w:spacing w:val="-5"/>
        </w:rPr>
        <w:t> </w:t>
      </w:r>
      <w:r>
        <w:rPr>
          <w:i/>
          <w:color w:val="231F20"/>
        </w:rPr>
        <w:t>Current</w:t>
      </w:r>
      <w:r>
        <w:rPr>
          <w:i/>
          <w:color w:val="231F20"/>
          <w:spacing w:val="-5"/>
        </w:rPr>
        <w:t> </w:t>
      </w:r>
      <w:r>
        <w:rPr>
          <w:i/>
          <w:color w:val="231F20"/>
        </w:rPr>
        <w:t>Population </w:t>
      </w:r>
      <w:r>
        <w:rPr>
          <w:i/>
          <w:color w:val="231F20"/>
        </w:rPr>
        <w:t>Survey </w:t>
      </w:r>
      <w:r>
        <w:rPr>
          <w:color w:val="231F20"/>
        </w:rPr>
        <w:t>(CPS, 2011), 3.5 millones de migrantes mexicanos residentes en Estados Unidos se ubicaron en la categoría de pobres, entre los</w:t>
      </w:r>
      <w:r>
        <w:rPr>
          <w:color w:val="231F20"/>
          <w:spacing w:val="-29"/>
        </w:rPr>
        <w:t> </w:t>
      </w:r>
      <w:r>
        <w:rPr>
          <w:color w:val="231F20"/>
        </w:rPr>
        <w:t>mexicanos ocupados 1.4 se encontraron en esa situación, su descendencia observa proporciones similares de pobres, 28 por ciento de los 20 millones de na- tivos de ascendencia mexicana (6.2 millones). El acceso a los servicios de salud tiende a ser asimismo limitado: más de dos de cada diez migrantes mexicanos</w:t>
      </w:r>
      <w:r>
        <w:rPr>
          <w:color w:val="231F20"/>
          <w:spacing w:val="-11"/>
        </w:rPr>
        <w:t> </w:t>
      </w:r>
      <w:r>
        <w:rPr>
          <w:color w:val="231F20"/>
        </w:rPr>
        <w:t>ocupados</w:t>
      </w:r>
      <w:r>
        <w:rPr>
          <w:color w:val="231F20"/>
          <w:spacing w:val="-10"/>
        </w:rPr>
        <w:t> </w:t>
      </w:r>
      <w:r>
        <w:rPr>
          <w:color w:val="231F20"/>
        </w:rPr>
        <w:t>no</w:t>
      </w:r>
      <w:r>
        <w:rPr>
          <w:color w:val="231F20"/>
          <w:spacing w:val="-10"/>
        </w:rPr>
        <w:t> </w:t>
      </w:r>
      <w:r>
        <w:rPr>
          <w:color w:val="231F20"/>
        </w:rPr>
        <w:t>tienen</w:t>
      </w:r>
      <w:r>
        <w:rPr>
          <w:color w:val="231F20"/>
          <w:spacing w:val="-11"/>
        </w:rPr>
        <w:t> </w:t>
      </w:r>
      <w:r>
        <w:rPr>
          <w:color w:val="231F20"/>
        </w:rPr>
        <w:t>acceso</w:t>
      </w:r>
      <w:r>
        <w:rPr>
          <w:color w:val="231F20"/>
          <w:spacing w:val="-11"/>
        </w:rPr>
        <w:t> </w:t>
      </w:r>
      <w:r>
        <w:rPr>
          <w:color w:val="231F20"/>
        </w:rPr>
        <w:t>al</w:t>
      </w:r>
      <w:r>
        <w:rPr>
          <w:color w:val="231F20"/>
          <w:spacing w:val="-10"/>
        </w:rPr>
        <w:t> </w:t>
      </w:r>
      <w:r>
        <w:rPr>
          <w:color w:val="231F20"/>
        </w:rPr>
        <w:t>seguro</w:t>
      </w:r>
      <w:r>
        <w:rPr>
          <w:color w:val="231F20"/>
          <w:spacing w:val="-10"/>
        </w:rPr>
        <w:t> </w:t>
      </w:r>
      <w:r>
        <w:rPr>
          <w:color w:val="231F20"/>
        </w:rPr>
        <w:t>de</w:t>
      </w:r>
      <w:r>
        <w:rPr>
          <w:color w:val="231F20"/>
          <w:spacing w:val="-10"/>
        </w:rPr>
        <w:t> </w:t>
      </w:r>
      <w:r>
        <w:rPr>
          <w:color w:val="231F20"/>
        </w:rPr>
        <w:t>salud,</w:t>
      </w:r>
      <w:r>
        <w:rPr>
          <w:color w:val="231F20"/>
          <w:spacing w:val="-10"/>
        </w:rPr>
        <w:t> </w:t>
      </w:r>
      <w:r>
        <w:rPr>
          <w:color w:val="231F20"/>
        </w:rPr>
        <w:t>casi</w:t>
      </w:r>
      <w:r>
        <w:rPr>
          <w:color w:val="231F20"/>
          <w:spacing w:val="-11"/>
        </w:rPr>
        <w:t> </w:t>
      </w:r>
      <w:r>
        <w:rPr>
          <w:color w:val="231F20"/>
        </w:rPr>
        <w:t>ocho</w:t>
      </w:r>
      <w:r>
        <w:rPr>
          <w:color w:val="231F20"/>
          <w:spacing w:val="-10"/>
        </w:rPr>
        <w:t> </w:t>
      </w:r>
      <w:r>
        <w:rPr>
          <w:color w:val="231F20"/>
        </w:rPr>
        <w:t>de</w:t>
      </w:r>
      <w:r>
        <w:rPr>
          <w:color w:val="231F20"/>
          <w:spacing w:val="-10"/>
        </w:rPr>
        <w:t> </w:t>
      </w:r>
      <w:r>
        <w:rPr>
          <w:color w:val="231F20"/>
        </w:rPr>
        <w:t>cada diez</w:t>
      </w:r>
      <w:r>
        <w:rPr>
          <w:color w:val="231F20"/>
          <w:spacing w:val="-8"/>
        </w:rPr>
        <w:t> </w:t>
      </w:r>
      <w:r>
        <w:rPr>
          <w:color w:val="231F20"/>
        </w:rPr>
        <w:t>carecen</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plan</w:t>
      </w:r>
      <w:r>
        <w:rPr>
          <w:color w:val="231F20"/>
          <w:spacing w:val="-8"/>
        </w:rPr>
        <w:t> </w:t>
      </w:r>
      <w:r>
        <w:rPr>
          <w:color w:val="231F20"/>
        </w:rPr>
        <w:t>de</w:t>
      </w:r>
      <w:r>
        <w:rPr>
          <w:color w:val="231F20"/>
          <w:spacing w:val="-8"/>
        </w:rPr>
        <w:t> </w:t>
      </w:r>
      <w:r>
        <w:rPr>
          <w:color w:val="231F20"/>
        </w:rPr>
        <w:t>pensión</w:t>
      </w:r>
      <w:r>
        <w:rPr>
          <w:color w:val="231F20"/>
          <w:spacing w:val="-8"/>
        </w:rPr>
        <w:t> </w:t>
      </w:r>
      <w:r>
        <w:rPr>
          <w:color w:val="231F20"/>
        </w:rPr>
        <w:t>y</w:t>
      </w:r>
      <w:r>
        <w:rPr>
          <w:color w:val="231F20"/>
          <w:spacing w:val="-8"/>
        </w:rPr>
        <w:t> </w:t>
      </w:r>
      <w:r>
        <w:rPr>
          <w:color w:val="231F20"/>
        </w:rPr>
        <w:t>siete</w:t>
      </w:r>
      <w:r>
        <w:rPr>
          <w:color w:val="231F20"/>
          <w:spacing w:val="-8"/>
        </w:rPr>
        <w:t> </w:t>
      </w:r>
      <w:r>
        <w:rPr>
          <w:color w:val="231F20"/>
        </w:rPr>
        <w:t>de</w:t>
      </w:r>
      <w:r>
        <w:rPr>
          <w:color w:val="231F20"/>
          <w:spacing w:val="-8"/>
        </w:rPr>
        <w:t> </w:t>
      </w:r>
      <w:r>
        <w:rPr>
          <w:color w:val="231F20"/>
        </w:rPr>
        <w:t>cada</w:t>
      </w:r>
      <w:r>
        <w:rPr>
          <w:color w:val="231F20"/>
          <w:spacing w:val="-8"/>
        </w:rPr>
        <w:t> </w:t>
      </w:r>
      <w:r>
        <w:rPr>
          <w:color w:val="231F20"/>
        </w:rPr>
        <w:t>diez</w:t>
      </w:r>
      <w:r>
        <w:rPr>
          <w:color w:val="231F20"/>
          <w:spacing w:val="-8"/>
        </w:rPr>
        <w:t> </w:t>
      </w:r>
      <w:r>
        <w:rPr>
          <w:color w:val="231F20"/>
        </w:rPr>
        <w:t>no</w:t>
      </w:r>
      <w:r>
        <w:rPr>
          <w:color w:val="231F20"/>
          <w:spacing w:val="-8"/>
        </w:rPr>
        <w:t> </w:t>
      </w:r>
      <w:r>
        <w:rPr>
          <w:color w:val="231F20"/>
        </w:rPr>
        <w:t>tienen</w:t>
      </w:r>
      <w:r>
        <w:rPr>
          <w:color w:val="231F20"/>
          <w:spacing w:val="-8"/>
        </w:rPr>
        <w:t> </w:t>
      </w:r>
      <w:r>
        <w:rPr>
          <w:color w:val="231F20"/>
        </w:rPr>
        <w:t>un</w:t>
      </w:r>
      <w:r>
        <w:rPr>
          <w:color w:val="231F20"/>
          <w:spacing w:val="-8"/>
        </w:rPr>
        <w:t> </w:t>
      </w:r>
      <w:r>
        <w:rPr>
          <w:color w:val="231F20"/>
        </w:rPr>
        <w:t>seguro ofrecido por el</w:t>
      </w:r>
      <w:r>
        <w:rPr>
          <w:color w:val="231F20"/>
          <w:spacing w:val="-13"/>
        </w:rPr>
        <w:t> </w:t>
      </w:r>
      <w:r>
        <w:rPr>
          <w:color w:val="231F20"/>
        </w:rPr>
        <w:t>empleador.</w:t>
      </w:r>
    </w:p>
    <w:p>
      <w:pPr>
        <w:pStyle w:val="BodyText"/>
        <w:spacing w:line="247" w:lineRule="auto"/>
        <w:ind w:left="117" w:right="114" w:firstLine="283"/>
        <w:jc w:val="both"/>
      </w:pPr>
      <w:r>
        <w:rPr>
          <w:color w:val="231F20"/>
        </w:rPr>
        <w:t>Los niveles educativos de los mexicanos siguen siendo relativamente bajos, frente a otros grupos nacionales y ante la población de origen</w:t>
      </w:r>
      <w:r>
        <w:rPr>
          <w:color w:val="231F20"/>
          <w:spacing w:val="-26"/>
        </w:rPr>
        <w:t> </w:t>
      </w:r>
      <w:r>
        <w:rPr>
          <w:color w:val="231F20"/>
        </w:rPr>
        <w:t>mexi- cano</w:t>
      </w:r>
      <w:r>
        <w:rPr>
          <w:color w:val="231F20"/>
          <w:spacing w:val="-7"/>
        </w:rPr>
        <w:t> </w:t>
      </w:r>
      <w:r>
        <w:rPr>
          <w:color w:val="231F20"/>
        </w:rPr>
        <w:t>nacida</w:t>
      </w:r>
      <w:r>
        <w:rPr>
          <w:color w:val="231F20"/>
          <w:spacing w:val="-7"/>
        </w:rPr>
        <w:t> </w:t>
      </w:r>
      <w:r>
        <w:rPr>
          <w:color w:val="231F20"/>
        </w:rPr>
        <w:t>en</w:t>
      </w:r>
      <w:r>
        <w:rPr>
          <w:color w:val="231F20"/>
          <w:spacing w:val="-7"/>
        </w:rPr>
        <w:t> </w:t>
      </w:r>
      <w:r>
        <w:rPr>
          <w:color w:val="231F20"/>
        </w:rPr>
        <w:t>Estados</w:t>
      </w:r>
      <w:r>
        <w:rPr>
          <w:color w:val="231F20"/>
          <w:spacing w:val="-7"/>
        </w:rPr>
        <w:t> </w:t>
      </w:r>
      <w:r>
        <w:rPr>
          <w:color w:val="231F20"/>
        </w:rPr>
        <w:t>Unidos:</w:t>
      </w:r>
      <w:r>
        <w:rPr>
          <w:color w:val="231F20"/>
          <w:spacing w:val="-7"/>
        </w:rPr>
        <w:t> </w:t>
      </w:r>
      <w:r>
        <w:rPr>
          <w:color w:val="231F20"/>
        </w:rPr>
        <w:t>seis</w:t>
      </w:r>
      <w:r>
        <w:rPr>
          <w:color w:val="231F20"/>
          <w:spacing w:val="-7"/>
        </w:rPr>
        <w:t> </w:t>
      </w:r>
      <w:r>
        <w:rPr>
          <w:color w:val="231F20"/>
        </w:rPr>
        <w:t>de</w:t>
      </w:r>
      <w:r>
        <w:rPr>
          <w:color w:val="231F20"/>
          <w:spacing w:val="-7"/>
        </w:rPr>
        <w:t> </w:t>
      </w:r>
      <w:r>
        <w:rPr>
          <w:color w:val="231F20"/>
        </w:rPr>
        <w:t>cada</w:t>
      </w:r>
      <w:r>
        <w:rPr>
          <w:color w:val="231F20"/>
          <w:spacing w:val="-7"/>
        </w:rPr>
        <w:t> </w:t>
      </w:r>
      <w:r>
        <w:rPr>
          <w:color w:val="231F20"/>
        </w:rPr>
        <w:t>diez</w:t>
      </w:r>
      <w:r>
        <w:rPr>
          <w:color w:val="231F20"/>
          <w:spacing w:val="-7"/>
        </w:rPr>
        <w:t> </w:t>
      </w:r>
      <w:r>
        <w:rPr>
          <w:color w:val="231F20"/>
        </w:rPr>
        <w:t>cuentan</w:t>
      </w:r>
      <w:r>
        <w:rPr>
          <w:color w:val="231F20"/>
          <w:spacing w:val="-7"/>
        </w:rPr>
        <w:t> </w:t>
      </w:r>
      <w:r>
        <w:rPr>
          <w:color w:val="231F20"/>
        </w:rPr>
        <w:t>con</w:t>
      </w:r>
      <w:r>
        <w:rPr>
          <w:color w:val="231F20"/>
          <w:spacing w:val="-7"/>
        </w:rPr>
        <w:t> </w:t>
      </w:r>
      <w:r>
        <w:rPr>
          <w:color w:val="231F20"/>
        </w:rPr>
        <w:t>menos</w:t>
      </w:r>
      <w:r>
        <w:rPr>
          <w:color w:val="231F20"/>
          <w:spacing w:val="-7"/>
        </w:rPr>
        <w:t> </w:t>
      </w:r>
      <w:r>
        <w:rPr>
          <w:color w:val="231F20"/>
        </w:rPr>
        <w:t>de</w:t>
      </w:r>
      <w:r>
        <w:rPr>
          <w:color w:val="231F20"/>
          <w:spacing w:val="-7"/>
        </w:rPr>
        <w:t> </w:t>
      </w:r>
      <w:r>
        <w:rPr>
          <w:color w:val="231F20"/>
        </w:rPr>
        <w:t>12 años de escolaridad (Cuadro 5). No está por demás agregar que el número de inmigrantes indocumentados de origen mexicano pasó de dos millones en</w:t>
      </w:r>
      <w:r>
        <w:rPr>
          <w:color w:val="231F20"/>
          <w:spacing w:val="-10"/>
        </w:rPr>
        <w:t> </w:t>
      </w:r>
      <w:r>
        <w:rPr>
          <w:color w:val="231F20"/>
        </w:rPr>
        <w:t>1990</w:t>
      </w:r>
      <w:r>
        <w:rPr>
          <w:color w:val="231F20"/>
          <w:spacing w:val="-10"/>
        </w:rPr>
        <w:t> </w:t>
      </w:r>
      <w:r>
        <w:rPr>
          <w:color w:val="231F20"/>
        </w:rPr>
        <w:t>(46.5</w:t>
      </w:r>
      <w:r>
        <w:rPr>
          <w:color w:val="231F20"/>
          <w:spacing w:val="-10"/>
        </w:rPr>
        <w:t> </w:t>
      </w:r>
      <w:r>
        <w:rPr>
          <w:color w:val="231F20"/>
        </w:rPr>
        <w:t>por</w:t>
      </w:r>
      <w:r>
        <w:rPr>
          <w:color w:val="231F20"/>
          <w:spacing w:val="-10"/>
        </w:rPr>
        <w:t> </w:t>
      </w:r>
      <w:r>
        <w:rPr>
          <w:color w:val="231F20"/>
        </w:rPr>
        <w:t>ciento</w:t>
      </w:r>
      <w:r>
        <w:rPr>
          <w:color w:val="231F20"/>
          <w:spacing w:val="-10"/>
        </w:rPr>
        <w:t> </w:t>
      </w:r>
      <w:r>
        <w:rPr>
          <w:color w:val="231F20"/>
        </w:rPr>
        <w:t>del</w:t>
      </w:r>
      <w:r>
        <w:rPr>
          <w:color w:val="231F20"/>
          <w:spacing w:val="-10"/>
        </w:rPr>
        <w:t> </w:t>
      </w:r>
      <w:r>
        <w:rPr>
          <w:color w:val="231F20"/>
        </w:rPr>
        <w:t>total)</w:t>
      </w:r>
      <w:r>
        <w:rPr>
          <w:color w:val="231F20"/>
          <w:spacing w:val="-10"/>
        </w:rPr>
        <w:t> </w:t>
      </w:r>
      <w:r>
        <w:rPr>
          <w:color w:val="231F20"/>
        </w:rPr>
        <w:t>a</w:t>
      </w:r>
      <w:r>
        <w:rPr>
          <w:color w:val="231F20"/>
          <w:spacing w:val="-10"/>
        </w:rPr>
        <w:t> </w:t>
      </w:r>
      <w:r>
        <w:rPr>
          <w:color w:val="231F20"/>
        </w:rPr>
        <w:t>6.5</w:t>
      </w:r>
      <w:r>
        <w:rPr>
          <w:color w:val="231F20"/>
          <w:spacing w:val="-10"/>
        </w:rPr>
        <w:t> </w:t>
      </w:r>
      <w:r>
        <w:rPr>
          <w:color w:val="231F20"/>
        </w:rPr>
        <w:t>millones</w:t>
      </w:r>
      <w:r>
        <w:rPr>
          <w:color w:val="231F20"/>
          <w:spacing w:val="-10"/>
        </w:rPr>
        <w:t> </w:t>
      </w:r>
      <w:r>
        <w:rPr>
          <w:color w:val="231F20"/>
        </w:rPr>
        <w:t>en</w:t>
      </w:r>
      <w:r>
        <w:rPr>
          <w:color w:val="231F20"/>
          <w:spacing w:val="-10"/>
        </w:rPr>
        <w:t> </w:t>
      </w:r>
      <w:r>
        <w:rPr>
          <w:color w:val="231F20"/>
        </w:rPr>
        <w:t>2010</w:t>
      </w:r>
      <w:r>
        <w:rPr>
          <w:color w:val="231F20"/>
          <w:spacing w:val="-10"/>
        </w:rPr>
        <w:t> </w:t>
      </w:r>
      <w:r>
        <w:rPr>
          <w:color w:val="231F20"/>
        </w:rPr>
        <w:t>(58</w:t>
      </w:r>
      <w:r>
        <w:rPr>
          <w:color w:val="231F20"/>
          <w:spacing w:val="-10"/>
        </w:rPr>
        <w:t> </w:t>
      </w:r>
      <w:r>
        <w:rPr>
          <w:color w:val="231F20"/>
        </w:rPr>
        <w:t>por</w:t>
      </w:r>
      <w:r>
        <w:rPr>
          <w:color w:val="231F20"/>
          <w:spacing w:val="-10"/>
        </w:rPr>
        <w:t> </w:t>
      </w:r>
      <w:r>
        <w:rPr>
          <w:color w:val="231F20"/>
        </w:rPr>
        <w:t>ciento</w:t>
      </w:r>
      <w:r>
        <w:rPr>
          <w:color w:val="231F20"/>
          <w:spacing w:val="-10"/>
        </w:rPr>
        <w:t> </w:t>
      </w:r>
      <w:r>
        <w:rPr>
          <w:color w:val="231F20"/>
        </w:rPr>
        <w:t>del total). Ningún otro país del mundo cuenta con una magnitud y proporción tan grande de su población en el extranjero ubicada bajo el estigma de la irregularidad, con todo lo que ello implica en términos de vulnerabilidad, discriminación y exclusión social (Passel y </w:t>
      </w:r>
      <w:r>
        <w:rPr>
          <w:color w:val="231F20"/>
          <w:spacing w:val="-4"/>
        </w:rPr>
        <w:t>D’Vera, </w:t>
      </w:r>
      <w:r>
        <w:rPr>
          <w:color w:val="231F20"/>
          <w:spacing w:val="-2"/>
        </w:rPr>
        <w:t> </w:t>
      </w:r>
      <w:r>
        <w:rPr>
          <w:color w:val="231F20"/>
        </w:rPr>
        <w:t>2010).</w:t>
      </w:r>
    </w:p>
    <w:p>
      <w:pPr>
        <w:pStyle w:val="BodyText"/>
        <w:rPr>
          <w:sz w:val="20"/>
        </w:rPr>
      </w:pPr>
    </w:p>
    <w:p>
      <w:pPr>
        <w:pStyle w:val="BodyText"/>
        <w:rPr>
          <w:sz w:val="20"/>
        </w:rPr>
      </w:pPr>
    </w:p>
    <w:p>
      <w:pPr>
        <w:pStyle w:val="BodyText"/>
        <w:rPr>
          <w:sz w:val="20"/>
        </w:rPr>
      </w:pPr>
    </w:p>
    <w:p>
      <w:pPr>
        <w:pStyle w:val="BodyText"/>
        <w:spacing w:before="5"/>
        <w:rPr>
          <w:sz w:val="16"/>
        </w:rPr>
      </w:pPr>
    </w:p>
    <w:p>
      <w:pPr>
        <w:spacing w:before="0"/>
        <w:ind w:left="1897" w:right="2190" w:firstLine="0"/>
        <w:jc w:val="center"/>
        <w:rPr>
          <w:rFonts w:ascii="Verdana"/>
          <w:sz w:val="20"/>
        </w:rPr>
      </w:pPr>
      <w:r>
        <w:rPr>
          <w:rFonts w:ascii="Verdana"/>
          <w:color w:val="231F20"/>
          <w:sz w:val="20"/>
        </w:rPr>
        <w:t>156</w:t>
      </w:r>
    </w:p>
    <w:p>
      <w:pPr>
        <w:spacing w:after="0"/>
        <w:jc w:val="center"/>
        <w:rPr>
          <w:rFonts w:ascii="Verdana"/>
          <w:sz w:val="20"/>
        </w:rPr>
        <w:sectPr>
          <w:footerReference w:type="default" r:id="rId135"/>
          <w:pgSz w:w="9360" w:h="13040"/>
          <w:pgMar w:footer="0" w:header="0" w:top="840" w:bottom="280" w:left="1300" w:right="1300"/>
        </w:sectPr>
      </w:pPr>
    </w:p>
    <w:p>
      <w:pPr>
        <w:pStyle w:val="BodyText"/>
        <w:rPr>
          <w:rFonts w:ascii="Verdana"/>
          <w:sz w:val="20"/>
        </w:rPr>
      </w:pPr>
      <w:r>
        <w:rPr/>
        <w:pict>
          <v:shape style="position:absolute;margin-left:598.529175pt;margin-top:104.613098pt;width:12.4pt;height:293.25pt;mso-position-horizontal-relative:page;mso-position-vertical-relative:page;z-index:4432" type="#_x0000_t202" filled="false" stroked="false">
            <v:textbox inset="0,0,0,0" style="layout-flow:vertical">
              <w:txbxContent>
                <w:p>
                  <w:pPr>
                    <w:spacing w:line="213" w:lineRule="exact" w:before="0"/>
                    <w:ind w:left="20" w:right="0" w:firstLine="0"/>
                    <w:jc w:val="left"/>
                    <w:rPr>
                      <w:rFonts w:ascii="Arial" w:hAnsi="Arial"/>
                      <w:i/>
                      <w:sz w:val="20"/>
                    </w:rPr>
                  </w:pPr>
                  <w:r>
                    <w:rPr>
                      <w:rFonts w:ascii="Arial" w:hAnsi="Arial"/>
                      <w:color w:val="231F20"/>
                      <w:w w:val="66"/>
                      <w:sz w:val="20"/>
                    </w:rPr>
                    <w:t>La</w:t>
                  </w:r>
                  <w:r>
                    <w:rPr>
                      <w:rFonts w:ascii="Arial" w:hAnsi="Arial"/>
                      <w:color w:val="231F20"/>
                      <w:spacing w:val="-1"/>
                      <w:sz w:val="20"/>
                    </w:rPr>
                    <w:t> </w:t>
                  </w:r>
                  <w:r>
                    <w:rPr>
                      <w:rFonts w:ascii="Arial" w:hAnsi="Arial"/>
                      <w:color w:val="231F20"/>
                      <w:w w:val="76"/>
                      <w:sz w:val="20"/>
                    </w:rPr>
                    <w:t>participación</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w w:val="73"/>
                      <w:sz w:val="20"/>
                    </w:rPr>
                    <w:t>migrantes</w:t>
                  </w:r>
                  <w:r>
                    <w:rPr>
                      <w:rFonts w:ascii="Arial" w:hAnsi="Arial"/>
                      <w:color w:val="231F20"/>
                      <w:spacing w:val="-1"/>
                      <w:sz w:val="20"/>
                    </w:rPr>
                    <w:t> </w:t>
                  </w:r>
                  <w:r>
                    <w:rPr>
                      <w:rFonts w:ascii="Arial" w:hAnsi="Arial"/>
                      <w:color w:val="231F20"/>
                      <w:w w:val="69"/>
                      <w:sz w:val="20"/>
                    </w:rPr>
                    <w:t>mexicanos</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3"/>
                      <w:sz w:val="20"/>
                    </w:rPr>
                    <w:t>economía...</w:t>
                  </w:r>
                  <w:r>
                    <w:rPr>
                      <w:rFonts w:ascii="Arial" w:hAnsi="Arial"/>
                      <w:color w:val="231F20"/>
                      <w:spacing w:val="-1"/>
                      <w:sz w:val="20"/>
                    </w:rPr>
                    <w:t> </w:t>
                  </w:r>
                  <w:r>
                    <w:rPr>
                      <w:rFonts w:ascii="Arial" w:hAnsi="Arial"/>
                      <w:color w:val="231F20"/>
                      <w:w w:val="99"/>
                      <w:sz w:val="20"/>
                    </w:rPr>
                    <w:t>/</w:t>
                  </w:r>
                  <w:r>
                    <w:rPr>
                      <w:rFonts w:ascii="Arial" w:hAnsi="Arial"/>
                      <w:color w:val="231F20"/>
                      <w:w w:val="52"/>
                      <w:sz w:val="20"/>
                    </w:rPr>
                    <w:t>Esther</w:t>
                  </w:r>
                  <w:r>
                    <w:rPr>
                      <w:rFonts w:ascii="Arial" w:hAnsi="Arial"/>
                      <w:color w:val="231F20"/>
                      <w:spacing w:val="-17"/>
                      <w:sz w:val="20"/>
                    </w:rPr>
                    <w:t> </w:t>
                  </w:r>
                  <w:r>
                    <w:rPr>
                      <w:rFonts w:ascii="Arial" w:hAnsi="Arial"/>
                      <w:color w:val="231F20"/>
                      <w:w w:val="50"/>
                      <w:sz w:val="20"/>
                    </w:rPr>
                    <w:t>Figueroa-Hernández</w:t>
                  </w:r>
                  <w:r>
                    <w:rPr>
                      <w:rFonts w:ascii="Arial" w:hAnsi="Arial"/>
                      <w:color w:val="231F20"/>
                      <w:spacing w:val="-17"/>
                      <w:sz w:val="20"/>
                    </w:rPr>
                    <w:t> </w:t>
                  </w:r>
                  <w:r>
                    <w:rPr>
                      <w:rFonts w:ascii="Arial" w:hAnsi="Arial"/>
                      <w:i/>
                      <w:color w:val="231F20"/>
                      <w:w w:val="55"/>
                      <w:sz w:val="20"/>
                    </w:rPr>
                    <w:t>et</w:t>
                  </w:r>
                  <w:r>
                    <w:rPr>
                      <w:rFonts w:ascii="Arial" w:hAnsi="Arial"/>
                      <w:i/>
                      <w:color w:val="231F20"/>
                      <w:spacing w:val="-17"/>
                      <w:sz w:val="20"/>
                    </w:rPr>
                    <w:t> </w:t>
                  </w:r>
                  <w:r>
                    <w:rPr>
                      <w:rFonts w:ascii="Arial" w:hAnsi="Arial"/>
                      <w:i/>
                      <w:color w:val="231F20"/>
                      <w:w w:val="58"/>
                      <w:sz w:val="20"/>
                    </w:rPr>
                    <w:t>al.</w:t>
                  </w:r>
                </w:p>
              </w:txbxContent>
            </v:textbox>
            <w10:wrap type="none"/>
          </v:shape>
        </w:pict>
      </w:r>
      <w:r>
        <w:rPr/>
        <w:pict>
          <v:shape style="position:absolute;margin-left:23.820354pt;margin-top:222.936996pt;width:12pt;height:21.25pt;mso-position-horizontal-relative:page;mso-position-vertical-relative:page;z-index:4456" type="#_x0000_t202" filled="false" stroked="false">
            <v:textbox inset="0,0,0,0" style="layout-flow:vertical">
              <w:txbxContent>
                <w:p>
                  <w:pPr>
                    <w:spacing w:line="214" w:lineRule="exact" w:before="0"/>
                    <w:ind w:left="20" w:right="-182" w:firstLine="0"/>
                    <w:jc w:val="left"/>
                    <w:rPr>
                      <w:rFonts w:ascii="Verdana"/>
                      <w:sz w:val="20"/>
                    </w:rPr>
                  </w:pPr>
                  <w:r>
                    <w:rPr>
                      <w:rFonts w:ascii="Verdana"/>
                      <w:color w:val="231F20"/>
                      <w:spacing w:val="-1"/>
                      <w:w w:val="100"/>
                      <w:sz w:val="20"/>
                    </w:rPr>
                    <w:t>157</w:t>
                  </w:r>
                </w:p>
              </w:txbxContent>
            </v:textbox>
            <w10:wrap type="none"/>
          </v:shape>
        </w:pict>
      </w: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spacing w:before="4"/>
        <w:rPr>
          <w:rFonts w:ascii="Verdana"/>
          <w:sz w:val="20"/>
        </w:rPr>
      </w:pPr>
    </w:p>
    <w:p>
      <w:pPr>
        <w:tabs>
          <w:tab w:pos="8782" w:val="left" w:leader="none"/>
        </w:tabs>
        <w:spacing w:before="0" w:after="37"/>
        <w:ind w:left="665" w:right="0" w:firstLine="0"/>
        <w:jc w:val="left"/>
        <w:rPr>
          <w:sz w:val="19"/>
        </w:rPr>
      </w:pPr>
      <w:r>
        <w:rPr>
          <w:spacing w:val="22"/>
          <w:w w:val="103"/>
          <w:sz w:val="19"/>
          <w:u w:val="single"/>
        </w:rPr>
        <w:t> </w:t>
      </w:r>
      <w:r>
        <w:rPr>
          <w:w w:val="105"/>
          <w:sz w:val="19"/>
          <w:u w:val="single"/>
        </w:rPr>
        <w:t>Cuadro 4. Pago de impuestos sobre el producto al</w:t>
      </w:r>
      <w:r>
        <w:rPr>
          <w:spacing w:val="-10"/>
          <w:w w:val="105"/>
          <w:sz w:val="19"/>
          <w:u w:val="single"/>
        </w:rPr>
        <w:t> </w:t>
      </w:r>
      <w:r>
        <w:rPr>
          <w:w w:val="105"/>
          <w:sz w:val="19"/>
          <w:u w:val="single"/>
        </w:rPr>
        <w:t>salario</w:t>
      </w:r>
      <w:r>
        <w:rPr>
          <w:sz w:val="19"/>
          <w:u w:val="single"/>
        </w:rPr>
        <w:tab/>
      </w:r>
    </w:p>
    <w:tbl>
      <w:tblPr>
        <w:tblW w:w="0" w:type="auto"/>
        <w:jc w:val="left"/>
        <w:tblInd w:w="6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63"/>
        <w:gridCol w:w="884"/>
        <w:gridCol w:w="821"/>
        <w:gridCol w:w="868"/>
        <w:gridCol w:w="954"/>
        <w:gridCol w:w="958"/>
        <w:gridCol w:w="869"/>
      </w:tblGrid>
      <w:tr>
        <w:trPr>
          <w:trHeight w:val="291" w:hRule="exact"/>
        </w:trPr>
        <w:tc>
          <w:tcPr>
            <w:tcW w:w="2763" w:type="dxa"/>
            <w:tcBorders>
              <w:bottom w:val="double" w:sz="4" w:space="0" w:color="000000"/>
            </w:tcBorders>
          </w:tcPr>
          <w:p>
            <w:pPr/>
          </w:p>
        </w:tc>
        <w:tc>
          <w:tcPr>
            <w:tcW w:w="884" w:type="dxa"/>
            <w:tcBorders>
              <w:bottom w:val="double" w:sz="4" w:space="0" w:color="000000"/>
            </w:tcBorders>
          </w:tcPr>
          <w:p>
            <w:pPr>
              <w:pStyle w:val="TableParagraph"/>
              <w:spacing w:before="51"/>
              <w:ind w:right="98"/>
              <w:rPr>
                <w:sz w:val="19"/>
              </w:rPr>
            </w:pPr>
            <w:r>
              <w:rPr>
                <w:sz w:val="19"/>
              </w:rPr>
              <w:t>1994</w:t>
            </w:r>
          </w:p>
        </w:tc>
        <w:tc>
          <w:tcPr>
            <w:tcW w:w="821" w:type="dxa"/>
            <w:tcBorders>
              <w:bottom w:val="double" w:sz="4" w:space="0" w:color="000000"/>
            </w:tcBorders>
          </w:tcPr>
          <w:p>
            <w:pPr>
              <w:pStyle w:val="TableParagraph"/>
              <w:spacing w:before="51"/>
              <w:ind w:right="68"/>
              <w:rPr>
                <w:sz w:val="19"/>
              </w:rPr>
            </w:pPr>
            <w:r>
              <w:rPr>
                <w:sz w:val="19"/>
              </w:rPr>
              <w:t>2000</w:t>
            </w:r>
          </w:p>
        </w:tc>
        <w:tc>
          <w:tcPr>
            <w:tcW w:w="868" w:type="dxa"/>
            <w:tcBorders>
              <w:bottom w:val="double" w:sz="4" w:space="0" w:color="000000"/>
            </w:tcBorders>
          </w:tcPr>
          <w:p>
            <w:pPr>
              <w:pStyle w:val="TableParagraph"/>
              <w:spacing w:before="51"/>
              <w:ind w:right="145"/>
              <w:rPr>
                <w:sz w:val="19"/>
              </w:rPr>
            </w:pPr>
            <w:r>
              <w:rPr>
                <w:sz w:val="19"/>
              </w:rPr>
              <w:t>2005</w:t>
            </w:r>
          </w:p>
        </w:tc>
        <w:tc>
          <w:tcPr>
            <w:tcW w:w="954" w:type="dxa"/>
            <w:tcBorders>
              <w:bottom w:val="double" w:sz="4" w:space="0" w:color="000000"/>
            </w:tcBorders>
          </w:tcPr>
          <w:p>
            <w:pPr>
              <w:pStyle w:val="TableParagraph"/>
              <w:spacing w:before="51"/>
              <w:ind w:right="154"/>
              <w:rPr>
                <w:sz w:val="19"/>
              </w:rPr>
            </w:pPr>
            <w:r>
              <w:rPr>
                <w:sz w:val="19"/>
              </w:rPr>
              <w:t>2008</w:t>
            </w:r>
          </w:p>
        </w:tc>
        <w:tc>
          <w:tcPr>
            <w:tcW w:w="958" w:type="dxa"/>
            <w:tcBorders>
              <w:bottom w:val="double" w:sz="4" w:space="0" w:color="000000"/>
            </w:tcBorders>
          </w:tcPr>
          <w:p>
            <w:pPr>
              <w:pStyle w:val="TableParagraph"/>
              <w:spacing w:before="51"/>
              <w:ind w:right="149"/>
              <w:rPr>
                <w:sz w:val="19"/>
              </w:rPr>
            </w:pPr>
            <w:r>
              <w:rPr>
                <w:sz w:val="19"/>
              </w:rPr>
              <w:t>2010</w:t>
            </w:r>
          </w:p>
        </w:tc>
        <w:tc>
          <w:tcPr>
            <w:tcW w:w="869" w:type="dxa"/>
            <w:tcBorders>
              <w:bottom w:val="double" w:sz="4" w:space="0" w:color="000000"/>
            </w:tcBorders>
          </w:tcPr>
          <w:p>
            <w:pPr>
              <w:pStyle w:val="TableParagraph"/>
              <w:spacing w:before="51"/>
              <w:ind w:right="65"/>
              <w:rPr>
                <w:sz w:val="19"/>
              </w:rPr>
            </w:pPr>
            <w:r>
              <w:rPr>
                <w:sz w:val="19"/>
              </w:rPr>
              <w:t>2011</w:t>
            </w:r>
          </w:p>
        </w:tc>
      </w:tr>
      <w:tr>
        <w:trPr>
          <w:trHeight w:val="360" w:hRule="exact"/>
        </w:trPr>
        <w:tc>
          <w:tcPr>
            <w:tcW w:w="2763" w:type="dxa"/>
            <w:tcBorders>
              <w:top w:val="double" w:sz="4" w:space="0" w:color="000000"/>
            </w:tcBorders>
          </w:tcPr>
          <w:p>
            <w:pPr>
              <w:pStyle w:val="TableParagraph"/>
              <w:spacing w:before="77"/>
              <w:ind w:left="72"/>
              <w:jc w:val="left"/>
              <w:rPr>
                <w:sz w:val="19"/>
              </w:rPr>
            </w:pPr>
            <w:r>
              <w:rPr>
                <w:w w:val="105"/>
                <w:sz w:val="19"/>
              </w:rPr>
              <w:t>Miles de dólares</w:t>
            </w:r>
          </w:p>
        </w:tc>
        <w:tc>
          <w:tcPr>
            <w:tcW w:w="884" w:type="dxa"/>
            <w:tcBorders>
              <w:top w:val="double" w:sz="4" w:space="0" w:color="000000"/>
            </w:tcBorders>
          </w:tcPr>
          <w:p>
            <w:pPr/>
          </w:p>
        </w:tc>
        <w:tc>
          <w:tcPr>
            <w:tcW w:w="821" w:type="dxa"/>
            <w:tcBorders>
              <w:top w:val="double" w:sz="4" w:space="0" w:color="000000"/>
            </w:tcBorders>
          </w:tcPr>
          <w:p>
            <w:pPr/>
          </w:p>
        </w:tc>
        <w:tc>
          <w:tcPr>
            <w:tcW w:w="868" w:type="dxa"/>
            <w:tcBorders>
              <w:top w:val="double" w:sz="4" w:space="0" w:color="000000"/>
            </w:tcBorders>
          </w:tcPr>
          <w:p>
            <w:pPr/>
          </w:p>
        </w:tc>
        <w:tc>
          <w:tcPr>
            <w:tcW w:w="954" w:type="dxa"/>
            <w:tcBorders>
              <w:top w:val="double" w:sz="4" w:space="0" w:color="000000"/>
            </w:tcBorders>
          </w:tcPr>
          <w:p>
            <w:pPr/>
          </w:p>
        </w:tc>
        <w:tc>
          <w:tcPr>
            <w:tcW w:w="958" w:type="dxa"/>
            <w:tcBorders>
              <w:top w:val="double" w:sz="4" w:space="0" w:color="000000"/>
            </w:tcBorders>
          </w:tcPr>
          <w:p>
            <w:pPr/>
          </w:p>
        </w:tc>
        <w:tc>
          <w:tcPr>
            <w:tcW w:w="869" w:type="dxa"/>
            <w:tcBorders>
              <w:top w:val="double" w:sz="4" w:space="0" w:color="000000"/>
            </w:tcBorders>
          </w:tcPr>
          <w:p>
            <w:pPr/>
          </w:p>
        </w:tc>
      </w:tr>
      <w:tr>
        <w:trPr>
          <w:trHeight w:val="300" w:hRule="exact"/>
        </w:trPr>
        <w:tc>
          <w:tcPr>
            <w:tcW w:w="2763" w:type="dxa"/>
          </w:tcPr>
          <w:p>
            <w:pPr>
              <w:pStyle w:val="TableParagraph"/>
              <w:spacing w:before="33"/>
              <w:ind w:left="72"/>
              <w:jc w:val="left"/>
              <w:rPr>
                <w:sz w:val="19"/>
              </w:rPr>
            </w:pPr>
            <w:r>
              <w:rPr>
                <w:w w:val="105"/>
                <w:sz w:val="19"/>
              </w:rPr>
              <w:t>Total de impuesto por trabajo</w:t>
            </w:r>
          </w:p>
        </w:tc>
        <w:tc>
          <w:tcPr>
            <w:tcW w:w="884" w:type="dxa"/>
          </w:tcPr>
          <w:p>
            <w:pPr>
              <w:pStyle w:val="TableParagraph"/>
              <w:spacing w:before="33"/>
              <w:ind w:right="98"/>
              <w:rPr>
                <w:sz w:val="19"/>
              </w:rPr>
            </w:pPr>
            <w:r>
              <w:rPr>
                <w:w w:val="105"/>
                <w:sz w:val="19"/>
              </w:rPr>
              <w:t>411 741</w:t>
            </w:r>
          </w:p>
        </w:tc>
        <w:tc>
          <w:tcPr>
            <w:tcW w:w="821" w:type="dxa"/>
          </w:tcPr>
          <w:p>
            <w:pPr>
              <w:pStyle w:val="TableParagraph"/>
              <w:spacing w:before="33"/>
              <w:ind w:right="68"/>
              <w:rPr>
                <w:sz w:val="19"/>
              </w:rPr>
            </w:pPr>
            <w:r>
              <w:rPr>
                <w:w w:val="105"/>
                <w:sz w:val="19"/>
              </w:rPr>
              <w:t>608 910</w:t>
            </w:r>
          </w:p>
        </w:tc>
        <w:tc>
          <w:tcPr>
            <w:tcW w:w="868" w:type="dxa"/>
          </w:tcPr>
          <w:p>
            <w:pPr>
              <w:pStyle w:val="TableParagraph"/>
              <w:spacing w:before="33"/>
              <w:ind w:right="146"/>
              <w:rPr>
                <w:sz w:val="19"/>
              </w:rPr>
            </w:pPr>
            <w:r>
              <w:rPr>
                <w:w w:val="105"/>
                <w:sz w:val="19"/>
              </w:rPr>
              <w:t>759 698</w:t>
            </w:r>
          </w:p>
        </w:tc>
        <w:tc>
          <w:tcPr>
            <w:tcW w:w="954" w:type="dxa"/>
          </w:tcPr>
          <w:p>
            <w:pPr>
              <w:pStyle w:val="TableParagraph"/>
              <w:spacing w:before="33"/>
              <w:ind w:right="154"/>
              <w:rPr>
                <w:sz w:val="19"/>
              </w:rPr>
            </w:pPr>
            <w:r>
              <w:rPr>
                <w:w w:val="105"/>
                <w:sz w:val="19"/>
              </w:rPr>
              <w:t>873 476</w:t>
            </w:r>
          </w:p>
        </w:tc>
        <w:tc>
          <w:tcPr>
            <w:tcW w:w="958" w:type="dxa"/>
          </w:tcPr>
          <w:p>
            <w:pPr>
              <w:pStyle w:val="TableParagraph"/>
              <w:spacing w:before="33"/>
              <w:ind w:right="149"/>
              <w:rPr>
                <w:sz w:val="19"/>
              </w:rPr>
            </w:pPr>
            <w:r>
              <w:rPr>
                <w:w w:val="105"/>
                <w:sz w:val="19"/>
              </w:rPr>
              <w:t>860 960</w:t>
            </w:r>
          </w:p>
        </w:tc>
        <w:tc>
          <w:tcPr>
            <w:tcW w:w="869" w:type="dxa"/>
          </w:tcPr>
          <w:p>
            <w:pPr>
              <w:pStyle w:val="TableParagraph"/>
              <w:spacing w:before="33"/>
              <w:ind w:right="65"/>
              <w:rPr>
                <w:sz w:val="19"/>
              </w:rPr>
            </w:pPr>
            <w:r>
              <w:rPr>
                <w:w w:val="105"/>
                <w:sz w:val="19"/>
              </w:rPr>
              <w:t>869 666</w:t>
            </w:r>
          </w:p>
        </w:tc>
      </w:tr>
      <w:tr>
        <w:trPr>
          <w:trHeight w:val="300" w:hRule="exact"/>
        </w:trPr>
        <w:tc>
          <w:tcPr>
            <w:tcW w:w="2763" w:type="dxa"/>
          </w:tcPr>
          <w:p>
            <w:pPr>
              <w:pStyle w:val="TableParagraph"/>
              <w:spacing w:before="31"/>
              <w:ind w:left="71"/>
              <w:jc w:val="left"/>
              <w:rPr>
                <w:i/>
                <w:sz w:val="19"/>
              </w:rPr>
            </w:pPr>
            <w:r>
              <w:rPr>
                <w:i/>
                <w:w w:val="105"/>
                <w:sz w:val="19"/>
              </w:rPr>
              <w:t>Migrante mexicano</w:t>
            </w:r>
          </w:p>
        </w:tc>
        <w:tc>
          <w:tcPr>
            <w:tcW w:w="884" w:type="dxa"/>
          </w:tcPr>
          <w:p>
            <w:pPr/>
          </w:p>
        </w:tc>
        <w:tc>
          <w:tcPr>
            <w:tcW w:w="821" w:type="dxa"/>
          </w:tcPr>
          <w:p>
            <w:pPr/>
          </w:p>
        </w:tc>
        <w:tc>
          <w:tcPr>
            <w:tcW w:w="868" w:type="dxa"/>
          </w:tcPr>
          <w:p>
            <w:pPr/>
          </w:p>
        </w:tc>
        <w:tc>
          <w:tcPr>
            <w:tcW w:w="954" w:type="dxa"/>
          </w:tcPr>
          <w:p>
            <w:pPr/>
          </w:p>
        </w:tc>
        <w:tc>
          <w:tcPr>
            <w:tcW w:w="958" w:type="dxa"/>
          </w:tcPr>
          <w:p>
            <w:pPr/>
          </w:p>
        </w:tc>
        <w:tc>
          <w:tcPr>
            <w:tcW w:w="869" w:type="dxa"/>
          </w:tcPr>
          <w:p>
            <w:pPr/>
          </w:p>
        </w:tc>
      </w:tr>
      <w:tr>
        <w:trPr>
          <w:trHeight w:val="722" w:hRule="exact"/>
        </w:trPr>
        <w:tc>
          <w:tcPr>
            <w:tcW w:w="2763" w:type="dxa"/>
          </w:tcPr>
          <w:p>
            <w:pPr>
              <w:pStyle w:val="TableParagraph"/>
              <w:spacing w:line="252" w:lineRule="auto" w:before="34"/>
              <w:ind w:left="72" w:right="798" w:hanging="1"/>
              <w:jc w:val="left"/>
              <w:rPr>
                <w:sz w:val="19"/>
              </w:rPr>
            </w:pPr>
            <w:r>
              <w:rPr>
                <w:w w:val="105"/>
                <w:sz w:val="19"/>
              </w:rPr>
              <w:t>Pagó impuesto Representa al subgrupo</w:t>
            </w:r>
          </w:p>
          <w:p>
            <w:pPr>
              <w:pStyle w:val="TableParagraph"/>
              <w:spacing w:line="215" w:lineRule="exact"/>
              <w:ind w:left="72"/>
              <w:jc w:val="left"/>
              <w:rPr>
                <w:sz w:val="19"/>
              </w:rPr>
            </w:pPr>
            <w:r>
              <w:rPr>
                <w:w w:val="105"/>
                <w:sz w:val="19"/>
              </w:rPr>
              <w:t>poblacional respecto del total</w:t>
            </w:r>
          </w:p>
        </w:tc>
        <w:tc>
          <w:tcPr>
            <w:tcW w:w="884" w:type="dxa"/>
          </w:tcPr>
          <w:p>
            <w:pPr>
              <w:pStyle w:val="TableParagraph"/>
              <w:spacing w:before="34"/>
              <w:ind w:left="332"/>
              <w:jc w:val="left"/>
              <w:rPr>
                <w:sz w:val="19"/>
              </w:rPr>
            </w:pPr>
            <w:r>
              <w:rPr>
                <w:w w:val="105"/>
                <w:sz w:val="19"/>
              </w:rPr>
              <w:t>2 686</w:t>
            </w:r>
          </w:p>
          <w:p>
            <w:pPr>
              <w:pStyle w:val="TableParagraph"/>
              <w:spacing w:before="7"/>
              <w:jc w:val="left"/>
              <w:rPr>
                <w:sz w:val="20"/>
              </w:rPr>
            </w:pPr>
          </w:p>
          <w:p>
            <w:pPr>
              <w:pStyle w:val="TableParagraph"/>
              <w:ind w:left="532"/>
              <w:jc w:val="left"/>
              <w:rPr>
                <w:sz w:val="19"/>
              </w:rPr>
            </w:pPr>
            <w:r>
              <w:rPr>
                <w:w w:val="105"/>
                <w:sz w:val="19"/>
              </w:rPr>
              <w:t>0.7</w:t>
            </w:r>
          </w:p>
        </w:tc>
        <w:tc>
          <w:tcPr>
            <w:tcW w:w="821" w:type="dxa"/>
          </w:tcPr>
          <w:p>
            <w:pPr>
              <w:pStyle w:val="TableParagraph"/>
              <w:spacing w:before="34"/>
              <w:ind w:right="70"/>
              <w:rPr>
                <w:sz w:val="19"/>
              </w:rPr>
            </w:pPr>
            <w:r>
              <w:rPr>
                <w:w w:val="105"/>
                <w:sz w:val="19"/>
              </w:rPr>
              <w:t>5 827</w:t>
            </w:r>
          </w:p>
          <w:p>
            <w:pPr>
              <w:pStyle w:val="TableParagraph"/>
              <w:spacing w:before="7"/>
              <w:jc w:val="left"/>
              <w:rPr>
                <w:sz w:val="20"/>
              </w:rPr>
            </w:pPr>
          </w:p>
          <w:p>
            <w:pPr>
              <w:pStyle w:val="TableParagraph"/>
              <w:ind w:right="69"/>
              <w:rPr>
                <w:sz w:val="19"/>
              </w:rPr>
            </w:pPr>
            <w:r>
              <w:rPr>
                <w:w w:val="103"/>
                <w:sz w:val="19"/>
              </w:rPr>
              <w:t>1</w:t>
            </w:r>
          </w:p>
        </w:tc>
        <w:tc>
          <w:tcPr>
            <w:tcW w:w="868" w:type="dxa"/>
          </w:tcPr>
          <w:p>
            <w:pPr>
              <w:pStyle w:val="TableParagraph"/>
              <w:spacing w:before="34"/>
              <w:ind w:left="169"/>
              <w:jc w:val="left"/>
              <w:rPr>
                <w:sz w:val="19"/>
              </w:rPr>
            </w:pPr>
            <w:r>
              <w:rPr>
                <w:w w:val="105"/>
                <w:sz w:val="19"/>
              </w:rPr>
              <w:t>11 742</w:t>
            </w:r>
          </w:p>
          <w:p>
            <w:pPr>
              <w:pStyle w:val="TableParagraph"/>
              <w:spacing w:before="7"/>
              <w:jc w:val="left"/>
              <w:rPr>
                <w:sz w:val="20"/>
              </w:rPr>
            </w:pPr>
          </w:p>
          <w:p>
            <w:pPr>
              <w:pStyle w:val="TableParagraph"/>
              <w:ind w:left="470"/>
              <w:jc w:val="left"/>
              <w:rPr>
                <w:sz w:val="19"/>
              </w:rPr>
            </w:pPr>
            <w:r>
              <w:rPr>
                <w:w w:val="105"/>
                <w:sz w:val="19"/>
              </w:rPr>
              <w:t>1.5</w:t>
            </w:r>
          </w:p>
        </w:tc>
        <w:tc>
          <w:tcPr>
            <w:tcW w:w="954" w:type="dxa"/>
          </w:tcPr>
          <w:p>
            <w:pPr>
              <w:pStyle w:val="TableParagraph"/>
              <w:spacing w:before="34"/>
              <w:ind w:left="247"/>
              <w:jc w:val="left"/>
              <w:rPr>
                <w:sz w:val="19"/>
              </w:rPr>
            </w:pPr>
            <w:r>
              <w:rPr>
                <w:w w:val="105"/>
                <w:sz w:val="19"/>
              </w:rPr>
              <w:t>14 468</w:t>
            </w:r>
          </w:p>
          <w:p>
            <w:pPr>
              <w:pStyle w:val="TableParagraph"/>
              <w:spacing w:before="7"/>
              <w:jc w:val="left"/>
              <w:rPr>
                <w:sz w:val="20"/>
              </w:rPr>
            </w:pPr>
          </w:p>
          <w:p>
            <w:pPr>
              <w:pStyle w:val="TableParagraph"/>
              <w:ind w:left="548"/>
              <w:jc w:val="left"/>
              <w:rPr>
                <w:sz w:val="19"/>
              </w:rPr>
            </w:pPr>
            <w:r>
              <w:rPr>
                <w:w w:val="105"/>
                <w:sz w:val="19"/>
              </w:rPr>
              <w:t>1.7</w:t>
            </w:r>
          </w:p>
        </w:tc>
        <w:tc>
          <w:tcPr>
            <w:tcW w:w="958" w:type="dxa"/>
          </w:tcPr>
          <w:p>
            <w:pPr>
              <w:pStyle w:val="TableParagraph"/>
              <w:spacing w:before="34"/>
              <w:ind w:left="255"/>
              <w:jc w:val="left"/>
              <w:rPr>
                <w:sz w:val="19"/>
              </w:rPr>
            </w:pPr>
            <w:r>
              <w:rPr>
                <w:w w:val="105"/>
                <w:sz w:val="19"/>
              </w:rPr>
              <w:t>13 490</w:t>
            </w:r>
          </w:p>
          <w:p>
            <w:pPr>
              <w:pStyle w:val="TableParagraph"/>
              <w:spacing w:before="7"/>
              <w:jc w:val="left"/>
              <w:rPr>
                <w:sz w:val="20"/>
              </w:rPr>
            </w:pPr>
          </w:p>
          <w:p>
            <w:pPr>
              <w:pStyle w:val="TableParagraph"/>
              <w:ind w:left="556"/>
              <w:jc w:val="left"/>
              <w:rPr>
                <w:sz w:val="19"/>
              </w:rPr>
            </w:pPr>
            <w:r>
              <w:rPr>
                <w:w w:val="105"/>
                <w:sz w:val="19"/>
              </w:rPr>
              <w:t>1.6</w:t>
            </w:r>
          </w:p>
        </w:tc>
        <w:tc>
          <w:tcPr>
            <w:tcW w:w="869" w:type="dxa"/>
          </w:tcPr>
          <w:p>
            <w:pPr>
              <w:pStyle w:val="TableParagraph"/>
              <w:spacing w:before="34"/>
              <w:ind w:left="250"/>
              <w:jc w:val="left"/>
              <w:rPr>
                <w:sz w:val="19"/>
              </w:rPr>
            </w:pPr>
            <w:r>
              <w:rPr>
                <w:w w:val="105"/>
                <w:sz w:val="19"/>
              </w:rPr>
              <w:t>14 414</w:t>
            </w:r>
          </w:p>
          <w:p>
            <w:pPr>
              <w:pStyle w:val="TableParagraph"/>
              <w:spacing w:before="7"/>
              <w:jc w:val="left"/>
              <w:rPr>
                <w:sz w:val="20"/>
              </w:rPr>
            </w:pPr>
          </w:p>
          <w:p>
            <w:pPr>
              <w:pStyle w:val="TableParagraph"/>
              <w:ind w:left="551"/>
              <w:jc w:val="left"/>
              <w:rPr>
                <w:sz w:val="19"/>
              </w:rPr>
            </w:pPr>
            <w:r>
              <w:rPr>
                <w:w w:val="105"/>
                <w:sz w:val="19"/>
              </w:rPr>
              <w:t>1.7</w:t>
            </w:r>
          </w:p>
        </w:tc>
      </w:tr>
      <w:tr>
        <w:trPr>
          <w:trHeight w:val="266" w:hRule="exact"/>
        </w:trPr>
        <w:tc>
          <w:tcPr>
            <w:tcW w:w="2763" w:type="dxa"/>
          </w:tcPr>
          <w:p>
            <w:pPr>
              <w:pStyle w:val="TableParagraph"/>
              <w:spacing w:line="216" w:lineRule="exact"/>
              <w:ind w:left="72"/>
              <w:jc w:val="left"/>
              <w:rPr>
                <w:sz w:val="19"/>
              </w:rPr>
            </w:pPr>
            <w:r>
              <w:rPr>
                <w:w w:val="105"/>
                <w:sz w:val="19"/>
              </w:rPr>
              <w:t>impuestos ( por ciento)</w:t>
            </w:r>
          </w:p>
        </w:tc>
        <w:tc>
          <w:tcPr>
            <w:tcW w:w="884" w:type="dxa"/>
          </w:tcPr>
          <w:p>
            <w:pPr/>
          </w:p>
        </w:tc>
        <w:tc>
          <w:tcPr>
            <w:tcW w:w="821" w:type="dxa"/>
          </w:tcPr>
          <w:p>
            <w:pPr/>
          </w:p>
        </w:tc>
        <w:tc>
          <w:tcPr>
            <w:tcW w:w="868" w:type="dxa"/>
          </w:tcPr>
          <w:p>
            <w:pPr/>
          </w:p>
        </w:tc>
        <w:tc>
          <w:tcPr>
            <w:tcW w:w="954" w:type="dxa"/>
          </w:tcPr>
          <w:p>
            <w:pPr/>
          </w:p>
        </w:tc>
        <w:tc>
          <w:tcPr>
            <w:tcW w:w="958" w:type="dxa"/>
          </w:tcPr>
          <w:p>
            <w:pPr/>
          </w:p>
        </w:tc>
        <w:tc>
          <w:tcPr>
            <w:tcW w:w="869" w:type="dxa"/>
          </w:tcPr>
          <w:p>
            <w:pPr/>
          </w:p>
        </w:tc>
      </w:tr>
      <w:tr>
        <w:trPr>
          <w:trHeight w:val="300" w:hRule="exact"/>
        </w:trPr>
        <w:tc>
          <w:tcPr>
            <w:tcW w:w="2763" w:type="dxa"/>
          </w:tcPr>
          <w:p>
            <w:pPr>
              <w:pStyle w:val="TableParagraph"/>
              <w:spacing w:before="33"/>
              <w:ind w:left="72"/>
              <w:jc w:val="left"/>
              <w:rPr>
                <w:sz w:val="19"/>
              </w:rPr>
            </w:pPr>
            <w:r>
              <w:rPr>
                <w:w w:val="105"/>
                <w:sz w:val="19"/>
              </w:rPr>
              <w:t>Ingreso por tipo de fuente</w:t>
            </w:r>
          </w:p>
        </w:tc>
        <w:tc>
          <w:tcPr>
            <w:tcW w:w="884" w:type="dxa"/>
          </w:tcPr>
          <w:p>
            <w:pPr>
              <w:pStyle w:val="TableParagraph"/>
              <w:spacing w:before="33"/>
              <w:ind w:right="98"/>
              <w:rPr>
                <w:sz w:val="19"/>
              </w:rPr>
            </w:pPr>
            <w:r>
              <w:rPr>
                <w:sz w:val="19"/>
              </w:rPr>
              <w:t>108</w:t>
            </w:r>
          </w:p>
        </w:tc>
        <w:tc>
          <w:tcPr>
            <w:tcW w:w="821" w:type="dxa"/>
          </w:tcPr>
          <w:p>
            <w:pPr>
              <w:pStyle w:val="TableParagraph"/>
              <w:spacing w:before="33"/>
              <w:ind w:right="68"/>
              <w:rPr>
                <w:sz w:val="19"/>
              </w:rPr>
            </w:pPr>
            <w:r>
              <w:rPr>
                <w:sz w:val="19"/>
              </w:rPr>
              <w:t>94</w:t>
            </w:r>
          </w:p>
        </w:tc>
        <w:tc>
          <w:tcPr>
            <w:tcW w:w="868" w:type="dxa"/>
          </w:tcPr>
          <w:p>
            <w:pPr>
              <w:pStyle w:val="TableParagraph"/>
              <w:spacing w:before="33"/>
              <w:ind w:right="145"/>
              <w:rPr>
                <w:sz w:val="19"/>
              </w:rPr>
            </w:pPr>
            <w:r>
              <w:rPr>
                <w:sz w:val="19"/>
              </w:rPr>
              <w:t>164</w:t>
            </w:r>
          </w:p>
        </w:tc>
        <w:tc>
          <w:tcPr>
            <w:tcW w:w="954" w:type="dxa"/>
          </w:tcPr>
          <w:p>
            <w:pPr>
              <w:pStyle w:val="TableParagraph"/>
              <w:spacing w:before="33"/>
              <w:ind w:right="154"/>
              <w:rPr>
                <w:sz w:val="19"/>
              </w:rPr>
            </w:pPr>
            <w:r>
              <w:rPr>
                <w:sz w:val="19"/>
              </w:rPr>
              <w:t>159</w:t>
            </w:r>
          </w:p>
        </w:tc>
        <w:tc>
          <w:tcPr>
            <w:tcW w:w="958" w:type="dxa"/>
          </w:tcPr>
          <w:p>
            <w:pPr>
              <w:pStyle w:val="TableParagraph"/>
              <w:spacing w:before="33"/>
              <w:ind w:right="149"/>
              <w:rPr>
                <w:sz w:val="19"/>
              </w:rPr>
            </w:pPr>
            <w:r>
              <w:rPr>
                <w:sz w:val="19"/>
              </w:rPr>
              <w:t>291</w:t>
            </w:r>
          </w:p>
        </w:tc>
        <w:tc>
          <w:tcPr>
            <w:tcW w:w="869" w:type="dxa"/>
          </w:tcPr>
          <w:p>
            <w:pPr>
              <w:pStyle w:val="TableParagraph"/>
              <w:spacing w:before="33"/>
              <w:ind w:right="65"/>
              <w:rPr>
                <w:sz w:val="19"/>
              </w:rPr>
            </w:pPr>
            <w:r>
              <w:rPr>
                <w:sz w:val="19"/>
              </w:rPr>
              <w:t>297</w:t>
            </w:r>
          </w:p>
        </w:tc>
      </w:tr>
      <w:tr>
        <w:trPr>
          <w:trHeight w:val="300" w:hRule="exact"/>
        </w:trPr>
        <w:tc>
          <w:tcPr>
            <w:tcW w:w="2763" w:type="dxa"/>
          </w:tcPr>
          <w:p>
            <w:pPr>
              <w:pStyle w:val="TableParagraph"/>
              <w:spacing w:before="31"/>
              <w:ind w:left="72"/>
              <w:jc w:val="left"/>
              <w:rPr>
                <w:sz w:val="19"/>
              </w:rPr>
            </w:pPr>
            <w:r>
              <w:rPr>
                <w:w w:val="105"/>
                <w:sz w:val="19"/>
              </w:rPr>
              <w:t>Ingreso por asistencia infantil</w:t>
            </w:r>
          </w:p>
        </w:tc>
        <w:tc>
          <w:tcPr>
            <w:tcW w:w="884" w:type="dxa"/>
          </w:tcPr>
          <w:p>
            <w:pPr>
              <w:pStyle w:val="TableParagraph"/>
              <w:spacing w:before="31"/>
              <w:ind w:right="100"/>
              <w:rPr>
                <w:sz w:val="19"/>
              </w:rPr>
            </w:pPr>
            <w:r>
              <w:rPr>
                <w:w w:val="103"/>
                <w:sz w:val="19"/>
              </w:rPr>
              <w:t>6</w:t>
            </w:r>
          </w:p>
        </w:tc>
        <w:tc>
          <w:tcPr>
            <w:tcW w:w="821" w:type="dxa"/>
          </w:tcPr>
          <w:p>
            <w:pPr>
              <w:pStyle w:val="TableParagraph"/>
              <w:spacing w:before="31"/>
              <w:ind w:right="68"/>
              <w:rPr>
                <w:sz w:val="19"/>
              </w:rPr>
            </w:pPr>
            <w:r>
              <w:rPr>
                <w:sz w:val="19"/>
              </w:rPr>
              <w:t>15</w:t>
            </w:r>
          </w:p>
        </w:tc>
        <w:tc>
          <w:tcPr>
            <w:tcW w:w="868" w:type="dxa"/>
          </w:tcPr>
          <w:p>
            <w:pPr>
              <w:pStyle w:val="TableParagraph"/>
              <w:spacing w:before="31"/>
              <w:ind w:right="145"/>
              <w:rPr>
                <w:sz w:val="19"/>
              </w:rPr>
            </w:pPr>
            <w:r>
              <w:rPr>
                <w:sz w:val="19"/>
              </w:rPr>
              <w:t>31</w:t>
            </w:r>
          </w:p>
        </w:tc>
        <w:tc>
          <w:tcPr>
            <w:tcW w:w="954" w:type="dxa"/>
          </w:tcPr>
          <w:p>
            <w:pPr>
              <w:pStyle w:val="TableParagraph"/>
              <w:spacing w:before="31"/>
              <w:ind w:right="154"/>
              <w:rPr>
                <w:sz w:val="19"/>
              </w:rPr>
            </w:pPr>
            <w:r>
              <w:rPr>
                <w:sz w:val="19"/>
              </w:rPr>
              <w:t>34</w:t>
            </w:r>
          </w:p>
        </w:tc>
        <w:tc>
          <w:tcPr>
            <w:tcW w:w="958" w:type="dxa"/>
          </w:tcPr>
          <w:p>
            <w:pPr>
              <w:pStyle w:val="TableParagraph"/>
              <w:spacing w:before="31"/>
              <w:ind w:right="149"/>
              <w:rPr>
                <w:sz w:val="19"/>
              </w:rPr>
            </w:pPr>
            <w:r>
              <w:rPr>
                <w:sz w:val="19"/>
              </w:rPr>
              <w:t>47</w:t>
            </w:r>
          </w:p>
        </w:tc>
        <w:tc>
          <w:tcPr>
            <w:tcW w:w="869" w:type="dxa"/>
          </w:tcPr>
          <w:p>
            <w:pPr>
              <w:pStyle w:val="TableParagraph"/>
              <w:spacing w:before="31"/>
              <w:ind w:right="65"/>
              <w:rPr>
                <w:sz w:val="19"/>
              </w:rPr>
            </w:pPr>
            <w:r>
              <w:rPr>
                <w:sz w:val="19"/>
              </w:rPr>
              <w:t>43</w:t>
            </w:r>
          </w:p>
        </w:tc>
      </w:tr>
      <w:tr>
        <w:trPr>
          <w:trHeight w:val="300" w:hRule="exact"/>
        </w:trPr>
        <w:tc>
          <w:tcPr>
            <w:tcW w:w="2763" w:type="dxa"/>
          </w:tcPr>
          <w:p>
            <w:pPr>
              <w:pStyle w:val="TableParagraph"/>
              <w:spacing w:before="33"/>
              <w:ind w:left="72"/>
              <w:jc w:val="left"/>
              <w:rPr>
                <w:sz w:val="19"/>
              </w:rPr>
            </w:pPr>
            <w:r>
              <w:rPr>
                <w:w w:val="105"/>
                <w:sz w:val="19"/>
              </w:rPr>
              <w:t>Ingreso por asistencia educativa</w:t>
            </w:r>
          </w:p>
        </w:tc>
        <w:tc>
          <w:tcPr>
            <w:tcW w:w="884" w:type="dxa"/>
          </w:tcPr>
          <w:p>
            <w:pPr>
              <w:pStyle w:val="TableParagraph"/>
              <w:spacing w:before="33"/>
              <w:ind w:right="100"/>
              <w:rPr>
                <w:sz w:val="19"/>
              </w:rPr>
            </w:pPr>
            <w:r>
              <w:rPr>
                <w:w w:val="103"/>
                <w:sz w:val="19"/>
              </w:rPr>
              <w:t>8</w:t>
            </w:r>
          </w:p>
        </w:tc>
        <w:tc>
          <w:tcPr>
            <w:tcW w:w="821" w:type="dxa"/>
          </w:tcPr>
          <w:p>
            <w:pPr>
              <w:pStyle w:val="TableParagraph"/>
              <w:spacing w:before="33"/>
              <w:ind w:right="69"/>
              <w:rPr>
                <w:sz w:val="19"/>
              </w:rPr>
            </w:pPr>
            <w:r>
              <w:rPr>
                <w:w w:val="103"/>
                <w:sz w:val="19"/>
              </w:rPr>
              <w:t>6</w:t>
            </w:r>
          </w:p>
        </w:tc>
        <w:tc>
          <w:tcPr>
            <w:tcW w:w="868" w:type="dxa"/>
          </w:tcPr>
          <w:p>
            <w:pPr>
              <w:pStyle w:val="TableParagraph"/>
              <w:spacing w:before="33"/>
              <w:ind w:right="145"/>
              <w:rPr>
                <w:sz w:val="19"/>
              </w:rPr>
            </w:pPr>
            <w:r>
              <w:rPr>
                <w:sz w:val="19"/>
              </w:rPr>
              <w:t>28</w:t>
            </w:r>
          </w:p>
        </w:tc>
        <w:tc>
          <w:tcPr>
            <w:tcW w:w="954" w:type="dxa"/>
          </w:tcPr>
          <w:p>
            <w:pPr>
              <w:pStyle w:val="TableParagraph"/>
              <w:spacing w:before="33"/>
              <w:ind w:right="154"/>
              <w:rPr>
                <w:sz w:val="19"/>
              </w:rPr>
            </w:pPr>
            <w:r>
              <w:rPr>
                <w:sz w:val="19"/>
              </w:rPr>
              <w:t>24</w:t>
            </w:r>
          </w:p>
        </w:tc>
        <w:tc>
          <w:tcPr>
            <w:tcW w:w="958" w:type="dxa"/>
          </w:tcPr>
          <w:p>
            <w:pPr>
              <w:pStyle w:val="TableParagraph"/>
              <w:spacing w:before="33"/>
              <w:ind w:right="149"/>
              <w:rPr>
                <w:sz w:val="19"/>
              </w:rPr>
            </w:pPr>
            <w:r>
              <w:rPr>
                <w:sz w:val="19"/>
              </w:rPr>
              <w:t>29</w:t>
            </w:r>
          </w:p>
        </w:tc>
        <w:tc>
          <w:tcPr>
            <w:tcW w:w="869" w:type="dxa"/>
          </w:tcPr>
          <w:p>
            <w:pPr>
              <w:pStyle w:val="TableParagraph"/>
              <w:spacing w:before="33"/>
              <w:ind w:right="65"/>
              <w:rPr>
                <w:sz w:val="19"/>
              </w:rPr>
            </w:pPr>
            <w:r>
              <w:rPr>
                <w:sz w:val="19"/>
              </w:rPr>
              <w:t>23</w:t>
            </w:r>
          </w:p>
        </w:tc>
      </w:tr>
      <w:tr>
        <w:trPr>
          <w:trHeight w:val="300" w:hRule="exact"/>
        </w:trPr>
        <w:tc>
          <w:tcPr>
            <w:tcW w:w="2763" w:type="dxa"/>
          </w:tcPr>
          <w:p>
            <w:pPr>
              <w:pStyle w:val="TableParagraph"/>
              <w:spacing w:before="31"/>
              <w:ind w:left="72"/>
              <w:jc w:val="left"/>
              <w:rPr>
                <w:sz w:val="19"/>
              </w:rPr>
            </w:pPr>
            <w:r>
              <w:rPr>
                <w:w w:val="105"/>
                <w:sz w:val="19"/>
              </w:rPr>
              <w:t>Asistencia pública</w:t>
            </w:r>
          </w:p>
        </w:tc>
        <w:tc>
          <w:tcPr>
            <w:tcW w:w="884" w:type="dxa"/>
          </w:tcPr>
          <w:p>
            <w:pPr>
              <w:pStyle w:val="TableParagraph"/>
              <w:spacing w:before="31"/>
              <w:ind w:right="98"/>
              <w:rPr>
                <w:sz w:val="19"/>
              </w:rPr>
            </w:pPr>
            <w:r>
              <w:rPr>
                <w:sz w:val="19"/>
              </w:rPr>
              <w:t>14</w:t>
            </w:r>
          </w:p>
        </w:tc>
        <w:tc>
          <w:tcPr>
            <w:tcW w:w="821" w:type="dxa"/>
          </w:tcPr>
          <w:p>
            <w:pPr>
              <w:pStyle w:val="TableParagraph"/>
              <w:spacing w:before="31"/>
              <w:ind w:right="69"/>
              <w:rPr>
                <w:sz w:val="19"/>
              </w:rPr>
            </w:pPr>
            <w:r>
              <w:rPr>
                <w:w w:val="103"/>
                <w:sz w:val="19"/>
              </w:rPr>
              <w:t>7</w:t>
            </w:r>
          </w:p>
        </w:tc>
        <w:tc>
          <w:tcPr>
            <w:tcW w:w="868" w:type="dxa"/>
          </w:tcPr>
          <w:p>
            <w:pPr>
              <w:pStyle w:val="TableParagraph"/>
              <w:spacing w:before="31"/>
              <w:ind w:right="147"/>
              <w:rPr>
                <w:sz w:val="19"/>
              </w:rPr>
            </w:pPr>
            <w:r>
              <w:rPr>
                <w:w w:val="103"/>
                <w:sz w:val="19"/>
              </w:rPr>
              <w:t>9</w:t>
            </w:r>
          </w:p>
        </w:tc>
        <w:tc>
          <w:tcPr>
            <w:tcW w:w="954" w:type="dxa"/>
          </w:tcPr>
          <w:p>
            <w:pPr>
              <w:pStyle w:val="TableParagraph"/>
              <w:spacing w:before="31"/>
              <w:ind w:right="154"/>
              <w:rPr>
                <w:sz w:val="19"/>
              </w:rPr>
            </w:pPr>
            <w:r>
              <w:rPr>
                <w:sz w:val="19"/>
              </w:rPr>
              <w:t>14</w:t>
            </w:r>
          </w:p>
        </w:tc>
        <w:tc>
          <w:tcPr>
            <w:tcW w:w="958" w:type="dxa"/>
          </w:tcPr>
          <w:p>
            <w:pPr>
              <w:pStyle w:val="TableParagraph"/>
              <w:spacing w:before="31"/>
              <w:ind w:right="150"/>
              <w:rPr>
                <w:sz w:val="19"/>
              </w:rPr>
            </w:pPr>
            <w:r>
              <w:rPr>
                <w:w w:val="103"/>
                <w:sz w:val="19"/>
              </w:rPr>
              <w:t>6</w:t>
            </w:r>
          </w:p>
        </w:tc>
        <w:tc>
          <w:tcPr>
            <w:tcW w:w="869" w:type="dxa"/>
          </w:tcPr>
          <w:p>
            <w:pPr>
              <w:pStyle w:val="TableParagraph"/>
              <w:spacing w:before="31"/>
              <w:ind w:right="65"/>
              <w:rPr>
                <w:sz w:val="19"/>
              </w:rPr>
            </w:pPr>
            <w:r>
              <w:rPr>
                <w:sz w:val="19"/>
              </w:rPr>
              <w:t>19</w:t>
            </w:r>
          </w:p>
        </w:tc>
      </w:tr>
      <w:tr>
        <w:trPr>
          <w:trHeight w:val="300" w:hRule="exact"/>
        </w:trPr>
        <w:tc>
          <w:tcPr>
            <w:tcW w:w="2763" w:type="dxa"/>
          </w:tcPr>
          <w:p>
            <w:pPr>
              <w:pStyle w:val="TableParagraph"/>
              <w:spacing w:before="33"/>
              <w:ind w:left="72"/>
              <w:jc w:val="left"/>
              <w:rPr>
                <w:sz w:val="19"/>
              </w:rPr>
            </w:pPr>
            <w:r>
              <w:rPr>
                <w:w w:val="105"/>
                <w:sz w:val="19"/>
              </w:rPr>
              <w:t>Seguridad social</w:t>
            </w:r>
          </w:p>
        </w:tc>
        <w:tc>
          <w:tcPr>
            <w:tcW w:w="884" w:type="dxa"/>
          </w:tcPr>
          <w:p>
            <w:pPr>
              <w:pStyle w:val="TableParagraph"/>
              <w:spacing w:before="33"/>
              <w:ind w:right="98"/>
              <w:rPr>
                <w:sz w:val="19"/>
              </w:rPr>
            </w:pPr>
            <w:r>
              <w:rPr>
                <w:sz w:val="19"/>
              </w:rPr>
              <w:t>32</w:t>
            </w:r>
          </w:p>
        </w:tc>
        <w:tc>
          <w:tcPr>
            <w:tcW w:w="821" w:type="dxa"/>
          </w:tcPr>
          <w:p>
            <w:pPr>
              <w:pStyle w:val="TableParagraph"/>
              <w:spacing w:before="33"/>
              <w:ind w:right="68"/>
              <w:rPr>
                <w:sz w:val="19"/>
              </w:rPr>
            </w:pPr>
            <w:r>
              <w:rPr>
                <w:sz w:val="19"/>
              </w:rPr>
              <w:t>30</w:t>
            </w:r>
          </w:p>
        </w:tc>
        <w:tc>
          <w:tcPr>
            <w:tcW w:w="868" w:type="dxa"/>
          </w:tcPr>
          <w:p>
            <w:pPr>
              <w:pStyle w:val="TableParagraph"/>
              <w:spacing w:before="33"/>
              <w:ind w:right="145"/>
              <w:rPr>
                <w:sz w:val="19"/>
              </w:rPr>
            </w:pPr>
            <w:r>
              <w:rPr>
                <w:sz w:val="19"/>
              </w:rPr>
              <w:t>45</w:t>
            </w:r>
          </w:p>
        </w:tc>
        <w:tc>
          <w:tcPr>
            <w:tcW w:w="954" w:type="dxa"/>
          </w:tcPr>
          <w:p>
            <w:pPr>
              <w:pStyle w:val="TableParagraph"/>
              <w:spacing w:before="33"/>
              <w:ind w:right="154"/>
              <w:rPr>
                <w:sz w:val="19"/>
              </w:rPr>
            </w:pPr>
            <w:r>
              <w:rPr>
                <w:sz w:val="19"/>
              </w:rPr>
              <w:t>42</w:t>
            </w:r>
          </w:p>
        </w:tc>
        <w:tc>
          <w:tcPr>
            <w:tcW w:w="958" w:type="dxa"/>
          </w:tcPr>
          <w:p>
            <w:pPr>
              <w:pStyle w:val="TableParagraph"/>
              <w:spacing w:before="33"/>
              <w:ind w:right="149"/>
              <w:rPr>
                <w:sz w:val="19"/>
              </w:rPr>
            </w:pPr>
            <w:r>
              <w:rPr>
                <w:sz w:val="19"/>
              </w:rPr>
              <w:t>77</w:t>
            </w:r>
          </w:p>
        </w:tc>
        <w:tc>
          <w:tcPr>
            <w:tcW w:w="869" w:type="dxa"/>
          </w:tcPr>
          <w:p>
            <w:pPr>
              <w:pStyle w:val="TableParagraph"/>
              <w:spacing w:before="33"/>
              <w:ind w:right="65"/>
              <w:rPr>
                <w:sz w:val="19"/>
              </w:rPr>
            </w:pPr>
            <w:r>
              <w:rPr>
                <w:sz w:val="19"/>
              </w:rPr>
              <w:t>94</w:t>
            </w:r>
          </w:p>
        </w:tc>
      </w:tr>
      <w:tr>
        <w:trPr>
          <w:trHeight w:val="300" w:hRule="exact"/>
        </w:trPr>
        <w:tc>
          <w:tcPr>
            <w:tcW w:w="2763" w:type="dxa"/>
          </w:tcPr>
          <w:p>
            <w:pPr>
              <w:pStyle w:val="TableParagraph"/>
              <w:spacing w:before="31"/>
              <w:ind w:left="72"/>
              <w:jc w:val="left"/>
              <w:rPr>
                <w:sz w:val="19"/>
              </w:rPr>
            </w:pPr>
            <w:r>
              <w:rPr>
                <w:w w:val="105"/>
                <w:sz w:val="19"/>
              </w:rPr>
              <w:t>Ingreso por desempleo</w:t>
            </w:r>
          </w:p>
        </w:tc>
        <w:tc>
          <w:tcPr>
            <w:tcW w:w="884" w:type="dxa"/>
          </w:tcPr>
          <w:p>
            <w:pPr>
              <w:pStyle w:val="TableParagraph"/>
              <w:spacing w:before="31"/>
              <w:ind w:right="98"/>
              <w:rPr>
                <w:sz w:val="19"/>
              </w:rPr>
            </w:pPr>
            <w:r>
              <w:rPr>
                <w:sz w:val="19"/>
              </w:rPr>
              <w:t>45</w:t>
            </w:r>
          </w:p>
        </w:tc>
        <w:tc>
          <w:tcPr>
            <w:tcW w:w="821" w:type="dxa"/>
          </w:tcPr>
          <w:p>
            <w:pPr>
              <w:pStyle w:val="TableParagraph"/>
              <w:spacing w:before="31"/>
              <w:ind w:right="68"/>
              <w:rPr>
                <w:sz w:val="19"/>
              </w:rPr>
            </w:pPr>
            <w:r>
              <w:rPr>
                <w:sz w:val="19"/>
              </w:rPr>
              <w:t>34</w:t>
            </w:r>
          </w:p>
        </w:tc>
        <w:tc>
          <w:tcPr>
            <w:tcW w:w="868" w:type="dxa"/>
          </w:tcPr>
          <w:p>
            <w:pPr>
              <w:pStyle w:val="TableParagraph"/>
              <w:spacing w:before="31"/>
              <w:ind w:right="145"/>
              <w:rPr>
                <w:sz w:val="19"/>
              </w:rPr>
            </w:pPr>
            <w:r>
              <w:rPr>
                <w:sz w:val="19"/>
              </w:rPr>
              <w:t>48</w:t>
            </w:r>
          </w:p>
        </w:tc>
        <w:tc>
          <w:tcPr>
            <w:tcW w:w="954" w:type="dxa"/>
          </w:tcPr>
          <w:p>
            <w:pPr>
              <w:pStyle w:val="TableParagraph"/>
              <w:spacing w:before="31"/>
              <w:ind w:right="154"/>
              <w:rPr>
                <w:sz w:val="19"/>
              </w:rPr>
            </w:pPr>
            <w:r>
              <w:rPr>
                <w:sz w:val="19"/>
              </w:rPr>
              <w:t>43</w:t>
            </w:r>
          </w:p>
        </w:tc>
        <w:tc>
          <w:tcPr>
            <w:tcW w:w="958" w:type="dxa"/>
          </w:tcPr>
          <w:p>
            <w:pPr>
              <w:pStyle w:val="TableParagraph"/>
              <w:spacing w:before="31"/>
              <w:ind w:right="149"/>
              <w:rPr>
                <w:sz w:val="19"/>
              </w:rPr>
            </w:pPr>
            <w:r>
              <w:rPr>
                <w:sz w:val="19"/>
              </w:rPr>
              <w:t>124</w:t>
            </w:r>
          </w:p>
        </w:tc>
        <w:tc>
          <w:tcPr>
            <w:tcW w:w="869" w:type="dxa"/>
          </w:tcPr>
          <w:p>
            <w:pPr>
              <w:pStyle w:val="TableParagraph"/>
              <w:spacing w:before="31"/>
              <w:ind w:right="65"/>
              <w:rPr>
                <w:sz w:val="19"/>
              </w:rPr>
            </w:pPr>
            <w:r>
              <w:rPr>
                <w:sz w:val="19"/>
              </w:rPr>
              <w:t>112</w:t>
            </w:r>
          </w:p>
        </w:tc>
      </w:tr>
      <w:tr>
        <w:trPr>
          <w:trHeight w:val="300" w:hRule="exact"/>
        </w:trPr>
        <w:tc>
          <w:tcPr>
            <w:tcW w:w="2763" w:type="dxa"/>
          </w:tcPr>
          <w:p>
            <w:pPr>
              <w:pStyle w:val="TableParagraph"/>
              <w:spacing w:before="33"/>
              <w:ind w:left="72"/>
              <w:jc w:val="left"/>
              <w:rPr>
                <w:sz w:val="19"/>
              </w:rPr>
            </w:pPr>
            <w:r>
              <w:rPr>
                <w:w w:val="105"/>
                <w:sz w:val="19"/>
              </w:rPr>
              <w:t>Ingreso veteranos</w:t>
            </w:r>
          </w:p>
        </w:tc>
        <w:tc>
          <w:tcPr>
            <w:tcW w:w="884" w:type="dxa"/>
          </w:tcPr>
          <w:p>
            <w:pPr>
              <w:pStyle w:val="TableParagraph"/>
              <w:spacing w:before="33"/>
              <w:ind w:right="100"/>
              <w:rPr>
                <w:sz w:val="19"/>
              </w:rPr>
            </w:pPr>
            <w:r>
              <w:rPr>
                <w:w w:val="103"/>
                <w:sz w:val="19"/>
              </w:rPr>
              <w:t>3</w:t>
            </w:r>
          </w:p>
        </w:tc>
        <w:tc>
          <w:tcPr>
            <w:tcW w:w="821" w:type="dxa"/>
          </w:tcPr>
          <w:p>
            <w:pPr>
              <w:pStyle w:val="TableParagraph"/>
              <w:spacing w:before="33"/>
              <w:ind w:right="69"/>
              <w:rPr>
                <w:sz w:val="19"/>
              </w:rPr>
            </w:pPr>
            <w:r>
              <w:rPr>
                <w:w w:val="103"/>
                <w:sz w:val="19"/>
              </w:rPr>
              <w:t>2</w:t>
            </w:r>
          </w:p>
        </w:tc>
        <w:tc>
          <w:tcPr>
            <w:tcW w:w="868" w:type="dxa"/>
          </w:tcPr>
          <w:p>
            <w:pPr>
              <w:pStyle w:val="TableParagraph"/>
              <w:spacing w:before="33"/>
              <w:ind w:right="147"/>
              <w:rPr>
                <w:sz w:val="19"/>
              </w:rPr>
            </w:pPr>
            <w:r>
              <w:rPr>
                <w:w w:val="103"/>
                <w:sz w:val="19"/>
              </w:rPr>
              <w:t>1</w:t>
            </w:r>
          </w:p>
        </w:tc>
        <w:tc>
          <w:tcPr>
            <w:tcW w:w="954" w:type="dxa"/>
          </w:tcPr>
          <w:p>
            <w:pPr>
              <w:pStyle w:val="TableParagraph"/>
              <w:spacing w:before="33"/>
              <w:ind w:right="155"/>
              <w:rPr>
                <w:sz w:val="19"/>
              </w:rPr>
            </w:pPr>
            <w:r>
              <w:rPr>
                <w:w w:val="103"/>
                <w:sz w:val="19"/>
              </w:rPr>
              <w:t>0</w:t>
            </w:r>
          </w:p>
        </w:tc>
        <w:tc>
          <w:tcPr>
            <w:tcW w:w="958" w:type="dxa"/>
          </w:tcPr>
          <w:p>
            <w:pPr>
              <w:pStyle w:val="TableParagraph"/>
              <w:spacing w:before="33"/>
              <w:ind w:right="150"/>
              <w:rPr>
                <w:sz w:val="19"/>
              </w:rPr>
            </w:pPr>
            <w:r>
              <w:rPr>
                <w:w w:val="103"/>
                <w:sz w:val="19"/>
              </w:rPr>
              <w:t>8</w:t>
            </w:r>
          </w:p>
        </w:tc>
        <w:tc>
          <w:tcPr>
            <w:tcW w:w="869" w:type="dxa"/>
          </w:tcPr>
          <w:p>
            <w:pPr>
              <w:pStyle w:val="TableParagraph"/>
              <w:spacing w:before="33"/>
              <w:ind w:right="68"/>
              <w:rPr>
                <w:sz w:val="19"/>
              </w:rPr>
            </w:pPr>
            <w:r>
              <w:rPr>
                <w:w w:val="103"/>
                <w:sz w:val="19"/>
              </w:rPr>
              <w:t>6</w:t>
            </w:r>
          </w:p>
        </w:tc>
      </w:tr>
      <w:tr>
        <w:trPr>
          <w:trHeight w:val="300" w:hRule="exact"/>
        </w:trPr>
        <w:tc>
          <w:tcPr>
            <w:tcW w:w="2763" w:type="dxa"/>
          </w:tcPr>
          <w:p>
            <w:pPr>
              <w:pStyle w:val="TableParagraph"/>
              <w:spacing w:before="31"/>
              <w:ind w:left="72"/>
              <w:jc w:val="left"/>
              <w:rPr>
                <w:sz w:val="19"/>
              </w:rPr>
            </w:pPr>
            <w:r>
              <w:rPr>
                <w:w w:val="105"/>
                <w:sz w:val="19"/>
              </w:rPr>
              <w:t>Ingreso discapacidad</w:t>
            </w:r>
          </w:p>
        </w:tc>
        <w:tc>
          <w:tcPr>
            <w:tcW w:w="884" w:type="dxa"/>
          </w:tcPr>
          <w:p>
            <w:pPr>
              <w:pStyle w:val="TableParagraph"/>
              <w:spacing w:before="31"/>
              <w:ind w:right="100"/>
              <w:rPr>
                <w:sz w:val="19"/>
              </w:rPr>
            </w:pPr>
            <w:r>
              <w:rPr>
                <w:w w:val="103"/>
                <w:sz w:val="19"/>
              </w:rPr>
              <w:t>0</w:t>
            </w:r>
          </w:p>
        </w:tc>
        <w:tc>
          <w:tcPr>
            <w:tcW w:w="821" w:type="dxa"/>
          </w:tcPr>
          <w:p>
            <w:pPr>
              <w:pStyle w:val="TableParagraph"/>
              <w:spacing w:before="31"/>
              <w:ind w:right="69"/>
              <w:rPr>
                <w:sz w:val="19"/>
              </w:rPr>
            </w:pPr>
            <w:r>
              <w:rPr>
                <w:w w:val="103"/>
                <w:sz w:val="19"/>
              </w:rPr>
              <w:t>0</w:t>
            </w:r>
          </w:p>
        </w:tc>
        <w:tc>
          <w:tcPr>
            <w:tcW w:w="868" w:type="dxa"/>
          </w:tcPr>
          <w:p>
            <w:pPr>
              <w:pStyle w:val="TableParagraph"/>
              <w:spacing w:before="31"/>
              <w:ind w:right="147"/>
              <w:rPr>
                <w:sz w:val="19"/>
              </w:rPr>
            </w:pPr>
            <w:r>
              <w:rPr>
                <w:w w:val="103"/>
                <w:sz w:val="19"/>
              </w:rPr>
              <w:t>0</w:t>
            </w:r>
          </w:p>
        </w:tc>
        <w:tc>
          <w:tcPr>
            <w:tcW w:w="954" w:type="dxa"/>
          </w:tcPr>
          <w:p>
            <w:pPr>
              <w:pStyle w:val="TableParagraph"/>
              <w:spacing w:before="31"/>
              <w:ind w:right="155"/>
              <w:rPr>
                <w:sz w:val="19"/>
              </w:rPr>
            </w:pPr>
            <w:r>
              <w:rPr>
                <w:w w:val="103"/>
                <w:sz w:val="19"/>
              </w:rPr>
              <w:t>1</w:t>
            </w:r>
          </w:p>
        </w:tc>
        <w:tc>
          <w:tcPr>
            <w:tcW w:w="958" w:type="dxa"/>
          </w:tcPr>
          <w:p>
            <w:pPr>
              <w:pStyle w:val="TableParagraph"/>
              <w:spacing w:before="31"/>
              <w:ind w:right="150"/>
              <w:rPr>
                <w:sz w:val="19"/>
              </w:rPr>
            </w:pPr>
            <w:r>
              <w:rPr>
                <w:w w:val="103"/>
                <w:sz w:val="19"/>
              </w:rPr>
              <w:t>0</w:t>
            </w:r>
          </w:p>
        </w:tc>
        <w:tc>
          <w:tcPr>
            <w:tcW w:w="869" w:type="dxa"/>
          </w:tcPr>
          <w:p>
            <w:pPr>
              <w:pStyle w:val="TableParagraph"/>
              <w:spacing w:before="31"/>
              <w:ind w:right="68"/>
              <w:rPr>
                <w:sz w:val="19"/>
              </w:rPr>
            </w:pPr>
            <w:r>
              <w:rPr>
                <w:w w:val="103"/>
                <w:sz w:val="19"/>
              </w:rPr>
              <w:t>0</w:t>
            </w:r>
          </w:p>
        </w:tc>
      </w:tr>
      <w:tr>
        <w:trPr>
          <w:trHeight w:val="300" w:hRule="exact"/>
        </w:trPr>
        <w:tc>
          <w:tcPr>
            <w:tcW w:w="2763" w:type="dxa"/>
          </w:tcPr>
          <w:p>
            <w:pPr>
              <w:pStyle w:val="TableParagraph"/>
              <w:spacing w:before="33"/>
              <w:ind w:left="72"/>
              <w:jc w:val="left"/>
              <w:rPr>
                <w:sz w:val="19"/>
              </w:rPr>
            </w:pPr>
            <w:r>
              <w:rPr>
                <w:w w:val="105"/>
                <w:sz w:val="19"/>
              </w:rPr>
              <w:t>Total ingreso/pago impuesto</w:t>
            </w:r>
          </w:p>
        </w:tc>
        <w:tc>
          <w:tcPr>
            <w:tcW w:w="884" w:type="dxa"/>
          </w:tcPr>
          <w:p>
            <w:pPr>
              <w:pStyle w:val="TableParagraph"/>
              <w:spacing w:before="33"/>
              <w:ind w:right="100"/>
              <w:rPr>
                <w:sz w:val="19"/>
              </w:rPr>
            </w:pPr>
            <w:r>
              <w:rPr>
                <w:w w:val="103"/>
                <w:sz w:val="19"/>
              </w:rPr>
              <w:t>4</w:t>
            </w:r>
          </w:p>
        </w:tc>
        <w:tc>
          <w:tcPr>
            <w:tcW w:w="821" w:type="dxa"/>
          </w:tcPr>
          <w:p>
            <w:pPr>
              <w:pStyle w:val="TableParagraph"/>
              <w:spacing w:before="33"/>
              <w:ind w:right="69"/>
              <w:rPr>
                <w:sz w:val="19"/>
              </w:rPr>
            </w:pPr>
            <w:r>
              <w:rPr>
                <w:sz w:val="19"/>
              </w:rPr>
              <w:t>1.6</w:t>
            </w:r>
          </w:p>
        </w:tc>
        <w:tc>
          <w:tcPr>
            <w:tcW w:w="868" w:type="dxa"/>
          </w:tcPr>
          <w:p>
            <w:pPr>
              <w:pStyle w:val="TableParagraph"/>
              <w:spacing w:before="33"/>
              <w:ind w:right="146"/>
              <w:rPr>
                <w:sz w:val="19"/>
              </w:rPr>
            </w:pPr>
            <w:r>
              <w:rPr>
                <w:sz w:val="19"/>
              </w:rPr>
              <w:t>1.4</w:t>
            </w:r>
          </w:p>
        </w:tc>
        <w:tc>
          <w:tcPr>
            <w:tcW w:w="954" w:type="dxa"/>
          </w:tcPr>
          <w:p>
            <w:pPr>
              <w:pStyle w:val="TableParagraph"/>
              <w:spacing w:before="33"/>
              <w:ind w:right="155"/>
              <w:rPr>
                <w:sz w:val="19"/>
              </w:rPr>
            </w:pPr>
            <w:r>
              <w:rPr>
                <w:sz w:val="19"/>
              </w:rPr>
              <w:t>1.1</w:t>
            </w:r>
          </w:p>
        </w:tc>
        <w:tc>
          <w:tcPr>
            <w:tcW w:w="958" w:type="dxa"/>
          </w:tcPr>
          <w:p>
            <w:pPr>
              <w:pStyle w:val="TableParagraph"/>
              <w:spacing w:before="33"/>
              <w:ind w:right="150"/>
              <w:rPr>
                <w:sz w:val="19"/>
              </w:rPr>
            </w:pPr>
            <w:r>
              <w:rPr>
                <w:sz w:val="19"/>
              </w:rPr>
              <w:t>2.2</w:t>
            </w:r>
          </w:p>
        </w:tc>
        <w:tc>
          <w:tcPr>
            <w:tcW w:w="869" w:type="dxa"/>
          </w:tcPr>
          <w:p>
            <w:pPr>
              <w:pStyle w:val="TableParagraph"/>
              <w:spacing w:before="33"/>
              <w:ind w:right="66"/>
              <w:rPr>
                <w:sz w:val="19"/>
              </w:rPr>
            </w:pPr>
            <w:r>
              <w:rPr>
                <w:sz w:val="19"/>
              </w:rPr>
              <w:t>2.1</w:t>
            </w:r>
          </w:p>
        </w:tc>
      </w:tr>
      <w:tr>
        <w:trPr>
          <w:trHeight w:val="300" w:hRule="exact"/>
        </w:trPr>
        <w:tc>
          <w:tcPr>
            <w:tcW w:w="2763" w:type="dxa"/>
          </w:tcPr>
          <w:p>
            <w:pPr>
              <w:pStyle w:val="TableParagraph"/>
              <w:spacing w:before="31"/>
              <w:ind w:left="72"/>
              <w:jc w:val="left"/>
              <w:rPr>
                <w:i/>
                <w:sz w:val="19"/>
              </w:rPr>
            </w:pPr>
            <w:r>
              <w:rPr>
                <w:i/>
                <w:w w:val="105"/>
                <w:sz w:val="19"/>
              </w:rPr>
              <w:t>Migrante mexicano</w:t>
            </w:r>
          </w:p>
        </w:tc>
        <w:tc>
          <w:tcPr>
            <w:tcW w:w="884" w:type="dxa"/>
          </w:tcPr>
          <w:p>
            <w:pPr/>
          </w:p>
        </w:tc>
        <w:tc>
          <w:tcPr>
            <w:tcW w:w="821" w:type="dxa"/>
          </w:tcPr>
          <w:p>
            <w:pPr/>
          </w:p>
        </w:tc>
        <w:tc>
          <w:tcPr>
            <w:tcW w:w="868" w:type="dxa"/>
          </w:tcPr>
          <w:p>
            <w:pPr/>
          </w:p>
        </w:tc>
        <w:tc>
          <w:tcPr>
            <w:tcW w:w="954" w:type="dxa"/>
          </w:tcPr>
          <w:p>
            <w:pPr/>
          </w:p>
        </w:tc>
        <w:tc>
          <w:tcPr>
            <w:tcW w:w="958" w:type="dxa"/>
          </w:tcPr>
          <w:p>
            <w:pPr/>
          </w:p>
        </w:tc>
        <w:tc>
          <w:tcPr>
            <w:tcW w:w="869" w:type="dxa"/>
          </w:tcPr>
          <w:p>
            <w:pPr/>
          </w:p>
        </w:tc>
      </w:tr>
      <w:tr>
        <w:trPr>
          <w:trHeight w:val="274" w:hRule="exact"/>
        </w:trPr>
        <w:tc>
          <w:tcPr>
            <w:tcW w:w="2763" w:type="dxa"/>
            <w:tcBorders>
              <w:bottom w:val="double" w:sz="4" w:space="0" w:color="000000"/>
            </w:tcBorders>
          </w:tcPr>
          <w:p>
            <w:pPr>
              <w:pStyle w:val="TableParagraph"/>
              <w:spacing w:before="33"/>
              <w:ind w:left="72"/>
              <w:jc w:val="left"/>
              <w:rPr>
                <w:sz w:val="19"/>
              </w:rPr>
            </w:pPr>
            <w:r>
              <w:rPr>
                <w:w w:val="105"/>
                <w:sz w:val="19"/>
              </w:rPr>
              <w:t>Pago de impuesto</w:t>
            </w:r>
          </w:p>
        </w:tc>
        <w:tc>
          <w:tcPr>
            <w:tcW w:w="884" w:type="dxa"/>
            <w:tcBorders>
              <w:bottom w:val="double" w:sz="4" w:space="0" w:color="000000"/>
            </w:tcBorders>
          </w:tcPr>
          <w:p>
            <w:pPr>
              <w:pStyle w:val="TableParagraph"/>
              <w:spacing w:before="33"/>
              <w:ind w:right="98"/>
              <w:rPr>
                <w:sz w:val="19"/>
              </w:rPr>
            </w:pPr>
            <w:r>
              <w:rPr>
                <w:w w:val="105"/>
                <w:sz w:val="19"/>
              </w:rPr>
              <w:t>27 227</w:t>
            </w:r>
          </w:p>
        </w:tc>
        <w:tc>
          <w:tcPr>
            <w:tcW w:w="821" w:type="dxa"/>
            <w:tcBorders>
              <w:bottom w:val="double" w:sz="4" w:space="0" w:color="000000"/>
            </w:tcBorders>
          </w:tcPr>
          <w:p>
            <w:pPr>
              <w:pStyle w:val="TableParagraph"/>
              <w:spacing w:before="33"/>
              <w:ind w:right="68"/>
              <w:rPr>
                <w:sz w:val="19"/>
              </w:rPr>
            </w:pPr>
            <w:r>
              <w:rPr>
                <w:w w:val="105"/>
                <w:sz w:val="19"/>
              </w:rPr>
              <w:t>49 909</w:t>
            </w:r>
          </w:p>
        </w:tc>
        <w:tc>
          <w:tcPr>
            <w:tcW w:w="868" w:type="dxa"/>
            <w:tcBorders>
              <w:bottom w:val="double" w:sz="4" w:space="0" w:color="000000"/>
            </w:tcBorders>
          </w:tcPr>
          <w:p>
            <w:pPr>
              <w:pStyle w:val="TableParagraph"/>
              <w:spacing w:before="33"/>
              <w:ind w:right="146"/>
              <w:rPr>
                <w:sz w:val="19"/>
              </w:rPr>
            </w:pPr>
            <w:r>
              <w:rPr>
                <w:w w:val="105"/>
                <w:sz w:val="19"/>
              </w:rPr>
              <w:t>76 524</w:t>
            </w:r>
          </w:p>
        </w:tc>
        <w:tc>
          <w:tcPr>
            <w:tcW w:w="954" w:type="dxa"/>
            <w:tcBorders>
              <w:bottom w:val="double" w:sz="4" w:space="0" w:color="000000"/>
            </w:tcBorders>
          </w:tcPr>
          <w:p>
            <w:pPr>
              <w:pStyle w:val="TableParagraph"/>
              <w:spacing w:before="33"/>
              <w:ind w:right="154"/>
              <w:rPr>
                <w:sz w:val="19"/>
              </w:rPr>
            </w:pPr>
            <w:r>
              <w:rPr>
                <w:w w:val="105"/>
                <w:sz w:val="19"/>
              </w:rPr>
              <w:t>95 139</w:t>
            </w:r>
          </w:p>
        </w:tc>
        <w:tc>
          <w:tcPr>
            <w:tcW w:w="958" w:type="dxa"/>
            <w:tcBorders>
              <w:bottom w:val="double" w:sz="4" w:space="0" w:color="000000"/>
            </w:tcBorders>
          </w:tcPr>
          <w:p>
            <w:pPr>
              <w:pStyle w:val="TableParagraph"/>
              <w:spacing w:before="33"/>
              <w:ind w:right="149"/>
              <w:rPr>
                <w:sz w:val="19"/>
              </w:rPr>
            </w:pPr>
            <w:r>
              <w:rPr>
                <w:w w:val="105"/>
                <w:sz w:val="19"/>
              </w:rPr>
              <w:t>92 176</w:t>
            </w:r>
          </w:p>
        </w:tc>
        <w:tc>
          <w:tcPr>
            <w:tcW w:w="869" w:type="dxa"/>
            <w:tcBorders>
              <w:bottom w:val="double" w:sz="4" w:space="0" w:color="000000"/>
            </w:tcBorders>
          </w:tcPr>
          <w:p>
            <w:pPr>
              <w:pStyle w:val="TableParagraph"/>
              <w:spacing w:before="33"/>
              <w:ind w:right="65"/>
              <w:rPr>
                <w:sz w:val="19"/>
              </w:rPr>
            </w:pPr>
            <w:r>
              <w:rPr>
                <w:w w:val="105"/>
                <w:sz w:val="19"/>
              </w:rPr>
              <w:t>93 601</w:t>
            </w:r>
          </w:p>
        </w:tc>
      </w:tr>
      <w:tr>
        <w:trPr>
          <w:trHeight w:val="294" w:hRule="exact"/>
        </w:trPr>
        <w:tc>
          <w:tcPr>
            <w:tcW w:w="2763" w:type="dxa"/>
            <w:tcBorders>
              <w:top w:val="double" w:sz="4" w:space="0" w:color="000000"/>
            </w:tcBorders>
          </w:tcPr>
          <w:p>
            <w:pPr>
              <w:pStyle w:val="TableParagraph"/>
              <w:spacing w:line="183" w:lineRule="exact"/>
              <w:ind w:left="72"/>
              <w:jc w:val="left"/>
              <w:rPr>
                <w:sz w:val="16"/>
              </w:rPr>
            </w:pPr>
            <w:r>
              <w:rPr>
                <w:sz w:val="16"/>
              </w:rPr>
              <w:t>Fuente: Delgado y Olvera, 2012.</w:t>
            </w:r>
          </w:p>
        </w:tc>
        <w:tc>
          <w:tcPr>
            <w:tcW w:w="884" w:type="dxa"/>
            <w:tcBorders>
              <w:top w:val="double" w:sz="4" w:space="0" w:color="000000"/>
            </w:tcBorders>
          </w:tcPr>
          <w:p>
            <w:pPr/>
          </w:p>
        </w:tc>
        <w:tc>
          <w:tcPr>
            <w:tcW w:w="821" w:type="dxa"/>
            <w:tcBorders>
              <w:top w:val="double" w:sz="4" w:space="0" w:color="000000"/>
            </w:tcBorders>
          </w:tcPr>
          <w:p>
            <w:pPr/>
          </w:p>
        </w:tc>
        <w:tc>
          <w:tcPr>
            <w:tcW w:w="868" w:type="dxa"/>
            <w:tcBorders>
              <w:top w:val="double" w:sz="4" w:space="0" w:color="000000"/>
            </w:tcBorders>
          </w:tcPr>
          <w:p>
            <w:pPr/>
          </w:p>
        </w:tc>
        <w:tc>
          <w:tcPr>
            <w:tcW w:w="954" w:type="dxa"/>
            <w:tcBorders>
              <w:top w:val="double" w:sz="4" w:space="0" w:color="000000"/>
            </w:tcBorders>
          </w:tcPr>
          <w:p>
            <w:pPr/>
          </w:p>
        </w:tc>
        <w:tc>
          <w:tcPr>
            <w:tcW w:w="958" w:type="dxa"/>
            <w:tcBorders>
              <w:top w:val="double" w:sz="4" w:space="0" w:color="000000"/>
            </w:tcBorders>
          </w:tcPr>
          <w:p>
            <w:pPr/>
          </w:p>
        </w:tc>
        <w:tc>
          <w:tcPr>
            <w:tcW w:w="869" w:type="dxa"/>
            <w:tcBorders>
              <w:top w:val="double" w:sz="4" w:space="0" w:color="000000"/>
            </w:tcBorders>
          </w:tcPr>
          <w:p>
            <w:pPr/>
          </w:p>
        </w:tc>
      </w:tr>
    </w:tbl>
    <w:p>
      <w:pPr>
        <w:spacing w:after="0"/>
        <w:sectPr>
          <w:footerReference w:type="default" r:id="rId136"/>
          <w:pgSz w:w="13040" w:h="9360" w:orient="landscape"/>
          <w:pgMar w:footer="0" w:header="0" w:top="0" w:bottom="280" w:left="1840" w:right="1840"/>
        </w:sectPr>
      </w:pPr>
    </w:p>
    <w:p>
      <w:pPr>
        <w:pStyle w:val="BodyText"/>
        <w:rPr>
          <w:sz w:val="20"/>
        </w:rPr>
      </w:pPr>
      <w:r>
        <w:rPr/>
        <w:pict>
          <v:shape style="position:absolute;margin-left:595.135681pt;margin-top:340.848389pt;width:11pt;height:57.05pt;mso-position-horizontal-relative:page;mso-position-vertical-relative:page;z-index:4480" type="#_x0000_t202" filled="false" stroked="false">
            <v:textbox inset="0,0,0,0" style="layout-flow:vertical">
              <w:txbxContent>
                <w:p>
                  <w:pPr>
                    <w:spacing w:line="204" w:lineRule="exact" w:before="0"/>
                    <w:ind w:left="20" w:right="-921" w:firstLine="0"/>
                    <w:jc w:val="left"/>
                    <w:rPr>
                      <w:sz w:val="18"/>
                    </w:rPr>
                  </w:pPr>
                  <w:r>
                    <w:rPr>
                      <w:color w:val="231F20"/>
                      <w:sz w:val="18"/>
                    </w:rPr>
                    <w:t>CIEAP/UAEM</w:t>
                  </w:r>
                </w:p>
              </w:txbxContent>
            </v:textbox>
            <w10:wrap type="none"/>
          </v:shape>
        </w:pict>
      </w:r>
      <w:r>
        <w:rPr/>
        <w:pict>
          <v:shape style="position:absolute;margin-left:593.309937pt;margin-top:69.866096pt;width:12pt;height:200.85pt;mso-position-horizontal-relative:page;mso-position-vertical-relative:page;z-index:4504" type="#_x0000_t202" filled="false" stroked="false">
            <v:textbox inset="0,0,0,0" style="layout-flow:vertical">
              <w:txbxContent>
                <w:p>
                  <w:pPr>
                    <w:spacing w:line="208" w:lineRule="exact" w:before="0"/>
                    <w:ind w:left="20" w:right="-673" w:firstLine="0"/>
                    <w:jc w:val="left"/>
                    <w:rPr>
                      <w:rFonts w:ascii="Arial" w:hAnsi="Arial"/>
                      <w:sz w:val="20"/>
                    </w:rPr>
                  </w:pPr>
                  <w:r>
                    <w:rPr>
                      <w:rFonts w:ascii="Arial" w:hAnsi="Arial"/>
                      <w:color w:val="231F20"/>
                      <w:spacing w:val="-1"/>
                      <w:w w:val="78"/>
                      <w:sz w:val="20"/>
                    </w:rPr>
                    <w:t>Hito</w:t>
                  </w:r>
                  <w:r>
                    <w:rPr>
                      <w:rFonts w:ascii="Arial" w:hAnsi="Arial"/>
                      <w:color w:val="231F20"/>
                      <w:w w:val="78"/>
                      <w:sz w:val="20"/>
                    </w:rPr>
                    <w:t>s</w:t>
                  </w:r>
                  <w:r>
                    <w:rPr>
                      <w:rFonts w:ascii="Arial" w:hAnsi="Arial"/>
                      <w:color w:val="231F20"/>
                      <w:spacing w:val="-1"/>
                      <w:sz w:val="20"/>
                    </w:rPr>
                    <w:t> </w:t>
                  </w:r>
                  <w:r>
                    <w:rPr>
                      <w:rFonts w:ascii="Arial" w:hAnsi="Arial"/>
                      <w:color w:val="231F20"/>
                      <w:w w:val="72"/>
                      <w:sz w:val="20"/>
                    </w:rPr>
                    <w:t>Demográficos</w:t>
                  </w:r>
                  <w:r>
                    <w:rPr>
                      <w:rFonts w:ascii="Arial" w:hAnsi="Arial"/>
                      <w:color w:val="231F20"/>
                      <w:spacing w:val="-1"/>
                      <w:sz w:val="20"/>
                    </w:rPr>
                    <w:t> </w:t>
                  </w:r>
                  <w:r>
                    <w:rPr>
                      <w:rFonts w:ascii="Arial" w:hAnsi="Arial"/>
                      <w:color w:val="231F20"/>
                      <w:w w:val="76"/>
                      <w:sz w:val="20"/>
                    </w:rPr>
                    <w:t>del</w:t>
                  </w:r>
                  <w:r>
                    <w:rPr>
                      <w:rFonts w:ascii="Arial" w:hAnsi="Arial"/>
                      <w:color w:val="231F20"/>
                      <w:spacing w:val="-1"/>
                      <w:sz w:val="20"/>
                    </w:rPr>
                    <w:t> </w:t>
                  </w:r>
                  <w:r>
                    <w:rPr>
                      <w:rFonts w:ascii="Arial" w:hAnsi="Arial"/>
                      <w:color w:val="231F20"/>
                      <w:spacing w:val="-1"/>
                      <w:w w:val="77"/>
                      <w:sz w:val="20"/>
                    </w:rPr>
                    <w:t>Sigl</w:t>
                  </w:r>
                  <w:r>
                    <w:rPr>
                      <w:rFonts w:ascii="Arial" w:hAnsi="Arial"/>
                      <w:color w:val="231F20"/>
                      <w:w w:val="77"/>
                      <w:sz w:val="20"/>
                    </w:rPr>
                    <w:t>o</w:t>
                  </w:r>
                  <w:r>
                    <w:rPr>
                      <w:rFonts w:ascii="Arial" w:hAnsi="Arial"/>
                      <w:color w:val="231F20"/>
                      <w:sz w:val="20"/>
                    </w:rPr>
                    <w:t> </w:t>
                  </w:r>
                  <w:r>
                    <w:rPr>
                      <w:rFonts w:ascii="Arial" w:hAnsi="Arial"/>
                      <w:color w:val="231F20"/>
                      <w:w w:val="80"/>
                      <w:sz w:val="20"/>
                    </w:rPr>
                    <w:t>XXI:</w:t>
                  </w:r>
                  <w:r>
                    <w:rPr>
                      <w:rFonts w:ascii="Arial" w:hAnsi="Arial"/>
                      <w:color w:val="231F20"/>
                      <w:spacing w:val="-1"/>
                      <w:sz w:val="20"/>
                    </w:rPr>
                    <w:t> </w:t>
                  </w:r>
                  <w:r>
                    <w:rPr>
                      <w:rFonts w:ascii="Arial" w:hAnsi="Arial"/>
                      <w:color w:val="231F20"/>
                      <w:w w:val="76"/>
                      <w:sz w:val="20"/>
                    </w:rPr>
                    <w:t>Migración</w:t>
                  </w:r>
                  <w:r>
                    <w:rPr>
                      <w:rFonts w:ascii="Arial" w:hAnsi="Arial"/>
                      <w:color w:val="231F20"/>
                      <w:spacing w:val="-1"/>
                      <w:sz w:val="20"/>
                    </w:rPr>
                    <w:t> </w:t>
                  </w:r>
                  <w:r>
                    <w:rPr>
                      <w:rFonts w:ascii="Arial" w:hAnsi="Arial"/>
                      <w:color w:val="231F20"/>
                      <w:w w:val="76"/>
                      <w:sz w:val="20"/>
                    </w:rPr>
                    <w:t>Internacional</w:t>
                  </w:r>
                </w:p>
              </w:txbxContent>
            </v:textbox>
            <w10:wrap type="none"/>
          </v:shape>
        </w:pict>
      </w:r>
      <w:r>
        <w:rPr/>
        <w:pict>
          <v:shape style="position:absolute;margin-left:23.820354pt;margin-top:215.850403pt;width:12pt;height:21.25pt;mso-position-horizontal-relative:page;mso-position-vertical-relative:page;z-index:4528" type="#_x0000_t202" filled="false" stroked="false">
            <v:textbox inset="0,0,0,0" style="layout-flow:vertical">
              <w:txbxContent>
                <w:p>
                  <w:pPr>
                    <w:spacing w:line="214" w:lineRule="exact" w:before="0"/>
                    <w:ind w:left="20" w:right="-182" w:firstLine="0"/>
                    <w:jc w:val="left"/>
                    <w:rPr>
                      <w:rFonts w:ascii="Verdana"/>
                      <w:sz w:val="20"/>
                    </w:rPr>
                  </w:pPr>
                  <w:r>
                    <w:rPr>
                      <w:rFonts w:ascii="Verdana"/>
                      <w:color w:val="231F20"/>
                      <w:spacing w:val="-1"/>
                      <w:w w:val="100"/>
                      <w:sz w:val="20"/>
                    </w:rPr>
                    <w:t>158</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tabs>
          <w:tab w:pos="8794" w:val="left" w:leader="none"/>
        </w:tabs>
        <w:spacing w:before="81" w:after="37"/>
        <w:ind w:left="1777" w:right="0" w:firstLine="0"/>
        <w:jc w:val="left"/>
        <w:rPr>
          <w:sz w:val="19"/>
        </w:rPr>
      </w:pPr>
      <w:r>
        <w:rPr>
          <w:spacing w:val="22"/>
          <w:w w:val="103"/>
          <w:sz w:val="19"/>
          <w:u w:val="single"/>
        </w:rPr>
        <w:t> </w:t>
      </w:r>
      <w:r>
        <w:rPr>
          <w:w w:val="105"/>
          <w:sz w:val="19"/>
          <w:u w:val="single"/>
        </w:rPr>
        <w:t>Cuadro 4. Pago de impuestos sobre el producto al salario</w:t>
      </w:r>
      <w:r>
        <w:rPr>
          <w:spacing w:val="-15"/>
          <w:w w:val="105"/>
          <w:sz w:val="19"/>
          <w:u w:val="single"/>
        </w:rPr>
        <w:t> </w:t>
      </w:r>
      <w:r>
        <w:rPr>
          <w:w w:val="105"/>
          <w:sz w:val="19"/>
          <w:u w:val="single"/>
        </w:rPr>
        <w:t>(continuación)</w:t>
      </w:r>
      <w:r>
        <w:rPr>
          <w:sz w:val="19"/>
          <w:u w:val="single"/>
        </w:rPr>
        <w:tab/>
      </w:r>
    </w:p>
    <w:tbl>
      <w:tblPr>
        <w:tblW w:w="0" w:type="auto"/>
        <w:jc w:val="left"/>
        <w:tblInd w:w="177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92"/>
        <w:gridCol w:w="741"/>
        <w:gridCol w:w="659"/>
        <w:gridCol w:w="710"/>
        <w:gridCol w:w="710"/>
        <w:gridCol w:w="708"/>
        <w:gridCol w:w="696"/>
      </w:tblGrid>
      <w:tr>
        <w:trPr>
          <w:trHeight w:val="291" w:hRule="exact"/>
        </w:trPr>
        <w:tc>
          <w:tcPr>
            <w:tcW w:w="2792" w:type="dxa"/>
            <w:tcBorders>
              <w:bottom w:val="double" w:sz="4" w:space="0" w:color="000000"/>
            </w:tcBorders>
          </w:tcPr>
          <w:p>
            <w:pPr/>
          </w:p>
        </w:tc>
        <w:tc>
          <w:tcPr>
            <w:tcW w:w="741" w:type="dxa"/>
            <w:tcBorders>
              <w:bottom w:val="double" w:sz="4" w:space="0" w:color="000000"/>
            </w:tcBorders>
          </w:tcPr>
          <w:p>
            <w:pPr>
              <w:pStyle w:val="TableParagraph"/>
              <w:spacing w:before="51"/>
              <w:ind w:right="128"/>
              <w:rPr>
                <w:sz w:val="19"/>
              </w:rPr>
            </w:pPr>
            <w:r>
              <w:rPr>
                <w:sz w:val="19"/>
              </w:rPr>
              <w:t>1994</w:t>
            </w:r>
          </w:p>
        </w:tc>
        <w:tc>
          <w:tcPr>
            <w:tcW w:w="659" w:type="dxa"/>
            <w:tcBorders>
              <w:bottom w:val="double" w:sz="4" w:space="0" w:color="000000"/>
            </w:tcBorders>
          </w:tcPr>
          <w:p>
            <w:pPr>
              <w:pStyle w:val="TableParagraph"/>
              <w:spacing w:before="51"/>
              <w:ind w:right="77"/>
              <w:rPr>
                <w:sz w:val="19"/>
              </w:rPr>
            </w:pPr>
            <w:r>
              <w:rPr>
                <w:sz w:val="19"/>
              </w:rPr>
              <w:t>2000</w:t>
            </w:r>
          </w:p>
        </w:tc>
        <w:tc>
          <w:tcPr>
            <w:tcW w:w="710" w:type="dxa"/>
            <w:tcBorders>
              <w:bottom w:val="double" w:sz="4" w:space="0" w:color="000000"/>
            </w:tcBorders>
          </w:tcPr>
          <w:p>
            <w:pPr>
              <w:pStyle w:val="TableParagraph"/>
              <w:spacing w:before="51"/>
              <w:ind w:right="79"/>
              <w:rPr>
                <w:sz w:val="19"/>
              </w:rPr>
            </w:pPr>
            <w:r>
              <w:rPr>
                <w:sz w:val="19"/>
              </w:rPr>
              <w:t>2005</w:t>
            </w:r>
          </w:p>
        </w:tc>
        <w:tc>
          <w:tcPr>
            <w:tcW w:w="710" w:type="dxa"/>
            <w:tcBorders>
              <w:bottom w:val="double" w:sz="4" w:space="0" w:color="000000"/>
            </w:tcBorders>
          </w:tcPr>
          <w:p>
            <w:pPr>
              <w:pStyle w:val="TableParagraph"/>
              <w:spacing w:before="51"/>
              <w:ind w:right="77"/>
              <w:rPr>
                <w:sz w:val="19"/>
              </w:rPr>
            </w:pPr>
            <w:r>
              <w:rPr>
                <w:sz w:val="19"/>
              </w:rPr>
              <w:t>2008</w:t>
            </w:r>
          </w:p>
        </w:tc>
        <w:tc>
          <w:tcPr>
            <w:tcW w:w="708" w:type="dxa"/>
            <w:tcBorders>
              <w:bottom w:val="double" w:sz="4" w:space="0" w:color="000000"/>
            </w:tcBorders>
          </w:tcPr>
          <w:p>
            <w:pPr>
              <w:pStyle w:val="TableParagraph"/>
              <w:spacing w:before="51"/>
              <w:ind w:right="76"/>
              <w:rPr>
                <w:sz w:val="19"/>
              </w:rPr>
            </w:pPr>
            <w:r>
              <w:rPr>
                <w:sz w:val="19"/>
              </w:rPr>
              <w:t>2010</w:t>
            </w:r>
          </w:p>
        </w:tc>
        <w:tc>
          <w:tcPr>
            <w:tcW w:w="696" w:type="dxa"/>
            <w:tcBorders>
              <w:bottom w:val="double" w:sz="4" w:space="0" w:color="000000"/>
            </w:tcBorders>
          </w:tcPr>
          <w:p>
            <w:pPr>
              <w:pStyle w:val="TableParagraph"/>
              <w:spacing w:before="51"/>
              <w:ind w:right="65"/>
              <w:rPr>
                <w:sz w:val="19"/>
              </w:rPr>
            </w:pPr>
            <w:r>
              <w:rPr>
                <w:sz w:val="19"/>
              </w:rPr>
              <w:t>2011</w:t>
            </w:r>
          </w:p>
        </w:tc>
      </w:tr>
      <w:tr>
        <w:trPr>
          <w:trHeight w:val="749" w:hRule="exact"/>
        </w:trPr>
        <w:tc>
          <w:tcPr>
            <w:tcW w:w="2792" w:type="dxa"/>
            <w:tcBorders>
              <w:top w:val="double" w:sz="4" w:space="0" w:color="000000"/>
            </w:tcBorders>
          </w:tcPr>
          <w:p>
            <w:pPr>
              <w:pStyle w:val="TableParagraph"/>
              <w:spacing w:line="249" w:lineRule="auto" w:before="9"/>
              <w:ind w:left="71" w:right="357"/>
              <w:jc w:val="left"/>
              <w:rPr>
                <w:sz w:val="19"/>
              </w:rPr>
            </w:pPr>
            <w:r>
              <w:rPr>
                <w:w w:val="105"/>
                <w:sz w:val="19"/>
              </w:rPr>
              <w:t>Representa al subgrupo poblacional respecto del total impuestos ( por ciento)</w:t>
            </w:r>
          </w:p>
        </w:tc>
        <w:tc>
          <w:tcPr>
            <w:tcW w:w="741" w:type="dxa"/>
            <w:tcBorders>
              <w:top w:val="double" w:sz="4" w:space="0" w:color="000000"/>
            </w:tcBorders>
          </w:tcPr>
          <w:p>
            <w:pPr>
              <w:pStyle w:val="TableParagraph"/>
              <w:jc w:val="left"/>
              <w:rPr>
                <w:sz w:val="20"/>
              </w:rPr>
            </w:pPr>
          </w:p>
          <w:p>
            <w:pPr>
              <w:pStyle w:val="TableParagraph"/>
              <w:spacing w:before="5"/>
              <w:jc w:val="left"/>
              <w:rPr>
                <w:sz w:val="20"/>
              </w:rPr>
            </w:pPr>
          </w:p>
          <w:p>
            <w:pPr>
              <w:pStyle w:val="TableParagraph"/>
              <w:spacing w:before="1"/>
              <w:ind w:right="129"/>
              <w:rPr>
                <w:sz w:val="19"/>
              </w:rPr>
            </w:pPr>
            <w:r>
              <w:rPr>
                <w:sz w:val="19"/>
              </w:rPr>
              <w:t>6.6</w:t>
            </w:r>
          </w:p>
        </w:tc>
        <w:tc>
          <w:tcPr>
            <w:tcW w:w="659" w:type="dxa"/>
            <w:tcBorders>
              <w:top w:val="double" w:sz="4" w:space="0" w:color="000000"/>
            </w:tcBorders>
          </w:tcPr>
          <w:p>
            <w:pPr>
              <w:pStyle w:val="TableParagraph"/>
              <w:jc w:val="left"/>
              <w:rPr>
                <w:sz w:val="20"/>
              </w:rPr>
            </w:pPr>
          </w:p>
          <w:p>
            <w:pPr>
              <w:pStyle w:val="TableParagraph"/>
              <w:spacing w:before="5"/>
              <w:jc w:val="left"/>
              <w:rPr>
                <w:sz w:val="20"/>
              </w:rPr>
            </w:pPr>
          </w:p>
          <w:p>
            <w:pPr>
              <w:pStyle w:val="TableParagraph"/>
              <w:spacing w:before="1"/>
              <w:ind w:right="78"/>
              <w:rPr>
                <w:sz w:val="19"/>
              </w:rPr>
            </w:pPr>
            <w:r>
              <w:rPr>
                <w:sz w:val="19"/>
              </w:rPr>
              <w:t>8.2</w:t>
            </w:r>
          </w:p>
        </w:tc>
        <w:tc>
          <w:tcPr>
            <w:tcW w:w="710" w:type="dxa"/>
            <w:tcBorders>
              <w:top w:val="double" w:sz="4" w:space="0" w:color="000000"/>
            </w:tcBorders>
          </w:tcPr>
          <w:p>
            <w:pPr>
              <w:pStyle w:val="TableParagraph"/>
              <w:jc w:val="left"/>
              <w:rPr>
                <w:sz w:val="20"/>
              </w:rPr>
            </w:pPr>
          </w:p>
          <w:p>
            <w:pPr>
              <w:pStyle w:val="TableParagraph"/>
              <w:spacing w:before="5"/>
              <w:jc w:val="left"/>
              <w:rPr>
                <w:sz w:val="20"/>
              </w:rPr>
            </w:pPr>
          </w:p>
          <w:p>
            <w:pPr>
              <w:pStyle w:val="TableParagraph"/>
              <w:spacing w:before="1"/>
              <w:ind w:right="80"/>
              <w:rPr>
                <w:sz w:val="19"/>
              </w:rPr>
            </w:pPr>
            <w:r>
              <w:rPr>
                <w:sz w:val="19"/>
              </w:rPr>
              <w:t>10.1</w:t>
            </w:r>
          </w:p>
        </w:tc>
        <w:tc>
          <w:tcPr>
            <w:tcW w:w="710" w:type="dxa"/>
            <w:tcBorders>
              <w:top w:val="double" w:sz="4" w:space="0" w:color="000000"/>
            </w:tcBorders>
          </w:tcPr>
          <w:p>
            <w:pPr>
              <w:pStyle w:val="TableParagraph"/>
              <w:jc w:val="left"/>
              <w:rPr>
                <w:sz w:val="20"/>
              </w:rPr>
            </w:pPr>
          </w:p>
          <w:p>
            <w:pPr>
              <w:pStyle w:val="TableParagraph"/>
              <w:spacing w:before="5"/>
              <w:jc w:val="left"/>
              <w:rPr>
                <w:sz w:val="20"/>
              </w:rPr>
            </w:pPr>
          </w:p>
          <w:p>
            <w:pPr>
              <w:pStyle w:val="TableParagraph"/>
              <w:spacing w:before="1"/>
              <w:ind w:right="78"/>
              <w:rPr>
                <w:sz w:val="19"/>
              </w:rPr>
            </w:pPr>
            <w:r>
              <w:rPr>
                <w:sz w:val="19"/>
              </w:rPr>
              <w:t>10.9</w:t>
            </w:r>
          </w:p>
        </w:tc>
        <w:tc>
          <w:tcPr>
            <w:tcW w:w="708" w:type="dxa"/>
            <w:tcBorders>
              <w:top w:val="double" w:sz="4" w:space="0" w:color="000000"/>
            </w:tcBorders>
          </w:tcPr>
          <w:p>
            <w:pPr>
              <w:pStyle w:val="TableParagraph"/>
              <w:jc w:val="left"/>
              <w:rPr>
                <w:sz w:val="20"/>
              </w:rPr>
            </w:pPr>
          </w:p>
          <w:p>
            <w:pPr>
              <w:pStyle w:val="TableParagraph"/>
              <w:spacing w:before="5"/>
              <w:jc w:val="left"/>
              <w:rPr>
                <w:sz w:val="20"/>
              </w:rPr>
            </w:pPr>
          </w:p>
          <w:p>
            <w:pPr>
              <w:pStyle w:val="TableParagraph"/>
              <w:spacing w:before="1"/>
              <w:ind w:right="78"/>
              <w:rPr>
                <w:sz w:val="19"/>
              </w:rPr>
            </w:pPr>
            <w:r>
              <w:rPr>
                <w:sz w:val="19"/>
              </w:rPr>
              <w:t>10.7</w:t>
            </w:r>
          </w:p>
        </w:tc>
        <w:tc>
          <w:tcPr>
            <w:tcW w:w="696" w:type="dxa"/>
            <w:tcBorders>
              <w:top w:val="double" w:sz="4" w:space="0" w:color="000000"/>
            </w:tcBorders>
          </w:tcPr>
          <w:p>
            <w:pPr>
              <w:pStyle w:val="TableParagraph"/>
              <w:jc w:val="left"/>
              <w:rPr>
                <w:sz w:val="20"/>
              </w:rPr>
            </w:pPr>
          </w:p>
          <w:p>
            <w:pPr>
              <w:pStyle w:val="TableParagraph"/>
              <w:spacing w:before="5"/>
              <w:jc w:val="left"/>
              <w:rPr>
                <w:sz w:val="20"/>
              </w:rPr>
            </w:pPr>
          </w:p>
          <w:p>
            <w:pPr>
              <w:pStyle w:val="TableParagraph"/>
              <w:spacing w:before="1"/>
              <w:ind w:right="67"/>
              <w:rPr>
                <w:sz w:val="19"/>
              </w:rPr>
            </w:pPr>
            <w:r>
              <w:rPr>
                <w:sz w:val="19"/>
              </w:rPr>
              <w:t>10.8</w:t>
            </w:r>
          </w:p>
        </w:tc>
      </w:tr>
      <w:tr>
        <w:trPr>
          <w:trHeight w:val="300" w:hRule="exact"/>
        </w:trPr>
        <w:tc>
          <w:tcPr>
            <w:tcW w:w="2792" w:type="dxa"/>
          </w:tcPr>
          <w:p>
            <w:pPr>
              <w:pStyle w:val="TableParagraph"/>
              <w:spacing w:before="33"/>
              <w:ind w:left="71" w:right="357"/>
              <w:jc w:val="left"/>
              <w:rPr>
                <w:sz w:val="19"/>
              </w:rPr>
            </w:pPr>
            <w:r>
              <w:rPr>
                <w:w w:val="105"/>
                <w:sz w:val="19"/>
              </w:rPr>
              <w:t>Ingreso por tipo de fuente</w:t>
            </w:r>
          </w:p>
        </w:tc>
        <w:tc>
          <w:tcPr>
            <w:tcW w:w="741" w:type="dxa"/>
          </w:tcPr>
          <w:p>
            <w:pPr>
              <w:pStyle w:val="TableParagraph"/>
              <w:spacing w:before="33"/>
              <w:ind w:right="128"/>
              <w:rPr>
                <w:sz w:val="19"/>
              </w:rPr>
            </w:pPr>
            <w:r>
              <w:rPr>
                <w:sz w:val="19"/>
              </w:rPr>
              <w:t>710</w:t>
            </w:r>
          </w:p>
        </w:tc>
        <w:tc>
          <w:tcPr>
            <w:tcW w:w="659" w:type="dxa"/>
          </w:tcPr>
          <w:p>
            <w:pPr>
              <w:pStyle w:val="TableParagraph"/>
              <w:spacing w:before="33"/>
              <w:ind w:right="77"/>
              <w:rPr>
                <w:sz w:val="19"/>
              </w:rPr>
            </w:pPr>
            <w:r>
              <w:rPr>
                <w:sz w:val="19"/>
              </w:rPr>
              <w:t>900</w:t>
            </w:r>
          </w:p>
        </w:tc>
        <w:tc>
          <w:tcPr>
            <w:tcW w:w="710" w:type="dxa"/>
          </w:tcPr>
          <w:p>
            <w:pPr>
              <w:pStyle w:val="TableParagraph"/>
              <w:spacing w:before="33"/>
              <w:ind w:right="79"/>
              <w:rPr>
                <w:sz w:val="19"/>
              </w:rPr>
            </w:pPr>
            <w:r>
              <w:rPr>
                <w:sz w:val="19"/>
              </w:rPr>
              <w:t>900</w:t>
            </w:r>
          </w:p>
        </w:tc>
        <w:tc>
          <w:tcPr>
            <w:tcW w:w="710" w:type="dxa"/>
          </w:tcPr>
          <w:p>
            <w:pPr>
              <w:pStyle w:val="TableParagraph"/>
              <w:spacing w:before="33"/>
              <w:ind w:right="77"/>
              <w:rPr>
                <w:sz w:val="19"/>
              </w:rPr>
            </w:pPr>
            <w:r>
              <w:rPr>
                <w:w w:val="105"/>
                <w:sz w:val="19"/>
              </w:rPr>
              <w:t>1 008</w:t>
            </w:r>
          </w:p>
        </w:tc>
        <w:tc>
          <w:tcPr>
            <w:tcW w:w="708" w:type="dxa"/>
          </w:tcPr>
          <w:p>
            <w:pPr>
              <w:pStyle w:val="TableParagraph"/>
              <w:spacing w:before="33"/>
              <w:ind w:right="76"/>
              <w:rPr>
                <w:sz w:val="19"/>
              </w:rPr>
            </w:pPr>
            <w:r>
              <w:rPr>
                <w:w w:val="105"/>
                <w:sz w:val="19"/>
              </w:rPr>
              <w:t>1 298</w:t>
            </w:r>
          </w:p>
        </w:tc>
        <w:tc>
          <w:tcPr>
            <w:tcW w:w="696" w:type="dxa"/>
          </w:tcPr>
          <w:p>
            <w:pPr>
              <w:pStyle w:val="TableParagraph"/>
              <w:spacing w:before="33"/>
              <w:ind w:right="65"/>
              <w:rPr>
                <w:sz w:val="19"/>
              </w:rPr>
            </w:pPr>
            <w:r>
              <w:rPr>
                <w:sz w:val="19"/>
              </w:rPr>
              <w:t>1473</w:t>
            </w:r>
          </w:p>
        </w:tc>
      </w:tr>
      <w:tr>
        <w:trPr>
          <w:trHeight w:val="300" w:hRule="exact"/>
        </w:trPr>
        <w:tc>
          <w:tcPr>
            <w:tcW w:w="2792" w:type="dxa"/>
          </w:tcPr>
          <w:p>
            <w:pPr>
              <w:pStyle w:val="TableParagraph"/>
              <w:spacing w:before="31"/>
              <w:ind w:left="71"/>
              <w:jc w:val="left"/>
              <w:rPr>
                <w:sz w:val="19"/>
              </w:rPr>
            </w:pPr>
            <w:r>
              <w:rPr>
                <w:w w:val="105"/>
                <w:sz w:val="19"/>
              </w:rPr>
              <w:t>Ingreso por asistencia infantil</w:t>
            </w:r>
          </w:p>
        </w:tc>
        <w:tc>
          <w:tcPr>
            <w:tcW w:w="741" w:type="dxa"/>
          </w:tcPr>
          <w:p>
            <w:pPr>
              <w:pStyle w:val="TableParagraph"/>
              <w:spacing w:before="31"/>
              <w:ind w:right="128"/>
              <w:rPr>
                <w:sz w:val="19"/>
              </w:rPr>
            </w:pPr>
            <w:r>
              <w:rPr>
                <w:sz w:val="19"/>
              </w:rPr>
              <w:t>108</w:t>
            </w:r>
          </w:p>
        </w:tc>
        <w:tc>
          <w:tcPr>
            <w:tcW w:w="659" w:type="dxa"/>
          </w:tcPr>
          <w:p>
            <w:pPr>
              <w:pStyle w:val="TableParagraph"/>
              <w:spacing w:before="31"/>
              <w:ind w:right="77"/>
              <w:rPr>
                <w:sz w:val="19"/>
              </w:rPr>
            </w:pPr>
            <w:r>
              <w:rPr>
                <w:sz w:val="19"/>
              </w:rPr>
              <w:t>123</w:t>
            </w:r>
          </w:p>
        </w:tc>
        <w:tc>
          <w:tcPr>
            <w:tcW w:w="710" w:type="dxa"/>
          </w:tcPr>
          <w:p>
            <w:pPr>
              <w:pStyle w:val="TableParagraph"/>
              <w:spacing w:before="31"/>
              <w:ind w:right="79"/>
              <w:rPr>
                <w:sz w:val="19"/>
              </w:rPr>
            </w:pPr>
            <w:r>
              <w:rPr>
                <w:sz w:val="19"/>
              </w:rPr>
              <w:t>123</w:t>
            </w:r>
          </w:p>
        </w:tc>
        <w:tc>
          <w:tcPr>
            <w:tcW w:w="710" w:type="dxa"/>
          </w:tcPr>
          <w:p>
            <w:pPr>
              <w:pStyle w:val="TableParagraph"/>
              <w:spacing w:before="31"/>
              <w:ind w:right="77"/>
              <w:rPr>
                <w:sz w:val="19"/>
              </w:rPr>
            </w:pPr>
            <w:r>
              <w:rPr>
                <w:sz w:val="19"/>
              </w:rPr>
              <w:t>143</w:t>
            </w:r>
          </w:p>
        </w:tc>
        <w:tc>
          <w:tcPr>
            <w:tcW w:w="708" w:type="dxa"/>
          </w:tcPr>
          <w:p>
            <w:pPr>
              <w:pStyle w:val="TableParagraph"/>
              <w:spacing w:before="31"/>
              <w:ind w:right="76"/>
              <w:rPr>
                <w:sz w:val="19"/>
              </w:rPr>
            </w:pPr>
            <w:r>
              <w:rPr>
                <w:sz w:val="19"/>
              </w:rPr>
              <w:t>117</w:t>
            </w:r>
          </w:p>
        </w:tc>
        <w:tc>
          <w:tcPr>
            <w:tcW w:w="696" w:type="dxa"/>
          </w:tcPr>
          <w:p>
            <w:pPr>
              <w:pStyle w:val="TableParagraph"/>
              <w:spacing w:before="31"/>
              <w:ind w:right="65"/>
              <w:rPr>
                <w:sz w:val="19"/>
              </w:rPr>
            </w:pPr>
            <w:r>
              <w:rPr>
                <w:sz w:val="19"/>
              </w:rPr>
              <w:t>141</w:t>
            </w:r>
          </w:p>
        </w:tc>
      </w:tr>
      <w:tr>
        <w:trPr>
          <w:trHeight w:val="300" w:hRule="exact"/>
        </w:trPr>
        <w:tc>
          <w:tcPr>
            <w:tcW w:w="2792" w:type="dxa"/>
          </w:tcPr>
          <w:p>
            <w:pPr>
              <w:pStyle w:val="TableParagraph"/>
              <w:spacing w:before="33"/>
              <w:ind w:left="71"/>
              <w:jc w:val="left"/>
              <w:rPr>
                <w:sz w:val="19"/>
              </w:rPr>
            </w:pPr>
            <w:r>
              <w:rPr>
                <w:w w:val="105"/>
                <w:sz w:val="19"/>
              </w:rPr>
              <w:t>Ingreso por asistencia educativa</w:t>
            </w:r>
          </w:p>
        </w:tc>
        <w:tc>
          <w:tcPr>
            <w:tcW w:w="741" w:type="dxa"/>
          </w:tcPr>
          <w:p>
            <w:pPr>
              <w:pStyle w:val="TableParagraph"/>
              <w:spacing w:before="33"/>
              <w:ind w:right="128"/>
              <w:rPr>
                <w:sz w:val="19"/>
              </w:rPr>
            </w:pPr>
            <w:r>
              <w:rPr>
                <w:sz w:val="19"/>
              </w:rPr>
              <w:t>161</w:t>
            </w:r>
          </w:p>
        </w:tc>
        <w:tc>
          <w:tcPr>
            <w:tcW w:w="659" w:type="dxa"/>
          </w:tcPr>
          <w:p>
            <w:pPr>
              <w:pStyle w:val="TableParagraph"/>
              <w:spacing w:before="33"/>
              <w:ind w:right="77"/>
              <w:rPr>
                <w:sz w:val="19"/>
              </w:rPr>
            </w:pPr>
            <w:r>
              <w:rPr>
                <w:sz w:val="19"/>
              </w:rPr>
              <w:t>219</w:t>
            </w:r>
          </w:p>
        </w:tc>
        <w:tc>
          <w:tcPr>
            <w:tcW w:w="710" w:type="dxa"/>
          </w:tcPr>
          <w:p>
            <w:pPr>
              <w:pStyle w:val="TableParagraph"/>
              <w:spacing w:before="33"/>
              <w:ind w:right="79"/>
              <w:rPr>
                <w:sz w:val="19"/>
              </w:rPr>
            </w:pPr>
            <w:r>
              <w:rPr>
                <w:sz w:val="19"/>
              </w:rPr>
              <w:t>219</w:t>
            </w:r>
          </w:p>
        </w:tc>
        <w:tc>
          <w:tcPr>
            <w:tcW w:w="710" w:type="dxa"/>
          </w:tcPr>
          <w:p>
            <w:pPr>
              <w:pStyle w:val="TableParagraph"/>
              <w:spacing w:before="33"/>
              <w:ind w:right="77"/>
              <w:rPr>
                <w:sz w:val="19"/>
              </w:rPr>
            </w:pPr>
            <w:r>
              <w:rPr>
                <w:sz w:val="19"/>
              </w:rPr>
              <w:t>288</w:t>
            </w:r>
          </w:p>
        </w:tc>
        <w:tc>
          <w:tcPr>
            <w:tcW w:w="708" w:type="dxa"/>
          </w:tcPr>
          <w:p>
            <w:pPr>
              <w:pStyle w:val="TableParagraph"/>
              <w:spacing w:before="33"/>
              <w:ind w:right="76"/>
              <w:rPr>
                <w:sz w:val="19"/>
              </w:rPr>
            </w:pPr>
            <w:r>
              <w:rPr>
                <w:sz w:val="19"/>
              </w:rPr>
              <w:t>237</w:t>
            </w:r>
          </w:p>
        </w:tc>
        <w:tc>
          <w:tcPr>
            <w:tcW w:w="696" w:type="dxa"/>
          </w:tcPr>
          <w:p>
            <w:pPr>
              <w:pStyle w:val="TableParagraph"/>
              <w:spacing w:before="33"/>
              <w:ind w:right="65"/>
              <w:rPr>
                <w:sz w:val="19"/>
              </w:rPr>
            </w:pPr>
            <w:r>
              <w:rPr>
                <w:sz w:val="19"/>
              </w:rPr>
              <w:t>273</w:t>
            </w:r>
          </w:p>
        </w:tc>
      </w:tr>
      <w:tr>
        <w:trPr>
          <w:trHeight w:val="300" w:hRule="exact"/>
        </w:trPr>
        <w:tc>
          <w:tcPr>
            <w:tcW w:w="2792" w:type="dxa"/>
          </w:tcPr>
          <w:p>
            <w:pPr>
              <w:pStyle w:val="TableParagraph"/>
              <w:spacing w:before="31"/>
              <w:ind w:left="71" w:right="357"/>
              <w:jc w:val="left"/>
              <w:rPr>
                <w:sz w:val="19"/>
              </w:rPr>
            </w:pPr>
            <w:r>
              <w:rPr>
                <w:w w:val="105"/>
                <w:sz w:val="19"/>
              </w:rPr>
              <w:t>Asistencia pública</w:t>
            </w:r>
          </w:p>
        </w:tc>
        <w:tc>
          <w:tcPr>
            <w:tcW w:w="741" w:type="dxa"/>
          </w:tcPr>
          <w:p>
            <w:pPr>
              <w:pStyle w:val="TableParagraph"/>
              <w:spacing w:before="31"/>
              <w:ind w:right="128"/>
              <w:rPr>
                <w:sz w:val="19"/>
              </w:rPr>
            </w:pPr>
            <w:r>
              <w:rPr>
                <w:sz w:val="19"/>
              </w:rPr>
              <w:t>32</w:t>
            </w:r>
          </w:p>
        </w:tc>
        <w:tc>
          <w:tcPr>
            <w:tcW w:w="659" w:type="dxa"/>
          </w:tcPr>
          <w:p>
            <w:pPr>
              <w:pStyle w:val="TableParagraph"/>
              <w:spacing w:before="31"/>
              <w:ind w:right="77"/>
              <w:rPr>
                <w:sz w:val="19"/>
              </w:rPr>
            </w:pPr>
            <w:r>
              <w:rPr>
                <w:sz w:val="19"/>
              </w:rPr>
              <w:t>17</w:t>
            </w:r>
          </w:p>
        </w:tc>
        <w:tc>
          <w:tcPr>
            <w:tcW w:w="710" w:type="dxa"/>
          </w:tcPr>
          <w:p>
            <w:pPr>
              <w:pStyle w:val="TableParagraph"/>
              <w:spacing w:before="31"/>
              <w:ind w:right="79"/>
              <w:rPr>
                <w:sz w:val="19"/>
              </w:rPr>
            </w:pPr>
            <w:r>
              <w:rPr>
                <w:sz w:val="19"/>
              </w:rPr>
              <w:t>17</w:t>
            </w:r>
          </w:p>
        </w:tc>
        <w:tc>
          <w:tcPr>
            <w:tcW w:w="710" w:type="dxa"/>
          </w:tcPr>
          <w:p>
            <w:pPr>
              <w:pStyle w:val="TableParagraph"/>
              <w:spacing w:before="31"/>
              <w:ind w:right="77"/>
              <w:rPr>
                <w:sz w:val="19"/>
              </w:rPr>
            </w:pPr>
            <w:r>
              <w:rPr>
                <w:sz w:val="19"/>
              </w:rPr>
              <w:t>11</w:t>
            </w:r>
          </w:p>
        </w:tc>
        <w:tc>
          <w:tcPr>
            <w:tcW w:w="708" w:type="dxa"/>
          </w:tcPr>
          <w:p>
            <w:pPr>
              <w:pStyle w:val="TableParagraph"/>
              <w:spacing w:before="31"/>
              <w:ind w:right="76"/>
              <w:rPr>
                <w:sz w:val="19"/>
              </w:rPr>
            </w:pPr>
            <w:r>
              <w:rPr>
                <w:sz w:val="19"/>
              </w:rPr>
              <w:t>12</w:t>
            </w:r>
          </w:p>
        </w:tc>
        <w:tc>
          <w:tcPr>
            <w:tcW w:w="696" w:type="dxa"/>
          </w:tcPr>
          <w:p>
            <w:pPr>
              <w:pStyle w:val="TableParagraph"/>
              <w:spacing w:before="31"/>
              <w:ind w:right="65"/>
              <w:rPr>
                <w:sz w:val="19"/>
              </w:rPr>
            </w:pPr>
            <w:r>
              <w:rPr>
                <w:sz w:val="19"/>
              </w:rPr>
              <w:t>15</w:t>
            </w:r>
          </w:p>
        </w:tc>
      </w:tr>
      <w:tr>
        <w:trPr>
          <w:trHeight w:val="300" w:hRule="exact"/>
        </w:trPr>
        <w:tc>
          <w:tcPr>
            <w:tcW w:w="2792" w:type="dxa"/>
          </w:tcPr>
          <w:p>
            <w:pPr>
              <w:pStyle w:val="TableParagraph"/>
              <w:spacing w:before="33"/>
              <w:ind w:left="71" w:right="357"/>
              <w:jc w:val="left"/>
              <w:rPr>
                <w:sz w:val="19"/>
              </w:rPr>
            </w:pPr>
            <w:r>
              <w:rPr>
                <w:w w:val="105"/>
                <w:sz w:val="19"/>
              </w:rPr>
              <w:t>Seguridad social</w:t>
            </w:r>
          </w:p>
        </w:tc>
        <w:tc>
          <w:tcPr>
            <w:tcW w:w="741" w:type="dxa"/>
          </w:tcPr>
          <w:p>
            <w:pPr>
              <w:pStyle w:val="TableParagraph"/>
              <w:spacing w:before="33"/>
              <w:ind w:right="128"/>
              <w:rPr>
                <w:sz w:val="19"/>
              </w:rPr>
            </w:pPr>
            <w:r>
              <w:rPr>
                <w:sz w:val="19"/>
              </w:rPr>
              <w:t>285</w:t>
            </w:r>
          </w:p>
        </w:tc>
        <w:tc>
          <w:tcPr>
            <w:tcW w:w="659" w:type="dxa"/>
          </w:tcPr>
          <w:p>
            <w:pPr>
              <w:pStyle w:val="TableParagraph"/>
              <w:spacing w:before="33"/>
              <w:ind w:right="77"/>
              <w:rPr>
                <w:sz w:val="19"/>
              </w:rPr>
            </w:pPr>
            <w:r>
              <w:rPr>
                <w:sz w:val="19"/>
              </w:rPr>
              <w:t>374</w:t>
            </w:r>
          </w:p>
        </w:tc>
        <w:tc>
          <w:tcPr>
            <w:tcW w:w="710" w:type="dxa"/>
          </w:tcPr>
          <w:p>
            <w:pPr>
              <w:pStyle w:val="TableParagraph"/>
              <w:spacing w:before="33"/>
              <w:ind w:right="79"/>
              <w:rPr>
                <w:sz w:val="19"/>
              </w:rPr>
            </w:pPr>
            <w:r>
              <w:rPr>
                <w:sz w:val="19"/>
              </w:rPr>
              <w:t>374</w:t>
            </w:r>
          </w:p>
        </w:tc>
        <w:tc>
          <w:tcPr>
            <w:tcW w:w="710" w:type="dxa"/>
          </w:tcPr>
          <w:p>
            <w:pPr>
              <w:pStyle w:val="TableParagraph"/>
              <w:spacing w:before="33"/>
              <w:ind w:right="77"/>
              <w:rPr>
                <w:sz w:val="19"/>
              </w:rPr>
            </w:pPr>
            <w:r>
              <w:rPr>
                <w:sz w:val="19"/>
              </w:rPr>
              <w:t>465</w:t>
            </w:r>
          </w:p>
        </w:tc>
        <w:tc>
          <w:tcPr>
            <w:tcW w:w="708" w:type="dxa"/>
          </w:tcPr>
          <w:p>
            <w:pPr>
              <w:pStyle w:val="TableParagraph"/>
              <w:spacing w:before="33"/>
              <w:ind w:right="76"/>
              <w:rPr>
                <w:sz w:val="19"/>
              </w:rPr>
            </w:pPr>
            <w:r>
              <w:rPr>
                <w:sz w:val="19"/>
              </w:rPr>
              <w:t>597</w:t>
            </w:r>
          </w:p>
        </w:tc>
        <w:tc>
          <w:tcPr>
            <w:tcW w:w="696" w:type="dxa"/>
          </w:tcPr>
          <w:p>
            <w:pPr>
              <w:pStyle w:val="TableParagraph"/>
              <w:spacing w:before="33"/>
              <w:ind w:right="65"/>
              <w:rPr>
                <w:sz w:val="19"/>
              </w:rPr>
            </w:pPr>
            <w:r>
              <w:rPr>
                <w:sz w:val="19"/>
              </w:rPr>
              <w:t>647</w:t>
            </w:r>
          </w:p>
        </w:tc>
      </w:tr>
      <w:tr>
        <w:trPr>
          <w:trHeight w:val="300" w:hRule="exact"/>
        </w:trPr>
        <w:tc>
          <w:tcPr>
            <w:tcW w:w="2792" w:type="dxa"/>
          </w:tcPr>
          <w:p>
            <w:pPr>
              <w:pStyle w:val="TableParagraph"/>
              <w:spacing w:before="31"/>
              <w:ind w:left="71" w:right="357"/>
              <w:jc w:val="left"/>
              <w:rPr>
                <w:sz w:val="19"/>
              </w:rPr>
            </w:pPr>
            <w:r>
              <w:rPr>
                <w:w w:val="105"/>
                <w:sz w:val="19"/>
              </w:rPr>
              <w:t>Ingreso por desempleo</w:t>
            </w:r>
          </w:p>
        </w:tc>
        <w:tc>
          <w:tcPr>
            <w:tcW w:w="741" w:type="dxa"/>
          </w:tcPr>
          <w:p>
            <w:pPr>
              <w:pStyle w:val="TableParagraph"/>
              <w:spacing w:before="31"/>
              <w:ind w:right="128"/>
              <w:rPr>
                <w:sz w:val="19"/>
              </w:rPr>
            </w:pPr>
            <w:r>
              <w:rPr>
                <w:sz w:val="19"/>
              </w:rPr>
              <w:t>78</w:t>
            </w:r>
          </w:p>
        </w:tc>
        <w:tc>
          <w:tcPr>
            <w:tcW w:w="659" w:type="dxa"/>
          </w:tcPr>
          <w:p>
            <w:pPr>
              <w:pStyle w:val="TableParagraph"/>
              <w:spacing w:before="31"/>
              <w:ind w:right="77"/>
              <w:rPr>
                <w:sz w:val="19"/>
              </w:rPr>
            </w:pPr>
            <w:r>
              <w:rPr>
                <w:sz w:val="19"/>
              </w:rPr>
              <w:t>127</w:t>
            </w:r>
          </w:p>
        </w:tc>
        <w:tc>
          <w:tcPr>
            <w:tcW w:w="710" w:type="dxa"/>
          </w:tcPr>
          <w:p>
            <w:pPr>
              <w:pStyle w:val="TableParagraph"/>
              <w:spacing w:before="31"/>
              <w:ind w:right="79"/>
              <w:rPr>
                <w:sz w:val="19"/>
              </w:rPr>
            </w:pPr>
            <w:r>
              <w:rPr>
                <w:sz w:val="19"/>
              </w:rPr>
              <w:t>127</w:t>
            </w:r>
          </w:p>
        </w:tc>
        <w:tc>
          <w:tcPr>
            <w:tcW w:w="710" w:type="dxa"/>
          </w:tcPr>
          <w:p>
            <w:pPr>
              <w:pStyle w:val="TableParagraph"/>
              <w:spacing w:before="31"/>
              <w:ind w:right="77"/>
              <w:rPr>
                <w:sz w:val="19"/>
              </w:rPr>
            </w:pPr>
            <w:r>
              <w:rPr>
                <w:sz w:val="19"/>
              </w:rPr>
              <w:t>69</w:t>
            </w:r>
          </w:p>
        </w:tc>
        <w:tc>
          <w:tcPr>
            <w:tcW w:w="708" w:type="dxa"/>
          </w:tcPr>
          <w:p>
            <w:pPr>
              <w:pStyle w:val="TableParagraph"/>
              <w:spacing w:before="31"/>
              <w:ind w:right="76"/>
              <w:rPr>
                <w:sz w:val="19"/>
              </w:rPr>
            </w:pPr>
            <w:r>
              <w:rPr>
                <w:sz w:val="19"/>
              </w:rPr>
              <w:t>289</w:t>
            </w:r>
          </w:p>
        </w:tc>
        <w:tc>
          <w:tcPr>
            <w:tcW w:w="696" w:type="dxa"/>
          </w:tcPr>
          <w:p>
            <w:pPr>
              <w:pStyle w:val="TableParagraph"/>
              <w:spacing w:before="31"/>
              <w:ind w:right="65"/>
              <w:rPr>
                <w:sz w:val="19"/>
              </w:rPr>
            </w:pPr>
            <w:r>
              <w:rPr>
                <w:sz w:val="19"/>
              </w:rPr>
              <w:t>317</w:t>
            </w:r>
          </w:p>
        </w:tc>
      </w:tr>
      <w:tr>
        <w:trPr>
          <w:trHeight w:val="300" w:hRule="exact"/>
        </w:trPr>
        <w:tc>
          <w:tcPr>
            <w:tcW w:w="2792" w:type="dxa"/>
          </w:tcPr>
          <w:p>
            <w:pPr>
              <w:pStyle w:val="TableParagraph"/>
              <w:spacing w:before="33"/>
              <w:ind w:left="72" w:right="357"/>
              <w:jc w:val="left"/>
              <w:rPr>
                <w:sz w:val="19"/>
              </w:rPr>
            </w:pPr>
            <w:r>
              <w:rPr>
                <w:w w:val="105"/>
                <w:sz w:val="19"/>
              </w:rPr>
              <w:t>Ingreso veteranos</w:t>
            </w:r>
          </w:p>
        </w:tc>
        <w:tc>
          <w:tcPr>
            <w:tcW w:w="741" w:type="dxa"/>
          </w:tcPr>
          <w:p>
            <w:pPr>
              <w:pStyle w:val="TableParagraph"/>
              <w:spacing w:before="33"/>
              <w:ind w:right="128"/>
              <w:rPr>
                <w:sz w:val="19"/>
              </w:rPr>
            </w:pPr>
            <w:r>
              <w:rPr>
                <w:sz w:val="19"/>
              </w:rPr>
              <w:t>42</w:t>
            </w:r>
          </w:p>
        </w:tc>
        <w:tc>
          <w:tcPr>
            <w:tcW w:w="659" w:type="dxa"/>
          </w:tcPr>
          <w:p>
            <w:pPr>
              <w:pStyle w:val="TableParagraph"/>
              <w:spacing w:before="33"/>
              <w:ind w:right="77"/>
              <w:rPr>
                <w:sz w:val="19"/>
              </w:rPr>
            </w:pPr>
            <w:r>
              <w:rPr>
                <w:sz w:val="19"/>
              </w:rPr>
              <w:t>39</w:t>
            </w:r>
          </w:p>
        </w:tc>
        <w:tc>
          <w:tcPr>
            <w:tcW w:w="710" w:type="dxa"/>
          </w:tcPr>
          <w:p>
            <w:pPr>
              <w:pStyle w:val="TableParagraph"/>
              <w:spacing w:before="33"/>
              <w:ind w:right="79"/>
              <w:rPr>
                <w:sz w:val="19"/>
              </w:rPr>
            </w:pPr>
            <w:r>
              <w:rPr>
                <w:sz w:val="19"/>
              </w:rPr>
              <w:t>39</w:t>
            </w:r>
          </w:p>
        </w:tc>
        <w:tc>
          <w:tcPr>
            <w:tcW w:w="710" w:type="dxa"/>
          </w:tcPr>
          <w:p>
            <w:pPr>
              <w:pStyle w:val="TableParagraph"/>
              <w:spacing w:before="33"/>
              <w:ind w:right="77"/>
              <w:rPr>
                <w:sz w:val="19"/>
              </w:rPr>
            </w:pPr>
            <w:r>
              <w:rPr>
                <w:sz w:val="19"/>
              </w:rPr>
              <w:t>32</w:t>
            </w:r>
          </w:p>
        </w:tc>
        <w:tc>
          <w:tcPr>
            <w:tcW w:w="708" w:type="dxa"/>
          </w:tcPr>
          <w:p>
            <w:pPr>
              <w:pStyle w:val="TableParagraph"/>
              <w:spacing w:before="33"/>
              <w:ind w:right="76"/>
              <w:rPr>
                <w:sz w:val="19"/>
              </w:rPr>
            </w:pPr>
            <w:r>
              <w:rPr>
                <w:sz w:val="19"/>
              </w:rPr>
              <w:t>46</w:t>
            </w:r>
          </w:p>
        </w:tc>
        <w:tc>
          <w:tcPr>
            <w:tcW w:w="696" w:type="dxa"/>
          </w:tcPr>
          <w:p>
            <w:pPr>
              <w:pStyle w:val="TableParagraph"/>
              <w:spacing w:before="33"/>
              <w:ind w:right="65"/>
              <w:rPr>
                <w:sz w:val="19"/>
              </w:rPr>
            </w:pPr>
            <w:r>
              <w:rPr>
                <w:sz w:val="19"/>
              </w:rPr>
              <w:t>79</w:t>
            </w:r>
          </w:p>
        </w:tc>
      </w:tr>
      <w:tr>
        <w:trPr>
          <w:trHeight w:val="300" w:hRule="exact"/>
        </w:trPr>
        <w:tc>
          <w:tcPr>
            <w:tcW w:w="2792" w:type="dxa"/>
          </w:tcPr>
          <w:p>
            <w:pPr>
              <w:pStyle w:val="TableParagraph"/>
              <w:spacing w:before="31"/>
              <w:ind w:left="72" w:right="357"/>
              <w:jc w:val="left"/>
              <w:rPr>
                <w:sz w:val="19"/>
              </w:rPr>
            </w:pPr>
            <w:r>
              <w:rPr>
                <w:w w:val="105"/>
                <w:sz w:val="19"/>
              </w:rPr>
              <w:t>Ingreso discapacidad</w:t>
            </w:r>
          </w:p>
        </w:tc>
        <w:tc>
          <w:tcPr>
            <w:tcW w:w="741" w:type="dxa"/>
          </w:tcPr>
          <w:p>
            <w:pPr>
              <w:pStyle w:val="TableParagraph"/>
              <w:spacing w:before="31"/>
              <w:ind w:right="129"/>
              <w:rPr>
                <w:sz w:val="19"/>
              </w:rPr>
            </w:pPr>
            <w:r>
              <w:rPr>
                <w:w w:val="103"/>
                <w:sz w:val="19"/>
              </w:rPr>
              <w:t>5</w:t>
            </w:r>
          </w:p>
        </w:tc>
        <w:tc>
          <w:tcPr>
            <w:tcW w:w="659" w:type="dxa"/>
          </w:tcPr>
          <w:p>
            <w:pPr>
              <w:pStyle w:val="TableParagraph"/>
              <w:spacing w:before="31"/>
              <w:ind w:right="78"/>
              <w:rPr>
                <w:sz w:val="19"/>
              </w:rPr>
            </w:pPr>
            <w:r>
              <w:rPr>
                <w:w w:val="103"/>
                <w:sz w:val="19"/>
              </w:rPr>
              <w:t>0</w:t>
            </w:r>
          </w:p>
        </w:tc>
        <w:tc>
          <w:tcPr>
            <w:tcW w:w="710" w:type="dxa"/>
          </w:tcPr>
          <w:p>
            <w:pPr>
              <w:pStyle w:val="TableParagraph"/>
              <w:spacing w:before="31"/>
              <w:ind w:right="80"/>
              <w:rPr>
                <w:sz w:val="19"/>
              </w:rPr>
            </w:pPr>
            <w:r>
              <w:rPr>
                <w:w w:val="103"/>
                <w:sz w:val="19"/>
              </w:rPr>
              <w:t>0</w:t>
            </w:r>
          </w:p>
        </w:tc>
        <w:tc>
          <w:tcPr>
            <w:tcW w:w="710" w:type="dxa"/>
          </w:tcPr>
          <w:p>
            <w:pPr>
              <w:pStyle w:val="TableParagraph"/>
              <w:spacing w:before="31"/>
              <w:ind w:right="78"/>
              <w:rPr>
                <w:sz w:val="19"/>
              </w:rPr>
            </w:pPr>
            <w:r>
              <w:rPr>
                <w:w w:val="103"/>
                <w:sz w:val="19"/>
              </w:rPr>
              <w:t>0</w:t>
            </w:r>
          </w:p>
        </w:tc>
        <w:tc>
          <w:tcPr>
            <w:tcW w:w="708" w:type="dxa"/>
          </w:tcPr>
          <w:p>
            <w:pPr>
              <w:pStyle w:val="TableParagraph"/>
              <w:spacing w:before="31"/>
              <w:ind w:right="78"/>
              <w:rPr>
                <w:sz w:val="19"/>
              </w:rPr>
            </w:pPr>
            <w:r>
              <w:rPr>
                <w:w w:val="103"/>
                <w:sz w:val="19"/>
              </w:rPr>
              <w:t>0</w:t>
            </w:r>
          </w:p>
        </w:tc>
        <w:tc>
          <w:tcPr>
            <w:tcW w:w="696" w:type="dxa"/>
          </w:tcPr>
          <w:p>
            <w:pPr>
              <w:pStyle w:val="TableParagraph"/>
              <w:spacing w:before="31"/>
              <w:ind w:right="67"/>
              <w:rPr>
                <w:sz w:val="19"/>
              </w:rPr>
            </w:pPr>
            <w:r>
              <w:rPr>
                <w:w w:val="103"/>
                <w:sz w:val="19"/>
              </w:rPr>
              <w:t>1</w:t>
            </w:r>
          </w:p>
        </w:tc>
      </w:tr>
      <w:tr>
        <w:trPr>
          <w:trHeight w:val="300" w:hRule="exact"/>
        </w:trPr>
        <w:tc>
          <w:tcPr>
            <w:tcW w:w="2792" w:type="dxa"/>
          </w:tcPr>
          <w:p>
            <w:pPr>
              <w:pStyle w:val="TableParagraph"/>
              <w:spacing w:before="33"/>
              <w:ind w:left="72" w:right="357"/>
              <w:jc w:val="left"/>
              <w:rPr>
                <w:sz w:val="19"/>
              </w:rPr>
            </w:pPr>
            <w:r>
              <w:rPr>
                <w:w w:val="105"/>
                <w:sz w:val="19"/>
              </w:rPr>
              <w:t>Total ingreso/pago impuesto</w:t>
            </w:r>
          </w:p>
        </w:tc>
        <w:tc>
          <w:tcPr>
            <w:tcW w:w="741" w:type="dxa"/>
          </w:tcPr>
          <w:p>
            <w:pPr>
              <w:pStyle w:val="TableParagraph"/>
              <w:spacing w:before="33"/>
              <w:ind w:right="129"/>
              <w:rPr>
                <w:sz w:val="19"/>
              </w:rPr>
            </w:pPr>
            <w:r>
              <w:rPr>
                <w:sz w:val="19"/>
              </w:rPr>
              <w:t>2.6</w:t>
            </w:r>
          </w:p>
        </w:tc>
        <w:tc>
          <w:tcPr>
            <w:tcW w:w="659" w:type="dxa"/>
          </w:tcPr>
          <w:p>
            <w:pPr>
              <w:pStyle w:val="TableParagraph"/>
              <w:spacing w:before="33"/>
              <w:ind w:right="78"/>
              <w:rPr>
                <w:sz w:val="19"/>
              </w:rPr>
            </w:pPr>
            <w:r>
              <w:rPr>
                <w:sz w:val="19"/>
              </w:rPr>
              <w:t>1.8</w:t>
            </w:r>
          </w:p>
        </w:tc>
        <w:tc>
          <w:tcPr>
            <w:tcW w:w="710" w:type="dxa"/>
          </w:tcPr>
          <w:p>
            <w:pPr>
              <w:pStyle w:val="TableParagraph"/>
              <w:spacing w:before="33"/>
              <w:ind w:right="80"/>
              <w:rPr>
                <w:sz w:val="19"/>
              </w:rPr>
            </w:pPr>
            <w:r>
              <w:rPr>
                <w:sz w:val="19"/>
              </w:rPr>
              <w:t>1.2</w:t>
            </w:r>
          </w:p>
        </w:tc>
        <w:tc>
          <w:tcPr>
            <w:tcW w:w="710" w:type="dxa"/>
          </w:tcPr>
          <w:p>
            <w:pPr>
              <w:pStyle w:val="TableParagraph"/>
              <w:spacing w:before="33"/>
              <w:ind w:right="78"/>
              <w:rPr>
                <w:sz w:val="19"/>
              </w:rPr>
            </w:pPr>
            <w:r>
              <w:rPr>
                <w:sz w:val="19"/>
              </w:rPr>
              <w:t>1.1</w:t>
            </w:r>
          </w:p>
        </w:tc>
        <w:tc>
          <w:tcPr>
            <w:tcW w:w="708" w:type="dxa"/>
          </w:tcPr>
          <w:p>
            <w:pPr>
              <w:pStyle w:val="TableParagraph"/>
              <w:spacing w:before="33"/>
              <w:ind w:right="77"/>
              <w:rPr>
                <w:sz w:val="19"/>
              </w:rPr>
            </w:pPr>
            <w:r>
              <w:rPr>
                <w:sz w:val="19"/>
              </w:rPr>
              <w:t>1.4</w:t>
            </w:r>
          </w:p>
        </w:tc>
        <w:tc>
          <w:tcPr>
            <w:tcW w:w="696" w:type="dxa"/>
          </w:tcPr>
          <w:p>
            <w:pPr>
              <w:pStyle w:val="TableParagraph"/>
              <w:spacing w:before="33"/>
              <w:ind w:right="66"/>
              <w:rPr>
                <w:sz w:val="19"/>
              </w:rPr>
            </w:pPr>
            <w:r>
              <w:rPr>
                <w:sz w:val="19"/>
              </w:rPr>
              <w:t>1.6</w:t>
            </w:r>
          </w:p>
        </w:tc>
      </w:tr>
      <w:tr>
        <w:trPr>
          <w:trHeight w:val="300" w:hRule="exact"/>
        </w:trPr>
        <w:tc>
          <w:tcPr>
            <w:tcW w:w="2792" w:type="dxa"/>
          </w:tcPr>
          <w:p>
            <w:pPr>
              <w:pStyle w:val="TableParagraph"/>
              <w:spacing w:before="31"/>
              <w:ind w:left="72" w:right="357"/>
              <w:jc w:val="left"/>
              <w:rPr>
                <w:sz w:val="19"/>
              </w:rPr>
            </w:pPr>
            <w:r>
              <w:rPr>
                <w:w w:val="105"/>
                <w:sz w:val="19"/>
              </w:rPr>
              <w:t>Nativo México-americano</w:t>
            </w:r>
          </w:p>
        </w:tc>
        <w:tc>
          <w:tcPr>
            <w:tcW w:w="741" w:type="dxa"/>
          </w:tcPr>
          <w:p>
            <w:pPr/>
          </w:p>
        </w:tc>
        <w:tc>
          <w:tcPr>
            <w:tcW w:w="659" w:type="dxa"/>
          </w:tcPr>
          <w:p>
            <w:pPr/>
          </w:p>
        </w:tc>
        <w:tc>
          <w:tcPr>
            <w:tcW w:w="710" w:type="dxa"/>
          </w:tcPr>
          <w:p>
            <w:pPr/>
          </w:p>
        </w:tc>
        <w:tc>
          <w:tcPr>
            <w:tcW w:w="710" w:type="dxa"/>
          </w:tcPr>
          <w:p>
            <w:pPr/>
          </w:p>
        </w:tc>
        <w:tc>
          <w:tcPr>
            <w:tcW w:w="708" w:type="dxa"/>
          </w:tcPr>
          <w:p>
            <w:pPr/>
          </w:p>
        </w:tc>
        <w:tc>
          <w:tcPr>
            <w:tcW w:w="696" w:type="dxa"/>
          </w:tcPr>
          <w:p>
            <w:pPr/>
          </w:p>
        </w:tc>
      </w:tr>
      <w:tr>
        <w:trPr>
          <w:trHeight w:val="274" w:hRule="exact"/>
        </w:trPr>
        <w:tc>
          <w:tcPr>
            <w:tcW w:w="2792" w:type="dxa"/>
            <w:tcBorders>
              <w:bottom w:val="double" w:sz="4" w:space="0" w:color="000000"/>
            </w:tcBorders>
          </w:tcPr>
          <w:p>
            <w:pPr>
              <w:pStyle w:val="TableParagraph"/>
              <w:spacing w:before="33"/>
              <w:ind w:left="72" w:right="357"/>
              <w:jc w:val="left"/>
              <w:rPr>
                <w:sz w:val="19"/>
              </w:rPr>
            </w:pPr>
            <w:r>
              <w:rPr>
                <w:w w:val="105"/>
                <w:sz w:val="19"/>
              </w:rPr>
              <w:t>Pago de impuesto</w:t>
            </w:r>
          </w:p>
        </w:tc>
        <w:tc>
          <w:tcPr>
            <w:tcW w:w="741" w:type="dxa"/>
            <w:tcBorders>
              <w:bottom w:val="double" w:sz="4" w:space="0" w:color="000000"/>
            </w:tcBorders>
          </w:tcPr>
          <w:p>
            <w:pPr>
              <w:pStyle w:val="TableParagraph"/>
              <w:spacing w:before="33"/>
              <w:ind w:right="128"/>
              <w:rPr>
                <w:sz w:val="19"/>
              </w:rPr>
            </w:pPr>
            <w:r>
              <w:rPr>
                <w:w w:val="105"/>
                <w:sz w:val="19"/>
              </w:rPr>
              <w:t>4 638</w:t>
            </w:r>
          </w:p>
        </w:tc>
        <w:tc>
          <w:tcPr>
            <w:tcW w:w="659" w:type="dxa"/>
            <w:tcBorders>
              <w:bottom w:val="double" w:sz="4" w:space="0" w:color="000000"/>
            </w:tcBorders>
          </w:tcPr>
          <w:p>
            <w:pPr>
              <w:pStyle w:val="TableParagraph"/>
              <w:spacing w:before="33"/>
              <w:ind w:right="77"/>
              <w:rPr>
                <w:sz w:val="19"/>
              </w:rPr>
            </w:pPr>
            <w:r>
              <w:rPr>
                <w:w w:val="105"/>
                <w:sz w:val="19"/>
              </w:rPr>
              <w:t>8 251</w:t>
            </w:r>
          </w:p>
        </w:tc>
        <w:tc>
          <w:tcPr>
            <w:tcW w:w="710" w:type="dxa"/>
            <w:tcBorders>
              <w:bottom w:val="double" w:sz="4" w:space="0" w:color="000000"/>
            </w:tcBorders>
          </w:tcPr>
          <w:p>
            <w:pPr>
              <w:pStyle w:val="TableParagraph"/>
              <w:spacing w:before="33"/>
              <w:ind w:right="79"/>
              <w:rPr>
                <w:sz w:val="19"/>
              </w:rPr>
            </w:pPr>
            <w:r>
              <w:rPr>
                <w:w w:val="105"/>
                <w:sz w:val="19"/>
              </w:rPr>
              <w:t>12 704</w:t>
            </w:r>
          </w:p>
        </w:tc>
        <w:tc>
          <w:tcPr>
            <w:tcW w:w="710" w:type="dxa"/>
            <w:tcBorders>
              <w:bottom w:val="double" w:sz="4" w:space="0" w:color="000000"/>
            </w:tcBorders>
          </w:tcPr>
          <w:p>
            <w:pPr>
              <w:pStyle w:val="TableParagraph"/>
              <w:spacing w:before="33"/>
              <w:ind w:right="77"/>
              <w:rPr>
                <w:sz w:val="19"/>
              </w:rPr>
            </w:pPr>
            <w:r>
              <w:rPr>
                <w:w w:val="105"/>
                <w:sz w:val="19"/>
              </w:rPr>
              <w:t>14 919</w:t>
            </w:r>
          </w:p>
        </w:tc>
        <w:tc>
          <w:tcPr>
            <w:tcW w:w="708" w:type="dxa"/>
            <w:tcBorders>
              <w:bottom w:val="double" w:sz="4" w:space="0" w:color="000000"/>
            </w:tcBorders>
          </w:tcPr>
          <w:p>
            <w:pPr>
              <w:pStyle w:val="TableParagraph"/>
              <w:spacing w:before="33"/>
              <w:ind w:right="76"/>
              <w:rPr>
                <w:sz w:val="19"/>
              </w:rPr>
            </w:pPr>
            <w:r>
              <w:rPr>
                <w:w w:val="105"/>
                <w:sz w:val="19"/>
              </w:rPr>
              <w:t>15 641</w:t>
            </w:r>
          </w:p>
        </w:tc>
        <w:tc>
          <w:tcPr>
            <w:tcW w:w="696" w:type="dxa"/>
            <w:tcBorders>
              <w:bottom w:val="double" w:sz="4" w:space="0" w:color="000000"/>
            </w:tcBorders>
          </w:tcPr>
          <w:p>
            <w:pPr>
              <w:pStyle w:val="TableParagraph"/>
              <w:spacing w:before="33"/>
              <w:ind w:right="65"/>
              <w:rPr>
                <w:sz w:val="19"/>
              </w:rPr>
            </w:pPr>
            <w:r>
              <w:rPr>
                <w:w w:val="105"/>
                <w:sz w:val="19"/>
              </w:rPr>
              <w:t>15 446</w:t>
            </w:r>
          </w:p>
        </w:tc>
      </w:tr>
      <w:tr>
        <w:trPr>
          <w:trHeight w:val="294" w:hRule="exact"/>
        </w:trPr>
        <w:tc>
          <w:tcPr>
            <w:tcW w:w="2792" w:type="dxa"/>
            <w:tcBorders>
              <w:top w:val="double" w:sz="4" w:space="0" w:color="000000"/>
            </w:tcBorders>
          </w:tcPr>
          <w:p>
            <w:pPr>
              <w:pStyle w:val="TableParagraph"/>
              <w:spacing w:line="183" w:lineRule="exact"/>
              <w:ind w:left="72" w:right="357"/>
              <w:jc w:val="left"/>
              <w:rPr>
                <w:sz w:val="16"/>
              </w:rPr>
            </w:pPr>
            <w:r>
              <w:rPr>
                <w:sz w:val="16"/>
              </w:rPr>
              <w:t>Fuente: Delgado y Olvera, 2012.</w:t>
            </w:r>
          </w:p>
        </w:tc>
        <w:tc>
          <w:tcPr>
            <w:tcW w:w="741" w:type="dxa"/>
            <w:tcBorders>
              <w:top w:val="double" w:sz="4" w:space="0" w:color="000000"/>
            </w:tcBorders>
          </w:tcPr>
          <w:p>
            <w:pPr/>
          </w:p>
        </w:tc>
        <w:tc>
          <w:tcPr>
            <w:tcW w:w="659" w:type="dxa"/>
            <w:tcBorders>
              <w:top w:val="double" w:sz="4" w:space="0" w:color="000000"/>
            </w:tcBorders>
          </w:tcPr>
          <w:p>
            <w:pPr/>
          </w:p>
        </w:tc>
        <w:tc>
          <w:tcPr>
            <w:tcW w:w="710" w:type="dxa"/>
            <w:tcBorders>
              <w:top w:val="double" w:sz="4" w:space="0" w:color="000000"/>
            </w:tcBorders>
          </w:tcPr>
          <w:p>
            <w:pPr/>
          </w:p>
        </w:tc>
        <w:tc>
          <w:tcPr>
            <w:tcW w:w="710" w:type="dxa"/>
            <w:tcBorders>
              <w:top w:val="double" w:sz="4" w:space="0" w:color="000000"/>
            </w:tcBorders>
          </w:tcPr>
          <w:p>
            <w:pPr/>
          </w:p>
        </w:tc>
        <w:tc>
          <w:tcPr>
            <w:tcW w:w="708" w:type="dxa"/>
            <w:tcBorders>
              <w:top w:val="double" w:sz="4" w:space="0" w:color="000000"/>
            </w:tcBorders>
          </w:tcPr>
          <w:p>
            <w:pPr/>
          </w:p>
        </w:tc>
        <w:tc>
          <w:tcPr>
            <w:tcW w:w="696" w:type="dxa"/>
            <w:tcBorders>
              <w:top w:val="double" w:sz="4" w:space="0" w:color="000000"/>
            </w:tcBorders>
          </w:tcPr>
          <w:p>
            <w:pPr/>
          </w:p>
        </w:tc>
      </w:tr>
    </w:tbl>
    <w:p>
      <w:pPr>
        <w:spacing w:after="0"/>
        <w:sectPr>
          <w:footerReference w:type="default" r:id="rId137"/>
          <w:pgSz w:w="13040" w:h="9360" w:orient="landscape"/>
          <w:pgMar w:footer="0" w:header="0" w:top="0" w:bottom="280" w:left="1280" w:right="1840"/>
        </w:sectPr>
      </w:pPr>
    </w:p>
    <w:p>
      <w:pPr>
        <w:pStyle w:val="BodyText"/>
        <w:rPr>
          <w:sz w:val="20"/>
        </w:rPr>
      </w:pPr>
      <w:r>
        <w:rPr/>
        <w:pict>
          <v:shape style="position:absolute;margin-left:598.529175pt;margin-top:104.613098pt;width:12.4pt;height:293.25pt;mso-position-horizontal-relative:page;mso-position-vertical-relative:page;z-index:4552" type="#_x0000_t202" filled="false" stroked="false">
            <v:textbox inset="0,0,0,0" style="layout-flow:vertical">
              <w:txbxContent>
                <w:p>
                  <w:pPr>
                    <w:spacing w:line="213" w:lineRule="exact" w:before="0"/>
                    <w:ind w:left="20" w:right="0" w:firstLine="0"/>
                    <w:jc w:val="left"/>
                    <w:rPr>
                      <w:rFonts w:ascii="Arial" w:hAnsi="Arial"/>
                      <w:i/>
                      <w:sz w:val="20"/>
                    </w:rPr>
                  </w:pPr>
                  <w:r>
                    <w:rPr>
                      <w:rFonts w:ascii="Arial" w:hAnsi="Arial"/>
                      <w:color w:val="231F20"/>
                      <w:w w:val="66"/>
                      <w:sz w:val="20"/>
                    </w:rPr>
                    <w:t>La</w:t>
                  </w:r>
                  <w:r>
                    <w:rPr>
                      <w:rFonts w:ascii="Arial" w:hAnsi="Arial"/>
                      <w:color w:val="231F20"/>
                      <w:spacing w:val="-1"/>
                      <w:sz w:val="20"/>
                    </w:rPr>
                    <w:t> </w:t>
                  </w:r>
                  <w:r>
                    <w:rPr>
                      <w:rFonts w:ascii="Arial" w:hAnsi="Arial"/>
                      <w:color w:val="231F20"/>
                      <w:w w:val="76"/>
                      <w:sz w:val="20"/>
                    </w:rPr>
                    <w:t>participación</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w w:val="73"/>
                      <w:sz w:val="20"/>
                    </w:rPr>
                    <w:t>migrantes</w:t>
                  </w:r>
                  <w:r>
                    <w:rPr>
                      <w:rFonts w:ascii="Arial" w:hAnsi="Arial"/>
                      <w:color w:val="231F20"/>
                      <w:spacing w:val="-1"/>
                      <w:sz w:val="20"/>
                    </w:rPr>
                    <w:t> </w:t>
                  </w:r>
                  <w:r>
                    <w:rPr>
                      <w:rFonts w:ascii="Arial" w:hAnsi="Arial"/>
                      <w:color w:val="231F20"/>
                      <w:w w:val="69"/>
                      <w:sz w:val="20"/>
                    </w:rPr>
                    <w:t>mexicanos</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3"/>
                      <w:sz w:val="20"/>
                    </w:rPr>
                    <w:t>economía...</w:t>
                  </w:r>
                  <w:r>
                    <w:rPr>
                      <w:rFonts w:ascii="Arial" w:hAnsi="Arial"/>
                      <w:color w:val="231F20"/>
                      <w:spacing w:val="-1"/>
                      <w:sz w:val="20"/>
                    </w:rPr>
                    <w:t> </w:t>
                  </w:r>
                  <w:r>
                    <w:rPr>
                      <w:rFonts w:ascii="Arial" w:hAnsi="Arial"/>
                      <w:color w:val="231F20"/>
                      <w:w w:val="99"/>
                      <w:sz w:val="20"/>
                    </w:rPr>
                    <w:t>/</w:t>
                  </w:r>
                  <w:r>
                    <w:rPr>
                      <w:rFonts w:ascii="Arial" w:hAnsi="Arial"/>
                      <w:color w:val="231F20"/>
                      <w:w w:val="52"/>
                      <w:sz w:val="20"/>
                    </w:rPr>
                    <w:t>Esther</w:t>
                  </w:r>
                  <w:r>
                    <w:rPr>
                      <w:rFonts w:ascii="Arial" w:hAnsi="Arial"/>
                      <w:color w:val="231F20"/>
                      <w:spacing w:val="-17"/>
                      <w:sz w:val="20"/>
                    </w:rPr>
                    <w:t> </w:t>
                  </w:r>
                  <w:r>
                    <w:rPr>
                      <w:rFonts w:ascii="Arial" w:hAnsi="Arial"/>
                      <w:color w:val="231F20"/>
                      <w:w w:val="50"/>
                      <w:sz w:val="20"/>
                    </w:rPr>
                    <w:t>Figueroa-Hernández</w:t>
                  </w:r>
                  <w:r>
                    <w:rPr>
                      <w:rFonts w:ascii="Arial" w:hAnsi="Arial"/>
                      <w:color w:val="231F20"/>
                      <w:spacing w:val="-17"/>
                      <w:sz w:val="20"/>
                    </w:rPr>
                    <w:t> </w:t>
                  </w:r>
                  <w:r>
                    <w:rPr>
                      <w:rFonts w:ascii="Arial" w:hAnsi="Arial"/>
                      <w:i/>
                      <w:color w:val="231F20"/>
                      <w:w w:val="55"/>
                      <w:sz w:val="20"/>
                    </w:rPr>
                    <w:t>et</w:t>
                  </w:r>
                  <w:r>
                    <w:rPr>
                      <w:rFonts w:ascii="Arial" w:hAnsi="Arial"/>
                      <w:i/>
                      <w:color w:val="231F20"/>
                      <w:spacing w:val="-17"/>
                      <w:sz w:val="20"/>
                    </w:rPr>
                    <w:t> </w:t>
                  </w:r>
                  <w:r>
                    <w:rPr>
                      <w:rFonts w:ascii="Arial" w:hAnsi="Arial"/>
                      <w:i/>
                      <w:color w:val="231F20"/>
                      <w:w w:val="58"/>
                      <w:sz w:val="20"/>
                    </w:rPr>
                    <w:t>al.</w:t>
                  </w:r>
                </w:p>
              </w:txbxContent>
            </v:textbox>
            <w10:wrap type="none"/>
          </v:shape>
        </w:pict>
      </w:r>
      <w:r>
        <w:rPr/>
        <w:pict>
          <v:shape style="position:absolute;margin-left:23.820354pt;margin-top:222.936996pt;width:12pt;height:21.25pt;mso-position-horizontal-relative:page;mso-position-vertical-relative:page;z-index:4576" type="#_x0000_t202" filled="false" stroked="false">
            <v:textbox inset="0,0,0,0" style="layout-flow:vertical">
              <w:txbxContent>
                <w:p>
                  <w:pPr>
                    <w:spacing w:line="214" w:lineRule="exact" w:before="0"/>
                    <w:ind w:left="20" w:right="-182" w:firstLine="0"/>
                    <w:jc w:val="left"/>
                    <w:rPr>
                      <w:rFonts w:ascii="Verdana"/>
                      <w:sz w:val="20"/>
                    </w:rPr>
                  </w:pPr>
                  <w:r>
                    <w:rPr>
                      <w:rFonts w:ascii="Verdana"/>
                      <w:color w:val="231F20"/>
                      <w:spacing w:val="-1"/>
                      <w:w w:val="100"/>
                      <w:sz w:val="20"/>
                    </w:rPr>
                    <w:t>159</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tabs>
          <w:tab w:pos="8657" w:val="left" w:leader="none"/>
        </w:tabs>
        <w:spacing w:before="81" w:after="37"/>
        <w:ind w:left="790" w:right="0" w:firstLine="0"/>
        <w:jc w:val="left"/>
        <w:rPr>
          <w:sz w:val="19"/>
        </w:rPr>
      </w:pPr>
      <w:r>
        <w:rPr>
          <w:spacing w:val="22"/>
          <w:w w:val="103"/>
          <w:sz w:val="19"/>
          <w:u w:val="single"/>
        </w:rPr>
        <w:t> </w:t>
      </w:r>
      <w:r>
        <w:rPr>
          <w:w w:val="105"/>
          <w:sz w:val="19"/>
          <w:u w:val="single"/>
        </w:rPr>
        <w:t>Cuadro 4. Pago de impuestos sobre el producto al salario</w:t>
      </w:r>
      <w:r>
        <w:rPr>
          <w:spacing w:val="-15"/>
          <w:w w:val="105"/>
          <w:sz w:val="19"/>
          <w:u w:val="single"/>
        </w:rPr>
        <w:t> </w:t>
      </w:r>
      <w:r>
        <w:rPr>
          <w:w w:val="105"/>
          <w:sz w:val="19"/>
          <w:u w:val="single"/>
        </w:rPr>
        <w:t>(continuación)</w:t>
      </w:r>
      <w:r>
        <w:rPr>
          <w:sz w:val="19"/>
          <w:u w:val="single"/>
        </w:rPr>
        <w:tab/>
      </w:r>
    </w:p>
    <w:tbl>
      <w:tblPr>
        <w:tblW w:w="0" w:type="auto"/>
        <w:jc w:val="left"/>
        <w:tblInd w:w="7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61"/>
        <w:gridCol w:w="882"/>
        <w:gridCol w:w="853"/>
        <w:gridCol w:w="852"/>
        <w:gridCol w:w="851"/>
        <w:gridCol w:w="850"/>
        <w:gridCol w:w="817"/>
      </w:tblGrid>
      <w:tr>
        <w:trPr>
          <w:trHeight w:val="291" w:hRule="exact"/>
        </w:trPr>
        <w:tc>
          <w:tcPr>
            <w:tcW w:w="2761" w:type="dxa"/>
            <w:tcBorders>
              <w:bottom w:val="double" w:sz="4" w:space="0" w:color="000000"/>
            </w:tcBorders>
          </w:tcPr>
          <w:p>
            <w:pPr/>
          </w:p>
        </w:tc>
        <w:tc>
          <w:tcPr>
            <w:tcW w:w="882" w:type="dxa"/>
            <w:tcBorders>
              <w:bottom w:val="double" w:sz="4" w:space="0" w:color="000000"/>
            </w:tcBorders>
          </w:tcPr>
          <w:p>
            <w:pPr>
              <w:pStyle w:val="TableParagraph"/>
              <w:spacing w:before="51"/>
              <w:ind w:right="99"/>
              <w:rPr>
                <w:sz w:val="19"/>
              </w:rPr>
            </w:pPr>
            <w:r>
              <w:rPr>
                <w:sz w:val="19"/>
              </w:rPr>
              <w:t>1994</w:t>
            </w:r>
          </w:p>
        </w:tc>
        <w:tc>
          <w:tcPr>
            <w:tcW w:w="853" w:type="dxa"/>
            <w:tcBorders>
              <w:bottom w:val="double" w:sz="4" w:space="0" w:color="000000"/>
            </w:tcBorders>
          </w:tcPr>
          <w:p>
            <w:pPr>
              <w:pStyle w:val="TableParagraph"/>
              <w:spacing w:before="51"/>
              <w:ind w:right="99"/>
              <w:rPr>
                <w:sz w:val="19"/>
              </w:rPr>
            </w:pPr>
            <w:r>
              <w:rPr>
                <w:sz w:val="19"/>
              </w:rPr>
              <w:t>2000</w:t>
            </w:r>
          </w:p>
        </w:tc>
        <w:tc>
          <w:tcPr>
            <w:tcW w:w="852" w:type="dxa"/>
            <w:tcBorders>
              <w:bottom w:val="double" w:sz="4" w:space="0" w:color="000000"/>
            </w:tcBorders>
          </w:tcPr>
          <w:p>
            <w:pPr>
              <w:pStyle w:val="TableParagraph"/>
              <w:spacing w:before="51"/>
              <w:ind w:right="98"/>
              <w:rPr>
                <w:sz w:val="19"/>
              </w:rPr>
            </w:pPr>
            <w:r>
              <w:rPr>
                <w:sz w:val="19"/>
              </w:rPr>
              <w:t>2005</w:t>
            </w:r>
          </w:p>
        </w:tc>
        <w:tc>
          <w:tcPr>
            <w:tcW w:w="851" w:type="dxa"/>
            <w:tcBorders>
              <w:bottom w:val="double" w:sz="4" w:space="0" w:color="000000"/>
            </w:tcBorders>
          </w:tcPr>
          <w:p>
            <w:pPr>
              <w:pStyle w:val="TableParagraph"/>
              <w:spacing w:before="51"/>
              <w:ind w:right="97"/>
              <w:rPr>
                <w:sz w:val="19"/>
              </w:rPr>
            </w:pPr>
            <w:r>
              <w:rPr>
                <w:sz w:val="19"/>
              </w:rPr>
              <w:t>2008</w:t>
            </w:r>
          </w:p>
        </w:tc>
        <w:tc>
          <w:tcPr>
            <w:tcW w:w="850" w:type="dxa"/>
            <w:tcBorders>
              <w:bottom w:val="double" w:sz="4" w:space="0" w:color="000000"/>
            </w:tcBorders>
          </w:tcPr>
          <w:p>
            <w:pPr>
              <w:pStyle w:val="TableParagraph"/>
              <w:spacing w:before="51"/>
              <w:ind w:right="98"/>
              <w:rPr>
                <w:sz w:val="19"/>
              </w:rPr>
            </w:pPr>
            <w:r>
              <w:rPr>
                <w:sz w:val="19"/>
              </w:rPr>
              <w:t>2010</w:t>
            </w:r>
          </w:p>
        </w:tc>
        <w:tc>
          <w:tcPr>
            <w:tcW w:w="817" w:type="dxa"/>
            <w:tcBorders>
              <w:bottom w:val="double" w:sz="4" w:space="0" w:color="000000"/>
            </w:tcBorders>
          </w:tcPr>
          <w:p>
            <w:pPr>
              <w:pStyle w:val="TableParagraph"/>
              <w:spacing w:before="51"/>
              <w:ind w:right="64"/>
              <w:rPr>
                <w:sz w:val="19"/>
              </w:rPr>
            </w:pPr>
            <w:r>
              <w:rPr>
                <w:sz w:val="19"/>
              </w:rPr>
              <w:t>2011</w:t>
            </w:r>
          </w:p>
        </w:tc>
      </w:tr>
      <w:tr>
        <w:trPr>
          <w:trHeight w:val="482" w:hRule="exact"/>
        </w:trPr>
        <w:tc>
          <w:tcPr>
            <w:tcW w:w="2761" w:type="dxa"/>
            <w:tcBorders>
              <w:top w:val="double" w:sz="4" w:space="0" w:color="000000"/>
            </w:tcBorders>
          </w:tcPr>
          <w:p>
            <w:pPr>
              <w:pStyle w:val="TableParagraph"/>
              <w:spacing w:line="247" w:lineRule="auto" w:before="9"/>
              <w:ind w:left="71" w:right="327"/>
              <w:jc w:val="left"/>
              <w:rPr>
                <w:sz w:val="19"/>
              </w:rPr>
            </w:pPr>
            <w:r>
              <w:rPr>
                <w:w w:val="105"/>
                <w:sz w:val="19"/>
              </w:rPr>
              <w:t>Representa al subgrupo poblacional respecto del total</w:t>
            </w:r>
          </w:p>
        </w:tc>
        <w:tc>
          <w:tcPr>
            <w:tcW w:w="882" w:type="dxa"/>
            <w:tcBorders>
              <w:top w:val="double" w:sz="4" w:space="0" w:color="000000"/>
            </w:tcBorders>
          </w:tcPr>
          <w:p>
            <w:pPr>
              <w:pStyle w:val="TableParagraph"/>
              <w:spacing w:before="5"/>
              <w:jc w:val="left"/>
              <w:rPr>
                <w:sz w:val="20"/>
              </w:rPr>
            </w:pPr>
          </w:p>
          <w:p>
            <w:pPr>
              <w:pStyle w:val="TableParagraph"/>
              <w:ind w:right="100"/>
              <w:rPr>
                <w:sz w:val="19"/>
              </w:rPr>
            </w:pPr>
            <w:r>
              <w:rPr>
                <w:sz w:val="19"/>
              </w:rPr>
              <w:t>1.1</w:t>
            </w:r>
          </w:p>
        </w:tc>
        <w:tc>
          <w:tcPr>
            <w:tcW w:w="853" w:type="dxa"/>
            <w:tcBorders>
              <w:top w:val="double" w:sz="4" w:space="0" w:color="000000"/>
            </w:tcBorders>
          </w:tcPr>
          <w:p>
            <w:pPr>
              <w:pStyle w:val="TableParagraph"/>
              <w:spacing w:before="5"/>
              <w:jc w:val="left"/>
              <w:rPr>
                <w:sz w:val="20"/>
              </w:rPr>
            </w:pPr>
          </w:p>
          <w:p>
            <w:pPr>
              <w:pStyle w:val="TableParagraph"/>
              <w:ind w:right="100"/>
              <w:rPr>
                <w:sz w:val="19"/>
              </w:rPr>
            </w:pPr>
            <w:r>
              <w:rPr>
                <w:sz w:val="19"/>
              </w:rPr>
              <w:t>1.4</w:t>
            </w:r>
          </w:p>
        </w:tc>
        <w:tc>
          <w:tcPr>
            <w:tcW w:w="852" w:type="dxa"/>
            <w:tcBorders>
              <w:top w:val="double" w:sz="4" w:space="0" w:color="000000"/>
            </w:tcBorders>
          </w:tcPr>
          <w:p>
            <w:pPr>
              <w:pStyle w:val="TableParagraph"/>
              <w:spacing w:before="5"/>
              <w:jc w:val="left"/>
              <w:rPr>
                <w:sz w:val="20"/>
              </w:rPr>
            </w:pPr>
          </w:p>
          <w:p>
            <w:pPr>
              <w:pStyle w:val="TableParagraph"/>
              <w:ind w:right="99"/>
              <w:rPr>
                <w:sz w:val="19"/>
              </w:rPr>
            </w:pPr>
            <w:r>
              <w:rPr>
                <w:sz w:val="19"/>
              </w:rPr>
              <w:t>1.7</w:t>
            </w:r>
          </w:p>
        </w:tc>
        <w:tc>
          <w:tcPr>
            <w:tcW w:w="851" w:type="dxa"/>
            <w:tcBorders>
              <w:top w:val="double" w:sz="4" w:space="0" w:color="000000"/>
            </w:tcBorders>
          </w:tcPr>
          <w:p>
            <w:pPr>
              <w:pStyle w:val="TableParagraph"/>
              <w:spacing w:before="5"/>
              <w:jc w:val="left"/>
              <w:rPr>
                <w:sz w:val="20"/>
              </w:rPr>
            </w:pPr>
          </w:p>
          <w:p>
            <w:pPr>
              <w:pStyle w:val="TableParagraph"/>
              <w:ind w:right="98"/>
              <w:rPr>
                <w:sz w:val="19"/>
              </w:rPr>
            </w:pPr>
            <w:r>
              <w:rPr>
                <w:sz w:val="19"/>
              </w:rPr>
              <w:t>1.7</w:t>
            </w:r>
          </w:p>
        </w:tc>
        <w:tc>
          <w:tcPr>
            <w:tcW w:w="850" w:type="dxa"/>
            <w:tcBorders>
              <w:top w:val="double" w:sz="4" w:space="0" w:color="000000"/>
            </w:tcBorders>
          </w:tcPr>
          <w:p>
            <w:pPr>
              <w:pStyle w:val="TableParagraph"/>
              <w:spacing w:before="5"/>
              <w:jc w:val="left"/>
              <w:rPr>
                <w:sz w:val="20"/>
              </w:rPr>
            </w:pPr>
          </w:p>
          <w:p>
            <w:pPr>
              <w:pStyle w:val="TableParagraph"/>
              <w:ind w:right="99"/>
              <w:rPr>
                <w:sz w:val="19"/>
              </w:rPr>
            </w:pPr>
            <w:r>
              <w:rPr>
                <w:sz w:val="19"/>
              </w:rPr>
              <w:t>1.8</w:t>
            </w:r>
          </w:p>
        </w:tc>
        <w:tc>
          <w:tcPr>
            <w:tcW w:w="817" w:type="dxa"/>
            <w:tcBorders>
              <w:top w:val="double" w:sz="4" w:space="0" w:color="000000"/>
            </w:tcBorders>
          </w:tcPr>
          <w:p>
            <w:pPr>
              <w:pStyle w:val="TableParagraph"/>
              <w:spacing w:before="5"/>
              <w:jc w:val="left"/>
              <w:rPr>
                <w:sz w:val="20"/>
              </w:rPr>
            </w:pPr>
          </w:p>
          <w:p>
            <w:pPr>
              <w:pStyle w:val="TableParagraph"/>
              <w:ind w:right="65"/>
              <w:rPr>
                <w:sz w:val="19"/>
              </w:rPr>
            </w:pPr>
            <w:r>
              <w:rPr>
                <w:sz w:val="19"/>
              </w:rPr>
              <w:t>1.8</w:t>
            </w:r>
          </w:p>
        </w:tc>
      </w:tr>
      <w:tr>
        <w:trPr>
          <w:trHeight w:val="266" w:hRule="exact"/>
        </w:trPr>
        <w:tc>
          <w:tcPr>
            <w:tcW w:w="2761" w:type="dxa"/>
          </w:tcPr>
          <w:p>
            <w:pPr>
              <w:pStyle w:val="TableParagraph"/>
              <w:spacing w:line="216" w:lineRule="exact"/>
              <w:ind w:left="71" w:right="327"/>
              <w:jc w:val="left"/>
              <w:rPr>
                <w:sz w:val="19"/>
              </w:rPr>
            </w:pPr>
            <w:r>
              <w:rPr>
                <w:w w:val="105"/>
                <w:sz w:val="19"/>
              </w:rPr>
              <w:t>impuestos ( por ciento)</w:t>
            </w:r>
          </w:p>
        </w:tc>
        <w:tc>
          <w:tcPr>
            <w:tcW w:w="882" w:type="dxa"/>
          </w:tcPr>
          <w:p>
            <w:pPr/>
          </w:p>
        </w:tc>
        <w:tc>
          <w:tcPr>
            <w:tcW w:w="853" w:type="dxa"/>
          </w:tcPr>
          <w:p>
            <w:pPr/>
          </w:p>
        </w:tc>
        <w:tc>
          <w:tcPr>
            <w:tcW w:w="852" w:type="dxa"/>
          </w:tcPr>
          <w:p>
            <w:pPr/>
          </w:p>
        </w:tc>
        <w:tc>
          <w:tcPr>
            <w:tcW w:w="851" w:type="dxa"/>
          </w:tcPr>
          <w:p>
            <w:pPr/>
          </w:p>
        </w:tc>
        <w:tc>
          <w:tcPr>
            <w:tcW w:w="850" w:type="dxa"/>
          </w:tcPr>
          <w:p>
            <w:pPr/>
          </w:p>
        </w:tc>
        <w:tc>
          <w:tcPr>
            <w:tcW w:w="817" w:type="dxa"/>
          </w:tcPr>
          <w:p>
            <w:pPr/>
          </w:p>
        </w:tc>
      </w:tr>
      <w:tr>
        <w:trPr>
          <w:trHeight w:val="300" w:hRule="exact"/>
        </w:trPr>
        <w:tc>
          <w:tcPr>
            <w:tcW w:w="2761" w:type="dxa"/>
          </w:tcPr>
          <w:p>
            <w:pPr>
              <w:pStyle w:val="TableParagraph"/>
              <w:spacing w:before="33"/>
              <w:ind w:left="71" w:right="327"/>
              <w:jc w:val="left"/>
              <w:rPr>
                <w:sz w:val="19"/>
              </w:rPr>
            </w:pPr>
            <w:r>
              <w:rPr>
                <w:w w:val="105"/>
                <w:sz w:val="19"/>
              </w:rPr>
              <w:t>Ingreso por tipo de fuente</w:t>
            </w:r>
          </w:p>
        </w:tc>
        <w:tc>
          <w:tcPr>
            <w:tcW w:w="882" w:type="dxa"/>
          </w:tcPr>
          <w:p>
            <w:pPr>
              <w:pStyle w:val="TableParagraph"/>
              <w:spacing w:before="33"/>
              <w:ind w:right="99"/>
              <w:rPr>
                <w:sz w:val="19"/>
              </w:rPr>
            </w:pPr>
            <w:r>
              <w:rPr>
                <w:sz w:val="19"/>
              </w:rPr>
              <w:t>172</w:t>
            </w:r>
          </w:p>
        </w:tc>
        <w:tc>
          <w:tcPr>
            <w:tcW w:w="853" w:type="dxa"/>
          </w:tcPr>
          <w:p>
            <w:pPr>
              <w:pStyle w:val="TableParagraph"/>
              <w:spacing w:before="33"/>
              <w:ind w:right="99"/>
              <w:rPr>
                <w:sz w:val="19"/>
              </w:rPr>
            </w:pPr>
            <w:r>
              <w:rPr>
                <w:sz w:val="19"/>
              </w:rPr>
              <w:t>273</w:t>
            </w:r>
          </w:p>
        </w:tc>
        <w:tc>
          <w:tcPr>
            <w:tcW w:w="852" w:type="dxa"/>
          </w:tcPr>
          <w:p>
            <w:pPr>
              <w:pStyle w:val="TableParagraph"/>
              <w:spacing w:before="33"/>
              <w:ind w:right="98"/>
              <w:rPr>
                <w:sz w:val="19"/>
              </w:rPr>
            </w:pPr>
            <w:r>
              <w:rPr>
                <w:sz w:val="19"/>
              </w:rPr>
              <w:t>367</w:t>
            </w:r>
          </w:p>
        </w:tc>
        <w:tc>
          <w:tcPr>
            <w:tcW w:w="851" w:type="dxa"/>
          </w:tcPr>
          <w:p>
            <w:pPr>
              <w:pStyle w:val="TableParagraph"/>
              <w:spacing w:before="33"/>
              <w:ind w:right="97"/>
              <w:rPr>
                <w:sz w:val="19"/>
              </w:rPr>
            </w:pPr>
            <w:r>
              <w:rPr>
                <w:sz w:val="19"/>
              </w:rPr>
              <w:t>390</w:t>
            </w:r>
          </w:p>
        </w:tc>
        <w:tc>
          <w:tcPr>
            <w:tcW w:w="850" w:type="dxa"/>
          </w:tcPr>
          <w:p>
            <w:pPr>
              <w:pStyle w:val="TableParagraph"/>
              <w:spacing w:before="33"/>
              <w:ind w:right="98"/>
              <w:rPr>
                <w:sz w:val="19"/>
              </w:rPr>
            </w:pPr>
            <w:r>
              <w:rPr>
                <w:sz w:val="19"/>
              </w:rPr>
              <w:t>527</w:t>
            </w:r>
          </w:p>
        </w:tc>
        <w:tc>
          <w:tcPr>
            <w:tcW w:w="817" w:type="dxa"/>
          </w:tcPr>
          <w:p>
            <w:pPr>
              <w:pStyle w:val="TableParagraph"/>
              <w:spacing w:before="33"/>
              <w:ind w:right="64"/>
              <w:rPr>
                <w:sz w:val="19"/>
              </w:rPr>
            </w:pPr>
            <w:r>
              <w:rPr>
                <w:sz w:val="19"/>
              </w:rPr>
              <w:t>560</w:t>
            </w:r>
          </w:p>
        </w:tc>
      </w:tr>
      <w:tr>
        <w:trPr>
          <w:trHeight w:val="300" w:hRule="exact"/>
        </w:trPr>
        <w:tc>
          <w:tcPr>
            <w:tcW w:w="2761" w:type="dxa"/>
          </w:tcPr>
          <w:p>
            <w:pPr>
              <w:pStyle w:val="TableParagraph"/>
              <w:spacing w:before="31"/>
              <w:ind w:left="71"/>
              <w:jc w:val="left"/>
              <w:rPr>
                <w:sz w:val="19"/>
              </w:rPr>
            </w:pPr>
            <w:r>
              <w:rPr>
                <w:w w:val="105"/>
                <w:sz w:val="19"/>
              </w:rPr>
              <w:t>Ingreso por asistencia infantil</w:t>
            </w:r>
          </w:p>
        </w:tc>
        <w:tc>
          <w:tcPr>
            <w:tcW w:w="882" w:type="dxa"/>
          </w:tcPr>
          <w:p>
            <w:pPr>
              <w:pStyle w:val="TableParagraph"/>
              <w:spacing w:before="31"/>
              <w:ind w:right="99"/>
              <w:rPr>
                <w:sz w:val="19"/>
              </w:rPr>
            </w:pPr>
            <w:r>
              <w:rPr>
                <w:sz w:val="19"/>
              </w:rPr>
              <w:t>28</w:t>
            </w:r>
          </w:p>
        </w:tc>
        <w:tc>
          <w:tcPr>
            <w:tcW w:w="853" w:type="dxa"/>
          </w:tcPr>
          <w:p>
            <w:pPr>
              <w:pStyle w:val="TableParagraph"/>
              <w:spacing w:before="31"/>
              <w:ind w:right="99"/>
              <w:rPr>
                <w:sz w:val="19"/>
              </w:rPr>
            </w:pPr>
            <w:r>
              <w:rPr>
                <w:sz w:val="19"/>
              </w:rPr>
              <w:t>48</w:t>
            </w:r>
          </w:p>
        </w:tc>
        <w:tc>
          <w:tcPr>
            <w:tcW w:w="852" w:type="dxa"/>
          </w:tcPr>
          <w:p>
            <w:pPr>
              <w:pStyle w:val="TableParagraph"/>
              <w:spacing w:before="31"/>
              <w:ind w:right="98"/>
              <w:rPr>
                <w:sz w:val="19"/>
              </w:rPr>
            </w:pPr>
            <w:r>
              <w:rPr>
                <w:sz w:val="19"/>
              </w:rPr>
              <w:t>75</w:t>
            </w:r>
          </w:p>
        </w:tc>
        <w:tc>
          <w:tcPr>
            <w:tcW w:w="851" w:type="dxa"/>
          </w:tcPr>
          <w:p>
            <w:pPr>
              <w:pStyle w:val="TableParagraph"/>
              <w:spacing w:before="31"/>
              <w:ind w:right="97"/>
              <w:rPr>
                <w:sz w:val="19"/>
              </w:rPr>
            </w:pPr>
            <w:r>
              <w:rPr>
                <w:sz w:val="19"/>
              </w:rPr>
              <w:t>84</w:t>
            </w:r>
          </w:p>
        </w:tc>
        <w:tc>
          <w:tcPr>
            <w:tcW w:w="850" w:type="dxa"/>
          </w:tcPr>
          <w:p>
            <w:pPr>
              <w:pStyle w:val="TableParagraph"/>
              <w:spacing w:before="31"/>
              <w:ind w:right="98"/>
              <w:rPr>
                <w:sz w:val="19"/>
              </w:rPr>
            </w:pPr>
            <w:r>
              <w:rPr>
                <w:sz w:val="19"/>
              </w:rPr>
              <w:t>67</w:t>
            </w:r>
          </w:p>
        </w:tc>
        <w:tc>
          <w:tcPr>
            <w:tcW w:w="817" w:type="dxa"/>
          </w:tcPr>
          <w:p>
            <w:pPr>
              <w:pStyle w:val="TableParagraph"/>
              <w:spacing w:before="31"/>
              <w:ind w:right="64"/>
              <w:rPr>
                <w:sz w:val="19"/>
              </w:rPr>
            </w:pPr>
            <w:r>
              <w:rPr>
                <w:sz w:val="19"/>
              </w:rPr>
              <w:t>79</w:t>
            </w:r>
          </w:p>
        </w:tc>
      </w:tr>
      <w:tr>
        <w:trPr>
          <w:trHeight w:val="300" w:hRule="exact"/>
        </w:trPr>
        <w:tc>
          <w:tcPr>
            <w:tcW w:w="2761" w:type="dxa"/>
          </w:tcPr>
          <w:p>
            <w:pPr>
              <w:pStyle w:val="TableParagraph"/>
              <w:spacing w:before="33"/>
              <w:ind w:left="71"/>
              <w:jc w:val="left"/>
              <w:rPr>
                <w:sz w:val="19"/>
              </w:rPr>
            </w:pPr>
            <w:r>
              <w:rPr>
                <w:w w:val="105"/>
                <w:sz w:val="19"/>
              </w:rPr>
              <w:t>Ingreso por asistencia educativa</w:t>
            </w:r>
          </w:p>
        </w:tc>
        <w:tc>
          <w:tcPr>
            <w:tcW w:w="882" w:type="dxa"/>
          </w:tcPr>
          <w:p>
            <w:pPr>
              <w:pStyle w:val="TableParagraph"/>
              <w:spacing w:before="33"/>
              <w:ind w:right="99"/>
              <w:rPr>
                <w:sz w:val="19"/>
              </w:rPr>
            </w:pPr>
            <w:r>
              <w:rPr>
                <w:sz w:val="19"/>
              </w:rPr>
              <w:t>34</w:t>
            </w:r>
          </w:p>
        </w:tc>
        <w:tc>
          <w:tcPr>
            <w:tcW w:w="853" w:type="dxa"/>
          </w:tcPr>
          <w:p>
            <w:pPr>
              <w:pStyle w:val="TableParagraph"/>
              <w:spacing w:before="33"/>
              <w:ind w:right="99"/>
              <w:rPr>
                <w:sz w:val="19"/>
              </w:rPr>
            </w:pPr>
            <w:r>
              <w:rPr>
                <w:sz w:val="19"/>
              </w:rPr>
              <w:t>59</w:t>
            </w:r>
          </w:p>
        </w:tc>
        <w:tc>
          <w:tcPr>
            <w:tcW w:w="852" w:type="dxa"/>
          </w:tcPr>
          <w:p>
            <w:pPr>
              <w:pStyle w:val="TableParagraph"/>
              <w:spacing w:before="33"/>
              <w:ind w:right="98"/>
              <w:rPr>
                <w:sz w:val="19"/>
              </w:rPr>
            </w:pPr>
            <w:r>
              <w:rPr>
                <w:sz w:val="19"/>
              </w:rPr>
              <w:t>105</w:t>
            </w:r>
          </w:p>
        </w:tc>
        <w:tc>
          <w:tcPr>
            <w:tcW w:w="851" w:type="dxa"/>
          </w:tcPr>
          <w:p>
            <w:pPr>
              <w:pStyle w:val="TableParagraph"/>
              <w:spacing w:before="33"/>
              <w:ind w:right="97"/>
              <w:rPr>
                <w:sz w:val="19"/>
              </w:rPr>
            </w:pPr>
            <w:r>
              <w:rPr>
                <w:sz w:val="19"/>
              </w:rPr>
              <w:t>90</w:t>
            </w:r>
          </w:p>
        </w:tc>
        <w:tc>
          <w:tcPr>
            <w:tcW w:w="850" w:type="dxa"/>
          </w:tcPr>
          <w:p>
            <w:pPr>
              <w:pStyle w:val="TableParagraph"/>
              <w:spacing w:before="33"/>
              <w:ind w:right="98"/>
              <w:rPr>
                <w:sz w:val="19"/>
              </w:rPr>
            </w:pPr>
            <w:r>
              <w:rPr>
                <w:sz w:val="19"/>
              </w:rPr>
              <w:t>129</w:t>
            </w:r>
          </w:p>
        </w:tc>
        <w:tc>
          <w:tcPr>
            <w:tcW w:w="817" w:type="dxa"/>
          </w:tcPr>
          <w:p>
            <w:pPr>
              <w:pStyle w:val="TableParagraph"/>
              <w:spacing w:before="33"/>
              <w:ind w:right="64"/>
              <w:rPr>
                <w:sz w:val="19"/>
              </w:rPr>
            </w:pPr>
            <w:r>
              <w:rPr>
                <w:sz w:val="19"/>
              </w:rPr>
              <w:t>165</w:t>
            </w:r>
          </w:p>
        </w:tc>
      </w:tr>
      <w:tr>
        <w:trPr>
          <w:trHeight w:val="300" w:hRule="exact"/>
        </w:trPr>
        <w:tc>
          <w:tcPr>
            <w:tcW w:w="2761" w:type="dxa"/>
          </w:tcPr>
          <w:p>
            <w:pPr>
              <w:pStyle w:val="TableParagraph"/>
              <w:spacing w:before="31"/>
              <w:ind w:left="71" w:right="327"/>
              <w:jc w:val="left"/>
              <w:rPr>
                <w:sz w:val="19"/>
              </w:rPr>
            </w:pPr>
            <w:r>
              <w:rPr>
                <w:w w:val="105"/>
                <w:sz w:val="19"/>
              </w:rPr>
              <w:t>Asistencia pública</w:t>
            </w:r>
          </w:p>
        </w:tc>
        <w:tc>
          <w:tcPr>
            <w:tcW w:w="882" w:type="dxa"/>
          </w:tcPr>
          <w:p>
            <w:pPr>
              <w:pStyle w:val="TableParagraph"/>
              <w:spacing w:before="31"/>
              <w:ind w:right="99"/>
              <w:rPr>
                <w:sz w:val="19"/>
              </w:rPr>
            </w:pPr>
            <w:r>
              <w:rPr>
                <w:sz w:val="19"/>
              </w:rPr>
              <w:t>21</w:t>
            </w:r>
          </w:p>
        </w:tc>
        <w:tc>
          <w:tcPr>
            <w:tcW w:w="853" w:type="dxa"/>
          </w:tcPr>
          <w:p>
            <w:pPr>
              <w:pStyle w:val="TableParagraph"/>
              <w:spacing w:before="31"/>
              <w:ind w:right="99"/>
              <w:rPr>
                <w:sz w:val="19"/>
              </w:rPr>
            </w:pPr>
            <w:r>
              <w:rPr>
                <w:sz w:val="19"/>
              </w:rPr>
              <w:t>27</w:t>
            </w:r>
          </w:p>
        </w:tc>
        <w:tc>
          <w:tcPr>
            <w:tcW w:w="852" w:type="dxa"/>
          </w:tcPr>
          <w:p>
            <w:pPr>
              <w:pStyle w:val="TableParagraph"/>
              <w:spacing w:before="31"/>
              <w:ind w:right="98"/>
              <w:rPr>
                <w:sz w:val="19"/>
              </w:rPr>
            </w:pPr>
            <w:r>
              <w:rPr>
                <w:sz w:val="19"/>
              </w:rPr>
              <w:t>10</w:t>
            </w:r>
          </w:p>
        </w:tc>
        <w:tc>
          <w:tcPr>
            <w:tcW w:w="851" w:type="dxa"/>
          </w:tcPr>
          <w:p>
            <w:pPr>
              <w:pStyle w:val="TableParagraph"/>
              <w:spacing w:before="31"/>
              <w:ind w:right="97"/>
              <w:rPr>
                <w:sz w:val="19"/>
              </w:rPr>
            </w:pPr>
            <w:r>
              <w:rPr>
                <w:sz w:val="19"/>
              </w:rPr>
              <w:t>18</w:t>
            </w:r>
          </w:p>
        </w:tc>
        <w:tc>
          <w:tcPr>
            <w:tcW w:w="850" w:type="dxa"/>
          </w:tcPr>
          <w:p>
            <w:pPr>
              <w:pStyle w:val="TableParagraph"/>
              <w:spacing w:before="31"/>
              <w:ind w:right="98"/>
              <w:rPr>
                <w:sz w:val="19"/>
              </w:rPr>
            </w:pPr>
            <w:r>
              <w:rPr>
                <w:sz w:val="19"/>
              </w:rPr>
              <w:t>11</w:t>
            </w:r>
          </w:p>
        </w:tc>
        <w:tc>
          <w:tcPr>
            <w:tcW w:w="817" w:type="dxa"/>
          </w:tcPr>
          <w:p>
            <w:pPr>
              <w:pStyle w:val="TableParagraph"/>
              <w:spacing w:before="31"/>
              <w:ind w:right="64"/>
              <w:rPr>
                <w:sz w:val="19"/>
              </w:rPr>
            </w:pPr>
            <w:r>
              <w:rPr>
                <w:sz w:val="19"/>
              </w:rPr>
              <w:t>15</w:t>
            </w:r>
          </w:p>
        </w:tc>
      </w:tr>
      <w:tr>
        <w:trPr>
          <w:trHeight w:val="300" w:hRule="exact"/>
        </w:trPr>
        <w:tc>
          <w:tcPr>
            <w:tcW w:w="2761" w:type="dxa"/>
          </w:tcPr>
          <w:p>
            <w:pPr>
              <w:pStyle w:val="TableParagraph"/>
              <w:spacing w:before="33"/>
              <w:ind w:left="71" w:right="327"/>
              <w:jc w:val="left"/>
              <w:rPr>
                <w:sz w:val="19"/>
              </w:rPr>
            </w:pPr>
            <w:r>
              <w:rPr>
                <w:w w:val="105"/>
                <w:sz w:val="19"/>
              </w:rPr>
              <w:t>Seguridad social</w:t>
            </w:r>
          </w:p>
        </w:tc>
        <w:tc>
          <w:tcPr>
            <w:tcW w:w="882" w:type="dxa"/>
          </w:tcPr>
          <w:p>
            <w:pPr>
              <w:pStyle w:val="TableParagraph"/>
              <w:spacing w:before="33"/>
              <w:ind w:right="99"/>
              <w:rPr>
                <w:sz w:val="19"/>
              </w:rPr>
            </w:pPr>
            <w:r>
              <w:rPr>
                <w:sz w:val="19"/>
              </w:rPr>
              <w:t>42</w:t>
            </w:r>
          </w:p>
        </w:tc>
        <w:tc>
          <w:tcPr>
            <w:tcW w:w="853" w:type="dxa"/>
          </w:tcPr>
          <w:p>
            <w:pPr>
              <w:pStyle w:val="TableParagraph"/>
              <w:spacing w:before="33"/>
              <w:ind w:right="99"/>
              <w:rPr>
                <w:sz w:val="19"/>
              </w:rPr>
            </w:pPr>
            <w:r>
              <w:rPr>
                <w:sz w:val="19"/>
              </w:rPr>
              <w:t>88</w:t>
            </w:r>
          </w:p>
        </w:tc>
        <w:tc>
          <w:tcPr>
            <w:tcW w:w="852" w:type="dxa"/>
          </w:tcPr>
          <w:p>
            <w:pPr>
              <w:pStyle w:val="TableParagraph"/>
              <w:spacing w:before="33"/>
              <w:ind w:right="98"/>
              <w:rPr>
                <w:sz w:val="19"/>
              </w:rPr>
            </w:pPr>
            <w:r>
              <w:rPr>
                <w:sz w:val="19"/>
              </w:rPr>
              <w:t>97</w:t>
            </w:r>
          </w:p>
        </w:tc>
        <w:tc>
          <w:tcPr>
            <w:tcW w:w="851" w:type="dxa"/>
          </w:tcPr>
          <w:p>
            <w:pPr>
              <w:pStyle w:val="TableParagraph"/>
              <w:spacing w:before="33"/>
              <w:ind w:right="97"/>
              <w:rPr>
                <w:sz w:val="19"/>
              </w:rPr>
            </w:pPr>
            <w:r>
              <w:rPr>
                <w:sz w:val="19"/>
              </w:rPr>
              <w:t>130</w:t>
            </w:r>
          </w:p>
        </w:tc>
        <w:tc>
          <w:tcPr>
            <w:tcW w:w="850" w:type="dxa"/>
          </w:tcPr>
          <w:p>
            <w:pPr>
              <w:pStyle w:val="TableParagraph"/>
              <w:spacing w:before="33"/>
              <w:ind w:right="98"/>
              <w:rPr>
                <w:sz w:val="19"/>
              </w:rPr>
            </w:pPr>
            <w:r>
              <w:rPr>
                <w:sz w:val="19"/>
              </w:rPr>
              <w:t>136</w:t>
            </w:r>
          </w:p>
        </w:tc>
        <w:tc>
          <w:tcPr>
            <w:tcW w:w="817" w:type="dxa"/>
          </w:tcPr>
          <w:p>
            <w:pPr>
              <w:pStyle w:val="TableParagraph"/>
              <w:spacing w:before="33"/>
              <w:ind w:right="64"/>
              <w:rPr>
                <w:sz w:val="19"/>
              </w:rPr>
            </w:pPr>
            <w:r>
              <w:rPr>
                <w:sz w:val="19"/>
              </w:rPr>
              <w:t>139</w:t>
            </w:r>
          </w:p>
        </w:tc>
      </w:tr>
      <w:tr>
        <w:trPr>
          <w:trHeight w:val="300" w:hRule="exact"/>
        </w:trPr>
        <w:tc>
          <w:tcPr>
            <w:tcW w:w="2761" w:type="dxa"/>
          </w:tcPr>
          <w:p>
            <w:pPr>
              <w:pStyle w:val="TableParagraph"/>
              <w:spacing w:before="31"/>
              <w:ind w:left="71" w:right="327"/>
              <w:jc w:val="left"/>
              <w:rPr>
                <w:sz w:val="19"/>
              </w:rPr>
            </w:pPr>
            <w:r>
              <w:rPr>
                <w:w w:val="105"/>
                <w:sz w:val="19"/>
              </w:rPr>
              <w:t>Ingreso por desempleo</w:t>
            </w:r>
          </w:p>
        </w:tc>
        <w:tc>
          <w:tcPr>
            <w:tcW w:w="882" w:type="dxa"/>
          </w:tcPr>
          <w:p>
            <w:pPr>
              <w:pStyle w:val="TableParagraph"/>
              <w:spacing w:before="31"/>
              <w:ind w:right="99"/>
              <w:rPr>
                <w:sz w:val="19"/>
              </w:rPr>
            </w:pPr>
            <w:r>
              <w:rPr>
                <w:sz w:val="19"/>
              </w:rPr>
              <w:t>42</w:t>
            </w:r>
          </w:p>
        </w:tc>
        <w:tc>
          <w:tcPr>
            <w:tcW w:w="853" w:type="dxa"/>
          </w:tcPr>
          <w:p>
            <w:pPr>
              <w:pStyle w:val="TableParagraph"/>
              <w:spacing w:before="31"/>
              <w:ind w:right="99"/>
              <w:rPr>
                <w:sz w:val="19"/>
              </w:rPr>
            </w:pPr>
            <w:r>
              <w:rPr>
                <w:sz w:val="19"/>
              </w:rPr>
              <w:t>40</w:t>
            </w:r>
          </w:p>
        </w:tc>
        <w:tc>
          <w:tcPr>
            <w:tcW w:w="852" w:type="dxa"/>
          </w:tcPr>
          <w:p>
            <w:pPr>
              <w:pStyle w:val="TableParagraph"/>
              <w:spacing w:before="31"/>
              <w:ind w:right="98"/>
              <w:rPr>
                <w:sz w:val="19"/>
              </w:rPr>
            </w:pPr>
            <w:r>
              <w:rPr>
                <w:sz w:val="19"/>
              </w:rPr>
              <w:t>52</w:t>
            </w:r>
          </w:p>
        </w:tc>
        <w:tc>
          <w:tcPr>
            <w:tcW w:w="851" w:type="dxa"/>
          </w:tcPr>
          <w:p>
            <w:pPr>
              <w:pStyle w:val="TableParagraph"/>
              <w:spacing w:before="31"/>
              <w:ind w:right="97"/>
              <w:rPr>
                <w:sz w:val="19"/>
              </w:rPr>
            </w:pPr>
            <w:r>
              <w:rPr>
                <w:sz w:val="19"/>
              </w:rPr>
              <w:t>46</w:t>
            </w:r>
          </w:p>
        </w:tc>
        <w:tc>
          <w:tcPr>
            <w:tcW w:w="850" w:type="dxa"/>
          </w:tcPr>
          <w:p>
            <w:pPr>
              <w:pStyle w:val="TableParagraph"/>
              <w:spacing w:before="31"/>
              <w:ind w:right="98"/>
              <w:rPr>
                <w:sz w:val="19"/>
              </w:rPr>
            </w:pPr>
            <w:r>
              <w:rPr>
                <w:sz w:val="19"/>
              </w:rPr>
              <w:t>150</w:t>
            </w:r>
          </w:p>
        </w:tc>
        <w:tc>
          <w:tcPr>
            <w:tcW w:w="817" w:type="dxa"/>
          </w:tcPr>
          <w:p>
            <w:pPr>
              <w:pStyle w:val="TableParagraph"/>
              <w:spacing w:before="31"/>
              <w:ind w:right="64"/>
              <w:rPr>
                <w:sz w:val="19"/>
              </w:rPr>
            </w:pPr>
            <w:r>
              <w:rPr>
                <w:sz w:val="19"/>
              </w:rPr>
              <w:t>132</w:t>
            </w:r>
          </w:p>
        </w:tc>
      </w:tr>
      <w:tr>
        <w:trPr>
          <w:trHeight w:val="300" w:hRule="exact"/>
        </w:trPr>
        <w:tc>
          <w:tcPr>
            <w:tcW w:w="2761" w:type="dxa"/>
          </w:tcPr>
          <w:p>
            <w:pPr>
              <w:pStyle w:val="TableParagraph"/>
              <w:spacing w:before="33"/>
              <w:ind w:left="72" w:right="327"/>
              <w:jc w:val="left"/>
              <w:rPr>
                <w:sz w:val="19"/>
              </w:rPr>
            </w:pPr>
            <w:r>
              <w:rPr>
                <w:w w:val="105"/>
                <w:sz w:val="19"/>
              </w:rPr>
              <w:t>Ingreso veteranos</w:t>
            </w:r>
          </w:p>
        </w:tc>
        <w:tc>
          <w:tcPr>
            <w:tcW w:w="882" w:type="dxa"/>
          </w:tcPr>
          <w:p>
            <w:pPr>
              <w:pStyle w:val="TableParagraph"/>
              <w:spacing w:before="33"/>
              <w:ind w:right="101"/>
              <w:rPr>
                <w:sz w:val="19"/>
              </w:rPr>
            </w:pPr>
            <w:r>
              <w:rPr>
                <w:w w:val="103"/>
                <w:sz w:val="19"/>
              </w:rPr>
              <w:t>4</w:t>
            </w:r>
          </w:p>
        </w:tc>
        <w:tc>
          <w:tcPr>
            <w:tcW w:w="853" w:type="dxa"/>
          </w:tcPr>
          <w:p>
            <w:pPr>
              <w:pStyle w:val="TableParagraph"/>
              <w:spacing w:before="33"/>
              <w:ind w:right="99"/>
              <w:rPr>
                <w:sz w:val="19"/>
              </w:rPr>
            </w:pPr>
            <w:r>
              <w:rPr>
                <w:sz w:val="19"/>
              </w:rPr>
              <w:t>10</w:t>
            </w:r>
          </w:p>
        </w:tc>
        <w:tc>
          <w:tcPr>
            <w:tcW w:w="852" w:type="dxa"/>
          </w:tcPr>
          <w:p>
            <w:pPr>
              <w:pStyle w:val="TableParagraph"/>
              <w:spacing w:before="33"/>
              <w:ind w:right="98"/>
              <w:rPr>
                <w:sz w:val="19"/>
              </w:rPr>
            </w:pPr>
            <w:r>
              <w:rPr>
                <w:sz w:val="19"/>
              </w:rPr>
              <w:t>27</w:t>
            </w:r>
          </w:p>
        </w:tc>
        <w:tc>
          <w:tcPr>
            <w:tcW w:w="851" w:type="dxa"/>
          </w:tcPr>
          <w:p>
            <w:pPr>
              <w:pStyle w:val="TableParagraph"/>
              <w:spacing w:before="33"/>
              <w:ind w:right="97"/>
              <w:rPr>
                <w:sz w:val="19"/>
              </w:rPr>
            </w:pPr>
            <w:r>
              <w:rPr>
                <w:sz w:val="19"/>
              </w:rPr>
              <w:t>22</w:t>
            </w:r>
          </w:p>
        </w:tc>
        <w:tc>
          <w:tcPr>
            <w:tcW w:w="850" w:type="dxa"/>
          </w:tcPr>
          <w:p>
            <w:pPr>
              <w:pStyle w:val="TableParagraph"/>
              <w:spacing w:before="33"/>
              <w:ind w:right="98"/>
              <w:rPr>
                <w:sz w:val="19"/>
              </w:rPr>
            </w:pPr>
            <w:r>
              <w:rPr>
                <w:sz w:val="19"/>
              </w:rPr>
              <w:t>34</w:t>
            </w:r>
          </w:p>
        </w:tc>
        <w:tc>
          <w:tcPr>
            <w:tcW w:w="817" w:type="dxa"/>
          </w:tcPr>
          <w:p>
            <w:pPr>
              <w:pStyle w:val="TableParagraph"/>
              <w:spacing w:before="33"/>
              <w:ind w:right="64"/>
              <w:rPr>
                <w:sz w:val="19"/>
              </w:rPr>
            </w:pPr>
            <w:r>
              <w:rPr>
                <w:sz w:val="19"/>
              </w:rPr>
              <w:t>26</w:t>
            </w:r>
          </w:p>
        </w:tc>
      </w:tr>
      <w:tr>
        <w:trPr>
          <w:trHeight w:val="300" w:hRule="exact"/>
        </w:trPr>
        <w:tc>
          <w:tcPr>
            <w:tcW w:w="2761" w:type="dxa"/>
          </w:tcPr>
          <w:p>
            <w:pPr>
              <w:pStyle w:val="TableParagraph"/>
              <w:spacing w:before="31"/>
              <w:ind w:left="72" w:right="327"/>
              <w:jc w:val="left"/>
              <w:rPr>
                <w:sz w:val="19"/>
              </w:rPr>
            </w:pPr>
            <w:r>
              <w:rPr>
                <w:w w:val="105"/>
                <w:sz w:val="19"/>
              </w:rPr>
              <w:t>Ingreso discapacidad</w:t>
            </w:r>
          </w:p>
        </w:tc>
        <w:tc>
          <w:tcPr>
            <w:tcW w:w="882" w:type="dxa"/>
          </w:tcPr>
          <w:p>
            <w:pPr>
              <w:pStyle w:val="TableParagraph"/>
              <w:spacing w:before="31"/>
              <w:ind w:right="101"/>
              <w:rPr>
                <w:sz w:val="19"/>
              </w:rPr>
            </w:pPr>
            <w:r>
              <w:rPr>
                <w:w w:val="103"/>
                <w:sz w:val="19"/>
              </w:rPr>
              <w:t>0</w:t>
            </w:r>
          </w:p>
        </w:tc>
        <w:tc>
          <w:tcPr>
            <w:tcW w:w="853" w:type="dxa"/>
          </w:tcPr>
          <w:p>
            <w:pPr>
              <w:pStyle w:val="TableParagraph"/>
              <w:spacing w:before="31"/>
              <w:ind w:right="101"/>
              <w:rPr>
                <w:sz w:val="19"/>
              </w:rPr>
            </w:pPr>
            <w:r>
              <w:rPr>
                <w:w w:val="103"/>
                <w:sz w:val="19"/>
              </w:rPr>
              <w:t>0</w:t>
            </w:r>
          </w:p>
        </w:tc>
        <w:tc>
          <w:tcPr>
            <w:tcW w:w="852" w:type="dxa"/>
          </w:tcPr>
          <w:p>
            <w:pPr>
              <w:pStyle w:val="TableParagraph"/>
              <w:spacing w:before="31"/>
              <w:ind w:right="100"/>
              <w:rPr>
                <w:sz w:val="19"/>
              </w:rPr>
            </w:pPr>
            <w:r>
              <w:rPr>
                <w:w w:val="103"/>
                <w:sz w:val="19"/>
              </w:rPr>
              <w:t>0</w:t>
            </w:r>
          </w:p>
        </w:tc>
        <w:tc>
          <w:tcPr>
            <w:tcW w:w="851" w:type="dxa"/>
          </w:tcPr>
          <w:p>
            <w:pPr>
              <w:pStyle w:val="TableParagraph"/>
              <w:spacing w:before="31"/>
              <w:ind w:right="99"/>
              <w:rPr>
                <w:sz w:val="19"/>
              </w:rPr>
            </w:pPr>
            <w:r>
              <w:rPr>
                <w:w w:val="103"/>
                <w:sz w:val="19"/>
              </w:rPr>
              <w:t>0</w:t>
            </w:r>
          </w:p>
        </w:tc>
        <w:tc>
          <w:tcPr>
            <w:tcW w:w="850" w:type="dxa"/>
          </w:tcPr>
          <w:p>
            <w:pPr>
              <w:pStyle w:val="TableParagraph"/>
              <w:spacing w:before="31"/>
              <w:ind w:right="99"/>
              <w:rPr>
                <w:sz w:val="19"/>
              </w:rPr>
            </w:pPr>
            <w:r>
              <w:rPr>
                <w:w w:val="103"/>
                <w:sz w:val="19"/>
              </w:rPr>
              <w:t>0</w:t>
            </w:r>
          </w:p>
        </w:tc>
        <w:tc>
          <w:tcPr>
            <w:tcW w:w="817" w:type="dxa"/>
          </w:tcPr>
          <w:p>
            <w:pPr>
              <w:pStyle w:val="TableParagraph"/>
              <w:spacing w:before="31"/>
              <w:ind w:right="66"/>
              <w:rPr>
                <w:sz w:val="19"/>
              </w:rPr>
            </w:pPr>
            <w:r>
              <w:rPr>
                <w:w w:val="103"/>
                <w:sz w:val="19"/>
              </w:rPr>
              <w:t>4</w:t>
            </w:r>
          </w:p>
        </w:tc>
      </w:tr>
      <w:tr>
        <w:trPr>
          <w:trHeight w:val="300" w:hRule="exact"/>
        </w:trPr>
        <w:tc>
          <w:tcPr>
            <w:tcW w:w="2761" w:type="dxa"/>
          </w:tcPr>
          <w:p>
            <w:pPr>
              <w:pStyle w:val="TableParagraph"/>
              <w:spacing w:before="33"/>
              <w:ind w:left="72" w:right="327"/>
              <w:jc w:val="left"/>
              <w:rPr>
                <w:sz w:val="19"/>
              </w:rPr>
            </w:pPr>
            <w:r>
              <w:rPr>
                <w:w w:val="105"/>
                <w:sz w:val="19"/>
              </w:rPr>
              <w:t>Total ingreso/pago impuesto</w:t>
            </w:r>
          </w:p>
        </w:tc>
        <w:tc>
          <w:tcPr>
            <w:tcW w:w="882" w:type="dxa"/>
          </w:tcPr>
          <w:p>
            <w:pPr>
              <w:pStyle w:val="TableParagraph"/>
              <w:spacing w:before="33"/>
              <w:ind w:right="100"/>
              <w:rPr>
                <w:sz w:val="19"/>
              </w:rPr>
            </w:pPr>
            <w:r>
              <w:rPr>
                <w:sz w:val="19"/>
              </w:rPr>
              <w:t>3.7</w:t>
            </w:r>
          </w:p>
        </w:tc>
        <w:tc>
          <w:tcPr>
            <w:tcW w:w="853" w:type="dxa"/>
          </w:tcPr>
          <w:p>
            <w:pPr>
              <w:pStyle w:val="TableParagraph"/>
              <w:spacing w:before="33"/>
              <w:ind w:right="100"/>
              <w:rPr>
                <w:sz w:val="19"/>
              </w:rPr>
            </w:pPr>
            <w:r>
              <w:rPr>
                <w:sz w:val="19"/>
              </w:rPr>
              <w:t>3.3</w:t>
            </w:r>
          </w:p>
        </w:tc>
        <w:tc>
          <w:tcPr>
            <w:tcW w:w="852" w:type="dxa"/>
          </w:tcPr>
          <w:p>
            <w:pPr>
              <w:pStyle w:val="TableParagraph"/>
              <w:spacing w:before="33"/>
              <w:ind w:right="99"/>
              <w:rPr>
                <w:sz w:val="19"/>
              </w:rPr>
            </w:pPr>
            <w:r>
              <w:rPr>
                <w:sz w:val="19"/>
              </w:rPr>
              <w:t>2.9</w:t>
            </w:r>
          </w:p>
        </w:tc>
        <w:tc>
          <w:tcPr>
            <w:tcW w:w="851" w:type="dxa"/>
          </w:tcPr>
          <w:p>
            <w:pPr>
              <w:pStyle w:val="TableParagraph"/>
              <w:spacing w:before="33"/>
              <w:ind w:right="98"/>
              <w:rPr>
                <w:sz w:val="19"/>
              </w:rPr>
            </w:pPr>
            <w:r>
              <w:rPr>
                <w:sz w:val="19"/>
              </w:rPr>
              <w:t>2.6</w:t>
            </w:r>
          </w:p>
        </w:tc>
        <w:tc>
          <w:tcPr>
            <w:tcW w:w="850" w:type="dxa"/>
          </w:tcPr>
          <w:p>
            <w:pPr>
              <w:pStyle w:val="TableParagraph"/>
              <w:spacing w:before="33"/>
              <w:ind w:right="99"/>
              <w:rPr>
                <w:sz w:val="19"/>
              </w:rPr>
            </w:pPr>
            <w:r>
              <w:rPr>
                <w:sz w:val="19"/>
              </w:rPr>
              <w:t>3.4</w:t>
            </w:r>
          </w:p>
        </w:tc>
        <w:tc>
          <w:tcPr>
            <w:tcW w:w="817" w:type="dxa"/>
          </w:tcPr>
          <w:p>
            <w:pPr>
              <w:pStyle w:val="TableParagraph"/>
              <w:spacing w:before="33"/>
              <w:ind w:right="65"/>
              <w:rPr>
                <w:sz w:val="19"/>
              </w:rPr>
            </w:pPr>
            <w:r>
              <w:rPr>
                <w:sz w:val="19"/>
              </w:rPr>
              <w:t>3.6</w:t>
            </w:r>
          </w:p>
        </w:tc>
      </w:tr>
      <w:tr>
        <w:trPr>
          <w:trHeight w:val="300" w:hRule="exact"/>
        </w:trPr>
        <w:tc>
          <w:tcPr>
            <w:tcW w:w="2761" w:type="dxa"/>
          </w:tcPr>
          <w:p>
            <w:pPr>
              <w:pStyle w:val="TableParagraph"/>
              <w:spacing w:before="31"/>
              <w:ind w:left="72" w:right="327"/>
              <w:jc w:val="left"/>
              <w:rPr>
                <w:sz w:val="19"/>
              </w:rPr>
            </w:pPr>
            <w:r>
              <w:rPr>
                <w:w w:val="105"/>
                <w:sz w:val="19"/>
              </w:rPr>
              <w:t>Otros nativo</w:t>
            </w:r>
          </w:p>
        </w:tc>
        <w:tc>
          <w:tcPr>
            <w:tcW w:w="882" w:type="dxa"/>
          </w:tcPr>
          <w:p>
            <w:pPr/>
          </w:p>
        </w:tc>
        <w:tc>
          <w:tcPr>
            <w:tcW w:w="853" w:type="dxa"/>
          </w:tcPr>
          <w:p>
            <w:pPr/>
          </w:p>
        </w:tc>
        <w:tc>
          <w:tcPr>
            <w:tcW w:w="852" w:type="dxa"/>
          </w:tcPr>
          <w:p>
            <w:pPr/>
          </w:p>
        </w:tc>
        <w:tc>
          <w:tcPr>
            <w:tcW w:w="851" w:type="dxa"/>
          </w:tcPr>
          <w:p>
            <w:pPr/>
          </w:p>
        </w:tc>
        <w:tc>
          <w:tcPr>
            <w:tcW w:w="850" w:type="dxa"/>
          </w:tcPr>
          <w:p>
            <w:pPr/>
          </w:p>
        </w:tc>
        <w:tc>
          <w:tcPr>
            <w:tcW w:w="817" w:type="dxa"/>
          </w:tcPr>
          <w:p>
            <w:pPr/>
          </w:p>
        </w:tc>
      </w:tr>
      <w:tr>
        <w:trPr>
          <w:trHeight w:val="274" w:hRule="exact"/>
        </w:trPr>
        <w:tc>
          <w:tcPr>
            <w:tcW w:w="2761" w:type="dxa"/>
            <w:tcBorders>
              <w:bottom w:val="double" w:sz="4" w:space="0" w:color="000000"/>
            </w:tcBorders>
          </w:tcPr>
          <w:p>
            <w:pPr>
              <w:pStyle w:val="TableParagraph"/>
              <w:spacing w:before="33"/>
              <w:ind w:left="72" w:right="327"/>
              <w:jc w:val="left"/>
              <w:rPr>
                <w:sz w:val="19"/>
              </w:rPr>
            </w:pPr>
            <w:r>
              <w:rPr>
                <w:w w:val="105"/>
                <w:sz w:val="19"/>
              </w:rPr>
              <w:t>Pago de impuesto</w:t>
            </w:r>
          </w:p>
        </w:tc>
        <w:tc>
          <w:tcPr>
            <w:tcW w:w="882" w:type="dxa"/>
            <w:tcBorders>
              <w:bottom w:val="double" w:sz="4" w:space="0" w:color="000000"/>
            </w:tcBorders>
          </w:tcPr>
          <w:p>
            <w:pPr>
              <w:pStyle w:val="TableParagraph"/>
              <w:spacing w:before="33"/>
              <w:ind w:right="99"/>
              <w:rPr>
                <w:sz w:val="19"/>
              </w:rPr>
            </w:pPr>
            <w:r>
              <w:rPr>
                <w:w w:val="105"/>
                <w:sz w:val="19"/>
              </w:rPr>
              <w:t>377 190</w:t>
            </w:r>
          </w:p>
        </w:tc>
        <w:tc>
          <w:tcPr>
            <w:tcW w:w="853" w:type="dxa"/>
            <w:tcBorders>
              <w:bottom w:val="double" w:sz="4" w:space="0" w:color="000000"/>
            </w:tcBorders>
          </w:tcPr>
          <w:p>
            <w:pPr>
              <w:pStyle w:val="TableParagraph"/>
              <w:spacing w:before="33"/>
              <w:ind w:right="99"/>
              <w:rPr>
                <w:sz w:val="19"/>
              </w:rPr>
            </w:pPr>
            <w:r>
              <w:rPr>
                <w:w w:val="105"/>
                <w:sz w:val="19"/>
              </w:rPr>
              <w:t>544 923</w:t>
            </w:r>
          </w:p>
        </w:tc>
        <w:tc>
          <w:tcPr>
            <w:tcW w:w="852" w:type="dxa"/>
            <w:tcBorders>
              <w:bottom w:val="double" w:sz="4" w:space="0" w:color="000000"/>
            </w:tcBorders>
          </w:tcPr>
          <w:p>
            <w:pPr>
              <w:pStyle w:val="TableParagraph"/>
              <w:spacing w:before="33"/>
              <w:ind w:right="98"/>
              <w:rPr>
                <w:sz w:val="19"/>
              </w:rPr>
            </w:pPr>
            <w:r>
              <w:rPr>
                <w:w w:val="105"/>
                <w:sz w:val="19"/>
              </w:rPr>
              <w:t>658 727</w:t>
            </w:r>
          </w:p>
        </w:tc>
        <w:tc>
          <w:tcPr>
            <w:tcW w:w="851" w:type="dxa"/>
            <w:tcBorders>
              <w:bottom w:val="double" w:sz="4" w:space="0" w:color="000000"/>
            </w:tcBorders>
          </w:tcPr>
          <w:p>
            <w:pPr>
              <w:pStyle w:val="TableParagraph"/>
              <w:spacing w:before="33"/>
              <w:ind w:right="97"/>
              <w:rPr>
                <w:sz w:val="19"/>
              </w:rPr>
            </w:pPr>
            <w:r>
              <w:rPr>
                <w:w w:val="105"/>
                <w:sz w:val="19"/>
              </w:rPr>
              <w:t>748 950</w:t>
            </w:r>
          </w:p>
        </w:tc>
        <w:tc>
          <w:tcPr>
            <w:tcW w:w="850" w:type="dxa"/>
            <w:tcBorders>
              <w:bottom w:val="double" w:sz="4" w:space="0" w:color="000000"/>
            </w:tcBorders>
          </w:tcPr>
          <w:p>
            <w:pPr>
              <w:pStyle w:val="TableParagraph"/>
              <w:spacing w:before="33"/>
              <w:ind w:right="98"/>
              <w:rPr>
                <w:sz w:val="19"/>
              </w:rPr>
            </w:pPr>
            <w:r>
              <w:rPr>
                <w:w w:val="105"/>
                <w:sz w:val="19"/>
              </w:rPr>
              <w:t>739 653</w:t>
            </w:r>
          </w:p>
        </w:tc>
        <w:tc>
          <w:tcPr>
            <w:tcW w:w="817" w:type="dxa"/>
            <w:tcBorders>
              <w:bottom w:val="double" w:sz="4" w:space="0" w:color="000000"/>
            </w:tcBorders>
          </w:tcPr>
          <w:p>
            <w:pPr>
              <w:pStyle w:val="TableParagraph"/>
              <w:spacing w:before="33"/>
              <w:ind w:right="64"/>
              <w:rPr>
                <w:sz w:val="19"/>
              </w:rPr>
            </w:pPr>
            <w:r>
              <w:rPr>
                <w:w w:val="105"/>
                <w:sz w:val="19"/>
              </w:rPr>
              <w:t>746 196</w:t>
            </w:r>
          </w:p>
        </w:tc>
      </w:tr>
      <w:tr>
        <w:trPr>
          <w:trHeight w:val="294" w:hRule="exact"/>
        </w:trPr>
        <w:tc>
          <w:tcPr>
            <w:tcW w:w="2761" w:type="dxa"/>
            <w:tcBorders>
              <w:top w:val="double" w:sz="4" w:space="0" w:color="000000"/>
            </w:tcBorders>
          </w:tcPr>
          <w:p>
            <w:pPr>
              <w:pStyle w:val="TableParagraph"/>
              <w:spacing w:line="183" w:lineRule="exact"/>
              <w:ind w:left="72" w:right="327"/>
              <w:jc w:val="left"/>
              <w:rPr>
                <w:sz w:val="16"/>
              </w:rPr>
            </w:pPr>
            <w:r>
              <w:rPr>
                <w:sz w:val="16"/>
              </w:rPr>
              <w:t>Fuente: Delgado y Olvera, 2012.</w:t>
            </w:r>
          </w:p>
        </w:tc>
        <w:tc>
          <w:tcPr>
            <w:tcW w:w="882" w:type="dxa"/>
            <w:tcBorders>
              <w:top w:val="double" w:sz="4" w:space="0" w:color="000000"/>
            </w:tcBorders>
          </w:tcPr>
          <w:p>
            <w:pPr/>
          </w:p>
        </w:tc>
        <w:tc>
          <w:tcPr>
            <w:tcW w:w="853" w:type="dxa"/>
            <w:tcBorders>
              <w:top w:val="double" w:sz="4" w:space="0" w:color="000000"/>
            </w:tcBorders>
          </w:tcPr>
          <w:p>
            <w:pPr/>
          </w:p>
        </w:tc>
        <w:tc>
          <w:tcPr>
            <w:tcW w:w="852" w:type="dxa"/>
            <w:tcBorders>
              <w:top w:val="double" w:sz="4" w:space="0" w:color="000000"/>
            </w:tcBorders>
          </w:tcPr>
          <w:p>
            <w:pPr/>
          </w:p>
        </w:tc>
        <w:tc>
          <w:tcPr>
            <w:tcW w:w="851" w:type="dxa"/>
            <w:tcBorders>
              <w:top w:val="double" w:sz="4" w:space="0" w:color="000000"/>
            </w:tcBorders>
          </w:tcPr>
          <w:p>
            <w:pPr/>
          </w:p>
        </w:tc>
        <w:tc>
          <w:tcPr>
            <w:tcW w:w="850" w:type="dxa"/>
            <w:tcBorders>
              <w:top w:val="double" w:sz="4" w:space="0" w:color="000000"/>
            </w:tcBorders>
          </w:tcPr>
          <w:p>
            <w:pPr/>
          </w:p>
        </w:tc>
        <w:tc>
          <w:tcPr>
            <w:tcW w:w="817" w:type="dxa"/>
            <w:tcBorders>
              <w:top w:val="double" w:sz="4" w:space="0" w:color="000000"/>
            </w:tcBorders>
          </w:tcPr>
          <w:p>
            <w:pPr/>
          </w:p>
        </w:tc>
      </w:tr>
    </w:tbl>
    <w:p>
      <w:pPr>
        <w:spacing w:after="0"/>
        <w:sectPr>
          <w:footerReference w:type="default" r:id="rId138"/>
          <w:pgSz w:w="13040" w:h="9360" w:orient="landscape"/>
          <w:pgMar w:footer="0" w:header="0" w:top="0" w:bottom="280" w:left="1840" w:right="1840"/>
        </w:sectPr>
      </w:pPr>
    </w:p>
    <w:p>
      <w:pPr>
        <w:pStyle w:val="BodyText"/>
        <w:rPr>
          <w:sz w:val="20"/>
        </w:rPr>
      </w:pPr>
      <w:r>
        <w:rPr/>
        <w:pict>
          <v:shape style="position:absolute;margin-left:595.135681pt;margin-top:340.848389pt;width:11pt;height:57.05pt;mso-position-horizontal-relative:page;mso-position-vertical-relative:page;z-index:4600" type="#_x0000_t202" filled="false" stroked="false">
            <v:textbox inset="0,0,0,0" style="layout-flow:vertical">
              <w:txbxContent>
                <w:p>
                  <w:pPr>
                    <w:spacing w:line="204" w:lineRule="exact" w:before="0"/>
                    <w:ind w:left="20" w:right="-921" w:firstLine="0"/>
                    <w:jc w:val="left"/>
                    <w:rPr>
                      <w:sz w:val="18"/>
                    </w:rPr>
                  </w:pPr>
                  <w:r>
                    <w:rPr>
                      <w:color w:val="231F20"/>
                      <w:sz w:val="18"/>
                    </w:rPr>
                    <w:t>CIEAP/UAEM</w:t>
                  </w:r>
                </w:p>
              </w:txbxContent>
            </v:textbox>
            <w10:wrap type="none"/>
          </v:shape>
        </w:pict>
      </w:r>
      <w:r>
        <w:rPr/>
        <w:pict>
          <v:shape style="position:absolute;margin-left:593.309937pt;margin-top:69.866096pt;width:12pt;height:200.85pt;mso-position-horizontal-relative:page;mso-position-vertical-relative:page;z-index:4624" type="#_x0000_t202" filled="false" stroked="false">
            <v:textbox inset="0,0,0,0" style="layout-flow:vertical">
              <w:txbxContent>
                <w:p>
                  <w:pPr>
                    <w:spacing w:line="208" w:lineRule="exact" w:before="0"/>
                    <w:ind w:left="20" w:right="-673" w:firstLine="0"/>
                    <w:jc w:val="left"/>
                    <w:rPr>
                      <w:rFonts w:ascii="Arial" w:hAnsi="Arial"/>
                      <w:sz w:val="20"/>
                    </w:rPr>
                  </w:pPr>
                  <w:r>
                    <w:rPr>
                      <w:rFonts w:ascii="Arial" w:hAnsi="Arial"/>
                      <w:color w:val="231F20"/>
                      <w:spacing w:val="-1"/>
                      <w:w w:val="78"/>
                      <w:sz w:val="20"/>
                    </w:rPr>
                    <w:t>Hito</w:t>
                  </w:r>
                  <w:r>
                    <w:rPr>
                      <w:rFonts w:ascii="Arial" w:hAnsi="Arial"/>
                      <w:color w:val="231F20"/>
                      <w:w w:val="78"/>
                      <w:sz w:val="20"/>
                    </w:rPr>
                    <w:t>s</w:t>
                  </w:r>
                  <w:r>
                    <w:rPr>
                      <w:rFonts w:ascii="Arial" w:hAnsi="Arial"/>
                      <w:color w:val="231F20"/>
                      <w:spacing w:val="-1"/>
                      <w:sz w:val="20"/>
                    </w:rPr>
                    <w:t> </w:t>
                  </w:r>
                  <w:r>
                    <w:rPr>
                      <w:rFonts w:ascii="Arial" w:hAnsi="Arial"/>
                      <w:color w:val="231F20"/>
                      <w:w w:val="72"/>
                      <w:sz w:val="20"/>
                    </w:rPr>
                    <w:t>Demográficos</w:t>
                  </w:r>
                  <w:r>
                    <w:rPr>
                      <w:rFonts w:ascii="Arial" w:hAnsi="Arial"/>
                      <w:color w:val="231F20"/>
                      <w:spacing w:val="-1"/>
                      <w:sz w:val="20"/>
                    </w:rPr>
                    <w:t> </w:t>
                  </w:r>
                  <w:r>
                    <w:rPr>
                      <w:rFonts w:ascii="Arial" w:hAnsi="Arial"/>
                      <w:color w:val="231F20"/>
                      <w:w w:val="76"/>
                      <w:sz w:val="20"/>
                    </w:rPr>
                    <w:t>del</w:t>
                  </w:r>
                  <w:r>
                    <w:rPr>
                      <w:rFonts w:ascii="Arial" w:hAnsi="Arial"/>
                      <w:color w:val="231F20"/>
                      <w:spacing w:val="-1"/>
                      <w:sz w:val="20"/>
                    </w:rPr>
                    <w:t> </w:t>
                  </w:r>
                  <w:r>
                    <w:rPr>
                      <w:rFonts w:ascii="Arial" w:hAnsi="Arial"/>
                      <w:color w:val="231F20"/>
                      <w:spacing w:val="-1"/>
                      <w:w w:val="77"/>
                      <w:sz w:val="20"/>
                    </w:rPr>
                    <w:t>Sigl</w:t>
                  </w:r>
                  <w:r>
                    <w:rPr>
                      <w:rFonts w:ascii="Arial" w:hAnsi="Arial"/>
                      <w:color w:val="231F20"/>
                      <w:w w:val="77"/>
                      <w:sz w:val="20"/>
                    </w:rPr>
                    <w:t>o</w:t>
                  </w:r>
                  <w:r>
                    <w:rPr>
                      <w:rFonts w:ascii="Arial" w:hAnsi="Arial"/>
                      <w:color w:val="231F20"/>
                      <w:sz w:val="20"/>
                    </w:rPr>
                    <w:t> </w:t>
                  </w:r>
                  <w:r>
                    <w:rPr>
                      <w:rFonts w:ascii="Arial" w:hAnsi="Arial"/>
                      <w:color w:val="231F20"/>
                      <w:w w:val="80"/>
                      <w:sz w:val="20"/>
                    </w:rPr>
                    <w:t>XXI:</w:t>
                  </w:r>
                  <w:r>
                    <w:rPr>
                      <w:rFonts w:ascii="Arial" w:hAnsi="Arial"/>
                      <w:color w:val="231F20"/>
                      <w:spacing w:val="-1"/>
                      <w:sz w:val="20"/>
                    </w:rPr>
                    <w:t> </w:t>
                  </w:r>
                  <w:r>
                    <w:rPr>
                      <w:rFonts w:ascii="Arial" w:hAnsi="Arial"/>
                      <w:color w:val="231F20"/>
                      <w:w w:val="76"/>
                      <w:sz w:val="20"/>
                    </w:rPr>
                    <w:t>Migración</w:t>
                  </w:r>
                  <w:r>
                    <w:rPr>
                      <w:rFonts w:ascii="Arial" w:hAnsi="Arial"/>
                      <w:color w:val="231F20"/>
                      <w:spacing w:val="-1"/>
                      <w:sz w:val="20"/>
                    </w:rPr>
                    <w:t> </w:t>
                  </w:r>
                  <w:r>
                    <w:rPr>
                      <w:rFonts w:ascii="Arial" w:hAnsi="Arial"/>
                      <w:color w:val="231F20"/>
                      <w:w w:val="76"/>
                      <w:sz w:val="20"/>
                    </w:rPr>
                    <w:t>Internacional</w:t>
                  </w:r>
                </w:p>
              </w:txbxContent>
            </v:textbox>
            <w10:wrap type="none"/>
          </v:shape>
        </w:pict>
      </w:r>
      <w:r>
        <w:rPr/>
        <w:pict>
          <v:shape style="position:absolute;margin-left:23.820354pt;margin-top:215.850403pt;width:12pt;height:21.25pt;mso-position-horizontal-relative:page;mso-position-vertical-relative:page;z-index:4648" type="#_x0000_t202" filled="false" stroked="false">
            <v:textbox inset="0,0,0,0" style="layout-flow:vertical">
              <w:txbxContent>
                <w:p>
                  <w:pPr>
                    <w:spacing w:line="214" w:lineRule="exact" w:before="0"/>
                    <w:ind w:left="20" w:right="-182" w:firstLine="0"/>
                    <w:jc w:val="left"/>
                    <w:rPr>
                      <w:rFonts w:ascii="Verdana"/>
                      <w:sz w:val="20"/>
                    </w:rPr>
                  </w:pPr>
                  <w:r>
                    <w:rPr>
                      <w:rFonts w:ascii="Verdana"/>
                      <w:color w:val="231F20"/>
                      <w:spacing w:val="-1"/>
                      <w:w w:val="100"/>
                      <w:sz w:val="20"/>
                    </w:rPr>
                    <w:t>160</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tabs>
          <w:tab w:pos="8721" w:val="left" w:leader="none"/>
        </w:tabs>
        <w:spacing w:before="81" w:after="37"/>
        <w:ind w:left="1564" w:right="0" w:firstLine="0"/>
        <w:jc w:val="left"/>
        <w:rPr>
          <w:sz w:val="19"/>
        </w:rPr>
      </w:pPr>
      <w:r>
        <w:rPr>
          <w:spacing w:val="22"/>
          <w:w w:val="103"/>
          <w:sz w:val="19"/>
          <w:u w:val="single"/>
        </w:rPr>
        <w:t> </w:t>
      </w:r>
      <w:r>
        <w:rPr>
          <w:w w:val="105"/>
          <w:sz w:val="19"/>
          <w:u w:val="single"/>
        </w:rPr>
        <w:t>Cuadro 4. Pago de impuestos sobre el producto al salario</w:t>
      </w:r>
      <w:r>
        <w:rPr>
          <w:spacing w:val="-15"/>
          <w:w w:val="105"/>
          <w:sz w:val="19"/>
          <w:u w:val="single"/>
        </w:rPr>
        <w:t> </w:t>
      </w:r>
      <w:r>
        <w:rPr>
          <w:w w:val="105"/>
          <w:sz w:val="19"/>
          <w:u w:val="single"/>
        </w:rPr>
        <w:t>(continuación)</w:t>
      </w:r>
      <w:r>
        <w:rPr>
          <w:sz w:val="19"/>
          <w:u w:val="single"/>
        </w:rPr>
        <w:tab/>
      </w:r>
    </w:p>
    <w:tbl>
      <w:tblPr>
        <w:tblW w:w="0" w:type="auto"/>
        <w:jc w:val="left"/>
        <w:tblInd w:w="156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92"/>
        <w:gridCol w:w="597"/>
        <w:gridCol w:w="592"/>
        <w:gridCol w:w="693"/>
        <w:gridCol w:w="690"/>
        <w:gridCol w:w="697"/>
        <w:gridCol w:w="696"/>
      </w:tblGrid>
      <w:tr>
        <w:trPr>
          <w:trHeight w:val="291" w:hRule="exact"/>
        </w:trPr>
        <w:tc>
          <w:tcPr>
            <w:tcW w:w="3192" w:type="dxa"/>
            <w:tcBorders>
              <w:bottom w:val="double" w:sz="4" w:space="0" w:color="000000"/>
            </w:tcBorders>
          </w:tcPr>
          <w:p>
            <w:pPr/>
          </w:p>
        </w:tc>
        <w:tc>
          <w:tcPr>
            <w:tcW w:w="597" w:type="dxa"/>
            <w:tcBorders>
              <w:bottom w:val="double" w:sz="4" w:space="0" w:color="000000"/>
            </w:tcBorders>
          </w:tcPr>
          <w:p>
            <w:pPr>
              <w:pStyle w:val="TableParagraph"/>
              <w:spacing w:before="51"/>
              <w:ind w:right="68"/>
              <w:rPr>
                <w:sz w:val="19"/>
              </w:rPr>
            </w:pPr>
            <w:r>
              <w:rPr>
                <w:sz w:val="19"/>
              </w:rPr>
              <w:t>1994</w:t>
            </w:r>
          </w:p>
        </w:tc>
        <w:tc>
          <w:tcPr>
            <w:tcW w:w="592" w:type="dxa"/>
            <w:tcBorders>
              <w:bottom w:val="double" w:sz="4" w:space="0" w:color="000000"/>
            </w:tcBorders>
          </w:tcPr>
          <w:p>
            <w:pPr>
              <w:pStyle w:val="TableParagraph"/>
              <w:spacing w:before="51"/>
              <w:ind w:right="69"/>
              <w:rPr>
                <w:sz w:val="19"/>
              </w:rPr>
            </w:pPr>
            <w:r>
              <w:rPr>
                <w:sz w:val="19"/>
              </w:rPr>
              <w:t>2000</w:t>
            </w:r>
          </w:p>
        </w:tc>
        <w:tc>
          <w:tcPr>
            <w:tcW w:w="693" w:type="dxa"/>
            <w:tcBorders>
              <w:bottom w:val="double" w:sz="4" w:space="0" w:color="000000"/>
            </w:tcBorders>
          </w:tcPr>
          <w:p>
            <w:pPr>
              <w:pStyle w:val="TableParagraph"/>
              <w:spacing w:before="51"/>
              <w:ind w:right="69"/>
              <w:rPr>
                <w:sz w:val="19"/>
              </w:rPr>
            </w:pPr>
            <w:r>
              <w:rPr>
                <w:sz w:val="19"/>
              </w:rPr>
              <w:t>2005</w:t>
            </w:r>
          </w:p>
        </w:tc>
        <w:tc>
          <w:tcPr>
            <w:tcW w:w="690" w:type="dxa"/>
            <w:tcBorders>
              <w:bottom w:val="double" w:sz="4" w:space="0" w:color="000000"/>
            </w:tcBorders>
          </w:tcPr>
          <w:p>
            <w:pPr>
              <w:pStyle w:val="TableParagraph"/>
              <w:spacing w:before="51"/>
              <w:ind w:right="66"/>
              <w:rPr>
                <w:sz w:val="19"/>
              </w:rPr>
            </w:pPr>
            <w:r>
              <w:rPr>
                <w:sz w:val="19"/>
              </w:rPr>
              <w:t>2008</w:t>
            </w:r>
          </w:p>
        </w:tc>
        <w:tc>
          <w:tcPr>
            <w:tcW w:w="697" w:type="dxa"/>
            <w:tcBorders>
              <w:bottom w:val="double" w:sz="4" w:space="0" w:color="000000"/>
            </w:tcBorders>
          </w:tcPr>
          <w:p>
            <w:pPr>
              <w:pStyle w:val="TableParagraph"/>
              <w:spacing w:before="51"/>
              <w:ind w:right="77"/>
              <w:rPr>
                <w:sz w:val="19"/>
              </w:rPr>
            </w:pPr>
            <w:r>
              <w:rPr>
                <w:sz w:val="19"/>
              </w:rPr>
              <w:t>2010</w:t>
            </w:r>
          </w:p>
        </w:tc>
        <w:tc>
          <w:tcPr>
            <w:tcW w:w="696" w:type="dxa"/>
            <w:tcBorders>
              <w:bottom w:val="double" w:sz="4" w:space="0" w:color="000000"/>
            </w:tcBorders>
          </w:tcPr>
          <w:p>
            <w:pPr>
              <w:pStyle w:val="TableParagraph"/>
              <w:spacing w:before="51"/>
              <w:ind w:right="64"/>
              <w:rPr>
                <w:sz w:val="19"/>
              </w:rPr>
            </w:pPr>
            <w:r>
              <w:rPr>
                <w:sz w:val="19"/>
              </w:rPr>
              <w:t>2011</w:t>
            </w:r>
          </w:p>
        </w:tc>
      </w:tr>
      <w:tr>
        <w:trPr>
          <w:trHeight w:val="482" w:hRule="exact"/>
        </w:trPr>
        <w:tc>
          <w:tcPr>
            <w:tcW w:w="3192" w:type="dxa"/>
            <w:tcBorders>
              <w:top w:val="double" w:sz="4" w:space="0" w:color="000000"/>
            </w:tcBorders>
          </w:tcPr>
          <w:p>
            <w:pPr>
              <w:pStyle w:val="TableParagraph"/>
              <w:spacing w:line="247" w:lineRule="auto" w:before="9"/>
              <w:ind w:left="71" w:right="64"/>
              <w:jc w:val="left"/>
              <w:rPr>
                <w:sz w:val="19"/>
              </w:rPr>
            </w:pPr>
            <w:r>
              <w:rPr>
                <w:w w:val="105"/>
                <w:sz w:val="19"/>
              </w:rPr>
              <w:t>Porcentaje que representa al subgrupo poblacional respecto del total</w:t>
            </w:r>
          </w:p>
        </w:tc>
        <w:tc>
          <w:tcPr>
            <w:tcW w:w="597" w:type="dxa"/>
            <w:tcBorders>
              <w:top w:val="double" w:sz="4" w:space="0" w:color="000000"/>
            </w:tcBorders>
          </w:tcPr>
          <w:p>
            <w:pPr>
              <w:pStyle w:val="TableParagraph"/>
              <w:spacing w:before="5"/>
              <w:jc w:val="left"/>
              <w:rPr>
                <w:sz w:val="20"/>
              </w:rPr>
            </w:pPr>
          </w:p>
          <w:p>
            <w:pPr>
              <w:pStyle w:val="TableParagraph"/>
              <w:ind w:right="69"/>
              <w:rPr>
                <w:sz w:val="19"/>
              </w:rPr>
            </w:pPr>
            <w:r>
              <w:rPr>
                <w:sz w:val="19"/>
              </w:rPr>
              <w:t>91.6</w:t>
            </w:r>
          </w:p>
        </w:tc>
        <w:tc>
          <w:tcPr>
            <w:tcW w:w="592" w:type="dxa"/>
            <w:tcBorders>
              <w:top w:val="double" w:sz="4" w:space="0" w:color="000000"/>
            </w:tcBorders>
          </w:tcPr>
          <w:p>
            <w:pPr>
              <w:pStyle w:val="TableParagraph"/>
              <w:spacing w:before="5"/>
              <w:jc w:val="left"/>
              <w:rPr>
                <w:sz w:val="20"/>
              </w:rPr>
            </w:pPr>
          </w:p>
          <w:p>
            <w:pPr>
              <w:pStyle w:val="TableParagraph"/>
              <w:ind w:right="71"/>
              <w:rPr>
                <w:sz w:val="19"/>
              </w:rPr>
            </w:pPr>
            <w:r>
              <w:rPr>
                <w:sz w:val="19"/>
              </w:rPr>
              <w:t>89.5</w:t>
            </w:r>
          </w:p>
        </w:tc>
        <w:tc>
          <w:tcPr>
            <w:tcW w:w="693" w:type="dxa"/>
            <w:tcBorders>
              <w:top w:val="double" w:sz="4" w:space="0" w:color="000000"/>
            </w:tcBorders>
          </w:tcPr>
          <w:p>
            <w:pPr>
              <w:pStyle w:val="TableParagraph"/>
              <w:spacing w:before="5"/>
              <w:jc w:val="left"/>
              <w:rPr>
                <w:sz w:val="20"/>
              </w:rPr>
            </w:pPr>
          </w:p>
          <w:p>
            <w:pPr>
              <w:pStyle w:val="TableParagraph"/>
              <w:ind w:right="71"/>
              <w:rPr>
                <w:sz w:val="19"/>
              </w:rPr>
            </w:pPr>
            <w:r>
              <w:rPr>
                <w:sz w:val="19"/>
              </w:rPr>
              <w:t>86.7</w:t>
            </w:r>
          </w:p>
        </w:tc>
        <w:tc>
          <w:tcPr>
            <w:tcW w:w="690" w:type="dxa"/>
            <w:tcBorders>
              <w:top w:val="double" w:sz="4" w:space="0" w:color="000000"/>
            </w:tcBorders>
          </w:tcPr>
          <w:p>
            <w:pPr>
              <w:pStyle w:val="TableParagraph"/>
              <w:spacing w:before="5"/>
              <w:jc w:val="left"/>
              <w:rPr>
                <w:sz w:val="20"/>
              </w:rPr>
            </w:pPr>
          </w:p>
          <w:p>
            <w:pPr>
              <w:pStyle w:val="TableParagraph"/>
              <w:ind w:right="67"/>
              <w:rPr>
                <w:sz w:val="19"/>
              </w:rPr>
            </w:pPr>
            <w:r>
              <w:rPr>
                <w:sz w:val="19"/>
              </w:rPr>
              <w:t>85.7</w:t>
            </w:r>
          </w:p>
        </w:tc>
        <w:tc>
          <w:tcPr>
            <w:tcW w:w="697" w:type="dxa"/>
            <w:tcBorders>
              <w:top w:val="double" w:sz="4" w:space="0" w:color="000000"/>
            </w:tcBorders>
          </w:tcPr>
          <w:p>
            <w:pPr>
              <w:pStyle w:val="TableParagraph"/>
              <w:spacing w:before="5"/>
              <w:jc w:val="left"/>
              <w:rPr>
                <w:sz w:val="20"/>
              </w:rPr>
            </w:pPr>
          </w:p>
          <w:p>
            <w:pPr>
              <w:pStyle w:val="TableParagraph"/>
              <w:ind w:right="78"/>
              <w:rPr>
                <w:sz w:val="19"/>
              </w:rPr>
            </w:pPr>
            <w:r>
              <w:rPr>
                <w:sz w:val="19"/>
              </w:rPr>
              <w:t>85.9</w:t>
            </w:r>
          </w:p>
        </w:tc>
        <w:tc>
          <w:tcPr>
            <w:tcW w:w="696" w:type="dxa"/>
            <w:tcBorders>
              <w:top w:val="double" w:sz="4" w:space="0" w:color="000000"/>
            </w:tcBorders>
          </w:tcPr>
          <w:p>
            <w:pPr>
              <w:pStyle w:val="TableParagraph"/>
              <w:spacing w:before="5"/>
              <w:jc w:val="left"/>
              <w:rPr>
                <w:sz w:val="20"/>
              </w:rPr>
            </w:pPr>
          </w:p>
          <w:p>
            <w:pPr>
              <w:pStyle w:val="TableParagraph"/>
              <w:ind w:right="66"/>
              <w:rPr>
                <w:sz w:val="19"/>
              </w:rPr>
            </w:pPr>
            <w:r>
              <w:rPr>
                <w:sz w:val="19"/>
              </w:rPr>
              <w:t>85.8</w:t>
            </w:r>
          </w:p>
        </w:tc>
      </w:tr>
      <w:tr>
        <w:trPr>
          <w:trHeight w:val="266" w:hRule="exact"/>
        </w:trPr>
        <w:tc>
          <w:tcPr>
            <w:tcW w:w="3192" w:type="dxa"/>
          </w:tcPr>
          <w:p>
            <w:pPr>
              <w:pStyle w:val="TableParagraph"/>
              <w:spacing w:line="216" w:lineRule="exact"/>
              <w:ind w:left="71" w:right="64"/>
              <w:jc w:val="left"/>
              <w:rPr>
                <w:sz w:val="19"/>
              </w:rPr>
            </w:pPr>
            <w:r>
              <w:rPr>
                <w:w w:val="105"/>
                <w:sz w:val="19"/>
              </w:rPr>
              <w:t>impuestos</w:t>
            </w:r>
          </w:p>
        </w:tc>
        <w:tc>
          <w:tcPr>
            <w:tcW w:w="597" w:type="dxa"/>
          </w:tcPr>
          <w:p>
            <w:pPr/>
          </w:p>
        </w:tc>
        <w:tc>
          <w:tcPr>
            <w:tcW w:w="592" w:type="dxa"/>
          </w:tcPr>
          <w:p>
            <w:pPr/>
          </w:p>
        </w:tc>
        <w:tc>
          <w:tcPr>
            <w:tcW w:w="693" w:type="dxa"/>
          </w:tcPr>
          <w:p>
            <w:pPr/>
          </w:p>
        </w:tc>
        <w:tc>
          <w:tcPr>
            <w:tcW w:w="690" w:type="dxa"/>
          </w:tcPr>
          <w:p>
            <w:pPr/>
          </w:p>
        </w:tc>
        <w:tc>
          <w:tcPr>
            <w:tcW w:w="697" w:type="dxa"/>
          </w:tcPr>
          <w:p>
            <w:pPr/>
          </w:p>
        </w:tc>
        <w:tc>
          <w:tcPr>
            <w:tcW w:w="696" w:type="dxa"/>
          </w:tcPr>
          <w:p>
            <w:pPr/>
          </w:p>
        </w:tc>
      </w:tr>
      <w:tr>
        <w:trPr>
          <w:trHeight w:val="300" w:hRule="exact"/>
        </w:trPr>
        <w:tc>
          <w:tcPr>
            <w:tcW w:w="3192" w:type="dxa"/>
          </w:tcPr>
          <w:p>
            <w:pPr>
              <w:pStyle w:val="TableParagraph"/>
              <w:spacing w:before="33"/>
              <w:ind w:left="71" w:right="64"/>
              <w:jc w:val="left"/>
              <w:rPr>
                <w:sz w:val="19"/>
              </w:rPr>
            </w:pPr>
            <w:r>
              <w:rPr>
                <w:w w:val="105"/>
                <w:sz w:val="19"/>
              </w:rPr>
              <w:t>Ingreso por tipo de fuente</w:t>
            </w:r>
          </w:p>
        </w:tc>
        <w:tc>
          <w:tcPr>
            <w:tcW w:w="597" w:type="dxa"/>
          </w:tcPr>
          <w:p>
            <w:pPr>
              <w:pStyle w:val="TableParagraph"/>
              <w:spacing w:before="33"/>
              <w:ind w:right="68"/>
              <w:rPr>
                <w:sz w:val="19"/>
              </w:rPr>
            </w:pPr>
            <w:r>
              <w:rPr>
                <w:w w:val="105"/>
                <w:sz w:val="19"/>
              </w:rPr>
              <w:t>7 100</w:t>
            </w:r>
          </w:p>
        </w:tc>
        <w:tc>
          <w:tcPr>
            <w:tcW w:w="592" w:type="dxa"/>
          </w:tcPr>
          <w:p>
            <w:pPr>
              <w:pStyle w:val="TableParagraph"/>
              <w:spacing w:before="33"/>
              <w:ind w:right="69"/>
              <w:rPr>
                <w:sz w:val="19"/>
              </w:rPr>
            </w:pPr>
            <w:r>
              <w:rPr>
                <w:w w:val="105"/>
                <w:sz w:val="19"/>
              </w:rPr>
              <w:t>8 697</w:t>
            </w:r>
          </w:p>
        </w:tc>
        <w:tc>
          <w:tcPr>
            <w:tcW w:w="693" w:type="dxa"/>
          </w:tcPr>
          <w:p>
            <w:pPr>
              <w:pStyle w:val="TableParagraph"/>
              <w:spacing w:before="33"/>
              <w:ind w:right="69"/>
              <w:rPr>
                <w:sz w:val="19"/>
              </w:rPr>
            </w:pPr>
            <w:r>
              <w:rPr>
                <w:w w:val="105"/>
                <w:sz w:val="19"/>
              </w:rPr>
              <w:t>11 431</w:t>
            </w:r>
          </w:p>
        </w:tc>
        <w:tc>
          <w:tcPr>
            <w:tcW w:w="690" w:type="dxa"/>
          </w:tcPr>
          <w:p>
            <w:pPr>
              <w:pStyle w:val="TableParagraph"/>
              <w:spacing w:before="33"/>
              <w:ind w:right="66"/>
              <w:rPr>
                <w:sz w:val="19"/>
              </w:rPr>
            </w:pPr>
            <w:r>
              <w:rPr>
                <w:w w:val="105"/>
                <w:sz w:val="19"/>
              </w:rPr>
              <w:t>12 018</w:t>
            </w:r>
          </w:p>
        </w:tc>
        <w:tc>
          <w:tcPr>
            <w:tcW w:w="697" w:type="dxa"/>
          </w:tcPr>
          <w:p>
            <w:pPr>
              <w:pStyle w:val="TableParagraph"/>
              <w:spacing w:before="33"/>
              <w:ind w:right="77"/>
              <w:rPr>
                <w:sz w:val="19"/>
              </w:rPr>
            </w:pPr>
            <w:r>
              <w:rPr>
                <w:w w:val="105"/>
                <w:sz w:val="19"/>
              </w:rPr>
              <w:t>14 984</w:t>
            </w:r>
          </w:p>
        </w:tc>
        <w:tc>
          <w:tcPr>
            <w:tcW w:w="696" w:type="dxa"/>
          </w:tcPr>
          <w:p>
            <w:pPr>
              <w:pStyle w:val="TableParagraph"/>
              <w:spacing w:before="33"/>
              <w:ind w:right="64"/>
              <w:rPr>
                <w:sz w:val="19"/>
              </w:rPr>
            </w:pPr>
            <w:r>
              <w:rPr>
                <w:w w:val="105"/>
                <w:sz w:val="19"/>
              </w:rPr>
              <w:t>15 727</w:t>
            </w:r>
          </w:p>
        </w:tc>
      </w:tr>
      <w:tr>
        <w:trPr>
          <w:trHeight w:val="300" w:hRule="exact"/>
        </w:trPr>
        <w:tc>
          <w:tcPr>
            <w:tcW w:w="3192" w:type="dxa"/>
          </w:tcPr>
          <w:p>
            <w:pPr>
              <w:pStyle w:val="TableParagraph"/>
              <w:spacing w:before="31"/>
              <w:ind w:left="71" w:right="64"/>
              <w:jc w:val="left"/>
              <w:rPr>
                <w:sz w:val="19"/>
              </w:rPr>
            </w:pPr>
            <w:r>
              <w:rPr>
                <w:w w:val="105"/>
                <w:sz w:val="19"/>
              </w:rPr>
              <w:t>Ingreso por asistencia infantil</w:t>
            </w:r>
          </w:p>
        </w:tc>
        <w:tc>
          <w:tcPr>
            <w:tcW w:w="597" w:type="dxa"/>
          </w:tcPr>
          <w:p>
            <w:pPr>
              <w:pStyle w:val="TableParagraph"/>
              <w:spacing w:before="31"/>
              <w:ind w:right="68"/>
              <w:rPr>
                <w:sz w:val="19"/>
              </w:rPr>
            </w:pPr>
            <w:r>
              <w:rPr>
                <w:w w:val="105"/>
                <w:sz w:val="19"/>
              </w:rPr>
              <w:t>1 089</w:t>
            </w:r>
          </w:p>
        </w:tc>
        <w:tc>
          <w:tcPr>
            <w:tcW w:w="592" w:type="dxa"/>
          </w:tcPr>
          <w:p>
            <w:pPr>
              <w:pStyle w:val="TableParagraph"/>
              <w:spacing w:before="31"/>
              <w:ind w:right="69"/>
              <w:rPr>
                <w:sz w:val="19"/>
              </w:rPr>
            </w:pPr>
            <w:r>
              <w:rPr>
                <w:w w:val="105"/>
                <w:sz w:val="19"/>
              </w:rPr>
              <w:t>1 530</w:t>
            </w:r>
          </w:p>
        </w:tc>
        <w:tc>
          <w:tcPr>
            <w:tcW w:w="693" w:type="dxa"/>
          </w:tcPr>
          <w:p>
            <w:pPr>
              <w:pStyle w:val="TableParagraph"/>
              <w:spacing w:before="31"/>
              <w:ind w:right="69"/>
              <w:rPr>
                <w:sz w:val="19"/>
              </w:rPr>
            </w:pPr>
            <w:r>
              <w:rPr>
                <w:sz w:val="19"/>
              </w:rPr>
              <w:t>1827</w:t>
            </w:r>
          </w:p>
        </w:tc>
        <w:tc>
          <w:tcPr>
            <w:tcW w:w="690" w:type="dxa"/>
          </w:tcPr>
          <w:p>
            <w:pPr>
              <w:pStyle w:val="TableParagraph"/>
              <w:spacing w:before="31"/>
              <w:ind w:right="66"/>
              <w:rPr>
                <w:sz w:val="19"/>
              </w:rPr>
            </w:pPr>
            <w:r>
              <w:rPr>
                <w:w w:val="105"/>
                <w:sz w:val="19"/>
              </w:rPr>
              <w:t>1 660</w:t>
            </w:r>
          </w:p>
        </w:tc>
        <w:tc>
          <w:tcPr>
            <w:tcW w:w="697" w:type="dxa"/>
          </w:tcPr>
          <w:p>
            <w:pPr>
              <w:pStyle w:val="TableParagraph"/>
              <w:spacing w:before="31"/>
              <w:ind w:right="77"/>
              <w:rPr>
                <w:sz w:val="19"/>
              </w:rPr>
            </w:pPr>
            <w:r>
              <w:rPr>
                <w:w w:val="105"/>
                <w:sz w:val="19"/>
              </w:rPr>
              <w:t>1 494</w:t>
            </w:r>
          </w:p>
        </w:tc>
        <w:tc>
          <w:tcPr>
            <w:tcW w:w="696" w:type="dxa"/>
          </w:tcPr>
          <w:p>
            <w:pPr>
              <w:pStyle w:val="TableParagraph"/>
              <w:spacing w:before="31"/>
              <w:ind w:right="64"/>
              <w:rPr>
                <w:sz w:val="19"/>
              </w:rPr>
            </w:pPr>
            <w:r>
              <w:rPr>
                <w:w w:val="105"/>
                <w:sz w:val="19"/>
              </w:rPr>
              <w:t>1 644</w:t>
            </w:r>
          </w:p>
        </w:tc>
      </w:tr>
      <w:tr>
        <w:trPr>
          <w:trHeight w:val="300" w:hRule="exact"/>
        </w:trPr>
        <w:tc>
          <w:tcPr>
            <w:tcW w:w="3192" w:type="dxa"/>
          </w:tcPr>
          <w:p>
            <w:pPr>
              <w:pStyle w:val="TableParagraph"/>
              <w:spacing w:before="33"/>
              <w:ind w:left="71" w:right="64"/>
              <w:jc w:val="left"/>
              <w:rPr>
                <w:sz w:val="19"/>
              </w:rPr>
            </w:pPr>
            <w:r>
              <w:rPr>
                <w:w w:val="105"/>
                <w:sz w:val="19"/>
              </w:rPr>
              <w:t>Ingreso por asistencia educativa</w:t>
            </w:r>
          </w:p>
        </w:tc>
        <w:tc>
          <w:tcPr>
            <w:tcW w:w="597" w:type="dxa"/>
          </w:tcPr>
          <w:p>
            <w:pPr>
              <w:pStyle w:val="TableParagraph"/>
              <w:spacing w:before="33"/>
              <w:ind w:right="68"/>
              <w:rPr>
                <w:sz w:val="19"/>
              </w:rPr>
            </w:pPr>
            <w:r>
              <w:rPr>
                <w:w w:val="105"/>
                <w:sz w:val="19"/>
              </w:rPr>
              <w:t>1 211</w:t>
            </w:r>
          </w:p>
        </w:tc>
        <w:tc>
          <w:tcPr>
            <w:tcW w:w="592" w:type="dxa"/>
          </w:tcPr>
          <w:p>
            <w:pPr>
              <w:pStyle w:val="TableParagraph"/>
              <w:spacing w:before="33"/>
              <w:ind w:right="69"/>
              <w:rPr>
                <w:sz w:val="19"/>
              </w:rPr>
            </w:pPr>
            <w:r>
              <w:rPr>
                <w:w w:val="105"/>
                <w:sz w:val="19"/>
              </w:rPr>
              <w:t>1 695</w:t>
            </w:r>
          </w:p>
        </w:tc>
        <w:tc>
          <w:tcPr>
            <w:tcW w:w="693" w:type="dxa"/>
          </w:tcPr>
          <w:p>
            <w:pPr>
              <w:pStyle w:val="TableParagraph"/>
              <w:spacing w:before="33"/>
              <w:ind w:right="69"/>
              <w:rPr>
                <w:sz w:val="19"/>
              </w:rPr>
            </w:pPr>
            <w:r>
              <w:rPr>
                <w:w w:val="105"/>
                <w:sz w:val="19"/>
              </w:rPr>
              <w:t>2 152</w:t>
            </w:r>
          </w:p>
        </w:tc>
        <w:tc>
          <w:tcPr>
            <w:tcW w:w="690" w:type="dxa"/>
          </w:tcPr>
          <w:p>
            <w:pPr>
              <w:pStyle w:val="TableParagraph"/>
              <w:spacing w:before="33"/>
              <w:ind w:right="66"/>
              <w:rPr>
                <w:sz w:val="19"/>
              </w:rPr>
            </w:pPr>
            <w:r>
              <w:rPr>
                <w:w w:val="105"/>
                <w:sz w:val="19"/>
              </w:rPr>
              <w:t>2 218</w:t>
            </w:r>
          </w:p>
        </w:tc>
        <w:tc>
          <w:tcPr>
            <w:tcW w:w="697" w:type="dxa"/>
          </w:tcPr>
          <w:p>
            <w:pPr>
              <w:pStyle w:val="TableParagraph"/>
              <w:spacing w:before="33"/>
              <w:ind w:right="77"/>
              <w:rPr>
                <w:sz w:val="19"/>
              </w:rPr>
            </w:pPr>
            <w:r>
              <w:rPr>
                <w:w w:val="105"/>
                <w:sz w:val="19"/>
              </w:rPr>
              <w:t>2 360</w:t>
            </w:r>
          </w:p>
        </w:tc>
        <w:tc>
          <w:tcPr>
            <w:tcW w:w="696" w:type="dxa"/>
          </w:tcPr>
          <w:p>
            <w:pPr>
              <w:pStyle w:val="TableParagraph"/>
              <w:spacing w:before="33"/>
              <w:ind w:right="64"/>
              <w:rPr>
                <w:sz w:val="19"/>
              </w:rPr>
            </w:pPr>
            <w:r>
              <w:rPr>
                <w:w w:val="105"/>
                <w:sz w:val="19"/>
              </w:rPr>
              <w:t>2 824</w:t>
            </w:r>
          </w:p>
        </w:tc>
      </w:tr>
      <w:tr>
        <w:trPr>
          <w:trHeight w:val="300" w:hRule="exact"/>
        </w:trPr>
        <w:tc>
          <w:tcPr>
            <w:tcW w:w="3192" w:type="dxa"/>
          </w:tcPr>
          <w:p>
            <w:pPr>
              <w:pStyle w:val="TableParagraph"/>
              <w:spacing w:before="31"/>
              <w:ind w:left="71" w:right="64"/>
              <w:jc w:val="left"/>
              <w:rPr>
                <w:sz w:val="19"/>
              </w:rPr>
            </w:pPr>
            <w:r>
              <w:rPr>
                <w:w w:val="105"/>
                <w:sz w:val="19"/>
              </w:rPr>
              <w:t>Asistencia pública</w:t>
            </w:r>
          </w:p>
        </w:tc>
        <w:tc>
          <w:tcPr>
            <w:tcW w:w="597" w:type="dxa"/>
          </w:tcPr>
          <w:p>
            <w:pPr>
              <w:pStyle w:val="TableParagraph"/>
              <w:spacing w:before="31"/>
              <w:ind w:right="68"/>
              <w:rPr>
                <w:sz w:val="19"/>
              </w:rPr>
            </w:pPr>
            <w:r>
              <w:rPr>
                <w:sz w:val="19"/>
              </w:rPr>
              <w:t>283</w:t>
            </w:r>
          </w:p>
        </w:tc>
        <w:tc>
          <w:tcPr>
            <w:tcW w:w="592" w:type="dxa"/>
          </w:tcPr>
          <w:p>
            <w:pPr>
              <w:pStyle w:val="TableParagraph"/>
              <w:spacing w:before="31"/>
              <w:ind w:right="69"/>
              <w:rPr>
                <w:sz w:val="19"/>
              </w:rPr>
            </w:pPr>
            <w:r>
              <w:rPr>
                <w:sz w:val="19"/>
              </w:rPr>
              <w:t>201</w:t>
            </w:r>
          </w:p>
        </w:tc>
        <w:tc>
          <w:tcPr>
            <w:tcW w:w="693" w:type="dxa"/>
          </w:tcPr>
          <w:p>
            <w:pPr>
              <w:pStyle w:val="TableParagraph"/>
              <w:spacing w:before="31"/>
              <w:ind w:right="69"/>
              <w:rPr>
                <w:sz w:val="19"/>
              </w:rPr>
            </w:pPr>
            <w:r>
              <w:rPr>
                <w:sz w:val="19"/>
              </w:rPr>
              <w:t>98</w:t>
            </w:r>
          </w:p>
        </w:tc>
        <w:tc>
          <w:tcPr>
            <w:tcW w:w="690" w:type="dxa"/>
          </w:tcPr>
          <w:p>
            <w:pPr>
              <w:pStyle w:val="TableParagraph"/>
              <w:spacing w:before="31"/>
              <w:ind w:right="66"/>
              <w:rPr>
                <w:sz w:val="19"/>
              </w:rPr>
            </w:pPr>
            <w:r>
              <w:rPr>
                <w:sz w:val="19"/>
              </w:rPr>
              <w:t>95</w:t>
            </w:r>
          </w:p>
        </w:tc>
        <w:tc>
          <w:tcPr>
            <w:tcW w:w="697" w:type="dxa"/>
          </w:tcPr>
          <w:p>
            <w:pPr>
              <w:pStyle w:val="TableParagraph"/>
              <w:spacing w:before="31"/>
              <w:ind w:right="77"/>
              <w:rPr>
                <w:sz w:val="19"/>
              </w:rPr>
            </w:pPr>
            <w:r>
              <w:rPr>
                <w:sz w:val="19"/>
              </w:rPr>
              <w:t>101</w:t>
            </w:r>
          </w:p>
        </w:tc>
        <w:tc>
          <w:tcPr>
            <w:tcW w:w="696" w:type="dxa"/>
          </w:tcPr>
          <w:p>
            <w:pPr>
              <w:pStyle w:val="TableParagraph"/>
              <w:spacing w:before="31"/>
              <w:ind w:right="64"/>
              <w:rPr>
                <w:sz w:val="19"/>
              </w:rPr>
            </w:pPr>
            <w:r>
              <w:rPr>
                <w:sz w:val="19"/>
              </w:rPr>
              <w:t>106</w:t>
            </w:r>
          </w:p>
        </w:tc>
      </w:tr>
      <w:tr>
        <w:trPr>
          <w:trHeight w:val="300" w:hRule="exact"/>
        </w:trPr>
        <w:tc>
          <w:tcPr>
            <w:tcW w:w="3192" w:type="dxa"/>
          </w:tcPr>
          <w:p>
            <w:pPr>
              <w:pStyle w:val="TableParagraph"/>
              <w:spacing w:before="33"/>
              <w:ind w:left="71" w:right="64"/>
              <w:jc w:val="left"/>
              <w:rPr>
                <w:sz w:val="19"/>
              </w:rPr>
            </w:pPr>
            <w:r>
              <w:rPr>
                <w:w w:val="105"/>
                <w:sz w:val="19"/>
              </w:rPr>
              <w:t>Seguridad social</w:t>
            </w:r>
          </w:p>
        </w:tc>
        <w:tc>
          <w:tcPr>
            <w:tcW w:w="597" w:type="dxa"/>
          </w:tcPr>
          <w:p>
            <w:pPr>
              <w:pStyle w:val="TableParagraph"/>
              <w:spacing w:before="33"/>
              <w:ind w:right="68"/>
              <w:rPr>
                <w:sz w:val="19"/>
              </w:rPr>
            </w:pPr>
            <w:r>
              <w:rPr>
                <w:w w:val="105"/>
                <w:sz w:val="19"/>
              </w:rPr>
              <w:t>2 812</w:t>
            </w:r>
          </w:p>
        </w:tc>
        <w:tc>
          <w:tcPr>
            <w:tcW w:w="592" w:type="dxa"/>
          </w:tcPr>
          <w:p>
            <w:pPr>
              <w:pStyle w:val="TableParagraph"/>
              <w:spacing w:before="33"/>
              <w:ind w:right="69"/>
              <w:rPr>
                <w:sz w:val="19"/>
              </w:rPr>
            </w:pPr>
            <w:r>
              <w:rPr>
                <w:w w:val="105"/>
                <w:sz w:val="19"/>
              </w:rPr>
              <w:t>3 925</w:t>
            </w:r>
          </w:p>
        </w:tc>
        <w:tc>
          <w:tcPr>
            <w:tcW w:w="693" w:type="dxa"/>
          </w:tcPr>
          <w:p>
            <w:pPr>
              <w:pStyle w:val="TableParagraph"/>
              <w:spacing w:before="33"/>
              <w:ind w:right="69"/>
              <w:rPr>
                <w:sz w:val="19"/>
              </w:rPr>
            </w:pPr>
            <w:r>
              <w:rPr>
                <w:w w:val="105"/>
                <w:sz w:val="19"/>
              </w:rPr>
              <w:t>5 488</w:t>
            </w:r>
          </w:p>
        </w:tc>
        <w:tc>
          <w:tcPr>
            <w:tcW w:w="690" w:type="dxa"/>
          </w:tcPr>
          <w:p>
            <w:pPr>
              <w:pStyle w:val="TableParagraph"/>
              <w:spacing w:before="33"/>
              <w:ind w:right="66"/>
              <w:rPr>
                <w:sz w:val="19"/>
              </w:rPr>
            </w:pPr>
            <w:r>
              <w:rPr>
                <w:w w:val="105"/>
                <w:sz w:val="19"/>
              </w:rPr>
              <w:t>6 130</w:t>
            </w:r>
          </w:p>
        </w:tc>
        <w:tc>
          <w:tcPr>
            <w:tcW w:w="697" w:type="dxa"/>
          </w:tcPr>
          <w:p>
            <w:pPr>
              <w:pStyle w:val="TableParagraph"/>
              <w:spacing w:before="33"/>
              <w:ind w:right="77"/>
              <w:rPr>
                <w:sz w:val="19"/>
              </w:rPr>
            </w:pPr>
            <w:r>
              <w:rPr>
                <w:w w:val="105"/>
                <w:sz w:val="19"/>
              </w:rPr>
              <w:t>7 094</w:t>
            </w:r>
          </w:p>
        </w:tc>
        <w:tc>
          <w:tcPr>
            <w:tcW w:w="696" w:type="dxa"/>
          </w:tcPr>
          <w:p>
            <w:pPr>
              <w:pStyle w:val="TableParagraph"/>
              <w:spacing w:before="33"/>
              <w:ind w:right="64"/>
              <w:rPr>
                <w:sz w:val="19"/>
              </w:rPr>
            </w:pPr>
            <w:r>
              <w:rPr>
                <w:w w:val="105"/>
                <w:sz w:val="19"/>
              </w:rPr>
              <w:t>7 131</w:t>
            </w:r>
          </w:p>
        </w:tc>
      </w:tr>
      <w:tr>
        <w:trPr>
          <w:trHeight w:val="300" w:hRule="exact"/>
        </w:trPr>
        <w:tc>
          <w:tcPr>
            <w:tcW w:w="3192" w:type="dxa"/>
          </w:tcPr>
          <w:p>
            <w:pPr>
              <w:pStyle w:val="TableParagraph"/>
              <w:spacing w:before="31"/>
              <w:ind w:left="71" w:right="64"/>
              <w:jc w:val="left"/>
              <w:rPr>
                <w:sz w:val="19"/>
              </w:rPr>
            </w:pPr>
            <w:r>
              <w:rPr>
                <w:w w:val="105"/>
                <w:sz w:val="19"/>
              </w:rPr>
              <w:t>Ingreso por desempleo</w:t>
            </w:r>
          </w:p>
        </w:tc>
        <w:tc>
          <w:tcPr>
            <w:tcW w:w="597" w:type="dxa"/>
          </w:tcPr>
          <w:p>
            <w:pPr>
              <w:pStyle w:val="TableParagraph"/>
              <w:spacing w:before="31"/>
              <w:ind w:right="68"/>
              <w:rPr>
                <w:sz w:val="19"/>
              </w:rPr>
            </w:pPr>
            <w:r>
              <w:rPr>
                <w:w w:val="105"/>
                <w:sz w:val="19"/>
              </w:rPr>
              <w:t>1 286</w:t>
            </w:r>
          </w:p>
        </w:tc>
        <w:tc>
          <w:tcPr>
            <w:tcW w:w="592" w:type="dxa"/>
          </w:tcPr>
          <w:p>
            <w:pPr>
              <w:pStyle w:val="TableParagraph"/>
              <w:spacing w:before="31"/>
              <w:ind w:right="69"/>
              <w:rPr>
                <w:sz w:val="19"/>
              </w:rPr>
            </w:pPr>
            <w:r>
              <w:rPr>
                <w:sz w:val="19"/>
              </w:rPr>
              <w:t>738</w:t>
            </w:r>
          </w:p>
        </w:tc>
        <w:tc>
          <w:tcPr>
            <w:tcW w:w="693" w:type="dxa"/>
          </w:tcPr>
          <w:p>
            <w:pPr>
              <w:pStyle w:val="TableParagraph"/>
              <w:spacing w:before="31"/>
              <w:ind w:right="69"/>
              <w:rPr>
                <w:sz w:val="19"/>
              </w:rPr>
            </w:pPr>
            <w:r>
              <w:rPr>
                <w:w w:val="105"/>
                <w:sz w:val="19"/>
              </w:rPr>
              <w:t>1 171</w:t>
            </w:r>
          </w:p>
        </w:tc>
        <w:tc>
          <w:tcPr>
            <w:tcW w:w="690" w:type="dxa"/>
          </w:tcPr>
          <w:p>
            <w:pPr>
              <w:pStyle w:val="TableParagraph"/>
              <w:spacing w:before="31"/>
              <w:ind w:right="66"/>
              <w:rPr>
                <w:sz w:val="19"/>
              </w:rPr>
            </w:pPr>
            <w:r>
              <w:rPr>
                <w:w w:val="105"/>
                <w:sz w:val="19"/>
              </w:rPr>
              <w:t>1 073</w:t>
            </w:r>
          </w:p>
        </w:tc>
        <w:tc>
          <w:tcPr>
            <w:tcW w:w="697" w:type="dxa"/>
          </w:tcPr>
          <w:p>
            <w:pPr>
              <w:pStyle w:val="TableParagraph"/>
              <w:spacing w:before="31"/>
              <w:ind w:right="77"/>
              <w:rPr>
                <w:sz w:val="19"/>
              </w:rPr>
            </w:pPr>
            <w:r>
              <w:rPr>
                <w:w w:val="105"/>
                <w:sz w:val="19"/>
              </w:rPr>
              <w:t>2 970</w:t>
            </w:r>
          </w:p>
        </w:tc>
        <w:tc>
          <w:tcPr>
            <w:tcW w:w="696" w:type="dxa"/>
          </w:tcPr>
          <w:p>
            <w:pPr>
              <w:pStyle w:val="TableParagraph"/>
              <w:spacing w:before="31"/>
              <w:ind w:right="64"/>
              <w:rPr>
                <w:sz w:val="19"/>
              </w:rPr>
            </w:pPr>
            <w:r>
              <w:rPr>
                <w:w w:val="105"/>
                <w:sz w:val="19"/>
              </w:rPr>
              <w:t>3 140</w:t>
            </w:r>
          </w:p>
        </w:tc>
      </w:tr>
      <w:tr>
        <w:trPr>
          <w:trHeight w:val="300" w:hRule="exact"/>
        </w:trPr>
        <w:tc>
          <w:tcPr>
            <w:tcW w:w="3192" w:type="dxa"/>
          </w:tcPr>
          <w:p>
            <w:pPr>
              <w:pStyle w:val="TableParagraph"/>
              <w:spacing w:before="33"/>
              <w:ind w:left="71" w:right="64"/>
              <w:jc w:val="left"/>
              <w:rPr>
                <w:sz w:val="19"/>
              </w:rPr>
            </w:pPr>
            <w:r>
              <w:rPr>
                <w:w w:val="105"/>
                <w:sz w:val="19"/>
              </w:rPr>
              <w:t>Ingreso veteranos</w:t>
            </w:r>
          </w:p>
        </w:tc>
        <w:tc>
          <w:tcPr>
            <w:tcW w:w="597" w:type="dxa"/>
          </w:tcPr>
          <w:p>
            <w:pPr>
              <w:pStyle w:val="TableParagraph"/>
              <w:spacing w:before="33"/>
              <w:ind w:right="68"/>
              <w:rPr>
                <w:sz w:val="19"/>
              </w:rPr>
            </w:pPr>
            <w:r>
              <w:rPr>
                <w:sz w:val="19"/>
              </w:rPr>
              <w:t>408</w:t>
            </w:r>
          </w:p>
        </w:tc>
        <w:tc>
          <w:tcPr>
            <w:tcW w:w="592" w:type="dxa"/>
          </w:tcPr>
          <w:p>
            <w:pPr>
              <w:pStyle w:val="TableParagraph"/>
              <w:spacing w:before="33"/>
              <w:ind w:right="69"/>
              <w:rPr>
                <w:sz w:val="19"/>
              </w:rPr>
            </w:pPr>
            <w:r>
              <w:rPr>
                <w:sz w:val="19"/>
              </w:rPr>
              <w:t>577</w:t>
            </w:r>
          </w:p>
        </w:tc>
        <w:tc>
          <w:tcPr>
            <w:tcW w:w="693" w:type="dxa"/>
          </w:tcPr>
          <w:p>
            <w:pPr>
              <w:pStyle w:val="TableParagraph"/>
              <w:spacing w:before="33"/>
              <w:ind w:right="69"/>
              <w:rPr>
                <w:sz w:val="19"/>
              </w:rPr>
            </w:pPr>
            <w:r>
              <w:rPr>
                <w:sz w:val="19"/>
              </w:rPr>
              <w:t>685</w:t>
            </w:r>
          </w:p>
        </w:tc>
        <w:tc>
          <w:tcPr>
            <w:tcW w:w="690" w:type="dxa"/>
          </w:tcPr>
          <w:p>
            <w:pPr>
              <w:pStyle w:val="TableParagraph"/>
              <w:spacing w:before="33"/>
              <w:ind w:right="66"/>
              <w:rPr>
                <w:sz w:val="19"/>
              </w:rPr>
            </w:pPr>
            <w:r>
              <w:rPr>
                <w:sz w:val="19"/>
              </w:rPr>
              <w:t>809</w:t>
            </w:r>
          </w:p>
        </w:tc>
        <w:tc>
          <w:tcPr>
            <w:tcW w:w="697" w:type="dxa"/>
          </w:tcPr>
          <w:p>
            <w:pPr>
              <w:pStyle w:val="TableParagraph"/>
              <w:spacing w:before="33"/>
              <w:ind w:right="77"/>
              <w:rPr>
                <w:sz w:val="19"/>
              </w:rPr>
            </w:pPr>
            <w:r>
              <w:rPr>
                <w:sz w:val="19"/>
              </w:rPr>
              <w:t>959</w:t>
            </w:r>
          </w:p>
        </w:tc>
        <w:tc>
          <w:tcPr>
            <w:tcW w:w="696" w:type="dxa"/>
          </w:tcPr>
          <w:p>
            <w:pPr>
              <w:pStyle w:val="TableParagraph"/>
              <w:spacing w:before="33"/>
              <w:ind w:right="64"/>
              <w:rPr>
                <w:sz w:val="19"/>
              </w:rPr>
            </w:pPr>
            <w:r>
              <w:rPr>
                <w:sz w:val="19"/>
              </w:rPr>
              <w:t>879</w:t>
            </w:r>
          </w:p>
        </w:tc>
      </w:tr>
      <w:tr>
        <w:trPr>
          <w:trHeight w:val="300" w:hRule="exact"/>
        </w:trPr>
        <w:tc>
          <w:tcPr>
            <w:tcW w:w="3192" w:type="dxa"/>
          </w:tcPr>
          <w:p>
            <w:pPr>
              <w:pStyle w:val="TableParagraph"/>
              <w:spacing w:before="31"/>
              <w:ind w:left="71" w:right="64"/>
              <w:jc w:val="left"/>
              <w:rPr>
                <w:sz w:val="19"/>
              </w:rPr>
            </w:pPr>
            <w:r>
              <w:rPr>
                <w:w w:val="105"/>
                <w:sz w:val="19"/>
              </w:rPr>
              <w:t>Ingreso discapacidad</w:t>
            </w:r>
          </w:p>
        </w:tc>
        <w:tc>
          <w:tcPr>
            <w:tcW w:w="597" w:type="dxa"/>
          </w:tcPr>
          <w:p>
            <w:pPr>
              <w:pStyle w:val="TableParagraph"/>
              <w:spacing w:before="31"/>
              <w:ind w:right="68"/>
              <w:rPr>
                <w:sz w:val="19"/>
              </w:rPr>
            </w:pPr>
            <w:r>
              <w:rPr>
                <w:sz w:val="19"/>
              </w:rPr>
              <w:t>11</w:t>
            </w:r>
          </w:p>
        </w:tc>
        <w:tc>
          <w:tcPr>
            <w:tcW w:w="592" w:type="dxa"/>
          </w:tcPr>
          <w:p>
            <w:pPr>
              <w:pStyle w:val="TableParagraph"/>
              <w:spacing w:before="31"/>
              <w:ind w:right="69"/>
              <w:rPr>
                <w:sz w:val="19"/>
              </w:rPr>
            </w:pPr>
            <w:r>
              <w:rPr>
                <w:sz w:val="19"/>
              </w:rPr>
              <w:t>31</w:t>
            </w:r>
          </w:p>
        </w:tc>
        <w:tc>
          <w:tcPr>
            <w:tcW w:w="693" w:type="dxa"/>
          </w:tcPr>
          <w:p>
            <w:pPr>
              <w:pStyle w:val="TableParagraph"/>
              <w:spacing w:before="31"/>
              <w:ind w:right="69"/>
              <w:rPr>
                <w:sz w:val="19"/>
              </w:rPr>
            </w:pPr>
            <w:r>
              <w:rPr>
                <w:sz w:val="19"/>
              </w:rPr>
              <w:t>10</w:t>
            </w:r>
          </w:p>
        </w:tc>
        <w:tc>
          <w:tcPr>
            <w:tcW w:w="690" w:type="dxa"/>
          </w:tcPr>
          <w:p>
            <w:pPr>
              <w:pStyle w:val="TableParagraph"/>
              <w:spacing w:before="31"/>
              <w:ind w:right="66"/>
              <w:rPr>
                <w:sz w:val="19"/>
              </w:rPr>
            </w:pPr>
            <w:r>
              <w:rPr>
                <w:sz w:val="19"/>
              </w:rPr>
              <w:t>34</w:t>
            </w:r>
          </w:p>
        </w:tc>
        <w:tc>
          <w:tcPr>
            <w:tcW w:w="697" w:type="dxa"/>
          </w:tcPr>
          <w:p>
            <w:pPr>
              <w:pStyle w:val="TableParagraph"/>
              <w:spacing w:before="31"/>
              <w:ind w:right="78"/>
              <w:rPr>
                <w:sz w:val="19"/>
              </w:rPr>
            </w:pPr>
            <w:r>
              <w:rPr>
                <w:w w:val="103"/>
                <w:sz w:val="19"/>
              </w:rPr>
              <w:t>6</w:t>
            </w:r>
          </w:p>
        </w:tc>
        <w:tc>
          <w:tcPr>
            <w:tcW w:w="696" w:type="dxa"/>
          </w:tcPr>
          <w:p>
            <w:pPr>
              <w:pStyle w:val="TableParagraph"/>
              <w:spacing w:before="31"/>
              <w:ind w:right="66"/>
              <w:rPr>
                <w:sz w:val="19"/>
              </w:rPr>
            </w:pPr>
            <w:r>
              <w:rPr>
                <w:w w:val="103"/>
                <w:sz w:val="19"/>
              </w:rPr>
              <w:t>4</w:t>
            </w:r>
          </w:p>
        </w:tc>
      </w:tr>
      <w:tr>
        <w:trPr>
          <w:trHeight w:val="274" w:hRule="exact"/>
        </w:trPr>
        <w:tc>
          <w:tcPr>
            <w:tcW w:w="3192" w:type="dxa"/>
            <w:tcBorders>
              <w:bottom w:val="double" w:sz="4" w:space="0" w:color="000000"/>
            </w:tcBorders>
          </w:tcPr>
          <w:p>
            <w:pPr>
              <w:pStyle w:val="TableParagraph"/>
              <w:spacing w:before="33"/>
              <w:ind w:left="71" w:right="64"/>
              <w:jc w:val="left"/>
              <w:rPr>
                <w:sz w:val="19"/>
              </w:rPr>
            </w:pPr>
            <w:r>
              <w:rPr>
                <w:w w:val="105"/>
                <w:sz w:val="19"/>
              </w:rPr>
              <w:t>Total ingreso/pago impuesto</w:t>
            </w:r>
          </w:p>
        </w:tc>
        <w:tc>
          <w:tcPr>
            <w:tcW w:w="597" w:type="dxa"/>
            <w:tcBorders>
              <w:bottom w:val="double" w:sz="4" w:space="0" w:color="000000"/>
            </w:tcBorders>
          </w:tcPr>
          <w:p>
            <w:pPr>
              <w:pStyle w:val="TableParagraph"/>
              <w:spacing w:before="33"/>
              <w:ind w:right="69"/>
              <w:rPr>
                <w:sz w:val="19"/>
              </w:rPr>
            </w:pPr>
            <w:r>
              <w:rPr>
                <w:sz w:val="19"/>
              </w:rPr>
              <w:t>1.9</w:t>
            </w:r>
          </w:p>
        </w:tc>
        <w:tc>
          <w:tcPr>
            <w:tcW w:w="592" w:type="dxa"/>
            <w:tcBorders>
              <w:bottom w:val="double" w:sz="4" w:space="0" w:color="000000"/>
            </w:tcBorders>
          </w:tcPr>
          <w:p>
            <w:pPr>
              <w:pStyle w:val="TableParagraph"/>
              <w:spacing w:before="33"/>
              <w:ind w:right="70"/>
              <w:rPr>
                <w:sz w:val="19"/>
              </w:rPr>
            </w:pPr>
            <w:r>
              <w:rPr>
                <w:sz w:val="19"/>
              </w:rPr>
              <w:t>1.6</w:t>
            </w:r>
          </w:p>
        </w:tc>
        <w:tc>
          <w:tcPr>
            <w:tcW w:w="693" w:type="dxa"/>
            <w:tcBorders>
              <w:bottom w:val="double" w:sz="4" w:space="0" w:color="000000"/>
            </w:tcBorders>
          </w:tcPr>
          <w:p>
            <w:pPr>
              <w:pStyle w:val="TableParagraph"/>
              <w:spacing w:before="33"/>
              <w:ind w:right="70"/>
              <w:rPr>
                <w:sz w:val="19"/>
              </w:rPr>
            </w:pPr>
            <w:r>
              <w:rPr>
                <w:sz w:val="19"/>
              </w:rPr>
              <w:t>1.7</w:t>
            </w:r>
          </w:p>
        </w:tc>
        <w:tc>
          <w:tcPr>
            <w:tcW w:w="690" w:type="dxa"/>
            <w:tcBorders>
              <w:bottom w:val="double" w:sz="4" w:space="0" w:color="000000"/>
            </w:tcBorders>
          </w:tcPr>
          <w:p>
            <w:pPr>
              <w:pStyle w:val="TableParagraph"/>
              <w:spacing w:before="33"/>
              <w:ind w:right="67"/>
              <w:rPr>
                <w:sz w:val="19"/>
              </w:rPr>
            </w:pPr>
            <w:r>
              <w:rPr>
                <w:sz w:val="19"/>
              </w:rPr>
              <w:t>1.6</w:t>
            </w:r>
          </w:p>
        </w:tc>
        <w:tc>
          <w:tcPr>
            <w:tcW w:w="697" w:type="dxa"/>
            <w:tcBorders>
              <w:bottom w:val="double" w:sz="4" w:space="0" w:color="000000"/>
            </w:tcBorders>
          </w:tcPr>
          <w:p>
            <w:pPr>
              <w:pStyle w:val="TableParagraph"/>
              <w:spacing w:before="33"/>
              <w:ind w:right="77"/>
              <w:rPr>
                <w:sz w:val="19"/>
              </w:rPr>
            </w:pPr>
            <w:r>
              <w:rPr>
                <w:sz w:val="19"/>
              </w:rPr>
              <w:t>2.0</w:t>
            </w:r>
          </w:p>
        </w:tc>
        <w:tc>
          <w:tcPr>
            <w:tcW w:w="696" w:type="dxa"/>
            <w:tcBorders>
              <w:bottom w:val="double" w:sz="4" w:space="0" w:color="000000"/>
            </w:tcBorders>
          </w:tcPr>
          <w:p>
            <w:pPr>
              <w:pStyle w:val="TableParagraph"/>
              <w:spacing w:before="33"/>
              <w:ind w:right="65"/>
              <w:rPr>
                <w:sz w:val="19"/>
              </w:rPr>
            </w:pPr>
            <w:r>
              <w:rPr>
                <w:sz w:val="19"/>
              </w:rPr>
              <w:t>2.1</w:t>
            </w:r>
          </w:p>
        </w:tc>
      </w:tr>
      <w:tr>
        <w:trPr>
          <w:trHeight w:val="294" w:hRule="exact"/>
        </w:trPr>
        <w:tc>
          <w:tcPr>
            <w:tcW w:w="3192" w:type="dxa"/>
            <w:tcBorders>
              <w:top w:val="double" w:sz="4" w:space="0" w:color="000000"/>
            </w:tcBorders>
          </w:tcPr>
          <w:p>
            <w:pPr>
              <w:pStyle w:val="TableParagraph"/>
              <w:spacing w:line="183" w:lineRule="exact"/>
              <w:ind w:left="71" w:right="64"/>
              <w:jc w:val="left"/>
              <w:rPr>
                <w:sz w:val="16"/>
              </w:rPr>
            </w:pPr>
            <w:r>
              <w:rPr>
                <w:sz w:val="16"/>
              </w:rPr>
              <w:t>Fuente: Delgado y Olvera, 2012.</w:t>
            </w:r>
          </w:p>
        </w:tc>
        <w:tc>
          <w:tcPr>
            <w:tcW w:w="597" w:type="dxa"/>
            <w:tcBorders>
              <w:top w:val="double" w:sz="4" w:space="0" w:color="000000"/>
            </w:tcBorders>
          </w:tcPr>
          <w:p>
            <w:pPr/>
          </w:p>
        </w:tc>
        <w:tc>
          <w:tcPr>
            <w:tcW w:w="592" w:type="dxa"/>
            <w:tcBorders>
              <w:top w:val="double" w:sz="4" w:space="0" w:color="000000"/>
            </w:tcBorders>
          </w:tcPr>
          <w:p>
            <w:pPr/>
          </w:p>
        </w:tc>
        <w:tc>
          <w:tcPr>
            <w:tcW w:w="693" w:type="dxa"/>
            <w:tcBorders>
              <w:top w:val="double" w:sz="4" w:space="0" w:color="000000"/>
            </w:tcBorders>
          </w:tcPr>
          <w:p>
            <w:pPr/>
          </w:p>
        </w:tc>
        <w:tc>
          <w:tcPr>
            <w:tcW w:w="690" w:type="dxa"/>
            <w:tcBorders>
              <w:top w:val="double" w:sz="4" w:space="0" w:color="000000"/>
            </w:tcBorders>
          </w:tcPr>
          <w:p>
            <w:pPr/>
          </w:p>
        </w:tc>
        <w:tc>
          <w:tcPr>
            <w:tcW w:w="697" w:type="dxa"/>
            <w:tcBorders>
              <w:top w:val="double" w:sz="4" w:space="0" w:color="000000"/>
            </w:tcBorders>
          </w:tcPr>
          <w:p>
            <w:pPr/>
          </w:p>
        </w:tc>
        <w:tc>
          <w:tcPr>
            <w:tcW w:w="696" w:type="dxa"/>
            <w:tcBorders>
              <w:top w:val="double" w:sz="4" w:space="0" w:color="000000"/>
            </w:tcBorders>
          </w:tcPr>
          <w:p>
            <w:pPr/>
          </w:p>
        </w:tc>
      </w:tr>
    </w:tbl>
    <w:p>
      <w:pPr>
        <w:spacing w:after="0"/>
        <w:sectPr>
          <w:footerReference w:type="default" r:id="rId139"/>
          <w:pgSz w:w="13040" w:h="9360" w:orient="landscape"/>
          <w:pgMar w:footer="0" w:header="0" w:top="0" w:bottom="280" w:left="1280" w:right="1840"/>
        </w:sectPr>
      </w:pPr>
    </w:p>
    <w:p>
      <w:pPr>
        <w:pStyle w:val="BodyText"/>
        <w:rPr>
          <w:sz w:val="20"/>
        </w:rPr>
      </w:pPr>
      <w:r>
        <w:rPr/>
        <w:pict>
          <v:shape style="position:absolute;margin-left:598.529175pt;margin-top:104.613098pt;width:12.4pt;height:293.25pt;mso-position-horizontal-relative:page;mso-position-vertical-relative:page;z-index:4672" type="#_x0000_t202" filled="false" stroked="false">
            <v:textbox inset="0,0,0,0" style="layout-flow:vertical">
              <w:txbxContent>
                <w:p>
                  <w:pPr>
                    <w:spacing w:line="213" w:lineRule="exact" w:before="0"/>
                    <w:ind w:left="20" w:right="0" w:firstLine="0"/>
                    <w:jc w:val="left"/>
                    <w:rPr>
                      <w:rFonts w:ascii="Arial" w:hAnsi="Arial"/>
                      <w:i/>
                      <w:sz w:val="20"/>
                    </w:rPr>
                  </w:pPr>
                  <w:r>
                    <w:rPr>
                      <w:rFonts w:ascii="Arial" w:hAnsi="Arial"/>
                      <w:color w:val="231F20"/>
                      <w:w w:val="66"/>
                      <w:sz w:val="20"/>
                    </w:rPr>
                    <w:t>La</w:t>
                  </w:r>
                  <w:r>
                    <w:rPr>
                      <w:rFonts w:ascii="Arial" w:hAnsi="Arial"/>
                      <w:color w:val="231F20"/>
                      <w:spacing w:val="-1"/>
                      <w:sz w:val="20"/>
                    </w:rPr>
                    <w:t> </w:t>
                  </w:r>
                  <w:r>
                    <w:rPr>
                      <w:rFonts w:ascii="Arial" w:hAnsi="Arial"/>
                      <w:color w:val="231F20"/>
                      <w:w w:val="76"/>
                      <w:sz w:val="20"/>
                    </w:rPr>
                    <w:t>participación</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w w:val="73"/>
                      <w:sz w:val="20"/>
                    </w:rPr>
                    <w:t>migrantes</w:t>
                  </w:r>
                  <w:r>
                    <w:rPr>
                      <w:rFonts w:ascii="Arial" w:hAnsi="Arial"/>
                      <w:color w:val="231F20"/>
                      <w:spacing w:val="-1"/>
                      <w:sz w:val="20"/>
                    </w:rPr>
                    <w:t> </w:t>
                  </w:r>
                  <w:r>
                    <w:rPr>
                      <w:rFonts w:ascii="Arial" w:hAnsi="Arial"/>
                      <w:color w:val="231F20"/>
                      <w:w w:val="69"/>
                      <w:sz w:val="20"/>
                    </w:rPr>
                    <w:t>mexicanos</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3"/>
                      <w:sz w:val="20"/>
                    </w:rPr>
                    <w:t>economía...</w:t>
                  </w:r>
                  <w:r>
                    <w:rPr>
                      <w:rFonts w:ascii="Arial" w:hAnsi="Arial"/>
                      <w:color w:val="231F20"/>
                      <w:spacing w:val="-1"/>
                      <w:sz w:val="20"/>
                    </w:rPr>
                    <w:t> </w:t>
                  </w:r>
                  <w:r>
                    <w:rPr>
                      <w:rFonts w:ascii="Arial" w:hAnsi="Arial"/>
                      <w:color w:val="231F20"/>
                      <w:w w:val="99"/>
                      <w:sz w:val="20"/>
                    </w:rPr>
                    <w:t>/</w:t>
                  </w:r>
                  <w:r>
                    <w:rPr>
                      <w:rFonts w:ascii="Arial" w:hAnsi="Arial"/>
                      <w:color w:val="231F20"/>
                      <w:w w:val="52"/>
                      <w:sz w:val="20"/>
                    </w:rPr>
                    <w:t>Esther</w:t>
                  </w:r>
                  <w:r>
                    <w:rPr>
                      <w:rFonts w:ascii="Arial" w:hAnsi="Arial"/>
                      <w:color w:val="231F20"/>
                      <w:spacing w:val="-17"/>
                      <w:sz w:val="20"/>
                    </w:rPr>
                    <w:t> </w:t>
                  </w:r>
                  <w:r>
                    <w:rPr>
                      <w:rFonts w:ascii="Arial" w:hAnsi="Arial"/>
                      <w:color w:val="231F20"/>
                      <w:w w:val="50"/>
                      <w:sz w:val="20"/>
                    </w:rPr>
                    <w:t>Figueroa-Hernández</w:t>
                  </w:r>
                  <w:r>
                    <w:rPr>
                      <w:rFonts w:ascii="Arial" w:hAnsi="Arial"/>
                      <w:color w:val="231F20"/>
                      <w:spacing w:val="-17"/>
                      <w:sz w:val="20"/>
                    </w:rPr>
                    <w:t> </w:t>
                  </w:r>
                  <w:r>
                    <w:rPr>
                      <w:rFonts w:ascii="Arial" w:hAnsi="Arial"/>
                      <w:i/>
                      <w:color w:val="231F20"/>
                      <w:w w:val="55"/>
                      <w:sz w:val="20"/>
                    </w:rPr>
                    <w:t>et</w:t>
                  </w:r>
                  <w:r>
                    <w:rPr>
                      <w:rFonts w:ascii="Arial" w:hAnsi="Arial"/>
                      <w:i/>
                      <w:color w:val="231F20"/>
                      <w:spacing w:val="-17"/>
                      <w:sz w:val="20"/>
                    </w:rPr>
                    <w:t> </w:t>
                  </w:r>
                  <w:r>
                    <w:rPr>
                      <w:rFonts w:ascii="Arial" w:hAnsi="Arial"/>
                      <w:i/>
                      <w:color w:val="231F20"/>
                      <w:w w:val="58"/>
                      <w:sz w:val="20"/>
                    </w:rPr>
                    <w:t>al.</w:t>
                  </w:r>
                </w:p>
              </w:txbxContent>
            </v:textbox>
            <w10:wrap type="none"/>
          </v:shape>
        </w:pict>
      </w:r>
      <w:r>
        <w:rPr/>
        <w:pict>
          <v:shape style="position:absolute;margin-left:23.820354pt;margin-top:222.936996pt;width:12pt;height:21.25pt;mso-position-horizontal-relative:page;mso-position-vertical-relative:page;z-index:4696" type="#_x0000_t202" filled="false" stroked="false">
            <v:textbox inset="0,0,0,0" style="layout-flow:vertical">
              <w:txbxContent>
                <w:p>
                  <w:pPr>
                    <w:spacing w:line="214" w:lineRule="exact" w:before="0"/>
                    <w:ind w:left="20" w:right="-182" w:firstLine="0"/>
                    <w:jc w:val="left"/>
                    <w:rPr>
                      <w:rFonts w:ascii="Verdana"/>
                      <w:sz w:val="20"/>
                    </w:rPr>
                  </w:pPr>
                  <w:r>
                    <w:rPr>
                      <w:rFonts w:ascii="Verdana"/>
                      <w:color w:val="231F20"/>
                      <w:spacing w:val="-1"/>
                      <w:w w:val="100"/>
                      <w:sz w:val="20"/>
                    </w:rPr>
                    <w:t>161</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pPr>
    </w:p>
    <w:p>
      <w:pPr>
        <w:spacing w:before="0"/>
        <w:ind w:left="186" w:right="0" w:firstLine="0"/>
        <w:jc w:val="left"/>
        <w:rPr>
          <w:sz w:val="19"/>
        </w:rPr>
      </w:pPr>
      <w:r>
        <w:rPr>
          <w:sz w:val="19"/>
        </w:rPr>
        <w:t>Cuadro 5. Indicadores de rezago social y precariedad laboral  2011</w:t>
      </w:r>
    </w:p>
    <w:p>
      <w:pPr>
        <w:pStyle w:val="BodyText"/>
        <w:spacing w:before="3"/>
        <w:rPr>
          <w:sz w:val="7"/>
        </w:rPr>
      </w:pP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09"/>
        <w:gridCol w:w="839"/>
        <w:gridCol w:w="795"/>
        <w:gridCol w:w="1081"/>
        <w:gridCol w:w="1919"/>
        <w:gridCol w:w="1505"/>
        <w:gridCol w:w="817"/>
      </w:tblGrid>
      <w:tr>
        <w:trPr>
          <w:trHeight w:val="710" w:hRule="exact"/>
        </w:trPr>
        <w:tc>
          <w:tcPr>
            <w:tcW w:w="3209" w:type="dxa"/>
            <w:tcBorders>
              <w:left w:val="nil"/>
              <w:bottom w:val="double" w:sz="4" w:space="0" w:color="000000"/>
              <w:right w:val="nil"/>
            </w:tcBorders>
          </w:tcPr>
          <w:p>
            <w:pPr>
              <w:pStyle w:val="TableParagraph"/>
              <w:jc w:val="left"/>
              <w:rPr>
                <w:sz w:val="20"/>
              </w:rPr>
            </w:pPr>
          </w:p>
          <w:p>
            <w:pPr>
              <w:pStyle w:val="TableParagraph"/>
              <w:spacing w:before="5"/>
              <w:jc w:val="left"/>
              <w:rPr>
                <w:sz w:val="20"/>
              </w:rPr>
            </w:pPr>
          </w:p>
          <w:p>
            <w:pPr>
              <w:pStyle w:val="TableParagraph"/>
              <w:spacing w:before="1"/>
              <w:ind w:left="69" w:right="19"/>
              <w:jc w:val="left"/>
              <w:rPr>
                <w:sz w:val="19"/>
              </w:rPr>
            </w:pPr>
            <w:r>
              <w:rPr>
                <w:sz w:val="19"/>
              </w:rPr>
              <w:t>Inmigrantes</w:t>
            </w:r>
          </w:p>
        </w:tc>
        <w:tc>
          <w:tcPr>
            <w:tcW w:w="839" w:type="dxa"/>
            <w:tcBorders>
              <w:left w:val="nil"/>
              <w:bottom w:val="double" w:sz="4" w:space="0" w:color="000000"/>
              <w:right w:val="nil"/>
            </w:tcBorders>
          </w:tcPr>
          <w:p>
            <w:pPr>
              <w:pStyle w:val="TableParagraph"/>
              <w:spacing w:before="5"/>
              <w:jc w:val="left"/>
              <w:rPr>
                <w:sz w:val="20"/>
              </w:rPr>
            </w:pPr>
          </w:p>
          <w:p>
            <w:pPr>
              <w:pStyle w:val="TableParagraph"/>
              <w:spacing w:line="252" w:lineRule="auto"/>
              <w:ind w:left="168" w:right="102" w:hanging="43"/>
              <w:jc w:val="left"/>
              <w:rPr>
                <w:sz w:val="19"/>
              </w:rPr>
            </w:pPr>
            <w:r>
              <w:rPr>
                <w:sz w:val="19"/>
              </w:rPr>
              <w:t>Estados Unidos</w:t>
            </w:r>
          </w:p>
        </w:tc>
        <w:tc>
          <w:tcPr>
            <w:tcW w:w="795" w:type="dxa"/>
            <w:tcBorders>
              <w:left w:val="nil"/>
              <w:bottom w:val="double" w:sz="4" w:space="0" w:color="000000"/>
              <w:right w:val="nil"/>
            </w:tcBorders>
          </w:tcPr>
          <w:p>
            <w:pPr>
              <w:pStyle w:val="TableParagraph"/>
              <w:jc w:val="left"/>
              <w:rPr>
                <w:sz w:val="20"/>
              </w:rPr>
            </w:pPr>
          </w:p>
          <w:p>
            <w:pPr>
              <w:pStyle w:val="TableParagraph"/>
              <w:spacing w:before="5"/>
              <w:jc w:val="left"/>
              <w:rPr>
                <w:sz w:val="20"/>
              </w:rPr>
            </w:pPr>
          </w:p>
          <w:p>
            <w:pPr>
              <w:pStyle w:val="TableParagraph"/>
              <w:spacing w:before="1"/>
              <w:ind w:right="89"/>
              <w:rPr>
                <w:sz w:val="19"/>
              </w:rPr>
            </w:pPr>
            <w:r>
              <w:rPr>
                <w:sz w:val="19"/>
              </w:rPr>
              <w:t>México</w:t>
            </w:r>
          </w:p>
        </w:tc>
        <w:tc>
          <w:tcPr>
            <w:tcW w:w="1081" w:type="dxa"/>
            <w:tcBorders>
              <w:left w:val="nil"/>
              <w:bottom w:val="double" w:sz="4" w:space="0" w:color="000000"/>
              <w:right w:val="nil"/>
            </w:tcBorders>
          </w:tcPr>
          <w:p>
            <w:pPr>
              <w:pStyle w:val="TableParagraph"/>
              <w:spacing w:before="5"/>
              <w:jc w:val="left"/>
              <w:rPr>
                <w:sz w:val="20"/>
              </w:rPr>
            </w:pPr>
          </w:p>
          <w:p>
            <w:pPr>
              <w:pStyle w:val="TableParagraph"/>
              <w:spacing w:line="252" w:lineRule="auto"/>
              <w:ind w:left="91" w:right="69" w:firstLine="241"/>
              <w:jc w:val="left"/>
              <w:rPr>
                <w:sz w:val="19"/>
              </w:rPr>
            </w:pPr>
            <w:r>
              <w:rPr>
                <w:sz w:val="19"/>
              </w:rPr>
              <w:t>Resto de inmigrantes</w:t>
            </w:r>
          </w:p>
        </w:tc>
        <w:tc>
          <w:tcPr>
            <w:tcW w:w="1919" w:type="dxa"/>
            <w:tcBorders>
              <w:left w:val="nil"/>
              <w:bottom w:val="double" w:sz="4" w:space="0" w:color="000000"/>
              <w:right w:val="nil"/>
            </w:tcBorders>
          </w:tcPr>
          <w:p>
            <w:pPr>
              <w:pStyle w:val="TableParagraph"/>
              <w:spacing w:before="5"/>
              <w:jc w:val="left"/>
              <w:rPr>
                <w:sz w:val="20"/>
              </w:rPr>
            </w:pPr>
          </w:p>
          <w:p>
            <w:pPr>
              <w:pStyle w:val="TableParagraph"/>
              <w:spacing w:line="252" w:lineRule="auto"/>
              <w:ind w:left="313" w:hanging="236"/>
              <w:jc w:val="left"/>
              <w:rPr>
                <w:sz w:val="19"/>
              </w:rPr>
            </w:pPr>
            <w:r>
              <w:rPr>
                <w:sz w:val="19"/>
              </w:rPr>
              <w:t>México-americanos de segunda generación</w:t>
            </w:r>
          </w:p>
        </w:tc>
        <w:tc>
          <w:tcPr>
            <w:tcW w:w="1505" w:type="dxa"/>
            <w:tcBorders>
              <w:left w:val="nil"/>
              <w:bottom w:val="double" w:sz="4" w:space="0" w:color="000000"/>
              <w:right w:val="nil"/>
            </w:tcBorders>
          </w:tcPr>
          <w:p>
            <w:pPr>
              <w:pStyle w:val="TableParagraph"/>
              <w:spacing w:line="252" w:lineRule="auto" w:before="5"/>
              <w:ind w:left="76" w:right="76" w:firstLine="47"/>
              <w:jc w:val="both"/>
              <w:rPr>
                <w:sz w:val="19"/>
              </w:rPr>
            </w:pPr>
            <w:r>
              <w:rPr>
                <w:sz w:val="19"/>
              </w:rPr>
              <w:t>Nativos México- americanos de 3a generación o más</w:t>
            </w:r>
          </w:p>
        </w:tc>
        <w:tc>
          <w:tcPr>
            <w:tcW w:w="817" w:type="dxa"/>
            <w:tcBorders>
              <w:left w:val="nil"/>
              <w:bottom w:val="double" w:sz="4" w:space="0" w:color="000000"/>
              <w:right w:val="nil"/>
            </w:tcBorders>
          </w:tcPr>
          <w:p>
            <w:pPr>
              <w:pStyle w:val="TableParagraph"/>
              <w:spacing w:before="5"/>
              <w:jc w:val="left"/>
              <w:rPr>
                <w:sz w:val="20"/>
              </w:rPr>
            </w:pPr>
          </w:p>
          <w:p>
            <w:pPr>
              <w:pStyle w:val="TableParagraph"/>
              <w:spacing w:line="252" w:lineRule="auto"/>
              <w:ind w:left="189" w:right="59" w:hanging="113"/>
              <w:jc w:val="left"/>
              <w:rPr>
                <w:sz w:val="19"/>
              </w:rPr>
            </w:pPr>
            <w:r>
              <w:rPr>
                <w:sz w:val="19"/>
              </w:rPr>
              <w:t>Resto de nativos</w:t>
            </w:r>
          </w:p>
        </w:tc>
      </w:tr>
      <w:tr>
        <w:trPr>
          <w:trHeight w:val="482" w:hRule="exact"/>
        </w:trPr>
        <w:tc>
          <w:tcPr>
            <w:tcW w:w="3209" w:type="dxa"/>
            <w:tcBorders>
              <w:top w:val="double" w:sz="4" w:space="0" w:color="000000"/>
              <w:left w:val="nil"/>
              <w:bottom w:val="nil"/>
              <w:right w:val="nil"/>
            </w:tcBorders>
          </w:tcPr>
          <w:p>
            <w:pPr>
              <w:pStyle w:val="TableParagraph"/>
              <w:spacing w:line="252" w:lineRule="auto" w:before="5"/>
              <w:ind w:left="69" w:right="19"/>
              <w:jc w:val="left"/>
              <w:rPr>
                <w:sz w:val="19"/>
              </w:rPr>
            </w:pPr>
            <w:r>
              <w:rPr>
                <w:sz w:val="19"/>
              </w:rPr>
              <w:t>Población en condición de pobreza (porcentaje)</w:t>
            </w:r>
          </w:p>
        </w:tc>
        <w:tc>
          <w:tcPr>
            <w:tcW w:w="839" w:type="dxa"/>
            <w:tcBorders>
              <w:top w:val="double" w:sz="4" w:space="0" w:color="000000"/>
              <w:left w:val="nil"/>
              <w:bottom w:val="nil"/>
              <w:right w:val="nil"/>
            </w:tcBorders>
          </w:tcPr>
          <w:p>
            <w:pPr>
              <w:pStyle w:val="TableParagraph"/>
              <w:spacing w:before="5"/>
              <w:jc w:val="left"/>
              <w:rPr>
                <w:sz w:val="20"/>
              </w:rPr>
            </w:pPr>
          </w:p>
          <w:p>
            <w:pPr>
              <w:pStyle w:val="TableParagraph"/>
              <w:ind w:right="112"/>
              <w:rPr>
                <w:sz w:val="19"/>
              </w:rPr>
            </w:pPr>
            <w:r>
              <w:rPr>
                <w:sz w:val="19"/>
              </w:rPr>
              <w:t>15.2</w:t>
            </w:r>
          </w:p>
        </w:tc>
        <w:tc>
          <w:tcPr>
            <w:tcW w:w="795" w:type="dxa"/>
            <w:tcBorders>
              <w:top w:val="double" w:sz="4" w:space="0" w:color="000000"/>
              <w:left w:val="nil"/>
              <w:bottom w:val="nil"/>
              <w:right w:val="nil"/>
            </w:tcBorders>
          </w:tcPr>
          <w:p>
            <w:pPr>
              <w:pStyle w:val="TableParagraph"/>
              <w:spacing w:before="5"/>
              <w:jc w:val="left"/>
              <w:rPr>
                <w:sz w:val="20"/>
              </w:rPr>
            </w:pPr>
          </w:p>
          <w:p>
            <w:pPr>
              <w:pStyle w:val="TableParagraph"/>
              <w:ind w:right="91"/>
              <w:rPr>
                <w:sz w:val="19"/>
              </w:rPr>
            </w:pPr>
            <w:r>
              <w:rPr>
                <w:sz w:val="19"/>
              </w:rPr>
              <w:t>29.8</w:t>
            </w:r>
          </w:p>
        </w:tc>
        <w:tc>
          <w:tcPr>
            <w:tcW w:w="1081" w:type="dxa"/>
            <w:tcBorders>
              <w:top w:val="double" w:sz="4" w:space="0" w:color="000000"/>
              <w:left w:val="nil"/>
              <w:bottom w:val="nil"/>
              <w:right w:val="nil"/>
            </w:tcBorders>
          </w:tcPr>
          <w:p>
            <w:pPr>
              <w:pStyle w:val="TableParagraph"/>
              <w:spacing w:before="5"/>
              <w:jc w:val="left"/>
              <w:rPr>
                <w:sz w:val="20"/>
              </w:rPr>
            </w:pPr>
          </w:p>
          <w:p>
            <w:pPr>
              <w:pStyle w:val="TableParagraph"/>
              <w:ind w:right="77"/>
              <w:rPr>
                <w:sz w:val="19"/>
              </w:rPr>
            </w:pPr>
            <w:r>
              <w:rPr>
                <w:sz w:val="19"/>
              </w:rPr>
              <w:t>15.2</w:t>
            </w:r>
          </w:p>
        </w:tc>
        <w:tc>
          <w:tcPr>
            <w:tcW w:w="1919" w:type="dxa"/>
            <w:tcBorders>
              <w:top w:val="double" w:sz="4" w:space="0" w:color="000000"/>
              <w:left w:val="nil"/>
              <w:bottom w:val="nil"/>
              <w:right w:val="nil"/>
            </w:tcBorders>
          </w:tcPr>
          <w:p>
            <w:pPr>
              <w:pStyle w:val="TableParagraph"/>
              <w:spacing w:before="5"/>
              <w:jc w:val="left"/>
              <w:rPr>
                <w:sz w:val="20"/>
              </w:rPr>
            </w:pPr>
          </w:p>
          <w:p>
            <w:pPr>
              <w:pStyle w:val="TableParagraph"/>
              <w:ind w:right="74"/>
              <w:rPr>
                <w:sz w:val="19"/>
              </w:rPr>
            </w:pPr>
            <w:r>
              <w:rPr>
                <w:sz w:val="19"/>
              </w:rPr>
              <w:t>33</w:t>
            </w:r>
          </w:p>
        </w:tc>
        <w:tc>
          <w:tcPr>
            <w:tcW w:w="1505" w:type="dxa"/>
            <w:tcBorders>
              <w:top w:val="double" w:sz="4" w:space="0" w:color="000000"/>
              <w:left w:val="nil"/>
              <w:bottom w:val="nil"/>
              <w:right w:val="nil"/>
            </w:tcBorders>
          </w:tcPr>
          <w:p>
            <w:pPr>
              <w:pStyle w:val="TableParagraph"/>
              <w:spacing w:before="5"/>
              <w:jc w:val="left"/>
              <w:rPr>
                <w:sz w:val="20"/>
              </w:rPr>
            </w:pPr>
          </w:p>
          <w:p>
            <w:pPr>
              <w:pStyle w:val="TableParagraph"/>
              <w:ind w:right="76"/>
              <w:rPr>
                <w:sz w:val="19"/>
              </w:rPr>
            </w:pPr>
            <w:r>
              <w:rPr>
                <w:sz w:val="19"/>
              </w:rPr>
              <w:t>22.6</w:t>
            </w:r>
          </w:p>
        </w:tc>
        <w:tc>
          <w:tcPr>
            <w:tcW w:w="817" w:type="dxa"/>
            <w:tcBorders>
              <w:top w:val="double" w:sz="4" w:space="0" w:color="000000"/>
              <w:left w:val="nil"/>
              <w:bottom w:val="nil"/>
              <w:right w:val="nil"/>
            </w:tcBorders>
          </w:tcPr>
          <w:p>
            <w:pPr>
              <w:pStyle w:val="TableParagraph"/>
              <w:spacing w:before="5"/>
              <w:jc w:val="left"/>
              <w:rPr>
                <w:sz w:val="20"/>
              </w:rPr>
            </w:pPr>
          </w:p>
          <w:p>
            <w:pPr>
              <w:pStyle w:val="TableParagraph"/>
              <w:ind w:right="68"/>
              <w:rPr>
                <w:sz w:val="19"/>
              </w:rPr>
            </w:pPr>
            <w:r>
              <w:rPr>
                <w:sz w:val="19"/>
              </w:rPr>
              <w:t>13.4</w:t>
            </w:r>
          </w:p>
        </w:tc>
      </w:tr>
      <w:tr>
        <w:trPr>
          <w:trHeight w:val="461" w:hRule="exact"/>
        </w:trPr>
        <w:tc>
          <w:tcPr>
            <w:tcW w:w="3209" w:type="dxa"/>
            <w:tcBorders>
              <w:top w:val="nil"/>
              <w:left w:val="nil"/>
              <w:bottom w:val="nil"/>
              <w:right w:val="nil"/>
            </w:tcBorders>
          </w:tcPr>
          <w:p>
            <w:pPr>
              <w:pStyle w:val="TableParagraph"/>
              <w:spacing w:line="252" w:lineRule="auto"/>
              <w:ind w:left="69" w:right="19" w:firstLine="48"/>
              <w:jc w:val="left"/>
              <w:rPr>
                <w:sz w:val="19"/>
              </w:rPr>
            </w:pPr>
            <w:r>
              <w:rPr>
                <w:sz w:val="19"/>
              </w:rPr>
              <w:t>por ciento población sin cobertura de salud</w:t>
            </w:r>
          </w:p>
        </w:tc>
        <w:tc>
          <w:tcPr>
            <w:tcW w:w="839" w:type="dxa"/>
            <w:tcBorders>
              <w:top w:val="nil"/>
              <w:left w:val="nil"/>
              <w:bottom w:val="nil"/>
              <w:right w:val="nil"/>
            </w:tcBorders>
          </w:tcPr>
          <w:p>
            <w:pPr>
              <w:pStyle w:val="TableParagraph"/>
              <w:spacing w:before="9"/>
              <w:jc w:val="left"/>
              <w:rPr>
                <w:sz w:val="19"/>
              </w:rPr>
            </w:pPr>
          </w:p>
          <w:p>
            <w:pPr>
              <w:pStyle w:val="TableParagraph"/>
              <w:ind w:right="112"/>
              <w:rPr>
                <w:sz w:val="19"/>
              </w:rPr>
            </w:pPr>
            <w:r>
              <w:rPr>
                <w:sz w:val="19"/>
              </w:rPr>
              <w:t>16.3</w:t>
            </w:r>
          </w:p>
        </w:tc>
        <w:tc>
          <w:tcPr>
            <w:tcW w:w="795" w:type="dxa"/>
            <w:tcBorders>
              <w:top w:val="nil"/>
              <w:left w:val="nil"/>
              <w:bottom w:val="nil"/>
              <w:right w:val="nil"/>
            </w:tcBorders>
          </w:tcPr>
          <w:p>
            <w:pPr>
              <w:pStyle w:val="TableParagraph"/>
              <w:spacing w:before="9"/>
              <w:jc w:val="left"/>
              <w:rPr>
                <w:sz w:val="19"/>
              </w:rPr>
            </w:pPr>
          </w:p>
          <w:p>
            <w:pPr>
              <w:pStyle w:val="TableParagraph"/>
              <w:ind w:right="91"/>
              <w:rPr>
                <w:sz w:val="19"/>
              </w:rPr>
            </w:pPr>
            <w:r>
              <w:rPr>
                <w:sz w:val="19"/>
              </w:rPr>
              <w:t>53.6</w:t>
            </w:r>
          </w:p>
        </w:tc>
        <w:tc>
          <w:tcPr>
            <w:tcW w:w="1081" w:type="dxa"/>
            <w:tcBorders>
              <w:top w:val="nil"/>
              <w:left w:val="nil"/>
              <w:bottom w:val="nil"/>
              <w:right w:val="nil"/>
            </w:tcBorders>
          </w:tcPr>
          <w:p>
            <w:pPr>
              <w:pStyle w:val="TableParagraph"/>
              <w:spacing w:before="9"/>
              <w:jc w:val="left"/>
              <w:rPr>
                <w:sz w:val="19"/>
              </w:rPr>
            </w:pPr>
          </w:p>
          <w:p>
            <w:pPr>
              <w:pStyle w:val="TableParagraph"/>
              <w:ind w:right="75"/>
              <w:rPr>
                <w:sz w:val="19"/>
              </w:rPr>
            </w:pPr>
            <w:r>
              <w:rPr>
                <w:sz w:val="19"/>
              </w:rPr>
              <w:t>25</w:t>
            </w:r>
          </w:p>
        </w:tc>
        <w:tc>
          <w:tcPr>
            <w:tcW w:w="1919" w:type="dxa"/>
            <w:tcBorders>
              <w:top w:val="nil"/>
              <w:left w:val="nil"/>
              <w:bottom w:val="nil"/>
              <w:right w:val="nil"/>
            </w:tcBorders>
          </w:tcPr>
          <w:p>
            <w:pPr>
              <w:pStyle w:val="TableParagraph"/>
              <w:spacing w:before="9"/>
              <w:jc w:val="left"/>
              <w:rPr>
                <w:sz w:val="19"/>
              </w:rPr>
            </w:pPr>
          </w:p>
          <w:p>
            <w:pPr>
              <w:pStyle w:val="TableParagraph"/>
              <w:ind w:right="75"/>
              <w:rPr>
                <w:sz w:val="19"/>
              </w:rPr>
            </w:pPr>
            <w:r>
              <w:rPr>
                <w:sz w:val="19"/>
              </w:rPr>
              <w:t>22.5</w:t>
            </w:r>
          </w:p>
        </w:tc>
        <w:tc>
          <w:tcPr>
            <w:tcW w:w="1505" w:type="dxa"/>
            <w:tcBorders>
              <w:top w:val="nil"/>
              <w:left w:val="nil"/>
              <w:bottom w:val="nil"/>
              <w:right w:val="nil"/>
            </w:tcBorders>
          </w:tcPr>
          <w:p>
            <w:pPr>
              <w:pStyle w:val="TableParagraph"/>
              <w:spacing w:before="9"/>
              <w:jc w:val="left"/>
              <w:rPr>
                <w:sz w:val="19"/>
              </w:rPr>
            </w:pPr>
          </w:p>
          <w:p>
            <w:pPr>
              <w:pStyle w:val="TableParagraph"/>
              <w:ind w:right="75"/>
              <w:rPr>
                <w:sz w:val="19"/>
              </w:rPr>
            </w:pPr>
            <w:r>
              <w:rPr>
                <w:sz w:val="19"/>
              </w:rPr>
              <w:t>20</w:t>
            </w:r>
          </w:p>
        </w:tc>
        <w:tc>
          <w:tcPr>
            <w:tcW w:w="817" w:type="dxa"/>
            <w:tcBorders>
              <w:top w:val="nil"/>
              <w:left w:val="nil"/>
              <w:bottom w:val="nil"/>
              <w:right w:val="nil"/>
            </w:tcBorders>
          </w:tcPr>
          <w:p>
            <w:pPr>
              <w:pStyle w:val="TableParagraph"/>
              <w:spacing w:before="9"/>
              <w:jc w:val="left"/>
              <w:rPr>
                <w:sz w:val="19"/>
              </w:rPr>
            </w:pPr>
          </w:p>
          <w:p>
            <w:pPr>
              <w:pStyle w:val="TableParagraph"/>
              <w:ind w:right="66"/>
              <w:rPr>
                <w:sz w:val="19"/>
              </w:rPr>
            </w:pPr>
            <w:r>
              <w:rPr>
                <w:sz w:val="19"/>
              </w:rPr>
              <w:t>13</w:t>
            </w:r>
          </w:p>
        </w:tc>
      </w:tr>
      <w:tr>
        <w:trPr>
          <w:trHeight w:val="494" w:hRule="exact"/>
        </w:trPr>
        <w:tc>
          <w:tcPr>
            <w:tcW w:w="3209" w:type="dxa"/>
            <w:tcBorders>
              <w:top w:val="nil"/>
              <w:left w:val="nil"/>
              <w:bottom w:val="nil"/>
              <w:right w:val="nil"/>
            </w:tcBorders>
          </w:tcPr>
          <w:p>
            <w:pPr>
              <w:pStyle w:val="TableParagraph"/>
              <w:spacing w:line="252" w:lineRule="auto"/>
              <w:ind w:left="69" w:right="19" w:firstLine="48"/>
              <w:jc w:val="left"/>
              <w:rPr>
                <w:sz w:val="19"/>
              </w:rPr>
            </w:pPr>
            <w:r>
              <w:rPr>
                <w:sz w:val="19"/>
              </w:rPr>
              <w:t>por ciento población económicamente activa</w:t>
            </w:r>
          </w:p>
        </w:tc>
        <w:tc>
          <w:tcPr>
            <w:tcW w:w="839" w:type="dxa"/>
            <w:tcBorders>
              <w:top w:val="nil"/>
              <w:left w:val="nil"/>
              <w:bottom w:val="nil"/>
              <w:right w:val="nil"/>
            </w:tcBorders>
          </w:tcPr>
          <w:p>
            <w:pPr>
              <w:pStyle w:val="TableParagraph"/>
              <w:spacing w:before="9"/>
              <w:jc w:val="left"/>
              <w:rPr>
                <w:sz w:val="19"/>
              </w:rPr>
            </w:pPr>
          </w:p>
          <w:p>
            <w:pPr>
              <w:pStyle w:val="TableParagraph"/>
              <w:ind w:right="111"/>
              <w:rPr>
                <w:sz w:val="19"/>
              </w:rPr>
            </w:pPr>
            <w:r>
              <w:rPr>
                <w:sz w:val="19"/>
              </w:rPr>
              <w:t>63</w:t>
            </w:r>
          </w:p>
        </w:tc>
        <w:tc>
          <w:tcPr>
            <w:tcW w:w="795" w:type="dxa"/>
            <w:tcBorders>
              <w:top w:val="nil"/>
              <w:left w:val="nil"/>
              <w:bottom w:val="nil"/>
              <w:right w:val="nil"/>
            </w:tcBorders>
          </w:tcPr>
          <w:p>
            <w:pPr>
              <w:pStyle w:val="TableParagraph"/>
              <w:spacing w:before="9"/>
              <w:jc w:val="left"/>
              <w:rPr>
                <w:sz w:val="19"/>
              </w:rPr>
            </w:pPr>
          </w:p>
          <w:p>
            <w:pPr>
              <w:pStyle w:val="TableParagraph"/>
              <w:ind w:right="91"/>
              <w:rPr>
                <w:sz w:val="19"/>
              </w:rPr>
            </w:pPr>
            <w:r>
              <w:rPr>
                <w:sz w:val="19"/>
              </w:rPr>
              <w:t>68.6</w:t>
            </w:r>
          </w:p>
        </w:tc>
        <w:tc>
          <w:tcPr>
            <w:tcW w:w="1081" w:type="dxa"/>
            <w:tcBorders>
              <w:top w:val="nil"/>
              <w:left w:val="nil"/>
              <w:bottom w:val="nil"/>
              <w:right w:val="nil"/>
            </w:tcBorders>
          </w:tcPr>
          <w:p>
            <w:pPr>
              <w:pStyle w:val="TableParagraph"/>
              <w:spacing w:before="9"/>
              <w:jc w:val="left"/>
              <w:rPr>
                <w:sz w:val="19"/>
              </w:rPr>
            </w:pPr>
          </w:p>
          <w:p>
            <w:pPr>
              <w:pStyle w:val="TableParagraph"/>
              <w:ind w:right="77"/>
              <w:rPr>
                <w:sz w:val="19"/>
              </w:rPr>
            </w:pPr>
            <w:r>
              <w:rPr>
                <w:sz w:val="19"/>
              </w:rPr>
              <w:t>66.1</w:t>
            </w:r>
          </w:p>
        </w:tc>
        <w:tc>
          <w:tcPr>
            <w:tcW w:w="1919" w:type="dxa"/>
            <w:tcBorders>
              <w:top w:val="nil"/>
              <w:left w:val="nil"/>
              <w:bottom w:val="nil"/>
              <w:right w:val="nil"/>
            </w:tcBorders>
          </w:tcPr>
          <w:p>
            <w:pPr>
              <w:pStyle w:val="TableParagraph"/>
              <w:spacing w:before="9"/>
              <w:jc w:val="left"/>
              <w:rPr>
                <w:sz w:val="19"/>
              </w:rPr>
            </w:pPr>
          </w:p>
          <w:p>
            <w:pPr>
              <w:pStyle w:val="TableParagraph"/>
              <w:ind w:right="74"/>
              <w:rPr>
                <w:sz w:val="19"/>
              </w:rPr>
            </w:pPr>
            <w:r>
              <w:rPr>
                <w:sz w:val="19"/>
              </w:rPr>
              <w:t>59</w:t>
            </w:r>
          </w:p>
        </w:tc>
        <w:tc>
          <w:tcPr>
            <w:tcW w:w="1505" w:type="dxa"/>
            <w:tcBorders>
              <w:top w:val="nil"/>
              <w:left w:val="nil"/>
              <w:bottom w:val="nil"/>
              <w:right w:val="nil"/>
            </w:tcBorders>
          </w:tcPr>
          <w:p>
            <w:pPr>
              <w:pStyle w:val="TableParagraph"/>
              <w:spacing w:before="9"/>
              <w:jc w:val="left"/>
              <w:rPr>
                <w:sz w:val="19"/>
              </w:rPr>
            </w:pPr>
          </w:p>
          <w:p>
            <w:pPr>
              <w:pStyle w:val="TableParagraph"/>
              <w:ind w:right="76"/>
              <w:rPr>
                <w:sz w:val="19"/>
              </w:rPr>
            </w:pPr>
            <w:r>
              <w:rPr>
                <w:sz w:val="19"/>
              </w:rPr>
              <w:t>60.7</w:t>
            </w:r>
          </w:p>
        </w:tc>
        <w:tc>
          <w:tcPr>
            <w:tcW w:w="817" w:type="dxa"/>
            <w:tcBorders>
              <w:top w:val="nil"/>
              <w:left w:val="nil"/>
              <w:bottom w:val="nil"/>
              <w:right w:val="nil"/>
            </w:tcBorders>
          </w:tcPr>
          <w:p>
            <w:pPr>
              <w:pStyle w:val="TableParagraph"/>
              <w:spacing w:before="9"/>
              <w:jc w:val="left"/>
              <w:rPr>
                <w:sz w:val="19"/>
              </w:rPr>
            </w:pPr>
          </w:p>
          <w:p>
            <w:pPr>
              <w:pStyle w:val="TableParagraph"/>
              <w:ind w:right="68"/>
              <w:rPr>
                <w:sz w:val="19"/>
              </w:rPr>
            </w:pPr>
            <w:r>
              <w:rPr>
                <w:sz w:val="19"/>
              </w:rPr>
              <w:t>62.4</w:t>
            </w:r>
          </w:p>
        </w:tc>
      </w:tr>
      <w:tr>
        <w:trPr>
          <w:trHeight w:val="300" w:hRule="exact"/>
        </w:trPr>
        <w:tc>
          <w:tcPr>
            <w:tcW w:w="3209" w:type="dxa"/>
            <w:tcBorders>
              <w:top w:val="nil"/>
              <w:left w:val="nil"/>
              <w:bottom w:val="nil"/>
              <w:right w:val="nil"/>
            </w:tcBorders>
          </w:tcPr>
          <w:p>
            <w:pPr>
              <w:pStyle w:val="TableParagraph"/>
              <w:spacing w:before="31"/>
              <w:ind w:left="69" w:right="19"/>
              <w:jc w:val="left"/>
              <w:rPr>
                <w:sz w:val="19"/>
              </w:rPr>
            </w:pPr>
            <w:r>
              <w:rPr>
                <w:sz w:val="19"/>
              </w:rPr>
              <w:t>Tasa de desempleo</w:t>
            </w:r>
          </w:p>
        </w:tc>
        <w:tc>
          <w:tcPr>
            <w:tcW w:w="839" w:type="dxa"/>
            <w:tcBorders>
              <w:top w:val="nil"/>
              <w:left w:val="nil"/>
              <w:bottom w:val="nil"/>
              <w:right w:val="nil"/>
            </w:tcBorders>
          </w:tcPr>
          <w:p>
            <w:pPr>
              <w:pStyle w:val="TableParagraph"/>
              <w:spacing w:before="31"/>
              <w:ind w:right="111"/>
              <w:rPr>
                <w:sz w:val="19"/>
              </w:rPr>
            </w:pPr>
            <w:r>
              <w:rPr>
                <w:sz w:val="19"/>
              </w:rPr>
              <w:t>9.5</w:t>
            </w:r>
          </w:p>
        </w:tc>
        <w:tc>
          <w:tcPr>
            <w:tcW w:w="795" w:type="dxa"/>
            <w:tcBorders>
              <w:top w:val="nil"/>
              <w:left w:val="nil"/>
              <w:bottom w:val="nil"/>
              <w:right w:val="nil"/>
            </w:tcBorders>
          </w:tcPr>
          <w:p>
            <w:pPr>
              <w:pStyle w:val="TableParagraph"/>
              <w:spacing w:before="31"/>
              <w:ind w:right="91"/>
              <w:rPr>
                <w:sz w:val="19"/>
              </w:rPr>
            </w:pPr>
            <w:r>
              <w:rPr>
                <w:sz w:val="19"/>
              </w:rPr>
              <w:t>11.9</w:t>
            </w:r>
          </w:p>
        </w:tc>
        <w:tc>
          <w:tcPr>
            <w:tcW w:w="1081" w:type="dxa"/>
            <w:tcBorders>
              <w:top w:val="nil"/>
              <w:left w:val="nil"/>
              <w:bottom w:val="nil"/>
              <w:right w:val="nil"/>
            </w:tcBorders>
          </w:tcPr>
          <w:p>
            <w:pPr>
              <w:pStyle w:val="TableParagraph"/>
              <w:spacing w:before="31"/>
              <w:ind w:right="76"/>
              <w:rPr>
                <w:sz w:val="19"/>
              </w:rPr>
            </w:pPr>
            <w:r>
              <w:rPr>
                <w:sz w:val="19"/>
              </w:rPr>
              <w:t>9.2</w:t>
            </w:r>
          </w:p>
        </w:tc>
        <w:tc>
          <w:tcPr>
            <w:tcW w:w="1919" w:type="dxa"/>
            <w:tcBorders>
              <w:top w:val="nil"/>
              <w:left w:val="nil"/>
              <w:bottom w:val="nil"/>
              <w:right w:val="nil"/>
            </w:tcBorders>
          </w:tcPr>
          <w:p>
            <w:pPr>
              <w:pStyle w:val="TableParagraph"/>
              <w:spacing w:before="31"/>
              <w:ind w:right="75"/>
              <w:rPr>
                <w:sz w:val="19"/>
              </w:rPr>
            </w:pPr>
            <w:r>
              <w:rPr>
                <w:sz w:val="19"/>
              </w:rPr>
              <w:t>14.6</w:t>
            </w:r>
          </w:p>
        </w:tc>
        <w:tc>
          <w:tcPr>
            <w:tcW w:w="1505" w:type="dxa"/>
            <w:tcBorders>
              <w:top w:val="nil"/>
              <w:left w:val="nil"/>
              <w:bottom w:val="nil"/>
              <w:right w:val="nil"/>
            </w:tcBorders>
          </w:tcPr>
          <w:p>
            <w:pPr>
              <w:pStyle w:val="TableParagraph"/>
              <w:spacing w:before="31"/>
              <w:ind w:right="76"/>
              <w:rPr>
                <w:sz w:val="19"/>
              </w:rPr>
            </w:pPr>
            <w:r>
              <w:rPr>
                <w:sz w:val="19"/>
              </w:rPr>
              <w:t>12.7</w:t>
            </w:r>
          </w:p>
        </w:tc>
        <w:tc>
          <w:tcPr>
            <w:tcW w:w="817" w:type="dxa"/>
            <w:tcBorders>
              <w:top w:val="nil"/>
              <w:left w:val="nil"/>
              <w:bottom w:val="nil"/>
              <w:right w:val="nil"/>
            </w:tcBorders>
          </w:tcPr>
          <w:p>
            <w:pPr>
              <w:pStyle w:val="TableParagraph"/>
              <w:spacing w:before="31"/>
              <w:ind w:right="67"/>
              <w:rPr>
                <w:sz w:val="19"/>
              </w:rPr>
            </w:pPr>
            <w:r>
              <w:rPr>
                <w:sz w:val="19"/>
              </w:rPr>
              <w:t>9.1</w:t>
            </w:r>
          </w:p>
        </w:tc>
      </w:tr>
      <w:tr>
        <w:trPr>
          <w:trHeight w:val="283" w:hRule="exact"/>
        </w:trPr>
        <w:tc>
          <w:tcPr>
            <w:tcW w:w="3209" w:type="dxa"/>
            <w:tcBorders>
              <w:top w:val="nil"/>
              <w:left w:val="nil"/>
              <w:bottom w:val="nil"/>
              <w:right w:val="nil"/>
            </w:tcBorders>
          </w:tcPr>
          <w:p>
            <w:pPr>
              <w:pStyle w:val="TableParagraph"/>
              <w:spacing w:before="33"/>
              <w:ind w:left="69" w:right="19"/>
              <w:jc w:val="left"/>
              <w:rPr>
                <w:sz w:val="19"/>
              </w:rPr>
            </w:pPr>
            <w:r>
              <w:rPr>
                <w:sz w:val="19"/>
              </w:rPr>
              <w:t>Población  ocupada</w:t>
            </w:r>
          </w:p>
        </w:tc>
        <w:tc>
          <w:tcPr>
            <w:tcW w:w="839" w:type="dxa"/>
            <w:tcBorders>
              <w:top w:val="nil"/>
              <w:left w:val="nil"/>
              <w:bottom w:val="nil"/>
              <w:right w:val="nil"/>
            </w:tcBorders>
          </w:tcPr>
          <w:p>
            <w:pPr/>
          </w:p>
        </w:tc>
        <w:tc>
          <w:tcPr>
            <w:tcW w:w="795" w:type="dxa"/>
            <w:tcBorders>
              <w:top w:val="nil"/>
              <w:left w:val="nil"/>
              <w:bottom w:val="nil"/>
              <w:right w:val="nil"/>
            </w:tcBorders>
          </w:tcPr>
          <w:p>
            <w:pPr/>
          </w:p>
        </w:tc>
        <w:tc>
          <w:tcPr>
            <w:tcW w:w="1081" w:type="dxa"/>
            <w:tcBorders>
              <w:top w:val="nil"/>
              <w:left w:val="nil"/>
              <w:bottom w:val="nil"/>
              <w:right w:val="nil"/>
            </w:tcBorders>
          </w:tcPr>
          <w:p>
            <w:pPr/>
          </w:p>
        </w:tc>
        <w:tc>
          <w:tcPr>
            <w:tcW w:w="1919" w:type="dxa"/>
            <w:tcBorders>
              <w:top w:val="nil"/>
              <w:left w:val="nil"/>
              <w:bottom w:val="nil"/>
              <w:right w:val="nil"/>
            </w:tcBorders>
          </w:tcPr>
          <w:p>
            <w:pPr/>
          </w:p>
        </w:tc>
        <w:tc>
          <w:tcPr>
            <w:tcW w:w="1505" w:type="dxa"/>
            <w:tcBorders>
              <w:top w:val="nil"/>
              <w:left w:val="nil"/>
              <w:bottom w:val="nil"/>
              <w:right w:val="nil"/>
            </w:tcBorders>
          </w:tcPr>
          <w:p>
            <w:pPr/>
          </w:p>
        </w:tc>
        <w:tc>
          <w:tcPr>
            <w:tcW w:w="817" w:type="dxa"/>
            <w:tcBorders>
              <w:top w:val="nil"/>
              <w:left w:val="nil"/>
              <w:bottom w:val="nil"/>
              <w:right w:val="nil"/>
            </w:tcBorders>
          </w:tcPr>
          <w:p>
            <w:pPr/>
          </w:p>
        </w:tc>
      </w:tr>
      <w:tr>
        <w:trPr>
          <w:trHeight w:val="478" w:hRule="exact"/>
        </w:trPr>
        <w:tc>
          <w:tcPr>
            <w:tcW w:w="3209" w:type="dxa"/>
            <w:tcBorders>
              <w:top w:val="nil"/>
              <w:left w:val="nil"/>
              <w:bottom w:val="nil"/>
              <w:right w:val="nil"/>
            </w:tcBorders>
          </w:tcPr>
          <w:p>
            <w:pPr>
              <w:pStyle w:val="TableParagraph"/>
              <w:spacing w:line="252" w:lineRule="auto" w:before="14"/>
              <w:ind w:left="69" w:right="19" w:firstLine="48"/>
              <w:jc w:val="left"/>
              <w:rPr>
                <w:sz w:val="19"/>
              </w:rPr>
            </w:pPr>
            <w:r>
              <w:rPr>
                <w:sz w:val="19"/>
              </w:rPr>
              <w:t>Porcentaje sin acceso a seguro m</w:t>
            </w:r>
            <w:r>
              <w:rPr>
                <w:color w:val="6F2F9F"/>
                <w:sz w:val="19"/>
              </w:rPr>
              <w:t>é</w:t>
            </w:r>
            <w:r>
              <w:rPr>
                <w:sz w:val="19"/>
              </w:rPr>
              <w:t>dico ofrecido por el empleador</w:t>
            </w:r>
          </w:p>
        </w:tc>
        <w:tc>
          <w:tcPr>
            <w:tcW w:w="839" w:type="dxa"/>
            <w:tcBorders>
              <w:top w:val="nil"/>
              <w:left w:val="nil"/>
              <w:bottom w:val="nil"/>
              <w:right w:val="nil"/>
            </w:tcBorders>
          </w:tcPr>
          <w:p>
            <w:pPr>
              <w:pStyle w:val="TableParagraph"/>
              <w:spacing w:before="3"/>
              <w:jc w:val="left"/>
              <w:rPr>
                <w:sz w:val="21"/>
              </w:rPr>
            </w:pPr>
          </w:p>
          <w:p>
            <w:pPr>
              <w:pStyle w:val="TableParagraph"/>
              <w:ind w:right="111"/>
              <w:rPr>
                <w:sz w:val="19"/>
              </w:rPr>
            </w:pPr>
            <w:r>
              <w:rPr>
                <w:sz w:val="19"/>
              </w:rPr>
              <w:t>48</w:t>
            </w:r>
          </w:p>
        </w:tc>
        <w:tc>
          <w:tcPr>
            <w:tcW w:w="795" w:type="dxa"/>
            <w:tcBorders>
              <w:top w:val="nil"/>
              <w:left w:val="nil"/>
              <w:bottom w:val="nil"/>
              <w:right w:val="nil"/>
            </w:tcBorders>
          </w:tcPr>
          <w:p>
            <w:pPr>
              <w:pStyle w:val="TableParagraph"/>
              <w:spacing w:before="3"/>
              <w:jc w:val="left"/>
              <w:rPr>
                <w:sz w:val="21"/>
              </w:rPr>
            </w:pPr>
          </w:p>
          <w:p>
            <w:pPr>
              <w:pStyle w:val="TableParagraph"/>
              <w:ind w:right="91"/>
              <w:rPr>
                <w:sz w:val="19"/>
              </w:rPr>
            </w:pPr>
            <w:r>
              <w:rPr>
                <w:sz w:val="19"/>
              </w:rPr>
              <w:t>72.6</w:t>
            </w:r>
          </w:p>
        </w:tc>
        <w:tc>
          <w:tcPr>
            <w:tcW w:w="1081" w:type="dxa"/>
            <w:tcBorders>
              <w:top w:val="nil"/>
              <w:left w:val="nil"/>
              <w:bottom w:val="nil"/>
              <w:right w:val="nil"/>
            </w:tcBorders>
          </w:tcPr>
          <w:p>
            <w:pPr>
              <w:pStyle w:val="TableParagraph"/>
              <w:spacing w:before="3"/>
              <w:jc w:val="left"/>
              <w:rPr>
                <w:sz w:val="21"/>
              </w:rPr>
            </w:pPr>
          </w:p>
          <w:p>
            <w:pPr>
              <w:pStyle w:val="TableParagraph"/>
              <w:ind w:right="77"/>
              <w:rPr>
                <w:sz w:val="19"/>
              </w:rPr>
            </w:pPr>
            <w:r>
              <w:rPr>
                <w:sz w:val="19"/>
              </w:rPr>
              <w:t>53.5</w:t>
            </w:r>
          </w:p>
        </w:tc>
        <w:tc>
          <w:tcPr>
            <w:tcW w:w="1919" w:type="dxa"/>
            <w:tcBorders>
              <w:top w:val="nil"/>
              <w:left w:val="nil"/>
              <w:bottom w:val="nil"/>
              <w:right w:val="nil"/>
            </w:tcBorders>
          </w:tcPr>
          <w:p>
            <w:pPr>
              <w:pStyle w:val="TableParagraph"/>
              <w:spacing w:before="3"/>
              <w:jc w:val="left"/>
              <w:rPr>
                <w:sz w:val="21"/>
              </w:rPr>
            </w:pPr>
          </w:p>
          <w:p>
            <w:pPr>
              <w:pStyle w:val="TableParagraph"/>
              <w:ind w:right="75"/>
              <w:rPr>
                <w:sz w:val="19"/>
              </w:rPr>
            </w:pPr>
            <w:r>
              <w:rPr>
                <w:sz w:val="19"/>
              </w:rPr>
              <w:t>57.2</w:t>
            </w:r>
          </w:p>
        </w:tc>
        <w:tc>
          <w:tcPr>
            <w:tcW w:w="1505" w:type="dxa"/>
            <w:tcBorders>
              <w:top w:val="nil"/>
              <w:left w:val="nil"/>
              <w:bottom w:val="nil"/>
              <w:right w:val="nil"/>
            </w:tcBorders>
          </w:tcPr>
          <w:p>
            <w:pPr>
              <w:pStyle w:val="TableParagraph"/>
              <w:spacing w:before="3"/>
              <w:jc w:val="left"/>
              <w:rPr>
                <w:sz w:val="21"/>
              </w:rPr>
            </w:pPr>
          </w:p>
          <w:p>
            <w:pPr>
              <w:pStyle w:val="TableParagraph"/>
              <w:ind w:right="76"/>
              <w:rPr>
                <w:sz w:val="19"/>
              </w:rPr>
            </w:pPr>
            <w:r>
              <w:rPr>
                <w:sz w:val="19"/>
              </w:rPr>
              <w:t>50.8</w:t>
            </w:r>
          </w:p>
        </w:tc>
        <w:tc>
          <w:tcPr>
            <w:tcW w:w="817" w:type="dxa"/>
            <w:tcBorders>
              <w:top w:val="nil"/>
              <w:left w:val="nil"/>
              <w:bottom w:val="nil"/>
              <w:right w:val="nil"/>
            </w:tcBorders>
          </w:tcPr>
          <w:p>
            <w:pPr>
              <w:pStyle w:val="TableParagraph"/>
              <w:spacing w:before="3"/>
              <w:jc w:val="left"/>
              <w:rPr>
                <w:sz w:val="21"/>
              </w:rPr>
            </w:pPr>
          </w:p>
          <w:p>
            <w:pPr>
              <w:pStyle w:val="TableParagraph"/>
              <w:ind w:right="68"/>
              <w:rPr>
                <w:sz w:val="19"/>
              </w:rPr>
            </w:pPr>
            <w:r>
              <w:rPr>
                <w:sz w:val="19"/>
              </w:rPr>
              <w:t>45.4</w:t>
            </w:r>
          </w:p>
        </w:tc>
      </w:tr>
      <w:tr>
        <w:trPr>
          <w:trHeight w:val="456" w:hRule="exact"/>
        </w:trPr>
        <w:tc>
          <w:tcPr>
            <w:tcW w:w="3209" w:type="dxa"/>
            <w:tcBorders>
              <w:top w:val="nil"/>
              <w:left w:val="nil"/>
              <w:bottom w:val="nil"/>
              <w:right w:val="nil"/>
            </w:tcBorders>
          </w:tcPr>
          <w:p>
            <w:pPr>
              <w:pStyle w:val="TableParagraph"/>
              <w:spacing w:line="247" w:lineRule="auto"/>
              <w:ind w:left="69" w:right="19" w:firstLine="48"/>
              <w:jc w:val="left"/>
              <w:rPr>
                <w:sz w:val="19"/>
              </w:rPr>
            </w:pPr>
            <w:r>
              <w:rPr>
                <w:sz w:val="19"/>
              </w:rPr>
              <w:t>Porcentaje sin plan de pensión o de retiro ofrecido por el empleador</w:t>
            </w:r>
          </w:p>
        </w:tc>
        <w:tc>
          <w:tcPr>
            <w:tcW w:w="839" w:type="dxa"/>
            <w:tcBorders>
              <w:top w:val="nil"/>
              <w:left w:val="nil"/>
              <w:bottom w:val="nil"/>
              <w:right w:val="nil"/>
            </w:tcBorders>
          </w:tcPr>
          <w:p>
            <w:pPr>
              <w:pStyle w:val="TableParagraph"/>
              <w:spacing w:before="4"/>
              <w:jc w:val="left"/>
              <w:rPr>
                <w:sz w:val="19"/>
              </w:rPr>
            </w:pPr>
          </w:p>
          <w:p>
            <w:pPr>
              <w:pStyle w:val="TableParagraph"/>
              <w:spacing w:before="1"/>
              <w:ind w:right="112"/>
              <w:rPr>
                <w:sz w:val="19"/>
              </w:rPr>
            </w:pPr>
            <w:r>
              <w:rPr>
                <w:sz w:val="19"/>
              </w:rPr>
              <w:t>48.2</w:t>
            </w:r>
          </w:p>
        </w:tc>
        <w:tc>
          <w:tcPr>
            <w:tcW w:w="795" w:type="dxa"/>
            <w:tcBorders>
              <w:top w:val="nil"/>
              <w:left w:val="nil"/>
              <w:bottom w:val="nil"/>
              <w:right w:val="nil"/>
            </w:tcBorders>
          </w:tcPr>
          <w:p>
            <w:pPr>
              <w:pStyle w:val="TableParagraph"/>
              <w:spacing w:before="4"/>
              <w:jc w:val="left"/>
              <w:rPr>
                <w:sz w:val="19"/>
              </w:rPr>
            </w:pPr>
          </w:p>
          <w:p>
            <w:pPr>
              <w:pStyle w:val="TableParagraph"/>
              <w:spacing w:before="1"/>
              <w:ind w:right="91"/>
              <w:rPr>
                <w:sz w:val="19"/>
              </w:rPr>
            </w:pPr>
            <w:r>
              <w:rPr>
                <w:sz w:val="19"/>
              </w:rPr>
              <w:t>76.3</w:t>
            </w:r>
          </w:p>
        </w:tc>
        <w:tc>
          <w:tcPr>
            <w:tcW w:w="1081" w:type="dxa"/>
            <w:tcBorders>
              <w:top w:val="nil"/>
              <w:left w:val="nil"/>
              <w:bottom w:val="nil"/>
              <w:right w:val="nil"/>
            </w:tcBorders>
          </w:tcPr>
          <w:p>
            <w:pPr>
              <w:pStyle w:val="TableParagraph"/>
              <w:spacing w:before="4"/>
              <w:jc w:val="left"/>
              <w:rPr>
                <w:sz w:val="19"/>
              </w:rPr>
            </w:pPr>
          </w:p>
          <w:p>
            <w:pPr>
              <w:pStyle w:val="TableParagraph"/>
              <w:spacing w:before="1"/>
              <w:ind w:right="77"/>
              <w:rPr>
                <w:sz w:val="19"/>
              </w:rPr>
            </w:pPr>
            <w:r>
              <w:rPr>
                <w:sz w:val="19"/>
              </w:rPr>
              <w:t>57.7</w:t>
            </w:r>
          </w:p>
        </w:tc>
        <w:tc>
          <w:tcPr>
            <w:tcW w:w="1919" w:type="dxa"/>
            <w:tcBorders>
              <w:top w:val="nil"/>
              <w:left w:val="nil"/>
              <w:bottom w:val="nil"/>
              <w:right w:val="nil"/>
            </w:tcBorders>
          </w:tcPr>
          <w:p>
            <w:pPr>
              <w:pStyle w:val="TableParagraph"/>
              <w:spacing w:before="4"/>
              <w:jc w:val="left"/>
              <w:rPr>
                <w:sz w:val="19"/>
              </w:rPr>
            </w:pPr>
          </w:p>
          <w:p>
            <w:pPr>
              <w:pStyle w:val="TableParagraph"/>
              <w:spacing w:before="1"/>
              <w:ind w:right="75"/>
              <w:rPr>
                <w:sz w:val="19"/>
              </w:rPr>
            </w:pPr>
            <w:r>
              <w:rPr>
                <w:sz w:val="19"/>
              </w:rPr>
              <w:t>57.4</w:t>
            </w:r>
          </w:p>
        </w:tc>
        <w:tc>
          <w:tcPr>
            <w:tcW w:w="1505" w:type="dxa"/>
            <w:tcBorders>
              <w:top w:val="nil"/>
              <w:left w:val="nil"/>
              <w:bottom w:val="nil"/>
              <w:right w:val="nil"/>
            </w:tcBorders>
          </w:tcPr>
          <w:p>
            <w:pPr>
              <w:pStyle w:val="TableParagraph"/>
              <w:spacing w:before="4"/>
              <w:jc w:val="left"/>
              <w:rPr>
                <w:sz w:val="19"/>
              </w:rPr>
            </w:pPr>
          </w:p>
          <w:p>
            <w:pPr>
              <w:pStyle w:val="TableParagraph"/>
              <w:spacing w:before="1"/>
              <w:ind w:right="76"/>
              <w:rPr>
                <w:sz w:val="19"/>
              </w:rPr>
            </w:pPr>
            <w:r>
              <w:rPr>
                <w:sz w:val="19"/>
              </w:rPr>
              <w:t>53.1</w:t>
            </w:r>
          </w:p>
        </w:tc>
        <w:tc>
          <w:tcPr>
            <w:tcW w:w="817" w:type="dxa"/>
            <w:tcBorders>
              <w:top w:val="nil"/>
              <w:left w:val="nil"/>
              <w:bottom w:val="nil"/>
              <w:right w:val="nil"/>
            </w:tcBorders>
          </w:tcPr>
          <w:p>
            <w:pPr>
              <w:pStyle w:val="TableParagraph"/>
              <w:spacing w:before="4"/>
              <w:jc w:val="left"/>
              <w:rPr>
                <w:sz w:val="19"/>
              </w:rPr>
            </w:pPr>
          </w:p>
          <w:p>
            <w:pPr>
              <w:pStyle w:val="TableParagraph"/>
              <w:spacing w:before="1"/>
              <w:ind w:right="68"/>
              <w:rPr>
                <w:sz w:val="19"/>
              </w:rPr>
            </w:pPr>
            <w:r>
              <w:rPr>
                <w:sz w:val="19"/>
              </w:rPr>
              <w:t>44.7</w:t>
            </w:r>
          </w:p>
        </w:tc>
      </w:tr>
      <w:tr>
        <w:trPr>
          <w:trHeight w:val="461" w:hRule="exact"/>
        </w:trPr>
        <w:tc>
          <w:tcPr>
            <w:tcW w:w="3209" w:type="dxa"/>
            <w:tcBorders>
              <w:top w:val="nil"/>
              <w:left w:val="nil"/>
              <w:bottom w:val="nil"/>
              <w:right w:val="nil"/>
            </w:tcBorders>
          </w:tcPr>
          <w:p>
            <w:pPr>
              <w:pStyle w:val="TableParagraph"/>
              <w:spacing w:line="252" w:lineRule="auto"/>
              <w:ind w:left="69" w:right="19" w:firstLine="48"/>
              <w:jc w:val="left"/>
              <w:rPr>
                <w:sz w:val="19"/>
              </w:rPr>
            </w:pPr>
            <w:r>
              <w:rPr>
                <w:sz w:val="19"/>
              </w:rPr>
              <w:t>Porcentaje población ocupada en condición de pobreza</w:t>
            </w:r>
          </w:p>
        </w:tc>
        <w:tc>
          <w:tcPr>
            <w:tcW w:w="839" w:type="dxa"/>
            <w:tcBorders>
              <w:top w:val="nil"/>
              <w:left w:val="nil"/>
              <w:bottom w:val="nil"/>
              <w:right w:val="nil"/>
            </w:tcBorders>
          </w:tcPr>
          <w:p>
            <w:pPr>
              <w:pStyle w:val="TableParagraph"/>
              <w:spacing w:before="9"/>
              <w:jc w:val="left"/>
              <w:rPr>
                <w:sz w:val="19"/>
              </w:rPr>
            </w:pPr>
          </w:p>
          <w:p>
            <w:pPr>
              <w:pStyle w:val="TableParagraph"/>
              <w:ind w:right="111"/>
              <w:rPr>
                <w:sz w:val="19"/>
              </w:rPr>
            </w:pPr>
            <w:r>
              <w:rPr>
                <w:sz w:val="19"/>
              </w:rPr>
              <w:t>6.7</w:t>
            </w:r>
          </w:p>
        </w:tc>
        <w:tc>
          <w:tcPr>
            <w:tcW w:w="795" w:type="dxa"/>
            <w:tcBorders>
              <w:top w:val="nil"/>
              <w:left w:val="nil"/>
              <w:bottom w:val="nil"/>
              <w:right w:val="nil"/>
            </w:tcBorders>
          </w:tcPr>
          <w:p>
            <w:pPr>
              <w:pStyle w:val="TableParagraph"/>
              <w:spacing w:before="9"/>
              <w:jc w:val="left"/>
              <w:rPr>
                <w:sz w:val="19"/>
              </w:rPr>
            </w:pPr>
          </w:p>
          <w:p>
            <w:pPr>
              <w:pStyle w:val="TableParagraph"/>
              <w:ind w:right="91"/>
              <w:rPr>
                <w:sz w:val="19"/>
              </w:rPr>
            </w:pPr>
            <w:r>
              <w:rPr>
                <w:sz w:val="19"/>
              </w:rPr>
              <w:t>21.1</w:t>
            </w:r>
          </w:p>
        </w:tc>
        <w:tc>
          <w:tcPr>
            <w:tcW w:w="1081" w:type="dxa"/>
            <w:tcBorders>
              <w:top w:val="nil"/>
              <w:left w:val="nil"/>
              <w:bottom w:val="nil"/>
              <w:right w:val="nil"/>
            </w:tcBorders>
          </w:tcPr>
          <w:p>
            <w:pPr>
              <w:pStyle w:val="TableParagraph"/>
              <w:spacing w:before="9"/>
              <w:jc w:val="left"/>
              <w:rPr>
                <w:sz w:val="19"/>
              </w:rPr>
            </w:pPr>
          </w:p>
          <w:p>
            <w:pPr>
              <w:pStyle w:val="TableParagraph"/>
              <w:ind w:right="76"/>
              <w:rPr>
                <w:sz w:val="19"/>
              </w:rPr>
            </w:pPr>
            <w:r>
              <w:rPr>
                <w:sz w:val="19"/>
              </w:rPr>
              <w:t>7.9</w:t>
            </w:r>
          </w:p>
        </w:tc>
        <w:tc>
          <w:tcPr>
            <w:tcW w:w="1919" w:type="dxa"/>
            <w:tcBorders>
              <w:top w:val="nil"/>
              <w:left w:val="nil"/>
              <w:bottom w:val="nil"/>
              <w:right w:val="nil"/>
            </w:tcBorders>
          </w:tcPr>
          <w:p>
            <w:pPr>
              <w:pStyle w:val="TableParagraph"/>
              <w:spacing w:before="9"/>
              <w:jc w:val="left"/>
              <w:rPr>
                <w:sz w:val="19"/>
              </w:rPr>
            </w:pPr>
          </w:p>
          <w:p>
            <w:pPr>
              <w:pStyle w:val="TableParagraph"/>
              <w:ind w:right="75"/>
              <w:rPr>
                <w:sz w:val="19"/>
              </w:rPr>
            </w:pPr>
            <w:r>
              <w:rPr>
                <w:sz w:val="19"/>
              </w:rPr>
              <w:t>10.5</w:t>
            </w:r>
          </w:p>
        </w:tc>
        <w:tc>
          <w:tcPr>
            <w:tcW w:w="1505" w:type="dxa"/>
            <w:tcBorders>
              <w:top w:val="nil"/>
              <w:left w:val="nil"/>
              <w:bottom w:val="nil"/>
              <w:right w:val="nil"/>
            </w:tcBorders>
          </w:tcPr>
          <w:p>
            <w:pPr>
              <w:pStyle w:val="TableParagraph"/>
              <w:spacing w:before="9"/>
              <w:jc w:val="left"/>
              <w:rPr>
                <w:sz w:val="19"/>
              </w:rPr>
            </w:pPr>
          </w:p>
          <w:p>
            <w:pPr>
              <w:pStyle w:val="TableParagraph"/>
              <w:ind w:right="76"/>
              <w:rPr>
                <w:sz w:val="19"/>
              </w:rPr>
            </w:pPr>
            <w:r>
              <w:rPr>
                <w:sz w:val="19"/>
              </w:rPr>
              <w:t>8.9</w:t>
            </w:r>
          </w:p>
        </w:tc>
        <w:tc>
          <w:tcPr>
            <w:tcW w:w="817" w:type="dxa"/>
            <w:tcBorders>
              <w:top w:val="nil"/>
              <w:left w:val="nil"/>
              <w:bottom w:val="nil"/>
              <w:right w:val="nil"/>
            </w:tcBorders>
          </w:tcPr>
          <w:p>
            <w:pPr>
              <w:pStyle w:val="TableParagraph"/>
              <w:spacing w:before="9"/>
              <w:jc w:val="left"/>
              <w:rPr>
                <w:sz w:val="19"/>
              </w:rPr>
            </w:pPr>
          </w:p>
          <w:p>
            <w:pPr>
              <w:pStyle w:val="TableParagraph"/>
              <w:ind w:right="67"/>
              <w:rPr>
                <w:sz w:val="19"/>
              </w:rPr>
            </w:pPr>
            <w:r>
              <w:rPr>
                <w:sz w:val="19"/>
              </w:rPr>
              <w:t>5.5</w:t>
            </w:r>
          </w:p>
        </w:tc>
      </w:tr>
      <w:tr>
        <w:trPr>
          <w:trHeight w:val="497" w:hRule="exact"/>
        </w:trPr>
        <w:tc>
          <w:tcPr>
            <w:tcW w:w="3209" w:type="dxa"/>
            <w:tcBorders>
              <w:top w:val="nil"/>
              <w:left w:val="nil"/>
              <w:bottom w:val="nil"/>
              <w:right w:val="nil"/>
            </w:tcBorders>
          </w:tcPr>
          <w:p>
            <w:pPr>
              <w:pStyle w:val="TableParagraph"/>
              <w:spacing w:line="252" w:lineRule="auto"/>
              <w:ind w:left="69" w:right="19" w:firstLine="48"/>
              <w:jc w:val="left"/>
              <w:rPr>
                <w:sz w:val="19"/>
              </w:rPr>
            </w:pPr>
            <w:r>
              <w:rPr>
                <w:sz w:val="19"/>
              </w:rPr>
              <w:t>Porcentaje población ocupada sin cobertura de salud</w:t>
            </w:r>
          </w:p>
        </w:tc>
        <w:tc>
          <w:tcPr>
            <w:tcW w:w="839" w:type="dxa"/>
            <w:tcBorders>
              <w:top w:val="nil"/>
              <w:left w:val="nil"/>
              <w:bottom w:val="nil"/>
              <w:right w:val="nil"/>
            </w:tcBorders>
          </w:tcPr>
          <w:p>
            <w:pPr>
              <w:pStyle w:val="TableParagraph"/>
              <w:spacing w:before="9"/>
              <w:jc w:val="left"/>
              <w:rPr>
                <w:sz w:val="19"/>
              </w:rPr>
            </w:pPr>
          </w:p>
          <w:p>
            <w:pPr>
              <w:pStyle w:val="TableParagraph"/>
              <w:ind w:right="112"/>
              <w:rPr>
                <w:sz w:val="19"/>
              </w:rPr>
            </w:pPr>
            <w:r>
              <w:rPr>
                <w:sz w:val="19"/>
              </w:rPr>
              <w:t>18.1</w:t>
            </w:r>
          </w:p>
        </w:tc>
        <w:tc>
          <w:tcPr>
            <w:tcW w:w="795" w:type="dxa"/>
            <w:tcBorders>
              <w:top w:val="nil"/>
              <w:left w:val="nil"/>
              <w:bottom w:val="nil"/>
              <w:right w:val="nil"/>
            </w:tcBorders>
          </w:tcPr>
          <w:p>
            <w:pPr>
              <w:pStyle w:val="TableParagraph"/>
              <w:spacing w:before="9"/>
              <w:jc w:val="left"/>
              <w:rPr>
                <w:sz w:val="19"/>
              </w:rPr>
            </w:pPr>
          </w:p>
          <w:p>
            <w:pPr>
              <w:pStyle w:val="TableParagraph"/>
              <w:ind w:right="91"/>
              <w:rPr>
                <w:sz w:val="19"/>
              </w:rPr>
            </w:pPr>
            <w:r>
              <w:rPr>
                <w:sz w:val="19"/>
              </w:rPr>
              <w:t>55.2</w:t>
            </w:r>
          </w:p>
        </w:tc>
        <w:tc>
          <w:tcPr>
            <w:tcW w:w="1081" w:type="dxa"/>
            <w:tcBorders>
              <w:top w:val="nil"/>
              <w:left w:val="nil"/>
              <w:bottom w:val="nil"/>
              <w:right w:val="nil"/>
            </w:tcBorders>
          </w:tcPr>
          <w:p>
            <w:pPr>
              <w:pStyle w:val="TableParagraph"/>
              <w:spacing w:before="9"/>
              <w:jc w:val="left"/>
              <w:rPr>
                <w:sz w:val="19"/>
              </w:rPr>
            </w:pPr>
          </w:p>
          <w:p>
            <w:pPr>
              <w:pStyle w:val="TableParagraph"/>
              <w:ind w:right="77"/>
              <w:rPr>
                <w:sz w:val="19"/>
              </w:rPr>
            </w:pPr>
            <w:r>
              <w:rPr>
                <w:sz w:val="19"/>
              </w:rPr>
              <w:t>25.6</w:t>
            </w:r>
          </w:p>
        </w:tc>
        <w:tc>
          <w:tcPr>
            <w:tcW w:w="1919" w:type="dxa"/>
            <w:tcBorders>
              <w:top w:val="nil"/>
              <w:left w:val="nil"/>
              <w:bottom w:val="nil"/>
              <w:right w:val="nil"/>
            </w:tcBorders>
          </w:tcPr>
          <w:p>
            <w:pPr>
              <w:pStyle w:val="TableParagraph"/>
              <w:spacing w:before="9"/>
              <w:jc w:val="left"/>
              <w:rPr>
                <w:sz w:val="19"/>
              </w:rPr>
            </w:pPr>
          </w:p>
          <w:p>
            <w:pPr>
              <w:pStyle w:val="TableParagraph"/>
              <w:ind w:right="75"/>
              <w:rPr>
                <w:sz w:val="19"/>
              </w:rPr>
            </w:pPr>
            <w:r>
              <w:rPr>
                <w:sz w:val="19"/>
              </w:rPr>
              <w:t>30.5</w:t>
            </w:r>
          </w:p>
        </w:tc>
        <w:tc>
          <w:tcPr>
            <w:tcW w:w="1505" w:type="dxa"/>
            <w:tcBorders>
              <w:top w:val="nil"/>
              <w:left w:val="nil"/>
              <w:bottom w:val="nil"/>
              <w:right w:val="nil"/>
            </w:tcBorders>
          </w:tcPr>
          <w:p>
            <w:pPr>
              <w:pStyle w:val="TableParagraph"/>
              <w:spacing w:before="9"/>
              <w:jc w:val="left"/>
              <w:rPr>
                <w:sz w:val="19"/>
              </w:rPr>
            </w:pPr>
          </w:p>
          <w:p>
            <w:pPr>
              <w:pStyle w:val="TableParagraph"/>
              <w:ind w:right="76"/>
              <w:rPr>
                <w:sz w:val="19"/>
              </w:rPr>
            </w:pPr>
            <w:r>
              <w:rPr>
                <w:sz w:val="19"/>
              </w:rPr>
              <w:t>23.5</w:t>
            </w:r>
          </w:p>
        </w:tc>
        <w:tc>
          <w:tcPr>
            <w:tcW w:w="817" w:type="dxa"/>
            <w:tcBorders>
              <w:top w:val="nil"/>
              <w:left w:val="nil"/>
              <w:bottom w:val="nil"/>
              <w:right w:val="nil"/>
            </w:tcBorders>
          </w:tcPr>
          <w:p>
            <w:pPr>
              <w:pStyle w:val="TableParagraph"/>
              <w:spacing w:before="9"/>
              <w:jc w:val="left"/>
              <w:rPr>
                <w:sz w:val="19"/>
              </w:rPr>
            </w:pPr>
          </w:p>
          <w:p>
            <w:pPr>
              <w:pStyle w:val="TableParagraph"/>
              <w:ind w:right="68"/>
              <w:rPr>
                <w:sz w:val="19"/>
              </w:rPr>
            </w:pPr>
            <w:r>
              <w:rPr>
                <w:sz w:val="19"/>
              </w:rPr>
              <w:t>14.2</w:t>
            </w:r>
          </w:p>
        </w:tc>
      </w:tr>
      <w:tr>
        <w:trPr>
          <w:trHeight w:val="300" w:hRule="exact"/>
        </w:trPr>
        <w:tc>
          <w:tcPr>
            <w:tcW w:w="3209" w:type="dxa"/>
            <w:tcBorders>
              <w:top w:val="nil"/>
              <w:left w:val="nil"/>
              <w:bottom w:val="nil"/>
              <w:right w:val="nil"/>
            </w:tcBorders>
          </w:tcPr>
          <w:p>
            <w:pPr>
              <w:pStyle w:val="TableParagraph"/>
              <w:spacing w:before="33"/>
              <w:ind w:left="69" w:right="19"/>
              <w:jc w:val="left"/>
              <w:rPr>
                <w:sz w:val="19"/>
              </w:rPr>
            </w:pPr>
            <w:r>
              <w:rPr>
                <w:sz w:val="19"/>
              </w:rPr>
              <w:t>Ingreso promedio anual en dólares</w:t>
            </w:r>
          </w:p>
        </w:tc>
        <w:tc>
          <w:tcPr>
            <w:tcW w:w="839" w:type="dxa"/>
            <w:tcBorders>
              <w:top w:val="nil"/>
              <w:left w:val="nil"/>
              <w:bottom w:val="nil"/>
              <w:right w:val="nil"/>
            </w:tcBorders>
          </w:tcPr>
          <w:p>
            <w:pPr>
              <w:pStyle w:val="TableParagraph"/>
              <w:spacing w:before="33"/>
              <w:ind w:right="111"/>
              <w:rPr>
                <w:sz w:val="19"/>
              </w:rPr>
            </w:pPr>
            <w:r>
              <w:rPr>
                <w:sz w:val="19"/>
              </w:rPr>
              <w:t>42 481</w:t>
            </w:r>
          </w:p>
        </w:tc>
        <w:tc>
          <w:tcPr>
            <w:tcW w:w="795" w:type="dxa"/>
            <w:tcBorders>
              <w:top w:val="nil"/>
              <w:left w:val="nil"/>
              <w:bottom w:val="nil"/>
              <w:right w:val="nil"/>
            </w:tcBorders>
          </w:tcPr>
          <w:p>
            <w:pPr>
              <w:pStyle w:val="TableParagraph"/>
              <w:spacing w:before="33"/>
              <w:ind w:right="89"/>
              <w:rPr>
                <w:sz w:val="19"/>
              </w:rPr>
            </w:pPr>
            <w:r>
              <w:rPr>
                <w:sz w:val="19"/>
              </w:rPr>
              <w:t>25 722</w:t>
            </w:r>
          </w:p>
        </w:tc>
        <w:tc>
          <w:tcPr>
            <w:tcW w:w="1081" w:type="dxa"/>
            <w:tcBorders>
              <w:top w:val="nil"/>
              <w:left w:val="nil"/>
              <w:bottom w:val="nil"/>
              <w:right w:val="nil"/>
            </w:tcBorders>
          </w:tcPr>
          <w:p>
            <w:pPr>
              <w:pStyle w:val="TableParagraph"/>
              <w:spacing w:before="33"/>
              <w:ind w:right="75"/>
              <w:rPr>
                <w:sz w:val="19"/>
              </w:rPr>
            </w:pPr>
            <w:r>
              <w:rPr>
                <w:sz w:val="19"/>
              </w:rPr>
              <w:t>43 806</w:t>
            </w:r>
          </w:p>
        </w:tc>
        <w:tc>
          <w:tcPr>
            <w:tcW w:w="1919" w:type="dxa"/>
            <w:tcBorders>
              <w:top w:val="nil"/>
              <w:left w:val="nil"/>
              <w:bottom w:val="nil"/>
              <w:right w:val="nil"/>
            </w:tcBorders>
          </w:tcPr>
          <w:p>
            <w:pPr>
              <w:pStyle w:val="TableParagraph"/>
              <w:spacing w:before="33"/>
              <w:ind w:right="74"/>
              <w:rPr>
                <w:sz w:val="19"/>
              </w:rPr>
            </w:pPr>
            <w:r>
              <w:rPr>
                <w:sz w:val="19"/>
              </w:rPr>
              <w:t>31 224</w:t>
            </w:r>
          </w:p>
        </w:tc>
        <w:tc>
          <w:tcPr>
            <w:tcW w:w="1505" w:type="dxa"/>
            <w:tcBorders>
              <w:top w:val="nil"/>
              <w:left w:val="nil"/>
              <w:bottom w:val="nil"/>
              <w:right w:val="nil"/>
            </w:tcBorders>
          </w:tcPr>
          <w:p>
            <w:pPr>
              <w:pStyle w:val="TableParagraph"/>
              <w:spacing w:before="33"/>
              <w:ind w:right="75"/>
              <w:rPr>
                <w:sz w:val="19"/>
              </w:rPr>
            </w:pPr>
            <w:r>
              <w:rPr>
                <w:sz w:val="19"/>
              </w:rPr>
              <w:t>34 036</w:t>
            </w:r>
          </w:p>
        </w:tc>
        <w:tc>
          <w:tcPr>
            <w:tcW w:w="817" w:type="dxa"/>
            <w:tcBorders>
              <w:top w:val="nil"/>
              <w:left w:val="nil"/>
              <w:bottom w:val="nil"/>
              <w:right w:val="nil"/>
            </w:tcBorders>
          </w:tcPr>
          <w:p>
            <w:pPr>
              <w:pStyle w:val="TableParagraph"/>
              <w:spacing w:before="33"/>
              <w:ind w:right="66"/>
              <w:rPr>
                <w:sz w:val="19"/>
              </w:rPr>
            </w:pPr>
            <w:r>
              <w:rPr>
                <w:sz w:val="19"/>
              </w:rPr>
              <w:t>43 843</w:t>
            </w:r>
          </w:p>
        </w:tc>
      </w:tr>
      <w:tr>
        <w:trPr>
          <w:trHeight w:val="300" w:hRule="exact"/>
        </w:trPr>
        <w:tc>
          <w:tcPr>
            <w:tcW w:w="3209" w:type="dxa"/>
            <w:tcBorders>
              <w:top w:val="nil"/>
              <w:left w:val="nil"/>
              <w:bottom w:val="nil"/>
              <w:right w:val="nil"/>
            </w:tcBorders>
          </w:tcPr>
          <w:p>
            <w:pPr>
              <w:pStyle w:val="TableParagraph"/>
              <w:spacing w:before="31"/>
              <w:ind w:left="69" w:right="19"/>
              <w:jc w:val="left"/>
              <w:rPr>
                <w:sz w:val="19"/>
              </w:rPr>
            </w:pPr>
            <w:r>
              <w:rPr>
                <w:sz w:val="19"/>
              </w:rPr>
              <w:t>Ingreso promedio por hora en dólares</w:t>
            </w:r>
          </w:p>
        </w:tc>
        <w:tc>
          <w:tcPr>
            <w:tcW w:w="839" w:type="dxa"/>
            <w:tcBorders>
              <w:top w:val="nil"/>
              <w:left w:val="nil"/>
              <w:bottom w:val="nil"/>
              <w:right w:val="nil"/>
            </w:tcBorders>
          </w:tcPr>
          <w:p>
            <w:pPr>
              <w:pStyle w:val="TableParagraph"/>
              <w:spacing w:before="31"/>
              <w:ind w:right="111"/>
              <w:rPr>
                <w:sz w:val="19"/>
              </w:rPr>
            </w:pPr>
            <w:r>
              <w:rPr>
                <w:sz w:val="19"/>
              </w:rPr>
              <w:t>21</w:t>
            </w:r>
          </w:p>
        </w:tc>
        <w:tc>
          <w:tcPr>
            <w:tcW w:w="795" w:type="dxa"/>
            <w:tcBorders>
              <w:top w:val="nil"/>
              <w:left w:val="nil"/>
              <w:bottom w:val="nil"/>
              <w:right w:val="nil"/>
            </w:tcBorders>
          </w:tcPr>
          <w:p>
            <w:pPr>
              <w:pStyle w:val="TableParagraph"/>
              <w:spacing w:before="31"/>
              <w:ind w:right="89"/>
              <w:rPr>
                <w:sz w:val="19"/>
              </w:rPr>
            </w:pPr>
            <w:r>
              <w:rPr>
                <w:sz w:val="19"/>
              </w:rPr>
              <w:t>14</w:t>
            </w:r>
          </w:p>
        </w:tc>
        <w:tc>
          <w:tcPr>
            <w:tcW w:w="1081" w:type="dxa"/>
            <w:tcBorders>
              <w:top w:val="nil"/>
              <w:left w:val="nil"/>
              <w:bottom w:val="nil"/>
              <w:right w:val="nil"/>
            </w:tcBorders>
          </w:tcPr>
          <w:p>
            <w:pPr>
              <w:pStyle w:val="TableParagraph"/>
              <w:spacing w:before="31"/>
              <w:ind w:right="75"/>
              <w:rPr>
                <w:sz w:val="19"/>
              </w:rPr>
            </w:pPr>
            <w:r>
              <w:rPr>
                <w:sz w:val="19"/>
              </w:rPr>
              <w:t>22</w:t>
            </w:r>
          </w:p>
        </w:tc>
        <w:tc>
          <w:tcPr>
            <w:tcW w:w="1919" w:type="dxa"/>
            <w:tcBorders>
              <w:top w:val="nil"/>
              <w:left w:val="nil"/>
              <w:bottom w:val="nil"/>
              <w:right w:val="nil"/>
            </w:tcBorders>
          </w:tcPr>
          <w:p>
            <w:pPr>
              <w:pStyle w:val="TableParagraph"/>
              <w:spacing w:before="31"/>
              <w:ind w:right="74"/>
              <w:rPr>
                <w:sz w:val="19"/>
              </w:rPr>
            </w:pPr>
            <w:r>
              <w:rPr>
                <w:sz w:val="19"/>
              </w:rPr>
              <w:t>17</w:t>
            </w:r>
          </w:p>
        </w:tc>
        <w:tc>
          <w:tcPr>
            <w:tcW w:w="1505" w:type="dxa"/>
            <w:tcBorders>
              <w:top w:val="nil"/>
              <w:left w:val="nil"/>
              <w:bottom w:val="nil"/>
              <w:right w:val="nil"/>
            </w:tcBorders>
          </w:tcPr>
          <w:p>
            <w:pPr>
              <w:pStyle w:val="TableParagraph"/>
              <w:spacing w:before="31"/>
              <w:ind w:right="75"/>
              <w:rPr>
                <w:sz w:val="19"/>
              </w:rPr>
            </w:pPr>
            <w:r>
              <w:rPr>
                <w:sz w:val="19"/>
              </w:rPr>
              <w:t>18</w:t>
            </w:r>
          </w:p>
        </w:tc>
        <w:tc>
          <w:tcPr>
            <w:tcW w:w="817" w:type="dxa"/>
            <w:tcBorders>
              <w:top w:val="nil"/>
              <w:left w:val="nil"/>
              <w:bottom w:val="nil"/>
              <w:right w:val="nil"/>
            </w:tcBorders>
          </w:tcPr>
          <w:p>
            <w:pPr>
              <w:pStyle w:val="TableParagraph"/>
              <w:spacing w:before="31"/>
              <w:ind w:right="66"/>
              <w:rPr>
                <w:sz w:val="19"/>
              </w:rPr>
            </w:pPr>
            <w:r>
              <w:rPr>
                <w:sz w:val="19"/>
              </w:rPr>
              <w:t>22</w:t>
            </w:r>
          </w:p>
        </w:tc>
      </w:tr>
      <w:tr>
        <w:trPr>
          <w:trHeight w:val="274" w:hRule="exact"/>
        </w:trPr>
        <w:tc>
          <w:tcPr>
            <w:tcW w:w="3209" w:type="dxa"/>
            <w:tcBorders>
              <w:top w:val="nil"/>
              <w:left w:val="nil"/>
              <w:bottom w:val="double" w:sz="4" w:space="0" w:color="000000"/>
              <w:right w:val="nil"/>
            </w:tcBorders>
          </w:tcPr>
          <w:p>
            <w:pPr>
              <w:pStyle w:val="TableParagraph"/>
              <w:spacing w:before="33"/>
              <w:ind w:left="69" w:right="19"/>
              <w:jc w:val="left"/>
              <w:rPr>
                <w:sz w:val="19"/>
              </w:rPr>
            </w:pPr>
            <w:r>
              <w:rPr>
                <w:sz w:val="19"/>
              </w:rPr>
              <w:t>Número de salarios mínimos por hora</w:t>
            </w:r>
          </w:p>
        </w:tc>
        <w:tc>
          <w:tcPr>
            <w:tcW w:w="839" w:type="dxa"/>
            <w:tcBorders>
              <w:top w:val="nil"/>
              <w:left w:val="nil"/>
              <w:bottom w:val="double" w:sz="4" w:space="0" w:color="000000"/>
              <w:right w:val="nil"/>
            </w:tcBorders>
          </w:tcPr>
          <w:p>
            <w:pPr>
              <w:pStyle w:val="TableParagraph"/>
              <w:spacing w:before="33"/>
              <w:ind w:right="111"/>
              <w:rPr>
                <w:sz w:val="19"/>
              </w:rPr>
            </w:pPr>
            <w:r>
              <w:rPr>
                <w:sz w:val="19"/>
              </w:rPr>
              <w:t>2.9</w:t>
            </w:r>
          </w:p>
        </w:tc>
        <w:tc>
          <w:tcPr>
            <w:tcW w:w="795" w:type="dxa"/>
            <w:tcBorders>
              <w:top w:val="nil"/>
              <w:left w:val="nil"/>
              <w:bottom w:val="double" w:sz="4" w:space="0" w:color="000000"/>
              <w:right w:val="nil"/>
            </w:tcBorders>
          </w:tcPr>
          <w:p>
            <w:pPr>
              <w:pStyle w:val="TableParagraph"/>
              <w:spacing w:before="33"/>
              <w:ind w:right="90"/>
              <w:rPr>
                <w:sz w:val="19"/>
              </w:rPr>
            </w:pPr>
            <w:r>
              <w:rPr>
                <w:sz w:val="19"/>
              </w:rPr>
              <w:t>1.9</w:t>
            </w:r>
          </w:p>
        </w:tc>
        <w:tc>
          <w:tcPr>
            <w:tcW w:w="1081" w:type="dxa"/>
            <w:tcBorders>
              <w:top w:val="nil"/>
              <w:left w:val="nil"/>
              <w:bottom w:val="double" w:sz="4" w:space="0" w:color="000000"/>
              <w:right w:val="nil"/>
            </w:tcBorders>
          </w:tcPr>
          <w:p>
            <w:pPr>
              <w:pStyle w:val="TableParagraph"/>
              <w:spacing w:before="33"/>
              <w:ind w:right="77"/>
              <w:rPr>
                <w:sz w:val="19"/>
              </w:rPr>
            </w:pPr>
            <w:r>
              <w:rPr>
                <w:w w:val="100"/>
                <w:sz w:val="19"/>
              </w:rPr>
              <w:t>3</w:t>
            </w:r>
          </w:p>
        </w:tc>
        <w:tc>
          <w:tcPr>
            <w:tcW w:w="1919" w:type="dxa"/>
            <w:tcBorders>
              <w:top w:val="nil"/>
              <w:left w:val="nil"/>
              <w:bottom w:val="double" w:sz="4" w:space="0" w:color="000000"/>
              <w:right w:val="nil"/>
            </w:tcBorders>
          </w:tcPr>
          <w:p>
            <w:pPr>
              <w:pStyle w:val="TableParagraph"/>
              <w:spacing w:before="33"/>
              <w:ind w:right="75"/>
              <w:rPr>
                <w:sz w:val="19"/>
              </w:rPr>
            </w:pPr>
            <w:r>
              <w:rPr>
                <w:sz w:val="19"/>
              </w:rPr>
              <w:t>2.3</w:t>
            </w:r>
          </w:p>
        </w:tc>
        <w:tc>
          <w:tcPr>
            <w:tcW w:w="1505" w:type="dxa"/>
            <w:tcBorders>
              <w:top w:val="nil"/>
              <w:left w:val="nil"/>
              <w:bottom w:val="double" w:sz="4" w:space="0" w:color="000000"/>
              <w:right w:val="nil"/>
            </w:tcBorders>
          </w:tcPr>
          <w:p>
            <w:pPr>
              <w:pStyle w:val="TableParagraph"/>
              <w:spacing w:before="33"/>
              <w:ind w:right="76"/>
              <w:rPr>
                <w:sz w:val="19"/>
              </w:rPr>
            </w:pPr>
            <w:r>
              <w:rPr>
                <w:sz w:val="19"/>
              </w:rPr>
              <w:t>2.5</w:t>
            </w:r>
          </w:p>
        </w:tc>
        <w:tc>
          <w:tcPr>
            <w:tcW w:w="817" w:type="dxa"/>
            <w:tcBorders>
              <w:top w:val="nil"/>
              <w:left w:val="nil"/>
              <w:bottom w:val="double" w:sz="4" w:space="0" w:color="000000"/>
              <w:right w:val="nil"/>
            </w:tcBorders>
          </w:tcPr>
          <w:p>
            <w:pPr>
              <w:pStyle w:val="TableParagraph"/>
              <w:spacing w:before="33"/>
              <w:ind w:right="68"/>
              <w:rPr>
                <w:sz w:val="19"/>
              </w:rPr>
            </w:pPr>
            <w:r>
              <w:rPr>
                <w:w w:val="100"/>
                <w:sz w:val="19"/>
              </w:rPr>
              <w:t>3</w:t>
            </w:r>
          </w:p>
        </w:tc>
      </w:tr>
      <w:tr>
        <w:trPr>
          <w:trHeight w:val="294" w:hRule="exact"/>
        </w:trPr>
        <w:tc>
          <w:tcPr>
            <w:tcW w:w="3209" w:type="dxa"/>
            <w:tcBorders>
              <w:top w:val="double" w:sz="4" w:space="0" w:color="000000"/>
              <w:left w:val="nil"/>
              <w:bottom w:val="nil"/>
              <w:right w:val="nil"/>
            </w:tcBorders>
          </w:tcPr>
          <w:p>
            <w:pPr>
              <w:pStyle w:val="TableParagraph"/>
              <w:spacing w:line="183" w:lineRule="exact"/>
              <w:ind w:left="69" w:right="19"/>
              <w:jc w:val="left"/>
              <w:rPr>
                <w:sz w:val="16"/>
              </w:rPr>
            </w:pPr>
            <w:r>
              <w:rPr>
                <w:sz w:val="16"/>
              </w:rPr>
              <w:t>Fuente: </w:t>
            </w:r>
            <w:r>
              <w:rPr>
                <w:color w:val="211E1F"/>
                <w:sz w:val="16"/>
              </w:rPr>
              <w:t>Delgado y </w:t>
            </w:r>
            <w:r>
              <w:rPr>
                <w:sz w:val="16"/>
              </w:rPr>
              <w:t>Olvera</w:t>
            </w:r>
            <w:r>
              <w:rPr>
                <w:color w:val="211E1F"/>
                <w:sz w:val="16"/>
              </w:rPr>
              <w:t>, 2012.</w:t>
            </w:r>
          </w:p>
        </w:tc>
        <w:tc>
          <w:tcPr>
            <w:tcW w:w="839" w:type="dxa"/>
            <w:tcBorders>
              <w:top w:val="double" w:sz="4" w:space="0" w:color="000000"/>
              <w:left w:val="nil"/>
              <w:bottom w:val="nil"/>
              <w:right w:val="nil"/>
            </w:tcBorders>
          </w:tcPr>
          <w:p>
            <w:pPr/>
          </w:p>
        </w:tc>
        <w:tc>
          <w:tcPr>
            <w:tcW w:w="795" w:type="dxa"/>
            <w:tcBorders>
              <w:top w:val="double" w:sz="4" w:space="0" w:color="000000"/>
              <w:left w:val="nil"/>
              <w:bottom w:val="nil"/>
              <w:right w:val="nil"/>
            </w:tcBorders>
          </w:tcPr>
          <w:p>
            <w:pPr/>
          </w:p>
        </w:tc>
        <w:tc>
          <w:tcPr>
            <w:tcW w:w="1081" w:type="dxa"/>
            <w:tcBorders>
              <w:top w:val="double" w:sz="4" w:space="0" w:color="000000"/>
              <w:left w:val="nil"/>
              <w:bottom w:val="nil"/>
              <w:right w:val="nil"/>
            </w:tcBorders>
          </w:tcPr>
          <w:p>
            <w:pPr/>
          </w:p>
        </w:tc>
        <w:tc>
          <w:tcPr>
            <w:tcW w:w="1919" w:type="dxa"/>
            <w:tcBorders>
              <w:top w:val="double" w:sz="4" w:space="0" w:color="000000"/>
              <w:left w:val="nil"/>
              <w:bottom w:val="nil"/>
              <w:right w:val="nil"/>
            </w:tcBorders>
          </w:tcPr>
          <w:p>
            <w:pPr/>
          </w:p>
        </w:tc>
        <w:tc>
          <w:tcPr>
            <w:tcW w:w="1505" w:type="dxa"/>
            <w:tcBorders>
              <w:top w:val="double" w:sz="4" w:space="0" w:color="000000"/>
              <w:left w:val="nil"/>
              <w:bottom w:val="nil"/>
              <w:right w:val="nil"/>
            </w:tcBorders>
          </w:tcPr>
          <w:p>
            <w:pPr/>
          </w:p>
        </w:tc>
        <w:tc>
          <w:tcPr>
            <w:tcW w:w="817" w:type="dxa"/>
            <w:tcBorders>
              <w:top w:val="double" w:sz="4" w:space="0" w:color="000000"/>
              <w:left w:val="nil"/>
              <w:bottom w:val="nil"/>
              <w:right w:val="nil"/>
            </w:tcBorders>
          </w:tcPr>
          <w:p>
            <w:pPr/>
          </w:p>
        </w:tc>
      </w:tr>
    </w:tbl>
    <w:p>
      <w:pPr>
        <w:spacing w:after="0"/>
        <w:sectPr>
          <w:footerReference w:type="default" r:id="rId140"/>
          <w:pgSz w:w="13040" w:h="9360" w:orient="landscape"/>
          <w:pgMar w:footer="0" w:header="0" w:top="0" w:bottom="280" w:left="1340" w:right="1300"/>
        </w:sectPr>
      </w:pPr>
    </w:p>
    <w:p>
      <w:pPr>
        <w:tabs>
          <w:tab w:pos="5536" w:val="left" w:leader="none"/>
        </w:tabs>
        <w:spacing w:before="51"/>
        <w:ind w:left="400" w:right="117" w:hanging="284"/>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114" w:firstLine="283"/>
        <w:jc w:val="both"/>
      </w:pPr>
      <w:r>
        <w:rPr>
          <w:color w:val="231F20"/>
        </w:rPr>
        <w:t>Se</w:t>
      </w:r>
      <w:r>
        <w:rPr>
          <w:color w:val="231F20"/>
          <w:spacing w:val="-7"/>
        </w:rPr>
        <w:t> </w:t>
      </w:r>
      <w:r>
        <w:rPr>
          <w:color w:val="231F20"/>
        </w:rPr>
        <w:t>trata</w:t>
      </w:r>
      <w:r>
        <w:rPr>
          <w:color w:val="231F20"/>
          <w:spacing w:val="-7"/>
        </w:rPr>
        <w:t> </w:t>
      </w:r>
      <w:r>
        <w:rPr>
          <w:color w:val="231F20"/>
        </w:rPr>
        <w:t>claramente</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contrasentido</w:t>
      </w:r>
      <w:r>
        <w:rPr>
          <w:color w:val="231F20"/>
          <w:spacing w:val="-7"/>
        </w:rPr>
        <w:t> </w:t>
      </w:r>
      <w:r>
        <w:rPr>
          <w:color w:val="231F20"/>
        </w:rPr>
        <w:t>e</w:t>
      </w:r>
      <w:r>
        <w:rPr>
          <w:color w:val="231F20"/>
          <w:spacing w:val="-7"/>
        </w:rPr>
        <w:t> </w:t>
      </w:r>
      <w:r>
        <w:rPr>
          <w:color w:val="231F20"/>
        </w:rPr>
        <w:t>hipocresía</w:t>
      </w:r>
      <w:r>
        <w:rPr>
          <w:color w:val="231F20"/>
          <w:spacing w:val="-7"/>
        </w:rPr>
        <w:t> </w:t>
      </w:r>
      <w:r>
        <w:rPr>
          <w:color w:val="231F20"/>
        </w:rPr>
        <w:t>frente</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signifi- cativos aportes de los migrantes mexicanos a la economía</w:t>
      </w:r>
      <w:r>
        <w:rPr>
          <w:color w:val="231F20"/>
          <w:spacing w:val="-24"/>
        </w:rPr>
        <w:t> </w:t>
      </w:r>
      <w:r>
        <w:rPr>
          <w:color w:val="231F20"/>
        </w:rPr>
        <w:t>estadounidense, que</w:t>
      </w:r>
      <w:r>
        <w:rPr>
          <w:color w:val="231F20"/>
          <w:spacing w:val="-11"/>
        </w:rPr>
        <w:t> </w:t>
      </w:r>
      <w:r>
        <w:rPr>
          <w:color w:val="231F20"/>
        </w:rPr>
        <w:t>sólo</w:t>
      </w:r>
      <w:r>
        <w:rPr>
          <w:color w:val="231F20"/>
          <w:spacing w:val="-11"/>
        </w:rPr>
        <w:t> </w:t>
      </w:r>
      <w:r>
        <w:rPr>
          <w:color w:val="231F20"/>
        </w:rPr>
        <w:t>puede</w:t>
      </w:r>
      <w:r>
        <w:rPr>
          <w:color w:val="231F20"/>
          <w:spacing w:val="-11"/>
        </w:rPr>
        <w:t> </w:t>
      </w:r>
      <w:r>
        <w:rPr>
          <w:color w:val="231F20"/>
        </w:rPr>
        <w:t>ser</w:t>
      </w:r>
      <w:r>
        <w:rPr>
          <w:color w:val="231F20"/>
          <w:spacing w:val="-11"/>
        </w:rPr>
        <w:t> </w:t>
      </w:r>
      <w:r>
        <w:rPr>
          <w:color w:val="231F20"/>
        </w:rPr>
        <w:t>explicado</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afán</w:t>
      </w:r>
      <w:r>
        <w:rPr>
          <w:color w:val="231F20"/>
          <w:spacing w:val="-11"/>
        </w:rPr>
        <w:t> </w:t>
      </w:r>
      <w:r>
        <w:rPr>
          <w:color w:val="231F20"/>
        </w:rPr>
        <w:t>insaciable</w:t>
      </w:r>
      <w:r>
        <w:rPr>
          <w:color w:val="231F20"/>
          <w:spacing w:val="-11"/>
        </w:rPr>
        <w:t> </w:t>
      </w:r>
      <w:r>
        <w:rPr>
          <w:color w:val="231F20"/>
        </w:rPr>
        <w:t>de</w:t>
      </w:r>
      <w:r>
        <w:rPr>
          <w:color w:val="231F20"/>
          <w:spacing w:val="-11"/>
        </w:rPr>
        <w:t> </w:t>
      </w:r>
      <w:r>
        <w:rPr>
          <w:color w:val="231F20"/>
        </w:rPr>
        <w:t>lucro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intereses corporativos que dominan el escenario del poder político en Estados Uni- dos (Delgado y Olvera,</w:t>
      </w:r>
      <w:r>
        <w:rPr>
          <w:color w:val="231F20"/>
          <w:spacing w:val="-7"/>
        </w:rPr>
        <w:t> </w:t>
      </w:r>
      <w:r>
        <w:rPr>
          <w:color w:val="231F20"/>
        </w:rPr>
        <w:t>2012).</w:t>
      </w:r>
    </w:p>
    <w:p>
      <w:pPr>
        <w:pStyle w:val="BodyText"/>
        <w:spacing w:line="247" w:lineRule="auto"/>
        <w:ind w:left="117" w:right="114" w:firstLine="283"/>
        <w:jc w:val="both"/>
      </w:pPr>
      <w:r>
        <w:rPr>
          <w:color w:val="231F20"/>
        </w:rPr>
        <w:t>Entre los efectos positivos y contribuciones que los migrantes realizan a la economía de Estados Unidos destacan: el aporte económico que los migrantes</w:t>
      </w:r>
      <w:r>
        <w:rPr>
          <w:color w:val="231F20"/>
          <w:spacing w:val="-5"/>
        </w:rPr>
        <w:t> </w:t>
      </w:r>
      <w:r>
        <w:rPr>
          <w:color w:val="231F20"/>
        </w:rPr>
        <w:t>en</w:t>
      </w:r>
      <w:r>
        <w:rPr>
          <w:color w:val="231F20"/>
          <w:spacing w:val="-4"/>
        </w:rPr>
        <w:t> </w:t>
      </w:r>
      <w:r>
        <w:rPr>
          <w:color w:val="231F20"/>
        </w:rPr>
        <w:t>general</w:t>
      </w:r>
      <w:r>
        <w:rPr>
          <w:color w:val="231F20"/>
          <w:spacing w:val="-4"/>
        </w:rPr>
        <w:t> </w:t>
      </w:r>
      <w:r>
        <w:rPr>
          <w:color w:val="231F20"/>
        </w:rPr>
        <w:t>y</w:t>
      </w:r>
      <w:r>
        <w:rPr>
          <w:color w:val="231F20"/>
          <w:spacing w:val="-4"/>
        </w:rPr>
        <w:t> </w:t>
      </w:r>
      <w:r>
        <w:rPr>
          <w:color w:val="231F20"/>
        </w:rPr>
        <w:t>los</w:t>
      </w:r>
      <w:r>
        <w:rPr>
          <w:color w:val="231F20"/>
          <w:spacing w:val="-4"/>
        </w:rPr>
        <w:t> </w:t>
      </w:r>
      <w:r>
        <w:rPr>
          <w:color w:val="231F20"/>
        </w:rPr>
        <w:t>migrantes</w:t>
      </w:r>
      <w:r>
        <w:rPr>
          <w:color w:val="231F20"/>
          <w:spacing w:val="-5"/>
        </w:rPr>
        <w:t> </w:t>
      </w:r>
      <w:r>
        <w:rPr>
          <w:color w:val="231F20"/>
        </w:rPr>
        <w:t>mexicanos</w:t>
      </w:r>
      <w:r>
        <w:rPr>
          <w:color w:val="231F20"/>
          <w:spacing w:val="-5"/>
        </w:rPr>
        <w:t> </w:t>
      </w:r>
      <w:r>
        <w:rPr>
          <w:color w:val="231F20"/>
        </w:rPr>
        <w:t>en</w:t>
      </w:r>
      <w:r>
        <w:rPr>
          <w:color w:val="231F20"/>
          <w:spacing w:val="-4"/>
        </w:rPr>
        <w:t> </w:t>
      </w:r>
      <w:r>
        <w:rPr>
          <w:color w:val="231F20"/>
        </w:rPr>
        <w:t>particular,</w:t>
      </w:r>
      <w:r>
        <w:rPr>
          <w:color w:val="231F20"/>
          <w:spacing w:val="-4"/>
        </w:rPr>
        <w:t> </w:t>
      </w:r>
      <w:r>
        <w:rPr>
          <w:color w:val="231F20"/>
        </w:rPr>
        <w:t>realizan</w:t>
      </w:r>
      <w:r>
        <w:rPr>
          <w:color w:val="231F20"/>
          <w:spacing w:val="-4"/>
        </w:rPr>
        <w:t> </w:t>
      </w:r>
      <w:r>
        <w:rPr>
          <w:color w:val="231F20"/>
        </w:rPr>
        <w:t>a</w:t>
      </w:r>
      <w:r>
        <w:rPr>
          <w:color w:val="231F20"/>
          <w:spacing w:val="-4"/>
        </w:rPr>
        <w:t> </w:t>
      </w:r>
      <w:r>
        <w:rPr>
          <w:color w:val="231F20"/>
        </w:rPr>
        <w:t>la economía americana; el estudio señala que entre 2003 y </w:t>
      </w:r>
      <w:r>
        <w:rPr>
          <w:color w:val="231F20"/>
          <w:spacing w:val="-3"/>
        </w:rPr>
        <w:t>2011 </w:t>
      </w:r>
      <w:r>
        <w:rPr>
          <w:color w:val="231F20"/>
        </w:rPr>
        <w:t>la contribu- ción de los migrantes mexicanos fue de 3.6 por ciento a 4.1 por ciento del PIB</w:t>
      </w:r>
      <w:r>
        <w:rPr>
          <w:color w:val="231F20"/>
          <w:spacing w:val="-6"/>
        </w:rPr>
        <w:t> </w:t>
      </w:r>
      <w:r>
        <w:rPr>
          <w:color w:val="231F20"/>
        </w:rPr>
        <w:t>total</w:t>
      </w:r>
      <w:r>
        <w:rPr>
          <w:color w:val="231F20"/>
          <w:spacing w:val="-6"/>
        </w:rPr>
        <w:t> </w:t>
      </w:r>
      <w:r>
        <w:rPr>
          <w:color w:val="231F20"/>
        </w:rPr>
        <w:t>de</w:t>
      </w:r>
      <w:r>
        <w:rPr>
          <w:color w:val="231F20"/>
          <w:spacing w:val="-6"/>
        </w:rPr>
        <w:t> </w:t>
      </w:r>
      <w:r>
        <w:rPr>
          <w:color w:val="231F20"/>
        </w:rPr>
        <w:t>Estados</w:t>
      </w:r>
      <w:r>
        <w:rPr>
          <w:color w:val="231F20"/>
          <w:spacing w:val="-6"/>
        </w:rPr>
        <w:t> </w:t>
      </w:r>
      <w:r>
        <w:rPr>
          <w:color w:val="231F20"/>
        </w:rPr>
        <w:t>Unidos.</w:t>
      </w:r>
      <w:r>
        <w:rPr>
          <w:color w:val="231F20"/>
          <w:spacing w:val="-5"/>
        </w:rPr>
        <w:t> </w:t>
      </w:r>
      <w:r>
        <w:rPr>
          <w:color w:val="231F20"/>
        </w:rPr>
        <w:t>Si</w:t>
      </w:r>
      <w:r>
        <w:rPr>
          <w:color w:val="231F20"/>
          <w:spacing w:val="-6"/>
        </w:rPr>
        <w:t> </w:t>
      </w:r>
      <w:r>
        <w:rPr>
          <w:color w:val="231F20"/>
        </w:rPr>
        <w:t>se</w:t>
      </w:r>
      <w:r>
        <w:rPr>
          <w:color w:val="231F20"/>
          <w:spacing w:val="-6"/>
        </w:rPr>
        <w:t> </w:t>
      </w:r>
      <w:r>
        <w:rPr>
          <w:color w:val="231F20"/>
        </w:rPr>
        <w:t>considera</w:t>
      </w:r>
      <w:r>
        <w:rPr>
          <w:color w:val="231F20"/>
          <w:spacing w:val="-7"/>
        </w:rPr>
        <w:t> </w:t>
      </w:r>
      <w:r>
        <w:rPr>
          <w:color w:val="231F20"/>
        </w:rPr>
        <w:t>a</w:t>
      </w:r>
      <w:r>
        <w:rPr>
          <w:color w:val="231F20"/>
          <w:spacing w:val="-6"/>
        </w:rPr>
        <w:t> </w:t>
      </w:r>
      <w:r>
        <w:rPr>
          <w:color w:val="231F20"/>
        </w:rPr>
        <w:t>los</w:t>
      </w:r>
      <w:r>
        <w:rPr>
          <w:color w:val="231F20"/>
          <w:spacing w:val="-6"/>
        </w:rPr>
        <w:t> </w:t>
      </w:r>
      <w:r>
        <w:rPr>
          <w:color w:val="231F20"/>
        </w:rPr>
        <w:t>mexicanos</w:t>
      </w:r>
      <w:r>
        <w:rPr>
          <w:color w:val="231F20"/>
          <w:spacing w:val="-6"/>
        </w:rPr>
        <w:t> </w:t>
      </w:r>
      <w:r>
        <w:rPr>
          <w:color w:val="231F20"/>
        </w:rPr>
        <w:t>de</w:t>
      </w:r>
      <w:r>
        <w:rPr>
          <w:color w:val="231F20"/>
          <w:spacing w:val="-6"/>
        </w:rPr>
        <w:t> </w:t>
      </w:r>
      <w:r>
        <w:rPr>
          <w:color w:val="231F20"/>
        </w:rPr>
        <w:t>2ª</w:t>
      </w:r>
      <w:r>
        <w:rPr>
          <w:color w:val="231F20"/>
          <w:spacing w:val="-6"/>
        </w:rPr>
        <w:t> </w:t>
      </w:r>
      <w:r>
        <w:rPr>
          <w:color w:val="231F20"/>
        </w:rPr>
        <w:t>y</w:t>
      </w:r>
      <w:r>
        <w:rPr>
          <w:color w:val="231F20"/>
          <w:spacing w:val="-6"/>
        </w:rPr>
        <w:t> </w:t>
      </w:r>
      <w:r>
        <w:rPr>
          <w:color w:val="231F20"/>
        </w:rPr>
        <w:t>3ª</w:t>
      </w:r>
      <w:r>
        <w:rPr>
          <w:color w:val="231F20"/>
          <w:spacing w:val="-6"/>
        </w:rPr>
        <w:t> </w:t>
      </w:r>
      <w:r>
        <w:rPr>
          <w:color w:val="231F20"/>
        </w:rPr>
        <w:t>ge- neración</w:t>
      </w:r>
      <w:r>
        <w:rPr>
          <w:color w:val="231F20"/>
          <w:spacing w:val="-11"/>
        </w:rPr>
        <w:t> </w:t>
      </w:r>
      <w:r>
        <w:rPr>
          <w:color w:val="231F20"/>
        </w:rPr>
        <w:t>la</w:t>
      </w:r>
      <w:r>
        <w:rPr>
          <w:color w:val="231F20"/>
          <w:spacing w:val="-11"/>
        </w:rPr>
        <w:t> </w:t>
      </w:r>
      <w:r>
        <w:rPr>
          <w:color w:val="231F20"/>
        </w:rPr>
        <w:t>contribución</w:t>
      </w:r>
      <w:r>
        <w:rPr>
          <w:color w:val="231F20"/>
          <w:spacing w:val="-12"/>
        </w:rPr>
        <w:t> </w:t>
      </w:r>
      <w:r>
        <w:rPr>
          <w:color w:val="231F20"/>
        </w:rPr>
        <w:t>es</w:t>
      </w:r>
      <w:r>
        <w:rPr>
          <w:color w:val="231F20"/>
          <w:spacing w:val="-11"/>
        </w:rPr>
        <w:t> </w:t>
      </w:r>
      <w:r>
        <w:rPr>
          <w:color w:val="231F20"/>
        </w:rPr>
        <w:t>alrededor</w:t>
      </w:r>
      <w:r>
        <w:rPr>
          <w:color w:val="231F20"/>
          <w:spacing w:val="-11"/>
        </w:rPr>
        <w:t> </w:t>
      </w:r>
      <w:r>
        <w:rPr>
          <w:color w:val="231F20"/>
        </w:rPr>
        <w:t>de</w:t>
      </w:r>
      <w:r>
        <w:rPr>
          <w:color w:val="231F20"/>
          <w:spacing w:val="-11"/>
        </w:rPr>
        <w:t> </w:t>
      </w:r>
      <w:r>
        <w:rPr>
          <w:color w:val="231F20"/>
        </w:rPr>
        <w:t>ocho</w:t>
      </w:r>
      <w:r>
        <w:rPr>
          <w:color w:val="231F20"/>
          <w:spacing w:val="-11"/>
        </w:rPr>
        <w:t> </w:t>
      </w:r>
      <w:r>
        <w:rPr>
          <w:color w:val="231F20"/>
        </w:rPr>
        <w:t>por</w:t>
      </w:r>
      <w:r>
        <w:rPr>
          <w:color w:val="231F20"/>
          <w:spacing w:val="-11"/>
        </w:rPr>
        <w:t> </w:t>
      </w:r>
      <w:r>
        <w:rPr>
          <w:color w:val="231F20"/>
        </w:rPr>
        <w:t>ciento.</w:t>
      </w:r>
      <w:r>
        <w:rPr>
          <w:color w:val="231F20"/>
          <w:spacing w:val="-11"/>
        </w:rPr>
        <w:t> </w:t>
      </w:r>
      <w:r>
        <w:rPr>
          <w:color w:val="231F20"/>
        </w:rPr>
        <w:t>En</w:t>
      </w:r>
      <w:r>
        <w:rPr>
          <w:color w:val="231F20"/>
          <w:spacing w:val="-11"/>
        </w:rPr>
        <w:t> </w:t>
      </w:r>
      <w:r>
        <w:rPr>
          <w:color w:val="231F20"/>
        </w:rPr>
        <w:t>algunos</w:t>
      </w:r>
      <w:r>
        <w:rPr>
          <w:color w:val="231F20"/>
          <w:spacing w:val="-11"/>
        </w:rPr>
        <w:t> </w:t>
      </w:r>
      <w:r>
        <w:rPr>
          <w:color w:val="231F20"/>
        </w:rPr>
        <w:t>secto- res como agricultura, construcción y servicios de alimentos y alojamiento como</w:t>
      </w:r>
      <w:r>
        <w:rPr>
          <w:color w:val="231F20"/>
          <w:spacing w:val="-11"/>
        </w:rPr>
        <w:t> </w:t>
      </w:r>
      <w:r>
        <w:rPr>
          <w:color w:val="231F20"/>
        </w:rPr>
        <w:t>restaurantes,</w:t>
      </w:r>
      <w:r>
        <w:rPr>
          <w:color w:val="231F20"/>
          <w:spacing w:val="-11"/>
        </w:rPr>
        <w:t> </w:t>
      </w:r>
      <w:r>
        <w:rPr>
          <w:color w:val="231F20"/>
        </w:rPr>
        <w:t>bebidas,</w:t>
      </w:r>
      <w:r>
        <w:rPr>
          <w:color w:val="231F20"/>
          <w:spacing w:val="-11"/>
        </w:rPr>
        <w:t> </w:t>
      </w:r>
      <w:r>
        <w:rPr>
          <w:color w:val="231F20"/>
        </w:rPr>
        <w:t>hoteles,</w:t>
      </w:r>
      <w:r>
        <w:rPr>
          <w:color w:val="231F20"/>
          <w:spacing w:val="-11"/>
        </w:rPr>
        <w:t> </w:t>
      </w:r>
      <w:r>
        <w:rPr>
          <w:color w:val="231F20"/>
        </w:rPr>
        <w:t>entre</w:t>
      </w:r>
      <w:r>
        <w:rPr>
          <w:color w:val="231F20"/>
          <w:spacing w:val="-11"/>
        </w:rPr>
        <w:t> </w:t>
      </w:r>
      <w:r>
        <w:rPr>
          <w:color w:val="231F20"/>
        </w:rPr>
        <w:t>otros;</w:t>
      </w:r>
      <w:r>
        <w:rPr>
          <w:color w:val="231F20"/>
          <w:spacing w:val="-11"/>
        </w:rPr>
        <w:t> </w:t>
      </w:r>
      <w:r>
        <w:rPr>
          <w:color w:val="231F20"/>
        </w:rPr>
        <w:t>la</w:t>
      </w:r>
      <w:r>
        <w:rPr>
          <w:color w:val="231F20"/>
          <w:spacing w:val="-11"/>
        </w:rPr>
        <w:t> </w:t>
      </w:r>
      <w:r>
        <w:rPr>
          <w:color w:val="231F20"/>
        </w:rPr>
        <w:t>contribución</w:t>
      </w:r>
      <w:r>
        <w:rPr>
          <w:color w:val="231F20"/>
          <w:spacing w:val="-12"/>
        </w:rPr>
        <w:t> </w:t>
      </w:r>
      <w:r>
        <w:rPr>
          <w:color w:val="231F20"/>
        </w:rPr>
        <w:t>económica de los migrantes mexicanos es superior a diez por ciento del PIB de Esta- dos Unidos. Los migrantes mexicanos contribuyen de nueve por ciento a 12</w:t>
      </w:r>
      <w:r>
        <w:rPr>
          <w:color w:val="231F20"/>
          <w:spacing w:val="-5"/>
        </w:rPr>
        <w:t> </w:t>
      </w:r>
      <w:r>
        <w:rPr>
          <w:color w:val="231F20"/>
        </w:rPr>
        <w:t>por</w:t>
      </w:r>
      <w:r>
        <w:rPr>
          <w:color w:val="231F20"/>
          <w:spacing w:val="-5"/>
        </w:rPr>
        <w:t> </w:t>
      </w:r>
      <w:r>
        <w:rPr>
          <w:color w:val="231F20"/>
        </w:rPr>
        <w:t>ciento</w:t>
      </w:r>
      <w:r>
        <w:rPr>
          <w:color w:val="231F20"/>
          <w:spacing w:val="-5"/>
        </w:rPr>
        <w:t> </w:t>
      </w:r>
      <w:r>
        <w:rPr>
          <w:color w:val="231F20"/>
        </w:rPr>
        <w:t>del</w:t>
      </w:r>
      <w:r>
        <w:rPr>
          <w:color w:val="231F20"/>
          <w:spacing w:val="-5"/>
        </w:rPr>
        <w:t> </w:t>
      </w:r>
      <w:r>
        <w:rPr>
          <w:color w:val="231F20"/>
        </w:rPr>
        <w:t>total</w:t>
      </w:r>
      <w:r>
        <w:rPr>
          <w:color w:val="231F20"/>
          <w:spacing w:val="-5"/>
        </w:rPr>
        <w:t> </w:t>
      </w:r>
      <w:r>
        <w:rPr>
          <w:color w:val="231F20"/>
        </w:rPr>
        <w:t>del</w:t>
      </w:r>
      <w:r>
        <w:rPr>
          <w:color w:val="231F20"/>
          <w:spacing w:val="-5"/>
        </w:rPr>
        <w:t> </w:t>
      </w:r>
      <w:r>
        <w:rPr>
          <w:color w:val="231F20"/>
        </w:rPr>
        <w:t>PIB</w:t>
      </w:r>
      <w:r>
        <w:rPr>
          <w:color w:val="231F20"/>
          <w:spacing w:val="-5"/>
        </w:rPr>
        <w:t> </w:t>
      </w:r>
      <w:r>
        <w:rPr>
          <w:color w:val="231F20"/>
        </w:rPr>
        <w:t>estatal</w:t>
      </w:r>
      <w:r>
        <w:rPr>
          <w:color w:val="231F20"/>
          <w:spacing w:val="-5"/>
        </w:rPr>
        <w:t> </w:t>
      </w:r>
      <w:r>
        <w:rPr>
          <w:color w:val="231F20"/>
        </w:rPr>
        <w:t>en</w:t>
      </w:r>
      <w:r>
        <w:rPr>
          <w:color w:val="231F20"/>
          <w:spacing w:val="-5"/>
        </w:rPr>
        <w:t> </w:t>
      </w:r>
      <w:r>
        <w:rPr>
          <w:color w:val="231F20"/>
        </w:rPr>
        <w:t>estados</w:t>
      </w:r>
      <w:r>
        <w:rPr>
          <w:color w:val="231F20"/>
          <w:spacing w:val="-5"/>
        </w:rPr>
        <w:t> </w:t>
      </w:r>
      <w:r>
        <w:rPr>
          <w:color w:val="231F20"/>
        </w:rPr>
        <w:t>como</w:t>
      </w:r>
      <w:r>
        <w:rPr>
          <w:color w:val="231F20"/>
          <w:spacing w:val="-5"/>
        </w:rPr>
        <w:t> </w:t>
      </w:r>
      <w:r>
        <w:rPr>
          <w:color w:val="231F20"/>
        </w:rPr>
        <w:t>California,</w:t>
      </w:r>
      <w:r>
        <w:rPr>
          <w:color w:val="231F20"/>
          <w:spacing w:val="-5"/>
        </w:rPr>
        <w:t> </w:t>
      </w:r>
      <w:r>
        <w:rPr>
          <w:color w:val="231F20"/>
        </w:rPr>
        <w:t>Nevada, Arizona</w:t>
      </w:r>
      <w:r>
        <w:rPr>
          <w:color w:val="231F20"/>
          <w:spacing w:val="-8"/>
        </w:rPr>
        <w:t> </w:t>
      </w:r>
      <w:r>
        <w:rPr>
          <w:color w:val="231F20"/>
        </w:rPr>
        <w:t>y</w:t>
      </w:r>
      <w:r>
        <w:rPr>
          <w:color w:val="231F20"/>
          <w:spacing w:val="-12"/>
        </w:rPr>
        <w:t> </w:t>
      </w:r>
      <w:r>
        <w:rPr>
          <w:color w:val="231F20"/>
          <w:spacing w:val="-3"/>
        </w:rPr>
        <w:t>Texas.</w:t>
      </w:r>
      <w:r>
        <w:rPr>
          <w:color w:val="231F20"/>
          <w:spacing w:val="-8"/>
        </w:rPr>
        <w:t> </w:t>
      </w:r>
      <w:r>
        <w:rPr>
          <w:color w:val="231F20"/>
        </w:rPr>
        <w:t>El</w:t>
      </w:r>
      <w:r>
        <w:rPr>
          <w:color w:val="231F20"/>
          <w:spacing w:val="-8"/>
        </w:rPr>
        <w:t> </w:t>
      </w:r>
      <w:r>
        <w:rPr>
          <w:color w:val="231F20"/>
        </w:rPr>
        <w:t>conjunto</w:t>
      </w:r>
      <w:r>
        <w:rPr>
          <w:color w:val="231F20"/>
          <w:spacing w:val="-8"/>
        </w:rPr>
        <w:t> </w:t>
      </w:r>
      <w:r>
        <w:rPr>
          <w:color w:val="231F20"/>
        </w:rPr>
        <w:t>de</w:t>
      </w:r>
      <w:r>
        <w:rPr>
          <w:color w:val="231F20"/>
          <w:spacing w:val="-8"/>
        </w:rPr>
        <w:t> </w:t>
      </w:r>
      <w:r>
        <w:rPr>
          <w:color w:val="231F20"/>
        </w:rPr>
        <w:t>acciones</w:t>
      </w:r>
      <w:r>
        <w:rPr>
          <w:color w:val="231F20"/>
          <w:spacing w:val="-8"/>
        </w:rPr>
        <w:t> </w:t>
      </w:r>
      <w:r>
        <w:rPr>
          <w:color w:val="231F20"/>
        </w:rPr>
        <w:t>contra</w:t>
      </w:r>
      <w:r>
        <w:rPr>
          <w:color w:val="231F20"/>
          <w:spacing w:val="-8"/>
        </w:rPr>
        <w:t> </w:t>
      </w:r>
      <w:r>
        <w:rPr>
          <w:color w:val="231F20"/>
        </w:rPr>
        <w:t>los</w:t>
      </w:r>
      <w:r>
        <w:rPr>
          <w:color w:val="231F20"/>
          <w:spacing w:val="-8"/>
        </w:rPr>
        <w:t> </w:t>
      </w:r>
      <w:r>
        <w:rPr>
          <w:color w:val="231F20"/>
        </w:rPr>
        <w:t>migrantes</w:t>
      </w:r>
      <w:r>
        <w:rPr>
          <w:color w:val="231F20"/>
          <w:spacing w:val="-9"/>
        </w:rPr>
        <w:t> </w:t>
      </w:r>
      <w:r>
        <w:rPr>
          <w:color w:val="231F20"/>
        </w:rPr>
        <w:t>indocumen- tados en Estados Unidos, que comienzan con la promulgación de la “Ley SB1070”</w:t>
      </w:r>
      <w:r>
        <w:rPr>
          <w:color w:val="231F20"/>
          <w:spacing w:val="-8"/>
        </w:rPr>
        <w:t> </w:t>
      </w:r>
      <w:r>
        <w:rPr>
          <w:color w:val="231F20"/>
        </w:rPr>
        <w:t>en</w:t>
      </w:r>
      <w:r>
        <w:rPr>
          <w:color w:val="231F20"/>
          <w:spacing w:val="-8"/>
        </w:rPr>
        <w:t> </w:t>
      </w:r>
      <w:r>
        <w:rPr>
          <w:color w:val="231F20"/>
        </w:rPr>
        <w:t>abril</w:t>
      </w:r>
      <w:r>
        <w:rPr>
          <w:color w:val="231F20"/>
          <w:spacing w:val="-9"/>
        </w:rPr>
        <w:t> </w:t>
      </w:r>
      <w:r>
        <w:rPr>
          <w:color w:val="231F20"/>
        </w:rPr>
        <w:t>de</w:t>
      </w:r>
      <w:r>
        <w:rPr>
          <w:color w:val="231F20"/>
          <w:spacing w:val="-9"/>
        </w:rPr>
        <w:t> </w:t>
      </w:r>
      <w:r>
        <w:rPr>
          <w:color w:val="231F20"/>
        </w:rPr>
        <w:t>2010</w:t>
      </w:r>
      <w:r>
        <w:rPr>
          <w:color w:val="231F20"/>
          <w:spacing w:val="-8"/>
        </w:rPr>
        <w:t> </w:t>
      </w:r>
      <w:r>
        <w:rPr>
          <w:color w:val="231F20"/>
        </w:rPr>
        <w:t>en</w:t>
      </w:r>
      <w:r>
        <w:rPr>
          <w:color w:val="231F20"/>
          <w:spacing w:val="-20"/>
        </w:rPr>
        <w:t> </w:t>
      </w:r>
      <w:r>
        <w:rPr>
          <w:color w:val="231F20"/>
        </w:rPr>
        <w:t>Arizona,</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continúa</w:t>
      </w:r>
      <w:r>
        <w:rPr>
          <w:color w:val="231F20"/>
          <w:spacing w:val="-9"/>
        </w:rPr>
        <w:t> </w:t>
      </w:r>
      <w:r>
        <w:rPr>
          <w:color w:val="231F20"/>
        </w:rPr>
        <w:t>con</w:t>
      </w:r>
      <w:r>
        <w:rPr>
          <w:color w:val="231F20"/>
          <w:spacing w:val="-9"/>
        </w:rPr>
        <w:t> </w:t>
      </w:r>
      <w:r>
        <w:rPr>
          <w:color w:val="231F20"/>
        </w:rPr>
        <w:t>diferentes</w:t>
      </w:r>
      <w:r>
        <w:rPr>
          <w:color w:val="231F20"/>
          <w:spacing w:val="-9"/>
        </w:rPr>
        <w:t> </w:t>
      </w:r>
      <w:r>
        <w:rPr>
          <w:color w:val="231F20"/>
        </w:rPr>
        <w:t>accio- nes contra los migrantes que llevan a la promulgación de diferentes leyes antinmigrantes en distintos estados, los autores del estudio lo denominan Efecto Arizona. Este efecto y la crisis económica son dos factores princi- pales</w:t>
      </w:r>
      <w:r>
        <w:rPr>
          <w:color w:val="231F20"/>
          <w:spacing w:val="-5"/>
        </w:rPr>
        <w:t> </w:t>
      </w:r>
      <w:r>
        <w:rPr>
          <w:color w:val="231F20"/>
        </w:rPr>
        <w:t>que</w:t>
      </w:r>
      <w:r>
        <w:rPr>
          <w:color w:val="231F20"/>
          <w:spacing w:val="-5"/>
        </w:rPr>
        <w:t> </w:t>
      </w:r>
      <w:r>
        <w:rPr>
          <w:color w:val="231F20"/>
        </w:rPr>
        <w:t>han</w:t>
      </w:r>
      <w:r>
        <w:rPr>
          <w:color w:val="231F20"/>
          <w:spacing w:val="-5"/>
        </w:rPr>
        <w:t> </w:t>
      </w:r>
      <w:r>
        <w:rPr>
          <w:color w:val="231F20"/>
        </w:rPr>
        <w:t>detenido</w:t>
      </w:r>
      <w:r>
        <w:rPr>
          <w:color w:val="231F20"/>
          <w:spacing w:val="-5"/>
        </w:rPr>
        <w:t> </w:t>
      </w:r>
      <w:r>
        <w:rPr>
          <w:color w:val="231F20"/>
        </w:rPr>
        <w:t>los</w:t>
      </w:r>
      <w:r>
        <w:rPr>
          <w:color w:val="231F20"/>
          <w:spacing w:val="-5"/>
        </w:rPr>
        <w:t> </w:t>
      </w:r>
      <w:r>
        <w:rPr>
          <w:color w:val="231F20"/>
        </w:rPr>
        <w:t>flujos</w:t>
      </w:r>
      <w:r>
        <w:rPr>
          <w:color w:val="231F20"/>
          <w:spacing w:val="-5"/>
        </w:rPr>
        <w:t> </w:t>
      </w:r>
      <w:r>
        <w:rPr>
          <w:color w:val="231F20"/>
        </w:rPr>
        <w:t>migratorios</w:t>
      </w:r>
      <w:r>
        <w:rPr>
          <w:color w:val="231F20"/>
          <w:spacing w:val="-5"/>
        </w:rPr>
        <w:t> </w:t>
      </w:r>
      <w:r>
        <w:rPr>
          <w:color w:val="231F20"/>
        </w:rPr>
        <w:t>de</w:t>
      </w:r>
      <w:r>
        <w:rPr>
          <w:color w:val="231F20"/>
          <w:spacing w:val="-5"/>
        </w:rPr>
        <w:t> </w:t>
      </w:r>
      <w:r>
        <w:rPr>
          <w:color w:val="231F20"/>
        </w:rPr>
        <w:t>México</w:t>
      </w:r>
      <w:r>
        <w:rPr>
          <w:color w:val="231F20"/>
          <w:spacing w:val="-5"/>
        </w:rPr>
        <w:t> </w:t>
      </w:r>
      <w:r>
        <w:rPr>
          <w:color w:val="231F20"/>
        </w:rPr>
        <w:t>a</w:t>
      </w:r>
      <w:r>
        <w:rPr>
          <w:color w:val="231F20"/>
          <w:spacing w:val="-5"/>
        </w:rPr>
        <w:t> </w:t>
      </w:r>
      <w:r>
        <w:rPr>
          <w:color w:val="231F20"/>
        </w:rPr>
        <w:t>Estados</w:t>
      </w:r>
      <w:r>
        <w:rPr>
          <w:color w:val="231F20"/>
          <w:spacing w:val="-5"/>
        </w:rPr>
        <w:t> </w:t>
      </w:r>
      <w:r>
        <w:rPr>
          <w:color w:val="231F20"/>
        </w:rPr>
        <w:t>Unidos. Un reconocimiento para los autores de este estudio por abordar el tema de la migración desde una perspectiva integral, al destacar los beneficios que la migración tiene para México y Estados Unidos, reflejo de las comple- mentariedades de ambas economías </w:t>
      </w:r>
      <w:r>
        <w:rPr>
          <w:color w:val="231F20"/>
          <w:spacing w:val="-6"/>
        </w:rPr>
        <w:t>(BBVA </w:t>
      </w:r>
      <w:r>
        <w:rPr>
          <w:color w:val="231F20"/>
        </w:rPr>
        <w:t>Research,</w:t>
      </w:r>
      <w:r>
        <w:rPr>
          <w:color w:val="231F20"/>
          <w:spacing w:val="-9"/>
        </w:rPr>
        <w:t> </w:t>
      </w:r>
      <w:r>
        <w:rPr>
          <w:color w:val="231F20"/>
        </w:rPr>
        <w:t>2012).</w:t>
      </w:r>
    </w:p>
    <w:p>
      <w:pPr>
        <w:pStyle w:val="BodyText"/>
        <w:spacing w:line="247" w:lineRule="auto"/>
        <w:ind w:left="117" w:right="115" w:firstLine="283"/>
        <w:jc w:val="both"/>
      </w:pPr>
      <w:r>
        <w:rPr>
          <w:color w:val="231F20"/>
        </w:rPr>
        <w:t>La Figura 2 muestra la relación entre el valor de los beneficios recibi- dos por los migrantes de los servicios sociales públicos y la cuantía de los impuestos que pagan en Estados Unidos, la cual muestra claramente que los nacionales obtienen mayores beneficios que los migrantes por sus im- puestos (OIM, 2012).</w:t>
      </w:r>
    </w:p>
    <w:p>
      <w:pPr>
        <w:pStyle w:val="BodyText"/>
        <w:spacing w:line="247" w:lineRule="auto"/>
        <w:ind w:left="117" w:right="115" w:firstLine="283"/>
        <w:jc w:val="both"/>
      </w:pPr>
      <w:r>
        <w:rPr>
          <w:color w:val="231F20"/>
        </w:rPr>
        <w:t>En los países de origen generalmente se hace hincapié en los efectos negativos de la emigración por la pérdida de capital humano, liderazgo y competencias. Esas pérdidas son, sin duda, sumamente preocupantes para los países en desarrollo y, sobre todo, para los países menos adelantados.</w:t>
      </w:r>
    </w:p>
    <w:p>
      <w:pPr>
        <w:spacing w:after="0" w:line="247" w:lineRule="auto"/>
        <w:jc w:val="both"/>
        <w:sectPr>
          <w:footerReference w:type="default" r:id="rId141"/>
          <w:pgSz w:w="9360" w:h="13040"/>
          <w:pgMar w:footer="496" w:header="0" w:top="840" w:bottom="680" w:left="1300" w:right="1300"/>
        </w:sectPr>
      </w:pPr>
    </w:p>
    <w:p>
      <w:pPr>
        <w:pStyle w:val="BodyText"/>
        <w:rPr>
          <w:sz w:val="20"/>
        </w:rPr>
      </w:pPr>
      <w:r>
        <w:rPr/>
        <w:pict>
          <v:shape style="position:absolute;margin-left:598.529175pt;margin-top:104.613098pt;width:12.4pt;height:293.25pt;mso-position-horizontal-relative:page;mso-position-vertical-relative:page;z-index:4840" type="#_x0000_t202" filled="false" stroked="false">
            <v:textbox inset="0,0,0,0" style="layout-flow:vertical">
              <w:txbxContent>
                <w:p>
                  <w:pPr>
                    <w:spacing w:line="213" w:lineRule="exact" w:before="0"/>
                    <w:ind w:left="20" w:right="0" w:firstLine="0"/>
                    <w:jc w:val="left"/>
                    <w:rPr>
                      <w:rFonts w:ascii="Arial" w:hAnsi="Arial"/>
                      <w:i/>
                      <w:sz w:val="20"/>
                    </w:rPr>
                  </w:pPr>
                  <w:r>
                    <w:rPr>
                      <w:rFonts w:ascii="Arial" w:hAnsi="Arial"/>
                      <w:color w:val="231F20"/>
                      <w:w w:val="66"/>
                      <w:sz w:val="20"/>
                    </w:rPr>
                    <w:t>La</w:t>
                  </w:r>
                  <w:r>
                    <w:rPr>
                      <w:rFonts w:ascii="Arial" w:hAnsi="Arial"/>
                      <w:color w:val="231F20"/>
                      <w:spacing w:val="-1"/>
                      <w:sz w:val="20"/>
                    </w:rPr>
                    <w:t> </w:t>
                  </w:r>
                  <w:r>
                    <w:rPr>
                      <w:rFonts w:ascii="Arial" w:hAnsi="Arial"/>
                      <w:color w:val="231F20"/>
                      <w:w w:val="76"/>
                      <w:sz w:val="20"/>
                    </w:rPr>
                    <w:t>participación</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w w:val="73"/>
                      <w:sz w:val="20"/>
                    </w:rPr>
                    <w:t>migrantes</w:t>
                  </w:r>
                  <w:r>
                    <w:rPr>
                      <w:rFonts w:ascii="Arial" w:hAnsi="Arial"/>
                      <w:color w:val="231F20"/>
                      <w:spacing w:val="-1"/>
                      <w:sz w:val="20"/>
                    </w:rPr>
                    <w:t> </w:t>
                  </w:r>
                  <w:r>
                    <w:rPr>
                      <w:rFonts w:ascii="Arial" w:hAnsi="Arial"/>
                      <w:color w:val="231F20"/>
                      <w:w w:val="69"/>
                      <w:sz w:val="20"/>
                    </w:rPr>
                    <w:t>mexicanos</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3"/>
                      <w:sz w:val="20"/>
                    </w:rPr>
                    <w:t>economía...</w:t>
                  </w:r>
                  <w:r>
                    <w:rPr>
                      <w:rFonts w:ascii="Arial" w:hAnsi="Arial"/>
                      <w:color w:val="231F20"/>
                      <w:spacing w:val="-1"/>
                      <w:sz w:val="20"/>
                    </w:rPr>
                    <w:t> </w:t>
                  </w:r>
                  <w:r>
                    <w:rPr>
                      <w:rFonts w:ascii="Arial" w:hAnsi="Arial"/>
                      <w:color w:val="231F20"/>
                      <w:w w:val="99"/>
                      <w:sz w:val="20"/>
                    </w:rPr>
                    <w:t>/</w:t>
                  </w:r>
                  <w:r>
                    <w:rPr>
                      <w:rFonts w:ascii="Arial" w:hAnsi="Arial"/>
                      <w:color w:val="231F20"/>
                      <w:w w:val="52"/>
                      <w:sz w:val="20"/>
                    </w:rPr>
                    <w:t>Esther</w:t>
                  </w:r>
                  <w:r>
                    <w:rPr>
                      <w:rFonts w:ascii="Arial" w:hAnsi="Arial"/>
                      <w:color w:val="231F20"/>
                      <w:spacing w:val="-17"/>
                      <w:sz w:val="20"/>
                    </w:rPr>
                    <w:t> </w:t>
                  </w:r>
                  <w:r>
                    <w:rPr>
                      <w:rFonts w:ascii="Arial" w:hAnsi="Arial"/>
                      <w:color w:val="231F20"/>
                      <w:w w:val="50"/>
                      <w:sz w:val="20"/>
                    </w:rPr>
                    <w:t>Figueroa-Hernández</w:t>
                  </w:r>
                  <w:r>
                    <w:rPr>
                      <w:rFonts w:ascii="Arial" w:hAnsi="Arial"/>
                      <w:color w:val="231F20"/>
                      <w:spacing w:val="-17"/>
                      <w:sz w:val="20"/>
                    </w:rPr>
                    <w:t> </w:t>
                  </w:r>
                  <w:r>
                    <w:rPr>
                      <w:rFonts w:ascii="Arial" w:hAnsi="Arial"/>
                      <w:i/>
                      <w:color w:val="231F20"/>
                      <w:w w:val="55"/>
                      <w:sz w:val="20"/>
                    </w:rPr>
                    <w:t>et</w:t>
                  </w:r>
                  <w:r>
                    <w:rPr>
                      <w:rFonts w:ascii="Arial" w:hAnsi="Arial"/>
                      <w:i/>
                      <w:color w:val="231F20"/>
                      <w:spacing w:val="-17"/>
                      <w:sz w:val="20"/>
                    </w:rPr>
                    <w:t> </w:t>
                  </w:r>
                  <w:r>
                    <w:rPr>
                      <w:rFonts w:ascii="Arial" w:hAnsi="Arial"/>
                      <w:i/>
                      <w:color w:val="231F20"/>
                      <w:w w:val="58"/>
                      <w:sz w:val="20"/>
                    </w:rPr>
                    <w:t>al.</w:t>
                  </w:r>
                </w:p>
              </w:txbxContent>
            </v:textbox>
            <w10:wrap type="none"/>
          </v:shape>
        </w:pict>
      </w:r>
      <w:r>
        <w:rPr/>
        <w:pict>
          <v:shape style="position:absolute;margin-left:23.820354pt;margin-top:222.936996pt;width:12pt;height:21.25pt;mso-position-horizontal-relative:page;mso-position-vertical-relative:page;z-index:4864" type="#_x0000_t202" filled="false" stroked="false">
            <v:textbox inset="0,0,0,0" style="layout-flow:vertical">
              <w:txbxContent>
                <w:p>
                  <w:pPr>
                    <w:spacing w:line="214" w:lineRule="exact" w:before="0"/>
                    <w:ind w:left="20" w:right="-182" w:firstLine="0"/>
                    <w:jc w:val="left"/>
                    <w:rPr>
                      <w:rFonts w:ascii="Verdana"/>
                      <w:sz w:val="20"/>
                    </w:rPr>
                  </w:pPr>
                  <w:r>
                    <w:rPr>
                      <w:rFonts w:ascii="Verdana"/>
                      <w:color w:val="231F20"/>
                      <w:spacing w:val="-1"/>
                      <w:w w:val="100"/>
                      <w:sz w:val="20"/>
                    </w:rPr>
                    <w:t>163</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spacing w:line="249" w:lineRule="auto" w:before="0"/>
        <w:ind w:left="121" w:right="667" w:firstLine="0"/>
        <w:jc w:val="left"/>
        <w:rPr>
          <w:sz w:val="20"/>
        </w:rPr>
      </w:pPr>
      <w:r>
        <w:rPr>
          <w:color w:val="231F20"/>
          <w:sz w:val="20"/>
        </w:rPr>
        <w:t>Figura 2. Relación entre los beneficios recibidos de los servicios sociales públicos y los impuestos paga- dos en los Estados Unidos</w:t>
      </w:r>
    </w:p>
    <w:p>
      <w:pPr>
        <w:pStyle w:val="BodyText"/>
        <w:spacing w:before="4"/>
        <w:rPr>
          <w:sz w:val="14"/>
        </w:rPr>
      </w:pPr>
      <w:r>
        <w:rPr/>
        <w:pict>
          <v:group style="position:absolute;margin-left:95.94030pt;margin-top:10.233947pt;width:434.15pt;height:171.25pt;mso-position-horizontal-relative:page;mso-position-vertical-relative:paragraph;z-index:4816;mso-wrap-distance-left:0;mso-wrap-distance-right:0" coordorigin="1919,205" coordsize="8683,3425">
            <v:shape style="position:absolute;left:2568;top:331;width:7949;height:2650" type="#_x0000_t75" stroked="false">
              <v:imagedata r:id="rId143" o:title=""/>
            </v:shape>
            <v:line style="position:absolute" from="4926,472" to="4926,563" stroked="true" strokeweight="4.523pt" strokecolor="#001f5f"/>
            <v:line style="position:absolute" from="7077,1105" to="7077,1196" stroked="true" strokeweight="4.522pt" strokecolor="#001f5f"/>
            <v:line style="position:absolute" from="8875,1695" to="8875,1785" stroked="true" strokeweight="4.523pt" strokecolor="#001f5f"/>
            <v:line style="position:absolute" from="2097,476" to="2097,567" stroked="true" strokeweight="4.523pt" strokecolor="#001f5f"/>
            <v:shape style="position:absolute;left:1926;top:212;width:8668;height:3410" coordorigin="1926,212" coordsize="8668,3410" path="m1926,412l1942,334,1985,271,2048,228,2126,212,10394,212,10472,228,10536,271,10579,334,10594,412,10594,3422,10579,3500,10536,3564,10472,3606,10394,3622,2126,3622,2048,3606,1985,3564,1942,3500,1926,3422,1926,412xe" filled="false" stroked="true" strokeweight=".75pt" strokecolor="#858585">
              <v:path arrowok="t"/>
            </v:shape>
            <v:shape style="position:absolute;left:2167;top:453;width:975;height:160" type="#_x0000_t202" filled="false" stroked="false">
              <v:textbox inset="0,0,0,0">
                <w:txbxContent>
                  <w:p>
                    <w:pPr>
                      <w:spacing w:line="160" w:lineRule="exact" w:before="0"/>
                      <w:ind w:left="0" w:right="0" w:firstLine="0"/>
                      <w:jc w:val="left"/>
                      <w:rPr>
                        <w:rFonts w:ascii="Arial"/>
                        <w:sz w:val="16"/>
                      </w:rPr>
                    </w:pPr>
                    <w:r>
                      <w:rPr>
                        <w:rFonts w:ascii="Arial"/>
                        <w:sz w:val="16"/>
                        <w:shd w:fill="FBD4B5" w:color="auto" w:val="clear"/>
                      </w:rPr>
                      <w:t>  Nativos, 1.4 </w:t>
                    </w:r>
                  </w:p>
                </w:txbxContent>
              </v:textbox>
              <w10:wrap type="none"/>
            </v:shape>
            <v:shape style="position:absolute;left:4996;top:448;width:1379;height:160" type="#_x0000_t202" filled="false" stroked="false">
              <v:textbox inset="0,0,0,0">
                <w:txbxContent>
                  <w:p>
                    <w:pPr>
                      <w:spacing w:line="160" w:lineRule="exact" w:before="0"/>
                      <w:ind w:left="0" w:right="0" w:firstLine="0"/>
                      <w:jc w:val="left"/>
                      <w:rPr>
                        <w:rFonts w:ascii="Arial"/>
                        <w:sz w:val="16"/>
                      </w:rPr>
                    </w:pPr>
                    <w:r>
                      <w:rPr>
                        <w:rFonts w:ascii="Arial"/>
                        <w:sz w:val="16"/>
                        <w:shd w:fill="FBD4B5" w:color="auto" w:val="clear"/>
                      </w:rPr>
                      <w:t>  Otros nativos, 1.2 </w:t>
                    </w:r>
                  </w:p>
                </w:txbxContent>
              </v:textbox>
              <w10:wrap type="none"/>
            </v:shape>
            <v:shape style="position:absolute;left:7147;top:1081;width:1577;height:160" type="#_x0000_t202" filled="false" stroked="false">
              <v:textbox inset="0,0,0,0">
                <w:txbxContent>
                  <w:p>
                    <w:pPr>
                      <w:spacing w:line="160" w:lineRule="exact" w:before="0"/>
                      <w:ind w:left="0" w:right="0" w:firstLine="0"/>
                      <w:jc w:val="left"/>
                      <w:rPr>
                        <w:rFonts w:ascii="Arial"/>
                        <w:sz w:val="16"/>
                      </w:rPr>
                    </w:pPr>
                    <w:r>
                      <w:rPr>
                        <w:rFonts w:ascii="Arial"/>
                        <w:sz w:val="16"/>
                        <w:shd w:fill="FBD4B5" w:color="auto" w:val="clear"/>
                      </w:rPr>
                      <w:t>  Otros migrantes, 0.8 </w:t>
                    </w:r>
                  </w:p>
                </w:txbxContent>
              </v:textbox>
              <w10:wrap type="none"/>
            </v:shape>
            <v:shape style="position:absolute;left:8946;top:1671;width:1649;height:160" type="#_x0000_t202" filled="false" stroked="false">
              <v:textbox inset="0,0,0,0">
                <w:txbxContent>
                  <w:p>
                    <w:pPr>
                      <w:spacing w:line="160" w:lineRule="exact" w:before="0"/>
                      <w:ind w:left="0" w:right="0" w:firstLine="0"/>
                      <w:jc w:val="left"/>
                      <w:rPr>
                        <w:rFonts w:ascii="Arial"/>
                        <w:sz w:val="16"/>
                      </w:rPr>
                    </w:pPr>
                    <w:r>
                      <w:rPr>
                        <w:rFonts w:ascii="Arial"/>
                        <w:sz w:val="16"/>
                        <w:shd w:fill="FBD4B5" w:color="auto" w:val="clear"/>
                      </w:rPr>
                      <w:t>  Migrantes latinos, 0.5 </w:t>
                    </w:r>
                  </w:p>
                </w:txbxContent>
              </v:textbox>
              <w10:wrap type="none"/>
            </v:shape>
            <w10:wrap type="topAndBottom"/>
          </v:group>
        </w:pict>
      </w:r>
    </w:p>
    <w:p>
      <w:pPr>
        <w:spacing w:before="102"/>
        <w:ind w:left="121" w:right="667" w:firstLine="0"/>
        <w:jc w:val="left"/>
        <w:rPr>
          <w:sz w:val="17"/>
        </w:rPr>
      </w:pPr>
      <w:r>
        <w:rPr>
          <w:color w:val="231F20"/>
          <w:sz w:val="17"/>
        </w:rPr>
        <w:t>Fuente: elaborada con datos de OIM, 2012.</w:t>
      </w:r>
    </w:p>
    <w:p>
      <w:pPr>
        <w:spacing w:after="0"/>
        <w:jc w:val="left"/>
        <w:rPr>
          <w:sz w:val="17"/>
        </w:rPr>
        <w:sectPr>
          <w:footerReference w:type="default" r:id="rId142"/>
          <w:pgSz w:w="13040" w:h="9360" w:orient="landscape"/>
          <w:pgMar w:footer="0" w:header="0" w:top="0" w:bottom="280" w:left="1800" w:right="1840"/>
        </w:sectPr>
      </w:pPr>
    </w:p>
    <w:p>
      <w:pPr>
        <w:tabs>
          <w:tab w:pos="5536" w:val="left" w:leader="none"/>
        </w:tabs>
        <w:spacing w:before="51"/>
        <w:ind w:left="400" w:right="117" w:hanging="284"/>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114" w:firstLine="283"/>
        <w:jc w:val="both"/>
      </w:pPr>
      <w:r>
        <w:rPr>
          <w:color w:val="231F20"/>
        </w:rPr>
        <w:t>Cada vez son más numerosas las pruebas de que la emigración puede tener repercusiones positivas en materia de desarrollo para las familias y las</w:t>
      </w:r>
      <w:r>
        <w:rPr>
          <w:color w:val="231F20"/>
          <w:spacing w:val="-6"/>
        </w:rPr>
        <w:t> </w:t>
      </w:r>
      <w:r>
        <w:rPr>
          <w:color w:val="231F20"/>
        </w:rPr>
        <w:t>comunidades</w:t>
      </w:r>
      <w:r>
        <w:rPr>
          <w:color w:val="231F20"/>
          <w:spacing w:val="-6"/>
        </w:rPr>
        <w:t> </w:t>
      </w:r>
      <w:r>
        <w:rPr>
          <w:color w:val="231F20"/>
        </w:rPr>
        <w:t>que</w:t>
      </w:r>
      <w:r>
        <w:rPr>
          <w:color w:val="231F20"/>
          <w:spacing w:val="-6"/>
        </w:rPr>
        <w:t> </w:t>
      </w:r>
      <w:r>
        <w:rPr>
          <w:color w:val="231F20"/>
        </w:rPr>
        <w:t>quedaron</w:t>
      </w:r>
      <w:r>
        <w:rPr>
          <w:color w:val="231F20"/>
          <w:spacing w:val="-6"/>
        </w:rPr>
        <w:t> </w:t>
      </w:r>
      <w:r>
        <w:rPr>
          <w:color w:val="231F20"/>
        </w:rPr>
        <w:t>atrás.</w:t>
      </w:r>
      <w:r>
        <w:rPr>
          <w:color w:val="231F20"/>
          <w:spacing w:val="-7"/>
        </w:rPr>
        <w:t> </w:t>
      </w:r>
      <w:r>
        <w:rPr>
          <w:color w:val="231F20"/>
        </w:rPr>
        <w:t>Los</w:t>
      </w:r>
      <w:r>
        <w:rPr>
          <w:color w:val="231F20"/>
          <w:spacing w:val="-6"/>
        </w:rPr>
        <w:t> </w:t>
      </w:r>
      <w:r>
        <w:rPr>
          <w:color w:val="231F20"/>
        </w:rPr>
        <w:t>efectos</w:t>
      </w:r>
      <w:r>
        <w:rPr>
          <w:color w:val="231F20"/>
          <w:spacing w:val="-7"/>
        </w:rPr>
        <w:t> </w:t>
      </w:r>
      <w:r>
        <w:rPr>
          <w:color w:val="231F20"/>
        </w:rPr>
        <w:t>positivos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migración en el desarrollo que suelen citarse con mayor frecuencia se refieren a las remesas.</w:t>
      </w:r>
      <w:r>
        <w:rPr>
          <w:color w:val="231F20"/>
          <w:spacing w:val="-10"/>
        </w:rPr>
        <w:t> </w:t>
      </w:r>
      <w:r>
        <w:rPr>
          <w:color w:val="231F20"/>
        </w:rPr>
        <w:t>Se</w:t>
      </w:r>
      <w:r>
        <w:rPr>
          <w:color w:val="231F20"/>
          <w:spacing w:val="-10"/>
        </w:rPr>
        <w:t> </w:t>
      </w:r>
      <w:r>
        <w:rPr>
          <w:color w:val="231F20"/>
        </w:rPr>
        <w:t>estima</w:t>
      </w:r>
      <w:r>
        <w:rPr>
          <w:color w:val="231F20"/>
          <w:spacing w:val="-10"/>
        </w:rPr>
        <w:t> </w:t>
      </w:r>
      <w:r>
        <w:rPr>
          <w:color w:val="231F20"/>
        </w:rPr>
        <w:t>que</w:t>
      </w:r>
      <w:r>
        <w:rPr>
          <w:color w:val="231F20"/>
          <w:spacing w:val="-10"/>
        </w:rPr>
        <w:t> </w:t>
      </w:r>
      <w:r>
        <w:rPr>
          <w:color w:val="231F20"/>
        </w:rPr>
        <w:t>en</w:t>
      </w:r>
      <w:r>
        <w:rPr>
          <w:color w:val="231F20"/>
          <w:spacing w:val="-10"/>
        </w:rPr>
        <w:t> </w:t>
      </w:r>
      <w:r>
        <w:rPr>
          <w:color w:val="231F20"/>
        </w:rPr>
        <w:t>2010</w:t>
      </w:r>
      <w:r>
        <w:rPr>
          <w:color w:val="231F20"/>
          <w:spacing w:val="-10"/>
        </w:rPr>
        <w:t> </w:t>
      </w:r>
      <w:r>
        <w:rPr>
          <w:color w:val="231F20"/>
        </w:rPr>
        <w:t>las</w:t>
      </w:r>
      <w:r>
        <w:rPr>
          <w:color w:val="231F20"/>
          <w:spacing w:val="-10"/>
        </w:rPr>
        <w:t> </w:t>
      </w:r>
      <w:r>
        <w:rPr>
          <w:color w:val="231F20"/>
        </w:rPr>
        <w:t>remesas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migrantes</w:t>
      </w:r>
      <w:r>
        <w:rPr>
          <w:color w:val="231F20"/>
          <w:spacing w:val="-10"/>
        </w:rPr>
        <w:t> </w:t>
      </w:r>
      <w:r>
        <w:rPr>
          <w:color w:val="231F20"/>
        </w:rPr>
        <w:t>representaron 325 mil millones de dólares de Estados Unidos (Banco Mundial, 2011) siendo en general superiores al volumen de la asistencia oficial para el desarrollo (ODA) </w:t>
      </w:r>
      <w:r>
        <w:rPr>
          <w:color w:val="231F20"/>
          <w:spacing w:val="-8"/>
        </w:rPr>
        <w:t>y, </w:t>
      </w:r>
      <w:r>
        <w:rPr>
          <w:color w:val="231F20"/>
        </w:rPr>
        <w:t>en términos netos, probablemente mayores que la In- versión Extranjera Directa (IED), (OIM,</w:t>
      </w:r>
      <w:r>
        <w:rPr>
          <w:color w:val="231F20"/>
          <w:spacing w:val="-8"/>
        </w:rPr>
        <w:t> </w:t>
      </w:r>
      <w:r>
        <w:rPr>
          <w:color w:val="231F20"/>
        </w:rPr>
        <w:t>2012).</w:t>
      </w:r>
    </w:p>
    <w:p>
      <w:pPr>
        <w:pStyle w:val="BodyText"/>
        <w:spacing w:line="247" w:lineRule="auto"/>
        <w:ind w:left="117" w:right="114" w:firstLine="283"/>
        <w:jc w:val="both"/>
      </w:pPr>
      <w:r>
        <w:rPr>
          <w:color w:val="231F20"/>
        </w:rPr>
        <w:t>De</w:t>
      </w:r>
      <w:r>
        <w:rPr>
          <w:color w:val="231F20"/>
          <w:spacing w:val="-11"/>
        </w:rPr>
        <w:t> </w:t>
      </w:r>
      <w:r>
        <w:rPr>
          <w:color w:val="231F20"/>
        </w:rPr>
        <w:t>la</w:t>
      </w:r>
      <w:r>
        <w:rPr>
          <w:color w:val="231F20"/>
          <w:spacing w:val="-12"/>
        </w:rPr>
        <w:t> </w:t>
      </w:r>
      <w:r>
        <w:rPr>
          <w:color w:val="231F20"/>
        </w:rPr>
        <w:t>Figura</w:t>
      </w:r>
      <w:r>
        <w:rPr>
          <w:color w:val="231F20"/>
          <w:spacing w:val="-11"/>
        </w:rPr>
        <w:t> </w:t>
      </w:r>
      <w:r>
        <w:rPr>
          <w:color w:val="231F20"/>
        </w:rPr>
        <w:t>3,</w:t>
      </w:r>
      <w:r>
        <w:rPr>
          <w:color w:val="231F20"/>
          <w:spacing w:val="-11"/>
        </w:rPr>
        <w:t> </w:t>
      </w:r>
      <w:r>
        <w:rPr>
          <w:color w:val="231F20"/>
        </w:rPr>
        <w:t>se</w:t>
      </w:r>
      <w:r>
        <w:rPr>
          <w:color w:val="231F20"/>
          <w:spacing w:val="-11"/>
        </w:rPr>
        <w:t> </w:t>
      </w:r>
      <w:r>
        <w:rPr>
          <w:color w:val="231F20"/>
        </w:rPr>
        <w:t>puede</w:t>
      </w:r>
      <w:r>
        <w:rPr>
          <w:color w:val="231F20"/>
          <w:spacing w:val="-12"/>
        </w:rPr>
        <w:t> </w:t>
      </w:r>
      <w:r>
        <w:rPr>
          <w:color w:val="231F20"/>
        </w:rPr>
        <w:t>observar</w:t>
      </w:r>
      <w:r>
        <w:rPr>
          <w:color w:val="231F20"/>
          <w:spacing w:val="-11"/>
        </w:rPr>
        <w:t> </w:t>
      </w:r>
      <w:r>
        <w:rPr>
          <w:color w:val="231F20"/>
        </w:rPr>
        <w:t>el</w:t>
      </w:r>
      <w:r>
        <w:rPr>
          <w:color w:val="231F20"/>
          <w:spacing w:val="-12"/>
        </w:rPr>
        <w:t> </w:t>
      </w:r>
      <w:r>
        <w:rPr>
          <w:color w:val="231F20"/>
        </w:rPr>
        <w:t>aporte</w:t>
      </w:r>
      <w:r>
        <w:rPr>
          <w:color w:val="231F20"/>
          <w:spacing w:val="-12"/>
        </w:rPr>
        <w:t> </w:t>
      </w:r>
      <w:r>
        <w:rPr>
          <w:color w:val="231F20"/>
        </w:rPr>
        <w:t>de</w:t>
      </w:r>
      <w:r>
        <w:rPr>
          <w:color w:val="231F20"/>
          <w:spacing w:val="-11"/>
        </w:rPr>
        <w:t> </w:t>
      </w:r>
      <w:r>
        <w:rPr>
          <w:color w:val="231F20"/>
        </w:rPr>
        <w:t>los</w:t>
      </w:r>
      <w:r>
        <w:rPr>
          <w:color w:val="231F20"/>
          <w:spacing w:val="-12"/>
        </w:rPr>
        <w:t> </w:t>
      </w:r>
      <w:r>
        <w:rPr>
          <w:color w:val="231F20"/>
        </w:rPr>
        <w:t>mexicanos</w:t>
      </w:r>
      <w:r>
        <w:rPr>
          <w:color w:val="231F20"/>
          <w:spacing w:val="-11"/>
        </w:rPr>
        <w:t> </w:t>
      </w:r>
      <w:r>
        <w:rPr>
          <w:color w:val="231F20"/>
        </w:rPr>
        <w:t>en</w:t>
      </w:r>
      <w:r>
        <w:rPr>
          <w:color w:val="231F20"/>
          <w:spacing w:val="-11"/>
        </w:rPr>
        <w:t> </w:t>
      </w:r>
      <w:r>
        <w:rPr>
          <w:color w:val="231F20"/>
        </w:rPr>
        <w:t>impues- tos (directos e indirectos) a la economía estadounidense es muy superior  a lo que envían a sus familiares en México, alrededor del doble. Existe evidencia de esta situación desde el año 2000. De acuerdo con las cifras del Sistema de Información sobre Migración Internacional y Desarrollo (SIMDE)</w:t>
      </w:r>
      <w:r>
        <w:rPr>
          <w:color w:val="231F20"/>
          <w:spacing w:val="-6"/>
        </w:rPr>
        <w:t> </w:t>
      </w:r>
      <w:r>
        <w:rPr>
          <w:color w:val="231F20"/>
        </w:rPr>
        <w:t>los</w:t>
      </w:r>
      <w:r>
        <w:rPr>
          <w:color w:val="231F20"/>
          <w:spacing w:val="-6"/>
        </w:rPr>
        <w:t> </w:t>
      </w:r>
      <w:r>
        <w:rPr>
          <w:color w:val="231F20"/>
        </w:rPr>
        <w:t>migrantes</w:t>
      </w:r>
      <w:r>
        <w:rPr>
          <w:color w:val="231F20"/>
          <w:spacing w:val="-6"/>
        </w:rPr>
        <w:t> </w:t>
      </w:r>
      <w:r>
        <w:rPr>
          <w:color w:val="231F20"/>
        </w:rPr>
        <w:t>mexicanos</w:t>
      </w:r>
      <w:r>
        <w:rPr>
          <w:color w:val="231F20"/>
          <w:spacing w:val="-6"/>
        </w:rPr>
        <w:t> </w:t>
      </w:r>
      <w:r>
        <w:rPr>
          <w:color w:val="231F20"/>
        </w:rPr>
        <w:t>pagaron</w:t>
      </w:r>
      <w:r>
        <w:rPr>
          <w:color w:val="231F20"/>
          <w:spacing w:val="-6"/>
        </w:rPr>
        <w:t> </w:t>
      </w:r>
      <w:r>
        <w:rPr>
          <w:color w:val="231F20"/>
        </w:rPr>
        <w:t>en</w:t>
      </w:r>
      <w:r>
        <w:rPr>
          <w:color w:val="231F20"/>
          <w:spacing w:val="-6"/>
        </w:rPr>
        <w:t> </w:t>
      </w:r>
      <w:r>
        <w:rPr>
          <w:color w:val="231F20"/>
        </w:rPr>
        <w:t>impuestos</w:t>
      </w:r>
      <w:r>
        <w:rPr>
          <w:color w:val="231F20"/>
          <w:spacing w:val="-6"/>
        </w:rPr>
        <w:t> </w:t>
      </w:r>
      <w:r>
        <w:rPr>
          <w:color w:val="231F20"/>
        </w:rPr>
        <w:t>en</w:t>
      </w:r>
      <w:r>
        <w:rPr>
          <w:color w:val="231F20"/>
          <w:spacing w:val="-6"/>
        </w:rPr>
        <w:t> </w:t>
      </w:r>
      <w:r>
        <w:rPr>
          <w:color w:val="231F20"/>
        </w:rPr>
        <w:t>2008</w:t>
      </w:r>
      <w:r>
        <w:rPr>
          <w:color w:val="231F20"/>
          <w:spacing w:val="-6"/>
        </w:rPr>
        <w:t> </w:t>
      </w:r>
      <w:r>
        <w:rPr>
          <w:color w:val="231F20"/>
        </w:rPr>
        <w:t>cerca</w:t>
      </w:r>
      <w:r>
        <w:rPr>
          <w:color w:val="231F20"/>
          <w:spacing w:val="-6"/>
        </w:rPr>
        <w:t> </w:t>
      </w:r>
      <w:r>
        <w:rPr>
          <w:color w:val="231F20"/>
        </w:rPr>
        <w:t>de 53 mil millones de dólares, monto muy por encima de 25 mil millones de dólares</w:t>
      </w:r>
      <w:r>
        <w:rPr>
          <w:color w:val="231F20"/>
          <w:spacing w:val="-9"/>
        </w:rPr>
        <w:t> </w:t>
      </w:r>
      <w:r>
        <w:rPr>
          <w:color w:val="231F20"/>
        </w:rPr>
        <w:t>que</w:t>
      </w:r>
      <w:r>
        <w:rPr>
          <w:color w:val="231F20"/>
          <w:spacing w:val="-9"/>
        </w:rPr>
        <w:t> </w:t>
      </w:r>
      <w:r>
        <w:rPr>
          <w:color w:val="231F20"/>
        </w:rPr>
        <w:t>enviaron</w:t>
      </w:r>
      <w:r>
        <w:rPr>
          <w:color w:val="231F20"/>
          <w:spacing w:val="-10"/>
        </w:rPr>
        <w:t> </w:t>
      </w:r>
      <w:r>
        <w:rPr>
          <w:color w:val="231F20"/>
        </w:rPr>
        <w:t>por</w:t>
      </w:r>
      <w:r>
        <w:rPr>
          <w:color w:val="231F20"/>
          <w:spacing w:val="-9"/>
        </w:rPr>
        <w:t> </w:t>
      </w:r>
      <w:r>
        <w:rPr>
          <w:color w:val="231F20"/>
        </w:rPr>
        <w:t>concepto</w:t>
      </w:r>
      <w:r>
        <w:rPr>
          <w:color w:val="231F20"/>
          <w:spacing w:val="-10"/>
        </w:rPr>
        <w:t> </w:t>
      </w:r>
      <w:r>
        <w:rPr>
          <w:color w:val="231F20"/>
        </w:rPr>
        <w:t>de</w:t>
      </w:r>
      <w:r>
        <w:rPr>
          <w:color w:val="231F20"/>
          <w:spacing w:val="-9"/>
        </w:rPr>
        <w:t> </w:t>
      </w:r>
      <w:r>
        <w:rPr>
          <w:color w:val="231F20"/>
        </w:rPr>
        <w:t>remesas.</w:t>
      </w:r>
      <w:r>
        <w:rPr>
          <w:color w:val="231F20"/>
          <w:spacing w:val="-21"/>
        </w:rPr>
        <w:t> </w:t>
      </w:r>
      <w:r>
        <w:rPr>
          <w:color w:val="231F20"/>
        </w:rPr>
        <w:t>Además,</w:t>
      </w:r>
      <w:r>
        <w:rPr>
          <w:color w:val="231F20"/>
          <w:spacing w:val="-9"/>
        </w:rPr>
        <w:t> </w:t>
      </w:r>
      <w:r>
        <w:rPr>
          <w:color w:val="231F20"/>
        </w:rPr>
        <w:t>muchos</w:t>
      </w:r>
      <w:r>
        <w:rPr>
          <w:color w:val="231F20"/>
          <w:spacing w:val="-10"/>
        </w:rPr>
        <w:t> </w:t>
      </w:r>
      <w:r>
        <w:rPr>
          <w:color w:val="231F20"/>
        </w:rPr>
        <w:t>de</w:t>
      </w:r>
      <w:r>
        <w:rPr>
          <w:color w:val="231F20"/>
          <w:spacing w:val="-9"/>
        </w:rPr>
        <w:t> </w:t>
      </w:r>
      <w:r>
        <w:rPr>
          <w:color w:val="231F20"/>
        </w:rPr>
        <w:t>los</w:t>
      </w:r>
      <w:r>
        <w:rPr>
          <w:color w:val="231F20"/>
          <w:spacing w:val="-9"/>
        </w:rPr>
        <w:t> </w:t>
      </w:r>
      <w:r>
        <w:rPr>
          <w:color w:val="231F20"/>
        </w:rPr>
        <w:t>mi- grantes mexicanos son contribuidores netos ya que no reciben beneficios de la seguridad social. Cerca de 60 por ciento de los migrantes mexicanos no tienen acceso a servicios de salud. Además, en la mayoría de los casos, es de suponer que la preparación básica la recibieron en México. Desde la década de los noventa la inmigración en Estados Unidos, en particular la proveniente de México, ha contribuido al crecimiento de la fuerza laboral de</w:t>
      </w:r>
      <w:r>
        <w:rPr>
          <w:color w:val="231F20"/>
          <w:spacing w:val="-10"/>
        </w:rPr>
        <w:t> </w:t>
      </w:r>
      <w:r>
        <w:rPr>
          <w:color w:val="231F20"/>
        </w:rPr>
        <w:t>forma</w:t>
      </w:r>
      <w:r>
        <w:rPr>
          <w:color w:val="231F20"/>
          <w:spacing w:val="-10"/>
        </w:rPr>
        <w:t> </w:t>
      </w:r>
      <w:r>
        <w:rPr>
          <w:color w:val="231F20"/>
        </w:rPr>
        <w:t>importante,</w:t>
      </w:r>
      <w:r>
        <w:rPr>
          <w:color w:val="231F20"/>
          <w:spacing w:val="-10"/>
        </w:rPr>
        <w:t> </w:t>
      </w:r>
      <w:r>
        <w:rPr>
          <w:color w:val="231F20"/>
        </w:rPr>
        <w:t>cubriendo</w:t>
      </w:r>
      <w:r>
        <w:rPr>
          <w:color w:val="231F20"/>
          <w:spacing w:val="-10"/>
        </w:rPr>
        <w:t> </w:t>
      </w:r>
      <w:r>
        <w:rPr>
          <w:color w:val="231F20"/>
        </w:rPr>
        <w:t>una</w:t>
      </w:r>
      <w:r>
        <w:rPr>
          <w:color w:val="231F20"/>
          <w:spacing w:val="-10"/>
        </w:rPr>
        <w:t> </w:t>
      </w:r>
      <w:r>
        <w:rPr>
          <w:color w:val="231F20"/>
        </w:rPr>
        <w:t>gran</w:t>
      </w:r>
      <w:r>
        <w:rPr>
          <w:color w:val="231F20"/>
          <w:spacing w:val="-10"/>
        </w:rPr>
        <w:t> </w:t>
      </w:r>
      <w:r>
        <w:rPr>
          <w:color w:val="231F20"/>
        </w:rPr>
        <w:t>proporción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demanda</w:t>
      </w:r>
      <w:r>
        <w:rPr>
          <w:color w:val="231F20"/>
          <w:spacing w:val="-10"/>
        </w:rPr>
        <w:t> </w:t>
      </w:r>
      <w:r>
        <w:rPr>
          <w:color w:val="231F20"/>
        </w:rPr>
        <w:t>de</w:t>
      </w:r>
      <w:r>
        <w:rPr>
          <w:color w:val="231F20"/>
          <w:spacing w:val="-10"/>
        </w:rPr>
        <w:t> </w:t>
      </w:r>
      <w:r>
        <w:rPr>
          <w:color w:val="231F20"/>
        </w:rPr>
        <w:t>em- pleo,</w:t>
      </w:r>
      <w:r>
        <w:rPr>
          <w:color w:val="231F20"/>
          <w:spacing w:val="-9"/>
        </w:rPr>
        <w:t> </w:t>
      </w:r>
      <w:r>
        <w:rPr>
          <w:color w:val="231F20"/>
        </w:rPr>
        <w:t>en</w:t>
      </w:r>
      <w:r>
        <w:rPr>
          <w:color w:val="231F20"/>
          <w:spacing w:val="-9"/>
        </w:rPr>
        <w:t> </w:t>
      </w:r>
      <w:r>
        <w:rPr>
          <w:color w:val="231F20"/>
        </w:rPr>
        <w:t>regiones</w:t>
      </w:r>
      <w:r>
        <w:rPr>
          <w:color w:val="231F20"/>
          <w:spacing w:val="-9"/>
        </w:rPr>
        <w:t> </w:t>
      </w:r>
      <w:r>
        <w:rPr>
          <w:color w:val="231F20"/>
        </w:rPr>
        <w:t>con</w:t>
      </w:r>
      <w:r>
        <w:rPr>
          <w:color w:val="231F20"/>
          <w:spacing w:val="-9"/>
        </w:rPr>
        <w:t> </w:t>
      </w:r>
      <w:r>
        <w:rPr>
          <w:color w:val="231F20"/>
        </w:rPr>
        <w:t>escasez</w:t>
      </w:r>
      <w:r>
        <w:rPr>
          <w:color w:val="231F20"/>
          <w:spacing w:val="-9"/>
        </w:rPr>
        <w:t> </w:t>
      </w:r>
      <w:r>
        <w:rPr>
          <w:color w:val="231F20"/>
        </w:rPr>
        <w:t>de</w:t>
      </w:r>
      <w:r>
        <w:rPr>
          <w:color w:val="231F20"/>
          <w:spacing w:val="-9"/>
        </w:rPr>
        <w:t> </w:t>
      </w:r>
      <w:r>
        <w:rPr>
          <w:color w:val="231F20"/>
        </w:rPr>
        <w:t>mano</w:t>
      </w:r>
      <w:r>
        <w:rPr>
          <w:color w:val="231F20"/>
          <w:spacing w:val="-9"/>
        </w:rPr>
        <w:t> </w:t>
      </w:r>
      <w:r>
        <w:rPr>
          <w:color w:val="231F20"/>
        </w:rPr>
        <w:t>de</w:t>
      </w:r>
      <w:r>
        <w:rPr>
          <w:color w:val="231F20"/>
          <w:spacing w:val="-9"/>
        </w:rPr>
        <w:t> </w:t>
      </w:r>
      <w:r>
        <w:rPr>
          <w:color w:val="231F20"/>
        </w:rPr>
        <w:t>obra</w:t>
      </w:r>
      <w:r>
        <w:rPr>
          <w:color w:val="231F20"/>
          <w:spacing w:val="-9"/>
        </w:rPr>
        <w:t> </w:t>
      </w:r>
      <w:r>
        <w:rPr>
          <w:color w:val="231F20"/>
        </w:rPr>
        <w:t>o</w:t>
      </w:r>
      <w:r>
        <w:rPr>
          <w:color w:val="231F20"/>
          <w:spacing w:val="-8"/>
        </w:rPr>
        <w:t> </w:t>
      </w:r>
      <w:r>
        <w:rPr>
          <w:color w:val="231F20"/>
        </w:rPr>
        <w:t>bien</w:t>
      </w:r>
      <w:r>
        <w:rPr>
          <w:color w:val="231F20"/>
          <w:spacing w:val="-9"/>
        </w:rPr>
        <w:t> </w:t>
      </w:r>
      <w:r>
        <w:rPr>
          <w:color w:val="231F20"/>
        </w:rPr>
        <w:t>cubriendo</w:t>
      </w:r>
      <w:r>
        <w:rPr>
          <w:color w:val="231F20"/>
          <w:spacing w:val="-9"/>
        </w:rPr>
        <w:t> </w:t>
      </w:r>
      <w:r>
        <w:rPr>
          <w:color w:val="231F20"/>
        </w:rPr>
        <w:t>posiciones que en ocasiones los trabajadores locales rechazan. Entre 1994 y 2008, uno de los periodos más extensos con las tasas de crecimiento más eleva- dos de Estados Unidos, la población ocupada en ese país aumentó en 23.3 millones de trabajadores, de los cuales cerca de la mitad (46 por ciento) eran migrantes; de ellos 3.8 millones eran mexicanos. Así, en este periodo la inmigración mexicana permitió cubrir alrededor de 17 por ciento de la demanda de empleo en Estados Unidos contribuyendo en cierta medida    a sostener el crecimiento económico de ese país a tasas elevadas y quizá también a mitigar ciertos impactos</w:t>
      </w:r>
      <w:r>
        <w:rPr>
          <w:color w:val="231F20"/>
          <w:spacing w:val="-12"/>
        </w:rPr>
        <w:t> </w:t>
      </w:r>
      <w:r>
        <w:rPr>
          <w:color w:val="231F20"/>
        </w:rPr>
        <w:t>inflacionarios.</w:t>
      </w:r>
    </w:p>
    <w:p>
      <w:pPr>
        <w:spacing w:after="0" w:line="247" w:lineRule="auto"/>
        <w:jc w:val="both"/>
        <w:sectPr>
          <w:footerReference w:type="default" r:id="rId144"/>
          <w:pgSz w:w="9360" w:h="13040"/>
          <w:pgMar w:footer="496" w:header="0" w:top="840" w:bottom="680" w:left="1300" w:right="1300"/>
        </w:sectPr>
      </w:pPr>
    </w:p>
    <w:p>
      <w:pPr>
        <w:pStyle w:val="BodyText"/>
        <w:rPr>
          <w:sz w:val="20"/>
        </w:rPr>
      </w:pPr>
      <w:r>
        <w:rPr/>
        <w:pict>
          <v:shape style="position:absolute;margin-left:598.529175pt;margin-top:104.613098pt;width:12.4pt;height:293.25pt;mso-position-horizontal-relative:page;mso-position-vertical-relative:page;z-index:5200" type="#_x0000_t202" filled="false" stroked="false">
            <v:textbox inset="0,0,0,0" style="layout-flow:vertical">
              <w:txbxContent>
                <w:p>
                  <w:pPr>
                    <w:spacing w:line="213" w:lineRule="exact" w:before="0"/>
                    <w:ind w:left="20" w:right="0" w:firstLine="0"/>
                    <w:jc w:val="left"/>
                    <w:rPr>
                      <w:rFonts w:ascii="Arial" w:hAnsi="Arial"/>
                      <w:i/>
                      <w:sz w:val="20"/>
                    </w:rPr>
                  </w:pPr>
                  <w:r>
                    <w:rPr>
                      <w:rFonts w:ascii="Arial" w:hAnsi="Arial"/>
                      <w:color w:val="231F20"/>
                      <w:w w:val="66"/>
                      <w:sz w:val="20"/>
                    </w:rPr>
                    <w:t>La</w:t>
                  </w:r>
                  <w:r>
                    <w:rPr>
                      <w:rFonts w:ascii="Arial" w:hAnsi="Arial"/>
                      <w:color w:val="231F20"/>
                      <w:spacing w:val="-1"/>
                      <w:sz w:val="20"/>
                    </w:rPr>
                    <w:t> </w:t>
                  </w:r>
                  <w:r>
                    <w:rPr>
                      <w:rFonts w:ascii="Arial" w:hAnsi="Arial"/>
                      <w:color w:val="231F20"/>
                      <w:w w:val="76"/>
                      <w:sz w:val="20"/>
                    </w:rPr>
                    <w:t>participación</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w w:val="73"/>
                      <w:sz w:val="20"/>
                    </w:rPr>
                    <w:t>migrantes</w:t>
                  </w:r>
                  <w:r>
                    <w:rPr>
                      <w:rFonts w:ascii="Arial" w:hAnsi="Arial"/>
                      <w:color w:val="231F20"/>
                      <w:spacing w:val="-1"/>
                      <w:sz w:val="20"/>
                    </w:rPr>
                    <w:t> </w:t>
                  </w:r>
                  <w:r>
                    <w:rPr>
                      <w:rFonts w:ascii="Arial" w:hAnsi="Arial"/>
                      <w:color w:val="231F20"/>
                      <w:w w:val="69"/>
                      <w:sz w:val="20"/>
                    </w:rPr>
                    <w:t>mexicanos</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3"/>
                      <w:sz w:val="20"/>
                    </w:rPr>
                    <w:t>economía...</w:t>
                  </w:r>
                  <w:r>
                    <w:rPr>
                      <w:rFonts w:ascii="Arial" w:hAnsi="Arial"/>
                      <w:color w:val="231F20"/>
                      <w:spacing w:val="-1"/>
                      <w:sz w:val="20"/>
                    </w:rPr>
                    <w:t> </w:t>
                  </w:r>
                  <w:r>
                    <w:rPr>
                      <w:rFonts w:ascii="Arial" w:hAnsi="Arial"/>
                      <w:color w:val="231F20"/>
                      <w:w w:val="99"/>
                      <w:sz w:val="20"/>
                    </w:rPr>
                    <w:t>/</w:t>
                  </w:r>
                  <w:r>
                    <w:rPr>
                      <w:rFonts w:ascii="Arial" w:hAnsi="Arial"/>
                      <w:color w:val="231F20"/>
                      <w:w w:val="52"/>
                      <w:sz w:val="20"/>
                    </w:rPr>
                    <w:t>Esther</w:t>
                  </w:r>
                  <w:r>
                    <w:rPr>
                      <w:rFonts w:ascii="Arial" w:hAnsi="Arial"/>
                      <w:color w:val="231F20"/>
                      <w:spacing w:val="-17"/>
                      <w:sz w:val="20"/>
                    </w:rPr>
                    <w:t> </w:t>
                  </w:r>
                  <w:r>
                    <w:rPr>
                      <w:rFonts w:ascii="Arial" w:hAnsi="Arial"/>
                      <w:color w:val="231F20"/>
                      <w:w w:val="50"/>
                      <w:sz w:val="20"/>
                    </w:rPr>
                    <w:t>Figueroa-Hernández</w:t>
                  </w:r>
                  <w:r>
                    <w:rPr>
                      <w:rFonts w:ascii="Arial" w:hAnsi="Arial"/>
                      <w:color w:val="231F20"/>
                      <w:spacing w:val="-17"/>
                      <w:sz w:val="20"/>
                    </w:rPr>
                    <w:t> </w:t>
                  </w:r>
                  <w:r>
                    <w:rPr>
                      <w:rFonts w:ascii="Arial" w:hAnsi="Arial"/>
                      <w:i/>
                      <w:color w:val="231F20"/>
                      <w:w w:val="55"/>
                      <w:sz w:val="20"/>
                    </w:rPr>
                    <w:t>et</w:t>
                  </w:r>
                  <w:r>
                    <w:rPr>
                      <w:rFonts w:ascii="Arial" w:hAnsi="Arial"/>
                      <w:i/>
                      <w:color w:val="231F20"/>
                      <w:spacing w:val="-17"/>
                      <w:sz w:val="20"/>
                    </w:rPr>
                    <w:t> </w:t>
                  </w:r>
                  <w:r>
                    <w:rPr>
                      <w:rFonts w:ascii="Arial" w:hAnsi="Arial"/>
                      <w:i/>
                      <w:color w:val="231F20"/>
                      <w:w w:val="58"/>
                      <w:sz w:val="20"/>
                    </w:rPr>
                    <w:t>al.</w:t>
                  </w:r>
                </w:p>
              </w:txbxContent>
            </v:textbox>
            <w10:wrap type="none"/>
          </v:shape>
        </w:pict>
      </w:r>
      <w:r>
        <w:rPr/>
        <w:pict>
          <v:shape style="position:absolute;margin-left:23.820354pt;margin-top:222.936996pt;width:12pt;height:21.25pt;mso-position-horizontal-relative:page;mso-position-vertical-relative:page;z-index:5224" type="#_x0000_t202" filled="false" stroked="false">
            <v:textbox inset="0,0,0,0" style="layout-flow:vertical">
              <w:txbxContent>
                <w:p>
                  <w:pPr>
                    <w:spacing w:line="214" w:lineRule="exact" w:before="0"/>
                    <w:ind w:left="20" w:right="-182" w:firstLine="0"/>
                    <w:jc w:val="left"/>
                    <w:rPr>
                      <w:rFonts w:ascii="Verdana"/>
                      <w:sz w:val="20"/>
                    </w:rPr>
                  </w:pPr>
                  <w:r>
                    <w:rPr>
                      <w:rFonts w:ascii="Verdana"/>
                      <w:color w:val="231F20"/>
                      <w:spacing w:val="-1"/>
                      <w:w w:val="100"/>
                      <w:sz w:val="20"/>
                    </w:rPr>
                    <w:t>165</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p>
    <w:p>
      <w:pPr>
        <w:spacing w:before="0"/>
        <w:ind w:left="437" w:right="0" w:firstLine="0"/>
        <w:jc w:val="left"/>
        <w:rPr>
          <w:sz w:val="20"/>
        </w:rPr>
      </w:pPr>
      <w:r>
        <w:rPr/>
        <w:pict>
          <v:group style="position:absolute;margin-left:113.876701pt;margin-top:16.959625pt;width:441.75pt;height:216.25pt;mso-position-horizontal-relative:page;mso-position-vertical-relative:paragraph;z-index:5176;mso-wrap-distance-left:0;mso-wrap-distance-right:0" coordorigin="2278,339" coordsize="8835,4325">
            <v:shape style="position:absolute;left:3195;top:446;width:7862;height:3499" type="#_x0000_t75" stroked="false">
              <v:imagedata r:id="rId146" o:title=""/>
            </v:shape>
            <v:line style="position:absolute" from="3510,2130" to="3510,2220" stroked="true" strokeweight="4.523pt" strokecolor="#c5d9f0"/>
            <v:line style="position:absolute" from="5065,1599" to="5065,1690" stroked="true" strokeweight="4.522pt" strokecolor="#c5d9f0"/>
            <v:line style="position:absolute" from="6620,1314" to="6620,1405" stroked="true" strokeweight="4.523pt" strokecolor="#c5d9f0"/>
            <v:line style="position:absolute" from="8175,960" to="8175,1051" stroked="true" strokeweight="4.523pt" strokecolor="#c5d9f0"/>
            <v:line style="position:absolute" from="9730,624" to="9730,715" stroked="true" strokeweight="4.523pt" strokecolor="#c5d9f0"/>
            <v:line style="position:absolute" from="4297,3237" to="4297,3328" stroked="true" strokeweight="4.523pt" strokecolor="#1f487c"/>
            <v:line style="position:absolute" from="5849,3013" to="5849,3103" stroked="true" strokeweight="4.522pt" strokecolor="#1f487c"/>
            <v:line style="position:absolute" from="7358,2528" to="7358,2618" stroked="true" strokeweight="4.522pt" strokecolor="#1f487c"/>
            <v:line style="position:absolute" from="8914,2076" to="8914,2166" stroked="true" strokeweight="4.522pt" strokecolor="#1f487c"/>
            <v:line style="position:absolute" from="10364,2120" to="10364,2210" stroked="true" strokeweight="4.522pt" strokecolor="#1f487c"/>
            <v:rect style="position:absolute;left:4518;top:4406;width:100;height:100" filled="true" fillcolor="#c5d9f0" stroked="false">
              <v:fill type="solid"/>
            </v:rect>
            <v:rect style="position:absolute;left:8203;top:4406;width:100;height:100" filled="true" fillcolor="#1f487c" stroked="false">
              <v:fill type="solid"/>
            </v:rect>
            <v:shape style="position:absolute;left:2285;top:347;width:8820;height:4310" coordorigin="2285,347" coordsize="8820,4310" path="m2285,547l2301,469,2344,405,2407,362,2485,347,10905,347,10983,362,11046,405,11089,469,11105,547,11105,4457,11089,4535,11046,4598,10983,4641,10905,4657,2485,4657,2407,4641,2344,4598,2301,4535,2285,4457,2285,547xe" filled="false" stroked="true" strokeweight=".75pt" strokecolor="#858585">
              <v:path arrowok="t"/>
            </v:shape>
            <v:shape style="position:absolute;left:9801;top:604;width:671;height:180" type="#_x0000_t202" filled="false" stroked="false">
              <v:textbox inset="0,0,0,0">
                <w:txbxContent>
                  <w:p>
                    <w:pPr>
                      <w:spacing w:line="180" w:lineRule="exact" w:before="0"/>
                      <w:ind w:left="0" w:right="0" w:firstLine="0"/>
                      <w:jc w:val="left"/>
                      <w:rPr>
                        <w:rFonts w:ascii="Arial"/>
                        <w:sz w:val="18"/>
                      </w:rPr>
                    </w:pPr>
                    <w:r>
                      <w:rPr>
                        <w:rFonts w:ascii="Arial"/>
                        <w:sz w:val="18"/>
                        <w:shd w:fill="CCC1DA" w:color="auto" w:val="clear"/>
                      </w:rPr>
                      <w:t> 52,799 </w:t>
                    </w:r>
                  </w:p>
                </w:txbxContent>
              </v:textbox>
              <w10:wrap type="none"/>
            </v:shape>
            <v:shape style="position:absolute;left:8246;top:940;width:671;height:180" type="#_x0000_t202" filled="false" stroked="false">
              <v:textbox inset="0,0,0,0">
                <w:txbxContent>
                  <w:p>
                    <w:pPr>
                      <w:spacing w:line="180" w:lineRule="exact" w:before="0"/>
                      <w:ind w:left="0" w:right="0" w:firstLine="0"/>
                      <w:jc w:val="left"/>
                      <w:rPr>
                        <w:rFonts w:ascii="Arial"/>
                        <w:sz w:val="18"/>
                      </w:rPr>
                    </w:pPr>
                    <w:r>
                      <w:rPr>
                        <w:rFonts w:ascii="Arial"/>
                        <w:sz w:val="18"/>
                        <w:shd w:fill="CCC1DA" w:color="auto" w:val="clear"/>
                      </w:rPr>
                      <w:t> 46,905 </w:t>
                    </w:r>
                  </w:p>
                </w:txbxContent>
              </v:textbox>
              <w10:wrap type="none"/>
            </v:shape>
            <v:shape style="position:absolute;left:6691;top:1294;width:671;height:180" type="#_x0000_t202" filled="false" stroked="false">
              <v:textbox inset="0,0,0,0">
                <w:txbxContent>
                  <w:p>
                    <w:pPr>
                      <w:spacing w:line="180" w:lineRule="exact" w:before="0"/>
                      <w:ind w:left="0" w:right="0" w:firstLine="0"/>
                      <w:jc w:val="left"/>
                      <w:rPr>
                        <w:rFonts w:ascii="Arial"/>
                        <w:sz w:val="18"/>
                      </w:rPr>
                    </w:pPr>
                    <w:r>
                      <w:rPr>
                        <w:rFonts w:ascii="Arial"/>
                        <w:sz w:val="18"/>
                        <w:shd w:fill="CCC1DA" w:color="auto" w:val="clear"/>
                      </w:rPr>
                      <w:t> 40,683 </w:t>
                    </w:r>
                  </w:p>
                </w:txbxContent>
              </v:textbox>
              <w10:wrap type="none"/>
            </v:shape>
            <v:shape style="position:absolute;left:5135;top:1579;width:671;height:180" type="#_x0000_t202" filled="false" stroked="false">
              <v:textbox inset="0,0,0,0">
                <w:txbxContent>
                  <w:p>
                    <w:pPr>
                      <w:spacing w:line="180" w:lineRule="exact" w:before="0"/>
                      <w:ind w:left="0" w:right="0" w:firstLine="0"/>
                      <w:jc w:val="left"/>
                      <w:rPr>
                        <w:rFonts w:ascii="Arial"/>
                        <w:sz w:val="18"/>
                      </w:rPr>
                    </w:pPr>
                    <w:r>
                      <w:rPr>
                        <w:rFonts w:ascii="Arial"/>
                        <w:sz w:val="18"/>
                        <w:shd w:fill="CCC1DA" w:color="auto" w:val="clear"/>
                      </w:rPr>
                      <w:t> 35,683 </w:t>
                    </w:r>
                  </w:p>
                </w:txbxContent>
              </v:textbox>
              <w10:wrap type="none"/>
            </v:shape>
            <v:shape style="position:absolute;left:3580;top:2110;width:671;height:180" type="#_x0000_t202" filled="false" stroked="false">
              <v:textbox inset="0,0,0,0">
                <w:txbxContent>
                  <w:p>
                    <w:pPr>
                      <w:spacing w:line="180" w:lineRule="exact" w:before="0"/>
                      <w:ind w:left="0" w:right="0" w:firstLine="0"/>
                      <w:jc w:val="left"/>
                      <w:rPr>
                        <w:rFonts w:ascii="Arial"/>
                        <w:sz w:val="18"/>
                      </w:rPr>
                    </w:pPr>
                    <w:r>
                      <w:rPr>
                        <w:rFonts w:ascii="Arial"/>
                        <w:sz w:val="18"/>
                        <w:shd w:fill="CCC1DA" w:color="auto" w:val="clear"/>
                      </w:rPr>
                      <w:t> 26,367 </w:t>
                    </w:r>
                  </w:p>
                </w:txbxContent>
              </v:textbox>
              <w10:wrap type="none"/>
            </v:shape>
            <v:shape style="position:absolute;left:8984;top:2055;width:671;height:180" type="#_x0000_t202" filled="false" stroked="false">
              <v:textbox inset="0,0,0,0">
                <w:txbxContent>
                  <w:p>
                    <w:pPr>
                      <w:spacing w:line="180" w:lineRule="exact" w:before="0"/>
                      <w:ind w:left="0" w:right="0" w:firstLine="0"/>
                      <w:jc w:val="left"/>
                      <w:rPr>
                        <w:rFonts w:ascii="Arial"/>
                        <w:sz w:val="18"/>
                      </w:rPr>
                    </w:pPr>
                    <w:r>
                      <w:rPr>
                        <w:rFonts w:ascii="Arial"/>
                        <w:sz w:val="18"/>
                        <w:shd w:fill="FBD4B5" w:color="auto" w:val="clear"/>
                      </w:rPr>
                      <w:t> 25,567 </w:t>
                    </w:r>
                  </w:p>
                </w:txbxContent>
              </v:textbox>
              <w10:wrap type="none"/>
            </v:shape>
            <v:shape style="position:absolute;left:10434;top:2099;width:671;height:180" type="#_x0000_t202" filled="false" stroked="false">
              <v:textbox inset="0,0,0,0">
                <w:txbxContent>
                  <w:p>
                    <w:pPr>
                      <w:spacing w:line="180" w:lineRule="exact" w:before="0"/>
                      <w:ind w:left="0" w:right="0" w:firstLine="0"/>
                      <w:jc w:val="left"/>
                      <w:rPr>
                        <w:rFonts w:ascii="Arial"/>
                        <w:sz w:val="18"/>
                      </w:rPr>
                    </w:pPr>
                    <w:r>
                      <w:rPr>
                        <w:rFonts w:ascii="Arial"/>
                        <w:sz w:val="18"/>
                        <w:shd w:fill="FBD4B5" w:color="auto" w:val="clear"/>
                      </w:rPr>
                      <w:t> 25,144 </w:t>
                    </w:r>
                  </w:p>
                </w:txbxContent>
              </v:textbox>
              <w10:wrap type="none"/>
            </v:shape>
            <v:shape style="position:absolute;left:7429;top:2507;width:671;height:180" type="#_x0000_t202" filled="false" stroked="false">
              <v:textbox inset="0,0,0,0">
                <w:txbxContent>
                  <w:p>
                    <w:pPr>
                      <w:spacing w:line="180" w:lineRule="exact" w:before="0"/>
                      <w:ind w:left="0" w:right="0" w:firstLine="0"/>
                      <w:jc w:val="left"/>
                      <w:rPr>
                        <w:rFonts w:ascii="Arial"/>
                        <w:sz w:val="18"/>
                      </w:rPr>
                    </w:pPr>
                    <w:r>
                      <w:rPr>
                        <w:rFonts w:ascii="Arial"/>
                        <w:sz w:val="18"/>
                        <w:shd w:fill="FBD4B5" w:color="auto" w:val="clear"/>
                      </w:rPr>
                      <w:t> 18,331 </w:t>
                    </w:r>
                  </w:p>
                </w:txbxContent>
              </v:textbox>
              <w10:wrap type="none"/>
            </v:shape>
            <v:shape style="position:absolute;left:5919;top:2993;width:580;height:180" type="#_x0000_t202" filled="false" stroked="false">
              <v:textbox inset="0,0,0,0">
                <w:txbxContent>
                  <w:p>
                    <w:pPr>
                      <w:spacing w:line="180" w:lineRule="exact" w:before="0"/>
                      <w:ind w:left="0" w:right="0" w:firstLine="0"/>
                      <w:jc w:val="left"/>
                      <w:rPr>
                        <w:rFonts w:ascii="Arial"/>
                        <w:sz w:val="18"/>
                      </w:rPr>
                    </w:pPr>
                    <w:r>
                      <w:rPr>
                        <w:rFonts w:ascii="Arial"/>
                        <w:sz w:val="18"/>
                        <w:shd w:fill="FBD4B5" w:color="auto" w:val="clear"/>
                      </w:rPr>
                      <w:t> 9,814 </w:t>
                    </w:r>
                  </w:p>
                </w:txbxContent>
              </v:textbox>
              <w10:wrap type="none"/>
            </v:shape>
            <v:shape style="position:absolute;left:4368;top:3217;width:573;height:180" type="#_x0000_t202" filled="false" stroked="false">
              <v:textbox inset="0,0,0,0">
                <w:txbxContent>
                  <w:p>
                    <w:pPr>
                      <w:spacing w:line="180" w:lineRule="exact" w:before="0"/>
                      <w:ind w:left="0" w:right="0" w:firstLine="0"/>
                      <w:jc w:val="left"/>
                      <w:rPr>
                        <w:rFonts w:ascii="Arial"/>
                        <w:sz w:val="18"/>
                      </w:rPr>
                    </w:pPr>
                    <w:r>
                      <w:rPr>
                        <w:rFonts w:ascii="Arial"/>
                        <w:sz w:val="18"/>
                        <w:shd w:fill="FBD4B5" w:color="auto" w:val="clear"/>
                      </w:rPr>
                      <w:t> 6,573 </w:t>
                    </w:r>
                  </w:p>
                </w:txbxContent>
              </v:textbox>
              <w10:wrap type="none"/>
            </v:shape>
            <v:shape style="position:absolute;left:4658;top:4383;width:1712;height:200" type="#_x0000_t202" filled="false" stroked="false">
              <v:textbox inset="0,0,0,0">
                <w:txbxContent>
                  <w:p>
                    <w:pPr>
                      <w:spacing w:line="200" w:lineRule="exact" w:before="0"/>
                      <w:ind w:left="0" w:right="-10" w:firstLine="0"/>
                      <w:jc w:val="left"/>
                      <w:rPr>
                        <w:rFonts w:ascii="Arial"/>
                        <w:sz w:val="20"/>
                      </w:rPr>
                    </w:pPr>
                    <w:r>
                      <w:rPr>
                        <w:rFonts w:ascii="Arial"/>
                        <w:sz w:val="20"/>
                      </w:rPr>
                      <w:t>Pago de</w:t>
                    </w:r>
                    <w:r>
                      <w:rPr>
                        <w:rFonts w:ascii="Arial"/>
                        <w:spacing w:val="-11"/>
                        <w:sz w:val="20"/>
                      </w:rPr>
                      <w:t> </w:t>
                    </w:r>
                    <w:r>
                      <w:rPr>
                        <w:rFonts w:ascii="Arial"/>
                        <w:sz w:val="20"/>
                      </w:rPr>
                      <w:t>impuestos</w:t>
                    </w:r>
                  </w:p>
                </w:txbxContent>
              </v:textbox>
              <w10:wrap type="none"/>
            </v:shape>
            <v:shape style="position:absolute;left:8344;top:4383;width:845;height:200" type="#_x0000_t202" filled="false" stroked="false">
              <v:textbox inset="0,0,0,0">
                <w:txbxContent>
                  <w:p>
                    <w:pPr>
                      <w:spacing w:line="200" w:lineRule="exact" w:before="0"/>
                      <w:ind w:left="0" w:right="-20" w:firstLine="0"/>
                      <w:jc w:val="left"/>
                      <w:rPr>
                        <w:rFonts w:ascii="Arial"/>
                        <w:sz w:val="20"/>
                      </w:rPr>
                    </w:pPr>
                    <w:r>
                      <w:rPr>
                        <w:rFonts w:ascii="Arial"/>
                        <w:sz w:val="20"/>
                      </w:rPr>
                      <w:t>Remesas</w:t>
                    </w:r>
                  </w:p>
                </w:txbxContent>
              </v:textbox>
              <w10:wrap type="none"/>
            </v:shape>
            <w10:wrap type="topAndBottom"/>
          </v:group>
        </w:pict>
      </w:r>
      <w:r>
        <w:rPr>
          <w:color w:val="231F20"/>
          <w:sz w:val="20"/>
        </w:rPr>
        <w:t>Figura  3. Remesas e impuestos pagados por mexicanos en Estados Unidos</w:t>
      </w:r>
    </w:p>
    <w:p>
      <w:pPr>
        <w:spacing w:before="0"/>
        <w:ind w:left="437" w:right="0" w:firstLine="0"/>
        <w:jc w:val="left"/>
        <w:rPr>
          <w:sz w:val="17"/>
        </w:rPr>
      </w:pPr>
      <w:r>
        <w:rPr>
          <w:color w:val="231F20"/>
          <w:sz w:val="17"/>
        </w:rPr>
        <w:t>Fuente: elaborada con datos de SIMDE, 2008.</w:t>
      </w:r>
    </w:p>
    <w:p>
      <w:pPr>
        <w:spacing w:after="0"/>
        <w:jc w:val="left"/>
        <w:rPr>
          <w:sz w:val="17"/>
        </w:rPr>
        <w:sectPr>
          <w:footerReference w:type="default" r:id="rId145"/>
          <w:pgSz w:w="13040" w:h="9360" w:orient="landscape"/>
          <w:pgMar w:footer="0" w:header="0" w:top="0" w:bottom="280" w:left="1840" w:right="1820"/>
        </w:sectPr>
      </w:pPr>
    </w:p>
    <w:p>
      <w:pPr>
        <w:tabs>
          <w:tab w:pos="5536" w:val="left" w:leader="none"/>
        </w:tabs>
        <w:spacing w:before="51"/>
        <w:ind w:left="117" w:right="0" w:firstLine="0"/>
        <w:jc w:val="both"/>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7"/>
        <w:rPr>
          <w:sz w:val="18"/>
        </w:rPr>
      </w:pPr>
    </w:p>
    <w:p>
      <w:pPr>
        <w:pStyle w:val="Heading3"/>
        <w:spacing w:before="0"/>
      </w:pPr>
      <w:r>
        <w:rPr>
          <w:color w:val="231F20"/>
        </w:rPr>
        <w:t>La transferencia de costos educativos y de reproducción social</w:t>
      </w:r>
    </w:p>
    <w:p>
      <w:pPr>
        <w:pStyle w:val="BodyText"/>
        <w:spacing w:line="247" w:lineRule="auto" w:before="172"/>
        <w:ind w:left="117" w:right="114"/>
        <w:jc w:val="both"/>
      </w:pPr>
      <w:r>
        <w:rPr>
          <w:color w:val="231F20"/>
        </w:rPr>
        <w:t>La</w:t>
      </w:r>
      <w:r>
        <w:rPr>
          <w:color w:val="231F20"/>
          <w:spacing w:val="-8"/>
        </w:rPr>
        <w:t> </w:t>
      </w:r>
      <w:r>
        <w:rPr>
          <w:color w:val="231F20"/>
        </w:rPr>
        <w:t>inserción</w:t>
      </w:r>
      <w:r>
        <w:rPr>
          <w:color w:val="231F20"/>
          <w:spacing w:val="-9"/>
        </w:rPr>
        <w:t> </w:t>
      </w:r>
      <w:r>
        <w:rPr>
          <w:color w:val="231F20"/>
        </w:rPr>
        <w:t>laboral</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migrantes</w:t>
      </w:r>
      <w:r>
        <w:rPr>
          <w:color w:val="231F20"/>
          <w:spacing w:val="-9"/>
        </w:rPr>
        <w:t> </w:t>
      </w:r>
      <w:r>
        <w:rPr>
          <w:color w:val="231F20"/>
        </w:rPr>
        <w:t>en</w:t>
      </w:r>
      <w:r>
        <w:rPr>
          <w:color w:val="231F20"/>
          <w:spacing w:val="-8"/>
        </w:rPr>
        <w:t> </w:t>
      </w:r>
      <w:r>
        <w:rPr>
          <w:color w:val="231F20"/>
        </w:rPr>
        <w:t>Estados</w:t>
      </w:r>
      <w:r>
        <w:rPr>
          <w:color w:val="231F20"/>
          <w:spacing w:val="-8"/>
        </w:rPr>
        <w:t> </w:t>
      </w:r>
      <w:r>
        <w:rPr>
          <w:color w:val="231F20"/>
        </w:rPr>
        <w:t>Unidos</w:t>
      </w:r>
      <w:r>
        <w:rPr>
          <w:color w:val="231F20"/>
          <w:spacing w:val="-8"/>
        </w:rPr>
        <w:t> </w:t>
      </w:r>
      <w:r>
        <w:rPr>
          <w:color w:val="231F20"/>
        </w:rPr>
        <w:t>implica</w:t>
      </w:r>
      <w:r>
        <w:rPr>
          <w:color w:val="231F20"/>
          <w:spacing w:val="-9"/>
        </w:rPr>
        <w:t> </w:t>
      </w:r>
      <w:r>
        <w:rPr>
          <w:color w:val="231F20"/>
        </w:rPr>
        <w:t>una</w:t>
      </w:r>
      <w:r>
        <w:rPr>
          <w:color w:val="231F20"/>
          <w:spacing w:val="-8"/>
        </w:rPr>
        <w:t> </w:t>
      </w:r>
      <w:r>
        <w:rPr>
          <w:color w:val="231F20"/>
        </w:rPr>
        <w:t>trans- ferencia de recursos derivados de los costos de reproducción educativa     y social de la fuerza de trabajo. Estos costos fueron cubiertos en México  a través de programas de educación, salud y asistencia social. La migra- ción laboral representa un ahorro en formación de fuerza de trabajo para la Unión Americana, dado de que el perfil demográfico de los</w:t>
      </w:r>
      <w:r>
        <w:rPr>
          <w:color w:val="231F20"/>
          <w:spacing w:val="-24"/>
        </w:rPr>
        <w:t> </w:t>
      </w:r>
      <w:r>
        <w:rPr>
          <w:color w:val="231F20"/>
        </w:rPr>
        <w:t>inmigrantes corresponde a la etapa de mayor productividad. No obstante, los costos de producción de fuerza laboral son considerablemente menores en</w:t>
      </w:r>
      <w:r>
        <w:rPr>
          <w:color w:val="231F20"/>
          <w:spacing w:val="-13"/>
        </w:rPr>
        <w:t> </w:t>
      </w:r>
      <w:r>
        <w:rPr>
          <w:color w:val="231F20"/>
        </w:rPr>
        <w:t>México.</w:t>
      </w:r>
    </w:p>
    <w:p>
      <w:pPr>
        <w:pStyle w:val="BodyText"/>
        <w:spacing w:line="247" w:lineRule="auto"/>
        <w:ind w:left="117" w:right="114" w:firstLine="283"/>
        <w:jc w:val="both"/>
      </w:pPr>
      <w:r>
        <w:rPr>
          <w:color w:val="231F20"/>
        </w:rPr>
        <w:t>Al tomar en cuenta el nivel de escolaridad de los migrantes mexica- nos que arribaron por primera vez a Estados Unidos y el costo educativo implícito en la fuerza de trabajo, de acuerdo con estimaciones del Siste- ma de Información sobre Migración y Desarrollo (SIMDE) de la Unidad Académica en Estudios del Desarrollo de la Universidad Autónoma de Zacatecas, entre 1994 y 2008, México transfirió 83 mmdd (a precios de 2008)</w:t>
      </w:r>
      <w:r>
        <w:rPr>
          <w:color w:val="231F20"/>
          <w:spacing w:val="-8"/>
        </w:rPr>
        <w:t> </w:t>
      </w:r>
      <w:r>
        <w:rPr>
          <w:color w:val="231F20"/>
        </w:rPr>
        <w:t>a</w:t>
      </w:r>
      <w:r>
        <w:rPr>
          <w:color w:val="231F20"/>
          <w:spacing w:val="-8"/>
        </w:rPr>
        <w:t> </w:t>
      </w:r>
      <w:r>
        <w:rPr>
          <w:color w:val="231F20"/>
        </w:rPr>
        <w:t>su</w:t>
      </w:r>
      <w:r>
        <w:rPr>
          <w:color w:val="231F20"/>
          <w:spacing w:val="-7"/>
        </w:rPr>
        <w:t> </w:t>
      </w:r>
      <w:r>
        <w:rPr>
          <w:color w:val="231F20"/>
        </w:rPr>
        <w:t>vecino</w:t>
      </w:r>
      <w:r>
        <w:rPr>
          <w:color w:val="231F20"/>
          <w:spacing w:val="-8"/>
        </w:rPr>
        <w:t> </w:t>
      </w:r>
      <w:r>
        <w:rPr>
          <w:color w:val="231F20"/>
        </w:rPr>
        <w:t>del</w:t>
      </w:r>
      <w:r>
        <w:rPr>
          <w:color w:val="231F20"/>
          <w:spacing w:val="-8"/>
        </w:rPr>
        <w:t> </w:t>
      </w:r>
      <w:r>
        <w:rPr>
          <w:color w:val="231F20"/>
        </w:rPr>
        <w:t>norte.</w:t>
      </w:r>
      <w:r>
        <w:rPr>
          <w:color w:val="231F20"/>
          <w:spacing w:val="-8"/>
        </w:rPr>
        <w:t> </w:t>
      </w:r>
      <w:r>
        <w:rPr>
          <w:color w:val="231F20"/>
        </w:rPr>
        <w:t>Si</w:t>
      </w:r>
      <w:r>
        <w:rPr>
          <w:color w:val="231F20"/>
          <w:spacing w:val="-8"/>
        </w:rPr>
        <w:t> </w:t>
      </w:r>
      <w:r>
        <w:rPr>
          <w:color w:val="231F20"/>
        </w:rPr>
        <w:t>los</w:t>
      </w:r>
      <w:r>
        <w:rPr>
          <w:color w:val="231F20"/>
          <w:spacing w:val="-8"/>
        </w:rPr>
        <w:t> </w:t>
      </w:r>
      <w:r>
        <w:rPr>
          <w:color w:val="231F20"/>
        </w:rPr>
        <w:t>niveles</w:t>
      </w:r>
      <w:r>
        <w:rPr>
          <w:color w:val="231F20"/>
          <w:spacing w:val="-8"/>
        </w:rPr>
        <w:t> </w:t>
      </w:r>
      <w:r>
        <w:rPr>
          <w:color w:val="231F20"/>
        </w:rPr>
        <w:t>de</w:t>
      </w:r>
      <w:r>
        <w:rPr>
          <w:color w:val="231F20"/>
          <w:spacing w:val="-8"/>
        </w:rPr>
        <w:t> </w:t>
      </w:r>
      <w:r>
        <w:rPr>
          <w:color w:val="231F20"/>
        </w:rPr>
        <w:t>escolaridad</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migrantes mexicanos trajeron consigo a Estados Unidos se hubieran alcanzado en las escuelas públicas de ese país, el costo educativo habría sido de 613 mmdd, a precios constantes de 2008, en el mismo periodo. Las remesas canalizadas</w:t>
      </w:r>
      <w:r>
        <w:rPr>
          <w:color w:val="231F20"/>
          <w:spacing w:val="-9"/>
        </w:rPr>
        <w:t> </w:t>
      </w:r>
      <w:r>
        <w:rPr>
          <w:color w:val="231F20"/>
        </w:rPr>
        <w:t>a</w:t>
      </w:r>
      <w:r>
        <w:rPr>
          <w:color w:val="231F20"/>
          <w:spacing w:val="-8"/>
        </w:rPr>
        <w:t> </w:t>
      </w:r>
      <w:r>
        <w:rPr>
          <w:color w:val="231F20"/>
        </w:rPr>
        <w:t>México,</w:t>
      </w:r>
      <w:r>
        <w:rPr>
          <w:color w:val="231F20"/>
          <w:spacing w:val="-8"/>
        </w:rPr>
        <w:t> </w:t>
      </w:r>
      <w:r>
        <w:rPr>
          <w:color w:val="231F20"/>
        </w:rPr>
        <w:t>que</w:t>
      </w:r>
      <w:r>
        <w:rPr>
          <w:color w:val="231F20"/>
          <w:spacing w:val="-8"/>
        </w:rPr>
        <w:t> </w:t>
      </w:r>
      <w:r>
        <w:rPr>
          <w:color w:val="231F20"/>
        </w:rPr>
        <w:t>suelen</w:t>
      </w:r>
      <w:r>
        <w:rPr>
          <w:color w:val="231F20"/>
          <w:spacing w:val="-8"/>
        </w:rPr>
        <w:t> </w:t>
      </w:r>
      <w:r>
        <w:rPr>
          <w:color w:val="231F20"/>
        </w:rPr>
        <w:t>ser</w:t>
      </w:r>
      <w:r>
        <w:rPr>
          <w:color w:val="231F20"/>
          <w:spacing w:val="-8"/>
        </w:rPr>
        <w:t> </w:t>
      </w:r>
      <w:r>
        <w:rPr>
          <w:color w:val="231F20"/>
        </w:rPr>
        <w:t>consideradas</w:t>
      </w:r>
      <w:r>
        <w:rPr>
          <w:color w:val="231F20"/>
          <w:spacing w:val="-9"/>
        </w:rPr>
        <w:t> </w:t>
      </w:r>
      <w:r>
        <w:rPr>
          <w:color w:val="231F20"/>
        </w:rPr>
        <w:t>una</w:t>
      </w:r>
      <w:r>
        <w:rPr>
          <w:color w:val="231F20"/>
          <w:spacing w:val="-8"/>
        </w:rPr>
        <w:t> </w:t>
      </w:r>
      <w:r>
        <w:rPr>
          <w:color w:val="231F20"/>
        </w:rPr>
        <w:t>pérdida</w:t>
      </w:r>
      <w:r>
        <w:rPr>
          <w:color w:val="231F20"/>
          <w:spacing w:val="-8"/>
        </w:rPr>
        <w:t> </w:t>
      </w:r>
      <w:r>
        <w:rPr>
          <w:color w:val="231F20"/>
        </w:rPr>
        <w:t>de</w:t>
      </w:r>
      <w:r>
        <w:rPr>
          <w:color w:val="231F20"/>
          <w:spacing w:val="-8"/>
        </w:rPr>
        <w:t> </w:t>
      </w:r>
      <w:r>
        <w:rPr>
          <w:color w:val="231F20"/>
        </w:rPr>
        <w:t>recursos para Estados Unidos, habrían alcanzado apenas 30 por ciento del recurso educativo transferido a éste nación por la fuerza de trabajo migrante de origen mexicano (Delgado y Olvera,</w:t>
      </w:r>
      <w:r>
        <w:rPr>
          <w:color w:val="231F20"/>
          <w:spacing w:val="-7"/>
        </w:rPr>
        <w:t> </w:t>
      </w:r>
      <w:r>
        <w:rPr>
          <w:color w:val="231F20"/>
        </w:rPr>
        <w:t>2012).</w:t>
      </w:r>
    </w:p>
    <w:p>
      <w:pPr>
        <w:pStyle w:val="BodyText"/>
        <w:spacing w:line="247" w:lineRule="auto"/>
        <w:ind w:left="117" w:right="114" w:firstLine="283"/>
        <w:jc w:val="both"/>
      </w:pPr>
      <w:r>
        <w:rPr>
          <w:color w:val="231F20"/>
        </w:rPr>
        <w:t>Además del costo educativo, la migración implica una transferencia de recursos</w:t>
      </w:r>
      <w:r>
        <w:rPr>
          <w:color w:val="231F20"/>
          <w:spacing w:val="-5"/>
        </w:rPr>
        <w:t> </w:t>
      </w:r>
      <w:r>
        <w:rPr>
          <w:color w:val="231F20"/>
        </w:rPr>
        <w:t>invertidos</w:t>
      </w:r>
      <w:r>
        <w:rPr>
          <w:color w:val="231F20"/>
          <w:spacing w:val="-5"/>
        </w:rPr>
        <w:t> </w:t>
      </w:r>
      <w:r>
        <w:rPr>
          <w:color w:val="231F20"/>
        </w:rPr>
        <w:t>en</w:t>
      </w:r>
      <w:r>
        <w:rPr>
          <w:color w:val="231F20"/>
          <w:spacing w:val="-5"/>
        </w:rPr>
        <w:t> </w:t>
      </w:r>
      <w:r>
        <w:rPr>
          <w:color w:val="231F20"/>
        </w:rPr>
        <w:t>reproducción</w:t>
      </w:r>
      <w:r>
        <w:rPr>
          <w:color w:val="231F20"/>
          <w:spacing w:val="-5"/>
        </w:rPr>
        <w:t> </w:t>
      </w:r>
      <w:r>
        <w:rPr>
          <w:color w:val="231F20"/>
        </w:rPr>
        <w:t>social,</w:t>
      </w:r>
      <w:r>
        <w:rPr>
          <w:color w:val="231F20"/>
          <w:spacing w:val="-4"/>
        </w:rPr>
        <w:t> </w:t>
      </w:r>
      <w:r>
        <w:rPr>
          <w:color w:val="231F20"/>
        </w:rPr>
        <w:t>es</w:t>
      </w:r>
      <w:r>
        <w:rPr>
          <w:color w:val="231F20"/>
          <w:spacing w:val="-5"/>
        </w:rPr>
        <w:t> </w:t>
      </w:r>
      <w:r>
        <w:rPr>
          <w:color w:val="231F20"/>
        </w:rPr>
        <w:t>decir,</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formación</w:t>
      </w:r>
      <w:r>
        <w:rPr>
          <w:color w:val="231F20"/>
          <w:spacing w:val="-5"/>
        </w:rPr>
        <w:t> </w:t>
      </w:r>
      <w:r>
        <w:rPr>
          <w:color w:val="231F20"/>
        </w:rPr>
        <w:t>de</w:t>
      </w:r>
      <w:r>
        <w:rPr>
          <w:color w:val="231F20"/>
          <w:spacing w:val="-5"/>
        </w:rPr>
        <w:t> </w:t>
      </w:r>
      <w:r>
        <w:rPr>
          <w:color w:val="231F20"/>
        </w:rPr>
        <w:t>las personas</w:t>
      </w:r>
      <w:r>
        <w:rPr>
          <w:color w:val="231F20"/>
          <w:spacing w:val="-6"/>
        </w:rPr>
        <w:t> </w:t>
      </w:r>
      <w:r>
        <w:rPr>
          <w:color w:val="231F20"/>
        </w:rPr>
        <w:t>antes</w:t>
      </w:r>
      <w:r>
        <w:rPr>
          <w:color w:val="231F20"/>
          <w:spacing w:val="-6"/>
        </w:rPr>
        <w:t> </w:t>
      </w:r>
      <w:r>
        <w:rPr>
          <w:color w:val="231F20"/>
        </w:rPr>
        <w:t>de</w:t>
      </w:r>
      <w:r>
        <w:rPr>
          <w:color w:val="231F20"/>
          <w:spacing w:val="-6"/>
        </w:rPr>
        <w:t> </w:t>
      </w:r>
      <w:r>
        <w:rPr>
          <w:color w:val="231F20"/>
        </w:rPr>
        <w:t>emigrar.</w:t>
      </w:r>
      <w:r>
        <w:rPr>
          <w:color w:val="231F20"/>
          <w:spacing w:val="-6"/>
        </w:rPr>
        <w:t> </w:t>
      </w:r>
      <w:r>
        <w:rPr>
          <w:color w:val="231F20"/>
        </w:rPr>
        <w:t>Estos</w:t>
      </w:r>
      <w:r>
        <w:rPr>
          <w:color w:val="231F20"/>
          <w:spacing w:val="-6"/>
        </w:rPr>
        <w:t> </w:t>
      </w:r>
      <w:r>
        <w:rPr>
          <w:color w:val="231F20"/>
        </w:rPr>
        <w:t>costos</w:t>
      </w:r>
      <w:r>
        <w:rPr>
          <w:color w:val="231F20"/>
          <w:spacing w:val="-6"/>
        </w:rPr>
        <w:t> </w:t>
      </w:r>
      <w:r>
        <w:rPr>
          <w:color w:val="231F20"/>
        </w:rPr>
        <w:t>incluyen</w:t>
      </w:r>
      <w:r>
        <w:rPr>
          <w:color w:val="231F20"/>
          <w:spacing w:val="-6"/>
        </w:rPr>
        <w:t> </w:t>
      </w:r>
      <w:r>
        <w:rPr>
          <w:color w:val="231F20"/>
        </w:rPr>
        <w:t>una</w:t>
      </w:r>
      <w:r>
        <w:rPr>
          <w:color w:val="231F20"/>
          <w:spacing w:val="-6"/>
        </w:rPr>
        <w:t> </w:t>
      </w:r>
      <w:r>
        <w:rPr>
          <w:color w:val="231F20"/>
        </w:rPr>
        <w:t>diversidad</w:t>
      </w:r>
      <w:r>
        <w:rPr>
          <w:color w:val="231F20"/>
          <w:spacing w:val="-5"/>
        </w:rPr>
        <w:t> </w:t>
      </w:r>
      <w:r>
        <w:rPr>
          <w:color w:val="231F20"/>
        </w:rPr>
        <w:t>de</w:t>
      </w:r>
      <w:r>
        <w:rPr>
          <w:color w:val="231F20"/>
          <w:spacing w:val="-6"/>
        </w:rPr>
        <w:t> </w:t>
      </w:r>
      <w:r>
        <w:rPr>
          <w:color w:val="231F20"/>
        </w:rPr>
        <w:t>rubros, como el bienestar público, programas sociales y gastos familiares (Entre ellos una porción notable de las remesas, que contribuyen a la formación de una nueva fuerza laboral emigrante). Estos costos, difíciles de medir, constituyen la base socioeconómica para la formación de capital humano. A</w:t>
      </w:r>
      <w:r>
        <w:rPr>
          <w:color w:val="231F20"/>
          <w:spacing w:val="-20"/>
        </w:rPr>
        <w:t> </w:t>
      </w:r>
      <w:r>
        <w:rPr>
          <w:color w:val="231F20"/>
        </w:rPr>
        <w:t>partir</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canasta</w:t>
      </w:r>
      <w:r>
        <w:rPr>
          <w:color w:val="231F20"/>
          <w:spacing w:val="-8"/>
        </w:rPr>
        <w:t> </w:t>
      </w:r>
      <w:r>
        <w:rPr>
          <w:color w:val="231F20"/>
        </w:rPr>
        <w:t>básica</w:t>
      </w:r>
      <w:r>
        <w:rPr>
          <w:color w:val="231F20"/>
          <w:spacing w:val="-8"/>
        </w:rPr>
        <w:t> </w:t>
      </w:r>
      <w:r>
        <w:rPr>
          <w:color w:val="231F20"/>
        </w:rPr>
        <w:t>estimada</w:t>
      </w:r>
      <w:r>
        <w:rPr>
          <w:color w:val="231F20"/>
          <w:spacing w:val="-8"/>
        </w:rPr>
        <w:t> </w:t>
      </w:r>
      <w:r>
        <w:rPr>
          <w:color w:val="231F20"/>
        </w:rPr>
        <w:t>por</w:t>
      </w:r>
      <w:r>
        <w:rPr>
          <w:color w:val="231F20"/>
          <w:spacing w:val="-8"/>
        </w:rPr>
        <w:t> </w:t>
      </w:r>
      <w:r>
        <w:rPr>
          <w:color w:val="231F20"/>
        </w:rPr>
        <w:t>el</w:t>
      </w:r>
      <w:r>
        <w:rPr>
          <w:color w:val="231F20"/>
          <w:spacing w:val="-8"/>
        </w:rPr>
        <w:t> </w:t>
      </w:r>
      <w:r>
        <w:rPr>
          <w:color w:val="231F20"/>
        </w:rPr>
        <w:t>Consejo</w:t>
      </w:r>
      <w:r>
        <w:rPr>
          <w:color w:val="231F20"/>
          <w:spacing w:val="-8"/>
        </w:rPr>
        <w:t> </w:t>
      </w:r>
      <w:r>
        <w:rPr>
          <w:color w:val="231F20"/>
        </w:rPr>
        <w:t>Nacional</w:t>
      </w:r>
      <w:r>
        <w:rPr>
          <w:color w:val="231F20"/>
          <w:spacing w:val="-7"/>
        </w:rPr>
        <w:t> </w:t>
      </w:r>
      <w:r>
        <w:rPr>
          <w:color w:val="231F20"/>
        </w:rPr>
        <w:t>para</w:t>
      </w:r>
      <w:r>
        <w:rPr>
          <w:color w:val="231F20"/>
          <w:spacing w:val="-8"/>
        </w:rPr>
        <w:t> </w:t>
      </w:r>
      <w:r>
        <w:rPr>
          <w:color w:val="231F20"/>
        </w:rPr>
        <w:t>la</w:t>
      </w:r>
      <w:r>
        <w:rPr>
          <w:color w:val="231F20"/>
          <w:spacing w:val="-8"/>
        </w:rPr>
        <w:t> </w:t>
      </w:r>
      <w:r>
        <w:rPr>
          <w:color w:val="231F20"/>
        </w:rPr>
        <w:t>Eva- luación de la Política de Desarrollo Social, como una expresión del costo de vida, el SIMDE ha calculado que México transfirió 257 mmdd</w:t>
      </w:r>
      <w:r>
        <w:rPr>
          <w:color w:val="231F20"/>
          <w:spacing w:val="-24"/>
        </w:rPr>
        <w:t> </w:t>
      </w:r>
      <w:r>
        <w:rPr>
          <w:color w:val="231F20"/>
        </w:rPr>
        <w:t>(precios de 2008) a Estados Unidos entre 1994 y 2008 </w:t>
      </w:r>
      <w:r>
        <w:rPr>
          <w:color w:val="231F20"/>
          <w:spacing w:val="-4"/>
        </w:rPr>
        <w:t>(CONEVAL, </w:t>
      </w:r>
      <w:r>
        <w:rPr>
          <w:color w:val="231F20"/>
        </w:rPr>
        <w:t>2008). Esto representa 1.4 veces la cantidad total de remesas recibidas durante este periodo (Delgado y Olvera,</w:t>
      </w:r>
      <w:r>
        <w:rPr>
          <w:color w:val="231F20"/>
          <w:spacing w:val="-6"/>
        </w:rPr>
        <w:t> </w:t>
      </w:r>
      <w:r>
        <w:rPr>
          <w:color w:val="231F20"/>
        </w:rPr>
        <w:t>2012).</w:t>
      </w:r>
    </w:p>
    <w:p>
      <w:pPr>
        <w:pStyle w:val="BodyText"/>
        <w:spacing w:line="247" w:lineRule="auto"/>
        <w:ind w:left="117" w:right="115" w:firstLine="283"/>
        <w:jc w:val="both"/>
      </w:pPr>
      <w:r>
        <w:rPr>
          <w:color w:val="231F20"/>
        </w:rPr>
        <w:t>La sumatoria de los costos sociales y educativos (en los términos con- servadores  apuntados, basados en educación pública  y canasta     básica)</w:t>
      </w:r>
    </w:p>
    <w:p>
      <w:pPr>
        <w:spacing w:after="0" w:line="247" w:lineRule="auto"/>
        <w:jc w:val="both"/>
        <w:sectPr>
          <w:footerReference w:type="default" r:id="rId147"/>
          <w:pgSz w:w="9360" w:h="13040"/>
          <w:pgMar w:footer="496" w:header="0" w:top="840" w:bottom="680" w:left="1300" w:right="1300"/>
          <w:pgNumType w:start="166"/>
        </w:sectPr>
      </w:pPr>
    </w:p>
    <w:p>
      <w:pPr>
        <w:spacing w:before="45"/>
        <w:ind w:left="117" w:right="0" w:firstLine="694"/>
        <w:jc w:val="left"/>
        <w:rPr>
          <w:rFonts w:ascii="Arial" w:hAnsi="Arial"/>
          <w:i/>
          <w:sz w:val="20"/>
        </w:rPr>
      </w:pP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participación</w:t>
      </w:r>
      <w:r>
        <w:rPr>
          <w:rFonts w:ascii="Arial" w:hAnsi="Arial"/>
          <w:color w:val="231F20"/>
          <w:spacing w:val="-15"/>
          <w:w w:val="70"/>
          <w:sz w:val="20"/>
        </w:rPr>
        <w:t> </w:t>
      </w:r>
      <w:r>
        <w:rPr>
          <w:rFonts w:ascii="Arial" w:hAnsi="Arial"/>
          <w:color w:val="231F20"/>
          <w:w w:val="70"/>
          <w:sz w:val="20"/>
        </w:rPr>
        <w:t>de</w:t>
      </w:r>
      <w:r>
        <w:rPr>
          <w:rFonts w:ascii="Arial" w:hAnsi="Arial"/>
          <w:color w:val="231F20"/>
          <w:spacing w:val="-15"/>
          <w:w w:val="70"/>
          <w:sz w:val="20"/>
        </w:rPr>
        <w:t> </w:t>
      </w:r>
      <w:r>
        <w:rPr>
          <w:rFonts w:ascii="Arial" w:hAnsi="Arial"/>
          <w:color w:val="231F20"/>
          <w:w w:val="70"/>
          <w:sz w:val="20"/>
        </w:rPr>
        <w:t>los</w:t>
      </w:r>
      <w:r>
        <w:rPr>
          <w:rFonts w:ascii="Arial" w:hAnsi="Arial"/>
          <w:color w:val="231F20"/>
          <w:spacing w:val="-15"/>
          <w:w w:val="70"/>
          <w:sz w:val="20"/>
        </w:rPr>
        <w:t> </w:t>
      </w:r>
      <w:r>
        <w:rPr>
          <w:rFonts w:ascii="Arial" w:hAnsi="Arial"/>
          <w:color w:val="231F20"/>
          <w:w w:val="70"/>
          <w:sz w:val="20"/>
        </w:rPr>
        <w:t>migrantes</w:t>
      </w:r>
      <w:r>
        <w:rPr>
          <w:rFonts w:ascii="Arial" w:hAnsi="Arial"/>
          <w:color w:val="231F20"/>
          <w:spacing w:val="-15"/>
          <w:w w:val="70"/>
          <w:sz w:val="20"/>
        </w:rPr>
        <w:t> </w:t>
      </w:r>
      <w:r>
        <w:rPr>
          <w:rFonts w:ascii="Arial" w:hAnsi="Arial"/>
          <w:color w:val="231F20"/>
          <w:w w:val="70"/>
          <w:sz w:val="20"/>
        </w:rPr>
        <w:t>mexicanos</w:t>
      </w:r>
      <w:r>
        <w:rPr>
          <w:rFonts w:ascii="Arial" w:hAnsi="Arial"/>
          <w:color w:val="231F20"/>
          <w:spacing w:val="-15"/>
          <w:w w:val="70"/>
          <w:sz w:val="20"/>
        </w:rPr>
        <w:t> </w:t>
      </w:r>
      <w:r>
        <w:rPr>
          <w:rFonts w:ascii="Arial" w:hAnsi="Arial"/>
          <w:color w:val="231F20"/>
          <w:w w:val="70"/>
          <w:sz w:val="20"/>
        </w:rPr>
        <w:t>en</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economía...</w:t>
      </w:r>
      <w:r>
        <w:rPr>
          <w:rFonts w:ascii="Arial" w:hAnsi="Arial"/>
          <w:color w:val="231F20"/>
          <w:spacing w:val="-15"/>
          <w:w w:val="70"/>
          <w:sz w:val="20"/>
        </w:rPr>
        <w:t> </w:t>
      </w:r>
      <w:r>
        <w:rPr>
          <w:rFonts w:ascii="Arial" w:hAnsi="Arial"/>
          <w:color w:val="231F20"/>
          <w:w w:val="70"/>
          <w:sz w:val="20"/>
        </w:rPr>
        <w:t>/Esther</w:t>
      </w:r>
      <w:r>
        <w:rPr>
          <w:rFonts w:ascii="Arial" w:hAnsi="Arial"/>
          <w:color w:val="231F20"/>
          <w:spacing w:val="-22"/>
          <w:w w:val="70"/>
          <w:sz w:val="20"/>
        </w:rPr>
        <w:t> </w:t>
      </w:r>
      <w:r>
        <w:rPr>
          <w:rFonts w:ascii="Arial" w:hAnsi="Arial"/>
          <w:color w:val="231F20"/>
          <w:w w:val="70"/>
          <w:sz w:val="20"/>
        </w:rPr>
        <w:t>Figueroa-Hernández</w:t>
      </w:r>
      <w:r>
        <w:rPr>
          <w:rFonts w:ascii="Arial" w:hAnsi="Arial"/>
          <w:color w:val="231F20"/>
          <w:spacing w:val="-22"/>
          <w:w w:val="70"/>
          <w:sz w:val="20"/>
        </w:rPr>
        <w:t> </w:t>
      </w:r>
      <w:r>
        <w:rPr>
          <w:rFonts w:ascii="Arial" w:hAnsi="Arial"/>
          <w:i/>
          <w:color w:val="231F20"/>
          <w:w w:val="70"/>
          <w:sz w:val="20"/>
        </w:rPr>
        <w:t>et</w:t>
      </w:r>
      <w:r>
        <w:rPr>
          <w:rFonts w:ascii="Arial" w:hAnsi="Arial"/>
          <w:i/>
          <w:color w:val="231F20"/>
          <w:spacing w:val="-22"/>
          <w:w w:val="70"/>
          <w:sz w:val="20"/>
        </w:rPr>
        <w:t> </w:t>
      </w:r>
      <w:r>
        <w:rPr>
          <w:rFonts w:ascii="Arial" w:hAnsi="Arial"/>
          <w:i/>
          <w:color w:val="231F20"/>
          <w:w w:val="70"/>
          <w:sz w:val="20"/>
        </w:rPr>
        <w:t>al.</w:t>
      </w:r>
    </w:p>
    <w:p>
      <w:pPr>
        <w:pStyle w:val="BodyText"/>
        <w:spacing w:before="7"/>
        <w:rPr>
          <w:rFonts w:ascii="Arial"/>
          <w:i/>
          <w:sz w:val="28"/>
        </w:rPr>
      </w:pPr>
    </w:p>
    <w:p>
      <w:pPr>
        <w:pStyle w:val="BodyText"/>
        <w:spacing w:line="247" w:lineRule="auto"/>
        <w:ind w:left="117" w:right="114"/>
        <w:jc w:val="both"/>
      </w:pPr>
      <w:r>
        <w:rPr>
          <w:color w:val="231F20"/>
        </w:rPr>
        <w:t>arroja un total de 340 mmdd, lo que implica 1.8 veces la cantidad de</w:t>
      </w:r>
      <w:r>
        <w:rPr>
          <w:color w:val="231F20"/>
          <w:spacing w:val="-28"/>
        </w:rPr>
        <w:t> </w:t>
      </w:r>
      <w:r>
        <w:rPr>
          <w:color w:val="231F20"/>
        </w:rPr>
        <w:t>todas las remesas enviadas a México entre 1994 y 2008. Esta estimación es</w:t>
      </w:r>
      <w:r>
        <w:rPr>
          <w:color w:val="231F20"/>
          <w:spacing w:val="-25"/>
        </w:rPr>
        <w:t> </w:t>
      </w:r>
      <w:r>
        <w:rPr>
          <w:color w:val="231F20"/>
        </w:rPr>
        <w:t>muy baja, pues valora los servicios proporcionados en México, en vez de ha- cerlo en términos de costos de oportunidad de estos servicios en Estados Unidos.</w:t>
      </w:r>
      <w:r>
        <w:rPr>
          <w:color w:val="231F20"/>
          <w:spacing w:val="-24"/>
        </w:rPr>
        <w:t> </w:t>
      </w:r>
      <w:r>
        <w:rPr>
          <w:color w:val="231F20"/>
        </w:rPr>
        <w:t>A</w:t>
      </w:r>
      <w:r>
        <w:rPr>
          <w:color w:val="231F20"/>
          <w:spacing w:val="-24"/>
        </w:rPr>
        <w:t> </w:t>
      </w:r>
      <w:r>
        <w:rPr>
          <w:color w:val="231F20"/>
        </w:rPr>
        <w:t>precios</w:t>
      </w:r>
      <w:r>
        <w:rPr>
          <w:color w:val="231F20"/>
          <w:spacing w:val="-12"/>
        </w:rPr>
        <w:t> </w:t>
      </w:r>
      <w:r>
        <w:rPr>
          <w:color w:val="231F20"/>
        </w:rPr>
        <w:t>de</w:t>
      </w:r>
      <w:r>
        <w:rPr>
          <w:color w:val="231F20"/>
          <w:spacing w:val="-12"/>
        </w:rPr>
        <w:t> </w:t>
      </w:r>
      <w:r>
        <w:rPr>
          <w:color w:val="231F20"/>
        </w:rPr>
        <w:t>este</w:t>
      </w:r>
      <w:r>
        <w:rPr>
          <w:color w:val="231F20"/>
          <w:spacing w:val="-12"/>
        </w:rPr>
        <w:t> </w:t>
      </w:r>
      <w:r>
        <w:rPr>
          <w:color w:val="231F20"/>
        </w:rPr>
        <w:t>país,</w:t>
      </w:r>
      <w:r>
        <w:rPr>
          <w:color w:val="231F20"/>
          <w:spacing w:val="-12"/>
        </w:rPr>
        <w:t> </w:t>
      </w:r>
      <w:r>
        <w:rPr>
          <w:color w:val="231F20"/>
        </w:rPr>
        <w:t>como</w:t>
      </w:r>
      <w:r>
        <w:rPr>
          <w:color w:val="231F20"/>
          <w:spacing w:val="-12"/>
        </w:rPr>
        <w:t> </w:t>
      </w:r>
      <w:r>
        <w:rPr>
          <w:color w:val="231F20"/>
        </w:rPr>
        <w:t>se</w:t>
      </w:r>
      <w:r>
        <w:rPr>
          <w:color w:val="231F20"/>
          <w:spacing w:val="-12"/>
        </w:rPr>
        <w:t> </w:t>
      </w:r>
      <w:r>
        <w:rPr>
          <w:color w:val="231F20"/>
        </w:rPr>
        <w:t>ha</w:t>
      </w:r>
      <w:r>
        <w:rPr>
          <w:color w:val="231F20"/>
          <w:spacing w:val="-12"/>
        </w:rPr>
        <w:t> </w:t>
      </w:r>
      <w:r>
        <w:rPr>
          <w:color w:val="231F20"/>
        </w:rPr>
        <w:t>visto,</w:t>
      </w:r>
      <w:r>
        <w:rPr>
          <w:color w:val="231F20"/>
          <w:spacing w:val="-12"/>
        </w:rPr>
        <w:t> </w:t>
      </w:r>
      <w:r>
        <w:rPr>
          <w:color w:val="231F20"/>
        </w:rPr>
        <w:t>el</w:t>
      </w:r>
      <w:r>
        <w:rPr>
          <w:color w:val="231F20"/>
          <w:spacing w:val="-12"/>
        </w:rPr>
        <w:t> </w:t>
      </w:r>
      <w:r>
        <w:rPr>
          <w:color w:val="231F20"/>
        </w:rPr>
        <w:t>valor</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transferencia educativa</w:t>
      </w:r>
      <w:r>
        <w:rPr>
          <w:color w:val="231F20"/>
          <w:spacing w:val="-5"/>
        </w:rPr>
        <w:t> </w:t>
      </w:r>
      <w:r>
        <w:rPr>
          <w:color w:val="231F20"/>
        </w:rPr>
        <w:t>salta</w:t>
      </w:r>
      <w:r>
        <w:rPr>
          <w:color w:val="231F20"/>
          <w:spacing w:val="-5"/>
        </w:rPr>
        <w:t> </w:t>
      </w:r>
      <w:r>
        <w:rPr>
          <w:color w:val="231F20"/>
        </w:rPr>
        <w:t>7.4</w:t>
      </w:r>
      <w:r>
        <w:rPr>
          <w:color w:val="231F20"/>
          <w:spacing w:val="-5"/>
        </w:rPr>
        <w:t> </w:t>
      </w:r>
      <w:r>
        <w:rPr>
          <w:color w:val="231F20"/>
        </w:rPr>
        <w:t>veces</w:t>
      </w:r>
      <w:r>
        <w:rPr>
          <w:color w:val="231F20"/>
          <w:spacing w:val="-4"/>
        </w:rPr>
        <w:t> </w:t>
      </w:r>
      <w:r>
        <w:rPr>
          <w:color w:val="231F20"/>
        </w:rPr>
        <w:t>respecto</w:t>
      </w:r>
      <w:r>
        <w:rPr>
          <w:color w:val="231F20"/>
          <w:spacing w:val="-4"/>
        </w:rPr>
        <w:t> </w:t>
      </w:r>
      <w:r>
        <w:rPr>
          <w:color w:val="231F20"/>
        </w:rPr>
        <w:t>a</w:t>
      </w:r>
      <w:r>
        <w:rPr>
          <w:color w:val="231F20"/>
          <w:spacing w:val="-5"/>
        </w:rPr>
        <w:t> </w:t>
      </w:r>
      <w:r>
        <w:rPr>
          <w:color w:val="231F20"/>
        </w:rPr>
        <w:t>los</w:t>
      </w:r>
      <w:r>
        <w:rPr>
          <w:color w:val="231F20"/>
          <w:spacing w:val="-5"/>
        </w:rPr>
        <w:t> </w:t>
      </w:r>
      <w:r>
        <w:rPr>
          <w:color w:val="231F20"/>
        </w:rPr>
        <w:t>83</w:t>
      </w:r>
      <w:r>
        <w:rPr>
          <w:color w:val="231F20"/>
          <w:spacing w:val="-5"/>
        </w:rPr>
        <w:t> </w:t>
      </w:r>
      <w:r>
        <w:rPr>
          <w:color w:val="231F20"/>
        </w:rPr>
        <w:t>mmdd</w:t>
      </w:r>
      <w:r>
        <w:rPr>
          <w:color w:val="231F20"/>
          <w:spacing w:val="-5"/>
        </w:rPr>
        <w:t> </w:t>
      </w:r>
      <w:r>
        <w:rPr>
          <w:color w:val="231F20"/>
        </w:rPr>
        <w:t>estimados</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SIMDE para los años 1994-2008 (Delgado y Olvera, 2012).</w:t>
      </w:r>
    </w:p>
    <w:p>
      <w:pPr>
        <w:pStyle w:val="BodyText"/>
        <w:spacing w:line="247" w:lineRule="auto"/>
        <w:ind w:left="117" w:right="115" w:firstLine="283"/>
        <w:jc w:val="both"/>
      </w:pPr>
      <w:r>
        <w:rPr>
          <w:color w:val="231F20"/>
        </w:rPr>
        <w:t>El cálculo de la transferencia de la migración comienza con el inmi- grante que ya está en Estados Unidos. Es decir, los costos educativos y de reproducción socioeconómica efectuados en México no forman parte del cálculo. Si se incluyesen las transferencias de México a Estados Unidos y fuesen parte de un cálculo ajustado al valor equivalente al poder adquisi- tivo en dólares, sería más que evidente que la sociedad mexicana subsidia a la economía estadounidense a través de la migración laboral. Se trata claramente de una modalidad de intercambio desigual entre ambos países que no suele ser reconocida y cambia radicalmente las percepciones que comúnmente</w:t>
      </w:r>
      <w:r>
        <w:rPr>
          <w:color w:val="231F20"/>
          <w:spacing w:val="-9"/>
        </w:rPr>
        <w:t> </w:t>
      </w:r>
      <w:r>
        <w:rPr>
          <w:color w:val="231F20"/>
        </w:rPr>
        <w:t>se</w:t>
      </w:r>
      <w:r>
        <w:rPr>
          <w:color w:val="231F20"/>
          <w:spacing w:val="-8"/>
        </w:rPr>
        <w:t> </w:t>
      </w:r>
      <w:r>
        <w:rPr>
          <w:color w:val="231F20"/>
        </w:rPr>
        <w:t>tienen</w:t>
      </w:r>
      <w:r>
        <w:rPr>
          <w:color w:val="231F20"/>
          <w:spacing w:val="-9"/>
        </w:rPr>
        <w:t> </w:t>
      </w:r>
      <w:r>
        <w:rPr>
          <w:color w:val="231F20"/>
        </w:rPr>
        <w:t>del</w:t>
      </w:r>
      <w:r>
        <w:rPr>
          <w:color w:val="231F20"/>
          <w:spacing w:val="-8"/>
        </w:rPr>
        <w:t> </w:t>
      </w:r>
      <w:r>
        <w:rPr>
          <w:color w:val="231F20"/>
        </w:rPr>
        <w:t>fenómeno</w:t>
      </w:r>
      <w:r>
        <w:rPr>
          <w:color w:val="231F20"/>
          <w:spacing w:val="-8"/>
        </w:rPr>
        <w:t> </w:t>
      </w:r>
      <w:r>
        <w:rPr>
          <w:color w:val="231F20"/>
        </w:rPr>
        <w:t>migratorio</w:t>
      </w:r>
      <w:r>
        <w:rPr>
          <w:color w:val="231F20"/>
          <w:spacing w:val="-9"/>
        </w:rPr>
        <w:t> </w:t>
      </w:r>
      <w:r>
        <w:rPr>
          <w:color w:val="231F20"/>
        </w:rPr>
        <w:t>(Delgado</w:t>
      </w:r>
      <w:r>
        <w:rPr>
          <w:color w:val="231F20"/>
          <w:spacing w:val="-8"/>
        </w:rPr>
        <w:t> </w:t>
      </w:r>
      <w:r>
        <w:rPr>
          <w:color w:val="231F20"/>
        </w:rPr>
        <w:t>y</w:t>
      </w:r>
      <w:r>
        <w:rPr>
          <w:color w:val="231F20"/>
          <w:spacing w:val="-8"/>
        </w:rPr>
        <w:t> </w:t>
      </w:r>
      <w:r>
        <w:rPr>
          <w:color w:val="231F20"/>
        </w:rPr>
        <w:t>Olvera,</w:t>
      </w:r>
      <w:r>
        <w:rPr>
          <w:color w:val="231F20"/>
          <w:spacing w:val="-8"/>
        </w:rPr>
        <w:t> </w:t>
      </w:r>
      <w:r>
        <w:rPr>
          <w:color w:val="231F20"/>
        </w:rPr>
        <w:t>2012).</w:t>
      </w:r>
    </w:p>
    <w:p>
      <w:pPr>
        <w:pStyle w:val="Heading3"/>
      </w:pPr>
      <w:r>
        <w:rPr>
          <w:color w:val="231F20"/>
        </w:rPr>
        <w:t>Conclusiones</w:t>
      </w:r>
    </w:p>
    <w:p>
      <w:pPr>
        <w:pStyle w:val="BodyText"/>
        <w:spacing w:line="247" w:lineRule="auto" w:before="172"/>
        <w:ind w:left="117" w:right="114"/>
        <w:jc w:val="both"/>
      </w:pPr>
      <w:r>
        <w:rPr>
          <w:color w:val="231F20"/>
        </w:rPr>
        <w:t>La desintegración familiar que ocasiona la migración provoca sin duda</w:t>
      </w:r>
      <w:r>
        <w:rPr>
          <w:color w:val="231F20"/>
          <w:spacing w:val="-36"/>
        </w:rPr>
        <w:t> </w:t>
      </w:r>
      <w:r>
        <w:rPr>
          <w:color w:val="231F20"/>
        </w:rPr>
        <w:t>se- rios desequilibrios sociales que afectan la vida comunitaria. Los hijos cre- cen sin la presencia y soporte de la figura paterna, en ocasiones incluso la materna.</w:t>
      </w:r>
      <w:r>
        <w:rPr>
          <w:color w:val="231F20"/>
          <w:spacing w:val="-10"/>
        </w:rPr>
        <w:t> </w:t>
      </w:r>
      <w:r>
        <w:rPr>
          <w:color w:val="231F20"/>
        </w:rPr>
        <w:t>Los</w:t>
      </w:r>
      <w:r>
        <w:rPr>
          <w:color w:val="231F20"/>
          <w:spacing w:val="-10"/>
        </w:rPr>
        <w:t> </w:t>
      </w:r>
      <w:r>
        <w:rPr>
          <w:color w:val="231F20"/>
        </w:rPr>
        <w:t>padres,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soledad</w:t>
      </w:r>
      <w:r>
        <w:rPr>
          <w:color w:val="231F20"/>
          <w:spacing w:val="-9"/>
        </w:rPr>
        <w:t> </w:t>
      </w:r>
      <w:r>
        <w:rPr>
          <w:color w:val="231F20"/>
        </w:rPr>
        <w:t>de</w:t>
      </w:r>
      <w:r>
        <w:rPr>
          <w:color w:val="231F20"/>
          <w:spacing w:val="-10"/>
        </w:rPr>
        <w:t> </w:t>
      </w:r>
      <w:r>
        <w:rPr>
          <w:color w:val="231F20"/>
        </w:rPr>
        <w:t>la</w:t>
      </w:r>
      <w:r>
        <w:rPr>
          <w:color w:val="231F20"/>
          <w:spacing w:val="-10"/>
        </w:rPr>
        <w:t> </w:t>
      </w:r>
      <w:r>
        <w:rPr>
          <w:color w:val="231F20"/>
        </w:rPr>
        <w:t>lejanía,</w:t>
      </w:r>
      <w:r>
        <w:rPr>
          <w:color w:val="231F20"/>
          <w:spacing w:val="-10"/>
        </w:rPr>
        <w:t> </w:t>
      </w:r>
      <w:r>
        <w:rPr>
          <w:color w:val="231F20"/>
        </w:rPr>
        <w:t>acrecientan</w:t>
      </w:r>
      <w:r>
        <w:rPr>
          <w:color w:val="231F20"/>
          <w:spacing w:val="-10"/>
        </w:rPr>
        <w:t> </w:t>
      </w:r>
      <w:r>
        <w:rPr>
          <w:color w:val="231F20"/>
        </w:rPr>
        <w:t>con</w:t>
      </w:r>
      <w:r>
        <w:rPr>
          <w:color w:val="231F20"/>
          <w:spacing w:val="-10"/>
        </w:rPr>
        <w:t> </w:t>
      </w:r>
      <w:r>
        <w:rPr>
          <w:color w:val="231F20"/>
        </w:rPr>
        <w:t>frecuencia las prácticas de infidelidad </w:t>
      </w:r>
      <w:r>
        <w:rPr>
          <w:color w:val="231F20"/>
          <w:spacing w:val="-8"/>
        </w:rPr>
        <w:t>y, </w:t>
      </w:r>
      <w:r>
        <w:rPr>
          <w:color w:val="231F20"/>
        </w:rPr>
        <w:t>en ocasiones, se involucran en otra respon- sabilidad familiar en los lugares de residencia. El precio que las familias pagan por incrementar sus expectativas de bienestar a través de la migra- ción, no es de ninguna manera insignificante. Las comunidades invierten durante varios años en la formación de sus jóvenes (alimentación,</w:t>
      </w:r>
      <w:r>
        <w:rPr>
          <w:color w:val="231F20"/>
          <w:spacing w:val="-25"/>
        </w:rPr>
        <w:t> </w:t>
      </w:r>
      <w:r>
        <w:rPr>
          <w:color w:val="231F20"/>
        </w:rPr>
        <w:t>vestido, atención médica, vivienda, educación, esparcimiento, etc.) y justamente cuando</w:t>
      </w:r>
      <w:r>
        <w:rPr>
          <w:color w:val="231F20"/>
          <w:spacing w:val="-6"/>
        </w:rPr>
        <w:t> </w:t>
      </w:r>
      <w:r>
        <w:rPr>
          <w:color w:val="231F20"/>
        </w:rPr>
        <w:t>están</w:t>
      </w:r>
      <w:r>
        <w:rPr>
          <w:color w:val="231F20"/>
          <w:spacing w:val="-6"/>
        </w:rPr>
        <w:t> </w:t>
      </w:r>
      <w:r>
        <w:rPr>
          <w:color w:val="231F20"/>
        </w:rPr>
        <w:t>en</w:t>
      </w:r>
      <w:r>
        <w:rPr>
          <w:color w:val="231F20"/>
          <w:spacing w:val="-6"/>
        </w:rPr>
        <w:t> </w:t>
      </w:r>
      <w:r>
        <w:rPr>
          <w:color w:val="231F20"/>
        </w:rPr>
        <w:t>edad</w:t>
      </w:r>
      <w:r>
        <w:rPr>
          <w:color w:val="231F20"/>
          <w:spacing w:val="-6"/>
        </w:rPr>
        <w:t> </w:t>
      </w:r>
      <w:r>
        <w:rPr>
          <w:color w:val="231F20"/>
        </w:rPr>
        <w:t>y</w:t>
      </w:r>
      <w:r>
        <w:rPr>
          <w:color w:val="231F20"/>
          <w:spacing w:val="-6"/>
        </w:rPr>
        <w:t> </w:t>
      </w:r>
      <w:r>
        <w:rPr>
          <w:color w:val="231F20"/>
        </w:rPr>
        <w:t>posibilidades</w:t>
      </w:r>
      <w:r>
        <w:rPr>
          <w:color w:val="231F20"/>
          <w:spacing w:val="-6"/>
        </w:rPr>
        <w:t> </w:t>
      </w:r>
      <w:r>
        <w:rPr>
          <w:color w:val="231F20"/>
        </w:rPr>
        <w:t>de</w:t>
      </w:r>
      <w:r>
        <w:rPr>
          <w:color w:val="231F20"/>
          <w:spacing w:val="-6"/>
        </w:rPr>
        <w:t> </w:t>
      </w:r>
      <w:r>
        <w:rPr>
          <w:color w:val="231F20"/>
        </w:rPr>
        <w:t>retribuir</w:t>
      </w:r>
      <w:r>
        <w:rPr>
          <w:color w:val="231F20"/>
          <w:spacing w:val="-6"/>
        </w:rPr>
        <w:t> </w:t>
      </w:r>
      <w:r>
        <w:rPr>
          <w:color w:val="231F20"/>
        </w:rPr>
        <w:t>por</w:t>
      </w:r>
      <w:r>
        <w:rPr>
          <w:color w:val="231F20"/>
          <w:spacing w:val="-6"/>
        </w:rPr>
        <w:t> </w:t>
      </w:r>
      <w:r>
        <w:rPr>
          <w:color w:val="231F20"/>
        </w:rPr>
        <w:t>este</w:t>
      </w:r>
      <w:r>
        <w:rPr>
          <w:color w:val="231F20"/>
          <w:spacing w:val="-6"/>
        </w:rPr>
        <w:t> </w:t>
      </w:r>
      <w:r>
        <w:rPr>
          <w:color w:val="231F20"/>
        </w:rPr>
        <w:t>respaldo</w:t>
      </w:r>
      <w:r>
        <w:rPr>
          <w:color w:val="231F20"/>
          <w:spacing w:val="-6"/>
        </w:rPr>
        <w:t> </w:t>
      </w:r>
      <w:r>
        <w:rPr>
          <w:color w:val="231F20"/>
        </w:rPr>
        <w:t>a</w:t>
      </w:r>
      <w:r>
        <w:rPr>
          <w:color w:val="231F20"/>
          <w:spacing w:val="-6"/>
        </w:rPr>
        <w:t> </w:t>
      </w:r>
      <w:r>
        <w:rPr>
          <w:color w:val="231F20"/>
        </w:rPr>
        <w:t>su</w:t>
      </w:r>
      <w:r>
        <w:rPr>
          <w:color w:val="231F20"/>
          <w:spacing w:val="-6"/>
        </w:rPr>
        <w:t> </w:t>
      </w:r>
      <w:r>
        <w:rPr>
          <w:color w:val="231F20"/>
        </w:rPr>
        <w:t>co- munidad y a su país, con su esfuerzo productivo, se lo llevan a canalizarlo en beneficio de otra comunidad y de otro país, que sin haber efectuado inversión previa alguna recibe el beneficio</w:t>
      </w:r>
      <w:r>
        <w:rPr>
          <w:color w:val="231F20"/>
          <w:spacing w:val="-12"/>
        </w:rPr>
        <w:t> </w:t>
      </w:r>
      <w:r>
        <w:rPr>
          <w:color w:val="231F20"/>
        </w:rPr>
        <w:t>directo.</w:t>
      </w:r>
    </w:p>
    <w:p>
      <w:pPr>
        <w:pStyle w:val="BodyText"/>
        <w:spacing w:line="247" w:lineRule="auto"/>
        <w:ind w:left="117" w:right="115" w:firstLine="283"/>
        <w:jc w:val="both"/>
      </w:pPr>
      <w:r>
        <w:rPr>
          <w:color w:val="231F20"/>
        </w:rPr>
        <w:t>En este proceso se llega casi de manera inevitable a una fase en que emigran las familias completas, lo que influye en la reducción del importe de las remesas y las aportaciones globales. En la actualidad, comienzan a emigrar en proporción creciente las mujeres solteras, con lo que se dismi- nuye un incentivo especial para que los migrantes jóvenes visiten y vuel- van a sus comunidades (Delgado, 2000).</w:t>
      </w:r>
    </w:p>
    <w:p>
      <w:pPr>
        <w:spacing w:after="0" w:line="247" w:lineRule="auto"/>
        <w:jc w:val="both"/>
        <w:sectPr>
          <w:pgSz w:w="9360" w:h="13040"/>
          <w:pgMar w:header="0" w:footer="496" w:top="740" w:bottom="680" w:left="1300" w:right="1300"/>
        </w:sectPr>
      </w:pPr>
    </w:p>
    <w:p>
      <w:pPr>
        <w:tabs>
          <w:tab w:pos="5536" w:val="left" w:leader="none"/>
        </w:tabs>
        <w:spacing w:before="51"/>
        <w:ind w:left="400" w:right="117" w:hanging="284"/>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114" w:firstLine="283"/>
        <w:jc w:val="both"/>
      </w:pPr>
      <w:r>
        <w:rPr>
          <w:color w:val="231F20"/>
        </w:rPr>
        <w:t>Cuando las madres de familia confirman en sus nuevos lugares de</w:t>
      </w:r>
      <w:r>
        <w:rPr>
          <w:color w:val="231F20"/>
          <w:spacing w:val="-22"/>
        </w:rPr>
        <w:t> </w:t>
      </w:r>
      <w:r>
        <w:rPr>
          <w:color w:val="231F20"/>
        </w:rPr>
        <w:t>resi- dencia que los nuevos empleos permiten atender con suficiencia las nece- sidades esenciales de los hijos en materia de alimentación, vestido, salud, educación</w:t>
      </w:r>
      <w:r>
        <w:rPr>
          <w:color w:val="231F20"/>
          <w:spacing w:val="-6"/>
        </w:rPr>
        <w:t> </w:t>
      </w:r>
      <w:r>
        <w:rPr>
          <w:color w:val="231F20"/>
        </w:rPr>
        <w:t>y</w:t>
      </w:r>
      <w:r>
        <w:rPr>
          <w:color w:val="231F20"/>
          <w:spacing w:val="-5"/>
        </w:rPr>
        <w:t> </w:t>
      </w:r>
      <w:r>
        <w:rPr>
          <w:color w:val="231F20"/>
        </w:rPr>
        <w:t>vivienda,</w:t>
      </w:r>
      <w:r>
        <w:rPr>
          <w:color w:val="231F20"/>
          <w:spacing w:val="-5"/>
        </w:rPr>
        <w:t> </w:t>
      </w:r>
      <w:r>
        <w:rPr>
          <w:color w:val="231F20"/>
        </w:rPr>
        <w:t>son</w:t>
      </w:r>
      <w:r>
        <w:rPr>
          <w:color w:val="231F20"/>
          <w:spacing w:val="-5"/>
        </w:rPr>
        <w:t> </w:t>
      </w:r>
      <w:r>
        <w:rPr>
          <w:color w:val="231F20"/>
        </w:rPr>
        <w:t>ellas,</w:t>
      </w:r>
      <w:r>
        <w:rPr>
          <w:color w:val="231F20"/>
          <w:spacing w:val="-5"/>
        </w:rPr>
        <w:t> </w:t>
      </w:r>
      <w:r>
        <w:rPr>
          <w:color w:val="231F20"/>
        </w:rPr>
        <w:t>las</w:t>
      </w:r>
      <w:r>
        <w:rPr>
          <w:color w:val="231F20"/>
          <w:spacing w:val="-6"/>
        </w:rPr>
        <w:t> </w:t>
      </w:r>
      <w:r>
        <w:rPr>
          <w:color w:val="231F20"/>
        </w:rPr>
        <w:t>propias</w:t>
      </w:r>
      <w:r>
        <w:rPr>
          <w:color w:val="231F20"/>
          <w:spacing w:val="-5"/>
        </w:rPr>
        <w:t> </w:t>
      </w:r>
      <w:r>
        <w:rPr>
          <w:color w:val="231F20"/>
        </w:rPr>
        <w:t>mujeres,</w:t>
      </w:r>
      <w:r>
        <w:rPr>
          <w:color w:val="231F20"/>
          <w:spacing w:val="-6"/>
        </w:rPr>
        <w:t> </w:t>
      </w:r>
      <w:r>
        <w:rPr>
          <w:color w:val="231F20"/>
        </w:rPr>
        <w:t>las</w:t>
      </w:r>
      <w:r>
        <w:rPr>
          <w:color w:val="231F20"/>
          <w:spacing w:val="-6"/>
        </w:rPr>
        <w:t> </w:t>
      </w:r>
      <w:r>
        <w:rPr>
          <w:color w:val="231F20"/>
        </w:rPr>
        <w:t>que</w:t>
      </w:r>
      <w:r>
        <w:rPr>
          <w:color w:val="231F20"/>
          <w:spacing w:val="-5"/>
        </w:rPr>
        <w:t> </w:t>
      </w:r>
      <w:r>
        <w:rPr>
          <w:color w:val="231F20"/>
        </w:rPr>
        <w:t>tienden</w:t>
      </w:r>
      <w:r>
        <w:rPr>
          <w:color w:val="231F20"/>
          <w:spacing w:val="-6"/>
        </w:rPr>
        <w:t> </w:t>
      </w:r>
      <w:r>
        <w:rPr>
          <w:color w:val="231F20"/>
        </w:rPr>
        <w:t>a</w:t>
      </w:r>
      <w:r>
        <w:rPr>
          <w:color w:val="231F20"/>
          <w:spacing w:val="-5"/>
        </w:rPr>
        <w:t> </w:t>
      </w:r>
      <w:r>
        <w:rPr>
          <w:color w:val="231F20"/>
        </w:rPr>
        <w:t>can- celar</w:t>
      </w:r>
      <w:r>
        <w:rPr>
          <w:color w:val="231F20"/>
          <w:spacing w:val="-15"/>
        </w:rPr>
        <w:t> </w:t>
      </w:r>
      <w:r>
        <w:rPr>
          <w:color w:val="231F20"/>
        </w:rPr>
        <w:t>para</w:t>
      </w:r>
      <w:r>
        <w:rPr>
          <w:color w:val="231F20"/>
          <w:spacing w:val="-15"/>
        </w:rPr>
        <w:t> </w:t>
      </w:r>
      <w:r>
        <w:rPr>
          <w:color w:val="231F20"/>
        </w:rPr>
        <w:t>siempre</w:t>
      </w:r>
      <w:r>
        <w:rPr>
          <w:color w:val="231F20"/>
          <w:spacing w:val="-15"/>
        </w:rPr>
        <w:t> </w:t>
      </w:r>
      <w:r>
        <w:rPr>
          <w:color w:val="231F20"/>
        </w:rPr>
        <w:t>la</w:t>
      </w:r>
      <w:r>
        <w:rPr>
          <w:color w:val="231F20"/>
          <w:spacing w:val="-15"/>
        </w:rPr>
        <w:t> </w:t>
      </w:r>
      <w:r>
        <w:rPr>
          <w:color w:val="231F20"/>
        </w:rPr>
        <w:t>decisión</w:t>
      </w:r>
      <w:r>
        <w:rPr>
          <w:color w:val="231F20"/>
          <w:spacing w:val="-15"/>
        </w:rPr>
        <w:t> </w:t>
      </w:r>
      <w:r>
        <w:rPr>
          <w:color w:val="231F20"/>
        </w:rPr>
        <w:t>familiar</w:t>
      </w:r>
      <w:r>
        <w:rPr>
          <w:color w:val="231F20"/>
          <w:spacing w:val="-15"/>
        </w:rPr>
        <w:t> </w:t>
      </w:r>
      <w:r>
        <w:rPr>
          <w:color w:val="231F20"/>
        </w:rPr>
        <w:t>de</w:t>
      </w:r>
      <w:r>
        <w:rPr>
          <w:color w:val="231F20"/>
          <w:spacing w:val="-15"/>
        </w:rPr>
        <w:t> </w:t>
      </w:r>
      <w:r>
        <w:rPr>
          <w:color w:val="231F20"/>
        </w:rPr>
        <w:t>regresar</w:t>
      </w:r>
      <w:r>
        <w:rPr>
          <w:color w:val="231F20"/>
          <w:spacing w:val="-15"/>
        </w:rPr>
        <w:t> </w:t>
      </w:r>
      <w:r>
        <w:rPr>
          <w:color w:val="231F20"/>
        </w:rPr>
        <w:t>a</w:t>
      </w:r>
      <w:r>
        <w:rPr>
          <w:color w:val="231F20"/>
          <w:spacing w:val="-15"/>
        </w:rPr>
        <w:t> </w:t>
      </w:r>
      <w:r>
        <w:rPr>
          <w:color w:val="231F20"/>
        </w:rPr>
        <w:t>vivir</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comunidades de origen. La nostalgia patriótica nunca supera su racionalidad de madres. Es así como la emigración de familias ha acelerado el despoblamiento en un número significativo y creciente de comunidades. Si la gran oportuni- dad que proporciona el establecimiento de las redes socioculturales bina- cionales no se aprovecha con efectividad, se corre el grave riesgo de que se arribe a un grado después del cual será inevitable el aniquilamiento y</w:t>
      </w:r>
      <w:r>
        <w:rPr>
          <w:color w:val="231F20"/>
          <w:spacing w:val="-20"/>
        </w:rPr>
        <w:t> </w:t>
      </w:r>
      <w:r>
        <w:rPr>
          <w:color w:val="231F20"/>
        </w:rPr>
        <w:t>la desaparición de ciertas poblaciones (Delgado,</w:t>
      </w:r>
      <w:r>
        <w:rPr>
          <w:color w:val="231F20"/>
          <w:spacing w:val="-1"/>
        </w:rPr>
        <w:t> </w:t>
      </w:r>
      <w:r>
        <w:rPr>
          <w:color w:val="231F20"/>
        </w:rPr>
        <w:t>2000).</w:t>
      </w:r>
    </w:p>
    <w:p>
      <w:pPr>
        <w:pStyle w:val="BodyText"/>
        <w:spacing w:line="247" w:lineRule="auto"/>
        <w:ind w:left="117" w:right="114" w:firstLine="318"/>
        <w:jc w:val="both"/>
      </w:pPr>
      <w:r>
        <w:rPr>
          <w:color w:val="231F20"/>
        </w:rPr>
        <w:t>Un efecto particularmente nocivo de las remesas es el sentido de asis- tencialismo con el que inevitablemente se realizan. Los integrantes de la familia comienzan a depender de manera estructural de los migrantes, a quienes se les llega incluso a exigir que asuman responsabilidades cre- cientes y desproporcionadas. La remesa obligada y continua desalienta</w:t>
      </w:r>
      <w:r>
        <w:rPr>
          <w:color w:val="231F20"/>
          <w:spacing w:val="-23"/>
        </w:rPr>
        <w:t> </w:t>
      </w:r>
      <w:r>
        <w:rPr>
          <w:color w:val="231F20"/>
        </w:rPr>
        <w:t>sin duda la iniciativa emprendedora de quienes permanecen en las comuni- dades de origen. El envío de remesas promueve la inacción y la actitud dependiente de los familiares, que tienden a no esforzarse demasiado en encontrar por ellos mismos solución a sus problemas. Los jóvenes ya no consideran</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estudio</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especialización</w:t>
      </w:r>
      <w:r>
        <w:rPr>
          <w:color w:val="231F20"/>
          <w:spacing w:val="-8"/>
        </w:rPr>
        <w:t> </w:t>
      </w:r>
      <w:r>
        <w:rPr>
          <w:color w:val="231F20"/>
        </w:rPr>
        <w:t>profesional</w:t>
      </w:r>
      <w:r>
        <w:rPr>
          <w:color w:val="231F20"/>
          <w:spacing w:val="-7"/>
        </w:rPr>
        <w:t> </w:t>
      </w:r>
      <w:r>
        <w:rPr>
          <w:color w:val="231F20"/>
        </w:rPr>
        <w:t>puede</w:t>
      </w:r>
      <w:r>
        <w:rPr>
          <w:color w:val="231F20"/>
          <w:spacing w:val="-7"/>
        </w:rPr>
        <w:t> </w:t>
      </w:r>
      <w:r>
        <w:rPr>
          <w:color w:val="231F20"/>
        </w:rPr>
        <w:t>o</w:t>
      </w:r>
      <w:r>
        <w:rPr>
          <w:color w:val="231F20"/>
          <w:spacing w:val="-7"/>
        </w:rPr>
        <w:t> </w:t>
      </w:r>
      <w:r>
        <w:rPr>
          <w:color w:val="231F20"/>
        </w:rPr>
        <w:t>debe</w:t>
      </w:r>
      <w:r>
        <w:rPr>
          <w:color w:val="231F20"/>
          <w:spacing w:val="-7"/>
        </w:rPr>
        <w:t> </w:t>
      </w:r>
      <w:r>
        <w:rPr>
          <w:color w:val="231F20"/>
        </w:rPr>
        <w:t>ser el camino para lograr la superación personal y la movilización social, por lo general suponen que la migración al exterior les brinda mejores opor- tunidades de ingreso y bienestar. Con frecuencia suspenden sus estudios y se</w:t>
      </w:r>
      <w:r>
        <w:rPr>
          <w:color w:val="231F20"/>
          <w:spacing w:val="-7"/>
        </w:rPr>
        <w:t> </w:t>
      </w:r>
      <w:r>
        <w:rPr>
          <w:color w:val="231F20"/>
        </w:rPr>
        <w:t>limitan</w:t>
      </w:r>
      <w:r>
        <w:rPr>
          <w:color w:val="231F20"/>
          <w:spacing w:val="-7"/>
        </w:rPr>
        <w:t> </w:t>
      </w:r>
      <w:r>
        <w:rPr>
          <w:color w:val="231F20"/>
        </w:rPr>
        <w:t>a</w:t>
      </w:r>
      <w:r>
        <w:rPr>
          <w:color w:val="231F20"/>
          <w:spacing w:val="-7"/>
        </w:rPr>
        <w:t> </w:t>
      </w:r>
      <w:r>
        <w:rPr>
          <w:color w:val="231F20"/>
        </w:rPr>
        <w:t>esperar</w:t>
      </w:r>
      <w:r>
        <w:rPr>
          <w:color w:val="231F20"/>
          <w:spacing w:val="-8"/>
        </w:rPr>
        <w:t> </w:t>
      </w:r>
      <w:r>
        <w:rPr>
          <w:color w:val="231F20"/>
        </w:rPr>
        <w:t>la</w:t>
      </w:r>
      <w:r>
        <w:rPr>
          <w:color w:val="231F20"/>
          <w:spacing w:val="-7"/>
        </w:rPr>
        <w:t> </w:t>
      </w:r>
      <w:r>
        <w:rPr>
          <w:color w:val="231F20"/>
        </w:rPr>
        <w:t>edad</w:t>
      </w:r>
      <w:r>
        <w:rPr>
          <w:color w:val="231F20"/>
          <w:spacing w:val="-7"/>
        </w:rPr>
        <w:t> </w:t>
      </w:r>
      <w:r>
        <w:rPr>
          <w:color w:val="231F20"/>
        </w:rPr>
        <w:t>conveniente</w:t>
      </w:r>
      <w:r>
        <w:rPr>
          <w:color w:val="231F20"/>
          <w:spacing w:val="-8"/>
        </w:rPr>
        <w:t> </w:t>
      </w:r>
      <w:r>
        <w:rPr>
          <w:color w:val="231F20"/>
        </w:rPr>
        <w:t>para</w:t>
      </w:r>
      <w:r>
        <w:rPr>
          <w:color w:val="231F20"/>
          <w:spacing w:val="-7"/>
        </w:rPr>
        <w:t> </w:t>
      </w:r>
      <w:r>
        <w:rPr>
          <w:color w:val="231F20"/>
        </w:rPr>
        <w:t>emigrar.</w:t>
      </w:r>
      <w:r>
        <w:rPr>
          <w:color w:val="231F20"/>
          <w:spacing w:val="-7"/>
        </w:rPr>
        <w:t> </w:t>
      </w:r>
      <w:r>
        <w:rPr>
          <w:color w:val="231F20"/>
        </w:rPr>
        <w:t>Las</w:t>
      </w:r>
      <w:r>
        <w:rPr>
          <w:color w:val="231F20"/>
          <w:spacing w:val="-7"/>
        </w:rPr>
        <w:t> </w:t>
      </w:r>
      <w:r>
        <w:rPr>
          <w:color w:val="231F20"/>
        </w:rPr>
        <w:t>comunidades</w:t>
      </w:r>
      <w:r>
        <w:rPr>
          <w:color w:val="231F20"/>
          <w:spacing w:val="-8"/>
        </w:rPr>
        <w:t> </w:t>
      </w:r>
      <w:r>
        <w:rPr>
          <w:color w:val="231F20"/>
        </w:rPr>
        <w:t>de origen son quienes pierden (López Espinosa,</w:t>
      </w:r>
      <w:r>
        <w:rPr>
          <w:color w:val="231F20"/>
          <w:spacing w:val="-3"/>
        </w:rPr>
        <w:t> </w:t>
      </w:r>
      <w:r>
        <w:rPr>
          <w:color w:val="231F20"/>
        </w:rPr>
        <w:t>2012).</w:t>
      </w:r>
    </w:p>
    <w:p>
      <w:pPr>
        <w:pStyle w:val="BodyText"/>
        <w:spacing w:line="247" w:lineRule="auto"/>
        <w:ind w:left="117" w:right="115" w:firstLine="283"/>
        <w:jc w:val="both"/>
      </w:pPr>
      <w:r>
        <w:rPr>
          <w:color w:val="231F20"/>
        </w:rPr>
        <w:t>La migración incide en la realidad económica social y cultural de Mé- xico desde hace mucho tiempo. Su importancia y significación crecen de manera acelerada y no se vislumbran razones que puedan evitar que esta relevancia alcance proporciones impresionantes.</w:t>
      </w:r>
    </w:p>
    <w:p>
      <w:pPr>
        <w:pStyle w:val="Heading3"/>
      </w:pPr>
      <w:r>
        <w:rPr>
          <w:color w:val="231F20"/>
        </w:rPr>
        <w:t>Recomendaciones</w:t>
      </w:r>
    </w:p>
    <w:p>
      <w:pPr>
        <w:pStyle w:val="BodyText"/>
        <w:spacing w:line="247" w:lineRule="auto" w:before="172"/>
        <w:ind w:left="117" w:right="115"/>
        <w:jc w:val="both"/>
      </w:pPr>
      <w:r>
        <w:rPr>
          <w:color w:val="231F20"/>
        </w:rPr>
        <w:t>El fenómeno de la migración tendrá que ser considerado en el diseño de cualquier estrategia de fomento para generar más de un millón de nuevos empleos que demanda la población joven que año con año se incorpora al mercado laboral y de la que se encuentra rezagada.</w:t>
      </w:r>
    </w:p>
    <w:p>
      <w:pPr>
        <w:pStyle w:val="BodyText"/>
        <w:spacing w:line="247" w:lineRule="auto"/>
        <w:ind w:left="117" w:right="114" w:firstLine="283"/>
        <w:jc w:val="both"/>
      </w:pPr>
      <w:r>
        <w:rPr>
          <w:color w:val="231F20"/>
        </w:rPr>
        <w:t>Los efectos positivos de migración abren alternativas para la</w:t>
      </w:r>
      <w:r>
        <w:rPr>
          <w:color w:val="231F20"/>
          <w:spacing w:val="-20"/>
        </w:rPr>
        <w:t> </w:t>
      </w:r>
      <w:r>
        <w:rPr>
          <w:color w:val="231F20"/>
        </w:rPr>
        <w:t>población joven y presenta una opción de bienestar para millones de familias</w:t>
      </w:r>
      <w:r>
        <w:rPr>
          <w:color w:val="231F20"/>
          <w:spacing w:val="-34"/>
        </w:rPr>
        <w:t> </w:t>
      </w:r>
      <w:r>
        <w:rPr>
          <w:color w:val="231F20"/>
        </w:rPr>
        <w:t>pobres,</w:t>
      </w:r>
    </w:p>
    <w:p>
      <w:pPr>
        <w:spacing w:after="0" w:line="247" w:lineRule="auto"/>
        <w:jc w:val="both"/>
        <w:sectPr>
          <w:pgSz w:w="9360" w:h="13040"/>
          <w:pgMar w:header="0" w:footer="496" w:top="840" w:bottom="680" w:left="1300" w:right="1300"/>
        </w:sectPr>
      </w:pPr>
    </w:p>
    <w:p>
      <w:pPr>
        <w:spacing w:before="45"/>
        <w:ind w:left="117" w:right="0" w:firstLine="694"/>
        <w:jc w:val="left"/>
        <w:rPr>
          <w:rFonts w:ascii="Arial" w:hAnsi="Arial"/>
          <w:i/>
          <w:sz w:val="20"/>
        </w:rPr>
      </w:pP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participación</w:t>
      </w:r>
      <w:r>
        <w:rPr>
          <w:rFonts w:ascii="Arial" w:hAnsi="Arial"/>
          <w:color w:val="231F20"/>
          <w:spacing w:val="-15"/>
          <w:w w:val="70"/>
          <w:sz w:val="20"/>
        </w:rPr>
        <w:t> </w:t>
      </w:r>
      <w:r>
        <w:rPr>
          <w:rFonts w:ascii="Arial" w:hAnsi="Arial"/>
          <w:color w:val="231F20"/>
          <w:w w:val="70"/>
          <w:sz w:val="20"/>
        </w:rPr>
        <w:t>de</w:t>
      </w:r>
      <w:r>
        <w:rPr>
          <w:rFonts w:ascii="Arial" w:hAnsi="Arial"/>
          <w:color w:val="231F20"/>
          <w:spacing w:val="-15"/>
          <w:w w:val="70"/>
          <w:sz w:val="20"/>
        </w:rPr>
        <w:t> </w:t>
      </w:r>
      <w:r>
        <w:rPr>
          <w:rFonts w:ascii="Arial" w:hAnsi="Arial"/>
          <w:color w:val="231F20"/>
          <w:w w:val="70"/>
          <w:sz w:val="20"/>
        </w:rPr>
        <w:t>los</w:t>
      </w:r>
      <w:r>
        <w:rPr>
          <w:rFonts w:ascii="Arial" w:hAnsi="Arial"/>
          <w:color w:val="231F20"/>
          <w:spacing w:val="-15"/>
          <w:w w:val="70"/>
          <w:sz w:val="20"/>
        </w:rPr>
        <w:t> </w:t>
      </w:r>
      <w:r>
        <w:rPr>
          <w:rFonts w:ascii="Arial" w:hAnsi="Arial"/>
          <w:color w:val="231F20"/>
          <w:w w:val="70"/>
          <w:sz w:val="20"/>
        </w:rPr>
        <w:t>migrantes</w:t>
      </w:r>
      <w:r>
        <w:rPr>
          <w:rFonts w:ascii="Arial" w:hAnsi="Arial"/>
          <w:color w:val="231F20"/>
          <w:spacing w:val="-15"/>
          <w:w w:val="70"/>
          <w:sz w:val="20"/>
        </w:rPr>
        <w:t> </w:t>
      </w:r>
      <w:r>
        <w:rPr>
          <w:rFonts w:ascii="Arial" w:hAnsi="Arial"/>
          <w:color w:val="231F20"/>
          <w:w w:val="70"/>
          <w:sz w:val="20"/>
        </w:rPr>
        <w:t>mexicanos</w:t>
      </w:r>
      <w:r>
        <w:rPr>
          <w:rFonts w:ascii="Arial" w:hAnsi="Arial"/>
          <w:color w:val="231F20"/>
          <w:spacing w:val="-15"/>
          <w:w w:val="70"/>
          <w:sz w:val="20"/>
        </w:rPr>
        <w:t> </w:t>
      </w:r>
      <w:r>
        <w:rPr>
          <w:rFonts w:ascii="Arial" w:hAnsi="Arial"/>
          <w:color w:val="231F20"/>
          <w:w w:val="70"/>
          <w:sz w:val="20"/>
        </w:rPr>
        <w:t>en</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economía...</w:t>
      </w:r>
      <w:r>
        <w:rPr>
          <w:rFonts w:ascii="Arial" w:hAnsi="Arial"/>
          <w:color w:val="231F20"/>
          <w:spacing w:val="-15"/>
          <w:w w:val="70"/>
          <w:sz w:val="20"/>
        </w:rPr>
        <w:t> </w:t>
      </w:r>
      <w:r>
        <w:rPr>
          <w:rFonts w:ascii="Arial" w:hAnsi="Arial"/>
          <w:color w:val="231F20"/>
          <w:w w:val="70"/>
          <w:sz w:val="20"/>
        </w:rPr>
        <w:t>/Esther</w:t>
      </w:r>
      <w:r>
        <w:rPr>
          <w:rFonts w:ascii="Arial" w:hAnsi="Arial"/>
          <w:color w:val="231F20"/>
          <w:spacing w:val="-22"/>
          <w:w w:val="70"/>
          <w:sz w:val="20"/>
        </w:rPr>
        <w:t> </w:t>
      </w:r>
      <w:r>
        <w:rPr>
          <w:rFonts w:ascii="Arial" w:hAnsi="Arial"/>
          <w:color w:val="231F20"/>
          <w:w w:val="70"/>
          <w:sz w:val="20"/>
        </w:rPr>
        <w:t>Figueroa-Hernández</w:t>
      </w:r>
      <w:r>
        <w:rPr>
          <w:rFonts w:ascii="Arial" w:hAnsi="Arial"/>
          <w:color w:val="231F20"/>
          <w:spacing w:val="-22"/>
          <w:w w:val="70"/>
          <w:sz w:val="20"/>
        </w:rPr>
        <w:t> </w:t>
      </w:r>
      <w:r>
        <w:rPr>
          <w:rFonts w:ascii="Arial" w:hAnsi="Arial"/>
          <w:i/>
          <w:color w:val="231F20"/>
          <w:w w:val="70"/>
          <w:sz w:val="20"/>
        </w:rPr>
        <w:t>et</w:t>
      </w:r>
      <w:r>
        <w:rPr>
          <w:rFonts w:ascii="Arial" w:hAnsi="Arial"/>
          <w:i/>
          <w:color w:val="231F20"/>
          <w:spacing w:val="-22"/>
          <w:w w:val="70"/>
          <w:sz w:val="20"/>
        </w:rPr>
        <w:t> </w:t>
      </w:r>
      <w:r>
        <w:rPr>
          <w:rFonts w:ascii="Arial" w:hAnsi="Arial"/>
          <w:i/>
          <w:color w:val="231F20"/>
          <w:w w:val="70"/>
          <w:sz w:val="20"/>
        </w:rPr>
        <w:t>al.</w:t>
      </w:r>
    </w:p>
    <w:p>
      <w:pPr>
        <w:pStyle w:val="BodyText"/>
        <w:spacing w:before="7"/>
        <w:rPr>
          <w:rFonts w:ascii="Arial"/>
          <w:i/>
          <w:sz w:val="28"/>
        </w:rPr>
      </w:pPr>
    </w:p>
    <w:p>
      <w:pPr>
        <w:pStyle w:val="BodyText"/>
        <w:spacing w:line="247" w:lineRule="auto"/>
        <w:ind w:left="117" w:right="115"/>
        <w:jc w:val="both"/>
      </w:pPr>
      <w:r>
        <w:rPr>
          <w:color w:val="231F20"/>
        </w:rPr>
        <w:t>que promueva la generación de empleo local y la inversión en obras de infraestructura con un efecto multiplicador importante, que compense las deficiencias estructurales internas, así como las limitaciones y las inca- pacidades de los tres niveles de gobierno con el objetivo de impulsar el desarrollo regional y por ende a todo el país.</w:t>
      </w:r>
    </w:p>
    <w:p>
      <w:pPr>
        <w:pStyle w:val="BodyText"/>
        <w:spacing w:line="247" w:lineRule="auto"/>
        <w:ind w:left="117" w:right="114" w:firstLine="283"/>
        <w:jc w:val="both"/>
      </w:pPr>
      <w:r>
        <w:rPr>
          <w:color w:val="231F20"/>
        </w:rPr>
        <w:t>Es importante reactivar al sector primario principalmente a los peque- ños productores con apoyos que les permitan sembrar en tiempo y forma de acuerdo a la temporada y a su vez crear los mecanismos como eran   los precios de garantía, entre otros apoyos, logrando así incrementar la producción tanto de los granos básicos y de otros productos y disminuir las</w:t>
      </w:r>
      <w:r>
        <w:rPr>
          <w:color w:val="231F20"/>
          <w:spacing w:val="-6"/>
        </w:rPr>
        <w:t> </w:t>
      </w:r>
      <w:r>
        <w:rPr>
          <w:color w:val="231F20"/>
        </w:rPr>
        <w:t>importaciones</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fin</w:t>
      </w:r>
      <w:r>
        <w:rPr>
          <w:color w:val="231F20"/>
          <w:spacing w:val="-6"/>
        </w:rPr>
        <w:t> </w:t>
      </w:r>
      <w:r>
        <w:rPr>
          <w:color w:val="231F20"/>
        </w:rPr>
        <w:t>de</w:t>
      </w:r>
      <w:r>
        <w:rPr>
          <w:color w:val="231F20"/>
          <w:spacing w:val="-6"/>
        </w:rPr>
        <w:t> </w:t>
      </w:r>
      <w:r>
        <w:rPr>
          <w:color w:val="231F20"/>
        </w:rPr>
        <w:t>no</w:t>
      </w:r>
      <w:r>
        <w:rPr>
          <w:color w:val="231F20"/>
          <w:spacing w:val="-6"/>
        </w:rPr>
        <w:t> </w:t>
      </w:r>
      <w:r>
        <w:rPr>
          <w:color w:val="231F20"/>
        </w:rPr>
        <w:t>perder</w:t>
      </w:r>
      <w:r>
        <w:rPr>
          <w:color w:val="231F20"/>
          <w:spacing w:val="-6"/>
        </w:rPr>
        <w:t> </w:t>
      </w:r>
      <w:r>
        <w:rPr>
          <w:color w:val="231F20"/>
        </w:rPr>
        <w:t>la</w:t>
      </w:r>
      <w:r>
        <w:rPr>
          <w:color w:val="231F20"/>
          <w:spacing w:val="-6"/>
        </w:rPr>
        <w:t> </w:t>
      </w:r>
      <w:r>
        <w:rPr>
          <w:color w:val="231F20"/>
        </w:rPr>
        <w:t>autosuficiencia</w:t>
      </w:r>
      <w:r>
        <w:rPr>
          <w:color w:val="231F20"/>
          <w:spacing w:val="-6"/>
        </w:rPr>
        <w:t> </w:t>
      </w:r>
      <w:r>
        <w:rPr>
          <w:color w:val="231F20"/>
        </w:rPr>
        <w:t>alimentaria.</w:t>
      </w:r>
      <w:r>
        <w:rPr>
          <w:color w:val="231F20"/>
          <w:spacing w:val="-6"/>
        </w:rPr>
        <w:t> </w:t>
      </w:r>
      <w:r>
        <w:rPr>
          <w:color w:val="231F20"/>
        </w:rPr>
        <w:t>La mayoría</w:t>
      </w:r>
      <w:r>
        <w:rPr>
          <w:color w:val="231F20"/>
          <w:spacing w:val="-8"/>
        </w:rPr>
        <w:t> </w:t>
      </w:r>
      <w:r>
        <w:rPr>
          <w:color w:val="231F20"/>
        </w:rPr>
        <w:t>de</w:t>
      </w:r>
      <w:r>
        <w:rPr>
          <w:color w:val="231F20"/>
          <w:spacing w:val="-7"/>
        </w:rPr>
        <w:t> </w:t>
      </w:r>
      <w:r>
        <w:rPr>
          <w:color w:val="231F20"/>
        </w:rPr>
        <w:t>los</w:t>
      </w:r>
      <w:r>
        <w:rPr>
          <w:color w:val="231F20"/>
          <w:spacing w:val="-8"/>
        </w:rPr>
        <w:t> </w:t>
      </w:r>
      <w:r>
        <w:rPr>
          <w:color w:val="231F20"/>
        </w:rPr>
        <w:t>migrantes</w:t>
      </w:r>
      <w:r>
        <w:rPr>
          <w:color w:val="231F20"/>
          <w:spacing w:val="-8"/>
        </w:rPr>
        <w:t> </w:t>
      </w:r>
      <w:r>
        <w:rPr>
          <w:color w:val="231F20"/>
        </w:rPr>
        <w:t>mexicanos</w:t>
      </w:r>
      <w:r>
        <w:rPr>
          <w:color w:val="231F20"/>
          <w:spacing w:val="-8"/>
        </w:rPr>
        <w:t> </w:t>
      </w:r>
      <w:r>
        <w:rPr>
          <w:color w:val="231F20"/>
        </w:rPr>
        <w:t>trabaja</w:t>
      </w:r>
      <w:r>
        <w:rPr>
          <w:color w:val="231F20"/>
          <w:spacing w:val="-8"/>
        </w:rPr>
        <w:t> </w:t>
      </w:r>
      <w:r>
        <w:rPr>
          <w:color w:val="231F20"/>
        </w:rPr>
        <w:t>en</w:t>
      </w:r>
      <w:r>
        <w:rPr>
          <w:color w:val="231F20"/>
          <w:spacing w:val="-7"/>
        </w:rPr>
        <w:t> </w:t>
      </w:r>
      <w:r>
        <w:rPr>
          <w:color w:val="231F20"/>
        </w:rPr>
        <w:t>el</w:t>
      </w:r>
      <w:r>
        <w:rPr>
          <w:color w:val="231F20"/>
          <w:spacing w:val="-7"/>
        </w:rPr>
        <w:t> </w:t>
      </w:r>
      <w:r>
        <w:rPr>
          <w:color w:val="231F20"/>
        </w:rPr>
        <w:t>sector</w:t>
      </w:r>
      <w:r>
        <w:rPr>
          <w:color w:val="231F20"/>
          <w:spacing w:val="-7"/>
        </w:rPr>
        <w:t> </w:t>
      </w:r>
      <w:r>
        <w:rPr>
          <w:color w:val="231F20"/>
        </w:rPr>
        <w:t>primario,</w:t>
      </w:r>
      <w:r>
        <w:rPr>
          <w:color w:val="231F20"/>
          <w:spacing w:val="-7"/>
        </w:rPr>
        <w:t> </w:t>
      </w:r>
      <w:r>
        <w:rPr>
          <w:color w:val="231F20"/>
        </w:rPr>
        <w:t>enrique- ciendo</w:t>
      </w:r>
      <w:r>
        <w:rPr>
          <w:color w:val="231F20"/>
          <w:spacing w:val="-7"/>
        </w:rPr>
        <w:t> </w:t>
      </w:r>
      <w:r>
        <w:rPr>
          <w:color w:val="231F20"/>
        </w:rPr>
        <w:t>a</w:t>
      </w:r>
      <w:r>
        <w:rPr>
          <w:color w:val="231F20"/>
          <w:spacing w:val="-7"/>
        </w:rPr>
        <w:t> </w:t>
      </w:r>
      <w:r>
        <w:rPr>
          <w:color w:val="231F20"/>
        </w:rPr>
        <w:t>Estados</w:t>
      </w:r>
      <w:r>
        <w:rPr>
          <w:color w:val="231F20"/>
          <w:spacing w:val="-7"/>
        </w:rPr>
        <w:t> </w:t>
      </w:r>
      <w:r>
        <w:rPr>
          <w:color w:val="231F20"/>
        </w:rPr>
        <w:t>Unidos,</w:t>
      </w:r>
      <w:r>
        <w:rPr>
          <w:color w:val="231F20"/>
          <w:spacing w:val="-6"/>
        </w:rPr>
        <w:t> </w:t>
      </w:r>
      <w:r>
        <w:rPr>
          <w:color w:val="231F20"/>
        </w:rPr>
        <w:t>país</w:t>
      </w:r>
      <w:r>
        <w:rPr>
          <w:color w:val="231F20"/>
          <w:spacing w:val="-7"/>
        </w:rPr>
        <w:t> </w:t>
      </w:r>
      <w:r>
        <w:rPr>
          <w:color w:val="231F20"/>
        </w:rPr>
        <w:t>que</w:t>
      </w:r>
      <w:r>
        <w:rPr>
          <w:color w:val="231F20"/>
          <w:spacing w:val="-7"/>
        </w:rPr>
        <w:t> </w:t>
      </w:r>
      <w:r>
        <w:rPr>
          <w:color w:val="231F20"/>
        </w:rPr>
        <w:t>no</w:t>
      </w:r>
      <w:r>
        <w:rPr>
          <w:color w:val="231F20"/>
          <w:spacing w:val="-7"/>
        </w:rPr>
        <w:t> </w:t>
      </w:r>
      <w:r>
        <w:rPr>
          <w:color w:val="231F20"/>
        </w:rPr>
        <w:t>le</w:t>
      </w:r>
      <w:r>
        <w:rPr>
          <w:color w:val="231F20"/>
          <w:spacing w:val="-7"/>
        </w:rPr>
        <w:t> </w:t>
      </w:r>
      <w:r>
        <w:rPr>
          <w:color w:val="231F20"/>
        </w:rPr>
        <w:t>costó</w:t>
      </w:r>
      <w:r>
        <w:rPr>
          <w:color w:val="231F20"/>
          <w:spacing w:val="-7"/>
        </w:rPr>
        <w:t> </w:t>
      </w:r>
      <w:r>
        <w:rPr>
          <w:color w:val="231F20"/>
        </w:rPr>
        <w:t>la</w:t>
      </w:r>
      <w:r>
        <w:rPr>
          <w:color w:val="231F20"/>
          <w:spacing w:val="-7"/>
        </w:rPr>
        <w:t> </w:t>
      </w:r>
      <w:r>
        <w:rPr>
          <w:color w:val="231F20"/>
        </w:rPr>
        <w:t>formación</w:t>
      </w:r>
      <w:r>
        <w:rPr>
          <w:color w:val="231F20"/>
          <w:spacing w:val="-7"/>
        </w:rPr>
        <w:t> </w:t>
      </w:r>
      <w:r>
        <w:rPr>
          <w:color w:val="231F20"/>
        </w:rPr>
        <w:t>de</w:t>
      </w:r>
      <w:r>
        <w:rPr>
          <w:color w:val="231F20"/>
          <w:spacing w:val="-7"/>
        </w:rPr>
        <w:t> </w:t>
      </w:r>
      <w:r>
        <w:rPr>
          <w:color w:val="231F20"/>
        </w:rPr>
        <w:t>esa</w:t>
      </w:r>
      <w:r>
        <w:rPr>
          <w:color w:val="231F20"/>
          <w:spacing w:val="-7"/>
        </w:rPr>
        <w:t> </w:t>
      </w:r>
      <w:r>
        <w:rPr>
          <w:color w:val="231F20"/>
        </w:rPr>
        <w:t>mano</w:t>
      </w:r>
      <w:r>
        <w:rPr>
          <w:color w:val="231F20"/>
          <w:spacing w:val="-7"/>
        </w:rPr>
        <w:t> </w:t>
      </w:r>
      <w:r>
        <w:rPr>
          <w:color w:val="231F20"/>
        </w:rPr>
        <w:t>de obra que explota mientras le</w:t>
      </w:r>
      <w:r>
        <w:rPr>
          <w:color w:val="231F20"/>
          <w:spacing w:val="-2"/>
        </w:rPr>
        <w:t> </w:t>
      </w:r>
      <w:r>
        <w:rPr>
          <w:color w:val="231F20"/>
        </w:rPr>
        <w:t>conviene.</w:t>
      </w:r>
    </w:p>
    <w:p>
      <w:pPr>
        <w:pStyle w:val="BodyText"/>
        <w:spacing w:before="10"/>
        <w:rPr>
          <w:sz w:val="21"/>
        </w:rPr>
      </w:pPr>
    </w:p>
    <w:p>
      <w:pPr>
        <w:pStyle w:val="Heading3"/>
        <w:spacing w:before="0"/>
      </w:pPr>
      <w:r>
        <w:rPr>
          <w:color w:val="231F20"/>
        </w:rPr>
        <w:t>Bibliografía</w:t>
      </w:r>
    </w:p>
    <w:p>
      <w:pPr>
        <w:pStyle w:val="BodyText"/>
        <w:spacing w:before="2"/>
        <w:rPr>
          <w:b/>
        </w:rPr>
      </w:pPr>
    </w:p>
    <w:p>
      <w:pPr>
        <w:spacing w:line="210" w:lineRule="exact" w:before="0"/>
        <w:ind w:left="117" w:right="115" w:firstLine="0"/>
        <w:jc w:val="both"/>
        <w:rPr>
          <w:sz w:val="20"/>
        </w:rPr>
      </w:pPr>
      <w:r>
        <w:rPr>
          <w:color w:val="231F20"/>
          <w:sz w:val="20"/>
        </w:rPr>
        <w:t>ANGUITA OLMEDO, Concepción, Nómadas, 2007, “El tráfico ilegal de seres humanos para la explotación sexual y laboral: la esclavitud del siglo XXI”, en </w:t>
      </w:r>
      <w:r>
        <w:rPr>
          <w:i/>
          <w:color w:val="231F20"/>
          <w:sz w:val="20"/>
        </w:rPr>
        <w:t>Revista Crítica de Ciencias Sociales y Jurídicas</w:t>
      </w:r>
      <w:r>
        <w:rPr>
          <w:color w:val="231F20"/>
          <w:sz w:val="20"/>
        </w:rPr>
        <w:t>, disponible en: </w:t>
      </w:r>
      <w:hyperlink r:id="rId148">
        <w:r>
          <w:rPr>
            <w:color w:val="231F20"/>
            <w:sz w:val="20"/>
          </w:rPr>
          <w:t>http://ninguna-</w:t>
        </w:r>
      </w:hyperlink>
      <w:r>
        <w:rPr>
          <w:color w:val="231F20"/>
          <w:sz w:val="20"/>
        </w:rPr>
        <w:t> mujermas.files.wordpress.com/2008/10/concepcionanguita.pdf, Consultado en septiembre de 2011.</w:t>
      </w:r>
    </w:p>
    <w:p>
      <w:pPr>
        <w:spacing w:line="210" w:lineRule="exact" w:before="113"/>
        <w:ind w:left="117" w:right="115" w:firstLine="0"/>
        <w:jc w:val="both"/>
        <w:rPr>
          <w:sz w:val="20"/>
        </w:rPr>
      </w:pPr>
      <w:r>
        <w:rPr>
          <w:color w:val="231F20"/>
          <w:sz w:val="20"/>
        </w:rPr>
        <w:t>BANCO MUNDIAL, 2010, disponible en </w:t>
      </w:r>
      <w:hyperlink r:id="rId149">
        <w:r>
          <w:rPr>
            <w:color w:val="231F20"/>
            <w:sz w:val="20"/>
          </w:rPr>
          <w:t>http://www.bancomundial.org/consul-</w:t>
        </w:r>
      </w:hyperlink>
      <w:r>
        <w:rPr>
          <w:color w:val="231F20"/>
          <w:sz w:val="20"/>
        </w:rPr>
        <w:t> tado en septiembre de 2010.</w:t>
      </w:r>
    </w:p>
    <w:p>
      <w:pPr>
        <w:spacing w:line="210" w:lineRule="exact" w:before="113"/>
        <w:ind w:left="117" w:right="115" w:firstLine="0"/>
        <w:jc w:val="both"/>
        <w:rPr>
          <w:sz w:val="20"/>
        </w:rPr>
      </w:pPr>
      <w:r>
        <w:rPr>
          <w:color w:val="231F20"/>
          <w:sz w:val="20"/>
        </w:rPr>
        <w:t>BENDESKY, León, 2007, “La economía de la Migración”, en </w:t>
      </w:r>
      <w:r>
        <w:rPr>
          <w:i/>
          <w:color w:val="231F20"/>
          <w:sz w:val="20"/>
        </w:rPr>
        <w:t>La jornada</w:t>
      </w:r>
      <w:r>
        <w:rPr>
          <w:color w:val="231F20"/>
          <w:sz w:val="20"/>
        </w:rPr>
        <w:t>, 28 de mayo de 2007, consultado en septiembre  de 2010.</w:t>
      </w:r>
    </w:p>
    <w:p>
      <w:pPr>
        <w:spacing w:line="210" w:lineRule="exact" w:before="113"/>
        <w:ind w:left="117" w:right="114" w:firstLine="0"/>
        <w:jc w:val="both"/>
        <w:rPr>
          <w:sz w:val="20"/>
        </w:rPr>
      </w:pPr>
      <w:r>
        <w:rPr>
          <w:color w:val="231F20"/>
          <w:spacing w:val="-7"/>
          <w:sz w:val="20"/>
        </w:rPr>
        <w:t>BBVA </w:t>
      </w:r>
      <w:r>
        <w:rPr>
          <w:color w:val="231F20"/>
          <w:sz w:val="20"/>
        </w:rPr>
        <w:t>RESEARCH, 2012, “Situación de la migración de México” en </w:t>
      </w:r>
      <w:r>
        <w:rPr>
          <w:i/>
          <w:color w:val="231F20"/>
          <w:sz w:val="20"/>
        </w:rPr>
        <w:t>Servi-   </w:t>
      </w:r>
      <w:r>
        <w:rPr>
          <w:i/>
          <w:color w:val="231F20"/>
          <w:sz w:val="20"/>
        </w:rPr>
        <w:t>cios de Estudios Económicos </w:t>
      </w:r>
      <w:r>
        <w:rPr>
          <w:color w:val="231F20"/>
          <w:sz w:val="20"/>
        </w:rPr>
        <w:t>Grupo </w:t>
      </w:r>
      <w:r>
        <w:rPr>
          <w:color w:val="231F20"/>
          <w:spacing w:val="-6"/>
          <w:sz w:val="20"/>
        </w:rPr>
        <w:t>BBVA, </w:t>
      </w:r>
      <w:r>
        <w:rPr>
          <w:color w:val="231F20"/>
          <w:sz w:val="20"/>
        </w:rPr>
        <w:t>disponible en: http://www.bbvare- search.com/KETD /fbin/mult/1207_SitMigracionMexico_Jul12_tcm346-344007. pdf?ts=1112012</w:t>
      </w:r>
    </w:p>
    <w:p>
      <w:pPr>
        <w:spacing w:line="210" w:lineRule="exact" w:before="113"/>
        <w:ind w:left="117" w:right="115" w:firstLine="0"/>
        <w:jc w:val="both"/>
        <w:rPr>
          <w:sz w:val="20"/>
        </w:rPr>
      </w:pPr>
      <w:r>
        <w:rPr>
          <w:color w:val="231F20"/>
          <w:sz w:val="20"/>
        </w:rPr>
        <w:t>BBVA RESEARCH, 2012, “Situación de la migración en México”, en </w:t>
      </w:r>
      <w:r>
        <w:rPr>
          <w:i/>
          <w:color w:val="231F20"/>
          <w:sz w:val="20"/>
        </w:rPr>
        <w:t>Los mi- </w:t>
      </w:r>
      <w:r>
        <w:rPr>
          <w:i/>
          <w:color w:val="231F20"/>
          <w:sz w:val="20"/>
        </w:rPr>
        <w:t>grantes mexicanos y su papel en la economía de Estados Unidos</w:t>
      </w:r>
      <w:r>
        <w:rPr>
          <w:color w:val="231F20"/>
          <w:sz w:val="20"/>
        </w:rPr>
        <w:t>, disponible en: </w:t>
      </w:r>
      <w:hyperlink r:id="rId150">
        <w:r>
          <w:rPr>
            <w:color w:val="231F20"/>
            <w:sz w:val="20"/>
          </w:rPr>
          <w:t>http://midehoyenlaeconomia.blogspot.mx/2012/07/los-migrantes-mexicanos-y-</w:t>
        </w:r>
      </w:hyperlink>
      <w:r>
        <w:rPr>
          <w:color w:val="231F20"/>
          <w:sz w:val="20"/>
        </w:rPr>
        <w:t> su-papel-en.html</w:t>
      </w:r>
      <w:r>
        <w:rPr>
          <w:b/>
          <w:color w:val="231F20"/>
          <w:sz w:val="20"/>
        </w:rPr>
        <w:t>. </w:t>
      </w:r>
      <w:r>
        <w:rPr>
          <w:color w:val="231F20"/>
          <w:sz w:val="20"/>
        </w:rPr>
        <w:t>Julio 2012.</w:t>
      </w:r>
    </w:p>
    <w:p>
      <w:pPr>
        <w:spacing w:line="210" w:lineRule="exact" w:before="113"/>
        <w:ind w:left="117" w:right="115" w:firstLine="0"/>
        <w:jc w:val="both"/>
        <w:rPr>
          <w:sz w:val="20"/>
        </w:rPr>
      </w:pPr>
      <w:r>
        <w:rPr>
          <w:color w:val="231F20"/>
          <w:sz w:val="20"/>
        </w:rPr>
        <w:t>CANALES, Alejandro, 2011, “Hacia una visión comprehensiva del nexo entre migración, desarrollo y derechos humanos”, en </w:t>
      </w:r>
      <w:r>
        <w:rPr>
          <w:i/>
          <w:color w:val="231F20"/>
          <w:sz w:val="20"/>
        </w:rPr>
        <w:t>Migración y Desarrollo</w:t>
      </w:r>
      <w:r>
        <w:rPr>
          <w:color w:val="231F20"/>
          <w:sz w:val="20"/>
        </w:rPr>
        <w:t>, vol. 9, núm. 16.</w:t>
      </w:r>
    </w:p>
    <w:p>
      <w:pPr>
        <w:spacing w:line="210" w:lineRule="exact" w:before="113"/>
        <w:ind w:left="117" w:right="114" w:firstLine="0"/>
        <w:jc w:val="both"/>
        <w:rPr>
          <w:sz w:val="20"/>
        </w:rPr>
      </w:pPr>
      <w:r>
        <w:rPr>
          <w:color w:val="231F20"/>
          <w:sz w:val="20"/>
        </w:rPr>
        <w:t>CIDH (Comisión Interamericana de Derechos Humanos), 2010, “Consecuencias económicas de la migración”, en </w:t>
      </w:r>
      <w:r>
        <w:rPr>
          <w:i/>
          <w:color w:val="231F20"/>
          <w:sz w:val="20"/>
        </w:rPr>
        <w:t>Revista Trimestral Latinoamericana y Caribe- </w:t>
      </w:r>
      <w:r>
        <w:rPr>
          <w:i/>
          <w:color w:val="231F20"/>
          <w:sz w:val="20"/>
        </w:rPr>
        <w:t>ña de Desarrollo Sustentable</w:t>
      </w:r>
      <w:r>
        <w:rPr>
          <w:color w:val="231F20"/>
          <w:sz w:val="20"/>
        </w:rPr>
        <w:t>, disponible en: </w:t>
      </w:r>
      <w:hyperlink r:id="rId151">
        <w:r>
          <w:rPr>
            <w:color w:val="231F20"/>
            <w:sz w:val="20"/>
          </w:rPr>
          <w:t>http://www.revistafuturos.info/futu-</w:t>
        </w:r>
      </w:hyperlink>
      <w:r>
        <w:rPr>
          <w:color w:val="231F20"/>
          <w:sz w:val="20"/>
        </w:rPr>
        <w:t> ros_11/migracion_econ.htm, consulado en septiembre de 2010.</w:t>
      </w:r>
    </w:p>
    <w:p>
      <w:pPr>
        <w:spacing w:after="0" w:line="210" w:lineRule="exact"/>
        <w:jc w:val="both"/>
        <w:rPr>
          <w:sz w:val="20"/>
        </w:rPr>
        <w:sectPr>
          <w:pgSz w:w="9360" w:h="13040"/>
          <w:pgMar w:header="0" w:footer="496" w:top="740" w:bottom="680" w:left="1300" w:right="1300"/>
        </w:sectPr>
      </w:pPr>
    </w:p>
    <w:p>
      <w:pPr>
        <w:tabs>
          <w:tab w:pos="5536" w:val="left" w:leader="none"/>
        </w:tabs>
        <w:spacing w:before="51"/>
        <w:ind w:left="117" w:right="0" w:firstLine="0"/>
        <w:jc w:val="both"/>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5"/>
        <w:rPr>
          <w:sz w:val="21"/>
        </w:rPr>
      </w:pPr>
    </w:p>
    <w:p>
      <w:pPr>
        <w:spacing w:line="210" w:lineRule="exact" w:before="0"/>
        <w:ind w:left="117" w:right="115" w:firstLine="0"/>
        <w:jc w:val="both"/>
        <w:rPr>
          <w:sz w:val="20"/>
        </w:rPr>
      </w:pPr>
      <w:r>
        <w:rPr>
          <w:color w:val="231F20"/>
          <w:sz w:val="20"/>
        </w:rPr>
        <w:t>CONAPO, 2004, </w:t>
      </w:r>
      <w:r>
        <w:rPr>
          <w:i/>
          <w:color w:val="231F20"/>
          <w:sz w:val="20"/>
        </w:rPr>
        <w:t>El estado de la migración Las políticas públicas ante los </w:t>
      </w:r>
      <w:r>
        <w:rPr>
          <w:i/>
          <w:color w:val="231F20"/>
          <w:spacing w:val="-3"/>
          <w:sz w:val="20"/>
        </w:rPr>
        <w:t>re-  </w:t>
      </w:r>
      <w:r>
        <w:rPr>
          <w:i/>
          <w:color w:val="231F20"/>
          <w:sz w:val="20"/>
        </w:rPr>
        <w:t>tos de la migración mexicana a Estados Unidos</w:t>
      </w:r>
      <w:r>
        <w:rPr>
          <w:color w:val="231F20"/>
          <w:sz w:val="20"/>
        </w:rPr>
        <w:t>, Consejo Nacional de Población (CONAPO), disponible en: </w:t>
      </w:r>
      <w:hyperlink r:id="rId153">
        <w:r>
          <w:rPr>
            <w:color w:val="231F20"/>
            <w:sz w:val="20"/>
          </w:rPr>
          <w:t>http://www.conapo.gob.mx/work/models/</w:t>
        </w:r>
      </w:hyperlink>
      <w:r>
        <w:rPr>
          <w:color w:val="231F20"/>
          <w:sz w:val="20"/>
        </w:rPr>
        <w:t> CONAPO/ migracion_internacional/politicaspublicas/Completo.pdf.</w:t>
      </w:r>
    </w:p>
    <w:p>
      <w:pPr>
        <w:spacing w:line="210" w:lineRule="exact" w:before="113"/>
        <w:ind w:left="117" w:right="115" w:firstLine="0"/>
        <w:jc w:val="both"/>
        <w:rPr>
          <w:sz w:val="20"/>
        </w:rPr>
      </w:pPr>
      <w:r>
        <w:rPr>
          <w:color w:val="231F20"/>
          <w:spacing w:val="-4"/>
          <w:sz w:val="20"/>
        </w:rPr>
        <w:t>CONEVAL, </w:t>
      </w:r>
      <w:r>
        <w:rPr>
          <w:color w:val="231F20"/>
          <w:sz w:val="20"/>
        </w:rPr>
        <w:t>2008, </w:t>
      </w:r>
      <w:r>
        <w:rPr>
          <w:i/>
          <w:color w:val="231F20"/>
          <w:sz w:val="20"/>
        </w:rPr>
        <w:t>Informe de evaluación de la política de desarrollo social en </w:t>
      </w:r>
      <w:r>
        <w:rPr>
          <w:i/>
          <w:color w:val="231F20"/>
          <w:sz w:val="20"/>
        </w:rPr>
        <w:t>México</w:t>
      </w:r>
      <w:r>
        <w:rPr>
          <w:color w:val="231F20"/>
          <w:sz w:val="20"/>
        </w:rPr>
        <w:t>,</w:t>
      </w:r>
      <w:r>
        <w:rPr>
          <w:color w:val="231F20"/>
          <w:spacing w:val="-5"/>
          <w:sz w:val="20"/>
        </w:rPr>
        <w:t> </w:t>
      </w:r>
      <w:r>
        <w:rPr>
          <w:color w:val="231F20"/>
          <w:sz w:val="20"/>
        </w:rPr>
        <w:t>Consejo</w:t>
      </w:r>
      <w:r>
        <w:rPr>
          <w:color w:val="231F20"/>
          <w:spacing w:val="-5"/>
          <w:sz w:val="20"/>
        </w:rPr>
        <w:t> </w:t>
      </w:r>
      <w:r>
        <w:rPr>
          <w:color w:val="231F20"/>
          <w:sz w:val="20"/>
        </w:rPr>
        <w:t>Nacional</w:t>
      </w:r>
      <w:r>
        <w:rPr>
          <w:color w:val="231F20"/>
          <w:spacing w:val="-5"/>
          <w:sz w:val="20"/>
        </w:rPr>
        <w:t> </w:t>
      </w:r>
      <w:r>
        <w:rPr>
          <w:color w:val="231F20"/>
          <w:sz w:val="20"/>
        </w:rPr>
        <w:t>de</w:t>
      </w:r>
      <w:r>
        <w:rPr>
          <w:color w:val="231F20"/>
          <w:spacing w:val="-6"/>
          <w:sz w:val="20"/>
        </w:rPr>
        <w:t> </w:t>
      </w:r>
      <w:r>
        <w:rPr>
          <w:color w:val="231F20"/>
          <w:sz w:val="20"/>
        </w:rPr>
        <w:t>Evaluación</w:t>
      </w:r>
      <w:r>
        <w:rPr>
          <w:color w:val="231F20"/>
          <w:spacing w:val="-6"/>
          <w:sz w:val="20"/>
        </w:rPr>
        <w:t> </w:t>
      </w:r>
      <w:r>
        <w:rPr>
          <w:color w:val="231F20"/>
          <w:sz w:val="20"/>
        </w:rPr>
        <w:t>de</w:t>
      </w:r>
      <w:r>
        <w:rPr>
          <w:color w:val="231F20"/>
          <w:spacing w:val="-5"/>
          <w:sz w:val="20"/>
        </w:rPr>
        <w:t> </w:t>
      </w:r>
      <w:r>
        <w:rPr>
          <w:color w:val="231F20"/>
          <w:sz w:val="20"/>
        </w:rPr>
        <w:t>la</w:t>
      </w:r>
      <w:r>
        <w:rPr>
          <w:color w:val="231F20"/>
          <w:spacing w:val="-6"/>
          <w:sz w:val="20"/>
        </w:rPr>
        <w:t> </w:t>
      </w:r>
      <w:r>
        <w:rPr>
          <w:color w:val="231F20"/>
          <w:sz w:val="20"/>
        </w:rPr>
        <w:t>Política</w:t>
      </w:r>
      <w:r>
        <w:rPr>
          <w:color w:val="231F20"/>
          <w:spacing w:val="-5"/>
          <w:sz w:val="20"/>
        </w:rPr>
        <w:t> </w:t>
      </w:r>
      <w:r>
        <w:rPr>
          <w:color w:val="231F20"/>
          <w:sz w:val="20"/>
        </w:rPr>
        <w:t>de</w:t>
      </w:r>
      <w:r>
        <w:rPr>
          <w:color w:val="231F20"/>
          <w:spacing w:val="-6"/>
          <w:sz w:val="20"/>
        </w:rPr>
        <w:t> </w:t>
      </w:r>
      <w:r>
        <w:rPr>
          <w:color w:val="231F20"/>
          <w:sz w:val="20"/>
        </w:rPr>
        <w:t>Desarrollo</w:t>
      </w:r>
      <w:r>
        <w:rPr>
          <w:color w:val="231F20"/>
          <w:spacing w:val="-5"/>
          <w:sz w:val="20"/>
        </w:rPr>
        <w:t> </w:t>
      </w:r>
      <w:r>
        <w:rPr>
          <w:color w:val="231F20"/>
          <w:sz w:val="20"/>
        </w:rPr>
        <w:t>Social</w:t>
      </w:r>
      <w:r>
        <w:rPr>
          <w:color w:val="231F20"/>
          <w:spacing w:val="-5"/>
          <w:sz w:val="20"/>
        </w:rPr>
        <w:t> </w:t>
      </w:r>
      <w:r>
        <w:rPr>
          <w:color w:val="231F20"/>
          <w:sz w:val="20"/>
        </w:rPr>
        <w:t>(CO- </w:t>
      </w:r>
      <w:r>
        <w:rPr>
          <w:color w:val="231F20"/>
          <w:spacing w:val="-5"/>
          <w:sz w:val="20"/>
        </w:rPr>
        <w:t>NEVAL),</w:t>
      </w:r>
      <w:r>
        <w:rPr>
          <w:color w:val="231F20"/>
          <w:spacing w:val="-3"/>
          <w:sz w:val="20"/>
        </w:rPr>
        <w:t> </w:t>
      </w:r>
      <w:r>
        <w:rPr>
          <w:color w:val="231F20"/>
          <w:sz w:val="20"/>
        </w:rPr>
        <w:t>México.</w:t>
      </w:r>
    </w:p>
    <w:p>
      <w:pPr>
        <w:spacing w:line="210" w:lineRule="exact" w:before="113"/>
        <w:ind w:left="117" w:right="115" w:firstLine="0"/>
        <w:jc w:val="both"/>
        <w:rPr>
          <w:sz w:val="20"/>
        </w:rPr>
      </w:pPr>
      <w:r>
        <w:rPr>
          <w:color w:val="231F20"/>
          <w:sz w:val="20"/>
        </w:rPr>
        <w:t>CPS, 2007, </w:t>
      </w:r>
      <w:r>
        <w:rPr>
          <w:i/>
          <w:color w:val="231F20"/>
          <w:sz w:val="20"/>
        </w:rPr>
        <w:t>Nivel de escolaridad de los inmigrantes mexicanos a su llegada a </w:t>
      </w:r>
      <w:r>
        <w:rPr>
          <w:i/>
          <w:color w:val="231F20"/>
          <w:sz w:val="20"/>
        </w:rPr>
        <w:t>Estados</w:t>
      </w:r>
      <w:r>
        <w:rPr>
          <w:i/>
          <w:color w:val="231F20"/>
          <w:spacing w:val="-10"/>
          <w:sz w:val="20"/>
        </w:rPr>
        <w:t> </w:t>
      </w:r>
      <w:r>
        <w:rPr>
          <w:i/>
          <w:color w:val="231F20"/>
          <w:sz w:val="20"/>
        </w:rPr>
        <w:t>Unidos</w:t>
      </w:r>
      <w:r>
        <w:rPr>
          <w:color w:val="231F20"/>
          <w:sz w:val="20"/>
        </w:rPr>
        <w:t>,</w:t>
      </w:r>
      <w:r>
        <w:rPr>
          <w:color w:val="231F20"/>
          <w:spacing w:val="-9"/>
          <w:sz w:val="20"/>
        </w:rPr>
        <w:t> </w:t>
      </w:r>
      <w:r>
        <w:rPr>
          <w:color w:val="231F20"/>
          <w:sz w:val="20"/>
        </w:rPr>
        <w:t>Current</w:t>
      </w:r>
      <w:r>
        <w:rPr>
          <w:color w:val="231F20"/>
          <w:spacing w:val="-9"/>
          <w:sz w:val="20"/>
        </w:rPr>
        <w:t> </w:t>
      </w:r>
      <w:r>
        <w:rPr>
          <w:color w:val="231F20"/>
          <w:sz w:val="20"/>
        </w:rPr>
        <w:t>Population</w:t>
      </w:r>
      <w:r>
        <w:rPr>
          <w:color w:val="231F20"/>
          <w:spacing w:val="-9"/>
          <w:sz w:val="20"/>
        </w:rPr>
        <w:t> </w:t>
      </w:r>
      <w:r>
        <w:rPr>
          <w:color w:val="231F20"/>
          <w:sz w:val="20"/>
        </w:rPr>
        <w:t>Survey</w:t>
      </w:r>
      <w:r>
        <w:rPr>
          <w:color w:val="231F20"/>
          <w:spacing w:val="-9"/>
          <w:sz w:val="20"/>
        </w:rPr>
        <w:t> </w:t>
      </w:r>
      <w:r>
        <w:rPr>
          <w:color w:val="231F20"/>
          <w:sz w:val="20"/>
        </w:rPr>
        <w:t>(US</w:t>
      </w:r>
      <w:r>
        <w:rPr>
          <w:color w:val="231F20"/>
          <w:spacing w:val="-9"/>
          <w:sz w:val="20"/>
        </w:rPr>
        <w:t> </w:t>
      </w:r>
      <w:r>
        <w:rPr>
          <w:color w:val="231F20"/>
          <w:sz w:val="20"/>
        </w:rPr>
        <w:t>CPS)</w:t>
      </w:r>
      <w:r>
        <w:rPr>
          <w:color w:val="231F20"/>
          <w:spacing w:val="-9"/>
          <w:sz w:val="20"/>
        </w:rPr>
        <w:t> </w:t>
      </w:r>
      <w:r>
        <w:rPr>
          <w:color w:val="231F20"/>
          <w:sz w:val="20"/>
        </w:rPr>
        <w:t>varios</w:t>
      </w:r>
      <w:r>
        <w:rPr>
          <w:color w:val="231F20"/>
          <w:spacing w:val="-9"/>
          <w:sz w:val="20"/>
        </w:rPr>
        <w:t> </w:t>
      </w:r>
      <w:r>
        <w:rPr>
          <w:color w:val="231F20"/>
          <w:sz w:val="20"/>
        </w:rPr>
        <w:t>años;</w:t>
      </w:r>
      <w:r>
        <w:rPr>
          <w:color w:val="231F20"/>
          <w:spacing w:val="-9"/>
          <w:sz w:val="20"/>
        </w:rPr>
        <w:t> </w:t>
      </w:r>
      <w:r>
        <w:rPr>
          <w:color w:val="231F20"/>
          <w:sz w:val="20"/>
        </w:rPr>
        <w:t>US</w:t>
      </w:r>
      <w:r>
        <w:rPr>
          <w:color w:val="231F20"/>
          <w:spacing w:val="-9"/>
          <w:sz w:val="20"/>
        </w:rPr>
        <w:t> </w:t>
      </w:r>
      <w:r>
        <w:rPr>
          <w:color w:val="231F20"/>
          <w:sz w:val="20"/>
        </w:rPr>
        <w:t>Dept.</w:t>
      </w:r>
      <w:r>
        <w:rPr>
          <w:color w:val="231F20"/>
          <w:spacing w:val="-9"/>
          <w:sz w:val="20"/>
        </w:rPr>
        <w:t> </w:t>
      </w:r>
      <w:r>
        <w:rPr>
          <w:color w:val="231F20"/>
          <w:sz w:val="20"/>
        </w:rPr>
        <w:t>Edu- cation.</w:t>
      </w:r>
    </w:p>
    <w:p>
      <w:pPr>
        <w:spacing w:line="210" w:lineRule="exact" w:before="113"/>
        <w:ind w:left="117" w:right="115" w:firstLine="0"/>
        <w:jc w:val="both"/>
        <w:rPr>
          <w:i/>
          <w:sz w:val="20"/>
        </w:rPr>
      </w:pPr>
      <w:r>
        <w:rPr>
          <w:color w:val="231F20"/>
          <w:sz w:val="20"/>
        </w:rPr>
        <w:t>CPS,</w:t>
      </w:r>
      <w:r>
        <w:rPr>
          <w:color w:val="231F20"/>
          <w:spacing w:val="-4"/>
          <w:sz w:val="20"/>
        </w:rPr>
        <w:t> </w:t>
      </w:r>
      <w:r>
        <w:rPr>
          <w:color w:val="231F20"/>
          <w:sz w:val="20"/>
        </w:rPr>
        <w:t>2011,</w:t>
      </w:r>
      <w:r>
        <w:rPr>
          <w:color w:val="231F20"/>
          <w:spacing w:val="-4"/>
          <w:sz w:val="20"/>
        </w:rPr>
        <w:t> </w:t>
      </w:r>
      <w:r>
        <w:rPr>
          <w:color w:val="231F20"/>
          <w:sz w:val="20"/>
        </w:rPr>
        <w:t>“Del</w:t>
      </w:r>
      <w:r>
        <w:rPr>
          <w:color w:val="231F20"/>
          <w:spacing w:val="-4"/>
          <w:sz w:val="20"/>
        </w:rPr>
        <w:t> </w:t>
      </w:r>
      <w:r>
        <w:rPr>
          <w:color w:val="231F20"/>
          <w:sz w:val="20"/>
        </w:rPr>
        <w:t>esquema</w:t>
      </w:r>
      <w:r>
        <w:rPr>
          <w:color w:val="231F20"/>
          <w:spacing w:val="-5"/>
          <w:sz w:val="20"/>
        </w:rPr>
        <w:t> </w:t>
      </w:r>
      <w:r>
        <w:rPr>
          <w:color w:val="231F20"/>
          <w:sz w:val="20"/>
        </w:rPr>
        <w:t>de</w:t>
      </w:r>
      <w:r>
        <w:rPr>
          <w:color w:val="231F20"/>
          <w:spacing w:val="-5"/>
          <w:sz w:val="20"/>
        </w:rPr>
        <w:t> </w:t>
      </w:r>
      <w:r>
        <w:rPr>
          <w:color w:val="231F20"/>
          <w:sz w:val="20"/>
        </w:rPr>
        <w:t>impuestos</w:t>
      </w:r>
      <w:r>
        <w:rPr>
          <w:color w:val="231F20"/>
          <w:spacing w:val="-4"/>
          <w:sz w:val="20"/>
        </w:rPr>
        <w:t> </w:t>
      </w:r>
      <w:r>
        <w:rPr>
          <w:color w:val="231F20"/>
          <w:sz w:val="20"/>
        </w:rPr>
        <w:t>aplicados</w:t>
      </w:r>
      <w:r>
        <w:rPr>
          <w:color w:val="231F20"/>
          <w:spacing w:val="-5"/>
          <w:sz w:val="20"/>
        </w:rPr>
        <w:t> </w:t>
      </w:r>
      <w:r>
        <w:rPr>
          <w:color w:val="231F20"/>
          <w:sz w:val="20"/>
        </w:rPr>
        <w:t>bajo</w:t>
      </w:r>
      <w:r>
        <w:rPr>
          <w:color w:val="231F20"/>
          <w:spacing w:val="-5"/>
          <w:sz w:val="20"/>
        </w:rPr>
        <w:t> </w:t>
      </w:r>
      <w:r>
        <w:rPr>
          <w:color w:val="231F20"/>
          <w:sz w:val="20"/>
        </w:rPr>
        <w:t>la</w:t>
      </w:r>
      <w:r>
        <w:rPr>
          <w:color w:val="231F20"/>
          <w:spacing w:val="-5"/>
          <w:sz w:val="20"/>
        </w:rPr>
        <w:t> </w:t>
      </w:r>
      <w:r>
        <w:rPr>
          <w:color w:val="231F20"/>
          <w:sz w:val="20"/>
        </w:rPr>
        <w:t>US</w:t>
      </w:r>
      <w:r>
        <w:rPr>
          <w:color w:val="231F20"/>
          <w:spacing w:val="-8"/>
          <w:sz w:val="20"/>
        </w:rPr>
        <w:t> </w:t>
      </w:r>
      <w:r>
        <w:rPr>
          <w:color w:val="231F20"/>
          <w:spacing w:val="-5"/>
          <w:sz w:val="20"/>
        </w:rPr>
        <w:t>Tax</w:t>
      </w:r>
      <w:r>
        <w:rPr>
          <w:color w:val="231F20"/>
          <w:spacing w:val="-4"/>
          <w:sz w:val="20"/>
        </w:rPr>
        <w:t> </w:t>
      </w:r>
      <w:r>
        <w:rPr>
          <w:color w:val="231F20"/>
          <w:sz w:val="20"/>
        </w:rPr>
        <w:t>Law</w:t>
      </w:r>
      <w:r>
        <w:rPr>
          <w:color w:val="231F20"/>
          <w:spacing w:val="-5"/>
          <w:sz w:val="20"/>
        </w:rPr>
        <w:t> </w:t>
      </w:r>
      <w:r>
        <w:rPr>
          <w:color w:val="231F20"/>
          <w:sz w:val="20"/>
        </w:rPr>
        <w:t>de</w:t>
      </w:r>
      <w:r>
        <w:rPr>
          <w:color w:val="231F20"/>
          <w:spacing w:val="-5"/>
          <w:sz w:val="20"/>
        </w:rPr>
        <w:t> </w:t>
      </w:r>
      <w:r>
        <w:rPr>
          <w:color w:val="231F20"/>
          <w:sz w:val="20"/>
        </w:rPr>
        <w:t>los</w:t>
      </w:r>
      <w:r>
        <w:rPr>
          <w:color w:val="231F20"/>
          <w:spacing w:val="-4"/>
          <w:sz w:val="20"/>
        </w:rPr>
        <w:t> </w:t>
      </w:r>
      <w:r>
        <w:rPr>
          <w:color w:val="231F20"/>
          <w:sz w:val="20"/>
        </w:rPr>
        <w:t>años 1992 al 2011”, en Current Population Survey (US CPS), March</w:t>
      </w:r>
      <w:r>
        <w:rPr>
          <w:color w:val="231F20"/>
          <w:spacing w:val="-9"/>
          <w:sz w:val="20"/>
        </w:rPr>
        <w:t> </w:t>
      </w:r>
      <w:r>
        <w:rPr>
          <w:color w:val="231F20"/>
          <w:sz w:val="20"/>
        </w:rPr>
        <w:t>Supplement</w:t>
      </w:r>
      <w:r>
        <w:rPr>
          <w:i/>
          <w:color w:val="231F20"/>
          <w:sz w:val="20"/>
        </w:rPr>
        <w:t>.</w:t>
      </w:r>
    </w:p>
    <w:p>
      <w:pPr>
        <w:spacing w:line="210" w:lineRule="exact" w:before="113"/>
        <w:ind w:left="117" w:right="114" w:firstLine="0"/>
        <w:jc w:val="both"/>
        <w:rPr>
          <w:sz w:val="20"/>
        </w:rPr>
      </w:pPr>
      <w:r>
        <w:rPr>
          <w:color w:val="231F20"/>
          <w:sz w:val="20"/>
        </w:rPr>
        <w:t>CYPHER, James y Raúl Delgado Wise, 2012, </w:t>
      </w:r>
      <w:r>
        <w:rPr>
          <w:i/>
          <w:color w:val="231F20"/>
          <w:sz w:val="20"/>
        </w:rPr>
        <w:t>México a la deriva. Génesis, tran- </w:t>
      </w:r>
      <w:r>
        <w:rPr>
          <w:i/>
          <w:color w:val="231F20"/>
          <w:sz w:val="20"/>
        </w:rPr>
        <w:t>sición y crisis del modelo exportador de fuerza de trabajo barata, </w:t>
      </w:r>
      <w:r>
        <w:rPr>
          <w:color w:val="231F20"/>
          <w:sz w:val="20"/>
        </w:rPr>
        <w:t>Col. Estudios Críticos del Desarrollo, Miguel Ángel Porrúa, México.</w:t>
      </w:r>
    </w:p>
    <w:p>
      <w:pPr>
        <w:spacing w:line="210" w:lineRule="exact" w:before="113"/>
        <w:ind w:left="117" w:right="115" w:firstLine="0"/>
        <w:jc w:val="both"/>
        <w:rPr>
          <w:sz w:val="20"/>
        </w:rPr>
      </w:pPr>
      <w:r>
        <w:rPr>
          <w:color w:val="231F20"/>
          <w:sz w:val="20"/>
        </w:rPr>
        <w:t>DELGADO,</w:t>
      </w:r>
      <w:r>
        <w:rPr>
          <w:color w:val="231F20"/>
          <w:spacing w:val="-10"/>
          <w:sz w:val="20"/>
        </w:rPr>
        <w:t> </w:t>
      </w:r>
      <w:r>
        <w:rPr>
          <w:color w:val="231F20"/>
          <w:sz w:val="20"/>
        </w:rPr>
        <w:t>Raúl</w:t>
      </w:r>
      <w:r>
        <w:rPr>
          <w:color w:val="231F20"/>
          <w:spacing w:val="-11"/>
          <w:sz w:val="20"/>
        </w:rPr>
        <w:t> </w:t>
      </w:r>
      <w:r>
        <w:rPr>
          <w:color w:val="231F20"/>
          <w:sz w:val="20"/>
        </w:rPr>
        <w:t>y</w:t>
      </w:r>
      <w:r>
        <w:rPr>
          <w:color w:val="231F20"/>
          <w:spacing w:val="-11"/>
          <w:sz w:val="20"/>
        </w:rPr>
        <w:t> </w:t>
      </w:r>
      <w:r>
        <w:rPr>
          <w:color w:val="231F20"/>
          <w:sz w:val="20"/>
        </w:rPr>
        <w:t>Humberto</w:t>
      </w:r>
      <w:r>
        <w:rPr>
          <w:color w:val="231F20"/>
          <w:spacing w:val="-10"/>
          <w:sz w:val="20"/>
        </w:rPr>
        <w:t> </w:t>
      </w:r>
      <w:r>
        <w:rPr>
          <w:color w:val="231F20"/>
          <w:sz w:val="20"/>
        </w:rPr>
        <w:t>Márquez</w:t>
      </w:r>
      <w:r>
        <w:rPr>
          <w:color w:val="231F20"/>
          <w:spacing w:val="-10"/>
          <w:sz w:val="20"/>
        </w:rPr>
        <w:t> </w:t>
      </w:r>
      <w:r>
        <w:rPr>
          <w:color w:val="231F20"/>
          <w:sz w:val="20"/>
        </w:rPr>
        <w:t>Covarrubias,</w:t>
      </w:r>
      <w:r>
        <w:rPr>
          <w:color w:val="231F20"/>
          <w:spacing w:val="-11"/>
          <w:sz w:val="20"/>
        </w:rPr>
        <w:t> </w:t>
      </w:r>
      <w:r>
        <w:rPr>
          <w:color w:val="231F20"/>
          <w:sz w:val="20"/>
        </w:rPr>
        <w:t>2007,</w:t>
      </w:r>
      <w:r>
        <w:rPr>
          <w:color w:val="231F20"/>
          <w:spacing w:val="-11"/>
          <w:sz w:val="20"/>
        </w:rPr>
        <w:t> </w:t>
      </w:r>
      <w:r>
        <w:rPr>
          <w:color w:val="231F20"/>
          <w:sz w:val="20"/>
        </w:rPr>
        <w:t>“The</w:t>
      </w:r>
      <w:r>
        <w:rPr>
          <w:color w:val="231F20"/>
          <w:spacing w:val="-11"/>
          <w:sz w:val="20"/>
        </w:rPr>
        <w:t> </w:t>
      </w:r>
      <w:r>
        <w:rPr>
          <w:color w:val="231F20"/>
          <w:sz w:val="20"/>
        </w:rPr>
        <w:t>theory</w:t>
      </w:r>
      <w:r>
        <w:rPr>
          <w:color w:val="231F20"/>
          <w:spacing w:val="-11"/>
          <w:sz w:val="20"/>
        </w:rPr>
        <w:t> </w:t>
      </w:r>
      <w:r>
        <w:rPr>
          <w:color w:val="231F20"/>
          <w:sz w:val="20"/>
        </w:rPr>
        <w:t>and</w:t>
      </w:r>
      <w:r>
        <w:rPr>
          <w:color w:val="231F20"/>
          <w:spacing w:val="-11"/>
          <w:sz w:val="20"/>
        </w:rPr>
        <w:t> </w:t>
      </w:r>
      <w:r>
        <w:rPr>
          <w:color w:val="231F20"/>
          <w:sz w:val="20"/>
        </w:rPr>
        <w:t>prac- tice of the dialectical relationship between development and migration”, en </w:t>
      </w:r>
      <w:r>
        <w:rPr>
          <w:i/>
          <w:color w:val="231F20"/>
          <w:sz w:val="20"/>
        </w:rPr>
        <w:t>Mi- </w:t>
      </w:r>
      <w:r>
        <w:rPr>
          <w:i/>
          <w:color w:val="231F20"/>
          <w:sz w:val="20"/>
        </w:rPr>
        <w:t>gración y Desarrollo, </w:t>
      </w:r>
      <w:r>
        <w:rPr>
          <w:color w:val="231F20"/>
          <w:sz w:val="20"/>
        </w:rPr>
        <w:t>núm.</w:t>
      </w:r>
      <w:r>
        <w:rPr>
          <w:color w:val="231F20"/>
          <w:spacing w:val="-13"/>
          <w:sz w:val="20"/>
        </w:rPr>
        <w:t> </w:t>
      </w:r>
      <w:r>
        <w:rPr>
          <w:color w:val="231F20"/>
          <w:sz w:val="20"/>
        </w:rPr>
        <w:t>9.</w:t>
      </w:r>
    </w:p>
    <w:p>
      <w:pPr>
        <w:spacing w:line="210" w:lineRule="exact" w:before="113"/>
        <w:ind w:left="117" w:right="115" w:firstLine="0"/>
        <w:jc w:val="both"/>
        <w:rPr>
          <w:sz w:val="20"/>
        </w:rPr>
      </w:pPr>
      <w:r>
        <w:rPr>
          <w:color w:val="231F20"/>
          <w:sz w:val="20"/>
        </w:rPr>
        <w:t>DELGADO, Raúl, 2000, “Las dimensiones de la actual crisis económica”, en </w:t>
      </w:r>
      <w:r>
        <w:rPr>
          <w:i/>
          <w:color w:val="231F20"/>
          <w:sz w:val="20"/>
        </w:rPr>
        <w:t>Im- </w:t>
      </w:r>
      <w:r>
        <w:rPr>
          <w:i/>
          <w:color w:val="231F20"/>
          <w:sz w:val="20"/>
        </w:rPr>
        <w:t>pacto</w:t>
      </w:r>
      <w:r>
        <w:rPr>
          <w:i/>
          <w:color w:val="231F20"/>
          <w:spacing w:val="-12"/>
          <w:sz w:val="20"/>
        </w:rPr>
        <w:t> </w:t>
      </w:r>
      <w:r>
        <w:rPr>
          <w:i/>
          <w:color w:val="231F20"/>
          <w:sz w:val="20"/>
        </w:rPr>
        <w:t>de</w:t>
      </w:r>
      <w:r>
        <w:rPr>
          <w:i/>
          <w:color w:val="231F20"/>
          <w:spacing w:val="-12"/>
          <w:sz w:val="20"/>
        </w:rPr>
        <w:t> </w:t>
      </w:r>
      <w:r>
        <w:rPr>
          <w:i/>
          <w:color w:val="231F20"/>
          <w:sz w:val="20"/>
        </w:rPr>
        <w:t>la</w:t>
      </w:r>
      <w:r>
        <w:rPr>
          <w:i/>
          <w:color w:val="231F20"/>
          <w:spacing w:val="-13"/>
          <w:sz w:val="20"/>
        </w:rPr>
        <w:t> </w:t>
      </w:r>
      <w:r>
        <w:rPr>
          <w:i/>
          <w:color w:val="231F20"/>
          <w:sz w:val="20"/>
        </w:rPr>
        <w:t>migración</w:t>
      </w:r>
      <w:r>
        <w:rPr>
          <w:i/>
          <w:color w:val="231F20"/>
          <w:spacing w:val="-12"/>
          <w:sz w:val="20"/>
        </w:rPr>
        <w:t> </w:t>
      </w:r>
      <w:r>
        <w:rPr>
          <w:i/>
          <w:color w:val="231F20"/>
          <w:sz w:val="20"/>
        </w:rPr>
        <w:t>y</w:t>
      </w:r>
      <w:r>
        <w:rPr>
          <w:i/>
          <w:color w:val="231F20"/>
          <w:spacing w:val="-12"/>
          <w:sz w:val="20"/>
        </w:rPr>
        <w:t> </w:t>
      </w:r>
      <w:r>
        <w:rPr>
          <w:i/>
          <w:color w:val="231F20"/>
          <w:sz w:val="20"/>
        </w:rPr>
        <w:t>las</w:t>
      </w:r>
      <w:r>
        <w:rPr>
          <w:i/>
          <w:color w:val="231F20"/>
          <w:spacing w:val="-12"/>
          <w:sz w:val="20"/>
        </w:rPr>
        <w:t> </w:t>
      </w:r>
      <w:r>
        <w:rPr>
          <w:i/>
          <w:color w:val="231F20"/>
          <w:sz w:val="20"/>
        </w:rPr>
        <w:t>remesas</w:t>
      </w:r>
      <w:r>
        <w:rPr>
          <w:i/>
          <w:color w:val="231F20"/>
          <w:spacing w:val="-13"/>
          <w:sz w:val="20"/>
        </w:rPr>
        <w:t> </w:t>
      </w:r>
      <w:r>
        <w:rPr>
          <w:i/>
          <w:color w:val="231F20"/>
          <w:sz w:val="20"/>
        </w:rPr>
        <w:t>en</w:t>
      </w:r>
      <w:r>
        <w:rPr>
          <w:i/>
          <w:color w:val="231F20"/>
          <w:spacing w:val="-13"/>
          <w:sz w:val="20"/>
        </w:rPr>
        <w:t> </w:t>
      </w:r>
      <w:r>
        <w:rPr>
          <w:i/>
          <w:color w:val="231F20"/>
          <w:sz w:val="20"/>
        </w:rPr>
        <w:t>el</w:t>
      </w:r>
      <w:r>
        <w:rPr>
          <w:i/>
          <w:color w:val="231F20"/>
          <w:spacing w:val="-12"/>
          <w:sz w:val="20"/>
        </w:rPr>
        <w:t> </w:t>
      </w:r>
      <w:r>
        <w:rPr>
          <w:i/>
          <w:color w:val="231F20"/>
          <w:sz w:val="20"/>
        </w:rPr>
        <w:t>crecimiento</w:t>
      </w:r>
      <w:r>
        <w:rPr>
          <w:i/>
          <w:color w:val="231F20"/>
          <w:spacing w:val="-13"/>
          <w:sz w:val="20"/>
        </w:rPr>
        <w:t> </w:t>
      </w:r>
      <w:r>
        <w:rPr>
          <w:i/>
          <w:color w:val="231F20"/>
          <w:sz w:val="20"/>
        </w:rPr>
        <w:t>económico</w:t>
      </w:r>
      <w:r>
        <w:rPr>
          <w:i/>
          <w:color w:val="231F20"/>
          <w:spacing w:val="-13"/>
          <w:sz w:val="20"/>
        </w:rPr>
        <w:t> </w:t>
      </w:r>
      <w:r>
        <w:rPr>
          <w:i/>
          <w:color w:val="231F20"/>
          <w:sz w:val="20"/>
        </w:rPr>
        <w:t>regional</w:t>
      </w:r>
      <w:r>
        <w:rPr>
          <w:color w:val="231F20"/>
          <w:sz w:val="20"/>
        </w:rPr>
        <w:t>,</w:t>
      </w:r>
      <w:r>
        <w:rPr>
          <w:color w:val="231F20"/>
          <w:spacing w:val="-12"/>
          <w:sz w:val="20"/>
        </w:rPr>
        <w:t> </w:t>
      </w:r>
      <w:r>
        <w:rPr>
          <w:color w:val="231F20"/>
          <w:sz w:val="20"/>
        </w:rPr>
        <w:t>Senado de la República, Senado,</w:t>
      </w:r>
      <w:r>
        <w:rPr>
          <w:color w:val="231F20"/>
          <w:spacing w:val="-13"/>
          <w:sz w:val="20"/>
        </w:rPr>
        <w:t> </w:t>
      </w:r>
      <w:r>
        <w:rPr>
          <w:color w:val="231F20"/>
          <w:sz w:val="20"/>
        </w:rPr>
        <w:t>México.</w:t>
      </w:r>
    </w:p>
    <w:p>
      <w:pPr>
        <w:spacing w:line="210" w:lineRule="exact" w:before="113"/>
        <w:ind w:left="117" w:right="115" w:firstLine="0"/>
        <w:jc w:val="both"/>
        <w:rPr>
          <w:sz w:val="20"/>
        </w:rPr>
      </w:pPr>
      <w:r>
        <w:rPr>
          <w:color w:val="231F20"/>
          <w:sz w:val="20"/>
        </w:rPr>
        <w:t>DELGADO</w:t>
      </w:r>
      <w:r>
        <w:rPr>
          <w:color w:val="231F20"/>
          <w:spacing w:val="-12"/>
          <w:sz w:val="20"/>
        </w:rPr>
        <w:t> </w:t>
      </w:r>
      <w:r>
        <w:rPr>
          <w:color w:val="231F20"/>
          <w:sz w:val="20"/>
        </w:rPr>
        <w:t>WISE,</w:t>
      </w:r>
      <w:r>
        <w:rPr>
          <w:color w:val="231F20"/>
          <w:spacing w:val="-8"/>
          <w:sz w:val="20"/>
        </w:rPr>
        <w:t> </w:t>
      </w:r>
      <w:r>
        <w:rPr>
          <w:color w:val="231F20"/>
          <w:sz w:val="20"/>
        </w:rPr>
        <w:t>Raúl</w:t>
      </w:r>
      <w:r>
        <w:rPr>
          <w:color w:val="231F20"/>
          <w:spacing w:val="-8"/>
          <w:sz w:val="20"/>
        </w:rPr>
        <w:t> </w:t>
      </w:r>
      <w:r>
        <w:rPr>
          <w:color w:val="231F20"/>
          <w:sz w:val="20"/>
        </w:rPr>
        <w:t>y</w:t>
      </w:r>
      <w:r>
        <w:rPr>
          <w:color w:val="231F20"/>
          <w:spacing w:val="-8"/>
          <w:sz w:val="20"/>
        </w:rPr>
        <w:t> </w:t>
      </w:r>
      <w:r>
        <w:rPr>
          <w:color w:val="231F20"/>
          <w:sz w:val="20"/>
        </w:rPr>
        <w:t>Gaspar</w:t>
      </w:r>
      <w:r>
        <w:rPr>
          <w:color w:val="231F20"/>
          <w:spacing w:val="-8"/>
          <w:sz w:val="20"/>
        </w:rPr>
        <w:t> </w:t>
      </w:r>
      <w:r>
        <w:rPr>
          <w:color w:val="231F20"/>
          <w:sz w:val="20"/>
        </w:rPr>
        <w:t>Olvera</w:t>
      </w:r>
      <w:r>
        <w:rPr>
          <w:color w:val="231F20"/>
          <w:spacing w:val="-8"/>
          <w:sz w:val="20"/>
        </w:rPr>
        <w:t> </w:t>
      </w:r>
      <w:r>
        <w:rPr>
          <w:color w:val="231F20"/>
          <w:sz w:val="20"/>
        </w:rPr>
        <w:t>Selene,</w:t>
      </w:r>
      <w:r>
        <w:rPr>
          <w:color w:val="231F20"/>
          <w:spacing w:val="-8"/>
          <w:sz w:val="20"/>
        </w:rPr>
        <w:t> </w:t>
      </w:r>
      <w:r>
        <w:rPr>
          <w:color w:val="231F20"/>
          <w:sz w:val="20"/>
        </w:rPr>
        <w:t>2012,</w:t>
      </w:r>
      <w:r>
        <w:rPr>
          <w:color w:val="231F20"/>
          <w:spacing w:val="-8"/>
          <w:sz w:val="20"/>
        </w:rPr>
        <w:t> </w:t>
      </w:r>
      <w:r>
        <w:rPr>
          <w:i/>
          <w:color w:val="231F20"/>
          <w:sz w:val="20"/>
        </w:rPr>
        <w:t>¿Quién</w:t>
      </w:r>
      <w:r>
        <w:rPr>
          <w:i/>
          <w:color w:val="231F20"/>
          <w:spacing w:val="-8"/>
          <w:sz w:val="20"/>
        </w:rPr>
        <w:t> </w:t>
      </w:r>
      <w:r>
        <w:rPr>
          <w:i/>
          <w:color w:val="231F20"/>
          <w:sz w:val="20"/>
        </w:rPr>
        <w:t>subsidia</w:t>
      </w:r>
      <w:r>
        <w:rPr>
          <w:i/>
          <w:color w:val="231F20"/>
          <w:spacing w:val="-8"/>
          <w:sz w:val="20"/>
        </w:rPr>
        <w:t> </w:t>
      </w:r>
      <w:r>
        <w:rPr>
          <w:i/>
          <w:color w:val="231F20"/>
          <w:sz w:val="20"/>
        </w:rPr>
        <w:t>a</w:t>
      </w:r>
      <w:r>
        <w:rPr>
          <w:i/>
          <w:color w:val="231F20"/>
          <w:spacing w:val="-8"/>
          <w:sz w:val="20"/>
        </w:rPr>
        <w:t> </w:t>
      </w:r>
      <w:r>
        <w:rPr>
          <w:i/>
          <w:color w:val="231F20"/>
          <w:sz w:val="20"/>
        </w:rPr>
        <w:t>quién? </w:t>
      </w:r>
      <w:r>
        <w:rPr>
          <w:i/>
          <w:color w:val="231F20"/>
          <w:sz w:val="20"/>
        </w:rPr>
        <w:t>Contribución</w:t>
      </w:r>
      <w:r>
        <w:rPr>
          <w:i/>
          <w:color w:val="231F20"/>
          <w:spacing w:val="-4"/>
          <w:sz w:val="20"/>
        </w:rPr>
        <w:t> </w:t>
      </w:r>
      <w:r>
        <w:rPr>
          <w:i/>
          <w:color w:val="231F20"/>
          <w:sz w:val="20"/>
        </w:rPr>
        <w:t>de</w:t>
      </w:r>
      <w:r>
        <w:rPr>
          <w:i/>
          <w:color w:val="231F20"/>
          <w:spacing w:val="-4"/>
          <w:sz w:val="20"/>
        </w:rPr>
        <w:t> </w:t>
      </w:r>
      <w:r>
        <w:rPr>
          <w:i/>
          <w:color w:val="231F20"/>
          <w:sz w:val="20"/>
        </w:rPr>
        <w:t>los</w:t>
      </w:r>
      <w:r>
        <w:rPr>
          <w:i/>
          <w:color w:val="231F20"/>
          <w:spacing w:val="-4"/>
          <w:sz w:val="20"/>
        </w:rPr>
        <w:t> </w:t>
      </w:r>
      <w:r>
        <w:rPr>
          <w:i/>
          <w:color w:val="231F20"/>
          <w:sz w:val="20"/>
        </w:rPr>
        <w:t>migrantes</w:t>
      </w:r>
      <w:r>
        <w:rPr>
          <w:i/>
          <w:color w:val="231F20"/>
          <w:spacing w:val="-3"/>
          <w:sz w:val="20"/>
        </w:rPr>
        <w:t> </w:t>
      </w:r>
      <w:r>
        <w:rPr>
          <w:i/>
          <w:color w:val="231F20"/>
          <w:sz w:val="20"/>
        </w:rPr>
        <w:t>mexicanos</w:t>
      </w:r>
      <w:r>
        <w:rPr>
          <w:i/>
          <w:color w:val="231F20"/>
          <w:spacing w:val="-3"/>
          <w:sz w:val="20"/>
        </w:rPr>
        <w:t> </w:t>
      </w:r>
      <w:r>
        <w:rPr>
          <w:i/>
          <w:color w:val="231F20"/>
          <w:sz w:val="20"/>
        </w:rPr>
        <w:t>a</w:t>
      </w:r>
      <w:r>
        <w:rPr>
          <w:i/>
          <w:color w:val="231F20"/>
          <w:spacing w:val="-4"/>
          <w:sz w:val="20"/>
        </w:rPr>
        <w:t> </w:t>
      </w:r>
      <w:r>
        <w:rPr>
          <w:i/>
          <w:color w:val="231F20"/>
          <w:sz w:val="20"/>
        </w:rPr>
        <w:t>la</w:t>
      </w:r>
      <w:r>
        <w:rPr>
          <w:i/>
          <w:color w:val="231F20"/>
          <w:spacing w:val="-4"/>
          <w:sz w:val="20"/>
        </w:rPr>
        <w:t> </w:t>
      </w:r>
      <w:r>
        <w:rPr>
          <w:i/>
          <w:color w:val="231F20"/>
          <w:sz w:val="20"/>
        </w:rPr>
        <w:t>economía</w:t>
      </w:r>
      <w:r>
        <w:rPr>
          <w:i/>
          <w:color w:val="231F20"/>
          <w:spacing w:val="-4"/>
          <w:sz w:val="20"/>
        </w:rPr>
        <w:t> </w:t>
      </w:r>
      <w:r>
        <w:rPr>
          <w:i/>
          <w:color w:val="231F20"/>
          <w:sz w:val="20"/>
        </w:rPr>
        <w:t>de</w:t>
      </w:r>
      <w:r>
        <w:rPr>
          <w:i/>
          <w:color w:val="231F20"/>
          <w:spacing w:val="-4"/>
          <w:sz w:val="20"/>
        </w:rPr>
        <w:t> </w:t>
      </w:r>
      <w:r>
        <w:rPr>
          <w:i/>
          <w:color w:val="231F20"/>
          <w:sz w:val="20"/>
        </w:rPr>
        <w:t>Estados</w:t>
      </w:r>
      <w:r>
        <w:rPr>
          <w:i/>
          <w:color w:val="231F20"/>
          <w:spacing w:val="-4"/>
          <w:sz w:val="20"/>
        </w:rPr>
        <w:t> </w:t>
      </w:r>
      <w:r>
        <w:rPr>
          <w:i/>
          <w:color w:val="231F20"/>
          <w:sz w:val="20"/>
        </w:rPr>
        <w:t>Unidos</w:t>
      </w:r>
      <w:r>
        <w:rPr>
          <w:color w:val="231F20"/>
          <w:sz w:val="20"/>
        </w:rPr>
        <w:t>,</w:t>
      </w:r>
      <w:r>
        <w:rPr>
          <w:color w:val="231F20"/>
          <w:spacing w:val="-4"/>
          <w:sz w:val="20"/>
        </w:rPr>
        <w:t> </w:t>
      </w:r>
      <w:r>
        <w:rPr>
          <w:color w:val="231F20"/>
          <w:sz w:val="20"/>
        </w:rPr>
        <w:t>Uni- dad Académica en Estudios del Desarrollo, UAZ/SIMDE/UAED Unidad Acadé- mica en Estudios del Desarrollo, UAZ, en </w:t>
      </w:r>
      <w:r>
        <w:rPr>
          <w:i/>
          <w:color w:val="231F20"/>
          <w:sz w:val="20"/>
        </w:rPr>
        <w:t>Observatorio del Desarrollo, </w:t>
      </w:r>
      <w:r>
        <w:rPr>
          <w:color w:val="231F20"/>
          <w:sz w:val="20"/>
        </w:rPr>
        <w:t>vol. 1 núm. 2, disponible en:</w:t>
      </w:r>
      <w:r>
        <w:rPr>
          <w:color w:val="231F20"/>
          <w:spacing w:val="-1"/>
          <w:sz w:val="20"/>
        </w:rPr>
        <w:t> </w:t>
      </w:r>
      <w:hyperlink r:id="rId154">
        <w:r>
          <w:rPr>
            <w:color w:val="231F20"/>
            <w:sz w:val="20"/>
          </w:rPr>
          <w:t>http://estudiosdeldesarrollo.net/observatorio/ob2/2.pdf</w:t>
        </w:r>
      </w:hyperlink>
    </w:p>
    <w:p>
      <w:pPr>
        <w:spacing w:line="210" w:lineRule="exact" w:before="113"/>
        <w:ind w:left="117" w:right="115" w:firstLine="0"/>
        <w:jc w:val="both"/>
        <w:rPr>
          <w:sz w:val="20"/>
        </w:rPr>
      </w:pPr>
      <w:r>
        <w:rPr>
          <w:color w:val="231F20"/>
          <w:sz w:val="20"/>
        </w:rPr>
        <w:t>DHS, 2009, </w:t>
      </w:r>
      <w:r>
        <w:rPr>
          <w:i/>
          <w:color w:val="231F20"/>
          <w:sz w:val="20"/>
        </w:rPr>
        <w:t>Immigrations statistics</w:t>
      </w:r>
      <w:r>
        <w:rPr>
          <w:color w:val="231F20"/>
          <w:sz w:val="20"/>
        </w:rPr>
        <w:t>, Department Homeland Security (DHS), </w:t>
      </w:r>
      <w:hyperlink r:id="rId155">
        <w:r>
          <w:rPr>
            <w:color w:val="231F20"/>
            <w:sz w:val="20"/>
          </w:rPr>
          <w:t>http://www.dhs.gov/xlibrary/assets/statistics/yearbook/2009/ois_yb_2009.pdf,</w:t>
        </w:r>
      </w:hyperlink>
      <w:r>
        <w:rPr>
          <w:color w:val="231F20"/>
          <w:sz w:val="20"/>
        </w:rPr>
        <w:t> consultado en septiembre de 2010.</w:t>
      </w:r>
    </w:p>
    <w:p>
      <w:pPr>
        <w:spacing w:line="210" w:lineRule="exact" w:before="113"/>
        <w:ind w:left="117" w:right="115" w:firstLine="0"/>
        <w:jc w:val="both"/>
        <w:rPr>
          <w:sz w:val="20"/>
        </w:rPr>
      </w:pPr>
      <w:r>
        <w:rPr>
          <w:color w:val="231F20"/>
          <w:sz w:val="20"/>
        </w:rPr>
        <w:t>INEE, 2008, “Panorama educativo de México”, en </w:t>
      </w:r>
      <w:r>
        <w:rPr>
          <w:i/>
          <w:color w:val="231F20"/>
          <w:sz w:val="20"/>
        </w:rPr>
        <w:t>Indicadores del sistema edu- </w:t>
      </w:r>
      <w:r>
        <w:rPr>
          <w:i/>
          <w:color w:val="231F20"/>
          <w:sz w:val="20"/>
        </w:rPr>
        <w:t>cativo nacional</w:t>
      </w:r>
      <w:r>
        <w:rPr>
          <w:color w:val="231F20"/>
          <w:sz w:val="20"/>
        </w:rPr>
        <w:t>, Instituto Nacional para la Evaluación de la Educación (INEE), México.</w:t>
      </w:r>
    </w:p>
    <w:p>
      <w:pPr>
        <w:spacing w:line="210" w:lineRule="exact" w:before="113"/>
        <w:ind w:left="117" w:right="116" w:firstLine="0"/>
        <w:jc w:val="both"/>
        <w:rPr>
          <w:sz w:val="20"/>
        </w:rPr>
      </w:pPr>
      <w:r>
        <w:rPr>
          <w:color w:val="231F20"/>
          <w:sz w:val="20"/>
        </w:rPr>
        <w:t>ISCABT.WORDPRESS,</w:t>
      </w:r>
      <w:r>
        <w:rPr>
          <w:color w:val="231F20"/>
          <w:spacing w:val="-6"/>
          <w:sz w:val="20"/>
        </w:rPr>
        <w:t> </w:t>
      </w:r>
      <w:r>
        <w:rPr>
          <w:color w:val="231F20"/>
          <w:sz w:val="20"/>
        </w:rPr>
        <w:t>2011</w:t>
      </w:r>
      <w:r>
        <w:rPr>
          <w:b/>
          <w:color w:val="231F20"/>
          <w:sz w:val="20"/>
        </w:rPr>
        <w:t>,</w:t>
      </w:r>
      <w:r>
        <w:rPr>
          <w:b/>
          <w:color w:val="231F20"/>
          <w:spacing w:val="-6"/>
          <w:sz w:val="20"/>
        </w:rPr>
        <w:t> </w:t>
      </w:r>
      <w:r>
        <w:rPr>
          <w:i/>
          <w:color w:val="231F20"/>
          <w:sz w:val="20"/>
        </w:rPr>
        <w:t>Impacto</w:t>
      </w:r>
      <w:r>
        <w:rPr>
          <w:i/>
          <w:color w:val="231F20"/>
          <w:spacing w:val="-6"/>
          <w:sz w:val="20"/>
        </w:rPr>
        <w:t> </w:t>
      </w:r>
      <w:r>
        <w:rPr>
          <w:i/>
          <w:color w:val="231F20"/>
          <w:sz w:val="20"/>
        </w:rPr>
        <w:t>de</w:t>
      </w:r>
      <w:r>
        <w:rPr>
          <w:i/>
          <w:color w:val="231F20"/>
          <w:spacing w:val="-6"/>
          <w:sz w:val="20"/>
        </w:rPr>
        <w:t> </w:t>
      </w:r>
      <w:r>
        <w:rPr>
          <w:i/>
          <w:color w:val="231F20"/>
          <w:sz w:val="20"/>
        </w:rPr>
        <w:t>la</w:t>
      </w:r>
      <w:r>
        <w:rPr>
          <w:i/>
          <w:color w:val="231F20"/>
          <w:spacing w:val="-6"/>
          <w:sz w:val="20"/>
        </w:rPr>
        <w:t> </w:t>
      </w:r>
      <w:r>
        <w:rPr>
          <w:i/>
          <w:color w:val="231F20"/>
          <w:sz w:val="20"/>
        </w:rPr>
        <w:t>migración</w:t>
      </w:r>
      <w:r>
        <w:rPr>
          <w:i/>
          <w:color w:val="231F20"/>
          <w:spacing w:val="-6"/>
          <w:sz w:val="20"/>
        </w:rPr>
        <w:t> </w:t>
      </w:r>
      <w:r>
        <w:rPr>
          <w:i/>
          <w:color w:val="231F20"/>
          <w:sz w:val="20"/>
        </w:rPr>
        <w:t>latina</w:t>
      </w:r>
      <w:r>
        <w:rPr>
          <w:i/>
          <w:color w:val="231F20"/>
          <w:spacing w:val="-6"/>
          <w:sz w:val="20"/>
        </w:rPr>
        <w:t> </w:t>
      </w:r>
      <w:r>
        <w:rPr>
          <w:i/>
          <w:color w:val="231F20"/>
          <w:sz w:val="20"/>
        </w:rPr>
        <w:t>en</w:t>
      </w:r>
      <w:r>
        <w:rPr>
          <w:i/>
          <w:color w:val="231F20"/>
          <w:spacing w:val="-6"/>
          <w:sz w:val="20"/>
        </w:rPr>
        <w:t> </w:t>
      </w:r>
      <w:r>
        <w:rPr>
          <w:i/>
          <w:color w:val="231F20"/>
          <w:sz w:val="20"/>
        </w:rPr>
        <w:t>la</w:t>
      </w:r>
      <w:r>
        <w:rPr>
          <w:i/>
          <w:color w:val="231F20"/>
          <w:spacing w:val="-6"/>
          <w:sz w:val="20"/>
        </w:rPr>
        <w:t> </w:t>
      </w:r>
      <w:r>
        <w:rPr>
          <w:i/>
          <w:color w:val="231F20"/>
          <w:sz w:val="20"/>
        </w:rPr>
        <w:t>economía</w:t>
      </w:r>
      <w:r>
        <w:rPr>
          <w:i/>
          <w:color w:val="231F20"/>
          <w:spacing w:val="-6"/>
          <w:sz w:val="20"/>
        </w:rPr>
        <w:t> </w:t>
      </w:r>
      <w:r>
        <w:rPr>
          <w:i/>
          <w:color w:val="231F20"/>
          <w:sz w:val="20"/>
        </w:rPr>
        <w:t>de </w:t>
      </w:r>
      <w:r>
        <w:rPr>
          <w:i/>
          <w:color w:val="231F20"/>
          <w:sz w:val="20"/>
        </w:rPr>
        <w:t>Estados Unidos</w:t>
      </w:r>
      <w:r>
        <w:rPr>
          <w:color w:val="231F20"/>
          <w:sz w:val="20"/>
        </w:rPr>
        <w:t>, tomado de: </w:t>
      </w:r>
      <w:hyperlink r:id="rId156">
        <w:r>
          <w:rPr>
            <w:color w:val="231F20"/>
            <w:sz w:val="20"/>
          </w:rPr>
          <w:t>http://iscabt.wordpress.com/2011/03/13/impacto-de-</w:t>
        </w:r>
      </w:hyperlink>
      <w:r>
        <w:rPr>
          <w:color w:val="231F20"/>
          <w:sz w:val="20"/>
        </w:rPr>
        <w:t> la-migracion-latina-en-la-economia-de-estados-unidos/</w:t>
      </w:r>
    </w:p>
    <w:p>
      <w:pPr>
        <w:spacing w:line="210" w:lineRule="exact" w:before="113"/>
        <w:ind w:left="117" w:right="114" w:firstLine="0"/>
        <w:jc w:val="both"/>
        <w:rPr>
          <w:sz w:val="20"/>
        </w:rPr>
      </w:pPr>
      <w:r>
        <w:rPr>
          <w:color w:val="231F20"/>
          <w:sz w:val="20"/>
        </w:rPr>
        <w:t>LONG ISLAND AL DÍA, 2010, </w:t>
      </w:r>
      <w:r>
        <w:rPr>
          <w:i/>
          <w:color w:val="231F20"/>
          <w:sz w:val="20"/>
        </w:rPr>
        <w:t>Economía y migración: informe especial</w:t>
      </w:r>
      <w:r>
        <w:rPr>
          <w:color w:val="231F20"/>
          <w:sz w:val="20"/>
        </w:rPr>
        <w:t>, dis- ponible en: </w:t>
      </w:r>
      <w:hyperlink r:id="rId157">
        <w:r>
          <w:rPr>
            <w:color w:val="231F20"/>
            <w:sz w:val="20"/>
          </w:rPr>
          <w:t>http://lialdia.com/2010/01/economia-y-migracion-informe-especial/</w:t>
        </w:r>
      </w:hyperlink>
      <w:r>
        <w:rPr>
          <w:color w:val="231F20"/>
          <w:sz w:val="20"/>
        </w:rPr>
        <w:t> consultado en septiembre de 2011.</w:t>
      </w:r>
    </w:p>
    <w:p>
      <w:pPr>
        <w:spacing w:line="210" w:lineRule="exact" w:before="113"/>
        <w:ind w:left="117" w:right="115" w:firstLine="0"/>
        <w:jc w:val="both"/>
        <w:rPr>
          <w:sz w:val="20"/>
        </w:rPr>
      </w:pPr>
      <w:r>
        <w:rPr>
          <w:color w:val="231F20"/>
          <w:sz w:val="20"/>
        </w:rPr>
        <w:t>LÓPEZ ESPINOSA, Mario, 2012, </w:t>
      </w:r>
      <w:r>
        <w:rPr>
          <w:i/>
          <w:color w:val="231F20"/>
          <w:sz w:val="20"/>
        </w:rPr>
        <w:t>Urge revertir los efectos nocivos de la migra- </w:t>
      </w:r>
      <w:r>
        <w:rPr>
          <w:i/>
          <w:color w:val="231F20"/>
          <w:sz w:val="20"/>
        </w:rPr>
        <w:t>ción</w:t>
      </w:r>
      <w:r>
        <w:rPr>
          <w:color w:val="231F20"/>
          <w:sz w:val="20"/>
        </w:rPr>
        <w:t>, consultado agosto de 2012, disponible en: http://www.mariolopezespinosa. com/index/Combate_de_la_pobreza_files/URGEREVERTIRLOSEFECTOSNO- CIVOSDELAMIGRACION.pdf</w:t>
      </w:r>
    </w:p>
    <w:p>
      <w:pPr>
        <w:spacing w:after="0" w:line="210" w:lineRule="exact"/>
        <w:jc w:val="both"/>
        <w:rPr>
          <w:sz w:val="20"/>
        </w:rPr>
        <w:sectPr>
          <w:footerReference w:type="default" r:id="rId152"/>
          <w:pgSz w:w="9360" w:h="13040"/>
          <w:pgMar w:footer="496" w:header="0" w:top="840" w:bottom="680" w:left="1300" w:right="1300"/>
        </w:sectPr>
      </w:pPr>
    </w:p>
    <w:p>
      <w:pPr>
        <w:spacing w:before="45"/>
        <w:ind w:left="117" w:right="0" w:firstLine="694"/>
        <w:jc w:val="left"/>
        <w:rPr>
          <w:rFonts w:ascii="Arial" w:hAnsi="Arial"/>
          <w:i/>
          <w:sz w:val="20"/>
        </w:rPr>
      </w:pP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participación</w:t>
      </w:r>
      <w:r>
        <w:rPr>
          <w:rFonts w:ascii="Arial" w:hAnsi="Arial"/>
          <w:color w:val="231F20"/>
          <w:spacing w:val="-15"/>
          <w:w w:val="70"/>
          <w:sz w:val="20"/>
        </w:rPr>
        <w:t> </w:t>
      </w:r>
      <w:r>
        <w:rPr>
          <w:rFonts w:ascii="Arial" w:hAnsi="Arial"/>
          <w:color w:val="231F20"/>
          <w:w w:val="70"/>
          <w:sz w:val="20"/>
        </w:rPr>
        <w:t>de</w:t>
      </w:r>
      <w:r>
        <w:rPr>
          <w:rFonts w:ascii="Arial" w:hAnsi="Arial"/>
          <w:color w:val="231F20"/>
          <w:spacing w:val="-15"/>
          <w:w w:val="70"/>
          <w:sz w:val="20"/>
        </w:rPr>
        <w:t> </w:t>
      </w:r>
      <w:r>
        <w:rPr>
          <w:rFonts w:ascii="Arial" w:hAnsi="Arial"/>
          <w:color w:val="231F20"/>
          <w:w w:val="70"/>
          <w:sz w:val="20"/>
        </w:rPr>
        <w:t>los</w:t>
      </w:r>
      <w:r>
        <w:rPr>
          <w:rFonts w:ascii="Arial" w:hAnsi="Arial"/>
          <w:color w:val="231F20"/>
          <w:spacing w:val="-15"/>
          <w:w w:val="70"/>
          <w:sz w:val="20"/>
        </w:rPr>
        <w:t> </w:t>
      </w:r>
      <w:r>
        <w:rPr>
          <w:rFonts w:ascii="Arial" w:hAnsi="Arial"/>
          <w:color w:val="231F20"/>
          <w:w w:val="70"/>
          <w:sz w:val="20"/>
        </w:rPr>
        <w:t>migrantes</w:t>
      </w:r>
      <w:r>
        <w:rPr>
          <w:rFonts w:ascii="Arial" w:hAnsi="Arial"/>
          <w:color w:val="231F20"/>
          <w:spacing w:val="-15"/>
          <w:w w:val="70"/>
          <w:sz w:val="20"/>
        </w:rPr>
        <w:t> </w:t>
      </w:r>
      <w:r>
        <w:rPr>
          <w:rFonts w:ascii="Arial" w:hAnsi="Arial"/>
          <w:color w:val="231F20"/>
          <w:w w:val="70"/>
          <w:sz w:val="20"/>
        </w:rPr>
        <w:t>mexicanos</w:t>
      </w:r>
      <w:r>
        <w:rPr>
          <w:rFonts w:ascii="Arial" w:hAnsi="Arial"/>
          <w:color w:val="231F20"/>
          <w:spacing w:val="-15"/>
          <w:w w:val="70"/>
          <w:sz w:val="20"/>
        </w:rPr>
        <w:t> </w:t>
      </w:r>
      <w:r>
        <w:rPr>
          <w:rFonts w:ascii="Arial" w:hAnsi="Arial"/>
          <w:color w:val="231F20"/>
          <w:w w:val="70"/>
          <w:sz w:val="20"/>
        </w:rPr>
        <w:t>en</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economía...</w:t>
      </w:r>
      <w:r>
        <w:rPr>
          <w:rFonts w:ascii="Arial" w:hAnsi="Arial"/>
          <w:color w:val="231F20"/>
          <w:spacing w:val="-15"/>
          <w:w w:val="70"/>
          <w:sz w:val="20"/>
        </w:rPr>
        <w:t> </w:t>
      </w:r>
      <w:r>
        <w:rPr>
          <w:rFonts w:ascii="Arial" w:hAnsi="Arial"/>
          <w:color w:val="231F20"/>
          <w:w w:val="70"/>
          <w:sz w:val="20"/>
        </w:rPr>
        <w:t>/Esther</w:t>
      </w:r>
      <w:r>
        <w:rPr>
          <w:rFonts w:ascii="Arial" w:hAnsi="Arial"/>
          <w:color w:val="231F20"/>
          <w:spacing w:val="-22"/>
          <w:w w:val="70"/>
          <w:sz w:val="20"/>
        </w:rPr>
        <w:t> </w:t>
      </w:r>
      <w:r>
        <w:rPr>
          <w:rFonts w:ascii="Arial" w:hAnsi="Arial"/>
          <w:color w:val="231F20"/>
          <w:w w:val="70"/>
          <w:sz w:val="20"/>
        </w:rPr>
        <w:t>Figueroa-Hernández</w:t>
      </w:r>
      <w:r>
        <w:rPr>
          <w:rFonts w:ascii="Arial" w:hAnsi="Arial"/>
          <w:color w:val="231F20"/>
          <w:spacing w:val="-22"/>
          <w:w w:val="70"/>
          <w:sz w:val="20"/>
        </w:rPr>
        <w:t> </w:t>
      </w:r>
      <w:r>
        <w:rPr>
          <w:rFonts w:ascii="Arial" w:hAnsi="Arial"/>
          <w:i/>
          <w:color w:val="231F20"/>
          <w:w w:val="70"/>
          <w:sz w:val="20"/>
        </w:rPr>
        <w:t>et</w:t>
      </w:r>
      <w:r>
        <w:rPr>
          <w:rFonts w:ascii="Arial" w:hAnsi="Arial"/>
          <w:i/>
          <w:color w:val="231F20"/>
          <w:spacing w:val="-22"/>
          <w:w w:val="70"/>
          <w:sz w:val="20"/>
        </w:rPr>
        <w:t> </w:t>
      </w:r>
      <w:r>
        <w:rPr>
          <w:rFonts w:ascii="Arial" w:hAnsi="Arial"/>
          <w:i/>
          <w:color w:val="231F20"/>
          <w:w w:val="70"/>
          <w:sz w:val="20"/>
        </w:rPr>
        <w:t>al.</w:t>
      </w:r>
    </w:p>
    <w:p>
      <w:pPr>
        <w:pStyle w:val="BodyText"/>
        <w:rPr>
          <w:rFonts w:ascii="Arial"/>
          <w:i/>
          <w:sz w:val="20"/>
        </w:rPr>
      </w:pPr>
    </w:p>
    <w:p>
      <w:pPr>
        <w:spacing w:line="210" w:lineRule="exact" w:before="123"/>
        <w:ind w:left="117" w:right="115" w:firstLine="0"/>
        <w:jc w:val="both"/>
        <w:rPr>
          <w:sz w:val="20"/>
        </w:rPr>
      </w:pPr>
      <w:r>
        <w:rPr>
          <w:color w:val="231F20"/>
          <w:sz w:val="20"/>
        </w:rPr>
        <w:t>OIM, 2012, </w:t>
      </w:r>
      <w:r>
        <w:rPr>
          <w:i/>
          <w:color w:val="231F20"/>
          <w:sz w:val="20"/>
        </w:rPr>
        <w:t>Hechos y cifras</w:t>
      </w:r>
      <w:r>
        <w:rPr>
          <w:color w:val="231F20"/>
          <w:sz w:val="20"/>
        </w:rPr>
        <w:t>, Organización Internacional de Migración (OIM), disponible en: </w:t>
      </w:r>
      <w:hyperlink r:id="rId159">
        <w:r>
          <w:rPr>
            <w:color w:val="231F20"/>
            <w:sz w:val="20"/>
          </w:rPr>
          <w:t>http://www.iom.int/jahia/Jahia/about-migration/facts-and-figures</w:t>
        </w:r>
      </w:hyperlink>
      <w:r>
        <w:rPr>
          <w:color w:val="231F20"/>
          <w:sz w:val="20"/>
        </w:rPr>
        <w:t> / lang/es.</w:t>
      </w:r>
    </w:p>
    <w:p>
      <w:pPr>
        <w:spacing w:line="210" w:lineRule="exact" w:before="113"/>
        <w:ind w:left="117" w:right="115" w:firstLine="0"/>
        <w:jc w:val="both"/>
        <w:rPr>
          <w:sz w:val="20"/>
        </w:rPr>
      </w:pPr>
      <w:r>
        <w:rPr>
          <w:color w:val="231F20"/>
          <w:sz w:val="20"/>
        </w:rPr>
        <w:t>PASSEL, Jeffrey S. y D’Vera Cohn, 2010, </w:t>
      </w:r>
      <w:r>
        <w:rPr>
          <w:i/>
          <w:color w:val="231F20"/>
          <w:sz w:val="20"/>
        </w:rPr>
        <w:t>Unauthorized immigrant population: </w:t>
      </w:r>
      <w:r>
        <w:rPr>
          <w:i/>
          <w:color w:val="231F20"/>
          <w:sz w:val="20"/>
        </w:rPr>
        <w:t>national and state trends</w:t>
      </w:r>
      <w:r>
        <w:rPr>
          <w:color w:val="231F20"/>
          <w:sz w:val="20"/>
        </w:rPr>
        <w:t>, Pew Hispanic Center/ Pew Research Center.</w:t>
      </w:r>
    </w:p>
    <w:p>
      <w:pPr>
        <w:spacing w:line="210" w:lineRule="exact" w:before="113"/>
        <w:ind w:left="117" w:right="114" w:firstLine="0"/>
        <w:jc w:val="both"/>
        <w:rPr>
          <w:sz w:val="20"/>
        </w:rPr>
      </w:pPr>
      <w:r>
        <w:rPr>
          <w:color w:val="231F20"/>
          <w:sz w:val="20"/>
        </w:rPr>
        <w:t>PEW </w:t>
      </w:r>
      <w:r>
        <w:rPr>
          <w:color w:val="231F20"/>
          <w:spacing w:val="-4"/>
          <w:sz w:val="20"/>
        </w:rPr>
        <w:t>HISPANIC </w:t>
      </w:r>
      <w:r>
        <w:rPr>
          <w:color w:val="231F20"/>
          <w:sz w:val="20"/>
        </w:rPr>
        <w:t>CENTER, 2008, </w:t>
      </w:r>
      <w:r>
        <w:rPr>
          <w:i/>
          <w:color w:val="231F20"/>
          <w:sz w:val="20"/>
        </w:rPr>
        <w:t>Hispanos de origen mexicano en Estados Uni- </w:t>
      </w:r>
      <w:r>
        <w:rPr>
          <w:i/>
          <w:color w:val="231F20"/>
          <w:sz w:val="20"/>
        </w:rPr>
        <w:t>dos</w:t>
      </w:r>
      <w:r>
        <w:rPr>
          <w:color w:val="231F20"/>
          <w:sz w:val="20"/>
        </w:rPr>
        <w:t>, disponible en: </w:t>
      </w:r>
      <w:hyperlink r:id="rId160">
        <w:r>
          <w:rPr>
            <w:color w:val="231F20"/>
            <w:sz w:val="20"/>
          </w:rPr>
          <w:t>http://paisano.gob.mx/pdfs/Hispanos_de_origen_mexicano.</w:t>
        </w:r>
      </w:hyperlink>
      <w:r>
        <w:rPr>
          <w:color w:val="231F20"/>
          <w:sz w:val="20"/>
        </w:rPr>
        <w:t> pdf, consultado en septiembre de 2010.</w:t>
      </w:r>
    </w:p>
    <w:p>
      <w:pPr>
        <w:spacing w:line="210" w:lineRule="exact" w:before="113"/>
        <w:ind w:left="117" w:right="115" w:firstLine="0"/>
        <w:jc w:val="both"/>
        <w:rPr>
          <w:sz w:val="20"/>
        </w:rPr>
      </w:pPr>
      <w:r>
        <w:rPr>
          <w:color w:val="231F20"/>
          <w:sz w:val="20"/>
        </w:rPr>
        <w:t>PEW </w:t>
      </w:r>
      <w:r>
        <w:rPr>
          <w:color w:val="231F20"/>
          <w:spacing w:val="-4"/>
          <w:sz w:val="20"/>
        </w:rPr>
        <w:t>HISPANIC </w:t>
      </w:r>
      <w:r>
        <w:rPr>
          <w:color w:val="231F20"/>
          <w:sz w:val="20"/>
        </w:rPr>
        <w:t>CENTER, 2010, </w:t>
      </w:r>
      <w:r>
        <w:rPr>
          <w:i/>
          <w:color w:val="231F20"/>
          <w:sz w:val="20"/>
        </w:rPr>
        <w:t>Hispanos de origen mexicano en Estados Uni- </w:t>
      </w:r>
      <w:r>
        <w:rPr>
          <w:i/>
          <w:color w:val="231F20"/>
          <w:sz w:val="20"/>
        </w:rPr>
        <w:t>dos. 2008</w:t>
      </w:r>
      <w:r>
        <w:rPr>
          <w:color w:val="231F20"/>
          <w:sz w:val="20"/>
        </w:rPr>
        <w:t>, disponible en: </w:t>
      </w:r>
      <w:hyperlink r:id="rId161">
        <w:r>
          <w:rPr>
            <w:color w:val="231F20"/>
            <w:sz w:val="20"/>
          </w:rPr>
          <w:t>http://paisano.gob.mx/pdfs/Hispanos_de_origen_mexi-</w:t>
        </w:r>
      </w:hyperlink>
      <w:r>
        <w:rPr>
          <w:color w:val="231F20"/>
          <w:sz w:val="20"/>
        </w:rPr>
        <w:t> cano.pdf, consultado en septiembre de 2010.</w:t>
      </w:r>
    </w:p>
    <w:p>
      <w:pPr>
        <w:spacing w:line="210" w:lineRule="exact" w:before="113"/>
        <w:ind w:left="117" w:right="114" w:firstLine="0"/>
        <w:jc w:val="both"/>
        <w:rPr>
          <w:sz w:val="20"/>
        </w:rPr>
      </w:pPr>
      <w:r>
        <w:rPr>
          <w:color w:val="231F20"/>
          <w:spacing w:val="-3"/>
          <w:sz w:val="20"/>
        </w:rPr>
        <w:t>SANTANA,</w:t>
      </w:r>
      <w:r>
        <w:rPr>
          <w:color w:val="231F20"/>
          <w:spacing w:val="-22"/>
          <w:sz w:val="20"/>
        </w:rPr>
        <w:t> </w:t>
      </w:r>
      <w:r>
        <w:rPr>
          <w:color w:val="231F20"/>
          <w:sz w:val="20"/>
        </w:rPr>
        <w:t>Adalberto,</w:t>
      </w:r>
      <w:r>
        <w:rPr>
          <w:color w:val="231F20"/>
          <w:spacing w:val="-11"/>
          <w:sz w:val="20"/>
        </w:rPr>
        <w:t> </w:t>
      </w:r>
      <w:r>
        <w:rPr>
          <w:color w:val="231F20"/>
          <w:sz w:val="20"/>
        </w:rPr>
        <w:t>2003,</w:t>
      </w:r>
      <w:r>
        <w:rPr>
          <w:color w:val="231F20"/>
          <w:spacing w:val="-12"/>
          <w:sz w:val="20"/>
        </w:rPr>
        <w:t> </w:t>
      </w:r>
      <w:r>
        <w:rPr>
          <w:i/>
          <w:color w:val="231F20"/>
          <w:sz w:val="20"/>
        </w:rPr>
        <w:t>Migración</w:t>
      </w:r>
      <w:r>
        <w:rPr>
          <w:i/>
          <w:color w:val="231F20"/>
          <w:spacing w:val="-12"/>
          <w:sz w:val="20"/>
        </w:rPr>
        <w:t> </w:t>
      </w:r>
      <w:r>
        <w:rPr>
          <w:i/>
          <w:color w:val="231F20"/>
          <w:sz w:val="20"/>
        </w:rPr>
        <w:t>y</w:t>
      </w:r>
      <w:r>
        <w:rPr>
          <w:i/>
          <w:color w:val="231F20"/>
          <w:spacing w:val="-12"/>
          <w:sz w:val="20"/>
        </w:rPr>
        <w:t> </w:t>
      </w:r>
      <w:r>
        <w:rPr>
          <w:i/>
          <w:color w:val="231F20"/>
          <w:sz w:val="20"/>
        </w:rPr>
        <w:t>economía</w:t>
      </w:r>
      <w:r>
        <w:rPr>
          <w:i/>
          <w:color w:val="231F20"/>
          <w:spacing w:val="-12"/>
          <w:sz w:val="20"/>
        </w:rPr>
        <w:t> </w:t>
      </w:r>
      <w:r>
        <w:rPr>
          <w:i/>
          <w:color w:val="231F20"/>
          <w:sz w:val="20"/>
        </w:rPr>
        <w:t>subterránea</w:t>
      </w:r>
      <w:r>
        <w:rPr>
          <w:i/>
          <w:color w:val="231F20"/>
          <w:spacing w:val="-11"/>
          <w:sz w:val="20"/>
        </w:rPr>
        <w:t> </w:t>
      </w:r>
      <w:r>
        <w:rPr>
          <w:i/>
          <w:color w:val="231F20"/>
          <w:sz w:val="20"/>
        </w:rPr>
        <w:t>en</w:t>
      </w:r>
      <w:r>
        <w:rPr>
          <w:i/>
          <w:color w:val="231F20"/>
          <w:spacing w:val="-15"/>
          <w:sz w:val="20"/>
        </w:rPr>
        <w:t> </w:t>
      </w:r>
      <w:r>
        <w:rPr>
          <w:i/>
          <w:color w:val="231F20"/>
          <w:sz w:val="20"/>
        </w:rPr>
        <w:t>América</w:t>
      </w:r>
      <w:r>
        <w:rPr>
          <w:i/>
          <w:color w:val="231F20"/>
          <w:spacing w:val="-12"/>
          <w:sz w:val="20"/>
        </w:rPr>
        <w:t> </w:t>
      </w:r>
      <w:r>
        <w:rPr>
          <w:i/>
          <w:color w:val="231F20"/>
          <w:sz w:val="20"/>
        </w:rPr>
        <w:t>lati- </w:t>
      </w:r>
      <w:r>
        <w:rPr>
          <w:i/>
          <w:color w:val="231F20"/>
          <w:sz w:val="20"/>
        </w:rPr>
        <w:t>na</w:t>
      </w:r>
      <w:r>
        <w:rPr>
          <w:color w:val="231F20"/>
          <w:sz w:val="20"/>
        </w:rPr>
        <w:t>,</w:t>
      </w:r>
      <w:r>
        <w:rPr>
          <w:color w:val="231F20"/>
          <w:spacing w:val="-9"/>
          <w:sz w:val="20"/>
        </w:rPr>
        <w:t> </w:t>
      </w:r>
      <w:r>
        <w:rPr>
          <w:color w:val="231F20"/>
          <w:sz w:val="20"/>
        </w:rPr>
        <w:t>en</w:t>
      </w:r>
      <w:r>
        <w:rPr>
          <w:color w:val="231F20"/>
          <w:spacing w:val="-9"/>
          <w:sz w:val="20"/>
        </w:rPr>
        <w:t> </w:t>
      </w:r>
      <w:r>
        <w:rPr>
          <w:color w:val="231F20"/>
          <w:sz w:val="20"/>
        </w:rPr>
        <w:t>Seminario</w:t>
      </w:r>
      <w:r>
        <w:rPr>
          <w:color w:val="231F20"/>
          <w:spacing w:val="-20"/>
          <w:sz w:val="20"/>
        </w:rPr>
        <w:t> </w:t>
      </w:r>
      <w:r>
        <w:rPr>
          <w:color w:val="231F20"/>
          <w:sz w:val="20"/>
        </w:rPr>
        <w:t>Anual</w:t>
      </w:r>
      <w:r>
        <w:rPr>
          <w:color w:val="231F20"/>
          <w:spacing w:val="-9"/>
          <w:sz w:val="20"/>
        </w:rPr>
        <w:t> </w:t>
      </w:r>
      <w:r>
        <w:rPr>
          <w:color w:val="231F20"/>
          <w:sz w:val="20"/>
        </w:rPr>
        <w:t>de</w:t>
      </w:r>
      <w:r>
        <w:rPr>
          <w:color w:val="231F20"/>
          <w:spacing w:val="-9"/>
          <w:sz w:val="20"/>
        </w:rPr>
        <w:t> </w:t>
      </w:r>
      <w:r>
        <w:rPr>
          <w:color w:val="231F20"/>
          <w:sz w:val="20"/>
        </w:rPr>
        <w:t>la</w:t>
      </w:r>
      <w:r>
        <w:rPr>
          <w:color w:val="231F20"/>
          <w:spacing w:val="-20"/>
          <w:sz w:val="20"/>
        </w:rPr>
        <w:t> </w:t>
      </w:r>
      <w:r>
        <w:rPr>
          <w:color w:val="231F20"/>
          <w:sz w:val="20"/>
        </w:rPr>
        <w:t>Asociación</w:t>
      </w:r>
      <w:r>
        <w:rPr>
          <w:color w:val="231F20"/>
          <w:spacing w:val="-9"/>
          <w:sz w:val="20"/>
        </w:rPr>
        <w:t> </w:t>
      </w:r>
      <w:r>
        <w:rPr>
          <w:color w:val="231F20"/>
          <w:sz w:val="20"/>
        </w:rPr>
        <w:t>de</w:t>
      </w:r>
      <w:r>
        <w:rPr>
          <w:color w:val="231F20"/>
          <w:spacing w:val="-9"/>
          <w:sz w:val="20"/>
        </w:rPr>
        <w:t> </w:t>
      </w:r>
      <w:r>
        <w:rPr>
          <w:color w:val="231F20"/>
          <w:sz w:val="20"/>
        </w:rPr>
        <w:t>Latinoamericanistas</w:t>
      </w:r>
      <w:r>
        <w:rPr>
          <w:color w:val="231F20"/>
          <w:spacing w:val="-21"/>
          <w:sz w:val="20"/>
        </w:rPr>
        <w:t> </w:t>
      </w:r>
      <w:r>
        <w:rPr>
          <w:color w:val="231F20"/>
          <w:sz w:val="20"/>
        </w:rPr>
        <w:t>Austriacos,</w:t>
      </w:r>
      <w:r>
        <w:rPr>
          <w:color w:val="231F20"/>
          <w:spacing w:val="-9"/>
          <w:sz w:val="20"/>
        </w:rPr>
        <w:t> </w:t>
      </w:r>
      <w:r>
        <w:rPr>
          <w:color w:val="231F20"/>
          <w:sz w:val="20"/>
        </w:rPr>
        <w:t>reali- zado</w:t>
      </w:r>
      <w:r>
        <w:rPr>
          <w:color w:val="231F20"/>
          <w:spacing w:val="-11"/>
          <w:sz w:val="20"/>
        </w:rPr>
        <w:t> </w:t>
      </w:r>
      <w:r>
        <w:rPr>
          <w:color w:val="231F20"/>
          <w:sz w:val="20"/>
        </w:rPr>
        <w:t>del</w:t>
      </w:r>
      <w:r>
        <w:rPr>
          <w:color w:val="231F20"/>
          <w:spacing w:val="-11"/>
          <w:sz w:val="20"/>
        </w:rPr>
        <w:t> </w:t>
      </w:r>
      <w:r>
        <w:rPr>
          <w:color w:val="231F20"/>
          <w:sz w:val="20"/>
        </w:rPr>
        <w:t>16</w:t>
      </w:r>
      <w:r>
        <w:rPr>
          <w:color w:val="231F20"/>
          <w:spacing w:val="-11"/>
          <w:sz w:val="20"/>
        </w:rPr>
        <w:t> </w:t>
      </w:r>
      <w:r>
        <w:rPr>
          <w:color w:val="231F20"/>
          <w:sz w:val="20"/>
        </w:rPr>
        <w:t>al</w:t>
      </w:r>
      <w:r>
        <w:rPr>
          <w:color w:val="231F20"/>
          <w:spacing w:val="-11"/>
          <w:sz w:val="20"/>
        </w:rPr>
        <w:t> </w:t>
      </w:r>
      <w:r>
        <w:rPr>
          <w:color w:val="231F20"/>
          <w:sz w:val="20"/>
        </w:rPr>
        <w:t>18</w:t>
      </w:r>
      <w:r>
        <w:rPr>
          <w:color w:val="231F20"/>
          <w:spacing w:val="-11"/>
          <w:sz w:val="20"/>
        </w:rPr>
        <w:t> </w:t>
      </w:r>
      <w:r>
        <w:rPr>
          <w:color w:val="231F20"/>
          <w:sz w:val="20"/>
        </w:rPr>
        <w:t>de</w:t>
      </w:r>
      <w:r>
        <w:rPr>
          <w:color w:val="231F20"/>
          <w:spacing w:val="-11"/>
          <w:sz w:val="20"/>
        </w:rPr>
        <w:t> </w:t>
      </w:r>
      <w:r>
        <w:rPr>
          <w:color w:val="231F20"/>
          <w:sz w:val="20"/>
        </w:rPr>
        <w:t>mayo</w:t>
      </w:r>
      <w:r>
        <w:rPr>
          <w:color w:val="231F20"/>
          <w:spacing w:val="-11"/>
          <w:sz w:val="20"/>
        </w:rPr>
        <w:t> </w:t>
      </w:r>
      <w:r>
        <w:rPr>
          <w:color w:val="231F20"/>
          <w:sz w:val="20"/>
        </w:rPr>
        <w:t>de</w:t>
      </w:r>
      <w:r>
        <w:rPr>
          <w:color w:val="231F20"/>
          <w:spacing w:val="-11"/>
          <w:sz w:val="20"/>
        </w:rPr>
        <w:t> </w:t>
      </w:r>
      <w:r>
        <w:rPr>
          <w:color w:val="231F20"/>
          <w:sz w:val="20"/>
        </w:rPr>
        <w:t>2003</w:t>
      </w:r>
      <w:r>
        <w:rPr>
          <w:color w:val="231F20"/>
          <w:spacing w:val="-11"/>
          <w:sz w:val="20"/>
        </w:rPr>
        <w:t> </w:t>
      </w:r>
      <w:r>
        <w:rPr>
          <w:color w:val="231F20"/>
          <w:sz w:val="20"/>
        </w:rPr>
        <w:t>en</w:t>
      </w:r>
      <w:r>
        <w:rPr>
          <w:color w:val="231F20"/>
          <w:spacing w:val="-11"/>
          <w:sz w:val="20"/>
        </w:rPr>
        <w:t> </w:t>
      </w:r>
      <w:r>
        <w:rPr>
          <w:color w:val="231F20"/>
          <w:sz w:val="20"/>
        </w:rPr>
        <w:t>Strobl</w:t>
      </w:r>
      <w:r>
        <w:rPr>
          <w:color w:val="231F20"/>
          <w:spacing w:val="-10"/>
          <w:sz w:val="20"/>
        </w:rPr>
        <w:t> </w:t>
      </w:r>
      <w:r>
        <w:rPr>
          <w:color w:val="231F20"/>
          <w:sz w:val="20"/>
        </w:rPr>
        <w:t>am</w:t>
      </w:r>
      <w:r>
        <w:rPr>
          <w:color w:val="231F20"/>
          <w:spacing w:val="-14"/>
          <w:sz w:val="20"/>
        </w:rPr>
        <w:t> </w:t>
      </w:r>
      <w:r>
        <w:rPr>
          <w:color w:val="231F20"/>
          <w:sz w:val="20"/>
        </w:rPr>
        <w:t>Wolfgangssee,</w:t>
      </w:r>
      <w:r>
        <w:rPr>
          <w:color w:val="231F20"/>
          <w:spacing w:val="-22"/>
          <w:sz w:val="20"/>
        </w:rPr>
        <w:t> </w:t>
      </w:r>
      <w:r>
        <w:rPr>
          <w:color w:val="231F20"/>
          <w:sz w:val="20"/>
        </w:rPr>
        <w:t>Austria,</w:t>
      </w:r>
      <w:r>
        <w:rPr>
          <w:color w:val="231F20"/>
          <w:spacing w:val="-10"/>
          <w:sz w:val="20"/>
        </w:rPr>
        <w:t> </w:t>
      </w:r>
      <w:r>
        <w:rPr>
          <w:color w:val="231F20"/>
          <w:sz w:val="20"/>
        </w:rPr>
        <w:t>disponible en pdf, </w:t>
      </w:r>
      <w:hyperlink r:id="rId162">
        <w:r>
          <w:rPr>
            <w:color w:val="231F20"/>
            <w:sz w:val="20"/>
          </w:rPr>
          <w:t>http://www.lai.at/wissenschaft/arge-oelaf/files/santana.pdf,</w:t>
        </w:r>
      </w:hyperlink>
      <w:r>
        <w:rPr>
          <w:color w:val="231F20"/>
          <w:sz w:val="20"/>
        </w:rPr>
        <w:t> consultado en septiembre de</w:t>
      </w:r>
      <w:r>
        <w:rPr>
          <w:color w:val="231F20"/>
          <w:spacing w:val="-9"/>
          <w:sz w:val="20"/>
        </w:rPr>
        <w:t> </w:t>
      </w:r>
      <w:r>
        <w:rPr>
          <w:color w:val="231F20"/>
          <w:sz w:val="20"/>
        </w:rPr>
        <w:t>2010.</w:t>
      </w:r>
    </w:p>
    <w:p>
      <w:pPr>
        <w:spacing w:line="210" w:lineRule="exact" w:before="113"/>
        <w:ind w:left="117" w:right="115" w:firstLine="0"/>
        <w:jc w:val="both"/>
        <w:rPr>
          <w:sz w:val="20"/>
        </w:rPr>
      </w:pPr>
      <w:r>
        <w:rPr>
          <w:color w:val="231F20"/>
          <w:sz w:val="20"/>
        </w:rPr>
        <w:t>SIMDE, 2008, </w:t>
      </w:r>
      <w:r>
        <w:rPr>
          <w:i/>
          <w:color w:val="231F20"/>
          <w:sz w:val="20"/>
        </w:rPr>
        <w:t>Los migrantes mexicanos pagan impuestos</w:t>
      </w:r>
      <w:r>
        <w:rPr>
          <w:color w:val="231F20"/>
          <w:sz w:val="20"/>
        </w:rPr>
        <w:t>, Sistema de Informa- ción sobre Migración Internacional y Desarrollo (SIMDE).</w:t>
      </w:r>
    </w:p>
    <w:p>
      <w:pPr>
        <w:pStyle w:val="BodyText"/>
        <w:rPr>
          <w:sz w:val="20"/>
        </w:rPr>
      </w:pPr>
    </w:p>
    <w:p>
      <w:pPr>
        <w:pStyle w:val="BodyText"/>
        <w:spacing w:before="9"/>
        <w:rPr>
          <w:sz w:val="28"/>
        </w:rPr>
      </w:pPr>
    </w:p>
    <w:p>
      <w:pPr>
        <w:spacing w:before="1"/>
        <w:ind w:left="117" w:right="0" w:firstLine="0"/>
        <w:jc w:val="both"/>
        <w:rPr>
          <w:i/>
          <w:sz w:val="22"/>
        </w:rPr>
      </w:pPr>
      <w:r>
        <w:rPr>
          <w:i/>
          <w:color w:val="231F20"/>
          <w:sz w:val="22"/>
        </w:rPr>
        <w:t>Esther Figueroa-Hernández</w:t>
      </w:r>
    </w:p>
    <w:p>
      <w:pPr>
        <w:pStyle w:val="BodyText"/>
        <w:spacing w:before="2"/>
        <w:rPr>
          <w:i/>
          <w:sz w:val="23"/>
        </w:rPr>
      </w:pPr>
    </w:p>
    <w:p>
      <w:pPr>
        <w:pStyle w:val="BodyText"/>
        <w:spacing w:line="247" w:lineRule="auto"/>
        <w:ind w:left="117" w:right="114"/>
        <w:jc w:val="both"/>
      </w:pPr>
      <w:r>
        <w:rPr>
          <w:color w:val="231F20"/>
        </w:rPr>
        <w:t>Doctora en Ciencias en Economía Agrícola por la Universidad Autónoma Chapingo. Es profesora de tiempo completo de la Licenciatura en Econo- mía</w:t>
      </w:r>
      <w:r>
        <w:rPr>
          <w:color w:val="231F20"/>
          <w:spacing w:val="-14"/>
        </w:rPr>
        <w:t> </w:t>
      </w:r>
      <w:r>
        <w:rPr>
          <w:color w:val="231F20"/>
        </w:rPr>
        <w:t>del</w:t>
      </w:r>
      <w:r>
        <w:rPr>
          <w:color w:val="231F20"/>
          <w:spacing w:val="-14"/>
        </w:rPr>
        <w:t> </w:t>
      </w:r>
      <w:r>
        <w:rPr>
          <w:color w:val="231F20"/>
        </w:rPr>
        <w:t>Centro</w:t>
      </w:r>
      <w:r>
        <w:rPr>
          <w:color w:val="231F20"/>
          <w:spacing w:val="-14"/>
        </w:rPr>
        <w:t> </w:t>
      </w:r>
      <w:r>
        <w:rPr>
          <w:color w:val="231F20"/>
        </w:rPr>
        <w:t>Universitario</w:t>
      </w:r>
      <w:r>
        <w:rPr>
          <w:color w:val="231F20"/>
          <w:spacing w:val="-13"/>
        </w:rPr>
        <w:t> </w:t>
      </w:r>
      <w:r>
        <w:rPr>
          <w:color w:val="231F20"/>
        </w:rPr>
        <w:t>UAEM-Texcoco,</w:t>
      </w:r>
      <w:r>
        <w:rPr>
          <w:color w:val="231F20"/>
          <w:spacing w:val="-15"/>
        </w:rPr>
        <w:t> </w:t>
      </w:r>
      <w:r>
        <w:rPr>
          <w:color w:val="231F20"/>
        </w:rPr>
        <w:t>donde</w:t>
      </w:r>
      <w:r>
        <w:rPr>
          <w:color w:val="231F20"/>
          <w:spacing w:val="-14"/>
        </w:rPr>
        <w:t> </w:t>
      </w:r>
      <w:r>
        <w:rPr>
          <w:color w:val="231F20"/>
        </w:rPr>
        <w:t>imparte</w:t>
      </w:r>
      <w:r>
        <w:rPr>
          <w:color w:val="231F20"/>
          <w:spacing w:val="-15"/>
        </w:rPr>
        <w:t> </w:t>
      </w:r>
      <w:r>
        <w:rPr>
          <w:color w:val="231F20"/>
        </w:rPr>
        <w:t>los</w:t>
      </w:r>
      <w:r>
        <w:rPr>
          <w:color w:val="231F20"/>
          <w:spacing w:val="-14"/>
        </w:rPr>
        <w:t> </w:t>
      </w:r>
      <w:r>
        <w:rPr>
          <w:color w:val="231F20"/>
        </w:rPr>
        <w:t>cursos</w:t>
      </w:r>
      <w:r>
        <w:rPr>
          <w:color w:val="231F20"/>
          <w:spacing w:val="-15"/>
        </w:rPr>
        <w:t> </w:t>
      </w:r>
      <w:r>
        <w:rPr>
          <w:color w:val="231F20"/>
        </w:rPr>
        <w:t>de Introducción a la Economía, Microeconomía I y </w:t>
      </w:r>
      <w:r>
        <w:rPr>
          <w:color w:val="231F20"/>
          <w:spacing w:val="-3"/>
        </w:rPr>
        <w:t>Taller </w:t>
      </w:r>
      <w:r>
        <w:rPr>
          <w:color w:val="231F20"/>
        </w:rPr>
        <w:t>de Investigación. Es miembro del Sistema Nacional de Investigadores Nivel I. Entre sus úl- timas publicaciones destacan “El proceso de asentamiento de la</w:t>
      </w:r>
      <w:r>
        <w:rPr>
          <w:color w:val="231F20"/>
          <w:spacing w:val="-28"/>
        </w:rPr>
        <w:t> </w:t>
      </w:r>
      <w:r>
        <w:rPr>
          <w:color w:val="231F20"/>
        </w:rPr>
        <w:t>migración México-Estados Unidos” (coautor) en la revista </w:t>
      </w:r>
      <w:r>
        <w:rPr>
          <w:i/>
          <w:color w:val="231F20"/>
        </w:rPr>
        <w:t>Papeles de Población</w:t>
      </w:r>
      <w:r>
        <w:rPr>
          <w:color w:val="231F20"/>
        </w:rPr>
        <w:t>, 2011; “El desempleo en México”, en </w:t>
      </w:r>
      <w:r>
        <w:rPr>
          <w:i/>
          <w:color w:val="231F20"/>
        </w:rPr>
        <w:t>Globalización, desarrollo regional  </w:t>
      </w:r>
      <w:r>
        <w:rPr>
          <w:i/>
          <w:color w:val="231F20"/>
        </w:rPr>
        <w:t>y sector agroalimentario</w:t>
      </w:r>
      <w:r>
        <w:rPr>
          <w:color w:val="231F20"/>
        </w:rPr>
        <w:t>, Editorial Académica Española, 2012; “Análisis del desempleo, la migración y la pobreza en México” (coautor) en la </w:t>
      </w:r>
      <w:r>
        <w:rPr>
          <w:i/>
          <w:color w:val="231F20"/>
        </w:rPr>
        <w:t>Re- </w:t>
      </w:r>
      <w:r>
        <w:rPr>
          <w:i/>
          <w:color w:val="231F20"/>
        </w:rPr>
        <w:t>vista Mexicana de Agronegocios</w:t>
      </w:r>
      <w:r>
        <w:rPr>
          <w:color w:val="231F20"/>
        </w:rPr>
        <w:t>, 2012 y “Migration and Remittances on Mexican Economic Growth”, en </w:t>
      </w:r>
      <w:r>
        <w:rPr>
          <w:i/>
          <w:color w:val="231F20"/>
        </w:rPr>
        <w:t>ECORFAN-Journal</w:t>
      </w:r>
      <w:r>
        <w:rPr>
          <w:color w:val="231F20"/>
        </w:rPr>
        <w:t>,</w:t>
      </w:r>
      <w:r>
        <w:rPr>
          <w:color w:val="231F20"/>
          <w:spacing w:val="-31"/>
        </w:rPr>
        <w:t> </w:t>
      </w:r>
      <w:r>
        <w:rPr>
          <w:color w:val="231F20"/>
        </w:rPr>
        <w:t>2013.</w:t>
      </w:r>
    </w:p>
    <w:p>
      <w:pPr>
        <w:pStyle w:val="BodyText"/>
        <w:spacing w:before="6"/>
      </w:pPr>
    </w:p>
    <w:p>
      <w:pPr>
        <w:pStyle w:val="BodyText"/>
        <w:ind w:left="117"/>
        <w:jc w:val="both"/>
      </w:pPr>
      <w:r>
        <w:rPr>
          <w:color w:val="231F20"/>
        </w:rPr>
        <w:t>Correo electrónico: </w:t>
      </w:r>
      <w:hyperlink r:id="rId163">
        <w:r>
          <w:rPr>
            <w:color w:val="231F20"/>
          </w:rPr>
          <w:t>esfigue_3@yahoo.com.mx</w:t>
        </w:r>
      </w:hyperlink>
    </w:p>
    <w:p>
      <w:pPr>
        <w:spacing w:after="0"/>
        <w:jc w:val="both"/>
        <w:sectPr>
          <w:footerReference w:type="default" r:id="rId158"/>
          <w:pgSz w:w="9360" w:h="13040"/>
          <w:pgMar w:footer="496" w:header="0" w:top="740" w:bottom="680" w:left="1300" w:right="1300"/>
          <w:pgNumType w:start="171"/>
        </w:sectPr>
      </w:pPr>
    </w:p>
    <w:p>
      <w:pPr>
        <w:tabs>
          <w:tab w:pos="5536" w:val="left" w:leader="none"/>
        </w:tabs>
        <w:spacing w:before="51"/>
        <w:ind w:left="117" w:right="0" w:firstLine="0"/>
        <w:jc w:val="both"/>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spacing w:before="1"/>
        <w:ind w:left="117" w:right="0" w:firstLine="0"/>
        <w:jc w:val="both"/>
        <w:rPr>
          <w:i/>
          <w:sz w:val="22"/>
        </w:rPr>
      </w:pPr>
      <w:r>
        <w:rPr>
          <w:i/>
          <w:color w:val="231F20"/>
          <w:sz w:val="22"/>
        </w:rPr>
        <w:t>Francisco Pérez-Soto</w:t>
      </w:r>
    </w:p>
    <w:p>
      <w:pPr>
        <w:pStyle w:val="BodyText"/>
        <w:spacing w:before="2"/>
        <w:rPr>
          <w:i/>
          <w:sz w:val="23"/>
        </w:rPr>
      </w:pPr>
    </w:p>
    <w:p>
      <w:pPr>
        <w:pStyle w:val="BodyText"/>
        <w:spacing w:line="247" w:lineRule="auto"/>
        <w:ind w:left="117" w:right="114"/>
        <w:jc w:val="both"/>
      </w:pPr>
      <w:r>
        <w:rPr>
          <w:color w:val="231F20"/>
        </w:rPr>
        <w:t>Doctor en Ciencias en Economía por el Colegio de Postgraduados, Mon- tecillo, Texcoco, Estado de México. Es profesor de tiempo completo de la División de Ciencias Económico Administrativas de la Universidad Autó- noma Chapingo, en donde imparte los cursos de Cálculo, Algebra Lineal, Estadística y </w:t>
      </w:r>
      <w:r>
        <w:rPr>
          <w:color w:val="231F20"/>
          <w:spacing w:val="-3"/>
        </w:rPr>
        <w:t>Taller </w:t>
      </w:r>
      <w:r>
        <w:rPr>
          <w:color w:val="231F20"/>
        </w:rPr>
        <w:t>de Investigación. Es miembro del Sistema Nacional  de Investigadores Nivel I. Entre sus últimas publicaciones destacan “El proceso de asentamiento de la migración México-Estados Unidos”, en    la revista </w:t>
      </w:r>
      <w:r>
        <w:rPr>
          <w:i/>
          <w:color w:val="231F20"/>
        </w:rPr>
        <w:t>Papeles de Población</w:t>
      </w:r>
      <w:r>
        <w:rPr>
          <w:color w:val="231F20"/>
        </w:rPr>
        <w:t>, 2011; “La atención gubernamental a los grupos vulnerables en México. La población Jornalera agrícola”, en </w:t>
      </w:r>
      <w:r>
        <w:rPr>
          <w:i/>
          <w:color w:val="231F20"/>
        </w:rPr>
        <w:t>Glo- </w:t>
      </w:r>
      <w:r>
        <w:rPr>
          <w:i/>
          <w:color w:val="231F20"/>
        </w:rPr>
        <w:t>balización, desarrollo regional y sector agroalimentario</w:t>
      </w:r>
      <w:r>
        <w:rPr>
          <w:color w:val="231F20"/>
        </w:rPr>
        <w:t>, Editorial Aca- démica Española, 2012 y “Análisis de la deuda y el gasto público en el crecimiento económico de México, 1980-2012”, en </w:t>
      </w:r>
      <w:r>
        <w:rPr>
          <w:i/>
          <w:color w:val="231F20"/>
        </w:rPr>
        <w:t>Estudios en Finanzas </w:t>
      </w:r>
      <w:r>
        <w:rPr>
          <w:i/>
          <w:color w:val="231F20"/>
        </w:rPr>
        <w:t>y Contabilidad: España y América Latina</w:t>
      </w:r>
      <w:r>
        <w:rPr>
          <w:color w:val="231F20"/>
        </w:rPr>
        <w:t>, </w:t>
      </w:r>
      <w:r>
        <w:rPr>
          <w:i/>
          <w:color w:val="231F20"/>
          <w:spacing w:val="-5"/>
        </w:rPr>
        <w:t>Temas </w:t>
      </w:r>
      <w:r>
        <w:rPr>
          <w:i/>
          <w:color w:val="231F20"/>
        </w:rPr>
        <w:t>selectos de Finanzas</w:t>
      </w:r>
      <w:r>
        <w:rPr>
          <w:color w:val="231F20"/>
        </w:rPr>
        <w:t>,</w:t>
      </w:r>
      <w:r>
        <w:rPr>
          <w:color w:val="231F20"/>
          <w:spacing w:val="-30"/>
        </w:rPr>
        <w:t> </w:t>
      </w:r>
      <w:r>
        <w:rPr>
          <w:color w:val="231F20"/>
        </w:rPr>
        <w:t>en ECORFAN-Madrid, España,</w:t>
      </w:r>
      <w:r>
        <w:rPr>
          <w:color w:val="231F20"/>
          <w:spacing w:val="-27"/>
        </w:rPr>
        <w:t> </w:t>
      </w:r>
      <w:r>
        <w:rPr>
          <w:color w:val="231F20"/>
        </w:rPr>
        <w:t>2013.</w:t>
      </w:r>
    </w:p>
    <w:p>
      <w:pPr>
        <w:pStyle w:val="BodyText"/>
        <w:spacing w:before="6"/>
      </w:pPr>
    </w:p>
    <w:p>
      <w:pPr>
        <w:pStyle w:val="BodyText"/>
        <w:ind w:left="117"/>
        <w:jc w:val="both"/>
      </w:pPr>
      <w:r>
        <w:rPr>
          <w:color w:val="231F20"/>
        </w:rPr>
        <w:t>Correo electrónico: </w:t>
      </w:r>
      <w:hyperlink r:id="rId164">
        <w:r>
          <w:rPr>
            <w:color w:val="231F20"/>
          </w:rPr>
          <w:t>perezsotof@hotmail.com</w:t>
        </w:r>
      </w:hyperlink>
    </w:p>
    <w:p>
      <w:pPr>
        <w:pStyle w:val="BodyText"/>
        <w:spacing w:before="2"/>
        <w:rPr>
          <w:sz w:val="23"/>
        </w:rPr>
      </w:pPr>
    </w:p>
    <w:p>
      <w:pPr>
        <w:spacing w:before="0"/>
        <w:ind w:left="117" w:right="0" w:firstLine="0"/>
        <w:jc w:val="both"/>
        <w:rPr>
          <w:i/>
          <w:sz w:val="22"/>
        </w:rPr>
      </w:pPr>
      <w:r>
        <w:rPr>
          <w:i/>
          <w:color w:val="231F20"/>
          <w:sz w:val="22"/>
        </w:rPr>
        <w:t>Lucila Godínez-Montoya</w:t>
      </w:r>
    </w:p>
    <w:p>
      <w:pPr>
        <w:pStyle w:val="BodyText"/>
        <w:spacing w:before="2"/>
        <w:rPr>
          <w:i/>
          <w:sz w:val="23"/>
        </w:rPr>
      </w:pPr>
    </w:p>
    <w:p>
      <w:pPr>
        <w:spacing w:line="247" w:lineRule="auto" w:before="0"/>
        <w:ind w:left="117" w:right="114" w:firstLine="0"/>
        <w:jc w:val="both"/>
        <w:rPr>
          <w:sz w:val="22"/>
        </w:rPr>
      </w:pPr>
      <w:r>
        <w:rPr>
          <w:color w:val="231F20"/>
          <w:sz w:val="22"/>
        </w:rPr>
        <w:t>Doctora en Ciencias en Economía Agrícola por la Universidad Autónoma Chapingo. Es profesora de asignatura de la Licenciatura en Economía del Centro Universitario UAEM-Texcoco, imparte las materias de Microeco- nomía Avanzada y Hacienda  Pública.  Entre  sus  últimas  publicaciones se encuentran “Análisis de la deuda y el gasto público en el crecimiento económico de México, 1980-2012”, en </w:t>
      </w:r>
      <w:r>
        <w:rPr>
          <w:i/>
          <w:color w:val="231F20"/>
          <w:sz w:val="22"/>
        </w:rPr>
        <w:t>Estudios en Finanzas y Contabili- </w:t>
      </w:r>
      <w:r>
        <w:rPr>
          <w:i/>
          <w:color w:val="231F20"/>
          <w:sz w:val="22"/>
        </w:rPr>
        <w:t>dad: España y América Latina</w:t>
      </w:r>
      <w:r>
        <w:rPr>
          <w:color w:val="231F20"/>
          <w:sz w:val="22"/>
        </w:rPr>
        <w:t>. </w:t>
      </w:r>
      <w:r>
        <w:rPr>
          <w:i/>
          <w:color w:val="231F20"/>
          <w:sz w:val="22"/>
        </w:rPr>
        <w:t>Estado del arte y las nuevas metodología </w:t>
      </w:r>
      <w:r>
        <w:rPr>
          <w:i/>
          <w:color w:val="231F20"/>
          <w:sz w:val="22"/>
        </w:rPr>
        <w:t>aplicadas</w:t>
      </w:r>
      <w:r>
        <w:rPr>
          <w:color w:val="231F20"/>
          <w:sz w:val="22"/>
        </w:rPr>
        <w:t>, ECORFAN-México, 2013; “Análisis de política agropecuaria mediante la matriz de contabilidad social en una comunidad rural de Mé- xico”, en </w:t>
      </w:r>
      <w:r>
        <w:rPr>
          <w:i/>
          <w:color w:val="231F20"/>
          <w:sz w:val="22"/>
        </w:rPr>
        <w:t>Optimización estocástica-recursiva coherente-sistemática y sus </w:t>
      </w:r>
      <w:r>
        <w:rPr>
          <w:i/>
          <w:color w:val="231F20"/>
          <w:sz w:val="22"/>
        </w:rPr>
        <w:t>variantes</w:t>
      </w:r>
      <w:r>
        <w:rPr>
          <w:color w:val="231F20"/>
          <w:sz w:val="22"/>
        </w:rPr>
        <w:t>, ECORFAN-México, 2012 (ambos en coautoría) y “Migration and remittances on Mexican economic growth” (coautora) en </w:t>
      </w:r>
      <w:r>
        <w:rPr>
          <w:i/>
          <w:color w:val="231F20"/>
          <w:sz w:val="22"/>
        </w:rPr>
        <w:t>ECORFAN </w:t>
      </w:r>
      <w:r>
        <w:rPr>
          <w:i/>
          <w:color w:val="231F20"/>
          <w:sz w:val="22"/>
        </w:rPr>
        <w:t>Journal</w:t>
      </w:r>
      <w:r>
        <w:rPr>
          <w:color w:val="231F20"/>
          <w:sz w:val="22"/>
        </w:rPr>
        <w:t>, 2013.</w:t>
      </w:r>
    </w:p>
    <w:p>
      <w:pPr>
        <w:pStyle w:val="BodyText"/>
        <w:spacing w:before="6"/>
      </w:pPr>
    </w:p>
    <w:p>
      <w:pPr>
        <w:pStyle w:val="BodyText"/>
        <w:ind w:left="117"/>
        <w:jc w:val="both"/>
      </w:pPr>
      <w:r>
        <w:rPr>
          <w:color w:val="231F20"/>
        </w:rPr>
        <w:t>Correo electrónico: </w:t>
      </w:r>
      <w:hyperlink r:id="rId61">
        <w:r>
          <w:rPr>
            <w:color w:val="231F20"/>
          </w:rPr>
          <w:t>lucilagm76@hotmail.com</w:t>
        </w:r>
      </w:hyperlink>
    </w:p>
    <w:p>
      <w:pPr>
        <w:spacing w:after="0"/>
        <w:jc w:val="both"/>
        <w:sectPr>
          <w:pgSz w:w="9360" w:h="13040"/>
          <w:pgMar w:header="0" w:footer="496" w:top="840" w:bottom="680" w:left="1300" w:right="1300"/>
        </w:sectPr>
      </w:pPr>
    </w:p>
    <w:p>
      <w:pPr>
        <w:pStyle w:val="BodyText"/>
        <w:ind w:left="111"/>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ind w:left="1916" w:right="672" w:hanging="1010"/>
      </w:pPr>
      <w:r>
        <w:rPr/>
        <w:pict>
          <v:shape style="position:absolute;margin-left:51.591pt;margin-top:-44.926628pt;width:353.4pt;height:43.5pt;mso-position-horizontal-relative:page;mso-position-vertical-relative:paragraph;z-index:-639328" type="#_x0000_t202" filled="false" stroked="false">
            <v:textbox inset="0,0,0,0">
              <w:txbxContent>
                <w:p>
                  <w:pPr>
                    <w:pStyle w:val="BodyText"/>
                    <w:rPr>
                      <w:sz w:val="20"/>
                    </w:rPr>
                  </w:pPr>
                </w:p>
                <w:p>
                  <w:pPr>
                    <w:spacing w:before="159"/>
                    <w:ind w:left="475" w:right="0" w:firstLine="0"/>
                    <w:jc w:val="left"/>
                    <w:rPr>
                      <w:rFonts w:ascii="Arial" w:hAnsi="Arial"/>
                      <w:sz w:val="20"/>
                    </w:rPr>
                  </w:pPr>
                  <w:r>
                    <w:rPr>
                      <w:rFonts w:ascii="Arial" w:hAnsi="Arial"/>
                      <w:color w:val="231F20"/>
                      <w:w w:val="70"/>
                      <w:sz w:val="20"/>
                    </w:rPr>
                    <w:t>Políticas públicas de la migración transnacional entre México y Estados Unidos /Alejandro  Díaz-Garay</w:t>
                  </w:r>
                </w:p>
              </w:txbxContent>
            </v:textbox>
            <w10:wrap type="none"/>
          </v:shape>
        </w:pict>
      </w:r>
      <w:r>
        <w:rPr>
          <w:color w:val="231F20"/>
          <w:w w:val="70"/>
        </w:rPr>
        <w:t>Políticas públicas de la migración transnacional entre México y Estados Unidos</w:t>
      </w:r>
    </w:p>
    <w:p>
      <w:pPr>
        <w:pStyle w:val="BodyText"/>
        <w:rPr>
          <w:b/>
          <w:sz w:val="20"/>
        </w:rPr>
      </w:pPr>
    </w:p>
    <w:p>
      <w:pPr>
        <w:pStyle w:val="Heading2"/>
        <w:spacing w:before="197"/>
        <w:ind w:left="2420"/>
      </w:pPr>
      <w:r>
        <w:rPr>
          <w:color w:val="231F20"/>
        </w:rPr>
        <w:t>Alejandro Díaz-Garay</w:t>
      </w:r>
    </w:p>
    <w:p>
      <w:pPr>
        <w:pStyle w:val="BodyText"/>
        <w:rPr>
          <w:sz w:val="20"/>
        </w:rPr>
      </w:pPr>
    </w:p>
    <w:p>
      <w:pPr>
        <w:pStyle w:val="BodyText"/>
        <w:spacing w:before="11"/>
        <w:rPr>
          <w:sz w:val="20"/>
        </w:rPr>
      </w:pPr>
    </w:p>
    <w:p>
      <w:pPr>
        <w:spacing w:before="0"/>
        <w:ind w:left="1790" w:right="913" w:firstLine="0"/>
        <w:jc w:val="left"/>
        <w:rPr>
          <w:i/>
          <w:sz w:val="22"/>
        </w:rPr>
      </w:pPr>
      <w:r>
        <w:rPr>
          <w:i/>
          <w:color w:val="231F20"/>
          <w:sz w:val="22"/>
        </w:rPr>
        <w:t>Universidad Autónoma de Guerrero, México</w:t>
      </w:r>
    </w:p>
    <w:p>
      <w:pPr>
        <w:pStyle w:val="BodyText"/>
        <w:rPr>
          <w:i/>
          <w:sz w:val="20"/>
        </w:rPr>
      </w:pPr>
    </w:p>
    <w:p>
      <w:pPr>
        <w:pStyle w:val="Heading3"/>
        <w:spacing w:before="205"/>
        <w:ind w:left="497" w:right="913"/>
        <w:jc w:val="left"/>
      </w:pPr>
      <w:r>
        <w:rPr>
          <w:color w:val="231F20"/>
        </w:rPr>
        <w:t>Introducción</w:t>
      </w:r>
    </w:p>
    <w:p>
      <w:pPr>
        <w:pStyle w:val="BodyText"/>
        <w:rPr>
          <w:b/>
          <w:sz w:val="20"/>
        </w:rPr>
      </w:pPr>
    </w:p>
    <w:p>
      <w:pPr>
        <w:pStyle w:val="BodyText"/>
        <w:spacing w:before="9"/>
        <w:rPr>
          <w:b/>
          <w:sz w:val="19"/>
        </w:rPr>
      </w:pPr>
    </w:p>
    <w:p>
      <w:pPr>
        <w:pStyle w:val="BodyText"/>
        <w:spacing w:line="247" w:lineRule="auto" w:before="188"/>
        <w:ind w:left="1461" w:right="275"/>
        <w:jc w:val="both"/>
      </w:pPr>
      <w:r>
        <w:rPr/>
        <w:pict>
          <v:shape style="position:absolute;margin-left:70.866096pt;margin-top:5.033963pt;width:36.7pt;height:55pt;mso-position-horizontal-relative:page;mso-position-vertical-relative:paragraph;z-index:-639304" type="#_x0000_t202" filled="false" stroked="false">
            <v:textbox inset="0,0,0,0">
              <w:txbxContent>
                <w:p>
                  <w:pPr>
                    <w:spacing w:line="1100" w:lineRule="exact" w:before="0"/>
                    <w:ind w:left="0" w:right="0" w:firstLine="0"/>
                    <w:jc w:val="left"/>
                    <w:rPr>
                      <w:b/>
                      <w:sz w:val="110"/>
                    </w:rPr>
                  </w:pPr>
                  <w:r>
                    <w:rPr>
                      <w:b/>
                      <w:color w:val="231F20"/>
                      <w:sz w:val="110"/>
                    </w:rPr>
                    <w:t>L</w:t>
                  </w:r>
                </w:p>
              </w:txbxContent>
            </v:textbox>
            <w10:wrap type="none"/>
          </v:shape>
        </w:pict>
      </w:r>
      <w:r>
        <w:rPr>
          <w:color w:val="231F20"/>
        </w:rPr>
        <w:t>a política migratoria internacional del Estado mexicano en de- fensa de su población radicada en territorio estadounidense es- tuvo</w:t>
      </w:r>
      <w:r>
        <w:rPr>
          <w:color w:val="231F20"/>
          <w:spacing w:val="-10"/>
        </w:rPr>
        <w:t> </w:t>
      </w:r>
      <w:r>
        <w:rPr>
          <w:color w:val="231F20"/>
        </w:rPr>
        <w:t>casi</w:t>
      </w:r>
      <w:r>
        <w:rPr>
          <w:color w:val="231F20"/>
          <w:spacing w:val="-10"/>
        </w:rPr>
        <w:t> </w:t>
      </w:r>
      <w:r>
        <w:rPr>
          <w:color w:val="231F20"/>
        </w:rPr>
        <w:t>ausente</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agenda</w:t>
      </w:r>
      <w:r>
        <w:rPr>
          <w:color w:val="231F20"/>
          <w:spacing w:val="-11"/>
        </w:rPr>
        <w:t> </w:t>
      </w:r>
      <w:r>
        <w:rPr>
          <w:color w:val="231F20"/>
        </w:rPr>
        <w:t>del</w:t>
      </w:r>
      <w:r>
        <w:rPr>
          <w:color w:val="231F20"/>
          <w:spacing w:val="-10"/>
        </w:rPr>
        <w:t> </w:t>
      </w:r>
      <w:r>
        <w:rPr>
          <w:color w:val="231F20"/>
        </w:rPr>
        <w:t>gobierno</w:t>
      </w:r>
      <w:r>
        <w:rPr>
          <w:color w:val="231F20"/>
          <w:spacing w:val="-10"/>
        </w:rPr>
        <w:t> </w:t>
      </w:r>
      <w:r>
        <w:rPr>
          <w:color w:val="231F20"/>
        </w:rPr>
        <w:t>federal</w:t>
      </w:r>
      <w:r>
        <w:rPr>
          <w:color w:val="231F20"/>
          <w:spacing w:val="-10"/>
        </w:rPr>
        <w:t> </w:t>
      </w:r>
      <w:r>
        <w:rPr>
          <w:color w:val="231F20"/>
        </w:rPr>
        <w:t>por</w:t>
      </w:r>
      <w:r>
        <w:rPr>
          <w:color w:val="231F20"/>
          <w:spacing w:val="-10"/>
        </w:rPr>
        <w:t> </w:t>
      </w:r>
      <w:r>
        <w:rPr>
          <w:color w:val="231F20"/>
        </w:rPr>
        <w:t>décadas;</w:t>
      </w:r>
    </w:p>
    <w:p>
      <w:pPr>
        <w:pStyle w:val="BodyText"/>
        <w:spacing w:line="247" w:lineRule="auto" w:before="10"/>
        <w:ind w:left="497" w:right="274"/>
        <w:jc w:val="both"/>
      </w:pPr>
      <w:r>
        <w:rPr>
          <w:color w:val="231F20"/>
        </w:rPr>
        <w:t>acotada a las iniciativas desde el Estado norteamericano (Roldán, 2004). A</w:t>
      </w:r>
      <w:r>
        <w:rPr>
          <w:color w:val="231F20"/>
          <w:spacing w:val="-16"/>
        </w:rPr>
        <w:t> </w:t>
      </w:r>
      <w:r>
        <w:rPr>
          <w:color w:val="231F20"/>
        </w:rPr>
        <w:t>través</w:t>
      </w:r>
      <w:r>
        <w:rPr>
          <w:color w:val="231F20"/>
          <w:spacing w:val="-6"/>
        </w:rPr>
        <w:t> </w:t>
      </w:r>
      <w:r>
        <w:rPr>
          <w:color w:val="231F20"/>
        </w:rPr>
        <w:t>de</w:t>
      </w:r>
      <w:r>
        <w:rPr>
          <w:color w:val="231F20"/>
          <w:spacing w:val="-5"/>
        </w:rPr>
        <w:t> </w:t>
      </w:r>
      <w:r>
        <w:rPr>
          <w:color w:val="231F20"/>
        </w:rPr>
        <w:t>los</w:t>
      </w:r>
      <w:r>
        <w:rPr>
          <w:color w:val="231F20"/>
          <w:spacing w:val="-5"/>
        </w:rPr>
        <w:t> </w:t>
      </w:r>
      <w:r>
        <w:rPr>
          <w:color w:val="231F20"/>
        </w:rPr>
        <w:t>departamentos</w:t>
      </w:r>
      <w:r>
        <w:rPr>
          <w:color w:val="231F20"/>
          <w:spacing w:val="-5"/>
        </w:rPr>
        <w:t> </w:t>
      </w:r>
      <w:r>
        <w:rPr>
          <w:color w:val="231F20"/>
        </w:rPr>
        <w:t>del</w:t>
      </w:r>
      <w:r>
        <w:rPr>
          <w:color w:val="231F20"/>
          <w:spacing w:val="-9"/>
        </w:rPr>
        <w:t> </w:t>
      </w:r>
      <w:r>
        <w:rPr>
          <w:color w:val="231F20"/>
        </w:rPr>
        <w:t>Trabajo,</w:t>
      </w:r>
      <w:r>
        <w:rPr>
          <w:color w:val="231F20"/>
          <w:spacing w:val="-5"/>
        </w:rPr>
        <w:t> </w:t>
      </w:r>
      <w:r>
        <w:rPr>
          <w:color w:val="231F20"/>
        </w:rPr>
        <w:t>Justicia</w:t>
      </w:r>
      <w:r>
        <w:rPr>
          <w:color w:val="231F20"/>
          <w:spacing w:val="-5"/>
        </w:rPr>
        <w:t> </w:t>
      </w:r>
      <w:r>
        <w:rPr>
          <w:color w:val="231F20"/>
        </w:rPr>
        <w:t>y</w:t>
      </w:r>
      <w:r>
        <w:rPr>
          <w:color w:val="231F20"/>
          <w:spacing w:val="-16"/>
        </w:rPr>
        <w:t> </w:t>
      </w:r>
      <w:r>
        <w:rPr>
          <w:color w:val="231F20"/>
        </w:rPr>
        <w:t>Agricultura,</w:t>
      </w:r>
      <w:r>
        <w:rPr>
          <w:color w:val="231F20"/>
          <w:spacing w:val="-5"/>
        </w:rPr>
        <w:t> </w:t>
      </w:r>
      <w:r>
        <w:rPr>
          <w:color w:val="231F20"/>
        </w:rPr>
        <w:t>gestionó reuniones</w:t>
      </w:r>
      <w:r>
        <w:rPr>
          <w:color w:val="231F20"/>
          <w:spacing w:val="-6"/>
        </w:rPr>
        <w:t> </w:t>
      </w:r>
      <w:r>
        <w:rPr>
          <w:color w:val="231F20"/>
        </w:rPr>
        <w:t>intergubernamentales</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firma</w:t>
      </w:r>
      <w:r>
        <w:rPr>
          <w:color w:val="231F20"/>
          <w:spacing w:val="-6"/>
        </w:rPr>
        <w:t> </w:t>
      </w:r>
      <w:r>
        <w:rPr>
          <w:color w:val="231F20"/>
        </w:rPr>
        <w:t>del</w:t>
      </w:r>
      <w:r>
        <w:rPr>
          <w:color w:val="231F20"/>
          <w:spacing w:val="-6"/>
        </w:rPr>
        <w:t> </w:t>
      </w:r>
      <w:r>
        <w:rPr>
          <w:color w:val="231F20"/>
        </w:rPr>
        <w:t>primer</w:t>
      </w:r>
      <w:r>
        <w:rPr>
          <w:color w:val="231F20"/>
          <w:spacing w:val="-6"/>
        </w:rPr>
        <w:t> </w:t>
      </w:r>
      <w:r>
        <w:rPr>
          <w:color w:val="231F20"/>
        </w:rPr>
        <w:t>Convenio</w:t>
      </w:r>
      <w:r>
        <w:rPr>
          <w:color w:val="231F20"/>
          <w:spacing w:val="-6"/>
        </w:rPr>
        <w:t> </w:t>
      </w:r>
      <w:r>
        <w:rPr>
          <w:color w:val="231F20"/>
        </w:rPr>
        <w:t>de</w:t>
      </w:r>
      <w:r>
        <w:rPr>
          <w:color w:val="231F20"/>
          <w:spacing w:val="-6"/>
        </w:rPr>
        <w:t> </w:t>
      </w:r>
      <w:r>
        <w:rPr>
          <w:color w:val="231F20"/>
        </w:rPr>
        <w:t>Bra- ceros,</w:t>
      </w:r>
      <w:r>
        <w:rPr>
          <w:color w:val="231F20"/>
          <w:spacing w:val="-10"/>
        </w:rPr>
        <w:t> </w:t>
      </w:r>
      <w:r>
        <w:rPr>
          <w:color w:val="231F20"/>
        </w:rPr>
        <w:t>que</w:t>
      </w:r>
      <w:r>
        <w:rPr>
          <w:color w:val="231F20"/>
          <w:spacing w:val="-10"/>
        </w:rPr>
        <w:t> </w:t>
      </w:r>
      <w:r>
        <w:rPr>
          <w:color w:val="231F20"/>
        </w:rPr>
        <w:t>duró</w:t>
      </w:r>
      <w:r>
        <w:rPr>
          <w:color w:val="231F20"/>
          <w:spacing w:val="-10"/>
        </w:rPr>
        <w:t> </w:t>
      </w:r>
      <w:r>
        <w:rPr>
          <w:color w:val="231F20"/>
        </w:rPr>
        <w:t>más</w:t>
      </w:r>
      <w:r>
        <w:rPr>
          <w:color w:val="231F20"/>
          <w:spacing w:val="-10"/>
        </w:rPr>
        <w:t> </w:t>
      </w:r>
      <w:r>
        <w:rPr>
          <w:color w:val="231F20"/>
        </w:rPr>
        <w:t>de</w:t>
      </w:r>
      <w:r>
        <w:rPr>
          <w:color w:val="231F20"/>
          <w:spacing w:val="-10"/>
        </w:rPr>
        <w:t> </w:t>
      </w:r>
      <w:r>
        <w:rPr>
          <w:color w:val="231F20"/>
        </w:rPr>
        <w:t>dos</w:t>
      </w:r>
      <w:r>
        <w:rPr>
          <w:color w:val="231F20"/>
          <w:spacing w:val="-10"/>
        </w:rPr>
        <w:t> </w:t>
      </w:r>
      <w:r>
        <w:rPr>
          <w:color w:val="231F20"/>
        </w:rPr>
        <w:t>décadas</w:t>
      </w:r>
      <w:r>
        <w:rPr>
          <w:color w:val="231F20"/>
          <w:spacing w:val="-10"/>
        </w:rPr>
        <w:t> </w:t>
      </w:r>
      <w:r>
        <w:rPr>
          <w:color w:val="231F20"/>
        </w:rPr>
        <w:t>(1942-1964).</w:t>
      </w:r>
      <w:r>
        <w:rPr>
          <w:color w:val="231F20"/>
          <w:spacing w:val="-10"/>
        </w:rPr>
        <w:t> </w:t>
      </w:r>
      <w:r>
        <w:rPr>
          <w:color w:val="231F20"/>
        </w:rPr>
        <w:t>Durante</w:t>
      </w:r>
      <w:r>
        <w:rPr>
          <w:color w:val="231F20"/>
          <w:spacing w:val="-10"/>
        </w:rPr>
        <w:t> </w:t>
      </w:r>
      <w:r>
        <w:rPr>
          <w:color w:val="231F20"/>
        </w:rPr>
        <w:t>el</w:t>
      </w:r>
      <w:r>
        <w:rPr>
          <w:color w:val="231F20"/>
          <w:spacing w:val="-10"/>
        </w:rPr>
        <w:t> </w:t>
      </w:r>
      <w:r>
        <w:rPr>
          <w:color w:val="231F20"/>
        </w:rPr>
        <w:t>programa</w:t>
      </w:r>
      <w:r>
        <w:rPr>
          <w:color w:val="231F20"/>
          <w:spacing w:val="-10"/>
        </w:rPr>
        <w:t> </w:t>
      </w:r>
      <w:r>
        <w:rPr>
          <w:color w:val="231F20"/>
        </w:rPr>
        <w:t>bra- cero</w:t>
      </w:r>
      <w:r>
        <w:rPr>
          <w:color w:val="231F20"/>
          <w:spacing w:val="-8"/>
        </w:rPr>
        <w:t> </w:t>
      </w:r>
      <w:r>
        <w:rPr>
          <w:color w:val="231F20"/>
        </w:rPr>
        <w:t>fueron</w:t>
      </w:r>
      <w:r>
        <w:rPr>
          <w:color w:val="231F20"/>
          <w:spacing w:val="-7"/>
        </w:rPr>
        <w:t> </w:t>
      </w:r>
      <w:r>
        <w:rPr>
          <w:color w:val="231F20"/>
        </w:rPr>
        <w:t>admitidos</w:t>
      </w:r>
      <w:r>
        <w:rPr>
          <w:color w:val="231F20"/>
          <w:spacing w:val="-8"/>
        </w:rPr>
        <w:t> </w:t>
      </w:r>
      <w:r>
        <w:rPr>
          <w:color w:val="231F20"/>
        </w:rPr>
        <w:t>cinco</w:t>
      </w:r>
      <w:r>
        <w:rPr>
          <w:color w:val="231F20"/>
          <w:spacing w:val="-8"/>
        </w:rPr>
        <w:t> </w:t>
      </w:r>
      <w:r>
        <w:rPr>
          <w:color w:val="231F20"/>
        </w:rPr>
        <w:t>millones</w:t>
      </w:r>
      <w:r>
        <w:rPr>
          <w:color w:val="231F20"/>
          <w:spacing w:val="-8"/>
        </w:rPr>
        <w:t> </w:t>
      </w:r>
      <w:r>
        <w:rPr>
          <w:color w:val="231F20"/>
        </w:rPr>
        <w:t>de</w:t>
      </w:r>
      <w:r>
        <w:rPr>
          <w:color w:val="231F20"/>
          <w:spacing w:val="-7"/>
        </w:rPr>
        <w:t> </w:t>
      </w:r>
      <w:r>
        <w:rPr>
          <w:color w:val="231F20"/>
        </w:rPr>
        <w:t>trabajadores</w:t>
      </w:r>
      <w:r>
        <w:rPr>
          <w:color w:val="231F20"/>
          <w:spacing w:val="-8"/>
        </w:rPr>
        <w:t> </w:t>
      </w:r>
      <w:r>
        <w:rPr>
          <w:color w:val="231F20"/>
        </w:rPr>
        <w:t>agrícolas</w:t>
      </w:r>
      <w:r>
        <w:rPr>
          <w:color w:val="231F20"/>
          <w:spacing w:val="-7"/>
        </w:rPr>
        <w:t> </w:t>
      </w:r>
      <w:r>
        <w:rPr>
          <w:color w:val="231F20"/>
        </w:rPr>
        <w:t>mexicanos. Fue el gobierno estadounidense quien de acuerdo a sus intereses naciona- les</w:t>
      </w:r>
      <w:r>
        <w:rPr>
          <w:color w:val="231F20"/>
          <w:spacing w:val="-6"/>
        </w:rPr>
        <w:t> </w:t>
      </w:r>
      <w:r>
        <w:rPr>
          <w:color w:val="231F20"/>
        </w:rPr>
        <w:t>gestionó</w:t>
      </w:r>
      <w:r>
        <w:rPr>
          <w:color w:val="231F20"/>
          <w:spacing w:val="-6"/>
        </w:rPr>
        <w:t> </w:t>
      </w:r>
      <w:r>
        <w:rPr>
          <w:color w:val="231F20"/>
        </w:rPr>
        <w:t>su</w:t>
      </w:r>
      <w:r>
        <w:rPr>
          <w:color w:val="231F20"/>
          <w:spacing w:val="-6"/>
        </w:rPr>
        <w:t> </w:t>
      </w:r>
      <w:r>
        <w:rPr>
          <w:color w:val="231F20"/>
        </w:rPr>
        <w:t>inicio</w:t>
      </w:r>
      <w:r>
        <w:rPr>
          <w:color w:val="231F20"/>
          <w:spacing w:val="-6"/>
        </w:rPr>
        <w:t> </w:t>
      </w:r>
      <w:r>
        <w:rPr>
          <w:color w:val="231F20"/>
        </w:rPr>
        <w:t>y</w:t>
      </w:r>
      <w:r>
        <w:rPr>
          <w:color w:val="231F20"/>
          <w:spacing w:val="-6"/>
        </w:rPr>
        <w:t> </w:t>
      </w:r>
      <w:r>
        <w:rPr>
          <w:color w:val="231F20"/>
        </w:rPr>
        <w:t>finalización,</w:t>
      </w:r>
      <w:r>
        <w:rPr>
          <w:color w:val="231F20"/>
          <w:spacing w:val="-6"/>
        </w:rPr>
        <w:t> </w:t>
      </w:r>
      <w:r>
        <w:rPr>
          <w:color w:val="231F20"/>
        </w:rPr>
        <w:t>al</w:t>
      </w:r>
      <w:r>
        <w:rPr>
          <w:color w:val="231F20"/>
          <w:spacing w:val="-6"/>
        </w:rPr>
        <w:t> </w:t>
      </w:r>
      <w:r>
        <w:rPr>
          <w:color w:val="231F20"/>
        </w:rPr>
        <w:t>margen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situación</w:t>
      </w:r>
      <w:r>
        <w:rPr>
          <w:color w:val="231F20"/>
          <w:spacing w:val="-6"/>
        </w:rPr>
        <w:t> </w:t>
      </w:r>
      <w:r>
        <w:rPr>
          <w:color w:val="231F20"/>
        </w:rPr>
        <w:t>particular</w:t>
      </w:r>
      <w:r>
        <w:rPr>
          <w:color w:val="231F20"/>
          <w:spacing w:val="-6"/>
        </w:rPr>
        <w:t> </w:t>
      </w:r>
      <w:r>
        <w:rPr>
          <w:color w:val="231F20"/>
        </w:rPr>
        <w:t>de México cuya mano de obra campesina veía en el programa binacional una estrategia de</w:t>
      </w:r>
      <w:r>
        <w:rPr>
          <w:color w:val="231F20"/>
          <w:spacing w:val="-15"/>
        </w:rPr>
        <w:t> </w:t>
      </w:r>
      <w:r>
        <w:rPr>
          <w:color w:val="231F20"/>
        </w:rPr>
        <w:t>sobrevivencia.</w:t>
      </w:r>
    </w:p>
    <w:p>
      <w:pPr>
        <w:pStyle w:val="BodyText"/>
        <w:spacing w:line="247" w:lineRule="auto"/>
        <w:ind w:left="497" w:right="275" w:firstLine="283"/>
        <w:jc w:val="both"/>
      </w:pPr>
      <w:r>
        <w:rPr>
          <w:color w:val="231F20"/>
        </w:rPr>
        <w:t>Basada en datos del Departamento del Trabajo y de Justicia, Gastélum (1991) mostraba que en 1965 el número de braceros mexicanos ilegales deportados fue de 48 948; dos años después las expulsiones se habían du- plicado</w:t>
      </w:r>
      <w:r>
        <w:rPr>
          <w:color w:val="231F20"/>
          <w:spacing w:val="-6"/>
        </w:rPr>
        <w:t> </w:t>
      </w:r>
      <w:r>
        <w:rPr>
          <w:color w:val="231F20"/>
        </w:rPr>
        <w:t>(107</w:t>
      </w:r>
      <w:r>
        <w:rPr>
          <w:color w:val="231F20"/>
          <w:spacing w:val="-6"/>
        </w:rPr>
        <w:t> </w:t>
      </w:r>
      <w:r>
        <w:rPr>
          <w:color w:val="231F20"/>
        </w:rPr>
        <w:t>695);</w:t>
      </w:r>
      <w:r>
        <w:rPr>
          <w:color w:val="231F20"/>
          <w:spacing w:val="-6"/>
        </w:rPr>
        <w:t> </w:t>
      </w:r>
      <w:r>
        <w:rPr>
          <w:color w:val="231F20"/>
        </w:rPr>
        <w:t>en</w:t>
      </w:r>
      <w:r>
        <w:rPr>
          <w:color w:val="231F20"/>
          <w:spacing w:val="-6"/>
        </w:rPr>
        <w:t> </w:t>
      </w:r>
      <w:r>
        <w:rPr>
          <w:color w:val="231F20"/>
        </w:rPr>
        <w:t>1970</w:t>
      </w:r>
      <w:r>
        <w:rPr>
          <w:color w:val="231F20"/>
          <w:spacing w:val="-6"/>
        </w:rPr>
        <w:t> </w:t>
      </w:r>
      <w:r>
        <w:rPr>
          <w:color w:val="231F20"/>
        </w:rPr>
        <w:t>se</w:t>
      </w:r>
      <w:r>
        <w:rPr>
          <w:color w:val="231F20"/>
          <w:spacing w:val="-6"/>
        </w:rPr>
        <w:t> </w:t>
      </w:r>
      <w:r>
        <w:rPr>
          <w:color w:val="231F20"/>
        </w:rPr>
        <w:t>había</w:t>
      </w:r>
      <w:r>
        <w:rPr>
          <w:color w:val="231F20"/>
          <w:spacing w:val="-6"/>
        </w:rPr>
        <w:t> </w:t>
      </w:r>
      <w:r>
        <w:rPr>
          <w:color w:val="231F20"/>
        </w:rPr>
        <w:t>sextuplicado</w:t>
      </w:r>
      <w:r>
        <w:rPr>
          <w:color w:val="231F20"/>
          <w:spacing w:val="-6"/>
        </w:rPr>
        <w:t> </w:t>
      </w:r>
      <w:r>
        <w:rPr>
          <w:color w:val="231F20"/>
        </w:rPr>
        <w:t>(265</w:t>
      </w:r>
      <w:r>
        <w:rPr>
          <w:color w:val="231F20"/>
          <w:spacing w:val="-6"/>
        </w:rPr>
        <w:t> </w:t>
      </w:r>
      <w:r>
        <w:rPr>
          <w:color w:val="231F20"/>
        </w:rPr>
        <w:t>539)</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1973</w:t>
      </w:r>
      <w:r>
        <w:rPr>
          <w:color w:val="231F20"/>
          <w:spacing w:val="-6"/>
        </w:rPr>
        <w:t> </w:t>
      </w:r>
      <w:r>
        <w:rPr>
          <w:color w:val="231F20"/>
        </w:rPr>
        <w:t>eran</w:t>
      </w:r>
    </w:p>
    <w:p>
      <w:pPr>
        <w:pStyle w:val="BodyText"/>
        <w:spacing w:line="247" w:lineRule="auto"/>
        <w:ind w:left="497" w:right="274"/>
        <w:jc w:val="both"/>
      </w:pPr>
      <w:r>
        <w:rPr>
          <w:color w:val="231F20"/>
        </w:rPr>
        <w:t>12 veces mayor (609 673). Entre 2007 y </w:t>
      </w:r>
      <w:r>
        <w:rPr>
          <w:color w:val="231F20"/>
          <w:spacing w:val="-3"/>
        </w:rPr>
        <w:t>2011 </w:t>
      </w:r>
      <w:r>
        <w:rPr>
          <w:color w:val="231F20"/>
        </w:rPr>
        <w:t>las deportaciones fueron de medio millón de mexicanos en promedio anual. Se esperaba un regreso masivo de mexicanos derivado de la crisis mundial que inició en 2007, como consecuencia de un drástico descenso en la migración laboral y una caída</w:t>
      </w:r>
      <w:r>
        <w:rPr>
          <w:color w:val="231F20"/>
          <w:spacing w:val="-9"/>
        </w:rPr>
        <w:t> </w:t>
      </w:r>
      <w:r>
        <w:rPr>
          <w:color w:val="231F20"/>
        </w:rPr>
        <w:t>en</w:t>
      </w:r>
      <w:r>
        <w:rPr>
          <w:color w:val="231F20"/>
          <w:spacing w:val="-8"/>
        </w:rPr>
        <w:t> </w:t>
      </w:r>
      <w:r>
        <w:rPr>
          <w:color w:val="231F20"/>
        </w:rPr>
        <w:t>las</w:t>
      </w:r>
      <w:r>
        <w:rPr>
          <w:color w:val="231F20"/>
          <w:spacing w:val="-8"/>
        </w:rPr>
        <w:t> </w:t>
      </w:r>
      <w:r>
        <w:rPr>
          <w:color w:val="231F20"/>
        </w:rPr>
        <w:t>remesas</w:t>
      </w:r>
      <w:r>
        <w:rPr>
          <w:color w:val="231F20"/>
          <w:spacing w:val="-8"/>
        </w:rPr>
        <w:t> </w:t>
      </w:r>
      <w:r>
        <w:rPr>
          <w:color w:val="231F20"/>
        </w:rPr>
        <w:t>(Castles,</w:t>
      </w:r>
      <w:r>
        <w:rPr>
          <w:color w:val="231F20"/>
          <w:spacing w:val="-8"/>
        </w:rPr>
        <w:t> </w:t>
      </w:r>
      <w:r>
        <w:rPr>
          <w:color w:val="231F20"/>
        </w:rPr>
        <w:t>2010).</w:t>
      </w:r>
      <w:r>
        <w:rPr>
          <w:color w:val="231F20"/>
          <w:spacing w:val="-8"/>
        </w:rPr>
        <w:t> </w:t>
      </w:r>
      <w:r>
        <w:rPr>
          <w:color w:val="231F20"/>
        </w:rPr>
        <w:t>Pero</w:t>
      </w:r>
      <w:r>
        <w:rPr>
          <w:color w:val="231F20"/>
          <w:spacing w:val="-8"/>
        </w:rPr>
        <w:t> </w:t>
      </w:r>
      <w:r>
        <w:rPr>
          <w:color w:val="231F20"/>
        </w:rPr>
        <w:t>a</w:t>
      </w:r>
      <w:r>
        <w:rPr>
          <w:color w:val="231F20"/>
          <w:spacing w:val="-8"/>
        </w:rPr>
        <w:t> </w:t>
      </w:r>
      <w:r>
        <w:rPr>
          <w:color w:val="231F20"/>
        </w:rPr>
        <w:t>pesar</w:t>
      </w:r>
      <w:r>
        <w:rPr>
          <w:color w:val="231F20"/>
          <w:spacing w:val="-8"/>
        </w:rPr>
        <w:t> </w:t>
      </w:r>
      <w:r>
        <w:rPr>
          <w:color w:val="231F20"/>
        </w:rPr>
        <w:t>del</w:t>
      </w:r>
      <w:r>
        <w:rPr>
          <w:color w:val="231F20"/>
          <w:spacing w:val="-8"/>
        </w:rPr>
        <w:t> </w:t>
      </w:r>
      <w:r>
        <w:rPr>
          <w:color w:val="231F20"/>
        </w:rPr>
        <w:t>desempleo</w:t>
      </w:r>
      <w:r>
        <w:rPr>
          <w:color w:val="231F20"/>
          <w:spacing w:val="-9"/>
        </w:rPr>
        <w:t> </w:t>
      </w:r>
      <w:r>
        <w:rPr>
          <w:color w:val="231F20"/>
        </w:rPr>
        <w:t>de</w:t>
      </w:r>
      <w:r>
        <w:rPr>
          <w:color w:val="231F20"/>
          <w:spacing w:val="-8"/>
        </w:rPr>
        <w:t> </w:t>
      </w:r>
      <w:r>
        <w:rPr>
          <w:color w:val="231F20"/>
        </w:rPr>
        <w:t>7.9</w:t>
      </w:r>
      <w:r>
        <w:rPr>
          <w:color w:val="231F20"/>
          <w:spacing w:val="-8"/>
        </w:rPr>
        <w:t> </w:t>
      </w:r>
      <w:r>
        <w:rPr>
          <w:color w:val="231F20"/>
        </w:rPr>
        <w:t>por ciento en octubre de 2012, según el Departamento del Trabajo de Estados Unidos, en general, el retorno de los migrantes mexicanos radicados en aquel país fue forzado por las circunstancias y no por voluntad</w:t>
      </w:r>
      <w:r>
        <w:rPr>
          <w:color w:val="231F20"/>
          <w:spacing w:val="-3"/>
        </w:rPr>
        <w:t> </w:t>
      </w:r>
      <w:r>
        <w:rPr>
          <w:color w:val="231F20"/>
        </w:rPr>
        <w:t>propia.</w:t>
      </w:r>
    </w:p>
    <w:p>
      <w:pPr>
        <w:spacing w:after="0" w:line="247" w:lineRule="auto"/>
        <w:jc w:val="both"/>
        <w:sectPr>
          <w:pgSz w:w="9360" w:h="13040"/>
          <w:pgMar w:header="0" w:footer="496" w:top="400" w:bottom="680" w:left="920" w:right="1140"/>
        </w:sectPr>
      </w:pPr>
    </w:p>
    <w:p>
      <w:pPr>
        <w:tabs>
          <w:tab w:pos="5536" w:val="left" w:leader="none"/>
        </w:tabs>
        <w:spacing w:before="48"/>
        <w:ind w:left="400" w:right="117" w:hanging="295"/>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before="1"/>
        <w:ind w:left="117" w:right="114" w:firstLine="283"/>
        <w:jc w:val="both"/>
      </w:pPr>
      <w:r>
        <w:rPr>
          <w:color w:val="231F20"/>
        </w:rPr>
        <w:t>Alarcón </w:t>
      </w:r>
      <w:r>
        <w:rPr>
          <w:i/>
          <w:color w:val="231F20"/>
        </w:rPr>
        <w:t>et al. </w:t>
      </w:r>
      <w:r>
        <w:rPr>
          <w:color w:val="231F20"/>
        </w:rPr>
        <w:t>(2009) sostienen que para el caso de México, antes de emprender el viaje de retorno, los trabajadores buscarán colocarse en otro empleo en la misma actividad u otra; de ser posible en el mismo mercado laboral o al mercado de trabajo de otra región dentro de Estados Unidos.</w:t>
      </w:r>
    </w:p>
    <w:p>
      <w:pPr>
        <w:pStyle w:val="BodyText"/>
        <w:spacing w:line="247" w:lineRule="auto"/>
        <w:ind w:left="117" w:right="114" w:firstLine="283"/>
        <w:jc w:val="both"/>
      </w:pPr>
      <w:r>
        <w:rPr>
          <w:color w:val="231F20"/>
        </w:rPr>
        <w:t>El censo poblacional de Estados Unidos de 2010 registró 50.5 millo- nes de origen hispano, equivalente a 16.3 por ciento de la población total (Census Bureau, 2011). Espacialmente, los migrantes de origen mexicano se localizan ahora en territorios tan apartados de Estados Unidos como Alaska,</w:t>
      </w:r>
      <w:r>
        <w:rPr>
          <w:color w:val="231F20"/>
          <w:spacing w:val="-11"/>
        </w:rPr>
        <w:t> </w:t>
      </w:r>
      <w:r>
        <w:rPr>
          <w:color w:val="231F20"/>
        </w:rPr>
        <w:t>Hawaii</w:t>
      </w:r>
      <w:r>
        <w:rPr>
          <w:color w:val="231F20"/>
          <w:spacing w:val="-11"/>
        </w:rPr>
        <w:t> </w:t>
      </w:r>
      <w:r>
        <w:rPr>
          <w:color w:val="231F20"/>
        </w:rPr>
        <w:t>o</w:t>
      </w:r>
      <w:r>
        <w:rPr>
          <w:color w:val="231F20"/>
          <w:spacing w:val="-11"/>
        </w:rPr>
        <w:t> </w:t>
      </w:r>
      <w:r>
        <w:rPr>
          <w:color w:val="231F20"/>
        </w:rPr>
        <w:t>Maine.</w:t>
      </w:r>
      <w:r>
        <w:rPr>
          <w:color w:val="231F20"/>
          <w:spacing w:val="-11"/>
        </w:rPr>
        <w:t> </w:t>
      </w:r>
      <w:r>
        <w:rPr>
          <w:color w:val="231F20"/>
        </w:rPr>
        <w:t>No</w:t>
      </w:r>
      <w:r>
        <w:rPr>
          <w:color w:val="231F20"/>
          <w:spacing w:val="-11"/>
        </w:rPr>
        <w:t> </w:t>
      </w:r>
      <w:r>
        <w:rPr>
          <w:color w:val="231F20"/>
        </w:rPr>
        <w:t>obstante</w:t>
      </w:r>
      <w:r>
        <w:rPr>
          <w:color w:val="231F20"/>
          <w:spacing w:val="-11"/>
        </w:rPr>
        <w:t> </w:t>
      </w:r>
      <w:r>
        <w:rPr>
          <w:color w:val="231F20"/>
        </w:rPr>
        <w:t>la</w:t>
      </w:r>
      <w:r>
        <w:rPr>
          <w:color w:val="231F20"/>
          <w:spacing w:val="-11"/>
        </w:rPr>
        <w:t> </w:t>
      </w:r>
      <w:r>
        <w:rPr>
          <w:color w:val="231F20"/>
        </w:rPr>
        <w:t>magnitud</w:t>
      </w:r>
      <w:r>
        <w:rPr>
          <w:color w:val="231F20"/>
          <w:spacing w:val="-11"/>
        </w:rPr>
        <w:t> </w:t>
      </w:r>
      <w:r>
        <w:rPr>
          <w:color w:val="231F20"/>
        </w:rPr>
        <w:t>y</w:t>
      </w:r>
      <w:r>
        <w:rPr>
          <w:color w:val="231F20"/>
          <w:spacing w:val="-11"/>
        </w:rPr>
        <w:t> </w:t>
      </w:r>
      <w:r>
        <w:rPr>
          <w:color w:val="231F20"/>
        </w:rPr>
        <w:t>dispersión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migra- ción individual, lo que interesa destacar es la creación de nuevos espacios transnacionales entre los lugares de destino y las comunidades de origen; estas comunidades transnacionales (Kearney y Nagengast, 1989) han con- figurado estrategias de reproducción económica, política, social y cultural en la etapa de la globalización (Canales y Zlolniski,</w:t>
      </w:r>
      <w:r>
        <w:rPr>
          <w:color w:val="231F20"/>
          <w:spacing w:val="-3"/>
        </w:rPr>
        <w:t> </w:t>
      </w:r>
      <w:r>
        <w:rPr>
          <w:color w:val="231F20"/>
        </w:rPr>
        <w:t>2000).</w:t>
      </w:r>
    </w:p>
    <w:p>
      <w:pPr>
        <w:pStyle w:val="BodyText"/>
        <w:spacing w:line="247" w:lineRule="auto"/>
        <w:ind w:left="117" w:right="115" w:firstLine="283"/>
        <w:jc w:val="both"/>
      </w:pPr>
      <w:r>
        <w:rPr>
          <w:color w:val="231F20"/>
        </w:rPr>
        <w:t>El objetivo de este estudio es destacar la importancia de los clubes y organizaciones de migrantes en el diseño de las políticas públicas y su contribución al desarrollo local de las comunidades de origen en México; particularmente, la gestación, institucionalización y mejora del Programa 3x1 para migrantes basado en el circuito migratorio transnacional del es- tado de Guerrero.</w:t>
      </w:r>
    </w:p>
    <w:p>
      <w:pPr>
        <w:pStyle w:val="BodyText"/>
        <w:spacing w:line="247" w:lineRule="auto"/>
        <w:ind w:left="117" w:right="114" w:firstLine="283"/>
        <w:jc w:val="both"/>
      </w:pPr>
      <w:r>
        <w:rPr>
          <w:color w:val="231F20"/>
        </w:rPr>
        <w:t>La</w:t>
      </w:r>
      <w:r>
        <w:rPr>
          <w:color w:val="231F20"/>
          <w:spacing w:val="-4"/>
        </w:rPr>
        <w:t> </w:t>
      </w:r>
      <w:r>
        <w:rPr>
          <w:color w:val="231F20"/>
        </w:rPr>
        <w:t>membresía</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clubes</w:t>
      </w:r>
      <w:r>
        <w:rPr>
          <w:color w:val="231F20"/>
          <w:spacing w:val="-4"/>
        </w:rPr>
        <w:t> </w:t>
      </w:r>
      <w:r>
        <w:rPr>
          <w:color w:val="231F20"/>
        </w:rPr>
        <w:t>de</w:t>
      </w:r>
      <w:r>
        <w:rPr>
          <w:color w:val="231F20"/>
          <w:spacing w:val="-4"/>
        </w:rPr>
        <w:t> </w:t>
      </w:r>
      <w:r>
        <w:rPr>
          <w:color w:val="231F20"/>
        </w:rPr>
        <w:t>migrantes</w:t>
      </w:r>
      <w:r>
        <w:rPr>
          <w:color w:val="231F20"/>
          <w:spacing w:val="-4"/>
        </w:rPr>
        <w:t> </w:t>
      </w:r>
      <w:r>
        <w:rPr>
          <w:color w:val="231F20"/>
        </w:rPr>
        <w:t>representa</w:t>
      </w:r>
      <w:r>
        <w:rPr>
          <w:color w:val="231F20"/>
          <w:spacing w:val="-4"/>
        </w:rPr>
        <w:t> </w:t>
      </w:r>
      <w:r>
        <w:rPr>
          <w:color w:val="231F20"/>
        </w:rPr>
        <w:t>menos</w:t>
      </w:r>
      <w:r>
        <w:rPr>
          <w:color w:val="231F20"/>
          <w:spacing w:val="-4"/>
        </w:rPr>
        <w:t> </w:t>
      </w:r>
      <w:r>
        <w:rPr>
          <w:color w:val="231F20"/>
        </w:rPr>
        <w:t>del</w:t>
      </w:r>
      <w:r>
        <w:rPr>
          <w:color w:val="231F20"/>
          <w:spacing w:val="-4"/>
        </w:rPr>
        <w:t> </w:t>
      </w:r>
      <w:r>
        <w:rPr>
          <w:color w:val="231F20"/>
        </w:rPr>
        <w:t>uno</w:t>
      </w:r>
      <w:r>
        <w:rPr>
          <w:color w:val="231F20"/>
          <w:spacing w:val="-4"/>
        </w:rPr>
        <w:t> </w:t>
      </w:r>
      <w:r>
        <w:rPr>
          <w:color w:val="231F20"/>
        </w:rPr>
        <w:t>por ciento de la población migrante total. No obstante, sus acciones colectivas han contribuido al desarrollo local en México en beneficio de las comuni- dades de origen. Las remesas colectivas han ido en aumento a pesar de la crisis financiera e inmobiliaria en Estados Unidos que provocó la caída de las remesas familiares desde 2008 (Díaz,</w:t>
      </w:r>
      <w:r>
        <w:rPr>
          <w:color w:val="231F20"/>
          <w:spacing w:val="-1"/>
        </w:rPr>
        <w:t> </w:t>
      </w:r>
      <w:r>
        <w:rPr>
          <w:color w:val="231F20"/>
        </w:rPr>
        <w:t>2012).</w:t>
      </w:r>
    </w:p>
    <w:p>
      <w:pPr>
        <w:pStyle w:val="BodyText"/>
        <w:spacing w:line="247" w:lineRule="auto"/>
        <w:ind w:left="117" w:right="114" w:firstLine="283"/>
        <w:jc w:val="both"/>
      </w:pPr>
      <w:r>
        <w:rPr>
          <w:color w:val="231F20"/>
        </w:rPr>
        <w:t>A nivel nacional, mientras que en el 2002 en el Programa 3x1 para migrantes 20 grupos de migrantes, para el 2011 sumaron 795 clubes. De 247 municipios beneficiados en 2002, en el 2011 fueron 614; la población potencial está representada por los 2 456 municipios del país. El presu- puesto fue de 557.8 millones de pesos para financiar dos mil proyectos de infraestructura social y 500 proyectos productivos (CESOP, 2011).</w:t>
      </w:r>
    </w:p>
    <w:p>
      <w:pPr>
        <w:pStyle w:val="Heading3"/>
        <w:spacing w:line="242" w:lineRule="auto"/>
        <w:ind w:right="1210"/>
        <w:jc w:val="left"/>
      </w:pPr>
      <w:r>
        <w:rPr>
          <w:color w:val="231F20"/>
        </w:rPr>
        <w:t>Surgimiento de clubes y organizaciones de migrantes guerrerenses</w:t>
      </w:r>
    </w:p>
    <w:p>
      <w:pPr>
        <w:pStyle w:val="BodyText"/>
        <w:spacing w:line="247" w:lineRule="auto" w:before="170"/>
        <w:ind w:left="117" w:right="115"/>
        <w:jc w:val="both"/>
      </w:pPr>
      <w:r>
        <w:rPr>
          <w:color w:val="231F20"/>
        </w:rPr>
        <w:t>Los flujos poblacionales México-Estados Unidos de la región centro-sur del país son poco conocidos, particularmente los que acontecen en el esta- do</w:t>
      </w:r>
      <w:r>
        <w:rPr>
          <w:color w:val="231F20"/>
          <w:spacing w:val="-12"/>
        </w:rPr>
        <w:t> </w:t>
      </w:r>
      <w:r>
        <w:rPr>
          <w:color w:val="231F20"/>
        </w:rPr>
        <w:t>de</w:t>
      </w:r>
      <w:r>
        <w:rPr>
          <w:color w:val="231F20"/>
          <w:spacing w:val="-12"/>
        </w:rPr>
        <w:t> </w:t>
      </w:r>
      <w:r>
        <w:rPr>
          <w:color w:val="231F20"/>
        </w:rPr>
        <w:t>Guerrero.</w:t>
      </w:r>
      <w:r>
        <w:rPr>
          <w:color w:val="231F20"/>
          <w:spacing w:val="-12"/>
        </w:rPr>
        <w:t> </w:t>
      </w:r>
      <w:r>
        <w:rPr>
          <w:color w:val="231F20"/>
        </w:rPr>
        <w:t>Las</w:t>
      </w:r>
      <w:r>
        <w:rPr>
          <w:color w:val="231F20"/>
          <w:spacing w:val="-12"/>
        </w:rPr>
        <w:t> </w:t>
      </w:r>
      <w:r>
        <w:rPr>
          <w:color w:val="231F20"/>
        </w:rPr>
        <w:t>primeras</w:t>
      </w:r>
      <w:r>
        <w:rPr>
          <w:color w:val="231F20"/>
          <w:spacing w:val="-12"/>
        </w:rPr>
        <w:t> </w:t>
      </w:r>
      <w:r>
        <w:rPr>
          <w:color w:val="231F20"/>
        </w:rPr>
        <w:t>migraciones</w:t>
      </w:r>
      <w:r>
        <w:rPr>
          <w:color w:val="231F20"/>
          <w:spacing w:val="-13"/>
        </w:rPr>
        <w:t> </w:t>
      </w:r>
      <w:r>
        <w:rPr>
          <w:color w:val="231F20"/>
        </w:rPr>
        <w:t>fueron</w:t>
      </w:r>
      <w:r>
        <w:rPr>
          <w:color w:val="231F20"/>
          <w:spacing w:val="-12"/>
        </w:rPr>
        <w:t> </w:t>
      </w:r>
      <w:r>
        <w:rPr>
          <w:color w:val="231F20"/>
        </w:rPr>
        <w:t>detectadas</w:t>
      </w:r>
      <w:r>
        <w:rPr>
          <w:color w:val="231F20"/>
          <w:spacing w:val="-12"/>
        </w:rPr>
        <w:t> </w:t>
      </w:r>
      <w:r>
        <w:rPr>
          <w:color w:val="231F20"/>
        </w:rPr>
        <w:t>marginalmen- te en los estudios antropológicos de Gamio en la segunda mitad de la </w:t>
      </w:r>
      <w:r>
        <w:rPr>
          <w:color w:val="231F20"/>
          <w:spacing w:val="38"/>
        </w:rPr>
        <w:t> </w:t>
      </w:r>
      <w:r>
        <w:rPr>
          <w:color w:val="231F20"/>
        </w:rPr>
        <w:t>dé-</w:t>
      </w:r>
    </w:p>
    <w:p>
      <w:pPr>
        <w:spacing w:after="0" w:line="247" w:lineRule="auto"/>
        <w:jc w:val="both"/>
        <w:sectPr>
          <w:pgSz w:w="9360" w:h="13040"/>
          <w:pgMar w:header="0" w:footer="496" w:top="800" w:bottom="680" w:left="1300" w:right="1300"/>
        </w:sectPr>
      </w:pPr>
    </w:p>
    <w:p>
      <w:pPr>
        <w:spacing w:before="45"/>
        <w:ind w:left="117" w:right="0" w:firstLine="89"/>
        <w:jc w:val="both"/>
        <w:rPr>
          <w:rFonts w:ascii="Arial" w:hAnsi="Arial"/>
          <w:sz w:val="20"/>
        </w:rPr>
      </w:pPr>
      <w:r>
        <w:rPr>
          <w:rFonts w:ascii="Arial" w:hAnsi="Arial"/>
          <w:color w:val="231F20"/>
          <w:w w:val="70"/>
          <w:sz w:val="20"/>
        </w:rPr>
        <w:t>Políticas públicas de la migración transnacional entre México y Estados Unidos /Alejandro  Díaz-Garay</w:t>
      </w:r>
    </w:p>
    <w:p>
      <w:pPr>
        <w:pStyle w:val="BodyText"/>
        <w:spacing w:before="7"/>
        <w:rPr>
          <w:rFonts w:ascii="Arial"/>
          <w:sz w:val="28"/>
        </w:rPr>
      </w:pPr>
    </w:p>
    <w:p>
      <w:pPr>
        <w:pStyle w:val="BodyText"/>
        <w:spacing w:line="247" w:lineRule="auto"/>
        <w:ind w:left="117" w:right="114"/>
        <w:jc w:val="both"/>
      </w:pPr>
      <w:r>
        <w:rPr>
          <w:color w:val="231F20"/>
        </w:rPr>
        <w:t>cada</w:t>
      </w:r>
      <w:r>
        <w:rPr>
          <w:color w:val="231F20"/>
          <w:spacing w:val="-7"/>
        </w:rPr>
        <w:t> </w:t>
      </w:r>
      <w:r>
        <w:rPr>
          <w:color w:val="231F20"/>
        </w:rPr>
        <w:t>de</w:t>
      </w:r>
      <w:r>
        <w:rPr>
          <w:color w:val="231F20"/>
          <w:spacing w:val="-6"/>
        </w:rPr>
        <w:t> </w:t>
      </w:r>
      <w:r>
        <w:rPr>
          <w:color w:val="231F20"/>
        </w:rPr>
        <w:t>1920.</w:t>
      </w:r>
      <w:r>
        <w:rPr>
          <w:color w:val="231F20"/>
          <w:spacing w:val="-6"/>
        </w:rPr>
        <w:t> </w:t>
      </w:r>
      <w:r>
        <w:rPr>
          <w:color w:val="231F20"/>
        </w:rPr>
        <w:t>Posteriormente</w:t>
      </w:r>
      <w:r>
        <w:rPr>
          <w:color w:val="231F20"/>
          <w:spacing w:val="-7"/>
        </w:rPr>
        <w:t> </w:t>
      </w:r>
      <w:r>
        <w:rPr>
          <w:color w:val="231F20"/>
        </w:rPr>
        <w:t>se</w:t>
      </w:r>
      <w:r>
        <w:rPr>
          <w:color w:val="231F20"/>
          <w:spacing w:val="-6"/>
        </w:rPr>
        <w:t> </w:t>
      </w:r>
      <w:r>
        <w:rPr>
          <w:color w:val="231F20"/>
        </w:rPr>
        <w:t>propagó</w:t>
      </w:r>
      <w:r>
        <w:rPr>
          <w:color w:val="231F20"/>
          <w:spacing w:val="-7"/>
        </w:rPr>
        <w:t> </w:t>
      </w:r>
      <w:r>
        <w:rPr>
          <w:color w:val="231F20"/>
        </w:rPr>
        <w:t>a</w:t>
      </w:r>
      <w:r>
        <w:rPr>
          <w:color w:val="231F20"/>
          <w:spacing w:val="-6"/>
        </w:rPr>
        <w:t> </w:t>
      </w:r>
      <w:r>
        <w:rPr>
          <w:color w:val="231F20"/>
        </w:rPr>
        <w:t>las</w:t>
      </w:r>
      <w:r>
        <w:rPr>
          <w:color w:val="231F20"/>
          <w:spacing w:val="-6"/>
        </w:rPr>
        <w:t> </w:t>
      </w:r>
      <w:r>
        <w:rPr>
          <w:color w:val="231F20"/>
        </w:rPr>
        <w:t>diversas</w:t>
      </w:r>
      <w:r>
        <w:rPr>
          <w:color w:val="231F20"/>
          <w:spacing w:val="-7"/>
        </w:rPr>
        <w:t> </w:t>
      </w:r>
      <w:r>
        <w:rPr>
          <w:color w:val="231F20"/>
        </w:rPr>
        <w:t>regiones</w:t>
      </w:r>
      <w:r>
        <w:rPr>
          <w:color w:val="231F20"/>
          <w:spacing w:val="-7"/>
        </w:rPr>
        <w:t> </w:t>
      </w:r>
      <w:r>
        <w:rPr>
          <w:color w:val="231F20"/>
        </w:rPr>
        <w:t>del</w:t>
      </w:r>
      <w:r>
        <w:rPr>
          <w:color w:val="231F20"/>
          <w:spacing w:val="-7"/>
        </w:rPr>
        <w:t> </w:t>
      </w:r>
      <w:r>
        <w:rPr>
          <w:color w:val="231F20"/>
        </w:rPr>
        <w:t>estado durante</w:t>
      </w:r>
      <w:r>
        <w:rPr>
          <w:color w:val="231F20"/>
          <w:spacing w:val="-10"/>
        </w:rPr>
        <w:t> </w:t>
      </w:r>
      <w:r>
        <w:rPr>
          <w:color w:val="231F20"/>
        </w:rPr>
        <w:t>el</w:t>
      </w:r>
      <w:r>
        <w:rPr>
          <w:color w:val="231F20"/>
          <w:spacing w:val="-10"/>
        </w:rPr>
        <w:t> </w:t>
      </w:r>
      <w:r>
        <w:rPr>
          <w:color w:val="231F20"/>
        </w:rPr>
        <w:t>Programa</w:t>
      </w:r>
      <w:r>
        <w:rPr>
          <w:color w:val="231F20"/>
          <w:spacing w:val="-10"/>
        </w:rPr>
        <w:t> </w:t>
      </w:r>
      <w:r>
        <w:rPr>
          <w:color w:val="231F20"/>
        </w:rPr>
        <w:t>Bracero</w:t>
      </w:r>
      <w:r>
        <w:rPr>
          <w:color w:val="231F20"/>
          <w:spacing w:val="-10"/>
        </w:rPr>
        <w:t> </w:t>
      </w:r>
      <w:r>
        <w:rPr>
          <w:color w:val="231F20"/>
        </w:rPr>
        <w:t>(1942-1964)</w:t>
      </w:r>
      <w:r>
        <w:rPr>
          <w:color w:val="231F20"/>
          <w:spacing w:val="-10"/>
        </w:rPr>
        <w:t> </w:t>
      </w:r>
      <w:r>
        <w:rPr>
          <w:color w:val="231F20"/>
        </w:rPr>
        <w:t>(Díaz,</w:t>
      </w:r>
      <w:r>
        <w:rPr>
          <w:color w:val="231F20"/>
          <w:spacing w:val="-10"/>
        </w:rPr>
        <w:t> </w:t>
      </w:r>
      <w:r>
        <w:rPr>
          <w:color w:val="231F20"/>
        </w:rPr>
        <w:t>2009).</w:t>
      </w:r>
      <w:r>
        <w:rPr>
          <w:color w:val="231F20"/>
          <w:spacing w:val="-22"/>
        </w:rPr>
        <w:t> </w:t>
      </w:r>
      <w:r>
        <w:rPr>
          <w:color w:val="231F20"/>
        </w:rPr>
        <w:t>Al</w:t>
      </w:r>
      <w:r>
        <w:rPr>
          <w:color w:val="231F20"/>
          <w:spacing w:val="-10"/>
        </w:rPr>
        <w:t> </w:t>
      </w:r>
      <w:r>
        <w:rPr>
          <w:color w:val="231F20"/>
        </w:rPr>
        <w:t>establecerse</w:t>
      </w:r>
      <w:r>
        <w:rPr>
          <w:color w:val="231F20"/>
          <w:spacing w:val="-10"/>
        </w:rPr>
        <w:t> </w:t>
      </w:r>
      <w:r>
        <w:rPr>
          <w:color w:val="231F20"/>
        </w:rPr>
        <w:t>los primeros vínculos entre los migrantes pioneros con sus familiares o paisa- nos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comunidad</w:t>
      </w:r>
      <w:r>
        <w:rPr>
          <w:color w:val="231F20"/>
          <w:spacing w:val="-12"/>
        </w:rPr>
        <w:t> </w:t>
      </w:r>
      <w:r>
        <w:rPr>
          <w:color w:val="231F20"/>
        </w:rPr>
        <w:t>de</w:t>
      </w:r>
      <w:r>
        <w:rPr>
          <w:color w:val="231F20"/>
          <w:spacing w:val="-12"/>
        </w:rPr>
        <w:t> </w:t>
      </w:r>
      <w:r>
        <w:rPr>
          <w:color w:val="231F20"/>
        </w:rPr>
        <w:t>origen,</w:t>
      </w:r>
      <w:r>
        <w:rPr>
          <w:color w:val="231F20"/>
          <w:spacing w:val="-12"/>
        </w:rPr>
        <w:t> </w:t>
      </w:r>
      <w:r>
        <w:rPr>
          <w:color w:val="231F20"/>
        </w:rPr>
        <w:t>surgió</w:t>
      </w:r>
      <w:r>
        <w:rPr>
          <w:color w:val="231F20"/>
          <w:spacing w:val="-12"/>
        </w:rPr>
        <w:t> </w:t>
      </w:r>
      <w:r>
        <w:rPr>
          <w:color w:val="231F20"/>
        </w:rPr>
        <w:t>el</w:t>
      </w:r>
      <w:r>
        <w:rPr>
          <w:color w:val="231F20"/>
          <w:spacing w:val="-12"/>
        </w:rPr>
        <w:t> </w:t>
      </w:r>
      <w:r>
        <w:rPr>
          <w:color w:val="231F20"/>
        </w:rPr>
        <w:t>deseo</w:t>
      </w:r>
      <w:r>
        <w:rPr>
          <w:color w:val="231F20"/>
          <w:spacing w:val="-12"/>
        </w:rPr>
        <w:t> </w:t>
      </w:r>
      <w:r>
        <w:rPr>
          <w:color w:val="231F20"/>
        </w:rPr>
        <w:t>de</w:t>
      </w:r>
      <w:r>
        <w:rPr>
          <w:color w:val="231F20"/>
          <w:spacing w:val="-12"/>
        </w:rPr>
        <w:t> </w:t>
      </w:r>
      <w:r>
        <w:rPr>
          <w:color w:val="231F20"/>
        </w:rPr>
        <w:t>emular</w:t>
      </w:r>
      <w:r>
        <w:rPr>
          <w:color w:val="231F20"/>
          <w:spacing w:val="-12"/>
        </w:rPr>
        <w:t> </w:t>
      </w:r>
      <w:r>
        <w:rPr>
          <w:color w:val="231F20"/>
        </w:rPr>
        <w:t>el</w:t>
      </w:r>
      <w:r>
        <w:rPr>
          <w:color w:val="231F20"/>
          <w:spacing w:val="-12"/>
        </w:rPr>
        <w:t> </w:t>
      </w:r>
      <w:r>
        <w:rPr>
          <w:color w:val="231F20"/>
        </w:rPr>
        <w:t>esfuerzo</w:t>
      </w:r>
      <w:r>
        <w:rPr>
          <w:color w:val="231F20"/>
          <w:spacing w:val="-12"/>
        </w:rPr>
        <w:t> </w:t>
      </w:r>
      <w:r>
        <w:rPr>
          <w:color w:val="231F20"/>
        </w:rPr>
        <w:t>de</w:t>
      </w:r>
      <w:r>
        <w:rPr>
          <w:color w:val="231F20"/>
          <w:spacing w:val="-12"/>
        </w:rPr>
        <w:t> </w:t>
      </w:r>
      <w:r>
        <w:rPr>
          <w:color w:val="231F20"/>
        </w:rPr>
        <w:t>sus coterráneos,</w:t>
      </w:r>
      <w:r>
        <w:rPr>
          <w:color w:val="231F20"/>
          <w:spacing w:val="-6"/>
        </w:rPr>
        <w:t> </w:t>
      </w:r>
      <w:r>
        <w:rPr>
          <w:color w:val="231F20"/>
        </w:rPr>
        <w:t>máxime</w:t>
      </w:r>
      <w:r>
        <w:rPr>
          <w:color w:val="231F20"/>
          <w:spacing w:val="-6"/>
        </w:rPr>
        <w:t> </w:t>
      </w:r>
      <w:r>
        <w:rPr>
          <w:color w:val="231F20"/>
        </w:rPr>
        <w:t>si</w:t>
      </w:r>
      <w:r>
        <w:rPr>
          <w:color w:val="231F20"/>
          <w:spacing w:val="-6"/>
        </w:rPr>
        <w:t> </w:t>
      </w:r>
      <w:r>
        <w:rPr>
          <w:color w:val="231F20"/>
        </w:rPr>
        <w:t>éstos</w:t>
      </w:r>
      <w:r>
        <w:rPr>
          <w:color w:val="231F20"/>
          <w:spacing w:val="-6"/>
        </w:rPr>
        <w:t> </w:t>
      </w:r>
      <w:r>
        <w:rPr>
          <w:color w:val="231F20"/>
        </w:rPr>
        <w:t>habían</w:t>
      </w:r>
      <w:r>
        <w:rPr>
          <w:color w:val="231F20"/>
          <w:spacing w:val="-6"/>
        </w:rPr>
        <w:t> </w:t>
      </w:r>
      <w:r>
        <w:rPr>
          <w:color w:val="231F20"/>
        </w:rPr>
        <w:t>mejorado</w:t>
      </w:r>
      <w:r>
        <w:rPr>
          <w:color w:val="231F20"/>
          <w:spacing w:val="-6"/>
        </w:rPr>
        <w:t> </w:t>
      </w:r>
      <w:r>
        <w:rPr>
          <w:color w:val="231F20"/>
        </w:rPr>
        <w:t>sus</w:t>
      </w:r>
      <w:r>
        <w:rPr>
          <w:color w:val="231F20"/>
          <w:spacing w:val="-6"/>
        </w:rPr>
        <w:t> </w:t>
      </w:r>
      <w:r>
        <w:rPr>
          <w:color w:val="231F20"/>
        </w:rPr>
        <w:t>condiciones</w:t>
      </w:r>
      <w:r>
        <w:rPr>
          <w:color w:val="231F20"/>
          <w:spacing w:val="-6"/>
        </w:rPr>
        <w:t> </w:t>
      </w:r>
      <w:r>
        <w:rPr>
          <w:color w:val="231F20"/>
        </w:rPr>
        <w:t>de</w:t>
      </w:r>
      <w:r>
        <w:rPr>
          <w:color w:val="231F20"/>
          <w:spacing w:val="-6"/>
        </w:rPr>
        <w:t> </w:t>
      </w:r>
      <w:r>
        <w:rPr>
          <w:color w:val="231F20"/>
        </w:rPr>
        <w:t>vida.</w:t>
      </w:r>
      <w:r>
        <w:rPr>
          <w:color w:val="231F20"/>
          <w:spacing w:val="-6"/>
        </w:rPr>
        <w:t> </w:t>
      </w:r>
      <w:r>
        <w:rPr>
          <w:color w:val="231F20"/>
        </w:rPr>
        <w:t>De esta manera, se creaba un sistema socio espacial de la migración interna- cional</w:t>
      </w:r>
      <w:r>
        <w:rPr>
          <w:color w:val="231F20"/>
          <w:spacing w:val="-5"/>
        </w:rPr>
        <w:t> </w:t>
      </w:r>
      <w:r>
        <w:rPr>
          <w:color w:val="231F20"/>
        </w:rPr>
        <w:t>bien</w:t>
      </w:r>
      <w:r>
        <w:rPr>
          <w:color w:val="231F20"/>
          <w:spacing w:val="-5"/>
        </w:rPr>
        <w:t> </w:t>
      </w:r>
      <w:r>
        <w:rPr>
          <w:color w:val="231F20"/>
        </w:rPr>
        <w:t>estructurado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escala</w:t>
      </w:r>
      <w:r>
        <w:rPr>
          <w:color w:val="231F20"/>
          <w:spacing w:val="-5"/>
        </w:rPr>
        <w:t> </w:t>
      </w:r>
      <w:r>
        <w:rPr>
          <w:color w:val="231F20"/>
        </w:rPr>
        <w:t>comunitaria</w:t>
      </w:r>
      <w:r>
        <w:rPr>
          <w:color w:val="231F20"/>
          <w:spacing w:val="-5"/>
        </w:rPr>
        <w:t> </w:t>
      </w:r>
      <w:r>
        <w:rPr>
          <w:color w:val="231F20"/>
        </w:rPr>
        <w:t>(Faret,</w:t>
      </w:r>
      <w:r>
        <w:rPr>
          <w:color w:val="231F20"/>
          <w:spacing w:val="-5"/>
        </w:rPr>
        <w:t> </w:t>
      </w:r>
      <w:r>
        <w:rPr>
          <w:color w:val="231F20"/>
        </w:rPr>
        <w:t>1998).</w:t>
      </w:r>
      <w:r>
        <w:rPr>
          <w:color w:val="231F20"/>
          <w:spacing w:val="-17"/>
        </w:rPr>
        <w:t> </w:t>
      </w:r>
      <w:r>
        <w:rPr>
          <w:color w:val="231F20"/>
        </w:rPr>
        <w:t>Al</w:t>
      </w:r>
      <w:r>
        <w:rPr>
          <w:color w:val="231F20"/>
          <w:spacing w:val="-5"/>
        </w:rPr>
        <w:t> </w:t>
      </w:r>
      <w:r>
        <w:rPr>
          <w:color w:val="231F20"/>
        </w:rPr>
        <w:t>igual</w:t>
      </w:r>
      <w:r>
        <w:rPr>
          <w:color w:val="231F20"/>
          <w:spacing w:val="-5"/>
        </w:rPr>
        <w:t> </w:t>
      </w:r>
      <w:r>
        <w:rPr>
          <w:color w:val="231F20"/>
        </w:rPr>
        <w:t>que sucedía</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rPr>
        <w:t>región</w:t>
      </w:r>
      <w:r>
        <w:rPr>
          <w:color w:val="231F20"/>
          <w:spacing w:val="-4"/>
        </w:rPr>
        <w:t> </w:t>
      </w:r>
      <w:r>
        <w:rPr>
          <w:color w:val="231F20"/>
        </w:rPr>
        <w:t>histórica</w:t>
      </w:r>
      <w:r>
        <w:rPr>
          <w:color w:val="231F20"/>
          <w:spacing w:val="-4"/>
        </w:rPr>
        <w:t> </w:t>
      </w:r>
      <w:r>
        <w:rPr>
          <w:color w:val="231F20"/>
        </w:rPr>
        <w:t>nacional,</w:t>
      </w:r>
      <w:r>
        <w:rPr>
          <w:color w:val="231F20"/>
          <w:spacing w:val="-4"/>
        </w:rPr>
        <w:t> </w:t>
      </w:r>
      <w:r>
        <w:rPr>
          <w:color w:val="231F20"/>
        </w:rPr>
        <w:t>se</w:t>
      </w:r>
      <w:r>
        <w:rPr>
          <w:color w:val="231F20"/>
          <w:spacing w:val="-4"/>
        </w:rPr>
        <w:t> </w:t>
      </w:r>
      <w:r>
        <w:rPr>
          <w:color w:val="231F20"/>
        </w:rPr>
        <w:t>apreciaban</w:t>
      </w:r>
      <w:r>
        <w:rPr>
          <w:color w:val="231F20"/>
          <w:spacing w:val="-5"/>
        </w:rPr>
        <w:t> </w:t>
      </w:r>
      <w:r>
        <w:rPr>
          <w:color w:val="231F20"/>
        </w:rPr>
        <w:t>rasgos</w:t>
      </w:r>
      <w:r>
        <w:rPr>
          <w:color w:val="231F20"/>
          <w:spacing w:val="-4"/>
        </w:rPr>
        <w:t> </w:t>
      </w:r>
      <w:r>
        <w:rPr>
          <w:color w:val="231F20"/>
        </w:rPr>
        <w:t>nuevos</w:t>
      </w:r>
      <w:r>
        <w:rPr>
          <w:color w:val="231F20"/>
          <w:spacing w:val="-4"/>
        </w:rPr>
        <w:t> </w:t>
      </w:r>
      <w:r>
        <w:rPr>
          <w:color w:val="231F20"/>
        </w:rPr>
        <w:t>en</w:t>
      </w:r>
      <w:r>
        <w:rPr>
          <w:color w:val="231F20"/>
          <w:spacing w:val="-4"/>
        </w:rPr>
        <w:t> </w:t>
      </w:r>
      <w:r>
        <w:rPr>
          <w:color w:val="231F20"/>
        </w:rPr>
        <w:t>el patrón</w:t>
      </w:r>
      <w:r>
        <w:rPr>
          <w:color w:val="231F20"/>
          <w:spacing w:val="-11"/>
        </w:rPr>
        <w:t> </w:t>
      </w:r>
      <w:r>
        <w:rPr>
          <w:color w:val="231F20"/>
        </w:rPr>
        <w:t>migratorio</w:t>
      </w:r>
      <w:r>
        <w:rPr>
          <w:color w:val="231F20"/>
          <w:spacing w:val="-11"/>
        </w:rPr>
        <w:t> </w:t>
      </w:r>
      <w:r>
        <w:rPr>
          <w:color w:val="231F20"/>
        </w:rPr>
        <w:t>guerrerense;</w:t>
      </w:r>
      <w:r>
        <w:rPr>
          <w:color w:val="231F20"/>
          <w:spacing w:val="-11"/>
        </w:rPr>
        <w:t> </w:t>
      </w:r>
      <w:r>
        <w:rPr>
          <w:color w:val="231F20"/>
        </w:rPr>
        <w:t>particularmente</w:t>
      </w:r>
      <w:r>
        <w:rPr>
          <w:color w:val="231F20"/>
          <w:spacing w:val="-11"/>
        </w:rPr>
        <w:t> </w:t>
      </w:r>
      <w:r>
        <w:rPr>
          <w:color w:val="231F20"/>
        </w:rPr>
        <w:t>se</w:t>
      </w:r>
      <w:r>
        <w:rPr>
          <w:color w:val="231F20"/>
          <w:spacing w:val="-11"/>
        </w:rPr>
        <w:t> </w:t>
      </w:r>
      <w:r>
        <w:rPr>
          <w:color w:val="231F20"/>
        </w:rPr>
        <w:t>observó</w:t>
      </w:r>
      <w:r>
        <w:rPr>
          <w:color w:val="231F20"/>
          <w:spacing w:val="-11"/>
        </w:rPr>
        <w:t> </w:t>
      </w:r>
      <w:r>
        <w:rPr>
          <w:color w:val="231F20"/>
        </w:rPr>
        <w:t>una</w:t>
      </w:r>
      <w:r>
        <w:rPr>
          <w:color w:val="231F20"/>
          <w:spacing w:val="-11"/>
        </w:rPr>
        <w:t> </w:t>
      </w:r>
      <w:r>
        <w:rPr>
          <w:color w:val="231F20"/>
        </w:rPr>
        <w:t>notable</w:t>
      </w:r>
      <w:r>
        <w:rPr>
          <w:color w:val="231F20"/>
          <w:spacing w:val="-11"/>
        </w:rPr>
        <w:t> </w:t>
      </w:r>
      <w:r>
        <w:rPr>
          <w:color w:val="231F20"/>
        </w:rPr>
        <w:t>par- ticipación de mujeres y niños en los flujos. Esta realidad obligó a realizar cambios en la unidad de análisis: de lo individual a lo familiar. Posterior- mente, se creó un enclave comunitario más allá de las fronteras</w:t>
      </w:r>
      <w:r>
        <w:rPr>
          <w:color w:val="231F20"/>
          <w:spacing w:val="-37"/>
        </w:rPr>
        <w:t> </w:t>
      </w:r>
      <w:r>
        <w:rPr>
          <w:color w:val="231F20"/>
        </w:rPr>
        <w:t>nacionales alimentado</w:t>
      </w:r>
      <w:r>
        <w:rPr>
          <w:color w:val="231F20"/>
          <w:spacing w:val="-8"/>
        </w:rPr>
        <w:t> </w:t>
      </w:r>
      <w:r>
        <w:rPr>
          <w:color w:val="231F20"/>
        </w:rPr>
        <w:t>por</w:t>
      </w:r>
      <w:r>
        <w:rPr>
          <w:color w:val="231F20"/>
          <w:spacing w:val="-7"/>
        </w:rPr>
        <w:t> </w:t>
      </w:r>
      <w:r>
        <w:rPr>
          <w:color w:val="231F20"/>
        </w:rPr>
        <w:t>el</w:t>
      </w:r>
      <w:r>
        <w:rPr>
          <w:color w:val="231F20"/>
          <w:spacing w:val="-7"/>
        </w:rPr>
        <w:t> </w:t>
      </w:r>
      <w:r>
        <w:rPr>
          <w:i/>
          <w:color w:val="231F20"/>
        </w:rPr>
        <w:t>circuito</w:t>
      </w:r>
      <w:r>
        <w:rPr>
          <w:i/>
          <w:color w:val="231F20"/>
          <w:spacing w:val="-7"/>
        </w:rPr>
        <w:t> </w:t>
      </w:r>
      <w:r>
        <w:rPr>
          <w:i/>
          <w:color w:val="231F20"/>
        </w:rPr>
        <w:t>migrante</w:t>
      </w:r>
      <w:r>
        <w:rPr>
          <w:i/>
          <w:color w:val="231F20"/>
          <w:spacing w:val="-7"/>
        </w:rPr>
        <w:t> </w:t>
      </w:r>
      <w:r>
        <w:rPr>
          <w:i/>
          <w:color w:val="231F20"/>
        </w:rPr>
        <w:t>internacional</w:t>
      </w:r>
      <w:r>
        <w:rPr>
          <w:color w:val="231F20"/>
        </w:rPr>
        <w:t>.</w:t>
      </w:r>
      <w:r>
        <w:rPr>
          <w:color w:val="231F20"/>
          <w:spacing w:val="-7"/>
        </w:rPr>
        <w:t> </w:t>
      </w:r>
      <w:r>
        <w:rPr>
          <w:color w:val="231F20"/>
        </w:rPr>
        <w:t>Una</w:t>
      </w:r>
      <w:r>
        <w:rPr>
          <w:color w:val="231F20"/>
          <w:spacing w:val="-7"/>
        </w:rPr>
        <w:t> </w:t>
      </w:r>
      <w:r>
        <w:rPr>
          <w:color w:val="231F20"/>
        </w:rPr>
        <w:t>vez</w:t>
      </w:r>
      <w:r>
        <w:rPr>
          <w:color w:val="231F20"/>
          <w:spacing w:val="-7"/>
        </w:rPr>
        <w:t> </w:t>
      </w:r>
      <w:r>
        <w:rPr>
          <w:color w:val="231F20"/>
        </w:rPr>
        <w:t>que</w:t>
      </w:r>
      <w:r>
        <w:rPr>
          <w:color w:val="231F20"/>
          <w:spacing w:val="-7"/>
        </w:rPr>
        <w:t> </w:t>
      </w:r>
      <w:r>
        <w:rPr>
          <w:color w:val="231F20"/>
        </w:rPr>
        <w:t>éste</w:t>
      </w:r>
      <w:r>
        <w:rPr>
          <w:color w:val="231F20"/>
          <w:spacing w:val="-7"/>
        </w:rPr>
        <w:t> </w:t>
      </w:r>
      <w:r>
        <w:rPr>
          <w:color w:val="231F20"/>
        </w:rPr>
        <w:t>inicia, se crea también la comunidad transnacional. La teoría de redes sociales explica los vínculos entre los lugares de origen y los puntos de destino. El predominio de migrantes de un mismo lugar de origen, una misma loca- lidad, inclusive una misma actividad laboral, se debe a una compleja red de relaciones sociales. “Con el tiempo, la comunidad migrante empieza a tomar el control de un barrio o un sector de la ciudad y a controlar uno o varios</w:t>
      </w:r>
      <w:r>
        <w:rPr>
          <w:color w:val="231F20"/>
          <w:spacing w:val="-8"/>
        </w:rPr>
        <w:t> </w:t>
      </w:r>
      <w:r>
        <w:rPr>
          <w:color w:val="231F20"/>
        </w:rPr>
        <w:t>nichos</w:t>
      </w:r>
      <w:r>
        <w:rPr>
          <w:color w:val="231F20"/>
          <w:spacing w:val="-8"/>
        </w:rPr>
        <w:t> </w:t>
      </w:r>
      <w:r>
        <w:rPr>
          <w:color w:val="231F20"/>
        </w:rPr>
        <w:t>laborales”</w:t>
      </w:r>
      <w:r>
        <w:rPr>
          <w:color w:val="231F20"/>
          <w:spacing w:val="-8"/>
        </w:rPr>
        <w:t> </w:t>
      </w:r>
      <w:r>
        <w:rPr>
          <w:color w:val="231F20"/>
        </w:rPr>
        <w:t>(Durand,</w:t>
      </w:r>
      <w:r>
        <w:rPr>
          <w:color w:val="231F20"/>
          <w:spacing w:val="-8"/>
        </w:rPr>
        <w:t> </w:t>
      </w:r>
      <w:r>
        <w:rPr>
          <w:color w:val="231F20"/>
        </w:rPr>
        <w:t>2000:</w:t>
      </w:r>
      <w:r>
        <w:rPr>
          <w:color w:val="231F20"/>
          <w:spacing w:val="-8"/>
        </w:rPr>
        <w:t> </w:t>
      </w:r>
      <w:r>
        <w:rPr>
          <w:color w:val="231F20"/>
        </w:rPr>
        <w:t>249).</w:t>
      </w:r>
      <w:r>
        <w:rPr>
          <w:color w:val="231F20"/>
          <w:spacing w:val="-8"/>
        </w:rPr>
        <w:t> </w:t>
      </w:r>
      <w:r>
        <w:rPr>
          <w:color w:val="231F20"/>
        </w:rPr>
        <w:t>Llegado</w:t>
      </w:r>
      <w:r>
        <w:rPr>
          <w:color w:val="231F20"/>
          <w:spacing w:val="-8"/>
        </w:rPr>
        <w:t> </w:t>
      </w:r>
      <w:r>
        <w:rPr>
          <w:color w:val="231F20"/>
        </w:rPr>
        <w:t>ese</w:t>
      </w:r>
      <w:r>
        <w:rPr>
          <w:color w:val="231F20"/>
          <w:spacing w:val="-8"/>
        </w:rPr>
        <w:t> </w:t>
      </w:r>
      <w:r>
        <w:rPr>
          <w:color w:val="231F20"/>
        </w:rPr>
        <w:t>momento,</w:t>
      </w:r>
      <w:r>
        <w:rPr>
          <w:color w:val="231F20"/>
          <w:spacing w:val="-8"/>
        </w:rPr>
        <w:t> </w:t>
      </w:r>
      <w:r>
        <w:rPr>
          <w:color w:val="231F20"/>
        </w:rPr>
        <w:t>están dadas las condiciones para la conformación de clubes de migrantes y pos- teriormente las organizaciones de migrantes (Moctezuma,</w:t>
      </w:r>
      <w:r>
        <w:rPr>
          <w:color w:val="231F20"/>
          <w:spacing w:val="-5"/>
        </w:rPr>
        <w:t> </w:t>
      </w:r>
      <w:r>
        <w:rPr>
          <w:color w:val="231F20"/>
        </w:rPr>
        <w:t>2009).</w:t>
      </w:r>
    </w:p>
    <w:p>
      <w:pPr>
        <w:pStyle w:val="BodyText"/>
        <w:spacing w:line="247" w:lineRule="auto"/>
        <w:ind w:left="117" w:right="114" w:firstLine="283"/>
        <w:jc w:val="both"/>
      </w:pPr>
      <w:r>
        <w:rPr>
          <w:color w:val="231F20"/>
        </w:rPr>
        <w:t>Al igual que la migración en Zacatecas, los orígenes de la migración organizada de Guerrero son ejemplos de programas de política pública </w:t>
      </w:r>
      <w:r>
        <w:rPr>
          <w:color w:val="231F20"/>
          <w:spacing w:val="-3"/>
        </w:rPr>
        <w:t>(Valenzuela, </w:t>
      </w:r>
      <w:r>
        <w:rPr>
          <w:color w:val="231F20"/>
        </w:rPr>
        <w:t>2007; Rodríguez, 2012) tipo “2 por 1” construidos sobre pa- trones</w:t>
      </w:r>
      <w:r>
        <w:rPr>
          <w:color w:val="231F20"/>
          <w:spacing w:val="-13"/>
        </w:rPr>
        <w:t> </w:t>
      </w:r>
      <w:r>
        <w:rPr>
          <w:color w:val="231F20"/>
        </w:rPr>
        <w:t>de</w:t>
      </w:r>
      <w:r>
        <w:rPr>
          <w:color w:val="231F20"/>
          <w:spacing w:val="-12"/>
        </w:rPr>
        <w:t> </w:t>
      </w:r>
      <w:r>
        <w:rPr>
          <w:color w:val="231F20"/>
        </w:rPr>
        <w:t>prácticas</w:t>
      </w:r>
      <w:r>
        <w:rPr>
          <w:color w:val="231F20"/>
          <w:spacing w:val="-13"/>
        </w:rPr>
        <w:t> </w:t>
      </w:r>
      <w:r>
        <w:rPr>
          <w:color w:val="231F20"/>
        </w:rPr>
        <w:t>trasnacionales</w:t>
      </w:r>
      <w:r>
        <w:rPr>
          <w:color w:val="231F20"/>
          <w:spacing w:val="-13"/>
        </w:rPr>
        <w:t> </w:t>
      </w:r>
      <w:r>
        <w:rPr>
          <w:color w:val="231F20"/>
        </w:rPr>
        <w:t>y</w:t>
      </w:r>
      <w:r>
        <w:rPr>
          <w:color w:val="231F20"/>
          <w:spacing w:val="-12"/>
        </w:rPr>
        <w:t> </w:t>
      </w:r>
      <w:r>
        <w:rPr>
          <w:color w:val="231F20"/>
        </w:rPr>
        <w:t>de</w:t>
      </w:r>
      <w:r>
        <w:rPr>
          <w:color w:val="231F20"/>
          <w:spacing w:val="-12"/>
        </w:rPr>
        <w:t> </w:t>
      </w:r>
      <w:r>
        <w:rPr>
          <w:color w:val="231F20"/>
        </w:rPr>
        <w:t>organización</w:t>
      </w:r>
      <w:r>
        <w:rPr>
          <w:color w:val="231F20"/>
          <w:spacing w:val="-12"/>
        </w:rPr>
        <w:t> </w:t>
      </w:r>
      <w:r>
        <w:rPr>
          <w:color w:val="231F20"/>
        </w:rPr>
        <w:t>de</w:t>
      </w:r>
      <w:r>
        <w:rPr>
          <w:color w:val="231F20"/>
          <w:spacing w:val="-12"/>
        </w:rPr>
        <w:t> </w:t>
      </w:r>
      <w:r>
        <w:rPr>
          <w:color w:val="231F20"/>
        </w:rPr>
        <w:t>“abajo</w:t>
      </w:r>
      <w:r>
        <w:rPr>
          <w:color w:val="231F20"/>
          <w:spacing w:val="-13"/>
        </w:rPr>
        <w:t> </w:t>
      </w:r>
      <w:r>
        <w:rPr>
          <w:color w:val="231F20"/>
        </w:rPr>
        <w:t>hacia</w:t>
      </w:r>
      <w:r>
        <w:rPr>
          <w:color w:val="231F20"/>
          <w:spacing w:val="-12"/>
        </w:rPr>
        <w:t> </w:t>
      </w:r>
      <w:r>
        <w:rPr>
          <w:color w:val="231F20"/>
        </w:rPr>
        <w:t>arriba” bien</w:t>
      </w:r>
      <w:r>
        <w:rPr>
          <w:color w:val="231F20"/>
          <w:spacing w:val="-5"/>
        </w:rPr>
        <w:t> </w:t>
      </w:r>
      <w:r>
        <w:rPr>
          <w:color w:val="231F20"/>
        </w:rPr>
        <w:t>definidas</w:t>
      </w:r>
      <w:r>
        <w:rPr>
          <w:color w:val="231F20"/>
          <w:spacing w:val="-5"/>
        </w:rPr>
        <w:t> </w:t>
      </w:r>
      <w:r>
        <w:rPr>
          <w:color w:val="231F20"/>
        </w:rPr>
        <w:t>(Goldring,</w:t>
      </w:r>
      <w:r>
        <w:rPr>
          <w:color w:val="231F20"/>
          <w:spacing w:val="-5"/>
        </w:rPr>
        <w:t> </w:t>
      </w:r>
      <w:r>
        <w:rPr>
          <w:color w:val="231F20"/>
        </w:rPr>
        <w:t>1998).</w:t>
      </w:r>
      <w:r>
        <w:rPr>
          <w:color w:val="231F20"/>
          <w:spacing w:val="-5"/>
        </w:rPr>
        <w:t> </w:t>
      </w:r>
      <w:r>
        <w:rPr>
          <w:color w:val="231F20"/>
        </w:rPr>
        <w:t>La</w:t>
      </w:r>
      <w:r>
        <w:rPr>
          <w:color w:val="231F20"/>
          <w:spacing w:val="-5"/>
        </w:rPr>
        <w:t> </w:t>
      </w:r>
      <w:r>
        <w:rPr>
          <w:color w:val="231F20"/>
        </w:rPr>
        <w:t>mayoría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miembros</w:t>
      </w:r>
      <w:r>
        <w:rPr>
          <w:color w:val="231F20"/>
          <w:spacing w:val="-5"/>
        </w:rPr>
        <w:t> </w:t>
      </w:r>
      <w:r>
        <w:rPr>
          <w:color w:val="231F20"/>
        </w:rPr>
        <w:t>de</w:t>
      </w:r>
      <w:r>
        <w:rPr>
          <w:color w:val="231F20"/>
          <w:spacing w:val="-5"/>
        </w:rPr>
        <w:t> </w:t>
      </w:r>
      <w:r>
        <w:rPr>
          <w:color w:val="231F20"/>
        </w:rPr>
        <w:t>clubes</w:t>
      </w:r>
      <w:r>
        <w:rPr>
          <w:color w:val="231F20"/>
          <w:spacing w:val="-5"/>
        </w:rPr>
        <w:t> </w:t>
      </w:r>
      <w:r>
        <w:rPr>
          <w:color w:val="231F20"/>
        </w:rPr>
        <w:t>de migrantes reconocen que los proyectos que ellos impulsan le corresponde hacerlo</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gobiernos,</w:t>
      </w:r>
      <w:r>
        <w:rPr>
          <w:color w:val="231F20"/>
          <w:spacing w:val="-10"/>
        </w:rPr>
        <w:t> </w:t>
      </w:r>
      <w:r>
        <w:rPr>
          <w:color w:val="231F20"/>
        </w:rPr>
        <w:t>pero</w:t>
      </w:r>
      <w:r>
        <w:rPr>
          <w:color w:val="231F20"/>
          <w:spacing w:val="-10"/>
        </w:rPr>
        <w:t> </w:t>
      </w:r>
      <w:r>
        <w:rPr>
          <w:color w:val="231F20"/>
        </w:rPr>
        <w:t>que</w:t>
      </w:r>
      <w:r>
        <w:rPr>
          <w:color w:val="231F20"/>
          <w:spacing w:val="-10"/>
        </w:rPr>
        <w:t> </w:t>
      </w:r>
      <w:r>
        <w:rPr>
          <w:color w:val="231F20"/>
        </w:rPr>
        <w:t>sin</w:t>
      </w:r>
      <w:r>
        <w:rPr>
          <w:color w:val="231F20"/>
          <w:spacing w:val="-10"/>
        </w:rPr>
        <w:t> </w:t>
      </w:r>
      <w:r>
        <w:rPr>
          <w:color w:val="231F20"/>
        </w:rPr>
        <w:t>su</w:t>
      </w:r>
      <w:r>
        <w:rPr>
          <w:color w:val="231F20"/>
          <w:spacing w:val="-10"/>
        </w:rPr>
        <w:t> </w:t>
      </w:r>
      <w:r>
        <w:rPr>
          <w:color w:val="231F20"/>
        </w:rPr>
        <w:t>iniciativa,</w:t>
      </w:r>
      <w:r>
        <w:rPr>
          <w:color w:val="231F20"/>
          <w:spacing w:val="-11"/>
        </w:rPr>
        <w:t> </w:t>
      </w:r>
      <w:r>
        <w:rPr>
          <w:color w:val="231F20"/>
        </w:rPr>
        <w:t>los</w:t>
      </w:r>
      <w:r>
        <w:rPr>
          <w:color w:val="231F20"/>
          <w:spacing w:val="-10"/>
        </w:rPr>
        <w:t> </w:t>
      </w:r>
      <w:r>
        <w:rPr>
          <w:color w:val="231F20"/>
        </w:rPr>
        <w:t>proyectos</w:t>
      </w:r>
      <w:r>
        <w:rPr>
          <w:color w:val="231F20"/>
          <w:spacing w:val="-10"/>
        </w:rPr>
        <w:t> </w:t>
      </w:r>
      <w:r>
        <w:rPr>
          <w:color w:val="231F20"/>
        </w:rPr>
        <w:t>podrían</w:t>
      </w:r>
      <w:r>
        <w:rPr>
          <w:color w:val="231F20"/>
          <w:spacing w:val="-10"/>
        </w:rPr>
        <w:t> </w:t>
      </w:r>
      <w:r>
        <w:rPr>
          <w:color w:val="231F20"/>
        </w:rPr>
        <w:t>no ser implementados, o podrían llevar más</w:t>
      </w:r>
      <w:r>
        <w:rPr>
          <w:color w:val="231F20"/>
          <w:spacing w:val="-5"/>
        </w:rPr>
        <w:t> </w:t>
      </w:r>
      <w:r>
        <w:rPr>
          <w:color w:val="231F20"/>
        </w:rPr>
        <w:t>tiempo.</w:t>
      </w:r>
    </w:p>
    <w:p>
      <w:pPr>
        <w:pStyle w:val="BodyText"/>
        <w:spacing w:line="247" w:lineRule="auto"/>
        <w:ind w:left="117" w:right="114" w:firstLine="283"/>
        <w:jc w:val="both"/>
      </w:pPr>
      <w:r>
        <w:rPr>
          <w:color w:val="231F20"/>
        </w:rPr>
        <w:t>Los primeros clubes de migrantes de origen guerrerense radicados en Estados Unidos surgieron en Chicago, durante la década de 1980. Hay coincidencia en la mayoría de las voces testimoniales que los migrantes de</w:t>
      </w:r>
      <w:r>
        <w:rPr>
          <w:color w:val="231F20"/>
          <w:spacing w:val="-18"/>
        </w:rPr>
        <w:t> </w:t>
      </w:r>
      <w:r>
        <w:rPr>
          <w:color w:val="231F20"/>
        </w:rPr>
        <w:t>Amealco,</w:t>
      </w:r>
      <w:r>
        <w:rPr>
          <w:color w:val="231F20"/>
          <w:spacing w:val="-5"/>
        </w:rPr>
        <w:t> </w:t>
      </w:r>
      <w:r>
        <w:rPr>
          <w:color w:val="231F20"/>
        </w:rPr>
        <w:t>municipio</w:t>
      </w:r>
      <w:r>
        <w:rPr>
          <w:color w:val="231F20"/>
          <w:spacing w:val="-7"/>
        </w:rPr>
        <w:t> </w:t>
      </w:r>
      <w:r>
        <w:rPr>
          <w:color w:val="231F20"/>
        </w:rPr>
        <w:t>de</w:t>
      </w:r>
      <w:r>
        <w:rPr>
          <w:color w:val="231F20"/>
          <w:spacing w:val="-6"/>
        </w:rPr>
        <w:t> </w:t>
      </w:r>
      <w:r>
        <w:rPr>
          <w:color w:val="231F20"/>
        </w:rPr>
        <w:t>Ixcateopan</w:t>
      </w:r>
      <w:r>
        <w:rPr>
          <w:color w:val="231F20"/>
          <w:spacing w:val="-6"/>
        </w:rPr>
        <w:t> </w:t>
      </w:r>
      <w:r>
        <w:rPr>
          <w:color w:val="231F20"/>
        </w:rPr>
        <w:t>de</w:t>
      </w:r>
      <w:r>
        <w:rPr>
          <w:color w:val="231F20"/>
          <w:spacing w:val="-6"/>
        </w:rPr>
        <w:t> </w:t>
      </w:r>
      <w:r>
        <w:rPr>
          <w:color w:val="231F20"/>
        </w:rPr>
        <w:t>Cuauhtémoc,</w:t>
      </w:r>
      <w:r>
        <w:rPr>
          <w:color w:val="231F20"/>
          <w:spacing w:val="-6"/>
        </w:rPr>
        <w:t> </w:t>
      </w:r>
      <w:r>
        <w:rPr>
          <w:color w:val="231F20"/>
        </w:rPr>
        <w:t>fueron</w:t>
      </w:r>
      <w:r>
        <w:rPr>
          <w:color w:val="231F20"/>
          <w:spacing w:val="-6"/>
        </w:rPr>
        <w:t> </w:t>
      </w:r>
      <w:r>
        <w:rPr>
          <w:color w:val="231F20"/>
        </w:rPr>
        <w:t>pioneros.</w:t>
      </w:r>
      <w:r>
        <w:rPr>
          <w:color w:val="231F20"/>
          <w:spacing w:val="-6"/>
        </w:rPr>
        <w:t> </w:t>
      </w:r>
      <w:r>
        <w:rPr>
          <w:color w:val="231F20"/>
        </w:rPr>
        <w:t>El objetivo que perseguían era construir la carretera de acceso a su pueblo al que se llegaba después de andar más de tres horas a</w:t>
      </w:r>
      <w:r>
        <w:rPr>
          <w:color w:val="231F20"/>
          <w:spacing w:val="-5"/>
        </w:rPr>
        <w:t> </w:t>
      </w:r>
      <w:r>
        <w:rPr>
          <w:color w:val="231F20"/>
        </w:rPr>
        <w:t>pie.</w:t>
      </w:r>
    </w:p>
    <w:p>
      <w:pPr>
        <w:pStyle w:val="BodyText"/>
        <w:spacing w:line="247" w:lineRule="auto"/>
        <w:ind w:left="117" w:right="115" w:firstLine="283"/>
        <w:jc w:val="both"/>
      </w:pPr>
      <w:r>
        <w:rPr>
          <w:color w:val="231F20"/>
        </w:rPr>
        <w:t>La confianza en un líder es un elemento clave para la creación de un club con paisanos de esa comunidad; de la fuerza de ese liderazgo depen- derá el desarrollo y madurez de una organización social. En el caso de Isi-</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jc w:val="both"/>
      </w:pPr>
      <w:r>
        <w:rPr>
          <w:color w:val="231F20"/>
        </w:rPr>
        <w:t>dro</w:t>
      </w:r>
      <w:r>
        <w:rPr>
          <w:color w:val="231F20"/>
          <w:spacing w:val="-20"/>
        </w:rPr>
        <w:t> </w:t>
      </w:r>
      <w:r>
        <w:rPr>
          <w:color w:val="231F20"/>
        </w:rPr>
        <w:t>Arroyo,</w:t>
      </w:r>
      <w:r>
        <w:rPr>
          <w:color w:val="231F20"/>
          <w:spacing w:val="-8"/>
        </w:rPr>
        <w:t> </w:t>
      </w:r>
      <w:r>
        <w:rPr>
          <w:color w:val="231F20"/>
        </w:rPr>
        <w:t>éste</w:t>
      </w:r>
      <w:r>
        <w:rPr>
          <w:color w:val="231F20"/>
          <w:spacing w:val="-8"/>
        </w:rPr>
        <w:t> </w:t>
      </w:r>
      <w:r>
        <w:rPr>
          <w:color w:val="231F20"/>
        </w:rPr>
        <w:t>llegó</w:t>
      </w:r>
      <w:r>
        <w:rPr>
          <w:color w:val="231F20"/>
          <w:spacing w:val="-8"/>
        </w:rPr>
        <w:t> </w:t>
      </w:r>
      <w:r>
        <w:rPr>
          <w:color w:val="231F20"/>
        </w:rPr>
        <w:t>a</w:t>
      </w:r>
      <w:r>
        <w:rPr>
          <w:color w:val="231F20"/>
          <w:spacing w:val="-8"/>
        </w:rPr>
        <w:t> </w:t>
      </w:r>
      <w:r>
        <w:rPr>
          <w:color w:val="231F20"/>
        </w:rPr>
        <w:t>Chicago</w:t>
      </w:r>
      <w:r>
        <w:rPr>
          <w:color w:val="231F20"/>
          <w:spacing w:val="-8"/>
        </w:rPr>
        <w:t> </w:t>
      </w:r>
      <w:r>
        <w:rPr>
          <w:color w:val="231F20"/>
        </w:rPr>
        <w:t>en</w:t>
      </w:r>
      <w:r>
        <w:rPr>
          <w:color w:val="231F20"/>
          <w:spacing w:val="-8"/>
        </w:rPr>
        <w:t> </w:t>
      </w:r>
      <w:r>
        <w:rPr>
          <w:color w:val="231F20"/>
        </w:rPr>
        <w:t>1973,</w:t>
      </w:r>
      <w:r>
        <w:rPr>
          <w:color w:val="231F20"/>
          <w:spacing w:val="-8"/>
        </w:rPr>
        <w:t> </w:t>
      </w:r>
      <w:r>
        <w:rPr>
          <w:color w:val="231F20"/>
        </w:rPr>
        <w:t>siguiendo</w:t>
      </w:r>
      <w:r>
        <w:rPr>
          <w:color w:val="231F20"/>
          <w:spacing w:val="-8"/>
        </w:rPr>
        <w:t> </w:t>
      </w:r>
      <w:r>
        <w:rPr>
          <w:color w:val="231F20"/>
        </w:rPr>
        <w:t>el</w:t>
      </w:r>
      <w:r>
        <w:rPr>
          <w:color w:val="231F20"/>
          <w:spacing w:val="-8"/>
        </w:rPr>
        <w:t> </w:t>
      </w:r>
      <w:r>
        <w:rPr>
          <w:color w:val="231F20"/>
        </w:rPr>
        <w:t>ejemplo</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padre quien fuera migrante desde 1950; gracias a que ya había familiares de su comunidad viviendo en aquella ciudad, pudo financiar su viaje, cruzando la frontera norte del país en forma</w:t>
      </w:r>
      <w:r>
        <w:rPr>
          <w:color w:val="231F20"/>
          <w:spacing w:val="-1"/>
        </w:rPr>
        <w:t> </w:t>
      </w:r>
      <w:r>
        <w:rPr>
          <w:color w:val="231F20"/>
        </w:rPr>
        <w:t>indocumentada.</w:t>
      </w:r>
    </w:p>
    <w:p>
      <w:pPr>
        <w:pStyle w:val="BodyText"/>
        <w:spacing w:line="247" w:lineRule="auto"/>
        <w:ind w:left="117" w:right="114" w:firstLine="283"/>
        <w:jc w:val="both"/>
      </w:pPr>
      <w:r>
        <w:rPr>
          <w:color w:val="231F20"/>
        </w:rPr>
        <w:t>Al igual que los hallazgos de </w:t>
      </w:r>
      <w:r>
        <w:rPr>
          <w:color w:val="231F20"/>
          <w:spacing w:val="-3"/>
        </w:rPr>
        <w:t>Valenzuela </w:t>
      </w:r>
      <w:r>
        <w:rPr>
          <w:color w:val="231F20"/>
        </w:rPr>
        <w:t>(2007), para los casos de Ja- lisco, Michoacán, Guanajuato y Zacatecas, las evidencias de las últimas tres décadas del siglo pasado en Guerrero muestran que en un principio los</w:t>
      </w:r>
      <w:r>
        <w:rPr>
          <w:color w:val="231F20"/>
          <w:spacing w:val="-6"/>
        </w:rPr>
        <w:t> </w:t>
      </w:r>
      <w:r>
        <w:rPr>
          <w:color w:val="231F20"/>
        </w:rPr>
        <w:t>migrantes</w:t>
      </w:r>
      <w:r>
        <w:rPr>
          <w:color w:val="231F20"/>
          <w:spacing w:val="-6"/>
        </w:rPr>
        <w:t> </w:t>
      </w:r>
      <w:r>
        <w:rPr>
          <w:color w:val="231F20"/>
        </w:rPr>
        <w:t>radicados</w:t>
      </w:r>
      <w:r>
        <w:rPr>
          <w:color w:val="231F20"/>
          <w:spacing w:val="-6"/>
        </w:rPr>
        <w:t> </w:t>
      </w:r>
      <w:r>
        <w:rPr>
          <w:color w:val="231F20"/>
        </w:rPr>
        <w:t>en</w:t>
      </w:r>
      <w:r>
        <w:rPr>
          <w:color w:val="231F20"/>
          <w:spacing w:val="-5"/>
        </w:rPr>
        <w:t> </w:t>
      </w:r>
      <w:r>
        <w:rPr>
          <w:color w:val="231F20"/>
        </w:rPr>
        <w:t>Estados</w:t>
      </w:r>
      <w:r>
        <w:rPr>
          <w:color w:val="231F20"/>
          <w:spacing w:val="-6"/>
        </w:rPr>
        <w:t> </w:t>
      </w:r>
      <w:r>
        <w:rPr>
          <w:color w:val="231F20"/>
        </w:rPr>
        <w:t>Unidos</w:t>
      </w:r>
      <w:r>
        <w:rPr>
          <w:color w:val="231F20"/>
          <w:spacing w:val="-5"/>
        </w:rPr>
        <w:t> </w:t>
      </w:r>
      <w:r>
        <w:rPr>
          <w:color w:val="231F20"/>
        </w:rPr>
        <w:t>buscaron</w:t>
      </w:r>
      <w:r>
        <w:rPr>
          <w:color w:val="231F20"/>
          <w:spacing w:val="-5"/>
        </w:rPr>
        <w:t> </w:t>
      </w:r>
      <w:r>
        <w:rPr>
          <w:color w:val="231F20"/>
        </w:rPr>
        <w:t>acercamiento</w:t>
      </w:r>
      <w:r>
        <w:rPr>
          <w:color w:val="231F20"/>
          <w:spacing w:val="-6"/>
        </w:rPr>
        <w:t> </w:t>
      </w:r>
      <w:r>
        <w:rPr>
          <w:color w:val="231F20"/>
        </w:rPr>
        <w:t>con</w:t>
      </w:r>
      <w:r>
        <w:rPr>
          <w:color w:val="231F20"/>
          <w:spacing w:val="-6"/>
        </w:rPr>
        <w:t> </w:t>
      </w:r>
      <w:r>
        <w:rPr>
          <w:color w:val="231F20"/>
        </w:rPr>
        <w:t>sus gobernantes</w:t>
      </w:r>
      <w:r>
        <w:rPr>
          <w:color w:val="231F20"/>
          <w:spacing w:val="-10"/>
        </w:rPr>
        <w:t> </w:t>
      </w:r>
      <w:r>
        <w:rPr>
          <w:color w:val="231F20"/>
        </w:rPr>
        <w:t>en</w:t>
      </w:r>
      <w:r>
        <w:rPr>
          <w:color w:val="231F20"/>
          <w:spacing w:val="-10"/>
        </w:rPr>
        <w:t> </w:t>
      </w:r>
      <w:r>
        <w:rPr>
          <w:color w:val="231F20"/>
        </w:rPr>
        <w:t>México.</w:t>
      </w:r>
      <w:r>
        <w:rPr>
          <w:color w:val="231F20"/>
          <w:spacing w:val="-9"/>
        </w:rPr>
        <w:t> </w:t>
      </w:r>
      <w:r>
        <w:rPr>
          <w:color w:val="231F20"/>
        </w:rPr>
        <w:t>Sin</w:t>
      </w:r>
      <w:r>
        <w:rPr>
          <w:color w:val="231F20"/>
          <w:spacing w:val="-10"/>
        </w:rPr>
        <w:t> </w:t>
      </w:r>
      <w:r>
        <w:rPr>
          <w:color w:val="231F20"/>
        </w:rPr>
        <w:t>embargo,</w:t>
      </w:r>
      <w:r>
        <w:rPr>
          <w:color w:val="231F20"/>
          <w:spacing w:val="-10"/>
        </w:rPr>
        <w:t> </w:t>
      </w:r>
      <w:r>
        <w:rPr>
          <w:color w:val="231F20"/>
        </w:rPr>
        <w:t>se</w:t>
      </w:r>
      <w:r>
        <w:rPr>
          <w:color w:val="231F20"/>
          <w:spacing w:val="-10"/>
        </w:rPr>
        <w:t> </w:t>
      </w:r>
      <w:r>
        <w:rPr>
          <w:color w:val="231F20"/>
        </w:rPr>
        <w:t>dieron</w:t>
      </w:r>
      <w:r>
        <w:rPr>
          <w:color w:val="231F20"/>
          <w:spacing w:val="-10"/>
        </w:rPr>
        <w:t> </w:t>
      </w:r>
      <w:r>
        <w:rPr>
          <w:color w:val="231F20"/>
        </w:rPr>
        <w:t>con</w:t>
      </w:r>
      <w:r>
        <w:rPr>
          <w:color w:val="231F20"/>
          <w:spacing w:val="-10"/>
        </w:rPr>
        <w:t> </w:t>
      </w:r>
      <w:r>
        <w:rPr>
          <w:color w:val="231F20"/>
        </w:rPr>
        <w:t>los</w:t>
      </w:r>
      <w:r>
        <w:rPr>
          <w:color w:val="231F20"/>
          <w:spacing w:val="-10"/>
        </w:rPr>
        <w:t> </w:t>
      </w:r>
      <w:r>
        <w:rPr>
          <w:color w:val="231F20"/>
        </w:rPr>
        <w:t>gobiernos</w:t>
      </w:r>
      <w:r>
        <w:rPr>
          <w:color w:val="231F20"/>
          <w:spacing w:val="-10"/>
        </w:rPr>
        <w:t> </w:t>
      </w:r>
      <w:r>
        <w:rPr>
          <w:color w:val="231F20"/>
        </w:rPr>
        <w:t>estatales y no con los municipales. Por lo novedoso de su iniciativa lograron que el gobierno</w:t>
      </w:r>
      <w:r>
        <w:rPr>
          <w:color w:val="231F20"/>
          <w:spacing w:val="-5"/>
        </w:rPr>
        <w:t> </w:t>
      </w:r>
      <w:r>
        <w:rPr>
          <w:color w:val="231F20"/>
        </w:rPr>
        <w:t>del</w:t>
      </w:r>
      <w:r>
        <w:rPr>
          <w:color w:val="231F20"/>
          <w:spacing w:val="-5"/>
        </w:rPr>
        <w:t> </w:t>
      </w:r>
      <w:r>
        <w:rPr>
          <w:color w:val="231F20"/>
        </w:rPr>
        <w:t>estado</w:t>
      </w:r>
      <w:r>
        <w:rPr>
          <w:color w:val="231F20"/>
          <w:spacing w:val="-6"/>
        </w:rPr>
        <w:t> </w:t>
      </w:r>
      <w:r>
        <w:rPr>
          <w:color w:val="231F20"/>
        </w:rPr>
        <w:t>los</w:t>
      </w:r>
      <w:r>
        <w:rPr>
          <w:color w:val="231F20"/>
          <w:spacing w:val="-5"/>
        </w:rPr>
        <w:t> </w:t>
      </w:r>
      <w:r>
        <w:rPr>
          <w:color w:val="231F20"/>
        </w:rPr>
        <w:t>apoyara</w:t>
      </w:r>
      <w:r>
        <w:rPr>
          <w:color w:val="231F20"/>
          <w:spacing w:val="-6"/>
        </w:rPr>
        <w:t> </w:t>
      </w:r>
      <w:r>
        <w:rPr>
          <w:color w:val="231F20"/>
        </w:rPr>
        <w:t>con</w:t>
      </w:r>
      <w:r>
        <w:rPr>
          <w:color w:val="231F20"/>
          <w:spacing w:val="-5"/>
        </w:rPr>
        <w:t> </w:t>
      </w:r>
      <w:r>
        <w:rPr>
          <w:color w:val="231F20"/>
        </w:rPr>
        <w:t>80</w:t>
      </w:r>
      <w:r>
        <w:rPr>
          <w:color w:val="231F20"/>
          <w:spacing w:val="-5"/>
        </w:rPr>
        <w:t> </w:t>
      </w:r>
      <w:r>
        <w:rPr>
          <w:color w:val="231F20"/>
        </w:rPr>
        <w:t>por</w:t>
      </w:r>
      <w:r>
        <w:rPr>
          <w:color w:val="231F20"/>
          <w:spacing w:val="-5"/>
        </w:rPr>
        <w:t> </w:t>
      </w:r>
      <w:r>
        <w:rPr>
          <w:color w:val="231F20"/>
        </w:rPr>
        <w:t>ciento</w:t>
      </w:r>
      <w:r>
        <w:rPr>
          <w:color w:val="231F20"/>
          <w:spacing w:val="-6"/>
        </w:rPr>
        <w:t> </w:t>
      </w:r>
      <w:r>
        <w:rPr>
          <w:color w:val="231F20"/>
        </w:rPr>
        <w:t>del</w:t>
      </w:r>
      <w:r>
        <w:rPr>
          <w:color w:val="231F20"/>
          <w:spacing w:val="-5"/>
        </w:rPr>
        <w:t> </w:t>
      </w:r>
      <w:r>
        <w:rPr>
          <w:color w:val="231F20"/>
        </w:rPr>
        <w:t>costo</w:t>
      </w:r>
      <w:r>
        <w:rPr>
          <w:color w:val="231F20"/>
          <w:spacing w:val="-5"/>
        </w:rPr>
        <w:t> </w:t>
      </w:r>
      <w:r>
        <w:rPr>
          <w:color w:val="231F20"/>
        </w:rPr>
        <w:t>total</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obra y</w:t>
      </w:r>
      <w:r>
        <w:rPr>
          <w:color w:val="231F20"/>
          <w:spacing w:val="-6"/>
        </w:rPr>
        <w:t> </w:t>
      </w:r>
      <w:r>
        <w:rPr>
          <w:color w:val="231F20"/>
        </w:rPr>
        <w:t>los</w:t>
      </w:r>
      <w:r>
        <w:rPr>
          <w:color w:val="231F20"/>
          <w:spacing w:val="-6"/>
        </w:rPr>
        <w:t> </w:t>
      </w:r>
      <w:r>
        <w:rPr>
          <w:color w:val="231F20"/>
        </w:rPr>
        <w:t>migrantes</w:t>
      </w:r>
      <w:r>
        <w:rPr>
          <w:color w:val="231F20"/>
          <w:spacing w:val="-6"/>
        </w:rPr>
        <w:t> </w:t>
      </w:r>
      <w:r>
        <w:rPr>
          <w:color w:val="231F20"/>
        </w:rPr>
        <w:t>aportaron</w:t>
      </w:r>
      <w:r>
        <w:rPr>
          <w:color w:val="231F20"/>
          <w:spacing w:val="-7"/>
        </w:rPr>
        <w:t> </w:t>
      </w:r>
      <w:r>
        <w:rPr>
          <w:color w:val="231F20"/>
        </w:rPr>
        <w:t>el</w:t>
      </w:r>
      <w:r>
        <w:rPr>
          <w:color w:val="231F20"/>
          <w:spacing w:val="-6"/>
        </w:rPr>
        <w:t> </w:t>
      </w:r>
      <w:r>
        <w:rPr>
          <w:color w:val="231F20"/>
        </w:rPr>
        <w:t>20</w:t>
      </w:r>
      <w:r>
        <w:rPr>
          <w:color w:val="231F20"/>
          <w:spacing w:val="-6"/>
        </w:rPr>
        <w:t> </w:t>
      </w:r>
      <w:r>
        <w:rPr>
          <w:color w:val="231F20"/>
        </w:rPr>
        <w:t>restante,</w:t>
      </w:r>
      <w:r>
        <w:rPr>
          <w:color w:val="231F20"/>
          <w:spacing w:val="-6"/>
        </w:rPr>
        <w:t> </w:t>
      </w:r>
      <w:r>
        <w:rPr>
          <w:color w:val="231F20"/>
        </w:rPr>
        <w:t>siendo</w:t>
      </w:r>
      <w:r>
        <w:rPr>
          <w:color w:val="231F20"/>
          <w:spacing w:val="-6"/>
        </w:rPr>
        <w:t> </w:t>
      </w:r>
      <w:r>
        <w:rPr>
          <w:color w:val="231F20"/>
        </w:rPr>
        <w:t>gobernador</w:t>
      </w:r>
      <w:r>
        <w:rPr>
          <w:color w:val="231F20"/>
          <w:spacing w:val="-6"/>
        </w:rPr>
        <w:t> </w:t>
      </w:r>
      <w:r>
        <w:rPr>
          <w:color w:val="231F20"/>
        </w:rPr>
        <w:t>José</w:t>
      </w:r>
      <w:r>
        <w:rPr>
          <w:color w:val="231F20"/>
          <w:spacing w:val="-6"/>
        </w:rPr>
        <w:t> </w:t>
      </w:r>
      <w:r>
        <w:rPr>
          <w:color w:val="231F20"/>
        </w:rPr>
        <w:t>Francisco Ruiz Massieu (1987-1993).</w:t>
      </w:r>
    </w:p>
    <w:p>
      <w:pPr>
        <w:pStyle w:val="BodyText"/>
        <w:spacing w:line="247" w:lineRule="auto"/>
        <w:ind w:left="117" w:right="114" w:firstLine="283"/>
        <w:jc w:val="both"/>
      </w:pPr>
      <w:r>
        <w:rPr>
          <w:color w:val="231F20"/>
        </w:rPr>
        <w:t>Con la euforia de haber atraído la atención tanto del gobernador del estado de Guerrero como del Cónsul de México en Chicago, además de Amealco, surgieron otros clubes guerrerenses: Teucizapan, El Potrero y Olinalá. Hacia finales de los años ochenta, estos cuatro clubes se consti- tuyeron en la </w:t>
      </w:r>
      <w:r>
        <w:rPr>
          <w:i/>
          <w:color w:val="231F20"/>
        </w:rPr>
        <w:t>Asociación de Guerrerenses</w:t>
      </w:r>
      <w:r>
        <w:rPr>
          <w:color w:val="231F20"/>
        </w:rPr>
        <w:t>. Después se fueron adhiriendo otras comunidades como San Miguel, Apipilulco y Xonacatla. El auge de los clubes se basaba en dos principios: honestidad y transparencia.</w:t>
      </w:r>
    </w:p>
    <w:p>
      <w:pPr>
        <w:pStyle w:val="BodyText"/>
        <w:spacing w:line="247" w:lineRule="auto"/>
        <w:ind w:left="117" w:right="115" w:firstLine="283"/>
        <w:jc w:val="both"/>
      </w:pPr>
      <w:r>
        <w:rPr>
          <w:color w:val="231F20"/>
        </w:rPr>
        <w:t>La</w:t>
      </w:r>
      <w:r>
        <w:rPr>
          <w:color w:val="231F20"/>
          <w:spacing w:val="-5"/>
        </w:rPr>
        <w:t> </w:t>
      </w:r>
      <w:r>
        <w:rPr>
          <w:color w:val="231F20"/>
        </w:rPr>
        <w:t>relación</w:t>
      </w:r>
      <w:r>
        <w:rPr>
          <w:color w:val="231F20"/>
          <w:spacing w:val="-5"/>
        </w:rPr>
        <w:t> </w:t>
      </w:r>
      <w:r>
        <w:rPr>
          <w:color w:val="231F20"/>
        </w:rPr>
        <w:t>club</w:t>
      </w:r>
      <w:r>
        <w:rPr>
          <w:color w:val="231F20"/>
          <w:spacing w:val="-17"/>
        </w:rPr>
        <w:t> </w:t>
      </w:r>
      <w:r>
        <w:rPr>
          <w:color w:val="231F20"/>
        </w:rPr>
        <w:t>Amealco-gobierno</w:t>
      </w:r>
      <w:r>
        <w:rPr>
          <w:color w:val="231F20"/>
          <w:spacing w:val="-5"/>
        </w:rPr>
        <w:t> </w:t>
      </w:r>
      <w:r>
        <w:rPr>
          <w:color w:val="231F20"/>
        </w:rPr>
        <w:t>del</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rPr>
        <w:t>Guerrero,</w:t>
      </w:r>
      <w:r>
        <w:rPr>
          <w:color w:val="231F20"/>
          <w:spacing w:val="-4"/>
        </w:rPr>
        <w:t> </w:t>
      </w:r>
      <w:r>
        <w:rPr>
          <w:color w:val="231F20"/>
        </w:rPr>
        <w:t>llevó</w:t>
      </w:r>
      <w:r>
        <w:rPr>
          <w:color w:val="231F20"/>
          <w:spacing w:val="-5"/>
        </w:rPr>
        <w:t> </w:t>
      </w:r>
      <w:r>
        <w:rPr>
          <w:color w:val="231F20"/>
        </w:rPr>
        <w:t>pron- to a la creación de una nueva política pública en materia migratoria: el “Acuerdo para la promoción de comités mixtos para la ejecución de obras y</w:t>
      </w:r>
      <w:r>
        <w:rPr>
          <w:color w:val="231F20"/>
          <w:spacing w:val="-8"/>
        </w:rPr>
        <w:t> </w:t>
      </w:r>
      <w:r>
        <w:rPr>
          <w:color w:val="231F20"/>
        </w:rPr>
        <w:t>servicios</w:t>
      </w:r>
      <w:r>
        <w:rPr>
          <w:color w:val="231F20"/>
          <w:spacing w:val="-7"/>
        </w:rPr>
        <w:t> </w:t>
      </w:r>
      <w:r>
        <w:rPr>
          <w:color w:val="231F20"/>
        </w:rPr>
        <w:t>públicos</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participación</w:t>
      </w:r>
      <w:r>
        <w:rPr>
          <w:color w:val="231F20"/>
          <w:spacing w:val="-8"/>
        </w:rPr>
        <w:t> </w:t>
      </w:r>
      <w:r>
        <w:rPr>
          <w:color w:val="231F20"/>
        </w:rPr>
        <w:t>de</w:t>
      </w:r>
      <w:r>
        <w:rPr>
          <w:color w:val="231F20"/>
          <w:spacing w:val="-8"/>
        </w:rPr>
        <w:t> </w:t>
      </w:r>
      <w:r>
        <w:rPr>
          <w:color w:val="231F20"/>
        </w:rPr>
        <w:t>guerrerenses</w:t>
      </w:r>
      <w:r>
        <w:rPr>
          <w:color w:val="231F20"/>
          <w:spacing w:val="-8"/>
        </w:rPr>
        <w:t> </w:t>
      </w:r>
      <w:r>
        <w:rPr>
          <w:color w:val="231F20"/>
        </w:rPr>
        <w:t>que</w:t>
      </w:r>
      <w:r>
        <w:rPr>
          <w:color w:val="231F20"/>
          <w:spacing w:val="-8"/>
        </w:rPr>
        <w:t> </w:t>
      </w:r>
      <w:r>
        <w:rPr>
          <w:color w:val="231F20"/>
        </w:rPr>
        <w:t>permanente</w:t>
      </w:r>
      <w:r>
        <w:rPr>
          <w:color w:val="231F20"/>
          <w:spacing w:val="-8"/>
        </w:rPr>
        <w:t> </w:t>
      </w:r>
      <w:r>
        <w:rPr>
          <w:color w:val="231F20"/>
        </w:rPr>
        <w:t>o temporalmente</w:t>
      </w:r>
      <w:r>
        <w:rPr>
          <w:color w:val="231F20"/>
          <w:spacing w:val="-12"/>
        </w:rPr>
        <w:t> </w:t>
      </w:r>
      <w:r>
        <w:rPr>
          <w:color w:val="231F20"/>
        </w:rPr>
        <w:t>residen</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exterior”</w:t>
      </w:r>
      <w:r>
        <w:rPr>
          <w:color w:val="231F20"/>
          <w:spacing w:val="-12"/>
        </w:rPr>
        <w:t> </w:t>
      </w:r>
      <w:r>
        <w:rPr>
          <w:color w:val="231F20"/>
        </w:rPr>
        <w:t>fue</w:t>
      </w:r>
      <w:r>
        <w:rPr>
          <w:color w:val="231F20"/>
          <w:spacing w:val="-11"/>
        </w:rPr>
        <w:t> </w:t>
      </w:r>
      <w:r>
        <w:rPr>
          <w:color w:val="231F20"/>
        </w:rPr>
        <w:t>publicado</w:t>
      </w:r>
      <w:r>
        <w:rPr>
          <w:color w:val="231F20"/>
          <w:spacing w:val="-12"/>
        </w:rPr>
        <w:t> </w:t>
      </w:r>
      <w:r>
        <w:rPr>
          <w:color w:val="231F20"/>
        </w:rPr>
        <w:t>en</w:t>
      </w:r>
      <w:r>
        <w:rPr>
          <w:color w:val="231F20"/>
          <w:spacing w:val="-11"/>
        </w:rPr>
        <w:t> </w:t>
      </w:r>
      <w:r>
        <w:rPr>
          <w:color w:val="231F20"/>
        </w:rPr>
        <w:t>el</w:t>
      </w:r>
      <w:r>
        <w:rPr>
          <w:color w:val="231F20"/>
          <w:spacing w:val="-11"/>
        </w:rPr>
        <w:t> </w:t>
      </w:r>
      <w:r>
        <w:rPr>
          <w:color w:val="231F20"/>
        </w:rPr>
        <w:t>Periódico</w:t>
      </w:r>
      <w:r>
        <w:rPr>
          <w:color w:val="231F20"/>
          <w:spacing w:val="-11"/>
        </w:rPr>
        <w:t> </w:t>
      </w:r>
      <w:r>
        <w:rPr>
          <w:color w:val="231F20"/>
        </w:rPr>
        <w:t>Oficial del Gobierno del Estado de Guerrero (POGEG) el 30 de abril de 1991. El marco jurídico para impulsar esta política pública estatal</w:t>
      </w:r>
      <w:r>
        <w:rPr>
          <w:color w:val="231F20"/>
          <w:spacing w:val="1"/>
        </w:rPr>
        <w:t> </w:t>
      </w:r>
      <w:r>
        <w:rPr>
          <w:color w:val="231F20"/>
        </w:rPr>
        <w:t>fue:</w:t>
      </w:r>
    </w:p>
    <w:p>
      <w:pPr>
        <w:pStyle w:val="ListParagraph"/>
        <w:numPr>
          <w:ilvl w:val="0"/>
          <w:numId w:val="1"/>
        </w:numPr>
        <w:tabs>
          <w:tab w:pos="478" w:val="left" w:leader="none"/>
        </w:tabs>
        <w:spacing w:line="247" w:lineRule="auto" w:before="169" w:after="0"/>
        <w:ind w:left="477" w:right="115" w:hanging="360"/>
        <w:jc w:val="both"/>
        <w:rPr>
          <w:color w:val="231F20"/>
          <w:sz w:val="22"/>
        </w:rPr>
      </w:pPr>
      <w:r>
        <w:rPr>
          <w:color w:val="231F20"/>
          <w:sz w:val="22"/>
        </w:rPr>
        <w:t>La</w:t>
      </w:r>
      <w:r>
        <w:rPr>
          <w:color w:val="231F20"/>
          <w:spacing w:val="-12"/>
          <w:sz w:val="22"/>
        </w:rPr>
        <w:t> </w:t>
      </w:r>
      <w:r>
        <w:rPr>
          <w:color w:val="231F20"/>
          <w:sz w:val="22"/>
        </w:rPr>
        <w:t>implantación</w:t>
      </w:r>
      <w:r>
        <w:rPr>
          <w:color w:val="231F20"/>
          <w:spacing w:val="-12"/>
          <w:sz w:val="22"/>
        </w:rPr>
        <w:t> </w:t>
      </w:r>
      <w:r>
        <w:rPr>
          <w:color w:val="231F20"/>
          <w:sz w:val="22"/>
        </w:rPr>
        <w:t>del</w:t>
      </w:r>
      <w:r>
        <w:rPr>
          <w:color w:val="231F20"/>
          <w:spacing w:val="-12"/>
          <w:sz w:val="22"/>
        </w:rPr>
        <w:t> </w:t>
      </w:r>
      <w:r>
        <w:rPr>
          <w:color w:val="231F20"/>
          <w:sz w:val="22"/>
        </w:rPr>
        <w:t>Programa</w:t>
      </w:r>
      <w:r>
        <w:rPr>
          <w:color w:val="231F20"/>
          <w:spacing w:val="-12"/>
          <w:sz w:val="22"/>
        </w:rPr>
        <w:t> </w:t>
      </w:r>
      <w:r>
        <w:rPr>
          <w:color w:val="231F20"/>
          <w:sz w:val="22"/>
        </w:rPr>
        <w:t>Nacional</w:t>
      </w:r>
      <w:r>
        <w:rPr>
          <w:color w:val="231F20"/>
          <w:spacing w:val="-12"/>
          <w:sz w:val="22"/>
        </w:rPr>
        <w:t> </w:t>
      </w:r>
      <w:r>
        <w:rPr>
          <w:color w:val="231F20"/>
          <w:sz w:val="22"/>
        </w:rPr>
        <w:t>de</w:t>
      </w:r>
      <w:r>
        <w:rPr>
          <w:color w:val="231F20"/>
          <w:spacing w:val="-12"/>
          <w:sz w:val="22"/>
        </w:rPr>
        <w:t> </w:t>
      </w:r>
      <w:r>
        <w:rPr>
          <w:color w:val="231F20"/>
          <w:sz w:val="22"/>
        </w:rPr>
        <w:t>Solidaridad</w:t>
      </w:r>
      <w:r>
        <w:rPr>
          <w:color w:val="231F20"/>
          <w:spacing w:val="-12"/>
          <w:sz w:val="22"/>
        </w:rPr>
        <w:t> </w:t>
      </w:r>
      <w:r>
        <w:rPr>
          <w:color w:val="231F20"/>
          <w:sz w:val="22"/>
        </w:rPr>
        <w:t>(PRONASOL) orientado</w:t>
      </w:r>
      <w:r>
        <w:rPr>
          <w:color w:val="231F20"/>
          <w:spacing w:val="-9"/>
          <w:sz w:val="22"/>
        </w:rPr>
        <w:t> </w:t>
      </w:r>
      <w:r>
        <w:rPr>
          <w:color w:val="231F20"/>
          <w:sz w:val="22"/>
        </w:rPr>
        <w:t>a</w:t>
      </w:r>
      <w:r>
        <w:rPr>
          <w:color w:val="231F20"/>
          <w:spacing w:val="-9"/>
          <w:sz w:val="22"/>
        </w:rPr>
        <w:t> </w:t>
      </w:r>
      <w:r>
        <w:rPr>
          <w:color w:val="231F20"/>
          <w:sz w:val="22"/>
        </w:rPr>
        <w:t>inversiones</w:t>
      </w:r>
      <w:r>
        <w:rPr>
          <w:color w:val="231F20"/>
          <w:spacing w:val="-10"/>
          <w:sz w:val="22"/>
        </w:rPr>
        <w:t> </w:t>
      </w:r>
      <w:r>
        <w:rPr>
          <w:color w:val="231F20"/>
          <w:sz w:val="22"/>
        </w:rPr>
        <w:t>socialmente</w:t>
      </w:r>
      <w:r>
        <w:rPr>
          <w:color w:val="231F20"/>
          <w:spacing w:val="-8"/>
          <w:sz w:val="22"/>
        </w:rPr>
        <w:t> </w:t>
      </w:r>
      <w:r>
        <w:rPr>
          <w:color w:val="231F20"/>
          <w:sz w:val="22"/>
        </w:rPr>
        <w:t>útiles</w:t>
      </w:r>
      <w:r>
        <w:rPr>
          <w:color w:val="231F20"/>
          <w:spacing w:val="-9"/>
          <w:sz w:val="22"/>
        </w:rPr>
        <w:t> </w:t>
      </w:r>
      <w:r>
        <w:rPr>
          <w:color w:val="231F20"/>
          <w:sz w:val="22"/>
        </w:rPr>
        <w:t>en</w:t>
      </w:r>
      <w:r>
        <w:rPr>
          <w:color w:val="231F20"/>
          <w:spacing w:val="-9"/>
          <w:sz w:val="22"/>
        </w:rPr>
        <w:t> </w:t>
      </w:r>
      <w:r>
        <w:rPr>
          <w:color w:val="231F20"/>
          <w:sz w:val="22"/>
        </w:rPr>
        <w:t>función</w:t>
      </w:r>
      <w:r>
        <w:rPr>
          <w:color w:val="231F20"/>
          <w:spacing w:val="-9"/>
          <w:sz w:val="22"/>
        </w:rPr>
        <w:t> </w:t>
      </w:r>
      <w:r>
        <w:rPr>
          <w:color w:val="231F20"/>
          <w:sz w:val="22"/>
        </w:rPr>
        <w:t>de</w:t>
      </w:r>
      <w:r>
        <w:rPr>
          <w:color w:val="231F20"/>
          <w:spacing w:val="-9"/>
          <w:sz w:val="22"/>
        </w:rPr>
        <w:t> </w:t>
      </w:r>
      <w:r>
        <w:rPr>
          <w:color w:val="231F20"/>
          <w:sz w:val="22"/>
        </w:rPr>
        <w:t>grupos,</w:t>
      </w:r>
      <w:r>
        <w:rPr>
          <w:color w:val="231F20"/>
          <w:spacing w:val="-9"/>
          <w:sz w:val="22"/>
        </w:rPr>
        <w:t> </w:t>
      </w:r>
      <w:r>
        <w:rPr>
          <w:color w:val="231F20"/>
          <w:sz w:val="22"/>
        </w:rPr>
        <w:t>regio- nes y comunidades en situación socioeconómica</w:t>
      </w:r>
      <w:r>
        <w:rPr>
          <w:color w:val="231F20"/>
          <w:spacing w:val="-22"/>
          <w:sz w:val="22"/>
        </w:rPr>
        <w:t> </w:t>
      </w:r>
      <w:r>
        <w:rPr>
          <w:color w:val="231F20"/>
          <w:sz w:val="22"/>
        </w:rPr>
        <w:t>baja.</w:t>
      </w:r>
    </w:p>
    <w:p>
      <w:pPr>
        <w:pStyle w:val="ListParagraph"/>
        <w:numPr>
          <w:ilvl w:val="0"/>
          <w:numId w:val="1"/>
        </w:numPr>
        <w:tabs>
          <w:tab w:pos="478" w:val="left" w:leader="none"/>
        </w:tabs>
        <w:spacing w:line="247" w:lineRule="auto" w:before="0" w:after="0"/>
        <w:ind w:left="477" w:right="115" w:hanging="360"/>
        <w:jc w:val="both"/>
        <w:rPr>
          <w:color w:val="231F20"/>
          <w:sz w:val="22"/>
        </w:rPr>
      </w:pPr>
      <w:r>
        <w:rPr>
          <w:color w:val="231F20"/>
          <w:sz w:val="22"/>
        </w:rPr>
        <w:t>La promoción del PRONASOL a la participación ciudadana a través de comités de</w:t>
      </w:r>
      <w:r>
        <w:rPr>
          <w:color w:val="231F20"/>
          <w:spacing w:val="-13"/>
          <w:sz w:val="22"/>
        </w:rPr>
        <w:t> </w:t>
      </w:r>
      <w:r>
        <w:rPr>
          <w:color w:val="231F20"/>
          <w:sz w:val="22"/>
        </w:rPr>
        <w:t>solidaridad.</w:t>
      </w:r>
    </w:p>
    <w:p>
      <w:pPr>
        <w:pStyle w:val="ListParagraph"/>
        <w:numPr>
          <w:ilvl w:val="0"/>
          <w:numId w:val="1"/>
        </w:numPr>
        <w:tabs>
          <w:tab w:pos="478" w:val="left" w:leader="none"/>
        </w:tabs>
        <w:spacing w:line="247" w:lineRule="auto" w:before="0" w:after="0"/>
        <w:ind w:left="477" w:right="115" w:hanging="360"/>
        <w:jc w:val="both"/>
        <w:rPr>
          <w:color w:val="231F20"/>
          <w:sz w:val="22"/>
        </w:rPr>
      </w:pPr>
      <w:r>
        <w:rPr>
          <w:color w:val="231F20"/>
          <w:sz w:val="22"/>
        </w:rPr>
        <w:t>El reconocimiento a la residencia de guerrerenses en el extranjero, así como</w:t>
      </w:r>
      <w:r>
        <w:rPr>
          <w:color w:val="231F20"/>
          <w:spacing w:val="-4"/>
          <w:sz w:val="22"/>
        </w:rPr>
        <w:t> </w:t>
      </w:r>
      <w:r>
        <w:rPr>
          <w:color w:val="231F20"/>
          <w:sz w:val="22"/>
        </w:rPr>
        <w:t>el</w:t>
      </w:r>
      <w:r>
        <w:rPr>
          <w:color w:val="231F20"/>
          <w:spacing w:val="-4"/>
          <w:sz w:val="22"/>
        </w:rPr>
        <w:t> </w:t>
      </w:r>
      <w:r>
        <w:rPr>
          <w:color w:val="231F20"/>
          <w:sz w:val="22"/>
        </w:rPr>
        <w:t>interés</w:t>
      </w:r>
      <w:r>
        <w:rPr>
          <w:color w:val="231F20"/>
          <w:spacing w:val="-5"/>
          <w:sz w:val="22"/>
        </w:rPr>
        <w:t> </w:t>
      </w:r>
      <w:r>
        <w:rPr>
          <w:color w:val="231F20"/>
          <w:sz w:val="22"/>
        </w:rPr>
        <w:t>de</w:t>
      </w:r>
      <w:r>
        <w:rPr>
          <w:color w:val="231F20"/>
          <w:spacing w:val="-4"/>
          <w:sz w:val="22"/>
        </w:rPr>
        <w:t> </w:t>
      </w:r>
      <w:r>
        <w:rPr>
          <w:color w:val="231F20"/>
          <w:sz w:val="22"/>
        </w:rPr>
        <w:t>éstos</w:t>
      </w:r>
      <w:r>
        <w:rPr>
          <w:color w:val="231F20"/>
          <w:spacing w:val="-5"/>
          <w:sz w:val="22"/>
        </w:rPr>
        <w:t> </w:t>
      </w:r>
      <w:r>
        <w:rPr>
          <w:color w:val="231F20"/>
          <w:sz w:val="22"/>
        </w:rPr>
        <w:t>por</w:t>
      </w:r>
      <w:r>
        <w:rPr>
          <w:color w:val="231F20"/>
          <w:spacing w:val="-4"/>
          <w:sz w:val="22"/>
        </w:rPr>
        <w:t> </w:t>
      </w:r>
      <w:r>
        <w:rPr>
          <w:color w:val="231F20"/>
          <w:sz w:val="22"/>
        </w:rPr>
        <w:t>mantener</w:t>
      </w:r>
      <w:r>
        <w:rPr>
          <w:color w:val="231F20"/>
          <w:spacing w:val="-5"/>
          <w:sz w:val="22"/>
        </w:rPr>
        <w:t> </w:t>
      </w:r>
      <w:r>
        <w:rPr>
          <w:color w:val="231F20"/>
          <w:sz w:val="22"/>
        </w:rPr>
        <w:t>el</w:t>
      </w:r>
      <w:r>
        <w:rPr>
          <w:color w:val="231F20"/>
          <w:spacing w:val="-4"/>
          <w:sz w:val="22"/>
        </w:rPr>
        <w:t> </w:t>
      </w:r>
      <w:r>
        <w:rPr>
          <w:color w:val="231F20"/>
          <w:sz w:val="22"/>
        </w:rPr>
        <w:t>vínculo</w:t>
      </w:r>
      <w:r>
        <w:rPr>
          <w:color w:val="231F20"/>
          <w:spacing w:val="-4"/>
          <w:sz w:val="22"/>
        </w:rPr>
        <w:t> </w:t>
      </w:r>
      <w:r>
        <w:rPr>
          <w:color w:val="231F20"/>
          <w:sz w:val="22"/>
        </w:rPr>
        <w:t>familiar,</w:t>
      </w:r>
      <w:r>
        <w:rPr>
          <w:color w:val="231F20"/>
          <w:spacing w:val="-4"/>
          <w:sz w:val="22"/>
        </w:rPr>
        <w:t> </w:t>
      </w:r>
      <w:r>
        <w:rPr>
          <w:color w:val="231F20"/>
          <w:sz w:val="22"/>
        </w:rPr>
        <w:t>social</w:t>
      </w:r>
      <w:r>
        <w:rPr>
          <w:color w:val="231F20"/>
          <w:spacing w:val="-4"/>
          <w:sz w:val="22"/>
        </w:rPr>
        <w:t> </w:t>
      </w:r>
      <w:r>
        <w:rPr>
          <w:color w:val="231F20"/>
          <w:sz w:val="22"/>
        </w:rPr>
        <w:t>y</w:t>
      </w:r>
      <w:r>
        <w:rPr>
          <w:color w:val="231F20"/>
          <w:spacing w:val="-4"/>
          <w:sz w:val="22"/>
        </w:rPr>
        <w:t> </w:t>
      </w:r>
      <w:r>
        <w:rPr>
          <w:color w:val="231F20"/>
          <w:sz w:val="22"/>
        </w:rPr>
        <w:t>cul- tural.</w:t>
      </w:r>
    </w:p>
    <w:p>
      <w:pPr>
        <w:pStyle w:val="ListParagraph"/>
        <w:numPr>
          <w:ilvl w:val="0"/>
          <w:numId w:val="1"/>
        </w:numPr>
        <w:tabs>
          <w:tab w:pos="478" w:val="left" w:leader="none"/>
        </w:tabs>
        <w:spacing w:line="247" w:lineRule="auto" w:before="0" w:after="0"/>
        <w:ind w:left="477" w:right="115" w:hanging="360"/>
        <w:jc w:val="both"/>
        <w:rPr>
          <w:color w:val="231F20"/>
          <w:sz w:val="22"/>
        </w:rPr>
      </w:pPr>
      <w:r>
        <w:rPr>
          <w:color w:val="231F20"/>
          <w:sz w:val="22"/>
        </w:rPr>
        <w:t>La voluntad de clubes (en el extranjero) y comités (en México) de lle- var a cabo inversiones de bienestar social y de apoyo a la producción, aportando ambos “recursos económicos que se sumen a los federales y/o estatales y municipales” (POGEG, 1991: 3).</w:t>
      </w:r>
    </w:p>
    <w:p>
      <w:pPr>
        <w:spacing w:after="0" w:line="247" w:lineRule="auto"/>
        <w:jc w:val="both"/>
        <w:rPr>
          <w:sz w:val="22"/>
        </w:rPr>
        <w:sectPr>
          <w:pgSz w:w="9360" w:h="13040"/>
          <w:pgMar w:header="0" w:footer="496" w:top="800" w:bottom="680" w:left="1300" w:right="1300"/>
        </w:sectPr>
      </w:pPr>
    </w:p>
    <w:p>
      <w:pPr>
        <w:spacing w:before="45"/>
        <w:ind w:left="400" w:right="117" w:hanging="194"/>
        <w:jc w:val="left"/>
        <w:rPr>
          <w:rFonts w:ascii="Arial" w:hAnsi="Arial"/>
          <w:sz w:val="20"/>
        </w:rPr>
      </w:pPr>
      <w:r>
        <w:rPr>
          <w:rFonts w:ascii="Arial" w:hAnsi="Arial"/>
          <w:color w:val="231F20"/>
          <w:w w:val="70"/>
          <w:sz w:val="20"/>
        </w:rPr>
        <w:t>Políticas públicas de la migración transnacional entre México y Estados Unidos /Alejandro  Díaz-Garay</w:t>
      </w:r>
    </w:p>
    <w:p>
      <w:pPr>
        <w:pStyle w:val="BodyText"/>
        <w:spacing w:before="7"/>
        <w:rPr>
          <w:rFonts w:ascii="Arial"/>
          <w:sz w:val="28"/>
        </w:rPr>
      </w:pPr>
    </w:p>
    <w:p>
      <w:pPr>
        <w:pStyle w:val="BodyText"/>
        <w:spacing w:line="247" w:lineRule="auto"/>
        <w:ind w:left="117" w:right="114" w:firstLine="283"/>
        <w:jc w:val="both"/>
      </w:pPr>
      <w:r>
        <w:rPr>
          <w:color w:val="231F20"/>
        </w:rPr>
        <w:t>Las dependencias encargas de establecer los comités ciudadanos eran: Secretaría</w:t>
      </w:r>
      <w:r>
        <w:rPr>
          <w:color w:val="231F20"/>
          <w:spacing w:val="-9"/>
        </w:rPr>
        <w:t> </w:t>
      </w:r>
      <w:r>
        <w:rPr>
          <w:color w:val="231F20"/>
        </w:rPr>
        <w:t>de</w:t>
      </w:r>
      <w:r>
        <w:rPr>
          <w:color w:val="231F20"/>
          <w:spacing w:val="-10"/>
        </w:rPr>
        <w:t> </w:t>
      </w:r>
      <w:r>
        <w:rPr>
          <w:color w:val="231F20"/>
        </w:rPr>
        <w:t>Finanzas</w:t>
      </w:r>
      <w:r>
        <w:rPr>
          <w:color w:val="231F20"/>
          <w:spacing w:val="-9"/>
        </w:rPr>
        <w:t> </w:t>
      </w:r>
      <w:r>
        <w:rPr>
          <w:color w:val="231F20"/>
        </w:rPr>
        <w:t>y</w:t>
      </w:r>
      <w:r>
        <w:rPr>
          <w:color w:val="231F20"/>
          <w:spacing w:val="-21"/>
        </w:rPr>
        <w:t> </w:t>
      </w:r>
      <w:r>
        <w:rPr>
          <w:color w:val="231F20"/>
        </w:rPr>
        <w:t>Administración;</w:t>
      </w:r>
      <w:r>
        <w:rPr>
          <w:color w:val="231F20"/>
          <w:spacing w:val="-8"/>
        </w:rPr>
        <w:t> </w:t>
      </w:r>
      <w:r>
        <w:rPr>
          <w:color w:val="231F20"/>
        </w:rPr>
        <w:t>Planeación,</w:t>
      </w:r>
      <w:r>
        <w:rPr>
          <w:color w:val="231F20"/>
          <w:spacing w:val="-9"/>
        </w:rPr>
        <w:t> </w:t>
      </w:r>
      <w:r>
        <w:rPr>
          <w:color w:val="231F20"/>
        </w:rPr>
        <w:t>Presupuesto</w:t>
      </w:r>
      <w:r>
        <w:rPr>
          <w:color w:val="231F20"/>
          <w:spacing w:val="-9"/>
        </w:rPr>
        <w:t> </w:t>
      </w:r>
      <w:r>
        <w:rPr>
          <w:color w:val="231F20"/>
        </w:rPr>
        <w:t>y</w:t>
      </w:r>
      <w:r>
        <w:rPr>
          <w:color w:val="231F20"/>
          <w:spacing w:val="-9"/>
        </w:rPr>
        <w:t> </w:t>
      </w:r>
      <w:r>
        <w:rPr>
          <w:color w:val="231F20"/>
        </w:rPr>
        <w:t>Desa- rrollo Urbano; Desarrollo Social y Contraloría General. Además, se creó la </w:t>
      </w:r>
      <w:r>
        <w:rPr>
          <w:i/>
          <w:color w:val="231F20"/>
        </w:rPr>
        <w:t>Coordinación de Asociaciones de Guerrerenses en el Exterior</w:t>
      </w:r>
      <w:r>
        <w:rPr>
          <w:color w:val="231F20"/>
        </w:rPr>
        <w:t>, unidad administrativa directamente adscrita al gobernador Ruiz Massieu (1987: 5); éste es uno de los antecedentes de las oficinas de atención a migrantes (Ofam) que suman 28 en la República Mexicana, excepto Quintana Roo, Campeche, Sinaloa y Querétaro (Fernández </w:t>
      </w:r>
      <w:r>
        <w:rPr>
          <w:i/>
          <w:color w:val="231F20"/>
        </w:rPr>
        <w:t>et al.</w:t>
      </w:r>
      <w:r>
        <w:rPr>
          <w:color w:val="231F20"/>
        </w:rPr>
        <w:t>,</w:t>
      </w:r>
      <w:r>
        <w:rPr>
          <w:color w:val="231F20"/>
          <w:spacing w:val="-16"/>
        </w:rPr>
        <w:t> </w:t>
      </w:r>
      <w:r>
        <w:rPr>
          <w:color w:val="231F20"/>
        </w:rPr>
        <w:t>2007).</w:t>
      </w:r>
    </w:p>
    <w:p>
      <w:pPr>
        <w:pStyle w:val="BodyText"/>
        <w:spacing w:line="247" w:lineRule="auto"/>
        <w:ind w:left="117" w:right="115" w:firstLine="283"/>
        <w:jc w:val="both"/>
      </w:pPr>
      <w:r>
        <w:rPr>
          <w:color w:val="231F20"/>
        </w:rPr>
        <w:t>Anteriormente,</w:t>
      </w:r>
      <w:r>
        <w:rPr>
          <w:color w:val="231F20"/>
          <w:spacing w:val="-8"/>
        </w:rPr>
        <w:t> </w:t>
      </w:r>
      <w:r>
        <w:rPr>
          <w:color w:val="231F20"/>
        </w:rPr>
        <w:t>poco</w:t>
      </w:r>
      <w:r>
        <w:rPr>
          <w:color w:val="231F20"/>
          <w:spacing w:val="-9"/>
        </w:rPr>
        <w:t> </w:t>
      </w:r>
      <w:r>
        <w:rPr>
          <w:color w:val="231F20"/>
        </w:rPr>
        <w:t>se</w:t>
      </w:r>
      <w:r>
        <w:rPr>
          <w:color w:val="231F20"/>
          <w:spacing w:val="-9"/>
        </w:rPr>
        <w:t> </w:t>
      </w:r>
      <w:r>
        <w:rPr>
          <w:color w:val="231F20"/>
        </w:rPr>
        <w:t>sabía</w:t>
      </w:r>
      <w:r>
        <w:rPr>
          <w:color w:val="231F20"/>
          <w:spacing w:val="-9"/>
        </w:rPr>
        <w:t> </w:t>
      </w:r>
      <w:r>
        <w:rPr>
          <w:color w:val="231F20"/>
        </w:rPr>
        <w:t>del</w:t>
      </w:r>
      <w:r>
        <w:rPr>
          <w:color w:val="231F20"/>
          <w:spacing w:val="-9"/>
        </w:rPr>
        <w:t> </w:t>
      </w:r>
      <w:r>
        <w:rPr>
          <w:color w:val="231F20"/>
        </w:rPr>
        <w:t>gran</w:t>
      </w:r>
      <w:r>
        <w:rPr>
          <w:color w:val="231F20"/>
          <w:spacing w:val="-9"/>
        </w:rPr>
        <w:t> </w:t>
      </w:r>
      <w:r>
        <w:rPr>
          <w:color w:val="231F20"/>
        </w:rPr>
        <w:t>número</w:t>
      </w:r>
      <w:r>
        <w:rPr>
          <w:color w:val="231F20"/>
          <w:spacing w:val="-9"/>
        </w:rPr>
        <w:t> </w:t>
      </w:r>
      <w:r>
        <w:rPr>
          <w:color w:val="231F20"/>
        </w:rPr>
        <w:t>de</w:t>
      </w:r>
      <w:r>
        <w:rPr>
          <w:color w:val="231F20"/>
          <w:spacing w:val="-9"/>
        </w:rPr>
        <w:t> </w:t>
      </w:r>
      <w:r>
        <w:rPr>
          <w:color w:val="231F20"/>
        </w:rPr>
        <w:t>inmigrantes</w:t>
      </w:r>
      <w:r>
        <w:rPr>
          <w:color w:val="231F20"/>
          <w:spacing w:val="-9"/>
        </w:rPr>
        <w:t> </w:t>
      </w:r>
      <w:r>
        <w:rPr>
          <w:color w:val="231F20"/>
        </w:rPr>
        <w:t>de</w:t>
      </w:r>
      <w:r>
        <w:rPr>
          <w:color w:val="231F20"/>
          <w:spacing w:val="-9"/>
        </w:rPr>
        <w:t> </w:t>
      </w:r>
      <w:r>
        <w:rPr>
          <w:color w:val="231F20"/>
        </w:rPr>
        <w:t>origen mexicano radicados en Estados Unidos. Ciertamente, uno de los primeros acercamientos de los clubes guerrerenses surgidos desde abajo con sus re- presentantes de gobierno tanto en Chicago como en Guerrero se dio con Ruiz Massieu y el cónsul de México en Chicago (1989-1991), Alejandro Carrillo Castro.</w:t>
      </w:r>
    </w:p>
    <w:p>
      <w:pPr>
        <w:pStyle w:val="BodyText"/>
        <w:spacing w:line="247" w:lineRule="auto"/>
        <w:ind w:left="117" w:right="114" w:firstLine="283"/>
        <w:jc w:val="both"/>
      </w:pPr>
      <w:r>
        <w:rPr>
          <w:color w:val="231F20"/>
        </w:rPr>
        <w:t>Con la creación en 1990 del Programa de Comunidades Mexicanas en el Extranjero (PCME), se dio un explosivo crecimiento de organizaciones de</w:t>
      </w:r>
      <w:r>
        <w:rPr>
          <w:color w:val="231F20"/>
          <w:spacing w:val="-8"/>
        </w:rPr>
        <w:t> </w:t>
      </w:r>
      <w:r>
        <w:rPr>
          <w:color w:val="231F20"/>
        </w:rPr>
        <w:t>migrantes,</w:t>
      </w:r>
      <w:r>
        <w:rPr>
          <w:color w:val="231F20"/>
          <w:spacing w:val="-8"/>
        </w:rPr>
        <w:t> </w:t>
      </w:r>
      <w:r>
        <w:rPr>
          <w:color w:val="231F20"/>
        </w:rPr>
        <w:t>destacando</w:t>
      </w:r>
      <w:r>
        <w:rPr>
          <w:color w:val="231F20"/>
          <w:spacing w:val="-8"/>
        </w:rPr>
        <w:t> </w:t>
      </w:r>
      <w:r>
        <w:rPr>
          <w:color w:val="231F20"/>
        </w:rPr>
        <w:t>dos</w:t>
      </w:r>
      <w:r>
        <w:rPr>
          <w:color w:val="231F20"/>
          <w:spacing w:val="-8"/>
        </w:rPr>
        <w:t> </w:t>
      </w:r>
      <w:r>
        <w:rPr>
          <w:color w:val="231F20"/>
        </w:rPr>
        <w:t>modelos:</w:t>
      </w:r>
      <w:r>
        <w:rPr>
          <w:color w:val="231F20"/>
          <w:spacing w:val="-8"/>
        </w:rPr>
        <w:t> </w:t>
      </w:r>
      <w:r>
        <w:rPr>
          <w:color w:val="231F20"/>
        </w:rPr>
        <w:t>los</w:t>
      </w:r>
      <w:r>
        <w:rPr>
          <w:color w:val="231F20"/>
          <w:spacing w:val="-8"/>
        </w:rPr>
        <w:t> </w:t>
      </w:r>
      <w:r>
        <w:rPr>
          <w:color w:val="231F20"/>
        </w:rPr>
        <w:t>clubes</w:t>
      </w:r>
      <w:r>
        <w:rPr>
          <w:color w:val="231F20"/>
          <w:spacing w:val="-8"/>
        </w:rPr>
        <w:t> </w:t>
      </w:r>
      <w:r>
        <w:rPr>
          <w:color w:val="231F20"/>
        </w:rPr>
        <w:t>de</w:t>
      </w:r>
      <w:r>
        <w:rPr>
          <w:color w:val="231F20"/>
          <w:spacing w:val="-8"/>
        </w:rPr>
        <w:t> </w:t>
      </w:r>
      <w:r>
        <w:rPr>
          <w:color w:val="231F20"/>
        </w:rPr>
        <w:t>oriundos</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federa- ciones, ambos de alcance estatal. Algunos con mayor dependencia del go- bierno, otros en el marco de mayor autonomía e independencia; el común denominador de ambos era la inquietud por realizar iniciativas tendientes a mejorar las condiciones de vida de sus comunidades de origen, más que de apoyarse mutuamente en sus lugares de destino. Se empezaron a ob- servar dinámicas espontáneas de migrantes que buscaban reproducir sus comunidades</w:t>
      </w:r>
      <w:r>
        <w:rPr>
          <w:color w:val="231F20"/>
          <w:spacing w:val="-8"/>
        </w:rPr>
        <w:t> </w:t>
      </w:r>
      <w:r>
        <w:rPr>
          <w:color w:val="231F20"/>
        </w:rPr>
        <w:t>de</w:t>
      </w:r>
      <w:r>
        <w:rPr>
          <w:color w:val="231F20"/>
          <w:spacing w:val="-8"/>
        </w:rPr>
        <w:t> </w:t>
      </w:r>
      <w:r>
        <w:rPr>
          <w:color w:val="231F20"/>
        </w:rPr>
        <w:t>origen</w:t>
      </w:r>
      <w:r>
        <w:rPr>
          <w:color w:val="231F20"/>
          <w:spacing w:val="-7"/>
        </w:rPr>
        <w:t> </w:t>
      </w:r>
      <w:r>
        <w:rPr>
          <w:color w:val="231F20"/>
        </w:rPr>
        <w:t>en</w:t>
      </w:r>
      <w:r>
        <w:rPr>
          <w:color w:val="231F20"/>
          <w:spacing w:val="-8"/>
        </w:rPr>
        <w:t> </w:t>
      </w:r>
      <w:r>
        <w:rPr>
          <w:color w:val="231F20"/>
        </w:rPr>
        <w:t>Estados</w:t>
      </w:r>
      <w:r>
        <w:rPr>
          <w:color w:val="231F20"/>
          <w:spacing w:val="-8"/>
        </w:rPr>
        <w:t> </w:t>
      </w:r>
      <w:r>
        <w:rPr>
          <w:color w:val="231F20"/>
        </w:rPr>
        <w:t>Unidos.</w:t>
      </w:r>
      <w:r>
        <w:rPr>
          <w:color w:val="231F20"/>
          <w:spacing w:val="-7"/>
        </w:rPr>
        <w:t> </w:t>
      </w:r>
      <w:r>
        <w:rPr>
          <w:color w:val="231F20"/>
        </w:rPr>
        <w:t>El</w:t>
      </w:r>
      <w:r>
        <w:rPr>
          <w:color w:val="231F20"/>
          <w:spacing w:val="-8"/>
        </w:rPr>
        <w:t> </w:t>
      </w:r>
      <w:r>
        <w:rPr>
          <w:color w:val="231F20"/>
        </w:rPr>
        <w:t>sentirse</w:t>
      </w:r>
      <w:r>
        <w:rPr>
          <w:color w:val="231F20"/>
          <w:spacing w:val="-7"/>
        </w:rPr>
        <w:t> </w:t>
      </w:r>
      <w:r>
        <w:rPr>
          <w:color w:val="231F20"/>
        </w:rPr>
        <w:t>lejos</w:t>
      </w:r>
      <w:r>
        <w:rPr>
          <w:color w:val="231F20"/>
          <w:spacing w:val="-8"/>
        </w:rPr>
        <w:t> </w:t>
      </w:r>
      <w:r>
        <w:rPr>
          <w:color w:val="231F20"/>
        </w:rPr>
        <w:t>de</w:t>
      </w:r>
      <w:r>
        <w:rPr>
          <w:color w:val="231F20"/>
          <w:spacing w:val="-8"/>
        </w:rPr>
        <w:t> </w:t>
      </w:r>
      <w:r>
        <w:rPr>
          <w:color w:val="231F20"/>
        </w:rPr>
        <w:t>sus</w:t>
      </w:r>
      <w:r>
        <w:rPr>
          <w:color w:val="231F20"/>
          <w:spacing w:val="-7"/>
        </w:rPr>
        <w:t> </w:t>
      </w:r>
      <w:r>
        <w:rPr>
          <w:color w:val="231F20"/>
        </w:rPr>
        <w:t>pueblos les generaba nostalgia. De esta forma se crearon los clubes de migrantes con un perfil predominantemente rural, cuyo común denominador es per- tenecer a la misma comunidad. Surgieron desde abajo, de manera natural, apoyándose en las cadenas migratorias y en los lazos familiares. En su accionar</w:t>
      </w:r>
      <w:r>
        <w:rPr>
          <w:color w:val="231F20"/>
          <w:spacing w:val="-13"/>
        </w:rPr>
        <w:t> </w:t>
      </w:r>
      <w:r>
        <w:rPr>
          <w:color w:val="231F20"/>
        </w:rPr>
        <w:t>se</w:t>
      </w:r>
      <w:r>
        <w:rPr>
          <w:color w:val="231F20"/>
          <w:spacing w:val="-12"/>
        </w:rPr>
        <w:t> </w:t>
      </w:r>
      <w:r>
        <w:rPr>
          <w:color w:val="231F20"/>
        </w:rPr>
        <w:t>descubrieron</w:t>
      </w:r>
      <w:r>
        <w:rPr>
          <w:color w:val="231F20"/>
          <w:spacing w:val="-12"/>
        </w:rPr>
        <w:t> </w:t>
      </w:r>
      <w:r>
        <w:rPr>
          <w:color w:val="231F20"/>
        </w:rPr>
        <w:t>liderazgos,</w:t>
      </w:r>
      <w:r>
        <w:rPr>
          <w:color w:val="231F20"/>
          <w:spacing w:val="-13"/>
        </w:rPr>
        <w:t> </w:t>
      </w:r>
      <w:r>
        <w:rPr>
          <w:color w:val="231F20"/>
        </w:rPr>
        <w:t>muchos</w:t>
      </w:r>
      <w:r>
        <w:rPr>
          <w:color w:val="231F20"/>
          <w:spacing w:val="-13"/>
        </w:rPr>
        <w:t> </w:t>
      </w:r>
      <w:r>
        <w:rPr>
          <w:color w:val="231F20"/>
        </w:rPr>
        <w:t>de</w:t>
      </w:r>
      <w:r>
        <w:rPr>
          <w:color w:val="231F20"/>
          <w:spacing w:val="-12"/>
        </w:rPr>
        <w:t> </w:t>
      </w:r>
      <w:r>
        <w:rPr>
          <w:color w:val="231F20"/>
        </w:rPr>
        <w:t>los</w:t>
      </w:r>
      <w:r>
        <w:rPr>
          <w:color w:val="231F20"/>
          <w:spacing w:val="-12"/>
        </w:rPr>
        <w:t> </w:t>
      </w:r>
      <w:r>
        <w:rPr>
          <w:color w:val="231F20"/>
        </w:rPr>
        <w:t>cuales</w:t>
      </w:r>
      <w:r>
        <w:rPr>
          <w:color w:val="231F20"/>
          <w:spacing w:val="-13"/>
        </w:rPr>
        <w:t> </w:t>
      </w:r>
      <w:r>
        <w:rPr>
          <w:color w:val="231F20"/>
        </w:rPr>
        <w:t>no</w:t>
      </w:r>
      <w:r>
        <w:rPr>
          <w:color w:val="231F20"/>
          <w:spacing w:val="-12"/>
        </w:rPr>
        <w:t> </w:t>
      </w:r>
      <w:r>
        <w:rPr>
          <w:color w:val="231F20"/>
        </w:rPr>
        <w:t>habían</w:t>
      </w:r>
      <w:r>
        <w:rPr>
          <w:color w:val="231F20"/>
          <w:spacing w:val="-12"/>
        </w:rPr>
        <w:t> </w:t>
      </w:r>
      <w:r>
        <w:rPr>
          <w:color w:val="231F20"/>
        </w:rPr>
        <w:t>tenido ninguna experiencia. De este modo, la primera federación que se creó en Chicago con la nueva política pública fue la Federación de Guerrerenses (Gómez, 2006).</w:t>
      </w:r>
    </w:p>
    <w:p>
      <w:pPr>
        <w:pStyle w:val="BodyText"/>
        <w:spacing w:line="247" w:lineRule="auto"/>
        <w:ind w:left="117" w:right="114" w:firstLine="283"/>
        <w:jc w:val="both"/>
      </w:pPr>
      <w:r>
        <w:rPr>
          <w:color w:val="231F20"/>
          <w:spacing w:val="-3"/>
        </w:rPr>
        <w:t>También </w:t>
      </w:r>
      <w:r>
        <w:rPr>
          <w:color w:val="231F20"/>
        </w:rPr>
        <w:t>el PCME fue el marco jurídico para que entre 1993 y 1995   se impulsaran proyectos del tipo 2x1 en otras entidades federativas como Zacatecas </w:t>
      </w:r>
      <w:r>
        <w:rPr>
          <w:color w:val="231F20"/>
          <w:spacing w:val="-3"/>
        </w:rPr>
        <w:t>(Valenzuela, </w:t>
      </w:r>
      <w:r>
        <w:rPr>
          <w:color w:val="231F20"/>
        </w:rPr>
        <w:t>2007). En 1995, el consulado con sede en Chicago daba cuenta de 35 clubes. A fines de 1998 la cifra se había casi triplicado: eran</w:t>
      </w:r>
      <w:r>
        <w:rPr>
          <w:color w:val="231F20"/>
          <w:spacing w:val="-3"/>
        </w:rPr>
        <w:t> </w:t>
      </w:r>
      <w:r>
        <w:rPr>
          <w:color w:val="231F20"/>
        </w:rPr>
        <w:t>90.</w:t>
      </w:r>
      <w:r>
        <w:rPr>
          <w:color w:val="231F20"/>
          <w:spacing w:val="-3"/>
        </w:rPr>
        <w:t> </w:t>
      </w:r>
      <w:r>
        <w:rPr>
          <w:color w:val="231F20"/>
        </w:rPr>
        <w:t>Para</w:t>
      </w:r>
      <w:r>
        <w:rPr>
          <w:color w:val="231F20"/>
          <w:spacing w:val="-3"/>
        </w:rPr>
        <w:t> </w:t>
      </w:r>
      <w:r>
        <w:rPr>
          <w:color w:val="231F20"/>
        </w:rPr>
        <w:t>el</w:t>
      </w:r>
      <w:r>
        <w:rPr>
          <w:color w:val="231F20"/>
          <w:spacing w:val="-3"/>
        </w:rPr>
        <w:t> </w:t>
      </w:r>
      <w:r>
        <w:rPr>
          <w:color w:val="231F20"/>
        </w:rPr>
        <w:t>2003,</w:t>
      </w:r>
      <w:r>
        <w:rPr>
          <w:color w:val="231F20"/>
          <w:spacing w:val="-3"/>
        </w:rPr>
        <w:t> </w:t>
      </w:r>
      <w:r>
        <w:rPr>
          <w:color w:val="231F20"/>
        </w:rPr>
        <w:t>170</w:t>
      </w:r>
      <w:r>
        <w:rPr>
          <w:color w:val="231F20"/>
          <w:spacing w:val="-3"/>
        </w:rPr>
        <w:t> </w:t>
      </w:r>
      <w:r>
        <w:rPr>
          <w:color w:val="231F20"/>
        </w:rPr>
        <w:t>y</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2006</w:t>
      </w:r>
      <w:r>
        <w:rPr>
          <w:color w:val="231F20"/>
          <w:spacing w:val="-3"/>
        </w:rPr>
        <w:t> </w:t>
      </w:r>
      <w:r>
        <w:rPr>
          <w:color w:val="231F20"/>
        </w:rPr>
        <w:t>más</w:t>
      </w:r>
      <w:r>
        <w:rPr>
          <w:color w:val="231F20"/>
          <w:spacing w:val="-3"/>
        </w:rPr>
        <w:t> </w:t>
      </w:r>
      <w:r>
        <w:rPr>
          <w:color w:val="231F20"/>
        </w:rPr>
        <w:t>de</w:t>
      </w:r>
      <w:r>
        <w:rPr>
          <w:color w:val="231F20"/>
          <w:spacing w:val="-3"/>
        </w:rPr>
        <w:t> </w:t>
      </w:r>
      <w:r>
        <w:rPr>
          <w:color w:val="231F20"/>
        </w:rPr>
        <w:t>280</w:t>
      </w:r>
      <w:r>
        <w:rPr>
          <w:color w:val="231F20"/>
          <w:spacing w:val="-3"/>
        </w:rPr>
        <w:t> </w:t>
      </w:r>
      <w:r>
        <w:rPr>
          <w:color w:val="231F20"/>
        </w:rPr>
        <w:t>clubes</w:t>
      </w:r>
      <w:r>
        <w:rPr>
          <w:color w:val="231F20"/>
          <w:spacing w:val="-3"/>
        </w:rPr>
        <w:t> </w:t>
      </w:r>
      <w:r>
        <w:rPr>
          <w:color w:val="231F20"/>
        </w:rPr>
        <w:t>(Gómez,</w:t>
      </w:r>
      <w:r>
        <w:rPr>
          <w:color w:val="231F20"/>
          <w:spacing w:val="-3"/>
        </w:rPr>
        <w:t> </w:t>
      </w:r>
      <w:r>
        <w:rPr>
          <w:color w:val="231F20"/>
        </w:rPr>
        <w:t>2006).</w:t>
      </w:r>
    </w:p>
    <w:p>
      <w:pPr>
        <w:spacing w:after="0" w:line="247" w:lineRule="auto"/>
        <w:jc w:val="both"/>
        <w:sectPr>
          <w:pgSz w:w="9360" w:h="13040"/>
          <w:pgMar w:header="0" w:footer="496" w:top="740" w:bottom="680" w:left="1300" w:right="1300"/>
        </w:sectPr>
      </w:pPr>
    </w:p>
    <w:p>
      <w:pPr>
        <w:tabs>
          <w:tab w:pos="5536" w:val="left" w:leader="none"/>
        </w:tabs>
        <w:spacing w:before="48"/>
        <w:ind w:left="400" w:right="117" w:hanging="295"/>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firstLine="283"/>
        <w:jc w:val="both"/>
      </w:pPr>
      <w:r>
        <w:rPr>
          <w:color w:val="231F20"/>
        </w:rPr>
        <w:t>Las</w:t>
      </w:r>
      <w:r>
        <w:rPr>
          <w:color w:val="231F20"/>
          <w:spacing w:val="-7"/>
        </w:rPr>
        <w:t> </w:t>
      </w:r>
      <w:r>
        <w:rPr>
          <w:color w:val="231F20"/>
        </w:rPr>
        <w:t>relaciones</w:t>
      </w:r>
      <w:r>
        <w:rPr>
          <w:color w:val="231F20"/>
          <w:spacing w:val="-7"/>
        </w:rPr>
        <w:t> </w:t>
      </w:r>
      <w:r>
        <w:rPr>
          <w:color w:val="231F20"/>
        </w:rPr>
        <w:t>entre</w:t>
      </w:r>
      <w:r>
        <w:rPr>
          <w:color w:val="231F20"/>
          <w:spacing w:val="-7"/>
        </w:rPr>
        <w:t> </w:t>
      </w:r>
      <w:r>
        <w:rPr>
          <w:color w:val="231F20"/>
        </w:rPr>
        <w:t>el</w:t>
      </w:r>
      <w:r>
        <w:rPr>
          <w:color w:val="231F20"/>
          <w:spacing w:val="-7"/>
        </w:rPr>
        <w:t> </w:t>
      </w:r>
      <w:r>
        <w:rPr>
          <w:color w:val="231F20"/>
        </w:rPr>
        <w:t>consulado</w:t>
      </w:r>
      <w:r>
        <w:rPr>
          <w:color w:val="231F20"/>
          <w:spacing w:val="-8"/>
        </w:rPr>
        <w:t> </w:t>
      </w:r>
      <w:r>
        <w:rPr>
          <w:color w:val="231F20"/>
        </w:rPr>
        <w:t>y</w:t>
      </w:r>
      <w:r>
        <w:rPr>
          <w:color w:val="231F20"/>
          <w:spacing w:val="-7"/>
        </w:rPr>
        <w:t> </w:t>
      </w:r>
      <w:r>
        <w:rPr>
          <w:color w:val="231F20"/>
        </w:rPr>
        <w:t>las</w:t>
      </w:r>
      <w:r>
        <w:rPr>
          <w:color w:val="231F20"/>
          <w:spacing w:val="-7"/>
        </w:rPr>
        <w:t> </w:t>
      </w:r>
      <w:r>
        <w:rPr>
          <w:color w:val="231F20"/>
        </w:rPr>
        <w:t>comunidades</w:t>
      </w:r>
      <w:r>
        <w:rPr>
          <w:color w:val="231F20"/>
          <w:spacing w:val="-8"/>
        </w:rPr>
        <w:t> </w:t>
      </w:r>
      <w:r>
        <w:rPr>
          <w:color w:val="231F20"/>
        </w:rPr>
        <w:t>migrantes</w:t>
      </w:r>
      <w:r>
        <w:rPr>
          <w:color w:val="231F20"/>
          <w:spacing w:val="-8"/>
        </w:rPr>
        <w:t> </w:t>
      </w:r>
      <w:r>
        <w:rPr>
          <w:color w:val="231F20"/>
        </w:rPr>
        <w:t>mexica- nas</w:t>
      </w:r>
      <w:r>
        <w:rPr>
          <w:color w:val="231F20"/>
          <w:spacing w:val="-13"/>
        </w:rPr>
        <w:t> </w:t>
      </w:r>
      <w:r>
        <w:rPr>
          <w:color w:val="231F20"/>
        </w:rPr>
        <w:t>no</w:t>
      </w:r>
      <w:r>
        <w:rPr>
          <w:color w:val="231F20"/>
          <w:spacing w:val="-13"/>
        </w:rPr>
        <w:t> </w:t>
      </w:r>
      <w:r>
        <w:rPr>
          <w:color w:val="231F20"/>
        </w:rPr>
        <w:t>siempre</w:t>
      </w:r>
      <w:r>
        <w:rPr>
          <w:color w:val="231F20"/>
          <w:spacing w:val="-13"/>
        </w:rPr>
        <w:t> </w:t>
      </w:r>
      <w:r>
        <w:rPr>
          <w:color w:val="231F20"/>
        </w:rPr>
        <w:t>fueron</w:t>
      </w:r>
      <w:r>
        <w:rPr>
          <w:color w:val="231F20"/>
          <w:spacing w:val="-13"/>
        </w:rPr>
        <w:t> </w:t>
      </w:r>
      <w:r>
        <w:rPr>
          <w:color w:val="231F20"/>
        </w:rPr>
        <w:t>diáfanas.</w:t>
      </w:r>
      <w:r>
        <w:rPr>
          <w:color w:val="231F20"/>
          <w:spacing w:val="-13"/>
        </w:rPr>
        <w:t> </w:t>
      </w:r>
      <w:r>
        <w:rPr>
          <w:color w:val="231F20"/>
        </w:rPr>
        <w:t>Con</w:t>
      </w:r>
      <w:r>
        <w:rPr>
          <w:color w:val="231F20"/>
          <w:spacing w:val="-13"/>
        </w:rPr>
        <w:t> </w:t>
      </w:r>
      <w:r>
        <w:rPr>
          <w:color w:val="231F20"/>
        </w:rPr>
        <w:t>el</w:t>
      </w:r>
      <w:r>
        <w:rPr>
          <w:color w:val="231F20"/>
          <w:spacing w:val="-12"/>
        </w:rPr>
        <w:t> </w:t>
      </w:r>
      <w:r>
        <w:rPr>
          <w:color w:val="231F20"/>
        </w:rPr>
        <w:t>cónsul</w:t>
      </w:r>
      <w:r>
        <w:rPr>
          <w:color w:val="231F20"/>
          <w:spacing w:val="-13"/>
        </w:rPr>
        <w:t> </w:t>
      </w:r>
      <w:r>
        <w:rPr>
          <w:color w:val="231F20"/>
        </w:rPr>
        <w:t>Oliver</w:t>
      </w:r>
      <w:r>
        <w:rPr>
          <w:color w:val="231F20"/>
          <w:spacing w:val="-24"/>
        </w:rPr>
        <w:t> </w:t>
      </w:r>
      <w:r>
        <w:rPr>
          <w:color w:val="231F20"/>
        </w:rPr>
        <w:t>Albert</w:t>
      </w:r>
      <w:r>
        <w:rPr>
          <w:color w:val="231F20"/>
          <w:spacing w:val="-13"/>
        </w:rPr>
        <w:t> </w:t>
      </w:r>
      <w:r>
        <w:rPr>
          <w:color w:val="231F20"/>
        </w:rPr>
        <w:t>Farres</w:t>
      </w:r>
      <w:r>
        <w:rPr>
          <w:color w:val="231F20"/>
          <w:spacing w:val="-13"/>
        </w:rPr>
        <w:t> </w:t>
      </w:r>
      <w:r>
        <w:rPr>
          <w:color w:val="231F20"/>
        </w:rPr>
        <w:t>Martins (1992-1995) la relación entre la organización guerrerense y la representa- ción del gobierno mexicano fue tan ríspida al grado de que los migrantes se unieron para pedir su destitución. Uno de los desencuentros se debió a que buscaba controlar las actividades de los clubes y organizaciones. El modelo que propuso la cancillería eran las federaciones, una por entidad federativa,</w:t>
      </w:r>
      <w:r>
        <w:rPr>
          <w:color w:val="231F20"/>
          <w:spacing w:val="-3"/>
        </w:rPr>
        <w:t> </w:t>
      </w:r>
      <w:r>
        <w:rPr>
          <w:color w:val="231F20"/>
        </w:rPr>
        <w:t>la</w:t>
      </w:r>
      <w:r>
        <w:rPr>
          <w:color w:val="231F20"/>
          <w:spacing w:val="-4"/>
        </w:rPr>
        <w:t> </w:t>
      </w:r>
      <w:r>
        <w:rPr>
          <w:color w:val="231F20"/>
        </w:rPr>
        <w:t>cual</w:t>
      </w:r>
      <w:r>
        <w:rPr>
          <w:color w:val="231F20"/>
          <w:spacing w:val="-4"/>
        </w:rPr>
        <w:t> </w:t>
      </w:r>
      <w:r>
        <w:rPr>
          <w:color w:val="231F20"/>
        </w:rPr>
        <w:t>debería</w:t>
      </w:r>
      <w:r>
        <w:rPr>
          <w:color w:val="231F20"/>
          <w:spacing w:val="-3"/>
        </w:rPr>
        <w:t> </w:t>
      </w:r>
      <w:r>
        <w:rPr>
          <w:color w:val="231F20"/>
        </w:rPr>
        <w:t>aglutinar</w:t>
      </w:r>
      <w:r>
        <w:rPr>
          <w:color w:val="231F20"/>
          <w:spacing w:val="-4"/>
        </w:rPr>
        <w:t> </w:t>
      </w:r>
      <w:r>
        <w:rPr>
          <w:color w:val="231F20"/>
        </w:rPr>
        <w:t>a</w:t>
      </w:r>
      <w:r>
        <w:rPr>
          <w:color w:val="231F20"/>
          <w:spacing w:val="-3"/>
        </w:rPr>
        <w:t> </w:t>
      </w:r>
      <w:r>
        <w:rPr>
          <w:color w:val="231F20"/>
        </w:rPr>
        <w:t>los</w:t>
      </w:r>
      <w:r>
        <w:rPr>
          <w:color w:val="231F20"/>
          <w:spacing w:val="-3"/>
        </w:rPr>
        <w:t> </w:t>
      </w:r>
      <w:r>
        <w:rPr>
          <w:color w:val="231F20"/>
        </w:rPr>
        <w:t>clubes</w:t>
      </w:r>
      <w:r>
        <w:rPr>
          <w:color w:val="231F20"/>
          <w:spacing w:val="-4"/>
        </w:rPr>
        <w:t> </w:t>
      </w:r>
      <w:r>
        <w:rPr>
          <w:color w:val="231F20"/>
        </w:rPr>
        <w:t>de</w:t>
      </w:r>
      <w:r>
        <w:rPr>
          <w:color w:val="231F20"/>
          <w:spacing w:val="-3"/>
        </w:rPr>
        <w:t> </w:t>
      </w:r>
      <w:r>
        <w:rPr>
          <w:color w:val="231F20"/>
        </w:rPr>
        <w:t>oriundos</w:t>
      </w:r>
      <w:r>
        <w:rPr>
          <w:color w:val="231F20"/>
          <w:spacing w:val="-3"/>
        </w:rPr>
        <w:t> </w:t>
      </w:r>
      <w:r>
        <w:rPr>
          <w:color w:val="231F20"/>
        </w:rPr>
        <w:t>de</w:t>
      </w:r>
      <w:r>
        <w:rPr>
          <w:color w:val="231F20"/>
          <w:spacing w:val="-3"/>
        </w:rPr>
        <w:t> </w:t>
      </w:r>
      <w:r>
        <w:rPr>
          <w:color w:val="231F20"/>
        </w:rPr>
        <w:t>una</w:t>
      </w:r>
      <w:r>
        <w:rPr>
          <w:color w:val="231F20"/>
          <w:spacing w:val="-4"/>
        </w:rPr>
        <w:t> </w:t>
      </w:r>
      <w:r>
        <w:rPr>
          <w:color w:val="231F20"/>
        </w:rPr>
        <w:t>misma entidad, sin que se diese la posibilidad de quedar aislados. Algunos dipu- tados guerrerenses llevaron a la Cámara de Diputados la demanda de los migrantes organizados de</w:t>
      </w:r>
      <w:r>
        <w:rPr>
          <w:color w:val="231F20"/>
          <w:spacing w:val="-6"/>
        </w:rPr>
        <w:t> </w:t>
      </w:r>
      <w:r>
        <w:rPr>
          <w:color w:val="231F20"/>
        </w:rPr>
        <w:t>Chicago.</w:t>
      </w:r>
    </w:p>
    <w:p>
      <w:pPr>
        <w:pStyle w:val="BodyText"/>
        <w:spacing w:line="247" w:lineRule="auto"/>
        <w:ind w:left="117" w:right="116" w:firstLine="283"/>
        <w:jc w:val="both"/>
      </w:pPr>
      <w:r>
        <w:rPr>
          <w:color w:val="231F20"/>
        </w:rPr>
        <w:t>La presión de los inmigrantes mexicanos en Chicago y la denuncia pú- blica</w:t>
      </w:r>
      <w:r>
        <w:rPr>
          <w:color w:val="231F20"/>
          <w:spacing w:val="-5"/>
        </w:rPr>
        <w:t> </w:t>
      </w:r>
      <w:r>
        <w:rPr>
          <w:color w:val="231F20"/>
        </w:rPr>
        <w:t>expuesta</w:t>
      </w:r>
      <w:r>
        <w:rPr>
          <w:color w:val="231F20"/>
          <w:spacing w:val="-6"/>
        </w:rPr>
        <w:t> </w:t>
      </w:r>
      <w:r>
        <w:rPr>
          <w:color w:val="231F20"/>
        </w:rPr>
        <w:t>ante</w:t>
      </w:r>
      <w:r>
        <w:rPr>
          <w:color w:val="231F20"/>
          <w:spacing w:val="-6"/>
        </w:rPr>
        <w:t> </w:t>
      </w:r>
      <w:r>
        <w:rPr>
          <w:color w:val="231F20"/>
        </w:rPr>
        <w:t>el</w:t>
      </w:r>
      <w:r>
        <w:rPr>
          <w:color w:val="231F20"/>
          <w:spacing w:val="-5"/>
        </w:rPr>
        <w:t> </w:t>
      </w:r>
      <w:r>
        <w:rPr>
          <w:color w:val="231F20"/>
        </w:rPr>
        <w:t>poder</w:t>
      </w:r>
      <w:r>
        <w:rPr>
          <w:color w:val="231F20"/>
          <w:spacing w:val="-5"/>
        </w:rPr>
        <w:t> </w:t>
      </w:r>
      <w:r>
        <w:rPr>
          <w:color w:val="231F20"/>
        </w:rPr>
        <w:t>legislativo</w:t>
      </w:r>
      <w:r>
        <w:rPr>
          <w:color w:val="231F20"/>
          <w:spacing w:val="-6"/>
        </w:rPr>
        <w:t> </w:t>
      </w:r>
      <w:r>
        <w:rPr>
          <w:color w:val="231F20"/>
        </w:rPr>
        <w:t>surtieron</w:t>
      </w:r>
      <w:r>
        <w:rPr>
          <w:color w:val="231F20"/>
          <w:spacing w:val="-5"/>
        </w:rPr>
        <w:t> </w:t>
      </w:r>
      <w:r>
        <w:rPr>
          <w:color w:val="231F20"/>
        </w:rPr>
        <w:t>efecto.</w:t>
      </w:r>
      <w:r>
        <w:rPr>
          <w:color w:val="231F20"/>
          <w:spacing w:val="-18"/>
        </w:rPr>
        <w:t> </w:t>
      </w:r>
      <w:r>
        <w:rPr>
          <w:color w:val="231F20"/>
        </w:rPr>
        <w:t>A</w:t>
      </w:r>
      <w:r>
        <w:rPr>
          <w:color w:val="231F20"/>
          <w:spacing w:val="-17"/>
        </w:rPr>
        <w:t> </w:t>
      </w:r>
      <w:r>
        <w:rPr>
          <w:color w:val="231F20"/>
        </w:rPr>
        <w:t>los</w:t>
      </w:r>
      <w:r>
        <w:rPr>
          <w:color w:val="231F20"/>
          <w:spacing w:val="-5"/>
        </w:rPr>
        <w:t> </w:t>
      </w:r>
      <w:r>
        <w:rPr>
          <w:color w:val="231F20"/>
        </w:rPr>
        <w:t>pocos</w:t>
      </w:r>
      <w:r>
        <w:rPr>
          <w:color w:val="231F20"/>
          <w:spacing w:val="-5"/>
        </w:rPr>
        <w:t> </w:t>
      </w:r>
      <w:r>
        <w:rPr>
          <w:color w:val="231F20"/>
        </w:rPr>
        <w:t>meses el</w:t>
      </w:r>
      <w:r>
        <w:rPr>
          <w:color w:val="231F20"/>
          <w:spacing w:val="-9"/>
        </w:rPr>
        <w:t> </w:t>
      </w:r>
      <w:r>
        <w:rPr>
          <w:color w:val="231F20"/>
        </w:rPr>
        <w:t>diplomático</w:t>
      </w:r>
      <w:r>
        <w:rPr>
          <w:color w:val="231F20"/>
          <w:spacing w:val="-9"/>
        </w:rPr>
        <w:t> </w:t>
      </w:r>
      <w:r>
        <w:rPr>
          <w:color w:val="231F20"/>
        </w:rPr>
        <w:t>fue</w:t>
      </w:r>
      <w:r>
        <w:rPr>
          <w:color w:val="231F20"/>
          <w:spacing w:val="-9"/>
        </w:rPr>
        <w:t> </w:t>
      </w:r>
      <w:r>
        <w:rPr>
          <w:color w:val="231F20"/>
        </w:rPr>
        <w:t>nombrado</w:t>
      </w:r>
      <w:r>
        <w:rPr>
          <w:color w:val="231F20"/>
          <w:spacing w:val="-9"/>
        </w:rPr>
        <w:t> </w:t>
      </w:r>
      <w:r>
        <w:rPr>
          <w:color w:val="231F20"/>
        </w:rPr>
        <w:t>“embajador</w:t>
      </w:r>
      <w:r>
        <w:rPr>
          <w:color w:val="231F20"/>
          <w:spacing w:val="-10"/>
        </w:rPr>
        <w:t> </w:t>
      </w:r>
      <w:r>
        <w:rPr>
          <w:color w:val="231F20"/>
        </w:rPr>
        <w:t>extraordinario</w:t>
      </w:r>
      <w:r>
        <w:rPr>
          <w:color w:val="231F20"/>
          <w:spacing w:val="-10"/>
        </w:rPr>
        <w:t> </w:t>
      </w:r>
      <w:r>
        <w:rPr>
          <w:color w:val="231F20"/>
        </w:rPr>
        <w:t>y</w:t>
      </w:r>
      <w:r>
        <w:rPr>
          <w:color w:val="231F20"/>
          <w:spacing w:val="-9"/>
        </w:rPr>
        <w:t> </w:t>
      </w:r>
      <w:r>
        <w:rPr>
          <w:color w:val="231F20"/>
        </w:rPr>
        <w:t>plenipotenciario de México ante el gobierno de Colombia” (Cámara de Diputados, 1995).</w:t>
      </w:r>
    </w:p>
    <w:p>
      <w:pPr>
        <w:pStyle w:val="BodyText"/>
        <w:spacing w:line="247" w:lineRule="auto"/>
        <w:ind w:left="117" w:right="115" w:firstLine="283"/>
        <w:jc w:val="both"/>
      </w:pPr>
      <w:r>
        <w:rPr>
          <w:color w:val="231F20"/>
        </w:rPr>
        <w:t>Así,</w:t>
      </w:r>
      <w:r>
        <w:rPr>
          <w:color w:val="231F20"/>
          <w:spacing w:val="-7"/>
        </w:rPr>
        <w:t> </w:t>
      </w:r>
      <w:r>
        <w:rPr>
          <w:color w:val="231F20"/>
        </w:rPr>
        <w:t>1990</w:t>
      </w:r>
      <w:r>
        <w:rPr>
          <w:color w:val="231F20"/>
          <w:spacing w:val="-7"/>
        </w:rPr>
        <w:t> </w:t>
      </w:r>
      <w:r>
        <w:rPr>
          <w:color w:val="231F20"/>
        </w:rPr>
        <w:t>fue</w:t>
      </w:r>
      <w:r>
        <w:rPr>
          <w:color w:val="231F20"/>
          <w:spacing w:val="-7"/>
        </w:rPr>
        <w:t> </w:t>
      </w:r>
      <w:r>
        <w:rPr>
          <w:color w:val="231F20"/>
        </w:rPr>
        <w:t>un</w:t>
      </w:r>
      <w:r>
        <w:rPr>
          <w:color w:val="231F20"/>
          <w:spacing w:val="-7"/>
        </w:rPr>
        <w:t> </w:t>
      </w:r>
      <w:r>
        <w:rPr>
          <w:color w:val="231F20"/>
        </w:rPr>
        <w:t>parteaguas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política</w:t>
      </w:r>
      <w:r>
        <w:rPr>
          <w:color w:val="231F20"/>
          <w:spacing w:val="-7"/>
        </w:rPr>
        <w:t> </w:t>
      </w:r>
      <w:r>
        <w:rPr>
          <w:color w:val="231F20"/>
        </w:rPr>
        <w:t>pública</w:t>
      </w:r>
      <w:r>
        <w:rPr>
          <w:color w:val="231F20"/>
          <w:spacing w:val="-7"/>
        </w:rPr>
        <w:t> </w:t>
      </w:r>
      <w:r>
        <w:rPr>
          <w:color w:val="231F20"/>
        </w:rPr>
        <w:t>del</w:t>
      </w:r>
      <w:r>
        <w:rPr>
          <w:color w:val="231F20"/>
          <w:spacing w:val="-7"/>
        </w:rPr>
        <w:t> </w:t>
      </w:r>
      <w:r>
        <w:rPr>
          <w:color w:val="231F20"/>
        </w:rPr>
        <w:t>Estado</w:t>
      </w:r>
      <w:r>
        <w:rPr>
          <w:color w:val="231F20"/>
          <w:spacing w:val="-7"/>
        </w:rPr>
        <w:t> </w:t>
      </w:r>
      <w:r>
        <w:rPr>
          <w:color w:val="231F20"/>
        </w:rPr>
        <w:t>mexicano; antes de ese año las organizaciones pasaron por un periodo de invisibi- lidad; después de ese año, sus acciones fueron fuente de inspiración de políticas públicas federales y estatales caracterizadas por la cooptación y el</w:t>
      </w:r>
      <w:r>
        <w:rPr>
          <w:color w:val="231F20"/>
          <w:spacing w:val="-11"/>
        </w:rPr>
        <w:t> </w:t>
      </w:r>
      <w:r>
        <w:rPr>
          <w:color w:val="231F20"/>
        </w:rPr>
        <w:t>control</w:t>
      </w:r>
      <w:r>
        <w:rPr>
          <w:color w:val="231F20"/>
          <w:spacing w:val="-11"/>
        </w:rPr>
        <w:t> </w:t>
      </w:r>
      <w:r>
        <w:rPr>
          <w:color w:val="231F20"/>
        </w:rPr>
        <w:t>desde</w:t>
      </w:r>
      <w:r>
        <w:rPr>
          <w:color w:val="231F20"/>
          <w:spacing w:val="-11"/>
        </w:rPr>
        <w:t> </w:t>
      </w:r>
      <w:r>
        <w:rPr>
          <w:color w:val="231F20"/>
        </w:rPr>
        <w:t>arriba,</w:t>
      </w:r>
      <w:r>
        <w:rPr>
          <w:color w:val="231F20"/>
          <w:spacing w:val="-11"/>
        </w:rPr>
        <w:t> </w:t>
      </w:r>
      <w:r>
        <w:rPr>
          <w:color w:val="231F20"/>
        </w:rPr>
        <w:t>no</w:t>
      </w:r>
      <w:r>
        <w:rPr>
          <w:color w:val="231F20"/>
          <w:spacing w:val="-11"/>
        </w:rPr>
        <w:t> </w:t>
      </w:r>
      <w:r>
        <w:rPr>
          <w:color w:val="231F20"/>
        </w:rPr>
        <w:t>exenta</w:t>
      </w:r>
      <w:r>
        <w:rPr>
          <w:color w:val="231F20"/>
          <w:spacing w:val="-11"/>
        </w:rPr>
        <w:t> </w:t>
      </w:r>
      <w:r>
        <w:rPr>
          <w:color w:val="231F20"/>
        </w:rPr>
        <w:t>de</w:t>
      </w:r>
      <w:r>
        <w:rPr>
          <w:color w:val="231F20"/>
          <w:spacing w:val="-11"/>
        </w:rPr>
        <w:t> </w:t>
      </w:r>
      <w:r>
        <w:rPr>
          <w:color w:val="231F20"/>
        </w:rPr>
        <w:t>conflictos</w:t>
      </w:r>
      <w:r>
        <w:rPr>
          <w:color w:val="231F20"/>
          <w:spacing w:val="-11"/>
        </w:rPr>
        <w:t> </w:t>
      </w:r>
      <w:r>
        <w:rPr>
          <w:color w:val="231F20"/>
          <w:spacing w:val="-3"/>
        </w:rPr>
        <w:t>(Valenzuela,</w:t>
      </w:r>
      <w:r>
        <w:rPr>
          <w:color w:val="231F20"/>
          <w:spacing w:val="-12"/>
        </w:rPr>
        <w:t> </w:t>
      </w:r>
      <w:r>
        <w:rPr>
          <w:color w:val="231F20"/>
        </w:rPr>
        <w:t>2007)</w:t>
      </w:r>
      <w:r>
        <w:rPr>
          <w:color w:val="231F20"/>
          <w:spacing w:val="-11"/>
        </w:rPr>
        <w:t> </w:t>
      </w:r>
      <w:r>
        <w:rPr>
          <w:color w:val="231F20"/>
        </w:rPr>
        <w:t>al</w:t>
      </w:r>
      <w:r>
        <w:rPr>
          <w:color w:val="231F20"/>
          <w:spacing w:val="-11"/>
        </w:rPr>
        <w:t> </w:t>
      </w:r>
      <w:r>
        <w:rPr>
          <w:color w:val="231F20"/>
        </w:rPr>
        <w:t>querer imponer la normatividad a actores sociales transnacionales voluntarios sin derechos.</w:t>
      </w:r>
    </w:p>
    <w:p>
      <w:pPr>
        <w:pStyle w:val="Heading3"/>
      </w:pPr>
      <w:r>
        <w:rPr>
          <w:color w:val="231F20"/>
        </w:rPr>
        <w:t>El Programa 3x1 para migrantes en Guerrero</w:t>
      </w:r>
    </w:p>
    <w:p>
      <w:pPr>
        <w:pStyle w:val="BodyText"/>
        <w:spacing w:line="247" w:lineRule="auto" w:before="172"/>
        <w:ind w:left="117" w:right="114"/>
        <w:jc w:val="both"/>
      </w:pPr>
      <w:r>
        <w:rPr>
          <w:color w:val="231F20"/>
        </w:rPr>
        <w:t>Es conveniente hacer un análisis del Programa 3x1 para migrantes a par- tir de dos periodos: uno va de 2002 a 2004 cuando se llamaba Iniciativa Ciudadana;</w:t>
      </w:r>
      <w:r>
        <w:rPr>
          <w:color w:val="231F20"/>
          <w:spacing w:val="-4"/>
        </w:rPr>
        <w:t> </w:t>
      </w:r>
      <w:r>
        <w:rPr>
          <w:color w:val="231F20"/>
        </w:rPr>
        <w:t>el</w:t>
      </w:r>
      <w:r>
        <w:rPr>
          <w:color w:val="231F20"/>
          <w:spacing w:val="-4"/>
        </w:rPr>
        <w:t> </w:t>
      </w:r>
      <w:r>
        <w:rPr>
          <w:color w:val="231F20"/>
        </w:rPr>
        <w:t>segundo</w:t>
      </w:r>
      <w:r>
        <w:rPr>
          <w:color w:val="231F20"/>
          <w:spacing w:val="-3"/>
        </w:rPr>
        <w:t> </w:t>
      </w:r>
      <w:r>
        <w:rPr>
          <w:color w:val="231F20"/>
        </w:rPr>
        <w:t>de</w:t>
      </w:r>
      <w:r>
        <w:rPr>
          <w:color w:val="231F20"/>
          <w:spacing w:val="-4"/>
        </w:rPr>
        <w:t> </w:t>
      </w:r>
      <w:r>
        <w:rPr>
          <w:color w:val="231F20"/>
        </w:rPr>
        <w:t>2005</w:t>
      </w:r>
      <w:r>
        <w:rPr>
          <w:color w:val="231F20"/>
          <w:spacing w:val="-4"/>
        </w:rPr>
        <w:t> </w:t>
      </w:r>
      <w:r>
        <w:rPr>
          <w:color w:val="231F20"/>
        </w:rPr>
        <w:t>a</w:t>
      </w:r>
      <w:r>
        <w:rPr>
          <w:color w:val="231F20"/>
          <w:spacing w:val="-4"/>
        </w:rPr>
        <w:t> </w:t>
      </w:r>
      <w:r>
        <w:rPr>
          <w:color w:val="231F20"/>
        </w:rPr>
        <w:t>2010.</w:t>
      </w:r>
      <w:r>
        <w:rPr>
          <w:color w:val="231F20"/>
          <w:spacing w:val="-4"/>
        </w:rPr>
        <w:t> </w:t>
      </w:r>
      <w:r>
        <w:rPr>
          <w:color w:val="231F20"/>
        </w:rPr>
        <w:t>Las</w:t>
      </w:r>
      <w:r>
        <w:rPr>
          <w:color w:val="231F20"/>
          <w:spacing w:val="-4"/>
        </w:rPr>
        <w:t> </w:t>
      </w:r>
      <w:r>
        <w:rPr>
          <w:color w:val="231F20"/>
        </w:rPr>
        <w:t>razones</w:t>
      </w:r>
      <w:r>
        <w:rPr>
          <w:color w:val="231F20"/>
          <w:spacing w:val="-4"/>
        </w:rPr>
        <w:t> </w:t>
      </w:r>
      <w:r>
        <w:rPr>
          <w:color w:val="231F20"/>
        </w:rPr>
        <w:t>tienen</w:t>
      </w:r>
      <w:r>
        <w:rPr>
          <w:color w:val="231F20"/>
          <w:spacing w:val="-4"/>
        </w:rPr>
        <w:t> </w:t>
      </w:r>
      <w:r>
        <w:rPr>
          <w:color w:val="231F20"/>
        </w:rPr>
        <w:t>que</w:t>
      </w:r>
      <w:r>
        <w:rPr>
          <w:color w:val="231F20"/>
          <w:spacing w:val="-4"/>
        </w:rPr>
        <w:t> </w:t>
      </w:r>
      <w:r>
        <w:rPr>
          <w:color w:val="231F20"/>
        </w:rPr>
        <w:t>ver</w:t>
      </w:r>
      <w:r>
        <w:rPr>
          <w:color w:val="231F20"/>
          <w:spacing w:val="-4"/>
        </w:rPr>
        <w:t> </w:t>
      </w:r>
      <w:r>
        <w:rPr>
          <w:color w:val="231F20"/>
        </w:rPr>
        <w:t>con</w:t>
      </w:r>
      <w:r>
        <w:rPr>
          <w:color w:val="231F20"/>
          <w:spacing w:val="-4"/>
        </w:rPr>
        <w:t> </w:t>
      </w:r>
      <w:r>
        <w:rPr>
          <w:color w:val="231F20"/>
        </w:rPr>
        <w:t>los periodos</w:t>
      </w:r>
      <w:r>
        <w:rPr>
          <w:color w:val="231F20"/>
          <w:spacing w:val="-9"/>
        </w:rPr>
        <w:t> </w:t>
      </w:r>
      <w:r>
        <w:rPr>
          <w:color w:val="231F20"/>
        </w:rPr>
        <w:t>de</w:t>
      </w:r>
      <w:r>
        <w:rPr>
          <w:color w:val="231F20"/>
          <w:spacing w:val="-9"/>
        </w:rPr>
        <w:t> </w:t>
      </w:r>
      <w:r>
        <w:rPr>
          <w:color w:val="231F20"/>
        </w:rPr>
        <w:t>dos</w:t>
      </w:r>
      <w:r>
        <w:rPr>
          <w:color w:val="231F20"/>
          <w:spacing w:val="-9"/>
        </w:rPr>
        <w:t> </w:t>
      </w:r>
      <w:r>
        <w:rPr>
          <w:color w:val="231F20"/>
        </w:rPr>
        <w:t>gobiernos</w:t>
      </w:r>
      <w:r>
        <w:rPr>
          <w:color w:val="231F20"/>
          <w:spacing w:val="-9"/>
        </w:rPr>
        <w:t> </w:t>
      </w:r>
      <w:r>
        <w:rPr>
          <w:color w:val="231F20"/>
        </w:rPr>
        <w:t>estatales,</w:t>
      </w:r>
      <w:r>
        <w:rPr>
          <w:color w:val="231F20"/>
          <w:spacing w:val="-9"/>
        </w:rPr>
        <w:t> </w:t>
      </w:r>
      <w:r>
        <w:rPr>
          <w:color w:val="231F20"/>
        </w:rPr>
        <w:t>sin</w:t>
      </w:r>
      <w:r>
        <w:rPr>
          <w:color w:val="231F20"/>
          <w:spacing w:val="-8"/>
        </w:rPr>
        <w:t> </w:t>
      </w:r>
      <w:r>
        <w:rPr>
          <w:color w:val="231F20"/>
        </w:rPr>
        <w:t>que</w:t>
      </w:r>
      <w:r>
        <w:rPr>
          <w:color w:val="231F20"/>
          <w:spacing w:val="-9"/>
        </w:rPr>
        <w:t> </w:t>
      </w:r>
      <w:r>
        <w:rPr>
          <w:color w:val="231F20"/>
        </w:rPr>
        <w:t>ello</w:t>
      </w:r>
      <w:r>
        <w:rPr>
          <w:color w:val="231F20"/>
          <w:spacing w:val="-9"/>
        </w:rPr>
        <w:t> </w:t>
      </w:r>
      <w:r>
        <w:rPr>
          <w:color w:val="231F20"/>
        </w:rPr>
        <w:t>implique</w:t>
      </w:r>
      <w:r>
        <w:rPr>
          <w:color w:val="231F20"/>
          <w:spacing w:val="-9"/>
        </w:rPr>
        <w:t> </w:t>
      </w:r>
      <w:r>
        <w:rPr>
          <w:color w:val="231F20"/>
        </w:rPr>
        <w:t>hacer</w:t>
      </w:r>
      <w:r>
        <w:rPr>
          <w:color w:val="231F20"/>
          <w:spacing w:val="-9"/>
        </w:rPr>
        <w:t> </w:t>
      </w:r>
      <w:r>
        <w:rPr>
          <w:color w:val="231F20"/>
        </w:rPr>
        <w:t>un</w:t>
      </w:r>
      <w:r>
        <w:rPr>
          <w:color w:val="231F20"/>
          <w:spacing w:val="-9"/>
        </w:rPr>
        <w:t> </w:t>
      </w:r>
      <w:r>
        <w:rPr>
          <w:color w:val="231F20"/>
        </w:rPr>
        <w:t>balance programático más allá de la temática objeto de</w:t>
      </w:r>
      <w:r>
        <w:rPr>
          <w:color w:val="231F20"/>
          <w:spacing w:val="-3"/>
        </w:rPr>
        <w:t> </w:t>
      </w:r>
      <w:r>
        <w:rPr>
          <w:color w:val="231F20"/>
        </w:rPr>
        <w:t>estudio.</w:t>
      </w:r>
    </w:p>
    <w:p>
      <w:pPr>
        <w:spacing w:before="149"/>
        <w:ind w:left="117" w:right="0" w:firstLine="0"/>
        <w:jc w:val="both"/>
        <w:rPr>
          <w:i/>
          <w:sz w:val="22"/>
        </w:rPr>
      </w:pPr>
      <w:r>
        <w:rPr>
          <w:i/>
          <w:color w:val="231F20"/>
          <w:sz w:val="22"/>
        </w:rPr>
        <w:t>Periodo 2002-2004</w:t>
      </w:r>
    </w:p>
    <w:p>
      <w:pPr>
        <w:pStyle w:val="BodyText"/>
        <w:spacing w:line="247" w:lineRule="auto" w:before="177"/>
        <w:ind w:left="117" w:right="115"/>
        <w:jc w:val="both"/>
      </w:pPr>
      <w:r>
        <w:rPr>
          <w:color w:val="231F20"/>
        </w:rPr>
        <w:t>En el 2002 se realizaron 15 obras en beneficio de dos de las siete regiones del estado de Guerrero. En la región norte se beneficiaron 14 localidades procedentes de siete municipios:</w:t>
      </w:r>
    </w:p>
    <w:p>
      <w:pPr>
        <w:pStyle w:val="ListParagraph"/>
        <w:numPr>
          <w:ilvl w:val="0"/>
          <w:numId w:val="3"/>
        </w:numPr>
        <w:tabs>
          <w:tab w:pos="478" w:val="left" w:leader="none"/>
        </w:tabs>
        <w:spacing w:line="247" w:lineRule="auto" w:before="169" w:after="0"/>
        <w:ind w:left="477" w:right="114" w:hanging="360"/>
        <w:jc w:val="left"/>
        <w:rPr>
          <w:sz w:val="22"/>
        </w:rPr>
      </w:pPr>
      <w:r>
        <w:rPr>
          <w:color w:val="231F20"/>
          <w:sz w:val="22"/>
        </w:rPr>
        <w:t>Metlapa, Ahehuepan y Álvaro Obregón, pertenecientes al municipio de Iguala de la Independencia.</w:t>
      </w:r>
    </w:p>
    <w:p>
      <w:pPr>
        <w:pStyle w:val="ListParagraph"/>
        <w:numPr>
          <w:ilvl w:val="0"/>
          <w:numId w:val="3"/>
        </w:numPr>
        <w:tabs>
          <w:tab w:pos="478" w:val="left" w:leader="none"/>
        </w:tabs>
        <w:spacing w:line="247" w:lineRule="auto" w:before="0" w:after="0"/>
        <w:ind w:left="477" w:right="712" w:hanging="360"/>
        <w:jc w:val="left"/>
        <w:rPr>
          <w:sz w:val="22"/>
        </w:rPr>
      </w:pPr>
      <w:r>
        <w:rPr>
          <w:color w:val="231F20"/>
          <w:sz w:val="22"/>
        </w:rPr>
        <w:t>Teucizapan,</w:t>
      </w:r>
      <w:r>
        <w:rPr>
          <w:color w:val="231F20"/>
          <w:spacing w:val="-41"/>
          <w:sz w:val="22"/>
        </w:rPr>
        <w:t> </w:t>
      </w:r>
      <w:r>
        <w:rPr>
          <w:color w:val="231F20"/>
          <w:sz w:val="22"/>
        </w:rPr>
        <w:t>Amealco y El Potrero del municipio Ixcateopan de Cuauhtémoc.</w:t>
      </w:r>
    </w:p>
    <w:p>
      <w:pPr>
        <w:spacing w:after="0" w:line="247" w:lineRule="auto"/>
        <w:jc w:val="left"/>
        <w:rPr>
          <w:sz w:val="22"/>
        </w:rPr>
        <w:sectPr>
          <w:pgSz w:w="9360" w:h="13040"/>
          <w:pgMar w:header="0" w:footer="496" w:top="800" w:bottom="680" w:left="1300" w:right="1300"/>
        </w:sectPr>
      </w:pPr>
    </w:p>
    <w:p>
      <w:pPr>
        <w:spacing w:before="45"/>
        <w:ind w:left="207" w:right="117" w:firstLine="0"/>
        <w:jc w:val="left"/>
        <w:rPr>
          <w:rFonts w:ascii="Arial" w:hAnsi="Arial"/>
          <w:sz w:val="20"/>
        </w:rPr>
      </w:pPr>
      <w:r>
        <w:rPr>
          <w:rFonts w:ascii="Arial" w:hAnsi="Arial"/>
          <w:color w:val="231F20"/>
          <w:w w:val="70"/>
          <w:sz w:val="20"/>
        </w:rPr>
        <w:t>Políticas públicas de la migración transnacional entre México y Estados Unidos /Alejandro  Díaz-Garay</w:t>
      </w:r>
    </w:p>
    <w:p>
      <w:pPr>
        <w:pStyle w:val="BodyText"/>
        <w:spacing w:before="7"/>
        <w:rPr>
          <w:rFonts w:ascii="Arial"/>
          <w:sz w:val="28"/>
        </w:rPr>
      </w:pPr>
    </w:p>
    <w:p>
      <w:pPr>
        <w:pStyle w:val="ListParagraph"/>
        <w:numPr>
          <w:ilvl w:val="0"/>
          <w:numId w:val="3"/>
        </w:numPr>
        <w:tabs>
          <w:tab w:pos="478" w:val="left" w:leader="none"/>
        </w:tabs>
        <w:spacing w:line="240" w:lineRule="auto" w:before="0" w:after="0"/>
        <w:ind w:left="477" w:right="0" w:hanging="360"/>
        <w:jc w:val="left"/>
        <w:rPr>
          <w:sz w:val="22"/>
        </w:rPr>
      </w:pPr>
      <w:r>
        <w:rPr>
          <w:color w:val="231F20"/>
          <w:sz w:val="22"/>
        </w:rPr>
        <w:t>Icatepec,</w:t>
      </w:r>
      <w:r>
        <w:rPr>
          <w:color w:val="231F20"/>
          <w:spacing w:val="-7"/>
          <w:sz w:val="22"/>
        </w:rPr>
        <w:t> </w:t>
      </w:r>
      <w:r>
        <w:rPr>
          <w:color w:val="231F20"/>
          <w:sz w:val="22"/>
        </w:rPr>
        <w:t>Temaxcalapa</w:t>
      </w:r>
      <w:r>
        <w:rPr>
          <w:color w:val="231F20"/>
          <w:spacing w:val="-4"/>
          <w:sz w:val="22"/>
        </w:rPr>
        <w:t> </w:t>
      </w:r>
      <w:r>
        <w:rPr>
          <w:color w:val="231F20"/>
          <w:sz w:val="22"/>
        </w:rPr>
        <w:t>y</w:t>
      </w:r>
      <w:r>
        <w:rPr>
          <w:color w:val="231F20"/>
          <w:spacing w:val="-3"/>
          <w:sz w:val="22"/>
        </w:rPr>
        <w:t> </w:t>
      </w:r>
      <w:r>
        <w:rPr>
          <w:color w:val="231F20"/>
          <w:sz w:val="22"/>
        </w:rPr>
        <w:t>Landa</w:t>
      </w:r>
      <w:r>
        <w:rPr>
          <w:color w:val="231F20"/>
          <w:spacing w:val="-4"/>
          <w:sz w:val="22"/>
        </w:rPr>
        <w:t> </w:t>
      </w:r>
      <w:r>
        <w:rPr>
          <w:color w:val="231F20"/>
          <w:sz w:val="22"/>
        </w:rPr>
        <w:t>Uno</w:t>
      </w:r>
      <w:r>
        <w:rPr>
          <w:color w:val="231F20"/>
          <w:spacing w:val="-3"/>
          <w:sz w:val="22"/>
        </w:rPr>
        <w:t> </w:t>
      </w:r>
      <w:r>
        <w:rPr>
          <w:color w:val="231F20"/>
          <w:sz w:val="22"/>
        </w:rPr>
        <w:t>de</w:t>
      </w:r>
      <w:r>
        <w:rPr>
          <w:color w:val="231F20"/>
          <w:spacing w:val="-8"/>
          <w:sz w:val="22"/>
        </w:rPr>
        <w:t> </w:t>
      </w:r>
      <w:r>
        <w:rPr>
          <w:color w:val="231F20"/>
          <w:spacing w:val="-4"/>
          <w:sz w:val="22"/>
        </w:rPr>
        <w:t>Taxco </w:t>
      </w:r>
      <w:r>
        <w:rPr>
          <w:color w:val="231F20"/>
          <w:sz w:val="22"/>
        </w:rPr>
        <w:t>de</w:t>
      </w:r>
      <w:r>
        <w:rPr>
          <w:color w:val="231F20"/>
          <w:spacing w:val="-16"/>
          <w:sz w:val="22"/>
        </w:rPr>
        <w:t> </w:t>
      </w:r>
      <w:r>
        <w:rPr>
          <w:color w:val="231F20"/>
          <w:sz w:val="22"/>
        </w:rPr>
        <w:t>Alarcón.</w:t>
      </w:r>
    </w:p>
    <w:p>
      <w:pPr>
        <w:pStyle w:val="ListParagraph"/>
        <w:numPr>
          <w:ilvl w:val="0"/>
          <w:numId w:val="3"/>
        </w:numPr>
        <w:tabs>
          <w:tab w:pos="478" w:val="left" w:leader="none"/>
        </w:tabs>
        <w:spacing w:line="240" w:lineRule="auto" w:before="7" w:after="0"/>
        <w:ind w:left="477" w:right="0" w:hanging="360"/>
        <w:jc w:val="left"/>
        <w:rPr>
          <w:sz w:val="22"/>
        </w:rPr>
      </w:pPr>
      <w:r>
        <w:rPr>
          <w:color w:val="231F20"/>
          <w:sz w:val="22"/>
        </w:rPr>
        <w:t>Xonacatla y Cuetzala de la Reforma de Cocula.</w:t>
      </w:r>
    </w:p>
    <w:p>
      <w:pPr>
        <w:pStyle w:val="ListParagraph"/>
        <w:numPr>
          <w:ilvl w:val="0"/>
          <w:numId w:val="3"/>
        </w:numPr>
        <w:tabs>
          <w:tab w:pos="478" w:val="left" w:leader="none"/>
        </w:tabs>
        <w:spacing w:line="240" w:lineRule="auto" w:before="7" w:after="0"/>
        <w:ind w:left="477" w:right="0" w:hanging="360"/>
        <w:jc w:val="left"/>
        <w:rPr>
          <w:sz w:val="22"/>
        </w:rPr>
      </w:pPr>
      <w:r>
        <w:rPr>
          <w:color w:val="231F20"/>
          <w:sz w:val="22"/>
        </w:rPr>
        <w:t>Tlatzala del municipio de Apaxtla de</w:t>
      </w:r>
      <w:r>
        <w:rPr>
          <w:color w:val="231F20"/>
          <w:spacing w:val="-21"/>
          <w:sz w:val="22"/>
        </w:rPr>
        <w:t> </w:t>
      </w:r>
      <w:r>
        <w:rPr>
          <w:color w:val="231F20"/>
          <w:sz w:val="22"/>
        </w:rPr>
        <w:t>Castrejón.</w:t>
      </w:r>
    </w:p>
    <w:p>
      <w:pPr>
        <w:pStyle w:val="ListParagraph"/>
        <w:numPr>
          <w:ilvl w:val="0"/>
          <w:numId w:val="3"/>
        </w:numPr>
        <w:tabs>
          <w:tab w:pos="478" w:val="left" w:leader="none"/>
        </w:tabs>
        <w:spacing w:line="240" w:lineRule="auto" w:before="7" w:after="0"/>
        <w:ind w:left="477" w:right="0" w:hanging="360"/>
        <w:jc w:val="left"/>
        <w:rPr>
          <w:sz w:val="22"/>
        </w:rPr>
      </w:pPr>
      <w:r>
        <w:rPr>
          <w:color w:val="231F20"/>
          <w:sz w:val="22"/>
        </w:rPr>
        <w:t>Los Sauces de</w:t>
      </w:r>
      <w:r>
        <w:rPr>
          <w:color w:val="231F20"/>
          <w:spacing w:val="-26"/>
          <w:sz w:val="22"/>
        </w:rPr>
        <w:t> </w:t>
      </w:r>
      <w:r>
        <w:rPr>
          <w:color w:val="231F20"/>
          <w:sz w:val="22"/>
        </w:rPr>
        <w:t>Teloloapan.</w:t>
      </w:r>
    </w:p>
    <w:p>
      <w:pPr>
        <w:pStyle w:val="ListParagraph"/>
        <w:numPr>
          <w:ilvl w:val="0"/>
          <w:numId w:val="3"/>
        </w:numPr>
        <w:tabs>
          <w:tab w:pos="478" w:val="left" w:leader="none"/>
        </w:tabs>
        <w:spacing w:line="240" w:lineRule="auto" w:before="7" w:after="0"/>
        <w:ind w:left="477" w:right="0" w:hanging="360"/>
        <w:jc w:val="left"/>
        <w:rPr>
          <w:sz w:val="22"/>
        </w:rPr>
      </w:pPr>
      <w:r>
        <w:rPr>
          <w:color w:val="231F20"/>
          <w:sz w:val="22"/>
        </w:rPr>
        <w:t>Sasamulco</w:t>
      </w:r>
      <w:r>
        <w:rPr>
          <w:color w:val="231F20"/>
          <w:spacing w:val="-9"/>
          <w:sz w:val="22"/>
        </w:rPr>
        <w:t> </w:t>
      </w:r>
      <w:r>
        <w:rPr>
          <w:color w:val="231F20"/>
          <w:sz w:val="22"/>
        </w:rPr>
        <w:t>de</w:t>
      </w:r>
      <w:r>
        <w:rPr>
          <w:color w:val="231F20"/>
          <w:spacing w:val="-12"/>
          <w:sz w:val="22"/>
        </w:rPr>
        <w:t> </w:t>
      </w:r>
      <w:r>
        <w:rPr>
          <w:color w:val="231F20"/>
          <w:sz w:val="22"/>
        </w:rPr>
        <w:t>Tepecoacuilco</w:t>
      </w:r>
      <w:r>
        <w:rPr>
          <w:color w:val="231F20"/>
          <w:spacing w:val="-10"/>
          <w:sz w:val="22"/>
        </w:rPr>
        <w:t> </w:t>
      </w:r>
      <w:r>
        <w:rPr>
          <w:color w:val="231F20"/>
          <w:sz w:val="22"/>
        </w:rPr>
        <w:t>de</w:t>
      </w:r>
      <w:r>
        <w:rPr>
          <w:color w:val="231F20"/>
          <w:spacing w:val="-12"/>
          <w:sz w:val="22"/>
        </w:rPr>
        <w:t> </w:t>
      </w:r>
      <w:r>
        <w:rPr>
          <w:color w:val="231F20"/>
          <w:sz w:val="22"/>
        </w:rPr>
        <w:t>Trujano.</w:t>
      </w:r>
    </w:p>
    <w:p>
      <w:pPr>
        <w:pStyle w:val="BodyText"/>
        <w:spacing w:line="247" w:lineRule="auto" w:before="177"/>
        <w:ind w:left="117" w:right="114" w:firstLine="283"/>
        <w:jc w:val="both"/>
      </w:pPr>
      <w:r>
        <w:rPr>
          <w:color w:val="231F20"/>
        </w:rPr>
        <w:t>La segunda región fue la centro, con una obra en Chichihualco, mu- nicipio de Leonardo Bravo. El monto total de las inversiones fue de 14.5 millones de pesos; 37 por ciento correspondió al gobierno federal, 37 por ciento al estatal y 25 por ciento a los migrantes; la participación del go- bierno municipal fue nula. Este comportamiento atípico de los gobiernos locales de Guerrero en la participación del Programa Iniciativa Ciudadana contrasta con la realidad nacional.</w:t>
      </w:r>
    </w:p>
    <w:p>
      <w:pPr>
        <w:pStyle w:val="BodyText"/>
        <w:spacing w:line="247" w:lineRule="auto"/>
        <w:ind w:left="117" w:right="114" w:firstLine="283"/>
        <w:jc w:val="both"/>
      </w:pPr>
      <w:r>
        <w:rPr>
          <w:color w:val="231F20"/>
        </w:rPr>
        <w:t>El</w:t>
      </w:r>
      <w:r>
        <w:rPr>
          <w:color w:val="231F20"/>
          <w:spacing w:val="-6"/>
        </w:rPr>
        <w:t> </w:t>
      </w:r>
      <w:r>
        <w:rPr>
          <w:color w:val="231F20"/>
        </w:rPr>
        <w:t>desarrollo</w:t>
      </w:r>
      <w:r>
        <w:rPr>
          <w:color w:val="231F20"/>
          <w:spacing w:val="-6"/>
        </w:rPr>
        <w:t> </w:t>
      </w:r>
      <w:r>
        <w:rPr>
          <w:color w:val="231F20"/>
        </w:rPr>
        <w:t>local</w:t>
      </w:r>
      <w:r>
        <w:rPr>
          <w:color w:val="231F20"/>
          <w:spacing w:val="-6"/>
        </w:rPr>
        <w:t> </w:t>
      </w:r>
      <w:r>
        <w:rPr>
          <w:color w:val="231F20"/>
        </w:rPr>
        <w:t>desde</w:t>
      </w:r>
      <w:r>
        <w:rPr>
          <w:color w:val="231F20"/>
          <w:spacing w:val="-6"/>
        </w:rPr>
        <w:t> </w:t>
      </w:r>
      <w:r>
        <w:rPr>
          <w:color w:val="231F20"/>
        </w:rPr>
        <w:t>la</w:t>
      </w:r>
      <w:r>
        <w:rPr>
          <w:color w:val="231F20"/>
          <w:spacing w:val="-6"/>
        </w:rPr>
        <w:t> </w:t>
      </w:r>
      <w:r>
        <w:rPr>
          <w:color w:val="231F20"/>
        </w:rPr>
        <w:t>visión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migrantes</w:t>
      </w:r>
      <w:r>
        <w:rPr>
          <w:color w:val="231F20"/>
          <w:spacing w:val="-7"/>
        </w:rPr>
        <w:t> </w:t>
      </w:r>
      <w:r>
        <w:rPr>
          <w:color w:val="231F20"/>
        </w:rPr>
        <w:t>puede</w:t>
      </w:r>
      <w:r>
        <w:rPr>
          <w:color w:val="231F20"/>
          <w:spacing w:val="-6"/>
        </w:rPr>
        <w:t> </w:t>
      </w:r>
      <w:r>
        <w:rPr>
          <w:color w:val="231F20"/>
        </w:rPr>
        <w:t>ser</w:t>
      </w:r>
      <w:r>
        <w:rPr>
          <w:color w:val="231F20"/>
          <w:spacing w:val="-6"/>
        </w:rPr>
        <w:t> </w:t>
      </w:r>
      <w:r>
        <w:rPr>
          <w:color w:val="231F20"/>
        </w:rPr>
        <w:t>entendido a</w:t>
      </w:r>
      <w:r>
        <w:rPr>
          <w:color w:val="231F20"/>
          <w:spacing w:val="-9"/>
        </w:rPr>
        <w:t> </w:t>
      </w:r>
      <w:r>
        <w:rPr>
          <w:color w:val="231F20"/>
        </w:rPr>
        <w:t>partir</w:t>
      </w:r>
      <w:r>
        <w:rPr>
          <w:color w:val="231F20"/>
          <w:spacing w:val="-9"/>
        </w:rPr>
        <w:t> </w:t>
      </w:r>
      <w:r>
        <w:rPr>
          <w:color w:val="231F20"/>
        </w:rPr>
        <w:t>del</w:t>
      </w:r>
      <w:r>
        <w:rPr>
          <w:color w:val="231F20"/>
          <w:spacing w:val="-9"/>
        </w:rPr>
        <w:t> </w:t>
      </w:r>
      <w:r>
        <w:rPr>
          <w:color w:val="231F20"/>
        </w:rPr>
        <w:t>tipo</w:t>
      </w:r>
      <w:r>
        <w:rPr>
          <w:color w:val="231F20"/>
          <w:spacing w:val="-9"/>
        </w:rPr>
        <w:t> </w:t>
      </w:r>
      <w:r>
        <w:rPr>
          <w:color w:val="231F20"/>
        </w:rPr>
        <w:t>de</w:t>
      </w:r>
      <w:r>
        <w:rPr>
          <w:color w:val="231F20"/>
          <w:spacing w:val="-9"/>
        </w:rPr>
        <w:t> </w:t>
      </w:r>
      <w:r>
        <w:rPr>
          <w:color w:val="231F20"/>
        </w:rPr>
        <w:t>obra</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lleva</w:t>
      </w:r>
      <w:r>
        <w:rPr>
          <w:color w:val="231F20"/>
          <w:spacing w:val="-9"/>
        </w:rPr>
        <w:t> </w:t>
      </w:r>
      <w:r>
        <w:rPr>
          <w:color w:val="231F20"/>
        </w:rPr>
        <w:t>a</w:t>
      </w:r>
      <w:r>
        <w:rPr>
          <w:color w:val="231F20"/>
          <w:spacing w:val="-9"/>
        </w:rPr>
        <w:t> </w:t>
      </w:r>
      <w:r>
        <w:rPr>
          <w:color w:val="231F20"/>
        </w:rPr>
        <w:t>unirse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extranjero</w:t>
      </w:r>
      <w:r>
        <w:rPr>
          <w:color w:val="231F20"/>
          <w:spacing w:val="-9"/>
        </w:rPr>
        <w:t> </w:t>
      </w:r>
      <w:r>
        <w:rPr>
          <w:color w:val="231F20"/>
        </w:rPr>
        <w:t>para</w:t>
      </w:r>
      <w:r>
        <w:rPr>
          <w:color w:val="231F20"/>
          <w:spacing w:val="-9"/>
        </w:rPr>
        <w:t> </w:t>
      </w:r>
      <w:r>
        <w:rPr>
          <w:color w:val="231F20"/>
        </w:rPr>
        <w:t>recaudar fondos: dos fueron para introducir un sistema de agua potable, cuatro para pavimentar caminos rurales, cuatro más para pavimentar calles, una para construir una clínica de salud. Lo anterior revela problemas de margina- ción en </w:t>
      </w:r>
      <w:r>
        <w:rPr>
          <w:color w:val="231F20"/>
          <w:spacing w:val="-5"/>
        </w:rPr>
        <w:t>11 </w:t>
      </w:r>
      <w:r>
        <w:rPr>
          <w:color w:val="231F20"/>
        </w:rPr>
        <w:t>de las 15 obras. Construcción de la plaza del pueblo y remode- lación de la plaza cívica, indica la demanda por espacios de socialización; remodelación de la iglesia tiene por motivación las necesidades espiritua- les</w:t>
      </w:r>
      <w:r>
        <w:rPr>
          <w:color w:val="231F20"/>
          <w:spacing w:val="-9"/>
        </w:rPr>
        <w:t> </w:t>
      </w:r>
      <w:r>
        <w:rPr>
          <w:color w:val="231F20"/>
        </w:rPr>
        <w:t>y</w:t>
      </w:r>
      <w:r>
        <w:rPr>
          <w:color w:val="231F20"/>
          <w:spacing w:val="-9"/>
        </w:rPr>
        <w:t> </w:t>
      </w:r>
      <w:r>
        <w:rPr>
          <w:color w:val="231F20"/>
        </w:rPr>
        <w:t>construcción</w:t>
      </w:r>
      <w:r>
        <w:rPr>
          <w:color w:val="231F20"/>
          <w:spacing w:val="-9"/>
        </w:rPr>
        <w:t> </w:t>
      </w:r>
      <w:r>
        <w:rPr>
          <w:color w:val="231F20"/>
        </w:rPr>
        <w:t>de</w:t>
      </w:r>
      <w:r>
        <w:rPr>
          <w:color w:val="231F20"/>
          <w:spacing w:val="-9"/>
        </w:rPr>
        <w:t> </w:t>
      </w:r>
      <w:r>
        <w:rPr>
          <w:color w:val="231F20"/>
        </w:rPr>
        <w:t>gradas</w:t>
      </w:r>
      <w:r>
        <w:rPr>
          <w:color w:val="231F20"/>
          <w:spacing w:val="-9"/>
        </w:rPr>
        <w:t> </w:t>
      </w:r>
      <w:r>
        <w:rPr>
          <w:color w:val="231F20"/>
        </w:rPr>
        <w:t>para</w:t>
      </w:r>
      <w:r>
        <w:rPr>
          <w:color w:val="231F20"/>
          <w:spacing w:val="-9"/>
        </w:rPr>
        <w:t> </w:t>
      </w:r>
      <w:r>
        <w:rPr>
          <w:color w:val="231F20"/>
        </w:rPr>
        <w:t>un</w:t>
      </w:r>
      <w:r>
        <w:rPr>
          <w:color w:val="231F20"/>
          <w:spacing w:val="-9"/>
        </w:rPr>
        <w:t> </w:t>
      </w:r>
      <w:r>
        <w:rPr>
          <w:color w:val="231F20"/>
        </w:rPr>
        <w:t>corral</w:t>
      </w:r>
      <w:r>
        <w:rPr>
          <w:color w:val="231F20"/>
          <w:spacing w:val="-9"/>
        </w:rPr>
        <w:t> </w:t>
      </w:r>
      <w:r>
        <w:rPr>
          <w:color w:val="231F20"/>
        </w:rPr>
        <w:t>de</w:t>
      </w:r>
      <w:r>
        <w:rPr>
          <w:color w:val="231F20"/>
          <w:spacing w:val="-9"/>
        </w:rPr>
        <w:t> </w:t>
      </w:r>
      <w:r>
        <w:rPr>
          <w:color w:val="231F20"/>
        </w:rPr>
        <w:t>toros</w:t>
      </w:r>
      <w:r>
        <w:rPr>
          <w:color w:val="231F20"/>
          <w:spacing w:val="-9"/>
        </w:rPr>
        <w:t> </w:t>
      </w:r>
      <w:r>
        <w:rPr>
          <w:color w:val="231F20"/>
        </w:rPr>
        <w:t>habla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importancia de la fiesta para estos</w:t>
      </w:r>
      <w:r>
        <w:rPr>
          <w:color w:val="231F20"/>
          <w:spacing w:val="-12"/>
        </w:rPr>
        <w:t> </w:t>
      </w:r>
      <w:r>
        <w:rPr>
          <w:color w:val="231F20"/>
        </w:rPr>
        <w:t>pueblos.</w:t>
      </w:r>
    </w:p>
    <w:p>
      <w:pPr>
        <w:pStyle w:val="BodyText"/>
        <w:spacing w:line="247" w:lineRule="auto"/>
        <w:ind w:left="117" w:right="114" w:firstLine="283"/>
        <w:jc w:val="both"/>
      </w:pPr>
      <w:r>
        <w:rPr>
          <w:color w:val="231F20"/>
        </w:rPr>
        <w:t>Para</w:t>
      </w:r>
      <w:r>
        <w:rPr>
          <w:color w:val="231F20"/>
          <w:spacing w:val="-5"/>
        </w:rPr>
        <w:t> </w:t>
      </w:r>
      <w:r>
        <w:rPr>
          <w:color w:val="231F20"/>
        </w:rPr>
        <w:t>2003,</w:t>
      </w:r>
      <w:r>
        <w:rPr>
          <w:color w:val="231F20"/>
          <w:spacing w:val="-5"/>
        </w:rPr>
        <w:t> </w:t>
      </w:r>
      <w:r>
        <w:rPr>
          <w:color w:val="231F20"/>
        </w:rPr>
        <w:t>el</w:t>
      </w:r>
      <w:r>
        <w:rPr>
          <w:color w:val="231F20"/>
          <w:spacing w:val="-5"/>
        </w:rPr>
        <w:t> </w:t>
      </w:r>
      <w:r>
        <w:rPr>
          <w:color w:val="231F20"/>
        </w:rPr>
        <w:t>escaso</w:t>
      </w:r>
      <w:r>
        <w:rPr>
          <w:color w:val="231F20"/>
          <w:spacing w:val="-5"/>
        </w:rPr>
        <w:t> </w:t>
      </w:r>
      <w:r>
        <w:rPr>
          <w:color w:val="231F20"/>
        </w:rPr>
        <w:t>presupuesto</w:t>
      </w:r>
      <w:r>
        <w:rPr>
          <w:color w:val="231F20"/>
          <w:spacing w:val="-5"/>
        </w:rPr>
        <w:t> </w:t>
      </w:r>
      <w:r>
        <w:rPr>
          <w:color w:val="231F20"/>
        </w:rPr>
        <w:t>destinado</w:t>
      </w:r>
      <w:r>
        <w:rPr>
          <w:color w:val="231F20"/>
          <w:spacing w:val="-5"/>
        </w:rPr>
        <w:t> </w:t>
      </w:r>
      <w:r>
        <w:rPr>
          <w:color w:val="231F20"/>
        </w:rPr>
        <w:t>al</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rPr>
        <w:t>Guerrero</w:t>
      </w:r>
      <w:r>
        <w:rPr>
          <w:color w:val="231F20"/>
          <w:spacing w:val="-5"/>
        </w:rPr>
        <w:t> </w:t>
      </w:r>
      <w:r>
        <w:rPr>
          <w:color w:val="231F20"/>
        </w:rPr>
        <w:t>se</w:t>
      </w:r>
      <w:r>
        <w:rPr>
          <w:color w:val="231F20"/>
          <w:spacing w:val="-5"/>
        </w:rPr>
        <w:t> </w:t>
      </w:r>
      <w:r>
        <w:rPr>
          <w:color w:val="231F20"/>
        </w:rPr>
        <w:t>re- dujo</w:t>
      </w:r>
      <w:r>
        <w:rPr>
          <w:color w:val="231F20"/>
          <w:spacing w:val="-4"/>
        </w:rPr>
        <w:t> </w:t>
      </w:r>
      <w:r>
        <w:rPr>
          <w:color w:val="231F20"/>
        </w:rPr>
        <w:t>a</w:t>
      </w:r>
      <w:r>
        <w:rPr>
          <w:color w:val="231F20"/>
          <w:spacing w:val="-4"/>
        </w:rPr>
        <w:t> </w:t>
      </w:r>
      <w:r>
        <w:rPr>
          <w:color w:val="231F20"/>
        </w:rPr>
        <w:t>8.5</w:t>
      </w:r>
      <w:r>
        <w:rPr>
          <w:color w:val="231F20"/>
          <w:spacing w:val="-4"/>
        </w:rPr>
        <w:t> </w:t>
      </w:r>
      <w:r>
        <w:rPr>
          <w:color w:val="231F20"/>
        </w:rPr>
        <w:t>millones</w:t>
      </w:r>
      <w:r>
        <w:rPr>
          <w:color w:val="231F20"/>
          <w:spacing w:val="-5"/>
        </w:rPr>
        <w:t> </w:t>
      </w:r>
      <w:r>
        <w:rPr>
          <w:color w:val="231F20"/>
        </w:rPr>
        <w:t>de</w:t>
      </w:r>
      <w:r>
        <w:rPr>
          <w:color w:val="231F20"/>
          <w:spacing w:val="-4"/>
        </w:rPr>
        <w:t> </w:t>
      </w:r>
      <w:r>
        <w:rPr>
          <w:color w:val="231F20"/>
        </w:rPr>
        <w:t>pesos,</w:t>
      </w:r>
      <w:r>
        <w:rPr>
          <w:color w:val="231F20"/>
          <w:spacing w:val="-4"/>
        </w:rPr>
        <w:t> </w:t>
      </w:r>
      <w:r>
        <w:rPr>
          <w:color w:val="231F20"/>
        </w:rPr>
        <w:t>equivalente</w:t>
      </w:r>
      <w:r>
        <w:rPr>
          <w:color w:val="231F20"/>
          <w:spacing w:val="-5"/>
        </w:rPr>
        <w:t> </w:t>
      </w:r>
      <w:r>
        <w:rPr>
          <w:color w:val="231F20"/>
        </w:rPr>
        <w:t>a</w:t>
      </w:r>
      <w:r>
        <w:rPr>
          <w:color w:val="231F20"/>
          <w:spacing w:val="-4"/>
        </w:rPr>
        <w:t> </w:t>
      </w:r>
      <w:r>
        <w:rPr>
          <w:color w:val="231F20"/>
        </w:rPr>
        <w:t>41.6</w:t>
      </w:r>
      <w:r>
        <w:rPr>
          <w:color w:val="231F20"/>
          <w:spacing w:val="-4"/>
        </w:rPr>
        <w:t> </w:t>
      </w:r>
      <w:r>
        <w:rPr>
          <w:color w:val="231F20"/>
        </w:rPr>
        <w:t>por</w:t>
      </w:r>
      <w:r>
        <w:rPr>
          <w:color w:val="231F20"/>
          <w:spacing w:val="-4"/>
        </w:rPr>
        <w:t> </w:t>
      </w:r>
      <w:r>
        <w:rPr>
          <w:color w:val="231F20"/>
        </w:rPr>
        <w:t>ciento</w:t>
      </w:r>
      <w:r>
        <w:rPr>
          <w:color w:val="231F20"/>
          <w:spacing w:val="-5"/>
        </w:rPr>
        <w:t> </w:t>
      </w:r>
      <w:r>
        <w:rPr>
          <w:color w:val="231F20"/>
        </w:rPr>
        <w:t>menos</w:t>
      </w:r>
      <w:r>
        <w:rPr>
          <w:color w:val="231F20"/>
          <w:spacing w:val="-5"/>
        </w:rPr>
        <w:t> </w:t>
      </w:r>
      <w:r>
        <w:rPr>
          <w:color w:val="231F20"/>
        </w:rPr>
        <w:t>respecto al primer año de iniciado el Programa. El esquema financiero siguió en desequilibrio: 35.7 por ciento de participación federal, 37.6 por ciento del estatal; 2.4 por ciento el municipal y 24.4 por ciento los migrantes. Se im- pulsaron seis obras; todas de localidades pertenecientes a la región norte. Tlatzala,</w:t>
      </w:r>
      <w:r>
        <w:rPr>
          <w:color w:val="231F20"/>
          <w:spacing w:val="-13"/>
        </w:rPr>
        <w:t> </w:t>
      </w:r>
      <w:r>
        <w:rPr>
          <w:color w:val="231F20"/>
        </w:rPr>
        <w:t>El</w:t>
      </w:r>
      <w:r>
        <w:rPr>
          <w:color w:val="231F20"/>
          <w:spacing w:val="-12"/>
        </w:rPr>
        <w:t> </w:t>
      </w:r>
      <w:r>
        <w:rPr>
          <w:color w:val="231F20"/>
        </w:rPr>
        <w:t>Potrero,</w:t>
      </w:r>
      <w:r>
        <w:rPr>
          <w:color w:val="231F20"/>
          <w:spacing w:val="-24"/>
        </w:rPr>
        <w:t> </w:t>
      </w:r>
      <w:r>
        <w:rPr>
          <w:color w:val="231F20"/>
        </w:rPr>
        <w:t>Amealco</w:t>
      </w:r>
      <w:r>
        <w:rPr>
          <w:color w:val="231F20"/>
          <w:spacing w:val="-12"/>
        </w:rPr>
        <w:t> </w:t>
      </w:r>
      <w:r>
        <w:rPr>
          <w:color w:val="231F20"/>
        </w:rPr>
        <w:t>y</w:t>
      </w:r>
      <w:r>
        <w:rPr>
          <w:color w:val="231F20"/>
          <w:spacing w:val="-12"/>
        </w:rPr>
        <w:t> </w:t>
      </w:r>
      <w:r>
        <w:rPr>
          <w:color w:val="231F20"/>
        </w:rPr>
        <w:t>Los</w:t>
      </w:r>
      <w:r>
        <w:rPr>
          <w:color w:val="231F20"/>
          <w:spacing w:val="-12"/>
        </w:rPr>
        <w:t> </w:t>
      </w:r>
      <w:r>
        <w:rPr>
          <w:color w:val="231F20"/>
        </w:rPr>
        <w:t>Sauces,</w:t>
      </w:r>
      <w:r>
        <w:rPr>
          <w:color w:val="231F20"/>
          <w:spacing w:val="-12"/>
        </w:rPr>
        <w:t> </w:t>
      </w:r>
      <w:r>
        <w:rPr>
          <w:color w:val="231F20"/>
        </w:rPr>
        <w:t>continuaron</w:t>
      </w:r>
      <w:r>
        <w:rPr>
          <w:color w:val="231F20"/>
          <w:spacing w:val="-13"/>
        </w:rPr>
        <w:t> </w:t>
      </w:r>
      <w:r>
        <w:rPr>
          <w:color w:val="231F20"/>
        </w:rPr>
        <w:t>con</w:t>
      </w:r>
      <w:r>
        <w:rPr>
          <w:color w:val="231F20"/>
          <w:spacing w:val="-12"/>
        </w:rPr>
        <w:t> </w:t>
      </w:r>
      <w:r>
        <w:rPr>
          <w:color w:val="231F20"/>
        </w:rPr>
        <w:t>la</w:t>
      </w:r>
      <w:r>
        <w:rPr>
          <w:color w:val="231F20"/>
          <w:spacing w:val="-12"/>
        </w:rPr>
        <w:t> </w:t>
      </w:r>
      <w:r>
        <w:rPr>
          <w:color w:val="231F20"/>
        </w:rPr>
        <w:t>pavimenta- ción</w:t>
      </w:r>
      <w:r>
        <w:rPr>
          <w:color w:val="231F20"/>
          <w:spacing w:val="-9"/>
        </w:rPr>
        <w:t> </w:t>
      </w:r>
      <w:r>
        <w:rPr>
          <w:color w:val="231F20"/>
        </w:rPr>
        <w:t>de</w:t>
      </w:r>
      <w:r>
        <w:rPr>
          <w:color w:val="231F20"/>
          <w:spacing w:val="-9"/>
        </w:rPr>
        <w:t> </w:t>
      </w:r>
      <w:r>
        <w:rPr>
          <w:color w:val="231F20"/>
        </w:rPr>
        <w:t>caminos</w:t>
      </w:r>
      <w:r>
        <w:rPr>
          <w:color w:val="231F20"/>
          <w:spacing w:val="-9"/>
        </w:rPr>
        <w:t> </w:t>
      </w:r>
      <w:r>
        <w:rPr>
          <w:color w:val="231F20"/>
        </w:rPr>
        <w:t>rurales;</w:t>
      </w:r>
      <w:r>
        <w:rPr>
          <w:color w:val="231F20"/>
          <w:spacing w:val="-12"/>
        </w:rPr>
        <w:t> </w:t>
      </w:r>
      <w:r>
        <w:rPr>
          <w:color w:val="231F20"/>
        </w:rPr>
        <w:t>Teucizapan</w:t>
      </w:r>
      <w:r>
        <w:rPr>
          <w:color w:val="231F20"/>
          <w:spacing w:val="-9"/>
        </w:rPr>
        <w:t> </w:t>
      </w:r>
      <w:r>
        <w:rPr>
          <w:color w:val="231F20"/>
        </w:rPr>
        <w:t>siguió</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construcción</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plaza de toros; apareció Apetlanca para construir un sistema de agua</w:t>
      </w:r>
      <w:r>
        <w:rPr>
          <w:color w:val="231F20"/>
          <w:spacing w:val="-30"/>
        </w:rPr>
        <w:t> </w:t>
      </w:r>
      <w:r>
        <w:rPr>
          <w:color w:val="231F20"/>
        </w:rPr>
        <w:t>potable.</w:t>
      </w:r>
    </w:p>
    <w:p>
      <w:pPr>
        <w:pStyle w:val="BodyText"/>
        <w:spacing w:line="247" w:lineRule="auto"/>
        <w:ind w:left="117" w:right="114" w:firstLine="283"/>
        <w:jc w:val="both"/>
      </w:pPr>
      <w:r>
        <w:rPr>
          <w:color w:val="231F20"/>
        </w:rPr>
        <w:t>El</w:t>
      </w:r>
      <w:r>
        <w:rPr>
          <w:color w:val="231F20"/>
          <w:spacing w:val="-5"/>
        </w:rPr>
        <w:t> </w:t>
      </w:r>
      <w:r>
        <w:rPr>
          <w:color w:val="231F20"/>
        </w:rPr>
        <w:t>año</w:t>
      </w:r>
      <w:r>
        <w:rPr>
          <w:color w:val="231F20"/>
          <w:spacing w:val="-4"/>
        </w:rPr>
        <w:t> </w:t>
      </w:r>
      <w:r>
        <w:rPr>
          <w:color w:val="231F20"/>
        </w:rPr>
        <w:t>2004</w:t>
      </w:r>
      <w:r>
        <w:rPr>
          <w:color w:val="231F20"/>
          <w:spacing w:val="-4"/>
        </w:rPr>
        <w:t> </w:t>
      </w:r>
      <w:r>
        <w:rPr>
          <w:color w:val="231F20"/>
        </w:rPr>
        <w:t>apuntaba</w:t>
      </w:r>
      <w:r>
        <w:rPr>
          <w:color w:val="231F20"/>
          <w:spacing w:val="-5"/>
        </w:rPr>
        <w:t> </w:t>
      </w:r>
      <w:r>
        <w:rPr>
          <w:color w:val="231F20"/>
        </w:rPr>
        <w:t>a</w:t>
      </w:r>
      <w:r>
        <w:rPr>
          <w:color w:val="231F20"/>
          <w:spacing w:val="-4"/>
        </w:rPr>
        <w:t> </w:t>
      </w:r>
      <w:r>
        <w:rPr>
          <w:color w:val="231F20"/>
        </w:rPr>
        <w:t>ser</w:t>
      </w:r>
      <w:r>
        <w:rPr>
          <w:color w:val="231F20"/>
          <w:spacing w:val="-4"/>
        </w:rPr>
        <w:t> </w:t>
      </w:r>
      <w:r>
        <w:rPr>
          <w:color w:val="231F20"/>
        </w:rPr>
        <w:t>el</w:t>
      </w:r>
      <w:r>
        <w:rPr>
          <w:color w:val="231F20"/>
          <w:spacing w:val="-5"/>
        </w:rPr>
        <w:t> </w:t>
      </w:r>
      <w:r>
        <w:rPr>
          <w:color w:val="231F20"/>
        </w:rPr>
        <w:t>mejor</w:t>
      </w:r>
      <w:r>
        <w:rPr>
          <w:color w:val="231F20"/>
          <w:spacing w:val="-5"/>
        </w:rPr>
        <w:t> </w:t>
      </w:r>
      <w:r>
        <w:rPr>
          <w:color w:val="231F20"/>
        </w:rPr>
        <w:t>en</w:t>
      </w:r>
      <w:r>
        <w:rPr>
          <w:color w:val="231F20"/>
          <w:spacing w:val="-4"/>
        </w:rPr>
        <w:t> </w:t>
      </w:r>
      <w:r>
        <w:rPr>
          <w:color w:val="231F20"/>
        </w:rPr>
        <w:t>términos</w:t>
      </w:r>
      <w:r>
        <w:rPr>
          <w:color w:val="231F20"/>
          <w:spacing w:val="-5"/>
        </w:rPr>
        <w:t> </w:t>
      </w:r>
      <w:r>
        <w:rPr>
          <w:color w:val="231F20"/>
        </w:rPr>
        <w:t>de</w:t>
      </w:r>
      <w:r>
        <w:rPr>
          <w:color w:val="231F20"/>
          <w:spacing w:val="-5"/>
        </w:rPr>
        <w:t> </w:t>
      </w:r>
      <w:r>
        <w:rPr>
          <w:color w:val="231F20"/>
        </w:rPr>
        <w:t>lograr</w:t>
      </w:r>
      <w:r>
        <w:rPr>
          <w:color w:val="231F20"/>
          <w:spacing w:val="-5"/>
        </w:rPr>
        <w:t> </w:t>
      </w:r>
      <w:r>
        <w:rPr>
          <w:color w:val="231F20"/>
        </w:rPr>
        <w:t>un</w:t>
      </w:r>
      <w:r>
        <w:rPr>
          <w:color w:val="231F20"/>
          <w:spacing w:val="-4"/>
        </w:rPr>
        <w:t> </w:t>
      </w:r>
      <w:r>
        <w:rPr>
          <w:color w:val="231F20"/>
        </w:rPr>
        <w:t>equilibrio regional en Guerrero. Se registraron 60 proyectos de las siete regiones del estado. El monto de inversión total se elevó a 38.4 millones de pesos, con una participación financiera de 9.6 millones para cada una de las cuatro partes: 25 por ciento para el federal, 25 por ciento el estatal, 25 por ciento el municipal y 25 por ciento los migrantes, tal y como lo estipulan las re- glas de operación.</w:t>
      </w:r>
    </w:p>
    <w:p>
      <w:pPr>
        <w:spacing w:after="0" w:line="247" w:lineRule="auto"/>
        <w:jc w:val="both"/>
        <w:sectPr>
          <w:pgSz w:w="9360" w:h="13040"/>
          <w:pgMar w:header="0" w:footer="496" w:top="740" w:bottom="680" w:left="1300" w:right="1300"/>
        </w:sectPr>
      </w:pPr>
    </w:p>
    <w:p>
      <w:pPr>
        <w:tabs>
          <w:tab w:pos="5430" w:val="left" w:leader="none"/>
        </w:tabs>
        <w:spacing w:before="48"/>
        <w:ind w:left="0" w:right="115" w:firstLine="0"/>
        <w:jc w:val="righ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firstLine="283"/>
        <w:jc w:val="both"/>
      </w:pPr>
      <w:r>
        <w:rPr>
          <w:color w:val="231F20"/>
        </w:rPr>
        <w:t>La resultante fue que la mayoría de los clubes de migrantes no apor- taron su respectivo 25 por ciento. Sólo un proyecto observó el esquema financiero</w:t>
      </w:r>
      <w:r>
        <w:rPr>
          <w:color w:val="231F20"/>
          <w:spacing w:val="-4"/>
        </w:rPr>
        <w:t> </w:t>
      </w:r>
      <w:r>
        <w:rPr>
          <w:color w:val="231F20"/>
        </w:rPr>
        <w:t>en</w:t>
      </w:r>
      <w:r>
        <w:rPr>
          <w:color w:val="231F20"/>
          <w:spacing w:val="-4"/>
        </w:rPr>
        <w:t> </w:t>
      </w:r>
      <w:r>
        <w:rPr>
          <w:color w:val="231F20"/>
        </w:rPr>
        <w:t>estricto</w:t>
      </w:r>
      <w:r>
        <w:rPr>
          <w:color w:val="231F20"/>
          <w:spacing w:val="-4"/>
        </w:rPr>
        <w:t> </w:t>
      </w:r>
      <w:r>
        <w:rPr>
          <w:color w:val="231F20"/>
        </w:rPr>
        <w:t>apego</w:t>
      </w:r>
      <w:r>
        <w:rPr>
          <w:color w:val="231F20"/>
          <w:spacing w:val="-4"/>
        </w:rPr>
        <w:t> </w:t>
      </w:r>
      <w:r>
        <w:rPr>
          <w:color w:val="231F20"/>
        </w:rPr>
        <w:t>a</w:t>
      </w:r>
      <w:r>
        <w:rPr>
          <w:color w:val="231F20"/>
          <w:spacing w:val="-3"/>
        </w:rPr>
        <w:t> </w:t>
      </w:r>
      <w:r>
        <w:rPr>
          <w:color w:val="231F20"/>
        </w:rPr>
        <w:t>la</w:t>
      </w:r>
      <w:r>
        <w:rPr>
          <w:color w:val="231F20"/>
          <w:spacing w:val="-4"/>
        </w:rPr>
        <w:t> </w:t>
      </w:r>
      <w:r>
        <w:rPr>
          <w:color w:val="231F20"/>
        </w:rPr>
        <w:t>normatividad:</w:t>
      </w:r>
      <w:r>
        <w:rPr>
          <w:color w:val="231F20"/>
          <w:spacing w:val="-4"/>
        </w:rPr>
        <w:t> </w:t>
      </w:r>
      <w:r>
        <w:rPr>
          <w:color w:val="231F20"/>
        </w:rPr>
        <w:t>la</w:t>
      </w:r>
      <w:r>
        <w:rPr>
          <w:color w:val="231F20"/>
          <w:spacing w:val="-4"/>
        </w:rPr>
        <w:t> </w:t>
      </w:r>
      <w:r>
        <w:rPr>
          <w:color w:val="231F20"/>
        </w:rPr>
        <w:t>construcción</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can- cha</w:t>
      </w:r>
      <w:r>
        <w:rPr>
          <w:color w:val="231F20"/>
          <w:spacing w:val="-11"/>
        </w:rPr>
        <w:t> </w:t>
      </w:r>
      <w:r>
        <w:rPr>
          <w:color w:val="231F20"/>
        </w:rPr>
        <w:t>de</w:t>
      </w:r>
      <w:r>
        <w:rPr>
          <w:color w:val="231F20"/>
          <w:spacing w:val="-11"/>
        </w:rPr>
        <w:t> </w:t>
      </w:r>
      <w:r>
        <w:rPr>
          <w:color w:val="231F20"/>
        </w:rPr>
        <w:t>basquetbol,</w:t>
      </w:r>
      <w:r>
        <w:rPr>
          <w:color w:val="231F20"/>
          <w:spacing w:val="-11"/>
        </w:rPr>
        <w:t> </w:t>
      </w:r>
      <w:r>
        <w:rPr>
          <w:color w:val="231F20"/>
        </w:rPr>
        <w:t>en</w:t>
      </w:r>
      <w:r>
        <w:rPr>
          <w:color w:val="231F20"/>
          <w:spacing w:val="-15"/>
        </w:rPr>
        <w:t> </w:t>
      </w:r>
      <w:r>
        <w:rPr>
          <w:color w:val="231F20"/>
        </w:rPr>
        <w:t>Tolixtlahuaca,</w:t>
      </w:r>
      <w:r>
        <w:rPr>
          <w:color w:val="231F20"/>
          <w:spacing w:val="-11"/>
        </w:rPr>
        <w:t> </w:t>
      </w:r>
      <w:r>
        <w:rPr>
          <w:color w:val="231F20"/>
        </w:rPr>
        <w:t>municipio</w:t>
      </w:r>
      <w:r>
        <w:rPr>
          <w:color w:val="231F20"/>
          <w:spacing w:val="-12"/>
        </w:rPr>
        <w:t> </w:t>
      </w:r>
      <w:r>
        <w:rPr>
          <w:color w:val="231F20"/>
        </w:rPr>
        <w:t>de</w:t>
      </w:r>
      <w:r>
        <w:rPr>
          <w:color w:val="231F20"/>
          <w:spacing w:val="-11"/>
        </w:rPr>
        <w:t> </w:t>
      </w:r>
      <w:r>
        <w:rPr>
          <w:color w:val="231F20"/>
        </w:rPr>
        <w:t>Quechultenango,</w:t>
      </w:r>
      <w:r>
        <w:rPr>
          <w:color w:val="231F20"/>
          <w:spacing w:val="-10"/>
        </w:rPr>
        <w:t> </w:t>
      </w:r>
      <w:r>
        <w:rPr>
          <w:color w:val="231F20"/>
        </w:rPr>
        <w:t>región centro.</w:t>
      </w:r>
      <w:r>
        <w:rPr>
          <w:color w:val="231F20"/>
          <w:spacing w:val="-4"/>
        </w:rPr>
        <w:t> </w:t>
      </w:r>
      <w:r>
        <w:rPr>
          <w:color w:val="231F20"/>
        </w:rPr>
        <w:t>En</w:t>
      </w:r>
      <w:r>
        <w:rPr>
          <w:color w:val="231F20"/>
          <w:spacing w:val="-4"/>
        </w:rPr>
        <w:t> </w:t>
      </w:r>
      <w:r>
        <w:rPr>
          <w:color w:val="231F20"/>
        </w:rPr>
        <w:t>otros</w:t>
      </w:r>
      <w:r>
        <w:rPr>
          <w:color w:val="231F20"/>
          <w:spacing w:val="-4"/>
        </w:rPr>
        <w:t> </w:t>
      </w:r>
      <w:r>
        <w:rPr>
          <w:color w:val="231F20"/>
        </w:rPr>
        <w:t>dos</w:t>
      </w:r>
      <w:r>
        <w:rPr>
          <w:color w:val="231F20"/>
          <w:spacing w:val="-4"/>
        </w:rPr>
        <w:t> </w:t>
      </w:r>
      <w:r>
        <w:rPr>
          <w:color w:val="231F20"/>
        </w:rPr>
        <w:t>proyectos</w:t>
      </w:r>
      <w:r>
        <w:rPr>
          <w:color w:val="231F20"/>
          <w:spacing w:val="-4"/>
        </w:rPr>
        <w:t> </w:t>
      </w:r>
      <w:r>
        <w:rPr>
          <w:color w:val="231F20"/>
        </w:rPr>
        <w:t>aparece</w:t>
      </w:r>
      <w:r>
        <w:rPr>
          <w:color w:val="231F20"/>
          <w:spacing w:val="-4"/>
        </w:rPr>
        <w:t> </w:t>
      </w:r>
      <w:r>
        <w:rPr>
          <w:color w:val="231F20"/>
        </w:rPr>
        <w:t>25</w:t>
      </w:r>
      <w:r>
        <w:rPr>
          <w:color w:val="231F20"/>
          <w:spacing w:val="-4"/>
        </w:rPr>
        <w:t> </w:t>
      </w:r>
      <w:r>
        <w:rPr>
          <w:color w:val="231F20"/>
        </w:rPr>
        <w:t>por</w:t>
      </w:r>
      <w:r>
        <w:rPr>
          <w:color w:val="231F20"/>
          <w:spacing w:val="-4"/>
        </w:rPr>
        <w:t> </w:t>
      </w:r>
      <w:r>
        <w:rPr>
          <w:color w:val="231F20"/>
        </w:rPr>
        <w:t>ciento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cuota</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mi- grantes pero cero en la cuota del gobierno municipal: uno fue la construc- ción del camino rural Temaxcalapa-Totoapa-Ahuehuepan, impulsado por Totoapa,</w:t>
      </w:r>
      <w:r>
        <w:rPr>
          <w:color w:val="231F20"/>
          <w:spacing w:val="-9"/>
        </w:rPr>
        <w:t> </w:t>
      </w:r>
      <w:r>
        <w:rPr>
          <w:color w:val="231F20"/>
        </w:rPr>
        <w:t>municipio</w:t>
      </w:r>
      <w:r>
        <w:rPr>
          <w:color w:val="231F20"/>
          <w:spacing w:val="-9"/>
        </w:rPr>
        <w:t> </w:t>
      </w:r>
      <w:r>
        <w:rPr>
          <w:color w:val="231F20"/>
        </w:rPr>
        <w:t>de</w:t>
      </w:r>
      <w:r>
        <w:rPr>
          <w:color w:val="231F20"/>
          <w:spacing w:val="-13"/>
        </w:rPr>
        <w:t> </w:t>
      </w:r>
      <w:r>
        <w:rPr>
          <w:color w:val="231F20"/>
          <w:spacing w:val="-3"/>
        </w:rPr>
        <w:t>Taxco;</w:t>
      </w:r>
      <w:r>
        <w:rPr>
          <w:color w:val="231F20"/>
          <w:spacing w:val="-9"/>
        </w:rPr>
        <w:t> </w:t>
      </w:r>
      <w:r>
        <w:rPr>
          <w:color w:val="231F20"/>
        </w:rPr>
        <w:t>otro</w:t>
      </w:r>
      <w:r>
        <w:rPr>
          <w:color w:val="231F20"/>
          <w:spacing w:val="-9"/>
        </w:rPr>
        <w:t> </w:t>
      </w:r>
      <w:r>
        <w:rPr>
          <w:color w:val="231F20"/>
        </w:rPr>
        <w:t>correspondió</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pavimentación</w:t>
      </w:r>
      <w:r>
        <w:rPr>
          <w:color w:val="231F20"/>
          <w:spacing w:val="-9"/>
        </w:rPr>
        <w:t> </w:t>
      </w:r>
      <w:r>
        <w:rPr>
          <w:color w:val="231F20"/>
        </w:rPr>
        <w:t>de</w:t>
      </w:r>
      <w:r>
        <w:rPr>
          <w:color w:val="231F20"/>
          <w:spacing w:val="-9"/>
        </w:rPr>
        <w:t> </w:t>
      </w:r>
      <w:r>
        <w:rPr>
          <w:color w:val="231F20"/>
        </w:rPr>
        <w:t>una calle, del club Puente Río San Juan, municipio de Cocula. Los otros seis clubes que aportaron pero en menor cantidad a la estipulada fueron: Chi- chihualco, Jaleaca de Catalán, Hacienda de Ocuilixtlahuaca, Huahuaxtla, Huixtac e</w:t>
      </w:r>
      <w:r>
        <w:rPr>
          <w:color w:val="231F20"/>
          <w:spacing w:val="-6"/>
        </w:rPr>
        <w:t> </w:t>
      </w:r>
      <w:r>
        <w:rPr>
          <w:color w:val="231F20"/>
        </w:rPr>
        <w:t>Icatepec.</w:t>
      </w:r>
    </w:p>
    <w:p>
      <w:pPr>
        <w:pStyle w:val="BodyText"/>
        <w:spacing w:line="247" w:lineRule="auto"/>
        <w:ind w:left="67" w:right="114" w:firstLine="283"/>
        <w:jc w:val="right"/>
      </w:pPr>
      <w:r>
        <w:rPr>
          <w:color w:val="231F20"/>
        </w:rPr>
        <w:t>En febrero de 2005 habría votaciones para renovar el gobierno del es- tado de Guerrero, las diputaciones locales y las presidencias municipa- les. El territorio en disputa era un ejemplo de apertura democrática. Se</w:t>
      </w:r>
      <w:r>
        <w:rPr>
          <w:color w:val="231F20"/>
          <w:spacing w:val="-1"/>
        </w:rPr>
        <w:t> </w:t>
      </w:r>
      <w:r>
        <w:rPr>
          <w:color w:val="231F20"/>
        </w:rPr>
        <w:t>tenía un gobierno federal del </w:t>
      </w:r>
      <w:r>
        <w:rPr>
          <w:color w:val="231F20"/>
          <w:spacing w:val="-8"/>
        </w:rPr>
        <w:t>PAN </w:t>
      </w:r>
      <w:r>
        <w:rPr>
          <w:color w:val="231F20"/>
        </w:rPr>
        <w:t>(2000-2006), un gobierno estatal del PRI (1999-2005), 76 gobiernos municipales de cuatro institutos políticos</w:t>
      </w:r>
      <w:r>
        <w:rPr>
          <w:color w:val="231F20"/>
          <w:w w:val="100"/>
        </w:rPr>
        <w:t> </w:t>
      </w:r>
      <w:r>
        <w:rPr>
          <w:color w:val="231F20"/>
        </w:rPr>
        <w:t>(2002-2005): 40 gobernados por el PRI, 30 por el PRD, cinco por el </w:t>
      </w:r>
      <w:r>
        <w:rPr>
          <w:color w:val="231F20"/>
          <w:spacing w:val="-7"/>
        </w:rPr>
        <w:t>PAN</w:t>
      </w:r>
      <w:r>
        <w:rPr>
          <w:color w:val="231F20"/>
          <w:w w:val="99"/>
        </w:rPr>
        <w:t> </w:t>
      </w:r>
      <w:r>
        <w:rPr>
          <w:color w:val="231F20"/>
        </w:rPr>
        <w:t>y uno por el </w:t>
      </w:r>
      <w:r>
        <w:rPr>
          <w:color w:val="231F20"/>
          <w:spacing w:val="-6"/>
        </w:rPr>
        <w:t>PT. </w:t>
      </w:r>
      <w:r>
        <w:rPr>
          <w:color w:val="231F20"/>
        </w:rPr>
        <w:t>A nivel de diputados locales había representaciones de tres grupos parlamentarios (PRI, </w:t>
      </w:r>
      <w:r>
        <w:rPr>
          <w:color w:val="231F20"/>
          <w:spacing w:val="-8"/>
        </w:rPr>
        <w:t>PAN </w:t>
      </w:r>
      <w:r>
        <w:rPr>
          <w:color w:val="231F20"/>
        </w:rPr>
        <w:t>y PRD) y cuatro</w:t>
      </w:r>
      <w:r>
        <w:rPr>
          <w:color w:val="231F20"/>
          <w:spacing w:val="52"/>
        </w:rPr>
        <w:t> </w:t>
      </w:r>
      <w:r>
        <w:rPr>
          <w:color w:val="231F20"/>
        </w:rPr>
        <w:t>representantes de partidos (Partido </w:t>
      </w:r>
      <w:r>
        <w:rPr>
          <w:color w:val="231F20"/>
          <w:spacing w:val="-5"/>
        </w:rPr>
        <w:t>Verde </w:t>
      </w:r>
      <w:r>
        <w:rPr>
          <w:color w:val="231F20"/>
        </w:rPr>
        <w:t>Ecologista de México, Convergencia, Partido del Trabajo y Partido Revolucionario del Sur (PRS)) (Jiménez y Licea, 2006). Dos de los tres candidatos a gobernador hicieron campaña en Estados Unidos: Héctor Astudillo Flores, de la coalición </w:t>
      </w:r>
      <w:r>
        <w:rPr>
          <w:i/>
          <w:color w:val="231F20"/>
          <w:spacing w:val="-5"/>
        </w:rPr>
        <w:t>Todos </w:t>
      </w:r>
      <w:r>
        <w:rPr>
          <w:i/>
          <w:color w:val="231F20"/>
        </w:rPr>
        <w:t>por </w:t>
      </w:r>
      <w:r>
        <w:rPr>
          <w:i/>
          <w:color w:val="231F20"/>
          <w:spacing w:val="-3"/>
        </w:rPr>
        <w:t>Guerrero </w:t>
      </w:r>
      <w:r>
        <w:rPr>
          <w:color w:val="231F20"/>
        </w:rPr>
        <w:t>PRI-</w:t>
      </w:r>
      <w:r>
        <w:rPr>
          <w:color w:val="231F20"/>
          <w:spacing w:val="-1"/>
        </w:rPr>
        <w:t> </w:t>
      </w:r>
      <w:r>
        <w:rPr>
          <w:color w:val="231F20"/>
          <w:spacing w:val="-3"/>
        </w:rPr>
        <w:t>PVEM-PT, </w:t>
      </w:r>
      <w:r>
        <w:rPr>
          <w:color w:val="231F20"/>
        </w:rPr>
        <w:t>Carlos Zeferino Torreblanca Galindo, de la coalición </w:t>
      </w:r>
      <w:r>
        <w:rPr>
          <w:i/>
          <w:color w:val="231F20"/>
          <w:spacing w:val="-3"/>
        </w:rPr>
        <w:t>Guerrero</w:t>
      </w:r>
      <w:r>
        <w:rPr>
          <w:i/>
          <w:color w:val="231F20"/>
        </w:rPr>
        <w:t> será mejor </w:t>
      </w:r>
      <w:r>
        <w:rPr>
          <w:color w:val="231F20"/>
        </w:rPr>
        <w:t>PRD-Convergencia-PRS. En Chicago radica la mayoría de los guerrerenses organizados en clubes de migrantes, por lo que fue el lugar predilecto de los dos candidatos; otros lugares de interés político fueron</w:t>
      </w:r>
    </w:p>
    <w:p>
      <w:pPr>
        <w:pStyle w:val="BodyText"/>
        <w:spacing w:line="253" w:lineRule="exact"/>
        <w:ind w:left="117" w:right="117"/>
      </w:pPr>
      <w:r>
        <w:rPr>
          <w:color w:val="231F20"/>
        </w:rPr>
        <w:t>Atlanta y California.</w:t>
      </w:r>
    </w:p>
    <w:p>
      <w:pPr>
        <w:pStyle w:val="BodyText"/>
        <w:spacing w:line="247" w:lineRule="auto" w:before="7"/>
        <w:ind w:left="117" w:right="114" w:firstLine="283"/>
        <w:jc w:val="both"/>
      </w:pPr>
      <w:r>
        <w:rPr>
          <w:color w:val="231F20"/>
        </w:rPr>
        <w:t>Líderes de las dos organizaciones guerrerenses se involucraron en las campañas políticas para elegir gobernador; sin embargo, las formas de participación política fueron diferentes. La Federación de Guerrerenses   se manifestó, como organización, a favor del candidato de la coalición </w:t>
      </w:r>
      <w:r>
        <w:rPr>
          <w:color w:val="231F20"/>
          <w:spacing w:val="-3"/>
        </w:rPr>
        <w:t>“Todos </w:t>
      </w:r>
      <w:r>
        <w:rPr>
          <w:color w:val="231F20"/>
        </w:rPr>
        <w:t>por Guerrero”, mientras que líderes de Clubes Unidos Guerreren- ses del Medio Oeste se manifestaron a favor del candidato de la coalición “Guerrero será mejor” a título individual, sin involucrar a la organización, debido a que en sus estatutos está prohibido participar en actos de pro- selitismo político utilizando una estructura creada con fines sociales no lucrativos.</w:t>
      </w:r>
    </w:p>
    <w:p>
      <w:pPr>
        <w:spacing w:after="0" w:line="247" w:lineRule="auto"/>
        <w:jc w:val="both"/>
        <w:sectPr>
          <w:footerReference w:type="default" r:id="rId165"/>
          <w:pgSz w:w="9360" w:h="13040"/>
          <w:pgMar w:footer="496" w:header="0" w:top="800" w:bottom="680" w:left="1300" w:right="1300"/>
        </w:sectPr>
      </w:pPr>
    </w:p>
    <w:p>
      <w:pPr>
        <w:spacing w:before="45"/>
        <w:ind w:left="400" w:right="117" w:hanging="194"/>
        <w:jc w:val="left"/>
        <w:rPr>
          <w:rFonts w:ascii="Arial" w:hAnsi="Arial"/>
          <w:sz w:val="20"/>
        </w:rPr>
      </w:pPr>
      <w:r>
        <w:rPr>
          <w:rFonts w:ascii="Arial" w:hAnsi="Arial"/>
          <w:color w:val="231F20"/>
          <w:w w:val="70"/>
          <w:sz w:val="20"/>
        </w:rPr>
        <w:t>Políticas públicas de la migración transnacional entre México y Estados Unidos /Alejandro  Díaz-Garay</w:t>
      </w:r>
    </w:p>
    <w:p>
      <w:pPr>
        <w:pStyle w:val="BodyText"/>
        <w:spacing w:before="7"/>
        <w:rPr>
          <w:rFonts w:ascii="Arial"/>
          <w:sz w:val="28"/>
        </w:rPr>
      </w:pPr>
    </w:p>
    <w:p>
      <w:pPr>
        <w:pStyle w:val="BodyText"/>
        <w:spacing w:line="247" w:lineRule="auto"/>
        <w:ind w:left="117" w:right="114" w:firstLine="283"/>
        <w:jc w:val="both"/>
      </w:pPr>
      <w:r>
        <w:rPr>
          <w:color w:val="231F20"/>
        </w:rPr>
        <w:t>El</w:t>
      </w:r>
      <w:r>
        <w:rPr>
          <w:color w:val="231F20"/>
          <w:spacing w:val="-10"/>
        </w:rPr>
        <w:t> </w:t>
      </w:r>
      <w:r>
        <w:rPr>
          <w:color w:val="231F20"/>
        </w:rPr>
        <w:t>desafortunado</w:t>
      </w:r>
      <w:r>
        <w:rPr>
          <w:color w:val="231F20"/>
          <w:spacing w:val="-10"/>
        </w:rPr>
        <w:t> </w:t>
      </w:r>
      <w:r>
        <w:rPr>
          <w:color w:val="231F20"/>
        </w:rPr>
        <w:t>manejo</w:t>
      </w:r>
      <w:r>
        <w:rPr>
          <w:color w:val="231F20"/>
          <w:spacing w:val="-11"/>
        </w:rPr>
        <w:t> </w:t>
      </w:r>
      <w:r>
        <w:rPr>
          <w:color w:val="231F20"/>
        </w:rPr>
        <w:t>del</w:t>
      </w:r>
      <w:r>
        <w:rPr>
          <w:color w:val="231F20"/>
          <w:spacing w:val="-10"/>
        </w:rPr>
        <w:t> </w:t>
      </w:r>
      <w:r>
        <w:rPr>
          <w:color w:val="231F20"/>
        </w:rPr>
        <w:t>programa</w:t>
      </w:r>
      <w:r>
        <w:rPr>
          <w:color w:val="231F20"/>
          <w:spacing w:val="-10"/>
        </w:rPr>
        <w:t> </w:t>
      </w:r>
      <w:r>
        <w:rPr>
          <w:color w:val="231F20"/>
        </w:rPr>
        <w:t>entre</w:t>
      </w:r>
      <w:r>
        <w:rPr>
          <w:color w:val="231F20"/>
          <w:spacing w:val="-11"/>
        </w:rPr>
        <w:t> </w:t>
      </w:r>
      <w:r>
        <w:rPr>
          <w:color w:val="231F20"/>
        </w:rPr>
        <w:t>2002</w:t>
      </w:r>
      <w:r>
        <w:rPr>
          <w:color w:val="231F20"/>
          <w:spacing w:val="-10"/>
        </w:rPr>
        <w:t> </w:t>
      </w:r>
      <w:r>
        <w:rPr>
          <w:color w:val="231F20"/>
        </w:rPr>
        <w:t>y</w:t>
      </w:r>
      <w:r>
        <w:rPr>
          <w:color w:val="231F20"/>
          <w:spacing w:val="-11"/>
        </w:rPr>
        <w:t> </w:t>
      </w:r>
      <w:r>
        <w:rPr>
          <w:color w:val="231F20"/>
        </w:rPr>
        <w:t>2004</w:t>
      </w:r>
      <w:r>
        <w:rPr>
          <w:color w:val="231F20"/>
          <w:spacing w:val="-10"/>
        </w:rPr>
        <w:t> </w:t>
      </w:r>
      <w:r>
        <w:rPr>
          <w:color w:val="231F20"/>
        </w:rPr>
        <w:t>se</w:t>
      </w:r>
      <w:r>
        <w:rPr>
          <w:color w:val="231F20"/>
          <w:spacing w:val="-10"/>
        </w:rPr>
        <w:t> </w:t>
      </w:r>
      <w:r>
        <w:rPr>
          <w:color w:val="231F20"/>
        </w:rPr>
        <w:t>debió</w:t>
      </w:r>
      <w:r>
        <w:rPr>
          <w:color w:val="231F20"/>
          <w:spacing w:val="-10"/>
        </w:rPr>
        <w:t> </w:t>
      </w:r>
      <w:r>
        <w:rPr>
          <w:color w:val="231F20"/>
        </w:rPr>
        <w:t>prin- cipalmente a factores políticos, a pesar de que las reglas de operación</w:t>
      </w:r>
      <w:r>
        <w:rPr>
          <w:color w:val="231F20"/>
          <w:spacing w:val="-13"/>
        </w:rPr>
        <w:t> </w:t>
      </w:r>
      <w:r>
        <w:rPr>
          <w:color w:val="231F20"/>
        </w:rPr>
        <w:t>pro- híben tal uso. La evidencia más notable fue la desarticulación de la otrora más fuerte organización migrante guerrerense en Estados Unidos, debido a la injerencia del gobierno del estado en su proceso electoral. Así, el año 2003</w:t>
      </w:r>
      <w:r>
        <w:rPr>
          <w:color w:val="231F20"/>
          <w:spacing w:val="-11"/>
        </w:rPr>
        <w:t> </w:t>
      </w:r>
      <w:r>
        <w:rPr>
          <w:color w:val="231F20"/>
        </w:rPr>
        <w:t>marcó</w:t>
      </w:r>
      <w:r>
        <w:rPr>
          <w:color w:val="231F20"/>
          <w:spacing w:val="-11"/>
        </w:rPr>
        <w:t> </w:t>
      </w:r>
      <w:r>
        <w:rPr>
          <w:color w:val="231F20"/>
        </w:rPr>
        <w:t>un</w:t>
      </w:r>
      <w:r>
        <w:rPr>
          <w:color w:val="231F20"/>
          <w:spacing w:val="-11"/>
        </w:rPr>
        <w:t> </w:t>
      </w:r>
      <w:r>
        <w:rPr>
          <w:color w:val="231F20"/>
        </w:rPr>
        <w:t>parteaguas</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historia</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organizaciones</w:t>
      </w:r>
      <w:r>
        <w:rPr>
          <w:color w:val="231F20"/>
          <w:spacing w:val="-11"/>
        </w:rPr>
        <w:t> </w:t>
      </w:r>
      <w:r>
        <w:rPr>
          <w:color w:val="231F20"/>
        </w:rPr>
        <w:t>de</w:t>
      </w:r>
      <w:r>
        <w:rPr>
          <w:color w:val="231F20"/>
          <w:spacing w:val="-11"/>
        </w:rPr>
        <w:t> </w:t>
      </w:r>
      <w:r>
        <w:rPr>
          <w:color w:val="231F20"/>
        </w:rPr>
        <w:t>migrantes guerrerenses radicadas en Chicago. Corría el mes de mayo, los migrantes preparaban sus elecciones para renovar la mesa directiva; se tenían dos propuestas: Fabián Morales, quien buscaba reelegirse y Erasmo Salgado, quien aspiraba a dirigir por primera vez la organización. Más de un actor clave afirma que el proceso electoral no era autónomo, ni transparente.   Se menciona la injerencia de titulares del gobierno del estado de Guerre- ro (1999-2005) incluido el representante del gobierno en Chicago, Israel Rodríguez (Sandoval, 2008: 72). Otra práctica que llevó a la división fue la alteración del padrón electoral. Puesto que sólo el presidente de un club tenía</w:t>
      </w:r>
      <w:r>
        <w:rPr>
          <w:color w:val="231F20"/>
          <w:spacing w:val="-6"/>
        </w:rPr>
        <w:t> </w:t>
      </w:r>
      <w:r>
        <w:rPr>
          <w:color w:val="231F20"/>
        </w:rPr>
        <w:t>derecho</w:t>
      </w:r>
      <w:r>
        <w:rPr>
          <w:color w:val="231F20"/>
          <w:spacing w:val="-6"/>
        </w:rPr>
        <w:t> </w:t>
      </w:r>
      <w:r>
        <w:rPr>
          <w:color w:val="231F20"/>
        </w:rPr>
        <w:t>a</w:t>
      </w:r>
      <w:r>
        <w:rPr>
          <w:color w:val="231F20"/>
          <w:spacing w:val="-6"/>
        </w:rPr>
        <w:t> </w:t>
      </w:r>
      <w:r>
        <w:rPr>
          <w:color w:val="231F20"/>
        </w:rPr>
        <w:t>voz</w:t>
      </w:r>
      <w:r>
        <w:rPr>
          <w:color w:val="231F20"/>
          <w:spacing w:val="-6"/>
        </w:rPr>
        <w:t> </w:t>
      </w:r>
      <w:r>
        <w:rPr>
          <w:color w:val="231F20"/>
        </w:rPr>
        <w:t>y</w:t>
      </w:r>
      <w:r>
        <w:rPr>
          <w:color w:val="231F20"/>
          <w:spacing w:val="-6"/>
        </w:rPr>
        <w:t> </w:t>
      </w:r>
      <w:r>
        <w:rPr>
          <w:color w:val="231F20"/>
        </w:rPr>
        <w:t>voto;</w:t>
      </w:r>
      <w:r>
        <w:rPr>
          <w:color w:val="231F20"/>
          <w:spacing w:val="-6"/>
        </w:rPr>
        <w:t> </w:t>
      </w:r>
      <w:r>
        <w:rPr>
          <w:color w:val="231F20"/>
        </w:rPr>
        <w:t>se</w:t>
      </w:r>
      <w:r>
        <w:rPr>
          <w:color w:val="231F20"/>
          <w:spacing w:val="-6"/>
        </w:rPr>
        <w:t> </w:t>
      </w:r>
      <w:r>
        <w:rPr>
          <w:color w:val="231F20"/>
        </w:rPr>
        <w:t>dieron</w:t>
      </w:r>
      <w:r>
        <w:rPr>
          <w:color w:val="231F20"/>
          <w:spacing w:val="-6"/>
        </w:rPr>
        <w:t> </w:t>
      </w:r>
      <w:r>
        <w:rPr>
          <w:color w:val="231F20"/>
        </w:rPr>
        <w:t>cambios</w:t>
      </w:r>
      <w:r>
        <w:rPr>
          <w:color w:val="231F20"/>
          <w:spacing w:val="-6"/>
        </w:rPr>
        <w:t> </w:t>
      </w:r>
      <w:r>
        <w:rPr>
          <w:color w:val="231F20"/>
        </w:rPr>
        <w:t>repentinos</w:t>
      </w:r>
      <w:r>
        <w:rPr>
          <w:color w:val="231F20"/>
          <w:spacing w:val="-6"/>
        </w:rPr>
        <w:t> </w:t>
      </w:r>
      <w:r>
        <w:rPr>
          <w:color w:val="231F20"/>
        </w:rPr>
        <w:t>de</w:t>
      </w:r>
      <w:r>
        <w:rPr>
          <w:color w:val="231F20"/>
          <w:spacing w:val="-6"/>
        </w:rPr>
        <w:t> </w:t>
      </w:r>
      <w:r>
        <w:rPr>
          <w:color w:val="231F20"/>
        </w:rPr>
        <w:t>presidencia</w:t>
      </w:r>
      <w:r>
        <w:rPr>
          <w:color w:val="231F20"/>
          <w:spacing w:val="-6"/>
        </w:rPr>
        <w:t> </w:t>
      </w:r>
      <w:r>
        <w:rPr>
          <w:color w:val="231F20"/>
        </w:rPr>
        <w:t>de clubes, súbitas afiliaciones de nuevos clubes, en la búsqueda de garantizar una mayoría de sufragios en una elección que se veía muy</w:t>
      </w:r>
      <w:r>
        <w:rPr>
          <w:color w:val="231F20"/>
          <w:spacing w:val="-13"/>
        </w:rPr>
        <w:t> </w:t>
      </w:r>
      <w:r>
        <w:rPr>
          <w:color w:val="231F20"/>
        </w:rPr>
        <w:t>competida.</w:t>
      </w:r>
    </w:p>
    <w:p>
      <w:pPr>
        <w:pStyle w:val="BodyText"/>
        <w:spacing w:line="247" w:lineRule="auto"/>
        <w:ind w:left="117" w:right="114" w:firstLine="283"/>
        <w:jc w:val="both"/>
      </w:pPr>
      <w:r>
        <w:rPr>
          <w:color w:val="231F20"/>
        </w:rPr>
        <w:t>Desde la primavera de 2006, cuando marcharon más de tres millones de</w:t>
      </w:r>
      <w:r>
        <w:rPr>
          <w:color w:val="231F20"/>
          <w:spacing w:val="-5"/>
        </w:rPr>
        <w:t> </w:t>
      </w:r>
      <w:r>
        <w:rPr>
          <w:color w:val="231F20"/>
        </w:rPr>
        <w:t>migrantes</w:t>
      </w:r>
      <w:r>
        <w:rPr>
          <w:color w:val="231F20"/>
          <w:spacing w:val="-6"/>
        </w:rPr>
        <w:t> </w:t>
      </w:r>
      <w:r>
        <w:rPr>
          <w:color w:val="231F20"/>
        </w:rPr>
        <w:t>de</w:t>
      </w:r>
      <w:r>
        <w:rPr>
          <w:color w:val="231F20"/>
          <w:spacing w:val="-5"/>
        </w:rPr>
        <w:t> </w:t>
      </w:r>
      <w:r>
        <w:rPr>
          <w:color w:val="231F20"/>
        </w:rPr>
        <w:t>nacionalidad</w:t>
      </w:r>
      <w:r>
        <w:rPr>
          <w:color w:val="231F20"/>
          <w:spacing w:val="-5"/>
        </w:rPr>
        <w:t> </w:t>
      </w:r>
      <w:r>
        <w:rPr>
          <w:color w:val="231F20"/>
        </w:rPr>
        <w:t>mexicana</w:t>
      </w:r>
      <w:r>
        <w:rPr>
          <w:color w:val="231F20"/>
          <w:spacing w:val="-6"/>
        </w:rPr>
        <w:t> </w:t>
      </w:r>
      <w:r>
        <w:rPr>
          <w:color w:val="231F20"/>
        </w:rPr>
        <w:t>por</w:t>
      </w:r>
      <w:r>
        <w:rPr>
          <w:color w:val="231F20"/>
          <w:spacing w:val="-5"/>
        </w:rPr>
        <w:t> </w:t>
      </w:r>
      <w:r>
        <w:rPr>
          <w:color w:val="231F20"/>
        </w:rPr>
        <w:t>las</w:t>
      </w:r>
      <w:r>
        <w:rPr>
          <w:color w:val="231F20"/>
          <w:spacing w:val="-5"/>
        </w:rPr>
        <w:t> </w:t>
      </w:r>
      <w:r>
        <w:rPr>
          <w:color w:val="231F20"/>
        </w:rPr>
        <w:t>calles</w:t>
      </w:r>
      <w:r>
        <w:rPr>
          <w:color w:val="231F20"/>
          <w:spacing w:val="-6"/>
        </w:rPr>
        <w:t> </w:t>
      </w:r>
      <w:r>
        <w:rPr>
          <w:color w:val="231F20"/>
        </w:rPr>
        <w:t>de</w:t>
      </w:r>
      <w:r>
        <w:rPr>
          <w:color w:val="231F20"/>
          <w:spacing w:val="-5"/>
        </w:rPr>
        <w:t> </w:t>
      </w:r>
      <w:r>
        <w:rPr>
          <w:color w:val="231F20"/>
        </w:rPr>
        <w:t>Chicago,</w:t>
      </w:r>
      <w:r>
        <w:rPr>
          <w:color w:val="231F20"/>
          <w:spacing w:val="-5"/>
        </w:rPr>
        <w:t> </w:t>
      </w:r>
      <w:r>
        <w:rPr>
          <w:color w:val="231F20"/>
        </w:rPr>
        <w:t>Los</w:t>
      </w:r>
      <w:r>
        <w:rPr>
          <w:color w:val="231F20"/>
          <w:spacing w:val="-5"/>
        </w:rPr>
        <w:t> </w:t>
      </w:r>
      <w:r>
        <w:rPr>
          <w:color w:val="231F20"/>
        </w:rPr>
        <w:t>Án- geles, Dallas, Detroit, Denver, Milwaukee, entre otras ciudades</w:t>
      </w:r>
      <w:r>
        <w:rPr>
          <w:color w:val="231F20"/>
          <w:spacing w:val="-26"/>
        </w:rPr>
        <w:t> </w:t>
      </w:r>
      <w:r>
        <w:rPr>
          <w:color w:val="231F20"/>
        </w:rPr>
        <w:t>estadouni- denses,</w:t>
      </w:r>
      <w:r>
        <w:rPr>
          <w:color w:val="231F20"/>
          <w:spacing w:val="-11"/>
        </w:rPr>
        <w:t> </w:t>
      </w:r>
      <w:r>
        <w:rPr>
          <w:color w:val="231F20"/>
        </w:rPr>
        <w:t>se</w:t>
      </w:r>
      <w:r>
        <w:rPr>
          <w:color w:val="231F20"/>
          <w:spacing w:val="-11"/>
        </w:rPr>
        <w:t> </w:t>
      </w:r>
      <w:r>
        <w:rPr>
          <w:color w:val="231F20"/>
        </w:rPr>
        <w:t>ha</w:t>
      </w:r>
      <w:r>
        <w:rPr>
          <w:color w:val="231F20"/>
          <w:spacing w:val="-11"/>
        </w:rPr>
        <w:t> </w:t>
      </w:r>
      <w:r>
        <w:rPr>
          <w:color w:val="231F20"/>
        </w:rPr>
        <w:t>puesto</w:t>
      </w:r>
      <w:r>
        <w:rPr>
          <w:color w:val="231F20"/>
          <w:spacing w:val="-11"/>
        </w:rPr>
        <w:t> </w:t>
      </w:r>
      <w:r>
        <w:rPr>
          <w:color w:val="231F20"/>
        </w:rPr>
        <w:t>de</w:t>
      </w:r>
      <w:r>
        <w:rPr>
          <w:color w:val="231F20"/>
          <w:spacing w:val="-11"/>
        </w:rPr>
        <w:t> </w:t>
      </w:r>
      <w:r>
        <w:rPr>
          <w:color w:val="231F20"/>
        </w:rPr>
        <w:t>moda</w:t>
      </w:r>
      <w:r>
        <w:rPr>
          <w:color w:val="231F20"/>
          <w:spacing w:val="-11"/>
        </w:rPr>
        <w:t> </w:t>
      </w:r>
      <w:r>
        <w:rPr>
          <w:color w:val="231F20"/>
        </w:rPr>
        <w:t>tratar</w:t>
      </w:r>
      <w:r>
        <w:rPr>
          <w:color w:val="231F20"/>
          <w:spacing w:val="-11"/>
        </w:rPr>
        <w:t> </w:t>
      </w:r>
      <w:r>
        <w:rPr>
          <w:color w:val="231F20"/>
        </w:rPr>
        <w:t>temas</w:t>
      </w:r>
      <w:r>
        <w:rPr>
          <w:color w:val="231F20"/>
          <w:spacing w:val="-11"/>
        </w:rPr>
        <w:t> </w:t>
      </w:r>
      <w:r>
        <w:rPr>
          <w:color w:val="231F20"/>
        </w:rPr>
        <w:t>relacionados</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participación cívica de los migrantes en los Estados Unidos, pero se debe tener cuidado en no mezclar los intereses individuales con los colectivos. Debe haber claridad en el papel que juegan las organizaciones de migrantes, de los objetivos que los unen y de sus alcances. El caso de Guerrero es un ejem- plo</w:t>
      </w:r>
      <w:r>
        <w:rPr>
          <w:color w:val="231F20"/>
          <w:spacing w:val="-6"/>
        </w:rPr>
        <w:t> </w:t>
      </w:r>
      <w:r>
        <w:rPr>
          <w:color w:val="231F20"/>
        </w:rPr>
        <w:t>de</w:t>
      </w:r>
      <w:r>
        <w:rPr>
          <w:color w:val="231F20"/>
          <w:spacing w:val="-6"/>
        </w:rPr>
        <w:t> </w:t>
      </w:r>
      <w:r>
        <w:rPr>
          <w:color w:val="231F20"/>
        </w:rPr>
        <w:t>dos</w:t>
      </w:r>
      <w:r>
        <w:rPr>
          <w:color w:val="231F20"/>
          <w:spacing w:val="-6"/>
        </w:rPr>
        <w:t> </w:t>
      </w:r>
      <w:r>
        <w:rPr>
          <w:color w:val="231F20"/>
        </w:rPr>
        <w:t>modelos</w:t>
      </w:r>
      <w:r>
        <w:rPr>
          <w:color w:val="231F20"/>
          <w:spacing w:val="-6"/>
        </w:rPr>
        <w:t> </w:t>
      </w:r>
      <w:r>
        <w:rPr>
          <w:color w:val="231F20"/>
        </w:rPr>
        <w:t>de</w:t>
      </w:r>
      <w:r>
        <w:rPr>
          <w:color w:val="231F20"/>
          <w:spacing w:val="-6"/>
        </w:rPr>
        <w:t> </w:t>
      </w:r>
      <w:r>
        <w:rPr>
          <w:color w:val="231F20"/>
        </w:rPr>
        <w:t>organización</w:t>
      </w:r>
      <w:r>
        <w:rPr>
          <w:color w:val="231F20"/>
          <w:spacing w:val="-6"/>
        </w:rPr>
        <w:t> </w:t>
      </w:r>
      <w:r>
        <w:rPr>
          <w:color w:val="231F20"/>
        </w:rPr>
        <w:t>migrante,</w:t>
      </w:r>
      <w:r>
        <w:rPr>
          <w:color w:val="231F20"/>
          <w:spacing w:val="-7"/>
        </w:rPr>
        <w:t> </w:t>
      </w:r>
      <w:r>
        <w:rPr>
          <w:color w:val="231F20"/>
        </w:rPr>
        <w:t>que</w:t>
      </w:r>
      <w:r>
        <w:rPr>
          <w:color w:val="231F20"/>
          <w:spacing w:val="-6"/>
        </w:rPr>
        <w:t> </w:t>
      </w:r>
      <w:r>
        <w:rPr>
          <w:color w:val="231F20"/>
        </w:rPr>
        <w:t>ha</w:t>
      </w:r>
      <w:r>
        <w:rPr>
          <w:color w:val="231F20"/>
          <w:spacing w:val="-6"/>
        </w:rPr>
        <w:t> </w:t>
      </w:r>
      <w:r>
        <w:rPr>
          <w:color w:val="231F20"/>
        </w:rPr>
        <w:t>traído</w:t>
      </w:r>
      <w:r>
        <w:rPr>
          <w:color w:val="231F20"/>
          <w:spacing w:val="-6"/>
        </w:rPr>
        <w:t> </w:t>
      </w:r>
      <w:r>
        <w:rPr>
          <w:color w:val="231F20"/>
        </w:rPr>
        <w:t>consecuencias espacio-temporales: una que ha perdido credibilidad y membresía, la otra, que ha crecido en los últimos años, expandiendo su área de influencia a otras ciudades estadounidenses además de Chicago y a otros municipios más allá de la región norte del estado de</w:t>
      </w:r>
      <w:r>
        <w:rPr>
          <w:color w:val="231F20"/>
          <w:spacing w:val="-12"/>
        </w:rPr>
        <w:t> </w:t>
      </w:r>
      <w:r>
        <w:rPr>
          <w:color w:val="231F20"/>
        </w:rPr>
        <w:t>Guerrero.</w:t>
      </w:r>
    </w:p>
    <w:p>
      <w:pPr>
        <w:spacing w:before="149"/>
        <w:ind w:left="117" w:right="0" w:firstLine="0"/>
        <w:jc w:val="both"/>
        <w:rPr>
          <w:i/>
          <w:sz w:val="22"/>
        </w:rPr>
      </w:pPr>
      <w:r>
        <w:rPr>
          <w:i/>
          <w:color w:val="231F20"/>
          <w:sz w:val="22"/>
        </w:rPr>
        <w:t>Periodo 2005-2010</w:t>
      </w:r>
    </w:p>
    <w:p>
      <w:pPr>
        <w:pStyle w:val="BodyText"/>
        <w:spacing w:line="247" w:lineRule="auto" w:before="177"/>
        <w:ind w:left="117" w:right="115"/>
        <w:jc w:val="both"/>
      </w:pPr>
      <w:r>
        <w:rPr>
          <w:color w:val="231F20"/>
        </w:rPr>
        <w:t>Durante este periodo se mejoró la observancia de la normatividad del</w:t>
      </w:r>
      <w:r>
        <w:rPr>
          <w:color w:val="231F20"/>
          <w:spacing w:val="-29"/>
        </w:rPr>
        <w:t> </w:t>
      </w:r>
      <w:r>
        <w:rPr>
          <w:color w:val="231F20"/>
        </w:rPr>
        <w:t>Pro- grama</w:t>
      </w:r>
      <w:r>
        <w:rPr>
          <w:color w:val="231F20"/>
          <w:spacing w:val="-5"/>
        </w:rPr>
        <w:t> </w:t>
      </w:r>
      <w:r>
        <w:rPr>
          <w:color w:val="231F20"/>
        </w:rPr>
        <w:t>3x1.</w:t>
      </w:r>
      <w:r>
        <w:rPr>
          <w:color w:val="231F20"/>
          <w:spacing w:val="-5"/>
        </w:rPr>
        <w:t> </w:t>
      </w:r>
      <w:r>
        <w:rPr>
          <w:color w:val="231F20"/>
        </w:rPr>
        <w:t>Se</w:t>
      </w:r>
      <w:r>
        <w:rPr>
          <w:color w:val="231F20"/>
          <w:spacing w:val="-5"/>
        </w:rPr>
        <w:t> </w:t>
      </w:r>
      <w:r>
        <w:rPr>
          <w:color w:val="231F20"/>
        </w:rPr>
        <w:t>lograron</w:t>
      </w:r>
      <w:r>
        <w:rPr>
          <w:color w:val="231F20"/>
          <w:spacing w:val="-5"/>
        </w:rPr>
        <w:t> </w:t>
      </w:r>
      <w:r>
        <w:rPr>
          <w:color w:val="231F20"/>
        </w:rPr>
        <w:t>impulsar</w:t>
      </w:r>
      <w:r>
        <w:rPr>
          <w:color w:val="231F20"/>
          <w:spacing w:val="-5"/>
        </w:rPr>
        <w:t> </w:t>
      </w:r>
      <w:r>
        <w:rPr>
          <w:color w:val="231F20"/>
        </w:rPr>
        <w:t>297</w:t>
      </w:r>
      <w:r>
        <w:rPr>
          <w:color w:val="231F20"/>
          <w:spacing w:val="-5"/>
        </w:rPr>
        <w:t> </w:t>
      </w:r>
      <w:r>
        <w:rPr>
          <w:color w:val="231F20"/>
        </w:rPr>
        <w:t>obras,</w:t>
      </w:r>
      <w:r>
        <w:rPr>
          <w:color w:val="231F20"/>
          <w:spacing w:val="-5"/>
        </w:rPr>
        <w:t> </w:t>
      </w:r>
      <w:r>
        <w:rPr>
          <w:color w:val="231F20"/>
        </w:rPr>
        <w:t>con</w:t>
      </w:r>
      <w:r>
        <w:rPr>
          <w:color w:val="231F20"/>
          <w:spacing w:val="-5"/>
        </w:rPr>
        <w:t> </w:t>
      </w:r>
      <w:r>
        <w:rPr>
          <w:color w:val="231F20"/>
        </w:rPr>
        <w:t>una</w:t>
      </w:r>
      <w:r>
        <w:rPr>
          <w:color w:val="231F20"/>
          <w:spacing w:val="-5"/>
        </w:rPr>
        <w:t> </w:t>
      </w:r>
      <w:r>
        <w:rPr>
          <w:color w:val="231F20"/>
        </w:rPr>
        <w:t>inversión</w:t>
      </w:r>
      <w:r>
        <w:rPr>
          <w:color w:val="231F20"/>
          <w:spacing w:val="-5"/>
        </w:rPr>
        <w:t> </w:t>
      </w:r>
      <w:r>
        <w:rPr>
          <w:color w:val="231F20"/>
        </w:rPr>
        <w:t>total</w:t>
      </w:r>
      <w:r>
        <w:rPr>
          <w:color w:val="231F20"/>
          <w:spacing w:val="-5"/>
        </w:rPr>
        <w:t> </w:t>
      </w:r>
      <w:r>
        <w:rPr>
          <w:color w:val="231F20"/>
        </w:rPr>
        <w:t>de</w:t>
      </w:r>
      <w:r>
        <w:rPr>
          <w:color w:val="231F20"/>
          <w:spacing w:val="-5"/>
        </w:rPr>
        <w:t> </w:t>
      </w:r>
      <w:r>
        <w:rPr>
          <w:color w:val="231F20"/>
        </w:rPr>
        <w:t>192 millones</w:t>
      </w:r>
      <w:r>
        <w:rPr>
          <w:color w:val="231F20"/>
          <w:spacing w:val="-9"/>
        </w:rPr>
        <w:t> </w:t>
      </w:r>
      <w:r>
        <w:rPr>
          <w:color w:val="231F20"/>
        </w:rPr>
        <w:t>de</w:t>
      </w:r>
      <w:r>
        <w:rPr>
          <w:color w:val="231F20"/>
          <w:spacing w:val="-8"/>
        </w:rPr>
        <w:t> </w:t>
      </w:r>
      <w:r>
        <w:rPr>
          <w:color w:val="231F20"/>
        </w:rPr>
        <w:t>pesos.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año</w:t>
      </w:r>
      <w:r>
        <w:rPr>
          <w:color w:val="231F20"/>
          <w:spacing w:val="-8"/>
        </w:rPr>
        <w:t> </w:t>
      </w:r>
      <w:r>
        <w:rPr>
          <w:color w:val="231F20"/>
        </w:rPr>
        <w:t>2010,</w:t>
      </w:r>
      <w:r>
        <w:rPr>
          <w:color w:val="231F20"/>
          <w:spacing w:val="-8"/>
        </w:rPr>
        <w:t> </w:t>
      </w:r>
      <w:r>
        <w:rPr>
          <w:color w:val="231F20"/>
        </w:rPr>
        <w:t>se</w:t>
      </w:r>
      <w:r>
        <w:rPr>
          <w:color w:val="231F20"/>
          <w:spacing w:val="-8"/>
        </w:rPr>
        <w:t> </w:t>
      </w:r>
      <w:r>
        <w:rPr>
          <w:color w:val="231F20"/>
        </w:rPr>
        <w:t>impulsaron</w:t>
      </w:r>
      <w:r>
        <w:rPr>
          <w:color w:val="231F20"/>
          <w:spacing w:val="-9"/>
        </w:rPr>
        <w:t> </w:t>
      </w:r>
      <w:r>
        <w:rPr>
          <w:color w:val="231F20"/>
        </w:rPr>
        <w:t>cuatro</w:t>
      </w:r>
      <w:r>
        <w:rPr>
          <w:color w:val="231F20"/>
          <w:spacing w:val="-9"/>
        </w:rPr>
        <w:t> </w:t>
      </w:r>
      <w:r>
        <w:rPr>
          <w:color w:val="231F20"/>
        </w:rPr>
        <w:t>proyectos</w:t>
      </w:r>
      <w:r>
        <w:rPr>
          <w:color w:val="231F20"/>
          <w:spacing w:val="-8"/>
        </w:rPr>
        <w:t> </w:t>
      </w:r>
      <w:r>
        <w:rPr>
          <w:color w:val="231F20"/>
        </w:rPr>
        <w:t>produc- tivos del tipo fortalecimiento patrimonial, cuya inversión total fue de 1.6 millones de</w:t>
      </w:r>
      <w:r>
        <w:rPr>
          <w:color w:val="231F20"/>
          <w:spacing w:val="-1"/>
        </w:rPr>
        <w:t> </w:t>
      </w:r>
      <w:r>
        <w:rPr>
          <w:color w:val="231F20"/>
        </w:rPr>
        <w:t>pesos.</w:t>
      </w:r>
    </w:p>
    <w:p>
      <w:pPr>
        <w:spacing w:after="0" w:line="247" w:lineRule="auto"/>
        <w:jc w:val="both"/>
        <w:sectPr>
          <w:footerReference w:type="default" r:id="rId166"/>
          <w:pgSz w:w="9360" w:h="13040"/>
          <w:pgMar w:footer="496" w:header="0" w:top="740" w:bottom="680" w:left="1300" w:right="1300"/>
          <w:pgNumType w:start="181"/>
        </w:sectPr>
      </w:pPr>
    </w:p>
    <w:p>
      <w:pPr>
        <w:tabs>
          <w:tab w:pos="5536" w:val="left" w:leader="none"/>
        </w:tabs>
        <w:spacing w:before="48"/>
        <w:ind w:left="400" w:right="0" w:hanging="295"/>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firstLine="283"/>
        <w:jc w:val="both"/>
      </w:pPr>
      <w:r>
        <w:rPr>
          <w:color w:val="231F20"/>
        </w:rPr>
        <w:t>En el Cuadro 1 se aprecia que el desequilibrio en el impacto territorial del programa a favor de la región norte (Díaz, 2009) se acentúa. Al igual que en 2004, el año 2010 tuvo un aumento histórico en el número de pro- yectos; estos años coinciden con los últimos dos procesos electorales para elegir gobernador en el estado de Guerrero. Es notoria la escasa participa- ción</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gobiernos</w:t>
      </w:r>
      <w:r>
        <w:rPr>
          <w:color w:val="231F20"/>
          <w:spacing w:val="-8"/>
        </w:rPr>
        <w:t> </w:t>
      </w:r>
      <w:r>
        <w:rPr>
          <w:color w:val="231F20"/>
        </w:rPr>
        <w:t>municipales.</w:t>
      </w:r>
      <w:r>
        <w:rPr>
          <w:color w:val="231F20"/>
          <w:spacing w:val="-8"/>
        </w:rPr>
        <w:t> </w:t>
      </w:r>
      <w:r>
        <w:rPr>
          <w:color w:val="231F20"/>
        </w:rPr>
        <w:t>Entre</w:t>
      </w:r>
      <w:r>
        <w:rPr>
          <w:color w:val="231F20"/>
          <w:spacing w:val="-8"/>
        </w:rPr>
        <w:t> </w:t>
      </w:r>
      <w:r>
        <w:rPr>
          <w:color w:val="231F20"/>
        </w:rPr>
        <w:t>2002</w:t>
      </w:r>
      <w:r>
        <w:rPr>
          <w:color w:val="231F20"/>
          <w:spacing w:val="-8"/>
        </w:rPr>
        <w:t> </w:t>
      </w:r>
      <w:r>
        <w:rPr>
          <w:color w:val="231F20"/>
        </w:rPr>
        <w:t>y</w:t>
      </w:r>
      <w:r>
        <w:rPr>
          <w:color w:val="231F20"/>
          <w:spacing w:val="-8"/>
        </w:rPr>
        <w:t> </w:t>
      </w:r>
      <w:r>
        <w:rPr>
          <w:color w:val="231F20"/>
        </w:rPr>
        <w:t>2010</w:t>
      </w:r>
      <w:r>
        <w:rPr>
          <w:color w:val="231F20"/>
          <w:spacing w:val="-8"/>
        </w:rPr>
        <w:t> </w:t>
      </w:r>
      <w:r>
        <w:rPr>
          <w:color w:val="231F20"/>
        </w:rPr>
        <w:t>se</w:t>
      </w:r>
      <w:r>
        <w:rPr>
          <w:color w:val="231F20"/>
          <w:spacing w:val="-8"/>
        </w:rPr>
        <w:t> </w:t>
      </w:r>
      <w:r>
        <w:rPr>
          <w:color w:val="231F20"/>
        </w:rPr>
        <w:t>han</w:t>
      </w:r>
      <w:r>
        <w:rPr>
          <w:color w:val="231F20"/>
          <w:spacing w:val="-8"/>
        </w:rPr>
        <w:t> </w:t>
      </w:r>
      <w:r>
        <w:rPr>
          <w:color w:val="231F20"/>
        </w:rPr>
        <w:t>realizado</w:t>
      </w:r>
      <w:r>
        <w:rPr>
          <w:color w:val="231F20"/>
          <w:spacing w:val="-8"/>
        </w:rPr>
        <w:t> </w:t>
      </w:r>
      <w:r>
        <w:rPr>
          <w:color w:val="231F20"/>
        </w:rPr>
        <w:t>377 obras,</w:t>
      </w:r>
      <w:r>
        <w:rPr>
          <w:color w:val="231F20"/>
          <w:spacing w:val="-6"/>
        </w:rPr>
        <w:t> </w:t>
      </w:r>
      <w:r>
        <w:rPr>
          <w:color w:val="231F20"/>
        </w:rPr>
        <w:t>con</w:t>
      </w:r>
      <w:r>
        <w:rPr>
          <w:color w:val="231F20"/>
          <w:spacing w:val="-6"/>
        </w:rPr>
        <w:t> </w:t>
      </w:r>
      <w:r>
        <w:rPr>
          <w:color w:val="231F20"/>
        </w:rPr>
        <w:t>una</w:t>
      </w:r>
      <w:r>
        <w:rPr>
          <w:color w:val="231F20"/>
          <w:spacing w:val="-6"/>
        </w:rPr>
        <w:t> </w:t>
      </w:r>
      <w:r>
        <w:rPr>
          <w:color w:val="231F20"/>
        </w:rPr>
        <w:t>inversión</w:t>
      </w:r>
      <w:r>
        <w:rPr>
          <w:color w:val="231F20"/>
          <w:spacing w:val="-6"/>
        </w:rPr>
        <w:t> </w:t>
      </w:r>
      <w:r>
        <w:rPr>
          <w:color w:val="231F20"/>
        </w:rPr>
        <w:t>total</w:t>
      </w:r>
      <w:r>
        <w:rPr>
          <w:color w:val="231F20"/>
          <w:spacing w:val="-6"/>
        </w:rPr>
        <w:t> </w:t>
      </w:r>
      <w:r>
        <w:rPr>
          <w:color w:val="231F20"/>
        </w:rPr>
        <w:t>de</w:t>
      </w:r>
      <w:r>
        <w:rPr>
          <w:color w:val="231F20"/>
          <w:spacing w:val="-6"/>
        </w:rPr>
        <w:t> </w:t>
      </w:r>
      <w:r>
        <w:rPr>
          <w:color w:val="231F20"/>
        </w:rPr>
        <w:t>236</w:t>
      </w:r>
      <w:r>
        <w:rPr>
          <w:color w:val="231F20"/>
          <w:spacing w:val="-6"/>
        </w:rPr>
        <w:t> </w:t>
      </w:r>
      <w:r>
        <w:rPr>
          <w:color w:val="231F20"/>
        </w:rPr>
        <w:t>millones</w:t>
      </w:r>
      <w:r>
        <w:rPr>
          <w:color w:val="231F20"/>
          <w:spacing w:val="-6"/>
        </w:rPr>
        <w:t> </w:t>
      </w:r>
      <w:r>
        <w:rPr>
          <w:color w:val="231F20"/>
        </w:rPr>
        <w:t>de</w:t>
      </w:r>
      <w:r>
        <w:rPr>
          <w:color w:val="231F20"/>
          <w:spacing w:val="-6"/>
        </w:rPr>
        <w:t> </w:t>
      </w:r>
      <w:r>
        <w:rPr>
          <w:color w:val="231F20"/>
        </w:rPr>
        <w:t>pesos,</w:t>
      </w:r>
      <w:r>
        <w:rPr>
          <w:color w:val="231F20"/>
          <w:spacing w:val="-6"/>
        </w:rPr>
        <w:t> </w:t>
      </w:r>
      <w:r>
        <w:rPr>
          <w:color w:val="231F20"/>
        </w:rPr>
        <w:t>en</w:t>
      </w:r>
      <w:r>
        <w:rPr>
          <w:color w:val="231F20"/>
          <w:spacing w:val="-6"/>
        </w:rPr>
        <w:t> </w:t>
      </w:r>
      <w:r>
        <w:rPr>
          <w:color w:val="231F20"/>
        </w:rPr>
        <w:t>beneficio</w:t>
      </w:r>
      <w:r>
        <w:rPr>
          <w:color w:val="231F20"/>
          <w:spacing w:val="-6"/>
        </w:rPr>
        <w:t> </w:t>
      </w:r>
      <w:r>
        <w:rPr>
          <w:color w:val="231F20"/>
        </w:rPr>
        <w:t>de</w:t>
      </w:r>
      <w:r>
        <w:rPr>
          <w:color w:val="231F20"/>
          <w:spacing w:val="-6"/>
        </w:rPr>
        <w:t> </w:t>
      </w:r>
      <w:r>
        <w:rPr>
          <w:color w:val="231F20"/>
        </w:rPr>
        <w:t>37 de 81 municipios.</w:t>
      </w:r>
    </w:p>
    <w:p>
      <w:pPr>
        <w:pStyle w:val="Heading3"/>
      </w:pPr>
      <w:r>
        <w:rPr>
          <w:color w:val="231F20"/>
        </w:rPr>
        <w:t>Experiencias de las organizaciones guerrerenses</w:t>
      </w:r>
    </w:p>
    <w:p>
      <w:pPr>
        <w:pStyle w:val="BodyText"/>
        <w:spacing w:line="247" w:lineRule="auto" w:before="172"/>
        <w:ind w:left="117" w:right="116"/>
        <w:jc w:val="both"/>
      </w:pPr>
      <w:r>
        <w:rPr>
          <w:color w:val="231F20"/>
        </w:rPr>
        <w:t>A pesar de que las obras sociales son responsabilidad de los gobiernos federal, estatal y municipal, los migrantes radicados en Estados Unidos en coordinación con la gente de las comunidades de origen, están dando una muy</w:t>
      </w:r>
      <w:r>
        <w:rPr>
          <w:color w:val="231F20"/>
          <w:spacing w:val="-8"/>
        </w:rPr>
        <w:t> </w:t>
      </w:r>
      <w:r>
        <w:rPr>
          <w:color w:val="231F20"/>
        </w:rPr>
        <w:t>buena</w:t>
      </w:r>
      <w:r>
        <w:rPr>
          <w:color w:val="231F20"/>
          <w:spacing w:val="-8"/>
        </w:rPr>
        <w:t> </w:t>
      </w:r>
      <w:r>
        <w:rPr>
          <w:color w:val="231F20"/>
        </w:rPr>
        <w:t>lección</w:t>
      </w:r>
      <w:r>
        <w:rPr>
          <w:color w:val="231F20"/>
          <w:spacing w:val="-8"/>
        </w:rPr>
        <w:t> </w:t>
      </w:r>
      <w:r>
        <w:rPr>
          <w:color w:val="231F20"/>
        </w:rPr>
        <w:t>de</w:t>
      </w:r>
      <w:r>
        <w:rPr>
          <w:color w:val="231F20"/>
          <w:spacing w:val="-8"/>
        </w:rPr>
        <w:t> </w:t>
      </w:r>
      <w:r>
        <w:rPr>
          <w:color w:val="231F20"/>
        </w:rPr>
        <w:t>política</w:t>
      </w:r>
      <w:r>
        <w:rPr>
          <w:color w:val="231F20"/>
          <w:spacing w:val="-8"/>
        </w:rPr>
        <w:t> </w:t>
      </w:r>
      <w:r>
        <w:rPr>
          <w:color w:val="231F20"/>
        </w:rPr>
        <w:t>pública</w:t>
      </w:r>
      <w:r>
        <w:rPr>
          <w:color w:val="231F20"/>
          <w:spacing w:val="-7"/>
        </w:rPr>
        <w:t> </w:t>
      </w:r>
      <w:r>
        <w:rPr>
          <w:color w:val="231F20"/>
        </w:rPr>
        <w:t>en</w:t>
      </w:r>
      <w:r>
        <w:rPr>
          <w:color w:val="231F20"/>
          <w:spacing w:val="-8"/>
        </w:rPr>
        <w:t> </w:t>
      </w:r>
      <w:r>
        <w:rPr>
          <w:color w:val="231F20"/>
        </w:rPr>
        <w:t>los</w:t>
      </w:r>
      <w:r>
        <w:rPr>
          <w:color w:val="231F20"/>
          <w:spacing w:val="-8"/>
        </w:rPr>
        <w:t> </w:t>
      </w:r>
      <w:r>
        <w:rPr>
          <w:color w:val="231F20"/>
        </w:rPr>
        <w:t>hechos.</w:t>
      </w:r>
      <w:r>
        <w:rPr>
          <w:color w:val="231F20"/>
          <w:spacing w:val="-8"/>
        </w:rPr>
        <w:t> </w:t>
      </w:r>
      <w:r>
        <w:rPr>
          <w:color w:val="231F20"/>
        </w:rPr>
        <w:t>Es</w:t>
      </w:r>
      <w:r>
        <w:rPr>
          <w:color w:val="231F20"/>
          <w:spacing w:val="-8"/>
        </w:rPr>
        <w:t> </w:t>
      </w:r>
      <w:r>
        <w:rPr>
          <w:color w:val="231F20"/>
        </w:rPr>
        <w:t>un</w:t>
      </w:r>
      <w:r>
        <w:rPr>
          <w:color w:val="231F20"/>
          <w:spacing w:val="-8"/>
        </w:rPr>
        <w:t> </w:t>
      </w:r>
      <w:r>
        <w:rPr>
          <w:color w:val="231F20"/>
        </w:rPr>
        <w:t>modelo</w:t>
      </w:r>
      <w:r>
        <w:rPr>
          <w:color w:val="231F20"/>
          <w:spacing w:val="-8"/>
        </w:rPr>
        <w:t> </w:t>
      </w:r>
      <w:r>
        <w:rPr>
          <w:color w:val="231F20"/>
        </w:rPr>
        <w:t>exitoso para que la comunidad se involucre en la solución de sus problemas. Hoy en día todavía no se valora, ni se tiene la visión de que:</w:t>
      </w:r>
    </w:p>
    <w:p>
      <w:pPr>
        <w:spacing w:line="249" w:lineRule="auto" w:before="168"/>
        <w:ind w:left="400" w:right="115" w:firstLine="0"/>
        <w:jc w:val="both"/>
        <w:rPr>
          <w:sz w:val="20"/>
        </w:rPr>
      </w:pPr>
      <w:r>
        <w:rPr>
          <w:sz w:val="20"/>
        </w:rPr>
        <w:t>Los migrantes no solamente envían dinero para las obras, para sus familiares, para el gasto corriente, también están aportando modelos que no han sido</w:t>
      </w:r>
      <w:r>
        <w:rPr>
          <w:spacing w:val="-32"/>
          <w:sz w:val="20"/>
        </w:rPr>
        <w:t> </w:t>
      </w:r>
      <w:r>
        <w:rPr>
          <w:sz w:val="20"/>
        </w:rPr>
        <w:t>bien entendidos y mucho menos bien utilizados (Gómez,</w:t>
      </w:r>
      <w:r>
        <w:rPr>
          <w:spacing w:val="-3"/>
          <w:sz w:val="20"/>
        </w:rPr>
        <w:t> </w:t>
      </w:r>
      <w:r>
        <w:rPr>
          <w:sz w:val="20"/>
        </w:rPr>
        <w:t>2006).</w:t>
      </w:r>
    </w:p>
    <w:p>
      <w:pPr>
        <w:pStyle w:val="BodyText"/>
        <w:spacing w:line="247" w:lineRule="auto" w:before="172"/>
        <w:ind w:left="117" w:right="115" w:firstLine="283"/>
        <w:jc w:val="both"/>
      </w:pPr>
      <w:r>
        <w:rPr>
          <w:color w:val="231F20"/>
        </w:rPr>
        <w:t>Las dieciséis lecciones de política pública son la sistematización de la experiencia de las organizaciones mexicanas radicadas en Chicago, cuyos orígenes datan de casi tres décadas y que fue retomada de entrevistas a múltiples actores, pero que en su mayoría corresponden al entonces re- presentante de las comunidades mexicanas en el exterior del Consulado Mexicano en Chicago.</w:t>
      </w:r>
    </w:p>
    <w:p>
      <w:pPr>
        <w:spacing w:before="149"/>
        <w:ind w:left="117" w:right="0" w:firstLine="0"/>
        <w:jc w:val="both"/>
        <w:rPr>
          <w:i/>
          <w:sz w:val="22"/>
        </w:rPr>
      </w:pPr>
      <w:r>
        <w:rPr>
          <w:i/>
          <w:color w:val="231F20"/>
          <w:sz w:val="22"/>
        </w:rPr>
        <w:t>Lecciones de política pública desde abajo</w:t>
      </w:r>
    </w:p>
    <w:p>
      <w:pPr>
        <w:pStyle w:val="ListParagraph"/>
        <w:numPr>
          <w:ilvl w:val="0"/>
          <w:numId w:val="4"/>
        </w:numPr>
        <w:tabs>
          <w:tab w:pos="478" w:val="left" w:leader="none"/>
        </w:tabs>
        <w:spacing w:line="247" w:lineRule="auto" w:before="177" w:after="0"/>
        <w:ind w:left="477" w:right="114" w:hanging="360"/>
        <w:jc w:val="both"/>
        <w:rPr>
          <w:sz w:val="22"/>
        </w:rPr>
      </w:pPr>
      <w:r>
        <w:rPr>
          <w:color w:val="231F20"/>
          <w:sz w:val="22"/>
        </w:rPr>
        <w:t>La </w:t>
      </w:r>
      <w:r>
        <w:rPr>
          <w:i/>
          <w:color w:val="231F20"/>
          <w:sz w:val="22"/>
        </w:rPr>
        <w:t>Asociación de Guerrerenses </w:t>
      </w:r>
      <w:r>
        <w:rPr>
          <w:color w:val="231F20"/>
          <w:sz w:val="22"/>
        </w:rPr>
        <w:t>fue una organización estatal surgida desde abajo en los años de 1980, que aglutinaba a clubes procedentes todos del</w:t>
      </w:r>
      <w:r>
        <w:rPr>
          <w:color w:val="231F20"/>
          <w:spacing w:val="-1"/>
          <w:sz w:val="22"/>
        </w:rPr>
        <w:t> </w:t>
      </w:r>
      <w:r>
        <w:rPr>
          <w:color w:val="231F20"/>
          <w:sz w:val="22"/>
        </w:rPr>
        <w:t>estado.</w:t>
      </w:r>
    </w:p>
    <w:p>
      <w:pPr>
        <w:pStyle w:val="ListParagraph"/>
        <w:numPr>
          <w:ilvl w:val="0"/>
          <w:numId w:val="4"/>
        </w:numPr>
        <w:tabs>
          <w:tab w:pos="478" w:val="left" w:leader="none"/>
        </w:tabs>
        <w:spacing w:line="247" w:lineRule="auto" w:before="0" w:after="0"/>
        <w:ind w:left="477" w:right="114" w:hanging="360"/>
        <w:jc w:val="both"/>
        <w:rPr>
          <w:sz w:val="22"/>
        </w:rPr>
      </w:pPr>
      <w:r>
        <w:rPr>
          <w:color w:val="231F20"/>
          <w:sz w:val="22"/>
        </w:rPr>
        <w:t>La </w:t>
      </w:r>
      <w:r>
        <w:rPr>
          <w:i/>
          <w:color w:val="231F20"/>
          <w:sz w:val="22"/>
        </w:rPr>
        <w:t>Federación Estatal </w:t>
      </w:r>
      <w:r>
        <w:rPr>
          <w:color w:val="231F20"/>
          <w:sz w:val="22"/>
        </w:rPr>
        <w:t>fue un modelo de organización creado por el Programa de Comunidades Mexicanas en el Exterior, para que otros clubes de una misma entidad federativa se agruparan. No existían clu- bes aglutinados en torno a una organización estatal, existían clubes de un</w:t>
      </w:r>
      <w:r>
        <w:rPr>
          <w:color w:val="231F20"/>
          <w:spacing w:val="-10"/>
          <w:sz w:val="22"/>
        </w:rPr>
        <w:t> </w:t>
      </w:r>
      <w:r>
        <w:rPr>
          <w:color w:val="231F20"/>
          <w:sz w:val="22"/>
        </w:rPr>
        <w:t>mismo</w:t>
      </w:r>
      <w:r>
        <w:rPr>
          <w:color w:val="231F20"/>
          <w:spacing w:val="-11"/>
          <w:sz w:val="22"/>
        </w:rPr>
        <w:t> </w:t>
      </w:r>
      <w:r>
        <w:rPr>
          <w:color w:val="231F20"/>
          <w:sz w:val="22"/>
        </w:rPr>
        <w:t>estado</w:t>
      </w:r>
      <w:r>
        <w:rPr>
          <w:color w:val="231F20"/>
          <w:spacing w:val="-11"/>
          <w:sz w:val="22"/>
        </w:rPr>
        <w:t> </w:t>
      </w:r>
      <w:r>
        <w:rPr>
          <w:color w:val="231F20"/>
          <w:sz w:val="22"/>
        </w:rPr>
        <w:t>pero</w:t>
      </w:r>
      <w:r>
        <w:rPr>
          <w:color w:val="231F20"/>
          <w:spacing w:val="-10"/>
          <w:sz w:val="22"/>
        </w:rPr>
        <w:t> </w:t>
      </w:r>
      <w:r>
        <w:rPr>
          <w:color w:val="231F20"/>
          <w:sz w:val="22"/>
        </w:rPr>
        <w:t>desarticulados,</w:t>
      </w:r>
      <w:r>
        <w:rPr>
          <w:color w:val="231F20"/>
          <w:spacing w:val="-11"/>
          <w:sz w:val="22"/>
        </w:rPr>
        <w:t> </w:t>
      </w:r>
      <w:r>
        <w:rPr>
          <w:color w:val="231F20"/>
          <w:sz w:val="22"/>
        </w:rPr>
        <w:t>muchas</w:t>
      </w:r>
      <w:r>
        <w:rPr>
          <w:color w:val="231F20"/>
          <w:spacing w:val="-11"/>
          <w:sz w:val="22"/>
        </w:rPr>
        <w:t> </w:t>
      </w:r>
      <w:r>
        <w:rPr>
          <w:color w:val="231F20"/>
          <w:sz w:val="22"/>
        </w:rPr>
        <w:t>veces</w:t>
      </w:r>
      <w:r>
        <w:rPr>
          <w:color w:val="231F20"/>
          <w:spacing w:val="-10"/>
          <w:sz w:val="22"/>
        </w:rPr>
        <w:t> </w:t>
      </w:r>
      <w:r>
        <w:rPr>
          <w:color w:val="231F20"/>
          <w:sz w:val="22"/>
        </w:rPr>
        <w:t>no</w:t>
      </w:r>
      <w:r>
        <w:rPr>
          <w:color w:val="231F20"/>
          <w:spacing w:val="-10"/>
          <w:sz w:val="22"/>
        </w:rPr>
        <w:t> </w:t>
      </w:r>
      <w:r>
        <w:rPr>
          <w:color w:val="231F20"/>
          <w:sz w:val="22"/>
        </w:rPr>
        <w:t>se</w:t>
      </w:r>
      <w:r>
        <w:rPr>
          <w:color w:val="231F20"/>
          <w:spacing w:val="-10"/>
          <w:sz w:val="22"/>
        </w:rPr>
        <w:t> </w:t>
      </w:r>
      <w:r>
        <w:rPr>
          <w:color w:val="231F20"/>
          <w:sz w:val="22"/>
        </w:rPr>
        <w:t>conocían</w:t>
      </w:r>
      <w:r>
        <w:rPr>
          <w:color w:val="231F20"/>
          <w:spacing w:val="-11"/>
          <w:sz w:val="22"/>
        </w:rPr>
        <w:t> </w:t>
      </w:r>
      <w:r>
        <w:rPr>
          <w:color w:val="231F20"/>
          <w:sz w:val="22"/>
        </w:rPr>
        <w:t>los unos con los</w:t>
      </w:r>
      <w:r>
        <w:rPr>
          <w:color w:val="231F20"/>
          <w:spacing w:val="-3"/>
          <w:sz w:val="22"/>
        </w:rPr>
        <w:t> </w:t>
      </w:r>
      <w:r>
        <w:rPr>
          <w:color w:val="231F20"/>
          <w:sz w:val="22"/>
        </w:rPr>
        <w:t>otros.</w:t>
      </w:r>
    </w:p>
    <w:p>
      <w:pPr>
        <w:pStyle w:val="ListParagraph"/>
        <w:numPr>
          <w:ilvl w:val="0"/>
          <w:numId w:val="4"/>
        </w:numPr>
        <w:tabs>
          <w:tab w:pos="478" w:val="left" w:leader="none"/>
        </w:tabs>
        <w:spacing w:line="247" w:lineRule="auto" w:before="0" w:after="0"/>
        <w:ind w:left="477" w:right="115" w:hanging="360"/>
        <w:jc w:val="both"/>
        <w:rPr>
          <w:sz w:val="22"/>
        </w:rPr>
      </w:pPr>
      <w:r>
        <w:rPr>
          <w:color w:val="231F20"/>
          <w:sz w:val="22"/>
        </w:rPr>
        <w:t>La</w:t>
      </w:r>
      <w:r>
        <w:rPr>
          <w:color w:val="231F20"/>
          <w:spacing w:val="-12"/>
          <w:sz w:val="22"/>
        </w:rPr>
        <w:t> </w:t>
      </w:r>
      <w:r>
        <w:rPr>
          <w:i/>
          <w:color w:val="231F20"/>
          <w:sz w:val="22"/>
        </w:rPr>
        <w:t>Federación</w:t>
      </w:r>
      <w:r>
        <w:rPr>
          <w:i/>
          <w:color w:val="231F20"/>
          <w:spacing w:val="-12"/>
          <w:sz w:val="22"/>
        </w:rPr>
        <w:t> </w:t>
      </w:r>
      <w:r>
        <w:rPr>
          <w:i/>
          <w:color w:val="231F20"/>
          <w:sz w:val="22"/>
        </w:rPr>
        <w:t>de</w:t>
      </w:r>
      <w:r>
        <w:rPr>
          <w:i/>
          <w:color w:val="231F20"/>
          <w:spacing w:val="-12"/>
          <w:sz w:val="22"/>
        </w:rPr>
        <w:t> </w:t>
      </w:r>
      <w:r>
        <w:rPr>
          <w:i/>
          <w:color w:val="231F20"/>
          <w:sz w:val="22"/>
        </w:rPr>
        <w:t>Guerrerenses</w:t>
      </w:r>
      <w:r>
        <w:rPr>
          <w:i/>
          <w:color w:val="231F20"/>
          <w:spacing w:val="-12"/>
          <w:sz w:val="22"/>
        </w:rPr>
        <w:t> </w:t>
      </w:r>
      <w:r>
        <w:rPr>
          <w:color w:val="231F20"/>
          <w:sz w:val="22"/>
        </w:rPr>
        <w:t>(FG)</w:t>
      </w:r>
      <w:r>
        <w:rPr>
          <w:color w:val="231F20"/>
          <w:spacing w:val="-12"/>
          <w:sz w:val="22"/>
        </w:rPr>
        <w:t> </w:t>
      </w:r>
      <w:r>
        <w:rPr>
          <w:color w:val="231F20"/>
          <w:sz w:val="22"/>
        </w:rPr>
        <w:t>fue</w:t>
      </w:r>
      <w:r>
        <w:rPr>
          <w:color w:val="231F20"/>
          <w:spacing w:val="-12"/>
          <w:sz w:val="22"/>
        </w:rPr>
        <w:t> </w:t>
      </w:r>
      <w:r>
        <w:rPr>
          <w:color w:val="231F20"/>
          <w:sz w:val="22"/>
        </w:rPr>
        <w:t>la</w:t>
      </w:r>
      <w:r>
        <w:rPr>
          <w:color w:val="231F20"/>
          <w:spacing w:val="-12"/>
          <w:sz w:val="22"/>
        </w:rPr>
        <w:t> </w:t>
      </w:r>
      <w:r>
        <w:rPr>
          <w:color w:val="231F20"/>
          <w:sz w:val="22"/>
        </w:rPr>
        <w:t>primera</w:t>
      </w:r>
      <w:r>
        <w:rPr>
          <w:color w:val="231F20"/>
          <w:spacing w:val="-12"/>
          <w:sz w:val="22"/>
        </w:rPr>
        <w:t> </w:t>
      </w:r>
      <w:r>
        <w:rPr>
          <w:color w:val="231F20"/>
          <w:sz w:val="22"/>
        </w:rPr>
        <w:t>organización</w:t>
      </w:r>
      <w:r>
        <w:rPr>
          <w:color w:val="231F20"/>
          <w:spacing w:val="-12"/>
          <w:sz w:val="22"/>
        </w:rPr>
        <w:t> </w:t>
      </w:r>
      <w:r>
        <w:rPr>
          <w:color w:val="231F20"/>
          <w:sz w:val="22"/>
        </w:rPr>
        <w:t>esta- tal que surgió en</w:t>
      </w:r>
      <w:r>
        <w:rPr>
          <w:color w:val="231F20"/>
          <w:spacing w:val="-9"/>
          <w:sz w:val="22"/>
        </w:rPr>
        <w:t> </w:t>
      </w:r>
      <w:r>
        <w:rPr>
          <w:color w:val="231F20"/>
          <w:sz w:val="22"/>
        </w:rPr>
        <w:t>Chicago.</w:t>
      </w:r>
    </w:p>
    <w:p>
      <w:pPr>
        <w:spacing w:after="0" w:line="247" w:lineRule="auto"/>
        <w:jc w:val="both"/>
        <w:rPr>
          <w:sz w:val="22"/>
        </w:rPr>
        <w:sectPr>
          <w:pgSz w:w="9360" w:h="13040"/>
          <w:pgMar w:header="0" w:footer="496" w:top="800" w:bottom="680" w:left="1300" w:right="1300"/>
        </w:sectPr>
      </w:pPr>
    </w:p>
    <w:p>
      <w:pPr>
        <w:spacing w:before="45"/>
        <w:ind w:left="207" w:right="117" w:firstLine="0"/>
        <w:jc w:val="left"/>
        <w:rPr>
          <w:rFonts w:ascii="Arial" w:hAnsi="Arial"/>
          <w:sz w:val="20"/>
        </w:rPr>
      </w:pPr>
      <w:r>
        <w:rPr>
          <w:rFonts w:ascii="Arial" w:hAnsi="Arial"/>
          <w:color w:val="231F20"/>
          <w:w w:val="70"/>
          <w:sz w:val="20"/>
        </w:rPr>
        <w:t>Políticas públicas de la migración transnacional entre México y Estados Unidos /Alejandro  Díaz-Garay</w:t>
      </w:r>
    </w:p>
    <w:p>
      <w:pPr>
        <w:pStyle w:val="BodyText"/>
        <w:rPr>
          <w:rFonts w:ascii="Arial"/>
          <w:sz w:val="20"/>
        </w:rPr>
      </w:pPr>
    </w:p>
    <w:p>
      <w:pPr>
        <w:pStyle w:val="BodyText"/>
        <w:spacing w:before="9" w:after="1"/>
        <w:rPr>
          <w:rFonts w:ascii="Arial"/>
          <w:sz w:val="16"/>
        </w:rPr>
      </w:pPr>
    </w:p>
    <w:tbl>
      <w:tblPr>
        <w:tblW w:w="0" w:type="auto"/>
        <w:jc w:val="left"/>
        <w:tblInd w:w="2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81"/>
        <w:gridCol w:w="3259"/>
        <w:gridCol w:w="706"/>
      </w:tblGrid>
      <w:tr>
        <w:trPr>
          <w:trHeight w:val="470" w:hRule="exact"/>
        </w:trPr>
        <w:tc>
          <w:tcPr>
            <w:tcW w:w="6346" w:type="dxa"/>
            <w:gridSpan w:val="3"/>
          </w:tcPr>
          <w:p>
            <w:pPr>
              <w:pStyle w:val="TableParagraph"/>
              <w:spacing w:line="247" w:lineRule="auto" w:before="10"/>
              <w:ind w:left="105" w:right="460"/>
              <w:jc w:val="left"/>
              <w:rPr>
                <w:sz w:val="19"/>
              </w:rPr>
            </w:pPr>
            <w:r>
              <w:rPr>
                <w:w w:val="105"/>
                <w:sz w:val="19"/>
              </w:rPr>
              <w:t>Cuadro 1. Regiones, municipios y obras realizadas con el Programa 3x1 para migrantes Guerrero 2002-2010</w:t>
            </w:r>
          </w:p>
        </w:tc>
      </w:tr>
      <w:tr>
        <w:trPr>
          <w:trHeight w:val="240" w:hRule="exact"/>
        </w:trPr>
        <w:tc>
          <w:tcPr>
            <w:tcW w:w="2381" w:type="dxa"/>
          </w:tcPr>
          <w:p>
            <w:pPr>
              <w:pStyle w:val="TableParagraph"/>
              <w:spacing w:before="5"/>
              <w:ind w:left="105"/>
              <w:jc w:val="left"/>
              <w:rPr>
                <w:sz w:val="19"/>
              </w:rPr>
            </w:pPr>
            <w:r>
              <w:rPr>
                <w:w w:val="105"/>
                <w:sz w:val="19"/>
              </w:rPr>
              <w:t>Región</w:t>
            </w:r>
          </w:p>
        </w:tc>
        <w:tc>
          <w:tcPr>
            <w:tcW w:w="3259" w:type="dxa"/>
          </w:tcPr>
          <w:p>
            <w:pPr>
              <w:pStyle w:val="TableParagraph"/>
              <w:spacing w:before="5"/>
              <w:ind w:left="100"/>
              <w:jc w:val="left"/>
              <w:rPr>
                <w:sz w:val="19"/>
              </w:rPr>
            </w:pPr>
            <w:r>
              <w:rPr>
                <w:w w:val="105"/>
                <w:sz w:val="19"/>
              </w:rPr>
              <w:t>Municipio</w:t>
            </w:r>
          </w:p>
        </w:tc>
        <w:tc>
          <w:tcPr>
            <w:tcW w:w="706" w:type="dxa"/>
          </w:tcPr>
          <w:p>
            <w:pPr>
              <w:pStyle w:val="TableParagraph"/>
              <w:spacing w:before="5"/>
              <w:ind w:right="97"/>
              <w:rPr>
                <w:sz w:val="19"/>
              </w:rPr>
            </w:pPr>
            <w:r>
              <w:rPr>
                <w:sz w:val="19"/>
              </w:rPr>
              <w:t>Obras</w:t>
            </w:r>
          </w:p>
        </w:tc>
      </w:tr>
      <w:tr>
        <w:trPr>
          <w:trHeight w:val="470" w:hRule="exact"/>
        </w:trPr>
        <w:tc>
          <w:tcPr>
            <w:tcW w:w="2381" w:type="dxa"/>
          </w:tcPr>
          <w:p>
            <w:pPr>
              <w:pStyle w:val="TableParagraph"/>
              <w:spacing w:before="5"/>
              <w:ind w:left="105"/>
              <w:jc w:val="left"/>
              <w:rPr>
                <w:sz w:val="19"/>
              </w:rPr>
            </w:pPr>
            <w:r>
              <w:rPr>
                <w:w w:val="105"/>
                <w:sz w:val="19"/>
              </w:rPr>
              <w:t>Acapulco</w:t>
            </w:r>
          </w:p>
          <w:p>
            <w:pPr>
              <w:pStyle w:val="TableParagraph"/>
              <w:spacing w:before="12"/>
              <w:ind w:left="105"/>
              <w:jc w:val="left"/>
              <w:rPr>
                <w:sz w:val="19"/>
              </w:rPr>
            </w:pPr>
            <w:r>
              <w:rPr>
                <w:w w:val="105"/>
                <w:sz w:val="19"/>
              </w:rPr>
              <w:t>2 (0.5 por ciento)</w:t>
            </w:r>
          </w:p>
        </w:tc>
        <w:tc>
          <w:tcPr>
            <w:tcW w:w="3259" w:type="dxa"/>
          </w:tcPr>
          <w:p>
            <w:pPr>
              <w:pStyle w:val="TableParagraph"/>
              <w:tabs>
                <w:tab w:pos="460" w:val="left" w:leader="none"/>
              </w:tabs>
              <w:spacing w:before="120"/>
              <w:ind w:left="100"/>
              <w:jc w:val="left"/>
              <w:rPr>
                <w:sz w:val="19"/>
              </w:rPr>
            </w:pPr>
            <w:r>
              <w:rPr>
                <w:w w:val="105"/>
                <w:sz w:val="19"/>
              </w:rPr>
              <w:t>1.</w:t>
              <w:tab/>
              <w:t>Acapulco</w:t>
            </w:r>
          </w:p>
        </w:tc>
        <w:tc>
          <w:tcPr>
            <w:tcW w:w="706" w:type="dxa"/>
          </w:tcPr>
          <w:p>
            <w:pPr>
              <w:pStyle w:val="TableParagraph"/>
              <w:spacing w:before="120"/>
              <w:ind w:right="98"/>
              <w:rPr>
                <w:sz w:val="19"/>
              </w:rPr>
            </w:pPr>
            <w:r>
              <w:rPr>
                <w:w w:val="103"/>
                <w:sz w:val="19"/>
              </w:rPr>
              <w:t>2</w:t>
            </w:r>
          </w:p>
        </w:tc>
      </w:tr>
      <w:tr>
        <w:trPr>
          <w:trHeight w:val="240" w:hRule="exact"/>
        </w:trPr>
        <w:tc>
          <w:tcPr>
            <w:tcW w:w="2381" w:type="dxa"/>
            <w:vMerge w:val="restart"/>
          </w:tcPr>
          <w:p>
            <w:pPr>
              <w:pStyle w:val="TableParagraph"/>
              <w:jc w:val="left"/>
              <w:rPr>
                <w:rFonts w:ascii="Arial"/>
                <w:sz w:val="20"/>
              </w:rPr>
            </w:pPr>
          </w:p>
          <w:p>
            <w:pPr>
              <w:pStyle w:val="TableParagraph"/>
              <w:jc w:val="left"/>
              <w:rPr>
                <w:rFonts w:ascii="Arial"/>
                <w:sz w:val="20"/>
              </w:rPr>
            </w:pPr>
          </w:p>
          <w:p>
            <w:pPr>
              <w:pStyle w:val="TableParagraph"/>
              <w:spacing w:before="150"/>
              <w:ind w:left="105"/>
              <w:jc w:val="left"/>
              <w:rPr>
                <w:sz w:val="19"/>
              </w:rPr>
            </w:pPr>
            <w:r>
              <w:rPr>
                <w:w w:val="105"/>
                <w:sz w:val="19"/>
              </w:rPr>
              <w:t>Centro</w:t>
            </w:r>
          </w:p>
          <w:p>
            <w:pPr>
              <w:pStyle w:val="TableParagraph"/>
              <w:spacing w:before="12"/>
              <w:ind w:left="105"/>
              <w:jc w:val="left"/>
              <w:rPr>
                <w:sz w:val="19"/>
              </w:rPr>
            </w:pPr>
            <w:r>
              <w:rPr>
                <w:w w:val="105"/>
                <w:sz w:val="19"/>
              </w:rPr>
              <w:t>27 (7.2 por ciento)</w:t>
            </w:r>
          </w:p>
        </w:tc>
        <w:tc>
          <w:tcPr>
            <w:tcW w:w="3259" w:type="dxa"/>
          </w:tcPr>
          <w:p>
            <w:pPr>
              <w:pStyle w:val="TableParagraph"/>
              <w:tabs>
                <w:tab w:pos="460" w:val="left" w:leader="none"/>
              </w:tabs>
              <w:spacing w:before="5"/>
              <w:ind w:left="100"/>
              <w:jc w:val="left"/>
              <w:rPr>
                <w:sz w:val="19"/>
              </w:rPr>
            </w:pPr>
            <w:r>
              <w:rPr>
                <w:w w:val="105"/>
                <w:sz w:val="19"/>
              </w:rPr>
              <w:t>2.</w:t>
              <w:tab/>
              <w:t>Chilapa de</w:t>
            </w:r>
            <w:r>
              <w:rPr>
                <w:spacing w:val="-6"/>
                <w:w w:val="105"/>
                <w:sz w:val="19"/>
              </w:rPr>
              <w:t> </w:t>
            </w:r>
            <w:r>
              <w:rPr>
                <w:w w:val="105"/>
                <w:sz w:val="19"/>
              </w:rPr>
              <w:t>Álvarez</w:t>
            </w:r>
          </w:p>
        </w:tc>
        <w:tc>
          <w:tcPr>
            <w:tcW w:w="706" w:type="dxa"/>
          </w:tcPr>
          <w:p>
            <w:pPr>
              <w:pStyle w:val="TableParagraph"/>
              <w:spacing w:before="5"/>
              <w:ind w:right="98"/>
              <w:rPr>
                <w:sz w:val="19"/>
              </w:rPr>
            </w:pPr>
            <w:r>
              <w:rPr>
                <w:w w:val="103"/>
                <w:sz w:val="19"/>
              </w:rPr>
              <w:t>6</w:t>
            </w:r>
          </w:p>
        </w:tc>
      </w:tr>
      <w:tr>
        <w:trPr>
          <w:trHeight w:val="240" w:hRule="exact"/>
        </w:trPr>
        <w:tc>
          <w:tcPr>
            <w:tcW w:w="2381" w:type="dxa"/>
            <w:vMerge/>
          </w:tcPr>
          <w:p>
            <w:pPr/>
          </w:p>
        </w:tc>
        <w:tc>
          <w:tcPr>
            <w:tcW w:w="3259" w:type="dxa"/>
          </w:tcPr>
          <w:p>
            <w:pPr>
              <w:pStyle w:val="TableParagraph"/>
              <w:tabs>
                <w:tab w:pos="460" w:val="left" w:leader="none"/>
              </w:tabs>
              <w:spacing w:before="5"/>
              <w:ind w:left="100"/>
              <w:jc w:val="left"/>
              <w:rPr>
                <w:sz w:val="19"/>
              </w:rPr>
            </w:pPr>
            <w:r>
              <w:rPr>
                <w:w w:val="105"/>
                <w:sz w:val="19"/>
              </w:rPr>
              <w:t>3.</w:t>
              <w:tab/>
              <w:t>Chilpancingo</w:t>
            </w:r>
          </w:p>
        </w:tc>
        <w:tc>
          <w:tcPr>
            <w:tcW w:w="706" w:type="dxa"/>
          </w:tcPr>
          <w:p>
            <w:pPr>
              <w:pStyle w:val="TableParagraph"/>
              <w:spacing w:before="5"/>
              <w:ind w:right="98"/>
              <w:rPr>
                <w:sz w:val="19"/>
              </w:rPr>
            </w:pPr>
            <w:r>
              <w:rPr>
                <w:w w:val="103"/>
                <w:sz w:val="19"/>
              </w:rPr>
              <w:t>8</w:t>
            </w:r>
          </w:p>
        </w:tc>
      </w:tr>
      <w:tr>
        <w:trPr>
          <w:trHeight w:val="240" w:hRule="exact"/>
        </w:trPr>
        <w:tc>
          <w:tcPr>
            <w:tcW w:w="2381" w:type="dxa"/>
            <w:vMerge/>
          </w:tcPr>
          <w:p>
            <w:pPr/>
          </w:p>
        </w:tc>
        <w:tc>
          <w:tcPr>
            <w:tcW w:w="3259" w:type="dxa"/>
          </w:tcPr>
          <w:p>
            <w:pPr>
              <w:pStyle w:val="TableParagraph"/>
              <w:tabs>
                <w:tab w:pos="460" w:val="left" w:leader="none"/>
              </w:tabs>
              <w:spacing w:before="5"/>
              <w:ind w:left="100"/>
              <w:jc w:val="left"/>
              <w:rPr>
                <w:sz w:val="19"/>
              </w:rPr>
            </w:pPr>
            <w:r>
              <w:rPr>
                <w:w w:val="105"/>
                <w:sz w:val="19"/>
              </w:rPr>
              <w:t>4.</w:t>
              <w:tab/>
              <w:t>Eduardo</w:t>
            </w:r>
            <w:r>
              <w:rPr>
                <w:spacing w:val="-2"/>
                <w:w w:val="105"/>
                <w:sz w:val="19"/>
              </w:rPr>
              <w:t> </w:t>
            </w:r>
            <w:r>
              <w:rPr>
                <w:w w:val="105"/>
                <w:sz w:val="19"/>
              </w:rPr>
              <w:t>Neri</w:t>
            </w:r>
          </w:p>
        </w:tc>
        <w:tc>
          <w:tcPr>
            <w:tcW w:w="706" w:type="dxa"/>
          </w:tcPr>
          <w:p>
            <w:pPr>
              <w:pStyle w:val="TableParagraph"/>
              <w:spacing w:before="5"/>
              <w:ind w:right="98"/>
              <w:rPr>
                <w:sz w:val="19"/>
              </w:rPr>
            </w:pPr>
            <w:r>
              <w:rPr>
                <w:w w:val="103"/>
                <w:sz w:val="19"/>
              </w:rPr>
              <w:t>2</w:t>
            </w:r>
          </w:p>
        </w:tc>
      </w:tr>
      <w:tr>
        <w:trPr>
          <w:trHeight w:val="240" w:hRule="exact"/>
        </w:trPr>
        <w:tc>
          <w:tcPr>
            <w:tcW w:w="2381" w:type="dxa"/>
            <w:vMerge/>
          </w:tcPr>
          <w:p>
            <w:pPr/>
          </w:p>
        </w:tc>
        <w:tc>
          <w:tcPr>
            <w:tcW w:w="3259" w:type="dxa"/>
          </w:tcPr>
          <w:p>
            <w:pPr>
              <w:pStyle w:val="TableParagraph"/>
              <w:tabs>
                <w:tab w:pos="460" w:val="left" w:leader="none"/>
              </w:tabs>
              <w:spacing w:before="5"/>
              <w:ind w:left="100"/>
              <w:jc w:val="left"/>
              <w:rPr>
                <w:sz w:val="19"/>
              </w:rPr>
            </w:pPr>
            <w:r>
              <w:rPr>
                <w:w w:val="105"/>
                <w:sz w:val="19"/>
              </w:rPr>
              <w:t>5.</w:t>
              <w:tab/>
              <w:t>Gral. Heliodoro</w:t>
            </w:r>
            <w:r>
              <w:rPr>
                <w:spacing w:val="-5"/>
                <w:w w:val="105"/>
                <w:sz w:val="19"/>
              </w:rPr>
              <w:t> </w:t>
            </w:r>
            <w:r>
              <w:rPr>
                <w:w w:val="105"/>
                <w:sz w:val="19"/>
              </w:rPr>
              <w:t>Castillo</w:t>
            </w:r>
          </w:p>
        </w:tc>
        <w:tc>
          <w:tcPr>
            <w:tcW w:w="706" w:type="dxa"/>
          </w:tcPr>
          <w:p>
            <w:pPr>
              <w:pStyle w:val="TableParagraph"/>
              <w:spacing w:before="5"/>
              <w:ind w:right="98"/>
              <w:rPr>
                <w:sz w:val="19"/>
              </w:rPr>
            </w:pPr>
            <w:r>
              <w:rPr>
                <w:w w:val="103"/>
                <w:sz w:val="19"/>
              </w:rPr>
              <w:t>1</w:t>
            </w:r>
          </w:p>
        </w:tc>
      </w:tr>
      <w:tr>
        <w:trPr>
          <w:trHeight w:val="240" w:hRule="exact"/>
        </w:trPr>
        <w:tc>
          <w:tcPr>
            <w:tcW w:w="2381" w:type="dxa"/>
            <w:vMerge/>
          </w:tcPr>
          <w:p>
            <w:pPr/>
          </w:p>
        </w:tc>
        <w:tc>
          <w:tcPr>
            <w:tcW w:w="3259" w:type="dxa"/>
          </w:tcPr>
          <w:p>
            <w:pPr>
              <w:pStyle w:val="TableParagraph"/>
              <w:tabs>
                <w:tab w:pos="460" w:val="left" w:leader="none"/>
              </w:tabs>
              <w:spacing w:before="5"/>
              <w:ind w:left="100"/>
              <w:jc w:val="left"/>
              <w:rPr>
                <w:sz w:val="19"/>
              </w:rPr>
            </w:pPr>
            <w:r>
              <w:rPr>
                <w:w w:val="105"/>
                <w:sz w:val="19"/>
              </w:rPr>
              <w:t>6.</w:t>
              <w:tab/>
              <w:t>Juan R.</w:t>
            </w:r>
            <w:r>
              <w:rPr>
                <w:spacing w:val="-5"/>
                <w:w w:val="105"/>
                <w:sz w:val="19"/>
              </w:rPr>
              <w:t> </w:t>
            </w:r>
            <w:r>
              <w:rPr>
                <w:w w:val="105"/>
                <w:sz w:val="19"/>
              </w:rPr>
              <w:t>Escudero</w:t>
            </w:r>
          </w:p>
        </w:tc>
        <w:tc>
          <w:tcPr>
            <w:tcW w:w="706" w:type="dxa"/>
          </w:tcPr>
          <w:p>
            <w:pPr>
              <w:pStyle w:val="TableParagraph"/>
              <w:spacing w:before="5"/>
              <w:ind w:right="98"/>
              <w:rPr>
                <w:sz w:val="19"/>
              </w:rPr>
            </w:pPr>
            <w:r>
              <w:rPr>
                <w:w w:val="103"/>
                <w:sz w:val="19"/>
              </w:rPr>
              <w:t>1</w:t>
            </w:r>
          </w:p>
        </w:tc>
      </w:tr>
      <w:tr>
        <w:trPr>
          <w:trHeight w:val="240" w:hRule="exact"/>
        </w:trPr>
        <w:tc>
          <w:tcPr>
            <w:tcW w:w="2381" w:type="dxa"/>
            <w:vMerge/>
          </w:tcPr>
          <w:p>
            <w:pPr/>
          </w:p>
        </w:tc>
        <w:tc>
          <w:tcPr>
            <w:tcW w:w="3259" w:type="dxa"/>
          </w:tcPr>
          <w:p>
            <w:pPr>
              <w:pStyle w:val="TableParagraph"/>
              <w:tabs>
                <w:tab w:pos="460" w:val="left" w:leader="none"/>
              </w:tabs>
              <w:spacing w:before="5"/>
              <w:ind w:left="100"/>
              <w:jc w:val="left"/>
              <w:rPr>
                <w:sz w:val="19"/>
              </w:rPr>
            </w:pPr>
            <w:r>
              <w:rPr>
                <w:w w:val="105"/>
                <w:sz w:val="19"/>
              </w:rPr>
              <w:t>7.</w:t>
              <w:tab/>
              <w:t>Leonardo</w:t>
            </w:r>
            <w:r>
              <w:rPr>
                <w:spacing w:val="-2"/>
                <w:w w:val="105"/>
                <w:sz w:val="19"/>
              </w:rPr>
              <w:t> </w:t>
            </w:r>
            <w:r>
              <w:rPr>
                <w:w w:val="105"/>
                <w:sz w:val="19"/>
              </w:rPr>
              <w:t>Bravo</w:t>
            </w:r>
          </w:p>
        </w:tc>
        <w:tc>
          <w:tcPr>
            <w:tcW w:w="706" w:type="dxa"/>
          </w:tcPr>
          <w:p>
            <w:pPr>
              <w:pStyle w:val="TableParagraph"/>
              <w:spacing w:before="5"/>
              <w:ind w:right="98"/>
              <w:rPr>
                <w:sz w:val="19"/>
              </w:rPr>
            </w:pPr>
            <w:r>
              <w:rPr>
                <w:w w:val="103"/>
                <w:sz w:val="19"/>
              </w:rPr>
              <w:t>8</w:t>
            </w:r>
          </w:p>
        </w:tc>
      </w:tr>
      <w:tr>
        <w:trPr>
          <w:trHeight w:val="240" w:hRule="exact"/>
        </w:trPr>
        <w:tc>
          <w:tcPr>
            <w:tcW w:w="2381" w:type="dxa"/>
            <w:vMerge/>
          </w:tcPr>
          <w:p>
            <w:pPr/>
          </w:p>
        </w:tc>
        <w:tc>
          <w:tcPr>
            <w:tcW w:w="3259" w:type="dxa"/>
          </w:tcPr>
          <w:p>
            <w:pPr>
              <w:pStyle w:val="TableParagraph"/>
              <w:tabs>
                <w:tab w:pos="460" w:val="left" w:leader="none"/>
              </w:tabs>
              <w:spacing w:before="5"/>
              <w:ind w:left="100"/>
              <w:jc w:val="left"/>
              <w:rPr>
                <w:sz w:val="19"/>
              </w:rPr>
            </w:pPr>
            <w:r>
              <w:rPr>
                <w:w w:val="105"/>
                <w:sz w:val="19"/>
              </w:rPr>
              <w:t>8.</w:t>
              <w:tab/>
              <w:t>Quechultenango</w:t>
            </w:r>
          </w:p>
        </w:tc>
        <w:tc>
          <w:tcPr>
            <w:tcW w:w="706" w:type="dxa"/>
          </w:tcPr>
          <w:p>
            <w:pPr>
              <w:pStyle w:val="TableParagraph"/>
              <w:spacing w:before="5"/>
              <w:ind w:right="98"/>
              <w:rPr>
                <w:sz w:val="19"/>
              </w:rPr>
            </w:pPr>
            <w:r>
              <w:rPr>
                <w:w w:val="103"/>
                <w:sz w:val="19"/>
              </w:rPr>
              <w:t>1</w:t>
            </w:r>
          </w:p>
        </w:tc>
      </w:tr>
      <w:tr>
        <w:trPr>
          <w:trHeight w:val="240" w:hRule="exact"/>
        </w:trPr>
        <w:tc>
          <w:tcPr>
            <w:tcW w:w="2381" w:type="dxa"/>
            <w:vMerge w:val="restart"/>
          </w:tcPr>
          <w:p>
            <w:pPr>
              <w:pStyle w:val="TableParagraph"/>
              <w:spacing w:before="8"/>
              <w:jc w:val="left"/>
              <w:rPr>
                <w:rFonts w:ascii="Arial"/>
                <w:sz w:val="21"/>
              </w:rPr>
            </w:pPr>
          </w:p>
          <w:p>
            <w:pPr>
              <w:pStyle w:val="TableParagraph"/>
              <w:ind w:left="105"/>
              <w:jc w:val="left"/>
              <w:rPr>
                <w:sz w:val="19"/>
              </w:rPr>
            </w:pPr>
            <w:r>
              <w:rPr>
                <w:w w:val="105"/>
                <w:sz w:val="19"/>
              </w:rPr>
              <w:t>Costa Chica</w:t>
            </w:r>
          </w:p>
          <w:p>
            <w:pPr>
              <w:pStyle w:val="TableParagraph"/>
              <w:spacing w:before="12"/>
              <w:ind w:left="105"/>
              <w:jc w:val="left"/>
              <w:rPr>
                <w:sz w:val="19"/>
              </w:rPr>
            </w:pPr>
            <w:r>
              <w:rPr>
                <w:w w:val="105"/>
                <w:sz w:val="19"/>
              </w:rPr>
              <w:t>8 (2.1 por ciento)</w:t>
            </w:r>
          </w:p>
        </w:tc>
        <w:tc>
          <w:tcPr>
            <w:tcW w:w="3259" w:type="dxa"/>
          </w:tcPr>
          <w:p>
            <w:pPr>
              <w:pStyle w:val="TableParagraph"/>
              <w:tabs>
                <w:tab w:pos="460" w:val="left" w:leader="none"/>
              </w:tabs>
              <w:spacing w:before="5"/>
              <w:ind w:left="100"/>
              <w:jc w:val="left"/>
              <w:rPr>
                <w:sz w:val="19"/>
              </w:rPr>
            </w:pPr>
            <w:r>
              <w:rPr>
                <w:w w:val="105"/>
                <w:sz w:val="19"/>
              </w:rPr>
              <w:t>9.</w:t>
              <w:tab/>
              <w:t>Copala</w:t>
            </w:r>
          </w:p>
        </w:tc>
        <w:tc>
          <w:tcPr>
            <w:tcW w:w="706" w:type="dxa"/>
          </w:tcPr>
          <w:p>
            <w:pPr>
              <w:pStyle w:val="TableParagraph"/>
              <w:spacing w:before="5"/>
              <w:ind w:right="98"/>
              <w:rPr>
                <w:sz w:val="19"/>
              </w:rPr>
            </w:pPr>
            <w:r>
              <w:rPr>
                <w:w w:val="103"/>
                <w:sz w:val="19"/>
              </w:rPr>
              <w:t>1</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10.  Cuajinicuilapa</w:t>
            </w:r>
          </w:p>
        </w:tc>
        <w:tc>
          <w:tcPr>
            <w:tcW w:w="706" w:type="dxa"/>
          </w:tcPr>
          <w:p>
            <w:pPr>
              <w:pStyle w:val="TableParagraph"/>
              <w:spacing w:before="5"/>
              <w:ind w:right="98"/>
              <w:rPr>
                <w:sz w:val="19"/>
              </w:rPr>
            </w:pPr>
            <w:r>
              <w:rPr>
                <w:w w:val="103"/>
                <w:sz w:val="19"/>
              </w:rPr>
              <w:t>1</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11.  Florencio Villareal</w:t>
            </w:r>
          </w:p>
        </w:tc>
        <w:tc>
          <w:tcPr>
            <w:tcW w:w="706" w:type="dxa"/>
          </w:tcPr>
          <w:p>
            <w:pPr>
              <w:pStyle w:val="TableParagraph"/>
              <w:spacing w:before="5"/>
              <w:ind w:right="98"/>
              <w:rPr>
                <w:sz w:val="19"/>
              </w:rPr>
            </w:pPr>
            <w:r>
              <w:rPr>
                <w:w w:val="103"/>
                <w:sz w:val="19"/>
              </w:rPr>
              <w:t>1</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12.  San Marcos</w:t>
            </w:r>
          </w:p>
        </w:tc>
        <w:tc>
          <w:tcPr>
            <w:tcW w:w="706" w:type="dxa"/>
          </w:tcPr>
          <w:p>
            <w:pPr>
              <w:pStyle w:val="TableParagraph"/>
              <w:spacing w:before="5"/>
              <w:ind w:right="98"/>
              <w:rPr>
                <w:sz w:val="19"/>
              </w:rPr>
            </w:pPr>
            <w:r>
              <w:rPr>
                <w:w w:val="103"/>
                <w:sz w:val="19"/>
              </w:rPr>
              <w:t>5</w:t>
            </w:r>
          </w:p>
        </w:tc>
      </w:tr>
      <w:tr>
        <w:trPr>
          <w:trHeight w:val="240" w:hRule="exact"/>
        </w:trPr>
        <w:tc>
          <w:tcPr>
            <w:tcW w:w="2381" w:type="dxa"/>
            <w:vMerge w:val="restart"/>
          </w:tcPr>
          <w:p>
            <w:pPr>
              <w:pStyle w:val="TableParagraph"/>
              <w:spacing w:before="10"/>
              <w:ind w:left="105"/>
              <w:jc w:val="left"/>
              <w:rPr>
                <w:sz w:val="19"/>
              </w:rPr>
            </w:pPr>
            <w:r>
              <w:rPr>
                <w:w w:val="105"/>
                <w:sz w:val="19"/>
              </w:rPr>
              <w:t>Costa Grande</w:t>
            </w:r>
          </w:p>
          <w:p>
            <w:pPr>
              <w:pStyle w:val="TableParagraph"/>
              <w:spacing w:before="12"/>
              <w:ind w:left="105"/>
              <w:jc w:val="left"/>
              <w:rPr>
                <w:sz w:val="19"/>
              </w:rPr>
            </w:pPr>
            <w:r>
              <w:rPr>
                <w:w w:val="105"/>
                <w:sz w:val="19"/>
              </w:rPr>
              <w:t>11 (2.9 por ciento)</w:t>
            </w:r>
          </w:p>
        </w:tc>
        <w:tc>
          <w:tcPr>
            <w:tcW w:w="3259" w:type="dxa"/>
          </w:tcPr>
          <w:p>
            <w:pPr>
              <w:pStyle w:val="TableParagraph"/>
              <w:spacing w:before="5"/>
              <w:ind w:left="100"/>
              <w:jc w:val="left"/>
              <w:rPr>
                <w:sz w:val="19"/>
              </w:rPr>
            </w:pPr>
            <w:r>
              <w:rPr>
                <w:w w:val="105"/>
                <w:sz w:val="19"/>
              </w:rPr>
              <w:t>13.  Atoyac de Álvarez</w:t>
            </w:r>
          </w:p>
        </w:tc>
        <w:tc>
          <w:tcPr>
            <w:tcW w:w="706" w:type="dxa"/>
          </w:tcPr>
          <w:p>
            <w:pPr>
              <w:pStyle w:val="TableParagraph"/>
              <w:spacing w:before="5"/>
              <w:ind w:right="98"/>
              <w:rPr>
                <w:sz w:val="19"/>
              </w:rPr>
            </w:pPr>
            <w:r>
              <w:rPr>
                <w:w w:val="103"/>
                <w:sz w:val="19"/>
              </w:rPr>
              <w:t>9</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14.  Tecpan de Galeana</w:t>
            </w:r>
          </w:p>
        </w:tc>
        <w:tc>
          <w:tcPr>
            <w:tcW w:w="706" w:type="dxa"/>
          </w:tcPr>
          <w:p>
            <w:pPr>
              <w:pStyle w:val="TableParagraph"/>
              <w:spacing w:before="5"/>
              <w:ind w:right="98"/>
              <w:rPr>
                <w:sz w:val="19"/>
              </w:rPr>
            </w:pPr>
            <w:r>
              <w:rPr>
                <w:w w:val="103"/>
                <w:sz w:val="19"/>
              </w:rPr>
              <w:t>2</w:t>
            </w:r>
          </w:p>
        </w:tc>
      </w:tr>
      <w:tr>
        <w:trPr>
          <w:trHeight w:val="240" w:hRule="exact"/>
        </w:trPr>
        <w:tc>
          <w:tcPr>
            <w:tcW w:w="2381" w:type="dxa"/>
            <w:vMerge w:val="restart"/>
          </w:tcPr>
          <w:p>
            <w:pPr>
              <w:pStyle w:val="TableParagraph"/>
              <w:jc w:val="left"/>
              <w:rPr>
                <w:rFonts w:ascii="Arial"/>
                <w:sz w:val="20"/>
              </w:rPr>
            </w:pPr>
          </w:p>
          <w:p>
            <w:pPr>
              <w:pStyle w:val="TableParagraph"/>
              <w:jc w:val="left"/>
              <w:rPr>
                <w:rFonts w:ascii="Arial"/>
                <w:sz w:val="20"/>
              </w:rPr>
            </w:pPr>
          </w:p>
          <w:p>
            <w:pPr>
              <w:pStyle w:val="TableParagraph"/>
              <w:spacing w:before="150"/>
              <w:ind w:left="105"/>
              <w:jc w:val="left"/>
              <w:rPr>
                <w:sz w:val="19"/>
              </w:rPr>
            </w:pPr>
            <w:r>
              <w:rPr>
                <w:w w:val="105"/>
                <w:sz w:val="19"/>
              </w:rPr>
              <w:t>Montaña</w:t>
            </w:r>
          </w:p>
          <w:p>
            <w:pPr>
              <w:pStyle w:val="TableParagraph"/>
              <w:spacing w:before="12"/>
              <w:ind w:left="105"/>
              <w:jc w:val="left"/>
              <w:rPr>
                <w:sz w:val="19"/>
              </w:rPr>
            </w:pPr>
            <w:r>
              <w:rPr>
                <w:w w:val="105"/>
                <w:sz w:val="19"/>
              </w:rPr>
              <w:t>39 (10.3 por ciento)</w:t>
            </w:r>
          </w:p>
        </w:tc>
        <w:tc>
          <w:tcPr>
            <w:tcW w:w="3259" w:type="dxa"/>
          </w:tcPr>
          <w:p>
            <w:pPr>
              <w:pStyle w:val="TableParagraph"/>
              <w:spacing w:before="5"/>
              <w:ind w:left="100"/>
              <w:jc w:val="left"/>
              <w:rPr>
                <w:sz w:val="19"/>
              </w:rPr>
            </w:pPr>
            <w:r>
              <w:rPr>
                <w:w w:val="105"/>
                <w:sz w:val="19"/>
              </w:rPr>
              <w:t>15.  Alpoyeca</w:t>
            </w:r>
          </w:p>
        </w:tc>
        <w:tc>
          <w:tcPr>
            <w:tcW w:w="706" w:type="dxa"/>
          </w:tcPr>
          <w:p>
            <w:pPr>
              <w:pStyle w:val="TableParagraph"/>
              <w:spacing w:before="5"/>
              <w:ind w:right="96"/>
              <w:rPr>
                <w:sz w:val="19"/>
              </w:rPr>
            </w:pPr>
            <w:r>
              <w:rPr>
                <w:sz w:val="19"/>
              </w:rPr>
              <w:t>12</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16.  Cualac</w:t>
            </w:r>
          </w:p>
        </w:tc>
        <w:tc>
          <w:tcPr>
            <w:tcW w:w="706" w:type="dxa"/>
          </w:tcPr>
          <w:p>
            <w:pPr>
              <w:pStyle w:val="TableParagraph"/>
              <w:spacing w:before="5"/>
              <w:ind w:right="98"/>
              <w:rPr>
                <w:sz w:val="19"/>
              </w:rPr>
            </w:pPr>
            <w:r>
              <w:rPr>
                <w:w w:val="103"/>
                <w:sz w:val="19"/>
              </w:rPr>
              <w:t>3</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17.  Huamuxtitlán</w:t>
            </w:r>
          </w:p>
        </w:tc>
        <w:tc>
          <w:tcPr>
            <w:tcW w:w="706" w:type="dxa"/>
          </w:tcPr>
          <w:p>
            <w:pPr>
              <w:pStyle w:val="TableParagraph"/>
              <w:spacing w:before="5"/>
              <w:ind w:right="98"/>
              <w:rPr>
                <w:sz w:val="19"/>
              </w:rPr>
            </w:pPr>
            <w:r>
              <w:rPr>
                <w:w w:val="103"/>
                <w:sz w:val="19"/>
              </w:rPr>
              <w:t>8</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18.  Malinaltepec</w:t>
            </w:r>
          </w:p>
        </w:tc>
        <w:tc>
          <w:tcPr>
            <w:tcW w:w="706" w:type="dxa"/>
          </w:tcPr>
          <w:p>
            <w:pPr>
              <w:pStyle w:val="TableParagraph"/>
              <w:spacing w:before="5"/>
              <w:ind w:right="98"/>
              <w:rPr>
                <w:sz w:val="19"/>
              </w:rPr>
            </w:pPr>
            <w:r>
              <w:rPr>
                <w:w w:val="103"/>
                <w:sz w:val="19"/>
              </w:rPr>
              <w:t>1</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19.  Olinalá</w:t>
            </w:r>
          </w:p>
        </w:tc>
        <w:tc>
          <w:tcPr>
            <w:tcW w:w="706" w:type="dxa"/>
          </w:tcPr>
          <w:p>
            <w:pPr>
              <w:pStyle w:val="TableParagraph"/>
              <w:spacing w:before="5"/>
              <w:ind w:right="98"/>
              <w:rPr>
                <w:sz w:val="19"/>
              </w:rPr>
            </w:pPr>
            <w:r>
              <w:rPr>
                <w:w w:val="103"/>
                <w:sz w:val="19"/>
              </w:rPr>
              <w:t>8</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20.  Tlalixtaquilla</w:t>
            </w:r>
          </w:p>
        </w:tc>
        <w:tc>
          <w:tcPr>
            <w:tcW w:w="706" w:type="dxa"/>
          </w:tcPr>
          <w:p>
            <w:pPr>
              <w:pStyle w:val="TableParagraph"/>
              <w:spacing w:before="5"/>
              <w:ind w:right="98"/>
              <w:rPr>
                <w:sz w:val="19"/>
              </w:rPr>
            </w:pPr>
            <w:r>
              <w:rPr>
                <w:w w:val="103"/>
                <w:sz w:val="19"/>
              </w:rPr>
              <w:t>1</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21.  Xalpatlahuac</w:t>
            </w:r>
          </w:p>
        </w:tc>
        <w:tc>
          <w:tcPr>
            <w:tcW w:w="706" w:type="dxa"/>
          </w:tcPr>
          <w:p>
            <w:pPr>
              <w:pStyle w:val="TableParagraph"/>
              <w:spacing w:before="5"/>
              <w:ind w:right="98"/>
              <w:rPr>
                <w:sz w:val="19"/>
              </w:rPr>
            </w:pPr>
            <w:r>
              <w:rPr>
                <w:w w:val="103"/>
                <w:sz w:val="19"/>
              </w:rPr>
              <w:t>6</w:t>
            </w:r>
          </w:p>
        </w:tc>
      </w:tr>
      <w:tr>
        <w:trPr>
          <w:trHeight w:val="240" w:hRule="exact"/>
        </w:trPr>
        <w:tc>
          <w:tcPr>
            <w:tcW w:w="2381" w:type="dxa"/>
            <w:vMerge w:val="restart"/>
          </w:tcPr>
          <w:p>
            <w:pPr>
              <w:pStyle w:val="TableParagraph"/>
              <w:jc w:val="left"/>
              <w:rPr>
                <w:rFonts w:ascii="Arial"/>
                <w:sz w:val="20"/>
              </w:rPr>
            </w:pPr>
          </w:p>
          <w:p>
            <w:pPr>
              <w:pStyle w:val="TableParagraph"/>
              <w:jc w:val="left"/>
              <w:rPr>
                <w:rFonts w:ascii="Arial"/>
                <w:sz w:val="20"/>
              </w:rPr>
            </w:pPr>
          </w:p>
          <w:p>
            <w:pPr>
              <w:pStyle w:val="TableParagraph"/>
              <w:jc w:val="left"/>
              <w:rPr>
                <w:rFonts w:ascii="Arial"/>
                <w:sz w:val="20"/>
              </w:rPr>
            </w:pPr>
          </w:p>
          <w:p>
            <w:pPr>
              <w:pStyle w:val="TableParagraph"/>
              <w:jc w:val="left"/>
              <w:rPr>
                <w:rFonts w:ascii="Arial"/>
                <w:sz w:val="20"/>
              </w:rPr>
            </w:pPr>
          </w:p>
          <w:p>
            <w:pPr>
              <w:pStyle w:val="TableParagraph"/>
              <w:jc w:val="left"/>
              <w:rPr>
                <w:rFonts w:ascii="Arial"/>
                <w:sz w:val="20"/>
              </w:rPr>
            </w:pPr>
          </w:p>
          <w:p>
            <w:pPr>
              <w:pStyle w:val="TableParagraph"/>
              <w:spacing w:before="180"/>
              <w:ind w:left="105"/>
              <w:jc w:val="left"/>
              <w:rPr>
                <w:sz w:val="19"/>
              </w:rPr>
            </w:pPr>
            <w:r>
              <w:rPr>
                <w:w w:val="105"/>
                <w:sz w:val="19"/>
              </w:rPr>
              <w:t>Norte</w:t>
            </w:r>
          </w:p>
          <w:p>
            <w:pPr>
              <w:pStyle w:val="TableParagraph"/>
              <w:spacing w:before="12"/>
              <w:ind w:left="105"/>
              <w:jc w:val="left"/>
              <w:rPr>
                <w:sz w:val="19"/>
              </w:rPr>
            </w:pPr>
            <w:r>
              <w:rPr>
                <w:w w:val="105"/>
                <w:sz w:val="19"/>
              </w:rPr>
              <w:t>272 (75.1 por ciento)</w:t>
            </w:r>
          </w:p>
        </w:tc>
        <w:tc>
          <w:tcPr>
            <w:tcW w:w="3259" w:type="dxa"/>
          </w:tcPr>
          <w:p>
            <w:pPr>
              <w:pStyle w:val="TableParagraph"/>
              <w:spacing w:before="5"/>
              <w:ind w:left="100"/>
              <w:jc w:val="left"/>
              <w:rPr>
                <w:sz w:val="19"/>
              </w:rPr>
            </w:pPr>
            <w:r>
              <w:rPr>
                <w:w w:val="105"/>
                <w:sz w:val="19"/>
              </w:rPr>
              <w:t>22.  Apaxtla de Castrejón</w:t>
            </w:r>
          </w:p>
        </w:tc>
        <w:tc>
          <w:tcPr>
            <w:tcW w:w="706" w:type="dxa"/>
          </w:tcPr>
          <w:p>
            <w:pPr>
              <w:pStyle w:val="TableParagraph"/>
              <w:spacing w:before="5"/>
              <w:ind w:right="98"/>
              <w:rPr>
                <w:sz w:val="19"/>
              </w:rPr>
            </w:pPr>
            <w:r>
              <w:rPr>
                <w:w w:val="103"/>
                <w:sz w:val="19"/>
              </w:rPr>
              <w:t>8</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23.  Buenavista de Cuellar</w:t>
            </w:r>
          </w:p>
        </w:tc>
        <w:tc>
          <w:tcPr>
            <w:tcW w:w="706" w:type="dxa"/>
          </w:tcPr>
          <w:p>
            <w:pPr>
              <w:pStyle w:val="TableParagraph"/>
              <w:spacing w:before="5"/>
              <w:ind w:right="96"/>
              <w:rPr>
                <w:sz w:val="19"/>
              </w:rPr>
            </w:pPr>
            <w:r>
              <w:rPr>
                <w:sz w:val="19"/>
              </w:rPr>
              <w:t>45</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24.  Cocula</w:t>
            </w:r>
          </w:p>
        </w:tc>
        <w:tc>
          <w:tcPr>
            <w:tcW w:w="706" w:type="dxa"/>
          </w:tcPr>
          <w:p>
            <w:pPr>
              <w:pStyle w:val="TableParagraph"/>
              <w:spacing w:before="5"/>
              <w:ind w:right="96"/>
              <w:rPr>
                <w:sz w:val="19"/>
              </w:rPr>
            </w:pPr>
            <w:r>
              <w:rPr>
                <w:sz w:val="19"/>
              </w:rPr>
              <w:t>26</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25.  Cuetzala del Progreso</w:t>
            </w:r>
          </w:p>
        </w:tc>
        <w:tc>
          <w:tcPr>
            <w:tcW w:w="706" w:type="dxa"/>
          </w:tcPr>
          <w:p>
            <w:pPr>
              <w:pStyle w:val="TableParagraph"/>
              <w:spacing w:before="5"/>
              <w:ind w:right="96"/>
              <w:rPr>
                <w:sz w:val="19"/>
              </w:rPr>
            </w:pPr>
            <w:r>
              <w:rPr>
                <w:sz w:val="19"/>
              </w:rPr>
              <w:t>24</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26.  General Canuto Neri</w:t>
            </w:r>
          </w:p>
        </w:tc>
        <w:tc>
          <w:tcPr>
            <w:tcW w:w="706" w:type="dxa"/>
          </w:tcPr>
          <w:p>
            <w:pPr>
              <w:pStyle w:val="TableParagraph"/>
              <w:spacing w:before="5"/>
              <w:ind w:right="98"/>
              <w:rPr>
                <w:sz w:val="19"/>
              </w:rPr>
            </w:pPr>
            <w:r>
              <w:rPr>
                <w:w w:val="103"/>
                <w:sz w:val="19"/>
              </w:rPr>
              <w:t>4</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27.  Huitzuco de los Figueroa</w:t>
            </w:r>
          </w:p>
        </w:tc>
        <w:tc>
          <w:tcPr>
            <w:tcW w:w="706" w:type="dxa"/>
          </w:tcPr>
          <w:p>
            <w:pPr>
              <w:pStyle w:val="TableParagraph"/>
              <w:spacing w:before="5"/>
              <w:ind w:right="98"/>
              <w:rPr>
                <w:sz w:val="19"/>
              </w:rPr>
            </w:pPr>
            <w:r>
              <w:rPr>
                <w:w w:val="103"/>
                <w:sz w:val="19"/>
              </w:rPr>
              <w:t>5</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28.  Iguala de la Independencia</w:t>
            </w:r>
          </w:p>
        </w:tc>
        <w:tc>
          <w:tcPr>
            <w:tcW w:w="706" w:type="dxa"/>
          </w:tcPr>
          <w:p>
            <w:pPr>
              <w:pStyle w:val="TableParagraph"/>
              <w:spacing w:before="5"/>
              <w:ind w:right="96"/>
              <w:rPr>
                <w:sz w:val="19"/>
              </w:rPr>
            </w:pPr>
            <w:r>
              <w:rPr>
                <w:sz w:val="19"/>
              </w:rPr>
              <w:t>24</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29.  Ixcateopan de Cuauhtémoc</w:t>
            </w:r>
          </w:p>
        </w:tc>
        <w:tc>
          <w:tcPr>
            <w:tcW w:w="706" w:type="dxa"/>
          </w:tcPr>
          <w:p>
            <w:pPr>
              <w:pStyle w:val="TableParagraph"/>
              <w:spacing w:before="5"/>
              <w:ind w:right="96"/>
              <w:rPr>
                <w:sz w:val="19"/>
              </w:rPr>
            </w:pPr>
            <w:r>
              <w:rPr>
                <w:sz w:val="19"/>
              </w:rPr>
              <w:t>21</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30.  Pedro Ascencio de Alquisiras</w:t>
            </w:r>
          </w:p>
        </w:tc>
        <w:tc>
          <w:tcPr>
            <w:tcW w:w="706" w:type="dxa"/>
          </w:tcPr>
          <w:p>
            <w:pPr>
              <w:pStyle w:val="TableParagraph"/>
              <w:spacing w:before="5"/>
              <w:ind w:right="96"/>
              <w:rPr>
                <w:sz w:val="19"/>
              </w:rPr>
            </w:pPr>
            <w:r>
              <w:rPr>
                <w:sz w:val="19"/>
              </w:rPr>
              <w:t>13</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31.  Pilcaya</w:t>
            </w:r>
          </w:p>
        </w:tc>
        <w:tc>
          <w:tcPr>
            <w:tcW w:w="706" w:type="dxa"/>
          </w:tcPr>
          <w:p>
            <w:pPr>
              <w:pStyle w:val="TableParagraph"/>
              <w:spacing w:before="5"/>
              <w:ind w:right="98"/>
              <w:rPr>
                <w:sz w:val="19"/>
              </w:rPr>
            </w:pPr>
            <w:r>
              <w:rPr>
                <w:w w:val="103"/>
                <w:sz w:val="19"/>
              </w:rPr>
              <w:t>4</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32.  Taxco de Alarcón</w:t>
            </w:r>
          </w:p>
        </w:tc>
        <w:tc>
          <w:tcPr>
            <w:tcW w:w="706" w:type="dxa"/>
          </w:tcPr>
          <w:p>
            <w:pPr>
              <w:pStyle w:val="TableParagraph"/>
              <w:spacing w:before="5"/>
              <w:ind w:right="96"/>
              <w:rPr>
                <w:sz w:val="19"/>
              </w:rPr>
            </w:pPr>
            <w:r>
              <w:rPr>
                <w:sz w:val="19"/>
              </w:rPr>
              <w:t>83</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33.  Teloloapan</w:t>
            </w:r>
          </w:p>
        </w:tc>
        <w:tc>
          <w:tcPr>
            <w:tcW w:w="706" w:type="dxa"/>
          </w:tcPr>
          <w:p>
            <w:pPr>
              <w:pStyle w:val="TableParagraph"/>
              <w:spacing w:before="5"/>
              <w:ind w:right="96"/>
              <w:rPr>
                <w:sz w:val="19"/>
              </w:rPr>
            </w:pPr>
            <w:r>
              <w:rPr>
                <w:sz w:val="19"/>
              </w:rPr>
              <w:t>14</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34.  Tepecoacuilco de Trujano</w:t>
            </w:r>
          </w:p>
        </w:tc>
        <w:tc>
          <w:tcPr>
            <w:tcW w:w="706" w:type="dxa"/>
          </w:tcPr>
          <w:p>
            <w:pPr>
              <w:pStyle w:val="TableParagraph"/>
              <w:spacing w:before="5"/>
              <w:ind w:right="96"/>
              <w:rPr>
                <w:sz w:val="19"/>
              </w:rPr>
            </w:pPr>
            <w:r>
              <w:rPr>
                <w:sz w:val="19"/>
              </w:rPr>
              <w:t>12</w:t>
            </w:r>
          </w:p>
        </w:tc>
      </w:tr>
      <w:tr>
        <w:trPr>
          <w:trHeight w:val="240" w:hRule="exact"/>
        </w:trPr>
        <w:tc>
          <w:tcPr>
            <w:tcW w:w="2381" w:type="dxa"/>
            <w:vMerge w:val="restart"/>
          </w:tcPr>
          <w:p>
            <w:pPr>
              <w:pStyle w:val="TableParagraph"/>
              <w:spacing w:before="130"/>
              <w:ind w:left="105"/>
              <w:jc w:val="left"/>
              <w:rPr>
                <w:sz w:val="19"/>
              </w:rPr>
            </w:pPr>
            <w:r>
              <w:rPr>
                <w:w w:val="105"/>
                <w:sz w:val="19"/>
              </w:rPr>
              <w:t>Tierra Caliente</w:t>
            </w:r>
          </w:p>
          <w:p>
            <w:pPr>
              <w:pStyle w:val="TableParagraph"/>
              <w:spacing w:before="12"/>
              <w:ind w:left="105"/>
              <w:jc w:val="left"/>
              <w:rPr>
                <w:sz w:val="19"/>
              </w:rPr>
            </w:pPr>
            <w:r>
              <w:rPr>
                <w:w w:val="105"/>
                <w:sz w:val="19"/>
              </w:rPr>
              <w:t>7 (1.9 por ciento)</w:t>
            </w:r>
          </w:p>
        </w:tc>
        <w:tc>
          <w:tcPr>
            <w:tcW w:w="3259" w:type="dxa"/>
          </w:tcPr>
          <w:p>
            <w:pPr>
              <w:pStyle w:val="TableParagraph"/>
              <w:spacing w:before="5"/>
              <w:ind w:left="100"/>
              <w:jc w:val="left"/>
              <w:rPr>
                <w:sz w:val="19"/>
              </w:rPr>
            </w:pPr>
            <w:r>
              <w:rPr>
                <w:w w:val="105"/>
                <w:sz w:val="19"/>
              </w:rPr>
              <w:t>35.  Ajuchitlán del Progreso</w:t>
            </w:r>
          </w:p>
        </w:tc>
        <w:tc>
          <w:tcPr>
            <w:tcW w:w="706" w:type="dxa"/>
          </w:tcPr>
          <w:p>
            <w:pPr>
              <w:pStyle w:val="TableParagraph"/>
              <w:spacing w:before="5"/>
              <w:ind w:right="98"/>
              <w:rPr>
                <w:sz w:val="19"/>
              </w:rPr>
            </w:pPr>
            <w:r>
              <w:rPr>
                <w:w w:val="103"/>
                <w:sz w:val="19"/>
              </w:rPr>
              <w:t>3</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36.  Coyuca de Catalán</w:t>
            </w:r>
          </w:p>
        </w:tc>
        <w:tc>
          <w:tcPr>
            <w:tcW w:w="706" w:type="dxa"/>
          </w:tcPr>
          <w:p>
            <w:pPr>
              <w:pStyle w:val="TableParagraph"/>
              <w:spacing w:before="5"/>
              <w:ind w:right="98"/>
              <w:rPr>
                <w:sz w:val="19"/>
              </w:rPr>
            </w:pPr>
            <w:r>
              <w:rPr>
                <w:w w:val="103"/>
                <w:sz w:val="19"/>
              </w:rPr>
              <w:t>1</w:t>
            </w:r>
          </w:p>
        </w:tc>
      </w:tr>
      <w:tr>
        <w:trPr>
          <w:trHeight w:val="240" w:hRule="exact"/>
        </w:trPr>
        <w:tc>
          <w:tcPr>
            <w:tcW w:w="2381" w:type="dxa"/>
            <w:vMerge/>
          </w:tcPr>
          <w:p>
            <w:pPr/>
          </w:p>
        </w:tc>
        <w:tc>
          <w:tcPr>
            <w:tcW w:w="3259" w:type="dxa"/>
          </w:tcPr>
          <w:p>
            <w:pPr>
              <w:pStyle w:val="TableParagraph"/>
              <w:spacing w:before="5"/>
              <w:ind w:left="100"/>
              <w:jc w:val="left"/>
              <w:rPr>
                <w:sz w:val="19"/>
              </w:rPr>
            </w:pPr>
            <w:r>
              <w:rPr>
                <w:w w:val="105"/>
                <w:sz w:val="19"/>
              </w:rPr>
              <w:t>37.  Tlapehuala</w:t>
            </w:r>
          </w:p>
        </w:tc>
        <w:tc>
          <w:tcPr>
            <w:tcW w:w="706" w:type="dxa"/>
          </w:tcPr>
          <w:p>
            <w:pPr>
              <w:pStyle w:val="TableParagraph"/>
              <w:spacing w:before="5"/>
              <w:ind w:right="98"/>
              <w:rPr>
                <w:sz w:val="19"/>
              </w:rPr>
            </w:pPr>
            <w:r>
              <w:rPr>
                <w:w w:val="103"/>
                <w:sz w:val="19"/>
              </w:rPr>
              <w:t>3</w:t>
            </w:r>
          </w:p>
        </w:tc>
      </w:tr>
      <w:tr>
        <w:trPr>
          <w:trHeight w:val="240" w:hRule="exact"/>
        </w:trPr>
        <w:tc>
          <w:tcPr>
            <w:tcW w:w="2381" w:type="dxa"/>
          </w:tcPr>
          <w:p>
            <w:pPr>
              <w:pStyle w:val="TableParagraph"/>
              <w:spacing w:before="5"/>
              <w:ind w:left="105"/>
              <w:jc w:val="left"/>
              <w:rPr>
                <w:sz w:val="19"/>
              </w:rPr>
            </w:pPr>
            <w:r>
              <w:rPr>
                <w:w w:val="105"/>
                <w:sz w:val="19"/>
              </w:rPr>
              <w:t>Total</w:t>
            </w:r>
          </w:p>
        </w:tc>
        <w:tc>
          <w:tcPr>
            <w:tcW w:w="3259" w:type="dxa"/>
          </w:tcPr>
          <w:p>
            <w:pPr>
              <w:pStyle w:val="TableParagraph"/>
              <w:spacing w:before="5"/>
              <w:ind w:left="100"/>
              <w:jc w:val="left"/>
              <w:rPr>
                <w:sz w:val="19"/>
              </w:rPr>
            </w:pPr>
            <w:r>
              <w:rPr>
                <w:w w:val="105"/>
                <w:sz w:val="19"/>
              </w:rPr>
              <w:t>GUERRERO</w:t>
            </w:r>
          </w:p>
        </w:tc>
        <w:tc>
          <w:tcPr>
            <w:tcW w:w="706" w:type="dxa"/>
          </w:tcPr>
          <w:p>
            <w:pPr>
              <w:pStyle w:val="TableParagraph"/>
              <w:spacing w:before="5"/>
              <w:ind w:right="96"/>
              <w:rPr>
                <w:sz w:val="19"/>
              </w:rPr>
            </w:pPr>
            <w:r>
              <w:rPr>
                <w:sz w:val="19"/>
              </w:rPr>
              <w:t>377</w:t>
            </w:r>
          </w:p>
        </w:tc>
      </w:tr>
      <w:tr>
        <w:trPr>
          <w:trHeight w:val="240" w:hRule="exact"/>
        </w:trPr>
        <w:tc>
          <w:tcPr>
            <w:tcW w:w="6346" w:type="dxa"/>
            <w:gridSpan w:val="3"/>
          </w:tcPr>
          <w:p>
            <w:pPr>
              <w:pStyle w:val="TableParagraph"/>
              <w:spacing w:line="183" w:lineRule="exact"/>
              <w:ind w:left="105" w:right="460"/>
              <w:jc w:val="left"/>
              <w:rPr>
                <w:sz w:val="16"/>
              </w:rPr>
            </w:pPr>
            <w:r>
              <w:rPr>
                <w:sz w:val="16"/>
              </w:rPr>
              <w:t>Fuente: elaborado con datos de la delegación Sedesol en Guerrero.</w:t>
            </w:r>
          </w:p>
        </w:tc>
      </w:tr>
    </w:tbl>
    <w:p>
      <w:pPr>
        <w:spacing w:after="0" w:line="183" w:lineRule="exact"/>
        <w:jc w:val="left"/>
        <w:rPr>
          <w:sz w:val="16"/>
        </w:rPr>
        <w:sectPr>
          <w:pgSz w:w="9360" w:h="13040"/>
          <w:pgMar w:header="0" w:footer="496" w:top="740" w:bottom="680" w:left="1300" w:right="1300"/>
        </w:sectPr>
      </w:pPr>
    </w:p>
    <w:p>
      <w:pPr>
        <w:tabs>
          <w:tab w:pos="5536" w:val="left" w:leader="none"/>
        </w:tabs>
        <w:spacing w:before="48"/>
        <w:ind w:left="105" w:right="117" w:firstLine="0"/>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ListParagraph"/>
        <w:numPr>
          <w:ilvl w:val="0"/>
          <w:numId w:val="4"/>
        </w:numPr>
        <w:tabs>
          <w:tab w:pos="478" w:val="left" w:leader="none"/>
        </w:tabs>
        <w:spacing w:line="247" w:lineRule="auto" w:before="0" w:after="0"/>
        <w:ind w:left="477" w:right="115" w:hanging="360"/>
        <w:jc w:val="both"/>
        <w:rPr>
          <w:sz w:val="22"/>
        </w:rPr>
      </w:pPr>
      <w:r>
        <w:rPr>
          <w:color w:val="231F20"/>
          <w:sz w:val="22"/>
        </w:rPr>
        <w:t>En 1991, se creó el primer acuerdo estatal para la creación de comités mixtos (clubes de migrantes y comités de vigilancia) para la</w:t>
      </w:r>
      <w:r>
        <w:rPr>
          <w:color w:val="231F20"/>
          <w:spacing w:val="-30"/>
          <w:sz w:val="22"/>
        </w:rPr>
        <w:t> </w:t>
      </w:r>
      <w:r>
        <w:rPr>
          <w:color w:val="231F20"/>
          <w:sz w:val="22"/>
        </w:rPr>
        <w:t>participa- ción de mexicanos que radicaran en el</w:t>
      </w:r>
      <w:r>
        <w:rPr>
          <w:color w:val="231F20"/>
          <w:spacing w:val="-16"/>
          <w:sz w:val="22"/>
        </w:rPr>
        <w:t> </w:t>
      </w:r>
      <w:r>
        <w:rPr>
          <w:color w:val="231F20"/>
          <w:sz w:val="22"/>
        </w:rPr>
        <w:t>exterior.</w:t>
      </w:r>
    </w:p>
    <w:p>
      <w:pPr>
        <w:pStyle w:val="ListParagraph"/>
        <w:numPr>
          <w:ilvl w:val="0"/>
          <w:numId w:val="4"/>
        </w:numPr>
        <w:tabs>
          <w:tab w:pos="478" w:val="left" w:leader="none"/>
        </w:tabs>
        <w:spacing w:line="247" w:lineRule="auto" w:before="0" w:after="0"/>
        <w:ind w:left="477" w:right="115" w:hanging="360"/>
        <w:jc w:val="both"/>
        <w:rPr>
          <w:sz w:val="22"/>
        </w:rPr>
      </w:pPr>
      <w:r>
        <w:rPr>
          <w:color w:val="231F20"/>
          <w:sz w:val="22"/>
        </w:rPr>
        <w:t>En</w:t>
      </w:r>
      <w:r>
        <w:rPr>
          <w:color w:val="231F20"/>
          <w:spacing w:val="-8"/>
          <w:sz w:val="22"/>
        </w:rPr>
        <w:t> </w:t>
      </w:r>
      <w:r>
        <w:rPr>
          <w:color w:val="231F20"/>
          <w:sz w:val="22"/>
        </w:rPr>
        <w:t>1998,</w:t>
      </w:r>
      <w:r>
        <w:rPr>
          <w:color w:val="231F20"/>
          <w:spacing w:val="-8"/>
          <w:sz w:val="22"/>
        </w:rPr>
        <w:t> </w:t>
      </w:r>
      <w:r>
        <w:rPr>
          <w:color w:val="231F20"/>
          <w:sz w:val="22"/>
        </w:rPr>
        <w:t>surgió</w:t>
      </w:r>
      <w:r>
        <w:rPr>
          <w:color w:val="231F20"/>
          <w:spacing w:val="-8"/>
          <w:sz w:val="22"/>
        </w:rPr>
        <w:t> </w:t>
      </w:r>
      <w:r>
        <w:rPr>
          <w:color w:val="231F20"/>
          <w:sz w:val="22"/>
        </w:rPr>
        <w:t>en</w:t>
      </w:r>
      <w:r>
        <w:rPr>
          <w:color w:val="231F20"/>
          <w:spacing w:val="-12"/>
          <w:sz w:val="22"/>
        </w:rPr>
        <w:t> </w:t>
      </w:r>
      <w:r>
        <w:rPr>
          <w:color w:val="231F20"/>
          <w:sz w:val="22"/>
        </w:rPr>
        <w:t>Temaxcalapa</w:t>
      </w:r>
      <w:r>
        <w:rPr>
          <w:color w:val="231F20"/>
          <w:spacing w:val="-8"/>
          <w:sz w:val="22"/>
        </w:rPr>
        <w:t> </w:t>
      </w:r>
      <w:r>
        <w:rPr>
          <w:color w:val="231F20"/>
          <w:sz w:val="22"/>
        </w:rPr>
        <w:t>el</w:t>
      </w:r>
      <w:r>
        <w:rPr>
          <w:color w:val="231F20"/>
          <w:spacing w:val="-8"/>
          <w:sz w:val="22"/>
        </w:rPr>
        <w:t> </w:t>
      </w:r>
      <w:r>
        <w:rPr>
          <w:color w:val="231F20"/>
          <w:sz w:val="22"/>
        </w:rPr>
        <w:t>primer</w:t>
      </w:r>
      <w:r>
        <w:rPr>
          <w:color w:val="231F20"/>
          <w:spacing w:val="-8"/>
          <w:sz w:val="22"/>
        </w:rPr>
        <w:t> </w:t>
      </w:r>
      <w:r>
        <w:rPr>
          <w:color w:val="231F20"/>
          <w:sz w:val="22"/>
        </w:rPr>
        <w:t>convenio</w:t>
      </w:r>
      <w:r>
        <w:rPr>
          <w:color w:val="231F20"/>
          <w:spacing w:val="-8"/>
          <w:sz w:val="22"/>
        </w:rPr>
        <w:t> </w:t>
      </w:r>
      <w:r>
        <w:rPr>
          <w:color w:val="231F20"/>
          <w:sz w:val="22"/>
        </w:rPr>
        <w:t>de</w:t>
      </w:r>
      <w:r>
        <w:rPr>
          <w:color w:val="231F20"/>
          <w:spacing w:val="-8"/>
          <w:sz w:val="22"/>
        </w:rPr>
        <w:t> </w:t>
      </w:r>
      <w:r>
        <w:rPr>
          <w:color w:val="231F20"/>
          <w:sz w:val="22"/>
        </w:rPr>
        <w:t>trabajo</w:t>
      </w:r>
      <w:r>
        <w:rPr>
          <w:color w:val="231F20"/>
          <w:spacing w:val="-8"/>
          <w:sz w:val="22"/>
        </w:rPr>
        <w:t> </w:t>
      </w:r>
      <w:r>
        <w:rPr>
          <w:color w:val="231F20"/>
          <w:sz w:val="22"/>
        </w:rPr>
        <w:t>entre</w:t>
      </w:r>
      <w:r>
        <w:rPr>
          <w:color w:val="231F20"/>
          <w:spacing w:val="-8"/>
          <w:sz w:val="22"/>
        </w:rPr>
        <w:t> </w:t>
      </w:r>
      <w:r>
        <w:rPr>
          <w:color w:val="231F20"/>
          <w:sz w:val="22"/>
        </w:rPr>
        <w:t>el gobierno</w:t>
      </w:r>
      <w:r>
        <w:rPr>
          <w:color w:val="231F20"/>
          <w:spacing w:val="-4"/>
          <w:sz w:val="22"/>
        </w:rPr>
        <w:t> </w:t>
      </w:r>
      <w:r>
        <w:rPr>
          <w:color w:val="231F20"/>
          <w:sz w:val="22"/>
        </w:rPr>
        <w:t>del</w:t>
      </w:r>
      <w:r>
        <w:rPr>
          <w:color w:val="231F20"/>
          <w:spacing w:val="-4"/>
          <w:sz w:val="22"/>
        </w:rPr>
        <w:t> </w:t>
      </w:r>
      <w:r>
        <w:rPr>
          <w:color w:val="231F20"/>
          <w:sz w:val="22"/>
        </w:rPr>
        <w:t>estado</w:t>
      </w:r>
      <w:r>
        <w:rPr>
          <w:color w:val="231F20"/>
          <w:spacing w:val="-5"/>
          <w:sz w:val="22"/>
        </w:rPr>
        <w:t> </w:t>
      </w:r>
      <w:r>
        <w:rPr>
          <w:color w:val="231F20"/>
          <w:sz w:val="22"/>
        </w:rPr>
        <w:t>y</w:t>
      </w:r>
      <w:r>
        <w:rPr>
          <w:color w:val="231F20"/>
          <w:spacing w:val="-4"/>
          <w:sz w:val="22"/>
        </w:rPr>
        <w:t> </w:t>
      </w:r>
      <w:r>
        <w:rPr>
          <w:color w:val="231F20"/>
          <w:sz w:val="22"/>
        </w:rPr>
        <w:t>la</w:t>
      </w:r>
      <w:r>
        <w:rPr>
          <w:color w:val="231F20"/>
          <w:spacing w:val="-4"/>
          <w:sz w:val="22"/>
        </w:rPr>
        <w:t> </w:t>
      </w:r>
      <w:r>
        <w:rPr>
          <w:color w:val="231F20"/>
          <w:sz w:val="22"/>
        </w:rPr>
        <w:t>FG</w:t>
      </w:r>
      <w:r>
        <w:rPr>
          <w:color w:val="231F20"/>
          <w:spacing w:val="-4"/>
          <w:sz w:val="22"/>
        </w:rPr>
        <w:t> </w:t>
      </w:r>
      <w:r>
        <w:rPr>
          <w:color w:val="231F20"/>
          <w:sz w:val="22"/>
        </w:rPr>
        <w:t>tipo</w:t>
      </w:r>
      <w:r>
        <w:rPr>
          <w:color w:val="231F20"/>
          <w:spacing w:val="-4"/>
          <w:sz w:val="22"/>
        </w:rPr>
        <w:t> </w:t>
      </w:r>
      <w:r>
        <w:rPr>
          <w:color w:val="231F20"/>
          <w:sz w:val="22"/>
        </w:rPr>
        <w:t>3x1.</w:t>
      </w:r>
      <w:r>
        <w:rPr>
          <w:color w:val="231F20"/>
          <w:spacing w:val="-4"/>
          <w:sz w:val="22"/>
        </w:rPr>
        <w:t> </w:t>
      </w:r>
      <w:r>
        <w:rPr>
          <w:color w:val="231F20"/>
          <w:sz w:val="22"/>
        </w:rPr>
        <w:t>El</w:t>
      </w:r>
      <w:r>
        <w:rPr>
          <w:color w:val="231F20"/>
          <w:spacing w:val="-4"/>
          <w:sz w:val="22"/>
        </w:rPr>
        <w:t> </w:t>
      </w:r>
      <w:r>
        <w:rPr>
          <w:color w:val="231F20"/>
          <w:sz w:val="22"/>
        </w:rPr>
        <w:t>gobierno</w:t>
      </w:r>
      <w:r>
        <w:rPr>
          <w:color w:val="231F20"/>
          <w:spacing w:val="-4"/>
          <w:sz w:val="22"/>
        </w:rPr>
        <w:t> </w:t>
      </w:r>
      <w:r>
        <w:rPr>
          <w:color w:val="231F20"/>
          <w:sz w:val="22"/>
        </w:rPr>
        <w:t>del</w:t>
      </w:r>
      <w:r>
        <w:rPr>
          <w:color w:val="231F20"/>
          <w:spacing w:val="-4"/>
          <w:sz w:val="22"/>
        </w:rPr>
        <w:t> </w:t>
      </w:r>
      <w:r>
        <w:rPr>
          <w:color w:val="231F20"/>
          <w:sz w:val="22"/>
        </w:rPr>
        <w:t>estado</w:t>
      </w:r>
      <w:r>
        <w:rPr>
          <w:color w:val="231F20"/>
          <w:spacing w:val="-4"/>
          <w:sz w:val="22"/>
        </w:rPr>
        <w:t> </w:t>
      </w:r>
      <w:r>
        <w:rPr>
          <w:color w:val="231F20"/>
          <w:sz w:val="22"/>
        </w:rPr>
        <w:t>asumía</w:t>
      </w:r>
      <w:r>
        <w:rPr>
          <w:color w:val="231F20"/>
          <w:spacing w:val="-5"/>
          <w:sz w:val="22"/>
        </w:rPr>
        <w:t> </w:t>
      </w:r>
      <w:r>
        <w:rPr>
          <w:color w:val="231F20"/>
          <w:sz w:val="22"/>
        </w:rPr>
        <w:t>el compromiso de gestionar ante el gobierno federal el</w:t>
      </w:r>
      <w:r>
        <w:rPr>
          <w:color w:val="231F20"/>
          <w:spacing w:val="-2"/>
          <w:sz w:val="22"/>
        </w:rPr>
        <w:t> </w:t>
      </w:r>
      <w:r>
        <w:rPr>
          <w:color w:val="231F20"/>
          <w:sz w:val="22"/>
        </w:rPr>
        <w:t>recurso.</w:t>
      </w:r>
    </w:p>
    <w:p>
      <w:pPr>
        <w:pStyle w:val="ListParagraph"/>
        <w:numPr>
          <w:ilvl w:val="0"/>
          <w:numId w:val="4"/>
        </w:numPr>
        <w:tabs>
          <w:tab w:pos="478" w:val="left" w:leader="none"/>
        </w:tabs>
        <w:spacing w:line="247" w:lineRule="auto" w:before="0" w:after="0"/>
        <w:ind w:left="477" w:right="115" w:hanging="360"/>
        <w:jc w:val="both"/>
        <w:rPr>
          <w:sz w:val="22"/>
        </w:rPr>
      </w:pPr>
      <w:r>
        <w:rPr>
          <w:color w:val="231F20"/>
          <w:sz w:val="22"/>
        </w:rPr>
        <w:t>El concepto de semana cultural fue una iniciativa de la FG. Actual- mente,</w:t>
      </w:r>
      <w:r>
        <w:rPr>
          <w:color w:val="231F20"/>
          <w:spacing w:val="-6"/>
          <w:sz w:val="22"/>
        </w:rPr>
        <w:t> </w:t>
      </w:r>
      <w:r>
        <w:rPr>
          <w:color w:val="231F20"/>
          <w:sz w:val="22"/>
        </w:rPr>
        <w:t>casi</w:t>
      </w:r>
      <w:r>
        <w:rPr>
          <w:color w:val="231F20"/>
          <w:spacing w:val="-6"/>
          <w:sz w:val="22"/>
        </w:rPr>
        <w:t> </w:t>
      </w:r>
      <w:r>
        <w:rPr>
          <w:color w:val="231F20"/>
          <w:sz w:val="22"/>
        </w:rPr>
        <w:t>con</w:t>
      </w:r>
      <w:r>
        <w:rPr>
          <w:color w:val="231F20"/>
          <w:spacing w:val="-6"/>
          <w:sz w:val="22"/>
        </w:rPr>
        <w:t> </w:t>
      </w:r>
      <w:r>
        <w:rPr>
          <w:color w:val="231F20"/>
          <w:sz w:val="22"/>
        </w:rPr>
        <w:t>todos</w:t>
      </w:r>
      <w:r>
        <w:rPr>
          <w:color w:val="231F20"/>
          <w:spacing w:val="-6"/>
          <w:sz w:val="22"/>
        </w:rPr>
        <w:t> </w:t>
      </w:r>
      <w:r>
        <w:rPr>
          <w:color w:val="231F20"/>
          <w:sz w:val="22"/>
        </w:rPr>
        <w:t>los</w:t>
      </w:r>
      <w:r>
        <w:rPr>
          <w:color w:val="231F20"/>
          <w:spacing w:val="-6"/>
          <w:sz w:val="22"/>
        </w:rPr>
        <w:t> </w:t>
      </w:r>
      <w:r>
        <w:rPr>
          <w:color w:val="231F20"/>
          <w:sz w:val="22"/>
        </w:rPr>
        <w:t>estados</w:t>
      </w:r>
      <w:r>
        <w:rPr>
          <w:color w:val="231F20"/>
          <w:spacing w:val="-6"/>
          <w:sz w:val="22"/>
        </w:rPr>
        <w:t> </w:t>
      </w:r>
      <w:r>
        <w:rPr>
          <w:color w:val="231F20"/>
          <w:sz w:val="22"/>
        </w:rPr>
        <w:t>que</w:t>
      </w:r>
      <w:r>
        <w:rPr>
          <w:color w:val="231F20"/>
          <w:spacing w:val="-6"/>
          <w:sz w:val="22"/>
        </w:rPr>
        <w:t> </w:t>
      </w:r>
      <w:r>
        <w:rPr>
          <w:color w:val="231F20"/>
          <w:sz w:val="22"/>
        </w:rPr>
        <w:t>tienen</w:t>
      </w:r>
      <w:r>
        <w:rPr>
          <w:color w:val="231F20"/>
          <w:spacing w:val="-6"/>
          <w:sz w:val="22"/>
        </w:rPr>
        <w:t> </w:t>
      </w:r>
      <w:r>
        <w:rPr>
          <w:color w:val="231F20"/>
          <w:sz w:val="22"/>
        </w:rPr>
        <w:t>federaciones</w:t>
      </w:r>
      <w:r>
        <w:rPr>
          <w:color w:val="231F20"/>
          <w:spacing w:val="-6"/>
          <w:sz w:val="22"/>
        </w:rPr>
        <w:t> </w:t>
      </w:r>
      <w:r>
        <w:rPr>
          <w:color w:val="231F20"/>
          <w:sz w:val="22"/>
        </w:rPr>
        <w:t>(14)</w:t>
      </w:r>
      <w:r>
        <w:rPr>
          <w:color w:val="231F20"/>
          <w:spacing w:val="-6"/>
          <w:sz w:val="22"/>
        </w:rPr>
        <w:t> </w:t>
      </w:r>
      <w:r>
        <w:rPr>
          <w:color w:val="231F20"/>
          <w:sz w:val="22"/>
        </w:rPr>
        <w:t>realizan un encuentro cultural cada</w:t>
      </w:r>
      <w:r>
        <w:rPr>
          <w:color w:val="231F20"/>
          <w:spacing w:val="-3"/>
          <w:sz w:val="22"/>
        </w:rPr>
        <w:t> </w:t>
      </w:r>
      <w:r>
        <w:rPr>
          <w:color w:val="231F20"/>
          <w:sz w:val="22"/>
        </w:rPr>
        <w:t>año.</w:t>
      </w:r>
    </w:p>
    <w:p>
      <w:pPr>
        <w:pStyle w:val="ListParagraph"/>
        <w:numPr>
          <w:ilvl w:val="0"/>
          <w:numId w:val="4"/>
        </w:numPr>
        <w:tabs>
          <w:tab w:pos="478" w:val="left" w:leader="none"/>
        </w:tabs>
        <w:spacing w:line="247" w:lineRule="auto" w:before="0" w:after="0"/>
        <w:ind w:left="477" w:right="114" w:hanging="360"/>
        <w:jc w:val="both"/>
        <w:rPr>
          <w:sz w:val="22"/>
        </w:rPr>
      </w:pPr>
      <w:r>
        <w:rPr>
          <w:color w:val="231F20"/>
          <w:sz w:val="22"/>
        </w:rPr>
        <w:t>Cuando la FG empezó a crecer, la falta de madurez en los liderazgos vigentes llevó a la adopción de prácticas de corporativismo y coopta- ción política, que derivó en</w:t>
      </w:r>
      <w:r>
        <w:rPr>
          <w:color w:val="231F20"/>
          <w:spacing w:val="-2"/>
          <w:sz w:val="22"/>
        </w:rPr>
        <w:t> </w:t>
      </w:r>
      <w:r>
        <w:rPr>
          <w:color w:val="231F20"/>
          <w:sz w:val="22"/>
        </w:rPr>
        <w:t>manipulación.</w:t>
      </w:r>
    </w:p>
    <w:p>
      <w:pPr>
        <w:pStyle w:val="ListParagraph"/>
        <w:numPr>
          <w:ilvl w:val="0"/>
          <w:numId w:val="4"/>
        </w:numPr>
        <w:tabs>
          <w:tab w:pos="478" w:val="left" w:leader="none"/>
        </w:tabs>
        <w:spacing w:line="247" w:lineRule="auto" w:before="0" w:after="0"/>
        <w:ind w:left="477" w:right="115" w:hanging="360"/>
        <w:jc w:val="both"/>
        <w:rPr>
          <w:sz w:val="22"/>
        </w:rPr>
      </w:pPr>
      <w:r>
        <w:rPr>
          <w:color w:val="231F20"/>
          <w:sz w:val="22"/>
        </w:rPr>
        <w:t>En 2003, la FG sufrió una ruptura y se creó una organización estatal paralela llamada </w:t>
      </w:r>
      <w:r>
        <w:rPr>
          <w:i/>
          <w:color w:val="231F20"/>
          <w:sz w:val="22"/>
        </w:rPr>
        <w:t>Clubes Unidos Guerrerenses del Medio</w:t>
      </w:r>
      <w:r>
        <w:rPr>
          <w:i/>
          <w:color w:val="231F20"/>
          <w:spacing w:val="-33"/>
          <w:sz w:val="22"/>
        </w:rPr>
        <w:t> </w:t>
      </w:r>
      <w:r>
        <w:rPr>
          <w:i/>
          <w:color w:val="231F20"/>
          <w:sz w:val="22"/>
        </w:rPr>
        <w:t>Oeste</w:t>
      </w:r>
      <w:r>
        <w:rPr>
          <w:color w:val="231F20"/>
          <w:sz w:val="22"/>
        </w:rPr>
        <w:t>.</w:t>
      </w:r>
    </w:p>
    <w:p>
      <w:pPr>
        <w:pStyle w:val="ListParagraph"/>
        <w:numPr>
          <w:ilvl w:val="0"/>
          <w:numId w:val="4"/>
        </w:numPr>
        <w:tabs>
          <w:tab w:pos="478" w:val="left" w:leader="none"/>
        </w:tabs>
        <w:spacing w:line="247" w:lineRule="auto" w:before="0" w:after="0"/>
        <w:ind w:left="477" w:right="114" w:hanging="360"/>
        <w:jc w:val="both"/>
        <w:rPr>
          <w:sz w:val="22"/>
        </w:rPr>
      </w:pPr>
      <w:r>
        <w:rPr>
          <w:color w:val="231F20"/>
          <w:sz w:val="22"/>
        </w:rPr>
        <w:t>Estos modelos organizacionales trajeron consigo autoridad moral</w:t>
      </w:r>
      <w:r>
        <w:rPr>
          <w:color w:val="231F20"/>
          <w:spacing w:val="-24"/>
          <w:sz w:val="22"/>
        </w:rPr>
        <w:t> </w:t>
      </w:r>
      <w:r>
        <w:rPr>
          <w:color w:val="231F20"/>
          <w:sz w:val="22"/>
        </w:rPr>
        <w:t>para los líderes migrantes en sus territorios de origen y de influencia. La clase</w:t>
      </w:r>
      <w:r>
        <w:rPr>
          <w:color w:val="231F20"/>
          <w:spacing w:val="-10"/>
          <w:sz w:val="22"/>
        </w:rPr>
        <w:t> </w:t>
      </w:r>
      <w:r>
        <w:rPr>
          <w:color w:val="231F20"/>
          <w:sz w:val="22"/>
        </w:rPr>
        <w:t>política</w:t>
      </w:r>
      <w:r>
        <w:rPr>
          <w:color w:val="231F20"/>
          <w:spacing w:val="-10"/>
          <w:sz w:val="22"/>
        </w:rPr>
        <w:t> </w:t>
      </w:r>
      <w:r>
        <w:rPr>
          <w:color w:val="231F20"/>
          <w:sz w:val="22"/>
        </w:rPr>
        <w:t>ha</w:t>
      </w:r>
      <w:r>
        <w:rPr>
          <w:color w:val="231F20"/>
          <w:spacing w:val="-10"/>
          <w:sz w:val="22"/>
        </w:rPr>
        <w:t> </w:t>
      </w:r>
      <w:r>
        <w:rPr>
          <w:color w:val="231F20"/>
          <w:sz w:val="22"/>
        </w:rPr>
        <w:t>percibido</w:t>
      </w:r>
      <w:r>
        <w:rPr>
          <w:color w:val="231F20"/>
          <w:spacing w:val="-10"/>
          <w:sz w:val="22"/>
        </w:rPr>
        <w:t> </w:t>
      </w:r>
      <w:r>
        <w:rPr>
          <w:color w:val="231F20"/>
          <w:sz w:val="22"/>
        </w:rPr>
        <w:t>este</w:t>
      </w:r>
      <w:r>
        <w:rPr>
          <w:color w:val="231F20"/>
          <w:spacing w:val="-10"/>
          <w:sz w:val="22"/>
        </w:rPr>
        <w:t> </w:t>
      </w:r>
      <w:r>
        <w:rPr>
          <w:color w:val="231F20"/>
          <w:sz w:val="22"/>
        </w:rPr>
        <w:t>empoderamiento</w:t>
      </w:r>
      <w:r>
        <w:rPr>
          <w:color w:val="231F20"/>
          <w:spacing w:val="-10"/>
          <w:sz w:val="22"/>
        </w:rPr>
        <w:t> </w:t>
      </w:r>
      <w:r>
        <w:rPr>
          <w:color w:val="231F20"/>
          <w:sz w:val="22"/>
        </w:rPr>
        <w:t>natural</w:t>
      </w:r>
      <w:r>
        <w:rPr>
          <w:color w:val="231F20"/>
          <w:spacing w:val="-10"/>
          <w:sz w:val="22"/>
        </w:rPr>
        <w:t> </w:t>
      </w:r>
      <w:r>
        <w:rPr>
          <w:color w:val="231F20"/>
          <w:sz w:val="22"/>
        </w:rPr>
        <w:t>con</w:t>
      </w:r>
      <w:r>
        <w:rPr>
          <w:color w:val="231F20"/>
          <w:spacing w:val="-10"/>
          <w:sz w:val="22"/>
        </w:rPr>
        <w:t> </w:t>
      </w:r>
      <w:r>
        <w:rPr>
          <w:color w:val="231F20"/>
          <w:sz w:val="22"/>
        </w:rPr>
        <w:t>fines</w:t>
      </w:r>
      <w:r>
        <w:rPr>
          <w:color w:val="231F20"/>
          <w:spacing w:val="-10"/>
          <w:sz w:val="22"/>
        </w:rPr>
        <w:t> </w:t>
      </w:r>
      <w:r>
        <w:rPr>
          <w:color w:val="231F20"/>
          <w:sz w:val="22"/>
        </w:rPr>
        <w:t>elec- torales. Lamentablemente, en el caso de Guerrero, esta manipulación ha traído una descomposición</w:t>
      </w:r>
      <w:r>
        <w:rPr>
          <w:color w:val="231F20"/>
          <w:spacing w:val="-6"/>
          <w:sz w:val="22"/>
        </w:rPr>
        <w:t> </w:t>
      </w:r>
      <w:r>
        <w:rPr>
          <w:color w:val="231F20"/>
          <w:sz w:val="22"/>
        </w:rPr>
        <w:t>organizacional.</w:t>
      </w:r>
    </w:p>
    <w:p>
      <w:pPr>
        <w:pStyle w:val="ListParagraph"/>
        <w:numPr>
          <w:ilvl w:val="0"/>
          <w:numId w:val="4"/>
        </w:numPr>
        <w:tabs>
          <w:tab w:pos="478" w:val="left" w:leader="none"/>
        </w:tabs>
        <w:spacing w:line="247" w:lineRule="auto" w:before="0" w:after="0"/>
        <w:ind w:left="477" w:right="114" w:hanging="360"/>
        <w:jc w:val="both"/>
        <w:rPr>
          <w:sz w:val="22"/>
        </w:rPr>
      </w:pPr>
      <w:r>
        <w:rPr>
          <w:color w:val="231F20"/>
          <w:sz w:val="22"/>
        </w:rPr>
        <w:t>El gobierno mexicano debe mantenerse distante de la manipulación política</w:t>
      </w:r>
      <w:r>
        <w:rPr>
          <w:color w:val="231F20"/>
          <w:spacing w:val="-8"/>
          <w:sz w:val="22"/>
        </w:rPr>
        <w:t> </w:t>
      </w:r>
      <w:r>
        <w:rPr>
          <w:color w:val="231F20"/>
          <w:sz w:val="22"/>
        </w:rPr>
        <w:t>a</w:t>
      </w:r>
      <w:r>
        <w:rPr>
          <w:color w:val="231F20"/>
          <w:spacing w:val="-8"/>
          <w:sz w:val="22"/>
        </w:rPr>
        <w:t> </w:t>
      </w:r>
      <w:r>
        <w:rPr>
          <w:color w:val="231F20"/>
          <w:sz w:val="22"/>
        </w:rPr>
        <w:t>las</w:t>
      </w:r>
      <w:r>
        <w:rPr>
          <w:color w:val="231F20"/>
          <w:spacing w:val="-8"/>
          <w:sz w:val="22"/>
        </w:rPr>
        <w:t> </w:t>
      </w:r>
      <w:r>
        <w:rPr>
          <w:color w:val="231F20"/>
          <w:sz w:val="22"/>
        </w:rPr>
        <w:t>organizaciones.</w:t>
      </w:r>
      <w:r>
        <w:rPr>
          <w:color w:val="231F20"/>
          <w:spacing w:val="-8"/>
          <w:sz w:val="22"/>
        </w:rPr>
        <w:t> </w:t>
      </w:r>
      <w:r>
        <w:rPr>
          <w:color w:val="231F20"/>
          <w:sz w:val="22"/>
        </w:rPr>
        <w:t>El</w:t>
      </w:r>
      <w:r>
        <w:rPr>
          <w:color w:val="231F20"/>
          <w:spacing w:val="-8"/>
          <w:sz w:val="22"/>
        </w:rPr>
        <w:t> </w:t>
      </w:r>
      <w:r>
        <w:rPr>
          <w:color w:val="231F20"/>
          <w:sz w:val="22"/>
        </w:rPr>
        <w:t>interés</w:t>
      </w:r>
      <w:r>
        <w:rPr>
          <w:color w:val="231F20"/>
          <w:spacing w:val="-8"/>
          <w:sz w:val="22"/>
        </w:rPr>
        <w:t> </w:t>
      </w:r>
      <w:r>
        <w:rPr>
          <w:color w:val="231F20"/>
          <w:sz w:val="22"/>
        </w:rPr>
        <w:t>del</w:t>
      </w:r>
      <w:r>
        <w:rPr>
          <w:color w:val="231F20"/>
          <w:spacing w:val="-8"/>
          <w:sz w:val="22"/>
        </w:rPr>
        <w:t> </w:t>
      </w:r>
      <w:r>
        <w:rPr>
          <w:color w:val="231F20"/>
          <w:sz w:val="22"/>
        </w:rPr>
        <w:t>gobierno</w:t>
      </w:r>
      <w:r>
        <w:rPr>
          <w:color w:val="231F20"/>
          <w:spacing w:val="-8"/>
          <w:sz w:val="22"/>
        </w:rPr>
        <w:t> </w:t>
      </w:r>
      <w:r>
        <w:rPr>
          <w:color w:val="231F20"/>
          <w:sz w:val="22"/>
        </w:rPr>
        <w:t>se</w:t>
      </w:r>
      <w:r>
        <w:rPr>
          <w:color w:val="231F20"/>
          <w:spacing w:val="-8"/>
          <w:sz w:val="22"/>
        </w:rPr>
        <w:t> </w:t>
      </w:r>
      <w:r>
        <w:rPr>
          <w:color w:val="231F20"/>
          <w:sz w:val="22"/>
        </w:rPr>
        <w:t>debe</w:t>
      </w:r>
      <w:r>
        <w:rPr>
          <w:color w:val="231F20"/>
          <w:spacing w:val="-8"/>
          <w:sz w:val="22"/>
        </w:rPr>
        <w:t> </w:t>
      </w:r>
      <w:r>
        <w:rPr>
          <w:color w:val="231F20"/>
          <w:sz w:val="22"/>
        </w:rPr>
        <w:t>centrar</w:t>
      </w:r>
      <w:r>
        <w:rPr>
          <w:color w:val="231F20"/>
          <w:spacing w:val="-8"/>
          <w:sz w:val="22"/>
        </w:rPr>
        <w:t> </w:t>
      </w:r>
      <w:r>
        <w:rPr>
          <w:color w:val="231F20"/>
          <w:sz w:val="22"/>
        </w:rPr>
        <w:t>en crear lazos adecuados entre las organizaciones que tienen el deseo de mejorar</w:t>
      </w:r>
      <w:r>
        <w:rPr>
          <w:color w:val="231F20"/>
          <w:spacing w:val="-10"/>
          <w:sz w:val="22"/>
        </w:rPr>
        <w:t> </w:t>
      </w:r>
      <w:r>
        <w:rPr>
          <w:color w:val="231F20"/>
          <w:sz w:val="22"/>
        </w:rPr>
        <w:t>las</w:t>
      </w:r>
      <w:r>
        <w:rPr>
          <w:color w:val="231F20"/>
          <w:spacing w:val="-10"/>
          <w:sz w:val="22"/>
        </w:rPr>
        <w:t> </w:t>
      </w:r>
      <w:r>
        <w:rPr>
          <w:color w:val="231F20"/>
          <w:sz w:val="22"/>
        </w:rPr>
        <w:t>condiciones</w:t>
      </w:r>
      <w:r>
        <w:rPr>
          <w:color w:val="231F20"/>
          <w:spacing w:val="-10"/>
          <w:sz w:val="22"/>
        </w:rPr>
        <w:t> </w:t>
      </w:r>
      <w:r>
        <w:rPr>
          <w:color w:val="231F20"/>
          <w:sz w:val="22"/>
        </w:rPr>
        <w:t>de</w:t>
      </w:r>
      <w:r>
        <w:rPr>
          <w:color w:val="231F20"/>
          <w:spacing w:val="-10"/>
          <w:sz w:val="22"/>
        </w:rPr>
        <w:t> </w:t>
      </w:r>
      <w:r>
        <w:rPr>
          <w:color w:val="231F20"/>
          <w:sz w:val="22"/>
        </w:rPr>
        <w:t>pobreza</w:t>
      </w:r>
      <w:r>
        <w:rPr>
          <w:color w:val="231F20"/>
          <w:spacing w:val="-10"/>
          <w:sz w:val="22"/>
        </w:rPr>
        <w:t> </w:t>
      </w:r>
      <w:r>
        <w:rPr>
          <w:color w:val="231F20"/>
          <w:sz w:val="22"/>
        </w:rPr>
        <w:t>y</w:t>
      </w:r>
      <w:r>
        <w:rPr>
          <w:color w:val="231F20"/>
          <w:spacing w:val="-10"/>
          <w:sz w:val="22"/>
        </w:rPr>
        <w:t> </w:t>
      </w:r>
      <w:r>
        <w:rPr>
          <w:color w:val="231F20"/>
          <w:sz w:val="22"/>
        </w:rPr>
        <w:t>marginación</w:t>
      </w:r>
      <w:r>
        <w:rPr>
          <w:color w:val="231F20"/>
          <w:spacing w:val="-10"/>
          <w:sz w:val="22"/>
        </w:rPr>
        <w:t> </w:t>
      </w:r>
      <w:r>
        <w:rPr>
          <w:color w:val="231F20"/>
          <w:sz w:val="22"/>
        </w:rPr>
        <w:t>de</w:t>
      </w:r>
      <w:r>
        <w:rPr>
          <w:color w:val="231F20"/>
          <w:spacing w:val="-10"/>
          <w:sz w:val="22"/>
        </w:rPr>
        <w:t> </w:t>
      </w:r>
      <w:r>
        <w:rPr>
          <w:color w:val="231F20"/>
          <w:sz w:val="22"/>
        </w:rPr>
        <w:t>sus</w:t>
      </w:r>
      <w:r>
        <w:rPr>
          <w:color w:val="231F20"/>
          <w:spacing w:val="-10"/>
          <w:sz w:val="22"/>
        </w:rPr>
        <w:t> </w:t>
      </w:r>
      <w:r>
        <w:rPr>
          <w:color w:val="231F20"/>
          <w:sz w:val="22"/>
        </w:rPr>
        <w:t>comunidades de</w:t>
      </w:r>
      <w:r>
        <w:rPr>
          <w:color w:val="231F20"/>
          <w:spacing w:val="-9"/>
          <w:sz w:val="22"/>
        </w:rPr>
        <w:t> </w:t>
      </w:r>
      <w:r>
        <w:rPr>
          <w:color w:val="231F20"/>
          <w:sz w:val="22"/>
        </w:rPr>
        <w:t>origen</w:t>
      </w:r>
      <w:r>
        <w:rPr>
          <w:color w:val="231F20"/>
          <w:spacing w:val="-10"/>
          <w:sz w:val="22"/>
        </w:rPr>
        <w:t> </w:t>
      </w:r>
      <w:r>
        <w:rPr>
          <w:color w:val="231F20"/>
          <w:sz w:val="22"/>
        </w:rPr>
        <w:t>en</w:t>
      </w:r>
      <w:r>
        <w:rPr>
          <w:color w:val="231F20"/>
          <w:spacing w:val="-9"/>
          <w:sz w:val="22"/>
        </w:rPr>
        <w:t> </w:t>
      </w:r>
      <w:r>
        <w:rPr>
          <w:color w:val="231F20"/>
          <w:sz w:val="22"/>
        </w:rPr>
        <w:t>coordinación</w:t>
      </w:r>
      <w:r>
        <w:rPr>
          <w:color w:val="231F20"/>
          <w:spacing w:val="-10"/>
          <w:sz w:val="22"/>
        </w:rPr>
        <w:t> </w:t>
      </w:r>
      <w:r>
        <w:rPr>
          <w:color w:val="231F20"/>
          <w:sz w:val="22"/>
        </w:rPr>
        <w:t>con</w:t>
      </w:r>
      <w:r>
        <w:rPr>
          <w:color w:val="231F20"/>
          <w:spacing w:val="-10"/>
          <w:sz w:val="22"/>
        </w:rPr>
        <w:t> </w:t>
      </w:r>
      <w:r>
        <w:rPr>
          <w:color w:val="231F20"/>
          <w:sz w:val="22"/>
        </w:rPr>
        <w:t>gobiernos</w:t>
      </w:r>
      <w:r>
        <w:rPr>
          <w:color w:val="231F20"/>
          <w:spacing w:val="-9"/>
          <w:sz w:val="22"/>
        </w:rPr>
        <w:t> </w:t>
      </w:r>
      <w:r>
        <w:rPr>
          <w:color w:val="231F20"/>
          <w:sz w:val="22"/>
        </w:rPr>
        <w:t>estatales</w:t>
      </w:r>
      <w:r>
        <w:rPr>
          <w:color w:val="231F20"/>
          <w:spacing w:val="-10"/>
          <w:sz w:val="22"/>
        </w:rPr>
        <w:t> </w:t>
      </w:r>
      <w:r>
        <w:rPr>
          <w:color w:val="231F20"/>
          <w:sz w:val="22"/>
        </w:rPr>
        <w:t>y</w:t>
      </w:r>
      <w:r>
        <w:rPr>
          <w:color w:val="231F20"/>
          <w:spacing w:val="-9"/>
          <w:sz w:val="22"/>
        </w:rPr>
        <w:t> </w:t>
      </w:r>
      <w:r>
        <w:rPr>
          <w:color w:val="231F20"/>
          <w:sz w:val="22"/>
        </w:rPr>
        <w:t>municipales,</w:t>
      </w:r>
      <w:r>
        <w:rPr>
          <w:color w:val="231F20"/>
          <w:spacing w:val="-10"/>
          <w:sz w:val="22"/>
        </w:rPr>
        <w:t> </w:t>
      </w:r>
      <w:r>
        <w:rPr>
          <w:color w:val="231F20"/>
          <w:sz w:val="22"/>
        </w:rPr>
        <w:t>inde- pendientemente del partido político al que pertenezcan.</w:t>
      </w:r>
    </w:p>
    <w:p>
      <w:pPr>
        <w:pStyle w:val="ListParagraph"/>
        <w:numPr>
          <w:ilvl w:val="0"/>
          <w:numId w:val="4"/>
        </w:numPr>
        <w:tabs>
          <w:tab w:pos="478" w:val="left" w:leader="none"/>
        </w:tabs>
        <w:spacing w:line="247" w:lineRule="auto" w:before="0" w:after="0"/>
        <w:ind w:left="477" w:right="114" w:hanging="360"/>
        <w:jc w:val="both"/>
        <w:rPr>
          <w:sz w:val="22"/>
        </w:rPr>
      </w:pPr>
      <w:r>
        <w:rPr>
          <w:color w:val="231F20"/>
          <w:sz w:val="22"/>
        </w:rPr>
        <w:t>Los políticos mexicanos llegan a los grupos mexicanos asentados en ciudades de Estados Unidos con un discurso político-electoral. Esto incrementa las tensiones. En lugar de contribuir a aligerar la carga de las comunidades migrantes en sus lugares de residencia, crean arenas electorales; los políticos regresan generando más problemas a una po- blación que ha aprendido a salir adelante sin los</w:t>
      </w:r>
      <w:r>
        <w:rPr>
          <w:color w:val="231F20"/>
          <w:spacing w:val="-9"/>
          <w:sz w:val="22"/>
        </w:rPr>
        <w:t> </w:t>
      </w:r>
      <w:r>
        <w:rPr>
          <w:color w:val="231F20"/>
          <w:sz w:val="22"/>
        </w:rPr>
        <w:t>gobiernos.</w:t>
      </w:r>
    </w:p>
    <w:p>
      <w:pPr>
        <w:pStyle w:val="ListParagraph"/>
        <w:numPr>
          <w:ilvl w:val="0"/>
          <w:numId w:val="4"/>
        </w:numPr>
        <w:tabs>
          <w:tab w:pos="478" w:val="left" w:leader="none"/>
        </w:tabs>
        <w:spacing w:line="247" w:lineRule="auto" w:before="0" w:after="0"/>
        <w:ind w:left="477" w:right="115" w:hanging="360"/>
        <w:jc w:val="both"/>
        <w:rPr>
          <w:sz w:val="22"/>
        </w:rPr>
      </w:pPr>
      <w:r>
        <w:rPr>
          <w:color w:val="231F20"/>
          <w:sz w:val="22"/>
        </w:rPr>
        <w:t>Mientras que en México están muy delimitados los territorios ideo- lógicos, en Estados Unidos los mexicanos tienen objetivos comunes como migrantes, sean del partido que sean: existen representaciones del </w:t>
      </w:r>
      <w:r>
        <w:rPr>
          <w:color w:val="231F20"/>
          <w:spacing w:val="-6"/>
          <w:sz w:val="22"/>
        </w:rPr>
        <w:t>PAN, </w:t>
      </w:r>
      <w:r>
        <w:rPr>
          <w:color w:val="231F20"/>
          <w:sz w:val="22"/>
        </w:rPr>
        <w:t>PRI y</w:t>
      </w:r>
      <w:r>
        <w:rPr>
          <w:color w:val="231F20"/>
          <w:spacing w:val="1"/>
          <w:sz w:val="22"/>
        </w:rPr>
        <w:t> </w:t>
      </w:r>
      <w:r>
        <w:rPr>
          <w:color w:val="231F20"/>
          <w:sz w:val="22"/>
        </w:rPr>
        <w:t>PRD.</w:t>
      </w:r>
    </w:p>
    <w:p>
      <w:pPr>
        <w:pStyle w:val="ListParagraph"/>
        <w:numPr>
          <w:ilvl w:val="0"/>
          <w:numId w:val="4"/>
        </w:numPr>
        <w:tabs>
          <w:tab w:pos="478" w:val="left" w:leader="none"/>
        </w:tabs>
        <w:spacing w:line="247" w:lineRule="auto" w:before="0" w:after="0"/>
        <w:ind w:left="477" w:right="115" w:hanging="360"/>
        <w:jc w:val="both"/>
        <w:rPr>
          <w:sz w:val="22"/>
        </w:rPr>
      </w:pPr>
      <w:r>
        <w:rPr>
          <w:color w:val="231F20"/>
          <w:sz w:val="22"/>
        </w:rPr>
        <w:t>Algunas organizaciones están creando espacios alternos. Los zacate- canos y los michoacanos han tenido su Frente Cívico, pero no han funcionado.</w:t>
      </w:r>
    </w:p>
    <w:p>
      <w:pPr>
        <w:spacing w:after="0" w:line="247" w:lineRule="auto"/>
        <w:jc w:val="both"/>
        <w:rPr>
          <w:sz w:val="22"/>
        </w:rPr>
        <w:sectPr>
          <w:pgSz w:w="9360" w:h="13040"/>
          <w:pgMar w:header="0" w:footer="496" w:top="800" w:bottom="680" w:left="1300" w:right="1300"/>
        </w:sectPr>
      </w:pPr>
    </w:p>
    <w:p>
      <w:pPr>
        <w:spacing w:before="45"/>
        <w:ind w:left="207" w:right="117" w:firstLine="0"/>
        <w:jc w:val="left"/>
        <w:rPr>
          <w:rFonts w:ascii="Arial" w:hAnsi="Arial"/>
          <w:sz w:val="20"/>
        </w:rPr>
      </w:pPr>
      <w:r>
        <w:rPr>
          <w:rFonts w:ascii="Arial" w:hAnsi="Arial"/>
          <w:color w:val="231F20"/>
          <w:w w:val="70"/>
          <w:sz w:val="20"/>
        </w:rPr>
        <w:t>Políticas públicas de la migración transnacional entre México y Estados Unidos /Alejandro  Díaz-Garay</w:t>
      </w:r>
    </w:p>
    <w:p>
      <w:pPr>
        <w:pStyle w:val="BodyText"/>
        <w:spacing w:before="7"/>
        <w:rPr>
          <w:rFonts w:ascii="Arial"/>
          <w:sz w:val="28"/>
        </w:rPr>
      </w:pPr>
    </w:p>
    <w:p>
      <w:pPr>
        <w:pStyle w:val="ListParagraph"/>
        <w:numPr>
          <w:ilvl w:val="0"/>
          <w:numId w:val="4"/>
        </w:numPr>
        <w:tabs>
          <w:tab w:pos="478" w:val="left" w:leader="none"/>
        </w:tabs>
        <w:spacing w:line="247" w:lineRule="auto" w:before="0" w:after="0"/>
        <w:ind w:left="477" w:right="114" w:hanging="360"/>
        <w:jc w:val="both"/>
        <w:rPr>
          <w:sz w:val="22"/>
        </w:rPr>
      </w:pPr>
      <w:r>
        <w:rPr>
          <w:color w:val="231F20"/>
          <w:sz w:val="22"/>
        </w:rPr>
        <w:t>En la primavera de 2006, las organizaciones de oriundos demostraron ser agentes de cambio con incidencia en la relación bilateral. En los hechos, desde hace muchos años viven prácticas transnacionales. El gobierno de México, en sus tres niveles, no acaba de comprender la cosmovisión que ahora tiene el mexicano que decidió cruzar la fron- tera norte del país. No hay servicios para esa binacionalidad; la gente requiere de abogados en México y de abogados en Estados Unidos, requiere de vivienda, de proyectos de inversión en ambos</w:t>
      </w:r>
      <w:r>
        <w:rPr>
          <w:color w:val="231F20"/>
          <w:spacing w:val="-3"/>
          <w:sz w:val="22"/>
        </w:rPr>
        <w:t> </w:t>
      </w:r>
      <w:r>
        <w:rPr>
          <w:color w:val="231F20"/>
          <w:sz w:val="22"/>
        </w:rPr>
        <w:t>países.</w:t>
      </w:r>
    </w:p>
    <w:p>
      <w:pPr>
        <w:pStyle w:val="ListParagraph"/>
        <w:numPr>
          <w:ilvl w:val="0"/>
          <w:numId w:val="4"/>
        </w:numPr>
        <w:tabs>
          <w:tab w:pos="478" w:val="left" w:leader="none"/>
        </w:tabs>
        <w:spacing w:line="247" w:lineRule="auto" w:before="0" w:after="0"/>
        <w:ind w:left="477" w:right="114" w:hanging="360"/>
        <w:jc w:val="both"/>
        <w:rPr>
          <w:sz w:val="22"/>
        </w:rPr>
      </w:pPr>
      <w:r>
        <w:rPr>
          <w:color w:val="231F20"/>
          <w:sz w:val="22"/>
        </w:rPr>
        <w:t>El mexicano ha demostrado ser muy diestro en aprender los procesos y ganarse la confianza de los empleadores y cuando el empleador se retira, les hereda su negocio y se da esa cadena que empieza lavando trastes y termina como dueño del</w:t>
      </w:r>
      <w:r>
        <w:rPr>
          <w:color w:val="231F20"/>
          <w:spacing w:val="-3"/>
          <w:sz w:val="22"/>
        </w:rPr>
        <w:t> </w:t>
      </w:r>
      <w:r>
        <w:rPr>
          <w:color w:val="231F20"/>
          <w:sz w:val="22"/>
        </w:rPr>
        <w:t>restaurante.</w:t>
      </w:r>
    </w:p>
    <w:p>
      <w:pPr>
        <w:pStyle w:val="ListParagraph"/>
        <w:numPr>
          <w:ilvl w:val="0"/>
          <w:numId w:val="4"/>
        </w:numPr>
        <w:tabs>
          <w:tab w:pos="478" w:val="left" w:leader="none"/>
        </w:tabs>
        <w:spacing w:line="247" w:lineRule="auto" w:before="0" w:after="0"/>
        <w:ind w:left="477" w:right="114" w:hanging="360"/>
        <w:jc w:val="both"/>
        <w:rPr>
          <w:sz w:val="22"/>
        </w:rPr>
      </w:pPr>
      <w:r>
        <w:rPr>
          <w:color w:val="231F20"/>
          <w:sz w:val="22"/>
        </w:rPr>
        <w:t>Los clubes han servido como un espacio en el cual se crea un sentido de comunidad. Si se tiene ese sentido de comunidad se pueden em- prender acciones colectivas. El papel de los clubes como</w:t>
      </w:r>
      <w:r>
        <w:rPr>
          <w:color w:val="231F20"/>
          <w:spacing w:val="-28"/>
          <w:sz w:val="22"/>
        </w:rPr>
        <w:t> </w:t>
      </w:r>
      <w:r>
        <w:rPr>
          <w:color w:val="231F20"/>
          <w:sz w:val="22"/>
        </w:rPr>
        <w:t>instrumentos de apoyo a las comunidades de origen llevó a la creación de las Fe- deraciones. Existe también una Confederación de Federaciones, que aglutina a todas las federaciones de los estados mexicanos radicados en Estados</w:t>
      </w:r>
      <w:r>
        <w:rPr>
          <w:color w:val="231F20"/>
          <w:spacing w:val="-9"/>
          <w:sz w:val="22"/>
        </w:rPr>
        <w:t> </w:t>
      </w:r>
      <w:r>
        <w:rPr>
          <w:color w:val="231F20"/>
          <w:sz w:val="22"/>
        </w:rPr>
        <w:t>Unidos.</w:t>
      </w:r>
    </w:p>
    <w:p>
      <w:pPr>
        <w:pStyle w:val="BodyText"/>
        <w:spacing w:line="247" w:lineRule="auto" w:before="169"/>
        <w:ind w:left="117" w:right="115" w:firstLine="283"/>
        <w:jc w:val="both"/>
        <w:rPr>
          <w:sz w:val="13"/>
        </w:rPr>
      </w:pPr>
      <w:r>
        <w:rPr>
          <w:color w:val="231F20"/>
        </w:rPr>
        <w:t>La organización Clubes Unidos Guerrerenses del Medio Oeste (COG- MO) es otro agente de cambio que ha incidido en las reglas de operación del 3x1, en beneficio de otras organizaciones estatales y en apoyo al pro- pio gobierno federal en su afán por transparentar los recursos públicos. El coordinador</w:t>
      </w:r>
      <w:r>
        <w:rPr>
          <w:color w:val="231F20"/>
          <w:spacing w:val="-6"/>
        </w:rPr>
        <w:t> </w:t>
      </w:r>
      <w:r>
        <w:rPr>
          <w:color w:val="231F20"/>
        </w:rPr>
        <w:t>general</w:t>
      </w:r>
      <w:r>
        <w:rPr>
          <w:color w:val="231F20"/>
          <w:spacing w:val="-5"/>
        </w:rPr>
        <w:t> </w:t>
      </w:r>
      <w:r>
        <w:rPr>
          <w:color w:val="231F20"/>
        </w:rPr>
        <w:t>de</w:t>
      </w:r>
      <w:r>
        <w:rPr>
          <w:color w:val="231F20"/>
          <w:spacing w:val="-5"/>
        </w:rPr>
        <w:t> </w:t>
      </w:r>
      <w:r>
        <w:rPr>
          <w:color w:val="231F20"/>
        </w:rPr>
        <w:t>esta</w:t>
      </w:r>
      <w:r>
        <w:rPr>
          <w:color w:val="231F20"/>
          <w:spacing w:val="-5"/>
        </w:rPr>
        <w:t> </w:t>
      </w:r>
      <w:r>
        <w:rPr>
          <w:color w:val="231F20"/>
        </w:rPr>
        <w:t>organización</w:t>
      </w:r>
      <w:r>
        <w:rPr>
          <w:color w:val="231F20"/>
          <w:spacing w:val="-5"/>
        </w:rPr>
        <w:t> </w:t>
      </w:r>
      <w:r>
        <w:rPr>
          <w:color w:val="231F20"/>
        </w:rPr>
        <w:t>posee</w:t>
      </w:r>
      <w:r>
        <w:rPr>
          <w:color w:val="231F20"/>
          <w:spacing w:val="-5"/>
        </w:rPr>
        <w:t> </w:t>
      </w:r>
      <w:r>
        <w:rPr>
          <w:color w:val="231F20"/>
        </w:rPr>
        <w:t>una</w:t>
      </w:r>
      <w:r>
        <w:rPr>
          <w:color w:val="231F20"/>
          <w:spacing w:val="-5"/>
        </w:rPr>
        <w:t> </w:t>
      </w:r>
      <w:r>
        <w:rPr>
          <w:color w:val="231F20"/>
        </w:rPr>
        <w:t>capacidad</w:t>
      </w:r>
      <w:r>
        <w:rPr>
          <w:color w:val="231F20"/>
          <w:spacing w:val="-5"/>
        </w:rPr>
        <w:t> </w:t>
      </w:r>
      <w:r>
        <w:rPr>
          <w:color w:val="231F20"/>
        </w:rPr>
        <w:t>de</w:t>
      </w:r>
      <w:r>
        <w:rPr>
          <w:color w:val="231F20"/>
          <w:spacing w:val="-5"/>
        </w:rPr>
        <w:t> </w:t>
      </w:r>
      <w:r>
        <w:rPr>
          <w:color w:val="231F20"/>
        </w:rPr>
        <w:t>negocia- ción peculiar, cuyas habilidades le han llevado a proponer políticas públi- cas de atención a los migrantes ante el Congreso del estado de Guerrero, ante los titulares de la Sedesol estatal y federal y en foros realizados en Acapulco</w:t>
      </w:r>
      <w:r>
        <w:rPr>
          <w:color w:val="231F20"/>
          <w:spacing w:val="-7"/>
        </w:rPr>
        <w:t> </w:t>
      </w:r>
      <w:r>
        <w:rPr>
          <w:color w:val="231F20"/>
        </w:rPr>
        <w:t>de</w:t>
      </w:r>
      <w:r>
        <w:rPr>
          <w:color w:val="231F20"/>
          <w:spacing w:val="-8"/>
        </w:rPr>
        <w:t> </w:t>
      </w:r>
      <w:r>
        <w:rPr>
          <w:color w:val="231F20"/>
        </w:rPr>
        <w:t>Juárez,</w:t>
      </w:r>
      <w:r>
        <w:rPr>
          <w:color w:val="231F20"/>
          <w:spacing w:val="-11"/>
        </w:rPr>
        <w:t> </w:t>
      </w:r>
      <w:r>
        <w:rPr>
          <w:color w:val="231F20"/>
          <w:spacing w:val="-4"/>
        </w:rPr>
        <w:t>Taxco</w:t>
      </w:r>
      <w:r>
        <w:rPr>
          <w:color w:val="231F20"/>
          <w:spacing w:val="-8"/>
        </w:rPr>
        <w:t> </w:t>
      </w:r>
      <w:r>
        <w:rPr>
          <w:color w:val="231F20"/>
        </w:rPr>
        <w:t>de</w:t>
      </w:r>
      <w:r>
        <w:rPr>
          <w:color w:val="231F20"/>
          <w:spacing w:val="-19"/>
        </w:rPr>
        <w:t> </w:t>
      </w:r>
      <w:r>
        <w:rPr>
          <w:color w:val="231F20"/>
        </w:rPr>
        <w:t>Alarcón</w:t>
      </w:r>
      <w:r>
        <w:rPr>
          <w:color w:val="231F20"/>
          <w:spacing w:val="-7"/>
        </w:rPr>
        <w:t> </w:t>
      </w:r>
      <w:r>
        <w:rPr>
          <w:color w:val="231F20"/>
        </w:rPr>
        <w:t>y</w:t>
      </w:r>
      <w:r>
        <w:rPr>
          <w:color w:val="231F20"/>
          <w:spacing w:val="-8"/>
        </w:rPr>
        <w:t> </w:t>
      </w:r>
      <w:r>
        <w:rPr>
          <w:color w:val="231F20"/>
        </w:rPr>
        <w:t>Santa</w:t>
      </w:r>
      <w:r>
        <w:rPr>
          <w:color w:val="231F20"/>
          <w:spacing w:val="-11"/>
        </w:rPr>
        <w:t> </w:t>
      </w:r>
      <w:r>
        <w:rPr>
          <w:color w:val="231F20"/>
          <w:spacing w:val="-3"/>
        </w:rPr>
        <w:t>Teresa,</w:t>
      </w:r>
      <w:r>
        <w:rPr>
          <w:color w:val="231F20"/>
          <w:spacing w:val="-8"/>
        </w:rPr>
        <w:t> </w:t>
      </w:r>
      <w:r>
        <w:rPr>
          <w:color w:val="231F20"/>
        </w:rPr>
        <w:t>municipio</w:t>
      </w:r>
      <w:r>
        <w:rPr>
          <w:color w:val="231F20"/>
          <w:spacing w:val="-8"/>
        </w:rPr>
        <w:t> </w:t>
      </w:r>
      <w:r>
        <w:rPr>
          <w:color w:val="231F20"/>
        </w:rPr>
        <w:t>de</w:t>
      </w:r>
      <w:r>
        <w:rPr>
          <w:color w:val="231F20"/>
          <w:spacing w:val="-8"/>
        </w:rPr>
        <w:t> </w:t>
      </w:r>
      <w:r>
        <w:rPr>
          <w:color w:val="231F20"/>
        </w:rPr>
        <w:t>Iguala de la Independencia. A continuación se presentan las propuestas de esta agrupación (Díaz,</w:t>
      </w:r>
      <w:r>
        <w:rPr>
          <w:color w:val="231F20"/>
          <w:spacing w:val="-11"/>
        </w:rPr>
        <w:t> </w:t>
      </w:r>
      <w:r>
        <w:rPr>
          <w:color w:val="231F20"/>
        </w:rPr>
        <w:t>2011):</w:t>
      </w:r>
      <w:r>
        <w:rPr>
          <w:color w:val="231F20"/>
          <w:position w:val="7"/>
          <w:sz w:val="13"/>
        </w:rPr>
        <w:t>1</w:t>
      </w:r>
    </w:p>
    <w:p>
      <w:pPr>
        <w:spacing w:line="240" w:lineRule="exact" w:before="163"/>
        <w:ind w:left="117" w:right="1020" w:firstLine="0"/>
        <w:jc w:val="left"/>
        <w:rPr>
          <w:i/>
          <w:sz w:val="22"/>
        </w:rPr>
      </w:pPr>
      <w:r>
        <w:rPr>
          <w:i/>
          <w:color w:val="231F20"/>
          <w:sz w:val="22"/>
        </w:rPr>
        <w:t>Lecciones de política pública de una organización democrática </w:t>
      </w:r>
      <w:r>
        <w:rPr>
          <w:i/>
          <w:color w:val="231F20"/>
          <w:sz w:val="22"/>
        </w:rPr>
        <w:t>(CUGMO)</w:t>
      </w:r>
    </w:p>
    <w:p>
      <w:pPr>
        <w:pStyle w:val="ListParagraph"/>
        <w:numPr>
          <w:ilvl w:val="0"/>
          <w:numId w:val="5"/>
        </w:numPr>
        <w:tabs>
          <w:tab w:pos="478" w:val="left" w:leader="none"/>
        </w:tabs>
        <w:spacing w:line="247" w:lineRule="auto" w:before="176" w:after="0"/>
        <w:ind w:left="477" w:right="115" w:hanging="360"/>
        <w:jc w:val="both"/>
        <w:rPr>
          <w:sz w:val="22"/>
        </w:rPr>
      </w:pPr>
      <w:r>
        <w:rPr/>
        <w:pict>
          <v:line style="position:absolute;mso-position-horizontal-relative:page;mso-position-vertical-relative:paragraph;z-index:5320;mso-wrap-distance-left:0;mso-wrap-distance-right:0" from="70.866096pt,65.167023pt" to="142.866096pt,65.167023pt" stroked="true" strokeweight=".75pt" strokecolor="#231f20">
            <w10:wrap type="topAndBottom"/>
          </v:line>
        </w:pict>
      </w:r>
      <w:r>
        <w:rPr>
          <w:i/>
          <w:color w:val="231F20"/>
          <w:sz w:val="22"/>
        </w:rPr>
        <w:t>Fondo de Ahorro. </w:t>
      </w:r>
      <w:r>
        <w:rPr>
          <w:color w:val="231F20"/>
          <w:sz w:val="22"/>
        </w:rPr>
        <w:t>Se creó un fondo de ahorro en la organización mi- grante para apoyar financieramente los compromisos de algún club miembro contraídos por su proyecto en el marco del Programa 3x1, recursos que se entregan en calidad de préstamo, bajo la promesa  </w:t>
      </w:r>
      <w:r>
        <w:rPr>
          <w:color w:val="231F20"/>
          <w:spacing w:val="42"/>
          <w:sz w:val="22"/>
        </w:rPr>
        <w:t> </w:t>
      </w:r>
      <w:r>
        <w:rPr>
          <w:color w:val="231F20"/>
          <w:sz w:val="22"/>
        </w:rPr>
        <w:t>de</w:t>
      </w:r>
    </w:p>
    <w:p>
      <w:pPr>
        <w:spacing w:line="170" w:lineRule="exact" w:before="0"/>
        <w:ind w:left="117" w:right="113" w:firstLine="0"/>
        <w:jc w:val="left"/>
        <w:rPr>
          <w:sz w:val="17"/>
        </w:rPr>
      </w:pPr>
      <w:r>
        <w:rPr>
          <w:color w:val="231F20"/>
          <w:position w:val="6"/>
          <w:sz w:val="10"/>
        </w:rPr>
        <w:t>1 </w:t>
      </w:r>
      <w:r>
        <w:rPr>
          <w:color w:val="231F20"/>
          <w:sz w:val="17"/>
        </w:rPr>
        <w:t>Las propuestas emanadas de Clubes Unidos Guerrerenses del Medio Oeste que aquí se presen- tan, ya fueron publicadas en mi anterior obra (Díaz, 2011).</w:t>
      </w:r>
    </w:p>
    <w:p>
      <w:pPr>
        <w:spacing w:after="0" w:line="170" w:lineRule="exact"/>
        <w:jc w:val="left"/>
        <w:rPr>
          <w:sz w:val="17"/>
        </w:rPr>
        <w:sectPr>
          <w:pgSz w:w="9360" w:h="13040"/>
          <w:pgMar w:header="0" w:footer="496" w:top="740" w:bottom="680" w:left="1300" w:right="1300"/>
        </w:sectPr>
      </w:pPr>
    </w:p>
    <w:p>
      <w:pPr>
        <w:tabs>
          <w:tab w:pos="5536" w:val="left" w:leader="none"/>
        </w:tabs>
        <w:spacing w:before="48"/>
        <w:ind w:left="477" w:right="0" w:hanging="37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477" w:right="114"/>
        <w:jc w:val="both"/>
      </w:pPr>
      <w:r>
        <w:rPr>
          <w:color w:val="231F20"/>
        </w:rPr>
        <w:t>devolverse a 100 por ciento del capital sin devengar intereses una vez recaudados los fondos. Con esta medida, los clubes evitan caer en in- cumplimiento financiero. Sin embargo, la experiencia muestra que</w:t>
      </w:r>
      <w:r>
        <w:rPr>
          <w:color w:val="231F20"/>
          <w:spacing w:val="-16"/>
        </w:rPr>
        <w:t> </w:t>
      </w:r>
      <w:r>
        <w:rPr>
          <w:color w:val="231F20"/>
        </w:rPr>
        <w:t>los clubes más antiguos aprovechan esta medida y han llegado a solicitar hasta</w:t>
      </w:r>
      <w:r>
        <w:rPr>
          <w:color w:val="231F20"/>
          <w:spacing w:val="-11"/>
        </w:rPr>
        <w:t> </w:t>
      </w:r>
      <w:r>
        <w:rPr>
          <w:color w:val="231F20"/>
        </w:rPr>
        <w:t>7</w:t>
      </w:r>
      <w:r>
        <w:rPr>
          <w:color w:val="231F20"/>
          <w:spacing w:val="-11"/>
        </w:rPr>
        <w:t> </w:t>
      </w:r>
      <w:r>
        <w:rPr>
          <w:color w:val="231F20"/>
        </w:rPr>
        <w:t>mil</w:t>
      </w:r>
      <w:r>
        <w:rPr>
          <w:color w:val="231F20"/>
          <w:spacing w:val="-11"/>
        </w:rPr>
        <w:t> </w:t>
      </w:r>
      <w:r>
        <w:rPr>
          <w:color w:val="231F20"/>
        </w:rPr>
        <w:t>dólares.</w:t>
      </w:r>
      <w:r>
        <w:rPr>
          <w:color w:val="231F20"/>
          <w:spacing w:val="-11"/>
        </w:rPr>
        <w:t> </w:t>
      </w:r>
      <w:r>
        <w:rPr>
          <w:color w:val="231F20"/>
        </w:rPr>
        <w:t>Otros</w:t>
      </w:r>
      <w:r>
        <w:rPr>
          <w:color w:val="231F20"/>
          <w:spacing w:val="-10"/>
        </w:rPr>
        <w:t> </w:t>
      </w:r>
      <w:r>
        <w:rPr>
          <w:color w:val="231F20"/>
        </w:rPr>
        <w:t>vienen</w:t>
      </w:r>
      <w:r>
        <w:rPr>
          <w:color w:val="231F20"/>
          <w:spacing w:val="-11"/>
        </w:rPr>
        <w:t> </w:t>
      </w:r>
      <w:r>
        <w:rPr>
          <w:color w:val="231F20"/>
        </w:rPr>
        <w:t>arrastrando</w:t>
      </w:r>
      <w:r>
        <w:rPr>
          <w:color w:val="231F20"/>
          <w:spacing w:val="-12"/>
        </w:rPr>
        <w:t> </w:t>
      </w:r>
      <w:r>
        <w:rPr>
          <w:color w:val="231F20"/>
        </w:rPr>
        <w:t>su</w:t>
      </w:r>
      <w:r>
        <w:rPr>
          <w:color w:val="231F20"/>
          <w:spacing w:val="-11"/>
        </w:rPr>
        <w:t> </w:t>
      </w:r>
      <w:r>
        <w:rPr>
          <w:color w:val="231F20"/>
        </w:rPr>
        <w:t>deuda</w:t>
      </w:r>
      <w:r>
        <w:rPr>
          <w:color w:val="231F20"/>
          <w:spacing w:val="-11"/>
        </w:rPr>
        <w:t> </w:t>
      </w:r>
      <w:r>
        <w:rPr>
          <w:color w:val="231F20"/>
        </w:rPr>
        <w:t>de</w:t>
      </w:r>
      <w:r>
        <w:rPr>
          <w:color w:val="231F20"/>
          <w:spacing w:val="-11"/>
        </w:rPr>
        <w:t> </w:t>
      </w:r>
      <w:r>
        <w:rPr>
          <w:color w:val="231F20"/>
        </w:rPr>
        <w:t>dos</w:t>
      </w:r>
      <w:r>
        <w:rPr>
          <w:color w:val="231F20"/>
          <w:spacing w:val="-11"/>
        </w:rPr>
        <w:t> </w:t>
      </w:r>
      <w:r>
        <w:rPr>
          <w:color w:val="231F20"/>
        </w:rPr>
        <w:t>mil</w:t>
      </w:r>
      <w:r>
        <w:rPr>
          <w:color w:val="231F20"/>
          <w:spacing w:val="-11"/>
        </w:rPr>
        <w:t> </w:t>
      </w:r>
      <w:r>
        <w:rPr>
          <w:color w:val="231F20"/>
        </w:rPr>
        <w:t>y</w:t>
      </w:r>
      <w:r>
        <w:rPr>
          <w:color w:val="231F20"/>
          <w:spacing w:val="-11"/>
        </w:rPr>
        <w:t> </w:t>
      </w:r>
      <w:r>
        <w:rPr>
          <w:color w:val="231F20"/>
        </w:rPr>
        <w:t>tres mil dólares por más de tres</w:t>
      </w:r>
      <w:r>
        <w:rPr>
          <w:color w:val="231F20"/>
          <w:spacing w:val="-3"/>
        </w:rPr>
        <w:t> </w:t>
      </w:r>
      <w:r>
        <w:rPr>
          <w:color w:val="231F20"/>
        </w:rPr>
        <w:t>años.</w:t>
      </w:r>
    </w:p>
    <w:p>
      <w:pPr>
        <w:pStyle w:val="ListParagraph"/>
        <w:numPr>
          <w:ilvl w:val="0"/>
          <w:numId w:val="5"/>
        </w:numPr>
        <w:tabs>
          <w:tab w:pos="478" w:val="left" w:leader="none"/>
        </w:tabs>
        <w:spacing w:line="247" w:lineRule="auto" w:before="0" w:after="0"/>
        <w:ind w:left="477" w:right="114" w:hanging="360"/>
        <w:jc w:val="both"/>
        <w:rPr>
          <w:sz w:val="22"/>
        </w:rPr>
      </w:pPr>
      <w:r>
        <w:rPr>
          <w:i/>
          <w:color w:val="231F20"/>
          <w:sz w:val="22"/>
        </w:rPr>
        <w:t>Nula participación política partidista. </w:t>
      </w:r>
      <w:r>
        <w:rPr>
          <w:color w:val="231F20"/>
          <w:sz w:val="22"/>
        </w:rPr>
        <w:t>El no involucramiento como organización con algún partido político mexicano o estructura de go- bierno forma parte de sus</w:t>
      </w:r>
      <w:r>
        <w:rPr>
          <w:color w:val="231F20"/>
          <w:spacing w:val="-2"/>
          <w:sz w:val="22"/>
        </w:rPr>
        <w:t> </w:t>
      </w:r>
      <w:r>
        <w:rPr>
          <w:color w:val="231F20"/>
          <w:sz w:val="22"/>
        </w:rPr>
        <w:t>estatutos.</w:t>
      </w:r>
    </w:p>
    <w:p>
      <w:pPr>
        <w:pStyle w:val="ListParagraph"/>
        <w:numPr>
          <w:ilvl w:val="0"/>
          <w:numId w:val="5"/>
        </w:numPr>
        <w:tabs>
          <w:tab w:pos="478" w:val="left" w:leader="none"/>
        </w:tabs>
        <w:spacing w:line="247" w:lineRule="auto" w:before="0" w:after="0"/>
        <w:ind w:left="477" w:right="114" w:hanging="360"/>
        <w:jc w:val="both"/>
        <w:rPr>
          <w:sz w:val="22"/>
        </w:rPr>
      </w:pPr>
      <w:r>
        <w:rPr>
          <w:i/>
          <w:color w:val="231F20"/>
          <w:sz w:val="22"/>
        </w:rPr>
        <w:t>Cuentas mancomunadas por proyecto. </w:t>
      </w:r>
      <w:r>
        <w:rPr>
          <w:color w:val="231F20"/>
          <w:sz w:val="22"/>
        </w:rPr>
        <w:t>Esta propuesta de política pública surge de un problema financiero del gobierno del estado de Guerrero. Los proyectos del Programa 3x1 del ejercicio fiscal 2004 tuvieron</w:t>
      </w:r>
      <w:r>
        <w:rPr>
          <w:color w:val="231F20"/>
          <w:spacing w:val="-11"/>
          <w:sz w:val="22"/>
        </w:rPr>
        <w:t> </w:t>
      </w:r>
      <w:r>
        <w:rPr>
          <w:color w:val="231F20"/>
          <w:sz w:val="22"/>
        </w:rPr>
        <w:t>que</w:t>
      </w:r>
      <w:r>
        <w:rPr>
          <w:color w:val="231F20"/>
          <w:spacing w:val="-10"/>
          <w:sz w:val="22"/>
        </w:rPr>
        <w:t> </w:t>
      </w:r>
      <w:r>
        <w:rPr>
          <w:color w:val="231F20"/>
          <w:sz w:val="22"/>
        </w:rPr>
        <w:t>ser</w:t>
      </w:r>
      <w:r>
        <w:rPr>
          <w:color w:val="231F20"/>
          <w:spacing w:val="-10"/>
          <w:sz w:val="22"/>
        </w:rPr>
        <w:t> </w:t>
      </w:r>
      <w:r>
        <w:rPr>
          <w:color w:val="231F20"/>
          <w:sz w:val="22"/>
        </w:rPr>
        <w:t>pagados</w:t>
      </w:r>
      <w:r>
        <w:rPr>
          <w:color w:val="231F20"/>
          <w:spacing w:val="-10"/>
          <w:sz w:val="22"/>
        </w:rPr>
        <w:t> </w:t>
      </w:r>
      <w:r>
        <w:rPr>
          <w:color w:val="231F20"/>
          <w:sz w:val="22"/>
        </w:rPr>
        <w:t>con</w:t>
      </w:r>
      <w:r>
        <w:rPr>
          <w:color w:val="231F20"/>
          <w:spacing w:val="-11"/>
          <w:sz w:val="22"/>
        </w:rPr>
        <w:t> </w:t>
      </w:r>
      <w:r>
        <w:rPr>
          <w:color w:val="231F20"/>
          <w:sz w:val="22"/>
        </w:rPr>
        <w:t>recursos</w:t>
      </w:r>
      <w:r>
        <w:rPr>
          <w:color w:val="231F20"/>
          <w:spacing w:val="-10"/>
          <w:sz w:val="22"/>
        </w:rPr>
        <w:t> </w:t>
      </w:r>
      <w:r>
        <w:rPr>
          <w:color w:val="231F20"/>
          <w:sz w:val="22"/>
        </w:rPr>
        <w:t>de</w:t>
      </w:r>
      <w:r>
        <w:rPr>
          <w:color w:val="231F20"/>
          <w:spacing w:val="-10"/>
          <w:sz w:val="22"/>
        </w:rPr>
        <w:t> </w:t>
      </w:r>
      <w:r>
        <w:rPr>
          <w:color w:val="231F20"/>
          <w:sz w:val="22"/>
        </w:rPr>
        <w:t>2005,</w:t>
      </w:r>
      <w:r>
        <w:rPr>
          <w:color w:val="231F20"/>
          <w:spacing w:val="-10"/>
          <w:sz w:val="22"/>
        </w:rPr>
        <w:t> </w:t>
      </w:r>
      <w:r>
        <w:rPr>
          <w:color w:val="231F20"/>
          <w:sz w:val="22"/>
        </w:rPr>
        <w:t>ante</w:t>
      </w:r>
      <w:r>
        <w:rPr>
          <w:color w:val="231F20"/>
          <w:spacing w:val="-11"/>
          <w:sz w:val="22"/>
        </w:rPr>
        <w:t> </w:t>
      </w:r>
      <w:r>
        <w:rPr>
          <w:color w:val="231F20"/>
          <w:sz w:val="22"/>
        </w:rPr>
        <w:t>el</w:t>
      </w:r>
      <w:r>
        <w:rPr>
          <w:color w:val="231F20"/>
          <w:spacing w:val="-10"/>
          <w:sz w:val="22"/>
        </w:rPr>
        <w:t> </w:t>
      </w:r>
      <w:r>
        <w:rPr>
          <w:color w:val="231F20"/>
          <w:sz w:val="22"/>
        </w:rPr>
        <w:t>incumplimiento del gobierno estatal saliente. En 2005, el gobierno del estado de Gue- rrero entrante implementó un sistema de cuentas mancomunadas por proyecto para ejercer los recursos del fideicomiso del Programa 3x1, como garantía de los migrantes y transparencia de recursos públicos del gobierno local. Anteriormente se manejaba una cuenta mancomu- nada para todos los proyectos. El manejo de los recursos federales</w:t>
      </w:r>
      <w:r>
        <w:rPr>
          <w:color w:val="231F20"/>
          <w:spacing w:val="-19"/>
          <w:sz w:val="22"/>
        </w:rPr>
        <w:t> </w:t>
      </w:r>
      <w:r>
        <w:rPr>
          <w:color w:val="231F20"/>
          <w:sz w:val="22"/>
        </w:rPr>
        <w:t>por parte</w:t>
      </w:r>
      <w:r>
        <w:rPr>
          <w:color w:val="231F20"/>
          <w:spacing w:val="-8"/>
          <w:sz w:val="22"/>
        </w:rPr>
        <w:t> </w:t>
      </w:r>
      <w:r>
        <w:rPr>
          <w:color w:val="231F20"/>
          <w:sz w:val="22"/>
        </w:rPr>
        <w:t>del</w:t>
      </w:r>
      <w:r>
        <w:rPr>
          <w:color w:val="231F20"/>
          <w:spacing w:val="-8"/>
          <w:sz w:val="22"/>
        </w:rPr>
        <w:t> </w:t>
      </w:r>
      <w:r>
        <w:rPr>
          <w:color w:val="231F20"/>
          <w:sz w:val="22"/>
        </w:rPr>
        <w:t>gobierno</w:t>
      </w:r>
      <w:r>
        <w:rPr>
          <w:color w:val="231F20"/>
          <w:spacing w:val="-8"/>
          <w:sz w:val="22"/>
        </w:rPr>
        <w:t> </w:t>
      </w:r>
      <w:r>
        <w:rPr>
          <w:color w:val="231F20"/>
          <w:sz w:val="22"/>
        </w:rPr>
        <w:t>estatal</w:t>
      </w:r>
      <w:r>
        <w:rPr>
          <w:color w:val="231F20"/>
          <w:spacing w:val="-9"/>
          <w:sz w:val="22"/>
        </w:rPr>
        <w:t> </w:t>
      </w:r>
      <w:r>
        <w:rPr>
          <w:color w:val="231F20"/>
          <w:sz w:val="22"/>
        </w:rPr>
        <w:t>era</w:t>
      </w:r>
      <w:r>
        <w:rPr>
          <w:color w:val="231F20"/>
          <w:spacing w:val="-8"/>
          <w:sz w:val="22"/>
        </w:rPr>
        <w:t> </w:t>
      </w:r>
      <w:r>
        <w:rPr>
          <w:color w:val="231F20"/>
          <w:sz w:val="22"/>
        </w:rPr>
        <w:t>discrecional</w:t>
      </w:r>
      <w:r>
        <w:rPr>
          <w:color w:val="231F20"/>
          <w:spacing w:val="-9"/>
          <w:sz w:val="22"/>
        </w:rPr>
        <w:t> </w:t>
      </w:r>
      <w:r>
        <w:rPr>
          <w:color w:val="231F20"/>
          <w:sz w:val="22"/>
        </w:rPr>
        <w:t>y</w:t>
      </w:r>
      <w:r>
        <w:rPr>
          <w:color w:val="231F20"/>
          <w:spacing w:val="-8"/>
          <w:sz w:val="22"/>
        </w:rPr>
        <w:t> </w:t>
      </w:r>
      <w:r>
        <w:rPr>
          <w:color w:val="231F20"/>
          <w:sz w:val="22"/>
        </w:rPr>
        <w:t>se</w:t>
      </w:r>
      <w:r>
        <w:rPr>
          <w:color w:val="231F20"/>
          <w:spacing w:val="-8"/>
          <w:sz w:val="22"/>
        </w:rPr>
        <w:t> </w:t>
      </w:r>
      <w:r>
        <w:rPr>
          <w:color w:val="231F20"/>
          <w:sz w:val="22"/>
        </w:rPr>
        <w:t>beneficiaban</w:t>
      </w:r>
      <w:r>
        <w:rPr>
          <w:color w:val="231F20"/>
          <w:spacing w:val="-9"/>
          <w:sz w:val="22"/>
        </w:rPr>
        <w:t> </w:t>
      </w:r>
      <w:r>
        <w:rPr>
          <w:color w:val="231F20"/>
          <w:sz w:val="22"/>
        </w:rPr>
        <w:t>clubes</w:t>
      </w:r>
      <w:r>
        <w:rPr>
          <w:color w:val="231F20"/>
          <w:spacing w:val="-8"/>
          <w:sz w:val="22"/>
        </w:rPr>
        <w:t> </w:t>
      </w:r>
      <w:r>
        <w:rPr>
          <w:color w:val="231F20"/>
          <w:sz w:val="22"/>
        </w:rPr>
        <w:t>que incluso no aportaban su parte correspondiente al esquema financiero del programa.</w:t>
      </w:r>
    </w:p>
    <w:p>
      <w:pPr>
        <w:pStyle w:val="ListParagraph"/>
        <w:numPr>
          <w:ilvl w:val="0"/>
          <w:numId w:val="5"/>
        </w:numPr>
        <w:tabs>
          <w:tab w:pos="478" w:val="left" w:leader="none"/>
        </w:tabs>
        <w:spacing w:line="247" w:lineRule="auto" w:before="0" w:after="0"/>
        <w:ind w:left="477" w:right="114" w:hanging="360"/>
        <w:jc w:val="both"/>
        <w:rPr>
          <w:sz w:val="22"/>
        </w:rPr>
      </w:pPr>
      <w:r>
        <w:rPr>
          <w:i/>
          <w:color w:val="231F20"/>
          <w:sz w:val="22"/>
        </w:rPr>
        <w:t>Relación comunidad migrante-gobierno del estado</w:t>
      </w:r>
      <w:r>
        <w:rPr>
          <w:color w:val="231F20"/>
          <w:sz w:val="22"/>
        </w:rPr>
        <w:t>. A diferencia de otros gobiernos estatales (Jalisco, Zacatecas) históricamente en Gue- rrero no ha habido una relación estrecha con la comunidad migrante. La primera vez que el actual gobernador visitó a la diáspora guerre- rense</w:t>
      </w:r>
      <w:r>
        <w:rPr>
          <w:color w:val="231F20"/>
          <w:spacing w:val="-5"/>
          <w:sz w:val="22"/>
        </w:rPr>
        <w:t> </w:t>
      </w:r>
      <w:r>
        <w:rPr>
          <w:color w:val="231F20"/>
          <w:sz w:val="22"/>
        </w:rPr>
        <w:t>lo</w:t>
      </w:r>
      <w:r>
        <w:rPr>
          <w:color w:val="231F20"/>
          <w:spacing w:val="-5"/>
          <w:sz w:val="22"/>
        </w:rPr>
        <w:t> </w:t>
      </w:r>
      <w:r>
        <w:rPr>
          <w:color w:val="231F20"/>
          <w:sz w:val="22"/>
        </w:rPr>
        <w:t>hizo</w:t>
      </w:r>
      <w:r>
        <w:rPr>
          <w:color w:val="231F20"/>
          <w:spacing w:val="-5"/>
          <w:sz w:val="22"/>
        </w:rPr>
        <w:t> </w:t>
      </w:r>
      <w:r>
        <w:rPr>
          <w:color w:val="231F20"/>
          <w:sz w:val="22"/>
        </w:rPr>
        <w:t>como</w:t>
      </w:r>
      <w:r>
        <w:rPr>
          <w:color w:val="231F20"/>
          <w:spacing w:val="-6"/>
          <w:sz w:val="22"/>
        </w:rPr>
        <w:t> </w:t>
      </w:r>
      <w:r>
        <w:rPr>
          <w:color w:val="231F20"/>
          <w:sz w:val="22"/>
        </w:rPr>
        <w:t>candidato.</w:t>
      </w:r>
      <w:r>
        <w:rPr>
          <w:color w:val="231F20"/>
          <w:spacing w:val="-5"/>
          <w:sz w:val="22"/>
        </w:rPr>
        <w:t> </w:t>
      </w:r>
      <w:r>
        <w:rPr>
          <w:color w:val="231F20"/>
          <w:sz w:val="22"/>
        </w:rPr>
        <w:t>Luego</w:t>
      </w:r>
      <w:r>
        <w:rPr>
          <w:color w:val="231F20"/>
          <w:spacing w:val="-6"/>
          <w:sz w:val="22"/>
        </w:rPr>
        <w:t> </w:t>
      </w:r>
      <w:r>
        <w:rPr>
          <w:color w:val="231F20"/>
          <w:sz w:val="22"/>
        </w:rPr>
        <w:t>de</w:t>
      </w:r>
      <w:r>
        <w:rPr>
          <w:color w:val="231F20"/>
          <w:spacing w:val="-5"/>
          <w:sz w:val="22"/>
        </w:rPr>
        <w:t> </w:t>
      </w:r>
      <w:r>
        <w:rPr>
          <w:color w:val="231F20"/>
          <w:sz w:val="22"/>
        </w:rPr>
        <w:t>visitar</w:t>
      </w:r>
      <w:r>
        <w:rPr>
          <w:color w:val="231F20"/>
          <w:spacing w:val="-5"/>
          <w:sz w:val="22"/>
        </w:rPr>
        <w:t> </w:t>
      </w:r>
      <w:r>
        <w:rPr>
          <w:color w:val="231F20"/>
          <w:sz w:val="22"/>
        </w:rPr>
        <w:t>a</w:t>
      </w:r>
      <w:r>
        <w:rPr>
          <w:color w:val="231F20"/>
          <w:spacing w:val="-5"/>
          <w:sz w:val="22"/>
        </w:rPr>
        <w:t> </w:t>
      </w:r>
      <w:r>
        <w:rPr>
          <w:color w:val="231F20"/>
          <w:sz w:val="22"/>
        </w:rPr>
        <w:t>las</w:t>
      </w:r>
      <w:r>
        <w:rPr>
          <w:color w:val="231F20"/>
          <w:spacing w:val="-6"/>
          <w:sz w:val="22"/>
        </w:rPr>
        <w:t> </w:t>
      </w:r>
      <w:r>
        <w:rPr>
          <w:color w:val="231F20"/>
          <w:sz w:val="22"/>
        </w:rPr>
        <w:t>organizaciones</w:t>
      </w:r>
      <w:r>
        <w:rPr>
          <w:color w:val="231F20"/>
          <w:spacing w:val="-5"/>
          <w:sz w:val="22"/>
        </w:rPr>
        <w:t> </w:t>
      </w:r>
      <w:r>
        <w:rPr>
          <w:color w:val="231F20"/>
          <w:sz w:val="22"/>
        </w:rPr>
        <w:t>en Chicago durante el primer año de gobierno (2005) dejó de asistir a los encuentros culturales hasta </w:t>
      </w:r>
      <w:r>
        <w:rPr>
          <w:color w:val="231F20"/>
          <w:spacing w:val="-3"/>
          <w:sz w:val="22"/>
        </w:rPr>
        <w:t>2011 </w:t>
      </w:r>
      <w:r>
        <w:rPr>
          <w:color w:val="231F20"/>
          <w:sz w:val="22"/>
        </w:rPr>
        <w:t>para dar a conocer su último infor- me de gobierno. En febrero, la Federación de Guerrerenses realiza su evento.</w:t>
      </w:r>
      <w:r>
        <w:rPr>
          <w:color w:val="231F20"/>
          <w:spacing w:val="-12"/>
          <w:sz w:val="22"/>
        </w:rPr>
        <w:t> </w:t>
      </w:r>
      <w:r>
        <w:rPr>
          <w:color w:val="231F20"/>
          <w:sz w:val="22"/>
        </w:rPr>
        <w:t>En</w:t>
      </w:r>
      <w:r>
        <w:rPr>
          <w:color w:val="231F20"/>
          <w:spacing w:val="-12"/>
          <w:sz w:val="22"/>
        </w:rPr>
        <w:t> </w:t>
      </w:r>
      <w:r>
        <w:rPr>
          <w:color w:val="231F20"/>
          <w:sz w:val="22"/>
        </w:rPr>
        <w:t>septiembre,</w:t>
      </w:r>
      <w:r>
        <w:rPr>
          <w:color w:val="231F20"/>
          <w:spacing w:val="-11"/>
          <w:sz w:val="22"/>
        </w:rPr>
        <w:t> </w:t>
      </w:r>
      <w:r>
        <w:rPr>
          <w:color w:val="231F20"/>
          <w:sz w:val="22"/>
        </w:rPr>
        <w:t>lo</w:t>
      </w:r>
      <w:r>
        <w:rPr>
          <w:color w:val="231F20"/>
          <w:spacing w:val="-12"/>
          <w:sz w:val="22"/>
        </w:rPr>
        <w:t> </w:t>
      </w:r>
      <w:r>
        <w:rPr>
          <w:color w:val="231F20"/>
          <w:sz w:val="22"/>
        </w:rPr>
        <w:t>hace</w:t>
      </w:r>
      <w:r>
        <w:rPr>
          <w:color w:val="231F20"/>
          <w:spacing w:val="-12"/>
          <w:sz w:val="22"/>
        </w:rPr>
        <w:t> </w:t>
      </w:r>
      <w:r>
        <w:rPr>
          <w:color w:val="231F20"/>
          <w:sz w:val="22"/>
        </w:rPr>
        <w:t>Clubes</w:t>
      </w:r>
      <w:r>
        <w:rPr>
          <w:color w:val="231F20"/>
          <w:spacing w:val="-12"/>
          <w:sz w:val="22"/>
        </w:rPr>
        <w:t> </w:t>
      </w:r>
      <w:r>
        <w:rPr>
          <w:color w:val="231F20"/>
          <w:sz w:val="22"/>
        </w:rPr>
        <w:t>Unidos</w:t>
      </w:r>
      <w:r>
        <w:rPr>
          <w:color w:val="231F20"/>
          <w:spacing w:val="-11"/>
          <w:sz w:val="22"/>
        </w:rPr>
        <w:t> </w:t>
      </w:r>
      <w:r>
        <w:rPr>
          <w:color w:val="231F20"/>
          <w:sz w:val="22"/>
        </w:rPr>
        <w:t>Guerrerenses</w:t>
      </w:r>
      <w:r>
        <w:rPr>
          <w:color w:val="231F20"/>
          <w:spacing w:val="-11"/>
          <w:sz w:val="22"/>
        </w:rPr>
        <w:t> </w:t>
      </w:r>
      <w:r>
        <w:rPr>
          <w:color w:val="231F20"/>
          <w:sz w:val="22"/>
        </w:rPr>
        <w:t>del</w:t>
      </w:r>
      <w:r>
        <w:rPr>
          <w:color w:val="231F20"/>
          <w:spacing w:val="-12"/>
          <w:sz w:val="22"/>
        </w:rPr>
        <w:t> </w:t>
      </w:r>
      <w:r>
        <w:rPr>
          <w:color w:val="231F20"/>
          <w:sz w:val="22"/>
        </w:rPr>
        <w:t>Medio Oeste.</w:t>
      </w:r>
    </w:p>
    <w:p>
      <w:pPr>
        <w:pStyle w:val="ListParagraph"/>
        <w:numPr>
          <w:ilvl w:val="0"/>
          <w:numId w:val="5"/>
        </w:numPr>
        <w:tabs>
          <w:tab w:pos="478" w:val="left" w:leader="none"/>
        </w:tabs>
        <w:spacing w:line="247" w:lineRule="auto" w:before="0" w:after="0"/>
        <w:ind w:left="477" w:right="114" w:hanging="360"/>
        <w:jc w:val="both"/>
        <w:rPr>
          <w:sz w:val="22"/>
        </w:rPr>
      </w:pPr>
      <w:r>
        <w:rPr>
          <w:i/>
          <w:color w:val="231F20"/>
          <w:sz w:val="22"/>
        </w:rPr>
        <w:t>Renovación de membresía</w:t>
      </w:r>
      <w:r>
        <w:rPr>
          <w:color w:val="231F20"/>
          <w:sz w:val="22"/>
        </w:rPr>
        <w:t>. Después de algunos años, las organizacio- nes deben renovar el 25 por ciento de los clubes afiliados. Esto es así porque algunos clubes se acercan a las organizaciones para impulsar un proyecto del Programa 3x1 para migrantes. Una vez realizada la obra,</w:t>
      </w:r>
      <w:r>
        <w:rPr>
          <w:color w:val="231F20"/>
          <w:spacing w:val="-11"/>
          <w:sz w:val="22"/>
        </w:rPr>
        <w:t> </w:t>
      </w:r>
      <w:r>
        <w:rPr>
          <w:color w:val="231F20"/>
          <w:sz w:val="22"/>
        </w:rPr>
        <w:t>algunos</w:t>
      </w:r>
      <w:r>
        <w:rPr>
          <w:color w:val="231F20"/>
          <w:spacing w:val="-12"/>
          <w:sz w:val="22"/>
        </w:rPr>
        <w:t> </w:t>
      </w:r>
      <w:r>
        <w:rPr>
          <w:color w:val="231F20"/>
          <w:sz w:val="22"/>
        </w:rPr>
        <w:t>deciden</w:t>
      </w:r>
      <w:r>
        <w:rPr>
          <w:color w:val="231F20"/>
          <w:spacing w:val="-11"/>
          <w:sz w:val="22"/>
        </w:rPr>
        <w:t> </w:t>
      </w:r>
      <w:r>
        <w:rPr>
          <w:color w:val="231F20"/>
          <w:sz w:val="22"/>
        </w:rPr>
        <w:t>disolver</w:t>
      </w:r>
      <w:r>
        <w:rPr>
          <w:color w:val="231F20"/>
          <w:spacing w:val="-11"/>
          <w:sz w:val="22"/>
        </w:rPr>
        <w:t> </w:t>
      </w:r>
      <w:r>
        <w:rPr>
          <w:color w:val="231F20"/>
          <w:sz w:val="22"/>
        </w:rPr>
        <w:t>su</w:t>
      </w:r>
      <w:r>
        <w:rPr>
          <w:color w:val="231F20"/>
          <w:spacing w:val="-11"/>
          <w:sz w:val="22"/>
        </w:rPr>
        <w:t> </w:t>
      </w:r>
      <w:r>
        <w:rPr>
          <w:color w:val="231F20"/>
          <w:sz w:val="22"/>
        </w:rPr>
        <w:t>club</w:t>
      </w:r>
      <w:r>
        <w:rPr>
          <w:color w:val="231F20"/>
          <w:spacing w:val="-11"/>
          <w:sz w:val="22"/>
        </w:rPr>
        <w:t> </w:t>
      </w:r>
      <w:r>
        <w:rPr>
          <w:color w:val="231F20"/>
          <w:sz w:val="22"/>
        </w:rPr>
        <w:t>y</w:t>
      </w:r>
      <w:r>
        <w:rPr>
          <w:color w:val="231F20"/>
          <w:spacing w:val="-11"/>
          <w:sz w:val="22"/>
        </w:rPr>
        <w:t> </w:t>
      </w:r>
      <w:r>
        <w:rPr>
          <w:color w:val="231F20"/>
          <w:sz w:val="22"/>
        </w:rPr>
        <w:t>dejan</w:t>
      </w:r>
      <w:r>
        <w:rPr>
          <w:color w:val="231F20"/>
          <w:spacing w:val="-11"/>
          <w:sz w:val="22"/>
        </w:rPr>
        <w:t> </w:t>
      </w:r>
      <w:r>
        <w:rPr>
          <w:color w:val="231F20"/>
          <w:sz w:val="22"/>
        </w:rPr>
        <w:t>de</w:t>
      </w:r>
      <w:r>
        <w:rPr>
          <w:color w:val="231F20"/>
          <w:spacing w:val="-11"/>
          <w:sz w:val="22"/>
        </w:rPr>
        <w:t> </w:t>
      </w:r>
      <w:r>
        <w:rPr>
          <w:color w:val="231F20"/>
          <w:sz w:val="22"/>
        </w:rPr>
        <w:t>asistir</w:t>
      </w:r>
      <w:r>
        <w:rPr>
          <w:color w:val="231F20"/>
          <w:spacing w:val="-11"/>
          <w:sz w:val="22"/>
        </w:rPr>
        <w:t> </w:t>
      </w:r>
      <w:r>
        <w:rPr>
          <w:color w:val="231F20"/>
          <w:sz w:val="22"/>
        </w:rPr>
        <w:t>a</w:t>
      </w:r>
      <w:r>
        <w:rPr>
          <w:color w:val="231F20"/>
          <w:spacing w:val="-11"/>
          <w:sz w:val="22"/>
        </w:rPr>
        <w:t> </w:t>
      </w:r>
      <w:r>
        <w:rPr>
          <w:color w:val="231F20"/>
          <w:sz w:val="22"/>
        </w:rPr>
        <w:t>las</w:t>
      </w:r>
      <w:r>
        <w:rPr>
          <w:color w:val="231F20"/>
          <w:spacing w:val="-11"/>
          <w:sz w:val="22"/>
        </w:rPr>
        <w:t> </w:t>
      </w:r>
      <w:r>
        <w:rPr>
          <w:color w:val="231F20"/>
          <w:sz w:val="22"/>
        </w:rPr>
        <w:t>reuniones mensuales y de apoyar en las promociones para recaudar</w:t>
      </w:r>
      <w:r>
        <w:rPr>
          <w:color w:val="231F20"/>
          <w:spacing w:val="-4"/>
          <w:sz w:val="22"/>
        </w:rPr>
        <w:t> </w:t>
      </w:r>
      <w:r>
        <w:rPr>
          <w:color w:val="231F20"/>
          <w:sz w:val="22"/>
        </w:rPr>
        <w:t>fondos.</w:t>
      </w:r>
    </w:p>
    <w:p>
      <w:pPr>
        <w:spacing w:after="0" w:line="247" w:lineRule="auto"/>
        <w:jc w:val="both"/>
        <w:rPr>
          <w:sz w:val="22"/>
        </w:rPr>
        <w:sectPr>
          <w:pgSz w:w="9360" w:h="13040"/>
          <w:pgMar w:header="0" w:footer="496" w:top="800" w:bottom="680" w:left="1300" w:right="1300"/>
        </w:sectPr>
      </w:pPr>
    </w:p>
    <w:p>
      <w:pPr>
        <w:spacing w:before="45"/>
        <w:ind w:left="207" w:right="117" w:firstLine="0"/>
        <w:jc w:val="left"/>
        <w:rPr>
          <w:rFonts w:ascii="Arial" w:hAnsi="Arial"/>
          <w:sz w:val="20"/>
        </w:rPr>
      </w:pPr>
      <w:r>
        <w:rPr>
          <w:rFonts w:ascii="Arial" w:hAnsi="Arial"/>
          <w:color w:val="231F20"/>
          <w:w w:val="70"/>
          <w:sz w:val="20"/>
        </w:rPr>
        <w:t>Políticas públicas de la migración transnacional entre México y Estados Unidos /Alejandro  Díaz-Garay</w:t>
      </w:r>
    </w:p>
    <w:p>
      <w:pPr>
        <w:pStyle w:val="BodyText"/>
        <w:spacing w:before="7"/>
        <w:rPr>
          <w:rFonts w:ascii="Arial"/>
          <w:sz w:val="28"/>
        </w:rPr>
      </w:pPr>
    </w:p>
    <w:p>
      <w:pPr>
        <w:pStyle w:val="ListParagraph"/>
        <w:numPr>
          <w:ilvl w:val="0"/>
          <w:numId w:val="5"/>
        </w:numPr>
        <w:tabs>
          <w:tab w:pos="478" w:val="left" w:leader="none"/>
        </w:tabs>
        <w:spacing w:line="247" w:lineRule="auto" w:before="0" w:after="0"/>
        <w:ind w:left="477" w:right="114" w:hanging="360"/>
        <w:jc w:val="both"/>
        <w:rPr>
          <w:sz w:val="22"/>
        </w:rPr>
      </w:pPr>
      <w:r>
        <w:rPr>
          <w:i/>
          <w:color w:val="231F20"/>
          <w:sz w:val="22"/>
        </w:rPr>
        <w:t>Escasa participación en el 3x1 de los gobiernos municipales. </w:t>
      </w:r>
      <w:r>
        <w:rPr>
          <w:color w:val="231F20"/>
          <w:sz w:val="22"/>
        </w:rPr>
        <w:t>A dife- rencia de la realidad nacional, en Guerrero los gobiernos municipales han tenido una tibia participación en el Programa 3x1 para migrantes; esto impide alanzar las metas basadas en el esquema financiero. Pre- viendo</w:t>
      </w:r>
      <w:r>
        <w:rPr>
          <w:color w:val="231F20"/>
          <w:spacing w:val="-8"/>
          <w:sz w:val="22"/>
        </w:rPr>
        <w:t> </w:t>
      </w:r>
      <w:r>
        <w:rPr>
          <w:color w:val="231F20"/>
          <w:sz w:val="22"/>
        </w:rPr>
        <w:t>esto,</w:t>
      </w:r>
      <w:r>
        <w:rPr>
          <w:color w:val="231F20"/>
          <w:spacing w:val="-8"/>
          <w:sz w:val="22"/>
        </w:rPr>
        <w:t> </w:t>
      </w:r>
      <w:r>
        <w:rPr>
          <w:color w:val="231F20"/>
          <w:sz w:val="22"/>
        </w:rPr>
        <w:t>se</w:t>
      </w:r>
      <w:r>
        <w:rPr>
          <w:color w:val="231F20"/>
          <w:spacing w:val="-8"/>
          <w:sz w:val="22"/>
        </w:rPr>
        <w:t> </w:t>
      </w:r>
      <w:r>
        <w:rPr>
          <w:color w:val="231F20"/>
          <w:sz w:val="22"/>
        </w:rPr>
        <w:t>propone</w:t>
      </w:r>
      <w:r>
        <w:rPr>
          <w:color w:val="231F20"/>
          <w:spacing w:val="-8"/>
          <w:sz w:val="22"/>
        </w:rPr>
        <w:t> </w:t>
      </w:r>
      <w:r>
        <w:rPr>
          <w:color w:val="231F20"/>
          <w:sz w:val="22"/>
        </w:rPr>
        <w:t>que</w:t>
      </w:r>
      <w:r>
        <w:rPr>
          <w:color w:val="231F20"/>
          <w:spacing w:val="-8"/>
          <w:sz w:val="22"/>
        </w:rPr>
        <w:t> </w:t>
      </w:r>
      <w:r>
        <w:rPr>
          <w:color w:val="231F20"/>
          <w:sz w:val="22"/>
        </w:rPr>
        <w:t>cuando</w:t>
      </w:r>
      <w:r>
        <w:rPr>
          <w:color w:val="231F20"/>
          <w:spacing w:val="-8"/>
          <w:sz w:val="22"/>
        </w:rPr>
        <w:t> </w:t>
      </w:r>
      <w:r>
        <w:rPr>
          <w:color w:val="231F20"/>
          <w:sz w:val="22"/>
        </w:rPr>
        <w:t>el</w:t>
      </w:r>
      <w:r>
        <w:rPr>
          <w:color w:val="231F20"/>
          <w:spacing w:val="-8"/>
          <w:sz w:val="22"/>
        </w:rPr>
        <w:t> </w:t>
      </w:r>
      <w:r>
        <w:rPr>
          <w:color w:val="231F20"/>
          <w:sz w:val="22"/>
        </w:rPr>
        <w:t>gobierno</w:t>
      </w:r>
      <w:r>
        <w:rPr>
          <w:color w:val="231F20"/>
          <w:spacing w:val="-8"/>
          <w:sz w:val="22"/>
        </w:rPr>
        <w:t> </w:t>
      </w:r>
      <w:r>
        <w:rPr>
          <w:color w:val="231F20"/>
          <w:sz w:val="22"/>
        </w:rPr>
        <w:t>municipal</w:t>
      </w:r>
      <w:r>
        <w:rPr>
          <w:color w:val="231F20"/>
          <w:spacing w:val="-9"/>
          <w:sz w:val="22"/>
        </w:rPr>
        <w:t> </w:t>
      </w:r>
      <w:r>
        <w:rPr>
          <w:color w:val="231F20"/>
          <w:sz w:val="22"/>
        </w:rPr>
        <w:t>no</w:t>
      </w:r>
      <w:r>
        <w:rPr>
          <w:color w:val="231F20"/>
          <w:spacing w:val="-8"/>
          <w:sz w:val="22"/>
        </w:rPr>
        <w:t> </w:t>
      </w:r>
      <w:r>
        <w:rPr>
          <w:color w:val="231F20"/>
          <w:sz w:val="22"/>
        </w:rPr>
        <w:t>participe con</w:t>
      </w:r>
      <w:r>
        <w:rPr>
          <w:color w:val="231F20"/>
          <w:spacing w:val="-7"/>
          <w:sz w:val="22"/>
        </w:rPr>
        <w:t> </w:t>
      </w:r>
      <w:r>
        <w:rPr>
          <w:color w:val="231F20"/>
          <w:sz w:val="22"/>
        </w:rPr>
        <w:t>su</w:t>
      </w:r>
      <w:r>
        <w:rPr>
          <w:color w:val="231F20"/>
          <w:spacing w:val="-7"/>
          <w:sz w:val="22"/>
        </w:rPr>
        <w:t> </w:t>
      </w:r>
      <w:r>
        <w:rPr>
          <w:color w:val="231F20"/>
          <w:sz w:val="22"/>
        </w:rPr>
        <w:t>25</w:t>
      </w:r>
      <w:r>
        <w:rPr>
          <w:color w:val="231F20"/>
          <w:spacing w:val="-7"/>
          <w:sz w:val="22"/>
        </w:rPr>
        <w:t> </w:t>
      </w:r>
      <w:r>
        <w:rPr>
          <w:color w:val="231F20"/>
          <w:sz w:val="22"/>
        </w:rPr>
        <w:t>por</w:t>
      </w:r>
      <w:r>
        <w:rPr>
          <w:color w:val="231F20"/>
          <w:spacing w:val="-7"/>
          <w:sz w:val="22"/>
        </w:rPr>
        <w:t> </w:t>
      </w:r>
      <w:r>
        <w:rPr>
          <w:color w:val="231F20"/>
          <w:sz w:val="22"/>
        </w:rPr>
        <w:t>ciento,</w:t>
      </w:r>
      <w:r>
        <w:rPr>
          <w:color w:val="231F20"/>
          <w:spacing w:val="-7"/>
          <w:sz w:val="22"/>
        </w:rPr>
        <w:t> </w:t>
      </w:r>
      <w:r>
        <w:rPr>
          <w:color w:val="231F20"/>
          <w:sz w:val="22"/>
        </w:rPr>
        <w:t>el</w:t>
      </w:r>
      <w:r>
        <w:rPr>
          <w:color w:val="231F20"/>
          <w:spacing w:val="-7"/>
          <w:sz w:val="22"/>
        </w:rPr>
        <w:t> </w:t>
      </w:r>
      <w:r>
        <w:rPr>
          <w:color w:val="231F20"/>
          <w:sz w:val="22"/>
        </w:rPr>
        <w:t>federal</w:t>
      </w:r>
      <w:r>
        <w:rPr>
          <w:color w:val="231F20"/>
          <w:spacing w:val="-6"/>
          <w:sz w:val="22"/>
        </w:rPr>
        <w:t> </w:t>
      </w:r>
      <w:r>
        <w:rPr>
          <w:color w:val="231F20"/>
          <w:sz w:val="22"/>
        </w:rPr>
        <w:t>y</w:t>
      </w:r>
      <w:r>
        <w:rPr>
          <w:color w:val="231F20"/>
          <w:spacing w:val="-7"/>
          <w:sz w:val="22"/>
        </w:rPr>
        <w:t> </w:t>
      </w:r>
      <w:r>
        <w:rPr>
          <w:color w:val="231F20"/>
          <w:sz w:val="22"/>
        </w:rPr>
        <w:t>el</w:t>
      </w:r>
      <w:r>
        <w:rPr>
          <w:color w:val="231F20"/>
          <w:spacing w:val="-7"/>
          <w:sz w:val="22"/>
        </w:rPr>
        <w:t> </w:t>
      </w:r>
      <w:r>
        <w:rPr>
          <w:color w:val="231F20"/>
          <w:sz w:val="22"/>
        </w:rPr>
        <w:t>estatal</w:t>
      </w:r>
      <w:r>
        <w:rPr>
          <w:color w:val="231F20"/>
          <w:spacing w:val="-7"/>
          <w:sz w:val="22"/>
        </w:rPr>
        <w:t> </w:t>
      </w:r>
      <w:r>
        <w:rPr>
          <w:color w:val="231F20"/>
          <w:sz w:val="22"/>
        </w:rPr>
        <w:t>aporten</w:t>
      </w:r>
      <w:r>
        <w:rPr>
          <w:color w:val="231F20"/>
          <w:spacing w:val="-7"/>
          <w:sz w:val="22"/>
        </w:rPr>
        <w:t> </w:t>
      </w:r>
      <w:r>
        <w:rPr>
          <w:color w:val="231F20"/>
          <w:sz w:val="22"/>
        </w:rPr>
        <w:t>dicho</w:t>
      </w:r>
      <w:r>
        <w:rPr>
          <w:color w:val="231F20"/>
          <w:spacing w:val="-6"/>
          <w:sz w:val="22"/>
        </w:rPr>
        <w:t> </w:t>
      </w:r>
      <w:r>
        <w:rPr>
          <w:color w:val="231F20"/>
          <w:sz w:val="22"/>
        </w:rPr>
        <w:t>recurso</w:t>
      </w:r>
      <w:r>
        <w:rPr>
          <w:color w:val="231F20"/>
          <w:spacing w:val="-6"/>
          <w:sz w:val="22"/>
        </w:rPr>
        <w:t> </w:t>
      </w:r>
      <w:r>
        <w:rPr>
          <w:color w:val="231F20"/>
          <w:sz w:val="22"/>
        </w:rPr>
        <w:t>extra.</w:t>
      </w:r>
    </w:p>
    <w:p>
      <w:pPr>
        <w:pStyle w:val="ListParagraph"/>
        <w:numPr>
          <w:ilvl w:val="0"/>
          <w:numId w:val="5"/>
        </w:numPr>
        <w:tabs>
          <w:tab w:pos="478" w:val="left" w:leader="none"/>
        </w:tabs>
        <w:spacing w:line="247" w:lineRule="auto" w:before="0" w:after="0"/>
        <w:ind w:left="477" w:right="115" w:hanging="360"/>
        <w:jc w:val="both"/>
        <w:rPr>
          <w:sz w:val="22"/>
        </w:rPr>
      </w:pPr>
      <w:r>
        <w:rPr>
          <w:i/>
          <w:color w:val="231F20"/>
          <w:sz w:val="22"/>
        </w:rPr>
        <w:t>Expedientes técnicos a cargo del gobierno del estado. </w:t>
      </w:r>
      <w:r>
        <w:rPr>
          <w:color w:val="231F20"/>
          <w:sz w:val="22"/>
        </w:rPr>
        <w:t>En su aprendi- zaje, las organizaciones de migrantes han pactado acuerdos con una de las constructoras que inicialmente fue contratada para ejecutar una obra de agua potable, misma que entregó cumpliendo con las normas técnicas y utilizando los materiales especificados en el estudio. Esta constructora se comprometió a realizar expedientes técnicos gratuitos de los proyectos de Clubes Unidos, sin que ello significase la adjudi- cación de dichas obras. El club respectivo se reserva ese derecho.</w:t>
      </w:r>
      <w:r>
        <w:rPr>
          <w:color w:val="231F20"/>
          <w:spacing w:val="-35"/>
          <w:sz w:val="22"/>
        </w:rPr>
        <w:t> </w:t>
      </w:r>
      <w:r>
        <w:rPr>
          <w:color w:val="231F20"/>
          <w:sz w:val="22"/>
        </w:rPr>
        <w:t>Éste queda</w:t>
      </w:r>
      <w:r>
        <w:rPr>
          <w:color w:val="231F20"/>
          <w:spacing w:val="-7"/>
          <w:sz w:val="22"/>
        </w:rPr>
        <w:t> </w:t>
      </w:r>
      <w:r>
        <w:rPr>
          <w:color w:val="231F20"/>
          <w:sz w:val="22"/>
        </w:rPr>
        <w:t>en</w:t>
      </w:r>
      <w:r>
        <w:rPr>
          <w:color w:val="231F20"/>
          <w:spacing w:val="-7"/>
          <w:sz w:val="22"/>
        </w:rPr>
        <w:t> </w:t>
      </w:r>
      <w:r>
        <w:rPr>
          <w:color w:val="231F20"/>
          <w:sz w:val="22"/>
        </w:rPr>
        <w:t>completa</w:t>
      </w:r>
      <w:r>
        <w:rPr>
          <w:color w:val="231F20"/>
          <w:spacing w:val="-8"/>
          <w:sz w:val="22"/>
        </w:rPr>
        <w:t> </w:t>
      </w:r>
      <w:r>
        <w:rPr>
          <w:color w:val="231F20"/>
          <w:sz w:val="22"/>
        </w:rPr>
        <w:t>libertad</w:t>
      </w:r>
      <w:r>
        <w:rPr>
          <w:color w:val="231F20"/>
          <w:spacing w:val="-8"/>
          <w:sz w:val="22"/>
        </w:rPr>
        <w:t> </w:t>
      </w:r>
      <w:r>
        <w:rPr>
          <w:color w:val="231F20"/>
          <w:sz w:val="22"/>
        </w:rPr>
        <w:t>de</w:t>
      </w:r>
      <w:r>
        <w:rPr>
          <w:color w:val="231F20"/>
          <w:spacing w:val="-7"/>
          <w:sz w:val="22"/>
        </w:rPr>
        <w:t> </w:t>
      </w:r>
      <w:r>
        <w:rPr>
          <w:color w:val="231F20"/>
          <w:sz w:val="22"/>
        </w:rPr>
        <w:t>decidir</w:t>
      </w:r>
      <w:r>
        <w:rPr>
          <w:color w:val="231F20"/>
          <w:spacing w:val="-8"/>
          <w:sz w:val="22"/>
        </w:rPr>
        <w:t> </w:t>
      </w:r>
      <w:r>
        <w:rPr>
          <w:color w:val="231F20"/>
          <w:sz w:val="22"/>
        </w:rPr>
        <w:t>quién</w:t>
      </w:r>
      <w:r>
        <w:rPr>
          <w:color w:val="231F20"/>
          <w:spacing w:val="-7"/>
          <w:sz w:val="22"/>
        </w:rPr>
        <w:t> </w:t>
      </w:r>
      <w:r>
        <w:rPr>
          <w:color w:val="231F20"/>
          <w:sz w:val="22"/>
        </w:rPr>
        <w:t>le</w:t>
      </w:r>
      <w:r>
        <w:rPr>
          <w:color w:val="231F20"/>
          <w:spacing w:val="-7"/>
          <w:sz w:val="22"/>
        </w:rPr>
        <w:t> </w:t>
      </w:r>
      <w:r>
        <w:rPr>
          <w:color w:val="231F20"/>
          <w:sz w:val="22"/>
        </w:rPr>
        <w:t>hará</w:t>
      </w:r>
      <w:r>
        <w:rPr>
          <w:color w:val="231F20"/>
          <w:spacing w:val="-7"/>
          <w:sz w:val="22"/>
        </w:rPr>
        <w:t> </w:t>
      </w:r>
      <w:r>
        <w:rPr>
          <w:color w:val="231F20"/>
          <w:sz w:val="22"/>
        </w:rPr>
        <w:t>su</w:t>
      </w:r>
      <w:r>
        <w:rPr>
          <w:color w:val="231F20"/>
          <w:spacing w:val="-7"/>
          <w:sz w:val="22"/>
        </w:rPr>
        <w:t> </w:t>
      </w:r>
      <w:r>
        <w:rPr>
          <w:color w:val="231F20"/>
          <w:sz w:val="22"/>
        </w:rPr>
        <w:t>obra;</w:t>
      </w:r>
      <w:r>
        <w:rPr>
          <w:color w:val="231F20"/>
          <w:spacing w:val="-7"/>
          <w:sz w:val="22"/>
        </w:rPr>
        <w:t> </w:t>
      </w:r>
      <w:r>
        <w:rPr>
          <w:color w:val="231F20"/>
          <w:sz w:val="22"/>
        </w:rPr>
        <w:t>si</w:t>
      </w:r>
      <w:r>
        <w:rPr>
          <w:color w:val="231F20"/>
          <w:spacing w:val="-7"/>
          <w:sz w:val="22"/>
        </w:rPr>
        <w:t> </w:t>
      </w:r>
      <w:r>
        <w:rPr>
          <w:color w:val="231F20"/>
          <w:sz w:val="22"/>
        </w:rPr>
        <w:t>requiere de una empresa profesional o si decide que sea ejecutada por la</w:t>
      </w:r>
      <w:r>
        <w:rPr>
          <w:color w:val="231F20"/>
          <w:spacing w:val="-29"/>
          <w:sz w:val="22"/>
        </w:rPr>
        <w:t> </w:t>
      </w:r>
      <w:r>
        <w:rPr>
          <w:color w:val="231F20"/>
          <w:sz w:val="22"/>
        </w:rPr>
        <w:t>propia comunidad. Dependerá también del tipo de</w:t>
      </w:r>
      <w:r>
        <w:rPr>
          <w:color w:val="231F20"/>
          <w:spacing w:val="-11"/>
          <w:sz w:val="22"/>
        </w:rPr>
        <w:t> </w:t>
      </w:r>
      <w:r>
        <w:rPr>
          <w:color w:val="231F20"/>
          <w:sz w:val="22"/>
        </w:rPr>
        <w:t>obra.</w:t>
      </w:r>
    </w:p>
    <w:p>
      <w:pPr>
        <w:pStyle w:val="ListParagraph"/>
        <w:numPr>
          <w:ilvl w:val="0"/>
          <w:numId w:val="5"/>
        </w:numPr>
        <w:tabs>
          <w:tab w:pos="478" w:val="left" w:leader="none"/>
        </w:tabs>
        <w:spacing w:line="247" w:lineRule="auto" w:before="0" w:after="0"/>
        <w:ind w:left="477" w:right="114" w:hanging="360"/>
        <w:jc w:val="both"/>
        <w:rPr>
          <w:sz w:val="22"/>
        </w:rPr>
      </w:pPr>
      <w:r>
        <w:rPr>
          <w:i/>
          <w:color w:val="231F20"/>
          <w:sz w:val="22"/>
        </w:rPr>
        <w:t>De</w:t>
      </w:r>
      <w:r>
        <w:rPr>
          <w:i/>
          <w:color w:val="231F20"/>
          <w:spacing w:val="-6"/>
          <w:sz w:val="22"/>
        </w:rPr>
        <w:t> </w:t>
      </w:r>
      <w:r>
        <w:rPr>
          <w:i/>
          <w:color w:val="231F20"/>
          <w:sz w:val="22"/>
        </w:rPr>
        <w:t>clubes</w:t>
      </w:r>
      <w:r>
        <w:rPr>
          <w:i/>
          <w:color w:val="231F20"/>
          <w:spacing w:val="-6"/>
          <w:sz w:val="22"/>
        </w:rPr>
        <w:t> </w:t>
      </w:r>
      <w:r>
        <w:rPr>
          <w:i/>
          <w:color w:val="231F20"/>
          <w:sz w:val="22"/>
        </w:rPr>
        <w:t>espejo</w:t>
      </w:r>
      <w:r>
        <w:rPr>
          <w:i/>
          <w:color w:val="231F20"/>
          <w:spacing w:val="-6"/>
          <w:sz w:val="22"/>
        </w:rPr>
        <w:t> </w:t>
      </w:r>
      <w:r>
        <w:rPr>
          <w:i/>
          <w:color w:val="231F20"/>
          <w:sz w:val="22"/>
        </w:rPr>
        <w:t>a</w:t>
      </w:r>
      <w:r>
        <w:rPr>
          <w:i/>
          <w:color w:val="231F20"/>
          <w:spacing w:val="-6"/>
          <w:sz w:val="22"/>
        </w:rPr>
        <w:t> </w:t>
      </w:r>
      <w:r>
        <w:rPr>
          <w:i/>
          <w:color w:val="231F20"/>
          <w:sz w:val="22"/>
        </w:rPr>
        <w:t>ejecutores</w:t>
      </w:r>
      <w:r>
        <w:rPr>
          <w:i/>
          <w:color w:val="231F20"/>
          <w:spacing w:val="-6"/>
          <w:sz w:val="22"/>
        </w:rPr>
        <w:t> </w:t>
      </w:r>
      <w:r>
        <w:rPr>
          <w:i/>
          <w:color w:val="231F20"/>
          <w:sz w:val="22"/>
        </w:rPr>
        <w:t>de</w:t>
      </w:r>
      <w:r>
        <w:rPr>
          <w:i/>
          <w:color w:val="231F20"/>
          <w:spacing w:val="-6"/>
          <w:sz w:val="22"/>
        </w:rPr>
        <w:t> </w:t>
      </w:r>
      <w:r>
        <w:rPr>
          <w:i/>
          <w:color w:val="231F20"/>
          <w:sz w:val="22"/>
        </w:rPr>
        <w:t>obra</w:t>
      </w:r>
      <w:r>
        <w:rPr>
          <w:i/>
          <w:color w:val="231F20"/>
          <w:spacing w:val="-6"/>
          <w:sz w:val="22"/>
        </w:rPr>
        <w:t> </w:t>
      </w:r>
      <w:r>
        <w:rPr>
          <w:i/>
          <w:color w:val="231F20"/>
          <w:sz w:val="22"/>
        </w:rPr>
        <w:t>(responsables</w:t>
      </w:r>
      <w:r>
        <w:rPr>
          <w:i/>
          <w:color w:val="231F20"/>
          <w:spacing w:val="-7"/>
          <w:sz w:val="22"/>
        </w:rPr>
        <w:t> </w:t>
      </w:r>
      <w:r>
        <w:rPr>
          <w:i/>
          <w:color w:val="231F20"/>
          <w:sz w:val="22"/>
        </w:rPr>
        <w:t>de</w:t>
      </w:r>
      <w:r>
        <w:rPr>
          <w:i/>
          <w:color w:val="231F20"/>
          <w:spacing w:val="-6"/>
          <w:sz w:val="22"/>
        </w:rPr>
        <w:t> </w:t>
      </w:r>
      <w:r>
        <w:rPr>
          <w:i/>
          <w:color w:val="231F20"/>
          <w:sz w:val="22"/>
        </w:rPr>
        <w:t>la</w:t>
      </w:r>
      <w:r>
        <w:rPr>
          <w:i/>
          <w:color w:val="231F20"/>
          <w:spacing w:val="-6"/>
          <w:sz w:val="22"/>
        </w:rPr>
        <w:t> </w:t>
      </w:r>
      <w:r>
        <w:rPr>
          <w:i/>
          <w:color w:val="231F20"/>
          <w:sz w:val="22"/>
        </w:rPr>
        <w:t>transparen- </w:t>
      </w:r>
      <w:r>
        <w:rPr>
          <w:i/>
          <w:color w:val="231F20"/>
          <w:sz w:val="22"/>
        </w:rPr>
        <w:t>cia y la honestidad). </w:t>
      </w:r>
      <w:r>
        <w:rPr>
          <w:color w:val="231F20"/>
          <w:sz w:val="22"/>
        </w:rPr>
        <w:t>La ventaja de que una obra sea realizada por los habitantes</w:t>
      </w:r>
      <w:r>
        <w:rPr>
          <w:color w:val="231F20"/>
          <w:spacing w:val="-7"/>
          <w:sz w:val="22"/>
        </w:rPr>
        <w:t> </w:t>
      </w:r>
      <w:r>
        <w:rPr>
          <w:color w:val="231F20"/>
          <w:sz w:val="22"/>
        </w:rPr>
        <w:t>de</w:t>
      </w:r>
      <w:r>
        <w:rPr>
          <w:color w:val="231F20"/>
          <w:spacing w:val="-7"/>
          <w:sz w:val="22"/>
        </w:rPr>
        <w:t> </w:t>
      </w:r>
      <w:r>
        <w:rPr>
          <w:color w:val="231F20"/>
          <w:sz w:val="22"/>
        </w:rPr>
        <w:t>una</w:t>
      </w:r>
      <w:r>
        <w:rPr>
          <w:color w:val="231F20"/>
          <w:spacing w:val="-7"/>
          <w:sz w:val="22"/>
        </w:rPr>
        <w:t> </w:t>
      </w:r>
      <w:r>
        <w:rPr>
          <w:color w:val="231F20"/>
          <w:sz w:val="22"/>
        </w:rPr>
        <w:t>comunidad</w:t>
      </w:r>
      <w:r>
        <w:rPr>
          <w:color w:val="231F20"/>
          <w:spacing w:val="-7"/>
          <w:sz w:val="22"/>
        </w:rPr>
        <w:t> </w:t>
      </w:r>
      <w:r>
        <w:rPr>
          <w:color w:val="231F20"/>
          <w:sz w:val="22"/>
        </w:rPr>
        <w:t>es</w:t>
      </w:r>
      <w:r>
        <w:rPr>
          <w:color w:val="231F20"/>
          <w:spacing w:val="-7"/>
          <w:sz w:val="22"/>
        </w:rPr>
        <w:t> </w:t>
      </w:r>
      <w:r>
        <w:rPr>
          <w:color w:val="231F20"/>
          <w:sz w:val="22"/>
        </w:rPr>
        <w:t>que</w:t>
      </w:r>
      <w:r>
        <w:rPr>
          <w:color w:val="231F20"/>
          <w:spacing w:val="-7"/>
          <w:sz w:val="22"/>
        </w:rPr>
        <w:t> </w:t>
      </w:r>
      <w:r>
        <w:rPr>
          <w:color w:val="231F20"/>
          <w:sz w:val="22"/>
        </w:rPr>
        <w:t>se</w:t>
      </w:r>
      <w:r>
        <w:rPr>
          <w:color w:val="231F20"/>
          <w:spacing w:val="-7"/>
          <w:sz w:val="22"/>
        </w:rPr>
        <w:t> </w:t>
      </w:r>
      <w:r>
        <w:rPr>
          <w:color w:val="231F20"/>
          <w:sz w:val="22"/>
        </w:rPr>
        <w:t>rebasan</w:t>
      </w:r>
      <w:r>
        <w:rPr>
          <w:color w:val="231F20"/>
          <w:spacing w:val="-7"/>
          <w:sz w:val="22"/>
        </w:rPr>
        <w:t> </w:t>
      </w:r>
      <w:r>
        <w:rPr>
          <w:color w:val="231F20"/>
          <w:sz w:val="22"/>
        </w:rPr>
        <w:t>las</w:t>
      </w:r>
      <w:r>
        <w:rPr>
          <w:color w:val="231F20"/>
          <w:spacing w:val="-7"/>
          <w:sz w:val="22"/>
        </w:rPr>
        <w:t> </w:t>
      </w:r>
      <w:r>
        <w:rPr>
          <w:color w:val="231F20"/>
          <w:sz w:val="22"/>
        </w:rPr>
        <w:t>metas</w:t>
      </w:r>
      <w:r>
        <w:rPr>
          <w:color w:val="231F20"/>
          <w:spacing w:val="-7"/>
          <w:sz w:val="22"/>
        </w:rPr>
        <w:t> </w:t>
      </w:r>
      <w:r>
        <w:rPr>
          <w:color w:val="231F20"/>
          <w:sz w:val="22"/>
        </w:rPr>
        <w:t>compromiso. La experiencia al contratar una empresa es que se debe pagar entre 25 a 30 por ciento más que si la obra fuese ejecutada por habitantes de la propia</w:t>
      </w:r>
      <w:r>
        <w:rPr>
          <w:color w:val="231F20"/>
          <w:spacing w:val="-10"/>
          <w:sz w:val="22"/>
        </w:rPr>
        <w:t> </w:t>
      </w:r>
      <w:r>
        <w:rPr>
          <w:color w:val="231F20"/>
          <w:sz w:val="22"/>
        </w:rPr>
        <w:t>comunidad.</w:t>
      </w:r>
      <w:r>
        <w:rPr>
          <w:color w:val="231F20"/>
          <w:spacing w:val="-10"/>
          <w:sz w:val="22"/>
        </w:rPr>
        <w:t> </w:t>
      </w:r>
      <w:r>
        <w:rPr>
          <w:color w:val="231F20"/>
          <w:sz w:val="22"/>
        </w:rPr>
        <w:t>Sin</w:t>
      </w:r>
      <w:r>
        <w:rPr>
          <w:color w:val="231F20"/>
          <w:spacing w:val="-9"/>
          <w:sz w:val="22"/>
        </w:rPr>
        <w:t> </w:t>
      </w:r>
      <w:r>
        <w:rPr>
          <w:color w:val="231F20"/>
          <w:sz w:val="22"/>
        </w:rPr>
        <w:t>embargo,</w:t>
      </w:r>
      <w:r>
        <w:rPr>
          <w:color w:val="231F20"/>
          <w:spacing w:val="-9"/>
          <w:sz w:val="22"/>
        </w:rPr>
        <w:t> </w:t>
      </w:r>
      <w:r>
        <w:rPr>
          <w:color w:val="231F20"/>
          <w:sz w:val="22"/>
        </w:rPr>
        <w:t>ha</w:t>
      </w:r>
      <w:r>
        <w:rPr>
          <w:color w:val="231F20"/>
          <w:spacing w:val="-10"/>
          <w:sz w:val="22"/>
        </w:rPr>
        <w:t> </w:t>
      </w:r>
      <w:r>
        <w:rPr>
          <w:color w:val="231F20"/>
          <w:sz w:val="22"/>
        </w:rPr>
        <w:t>habido</w:t>
      </w:r>
      <w:r>
        <w:rPr>
          <w:color w:val="231F20"/>
          <w:spacing w:val="-10"/>
          <w:sz w:val="22"/>
        </w:rPr>
        <w:t> </w:t>
      </w:r>
      <w:r>
        <w:rPr>
          <w:color w:val="231F20"/>
          <w:sz w:val="22"/>
        </w:rPr>
        <w:t>dificultades</w:t>
      </w:r>
      <w:r>
        <w:rPr>
          <w:color w:val="231F20"/>
          <w:spacing w:val="-10"/>
          <w:sz w:val="22"/>
        </w:rPr>
        <w:t> </w:t>
      </w:r>
      <w:r>
        <w:rPr>
          <w:color w:val="231F20"/>
          <w:sz w:val="22"/>
        </w:rPr>
        <w:t>al</w:t>
      </w:r>
      <w:r>
        <w:rPr>
          <w:color w:val="231F20"/>
          <w:spacing w:val="-10"/>
          <w:sz w:val="22"/>
        </w:rPr>
        <w:t> </w:t>
      </w:r>
      <w:r>
        <w:rPr>
          <w:color w:val="231F20"/>
          <w:sz w:val="22"/>
        </w:rPr>
        <w:t>momento</w:t>
      </w:r>
      <w:r>
        <w:rPr>
          <w:color w:val="231F20"/>
          <w:spacing w:val="-10"/>
          <w:sz w:val="22"/>
        </w:rPr>
        <w:t> </w:t>
      </w:r>
      <w:r>
        <w:rPr>
          <w:color w:val="231F20"/>
          <w:sz w:val="22"/>
        </w:rPr>
        <w:t>de cuantificar y comprobar los recursos ejercidos de algunos proyectos. Es el caso donde se utiliza mano de obra, la cual es incluida al monto del</w:t>
      </w:r>
      <w:r>
        <w:rPr>
          <w:color w:val="231F20"/>
          <w:spacing w:val="-11"/>
          <w:sz w:val="22"/>
        </w:rPr>
        <w:t> </w:t>
      </w:r>
      <w:r>
        <w:rPr>
          <w:color w:val="231F20"/>
          <w:sz w:val="22"/>
        </w:rPr>
        <w:t>proyecto</w:t>
      </w:r>
      <w:r>
        <w:rPr>
          <w:color w:val="231F20"/>
          <w:spacing w:val="-11"/>
          <w:sz w:val="22"/>
        </w:rPr>
        <w:t> </w:t>
      </w:r>
      <w:r>
        <w:rPr>
          <w:color w:val="231F20"/>
          <w:sz w:val="22"/>
        </w:rPr>
        <w:t>correspondiente</w:t>
      </w:r>
      <w:r>
        <w:rPr>
          <w:color w:val="231F20"/>
          <w:spacing w:val="-12"/>
          <w:sz w:val="22"/>
        </w:rPr>
        <w:t> </w:t>
      </w:r>
      <w:r>
        <w:rPr>
          <w:color w:val="231F20"/>
          <w:sz w:val="22"/>
        </w:rPr>
        <w:t>a</w:t>
      </w:r>
      <w:r>
        <w:rPr>
          <w:color w:val="231F20"/>
          <w:spacing w:val="-11"/>
          <w:sz w:val="22"/>
        </w:rPr>
        <w:t> </w:t>
      </w:r>
      <w:r>
        <w:rPr>
          <w:color w:val="231F20"/>
          <w:sz w:val="22"/>
        </w:rPr>
        <w:t>los</w:t>
      </w:r>
      <w:r>
        <w:rPr>
          <w:color w:val="231F20"/>
          <w:spacing w:val="-11"/>
          <w:sz w:val="22"/>
        </w:rPr>
        <w:t> </w:t>
      </w:r>
      <w:r>
        <w:rPr>
          <w:color w:val="231F20"/>
          <w:sz w:val="22"/>
        </w:rPr>
        <w:t>migrantes.</w:t>
      </w:r>
      <w:r>
        <w:rPr>
          <w:color w:val="231F20"/>
          <w:spacing w:val="-11"/>
          <w:sz w:val="22"/>
        </w:rPr>
        <w:t> </w:t>
      </w:r>
      <w:r>
        <w:rPr>
          <w:color w:val="231F20"/>
          <w:sz w:val="22"/>
        </w:rPr>
        <w:t>Cuando</w:t>
      </w:r>
      <w:r>
        <w:rPr>
          <w:color w:val="231F20"/>
          <w:spacing w:val="-11"/>
          <w:sz w:val="22"/>
        </w:rPr>
        <w:t> </w:t>
      </w:r>
      <w:r>
        <w:rPr>
          <w:color w:val="231F20"/>
          <w:sz w:val="22"/>
        </w:rPr>
        <w:t>se</w:t>
      </w:r>
      <w:r>
        <w:rPr>
          <w:color w:val="231F20"/>
          <w:spacing w:val="-11"/>
          <w:sz w:val="22"/>
        </w:rPr>
        <w:t> </w:t>
      </w:r>
      <w:r>
        <w:rPr>
          <w:color w:val="231F20"/>
          <w:sz w:val="22"/>
        </w:rPr>
        <w:t>utilizan</w:t>
      </w:r>
      <w:r>
        <w:rPr>
          <w:color w:val="231F20"/>
          <w:spacing w:val="-11"/>
          <w:sz w:val="22"/>
        </w:rPr>
        <w:t> </w:t>
      </w:r>
      <w:r>
        <w:rPr>
          <w:color w:val="231F20"/>
          <w:sz w:val="22"/>
        </w:rPr>
        <w:t>mate- riales como grava o arena se tiene la nota de venta o</w:t>
      </w:r>
      <w:r>
        <w:rPr>
          <w:color w:val="231F20"/>
          <w:spacing w:val="-4"/>
          <w:sz w:val="22"/>
        </w:rPr>
        <w:t> </w:t>
      </w:r>
      <w:r>
        <w:rPr>
          <w:color w:val="231F20"/>
          <w:sz w:val="22"/>
        </w:rPr>
        <w:t>factura.</w:t>
      </w:r>
    </w:p>
    <w:p>
      <w:pPr>
        <w:pStyle w:val="ListParagraph"/>
        <w:numPr>
          <w:ilvl w:val="0"/>
          <w:numId w:val="5"/>
        </w:numPr>
        <w:tabs>
          <w:tab w:pos="478" w:val="left" w:leader="none"/>
        </w:tabs>
        <w:spacing w:line="247" w:lineRule="auto" w:before="0" w:after="0"/>
        <w:ind w:left="477" w:right="115" w:hanging="360"/>
        <w:jc w:val="both"/>
        <w:rPr>
          <w:sz w:val="22"/>
        </w:rPr>
      </w:pPr>
      <w:r>
        <w:rPr>
          <w:i/>
          <w:color w:val="231F20"/>
          <w:sz w:val="22"/>
        </w:rPr>
        <w:t>Empleos</w:t>
      </w:r>
      <w:r>
        <w:rPr>
          <w:i/>
          <w:color w:val="231F20"/>
          <w:spacing w:val="-14"/>
          <w:sz w:val="22"/>
        </w:rPr>
        <w:t> </w:t>
      </w:r>
      <w:r>
        <w:rPr>
          <w:i/>
          <w:color w:val="231F20"/>
          <w:sz w:val="22"/>
        </w:rPr>
        <w:t>temporales.</w:t>
      </w:r>
      <w:r>
        <w:rPr>
          <w:i/>
          <w:color w:val="231F20"/>
          <w:spacing w:val="-14"/>
          <w:sz w:val="22"/>
        </w:rPr>
        <w:t> </w:t>
      </w:r>
      <w:r>
        <w:rPr>
          <w:color w:val="231F20"/>
          <w:sz w:val="22"/>
        </w:rPr>
        <w:t>En</w:t>
      </w:r>
      <w:r>
        <w:rPr>
          <w:color w:val="231F20"/>
          <w:spacing w:val="-14"/>
          <w:sz w:val="22"/>
        </w:rPr>
        <w:t> </w:t>
      </w:r>
      <w:r>
        <w:rPr>
          <w:color w:val="231F20"/>
          <w:sz w:val="22"/>
        </w:rPr>
        <w:t>ocasiones,</w:t>
      </w:r>
      <w:r>
        <w:rPr>
          <w:color w:val="231F20"/>
          <w:spacing w:val="-14"/>
          <w:sz w:val="22"/>
        </w:rPr>
        <w:t> </w:t>
      </w:r>
      <w:r>
        <w:rPr>
          <w:color w:val="231F20"/>
          <w:sz w:val="22"/>
        </w:rPr>
        <w:t>cuando</w:t>
      </w:r>
      <w:r>
        <w:rPr>
          <w:color w:val="231F20"/>
          <w:spacing w:val="-14"/>
          <w:sz w:val="22"/>
        </w:rPr>
        <w:t> </w:t>
      </w:r>
      <w:r>
        <w:rPr>
          <w:color w:val="231F20"/>
          <w:sz w:val="22"/>
        </w:rPr>
        <w:t>la</w:t>
      </w:r>
      <w:r>
        <w:rPr>
          <w:color w:val="231F20"/>
          <w:spacing w:val="-14"/>
          <w:sz w:val="22"/>
        </w:rPr>
        <w:t> </w:t>
      </w:r>
      <w:r>
        <w:rPr>
          <w:color w:val="231F20"/>
          <w:sz w:val="22"/>
        </w:rPr>
        <w:t>obra</w:t>
      </w:r>
      <w:r>
        <w:rPr>
          <w:color w:val="231F20"/>
          <w:spacing w:val="-14"/>
          <w:sz w:val="22"/>
        </w:rPr>
        <w:t> </w:t>
      </w:r>
      <w:r>
        <w:rPr>
          <w:color w:val="231F20"/>
          <w:sz w:val="22"/>
        </w:rPr>
        <w:t>corre</w:t>
      </w:r>
      <w:r>
        <w:rPr>
          <w:color w:val="231F20"/>
          <w:spacing w:val="-14"/>
          <w:sz w:val="22"/>
        </w:rPr>
        <w:t> </w:t>
      </w:r>
      <w:r>
        <w:rPr>
          <w:color w:val="231F20"/>
          <w:sz w:val="22"/>
        </w:rPr>
        <w:t>a</w:t>
      </w:r>
      <w:r>
        <w:rPr>
          <w:color w:val="231F20"/>
          <w:spacing w:val="-14"/>
          <w:sz w:val="22"/>
        </w:rPr>
        <w:t> </w:t>
      </w:r>
      <w:r>
        <w:rPr>
          <w:color w:val="231F20"/>
          <w:sz w:val="22"/>
        </w:rPr>
        <w:t>cargo</w:t>
      </w:r>
      <w:r>
        <w:rPr>
          <w:color w:val="231F20"/>
          <w:spacing w:val="-14"/>
          <w:sz w:val="22"/>
        </w:rPr>
        <w:t> </w:t>
      </w:r>
      <w:r>
        <w:rPr>
          <w:color w:val="231F20"/>
          <w:sz w:val="22"/>
        </w:rPr>
        <w:t>de</w:t>
      </w:r>
      <w:r>
        <w:rPr>
          <w:color w:val="231F20"/>
          <w:spacing w:val="-14"/>
          <w:sz w:val="22"/>
        </w:rPr>
        <w:t> </w:t>
      </w:r>
      <w:r>
        <w:rPr>
          <w:color w:val="231F20"/>
          <w:sz w:val="22"/>
        </w:rPr>
        <w:t>una empresa, la organización se preocupa porque se utilice mano de obra de</w:t>
      </w:r>
      <w:r>
        <w:rPr>
          <w:color w:val="231F20"/>
          <w:spacing w:val="-11"/>
          <w:sz w:val="22"/>
        </w:rPr>
        <w:t> </w:t>
      </w:r>
      <w:r>
        <w:rPr>
          <w:color w:val="231F20"/>
          <w:sz w:val="22"/>
        </w:rPr>
        <w:t>la</w:t>
      </w:r>
      <w:r>
        <w:rPr>
          <w:color w:val="231F20"/>
          <w:spacing w:val="-11"/>
          <w:sz w:val="22"/>
        </w:rPr>
        <w:t> </w:t>
      </w:r>
      <w:r>
        <w:rPr>
          <w:color w:val="231F20"/>
          <w:sz w:val="22"/>
        </w:rPr>
        <w:t>comunidad</w:t>
      </w:r>
      <w:r>
        <w:rPr>
          <w:color w:val="231F20"/>
          <w:spacing w:val="-12"/>
          <w:sz w:val="22"/>
        </w:rPr>
        <w:t> </w:t>
      </w:r>
      <w:r>
        <w:rPr>
          <w:color w:val="231F20"/>
          <w:sz w:val="22"/>
        </w:rPr>
        <w:t>para</w:t>
      </w:r>
      <w:r>
        <w:rPr>
          <w:color w:val="231F20"/>
          <w:spacing w:val="-11"/>
          <w:sz w:val="22"/>
        </w:rPr>
        <w:t> </w:t>
      </w:r>
      <w:r>
        <w:rPr>
          <w:color w:val="231F20"/>
          <w:sz w:val="22"/>
        </w:rPr>
        <w:t>generar</w:t>
      </w:r>
      <w:r>
        <w:rPr>
          <w:color w:val="231F20"/>
          <w:spacing w:val="-11"/>
          <w:sz w:val="22"/>
        </w:rPr>
        <w:t> </w:t>
      </w:r>
      <w:r>
        <w:rPr>
          <w:color w:val="231F20"/>
          <w:sz w:val="22"/>
        </w:rPr>
        <w:t>empleos</w:t>
      </w:r>
      <w:r>
        <w:rPr>
          <w:color w:val="231F20"/>
          <w:spacing w:val="-12"/>
          <w:sz w:val="22"/>
        </w:rPr>
        <w:t> </w:t>
      </w:r>
      <w:r>
        <w:rPr>
          <w:color w:val="231F20"/>
          <w:sz w:val="22"/>
        </w:rPr>
        <w:t>temporales</w:t>
      </w:r>
      <w:r>
        <w:rPr>
          <w:color w:val="231F20"/>
          <w:spacing w:val="-12"/>
          <w:sz w:val="22"/>
        </w:rPr>
        <w:t> </w:t>
      </w:r>
      <w:r>
        <w:rPr>
          <w:color w:val="231F20"/>
          <w:sz w:val="22"/>
        </w:rPr>
        <w:t>durante</w:t>
      </w:r>
      <w:r>
        <w:rPr>
          <w:color w:val="231F20"/>
          <w:spacing w:val="-11"/>
          <w:sz w:val="22"/>
        </w:rPr>
        <w:t> </w:t>
      </w:r>
      <w:r>
        <w:rPr>
          <w:color w:val="231F20"/>
          <w:sz w:val="22"/>
        </w:rPr>
        <w:t>el</w:t>
      </w:r>
      <w:r>
        <w:rPr>
          <w:color w:val="231F20"/>
          <w:spacing w:val="-11"/>
          <w:sz w:val="22"/>
        </w:rPr>
        <w:t> </w:t>
      </w:r>
      <w:r>
        <w:rPr>
          <w:color w:val="231F20"/>
          <w:sz w:val="22"/>
        </w:rPr>
        <w:t>tiempo</w:t>
      </w:r>
      <w:r>
        <w:rPr>
          <w:color w:val="231F20"/>
          <w:spacing w:val="-12"/>
          <w:sz w:val="22"/>
        </w:rPr>
        <w:t> </w:t>
      </w:r>
      <w:r>
        <w:rPr>
          <w:color w:val="231F20"/>
          <w:sz w:val="22"/>
        </w:rPr>
        <w:t>de su</w:t>
      </w:r>
      <w:r>
        <w:rPr>
          <w:color w:val="231F20"/>
          <w:spacing w:val="-11"/>
          <w:sz w:val="22"/>
        </w:rPr>
        <w:t> </w:t>
      </w:r>
      <w:r>
        <w:rPr>
          <w:color w:val="231F20"/>
          <w:sz w:val="22"/>
        </w:rPr>
        <w:t>realización.</w:t>
      </w:r>
      <w:r>
        <w:rPr>
          <w:color w:val="231F20"/>
          <w:spacing w:val="-16"/>
          <w:sz w:val="22"/>
        </w:rPr>
        <w:t> </w:t>
      </w:r>
      <w:r>
        <w:rPr>
          <w:color w:val="231F20"/>
          <w:spacing w:val="-3"/>
          <w:sz w:val="22"/>
        </w:rPr>
        <w:t>También</w:t>
      </w:r>
      <w:r>
        <w:rPr>
          <w:color w:val="231F20"/>
          <w:spacing w:val="-12"/>
          <w:sz w:val="22"/>
        </w:rPr>
        <w:t> </w:t>
      </w:r>
      <w:r>
        <w:rPr>
          <w:color w:val="231F20"/>
          <w:sz w:val="22"/>
        </w:rPr>
        <w:t>se</w:t>
      </w:r>
      <w:r>
        <w:rPr>
          <w:color w:val="231F20"/>
          <w:spacing w:val="-11"/>
          <w:sz w:val="22"/>
        </w:rPr>
        <w:t> </w:t>
      </w:r>
      <w:r>
        <w:rPr>
          <w:color w:val="231F20"/>
          <w:sz w:val="22"/>
        </w:rPr>
        <w:t>pide</w:t>
      </w:r>
      <w:r>
        <w:rPr>
          <w:color w:val="231F20"/>
          <w:spacing w:val="-11"/>
          <w:sz w:val="22"/>
        </w:rPr>
        <w:t> </w:t>
      </w:r>
      <w:r>
        <w:rPr>
          <w:color w:val="231F20"/>
          <w:sz w:val="22"/>
        </w:rPr>
        <w:t>que</w:t>
      </w:r>
      <w:r>
        <w:rPr>
          <w:color w:val="231F20"/>
          <w:spacing w:val="-11"/>
          <w:sz w:val="22"/>
        </w:rPr>
        <w:t> </w:t>
      </w:r>
      <w:r>
        <w:rPr>
          <w:color w:val="231F20"/>
          <w:sz w:val="22"/>
        </w:rPr>
        <w:t>se</w:t>
      </w:r>
      <w:r>
        <w:rPr>
          <w:color w:val="231F20"/>
          <w:spacing w:val="-11"/>
          <w:sz w:val="22"/>
        </w:rPr>
        <w:t> </w:t>
      </w:r>
      <w:r>
        <w:rPr>
          <w:color w:val="231F20"/>
          <w:sz w:val="22"/>
        </w:rPr>
        <w:t>empleen</w:t>
      </w:r>
      <w:r>
        <w:rPr>
          <w:color w:val="231F20"/>
          <w:spacing w:val="-12"/>
          <w:sz w:val="22"/>
        </w:rPr>
        <w:t> </w:t>
      </w:r>
      <w:r>
        <w:rPr>
          <w:color w:val="231F20"/>
          <w:sz w:val="22"/>
        </w:rPr>
        <w:t>materiales</w:t>
      </w:r>
      <w:r>
        <w:rPr>
          <w:color w:val="231F20"/>
          <w:spacing w:val="-12"/>
          <w:sz w:val="22"/>
        </w:rPr>
        <w:t> </w:t>
      </w:r>
      <w:r>
        <w:rPr>
          <w:color w:val="231F20"/>
          <w:sz w:val="22"/>
        </w:rPr>
        <w:t>de</w:t>
      </w:r>
      <w:r>
        <w:rPr>
          <w:color w:val="231F20"/>
          <w:spacing w:val="-11"/>
          <w:sz w:val="22"/>
        </w:rPr>
        <w:t> </w:t>
      </w:r>
      <w:r>
        <w:rPr>
          <w:color w:val="231F20"/>
          <w:sz w:val="22"/>
        </w:rPr>
        <w:t>la</w:t>
      </w:r>
      <w:r>
        <w:rPr>
          <w:color w:val="231F20"/>
          <w:spacing w:val="-11"/>
          <w:sz w:val="22"/>
        </w:rPr>
        <w:t> </w:t>
      </w:r>
      <w:r>
        <w:rPr>
          <w:color w:val="231F20"/>
          <w:sz w:val="22"/>
        </w:rPr>
        <w:t>región. El club espejo consigue donaciones de personas y empresarios para la compra</w:t>
      </w:r>
      <w:r>
        <w:rPr>
          <w:color w:val="231F20"/>
          <w:spacing w:val="-12"/>
          <w:sz w:val="22"/>
        </w:rPr>
        <w:t> </w:t>
      </w:r>
      <w:r>
        <w:rPr>
          <w:color w:val="231F20"/>
          <w:sz w:val="22"/>
        </w:rPr>
        <w:t>de</w:t>
      </w:r>
      <w:r>
        <w:rPr>
          <w:color w:val="231F20"/>
          <w:spacing w:val="-12"/>
          <w:sz w:val="22"/>
        </w:rPr>
        <w:t> </w:t>
      </w:r>
      <w:r>
        <w:rPr>
          <w:color w:val="231F20"/>
          <w:sz w:val="22"/>
        </w:rPr>
        <w:t>grava,</w:t>
      </w:r>
      <w:r>
        <w:rPr>
          <w:color w:val="231F20"/>
          <w:spacing w:val="-12"/>
          <w:sz w:val="22"/>
        </w:rPr>
        <w:t> </w:t>
      </w:r>
      <w:r>
        <w:rPr>
          <w:color w:val="231F20"/>
          <w:sz w:val="22"/>
        </w:rPr>
        <w:t>arena</w:t>
      </w:r>
      <w:r>
        <w:rPr>
          <w:color w:val="231F20"/>
          <w:spacing w:val="-12"/>
          <w:sz w:val="22"/>
        </w:rPr>
        <w:t> </w:t>
      </w:r>
      <w:r>
        <w:rPr>
          <w:color w:val="231F20"/>
          <w:sz w:val="22"/>
        </w:rPr>
        <w:t>o</w:t>
      </w:r>
      <w:r>
        <w:rPr>
          <w:color w:val="231F20"/>
          <w:spacing w:val="-12"/>
          <w:sz w:val="22"/>
        </w:rPr>
        <w:t> </w:t>
      </w:r>
      <w:r>
        <w:rPr>
          <w:color w:val="231F20"/>
          <w:sz w:val="22"/>
        </w:rPr>
        <w:t>cemento.</w:t>
      </w:r>
      <w:r>
        <w:rPr>
          <w:color w:val="231F20"/>
          <w:spacing w:val="-13"/>
          <w:sz w:val="22"/>
        </w:rPr>
        <w:t> </w:t>
      </w:r>
      <w:r>
        <w:rPr>
          <w:color w:val="231F20"/>
          <w:sz w:val="22"/>
        </w:rPr>
        <w:t>Estas</w:t>
      </w:r>
      <w:r>
        <w:rPr>
          <w:color w:val="231F20"/>
          <w:spacing w:val="-13"/>
          <w:sz w:val="22"/>
        </w:rPr>
        <w:t> </w:t>
      </w:r>
      <w:r>
        <w:rPr>
          <w:color w:val="231F20"/>
          <w:sz w:val="22"/>
        </w:rPr>
        <w:t>aportaciones</w:t>
      </w:r>
      <w:r>
        <w:rPr>
          <w:color w:val="231F20"/>
          <w:spacing w:val="-13"/>
          <w:sz w:val="22"/>
        </w:rPr>
        <w:t> </w:t>
      </w:r>
      <w:r>
        <w:rPr>
          <w:color w:val="231F20"/>
          <w:sz w:val="22"/>
        </w:rPr>
        <w:t>extras</w:t>
      </w:r>
      <w:r>
        <w:rPr>
          <w:color w:val="231F20"/>
          <w:spacing w:val="-12"/>
          <w:sz w:val="22"/>
        </w:rPr>
        <w:t> </w:t>
      </w:r>
      <w:r>
        <w:rPr>
          <w:color w:val="231F20"/>
          <w:sz w:val="22"/>
        </w:rPr>
        <w:t>se</w:t>
      </w:r>
      <w:r>
        <w:rPr>
          <w:color w:val="231F20"/>
          <w:spacing w:val="-12"/>
          <w:sz w:val="22"/>
        </w:rPr>
        <w:t> </w:t>
      </w:r>
      <w:r>
        <w:rPr>
          <w:color w:val="231F20"/>
          <w:sz w:val="22"/>
        </w:rPr>
        <w:t>aplican al monto de los migrantes. De esta manera, ambos clubes, el de mi- grantes y el espejo, contribuyen coordinadamente con su</w:t>
      </w:r>
      <w:r>
        <w:rPr>
          <w:color w:val="231F20"/>
          <w:spacing w:val="-5"/>
          <w:sz w:val="22"/>
        </w:rPr>
        <w:t> </w:t>
      </w:r>
      <w:r>
        <w:rPr>
          <w:color w:val="231F20"/>
          <w:sz w:val="22"/>
        </w:rPr>
        <w:t>comunidad.</w:t>
      </w:r>
    </w:p>
    <w:p>
      <w:pPr>
        <w:pStyle w:val="ListParagraph"/>
        <w:numPr>
          <w:ilvl w:val="0"/>
          <w:numId w:val="5"/>
        </w:numPr>
        <w:tabs>
          <w:tab w:pos="478" w:val="left" w:leader="none"/>
        </w:tabs>
        <w:spacing w:line="247" w:lineRule="auto" w:before="0" w:after="0"/>
        <w:ind w:left="477" w:right="115" w:hanging="360"/>
        <w:jc w:val="both"/>
        <w:rPr>
          <w:sz w:val="22"/>
        </w:rPr>
      </w:pPr>
      <w:r>
        <w:rPr>
          <w:i/>
          <w:color w:val="231F20"/>
          <w:sz w:val="22"/>
        </w:rPr>
        <w:t>Mitad y mitad. </w:t>
      </w:r>
      <w:r>
        <w:rPr>
          <w:color w:val="231F20"/>
          <w:sz w:val="22"/>
        </w:rPr>
        <w:t>Los migrantes han solicitado que 25 por ciento de la parte correspondiente a los clubes se deposite en dos partes: 50 por ciento al inicio de la obra y el otro 50 por ciento cuando está com- probado</w:t>
      </w:r>
      <w:r>
        <w:rPr>
          <w:color w:val="231F20"/>
          <w:spacing w:val="31"/>
          <w:sz w:val="22"/>
        </w:rPr>
        <w:t> </w:t>
      </w:r>
      <w:r>
        <w:rPr>
          <w:color w:val="231F20"/>
          <w:sz w:val="22"/>
        </w:rPr>
        <w:t>35</w:t>
      </w:r>
      <w:r>
        <w:rPr>
          <w:color w:val="231F20"/>
          <w:spacing w:val="31"/>
          <w:sz w:val="22"/>
        </w:rPr>
        <w:t> </w:t>
      </w:r>
      <w:r>
        <w:rPr>
          <w:color w:val="231F20"/>
          <w:sz w:val="22"/>
        </w:rPr>
        <w:t>por</w:t>
      </w:r>
      <w:r>
        <w:rPr>
          <w:color w:val="231F20"/>
          <w:spacing w:val="31"/>
          <w:sz w:val="22"/>
        </w:rPr>
        <w:t> </w:t>
      </w:r>
      <w:r>
        <w:rPr>
          <w:color w:val="231F20"/>
          <w:sz w:val="22"/>
        </w:rPr>
        <w:t>ciento</w:t>
      </w:r>
      <w:r>
        <w:rPr>
          <w:color w:val="231F20"/>
          <w:spacing w:val="30"/>
          <w:sz w:val="22"/>
        </w:rPr>
        <w:t> </w:t>
      </w:r>
      <w:r>
        <w:rPr>
          <w:color w:val="231F20"/>
          <w:sz w:val="22"/>
        </w:rPr>
        <w:t>de</w:t>
      </w:r>
      <w:r>
        <w:rPr>
          <w:color w:val="231F20"/>
          <w:spacing w:val="31"/>
          <w:sz w:val="22"/>
        </w:rPr>
        <w:t> </w:t>
      </w:r>
      <w:r>
        <w:rPr>
          <w:color w:val="231F20"/>
          <w:sz w:val="22"/>
        </w:rPr>
        <w:t>la</w:t>
      </w:r>
      <w:r>
        <w:rPr>
          <w:color w:val="231F20"/>
          <w:spacing w:val="31"/>
          <w:sz w:val="22"/>
        </w:rPr>
        <w:t> </w:t>
      </w:r>
      <w:r>
        <w:rPr>
          <w:color w:val="231F20"/>
          <w:sz w:val="22"/>
        </w:rPr>
        <w:t>obra</w:t>
      </w:r>
      <w:r>
        <w:rPr>
          <w:color w:val="231F20"/>
          <w:spacing w:val="31"/>
          <w:sz w:val="22"/>
        </w:rPr>
        <w:t> </w:t>
      </w:r>
      <w:r>
        <w:rPr>
          <w:color w:val="231F20"/>
          <w:sz w:val="22"/>
        </w:rPr>
        <w:t>y</w:t>
      </w:r>
      <w:r>
        <w:rPr>
          <w:color w:val="231F20"/>
          <w:spacing w:val="31"/>
          <w:sz w:val="22"/>
        </w:rPr>
        <w:t> </w:t>
      </w:r>
      <w:r>
        <w:rPr>
          <w:color w:val="231F20"/>
          <w:sz w:val="22"/>
        </w:rPr>
        <w:t>50</w:t>
      </w:r>
      <w:r>
        <w:rPr>
          <w:color w:val="231F20"/>
          <w:spacing w:val="31"/>
          <w:sz w:val="22"/>
        </w:rPr>
        <w:t> </w:t>
      </w:r>
      <w:r>
        <w:rPr>
          <w:color w:val="231F20"/>
          <w:sz w:val="22"/>
        </w:rPr>
        <w:t>por</w:t>
      </w:r>
      <w:r>
        <w:rPr>
          <w:color w:val="231F20"/>
          <w:spacing w:val="31"/>
          <w:sz w:val="22"/>
        </w:rPr>
        <w:t> </w:t>
      </w:r>
      <w:r>
        <w:rPr>
          <w:color w:val="231F20"/>
          <w:sz w:val="22"/>
        </w:rPr>
        <w:t>ciento</w:t>
      </w:r>
      <w:r>
        <w:rPr>
          <w:color w:val="231F20"/>
          <w:spacing w:val="30"/>
          <w:sz w:val="22"/>
        </w:rPr>
        <w:t> </w:t>
      </w:r>
      <w:r>
        <w:rPr>
          <w:color w:val="231F20"/>
          <w:sz w:val="22"/>
        </w:rPr>
        <w:t>de</w:t>
      </w:r>
      <w:r>
        <w:rPr>
          <w:color w:val="231F20"/>
          <w:spacing w:val="31"/>
          <w:sz w:val="22"/>
        </w:rPr>
        <w:t> </w:t>
      </w:r>
      <w:r>
        <w:rPr>
          <w:color w:val="231F20"/>
          <w:sz w:val="22"/>
        </w:rPr>
        <w:t>los</w:t>
      </w:r>
      <w:r>
        <w:rPr>
          <w:color w:val="231F20"/>
          <w:spacing w:val="30"/>
          <w:sz w:val="22"/>
        </w:rPr>
        <w:t> </w:t>
      </w:r>
      <w:r>
        <w:rPr>
          <w:color w:val="231F20"/>
          <w:sz w:val="22"/>
        </w:rPr>
        <w:t>gastos.</w:t>
      </w:r>
      <w:r>
        <w:rPr>
          <w:color w:val="231F20"/>
          <w:spacing w:val="31"/>
          <w:sz w:val="22"/>
        </w:rPr>
        <w:t> </w:t>
      </w:r>
      <w:r>
        <w:rPr>
          <w:color w:val="231F20"/>
          <w:sz w:val="22"/>
        </w:rPr>
        <w:t>El</w:t>
      </w:r>
    </w:p>
    <w:p>
      <w:pPr>
        <w:spacing w:after="0" w:line="247" w:lineRule="auto"/>
        <w:jc w:val="both"/>
        <w:rPr>
          <w:sz w:val="22"/>
        </w:rPr>
        <w:sectPr>
          <w:pgSz w:w="9360" w:h="13040"/>
          <w:pgMar w:header="0" w:footer="496" w:top="740" w:bottom="680" w:left="1300" w:right="1300"/>
        </w:sectPr>
      </w:pPr>
    </w:p>
    <w:p>
      <w:pPr>
        <w:tabs>
          <w:tab w:pos="5536" w:val="left" w:leader="none"/>
        </w:tabs>
        <w:spacing w:before="48"/>
        <w:ind w:left="477" w:right="0" w:hanging="37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477" w:right="114"/>
        <w:jc w:val="both"/>
      </w:pPr>
      <w:r>
        <w:rPr>
          <w:color w:val="231F20"/>
        </w:rPr>
        <w:t>argumento</w:t>
      </w:r>
      <w:r>
        <w:rPr>
          <w:color w:val="231F20"/>
          <w:spacing w:val="-4"/>
        </w:rPr>
        <w:t> </w:t>
      </w:r>
      <w:r>
        <w:rPr>
          <w:color w:val="231F20"/>
        </w:rPr>
        <w:t>es</w:t>
      </w:r>
      <w:r>
        <w:rPr>
          <w:color w:val="231F20"/>
          <w:spacing w:val="-4"/>
        </w:rPr>
        <w:t> </w:t>
      </w:r>
      <w:r>
        <w:rPr>
          <w:color w:val="231F20"/>
        </w:rPr>
        <w:t>que</w:t>
      </w:r>
      <w:r>
        <w:rPr>
          <w:color w:val="231F20"/>
          <w:spacing w:val="-4"/>
        </w:rPr>
        <w:t> </w:t>
      </w:r>
      <w:r>
        <w:rPr>
          <w:color w:val="231F20"/>
        </w:rPr>
        <w:t>el</w:t>
      </w:r>
      <w:r>
        <w:rPr>
          <w:color w:val="231F20"/>
          <w:spacing w:val="-4"/>
        </w:rPr>
        <w:t> </w:t>
      </w:r>
      <w:r>
        <w:rPr>
          <w:color w:val="231F20"/>
        </w:rPr>
        <w:t>gobierno</w:t>
      </w:r>
      <w:r>
        <w:rPr>
          <w:color w:val="231F20"/>
          <w:spacing w:val="-4"/>
        </w:rPr>
        <w:t> </w:t>
      </w:r>
      <w:r>
        <w:rPr>
          <w:color w:val="231F20"/>
        </w:rPr>
        <w:t>libera</w:t>
      </w:r>
      <w:r>
        <w:rPr>
          <w:color w:val="231F20"/>
          <w:spacing w:val="-5"/>
        </w:rPr>
        <w:t> </w:t>
      </w:r>
      <w:r>
        <w:rPr>
          <w:color w:val="231F20"/>
        </w:rPr>
        <w:t>sólo</w:t>
      </w:r>
      <w:r>
        <w:rPr>
          <w:color w:val="231F20"/>
          <w:spacing w:val="-4"/>
        </w:rPr>
        <w:t> </w:t>
      </w:r>
      <w:r>
        <w:rPr>
          <w:color w:val="231F20"/>
        </w:rPr>
        <w:t>la</w:t>
      </w:r>
      <w:r>
        <w:rPr>
          <w:color w:val="231F20"/>
          <w:spacing w:val="-4"/>
        </w:rPr>
        <w:t> </w:t>
      </w:r>
      <w:r>
        <w:rPr>
          <w:color w:val="231F20"/>
        </w:rPr>
        <w:t>mitad</w:t>
      </w:r>
      <w:r>
        <w:rPr>
          <w:color w:val="231F20"/>
          <w:spacing w:val="-5"/>
        </w:rPr>
        <w:t> </w:t>
      </w:r>
      <w:r>
        <w:rPr>
          <w:color w:val="231F20"/>
        </w:rPr>
        <w:t>del</w:t>
      </w:r>
      <w:r>
        <w:rPr>
          <w:color w:val="231F20"/>
          <w:spacing w:val="-4"/>
        </w:rPr>
        <w:t> </w:t>
      </w:r>
      <w:r>
        <w:rPr>
          <w:color w:val="231F20"/>
        </w:rPr>
        <w:t>monto</w:t>
      </w:r>
      <w:r>
        <w:rPr>
          <w:color w:val="231F20"/>
          <w:spacing w:val="-5"/>
        </w:rPr>
        <w:t> </w:t>
      </w:r>
      <w:r>
        <w:rPr>
          <w:color w:val="231F20"/>
        </w:rPr>
        <w:t>de</w:t>
      </w:r>
      <w:r>
        <w:rPr>
          <w:color w:val="231F20"/>
          <w:spacing w:val="-4"/>
        </w:rPr>
        <w:t> </w:t>
      </w:r>
      <w:r>
        <w:rPr>
          <w:color w:val="231F20"/>
        </w:rPr>
        <w:t>toda</w:t>
      </w:r>
      <w:r>
        <w:rPr>
          <w:color w:val="231F20"/>
          <w:spacing w:val="-4"/>
        </w:rPr>
        <w:t> </w:t>
      </w:r>
      <w:r>
        <w:rPr>
          <w:color w:val="231F20"/>
        </w:rPr>
        <w:t>la obra. ¿Por qué los clubes deben depositar en una sola exhibición 100 por ciento de lo que les corresponde? ¿Por qué los migrantes deben confiar</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gobierno</w:t>
      </w:r>
      <w:r>
        <w:rPr>
          <w:color w:val="231F20"/>
          <w:spacing w:val="-8"/>
        </w:rPr>
        <w:t> </w:t>
      </w:r>
      <w:r>
        <w:rPr>
          <w:color w:val="231F20"/>
        </w:rPr>
        <w:t>si</w:t>
      </w:r>
      <w:r>
        <w:rPr>
          <w:color w:val="231F20"/>
          <w:spacing w:val="-8"/>
        </w:rPr>
        <w:t> </w:t>
      </w:r>
      <w:r>
        <w:rPr>
          <w:color w:val="231F20"/>
        </w:rPr>
        <w:t>con</w:t>
      </w:r>
      <w:r>
        <w:rPr>
          <w:color w:val="231F20"/>
          <w:spacing w:val="-8"/>
        </w:rPr>
        <w:t> </w:t>
      </w:r>
      <w:r>
        <w:rPr>
          <w:color w:val="231F20"/>
        </w:rPr>
        <w:t>estas</w:t>
      </w:r>
      <w:r>
        <w:rPr>
          <w:color w:val="231F20"/>
          <w:spacing w:val="-8"/>
        </w:rPr>
        <w:t> </w:t>
      </w:r>
      <w:r>
        <w:rPr>
          <w:color w:val="231F20"/>
        </w:rPr>
        <w:t>acciones</w:t>
      </w:r>
      <w:r>
        <w:rPr>
          <w:color w:val="231F20"/>
          <w:spacing w:val="-8"/>
        </w:rPr>
        <w:t> </w:t>
      </w:r>
      <w:r>
        <w:rPr>
          <w:color w:val="231F20"/>
        </w:rPr>
        <w:t>revela</w:t>
      </w:r>
      <w:r>
        <w:rPr>
          <w:color w:val="231F20"/>
          <w:spacing w:val="-9"/>
        </w:rPr>
        <w:t> </w:t>
      </w:r>
      <w:r>
        <w:rPr>
          <w:color w:val="231F20"/>
        </w:rPr>
        <w:t>una</w:t>
      </w:r>
      <w:r>
        <w:rPr>
          <w:color w:val="231F20"/>
          <w:spacing w:val="-8"/>
        </w:rPr>
        <w:t> </w:t>
      </w:r>
      <w:r>
        <w:rPr>
          <w:color w:val="231F20"/>
        </w:rPr>
        <w:t>desconfianza</w:t>
      </w:r>
      <w:r>
        <w:rPr>
          <w:color w:val="231F20"/>
          <w:spacing w:val="-8"/>
        </w:rPr>
        <w:t> </w:t>
      </w:r>
      <w:r>
        <w:rPr>
          <w:color w:val="231F20"/>
        </w:rPr>
        <w:t>en los migrantes?</w:t>
      </w:r>
    </w:p>
    <w:p>
      <w:pPr>
        <w:pStyle w:val="ListParagraph"/>
        <w:numPr>
          <w:ilvl w:val="0"/>
          <w:numId w:val="5"/>
        </w:numPr>
        <w:tabs>
          <w:tab w:pos="478" w:val="left" w:leader="none"/>
        </w:tabs>
        <w:spacing w:line="247" w:lineRule="auto" w:before="0" w:after="0"/>
        <w:ind w:left="477" w:right="114" w:hanging="360"/>
        <w:jc w:val="both"/>
        <w:rPr>
          <w:sz w:val="22"/>
        </w:rPr>
      </w:pPr>
      <w:r>
        <w:rPr>
          <w:i/>
          <w:color w:val="231F20"/>
          <w:sz w:val="22"/>
        </w:rPr>
        <w:t>Primero en especie, después los dólares. </w:t>
      </w:r>
      <w:r>
        <w:rPr>
          <w:color w:val="231F20"/>
          <w:sz w:val="22"/>
        </w:rPr>
        <w:t>Aunque esporádico, cuando sea utilizado algún recurso natural de la región, debidamente cuanti- ficado, Clubes Unidos solicita que éste sea considerado en la primera aportación que corresponde a los migrantes; igual situación para la mano de obra local. Esta medida contribuirá a una mayor transparen- cia, estimulará a los habitantes de la comunidad y generará empleos temporales.</w:t>
      </w:r>
    </w:p>
    <w:p>
      <w:pPr>
        <w:pStyle w:val="ListParagraph"/>
        <w:numPr>
          <w:ilvl w:val="0"/>
          <w:numId w:val="5"/>
        </w:numPr>
        <w:tabs>
          <w:tab w:pos="478" w:val="left" w:leader="none"/>
        </w:tabs>
        <w:spacing w:line="247" w:lineRule="auto" w:before="0" w:after="0"/>
        <w:ind w:left="477" w:right="114" w:hanging="360"/>
        <w:jc w:val="both"/>
        <w:rPr>
          <w:sz w:val="22"/>
        </w:rPr>
      </w:pPr>
      <w:r>
        <w:rPr>
          <w:i/>
          <w:color w:val="231F20"/>
          <w:sz w:val="22"/>
        </w:rPr>
        <w:t>Derecho de ejecución de obra. </w:t>
      </w:r>
      <w:r>
        <w:rPr>
          <w:color w:val="231F20"/>
          <w:sz w:val="22"/>
        </w:rPr>
        <w:t>Cuando un club haya cumplido al pie de la letra con los criterios acordados, calidad de la obra, reglas de operación</w:t>
      </w:r>
      <w:r>
        <w:rPr>
          <w:color w:val="231F20"/>
          <w:spacing w:val="-8"/>
          <w:sz w:val="22"/>
        </w:rPr>
        <w:t> </w:t>
      </w:r>
      <w:r>
        <w:rPr>
          <w:color w:val="231F20"/>
          <w:sz w:val="22"/>
        </w:rPr>
        <w:t>y</w:t>
      </w:r>
      <w:r>
        <w:rPr>
          <w:color w:val="231F20"/>
          <w:spacing w:val="-7"/>
          <w:sz w:val="22"/>
        </w:rPr>
        <w:t> </w:t>
      </w:r>
      <w:r>
        <w:rPr>
          <w:color w:val="231F20"/>
          <w:sz w:val="22"/>
        </w:rPr>
        <w:t>normatividad</w:t>
      </w:r>
      <w:r>
        <w:rPr>
          <w:color w:val="231F20"/>
          <w:spacing w:val="-7"/>
          <w:sz w:val="22"/>
        </w:rPr>
        <w:t> </w:t>
      </w:r>
      <w:r>
        <w:rPr>
          <w:color w:val="231F20"/>
          <w:sz w:val="22"/>
        </w:rPr>
        <w:t>del</w:t>
      </w:r>
      <w:r>
        <w:rPr>
          <w:color w:val="231F20"/>
          <w:spacing w:val="-7"/>
          <w:sz w:val="22"/>
        </w:rPr>
        <w:t> </w:t>
      </w:r>
      <w:r>
        <w:rPr>
          <w:color w:val="231F20"/>
          <w:sz w:val="22"/>
        </w:rPr>
        <w:t>Programa</w:t>
      </w:r>
      <w:r>
        <w:rPr>
          <w:color w:val="231F20"/>
          <w:spacing w:val="-7"/>
          <w:sz w:val="22"/>
        </w:rPr>
        <w:t> </w:t>
      </w:r>
      <w:r>
        <w:rPr>
          <w:color w:val="231F20"/>
          <w:sz w:val="22"/>
        </w:rPr>
        <w:t>3x1;</w:t>
      </w:r>
      <w:r>
        <w:rPr>
          <w:color w:val="231F20"/>
          <w:spacing w:val="-7"/>
          <w:sz w:val="22"/>
        </w:rPr>
        <w:t> </w:t>
      </w:r>
      <w:r>
        <w:rPr>
          <w:color w:val="231F20"/>
          <w:sz w:val="22"/>
        </w:rPr>
        <w:t>se</w:t>
      </w:r>
      <w:r>
        <w:rPr>
          <w:color w:val="231F20"/>
          <w:spacing w:val="-7"/>
          <w:sz w:val="22"/>
        </w:rPr>
        <w:t> </w:t>
      </w:r>
      <w:r>
        <w:rPr>
          <w:color w:val="231F20"/>
          <w:sz w:val="22"/>
        </w:rPr>
        <w:t>permitió</w:t>
      </w:r>
      <w:r>
        <w:rPr>
          <w:color w:val="231F20"/>
          <w:spacing w:val="-7"/>
          <w:sz w:val="22"/>
        </w:rPr>
        <w:t> </w:t>
      </w:r>
      <w:r>
        <w:rPr>
          <w:color w:val="231F20"/>
          <w:sz w:val="22"/>
        </w:rPr>
        <w:t>que</w:t>
      </w:r>
      <w:r>
        <w:rPr>
          <w:color w:val="231F20"/>
          <w:spacing w:val="-7"/>
          <w:sz w:val="22"/>
        </w:rPr>
        <w:t> </w:t>
      </w:r>
      <w:r>
        <w:rPr>
          <w:color w:val="231F20"/>
          <w:sz w:val="22"/>
        </w:rPr>
        <w:t>el</w:t>
      </w:r>
      <w:r>
        <w:rPr>
          <w:color w:val="231F20"/>
          <w:spacing w:val="-7"/>
          <w:sz w:val="22"/>
        </w:rPr>
        <w:t> </w:t>
      </w:r>
      <w:r>
        <w:rPr>
          <w:color w:val="231F20"/>
          <w:sz w:val="22"/>
        </w:rPr>
        <w:t>comité de vigilancia continúe ejecutando la obra, o en su caso, que la orga- nización decida qué empresa quiere que realice la misma, cuando es necesario que una empresa profesional ejecute la</w:t>
      </w:r>
      <w:r>
        <w:rPr>
          <w:color w:val="231F20"/>
          <w:spacing w:val="-2"/>
          <w:sz w:val="22"/>
        </w:rPr>
        <w:t> </w:t>
      </w:r>
      <w:r>
        <w:rPr>
          <w:color w:val="231F20"/>
          <w:sz w:val="22"/>
        </w:rPr>
        <w:t>obra.</w:t>
      </w:r>
    </w:p>
    <w:p>
      <w:pPr>
        <w:pStyle w:val="ListParagraph"/>
        <w:numPr>
          <w:ilvl w:val="0"/>
          <w:numId w:val="5"/>
        </w:numPr>
        <w:tabs>
          <w:tab w:pos="478" w:val="left" w:leader="none"/>
        </w:tabs>
        <w:spacing w:line="247" w:lineRule="auto" w:before="0" w:after="0"/>
        <w:ind w:left="477" w:right="115" w:hanging="360"/>
        <w:jc w:val="both"/>
        <w:rPr>
          <w:sz w:val="22"/>
        </w:rPr>
      </w:pPr>
      <w:r>
        <w:rPr>
          <w:i/>
          <w:color w:val="231F20"/>
          <w:spacing w:val="-3"/>
          <w:sz w:val="22"/>
        </w:rPr>
        <w:t>Trámites</w:t>
      </w:r>
      <w:r>
        <w:rPr>
          <w:i/>
          <w:color w:val="231F20"/>
          <w:spacing w:val="-9"/>
          <w:sz w:val="22"/>
        </w:rPr>
        <w:t> </w:t>
      </w:r>
      <w:r>
        <w:rPr>
          <w:i/>
          <w:color w:val="231F20"/>
          <w:sz w:val="22"/>
        </w:rPr>
        <w:t>y</w:t>
      </w:r>
      <w:r>
        <w:rPr>
          <w:i/>
          <w:color w:val="231F20"/>
          <w:spacing w:val="-9"/>
          <w:sz w:val="22"/>
        </w:rPr>
        <w:t> </w:t>
      </w:r>
      <w:r>
        <w:rPr>
          <w:i/>
          <w:color w:val="231F20"/>
          <w:sz w:val="22"/>
        </w:rPr>
        <w:t>permisos</w:t>
      </w:r>
      <w:r>
        <w:rPr>
          <w:i/>
          <w:color w:val="231F20"/>
          <w:spacing w:val="-10"/>
          <w:sz w:val="22"/>
        </w:rPr>
        <w:t> </w:t>
      </w:r>
      <w:r>
        <w:rPr>
          <w:i/>
          <w:color w:val="231F20"/>
          <w:sz w:val="22"/>
        </w:rPr>
        <w:t>a</w:t>
      </w:r>
      <w:r>
        <w:rPr>
          <w:i/>
          <w:color w:val="231F20"/>
          <w:spacing w:val="-10"/>
          <w:sz w:val="22"/>
        </w:rPr>
        <w:t> </w:t>
      </w:r>
      <w:r>
        <w:rPr>
          <w:i/>
          <w:color w:val="231F20"/>
          <w:sz w:val="22"/>
        </w:rPr>
        <w:t>cargo</w:t>
      </w:r>
      <w:r>
        <w:rPr>
          <w:i/>
          <w:color w:val="231F20"/>
          <w:spacing w:val="-10"/>
          <w:sz w:val="22"/>
        </w:rPr>
        <w:t> </w:t>
      </w:r>
      <w:r>
        <w:rPr>
          <w:i/>
          <w:color w:val="231F20"/>
          <w:sz w:val="22"/>
        </w:rPr>
        <w:t>del</w:t>
      </w:r>
      <w:r>
        <w:rPr>
          <w:i/>
          <w:color w:val="231F20"/>
          <w:spacing w:val="-9"/>
          <w:sz w:val="22"/>
        </w:rPr>
        <w:t> </w:t>
      </w:r>
      <w:r>
        <w:rPr>
          <w:i/>
          <w:color w:val="231F20"/>
          <w:sz w:val="22"/>
        </w:rPr>
        <w:t>gobierno</w:t>
      </w:r>
      <w:r>
        <w:rPr>
          <w:i/>
          <w:color w:val="231F20"/>
          <w:spacing w:val="-9"/>
          <w:sz w:val="22"/>
        </w:rPr>
        <w:t> </w:t>
      </w:r>
      <w:r>
        <w:rPr>
          <w:i/>
          <w:color w:val="231F20"/>
          <w:sz w:val="22"/>
        </w:rPr>
        <w:t>del</w:t>
      </w:r>
      <w:r>
        <w:rPr>
          <w:i/>
          <w:color w:val="231F20"/>
          <w:spacing w:val="-9"/>
          <w:sz w:val="22"/>
        </w:rPr>
        <w:t> </w:t>
      </w:r>
      <w:r>
        <w:rPr>
          <w:i/>
          <w:color w:val="231F20"/>
          <w:sz w:val="22"/>
        </w:rPr>
        <w:t>estado.</w:t>
      </w:r>
      <w:r>
        <w:rPr>
          <w:i/>
          <w:color w:val="231F20"/>
          <w:spacing w:val="-9"/>
          <w:sz w:val="22"/>
        </w:rPr>
        <w:t> </w:t>
      </w:r>
      <w:r>
        <w:rPr>
          <w:color w:val="231F20"/>
          <w:sz w:val="22"/>
        </w:rPr>
        <w:t>La</w:t>
      </w:r>
      <w:r>
        <w:rPr>
          <w:color w:val="231F20"/>
          <w:spacing w:val="-10"/>
          <w:sz w:val="22"/>
        </w:rPr>
        <w:t> </w:t>
      </w:r>
      <w:r>
        <w:rPr>
          <w:color w:val="231F20"/>
          <w:sz w:val="22"/>
        </w:rPr>
        <w:t>Dirección</w:t>
      </w:r>
      <w:r>
        <w:rPr>
          <w:color w:val="231F20"/>
          <w:spacing w:val="-9"/>
          <w:sz w:val="22"/>
        </w:rPr>
        <w:t> </w:t>
      </w:r>
      <w:r>
        <w:rPr>
          <w:color w:val="231F20"/>
          <w:sz w:val="22"/>
        </w:rPr>
        <w:t>Es- tatal</w:t>
      </w:r>
      <w:r>
        <w:rPr>
          <w:color w:val="231F20"/>
          <w:spacing w:val="-8"/>
          <w:sz w:val="22"/>
        </w:rPr>
        <w:t> </w:t>
      </w:r>
      <w:r>
        <w:rPr>
          <w:color w:val="231F20"/>
          <w:sz w:val="22"/>
        </w:rPr>
        <w:t>de</w:t>
      </w:r>
      <w:r>
        <w:rPr>
          <w:color w:val="231F20"/>
          <w:spacing w:val="-19"/>
          <w:sz w:val="22"/>
        </w:rPr>
        <w:t> </w:t>
      </w:r>
      <w:r>
        <w:rPr>
          <w:color w:val="231F20"/>
          <w:sz w:val="22"/>
        </w:rPr>
        <w:t>Atención</w:t>
      </w:r>
      <w:r>
        <w:rPr>
          <w:color w:val="231F20"/>
          <w:spacing w:val="-7"/>
          <w:sz w:val="22"/>
        </w:rPr>
        <w:t> </w:t>
      </w:r>
      <w:r>
        <w:rPr>
          <w:color w:val="231F20"/>
          <w:sz w:val="22"/>
        </w:rPr>
        <w:t>a</w:t>
      </w:r>
      <w:r>
        <w:rPr>
          <w:color w:val="231F20"/>
          <w:spacing w:val="-7"/>
          <w:sz w:val="22"/>
        </w:rPr>
        <w:t> </w:t>
      </w:r>
      <w:r>
        <w:rPr>
          <w:color w:val="231F20"/>
          <w:sz w:val="22"/>
        </w:rPr>
        <w:t>Mexicanos</w:t>
      </w:r>
      <w:r>
        <w:rPr>
          <w:color w:val="231F20"/>
          <w:spacing w:val="-7"/>
          <w:sz w:val="22"/>
        </w:rPr>
        <w:t> </w:t>
      </w:r>
      <w:r>
        <w:rPr>
          <w:color w:val="231F20"/>
          <w:sz w:val="22"/>
        </w:rPr>
        <w:t>en</w:t>
      </w:r>
      <w:r>
        <w:rPr>
          <w:color w:val="231F20"/>
          <w:spacing w:val="-7"/>
          <w:sz w:val="22"/>
        </w:rPr>
        <w:t> </w:t>
      </w:r>
      <w:r>
        <w:rPr>
          <w:color w:val="231F20"/>
          <w:sz w:val="22"/>
        </w:rPr>
        <w:t>el</w:t>
      </w:r>
      <w:r>
        <w:rPr>
          <w:color w:val="231F20"/>
          <w:spacing w:val="-7"/>
          <w:sz w:val="22"/>
        </w:rPr>
        <w:t> </w:t>
      </w:r>
      <w:r>
        <w:rPr>
          <w:color w:val="231F20"/>
          <w:sz w:val="22"/>
        </w:rPr>
        <w:t>Extranjero</w:t>
      </w:r>
      <w:r>
        <w:rPr>
          <w:color w:val="231F20"/>
          <w:spacing w:val="-8"/>
          <w:sz w:val="22"/>
        </w:rPr>
        <w:t> </w:t>
      </w:r>
      <w:r>
        <w:rPr>
          <w:color w:val="231F20"/>
          <w:sz w:val="22"/>
        </w:rPr>
        <w:t>debe</w:t>
      </w:r>
      <w:r>
        <w:rPr>
          <w:color w:val="231F20"/>
          <w:spacing w:val="-7"/>
          <w:sz w:val="22"/>
        </w:rPr>
        <w:t> </w:t>
      </w:r>
      <w:r>
        <w:rPr>
          <w:color w:val="231F20"/>
          <w:sz w:val="22"/>
        </w:rPr>
        <w:t>ser</w:t>
      </w:r>
      <w:r>
        <w:rPr>
          <w:color w:val="231F20"/>
          <w:spacing w:val="-7"/>
          <w:sz w:val="22"/>
        </w:rPr>
        <w:t> </w:t>
      </w:r>
      <w:r>
        <w:rPr>
          <w:color w:val="231F20"/>
          <w:sz w:val="22"/>
        </w:rPr>
        <w:t>la</w:t>
      </w:r>
      <w:r>
        <w:rPr>
          <w:color w:val="231F20"/>
          <w:spacing w:val="-7"/>
          <w:sz w:val="22"/>
        </w:rPr>
        <w:t> </w:t>
      </w:r>
      <w:r>
        <w:rPr>
          <w:color w:val="231F20"/>
          <w:sz w:val="22"/>
        </w:rPr>
        <w:t>responsable de los trámites y permisos para autorizar las obras ante otras estancias de gobierno; esto facilitará el proceso de la ejecución de las obras y ayudará a terminarlas en tiempo y</w:t>
      </w:r>
      <w:r>
        <w:rPr>
          <w:color w:val="231F20"/>
          <w:spacing w:val="-4"/>
          <w:sz w:val="22"/>
        </w:rPr>
        <w:t> </w:t>
      </w:r>
      <w:r>
        <w:rPr>
          <w:color w:val="231F20"/>
          <w:sz w:val="22"/>
        </w:rPr>
        <w:t>forma.</w:t>
      </w:r>
    </w:p>
    <w:p>
      <w:pPr>
        <w:pStyle w:val="ListParagraph"/>
        <w:numPr>
          <w:ilvl w:val="0"/>
          <w:numId w:val="5"/>
        </w:numPr>
        <w:tabs>
          <w:tab w:pos="478" w:val="left" w:leader="none"/>
        </w:tabs>
        <w:spacing w:line="247" w:lineRule="auto" w:before="0" w:after="0"/>
        <w:ind w:left="477" w:right="114" w:hanging="360"/>
        <w:jc w:val="both"/>
        <w:rPr>
          <w:sz w:val="22"/>
        </w:rPr>
      </w:pPr>
      <w:r>
        <w:rPr>
          <w:i/>
          <w:color w:val="231F20"/>
          <w:sz w:val="22"/>
        </w:rPr>
        <w:t>Monumentos</w:t>
      </w:r>
      <w:r>
        <w:rPr>
          <w:i/>
          <w:color w:val="231F20"/>
          <w:spacing w:val="-8"/>
          <w:sz w:val="22"/>
        </w:rPr>
        <w:t> </w:t>
      </w:r>
      <w:r>
        <w:rPr>
          <w:i/>
          <w:color w:val="231F20"/>
          <w:sz w:val="22"/>
        </w:rPr>
        <w:t>históricos</w:t>
      </w:r>
      <w:r>
        <w:rPr>
          <w:i/>
          <w:color w:val="231F20"/>
          <w:spacing w:val="-8"/>
          <w:sz w:val="22"/>
        </w:rPr>
        <w:t> </w:t>
      </w:r>
      <w:r>
        <w:rPr>
          <w:i/>
          <w:color w:val="231F20"/>
          <w:sz w:val="22"/>
        </w:rPr>
        <w:t>e</w:t>
      </w:r>
      <w:r>
        <w:rPr>
          <w:i/>
          <w:color w:val="231F20"/>
          <w:spacing w:val="-8"/>
          <w:sz w:val="22"/>
        </w:rPr>
        <w:t> </w:t>
      </w:r>
      <w:r>
        <w:rPr>
          <w:i/>
          <w:color w:val="231F20"/>
          <w:sz w:val="22"/>
        </w:rPr>
        <w:t>iglesias.</w:t>
      </w:r>
      <w:r>
        <w:rPr>
          <w:i/>
          <w:color w:val="231F20"/>
          <w:spacing w:val="-7"/>
          <w:sz w:val="22"/>
        </w:rPr>
        <w:t> </w:t>
      </w:r>
      <w:r>
        <w:rPr>
          <w:color w:val="231F20"/>
          <w:sz w:val="22"/>
        </w:rPr>
        <w:t>El</w:t>
      </w:r>
      <w:r>
        <w:rPr>
          <w:color w:val="231F20"/>
          <w:spacing w:val="-8"/>
          <w:sz w:val="22"/>
        </w:rPr>
        <w:t> </w:t>
      </w:r>
      <w:r>
        <w:rPr>
          <w:color w:val="231F20"/>
          <w:sz w:val="22"/>
        </w:rPr>
        <w:t>Programa</w:t>
      </w:r>
      <w:r>
        <w:rPr>
          <w:color w:val="231F20"/>
          <w:spacing w:val="-7"/>
          <w:sz w:val="22"/>
        </w:rPr>
        <w:t> </w:t>
      </w:r>
      <w:r>
        <w:rPr>
          <w:color w:val="231F20"/>
          <w:sz w:val="22"/>
        </w:rPr>
        <w:t>3x1</w:t>
      </w:r>
      <w:r>
        <w:rPr>
          <w:color w:val="231F20"/>
          <w:spacing w:val="-8"/>
          <w:sz w:val="22"/>
        </w:rPr>
        <w:t> </w:t>
      </w:r>
      <w:r>
        <w:rPr>
          <w:color w:val="231F20"/>
          <w:sz w:val="22"/>
        </w:rPr>
        <w:t>no</w:t>
      </w:r>
      <w:r>
        <w:rPr>
          <w:color w:val="231F20"/>
          <w:spacing w:val="-8"/>
          <w:sz w:val="22"/>
        </w:rPr>
        <w:t> </w:t>
      </w:r>
      <w:r>
        <w:rPr>
          <w:color w:val="231F20"/>
          <w:sz w:val="22"/>
        </w:rPr>
        <w:t>contempla</w:t>
      </w:r>
      <w:r>
        <w:rPr>
          <w:color w:val="231F20"/>
          <w:spacing w:val="-8"/>
          <w:sz w:val="22"/>
        </w:rPr>
        <w:t> </w:t>
      </w:r>
      <w:r>
        <w:rPr>
          <w:color w:val="231F20"/>
          <w:sz w:val="22"/>
        </w:rPr>
        <w:t>pro- yectos de restauración de monumentos históricos o iglesias porque no se consideran proyectos prioritarios o de alto impacto. Sin embargo, para las comunidades de origen la restauración de una iglesia o de</w:t>
      </w:r>
      <w:r>
        <w:rPr>
          <w:color w:val="231F20"/>
          <w:spacing w:val="-27"/>
          <w:sz w:val="22"/>
        </w:rPr>
        <w:t> </w:t>
      </w:r>
      <w:r>
        <w:rPr>
          <w:color w:val="231F20"/>
          <w:sz w:val="22"/>
        </w:rPr>
        <w:t>una comunidad</w:t>
      </w:r>
      <w:r>
        <w:rPr>
          <w:color w:val="231F20"/>
          <w:spacing w:val="-10"/>
          <w:sz w:val="22"/>
        </w:rPr>
        <w:t> </w:t>
      </w:r>
      <w:r>
        <w:rPr>
          <w:color w:val="231F20"/>
          <w:sz w:val="22"/>
        </w:rPr>
        <w:t>de</w:t>
      </w:r>
      <w:r>
        <w:rPr>
          <w:color w:val="231F20"/>
          <w:spacing w:val="-9"/>
          <w:sz w:val="22"/>
        </w:rPr>
        <w:t> </w:t>
      </w:r>
      <w:r>
        <w:rPr>
          <w:color w:val="231F20"/>
          <w:sz w:val="22"/>
        </w:rPr>
        <w:t>origen</w:t>
      </w:r>
      <w:r>
        <w:rPr>
          <w:color w:val="231F20"/>
          <w:spacing w:val="-9"/>
          <w:sz w:val="22"/>
        </w:rPr>
        <w:t> </w:t>
      </w:r>
      <w:r>
        <w:rPr>
          <w:color w:val="231F20"/>
          <w:sz w:val="22"/>
        </w:rPr>
        <w:t>es</w:t>
      </w:r>
      <w:r>
        <w:rPr>
          <w:color w:val="231F20"/>
          <w:spacing w:val="-9"/>
          <w:sz w:val="22"/>
        </w:rPr>
        <w:t> </w:t>
      </w:r>
      <w:r>
        <w:rPr>
          <w:color w:val="231F20"/>
          <w:sz w:val="22"/>
        </w:rPr>
        <w:t>su</w:t>
      </w:r>
      <w:r>
        <w:rPr>
          <w:color w:val="231F20"/>
          <w:spacing w:val="-9"/>
          <w:sz w:val="22"/>
        </w:rPr>
        <w:t> </w:t>
      </w:r>
      <w:r>
        <w:rPr>
          <w:color w:val="231F20"/>
          <w:sz w:val="22"/>
        </w:rPr>
        <w:t>centro</w:t>
      </w:r>
      <w:r>
        <w:rPr>
          <w:color w:val="231F20"/>
          <w:spacing w:val="-9"/>
          <w:sz w:val="22"/>
        </w:rPr>
        <w:t> </w:t>
      </w:r>
      <w:r>
        <w:rPr>
          <w:color w:val="231F20"/>
          <w:sz w:val="22"/>
        </w:rPr>
        <w:t>espiritual.</w:t>
      </w:r>
      <w:r>
        <w:rPr>
          <w:color w:val="231F20"/>
          <w:spacing w:val="-10"/>
          <w:sz w:val="22"/>
        </w:rPr>
        <w:t> </w:t>
      </w:r>
      <w:r>
        <w:rPr>
          <w:color w:val="231F20"/>
          <w:sz w:val="22"/>
        </w:rPr>
        <w:t>Puede</w:t>
      </w:r>
      <w:r>
        <w:rPr>
          <w:color w:val="231F20"/>
          <w:spacing w:val="-9"/>
          <w:sz w:val="22"/>
        </w:rPr>
        <w:t> </w:t>
      </w:r>
      <w:r>
        <w:rPr>
          <w:color w:val="231F20"/>
          <w:sz w:val="22"/>
        </w:rPr>
        <w:t>ser</w:t>
      </w:r>
      <w:r>
        <w:rPr>
          <w:color w:val="231F20"/>
          <w:spacing w:val="-9"/>
          <w:sz w:val="22"/>
        </w:rPr>
        <w:t> </w:t>
      </w:r>
      <w:r>
        <w:rPr>
          <w:color w:val="231F20"/>
          <w:sz w:val="22"/>
        </w:rPr>
        <w:t>que</w:t>
      </w:r>
      <w:r>
        <w:rPr>
          <w:color w:val="231F20"/>
          <w:spacing w:val="-9"/>
          <w:sz w:val="22"/>
        </w:rPr>
        <w:t> </w:t>
      </w:r>
      <w:r>
        <w:rPr>
          <w:color w:val="231F20"/>
          <w:sz w:val="22"/>
        </w:rPr>
        <w:t>los</w:t>
      </w:r>
      <w:r>
        <w:rPr>
          <w:color w:val="231F20"/>
          <w:spacing w:val="-9"/>
          <w:sz w:val="22"/>
        </w:rPr>
        <w:t> </w:t>
      </w:r>
      <w:r>
        <w:rPr>
          <w:color w:val="231F20"/>
          <w:sz w:val="22"/>
        </w:rPr>
        <w:t>habitan- tes no tengan agua potable, pero la parte espiritual es muy importante como una forma de identidad y de fe para la</w:t>
      </w:r>
      <w:r>
        <w:rPr>
          <w:color w:val="231F20"/>
          <w:spacing w:val="-2"/>
          <w:sz w:val="22"/>
        </w:rPr>
        <w:t> </w:t>
      </w:r>
      <w:r>
        <w:rPr>
          <w:color w:val="231F20"/>
          <w:sz w:val="22"/>
        </w:rPr>
        <w:t>población.</w:t>
      </w:r>
    </w:p>
    <w:p>
      <w:pPr>
        <w:pStyle w:val="ListParagraph"/>
        <w:numPr>
          <w:ilvl w:val="0"/>
          <w:numId w:val="5"/>
        </w:numPr>
        <w:tabs>
          <w:tab w:pos="478" w:val="left" w:leader="none"/>
        </w:tabs>
        <w:spacing w:line="247" w:lineRule="auto" w:before="0" w:after="0"/>
        <w:ind w:left="477" w:right="114" w:hanging="360"/>
        <w:jc w:val="both"/>
        <w:rPr>
          <w:sz w:val="22"/>
        </w:rPr>
      </w:pPr>
      <w:r>
        <w:rPr>
          <w:i/>
          <w:color w:val="231F20"/>
          <w:sz w:val="22"/>
        </w:rPr>
        <w:t>Proyectos productivos. </w:t>
      </w:r>
      <w:r>
        <w:rPr>
          <w:color w:val="231F20"/>
          <w:sz w:val="22"/>
        </w:rPr>
        <w:t>Hasta 2008, los líderes migrantes afirmaban que no invertirían en proyectos productivos en tanto no existiera la suficiente infraestructura, o algún programa piloto que garantizara la inversión, ni tampoco sin que hubiera la capacitación técnica hacia</w:t>
      </w:r>
      <w:r>
        <w:rPr>
          <w:color w:val="231F20"/>
          <w:spacing w:val="-36"/>
          <w:sz w:val="22"/>
        </w:rPr>
        <w:t> </w:t>
      </w:r>
      <w:r>
        <w:rPr>
          <w:color w:val="231F20"/>
          <w:sz w:val="22"/>
        </w:rPr>
        <w:t>los administradores</w:t>
      </w:r>
      <w:r>
        <w:rPr>
          <w:color w:val="231F20"/>
          <w:spacing w:val="-1"/>
          <w:sz w:val="22"/>
        </w:rPr>
        <w:t> </w:t>
      </w:r>
      <w:r>
        <w:rPr>
          <w:color w:val="231F20"/>
          <w:sz w:val="22"/>
        </w:rPr>
        <w:t>potenciales.</w:t>
      </w:r>
    </w:p>
    <w:p>
      <w:pPr>
        <w:pStyle w:val="ListParagraph"/>
        <w:numPr>
          <w:ilvl w:val="0"/>
          <w:numId w:val="5"/>
        </w:numPr>
        <w:tabs>
          <w:tab w:pos="478" w:val="left" w:leader="none"/>
        </w:tabs>
        <w:spacing w:line="247" w:lineRule="auto" w:before="0" w:after="0"/>
        <w:ind w:left="477" w:right="115" w:hanging="360"/>
        <w:jc w:val="both"/>
        <w:rPr>
          <w:sz w:val="22"/>
        </w:rPr>
      </w:pPr>
      <w:r>
        <w:rPr>
          <w:i/>
          <w:color w:val="231F20"/>
          <w:sz w:val="22"/>
        </w:rPr>
        <w:t>Proyectos para el fortalecimiento del patrimonio </w:t>
      </w:r>
      <w:r>
        <w:rPr>
          <w:i/>
          <w:color w:val="231F20"/>
          <w:spacing w:val="-3"/>
          <w:sz w:val="22"/>
        </w:rPr>
        <w:t>familiar. </w:t>
      </w:r>
      <w:r>
        <w:rPr>
          <w:color w:val="231F20"/>
          <w:sz w:val="22"/>
        </w:rPr>
        <w:t>Cuando se solicitan proyectos productivos, aunque la legislación es la misma</w:t>
      </w:r>
      <w:r>
        <w:rPr>
          <w:color w:val="231F20"/>
          <w:spacing w:val="-36"/>
          <w:sz w:val="22"/>
        </w:rPr>
        <w:t> </w:t>
      </w:r>
      <w:r>
        <w:rPr>
          <w:color w:val="231F20"/>
          <w:sz w:val="22"/>
        </w:rPr>
        <w:t>que en las obras de infraestructura, el club migrante y los beneficiarios deben</w:t>
      </w:r>
      <w:r>
        <w:rPr>
          <w:color w:val="231F20"/>
          <w:spacing w:val="24"/>
          <w:sz w:val="22"/>
        </w:rPr>
        <w:t> </w:t>
      </w:r>
      <w:r>
        <w:rPr>
          <w:color w:val="231F20"/>
          <w:sz w:val="22"/>
        </w:rPr>
        <w:t>tener</w:t>
      </w:r>
      <w:r>
        <w:rPr>
          <w:color w:val="231F20"/>
          <w:spacing w:val="24"/>
          <w:sz w:val="22"/>
        </w:rPr>
        <w:t> </w:t>
      </w:r>
      <w:r>
        <w:rPr>
          <w:color w:val="231F20"/>
          <w:sz w:val="22"/>
        </w:rPr>
        <w:t>una</w:t>
      </w:r>
      <w:r>
        <w:rPr>
          <w:color w:val="231F20"/>
          <w:spacing w:val="24"/>
          <w:sz w:val="22"/>
        </w:rPr>
        <w:t> </w:t>
      </w:r>
      <w:r>
        <w:rPr>
          <w:color w:val="231F20"/>
          <w:sz w:val="22"/>
        </w:rPr>
        <w:t>relación</w:t>
      </w:r>
      <w:r>
        <w:rPr>
          <w:color w:val="231F20"/>
          <w:spacing w:val="24"/>
          <w:sz w:val="22"/>
        </w:rPr>
        <w:t> </w:t>
      </w:r>
      <w:r>
        <w:rPr>
          <w:color w:val="231F20"/>
          <w:sz w:val="22"/>
        </w:rPr>
        <w:t>comunitaria</w:t>
      </w:r>
      <w:r>
        <w:rPr>
          <w:color w:val="231F20"/>
          <w:spacing w:val="24"/>
          <w:sz w:val="22"/>
        </w:rPr>
        <w:t> </w:t>
      </w:r>
      <w:r>
        <w:rPr>
          <w:color w:val="231F20"/>
          <w:sz w:val="22"/>
        </w:rPr>
        <w:t>y</w:t>
      </w:r>
      <w:r>
        <w:rPr>
          <w:color w:val="231F20"/>
          <w:spacing w:val="24"/>
          <w:sz w:val="22"/>
        </w:rPr>
        <w:t> </w:t>
      </w:r>
      <w:r>
        <w:rPr>
          <w:color w:val="231F20"/>
          <w:sz w:val="22"/>
        </w:rPr>
        <w:t>el</w:t>
      </w:r>
      <w:r>
        <w:rPr>
          <w:color w:val="231F20"/>
          <w:spacing w:val="24"/>
          <w:sz w:val="22"/>
        </w:rPr>
        <w:t> </w:t>
      </w:r>
      <w:r>
        <w:rPr>
          <w:color w:val="231F20"/>
          <w:sz w:val="22"/>
        </w:rPr>
        <w:t>enfoque</w:t>
      </w:r>
      <w:r>
        <w:rPr>
          <w:color w:val="231F20"/>
          <w:spacing w:val="24"/>
          <w:sz w:val="22"/>
        </w:rPr>
        <w:t> </w:t>
      </w:r>
      <w:r>
        <w:rPr>
          <w:color w:val="231F20"/>
          <w:sz w:val="22"/>
        </w:rPr>
        <w:t>debe</w:t>
      </w:r>
      <w:r>
        <w:rPr>
          <w:color w:val="231F20"/>
          <w:spacing w:val="24"/>
          <w:sz w:val="22"/>
        </w:rPr>
        <w:t> </w:t>
      </w:r>
      <w:r>
        <w:rPr>
          <w:color w:val="231F20"/>
          <w:sz w:val="22"/>
        </w:rPr>
        <w:t>darse</w:t>
      </w:r>
      <w:r>
        <w:rPr>
          <w:color w:val="231F20"/>
          <w:spacing w:val="24"/>
          <w:sz w:val="22"/>
        </w:rPr>
        <w:t> </w:t>
      </w:r>
      <w:r>
        <w:rPr>
          <w:color w:val="231F20"/>
          <w:sz w:val="22"/>
        </w:rPr>
        <w:t>hacia</w:t>
      </w:r>
    </w:p>
    <w:p>
      <w:pPr>
        <w:spacing w:after="0" w:line="247" w:lineRule="auto"/>
        <w:jc w:val="both"/>
        <w:rPr>
          <w:sz w:val="22"/>
        </w:rPr>
        <w:sectPr>
          <w:pgSz w:w="9360" w:h="13040"/>
          <w:pgMar w:header="0" w:footer="496" w:top="800" w:bottom="680" w:left="1300" w:right="1300"/>
        </w:sectPr>
      </w:pPr>
    </w:p>
    <w:p>
      <w:pPr>
        <w:spacing w:before="45"/>
        <w:ind w:left="477" w:right="117" w:hanging="271"/>
        <w:jc w:val="left"/>
        <w:rPr>
          <w:rFonts w:ascii="Arial" w:hAnsi="Arial"/>
          <w:sz w:val="20"/>
        </w:rPr>
      </w:pPr>
      <w:r>
        <w:rPr>
          <w:rFonts w:ascii="Arial" w:hAnsi="Arial"/>
          <w:color w:val="231F20"/>
          <w:w w:val="70"/>
          <w:sz w:val="20"/>
        </w:rPr>
        <w:t>Políticas públicas de la migración transnacional entre México y Estados Unidos /Alejandro  Díaz-Garay</w:t>
      </w:r>
    </w:p>
    <w:p>
      <w:pPr>
        <w:pStyle w:val="BodyText"/>
        <w:spacing w:before="7"/>
        <w:rPr>
          <w:rFonts w:ascii="Arial"/>
          <w:sz w:val="28"/>
        </w:rPr>
      </w:pPr>
    </w:p>
    <w:p>
      <w:pPr>
        <w:pStyle w:val="BodyText"/>
        <w:spacing w:line="247" w:lineRule="auto"/>
        <w:ind w:left="477" w:right="114"/>
        <w:jc w:val="both"/>
      </w:pPr>
      <w:r>
        <w:rPr>
          <w:color w:val="231F20"/>
        </w:rPr>
        <w:t>los proyectos productivos comunitarios y no personales. Para estos últimos, existe 50 y 50 por ciento (fortalecimiento de patrimonio fa- miliar). Puede ser solicitado de manera individual. Quiere decir que</w:t>
      </w:r>
      <w:r>
        <w:rPr>
          <w:color w:val="231F20"/>
          <w:spacing w:val="-34"/>
        </w:rPr>
        <w:t> </w:t>
      </w:r>
      <w:r>
        <w:rPr>
          <w:color w:val="231F20"/>
        </w:rPr>
        <w:t>el migrante</w:t>
      </w:r>
      <w:r>
        <w:rPr>
          <w:color w:val="231F20"/>
          <w:spacing w:val="-11"/>
        </w:rPr>
        <w:t> </w:t>
      </w:r>
      <w:r>
        <w:rPr>
          <w:color w:val="231F20"/>
        </w:rPr>
        <w:t>solicita</w:t>
      </w:r>
      <w:r>
        <w:rPr>
          <w:color w:val="231F20"/>
          <w:spacing w:val="-11"/>
        </w:rPr>
        <w:t> </w:t>
      </w:r>
      <w:r>
        <w:rPr>
          <w:color w:val="231F20"/>
        </w:rPr>
        <w:t>la</w:t>
      </w:r>
      <w:r>
        <w:rPr>
          <w:color w:val="231F20"/>
          <w:spacing w:val="-10"/>
        </w:rPr>
        <w:t> </w:t>
      </w:r>
      <w:r>
        <w:rPr>
          <w:color w:val="231F20"/>
        </w:rPr>
        <w:t>obra</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rPr>
        <w:t>beneficiarios</w:t>
      </w:r>
      <w:r>
        <w:rPr>
          <w:color w:val="231F20"/>
          <w:spacing w:val="-11"/>
        </w:rPr>
        <w:t> </w:t>
      </w:r>
      <w:r>
        <w:rPr>
          <w:color w:val="231F20"/>
        </w:rPr>
        <w:t>o</w:t>
      </w:r>
      <w:r>
        <w:rPr>
          <w:color w:val="231F20"/>
          <w:spacing w:val="-10"/>
        </w:rPr>
        <w:t> </w:t>
      </w:r>
      <w:r>
        <w:rPr>
          <w:color w:val="231F20"/>
        </w:rPr>
        <w:t>los</w:t>
      </w:r>
      <w:r>
        <w:rPr>
          <w:color w:val="231F20"/>
          <w:spacing w:val="-10"/>
        </w:rPr>
        <w:t> </w:t>
      </w:r>
      <w:r>
        <w:rPr>
          <w:color w:val="231F20"/>
        </w:rPr>
        <w:t>migrantes</w:t>
      </w:r>
      <w:r>
        <w:rPr>
          <w:color w:val="231F20"/>
          <w:spacing w:val="-11"/>
        </w:rPr>
        <w:t> </w:t>
      </w:r>
      <w:r>
        <w:rPr>
          <w:color w:val="231F20"/>
        </w:rPr>
        <w:t>van</w:t>
      </w:r>
      <w:r>
        <w:rPr>
          <w:color w:val="231F20"/>
          <w:spacing w:val="-10"/>
        </w:rPr>
        <w:t> </w:t>
      </w:r>
      <w:r>
        <w:rPr>
          <w:color w:val="231F20"/>
        </w:rPr>
        <w:t>a</w:t>
      </w:r>
      <w:r>
        <w:rPr>
          <w:color w:val="231F20"/>
          <w:spacing w:val="-10"/>
        </w:rPr>
        <w:t> </w:t>
      </w:r>
      <w:r>
        <w:rPr>
          <w:color w:val="231F20"/>
        </w:rPr>
        <w:t>poner 50 por ciento, hasta 300 mil pesos por proyecto. Este dinero se</w:t>
      </w:r>
      <w:r>
        <w:rPr>
          <w:color w:val="231F20"/>
          <w:spacing w:val="-27"/>
        </w:rPr>
        <w:t> </w:t>
      </w:r>
      <w:r>
        <w:rPr>
          <w:color w:val="231F20"/>
        </w:rPr>
        <w:t>facilita sin cobrar intereses. Se debe devolver en un lapso de tres</w:t>
      </w:r>
      <w:r>
        <w:rPr>
          <w:color w:val="231F20"/>
          <w:spacing w:val="-8"/>
        </w:rPr>
        <w:t> </w:t>
      </w:r>
      <w:r>
        <w:rPr>
          <w:color w:val="231F20"/>
        </w:rPr>
        <w:t>años.</w:t>
      </w:r>
    </w:p>
    <w:p>
      <w:pPr>
        <w:pStyle w:val="Heading3"/>
      </w:pPr>
      <w:r>
        <w:rPr>
          <w:color w:val="231F20"/>
        </w:rPr>
        <w:t>Recomendaciones adicionales de política pública</w:t>
      </w:r>
    </w:p>
    <w:p>
      <w:pPr>
        <w:pStyle w:val="BodyText"/>
        <w:spacing w:line="247" w:lineRule="auto" w:before="172"/>
        <w:ind w:left="117" w:right="114"/>
        <w:jc w:val="both"/>
      </w:pPr>
      <w:r>
        <w:rPr>
          <w:color w:val="231F20"/>
        </w:rPr>
        <w:t>Hasta</w:t>
      </w:r>
      <w:r>
        <w:rPr>
          <w:color w:val="231F20"/>
          <w:spacing w:val="-9"/>
        </w:rPr>
        <w:t> </w:t>
      </w:r>
      <w:r>
        <w:rPr>
          <w:color w:val="231F20"/>
        </w:rPr>
        <w:t>ahora</w:t>
      </w:r>
      <w:r>
        <w:rPr>
          <w:color w:val="231F20"/>
          <w:spacing w:val="-9"/>
        </w:rPr>
        <w:t> </w:t>
      </w:r>
      <w:r>
        <w:rPr>
          <w:color w:val="231F20"/>
        </w:rPr>
        <w:t>la</w:t>
      </w:r>
      <w:r>
        <w:rPr>
          <w:color w:val="231F20"/>
          <w:spacing w:val="-9"/>
        </w:rPr>
        <w:t> </w:t>
      </w:r>
      <w:r>
        <w:rPr>
          <w:color w:val="231F20"/>
        </w:rPr>
        <w:t>relación</w:t>
      </w:r>
      <w:r>
        <w:rPr>
          <w:color w:val="231F20"/>
          <w:spacing w:val="-9"/>
        </w:rPr>
        <w:t> </w:t>
      </w:r>
      <w:r>
        <w:rPr>
          <w:color w:val="231F20"/>
        </w:rPr>
        <w:t>entre</w:t>
      </w:r>
      <w:r>
        <w:rPr>
          <w:color w:val="231F20"/>
          <w:spacing w:val="-9"/>
        </w:rPr>
        <w:t> </w:t>
      </w:r>
      <w:r>
        <w:rPr>
          <w:color w:val="231F20"/>
        </w:rPr>
        <w:t>la</w:t>
      </w:r>
      <w:r>
        <w:rPr>
          <w:color w:val="231F20"/>
          <w:spacing w:val="-9"/>
        </w:rPr>
        <w:t> </w:t>
      </w:r>
      <w:r>
        <w:rPr>
          <w:color w:val="231F20"/>
        </w:rPr>
        <w:t>comunidad</w:t>
      </w:r>
      <w:r>
        <w:rPr>
          <w:color w:val="231F20"/>
          <w:spacing w:val="-9"/>
        </w:rPr>
        <w:t> </w:t>
      </w:r>
      <w:r>
        <w:rPr>
          <w:color w:val="231F20"/>
        </w:rPr>
        <w:t>migrante</w:t>
      </w:r>
      <w:r>
        <w:rPr>
          <w:color w:val="231F20"/>
          <w:spacing w:val="-9"/>
        </w:rPr>
        <w:t> </w:t>
      </w:r>
      <w:r>
        <w:rPr>
          <w:color w:val="231F20"/>
        </w:rPr>
        <w:t>individual</w:t>
      </w:r>
      <w:r>
        <w:rPr>
          <w:color w:val="231F20"/>
          <w:spacing w:val="-9"/>
        </w:rPr>
        <w:t> </w:t>
      </w:r>
      <w:r>
        <w:rPr>
          <w:color w:val="231F20"/>
        </w:rPr>
        <w:t>y</w:t>
      </w:r>
      <w:r>
        <w:rPr>
          <w:color w:val="231F20"/>
          <w:spacing w:val="-9"/>
        </w:rPr>
        <w:t> </w:t>
      </w:r>
      <w:r>
        <w:rPr>
          <w:color w:val="231F20"/>
        </w:rPr>
        <w:t>organiza- da permanece abandonada a su suerte. Los gobiernos municipales y esta- tales no han logrado entender las necesidades de los migrantes en Estados Unidos. No hay respuesta efectiva de México a las leyes inhumanas que equiparan a un inmigrante con un delincuente. Las deportaciones son</w:t>
      </w:r>
      <w:r>
        <w:rPr>
          <w:color w:val="231F20"/>
          <w:spacing w:val="-32"/>
        </w:rPr>
        <w:t> </w:t>
      </w:r>
      <w:r>
        <w:rPr>
          <w:color w:val="231F20"/>
        </w:rPr>
        <w:t>cada vez más</w:t>
      </w:r>
      <w:r>
        <w:rPr>
          <w:color w:val="231F20"/>
          <w:spacing w:val="-1"/>
        </w:rPr>
        <w:t> </w:t>
      </w:r>
      <w:r>
        <w:rPr>
          <w:color w:val="231F20"/>
        </w:rPr>
        <w:t>frecuentes.</w:t>
      </w:r>
    </w:p>
    <w:p>
      <w:pPr>
        <w:pStyle w:val="BodyText"/>
        <w:spacing w:line="247" w:lineRule="auto"/>
        <w:ind w:left="117" w:right="116" w:firstLine="283"/>
        <w:jc w:val="both"/>
      </w:pPr>
      <w:r>
        <w:rPr>
          <w:color w:val="231F20"/>
        </w:rPr>
        <w:t>Si bien hay diversos programas, la mayoría son iniciativa del gobierno federal</w:t>
      </w:r>
      <w:r>
        <w:rPr>
          <w:color w:val="231F20"/>
          <w:spacing w:val="-10"/>
        </w:rPr>
        <w:t> </w:t>
      </w:r>
      <w:r>
        <w:rPr>
          <w:color w:val="231F20"/>
        </w:rPr>
        <w:t>mexicano.</w:t>
      </w:r>
      <w:r>
        <w:rPr>
          <w:color w:val="231F20"/>
          <w:spacing w:val="-10"/>
        </w:rPr>
        <w:t> </w:t>
      </w:r>
      <w:r>
        <w:rPr>
          <w:color w:val="231F20"/>
        </w:rPr>
        <w:t>Hay</w:t>
      </w:r>
      <w:r>
        <w:rPr>
          <w:color w:val="231F20"/>
          <w:spacing w:val="-9"/>
        </w:rPr>
        <w:t> </w:t>
      </w:r>
      <w:r>
        <w:rPr>
          <w:color w:val="231F20"/>
        </w:rPr>
        <w:t>coincidencia</w:t>
      </w:r>
      <w:r>
        <w:rPr>
          <w:color w:val="231F20"/>
          <w:spacing w:val="-10"/>
        </w:rPr>
        <w:t> </w:t>
      </w:r>
      <w:r>
        <w:rPr>
          <w:color w:val="231F20"/>
        </w:rPr>
        <w:t>en</w:t>
      </w:r>
      <w:r>
        <w:rPr>
          <w:color w:val="231F20"/>
          <w:spacing w:val="-10"/>
        </w:rPr>
        <w:t> </w:t>
      </w:r>
      <w:r>
        <w:rPr>
          <w:color w:val="231F20"/>
        </w:rPr>
        <w:t>señalar</w:t>
      </w:r>
      <w:r>
        <w:rPr>
          <w:color w:val="231F20"/>
          <w:spacing w:val="-9"/>
        </w:rPr>
        <w:t> </w:t>
      </w:r>
      <w:r>
        <w:rPr>
          <w:color w:val="231F20"/>
        </w:rPr>
        <w:t>que</w:t>
      </w:r>
      <w:r>
        <w:rPr>
          <w:color w:val="231F20"/>
          <w:spacing w:val="-9"/>
        </w:rPr>
        <w:t> </w:t>
      </w:r>
      <w:r>
        <w:rPr>
          <w:color w:val="231F20"/>
        </w:rPr>
        <w:t>el</w:t>
      </w:r>
      <w:r>
        <w:rPr>
          <w:color w:val="231F20"/>
          <w:spacing w:val="-10"/>
        </w:rPr>
        <w:t> </w:t>
      </w:r>
      <w:r>
        <w:rPr>
          <w:color w:val="231F20"/>
        </w:rPr>
        <w:t>Programa</w:t>
      </w:r>
      <w:r>
        <w:rPr>
          <w:color w:val="231F20"/>
          <w:spacing w:val="-9"/>
        </w:rPr>
        <w:t> </w:t>
      </w:r>
      <w:r>
        <w:rPr>
          <w:color w:val="231F20"/>
        </w:rPr>
        <w:t>3x1</w:t>
      </w:r>
      <w:r>
        <w:rPr>
          <w:color w:val="231F20"/>
          <w:spacing w:val="-10"/>
        </w:rPr>
        <w:t> </w:t>
      </w:r>
      <w:r>
        <w:rPr>
          <w:color w:val="231F20"/>
        </w:rPr>
        <w:t>es</w:t>
      </w:r>
      <w:r>
        <w:rPr>
          <w:color w:val="231F20"/>
          <w:spacing w:val="-10"/>
        </w:rPr>
        <w:t> </w:t>
      </w:r>
      <w:r>
        <w:rPr>
          <w:color w:val="231F20"/>
        </w:rPr>
        <w:t>una política pública exterior exitosa. Es un modelo que ha sido retomado en otros países de América Latina. En este trabajo se ha hecho énfasis en el papel que históricamente le corresponde al estado de Guerrero, un hecho poco conocido. Han sido expuestas las propuestas de funcionarios y mi- grantes organizados; ahí están para el debate o su</w:t>
      </w:r>
      <w:r>
        <w:rPr>
          <w:color w:val="231F20"/>
          <w:spacing w:val="-7"/>
        </w:rPr>
        <w:t> </w:t>
      </w:r>
      <w:r>
        <w:rPr>
          <w:color w:val="231F20"/>
        </w:rPr>
        <w:t>reconocimiento.</w:t>
      </w:r>
    </w:p>
    <w:p>
      <w:pPr>
        <w:pStyle w:val="BodyText"/>
        <w:spacing w:line="247" w:lineRule="auto"/>
        <w:ind w:left="117" w:right="114" w:firstLine="283"/>
        <w:jc w:val="both"/>
      </w:pPr>
      <w:r>
        <w:rPr>
          <w:color w:val="231F20"/>
        </w:rPr>
        <w:t>Por otra parte, el gobierno del estado debe actuar de manera institucio- nal en el manejo del archivo histórico del programa, así como en la entre- ga-recepción entre una administración saliente y la entrante. Lo anterior, debido a que no coincidieron los registros de número de obras ejecutadas, ni de montos de inversión totales del gobierno estatal con los registros del gobierno federal. Se tomó la decisión de utilizar los datos del gobierno fe- deral</w:t>
      </w:r>
      <w:r>
        <w:rPr>
          <w:color w:val="231F20"/>
          <w:spacing w:val="-6"/>
        </w:rPr>
        <w:t> </w:t>
      </w:r>
      <w:r>
        <w:rPr>
          <w:color w:val="231F20"/>
        </w:rPr>
        <w:t>por</w:t>
      </w:r>
      <w:r>
        <w:rPr>
          <w:color w:val="231F20"/>
          <w:spacing w:val="-6"/>
        </w:rPr>
        <w:t> </w:t>
      </w:r>
      <w:r>
        <w:rPr>
          <w:color w:val="231F20"/>
        </w:rPr>
        <w:t>encontrarlos</w:t>
      </w:r>
      <w:r>
        <w:rPr>
          <w:color w:val="231F20"/>
          <w:spacing w:val="-6"/>
        </w:rPr>
        <w:t> </w:t>
      </w:r>
      <w:r>
        <w:rPr>
          <w:color w:val="231F20"/>
        </w:rPr>
        <w:t>más</w:t>
      </w:r>
      <w:r>
        <w:rPr>
          <w:color w:val="231F20"/>
          <w:spacing w:val="-6"/>
        </w:rPr>
        <w:t> </w:t>
      </w:r>
      <w:r>
        <w:rPr>
          <w:color w:val="231F20"/>
        </w:rPr>
        <w:t>consistentes</w:t>
      </w:r>
      <w:r>
        <w:rPr>
          <w:color w:val="231F20"/>
          <w:spacing w:val="-6"/>
        </w:rPr>
        <w:t> </w:t>
      </w:r>
      <w:r>
        <w:rPr>
          <w:color w:val="231F20"/>
        </w:rPr>
        <w:t>durante</w:t>
      </w:r>
      <w:r>
        <w:rPr>
          <w:color w:val="231F20"/>
          <w:spacing w:val="-6"/>
        </w:rPr>
        <w:t> </w:t>
      </w:r>
      <w:r>
        <w:rPr>
          <w:color w:val="231F20"/>
        </w:rPr>
        <w:t>estos</w:t>
      </w:r>
      <w:r>
        <w:rPr>
          <w:color w:val="231F20"/>
          <w:spacing w:val="-6"/>
        </w:rPr>
        <w:t> </w:t>
      </w:r>
      <w:r>
        <w:rPr>
          <w:color w:val="231F20"/>
        </w:rPr>
        <w:t>ocho</w:t>
      </w:r>
      <w:r>
        <w:rPr>
          <w:color w:val="231F20"/>
          <w:spacing w:val="-6"/>
        </w:rPr>
        <w:t> </w:t>
      </w:r>
      <w:r>
        <w:rPr>
          <w:color w:val="231F20"/>
        </w:rPr>
        <w:t>años</w:t>
      </w:r>
      <w:r>
        <w:rPr>
          <w:color w:val="231F20"/>
          <w:spacing w:val="-6"/>
        </w:rPr>
        <w:t> </w:t>
      </w:r>
      <w:r>
        <w:rPr>
          <w:color w:val="231F20"/>
        </w:rPr>
        <w:t>de</w:t>
      </w:r>
      <w:r>
        <w:rPr>
          <w:color w:val="231F20"/>
          <w:spacing w:val="-6"/>
        </w:rPr>
        <w:t> </w:t>
      </w:r>
      <w:r>
        <w:rPr>
          <w:color w:val="231F20"/>
        </w:rPr>
        <w:t>funcio- namiento.</w:t>
      </w:r>
      <w:r>
        <w:rPr>
          <w:color w:val="231F20"/>
          <w:spacing w:val="-12"/>
        </w:rPr>
        <w:t> </w:t>
      </w:r>
      <w:r>
        <w:rPr>
          <w:color w:val="231F20"/>
        </w:rPr>
        <w:t>Se</w:t>
      </w:r>
      <w:r>
        <w:rPr>
          <w:color w:val="231F20"/>
          <w:spacing w:val="-12"/>
        </w:rPr>
        <w:t> </w:t>
      </w:r>
      <w:r>
        <w:rPr>
          <w:color w:val="231F20"/>
        </w:rPr>
        <w:t>recomienda</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gobiernos</w:t>
      </w:r>
      <w:r>
        <w:rPr>
          <w:color w:val="231F20"/>
          <w:spacing w:val="-12"/>
        </w:rPr>
        <w:t> </w:t>
      </w:r>
      <w:r>
        <w:rPr>
          <w:color w:val="231F20"/>
        </w:rPr>
        <w:t>federal</w:t>
      </w:r>
      <w:r>
        <w:rPr>
          <w:color w:val="231F20"/>
          <w:spacing w:val="-12"/>
        </w:rPr>
        <w:t> </w:t>
      </w:r>
      <w:r>
        <w:rPr>
          <w:color w:val="231F20"/>
        </w:rPr>
        <w:t>y</w:t>
      </w:r>
      <w:r>
        <w:rPr>
          <w:color w:val="231F20"/>
          <w:spacing w:val="-12"/>
        </w:rPr>
        <w:t> </w:t>
      </w:r>
      <w:r>
        <w:rPr>
          <w:color w:val="231F20"/>
        </w:rPr>
        <w:t>estatal</w:t>
      </w:r>
      <w:r>
        <w:rPr>
          <w:color w:val="231F20"/>
          <w:spacing w:val="-12"/>
        </w:rPr>
        <w:t> </w:t>
      </w:r>
      <w:r>
        <w:rPr>
          <w:color w:val="231F20"/>
        </w:rPr>
        <w:t>adoptar</w:t>
      </w:r>
      <w:r>
        <w:rPr>
          <w:color w:val="231F20"/>
          <w:spacing w:val="-12"/>
        </w:rPr>
        <w:t> </w:t>
      </w:r>
      <w:r>
        <w:rPr>
          <w:color w:val="231F20"/>
        </w:rPr>
        <w:t>la</w:t>
      </w:r>
      <w:r>
        <w:rPr>
          <w:color w:val="231F20"/>
          <w:spacing w:val="-12"/>
        </w:rPr>
        <w:t> </w:t>
      </w:r>
      <w:r>
        <w:rPr>
          <w:color w:val="231F20"/>
        </w:rPr>
        <w:t>misma metodología para llevar la estadística del Programa 3x1 para</w:t>
      </w:r>
      <w:r>
        <w:rPr>
          <w:color w:val="231F20"/>
          <w:spacing w:val="-10"/>
        </w:rPr>
        <w:t> </w:t>
      </w:r>
      <w:r>
        <w:rPr>
          <w:color w:val="231F20"/>
        </w:rPr>
        <w:t>migrantes.</w:t>
      </w:r>
    </w:p>
    <w:p>
      <w:pPr>
        <w:pStyle w:val="BodyText"/>
        <w:spacing w:line="247" w:lineRule="auto"/>
        <w:ind w:left="117" w:right="114" w:firstLine="283"/>
        <w:jc w:val="both"/>
      </w:pPr>
      <w:r>
        <w:rPr>
          <w:color w:val="231F20"/>
        </w:rPr>
        <w:t>En los últimos años se ha visto una mayor participación de los presi- dentes municipales, incluso en circunstancias que deben buscar el aval de las</w:t>
      </w:r>
      <w:r>
        <w:rPr>
          <w:color w:val="231F20"/>
          <w:spacing w:val="-7"/>
        </w:rPr>
        <w:t> </w:t>
      </w:r>
      <w:r>
        <w:rPr>
          <w:color w:val="231F20"/>
        </w:rPr>
        <w:t>organizaciones</w:t>
      </w:r>
      <w:r>
        <w:rPr>
          <w:color w:val="231F20"/>
          <w:spacing w:val="-7"/>
        </w:rPr>
        <w:t> </w:t>
      </w:r>
      <w:r>
        <w:rPr>
          <w:color w:val="231F20"/>
        </w:rPr>
        <w:t>de</w:t>
      </w:r>
      <w:r>
        <w:rPr>
          <w:color w:val="231F20"/>
          <w:spacing w:val="-7"/>
        </w:rPr>
        <w:t> </w:t>
      </w:r>
      <w:r>
        <w:rPr>
          <w:color w:val="231F20"/>
        </w:rPr>
        <w:t>migrantes</w:t>
      </w:r>
      <w:r>
        <w:rPr>
          <w:color w:val="231F20"/>
          <w:spacing w:val="-7"/>
        </w:rPr>
        <w:t> </w:t>
      </w:r>
      <w:r>
        <w:rPr>
          <w:color w:val="231F20"/>
        </w:rPr>
        <w:t>reconocidas</w:t>
      </w:r>
      <w:r>
        <w:rPr>
          <w:color w:val="231F20"/>
          <w:spacing w:val="-7"/>
        </w:rPr>
        <w:t> </w:t>
      </w:r>
      <w:r>
        <w:rPr>
          <w:color w:val="231F20"/>
        </w:rPr>
        <w:t>en</w:t>
      </w:r>
      <w:r>
        <w:rPr>
          <w:color w:val="231F20"/>
          <w:spacing w:val="-7"/>
        </w:rPr>
        <w:t> </w:t>
      </w:r>
      <w:r>
        <w:rPr>
          <w:color w:val="231F20"/>
        </w:rPr>
        <w:t>ausencia</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club</w:t>
      </w:r>
      <w:r>
        <w:rPr>
          <w:color w:val="231F20"/>
          <w:spacing w:val="-7"/>
        </w:rPr>
        <w:t> </w:t>
      </w:r>
      <w:r>
        <w:rPr>
          <w:color w:val="231F20"/>
        </w:rPr>
        <w:t>de</w:t>
      </w:r>
      <w:r>
        <w:rPr>
          <w:color w:val="231F20"/>
          <w:spacing w:val="-7"/>
        </w:rPr>
        <w:t> </w:t>
      </w:r>
      <w:r>
        <w:rPr>
          <w:color w:val="231F20"/>
        </w:rPr>
        <w:t>mi- grantes que respalde su iniciativa. Ante todo, se deben priorizar obras que provengan genuinamente de iniciativas de los migrantes organizados. Se deben reforzar las medidas de control para el caso de las obras realizadas con</w:t>
      </w:r>
      <w:r>
        <w:rPr>
          <w:color w:val="231F20"/>
          <w:spacing w:val="-12"/>
        </w:rPr>
        <w:t> </w:t>
      </w:r>
      <w:r>
        <w:rPr>
          <w:color w:val="231F20"/>
        </w:rPr>
        <w:t>el</w:t>
      </w:r>
      <w:r>
        <w:rPr>
          <w:color w:val="231F20"/>
          <w:spacing w:val="-12"/>
        </w:rPr>
        <w:t> </w:t>
      </w:r>
      <w:r>
        <w:rPr>
          <w:color w:val="231F20"/>
        </w:rPr>
        <w:t>aval</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organización,</w:t>
      </w:r>
      <w:r>
        <w:rPr>
          <w:color w:val="231F20"/>
          <w:spacing w:val="-12"/>
        </w:rPr>
        <w:t> </w:t>
      </w:r>
      <w:r>
        <w:rPr>
          <w:color w:val="231F20"/>
        </w:rPr>
        <w:t>limitando</w:t>
      </w:r>
      <w:r>
        <w:rPr>
          <w:color w:val="231F20"/>
          <w:spacing w:val="-13"/>
        </w:rPr>
        <w:t> </w:t>
      </w:r>
      <w:r>
        <w:rPr>
          <w:color w:val="231F20"/>
        </w:rPr>
        <w:t>el</w:t>
      </w:r>
      <w:r>
        <w:rPr>
          <w:color w:val="231F20"/>
          <w:spacing w:val="-12"/>
        </w:rPr>
        <w:t> </w:t>
      </w:r>
      <w:r>
        <w:rPr>
          <w:color w:val="231F20"/>
        </w:rPr>
        <w:t>número</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mismas</w:t>
      </w:r>
      <w:r>
        <w:rPr>
          <w:color w:val="231F20"/>
          <w:spacing w:val="-13"/>
        </w:rPr>
        <w:t> </w:t>
      </w:r>
      <w:r>
        <w:rPr>
          <w:color w:val="231F20"/>
        </w:rPr>
        <w:t>cuando se</w:t>
      </w:r>
      <w:r>
        <w:rPr>
          <w:color w:val="231F20"/>
          <w:spacing w:val="-4"/>
        </w:rPr>
        <w:t> </w:t>
      </w:r>
      <w:r>
        <w:rPr>
          <w:color w:val="231F20"/>
        </w:rPr>
        <w:t>ponga</w:t>
      </w:r>
      <w:r>
        <w:rPr>
          <w:color w:val="231F20"/>
          <w:spacing w:val="-4"/>
        </w:rPr>
        <w:t> </w:t>
      </w:r>
      <w:r>
        <w:rPr>
          <w:color w:val="231F20"/>
        </w:rPr>
        <w:t>en</w:t>
      </w:r>
      <w:r>
        <w:rPr>
          <w:color w:val="231F20"/>
          <w:spacing w:val="-4"/>
        </w:rPr>
        <w:t> </w:t>
      </w:r>
      <w:r>
        <w:rPr>
          <w:color w:val="231F20"/>
        </w:rPr>
        <w:t>riesgo</w:t>
      </w:r>
      <w:r>
        <w:rPr>
          <w:color w:val="231F20"/>
          <w:spacing w:val="-4"/>
        </w:rPr>
        <w:t> </w:t>
      </w:r>
      <w:r>
        <w:rPr>
          <w:color w:val="231F20"/>
        </w:rPr>
        <w:t>el</w:t>
      </w:r>
      <w:r>
        <w:rPr>
          <w:color w:val="231F20"/>
          <w:spacing w:val="-4"/>
        </w:rPr>
        <w:t> </w:t>
      </w:r>
      <w:r>
        <w:rPr>
          <w:color w:val="231F20"/>
        </w:rPr>
        <w:t>equilibrio</w:t>
      </w:r>
      <w:r>
        <w:rPr>
          <w:color w:val="231F20"/>
          <w:spacing w:val="-4"/>
        </w:rPr>
        <w:t> </w:t>
      </w:r>
      <w:r>
        <w:rPr>
          <w:color w:val="231F20"/>
        </w:rPr>
        <w:t>del</w:t>
      </w:r>
      <w:r>
        <w:rPr>
          <w:color w:val="231F20"/>
          <w:spacing w:val="-4"/>
        </w:rPr>
        <w:t> </w:t>
      </w:r>
      <w:r>
        <w:rPr>
          <w:color w:val="231F20"/>
        </w:rPr>
        <w:t>impacto</w:t>
      </w:r>
      <w:r>
        <w:rPr>
          <w:color w:val="231F20"/>
          <w:spacing w:val="-4"/>
        </w:rPr>
        <w:t> </w:t>
      </w:r>
      <w:r>
        <w:rPr>
          <w:color w:val="231F20"/>
        </w:rPr>
        <w:t>regional</w:t>
      </w:r>
      <w:r>
        <w:rPr>
          <w:color w:val="231F20"/>
          <w:spacing w:val="-4"/>
        </w:rPr>
        <w:t> </w:t>
      </w:r>
      <w:r>
        <w:rPr>
          <w:color w:val="231F20"/>
        </w:rPr>
        <w:t>del</w:t>
      </w:r>
      <w:r>
        <w:rPr>
          <w:color w:val="231F20"/>
          <w:spacing w:val="-4"/>
        </w:rPr>
        <w:t> </w:t>
      </w:r>
      <w:r>
        <w:rPr>
          <w:color w:val="231F20"/>
        </w:rPr>
        <w:t>programa</w:t>
      </w:r>
      <w:r>
        <w:rPr>
          <w:color w:val="231F20"/>
          <w:spacing w:val="-4"/>
        </w:rPr>
        <w:t> </w:t>
      </w:r>
      <w:r>
        <w:rPr>
          <w:color w:val="231F20"/>
        </w:rPr>
        <w:t>para</w:t>
      </w:r>
      <w:r>
        <w:rPr>
          <w:color w:val="231F20"/>
          <w:spacing w:val="-4"/>
        </w:rPr>
        <w:t> </w:t>
      </w:r>
      <w:r>
        <w:rPr>
          <w:color w:val="231F20"/>
        </w:rPr>
        <w:t>un ejercicio</w:t>
      </w:r>
      <w:r>
        <w:rPr>
          <w:color w:val="231F20"/>
          <w:spacing w:val="-12"/>
        </w:rPr>
        <w:t> </w:t>
      </w:r>
      <w:r>
        <w:rPr>
          <w:color w:val="231F20"/>
        </w:rPr>
        <w:t>fiscal.</w:t>
      </w:r>
    </w:p>
    <w:p>
      <w:pPr>
        <w:spacing w:after="0" w:line="247" w:lineRule="auto"/>
        <w:jc w:val="both"/>
        <w:sectPr>
          <w:pgSz w:w="9360" w:h="13040"/>
          <w:pgMar w:header="0" w:footer="496" w:top="740" w:bottom="680" w:left="1300" w:right="1300"/>
        </w:sectPr>
      </w:pPr>
    </w:p>
    <w:p>
      <w:pPr>
        <w:tabs>
          <w:tab w:pos="5536" w:val="left" w:leader="none"/>
        </w:tabs>
        <w:spacing w:before="48"/>
        <w:ind w:left="105" w:right="0" w:firstLine="0"/>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
        <w:rPr>
          <w:sz w:val="20"/>
        </w:rPr>
      </w:pPr>
    </w:p>
    <w:p>
      <w:pPr>
        <w:pStyle w:val="Heading3"/>
        <w:spacing w:before="1"/>
        <w:ind w:left="120"/>
      </w:pPr>
      <w:r>
        <w:rPr>
          <w:color w:val="231F20"/>
        </w:rPr>
        <w:t>Bibliografía</w:t>
      </w:r>
    </w:p>
    <w:p>
      <w:pPr>
        <w:spacing w:line="210" w:lineRule="exact" w:before="175"/>
        <w:ind w:left="120" w:right="112" w:firstLine="0"/>
        <w:jc w:val="both"/>
        <w:rPr>
          <w:sz w:val="20"/>
        </w:rPr>
      </w:pPr>
      <w:r>
        <w:rPr>
          <w:color w:val="231F20"/>
          <w:sz w:val="20"/>
        </w:rPr>
        <w:t>ALARCÓN, Rafael, Rodolfo Cruz, Alejandro Díaz-Bautista, Gabriel González- König, Antonio Izquierdo, Guillermo Yrizar y René Zenteno, 2009, “La crisis financiera en Estados Unidos y su impacto en la migración mexicana”, en </w:t>
      </w:r>
      <w:r>
        <w:rPr>
          <w:i/>
          <w:color w:val="231F20"/>
          <w:sz w:val="20"/>
        </w:rPr>
        <w:t>Mi- </w:t>
      </w:r>
      <w:r>
        <w:rPr>
          <w:i/>
          <w:color w:val="231F20"/>
          <w:sz w:val="20"/>
        </w:rPr>
        <w:t>graciones Internacionales</w:t>
      </w:r>
      <w:r>
        <w:rPr>
          <w:color w:val="231F20"/>
          <w:sz w:val="20"/>
        </w:rPr>
        <w:t>, vol. 5, núm. 1, enero-junio, El Colegio de la Frontera Norte, Tijuana, México.</w:t>
      </w:r>
    </w:p>
    <w:p>
      <w:pPr>
        <w:spacing w:line="210" w:lineRule="exact" w:before="113"/>
        <w:ind w:left="120" w:right="113" w:firstLine="0"/>
        <w:jc w:val="both"/>
        <w:rPr>
          <w:sz w:val="20"/>
        </w:rPr>
      </w:pPr>
      <w:r>
        <w:rPr>
          <w:color w:val="231F20"/>
          <w:sz w:val="20"/>
        </w:rPr>
        <w:t>CÁMARA DE DIPUTADOS, 1995, </w:t>
      </w:r>
      <w:r>
        <w:rPr>
          <w:i/>
          <w:color w:val="231F20"/>
          <w:sz w:val="20"/>
        </w:rPr>
        <w:t>Diario de Debates</w:t>
      </w:r>
      <w:r>
        <w:rPr>
          <w:color w:val="231F20"/>
          <w:sz w:val="20"/>
        </w:rPr>
        <w:t>, Comisión Permanente del Congreso de los Estados Unidos Mexicanos, Legislatura LVI, Año I, Primer periodo de receso, núm. 9, 8 de febrero, México.</w:t>
      </w:r>
    </w:p>
    <w:p>
      <w:pPr>
        <w:spacing w:line="210" w:lineRule="exact" w:before="113"/>
        <w:ind w:left="120" w:right="111" w:firstLine="0"/>
        <w:jc w:val="both"/>
        <w:rPr>
          <w:sz w:val="20"/>
        </w:rPr>
      </w:pPr>
      <w:r>
        <w:rPr>
          <w:color w:val="231F20"/>
          <w:sz w:val="20"/>
        </w:rPr>
        <w:t>CANALES,</w:t>
      </w:r>
      <w:r>
        <w:rPr>
          <w:color w:val="231F20"/>
          <w:spacing w:val="-16"/>
          <w:sz w:val="20"/>
        </w:rPr>
        <w:t> </w:t>
      </w:r>
      <w:r>
        <w:rPr>
          <w:color w:val="231F20"/>
          <w:sz w:val="20"/>
        </w:rPr>
        <w:t>Alejandro</w:t>
      </w:r>
      <w:r>
        <w:rPr>
          <w:color w:val="231F20"/>
          <w:spacing w:val="-5"/>
          <w:sz w:val="20"/>
        </w:rPr>
        <w:t> </w:t>
      </w:r>
      <w:r>
        <w:rPr>
          <w:color w:val="231F20"/>
          <w:sz w:val="20"/>
        </w:rPr>
        <w:t>y</w:t>
      </w:r>
      <w:r>
        <w:rPr>
          <w:color w:val="231F20"/>
          <w:spacing w:val="-6"/>
          <w:sz w:val="20"/>
        </w:rPr>
        <w:t> </w:t>
      </w:r>
      <w:r>
        <w:rPr>
          <w:color w:val="231F20"/>
          <w:sz w:val="20"/>
        </w:rPr>
        <w:t>Christian</w:t>
      </w:r>
      <w:r>
        <w:rPr>
          <w:color w:val="231F20"/>
          <w:spacing w:val="-6"/>
          <w:sz w:val="20"/>
        </w:rPr>
        <w:t> </w:t>
      </w:r>
      <w:r>
        <w:rPr>
          <w:color w:val="231F20"/>
          <w:sz w:val="20"/>
        </w:rPr>
        <w:t>Zlolniski,</w:t>
      </w:r>
      <w:r>
        <w:rPr>
          <w:color w:val="231F20"/>
          <w:spacing w:val="-7"/>
          <w:sz w:val="20"/>
        </w:rPr>
        <w:t> </w:t>
      </w:r>
      <w:r>
        <w:rPr>
          <w:color w:val="231F20"/>
          <w:sz w:val="20"/>
        </w:rPr>
        <w:t>2000,</w:t>
      </w:r>
      <w:r>
        <w:rPr>
          <w:color w:val="231F20"/>
          <w:spacing w:val="-6"/>
          <w:sz w:val="20"/>
        </w:rPr>
        <w:t> </w:t>
      </w:r>
      <w:r>
        <w:rPr>
          <w:i/>
          <w:color w:val="231F20"/>
          <w:sz w:val="20"/>
        </w:rPr>
        <w:t>Comunidades</w:t>
      </w:r>
      <w:r>
        <w:rPr>
          <w:i/>
          <w:color w:val="231F20"/>
          <w:spacing w:val="-6"/>
          <w:sz w:val="20"/>
        </w:rPr>
        <w:t> </w:t>
      </w:r>
      <w:r>
        <w:rPr>
          <w:i/>
          <w:color w:val="231F20"/>
          <w:sz w:val="20"/>
        </w:rPr>
        <w:t>transnacionales </w:t>
      </w:r>
      <w:r>
        <w:rPr>
          <w:i/>
          <w:color w:val="231F20"/>
          <w:sz w:val="20"/>
        </w:rPr>
        <w:t>y migración en la era de la globalización</w:t>
      </w:r>
      <w:r>
        <w:rPr>
          <w:color w:val="231F20"/>
          <w:sz w:val="20"/>
        </w:rPr>
        <w:t>, en Simposio sobre Migración Interna- cional en las</w:t>
      </w:r>
      <w:r>
        <w:rPr>
          <w:color w:val="231F20"/>
          <w:spacing w:val="-38"/>
          <w:sz w:val="20"/>
        </w:rPr>
        <w:t> </w:t>
      </w:r>
      <w:r>
        <w:rPr>
          <w:color w:val="231F20"/>
          <w:sz w:val="20"/>
        </w:rPr>
        <w:t>Américas, 4-6 de septiembre, San José, Costa Rica.</w:t>
      </w:r>
    </w:p>
    <w:p>
      <w:pPr>
        <w:spacing w:line="210" w:lineRule="exact" w:before="113"/>
        <w:ind w:left="120" w:right="112" w:firstLine="0"/>
        <w:jc w:val="both"/>
        <w:rPr>
          <w:sz w:val="20"/>
        </w:rPr>
      </w:pPr>
      <w:r>
        <w:rPr>
          <w:color w:val="231F20"/>
          <w:sz w:val="20"/>
        </w:rPr>
        <w:t>CASTLES, Stephen, 2010, </w:t>
      </w:r>
      <w:r>
        <w:rPr>
          <w:i/>
          <w:color w:val="231F20"/>
          <w:sz w:val="20"/>
        </w:rPr>
        <w:t>Tearing down the model, building social actors</w:t>
      </w:r>
      <w:r>
        <w:rPr>
          <w:color w:val="231F20"/>
          <w:sz w:val="20"/>
        </w:rPr>
        <w:t>, en Foro Social Mundial de las Migraciones, 8-12 octubre, Quito, Ecuador.</w:t>
      </w:r>
    </w:p>
    <w:p>
      <w:pPr>
        <w:spacing w:line="210" w:lineRule="exact" w:before="113"/>
        <w:ind w:left="120" w:right="112" w:firstLine="0"/>
        <w:jc w:val="both"/>
        <w:rPr>
          <w:sz w:val="20"/>
        </w:rPr>
      </w:pPr>
      <w:r>
        <w:rPr>
          <w:color w:val="231F20"/>
          <w:sz w:val="20"/>
        </w:rPr>
        <w:t>CENSUS, Bureau, 2011, “Overview of race and Hispanic origin: 2010”, en </w:t>
      </w:r>
      <w:r>
        <w:rPr>
          <w:i/>
          <w:color w:val="231F20"/>
          <w:sz w:val="20"/>
        </w:rPr>
        <w:t>2010 </w:t>
      </w:r>
      <w:r>
        <w:rPr>
          <w:i/>
          <w:color w:val="231F20"/>
          <w:sz w:val="20"/>
        </w:rPr>
        <w:t>Census Briefs</w:t>
      </w:r>
      <w:hyperlink r:id="rId168">
        <w:r>
          <w:rPr>
            <w:color w:val="231F20"/>
            <w:sz w:val="20"/>
          </w:rPr>
          <w:t>, http://www.census.gov/prod/cen2010/briefs/c2010br-02.pdf</w:t>
        </w:r>
      </w:hyperlink>
    </w:p>
    <w:p>
      <w:pPr>
        <w:spacing w:line="210" w:lineRule="exact" w:before="113"/>
        <w:ind w:left="120" w:right="112" w:firstLine="0"/>
        <w:jc w:val="both"/>
        <w:rPr>
          <w:sz w:val="20"/>
        </w:rPr>
      </w:pPr>
      <w:r>
        <w:rPr>
          <w:color w:val="231F20"/>
          <w:sz w:val="20"/>
        </w:rPr>
        <w:t>CESOP, 2011, </w:t>
      </w:r>
      <w:r>
        <w:rPr>
          <w:i/>
          <w:color w:val="231F20"/>
          <w:sz w:val="20"/>
        </w:rPr>
        <w:t>El Programa 3x1 para migrantes. Datos y referencias para una </w:t>
      </w:r>
      <w:r>
        <w:rPr>
          <w:i/>
          <w:color w:val="231F20"/>
          <w:sz w:val="20"/>
        </w:rPr>
        <w:t>revisión complementaria</w:t>
      </w:r>
      <w:r>
        <w:rPr>
          <w:color w:val="231F20"/>
          <w:sz w:val="20"/>
        </w:rPr>
        <w:t>, Centro de Estudios Sociales y de Opinión Pública (CE- SOP).</w:t>
      </w:r>
    </w:p>
    <w:p>
      <w:pPr>
        <w:spacing w:line="210" w:lineRule="exact" w:before="113"/>
        <w:ind w:left="120" w:right="112" w:firstLine="0"/>
        <w:jc w:val="both"/>
        <w:rPr>
          <w:sz w:val="20"/>
        </w:rPr>
      </w:pPr>
      <w:r>
        <w:rPr>
          <w:color w:val="231F20"/>
          <w:sz w:val="20"/>
        </w:rPr>
        <w:t>DÍAZ, Alejandro, 2009, “Transnacional social mexicana. Alcances y</w:t>
      </w:r>
      <w:r>
        <w:rPr>
          <w:color w:val="231F20"/>
          <w:spacing w:val="-29"/>
          <w:sz w:val="20"/>
        </w:rPr>
        <w:t> </w:t>
      </w:r>
      <w:r>
        <w:rPr>
          <w:color w:val="231F20"/>
          <w:sz w:val="20"/>
        </w:rPr>
        <w:t>limitaciones del</w:t>
      </w:r>
      <w:r>
        <w:rPr>
          <w:color w:val="231F20"/>
          <w:spacing w:val="-7"/>
          <w:sz w:val="20"/>
        </w:rPr>
        <w:t> </w:t>
      </w:r>
      <w:r>
        <w:rPr>
          <w:color w:val="231F20"/>
          <w:sz w:val="20"/>
        </w:rPr>
        <w:t>Programa</w:t>
      </w:r>
      <w:r>
        <w:rPr>
          <w:color w:val="231F20"/>
          <w:spacing w:val="-6"/>
          <w:sz w:val="20"/>
        </w:rPr>
        <w:t> </w:t>
      </w:r>
      <w:r>
        <w:rPr>
          <w:color w:val="231F20"/>
          <w:sz w:val="20"/>
        </w:rPr>
        <w:t>3x1</w:t>
      </w:r>
      <w:r>
        <w:rPr>
          <w:color w:val="231F20"/>
          <w:spacing w:val="-7"/>
          <w:sz w:val="20"/>
        </w:rPr>
        <w:t> </w:t>
      </w:r>
      <w:r>
        <w:rPr>
          <w:color w:val="231F20"/>
          <w:sz w:val="20"/>
        </w:rPr>
        <w:t>para</w:t>
      </w:r>
      <w:r>
        <w:rPr>
          <w:color w:val="231F20"/>
          <w:spacing w:val="-7"/>
          <w:sz w:val="20"/>
        </w:rPr>
        <w:t> </w:t>
      </w:r>
      <w:r>
        <w:rPr>
          <w:color w:val="231F20"/>
          <w:sz w:val="20"/>
        </w:rPr>
        <w:t>migrantes</w:t>
      </w:r>
      <w:r>
        <w:rPr>
          <w:color w:val="231F20"/>
          <w:spacing w:val="-7"/>
          <w:sz w:val="20"/>
        </w:rPr>
        <w:t> </w:t>
      </w:r>
      <w:r>
        <w:rPr>
          <w:color w:val="231F20"/>
          <w:sz w:val="20"/>
        </w:rPr>
        <w:t>en</w:t>
      </w:r>
      <w:r>
        <w:rPr>
          <w:color w:val="231F20"/>
          <w:spacing w:val="-7"/>
          <w:sz w:val="20"/>
        </w:rPr>
        <w:t> </w:t>
      </w:r>
      <w:r>
        <w:rPr>
          <w:color w:val="231F20"/>
          <w:sz w:val="20"/>
        </w:rPr>
        <w:t>Guerrero”,</w:t>
      </w:r>
      <w:r>
        <w:rPr>
          <w:color w:val="231F20"/>
          <w:spacing w:val="-6"/>
          <w:sz w:val="20"/>
        </w:rPr>
        <w:t> </w:t>
      </w:r>
      <w:r>
        <w:rPr>
          <w:color w:val="231F20"/>
          <w:sz w:val="20"/>
        </w:rPr>
        <w:t>en</w:t>
      </w:r>
      <w:r>
        <w:rPr>
          <w:color w:val="231F20"/>
          <w:spacing w:val="-7"/>
          <w:sz w:val="20"/>
        </w:rPr>
        <w:t> </w:t>
      </w:r>
      <w:r>
        <w:rPr>
          <w:i/>
          <w:color w:val="231F20"/>
          <w:sz w:val="20"/>
        </w:rPr>
        <w:t>Trayectorias</w:t>
      </w:r>
      <w:r>
        <w:rPr>
          <w:color w:val="231F20"/>
          <w:sz w:val="20"/>
        </w:rPr>
        <w:t>,</w:t>
      </w:r>
      <w:r>
        <w:rPr>
          <w:color w:val="231F20"/>
          <w:spacing w:val="-7"/>
          <w:sz w:val="20"/>
        </w:rPr>
        <w:t> </w:t>
      </w:r>
      <w:r>
        <w:rPr>
          <w:color w:val="231F20"/>
          <w:sz w:val="20"/>
        </w:rPr>
        <w:t>vol.</w:t>
      </w:r>
      <w:r>
        <w:rPr>
          <w:color w:val="231F20"/>
          <w:spacing w:val="-7"/>
          <w:sz w:val="20"/>
        </w:rPr>
        <w:t> </w:t>
      </w:r>
      <w:r>
        <w:rPr>
          <w:color w:val="231F20"/>
          <w:spacing w:val="-3"/>
          <w:sz w:val="20"/>
        </w:rPr>
        <w:t>11,</w:t>
      </w:r>
      <w:r>
        <w:rPr>
          <w:color w:val="231F20"/>
          <w:spacing w:val="-7"/>
          <w:sz w:val="20"/>
        </w:rPr>
        <w:t> </w:t>
      </w:r>
      <w:r>
        <w:rPr>
          <w:color w:val="231F20"/>
          <w:sz w:val="20"/>
        </w:rPr>
        <w:t>núm.</w:t>
      </w:r>
      <w:r>
        <w:rPr>
          <w:color w:val="231F20"/>
          <w:spacing w:val="-7"/>
          <w:sz w:val="20"/>
        </w:rPr>
        <w:t> </w:t>
      </w:r>
      <w:r>
        <w:rPr>
          <w:color w:val="231F20"/>
          <w:sz w:val="20"/>
        </w:rPr>
        <w:t>29, 117-131.</w:t>
      </w:r>
    </w:p>
    <w:p>
      <w:pPr>
        <w:spacing w:line="210" w:lineRule="exact" w:before="113"/>
        <w:ind w:left="120" w:right="112" w:firstLine="0"/>
        <w:jc w:val="both"/>
        <w:rPr>
          <w:sz w:val="20"/>
        </w:rPr>
      </w:pPr>
      <w:r>
        <w:rPr>
          <w:color w:val="231F20"/>
          <w:sz w:val="20"/>
        </w:rPr>
        <w:t>DÍAZ, Alejandro, 2011, </w:t>
      </w:r>
      <w:r>
        <w:rPr>
          <w:i/>
          <w:color w:val="231F20"/>
          <w:sz w:val="20"/>
        </w:rPr>
        <w:t>Transnacionalismo México-Estados Unidos. Geografía </w:t>
      </w:r>
      <w:r>
        <w:rPr>
          <w:i/>
          <w:color w:val="231F20"/>
          <w:sz w:val="20"/>
        </w:rPr>
        <w:t>de una entidad emergente</w:t>
      </w:r>
      <w:r>
        <w:rPr>
          <w:color w:val="231F20"/>
          <w:sz w:val="20"/>
        </w:rPr>
        <w:t>, Porrúa, Universidad Autónoma de Guerrero, México.</w:t>
      </w:r>
    </w:p>
    <w:p>
      <w:pPr>
        <w:spacing w:line="210" w:lineRule="exact" w:before="113"/>
        <w:ind w:left="120" w:right="112" w:firstLine="0"/>
        <w:jc w:val="both"/>
        <w:rPr>
          <w:sz w:val="20"/>
        </w:rPr>
      </w:pPr>
      <w:r>
        <w:rPr>
          <w:color w:val="231F20"/>
          <w:sz w:val="20"/>
        </w:rPr>
        <w:t>DÍAZ, Alejandro, 2012, </w:t>
      </w:r>
      <w:r>
        <w:rPr>
          <w:i/>
          <w:color w:val="231F20"/>
          <w:sz w:val="20"/>
        </w:rPr>
        <w:t>Políticas migratorias y de desarrollo en México</w:t>
      </w:r>
      <w:r>
        <w:rPr>
          <w:color w:val="231F20"/>
          <w:sz w:val="20"/>
        </w:rPr>
        <w:t>, Porrúa/ Universidad Autónoma de Guerrero, México.</w:t>
      </w:r>
    </w:p>
    <w:p>
      <w:pPr>
        <w:spacing w:line="210" w:lineRule="exact" w:before="113"/>
        <w:ind w:left="120" w:right="112" w:firstLine="0"/>
        <w:jc w:val="both"/>
        <w:rPr>
          <w:sz w:val="20"/>
        </w:rPr>
      </w:pPr>
      <w:r>
        <w:rPr>
          <w:color w:val="231F20"/>
          <w:sz w:val="20"/>
        </w:rPr>
        <w:t>DURAND, Jorge, 2000, “Origen es destino: redes sociales, desarrollo histórico   y escenarios contemporáneos”, en Rodolfo Tuirán (coord.), </w:t>
      </w:r>
      <w:r>
        <w:rPr>
          <w:i/>
          <w:color w:val="231F20"/>
          <w:sz w:val="20"/>
        </w:rPr>
        <w:t>Migración México- </w:t>
      </w:r>
      <w:r>
        <w:rPr>
          <w:i/>
          <w:color w:val="231F20"/>
          <w:sz w:val="20"/>
        </w:rPr>
        <w:t>Estados Unidos: opciones de política, </w:t>
      </w:r>
      <w:r>
        <w:rPr>
          <w:color w:val="231F20"/>
          <w:sz w:val="20"/>
        </w:rPr>
        <w:t>CONAPO/SG/SER,</w:t>
      </w:r>
      <w:r>
        <w:rPr>
          <w:color w:val="231F20"/>
          <w:spacing w:val="-8"/>
          <w:sz w:val="20"/>
        </w:rPr>
        <w:t> </w:t>
      </w:r>
      <w:r>
        <w:rPr>
          <w:color w:val="231F20"/>
          <w:sz w:val="20"/>
        </w:rPr>
        <w:t>México.</w:t>
      </w:r>
    </w:p>
    <w:p>
      <w:pPr>
        <w:spacing w:line="210" w:lineRule="exact" w:before="113"/>
        <w:ind w:left="120" w:right="112" w:firstLine="0"/>
        <w:jc w:val="both"/>
        <w:rPr>
          <w:sz w:val="20"/>
        </w:rPr>
      </w:pPr>
      <w:r>
        <w:rPr>
          <w:color w:val="231F20"/>
          <w:spacing w:val="-5"/>
          <w:sz w:val="20"/>
        </w:rPr>
        <w:t>FARET,</w:t>
      </w:r>
      <w:r>
        <w:rPr>
          <w:color w:val="231F20"/>
          <w:spacing w:val="-10"/>
          <w:sz w:val="20"/>
        </w:rPr>
        <w:t> </w:t>
      </w:r>
      <w:r>
        <w:rPr>
          <w:color w:val="231F20"/>
          <w:sz w:val="20"/>
        </w:rPr>
        <w:t>Laurence,</w:t>
      </w:r>
      <w:r>
        <w:rPr>
          <w:color w:val="231F20"/>
          <w:spacing w:val="-10"/>
          <w:sz w:val="20"/>
        </w:rPr>
        <w:t> </w:t>
      </w:r>
      <w:r>
        <w:rPr>
          <w:color w:val="231F20"/>
          <w:sz w:val="20"/>
        </w:rPr>
        <w:t>1998,</w:t>
      </w:r>
      <w:r>
        <w:rPr>
          <w:color w:val="231F20"/>
          <w:spacing w:val="-10"/>
          <w:sz w:val="20"/>
        </w:rPr>
        <w:t> </w:t>
      </w:r>
      <w:r>
        <w:rPr>
          <w:i/>
          <w:color w:val="231F20"/>
          <w:sz w:val="20"/>
        </w:rPr>
        <w:t>Les</w:t>
      </w:r>
      <w:r>
        <w:rPr>
          <w:i/>
          <w:color w:val="231F20"/>
          <w:spacing w:val="-10"/>
          <w:sz w:val="20"/>
        </w:rPr>
        <w:t> </w:t>
      </w:r>
      <w:r>
        <w:rPr>
          <w:i/>
          <w:color w:val="231F20"/>
          <w:sz w:val="20"/>
        </w:rPr>
        <w:t>territoires</w:t>
      </w:r>
      <w:r>
        <w:rPr>
          <w:i/>
          <w:color w:val="231F20"/>
          <w:spacing w:val="-10"/>
          <w:sz w:val="20"/>
        </w:rPr>
        <w:t> </w:t>
      </w:r>
      <w:r>
        <w:rPr>
          <w:i/>
          <w:color w:val="231F20"/>
          <w:sz w:val="20"/>
        </w:rPr>
        <w:t>de</w:t>
      </w:r>
      <w:r>
        <w:rPr>
          <w:i/>
          <w:color w:val="231F20"/>
          <w:spacing w:val="-10"/>
          <w:sz w:val="20"/>
        </w:rPr>
        <w:t> </w:t>
      </w:r>
      <w:r>
        <w:rPr>
          <w:i/>
          <w:color w:val="231F20"/>
          <w:sz w:val="20"/>
        </w:rPr>
        <w:t>la</w:t>
      </w:r>
      <w:r>
        <w:rPr>
          <w:i/>
          <w:color w:val="231F20"/>
          <w:spacing w:val="-10"/>
          <w:sz w:val="20"/>
        </w:rPr>
        <w:t> </w:t>
      </w:r>
      <w:r>
        <w:rPr>
          <w:i/>
          <w:color w:val="231F20"/>
          <w:sz w:val="20"/>
        </w:rPr>
        <w:t>mobilité.</w:t>
      </w:r>
      <w:r>
        <w:rPr>
          <w:i/>
          <w:color w:val="231F20"/>
          <w:spacing w:val="-10"/>
          <w:sz w:val="20"/>
        </w:rPr>
        <w:t> </w:t>
      </w:r>
      <w:r>
        <w:rPr>
          <w:i/>
          <w:color w:val="231F20"/>
          <w:sz w:val="20"/>
        </w:rPr>
        <w:t>Champ</w:t>
      </w:r>
      <w:r>
        <w:rPr>
          <w:i/>
          <w:color w:val="231F20"/>
          <w:spacing w:val="-10"/>
          <w:sz w:val="20"/>
        </w:rPr>
        <w:t> </w:t>
      </w:r>
      <w:r>
        <w:rPr>
          <w:i/>
          <w:color w:val="231F20"/>
          <w:sz w:val="20"/>
        </w:rPr>
        <w:t>migratoire</w:t>
      </w:r>
      <w:r>
        <w:rPr>
          <w:i/>
          <w:color w:val="231F20"/>
          <w:spacing w:val="-10"/>
          <w:sz w:val="20"/>
        </w:rPr>
        <w:t> </w:t>
      </w:r>
      <w:r>
        <w:rPr>
          <w:i/>
          <w:color w:val="231F20"/>
          <w:sz w:val="20"/>
        </w:rPr>
        <w:t>et</w:t>
      </w:r>
      <w:r>
        <w:rPr>
          <w:i/>
          <w:color w:val="231F20"/>
          <w:spacing w:val="-10"/>
          <w:sz w:val="20"/>
        </w:rPr>
        <w:t> </w:t>
      </w:r>
      <w:r>
        <w:rPr>
          <w:i/>
          <w:color w:val="231F20"/>
          <w:sz w:val="20"/>
        </w:rPr>
        <w:t>espa- </w:t>
      </w:r>
      <w:r>
        <w:rPr>
          <w:i/>
          <w:color w:val="231F20"/>
          <w:sz w:val="20"/>
        </w:rPr>
        <w:t>ces transnationaux entre le Mexique et les Etats Unis</w:t>
      </w:r>
      <w:r>
        <w:rPr>
          <w:color w:val="231F20"/>
          <w:sz w:val="20"/>
        </w:rPr>
        <w:t>, </w:t>
      </w:r>
      <w:r>
        <w:rPr>
          <w:color w:val="231F20"/>
          <w:spacing w:val="-3"/>
          <w:sz w:val="20"/>
        </w:rPr>
        <w:t>Tesis, </w:t>
      </w:r>
      <w:r>
        <w:rPr>
          <w:color w:val="231F20"/>
          <w:sz w:val="20"/>
        </w:rPr>
        <w:t>Doctorado en Geo- grafía,</w:t>
      </w:r>
      <w:r>
        <w:rPr>
          <w:color w:val="231F20"/>
          <w:spacing w:val="-7"/>
          <w:sz w:val="20"/>
        </w:rPr>
        <w:t> </w:t>
      </w:r>
      <w:r>
        <w:rPr>
          <w:color w:val="231F20"/>
          <w:sz w:val="20"/>
        </w:rPr>
        <w:t>Universidad</w:t>
      </w:r>
      <w:r>
        <w:rPr>
          <w:color w:val="231F20"/>
          <w:spacing w:val="-7"/>
          <w:sz w:val="20"/>
        </w:rPr>
        <w:t> </w:t>
      </w:r>
      <w:r>
        <w:rPr>
          <w:color w:val="231F20"/>
          <w:sz w:val="20"/>
        </w:rPr>
        <w:t>de</w:t>
      </w:r>
      <w:r>
        <w:rPr>
          <w:color w:val="231F20"/>
          <w:spacing w:val="-10"/>
          <w:sz w:val="20"/>
        </w:rPr>
        <w:t> </w:t>
      </w:r>
      <w:r>
        <w:rPr>
          <w:color w:val="231F20"/>
          <w:sz w:val="20"/>
        </w:rPr>
        <w:t>Toulouse</w:t>
      </w:r>
      <w:r>
        <w:rPr>
          <w:color w:val="231F20"/>
          <w:spacing w:val="-7"/>
          <w:sz w:val="20"/>
        </w:rPr>
        <w:t> </w:t>
      </w:r>
      <w:r>
        <w:rPr>
          <w:color w:val="231F20"/>
          <w:sz w:val="20"/>
        </w:rPr>
        <w:t>Le</w:t>
      </w:r>
      <w:r>
        <w:rPr>
          <w:color w:val="231F20"/>
          <w:spacing w:val="-7"/>
          <w:sz w:val="20"/>
        </w:rPr>
        <w:t> </w:t>
      </w:r>
      <w:r>
        <w:rPr>
          <w:color w:val="231F20"/>
          <w:sz w:val="20"/>
        </w:rPr>
        <w:t>Mirail,</w:t>
      </w:r>
      <w:r>
        <w:rPr>
          <w:color w:val="231F20"/>
          <w:spacing w:val="-7"/>
          <w:sz w:val="20"/>
        </w:rPr>
        <w:t> </w:t>
      </w:r>
      <w:r>
        <w:rPr>
          <w:color w:val="231F20"/>
          <w:sz w:val="20"/>
        </w:rPr>
        <w:t>Francia.</w:t>
      </w:r>
    </w:p>
    <w:p>
      <w:pPr>
        <w:spacing w:line="210" w:lineRule="exact" w:before="113"/>
        <w:ind w:left="120" w:right="112" w:firstLine="0"/>
        <w:jc w:val="both"/>
        <w:rPr>
          <w:sz w:val="20"/>
        </w:rPr>
      </w:pPr>
      <w:r>
        <w:rPr>
          <w:color w:val="231F20"/>
          <w:sz w:val="20"/>
        </w:rPr>
        <w:t>FERNÁNDEZ, Rafael, Rodolfo García, Roberta Clariond y Ana Vila, 2007, </w:t>
      </w:r>
      <w:r>
        <w:rPr>
          <w:i/>
          <w:color w:val="231F20"/>
          <w:sz w:val="20"/>
        </w:rPr>
        <w:t>Las </w:t>
      </w:r>
      <w:r>
        <w:rPr>
          <w:i/>
          <w:color w:val="231F20"/>
          <w:sz w:val="20"/>
        </w:rPr>
        <w:t>políticas migratorias en los estados de México. Una evaluación</w:t>
      </w:r>
      <w:r>
        <w:rPr>
          <w:color w:val="231F20"/>
          <w:sz w:val="20"/>
        </w:rPr>
        <w:t>, Porrúa/ITAM/ UAZ, Cámara de Diputados LX Legislatura, México.</w:t>
      </w:r>
    </w:p>
    <w:p>
      <w:pPr>
        <w:spacing w:line="210" w:lineRule="exact" w:before="113"/>
        <w:ind w:left="120" w:right="113" w:firstLine="0"/>
        <w:jc w:val="both"/>
        <w:rPr>
          <w:sz w:val="20"/>
        </w:rPr>
      </w:pPr>
      <w:r>
        <w:rPr>
          <w:color w:val="231F20"/>
          <w:sz w:val="20"/>
        </w:rPr>
        <w:t>GASTÉLUM,</w:t>
      </w:r>
      <w:r>
        <w:rPr>
          <w:color w:val="231F20"/>
          <w:spacing w:val="-5"/>
          <w:sz w:val="20"/>
        </w:rPr>
        <w:t> </w:t>
      </w:r>
      <w:r>
        <w:rPr>
          <w:color w:val="231F20"/>
          <w:sz w:val="20"/>
        </w:rPr>
        <w:t>María</w:t>
      </w:r>
      <w:r>
        <w:rPr>
          <w:color w:val="231F20"/>
          <w:spacing w:val="-6"/>
          <w:sz w:val="20"/>
        </w:rPr>
        <w:t> </w:t>
      </w:r>
      <w:r>
        <w:rPr>
          <w:color w:val="231F20"/>
          <w:sz w:val="20"/>
        </w:rPr>
        <w:t>de</w:t>
      </w:r>
      <w:r>
        <w:rPr>
          <w:color w:val="231F20"/>
          <w:spacing w:val="-5"/>
          <w:sz w:val="20"/>
        </w:rPr>
        <w:t> </w:t>
      </w:r>
      <w:r>
        <w:rPr>
          <w:color w:val="231F20"/>
          <w:sz w:val="20"/>
        </w:rPr>
        <w:t>los</w:t>
      </w:r>
      <w:r>
        <w:rPr>
          <w:color w:val="231F20"/>
          <w:spacing w:val="-5"/>
          <w:sz w:val="20"/>
        </w:rPr>
        <w:t> </w:t>
      </w:r>
      <w:r>
        <w:rPr>
          <w:color w:val="231F20"/>
          <w:sz w:val="20"/>
        </w:rPr>
        <w:t>Ángeles,</w:t>
      </w:r>
      <w:r>
        <w:rPr>
          <w:color w:val="231F20"/>
          <w:spacing w:val="-5"/>
          <w:sz w:val="20"/>
        </w:rPr>
        <w:t> </w:t>
      </w:r>
      <w:r>
        <w:rPr>
          <w:color w:val="231F20"/>
          <w:sz w:val="20"/>
        </w:rPr>
        <w:t>1991,</w:t>
      </w:r>
      <w:r>
        <w:rPr>
          <w:color w:val="231F20"/>
          <w:spacing w:val="-6"/>
          <w:sz w:val="20"/>
        </w:rPr>
        <w:t> </w:t>
      </w:r>
      <w:r>
        <w:rPr>
          <w:i/>
          <w:color w:val="231F20"/>
          <w:sz w:val="20"/>
        </w:rPr>
        <w:t>Migración</w:t>
      </w:r>
      <w:r>
        <w:rPr>
          <w:i/>
          <w:color w:val="231F20"/>
          <w:spacing w:val="-6"/>
          <w:sz w:val="20"/>
        </w:rPr>
        <w:t> </w:t>
      </w:r>
      <w:r>
        <w:rPr>
          <w:i/>
          <w:color w:val="231F20"/>
          <w:sz w:val="20"/>
        </w:rPr>
        <w:t>de</w:t>
      </w:r>
      <w:r>
        <w:rPr>
          <w:i/>
          <w:color w:val="231F20"/>
          <w:spacing w:val="-5"/>
          <w:sz w:val="20"/>
        </w:rPr>
        <w:t> </w:t>
      </w:r>
      <w:r>
        <w:rPr>
          <w:i/>
          <w:color w:val="231F20"/>
          <w:sz w:val="20"/>
        </w:rPr>
        <w:t>trabajadores</w:t>
      </w:r>
      <w:r>
        <w:rPr>
          <w:i/>
          <w:color w:val="231F20"/>
          <w:spacing w:val="-6"/>
          <w:sz w:val="20"/>
        </w:rPr>
        <w:t> </w:t>
      </w:r>
      <w:r>
        <w:rPr>
          <w:i/>
          <w:color w:val="231F20"/>
          <w:sz w:val="20"/>
        </w:rPr>
        <w:t>mexicanos </w:t>
      </w:r>
      <w:r>
        <w:rPr>
          <w:i/>
          <w:color w:val="231F20"/>
          <w:sz w:val="20"/>
        </w:rPr>
        <w:t>indocumentados a los Estados Unidos</w:t>
      </w:r>
      <w:r>
        <w:rPr>
          <w:color w:val="231F20"/>
          <w:sz w:val="20"/>
        </w:rPr>
        <w:t>, UNAM,</w:t>
      </w:r>
      <w:r>
        <w:rPr>
          <w:color w:val="231F20"/>
          <w:spacing w:val="-19"/>
          <w:sz w:val="20"/>
        </w:rPr>
        <w:t> </w:t>
      </w:r>
      <w:r>
        <w:rPr>
          <w:color w:val="231F20"/>
          <w:sz w:val="20"/>
        </w:rPr>
        <w:t>México.</w:t>
      </w:r>
    </w:p>
    <w:p>
      <w:pPr>
        <w:spacing w:line="210" w:lineRule="exact" w:before="113"/>
        <w:ind w:left="120" w:right="112" w:firstLine="0"/>
        <w:jc w:val="both"/>
        <w:rPr>
          <w:i/>
          <w:sz w:val="20"/>
        </w:rPr>
      </w:pPr>
      <w:r>
        <w:rPr>
          <w:color w:val="231F20"/>
          <w:sz w:val="20"/>
        </w:rPr>
        <w:t>GOLDRING,</w:t>
      </w:r>
      <w:r>
        <w:rPr>
          <w:color w:val="231F20"/>
          <w:spacing w:val="-9"/>
          <w:sz w:val="20"/>
        </w:rPr>
        <w:t> </w:t>
      </w:r>
      <w:r>
        <w:rPr>
          <w:color w:val="231F20"/>
          <w:sz w:val="20"/>
        </w:rPr>
        <w:t>Luin,</w:t>
      </w:r>
      <w:r>
        <w:rPr>
          <w:color w:val="231F20"/>
          <w:spacing w:val="-9"/>
          <w:sz w:val="20"/>
        </w:rPr>
        <w:t> </w:t>
      </w:r>
      <w:r>
        <w:rPr>
          <w:color w:val="231F20"/>
          <w:sz w:val="20"/>
        </w:rPr>
        <w:t>1998,</w:t>
      </w:r>
      <w:r>
        <w:rPr>
          <w:color w:val="231F20"/>
          <w:spacing w:val="-9"/>
          <w:sz w:val="20"/>
        </w:rPr>
        <w:t> </w:t>
      </w:r>
      <w:r>
        <w:rPr>
          <w:color w:val="231F20"/>
          <w:sz w:val="20"/>
        </w:rPr>
        <w:t>“From</w:t>
      </w:r>
      <w:r>
        <w:rPr>
          <w:color w:val="231F20"/>
          <w:spacing w:val="-9"/>
          <w:sz w:val="20"/>
        </w:rPr>
        <w:t> </w:t>
      </w:r>
      <w:r>
        <w:rPr>
          <w:color w:val="231F20"/>
          <w:sz w:val="20"/>
        </w:rPr>
        <w:t>market</w:t>
      </w:r>
      <w:r>
        <w:rPr>
          <w:color w:val="231F20"/>
          <w:spacing w:val="-9"/>
          <w:sz w:val="20"/>
        </w:rPr>
        <w:t> </w:t>
      </w:r>
      <w:r>
        <w:rPr>
          <w:color w:val="231F20"/>
          <w:sz w:val="20"/>
        </w:rPr>
        <w:t>membership</w:t>
      </w:r>
      <w:r>
        <w:rPr>
          <w:color w:val="231F20"/>
          <w:spacing w:val="-9"/>
          <w:sz w:val="20"/>
        </w:rPr>
        <w:t> </w:t>
      </w:r>
      <w:r>
        <w:rPr>
          <w:color w:val="231F20"/>
          <w:sz w:val="20"/>
        </w:rPr>
        <w:t>to</w:t>
      </w:r>
      <w:r>
        <w:rPr>
          <w:color w:val="231F20"/>
          <w:spacing w:val="-9"/>
          <w:sz w:val="20"/>
        </w:rPr>
        <w:t> </w:t>
      </w:r>
      <w:r>
        <w:rPr>
          <w:color w:val="231F20"/>
          <w:sz w:val="20"/>
        </w:rPr>
        <w:t>transnational</w:t>
      </w:r>
      <w:r>
        <w:rPr>
          <w:color w:val="231F20"/>
          <w:spacing w:val="-9"/>
          <w:sz w:val="20"/>
        </w:rPr>
        <w:t> </w:t>
      </w:r>
      <w:r>
        <w:rPr>
          <w:color w:val="231F20"/>
          <w:sz w:val="20"/>
        </w:rPr>
        <w:t>citizenship? The changing politization of transnational social spaces”, en </w:t>
      </w:r>
      <w:r>
        <w:rPr>
          <w:i/>
          <w:color w:val="231F20"/>
          <w:spacing w:val="-3"/>
          <w:sz w:val="20"/>
        </w:rPr>
        <w:t>L’Ordinaire</w:t>
      </w:r>
      <w:r>
        <w:rPr>
          <w:i/>
          <w:color w:val="231F20"/>
          <w:spacing w:val="40"/>
          <w:sz w:val="20"/>
        </w:rPr>
        <w:t> </w:t>
      </w:r>
      <w:r>
        <w:rPr>
          <w:i/>
          <w:color w:val="231F20"/>
          <w:sz w:val="20"/>
        </w:rPr>
        <w:t>Latino-</w:t>
      </w:r>
    </w:p>
    <w:p>
      <w:pPr>
        <w:spacing w:after="0" w:line="210" w:lineRule="exact"/>
        <w:jc w:val="both"/>
        <w:rPr>
          <w:sz w:val="20"/>
        </w:rPr>
        <w:sectPr>
          <w:footerReference w:type="default" r:id="rId167"/>
          <w:pgSz w:w="9360" w:h="13040"/>
          <w:pgMar w:footer="496" w:header="0" w:top="800" w:bottom="680" w:left="1300" w:right="1300"/>
        </w:sectPr>
      </w:pPr>
    </w:p>
    <w:p>
      <w:pPr>
        <w:spacing w:before="45"/>
        <w:ind w:left="117" w:right="0" w:firstLine="89"/>
        <w:jc w:val="both"/>
        <w:rPr>
          <w:rFonts w:ascii="Arial" w:hAnsi="Arial"/>
          <w:sz w:val="20"/>
        </w:rPr>
      </w:pPr>
      <w:r>
        <w:rPr>
          <w:rFonts w:ascii="Arial" w:hAnsi="Arial"/>
          <w:color w:val="231F20"/>
          <w:w w:val="70"/>
          <w:sz w:val="20"/>
        </w:rPr>
        <w:t>Políticas públicas de la migración transnacional entre México y Estados Unidos /Alejandro  Díaz-Garay</w:t>
      </w:r>
    </w:p>
    <w:p>
      <w:pPr>
        <w:pStyle w:val="BodyText"/>
        <w:rPr>
          <w:rFonts w:ascii="Arial"/>
          <w:sz w:val="20"/>
        </w:rPr>
      </w:pPr>
    </w:p>
    <w:p>
      <w:pPr>
        <w:spacing w:line="210" w:lineRule="exact" w:before="123"/>
        <w:ind w:left="117" w:right="115" w:firstLine="0"/>
        <w:jc w:val="both"/>
        <w:rPr>
          <w:sz w:val="20"/>
        </w:rPr>
      </w:pPr>
      <w:r>
        <w:rPr>
          <w:i/>
          <w:color w:val="231F20"/>
          <w:sz w:val="20"/>
        </w:rPr>
        <w:t>Americain</w:t>
      </w:r>
      <w:r>
        <w:rPr>
          <w:color w:val="231F20"/>
          <w:sz w:val="20"/>
        </w:rPr>
        <w:t>, núms. 173-174, julio-diciembre, tomado de </w:t>
      </w:r>
      <w:hyperlink r:id="rId170">
        <w:r>
          <w:rPr>
            <w:color w:val="231F20"/>
            <w:sz w:val="20"/>
          </w:rPr>
          <w:t>http://rimd.reduaz.mx/do-</w:t>
        </w:r>
      </w:hyperlink>
      <w:r>
        <w:rPr>
          <w:color w:val="231F20"/>
          <w:sz w:val="20"/>
        </w:rPr>
        <w:t> cumentos_miembros/1990620.pdf</w:t>
      </w:r>
    </w:p>
    <w:p>
      <w:pPr>
        <w:spacing w:line="210" w:lineRule="exact" w:before="113"/>
        <w:ind w:left="117" w:right="115" w:firstLine="0"/>
        <w:jc w:val="both"/>
        <w:rPr>
          <w:sz w:val="20"/>
        </w:rPr>
      </w:pPr>
      <w:r>
        <w:rPr>
          <w:color w:val="231F20"/>
          <w:sz w:val="20"/>
        </w:rPr>
        <w:t>GÓMEZ, Dante, 2006, </w:t>
      </w:r>
      <w:r>
        <w:rPr>
          <w:i/>
          <w:color w:val="231F20"/>
          <w:sz w:val="20"/>
        </w:rPr>
        <w:t>Entrevista</w:t>
      </w:r>
      <w:r>
        <w:rPr>
          <w:color w:val="231F20"/>
          <w:sz w:val="20"/>
        </w:rPr>
        <w:t>, responsable de la Oficina de Comunidades Mexicanas del Consulado General de México en Chicago, Chicago.</w:t>
      </w:r>
    </w:p>
    <w:p>
      <w:pPr>
        <w:spacing w:line="210" w:lineRule="exact" w:before="113"/>
        <w:ind w:left="117" w:right="115" w:firstLine="0"/>
        <w:jc w:val="both"/>
        <w:rPr>
          <w:sz w:val="20"/>
        </w:rPr>
      </w:pPr>
      <w:r>
        <w:rPr>
          <w:color w:val="231F20"/>
          <w:sz w:val="20"/>
        </w:rPr>
        <w:t>JIMÉNEZ,</w:t>
      </w:r>
      <w:r>
        <w:rPr>
          <w:color w:val="231F20"/>
          <w:spacing w:val="-5"/>
          <w:sz w:val="20"/>
        </w:rPr>
        <w:t> </w:t>
      </w:r>
      <w:r>
        <w:rPr>
          <w:color w:val="231F20"/>
          <w:sz w:val="20"/>
        </w:rPr>
        <w:t>Margarita</w:t>
      </w:r>
      <w:r>
        <w:rPr>
          <w:color w:val="231F20"/>
          <w:spacing w:val="-5"/>
          <w:sz w:val="20"/>
        </w:rPr>
        <w:t> </w:t>
      </w:r>
      <w:r>
        <w:rPr>
          <w:color w:val="231F20"/>
          <w:sz w:val="20"/>
        </w:rPr>
        <w:t>y</w:t>
      </w:r>
      <w:r>
        <w:rPr>
          <w:color w:val="231F20"/>
          <w:spacing w:val="-5"/>
          <w:sz w:val="20"/>
        </w:rPr>
        <w:t> </w:t>
      </w:r>
      <w:r>
        <w:rPr>
          <w:color w:val="231F20"/>
          <w:sz w:val="20"/>
        </w:rPr>
        <w:t>Silvestre</w:t>
      </w:r>
      <w:r>
        <w:rPr>
          <w:color w:val="231F20"/>
          <w:spacing w:val="-5"/>
          <w:sz w:val="20"/>
        </w:rPr>
        <w:t> </w:t>
      </w:r>
      <w:r>
        <w:rPr>
          <w:color w:val="231F20"/>
          <w:sz w:val="20"/>
        </w:rPr>
        <w:t>Licea,</w:t>
      </w:r>
      <w:r>
        <w:rPr>
          <w:color w:val="231F20"/>
          <w:spacing w:val="-5"/>
          <w:sz w:val="20"/>
        </w:rPr>
        <w:t> </w:t>
      </w:r>
      <w:r>
        <w:rPr>
          <w:color w:val="231F20"/>
          <w:sz w:val="20"/>
        </w:rPr>
        <w:t>2006,</w:t>
      </w:r>
      <w:r>
        <w:rPr>
          <w:color w:val="231F20"/>
          <w:spacing w:val="-5"/>
          <w:sz w:val="20"/>
        </w:rPr>
        <w:t> </w:t>
      </w:r>
      <w:r>
        <w:rPr>
          <w:color w:val="231F20"/>
          <w:sz w:val="20"/>
        </w:rPr>
        <w:t>“Elites</w:t>
      </w:r>
      <w:r>
        <w:rPr>
          <w:color w:val="231F20"/>
          <w:spacing w:val="-5"/>
          <w:sz w:val="20"/>
        </w:rPr>
        <w:t> </w:t>
      </w:r>
      <w:r>
        <w:rPr>
          <w:color w:val="231F20"/>
          <w:sz w:val="20"/>
        </w:rPr>
        <w:t>parlamentarias</w:t>
      </w:r>
      <w:r>
        <w:rPr>
          <w:color w:val="231F20"/>
          <w:spacing w:val="-5"/>
          <w:sz w:val="20"/>
        </w:rPr>
        <w:t> </w:t>
      </w:r>
      <w:r>
        <w:rPr>
          <w:color w:val="231F20"/>
          <w:sz w:val="20"/>
        </w:rPr>
        <w:t>en</w:t>
      </w:r>
      <w:r>
        <w:rPr>
          <w:color w:val="231F20"/>
          <w:spacing w:val="-5"/>
          <w:sz w:val="20"/>
        </w:rPr>
        <w:t> </w:t>
      </w:r>
      <w:r>
        <w:rPr>
          <w:color w:val="231F20"/>
          <w:sz w:val="20"/>
        </w:rPr>
        <w:t>Guerrero: perfil sociodemográfico de la </w:t>
      </w:r>
      <w:r>
        <w:rPr>
          <w:color w:val="231F20"/>
          <w:spacing w:val="-5"/>
          <w:sz w:val="20"/>
        </w:rPr>
        <w:t>LVII </w:t>
      </w:r>
      <w:r>
        <w:rPr>
          <w:color w:val="231F20"/>
          <w:sz w:val="20"/>
        </w:rPr>
        <w:t>Legislatura (2002-2005)”, en </w:t>
      </w:r>
      <w:r>
        <w:rPr>
          <w:i/>
          <w:color w:val="231F20"/>
          <w:sz w:val="20"/>
        </w:rPr>
        <w:t>El Cotidiano</w:t>
      </w:r>
      <w:r>
        <w:rPr>
          <w:color w:val="231F20"/>
          <w:sz w:val="20"/>
        </w:rPr>
        <w:t>, julio-agosto, 21: 138, Universidad Autónoma Metropolitana,</w:t>
      </w:r>
      <w:r>
        <w:rPr>
          <w:color w:val="231F20"/>
          <w:spacing w:val="-12"/>
          <w:sz w:val="20"/>
        </w:rPr>
        <w:t> </w:t>
      </w:r>
      <w:r>
        <w:rPr>
          <w:color w:val="231F20"/>
          <w:sz w:val="20"/>
        </w:rPr>
        <w:t>México.</w:t>
      </w:r>
    </w:p>
    <w:p>
      <w:pPr>
        <w:spacing w:line="210" w:lineRule="exact" w:before="113"/>
        <w:ind w:left="117" w:right="115" w:firstLine="0"/>
        <w:jc w:val="both"/>
        <w:rPr>
          <w:sz w:val="20"/>
        </w:rPr>
      </w:pPr>
      <w:r>
        <w:rPr>
          <w:color w:val="231F20"/>
          <w:spacing w:val="-4"/>
          <w:sz w:val="20"/>
        </w:rPr>
        <w:t>KEARNEY, </w:t>
      </w:r>
      <w:r>
        <w:rPr>
          <w:color w:val="231F20"/>
          <w:sz w:val="20"/>
        </w:rPr>
        <w:t>Michael y Carole Nagengast, 1989, </w:t>
      </w:r>
      <w:r>
        <w:rPr>
          <w:i/>
          <w:color w:val="231F20"/>
          <w:sz w:val="20"/>
        </w:rPr>
        <w:t>Anthropological perspectives on </w:t>
      </w:r>
      <w:r>
        <w:rPr>
          <w:i/>
          <w:color w:val="231F20"/>
          <w:sz w:val="20"/>
        </w:rPr>
        <w:t>transnational</w:t>
      </w:r>
      <w:r>
        <w:rPr>
          <w:i/>
          <w:color w:val="231F20"/>
          <w:spacing w:val="-7"/>
          <w:sz w:val="20"/>
        </w:rPr>
        <w:t> </w:t>
      </w:r>
      <w:r>
        <w:rPr>
          <w:i/>
          <w:color w:val="231F20"/>
          <w:sz w:val="20"/>
        </w:rPr>
        <w:t>communities</w:t>
      </w:r>
      <w:r>
        <w:rPr>
          <w:i/>
          <w:color w:val="231F20"/>
          <w:spacing w:val="-7"/>
          <w:sz w:val="20"/>
        </w:rPr>
        <w:t> </w:t>
      </w:r>
      <w:r>
        <w:rPr>
          <w:i/>
          <w:color w:val="231F20"/>
          <w:sz w:val="20"/>
        </w:rPr>
        <w:t>in</w:t>
      </w:r>
      <w:r>
        <w:rPr>
          <w:i/>
          <w:color w:val="231F20"/>
          <w:spacing w:val="-7"/>
          <w:sz w:val="20"/>
        </w:rPr>
        <w:t> </w:t>
      </w:r>
      <w:r>
        <w:rPr>
          <w:i/>
          <w:color w:val="231F20"/>
          <w:sz w:val="20"/>
        </w:rPr>
        <w:t>rural</w:t>
      </w:r>
      <w:r>
        <w:rPr>
          <w:i/>
          <w:color w:val="231F20"/>
          <w:spacing w:val="-6"/>
          <w:sz w:val="20"/>
        </w:rPr>
        <w:t> </w:t>
      </w:r>
      <w:r>
        <w:rPr>
          <w:i/>
          <w:color w:val="231F20"/>
          <w:sz w:val="20"/>
        </w:rPr>
        <w:t>California</w:t>
      </w:r>
      <w:r>
        <w:rPr>
          <w:color w:val="231F20"/>
          <w:sz w:val="20"/>
        </w:rPr>
        <w:t>,</w:t>
      </w:r>
      <w:r>
        <w:rPr>
          <w:color w:val="231F20"/>
          <w:spacing w:val="-7"/>
          <w:sz w:val="20"/>
        </w:rPr>
        <w:t> </w:t>
      </w:r>
      <w:r>
        <w:rPr>
          <w:color w:val="231F20"/>
          <w:sz w:val="20"/>
        </w:rPr>
        <w:t>California</w:t>
      </w:r>
      <w:r>
        <w:rPr>
          <w:color w:val="231F20"/>
          <w:spacing w:val="-7"/>
          <w:sz w:val="20"/>
        </w:rPr>
        <w:t> </w:t>
      </w:r>
      <w:r>
        <w:rPr>
          <w:color w:val="231F20"/>
          <w:sz w:val="20"/>
        </w:rPr>
        <w:t>Institute</w:t>
      </w:r>
      <w:r>
        <w:rPr>
          <w:color w:val="231F20"/>
          <w:spacing w:val="-7"/>
          <w:sz w:val="20"/>
        </w:rPr>
        <w:t> </w:t>
      </w:r>
      <w:r>
        <w:rPr>
          <w:color w:val="231F20"/>
          <w:sz w:val="20"/>
        </w:rPr>
        <w:t>for</w:t>
      </w:r>
      <w:r>
        <w:rPr>
          <w:color w:val="231F20"/>
          <w:spacing w:val="-7"/>
          <w:sz w:val="20"/>
        </w:rPr>
        <w:t> </w:t>
      </w:r>
      <w:r>
        <w:rPr>
          <w:color w:val="231F20"/>
          <w:sz w:val="20"/>
        </w:rPr>
        <w:t>Rural</w:t>
      </w:r>
      <w:r>
        <w:rPr>
          <w:color w:val="231F20"/>
          <w:spacing w:val="-7"/>
          <w:sz w:val="20"/>
        </w:rPr>
        <w:t> </w:t>
      </w:r>
      <w:r>
        <w:rPr>
          <w:color w:val="231F20"/>
          <w:sz w:val="20"/>
        </w:rPr>
        <w:t>Stud- ies, </w:t>
      </w:r>
      <w:r>
        <w:rPr>
          <w:color w:val="231F20"/>
          <w:spacing w:val="-3"/>
          <w:sz w:val="20"/>
        </w:rPr>
        <w:t>Working </w:t>
      </w:r>
      <w:r>
        <w:rPr>
          <w:color w:val="231F20"/>
          <w:sz w:val="20"/>
        </w:rPr>
        <w:t>Paper núm. 3.</w:t>
      </w:r>
    </w:p>
    <w:p>
      <w:pPr>
        <w:spacing w:line="210" w:lineRule="exact" w:before="113"/>
        <w:ind w:left="117" w:right="115" w:firstLine="0"/>
        <w:jc w:val="both"/>
        <w:rPr>
          <w:sz w:val="20"/>
        </w:rPr>
      </w:pPr>
      <w:r>
        <w:rPr>
          <w:color w:val="231F20"/>
          <w:sz w:val="20"/>
        </w:rPr>
        <w:t>MOCTEZUMA, Miguel, 2009, “Laguna Grande: etnografía de un circuito social transnacional de sistema migratorio maduro”, en María Elena Ramos, (coord.), </w:t>
      </w:r>
      <w:r>
        <w:rPr>
          <w:i/>
          <w:color w:val="231F20"/>
          <w:sz w:val="20"/>
        </w:rPr>
        <w:t>Migración e identidad: emociones, familia, cultura</w:t>
      </w:r>
      <w:r>
        <w:rPr>
          <w:color w:val="231F20"/>
          <w:sz w:val="20"/>
        </w:rPr>
        <w:t>, Fondo Editorial de Nuevo León, México.</w:t>
      </w:r>
    </w:p>
    <w:p>
      <w:pPr>
        <w:spacing w:line="210" w:lineRule="exact" w:before="113"/>
        <w:ind w:left="117" w:right="115" w:firstLine="0"/>
        <w:jc w:val="both"/>
        <w:rPr>
          <w:sz w:val="20"/>
        </w:rPr>
      </w:pPr>
      <w:r>
        <w:rPr>
          <w:color w:val="231F20"/>
          <w:sz w:val="20"/>
        </w:rPr>
        <w:t>POGEG,</w:t>
      </w:r>
      <w:r>
        <w:rPr>
          <w:color w:val="231F20"/>
          <w:spacing w:val="-12"/>
          <w:sz w:val="20"/>
        </w:rPr>
        <w:t> </w:t>
      </w:r>
      <w:r>
        <w:rPr>
          <w:color w:val="231F20"/>
          <w:sz w:val="20"/>
        </w:rPr>
        <w:t>1991,</w:t>
      </w:r>
      <w:r>
        <w:rPr>
          <w:color w:val="231F20"/>
          <w:spacing w:val="-12"/>
          <w:sz w:val="20"/>
        </w:rPr>
        <w:t> </w:t>
      </w:r>
      <w:r>
        <w:rPr>
          <w:i/>
          <w:color w:val="231F20"/>
          <w:sz w:val="20"/>
        </w:rPr>
        <w:t>Acuerdo</w:t>
      </w:r>
      <w:r>
        <w:rPr>
          <w:i/>
          <w:color w:val="231F20"/>
          <w:spacing w:val="-12"/>
          <w:sz w:val="20"/>
        </w:rPr>
        <w:t> </w:t>
      </w:r>
      <w:r>
        <w:rPr>
          <w:i/>
          <w:color w:val="231F20"/>
          <w:sz w:val="20"/>
        </w:rPr>
        <w:t>para</w:t>
      </w:r>
      <w:r>
        <w:rPr>
          <w:i/>
          <w:color w:val="231F20"/>
          <w:spacing w:val="-13"/>
          <w:sz w:val="20"/>
        </w:rPr>
        <w:t> </w:t>
      </w:r>
      <w:r>
        <w:rPr>
          <w:i/>
          <w:color w:val="231F20"/>
          <w:sz w:val="20"/>
        </w:rPr>
        <w:t>la</w:t>
      </w:r>
      <w:r>
        <w:rPr>
          <w:i/>
          <w:color w:val="231F20"/>
          <w:spacing w:val="-13"/>
          <w:sz w:val="20"/>
        </w:rPr>
        <w:t> </w:t>
      </w:r>
      <w:r>
        <w:rPr>
          <w:i/>
          <w:color w:val="231F20"/>
          <w:sz w:val="20"/>
        </w:rPr>
        <w:t>promoción</w:t>
      </w:r>
      <w:r>
        <w:rPr>
          <w:i/>
          <w:color w:val="231F20"/>
          <w:spacing w:val="-12"/>
          <w:sz w:val="20"/>
        </w:rPr>
        <w:t> </w:t>
      </w:r>
      <w:r>
        <w:rPr>
          <w:i/>
          <w:color w:val="231F20"/>
          <w:sz w:val="20"/>
        </w:rPr>
        <w:t>de</w:t>
      </w:r>
      <w:r>
        <w:rPr>
          <w:i/>
          <w:color w:val="231F20"/>
          <w:spacing w:val="-12"/>
          <w:sz w:val="20"/>
        </w:rPr>
        <w:t> </w:t>
      </w:r>
      <w:r>
        <w:rPr>
          <w:i/>
          <w:color w:val="231F20"/>
          <w:sz w:val="20"/>
        </w:rPr>
        <w:t>comités</w:t>
      </w:r>
      <w:r>
        <w:rPr>
          <w:i/>
          <w:color w:val="231F20"/>
          <w:spacing w:val="-13"/>
          <w:sz w:val="20"/>
        </w:rPr>
        <w:t> </w:t>
      </w:r>
      <w:r>
        <w:rPr>
          <w:i/>
          <w:color w:val="231F20"/>
          <w:sz w:val="20"/>
        </w:rPr>
        <w:t>mixtos</w:t>
      </w:r>
      <w:r>
        <w:rPr>
          <w:i/>
          <w:color w:val="231F20"/>
          <w:spacing w:val="-12"/>
          <w:sz w:val="20"/>
        </w:rPr>
        <w:t> </w:t>
      </w:r>
      <w:r>
        <w:rPr>
          <w:i/>
          <w:color w:val="231F20"/>
          <w:sz w:val="20"/>
        </w:rPr>
        <w:t>para</w:t>
      </w:r>
      <w:r>
        <w:rPr>
          <w:i/>
          <w:color w:val="231F20"/>
          <w:spacing w:val="-13"/>
          <w:sz w:val="20"/>
        </w:rPr>
        <w:t> </w:t>
      </w:r>
      <w:r>
        <w:rPr>
          <w:i/>
          <w:color w:val="231F20"/>
          <w:sz w:val="20"/>
        </w:rPr>
        <w:t>la</w:t>
      </w:r>
      <w:r>
        <w:rPr>
          <w:i/>
          <w:color w:val="231F20"/>
          <w:spacing w:val="-13"/>
          <w:sz w:val="20"/>
        </w:rPr>
        <w:t> </w:t>
      </w:r>
      <w:r>
        <w:rPr>
          <w:i/>
          <w:color w:val="231F20"/>
          <w:sz w:val="20"/>
        </w:rPr>
        <w:t>ejecución</w:t>
      </w:r>
      <w:r>
        <w:rPr>
          <w:i/>
          <w:color w:val="231F20"/>
          <w:spacing w:val="-13"/>
          <w:sz w:val="20"/>
        </w:rPr>
        <w:t> </w:t>
      </w:r>
      <w:r>
        <w:rPr>
          <w:i/>
          <w:color w:val="231F20"/>
          <w:sz w:val="20"/>
        </w:rPr>
        <w:t>de </w:t>
      </w:r>
      <w:r>
        <w:rPr>
          <w:i/>
          <w:color w:val="231F20"/>
          <w:sz w:val="20"/>
        </w:rPr>
        <w:t>obras</w:t>
      </w:r>
      <w:r>
        <w:rPr>
          <w:i/>
          <w:color w:val="231F20"/>
          <w:spacing w:val="-7"/>
          <w:sz w:val="20"/>
        </w:rPr>
        <w:t> </w:t>
      </w:r>
      <w:r>
        <w:rPr>
          <w:i/>
          <w:color w:val="231F20"/>
          <w:sz w:val="20"/>
        </w:rPr>
        <w:t>y</w:t>
      </w:r>
      <w:r>
        <w:rPr>
          <w:i/>
          <w:color w:val="231F20"/>
          <w:spacing w:val="-7"/>
          <w:sz w:val="20"/>
        </w:rPr>
        <w:t> </w:t>
      </w:r>
      <w:r>
        <w:rPr>
          <w:i/>
          <w:color w:val="231F20"/>
          <w:sz w:val="20"/>
        </w:rPr>
        <w:t>servicios</w:t>
      </w:r>
      <w:r>
        <w:rPr>
          <w:i/>
          <w:color w:val="231F20"/>
          <w:spacing w:val="-6"/>
          <w:sz w:val="20"/>
        </w:rPr>
        <w:t> </w:t>
      </w:r>
      <w:r>
        <w:rPr>
          <w:i/>
          <w:color w:val="231F20"/>
          <w:sz w:val="20"/>
        </w:rPr>
        <w:t>públicos</w:t>
      </w:r>
      <w:r>
        <w:rPr>
          <w:i/>
          <w:color w:val="231F20"/>
          <w:spacing w:val="-7"/>
          <w:sz w:val="20"/>
        </w:rPr>
        <w:t> </w:t>
      </w:r>
      <w:r>
        <w:rPr>
          <w:i/>
          <w:color w:val="231F20"/>
          <w:sz w:val="20"/>
        </w:rPr>
        <w:t>con</w:t>
      </w:r>
      <w:r>
        <w:rPr>
          <w:i/>
          <w:color w:val="231F20"/>
          <w:spacing w:val="-7"/>
          <w:sz w:val="20"/>
        </w:rPr>
        <w:t> </w:t>
      </w:r>
      <w:r>
        <w:rPr>
          <w:i/>
          <w:color w:val="231F20"/>
          <w:sz w:val="20"/>
        </w:rPr>
        <w:t>la</w:t>
      </w:r>
      <w:r>
        <w:rPr>
          <w:i/>
          <w:color w:val="231F20"/>
          <w:spacing w:val="-7"/>
          <w:sz w:val="20"/>
        </w:rPr>
        <w:t> </w:t>
      </w:r>
      <w:r>
        <w:rPr>
          <w:i/>
          <w:color w:val="231F20"/>
          <w:sz w:val="20"/>
        </w:rPr>
        <w:t>participación</w:t>
      </w:r>
      <w:r>
        <w:rPr>
          <w:i/>
          <w:color w:val="231F20"/>
          <w:spacing w:val="-7"/>
          <w:sz w:val="20"/>
        </w:rPr>
        <w:t> </w:t>
      </w:r>
      <w:r>
        <w:rPr>
          <w:i/>
          <w:color w:val="231F20"/>
          <w:sz w:val="20"/>
        </w:rPr>
        <w:t>de</w:t>
      </w:r>
      <w:r>
        <w:rPr>
          <w:i/>
          <w:color w:val="231F20"/>
          <w:spacing w:val="-7"/>
          <w:sz w:val="20"/>
        </w:rPr>
        <w:t> </w:t>
      </w:r>
      <w:r>
        <w:rPr>
          <w:i/>
          <w:color w:val="231F20"/>
          <w:sz w:val="20"/>
        </w:rPr>
        <w:t>guerrerenses</w:t>
      </w:r>
      <w:r>
        <w:rPr>
          <w:i/>
          <w:color w:val="231F20"/>
          <w:spacing w:val="-7"/>
          <w:sz w:val="20"/>
        </w:rPr>
        <w:t> </w:t>
      </w:r>
      <w:r>
        <w:rPr>
          <w:i/>
          <w:color w:val="231F20"/>
          <w:sz w:val="20"/>
        </w:rPr>
        <w:t>que</w:t>
      </w:r>
      <w:r>
        <w:rPr>
          <w:i/>
          <w:color w:val="231F20"/>
          <w:spacing w:val="-7"/>
          <w:sz w:val="20"/>
        </w:rPr>
        <w:t> </w:t>
      </w:r>
      <w:r>
        <w:rPr>
          <w:i/>
          <w:color w:val="231F20"/>
          <w:sz w:val="20"/>
        </w:rPr>
        <w:t>permanente</w:t>
      </w:r>
      <w:r>
        <w:rPr>
          <w:i/>
          <w:color w:val="231F20"/>
          <w:spacing w:val="-7"/>
          <w:sz w:val="20"/>
        </w:rPr>
        <w:t> </w:t>
      </w:r>
      <w:r>
        <w:rPr>
          <w:i/>
          <w:color w:val="231F20"/>
          <w:sz w:val="20"/>
        </w:rPr>
        <w:t>o temporalmente residen en el exterior</w:t>
      </w:r>
      <w:r>
        <w:rPr>
          <w:color w:val="231F20"/>
          <w:sz w:val="20"/>
        </w:rPr>
        <w:t>, periódico oficial del gobierno del estado de Guerrero (POGEG) LXXII: 36, 30 de abril, Chilpancingo.</w:t>
      </w:r>
    </w:p>
    <w:p>
      <w:pPr>
        <w:spacing w:line="210" w:lineRule="exact" w:before="113"/>
        <w:ind w:left="117" w:right="115" w:firstLine="0"/>
        <w:jc w:val="both"/>
        <w:rPr>
          <w:sz w:val="20"/>
        </w:rPr>
      </w:pPr>
      <w:r>
        <w:rPr>
          <w:color w:val="231F20"/>
          <w:sz w:val="20"/>
        </w:rPr>
        <w:t>RODRÍGUEZ, Héctor, 2012, “El papel de los migrantes mexicanos en la cons- trucción de una agenda de políticas públicas. El caso del Programa 3x1”, en </w:t>
      </w:r>
      <w:r>
        <w:rPr>
          <w:i/>
          <w:color w:val="231F20"/>
          <w:sz w:val="20"/>
        </w:rPr>
        <w:t>Re- </w:t>
      </w:r>
      <w:r>
        <w:rPr>
          <w:i/>
          <w:color w:val="231F20"/>
          <w:sz w:val="20"/>
        </w:rPr>
        <w:t>gión y Sociedad</w:t>
      </w:r>
      <w:r>
        <w:rPr>
          <w:color w:val="231F20"/>
          <w:sz w:val="20"/>
        </w:rPr>
        <w:t>, año XXIV, núm. 53.</w:t>
      </w:r>
    </w:p>
    <w:p>
      <w:pPr>
        <w:spacing w:line="210" w:lineRule="exact" w:before="113"/>
        <w:ind w:left="117" w:right="115" w:firstLine="0"/>
        <w:jc w:val="both"/>
        <w:rPr>
          <w:sz w:val="20"/>
        </w:rPr>
      </w:pPr>
      <w:r>
        <w:rPr>
          <w:color w:val="231F20"/>
          <w:sz w:val="20"/>
        </w:rPr>
        <w:t>ROLDÁN, Genoveva, 2004, “Política migratoria mexicana”, en Raúl Delgado y Margarita</w:t>
      </w:r>
      <w:r>
        <w:rPr>
          <w:color w:val="231F20"/>
          <w:spacing w:val="-9"/>
          <w:sz w:val="20"/>
        </w:rPr>
        <w:t> </w:t>
      </w:r>
      <w:r>
        <w:rPr>
          <w:color w:val="231F20"/>
          <w:sz w:val="20"/>
        </w:rPr>
        <w:t>Favela</w:t>
      </w:r>
      <w:r>
        <w:rPr>
          <w:color w:val="231F20"/>
          <w:spacing w:val="-9"/>
          <w:sz w:val="20"/>
        </w:rPr>
        <w:t> </w:t>
      </w:r>
      <w:r>
        <w:rPr>
          <w:color w:val="231F20"/>
          <w:sz w:val="20"/>
        </w:rPr>
        <w:t>(coords.),</w:t>
      </w:r>
      <w:r>
        <w:rPr>
          <w:color w:val="231F20"/>
          <w:spacing w:val="-9"/>
          <w:sz w:val="20"/>
        </w:rPr>
        <w:t> </w:t>
      </w:r>
      <w:r>
        <w:rPr>
          <w:i/>
          <w:color w:val="231F20"/>
          <w:sz w:val="20"/>
        </w:rPr>
        <w:t>Nuevas</w:t>
      </w:r>
      <w:r>
        <w:rPr>
          <w:i/>
          <w:color w:val="231F20"/>
          <w:spacing w:val="-9"/>
          <w:sz w:val="20"/>
        </w:rPr>
        <w:t> </w:t>
      </w:r>
      <w:r>
        <w:rPr>
          <w:i/>
          <w:color w:val="231F20"/>
          <w:sz w:val="20"/>
        </w:rPr>
        <w:t>tendencias</w:t>
      </w:r>
      <w:r>
        <w:rPr>
          <w:i/>
          <w:color w:val="231F20"/>
          <w:spacing w:val="-10"/>
          <w:sz w:val="20"/>
        </w:rPr>
        <w:t> </w:t>
      </w:r>
      <w:r>
        <w:rPr>
          <w:i/>
          <w:color w:val="231F20"/>
          <w:sz w:val="20"/>
        </w:rPr>
        <w:t>y</w:t>
      </w:r>
      <w:r>
        <w:rPr>
          <w:i/>
          <w:color w:val="231F20"/>
          <w:spacing w:val="-9"/>
          <w:sz w:val="20"/>
        </w:rPr>
        <w:t> </w:t>
      </w:r>
      <w:r>
        <w:rPr>
          <w:i/>
          <w:color w:val="231F20"/>
          <w:sz w:val="20"/>
        </w:rPr>
        <w:t>desafíos</w:t>
      </w:r>
      <w:r>
        <w:rPr>
          <w:i/>
          <w:color w:val="231F20"/>
          <w:spacing w:val="-9"/>
          <w:sz w:val="20"/>
        </w:rPr>
        <w:t> </w:t>
      </w:r>
      <w:r>
        <w:rPr>
          <w:i/>
          <w:color w:val="231F20"/>
          <w:sz w:val="20"/>
        </w:rPr>
        <w:t>de</w:t>
      </w:r>
      <w:r>
        <w:rPr>
          <w:i/>
          <w:color w:val="231F20"/>
          <w:spacing w:val="-9"/>
          <w:sz w:val="20"/>
        </w:rPr>
        <w:t> </w:t>
      </w:r>
      <w:r>
        <w:rPr>
          <w:i/>
          <w:color w:val="231F20"/>
          <w:sz w:val="20"/>
        </w:rPr>
        <w:t>la</w:t>
      </w:r>
      <w:r>
        <w:rPr>
          <w:i/>
          <w:color w:val="231F20"/>
          <w:spacing w:val="-9"/>
          <w:sz w:val="20"/>
        </w:rPr>
        <w:t> </w:t>
      </w:r>
      <w:r>
        <w:rPr>
          <w:i/>
          <w:color w:val="231F20"/>
          <w:sz w:val="20"/>
        </w:rPr>
        <w:t>migración</w:t>
      </w:r>
      <w:r>
        <w:rPr>
          <w:i/>
          <w:color w:val="231F20"/>
          <w:spacing w:val="-8"/>
          <w:sz w:val="20"/>
        </w:rPr>
        <w:t> </w:t>
      </w:r>
      <w:r>
        <w:rPr>
          <w:i/>
          <w:color w:val="231F20"/>
          <w:sz w:val="20"/>
        </w:rPr>
        <w:t>interna- </w:t>
      </w:r>
      <w:r>
        <w:rPr>
          <w:i/>
          <w:color w:val="231F20"/>
          <w:sz w:val="20"/>
        </w:rPr>
        <w:t>cional México-Estados Unidos</w:t>
      </w:r>
      <w:r>
        <w:rPr>
          <w:color w:val="231F20"/>
          <w:sz w:val="20"/>
        </w:rPr>
        <w:t>, UAZ/Porrúa,</w:t>
      </w:r>
      <w:r>
        <w:rPr>
          <w:color w:val="231F20"/>
          <w:spacing w:val="-7"/>
          <w:sz w:val="20"/>
        </w:rPr>
        <w:t> </w:t>
      </w:r>
      <w:r>
        <w:rPr>
          <w:color w:val="231F20"/>
          <w:sz w:val="20"/>
        </w:rPr>
        <w:t>México.</w:t>
      </w:r>
    </w:p>
    <w:p>
      <w:pPr>
        <w:spacing w:line="210" w:lineRule="exact" w:before="113"/>
        <w:ind w:left="117" w:right="115" w:firstLine="0"/>
        <w:jc w:val="both"/>
        <w:rPr>
          <w:sz w:val="20"/>
        </w:rPr>
      </w:pPr>
      <w:r>
        <w:rPr>
          <w:color w:val="231F20"/>
          <w:sz w:val="20"/>
        </w:rPr>
        <w:t>SANDOVAL, Cuauhtémoc, 2008, </w:t>
      </w:r>
      <w:r>
        <w:rPr>
          <w:i/>
          <w:color w:val="231F20"/>
          <w:sz w:val="20"/>
        </w:rPr>
        <w:t>Guerrero en la transición</w:t>
      </w:r>
      <w:r>
        <w:rPr>
          <w:color w:val="231F20"/>
          <w:sz w:val="20"/>
        </w:rPr>
        <w:t>, Cámara de Diputa- dos, México.</w:t>
      </w:r>
    </w:p>
    <w:p>
      <w:pPr>
        <w:spacing w:line="210" w:lineRule="exact" w:before="113"/>
        <w:ind w:left="117" w:right="115" w:firstLine="0"/>
        <w:jc w:val="both"/>
        <w:rPr>
          <w:sz w:val="20"/>
        </w:rPr>
      </w:pPr>
      <w:r>
        <w:rPr>
          <w:color w:val="231F20"/>
          <w:sz w:val="20"/>
        </w:rPr>
        <w:t>VALENZUELA, M. Basilia, 2007, “Definición de acciones y políticas públicas estatales hacia la migración a Estados Unidos. El papel de las organizaciones de migrantes”, en Rafael Fernández, Rodolfo García, Roberta Clariond y Ana Vila (coords.), </w:t>
      </w:r>
      <w:r>
        <w:rPr>
          <w:i/>
          <w:color w:val="231F20"/>
          <w:sz w:val="20"/>
        </w:rPr>
        <w:t>Las políticas migratorias en los estados de México. Una evaluación</w:t>
      </w:r>
      <w:r>
        <w:rPr>
          <w:color w:val="231F20"/>
          <w:sz w:val="20"/>
        </w:rPr>
        <w:t>, Porrúa/ITAM/UAZ, Cámara de Diputados LX Legislatura, México.</w:t>
      </w:r>
    </w:p>
    <w:p>
      <w:pPr>
        <w:spacing w:after="0" w:line="210" w:lineRule="exact"/>
        <w:jc w:val="both"/>
        <w:rPr>
          <w:sz w:val="20"/>
        </w:rPr>
        <w:sectPr>
          <w:footerReference w:type="default" r:id="rId169"/>
          <w:pgSz w:w="9360" w:h="13040"/>
          <w:pgMar w:footer="496" w:header="0" w:top="740" w:bottom="680" w:left="1300" w:right="1300"/>
          <w:pgNumType w:start="191"/>
        </w:sectPr>
      </w:pPr>
    </w:p>
    <w:p>
      <w:pPr>
        <w:tabs>
          <w:tab w:pos="5536" w:val="left" w:leader="none"/>
        </w:tabs>
        <w:spacing w:before="51"/>
        <w:ind w:left="128" w:right="0" w:firstLine="0"/>
        <w:jc w:val="both"/>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spacing w:before="1"/>
        <w:ind w:left="117" w:right="0" w:firstLine="0"/>
        <w:jc w:val="both"/>
        <w:rPr>
          <w:i/>
          <w:sz w:val="22"/>
        </w:rPr>
      </w:pPr>
      <w:r>
        <w:rPr>
          <w:i/>
          <w:color w:val="231F20"/>
          <w:sz w:val="22"/>
        </w:rPr>
        <w:t>Alejandro Díaz-Garay</w:t>
      </w:r>
    </w:p>
    <w:p>
      <w:pPr>
        <w:pStyle w:val="BodyText"/>
        <w:spacing w:before="2"/>
        <w:rPr>
          <w:i/>
          <w:sz w:val="23"/>
        </w:rPr>
      </w:pPr>
    </w:p>
    <w:p>
      <w:pPr>
        <w:spacing w:line="247" w:lineRule="auto" w:before="0"/>
        <w:ind w:left="117" w:right="114" w:firstLine="0"/>
        <w:jc w:val="both"/>
        <w:rPr>
          <w:sz w:val="22"/>
        </w:rPr>
      </w:pPr>
      <w:r>
        <w:rPr>
          <w:color w:val="231F20"/>
          <w:sz w:val="22"/>
        </w:rPr>
        <w:t>Doctor en Geografía por la Universidad Autónoma de Guerrero. Es profe- sor</w:t>
      </w:r>
      <w:r>
        <w:rPr>
          <w:color w:val="231F20"/>
          <w:spacing w:val="-11"/>
          <w:sz w:val="22"/>
        </w:rPr>
        <w:t> </w:t>
      </w:r>
      <w:r>
        <w:rPr>
          <w:color w:val="231F20"/>
          <w:sz w:val="22"/>
        </w:rPr>
        <w:t>de</w:t>
      </w:r>
      <w:r>
        <w:rPr>
          <w:color w:val="231F20"/>
          <w:spacing w:val="-11"/>
          <w:sz w:val="22"/>
        </w:rPr>
        <w:t> </w:t>
      </w:r>
      <w:r>
        <w:rPr>
          <w:color w:val="231F20"/>
          <w:sz w:val="22"/>
        </w:rPr>
        <w:t>tiempo</w:t>
      </w:r>
      <w:r>
        <w:rPr>
          <w:color w:val="231F20"/>
          <w:spacing w:val="-12"/>
          <w:sz w:val="22"/>
        </w:rPr>
        <w:t> </w:t>
      </w:r>
      <w:r>
        <w:rPr>
          <w:color w:val="231F20"/>
          <w:sz w:val="22"/>
        </w:rPr>
        <w:t>completo</w:t>
      </w:r>
      <w:r>
        <w:rPr>
          <w:color w:val="231F20"/>
          <w:spacing w:val="-12"/>
          <w:sz w:val="22"/>
        </w:rPr>
        <w:t> </w:t>
      </w:r>
      <w:r>
        <w:rPr>
          <w:color w:val="231F20"/>
          <w:sz w:val="22"/>
        </w:rPr>
        <w:t>en</w:t>
      </w:r>
      <w:r>
        <w:rPr>
          <w:color w:val="231F20"/>
          <w:spacing w:val="-11"/>
          <w:sz w:val="22"/>
        </w:rPr>
        <w:t> </w:t>
      </w:r>
      <w:r>
        <w:rPr>
          <w:color w:val="231F20"/>
          <w:sz w:val="22"/>
        </w:rPr>
        <w:t>la</w:t>
      </w:r>
      <w:r>
        <w:rPr>
          <w:color w:val="231F20"/>
          <w:spacing w:val="-12"/>
          <w:sz w:val="22"/>
        </w:rPr>
        <w:t> </w:t>
      </w:r>
      <w:r>
        <w:rPr>
          <w:color w:val="231F20"/>
          <w:sz w:val="22"/>
        </w:rPr>
        <w:t>Maestría</w:t>
      </w:r>
      <w:r>
        <w:rPr>
          <w:color w:val="231F20"/>
          <w:spacing w:val="-12"/>
          <w:sz w:val="22"/>
        </w:rPr>
        <w:t> </w:t>
      </w:r>
      <w:r>
        <w:rPr>
          <w:color w:val="231F20"/>
          <w:sz w:val="22"/>
        </w:rPr>
        <w:t>en</w:t>
      </w:r>
      <w:r>
        <w:rPr>
          <w:color w:val="231F20"/>
          <w:spacing w:val="-11"/>
          <w:sz w:val="22"/>
        </w:rPr>
        <w:t> </w:t>
      </w:r>
      <w:r>
        <w:rPr>
          <w:color w:val="231F20"/>
          <w:sz w:val="22"/>
        </w:rPr>
        <w:t>Ciencias:</w:t>
      </w:r>
      <w:r>
        <w:rPr>
          <w:color w:val="231F20"/>
          <w:spacing w:val="-12"/>
          <w:sz w:val="22"/>
        </w:rPr>
        <w:t> </w:t>
      </w:r>
      <w:r>
        <w:rPr>
          <w:color w:val="231F20"/>
          <w:sz w:val="22"/>
        </w:rPr>
        <w:t>Gestión</w:t>
      </w:r>
      <w:r>
        <w:rPr>
          <w:color w:val="231F20"/>
          <w:spacing w:val="-11"/>
          <w:sz w:val="22"/>
        </w:rPr>
        <w:t> </w:t>
      </w:r>
      <w:r>
        <w:rPr>
          <w:color w:val="231F20"/>
          <w:sz w:val="22"/>
        </w:rPr>
        <w:t>Sustentable</w:t>
      </w:r>
      <w:r>
        <w:rPr>
          <w:color w:val="231F20"/>
          <w:spacing w:val="-12"/>
          <w:sz w:val="22"/>
        </w:rPr>
        <w:t> </w:t>
      </w:r>
      <w:r>
        <w:rPr>
          <w:color w:val="231F20"/>
          <w:sz w:val="22"/>
        </w:rPr>
        <w:t>del Turismo</w:t>
      </w:r>
      <w:r>
        <w:rPr>
          <w:color w:val="231F20"/>
          <w:spacing w:val="-10"/>
          <w:sz w:val="22"/>
        </w:rPr>
        <w:t> </w:t>
      </w:r>
      <w:r>
        <w:rPr>
          <w:color w:val="231F20"/>
          <w:sz w:val="22"/>
        </w:rPr>
        <w:t>de</w:t>
      </w:r>
      <w:r>
        <w:rPr>
          <w:color w:val="231F20"/>
          <w:spacing w:val="-10"/>
          <w:sz w:val="22"/>
        </w:rPr>
        <w:t> </w:t>
      </w:r>
      <w:r>
        <w:rPr>
          <w:color w:val="231F20"/>
          <w:sz w:val="22"/>
        </w:rPr>
        <w:t>la</w:t>
      </w:r>
      <w:r>
        <w:rPr>
          <w:color w:val="231F20"/>
          <w:spacing w:val="-10"/>
          <w:sz w:val="22"/>
        </w:rPr>
        <w:t> </w:t>
      </w:r>
      <w:r>
        <w:rPr>
          <w:color w:val="231F20"/>
          <w:sz w:val="22"/>
        </w:rPr>
        <w:t>Universidad</w:t>
      </w:r>
      <w:r>
        <w:rPr>
          <w:color w:val="231F20"/>
          <w:spacing w:val="-20"/>
          <w:sz w:val="22"/>
        </w:rPr>
        <w:t> </w:t>
      </w:r>
      <w:r>
        <w:rPr>
          <w:color w:val="231F20"/>
          <w:sz w:val="22"/>
        </w:rPr>
        <w:t>Autónoma</w:t>
      </w:r>
      <w:r>
        <w:rPr>
          <w:color w:val="231F20"/>
          <w:spacing w:val="-9"/>
          <w:sz w:val="22"/>
        </w:rPr>
        <w:t> </w:t>
      </w:r>
      <w:r>
        <w:rPr>
          <w:color w:val="231F20"/>
          <w:sz w:val="22"/>
        </w:rPr>
        <w:t>de</w:t>
      </w:r>
      <w:r>
        <w:rPr>
          <w:color w:val="231F20"/>
          <w:spacing w:val="-10"/>
          <w:sz w:val="22"/>
        </w:rPr>
        <w:t> </w:t>
      </w:r>
      <w:r>
        <w:rPr>
          <w:color w:val="231F20"/>
          <w:sz w:val="22"/>
        </w:rPr>
        <w:t>Guerrero,</w:t>
      </w:r>
      <w:r>
        <w:rPr>
          <w:color w:val="231F20"/>
          <w:spacing w:val="-9"/>
          <w:sz w:val="22"/>
        </w:rPr>
        <w:t> </w:t>
      </w:r>
      <w:r>
        <w:rPr>
          <w:color w:val="231F20"/>
          <w:sz w:val="22"/>
        </w:rPr>
        <w:t>programa</w:t>
      </w:r>
      <w:r>
        <w:rPr>
          <w:color w:val="231F20"/>
          <w:spacing w:val="-10"/>
          <w:sz w:val="22"/>
        </w:rPr>
        <w:t> </w:t>
      </w:r>
      <w:r>
        <w:rPr>
          <w:color w:val="231F20"/>
          <w:sz w:val="22"/>
        </w:rPr>
        <w:t>inscrito</w:t>
      </w:r>
      <w:r>
        <w:rPr>
          <w:color w:val="231F20"/>
          <w:spacing w:val="-10"/>
          <w:sz w:val="22"/>
        </w:rPr>
        <w:t> </w:t>
      </w:r>
      <w:r>
        <w:rPr>
          <w:color w:val="231F20"/>
          <w:sz w:val="22"/>
        </w:rPr>
        <w:t>en</w:t>
      </w:r>
      <w:r>
        <w:rPr>
          <w:color w:val="231F20"/>
          <w:spacing w:val="-10"/>
          <w:sz w:val="22"/>
        </w:rPr>
        <w:t> </w:t>
      </w:r>
      <w:r>
        <w:rPr>
          <w:color w:val="231F20"/>
          <w:sz w:val="22"/>
        </w:rPr>
        <w:t>el PNPC </w:t>
      </w:r>
      <w:r>
        <w:rPr>
          <w:color w:val="231F20"/>
          <w:spacing w:val="-3"/>
          <w:sz w:val="22"/>
        </w:rPr>
        <w:t>SEP-CONACYT. </w:t>
      </w:r>
      <w:r>
        <w:rPr>
          <w:color w:val="231F20"/>
          <w:sz w:val="22"/>
        </w:rPr>
        <w:t>Es miembro del Sistema Nacional de Investiga- dores</w:t>
      </w:r>
      <w:r>
        <w:rPr>
          <w:color w:val="231F20"/>
          <w:spacing w:val="-14"/>
          <w:sz w:val="22"/>
        </w:rPr>
        <w:t> </w:t>
      </w:r>
      <w:r>
        <w:rPr>
          <w:color w:val="231F20"/>
          <w:sz w:val="22"/>
        </w:rPr>
        <w:t>Nivel</w:t>
      </w:r>
      <w:r>
        <w:rPr>
          <w:color w:val="231F20"/>
          <w:spacing w:val="-13"/>
          <w:sz w:val="22"/>
        </w:rPr>
        <w:t> </w:t>
      </w:r>
      <w:r>
        <w:rPr>
          <w:color w:val="231F20"/>
          <w:sz w:val="22"/>
        </w:rPr>
        <w:t>I.</w:t>
      </w:r>
      <w:r>
        <w:rPr>
          <w:color w:val="231F20"/>
          <w:spacing w:val="-14"/>
          <w:sz w:val="22"/>
        </w:rPr>
        <w:t> </w:t>
      </w:r>
      <w:r>
        <w:rPr>
          <w:color w:val="231F20"/>
          <w:sz w:val="22"/>
        </w:rPr>
        <w:t>Entre</w:t>
      </w:r>
      <w:r>
        <w:rPr>
          <w:color w:val="231F20"/>
          <w:spacing w:val="-14"/>
          <w:sz w:val="22"/>
        </w:rPr>
        <w:t> </w:t>
      </w:r>
      <w:r>
        <w:rPr>
          <w:color w:val="231F20"/>
          <w:sz w:val="22"/>
        </w:rPr>
        <w:t>sus</w:t>
      </w:r>
      <w:r>
        <w:rPr>
          <w:color w:val="231F20"/>
          <w:spacing w:val="-13"/>
          <w:sz w:val="22"/>
        </w:rPr>
        <w:t> </w:t>
      </w:r>
      <w:r>
        <w:rPr>
          <w:color w:val="231F20"/>
          <w:sz w:val="22"/>
        </w:rPr>
        <w:t>últimas</w:t>
      </w:r>
      <w:r>
        <w:rPr>
          <w:color w:val="231F20"/>
          <w:spacing w:val="-14"/>
          <w:sz w:val="22"/>
        </w:rPr>
        <w:t> </w:t>
      </w:r>
      <w:r>
        <w:rPr>
          <w:color w:val="231F20"/>
          <w:sz w:val="22"/>
        </w:rPr>
        <w:t>publicaciones</w:t>
      </w:r>
      <w:r>
        <w:rPr>
          <w:color w:val="231F20"/>
          <w:spacing w:val="-14"/>
          <w:sz w:val="22"/>
        </w:rPr>
        <w:t> </w:t>
      </w:r>
      <w:r>
        <w:rPr>
          <w:color w:val="231F20"/>
          <w:sz w:val="22"/>
        </w:rPr>
        <w:t>destacan</w:t>
      </w:r>
      <w:r>
        <w:rPr>
          <w:color w:val="231F20"/>
          <w:spacing w:val="-13"/>
          <w:sz w:val="22"/>
        </w:rPr>
        <w:t> </w:t>
      </w:r>
      <w:r>
        <w:rPr>
          <w:i/>
          <w:color w:val="231F20"/>
          <w:sz w:val="22"/>
        </w:rPr>
        <w:t>Transnacionalismo </w:t>
      </w:r>
      <w:r>
        <w:rPr>
          <w:i/>
          <w:color w:val="231F20"/>
          <w:sz w:val="22"/>
        </w:rPr>
        <w:t>México-Estados Unidos: Geografía migratoria de una entidad emergente </w:t>
      </w:r>
      <w:r>
        <w:rPr>
          <w:color w:val="231F20"/>
          <w:sz w:val="22"/>
        </w:rPr>
        <w:t>y</w:t>
      </w:r>
      <w:r>
        <w:rPr>
          <w:color w:val="231F20"/>
          <w:spacing w:val="-8"/>
          <w:sz w:val="22"/>
        </w:rPr>
        <w:t> </w:t>
      </w:r>
      <w:r>
        <w:rPr>
          <w:i/>
          <w:color w:val="231F20"/>
          <w:sz w:val="22"/>
        </w:rPr>
        <w:t>Políticas</w:t>
      </w:r>
      <w:r>
        <w:rPr>
          <w:i/>
          <w:color w:val="231F20"/>
          <w:spacing w:val="-8"/>
          <w:sz w:val="22"/>
        </w:rPr>
        <w:t> </w:t>
      </w:r>
      <w:r>
        <w:rPr>
          <w:i/>
          <w:color w:val="231F20"/>
          <w:sz w:val="22"/>
        </w:rPr>
        <w:t>migratorias</w:t>
      </w:r>
      <w:r>
        <w:rPr>
          <w:i/>
          <w:color w:val="231F20"/>
          <w:spacing w:val="-7"/>
          <w:sz w:val="22"/>
        </w:rPr>
        <w:t> </w:t>
      </w:r>
      <w:r>
        <w:rPr>
          <w:i/>
          <w:color w:val="231F20"/>
          <w:sz w:val="22"/>
        </w:rPr>
        <w:t>y</w:t>
      </w:r>
      <w:r>
        <w:rPr>
          <w:i/>
          <w:color w:val="231F20"/>
          <w:spacing w:val="-8"/>
          <w:sz w:val="22"/>
        </w:rPr>
        <w:t> </w:t>
      </w:r>
      <w:r>
        <w:rPr>
          <w:i/>
          <w:color w:val="231F20"/>
          <w:sz w:val="22"/>
        </w:rPr>
        <w:t>de</w:t>
      </w:r>
      <w:r>
        <w:rPr>
          <w:i/>
          <w:color w:val="231F20"/>
          <w:spacing w:val="-8"/>
          <w:sz w:val="22"/>
        </w:rPr>
        <w:t> </w:t>
      </w:r>
      <w:r>
        <w:rPr>
          <w:i/>
          <w:color w:val="231F20"/>
          <w:sz w:val="22"/>
        </w:rPr>
        <w:t>desarrollo</w:t>
      </w:r>
      <w:r>
        <w:rPr>
          <w:i/>
          <w:color w:val="231F20"/>
          <w:spacing w:val="-8"/>
          <w:sz w:val="22"/>
        </w:rPr>
        <w:t> </w:t>
      </w:r>
      <w:r>
        <w:rPr>
          <w:i/>
          <w:color w:val="231F20"/>
          <w:sz w:val="22"/>
        </w:rPr>
        <w:t>en</w:t>
      </w:r>
      <w:r>
        <w:rPr>
          <w:i/>
          <w:color w:val="231F20"/>
          <w:spacing w:val="-8"/>
          <w:sz w:val="22"/>
        </w:rPr>
        <w:t> </w:t>
      </w:r>
      <w:r>
        <w:rPr>
          <w:i/>
          <w:color w:val="231F20"/>
          <w:sz w:val="22"/>
        </w:rPr>
        <w:t>México,</w:t>
      </w:r>
      <w:r>
        <w:rPr>
          <w:i/>
          <w:color w:val="231F20"/>
          <w:spacing w:val="-8"/>
          <w:sz w:val="22"/>
        </w:rPr>
        <w:t> </w:t>
      </w:r>
      <w:r>
        <w:rPr>
          <w:color w:val="231F20"/>
          <w:sz w:val="22"/>
        </w:rPr>
        <w:t>ambas</w:t>
      </w:r>
      <w:r>
        <w:rPr>
          <w:color w:val="231F20"/>
          <w:spacing w:val="-8"/>
          <w:sz w:val="22"/>
        </w:rPr>
        <w:t> </w:t>
      </w:r>
      <w:r>
        <w:rPr>
          <w:color w:val="231F20"/>
          <w:sz w:val="22"/>
        </w:rPr>
        <w:t>obras</w:t>
      </w:r>
      <w:r>
        <w:rPr>
          <w:color w:val="231F20"/>
          <w:spacing w:val="-8"/>
          <w:sz w:val="22"/>
        </w:rPr>
        <w:t> </w:t>
      </w:r>
      <w:r>
        <w:rPr>
          <w:color w:val="231F20"/>
          <w:sz w:val="22"/>
        </w:rPr>
        <w:t>coeditadas por</w:t>
      </w:r>
      <w:r>
        <w:rPr>
          <w:color w:val="231F20"/>
          <w:spacing w:val="-11"/>
          <w:sz w:val="22"/>
        </w:rPr>
        <w:t> </w:t>
      </w:r>
      <w:r>
        <w:rPr>
          <w:color w:val="231F20"/>
          <w:sz w:val="22"/>
        </w:rPr>
        <w:t>Miguel</w:t>
      </w:r>
      <w:r>
        <w:rPr>
          <w:color w:val="231F20"/>
          <w:spacing w:val="-11"/>
          <w:sz w:val="22"/>
        </w:rPr>
        <w:t> </w:t>
      </w:r>
      <w:r>
        <w:rPr>
          <w:color w:val="231F20"/>
          <w:sz w:val="22"/>
        </w:rPr>
        <w:t>Ángel</w:t>
      </w:r>
      <w:r>
        <w:rPr>
          <w:color w:val="231F20"/>
          <w:spacing w:val="-11"/>
          <w:sz w:val="22"/>
        </w:rPr>
        <w:t> </w:t>
      </w:r>
      <w:r>
        <w:rPr>
          <w:color w:val="231F20"/>
          <w:sz w:val="22"/>
        </w:rPr>
        <w:t>Porrúa</w:t>
      </w:r>
      <w:r>
        <w:rPr>
          <w:color w:val="231F20"/>
          <w:spacing w:val="-11"/>
          <w:sz w:val="22"/>
        </w:rPr>
        <w:t> </w:t>
      </w:r>
      <w:r>
        <w:rPr>
          <w:color w:val="231F20"/>
          <w:sz w:val="22"/>
        </w:rPr>
        <w:t>y</w:t>
      </w:r>
      <w:r>
        <w:rPr>
          <w:color w:val="231F20"/>
          <w:spacing w:val="-11"/>
          <w:sz w:val="22"/>
        </w:rPr>
        <w:t> </w:t>
      </w:r>
      <w:r>
        <w:rPr>
          <w:color w:val="231F20"/>
          <w:sz w:val="22"/>
        </w:rPr>
        <w:t>la</w:t>
      </w:r>
      <w:r>
        <w:rPr>
          <w:color w:val="231F20"/>
          <w:spacing w:val="-11"/>
          <w:sz w:val="22"/>
        </w:rPr>
        <w:t> </w:t>
      </w:r>
      <w:r>
        <w:rPr>
          <w:color w:val="231F20"/>
          <w:sz w:val="22"/>
        </w:rPr>
        <w:t>Universidad</w:t>
      </w:r>
      <w:r>
        <w:rPr>
          <w:color w:val="231F20"/>
          <w:spacing w:val="-23"/>
          <w:sz w:val="22"/>
        </w:rPr>
        <w:t> </w:t>
      </w:r>
      <w:r>
        <w:rPr>
          <w:color w:val="231F20"/>
          <w:sz w:val="22"/>
        </w:rPr>
        <w:t>Autónoma</w:t>
      </w:r>
      <w:r>
        <w:rPr>
          <w:color w:val="231F20"/>
          <w:spacing w:val="-11"/>
          <w:sz w:val="22"/>
        </w:rPr>
        <w:t> </w:t>
      </w:r>
      <w:r>
        <w:rPr>
          <w:color w:val="231F20"/>
          <w:sz w:val="22"/>
        </w:rPr>
        <w:t>de</w:t>
      </w:r>
      <w:r>
        <w:rPr>
          <w:color w:val="231F20"/>
          <w:spacing w:val="-11"/>
          <w:sz w:val="22"/>
        </w:rPr>
        <w:t> </w:t>
      </w:r>
      <w:r>
        <w:rPr>
          <w:color w:val="231F20"/>
          <w:sz w:val="22"/>
        </w:rPr>
        <w:t>Guerrero</w:t>
      </w:r>
      <w:r>
        <w:rPr>
          <w:color w:val="231F20"/>
          <w:spacing w:val="33"/>
          <w:sz w:val="22"/>
        </w:rPr>
        <w:t> </w:t>
      </w:r>
      <w:r>
        <w:rPr>
          <w:color w:val="231F20"/>
          <w:sz w:val="22"/>
        </w:rPr>
        <w:t>en</w:t>
      </w:r>
      <w:r>
        <w:rPr>
          <w:color w:val="231F20"/>
          <w:spacing w:val="-11"/>
          <w:sz w:val="22"/>
        </w:rPr>
        <w:t> </w:t>
      </w:r>
      <w:r>
        <w:rPr>
          <w:color w:val="231F20"/>
          <w:spacing w:val="-3"/>
          <w:sz w:val="22"/>
        </w:rPr>
        <w:t>2011 </w:t>
      </w:r>
      <w:r>
        <w:rPr>
          <w:color w:val="231F20"/>
          <w:sz w:val="22"/>
        </w:rPr>
        <w:t>y 2012, respectivamente.</w:t>
      </w:r>
    </w:p>
    <w:p>
      <w:pPr>
        <w:pStyle w:val="BodyText"/>
        <w:spacing w:before="6"/>
      </w:pPr>
    </w:p>
    <w:p>
      <w:pPr>
        <w:pStyle w:val="BodyText"/>
        <w:ind w:left="117"/>
        <w:jc w:val="both"/>
      </w:pPr>
      <w:r>
        <w:rPr>
          <w:color w:val="231F20"/>
        </w:rPr>
        <w:t>Correo electrónico: </w:t>
      </w:r>
      <w:hyperlink r:id="rId171">
        <w:r>
          <w:rPr>
            <w:color w:val="231F20"/>
          </w:rPr>
          <w:t>adiazgaray@gmail.com</w:t>
        </w:r>
      </w:hyperlink>
    </w:p>
    <w:p>
      <w:pPr>
        <w:spacing w:after="0"/>
        <w:jc w:val="both"/>
        <w:sectPr>
          <w:pgSz w:w="9360" w:h="13040"/>
          <w:pgMar w:header="0" w:footer="496" w:top="840" w:bottom="680" w:left="1300" w:right="1300"/>
        </w:sectPr>
      </w:pPr>
    </w:p>
    <w:p>
      <w:pPr>
        <w:pStyle w:val="BodyText"/>
        <w:ind w:left="112"/>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ind w:left="839" w:right="857"/>
        <w:jc w:val="center"/>
      </w:pPr>
      <w:r>
        <w:rPr/>
        <w:pict>
          <v:shape style="position:absolute;margin-left:57.638pt;margin-top:-44.926628pt;width:353.4pt;height:43.5pt;mso-position-horizontal-relative:page;mso-position-vertical-relative:paragraph;z-index:-639232" type="#_x0000_t202" filled="false" stroked="false">
            <v:textbox inset="0,0,0,0">
              <w:txbxContent>
                <w:p>
                  <w:pPr>
                    <w:pStyle w:val="BodyText"/>
                    <w:rPr>
                      <w:sz w:val="20"/>
                    </w:rPr>
                  </w:pPr>
                </w:p>
                <w:p>
                  <w:pPr>
                    <w:spacing w:before="159"/>
                    <w:ind w:left="331" w:right="0" w:firstLine="0"/>
                    <w:jc w:val="left"/>
                    <w:rPr>
                      <w:rFonts w:ascii="Arial" w:hAnsi="Arial"/>
                      <w:sz w:val="20"/>
                    </w:rPr>
                  </w:pPr>
                  <w:r>
                    <w:rPr>
                      <w:rFonts w:ascii="Arial" w:hAnsi="Arial"/>
                      <w:color w:val="231F20"/>
                      <w:w w:val="65"/>
                      <w:sz w:val="20"/>
                    </w:rPr>
                    <w:t>Las políticas públicas de combate a la pobreza y su sinergia... /Mayra P. Pérez-Román y A. Velázquez-Romero</w:t>
                  </w:r>
                </w:p>
              </w:txbxContent>
            </v:textbox>
            <w10:wrap type="none"/>
          </v:shape>
        </w:pict>
      </w:r>
      <w:r>
        <w:rPr>
          <w:color w:val="231F20"/>
          <w:w w:val="70"/>
        </w:rPr>
        <w:t>Las políticas públicas de combate a la pobreza y su sinergia en la retención de capital humano frente a la migración internacional</w:t>
      </w:r>
    </w:p>
    <w:p>
      <w:pPr>
        <w:pStyle w:val="BodyText"/>
        <w:spacing w:before="11"/>
        <w:rPr>
          <w:b/>
          <w:sz w:val="18"/>
        </w:rPr>
      </w:pPr>
    </w:p>
    <w:p>
      <w:pPr>
        <w:pStyle w:val="Heading2"/>
        <w:spacing w:line="300" w:lineRule="exact" w:before="101"/>
        <w:ind w:left="1757" w:right="1773" w:firstLine="138"/>
      </w:pPr>
      <w:r>
        <w:rPr>
          <w:color w:val="231F20"/>
        </w:rPr>
        <w:t>Mayra Patricia Pérez-Román y Alejandra </w:t>
      </w:r>
      <w:r>
        <w:rPr>
          <w:color w:val="231F20"/>
          <w:spacing w:val="-3"/>
        </w:rPr>
        <w:t>Velázquez-Romero</w:t>
      </w:r>
    </w:p>
    <w:p>
      <w:pPr>
        <w:pStyle w:val="BodyText"/>
        <w:spacing w:before="1"/>
      </w:pPr>
    </w:p>
    <w:p>
      <w:pPr>
        <w:spacing w:before="72"/>
        <w:ind w:left="1259" w:right="913" w:firstLine="0"/>
        <w:jc w:val="left"/>
        <w:rPr>
          <w:i/>
          <w:sz w:val="22"/>
        </w:rPr>
      </w:pPr>
      <w:r>
        <w:rPr>
          <w:i/>
          <w:color w:val="231F20"/>
          <w:sz w:val="22"/>
        </w:rPr>
        <w:t>Universidad Autónoma del Estado de México, México</w:t>
      </w:r>
    </w:p>
    <w:p>
      <w:pPr>
        <w:pStyle w:val="BodyText"/>
        <w:rPr>
          <w:i/>
          <w:sz w:val="20"/>
        </w:rPr>
      </w:pPr>
    </w:p>
    <w:p>
      <w:pPr>
        <w:pStyle w:val="BodyText"/>
        <w:spacing w:before="7"/>
        <w:rPr>
          <w:i/>
          <w:sz w:val="24"/>
        </w:rPr>
      </w:pPr>
    </w:p>
    <w:p>
      <w:pPr>
        <w:pStyle w:val="Heading3"/>
        <w:spacing w:before="70"/>
        <w:ind w:left="377" w:right="913"/>
        <w:jc w:val="left"/>
      </w:pPr>
      <w:r>
        <w:rPr>
          <w:color w:val="231F20"/>
        </w:rPr>
        <w:t>Introducción</w:t>
      </w:r>
    </w:p>
    <w:p>
      <w:pPr>
        <w:pStyle w:val="BodyText"/>
        <w:rPr>
          <w:b/>
          <w:sz w:val="24"/>
        </w:rPr>
      </w:pPr>
    </w:p>
    <w:p>
      <w:pPr>
        <w:pStyle w:val="BodyText"/>
        <w:spacing w:before="2"/>
        <w:rPr>
          <w:b/>
          <w:sz w:val="26"/>
        </w:rPr>
      </w:pPr>
    </w:p>
    <w:p>
      <w:pPr>
        <w:pStyle w:val="BodyText"/>
        <w:spacing w:line="247" w:lineRule="auto"/>
        <w:ind w:left="1256" w:right="394"/>
        <w:jc w:val="both"/>
      </w:pPr>
      <w:r>
        <w:rPr/>
        <w:pict>
          <v:shape style="position:absolute;margin-left:70.866096pt;margin-top:-4.365928pt;width:39.75pt;height:55pt;mso-position-horizontal-relative:page;mso-position-vertical-relative:paragraph;z-index:-639208" type="#_x0000_t202" filled="false" stroked="false">
            <v:textbox inset="0,0,0,0">
              <w:txbxContent>
                <w:p>
                  <w:pPr>
                    <w:spacing w:line="1100" w:lineRule="exact" w:before="0"/>
                    <w:ind w:left="0" w:right="0" w:firstLine="0"/>
                    <w:jc w:val="left"/>
                    <w:rPr>
                      <w:b/>
                      <w:sz w:val="110"/>
                    </w:rPr>
                  </w:pPr>
                  <w:r>
                    <w:rPr>
                      <w:b/>
                      <w:color w:val="231F20"/>
                      <w:sz w:val="110"/>
                    </w:rPr>
                    <w:t>U</w:t>
                  </w:r>
                </w:p>
              </w:txbxContent>
            </v:textbox>
            <w10:wrap type="none"/>
          </v:shape>
        </w:pict>
      </w:r>
      <w:r>
        <w:rPr>
          <w:color w:val="231F20"/>
        </w:rPr>
        <w:t>no de los grandes retos en el contexto actual es el combate a la pobreza, que durante años ha sido vista como un impedimento para impulsar el desarrollo humano y que representa uno de  los</w:t>
      </w:r>
    </w:p>
    <w:p>
      <w:pPr>
        <w:pStyle w:val="BodyText"/>
        <w:spacing w:line="247" w:lineRule="auto"/>
        <w:ind w:left="377" w:right="394"/>
        <w:jc w:val="both"/>
      </w:pPr>
      <w:r>
        <w:rPr>
          <w:color w:val="231F20"/>
        </w:rPr>
        <w:t>principales males de todas las economías en el orbe, ya que no se puede hablar</w:t>
      </w:r>
      <w:r>
        <w:rPr>
          <w:color w:val="231F20"/>
          <w:spacing w:val="-7"/>
        </w:rPr>
        <w:t> </w:t>
      </w:r>
      <w:r>
        <w:rPr>
          <w:color w:val="231F20"/>
        </w:rPr>
        <w:t>de</w:t>
      </w:r>
      <w:r>
        <w:rPr>
          <w:color w:val="231F20"/>
          <w:spacing w:val="-7"/>
        </w:rPr>
        <w:t> </w:t>
      </w:r>
      <w:r>
        <w:rPr>
          <w:color w:val="231F20"/>
        </w:rPr>
        <w:t>sociedades</w:t>
      </w:r>
      <w:r>
        <w:rPr>
          <w:color w:val="231F20"/>
          <w:spacing w:val="-6"/>
        </w:rPr>
        <w:t> </w:t>
      </w:r>
      <w:r>
        <w:rPr>
          <w:color w:val="231F20"/>
        </w:rPr>
        <w:t>correctamente</w:t>
      </w:r>
      <w:r>
        <w:rPr>
          <w:color w:val="231F20"/>
          <w:spacing w:val="-7"/>
        </w:rPr>
        <w:t> </w:t>
      </w:r>
      <w:r>
        <w:rPr>
          <w:color w:val="231F20"/>
        </w:rPr>
        <w:t>cohesionadas</w:t>
      </w:r>
      <w:r>
        <w:rPr>
          <w:color w:val="231F20"/>
          <w:spacing w:val="-7"/>
        </w:rPr>
        <w:t> </w:t>
      </w:r>
      <w:r>
        <w:rPr>
          <w:color w:val="231F20"/>
        </w:rPr>
        <w:t>cuando</w:t>
      </w:r>
      <w:r>
        <w:rPr>
          <w:color w:val="231F20"/>
          <w:spacing w:val="-7"/>
        </w:rPr>
        <w:t> </w:t>
      </w:r>
      <w:r>
        <w:rPr>
          <w:color w:val="231F20"/>
        </w:rPr>
        <w:t>grandes</w:t>
      </w:r>
      <w:r>
        <w:rPr>
          <w:color w:val="231F20"/>
          <w:spacing w:val="-7"/>
        </w:rPr>
        <w:t> </w:t>
      </w:r>
      <w:r>
        <w:rPr>
          <w:color w:val="231F20"/>
        </w:rPr>
        <w:t>sectores de poblaciones se encuentran en situación de pobreza o aún peor, bajo el halo de la pobreza extrema. De ahí la necesidad de un Estado que no sea un</w:t>
      </w:r>
      <w:r>
        <w:rPr>
          <w:color w:val="231F20"/>
          <w:spacing w:val="-7"/>
        </w:rPr>
        <w:t> </w:t>
      </w:r>
      <w:r>
        <w:rPr>
          <w:color w:val="231F20"/>
        </w:rPr>
        <w:t>mero</w:t>
      </w:r>
      <w:r>
        <w:rPr>
          <w:color w:val="231F20"/>
          <w:spacing w:val="-8"/>
        </w:rPr>
        <w:t> </w:t>
      </w:r>
      <w:r>
        <w:rPr>
          <w:color w:val="231F20"/>
        </w:rPr>
        <w:t>observador</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realidad,</w:t>
      </w:r>
      <w:r>
        <w:rPr>
          <w:color w:val="231F20"/>
          <w:spacing w:val="-7"/>
        </w:rPr>
        <w:t> </w:t>
      </w:r>
      <w:r>
        <w:rPr>
          <w:color w:val="231F20"/>
        </w:rPr>
        <w:t>sino</w:t>
      </w:r>
      <w:r>
        <w:rPr>
          <w:color w:val="231F20"/>
          <w:spacing w:val="-7"/>
        </w:rPr>
        <w:t> </w:t>
      </w:r>
      <w:r>
        <w:rPr>
          <w:color w:val="231F20"/>
        </w:rPr>
        <w:t>que</w:t>
      </w:r>
      <w:r>
        <w:rPr>
          <w:color w:val="231F20"/>
          <w:spacing w:val="-7"/>
        </w:rPr>
        <w:t> </w:t>
      </w:r>
      <w:r>
        <w:rPr>
          <w:color w:val="231F20"/>
        </w:rPr>
        <w:t>sea</w:t>
      </w:r>
      <w:r>
        <w:rPr>
          <w:color w:val="231F20"/>
          <w:spacing w:val="-7"/>
        </w:rPr>
        <w:t> </w:t>
      </w:r>
      <w:r>
        <w:rPr>
          <w:color w:val="231F20"/>
        </w:rPr>
        <w:t>capaz</w:t>
      </w:r>
      <w:r>
        <w:rPr>
          <w:color w:val="231F20"/>
          <w:spacing w:val="-8"/>
        </w:rPr>
        <w:t> </w:t>
      </w:r>
      <w:r>
        <w:rPr>
          <w:color w:val="231F20"/>
        </w:rPr>
        <w:t>de</w:t>
      </w:r>
      <w:r>
        <w:rPr>
          <w:color w:val="231F20"/>
          <w:spacing w:val="-7"/>
        </w:rPr>
        <w:t> </w:t>
      </w:r>
      <w:r>
        <w:rPr>
          <w:color w:val="231F20"/>
        </w:rPr>
        <w:t>establecer</w:t>
      </w:r>
      <w:r>
        <w:rPr>
          <w:color w:val="231F20"/>
          <w:spacing w:val="-8"/>
        </w:rPr>
        <w:t> </w:t>
      </w:r>
      <w:r>
        <w:rPr>
          <w:color w:val="231F20"/>
        </w:rPr>
        <w:t>límites claros de intervención para sanear los males sociales, intervención que no deberá ser confundida con la actuación desmedida del poder del Estado, sino como un regulador capaz de respectar esferas de acciones de los lla- mados poderes públicos, partiendo de la toma de decisiones de manera analítica y crítica y siempre con conocimiento de causa y del contexto sobre el cual ejercerá</w:t>
      </w:r>
      <w:r>
        <w:rPr>
          <w:color w:val="231F20"/>
          <w:spacing w:val="-6"/>
        </w:rPr>
        <w:t> </w:t>
      </w:r>
      <w:r>
        <w:rPr>
          <w:color w:val="231F20"/>
        </w:rPr>
        <w:t>acciones.</w:t>
      </w:r>
    </w:p>
    <w:p>
      <w:pPr>
        <w:pStyle w:val="Heading3"/>
        <w:ind w:left="377"/>
      </w:pPr>
      <w:r>
        <w:rPr>
          <w:color w:val="231F20"/>
        </w:rPr>
        <w:t>Esbozo de políticas públicas</w:t>
      </w:r>
    </w:p>
    <w:p>
      <w:pPr>
        <w:pStyle w:val="BodyText"/>
        <w:spacing w:line="247" w:lineRule="auto" w:before="172"/>
        <w:ind w:left="377" w:right="395"/>
        <w:jc w:val="both"/>
      </w:pPr>
      <w:r>
        <w:rPr>
          <w:color w:val="231F20"/>
        </w:rPr>
        <w:t>El término políticas públicas ha sido el centro de numerosos debates, ya que para algunos críticos son de carácter inviable siendo la representación de un modelo normativo y perfecto de actuar gubernamental. Sin</w:t>
      </w:r>
      <w:r>
        <w:rPr>
          <w:color w:val="231F20"/>
          <w:spacing w:val="-31"/>
        </w:rPr>
        <w:t> </w:t>
      </w:r>
      <w:r>
        <w:rPr>
          <w:color w:val="231F20"/>
        </w:rPr>
        <w:t>embargo no hay que perder de vista que no se trata de una fórmula preestablecida cuyos</w:t>
      </w:r>
      <w:r>
        <w:rPr>
          <w:color w:val="231F20"/>
          <w:spacing w:val="-4"/>
        </w:rPr>
        <w:t> </w:t>
      </w:r>
      <w:r>
        <w:rPr>
          <w:color w:val="231F20"/>
        </w:rPr>
        <w:t>pasos</w:t>
      </w:r>
      <w:r>
        <w:rPr>
          <w:color w:val="231F20"/>
          <w:spacing w:val="-4"/>
        </w:rPr>
        <w:t> </w:t>
      </w:r>
      <w:r>
        <w:rPr>
          <w:color w:val="231F20"/>
        </w:rPr>
        <w:t>deberán</w:t>
      </w:r>
      <w:r>
        <w:rPr>
          <w:color w:val="231F20"/>
          <w:spacing w:val="-4"/>
        </w:rPr>
        <w:t> </w:t>
      </w:r>
      <w:r>
        <w:rPr>
          <w:color w:val="231F20"/>
        </w:rPr>
        <w:t>seguirse</w:t>
      </w:r>
      <w:r>
        <w:rPr>
          <w:color w:val="231F20"/>
          <w:spacing w:val="-4"/>
        </w:rPr>
        <w:t> </w:t>
      </w:r>
      <w:r>
        <w:rPr>
          <w:color w:val="231F20"/>
        </w:rPr>
        <w:t>al</w:t>
      </w:r>
      <w:r>
        <w:rPr>
          <w:color w:val="231F20"/>
          <w:spacing w:val="-4"/>
        </w:rPr>
        <w:t> </w:t>
      </w:r>
      <w:r>
        <w:rPr>
          <w:color w:val="231F20"/>
        </w:rPr>
        <w:t>pie</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letra,</w:t>
      </w:r>
      <w:r>
        <w:rPr>
          <w:color w:val="231F20"/>
          <w:spacing w:val="-5"/>
        </w:rPr>
        <w:t> </w:t>
      </w:r>
      <w:r>
        <w:rPr>
          <w:color w:val="231F20"/>
        </w:rPr>
        <w:t>ya</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trata</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marco de análisis con características mucho más amplias, capaz de adaptarse a los contextos, siendo cursos de acciones que redirigen el camino  </w:t>
      </w:r>
      <w:r>
        <w:rPr>
          <w:color w:val="231F20"/>
          <w:spacing w:val="13"/>
        </w:rPr>
        <w:t> </w:t>
      </w:r>
      <w:r>
        <w:rPr>
          <w:color w:val="231F20"/>
        </w:rPr>
        <w:t>durante</w:t>
      </w:r>
    </w:p>
    <w:p>
      <w:pPr>
        <w:spacing w:after="0" w:line="247" w:lineRule="auto"/>
        <w:jc w:val="both"/>
        <w:sectPr>
          <w:pgSz w:w="9360" w:h="13040"/>
          <w:pgMar w:header="0" w:footer="496" w:top="400" w:bottom="680" w:left="1040" w:right="102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jc w:val="both"/>
      </w:pPr>
      <w:r>
        <w:rPr>
          <w:color w:val="231F20"/>
        </w:rPr>
        <w:t>su puesta en marcha, además como bien señalaba Martínez “...el Estado puede fallar en el sano desenvolvimiento de la economía, por lo que su planteamiento</w:t>
      </w:r>
      <w:r>
        <w:rPr>
          <w:color w:val="231F20"/>
          <w:spacing w:val="-4"/>
        </w:rPr>
        <w:t> </w:t>
      </w:r>
      <w:r>
        <w:rPr>
          <w:color w:val="231F20"/>
        </w:rPr>
        <w:t>central</w:t>
      </w:r>
      <w:r>
        <w:rPr>
          <w:color w:val="231F20"/>
          <w:spacing w:val="-5"/>
        </w:rPr>
        <w:t> </w:t>
      </w:r>
      <w:r>
        <w:rPr>
          <w:color w:val="231F20"/>
        </w:rPr>
        <w:t>radica</w:t>
      </w:r>
      <w:r>
        <w:rPr>
          <w:color w:val="231F20"/>
          <w:spacing w:val="-4"/>
        </w:rPr>
        <w:t> </w:t>
      </w:r>
      <w:r>
        <w:rPr>
          <w:color w:val="231F20"/>
        </w:rPr>
        <w:t>en</w:t>
      </w:r>
      <w:r>
        <w:rPr>
          <w:color w:val="231F20"/>
          <w:spacing w:val="-4"/>
        </w:rPr>
        <w:t> </w:t>
      </w:r>
      <w:r>
        <w:rPr>
          <w:color w:val="231F20"/>
        </w:rPr>
        <w:t>que</w:t>
      </w:r>
      <w:r>
        <w:rPr>
          <w:color w:val="231F20"/>
          <w:spacing w:val="-4"/>
        </w:rPr>
        <w:t> </w:t>
      </w:r>
      <w:r>
        <w:rPr>
          <w:color w:val="231F20"/>
        </w:rPr>
        <w:t>el</w:t>
      </w:r>
      <w:r>
        <w:rPr>
          <w:color w:val="231F20"/>
          <w:spacing w:val="-5"/>
        </w:rPr>
        <w:t> </w:t>
      </w:r>
      <w:r>
        <w:rPr>
          <w:color w:val="231F20"/>
        </w:rPr>
        <w:t>gobierno</w:t>
      </w:r>
      <w:r>
        <w:rPr>
          <w:color w:val="231F20"/>
          <w:spacing w:val="-4"/>
        </w:rPr>
        <w:t> </w:t>
      </w:r>
      <w:r>
        <w:rPr>
          <w:color w:val="231F20"/>
        </w:rPr>
        <w:t>puede</w:t>
      </w:r>
      <w:r>
        <w:rPr>
          <w:color w:val="231F20"/>
          <w:spacing w:val="-4"/>
        </w:rPr>
        <w:t> </w:t>
      </w:r>
      <w:r>
        <w:rPr>
          <w:color w:val="231F20"/>
        </w:rPr>
        <w:t>fallar,</w:t>
      </w:r>
      <w:r>
        <w:rPr>
          <w:color w:val="231F20"/>
          <w:spacing w:val="-4"/>
        </w:rPr>
        <w:t> </w:t>
      </w:r>
      <w:r>
        <w:rPr>
          <w:color w:val="231F20"/>
        </w:rPr>
        <w:t>pero</w:t>
      </w:r>
      <w:r>
        <w:rPr>
          <w:color w:val="231F20"/>
          <w:spacing w:val="-4"/>
        </w:rPr>
        <w:t> </w:t>
      </w:r>
      <w:r>
        <w:rPr>
          <w:color w:val="231F20"/>
        </w:rPr>
        <w:t>que,</w:t>
      </w:r>
      <w:r>
        <w:rPr>
          <w:color w:val="231F20"/>
          <w:spacing w:val="-4"/>
        </w:rPr>
        <w:t> </w:t>
      </w:r>
      <w:r>
        <w:rPr>
          <w:color w:val="231F20"/>
        </w:rPr>
        <w:t>así, dichos errores pueden ser corregidos” (2006: 30). Así resulta claro que no se</w:t>
      </w:r>
      <w:r>
        <w:rPr>
          <w:color w:val="231F20"/>
          <w:spacing w:val="-6"/>
        </w:rPr>
        <w:t> </w:t>
      </w:r>
      <w:r>
        <w:rPr>
          <w:color w:val="231F20"/>
        </w:rPr>
        <w:t>puede</w:t>
      </w:r>
      <w:r>
        <w:rPr>
          <w:color w:val="231F20"/>
          <w:spacing w:val="-6"/>
        </w:rPr>
        <w:t> </w:t>
      </w:r>
      <w:r>
        <w:rPr>
          <w:color w:val="231F20"/>
        </w:rPr>
        <w:t>hablar</w:t>
      </w:r>
      <w:r>
        <w:rPr>
          <w:color w:val="231F20"/>
          <w:spacing w:val="-6"/>
        </w:rPr>
        <w:t> </w:t>
      </w:r>
      <w:r>
        <w:rPr>
          <w:color w:val="231F20"/>
        </w:rPr>
        <w:t>de</w:t>
      </w:r>
      <w:r>
        <w:rPr>
          <w:color w:val="231F20"/>
          <w:spacing w:val="-6"/>
        </w:rPr>
        <w:t> </w:t>
      </w:r>
      <w:r>
        <w:rPr>
          <w:color w:val="231F20"/>
        </w:rPr>
        <w:t>políticas</w:t>
      </w:r>
      <w:r>
        <w:rPr>
          <w:color w:val="231F20"/>
          <w:spacing w:val="-6"/>
        </w:rPr>
        <w:t> </w:t>
      </w:r>
      <w:r>
        <w:rPr>
          <w:color w:val="231F20"/>
        </w:rPr>
        <w:t>públicas</w:t>
      </w:r>
      <w:r>
        <w:rPr>
          <w:color w:val="231F20"/>
          <w:spacing w:val="-6"/>
        </w:rPr>
        <w:t> </w:t>
      </w:r>
      <w:r>
        <w:rPr>
          <w:color w:val="231F20"/>
        </w:rPr>
        <w:t>como</w:t>
      </w:r>
      <w:r>
        <w:rPr>
          <w:color w:val="231F20"/>
          <w:spacing w:val="-6"/>
        </w:rPr>
        <w:t> </w:t>
      </w:r>
      <w:r>
        <w:rPr>
          <w:color w:val="231F20"/>
        </w:rPr>
        <w:t>sinónimo</w:t>
      </w:r>
      <w:r>
        <w:rPr>
          <w:color w:val="231F20"/>
          <w:spacing w:val="-5"/>
        </w:rPr>
        <w:t> </w:t>
      </w:r>
      <w:r>
        <w:rPr>
          <w:color w:val="231F20"/>
        </w:rPr>
        <w:t>de</w:t>
      </w:r>
      <w:r>
        <w:rPr>
          <w:color w:val="231F20"/>
          <w:spacing w:val="-6"/>
        </w:rPr>
        <w:t> </w:t>
      </w:r>
      <w:r>
        <w:rPr>
          <w:color w:val="231F20"/>
        </w:rPr>
        <w:t>modelos</w:t>
      </w:r>
      <w:r>
        <w:rPr>
          <w:color w:val="231F20"/>
          <w:spacing w:val="-6"/>
        </w:rPr>
        <w:t> </w:t>
      </w:r>
      <w:r>
        <w:rPr>
          <w:color w:val="231F20"/>
        </w:rPr>
        <w:t>perfectos y sin</w:t>
      </w:r>
      <w:r>
        <w:rPr>
          <w:color w:val="231F20"/>
          <w:spacing w:val="-2"/>
        </w:rPr>
        <w:t> </w:t>
      </w:r>
      <w:r>
        <w:rPr>
          <w:color w:val="231F20"/>
        </w:rPr>
        <w:t>errores.</w:t>
      </w:r>
    </w:p>
    <w:p>
      <w:pPr>
        <w:pStyle w:val="BodyText"/>
        <w:spacing w:line="247" w:lineRule="auto"/>
        <w:ind w:left="117" w:right="114" w:firstLine="283"/>
        <w:jc w:val="both"/>
      </w:pPr>
      <w:r>
        <w:rPr>
          <w:color w:val="231F20"/>
        </w:rPr>
        <w:t>Las políticas públicas tienen su origen en el contexto norteamericano durante el periodo posterior a la Segunda Guerra Mundial (SGM) y su iniciador fue Harold D. Lasswellm. Dichas políticas han fijado una mayor atención a la planeación, así como a los diversos sistemas de información en</w:t>
      </w:r>
      <w:r>
        <w:rPr>
          <w:color w:val="231F20"/>
          <w:spacing w:val="-5"/>
        </w:rPr>
        <w:t> </w:t>
      </w:r>
      <w:r>
        <w:rPr>
          <w:color w:val="231F20"/>
        </w:rPr>
        <w:t>los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basa</w:t>
      </w:r>
      <w:r>
        <w:rPr>
          <w:color w:val="231F20"/>
          <w:spacing w:val="-5"/>
        </w:rPr>
        <w:t> </w:t>
      </w:r>
      <w:r>
        <w:rPr>
          <w:color w:val="231F20"/>
        </w:rPr>
        <w:t>el</w:t>
      </w:r>
      <w:r>
        <w:rPr>
          <w:color w:val="231F20"/>
          <w:spacing w:val="-5"/>
        </w:rPr>
        <w:t> </w:t>
      </w:r>
      <w:r>
        <w:rPr>
          <w:color w:val="231F20"/>
        </w:rPr>
        <w:t>personal</w:t>
      </w:r>
      <w:r>
        <w:rPr>
          <w:color w:val="231F20"/>
          <w:spacing w:val="-5"/>
        </w:rPr>
        <w:t> </w:t>
      </w:r>
      <w:r>
        <w:rPr>
          <w:color w:val="231F20"/>
        </w:rPr>
        <w:t>para</w:t>
      </w:r>
      <w:r>
        <w:rPr>
          <w:color w:val="231F20"/>
          <w:spacing w:val="-5"/>
        </w:rPr>
        <w:t> </w:t>
      </w:r>
      <w:r>
        <w:rPr>
          <w:color w:val="231F20"/>
        </w:rPr>
        <w:t>la</w:t>
      </w:r>
      <w:r>
        <w:rPr>
          <w:color w:val="231F20"/>
          <w:spacing w:val="-5"/>
        </w:rPr>
        <w:t> </w:t>
      </w:r>
      <w:r>
        <w:rPr>
          <w:color w:val="231F20"/>
        </w:rPr>
        <w:t>toma</w:t>
      </w:r>
      <w:r>
        <w:rPr>
          <w:color w:val="231F20"/>
          <w:spacing w:val="-5"/>
        </w:rPr>
        <w:t> </w:t>
      </w:r>
      <w:r>
        <w:rPr>
          <w:color w:val="231F20"/>
        </w:rPr>
        <w:t>de</w:t>
      </w:r>
      <w:r>
        <w:rPr>
          <w:color w:val="231F20"/>
          <w:spacing w:val="-5"/>
        </w:rPr>
        <w:t> </w:t>
      </w:r>
      <w:r>
        <w:rPr>
          <w:color w:val="231F20"/>
        </w:rPr>
        <w:t>decisiones,</w:t>
      </w:r>
      <w:r>
        <w:rPr>
          <w:color w:val="231F20"/>
          <w:spacing w:val="-5"/>
        </w:rPr>
        <w:t> </w:t>
      </w:r>
      <w:r>
        <w:rPr>
          <w:color w:val="231F20"/>
        </w:rPr>
        <w:t>con</w:t>
      </w:r>
      <w:r>
        <w:rPr>
          <w:color w:val="231F20"/>
          <w:spacing w:val="-5"/>
        </w:rPr>
        <w:t> </w:t>
      </w:r>
      <w:r>
        <w:rPr>
          <w:color w:val="231F20"/>
        </w:rPr>
        <w:t>ello</w:t>
      </w:r>
      <w:r>
        <w:rPr>
          <w:color w:val="231F20"/>
          <w:spacing w:val="-5"/>
        </w:rPr>
        <w:t> </w:t>
      </w:r>
      <w:r>
        <w:rPr>
          <w:color w:val="231F20"/>
        </w:rPr>
        <w:t>se</w:t>
      </w:r>
      <w:r>
        <w:rPr>
          <w:color w:val="231F20"/>
          <w:spacing w:val="-5"/>
        </w:rPr>
        <w:t> </w:t>
      </w:r>
      <w:r>
        <w:rPr>
          <w:color w:val="231F20"/>
        </w:rPr>
        <w:t>busca ser más consciente en el proceso de la política (</w:t>
      </w:r>
      <w:r>
        <w:rPr>
          <w:i/>
          <w:color w:val="231F20"/>
        </w:rPr>
        <w:t>policy process</w:t>
      </w:r>
      <w:r>
        <w:rPr>
          <w:color w:val="231F20"/>
        </w:rPr>
        <w:t>), así como en su elaboración y realización con el fin de racionalizar las decisiones (Lasswell, 2000).</w:t>
      </w:r>
    </w:p>
    <w:p>
      <w:pPr>
        <w:pStyle w:val="BodyText"/>
        <w:spacing w:line="247" w:lineRule="auto"/>
        <w:ind w:left="117" w:right="114" w:firstLine="283"/>
        <w:jc w:val="both"/>
      </w:pPr>
      <w:r>
        <w:rPr>
          <w:color w:val="231F20"/>
        </w:rPr>
        <w:t>Con lo anterior se desarrolló una orientación hacia las políticas (policy orientation),</w:t>
      </w:r>
      <w:r>
        <w:rPr>
          <w:color w:val="231F20"/>
          <w:spacing w:val="-9"/>
        </w:rPr>
        <w:t> </w:t>
      </w:r>
      <w:r>
        <w:rPr>
          <w:color w:val="231F20"/>
        </w:rPr>
        <w:t>que</w:t>
      </w:r>
      <w:r>
        <w:rPr>
          <w:color w:val="231F20"/>
          <w:spacing w:val="-9"/>
        </w:rPr>
        <w:t> </w:t>
      </w:r>
      <w:r>
        <w:rPr>
          <w:color w:val="231F20"/>
        </w:rPr>
        <w:t>cuenta</w:t>
      </w:r>
      <w:r>
        <w:rPr>
          <w:color w:val="231F20"/>
          <w:spacing w:val="-9"/>
        </w:rPr>
        <w:t> </w:t>
      </w:r>
      <w:r>
        <w:rPr>
          <w:color w:val="231F20"/>
        </w:rPr>
        <w:t>con</w:t>
      </w:r>
      <w:r>
        <w:rPr>
          <w:color w:val="231F20"/>
          <w:spacing w:val="-9"/>
        </w:rPr>
        <w:t> </w:t>
      </w:r>
      <w:r>
        <w:rPr>
          <w:color w:val="231F20"/>
        </w:rPr>
        <w:t>una</w:t>
      </w:r>
      <w:r>
        <w:rPr>
          <w:color w:val="231F20"/>
          <w:spacing w:val="-9"/>
        </w:rPr>
        <w:t> </w:t>
      </w:r>
      <w:r>
        <w:rPr>
          <w:color w:val="231F20"/>
        </w:rPr>
        <w:t>doble</w:t>
      </w:r>
      <w:r>
        <w:rPr>
          <w:color w:val="231F20"/>
          <w:spacing w:val="-9"/>
        </w:rPr>
        <w:t> </w:t>
      </w:r>
      <w:r>
        <w:rPr>
          <w:color w:val="231F20"/>
        </w:rPr>
        <w:t>dimensión.</w:t>
      </w:r>
      <w:r>
        <w:rPr>
          <w:color w:val="231F20"/>
          <w:spacing w:val="-9"/>
        </w:rPr>
        <w:t> </w:t>
      </w:r>
      <w:r>
        <w:rPr>
          <w:color w:val="231F20"/>
        </w:rPr>
        <w:t>Por</w:t>
      </w:r>
      <w:r>
        <w:rPr>
          <w:color w:val="231F20"/>
          <w:spacing w:val="-9"/>
        </w:rPr>
        <w:t> </w:t>
      </w:r>
      <w:r>
        <w:rPr>
          <w:color w:val="231F20"/>
        </w:rPr>
        <w:t>una</w:t>
      </w:r>
      <w:r>
        <w:rPr>
          <w:color w:val="231F20"/>
          <w:spacing w:val="-9"/>
        </w:rPr>
        <w:t> </w:t>
      </w:r>
      <w:r>
        <w:rPr>
          <w:color w:val="231F20"/>
        </w:rPr>
        <w:t>parte</w:t>
      </w:r>
      <w:r>
        <w:rPr>
          <w:color w:val="231F20"/>
          <w:spacing w:val="-9"/>
        </w:rPr>
        <w:t> </w:t>
      </w:r>
      <w:r>
        <w:rPr>
          <w:color w:val="231F20"/>
        </w:rPr>
        <w:t>se</w:t>
      </w:r>
      <w:r>
        <w:rPr>
          <w:color w:val="231F20"/>
          <w:spacing w:val="-9"/>
        </w:rPr>
        <w:t> </w:t>
      </w:r>
      <w:r>
        <w:rPr>
          <w:color w:val="231F20"/>
        </w:rPr>
        <w:t>interesa en</w:t>
      </w:r>
      <w:r>
        <w:rPr>
          <w:color w:val="231F20"/>
          <w:spacing w:val="-6"/>
        </w:rPr>
        <w:t> </w:t>
      </w:r>
      <w:r>
        <w:rPr>
          <w:color w:val="231F20"/>
        </w:rPr>
        <w:t>el</w:t>
      </w:r>
      <w:r>
        <w:rPr>
          <w:color w:val="231F20"/>
          <w:spacing w:val="-6"/>
        </w:rPr>
        <w:t> </w:t>
      </w:r>
      <w:r>
        <w:rPr>
          <w:color w:val="231F20"/>
        </w:rPr>
        <w:t>proceso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política,</w:t>
      </w:r>
      <w:r>
        <w:rPr>
          <w:color w:val="231F20"/>
          <w:spacing w:val="-6"/>
        </w:rPr>
        <w:t> </w:t>
      </w:r>
      <w:r>
        <w:rPr>
          <w:color w:val="231F20"/>
        </w:rPr>
        <w:t>con</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busca</w:t>
      </w:r>
      <w:r>
        <w:rPr>
          <w:color w:val="231F20"/>
          <w:spacing w:val="-6"/>
        </w:rPr>
        <w:t> </w:t>
      </w:r>
      <w:r>
        <w:rPr>
          <w:color w:val="231F20"/>
        </w:rPr>
        <w:t>desarrollar</w:t>
      </w:r>
      <w:r>
        <w:rPr>
          <w:color w:val="231F20"/>
          <w:spacing w:val="-6"/>
        </w:rPr>
        <w:t> </w:t>
      </w:r>
      <w:r>
        <w:rPr>
          <w:color w:val="231F20"/>
        </w:rPr>
        <w:t>la</w:t>
      </w:r>
      <w:r>
        <w:rPr>
          <w:color w:val="231F20"/>
          <w:spacing w:val="-6"/>
        </w:rPr>
        <w:t> </w:t>
      </w:r>
      <w:r>
        <w:rPr>
          <w:color w:val="231F20"/>
        </w:rPr>
        <w:t>ciencia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 formación mediante métodos de investigación de las ciencias sociales;</w:t>
      </w:r>
      <w:r>
        <w:rPr>
          <w:color w:val="231F20"/>
          <w:spacing w:val="-36"/>
        </w:rPr>
        <w:t> </w:t>
      </w:r>
      <w:r>
        <w:rPr>
          <w:color w:val="231F20"/>
        </w:rPr>
        <w:t>por otra</w:t>
      </w:r>
      <w:r>
        <w:rPr>
          <w:color w:val="231F20"/>
          <w:spacing w:val="-5"/>
        </w:rPr>
        <w:t> </w:t>
      </w:r>
      <w:r>
        <w:rPr>
          <w:color w:val="231F20"/>
        </w:rPr>
        <w:t>parte,</w:t>
      </w:r>
      <w:r>
        <w:rPr>
          <w:color w:val="231F20"/>
          <w:spacing w:val="-5"/>
        </w:rPr>
        <w:t> </w:t>
      </w:r>
      <w:r>
        <w:rPr>
          <w:color w:val="231F20"/>
        </w:rPr>
        <w:t>se</w:t>
      </w:r>
      <w:r>
        <w:rPr>
          <w:color w:val="231F20"/>
          <w:spacing w:val="-4"/>
        </w:rPr>
        <w:t> </w:t>
      </w:r>
      <w:r>
        <w:rPr>
          <w:color w:val="231F20"/>
        </w:rPr>
        <w:t>interesa</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necesidades</w:t>
      </w:r>
      <w:r>
        <w:rPr>
          <w:color w:val="231F20"/>
          <w:spacing w:val="-5"/>
        </w:rPr>
        <w:t> </w:t>
      </w:r>
      <w:r>
        <w:rPr>
          <w:color w:val="231F20"/>
        </w:rPr>
        <w:t>de</w:t>
      </w:r>
      <w:r>
        <w:rPr>
          <w:color w:val="231F20"/>
          <w:spacing w:val="-5"/>
        </w:rPr>
        <w:t> </w:t>
      </w:r>
      <w:r>
        <w:rPr>
          <w:color w:val="231F20"/>
        </w:rPr>
        <w:t>inteligencia</w:t>
      </w:r>
      <w:r>
        <w:rPr>
          <w:color w:val="231F20"/>
          <w:spacing w:val="-5"/>
        </w:rPr>
        <w:t> </w:t>
      </w:r>
      <w:r>
        <w:rPr>
          <w:color w:val="231F20"/>
        </w:rPr>
        <w:t>del</w:t>
      </w:r>
      <w:r>
        <w:rPr>
          <w:color w:val="231F20"/>
          <w:spacing w:val="-5"/>
        </w:rPr>
        <w:t> </w:t>
      </w:r>
      <w:r>
        <w:rPr>
          <w:color w:val="231F20"/>
        </w:rPr>
        <w:t>proceso,</w:t>
      </w:r>
      <w:r>
        <w:rPr>
          <w:color w:val="231F20"/>
          <w:spacing w:val="-5"/>
        </w:rPr>
        <w:t> </w:t>
      </w:r>
      <w:r>
        <w:rPr>
          <w:color w:val="231F20"/>
        </w:rPr>
        <w:t>busca mejorar el contenido de la información y de la interpretación al rebasar</w:t>
      </w:r>
      <w:r>
        <w:rPr>
          <w:color w:val="231F20"/>
          <w:spacing w:val="-37"/>
        </w:rPr>
        <w:t> </w:t>
      </w:r>
      <w:r>
        <w:rPr>
          <w:color w:val="231F20"/>
        </w:rPr>
        <w:t>las fronteras de las ciencias</w:t>
      </w:r>
      <w:r>
        <w:rPr>
          <w:color w:val="231F20"/>
          <w:spacing w:val="-11"/>
        </w:rPr>
        <w:t> </w:t>
      </w:r>
      <w:r>
        <w:rPr>
          <w:color w:val="231F20"/>
        </w:rPr>
        <w:t>sociales.</w:t>
      </w:r>
    </w:p>
    <w:p>
      <w:pPr>
        <w:pStyle w:val="BodyText"/>
        <w:spacing w:line="247" w:lineRule="auto"/>
        <w:ind w:left="117" w:right="115" w:firstLine="283"/>
        <w:jc w:val="both"/>
      </w:pPr>
      <w:r>
        <w:rPr>
          <w:color w:val="231F20"/>
        </w:rPr>
        <w:t>Lasswell señala que el término “ciencias de política” (</w:t>
      </w:r>
      <w:r>
        <w:rPr>
          <w:i/>
          <w:color w:val="231F20"/>
        </w:rPr>
        <w:t>policy sciences</w:t>
      </w:r>
      <w:r>
        <w:rPr>
          <w:color w:val="231F20"/>
        </w:rPr>
        <w:t>) se</w:t>
      </w:r>
      <w:r>
        <w:rPr>
          <w:color w:val="231F20"/>
          <w:spacing w:val="-4"/>
        </w:rPr>
        <w:t> </w:t>
      </w:r>
      <w:r>
        <w:rPr>
          <w:color w:val="231F20"/>
        </w:rPr>
        <w:t>puede</w:t>
      </w:r>
      <w:r>
        <w:rPr>
          <w:color w:val="231F20"/>
          <w:spacing w:val="-4"/>
        </w:rPr>
        <w:t> </w:t>
      </w:r>
      <w:r>
        <w:rPr>
          <w:color w:val="231F20"/>
        </w:rPr>
        <w:t>utilizar</w:t>
      </w:r>
      <w:r>
        <w:rPr>
          <w:color w:val="231F20"/>
          <w:spacing w:val="-4"/>
        </w:rPr>
        <w:t> </w:t>
      </w:r>
      <w:r>
        <w:rPr>
          <w:color w:val="231F20"/>
        </w:rPr>
        <w:t>“a</w:t>
      </w:r>
      <w:r>
        <w:rPr>
          <w:color w:val="231F20"/>
          <w:spacing w:val="-4"/>
        </w:rPr>
        <w:t> </w:t>
      </w:r>
      <w:r>
        <w:rPr>
          <w:color w:val="231F20"/>
        </w:rPr>
        <w:t>fin</w:t>
      </w:r>
      <w:r>
        <w:rPr>
          <w:color w:val="231F20"/>
          <w:spacing w:val="-4"/>
        </w:rPr>
        <w:t> </w:t>
      </w:r>
      <w:r>
        <w:rPr>
          <w:color w:val="231F20"/>
        </w:rPr>
        <w:t>de</w:t>
      </w:r>
      <w:r>
        <w:rPr>
          <w:color w:val="231F20"/>
          <w:spacing w:val="-4"/>
        </w:rPr>
        <w:t> </w:t>
      </w:r>
      <w:r>
        <w:rPr>
          <w:color w:val="231F20"/>
        </w:rPr>
        <w:t>designar</w:t>
      </w:r>
      <w:r>
        <w:rPr>
          <w:color w:val="231F20"/>
          <w:spacing w:val="-4"/>
        </w:rPr>
        <w:t> </w:t>
      </w:r>
      <w:r>
        <w:rPr>
          <w:color w:val="231F20"/>
        </w:rPr>
        <w:t>el</w:t>
      </w:r>
      <w:r>
        <w:rPr>
          <w:color w:val="231F20"/>
          <w:spacing w:val="-4"/>
        </w:rPr>
        <w:t> </w:t>
      </w:r>
      <w:r>
        <w:rPr>
          <w:color w:val="231F20"/>
        </w:rPr>
        <w:t>contenido</w:t>
      </w:r>
      <w:r>
        <w:rPr>
          <w:color w:val="231F20"/>
          <w:spacing w:val="-4"/>
        </w:rPr>
        <w:t> </w:t>
      </w:r>
      <w:r>
        <w:rPr>
          <w:color w:val="231F20"/>
        </w:rPr>
        <w:t>específico</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“orienta- ción hacia las políticas alcanza en un momento determinado” (2000: 81). En las ciencias de política se encuentran tres aspectos i) los métodos de investigación del proceso de la política ii) los resultados de los estudios </w:t>
      </w:r>
      <w:r>
        <w:rPr>
          <w:color w:val="231F20"/>
          <w:spacing w:val="3"/>
        </w:rPr>
        <w:t> </w:t>
      </w:r>
      <w:r>
        <w:rPr>
          <w:color w:val="231F20"/>
        </w:rPr>
        <w:t>y</w:t>
      </w:r>
    </w:p>
    <w:p>
      <w:pPr>
        <w:pStyle w:val="BodyText"/>
        <w:spacing w:line="253" w:lineRule="exact"/>
        <w:ind w:left="117"/>
        <w:jc w:val="both"/>
      </w:pPr>
      <w:r>
        <w:rPr>
          <w:color w:val="231F20"/>
        </w:rPr>
        <w:t>iii) los descubrimientos de las disciplinas que aportan contribuciones.</w:t>
      </w:r>
    </w:p>
    <w:p>
      <w:pPr>
        <w:pStyle w:val="BodyText"/>
        <w:spacing w:line="247" w:lineRule="auto" w:before="7"/>
        <w:ind w:left="59" w:right="116" w:firstLine="283"/>
        <w:jc w:val="right"/>
      </w:pPr>
      <w:r>
        <w:rPr>
          <w:color w:val="231F20"/>
        </w:rPr>
        <w:t>Si se quiere mejorar la racionalidad del proceso político se debe dar a la función de inteligencia un espacio especial de estudios. Por ende las ciencias de políticas podrán avanzar sólo sí se afinan los métodos de</w:t>
      </w:r>
      <w:r>
        <w:rPr>
          <w:color w:val="231F20"/>
          <w:w w:val="100"/>
        </w:rPr>
        <w:t> </w:t>
      </w:r>
      <w:r>
        <w:rPr>
          <w:color w:val="231F20"/>
        </w:rPr>
        <w:t>información e interpretación, ya que el mundo es un conjunto que debe ser</w:t>
      </w:r>
      <w:r>
        <w:rPr>
          <w:color w:val="231F20"/>
          <w:spacing w:val="-1"/>
        </w:rPr>
        <w:t> </w:t>
      </w:r>
      <w:r>
        <w:rPr>
          <w:color w:val="231F20"/>
        </w:rPr>
        <w:t>objeto de atención permanente mediante el uso de modelos</w:t>
      </w:r>
      <w:r>
        <w:rPr>
          <w:color w:val="231F20"/>
          <w:spacing w:val="54"/>
        </w:rPr>
        <w:t> </w:t>
      </w:r>
      <w:r>
        <w:rPr>
          <w:color w:val="231F20"/>
        </w:rPr>
        <w:t>de desarrollo </w:t>
      </w:r>
      <w:r>
        <w:rPr>
          <w:i/>
          <w:color w:val="231F20"/>
        </w:rPr>
        <w:t>(developmental constructs) </w:t>
      </w:r>
      <w:r>
        <w:rPr>
          <w:color w:val="231F20"/>
        </w:rPr>
        <w:t>que sirvan para explorar el flujo de eventos a</w:t>
      </w:r>
      <w:r>
        <w:rPr>
          <w:color w:val="231F20"/>
          <w:w w:val="100"/>
        </w:rPr>
        <w:t> </w:t>
      </w:r>
      <w:r>
        <w:rPr>
          <w:color w:val="231F20"/>
        </w:rPr>
        <w:t>lo largo del tiempo. Con la orientación hacia las políticas se enfatiza que las ciencias de políticas están dando lugar a la reflexión (Lasswell, 2000).</w:t>
      </w:r>
    </w:p>
    <w:p>
      <w:pPr>
        <w:pStyle w:val="BodyText"/>
        <w:spacing w:line="247" w:lineRule="auto"/>
        <w:ind w:left="117" w:right="116" w:firstLine="283"/>
        <w:jc w:val="both"/>
      </w:pPr>
      <w:r>
        <w:rPr>
          <w:color w:val="231F20"/>
        </w:rPr>
        <w:t>Bajo este razonamiento, la tendencia de Lasswell se encuentra influida y</w:t>
      </w:r>
      <w:r>
        <w:rPr>
          <w:color w:val="231F20"/>
          <w:spacing w:val="-7"/>
        </w:rPr>
        <w:t> </w:t>
      </w:r>
      <w:r>
        <w:rPr>
          <w:color w:val="231F20"/>
        </w:rPr>
        <w:t>sustentada</w:t>
      </w:r>
      <w:r>
        <w:rPr>
          <w:color w:val="231F20"/>
          <w:spacing w:val="-6"/>
        </w:rPr>
        <w:t> </w:t>
      </w:r>
      <w:r>
        <w:rPr>
          <w:color w:val="231F20"/>
        </w:rPr>
        <w:t>por</w:t>
      </w:r>
      <w:r>
        <w:rPr>
          <w:color w:val="231F20"/>
          <w:spacing w:val="-7"/>
        </w:rPr>
        <w:t> </w:t>
      </w:r>
      <w:r>
        <w:rPr>
          <w:color w:val="231F20"/>
        </w:rPr>
        <w:t>el</w:t>
      </w:r>
      <w:r>
        <w:rPr>
          <w:color w:val="231F20"/>
          <w:spacing w:val="-7"/>
        </w:rPr>
        <w:t> </w:t>
      </w:r>
      <w:r>
        <w:rPr>
          <w:color w:val="231F20"/>
        </w:rPr>
        <w:t>pragmatismo</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positivismo</w:t>
      </w:r>
      <w:r>
        <w:rPr>
          <w:color w:val="231F20"/>
          <w:spacing w:val="-7"/>
        </w:rPr>
        <w:t> </w:t>
      </w:r>
      <w:r>
        <w:rPr>
          <w:color w:val="231F20"/>
        </w:rPr>
        <w:t>en</w:t>
      </w:r>
      <w:r>
        <w:rPr>
          <w:color w:val="231F20"/>
          <w:spacing w:val="-7"/>
        </w:rPr>
        <w:t> </w:t>
      </w:r>
      <w:r>
        <w:rPr>
          <w:color w:val="231F20"/>
        </w:rPr>
        <w:t>donde</w:t>
      </w:r>
      <w:r>
        <w:rPr>
          <w:color w:val="231F20"/>
          <w:spacing w:val="-7"/>
        </w:rPr>
        <w:t> </w:t>
      </w:r>
      <w:r>
        <w:rPr>
          <w:color w:val="231F20"/>
        </w:rPr>
        <w:t>el</w:t>
      </w:r>
      <w:r>
        <w:rPr>
          <w:color w:val="231F20"/>
          <w:spacing w:val="-7"/>
        </w:rPr>
        <w:t> </w:t>
      </w:r>
      <w:r>
        <w:rPr>
          <w:color w:val="231F20"/>
        </w:rPr>
        <w:t>método</w:t>
      </w:r>
      <w:r>
        <w:rPr>
          <w:color w:val="231F20"/>
          <w:spacing w:val="-7"/>
        </w:rPr>
        <w:t> </w:t>
      </w:r>
      <w:r>
        <w:rPr>
          <w:color w:val="231F20"/>
        </w:rPr>
        <w:t>cien- tífico</w:t>
      </w:r>
      <w:r>
        <w:rPr>
          <w:color w:val="231F20"/>
          <w:spacing w:val="-11"/>
        </w:rPr>
        <w:t> </w:t>
      </w:r>
      <w:r>
        <w:rPr>
          <w:color w:val="231F20"/>
        </w:rPr>
        <w:t>es</w:t>
      </w:r>
      <w:r>
        <w:rPr>
          <w:color w:val="231F20"/>
          <w:spacing w:val="-10"/>
        </w:rPr>
        <w:t> </w:t>
      </w:r>
      <w:r>
        <w:rPr>
          <w:color w:val="231F20"/>
        </w:rPr>
        <w:t>el</w:t>
      </w:r>
      <w:r>
        <w:rPr>
          <w:color w:val="231F20"/>
          <w:spacing w:val="-11"/>
        </w:rPr>
        <w:t> </w:t>
      </w:r>
      <w:r>
        <w:rPr>
          <w:color w:val="231F20"/>
        </w:rPr>
        <w:t>método</w:t>
      </w:r>
      <w:r>
        <w:rPr>
          <w:color w:val="231F20"/>
          <w:spacing w:val="-11"/>
        </w:rPr>
        <w:t> </w:t>
      </w:r>
      <w:r>
        <w:rPr>
          <w:color w:val="231F20"/>
        </w:rPr>
        <w:t>cuantitativo.</w:t>
      </w:r>
      <w:r>
        <w:rPr>
          <w:color w:val="231F20"/>
          <w:spacing w:val="-11"/>
        </w:rPr>
        <w:t> </w:t>
      </w:r>
      <w:r>
        <w:rPr>
          <w:color w:val="231F20"/>
        </w:rPr>
        <w:t>Un</w:t>
      </w:r>
      <w:r>
        <w:rPr>
          <w:color w:val="231F20"/>
          <w:spacing w:val="-10"/>
        </w:rPr>
        <w:t> </w:t>
      </w:r>
      <w:r>
        <w:rPr>
          <w:color w:val="231F20"/>
        </w:rPr>
        <w:t>punto</w:t>
      </w:r>
      <w:r>
        <w:rPr>
          <w:color w:val="231F20"/>
          <w:spacing w:val="-11"/>
        </w:rPr>
        <w:t> </w:t>
      </w:r>
      <w:r>
        <w:rPr>
          <w:color w:val="231F20"/>
        </w:rPr>
        <w:t>más</w:t>
      </w:r>
      <w:r>
        <w:rPr>
          <w:color w:val="231F20"/>
          <w:spacing w:val="-11"/>
        </w:rPr>
        <w:t> </w:t>
      </w:r>
      <w:r>
        <w:rPr>
          <w:color w:val="231F20"/>
        </w:rPr>
        <w:t>que</w:t>
      </w:r>
      <w:r>
        <w:rPr>
          <w:color w:val="231F20"/>
          <w:spacing w:val="-11"/>
        </w:rPr>
        <w:t> </w:t>
      </w:r>
      <w:r>
        <w:rPr>
          <w:color w:val="231F20"/>
        </w:rPr>
        <w:t>ayuda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dilucidación de</w:t>
      </w:r>
      <w:r>
        <w:rPr>
          <w:color w:val="231F20"/>
          <w:spacing w:val="20"/>
        </w:rPr>
        <w:t> </w:t>
      </w:r>
      <w:r>
        <w:rPr>
          <w:color w:val="231F20"/>
        </w:rPr>
        <w:t>las</w:t>
      </w:r>
      <w:r>
        <w:rPr>
          <w:color w:val="231F20"/>
          <w:spacing w:val="20"/>
        </w:rPr>
        <w:t> </w:t>
      </w:r>
      <w:r>
        <w:rPr>
          <w:color w:val="231F20"/>
        </w:rPr>
        <w:t>políticas</w:t>
      </w:r>
      <w:r>
        <w:rPr>
          <w:color w:val="231F20"/>
          <w:spacing w:val="20"/>
        </w:rPr>
        <w:t> </w:t>
      </w:r>
      <w:r>
        <w:rPr>
          <w:color w:val="231F20"/>
        </w:rPr>
        <w:t>es</w:t>
      </w:r>
      <w:r>
        <w:rPr>
          <w:color w:val="231F20"/>
          <w:spacing w:val="20"/>
        </w:rPr>
        <w:t> </w:t>
      </w:r>
      <w:r>
        <w:rPr>
          <w:color w:val="231F20"/>
        </w:rPr>
        <w:t>entender</w:t>
      </w:r>
      <w:r>
        <w:rPr>
          <w:color w:val="231F20"/>
          <w:spacing w:val="19"/>
        </w:rPr>
        <w:t> </w:t>
      </w:r>
      <w:r>
        <w:rPr>
          <w:color w:val="231F20"/>
        </w:rPr>
        <w:t>la</w:t>
      </w:r>
      <w:r>
        <w:rPr>
          <w:color w:val="231F20"/>
          <w:spacing w:val="20"/>
        </w:rPr>
        <w:t> </w:t>
      </w:r>
      <w:r>
        <w:rPr>
          <w:color w:val="231F20"/>
        </w:rPr>
        <w:t>diferencia</w:t>
      </w:r>
      <w:r>
        <w:rPr>
          <w:color w:val="231F20"/>
          <w:spacing w:val="20"/>
        </w:rPr>
        <w:t> </w:t>
      </w:r>
      <w:r>
        <w:rPr>
          <w:color w:val="231F20"/>
        </w:rPr>
        <w:t>entre</w:t>
      </w:r>
      <w:r>
        <w:rPr>
          <w:color w:val="231F20"/>
          <w:spacing w:val="20"/>
        </w:rPr>
        <w:t> </w:t>
      </w:r>
      <w:r>
        <w:rPr>
          <w:i/>
          <w:color w:val="231F20"/>
        </w:rPr>
        <w:t>política</w:t>
      </w:r>
      <w:r>
        <w:rPr>
          <w:i/>
          <w:color w:val="231F20"/>
          <w:spacing w:val="20"/>
        </w:rPr>
        <w:t> </w:t>
      </w:r>
      <w:r>
        <w:rPr>
          <w:color w:val="231F20"/>
        </w:rPr>
        <w:t>y</w:t>
      </w:r>
      <w:r>
        <w:rPr>
          <w:color w:val="231F20"/>
          <w:spacing w:val="20"/>
        </w:rPr>
        <w:t> </w:t>
      </w:r>
      <w:r>
        <w:rPr>
          <w:i/>
          <w:color w:val="231F20"/>
        </w:rPr>
        <w:t>políticas</w:t>
      </w:r>
      <w:r>
        <w:rPr>
          <w:color w:val="231F20"/>
        </w:rPr>
        <w:t>.</w:t>
      </w:r>
      <w:r>
        <w:rPr>
          <w:color w:val="231F20"/>
          <w:spacing w:val="20"/>
        </w:rPr>
        <w:t> </w:t>
      </w:r>
      <w:r>
        <w:rPr>
          <w:color w:val="231F20"/>
        </w:rPr>
        <w:t>En</w:t>
      </w:r>
      <w:r>
        <w:rPr>
          <w:color w:val="231F20"/>
          <w:spacing w:val="20"/>
        </w:rPr>
        <w:t> </w:t>
      </w:r>
      <w:r>
        <w:rPr>
          <w:color w:val="231F20"/>
        </w:rPr>
        <w:t>la</w:t>
      </w:r>
    </w:p>
    <w:p>
      <w:pPr>
        <w:spacing w:after="0" w:line="247" w:lineRule="auto"/>
        <w:jc w:val="both"/>
        <w:sectPr>
          <w:pgSz w:w="9360" w:h="13040"/>
          <w:pgMar w:header="0" w:footer="496" w:top="800" w:bottom="680" w:left="1300" w:right="1300"/>
        </w:sectPr>
      </w:pPr>
    </w:p>
    <w:p>
      <w:pPr>
        <w:spacing w:before="45"/>
        <w:ind w:left="117" w:right="0" w:firstLine="67"/>
        <w:jc w:val="both"/>
        <w:rPr>
          <w:rFonts w:ascii="Arial" w:hAnsi="Arial"/>
          <w:sz w:val="20"/>
        </w:rPr>
      </w:pPr>
      <w:r>
        <w:rPr>
          <w:rFonts w:ascii="Arial" w:hAnsi="Arial"/>
          <w:color w:val="231F20"/>
          <w:w w:val="65"/>
          <w:sz w:val="20"/>
        </w:rPr>
        <w:t>Las políticas públicas de combate a la pobreza y su sinergia... /Mayra P. Pérez-Román y A. Velázquez-Romero</w:t>
      </w:r>
    </w:p>
    <w:p>
      <w:pPr>
        <w:pStyle w:val="BodyText"/>
        <w:spacing w:before="7"/>
        <w:rPr>
          <w:rFonts w:ascii="Arial"/>
          <w:sz w:val="28"/>
        </w:rPr>
      </w:pPr>
    </w:p>
    <w:p>
      <w:pPr>
        <w:pStyle w:val="BodyText"/>
        <w:spacing w:line="247" w:lineRule="auto"/>
        <w:ind w:left="117" w:right="114"/>
        <w:jc w:val="both"/>
      </w:pPr>
      <w:r>
        <w:rPr>
          <w:color w:val="231F20"/>
        </w:rPr>
        <w:t>lengua</w:t>
      </w:r>
      <w:r>
        <w:rPr>
          <w:color w:val="231F20"/>
          <w:spacing w:val="-10"/>
        </w:rPr>
        <w:t> </w:t>
      </w:r>
      <w:r>
        <w:rPr>
          <w:color w:val="231F20"/>
        </w:rPr>
        <w:t>inglesa</w:t>
      </w:r>
      <w:r>
        <w:rPr>
          <w:color w:val="231F20"/>
          <w:spacing w:val="-10"/>
        </w:rPr>
        <w:t> </w:t>
      </w:r>
      <w:r>
        <w:rPr>
          <w:color w:val="231F20"/>
        </w:rPr>
        <w:t>se</w:t>
      </w:r>
      <w:r>
        <w:rPr>
          <w:color w:val="231F20"/>
          <w:spacing w:val="-9"/>
        </w:rPr>
        <w:t> </w:t>
      </w:r>
      <w:r>
        <w:rPr>
          <w:color w:val="231F20"/>
        </w:rPr>
        <w:t>utiliza</w:t>
      </w:r>
      <w:r>
        <w:rPr>
          <w:color w:val="231F20"/>
          <w:spacing w:val="-9"/>
        </w:rPr>
        <w:t> </w:t>
      </w:r>
      <w:r>
        <w:rPr>
          <w:color w:val="231F20"/>
        </w:rPr>
        <w:t>la</w:t>
      </w:r>
      <w:r>
        <w:rPr>
          <w:color w:val="231F20"/>
          <w:spacing w:val="-9"/>
        </w:rPr>
        <w:t> </w:t>
      </w:r>
      <w:r>
        <w:rPr>
          <w:color w:val="231F20"/>
        </w:rPr>
        <w:t>expresión</w:t>
      </w:r>
      <w:r>
        <w:rPr>
          <w:color w:val="231F20"/>
          <w:spacing w:val="-10"/>
        </w:rPr>
        <w:t> </w:t>
      </w:r>
      <w:r>
        <w:rPr>
          <w:i/>
          <w:color w:val="231F20"/>
        </w:rPr>
        <w:t>politics</w:t>
      </w:r>
      <w:r>
        <w:rPr>
          <w:i/>
          <w:color w:val="231F20"/>
          <w:spacing w:val="-9"/>
        </w:rPr>
        <w:t> </w:t>
      </w:r>
      <w:r>
        <w:rPr>
          <w:color w:val="231F20"/>
        </w:rPr>
        <w:t>entendida</w:t>
      </w:r>
      <w:r>
        <w:rPr>
          <w:color w:val="231F20"/>
          <w:spacing w:val="-10"/>
        </w:rPr>
        <w:t> </w:t>
      </w:r>
      <w:r>
        <w:rPr>
          <w:color w:val="231F20"/>
        </w:rPr>
        <w:t>como</w:t>
      </w:r>
      <w:r>
        <w:rPr>
          <w:color w:val="231F20"/>
          <w:spacing w:val="-9"/>
        </w:rPr>
        <w:t> </w:t>
      </w:r>
      <w:r>
        <w:rPr>
          <w:color w:val="231F20"/>
        </w:rPr>
        <w:t>relaciones</w:t>
      </w:r>
      <w:r>
        <w:rPr>
          <w:color w:val="231F20"/>
          <w:spacing w:val="-9"/>
        </w:rPr>
        <w:t> </w:t>
      </w:r>
      <w:r>
        <w:rPr>
          <w:color w:val="231F20"/>
        </w:rPr>
        <w:t>de poder, lo que se traduciría al castellano como política y </w:t>
      </w:r>
      <w:r>
        <w:rPr>
          <w:i/>
          <w:color w:val="231F20"/>
        </w:rPr>
        <w:t>policy</w:t>
      </w:r>
      <w:r>
        <w:rPr>
          <w:color w:val="231F20"/>
        </w:rPr>
        <w:t>, que marca las relaciones de gobierno y se traduce como políticas (Canto, 2002). Es así que las políticas públicas cuentan con dos demandas fundamentales i) que</w:t>
      </w:r>
      <w:r>
        <w:rPr>
          <w:color w:val="231F20"/>
          <w:spacing w:val="-4"/>
        </w:rPr>
        <w:t> </w:t>
      </w:r>
      <w:r>
        <w:rPr>
          <w:color w:val="231F20"/>
        </w:rPr>
        <w:t>sean</w:t>
      </w:r>
      <w:r>
        <w:rPr>
          <w:color w:val="231F20"/>
          <w:spacing w:val="-4"/>
        </w:rPr>
        <w:t> </w:t>
      </w:r>
      <w:r>
        <w:rPr>
          <w:color w:val="231F20"/>
        </w:rPr>
        <w:t>eficientes</w:t>
      </w:r>
      <w:r>
        <w:rPr>
          <w:color w:val="231F20"/>
          <w:spacing w:val="-4"/>
        </w:rPr>
        <w:t> </w:t>
      </w:r>
      <w:r>
        <w:rPr>
          <w:color w:val="231F20"/>
        </w:rPr>
        <w:t>y</w:t>
      </w:r>
      <w:r>
        <w:rPr>
          <w:color w:val="231F20"/>
          <w:spacing w:val="-4"/>
        </w:rPr>
        <w:t> </w:t>
      </w:r>
      <w:r>
        <w:rPr>
          <w:color w:val="231F20"/>
        </w:rPr>
        <w:t>ii)</w:t>
      </w:r>
      <w:r>
        <w:rPr>
          <w:color w:val="231F20"/>
          <w:spacing w:val="-4"/>
        </w:rPr>
        <w:t> </w:t>
      </w:r>
      <w:r>
        <w:rPr>
          <w:color w:val="231F20"/>
        </w:rPr>
        <w:t>que</w:t>
      </w:r>
      <w:r>
        <w:rPr>
          <w:color w:val="231F20"/>
          <w:spacing w:val="-4"/>
        </w:rPr>
        <w:t> </w:t>
      </w:r>
      <w:r>
        <w:rPr>
          <w:color w:val="231F20"/>
        </w:rPr>
        <w:t>sean</w:t>
      </w:r>
      <w:r>
        <w:rPr>
          <w:color w:val="231F20"/>
          <w:spacing w:val="-4"/>
        </w:rPr>
        <w:t> </w:t>
      </w:r>
      <w:r>
        <w:rPr>
          <w:color w:val="231F20"/>
        </w:rPr>
        <w:t>democráticas;</w:t>
      </w:r>
      <w:r>
        <w:rPr>
          <w:color w:val="231F20"/>
          <w:spacing w:val="-5"/>
        </w:rPr>
        <w:t> </w:t>
      </w:r>
      <w:r>
        <w:rPr>
          <w:color w:val="231F20"/>
        </w:rPr>
        <w:t>para</w:t>
      </w:r>
      <w:r>
        <w:rPr>
          <w:color w:val="231F20"/>
          <w:spacing w:val="-4"/>
        </w:rPr>
        <w:t> </w:t>
      </w:r>
      <w:r>
        <w:rPr>
          <w:color w:val="231F20"/>
        </w:rPr>
        <w:t>que</w:t>
      </w:r>
      <w:r>
        <w:rPr>
          <w:color w:val="231F20"/>
          <w:spacing w:val="-4"/>
        </w:rPr>
        <w:t> </w:t>
      </w:r>
      <w:r>
        <w:rPr>
          <w:color w:val="231F20"/>
        </w:rPr>
        <w:t>esto</w:t>
      </w:r>
      <w:r>
        <w:rPr>
          <w:color w:val="231F20"/>
          <w:spacing w:val="-4"/>
        </w:rPr>
        <w:t> </w:t>
      </w:r>
      <w:r>
        <w:rPr>
          <w:color w:val="231F20"/>
        </w:rPr>
        <w:t>se</w:t>
      </w:r>
      <w:r>
        <w:rPr>
          <w:color w:val="231F20"/>
          <w:spacing w:val="-4"/>
        </w:rPr>
        <w:t> </w:t>
      </w:r>
      <w:r>
        <w:rPr>
          <w:color w:val="231F20"/>
        </w:rPr>
        <w:t>cumpla</w:t>
      </w:r>
      <w:r>
        <w:rPr>
          <w:color w:val="231F20"/>
          <w:spacing w:val="-4"/>
        </w:rPr>
        <w:t> </w:t>
      </w:r>
      <w:r>
        <w:rPr>
          <w:color w:val="231F20"/>
        </w:rPr>
        <w:t>se necesita</w:t>
      </w:r>
      <w:r>
        <w:rPr>
          <w:color w:val="231F20"/>
          <w:spacing w:val="-5"/>
        </w:rPr>
        <w:t> </w:t>
      </w:r>
      <w:r>
        <w:rPr>
          <w:color w:val="231F20"/>
        </w:rPr>
        <w:t>contar</w:t>
      </w:r>
      <w:r>
        <w:rPr>
          <w:color w:val="231F20"/>
          <w:spacing w:val="-6"/>
        </w:rPr>
        <w:t> </w:t>
      </w:r>
      <w:r>
        <w:rPr>
          <w:color w:val="231F20"/>
        </w:rPr>
        <w:t>con</w:t>
      </w:r>
      <w:r>
        <w:rPr>
          <w:color w:val="231F20"/>
          <w:spacing w:val="-5"/>
        </w:rPr>
        <w:t> </w:t>
      </w:r>
      <w:r>
        <w:rPr>
          <w:color w:val="231F20"/>
        </w:rPr>
        <w:t>una</w:t>
      </w:r>
      <w:r>
        <w:rPr>
          <w:color w:val="231F20"/>
          <w:spacing w:val="-5"/>
        </w:rPr>
        <w:t> </w:t>
      </w:r>
      <w:r>
        <w:rPr>
          <w:color w:val="231F20"/>
        </w:rPr>
        <w:t>racionalidad,</w:t>
      </w:r>
      <w:r>
        <w:rPr>
          <w:color w:val="231F20"/>
          <w:spacing w:val="-5"/>
        </w:rPr>
        <w:t> </w:t>
      </w:r>
      <w:r>
        <w:rPr>
          <w:color w:val="231F20"/>
        </w:rPr>
        <w:t>entendida</w:t>
      </w:r>
      <w:r>
        <w:rPr>
          <w:color w:val="231F20"/>
          <w:spacing w:val="-6"/>
        </w:rPr>
        <w:t> </w:t>
      </w:r>
      <w:r>
        <w:rPr>
          <w:color w:val="231F20"/>
        </w:rPr>
        <w:t>como</w:t>
      </w:r>
      <w:r>
        <w:rPr>
          <w:color w:val="231F20"/>
          <w:spacing w:val="-5"/>
        </w:rPr>
        <w:t> </w:t>
      </w:r>
      <w:r>
        <w:rPr>
          <w:color w:val="231F20"/>
        </w:rPr>
        <w:t>el</w:t>
      </w:r>
      <w:r>
        <w:rPr>
          <w:color w:val="231F20"/>
          <w:spacing w:val="-5"/>
        </w:rPr>
        <w:t> </w:t>
      </w:r>
      <w:r>
        <w:rPr>
          <w:color w:val="231F20"/>
        </w:rPr>
        <w:t>cálculo</w:t>
      </w:r>
      <w:r>
        <w:rPr>
          <w:color w:val="231F20"/>
          <w:spacing w:val="-6"/>
        </w:rPr>
        <w:t> </w:t>
      </w:r>
      <w:r>
        <w:rPr>
          <w:color w:val="231F20"/>
        </w:rPr>
        <w:t>de</w:t>
      </w:r>
      <w:r>
        <w:rPr>
          <w:color w:val="231F20"/>
          <w:spacing w:val="-5"/>
        </w:rPr>
        <w:t> </w:t>
      </w:r>
      <w:r>
        <w:rPr>
          <w:color w:val="231F20"/>
        </w:rPr>
        <w:t>medios necesarios para alcanzar los fines deseados mediante el auxilio del saber científico y</w:t>
      </w:r>
      <w:r>
        <w:rPr>
          <w:color w:val="231F20"/>
          <w:spacing w:val="-12"/>
        </w:rPr>
        <w:t> </w:t>
      </w:r>
      <w:r>
        <w:rPr>
          <w:color w:val="231F20"/>
        </w:rPr>
        <w:t>tecnológico.</w:t>
      </w:r>
    </w:p>
    <w:p>
      <w:pPr>
        <w:pStyle w:val="BodyText"/>
        <w:spacing w:line="247" w:lineRule="auto"/>
        <w:ind w:left="117" w:right="115" w:firstLine="283"/>
        <w:jc w:val="both"/>
      </w:pPr>
      <w:r>
        <w:rPr>
          <w:color w:val="231F20"/>
        </w:rPr>
        <w:t>Pese a lo anterior, y como consecuencia del descuido de la hechura política fue que no poseía autonomía alguna en la ciencia política, en con- traste, tenía toda la autonomía para la administración pública siendo el resultado que el proceso decisorio de la política se volviera un objeto de estudio</w:t>
      </w:r>
      <w:r>
        <w:rPr>
          <w:color w:val="231F20"/>
          <w:spacing w:val="-7"/>
        </w:rPr>
        <w:t> </w:t>
      </w:r>
      <w:r>
        <w:rPr>
          <w:color w:val="231F20"/>
        </w:rPr>
        <w:t>externo</w:t>
      </w:r>
      <w:r>
        <w:rPr>
          <w:color w:val="231F20"/>
          <w:spacing w:val="-7"/>
        </w:rPr>
        <w:t> </w:t>
      </w:r>
      <w:r>
        <w:rPr>
          <w:color w:val="231F20"/>
        </w:rPr>
        <w:t>y</w:t>
      </w:r>
      <w:r>
        <w:rPr>
          <w:color w:val="231F20"/>
          <w:spacing w:val="-7"/>
        </w:rPr>
        <w:t> </w:t>
      </w:r>
      <w:r>
        <w:rPr>
          <w:color w:val="231F20"/>
        </w:rPr>
        <w:t>marginal</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dos</w:t>
      </w:r>
      <w:r>
        <w:rPr>
          <w:color w:val="231F20"/>
          <w:spacing w:val="-7"/>
        </w:rPr>
        <w:t> </w:t>
      </w:r>
      <w:r>
        <w:rPr>
          <w:color w:val="231F20"/>
        </w:rPr>
        <w:t>disciplinas.</w:t>
      </w:r>
      <w:r>
        <w:rPr>
          <w:color w:val="231F20"/>
          <w:spacing w:val="-7"/>
        </w:rPr>
        <w:t> </w:t>
      </w:r>
      <w:r>
        <w:rPr>
          <w:color w:val="231F20"/>
        </w:rPr>
        <w:t>La</w:t>
      </w:r>
      <w:r>
        <w:rPr>
          <w:color w:val="231F20"/>
          <w:spacing w:val="-7"/>
        </w:rPr>
        <w:t> </w:t>
      </w:r>
      <w:r>
        <w:rPr>
          <w:color w:val="231F20"/>
        </w:rPr>
        <w:t>administración</w:t>
      </w:r>
      <w:r>
        <w:rPr>
          <w:color w:val="231F20"/>
          <w:spacing w:val="-7"/>
        </w:rPr>
        <w:t> </w:t>
      </w:r>
      <w:r>
        <w:rPr>
          <w:color w:val="231F20"/>
        </w:rPr>
        <w:t>pública dejaba fuera el proceso a través del cual se elaboran las políticas, a decir de</w:t>
      </w:r>
      <w:r>
        <w:rPr>
          <w:color w:val="231F20"/>
          <w:spacing w:val="-13"/>
        </w:rPr>
        <w:t> </w:t>
      </w:r>
      <w:r>
        <w:rPr>
          <w:color w:val="231F20"/>
        </w:rPr>
        <w:t>Aguilar:</w:t>
      </w:r>
    </w:p>
    <w:p>
      <w:pPr>
        <w:spacing w:line="249" w:lineRule="auto" w:before="168"/>
        <w:ind w:left="400" w:right="115" w:firstLine="0"/>
        <w:jc w:val="both"/>
        <w:rPr>
          <w:sz w:val="20"/>
        </w:rPr>
      </w:pPr>
      <w:r>
        <w:rPr>
          <w:sz w:val="20"/>
        </w:rPr>
        <w:t>Fue alto el precio pagado por causa del descuido teórico del proceso de la ela- boración</w:t>
      </w:r>
      <w:r>
        <w:rPr>
          <w:spacing w:val="-9"/>
          <w:sz w:val="20"/>
        </w:rPr>
        <w:t> </w:t>
      </w:r>
      <w:r>
        <w:rPr>
          <w:sz w:val="20"/>
        </w:rPr>
        <w:t>de</w:t>
      </w:r>
      <w:r>
        <w:rPr>
          <w:spacing w:val="-9"/>
          <w:sz w:val="20"/>
        </w:rPr>
        <w:t> </w:t>
      </w:r>
      <w:r>
        <w:rPr>
          <w:sz w:val="20"/>
        </w:rPr>
        <w:t>la</w:t>
      </w:r>
      <w:r>
        <w:rPr>
          <w:spacing w:val="-9"/>
          <w:sz w:val="20"/>
        </w:rPr>
        <w:t> </w:t>
      </w:r>
      <w:r>
        <w:rPr>
          <w:sz w:val="20"/>
        </w:rPr>
        <w:t>políticas.</w:t>
      </w:r>
      <w:r>
        <w:rPr>
          <w:spacing w:val="-9"/>
          <w:sz w:val="20"/>
        </w:rPr>
        <w:t> </w:t>
      </w:r>
      <w:r>
        <w:rPr>
          <w:sz w:val="20"/>
        </w:rPr>
        <w:t>El</w:t>
      </w:r>
      <w:r>
        <w:rPr>
          <w:spacing w:val="-9"/>
          <w:sz w:val="20"/>
        </w:rPr>
        <w:t> </w:t>
      </w:r>
      <w:r>
        <w:rPr>
          <w:sz w:val="20"/>
        </w:rPr>
        <w:t>crecimiento</w:t>
      </w:r>
      <w:r>
        <w:rPr>
          <w:spacing w:val="-9"/>
          <w:sz w:val="20"/>
        </w:rPr>
        <w:t> </w:t>
      </w:r>
      <w:r>
        <w:rPr>
          <w:sz w:val="20"/>
        </w:rPr>
        <w:t>del</w:t>
      </w:r>
      <w:r>
        <w:rPr>
          <w:spacing w:val="-9"/>
          <w:sz w:val="20"/>
        </w:rPr>
        <w:t> </w:t>
      </w:r>
      <w:r>
        <w:rPr>
          <w:sz w:val="20"/>
        </w:rPr>
        <w:t>Estado</w:t>
      </w:r>
      <w:r>
        <w:rPr>
          <w:spacing w:val="-9"/>
          <w:sz w:val="20"/>
        </w:rPr>
        <w:t> </w:t>
      </w:r>
      <w:r>
        <w:rPr>
          <w:sz w:val="20"/>
        </w:rPr>
        <w:t>y</w:t>
      </w:r>
      <w:r>
        <w:rPr>
          <w:spacing w:val="-9"/>
          <w:sz w:val="20"/>
        </w:rPr>
        <w:t> </w:t>
      </w:r>
      <w:r>
        <w:rPr>
          <w:sz w:val="20"/>
        </w:rPr>
        <w:t>la</w:t>
      </w:r>
      <w:r>
        <w:rPr>
          <w:spacing w:val="-9"/>
          <w:sz w:val="20"/>
        </w:rPr>
        <w:t> </w:t>
      </w:r>
      <w:r>
        <w:rPr>
          <w:sz w:val="20"/>
        </w:rPr>
        <w:t>expansión</w:t>
      </w:r>
      <w:r>
        <w:rPr>
          <w:spacing w:val="-9"/>
          <w:sz w:val="20"/>
        </w:rPr>
        <w:t> </w:t>
      </w:r>
      <w:r>
        <w:rPr>
          <w:sz w:val="20"/>
        </w:rPr>
        <w:t>de</w:t>
      </w:r>
      <w:r>
        <w:rPr>
          <w:spacing w:val="-9"/>
          <w:sz w:val="20"/>
        </w:rPr>
        <w:t> </w:t>
      </w:r>
      <w:r>
        <w:rPr>
          <w:sz w:val="20"/>
        </w:rPr>
        <w:t>su</w:t>
      </w:r>
      <w:r>
        <w:rPr>
          <w:spacing w:val="-9"/>
          <w:sz w:val="20"/>
        </w:rPr>
        <w:t> </w:t>
      </w:r>
      <w:r>
        <w:rPr>
          <w:sz w:val="20"/>
        </w:rPr>
        <w:t>aparato gubernamental fueron señal de que los grandes actores… eran incapaces de resolver muchas cuestiones sociales </w:t>
      </w:r>
      <w:r>
        <w:rPr>
          <w:spacing w:val="-7"/>
          <w:sz w:val="20"/>
        </w:rPr>
        <w:t>y, </w:t>
      </w:r>
      <w:r>
        <w:rPr>
          <w:sz w:val="20"/>
        </w:rPr>
        <w:t>en el fondo, incapaces de garantizar el orden y el bienestar público (2000a: 18).</w:t>
      </w:r>
    </w:p>
    <w:p>
      <w:pPr>
        <w:pStyle w:val="BodyText"/>
        <w:spacing w:line="247" w:lineRule="auto" w:before="172"/>
        <w:ind w:left="117" w:right="115" w:firstLine="283"/>
        <w:jc w:val="both"/>
      </w:pPr>
      <w:r>
        <w:rPr>
          <w:color w:val="231F20"/>
        </w:rPr>
        <w:t>Además derivado del mal entendimiento de las políticas, se presentan debilidades como el guiarse por intereses políticos o presentar influencias ideológicas de élites o grupos políticos e incluso influencia de carácter subjetivo de parte de los diseñadores, por ello es necesario referirse con términos precisos para evitar en la medida de lo posible confusiones en torno al diseño de políticas públicas.</w:t>
      </w:r>
    </w:p>
    <w:p>
      <w:pPr>
        <w:pStyle w:val="BodyText"/>
        <w:spacing w:line="247" w:lineRule="auto"/>
        <w:ind w:left="117" w:right="115" w:firstLine="283"/>
        <w:jc w:val="both"/>
      </w:pPr>
      <w:r>
        <w:rPr>
          <w:color w:val="231F20"/>
        </w:rPr>
        <w:t>Contar con un concepto claro de políticas públicas facilita su entendi- miento,</w:t>
      </w:r>
      <w:r>
        <w:rPr>
          <w:color w:val="231F20"/>
          <w:spacing w:val="-8"/>
        </w:rPr>
        <w:t> </w:t>
      </w:r>
      <w:r>
        <w:rPr>
          <w:color w:val="231F20"/>
        </w:rPr>
        <w:t>ya</w:t>
      </w:r>
      <w:r>
        <w:rPr>
          <w:color w:val="231F20"/>
          <w:spacing w:val="-8"/>
        </w:rPr>
        <w:t> </w:t>
      </w:r>
      <w:r>
        <w:rPr>
          <w:color w:val="231F20"/>
        </w:rPr>
        <w:t>que</w:t>
      </w:r>
      <w:r>
        <w:rPr>
          <w:color w:val="231F20"/>
          <w:spacing w:val="-8"/>
        </w:rPr>
        <w:t> </w:t>
      </w:r>
      <w:r>
        <w:rPr>
          <w:color w:val="231F20"/>
        </w:rPr>
        <w:t>son</w:t>
      </w:r>
      <w:r>
        <w:rPr>
          <w:color w:val="231F20"/>
          <w:spacing w:val="-8"/>
        </w:rPr>
        <w:t> </w:t>
      </w:r>
      <w:r>
        <w:rPr>
          <w:color w:val="231F20"/>
        </w:rPr>
        <w:t>numerosas</w:t>
      </w:r>
      <w:r>
        <w:rPr>
          <w:color w:val="231F20"/>
          <w:spacing w:val="-8"/>
        </w:rPr>
        <w:t> </w:t>
      </w:r>
      <w:r>
        <w:rPr>
          <w:color w:val="231F20"/>
        </w:rPr>
        <w:t>las</w:t>
      </w:r>
      <w:r>
        <w:rPr>
          <w:color w:val="231F20"/>
          <w:spacing w:val="-8"/>
        </w:rPr>
        <w:t> </w:t>
      </w:r>
      <w:r>
        <w:rPr>
          <w:color w:val="231F20"/>
        </w:rPr>
        <w:t>definiciones</w:t>
      </w:r>
      <w:r>
        <w:rPr>
          <w:color w:val="231F20"/>
          <w:spacing w:val="-8"/>
        </w:rPr>
        <w:t> </w:t>
      </w:r>
      <w:r>
        <w:rPr>
          <w:color w:val="231F20"/>
        </w:rPr>
        <w:t>que</w:t>
      </w:r>
      <w:r>
        <w:rPr>
          <w:color w:val="231F20"/>
          <w:spacing w:val="-8"/>
        </w:rPr>
        <w:t> </w:t>
      </w:r>
      <w:r>
        <w:rPr>
          <w:color w:val="231F20"/>
        </w:rPr>
        <w:t>existen,</w:t>
      </w:r>
      <w:r>
        <w:rPr>
          <w:color w:val="231F20"/>
          <w:spacing w:val="-8"/>
        </w:rPr>
        <w:t> </w:t>
      </w:r>
      <w:r>
        <w:rPr>
          <w:color w:val="231F20"/>
        </w:rPr>
        <w:t>pero</w:t>
      </w:r>
      <w:r>
        <w:rPr>
          <w:color w:val="231F20"/>
          <w:spacing w:val="-8"/>
        </w:rPr>
        <w:t> </w:t>
      </w:r>
      <w:r>
        <w:rPr>
          <w:color w:val="231F20"/>
        </w:rPr>
        <w:t>de</w:t>
      </w:r>
      <w:r>
        <w:rPr>
          <w:color w:val="231F20"/>
          <w:spacing w:val="-8"/>
        </w:rPr>
        <w:t> </w:t>
      </w:r>
      <w:r>
        <w:rPr>
          <w:color w:val="231F20"/>
        </w:rPr>
        <w:t>manera genérica éstas no se pueden entender como una decisión aislada, sino a decir de Canto, como un:</w:t>
      </w:r>
    </w:p>
    <w:p>
      <w:pPr>
        <w:spacing w:line="249" w:lineRule="auto" w:before="168"/>
        <w:ind w:left="400" w:right="114" w:firstLine="0"/>
        <w:jc w:val="both"/>
        <w:rPr>
          <w:sz w:val="20"/>
        </w:rPr>
      </w:pPr>
      <w:r>
        <w:rPr>
          <w:sz w:val="20"/>
        </w:rPr>
        <w:t>Conjunto</w:t>
      </w:r>
      <w:r>
        <w:rPr>
          <w:spacing w:val="-8"/>
          <w:sz w:val="20"/>
        </w:rPr>
        <w:t> </w:t>
      </w:r>
      <w:r>
        <w:rPr>
          <w:sz w:val="20"/>
        </w:rPr>
        <w:t>de</w:t>
      </w:r>
      <w:r>
        <w:rPr>
          <w:spacing w:val="-7"/>
          <w:sz w:val="20"/>
        </w:rPr>
        <w:t> </w:t>
      </w:r>
      <w:r>
        <w:rPr>
          <w:sz w:val="20"/>
        </w:rPr>
        <w:t>decisiones</w:t>
      </w:r>
      <w:r>
        <w:rPr>
          <w:spacing w:val="-8"/>
          <w:sz w:val="20"/>
        </w:rPr>
        <w:t> </w:t>
      </w:r>
      <w:r>
        <w:rPr>
          <w:sz w:val="20"/>
        </w:rPr>
        <w:t>que</w:t>
      </w:r>
      <w:r>
        <w:rPr>
          <w:spacing w:val="-7"/>
          <w:sz w:val="20"/>
        </w:rPr>
        <w:t> </w:t>
      </w:r>
      <w:r>
        <w:rPr>
          <w:sz w:val="20"/>
        </w:rPr>
        <w:t>se</w:t>
      </w:r>
      <w:r>
        <w:rPr>
          <w:spacing w:val="-7"/>
          <w:sz w:val="20"/>
        </w:rPr>
        <w:t> </w:t>
      </w:r>
      <w:r>
        <w:rPr>
          <w:sz w:val="20"/>
        </w:rPr>
        <w:t>entrelazan</w:t>
      </w:r>
      <w:r>
        <w:rPr>
          <w:spacing w:val="-8"/>
          <w:sz w:val="20"/>
        </w:rPr>
        <w:t> </w:t>
      </w:r>
      <w:r>
        <w:rPr>
          <w:sz w:val="20"/>
        </w:rPr>
        <w:t>y</w:t>
      </w:r>
      <w:r>
        <w:rPr>
          <w:spacing w:val="-7"/>
          <w:sz w:val="20"/>
        </w:rPr>
        <w:t> </w:t>
      </w:r>
      <w:r>
        <w:rPr>
          <w:sz w:val="20"/>
        </w:rPr>
        <w:t>que</w:t>
      </w:r>
      <w:r>
        <w:rPr>
          <w:spacing w:val="-7"/>
          <w:sz w:val="20"/>
        </w:rPr>
        <w:t> </w:t>
      </w:r>
      <w:r>
        <w:rPr>
          <w:sz w:val="20"/>
        </w:rPr>
        <w:t>en</w:t>
      </w:r>
      <w:r>
        <w:rPr>
          <w:spacing w:val="-8"/>
          <w:sz w:val="20"/>
        </w:rPr>
        <w:t> </w:t>
      </w:r>
      <w:r>
        <w:rPr>
          <w:sz w:val="20"/>
        </w:rPr>
        <w:t>su</w:t>
      </w:r>
      <w:r>
        <w:rPr>
          <w:spacing w:val="-7"/>
          <w:sz w:val="20"/>
        </w:rPr>
        <w:t> </w:t>
      </w:r>
      <w:r>
        <w:rPr>
          <w:sz w:val="20"/>
        </w:rPr>
        <w:t>conjunto</w:t>
      </w:r>
      <w:r>
        <w:rPr>
          <w:spacing w:val="-8"/>
          <w:sz w:val="20"/>
        </w:rPr>
        <w:t> </w:t>
      </w:r>
      <w:r>
        <w:rPr>
          <w:sz w:val="20"/>
        </w:rPr>
        <w:t>tienden</w:t>
      </w:r>
      <w:r>
        <w:rPr>
          <w:spacing w:val="-7"/>
          <w:sz w:val="20"/>
        </w:rPr>
        <w:t> </w:t>
      </w:r>
      <w:r>
        <w:rPr>
          <w:sz w:val="20"/>
        </w:rPr>
        <w:t>a</w:t>
      </w:r>
      <w:r>
        <w:rPr>
          <w:spacing w:val="-7"/>
          <w:sz w:val="20"/>
        </w:rPr>
        <w:t> </w:t>
      </w:r>
      <w:r>
        <w:rPr>
          <w:sz w:val="20"/>
        </w:rPr>
        <w:t>alcan- zar un objetivo común, tampoco se trata de la solución a aspectos múltiples, que</w:t>
      </w:r>
      <w:r>
        <w:rPr>
          <w:spacing w:val="-5"/>
          <w:sz w:val="20"/>
        </w:rPr>
        <w:t> </w:t>
      </w:r>
      <w:r>
        <w:rPr>
          <w:sz w:val="20"/>
        </w:rPr>
        <w:t>se</w:t>
      </w:r>
      <w:r>
        <w:rPr>
          <w:spacing w:val="-5"/>
          <w:sz w:val="20"/>
        </w:rPr>
        <w:t> </w:t>
      </w:r>
      <w:r>
        <w:rPr>
          <w:sz w:val="20"/>
        </w:rPr>
        <w:t>suponen</w:t>
      </w:r>
      <w:r>
        <w:rPr>
          <w:spacing w:val="-5"/>
          <w:sz w:val="20"/>
        </w:rPr>
        <w:t> </w:t>
      </w:r>
      <w:r>
        <w:rPr>
          <w:sz w:val="20"/>
        </w:rPr>
        <w:t>relacionados…sino</w:t>
      </w:r>
      <w:r>
        <w:rPr>
          <w:spacing w:val="-5"/>
          <w:sz w:val="20"/>
        </w:rPr>
        <w:t> </w:t>
      </w:r>
      <w:r>
        <w:rPr>
          <w:sz w:val="20"/>
        </w:rPr>
        <w:t>la</w:t>
      </w:r>
      <w:r>
        <w:rPr>
          <w:spacing w:val="-5"/>
          <w:sz w:val="20"/>
        </w:rPr>
        <w:t> </w:t>
      </w:r>
      <w:r>
        <w:rPr>
          <w:sz w:val="20"/>
        </w:rPr>
        <w:t>solución</w:t>
      </w:r>
      <w:r>
        <w:rPr>
          <w:spacing w:val="-5"/>
          <w:sz w:val="20"/>
        </w:rPr>
        <w:t> </w:t>
      </w:r>
      <w:r>
        <w:rPr>
          <w:sz w:val="20"/>
        </w:rPr>
        <w:t>a</w:t>
      </w:r>
      <w:r>
        <w:rPr>
          <w:spacing w:val="-5"/>
          <w:sz w:val="20"/>
        </w:rPr>
        <w:t> </w:t>
      </w:r>
      <w:r>
        <w:rPr>
          <w:sz w:val="20"/>
        </w:rPr>
        <w:t>problemas</w:t>
      </w:r>
      <w:r>
        <w:rPr>
          <w:spacing w:val="-5"/>
          <w:sz w:val="20"/>
        </w:rPr>
        <w:t> </w:t>
      </w:r>
      <w:r>
        <w:rPr>
          <w:sz w:val="20"/>
        </w:rPr>
        <w:t>específicos</w:t>
      </w:r>
      <w:r>
        <w:rPr>
          <w:spacing w:val="-5"/>
          <w:sz w:val="20"/>
        </w:rPr>
        <w:t> </w:t>
      </w:r>
      <w:r>
        <w:rPr>
          <w:sz w:val="20"/>
        </w:rPr>
        <w:t>(2002: 60).</w:t>
      </w:r>
    </w:p>
    <w:p>
      <w:pPr>
        <w:pStyle w:val="BodyText"/>
        <w:spacing w:line="247" w:lineRule="auto" w:before="172"/>
        <w:ind w:left="117" w:right="115" w:firstLine="283"/>
        <w:jc w:val="both"/>
      </w:pPr>
      <w:r>
        <w:rPr>
          <w:color w:val="231F20"/>
        </w:rPr>
        <w:t>A causa del mal entendimiento y del crecimiento del Estado (como un ente interventor que llegó a imaginarse sin límites de poder y recursos en el ámbito de los poderes, atribuciones y normas) en México las   políticas</w:t>
      </w:r>
    </w:p>
    <w:p>
      <w:pPr>
        <w:spacing w:after="0" w:line="247" w:lineRule="auto"/>
        <w:jc w:val="both"/>
        <w:sectPr>
          <w:pgSz w:w="9360" w:h="13040"/>
          <w:pgMar w:header="0" w:footer="496" w:top="740" w:bottom="680" w:left="1300" w:right="1300"/>
        </w:sectPr>
      </w:pPr>
    </w:p>
    <w:p>
      <w:pPr>
        <w:tabs>
          <w:tab w:pos="5536" w:val="left" w:leader="none"/>
        </w:tabs>
        <w:spacing w:before="48"/>
        <w:ind w:left="117" w:right="117" w:hanging="12"/>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jc w:val="both"/>
      </w:pPr>
      <w:r>
        <w:rPr>
          <w:color w:val="231F20"/>
        </w:rPr>
        <w:t>públicas</w:t>
      </w:r>
      <w:r>
        <w:rPr>
          <w:color w:val="231F20"/>
          <w:spacing w:val="-10"/>
        </w:rPr>
        <w:t> </w:t>
      </w:r>
      <w:r>
        <w:rPr>
          <w:color w:val="231F20"/>
        </w:rPr>
        <w:t>eran</w:t>
      </w:r>
      <w:r>
        <w:rPr>
          <w:color w:val="231F20"/>
          <w:spacing w:val="-10"/>
        </w:rPr>
        <w:t> </w:t>
      </w:r>
      <w:r>
        <w:rPr>
          <w:color w:val="231F20"/>
        </w:rPr>
        <w:t>consideradas</w:t>
      </w:r>
      <w:r>
        <w:rPr>
          <w:color w:val="231F20"/>
          <w:spacing w:val="-10"/>
        </w:rPr>
        <w:t> </w:t>
      </w:r>
      <w:r>
        <w:rPr>
          <w:color w:val="231F20"/>
        </w:rPr>
        <w:t>como</w:t>
      </w:r>
      <w:r>
        <w:rPr>
          <w:color w:val="231F20"/>
          <w:spacing w:val="-10"/>
        </w:rPr>
        <w:t> </w:t>
      </w:r>
      <w:r>
        <w:rPr>
          <w:color w:val="231F20"/>
        </w:rPr>
        <w:t>asuntos</w:t>
      </w:r>
      <w:r>
        <w:rPr>
          <w:color w:val="231F20"/>
          <w:spacing w:val="-10"/>
        </w:rPr>
        <w:t> </w:t>
      </w:r>
      <w:r>
        <w:rPr>
          <w:color w:val="231F20"/>
        </w:rPr>
        <w:t>internos</w:t>
      </w:r>
      <w:r>
        <w:rPr>
          <w:color w:val="231F20"/>
          <w:spacing w:val="-10"/>
        </w:rPr>
        <w:t> </w:t>
      </w:r>
      <w:r>
        <w:rPr>
          <w:color w:val="231F20"/>
        </w:rPr>
        <w:t>del</w:t>
      </w:r>
      <w:r>
        <w:rPr>
          <w:color w:val="231F20"/>
          <w:spacing w:val="-10"/>
        </w:rPr>
        <w:t> </w:t>
      </w:r>
      <w:r>
        <w:rPr>
          <w:color w:val="231F20"/>
        </w:rPr>
        <w:t>gobierno</w:t>
      </w:r>
      <w:r>
        <w:rPr>
          <w:color w:val="231F20"/>
          <w:spacing w:val="-10"/>
        </w:rPr>
        <w:t> </w:t>
      </w:r>
      <w:r>
        <w:rPr>
          <w:color w:val="231F20"/>
        </w:rPr>
        <w:t>a</w:t>
      </w:r>
      <w:r>
        <w:rPr>
          <w:color w:val="231F20"/>
          <w:spacing w:val="-9"/>
        </w:rPr>
        <w:t> </w:t>
      </w:r>
      <w:r>
        <w:rPr>
          <w:color w:val="231F20"/>
        </w:rPr>
        <w:t>los</w:t>
      </w:r>
      <w:r>
        <w:rPr>
          <w:color w:val="231F20"/>
          <w:spacing w:val="-10"/>
        </w:rPr>
        <w:t> </w:t>
      </w:r>
      <w:r>
        <w:rPr>
          <w:color w:val="231F20"/>
        </w:rPr>
        <w:t>cuales difícilmente tenían acceso los ciudadanos. Es decir, las decisiones guber- namentales eran tomadas con toda</w:t>
      </w:r>
      <w:r>
        <w:rPr>
          <w:color w:val="231F20"/>
          <w:spacing w:val="-4"/>
        </w:rPr>
        <w:t> </w:t>
      </w:r>
      <w:r>
        <w:rPr>
          <w:color w:val="231F20"/>
        </w:rPr>
        <w:t>discrecionalidad.</w:t>
      </w:r>
    </w:p>
    <w:p>
      <w:pPr>
        <w:pStyle w:val="BodyText"/>
        <w:spacing w:line="247" w:lineRule="auto"/>
        <w:ind w:left="117" w:right="114" w:firstLine="283"/>
        <w:jc w:val="both"/>
      </w:pPr>
      <w:r>
        <w:rPr>
          <w:color w:val="231F20"/>
        </w:rPr>
        <w:t>En el actual contexto y como consecuencia del </w:t>
      </w:r>
      <w:r>
        <w:rPr>
          <w:i/>
          <w:color w:val="231F20"/>
        </w:rPr>
        <w:t>adelgazamiento del </w:t>
      </w:r>
      <w:r>
        <w:rPr>
          <w:i/>
          <w:color w:val="231F20"/>
        </w:rPr>
        <w:t>Estado,</w:t>
      </w:r>
      <w:r>
        <w:rPr>
          <w:i/>
          <w:color w:val="231F20"/>
          <w:position w:val="7"/>
          <w:sz w:val="13"/>
        </w:rPr>
        <w:t>1</w:t>
      </w:r>
      <w:r>
        <w:rPr>
          <w:i/>
          <w:color w:val="231F20"/>
          <w:spacing w:val="16"/>
          <w:position w:val="7"/>
          <w:sz w:val="13"/>
        </w:rPr>
        <w:t> </w:t>
      </w:r>
      <w:r>
        <w:rPr>
          <w:color w:val="231F20"/>
        </w:rPr>
        <w:t>es</w:t>
      </w:r>
      <w:r>
        <w:rPr>
          <w:color w:val="231F20"/>
          <w:spacing w:val="-6"/>
        </w:rPr>
        <w:t> </w:t>
      </w:r>
      <w:r>
        <w:rPr>
          <w:color w:val="231F20"/>
        </w:rPr>
        <w:t>un</w:t>
      </w:r>
      <w:r>
        <w:rPr>
          <w:color w:val="231F20"/>
          <w:spacing w:val="-6"/>
        </w:rPr>
        <w:t> </w:t>
      </w:r>
      <w:r>
        <w:rPr>
          <w:color w:val="231F20"/>
        </w:rPr>
        <w:t>proceso</w:t>
      </w:r>
      <w:r>
        <w:rPr>
          <w:color w:val="231F20"/>
          <w:spacing w:val="-6"/>
        </w:rPr>
        <w:t> </w:t>
      </w:r>
      <w:r>
        <w:rPr>
          <w:color w:val="231F20"/>
        </w:rPr>
        <w:t>de</w:t>
      </w:r>
      <w:r>
        <w:rPr>
          <w:color w:val="231F20"/>
          <w:spacing w:val="-6"/>
        </w:rPr>
        <w:t> </w:t>
      </w:r>
      <w:r>
        <w:rPr>
          <w:color w:val="231F20"/>
        </w:rPr>
        <w:t>discusión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diversos</w:t>
      </w:r>
      <w:r>
        <w:rPr>
          <w:color w:val="231F20"/>
          <w:spacing w:val="-6"/>
        </w:rPr>
        <w:t> </w:t>
      </w:r>
      <w:r>
        <w:rPr>
          <w:color w:val="231F20"/>
        </w:rPr>
        <w:t>actores</w:t>
      </w:r>
      <w:r>
        <w:rPr>
          <w:color w:val="231F20"/>
          <w:spacing w:val="-7"/>
        </w:rPr>
        <w:t> </w:t>
      </w:r>
      <w:r>
        <w:rPr>
          <w:color w:val="231F20"/>
        </w:rPr>
        <w:t>sociales,</w:t>
      </w:r>
      <w:r>
        <w:rPr>
          <w:color w:val="231F20"/>
          <w:spacing w:val="-5"/>
        </w:rPr>
        <w:t> </w:t>
      </w:r>
      <w:r>
        <w:rPr>
          <w:color w:val="231F20"/>
        </w:rPr>
        <w:t>donde las decisiones se someten al escrutinio público con mayor frecuencia; por lo anterior se puede aumentar a la definición de políticas públicas antes mencionada,</w:t>
      </w:r>
      <w:r>
        <w:rPr>
          <w:color w:val="231F20"/>
          <w:spacing w:val="-7"/>
        </w:rPr>
        <w:t> </w:t>
      </w:r>
      <w:r>
        <w:rPr>
          <w:color w:val="231F20"/>
        </w:rPr>
        <w:t>el</w:t>
      </w:r>
      <w:r>
        <w:rPr>
          <w:color w:val="231F20"/>
          <w:spacing w:val="-6"/>
        </w:rPr>
        <w:t> </w:t>
      </w:r>
      <w:r>
        <w:rPr>
          <w:color w:val="231F20"/>
        </w:rPr>
        <w:t>hecho</w:t>
      </w:r>
      <w:r>
        <w:rPr>
          <w:color w:val="231F20"/>
          <w:spacing w:val="-6"/>
        </w:rPr>
        <w:t> </w:t>
      </w:r>
      <w:r>
        <w:rPr>
          <w:color w:val="231F20"/>
        </w:rPr>
        <w:t>de</w:t>
      </w:r>
      <w:r>
        <w:rPr>
          <w:color w:val="231F20"/>
          <w:spacing w:val="-6"/>
        </w:rPr>
        <w:t> </w:t>
      </w:r>
      <w:r>
        <w:rPr>
          <w:color w:val="231F20"/>
        </w:rPr>
        <w:t>ser</w:t>
      </w:r>
      <w:r>
        <w:rPr>
          <w:color w:val="231F20"/>
          <w:spacing w:val="-6"/>
        </w:rPr>
        <w:t> </w:t>
      </w:r>
      <w:r>
        <w:rPr>
          <w:color w:val="231F20"/>
        </w:rPr>
        <w:t>un</w:t>
      </w:r>
      <w:r>
        <w:rPr>
          <w:color w:val="231F20"/>
          <w:spacing w:val="-6"/>
        </w:rPr>
        <w:t> </w:t>
      </w:r>
      <w:r>
        <w:rPr>
          <w:color w:val="231F20"/>
        </w:rPr>
        <w:t>proceso</w:t>
      </w:r>
      <w:r>
        <w:rPr>
          <w:color w:val="231F20"/>
          <w:spacing w:val="-6"/>
        </w:rPr>
        <w:t> </w:t>
      </w:r>
      <w:r>
        <w:rPr>
          <w:color w:val="231F20"/>
        </w:rPr>
        <w:t>de</w:t>
      </w:r>
      <w:r>
        <w:rPr>
          <w:color w:val="231F20"/>
          <w:spacing w:val="-6"/>
        </w:rPr>
        <w:t> </w:t>
      </w:r>
      <w:r>
        <w:rPr>
          <w:color w:val="231F20"/>
        </w:rPr>
        <w:t>discusión</w:t>
      </w:r>
      <w:r>
        <w:rPr>
          <w:color w:val="231F20"/>
          <w:spacing w:val="-6"/>
        </w:rPr>
        <w:t> </w:t>
      </w:r>
      <w:r>
        <w:rPr>
          <w:color w:val="231F20"/>
        </w:rPr>
        <w:t>entre</w:t>
      </w:r>
      <w:r>
        <w:rPr>
          <w:color w:val="231F20"/>
          <w:spacing w:val="-7"/>
        </w:rPr>
        <w:t> </w:t>
      </w:r>
      <w:r>
        <w:rPr>
          <w:color w:val="231F20"/>
        </w:rPr>
        <w:t>actores</w:t>
      </w:r>
      <w:r>
        <w:rPr>
          <w:color w:val="231F20"/>
          <w:spacing w:val="-7"/>
        </w:rPr>
        <w:t> </w:t>
      </w:r>
      <w:r>
        <w:rPr>
          <w:color w:val="231F20"/>
        </w:rPr>
        <w:t>sociales con mecanismos de participación de la sociedad (Canto, 2002). Una vez conocido el contexto de surgimiento de las políticas públicas resulta im- portante reconocer que existen numerosas argumentaciones sobre el con- cepto, por lo cual para evitar confusiones se tomará la definición emitida por Canto, quien las conceptualiza como:</w:t>
      </w:r>
    </w:p>
    <w:p>
      <w:pPr>
        <w:spacing w:line="249" w:lineRule="auto" w:before="168"/>
        <w:ind w:left="400" w:right="115" w:firstLine="0"/>
        <w:jc w:val="both"/>
        <w:rPr>
          <w:sz w:val="20"/>
        </w:rPr>
      </w:pPr>
      <w:r>
        <w:rPr>
          <w:sz w:val="20"/>
        </w:rPr>
        <w:t>Cursos de acción que tienden a la solución de problemas públicos, definidos a partir</w:t>
      </w:r>
      <w:r>
        <w:rPr>
          <w:spacing w:val="-6"/>
          <w:sz w:val="20"/>
        </w:rPr>
        <w:t> </w:t>
      </w:r>
      <w:r>
        <w:rPr>
          <w:sz w:val="20"/>
        </w:rPr>
        <w:t>de</w:t>
      </w:r>
      <w:r>
        <w:rPr>
          <w:spacing w:val="-6"/>
          <w:sz w:val="20"/>
        </w:rPr>
        <w:t> </w:t>
      </w:r>
      <w:r>
        <w:rPr>
          <w:sz w:val="20"/>
        </w:rPr>
        <w:t>interacción</w:t>
      </w:r>
      <w:r>
        <w:rPr>
          <w:spacing w:val="-7"/>
          <w:sz w:val="20"/>
        </w:rPr>
        <w:t> </w:t>
      </w:r>
      <w:r>
        <w:rPr>
          <w:sz w:val="20"/>
        </w:rPr>
        <w:t>de</w:t>
      </w:r>
      <w:r>
        <w:rPr>
          <w:spacing w:val="-6"/>
          <w:sz w:val="20"/>
        </w:rPr>
        <w:t> </w:t>
      </w:r>
      <w:r>
        <w:rPr>
          <w:sz w:val="20"/>
        </w:rPr>
        <w:t>diversos</w:t>
      </w:r>
      <w:r>
        <w:rPr>
          <w:spacing w:val="-6"/>
          <w:sz w:val="20"/>
        </w:rPr>
        <w:t> </w:t>
      </w:r>
      <w:r>
        <w:rPr>
          <w:sz w:val="20"/>
        </w:rPr>
        <w:t>sujetos</w:t>
      </w:r>
      <w:r>
        <w:rPr>
          <w:spacing w:val="-6"/>
          <w:sz w:val="20"/>
        </w:rPr>
        <w:t> </w:t>
      </w:r>
      <w:r>
        <w:rPr>
          <w:sz w:val="20"/>
        </w:rPr>
        <w:t>sociales,</w:t>
      </w:r>
      <w:r>
        <w:rPr>
          <w:spacing w:val="-6"/>
          <w:sz w:val="20"/>
        </w:rPr>
        <w:t> </w:t>
      </w:r>
      <w:r>
        <w:rPr>
          <w:sz w:val="20"/>
        </w:rPr>
        <w:t>en</w:t>
      </w:r>
      <w:r>
        <w:rPr>
          <w:spacing w:val="-6"/>
          <w:sz w:val="20"/>
        </w:rPr>
        <w:t> </w:t>
      </w:r>
      <w:r>
        <w:rPr>
          <w:sz w:val="20"/>
        </w:rPr>
        <w:t>medio</w:t>
      </w:r>
      <w:r>
        <w:rPr>
          <w:spacing w:val="-6"/>
          <w:sz w:val="20"/>
        </w:rPr>
        <w:t> </w:t>
      </w:r>
      <w:r>
        <w:rPr>
          <w:sz w:val="20"/>
        </w:rPr>
        <w:t>de</w:t>
      </w:r>
      <w:r>
        <w:rPr>
          <w:spacing w:val="-6"/>
          <w:sz w:val="20"/>
        </w:rPr>
        <w:t> </w:t>
      </w:r>
      <w:r>
        <w:rPr>
          <w:sz w:val="20"/>
        </w:rPr>
        <w:t>una</w:t>
      </w:r>
      <w:r>
        <w:rPr>
          <w:spacing w:val="-6"/>
          <w:sz w:val="20"/>
        </w:rPr>
        <w:t> </w:t>
      </w:r>
      <w:r>
        <w:rPr>
          <w:sz w:val="20"/>
        </w:rPr>
        <w:t>situación</w:t>
      </w:r>
      <w:r>
        <w:rPr>
          <w:spacing w:val="-6"/>
          <w:sz w:val="20"/>
        </w:rPr>
        <w:t> </w:t>
      </w:r>
      <w:r>
        <w:rPr>
          <w:sz w:val="20"/>
        </w:rPr>
        <w:t>de complejidad social y de relaciones de poder, que pretenden utilizar de manera más</w:t>
      </w:r>
      <w:r>
        <w:rPr>
          <w:spacing w:val="-9"/>
          <w:sz w:val="20"/>
        </w:rPr>
        <w:t> </w:t>
      </w:r>
      <w:r>
        <w:rPr>
          <w:sz w:val="20"/>
        </w:rPr>
        <w:t>eficiente</w:t>
      </w:r>
      <w:r>
        <w:rPr>
          <w:spacing w:val="-9"/>
          <w:sz w:val="20"/>
        </w:rPr>
        <w:t> </w:t>
      </w:r>
      <w:r>
        <w:rPr>
          <w:sz w:val="20"/>
        </w:rPr>
        <w:t>los</w:t>
      </w:r>
      <w:r>
        <w:rPr>
          <w:spacing w:val="-9"/>
          <w:sz w:val="20"/>
        </w:rPr>
        <w:t> </w:t>
      </w:r>
      <w:r>
        <w:rPr>
          <w:sz w:val="20"/>
        </w:rPr>
        <w:t>recursos</w:t>
      </w:r>
      <w:r>
        <w:rPr>
          <w:spacing w:val="-9"/>
          <w:sz w:val="20"/>
        </w:rPr>
        <w:t> </w:t>
      </w:r>
      <w:r>
        <w:rPr>
          <w:sz w:val="20"/>
        </w:rPr>
        <w:t>públicos,</w:t>
      </w:r>
      <w:r>
        <w:rPr>
          <w:spacing w:val="-9"/>
          <w:sz w:val="20"/>
        </w:rPr>
        <w:t> </w:t>
      </w:r>
      <w:r>
        <w:rPr>
          <w:sz w:val="20"/>
        </w:rPr>
        <w:t>y</w:t>
      </w:r>
      <w:r>
        <w:rPr>
          <w:spacing w:val="-9"/>
          <w:sz w:val="20"/>
        </w:rPr>
        <w:t> </w:t>
      </w:r>
      <w:r>
        <w:rPr>
          <w:sz w:val="20"/>
        </w:rPr>
        <w:t>tomar</w:t>
      </w:r>
      <w:r>
        <w:rPr>
          <w:spacing w:val="-9"/>
          <w:sz w:val="20"/>
        </w:rPr>
        <w:t> </w:t>
      </w:r>
      <w:r>
        <w:rPr>
          <w:sz w:val="20"/>
        </w:rPr>
        <w:t>decisiones</w:t>
      </w:r>
      <w:r>
        <w:rPr>
          <w:spacing w:val="-9"/>
          <w:sz w:val="20"/>
        </w:rPr>
        <w:t> </w:t>
      </w:r>
      <w:r>
        <w:rPr>
          <w:sz w:val="20"/>
        </w:rPr>
        <w:t>a</w:t>
      </w:r>
      <w:r>
        <w:rPr>
          <w:spacing w:val="-9"/>
          <w:sz w:val="20"/>
        </w:rPr>
        <w:t> </w:t>
      </w:r>
      <w:r>
        <w:rPr>
          <w:sz w:val="20"/>
        </w:rPr>
        <w:t>través</w:t>
      </w:r>
      <w:r>
        <w:rPr>
          <w:spacing w:val="-9"/>
          <w:sz w:val="20"/>
        </w:rPr>
        <w:t> </w:t>
      </w:r>
      <w:r>
        <w:rPr>
          <w:sz w:val="20"/>
        </w:rPr>
        <w:t>de</w:t>
      </w:r>
      <w:r>
        <w:rPr>
          <w:spacing w:val="-9"/>
          <w:sz w:val="20"/>
        </w:rPr>
        <w:t> </w:t>
      </w:r>
      <w:r>
        <w:rPr>
          <w:sz w:val="20"/>
        </w:rPr>
        <w:t>mecanismos democráticos, con la participación de la sociedad (2002: 70).</w:t>
      </w:r>
    </w:p>
    <w:p>
      <w:pPr>
        <w:pStyle w:val="BodyText"/>
        <w:spacing w:line="247" w:lineRule="auto" w:before="172"/>
        <w:ind w:left="117" w:right="115" w:firstLine="283"/>
        <w:jc w:val="both"/>
      </w:pPr>
      <w:r>
        <w:rPr>
          <w:color w:val="231F20"/>
        </w:rPr>
        <w:t>En la definición de políticas públicas arriba citada se encuentran los procesos democráticos en donde la participación de la sociedad es tras- cendental para el correcto diseño y funcionamiento de las mismas, de tal forma que la participación se encuentra vigente en cada etapa de las po- líticas, por medio de representantes. En consecuencia existen niveles de participación entre los que destacan:</w:t>
      </w:r>
    </w:p>
    <w:p>
      <w:pPr>
        <w:pStyle w:val="ListParagraph"/>
        <w:numPr>
          <w:ilvl w:val="0"/>
          <w:numId w:val="6"/>
        </w:numPr>
        <w:tabs>
          <w:tab w:pos="478" w:val="left" w:leader="none"/>
        </w:tabs>
        <w:spacing w:line="247" w:lineRule="auto" w:before="169" w:after="0"/>
        <w:ind w:left="477" w:right="115" w:hanging="360"/>
        <w:jc w:val="left"/>
        <w:rPr>
          <w:sz w:val="22"/>
        </w:rPr>
      </w:pPr>
      <w:r>
        <w:rPr>
          <w:color w:val="231F20"/>
          <w:sz w:val="22"/>
        </w:rPr>
        <w:t>Información, que tiene que ver con el conocimiento de presupuestos, normas y proyectos del sector</w:t>
      </w:r>
      <w:r>
        <w:rPr>
          <w:color w:val="231F20"/>
          <w:spacing w:val="-5"/>
          <w:sz w:val="22"/>
        </w:rPr>
        <w:t> </w:t>
      </w:r>
      <w:r>
        <w:rPr>
          <w:color w:val="231F20"/>
          <w:sz w:val="22"/>
        </w:rPr>
        <w:t>gubernamental.</w:t>
      </w:r>
    </w:p>
    <w:p>
      <w:pPr>
        <w:pStyle w:val="ListParagraph"/>
        <w:numPr>
          <w:ilvl w:val="0"/>
          <w:numId w:val="6"/>
        </w:numPr>
        <w:tabs>
          <w:tab w:pos="478" w:val="left" w:leader="none"/>
        </w:tabs>
        <w:spacing w:line="253" w:lineRule="exact" w:before="0" w:after="0"/>
        <w:ind w:left="477" w:right="0" w:hanging="360"/>
        <w:jc w:val="left"/>
        <w:rPr>
          <w:sz w:val="22"/>
        </w:rPr>
      </w:pPr>
      <w:r>
        <w:rPr>
          <w:color w:val="231F20"/>
          <w:sz w:val="22"/>
        </w:rPr>
        <w:t>Consulta, en donde el gobierno se entera de la opinión</w:t>
      </w:r>
      <w:r>
        <w:rPr>
          <w:color w:val="231F20"/>
          <w:spacing w:val="-3"/>
          <w:sz w:val="22"/>
        </w:rPr>
        <w:t> </w:t>
      </w:r>
      <w:r>
        <w:rPr>
          <w:color w:val="231F20"/>
          <w:sz w:val="22"/>
        </w:rPr>
        <w:t>ciudadana.</w:t>
      </w:r>
    </w:p>
    <w:p>
      <w:pPr>
        <w:pStyle w:val="ListParagraph"/>
        <w:numPr>
          <w:ilvl w:val="0"/>
          <w:numId w:val="6"/>
        </w:numPr>
        <w:tabs>
          <w:tab w:pos="478" w:val="left" w:leader="none"/>
        </w:tabs>
        <w:spacing w:line="247" w:lineRule="auto" w:before="7" w:after="0"/>
        <w:ind w:left="477" w:right="115" w:hanging="360"/>
        <w:jc w:val="left"/>
        <w:rPr>
          <w:sz w:val="22"/>
        </w:rPr>
      </w:pPr>
      <w:r>
        <w:rPr>
          <w:color w:val="231F20"/>
          <w:sz w:val="22"/>
        </w:rPr>
        <w:t>Decisión, no sólo se queda en emitir la opinión, sino que ésta es obli- gatoria para quien realiza la consulta.</w:t>
      </w:r>
    </w:p>
    <w:p>
      <w:pPr>
        <w:pStyle w:val="ListParagraph"/>
        <w:numPr>
          <w:ilvl w:val="0"/>
          <w:numId w:val="6"/>
        </w:numPr>
        <w:tabs>
          <w:tab w:pos="478" w:val="left" w:leader="none"/>
        </w:tabs>
        <w:spacing w:line="247" w:lineRule="auto" w:before="0" w:after="0"/>
        <w:ind w:left="477" w:right="115" w:hanging="360"/>
        <w:jc w:val="left"/>
        <w:rPr>
          <w:sz w:val="22"/>
        </w:rPr>
      </w:pPr>
      <w:r>
        <w:rPr>
          <w:color w:val="231F20"/>
          <w:sz w:val="22"/>
        </w:rPr>
        <w:t>Delegación, consiste en otorgar a alguna organización ciudadana la puesta en marcha de algún</w:t>
      </w:r>
      <w:r>
        <w:rPr>
          <w:color w:val="231F20"/>
          <w:spacing w:val="-3"/>
          <w:sz w:val="22"/>
        </w:rPr>
        <w:t> </w:t>
      </w:r>
      <w:r>
        <w:rPr>
          <w:color w:val="231F20"/>
          <w:sz w:val="22"/>
        </w:rPr>
        <w:t>proyecto</w:t>
      </w:r>
    </w:p>
    <w:p>
      <w:pPr>
        <w:pStyle w:val="ListParagraph"/>
        <w:numPr>
          <w:ilvl w:val="0"/>
          <w:numId w:val="6"/>
        </w:numPr>
        <w:tabs>
          <w:tab w:pos="478" w:val="left" w:leader="none"/>
        </w:tabs>
        <w:spacing w:line="247" w:lineRule="auto" w:before="0" w:after="0"/>
        <w:ind w:left="477" w:right="115" w:hanging="360"/>
        <w:jc w:val="left"/>
        <w:rPr>
          <w:sz w:val="22"/>
        </w:rPr>
      </w:pPr>
      <w:r>
        <w:rPr>
          <w:color w:val="231F20"/>
          <w:sz w:val="22"/>
        </w:rPr>
        <w:t>Asociación, que implica que la iniciativa pueda estar de lado de las organizaciones</w:t>
      </w:r>
      <w:r>
        <w:rPr>
          <w:color w:val="231F20"/>
          <w:spacing w:val="-4"/>
          <w:sz w:val="22"/>
        </w:rPr>
        <w:t> </w:t>
      </w:r>
      <w:r>
        <w:rPr>
          <w:color w:val="231F20"/>
          <w:sz w:val="22"/>
        </w:rPr>
        <w:t>ciudadanas.</w:t>
      </w:r>
    </w:p>
    <w:p>
      <w:pPr>
        <w:pStyle w:val="BodyText"/>
        <w:spacing w:before="5"/>
        <w:rPr>
          <w:sz w:val="17"/>
        </w:rPr>
      </w:pPr>
      <w:r>
        <w:rPr/>
        <w:pict>
          <v:line style="position:absolute;mso-position-horizontal-relative:page;mso-position-vertical-relative:paragraph;z-index:5416;mso-wrap-distance-left:0;mso-wrap-distance-right:0" from="70.866096pt,12.352649pt" to="142.866096pt,12.352649pt" stroked="true" strokeweight=".75pt" strokecolor="#231f20">
            <w10:wrap type="topAndBottom"/>
          </v:line>
        </w:pict>
      </w:r>
    </w:p>
    <w:p>
      <w:pPr>
        <w:spacing w:line="208" w:lineRule="auto" w:before="0"/>
        <w:ind w:left="117" w:right="115" w:firstLine="0"/>
        <w:jc w:val="both"/>
        <w:rPr>
          <w:sz w:val="17"/>
        </w:rPr>
      </w:pPr>
      <w:r>
        <w:rPr>
          <w:color w:val="231F20"/>
          <w:position w:val="6"/>
          <w:sz w:val="10"/>
        </w:rPr>
        <w:t>1 </w:t>
      </w:r>
      <w:r>
        <w:rPr>
          <w:color w:val="231F20"/>
          <w:sz w:val="17"/>
        </w:rPr>
        <w:t>El redimensionamiento pretende crear condiciones para atender con eficiencia los variados problemas públicos, sin embargo un Estado reducido no es la solución a todos los males, ya que aún con un gobierno pequeño los problemas siguen siendo grandes, por ende lo que cuenta es la calidad</w:t>
      </w:r>
      <w:r>
        <w:rPr>
          <w:color w:val="231F20"/>
          <w:spacing w:val="-9"/>
          <w:sz w:val="17"/>
        </w:rPr>
        <w:t> </w:t>
      </w:r>
      <w:r>
        <w:rPr>
          <w:color w:val="231F20"/>
          <w:sz w:val="17"/>
        </w:rPr>
        <w:t>de</w:t>
      </w:r>
      <w:r>
        <w:rPr>
          <w:color w:val="231F20"/>
          <w:spacing w:val="-9"/>
          <w:sz w:val="17"/>
        </w:rPr>
        <w:t> </w:t>
      </w:r>
      <w:r>
        <w:rPr>
          <w:color w:val="231F20"/>
          <w:sz w:val="17"/>
        </w:rPr>
        <w:t>las</w:t>
      </w:r>
      <w:r>
        <w:rPr>
          <w:color w:val="231F20"/>
          <w:spacing w:val="-9"/>
          <w:sz w:val="17"/>
        </w:rPr>
        <w:t> </w:t>
      </w:r>
      <w:r>
        <w:rPr>
          <w:color w:val="231F20"/>
          <w:sz w:val="17"/>
        </w:rPr>
        <w:t>políticas</w:t>
      </w:r>
      <w:r>
        <w:rPr>
          <w:color w:val="231F20"/>
          <w:spacing w:val="-9"/>
          <w:sz w:val="17"/>
        </w:rPr>
        <w:t> </w:t>
      </w:r>
      <w:r>
        <w:rPr>
          <w:color w:val="231F20"/>
          <w:sz w:val="17"/>
        </w:rPr>
        <w:t>públicas</w:t>
      </w:r>
      <w:r>
        <w:rPr>
          <w:color w:val="231F20"/>
          <w:spacing w:val="-9"/>
          <w:sz w:val="17"/>
        </w:rPr>
        <w:t> </w:t>
      </w:r>
      <w:r>
        <w:rPr>
          <w:color w:val="231F20"/>
          <w:sz w:val="17"/>
        </w:rPr>
        <w:t>que</w:t>
      </w:r>
      <w:r>
        <w:rPr>
          <w:color w:val="231F20"/>
          <w:spacing w:val="-9"/>
          <w:sz w:val="17"/>
        </w:rPr>
        <w:t> </w:t>
      </w:r>
      <w:r>
        <w:rPr>
          <w:color w:val="231F20"/>
          <w:sz w:val="17"/>
        </w:rPr>
        <w:t>se</w:t>
      </w:r>
      <w:r>
        <w:rPr>
          <w:color w:val="231F20"/>
          <w:spacing w:val="-9"/>
          <w:sz w:val="17"/>
        </w:rPr>
        <w:t> </w:t>
      </w:r>
      <w:r>
        <w:rPr>
          <w:color w:val="231F20"/>
          <w:sz w:val="17"/>
        </w:rPr>
        <w:t>analizan,</w:t>
      </w:r>
      <w:r>
        <w:rPr>
          <w:color w:val="231F20"/>
          <w:spacing w:val="-9"/>
          <w:sz w:val="17"/>
        </w:rPr>
        <w:t> </w:t>
      </w:r>
      <w:r>
        <w:rPr>
          <w:color w:val="231F20"/>
          <w:sz w:val="17"/>
        </w:rPr>
        <w:t>deciden</w:t>
      </w:r>
      <w:r>
        <w:rPr>
          <w:color w:val="231F20"/>
          <w:spacing w:val="-9"/>
          <w:sz w:val="17"/>
        </w:rPr>
        <w:t> </w:t>
      </w:r>
      <w:r>
        <w:rPr>
          <w:color w:val="231F20"/>
          <w:sz w:val="17"/>
        </w:rPr>
        <w:t>y</w:t>
      </w:r>
      <w:r>
        <w:rPr>
          <w:color w:val="231F20"/>
          <w:spacing w:val="-9"/>
          <w:sz w:val="17"/>
        </w:rPr>
        <w:t> </w:t>
      </w:r>
      <w:r>
        <w:rPr>
          <w:color w:val="231F20"/>
          <w:sz w:val="17"/>
        </w:rPr>
        <w:t>desarrollan,</w:t>
      </w:r>
      <w:r>
        <w:rPr>
          <w:color w:val="231F20"/>
          <w:spacing w:val="-9"/>
          <w:sz w:val="17"/>
        </w:rPr>
        <w:t> </w:t>
      </w:r>
      <w:r>
        <w:rPr>
          <w:color w:val="231F20"/>
          <w:sz w:val="17"/>
        </w:rPr>
        <w:t>donde</w:t>
      </w:r>
      <w:r>
        <w:rPr>
          <w:color w:val="231F20"/>
          <w:spacing w:val="-9"/>
          <w:sz w:val="17"/>
        </w:rPr>
        <w:t> </w:t>
      </w:r>
      <w:r>
        <w:rPr>
          <w:color w:val="231F20"/>
          <w:sz w:val="17"/>
        </w:rPr>
        <w:t>el</w:t>
      </w:r>
      <w:r>
        <w:rPr>
          <w:color w:val="231F20"/>
          <w:spacing w:val="-9"/>
          <w:sz w:val="17"/>
        </w:rPr>
        <w:t> </w:t>
      </w:r>
      <w:r>
        <w:rPr>
          <w:color w:val="231F20"/>
          <w:sz w:val="17"/>
        </w:rPr>
        <w:t>diseño</w:t>
      </w:r>
      <w:r>
        <w:rPr>
          <w:color w:val="231F20"/>
          <w:spacing w:val="-9"/>
          <w:sz w:val="17"/>
        </w:rPr>
        <w:t> </w:t>
      </w:r>
      <w:r>
        <w:rPr>
          <w:color w:val="231F20"/>
          <w:sz w:val="17"/>
        </w:rPr>
        <w:t>debe</w:t>
      </w:r>
      <w:r>
        <w:rPr>
          <w:color w:val="231F20"/>
          <w:spacing w:val="-9"/>
          <w:sz w:val="17"/>
        </w:rPr>
        <w:t> </w:t>
      </w:r>
      <w:r>
        <w:rPr>
          <w:color w:val="231F20"/>
          <w:sz w:val="17"/>
        </w:rPr>
        <w:t>obe- decer a los contextos políticos, por ello las estrategias de gobierno homogéneo están destinadas a la ineficiencia administrativa, al castigo electoral y a la hostilidad</w:t>
      </w:r>
      <w:r>
        <w:rPr>
          <w:color w:val="231F20"/>
          <w:spacing w:val="-9"/>
          <w:sz w:val="17"/>
        </w:rPr>
        <w:t> </w:t>
      </w:r>
      <w:r>
        <w:rPr>
          <w:color w:val="231F20"/>
          <w:sz w:val="17"/>
        </w:rPr>
        <w:t>política.</w:t>
      </w:r>
    </w:p>
    <w:p>
      <w:pPr>
        <w:spacing w:after="0" w:line="208" w:lineRule="auto"/>
        <w:jc w:val="both"/>
        <w:rPr>
          <w:sz w:val="17"/>
        </w:rPr>
        <w:sectPr>
          <w:pgSz w:w="9360" w:h="13040"/>
          <w:pgMar w:header="0" w:footer="496" w:top="800" w:bottom="680" w:left="1300" w:right="1300"/>
        </w:sectPr>
      </w:pPr>
    </w:p>
    <w:p>
      <w:pPr>
        <w:spacing w:before="45"/>
        <w:ind w:left="184" w:right="117" w:firstLine="0"/>
        <w:jc w:val="left"/>
        <w:rPr>
          <w:rFonts w:ascii="Arial" w:hAnsi="Arial"/>
          <w:sz w:val="20"/>
        </w:rPr>
      </w:pPr>
      <w:r>
        <w:rPr>
          <w:rFonts w:ascii="Arial" w:hAnsi="Arial"/>
          <w:color w:val="231F20"/>
          <w:w w:val="65"/>
          <w:sz w:val="20"/>
        </w:rPr>
        <w:t>Las políticas públicas de combate a la pobreza y su sinergia... /Mayra P. Pérez-Román y A. Velázquez-Romero</w:t>
      </w:r>
    </w:p>
    <w:p>
      <w:pPr>
        <w:pStyle w:val="BodyText"/>
        <w:spacing w:before="7"/>
        <w:rPr>
          <w:rFonts w:ascii="Arial"/>
          <w:sz w:val="28"/>
        </w:rPr>
      </w:pPr>
    </w:p>
    <w:p>
      <w:pPr>
        <w:pStyle w:val="ListParagraph"/>
        <w:numPr>
          <w:ilvl w:val="0"/>
          <w:numId w:val="6"/>
        </w:numPr>
        <w:tabs>
          <w:tab w:pos="478" w:val="left" w:leader="none"/>
        </w:tabs>
        <w:spacing w:line="247" w:lineRule="auto" w:before="0" w:after="0"/>
        <w:ind w:left="477" w:right="114" w:hanging="360"/>
        <w:jc w:val="both"/>
        <w:rPr>
          <w:sz w:val="22"/>
        </w:rPr>
      </w:pPr>
      <w:r>
        <w:rPr>
          <w:color w:val="231F20"/>
          <w:sz w:val="22"/>
        </w:rPr>
        <w:t>Control, que plantea la regulación de acciones de gobierno por medio de organizaciones de la ciudadanía (Canto,</w:t>
      </w:r>
      <w:r>
        <w:rPr>
          <w:color w:val="231F20"/>
          <w:spacing w:val="-5"/>
          <w:sz w:val="22"/>
        </w:rPr>
        <w:t> </w:t>
      </w:r>
      <w:r>
        <w:rPr>
          <w:color w:val="231F20"/>
          <w:sz w:val="22"/>
        </w:rPr>
        <w:t>2002).</w:t>
      </w:r>
    </w:p>
    <w:p>
      <w:pPr>
        <w:pStyle w:val="BodyText"/>
        <w:spacing w:line="247" w:lineRule="auto" w:before="169"/>
        <w:ind w:left="117" w:right="114" w:firstLine="283"/>
        <w:jc w:val="both"/>
      </w:pPr>
      <w:r>
        <w:rPr>
          <w:color w:val="231F20"/>
        </w:rPr>
        <w:t>Una vez abordado el término de políticas públicas y los diversos ni- veles de participación es necesario señalar que también existen diversas fases dentro del proceso de las mismas, es así que como un complemento más para la comprensión de los procesos decisorios es necesaria la identi- ficación del ciclo de éstas. Dentro del ciclo se pueden mencionar algunos procesos generales enlistados a continuación:</w:t>
      </w:r>
    </w:p>
    <w:p>
      <w:pPr>
        <w:pStyle w:val="ListParagraph"/>
        <w:numPr>
          <w:ilvl w:val="0"/>
          <w:numId w:val="1"/>
        </w:numPr>
        <w:tabs>
          <w:tab w:pos="478" w:val="left" w:leader="none"/>
        </w:tabs>
        <w:spacing w:line="247" w:lineRule="auto" w:before="169" w:after="0"/>
        <w:ind w:left="477" w:right="115" w:hanging="360"/>
        <w:jc w:val="both"/>
        <w:rPr>
          <w:color w:val="231F20"/>
          <w:sz w:val="22"/>
        </w:rPr>
      </w:pPr>
      <w:r>
        <w:rPr>
          <w:color w:val="231F20"/>
          <w:sz w:val="22"/>
        </w:rPr>
        <w:t>La agenda, entendida no como un listado de demandas, sino como el conjunto de temas controversiales que requieren la intervención de la autoridad para su</w:t>
      </w:r>
      <w:r>
        <w:rPr>
          <w:color w:val="231F20"/>
          <w:spacing w:val="-11"/>
          <w:sz w:val="22"/>
        </w:rPr>
        <w:t> </w:t>
      </w:r>
      <w:r>
        <w:rPr>
          <w:color w:val="231F20"/>
          <w:sz w:val="22"/>
        </w:rPr>
        <w:t>solución.</w:t>
      </w:r>
    </w:p>
    <w:p>
      <w:pPr>
        <w:pStyle w:val="ListParagraph"/>
        <w:numPr>
          <w:ilvl w:val="0"/>
          <w:numId w:val="1"/>
        </w:numPr>
        <w:tabs>
          <w:tab w:pos="478" w:val="left" w:leader="none"/>
        </w:tabs>
        <w:spacing w:line="247" w:lineRule="auto" w:before="0" w:after="0"/>
        <w:ind w:left="477" w:right="114" w:hanging="360"/>
        <w:jc w:val="both"/>
        <w:rPr>
          <w:color w:val="231F20"/>
          <w:sz w:val="22"/>
        </w:rPr>
      </w:pPr>
      <w:r>
        <w:rPr>
          <w:color w:val="231F20"/>
          <w:sz w:val="22"/>
        </w:rPr>
        <w:t>Análisis</w:t>
      </w:r>
      <w:r>
        <w:rPr>
          <w:color w:val="231F20"/>
          <w:spacing w:val="-14"/>
          <w:sz w:val="22"/>
        </w:rPr>
        <w:t> </w:t>
      </w:r>
      <w:r>
        <w:rPr>
          <w:color w:val="231F20"/>
          <w:sz w:val="22"/>
        </w:rPr>
        <w:t>de</w:t>
      </w:r>
      <w:r>
        <w:rPr>
          <w:color w:val="231F20"/>
          <w:spacing w:val="-15"/>
          <w:sz w:val="22"/>
        </w:rPr>
        <w:t> </w:t>
      </w:r>
      <w:r>
        <w:rPr>
          <w:color w:val="231F20"/>
          <w:sz w:val="22"/>
        </w:rPr>
        <w:t>alternativas,</w:t>
      </w:r>
      <w:r>
        <w:rPr>
          <w:color w:val="231F20"/>
          <w:spacing w:val="-15"/>
          <w:sz w:val="22"/>
        </w:rPr>
        <w:t> </w:t>
      </w:r>
      <w:r>
        <w:rPr>
          <w:color w:val="231F20"/>
          <w:sz w:val="22"/>
        </w:rPr>
        <w:t>que</w:t>
      </w:r>
      <w:r>
        <w:rPr>
          <w:color w:val="231F20"/>
          <w:spacing w:val="-15"/>
          <w:sz w:val="22"/>
        </w:rPr>
        <w:t> </w:t>
      </w:r>
      <w:r>
        <w:rPr>
          <w:color w:val="231F20"/>
          <w:sz w:val="22"/>
        </w:rPr>
        <w:t>como</w:t>
      </w:r>
      <w:r>
        <w:rPr>
          <w:color w:val="231F20"/>
          <w:spacing w:val="-15"/>
          <w:sz w:val="22"/>
        </w:rPr>
        <w:t> </w:t>
      </w:r>
      <w:r>
        <w:rPr>
          <w:color w:val="231F20"/>
          <w:sz w:val="22"/>
        </w:rPr>
        <w:t>su</w:t>
      </w:r>
      <w:r>
        <w:rPr>
          <w:color w:val="231F20"/>
          <w:spacing w:val="-15"/>
          <w:sz w:val="22"/>
        </w:rPr>
        <w:t> </w:t>
      </w:r>
      <w:r>
        <w:rPr>
          <w:color w:val="231F20"/>
          <w:sz w:val="22"/>
        </w:rPr>
        <w:t>propio</w:t>
      </w:r>
      <w:r>
        <w:rPr>
          <w:color w:val="231F20"/>
          <w:spacing w:val="-15"/>
          <w:sz w:val="22"/>
        </w:rPr>
        <w:t> </w:t>
      </w:r>
      <w:r>
        <w:rPr>
          <w:color w:val="231F20"/>
          <w:sz w:val="22"/>
        </w:rPr>
        <w:t>nombre</w:t>
      </w:r>
      <w:r>
        <w:rPr>
          <w:color w:val="231F20"/>
          <w:spacing w:val="-15"/>
          <w:sz w:val="22"/>
        </w:rPr>
        <w:t> </w:t>
      </w:r>
      <w:r>
        <w:rPr>
          <w:color w:val="231F20"/>
          <w:sz w:val="22"/>
        </w:rPr>
        <w:t>lo</w:t>
      </w:r>
      <w:r>
        <w:rPr>
          <w:color w:val="231F20"/>
          <w:spacing w:val="-15"/>
          <w:sz w:val="22"/>
        </w:rPr>
        <w:t> </w:t>
      </w:r>
      <w:r>
        <w:rPr>
          <w:color w:val="231F20"/>
          <w:sz w:val="22"/>
        </w:rPr>
        <w:t>dice</w:t>
      </w:r>
      <w:r>
        <w:rPr>
          <w:color w:val="231F20"/>
          <w:spacing w:val="-15"/>
          <w:sz w:val="22"/>
        </w:rPr>
        <w:t> </w:t>
      </w:r>
      <w:r>
        <w:rPr>
          <w:color w:val="231F20"/>
          <w:sz w:val="22"/>
        </w:rPr>
        <w:t>consiste</w:t>
      </w:r>
      <w:r>
        <w:rPr>
          <w:color w:val="231F20"/>
          <w:spacing w:val="-15"/>
          <w:sz w:val="22"/>
        </w:rPr>
        <w:t> </w:t>
      </w:r>
      <w:r>
        <w:rPr>
          <w:color w:val="231F20"/>
          <w:sz w:val="22"/>
        </w:rPr>
        <w:t>en el</w:t>
      </w:r>
      <w:r>
        <w:rPr>
          <w:color w:val="231F20"/>
          <w:spacing w:val="-13"/>
          <w:sz w:val="22"/>
        </w:rPr>
        <w:t> </w:t>
      </w:r>
      <w:r>
        <w:rPr>
          <w:color w:val="231F20"/>
          <w:sz w:val="22"/>
        </w:rPr>
        <w:t>estudio</w:t>
      </w:r>
      <w:r>
        <w:rPr>
          <w:color w:val="231F20"/>
          <w:spacing w:val="-13"/>
          <w:sz w:val="22"/>
        </w:rPr>
        <w:t> </w:t>
      </w:r>
      <w:r>
        <w:rPr>
          <w:color w:val="231F20"/>
          <w:sz w:val="22"/>
        </w:rPr>
        <w:t>de</w:t>
      </w:r>
      <w:r>
        <w:rPr>
          <w:color w:val="231F20"/>
          <w:spacing w:val="-13"/>
          <w:sz w:val="22"/>
        </w:rPr>
        <w:t> </w:t>
      </w:r>
      <w:r>
        <w:rPr>
          <w:color w:val="231F20"/>
          <w:sz w:val="22"/>
        </w:rPr>
        <w:t>opciones</w:t>
      </w:r>
      <w:r>
        <w:rPr>
          <w:color w:val="231F20"/>
          <w:spacing w:val="-13"/>
          <w:sz w:val="22"/>
        </w:rPr>
        <w:t> </w:t>
      </w:r>
      <w:r>
        <w:rPr>
          <w:color w:val="231F20"/>
          <w:sz w:val="22"/>
        </w:rPr>
        <w:t>existentes</w:t>
      </w:r>
      <w:r>
        <w:rPr>
          <w:color w:val="231F20"/>
          <w:spacing w:val="-13"/>
          <w:sz w:val="22"/>
        </w:rPr>
        <w:t> </w:t>
      </w:r>
      <w:r>
        <w:rPr>
          <w:color w:val="231F20"/>
          <w:sz w:val="22"/>
        </w:rPr>
        <w:t>tomando</w:t>
      </w:r>
      <w:r>
        <w:rPr>
          <w:color w:val="231F20"/>
          <w:spacing w:val="-13"/>
          <w:sz w:val="22"/>
        </w:rPr>
        <w:t> </w:t>
      </w:r>
      <w:r>
        <w:rPr>
          <w:color w:val="231F20"/>
          <w:sz w:val="22"/>
        </w:rPr>
        <w:t>en</w:t>
      </w:r>
      <w:r>
        <w:rPr>
          <w:color w:val="231F20"/>
          <w:spacing w:val="-13"/>
          <w:sz w:val="22"/>
        </w:rPr>
        <w:t> </w:t>
      </w:r>
      <w:r>
        <w:rPr>
          <w:color w:val="231F20"/>
          <w:sz w:val="22"/>
        </w:rPr>
        <w:t>cuenta</w:t>
      </w:r>
      <w:r>
        <w:rPr>
          <w:color w:val="231F20"/>
          <w:spacing w:val="-13"/>
          <w:sz w:val="22"/>
        </w:rPr>
        <w:t> </w:t>
      </w:r>
      <w:r>
        <w:rPr>
          <w:color w:val="231F20"/>
          <w:sz w:val="22"/>
        </w:rPr>
        <w:t>el</w:t>
      </w:r>
      <w:r>
        <w:rPr>
          <w:color w:val="231F20"/>
          <w:spacing w:val="-13"/>
          <w:sz w:val="22"/>
        </w:rPr>
        <w:t> </w:t>
      </w:r>
      <w:r>
        <w:rPr>
          <w:color w:val="231F20"/>
          <w:sz w:val="22"/>
        </w:rPr>
        <w:t>costo-beneficio.</w:t>
      </w:r>
    </w:p>
    <w:p>
      <w:pPr>
        <w:pStyle w:val="ListParagraph"/>
        <w:numPr>
          <w:ilvl w:val="0"/>
          <w:numId w:val="1"/>
        </w:numPr>
        <w:tabs>
          <w:tab w:pos="478" w:val="left" w:leader="none"/>
        </w:tabs>
        <w:spacing w:line="247" w:lineRule="auto" w:before="0" w:after="0"/>
        <w:ind w:left="477" w:right="115" w:hanging="360"/>
        <w:jc w:val="both"/>
        <w:rPr>
          <w:color w:val="231F20"/>
          <w:sz w:val="22"/>
        </w:rPr>
      </w:pPr>
      <w:r>
        <w:rPr>
          <w:color w:val="231F20"/>
          <w:sz w:val="22"/>
        </w:rPr>
        <w:t>Decisión, la cual será tomada de acuerdo con cada solución específica de acuerdo con su medio</w:t>
      </w:r>
      <w:r>
        <w:rPr>
          <w:color w:val="231F20"/>
          <w:spacing w:val="-4"/>
          <w:sz w:val="22"/>
        </w:rPr>
        <w:t> </w:t>
      </w:r>
      <w:r>
        <w:rPr>
          <w:color w:val="231F20"/>
          <w:sz w:val="22"/>
        </w:rPr>
        <w:t>ambiente.</w:t>
      </w:r>
    </w:p>
    <w:p>
      <w:pPr>
        <w:pStyle w:val="ListParagraph"/>
        <w:numPr>
          <w:ilvl w:val="0"/>
          <w:numId w:val="1"/>
        </w:numPr>
        <w:tabs>
          <w:tab w:pos="478" w:val="left" w:leader="none"/>
        </w:tabs>
        <w:spacing w:line="247" w:lineRule="auto" w:before="0" w:after="0"/>
        <w:ind w:left="477" w:right="115" w:hanging="360"/>
        <w:jc w:val="both"/>
        <w:rPr>
          <w:color w:val="231F20"/>
          <w:sz w:val="22"/>
        </w:rPr>
      </w:pPr>
      <w:r>
        <w:rPr>
          <w:color w:val="231F20"/>
          <w:sz w:val="22"/>
        </w:rPr>
        <w:t>Implementación que no es sino la puesta en marcha de las políticas planteadas.</w:t>
      </w:r>
    </w:p>
    <w:p>
      <w:pPr>
        <w:pStyle w:val="ListParagraph"/>
        <w:numPr>
          <w:ilvl w:val="0"/>
          <w:numId w:val="1"/>
        </w:numPr>
        <w:tabs>
          <w:tab w:pos="478" w:val="left" w:leader="none"/>
        </w:tabs>
        <w:spacing w:line="247" w:lineRule="auto" w:before="0" w:after="0"/>
        <w:ind w:left="477" w:right="115" w:hanging="360"/>
        <w:jc w:val="both"/>
        <w:rPr>
          <w:color w:val="231F20"/>
          <w:sz w:val="22"/>
        </w:rPr>
      </w:pPr>
      <w:r>
        <w:rPr>
          <w:color w:val="231F20"/>
          <w:sz w:val="22"/>
        </w:rPr>
        <w:t>Evaluación, que plantea la distancia entre los resultados esperados y los obtenidos (Canto,</w:t>
      </w:r>
      <w:r>
        <w:rPr>
          <w:color w:val="231F20"/>
          <w:spacing w:val="-1"/>
          <w:sz w:val="22"/>
        </w:rPr>
        <w:t> </w:t>
      </w:r>
      <w:r>
        <w:rPr>
          <w:color w:val="231F20"/>
          <w:sz w:val="22"/>
        </w:rPr>
        <w:t>2002).</w:t>
      </w:r>
    </w:p>
    <w:p>
      <w:pPr>
        <w:pStyle w:val="BodyText"/>
        <w:spacing w:line="247" w:lineRule="auto" w:before="169"/>
        <w:ind w:left="117" w:right="115" w:firstLine="283"/>
        <w:jc w:val="both"/>
      </w:pPr>
      <w:r>
        <w:rPr>
          <w:color w:val="231F20"/>
        </w:rPr>
        <w:t>Así pues el correcto funcionamiento de cada una de las políticas pú- blicas diseñadas por el gobierno mediante previos procesos democráticos, tiene que pasar de manera ideal por las diversas fases con el fin de lograr políticas</w:t>
      </w:r>
      <w:r>
        <w:rPr>
          <w:color w:val="231F20"/>
          <w:spacing w:val="-7"/>
        </w:rPr>
        <w:t> </w:t>
      </w:r>
      <w:r>
        <w:rPr>
          <w:color w:val="231F20"/>
        </w:rPr>
        <w:t>que</w:t>
      </w:r>
      <w:r>
        <w:rPr>
          <w:color w:val="231F20"/>
          <w:spacing w:val="-7"/>
        </w:rPr>
        <w:t> </w:t>
      </w:r>
      <w:r>
        <w:rPr>
          <w:color w:val="231F20"/>
        </w:rPr>
        <w:t>brinden</w:t>
      </w:r>
      <w:r>
        <w:rPr>
          <w:color w:val="231F20"/>
          <w:spacing w:val="-7"/>
        </w:rPr>
        <w:t> </w:t>
      </w:r>
      <w:r>
        <w:rPr>
          <w:color w:val="231F20"/>
        </w:rPr>
        <w:t>tratamiento</w:t>
      </w:r>
      <w:r>
        <w:rPr>
          <w:color w:val="231F20"/>
          <w:spacing w:val="-7"/>
        </w:rPr>
        <w:t> </w:t>
      </w:r>
      <w:r>
        <w:rPr>
          <w:color w:val="231F20"/>
        </w:rPr>
        <w:t>adecuado</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problemas</w:t>
      </w:r>
      <w:r>
        <w:rPr>
          <w:color w:val="231F20"/>
          <w:spacing w:val="-7"/>
        </w:rPr>
        <w:t> </w:t>
      </w:r>
      <w:r>
        <w:rPr>
          <w:color w:val="231F20"/>
        </w:rPr>
        <w:t>para</w:t>
      </w:r>
      <w:r>
        <w:rPr>
          <w:color w:val="231F20"/>
          <w:spacing w:val="-7"/>
        </w:rPr>
        <w:t> </w:t>
      </w:r>
      <w:r>
        <w:rPr>
          <w:color w:val="231F20"/>
        </w:rPr>
        <w:t>los</w:t>
      </w:r>
      <w:r>
        <w:rPr>
          <w:color w:val="231F20"/>
          <w:spacing w:val="-7"/>
        </w:rPr>
        <w:t> </w:t>
      </w:r>
      <w:r>
        <w:rPr>
          <w:color w:val="231F20"/>
        </w:rPr>
        <w:t>cuales fueron creadas.</w:t>
      </w:r>
    </w:p>
    <w:p>
      <w:pPr>
        <w:pStyle w:val="Heading3"/>
        <w:ind w:right="117"/>
        <w:jc w:val="left"/>
      </w:pPr>
      <w:r>
        <w:rPr>
          <w:color w:val="231F20"/>
        </w:rPr>
        <w:t>Hacia una definición de pobreza</w:t>
      </w:r>
    </w:p>
    <w:p>
      <w:pPr>
        <w:pStyle w:val="BodyText"/>
        <w:spacing w:line="247" w:lineRule="auto" w:before="172"/>
        <w:ind w:left="117" w:right="115"/>
        <w:jc w:val="both"/>
      </w:pPr>
      <w:r>
        <w:rPr>
          <w:color w:val="231F20"/>
        </w:rPr>
        <w:t>A lo largo de la historia el término pobreza ha sido abordado por un sin número de pensadores, cada uno desde su trinchera influenciada por su contexto. El presente apartado busca puntualizar qué es la pobreza, ya</w:t>
      </w:r>
      <w:r>
        <w:rPr>
          <w:color w:val="231F20"/>
          <w:spacing w:val="-15"/>
        </w:rPr>
        <w:t> </w:t>
      </w:r>
      <w:r>
        <w:rPr>
          <w:color w:val="231F20"/>
        </w:rPr>
        <w:t>que en la gran mayoría de los textos de corte académico se da por hecho que el lector conoce a la perfección el término, así como la tipología que se ha desarrollado al respecto.</w:t>
      </w:r>
    </w:p>
    <w:p>
      <w:pPr>
        <w:pStyle w:val="BodyText"/>
        <w:spacing w:line="247" w:lineRule="auto"/>
        <w:ind w:left="117" w:right="114" w:firstLine="283"/>
        <w:jc w:val="both"/>
      </w:pPr>
      <w:r>
        <w:rPr>
          <w:color w:val="231F20"/>
        </w:rPr>
        <w:t>Los diversos programas sociales encuentran sus bases en la mejora del bienestar de la población que se encuentran bajo situaciones de pobreza, de ahí la importancia de dilucidar sobre el término. Desde la visión del Comité Técnico para la Medición de la Pobreza en México </w:t>
      </w:r>
      <w:r>
        <w:rPr>
          <w:color w:val="231F20"/>
          <w:spacing w:val="-5"/>
        </w:rPr>
        <w:t>(CTMP, </w:t>
      </w:r>
      <w:r>
        <w:rPr>
          <w:color w:val="231F20"/>
        </w:rPr>
        <w:t>2002) la pobreza debería ser sin duda un problema inaceptable para cualquier</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jc w:val="both"/>
      </w:pPr>
      <w:r>
        <w:rPr>
          <w:color w:val="231F20"/>
        </w:rPr>
        <w:t>sociedad, ya que impide el desarrollo armónico y la adecuada cohesión social,</w:t>
      </w:r>
      <w:r>
        <w:rPr>
          <w:color w:val="231F20"/>
          <w:spacing w:val="-12"/>
        </w:rPr>
        <w:t> </w:t>
      </w:r>
      <w:r>
        <w:rPr>
          <w:color w:val="231F20"/>
        </w:rPr>
        <w:t>por</w:t>
      </w:r>
      <w:r>
        <w:rPr>
          <w:color w:val="231F20"/>
          <w:spacing w:val="-12"/>
        </w:rPr>
        <w:t> </w:t>
      </w:r>
      <w:r>
        <w:rPr>
          <w:color w:val="231F20"/>
        </w:rPr>
        <w:t>ello</w:t>
      </w:r>
      <w:r>
        <w:rPr>
          <w:color w:val="231F20"/>
          <w:spacing w:val="-12"/>
        </w:rPr>
        <w:t> </w:t>
      </w:r>
      <w:r>
        <w:rPr>
          <w:color w:val="231F20"/>
        </w:rPr>
        <w:t>requiere</w:t>
      </w:r>
      <w:r>
        <w:rPr>
          <w:color w:val="231F20"/>
          <w:spacing w:val="-12"/>
        </w:rPr>
        <w:t> </w:t>
      </w:r>
      <w:r>
        <w:rPr>
          <w:color w:val="231F20"/>
        </w:rPr>
        <w:t>ser</w:t>
      </w:r>
      <w:r>
        <w:rPr>
          <w:color w:val="231F20"/>
          <w:spacing w:val="-12"/>
        </w:rPr>
        <w:t> </w:t>
      </w:r>
      <w:r>
        <w:rPr>
          <w:color w:val="231F20"/>
        </w:rPr>
        <w:t>considerada</w:t>
      </w:r>
      <w:r>
        <w:rPr>
          <w:color w:val="231F20"/>
          <w:spacing w:val="-13"/>
        </w:rPr>
        <w:t> </w:t>
      </w:r>
      <w:r>
        <w:rPr>
          <w:color w:val="231F20"/>
        </w:rPr>
        <w:t>como</w:t>
      </w:r>
      <w:r>
        <w:rPr>
          <w:color w:val="231F20"/>
          <w:spacing w:val="-12"/>
        </w:rPr>
        <w:t> </w:t>
      </w:r>
      <w:r>
        <w:rPr>
          <w:color w:val="231F20"/>
        </w:rPr>
        <w:t>un</w:t>
      </w:r>
      <w:r>
        <w:rPr>
          <w:color w:val="231F20"/>
          <w:spacing w:val="-12"/>
        </w:rPr>
        <w:t> </w:t>
      </w:r>
      <w:r>
        <w:rPr>
          <w:color w:val="231F20"/>
        </w:rPr>
        <w:t>asunto</w:t>
      </w:r>
      <w:r>
        <w:rPr>
          <w:color w:val="231F20"/>
          <w:spacing w:val="-12"/>
        </w:rPr>
        <w:t> </w:t>
      </w:r>
      <w:r>
        <w:rPr>
          <w:color w:val="231F20"/>
        </w:rPr>
        <w:t>prioritario</w:t>
      </w:r>
      <w:r>
        <w:rPr>
          <w:color w:val="231F20"/>
          <w:spacing w:val="-12"/>
        </w:rPr>
        <w:t> </w:t>
      </w:r>
      <w:r>
        <w:rPr>
          <w:color w:val="231F20"/>
        </w:rPr>
        <w:t>para</w:t>
      </w:r>
      <w:r>
        <w:rPr>
          <w:color w:val="231F20"/>
          <w:spacing w:val="-12"/>
        </w:rPr>
        <w:t> </w:t>
      </w:r>
      <w:r>
        <w:rPr>
          <w:color w:val="231F20"/>
        </w:rPr>
        <w:t>los diversos órdenes de gobierno.</w:t>
      </w:r>
    </w:p>
    <w:p>
      <w:pPr>
        <w:pStyle w:val="BodyText"/>
        <w:spacing w:line="247" w:lineRule="auto"/>
        <w:ind w:left="117" w:right="114" w:firstLine="283"/>
        <w:jc w:val="both"/>
      </w:pPr>
      <w:r>
        <w:rPr>
          <w:color w:val="231F20"/>
        </w:rPr>
        <w:t>A decir del Comité Técnico para la Medición de la Pobreza (CTMP)</w:t>
      </w:r>
      <w:r>
        <w:rPr>
          <w:color w:val="231F20"/>
          <w:position w:val="7"/>
          <w:sz w:val="13"/>
        </w:rPr>
        <w:t>2 </w:t>
      </w:r>
      <w:r>
        <w:rPr>
          <w:color w:val="231F20"/>
        </w:rPr>
        <w:t>(2002), el término pobreza no puede plantearse fuera del contexto de una filosofía social que teorice sobre la naturaleza de las necesidades del ser humano,</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importancia</w:t>
      </w:r>
      <w:r>
        <w:rPr>
          <w:color w:val="231F20"/>
          <w:spacing w:val="-11"/>
        </w:rPr>
        <w:t> </w:t>
      </w:r>
      <w:r>
        <w:rPr>
          <w:color w:val="231F20"/>
        </w:rPr>
        <w:t>de</w:t>
      </w:r>
      <w:r>
        <w:rPr>
          <w:color w:val="231F20"/>
          <w:spacing w:val="-10"/>
        </w:rPr>
        <w:t> </w:t>
      </w:r>
      <w:r>
        <w:rPr>
          <w:color w:val="231F20"/>
        </w:rPr>
        <w:t>ciertas</w:t>
      </w:r>
      <w:r>
        <w:rPr>
          <w:color w:val="231F20"/>
          <w:spacing w:val="-10"/>
        </w:rPr>
        <w:t> </w:t>
      </w:r>
      <w:r>
        <w:rPr>
          <w:color w:val="231F20"/>
        </w:rPr>
        <w:t>carencias.</w:t>
      </w:r>
      <w:r>
        <w:rPr>
          <w:color w:val="231F20"/>
          <w:spacing w:val="-23"/>
        </w:rPr>
        <w:t> </w:t>
      </w:r>
      <w:r>
        <w:rPr>
          <w:color w:val="231F20"/>
        </w:rPr>
        <w:t>A</w:t>
      </w:r>
      <w:r>
        <w:rPr>
          <w:color w:val="231F20"/>
          <w:spacing w:val="-22"/>
        </w:rPr>
        <w:t> </w:t>
      </w:r>
      <w:r>
        <w:rPr>
          <w:color w:val="231F20"/>
        </w:rPr>
        <w:t>partir</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contextos filosóficos</w:t>
      </w:r>
      <w:r>
        <w:rPr>
          <w:color w:val="231F20"/>
          <w:spacing w:val="-6"/>
        </w:rPr>
        <w:t> </w:t>
      </w:r>
      <w:r>
        <w:rPr>
          <w:color w:val="231F20"/>
        </w:rPr>
        <w:t>y</w:t>
      </w:r>
      <w:r>
        <w:rPr>
          <w:color w:val="231F20"/>
          <w:spacing w:val="-6"/>
        </w:rPr>
        <w:t> </w:t>
      </w:r>
      <w:r>
        <w:rPr>
          <w:color w:val="231F20"/>
        </w:rPr>
        <w:t>teóricos</w:t>
      </w:r>
      <w:r>
        <w:rPr>
          <w:color w:val="231F20"/>
          <w:spacing w:val="-6"/>
        </w:rPr>
        <w:t> </w:t>
      </w:r>
      <w:r>
        <w:rPr>
          <w:color w:val="231F20"/>
        </w:rPr>
        <w:t>son</w:t>
      </w:r>
      <w:r>
        <w:rPr>
          <w:color w:val="231F20"/>
          <w:spacing w:val="-6"/>
        </w:rPr>
        <w:t> </w:t>
      </w:r>
      <w:r>
        <w:rPr>
          <w:color w:val="231F20"/>
        </w:rPr>
        <w:t>variados</w:t>
      </w:r>
      <w:r>
        <w:rPr>
          <w:color w:val="231F20"/>
          <w:spacing w:val="-6"/>
        </w:rPr>
        <w:t> </w:t>
      </w:r>
      <w:r>
        <w:rPr>
          <w:color w:val="231F20"/>
        </w:rPr>
        <w:t>las</w:t>
      </w:r>
      <w:r>
        <w:rPr>
          <w:color w:val="231F20"/>
          <w:spacing w:val="-6"/>
        </w:rPr>
        <w:t> </w:t>
      </w:r>
      <w:r>
        <w:rPr>
          <w:color w:val="231F20"/>
        </w:rPr>
        <w:t>implicaciones</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conceptualiza- ción de la pobreza son diversas. Dicho Comité menciona que:</w:t>
      </w:r>
    </w:p>
    <w:p>
      <w:pPr>
        <w:spacing w:line="249" w:lineRule="auto" w:before="168"/>
        <w:ind w:left="400" w:right="115" w:firstLine="0"/>
        <w:jc w:val="both"/>
        <w:rPr>
          <w:sz w:val="20"/>
        </w:rPr>
      </w:pPr>
      <w:r>
        <w:rPr>
          <w:sz w:val="20"/>
        </w:rPr>
        <w:t>No existe un significado único del término pobreza, aunque un elemento co- mún de las definiciones es la identificación de un nivel de vida que no puede ser</w:t>
      </w:r>
      <w:r>
        <w:rPr>
          <w:spacing w:val="-7"/>
          <w:sz w:val="20"/>
        </w:rPr>
        <w:t> </w:t>
      </w:r>
      <w:r>
        <w:rPr>
          <w:sz w:val="20"/>
        </w:rPr>
        <w:t>alcanzado</w:t>
      </w:r>
      <w:r>
        <w:rPr>
          <w:spacing w:val="-8"/>
          <w:sz w:val="20"/>
        </w:rPr>
        <w:t> </w:t>
      </w:r>
      <w:r>
        <w:rPr>
          <w:sz w:val="20"/>
        </w:rPr>
        <w:t>por</w:t>
      </w:r>
      <w:r>
        <w:rPr>
          <w:spacing w:val="-7"/>
          <w:sz w:val="20"/>
        </w:rPr>
        <w:t> </w:t>
      </w:r>
      <w:r>
        <w:rPr>
          <w:sz w:val="20"/>
        </w:rPr>
        <w:t>ciertas</w:t>
      </w:r>
      <w:r>
        <w:rPr>
          <w:spacing w:val="-7"/>
          <w:sz w:val="20"/>
        </w:rPr>
        <w:t> </w:t>
      </w:r>
      <w:r>
        <w:rPr>
          <w:sz w:val="20"/>
        </w:rPr>
        <w:t>personas,</w:t>
      </w:r>
      <w:r>
        <w:rPr>
          <w:spacing w:val="-7"/>
          <w:sz w:val="20"/>
        </w:rPr>
        <w:t> </w:t>
      </w:r>
      <w:r>
        <w:rPr>
          <w:sz w:val="20"/>
        </w:rPr>
        <w:t>lo</w:t>
      </w:r>
      <w:r>
        <w:rPr>
          <w:spacing w:val="-7"/>
          <w:sz w:val="20"/>
        </w:rPr>
        <w:t> </w:t>
      </w:r>
      <w:r>
        <w:rPr>
          <w:sz w:val="20"/>
        </w:rPr>
        <w:t>que</w:t>
      </w:r>
      <w:r>
        <w:rPr>
          <w:spacing w:val="-7"/>
          <w:sz w:val="20"/>
        </w:rPr>
        <w:t> </w:t>
      </w:r>
      <w:r>
        <w:rPr>
          <w:sz w:val="20"/>
        </w:rPr>
        <w:t>les</w:t>
      </w:r>
      <w:r>
        <w:rPr>
          <w:spacing w:val="-7"/>
          <w:sz w:val="20"/>
        </w:rPr>
        <w:t> </w:t>
      </w:r>
      <w:r>
        <w:rPr>
          <w:sz w:val="20"/>
        </w:rPr>
        <w:t>representa</w:t>
      </w:r>
      <w:r>
        <w:rPr>
          <w:spacing w:val="-7"/>
          <w:sz w:val="20"/>
        </w:rPr>
        <w:t> </w:t>
      </w:r>
      <w:r>
        <w:rPr>
          <w:sz w:val="20"/>
        </w:rPr>
        <w:t>una</w:t>
      </w:r>
      <w:r>
        <w:rPr>
          <w:spacing w:val="-7"/>
          <w:sz w:val="20"/>
        </w:rPr>
        <w:t> </w:t>
      </w:r>
      <w:r>
        <w:rPr>
          <w:sz w:val="20"/>
        </w:rPr>
        <w:t>adversidad</w:t>
      </w:r>
      <w:r>
        <w:rPr>
          <w:spacing w:val="-8"/>
          <w:sz w:val="20"/>
        </w:rPr>
        <w:t> </w:t>
      </w:r>
      <w:r>
        <w:rPr>
          <w:sz w:val="20"/>
        </w:rPr>
        <w:t>social- mente</w:t>
      </w:r>
      <w:r>
        <w:rPr>
          <w:spacing w:val="-8"/>
          <w:sz w:val="20"/>
        </w:rPr>
        <w:t> </w:t>
      </w:r>
      <w:r>
        <w:rPr>
          <w:sz w:val="20"/>
        </w:rPr>
        <w:t>inaceptable.</w:t>
      </w:r>
      <w:r>
        <w:rPr>
          <w:spacing w:val="-9"/>
          <w:sz w:val="20"/>
        </w:rPr>
        <w:t> </w:t>
      </w:r>
      <w:r>
        <w:rPr>
          <w:sz w:val="20"/>
        </w:rPr>
        <w:t>Pobreza</w:t>
      </w:r>
      <w:r>
        <w:rPr>
          <w:spacing w:val="-8"/>
          <w:sz w:val="20"/>
        </w:rPr>
        <w:t> </w:t>
      </w:r>
      <w:r>
        <w:rPr>
          <w:sz w:val="20"/>
        </w:rPr>
        <w:t>es</w:t>
      </w:r>
      <w:r>
        <w:rPr>
          <w:spacing w:val="-8"/>
          <w:sz w:val="20"/>
        </w:rPr>
        <w:t> </w:t>
      </w:r>
      <w:r>
        <w:rPr>
          <w:sz w:val="20"/>
        </w:rPr>
        <w:t>un</w:t>
      </w:r>
      <w:r>
        <w:rPr>
          <w:spacing w:val="-8"/>
          <w:sz w:val="20"/>
        </w:rPr>
        <w:t> </w:t>
      </w:r>
      <w:r>
        <w:rPr>
          <w:sz w:val="20"/>
        </w:rPr>
        <w:t>término</w:t>
      </w:r>
      <w:r>
        <w:rPr>
          <w:spacing w:val="-8"/>
          <w:sz w:val="20"/>
        </w:rPr>
        <w:t> </w:t>
      </w:r>
      <w:r>
        <w:rPr>
          <w:sz w:val="20"/>
        </w:rPr>
        <w:t>que</w:t>
      </w:r>
      <w:r>
        <w:rPr>
          <w:spacing w:val="-8"/>
          <w:sz w:val="20"/>
        </w:rPr>
        <w:t> </w:t>
      </w:r>
      <w:r>
        <w:rPr>
          <w:sz w:val="20"/>
        </w:rPr>
        <w:t>hace</w:t>
      </w:r>
      <w:r>
        <w:rPr>
          <w:spacing w:val="-8"/>
          <w:sz w:val="20"/>
        </w:rPr>
        <w:t> </w:t>
      </w:r>
      <w:r>
        <w:rPr>
          <w:sz w:val="20"/>
        </w:rPr>
        <w:t>referencia</w:t>
      </w:r>
      <w:r>
        <w:rPr>
          <w:spacing w:val="-8"/>
          <w:sz w:val="20"/>
        </w:rPr>
        <w:t> </w:t>
      </w:r>
      <w:r>
        <w:rPr>
          <w:sz w:val="20"/>
        </w:rPr>
        <w:t>a</w:t>
      </w:r>
      <w:r>
        <w:rPr>
          <w:spacing w:val="-8"/>
          <w:sz w:val="20"/>
        </w:rPr>
        <w:t> </w:t>
      </w:r>
      <w:r>
        <w:rPr>
          <w:sz w:val="20"/>
        </w:rPr>
        <w:t>la</w:t>
      </w:r>
      <w:r>
        <w:rPr>
          <w:spacing w:val="-8"/>
          <w:sz w:val="20"/>
        </w:rPr>
        <w:t> </w:t>
      </w:r>
      <w:r>
        <w:rPr>
          <w:sz w:val="20"/>
        </w:rPr>
        <w:t>privación</w:t>
      </w:r>
      <w:r>
        <w:rPr>
          <w:spacing w:val="-8"/>
          <w:sz w:val="20"/>
        </w:rPr>
        <w:t> </w:t>
      </w:r>
      <w:r>
        <w:rPr>
          <w:sz w:val="20"/>
        </w:rPr>
        <w:t>de elementos</w:t>
      </w:r>
      <w:r>
        <w:rPr>
          <w:spacing w:val="-4"/>
          <w:sz w:val="20"/>
        </w:rPr>
        <w:t> </w:t>
      </w:r>
      <w:r>
        <w:rPr>
          <w:sz w:val="20"/>
        </w:rPr>
        <w:t>necesarios</w:t>
      </w:r>
      <w:r>
        <w:rPr>
          <w:spacing w:val="-4"/>
          <w:sz w:val="20"/>
        </w:rPr>
        <w:t> </w:t>
      </w:r>
      <w:r>
        <w:rPr>
          <w:sz w:val="20"/>
        </w:rPr>
        <w:t>para</w:t>
      </w:r>
      <w:r>
        <w:rPr>
          <w:spacing w:val="-4"/>
          <w:sz w:val="20"/>
        </w:rPr>
        <w:t> </w:t>
      </w:r>
      <w:r>
        <w:rPr>
          <w:sz w:val="20"/>
        </w:rPr>
        <w:t>la</w:t>
      </w:r>
      <w:r>
        <w:rPr>
          <w:spacing w:val="-4"/>
          <w:sz w:val="20"/>
        </w:rPr>
        <w:t> </w:t>
      </w:r>
      <w:r>
        <w:rPr>
          <w:sz w:val="20"/>
        </w:rPr>
        <w:t>vida</w:t>
      </w:r>
      <w:r>
        <w:rPr>
          <w:spacing w:val="-4"/>
          <w:sz w:val="20"/>
        </w:rPr>
        <w:t> </w:t>
      </w:r>
      <w:r>
        <w:rPr>
          <w:sz w:val="20"/>
        </w:rPr>
        <w:t>humana</w:t>
      </w:r>
      <w:r>
        <w:rPr>
          <w:spacing w:val="-4"/>
          <w:sz w:val="20"/>
        </w:rPr>
        <w:t> </w:t>
      </w:r>
      <w:r>
        <w:rPr>
          <w:sz w:val="20"/>
        </w:rPr>
        <w:t>dentro</w:t>
      </w:r>
      <w:r>
        <w:rPr>
          <w:spacing w:val="-4"/>
          <w:sz w:val="20"/>
        </w:rPr>
        <w:t> </w:t>
      </w:r>
      <w:r>
        <w:rPr>
          <w:sz w:val="20"/>
        </w:rPr>
        <w:t>de</w:t>
      </w:r>
      <w:r>
        <w:rPr>
          <w:spacing w:val="-4"/>
          <w:sz w:val="20"/>
        </w:rPr>
        <w:t> </w:t>
      </w:r>
      <w:r>
        <w:rPr>
          <w:sz w:val="20"/>
        </w:rPr>
        <w:t>una</w:t>
      </w:r>
      <w:r>
        <w:rPr>
          <w:spacing w:val="-4"/>
          <w:sz w:val="20"/>
        </w:rPr>
        <w:t> </w:t>
      </w:r>
      <w:r>
        <w:rPr>
          <w:sz w:val="20"/>
        </w:rPr>
        <w:t>sociedad</w:t>
      </w:r>
      <w:r>
        <w:rPr>
          <w:spacing w:val="-4"/>
          <w:sz w:val="20"/>
        </w:rPr>
        <w:t> </w:t>
      </w:r>
      <w:r>
        <w:rPr>
          <w:sz w:val="20"/>
        </w:rPr>
        <w:t>y</w:t>
      </w:r>
      <w:r>
        <w:rPr>
          <w:spacing w:val="-4"/>
          <w:sz w:val="20"/>
        </w:rPr>
        <w:t> </w:t>
      </w:r>
      <w:r>
        <w:rPr>
          <w:sz w:val="20"/>
        </w:rPr>
        <w:t>de</w:t>
      </w:r>
      <w:r>
        <w:rPr>
          <w:spacing w:val="-4"/>
          <w:sz w:val="20"/>
        </w:rPr>
        <w:t> </w:t>
      </w:r>
      <w:r>
        <w:rPr>
          <w:sz w:val="20"/>
        </w:rPr>
        <w:t>medios o recursos para modificar esta situación (2000:</w:t>
      </w:r>
      <w:r>
        <w:rPr>
          <w:spacing w:val="-11"/>
          <w:sz w:val="20"/>
        </w:rPr>
        <w:t> </w:t>
      </w:r>
      <w:r>
        <w:rPr>
          <w:sz w:val="20"/>
        </w:rPr>
        <w:t>17).</w:t>
      </w:r>
    </w:p>
    <w:p>
      <w:pPr>
        <w:pStyle w:val="BodyText"/>
        <w:spacing w:line="247" w:lineRule="auto" w:before="172"/>
        <w:ind w:left="117" w:right="116" w:firstLine="283"/>
        <w:jc w:val="both"/>
      </w:pPr>
      <w:r>
        <w:rPr>
          <w:color w:val="231F20"/>
        </w:rPr>
        <w:t>La pobreza puede concebirse como una carencia definida en distintos espacios, como en oportunidades de participación en los mecanismos de decisión colectiva o política, que le dan voz a la ciudadanía en la repre- sentación de sus intereses, en mecanismos de apropiación sobre recursos que provocan incertidumbre respecto al acceso a satisfactores básicos, en capital</w:t>
      </w:r>
      <w:r>
        <w:rPr>
          <w:color w:val="231F20"/>
          <w:spacing w:val="-4"/>
        </w:rPr>
        <w:t> </w:t>
      </w:r>
      <w:r>
        <w:rPr>
          <w:color w:val="231F20"/>
        </w:rPr>
        <w:t>humano</w:t>
      </w:r>
      <w:r>
        <w:rPr>
          <w:color w:val="231F20"/>
          <w:spacing w:val="-4"/>
        </w:rPr>
        <w:t> </w:t>
      </w:r>
      <w:r>
        <w:rPr>
          <w:color w:val="231F20"/>
        </w:rPr>
        <w:t>o</w:t>
      </w:r>
      <w:r>
        <w:rPr>
          <w:color w:val="231F20"/>
          <w:spacing w:val="-4"/>
        </w:rPr>
        <w:t> </w:t>
      </w:r>
      <w:r>
        <w:rPr>
          <w:color w:val="231F20"/>
        </w:rPr>
        <w:t>físico,</w:t>
      </w:r>
      <w:r>
        <w:rPr>
          <w:color w:val="231F20"/>
          <w:spacing w:val="-4"/>
        </w:rPr>
        <w:t> </w:t>
      </w:r>
      <w:r>
        <w:rPr>
          <w:color w:val="231F20"/>
        </w:rPr>
        <w:t>en</w:t>
      </w:r>
      <w:r>
        <w:rPr>
          <w:color w:val="231F20"/>
          <w:spacing w:val="-4"/>
        </w:rPr>
        <w:t> </w:t>
      </w:r>
      <w:r>
        <w:rPr>
          <w:color w:val="231F20"/>
        </w:rPr>
        <w:t>ingreso</w:t>
      </w:r>
      <w:r>
        <w:rPr>
          <w:color w:val="231F20"/>
          <w:spacing w:val="-4"/>
        </w:rPr>
        <w:t> </w:t>
      </w:r>
      <w:r>
        <w:rPr>
          <w:color w:val="231F20"/>
        </w:rPr>
        <w:t>para</w:t>
      </w:r>
      <w:r>
        <w:rPr>
          <w:color w:val="231F20"/>
          <w:spacing w:val="-4"/>
        </w:rPr>
        <w:t> </w:t>
      </w:r>
      <w:r>
        <w:rPr>
          <w:color w:val="231F20"/>
        </w:rPr>
        <w:t>la</w:t>
      </w:r>
      <w:r>
        <w:rPr>
          <w:color w:val="231F20"/>
          <w:spacing w:val="-4"/>
        </w:rPr>
        <w:t> </w:t>
      </w:r>
      <w:r>
        <w:rPr>
          <w:color w:val="231F20"/>
        </w:rPr>
        <w:t>obtención</w:t>
      </w:r>
      <w:r>
        <w:rPr>
          <w:color w:val="231F20"/>
          <w:spacing w:val="-4"/>
        </w:rPr>
        <w:t> </w:t>
      </w:r>
      <w:r>
        <w:rPr>
          <w:color w:val="231F20"/>
        </w:rPr>
        <w:t>de</w:t>
      </w:r>
      <w:r>
        <w:rPr>
          <w:color w:val="231F20"/>
          <w:spacing w:val="-4"/>
        </w:rPr>
        <w:t> </w:t>
      </w:r>
      <w:r>
        <w:rPr>
          <w:color w:val="231F20"/>
        </w:rPr>
        <w:t>ciertos</w:t>
      </w:r>
      <w:r>
        <w:rPr>
          <w:color w:val="231F20"/>
          <w:spacing w:val="-4"/>
        </w:rPr>
        <w:t> </w:t>
      </w:r>
      <w:r>
        <w:rPr>
          <w:color w:val="231F20"/>
        </w:rPr>
        <w:t>elementos, en bienes de consumo como la canasta de bienes alimenticios y no ali- menticios,</w:t>
      </w:r>
      <w:r>
        <w:rPr>
          <w:color w:val="231F20"/>
          <w:spacing w:val="-7"/>
        </w:rPr>
        <w:t> </w:t>
      </w:r>
      <w:r>
        <w:rPr>
          <w:color w:val="231F20"/>
        </w:rPr>
        <w:t>en</w:t>
      </w:r>
      <w:r>
        <w:rPr>
          <w:color w:val="231F20"/>
          <w:spacing w:val="-6"/>
        </w:rPr>
        <w:t> </w:t>
      </w:r>
      <w:r>
        <w:rPr>
          <w:color w:val="231F20"/>
        </w:rPr>
        <w:t>bienestar</w:t>
      </w:r>
      <w:r>
        <w:rPr>
          <w:color w:val="231F20"/>
          <w:spacing w:val="-6"/>
        </w:rPr>
        <w:t> </w:t>
      </w:r>
      <w:r>
        <w:rPr>
          <w:color w:val="231F20"/>
        </w:rPr>
        <w:t>(entendido</w:t>
      </w:r>
      <w:r>
        <w:rPr>
          <w:color w:val="231F20"/>
          <w:spacing w:val="-6"/>
        </w:rPr>
        <w:t> </w:t>
      </w:r>
      <w:r>
        <w:rPr>
          <w:color w:val="231F20"/>
        </w:rPr>
        <w:t>en</w:t>
      </w:r>
      <w:r>
        <w:rPr>
          <w:color w:val="231F20"/>
          <w:spacing w:val="-6"/>
        </w:rPr>
        <w:t> </w:t>
      </w:r>
      <w:r>
        <w:rPr>
          <w:color w:val="231F20"/>
        </w:rPr>
        <w:t>sentido</w:t>
      </w:r>
      <w:r>
        <w:rPr>
          <w:color w:val="231F20"/>
          <w:spacing w:val="-6"/>
        </w:rPr>
        <w:t> </w:t>
      </w:r>
      <w:r>
        <w:rPr>
          <w:color w:val="231F20"/>
        </w:rPr>
        <w:t>subjetivo)</w:t>
      </w:r>
      <w:r>
        <w:rPr>
          <w:color w:val="231F20"/>
          <w:spacing w:val="-5"/>
        </w:rPr>
        <w:t> </w:t>
      </w:r>
      <w:r>
        <w:rPr>
          <w:color w:val="231F20"/>
        </w:rPr>
        <w:t>por</w:t>
      </w:r>
      <w:r>
        <w:rPr>
          <w:color w:val="231F20"/>
          <w:spacing w:val="-6"/>
        </w:rPr>
        <w:t> </w:t>
      </w:r>
      <w:r>
        <w:rPr>
          <w:color w:val="231F20"/>
        </w:rPr>
        <w:t>ejemplo</w:t>
      </w:r>
      <w:r>
        <w:rPr>
          <w:color w:val="231F20"/>
          <w:spacing w:val="-6"/>
        </w:rPr>
        <w:t> </w:t>
      </w:r>
      <w:r>
        <w:rPr>
          <w:color w:val="231F20"/>
        </w:rPr>
        <w:t>de</w:t>
      </w:r>
      <w:r>
        <w:rPr>
          <w:color w:val="231F20"/>
          <w:spacing w:val="-6"/>
        </w:rPr>
        <w:t> </w:t>
      </w:r>
      <w:r>
        <w:rPr>
          <w:color w:val="231F20"/>
        </w:rPr>
        <w:t>un nivel adecuado de satisfacción personal </w:t>
      </w:r>
      <w:r>
        <w:rPr>
          <w:color w:val="231F20"/>
          <w:spacing w:val="-5"/>
        </w:rPr>
        <w:t>(CTMP,</w:t>
      </w:r>
      <w:r>
        <w:rPr>
          <w:color w:val="231F20"/>
          <w:spacing w:val="-7"/>
        </w:rPr>
        <w:t> </w:t>
      </w:r>
      <w:r>
        <w:rPr>
          <w:color w:val="231F20"/>
        </w:rPr>
        <w:t>2002).</w:t>
      </w:r>
    </w:p>
    <w:p>
      <w:pPr>
        <w:pStyle w:val="BodyText"/>
        <w:spacing w:line="247" w:lineRule="auto"/>
        <w:ind w:left="117" w:right="114" w:firstLine="283"/>
        <w:jc w:val="both"/>
      </w:pPr>
      <w:r>
        <w:rPr/>
        <w:pict>
          <v:line style="position:absolute;mso-position-horizontal-relative:page;mso-position-vertical-relative:paragraph;z-index:5440;mso-wrap-distance-left:0;mso-wrap-distance-right:0" from="70.866096pt,121.870934pt" to="142.866096pt,121.870934pt" stroked="true" strokeweight=".75pt" strokecolor="#231f20">
            <w10:wrap type="topAndBottom"/>
          </v:line>
        </w:pict>
      </w:r>
      <w:r>
        <w:rPr>
          <w:color w:val="231F20"/>
        </w:rPr>
        <w:t>La pobreza también se ha concebido desde el punto de vista de</w:t>
      </w:r>
      <w:r>
        <w:rPr>
          <w:color w:val="231F20"/>
          <w:spacing w:val="-27"/>
        </w:rPr>
        <w:t> </w:t>
      </w:r>
      <w:r>
        <w:rPr>
          <w:color w:val="231F20"/>
        </w:rPr>
        <w:t>relacio- nes</w:t>
      </w:r>
      <w:r>
        <w:rPr>
          <w:color w:val="231F20"/>
          <w:spacing w:val="-14"/>
        </w:rPr>
        <w:t> </w:t>
      </w:r>
      <w:r>
        <w:rPr>
          <w:color w:val="231F20"/>
        </w:rPr>
        <w:t>sociales</w:t>
      </w:r>
      <w:r>
        <w:rPr>
          <w:color w:val="231F20"/>
          <w:spacing w:val="-13"/>
        </w:rPr>
        <w:t> </w:t>
      </w:r>
      <w:r>
        <w:rPr>
          <w:color w:val="231F20"/>
        </w:rPr>
        <w:t>que</w:t>
      </w:r>
      <w:r>
        <w:rPr>
          <w:color w:val="231F20"/>
          <w:spacing w:val="-14"/>
        </w:rPr>
        <w:t> </w:t>
      </w:r>
      <w:r>
        <w:rPr>
          <w:color w:val="231F20"/>
        </w:rPr>
        <w:t>excluyen</w:t>
      </w:r>
      <w:r>
        <w:rPr>
          <w:color w:val="231F20"/>
          <w:spacing w:val="-14"/>
        </w:rPr>
        <w:t> </w:t>
      </w:r>
      <w:r>
        <w:rPr>
          <w:color w:val="231F20"/>
        </w:rPr>
        <w:t>a</w:t>
      </w:r>
      <w:r>
        <w:rPr>
          <w:color w:val="231F20"/>
          <w:spacing w:val="-14"/>
        </w:rPr>
        <w:t> </w:t>
      </w:r>
      <w:r>
        <w:rPr>
          <w:color w:val="231F20"/>
        </w:rPr>
        <w:t>determinados</w:t>
      </w:r>
      <w:r>
        <w:rPr>
          <w:color w:val="231F20"/>
          <w:spacing w:val="-14"/>
        </w:rPr>
        <w:t> </w:t>
      </w:r>
      <w:r>
        <w:rPr>
          <w:color w:val="231F20"/>
        </w:rPr>
        <w:t>hogares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participación</w:t>
      </w:r>
      <w:r>
        <w:rPr>
          <w:color w:val="231F20"/>
          <w:spacing w:val="-14"/>
        </w:rPr>
        <w:t> </w:t>
      </w:r>
      <w:r>
        <w:rPr>
          <w:color w:val="231F20"/>
        </w:rPr>
        <w:t>en</w:t>
      </w:r>
      <w:r>
        <w:rPr>
          <w:color w:val="231F20"/>
          <w:spacing w:val="-14"/>
        </w:rPr>
        <w:t> </w:t>
      </w:r>
      <w:r>
        <w:rPr>
          <w:color w:val="231F20"/>
        </w:rPr>
        <w:t>los patrones</w:t>
      </w:r>
      <w:r>
        <w:rPr>
          <w:color w:val="231F20"/>
          <w:spacing w:val="-7"/>
        </w:rPr>
        <w:t> </w:t>
      </w:r>
      <w:r>
        <w:rPr>
          <w:color w:val="231F20"/>
        </w:rPr>
        <w:t>normales</w:t>
      </w:r>
      <w:r>
        <w:rPr>
          <w:color w:val="231F20"/>
          <w:spacing w:val="-7"/>
        </w:rPr>
        <w:t> </w:t>
      </w:r>
      <w:r>
        <w:rPr>
          <w:color w:val="231F20"/>
        </w:rPr>
        <w:t>de</w:t>
      </w:r>
      <w:r>
        <w:rPr>
          <w:color w:val="231F20"/>
          <w:spacing w:val="-7"/>
        </w:rPr>
        <w:t> </w:t>
      </w:r>
      <w:r>
        <w:rPr>
          <w:color w:val="231F20"/>
        </w:rPr>
        <w:t>vida</w:t>
      </w:r>
      <w:r>
        <w:rPr>
          <w:color w:val="231F20"/>
          <w:spacing w:val="-7"/>
        </w:rPr>
        <w:t> </w:t>
      </w:r>
      <w:r>
        <w:rPr>
          <w:color w:val="231F20"/>
        </w:rPr>
        <w:t>comunitaria.</w:t>
      </w:r>
      <w:r>
        <w:rPr>
          <w:color w:val="231F20"/>
          <w:spacing w:val="-8"/>
        </w:rPr>
        <w:t> </w:t>
      </w:r>
      <w:r>
        <w:rPr>
          <w:color w:val="231F20"/>
        </w:rPr>
        <w:t>Desde</w:t>
      </w:r>
      <w:r>
        <w:rPr>
          <w:color w:val="231F20"/>
          <w:spacing w:val="-7"/>
        </w:rPr>
        <w:t> </w:t>
      </w:r>
      <w:r>
        <w:rPr>
          <w:color w:val="231F20"/>
        </w:rPr>
        <w:t>esta</w:t>
      </w:r>
      <w:r>
        <w:rPr>
          <w:color w:val="231F20"/>
          <w:spacing w:val="-8"/>
        </w:rPr>
        <w:t> </w:t>
      </w:r>
      <w:r>
        <w:rPr>
          <w:color w:val="231F20"/>
        </w:rPr>
        <w:t>perspectiva</w:t>
      </w:r>
      <w:r>
        <w:rPr>
          <w:color w:val="231F20"/>
          <w:spacing w:val="-7"/>
        </w:rPr>
        <w:t> </w:t>
      </w:r>
      <w:r>
        <w:rPr>
          <w:color w:val="231F20"/>
        </w:rPr>
        <w:t>la</w:t>
      </w:r>
      <w:r>
        <w:rPr>
          <w:color w:val="231F20"/>
          <w:spacing w:val="-7"/>
        </w:rPr>
        <w:t> </w:t>
      </w:r>
      <w:r>
        <w:rPr>
          <w:color w:val="231F20"/>
        </w:rPr>
        <w:t>distancia frente a la norma está relacionada con la desigualdad, lo que da como re- sultado que se encuentren definiciones de la pobreza como “diferencias</w:t>
      </w:r>
      <w:r>
        <w:rPr>
          <w:color w:val="231F20"/>
          <w:spacing w:val="-31"/>
        </w:rPr>
        <w:t> </w:t>
      </w:r>
      <w:r>
        <w:rPr>
          <w:color w:val="231F20"/>
        </w:rPr>
        <w:t>de ingreso respecto al promedio o la mediana de la sociedad” </w:t>
      </w:r>
      <w:r>
        <w:rPr>
          <w:color w:val="231F20"/>
          <w:spacing w:val="-5"/>
        </w:rPr>
        <w:t>(CTMP, </w:t>
      </w:r>
      <w:r>
        <w:rPr>
          <w:color w:val="231F20"/>
        </w:rPr>
        <w:t>2002: 18). Cuando la distancia respecto a tal promedio se refiere a la propiedad de los medios de producción en vez de al ingreso, la definición de</w:t>
      </w:r>
      <w:r>
        <w:rPr>
          <w:color w:val="231F20"/>
          <w:spacing w:val="-37"/>
        </w:rPr>
        <w:t> </w:t>
      </w:r>
      <w:r>
        <w:rPr>
          <w:color w:val="231F20"/>
        </w:rPr>
        <w:t>pobreza puede quedar asociada a la pertenencia a una clase</w:t>
      </w:r>
      <w:r>
        <w:rPr>
          <w:color w:val="231F20"/>
          <w:spacing w:val="-9"/>
        </w:rPr>
        <w:t> </w:t>
      </w:r>
      <w:r>
        <w:rPr>
          <w:color w:val="231F20"/>
        </w:rPr>
        <w:t>social.</w:t>
      </w:r>
    </w:p>
    <w:p>
      <w:pPr>
        <w:spacing w:line="170" w:lineRule="exact" w:before="0"/>
        <w:ind w:left="117" w:right="114" w:firstLine="0"/>
        <w:jc w:val="both"/>
        <w:rPr>
          <w:sz w:val="17"/>
        </w:rPr>
      </w:pPr>
      <w:r>
        <w:rPr>
          <w:color w:val="231F20"/>
          <w:position w:val="6"/>
          <w:sz w:val="10"/>
        </w:rPr>
        <w:t>2 </w:t>
      </w:r>
      <w:r>
        <w:rPr>
          <w:color w:val="231F20"/>
          <w:sz w:val="17"/>
        </w:rPr>
        <w:t>Dado que no existe una definición oficial o ampliamente aceptada ni en México ni en otros países, la Secretaría de Desarrollo Social convocó a un grupo de expertos nacionales en el tema a integrar el </w:t>
      </w:r>
      <w:r>
        <w:rPr>
          <w:color w:val="231F20"/>
          <w:spacing w:val="-4"/>
          <w:sz w:val="17"/>
        </w:rPr>
        <w:t>CTMP, </w:t>
      </w:r>
      <w:r>
        <w:rPr>
          <w:color w:val="231F20"/>
          <w:sz w:val="17"/>
        </w:rPr>
        <w:t>con el objetivo de que dichos expertos plantearan una metodología para la medición oficial de la pobreza en el país. El </w:t>
      </w:r>
      <w:r>
        <w:rPr>
          <w:color w:val="231F20"/>
          <w:spacing w:val="-4"/>
          <w:sz w:val="17"/>
        </w:rPr>
        <w:t>CTMP, </w:t>
      </w:r>
      <w:r>
        <w:rPr>
          <w:color w:val="231F20"/>
          <w:sz w:val="17"/>
        </w:rPr>
        <w:t>está conformado por los siguientes acadé- micos: Lic. José Luis Ávila Martínez, </w:t>
      </w:r>
      <w:r>
        <w:rPr>
          <w:color w:val="231F20"/>
          <w:spacing w:val="-4"/>
          <w:sz w:val="17"/>
        </w:rPr>
        <w:t>Dr. </w:t>
      </w:r>
      <w:r>
        <w:rPr>
          <w:color w:val="231F20"/>
          <w:sz w:val="17"/>
        </w:rPr>
        <w:t>Fernando Cortés Cáceres, Mtro. Rodolfo De la Torre, Mtro.</w:t>
      </w:r>
      <w:r>
        <w:rPr>
          <w:color w:val="231F20"/>
          <w:spacing w:val="-9"/>
          <w:sz w:val="17"/>
        </w:rPr>
        <w:t> </w:t>
      </w:r>
      <w:r>
        <w:rPr>
          <w:color w:val="231F20"/>
          <w:sz w:val="17"/>
        </w:rPr>
        <w:t>Daniel</w:t>
      </w:r>
      <w:r>
        <w:rPr>
          <w:color w:val="231F20"/>
          <w:spacing w:val="-9"/>
          <w:sz w:val="17"/>
        </w:rPr>
        <w:t> </w:t>
      </w:r>
      <w:r>
        <w:rPr>
          <w:color w:val="231F20"/>
          <w:sz w:val="17"/>
        </w:rPr>
        <w:t>Hernández,</w:t>
      </w:r>
      <w:r>
        <w:rPr>
          <w:color w:val="231F20"/>
          <w:spacing w:val="25"/>
          <w:sz w:val="17"/>
        </w:rPr>
        <w:t> </w:t>
      </w:r>
      <w:r>
        <w:rPr>
          <w:color w:val="231F20"/>
          <w:spacing w:val="-4"/>
          <w:sz w:val="17"/>
        </w:rPr>
        <w:t>Dr.</w:t>
      </w:r>
      <w:r>
        <w:rPr>
          <w:color w:val="231F20"/>
          <w:spacing w:val="-9"/>
          <w:sz w:val="17"/>
        </w:rPr>
        <w:t> </w:t>
      </w:r>
      <w:r>
        <w:rPr>
          <w:color w:val="231F20"/>
          <w:sz w:val="17"/>
        </w:rPr>
        <w:t>Enrique</w:t>
      </w:r>
      <w:r>
        <w:rPr>
          <w:color w:val="231F20"/>
          <w:spacing w:val="-10"/>
          <w:sz w:val="17"/>
        </w:rPr>
        <w:t> </w:t>
      </w:r>
      <w:r>
        <w:rPr>
          <w:color w:val="231F20"/>
          <w:sz w:val="17"/>
        </w:rPr>
        <w:t>Hernández</w:t>
      </w:r>
      <w:r>
        <w:rPr>
          <w:color w:val="231F20"/>
          <w:spacing w:val="-9"/>
          <w:sz w:val="17"/>
        </w:rPr>
        <w:t> </w:t>
      </w:r>
      <w:r>
        <w:rPr>
          <w:color w:val="231F20"/>
          <w:sz w:val="17"/>
        </w:rPr>
        <w:t>Laos,</w:t>
      </w:r>
      <w:r>
        <w:rPr>
          <w:color w:val="231F20"/>
          <w:spacing w:val="-10"/>
          <w:sz w:val="17"/>
        </w:rPr>
        <w:t> </w:t>
      </w:r>
      <w:r>
        <w:rPr>
          <w:color w:val="231F20"/>
          <w:spacing w:val="-4"/>
          <w:sz w:val="17"/>
        </w:rPr>
        <w:t>Dr.</w:t>
      </w:r>
      <w:r>
        <w:rPr>
          <w:color w:val="231F20"/>
          <w:spacing w:val="-10"/>
          <w:sz w:val="17"/>
        </w:rPr>
        <w:t> </w:t>
      </w:r>
      <w:r>
        <w:rPr>
          <w:color w:val="231F20"/>
          <w:sz w:val="17"/>
        </w:rPr>
        <w:t>Gerardo</w:t>
      </w:r>
      <w:r>
        <w:rPr>
          <w:color w:val="231F20"/>
          <w:spacing w:val="-9"/>
          <w:sz w:val="17"/>
        </w:rPr>
        <w:t> </w:t>
      </w:r>
      <w:r>
        <w:rPr>
          <w:color w:val="231F20"/>
          <w:sz w:val="17"/>
        </w:rPr>
        <w:t>Leyva</w:t>
      </w:r>
      <w:r>
        <w:rPr>
          <w:color w:val="231F20"/>
          <w:spacing w:val="-10"/>
          <w:sz w:val="17"/>
        </w:rPr>
        <w:t> </w:t>
      </w:r>
      <w:r>
        <w:rPr>
          <w:color w:val="231F20"/>
          <w:sz w:val="17"/>
        </w:rPr>
        <w:t>Parra,</w:t>
      </w:r>
      <w:r>
        <w:rPr>
          <w:color w:val="231F20"/>
          <w:spacing w:val="-9"/>
          <w:sz w:val="17"/>
        </w:rPr>
        <w:t> </w:t>
      </w:r>
      <w:r>
        <w:rPr>
          <w:color w:val="231F20"/>
          <w:spacing w:val="-4"/>
          <w:sz w:val="17"/>
        </w:rPr>
        <w:t>Dr.</w:t>
      </w:r>
      <w:r>
        <w:rPr>
          <w:color w:val="231F20"/>
          <w:spacing w:val="-9"/>
          <w:sz w:val="17"/>
        </w:rPr>
        <w:t> </w:t>
      </w:r>
      <w:r>
        <w:rPr>
          <w:color w:val="231F20"/>
          <w:sz w:val="17"/>
        </w:rPr>
        <w:t>Luis</w:t>
      </w:r>
      <w:r>
        <w:rPr>
          <w:color w:val="231F20"/>
          <w:spacing w:val="-10"/>
          <w:sz w:val="17"/>
        </w:rPr>
        <w:t> </w:t>
      </w:r>
      <w:r>
        <w:rPr>
          <w:color w:val="231F20"/>
          <w:sz w:val="17"/>
        </w:rPr>
        <w:t>Felipe López Calva, Mtra. Mónica Orozco, </w:t>
      </w:r>
      <w:r>
        <w:rPr>
          <w:color w:val="231F20"/>
          <w:spacing w:val="-4"/>
          <w:sz w:val="17"/>
        </w:rPr>
        <w:t>Dr. </w:t>
      </w:r>
      <w:r>
        <w:rPr>
          <w:color w:val="231F20"/>
          <w:sz w:val="17"/>
        </w:rPr>
        <w:t>Luis Rubalcava Peñafiel, Mtro. John Scott, </w:t>
      </w:r>
      <w:r>
        <w:rPr>
          <w:color w:val="231F20"/>
          <w:spacing w:val="-4"/>
          <w:sz w:val="17"/>
        </w:rPr>
        <w:t>Dr. </w:t>
      </w:r>
      <w:r>
        <w:rPr>
          <w:color w:val="231F20"/>
          <w:sz w:val="17"/>
        </w:rPr>
        <w:t>Miguel </w:t>
      </w:r>
      <w:r>
        <w:rPr>
          <w:color w:val="231F20"/>
          <w:spacing w:val="-3"/>
          <w:sz w:val="17"/>
        </w:rPr>
        <w:t>Székely, </w:t>
      </w:r>
      <w:r>
        <w:rPr>
          <w:color w:val="231F20"/>
          <w:sz w:val="17"/>
        </w:rPr>
        <w:t>Dra. Graciela Teruel, </w:t>
      </w:r>
      <w:r>
        <w:rPr>
          <w:color w:val="231F20"/>
          <w:spacing w:val="-4"/>
          <w:sz w:val="17"/>
        </w:rPr>
        <w:t>Dr. </w:t>
      </w:r>
      <w:r>
        <w:rPr>
          <w:color w:val="231F20"/>
          <w:sz w:val="17"/>
        </w:rPr>
        <w:t>Roberto</w:t>
      </w:r>
      <w:r>
        <w:rPr>
          <w:color w:val="231F20"/>
          <w:spacing w:val="-26"/>
          <w:sz w:val="17"/>
        </w:rPr>
        <w:t> </w:t>
      </w:r>
      <w:r>
        <w:rPr>
          <w:color w:val="231F20"/>
          <w:sz w:val="17"/>
        </w:rPr>
        <w:t>Villarreal.</w:t>
      </w:r>
    </w:p>
    <w:p>
      <w:pPr>
        <w:spacing w:after="0" w:line="170" w:lineRule="exact"/>
        <w:jc w:val="both"/>
        <w:rPr>
          <w:sz w:val="17"/>
        </w:rPr>
        <w:sectPr>
          <w:pgSz w:w="9360" w:h="13040"/>
          <w:pgMar w:header="0" w:footer="496" w:top="800" w:bottom="680" w:left="1300" w:right="1300"/>
        </w:sectPr>
      </w:pPr>
    </w:p>
    <w:p>
      <w:pPr>
        <w:spacing w:before="45"/>
        <w:ind w:left="400" w:right="0" w:hanging="217"/>
        <w:jc w:val="both"/>
        <w:rPr>
          <w:rFonts w:ascii="Arial" w:hAnsi="Arial"/>
          <w:sz w:val="20"/>
        </w:rPr>
      </w:pPr>
      <w:r>
        <w:rPr>
          <w:rFonts w:ascii="Arial" w:hAnsi="Arial"/>
          <w:color w:val="231F20"/>
          <w:w w:val="65"/>
          <w:sz w:val="20"/>
        </w:rPr>
        <w:t>Las políticas públicas de combate a la pobreza y su sinergia... /Mayra P. Pérez-Román y A. Velázquez-Romero</w:t>
      </w:r>
    </w:p>
    <w:p>
      <w:pPr>
        <w:pStyle w:val="BodyText"/>
        <w:spacing w:before="7"/>
        <w:rPr>
          <w:rFonts w:ascii="Arial"/>
          <w:sz w:val="28"/>
        </w:rPr>
      </w:pPr>
    </w:p>
    <w:p>
      <w:pPr>
        <w:pStyle w:val="BodyText"/>
        <w:spacing w:line="247" w:lineRule="auto"/>
        <w:ind w:left="117" w:right="115" w:firstLine="283"/>
        <w:jc w:val="both"/>
      </w:pPr>
      <w:r>
        <w:rPr>
          <w:color w:val="231F20"/>
        </w:rPr>
        <w:t>Diversas</w:t>
      </w:r>
      <w:r>
        <w:rPr>
          <w:color w:val="231F20"/>
          <w:spacing w:val="-9"/>
        </w:rPr>
        <w:t> </w:t>
      </w:r>
      <w:r>
        <w:rPr>
          <w:color w:val="231F20"/>
        </w:rPr>
        <w:t>son</w:t>
      </w:r>
      <w:r>
        <w:rPr>
          <w:color w:val="231F20"/>
          <w:spacing w:val="-9"/>
        </w:rPr>
        <w:t> </w:t>
      </w:r>
      <w:r>
        <w:rPr>
          <w:color w:val="231F20"/>
        </w:rPr>
        <w:t>las</w:t>
      </w:r>
      <w:r>
        <w:rPr>
          <w:color w:val="231F20"/>
          <w:spacing w:val="-9"/>
        </w:rPr>
        <w:t> </w:t>
      </w:r>
      <w:r>
        <w:rPr>
          <w:color w:val="231F20"/>
        </w:rPr>
        <w:t>definiciones</w:t>
      </w:r>
      <w:r>
        <w:rPr>
          <w:color w:val="231F20"/>
          <w:spacing w:val="-10"/>
        </w:rPr>
        <w:t> </w:t>
      </w:r>
      <w:r>
        <w:rPr>
          <w:color w:val="231F20"/>
        </w:rPr>
        <w:t>de</w:t>
      </w:r>
      <w:r>
        <w:rPr>
          <w:color w:val="231F20"/>
          <w:spacing w:val="-9"/>
        </w:rPr>
        <w:t> </w:t>
      </w:r>
      <w:r>
        <w:rPr>
          <w:color w:val="231F20"/>
        </w:rPr>
        <w:t>pobreza</w:t>
      </w:r>
      <w:r>
        <w:rPr>
          <w:color w:val="231F20"/>
          <w:spacing w:val="-10"/>
        </w:rPr>
        <w:t> </w:t>
      </w:r>
      <w:r>
        <w:rPr>
          <w:color w:val="231F20"/>
        </w:rPr>
        <w:t>así</w:t>
      </w:r>
      <w:r>
        <w:rPr>
          <w:color w:val="231F20"/>
          <w:spacing w:val="-9"/>
        </w:rPr>
        <w:t> </w:t>
      </w:r>
      <w:r>
        <w:rPr>
          <w:color w:val="231F20"/>
        </w:rPr>
        <w:t>como</w:t>
      </w:r>
      <w:r>
        <w:rPr>
          <w:color w:val="231F20"/>
          <w:spacing w:val="-9"/>
        </w:rPr>
        <w:t> </w:t>
      </w:r>
      <w:r>
        <w:rPr>
          <w:color w:val="231F20"/>
        </w:rPr>
        <w:t>diversas</w:t>
      </w:r>
      <w:r>
        <w:rPr>
          <w:color w:val="231F20"/>
          <w:spacing w:val="-9"/>
        </w:rPr>
        <w:t> </w:t>
      </w:r>
      <w:r>
        <w:rPr>
          <w:color w:val="231F20"/>
        </w:rPr>
        <w:t>son</w:t>
      </w:r>
      <w:r>
        <w:rPr>
          <w:color w:val="231F20"/>
          <w:spacing w:val="-9"/>
        </w:rPr>
        <w:t> </w:t>
      </w:r>
      <w:r>
        <w:rPr>
          <w:color w:val="231F20"/>
        </w:rPr>
        <w:t>las</w:t>
      </w:r>
      <w:r>
        <w:rPr>
          <w:color w:val="231F20"/>
          <w:spacing w:val="-9"/>
        </w:rPr>
        <w:t> </w:t>
      </w:r>
      <w:r>
        <w:rPr>
          <w:color w:val="231F20"/>
        </w:rPr>
        <w:t>tipo- logías, una de las más importantes y sobre la cual se centra la atención el presente trabajo es la ofrecida por Miguel Székely, quien define tres tipos de pobreza:</w:t>
      </w:r>
    </w:p>
    <w:p>
      <w:pPr>
        <w:pStyle w:val="ListParagraph"/>
        <w:numPr>
          <w:ilvl w:val="0"/>
          <w:numId w:val="7"/>
        </w:numPr>
        <w:tabs>
          <w:tab w:pos="478" w:val="left" w:leader="none"/>
        </w:tabs>
        <w:spacing w:line="247" w:lineRule="auto" w:before="169" w:after="0"/>
        <w:ind w:left="477" w:right="115" w:hanging="360"/>
        <w:jc w:val="both"/>
        <w:rPr>
          <w:sz w:val="22"/>
        </w:rPr>
      </w:pPr>
      <w:r>
        <w:rPr>
          <w:i/>
          <w:color w:val="231F20"/>
          <w:sz w:val="22"/>
        </w:rPr>
        <w:t>Pobreza alimentaria: </w:t>
      </w:r>
      <w:r>
        <w:rPr>
          <w:color w:val="231F20"/>
          <w:sz w:val="22"/>
        </w:rPr>
        <w:t>es la población que cuenta con un ingreso per cápita insuficiente como para adquirir una alimentación mínimamente aceptable…</w:t>
      </w:r>
    </w:p>
    <w:p>
      <w:pPr>
        <w:pStyle w:val="ListParagraph"/>
        <w:numPr>
          <w:ilvl w:val="0"/>
          <w:numId w:val="7"/>
        </w:numPr>
        <w:tabs>
          <w:tab w:pos="478" w:val="left" w:leader="none"/>
        </w:tabs>
        <w:spacing w:line="247" w:lineRule="auto" w:before="0" w:after="0"/>
        <w:ind w:left="477" w:right="114" w:hanging="360"/>
        <w:jc w:val="both"/>
        <w:rPr>
          <w:sz w:val="22"/>
        </w:rPr>
      </w:pPr>
      <w:r>
        <w:rPr>
          <w:i/>
          <w:color w:val="231F20"/>
          <w:sz w:val="22"/>
        </w:rPr>
        <w:t>Pobreza de capacidades</w:t>
      </w:r>
      <w:r>
        <w:rPr>
          <w:color w:val="231F20"/>
          <w:sz w:val="22"/>
        </w:rPr>
        <w:t>: es la población que si bien puede cubrir sus necesidades mínimas de alimentación (equivalentes a la línea de po- breza alimentaria) cuenta con un ingreso per cápita insuficiente como para realizar las inversiones mínimamente aceptables en la educación y la salud de cada uno de los miembros del</w:t>
      </w:r>
      <w:r>
        <w:rPr>
          <w:color w:val="231F20"/>
          <w:spacing w:val="-7"/>
          <w:sz w:val="22"/>
        </w:rPr>
        <w:t> </w:t>
      </w:r>
      <w:r>
        <w:rPr>
          <w:color w:val="231F20"/>
          <w:sz w:val="22"/>
        </w:rPr>
        <w:t>hogar…</w:t>
      </w:r>
    </w:p>
    <w:p>
      <w:pPr>
        <w:pStyle w:val="ListParagraph"/>
        <w:numPr>
          <w:ilvl w:val="0"/>
          <w:numId w:val="7"/>
        </w:numPr>
        <w:tabs>
          <w:tab w:pos="478" w:val="left" w:leader="none"/>
        </w:tabs>
        <w:spacing w:line="247" w:lineRule="auto" w:before="0" w:after="0"/>
        <w:ind w:left="477" w:right="115" w:hanging="360"/>
        <w:jc w:val="both"/>
        <w:rPr>
          <w:sz w:val="22"/>
        </w:rPr>
      </w:pPr>
      <w:r>
        <w:rPr>
          <w:i/>
          <w:color w:val="231F20"/>
          <w:sz w:val="22"/>
        </w:rPr>
        <w:t>Pobreza de patrimonio: </w:t>
      </w:r>
      <w:r>
        <w:rPr>
          <w:color w:val="231F20"/>
          <w:sz w:val="22"/>
        </w:rPr>
        <w:t>es la población que si bien puede cubrir sus necesidades</w:t>
      </w:r>
      <w:r>
        <w:rPr>
          <w:color w:val="231F20"/>
          <w:spacing w:val="-12"/>
          <w:sz w:val="22"/>
        </w:rPr>
        <w:t> </w:t>
      </w:r>
      <w:r>
        <w:rPr>
          <w:color w:val="231F20"/>
          <w:sz w:val="22"/>
        </w:rPr>
        <w:t>mínimas</w:t>
      </w:r>
      <w:r>
        <w:rPr>
          <w:color w:val="231F20"/>
          <w:spacing w:val="-12"/>
          <w:sz w:val="22"/>
        </w:rPr>
        <w:t> </w:t>
      </w:r>
      <w:r>
        <w:rPr>
          <w:color w:val="231F20"/>
          <w:sz w:val="22"/>
        </w:rPr>
        <w:t>de</w:t>
      </w:r>
      <w:r>
        <w:rPr>
          <w:color w:val="231F20"/>
          <w:spacing w:val="-12"/>
          <w:sz w:val="22"/>
        </w:rPr>
        <w:t> </w:t>
      </w:r>
      <w:r>
        <w:rPr>
          <w:color w:val="231F20"/>
          <w:sz w:val="22"/>
        </w:rPr>
        <w:t>alimentación,</w:t>
      </w:r>
      <w:r>
        <w:rPr>
          <w:color w:val="231F20"/>
          <w:spacing w:val="-12"/>
          <w:sz w:val="22"/>
        </w:rPr>
        <w:t> </w:t>
      </w:r>
      <w:r>
        <w:rPr>
          <w:color w:val="231F20"/>
          <w:sz w:val="22"/>
        </w:rPr>
        <w:t>educación</w:t>
      </w:r>
      <w:r>
        <w:rPr>
          <w:color w:val="231F20"/>
          <w:spacing w:val="-12"/>
          <w:sz w:val="22"/>
        </w:rPr>
        <w:t> </w:t>
      </w:r>
      <w:r>
        <w:rPr>
          <w:color w:val="231F20"/>
          <w:sz w:val="22"/>
        </w:rPr>
        <w:t>y</w:t>
      </w:r>
      <w:r>
        <w:rPr>
          <w:color w:val="231F20"/>
          <w:spacing w:val="-12"/>
          <w:sz w:val="22"/>
        </w:rPr>
        <w:t> </w:t>
      </w:r>
      <w:r>
        <w:rPr>
          <w:color w:val="231F20"/>
          <w:sz w:val="22"/>
        </w:rPr>
        <w:t>salud</w:t>
      </w:r>
      <w:r>
        <w:rPr>
          <w:color w:val="231F20"/>
          <w:spacing w:val="-12"/>
          <w:sz w:val="22"/>
        </w:rPr>
        <w:t> </w:t>
      </w:r>
      <w:r>
        <w:rPr>
          <w:color w:val="231F20"/>
          <w:sz w:val="22"/>
        </w:rPr>
        <w:t>(equivalentes a la línea de pobreza de capacidades) cuenta con un ingreso per cápita insuficiente como para adquirir mínimos indispensables de vivienda, vestido, calzado y transporte, para cada uno de los miembros del ho- gar… (Székely,</w:t>
      </w:r>
      <w:r>
        <w:rPr>
          <w:color w:val="231F20"/>
          <w:spacing w:val="-15"/>
          <w:sz w:val="22"/>
        </w:rPr>
        <w:t> </w:t>
      </w:r>
      <w:r>
        <w:rPr>
          <w:color w:val="231F20"/>
          <w:sz w:val="22"/>
        </w:rPr>
        <w:t>2005:12).</w:t>
      </w:r>
    </w:p>
    <w:p>
      <w:pPr>
        <w:pStyle w:val="BodyText"/>
        <w:spacing w:line="247" w:lineRule="auto" w:before="169"/>
        <w:ind w:left="117" w:right="114" w:firstLine="283"/>
        <w:jc w:val="both"/>
      </w:pPr>
      <w:r>
        <w:rPr>
          <w:color w:val="231F20"/>
        </w:rPr>
        <w:t>Székely ofrece una de las tipologías más aceptadas ya que utilizó la metodología oficial propuesta y desarrollada por el Comité Técnico para la Medición de la Pobreza en México. La tipología anterior se encuentra vertida</w:t>
      </w:r>
      <w:r>
        <w:rPr>
          <w:color w:val="231F20"/>
          <w:spacing w:val="-6"/>
        </w:rPr>
        <w:t> </w:t>
      </w:r>
      <w:r>
        <w:rPr>
          <w:color w:val="231F20"/>
        </w:rPr>
        <w:t>en</w:t>
      </w:r>
      <w:r>
        <w:rPr>
          <w:color w:val="231F20"/>
          <w:spacing w:val="-6"/>
        </w:rPr>
        <w:t> </w:t>
      </w:r>
      <w:r>
        <w:rPr>
          <w:color w:val="231F20"/>
        </w:rPr>
        <w:t>el</w:t>
      </w:r>
      <w:r>
        <w:rPr>
          <w:color w:val="231F20"/>
          <w:spacing w:val="-7"/>
        </w:rPr>
        <w:t> </w:t>
      </w:r>
      <w:r>
        <w:rPr>
          <w:color w:val="231F20"/>
        </w:rPr>
        <w:t>Programa</w:t>
      </w:r>
      <w:r>
        <w:rPr>
          <w:color w:val="231F20"/>
          <w:spacing w:val="-6"/>
        </w:rPr>
        <w:t> </w:t>
      </w:r>
      <w:r>
        <w:rPr>
          <w:color w:val="231F20"/>
        </w:rPr>
        <w:t>Oportunidades,</w:t>
      </w:r>
      <w:r>
        <w:rPr>
          <w:color w:val="231F20"/>
          <w:spacing w:val="-6"/>
        </w:rPr>
        <w:t> </w:t>
      </w:r>
      <w:r>
        <w:rPr>
          <w:color w:val="231F20"/>
        </w:rPr>
        <w:t>cuyos</w:t>
      </w:r>
      <w:r>
        <w:rPr>
          <w:color w:val="231F20"/>
          <w:spacing w:val="-7"/>
        </w:rPr>
        <w:t> </w:t>
      </w:r>
      <w:r>
        <w:rPr>
          <w:color w:val="231F20"/>
        </w:rPr>
        <w:t>predecesores</w:t>
      </w:r>
      <w:r>
        <w:rPr>
          <w:color w:val="231F20"/>
          <w:spacing w:val="-6"/>
        </w:rPr>
        <w:t> </w:t>
      </w:r>
      <w:r>
        <w:rPr>
          <w:color w:val="231F20"/>
        </w:rPr>
        <w:t>inmediatos</w:t>
      </w:r>
      <w:r>
        <w:rPr>
          <w:color w:val="231F20"/>
          <w:spacing w:val="-7"/>
        </w:rPr>
        <w:t> </w:t>
      </w:r>
      <w:r>
        <w:rPr>
          <w:color w:val="231F20"/>
        </w:rPr>
        <w:t>son Pronasol y</w:t>
      </w:r>
      <w:r>
        <w:rPr>
          <w:color w:val="231F20"/>
          <w:spacing w:val="-16"/>
        </w:rPr>
        <w:t> </w:t>
      </w:r>
      <w:r>
        <w:rPr>
          <w:color w:val="231F20"/>
        </w:rPr>
        <w:t>Progresa.</w:t>
      </w:r>
    </w:p>
    <w:p>
      <w:pPr>
        <w:pStyle w:val="BodyText"/>
        <w:spacing w:line="247" w:lineRule="auto"/>
        <w:ind w:left="117" w:right="114" w:firstLine="283"/>
        <w:jc w:val="both"/>
      </w:pPr>
      <w:r>
        <w:rPr>
          <w:color w:val="231F20"/>
        </w:rPr>
        <w:t>El primero de ellos inició su función en la administración de Carlos Salinas de Gortari con la creación del Programa Nacional de Solidaridad </w:t>
      </w:r>
      <w:r>
        <w:rPr>
          <w:color w:val="231F20"/>
          <w:w w:val="120"/>
        </w:rPr>
        <w:t>(</w:t>
      </w:r>
      <w:r>
        <w:rPr>
          <w:color w:val="231F20"/>
          <w:w w:val="120"/>
          <w:sz w:val="15"/>
        </w:rPr>
        <w:t>pronasol</w:t>
      </w:r>
      <w:r>
        <w:rPr>
          <w:color w:val="231F20"/>
          <w:w w:val="120"/>
        </w:rPr>
        <w:t>), </w:t>
      </w:r>
      <w:r>
        <w:rPr>
          <w:color w:val="231F20"/>
        </w:rPr>
        <w:t>que fue un intento por tratar de superar los rezagos sociales en grupos</w:t>
      </w:r>
      <w:r>
        <w:rPr>
          <w:color w:val="231F20"/>
          <w:spacing w:val="-16"/>
        </w:rPr>
        <w:t> </w:t>
      </w:r>
      <w:r>
        <w:rPr>
          <w:color w:val="231F20"/>
        </w:rPr>
        <w:t>vulnerables,</w:t>
      </w:r>
      <w:r>
        <w:rPr>
          <w:color w:val="231F20"/>
          <w:spacing w:val="-16"/>
        </w:rPr>
        <w:t> </w:t>
      </w:r>
      <w:r>
        <w:rPr>
          <w:color w:val="231F20"/>
        </w:rPr>
        <w:t>y</w:t>
      </w:r>
      <w:r>
        <w:rPr>
          <w:color w:val="231F20"/>
          <w:spacing w:val="-16"/>
        </w:rPr>
        <w:t> </w:t>
      </w:r>
      <w:r>
        <w:rPr>
          <w:color w:val="231F20"/>
        </w:rPr>
        <w:t>representó</w:t>
      </w:r>
      <w:r>
        <w:rPr>
          <w:color w:val="231F20"/>
          <w:spacing w:val="-16"/>
        </w:rPr>
        <w:t> </w:t>
      </w:r>
      <w:r>
        <w:rPr>
          <w:color w:val="231F20"/>
        </w:rPr>
        <w:t>la</w:t>
      </w:r>
      <w:r>
        <w:rPr>
          <w:color w:val="231F20"/>
          <w:spacing w:val="-16"/>
        </w:rPr>
        <w:t> </w:t>
      </w:r>
      <w:r>
        <w:rPr>
          <w:color w:val="231F20"/>
        </w:rPr>
        <w:t>columna</w:t>
      </w:r>
      <w:r>
        <w:rPr>
          <w:color w:val="231F20"/>
          <w:spacing w:val="-17"/>
        </w:rPr>
        <w:t> </w:t>
      </w:r>
      <w:r>
        <w:rPr>
          <w:color w:val="231F20"/>
        </w:rPr>
        <w:t>vertebral</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rPr>
        <w:t>administración. Con el fin de construir un nuevo piso social que impulsara el crecimiento nacional surgió Solidaridad que se orientó para el que desarrollo nacional fuera capaz de asegurar igualdad de oportunidades y justicia social para la población</w:t>
      </w:r>
      <w:r>
        <w:rPr>
          <w:color w:val="231F20"/>
          <w:spacing w:val="-12"/>
        </w:rPr>
        <w:t> </w:t>
      </w:r>
      <w:r>
        <w:rPr>
          <w:color w:val="231F20"/>
        </w:rPr>
        <w:t>en</w:t>
      </w:r>
      <w:r>
        <w:rPr>
          <w:color w:val="231F20"/>
          <w:spacing w:val="-12"/>
        </w:rPr>
        <w:t> </w:t>
      </w:r>
      <w:r>
        <w:rPr>
          <w:color w:val="231F20"/>
        </w:rPr>
        <w:t>pobreza</w:t>
      </w:r>
      <w:r>
        <w:rPr>
          <w:color w:val="231F20"/>
          <w:spacing w:val="-12"/>
        </w:rPr>
        <w:t> </w:t>
      </w:r>
      <w:r>
        <w:rPr>
          <w:color w:val="231F20"/>
        </w:rPr>
        <w:t>extrema.</w:t>
      </w:r>
      <w:r>
        <w:rPr>
          <w:color w:val="231F20"/>
          <w:spacing w:val="-12"/>
        </w:rPr>
        <w:t> </w:t>
      </w:r>
      <w:r>
        <w:rPr>
          <w:color w:val="231F20"/>
        </w:rPr>
        <w:t>Para</w:t>
      </w:r>
      <w:r>
        <w:rPr>
          <w:color w:val="231F20"/>
          <w:spacing w:val="-12"/>
        </w:rPr>
        <w:t> </w:t>
      </w:r>
      <w:r>
        <w:rPr>
          <w:color w:val="231F20"/>
        </w:rPr>
        <w:t>ello</w:t>
      </w:r>
      <w:r>
        <w:rPr>
          <w:color w:val="231F20"/>
          <w:spacing w:val="-12"/>
        </w:rPr>
        <w:t> </w:t>
      </w:r>
      <w:r>
        <w:rPr>
          <w:color w:val="231F20"/>
        </w:rPr>
        <w:t>buscó</w:t>
      </w:r>
      <w:r>
        <w:rPr>
          <w:color w:val="231F20"/>
          <w:spacing w:val="-12"/>
        </w:rPr>
        <w:t> </w:t>
      </w:r>
      <w:r>
        <w:rPr>
          <w:color w:val="231F20"/>
        </w:rPr>
        <w:t>construir</w:t>
      </w:r>
      <w:r>
        <w:rPr>
          <w:color w:val="231F20"/>
          <w:spacing w:val="-13"/>
        </w:rPr>
        <w:t> </w:t>
      </w:r>
      <w:r>
        <w:rPr>
          <w:color w:val="231F20"/>
        </w:rPr>
        <w:t>la</w:t>
      </w:r>
      <w:r>
        <w:rPr>
          <w:color w:val="231F20"/>
          <w:spacing w:val="-12"/>
        </w:rPr>
        <w:t> </w:t>
      </w:r>
      <w:r>
        <w:rPr>
          <w:color w:val="231F20"/>
        </w:rPr>
        <w:t>expresión</w:t>
      </w:r>
      <w:r>
        <w:rPr>
          <w:color w:val="231F20"/>
          <w:spacing w:val="-13"/>
        </w:rPr>
        <w:t> </w:t>
      </w:r>
      <w:r>
        <w:rPr>
          <w:color w:val="231F20"/>
        </w:rPr>
        <w:t>de</w:t>
      </w:r>
      <w:r>
        <w:rPr>
          <w:color w:val="231F20"/>
          <w:spacing w:val="-12"/>
        </w:rPr>
        <w:t> </w:t>
      </w:r>
      <w:r>
        <w:rPr>
          <w:color w:val="231F20"/>
        </w:rPr>
        <w:t>los derechos</w:t>
      </w:r>
      <w:r>
        <w:rPr>
          <w:color w:val="231F20"/>
          <w:spacing w:val="-10"/>
        </w:rPr>
        <w:t> </w:t>
      </w:r>
      <w:r>
        <w:rPr>
          <w:color w:val="231F20"/>
        </w:rPr>
        <w:t>sociales</w:t>
      </w:r>
      <w:r>
        <w:rPr>
          <w:color w:val="231F20"/>
          <w:spacing w:val="-10"/>
        </w:rPr>
        <w:t> </w:t>
      </w:r>
      <w:r>
        <w:rPr>
          <w:color w:val="231F20"/>
        </w:rPr>
        <w:t>que</w:t>
      </w:r>
      <w:r>
        <w:rPr>
          <w:color w:val="231F20"/>
          <w:spacing w:val="-10"/>
        </w:rPr>
        <w:t> </w:t>
      </w:r>
      <w:r>
        <w:rPr>
          <w:color w:val="231F20"/>
        </w:rPr>
        <w:t>está</w:t>
      </w:r>
      <w:r>
        <w:rPr>
          <w:color w:val="231F20"/>
          <w:spacing w:val="-10"/>
        </w:rPr>
        <w:t> </w:t>
      </w:r>
      <w:r>
        <w:rPr>
          <w:color w:val="231F20"/>
        </w:rPr>
        <w:t>constituido</w:t>
      </w:r>
      <w:r>
        <w:rPr>
          <w:color w:val="231F20"/>
          <w:spacing w:val="-11"/>
        </w:rPr>
        <w:t> </w:t>
      </w:r>
      <w:r>
        <w:rPr>
          <w:color w:val="231F20"/>
        </w:rPr>
        <w:t>por</w:t>
      </w:r>
      <w:r>
        <w:rPr>
          <w:color w:val="231F20"/>
          <w:spacing w:val="-10"/>
        </w:rPr>
        <w:t> </w:t>
      </w:r>
      <w:r>
        <w:rPr>
          <w:color w:val="231F20"/>
        </w:rPr>
        <w:t>el</w:t>
      </w:r>
      <w:r>
        <w:rPr>
          <w:color w:val="231F20"/>
          <w:spacing w:val="-10"/>
        </w:rPr>
        <w:t> </w:t>
      </w:r>
      <w:r>
        <w:rPr>
          <w:color w:val="231F20"/>
        </w:rPr>
        <w:t>conjunto</w:t>
      </w:r>
      <w:r>
        <w:rPr>
          <w:color w:val="231F20"/>
          <w:spacing w:val="-11"/>
        </w:rPr>
        <w:t> </w:t>
      </w:r>
      <w:r>
        <w:rPr>
          <w:color w:val="231F20"/>
        </w:rPr>
        <w:t>de</w:t>
      </w:r>
      <w:r>
        <w:rPr>
          <w:color w:val="231F20"/>
          <w:spacing w:val="-10"/>
        </w:rPr>
        <w:t> </w:t>
      </w:r>
      <w:r>
        <w:rPr>
          <w:color w:val="231F20"/>
        </w:rPr>
        <w:t>bienes</w:t>
      </w:r>
      <w:r>
        <w:rPr>
          <w:color w:val="231F20"/>
          <w:spacing w:val="-10"/>
        </w:rPr>
        <w:t> </w:t>
      </w:r>
      <w:r>
        <w:rPr>
          <w:color w:val="231F20"/>
        </w:rPr>
        <w:t>y</w:t>
      </w:r>
      <w:r>
        <w:rPr>
          <w:color w:val="231F20"/>
          <w:spacing w:val="-10"/>
        </w:rPr>
        <w:t> </w:t>
      </w:r>
      <w:r>
        <w:rPr>
          <w:color w:val="231F20"/>
        </w:rPr>
        <w:t>servicios mínimos a los que debe tener acceso toda la población para garantizar un nivel de vida decoroso (Ontiveros, 2005).</w:t>
      </w:r>
    </w:p>
    <w:p>
      <w:pPr>
        <w:pStyle w:val="BodyText"/>
        <w:spacing w:line="247" w:lineRule="auto"/>
        <w:ind w:left="117" w:right="114" w:firstLine="283"/>
        <w:jc w:val="both"/>
      </w:pPr>
      <w:r>
        <w:rPr>
          <w:color w:val="231F20"/>
        </w:rPr>
        <w:t>Recordemos</w:t>
      </w:r>
      <w:r>
        <w:rPr>
          <w:color w:val="231F20"/>
          <w:spacing w:val="-11"/>
        </w:rPr>
        <w:t> </w:t>
      </w:r>
      <w:r>
        <w:rPr>
          <w:color w:val="231F20"/>
        </w:rPr>
        <w:t>que</w:t>
      </w:r>
      <w:r>
        <w:rPr>
          <w:color w:val="231F20"/>
          <w:spacing w:val="-11"/>
        </w:rPr>
        <w:t> </w:t>
      </w:r>
      <w:r>
        <w:rPr>
          <w:color w:val="231F20"/>
        </w:rPr>
        <w:t>a</w:t>
      </w:r>
      <w:r>
        <w:rPr>
          <w:color w:val="231F20"/>
          <w:spacing w:val="-11"/>
        </w:rPr>
        <w:t> </w:t>
      </w:r>
      <w:r>
        <w:rPr>
          <w:color w:val="231F20"/>
        </w:rPr>
        <w:t>partir</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década</w:t>
      </w:r>
      <w:r>
        <w:rPr>
          <w:color w:val="231F20"/>
          <w:spacing w:val="-11"/>
        </w:rPr>
        <w:t> </w:t>
      </w:r>
      <w:r>
        <w:rPr>
          <w:color w:val="231F20"/>
        </w:rPr>
        <w:t>de</w:t>
      </w:r>
      <w:r>
        <w:rPr>
          <w:color w:val="231F20"/>
          <w:spacing w:val="-11"/>
        </w:rPr>
        <w:t> </w:t>
      </w:r>
      <w:r>
        <w:rPr>
          <w:color w:val="231F20"/>
        </w:rPr>
        <w:t>1980,</w:t>
      </w:r>
      <w:r>
        <w:rPr>
          <w:color w:val="231F20"/>
          <w:spacing w:val="-11"/>
        </w:rPr>
        <w:t> </w:t>
      </w:r>
      <w:r>
        <w:rPr>
          <w:color w:val="231F20"/>
        </w:rPr>
        <w:t>México</w:t>
      </w:r>
      <w:r>
        <w:rPr>
          <w:color w:val="231F20"/>
          <w:spacing w:val="-11"/>
        </w:rPr>
        <w:t> </w:t>
      </w:r>
      <w:r>
        <w:rPr>
          <w:color w:val="231F20"/>
        </w:rPr>
        <w:t>vivió</w:t>
      </w:r>
      <w:r>
        <w:rPr>
          <w:color w:val="231F20"/>
          <w:spacing w:val="-11"/>
        </w:rPr>
        <w:t> </w:t>
      </w:r>
      <w:r>
        <w:rPr>
          <w:color w:val="231F20"/>
        </w:rPr>
        <w:t>un</w:t>
      </w:r>
      <w:r>
        <w:rPr>
          <w:color w:val="231F20"/>
          <w:spacing w:val="-11"/>
        </w:rPr>
        <w:t> </w:t>
      </w:r>
      <w:r>
        <w:rPr>
          <w:color w:val="231F20"/>
        </w:rPr>
        <w:t>proceso de crisis y ajuste estructural que implicó un cambio de modelo económico basado en la apertura económica y comercial y en la desregulación finan- ciera. Este proceso trajo consigo profundos cambios en el diseño y </w:t>
      </w:r>
      <w:r>
        <w:rPr>
          <w:color w:val="231F20"/>
          <w:spacing w:val="6"/>
        </w:rPr>
        <w:t> </w:t>
      </w:r>
      <w:r>
        <w:rPr>
          <w:color w:val="231F20"/>
        </w:rPr>
        <w:t>ejecu-</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jc w:val="both"/>
      </w:pPr>
      <w:r>
        <w:rPr>
          <w:color w:val="231F20"/>
        </w:rPr>
        <w:t>ción de las políticas sociales, como la sustitución del universalismo —que privilegió a estratos medios y altos urbanos— por políticas y programas selectivos y focalizados a los segmentos de población con mayores caren- cias y rezagos (SHCP, 1994).</w:t>
      </w:r>
    </w:p>
    <w:p>
      <w:pPr>
        <w:pStyle w:val="BodyText"/>
        <w:spacing w:line="247" w:lineRule="auto"/>
        <w:ind w:left="117" w:right="115" w:firstLine="283"/>
        <w:jc w:val="both"/>
      </w:pPr>
      <w:r>
        <w:rPr>
          <w:color w:val="231F20"/>
        </w:rPr>
        <w:t>Con el proceso de ajuste iniciado en 1982-1983, el gasto público en general y el social en particular tuvieron recortes sustantivos. La política social fue sometida a criterios de eficiencia en la asignación de recursos. La falta de presupuesto para enfrentar la demanda de bienes y servicios públicos amplió las desigualdades sociales y la pobreza aumentó.</w:t>
      </w:r>
    </w:p>
    <w:p>
      <w:pPr>
        <w:pStyle w:val="BodyText"/>
        <w:spacing w:line="247" w:lineRule="auto"/>
        <w:ind w:left="117" w:right="114" w:firstLine="283"/>
        <w:jc w:val="both"/>
      </w:pPr>
      <w:r>
        <w:rPr>
          <w:color w:val="231F20"/>
        </w:rPr>
        <w:t>En diciembre de 1988, con el rótulo de liberalismo social y ante la po- breza y desigualdad crecientes, se creó el Programa Nacional de Solidari- dad (Pronasol).</w:t>
      </w:r>
      <w:r>
        <w:rPr>
          <w:color w:val="231F20"/>
          <w:position w:val="7"/>
          <w:sz w:val="13"/>
        </w:rPr>
        <w:t>3 </w:t>
      </w:r>
      <w:r>
        <w:rPr>
          <w:color w:val="231F20"/>
        </w:rPr>
        <w:t>Se trató del primer programa focalizado exclusivamente hacia los más pobres, que impulsaba la organización de las comunidades para la superación de sus problemas. De acuerdo con Cordera (2005) el desafío era grande ya que a los rezagos acumulados se sumó la demanda de nuevos servicios, como la construcción de más escuelas, la ampliación y la rehabilitación de la infraestructura básica (agua potable, alcantarilla- do), el rezago habitacional y la demanda de servicios de salud tanto de los beneficiarios de sistemas institucionales como de los que estaban fuera de los mismos.</w:t>
      </w:r>
    </w:p>
    <w:p>
      <w:pPr>
        <w:pStyle w:val="BodyText"/>
        <w:spacing w:line="247" w:lineRule="auto"/>
        <w:ind w:left="117" w:right="115" w:firstLine="283"/>
        <w:jc w:val="both"/>
      </w:pPr>
      <w:r>
        <w:rPr>
          <w:color w:val="231F20"/>
        </w:rPr>
        <w:t>Las obras de Solidaridad se agruparon en tres vertientes: bienestar so- cial (salud, alimentación, educación, vivienda, servicios básicos y regula- rización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tenencia</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tierra),</w:t>
      </w:r>
      <w:r>
        <w:rPr>
          <w:color w:val="231F20"/>
          <w:spacing w:val="-9"/>
        </w:rPr>
        <w:t> </w:t>
      </w:r>
      <w:r>
        <w:rPr>
          <w:color w:val="231F20"/>
        </w:rPr>
        <w:t>programas</w:t>
      </w:r>
      <w:r>
        <w:rPr>
          <w:color w:val="231F20"/>
          <w:spacing w:val="-8"/>
        </w:rPr>
        <w:t> </w:t>
      </w:r>
      <w:r>
        <w:rPr>
          <w:color w:val="231F20"/>
        </w:rPr>
        <w:t>productivos</w:t>
      </w:r>
      <w:r>
        <w:rPr>
          <w:color w:val="231F20"/>
          <w:spacing w:val="-8"/>
        </w:rPr>
        <w:t> </w:t>
      </w:r>
      <w:r>
        <w:rPr>
          <w:color w:val="231F20"/>
        </w:rPr>
        <w:t>(agropecuarios, agroindustriales, piscícolas, extractivos y micro industriales) y desarrollo regional</w:t>
      </w:r>
      <w:r>
        <w:rPr>
          <w:color w:val="231F20"/>
          <w:spacing w:val="-9"/>
        </w:rPr>
        <w:t> </w:t>
      </w:r>
      <w:r>
        <w:rPr>
          <w:color w:val="231F20"/>
        </w:rPr>
        <w:t>(infraestructura</w:t>
      </w:r>
      <w:r>
        <w:rPr>
          <w:color w:val="231F20"/>
          <w:spacing w:val="-9"/>
        </w:rPr>
        <w:t> </w:t>
      </w:r>
      <w:r>
        <w:rPr>
          <w:color w:val="231F20"/>
        </w:rPr>
        <w:t>regional</w:t>
      </w:r>
      <w:r>
        <w:rPr>
          <w:color w:val="231F20"/>
          <w:spacing w:val="-9"/>
        </w:rPr>
        <w:t> </w:t>
      </w:r>
      <w:r>
        <w:rPr>
          <w:color w:val="231F20"/>
        </w:rPr>
        <w:t>y</w:t>
      </w:r>
      <w:r>
        <w:rPr>
          <w:color w:val="231F20"/>
          <w:spacing w:val="-9"/>
        </w:rPr>
        <w:t> </w:t>
      </w:r>
      <w:r>
        <w:rPr>
          <w:color w:val="231F20"/>
        </w:rPr>
        <w:t>programas</w:t>
      </w:r>
      <w:r>
        <w:rPr>
          <w:color w:val="231F20"/>
          <w:spacing w:val="-9"/>
        </w:rPr>
        <w:t> </w:t>
      </w:r>
      <w:r>
        <w:rPr>
          <w:color w:val="231F20"/>
        </w:rPr>
        <w:t>de</w:t>
      </w:r>
      <w:r>
        <w:rPr>
          <w:color w:val="231F20"/>
          <w:spacing w:val="-9"/>
        </w:rPr>
        <w:t> </w:t>
      </w:r>
      <w:r>
        <w:rPr>
          <w:color w:val="231F20"/>
        </w:rPr>
        <w:t>desarrollo</w:t>
      </w:r>
      <w:r>
        <w:rPr>
          <w:color w:val="231F20"/>
          <w:spacing w:val="-10"/>
        </w:rPr>
        <w:t> </w:t>
      </w:r>
      <w:r>
        <w:rPr>
          <w:color w:val="231F20"/>
        </w:rPr>
        <w:t>en</w:t>
      </w:r>
      <w:r>
        <w:rPr>
          <w:color w:val="231F20"/>
          <w:spacing w:val="-9"/>
        </w:rPr>
        <w:t> </w:t>
      </w:r>
      <w:r>
        <w:rPr>
          <w:color w:val="231F20"/>
        </w:rPr>
        <w:t>zonas</w:t>
      </w:r>
      <w:r>
        <w:rPr>
          <w:color w:val="231F20"/>
          <w:spacing w:val="-10"/>
        </w:rPr>
        <w:t> </w:t>
      </w:r>
      <w:r>
        <w:rPr>
          <w:color w:val="231F20"/>
        </w:rPr>
        <w:t>espe- cíficas) (Programa Nacional de Solidaridad, 1993:</w:t>
      </w:r>
      <w:r>
        <w:rPr>
          <w:color w:val="231F20"/>
          <w:spacing w:val="-21"/>
        </w:rPr>
        <w:t> </w:t>
      </w:r>
      <w:r>
        <w:rPr>
          <w:color w:val="231F20"/>
        </w:rPr>
        <w:t>10-11).</w:t>
      </w:r>
    </w:p>
    <w:p>
      <w:pPr>
        <w:pStyle w:val="BodyText"/>
        <w:spacing w:line="247" w:lineRule="auto"/>
        <w:ind w:left="117" w:right="114" w:firstLine="283"/>
        <w:jc w:val="both"/>
      </w:pPr>
      <w:r>
        <w:rPr>
          <w:color w:val="231F20"/>
        </w:rPr>
        <w:t>Las</w:t>
      </w:r>
      <w:r>
        <w:rPr>
          <w:color w:val="231F20"/>
          <w:spacing w:val="-6"/>
        </w:rPr>
        <w:t> </w:t>
      </w:r>
      <w:r>
        <w:rPr>
          <w:color w:val="231F20"/>
        </w:rPr>
        <w:t>acciones</w:t>
      </w:r>
      <w:r>
        <w:rPr>
          <w:color w:val="231F20"/>
          <w:spacing w:val="-6"/>
        </w:rPr>
        <w:t> </w:t>
      </w:r>
      <w:r>
        <w:rPr>
          <w:color w:val="231F20"/>
        </w:rPr>
        <w:t>del</w:t>
      </w:r>
      <w:r>
        <w:rPr>
          <w:color w:val="231F20"/>
          <w:spacing w:val="-6"/>
        </w:rPr>
        <w:t> </w:t>
      </w:r>
      <w:r>
        <w:rPr>
          <w:color w:val="231F20"/>
        </w:rPr>
        <w:t>Pronasol</w:t>
      </w:r>
      <w:r>
        <w:rPr>
          <w:color w:val="231F20"/>
          <w:spacing w:val="-5"/>
        </w:rPr>
        <w:t> </w:t>
      </w:r>
      <w:r>
        <w:rPr>
          <w:color w:val="231F20"/>
        </w:rPr>
        <w:t>tuvieron</w:t>
      </w:r>
      <w:r>
        <w:rPr>
          <w:color w:val="231F20"/>
          <w:spacing w:val="-6"/>
        </w:rPr>
        <w:t> </w:t>
      </w:r>
      <w:r>
        <w:rPr>
          <w:color w:val="231F20"/>
        </w:rPr>
        <w:t>como</w:t>
      </w:r>
      <w:r>
        <w:rPr>
          <w:color w:val="231F20"/>
          <w:spacing w:val="-6"/>
        </w:rPr>
        <w:t> </w:t>
      </w:r>
      <w:r>
        <w:rPr>
          <w:color w:val="231F20"/>
        </w:rPr>
        <w:t>eje</w:t>
      </w:r>
      <w:r>
        <w:rPr>
          <w:color w:val="231F20"/>
          <w:spacing w:val="-6"/>
        </w:rPr>
        <w:t> </w:t>
      </w:r>
      <w:r>
        <w:rPr>
          <w:color w:val="231F20"/>
        </w:rPr>
        <w:t>de</w:t>
      </w:r>
      <w:r>
        <w:rPr>
          <w:color w:val="231F20"/>
          <w:spacing w:val="-6"/>
        </w:rPr>
        <w:t> </w:t>
      </w:r>
      <w:r>
        <w:rPr>
          <w:color w:val="231F20"/>
        </w:rPr>
        <w:t>articulación</w:t>
      </w:r>
      <w:r>
        <w:rPr>
          <w:color w:val="231F20"/>
          <w:spacing w:val="-7"/>
        </w:rPr>
        <w:t> </w:t>
      </w:r>
      <w:r>
        <w:rPr>
          <w:color w:val="231F20"/>
        </w:rPr>
        <w:t>el</w:t>
      </w:r>
      <w:r>
        <w:rPr>
          <w:color w:val="231F20"/>
          <w:spacing w:val="-6"/>
        </w:rPr>
        <w:t> </w:t>
      </w:r>
      <w:r>
        <w:rPr>
          <w:color w:val="231F20"/>
        </w:rPr>
        <w:t>fomento de las relaciones sociales en las comunidades en pobreza extrema, para lo cual los recursos fiscales federales se proporcionaron a las comunidades, situación propicia para el manejo clientelar del Programa, lo que provocó fuertes críticas. El Programa estaba dirigido a los indígenas, los campesi- nos en pobreza extrema y los grupos urbanos marginados más afectados por las políticas de ajuste. Las acciones se realizaron en los ámbitos de alimentación, salud, tenencia de la tierra, vivienda, educación e infraes- tructura agropecuaria (Mariñez,</w:t>
      </w:r>
      <w:r>
        <w:rPr>
          <w:color w:val="231F20"/>
          <w:spacing w:val="-2"/>
        </w:rPr>
        <w:t> </w:t>
      </w:r>
      <w:r>
        <w:rPr>
          <w:color w:val="231F20"/>
        </w:rPr>
        <w:t>2003).</w:t>
      </w:r>
    </w:p>
    <w:p>
      <w:pPr>
        <w:pStyle w:val="BodyText"/>
        <w:rPr>
          <w:sz w:val="20"/>
        </w:rPr>
      </w:pPr>
    </w:p>
    <w:p>
      <w:pPr>
        <w:pStyle w:val="BodyText"/>
        <w:spacing w:before="5"/>
        <w:rPr>
          <w:sz w:val="17"/>
        </w:rPr>
      </w:pPr>
      <w:r>
        <w:rPr/>
        <w:pict>
          <v:line style="position:absolute;mso-position-horizontal-relative:page;mso-position-vertical-relative:paragraph;z-index:5464;mso-wrap-distance-left:0;mso-wrap-distance-right:0" from="70.866096pt,12.365436pt" to="142.866096pt,12.365436pt" stroked="true" strokeweight=".75pt" strokecolor="#231f20">
            <w10:wrap type="topAndBottom"/>
          </v:line>
        </w:pict>
      </w:r>
    </w:p>
    <w:p>
      <w:pPr>
        <w:spacing w:line="208" w:lineRule="auto" w:before="0"/>
        <w:ind w:left="117" w:right="114" w:firstLine="0"/>
        <w:jc w:val="both"/>
        <w:rPr>
          <w:sz w:val="17"/>
        </w:rPr>
      </w:pPr>
      <w:r>
        <w:rPr>
          <w:color w:val="231F20"/>
          <w:position w:val="6"/>
          <w:sz w:val="10"/>
        </w:rPr>
        <w:t>3 </w:t>
      </w:r>
      <w:r>
        <w:rPr>
          <w:sz w:val="17"/>
        </w:rPr>
        <w:t>Dicho programa se planteó los objetivos de i) Mejorar las condiciones de vida de los grupos campesinos, indígenas y colonos populares; ii) Crear condiciones para el mejoramiento produc- tivo de los niveles de vida de la población y promover el desarrollo regional y iii) Promover y fortalecer</w:t>
      </w:r>
      <w:r>
        <w:rPr>
          <w:spacing w:val="-7"/>
          <w:sz w:val="17"/>
        </w:rPr>
        <w:t> </w:t>
      </w:r>
      <w:r>
        <w:rPr>
          <w:sz w:val="17"/>
        </w:rPr>
        <w:t>la</w:t>
      </w:r>
      <w:r>
        <w:rPr>
          <w:spacing w:val="-7"/>
          <w:sz w:val="17"/>
        </w:rPr>
        <w:t> </w:t>
      </w:r>
      <w:r>
        <w:rPr>
          <w:sz w:val="17"/>
        </w:rPr>
        <w:t>participación</w:t>
      </w:r>
      <w:r>
        <w:rPr>
          <w:spacing w:val="-7"/>
          <w:sz w:val="17"/>
        </w:rPr>
        <w:t> </w:t>
      </w:r>
      <w:r>
        <w:rPr>
          <w:sz w:val="17"/>
        </w:rPr>
        <w:t>y</w:t>
      </w:r>
      <w:r>
        <w:rPr>
          <w:spacing w:val="-7"/>
          <w:sz w:val="17"/>
        </w:rPr>
        <w:t> </w:t>
      </w:r>
      <w:r>
        <w:rPr>
          <w:sz w:val="17"/>
        </w:rPr>
        <w:t>la</w:t>
      </w:r>
      <w:r>
        <w:rPr>
          <w:spacing w:val="-7"/>
          <w:sz w:val="17"/>
        </w:rPr>
        <w:t> </w:t>
      </w:r>
      <w:r>
        <w:rPr>
          <w:sz w:val="17"/>
        </w:rPr>
        <w:t>gestión</w:t>
      </w:r>
      <w:r>
        <w:rPr>
          <w:spacing w:val="-7"/>
          <w:sz w:val="17"/>
        </w:rPr>
        <w:t> </w:t>
      </w:r>
      <w:r>
        <w:rPr>
          <w:sz w:val="17"/>
        </w:rPr>
        <w:t>de</w:t>
      </w:r>
      <w:r>
        <w:rPr>
          <w:spacing w:val="-7"/>
          <w:sz w:val="17"/>
        </w:rPr>
        <w:t> </w:t>
      </w:r>
      <w:r>
        <w:rPr>
          <w:sz w:val="17"/>
        </w:rPr>
        <w:t>las</w:t>
      </w:r>
      <w:r>
        <w:rPr>
          <w:spacing w:val="-7"/>
          <w:sz w:val="17"/>
        </w:rPr>
        <w:t> </w:t>
      </w:r>
      <w:r>
        <w:rPr>
          <w:sz w:val="17"/>
        </w:rPr>
        <w:t>organizaciones</w:t>
      </w:r>
      <w:r>
        <w:rPr>
          <w:spacing w:val="-7"/>
          <w:sz w:val="17"/>
        </w:rPr>
        <w:t> </w:t>
      </w:r>
      <w:r>
        <w:rPr>
          <w:sz w:val="17"/>
        </w:rPr>
        <w:t>sociales</w:t>
      </w:r>
      <w:r>
        <w:rPr>
          <w:spacing w:val="-6"/>
          <w:sz w:val="17"/>
        </w:rPr>
        <w:t> </w:t>
      </w:r>
      <w:r>
        <w:rPr>
          <w:sz w:val="17"/>
        </w:rPr>
        <w:t>y</w:t>
      </w:r>
      <w:r>
        <w:rPr>
          <w:spacing w:val="-7"/>
          <w:sz w:val="17"/>
        </w:rPr>
        <w:t> </w:t>
      </w:r>
      <w:r>
        <w:rPr>
          <w:sz w:val="17"/>
        </w:rPr>
        <w:t>de</w:t>
      </w:r>
      <w:r>
        <w:rPr>
          <w:spacing w:val="-7"/>
          <w:sz w:val="17"/>
        </w:rPr>
        <w:t> </w:t>
      </w:r>
      <w:r>
        <w:rPr>
          <w:sz w:val="17"/>
        </w:rPr>
        <w:t>las</w:t>
      </w:r>
      <w:r>
        <w:rPr>
          <w:spacing w:val="-7"/>
          <w:sz w:val="17"/>
        </w:rPr>
        <w:t> </w:t>
      </w:r>
      <w:r>
        <w:rPr>
          <w:sz w:val="17"/>
        </w:rPr>
        <w:t>autoridades</w:t>
      </w:r>
      <w:r>
        <w:rPr>
          <w:spacing w:val="-7"/>
          <w:sz w:val="17"/>
        </w:rPr>
        <w:t> </w:t>
      </w:r>
      <w:r>
        <w:rPr>
          <w:sz w:val="17"/>
        </w:rPr>
        <w:t>locales.</w:t>
      </w:r>
    </w:p>
    <w:p>
      <w:pPr>
        <w:spacing w:after="0" w:line="208" w:lineRule="auto"/>
        <w:jc w:val="both"/>
        <w:rPr>
          <w:sz w:val="17"/>
        </w:rPr>
        <w:sectPr>
          <w:footerReference w:type="default" r:id="rId172"/>
          <w:pgSz w:w="9360" w:h="13040"/>
          <w:pgMar w:footer="496" w:header="0" w:top="800" w:bottom="680" w:left="1300" w:right="1300"/>
        </w:sectPr>
      </w:pPr>
    </w:p>
    <w:p>
      <w:pPr>
        <w:spacing w:before="45"/>
        <w:ind w:left="400" w:right="117" w:hanging="217"/>
        <w:jc w:val="left"/>
        <w:rPr>
          <w:rFonts w:ascii="Arial" w:hAnsi="Arial"/>
          <w:sz w:val="20"/>
        </w:rPr>
      </w:pPr>
      <w:r>
        <w:rPr>
          <w:rFonts w:ascii="Arial" w:hAnsi="Arial"/>
          <w:color w:val="231F20"/>
          <w:w w:val="65"/>
          <w:sz w:val="20"/>
        </w:rPr>
        <w:t>Las políticas públicas de combate a la pobreza y su sinergia... /Mayra P. Pérez-Román y A. Velázquez-Romero</w:t>
      </w:r>
    </w:p>
    <w:p>
      <w:pPr>
        <w:pStyle w:val="BodyText"/>
        <w:spacing w:before="7"/>
        <w:rPr>
          <w:rFonts w:ascii="Arial"/>
          <w:sz w:val="28"/>
        </w:rPr>
      </w:pPr>
    </w:p>
    <w:p>
      <w:pPr>
        <w:pStyle w:val="BodyText"/>
        <w:spacing w:line="247" w:lineRule="auto"/>
        <w:ind w:left="117" w:right="114" w:firstLine="283"/>
        <w:jc w:val="both"/>
      </w:pPr>
      <w:r>
        <w:rPr>
          <w:color w:val="231F20"/>
        </w:rPr>
        <w:t>Según Coria (2005) el impulso a las redes sociales de cada comunidad y la recuperación de políticas y programas específicos de atención a los más pobres fueron las principales aportaciones de Pronasol. El cambio de enfoque que implicó el diseño y ejecución de Pronasol introdujo cambios en los programas asistenciales anteriores que no dejaban espacio para la participación de las personas.</w:t>
      </w:r>
    </w:p>
    <w:p>
      <w:pPr>
        <w:pStyle w:val="BodyText"/>
        <w:spacing w:line="247" w:lineRule="auto"/>
        <w:ind w:left="117" w:right="114" w:firstLine="283"/>
        <w:jc w:val="both"/>
      </w:pPr>
      <w:r>
        <w:rPr>
          <w:color w:val="231F20"/>
        </w:rPr>
        <w:t>En</w:t>
      </w:r>
      <w:r>
        <w:rPr>
          <w:color w:val="231F20"/>
          <w:spacing w:val="-10"/>
        </w:rPr>
        <w:t> </w:t>
      </w:r>
      <w:r>
        <w:rPr>
          <w:color w:val="231F20"/>
        </w:rPr>
        <w:t>este</w:t>
      </w:r>
      <w:r>
        <w:rPr>
          <w:color w:val="231F20"/>
          <w:spacing w:val="-10"/>
        </w:rPr>
        <w:t> </w:t>
      </w:r>
      <w:r>
        <w:rPr>
          <w:color w:val="231F20"/>
        </w:rPr>
        <w:t>sentido,</w:t>
      </w:r>
      <w:r>
        <w:rPr>
          <w:color w:val="231F20"/>
          <w:spacing w:val="-9"/>
        </w:rPr>
        <w:t> </w:t>
      </w:r>
      <w:r>
        <w:rPr>
          <w:color w:val="231F20"/>
        </w:rPr>
        <w:t>Pronasol</w:t>
      </w:r>
      <w:r>
        <w:rPr>
          <w:color w:val="231F20"/>
          <w:spacing w:val="-9"/>
        </w:rPr>
        <w:t> </w:t>
      </w:r>
      <w:r>
        <w:rPr>
          <w:color w:val="231F20"/>
        </w:rPr>
        <w:t>surgió</w:t>
      </w:r>
      <w:r>
        <w:rPr>
          <w:color w:val="231F20"/>
          <w:spacing w:val="-9"/>
        </w:rPr>
        <w:t> </w:t>
      </w:r>
      <w:r>
        <w:rPr>
          <w:color w:val="231F20"/>
        </w:rPr>
        <w:t>como</w:t>
      </w:r>
      <w:r>
        <w:rPr>
          <w:color w:val="231F20"/>
          <w:spacing w:val="-10"/>
        </w:rPr>
        <w:t> </w:t>
      </w:r>
      <w:r>
        <w:rPr>
          <w:color w:val="231F20"/>
        </w:rPr>
        <w:t>un</w:t>
      </w:r>
      <w:r>
        <w:rPr>
          <w:color w:val="231F20"/>
          <w:spacing w:val="-10"/>
        </w:rPr>
        <w:t> </w:t>
      </w:r>
      <w:r>
        <w:rPr>
          <w:color w:val="231F20"/>
        </w:rPr>
        <w:t>medio</w:t>
      </w:r>
      <w:r>
        <w:rPr>
          <w:color w:val="231F20"/>
          <w:spacing w:val="-10"/>
        </w:rPr>
        <w:t> </w:t>
      </w:r>
      <w:r>
        <w:rPr>
          <w:color w:val="231F20"/>
        </w:rPr>
        <w:t>para</w:t>
      </w:r>
      <w:r>
        <w:rPr>
          <w:color w:val="231F20"/>
          <w:spacing w:val="-9"/>
        </w:rPr>
        <w:t> </w:t>
      </w:r>
      <w:r>
        <w:rPr>
          <w:color w:val="231F20"/>
        </w:rPr>
        <w:t>combatir</w:t>
      </w:r>
      <w:r>
        <w:rPr>
          <w:color w:val="231F20"/>
          <w:spacing w:val="-10"/>
        </w:rPr>
        <w:t> </w:t>
      </w:r>
      <w:r>
        <w:rPr>
          <w:color w:val="231F20"/>
        </w:rPr>
        <w:t>los</w:t>
      </w:r>
      <w:r>
        <w:rPr>
          <w:color w:val="231F20"/>
          <w:spacing w:val="-10"/>
        </w:rPr>
        <w:t> </w:t>
      </w:r>
      <w:r>
        <w:rPr>
          <w:color w:val="231F20"/>
        </w:rPr>
        <w:t>efec- tos que las políticas económicas de ajuste estructural tuvieron sobre la po- blación más vulnerable, sobre la reducción del ingreso y el empleo que fueron provocados por la crisis de deuda y por las medidas adoptadas</w:t>
      </w:r>
      <w:r>
        <w:rPr>
          <w:color w:val="231F20"/>
          <w:spacing w:val="-24"/>
        </w:rPr>
        <w:t> </w:t>
      </w:r>
      <w:r>
        <w:rPr>
          <w:color w:val="231F20"/>
        </w:rPr>
        <w:t>para sentar</w:t>
      </w:r>
      <w:r>
        <w:rPr>
          <w:color w:val="231F20"/>
          <w:spacing w:val="-10"/>
        </w:rPr>
        <w:t> </w:t>
      </w:r>
      <w:r>
        <w:rPr>
          <w:color w:val="231F20"/>
        </w:rPr>
        <w:t>las</w:t>
      </w:r>
      <w:r>
        <w:rPr>
          <w:color w:val="231F20"/>
          <w:spacing w:val="-10"/>
        </w:rPr>
        <w:t> </w:t>
      </w:r>
      <w:r>
        <w:rPr>
          <w:color w:val="231F20"/>
        </w:rPr>
        <w:t>bases</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crecimiento</w:t>
      </w:r>
      <w:r>
        <w:rPr>
          <w:color w:val="231F20"/>
          <w:spacing w:val="-11"/>
        </w:rPr>
        <w:t> </w:t>
      </w:r>
      <w:r>
        <w:rPr>
          <w:color w:val="231F20"/>
        </w:rPr>
        <w:t>renovado.</w:t>
      </w:r>
      <w:r>
        <w:rPr>
          <w:color w:val="231F20"/>
          <w:spacing w:val="-10"/>
        </w:rPr>
        <w:t> </w:t>
      </w:r>
      <w:r>
        <w:rPr>
          <w:color w:val="231F20"/>
        </w:rPr>
        <w:t>Su</w:t>
      </w:r>
      <w:r>
        <w:rPr>
          <w:color w:val="231F20"/>
          <w:spacing w:val="-10"/>
        </w:rPr>
        <w:t> </w:t>
      </w:r>
      <w:r>
        <w:rPr>
          <w:color w:val="231F20"/>
        </w:rPr>
        <w:t>objetivo</w:t>
      </w:r>
      <w:r>
        <w:rPr>
          <w:color w:val="231F20"/>
          <w:spacing w:val="-10"/>
        </w:rPr>
        <w:t> </w:t>
      </w:r>
      <w:r>
        <w:rPr>
          <w:color w:val="231F20"/>
        </w:rPr>
        <w:t>fue</w:t>
      </w:r>
      <w:r>
        <w:rPr>
          <w:color w:val="231F20"/>
          <w:spacing w:val="-10"/>
        </w:rPr>
        <w:t> </w:t>
      </w:r>
      <w:r>
        <w:rPr>
          <w:color w:val="231F20"/>
        </w:rPr>
        <w:t>“proporcionar una red de seguridad para los segmentos más frágiles de la sociedad, me- jorando la efectividad y el efecto redistributivo […] a través de una mejor selección de los beneficiarios” (Favela, 2003:</w:t>
      </w:r>
      <w:r>
        <w:rPr>
          <w:color w:val="231F20"/>
          <w:spacing w:val="-12"/>
        </w:rPr>
        <w:t> </w:t>
      </w:r>
      <w:r>
        <w:rPr>
          <w:color w:val="231F20"/>
        </w:rPr>
        <w:t>29).</w:t>
      </w:r>
    </w:p>
    <w:p>
      <w:pPr>
        <w:pStyle w:val="BodyText"/>
        <w:spacing w:line="247" w:lineRule="auto"/>
        <w:ind w:left="117" w:right="115" w:firstLine="283"/>
        <w:jc w:val="both"/>
      </w:pPr>
      <w:r>
        <w:rPr>
          <w:color w:val="231F20"/>
        </w:rPr>
        <w:t>Bajo el mismo orden de ideas se puede definir a este Programa como política social ya que de acuerdo con Ortiz es</w:t>
      </w:r>
    </w:p>
    <w:p>
      <w:pPr>
        <w:spacing w:line="249" w:lineRule="auto" w:before="168"/>
        <w:ind w:left="400" w:right="115" w:firstLine="0"/>
        <w:jc w:val="both"/>
        <w:rPr>
          <w:sz w:val="20"/>
        </w:rPr>
      </w:pPr>
      <w:r>
        <w:rPr>
          <w:sz w:val="20"/>
        </w:rPr>
        <w:t>un</w:t>
      </w:r>
      <w:r>
        <w:rPr>
          <w:spacing w:val="-6"/>
          <w:sz w:val="20"/>
        </w:rPr>
        <w:t> </w:t>
      </w:r>
      <w:r>
        <w:rPr>
          <w:sz w:val="20"/>
        </w:rPr>
        <w:t>instrumento</w:t>
      </w:r>
      <w:r>
        <w:rPr>
          <w:spacing w:val="-6"/>
          <w:sz w:val="20"/>
        </w:rPr>
        <w:t> </w:t>
      </w:r>
      <w:r>
        <w:rPr>
          <w:sz w:val="20"/>
        </w:rPr>
        <w:t>que</w:t>
      </w:r>
      <w:r>
        <w:rPr>
          <w:spacing w:val="-6"/>
          <w:sz w:val="20"/>
        </w:rPr>
        <w:t> </w:t>
      </w:r>
      <w:r>
        <w:rPr>
          <w:sz w:val="20"/>
        </w:rPr>
        <w:t>utilizan</w:t>
      </w:r>
      <w:r>
        <w:rPr>
          <w:spacing w:val="-6"/>
          <w:sz w:val="20"/>
        </w:rPr>
        <w:t> </w:t>
      </w:r>
      <w:r>
        <w:rPr>
          <w:sz w:val="20"/>
        </w:rPr>
        <w:t>los</w:t>
      </w:r>
      <w:r>
        <w:rPr>
          <w:spacing w:val="-6"/>
          <w:sz w:val="20"/>
        </w:rPr>
        <w:t> </w:t>
      </w:r>
      <w:r>
        <w:rPr>
          <w:sz w:val="20"/>
        </w:rPr>
        <w:t>gobiernos</w:t>
      </w:r>
      <w:r>
        <w:rPr>
          <w:spacing w:val="-6"/>
          <w:sz w:val="20"/>
        </w:rPr>
        <w:t> </w:t>
      </w:r>
      <w:r>
        <w:rPr>
          <w:sz w:val="20"/>
        </w:rPr>
        <w:t>para</w:t>
      </w:r>
      <w:r>
        <w:rPr>
          <w:spacing w:val="-6"/>
          <w:sz w:val="20"/>
        </w:rPr>
        <w:t> </w:t>
      </w:r>
      <w:r>
        <w:rPr>
          <w:sz w:val="20"/>
        </w:rPr>
        <w:t>regular</w:t>
      </w:r>
      <w:r>
        <w:rPr>
          <w:spacing w:val="-6"/>
          <w:sz w:val="20"/>
        </w:rPr>
        <w:t> </w:t>
      </w:r>
      <w:r>
        <w:rPr>
          <w:sz w:val="20"/>
        </w:rPr>
        <w:t>y</w:t>
      </w:r>
      <w:r>
        <w:rPr>
          <w:spacing w:val="-6"/>
          <w:sz w:val="20"/>
        </w:rPr>
        <w:t> </w:t>
      </w:r>
      <w:r>
        <w:rPr>
          <w:sz w:val="20"/>
        </w:rPr>
        <w:t>complementar</w:t>
      </w:r>
      <w:r>
        <w:rPr>
          <w:spacing w:val="-6"/>
          <w:sz w:val="20"/>
        </w:rPr>
        <w:t> </w:t>
      </w:r>
      <w:r>
        <w:rPr>
          <w:sz w:val="20"/>
        </w:rPr>
        <w:t>las</w:t>
      </w:r>
      <w:r>
        <w:rPr>
          <w:spacing w:val="-6"/>
          <w:sz w:val="20"/>
        </w:rPr>
        <w:t> </w:t>
      </w:r>
      <w:r>
        <w:rPr>
          <w:sz w:val="20"/>
        </w:rPr>
        <w:t>ins- tituciones del mercado y las estructuras sociales. La política social es definida a menudo en términos de servicios sociales como la educación, la salud, o la seguridad social (2007: 7).</w:t>
      </w:r>
    </w:p>
    <w:p>
      <w:pPr>
        <w:pStyle w:val="BodyText"/>
        <w:spacing w:line="247" w:lineRule="auto" w:before="172"/>
        <w:ind w:left="117" w:right="114" w:firstLine="283"/>
        <w:jc w:val="both"/>
      </w:pPr>
      <w:r>
        <w:rPr>
          <w:color w:val="231F20"/>
        </w:rPr>
        <w:t>Aunado a lo anterior y de acuerdo con la visión oficial, se concebía al Programa como un nuevo modo de gestión estatal y como un elemento unificador, a la vez descentralizador de las acciones del Gobierno</w:t>
      </w:r>
      <w:r>
        <w:rPr>
          <w:color w:val="231F20"/>
          <w:spacing w:val="-21"/>
        </w:rPr>
        <w:t> </w:t>
      </w:r>
      <w:r>
        <w:rPr>
          <w:color w:val="231F20"/>
        </w:rPr>
        <w:t>Federal, al permitir la participación directa de la población, ya que era la sociedad misma quien expresaba sus necesidades y quien posteriormente daría se- guimiento a las acciones emprendidas. A decir de Ontiveros (2005: 51)   el propio Salinas denominaba a Pronasol como “el programa social más importante en la historia del país”, siendo uno de los pilares de su admi- nistración.</w:t>
      </w:r>
    </w:p>
    <w:p>
      <w:pPr>
        <w:pStyle w:val="BodyText"/>
        <w:spacing w:line="247" w:lineRule="auto"/>
        <w:ind w:left="117" w:right="114" w:firstLine="283"/>
        <w:jc w:val="both"/>
      </w:pPr>
      <w:r>
        <w:rPr>
          <w:color w:val="231F20"/>
        </w:rPr>
        <w:t>Durante el sexenio de Salinas, Solidaridad constituyó la forma de legi- timación de su gobierno ya que el Programa desglosaba sus acciones por medio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demandas</w:t>
      </w:r>
      <w:r>
        <w:rPr>
          <w:color w:val="231F20"/>
          <w:spacing w:val="-7"/>
        </w:rPr>
        <w:t> </w:t>
      </w:r>
      <w:r>
        <w:rPr>
          <w:color w:val="231F20"/>
        </w:rPr>
        <w:t>expresadas</w:t>
      </w:r>
      <w:r>
        <w:rPr>
          <w:color w:val="231F20"/>
          <w:spacing w:val="-7"/>
        </w:rPr>
        <w:t> </w:t>
      </w:r>
      <w:r>
        <w:rPr>
          <w:color w:val="231F20"/>
        </w:rPr>
        <w:t>directamente</w:t>
      </w:r>
      <w:r>
        <w:rPr>
          <w:color w:val="231F20"/>
          <w:spacing w:val="-7"/>
        </w:rPr>
        <w:t> </w:t>
      </w:r>
      <w:r>
        <w:rPr>
          <w:color w:val="231F20"/>
        </w:rPr>
        <w:t>por</w:t>
      </w:r>
      <w:r>
        <w:rPr>
          <w:color w:val="231F20"/>
          <w:spacing w:val="-7"/>
        </w:rPr>
        <w:t> </w:t>
      </w:r>
      <w:r>
        <w:rPr>
          <w:color w:val="231F20"/>
        </w:rPr>
        <w:t>sus</w:t>
      </w:r>
      <w:r>
        <w:rPr>
          <w:color w:val="231F20"/>
          <w:spacing w:val="-7"/>
        </w:rPr>
        <w:t> </w:t>
      </w:r>
      <w:r>
        <w:rPr>
          <w:color w:val="231F20"/>
        </w:rPr>
        <w:t>beneficiarios.</w:t>
      </w:r>
      <w:r>
        <w:rPr>
          <w:color w:val="231F20"/>
          <w:spacing w:val="-7"/>
        </w:rPr>
        <w:t> </w:t>
      </w:r>
      <w:r>
        <w:rPr>
          <w:color w:val="231F20"/>
        </w:rPr>
        <w:t>De- mandas, que es necesario puntualizar, no siempre pueden ser expresadas claramente por la población debido a la falta de información y capacita- ción, por lo cual el mecanismo no resultó ser el más</w:t>
      </w:r>
      <w:r>
        <w:rPr>
          <w:color w:val="231F20"/>
          <w:spacing w:val="-7"/>
        </w:rPr>
        <w:t> </w:t>
      </w:r>
      <w:r>
        <w:rPr>
          <w:color w:val="231F20"/>
        </w:rPr>
        <w:t>adecuado.</w:t>
      </w:r>
    </w:p>
    <w:p>
      <w:pPr>
        <w:pStyle w:val="BodyText"/>
        <w:spacing w:line="247" w:lineRule="auto"/>
        <w:ind w:left="117" w:right="114" w:firstLine="283"/>
        <w:jc w:val="both"/>
      </w:pPr>
      <w:r>
        <w:rPr>
          <w:color w:val="231F20"/>
        </w:rPr>
        <w:t>Sin embargo esta forma de actuar en el campo de la política social, también</w:t>
      </w:r>
      <w:r>
        <w:rPr>
          <w:color w:val="231F20"/>
          <w:spacing w:val="-9"/>
        </w:rPr>
        <w:t> </w:t>
      </w:r>
      <w:r>
        <w:rPr>
          <w:color w:val="231F20"/>
        </w:rPr>
        <w:t>fue</w:t>
      </w:r>
      <w:r>
        <w:rPr>
          <w:color w:val="231F20"/>
          <w:spacing w:val="-8"/>
        </w:rPr>
        <w:t> </w:t>
      </w:r>
      <w:r>
        <w:rPr>
          <w:color w:val="231F20"/>
        </w:rPr>
        <w:t>vigente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siguiente</w:t>
      </w:r>
      <w:r>
        <w:rPr>
          <w:color w:val="231F20"/>
          <w:spacing w:val="-8"/>
        </w:rPr>
        <w:t> </w:t>
      </w:r>
      <w:r>
        <w:rPr>
          <w:color w:val="231F20"/>
        </w:rPr>
        <w:t>administración</w:t>
      </w:r>
      <w:r>
        <w:rPr>
          <w:color w:val="231F20"/>
          <w:spacing w:val="-9"/>
        </w:rPr>
        <w:t> </w:t>
      </w:r>
      <w:r>
        <w:rPr>
          <w:color w:val="231F20"/>
        </w:rPr>
        <w:t>encabezada</w:t>
      </w:r>
      <w:r>
        <w:rPr>
          <w:color w:val="231F20"/>
          <w:spacing w:val="-9"/>
        </w:rPr>
        <w:t> </w:t>
      </w:r>
      <w:r>
        <w:rPr>
          <w:color w:val="231F20"/>
        </w:rPr>
        <w:t>por</w:t>
      </w:r>
      <w:r>
        <w:rPr>
          <w:color w:val="231F20"/>
          <w:spacing w:val="-8"/>
        </w:rPr>
        <w:t> </w:t>
      </w:r>
      <w:r>
        <w:rPr>
          <w:color w:val="231F20"/>
        </w:rPr>
        <w:t>Ernesto Zedillo,</w:t>
      </w:r>
      <w:r>
        <w:rPr>
          <w:color w:val="231F20"/>
          <w:spacing w:val="-11"/>
        </w:rPr>
        <w:t> </w:t>
      </w:r>
      <w:r>
        <w:rPr>
          <w:color w:val="231F20"/>
        </w:rPr>
        <w:t>quien</w:t>
      </w:r>
      <w:r>
        <w:rPr>
          <w:color w:val="231F20"/>
          <w:spacing w:val="-11"/>
        </w:rPr>
        <w:t> </w:t>
      </w:r>
      <w:r>
        <w:rPr>
          <w:color w:val="231F20"/>
        </w:rPr>
        <w:t>puso</w:t>
      </w:r>
      <w:r>
        <w:rPr>
          <w:color w:val="231F20"/>
          <w:spacing w:val="-10"/>
        </w:rPr>
        <w:t> </w:t>
      </w:r>
      <w:r>
        <w:rPr>
          <w:color w:val="231F20"/>
        </w:rPr>
        <w:t>fin</w:t>
      </w:r>
      <w:r>
        <w:rPr>
          <w:color w:val="231F20"/>
          <w:spacing w:val="-10"/>
        </w:rPr>
        <w:t> </w:t>
      </w:r>
      <w:r>
        <w:rPr>
          <w:color w:val="231F20"/>
        </w:rPr>
        <w:t>al</w:t>
      </w:r>
      <w:r>
        <w:rPr>
          <w:color w:val="231F20"/>
          <w:spacing w:val="-11"/>
        </w:rPr>
        <w:t> </w:t>
      </w:r>
      <w:r>
        <w:rPr>
          <w:color w:val="231F20"/>
        </w:rPr>
        <w:t>anterior</w:t>
      </w:r>
      <w:r>
        <w:rPr>
          <w:color w:val="231F20"/>
          <w:spacing w:val="-11"/>
        </w:rPr>
        <w:t> </w:t>
      </w:r>
      <w:r>
        <w:rPr>
          <w:color w:val="231F20"/>
        </w:rPr>
        <w:t>programa</w:t>
      </w:r>
      <w:r>
        <w:rPr>
          <w:color w:val="231F20"/>
          <w:spacing w:val="-11"/>
        </w:rPr>
        <w:t> </w:t>
      </w:r>
      <w:r>
        <w:rPr>
          <w:color w:val="231F20"/>
        </w:rPr>
        <w:t>e</w:t>
      </w:r>
      <w:r>
        <w:rPr>
          <w:color w:val="231F20"/>
          <w:spacing w:val="-11"/>
        </w:rPr>
        <w:t> </w:t>
      </w:r>
      <w:r>
        <w:rPr>
          <w:color w:val="231F20"/>
        </w:rPr>
        <w:t>instauró</w:t>
      </w:r>
      <w:r>
        <w:rPr>
          <w:color w:val="231F20"/>
          <w:spacing w:val="-11"/>
        </w:rPr>
        <w:t> </w:t>
      </w:r>
      <w:r>
        <w:rPr>
          <w:color w:val="231F20"/>
        </w:rPr>
        <w:t>el</w:t>
      </w:r>
      <w:r>
        <w:rPr>
          <w:color w:val="231F20"/>
          <w:spacing w:val="-11"/>
        </w:rPr>
        <w:t> </w:t>
      </w:r>
      <w:r>
        <w:rPr>
          <w:color w:val="231F20"/>
        </w:rPr>
        <w:t>Programa</w:t>
      </w:r>
      <w:r>
        <w:rPr>
          <w:color w:val="231F20"/>
          <w:spacing w:val="-11"/>
        </w:rPr>
        <w:t> </w:t>
      </w:r>
      <w:r>
        <w:rPr>
          <w:color w:val="231F20"/>
        </w:rPr>
        <w:t>de</w:t>
      </w:r>
      <w:r>
        <w:rPr>
          <w:color w:val="231F20"/>
          <w:spacing w:val="-10"/>
        </w:rPr>
        <w:t> </w:t>
      </w:r>
      <w:r>
        <w:rPr>
          <w:color w:val="231F20"/>
        </w:rPr>
        <w:t>Edu-</w:t>
      </w:r>
    </w:p>
    <w:p>
      <w:pPr>
        <w:spacing w:after="0" w:line="247" w:lineRule="auto"/>
        <w:jc w:val="both"/>
        <w:sectPr>
          <w:footerReference w:type="default" r:id="rId173"/>
          <w:pgSz w:w="9360" w:h="13040"/>
          <w:pgMar w:footer="496" w:header="0" w:top="740" w:bottom="680" w:left="1300" w:right="1300"/>
          <w:pgNumType w:start="201"/>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jc w:val="both"/>
      </w:pPr>
      <w:r>
        <w:rPr>
          <w:color w:val="231F20"/>
        </w:rPr>
        <w:t>cación, Salud y Alimentación (Progresa). El Programa partía del concepto teórico práctico de que “las capacidades básicas de los individuos son el punto básico que debe armonizar la productividad y remuneración de las actividades</w:t>
      </w:r>
      <w:r>
        <w:rPr>
          <w:color w:val="231F20"/>
          <w:spacing w:val="-6"/>
        </w:rPr>
        <w:t> </w:t>
      </w:r>
      <w:r>
        <w:rPr>
          <w:color w:val="231F20"/>
        </w:rPr>
        <w:t>económicas</w:t>
      </w:r>
      <w:r>
        <w:rPr>
          <w:color w:val="231F20"/>
          <w:spacing w:val="-6"/>
        </w:rPr>
        <w:t> </w:t>
      </w:r>
      <w:r>
        <w:rPr>
          <w:color w:val="231F20"/>
        </w:rPr>
        <w:t>con</w:t>
      </w:r>
      <w:r>
        <w:rPr>
          <w:color w:val="231F20"/>
          <w:spacing w:val="-5"/>
        </w:rPr>
        <w:t> </w:t>
      </w:r>
      <w:r>
        <w:rPr>
          <w:color w:val="231F20"/>
        </w:rPr>
        <w:t>el</w:t>
      </w:r>
      <w:r>
        <w:rPr>
          <w:color w:val="231F20"/>
          <w:spacing w:val="-5"/>
        </w:rPr>
        <w:t> </w:t>
      </w:r>
      <w:r>
        <w:rPr>
          <w:color w:val="231F20"/>
        </w:rPr>
        <w:t>derecho</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vida</w:t>
      </w:r>
      <w:r>
        <w:rPr>
          <w:color w:val="231F20"/>
          <w:spacing w:val="-5"/>
        </w:rPr>
        <w:t> </w:t>
      </w:r>
      <w:r>
        <w:rPr>
          <w:color w:val="231F20"/>
        </w:rPr>
        <w:t>digna,</w:t>
      </w:r>
      <w:r>
        <w:rPr>
          <w:color w:val="231F20"/>
          <w:spacing w:val="-5"/>
        </w:rPr>
        <w:t> </w:t>
      </w:r>
      <w:r>
        <w:rPr>
          <w:color w:val="231F20"/>
        </w:rPr>
        <w:t>conjunto</w:t>
      </w:r>
      <w:r>
        <w:rPr>
          <w:color w:val="231F20"/>
          <w:spacing w:val="-6"/>
        </w:rPr>
        <w:t> </w:t>
      </w:r>
      <w:r>
        <w:rPr>
          <w:color w:val="231F20"/>
        </w:rPr>
        <w:t>de</w:t>
      </w:r>
      <w:r>
        <w:rPr>
          <w:color w:val="231F20"/>
          <w:spacing w:val="-5"/>
        </w:rPr>
        <w:t> </w:t>
      </w:r>
      <w:r>
        <w:rPr>
          <w:color w:val="231F20"/>
        </w:rPr>
        <w:t>jus- ticia social y equidad” (Favela, 2003: 39).</w:t>
      </w:r>
    </w:p>
    <w:p>
      <w:pPr>
        <w:pStyle w:val="BodyText"/>
        <w:spacing w:line="247" w:lineRule="auto"/>
        <w:ind w:left="117" w:right="115" w:firstLine="283"/>
        <w:jc w:val="both"/>
      </w:pPr>
      <w:r>
        <w:rPr>
          <w:color w:val="231F20"/>
        </w:rPr>
        <w:t>Esta propuesta rompería el círculo vicioso de la pobreza, lo que pro- vocaría la generación de un círculo virtuoso que forjaría una vida digna y sería un freno a la pobreza transgeneracional. La población objetivo con- sistía en familias que vivían en condiciones de pobreza extrema dejando fuera</w:t>
      </w:r>
      <w:r>
        <w:rPr>
          <w:color w:val="231F20"/>
          <w:spacing w:val="-8"/>
        </w:rPr>
        <w:t> </w:t>
      </w:r>
      <w:r>
        <w:rPr>
          <w:color w:val="231F20"/>
        </w:rPr>
        <w:t>factores</w:t>
      </w:r>
      <w:r>
        <w:rPr>
          <w:color w:val="231F20"/>
          <w:spacing w:val="-8"/>
        </w:rPr>
        <w:t> </w:t>
      </w:r>
      <w:r>
        <w:rPr>
          <w:color w:val="231F20"/>
        </w:rPr>
        <w:t>como</w:t>
      </w:r>
      <w:r>
        <w:rPr>
          <w:color w:val="231F20"/>
          <w:spacing w:val="-8"/>
        </w:rPr>
        <w:t> </w:t>
      </w:r>
      <w:r>
        <w:rPr>
          <w:color w:val="231F20"/>
        </w:rPr>
        <w:t>la</w:t>
      </w:r>
      <w:r>
        <w:rPr>
          <w:color w:val="231F20"/>
          <w:spacing w:val="-8"/>
        </w:rPr>
        <w:t> </w:t>
      </w:r>
      <w:r>
        <w:rPr>
          <w:color w:val="231F20"/>
        </w:rPr>
        <w:t>estructura</w:t>
      </w:r>
      <w:r>
        <w:rPr>
          <w:color w:val="231F20"/>
          <w:spacing w:val="-8"/>
        </w:rPr>
        <w:t> </w:t>
      </w:r>
      <w:r>
        <w:rPr>
          <w:color w:val="231F20"/>
        </w:rPr>
        <w:t>y</w:t>
      </w:r>
      <w:r>
        <w:rPr>
          <w:color w:val="231F20"/>
          <w:spacing w:val="-8"/>
        </w:rPr>
        <w:t> </w:t>
      </w:r>
      <w:r>
        <w:rPr>
          <w:color w:val="231F20"/>
        </w:rPr>
        <w:t>composición</w:t>
      </w:r>
      <w:r>
        <w:rPr>
          <w:color w:val="231F20"/>
          <w:spacing w:val="-8"/>
        </w:rPr>
        <w:t> </w:t>
      </w:r>
      <w:r>
        <w:rPr>
          <w:color w:val="231F20"/>
        </w:rPr>
        <w:t>familiar,</w:t>
      </w:r>
      <w:r>
        <w:rPr>
          <w:color w:val="231F20"/>
          <w:spacing w:val="-8"/>
        </w:rPr>
        <w:t> </w:t>
      </w:r>
      <w:r>
        <w:rPr>
          <w:color w:val="231F20"/>
        </w:rPr>
        <w:t>así</w:t>
      </w:r>
      <w:r>
        <w:rPr>
          <w:color w:val="231F20"/>
          <w:spacing w:val="-8"/>
        </w:rPr>
        <w:t> </w:t>
      </w:r>
      <w:r>
        <w:rPr>
          <w:color w:val="231F20"/>
        </w:rPr>
        <w:t>como</w:t>
      </w:r>
      <w:r>
        <w:rPr>
          <w:color w:val="231F20"/>
          <w:spacing w:val="-8"/>
        </w:rPr>
        <w:t> </w:t>
      </w:r>
      <w:r>
        <w:rPr>
          <w:color w:val="231F20"/>
        </w:rPr>
        <w:t>el</w:t>
      </w:r>
      <w:r>
        <w:rPr>
          <w:color w:val="231F20"/>
          <w:spacing w:val="-8"/>
        </w:rPr>
        <w:t> </w:t>
      </w:r>
      <w:r>
        <w:rPr>
          <w:color w:val="231F20"/>
        </w:rPr>
        <w:t>lugar de residencia. Por estas razones la cobertura se extendió por fases; la pri- mera consistió en la identificación de comunidades que posteriormente se clasificaron en alta o muy alta marginación, lo que finalmente permitiría seleccionar a los</w:t>
      </w:r>
      <w:r>
        <w:rPr>
          <w:color w:val="231F20"/>
          <w:spacing w:val="-12"/>
        </w:rPr>
        <w:t> </w:t>
      </w:r>
      <w:r>
        <w:rPr>
          <w:color w:val="231F20"/>
        </w:rPr>
        <w:t>beneficiarios.</w:t>
      </w:r>
    </w:p>
    <w:p>
      <w:pPr>
        <w:pStyle w:val="BodyText"/>
        <w:spacing w:line="247" w:lineRule="auto"/>
        <w:ind w:left="117" w:right="114" w:firstLine="283"/>
        <w:jc w:val="both"/>
      </w:pPr>
      <w:r>
        <w:rPr>
          <w:color w:val="231F20"/>
        </w:rPr>
        <w:t>Para lograr ejecutar cada una de las fases se aplicaron encuestas que permitieron conocer los niveles socioeconómicos de los hogares que me- diante</w:t>
      </w:r>
      <w:r>
        <w:rPr>
          <w:color w:val="231F20"/>
          <w:spacing w:val="-6"/>
        </w:rPr>
        <w:t> </w:t>
      </w:r>
      <w:r>
        <w:rPr>
          <w:color w:val="231F20"/>
        </w:rPr>
        <w:t>un</w:t>
      </w:r>
      <w:r>
        <w:rPr>
          <w:color w:val="231F20"/>
          <w:spacing w:val="-6"/>
        </w:rPr>
        <w:t> </w:t>
      </w:r>
      <w:r>
        <w:rPr>
          <w:color w:val="231F20"/>
        </w:rPr>
        <w:t>puntaje</w:t>
      </w:r>
      <w:r>
        <w:rPr>
          <w:color w:val="231F20"/>
          <w:spacing w:val="-6"/>
        </w:rPr>
        <w:t> </w:t>
      </w:r>
      <w:r>
        <w:rPr>
          <w:color w:val="231F20"/>
        </w:rPr>
        <w:t>preestablecido</w:t>
      </w:r>
      <w:r>
        <w:rPr>
          <w:color w:val="231F20"/>
          <w:spacing w:val="-6"/>
        </w:rPr>
        <w:t> </w:t>
      </w:r>
      <w:r>
        <w:rPr>
          <w:color w:val="231F20"/>
        </w:rPr>
        <w:t>determinó</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familias</w:t>
      </w:r>
      <w:r>
        <w:rPr>
          <w:color w:val="231F20"/>
          <w:spacing w:val="-6"/>
        </w:rPr>
        <w:t> </w:t>
      </w:r>
      <w:r>
        <w:rPr>
          <w:color w:val="231F20"/>
        </w:rPr>
        <w:t>que</w:t>
      </w:r>
      <w:r>
        <w:rPr>
          <w:color w:val="231F20"/>
          <w:spacing w:val="-6"/>
        </w:rPr>
        <w:t> </w:t>
      </w:r>
      <w:r>
        <w:rPr>
          <w:color w:val="231F20"/>
        </w:rPr>
        <w:t>conformaron el padrón.</w:t>
      </w:r>
    </w:p>
    <w:p>
      <w:pPr>
        <w:pStyle w:val="BodyText"/>
        <w:spacing w:line="247" w:lineRule="auto"/>
        <w:ind w:left="117" w:right="114" w:firstLine="283"/>
        <w:jc w:val="both"/>
      </w:pPr>
      <w:r>
        <w:rPr>
          <w:color w:val="231F20"/>
        </w:rPr>
        <w:t>Progresa</w:t>
      </w:r>
      <w:r>
        <w:rPr>
          <w:color w:val="231F20"/>
          <w:spacing w:val="-12"/>
        </w:rPr>
        <w:t> </w:t>
      </w:r>
      <w:r>
        <w:rPr>
          <w:color w:val="231F20"/>
        </w:rPr>
        <w:t>comprendía</w:t>
      </w:r>
      <w:r>
        <w:rPr>
          <w:color w:val="231F20"/>
          <w:spacing w:val="-12"/>
        </w:rPr>
        <w:t> </w:t>
      </w:r>
      <w:r>
        <w:rPr>
          <w:color w:val="231F20"/>
        </w:rPr>
        <w:t>tres</w:t>
      </w:r>
      <w:r>
        <w:rPr>
          <w:color w:val="231F20"/>
          <w:spacing w:val="-12"/>
        </w:rPr>
        <w:t> </w:t>
      </w:r>
      <w:r>
        <w:rPr>
          <w:color w:val="231F20"/>
        </w:rPr>
        <w:t>puntos</w:t>
      </w:r>
      <w:r>
        <w:rPr>
          <w:color w:val="231F20"/>
          <w:spacing w:val="-12"/>
        </w:rPr>
        <w:t> </w:t>
      </w:r>
      <w:r>
        <w:rPr>
          <w:color w:val="231F20"/>
        </w:rPr>
        <w:t>principales</w:t>
      </w:r>
      <w:r>
        <w:rPr>
          <w:color w:val="231F20"/>
          <w:spacing w:val="-12"/>
        </w:rPr>
        <w:t> </w:t>
      </w:r>
      <w:r>
        <w:rPr>
          <w:color w:val="231F20"/>
        </w:rPr>
        <w:t>i)</w:t>
      </w:r>
      <w:r>
        <w:rPr>
          <w:color w:val="231F20"/>
          <w:spacing w:val="-12"/>
        </w:rPr>
        <w:t> </w:t>
      </w:r>
      <w:r>
        <w:rPr>
          <w:color w:val="231F20"/>
        </w:rPr>
        <w:t>educación,</w:t>
      </w:r>
      <w:r>
        <w:rPr>
          <w:color w:val="231F20"/>
          <w:spacing w:val="-12"/>
        </w:rPr>
        <w:t> </w:t>
      </w:r>
      <w:r>
        <w:rPr>
          <w:color w:val="231F20"/>
        </w:rPr>
        <w:t>ii)</w:t>
      </w:r>
      <w:r>
        <w:rPr>
          <w:color w:val="231F20"/>
          <w:spacing w:val="-12"/>
        </w:rPr>
        <w:t> </w:t>
      </w:r>
      <w:r>
        <w:rPr>
          <w:color w:val="231F20"/>
        </w:rPr>
        <w:t>salud</w:t>
      </w:r>
      <w:r>
        <w:rPr>
          <w:color w:val="231F20"/>
          <w:spacing w:val="-12"/>
        </w:rPr>
        <w:t> </w:t>
      </w:r>
      <w:r>
        <w:rPr>
          <w:color w:val="231F20"/>
        </w:rPr>
        <w:t>y</w:t>
      </w:r>
      <w:r>
        <w:rPr>
          <w:color w:val="231F20"/>
          <w:spacing w:val="-12"/>
        </w:rPr>
        <w:t> </w:t>
      </w:r>
      <w:r>
        <w:rPr>
          <w:color w:val="231F20"/>
        </w:rPr>
        <w:t>iii) alimentación.</w:t>
      </w:r>
      <w:r>
        <w:rPr>
          <w:color w:val="231F20"/>
          <w:spacing w:val="-15"/>
        </w:rPr>
        <w:t> </w:t>
      </w:r>
      <w:r>
        <w:rPr>
          <w:color w:val="231F20"/>
        </w:rPr>
        <w:t>El</w:t>
      </w:r>
      <w:r>
        <w:rPr>
          <w:color w:val="231F20"/>
          <w:spacing w:val="-14"/>
        </w:rPr>
        <w:t> </w:t>
      </w:r>
      <w:r>
        <w:rPr>
          <w:color w:val="231F20"/>
        </w:rPr>
        <w:t>primero</w:t>
      </w:r>
      <w:r>
        <w:rPr>
          <w:color w:val="231F20"/>
          <w:spacing w:val="-14"/>
        </w:rPr>
        <w:t> </w:t>
      </w:r>
      <w:r>
        <w:rPr>
          <w:color w:val="231F20"/>
        </w:rPr>
        <w:t>de</w:t>
      </w:r>
      <w:r>
        <w:rPr>
          <w:color w:val="231F20"/>
          <w:spacing w:val="-14"/>
        </w:rPr>
        <w:t> </w:t>
      </w:r>
      <w:r>
        <w:rPr>
          <w:color w:val="231F20"/>
        </w:rPr>
        <w:t>ellos</w:t>
      </w:r>
      <w:r>
        <w:rPr>
          <w:color w:val="231F20"/>
          <w:spacing w:val="-14"/>
        </w:rPr>
        <w:t> </w:t>
      </w:r>
      <w:r>
        <w:rPr>
          <w:color w:val="231F20"/>
        </w:rPr>
        <w:t>buscó</w:t>
      </w:r>
      <w:r>
        <w:rPr>
          <w:color w:val="231F20"/>
          <w:spacing w:val="-14"/>
        </w:rPr>
        <w:t> </w:t>
      </w:r>
      <w:r>
        <w:rPr>
          <w:color w:val="231F20"/>
        </w:rPr>
        <w:t>fomentar</w:t>
      </w:r>
      <w:r>
        <w:rPr>
          <w:color w:val="231F20"/>
          <w:spacing w:val="-14"/>
        </w:rPr>
        <w:t> </w:t>
      </w:r>
      <w:r>
        <w:rPr>
          <w:color w:val="231F20"/>
        </w:rPr>
        <w:t>la</w:t>
      </w:r>
      <w:r>
        <w:rPr>
          <w:color w:val="231F20"/>
          <w:spacing w:val="-14"/>
        </w:rPr>
        <w:t> </w:t>
      </w:r>
      <w:r>
        <w:rPr>
          <w:color w:val="231F20"/>
        </w:rPr>
        <w:t>asistencia</w:t>
      </w:r>
      <w:r>
        <w:rPr>
          <w:color w:val="231F20"/>
          <w:spacing w:val="-14"/>
        </w:rPr>
        <w:t> </w:t>
      </w:r>
      <w:r>
        <w:rPr>
          <w:color w:val="231F20"/>
        </w:rPr>
        <w:t>y</w:t>
      </w:r>
      <w:r>
        <w:rPr>
          <w:color w:val="231F20"/>
          <w:spacing w:val="-14"/>
        </w:rPr>
        <w:t> </w:t>
      </w:r>
      <w:r>
        <w:rPr>
          <w:color w:val="231F20"/>
        </w:rPr>
        <w:t>rendimien- to escolar a través de acciones que mejoraran la calidad de la educación. El segundo pretendía brindar servicios médicos a todos los integrantes de la familia fortaleciendo a la par los servicios médicos.</w:t>
      </w:r>
      <w:r>
        <w:rPr>
          <w:color w:val="231F20"/>
          <w:spacing w:val="-38"/>
        </w:rPr>
        <w:t> </w:t>
      </w:r>
      <w:r>
        <w:rPr>
          <w:color w:val="231F20"/>
        </w:rPr>
        <w:t>Finalmente el rubro tres, como su nombre lo señala, pretendió brindar apoyos para mejorar la alimentación de las familias beneficiarias (Favela,</w:t>
      </w:r>
      <w:r>
        <w:rPr>
          <w:color w:val="231F20"/>
          <w:spacing w:val="-12"/>
        </w:rPr>
        <w:t> </w:t>
      </w:r>
      <w:r>
        <w:rPr>
          <w:color w:val="231F20"/>
        </w:rPr>
        <w:t>2003).</w:t>
      </w:r>
    </w:p>
    <w:p>
      <w:pPr>
        <w:pStyle w:val="BodyText"/>
        <w:spacing w:line="247" w:lineRule="auto"/>
        <w:ind w:left="117" w:right="114" w:firstLine="283"/>
        <w:jc w:val="both"/>
      </w:pPr>
      <w:r>
        <w:rPr>
          <w:color w:val="231F20"/>
        </w:rPr>
        <w:t>En</w:t>
      </w:r>
      <w:r>
        <w:rPr>
          <w:color w:val="231F20"/>
          <w:spacing w:val="-11"/>
        </w:rPr>
        <w:t> </w:t>
      </w:r>
      <w:r>
        <w:rPr>
          <w:color w:val="231F20"/>
        </w:rPr>
        <w:t>este</w:t>
      </w:r>
      <w:r>
        <w:rPr>
          <w:color w:val="231F20"/>
          <w:spacing w:val="-11"/>
        </w:rPr>
        <w:t> </w:t>
      </w:r>
      <w:r>
        <w:rPr>
          <w:color w:val="231F20"/>
        </w:rPr>
        <w:t>punto</w:t>
      </w:r>
      <w:r>
        <w:rPr>
          <w:color w:val="231F20"/>
          <w:spacing w:val="-11"/>
        </w:rPr>
        <w:t> </w:t>
      </w:r>
      <w:r>
        <w:rPr>
          <w:color w:val="231F20"/>
        </w:rPr>
        <w:t>el</w:t>
      </w:r>
      <w:r>
        <w:rPr>
          <w:color w:val="231F20"/>
          <w:spacing w:val="-11"/>
        </w:rPr>
        <w:t> </w:t>
      </w:r>
      <w:r>
        <w:rPr>
          <w:color w:val="231F20"/>
        </w:rPr>
        <w:t>término</w:t>
      </w:r>
      <w:r>
        <w:rPr>
          <w:color w:val="231F20"/>
          <w:spacing w:val="-11"/>
        </w:rPr>
        <w:t> </w:t>
      </w:r>
      <w:r>
        <w:rPr>
          <w:color w:val="231F20"/>
        </w:rPr>
        <w:t>de</w:t>
      </w:r>
      <w:r>
        <w:rPr>
          <w:color w:val="231F20"/>
          <w:spacing w:val="-11"/>
        </w:rPr>
        <w:t> </w:t>
      </w:r>
      <w:r>
        <w:rPr>
          <w:color w:val="231F20"/>
        </w:rPr>
        <w:t>políticas</w:t>
      </w:r>
      <w:r>
        <w:rPr>
          <w:color w:val="231F20"/>
          <w:spacing w:val="-11"/>
        </w:rPr>
        <w:t> </w:t>
      </w:r>
      <w:r>
        <w:rPr>
          <w:color w:val="231F20"/>
        </w:rPr>
        <w:t>públicas</w:t>
      </w:r>
      <w:r>
        <w:rPr>
          <w:color w:val="231F20"/>
          <w:spacing w:val="-11"/>
        </w:rPr>
        <w:t> </w:t>
      </w:r>
      <w:r>
        <w:rPr>
          <w:color w:val="231F20"/>
        </w:rPr>
        <w:t>brindado</w:t>
      </w:r>
      <w:r>
        <w:rPr>
          <w:color w:val="231F20"/>
          <w:spacing w:val="-11"/>
        </w:rPr>
        <w:t> </w:t>
      </w:r>
      <w:r>
        <w:rPr>
          <w:color w:val="231F20"/>
        </w:rPr>
        <w:t>por</w:t>
      </w:r>
      <w:r>
        <w:rPr>
          <w:color w:val="231F20"/>
          <w:spacing w:val="-11"/>
        </w:rPr>
        <w:t> </w:t>
      </w:r>
      <w:r>
        <w:rPr>
          <w:color w:val="231F20"/>
        </w:rPr>
        <w:t>Canto</w:t>
      </w:r>
      <w:r>
        <w:rPr>
          <w:color w:val="231F20"/>
          <w:spacing w:val="-11"/>
        </w:rPr>
        <w:t> </w:t>
      </w:r>
      <w:r>
        <w:rPr>
          <w:color w:val="231F20"/>
        </w:rPr>
        <w:t>ayuda en la dilucidación propia de los Programas, ya que fueron diseñados en el marco de la definición que señala que las políticas son: “cursos de acción que tienden a la solución de problemas públicos, definidos a partir de</w:t>
      </w:r>
      <w:r>
        <w:rPr>
          <w:color w:val="231F20"/>
          <w:spacing w:val="-37"/>
        </w:rPr>
        <w:t> </w:t>
      </w:r>
      <w:r>
        <w:rPr>
          <w:color w:val="231F20"/>
        </w:rPr>
        <w:t>inte- racción de diversos sujetos sociales…” (2002: 70).</w:t>
      </w:r>
    </w:p>
    <w:p>
      <w:pPr>
        <w:pStyle w:val="BodyText"/>
        <w:spacing w:line="247" w:lineRule="auto"/>
        <w:ind w:left="117" w:right="116" w:firstLine="283"/>
        <w:jc w:val="both"/>
      </w:pPr>
      <w:r>
        <w:rPr>
          <w:color w:val="231F20"/>
        </w:rPr>
        <w:t>Al término del sexenio de Zedillo y ante los vertiginosos cambios en materia de cambio de partido hegemónico, durante la administración de Vicente Fox se generó el Programa de Desarrollo Humano Oportunidades que combatía los dos primeros tipos de pobreza mencionados por Székely (pobreza alimentaria y pobreza de capacidades) debido a que no brindaba apoyos directos en materia de vivienda, vestido o calzado, que sería el equivalente a la pobreza de patrimonio. Por ello es prudente aclarar que el rubro monetario iba dirigido a las familias que manifestaban    imposibili-</w:t>
      </w:r>
    </w:p>
    <w:p>
      <w:pPr>
        <w:spacing w:after="0" w:line="247" w:lineRule="auto"/>
        <w:jc w:val="both"/>
        <w:sectPr>
          <w:pgSz w:w="9360" w:h="13040"/>
          <w:pgMar w:header="0" w:footer="496" w:top="800" w:bottom="680" w:left="1300" w:right="1300"/>
        </w:sectPr>
      </w:pPr>
    </w:p>
    <w:p>
      <w:pPr>
        <w:spacing w:before="45"/>
        <w:ind w:left="117" w:right="117" w:firstLine="67"/>
        <w:jc w:val="left"/>
        <w:rPr>
          <w:rFonts w:ascii="Arial" w:hAnsi="Arial"/>
          <w:sz w:val="20"/>
        </w:rPr>
      </w:pPr>
      <w:r>
        <w:rPr>
          <w:rFonts w:ascii="Arial" w:hAnsi="Arial"/>
          <w:color w:val="231F20"/>
          <w:w w:val="65"/>
          <w:sz w:val="20"/>
        </w:rPr>
        <w:t>Las políticas públicas de combate a la pobreza y su sinergia... /Mayra P. Pérez-Román y A. Velázquez-Romero</w:t>
      </w:r>
    </w:p>
    <w:p>
      <w:pPr>
        <w:pStyle w:val="BodyText"/>
        <w:spacing w:before="7"/>
        <w:rPr>
          <w:rFonts w:ascii="Arial"/>
          <w:sz w:val="28"/>
        </w:rPr>
      </w:pPr>
    </w:p>
    <w:p>
      <w:pPr>
        <w:pStyle w:val="BodyText"/>
        <w:spacing w:line="247" w:lineRule="auto"/>
        <w:ind w:left="117" w:right="117"/>
      </w:pPr>
      <w:r>
        <w:rPr>
          <w:color w:val="231F20"/>
        </w:rPr>
        <w:t>dades o dificultades para mantener un grado de alimentación acorde a sus necesidades.</w:t>
      </w:r>
    </w:p>
    <w:p>
      <w:pPr>
        <w:pStyle w:val="BodyText"/>
        <w:spacing w:line="247" w:lineRule="auto"/>
        <w:ind w:left="117" w:right="115" w:firstLine="283"/>
        <w:jc w:val="both"/>
      </w:pPr>
      <w:r>
        <w:rPr>
          <w:color w:val="231F20"/>
        </w:rPr>
        <w:t>Lo anterior ofrece un mayor grado de certeza para el tratamiento de la pobreza</w:t>
      </w:r>
      <w:r>
        <w:rPr>
          <w:color w:val="231F20"/>
          <w:spacing w:val="-3"/>
        </w:rPr>
        <w:t> </w:t>
      </w:r>
      <w:r>
        <w:rPr>
          <w:color w:val="231F20"/>
        </w:rPr>
        <w:t>ya</w:t>
      </w:r>
      <w:r>
        <w:rPr>
          <w:color w:val="231F20"/>
          <w:spacing w:val="-4"/>
        </w:rPr>
        <w:t> </w:t>
      </w:r>
      <w:r>
        <w:rPr>
          <w:color w:val="231F20"/>
        </w:rPr>
        <w:t>que</w:t>
      </w:r>
      <w:r>
        <w:rPr>
          <w:color w:val="231F20"/>
          <w:spacing w:val="-3"/>
        </w:rPr>
        <w:t> </w:t>
      </w:r>
      <w:r>
        <w:rPr>
          <w:color w:val="231F20"/>
        </w:rPr>
        <w:t>brinda</w:t>
      </w:r>
      <w:r>
        <w:rPr>
          <w:color w:val="231F20"/>
          <w:spacing w:val="-3"/>
        </w:rPr>
        <w:t> </w:t>
      </w:r>
      <w:r>
        <w:rPr>
          <w:color w:val="231F20"/>
        </w:rPr>
        <w:t>una</w:t>
      </w:r>
      <w:r>
        <w:rPr>
          <w:color w:val="231F20"/>
          <w:spacing w:val="-4"/>
        </w:rPr>
        <w:t> </w:t>
      </w:r>
      <w:r>
        <w:rPr>
          <w:color w:val="231F20"/>
        </w:rPr>
        <w:t>tipología</w:t>
      </w:r>
      <w:r>
        <w:rPr>
          <w:color w:val="231F20"/>
          <w:spacing w:val="-4"/>
        </w:rPr>
        <w:t> </w:t>
      </w:r>
      <w:r>
        <w:rPr>
          <w:color w:val="231F20"/>
        </w:rPr>
        <w:t>basada</w:t>
      </w:r>
      <w:r>
        <w:rPr>
          <w:color w:val="231F20"/>
          <w:spacing w:val="-3"/>
        </w:rPr>
        <w:t> </w:t>
      </w:r>
      <w:r>
        <w:rPr>
          <w:color w:val="231F20"/>
        </w:rPr>
        <w:t>en</w:t>
      </w:r>
      <w:r>
        <w:rPr>
          <w:color w:val="231F20"/>
          <w:spacing w:val="-3"/>
        </w:rPr>
        <w:t> </w:t>
      </w:r>
      <w:r>
        <w:rPr>
          <w:color w:val="231F20"/>
        </w:rPr>
        <w:t>el</w:t>
      </w:r>
      <w:r>
        <w:rPr>
          <w:color w:val="231F20"/>
          <w:spacing w:val="-4"/>
        </w:rPr>
        <w:t> </w:t>
      </w:r>
      <w:r>
        <w:rPr>
          <w:color w:val="231F20"/>
        </w:rPr>
        <w:t>contexto</w:t>
      </w:r>
      <w:r>
        <w:rPr>
          <w:color w:val="231F20"/>
          <w:spacing w:val="-4"/>
        </w:rPr>
        <w:t> </w:t>
      </w:r>
      <w:r>
        <w:rPr>
          <w:color w:val="231F20"/>
        </w:rPr>
        <w:t>nacional,</w:t>
      </w:r>
      <w:r>
        <w:rPr>
          <w:color w:val="231F20"/>
          <w:spacing w:val="-3"/>
        </w:rPr>
        <w:t> </w:t>
      </w:r>
      <w:r>
        <w:rPr>
          <w:color w:val="231F20"/>
        </w:rPr>
        <w:t>con</w:t>
      </w:r>
      <w:r>
        <w:rPr>
          <w:color w:val="231F20"/>
          <w:spacing w:val="-4"/>
        </w:rPr>
        <w:t> </w:t>
      </w:r>
      <w:r>
        <w:rPr>
          <w:color w:val="231F20"/>
        </w:rPr>
        <w:t>lo cual los programas, por lo menos en teoría, cuentan con fundamentos más sólidos para tratar de abatir la pobreza. A decir de Hernández y del</w:t>
      </w:r>
      <w:r>
        <w:rPr>
          <w:color w:val="231F20"/>
          <w:spacing w:val="-26"/>
        </w:rPr>
        <w:t> </w:t>
      </w:r>
      <w:r>
        <w:rPr>
          <w:color w:val="231F20"/>
        </w:rPr>
        <w:t>Razo:</w:t>
      </w:r>
    </w:p>
    <w:p>
      <w:pPr>
        <w:spacing w:line="252" w:lineRule="auto" w:before="168"/>
        <w:ind w:left="400" w:right="115" w:firstLine="51"/>
        <w:jc w:val="both"/>
        <w:rPr>
          <w:sz w:val="20"/>
        </w:rPr>
      </w:pPr>
      <w:r>
        <w:rPr>
          <w:sz w:val="20"/>
        </w:rPr>
        <w:t>el principal objetivo de los muy diversos programas sociales que se han dise- ñado</w:t>
      </w:r>
      <w:r>
        <w:rPr>
          <w:spacing w:val="-4"/>
          <w:sz w:val="20"/>
        </w:rPr>
        <w:t> </w:t>
      </w:r>
      <w:r>
        <w:rPr>
          <w:sz w:val="20"/>
        </w:rPr>
        <w:t>para</w:t>
      </w:r>
      <w:r>
        <w:rPr>
          <w:spacing w:val="-4"/>
          <w:sz w:val="20"/>
        </w:rPr>
        <w:t> </w:t>
      </w:r>
      <w:r>
        <w:rPr>
          <w:sz w:val="20"/>
        </w:rPr>
        <w:t>hacer</w:t>
      </w:r>
      <w:r>
        <w:rPr>
          <w:spacing w:val="-4"/>
          <w:sz w:val="20"/>
        </w:rPr>
        <w:t> </w:t>
      </w:r>
      <w:r>
        <w:rPr>
          <w:sz w:val="20"/>
        </w:rPr>
        <w:t>frente</w:t>
      </w:r>
      <w:r>
        <w:rPr>
          <w:spacing w:val="-4"/>
          <w:sz w:val="20"/>
        </w:rPr>
        <w:t> </w:t>
      </w:r>
      <w:r>
        <w:rPr>
          <w:sz w:val="20"/>
        </w:rPr>
        <w:t>a</w:t>
      </w:r>
      <w:r>
        <w:rPr>
          <w:spacing w:val="-4"/>
          <w:sz w:val="20"/>
        </w:rPr>
        <w:t> </w:t>
      </w:r>
      <w:r>
        <w:rPr>
          <w:sz w:val="20"/>
        </w:rPr>
        <w:t>las</w:t>
      </w:r>
      <w:r>
        <w:rPr>
          <w:spacing w:val="-5"/>
          <w:sz w:val="20"/>
        </w:rPr>
        <w:t> </w:t>
      </w:r>
      <w:r>
        <w:rPr>
          <w:sz w:val="20"/>
        </w:rPr>
        <w:t>aún</w:t>
      </w:r>
      <w:r>
        <w:rPr>
          <w:spacing w:val="-5"/>
          <w:sz w:val="20"/>
        </w:rPr>
        <w:t> </w:t>
      </w:r>
      <w:r>
        <w:rPr>
          <w:sz w:val="20"/>
        </w:rPr>
        <w:t>enormes</w:t>
      </w:r>
      <w:r>
        <w:rPr>
          <w:spacing w:val="-5"/>
          <w:sz w:val="20"/>
        </w:rPr>
        <w:t> </w:t>
      </w:r>
      <w:r>
        <w:rPr>
          <w:sz w:val="20"/>
        </w:rPr>
        <w:t>carencias</w:t>
      </w:r>
      <w:r>
        <w:rPr>
          <w:spacing w:val="-5"/>
          <w:sz w:val="20"/>
        </w:rPr>
        <w:t> </w:t>
      </w:r>
      <w:r>
        <w:rPr>
          <w:sz w:val="20"/>
        </w:rPr>
        <w:t>de</w:t>
      </w:r>
      <w:r>
        <w:rPr>
          <w:spacing w:val="-4"/>
          <w:sz w:val="20"/>
        </w:rPr>
        <w:t> </w:t>
      </w:r>
      <w:r>
        <w:rPr>
          <w:sz w:val="20"/>
        </w:rPr>
        <w:t>la</w:t>
      </w:r>
      <w:r>
        <w:rPr>
          <w:spacing w:val="-4"/>
          <w:sz w:val="20"/>
        </w:rPr>
        <w:t> </w:t>
      </w:r>
      <w:r>
        <w:rPr>
          <w:sz w:val="20"/>
        </w:rPr>
        <w:t>población</w:t>
      </w:r>
      <w:r>
        <w:rPr>
          <w:spacing w:val="-4"/>
          <w:sz w:val="20"/>
        </w:rPr>
        <w:t> </w:t>
      </w:r>
      <w:r>
        <w:rPr>
          <w:sz w:val="20"/>
        </w:rPr>
        <w:t>en</w:t>
      </w:r>
      <w:r>
        <w:rPr>
          <w:spacing w:val="-5"/>
          <w:sz w:val="20"/>
        </w:rPr>
        <w:t> </w:t>
      </w:r>
      <w:r>
        <w:rPr>
          <w:sz w:val="20"/>
        </w:rPr>
        <w:t>México, es</w:t>
      </w:r>
      <w:r>
        <w:rPr>
          <w:spacing w:val="-11"/>
          <w:sz w:val="20"/>
        </w:rPr>
        <w:t> </w:t>
      </w:r>
      <w:r>
        <w:rPr>
          <w:sz w:val="20"/>
        </w:rPr>
        <w:t>mejorar</w:t>
      </w:r>
      <w:r>
        <w:rPr>
          <w:spacing w:val="-11"/>
          <w:sz w:val="20"/>
        </w:rPr>
        <w:t> </w:t>
      </w:r>
      <w:r>
        <w:rPr>
          <w:sz w:val="20"/>
        </w:rPr>
        <w:t>el</w:t>
      </w:r>
      <w:r>
        <w:rPr>
          <w:spacing w:val="-11"/>
          <w:sz w:val="20"/>
        </w:rPr>
        <w:t> </w:t>
      </w:r>
      <w:r>
        <w:rPr>
          <w:sz w:val="20"/>
        </w:rPr>
        <w:t>bienestar</w:t>
      </w:r>
      <w:r>
        <w:rPr>
          <w:spacing w:val="-11"/>
          <w:sz w:val="20"/>
        </w:rPr>
        <w:t> </w:t>
      </w:r>
      <w:r>
        <w:rPr>
          <w:sz w:val="20"/>
        </w:rPr>
        <w:t>de</w:t>
      </w:r>
      <w:r>
        <w:rPr>
          <w:spacing w:val="-11"/>
          <w:sz w:val="20"/>
        </w:rPr>
        <w:t> </w:t>
      </w:r>
      <w:r>
        <w:rPr>
          <w:sz w:val="20"/>
        </w:rPr>
        <w:t>las</w:t>
      </w:r>
      <w:r>
        <w:rPr>
          <w:spacing w:val="-11"/>
          <w:sz w:val="20"/>
        </w:rPr>
        <w:t> </w:t>
      </w:r>
      <w:r>
        <w:rPr>
          <w:sz w:val="20"/>
        </w:rPr>
        <w:t>familias,</w:t>
      </w:r>
      <w:r>
        <w:rPr>
          <w:spacing w:val="-11"/>
          <w:sz w:val="20"/>
        </w:rPr>
        <w:t> </w:t>
      </w:r>
      <w:r>
        <w:rPr>
          <w:sz w:val="20"/>
        </w:rPr>
        <w:t>sobre</w:t>
      </w:r>
      <w:r>
        <w:rPr>
          <w:spacing w:val="-11"/>
          <w:sz w:val="20"/>
        </w:rPr>
        <w:t> </w:t>
      </w:r>
      <w:r>
        <w:rPr>
          <w:sz w:val="20"/>
        </w:rPr>
        <w:t>todo</w:t>
      </w:r>
      <w:r>
        <w:rPr>
          <w:spacing w:val="-11"/>
          <w:sz w:val="20"/>
        </w:rPr>
        <w:t> </w:t>
      </w:r>
      <w:r>
        <w:rPr>
          <w:sz w:val="20"/>
        </w:rPr>
        <w:t>de</w:t>
      </w:r>
      <w:r>
        <w:rPr>
          <w:spacing w:val="-11"/>
          <w:sz w:val="20"/>
        </w:rPr>
        <w:t> </w:t>
      </w:r>
      <w:r>
        <w:rPr>
          <w:sz w:val="20"/>
        </w:rPr>
        <w:t>aquéllas</w:t>
      </w:r>
      <w:r>
        <w:rPr>
          <w:spacing w:val="-12"/>
          <w:sz w:val="20"/>
        </w:rPr>
        <w:t> </w:t>
      </w:r>
      <w:r>
        <w:rPr>
          <w:sz w:val="20"/>
        </w:rPr>
        <w:t>en</w:t>
      </w:r>
      <w:r>
        <w:rPr>
          <w:spacing w:val="-11"/>
          <w:sz w:val="20"/>
        </w:rPr>
        <w:t> </w:t>
      </w:r>
      <w:r>
        <w:rPr>
          <w:sz w:val="20"/>
        </w:rPr>
        <w:t>mayor</w:t>
      </w:r>
      <w:r>
        <w:rPr>
          <w:spacing w:val="-11"/>
          <w:sz w:val="20"/>
        </w:rPr>
        <w:t> </w:t>
      </w:r>
      <w:r>
        <w:rPr>
          <w:sz w:val="20"/>
        </w:rPr>
        <w:t>desven- taja (</w:t>
      </w:r>
      <w:r>
        <w:rPr>
          <w:color w:val="231F20"/>
          <w:sz w:val="22"/>
        </w:rPr>
        <w:t>Hernández y del Razo, </w:t>
      </w:r>
      <w:r>
        <w:rPr>
          <w:sz w:val="20"/>
        </w:rPr>
        <w:t>2004:</w:t>
      </w:r>
      <w:r>
        <w:rPr>
          <w:spacing w:val="-11"/>
          <w:sz w:val="20"/>
        </w:rPr>
        <w:t> </w:t>
      </w:r>
      <w:r>
        <w:rPr>
          <w:sz w:val="20"/>
        </w:rPr>
        <w:t>6).</w:t>
      </w:r>
    </w:p>
    <w:p>
      <w:pPr>
        <w:pStyle w:val="BodyText"/>
        <w:spacing w:line="247" w:lineRule="auto" w:before="165"/>
        <w:ind w:left="117" w:right="115" w:firstLine="283"/>
        <w:jc w:val="both"/>
      </w:pPr>
      <w:r>
        <w:rPr>
          <w:color w:val="231F20"/>
        </w:rPr>
        <w:t>Un</w:t>
      </w:r>
      <w:r>
        <w:rPr>
          <w:color w:val="231F20"/>
          <w:spacing w:val="-12"/>
        </w:rPr>
        <w:t> </w:t>
      </w:r>
      <w:r>
        <w:rPr>
          <w:color w:val="231F20"/>
        </w:rPr>
        <w:t>elemento</w:t>
      </w:r>
      <w:r>
        <w:rPr>
          <w:color w:val="231F20"/>
          <w:spacing w:val="-12"/>
        </w:rPr>
        <w:t> </w:t>
      </w:r>
      <w:r>
        <w:rPr>
          <w:color w:val="231F20"/>
        </w:rPr>
        <w:t>central</w:t>
      </w:r>
      <w:r>
        <w:rPr>
          <w:color w:val="231F20"/>
          <w:spacing w:val="-12"/>
        </w:rPr>
        <w:t> </w:t>
      </w:r>
      <w:r>
        <w:rPr>
          <w:color w:val="231F20"/>
        </w:rPr>
        <w:t>dentro</w:t>
      </w:r>
      <w:r>
        <w:rPr>
          <w:color w:val="231F20"/>
          <w:spacing w:val="-12"/>
        </w:rPr>
        <w:t> </w:t>
      </w:r>
      <w:r>
        <w:rPr>
          <w:color w:val="231F20"/>
        </w:rPr>
        <w:t>de</w:t>
      </w:r>
      <w:r>
        <w:rPr>
          <w:color w:val="231F20"/>
          <w:spacing w:val="-12"/>
        </w:rPr>
        <w:t> </w:t>
      </w:r>
      <w:r>
        <w:rPr>
          <w:color w:val="231F20"/>
        </w:rPr>
        <w:t>cualquier</w:t>
      </w:r>
      <w:r>
        <w:rPr>
          <w:color w:val="231F20"/>
          <w:spacing w:val="-12"/>
        </w:rPr>
        <w:t> </w:t>
      </w:r>
      <w:r>
        <w:rPr>
          <w:color w:val="231F20"/>
        </w:rPr>
        <w:t>concepto</w:t>
      </w:r>
      <w:r>
        <w:rPr>
          <w:color w:val="231F20"/>
          <w:spacing w:val="-12"/>
        </w:rPr>
        <w:t> </w:t>
      </w:r>
      <w:r>
        <w:rPr>
          <w:color w:val="231F20"/>
        </w:rPr>
        <w:t>o</w:t>
      </w:r>
      <w:r>
        <w:rPr>
          <w:color w:val="231F20"/>
          <w:spacing w:val="-12"/>
        </w:rPr>
        <w:t> </w:t>
      </w:r>
      <w:r>
        <w:rPr>
          <w:color w:val="231F20"/>
        </w:rPr>
        <w:t>tipología</w:t>
      </w:r>
      <w:r>
        <w:rPr>
          <w:color w:val="231F20"/>
          <w:spacing w:val="-12"/>
        </w:rPr>
        <w:t> </w:t>
      </w:r>
      <w:r>
        <w:rPr>
          <w:color w:val="231F20"/>
        </w:rPr>
        <w:t>es</w:t>
      </w:r>
      <w:r>
        <w:rPr>
          <w:color w:val="231F20"/>
          <w:spacing w:val="-12"/>
        </w:rPr>
        <w:t> </w:t>
      </w:r>
      <w:r>
        <w:rPr>
          <w:color w:val="231F20"/>
        </w:rPr>
        <w:t>la</w:t>
      </w:r>
      <w:r>
        <w:rPr>
          <w:color w:val="231F20"/>
          <w:spacing w:val="-12"/>
        </w:rPr>
        <w:t> </w:t>
      </w:r>
      <w:r>
        <w:rPr>
          <w:color w:val="231F20"/>
        </w:rPr>
        <w:t>iden- tificación de un nivel de vida que no puede ser alcanzado por un núme-   ro determinado de personas, lo que representa una adversidad totalmente inaceptable. La situación de pobreza no es de carácter voluntario, sino</w:t>
      </w:r>
      <w:r>
        <w:rPr>
          <w:color w:val="231F20"/>
          <w:spacing w:val="-26"/>
        </w:rPr>
        <w:t> </w:t>
      </w:r>
      <w:r>
        <w:rPr>
          <w:color w:val="231F20"/>
        </w:rPr>
        <w:t>im- puesto por el gran número de restricciones de acceso a aquello necesario para alcanzar un nivel de vida mínimo, en donde lo socialmente impres- cindible</w:t>
      </w:r>
      <w:r>
        <w:rPr>
          <w:color w:val="231F20"/>
          <w:spacing w:val="-5"/>
        </w:rPr>
        <w:t> </w:t>
      </w:r>
      <w:r>
        <w:rPr>
          <w:color w:val="231F20"/>
        </w:rPr>
        <w:t>dependerá</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perspectiva</w:t>
      </w:r>
      <w:r>
        <w:rPr>
          <w:color w:val="231F20"/>
          <w:spacing w:val="-4"/>
        </w:rPr>
        <w:t> </w:t>
      </w:r>
      <w:r>
        <w:rPr>
          <w:color w:val="231F20"/>
        </w:rPr>
        <w:t>teórica</w:t>
      </w:r>
      <w:r>
        <w:rPr>
          <w:color w:val="231F20"/>
          <w:spacing w:val="-5"/>
        </w:rPr>
        <w:t> </w:t>
      </w:r>
      <w:r>
        <w:rPr>
          <w:color w:val="231F20"/>
        </w:rPr>
        <w:t>en</w:t>
      </w:r>
      <w:r>
        <w:rPr>
          <w:color w:val="231F20"/>
          <w:spacing w:val="-4"/>
        </w:rPr>
        <w:t> </w:t>
      </w:r>
      <w:r>
        <w:rPr>
          <w:color w:val="231F20"/>
        </w:rPr>
        <w:t>la</w:t>
      </w:r>
      <w:r>
        <w:rPr>
          <w:color w:val="231F20"/>
          <w:spacing w:val="-4"/>
        </w:rPr>
        <w:t> </w:t>
      </w:r>
      <w:r>
        <w:rPr>
          <w:color w:val="231F20"/>
        </w:rPr>
        <w:t>que</w:t>
      </w:r>
      <w:r>
        <w:rPr>
          <w:color w:val="231F20"/>
          <w:spacing w:val="-4"/>
        </w:rPr>
        <w:t> </w:t>
      </w:r>
      <w:r>
        <w:rPr>
          <w:color w:val="231F20"/>
        </w:rPr>
        <w:t>gire</w:t>
      </w:r>
      <w:r>
        <w:rPr>
          <w:color w:val="231F20"/>
          <w:spacing w:val="-4"/>
        </w:rPr>
        <w:t> </w:t>
      </w:r>
      <w:r>
        <w:rPr>
          <w:color w:val="231F20"/>
        </w:rPr>
        <w:t>la</w:t>
      </w:r>
      <w:r>
        <w:rPr>
          <w:color w:val="231F20"/>
          <w:spacing w:val="-4"/>
        </w:rPr>
        <w:t> </w:t>
      </w:r>
      <w:r>
        <w:rPr>
          <w:color w:val="231F20"/>
        </w:rPr>
        <w:t>pobreza,</w:t>
      </w:r>
      <w:r>
        <w:rPr>
          <w:color w:val="231F20"/>
          <w:spacing w:val="-4"/>
        </w:rPr>
        <w:t> </w:t>
      </w:r>
      <w:r>
        <w:rPr>
          <w:color w:val="231F20"/>
        </w:rPr>
        <w:t>pero no así la noción de que es la falta de oportunidad y no el resultado lo que determina la posición de pobreza (De la </w:t>
      </w:r>
      <w:r>
        <w:rPr>
          <w:color w:val="231F20"/>
          <w:spacing w:val="-3"/>
        </w:rPr>
        <w:t>Torre, </w:t>
      </w:r>
      <w:r>
        <w:rPr>
          <w:color w:val="231F20"/>
        </w:rPr>
        <w:t>2005), lo que enfatiza más la ausencia de oportunidad para obtener un logro, que el logro</w:t>
      </w:r>
      <w:r>
        <w:rPr>
          <w:color w:val="231F20"/>
          <w:spacing w:val="-3"/>
        </w:rPr>
        <w:t> </w:t>
      </w:r>
      <w:r>
        <w:rPr>
          <w:color w:val="231F20"/>
        </w:rPr>
        <w:t>mismo.</w:t>
      </w:r>
    </w:p>
    <w:p>
      <w:pPr>
        <w:pStyle w:val="BodyText"/>
        <w:spacing w:line="247" w:lineRule="auto"/>
        <w:ind w:left="117" w:right="114" w:firstLine="283"/>
        <w:jc w:val="both"/>
      </w:pPr>
      <w:r>
        <w:rPr>
          <w:color w:val="231F20"/>
        </w:rPr>
        <w:t>Ahora bien, en virtud de que Oportunidades habla del desarrollo de ca- pacidades, se retomó la definición del CTMP, que señala que la privación de capacidades básicas es definida en el sentido postulado por Amartya Sen, que define el conjunto de estados que pueden alcanzar los individuos y que son considerados como indispensables para elegir proyectos de vida específicos (CTMP, 2002). Bajo la concepción anterior el estándar social se plantea a partir de lo que puede ser o hacer una persona y los activos.</w:t>
      </w:r>
    </w:p>
    <w:p>
      <w:pPr>
        <w:pStyle w:val="BodyText"/>
        <w:spacing w:line="247" w:lineRule="auto"/>
        <w:ind w:left="117" w:right="114" w:firstLine="283"/>
        <w:jc w:val="both"/>
      </w:pPr>
      <w:r>
        <w:rPr>
          <w:color w:val="231F20"/>
        </w:rPr>
        <w:t>El ingreso y los bienes de consumo sólo constituyen medios para al- canzar determinadas capacidades. Por su parte las características perso- nales y el contexto social definen la forma de transformar los insumos en capacidades específicas (CTMP, 2002). Por ende, el bienestar y las pautas de comportamiento percibidas son resultado de capacidades disponibles y de las preferencias individuales, por lo que no establecen por sí mismos una situación de pobreza. Esta reciente perspectiva se encuentra presente en Oportunidades, que de la mano de sus predecesores ha apelado por un diseño de una nueva política social acorde con el contexto, ello queda cla- ro en el siguiente cuadro comparativo de las políticas eje de las diversas administraciones.</w:t>
      </w:r>
    </w:p>
    <w:p>
      <w:pPr>
        <w:spacing w:after="0" w:line="247" w:lineRule="auto"/>
        <w:jc w:val="both"/>
        <w:sectPr>
          <w:pgSz w:w="9360" w:h="13040"/>
          <w:pgMar w:header="0" w:footer="496" w:top="740" w:bottom="680" w:left="1300" w:right="1300"/>
        </w:sectPr>
      </w:pPr>
    </w:p>
    <w:p>
      <w:pPr>
        <w:tabs>
          <w:tab w:pos="5536" w:val="left" w:leader="none"/>
        </w:tabs>
        <w:spacing w:before="48"/>
        <w:ind w:left="105" w:right="117" w:firstLine="0"/>
        <w:jc w:val="left"/>
        <w:rPr>
          <w:sz w:val="18"/>
        </w:rPr>
      </w:pPr>
      <w:r>
        <w:rPr/>
        <w:pict>
          <v:group style="position:absolute;margin-left:78.362831pt;margin-top:424.021881pt;width:111.85pt;height:38.75pt;mso-position-horizontal-relative:page;mso-position-vertical-relative:page;z-index:-638488" coordorigin="1567,8480" coordsize="2237,775">
            <v:line style="position:absolute" from="3537,8998" to="3730,8998" stroked="true" strokeweight="4.006271pt" strokecolor="#959595"/>
            <v:shape style="position:absolute;left:3583;top:8877;width:221;height:241" coordorigin="3583,8877" coordsize="221,241" path="m3583,9118l3583,8877,3803,8998,3583,9118xe" filled="true" fillcolor="#959595" stroked="false">
              <v:path arrowok="t"/>
              <v:fill type="solid"/>
            </v:shape>
            <v:rect style="position:absolute;left:1573;top:8486;width:1972;height:763" filled="false" stroked="true" strokeweight=".594398pt" strokecolor="#000000"/>
            <v:shape style="position:absolute;left:1573;top:8486;width:1973;height:763" type="#_x0000_t202" filled="false" stroked="false">
              <v:textbox inset="0,0,0,0">
                <w:txbxContent>
                  <w:p>
                    <w:pPr>
                      <w:spacing w:line="261" w:lineRule="auto" w:before="69"/>
                      <w:ind w:left="589" w:right="18" w:hanging="447"/>
                      <w:jc w:val="left"/>
                      <w:rPr>
                        <w:sz w:val="15"/>
                      </w:rPr>
                    </w:pPr>
                    <w:r>
                      <w:rPr>
                        <w:sz w:val="15"/>
                      </w:rPr>
                      <w:t>Beneficios determinados por la comunidad</w:t>
                    </w:r>
                  </w:p>
                </w:txbxContent>
              </v:textbox>
              <w10:wrap type="none"/>
            </v:shape>
            <w10:wrap type="none"/>
          </v:group>
        </w:pict>
      </w:r>
      <w:r>
        <w:rPr/>
        <w:pict>
          <v:group style="position:absolute;margin-left:287.934509pt;margin-top:424.321808pt;width:108.05pt;height:38.15pt;mso-position-horizontal-relative:page;mso-position-vertical-relative:page;z-index:-638392" coordorigin="5759,8486" coordsize="2161,763">
            <v:shape style="position:absolute;left:5759;top:8877;width:221;height:241" coordorigin="5759,8877" coordsize="221,241" path="m5759,9118l5759,8877,5979,8998,5759,9118xe" filled="true" fillcolor="#959595" stroked="false">
              <v:path arrowok="t"/>
              <v:fill type="solid"/>
            </v:shape>
            <v:rect style="position:absolute;left:5947;top:8486;width:1972;height:763" filled="true" fillcolor="#ffffff" stroked="false">
              <v:fill type="solid"/>
            </v:rect>
            <w10:wrap type="none"/>
          </v:group>
        </w:pict>
      </w: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9"/>
        <w:rPr>
          <w:sz w:val="29"/>
        </w:rPr>
      </w:pPr>
    </w:p>
    <w:p>
      <w:pPr>
        <w:spacing w:before="0"/>
        <w:ind w:left="791" w:right="117" w:firstLine="0"/>
        <w:jc w:val="left"/>
        <w:rPr>
          <w:sz w:val="15"/>
        </w:rPr>
      </w:pPr>
      <w:r>
        <w:rPr/>
        <w:pict>
          <v:group style="position:absolute;margin-left:121.659348pt;margin-top:24.566671pt;width:94.65pt;height:10.4pt;mso-position-horizontal-relative:page;mso-position-vertical-relative:paragraph;z-index:-638728" coordorigin="2433,491" coordsize="1893,208">
            <v:shape style="position:absolute;left:2433;top:491;width:1893;height:169" type="#_x0000_t75" stroked="false">
              <v:imagedata r:id="rId174" o:title=""/>
            </v:shape>
            <v:shape style="position:absolute;left:2433;top:491;width:1893;height:208" type="#_x0000_t202" filled="false" stroked="false">
              <v:textbox inset="0,0,0,0">
                <w:txbxContent>
                  <w:p>
                    <w:pPr>
                      <w:spacing w:line="200" w:lineRule="exact" w:before="7"/>
                      <w:ind w:left="670" w:right="671" w:firstLine="0"/>
                      <w:jc w:val="center"/>
                      <w:rPr>
                        <w:rFonts w:ascii="Calibri" w:hAnsi="Calibri"/>
                        <w:sz w:val="17"/>
                      </w:rPr>
                    </w:pPr>
                    <w:r>
                      <w:rPr>
                        <w:rFonts w:ascii="Calibri" w:hAnsi="Calibri"/>
                        <w:w w:val="95"/>
                        <w:sz w:val="17"/>
                      </w:rPr>
                      <w:t>12 años</w:t>
                    </w:r>
                  </w:p>
                </w:txbxContent>
              </v:textbox>
              <w10:wrap type="none"/>
            </v:shape>
            <w10:wrap type="none"/>
          </v:group>
        </w:pict>
      </w:r>
      <w:r>
        <w:rPr/>
        <w:pict>
          <v:group style="position:absolute;margin-left:297.872284pt;margin-top:24.373671pt;width:55.7pt;height:10.4pt;mso-position-horizontal-relative:page;mso-position-vertical-relative:paragraph;z-index:-638680" coordorigin="5957,487" coordsize="1114,208">
            <v:shape style="position:absolute;left:5957;top:487;width:1114;height:173" type="#_x0000_t75" stroked="false">
              <v:imagedata r:id="rId175" o:title=""/>
            </v:shape>
            <v:shape style="position:absolute;left:5957;top:487;width:1114;height:208" type="#_x0000_t202" filled="false" stroked="false">
              <v:textbox inset="0,0,0,0">
                <w:txbxContent>
                  <w:p>
                    <w:pPr>
                      <w:spacing w:line="200" w:lineRule="exact" w:before="7"/>
                      <w:ind w:left="341" w:right="0" w:firstLine="0"/>
                      <w:jc w:val="left"/>
                      <w:rPr>
                        <w:rFonts w:ascii="Calibri" w:hAnsi="Calibri"/>
                        <w:sz w:val="17"/>
                      </w:rPr>
                    </w:pPr>
                    <w:r>
                      <w:rPr>
                        <w:rFonts w:ascii="Calibri" w:hAnsi="Calibri"/>
                        <w:w w:val="95"/>
                        <w:sz w:val="17"/>
                      </w:rPr>
                      <w:t>6 años</w:t>
                    </w:r>
                  </w:p>
                </w:txbxContent>
              </v:textbox>
              <w10:wrap type="none"/>
            </v:shape>
            <w10:wrap type="none"/>
          </v:group>
        </w:pict>
      </w:r>
      <w:r>
        <w:rPr/>
        <w:pict>
          <v:group style="position:absolute;margin-left:78.362831pt;margin-top:115.898041pt;width:111.85pt;height:79.850pt;mso-position-horizontal-relative:page;mso-position-vertical-relative:paragraph;z-index:-638632" coordorigin="1567,2318" coordsize="2237,1597">
            <v:line style="position:absolute" from="3537,3638" to="3730,3638" stroked="true" strokeweight="4.006271pt" strokecolor="#959595"/>
            <v:shape style="position:absolute;left:3583;top:3518;width:221;height:241" coordorigin="3583,3518" coordsize="221,241" path="m3583,3758l3583,3518,3803,3638,3583,3758xe" filled="true" fillcolor="#959595" stroked="false">
              <v:path arrowok="t"/>
              <v:fill type="solid"/>
            </v:shape>
            <v:rect style="position:absolute;left:1573;top:2324;width:1972;height:1584" filled="false" stroked="true" strokeweight=".581225pt" strokecolor="#000000"/>
            <v:shape style="position:absolute;left:1573;top:2324;width:1973;height:1585" type="#_x0000_t202" filled="false" stroked="false">
              <v:textbox inset="0,0,0,0">
                <w:txbxContent>
                  <w:p>
                    <w:pPr>
                      <w:spacing w:line="256" w:lineRule="auto" w:before="68"/>
                      <w:ind w:left="142" w:right="140" w:firstLine="1"/>
                      <w:jc w:val="center"/>
                      <w:rPr>
                        <w:sz w:val="15"/>
                      </w:rPr>
                    </w:pPr>
                    <w:r>
                      <w:rPr>
                        <w:sz w:val="15"/>
                      </w:rPr>
                      <w:t>Buscar</w:t>
                    </w:r>
                    <w:r>
                      <w:rPr>
                        <w:spacing w:val="-16"/>
                        <w:sz w:val="15"/>
                      </w:rPr>
                      <w:t> </w:t>
                    </w:r>
                    <w:r>
                      <w:rPr>
                        <w:sz w:val="15"/>
                      </w:rPr>
                      <w:t>modificar</w:t>
                    </w:r>
                    <w:r>
                      <w:rPr>
                        <w:spacing w:val="-16"/>
                        <w:sz w:val="15"/>
                      </w:rPr>
                      <w:t> </w:t>
                    </w:r>
                    <w:r>
                      <w:rPr>
                        <w:sz w:val="15"/>
                      </w:rPr>
                      <w:t>relaciones entre</w:t>
                    </w:r>
                    <w:r>
                      <w:rPr>
                        <w:spacing w:val="-11"/>
                        <w:sz w:val="15"/>
                      </w:rPr>
                      <w:t> </w:t>
                    </w:r>
                    <w:r>
                      <w:rPr>
                        <w:sz w:val="15"/>
                      </w:rPr>
                      <w:t>sociedad</w:t>
                    </w:r>
                    <w:r>
                      <w:rPr>
                        <w:spacing w:val="-11"/>
                        <w:sz w:val="15"/>
                      </w:rPr>
                      <w:t> </w:t>
                    </w:r>
                    <w:r>
                      <w:rPr>
                        <w:sz w:val="15"/>
                      </w:rPr>
                      <w:t>civil</w:t>
                    </w:r>
                    <w:r>
                      <w:rPr>
                        <w:spacing w:val="-12"/>
                        <w:sz w:val="15"/>
                      </w:rPr>
                      <w:t> </w:t>
                    </w:r>
                    <w:r>
                      <w:rPr>
                        <w:sz w:val="15"/>
                      </w:rPr>
                      <w:t>y</w:t>
                    </w:r>
                    <w:r>
                      <w:rPr>
                        <w:spacing w:val="-11"/>
                        <w:sz w:val="15"/>
                      </w:rPr>
                      <w:t> </w:t>
                    </w:r>
                    <w:r>
                      <w:rPr>
                        <w:sz w:val="15"/>
                      </w:rPr>
                      <w:t>Estado con énfasis en el desarrollo regional y prioridad para acciones en las áreas marginales</w:t>
                    </w:r>
                  </w:p>
                </w:txbxContent>
              </v:textbox>
              <w10:wrap type="none"/>
            </v:shape>
            <w10:wrap type="none"/>
          </v:group>
        </w:pict>
      </w:r>
      <w:r>
        <w:rPr/>
        <w:pict>
          <v:group style="position:absolute;margin-left:287.934509pt;margin-top:116.197968pt;width:108.05pt;height:79.25pt;mso-position-horizontal-relative:page;mso-position-vertical-relative:paragraph;z-index:-638464" coordorigin="5759,2324" coordsize="2161,1585">
            <v:shape style="position:absolute;left:5759;top:3518;width:221;height:241" coordorigin="5759,3518" coordsize="221,241" path="m5759,3758l5759,3518,5979,3638,5759,3758xe" filled="true" fillcolor="#959595" stroked="false">
              <v:path arrowok="t"/>
              <v:fill type="solid"/>
            </v:shape>
            <v:rect style="position:absolute;left:5947;top:2324;width:1972;height:1584" filled="true" fillcolor="#ffffff" stroked="false">
              <v:fill type="solid"/>
            </v:rect>
            <w10:wrap type="none"/>
          </v:group>
        </w:pict>
      </w:r>
      <w:r>
        <w:rPr>
          <w:sz w:val="15"/>
        </w:rPr>
        <w:t>Cuadro 1. Antecedentes del Programa Oportunidades</w:t>
      </w:r>
    </w:p>
    <w:p>
      <w:pPr>
        <w:pStyle w:val="BodyText"/>
        <w:rPr>
          <w:sz w:val="20"/>
        </w:rPr>
      </w:pPr>
    </w:p>
    <w:p>
      <w:pPr>
        <w:pStyle w:val="BodyText"/>
        <w:spacing w:before="9"/>
        <w:rPr>
          <w:sz w:val="12"/>
        </w:rPr>
      </w:pPr>
      <w:r>
        <w:rPr/>
        <w:pict>
          <v:group style="position:absolute;margin-left:78.137833pt;margin-top:9.344647pt;width:318.3pt;height:15.3pt;mso-position-horizontal-relative:page;mso-position-vertical-relative:paragraph;z-index:5488;mso-wrap-distance-left:0;mso-wrap-distance-right:0" coordorigin="1563,187" coordsize="6366,306">
            <v:line style="position:absolute" from="1573,196" to="1573,482" stroked="true" strokeweight=".917778pt" strokecolor="#000000"/>
            <v:line style="position:absolute" from="5698,196" to="5698,482" stroked="true" strokeweight=".917778pt" strokecolor="#000000"/>
            <v:line style="position:absolute" from="7242,196" to="7242,482" stroked="true" strokeweight=".917778pt" strokecolor="#000000"/>
            <v:line style="position:absolute" from="1573,382" to="7899,382" stroked="true" strokeweight="1.001568pt" strokecolor="#000000"/>
            <v:shape style="position:absolute;left:7840;top:334;width:89;height:97" coordorigin="7840,334" coordsize="89,97" path="m7840,430l7840,334,7928,382,7840,430xe" filled="true" fillcolor="#000000" stroked="false">
              <v:path arrowok="t"/>
              <v:fill type="solid"/>
            </v:shape>
            <w10:wrap type="topAndBottom"/>
          </v:group>
        </w:pict>
      </w:r>
      <w:r>
        <w:rPr/>
        <w:pict>
          <v:shape style="position:absolute;margin-left:78.662834pt;margin-top:35.860413pt;width:98.65pt;height:43.1pt;mso-position-horizontal-relative:page;mso-position-vertical-relative:paragraph;z-index:5512;mso-wrap-distance-left:0;mso-wrap-distance-right:0" type="#_x0000_t202" filled="false" stroked="true" strokeweight=".594pt" strokecolor="#000000">
            <v:textbox inset="0,0,0,0">
              <w:txbxContent>
                <w:p>
                  <w:pPr>
                    <w:spacing w:before="63"/>
                    <w:ind w:left="158" w:right="158" w:firstLine="0"/>
                    <w:jc w:val="center"/>
                    <w:rPr>
                      <w:b/>
                      <w:sz w:val="15"/>
                    </w:rPr>
                  </w:pPr>
                  <w:r>
                    <w:rPr>
                      <w:b/>
                      <w:sz w:val="15"/>
                    </w:rPr>
                    <w:t>PRONASOL</w:t>
                  </w:r>
                </w:p>
                <w:p>
                  <w:pPr>
                    <w:spacing w:line="261" w:lineRule="auto" w:before="12"/>
                    <w:ind w:left="256" w:right="253" w:hanging="2"/>
                    <w:jc w:val="center"/>
                    <w:rPr>
                      <w:sz w:val="15"/>
                    </w:rPr>
                  </w:pPr>
                  <w:r>
                    <w:rPr>
                      <w:sz w:val="15"/>
                    </w:rPr>
                    <w:t>Programa Nacional de </w:t>
                  </w:r>
                  <w:r>
                    <w:rPr>
                      <w:w w:val="95"/>
                      <w:sz w:val="15"/>
                    </w:rPr>
                    <w:t>Solidaridad  (1989-1994)</w:t>
                  </w:r>
                </w:p>
              </w:txbxContent>
            </v:textbox>
            <w10:wrap type="topAndBottom"/>
          </v:shape>
        </w:pict>
      </w:r>
      <w:r>
        <w:rPr/>
        <w:pict>
          <v:shape style="position:absolute;margin-left:190.15451pt;margin-top:35.860413pt;width:94.35pt;height:43.1pt;mso-position-horizontal-relative:page;mso-position-vertical-relative:paragraph;z-index:5536;mso-wrap-distance-left:0;mso-wrap-distance-right:0" type="#_x0000_t202" filled="false" stroked="true" strokeweight=".593449pt" strokecolor="#000000">
            <v:textbox inset="0,0,0,0">
              <w:txbxContent>
                <w:p>
                  <w:pPr>
                    <w:spacing w:before="63"/>
                    <w:ind w:left="190" w:right="189" w:firstLine="0"/>
                    <w:jc w:val="center"/>
                    <w:rPr>
                      <w:b/>
                      <w:sz w:val="15"/>
                    </w:rPr>
                  </w:pPr>
                  <w:r>
                    <w:rPr>
                      <w:b/>
                      <w:sz w:val="15"/>
                    </w:rPr>
                    <w:t>PROGRESA</w:t>
                  </w:r>
                </w:p>
                <w:p>
                  <w:pPr>
                    <w:spacing w:line="256" w:lineRule="auto" w:before="12"/>
                    <w:ind w:left="195" w:right="189" w:firstLine="0"/>
                    <w:jc w:val="center"/>
                    <w:rPr>
                      <w:sz w:val="15"/>
                    </w:rPr>
                  </w:pPr>
                  <w:r>
                    <w:rPr>
                      <w:sz w:val="15"/>
                    </w:rPr>
                    <w:t>Programa de Educación, Salud y Alimentación (1997-2001)</w:t>
                  </w:r>
                </w:p>
              </w:txbxContent>
            </v:textbox>
            <w10:wrap type="topAndBottom"/>
          </v:shape>
        </w:pict>
      </w:r>
      <w:r>
        <w:rPr/>
        <w:pict>
          <v:shape style="position:absolute;margin-left:297.350983pt;margin-top:35.860413pt;width:98.65pt;height:43.1pt;mso-position-horizontal-relative:page;mso-position-vertical-relative:paragraph;z-index:5560;mso-wrap-distance-left:0;mso-wrap-distance-right:0" type="#_x0000_t202" filled="false" stroked="true" strokeweight=".594pt" strokecolor="#000000">
            <v:textbox inset="0,0,0,0">
              <w:txbxContent>
                <w:p>
                  <w:pPr>
                    <w:spacing w:before="63"/>
                    <w:ind w:left="335" w:right="18" w:firstLine="0"/>
                    <w:jc w:val="left"/>
                    <w:rPr>
                      <w:b/>
                      <w:sz w:val="15"/>
                    </w:rPr>
                  </w:pPr>
                  <w:r>
                    <w:rPr>
                      <w:b/>
                      <w:sz w:val="15"/>
                    </w:rPr>
                    <w:t>OPORTUNIDADES</w:t>
                  </w:r>
                </w:p>
                <w:p>
                  <w:pPr>
                    <w:spacing w:line="261" w:lineRule="auto" w:before="12"/>
                    <w:ind w:left="293" w:right="18" w:hanging="15"/>
                    <w:jc w:val="left"/>
                    <w:rPr>
                      <w:sz w:val="15"/>
                    </w:rPr>
                  </w:pPr>
                  <w:r>
                    <w:rPr>
                      <w:sz w:val="15"/>
                    </w:rPr>
                    <w:t>Programa de Desarrollo </w:t>
                  </w:r>
                  <w:r>
                    <w:rPr>
                      <w:w w:val="95"/>
                      <w:sz w:val="15"/>
                    </w:rPr>
                    <w:t>Humano (2002-2007…</w:t>
                  </w:r>
                </w:p>
              </w:txbxContent>
            </v:textbox>
            <w10:wrap type="topAndBottom"/>
          </v:shape>
        </w:pict>
      </w:r>
    </w:p>
    <w:p>
      <w:pPr>
        <w:pStyle w:val="BodyText"/>
        <w:spacing w:before="1"/>
        <w:rPr>
          <w:sz w:val="13"/>
        </w:rPr>
      </w:pPr>
    </w:p>
    <w:p>
      <w:pPr>
        <w:pStyle w:val="BodyText"/>
        <w:spacing w:before="3"/>
        <w:rPr>
          <w:sz w:val="26"/>
        </w:rPr>
      </w:pPr>
    </w:p>
    <w:tbl>
      <w:tblPr>
        <w:tblW w:w="0" w:type="auto"/>
        <w:jc w:val="left"/>
        <w:tblInd w:w="249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886"/>
        <w:gridCol w:w="258"/>
        <w:gridCol w:w="1972"/>
      </w:tblGrid>
      <w:tr>
        <w:trPr>
          <w:trHeight w:val="1314" w:hRule="exact"/>
        </w:trPr>
        <w:tc>
          <w:tcPr>
            <w:tcW w:w="1886" w:type="dxa"/>
            <w:vMerge w:val="restart"/>
          </w:tcPr>
          <w:p>
            <w:pPr>
              <w:pStyle w:val="TableParagraph"/>
              <w:spacing w:line="295" w:lineRule="auto" w:before="66"/>
              <w:ind w:left="121" w:right="116"/>
              <w:jc w:val="center"/>
              <w:rPr>
                <w:sz w:val="15"/>
              </w:rPr>
            </w:pPr>
            <w:r>
              <w:rPr>
                <w:sz w:val="15"/>
              </w:rPr>
              <w:t>Surge como alternativa del PRONASOL. Su objetivo: promover la acumulación de capital humano de la </w:t>
            </w:r>
            <w:r>
              <w:rPr>
                <w:w w:val="95"/>
                <w:sz w:val="15"/>
              </w:rPr>
              <w:t>población pobre.</w:t>
            </w:r>
          </w:p>
          <w:p>
            <w:pPr>
              <w:pStyle w:val="TableParagraph"/>
              <w:spacing w:line="295" w:lineRule="auto"/>
              <w:ind w:left="112" w:right="106"/>
              <w:jc w:val="center"/>
              <w:rPr>
                <w:sz w:val="15"/>
              </w:rPr>
            </w:pPr>
            <w:r>
              <w:rPr>
                <w:sz w:val="15"/>
              </w:rPr>
              <w:t>Generación de capacidades</w:t>
            </w:r>
            <w:r>
              <w:rPr>
                <w:w w:val="96"/>
                <w:sz w:val="15"/>
              </w:rPr>
              <w:t> </w:t>
            </w:r>
            <w:r>
              <w:rPr>
                <w:w w:val="95"/>
                <w:sz w:val="15"/>
              </w:rPr>
              <w:t>básicas. Transferencias</w:t>
            </w:r>
          </w:p>
        </w:tc>
        <w:tc>
          <w:tcPr>
            <w:tcW w:w="258" w:type="dxa"/>
            <w:tcBorders>
              <w:top w:val="nil"/>
              <w:bottom w:val="single" w:sz="32" w:space="0" w:color="959595"/>
            </w:tcBorders>
          </w:tcPr>
          <w:p>
            <w:pPr/>
          </w:p>
        </w:tc>
        <w:tc>
          <w:tcPr>
            <w:tcW w:w="1972" w:type="dxa"/>
            <w:vMerge w:val="restart"/>
          </w:tcPr>
          <w:p>
            <w:pPr>
              <w:pStyle w:val="TableParagraph"/>
              <w:spacing w:line="256" w:lineRule="auto" w:before="62"/>
              <w:ind w:left="126" w:right="123" w:hanging="2"/>
              <w:jc w:val="center"/>
              <w:rPr>
                <w:sz w:val="15"/>
              </w:rPr>
            </w:pPr>
            <w:r>
              <w:rPr>
                <w:sz w:val="15"/>
              </w:rPr>
              <w:t>Fortalecimiento del PROGRESA con nuevas acciones: ampliación del acceso a oportunidades de desarrollo</w:t>
            </w:r>
            <w:r>
              <w:rPr>
                <w:spacing w:val="-15"/>
                <w:sz w:val="15"/>
              </w:rPr>
              <w:t> </w:t>
            </w:r>
            <w:r>
              <w:rPr>
                <w:sz w:val="15"/>
              </w:rPr>
              <w:t>más</w:t>
            </w:r>
            <w:r>
              <w:rPr>
                <w:spacing w:val="-15"/>
                <w:sz w:val="15"/>
              </w:rPr>
              <w:t> </w:t>
            </w:r>
            <w:r>
              <w:rPr>
                <w:sz w:val="15"/>
              </w:rPr>
              <w:t>promoción</w:t>
            </w:r>
            <w:r>
              <w:rPr>
                <w:spacing w:val="-15"/>
                <w:sz w:val="15"/>
              </w:rPr>
              <w:t> </w:t>
            </w:r>
            <w:r>
              <w:rPr>
                <w:sz w:val="15"/>
              </w:rPr>
              <w:t>de la</w:t>
            </w:r>
            <w:r>
              <w:rPr>
                <w:spacing w:val="-12"/>
                <w:sz w:val="15"/>
              </w:rPr>
              <w:t> </w:t>
            </w:r>
            <w:r>
              <w:rPr>
                <w:sz w:val="15"/>
              </w:rPr>
              <w:t>participación</w:t>
            </w:r>
            <w:r>
              <w:rPr>
                <w:spacing w:val="-12"/>
                <w:sz w:val="15"/>
              </w:rPr>
              <w:t> </w:t>
            </w:r>
            <w:r>
              <w:rPr>
                <w:sz w:val="15"/>
              </w:rPr>
              <w:t>ciudadana</w:t>
            </w:r>
            <w:r>
              <w:rPr>
                <w:spacing w:val="-12"/>
                <w:sz w:val="15"/>
              </w:rPr>
              <w:t> </w:t>
            </w:r>
            <w:r>
              <w:rPr>
                <w:sz w:val="15"/>
              </w:rPr>
              <w:t>y </w:t>
            </w:r>
            <w:r>
              <w:rPr>
                <w:w w:val="95"/>
                <w:sz w:val="15"/>
              </w:rPr>
              <w:t>la</w:t>
            </w:r>
            <w:r>
              <w:rPr>
                <w:spacing w:val="20"/>
                <w:w w:val="95"/>
                <w:sz w:val="15"/>
              </w:rPr>
              <w:t> </w:t>
            </w:r>
            <w:r>
              <w:rPr>
                <w:w w:val="95"/>
                <w:sz w:val="15"/>
              </w:rPr>
              <w:t>transparencia</w:t>
            </w:r>
          </w:p>
        </w:tc>
      </w:tr>
      <w:tr>
        <w:trPr>
          <w:trHeight w:val="270" w:hRule="exact"/>
        </w:trPr>
        <w:tc>
          <w:tcPr>
            <w:tcW w:w="1886" w:type="dxa"/>
            <w:vMerge/>
          </w:tcPr>
          <w:p>
            <w:pPr/>
          </w:p>
        </w:tc>
        <w:tc>
          <w:tcPr>
            <w:tcW w:w="258" w:type="dxa"/>
            <w:tcBorders>
              <w:top w:val="single" w:sz="32" w:space="0" w:color="959595"/>
              <w:bottom w:val="nil"/>
            </w:tcBorders>
          </w:tcPr>
          <w:p>
            <w:pPr/>
          </w:p>
        </w:tc>
        <w:tc>
          <w:tcPr>
            <w:tcW w:w="1972" w:type="dxa"/>
            <w:vMerge/>
            <w:tcBorders>
              <w:bottom w:val="nil"/>
            </w:tcBorders>
          </w:tcPr>
          <w:p>
            <w:pPr/>
          </w:p>
        </w:tc>
      </w:tr>
    </w:tbl>
    <w:p>
      <w:pPr>
        <w:pStyle w:val="BodyText"/>
        <w:spacing w:before="4"/>
        <w:rPr>
          <w:sz w:val="6"/>
        </w:rPr>
      </w:pPr>
    </w:p>
    <w:p>
      <w:pPr>
        <w:pStyle w:val="BodyText"/>
        <w:ind w:left="207"/>
        <w:rPr>
          <w:sz w:val="20"/>
        </w:rPr>
      </w:pPr>
      <w:r>
        <w:rPr>
          <w:sz w:val="20"/>
        </w:rPr>
        <w:pict>
          <v:group style="width:321.6pt;height:28.85pt;mso-position-horizontal-relative:char;mso-position-vertical-relative:line" coordorigin="0,0" coordsize="6432,577">
            <v:rect style="position:absolute;left:0;top:0;width:6432;height:577" filled="true" fillcolor="#ffffff" stroked="false">
              <v:fill type="solid"/>
            </v:rect>
            <v:shape style="position:absolute;left:0;top:0;width:6432;height:577" type="#_x0000_t202" filled="false" stroked="false">
              <v:textbox inset="0,0,0,0">
                <w:txbxContent>
                  <w:p>
                    <w:pPr>
                      <w:spacing w:before="59"/>
                      <w:ind w:left="107" w:right="0" w:firstLine="0"/>
                      <w:jc w:val="left"/>
                      <w:rPr>
                        <w:rFonts w:ascii="Arial" w:hAnsi="Arial"/>
                        <w:sz w:val="12"/>
                      </w:rPr>
                    </w:pPr>
                    <w:r>
                      <w:rPr>
                        <w:rFonts w:ascii="Arial" w:hAnsi="Arial"/>
                        <w:sz w:val="12"/>
                      </w:rPr>
                      <w:t>Fuente: Oportunidades (2007), </w:t>
                    </w:r>
                    <w:r>
                      <w:rPr>
                        <w:rFonts w:ascii="Arial" w:hAnsi="Arial"/>
                        <w:i/>
                        <w:sz w:val="12"/>
                      </w:rPr>
                      <w:t>El papel del Programa Oportunidades en la Cohesión social, SEDESOL</w:t>
                    </w:r>
                    <w:r>
                      <w:rPr>
                        <w:rFonts w:ascii="Arial" w:hAnsi="Arial"/>
                        <w:sz w:val="12"/>
                      </w:rPr>
                      <w:t>, México.</w:t>
                    </w:r>
                  </w:p>
                </w:txbxContent>
              </v:textbox>
              <w10:wrap type="none"/>
            </v:shape>
          </v:group>
        </w:pict>
      </w:r>
      <w:r>
        <w:rPr>
          <w:sz w:val="20"/>
        </w:rPr>
      </w:r>
    </w:p>
    <w:p>
      <w:pPr>
        <w:spacing w:before="57"/>
        <w:ind w:left="2518" w:right="117" w:firstLine="0"/>
        <w:jc w:val="left"/>
        <w:rPr>
          <w:sz w:val="15"/>
        </w:rPr>
      </w:pPr>
      <w:r>
        <w:rPr/>
        <w:pict>
          <v:shape style="position:absolute;margin-left:75.359123pt;margin-top:-30.466955pt;width:321.6pt;height:28.85pt;mso-position-horizontal-relative:page;mso-position-vertical-relative:paragraph;z-index:-638776" type="#_x0000_t202" filled="false" stroked="false">
            <v:textbox inset="0,0,0,0">
              <w:txbxContent>
                <w:p>
                  <w:pPr>
                    <w:pStyle w:val="BodyText"/>
                    <w:spacing w:before="10"/>
                    <w:rPr>
                      <w:rFonts w:ascii="Arial"/>
                      <w:sz w:val="19"/>
                    </w:rPr>
                  </w:pPr>
                </w:p>
                <w:p>
                  <w:pPr>
                    <w:spacing w:before="0"/>
                    <w:ind w:left="2661" w:right="0" w:firstLine="0"/>
                    <w:jc w:val="left"/>
                    <w:rPr>
                      <w:b/>
                      <w:sz w:val="19"/>
                    </w:rPr>
                  </w:pPr>
                  <w:r>
                    <w:rPr>
                      <w:b/>
                      <w:w w:val="90"/>
                      <w:sz w:val="19"/>
                    </w:rPr>
                    <w:t>Cuadro 1. Continuación</w:t>
                  </w:r>
                </w:p>
              </w:txbxContent>
            </v:textbox>
            <w10:wrap type="none"/>
          </v:shape>
        </w:pict>
      </w:r>
      <w:r>
        <w:rPr/>
        <w:pict>
          <v:group style="position:absolute;margin-left:78.362831pt;margin-top:26.122175pt;width:111.85pt;height:36.7pt;mso-position-horizontal-relative:page;mso-position-vertical-relative:paragraph;z-index:-638584" coordorigin="1567,522" coordsize="2237,734">
            <v:line style="position:absolute" from="3537,1040" to="3730,1040" stroked="true" strokeweight="4.006271pt" strokecolor="#959595"/>
            <v:shape style="position:absolute;left:3583;top:919;width:221;height:241" coordorigin="3583,919" coordsize="221,241" path="m3583,1160l3583,919,3803,1040,3583,1160xe" filled="true" fillcolor="#959595" stroked="false">
              <v:path arrowok="t"/>
              <v:fill type="solid"/>
            </v:shape>
            <v:rect style="position:absolute;left:1573;top:528;width:1972;height:721" filled="false" stroked="true" strokeweight=".595011pt" strokecolor="#000000"/>
            <v:shape style="position:absolute;left:1573;top:528;width:1973;height:722" type="#_x0000_t202" filled="false" stroked="false">
              <v:textbox inset="0,0,0,0">
                <w:txbxContent>
                  <w:p>
                    <w:pPr>
                      <w:spacing w:before="74"/>
                      <w:ind w:left="171" w:right="18" w:firstLine="0"/>
                      <w:jc w:val="left"/>
                      <w:rPr>
                        <w:sz w:val="15"/>
                      </w:rPr>
                    </w:pPr>
                    <w:r>
                      <w:rPr>
                        <w:sz w:val="15"/>
                      </w:rPr>
                      <w:t>Focalizado en comunidades</w:t>
                    </w:r>
                  </w:p>
                </w:txbxContent>
              </v:textbox>
              <w10:wrap type="none"/>
            </v:shape>
            <w10:wrap type="none"/>
          </v:group>
        </w:pict>
      </w:r>
      <w:r>
        <w:rPr/>
        <w:pict>
          <v:group style="position:absolute;margin-left:78.362831pt;margin-top:73.476303pt;width:111.85pt;height:36.7pt;mso-position-horizontal-relative:page;mso-position-vertical-relative:paragraph;z-index:-638536" coordorigin="1567,1470" coordsize="2237,734">
            <v:line style="position:absolute" from="3537,1987" to="3730,1987" stroked="true" strokeweight="4.006271pt" strokecolor="#959595"/>
            <v:shape style="position:absolute;left:3583;top:1867;width:221;height:241" coordorigin="3583,1867" coordsize="221,241" path="m3583,2107l3583,1867,3803,1987,3583,2107xe" filled="true" fillcolor="#959595" stroked="false">
              <v:path arrowok="t"/>
              <v:fill type="solid"/>
            </v:shape>
            <v:rect style="position:absolute;left:1573;top:1476;width:1972;height:721" filled="false" stroked="true" strokeweight=".595011pt" strokecolor="#000000"/>
            <v:shape style="position:absolute;left:1573;top:1476;width:1973;height:722" type="#_x0000_t202" filled="false" stroked="false">
              <v:textbox inset="0,0,0,0">
                <w:txbxContent>
                  <w:p>
                    <w:pPr>
                      <w:spacing w:line="259" w:lineRule="auto" w:before="70"/>
                      <w:ind w:left="419" w:right="418" w:firstLine="1"/>
                      <w:jc w:val="center"/>
                      <w:rPr>
                        <w:sz w:val="15"/>
                      </w:rPr>
                    </w:pPr>
                    <w:r>
                      <w:rPr>
                        <w:sz w:val="15"/>
                      </w:rPr>
                      <w:t>Identificación de beneficiarios por</w:t>
                    </w:r>
                    <w:r>
                      <w:rPr>
                        <w:spacing w:val="-30"/>
                        <w:sz w:val="15"/>
                      </w:rPr>
                      <w:t> </w:t>
                    </w:r>
                    <w:r>
                      <w:rPr>
                        <w:sz w:val="15"/>
                      </w:rPr>
                      <w:t>la comunidad</w:t>
                    </w:r>
                  </w:p>
                </w:txbxContent>
              </v:textbox>
              <w10:wrap type="none"/>
            </v:shape>
            <w10:wrap type="none"/>
          </v:group>
        </w:pict>
      </w:r>
      <w:r>
        <w:rPr/>
        <w:pict>
          <v:group style="position:absolute;margin-left:287.934509pt;margin-top:26.422098pt;width:108.05pt;height:36.1pt;mso-position-horizontal-relative:page;mso-position-vertical-relative:paragraph;z-index:-638440" coordorigin="5759,528" coordsize="2161,722">
            <v:shape style="position:absolute;left:5759;top:919;width:221;height:241" coordorigin="5759,919" coordsize="221,241" path="m5759,1160l5759,919,5979,1040,5759,1160xe" filled="true" fillcolor="#959595" stroked="false">
              <v:path arrowok="t"/>
              <v:fill type="solid"/>
            </v:shape>
            <v:rect style="position:absolute;left:5947;top:528;width:1972;height:721" filled="true" fillcolor="#ffffff" stroked="false">
              <v:fill type="solid"/>
            </v:rect>
            <w10:wrap type="none"/>
          </v:group>
        </w:pict>
      </w:r>
      <w:r>
        <w:rPr/>
        <w:pict>
          <v:group style="position:absolute;margin-left:287.934509pt;margin-top:73.776222pt;width:108.05pt;height:36.1pt;mso-position-horizontal-relative:page;mso-position-vertical-relative:paragraph;z-index:-638416" coordorigin="5759,1476" coordsize="2161,722">
            <v:shape style="position:absolute;left:5759;top:1867;width:221;height:241" coordorigin="5759,1867" coordsize="221,241" path="m5759,2107l5759,1867,5979,1987,5759,2107xe" filled="true" fillcolor="#959595" stroked="false">
              <v:path arrowok="t"/>
              <v:fill type="solid"/>
            </v:shape>
            <v:rect style="position:absolute;left:5947;top:1476;width:1972;height:721" filled="true" fillcolor="#ffffff" stroked="false">
              <v:fill type="solid"/>
            </v:rect>
            <w10:wrap type="none"/>
          </v:group>
        </w:pict>
      </w:r>
      <w:r>
        <w:rPr>
          <w:sz w:val="15"/>
        </w:rPr>
        <w:t>Antecedentes del Programa Oportunidades</w:t>
      </w:r>
    </w:p>
    <w:p>
      <w:pPr>
        <w:pStyle w:val="BodyText"/>
        <w:spacing w:before="5"/>
        <w:rPr>
          <w:sz w:val="25"/>
        </w:rPr>
      </w:pPr>
    </w:p>
    <w:tbl>
      <w:tblPr>
        <w:tblW w:w="0" w:type="auto"/>
        <w:jc w:val="left"/>
        <w:tblInd w:w="249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886"/>
        <w:gridCol w:w="258"/>
        <w:gridCol w:w="1972"/>
      </w:tblGrid>
      <w:tr>
        <w:trPr>
          <w:trHeight w:val="511" w:hRule="exact"/>
        </w:trPr>
        <w:tc>
          <w:tcPr>
            <w:tcW w:w="1886" w:type="dxa"/>
            <w:vMerge w:val="restart"/>
          </w:tcPr>
          <w:p>
            <w:pPr>
              <w:pStyle w:val="TableParagraph"/>
              <w:spacing w:line="295" w:lineRule="auto" w:before="68"/>
              <w:ind w:left="166" w:right="162"/>
              <w:jc w:val="center"/>
              <w:rPr>
                <w:sz w:val="15"/>
              </w:rPr>
            </w:pPr>
            <w:r>
              <w:rPr>
                <w:sz w:val="15"/>
              </w:rPr>
              <w:t>Focalizado en hogares en pobreza extrema, sólo rurales</w:t>
            </w:r>
          </w:p>
        </w:tc>
        <w:tc>
          <w:tcPr>
            <w:tcW w:w="258" w:type="dxa"/>
            <w:tcBorders>
              <w:top w:val="nil"/>
              <w:bottom w:val="single" w:sz="32" w:space="0" w:color="959595"/>
            </w:tcBorders>
          </w:tcPr>
          <w:p>
            <w:pPr/>
          </w:p>
        </w:tc>
        <w:tc>
          <w:tcPr>
            <w:tcW w:w="1972" w:type="dxa"/>
            <w:vMerge w:val="restart"/>
          </w:tcPr>
          <w:p>
            <w:pPr>
              <w:pStyle w:val="TableParagraph"/>
              <w:spacing w:line="254" w:lineRule="auto" w:before="65"/>
              <w:ind w:left="103" w:right="102"/>
              <w:jc w:val="center"/>
              <w:rPr>
                <w:sz w:val="15"/>
              </w:rPr>
            </w:pPr>
            <w:r>
              <w:rPr>
                <w:sz w:val="15"/>
              </w:rPr>
              <w:t>Focalizado en los hogares en pobreza extrema, todos los contextos</w:t>
            </w:r>
          </w:p>
        </w:tc>
      </w:tr>
      <w:tr>
        <w:trPr>
          <w:trHeight w:val="210" w:hRule="exact"/>
        </w:trPr>
        <w:tc>
          <w:tcPr>
            <w:tcW w:w="1886" w:type="dxa"/>
            <w:vMerge/>
          </w:tcPr>
          <w:p>
            <w:pPr/>
          </w:p>
        </w:tc>
        <w:tc>
          <w:tcPr>
            <w:tcW w:w="258" w:type="dxa"/>
            <w:tcBorders>
              <w:top w:val="single" w:sz="32" w:space="0" w:color="959595"/>
              <w:bottom w:val="nil"/>
            </w:tcBorders>
          </w:tcPr>
          <w:p>
            <w:pPr/>
          </w:p>
        </w:tc>
        <w:tc>
          <w:tcPr>
            <w:tcW w:w="1972" w:type="dxa"/>
            <w:vMerge/>
          </w:tcPr>
          <w:p>
            <w:pPr/>
          </w:p>
        </w:tc>
      </w:tr>
    </w:tbl>
    <w:p>
      <w:pPr>
        <w:pStyle w:val="BodyText"/>
        <w:spacing w:before="7"/>
        <w:rPr>
          <w:sz w:val="18"/>
        </w:rPr>
      </w:pPr>
    </w:p>
    <w:tbl>
      <w:tblPr>
        <w:tblW w:w="0" w:type="auto"/>
        <w:jc w:val="left"/>
        <w:tblInd w:w="249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886"/>
        <w:gridCol w:w="258"/>
        <w:gridCol w:w="1972"/>
      </w:tblGrid>
      <w:tr>
        <w:trPr>
          <w:trHeight w:val="511" w:hRule="exact"/>
        </w:trPr>
        <w:tc>
          <w:tcPr>
            <w:tcW w:w="1886" w:type="dxa"/>
            <w:vMerge w:val="restart"/>
          </w:tcPr>
          <w:p>
            <w:pPr>
              <w:pStyle w:val="TableParagraph"/>
              <w:spacing w:line="295" w:lineRule="auto" w:before="67"/>
              <w:ind w:left="121" w:right="116"/>
              <w:jc w:val="center"/>
              <w:rPr>
                <w:sz w:val="15"/>
              </w:rPr>
            </w:pPr>
            <w:r>
              <w:rPr>
                <w:sz w:val="15"/>
              </w:rPr>
              <w:t>Identificación</w:t>
            </w:r>
            <w:r>
              <w:rPr>
                <w:spacing w:val="-14"/>
                <w:sz w:val="15"/>
              </w:rPr>
              <w:t> </w:t>
            </w:r>
            <w:r>
              <w:rPr>
                <w:sz w:val="15"/>
              </w:rPr>
              <w:t>central</w:t>
            </w:r>
            <w:r>
              <w:rPr>
                <w:spacing w:val="-15"/>
                <w:sz w:val="15"/>
              </w:rPr>
              <w:t> </w:t>
            </w:r>
            <w:r>
              <w:rPr>
                <w:sz w:val="15"/>
              </w:rPr>
              <w:t>de</w:t>
            </w:r>
            <w:r>
              <w:rPr>
                <w:spacing w:val="-14"/>
                <w:sz w:val="15"/>
              </w:rPr>
              <w:t> </w:t>
            </w:r>
            <w:r>
              <w:rPr>
                <w:sz w:val="15"/>
              </w:rPr>
              <w:t>los beneficiarios por Sistema de</w:t>
            </w:r>
            <w:r>
              <w:rPr>
                <w:spacing w:val="-16"/>
                <w:sz w:val="15"/>
              </w:rPr>
              <w:t> </w:t>
            </w:r>
            <w:r>
              <w:rPr>
                <w:sz w:val="15"/>
              </w:rPr>
              <w:t>puntajes</w:t>
            </w:r>
            <w:r>
              <w:rPr>
                <w:spacing w:val="-16"/>
                <w:sz w:val="15"/>
              </w:rPr>
              <w:t> </w:t>
            </w:r>
            <w:r>
              <w:rPr>
                <w:sz w:val="15"/>
              </w:rPr>
              <w:t>regional</w:t>
            </w:r>
          </w:p>
        </w:tc>
        <w:tc>
          <w:tcPr>
            <w:tcW w:w="258" w:type="dxa"/>
            <w:tcBorders>
              <w:top w:val="nil"/>
              <w:bottom w:val="single" w:sz="32" w:space="0" w:color="959595"/>
            </w:tcBorders>
          </w:tcPr>
          <w:p>
            <w:pPr/>
          </w:p>
        </w:tc>
        <w:tc>
          <w:tcPr>
            <w:tcW w:w="1972" w:type="dxa"/>
            <w:vMerge w:val="restart"/>
          </w:tcPr>
          <w:p>
            <w:pPr>
              <w:pStyle w:val="TableParagraph"/>
              <w:spacing w:line="259" w:lineRule="auto" w:before="64"/>
              <w:ind w:left="103" w:right="100"/>
              <w:jc w:val="center"/>
              <w:rPr>
                <w:sz w:val="15"/>
              </w:rPr>
            </w:pPr>
            <w:r>
              <w:rPr>
                <w:sz w:val="15"/>
              </w:rPr>
              <w:t>Identificación central de los beneficiarios por Sistema Único de Puntajes</w:t>
            </w:r>
          </w:p>
        </w:tc>
      </w:tr>
      <w:tr>
        <w:trPr>
          <w:trHeight w:val="218" w:hRule="exact"/>
        </w:trPr>
        <w:tc>
          <w:tcPr>
            <w:tcW w:w="1886" w:type="dxa"/>
            <w:vMerge/>
          </w:tcPr>
          <w:p>
            <w:pPr/>
          </w:p>
        </w:tc>
        <w:tc>
          <w:tcPr>
            <w:tcW w:w="258" w:type="dxa"/>
            <w:tcBorders>
              <w:top w:val="single" w:sz="32" w:space="0" w:color="959595"/>
              <w:bottom w:val="nil"/>
            </w:tcBorders>
          </w:tcPr>
          <w:p>
            <w:pPr/>
          </w:p>
        </w:tc>
        <w:tc>
          <w:tcPr>
            <w:tcW w:w="1972" w:type="dxa"/>
            <w:vMerge/>
          </w:tcPr>
          <w:p>
            <w:pPr/>
          </w:p>
        </w:tc>
      </w:tr>
    </w:tbl>
    <w:p>
      <w:pPr>
        <w:pStyle w:val="BodyText"/>
        <w:spacing w:before="2"/>
        <w:rPr>
          <w:sz w:val="17"/>
        </w:rPr>
      </w:pPr>
    </w:p>
    <w:tbl>
      <w:tblPr>
        <w:tblW w:w="0" w:type="auto"/>
        <w:jc w:val="left"/>
        <w:tblInd w:w="2497"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886"/>
        <w:gridCol w:w="258"/>
        <w:gridCol w:w="1972"/>
      </w:tblGrid>
      <w:tr>
        <w:trPr>
          <w:trHeight w:val="511" w:hRule="exact"/>
        </w:trPr>
        <w:tc>
          <w:tcPr>
            <w:tcW w:w="1886" w:type="dxa"/>
            <w:vMerge w:val="restart"/>
          </w:tcPr>
          <w:p>
            <w:pPr>
              <w:pStyle w:val="TableParagraph"/>
              <w:spacing w:line="295" w:lineRule="auto" w:before="67"/>
              <w:ind w:left="559" w:hanging="321"/>
              <w:jc w:val="left"/>
              <w:rPr>
                <w:sz w:val="15"/>
              </w:rPr>
            </w:pPr>
            <w:r>
              <w:rPr>
                <w:w w:val="95"/>
                <w:sz w:val="15"/>
              </w:rPr>
              <w:t>Beneficios predefinidos </w:t>
            </w:r>
            <w:r>
              <w:rPr>
                <w:sz w:val="15"/>
              </w:rPr>
              <w:t>centralmente</w:t>
            </w:r>
          </w:p>
        </w:tc>
        <w:tc>
          <w:tcPr>
            <w:tcW w:w="258" w:type="dxa"/>
            <w:tcBorders>
              <w:top w:val="nil"/>
              <w:bottom w:val="single" w:sz="32" w:space="0" w:color="959595"/>
            </w:tcBorders>
          </w:tcPr>
          <w:p>
            <w:pPr/>
          </w:p>
        </w:tc>
        <w:tc>
          <w:tcPr>
            <w:tcW w:w="1972" w:type="dxa"/>
            <w:vMerge w:val="restart"/>
          </w:tcPr>
          <w:p>
            <w:pPr>
              <w:pStyle w:val="TableParagraph"/>
              <w:spacing w:line="259" w:lineRule="auto" w:before="63"/>
              <w:ind w:left="242" w:right="240" w:firstLine="1"/>
              <w:jc w:val="center"/>
              <w:rPr>
                <w:sz w:val="15"/>
              </w:rPr>
            </w:pPr>
            <w:r>
              <w:rPr>
                <w:w w:val="95"/>
                <w:sz w:val="15"/>
              </w:rPr>
              <w:t>Beneficios pre-definidos </w:t>
            </w:r>
            <w:r>
              <w:rPr>
                <w:sz w:val="15"/>
              </w:rPr>
              <w:t>centralmente</w:t>
            </w:r>
            <w:r>
              <w:rPr>
                <w:spacing w:val="-19"/>
                <w:sz w:val="15"/>
              </w:rPr>
              <w:t> </w:t>
            </w:r>
            <w:r>
              <w:rPr>
                <w:sz w:val="15"/>
              </w:rPr>
              <w:t>más</w:t>
            </w:r>
            <w:r>
              <w:rPr>
                <w:spacing w:val="-19"/>
                <w:sz w:val="15"/>
              </w:rPr>
              <w:t> </w:t>
            </w:r>
            <w:r>
              <w:rPr>
                <w:sz w:val="15"/>
              </w:rPr>
              <w:t>nuevas iniciativas</w:t>
            </w:r>
            <w:r>
              <w:rPr>
                <w:spacing w:val="-18"/>
                <w:sz w:val="15"/>
              </w:rPr>
              <w:t> </w:t>
            </w:r>
            <w:r>
              <w:rPr>
                <w:sz w:val="15"/>
              </w:rPr>
              <w:t>y</w:t>
            </w:r>
            <w:r>
              <w:rPr>
                <w:spacing w:val="-18"/>
                <w:sz w:val="15"/>
              </w:rPr>
              <w:t> </w:t>
            </w:r>
            <w:r>
              <w:rPr>
                <w:sz w:val="15"/>
              </w:rPr>
              <w:t>servicios</w:t>
            </w:r>
          </w:p>
        </w:tc>
      </w:tr>
      <w:tr>
        <w:trPr>
          <w:trHeight w:val="252" w:hRule="exact"/>
        </w:trPr>
        <w:tc>
          <w:tcPr>
            <w:tcW w:w="1886" w:type="dxa"/>
            <w:vMerge/>
          </w:tcPr>
          <w:p>
            <w:pPr/>
          </w:p>
        </w:tc>
        <w:tc>
          <w:tcPr>
            <w:tcW w:w="258" w:type="dxa"/>
            <w:tcBorders>
              <w:top w:val="single" w:sz="32" w:space="0" w:color="959595"/>
              <w:bottom w:val="nil"/>
            </w:tcBorders>
          </w:tcPr>
          <w:p>
            <w:pPr/>
          </w:p>
        </w:tc>
        <w:tc>
          <w:tcPr>
            <w:tcW w:w="1972" w:type="dxa"/>
            <w:vMerge/>
          </w:tcPr>
          <w:p>
            <w:pPr/>
          </w:p>
        </w:tc>
      </w:tr>
    </w:tbl>
    <w:p>
      <w:pPr>
        <w:pStyle w:val="BodyText"/>
        <w:spacing w:before="6"/>
        <w:rPr>
          <w:sz w:val="11"/>
        </w:rPr>
      </w:pPr>
      <w:r>
        <w:rPr/>
        <w:pict>
          <v:group style="position:absolute;margin-left:78.362831pt;margin-top:8.616760pt;width:317.9pt;height:24.7pt;mso-position-horizontal-relative:page;mso-position-vertical-relative:paragraph;z-index:5704;mso-wrap-distance-left:0;mso-wrap-distance-right:0" coordorigin="1567,172" coordsize="6358,494">
            <v:line style="position:absolute" from="3537,545" to="3730,545" stroked="true" strokeweight="4.006271pt" strokecolor="#959595"/>
            <v:shape style="position:absolute;left:3583;top:425;width:221;height:241" coordorigin="3583,425" coordsize="221,241" path="m3583,665l3583,425,3803,545,3583,665xe" filled="true" fillcolor="#959595" stroked="false">
              <v:path arrowok="t"/>
              <v:fill type="solid"/>
            </v:shape>
            <v:rect style="position:absolute;left:1573;top:178;width:1972;height:433" filled="false" stroked="true" strokeweight=".598632pt" strokecolor="#000000"/>
            <v:line style="position:absolute" from="5713,545" to="5906,545" stroked="true" strokeweight="4.006271pt" strokecolor="#959595"/>
            <v:shape style="position:absolute;left:5759;top:425;width:221;height:241" coordorigin="5759,425" coordsize="221,241" path="m5759,665l5759,425,5979,545,5759,665xe" filled="true" fillcolor="#959595" stroked="false">
              <v:path arrowok="t"/>
              <v:fill type="solid"/>
            </v:shape>
            <v:rect style="position:absolute;left:3803;top:178;width:1886;height:433" filled="false" stroked="true" strokeweight=".598428pt" strokecolor="#000000"/>
            <v:rect style="position:absolute;left:5947;top:178;width:1972;height:433" filled="true" fillcolor="#ffffff" stroked="false">
              <v:fill type="solid"/>
            </v:rect>
            <v:rect style="position:absolute;left:5947;top:178;width:1972;height:433" filled="false" stroked="true" strokeweight=".598632pt" strokecolor="#000000"/>
            <v:shape style="position:absolute;left:3803;top:178;width:1887;height:433" type="#_x0000_t202" filled="false" stroked="false">
              <v:textbox inset="0,0,0,0">
                <w:txbxContent>
                  <w:p>
                    <w:pPr>
                      <w:spacing w:before="68"/>
                      <w:ind w:left="208" w:right="0" w:firstLine="0"/>
                      <w:jc w:val="left"/>
                      <w:rPr>
                        <w:sz w:val="15"/>
                      </w:rPr>
                    </w:pPr>
                    <w:r>
                      <w:rPr>
                        <w:w w:val="95"/>
                        <w:sz w:val="15"/>
                      </w:rPr>
                      <w:t>Presupuesto pre-definido</w:t>
                    </w:r>
                  </w:p>
                </w:txbxContent>
              </v:textbox>
              <w10:wrap type="none"/>
            </v:shape>
            <v:shape style="position:absolute;left:5947;top:178;width:1973;height:433" type="#_x0000_t202" filled="false" stroked="false">
              <v:textbox inset="0,0,0,0">
                <w:txbxContent>
                  <w:p>
                    <w:pPr>
                      <w:spacing w:before="68"/>
                      <w:ind w:left="274" w:right="18" w:firstLine="0"/>
                      <w:jc w:val="left"/>
                      <w:rPr>
                        <w:sz w:val="15"/>
                      </w:rPr>
                    </w:pPr>
                    <w:r>
                      <w:rPr>
                        <w:w w:val="95"/>
                        <w:sz w:val="15"/>
                      </w:rPr>
                      <w:t>Presupuesto predefinido</w:t>
                    </w:r>
                  </w:p>
                </w:txbxContent>
              </v:textbox>
              <w10:wrap type="none"/>
            </v:shape>
            <v:shape style="position:absolute;left:1567;top:172;width:6358;height:494" type="#_x0000_t202" filled="false" stroked="false">
              <v:textbox inset="0,0,0,0">
                <w:txbxContent>
                  <w:p>
                    <w:pPr>
                      <w:spacing w:before="74"/>
                      <w:ind w:left="395" w:right="0" w:firstLine="0"/>
                      <w:jc w:val="left"/>
                      <w:rPr>
                        <w:sz w:val="15"/>
                      </w:rPr>
                    </w:pPr>
                    <w:r>
                      <w:rPr>
                        <w:w w:val="95"/>
                        <w:sz w:val="15"/>
                      </w:rPr>
                      <w:t>Presupuesto flexible</w:t>
                    </w:r>
                  </w:p>
                </w:txbxContent>
              </v:textbox>
              <w10:wrap type="none"/>
            </v:shape>
            <w10:wrap type="topAndBottom"/>
          </v:group>
        </w:pict>
      </w:r>
      <w:r>
        <w:rPr/>
        <w:pict>
          <v:group style="position:absolute;margin-left:78.362831pt;margin-top:41.548313pt;width:317.9pt;height:57.8pt;mso-position-horizontal-relative:page;mso-position-vertical-relative:paragraph;z-index:5800;mso-wrap-distance-left:0;mso-wrap-distance-right:0" coordorigin="1567,831" coordsize="6358,1156">
            <v:line style="position:absolute" from="3537,1492" to="3730,1492" stroked="true" strokeweight="4.006271pt" strokecolor="#959595"/>
            <v:shape style="position:absolute;left:3583;top:1372;width:221;height:241" coordorigin="3583,1372" coordsize="221,241" path="m3583,1613l3583,1372,3803,1492,3583,1613xe" filled="true" fillcolor="#959595" stroked="false">
              <v:path arrowok="t"/>
              <v:fill type="solid"/>
            </v:shape>
            <v:line style="position:absolute" from="5681,1492" to="5874,1492" stroked="true" strokeweight="4.006271pt" strokecolor="#959595"/>
            <v:shape style="position:absolute;left:5727;top:1372;width:221;height:241" coordorigin="5727,1372" coordsize="221,241" path="m5727,1613l5727,1372,5947,1492,5727,1613xe" filled="true" fillcolor="#959595" stroked="false">
              <v:path arrowok="t"/>
              <v:fill type="solid"/>
            </v:shape>
            <v:rect style="position:absolute;left:3803;top:837;width:1886;height:1143" filled="false" stroked="true" strokeweight=".587431pt" strokecolor="#000000"/>
            <v:rect style="position:absolute;left:1573;top:837;width:1972;height:1143" filled="false" stroked="true" strokeweight=".588293pt" strokecolor="#000000"/>
            <v:shape style="position:absolute;left:1573;top:837;width:1973;height:1144" type="#_x0000_t202" filled="false" stroked="false">
              <v:textbox inset="0,0,0,0">
                <w:txbxContent>
                  <w:p>
                    <w:pPr>
                      <w:spacing w:before="74"/>
                      <w:ind w:left="519" w:right="18" w:firstLine="0"/>
                      <w:jc w:val="left"/>
                      <w:rPr>
                        <w:sz w:val="15"/>
                      </w:rPr>
                    </w:pPr>
                    <w:r>
                      <w:rPr>
                        <w:sz w:val="15"/>
                      </w:rPr>
                      <w:t>Operación local</w:t>
                    </w:r>
                  </w:p>
                </w:txbxContent>
              </v:textbox>
              <w10:wrap type="none"/>
            </v:shape>
            <v:shape style="position:absolute;left:3803;top:837;width:1887;height:1144" type="#_x0000_t202" filled="false" stroked="false">
              <v:textbox inset="0,0,0,0">
                <w:txbxContent>
                  <w:p>
                    <w:pPr>
                      <w:spacing w:before="74"/>
                      <w:ind w:left="172" w:right="0" w:firstLine="0"/>
                      <w:jc w:val="left"/>
                      <w:rPr>
                        <w:sz w:val="15"/>
                      </w:rPr>
                    </w:pPr>
                    <w:r>
                      <w:rPr>
                        <w:w w:val="95"/>
                        <w:sz w:val="15"/>
                      </w:rPr>
                      <w:t>Coordinación  centralizada</w:t>
                    </w:r>
                  </w:p>
                </w:txbxContent>
              </v:textbox>
              <w10:wrap type="none"/>
            </v:shape>
            <v:shape style="position:absolute;left:5947;top:837;width:1973;height:1144" type="#_x0000_t202" filled="false" stroked="true" strokeweight=".589874pt" strokecolor="#000000">
              <v:textbox inset="0,0,0,0">
                <w:txbxContent>
                  <w:p>
                    <w:pPr>
                      <w:spacing w:line="254" w:lineRule="auto" w:before="65"/>
                      <w:ind w:left="160" w:right="158" w:firstLine="0"/>
                      <w:jc w:val="center"/>
                      <w:rPr>
                        <w:sz w:val="15"/>
                      </w:rPr>
                    </w:pPr>
                    <w:r>
                      <w:rPr>
                        <w:sz w:val="15"/>
                      </w:rPr>
                      <w:t>Coordinación centralizada más Modelo de Atención y Servicio más Mesas de Atención a CPC más Corresponsales</w:t>
                    </w:r>
                  </w:p>
                </w:txbxContent>
              </v:textbox>
              <w10:wrap type="none"/>
            </v:shape>
            <w10:wrap type="topAndBottom"/>
          </v:group>
        </w:pict>
      </w:r>
    </w:p>
    <w:p>
      <w:pPr>
        <w:pStyle w:val="BodyText"/>
        <w:spacing w:before="5"/>
        <w:rPr>
          <w:sz w:val="8"/>
        </w:rPr>
      </w:pPr>
    </w:p>
    <w:p>
      <w:pPr>
        <w:pStyle w:val="BodyText"/>
        <w:spacing w:before="7"/>
        <w:rPr>
          <w:sz w:val="24"/>
        </w:rPr>
      </w:pPr>
    </w:p>
    <w:p>
      <w:pPr>
        <w:spacing w:before="90"/>
        <w:ind w:left="377" w:right="117" w:firstLine="0"/>
        <w:jc w:val="left"/>
        <w:rPr>
          <w:rFonts w:ascii="Arial" w:hAnsi="Arial"/>
          <w:sz w:val="12"/>
        </w:rPr>
      </w:pPr>
      <w:r>
        <w:rPr>
          <w:rFonts w:ascii="Arial" w:hAnsi="Arial"/>
          <w:sz w:val="12"/>
        </w:rPr>
        <w:t>Fuente: Oportunidades (2007), </w:t>
      </w:r>
      <w:r>
        <w:rPr>
          <w:rFonts w:ascii="Arial" w:hAnsi="Arial"/>
          <w:i/>
          <w:sz w:val="12"/>
        </w:rPr>
        <w:t>El papel del Programa Oportunidades en la Cohesión social, SEDESOL</w:t>
      </w:r>
      <w:r>
        <w:rPr>
          <w:rFonts w:ascii="Arial" w:hAnsi="Arial"/>
          <w:sz w:val="12"/>
        </w:rPr>
        <w:t>, México.</w:t>
      </w:r>
    </w:p>
    <w:p>
      <w:pPr>
        <w:spacing w:after="0"/>
        <w:jc w:val="left"/>
        <w:rPr>
          <w:rFonts w:ascii="Arial" w:hAnsi="Arial"/>
          <w:sz w:val="12"/>
        </w:rPr>
        <w:sectPr>
          <w:pgSz w:w="9360" w:h="13040"/>
          <w:pgMar w:header="0" w:footer="496" w:top="800" w:bottom="680" w:left="1300" w:right="1300"/>
        </w:sectPr>
      </w:pPr>
    </w:p>
    <w:p>
      <w:pPr>
        <w:spacing w:before="45"/>
        <w:ind w:left="400" w:right="117" w:hanging="217"/>
        <w:jc w:val="left"/>
        <w:rPr>
          <w:rFonts w:ascii="Arial" w:hAnsi="Arial"/>
          <w:sz w:val="20"/>
        </w:rPr>
      </w:pPr>
      <w:r>
        <w:rPr>
          <w:rFonts w:ascii="Arial" w:hAnsi="Arial"/>
          <w:color w:val="231F20"/>
          <w:w w:val="65"/>
          <w:sz w:val="20"/>
        </w:rPr>
        <w:t>Las políticas públicas de combate a la pobreza y su sinergia... /Mayra P. Pérez-Román y A. Velázquez-Romero</w:t>
      </w:r>
    </w:p>
    <w:p>
      <w:pPr>
        <w:pStyle w:val="BodyText"/>
        <w:spacing w:before="7"/>
        <w:rPr>
          <w:rFonts w:ascii="Arial"/>
          <w:sz w:val="28"/>
        </w:rPr>
      </w:pPr>
    </w:p>
    <w:p>
      <w:pPr>
        <w:pStyle w:val="BodyText"/>
        <w:spacing w:line="247" w:lineRule="auto"/>
        <w:ind w:left="117" w:right="115" w:firstLine="283"/>
        <w:jc w:val="both"/>
      </w:pPr>
      <w:r>
        <w:rPr>
          <w:color w:val="231F20"/>
        </w:rPr>
        <w:t>Es así que Oportunidades encuentra sus antecedentes en los programas arriba</w:t>
      </w:r>
      <w:r>
        <w:rPr>
          <w:color w:val="231F20"/>
          <w:spacing w:val="-12"/>
        </w:rPr>
        <w:t> </w:t>
      </w:r>
      <w:r>
        <w:rPr>
          <w:color w:val="231F20"/>
        </w:rPr>
        <w:t>expuestos,</w:t>
      </w:r>
      <w:r>
        <w:rPr>
          <w:color w:val="231F20"/>
          <w:spacing w:val="-13"/>
        </w:rPr>
        <w:t> </w:t>
      </w:r>
      <w:r>
        <w:rPr>
          <w:color w:val="231F20"/>
        </w:rPr>
        <w:t>y</w:t>
      </w:r>
      <w:r>
        <w:rPr>
          <w:color w:val="231F20"/>
          <w:spacing w:val="-12"/>
        </w:rPr>
        <w:t> </w:t>
      </w:r>
      <w:r>
        <w:rPr>
          <w:color w:val="231F20"/>
        </w:rPr>
        <w:t>que</w:t>
      </w:r>
      <w:r>
        <w:rPr>
          <w:color w:val="231F20"/>
          <w:spacing w:val="-12"/>
        </w:rPr>
        <w:t> </w:t>
      </w:r>
      <w:r>
        <w:rPr>
          <w:color w:val="231F20"/>
        </w:rPr>
        <w:t>a</w:t>
      </w:r>
      <w:r>
        <w:rPr>
          <w:color w:val="231F20"/>
          <w:spacing w:val="-12"/>
        </w:rPr>
        <w:t> </w:t>
      </w:r>
      <w:r>
        <w:rPr>
          <w:color w:val="231F20"/>
        </w:rPr>
        <w:t>pesar</w:t>
      </w:r>
      <w:r>
        <w:rPr>
          <w:color w:val="231F20"/>
          <w:spacing w:val="-12"/>
        </w:rPr>
        <w:t> </w:t>
      </w:r>
      <w:r>
        <w:rPr>
          <w:color w:val="231F20"/>
        </w:rPr>
        <w:t>del</w:t>
      </w:r>
      <w:r>
        <w:rPr>
          <w:color w:val="231F20"/>
          <w:spacing w:val="-12"/>
        </w:rPr>
        <w:t> </w:t>
      </w:r>
      <w:r>
        <w:rPr>
          <w:color w:val="231F20"/>
        </w:rPr>
        <w:t>cambio</w:t>
      </w:r>
      <w:r>
        <w:rPr>
          <w:color w:val="231F20"/>
          <w:spacing w:val="-12"/>
        </w:rPr>
        <w:t> </w:t>
      </w:r>
      <w:r>
        <w:rPr>
          <w:color w:val="231F20"/>
        </w:rPr>
        <w:t>de</w:t>
      </w:r>
      <w:r>
        <w:rPr>
          <w:color w:val="231F20"/>
          <w:spacing w:val="-12"/>
        </w:rPr>
        <w:t> </w:t>
      </w:r>
      <w:r>
        <w:rPr>
          <w:color w:val="231F20"/>
        </w:rPr>
        <w:t>nombres</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han</w:t>
      </w:r>
      <w:r>
        <w:rPr>
          <w:color w:val="231F20"/>
          <w:spacing w:val="-12"/>
        </w:rPr>
        <w:t> </w:t>
      </w:r>
      <w:r>
        <w:rPr>
          <w:color w:val="231F20"/>
        </w:rPr>
        <w:t>suscitado en</w:t>
      </w:r>
      <w:r>
        <w:rPr>
          <w:color w:val="231F20"/>
          <w:spacing w:val="-6"/>
        </w:rPr>
        <w:t> </w:t>
      </w:r>
      <w:r>
        <w:rPr>
          <w:color w:val="231F20"/>
        </w:rPr>
        <w:t>los</w:t>
      </w:r>
      <w:r>
        <w:rPr>
          <w:color w:val="231F20"/>
          <w:spacing w:val="-6"/>
        </w:rPr>
        <w:t> </w:t>
      </w:r>
      <w:r>
        <w:rPr>
          <w:color w:val="231F20"/>
        </w:rPr>
        <w:t>respectivos</w:t>
      </w:r>
      <w:r>
        <w:rPr>
          <w:color w:val="231F20"/>
          <w:spacing w:val="-6"/>
        </w:rPr>
        <w:t> </w:t>
      </w:r>
      <w:r>
        <w:rPr>
          <w:color w:val="231F20"/>
        </w:rPr>
        <w:t>cambios</w:t>
      </w:r>
      <w:r>
        <w:rPr>
          <w:color w:val="231F20"/>
          <w:spacing w:val="-6"/>
        </w:rPr>
        <w:t> </w:t>
      </w:r>
      <w:r>
        <w:rPr>
          <w:color w:val="231F20"/>
        </w:rPr>
        <w:t>de</w:t>
      </w:r>
      <w:r>
        <w:rPr>
          <w:color w:val="231F20"/>
          <w:spacing w:val="-6"/>
        </w:rPr>
        <w:t> </w:t>
      </w:r>
      <w:r>
        <w:rPr>
          <w:color w:val="231F20"/>
        </w:rPr>
        <w:t>administraciones,</w:t>
      </w:r>
      <w:r>
        <w:rPr>
          <w:color w:val="231F20"/>
          <w:spacing w:val="-7"/>
        </w:rPr>
        <w:t> </w:t>
      </w:r>
      <w:r>
        <w:rPr>
          <w:color w:val="231F20"/>
        </w:rPr>
        <w:t>el</w:t>
      </w:r>
      <w:r>
        <w:rPr>
          <w:color w:val="231F20"/>
          <w:spacing w:val="-6"/>
        </w:rPr>
        <w:t> </w:t>
      </w:r>
      <w:r>
        <w:rPr>
          <w:color w:val="231F20"/>
        </w:rPr>
        <w:t>Gobierno</w:t>
      </w:r>
      <w:r>
        <w:rPr>
          <w:color w:val="231F20"/>
          <w:spacing w:val="-5"/>
        </w:rPr>
        <w:t> </w:t>
      </w:r>
      <w:r>
        <w:rPr>
          <w:color w:val="231F20"/>
        </w:rPr>
        <w:t>Federal</w:t>
      </w:r>
      <w:r>
        <w:rPr>
          <w:color w:val="231F20"/>
          <w:spacing w:val="-5"/>
        </w:rPr>
        <w:t> </w:t>
      </w:r>
      <w:r>
        <w:rPr>
          <w:color w:val="231F20"/>
        </w:rPr>
        <w:t>sigue implementando su política social mediante un conjunto de acciones que van encaminadas al abatimiento de la pobreza, y en el caso específico de Oportunidades, impulsando el Desarrollo</w:t>
      </w:r>
      <w:r>
        <w:rPr>
          <w:color w:val="231F20"/>
          <w:spacing w:val="-29"/>
        </w:rPr>
        <w:t> </w:t>
      </w:r>
      <w:r>
        <w:rPr>
          <w:color w:val="231F20"/>
        </w:rPr>
        <w:t>Humano.</w:t>
      </w:r>
    </w:p>
    <w:p>
      <w:pPr>
        <w:pStyle w:val="BodyText"/>
        <w:spacing w:line="247" w:lineRule="auto"/>
        <w:ind w:left="117" w:right="114" w:firstLine="283"/>
        <w:jc w:val="both"/>
      </w:pPr>
      <w:r>
        <w:rPr>
          <w:color w:val="231F20"/>
        </w:rPr>
        <w:t>Ahora bien, estar en situación de pobreza, desde esa perspectiva, sig- nifica que las personas no tienen acceso a los recursos económicos nece- sarios para alcanzar las capacidades consideradas como básicas. Existen grandes discrepancias de una sociedad a otra, por lo que aun cuando se planteen requisitos considerados como universales para no ser pobre, son- precisamente dichas diferencias las que impedirán se cumplan todos los estándares para evitar caer en situaciones de pobreza ya que los ingresos  o los bienes de consumo considerados apropiados dependerán de las ideas reinantes en cada</w:t>
      </w:r>
      <w:r>
        <w:rPr>
          <w:color w:val="231F20"/>
          <w:spacing w:val="-11"/>
        </w:rPr>
        <w:t> </w:t>
      </w:r>
      <w:r>
        <w:rPr>
          <w:color w:val="231F20"/>
        </w:rPr>
        <w:t>sociedad.</w:t>
      </w:r>
    </w:p>
    <w:p>
      <w:pPr>
        <w:pStyle w:val="BodyText"/>
        <w:spacing w:line="247" w:lineRule="auto"/>
        <w:ind w:left="117" w:right="115" w:firstLine="283"/>
        <w:jc w:val="both"/>
      </w:pPr>
      <w:r>
        <w:rPr>
          <w:color w:val="231F20"/>
        </w:rPr>
        <w:t>Dentro del marco del término pobreza existen categorías que han cau- sado escozor ya que algunas son limitativas de su entorno, las categorías más comunes son la medición de la pobreza en extrema y moderada, sin embargo, aún existen controversias de si corresponden al concepto</w:t>
      </w:r>
      <w:r>
        <w:rPr>
          <w:color w:val="231F20"/>
          <w:spacing w:val="-26"/>
        </w:rPr>
        <w:t> </w:t>
      </w:r>
      <w:r>
        <w:rPr>
          <w:color w:val="231F20"/>
        </w:rPr>
        <w:t>teórico que se pretende</w:t>
      </w:r>
      <w:r>
        <w:rPr>
          <w:color w:val="231F20"/>
          <w:spacing w:val="4"/>
        </w:rPr>
        <w:t> </w:t>
      </w:r>
      <w:r>
        <w:rPr>
          <w:color w:val="231F20"/>
          <w:spacing w:val="-3"/>
        </w:rPr>
        <w:t>medir.</w:t>
      </w:r>
    </w:p>
    <w:p>
      <w:pPr>
        <w:pStyle w:val="BodyText"/>
        <w:spacing w:line="247" w:lineRule="auto"/>
        <w:ind w:left="117" w:right="114" w:firstLine="283"/>
        <w:jc w:val="both"/>
      </w:pPr>
      <w:r>
        <w:rPr>
          <w:color w:val="231F20"/>
        </w:rPr>
        <w:t>Ambas</w:t>
      </w:r>
      <w:r>
        <w:rPr>
          <w:color w:val="231F20"/>
          <w:spacing w:val="-12"/>
        </w:rPr>
        <w:t> </w:t>
      </w:r>
      <w:r>
        <w:rPr>
          <w:color w:val="231F20"/>
        </w:rPr>
        <w:t>buscan</w:t>
      </w:r>
      <w:r>
        <w:rPr>
          <w:color w:val="231F20"/>
          <w:spacing w:val="-12"/>
        </w:rPr>
        <w:t> </w:t>
      </w:r>
      <w:r>
        <w:rPr>
          <w:color w:val="231F20"/>
        </w:rPr>
        <w:t>distinguir</w:t>
      </w:r>
      <w:r>
        <w:rPr>
          <w:color w:val="231F20"/>
          <w:spacing w:val="-12"/>
        </w:rPr>
        <w:t> </w:t>
      </w:r>
      <w:r>
        <w:rPr>
          <w:color w:val="231F20"/>
        </w:rPr>
        <w:t>las</w:t>
      </w:r>
      <w:r>
        <w:rPr>
          <w:color w:val="231F20"/>
          <w:spacing w:val="-12"/>
        </w:rPr>
        <w:t> </w:t>
      </w:r>
      <w:r>
        <w:rPr>
          <w:color w:val="231F20"/>
        </w:rPr>
        <w:t>carencias</w:t>
      </w:r>
      <w:r>
        <w:rPr>
          <w:color w:val="231F20"/>
          <w:spacing w:val="-13"/>
        </w:rPr>
        <w:t> </w:t>
      </w:r>
      <w:r>
        <w:rPr>
          <w:color w:val="231F20"/>
        </w:rPr>
        <w:t>que</w:t>
      </w:r>
      <w:r>
        <w:rPr>
          <w:color w:val="231F20"/>
          <w:spacing w:val="-12"/>
        </w:rPr>
        <w:t> </w:t>
      </w:r>
      <w:r>
        <w:rPr>
          <w:color w:val="231F20"/>
        </w:rPr>
        <w:t>ponen</w:t>
      </w:r>
      <w:r>
        <w:rPr>
          <w:color w:val="231F20"/>
          <w:spacing w:val="-12"/>
        </w:rPr>
        <w:t> </w:t>
      </w:r>
      <w:r>
        <w:rPr>
          <w:color w:val="231F20"/>
        </w:rPr>
        <w:t>en</w:t>
      </w:r>
      <w:r>
        <w:rPr>
          <w:color w:val="231F20"/>
          <w:spacing w:val="-12"/>
        </w:rPr>
        <w:t> </w:t>
      </w:r>
      <w:r>
        <w:rPr>
          <w:color w:val="231F20"/>
        </w:rPr>
        <w:t>riesgo</w:t>
      </w:r>
      <w:r>
        <w:rPr>
          <w:color w:val="231F20"/>
          <w:spacing w:val="-12"/>
        </w:rPr>
        <w:t> </w:t>
      </w:r>
      <w:r>
        <w:rPr>
          <w:color w:val="231F20"/>
        </w:rPr>
        <w:t>la</w:t>
      </w:r>
      <w:r>
        <w:rPr>
          <w:color w:val="231F20"/>
          <w:spacing w:val="-12"/>
        </w:rPr>
        <w:t> </w:t>
      </w:r>
      <w:r>
        <w:rPr>
          <w:color w:val="231F20"/>
        </w:rPr>
        <w:t>integridad física o la vida de las personas, de aquellas referidas a funcionar de una forma adecuada en sociedad. Por ello y ante la dificultad de distinguir los componentes sociales de los biológicos se decidió no calificar los concep- tos</w:t>
      </w:r>
      <w:r>
        <w:rPr>
          <w:color w:val="231F20"/>
          <w:spacing w:val="-6"/>
        </w:rPr>
        <w:t> </w:t>
      </w:r>
      <w:r>
        <w:rPr>
          <w:color w:val="231F20"/>
        </w:rPr>
        <w:t>de</w:t>
      </w:r>
      <w:r>
        <w:rPr>
          <w:color w:val="231F20"/>
          <w:spacing w:val="-6"/>
        </w:rPr>
        <w:t> </w:t>
      </w:r>
      <w:r>
        <w:rPr>
          <w:color w:val="231F20"/>
        </w:rPr>
        <w:t>pobreza,</w:t>
      </w:r>
      <w:r>
        <w:rPr>
          <w:color w:val="231F20"/>
          <w:spacing w:val="-6"/>
        </w:rPr>
        <w:t> </w:t>
      </w:r>
      <w:r>
        <w:rPr>
          <w:color w:val="231F20"/>
        </w:rPr>
        <w:t>optando</w:t>
      </w:r>
      <w:r>
        <w:rPr>
          <w:color w:val="231F20"/>
          <w:spacing w:val="-6"/>
        </w:rPr>
        <w:t> </w:t>
      </w:r>
      <w:r>
        <w:rPr>
          <w:color w:val="231F20"/>
        </w:rPr>
        <w:t>por</w:t>
      </w:r>
      <w:r>
        <w:rPr>
          <w:color w:val="231F20"/>
          <w:spacing w:val="-6"/>
        </w:rPr>
        <w:t> </w:t>
      </w:r>
      <w:r>
        <w:rPr>
          <w:color w:val="231F20"/>
        </w:rPr>
        <w:t>especificar</w:t>
      </w:r>
      <w:r>
        <w:rPr>
          <w:color w:val="231F20"/>
          <w:spacing w:val="-6"/>
        </w:rPr>
        <w:t> </w:t>
      </w:r>
      <w:r>
        <w:rPr>
          <w:color w:val="231F20"/>
        </w:rPr>
        <w:t>a</w:t>
      </w:r>
      <w:r>
        <w:rPr>
          <w:color w:val="231F20"/>
          <w:spacing w:val="-6"/>
        </w:rPr>
        <w:t> </w:t>
      </w:r>
      <w:r>
        <w:rPr>
          <w:color w:val="231F20"/>
        </w:rPr>
        <w:t>qué</w:t>
      </w:r>
      <w:r>
        <w:rPr>
          <w:color w:val="231F20"/>
          <w:spacing w:val="-6"/>
        </w:rPr>
        <w:t> </w:t>
      </w:r>
      <w:r>
        <w:rPr>
          <w:color w:val="231F20"/>
        </w:rPr>
        <w:t>características</w:t>
      </w:r>
      <w:r>
        <w:rPr>
          <w:color w:val="231F20"/>
          <w:spacing w:val="-7"/>
        </w:rPr>
        <w:t> </w:t>
      </w:r>
      <w:r>
        <w:rPr>
          <w:color w:val="231F20"/>
        </w:rPr>
        <w:t>corresponden. Como consecuencia se distinguen tres niveles de pobreza que a decir del Comité son:</w:t>
      </w:r>
    </w:p>
    <w:p>
      <w:pPr>
        <w:spacing w:line="249" w:lineRule="auto" w:before="168"/>
        <w:ind w:left="400" w:right="115" w:firstLine="0"/>
        <w:jc w:val="both"/>
        <w:rPr>
          <w:sz w:val="20"/>
        </w:rPr>
      </w:pPr>
      <w:r>
        <w:rPr>
          <w:sz w:val="20"/>
        </w:rPr>
        <w:t>Nivel 1 de pobreza está referido a la imposibilidad de obtener una canasta alimentaria aun haciendo uso de todos los recursos disponibles; el Nivel 2 de pobreza corresponde a no alcanzar el valor de la canasta alimentaria, más una estimación de los gastos necesarios en salud, vestido, vivienda, transporte y educación;</w:t>
      </w:r>
      <w:r>
        <w:rPr>
          <w:spacing w:val="-6"/>
          <w:sz w:val="20"/>
        </w:rPr>
        <w:t> </w:t>
      </w:r>
      <w:r>
        <w:rPr>
          <w:sz w:val="20"/>
        </w:rPr>
        <w:t>y</w:t>
      </w:r>
      <w:r>
        <w:rPr>
          <w:spacing w:val="-6"/>
          <w:sz w:val="20"/>
        </w:rPr>
        <w:t> </w:t>
      </w:r>
      <w:r>
        <w:rPr>
          <w:sz w:val="20"/>
        </w:rPr>
        <w:t>el</w:t>
      </w:r>
      <w:r>
        <w:rPr>
          <w:spacing w:val="-6"/>
          <w:sz w:val="20"/>
        </w:rPr>
        <w:t> </w:t>
      </w:r>
      <w:r>
        <w:rPr>
          <w:sz w:val="20"/>
        </w:rPr>
        <w:t>Nivel</w:t>
      </w:r>
      <w:r>
        <w:rPr>
          <w:spacing w:val="-6"/>
          <w:sz w:val="20"/>
        </w:rPr>
        <w:t> </w:t>
      </w:r>
      <w:r>
        <w:rPr>
          <w:sz w:val="20"/>
        </w:rPr>
        <w:t>3</w:t>
      </w:r>
      <w:r>
        <w:rPr>
          <w:spacing w:val="-6"/>
          <w:sz w:val="20"/>
        </w:rPr>
        <w:t> </w:t>
      </w:r>
      <w:r>
        <w:rPr>
          <w:sz w:val="20"/>
        </w:rPr>
        <w:t>de</w:t>
      </w:r>
      <w:r>
        <w:rPr>
          <w:spacing w:val="-6"/>
          <w:sz w:val="20"/>
        </w:rPr>
        <w:t> </w:t>
      </w:r>
      <w:r>
        <w:rPr>
          <w:sz w:val="20"/>
        </w:rPr>
        <w:t>pobreza</w:t>
      </w:r>
      <w:r>
        <w:rPr>
          <w:spacing w:val="-6"/>
          <w:sz w:val="20"/>
        </w:rPr>
        <w:t> </w:t>
      </w:r>
      <w:r>
        <w:rPr>
          <w:sz w:val="20"/>
        </w:rPr>
        <w:t>se</w:t>
      </w:r>
      <w:r>
        <w:rPr>
          <w:spacing w:val="-6"/>
          <w:sz w:val="20"/>
        </w:rPr>
        <w:t> </w:t>
      </w:r>
      <w:r>
        <w:rPr>
          <w:sz w:val="20"/>
        </w:rPr>
        <w:t>asocia</w:t>
      </w:r>
      <w:r>
        <w:rPr>
          <w:spacing w:val="-6"/>
          <w:sz w:val="20"/>
        </w:rPr>
        <w:t> </w:t>
      </w:r>
      <w:r>
        <w:rPr>
          <w:sz w:val="20"/>
        </w:rPr>
        <w:t>a</w:t>
      </w:r>
      <w:r>
        <w:rPr>
          <w:spacing w:val="-6"/>
          <w:sz w:val="20"/>
        </w:rPr>
        <w:t> </w:t>
      </w:r>
      <w:r>
        <w:rPr>
          <w:sz w:val="20"/>
        </w:rPr>
        <w:t>no</w:t>
      </w:r>
      <w:r>
        <w:rPr>
          <w:spacing w:val="-6"/>
          <w:sz w:val="20"/>
        </w:rPr>
        <w:t> </w:t>
      </w:r>
      <w:r>
        <w:rPr>
          <w:sz w:val="20"/>
        </w:rPr>
        <w:t>obtener</w:t>
      </w:r>
      <w:r>
        <w:rPr>
          <w:spacing w:val="-6"/>
          <w:sz w:val="20"/>
        </w:rPr>
        <w:t> </w:t>
      </w:r>
      <w:r>
        <w:rPr>
          <w:sz w:val="20"/>
        </w:rPr>
        <w:t>el</w:t>
      </w:r>
      <w:r>
        <w:rPr>
          <w:spacing w:val="-6"/>
          <w:sz w:val="20"/>
        </w:rPr>
        <w:t> </w:t>
      </w:r>
      <w:r>
        <w:rPr>
          <w:sz w:val="20"/>
        </w:rPr>
        <w:t>valor</w:t>
      </w:r>
      <w:r>
        <w:rPr>
          <w:spacing w:val="-6"/>
          <w:sz w:val="20"/>
        </w:rPr>
        <w:t> </w:t>
      </w:r>
      <w:r>
        <w:rPr>
          <w:sz w:val="20"/>
        </w:rPr>
        <w:t>de</w:t>
      </w:r>
      <w:r>
        <w:rPr>
          <w:spacing w:val="-6"/>
          <w:sz w:val="20"/>
        </w:rPr>
        <w:t> </w:t>
      </w:r>
      <w:r>
        <w:rPr>
          <w:sz w:val="20"/>
        </w:rPr>
        <w:t>la</w:t>
      </w:r>
      <w:r>
        <w:rPr>
          <w:spacing w:val="-6"/>
          <w:sz w:val="20"/>
        </w:rPr>
        <w:t> </w:t>
      </w:r>
      <w:r>
        <w:rPr>
          <w:sz w:val="20"/>
        </w:rPr>
        <w:t>canasta alimentaria más una estimación de los gastos no alimenticios considerados como necesarios en general. En el futuro, con métodos más adecuados, será posible distinguir pobreza extrema y pobreza moderada (2002: 57).</w:t>
      </w:r>
    </w:p>
    <w:p>
      <w:pPr>
        <w:pStyle w:val="BodyText"/>
        <w:spacing w:line="247" w:lineRule="auto" w:before="172"/>
        <w:ind w:left="117" w:right="114" w:firstLine="283"/>
        <w:jc w:val="both"/>
      </w:pPr>
      <w:r>
        <w:rPr>
          <w:color w:val="231F20"/>
        </w:rPr>
        <w:t>Al contar con diversos niveles de pobreza los programas sociales di- señados dentro del orden gubernamental cuentan con ejes rectores más claros que guían su funcionamiento. Como es bien señalado por el</w:t>
      </w:r>
      <w:r>
        <w:rPr>
          <w:color w:val="231F20"/>
          <w:spacing w:val="-32"/>
        </w:rPr>
        <w:t> </w:t>
      </w:r>
      <w:r>
        <w:rPr>
          <w:color w:val="231F20"/>
        </w:rPr>
        <w:t>Comité</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jc w:val="both"/>
      </w:pPr>
      <w:r>
        <w:rPr>
          <w:color w:val="231F20"/>
        </w:rPr>
        <w:t>Técnico</w:t>
      </w:r>
      <w:r>
        <w:rPr>
          <w:color w:val="231F20"/>
          <w:spacing w:val="-10"/>
        </w:rPr>
        <w:t> </w:t>
      </w:r>
      <w:r>
        <w:rPr>
          <w:color w:val="231F20"/>
        </w:rPr>
        <w:t>para</w:t>
      </w:r>
      <w:r>
        <w:rPr>
          <w:color w:val="231F20"/>
          <w:spacing w:val="-9"/>
        </w:rPr>
        <w:t> </w:t>
      </w:r>
      <w:r>
        <w:rPr>
          <w:color w:val="231F20"/>
        </w:rPr>
        <w:t>la</w:t>
      </w:r>
      <w:r>
        <w:rPr>
          <w:color w:val="231F20"/>
          <w:spacing w:val="-10"/>
        </w:rPr>
        <w:t> </w:t>
      </w:r>
      <w:r>
        <w:rPr>
          <w:color w:val="231F20"/>
        </w:rPr>
        <w:t>Medición</w:t>
      </w:r>
      <w:r>
        <w:rPr>
          <w:color w:val="231F20"/>
          <w:spacing w:val="-9"/>
        </w:rPr>
        <w:t> </w:t>
      </w:r>
      <w:r>
        <w:rPr>
          <w:color w:val="231F20"/>
        </w:rPr>
        <w:t>de</w:t>
      </w:r>
      <w:r>
        <w:rPr>
          <w:color w:val="231F20"/>
          <w:spacing w:val="-9"/>
        </w:rPr>
        <w:t> </w:t>
      </w:r>
      <w:r>
        <w:rPr>
          <w:color w:val="231F20"/>
        </w:rPr>
        <w:t>la</w:t>
      </w:r>
      <w:r>
        <w:rPr>
          <w:color w:val="231F20"/>
          <w:spacing w:val="-10"/>
        </w:rPr>
        <w:t> </w:t>
      </w:r>
      <w:r>
        <w:rPr>
          <w:color w:val="231F20"/>
        </w:rPr>
        <w:t>Pobreza,</w:t>
      </w:r>
      <w:r>
        <w:rPr>
          <w:color w:val="231F20"/>
          <w:spacing w:val="-9"/>
        </w:rPr>
        <w:t> </w:t>
      </w:r>
      <w:r>
        <w:rPr>
          <w:color w:val="231F20"/>
        </w:rPr>
        <w:t>en</w:t>
      </w:r>
      <w:r>
        <w:rPr>
          <w:color w:val="231F20"/>
          <w:spacing w:val="-10"/>
        </w:rPr>
        <w:t> </w:t>
      </w:r>
      <w:r>
        <w:rPr>
          <w:color w:val="231F20"/>
        </w:rPr>
        <w:t>la</w:t>
      </w:r>
      <w:r>
        <w:rPr>
          <w:color w:val="231F20"/>
          <w:spacing w:val="-10"/>
        </w:rPr>
        <w:t> </w:t>
      </w:r>
      <w:r>
        <w:rPr>
          <w:color w:val="231F20"/>
        </w:rPr>
        <w:t>conceptualización</w:t>
      </w:r>
      <w:r>
        <w:rPr>
          <w:color w:val="231F20"/>
          <w:spacing w:val="-10"/>
        </w:rPr>
        <w:t> </w:t>
      </w:r>
      <w:r>
        <w:rPr>
          <w:color w:val="231F20"/>
        </w:rPr>
        <w:t>de</w:t>
      </w:r>
      <w:r>
        <w:rPr>
          <w:color w:val="231F20"/>
          <w:spacing w:val="-9"/>
        </w:rPr>
        <w:t> </w:t>
      </w:r>
      <w:r>
        <w:rPr>
          <w:color w:val="231F20"/>
        </w:rPr>
        <w:t>ésta</w:t>
      </w:r>
      <w:r>
        <w:rPr>
          <w:color w:val="231F20"/>
          <w:spacing w:val="-10"/>
        </w:rPr>
        <w:t> </w:t>
      </w:r>
      <w:r>
        <w:rPr>
          <w:color w:val="231F20"/>
        </w:rPr>
        <w:t>no existe un significado único, ya que engloba una serie de privaciones o</w:t>
      </w:r>
      <w:r>
        <w:rPr>
          <w:color w:val="231F20"/>
          <w:spacing w:val="-12"/>
        </w:rPr>
        <w:t> </w:t>
      </w:r>
      <w:r>
        <w:rPr>
          <w:color w:val="231F20"/>
        </w:rPr>
        <w:t>ele- mentos necesarios para la vida humana dentro de una sociedad, así como de medios o recursos para modificar esta</w:t>
      </w:r>
      <w:r>
        <w:rPr>
          <w:color w:val="231F20"/>
          <w:spacing w:val="-12"/>
        </w:rPr>
        <w:t> </w:t>
      </w:r>
      <w:r>
        <w:rPr>
          <w:color w:val="231F20"/>
        </w:rPr>
        <w:t>situación.</w:t>
      </w:r>
    </w:p>
    <w:p>
      <w:pPr>
        <w:pStyle w:val="BodyText"/>
        <w:spacing w:line="247" w:lineRule="auto"/>
        <w:ind w:left="117" w:right="115" w:firstLine="283"/>
        <w:jc w:val="both"/>
      </w:pPr>
      <w:r>
        <w:rPr>
          <w:color w:val="231F20"/>
        </w:rPr>
        <w:t>La pobreza en México requiere un tratamiento especializado y de ca- rácter prioritario. Debido a la magnitud del problema, las políticas públi- cas y las políticas sociales necesitan de un nuevo análisis para conocer si la población a la cual están dirigidas está siendo realmente beneficiada conforme a lo estipulado en las propias políticas y si están impulsando el Desarrollo Humano para el cual fueron diseñadas y es precisamente este último punto sobre el cual versa el Programa Oportunidades, por ello es necesario puntualizar dicho término en la siguiente sección.</w:t>
      </w:r>
    </w:p>
    <w:p>
      <w:pPr>
        <w:pStyle w:val="Heading3"/>
      </w:pPr>
      <w:r>
        <w:rPr>
          <w:color w:val="231F20"/>
        </w:rPr>
        <w:t>Desarrollo humano, una necesidad del contexto actual</w:t>
      </w:r>
    </w:p>
    <w:p>
      <w:pPr>
        <w:pStyle w:val="BodyText"/>
        <w:spacing w:line="247" w:lineRule="auto" w:before="172"/>
        <w:ind w:left="117" w:right="115"/>
        <w:jc w:val="both"/>
      </w:pPr>
      <w:r>
        <w:rPr>
          <w:color w:val="231F20"/>
        </w:rPr>
        <w:t>Hoy en día el Desarrollo Humano representa un paradigma de desarrollo que va más allá del aumento o la disminución de los ingresos de un país, ya</w:t>
      </w:r>
      <w:r>
        <w:rPr>
          <w:color w:val="231F20"/>
          <w:spacing w:val="-3"/>
        </w:rPr>
        <w:t> </w:t>
      </w:r>
      <w:r>
        <w:rPr>
          <w:color w:val="231F20"/>
        </w:rPr>
        <w:t>que</w:t>
      </w:r>
      <w:r>
        <w:rPr>
          <w:color w:val="231F20"/>
          <w:spacing w:val="-3"/>
        </w:rPr>
        <w:t> </w:t>
      </w:r>
      <w:r>
        <w:rPr>
          <w:color w:val="231F20"/>
        </w:rPr>
        <w:t>comprende</w:t>
      </w:r>
      <w:r>
        <w:rPr>
          <w:color w:val="231F20"/>
          <w:spacing w:val="-4"/>
        </w:rPr>
        <w:t> </w:t>
      </w:r>
      <w:r>
        <w:rPr>
          <w:color w:val="231F20"/>
        </w:rPr>
        <w:t>la</w:t>
      </w:r>
      <w:r>
        <w:rPr>
          <w:color w:val="231F20"/>
          <w:spacing w:val="-3"/>
        </w:rPr>
        <w:t> </w:t>
      </w:r>
      <w:r>
        <w:rPr>
          <w:color w:val="231F20"/>
        </w:rPr>
        <w:t>creación</w:t>
      </w:r>
      <w:r>
        <w:rPr>
          <w:color w:val="231F20"/>
          <w:spacing w:val="-4"/>
        </w:rPr>
        <w:t> </w:t>
      </w:r>
      <w:r>
        <w:rPr>
          <w:color w:val="231F20"/>
        </w:rPr>
        <w:t>de</w:t>
      </w:r>
      <w:r>
        <w:rPr>
          <w:color w:val="231F20"/>
          <w:spacing w:val="-3"/>
        </w:rPr>
        <w:t> </w:t>
      </w:r>
      <w:r>
        <w:rPr>
          <w:color w:val="231F20"/>
        </w:rPr>
        <w:t>un</w:t>
      </w:r>
      <w:r>
        <w:rPr>
          <w:color w:val="231F20"/>
          <w:spacing w:val="-3"/>
        </w:rPr>
        <w:t> </w:t>
      </w:r>
      <w:r>
        <w:rPr>
          <w:color w:val="231F20"/>
        </w:rPr>
        <w:t>entorno</w:t>
      </w:r>
      <w:r>
        <w:rPr>
          <w:color w:val="231F20"/>
          <w:spacing w:val="-4"/>
        </w:rPr>
        <w:t> </w:t>
      </w:r>
      <w:r>
        <w:rPr>
          <w:color w:val="231F20"/>
        </w:rPr>
        <w:t>en</w:t>
      </w:r>
      <w:r>
        <w:rPr>
          <w:color w:val="231F20"/>
          <w:spacing w:val="-3"/>
        </w:rPr>
        <w:t> </w:t>
      </w:r>
      <w:r>
        <w:rPr>
          <w:color w:val="231F20"/>
        </w:rPr>
        <w:t>el</w:t>
      </w:r>
      <w:r>
        <w:rPr>
          <w:color w:val="231F20"/>
          <w:spacing w:val="-3"/>
        </w:rPr>
        <w:t> </w:t>
      </w:r>
      <w:r>
        <w:rPr>
          <w:color w:val="231F20"/>
        </w:rPr>
        <w:t>que</w:t>
      </w:r>
      <w:r>
        <w:rPr>
          <w:color w:val="231F20"/>
          <w:spacing w:val="-3"/>
        </w:rPr>
        <w:t> </w:t>
      </w:r>
      <w:r>
        <w:rPr>
          <w:color w:val="231F20"/>
        </w:rPr>
        <w:t>las</w:t>
      </w:r>
      <w:r>
        <w:rPr>
          <w:color w:val="231F20"/>
          <w:spacing w:val="-3"/>
        </w:rPr>
        <w:t> </w:t>
      </w:r>
      <w:r>
        <w:rPr>
          <w:color w:val="231F20"/>
        </w:rPr>
        <w:t>personas</w:t>
      </w:r>
      <w:r>
        <w:rPr>
          <w:color w:val="231F20"/>
          <w:spacing w:val="-3"/>
        </w:rPr>
        <w:t> </w:t>
      </w:r>
      <w:r>
        <w:rPr>
          <w:color w:val="231F20"/>
        </w:rPr>
        <w:t>puedan desarrollar su máximo potencial y llevar adelante una vida productiva en concordancia con sus necesidades e intereses. El desarrollo implica la</w:t>
      </w:r>
      <w:r>
        <w:rPr>
          <w:color w:val="231F20"/>
          <w:spacing w:val="-20"/>
        </w:rPr>
        <w:t> </w:t>
      </w:r>
      <w:r>
        <w:rPr>
          <w:color w:val="231F20"/>
        </w:rPr>
        <w:t>am- pliación de oportunidades para que cada persona pueda vivir una vida que valore. El desarrollo, en palabras del Programa de Naciones Unidas para el Desarrollo (1990), es mucho más que el crecimiento económico, que constituye sólo un medio para que cada persona tenga más oportunidades, por tanto las personas son la verdadera riqueza de las</w:t>
      </w:r>
      <w:r>
        <w:rPr>
          <w:color w:val="231F20"/>
          <w:spacing w:val="-5"/>
        </w:rPr>
        <w:t> </w:t>
      </w:r>
      <w:r>
        <w:rPr>
          <w:color w:val="231F20"/>
        </w:rPr>
        <w:t>naciones.</w:t>
      </w:r>
    </w:p>
    <w:p>
      <w:pPr>
        <w:pStyle w:val="BodyText"/>
        <w:spacing w:line="247" w:lineRule="auto"/>
        <w:ind w:left="117" w:right="114" w:firstLine="283"/>
        <w:jc w:val="both"/>
      </w:pPr>
      <w:r>
        <w:rPr>
          <w:color w:val="231F20"/>
        </w:rPr>
        <w:t>Frecuentemente las consideraciones técnicas acerca de los medios para alcanzar el Desarrollo Humano difuminan el hecho de que el objetivo pri- mordial</w:t>
      </w:r>
      <w:r>
        <w:rPr>
          <w:color w:val="231F20"/>
          <w:spacing w:val="-4"/>
        </w:rPr>
        <w:t> </w:t>
      </w:r>
      <w:r>
        <w:rPr>
          <w:color w:val="231F20"/>
        </w:rPr>
        <w:t>del</w:t>
      </w:r>
      <w:r>
        <w:rPr>
          <w:color w:val="231F20"/>
          <w:spacing w:val="-4"/>
        </w:rPr>
        <w:t> </w:t>
      </w:r>
      <w:r>
        <w:rPr>
          <w:color w:val="231F20"/>
        </w:rPr>
        <w:t>desarrollo</w:t>
      </w:r>
      <w:r>
        <w:rPr>
          <w:color w:val="231F20"/>
          <w:spacing w:val="-4"/>
        </w:rPr>
        <w:t> </w:t>
      </w:r>
      <w:r>
        <w:rPr>
          <w:color w:val="231F20"/>
        </w:rPr>
        <w:t>es</w:t>
      </w:r>
      <w:r>
        <w:rPr>
          <w:color w:val="231F20"/>
          <w:spacing w:val="-4"/>
        </w:rPr>
        <w:t> </w:t>
      </w:r>
      <w:r>
        <w:rPr>
          <w:color w:val="231F20"/>
        </w:rPr>
        <w:t>el</w:t>
      </w:r>
      <w:r>
        <w:rPr>
          <w:color w:val="231F20"/>
          <w:spacing w:val="-4"/>
        </w:rPr>
        <w:t> </w:t>
      </w:r>
      <w:r>
        <w:rPr>
          <w:color w:val="231F20"/>
        </w:rPr>
        <w:t>benéficio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gente,</w:t>
      </w:r>
      <w:r>
        <w:rPr>
          <w:color w:val="231F20"/>
          <w:spacing w:val="-4"/>
        </w:rPr>
        <w:t> </w:t>
      </w:r>
      <w:r>
        <w:rPr>
          <w:color w:val="231F20"/>
        </w:rPr>
        <w:t>de</w:t>
      </w:r>
      <w:r>
        <w:rPr>
          <w:color w:val="231F20"/>
          <w:spacing w:val="-4"/>
        </w:rPr>
        <w:t> </w:t>
      </w:r>
      <w:r>
        <w:rPr>
          <w:color w:val="231F20"/>
        </w:rPr>
        <w:t>ahí</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beneficios sociales deben juzgarse según la medida en que se promueva el bienestar humano.</w:t>
      </w:r>
      <w:r>
        <w:rPr>
          <w:color w:val="231F20"/>
          <w:spacing w:val="-6"/>
        </w:rPr>
        <w:t> </w:t>
      </w:r>
      <w:r>
        <w:rPr>
          <w:color w:val="231F20"/>
        </w:rPr>
        <w:t>El</w:t>
      </w:r>
      <w:r>
        <w:rPr>
          <w:color w:val="231F20"/>
          <w:spacing w:val="-6"/>
        </w:rPr>
        <w:t> </w:t>
      </w:r>
      <w:r>
        <w:rPr>
          <w:color w:val="231F20"/>
        </w:rPr>
        <w:t>Desarrollo</w:t>
      </w:r>
      <w:r>
        <w:rPr>
          <w:color w:val="231F20"/>
          <w:spacing w:val="-6"/>
        </w:rPr>
        <w:t> </w:t>
      </w:r>
      <w:r>
        <w:rPr>
          <w:color w:val="231F20"/>
        </w:rPr>
        <w:t>Humano</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proceso</w:t>
      </w:r>
      <w:r>
        <w:rPr>
          <w:color w:val="231F20"/>
          <w:spacing w:val="-6"/>
        </w:rPr>
        <w:t> </w:t>
      </w:r>
      <w:r>
        <w:rPr>
          <w:color w:val="231F20"/>
        </w:rPr>
        <w:t>mediante</w:t>
      </w:r>
      <w:r>
        <w:rPr>
          <w:color w:val="231F20"/>
          <w:spacing w:val="-7"/>
        </w:rPr>
        <w:t> </w:t>
      </w:r>
      <w:r>
        <w:rPr>
          <w:color w:val="231F20"/>
        </w:rPr>
        <w:t>el</w:t>
      </w:r>
      <w:r>
        <w:rPr>
          <w:color w:val="231F20"/>
          <w:spacing w:val="-6"/>
        </w:rPr>
        <w:t> </w:t>
      </w:r>
      <w:r>
        <w:rPr>
          <w:color w:val="231F20"/>
        </w:rPr>
        <w:t>cual</w:t>
      </w:r>
      <w:r>
        <w:rPr>
          <w:color w:val="231F20"/>
          <w:spacing w:val="-7"/>
        </w:rPr>
        <w:t> </w:t>
      </w:r>
      <w:r>
        <w:rPr>
          <w:color w:val="231F20"/>
        </w:rPr>
        <w:t>se</w:t>
      </w:r>
      <w:r>
        <w:rPr>
          <w:color w:val="231F20"/>
          <w:spacing w:val="-6"/>
        </w:rPr>
        <w:t> </w:t>
      </w:r>
      <w:r>
        <w:rPr>
          <w:color w:val="231F20"/>
        </w:rPr>
        <w:t>amplían las oportunidades de los individuos, en donde las más importantes son “una vida prolongada y saludable, acceso a la educación y el disfrute de un nivel de vida decente. Otras oportunidades incluyen la libertad</w:t>
      </w:r>
      <w:r>
        <w:rPr>
          <w:color w:val="231F20"/>
          <w:spacing w:val="-38"/>
        </w:rPr>
        <w:t> </w:t>
      </w:r>
      <w:r>
        <w:rPr>
          <w:color w:val="231F20"/>
        </w:rPr>
        <w:t>política, la garantía de los derechos humanos y el respeto a sí mismo…” (PNUD, 1990: 33).</w:t>
      </w:r>
    </w:p>
    <w:p>
      <w:pPr>
        <w:pStyle w:val="BodyText"/>
        <w:spacing w:line="247" w:lineRule="auto"/>
        <w:ind w:left="117" w:right="114" w:firstLine="283"/>
        <w:jc w:val="both"/>
      </w:pPr>
      <w:r>
        <w:rPr>
          <w:color w:val="231F20"/>
        </w:rPr>
        <w:t>Es</w:t>
      </w:r>
      <w:r>
        <w:rPr>
          <w:color w:val="231F20"/>
          <w:spacing w:val="-8"/>
        </w:rPr>
        <w:t> </w:t>
      </w:r>
      <w:r>
        <w:rPr>
          <w:color w:val="231F20"/>
        </w:rPr>
        <w:t>por</w:t>
      </w:r>
      <w:r>
        <w:rPr>
          <w:color w:val="231F20"/>
          <w:spacing w:val="-8"/>
        </w:rPr>
        <w:t> </w:t>
      </w:r>
      <w:r>
        <w:rPr>
          <w:color w:val="231F20"/>
        </w:rPr>
        <w:t>lo</w:t>
      </w:r>
      <w:r>
        <w:rPr>
          <w:color w:val="231F20"/>
          <w:spacing w:val="-8"/>
        </w:rPr>
        <w:t> </w:t>
      </w:r>
      <w:r>
        <w:rPr>
          <w:color w:val="231F20"/>
        </w:rPr>
        <w:t>anterior</w:t>
      </w:r>
      <w:r>
        <w:rPr>
          <w:color w:val="231F20"/>
          <w:spacing w:val="-8"/>
        </w:rPr>
        <w:t> </w:t>
      </w:r>
      <w:r>
        <w:rPr>
          <w:color w:val="231F20"/>
        </w:rPr>
        <w:t>que</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rPr>
        <w:t>existencia</w:t>
      </w:r>
      <w:r>
        <w:rPr>
          <w:color w:val="231F20"/>
          <w:spacing w:val="-9"/>
        </w:rPr>
        <w:t> </w:t>
      </w:r>
      <w:r>
        <w:rPr>
          <w:color w:val="231F20"/>
        </w:rPr>
        <w:t>de</w:t>
      </w:r>
      <w:r>
        <w:rPr>
          <w:color w:val="231F20"/>
          <w:spacing w:val="-8"/>
        </w:rPr>
        <w:t> </w:t>
      </w:r>
      <w:r>
        <w:rPr>
          <w:color w:val="231F20"/>
        </w:rPr>
        <w:t>más</w:t>
      </w:r>
      <w:r>
        <w:rPr>
          <w:color w:val="231F20"/>
          <w:spacing w:val="-8"/>
        </w:rPr>
        <w:t> </w:t>
      </w:r>
      <w:r>
        <w:rPr>
          <w:color w:val="231F20"/>
        </w:rPr>
        <w:t>oportunidades</w:t>
      </w:r>
      <w:r>
        <w:rPr>
          <w:color w:val="231F20"/>
          <w:spacing w:val="-8"/>
        </w:rPr>
        <w:t> </w:t>
      </w:r>
      <w:r>
        <w:rPr>
          <w:color w:val="231F20"/>
        </w:rPr>
        <w:t>lo</w:t>
      </w:r>
      <w:r>
        <w:rPr>
          <w:color w:val="231F20"/>
          <w:spacing w:val="-8"/>
        </w:rPr>
        <w:t> </w:t>
      </w:r>
      <w:r>
        <w:rPr>
          <w:color w:val="231F20"/>
        </w:rPr>
        <w:t>funda- mental</w:t>
      </w:r>
      <w:r>
        <w:rPr>
          <w:color w:val="231F20"/>
          <w:spacing w:val="-12"/>
        </w:rPr>
        <w:t> </w:t>
      </w:r>
      <w:r>
        <w:rPr>
          <w:color w:val="231F20"/>
        </w:rPr>
        <w:t>es</w:t>
      </w:r>
      <w:r>
        <w:rPr>
          <w:color w:val="231F20"/>
          <w:spacing w:val="-11"/>
        </w:rPr>
        <w:t> </w:t>
      </w:r>
      <w:r>
        <w:rPr>
          <w:color w:val="231F20"/>
        </w:rPr>
        <w:t>desarrollar</w:t>
      </w:r>
      <w:r>
        <w:rPr>
          <w:color w:val="231F20"/>
          <w:spacing w:val="-11"/>
        </w:rPr>
        <w:t> </w:t>
      </w:r>
      <w:r>
        <w:rPr>
          <w:color w:val="231F20"/>
        </w:rPr>
        <w:t>capacidades</w:t>
      </w:r>
      <w:r>
        <w:rPr>
          <w:color w:val="231F20"/>
          <w:spacing w:val="-11"/>
        </w:rPr>
        <w:t> </w:t>
      </w:r>
      <w:r>
        <w:rPr>
          <w:color w:val="231F20"/>
        </w:rPr>
        <w:t>humanas</w:t>
      </w:r>
      <w:r>
        <w:rPr>
          <w:color w:val="231F20"/>
          <w:spacing w:val="-11"/>
        </w:rPr>
        <w:t> </w:t>
      </w:r>
      <w:r>
        <w:rPr>
          <w:color w:val="231F20"/>
        </w:rPr>
        <w:t>ya</w:t>
      </w:r>
      <w:r>
        <w:rPr>
          <w:color w:val="231F20"/>
          <w:spacing w:val="-11"/>
        </w:rPr>
        <w:t> </w:t>
      </w:r>
      <w:r>
        <w:rPr>
          <w:color w:val="231F20"/>
        </w:rPr>
        <w:t>que</w:t>
      </w:r>
      <w:r>
        <w:rPr>
          <w:color w:val="231F20"/>
          <w:spacing w:val="-11"/>
        </w:rPr>
        <w:t> </w:t>
      </w:r>
      <w:r>
        <w:rPr>
          <w:color w:val="231F20"/>
        </w:rPr>
        <w:t>sin</w:t>
      </w:r>
      <w:r>
        <w:rPr>
          <w:color w:val="231F20"/>
          <w:spacing w:val="-11"/>
        </w:rPr>
        <w:t> </w:t>
      </w:r>
      <w:r>
        <w:rPr>
          <w:color w:val="231F20"/>
        </w:rPr>
        <w:t>éstas,</w:t>
      </w:r>
      <w:r>
        <w:rPr>
          <w:color w:val="231F20"/>
          <w:spacing w:val="-11"/>
        </w:rPr>
        <w:t> </w:t>
      </w:r>
      <w:r>
        <w:rPr>
          <w:color w:val="231F20"/>
        </w:rPr>
        <w:t>muchas</w:t>
      </w:r>
      <w:r>
        <w:rPr>
          <w:color w:val="231F20"/>
          <w:spacing w:val="-11"/>
        </w:rPr>
        <w:t> </w:t>
      </w:r>
      <w:r>
        <w:rPr>
          <w:color w:val="231F20"/>
        </w:rPr>
        <w:t>opcio- nes</w:t>
      </w:r>
      <w:r>
        <w:rPr>
          <w:color w:val="231F20"/>
          <w:spacing w:val="-10"/>
        </w:rPr>
        <w:t> </w:t>
      </w:r>
      <w:r>
        <w:rPr>
          <w:color w:val="231F20"/>
        </w:rPr>
        <w:t>y</w:t>
      </w:r>
      <w:r>
        <w:rPr>
          <w:color w:val="231F20"/>
          <w:spacing w:val="-10"/>
        </w:rPr>
        <w:t> </w:t>
      </w:r>
      <w:r>
        <w:rPr>
          <w:color w:val="231F20"/>
        </w:rPr>
        <w:t>oportunidades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vida</w:t>
      </w:r>
      <w:r>
        <w:rPr>
          <w:color w:val="231F20"/>
          <w:spacing w:val="-10"/>
        </w:rPr>
        <w:t> </w:t>
      </w:r>
      <w:r>
        <w:rPr>
          <w:color w:val="231F20"/>
        </w:rPr>
        <w:t>permanecen</w:t>
      </w:r>
      <w:r>
        <w:rPr>
          <w:color w:val="231F20"/>
          <w:spacing w:val="-10"/>
        </w:rPr>
        <w:t> </w:t>
      </w:r>
      <w:r>
        <w:rPr>
          <w:color w:val="231F20"/>
        </w:rPr>
        <w:t>inaccesibles.</w:t>
      </w:r>
      <w:r>
        <w:rPr>
          <w:color w:val="231F20"/>
          <w:spacing w:val="-11"/>
        </w:rPr>
        <w:t> </w:t>
      </w:r>
      <w:r>
        <w:rPr>
          <w:color w:val="231F20"/>
        </w:rPr>
        <w:t>Se</w:t>
      </w:r>
      <w:r>
        <w:rPr>
          <w:color w:val="231F20"/>
          <w:spacing w:val="-10"/>
        </w:rPr>
        <w:t> </w:t>
      </w:r>
      <w:r>
        <w:rPr>
          <w:color w:val="231F20"/>
        </w:rPr>
        <w:t>tiende</w:t>
      </w:r>
      <w:r>
        <w:rPr>
          <w:color w:val="231F20"/>
          <w:spacing w:val="-10"/>
        </w:rPr>
        <w:t> </w:t>
      </w:r>
      <w:r>
        <w:rPr>
          <w:color w:val="231F20"/>
        </w:rPr>
        <w:t>a</w:t>
      </w:r>
      <w:r>
        <w:rPr>
          <w:color w:val="231F20"/>
          <w:spacing w:val="-10"/>
        </w:rPr>
        <w:t> </w:t>
      </w:r>
      <w:r>
        <w:rPr>
          <w:color w:val="231F20"/>
        </w:rPr>
        <w:t>pensar que</w:t>
      </w:r>
      <w:r>
        <w:rPr>
          <w:color w:val="231F20"/>
          <w:spacing w:val="-8"/>
        </w:rPr>
        <w:t> </w:t>
      </w:r>
      <w:r>
        <w:rPr>
          <w:color w:val="231F20"/>
        </w:rPr>
        <w:t>el</w:t>
      </w:r>
      <w:r>
        <w:rPr>
          <w:color w:val="231F20"/>
          <w:spacing w:val="-8"/>
        </w:rPr>
        <w:t> </w:t>
      </w:r>
      <w:r>
        <w:rPr>
          <w:color w:val="231F20"/>
        </w:rPr>
        <w:t>ingreso</w:t>
      </w:r>
      <w:r>
        <w:rPr>
          <w:color w:val="231F20"/>
          <w:spacing w:val="-8"/>
        </w:rPr>
        <w:t> </w:t>
      </w:r>
      <w:r>
        <w:rPr>
          <w:color w:val="231F20"/>
        </w:rPr>
        <w:t>puede</w:t>
      </w:r>
      <w:r>
        <w:rPr>
          <w:color w:val="231F20"/>
          <w:spacing w:val="-8"/>
        </w:rPr>
        <w:t> </w:t>
      </w:r>
      <w:r>
        <w:rPr>
          <w:color w:val="231F20"/>
        </w:rPr>
        <w:t>ser</w:t>
      </w:r>
      <w:r>
        <w:rPr>
          <w:color w:val="231F20"/>
          <w:spacing w:val="-8"/>
        </w:rPr>
        <w:t> </w:t>
      </w:r>
      <w:r>
        <w:rPr>
          <w:color w:val="231F20"/>
        </w:rPr>
        <w:t>un</w:t>
      </w:r>
      <w:r>
        <w:rPr>
          <w:color w:val="231F20"/>
          <w:spacing w:val="-8"/>
        </w:rPr>
        <w:t> </w:t>
      </w:r>
      <w:r>
        <w:rPr>
          <w:color w:val="231F20"/>
        </w:rPr>
        <w:t>sustituto</w:t>
      </w:r>
      <w:r>
        <w:rPr>
          <w:color w:val="231F20"/>
          <w:spacing w:val="-7"/>
        </w:rPr>
        <w:t> </w:t>
      </w:r>
      <w:r>
        <w:rPr>
          <w:color w:val="231F20"/>
        </w:rPr>
        <w:t>de</w:t>
      </w:r>
      <w:r>
        <w:rPr>
          <w:color w:val="231F20"/>
          <w:spacing w:val="-8"/>
        </w:rPr>
        <w:t> </w:t>
      </w:r>
      <w:r>
        <w:rPr>
          <w:color w:val="231F20"/>
        </w:rPr>
        <w:t>las</w:t>
      </w:r>
      <w:r>
        <w:rPr>
          <w:color w:val="231F20"/>
          <w:spacing w:val="-8"/>
        </w:rPr>
        <w:t> </w:t>
      </w:r>
      <w:r>
        <w:rPr>
          <w:color w:val="231F20"/>
        </w:rPr>
        <w:t>demás</w:t>
      </w:r>
      <w:r>
        <w:rPr>
          <w:color w:val="231F20"/>
          <w:spacing w:val="-8"/>
        </w:rPr>
        <w:t> </w:t>
      </w:r>
      <w:r>
        <w:rPr>
          <w:color w:val="231F20"/>
        </w:rPr>
        <w:t>oportunidades,</w:t>
      </w:r>
      <w:r>
        <w:rPr>
          <w:color w:val="231F20"/>
          <w:spacing w:val="-8"/>
        </w:rPr>
        <w:t> </w:t>
      </w:r>
      <w:r>
        <w:rPr>
          <w:color w:val="231F20"/>
        </w:rPr>
        <w:t>pero</w:t>
      </w:r>
      <w:r>
        <w:rPr>
          <w:color w:val="231F20"/>
          <w:spacing w:val="-8"/>
        </w:rPr>
        <w:t> </w:t>
      </w:r>
      <w:r>
        <w:rPr>
          <w:color w:val="231F20"/>
        </w:rPr>
        <w:t>esto no es cierto del todo. Se pierde de vista que el ingreso sólo constituye </w:t>
      </w:r>
      <w:r>
        <w:rPr>
          <w:color w:val="231F20"/>
          <w:spacing w:val="53"/>
        </w:rPr>
        <w:t> </w:t>
      </w:r>
      <w:r>
        <w:rPr>
          <w:color w:val="231F20"/>
        </w:rPr>
        <w:t>un</w:t>
      </w:r>
    </w:p>
    <w:p>
      <w:pPr>
        <w:spacing w:after="0" w:line="247" w:lineRule="auto"/>
        <w:jc w:val="both"/>
        <w:sectPr>
          <w:pgSz w:w="9360" w:h="13040"/>
          <w:pgMar w:header="0" w:footer="496" w:top="800" w:bottom="680" w:left="1300" w:right="1300"/>
        </w:sectPr>
      </w:pPr>
    </w:p>
    <w:p>
      <w:pPr>
        <w:spacing w:before="45"/>
        <w:ind w:left="117" w:right="117" w:firstLine="67"/>
        <w:jc w:val="left"/>
        <w:rPr>
          <w:rFonts w:ascii="Arial" w:hAnsi="Arial"/>
          <w:sz w:val="20"/>
        </w:rPr>
      </w:pPr>
      <w:r>
        <w:rPr>
          <w:rFonts w:ascii="Arial" w:hAnsi="Arial"/>
          <w:color w:val="231F20"/>
          <w:w w:val="65"/>
          <w:sz w:val="20"/>
        </w:rPr>
        <w:t>Las políticas públicas de combate a la pobreza y su sinergia... /Mayra P. Pérez-Román y A. Velázquez-Romero</w:t>
      </w:r>
    </w:p>
    <w:p>
      <w:pPr>
        <w:pStyle w:val="BodyText"/>
        <w:spacing w:before="7"/>
        <w:rPr>
          <w:rFonts w:ascii="Arial"/>
          <w:sz w:val="28"/>
        </w:rPr>
      </w:pPr>
    </w:p>
    <w:p>
      <w:pPr>
        <w:pStyle w:val="BodyText"/>
        <w:spacing w:line="247" w:lineRule="auto"/>
        <w:ind w:left="117" w:right="115"/>
        <w:jc w:val="both"/>
      </w:pPr>
      <w:r>
        <w:rPr>
          <w:color w:val="231F20"/>
        </w:rPr>
        <w:t>medio y no un fin, por ello no hay que perder de vista que el bienestar de la sociedad radica en el uso dado a dicho ingreso y no al nivel de ingreso mismo.</w:t>
      </w:r>
    </w:p>
    <w:p>
      <w:pPr>
        <w:pStyle w:val="BodyText"/>
        <w:spacing w:line="247" w:lineRule="auto"/>
        <w:ind w:left="117" w:right="115" w:firstLine="283"/>
        <w:jc w:val="right"/>
      </w:pPr>
      <w:r>
        <w:rPr>
          <w:color w:val="231F20"/>
        </w:rPr>
        <w:t>La</w:t>
      </w:r>
      <w:r>
        <w:rPr>
          <w:color w:val="231F20"/>
          <w:spacing w:val="-8"/>
        </w:rPr>
        <w:t> </w:t>
      </w:r>
      <w:r>
        <w:rPr>
          <w:color w:val="231F20"/>
        </w:rPr>
        <w:t>definición</w:t>
      </w:r>
      <w:r>
        <w:rPr>
          <w:color w:val="231F20"/>
          <w:spacing w:val="-8"/>
        </w:rPr>
        <w:t> </w:t>
      </w:r>
      <w:r>
        <w:rPr>
          <w:color w:val="231F20"/>
        </w:rPr>
        <w:t>de</w:t>
      </w:r>
      <w:r>
        <w:rPr>
          <w:color w:val="231F20"/>
          <w:spacing w:val="-8"/>
        </w:rPr>
        <w:t> </w:t>
      </w:r>
      <w:r>
        <w:rPr>
          <w:color w:val="231F20"/>
        </w:rPr>
        <w:t>Desarrollo</w:t>
      </w:r>
      <w:r>
        <w:rPr>
          <w:color w:val="231F20"/>
          <w:spacing w:val="-8"/>
        </w:rPr>
        <w:t> </w:t>
      </w:r>
      <w:r>
        <w:rPr>
          <w:color w:val="231F20"/>
        </w:rPr>
        <w:t>Humano</w:t>
      </w:r>
      <w:r>
        <w:rPr>
          <w:color w:val="231F20"/>
          <w:spacing w:val="-8"/>
        </w:rPr>
        <w:t> </w:t>
      </w:r>
      <w:r>
        <w:rPr>
          <w:color w:val="231F20"/>
        </w:rPr>
        <w:t>proporcionada</w:t>
      </w:r>
      <w:r>
        <w:rPr>
          <w:color w:val="231F20"/>
          <w:spacing w:val="-8"/>
        </w:rPr>
        <w:t> </w:t>
      </w:r>
      <w:r>
        <w:rPr>
          <w:color w:val="231F20"/>
        </w:rPr>
        <w:t>por</w:t>
      </w:r>
      <w:r>
        <w:rPr>
          <w:color w:val="231F20"/>
          <w:spacing w:val="-8"/>
        </w:rPr>
        <w:t> </w:t>
      </w:r>
      <w:r>
        <w:rPr>
          <w:color w:val="231F20"/>
        </w:rPr>
        <w:t>el</w:t>
      </w:r>
      <w:r>
        <w:rPr>
          <w:color w:val="231F20"/>
          <w:spacing w:val="-8"/>
        </w:rPr>
        <w:t> </w:t>
      </w:r>
      <w:r>
        <w:rPr>
          <w:color w:val="231F20"/>
        </w:rPr>
        <w:t>Programa</w:t>
      </w:r>
      <w:r>
        <w:rPr>
          <w:color w:val="231F20"/>
          <w:spacing w:val="-8"/>
        </w:rPr>
        <w:t> </w:t>
      </w:r>
      <w:r>
        <w:rPr>
          <w:color w:val="231F20"/>
        </w:rPr>
        <w:t>de</w:t>
      </w:r>
      <w:r>
        <w:rPr>
          <w:color w:val="231F20"/>
          <w:w w:val="100"/>
        </w:rPr>
        <w:t> </w:t>
      </w:r>
      <w:r>
        <w:rPr>
          <w:color w:val="231F20"/>
        </w:rPr>
        <w:t>las</w:t>
      </w:r>
      <w:r>
        <w:rPr>
          <w:color w:val="231F20"/>
          <w:spacing w:val="-9"/>
        </w:rPr>
        <w:t> </w:t>
      </w:r>
      <w:r>
        <w:rPr>
          <w:color w:val="231F20"/>
        </w:rPr>
        <w:t>Naciones</w:t>
      </w:r>
      <w:r>
        <w:rPr>
          <w:color w:val="231F20"/>
          <w:spacing w:val="-8"/>
        </w:rPr>
        <w:t> </w:t>
      </w:r>
      <w:r>
        <w:rPr>
          <w:color w:val="231F20"/>
        </w:rPr>
        <w:t>Unidad</w:t>
      </w:r>
      <w:r>
        <w:rPr>
          <w:color w:val="231F20"/>
          <w:spacing w:val="-9"/>
        </w:rPr>
        <w:t> </w:t>
      </w:r>
      <w:r>
        <w:rPr>
          <w:color w:val="231F20"/>
        </w:rPr>
        <w:t>para</w:t>
      </w:r>
      <w:r>
        <w:rPr>
          <w:color w:val="231F20"/>
          <w:spacing w:val="-9"/>
        </w:rPr>
        <w:t> </w:t>
      </w:r>
      <w:r>
        <w:rPr>
          <w:color w:val="231F20"/>
        </w:rPr>
        <w:t>el</w:t>
      </w:r>
      <w:r>
        <w:rPr>
          <w:color w:val="231F20"/>
          <w:spacing w:val="-9"/>
        </w:rPr>
        <w:t> </w:t>
      </w:r>
      <w:r>
        <w:rPr>
          <w:color w:val="231F20"/>
        </w:rPr>
        <w:t>Desarrollo</w:t>
      </w:r>
      <w:r>
        <w:rPr>
          <w:color w:val="231F20"/>
          <w:spacing w:val="-8"/>
        </w:rPr>
        <w:t> </w:t>
      </w:r>
      <w:r>
        <w:rPr>
          <w:color w:val="231F20"/>
        </w:rPr>
        <w:t>(PNUD)</w:t>
      </w:r>
      <w:r>
        <w:rPr>
          <w:color w:val="231F20"/>
          <w:spacing w:val="-9"/>
        </w:rPr>
        <w:t> </w:t>
      </w:r>
      <w:r>
        <w:rPr>
          <w:color w:val="231F20"/>
        </w:rPr>
        <w:t>abarca</w:t>
      </w:r>
      <w:r>
        <w:rPr>
          <w:color w:val="231F20"/>
          <w:spacing w:val="-9"/>
        </w:rPr>
        <w:t> </w:t>
      </w:r>
      <w:r>
        <w:rPr>
          <w:color w:val="231F20"/>
        </w:rPr>
        <w:t>tanto</w:t>
      </w:r>
      <w:r>
        <w:rPr>
          <w:color w:val="231F20"/>
          <w:spacing w:val="-9"/>
        </w:rPr>
        <w:t> </w:t>
      </w:r>
      <w:r>
        <w:rPr>
          <w:color w:val="231F20"/>
        </w:rPr>
        <w:t>el</w:t>
      </w:r>
      <w:r>
        <w:rPr>
          <w:color w:val="231F20"/>
          <w:spacing w:val="-9"/>
        </w:rPr>
        <w:t> </w:t>
      </w:r>
      <w:r>
        <w:rPr>
          <w:color w:val="231F20"/>
        </w:rPr>
        <w:t>proceso</w:t>
      </w:r>
      <w:r>
        <w:rPr>
          <w:color w:val="231F20"/>
          <w:spacing w:val="-9"/>
        </w:rPr>
        <w:t> </w:t>
      </w:r>
      <w:r>
        <w:rPr>
          <w:color w:val="231F20"/>
        </w:rPr>
        <w:t>de ampliar</w:t>
      </w:r>
      <w:r>
        <w:rPr>
          <w:color w:val="231F20"/>
          <w:spacing w:val="-11"/>
        </w:rPr>
        <w:t> </w:t>
      </w:r>
      <w:r>
        <w:rPr>
          <w:color w:val="231F20"/>
        </w:rPr>
        <w:t>las</w:t>
      </w:r>
      <w:r>
        <w:rPr>
          <w:color w:val="231F20"/>
          <w:spacing w:val="-10"/>
        </w:rPr>
        <w:t> </w:t>
      </w:r>
      <w:r>
        <w:rPr>
          <w:color w:val="231F20"/>
        </w:rPr>
        <w:t>oportunidades</w:t>
      </w:r>
      <w:r>
        <w:rPr>
          <w:color w:val="231F20"/>
          <w:spacing w:val="-10"/>
        </w:rPr>
        <w:t> </w:t>
      </w:r>
      <w:r>
        <w:rPr>
          <w:color w:val="231F20"/>
        </w:rPr>
        <w:t>como</w:t>
      </w:r>
      <w:r>
        <w:rPr>
          <w:color w:val="231F20"/>
          <w:spacing w:val="-11"/>
        </w:rPr>
        <w:t> </w:t>
      </w:r>
      <w:r>
        <w:rPr>
          <w:color w:val="231F20"/>
        </w:rPr>
        <w:t>el</w:t>
      </w:r>
      <w:r>
        <w:rPr>
          <w:color w:val="231F20"/>
          <w:spacing w:val="-10"/>
        </w:rPr>
        <w:t> </w:t>
      </w:r>
      <w:r>
        <w:rPr>
          <w:color w:val="231F20"/>
        </w:rPr>
        <w:t>nivel</w:t>
      </w:r>
      <w:r>
        <w:rPr>
          <w:color w:val="231F20"/>
          <w:spacing w:val="-10"/>
        </w:rPr>
        <w:t> </w:t>
      </w:r>
      <w:r>
        <w:rPr>
          <w:color w:val="231F20"/>
        </w:rPr>
        <w:t>de</w:t>
      </w:r>
      <w:r>
        <w:rPr>
          <w:color w:val="231F20"/>
          <w:spacing w:val="-10"/>
        </w:rPr>
        <w:t> </w:t>
      </w:r>
      <w:r>
        <w:rPr>
          <w:color w:val="231F20"/>
        </w:rPr>
        <w:t>bienestar</w:t>
      </w:r>
      <w:r>
        <w:rPr>
          <w:color w:val="231F20"/>
          <w:spacing w:val="-10"/>
        </w:rPr>
        <w:t> </w:t>
      </w:r>
      <w:r>
        <w:rPr>
          <w:color w:val="231F20"/>
        </w:rPr>
        <w:t>que</w:t>
      </w:r>
      <w:r>
        <w:rPr>
          <w:color w:val="231F20"/>
          <w:spacing w:val="-10"/>
        </w:rPr>
        <w:t> </w:t>
      </w:r>
      <w:r>
        <w:rPr>
          <w:color w:val="231F20"/>
        </w:rPr>
        <w:t>han</w:t>
      </w:r>
      <w:r>
        <w:rPr>
          <w:color w:val="231F20"/>
          <w:spacing w:val="-10"/>
        </w:rPr>
        <w:t> </w:t>
      </w:r>
      <w:r>
        <w:rPr>
          <w:color w:val="231F20"/>
        </w:rPr>
        <w:t>alcanzado</w:t>
      </w:r>
      <w:r>
        <w:rPr>
          <w:color w:val="231F20"/>
          <w:spacing w:val="-11"/>
        </w:rPr>
        <w:t> </w:t>
      </w:r>
      <w:r>
        <w:rPr>
          <w:color w:val="231F20"/>
        </w:rPr>
        <w:t>los individuos,</w:t>
      </w:r>
      <w:r>
        <w:rPr>
          <w:color w:val="231F20"/>
          <w:spacing w:val="-7"/>
        </w:rPr>
        <w:t> </w:t>
      </w:r>
      <w:r>
        <w:rPr>
          <w:color w:val="231F20"/>
        </w:rPr>
        <w:t>además</w:t>
      </w:r>
      <w:r>
        <w:rPr>
          <w:color w:val="231F20"/>
          <w:spacing w:val="-7"/>
        </w:rPr>
        <w:t> </w:t>
      </w:r>
      <w:r>
        <w:rPr>
          <w:color w:val="231F20"/>
        </w:rPr>
        <w:t>incorpora</w:t>
      </w:r>
      <w:r>
        <w:rPr>
          <w:color w:val="231F20"/>
          <w:spacing w:val="-7"/>
        </w:rPr>
        <w:t> </w:t>
      </w:r>
      <w:r>
        <w:rPr>
          <w:color w:val="231F20"/>
        </w:rPr>
        <w:t>la</w:t>
      </w:r>
      <w:r>
        <w:rPr>
          <w:color w:val="231F20"/>
          <w:spacing w:val="-7"/>
        </w:rPr>
        <w:t> </w:t>
      </w:r>
      <w:r>
        <w:rPr>
          <w:color w:val="231F20"/>
        </w:rPr>
        <w:t>distinción</w:t>
      </w:r>
      <w:r>
        <w:rPr>
          <w:color w:val="231F20"/>
          <w:spacing w:val="-6"/>
        </w:rPr>
        <w:t> </w:t>
      </w:r>
      <w:r>
        <w:rPr>
          <w:color w:val="231F20"/>
        </w:rPr>
        <w:t>de</w:t>
      </w:r>
      <w:r>
        <w:rPr>
          <w:color w:val="231F20"/>
          <w:spacing w:val="-7"/>
        </w:rPr>
        <w:t> </w:t>
      </w:r>
      <w:r>
        <w:rPr>
          <w:color w:val="231F20"/>
        </w:rPr>
        <w:t>dos</w:t>
      </w:r>
      <w:r>
        <w:rPr>
          <w:color w:val="231F20"/>
          <w:spacing w:val="-6"/>
        </w:rPr>
        <w:t> </w:t>
      </w:r>
      <w:r>
        <w:rPr>
          <w:color w:val="231F20"/>
        </w:rPr>
        <w:t>aspectos.</w:t>
      </w:r>
      <w:r>
        <w:rPr>
          <w:color w:val="231F20"/>
          <w:spacing w:val="-7"/>
        </w:rPr>
        <w:t> </w:t>
      </w:r>
      <w:r>
        <w:rPr>
          <w:color w:val="231F20"/>
        </w:rPr>
        <w:t>Por</w:t>
      </w:r>
      <w:r>
        <w:rPr>
          <w:color w:val="231F20"/>
          <w:spacing w:val="-6"/>
        </w:rPr>
        <w:t> </w:t>
      </w:r>
      <w:r>
        <w:rPr>
          <w:color w:val="231F20"/>
        </w:rPr>
        <w:t>un</w:t>
      </w:r>
      <w:r>
        <w:rPr>
          <w:color w:val="231F20"/>
          <w:spacing w:val="-7"/>
        </w:rPr>
        <w:t> </w:t>
      </w:r>
      <w:r>
        <w:rPr>
          <w:color w:val="231F20"/>
        </w:rPr>
        <w:t>lado,</w:t>
      </w:r>
      <w:r>
        <w:rPr>
          <w:color w:val="231F20"/>
          <w:spacing w:val="-7"/>
        </w:rPr>
        <w:t> </w:t>
      </w:r>
      <w:r>
        <w:rPr>
          <w:color w:val="231F20"/>
        </w:rPr>
        <w:t>se</w:t>
      </w:r>
      <w:r>
        <w:rPr>
          <w:color w:val="231F20"/>
          <w:spacing w:val="-1"/>
        </w:rPr>
        <w:t> </w:t>
      </w:r>
      <w:r>
        <w:rPr>
          <w:color w:val="231F20"/>
        </w:rPr>
        <w:t>refiere a la formación de capacidades humanas y por el otro, hace</w:t>
      </w:r>
      <w:r>
        <w:rPr>
          <w:color w:val="231F20"/>
          <w:spacing w:val="5"/>
        </w:rPr>
        <w:t> </w:t>
      </w:r>
      <w:r>
        <w:rPr>
          <w:color w:val="231F20"/>
        </w:rPr>
        <w:t>alusión</w:t>
      </w:r>
      <w:r>
        <w:rPr>
          <w:color w:val="231F20"/>
          <w:w w:val="100"/>
        </w:rPr>
        <w:t> </w:t>
      </w:r>
      <w:r>
        <w:rPr>
          <w:color w:val="231F20"/>
        </w:rPr>
        <w:t>a cómo los individuos emplean las capacidades adquiridas (PNUD,</w:t>
      </w:r>
      <w:r>
        <w:rPr>
          <w:color w:val="231F20"/>
          <w:spacing w:val="-19"/>
        </w:rPr>
        <w:t> </w:t>
      </w:r>
      <w:r>
        <w:rPr>
          <w:color w:val="231F20"/>
        </w:rPr>
        <w:t>1990).</w:t>
      </w:r>
    </w:p>
    <w:p>
      <w:pPr>
        <w:pStyle w:val="BodyText"/>
        <w:spacing w:line="247" w:lineRule="auto"/>
        <w:ind w:left="117" w:right="114" w:firstLine="283"/>
        <w:jc w:val="both"/>
      </w:pPr>
      <w:r>
        <w:rPr>
          <w:color w:val="231F20"/>
        </w:rPr>
        <w:t>Dentro del Desarrollo Humano existe un factor muy importante que es la asignación del valor correcto a una gran cantidad de factores que va- rían en cada país. De ahí el surgimiento del Índice de Desarrollo Humano (IDH), que ofrece algunas consideraciones para la asignación de valores. En concordancia con lo expresado en la década de los 90 y continuando con</w:t>
      </w:r>
      <w:r>
        <w:rPr>
          <w:color w:val="231F20"/>
          <w:spacing w:val="-4"/>
        </w:rPr>
        <w:t> </w:t>
      </w:r>
      <w:r>
        <w:rPr>
          <w:color w:val="231F20"/>
        </w:rPr>
        <w:t>la</w:t>
      </w:r>
      <w:r>
        <w:rPr>
          <w:color w:val="231F20"/>
          <w:spacing w:val="-4"/>
        </w:rPr>
        <w:t> </w:t>
      </w:r>
      <w:r>
        <w:rPr>
          <w:color w:val="231F20"/>
        </w:rPr>
        <w:t>línea</w:t>
      </w:r>
      <w:r>
        <w:rPr>
          <w:color w:val="231F20"/>
          <w:spacing w:val="-4"/>
        </w:rPr>
        <w:t> </w:t>
      </w:r>
      <w:r>
        <w:rPr>
          <w:color w:val="231F20"/>
        </w:rPr>
        <w:t>el</w:t>
      </w:r>
      <w:r>
        <w:rPr>
          <w:color w:val="231F20"/>
          <w:spacing w:val="-4"/>
        </w:rPr>
        <w:t> </w:t>
      </w:r>
      <w:r>
        <w:rPr>
          <w:color w:val="231F20"/>
        </w:rPr>
        <w:t>PNUD</w:t>
      </w:r>
      <w:r>
        <w:rPr>
          <w:color w:val="231F20"/>
          <w:spacing w:val="-4"/>
        </w:rPr>
        <w:t> </w:t>
      </w:r>
      <w:r>
        <w:rPr>
          <w:color w:val="231F20"/>
        </w:rPr>
        <w:t>en</w:t>
      </w:r>
      <w:r>
        <w:rPr>
          <w:color w:val="231F20"/>
          <w:spacing w:val="-4"/>
        </w:rPr>
        <w:t> </w:t>
      </w:r>
      <w:r>
        <w:rPr>
          <w:color w:val="231F20"/>
        </w:rPr>
        <w:t>su</w:t>
      </w:r>
      <w:r>
        <w:rPr>
          <w:color w:val="231F20"/>
          <w:spacing w:val="-4"/>
        </w:rPr>
        <w:t> </w:t>
      </w:r>
      <w:r>
        <w:rPr>
          <w:color w:val="231F20"/>
        </w:rPr>
        <w:t>informe</w:t>
      </w:r>
      <w:r>
        <w:rPr>
          <w:color w:val="231F20"/>
          <w:spacing w:val="-5"/>
        </w:rPr>
        <w:t> </w:t>
      </w:r>
      <w:r>
        <w:rPr>
          <w:color w:val="231F20"/>
        </w:rPr>
        <w:t>sobre</w:t>
      </w:r>
      <w:r>
        <w:rPr>
          <w:color w:val="231F20"/>
          <w:spacing w:val="-4"/>
        </w:rPr>
        <w:t> </w:t>
      </w:r>
      <w:r>
        <w:rPr>
          <w:color w:val="231F20"/>
        </w:rPr>
        <w:t>Desarrollo</w:t>
      </w:r>
      <w:r>
        <w:rPr>
          <w:color w:val="231F20"/>
          <w:spacing w:val="-4"/>
        </w:rPr>
        <w:t> </w:t>
      </w:r>
      <w:r>
        <w:rPr>
          <w:color w:val="231F20"/>
        </w:rPr>
        <w:t>Humano</w:t>
      </w:r>
      <w:r>
        <w:rPr>
          <w:color w:val="231F20"/>
          <w:spacing w:val="-4"/>
        </w:rPr>
        <w:t> </w:t>
      </w:r>
      <w:r>
        <w:rPr>
          <w:color w:val="231F20"/>
        </w:rPr>
        <w:t>2007-2008, menciona que:</w:t>
      </w:r>
    </w:p>
    <w:p>
      <w:pPr>
        <w:pStyle w:val="ListParagraph"/>
        <w:numPr>
          <w:ilvl w:val="0"/>
          <w:numId w:val="8"/>
        </w:numPr>
        <w:tabs>
          <w:tab w:pos="478" w:val="left" w:leader="none"/>
        </w:tabs>
        <w:spacing w:line="247" w:lineRule="auto" w:before="169" w:after="0"/>
        <w:ind w:left="477" w:right="115" w:hanging="360"/>
        <w:jc w:val="both"/>
        <w:rPr>
          <w:sz w:val="22"/>
        </w:rPr>
      </w:pPr>
      <w:r>
        <w:rPr>
          <w:color w:val="231F20"/>
          <w:sz w:val="22"/>
        </w:rPr>
        <w:t>El IDH es una medida sinóptica del Desarrollo Humano. Mide el pro- greso medio conseguido por un país en tres dimensiones básicas del Desarrollo Humano:</w:t>
      </w:r>
    </w:p>
    <w:p>
      <w:pPr>
        <w:pStyle w:val="ListParagraph"/>
        <w:numPr>
          <w:ilvl w:val="0"/>
          <w:numId w:val="8"/>
        </w:numPr>
        <w:tabs>
          <w:tab w:pos="478" w:val="left" w:leader="none"/>
        </w:tabs>
        <w:spacing w:line="247" w:lineRule="auto" w:before="0" w:after="0"/>
        <w:ind w:left="477" w:right="115" w:hanging="360"/>
        <w:jc w:val="both"/>
        <w:rPr>
          <w:sz w:val="22"/>
        </w:rPr>
      </w:pPr>
      <w:r>
        <w:rPr>
          <w:color w:val="231F20"/>
          <w:sz w:val="22"/>
        </w:rPr>
        <w:t>Disfrutar</w:t>
      </w:r>
      <w:r>
        <w:rPr>
          <w:color w:val="231F20"/>
          <w:spacing w:val="-3"/>
          <w:sz w:val="22"/>
        </w:rPr>
        <w:t> </w:t>
      </w:r>
      <w:r>
        <w:rPr>
          <w:color w:val="231F20"/>
          <w:sz w:val="22"/>
        </w:rPr>
        <w:t>de</w:t>
      </w:r>
      <w:r>
        <w:rPr>
          <w:color w:val="231F20"/>
          <w:spacing w:val="-4"/>
          <w:sz w:val="22"/>
        </w:rPr>
        <w:t> </w:t>
      </w:r>
      <w:r>
        <w:rPr>
          <w:color w:val="231F20"/>
          <w:sz w:val="22"/>
        </w:rPr>
        <w:t>una</w:t>
      </w:r>
      <w:r>
        <w:rPr>
          <w:color w:val="231F20"/>
          <w:spacing w:val="-4"/>
          <w:sz w:val="22"/>
        </w:rPr>
        <w:t> </w:t>
      </w:r>
      <w:r>
        <w:rPr>
          <w:color w:val="231F20"/>
          <w:sz w:val="22"/>
        </w:rPr>
        <w:t>vida</w:t>
      </w:r>
      <w:r>
        <w:rPr>
          <w:color w:val="231F20"/>
          <w:spacing w:val="-4"/>
          <w:sz w:val="22"/>
        </w:rPr>
        <w:t> </w:t>
      </w:r>
      <w:r>
        <w:rPr>
          <w:color w:val="231F20"/>
          <w:sz w:val="22"/>
        </w:rPr>
        <w:t>larga</w:t>
      </w:r>
      <w:r>
        <w:rPr>
          <w:color w:val="231F20"/>
          <w:spacing w:val="-4"/>
          <w:sz w:val="22"/>
        </w:rPr>
        <w:t> </w:t>
      </w:r>
      <w:r>
        <w:rPr>
          <w:color w:val="231F20"/>
          <w:sz w:val="22"/>
        </w:rPr>
        <w:t>y</w:t>
      </w:r>
      <w:r>
        <w:rPr>
          <w:color w:val="231F20"/>
          <w:spacing w:val="-4"/>
          <w:sz w:val="22"/>
        </w:rPr>
        <w:t> </w:t>
      </w:r>
      <w:r>
        <w:rPr>
          <w:color w:val="231F20"/>
          <w:sz w:val="22"/>
        </w:rPr>
        <w:t>saludable,</w:t>
      </w:r>
      <w:r>
        <w:rPr>
          <w:color w:val="231F20"/>
          <w:spacing w:val="-3"/>
          <w:sz w:val="22"/>
        </w:rPr>
        <w:t> </w:t>
      </w:r>
      <w:r>
        <w:rPr>
          <w:color w:val="231F20"/>
          <w:sz w:val="22"/>
        </w:rPr>
        <w:t>medida</w:t>
      </w:r>
      <w:r>
        <w:rPr>
          <w:color w:val="231F20"/>
          <w:spacing w:val="-4"/>
          <w:sz w:val="22"/>
        </w:rPr>
        <w:t> </w:t>
      </w:r>
      <w:r>
        <w:rPr>
          <w:color w:val="231F20"/>
          <w:sz w:val="22"/>
        </w:rPr>
        <w:t>a</w:t>
      </w:r>
      <w:r>
        <w:rPr>
          <w:color w:val="231F20"/>
          <w:spacing w:val="-4"/>
          <w:sz w:val="22"/>
        </w:rPr>
        <w:t> </w:t>
      </w:r>
      <w:r>
        <w:rPr>
          <w:color w:val="231F20"/>
          <w:sz w:val="22"/>
        </w:rPr>
        <w:t>través</w:t>
      </w:r>
      <w:r>
        <w:rPr>
          <w:color w:val="231F20"/>
          <w:spacing w:val="-4"/>
          <w:sz w:val="22"/>
        </w:rPr>
        <w:t> </w:t>
      </w:r>
      <w:r>
        <w:rPr>
          <w:color w:val="231F20"/>
          <w:sz w:val="22"/>
        </w:rPr>
        <w:t>de</w:t>
      </w:r>
      <w:r>
        <w:rPr>
          <w:color w:val="231F20"/>
          <w:spacing w:val="-4"/>
          <w:sz w:val="22"/>
        </w:rPr>
        <w:t> </w:t>
      </w:r>
      <w:r>
        <w:rPr>
          <w:color w:val="231F20"/>
          <w:sz w:val="22"/>
        </w:rPr>
        <w:t>la</w:t>
      </w:r>
      <w:r>
        <w:rPr>
          <w:color w:val="231F20"/>
          <w:spacing w:val="-4"/>
          <w:sz w:val="22"/>
        </w:rPr>
        <w:t> </w:t>
      </w:r>
      <w:r>
        <w:rPr>
          <w:color w:val="231F20"/>
          <w:sz w:val="22"/>
        </w:rPr>
        <w:t>esperan- za de vida al</w:t>
      </w:r>
      <w:r>
        <w:rPr>
          <w:color w:val="231F20"/>
          <w:spacing w:val="5"/>
          <w:sz w:val="22"/>
        </w:rPr>
        <w:t> </w:t>
      </w:r>
      <w:r>
        <w:rPr>
          <w:color w:val="231F20"/>
          <w:spacing w:val="-3"/>
          <w:sz w:val="22"/>
        </w:rPr>
        <w:t>nacer.</w:t>
      </w:r>
    </w:p>
    <w:p>
      <w:pPr>
        <w:pStyle w:val="ListParagraph"/>
        <w:numPr>
          <w:ilvl w:val="0"/>
          <w:numId w:val="8"/>
        </w:numPr>
        <w:tabs>
          <w:tab w:pos="478" w:val="left" w:leader="none"/>
        </w:tabs>
        <w:spacing w:line="247" w:lineRule="auto" w:before="0" w:after="0"/>
        <w:ind w:left="477" w:right="115" w:hanging="360"/>
        <w:jc w:val="both"/>
        <w:rPr>
          <w:sz w:val="22"/>
        </w:rPr>
      </w:pPr>
      <w:r>
        <w:rPr>
          <w:color w:val="231F20"/>
          <w:sz w:val="22"/>
        </w:rPr>
        <w:t>Disponer</w:t>
      </w:r>
      <w:r>
        <w:rPr>
          <w:color w:val="231F20"/>
          <w:spacing w:val="-4"/>
          <w:sz w:val="22"/>
        </w:rPr>
        <w:t> </w:t>
      </w:r>
      <w:r>
        <w:rPr>
          <w:color w:val="231F20"/>
          <w:sz w:val="22"/>
        </w:rPr>
        <w:t>de</w:t>
      </w:r>
      <w:r>
        <w:rPr>
          <w:color w:val="231F20"/>
          <w:spacing w:val="-5"/>
          <w:sz w:val="22"/>
        </w:rPr>
        <w:t> </w:t>
      </w:r>
      <w:r>
        <w:rPr>
          <w:color w:val="231F20"/>
          <w:sz w:val="22"/>
        </w:rPr>
        <w:t>educación,</w:t>
      </w:r>
      <w:r>
        <w:rPr>
          <w:color w:val="231F20"/>
          <w:spacing w:val="-5"/>
          <w:sz w:val="22"/>
        </w:rPr>
        <w:t> </w:t>
      </w:r>
      <w:r>
        <w:rPr>
          <w:color w:val="231F20"/>
          <w:sz w:val="22"/>
        </w:rPr>
        <w:t>medida</w:t>
      </w:r>
      <w:r>
        <w:rPr>
          <w:color w:val="231F20"/>
          <w:spacing w:val="-5"/>
          <w:sz w:val="22"/>
        </w:rPr>
        <w:t> </w:t>
      </w:r>
      <w:r>
        <w:rPr>
          <w:color w:val="231F20"/>
          <w:sz w:val="22"/>
        </w:rPr>
        <w:t>a</w:t>
      </w:r>
      <w:r>
        <w:rPr>
          <w:color w:val="231F20"/>
          <w:spacing w:val="-5"/>
          <w:sz w:val="22"/>
        </w:rPr>
        <w:t> </w:t>
      </w:r>
      <w:r>
        <w:rPr>
          <w:color w:val="231F20"/>
          <w:sz w:val="22"/>
        </w:rPr>
        <w:t>través</w:t>
      </w:r>
      <w:r>
        <w:rPr>
          <w:color w:val="231F20"/>
          <w:spacing w:val="-5"/>
          <w:sz w:val="22"/>
        </w:rPr>
        <w:t> </w:t>
      </w:r>
      <w:r>
        <w:rPr>
          <w:color w:val="231F20"/>
          <w:sz w:val="22"/>
        </w:rPr>
        <w:t>de</w:t>
      </w:r>
      <w:r>
        <w:rPr>
          <w:color w:val="231F20"/>
          <w:spacing w:val="-5"/>
          <w:sz w:val="22"/>
        </w:rPr>
        <w:t> </w:t>
      </w:r>
      <w:r>
        <w:rPr>
          <w:color w:val="231F20"/>
          <w:sz w:val="22"/>
        </w:rPr>
        <w:t>la</w:t>
      </w:r>
      <w:r>
        <w:rPr>
          <w:color w:val="231F20"/>
          <w:spacing w:val="-5"/>
          <w:sz w:val="22"/>
        </w:rPr>
        <w:t> </w:t>
      </w:r>
      <w:r>
        <w:rPr>
          <w:color w:val="231F20"/>
          <w:sz w:val="22"/>
        </w:rPr>
        <w:t>tasa</w:t>
      </w:r>
      <w:r>
        <w:rPr>
          <w:color w:val="231F20"/>
          <w:spacing w:val="-5"/>
          <w:sz w:val="22"/>
        </w:rPr>
        <w:t> </w:t>
      </w:r>
      <w:r>
        <w:rPr>
          <w:color w:val="231F20"/>
          <w:sz w:val="22"/>
        </w:rPr>
        <w:t>de</w:t>
      </w:r>
      <w:r>
        <w:rPr>
          <w:color w:val="231F20"/>
          <w:spacing w:val="-5"/>
          <w:sz w:val="22"/>
        </w:rPr>
        <w:t> </w:t>
      </w:r>
      <w:r>
        <w:rPr>
          <w:color w:val="231F20"/>
          <w:sz w:val="22"/>
        </w:rPr>
        <w:t>alfabetización</w:t>
      </w:r>
      <w:r>
        <w:rPr>
          <w:color w:val="231F20"/>
          <w:spacing w:val="-6"/>
          <w:sz w:val="22"/>
        </w:rPr>
        <w:t> </w:t>
      </w:r>
      <w:r>
        <w:rPr>
          <w:color w:val="231F20"/>
          <w:sz w:val="22"/>
        </w:rPr>
        <w:t>de adultos…</w:t>
      </w:r>
    </w:p>
    <w:p>
      <w:pPr>
        <w:pStyle w:val="ListParagraph"/>
        <w:numPr>
          <w:ilvl w:val="0"/>
          <w:numId w:val="8"/>
        </w:numPr>
        <w:tabs>
          <w:tab w:pos="477" w:val="left" w:leader="none"/>
          <w:tab w:pos="478" w:val="left" w:leader="none"/>
        </w:tabs>
        <w:spacing w:line="253" w:lineRule="exact" w:before="0" w:after="0"/>
        <w:ind w:left="477" w:right="0" w:hanging="360"/>
        <w:jc w:val="left"/>
        <w:rPr>
          <w:sz w:val="22"/>
        </w:rPr>
      </w:pPr>
      <w:r>
        <w:rPr>
          <w:color w:val="231F20"/>
          <w:sz w:val="22"/>
        </w:rPr>
        <w:t>Disfrutar de un nivel de vida digno… (PNUD, 2007: 358).</w:t>
      </w:r>
    </w:p>
    <w:p>
      <w:pPr>
        <w:pStyle w:val="BodyText"/>
        <w:spacing w:line="247" w:lineRule="auto" w:before="177"/>
        <w:ind w:left="117" w:right="115" w:firstLine="283"/>
        <w:jc w:val="both"/>
      </w:pPr>
      <w:r>
        <w:rPr>
          <w:color w:val="231F20"/>
        </w:rPr>
        <w:t>El IDH es utilizado como indicador del nivel de desarrollo de la</w:t>
      </w:r>
      <w:r>
        <w:rPr>
          <w:color w:val="231F20"/>
          <w:spacing w:val="-14"/>
        </w:rPr>
        <w:t> </w:t>
      </w:r>
      <w:r>
        <w:rPr>
          <w:color w:val="231F20"/>
        </w:rPr>
        <w:t>pobla- ción.</w:t>
      </w:r>
      <w:r>
        <w:rPr>
          <w:color w:val="231F20"/>
          <w:spacing w:val="-4"/>
        </w:rPr>
        <w:t> </w:t>
      </w:r>
      <w:r>
        <w:rPr>
          <w:color w:val="231F20"/>
        </w:rPr>
        <w:t>Se</w:t>
      </w:r>
      <w:r>
        <w:rPr>
          <w:color w:val="231F20"/>
          <w:spacing w:val="-4"/>
        </w:rPr>
        <w:t> </w:t>
      </w:r>
      <w:r>
        <w:rPr>
          <w:color w:val="231F20"/>
        </w:rPr>
        <w:t>basa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idea</w:t>
      </w:r>
      <w:r>
        <w:rPr>
          <w:color w:val="231F20"/>
          <w:spacing w:val="-4"/>
        </w:rPr>
        <w:t> </w:t>
      </w:r>
      <w:r>
        <w:rPr>
          <w:color w:val="231F20"/>
        </w:rPr>
        <w:t>de</w:t>
      </w:r>
      <w:r>
        <w:rPr>
          <w:color w:val="231F20"/>
          <w:spacing w:val="-4"/>
        </w:rPr>
        <w:t> </w:t>
      </w:r>
      <w:r>
        <w:rPr>
          <w:color w:val="231F20"/>
        </w:rPr>
        <w:t>que</w:t>
      </w:r>
      <w:r>
        <w:rPr>
          <w:color w:val="231F20"/>
          <w:spacing w:val="-4"/>
        </w:rPr>
        <w:t> </w:t>
      </w:r>
      <w:r>
        <w:rPr>
          <w:color w:val="231F20"/>
        </w:rPr>
        <w:t>crecimiento</w:t>
      </w:r>
      <w:r>
        <w:rPr>
          <w:color w:val="231F20"/>
          <w:spacing w:val="-4"/>
        </w:rPr>
        <w:t> </w:t>
      </w:r>
      <w:r>
        <w:rPr>
          <w:color w:val="231F20"/>
        </w:rPr>
        <w:t>y</w:t>
      </w:r>
      <w:r>
        <w:rPr>
          <w:color w:val="231F20"/>
          <w:spacing w:val="-4"/>
        </w:rPr>
        <w:t> </w:t>
      </w:r>
      <w:r>
        <w:rPr>
          <w:color w:val="231F20"/>
        </w:rPr>
        <w:t>desarrollo</w:t>
      </w:r>
      <w:r>
        <w:rPr>
          <w:color w:val="231F20"/>
          <w:spacing w:val="-4"/>
        </w:rPr>
        <w:t> </w:t>
      </w:r>
      <w:r>
        <w:rPr>
          <w:color w:val="231F20"/>
        </w:rPr>
        <w:t>son</w:t>
      </w:r>
      <w:r>
        <w:rPr>
          <w:color w:val="231F20"/>
          <w:spacing w:val="-4"/>
        </w:rPr>
        <w:t> </w:t>
      </w:r>
      <w:r>
        <w:rPr>
          <w:color w:val="231F20"/>
        </w:rPr>
        <w:t>conceptos</w:t>
      </w:r>
      <w:r>
        <w:rPr>
          <w:color w:val="231F20"/>
          <w:spacing w:val="-4"/>
        </w:rPr>
        <w:t> </w:t>
      </w:r>
      <w:r>
        <w:rPr>
          <w:color w:val="231F20"/>
        </w:rPr>
        <w:t>que están relacionados, pero que sin duda alguna son distintos. Si bien el cre- cimiento económico es una condición necesaria no constituye una</w:t>
      </w:r>
      <w:r>
        <w:rPr>
          <w:color w:val="231F20"/>
          <w:spacing w:val="-18"/>
        </w:rPr>
        <w:t> </w:t>
      </w:r>
      <w:r>
        <w:rPr>
          <w:color w:val="231F20"/>
        </w:rPr>
        <w:t>función suficiente</w:t>
      </w:r>
      <w:r>
        <w:rPr>
          <w:color w:val="231F20"/>
          <w:spacing w:val="-7"/>
        </w:rPr>
        <w:t> </w:t>
      </w:r>
      <w:r>
        <w:rPr>
          <w:color w:val="231F20"/>
        </w:rPr>
        <w:t>para</w:t>
      </w:r>
      <w:r>
        <w:rPr>
          <w:color w:val="231F20"/>
          <w:spacing w:val="-7"/>
        </w:rPr>
        <w:t> </w:t>
      </w:r>
      <w:r>
        <w:rPr>
          <w:color w:val="231F20"/>
        </w:rPr>
        <w:t>explicar</w:t>
      </w:r>
      <w:r>
        <w:rPr>
          <w:color w:val="231F20"/>
          <w:spacing w:val="-7"/>
        </w:rPr>
        <w:t> </w:t>
      </w:r>
      <w:r>
        <w:rPr>
          <w:color w:val="231F20"/>
        </w:rPr>
        <w:t>el</w:t>
      </w:r>
      <w:r>
        <w:rPr>
          <w:color w:val="231F20"/>
          <w:spacing w:val="-7"/>
        </w:rPr>
        <w:t> </w:t>
      </w:r>
      <w:r>
        <w:rPr>
          <w:color w:val="231F20"/>
        </w:rPr>
        <w:t>avance</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país.</w:t>
      </w:r>
      <w:r>
        <w:rPr>
          <w:color w:val="231F20"/>
          <w:spacing w:val="-7"/>
        </w:rPr>
        <w:t> </w:t>
      </w:r>
      <w:r>
        <w:rPr>
          <w:color w:val="231F20"/>
        </w:rPr>
        <w:t>Debido</w:t>
      </w:r>
      <w:r>
        <w:rPr>
          <w:color w:val="231F20"/>
          <w:spacing w:val="-7"/>
        </w:rPr>
        <w:t> </w:t>
      </w:r>
      <w:r>
        <w:rPr>
          <w:color w:val="231F20"/>
        </w:rPr>
        <w:t>a</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factor</w:t>
      </w:r>
      <w:r>
        <w:rPr>
          <w:color w:val="231F20"/>
          <w:spacing w:val="-7"/>
        </w:rPr>
        <w:t> </w:t>
      </w:r>
      <w:r>
        <w:rPr>
          <w:color w:val="231F20"/>
        </w:rPr>
        <w:t>econó- mico no representa todo, Amartya Sen deja de lado la visión instrumental del acceso a bienes y servicios y los concibe solamente como un medio para alcanzar un plan de vida</w:t>
      </w:r>
      <w:r>
        <w:rPr>
          <w:color w:val="231F20"/>
          <w:spacing w:val="-1"/>
        </w:rPr>
        <w:t> </w:t>
      </w:r>
      <w:r>
        <w:rPr>
          <w:color w:val="231F20"/>
        </w:rPr>
        <w:t>pleno.</w:t>
      </w:r>
    </w:p>
    <w:p>
      <w:pPr>
        <w:pStyle w:val="BodyText"/>
        <w:spacing w:line="253" w:lineRule="exact"/>
        <w:ind w:left="400"/>
        <w:jc w:val="both"/>
      </w:pPr>
      <w:r>
        <w:rPr>
          <w:color w:val="231F20"/>
        </w:rPr>
        <w:t>Por ello, la medición del bienestar se vería como</w:t>
      </w:r>
    </w:p>
    <w:p>
      <w:pPr>
        <w:spacing w:line="249" w:lineRule="auto" w:before="175"/>
        <w:ind w:left="400" w:right="115" w:firstLine="0"/>
        <w:jc w:val="both"/>
        <w:rPr>
          <w:sz w:val="20"/>
        </w:rPr>
      </w:pPr>
      <w:r>
        <w:rPr>
          <w:sz w:val="20"/>
        </w:rPr>
        <w:t>un proceso con varios componentes: el acceso a bienes y servicios, una fun- ción de “conversión” de estos bienes y servicios en opciones reales de planes de vida y por último, una función de “evaluación” que transforma la elección hecha en un nivel de satisfacción individual (López y Vélez, 2003: 7).</w:t>
      </w:r>
    </w:p>
    <w:p>
      <w:pPr>
        <w:spacing w:after="0" w:line="249" w:lineRule="auto"/>
        <w:jc w:val="both"/>
        <w:rPr>
          <w:sz w:val="20"/>
        </w:rPr>
        <w:sectPr>
          <w:pgSz w:w="9360" w:h="13040"/>
          <w:pgMar w:header="0" w:footer="496" w:top="740" w:bottom="680" w:left="1300" w:right="1300"/>
        </w:sectPr>
      </w:pPr>
    </w:p>
    <w:p>
      <w:pPr>
        <w:tabs>
          <w:tab w:pos="5536" w:val="left" w:leader="none"/>
        </w:tabs>
        <w:spacing w:before="48"/>
        <w:ind w:left="400" w:right="117" w:hanging="295"/>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firstLine="283"/>
        <w:jc w:val="both"/>
      </w:pPr>
      <w:r>
        <w:rPr>
          <w:color w:val="231F20"/>
        </w:rPr>
        <w:t>Un punto clave es el señalar que los individuos no aíslan los diferen- tes aspectos de sus vidas. Por el contrario, tienen una sensación general  de lo que es el bienestar, de ahí que surja la necesidad de crear un índice compuesto de Desarrollo Humano. Desde la visión ofrecida por el PNUD “El objetivo básico del desarrollo es crear un ambiente propicio para que los seres humanos disfruten de una vida prolongada, saludable y creativa” (PNUD, 1990:</w:t>
      </w:r>
      <w:r>
        <w:rPr>
          <w:color w:val="231F20"/>
          <w:spacing w:val="-1"/>
        </w:rPr>
        <w:t> </w:t>
      </w:r>
      <w:r>
        <w:rPr>
          <w:color w:val="231F20"/>
        </w:rPr>
        <w:t>31).</w:t>
      </w:r>
    </w:p>
    <w:p>
      <w:pPr>
        <w:pStyle w:val="BodyText"/>
        <w:spacing w:line="247" w:lineRule="auto"/>
        <w:ind w:left="117" w:right="115" w:firstLine="283"/>
        <w:jc w:val="both"/>
      </w:pPr>
      <w:r>
        <w:rPr>
          <w:color w:val="231F20"/>
        </w:rPr>
        <w:t>Para este enfoque el objetivo primordial del desarrollo consiste en be- neficiar a la gente, en donde la idea de que los beneficios sociales deben juzgarse según la medida en que promuevan el bienestar humano. La</w:t>
      </w:r>
      <w:r>
        <w:rPr>
          <w:color w:val="231F20"/>
          <w:spacing w:val="-28"/>
        </w:rPr>
        <w:t> </w:t>
      </w:r>
      <w:r>
        <w:rPr>
          <w:color w:val="231F20"/>
        </w:rPr>
        <w:t>dilu- cidación ofrecida en 1990 en el informe señala que:</w:t>
      </w:r>
    </w:p>
    <w:p>
      <w:pPr>
        <w:spacing w:line="249" w:lineRule="auto" w:before="168"/>
        <w:ind w:left="400" w:right="114" w:firstLine="0"/>
        <w:jc w:val="both"/>
        <w:rPr>
          <w:sz w:val="20"/>
        </w:rPr>
      </w:pPr>
      <w:r>
        <w:rPr>
          <w:sz w:val="20"/>
        </w:rPr>
        <w:t>El Desarrollo Humano es un proceso mediante el cual se amplían las oportu- nidades del ser humano. En principio, estas oportunidades pueden ser</w:t>
      </w:r>
      <w:r>
        <w:rPr>
          <w:spacing w:val="-31"/>
          <w:sz w:val="20"/>
        </w:rPr>
        <w:t> </w:t>
      </w:r>
      <w:r>
        <w:rPr>
          <w:sz w:val="20"/>
        </w:rPr>
        <w:t>infinitas y cambiar con el tiempo. Sin embargo, a todos los niveles de desarrollo las tres más esenciales son disfrutar de una vida prolongada y saludable, adquirir conocimientos y tener acceso a los recursos necesarios para lograr un nivel de vida decente… El Desarrollo Humano tiene dos aspectos. La formación de capacidades humanas —tales como un mejor estado de salud, conocimiento   y destrezas- y el uso que la gente hace de las capacidades adquiridas… Según este concepto de Desarrollo Humano, es obvio que el ingreso es solamente una de las oportunidades que la gente desearía tener aunque ciertamente muy importante.</w:t>
      </w:r>
      <w:r>
        <w:rPr>
          <w:spacing w:val="-11"/>
          <w:sz w:val="20"/>
        </w:rPr>
        <w:t> </w:t>
      </w:r>
      <w:r>
        <w:rPr>
          <w:sz w:val="20"/>
        </w:rPr>
        <w:t>Pero</w:t>
      </w:r>
      <w:r>
        <w:rPr>
          <w:spacing w:val="-10"/>
          <w:sz w:val="20"/>
        </w:rPr>
        <w:t> </w:t>
      </w:r>
      <w:r>
        <w:rPr>
          <w:sz w:val="20"/>
        </w:rPr>
        <w:t>la</w:t>
      </w:r>
      <w:r>
        <w:rPr>
          <w:spacing w:val="-10"/>
          <w:sz w:val="20"/>
        </w:rPr>
        <w:t> </w:t>
      </w:r>
      <w:r>
        <w:rPr>
          <w:sz w:val="20"/>
        </w:rPr>
        <w:t>vida</w:t>
      </w:r>
      <w:r>
        <w:rPr>
          <w:spacing w:val="-10"/>
          <w:sz w:val="20"/>
        </w:rPr>
        <w:t> </w:t>
      </w:r>
      <w:r>
        <w:rPr>
          <w:sz w:val="20"/>
        </w:rPr>
        <w:t>no</w:t>
      </w:r>
      <w:r>
        <w:rPr>
          <w:spacing w:val="-10"/>
          <w:sz w:val="20"/>
        </w:rPr>
        <w:t> </w:t>
      </w:r>
      <w:r>
        <w:rPr>
          <w:sz w:val="20"/>
        </w:rPr>
        <w:t>sólo</w:t>
      </w:r>
      <w:r>
        <w:rPr>
          <w:spacing w:val="-10"/>
          <w:sz w:val="20"/>
        </w:rPr>
        <w:t> </w:t>
      </w:r>
      <w:r>
        <w:rPr>
          <w:sz w:val="20"/>
        </w:rPr>
        <w:t>se</w:t>
      </w:r>
      <w:r>
        <w:rPr>
          <w:spacing w:val="-10"/>
          <w:sz w:val="20"/>
        </w:rPr>
        <w:t> </w:t>
      </w:r>
      <w:r>
        <w:rPr>
          <w:sz w:val="20"/>
        </w:rPr>
        <w:t>reduce</w:t>
      </w:r>
      <w:r>
        <w:rPr>
          <w:spacing w:val="-10"/>
          <w:sz w:val="20"/>
        </w:rPr>
        <w:t> </w:t>
      </w:r>
      <w:r>
        <w:rPr>
          <w:sz w:val="20"/>
        </w:rPr>
        <w:t>a</w:t>
      </w:r>
      <w:r>
        <w:rPr>
          <w:spacing w:val="-10"/>
          <w:sz w:val="20"/>
        </w:rPr>
        <w:t> </w:t>
      </w:r>
      <w:r>
        <w:rPr>
          <w:sz w:val="20"/>
        </w:rPr>
        <w:t>eso.</w:t>
      </w:r>
      <w:r>
        <w:rPr>
          <w:spacing w:val="-10"/>
          <w:sz w:val="20"/>
        </w:rPr>
        <w:t> </w:t>
      </w:r>
      <w:r>
        <w:rPr>
          <w:sz w:val="20"/>
        </w:rPr>
        <w:t>Por</w:t>
      </w:r>
      <w:r>
        <w:rPr>
          <w:spacing w:val="-10"/>
          <w:sz w:val="20"/>
        </w:rPr>
        <w:t> </w:t>
      </w:r>
      <w:r>
        <w:rPr>
          <w:sz w:val="20"/>
        </w:rPr>
        <w:t>lo</w:t>
      </w:r>
      <w:r>
        <w:rPr>
          <w:spacing w:val="-10"/>
          <w:sz w:val="20"/>
        </w:rPr>
        <w:t> </w:t>
      </w:r>
      <w:r>
        <w:rPr>
          <w:sz w:val="20"/>
        </w:rPr>
        <w:t>tanto,</w:t>
      </w:r>
      <w:r>
        <w:rPr>
          <w:spacing w:val="-10"/>
          <w:sz w:val="20"/>
        </w:rPr>
        <w:t> </w:t>
      </w:r>
      <w:r>
        <w:rPr>
          <w:sz w:val="20"/>
        </w:rPr>
        <w:t>el</w:t>
      </w:r>
      <w:r>
        <w:rPr>
          <w:spacing w:val="-10"/>
          <w:sz w:val="20"/>
        </w:rPr>
        <w:t> </w:t>
      </w:r>
      <w:r>
        <w:rPr>
          <w:sz w:val="20"/>
        </w:rPr>
        <w:t>desarrollo</w:t>
      </w:r>
      <w:r>
        <w:rPr>
          <w:spacing w:val="-10"/>
          <w:sz w:val="20"/>
        </w:rPr>
        <w:t> </w:t>
      </w:r>
      <w:r>
        <w:rPr>
          <w:sz w:val="20"/>
        </w:rPr>
        <w:t>debe abarcar más que la expansión de la riqueza y los ingresos. Su objetivo central debe ser el ser humano (PNUD, 1990: 34).</w:t>
      </w:r>
    </w:p>
    <w:p>
      <w:pPr>
        <w:pStyle w:val="BodyText"/>
        <w:spacing w:line="247" w:lineRule="auto" w:before="172"/>
        <w:ind w:left="117" w:right="115" w:firstLine="283"/>
        <w:jc w:val="both"/>
      </w:pPr>
      <w:r>
        <w:rPr>
          <w:color w:val="231F20"/>
        </w:rPr>
        <w:t>Así pues la implementación del enfoque de las capacidades no es una tarea sencilla ya que el índice internacionalmente utilizado incorpora tres funcionamientos básicos, salud, educación y el acceso a bienes y</w:t>
      </w:r>
      <w:r>
        <w:rPr>
          <w:color w:val="231F20"/>
          <w:spacing w:val="-35"/>
        </w:rPr>
        <w:t> </w:t>
      </w:r>
      <w:r>
        <w:rPr>
          <w:color w:val="231F20"/>
        </w:rPr>
        <w:t>servicios vía el ingreso. Las capacidades más esenciales para el Desarrollo</w:t>
      </w:r>
      <w:r>
        <w:rPr>
          <w:color w:val="231F20"/>
          <w:spacing w:val="-34"/>
        </w:rPr>
        <w:t> </w:t>
      </w:r>
      <w:r>
        <w:rPr>
          <w:color w:val="231F20"/>
        </w:rPr>
        <w:t>Humano son disfrutar de una vida larga y saludable, haber sido educado, acceder a los recursos necesarios para lograr un nivel de vida digno y poder partici- par en la vida de la comunidad. Sin estas capacidades, se limita</w:t>
      </w:r>
      <w:r>
        <w:rPr>
          <w:color w:val="231F20"/>
          <w:spacing w:val="-28"/>
        </w:rPr>
        <w:t> </w:t>
      </w:r>
      <w:r>
        <w:rPr>
          <w:color w:val="231F20"/>
        </w:rPr>
        <w:t>considera- blemente la variedad de opciones disponibles y muchas oportunidades en la vida permanecen inaccesibles (PNUD,</w:t>
      </w:r>
      <w:r>
        <w:rPr>
          <w:color w:val="231F20"/>
          <w:spacing w:val="-2"/>
        </w:rPr>
        <w:t> </w:t>
      </w:r>
      <w:r>
        <w:rPr>
          <w:color w:val="231F20"/>
        </w:rPr>
        <w:t>2007).</w:t>
      </w:r>
    </w:p>
    <w:p>
      <w:pPr>
        <w:pStyle w:val="BodyText"/>
        <w:spacing w:line="247" w:lineRule="auto"/>
        <w:ind w:left="117" w:right="115" w:firstLine="283"/>
        <w:jc w:val="both"/>
      </w:pPr>
      <w:r>
        <w:rPr>
          <w:color w:val="231F20"/>
        </w:rPr>
        <w:t>El Desarrollo Humano es uno de los ejes nodales de las políticas so- ciales en México. Es por ello que el gobierno a lo largo del tiempo y de sus administraciones ha implementado programas que atiendan de manera concisa la pobreza, promoviendo con ello este tipo de desarrollo. Dicho tema se encuentra presente en programas como Pronasol y Progresa,  que</w:t>
      </w:r>
    </w:p>
    <w:p>
      <w:pPr>
        <w:spacing w:after="0" w:line="247" w:lineRule="auto"/>
        <w:jc w:val="both"/>
        <w:sectPr>
          <w:pgSz w:w="9360" w:h="13040"/>
          <w:pgMar w:header="0" w:footer="496" w:top="800" w:bottom="680" w:left="1300" w:right="1300"/>
        </w:sectPr>
      </w:pPr>
    </w:p>
    <w:p>
      <w:pPr>
        <w:spacing w:before="45"/>
        <w:ind w:left="117" w:right="0" w:firstLine="67"/>
        <w:jc w:val="both"/>
        <w:rPr>
          <w:rFonts w:ascii="Arial" w:hAnsi="Arial"/>
          <w:sz w:val="20"/>
        </w:rPr>
      </w:pPr>
      <w:r>
        <w:rPr>
          <w:rFonts w:ascii="Arial" w:hAnsi="Arial"/>
          <w:color w:val="231F20"/>
          <w:w w:val="65"/>
          <w:sz w:val="20"/>
        </w:rPr>
        <w:t>Las políticas públicas de combate a la pobreza y su sinergia... /Mayra P. Pérez-Román y A. Velázquez-Romero</w:t>
      </w:r>
    </w:p>
    <w:p>
      <w:pPr>
        <w:pStyle w:val="BodyText"/>
        <w:spacing w:before="7"/>
        <w:rPr>
          <w:rFonts w:ascii="Arial"/>
          <w:sz w:val="28"/>
        </w:rPr>
      </w:pPr>
    </w:p>
    <w:p>
      <w:pPr>
        <w:pStyle w:val="BodyText"/>
        <w:spacing w:line="247" w:lineRule="auto"/>
        <w:ind w:left="117" w:right="115"/>
        <w:jc w:val="both"/>
      </w:pPr>
      <w:r>
        <w:rPr>
          <w:color w:val="231F20"/>
        </w:rPr>
        <w:t>pese el cambio de nombres buscaron abatir en mayor o menor grado, la pobreza.</w:t>
      </w:r>
    </w:p>
    <w:p>
      <w:pPr>
        <w:pStyle w:val="Heading3"/>
        <w:spacing w:line="242" w:lineRule="auto"/>
        <w:ind w:right="1469"/>
        <w:jc w:val="left"/>
      </w:pPr>
      <w:r>
        <w:rPr>
          <w:color w:val="231F20"/>
        </w:rPr>
        <w:t>Recomendaciones y supuestos para la formulación de políticas públicas</w:t>
      </w:r>
    </w:p>
    <w:p>
      <w:pPr>
        <w:pStyle w:val="BodyText"/>
        <w:spacing w:line="247" w:lineRule="auto" w:before="170"/>
        <w:ind w:left="117" w:right="114"/>
        <w:jc w:val="both"/>
      </w:pPr>
      <w:r>
        <w:rPr>
          <w:color w:val="231F20"/>
        </w:rPr>
        <w:t>Las políticas públicas de combate a la pobreza favorecen la mejora del nivel de vida de la población, al ser un punto de apoyo para la economía familiar</w:t>
      </w:r>
      <w:r>
        <w:rPr>
          <w:color w:val="231F20"/>
          <w:spacing w:val="-3"/>
        </w:rPr>
        <w:t> </w:t>
      </w:r>
      <w:r>
        <w:rPr>
          <w:color w:val="231F20"/>
        </w:rPr>
        <w:t>y</w:t>
      </w:r>
      <w:r>
        <w:rPr>
          <w:color w:val="231F20"/>
          <w:spacing w:val="-3"/>
        </w:rPr>
        <w:t> </w:t>
      </w:r>
      <w:r>
        <w:rPr>
          <w:color w:val="231F20"/>
        </w:rPr>
        <w:t>que</w:t>
      </w:r>
      <w:r>
        <w:rPr>
          <w:color w:val="231F20"/>
          <w:spacing w:val="-4"/>
        </w:rPr>
        <w:t> </w:t>
      </w:r>
      <w:r>
        <w:rPr>
          <w:color w:val="231F20"/>
        </w:rPr>
        <w:t>al</w:t>
      </w:r>
      <w:r>
        <w:rPr>
          <w:color w:val="231F20"/>
          <w:spacing w:val="-4"/>
        </w:rPr>
        <w:t> </w:t>
      </w:r>
      <w:r>
        <w:rPr>
          <w:color w:val="231F20"/>
        </w:rPr>
        <w:t>tener</w:t>
      </w:r>
      <w:r>
        <w:rPr>
          <w:color w:val="231F20"/>
          <w:spacing w:val="-4"/>
        </w:rPr>
        <w:t> </w:t>
      </w:r>
      <w:r>
        <w:rPr>
          <w:color w:val="231F20"/>
        </w:rPr>
        <w:t>una</w:t>
      </w:r>
      <w:r>
        <w:rPr>
          <w:color w:val="231F20"/>
          <w:spacing w:val="-4"/>
        </w:rPr>
        <w:t> </w:t>
      </w:r>
      <w:r>
        <w:rPr>
          <w:color w:val="231F20"/>
        </w:rPr>
        <w:t>fuente</w:t>
      </w:r>
      <w:r>
        <w:rPr>
          <w:color w:val="231F20"/>
          <w:spacing w:val="-4"/>
        </w:rPr>
        <w:t> </w:t>
      </w:r>
      <w:r>
        <w:rPr>
          <w:color w:val="231F20"/>
        </w:rPr>
        <w:t>de</w:t>
      </w:r>
      <w:r>
        <w:rPr>
          <w:color w:val="231F20"/>
          <w:spacing w:val="-4"/>
        </w:rPr>
        <w:t> </w:t>
      </w:r>
      <w:r>
        <w:rPr>
          <w:color w:val="231F20"/>
        </w:rPr>
        <w:t>ingresos</w:t>
      </w:r>
      <w:r>
        <w:rPr>
          <w:color w:val="231F20"/>
          <w:spacing w:val="-4"/>
        </w:rPr>
        <w:t> </w:t>
      </w:r>
      <w:r>
        <w:rPr>
          <w:color w:val="231F20"/>
        </w:rPr>
        <w:t>dentro</w:t>
      </w:r>
      <w:r>
        <w:rPr>
          <w:color w:val="231F20"/>
          <w:spacing w:val="-4"/>
        </w:rPr>
        <w:t> </w:t>
      </w:r>
      <w:r>
        <w:rPr>
          <w:color w:val="231F20"/>
        </w:rPr>
        <w:t>de</w:t>
      </w:r>
      <w:r>
        <w:rPr>
          <w:color w:val="231F20"/>
          <w:spacing w:val="-4"/>
        </w:rPr>
        <w:t> </w:t>
      </w:r>
      <w:r>
        <w:rPr>
          <w:color w:val="231F20"/>
        </w:rPr>
        <w:t>su</w:t>
      </w:r>
      <w:r>
        <w:rPr>
          <w:color w:val="231F20"/>
          <w:spacing w:val="-3"/>
        </w:rPr>
        <w:t> </w:t>
      </w:r>
      <w:r>
        <w:rPr>
          <w:color w:val="231F20"/>
        </w:rPr>
        <w:t>contexto</w:t>
      </w:r>
      <w:r>
        <w:rPr>
          <w:color w:val="231F20"/>
          <w:spacing w:val="-4"/>
        </w:rPr>
        <w:t> </w:t>
      </w:r>
      <w:r>
        <w:rPr>
          <w:color w:val="231F20"/>
        </w:rPr>
        <w:t>se</w:t>
      </w:r>
      <w:r>
        <w:rPr>
          <w:color w:val="231F20"/>
          <w:spacing w:val="-3"/>
        </w:rPr>
        <w:t> </w:t>
      </w:r>
      <w:r>
        <w:rPr>
          <w:color w:val="231F20"/>
        </w:rPr>
        <w:t>evi- ta que los individuos salgan de sus comunidades para, en el mejor de los casos, trabajar en la ciudad más cercana, pero en la mayoría de éstos, los habitantes abandonan sus poblados en busca de trabajo en el extranjero. Esta</w:t>
      </w:r>
      <w:r>
        <w:rPr>
          <w:color w:val="231F20"/>
          <w:spacing w:val="-9"/>
        </w:rPr>
        <w:t> </w:t>
      </w:r>
      <w:r>
        <w:rPr>
          <w:color w:val="231F20"/>
        </w:rPr>
        <w:t>situación</w:t>
      </w:r>
      <w:r>
        <w:rPr>
          <w:color w:val="231F20"/>
          <w:spacing w:val="-8"/>
        </w:rPr>
        <w:t> </w:t>
      </w:r>
      <w:r>
        <w:rPr>
          <w:color w:val="231F20"/>
        </w:rPr>
        <w:t>es</w:t>
      </w:r>
      <w:r>
        <w:rPr>
          <w:color w:val="231F20"/>
          <w:spacing w:val="-9"/>
        </w:rPr>
        <w:t> </w:t>
      </w:r>
      <w:r>
        <w:rPr>
          <w:color w:val="231F20"/>
        </w:rPr>
        <w:t>clara</w:t>
      </w:r>
      <w:r>
        <w:rPr>
          <w:color w:val="231F20"/>
          <w:spacing w:val="-9"/>
        </w:rPr>
        <w:t> </w:t>
      </w:r>
      <w:r>
        <w:rPr>
          <w:color w:val="231F20"/>
        </w:rPr>
        <w:t>en</w:t>
      </w:r>
      <w:r>
        <w:rPr>
          <w:color w:val="231F20"/>
          <w:spacing w:val="-9"/>
        </w:rPr>
        <w:t> </w:t>
      </w:r>
      <w:r>
        <w:rPr>
          <w:color w:val="231F20"/>
        </w:rPr>
        <w:t>un</w:t>
      </w:r>
      <w:r>
        <w:rPr>
          <w:color w:val="231F20"/>
          <w:spacing w:val="-9"/>
        </w:rPr>
        <w:t> </w:t>
      </w:r>
      <w:r>
        <w:rPr>
          <w:color w:val="231F20"/>
        </w:rPr>
        <w:t>contexto</w:t>
      </w:r>
      <w:r>
        <w:rPr>
          <w:color w:val="231F20"/>
          <w:spacing w:val="-9"/>
        </w:rPr>
        <w:t> </w:t>
      </w:r>
      <w:r>
        <w:rPr>
          <w:color w:val="231F20"/>
        </w:rPr>
        <w:t>como</w:t>
      </w:r>
      <w:r>
        <w:rPr>
          <w:color w:val="231F20"/>
          <w:spacing w:val="-9"/>
        </w:rPr>
        <w:t> </w:t>
      </w:r>
      <w:r>
        <w:rPr>
          <w:color w:val="231F20"/>
        </w:rPr>
        <w:t>el</w:t>
      </w:r>
      <w:r>
        <w:rPr>
          <w:color w:val="231F20"/>
          <w:spacing w:val="-9"/>
        </w:rPr>
        <w:t> </w:t>
      </w:r>
      <w:r>
        <w:rPr>
          <w:color w:val="231F20"/>
        </w:rPr>
        <w:t>nacional</w:t>
      </w:r>
      <w:r>
        <w:rPr>
          <w:color w:val="231F20"/>
          <w:spacing w:val="-9"/>
        </w:rPr>
        <w:t> </w:t>
      </w:r>
      <w:r>
        <w:rPr>
          <w:color w:val="231F20"/>
        </w:rPr>
        <w:t>en</w:t>
      </w:r>
      <w:r>
        <w:rPr>
          <w:color w:val="231F20"/>
          <w:spacing w:val="-9"/>
        </w:rPr>
        <w:t> </w:t>
      </w:r>
      <w:r>
        <w:rPr>
          <w:color w:val="231F20"/>
        </w:rPr>
        <w:t>donde</w:t>
      </w:r>
      <w:r>
        <w:rPr>
          <w:color w:val="231F20"/>
          <w:spacing w:val="-9"/>
        </w:rPr>
        <w:t> </w:t>
      </w:r>
      <w:r>
        <w:rPr>
          <w:color w:val="231F20"/>
        </w:rPr>
        <w:t>pese</w:t>
      </w:r>
      <w:r>
        <w:rPr>
          <w:color w:val="231F20"/>
          <w:spacing w:val="-9"/>
        </w:rPr>
        <w:t> </w:t>
      </w:r>
      <w:r>
        <w:rPr>
          <w:color w:val="231F20"/>
        </w:rPr>
        <w:t>a</w:t>
      </w:r>
      <w:r>
        <w:rPr>
          <w:color w:val="231F20"/>
          <w:spacing w:val="-9"/>
        </w:rPr>
        <w:t> </w:t>
      </w:r>
      <w:r>
        <w:rPr>
          <w:color w:val="231F20"/>
        </w:rPr>
        <w:t>los programas</w:t>
      </w:r>
      <w:r>
        <w:rPr>
          <w:color w:val="231F20"/>
          <w:spacing w:val="-9"/>
        </w:rPr>
        <w:t> </w:t>
      </w:r>
      <w:r>
        <w:rPr>
          <w:color w:val="231F20"/>
        </w:rPr>
        <w:t>de</w:t>
      </w:r>
      <w:r>
        <w:rPr>
          <w:color w:val="231F20"/>
          <w:spacing w:val="-9"/>
        </w:rPr>
        <w:t> </w:t>
      </w:r>
      <w:r>
        <w:rPr>
          <w:color w:val="231F20"/>
        </w:rPr>
        <w:t>corte</w:t>
      </w:r>
      <w:r>
        <w:rPr>
          <w:color w:val="231F20"/>
          <w:spacing w:val="-9"/>
        </w:rPr>
        <w:t> </w:t>
      </w:r>
      <w:r>
        <w:rPr>
          <w:color w:val="231F20"/>
        </w:rPr>
        <w:t>social</w:t>
      </w:r>
      <w:r>
        <w:rPr>
          <w:color w:val="231F20"/>
          <w:spacing w:val="-9"/>
        </w:rPr>
        <w:t> </w:t>
      </w:r>
      <w:r>
        <w:rPr>
          <w:color w:val="231F20"/>
        </w:rPr>
        <w:t>la</w:t>
      </w:r>
      <w:r>
        <w:rPr>
          <w:color w:val="231F20"/>
          <w:spacing w:val="-9"/>
        </w:rPr>
        <w:t> </w:t>
      </w:r>
      <w:r>
        <w:rPr>
          <w:color w:val="231F20"/>
        </w:rPr>
        <w:t>ayuda</w:t>
      </w:r>
      <w:r>
        <w:rPr>
          <w:color w:val="231F20"/>
          <w:spacing w:val="-9"/>
        </w:rPr>
        <w:t> </w:t>
      </w:r>
      <w:r>
        <w:rPr>
          <w:color w:val="231F20"/>
        </w:rPr>
        <w:t>resulta</w:t>
      </w:r>
      <w:r>
        <w:rPr>
          <w:color w:val="231F20"/>
          <w:spacing w:val="-9"/>
        </w:rPr>
        <w:t> </w:t>
      </w:r>
      <w:r>
        <w:rPr>
          <w:color w:val="231F20"/>
        </w:rPr>
        <w:t>insuficiente</w:t>
      </w:r>
      <w:r>
        <w:rPr>
          <w:color w:val="231F20"/>
          <w:spacing w:val="-9"/>
        </w:rPr>
        <w:t> </w:t>
      </w:r>
      <w:r>
        <w:rPr>
          <w:color w:val="231F20"/>
        </w:rPr>
        <w:t>ante</w:t>
      </w:r>
      <w:r>
        <w:rPr>
          <w:color w:val="231F20"/>
          <w:spacing w:val="-9"/>
        </w:rPr>
        <w:t> </w:t>
      </w:r>
      <w:r>
        <w:rPr>
          <w:color w:val="231F20"/>
        </w:rPr>
        <w:t>las</w:t>
      </w:r>
      <w:r>
        <w:rPr>
          <w:color w:val="231F20"/>
          <w:spacing w:val="-9"/>
        </w:rPr>
        <w:t> </w:t>
      </w:r>
      <w:r>
        <w:rPr>
          <w:color w:val="231F20"/>
        </w:rPr>
        <w:t>necesidades que de manera exponencial</w:t>
      </w:r>
      <w:r>
        <w:rPr>
          <w:color w:val="231F20"/>
          <w:spacing w:val="-2"/>
        </w:rPr>
        <w:t> </w:t>
      </w:r>
      <w:r>
        <w:rPr>
          <w:color w:val="231F20"/>
        </w:rPr>
        <w:t>crecen.</w:t>
      </w:r>
    </w:p>
    <w:p>
      <w:pPr>
        <w:pStyle w:val="BodyText"/>
        <w:spacing w:line="247" w:lineRule="auto"/>
        <w:ind w:left="117" w:right="115" w:firstLine="283"/>
        <w:jc w:val="both"/>
      </w:pPr>
      <w:r>
        <w:rPr>
          <w:color w:val="231F20"/>
        </w:rPr>
        <w:t>Hablar de la consolidación de capital humano no es una tarea que se</w:t>
      </w:r>
      <w:r>
        <w:rPr>
          <w:color w:val="231F20"/>
          <w:spacing w:val="-36"/>
        </w:rPr>
        <w:t> </w:t>
      </w:r>
      <w:r>
        <w:rPr>
          <w:color w:val="231F20"/>
        </w:rPr>
        <w:t>dé por entendida, ya que el término se refiere a la capacidad predictiva de un individuo y de Acuerdo con Alhama (2004), autores como Fischer, Dor- nbusch y Schmalensee (2004) señalan que Capital Humano se desarrolla para explicar la relación de la experiencia y nivel educativo con la remu- neración y conocer qué determina la educación que reciben los individuos y</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cual</w:t>
      </w:r>
      <w:r>
        <w:rPr>
          <w:color w:val="231F20"/>
          <w:spacing w:val="-3"/>
        </w:rPr>
        <w:t> </w:t>
      </w:r>
      <w:r>
        <w:rPr>
          <w:color w:val="231F20"/>
        </w:rPr>
        <w:t>infieren</w:t>
      </w:r>
      <w:r>
        <w:rPr>
          <w:color w:val="231F20"/>
          <w:spacing w:val="-3"/>
        </w:rPr>
        <w:t> </w:t>
      </w:r>
      <w:r>
        <w:rPr>
          <w:color w:val="231F20"/>
        </w:rPr>
        <w:t>la</w:t>
      </w:r>
      <w:r>
        <w:rPr>
          <w:color w:val="231F20"/>
          <w:spacing w:val="-3"/>
        </w:rPr>
        <w:t> </w:t>
      </w:r>
      <w:r>
        <w:rPr>
          <w:color w:val="231F20"/>
        </w:rPr>
        <w:t>capacidad</w:t>
      </w:r>
      <w:r>
        <w:rPr>
          <w:color w:val="231F20"/>
          <w:spacing w:val="-3"/>
        </w:rPr>
        <w:t> </w:t>
      </w:r>
      <w:r>
        <w:rPr>
          <w:color w:val="231F20"/>
        </w:rPr>
        <w:t>y</w:t>
      </w:r>
      <w:r>
        <w:rPr>
          <w:color w:val="231F20"/>
          <w:spacing w:val="-3"/>
        </w:rPr>
        <w:t> </w:t>
      </w:r>
      <w:r>
        <w:rPr>
          <w:color w:val="231F20"/>
        </w:rPr>
        <w:t>el</w:t>
      </w:r>
      <w:r>
        <w:rPr>
          <w:color w:val="231F20"/>
          <w:spacing w:val="-3"/>
        </w:rPr>
        <w:t> </w:t>
      </w:r>
      <w:r>
        <w:rPr>
          <w:color w:val="231F20"/>
        </w:rPr>
        <w:t>talento,</w:t>
      </w:r>
      <w:r>
        <w:rPr>
          <w:color w:val="231F20"/>
          <w:spacing w:val="-3"/>
        </w:rPr>
        <w:t> </w:t>
      </w:r>
      <w:r>
        <w:rPr>
          <w:color w:val="231F20"/>
        </w:rPr>
        <w:t>además</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ya</w:t>
      </w:r>
      <w:r>
        <w:rPr>
          <w:color w:val="231F20"/>
          <w:spacing w:val="-3"/>
        </w:rPr>
        <w:t> </w:t>
      </w:r>
      <w:r>
        <w:rPr>
          <w:color w:val="231F20"/>
        </w:rPr>
        <w:t>mencionada educación y las calificaciones</w:t>
      </w:r>
      <w:r>
        <w:rPr>
          <w:color w:val="231F20"/>
          <w:spacing w:val="-12"/>
        </w:rPr>
        <w:t> </w:t>
      </w:r>
      <w:r>
        <w:rPr>
          <w:color w:val="231F20"/>
        </w:rPr>
        <w:t>adquiridas.</w:t>
      </w:r>
    </w:p>
    <w:p>
      <w:pPr>
        <w:pStyle w:val="BodyText"/>
        <w:spacing w:line="247" w:lineRule="auto"/>
        <w:ind w:left="117" w:right="114" w:firstLine="283"/>
        <w:jc w:val="both"/>
      </w:pPr>
      <w:r>
        <w:rPr>
          <w:color w:val="231F20"/>
        </w:rPr>
        <w:t>Por ello las políticas de combate a la pobreza dentro de su desarrollo apelan por el aumento en el nivel educativo de sus beneficiarios para, a la postre, lograr su correcta inserción en el mercado laboral, además en el pilar de alimentación se les brinda apoyos monetarios para poder susten- tar, en la medida de lo posible, sus necesidades alimentarias básicas, que en conjunto le permitirán asistir a la escuela con las condiciones mínimas requeridas, además en el rubro de salud busca prevenir enfermedades que impedirían que los beneficiaros que sean susceptibles al apoyo educativo, se presentasen en las escuelas.</w:t>
      </w:r>
    </w:p>
    <w:p>
      <w:pPr>
        <w:pStyle w:val="BodyText"/>
        <w:spacing w:line="247" w:lineRule="auto"/>
        <w:ind w:left="117" w:right="114" w:firstLine="283"/>
        <w:jc w:val="both"/>
      </w:pPr>
      <w:r>
        <w:rPr>
          <w:color w:val="231F20"/>
        </w:rPr>
        <w:t>La</w:t>
      </w:r>
      <w:r>
        <w:rPr>
          <w:color w:val="231F20"/>
          <w:spacing w:val="-7"/>
        </w:rPr>
        <w:t> </w:t>
      </w:r>
      <w:r>
        <w:rPr>
          <w:color w:val="231F20"/>
        </w:rPr>
        <w:t>función</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que</w:t>
      </w:r>
      <w:r>
        <w:rPr>
          <w:color w:val="231F20"/>
          <w:spacing w:val="-7"/>
        </w:rPr>
        <w:t> </w:t>
      </w:r>
      <w:r>
        <w:rPr>
          <w:color w:val="231F20"/>
        </w:rPr>
        <w:t>hasta</w:t>
      </w:r>
      <w:r>
        <w:rPr>
          <w:color w:val="231F20"/>
          <w:spacing w:val="-7"/>
        </w:rPr>
        <w:t> </w:t>
      </w:r>
      <w:r>
        <w:rPr>
          <w:color w:val="231F20"/>
        </w:rPr>
        <w:t>ahora</w:t>
      </w:r>
      <w:r>
        <w:rPr>
          <w:color w:val="231F20"/>
          <w:spacing w:val="-7"/>
        </w:rPr>
        <w:t> </w:t>
      </w:r>
      <w:r>
        <w:rPr>
          <w:color w:val="231F20"/>
        </w:rPr>
        <w:t>han</w:t>
      </w:r>
      <w:r>
        <w:rPr>
          <w:color w:val="231F20"/>
          <w:spacing w:val="-7"/>
        </w:rPr>
        <w:t> </w:t>
      </w:r>
      <w:r>
        <w:rPr>
          <w:color w:val="231F20"/>
        </w:rPr>
        <w:t>sido</w:t>
      </w:r>
      <w:r>
        <w:rPr>
          <w:color w:val="231F20"/>
          <w:spacing w:val="-7"/>
        </w:rPr>
        <w:t> </w:t>
      </w:r>
      <w:r>
        <w:rPr>
          <w:color w:val="231F20"/>
        </w:rPr>
        <w:t>las</w:t>
      </w:r>
      <w:r>
        <w:rPr>
          <w:color w:val="231F20"/>
          <w:spacing w:val="-7"/>
        </w:rPr>
        <w:t> </w:t>
      </w:r>
      <w:r>
        <w:rPr>
          <w:color w:val="231F20"/>
        </w:rPr>
        <w:t>grandes</w:t>
      </w:r>
      <w:r>
        <w:rPr>
          <w:color w:val="231F20"/>
          <w:spacing w:val="-7"/>
        </w:rPr>
        <w:t> </w:t>
      </w:r>
      <w:r>
        <w:rPr>
          <w:color w:val="231F20"/>
        </w:rPr>
        <w:t>políticas</w:t>
      </w:r>
      <w:r>
        <w:rPr>
          <w:color w:val="231F20"/>
          <w:spacing w:val="-7"/>
        </w:rPr>
        <w:t> </w:t>
      </w:r>
      <w:r>
        <w:rPr>
          <w:color w:val="231F20"/>
        </w:rPr>
        <w:t>sexena- les de combate a la pobreza, además de paliar los grandes males sociales, han buscado combatirlas desde la raíz, trayendo consigo que las familias no tengan que desintegrarse o deban salir de sus poblados en busca de oportunidades de trabajo que finalmente terminarán por impedir el</w:t>
      </w:r>
      <w:r>
        <w:rPr>
          <w:color w:val="231F20"/>
          <w:spacing w:val="-29"/>
        </w:rPr>
        <w:t> </w:t>
      </w:r>
      <w:r>
        <w:rPr>
          <w:color w:val="231F20"/>
        </w:rPr>
        <w:t>desem- peño educativo debido a la necesidad de trabajar durante la edad escolar, además</w:t>
      </w:r>
      <w:r>
        <w:rPr>
          <w:color w:val="231F20"/>
          <w:spacing w:val="-7"/>
        </w:rPr>
        <w:t> </w:t>
      </w:r>
      <w:r>
        <w:rPr>
          <w:color w:val="231F20"/>
        </w:rPr>
        <w:t>de</w:t>
      </w:r>
      <w:r>
        <w:rPr>
          <w:color w:val="231F20"/>
          <w:spacing w:val="-7"/>
        </w:rPr>
        <w:t> </w:t>
      </w:r>
      <w:r>
        <w:rPr>
          <w:color w:val="231F20"/>
        </w:rPr>
        <w:t>ser</w:t>
      </w:r>
      <w:r>
        <w:rPr>
          <w:color w:val="231F20"/>
          <w:spacing w:val="-6"/>
        </w:rPr>
        <w:t> </w:t>
      </w:r>
      <w:r>
        <w:rPr>
          <w:color w:val="231F20"/>
        </w:rPr>
        <w:t>un</w:t>
      </w:r>
      <w:r>
        <w:rPr>
          <w:color w:val="231F20"/>
          <w:spacing w:val="-7"/>
        </w:rPr>
        <w:t> </w:t>
      </w:r>
      <w:r>
        <w:rPr>
          <w:color w:val="231F20"/>
        </w:rPr>
        <w:t>factor</w:t>
      </w:r>
      <w:r>
        <w:rPr>
          <w:color w:val="231F20"/>
          <w:spacing w:val="-6"/>
        </w:rPr>
        <w:t> </w:t>
      </w:r>
      <w:r>
        <w:rPr>
          <w:color w:val="231F20"/>
        </w:rPr>
        <w:t>de</w:t>
      </w:r>
      <w:r>
        <w:rPr>
          <w:color w:val="231F20"/>
          <w:spacing w:val="-7"/>
        </w:rPr>
        <w:t> </w:t>
      </w:r>
      <w:r>
        <w:rPr>
          <w:color w:val="231F20"/>
        </w:rPr>
        <w:t>retención</w:t>
      </w:r>
      <w:r>
        <w:rPr>
          <w:color w:val="231F20"/>
          <w:spacing w:val="-6"/>
        </w:rPr>
        <w:t> </w:t>
      </w:r>
      <w:r>
        <w:rPr>
          <w:color w:val="231F20"/>
        </w:rPr>
        <w:t>en</w:t>
      </w:r>
      <w:r>
        <w:rPr>
          <w:color w:val="231F20"/>
          <w:spacing w:val="-7"/>
        </w:rPr>
        <w:t> </w:t>
      </w:r>
      <w:r>
        <w:rPr>
          <w:color w:val="231F20"/>
        </w:rPr>
        <w:t>sus</w:t>
      </w:r>
      <w:r>
        <w:rPr>
          <w:color w:val="231F20"/>
          <w:spacing w:val="-6"/>
        </w:rPr>
        <w:t> </w:t>
      </w:r>
      <w:r>
        <w:rPr>
          <w:color w:val="231F20"/>
        </w:rPr>
        <w:t>comunidades,</w:t>
      </w:r>
      <w:r>
        <w:rPr>
          <w:color w:val="231F20"/>
          <w:spacing w:val="-7"/>
        </w:rPr>
        <w:t> </w:t>
      </w:r>
      <w:r>
        <w:rPr>
          <w:color w:val="231F20"/>
        </w:rPr>
        <w:t>ya</w:t>
      </w:r>
      <w:r>
        <w:rPr>
          <w:color w:val="231F20"/>
          <w:spacing w:val="-7"/>
        </w:rPr>
        <w:t> </w:t>
      </w:r>
      <w:r>
        <w:rPr>
          <w:color w:val="231F20"/>
        </w:rPr>
        <w:t>que</w:t>
      </w:r>
      <w:r>
        <w:rPr>
          <w:color w:val="231F20"/>
          <w:spacing w:val="-7"/>
        </w:rPr>
        <w:t> </w:t>
      </w:r>
      <w:r>
        <w:rPr>
          <w:color w:val="231F20"/>
        </w:rPr>
        <w:t>mediante</w:t>
      </w:r>
    </w:p>
    <w:p>
      <w:pPr>
        <w:spacing w:after="0" w:line="247" w:lineRule="auto"/>
        <w:jc w:val="both"/>
        <w:sectPr>
          <w:pgSz w:w="9360" w:h="13040"/>
          <w:pgMar w:header="0" w:footer="496" w:top="740" w:bottom="680" w:left="1300" w:right="1300"/>
        </w:sectPr>
      </w:pPr>
    </w:p>
    <w:p>
      <w:pPr>
        <w:tabs>
          <w:tab w:pos="5536" w:val="left" w:leader="none"/>
        </w:tabs>
        <w:spacing w:before="48"/>
        <w:ind w:left="117" w:right="117" w:hanging="12"/>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7"/>
      </w:pPr>
      <w:r>
        <w:rPr>
          <w:color w:val="231F20"/>
        </w:rPr>
        <w:t>programas de capacitación se muestra a la población un factor de corres- ponsabilidad en la superación de la pobreza.</w:t>
      </w:r>
    </w:p>
    <w:p>
      <w:pPr>
        <w:pStyle w:val="BodyText"/>
        <w:spacing w:line="247" w:lineRule="auto"/>
        <w:ind w:left="117" w:right="114" w:firstLine="283"/>
        <w:jc w:val="both"/>
      </w:pPr>
      <w:r>
        <w:rPr>
          <w:color w:val="231F20"/>
        </w:rPr>
        <w:t>La corresponsabilidad es un factor central dentro del desarrollo de las políticas, ya que la población está consciente de su papel central dentro del desarrollo de las mismas, pretendiendo ya no ser un mero receptor sino</w:t>
      </w:r>
      <w:r>
        <w:rPr>
          <w:color w:val="231F20"/>
          <w:spacing w:val="-7"/>
        </w:rPr>
        <w:t> </w:t>
      </w:r>
      <w:r>
        <w:rPr>
          <w:color w:val="231F20"/>
        </w:rPr>
        <w:t>participar</w:t>
      </w:r>
      <w:r>
        <w:rPr>
          <w:color w:val="231F20"/>
          <w:spacing w:val="-7"/>
        </w:rPr>
        <w:t> </w:t>
      </w:r>
      <w:r>
        <w:rPr>
          <w:color w:val="231F20"/>
        </w:rPr>
        <w:t>activamente</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superación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pobreza.</w:t>
      </w:r>
      <w:r>
        <w:rPr>
          <w:color w:val="231F20"/>
          <w:spacing w:val="-7"/>
        </w:rPr>
        <w:t> </w:t>
      </w:r>
      <w:r>
        <w:rPr>
          <w:color w:val="231F20"/>
        </w:rPr>
        <w:t>La</w:t>
      </w:r>
      <w:r>
        <w:rPr>
          <w:color w:val="231F20"/>
          <w:spacing w:val="-7"/>
        </w:rPr>
        <w:t> </w:t>
      </w:r>
      <w:r>
        <w:rPr>
          <w:color w:val="231F20"/>
        </w:rPr>
        <w:t>retención</w:t>
      </w:r>
      <w:r>
        <w:rPr>
          <w:color w:val="231F20"/>
          <w:spacing w:val="-7"/>
        </w:rPr>
        <w:t> </w:t>
      </w:r>
      <w:r>
        <w:rPr>
          <w:color w:val="231F20"/>
        </w:rPr>
        <w:t>de la población mediante las políticas sociales también es perceptible sobre todo en el rompimiento del circulo de la pobreza o en la llamada pobreza transgeneracional, debido a que una correcta educación y en general ali- mentación</w:t>
      </w:r>
      <w:r>
        <w:rPr>
          <w:color w:val="231F20"/>
          <w:spacing w:val="-7"/>
        </w:rPr>
        <w:t> </w:t>
      </w:r>
      <w:r>
        <w:rPr>
          <w:color w:val="231F20"/>
        </w:rPr>
        <w:t>y</w:t>
      </w:r>
      <w:r>
        <w:rPr>
          <w:color w:val="231F20"/>
          <w:spacing w:val="-7"/>
        </w:rPr>
        <w:t> </w:t>
      </w:r>
      <w:r>
        <w:rPr>
          <w:color w:val="231F20"/>
        </w:rPr>
        <w:t>salud</w:t>
      </w:r>
      <w:r>
        <w:rPr>
          <w:color w:val="231F20"/>
          <w:spacing w:val="-7"/>
        </w:rPr>
        <w:t> </w:t>
      </w:r>
      <w:r>
        <w:rPr>
          <w:color w:val="231F20"/>
        </w:rPr>
        <w:t>en</w:t>
      </w:r>
      <w:r>
        <w:rPr>
          <w:color w:val="231F20"/>
          <w:spacing w:val="-7"/>
        </w:rPr>
        <w:t> </w:t>
      </w:r>
      <w:r>
        <w:rPr>
          <w:color w:val="231F20"/>
        </w:rPr>
        <w:t>conjunto</w:t>
      </w:r>
      <w:r>
        <w:rPr>
          <w:color w:val="231F20"/>
          <w:spacing w:val="-7"/>
        </w:rPr>
        <w:t> </w:t>
      </w:r>
      <w:r>
        <w:rPr>
          <w:color w:val="231F20"/>
        </w:rPr>
        <w:t>ayudan</w:t>
      </w:r>
      <w:r>
        <w:rPr>
          <w:color w:val="231F20"/>
          <w:spacing w:val="-7"/>
        </w:rPr>
        <w:t> </w:t>
      </w:r>
      <w:r>
        <w:rPr>
          <w:color w:val="231F20"/>
        </w:rPr>
        <w:t>a</w:t>
      </w:r>
      <w:r>
        <w:rPr>
          <w:color w:val="231F20"/>
          <w:spacing w:val="-7"/>
        </w:rPr>
        <w:t> </w:t>
      </w:r>
      <w:r>
        <w:rPr>
          <w:color w:val="231F20"/>
        </w:rPr>
        <w:t>superar</w:t>
      </w:r>
      <w:r>
        <w:rPr>
          <w:color w:val="231F20"/>
          <w:spacing w:val="-6"/>
        </w:rPr>
        <w:t> </w:t>
      </w:r>
      <w:r>
        <w:rPr>
          <w:color w:val="231F20"/>
        </w:rPr>
        <w:t>la</w:t>
      </w:r>
      <w:r>
        <w:rPr>
          <w:color w:val="231F20"/>
          <w:spacing w:val="-7"/>
        </w:rPr>
        <w:t> </w:t>
      </w:r>
      <w:r>
        <w:rPr>
          <w:color w:val="231F20"/>
        </w:rPr>
        <w:t>situación</w:t>
      </w:r>
      <w:r>
        <w:rPr>
          <w:color w:val="231F20"/>
          <w:spacing w:val="-6"/>
        </w:rPr>
        <w:t> </w:t>
      </w:r>
      <w:r>
        <w:rPr>
          <w:color w:val="231F20"/>
        </w:rPr>
        <w:t>de</w:t>
      </w:r>
      <w:r>
        <w:rPr>
          <w:color w:val="231F20"/>
          <w:spacing w:val="-7"/>
        </w:rPr>
        <w:t> </w:t>
      </w:r>
      <w:r>
        <w:rPr>
          <w:color w:val="231F20"/>
        </w:rPr>
        <w:t>pobreza</w:t>
      </w:r>
      <w:r>
        <w:rPr>
          <w:color w:val="231F20"/>
          <w:spacing w:val="-7"/>
        </w:rPr>
        <w:t> </w:t>
      </w:r>
      <w:r>
        <w:rPr>
          <w:color w:val="231F20"/>
        </w:rPr>
        <w:t>de generaciones futuras, ya que los apoyos de los programas están dirigidos para desarrollar las habilidades de la población objetivo que finalmente será</w:t>
      </w:r>
      <w:r>
        <w:rPr>
          <w:color w:val="231F20"/>
          <w:spacing w:val="-5"/>
        </w:rPr>
        <w:t> </w:t>
      </w:r>
      <w:r>
        <w:rPr>
          <w:color w:val="231F20"/>
        </w:rPr>
        <w:t>el</w:t>
      </w:r>
      <w:r>
        <w:rPr>
          <w:color w:val="231F20"/>
          <w:spacing w:val="-6"/>
        </w:rPr>
        <w:t> </w:t>
      </w:r>
      <w:r>
        <w:rPr>
          <w:color w:val="231F20"/>
        </w:rPr>
        <w:t>talante</w:t>
      </w:r>
      <w:r>
        <w:rPr>
          <w:color w:val="231F20"/>
          <w:spacing w:val="-6"/>
        </w:rPr>
        <w:t> </w:t>
      </w:r>
      <w:r>
        <w:rPr>
          <w:color w:val="231F20"/>
        </w:rPr>
        <w:t>para</w:t>
      </w:r>
      <w:r>
        <w:rPr>
          <w:color w:val="231F20"/>
          <w:spacing w:val="-6"/>
        </w:rPr>
        <w:t> </w:t>
      </w:r>
      <w:r>
        <w:rPr>
          <w:color w:val="231F20"/>
        </w:rPr>
        <w:t>desenvolver</w:t>
      </w:r>
      <w:r>
        <w:rPr>
          <w:color w:val="231F20"/>
          <w:spacing w:val="-6"/>
        </w:rPr>
        <w:t> </w:t>
      </w:r>
      <w:r>
        <w:rPr>
          <w:color w:val="231F20"/>
        </w:rPr>
        <w:t>capacidades</w:t>
      </w:r>
      <w:r>
        <w:rPr>
          <w:color w:val="231F20"/>
          <w:spacing w:val="-6"/>
        </w:rPr>
        <w:t> </w:t>
      </w:r>
      <w:r>
        <w:rPr>
          <w:color w:val="231F20"/>
        </w:rPr>
        <w:t>que</w:t>
      </w:r>
      <w:r>
        <w:rPr>
          <w:color w:val="231F20"/>
          <w:spacing w:val="-6"/>
        </w:rPr>
        <w:t> </w:t>
      </w:r>
      <w:r>
        <w:rPr>
          <w:color w:val="231F20"/>
        </w:rPr>
        <w:t>permitirán</w:t>
      </w:r>
      <w:r>
        <w:rPr>
          <w:color w:val="231F20"/>
          <w:spacing w:val="-5"/>
        </w:rPr>
        <w:t> </w:t>
      </w:r>
      <w:r>
        <w:rPr>
          <w:color w:val="231F20"/>
        </w:rPr>
        <w:t>su</w:t>
      </w:r>
      <w:r>
        <w:rPr>
          <w:color w:val="231F20"/>
          <w:spacing w:val="-5"/>
        </w:rPr>
        <w:t> </w:t>
      </w:r>
      <w:r>
        <w:rPr>
          <w:color w:val="231F20"/>
        </w:rPr>
        <w:t>desarrollo</w:t>
      </w:r>
      <w:r>
        <w:rPr>
          <w:color w:val="231F20"/>
          <w:spacing w:val="-6"/>
        </w:rPr>
        <w:t> </w:t>
      </w:r>
      <w:r>
        <w:rPr>
          <w:color w:val="231F20"/>
        </w:rPr>
        <w:t>e inserción en las demás capas</w:t>
      </w:r>
      <w:r>
        <w:rPr>
          <w:color w:val="231F20"/>
          <w:spacing w:val="-13"/>
        </w:rPr>
        <w:t> </w:t>
      </w:r>
      <w:r>
        <w:rPr>
          <w:color w:val="231F20"/>
        </w:rPr>
        <w:t>sociales.</w:t>
      </w:r>
    </w:p>
    <w:p>
      <w:pPr>
        <w:pStyle w:val="BodyText"/>
        <w:spacing w:line="247" w:lineRule="auto"/>
        <w:ind w:left="117" w:right="114" w:firstLine="283"/>
        <w:jc w:val="both"/>
      </w:pPr>
      <w:r>
        <w:rPr>
          <w:color w:val="231F20"/>
        </w:rPr>
        <w:t>En este punto la recomendación oscila en la necesidad de generar polí- ticas públicas que mediante su ejecución en la política social ayuden en la superación de la pobreza, mediante la creación de programas de acuerdo con el contexto y a las necesidades particulares, ya que se debe de tener en</w:t>
      </w:r>
      <w:r>
        <w:rPr>
          <w:color w:val="231F20"/>
          <w:spacing w:val="-5"/>
        </w:rPr>
        <w:t> </w:t>
      </w:r>
      <w:r>
        <w:rPr>
          <w:color w:val="231F20"/>
        </w:rPr>
        <w:t>cuenta</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sociedad</w:t>
      </w:r>
      <w:r>
        <w:rPr>
          <w:color w:val="231F20"/>
          <w:spacing w:val="-4"/>
        </w:rPr>
        <w:t> </w:t>
      </w:r>
      <w:r>
        <w:rPr>
          <w:color w:val="231F20"/>
        </w:rPr>
        <w:t>no</w:t>
      </w:r>
      <w:r>
        <w:rPr>
          <w:color w:val="231F20"/>
          <w:spacing w:val="-5"/>
        </w:rPr>
        <w:t> </w:t>
      </w:r>
      <w:r>
        <w:rPr>
          <w:color w:val="231F20"/>
        </w:rPr>
        <w:t>es</w:t>
      </w:r>
      <w:r>
        <w:rPr>
          <w:color w:val="231F20"/>
          <w:spacing w:val="-5"/>
        </w:rPr>
        <w:t> </w:t>
      </w:r>
      <w:r>
        <w:rPr>
          <w:color w:val="231F20"/>
        </w:rPr>
        <w:t>estática</w:t>
      </w:r>
      <w:r>
        <w:rPr>
          <w:color w:val="231F20"/>
          <w:spacing w:val="-5"/>
        </w:rPr>
        <w:t> </w:t>
      </w:r>
      <w:r>
        <w:rPr>
          <w:color w:val="231F20"/>
        </w:rPr>
        <w:t>e</w:t>
      </w:r>
      <w:r>
        <w:rPr>
          <w:color w:val="231F20"/>
          <w:spacing w:val="-5"/>
        </w:rPr>
        <w:t> </w:t>
      </w:r>
      <w:r>
        <w:rPr>
          <w:color w:val="231F20"/>
        </w:rPr>
        <w:t>inmutable,</w:t>
      </w:r>
      <w:r>
        <w:rPr>
          <w:color w:val="231F20"/>
          <w:spacing w:val="-5"/>
        </w:rPr>
        <w:t> </w:t>
      </w:r>
      <w:r>
        <w:rPr>
          <w:color w:val="231F20"/>
        </w:rPr>
        <w:t>sino</w:t>
      </w:r>
      <w:r>
        <w:rPr>
          <w:color w:val="231F20"/>
          <w:spacing w:val="-4"/>
        </w:rPr>
        <w:t> </w:t>
      </w:r>
      <w:r>
        <w:rPr>
          <w:color w:val="231F20"/>
        </w:rPr>
        <w:t>que</w:t>
      </w:r>
      <w:r>
        <w:rPr>
          <w:color w:val="231F20"/>
          <w:spacing w:val="-5"/>
        </w:rPr>
        <w:t> </w:t>
      </w:r>
      <w:r>
        <w:rPr>
          <w:color w:val="231F20"/>
        </w:rPr>
        <w:t>se</w:t>
      </w:r>
      <w:r>
        <w:rPr>
          <w:color w:val="231F20"/>
          <w:spacing w:val="-4"/>
        </w:rPr>
        <w:t> </w:t>
      </w:r>
      <w:r>
        <w:rPr>
          <w:color w:val="231F20"/>
        </w:rPr>
        <w:t>encuentra inmersa en un complejo proceso de cambio que impide que las grandes políticas sexenales del pasado sigan vigentes ante las nuevas demandas, dejando atrás poco a poco la perspectiva clientelar y asistencialista, tarea que no ha sido sencilla y que sin duda alguna consta de todo un proceso, pero que en la actualidad deja ver pequeños</w:t>
      </w:r>
      <w:r>
        <w:rPr>
          <w:color w:val="231F20"/>
          <w:spacing w:val="-2"/>
        </w:rPr>
        <w:t> </w:t>
      </w:r>
      <w:r>
        <w:rPr>
          <w:color w:val="231F20"/>
        </w:rPr>
        <w:t>destellos.</w:t>
      </w:r>
    </w:p>
    <w:p>
      <w:pPr>
        <w:pStyle w:val="BodyText"/>
        <w:rPr>
          <w:sz w:val="15"/>
        </w:rPr>
      </w:pPr>
    </w:p>
    <w:p>
      <w:pPr>
        <w:pStyle w:val="Heading3"/>
        <w:spacing w:before="70"/>
        <w:ind w:left="122" w:right="117"/>
        <w:jc w:val="left"/>
      </w:pPr>
      <w:r>
        <w:rPr>
          <w:color w:val="231F20"/>
        </w:rPr>
        <w:t>Bibliografía</w:t>
      </w:r>
    </w:p>
    <w:p>
      <w:pPr>
        <w:pStyle w:val="BodyText"/>
        <w:spacing w:before="5"/>
        <w:rPr>
          <w:b/>
          <w:sz w:val="17"/>
        </w:rPr>
      </w:pPr>
    </w:p>
    <w:p>
      <w:pPr>
        <w:spacing w:line="210" w:lineRule="exact" w:before="93"/>
        <w:ind w:left="117" w:right="115" w:firstLine="0"/>
        <w:jc w:val="both"/>
        <w:rPr>
          <w:sz w:val="20"/>
        </w:rPr>
      </w:pPr>
      <w:r>
        <w:rPr>
          <w:color w:val="231F20"/>
          <w:sz w:val="20"/>
        </w:rPr>
        <w:t>AGUILAR VILLANUEVA, Luis F., 2000a, “Estudio Introductorio”, en Luis F. Aguilar Villanueva, </w:t>
      </w:r>
      <w:r>
        <w:rPr>
          <w:i/>
          <w:color w:val="231F20"/>
          <w:sz w:val="20"/>
        </w:rPr>
        <w:t>El estudio de las políticas, </w:t>
      </w:r>
      <w:r>
        <w:rPr>
          <w:color w:val="231F20"/>
          <w:sz w:val="20"/>
        </w:rPr>
        <w:t>Miguel Ángel Porrúa, México.</w:t>
      </w:r>
    </w:p>
    <w:p>
      <w:pPr>
        <w:spacing w:line="210" w:lineRule="exact" w:before="113"/>
        <w:ind w:left="117" w:right="115" w:firstLine="0"/>
        <w:jc w:val="both"/>
        <w:rPr>
          <w:sz w:val="20"/>
        </w:rPr>
      </w:pPr>
      <w:r>
        <w:rPr>
          <w:color w:val="231F20"/>
          <w:sz w:val="20"/>
        </w:rPr>
        <w:t>AGUILAR VILLANUEVA, Luis F., 2000b, “Estudio Introductorio”, en Luis F. Aguilar Villanueva, </w:t>
      </w:r>
      <w:r>
        <w:rPr>
          <w:i/>
          <w:color w:val="231F20"/>
          <w:sz w:val="20"/>
        </w:rPr>
        <w:t>La hechura de las políticas</w:t>
      </w:r>
      <w:r>
        <w:rPr>
          <w:color w:val="231F20"/>
          <w:sz w:val="20"/>
        </w:rPr>
        <w:t>, Miguel Ángel Porrúa, México.</w:t>
      </w:r>
    </w:p>
    <w:p>
      <w:pPr>
        <w:spacing w:line="210" w:lineRule="exact" w:before="113"/>
        <w:ind w:left="117" w:right="115" w:firstLine="0"/>
        <w:jc w:val="both"/>
        <w:rPr>
          <w:sz w:val="20"/>
        </w:rPr>
      </w:pPr>
      <w:r>
        <w:rPr>
          <w:color w:val="231F20"/>
          <w:sz w:val="20"/>
        </w:rPr>
        <w:t>AGUILAR VILLANUEVA, Luis F., 2003, “Estudio Introductorio”, en Luis F. Aguilar Villanueva, </w:t>
      </w:r>
      <w:r>
        <w:rPr>
          <w:i/>
          <w:color w:val="231F20"/>
          <w:sz w:val="20"/>
        </w:rPr>
        <w:t>La implementación de las políticas</w:t>
      </w:r>
      <w:r>
        <w:rPr>
          <w:color w:val="231F20"/>
          <w:sz w:val="20"/>
        </w:rPr>
        <w:t>, Miguel Ángel Porrúa, México.</w:t>
      </w:r>
    </w:p>
    <w:p>
      <w:pPr>
        <w:spacing w:line="210" w:lineRule="exact" w:before="113"/>
        <w:ind w:left="117" w:right="115" w:firstLine="0"/>
        <w:jc w:val="both"/>
        <w:rPr>
          <w:sz w:val="20"/>
        </w:rPr>
      </w:pPr>
      <w:r>
        <w:rPr>
          <w:color w:val="231F20"/>
          <w:sz w:val="20"/>
        </w:rPr>
        <w:t>CANT CHAC, Manuel, 2002, “Introducción a las políticas pública”, en Manuel Canto y Oscar Castro, </w:t>
      </w:r>
      <w:r>
        <w:rPr>
          <w:i/>
          <w:color w:val="231F20"/>
          <w:sz w:val="20"/>
        </w:rPr>
        <w:t>Participación ciudadana y políticas públicas en el munici- </w:t>
      </w:r>
      <w:r>
        <w:rPr>
          <w:i/>
          <w:color w:val="231F20"/>
          <w:sz w:val="20"/>
        </w:rPr>
        <w:t>pio</w:t>
      </w:r>
      <w:r>
        <w:rPr>
          <w:color w:val="231F20"/>
          <w:sz w:val="20"/>
        </w:rPr>
        <w:t>, MCD, México.</w:t>
      </w:r>
    </w:p>
    <w:p>
      <w:pPr>
        <w:spacing w:line="210" w:lineRule="exact" w:before="113"/>
        <w:ind w:left="117" w:right="115" w:firstLine="0"/>
        <w:jc w:val="both"/>
        <w:rPr>
          <w:sz w:val="20"/>
        </w:rPr>
      </w:pPr>
      <w:r>
        <w:rPr>
          <w:color w:val="231F20"/>
          <w:sz w:val="20"/>
        </w:rPr>
        <w:t>CORDERA,</w:t>
      </w:r>
      <w:r>
        <w:rPr>
          <w:color w:val="231F20"/>
          <w:spacing w:val="-9"/>
          <w:sz w:val="20"/>
        </w:rPr>
        <w:t> </w:t>
      </w:r>
      <w:r>
        <w:rPr>
          <w:color w:val="231F20"/>
          <w:sz w:val="20"/>
        </w:rPr>
        <w:t>Rolando</w:t>
      </w:r>
      <w:r>
        <w:rPr>
          <w:color w:val="231F20"/>
          <w:spacing w:val="-9"/>
          <w:sz w:val="20"/>
        </w:rPr>
        <w:t> </w:t>
      </w:r>
      <w:r>
        <w:rPr>
          <w:color w:val="231F20"/>
          <w:sz w:val="20"/>
        </w:rPr>
        <w:t>y</w:t>
      </w:r>
      <w:r>
        <w:rPr>
          <w:color w:val="231F20"/>
          <w:spacing w:val="-9"/>
          <w:sz w:val="20"/>
        </w:rPr>
        <w:t> </w:t>
      </w:r>
      <w:r>
        <w:rPr>
          <w:color w:val="231F20"/>
          <w:sz w:val="20"/>
        </w:rPr>
        <w:t>Leonardo</w:t>
      </w:r>
      <w:r>
        <w:rPr>
          <w:color w:val="231F20"/>
          <w:spacing w:val="-9"/>
          <w:sz w:val="20"/>
        </w:rPr>
        <w:t> </w:t>
      </w:r>
      <w:r>
        <w:rPr>
          <w:color w:val="231F20"/>
          <w:sz w:val="20"/>
        </w:rPr>
        <w:t>Lomelí,</w:t>
      </w:r>
      <w:r>
        <w:rPr>
          <w:color w:val="231F20"/>
          <w:spacing w:val="-9"/>
          <w:sz w:val="20"/>
        </w:rPr>
        <w:t> </w:t>
      </w:r>
      <w:r>
        <w:rPr>
          <w:color w:val="231F20"/>
          <w:sz w:val="20"/>
        </w:rPr>
        <w:t>2005,</w:t>
      </w:r>
      <w:r>
        <w:rPr>
          <w:color w:val="231F20"/>
          <w:spacing w:val="-9"/>
          <w:sz w:val="20"/>
        </w:rPr>
        <w:t> </w:t>
      </w:r>
      <w:r>
        <w:rPr>
          <w:color w:val="231F20"/>
          <w:sz w:val="20"/>
        </w:rPr>
        <w:t>“La</w:t>
      </w:r>
      <w:r>
        <w:rPr>
          <w:color w:val="231F20"/>
          <w:spacing w:val="-9"/>
          <w:sz w:val="20"/>
        </w:rPr>
        <w:t> </w:t>
      </w:r>
      <w:r>
        <w:rPr>
          <w:color w:val="231F20"/>
          <w:sz w:val="20"/>
        </w:rPr>
        <w:t>política</w:t>
      </w:r>
      <w:r>
        <w:rPr>
          <w:color w:val="231F20"/>
          <w:spacing w:val="-9"/>
          <w:sz w:val="20"/>
        </w:rPr>
        <w:t> </w:t>
      </w:r>
      <w:r>
        <w:rPr>
          <w:color w:val="231F20"/>
          <w:sz w:val="20"/>
        </w:rPr>
        <w:t>social</w:t>
      </w:r>
      <w:r>
        <w:rPr>
          <w:color w:val="231F20"/>
          <w:spacing w:val="-9"/>
          <w:sz w:val="20"/>
        </w:rPr>
        <w:t> </w:t>
      </w:r>
      <w:r>
        <w:rPr>
          <w:color w:val="231F20"/>
          <w:sz w:val="20"/>
        </w:rPr>
        <w:t>moderna:</w:t>
      </w:r>
      <w:r>
        <w:rPr>
          <w:color w:val="231F20"/>
          <w:spacing w:val="-9"/>
          <w:sz w:val="20"/>
        </w:rPr>
        <w:t> </w:t>
      </w:r>
      <w:r>
        <w:rPr>
          <w:color w:val="231F20"/>
          <w:sz w:val="20"/>
        </w:rPr>
        <w:t>evo- lución y perspectivas. Resumen ejecutivo y consideraciones finales”, en </w:t>
      </w:r>
      <w:r>
        <w:rPr>
          <w:i/>
          <w:color w:val="231F20"/>
          <w:sz w:val="20"/>
        </w:rPr>
        <w:t>Cuader- </w:t>
      </w:r>
      <w:r>
        <w:rPr>
          <w:i/>
          <w:color w:val="231F20"/>
          <w:sz w:val="20"/>
        </w:rPr>
        <w:t>nos</w:t>
      </w:r>
      <w:r>
        <w:rPr>
          <w:i/>
          <w:color w:val="231F20"/>
          <w:spacing w:val="-6"/>
          <w:sz w:val="20"/>
        </w:rPr>
        <w:t> </w:t>
      </w:r>
      <w:r>
        <w:rPr>
          <w:i/>
          <w:color w:val="231F20"/>
          <w:sz w:val="20"/>
        </w:rPr>
        <w:t>de</w:t>
      </w:r>
      <w:r>
        <w:rPr>
          <w:i/>
          <w:color w:val="231F20"/>
          <w:spacing w:val="-5"/>
          <w:sz w:val="20"/>
        </w:rPr>
        <w:t> </w:t>
      </w:r>
      <w:r>
        <w:rPr>
          <w:i/>
          <w:color w:val="231F20"/>
          <w:sz w:val="20"/>
        </w:rPr>
        <w:t>Desarrollo</w:t>
      </w:r>
      <w:r>
        <w:rPr>
          <w:i/>
          <w:color w:val="231F20"/>
          <w:spacing w:val="-5"/>
          <w:sz w:val="20"/>
        </w:rPr>
        <w:t> </w:t>
      </w:r>
      <w:r>
        <w:rPr>
          <w:i/>
          <w:color w:val="231F20"/>
          <w:sz w:val="20"/>
        </w:rPr>
        <w:t>Humano</w:t>
      </w:r>
      <w:r>
        <w:rPr>
          <w:color w:val="231F20"/>
          <w:sz w:val="20"/>
        </w:rPr>
        <w:t>,</w:t>
      </w:r>
      <w:r>
        <w:rPr>
          <w:color w:val="231F20"/>
          <w:spacing w:val="-5"/>
          <w:sz w:val="20"/>
        </w:rPr>
        <w:t> </w:t>
      </w:r>
      <w:r>
        <w:rPr>
          <w:color w:val="231F20"/>
          <w:sz w:val="20"/>
        </w:rPr>
        <w:t>núm.</w:t>
      </w:r>
      <w:r>
        <w:rPr>
          <w:color w:val="231F20"/>
          <w:spacing w:val="-5"/>
          <w:sz w:val="20"/>
        </w:rPr>
        <w:t> </w:t>
      </w:r>
      <w:r>
        <w:rPr>
          <w:color w:val="231F20"/>
          <w:sz w:val="20"/>
        </w:rPr>
        <w:t>26,</w:t>
      </w:r>
      <w:r>
        <w:rPr>
          <w:color w:val="231F20"/>
          <w:spacing w:val="-5"/>
          <w:sz w:val="20"/>
        </w:rPr>
        <w:t> </w:t>
      </w:r>
      <w:r>
        <w:rPr>
          <w:color w:val="231F20"/>
          <w:sz w:val="20"/>
        </w:rPr>
        <w:t>Secretaría</w:t>
      </w:r>
      <w:r>
        <w:rPr>
          <w:color w:val="231F20"/>
          <w:spacing w:val="-5"/>
          <w:sz w:val="20"/>
        </w:rPr>
        <w:t> </w:t>
      </w:r>
      <w:r>
        <w:rPr>
          <w:color w:val="231F20"/>
          <w:sz w:val="20"/>
        </w:rPr>
        <w:t>de</w:t>
      </w:r>
      <w:r>
        <w:rPr>
          <w:color w:val="231F20"/>
          <w:spacing w:val="-5"/>
          <w:sz w:val="20"/>
        </w:rPr>
        <w:t> </w:t>
      </w:r>
      <w:r>
        <w:rPr>
          <w:color w:val="231F20"/>
          <w:sz w:val="20"/>
        </w:rPr>
        <w:t>Desarrollo</w:t>
      </w:r>
      <w:r>
        <w:rPr>
          <w:color w:val="231F20"/>
          <w:spacing w:val="-5"/>
          <w:sz w:val="20"/>
        </w:rPr>
        <w:t> </w:t>
      </w:r>
      <w:r>
        <w:rPr>
          <w:color w:val="231F20"/>
          <w:sz w:val="20"/>
        </w:rPr>
        <w:t>Social,</w:t>
      </w:r>
      <w:r>
        <w:rPr>
          <w:color w:val="231F20"/>
          <w:spacing w:val="-5"/>
          <w:sz w:val="20"/>
        </w:rPr>
        <w:t> </w:t>
      </w:r>
      <w:r>
        <w:rPr>
          <w:color w:val="231F20"/>
          <w:sz w:val="20"/>
        </w:rPr>
        <w:t>México.</w:t>
      </w:r>
    </w:p>
    <w:p>
      <w:pPr>
        <w:spacing w:after="0" w:line="210" w:lineRule="exact"/>
        <w:jc w:val="both"/>
        <w:rPr>
          <w:sz w:val="20"/>
        </w:rPr>
        <w:sectPr>
          <w:footerReference w:type="default" r:id="rId176"/>
          <w:pgSz w:w="9360" w:h="13040"/>
          <w:pgMar w:footer="496" w:header="0" w:top="800" w:bottom="680" w:left="1300" w:right="1300"/>
        </w:sectPr>
      </w:pPr>
    </w:p>
    <w:p>
      <w:pPr>
        <w:spacing w:before="45"/>
        <w:ind w:left="117" w:right="0" w:firstLine="67"/>
        <w:jc w:val="both"/>
        <w:rPr>
          <w:rFonts w:ascii="Arial" w:hAnsi="Arial"/>
          <w:sz w:val="20"/>
        </w:rPr>
      </w:pPr>
      <w:r>
        <w:rPr>
          <w:rFonts w:ascii="Arial" w:hAnsi="Arial"/>
          <w:color w:val="231F20"/>
          <w:w w:val="65"/>
          <w:sz w:val="20"/>
        </w:rPr>
        <w:t>Las políticas públicas de combate a la pobreza y su sinergia... /Mayra P. Pérez-Román y A. Velázquez-Romero</w:t>
      </w:r>
    </w:p>
    <w:p>
      <w:pPr>
        <w:pStyle w:val="BodyText"/>
        <w:rPr>
          <w:rFonts w:ascii="Arial"/>
          <w:sz w:val="20"/>
        </w:rPr>
      </w:pPr>
    </w:p>
    <w:p>
      <w:pPr>
        <w:spacing w:line="210" w:lineRule="exact" w:before="123"/>
        <w:ind w:left="117" w:right="115" w:firstLine="0"/>
        <w:jc w:val="both"/>
        <w:rPr>
          <w:sz w:val="20"/>
        </w:rPr>
      </w:pPr>
      <w:r>
        <w:rPr>
          <w:color w:val="231F20"/>
          <w:sz w:val="20"/>
        </w:rPr>
        <w:t>CORIA</w:t>
      </w:r>
      <w:r>
        <w:rPr>
          <w:color w:val="231F20"/>
          <w:spacing w:val="-21"/>
          <w:sz w:val="20"/>
        </w:rPr>
        <w:t> </w:t>
      </w:r>
      <w:r>
        <w:rPr>
          <w:color w:val="231F20"/>
          <w:sz w:val="20"/>
        </w:rPr>
        <w:t>Salas,</w:t>
      </w:r>
      <w:r>
        <w:rPr>
          <w:color w:val="231F20"/>
          <w:spacing w:val="-10"/>
          <w:sz w:val="20"/>
        </w:rPr>
        <w:t> </w:t>
      </w:r>
      <w:r>
        <w:rPr>
          <w:color w:val="231F20"/>
          <w:sz w:val="20"/>
        </w:rPr>
        <w:t>Mario,</w:t>
      </w:r>
      <w:r>
        <w:rPr>
          <w:color w:val="231F20"/>
          <w:spacing w:val="-10"/>
          <w:sz w:val="20"/>
        </w:rPr>
        <w:t> </w:t>
      </w:r>
      <w:r>
        <w:rPr>
          <w:color w:val="231F20"/>
          <w:sz w:val="20"/>
        </w:rPr>
        <w:t>2005,</w:t>
      </w:r>
      <w:r>
        <w:rPr>
          <w:color w:val="231F20"/>
          <w:spacing w:val="-10"/>
          <w:sz w:val="20"/>
        </w:rPr>
        <w:t> </w:t>
      </w:r>
      <w:r>
        <w:rPr>
          <w:color w:val="231F20"/>
          <w:sz w:val="20"/>
        </w:rPr>
        <w:t>“La</w:t>
      </w:r>
      <w:r>
        <w:rPr>
          <w:color w:val="231F20"/>
          <w:spacing w:val="-10"/>
          <w:sz w:val="20"/>
        </w:rPr>
        <w:t> </w:t>
      </w:r>
      <w:r>
        <w:rPr>
          <w:color w:val="231F20"/>
          <w:sz w:val="20"/>
        </w:rPr>
        <w:t>pobreza</w:t>
      </w:r>
      <w:r>
        <w:rPr>
          <w:color w:val="231F20"/>
          <w:spacing w:val="-10"/>
          <w:sz w:val="20"/>
        </w:rPr>
        <w:t> </w:t>
      </w:r>
      <w:r>
        <w:rPr>
          <w:color w:val="231F20"/>
          <w:sz w:val="20"/>
        </w:rPr>
        <w:t>social</w:t>
      </w:r>
      <w:r>
        <w:rPr>
          <w:color w:val="231F20"/>
          <w:spacing w:val="-10"/>
          <w:sz w:val="20"/>
        </w:rPr>
        <w:t> </w:t>
      </w:r>
      <w:r>
        <w:rPr>
          <w:color w:val="231F20"/>
          <w:sz w:val="20"/>
        </w:rPr>
        <w:t>y</w:t>
      </w:r>
      <w:r>
        <w:rPr>
          <w:color w:val="231F20"/>
          <w:spacing w:val="-10"/>
          <w:sz w:val="20"/>
        </w:rPr>
        <w:t> </w:t>
      </w:r>
      <w:r>
        <w:rPr>
          <w:color w:val="231F20"/>
          <w:sz w:val="20"/>
        </w:rPr>
        <w:t>urbana</w:t>
      </w:r>
      <w:r>
        <w:rPr>
          <w:color w:val="231F20"/>
          <w:spacing w:val="-10"/>
          <w:sz w:val="20"/>
        </w:rPr>
        <w:t> </w:t>
      </w:r>
      <w:r>
        <w:rPr>
          <w:color w:val="231F20"/>
          <w:sz w:val="20"/>
        </w:rPr>
        <w:t>en</w:t>
      </w:r>
      <w:r>
        <w:rPr>
          <w:color w:val="231F20"/>
          <w:spacing w:val="-10"/>
          <w:sz w:val="20"/>
        </w:rPr>
        <w:t> </w:t>
      </w:r>
      <w:r>
        <w:rPr>
          <w:color w:val="231F20"/>
          <w:sz w:val="20"/>
        </w:rPr>
        <w:t>México:</w:t>
      </w:r>
      <w:r>
        <w:rPr>
          <w:color w:val="231F20"/>
          <w:spacing w:val="-10"/>
          <w:sz w:val="20"/>
        </w:rPr>
        <w:t> </w:t>
      </w:r>
      <w:r>
        <w:rPr>
          <w:color w:val="231F20"/>
          <w:sz w:val="20"/>
        </w:rPr>
        <w:t>una</w:t>
      </w:r>
      <w:r>
        <w:rPr>
          <w:color w:val="231F20"/>
          <w:spacing w:val="-10"/>
          <w:sz w:val="20"/>
        </w:rPr>
        <w:t> </w:t>
      </w:r>
      <w:r>
        <w:rPr>
          <w:color w:val="231F20"/>
          <w:sz w:val="20"/>
        </w:rPr>
        <w:t>propuesta de</w:t>
      </w:r>
      <w:r>
        <w:rPr>
          <w:color w:val="231F20"/>
          <w:spacing w:val="-8"/>
          <w:sz w:val="20"/>
        </w:rPr>
        <w:t> </w:t>
      </w:r>
      <w:r>
        <w:rPr>
          <w:color w:val="231F20"/>
          <w:sz w:val="20"/>
        </w:rPr>
        <w:t>política</w:t>
      </w:r>
      <w:r>
        <w:rPr>
          <w:color w:val="231F20"/>
          <w:spacing w:val="-8"/>
          <w:sz w:val="20"/>
        </w:rPr>
        <w:t> </w:t>
      </w:r>
      <w:r>
        <w:rPr>
          <w:color w:val="231F20"/>
          <w:sz w:val="20"/>
        </w:rPr>
        <w:t>pública”,</w:t>
      </w:r>
      <w:r>
        <w:rPr>
          <w:color w:val="231F20"/>
          <w:spacing w:val="-8"/>
          <w:sz w:val="20"/>
        </w:rPr>
        <w:t> </w:t>
      </w:r>
      <w:r>
        <w:rPr>
          <w:color w:val="231F20"/>
          <w:sz w:val="20"/>
        </w:rPr>
        <w:t>en</w:t>
      </w:r>
      <w:r>
        <w:rPr>
          <w:color w:val="231F20"/>
          <w:spacing w:val="-8"/>
          <w:sz w:val="20"/>
        </w:rPr>
        <w:t> </w:t>
      </w:r>
      <w:r>
        <w:rPr>
          <w:i/>
          <w:color w:val="231F20"/>
          <w:sz w:val="20"/>
        </w:rPr>
        <w:t>Política</w:t>
      </w:r>
      <w:r>
        <w:rPr>
          <w:i/>
          <w:color w:val="231F20"/>
          <w:spacing w:val="-8"/>
          <w:sz w:val="20"/>
        </w:rPr>
        <w:t> </w:t>
      </w:r>
      <w:r>
        <w:rPr>
          <w:i/>
          <w:color w:val="231F20"/>
          <w:sz w:val="20"/>
        </w:rPr>
        <w:t>social</w:t>
      </w:r>
      <w:r>
        <w:rPr>
          <w:i/>
          <w:color w:val="231F20"/>
          <w:spacing w:val="-8"/>
          <w:sz w:val="20"/>
        </w:rPr>
        <w:t> </w:t>
      </w:r>
      <w:r>
        <w:rPr>
          <w:i/>
          <w:color w:val="231F20"/>
          <w:sz w:val="20"/>
        </w:rPr>
        <w:t>y</w:t>
      </w:r>
      <w:r>
        <w:rPr>
          <w:i/>
          <w:color w:val="231F20"/>
          <w:spacing w:val="-8"/>
          <w:sz w:val="20"/>
        </w:rPr>
        <w:t> </w:t>
      </w:r>
      <w:r>
        <w:rPr>
          <w:i/>
          <w:color w:val="231F20"/>
          <w:sz w:val="20"/>
        </w:rPr>
        <w:t>pobreza,</w:t>
      </w:r>
      <w:r>
        <w:rPr>
          <w:i/>
          <w:color w:val="231F20"/>
          <w:spacing w:val="-8"/>
          <w:sz w:val="20"/>
        </w:rPr>
        <w:t> </w:t>
      </w:r>
      <w:r>
        <w:rPr>
          <w:i/>
          <w:color w:val="231F20"/>
          <w:sz w:val="20"/>
        </w:rPr>
        <w:t>El</w:t>
      </w:r>
      <w:r>
        <w:rPr>
          <w:i/>
          <w:color w:val="231F20"/>
          <w:spacing w:val="-8"/>
          <w:sz w:val="20"/>
        </w:rPr>
        <w:t> </w:t>
      </w:r>
      <w:r>
        <w:rPr>
          <w:i/>
          <w:color w:val="231F20"/>
          <w:sz w:val="20"/>
        </w:rPr>
        <w:t>Economista</w:t>
      </w:r>
      <w:r>
        <w:rPr>
          <w:i/>
          <w:color w:val="231F20"/>
          <w:spacing w:val="-8"/>
          <w:sz w:val="20"/>
        </w:rPr>
        <w:t> </w:t>
      </w:r>
      <w:r>
        <w:rPr>
          <w:i/>
          <w:color w:val="231F20"/>
          <w:sz w:val="20"/>
        </w:rPr>
        <w:t>Mexicano</w:t>
      </w:r>
      <w:r>
        <w:rPr>
          <w:color w:val="231F20"/>
          <w:sz w:val="20"/>
        </w:rPr>
        <w:t>,</w:t>
      </w:r>
      <w:r>
        <w:rPr>
          <w:color w:val="231F20"/>
          <w:spacing w:val="-8"/>
          <w:sz w:val="20"/>
        </w:rPr>
        <w:t> </w:t>
      </w:r>
      <w:r>
        <w:rPr>
          <w:color w:val="231F20"/>
          <w:sz w:val="20"/>
        </w:rPr>
        <w:t>nueva época, núm. 9.</w:t>
      </w:r>
    </w:p>
    <w:p>
      <w:pPr>
        <w:spacing w:line="210" w:lineRule="exact" w:before="113"/>
        <w:ind w:left="117" w:right="115" w:firstLine="0"/>
        <w:jc w:val="both"/>
        <w:rPr>
          <w:sz w:val="20"/>
        </w:rPr>
      </w:pPr>
      <w:r>
        <w:rPr>
          <w:color w:val="231F20"/>
          <w:spacing w:val="-7"/>
          <w:sz w:val="20"/>
        </w:rPr>
        <w:t>FAVELA,</w:t>
      </w:r>
      <w:r>
        <w:rPr>
          <w:color w:val="231F20"/>
          <w:spacing w:val="-21"/>
          <w:sz w:val="20"/>
        </w:rPr>
        <w:t> </w:t>
      </w:r>
      <w:r>
        <w:rPr>
          <w:color w:val="231F20"/>
          <w:sz w:val="20"/>
        </w:rPr>
        <w:t>Alejandro</w:t>
      </w:r>
      <w:r>
        <w:rPr>
          <w:color w:val="231F20"/>
          <w:spacing w:val="-9"/>
          <w:sz w:val="20"/>
        </w:rPr>
        <w:t> </w:t>
      </w:r>
      <w:r>
        <w:rPr>
          <w:i/>
          <w:color w:val="231F20"/>
          <w:sz w:val="20"/>
        </w:rPr>
        <w:t>et</w:t>
      </w:r>
      <w:r>
        <w:rPr>
          <w:i/>
          <w:color w:val="231F20"/>
          <w:spacing w:val="-10"/>
          <w:sz w:val="20"/>
        </w:rPr>
        <w:t> </w:t>
      </w:r>
      <w:r>
        <w:rPr>
          <w:i/>
          <w:color w:val="231F20"/>
          <w:sz w:val="20"/>
        </w:rPr>
        <w:t>al.,</w:t>
      </w:r>
      <w:r>
        <w:rPr>
          <w:i/>
          <w:color w:val="231F20"/>
          <w:spacing w:val="-10"/>
          <w:sz w:val="20"/>
        </w:rPr>
        <w:t> </w:t>
      </w:r>
      <w:r>
        <w:rPr>
          <w:color w:val="231F20"/>
          <w:sz w:val="20"/>
        </w:rPr>
        <w:t>2003,</w:t>
      </w:r>
      <w:r>
        <w:rPr>
          <w:color w:val="231F20"/>
          <w:spacing w:val="-10"/>
          <w:sz w:val="20"/>
        </w:rPr>
        <w:t> </w:t>
      </w:r>
      <w:r>
        <w:rPr>
          <w:i/>
          <w:color w:val="231F20"/>
          <w:sz w:val="20"/>
        </w:rPr>
        <w:t>El</w:t>
      </w:r>
      <w:r>
        <w:rPr>
          <w:i/>
          <w:color w:val="231F20"/>
          <w:spacing w:val="-10"/>
          <w:sz w:val="20"/>
        </w:rPr>
        <w:t> </w:t>
      </w:r>
      <w:r>
        <w:rPr>
          <w:i/>
          <w:color w:val="231F20"/>
          <w:sz w:val="20"/>
        </w:rPr>
        <w:t>combate</w:t>
      </w:r>
      <w:r>
        <w:rPr>
          <w:i/>
          <w:color w:val="231F20"/>
          <w:spacing w:val="-10"/>
          <w:sz w:val="20"/>
        </w:rPr>
        <w:t> </w:t>
      </w:r>
      <w:r>
        <w:rPr>
          <w:i/>
          <w:color w:val="231F20"/>
          <w:sz w:val="20"/>
        </w:rPr>
        <w:t>a</w:t>
      </w:r>
      <w:r>
        <w:rPr>
          <w:i/>
          <w:color w:val="231F20"/>
          <w:spacing w:val="-10"/>
          <w:sz w:val="20"/>
        </w:rPr>
        <w:t> </w:t>
      </w:r>
      <w:r>
        <w:rPr>
          <w:i/>
          <w:color w:val="231F20"/>
          <w:sz w:val="20"/>
        </w:rPr>
        <w:t>la</w:t>
      </w:r>
      <w:r>
        <w:rPr>
          <w:i/>
          <w:color w:val="231F20"/>
          <w:spacing w:val="-10"/>
          <w:sz w:val="20"/>
        </w:rPr>
        <w:t> </w:t>
      </w:r>
      <w:r>
        <w:rPr>
          <w:i/>
          <w:color w:val="231F20"/>
          <w:sz w:val="20"/>
        </w:rPr>
        <w:t>pobreza</w:t>
      </w:r>
      <w:r>
        <w:rPr>
          <w:i/>
          <w:color w:val="231F20"/>
          <w:spacing w:val="-10"/>
          <w:sz w:val="20"/>
        </w:rPr>
        <w:t> </w:t>
      </w:r>
      <w:r>
        <w:rPr>
          <w:i/>
          <w:color w:val="231F20"/>
          <w:sz w:val="20"/>
        </w:rPr>
        <w:t>en</w:t>
      </w:r>
      <w:r>
        <w:rPr>
          <w:i/>
          <w:color w:val="231F20"/>
          <w:spacing w:val="-10"/>
          <w:sz w:val="20"/>
        </w:rPr>
        <w:t> </w:t>
      </w:r>
      <w:r>
        <w:rPr>
          <w:i/>
          <w:color w:val="231F20"/>
          <w:sz w:val="20"/>
        </w:rPr>
        <w:t>el</w:t>
      </w:r>
      <w:r>
        <w:rPr>
          <w:i/>
          <w:color w:val="231F20"/>
          <w:spacing w:val="-10"/>
          <w:sz w:val="20"/>
        </w:rPr>
        <w:t> </w:t>
      </w:r>
      <w:r>
        <w:rPr>
          <w:i/>
          <w:color w:val="231F20"/>
          <w:sz w:val="20"/>
        </w:rPr>
        <w:t>sexenio</w:t>
      </w:r>
      <w:r>
        <w:rPr>
          <w:i/>
          <w:color w:val="231F20"/>
          <w:spacing w:val="-9"/>
          <w:sz w:val="20"/>
        </w:rPr>
        <w:t> </w:t>
      </w:r>
      <w:r>
        <w:rPr>
          <w:i/>
          <w:color w:val="231F20"/>
          <w:sz w:val="20"/>
        </w:rPr>
        <w:t>de</w:t>
      </w:r>
      <w:r>
        <w:rPr>
          <w:i/>
          <w:color w:val="231F20"/>
          <w:spacing w:val="-10"/>
          <w:sz w:val="20"/>
        </w:rPr>
        <w:t> </w:t>
      </w:r>
      <w:r>
        <w:rPr>
          <w:i/>
          <w:color w:val="231F20"/>
          <w:sz w:val="20"/>
        </w:rPr>
        <w:t>Zedillo</w:t>
      </w:r>
      <w:r>
        <w:rPr>
          <w:color w:val="231F20"/>
          <w:sz w:val="20"/>
        </w:rPr>
        <w:t>, UAM-Iztapalapa, Plaza y </w:t>
      </w:r>
      <w:r>
        <w:rPr>
          <w:color w:val="231F20"/>
          <w:spacing w:val="-4"/>
          <w:sz w:val="20"/>
        </w:rPr>
        <w:t>Valdés,</w:t>
      </w:r>
      <w:r>
        <w:rPr>
          <w:color w:val="231F20"/>
          <w:spacing w:val="-24"/>
          <w:sz w:val="20"/>
        </w:rPr>
        <w:t> </w:t>
      </w:r>
      <w:r>
        <w:rPr>
          <w:color w:val="231F20"/>
          <w:sz w:val="20"/>
        </w:rPr>
        <w:t>México.</w:t>
      </w:r>
    </w:p>
    <w:p>
      <w:pPr>
        <w:spacing w:line="210" w:lineRule="exact" w:before="113"/>
        <w:ind w:left="117" w:right="115" w:firstLine="0"/>
        <w:jc w:val="both"/>
        <w:rPr>
          <w:sz w:val="20"/>
        </w:rPr>
      </w:pPr>
      <w:r>
        <w:rPr>
          <w:color w:val="231F20"/>
          <w:sz w:val="20"/>
        </w:rPr>
        <w:t>LASSWELL, Harold, 2000, “La orientación hacia las políticas”, en Luis </w:t>
      </w:r>
      <w:r>
        <w:rPr>
          <w:color w:val="231F20"/>
          <w:spacing w:val="-9"/>
          <w:sz w:val="20"/>
        </w:rPr>
        <w:t>F. </w:t>
      </w:r>
      <w:r>
        <w:rPr>
          <w:color w:val="231F20"/>
          <w:sz w:val="20"/>
        </w:rPr>
        <w:t>Agui- lar</w:t>
      </w:r>
      <w:r>
        <w:rPr>
          <w:color w:val="231F20"/>
          <w:spacing w:val="-13"/>
          <w:sz w:val="20"/>
        </w:rPr>
        <w:t> </w:t>
      </w:r>
      <w:r>
        <w:rPr>
          <w:color w:val="231F20"/>
          <w:sz w:val="20"/>
        </w:rPr>
        <w:t>Villanueva,</w:t>
      </w:r>
      <w:r>
        <w:rPr>
          <w:color w:val="231F20"/>
          <w:spacing w:val="-10"/>
          <w:sz w:val="20"/>
        </w:rPr>
        <w:t> </w:t>
      </w:r>
      <w:r>
        <w:rPr>
          <w:i/>
          <w:color w:val="231F20"/>
          <w:sz w:val="20"/>
        </w:rPr>
        <w:t>El</w:t>
      </w:r>
      <w:r>
        <w:rPr>
          <w:i/>
          <w:color w:val="231F20"/>
          <w:spacing w:val="-10"/>
          <w:sz w:val="20"/>
        </w:rPr>
        <w:t> </w:t>
      </w:r>
      <w:r>
        <w:rPr>
          <w:i/>
          <w:color w:val="231F20"/>
          <w:sz w:val="20"/>
        </w:rPr>
        <w:t>estudio</w:t>
      </w:r>
      <w:r>
        <w:rPr>
          <w:i/>
          <w:color w:val="231F20"/>
          <w:spacing w:val="-10"/>
          <w:sz w:val="20"/>
        </w:rPr>
        <w:t> </w:t>
      </w:r>
      <w:r>
        <w:rPr>
          <w:i/>
          <w:color w:val="231F20"/>
          <w:sz w:val="20"/>
        </w:rPr>
        <w:t>de</w:t>
      </w:r>
      <w:r>
        <w:rPr>
          <w:i/>
          <w:color w:val="231F20"/>
          <w:spacing w:val="-10"/>
          <w:sz w:val="20"/>
        </w:rPr>
        <w:t> </w:t>
      </w:r>
      <w:r>
        <w:rPr>
          <w:i/>
          <w:color w:val="231F20"/>
          <w:sz w:val="20"/>
        </w:rPr>
        <w:t>las</w:t>
      </w:r>
      <w:r>
        <w:rPr>
          <w:i/>
          <w:color w:val="231F20"/>
          <w:spacing w:val="-10"/>
          <w:sz w:val="20"/>
        </w:rPr>
        <w:t> </w:t>
      </w:r>
      <w:r>
        <w:rPr>
          <w:i/>
          <w:color w:val="231F20"/>
          <w:sz w:val="20"/>
        </w:rPr>
        <w:t>políticas</w:t>
      </w:r>
      <w:r>
        <w:rPr>
          <w:i/>
          <w:color w:val="231F20"/>
          <w:spacing w:val="-10"/>
          <w:sz w:val="20"/>
        </w:rPr>
        <w:t> </w:t>
      </w:r>
      <w:r>
        <w:rPr>
          <w:i/>
          <w:color w:val="231F20"/>
          <w:sz w:val="20"/>
        </w:rPr>
        <w:t>públicas,</w:t>
      </w:r>
      <w:r>
        <w:rPr>
          <w:i/>
          <w:color w:val="231F20"/>
          <w:spacing w:val="-9"/>
          <w:sz w:val="20"/>
        </w:rPr>
        <w:t> </w:t>
      </w:r>
      <w:r>
        <w:rPr>
          <w:color w:val="231F20"/>
          <w:sz w:val="20"/>
        </w:rPr>
        <w:t>Miguel</w:t>
      </w:r>
      <w:r>
        <w:rPr>
          <w:color w:val="231F20"/>
          <w:spacing w:val="-9"/>
          <w:sz w:val="20"/>
        </w:rPr>
        <w:t> </w:t>
      </w:r>
      <w:r>
        <w:rPr>
          <w:color w:val="231F20"/>
          <w:sz w:val="20"/>
        </w:rPr>
        <w:t>Ángel</w:t>
      </w:r>
      <w:r>
        <w:rPr>
          <w:color w:val="231F20"/>
          <w:spacing w:val="-10"/>
          <w:sz w:val="20"/>
        </w:rPr>
        <w:t> </w:t>
      </w:r>
      <w:r>
        <w:rPr>
          <w:color w:val="231F20"/>
          <w:sz w:val="20"/>
        </w:rPr>
        <w:t>Porrúa,</w:t>
      </w:r>
      <w:r>
        <w:rPr>
          <w:color w:val="231F20"/>
          <w:spacing w:val="-9"/>
          <w:sz w:val="20"/>
        </w:rPr>
        <w:t> </w:t>
      </w:r>
      <w:r>
        <w:rPr>
          <w:color w:val="231F20"/>
          <w:sz w:val="20"/>
        </w:rPr>
        <w:t>México.</w:t>
      </w:r>
    </w:p>
    <w:p>
      <w:pPr>
        <w:spacing w:line="210" w:lineRule="exact" w:before="113"/>
        <w:ind w:left="117" w:right="115" w:firstLine="0"/>
        <w:jc w:val="both"/>
        <w:rPr>
          <w:sz w:val="20"/>
        </w:rPr>
      </w:pPr>
      <w:r>
        <w:rPr>
          <w:color w:val="231F20"/>
          <w:spacing w:val="-4"/>
          <w:sz w:val="20"/>
        </w:rPr>
        <w:t>LOPÉZ-CALVA,</w:t>
      </w:r>
      <w:r>
        <w:rPr>
          <w:color w:val="231F20"/>
          <w:spacing w:val="-9"/>
          <w:sz w:val="20"/>
        </w:rPr>
        <w:t> </w:t>
      </w:r>
      <w:r>
        <w:rPr>
          <w:color w:val="231F20"/>
          <w:sz w:val="20"/>
        </w:rPr>
        <w:t>L.</w:t>
      </w:r>
      <w:r>
        <w:rPr>
          <w:color w:val="231F20"/>
          <w:spacing w:val="-9"/>
          <w:sz w:val="20"/>
        </w:rPr>
        <w:t> F. </w:t>
      </w:r>
      <w:r>
        <w:rPr>
          <w:color w:val="231F20"/>
          <w:sz w:val="20"/>
        </w:rPr>
        <w:t>y</w:t>
      </w:r>
      <w:r>
        <w:rPr>
          <w:color w:val="231F20"/>
          <w:spacing w:val="-9"/>
          <w:sz w:val="20"/>
        </w:rPr>
        <w:t> </w:t>
      </w:r>
      <w:r>
        <w:rPr>
          <w:color w:val="231F20"/>
          <w:sz w:val="20"/>
        </w:rPr>
        <w:t>Roberto</w:t>
      </w:r>
      <w:r>
        <w:rPr>
          <w:color w:val="231F20"/>
          <w:spacing w:val="-12"/>
          <w:sz w:val="20"/>
        </w:rPr>
        <w:t> </w:t>
      </w:r>
      <w:r>
        <w:rPr>
          <w:color w:val="231F20"/>
          <w:sz w:val="20"/>
        </w:rPr>
        <w:t>Vélez</w:t>
      </w:r>
      <w:r>
        <w:rPr>
          <w:color w:val="231F20"/>
          <w:spacing w:val="-9"/>
          <w:sz w:val="20"/>
        </w:rPr>
        <w:t> </w:t>
      </w:r>
      <w:r>
        <w:rPr>
          <w:color w:val="231F20"/>
          <w:sz w:val="20"/>
        </w:rPr>
        <w:t>Grajales,</w:t>
      </w:r>
      <w:r>
        <w:rPr>
          <w:color w:val="231F20"/>
          <w:spacing w:val="-8"/>
          <w:sz w:val="20"/>
        </w:rPr>
        <w:t> </w:t>
      </w:r>
      <w:r>
        <w:rPr>
          <w:color w:val="231F20"/>
          <w:sz w:val="20"/>
        </w:rPr>
        <w:t>2003,</w:t>
      </w:r>
      <w:r>
        <w:rPr>
          <w:color w:val="231F20"/>
          <w:spacing w:val="-9"/>
          <w:sz w:val="20"/>
        </w:rPr>
        <w:t> </w:t>
      </w:r>
      <w:r>
        <w:rPr>
          <w:color w:val="231F20"/>
          <w:sz w:val="20"/>
        </w:rPr>
        <w:t>“El</w:t>
      </w:r>
      <w:r>
        <w:rPr>
          <w:color w:val="231F20"/>
          <w:spacing w:val="-9"/>
          <w:sz w:val="20"/>
        </w:rPr>
        <w:t> </w:t>
      </w:r>
      <w:r>
        <w:rPr>
          <w:color w:val="231F20"/>
          <w:sz w:val="20"/>
        </w:rPr>
        <w:t>concepto</w:t>
      </w:r>
      <w:r>
        <w:rPr>
          <w:color w:val="231F20"/>
          <w:spacing w:val="-9"/>
          <w:sz w:val="20"/>
        </w:rPr>
        <w:t> </w:t>
      </w:r>
      <w:r>
        <w:rPr>
          <w:color w:val="231F20"/>
          <w:sz w:val="20"/>
        </w:rPr>
        <w:t>de</w:t>
      </w:r>
      <w:r>
        <w:rPr>
          <w:color w:val="231F20"/>
          <w:spacing w:val="-9"/>
          <w:sz w:val="20"/>
        </w:rPr>
        <w:t> </w:t>
      </w:r>
      <w:r>
        <w:rPr>
          <w:color w:val="231F20"/>
          <w:sz w:val="20"/>
        </w:rPr>
        <w:t>desarrollo humano, su importancia y aplicación en México”, en PNUD, </w:t>
      </w:r>
      <w:r>
        <w:rPr>
          <w:i/>
          <w:color w:val="231F20"/>
          <w:sz w:val="20"/>
        </w:rPr>
        <w:t>Estudios </w:t>
      </w:r>
      <w:r>
        <w:rPr>
          <w:i/>
          <w:color w:val="231F20"/>
          <w:spacing w:val="-3"/>
          <w:sz w:val="20"/>
        </w:rPr>
        <w:t>sobre </w:t>
      </w:r>
      <w:r>
        <w:rPr>
          <w:i/>
          <w:color w:val="231F20"/>
          <w:sz w:val="20"/>
        </w:rPr>
        <w:t>de- </w:t>
      </w:r>
      <w:r>
        <w:rPr>
          <w:i/>
          <w:color w:val="231F20"/>
          <w:sz w:val="20"/>
        </w:rPr>
        <w:t>sarrollo humano</w:t>
      </w:r>
      <w:r>
        <w:rPr>
          <w:color w:val="231F20"/>
          <w:sz w:val="20"/>
        </w:rPr>
        <w:t>, núm.</w:t>
      </w:r>
      <w:r>
        <w:rPr>
          <w:color w:val="231F20"/>
          <w:spacing w:val="-11"/>
          <w:sz w:val="20"/>
        </w:rPr>
        <w:t> </w:t>
      </w:r>
      <w:r>
        <w:rPr>
          <w:color w:val="231F20"/>
          <w:sz w:val="20"/>
        </w:rPr>
        <w:t>3.</w:t>
      </w:r>
    </w:p>
    <w:p>
      <w:pPr>
        <w:spacing w:line="210" w:lineRule="exact" w:before="113"/>
        <w:ind w:left="117" w:right="115" w:firstLine="0"/>
        <w:jc w:val="both"/>
        <w:rPr>
          <w:sz w:val="20"/>
        </w:rPr>
      </w:pPr>
      <w:r>
        <w:rPr>
          <w:color w:val="231F20"/>
          <w:sz w:val="20"/>
        </w:rPr>
        <w:t>MARTÍNEZ</w:t>
      </w:r>
      <w:r>
        <w:rPr>
          <w:color w:val="231F20"/>
          <w:spacing w:val="-11"/>
          <w:sz w:val="20"/>
        </w:rPr>
        <w:t> </w:t>
      </w:r>
      <w:r>
        <w:rPr>
          <w:color w:val="231F20"/>
          <w:sz w:val="20"/>
        </w:rPr>
        <w:t>VILCHIS,</w:t>
      </w:r>
      <w:r>
        <w:rPr>
          <w:color w:val="231F20"/>
          <w:spacing w:val="-7"/>
          <w:sz w:val="20"/>
        </w:rPr>
        <w:t> </w:t>
      </w:r>
      <w:r>
        <w:rPr>
          <w:color w:val="231F20"/>
          <w:sz w:val="20"/>
        </w:rPr>
        <w:t>José,</w:t>
      </w:r>
      <w:r>
        <w:rPr>
          <w:color w:val="231F20"/>
          <w:spacing w:val="-7"/>
          <w:sz w:val="20"/>
        </w:rPr>
        <w:t> </w:t>
      </w:r>
      <w:r>
        <w:rPr>
          <w:color w:val="231F20"/>
          <w:sz w:val="20"/>
        </w:rPr>
        <w:t>2006,</w:t>
      </w:r>
      <w:r>
        <w:rPr>
          <w:color w:val="231F20"/>
          <w:spacing w:val="-7"/>
          <w:sz w:val="20"/>
        </w:rPr>
        <w:t> </w:t>
      </w:r>
      <w:r>
        <w:rPr>
          <w:color w:val="231F20"/>
          <w:sz w:val="20"/>
        </w:rPr>
        <w:t>“Estudio</w:t>
      </w:r>
      <w:r>
        <w:rPr>
          <w:color w:val="231F20"/>
          <w:spacing w:val="-8"/>
          <w:sz w:val="20"/>
        </w:rPr>
        <w:t> </w:t>
      </w:r>
      <w:r>
        <w:rPr>
          <w:color w:val="231F20"/>
          <w:sz w:val="20"/>
        </w:rPr>
        <w:t>introductorio”,</w:t>
      </w:r>
      <w:r>
        <w:rPr>
          <w:color w:val="231F20"/>
          <w:spacing w:val="-8"/>
          <w:sz w:val="20"/>
        </w:rPr>
        <w:t> </w:t>
      </w:r>
      <w:r>
        <w:rPr>
          <w:color w:val="231F20"/>
          <w:sz w:val="20"/>
        </w:rPr>
        <w:t>en</w:t>
      </w:r>
      <w:r>
        <w:rPr>
          <w:color w:val="231F20"/>
          <w:spacing w:val="-7"/>
          <w:sz w:val="20"/>
        </w:rPr>
        <w:t> </w:t>
      </w:r>
      <w:r>
        <w:rPr>
          <w:color w:val="231F20"/>
          <w:sz w:val="20"/>
        </w:rPr>
        <w:t>Bruce</w:t>
      </w:r>
      <w:r>
        <w:rPr>
          <w:color w:val="231F20"/>
          <w:spacing w:val="-7"/>
          <w:sz w:val="20"/>
        </w:rPr>
        <w:t> </w:t>
      </w:r>
      <w:r>
        <w:rPr>
          <w:color w:val="231F20"/>
          <w:sz w:val="20"/>
        </w:rPr>
        <w:t>J,</w:t>
      </w:r>
      <w:r>
        <w:rPr>
          <w:color w:val="231F20"/>
          <w:spacing w:val="-7"/>
          <w:sz w:val="20"/>
        </w:rPr>
        <w:t> </w:t>
      </w:r>
      <w:r>
        <w:rPr>
          <w:color w:val="231F20"/>
          <w:sz w:val="20"/>
        </w:rPr>
        <w:t>Perlman, Juan de Dios Pineda, (coords.), </w:t>
      </w:r>
      <w:r>
        <w:rPr>
          <w:i/>
          <w:color w:val="231F20"/>
          <w:sz w:val="20"/>
        </w:rPr>
        <w:t>Nuevo institucionalismo e institucionalidad en </w:t>
      </w:r>
      <w:r>
        <w:rPr>
          <w:i/>
          <w:color w:val="231F20"/>
          <w:sz w:val="20"/>
        </w:rPr>
        <w:t>México</w:t>
      </w:r>
      <w:r>
        <w:rPr>
          <w:color w:val="231F20"/>
          <w:sz w:val="20"/>
        </w:rPr>
        <w:t>, UAEM, University of New Mexico,</w:t>
      </w:r>
      <w:r>
        <w:rPr>
          <w:color w:val="231F20"/>
          <w:spacing w:val="-1"/>
          <w:sz w:val="20"/>
        </w:rPr>
        <w:t> </w:t>
      </w:r>
      <w:r>
        <w:rPr>
          <w:color w:val="231F20"/>
          <w:sz w:val="20"/>
        </w:rPr>
        <w:t>México.</w:t>
      </w:r>
    </w:p>
    <w:p>
      <w:pPr>
        <w:spacing w:line="210" w:lineRule="exact" w:before="113"/>
        <w:ind w:left="117" w:right="115" w:firstLine="0"/>
        <w:jc w:val="both"/>
        <w:rPr>
          <w:sz w:val="20"/>
        </w:rPr>
      </w:pPr>
      <w:r>
        <w:rPr>
          <w:color w:val="231F20"/>
          <w:spacing w:val="-3"/>
          <w:sz w:val="20"/>
        </w:rPr>
        <w:t>ORTIZ, </w:t>
      </w:r>
      <w:r>
        <w:rPr>
          <w:color w:val="231F20"/>
          <w:sz w:val="20"/>
        </w:rPr>
        <w:t>Isabel, 2007, </w:t>
      </w:r>
      <w:r>
        <w:rPr>
          <w:i/>
          <w:color w:val="231F20"/>
          <w:sz w:val="20"/>
        </w:rPr>
        <w:t>Política Social, Departamento de asuntos económicos y so- </w:t>
      </w:r>
      <w:r>
        <w:rPr>
          <w:i/>
          <w:color w:val="231F20"/>
          <w:sz w:val="20"/>
        </w:rPr>
        <w:t>ciales</w:t>
      </w:r>
      <w:r>
        <w:rPr>
          <w:color w:val="231F20"/>
          <w:sz w:val="20"/>
        </w:rPr>
        <w:t>, ONU DAES/ UN DESA.</w:t>
      </w:r>
    </w:p>
    <w:p>
      <w:pPr>
        <w:spacing w:line="220" w:lineRule="exact" w:before="94"/>
        <w:ind w:left="117" w:right="0" w:firstLine="0"/>
        <w:jc w:val="both"/>
        <w:rPr>
          <w:i/>
          <w:sz w:val="20"/>
        </w:rPr>
      </w:pPr>
      <w:r>
        <w:rPr>
          <w:color w:val="231F20"/>
          <w:spacing w:val="-7"/>
          <w:sz w:val="20"/>
        </w:rPr>
        <w:t>SZÉKELY, </w:t>
      </w:r>
      <w:r>
        <w:rPr>
          <w:color w:val="231F20"/>
          <w:sz w:val="20"/>
        </w:rPr>
        <w:t>Miguel, 2005, </w:t>
      </w:r>
      <w:r>
        <w:rPr>
          <w:i/>
          <w:color w:val="231F20"/>
          <w:sz w:val="20"/>
        </w:rPr>
        <w:t>Pobreza y Desigualdad en México entre 1950 y el 2004,</w:t>
      </w:r>
    </w:p>
    <w:p>
      <w:pPr>
        <w:spacing w:line="220" w:lineRule="exact" w:before="0"/>
        <w:ind w:left="117" w:right="0" w:firstLine="0"/>
        <w:jc w:val="both"/>
        <w:rPr>
          <w:sz w:val="20"/>
        </w:rPr>
      </w:pPr>
      <w:r>
        <w:rPr>
          <w:color w:val="231F20"/>
          <w:sz w:val="20"/>
        </w:rPr>
        <w:t>serie: Documentos de Investigación 24, SEDESOL, México.</w:t>
      </w:r>
    </w:p>
    <w:p>
      <w:pPr>
        <w:pStyle w:val="BodyText"/>
        <w:spacing w:before="9"/>
        <w:rPr>
          <w:sz w:val="20"/>
        </w:rPr>
      </w:pPr>
    </w:p>
    <w:p>
      <w:pPr>
        <w:pStyle w:val="Heading3"/>
        <w:spacing w:before="0"/>
      </w:pPr>
      <w:r>
        <w:rPr>
          <w:color w:val="231F20"/>
        </w:rPr>
        <w:t>Documentos</w:t>
      </w:r>
    </w:p>
    <w:p>
      <w:pPr>
        <w:pStyle w:val="BodyText"/>
        <w:spacing w:before="9"/>
        <w:rPr>
          <w:b/>
          <w:sz w:val="18"/>
        </w:rPr>
      </w:pPr>
    </w:p>
    <w:p>
      <w:pPr>
        <w:spacing w:line="210" w:lineRule="exact" w:before="1"/>
        <w:ind w:left="117" w:right="114" w:firstLine="0"/>
        <w:jc w:val="both"/>
        <w:rPr>
          <w:sz w:val="20"/>
        </w:rPr>
      </w:pPr>
      <w:r>
        <w:rPr>
          <w:color w:val="231F20"/>
          <w:sz w:val="20"/>
        </w:rPr>
        <w:t>CTMPM, 2002, </w:t>
      </w:r>
      <w:r>
        <w:rPr>
          <w:i/>
          <w:color w:val="231F20"/>
          <w:sz w:val="20"/>
        </w:rPr>
        <w:t>Medición de la pobreza. Variantes metodológicas y estimación </w:t>
      </w:r>
      <w:r>
        <w:rPr>
          <w:i/>
          <w:color w:val="231F20"/>
          <w:sz w:val="20"/>
        </w:rPr>
        <w:t>preliminar</w:t>
      </w:r>
      <w:r>
        <w:rPr>
          <w:color w:val="231F20"/>
          <w:sz w:val="20"/>
        </w:rPr>
        <w:t>, Serie: Documentos de Investigación 1, Comité Técnico para la Medi- ción de la Pobreza en México/Sedesol, México.</w:t>
      </w:r>
    </w:p>
    <w:p>
      <w:pPr>
        <w:spacing w:line="210" w:lineRule="exact" w:before="113"/>
        <w:ind w:left="117" w:right="114" w:firstLine="0"/>
        <w:jc w:val="both"/>
        <w:rPr>
          <w:sz w:val="20"/>
        </w:rPr>
      </w:pPr>
      <w:r>
        <w:rPr>
          <w:color w:val="231F20"/>
          <w:sz w:val="20"/>
        </w:rPr>
        <w:t>HERNÁNDEZ</w:t>
      </w:r>
      <w:r>
        <w:rPr>
          <w:color w:val="231F20"/>
          <w:spacing w:val="-8"/>
          <w:sz w:val="20"/>
        </w:rPr>
        <w:t> </w:t>
      </w:r>
      <w:r>
        <w:rPr>
          <w:color w:val="231F20"/>
          <w:sz w:val="20"/>
        </w:rPr>
        <w:t>Licona</w:t>
      </w:r>
      <w:r>
        <w:rPr>
          <w:color w:val="231F20"/>
          <w:spacing w:val="-8"/>
          <w:sz w:val="20"/>
        </w:rPr>
        <w:t> </w:t>
      </w:r>
      <w:r>
        <w:rPr>
          <w:color w:val="231F20"/>
          <w:sz w:val="20"/>
        </w:rPr>
        <w:t>Gonzalo</w:t>
      </w:r>
      <w:r>
        <w:rPr>
          <w:color w:val="231F20"/>
          <w:spacing w:val="-8"/>
          <w:sz w:val="20"/>
        </w:rPr>
        <w:t> </w:t>
      </w:r>
      <w:r>
        <w:rPr>
          <w:color w:val="231F20"/>
          <w:sz w:val="20"/>
        </w:rPr>
        <w:t>y</w:t>
      </w:r>
      <w:r>
        <w:rPr>
          <w:color w:val="231F20"/>
          <w:spacing w:val="-8"/>
          <w:sz w:val="20"/>
        </w:rPr>
        <w:t> </w:t>
      </w:r>
      <w:r>
        <w:rPr>
          <w:color w:val="231F20"/>
          <w:sz w:val="20"/>
        </w:rPr>
        <w:t>Marcela</w:t>
      </w:r>
      <w:r>
        <w:rPr>
          <w:color w:val="231F20"/>
          <w:spacing w:val="-8"/>
          <w:sz w:val="20"/>
        </w:rPr>
        <w:t> </w:t>
      </w:r>
      <w:r>
        <w:rPr>
          <w:color w:val="231F20"/>
          <w:sz w:val="20"/>
        </w:rPr>
        <w:t>del</w:t>
      </w:r>
      <w:r>
        <w:rPr>
          <w:color w:val="231F20"/>
          <w:spacing w:val="-8"/>
          <w:sz w:val="20"/>
        </w:rPr>
        <w:t> </w:t>
      </w:r>
      <w:r>
        <w:rPr>
          <w:color w:val="231F20"/>
          <w:sz w:val="20"/>
        </w:rPr>
        <w:t>Razo</w:t>
      </w:r>
      <w:r>
        <w:rPr>
          <w:color w:val="231F20"/>
          <w:spacing w:val="-8"/>
          <w:sz w:val="20"/>
        </w:rPr>
        <w:t> </w:t>
      </w:r>
      <w:r>
        <w:rPr>
          <w:color w:val="231F20"/>
          <w:sz w:val="20"/>
        </w:rPr>
        <w:t>Martínez,</w:t>
      </w:r>
      <w:r>
        <w:rPr>
          <w:color w:val="231F20"/>
          <w:spacing w:val="-8"/>
          <w:sz w:val="20"/>
        </w:rPr>
        <w:t> </w:t>
      </w:r>
      <w:r>
        <w:rPr>
          <w:color w:val="231F20"/>
          <w:sz w:val="20"/>
        </w:rPr>
        <w:t>2004,</w:t>
      </w:r>
      <w:r>
        <w:rPr>
          <w:color w:val="231F20"/>
          <w:spacing w:val="-8"/>
          <w:sz w:val="20"/>
        </w:rPr>
        <w:t> </w:t>
      </w:r>
      <w:r>
        <w:rPr>
          <w:i/>
          <w:color w:val="231F20"/>
          <w:sz w:val="20"/>
        </w:rPr>
        <w:t>Lo</w:t>
      </w:r>
      <w:r>
        <w:rPr>
          <w:i/>
          <w:color w:val="231F20"/>
          <w:spacing w:val="-8"/>
          <w:sz w:val="20"/>
        </w:rPr>
        <w:t> </w:t>
      </w:r>
      <w:r>
        <w:rPr>
          <w:i/>
          <w:color w:val="231F20"/>
          <w:sz w:val="20"/>
        </w:rPr>
        <w:t>que</w:t>
      </w:r>
      <w:r>
        <w:rPr>
          <w:i/>
          <w:color w:val="231F20"/>
          <w:spacing w:val="-8"/>
          <w:sz w:val="20"/>
        </w:rPr>
        <w:t> </w:t>
      </w:r>
      <w:r>
        <w:rPr>
          <w:i/>
          <w:color w:val="231F20"/>
          <w:sz w:val="20"/>
        </w:rPr>
        <w:t>dicen </w:t>
      </w:r>
      <w:r>
        <w:rPr>
          <w:i/>
          <w:color w:val="231F20"/>
          <w:sz w:val="20"/>
        </w:rPr>
        <w:t>los</w:t>
      </w:r>
      <w:r>
        <w:rPr>
          <w:i/>
          <w:color w:val="231F20"/>
          <w:spacing w:val="-8"/>
          <w:sz w:val="20"/>
        </w:rPr>
        <w:t> </w:t>
      </w:r>
      <w:r>
        <w:rPr>
          <w:i/>
          <w:color w:val="231F20"/>
          <w:sz w:val="20"/>
        </w:rPr>
        <w:t>pobres:</w:t>
      </w:r>
      <w:r>
        <w:rPr>
          <w:i/>
          <w:color w:val="231F20"/>
          <w:spacing w:val="-8"/>
          <w:sz w:val="20"/>
        </w:rPr>
        <w:t> </w:t>
      </w:r>
      <w:r>
        <w:rPr>
          <w:i/>
          <w:color w:val="231F20"/>
          <w:sz w:val="20"/>
        </w:rPr>
        <w:t>evaluación</w:t>
      </w:r>
      <w:r>
        <w:rPr>
          <w:i/>
          <w:color w:val="231F20"/>
          <w:spacing w:val="-7"/>
          <w:sz w:val="20"/>
        </w:rPr>
        <w:t> </w:t>
      </w:r>
      <w:r>
        <w:rPr>
          <w:i/>
          <w:color w:val="231F20"/>
          <w:sz w:val="20"/>
        </w:rPr>
        <w:t>del</w:t>
      </w:r>
      <w:r>
        <w:rPr>
          <w:i/>
          <w:color w:val="231F20"/>
          <w:spacing w:val="-7"/>
          <w:sz w:val="20"/>
        </w:rPr>
        <w:t> </w:t>
      </w:r>
      <w:r>
        <w:rPr>
          <w:i/>
          <w:color w:val="231F20"/>
          <w:sz w:val="20"/>
        </w:rPr>
        <w:t>impacto</w:t>
      </w:r>
      <w:r>
        <w:rPr>
          <w:i/>
          <w:color w:val="231F20"/>
          <w:spacing w:val="-8"/>
          <w:sz w:val="20"/>
        </w:rPr>
        <w:t> </w:t>
      </w:r>
      <w:r>
        <w:rPr>
          <w:i/>
          <w:color w:val="231F20"/>
          <w:sz w:val="20"/>
        </w:rPr>
        <w:t>de</w:t>
      </w:r>
      <w:r>
        <w:rPr>
          <w:i/>
          <w:color w:val="231F20"/>
          <w:spacing w:val="-7"/>
          <w:sz w:val="20"/>
        </w:rPr>
        <w:t> </w:t>
      </w:r>
      <w:r>
        <w:rPr>
          <w:i/>
          <w:color w:val="231F20"/>
          <w:sz w:val="20"/>
        </w:rPr>
        <w:t>los</w:t>
      </w:r>
      <w:r>
        <w:rPr>
          <w:i/>
          <w:color w:val="231F20"/>
          <w:spacing w:val="-8"/>
          <w:sz w:val="20"/>
        </w:rPr>
        <w:t> </w:t>
      </w:r>
      <w:r>
        <w:rPr>
          <w:i/>
          <w:color w:val="231F20"/>
          <w:sz w:val="20"/>
        </w:rPr>
        <w:t>programas</w:t>
      </w:r>
      <w:r>
        <w:rPr>
          <w:i/>
          <w:color w:val="231F20"/>
          <w:spacing w:val="-8"/>
          <w:sz w:val="20"/>
        </w:rPr>
        <w:t> </w:t>
      </w:r>
      <w:r>
        <w:rPr>
          <w:i/>
          <w:color w:val="231F20"/>
          <w:sz w:val="20"/>
        </w:rPr>
        <w:t>sociales</w:t>
      </w:r>
      <w:r>
        <w:rPr>
          <w:i/>
          <w:color w:val="231F20"/>
          <w:spacing w:val="-7"/>
          <w:sz w:val="20"/>
        </w:rPr>
        <w:t> </w:t>
      </w:r>
      <w:r>
        <w:rPr>
          <w:i/>
          <w:color w:val="231F20"/>
          <w:spacing w:val="-3"/>
          <w:sz w:val="20"/>
        </w:rPr>
        <w:t>sobre</w:t>
      </w:r>
      <w:r>
        <w:rPr>
          <w:i/>
          <w:color w:val="231F20"/>
          <w:spacing w:val="-7"/>
          <w:sz w:val="20"/>
        </w:rPr>
        <w:t> </w:t>
      </w:r>
      <w:r>
        <w:rPr>
          <w:i/>
          <w:color w:val="231F20"/>
          <w:sz w:val="20"/>
        </w:rPr>
        <w:t>la</w:t>
      </w:r>
      <w:r>
        <w:rPr>
          <w:i/>
          <w:color w:val="231F20"/>
          <w:spacing w:val="-8"/>
          <w:sz w:val="20"/>
        </w:rPr>
        <w:t> </w:t>
      </w:r>
      <w:r>
        <w:rPr>
          <w:i/>
          <w:color w:val="231F20"/>
          <w:sz w:val="20"/>
        </w:rPr>
        <w:t>percepción de los beneficiarios, </w:t>
      </w:r>
      <w:r>
        <w:rPr>
          <w:color w:val="231F20"/>
          <w:sz w:val="20"/>
        </w:rPr>
        <w:t>Serie: Documentos de Investigación 14, Secretaría de Desa- rrollo Social (SEDESOL),</w:t>
      </w:r>
      <w:r>
        <w:rPr>
          <w:color w:val="231F20"/>
          <w:spacing w:val="-12"/>
          <w:sz w:val="20"/>
        </w:rPr>
        <w:t> </w:t>
      </w:r>
      <w:r>
        <w:rPr>
          <w:color w:val="231F20"/>
          <w:sz w:val="20"/>
        </w:rPr>
        <w:t>México.</w:t>
      </w:r>
    </w:p>
    <w:p>
      <w:pPr>
        <w:spacing w:line="220" w:lineRule="exact" w:before="94"/>
        <w:ind w:left="117" w:right="0" w:firstLine="0"/>
        <w:jc w:val="both"/>
        <w:rPr>
          <w:i/>
          <w:sz w:val="20"/>
        </w:rPr>
      </w:pPr>
      <w:r>
        <w:rPr>
          <w:color w:val="231F20"/>
          <w:sz w:val="20"/>
        </w:rPr>
        <w:t>DE LA TORRE, Rodolfo, 2005, </w:t>
      </w:r>
      <w:r>
        <w:rPr>
          <w:i/>
          <w:color w:val="231F20"/>
          <w:sz w:val="20"/>
        </w:rPr>
        <w:t>Ingreso y gasto en la medición de la pobreza,</w:t>
      </w:r>
    </w:p>
    <w:p>
      <w:pPr>
        <w:spacing w:line="220" w:lineRule="exact" w:before="0"/>
        <w:ind w:left="117" w:right="0" w:firstLine="0"/>
        <w:jc w:val="both"/>
        <w:rPr>
          <w:sz w:val="20"/>
        </w:rPr>
      </w:pPr>
      <w:r>
        <w:rPr>
          <w:color w:val="231F20"/>
          <w:sz w:val="20"/>
        </w:rPr>
        <w:t>Serie: Documentos de Investigación 22, SEDESOL, México.</w:t>
      </w:r>
    </w:p>
    <w:p>
      <w:pPr>
        <w:spacing w:line="210" w:lineRule="exact" w:before="112"/>
        <w:ind w:left="117" w:right="114" w:firstLine="0"/>
        <w:jc w:val="both"/>
        <w:rPr>
          <w:sz w:val="20"/>
        </w:rPr>
      </w:pPr>
      <w:r>
        <w:rPr>
          <w:color w:val="231F20"/>
          <w:sz w:val="20"/>
        </w:rPr>
        <w:t>OPORTUNIDADES,</w:t>
      </w:r>
      <w:r>
        <w:rPr>
          <w:color w:val="231F20"/>
          <w:spacing w:val="-9"/>
          <w:sz w:val="20"/>
        </w:rPr>
        <w:t> </w:t>
      </w:r>
      <w:r>
        <w:rPr>
          <w:color w:val="231F20"/>
          <w:sz w:val="20"/>
        </w:rPr>
        <w:t>2007,</w:t>
      </w:r>
      <w:r>
        <w:rPr>
          <w:color w:val="231F20"/>
          <w:spacing w:val="-8"/>
          <w:sz w:val="20"/>
        </w:rPr>
        <w:t> </w:t>
      </w:r>
      <w:r>
        <w:rPr>
          <w:i/>
          <w:color w:val="231F20"/>
          <w:sz w:val="20"/>
        </w:rPr>
        <w:t>El</w:t>
      </w:r>
      <w:r>
        <w:rPr>
          <w:i/>
          <w:color w:val="231F20"/>
          <w:spacing w:val="-8"/>
          <w:sz w:val="20"/>
        </w:rPr>
        <w:t> </w:t>
      </w:r>
      <w:r>
        <w:rPr>
          <w:i/>
          <w:color w:val="231F20"/>
          <w:sz w:val="20"/>
        </w:rPr>
        <w:t>papel</w:t>
      </w:r>
      <w:r>
        <w:rPr>
          <w:i/>
          <w:color w:val="231F20"/>
          <w:spacing w:val="-8"/>
          <w:sz w:val="20"/>
        </w:rPr>
        <w:t> </w:t>
      </w:r>
      <w:r>
        <w:rPr>
          <w:i/>
          <w:color w:val="231F20"/>
          <w:sz w:val="20"/>
        </w:rPr>
        <w:t>del</w:t>
      </w:r>
      <w:r>
        <w:rPr>
          <w:i/>
          <w:color w:val="231F20"/>
          <w:spacing w:val="-8"/>
          <w:sz w:val="20"/>
        </w:rPr>
        <w:t> </w:t>
      </w:r>
      <w:r>
        <w:rPr>
          <w:i/>
          <w:color w:val="231F20"/>
          <w:sz w:val="20"/>
        </w:rPr>
        <w:t>Programa</w:t>
      </w:r>
      <w:r>
        <w:rPr>
          <w:i/>
          <w:color w:val="231F20"/>
          <w:spacing w:val="-8"/>
          <w:sz w:val="20"/>
        </w:rPr>
        <w:t> </w:t>
      </w:r>
      <w:r>
        <w:rPr>
          <w:i/>
          <w:color w:val="231F20"/>
          <w:sz w:val="20"/>
        </w:rPr>
        <w:t>Oportunidades</w:t>
      </w:r>
      <w:r>
        <w:rPr>
          <w:i/>
          <w:color w:val="231F20"/>
          <w:spacing w:val="-7"/>
          <w:sz w:val="20"/>
        </w:rPr>
        <w:t> </w:t>
      </w:r>
      <w:r>
        <w:rPr>
          <w:i/>
          <w:color w:val="231F20"/>
          <w:sz w:val="20"/>
        </w:rPr>
        <w:t>en</w:t>
      </w:r>
      <w:r>
        <w:rPr>
          <w:i/>
          <w:color w:val="231F20"/>
          <w:spacing w:val="-8"/>
          <w:sz w:val="20"/>
        </w:rPr>
        <w:t> </w:t>
      </w:r>
      <w:r>
        <w:rPr>
          <w:i/>
          <w:color w:val="231F20"/>
          <w:sz w:val="20"/>
        </w:rPr>
        <w:t>la</w:t>
      </w:r>
      <w:r>
        <w:rPr>
          <w:i/>
          <w:color w:val="231F20"/>
          <w:spacing w:val="-8"/>
          <w:sz w:val="20"/>
        </w:rPr>
        <w:t> </w:t>
      </w:r>
      <w:r>
        <w:rPr>
          <w:i/>
          <w:color w:val="231F20"/>
          <w:sz w:val="20"/>
        </w:rPr>
        <w:t>cohesión </w:t>
      </w:r>
      <w:r>
        <w:rPr>
          <w:i/>
          <w:color w:val="231F20"/>
          <w:sz w:val="20"/>
        </w:rPr>
        <w:t>social</w:t>
      </w:r>
      <w:r>
        <w:rPr>
          <w:color w:val="231F20"/>
          <w:sz w:val="20"/>
        </w:rPr>
        <w:t>, SEDESOL,</w:t>
      </w:r>
      <w:r>
        <w:rPr>
          <w:color w:val="231F20"/>
          <w:spacing w:val="-19"/>
          <w:sz w:val="20"/>
        </w:rPr>
        <w:t> </w:t>
      </w:r>
      <w:r>
        <w:rPr>
          <w:color w:val="231F20"/>
          <w:sz w:val="20"/>
        </w:rPr>
        <w:t>México.</w:t>
      </w:r>
    </w:p>
    <w:p>
      <w:pPr>
        <w:spacing w:line="210" w:lineRule="exact" w:before="113"/>
        <w:ind w:left="117" w:right="115" w:firstLine="0"/>
        <w:jc w:val="both"/>
        <w:rPr>
          <w:sz w:val="20"/>
        </w:rPr>
      </w:pPr>
      <w:r>
        <w:rPr>
          <w:color w:val="231F20"/>
          <w:sz w:val="20"/>
        </w:rPr>
        <w:t>PNUD (Programa de las Naciones Unidas para el Desarrollo), 1990, </w:t>
      </w:r>
      <w:r>
        <w:rPr>
          <w:i/>
          <w:color w:val="231F20"/>
          <w:sz w:val="20"/>
        </w:rPr>
        <w:t>Informe so- </w:t>
      </w:r>
      <w:r>
        <w:rPr>
          <w:i/>
          <w:color w:val="231F20"/>
          <w:spacing w:val="-3"/>
          <w:sz w:val="20"/>
        </w:rPr>
        <w:t>bre</w:t>
      </w:r>
      <w:r>
        <w:rPr>
          <w:i/>
          <w:color w:val="231F20"/>
          <w:spacing w:val="-9"/>
          <w:sz w:val="20"/>
        </w:rPr>
        <w:t> </w:t>
      </w:r>
      <w:r>
        <w:rPr>
          <w:i/>
          <w:color w:val="231F20"/>
          <w:sz w:val="20"/>
        </w:rPr>
        <w:t>Desarrollo</w:t>
      </w:r>
      <w:r>
        <w:rPr>
          <w:i/>
          <w:color w:val="231F20"/>
          <w:spacing w:val="-9"/>
          <w:sz w:val="20"/>
        </w:rPr>
        <w:t> </w:t>
      </w:r>
      <w:r>
        <w:rPr>
          <w:i/>
          <w:color w:val="231F20"/>
          <w:sz w:val="20"/>
        </w:rPr>
        <w:t>Humano:</w:t>
      </w:r>
      <w:r>
        <w:rPr>
          <w:i/>
          <w:color w:val="231F20"/>
          <w:spacing w:val="-9"/>
          <w:sz w:val="20"/>
        </w:rPr>
        <w:t> </w:t>
      </w:r>
      <w:r>
        <w:rPr>
          <w:i/>
          <w:color w:val="231F20"/>
          <w:sz w:val="20"/>
        </w:rPr>
        <w:t>1990</w:t>
      </w:r>
      <w:r>
        <w:rPr>
          <w:color w:val="231F20"/>
          <w:sz w:val="20"/>
        </w:rPr>
        <w:t>,</w:t>
      </w:r>
      <w:r>
        <w:rPr>
          <w:color w:val="231F20"/>
          <w:spacing w:val="-9"/>
          <w:sz w:val="20"/>
        </w:rPr>
        <w:t> </w:t>
      </w:r>
      <w:r>
        <w:rPr>
          <w:color w:val="231F20"/>
          <w:sz w:val="20"/>
        </w:rPr>
        <w:t>Programa</w:t>
      </w:r>
      <w:r>
        <w:rPr>
          <w:color w:val="231F20"/>
          <w:spacing w:val="-9"/>
          <w:sz w:val="20"/>
        </w:rPr>
        <w:t> </w:t>
      </w:r>
      <w:r>
        <w:rPr>
          <w:color w:val="231F20"/>
          <w:sz w:val="20"/>
        </w:rPr>
        <w:t>de</w:t>
      </w:r>
      <w:r>
        <w:rPr>
          <w:color w:val="231F20"/>
          <w:spacing w:val="-9"/>
          <w:sz w:val="20"/>
        </w:rPr>
        <w:t> </w:t>
      </w:r>
      <w:r>
        <w:rPr>
          <w:color w:val="231F20"/>
          <w:sz w:val="20"/>
        </w:rPr>
        <w:t>las</w:t>
      </w:r>
      <w:r>
        <w:rPr>
          <w:color w:val="231F20"/>
          <w:spacing w:val="-9"/>
          <w:sz w:val="20"/>
        </w:rPr>
        <w:t> </w:t>
      </w:r>
      <w:r>
        <w:rPr>
          <w:color w:val="231F20"/>
          <w:sz w:val="20"/>
        </w:rPr>
        <w:t>Naciones</w:t>
      </w:r>
      <w:r>
        <w:rPr>
          <w:color w:val="231F20"/>
          <w:spacing w:val="-9"/>
          <w:sz w:val="20"/>
        </w:rPr>
        <w:t> </w:t>
      </w:r>
      <w:r>
        <w:rPr>
          <w:color w:val="231F20"/>
          <w:sz w:val="20"/>
        </w:rPr>
        <w:t>Unidas</w:t>
      </w:r>
      <w:r>
        <w:rPr>
          <w:color w:val="231F20"/>
          <w:spacing w:val="-9"/>
          <w:sz w:val="20"/>
        </w:rPr>
        <w:t> </w:t>
      </w:r>
      <w:r>
        <w:rPr>
          <w:color w:val="231F20"/>
          <w:sz w:val="20"/>
        </w:rPr>
        <w:t>para</w:t>
      </w:r>
      <w:r>
        <w:rPr>
          <w:color w:val="231F20"/>
          <w:spacing w:val="-9"/>
          <w:sz w:val="20"/>
        </w:rPr>
        <w:t> </w:t>
      </w:r>
      <w:r>
        <w:rPr>
          <w:color w:val="231F20"/>
          <w:sz w:val="20"/>
        </w:rPr>
        <w:t>el</w:t>
      </w:r>
      <w:r>
        <w:rPr>
          <w:color w:val="231F20"/>
          <w:spacing w:val="-9"/>
          <w:sz w:val="20"/>
        </w:rPr>
        <w:t> </w:t>
      </w:r>
      <w:r>
        <w:rPr>
          <w:color w:val="231F20"/>
          <w:sz w:val="20"/>
        </w:rPr>
        <w:t>Desarro- llo, Nueva</w:t>
      </w:r>
      <w:r>
        <w:rPr>
          <w:color w:val="231F20"/>
          <w:spacing w:val="-9"/>
          <w:sz w:val="20"/>
        </w:rPr>
        <w:t> </w:t>
      </w:r>
      <w:r>
        <w:rPr>
          <w:color w:val="231F20"/>
          <w:spacing w:val="-5"/>
          <w:sz w:val="20"/>
        </w:rPr>
        <w:t>York.</w:t>
      </w:r>
    </w:p>
    <w:p>
      <w:pPr>
        <w:spacing w:line="210" w:lineRule="exact" w:before="113"/>
        <w:ind w:left="117" w:right="115" w:firstLine="0"/>
        <w:jc w:val="both"/>
        <w:rPr>
          <w:sz w:val="20"/>
        </w:rPr>
      </w:pPr>
      <w:r>
        <w:rPr>
          <w:color w:val="231F20"/>
          <w:sz w:val="20"/>
        </w:rPr>
        <w:t>PNUD (Programa de las Naciones Unidas para el Desarrollo), 2007, </w:t>
      </w:r>
      <w:r>
        <w:rPr>
          <w:i/>
          <w:color w:val="231F20"/>
          <w:sz w:val="20"/>
        </w:rPr>
        <w:t>Informe so- </w:t>
      </w:r>
      <w:r>
        <w:rPr>
          <w:i/>
          <w:color w:val="231F20"/>
          <w:sz w:val="20"/>
        </w:rPr>
        <w:t>bre Desarrollo Humano: 2007-2008</w:t>
      </w:r>
      <w:r>
        <w:rPr>
          <w:color w:val="231F20"/>
          <w:sz w:val="20"/>
        </w:rPr>
        <w:t>, Nueva York.</w:t>
      </w:r>
    </w:p>
    <w:p>
      <w:pPr>
        <w:pStyle w:val="BodyText"/>
        <w:spacing w:before="10"/>
        <w:rPr>
          <w:sz w:val="20"/>
        </w:rPr>
      </w:pPr>
    </w:p>
    <w:p>
      <w:pPr>
        <w:pStyle w:val="Heading3"/>
        <w:spacing w:before="0"/>
      </w:pPr>
      <w:r>
        <w:rPr>
          <w:color w:val="231F20"/>
        </w:rPr>
        <w:t>Mesografía</w:t>
      </w:r>
    </w:p>
    <w:p>
      <w:pPr>
        <w:pStyle w:val="BodyText"/>
        <w:spacing w:before="9"/>
        <w:rPr>
          <w:b/>
          <w:sz w:val="18"/>
        </w:rPr>
      </w:pPr>
    </w:p>
    <w:p>
      <w:pPr>
        <w:spacing w:line="210" w:lineRule="exact" w:before="1"/>
        <w:ind w:left="117" w:right="115" w:firstLine="0"/>
        <w:jc w:val="both"/>
        <w:rPr>
          <w:sz w:val="20"/>
        </w:rPr>
      </w:pPr>
      <w:r>
        <w:rPr>
          <w:color w:val="231F20"/>
          <w:sz w:val="20"/>
        </w:rPr>
        <w:t>ALHAMA</w:t>
      </w:r>
      <w:r>
        <w:rPr>
          <w:color w:val="231F20"/>
          <w:spacing w:val="-17"/>
          <w:sz w:val="20"/>
        </w:rPr>
        <w:t> </w:t>
      </w:r>
      <w:r>
        <w:rPr>
          <w:color w:val="231F20"/>
          <w:sz w:val="20"/>
        </w:rPr>
        <w:t>BELAMARIC,</w:t>
      </w:r>
      <w:r>
        <w:rPr>
          <w:color w:val="231F20"/>
          <w:spacing w:val="-6"/>
          <w:sz w:val="20"/>
        </w:rPr>
        <w:t> </w:t>
      </w:r>
      <w:r>
        <w:rPr>
          <w:color w:val="231F20"/>
          <w:sz w:val="20"/>
        </w:rPr>
        <w:t>Rafael,</w:t>
      </w:r>
      <w:r>
        <w:rPr>
          <w:color w:val="231F20"/>
          <w:spacing w:val="-6"/>
          <w:sz w:val="20"/>
        </w:rPr>
        <w:t> </w:t>
      </w:r>
      <w:r>
        <w:rPr>
          <w:color w:val="231F20"/>
          <w:sz w:val="20"/>
        </w:rPr>
        <w:t>2004,</w:t>
      </w:r>
      <w:r>
        <w:rPr>
          <w:color w:val="231F20"/>
          <w:spacing w:val="-6"/>
          <w:sz w:val="20"/>
        </w:rPr>
        <w:t> </w:t>
      </w:r>
      <w:r>
        <w:rPr>
          <w:color w:val="231F20"/>
          <w:sz w:val="20"/>
        </w:rPr>
        <w:t>“Capital</w:t>
      </w:r>
      <w:r>
        <w:rPr>
          <w:color w:val="231F20"/>
          <w:spacing w:val="-6"/>
          <w:sz w:val="20"/>
        </w:rPr>
        <w:t> </w:t>
      </w:r>
      <w:r>
        <w:rPr>
          <w:color w:val="231F20"/>
          <w:sz w:val="20"/>
        </w:rPr>
        <w:t>humano,</w:t>
      </w:r>
      <w:r>
        <w:rPr>
          <w:color w:val="231F20"/>
          <w:spacing w:val="-6"/>
          <w:sz w:val="20"/>
        </w:rPr>
        <w:t> </w:t>
      </w:r>
      <w:r>
        <w:rPr>
          <w:color w:val="231F20"/>
          <w:sz w:val="20"/>
        </w:rPr>
        <w:t>concepto</w:t>
      </w:r>
      <w:r>
        <w:rPr>
          <w:color w:val="231F20"/>
          <w:spacing w:val="-6"/>
          <w:sz w:val="20"/>
        </w:rPr>
        <w:t> </w:t>
      </w:r>
      <w:r>
        <w:rPr>
          <w:color w:val="231F20"/>
          <w:sz w:val="20"/>
        </w:rPr>
        <w:t>e</w:t>
      </w:r>
      <w:r>
        <w:rPr>
          <w:color w:val="231F20"/>
          <w:spacing w:val="-6"/>
          <w:sz w:val="20"/>
        </w:rPr>
        <w:t> </w:t>
      </w:r>
      <w:r>
        <w:rPr>
          <w:color w:val="231F20"/>
          <w:sz w:val="20"/>
        </w:rPr>
        <w:t>instrumen- tación”,</w:t>
      </w:r>
      <w:r>
        <w:rPr>
          <w:color w:val="231F20"/>
          <w:spacing w:val="26"/>
          <w:sz w:val="20"/>
        </w:rPr>
        <w:t> </w:t>
      </w:r>
      <w:r>
        <w:rPr>
          <w:color w:val="231F20"/>
          <w:sz w:val="20"/>
        </w:rPr>
        <w:t>en</w:t>
      </w:r>
      <w:r>
        <w:rPr>
          <w:color w:val="231F20"/>
          <w:spacing w:val="27"/>
          <w:sz w:val="20"/>
        </w:rPr>
        <w:t> </w:t>
      </w:r>
      <w:r>
        <w:rPr>
          <w:i/>
          <w:color w:val="231F20"/>
          <w:sz w:val="20"/>
        </w:rPr>
        <w:t>Revista</w:t>
      </w:r>
      <w:r>
        <w:rPr>
          <w:i/>
          <w:color w:val="231F20"/>
          <w:spacing w:val="26"/>
          <w:sz w:val="20"/>
        </w:rPr>
        <w:t> </w:t>
      </w:r>
      <w:r>
        <w:rPr>
          <w:i/>
          <w:color w:val="231F20"/>
          <w:sz w:val="20"/>
        </w:rPr>
        <w:t>de</w:t>
      </w:r>
      <w:r>
        <w:rPr>
          <w:i/>
          <w:color w:val="231F20"/>
          <w:spacing w:val="27"/>
          <w:sz w:val="20"/>
        </w:rPr>
        <w:t> </w:t>
      </w:r>
      <w:r>
        <w:rPr>
          <w:i/>
          <w:color w:val="231F20"/>
          <w:sz w:val="20"/>
        </w:rPr>
        <w:t>Complejidad,</w:t>
      </w:r>
      <w:r>
        <w:rPr>
          <w:i/>
          <w:color w:val="231F20"/>
          <w:spacing w:val="27"/>
          <w:sz w:val="20"/>
        </w:rPr>
        <w:t> </w:t>
      </w:r>
      <w:r>
        <w:rPr>
          <w:i/>
          <w:color w:val="231F20"/>
          <w:sz w:val="20"/>
        </w:rPr>
        <w:t>Ciencia</w:t>
      </w:r>
      <w:r>
        <w:rPr>
          <w:i/>
          <w:color w:val="231F20"/>
          <w:spacing w:val="27"/>
          <w:sz w:val="20"/>
        </w:rPr>
        <w:t> </w:t>
      </w:r>
      <w:r>
        <w:rPr>
          <w:i/>
          <w:color w:val="231F20"/>
          <w:sz w:val="20"/>
        </w:rPr>
        <w:t>y</w:t>
      </w:r>
      <w:r>
        <w:rPr>
          <w:i/>
          <w:color w:val="231F20"/>
          <w:spacing w:val="27"/>
          <w:sz w:val="20"/>
        </w:rPr>
        <w:t> </w:t>
      </w:r>
      <w:r>
        <w:rPr>
          <w:i/>
          <w:color w:val="231F20"/>
          <w:sz w:val="20"/>
        </w:rPr>
        <w:t>Estética</w:t>
      </w:r>
      <w:r>
        <w:rPr>
          <w:color w:val="231F20"/>
          <w:sz w:val="20"/>
        </w:rPr>
        <w:t>,</w:t>
      </w:r>
      <w:r>
        <w:rPr>
          <w:color w:val="231F20"/>
          <w:spacing w:val="27"/>
          <w:sz w:val="20"/>
        </w:rPr>
        <w:t> </w:t>
      </w:r>
      <w:r>
        <w:rPr>
          <w:color w:val="231F20"/>
          <w:sz w:val="20"/>
        </w:rPr>
        <w:t>Cuba,</w:t>
      </w:r>
      <w:r>
        <w:rPr>
          <w:color w:val="231F20"/>
          <w:spacing w:val="27"/>
          <w:sz w:val="20"/>
        </w:rPr>
        <w:t> </w:t>
      </w:r>
      <w:r>
        <w:rPr>
          <w:color w:val="231F20"/>
          <w:sz w:val="20"/>
        </w:rPr>
        <w:t>COMPLEXUS,</w:t>
      </w:r>
    </w:p>
    <w:p>
      <w:pPr>
        <w:spacing w:after="0" w:line="210" w:lineRule="exact"/>
        <w:jc w:val="both"/>
        <w:rPr>
          <w:sz w:val="20"/>
        </w:rPr>
        <w:sectPr>
          <w:footerReference w:type="default" r:id="rId177"/>
          <w:pgSz w:w="9360" w:h="13040"/>
          <w:pgMar w:footer="496" w:header="0" w:top="740" w:bottom="680" w:left="1300" w:right="1300"/>
          <w:pgNumType w:start="211"/>
        </w:sectPr>
      </w:pPr>
    </w:p>
    <w:p>
      <w:pPr>
        <w:tabs>
          <w:tab w:pos="5536" w:val="left" w:leader="none"/>
        </w:tabs>
        <w:spacing w:before="48"/>
        <w:ind w:left="122" w:right="0" w:hanging="17"/>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7"/>
        <w:rPr>
          <w:sz w:val="23"/>
        </w:rPr>
      </w:pPr>
    </w:p>
    <w:p>
      <w:pPr>
        <w:spacing w:line="210" w:lineRule="exact" w:before="0"/>
        <w:ind w:left="122" w:right="115" w:firstLine="0"/>
        <w:jc w:val="both"/>
        <w:rPr>
          <w:sz w:val="20"/>
        </w:rPr>
      </w:pPr>
      <w:r>
        <w:rPr>
          <w:color w:val="231F20"/>
          <w:sz w:val="20"/>
        </w:rPr>
        <w:t>en </w:t>
      </w:r>
      <w:hyperlink r:id="rId178">
        <w:r>
          <w:rPr>
            <w:color w:val="231F20"/>
            <w:sz w:val="20"/>
          </w:rPr>
          <w:t>http://www.sintesys.cl/complexus/revista7/pdf/Alama.pdf,</w:t>
        </w:r>
      </w:hyperlink>
      <w:r>
        <w:rPr>
          <w:color w:val="231F20"/>
          <w:sz w:val="20"/>
        </w:rPr>
        <w:t> consultado el 8 de Octubre de 2012.</w:t>
      </w:r>
    </w:p>
    <w:p>
      <w:pPr>
        <w:spacing w:line="220" w:lineRule="exact" w:before="94"/>
        <w:ind w:left="122" w:right="0" w:firstLine="0"/>
        <w:jc w:val="both"/>
        <w:rPr>
          <w:sz w:val="20"/>
        </w:rPr>
      </w:pPr>
      <w:r>
        <w:rPr>
          <w:color w:val="231F20"/>
          <w:sz w:val="20"/>
        </w:rPr>
        <w:t>BANCO MUNDIAL/SECRETARÍA DE HACIENDA Y CRÉDITO  PÚBLICO,</w:t>
      </w:r>
    </w:p>
    <w:p>
      <w:pPr>
        <w:spacing w:line="210" w:lineRule="exact" w:before="8"/>
        <w:ind w:left="122" w:right="115" w:firstLine="0"/>
        <w:jc w:val="both"/>
        <w:rPr>
          <w:sz w:val="20"/>
        </w:rPr>
      </w:pPr>
      <w:r>
        <w:rPr>
          <w:color w:val="231F20"/>
          <w:sz w:val="20"/>
        </w:rPr>
        <w:t>1994, “La planeación del desarrollo social en los noventa”</w:t>
      </w:r>
      <w:r>
        <w:rPr>
          <w:i/>
          <w:color w:val="231F20"/>
          <w:sz w:val="20"/>
        </w:rPr>
        <w:t>, </w:t>
      </w:r>
      <w:r>
        <w:rPr>
          <w:color w:val="231F20"/>
          <w:sz w:val="20"/>
        </w:rPr>
        <w:t>en </w:t>
      </w:r>
      <w:r>
        <w:rPr>
          <w:i/>
          <w:color w:val="231F20"/>
          <w:sz w:val="20"/>
        </w:rPr>
        <w:t>Antología de la </w:t>
      </w:r>
      <w:r>
        <w:rPr>
          <w:i/>
          <w:color w:val="231F20"/>
          <w:sz w:val="20"/>
        </w:rPr>
        <w:t>Planeación en México</w:t>
      </w:r>
      <w:r>
        <w:rPr>
          <w:color w:val="231F20"/>
          <w:sz w:val="20"/>
        </w:rPr>
        <w:t>, tomo 23, FCE, México.</w:t>
      </w:r>
    </w:p>
    <w:p>
      <w:pPr>
        <w:spacing w:line="210" w:lineRule="exact" w:before="113"/>
        <w:ind w:left="122" w:right="115" w:firstLine="0"/>
        <w:jc w:val="both"/>
        <w:rPr>
          <w:sz w:val="20"/>
        </w:rPr>
      </w:pPr>
      <w:r>
        <w:rPr>
          <w:color w:val="231F20"/>
          <w:sz w:val="20"/>
        </w:rPr>
        <w:t>MARIÑEZ </w:t>
      </w:r>
      <w:r>
        <w:rPr>
          <w:color w:val="231F20"/>
          <w:spacing w:val="-8"/>
          <w:sz w:val="20"/>
        </w:rPr>
        <w:t>NAVARRO, </w:t>
      </w:r>
      <w:r>
        <w:rPr>
          <w:color w:val="231F20"/>
          <w:spacing w:val="-3"/>
          <w:sz w:val="20"/>
        </w:rPr>
        <w:t>Freddy, </w:t>
      </w:r>
      <w:r>
        <w:rPr>
          <w:color w:val="231F20"/>
          <w:sz w:val="20"/>
        </w:rPr>
        <w:t>2003, </w:t>
      </w:r>
      <w:r>
        <w:rPr>
          <w:i/>
          <w:color w:val="231F20"/>
          <w:sz w:val="20"/>
        </w:rPr>
        <w:t>De Progresa a Contigo: ¿Una nueva ges- </w:t>
      </w:r>
      <w:r>
        <w:rPr>
          <w:i/>
          <w:color w:val="231F20"/>
          <w:sz w:val="20"/>
        </w:rPr>
        <w:t>tión</w:t>
      </w:r>
      <w:r>
        <w:rPr>
          <w:i/>
          <w:color w:val="231F20"/>
          <w:spacing w:val="-6"/>
          <w:sz w:val="20"/>
        </w:rPr>
        <w:t> </w:t>
      </w:r>
      <w:r>
        <w:rPr>
          <w:i/>
          <w:color w:val="231F20"/>
          <w:sz w:val="20"/>
        </w:rPr>
        <w:t>pública</w:t>
      </w:r>
      <w:r>
        <w:rPr>
          <w:i/>
          <w:color w:val="231F20"/>
          <w:spacing w:val="-6"/>
          <w:sz w:val="20"/>
        </w:rPr>
        <w:t> </w:t>
      </w:r>
      <w:r>
        <w:rPr>
          <w:i/>
          <w:color w:val="231F20"/>
          <w:sz w:val="20"/>
        </w:rPr>
        <w:t>de</w:t>
      </w:r>
      <w:r>
        <w:rPr>
          <w:i/>
          <w:color w:val="231F20"/>
          <w:spacing w:val="-6"/>
          <w:sz w:val="20"/>
        </w:rPr>
        <w:t> </w:t>
      </w:r>
      <w:r>
        <w:rPr>
          <w:i/>
          <w:color w:val="231F20"/>
          <w:sz w:val="20"/>
        </w:rPr>
        <w:t>lo</w:t>
      </w:r>
      <w:r>
        <w:rPr>
          <w:i/>
          <w:color w:val="231F20"/>
          <w:spacing w:val="-6"/>
          <w:sz w:val="20"/>
        </w:rPr>
        <w:t> </w:t>
      </w:r>
      <w:r>
        <w:rPr>
          <w:i/>
          <w:color w:val="231F20"/>
          <w:sz w:val="20"/>
        </w:rPr>
        <w:t>social?</w:t>
      </w:r>
      <w:r>
        <w:rPr>
          <w:color w:val="231F20"/>
          <w:sz w:val="20"/>
        </w:rPr>
        <w:t>,</w:t>
      </w:r>
      <w:r>
        <w:rPr>
          <w:color w:val="231F20"/>
          <w:spacing w:val="-6"/>
          <w:sz w:val="20"/>
        </w:rPr>
        <w:t> </w:t>
      </w:r>
      <w:r>
        <w:rPr>
          <w:color w:val="231F20"/>
          <w:sz w:val="20"/>
        </w:rPr>
        <w:t>en</w:t>
      </w:r>
      <w:r>
        <w:rPr>
          <w:color w:val="231F20"/>
          <w:spacing w:val="-6"/>
          <w:sz w:val="20"/>
        </w:rPr>
        <w:t> </w:t>
      </w:r>
      <w:r>
        <w:rPr>
          <w:color w:val="231F20"/>
          <w:sz w:val="20"/>
        </w:rPr>
        <w:t>Memoria</w:t>
      </w:r>
      <w:r>
        <w:rPr>
          <w:color w:val="231F20"/>
          <w:spacing w:val="-9"/>
          <w:sz w:val="20"/>
        </w:rPr>
        <w:t> </w:t>
      </w:r>
      <w:r>
        <w:rPr>
          <w:color w:val="231F20"/>
          <w:sz w:val="20"/>
        </w:rPr>
        <w:t>VII</w:t>
      </w:r>
      <w:r>
        <w:rPr>
          <w:color w:val="231F20"/>
          <w:spacing w:val="-6"/>
          <w:sz w:val="20"/>
        </w:rPr>
        <w:t> </w:t>
      </w:r>
      <w:r>
        <w:rPr>
          <w:color w:val="231F20"/>
          <w:sz w:val="20"/>
        </w:rPr>
        <w:t>Congreso</w:t>
      </w:r>
      <w:r>
        <w:rPr>
          <w:color w:val="231F20"/>
          <w:spacing w:val="-6"/>
          <w:sz w:val="20"/>
        </w:rPr>
        <w:t> </w:t>
      </w:r>
      <w:r>
        <w:rPr>
          <w:color w:val="231F20"/>
          <w:sz w:val="20"/>
        </w:rPr>
        <w:t>Internacional</w:t>
      </w:r>
      <w:r>
        <w:rPr>
          <w:color w:val="231F20"/>
          <w:spacing w:val="-6"/>
          <w:sz w:val="20"/>
        </w:rPr>
        <w:t> </w:t>
      </w:r>
      <w:r>
        <w:rPr>
          <w:color w:val="231F20"/>
          <w:sz w:val="20"/>
        </w:rPr>
        <w:t>del</w:t>
      </w:r>
      <w:r>
        <w:rPr>
          <w:color w:val="231F20"/>
          <w:spacing w:val="-6"/>
          <w:sz w:val="20"/>
        </w:rPr>
        <w:t> </w:t>
      </w:r>
      <w:r>
        <w:rPr>
          <w:color w:val="231F20"/>
          <w:sz w:val="20"/>
        </w:rPr>
        <w:t>Clad</w:t>
      </w:r>
      <w:r>
        <w:rPr>
          <w:color w:val="231F20"/>
          <w:spacing w:val="-6"/>
          <w:sz w:val="20"/>
        </w:rPr>
        <w:t> </w:t>
      </w:r>
      <w:r>
        <w:rPr>
          <w:color w:val="231F20"/>
          <w:sz w:val="20"/>
        </w:rPr>
        <w:t>sobre la reforma del Estado y de la administración pública, Lisboa, octubre de 2002, Memoria, Caracas,</w:t>
      </w:r>
      <w:r>
        <w:rPr>
          <w:color w:val="231F20"/>
          <w:spacing w:val="-4"/>
          <w:sz w:val="20"/>
        </w:rPr>
        <w:t> </w:t>
      </w:r>
      <w:r>
        <w:rPr>
          <w:color w:val="231F20"/>
          <w:spacing w:val="-3"/>
          <w:sz w:val="20"/>
        </w:rPr>
        <w:t>Venezuela.</w:t>
      </w:r>
    </w:p>
    <w:p>
      <w:pPr>
        <w:spacing w:line="210" w:lineRule="exact" w:before="113"/>
        <w:ind w:left="122" w:right="115" w:firstLine="0"/>
        <w:jc w:val="both"/>
        <w:rPr>
          <w:sz w:val="20"/>
        </w:rPr>
      </w:pPr>
      <w:r>
        <w:rPr>
          <w:color w:val="231F20"/>
          <w:sz w:val="20"/>
        </w:rPr>
        <w:t>ONTIVEROS RUÍZ, G, 2005, </w:t>
      </w:r>
      <w:r>
        <w:rPr>
          <w:i/>
          <w:color w:val="231F20"/>
          <w:sz w:val="20"/>
        </w:rPr>
        <w:t>La política social en México 1988– 1994: el Pro- </w:t>
      </w:r>
      <w:r>
        <w:rPr>
          <w:i/>
          <w:color w:val="231F20"/>
          <w:sz w:val="20"/>
        </w:rPr>
        <w:t>grama</w:t>
      </w:r>
      <w:r>
        <w:rPr>
          <w:i/>
          <w:color w:val="231F20"/>
          <w:spacing w:val="-12"/>
          <w:sz w:val="20"/>
        </w:rPr>
        <w:t> </w:t>
      </w:r>
      <w:r>
        <w:rPr>
          <w:i/>
          <w:color w:val="231F20"/>
          <w:sz w:val="20"/>
        </w:rPr>
        <w:t>Nacional</w:t>
      </w:r>
      <w:r>
        <w:rPr>
          <w:i/>
          <w:color w:val="231F20"/>
          <w:spacing w:val="-12"/>
          <w:sz w:val="20"/>
        </w:rPr>
        <w:t> </w:t>
      </w:r>
      <w:r>
        <w:rPr>
          <w:i/>
          <w:color w:val="231F20"/>
          <w:sz w:val="20"/>
        </w:rPr>
        <w:t>de</w:t>
      </w:r>
      <w:r>
        <w:rPr>
          <w:i/>
          <w:color w:val="231F20"/>
          <w:spacing w:val="-11"/>
          <w:sz w:val="20"/>
        </w:rPr>
        <w:t> </w:t>
      </w:r>
      <w:r>
        <w:rPr>
          <w:i/>
          <w:color w:val="231F20"/>
          <w:sz w:val="20"/>
        </w:rPr>
        <w:t>Solidaridad</w:t>
      </w:r>
      <w:r>
        <w:rPr>
          <w:color w:val="231F20"/>
          <w:sz w:val="20"/>
        </w:rPr>
        <w:t>,</w:t>
      </w:r>
      <w:r>
        <w:rPr>
          <w:color w:val="231F20"/>
          <w:spacing w:val="-11"/>
          <w:sz w:val="20"/>
        </w:rPr>
        <w:t> </w:t>
      </w:r>
      <w:r>
        <w:rPr>
          <w:color w:val="231F20"/>
          <w:sz w:val="20"/>
        </w:rPr>
        <w:t>en</w:t>
      </w:r>
      <w:r>
        <w:rPr>
          <w:color w:val="231F20"/>
          <w:spacing w:val="-11"/>
          <w:sz w:val="20"/>
        </w:rPr>
        <w:t> </w:t>
      </w:r>
      <w:hyperlink r:id="rId179">
        <w:r>
          <w:rPr>
            <w:color w:val="231F20"/>
            <w:sz w:val="20"/>
          </w:rPr>
          <w:t>www.eumed.net/libros/</w:t>
        </w:r>
      </w:hyperlink>
      <w:r>
        <w:rPr>
          <w:color w:val="231F20"/>
          <w:spacing w:val="-12"/>
          <w:sz w:val="20"/>
        </w:rPr>
        <w:t> </w:t>
      </w:r>
      <w:r>
        <w:rPr>
          <w:color w:val="231F20"/>
          <w:sz w:val="20"/>
        </w:rPr>
        <w:t>2005/</w:t>
      </w:r>
      <w:r>
        <w:rPr>
          <w:color w:val="231F20"/>
          <w:spacing w:val="-11"/>
          <w:sz w:val="20"/>
        </w:rPr>
        <w:t> </w:t>
      </w:r>
      <w:r>
        <w:rPr>
          <w:color w:val="231F20"/>
          <w:sz w:val="20"/>
        </w:rPr>
        <w:t>gor/,</w:t>
      </w:r>
      <w:r>
        <w:rPr>
          <w:color w:val="231F20"/>
          <w:spacing w:val="-11"/>
          <w:sz w:val="20"/>
        </w:rPr>
        <w:t> </w:t>
      </w:r>
      <w:r>
        <w:rPr>
          <w:color w:val="231F20"/>
          <w:sz w:val="20"/>
        </w:rPr>
        <w:t>consultado el 8 de octubre de 2012</w:t>
      </w:r>
    </w:p>
    <w:p>
      <w:pPr>
        <w:spacing w:before="159"/>
        <w:ind w:left="122" w:right="0" w:firstLine="0"/>
        <w:jc w:val="both"/>
        <w:rPr>
          <w:i/>
          <w:sz w:val="22"/>
        </w:rPr>
      </w:pPr>
      <w:r>
        <w:rPr>
          <w:i/>
          <w:color w:val="231F20"/>
          <w:sz w:val="22"/>
        </w:rPr>
        <w:t>Mayra Patricia Pérez-Román</w:t>
      </w:r>
    </w:p>
    <w:p>
      <w:pPr>
        <w:pStyle w:val="BodyText"/>
        <w:spacing w:before="2"/>
        <w:rPr>
          <w:i/>
          <w:sz w:val="23"/>
        </w:rPr>
      </w:pPr>
    </w:p>
    <w:p>
      <w:pPr>
        <w:spacing w:line="247" w:lineRule="auto" w:before="0"/>
        <w:ind w:left="122" w:right="109" w:firstLine="0"/>
        <w:jc w:val="both"/>
        <w:rPr>
          <w:sz w:val="22"/>
        </w:rPr>
      </w:pPr>
      <w:r>
        <w:rPr>
          <w:color w:val="231F20"/>
          <w:sz w:val="22"/>
        </w:rPr>
        <w:t>Maestra</w:t>
      </w:r>
      <w:r>
        <w:rPr>
          <w:color w:val="231F20"/>
          <w:spacing w:val="-11"/>
          <w:sz w:val="22"/>
        </w:rPr>
        <w:t> </w:t>
      </w:r>
      <w:r>
        <w:rPr>
          <w:color w:val="231F20"/>
          <w:sz w:val="22"/>
        </w:rPr>
        <w:t>en</w:t>
      </w:r>
      <w:r>
        <w:rPr>
          <w:color w:val="231F20"/>
          <w:spacing w:val="-11"/>
          <w:sz w:val="22"/>
        </w:rPr>
        <w:t> </w:t>
      </w:r>
      <w:r>
        <w:rPr>
          <w:color w:val="231F20"/>
          <w:sz w:val="22"/>
        </w:rPr>
        <w:t>Gobierno</w:t>
      </w:r>
      <w:r>
        <w:rPr>
          <w:color w:val="231F20"/>
          <w:spacing w:val="-11"/>
          <w:sz w:val="22"/>
        </w:rPr>
        <w:t> </w:t>
      </w:r>
      <w:r>
        <w:rPr>
          <w:color w:val="231F20"/>
          <w:sz w:val="22"/>
        </w:rPr>
        <w:t>y</w:t>
      </w:r>
      <w:r>
        <w:rPr>
          <w:color w:val="231F20"/>
          <w:spacing w:val="-22"/>
          <w:sz w:val="22"/>
        </w:rPr>
        <w:t> </w:t>
      </w:r>
      <w:r>
        <w:rPr>
          <w:color w:val="231F20"/>
          <w:sz w:val="22"/>
        </w:rPr>
        <w:t>Asuntos</w:t>
      </w:r>
      <w:r>
        <w:rPr>
          <w:color w:val="231F20"/>
          <w:spacing w:val="-11"/>
          <w:sz w:val="22"/>
        </w:rPr>
        <w:t> </w:t>
      </w:r>
      <w:r>
        <w:rPr>
          <w:color w:val="231F20"/>
          <w:sz w:val="22"/>
        </w:rPr>
        <w:t>Públicos</w:t>
      </w:r>
      <w:r>
        <w:rPr>
          <w:color w:val="231F20"/>
          <w:spacing w:val="-11"/>
          <w:sz w:val="22"/>
        </w:rPr>
        <w:t> </w:t>
      </w:r>
      <w:r>
        <w:rPr>
          <w:color w:val="231F20"/>
          <w:sz w:val="22"/>
        </w:rPr>
        <w:t>por</w:t>
      </w:r>
      <w:r>
        <w:rPr>
          <w:color w:val="231F20"/>
          <w:spacing w:val="-11"/>
          <w:sz w:val="22"/>
        </w:rPr>
        <w:t> </w:t>
      </w:r>
      <w:r>
        <w:rPr>
          <w:color w:val="231F20"/>
          <w:sz w:val="22"/>
        </w:rPr>
        <w:t>la</w:t>
      </w:r>
      <w:r>
        <w:rPr>
          <w:color w:val="231F20"/>
          <w:spacing w:val="-11"/>
          <w:sz w:val="22"/>
        </w:rPr>
        <w:t> </w:t>
      </w:r>
      <w:r>
        <w:rPr>
          <w:color w:val="231F20"/>
          <w:sz w:val="22"/>
        </w:rPr>
        <w:t>Universidad</w:t>
      </w:r>
      <w:r>
        <w:rPr>
          <w:color w:val="231F20"/>
          <w:spacing w:val="-22"/>
          <w:sz w:val="22"/>
        </w:rPr>
        <w:t> </w:t>
      </w:r>
      <w:r>
        <w:rPr>
          <w:color w:val="231F20"/>
          <w:sz w:val="22"/>
        </w:rPr>
        <w:t>Autónoma</w:t>
      </w:r>
      <w:r>
        <w:rPr>
          <w:color w:val="231F20"/>
          <w:spacing w:val="-11"/>
          <w:sz w:val="22"/>
        </w:rPr>
        <w:t> </w:t>
      </w:r>
      <w:r>
        <w:rPr>
          <w:color w:val="231F20"/>
          <w:sz w:val="22"/>
        </w:rPr>
        <w:t>del Estado de México. Es profesora de asignatura en el Centro Universitario UAEM-Texcoco, donde imparte las Unidades de Aprendizaje: Planeación y Economía mexicana, en el marco de la Licenciatura en Ciencias Políti- cas</w:t>
      </w:r>
      <w:r>
        <w:rPr>
          <w:color w:val="231F20"/>
          <w:spacing w:val="-5"/>
          <w:sz w:val="22"/>
        </w:rPr>
        <w:t> </w:t>
      </w:r>
      <w:r>
        <w:rPr>
          <w:color w:val="231F20"/>
          <w:sz w:val="22"/>
        </w:rPr>
        <w:t>y</w:t>
      </w:r>
      <w:r>
        <w:rPr>
          <w:color w:val="231F20"/>
          <w:spacing w:val="-17"/>
          <w:sz w:val="22"/>
        </w:rPr>
        <w:t> </w:t>
      </w:r>
      <w:r>
        <w:rPr>
          <w:color w:val="231F20"/>
          <w:sz w:val="22"/>
        </w:rPr>
        <w:t>Administración</w:t>
      </w:r>
      <w:r>
        <w:rPr>
          <w:color w:val="231F20"/>
          <w:spacing w:val="-4"/>
          <w:sz w:val="22"/>
        </w:rPr>
        <w:t> </w:t>
      </w:r>
      <w:r>
        <w:rPr>
          <w:color w:val="231F20"/>
          <w:sz w:val="22"/>
        </w:rPr>
        <w:t>Pública.</w:t>
      </w:r>
      <w:r>
        <w:rPr>
          <w:color w:val="231F20"/>
          <w:spacing w:val="-4"/>
          <w:sz w:val="22"/>
        </w:rPr>
        <w:t> </w:t>
      </w:r>
      <w:r>
        <w:rPr>
          <w:color w:val="231F20"/>
          <w:sz w:val="22"/>
        </w:rPr>
        <w:t>Entre</w:t>
      </w:r>
      <w:r>
        <w:rPr>
          <w:color w:val="231F20"/>
          <w:spacing w:val="-5"/>
          <w:sz w:val="22"/>
        </w:rPr>
        <w:t> </w:t>
      </w:r>
      <w:r>
        <w:rPr>
          <w:color w:val="231F20"/>
          <w:sz w:val="22"/>
        </w:rPr>
        <w:t>sus</w:t>
      </w:r>
      <w:r>
        <w:rPr>
          <w:color w:val="231F20"/>
          <w:spacing w:val="-4"/>
          <w:sz w:val="22"/>
        </w:rPr>
        <w:t> </w:t>
      </w:r>
      <w:r>
        <w:rPr>
          <w:color w:val="231F20"/>
          <w:sz w:val="22"/>
        </w:rPr>
        <w:t>publicaciones</w:t>
      </w:r>
      <w:r>
        <w:rPr>
          <w:color w:val="231F20"/>
          <w:spacing w:val="-4"/>
          <w:sz w:val="22"/>
        </w:rPr>
        <w:t> </w:t>
      </w:r>
      <w:r>
        <w:rPr>
          <w:color w:val="231F20"/>
          <w:sz w:val="22"/>
        </w:rPr>
        <w:t>recientes</w:t>
      </w:r>
      <w:r>
        <w:rPr>
          <w:color w:val="231F20"/>
          <w:spacing w:val="-5"/>
          <w:sz w:val="22"/>
        </w:rPr>
        <w:t> </w:t>
      </w:r>
      <w:r>
        <w:rPr>
          <w:color w:val="231F20"/>
          <w:sz w:val="22"/>
        </w:rPr>
        <w:t>en</w:t>
      </w:r>
      <w:r>
        <w:rPr>
          <w:color w:val="231F20"/>
          <w:spacing w:val="-4"/>
          <w:sz w:val="22"/>
        </w:rPr>
        <w:t> </w:t>
      </w:r>
      <w:r>
        <w:rPr>
          <w:color w:val="231F20"/>
          <w:sz w:val="22"/>
        </w:rPr>
        <w:t>memo- ria de congresos destacan </w:t>
      </w:r>
      <w:r>
        <w:rPr>
          <w:i/>
          <w:color w:val="231F20"/>
          <w:sz w:val="22"/>
        </w:rPr>
        <w:t>Federalismo y descentralización. Una sinergia </w:t>
      </w:r>
      <w:r>
        <w:rPr>
          <w:i/>
          <w:color w:val="231F20"/>
          <w:sz w:val="22"/>
        </w:rPr>
        <w:t>necesaria para el impulso de los gobiernos locales </w:t>
      </w:r>
      <w:r>
        <w:rPr>
          <w:color w:val="231F20"/>
          <w:sz w:val="22"/>
        </w:rPr>
        <w:t>y </w:t>
      </w:r>
      <w:r>
        <w:rPr>
          <w:i/>
          <w:color w:val="231F20"/>
          <w:sz w:val="22"/>
        </w:rPr>
        <w:t>Recursos federales </w:t>
      </w:r>
      <w:r>
        <w:rPr>
          <w:i/>
          <w:color w:val="231F20"/>
          <w:sz w:val="22"/>
        </w:rPr>
        <w:t>transferidos a municipios mediante el ramo 33 y su asociación en la ge- neración de políticas sociales </w:t>
      </w:r>
      <w:r>
        <w:rPr>
          <w:color w:val="231F20"/>
          <w:sz w:val="22"/>
        </w:rPr>
        <w:t>(coautora) ambas publicadas en 2012 por  la Universidad de Sonora y “Crecimiento de la mancha urbana y zonas metropolitanas”</w:t>
      </w:r>
      <w:r>
        <w:rPr>
          <w:color w:val="231F20"/>
          <w:spacing w:val="-9"/>
          <w:sz w:val="22"/>
        </w:rPr>
        <w:t> </w:t>
      </w:r>
      <w:r>
        <w:rPr>
          <w:color w:val="231F20"/>
          <w:sz w:val="22"/>
        </w:rPr>
        <w:t>en</w:t>
      </w:r>
      <w:r>
        <w:rPr>
          <w:color w:val="231F20"/>
          <w:spacing w:val="-8"/>
          <w:sz w:val="22"/>
        </w:rPr>
        <w:t> </w:t>
      </w:r>
      <w:r>
        <w:rPr>
          <w:i/>
          <w:color w:val="231F20"/>
          <w:sz w:val="22"/>
        </w:rPr>
        <w:t>Revistas</w:t>
      </w:r>
      <w:r>
        <w:rPr>
          <w:i/>
          <w:color w:val="231F20"/>
          <w:spacing w:val="-8"/>
          <w:sz w:val="22"/>
        </w:rPr>
        <w:t> </w:t>
      </w:r>
      <w:r>
        <w:rPr>
          <w:i/>
          <w:color w:val="231F20"/>
          <w:sz w:val="22"/>
        </w:rPr>
        <w:t>Prospectiva</w:t>
      </w:r>
      <w:r>
        <w:rPr>
          <w:i/>
          <w:color w:val="231F20"/>
          <w:spacing w:val="-8"/>
          <w:sz w:val="22"/>
        </w:rPr>
        <w:t> </w:t>
      </w:r>
      <w:r>
        <w:rPr>
          <w:i/>
          <w:color w:val="231F20"/>
          <w:sz w:val="22"/>
        </w:rPr>
        <w:t>Metropolitana</w:t>
      </w:r>
      <w:r>
        <w:rPr>
          <w:i/>
          <w:color w:val="231F20"/>
          <w:spacing w:val="-8"/>
          <w:sz w:val="22"/>
        </w:rPr>
        <w:t> </w:t>
      </w:r>
      <w:r>
        <w:rPr>
          <w:color w:val="231F20"/>
          <w:sz w:val="22"/>
        </w:rPr>
        <w:t>de</w:t>
      </w:r>
      <w:r>
        <w:rPr>
          <w:color w:val="231F20"/>
          <w:spacing w:val="-8"/>
          <w:sz w:val="22"/>
        </w:rPr>
        <w:t> </w:t>
      </w:r>
      <w:r>
        <w:rPr>
          <w:color w:val="231F20"/>
          <w:sz w:val="22"/>
        </w:rPr>
        <w:t>la</w:t>
      </w:r>
      <w:r>
        <w:rPr>
          <w:color w:val="231F20"/>
          <w:spacing w:val="-8"/>
          <w:sz w:val="22"/>
        </w:rPr>
        <w:t> </w:t>
      </w:r>
      <w:r>
        <w:rPr>
          <w:color w:val="231F20"/>
          <w:sz w:val="22"/>
        </w:rPr>
        <w:t>Secretaría</w:t>
      </w:r>
      <w:r>
        <w:rPr>
          <w:color w:val="231F20"/>
          <w:spacing w:val="-7"/>
          <w:sz w:val="22"/>
        </w:rPr>
        <w:t> </w:t>
      </w:r>
      <w:r>
        <w:rPr>
          <w:color w:val="231F20"/>
          <w:sz w:val="22"/>
        </w:rPr>
        <w:t>de Desarrollo Metropolitano,</w:t>
      </w:r>
      <w:r>
        <w:rPr>
          <w:color w:val="231F20"/>
          <w:spacing w:val="-21"/>
          <w:sz w:val="22"/>
        </w:rPr>
        <w:t> </w:t>
      </w:r>
      <w:r>
        <w:rPr>
          <w:color w:val="231F20"/>
          <w:sz w:val="22"/>
        </w:rPr>
        <w:t>2013.</w:t>
      </w:r>
    </w:p>
    <w:p>
      <w:pPr>
        <w:pStyle w:val="BodyText"/>
        <w:spacing w:before="6"/>
      </w:pPr>
    </w:p>
    <w:p>
      <w:pPr>
        <w:pStyle w:val="BodyText"/>
        <w:ind w:left="122"/>
        <w:jc w:val="both"/>
      </w:pPr>
      <w:r>
        <w:rPr>
          <w:color w:val="231F20"/>
        </w:rPr>
        <w:t>Correo electrónico: </w:t>
      </w:r>
      <w:hyperlink r:id="rId180">
        <w:r>
          <w:rPr>
            <w:color w:val="231F20"/>
          </w:rPr>
          <w:t>darckmoon_sm@hotmail.com</w:t>
        </w:r>
      </w:hyperlink>
    </w:p>
    <w:p>
      <w:pPr>
        <w:pStyle w:val="BodyText"/>
        <w:spacing w:before="2"/>
        <w:rPr>
          <w:sz w:val="23"/>
        </w:rPr>
      </w:pPr>
    </w:p>
    <w:p>
      <w:pPr>
        <w:spacing w:before="0"/>
        <w:ind w:left="122" w:right="0" w:firstLine="0"/>
        <w:jc w:val="both"/>
        <w:rPr>
          <w:i/>
          <w:sz w:val="22"/>
        </w:rPr>
      </w:pPr>
      <w:r>
        <w:rPr>
          <w:i/>
          <w:color w:val="231F20"/>
          <w:sz w:val="22"/>
        </w:rPr>
        <w:t>Alejandra Velázquez-Romero</w:t>
      </w:r>
    </w:p>
    <w:p>
      <w:pPr>
        <w:pStyle w:val="BodyText"/>
        <w:spacing w:before="2"/>
        <w:rPr>
          <w:i/>
          <w:sz w:val="23"/>
        </w:rPr>
      </w:pPr>
    </w:p>
    <w:p>
      <w:pPr>
        <w:spacing w:line="247" w:lineRule="auto" w:before="0"/>
        <w:ind w:left="122" w:right="109" w:firstLine="0"/>
        <w:jc w:val="both"/>
        <w:rPr>
          <w:sz w:val="22"/>
        </w:rPr>
      </w:pPr>
      <w:r>
        <w:rPr>
          <w:color w:val="231F20"/>
          <w:sz w:val="22"/>
        </w:rPr>
        <w:t>Tiene</w:t>
      </w:r>
      <w:r>
        <w:rPr>
          <w:color w:val="231F20"/>
          <w:spacing w:val="-7"/>
          <w:sz w:val="22"/>
        </w:rPr>
        <w:t> </w:t>
      </w:r>
      <w:r>
        <w:rPr>
          <w:color w:val="231F20"/>
          <w:sz w:val="22"/>
        </w:rPr>
        <w:t>estudios</w:t>
      </w:r>
      <w:r>
        <w:rPr>
          <w:color w:val="231F20"/>
          <w:spacing w:val="-7"/>
          <w:sz w:val="22"/>
        </w:rPr>
        <w:t> </w:t>
      </w:r>
      <w:r>
        <w:rPr>
          <w:color w:val="231F20"/>
          <w:sz w:val="22"/>
        </w:rPr>
        <w:t>de</w:t>
      </w:r>
      <w:r>
        <w:rPr>
          <w:color w:val="231F20"/>
          <w:spacing w:val="-7"/>
          <w:sz w:val="22"/>
        </w:rPr>
        <w:t> </w:t>
      </w:r>
      <w:r>
        <w:rPr>
          <w:color w:val="231F20"/>
          <w:sz w:val="22"/>
        </w:rPr>
        <w:t>Maestría</w:t>
      </w:r>
      <w:r>
        <w:rPr>
          <w:color w:val="231F20"/>
          <w:spacing w:val="-6"/>
          <w:sz w:val="22"/>
        </w:rPr>
        <w:t> </w:t>
      </w:r>
      <w:r>
        <w:rPr>
          <w:color w:val="231F20"/>
          <w:sz w:val="22"/>
        </w:rPr>
        <w:t>en</w:t>
      </w:r>
      <w:r>
        <w:rPr>
          <w:color w:val="231F20"/>
          <w:spacing w:val="-7"/>
          <w:sz w:val="22"/>
        </w:rPr>
        <w:t> </w:t>
      </w:r>
      <w:r>
        <w:rPr>
          <w:color w:val="231F20"/>
          <w:sz w:val="22"/>
        </w:rPr>
        <w:t>Gobierno</w:t>
      </w:r>
      <w:r>
        <w:rPr>
          <w:color w:val="231F20"/>
          <w:spacing w:val="-6"/>
          <w:sz w:val="22"/>
        </w:rPr>
        <w:t> </w:t>
      </w:r>
      <w:r>
        <w:rPr>
          <w:color w:val="231F20"/>
          <w:sz w:val="22"/>
        </w:rPr>
        <w:t>y</w:t>
      </w:r>
      <w:r>
        <w:rPr>
          <w:color w:val="231F20"/>
          <w:spacing w:val="-18"/>
          <w:sz w:val="22"/>
        </w:rPr>
        <w:t> </w:t>
      </w:r>
      <w:r>
        <w:rPr>
          <w:color w:val="231F20"/>
          <w:sz w:val="22"/>
        </w:rPr>
        <w:t>Asuntos</w:t>
      </w:r>
      <w:r>
        <w:rPr>
          <w:color w:val="231F20"/>
          <w:spacing w:val="-6"/>
          <w:sz w:val="22"/>
        </w:rPr>
        <w:t> </w:t>
      </w:r>
      <w:r>
        <w:rPr>
          <w:color w:val="231F20"/>
          <w:sz w:val="22"/>
        </w:rPr>
        <w:t>Públicos</w:t>
      </w:r>
      <w:r>
        <w:rPr>
          <w:color w:val="231F20"/>
          <w:spacing w:val="-6"/>
          <w:sz w:val="22"/>
        </w:rPr>
        <w:t> </w:t>
      </w:r>
      <w:r>
        <w:rPr>
          <w:color w:val="231F20"/>
          <w:sz w:val="22"/>
        </w:rPr>
        <w:t>por</w:t>
      </w:r>
      <w:r>
        <w:rPr>
          <w:color w:val="231F20"/>
          <w:spacing w:val="-7"/>
          <w:sz w:val="22"/>
        </w:rPr>
        <w:t> </w:t>
      </w:r>
      <w:r>
        <w:rPr>
          <w:color w:val="231F20"/>
          <w:sz w:val="22"/>
        </w:rPr>
        <w:t>la</w:t>
      </w:r>
      <w:r>
        <w:rPr>
          <w:color w:val="231F20"/>
          <w:spacing w:val="-7"/>
          <w:sz w:val="22"/>
        </w:rPr>
        <w:t> </w:t>
      </w:r>
      <w:r>
        <w:rPr>
          <w:color w:val="231F20"/>
          <w:sz w:val="22"/>
        </w:rPr>
        <w:t>Univer- sidad</w:t>
      </w:r>
      <w:r>
        <w:rPr>
          <w:color w:val="231F20"/>
          <w:spacing w:val="-16"/>
          <w:sz w:val="22"/>
        </w:rPr>
        <w:t> </w:t>
      </w:r>
      <w:r>
        <w:rPr>
          <w:color w:val="231F20"/>
          <w:sz w:val="22"/>
        </w:rPr>
        <w:t>Autónoma</w:t>
      </w:r>
      <w:r>
        <w:rPr>
          <w:color w:val="231F20"/>
          <w:spacing w:val="-3"/>
          <w:sz w:val="22"/>
        </w:rPr>
        <w:t> </w:t>
      </w:r>
      <w:r>
        <w:rPr>
          <w:color w:val="231F20"/>
          <w:sz w:val="22"/>
        </w:rPr>
        <w:t>del</w:t>
      </w:r>
      <w:r>
        <w:rPr>
          <w:color w:val="231F20"/>
          <w:spacing w:val="-4"/>
          <w:sz w:val="22"/>
        </w:rPr>
        <w:t> </w:t>
      </w:r>
      <w:r>
        <w:rPr>
          <w:color w:val="231F20"/>
          <w:sz w:val="22"/>
        </w:rPr>
        <w:t>Estado</w:t>
      </w:r>
      <w:r>
        <w:rPr>
          <w:color w:val="231F20"/>
          <w:spacing w:val="-4"/>
          <w:sz w:val="22"/>
        </w:rPr>
        <w:t> </w:t>
      </w:r>
      <w:r>
        <w:rPr>
          <w:color w:val="231F20"/>
          <w:sz w:val="22"/>
        </w:rPr>
        <w:t>de</w:t>
      </w:r>
      <w:r>
        <w:rPr>
          <w:color w:val="231F20"/>
          <w:spacing w:val="-4"/>
          <w:sz w:val="22"/>
        </w:rPr>
        <w:t> </w:t>
      </w:r>
      <w:r>
        <w:rPr>
          <w:color w:val="231F20"/>
          <w:sz w:val="22"/>
        </w:rPr>
        <w:t>México.</w:t>
      </w:r>
      <w:r>
        <w:rPr>
          <w:color w:val="231F20"/>
          <w:spacing w:val="-3"/>
          <w:sz w:val="22"/>
        </w:rPr>
        <w:t> </w:t>
      </w:r>
      <w:r>
        <w:rPr>
          <w:color w:val="231F20"/>
          <w:sz w:val="22"/>
        </w:rPr>
        <w:t>Entre</w:t>
      </w:r>
      <w:r>
        <w:rPr>
          <w:color w:val="231F20"/>
          <w:spacing w:val="-4"/>
          <w:sz w:val="22"/>
        </w:rPr>
        <w:t> </w:t>
      </w:r>
      <w:r>
        <w:rPr>
          <w:color w:val="231F20"/>
          <w:sz w:val="22"/>
        </w:rPr>
        <w:t>sus</w:t>
      </w:r>
      <w:r>
        <w:rPr>
          <w:color w:val="231F20"/>
          <w:spacing w:val="-4"/>
          <w:sz w:val="22"/>
        </w:rPr>
        <w:t> </w:t>
      </w:r>
      <w:r>
        <w:rPr>
          <w:color w:val="231F20"/>
          <w:sz w:val="22"/>
        </w:rPr>
        <w:t>publicaciones</w:t>
      </w:r>
      <w:r>
        <w:rPr>
          <w:color w:val="231F20"/>
          <w:spacing w:val="-4"/>
          <w:sz w:val="22"/>
        </w:rPr>
        <w:t> </w:t>
      </w:r>
      <w:r>
        <w:rPr>
          <w:color w:val="231F20"/>
          <w:sz w:val="22"/>
        </w:rPr>
        <w:t>en</w:t>
      </w:r>
      <w:r>
        <w:rPr>
          <w:color w:val="231F20"/>
          <w:spacing w:val="-4"/>
          <w:sz w:val="22"/>
        </w:rPr>
        <w:t> </w:t>
      </w:r>
      <w:r>
        <w:rPr>
          <w:color w:val="231F20"/>
          <w:sz w:val="22"/>
        </w:rPr>
        <w:t>memo- ria de congresos destacan: </w:t>
      </w:r>
      <w:r>
        <w:rPr>
          <w:i/>
          <w:color w:val="231F20"/>
          <w:sz w:val="22"/>
        </w:rPr>
        <w:t>La modernización administrativa en el ámbito </w:t>
      </w:r>
      <w:r>
        <w:rPr>
          <w:i/>
          <w:color w:val="231F20"/>
          <w:sz w:val="22"/>
        </w:rPr>
        <w:t>municipal </w:t>
      </w:r>
      <w:r>
        <w:rPr>
          <w:color w:val="231F20"/>
          <w:sz w:val="22"/>
        </w:rPr>
        <w:t>(coautora); </w:t>
      </w:r>
      <w:r>
        <w:rPr>
          <w:i/>
          <w:color w:val="231F20"/>
          <w:sz w:val="22"/>
        </w:rPr>
        <w:t>Recursos federales transferidos a municipios me- </w:t>
      </w:r>
      <w:r>
        <w:rPr>
          <w:i/>
          <w:color w:val="231F20"/>
          <w:sz w:val="22"/>
        </w:rPr>
        <w:t>diante el ramo 33 y su asociación en la generación de políticas sociales </w:t>
      </w:r>
      <w:r>
        <w:rPr>
          <w:color w:val="231F20"/>
          <w:sz w:val="22"/>
        </w:rPr>
        <w:t>(coautora);</w:t>
      </w:r>
      <w:r>
        <w:rPr>
          <w:color w:val="231F20"/>
          <w:spacing w:val="-6"/>
          <w:sz w:val="22"/>
        </w:rPr>
        <w:t> </w:t>
      </w:r>
      <w:r>
        <w:rPr>
          <w:i/>
          <w:color w:val="231F20"/>
          <w:sz w:val="22"/>
        </w:rPr>
        <w:t>La</w:t>
      </w:r>
      <w:r>
        <w:rPr>
          <w:i/>
          <w:color w:val="231F20"/>
          <w:spacing w:val="-6"/>
          <w:sz w:val="22"/>
        </w:rPr>
        <w:t> </w:t>
      </w:r>
      <w:r>
        <w:rPr>
          <w:i/>
          <w:color w:val="231F20"/>
          <w:sz w:val="22"/>
        </w:rPr>
        <w:t>planeación</w:t>
      </w:r>
      <w:r>
        <w:rPr>
          <w:i/>
          <w:color w:val="231F20"/>
          <w:spacing w:val="-6"/>
          <w:sz w:val="22"/>
        </w:rPr>
        <w:t> </w:t>
      </w:r>
      <w:r>
        <w:rPr>
          <w:i/>
          <w:color w:val="231F20"/>
          <w:sz w:val="22"/>
        </w:rPr>
        <w:t>del</w:t>
      </w:r>
      <w:r>
        <w:rPr>
          <w:i/>
          <w:color w:val="231F20"/>
          <w:spacing w:val="-6"/>
          <w:sz w:val="22"/>
        </w:rPr>
        <w:t> </w:t>
      </w:r>
      <w:r>
        <w:rPr>
          <w:i/>
          <w:color w:val="231F20"/>
          <w:sz w:val="22"/>
        </w:rPr>
        <w:t>desarrollo</w:t>
      </w:r>
      <w:r>
        <w:rPr>
          <w:i/>
          <w:color w:val="231F20"/>
          <w:spacing w:val="-6"/>
          <w:sz w:val="22"/>
        </w:rPr>
        <w:t> </w:t>
      </w:r>
      <w:r>
        <w:rPr>
          <w:i/>
          <w:color w:val="231F20"/>
          <w:sz w:val="22"/>
        </w:rPr>
        <w:t>municipal</w:t>
      </w:r>
      <w:r>
        <w:rPr>
          <w:i/>
          <w:color w:val="231F20"/>
          <w:spacing w:val="-6"/>
          <w:sz w:val="22"/>
        </w:rPr>
        <w:t> </w:t>
      </w:r>
      <w:r>
        <w:rPr>
          <w:i/>
          <w:color w:val="231F20"/>
          <w:sz w:val="22"/>
        </w:rPr>
        <w:t>en</w:t>
      </w:r>
      <w:r>
        <w:rPr>
          <w:i/>
          <w:color w:val="231F20"/>
          <w:spacing w:val="-6"/>
          <w:sz w:val="22"/>
        </w:rPr>
        <w:t> </w:t>
      </w:r>
      <w:r>
        <w:rPr>
          <w:i/>
          <w:color w:val="231F20"/>
          <w:sz w:val="22"/>
        </w:rPr>
        <w:t>el</w:t>
      </w:r>
      <w:r>
        <w:rPr>
          <w:i/>
          <w:color w:val="231F20"/>
          <w:spacing w:val="-6"/>
          <w:sz w:val="22"/>
        </w:rPr>
        <w:t> </w:t>
      </w:r>
      <w:r>
        <w:rPr>
          <w:i/>
          <w:color w:val="231F20"/>
          <w:spacing w:val="-3"/>
          <w:sz w:val="22"/>
        </w:rPr>
        <w:t>marco</w:t>
      </w:r>
      <w:r>
        <w:rPr>
          <w:i/>
          <w:color w:val="231F20"/>
          <w:spacing w:val="-6"/>
          <w:sz w:val="22"/>
        </w:rPr>
        <w:t> </w:t>
      </w:r>
      <w:r>
        <w:rPr>
          <w:i/>
          <w:color w:val="231F20"/>
          <w:sz w:val="22"/>
        </w:rPr>
        <w:t>normativo </w:t>
      </w:r>
      <w:r>
        <w:rPr>
          <w:i/>
          <w:color w:val="231F20"/>
          <w:sz w:val="22"/>
        </w:rPr>
        <w:t>de las fianzas públicas: caso Chimalhuacán, Estado de México </w:t>
      </w:r>
      <w:r>
        <w:rPr>
          <w:color w:val="231F20"/>
          <w:sz w:val="22"/>
        </w:rPr>
        <w:t>(coautora) todas publicadas en 2012 por la Universidad de</w:t>
      </w:r>
      <w:r>
        <w:rPr>
          <w:color w:val="231F20"/>
          <w:spacing w:val="-19"/>
          <w:sz w:val="22"/>
        </w:rPr>
        <w:t> </w:t>
      </w:r>
      <w:r>
        <w:rPr>
          <w:color w:val="231F20"/>
          <w:sz w:val="22"/>
        </w:rPr>
        <w:t>Sonora.</w:t>
      </w:r>
    </w:p>
    <w:p>
      <w:pPr>
        <w:pStyle w:val="BodyText"/>
        <w:spacing w:before="6"/>
      </w:pPr>
    </w:p>
    <w:p>
      <w:pPr>
        <w:pStyle w:val="BodyText"/>
        <w:ind w:left="122"/>
        <w:jc w:val="both"/>
      </w:pPr>
      <w:r>
        <w:rPr>
          <w:color w:val="231F20"/>
        </w:rPr>
        <w:t>Correo electrónico: </w:t>
      </w:r>
      <w:hyperlink r:id="rId181">
        <w:r>
          <w:rPr>
            <w:color w:val="231F20"/>
          </w:rPr>
          <w:t>najalita_103@yahoo.com.mx</w:t>
        </w:r>
      </w:hyperlink>
    </w:p>
    <w:p>
      <w:pPr>
        <w:spacing w:after="0"/>
        <w:jc w:val="both"/>
        <w:sectPr>
          <w:pgSz w:w="9360" w:h="13040"/>
          <w:pgMar w:header="0" w:footer="496" w:top="800" w:bottom="680" w:left="1300" w:right="1300"/>
        </w:sectPr>
      </w:pPr>
    </w:p>
    <w:p>
      <w:pPr>
        <w:pStyle w:val="BodyText"/>
        <w:ind w:left="103"/>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ind w:left="1138" w:right="1037" w:firstLine="235"/>
      </w:pPr>
      <w:r>
        <w:rPr/>
        <w:pict>
          <v:shape style="position:absolute;margin-left:57.165001pt;margin-top:-44.926628pt;width:353.4pt;height:43.5pt;mso-position-horizontal-relative:page;mso-position-vertical-relative:paragraph;z-index:-638344" type="#_x0000_t202" filled="false" stroked="false">
            <v:textbox inset="0,0,0,0">
              <w:txbxContent>
                <w:p>
                  <w:pPr>
                    <w:pStyle w:val="BodyText"/>
                    <w:rPr>
                      <w:sz w:val="20"/>
                    </w:rPr>
                  </w:pPr>
                </w:p>
                <w:p>
                  <w:pPr>
                    <w:spacing w:before="159"/>
                    <w:ind w:left="363" w:right="0" w:firstLine="0"/>
                    <w:jc w:val="left"/>
                    <w:rPr>
                      <w:rFonts w:ascii="Arial" w:hAnsi="Arial"/>
                      <w:sz w:val="20"/>
                    </w:rPr>
                  </w:pPr>
                  <w:r>
                    <w:rPr>
                      <w:rFonts w:ascii="Arial" w:hAnsi="Arial"/>
                      <w:color w:val="231F20"/>
                      <w:w w:val="70"/>
                      <w:sz w:val="20"/>
                    </w:rPr>
                    <w:t>Redes    migratorias y políticas públicas de la migración internacional guerrerense /Artemio López-Ríos</w:t>
                  </w:r>
                </w:p>
              </w:txbxContent>
            </v:textbox>
            <w10:wrap type="none"/>
          </v:shape>
        </w:pict>
      </w:r>
      <w:r>
        <w:rPr>
          <w:color w:val="231F20"/>
          <w:w w:val="75"/>
        </w:rPr>
        <w:t>Redes migratorias y políticas públicas </w:t>
      </w:r>
      <w:r>
        <w:rPr>
          <w:color w:val="231F20"/>
          <w:w w:val="70"/>
        </w:rPr>
        <w:t>de la migración internacional guerrerense</w:t>
      </w:r>
    </w:p>
    <w:p>
      <w:pPr>
        <w:pStyle w:val="BodyText"/>
        <w:spacing w:before="1"/>
        <w:rPr>
          <w:b/>
          <w:sz w:val="24"/>
        </w:rPr>
      </w:pPr>
    </w:p>
    <w:p>
      <w:pPr>
        <w:pStyle w:val="Heading2"/>
        <w:ind w:left="2399" w:right="1063"/>
      </w:pPr>
      <w:r>
        <w:rPr>
          <w:color w:val="231F20"/>
        </w:rPr>
        <w:t>Artemio López-Ríos</w:t>
      </w:r>
    </w:p>
    <w:p>
      <w:pPr>
        <w:pStyle w:val="BodyText"/>
        <w:spacing w:before="1"/>
      </w:pPr>
    </w:p>
    <w:p>
      <w:pPr>
        <w:spacing w:before="72"/>
        <w:ind w:left="1670" w:right="1063" w:firstLine="0"/>
        <w:jc w:val="left"/>
        <w:rPr>
          <w:i/>
          <w:sz w:val="22"/>
        </w:rPr>
      </w:pPr>
      <w:r>
        <w:rPr>
          <w:i/>
          <w:color w:val="231F20"/>
          <w:sz w:val="22"/>
        </w:rPr>
        <w:t>Universidad Autónoma de Guerrero, México</w:t>
      </w:r>
    </w:p>
    <w:p>
      <w:pPr>
        <w:pStyle w:val="BodyText"/>
        <w:rPr>
          <w:i/>
          <w:sz w:val="20"/>
        </w:rPr>
      </w:pPr>
    </w:p>
    <w:p>
      <w:pPr>
        <w:pStyle w:val="BodyText"/>
        <w:spacing w:before="8"/>
        <w:rPr>
          <w:i/>
        </w:rPr>
      </w:pPr>
    </w:p>
    <w:p>
      <w:pPr>
        <w:pStyle w:val="Heading3"/>
        <w:spacing w:before="69"/>
        <w:ind w:left="377" w:right="1063"/>
        <w:jc w:val="left"/>
      </w:pPr>
      <w:r>
        <w:rPr>
          <w:color w:val="231F20"/>
        </w:rPr>
        <w:t>El contexto de la migración internacional</w:t>
      </w:r>
    </w:p>
    <w:p>
      <w:pPr>
        <w:pStyle w:val="BodyText"/>
        <w:rPr>
          <w:b/>
          <w:sz w:val="20"/>
        </w:rPr>
      </w:pPr>
    </w:p>
    <w:p>
      <w:pPr>
        <w:pStyle w:val="BodyText"/>
        <w:spacing w:before="2"/>
        <w:rPr>
          <w:b/>
          <w:sz w:val="27"/>
        </w:rPr>
      </w:pPr>
    </w:p>
    <w:p>
      <w:pPr>
        <w:pStyle w:val="BodyText"/>
        <w:spacing w:line="247" w:lineRule="auto" w:before="188"/>
        <w:ind w:left="1256" w:right="375"/>
        <w:jc w:val="both"/>
      </w:pPr>
      <w:r>
        <w:rPr/>
        <w:pict>
          <v:shape style="position:absolute;margin-left:70.866096pt;margin-top:5.034074pt;width:33.6pt;height:55pt;mso-position-horizontal-relative:page;mso-position-vertical-relative:paragraph;z-index:-638320" type="#_x0000_t202" filled="false" stroked="false">
            <v:textbox inset="0,0,0,0">
              <w:txbxContent>
                <w:p>
                  <w:pPr>
                    <w:spacing w:line="1100" w:lineRule="exact" w:before="0"/>
                    <w:ind w:left="0" w:right="0" w:firstLine="0"/>
                    <w:jc w:val="left"/>
                    <w:rPr>
                      <w:b/>
                      <w:sz w:val="110"/>
                    </w:rPr>
                  </w:pPr>
                  <w:r>
                    <w:rPr>
                      <w:b/>
                      <w:color w:val="231F20"/>
                      <w:sz w:val="110"/>
                    </w:rPr>
                    <w:t>P</w:t>
                  </w:r>
                </w:p>
              </w:txbxContent>
            </v:textbox>
            <w10:wrap type="none"/>
          </v:shape>
        </w:pict>
      </w:r>
      <w:r>
        <w:rPr>
          <w:color w:val="231F20"/>
        </w:rPr>
        <w:t>or la cantidad de migrantes que se han desplazado hacia los Es- tados Unidos de Norteamérica, la migración internacional de mexicanos</w:t>
      </w:r>
      <w:r>
        <w:rPr>
          <w:color w:val="231F20"/>
          <w:spacing w:val="-9"/>
        </w:rPr>
        <w:t> </w:t>
      </w:r>
      <w:r>
        <w:rPr>
          <w:color w:val="231F20"/>
        </w:rPr>
        <w:t>se</w:t>
      </w:r>
      <w:r>
        <w:rPr>
          <w:color w:val="231F20"/>
          <w:spacing w:val="-8"/>
        </w:rPr>
        <w:t> </w:t>
      </w:r>
      <w:r>
        <w:rPr>
          <w:color w:val="231F20"/>
        </w:rPr>
        <w:t>ha</w:t>
      </w:r>
      <w:r>
        <w:rPr>
          <w:color w:val="231F20"/>
          <w:spacing w:val="-8"/>
        </w:rPr>
        <w:t> </w:t>
      </w:r>
      <w:r>
        <w:rPr>
          <w:color w:val="231F20"/>
        </w:rPr>
        <w:t>convertido</w:t>
      </w:r>
      <w:r>
        <w:rPr>
          <w:color w:val="231F20"/>
          <w:spacing w:val="-9"/>
        </w:rPr>
        <w:t> </w:t>
      </w:r>
      <w:r>
        <w:rPr>
          <w:color w:val="231F20"/>
        </w:rPr>
        <w:t>en</w:t>
      </w:r>
      <w:r>
        <w:rPr>
          <w:color w:val="231F20"/>
          <w:spacing w:val="-8"/>
        </w:rPr>
        <w:t> </w:t>
      </w:r>
      <w:r>
        <w:rPr>
          <w:color w:val="231F20"/>
        </w:rPr>
        <w:t>un</w:t>
      </w:r>
      <w:r>
        <w:rPr>
          <w:color w:val="231F20"/>
          <w:spacing w:val="-8"/>
        </w:rPr>
        <w:t> </w:t>
      </w:r>
      <w:r>
        <w:rPr>
          <w:color w:val="231F20"/>
        </w:rPr>
        <w:t>fenómeno</w:t>
      </w:r>
      <w:r>
        <w:rPr>
          <w:color w:val="231F20"/>
          <w:spacing w:val="-8"/>
        </w:rPr>
        <w:t> </w:t>
      </w:r>
      <w:r>
        <w:rPr>
          <w:color w:val="231F20"/>
        </w:rPr>
        <w:t>caracterizado</w:t>
      </w:r>
      <w:r>
        <w:rPr>
          <w:color w:val="231F20"/>
          <w:spacing w:val="-9"/>
        </w:rPr>
        <w:t> </w:t>
      </w:r>
      <w:r>
        <w:rPr>
          <w:color w:val="231F20"/>
        </w:rPr>
        <w:t>por</w:t>
      </w:r>
      <w:r>
        <w:rPr>
          <w:color w:val="231F20"/>
          <w:spacing w:val="-8"/>
        </w:rPr>
        <w:t> </w:t>
      </w:r>
      <w:r>
        <w:rPr>
          <w:color w:val="231F20"/>
        </w:rPr>
        <w:t>la</w:t>
      </w:r>
    </w:p>
    <w:p>
      <w:pPr>
        <w:pStyle w:val="BodyText"/>
        <w:spacing w:line="247" w:lineRule="auto"/>
        <w:ind w:left="377" w:right="375"/>
        <w:jc w:val="both"/>
      </w:pPr>
      <w:r>
        <w:rPr>
          <w:color w:val="231F20"/>
        </w:rPr>
        <w:t>masividad</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flujos</w:t>
      </w:r>
      <w:r>
        <w:rPr>
          <w:color w:val="231F20"/>
          <w:spacing w:val="-11"/>
        </w:rPr>
        <w:t> </w:t>
      </w:r>
      <w:r>
        <w:rPr>
          <w:color w:val="231F20"/>
        </w:rPr>
        <w:t>de</w:t>
      </w:r>
      <w:r>
        <w:rPr>
          <w:color w:val="231F20"/>
          <w:spacing w:val="-11"/>
        </w:rPr>
        <w:t> </w:t>
      </w:r>
      <w:r>
        <w:rPr>
          <w:color w:val="231F20"/>
        </w:rPr>
        <w:t>salida.</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últimas</w:t>
      </w:r>
      <w:r>
        <w:rPr>
          <w:color w:val="231F20"/>
          <w:spacing w:val="-11"/>
        </w:rPr>
        <w:t> </w:t>
      </w:r>
      <w:r>
        <w:rPr>
          <w:color w:val="231F20"/>
        </w:rPr>
        <w:t>dos</w:t>
      </w:r>
      <w:r>
        <w:rPr>
          <w:color w:val="231F20"/>
          <w:spacing w:val="-11"/>
        </w:rPr>
        <w:t> </w:t>
      </w:r>
      <w:r>
        <w:rPr>
          <w:color w:val="231F20"/>
        </w:rPr>
        <w:t>décadas</w:t>
      </w:r>
      <w:r>
        <w:rPr>
          <w:color w:val="231F20"/>
          <w:spacing w:val="-11"/>
        </w:rPr>
        <w:t> </w:t>
      </w:r>
      <w:r>
        <w:rPr>
          <w:color w:val="231F20"/>
        </w:rPr>
        <w:t>del</w:t>
      </w:r>
      <w:r>
        <w:rPr>
          <w:color w:val="231F20"/>
          <w:spacing w:val="-11"/>
        </w:rPr>
        <w:t> </w:t>
      </w:r>
      <w:r>
        <w:rPr>
          <w:color w:val="231F20"/>
        </w:rPr>
        <w:t>siglo</w:t>
      </w:r>
      <w:r>
        <w:rPr>
          <w:color w:val="231F20"/>
          <w:spacing w:val="-11"/>
        </w:rPr>
        <w:t> </w:t>
      </w:r>
      <w:r>
        <w:rPr>
          <w:color w:val="231F20"/>
        </w:rPr>
        <w:t>pasa- do, el fenómeno migratorio modificó el territorio nacional, tanto en zonas tradicionales de la ruralidad mexicana como en los entornos de variados espacios</w:t>
      </w:r>
      <w:r>
        <w:rPr>
          <w:color w:val="231F20"/>
          <w:spacing w:val="-1"/>
        </w:rPr>
        <w:t> </w:t>
      </w:r>
      <w:r>
        <w:rPr>
          <w:color w:val="231F20"/>
        </w:rPr>
        <w:t>urbanos.</w:t>
      </w:r>
    </w:p>
    <w:p>
      <w:pPr>
        <w:pStyle w:val="BodyText"/>
        <w:spacing w:line="247" w:lineRule="auto"/>
        <w:ind w:left="377" w:right="374" w:firstLine="283"/>
        <w:jc w:val="both"/>
      </w:pPr>
      <w:r>
        <w:rPr>
          <w:color w:val="231F20"/>
        </w:rPr>
        <w:t>Los niveles alcanzados por los desplazamientos migratorios han sido significativos, a pesar de su desaceleración determinada por los efectos  de la recesión en Estados Unidos en 2009. En tal sentido, la recesión eco- nómica y la creciente militarización de la frontera se convierten en ins- trumentos relativamente eficaces para reducir la entrada de mexicanos a Estados</w:t>
      </w:r>
      <w:r>
        <w:rPr>
          <w:color w:val="231F20"/>
          <w:spacing w:val="-9"/>
        </w:rPr>
        <w:t> </w:t>
      </w:r>
      <w:r>
        <w:rPr>
          <w:color w:val="231F20"/>
        </w:rPr>
        <w:t>Unidos.</w:t>
      </w:r>
      <w:r>
        <w:rPr>
          <w:color w:val="231F20"/>
          <w:spacing w:val="-20"/>
        </w:rPr>
        <w:t> </w:t>
      </w:r>
      <w:r>
        <w:rPr>
          <w:color w:val="231F20"/>
        </w:rPr>
        <w:t>Además,</w:t>
      </w:r>
      <w:r>
        <w:rPr>
          <w:color w:val="231F20"/>
          <w:spacing w:val="-8"/>
        </w:rPr>
        <w:t> </w:t>
      </w:r>
      <w:r>
        <w:rPr>
          <w:color w:val="231F20"/>
        </w:rPr>
        <w:t>en</w:t>
      </w:r>
      <w:r>
        <w:rPr>
          <w:color w:val="231F20"/>
          <w:spacing w:val="-9"/>
        </w:rPr>
        <w:t> </w:t>
      </w:r>
      <w:r>
        <w:rPr>
          <w:color w:val="231F20"/>
        </w:rPr>
        <w:t>opinión</w:t>
      </w:r>
      <w:r>
        <w:rPr>
          <w:color w:val="231F20"/>
          <w:spacing w:val="-9"/>
        </w:rPr>
        <w:t> </w:t>
      </w:r>
      <w:r>
        <w:rPr>
          <w:color w:val="231F20"/>
        </w:rPr>
        <w:t>de</w:t>
      </w:r>
      <w:r>
        <w:rPr>
          <w:color w:val="231F20"/>
          <w:spacing w:val="-21"/>
        </w:rPr>
        <w:t> </w:t>
      </w:r>
      <w:r>
        <w:rPr>
          <w:color w:val="231F20"/>
        </w:rPr>
        <w:t>Arroyo</w:t>
      </w:r>
      <w:r>
        <w:rPr>
          <w:color w:val="231F20"/>
          <w:spacing w:val="-8"/>
        </w:rPr>
        <w:t> </w:t>
      </w:r>
      <w:r>
        <w:rPr>
          <w:color w:val="231F20"/>
        </w:rPr>
        <w:t>(2010),</w:t>
      </w:r>
      <w:r>
        <w:rPr>
          <w:color w:val="231F20"/>
          <w:spacing w:val="-9"/>
        </w:rPr>
        <w:t> </w:t>
      </w:r>
      <w:r>
        <w:rPr>
          <w:color w:val="231F20"/>
        </w:rPr>
        <w:t>la</w:t>
      </w:r>
      <w:r>
        <w:rPr>
          <w:color w:val="231F20"/>
          <w:spacing w:val="-9"/>
        </w:rPr>
        <w:t> </w:t>
      </w:r>
      <w:r>
        <w:rPr>
          <w:color w:val="231F20"/>
        </w:rPr>
        <w:t>reducción</w:t>
      </w:r>
      <w:r>
        <w:rPr>
          <w:color w:val="231F20"/>
          <w:spacing w:val="-8"/>
        </w:rPr>
        <w:t> </w:t>
      </w:r>
      <w:r>
        <w:rPr>
          <w:color w:val="231F20"/>
        </w:rPr>
        <w:t>de</w:t>
      </w:r>
      <w:r>
        <w:rPr>
          <w:color w:val="231F20"/>
          <w:spacing w:val="-9"/>
        </w:rPr>
        <w:t> </w:t>
      </w:r>
      <w:r>
        <w:rPr>
          <w:color w:val="231F20"/>
        </w:rPr>
        <w:t>los flujos</w:t>
      </w:r>
      <w:r>
        <w:rPr>
          <w:color w:val="231F20"/>
          <w:spacing w:val="-6"/>
        </w:rPr>
        <w:t> </w:t>
      </w:r>
      <w:r>
        <w:rPr>
          <w:color w:val="231F20"/>
        </w:rPr>
        <w:t>migratorios</w:t>
      </w:r>
      <w:r>
        <w:rPr>
          <w:color w:val="231F20"/>
          <w:spacing w:val="-6"/>
        </w:rPr>
        <w:t> </w:t>
      </w:r>
      <w:r>
        <w:rPr>
          <w:color w:val="231F20"/>
        </w:rPr>
        <w:t>probablemente</w:t>
      </w:r>
      <w:r>
        <w:rPr>
          <w:color w:val="231F20"/>
          <w:spacing w:val="-6"/>
        </w:rPr>
        <w:t> </w:t>
      </w:r>
      <w:r>
        <w:rPr>
          <w:color w:val="231F20"/>
        </w:rPr>
        <w:t>se</w:t>
      </w:r>
      <w:r>
        <w:rPr>
          <w:color w:val="231F20"/>
          <w:spacing w:val="-6"/>
        </w:rPr>
        <w:t> </w:t>
      </w:r>
      <w:r>
        <w:rPr>
          <w:color w:val="231F20"/>
        </w:rPr>
        <w:t>explica</w:t>
      </w:r>
      <w:r>
        <w:rPr>
          <w:color w:val="231F20"/>
          <w:spacing w:val="-7"/>
        </w:rPr>
        <w:t> </w:t>
      </w:r>
      <w:r>
        <w:rPr>
          <w:color w:val="231F20"/>
        </w:rPr>
        <w:t>por</w:t>
      </w:r>
      <w:r>
        <w:rPr>
          <w:color w:val="231F20"/>
          <w:spacing w:val="-6"/>
        </w:rPr>
        <w:t> </w:t>
      </w:r>
      <w:r>
        <w:rPr>
          <w:color w:val="231F20"/>
        </w:rPr>
        <w:t>el</w:t>
      </w:r>
      <w:r>
        <w:rPr>
          <w:color w:val="231F20"/>
          <w:spacing w:val="-6"/>
        </w:rPr>
        <w:t> </w:t>
      </w:r>
      <w:r>
        <w:rPr>
          <w:color w:val="231F20"/>
        </w:rPr>
        <w:t>agotamiento</w:t>
      </w:r>
      <w:r>
        <w:rPr>
          <w:color w:val="231F20"/>
          <w:spacing w:val="-6"/>
        </w:rPr>
        <w:t> </w:t>
      </w:r>
      <w:r>
        <w:rPr>
          <w:color w:val="231F20"/>
        </w:rPr>
        <w:t>del</w:t>
      </w:r>
      <w:r>
        <w:rPr>
          <w:color w:val="231F20"/>
          <w:spacing w:val="-6"/>
        </w:rPr>
        <w:t> </w:t>
      </w:r>
      <w:r>
        <w:rPr>
          <w:color w:val="231F20"/>
        </w:rPr>
        <w:t>umbral de capacidad laboral ofertada por los sectores empleadores en rubros don- de la mano de obra mexicana tiende a concentrarse</w:t>
      </w:r>
      <w:r>
        <w:rPr>
          <w:color w:val="231F20"/>
          <w:spacing w:val="-4"/>
        </w:rPr>
        <w:t> </w:t>
      </w:r>
      <w:r>
        <w:rPr>
          <w:color w:val="231F20"/>
        </w:rPr>
        <w:t>mayoritariamente.</w:t>
      </w:r>
    </w:p>
    <w:p>
      <w:pPr>
        <w:pStyle w:val="BodyText"/>
        <w:spacing w:line="247" w:lineRule="auto"/>
        <w:ind w:left="377" w:right="374" w:firstLine="283"/>
        <w:jc w:val="both"/>
      </w:pPr>
      <w:r>
        <w:rPr>
          <w:color w:val="231F20"/>
        </w:rPr>
        <w:t>En el ámbito económico es tal la presencia de mexicanos en Estados Unidos que, hoy día, el nivel de participación de la mano de obra de mi- grantes</w:t>
      </w:r>
      <w:r>
        <w:rPr>
          <w:color w:val="231F20"/>
          <w:spacing w:val="-10"/>
        </w:rPr>
        <w:t> </w:t>
      </w:r>
      <w:r>
        <w:rPr>
          <w:color w:val="231F20"/>
        </w:rPr>
        <w:t>mexicanos</w:t>
      </w:r>
      <w:r>
        <w:rPr>
          <w:color w:val="231F20"/>
          <w:spacing w:val="-10"/>
        </w:rPr>
        <w:t> </w:t>
      </w:r>
      <w:r>
        <w:rPr>
          <w:color w:val="231F20"/>
        </w:rPr>
        <w:t>aporta</w:t>
      </w:r>
      <w:r>
        <w:rPr>
          <w:color w:val="231F20"/>
          <w:spacing w:val="-10"/>
        </w:rPr>
        <w:t> </w:t>
      </w:r>
      <w:r>
        <w:rPr>
          <w:color w:val="231F20"/>
        </w:rPr>
        <w:t>considerablemente</w:t>
      </w:r>
      <w:r>
        <w:rPr>
          <w:color w:val="231F20"/>
          <w:spacing w:val="-11"/>
        </w:rPr>
        <w:t> </w:t>
      </w:r>
      <w:r>
        <w:rPr>
          <w:color w:val="231F20"/>
        </w:rPr>
        <w:t>en</w:t>
      </w:r>
      <w:r>
        <w:rPr>
          <w:color w:val="231F20"/>
          <w:spacing w:val="-10"/>
        </w:rPr>
        <w:t> </w:t>
      </w:r>
      <w:r>
        <w:rPr>
          <w:color w:val="231F20"/>
        </w:rPr>
        <w:t>la</w:t>
      </w:r>
      <w:r>
        <w:rPr>
          <w:color w:val="231F20"/>
          <w:spacing w:val="-10"/>
        </w:rPr>
        <w:t> </w:t>
      </w:r>
      <w:r>
        <w:rPr>
          <w:color w:val="231F20"/>
        </w:rPr>
        <w:t>consolidación</w:t>
      </w:r>
      <w:r>
        <w:rPr>
          <w:color w:val="231F20"/>
          <w:spacing w:val="-11"/>
        </w:rPr>
        <w:t> </w:t>
      </w:r>
      <w:r>
        <w:rPr>
          <w:color w:val="231F20"/>
        </w:rPr>
        <w:t>económi- ca de varios estados, destacando indudablemente el estado de California. </w:t>
      </w:r>
      <w:r>
        <w:rPr>
          <w:color w:val="231F20"/>
          <w:spacing w:val="-15"/>
        </w:rPr>
        <w:t>Y,</w:t>
      </w:r>
      <w:r>
        <w:rPr>
          <w:color w:val="231F20"/>
          <w:spacing w:val="-8"/>
        </w:rPr>
        <w:t> </w:t>
      </w:r>
      <w:r>
        <w:rPr>
          <w:color w:val="231F20"/>
        </w:rPr>
        <w:t>curiosamente,</w:t>
      </w:r>
      <w:r>
        <w:rPr>
          <w:color w:val="231F20"/>
          <w:spacing w:val="-9"/>
        </w:rPr>
        <w:t> </w:t>
      </w:r>
      <w:r>
        <w:rPr>
          <w:color w:val="231F20"/>
        </w:rPr>
        <w:t>es</w:t>
      </w:r>
      <w:r>
        <w:rPr>
          <w:color w:val="231F20"/>
          <w:spacing w:val="-8"/>
        </w:rPr>
        <w:t> </w:t>
      </w:r>
      <w:r>
        <w:rPr>
          <w:color w:val="231F20"/>
        </w:rPr>
        <w:t>en</w:t>
      </w:r>
      <w:r>
        <w:rPr>
          <w:color w:val="231F20"/>
          <w:spacing w:val="-8"/>
        </w:rPr>
        <w:t> </w:t>
      </w:r>
      <w:r>
        <w:rPr>
          <w:color w:val="231F20"/>
        </w:rPr>
        <w:t>California</w:t>
      </w:r>
      <w:r>
        <w:rPr>
          <w:color w:val="231F20"/>
          <w:spacing w:val="-8"/>
        </w:rPr>
        <w:t> </w:t>
      </w:r>
      <w:r>
        <w:rPr>
          <w:color w:val="231F20"/>
        </w:rPr>
        <w:t>donde</w:t>
      </w:r>
      <w:r>
        <w:rPr>
          <w:color w:val="231F20"/>
          <w:spacing w:val="-8"/>
        </w:rPr>
        <w:t> </w:t>
      </w:r>
      <w:r>
        <w:rPr>
          <w:color w:val="231F20"/>
        </w:rPr>
        <w:t>se</w:t>
      </w:r>
      <w:r>
        <w:rPr>
          <w:color w:val="231F20"/>
          <w:spacing w:val="-8"/>
        </w:rPr>
        <w:t> </w:t>
      </w:r>
      <w:r>
        <w:rPr>
          <w:color w:val="231F20"/>
        </w:rPr>
        <w:t>concentra</w:t>
      </w:r>
      <w:r>
        <w:rPr>
          <w:color w:val="231F20"/>
          <w:spacing w:val="-9"/>
        </w:rPr>
        <w:t> </w:t>
      </w:r>
      <w:r>
        <w:rPr>
          <w:color w:val="231F20"/>
        </w:rPr>
        <w:t>importante</w:t>
      </w:r>
      <w:r>
        <w:rPr>
          <w:color w:val="231F20"/>
          <w:spacing w:val="-9"/>
        </w:rPr>
        <w:t> </w:t>
      </w:r>
      <w:r>
        <w:rPr>
          <w:color w:val="231F20"/>
        </w:rPr>
        <w:t>población de mexicanos habilitados en actividades diversas, fuertemente concentra- dos en el sector agrícola</w:t>
      </w:r>
      <w:r>
        <w:rPr>
          <w:color w:val="231F20"/>
          <w:spacing w:val="-38"/>
        </w:rPr>
        <w:t> </w:t>
      </w:r>
      <w:r>
        <w:rPr>
          <w:color w:val="231F20"/>
        </w:rPr>
        <w:t>empero, a su vez, es uno de los más dinámicos en el aporte de recursos financieros, infraestructura y recursos humanos. </w:t>
      </w:r>
      <w:r>
        <w:rPr>
          <w:color w:val="231F20"/>
          <w:spacing w:val="-6"/>
        </w:rPr>
        <w:t>Tal </w:t>
      </w:r>
      <w:r>
        <w:rPr>
          <w:color w:val="231F20"/>
        </w:rPr>
        <w:t>realidad no implica dejar de reconocer el aporte de técnicos e  </w:t>
      </w:r>
      <w:r>
        <w:rPr>
          <w:color w:val="231F20"/>
          <w:spacing w:val="43"/>
        </w:rPr>
        <w:t> </w:t>
      </w:r>
      <w:r>
        <w:rPr>
          <w:color w:val="231F20"/>
        </w:rPr>
        <w:t>ingenieros</w:t>
      </w:r>
    </w:p>
    <w:p>
      <w:pPr>
        <w:spacing w:after="0" w:line="247" w:lineRule="auto"/>
        <w:jc w:val="both"/>
        <w:sectPr>
          <w:pgSz w:w="9360" w:h="13040"/>
          <w:pgMar w:header="0" w:footer="496" w:top="400" w:bottom="680" w:left="1040" w:right="104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jc w:val="both"/>
      </w:pPr>
      <w:r>
        <w:rPr>
          <w:color w:val="231F20"/>
        </w:rPr>
        <w:t>migrantes de otros países que imprimen un dinamismo extraordinario a California, tras la contribución que hacen sectores integrados en torno al Silicon Valley (Ohmae, 2005).</w:t>
      </w:r>
    </w:p>
    <w:p>
      <w:pPr>
        <w:pStyle w:val="BodyText"/>
        <w:spacing w:line="247" w:lineRule="auto"/>
        <w:ind w:left="117" w:right="114" w:firstLine="283"/>
        <w:jc w:val="both"/>
      </w:pPr>
      <w:r>
        <w:rPr>
          <w:color w:val="231F20"/>
        </w:rPr>
        <w:t>Mientras tanto, del lado mexicano el sector gubernamental presume el buen manejo de las variables macroeconómicas que han ampliado los es- tándares laborales. Esto es, las estadísticas del crecimiento económico se ven reflejadas en alternativas reales de empleos e ingreso, convertidas así en</w:t>
      </w:r>
      <w:r>
        <w:rPr>
          <w:color w:val="231F20"/>
          <w:spacing w:val="-6"/>
        </w:rPr>
        <w:t> </w:t>
      </w:r>
      <w:r>
        <w:rPr>
          <w:color w:val="231F20"/>
        </w:rPr>
        <w:t>factores</w:t>
      </w:r>
      <w:r>
        <w:rPr>
          <w:color w:val="231F20"/>
          <w:spacing w:val="-6"/>
        </w:rPr>
        <w:t> </w:t>
      </w:r>
      <w:r>
        <w:rPr>
          <w:color w:val="231F20"/>
        </w:rPr>
        <w:t>estabilizadores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dinámica</w:t>
      </w:r>
      <w:r>
        <w:rPr>
          <w:color w:val="231F20"/>
          <w:spacing w:val="-6"/>
        </w:rPr>
        <w:t> </w:t>
      </w:r>
      <w:r>
        <w:rPr>
          <w:color w:val="231F20"/>
        </w:rPr>
        <w:t>económica</w:t>
      </w:r>
      <w:r>
        <w:rPr>
          <w:color w:val="231F20"/>
          <w:spacing w:val="-6"/>
        </w:rPr>
        <w:t> </w:t>
      </w:r>
      <w:r>
        <w:rPr>
          <w:color w:val="231F20"/>
        </w:rPr>
        <w:t>nacional</w:t>
      </w:r>
      <w:r>
        <w:rPr>
          <w:color w:val="231F20"/>
          <w:spacing w:val="-6"/>
        </w:rPr>
        <w:t> </w:t>
      </w:r>
      <w:r>
        <w:rPr>
          <w:color w:val="231F20"/>
          <w:spacing w:val="-8"/>
        </w:rPr>
        <w:t>y,</w:t>
      </w:r>
      <w:r>
        <w:rPr>
          <w:color w:val="231F20"/>
          <w:spacing w:val="-6"/>
        </w:rPr>
        <w:t> </w:t>
      </w:r>
      <w:r>
        <w:rPr>
          <w:color w:val="231F20"/>
        </w:rPr>
        <w:t>por</w:t>
      </w:r>
      <w:r>
        <w:rPr>
          <w:color w:val="231F20"/>
          <w:spacing w:val="-6"/>
        </w:rPr>
        <w:t> </w:t>
      </w:r>
      <w:r>
        <w:rPr>
          <w:color w:val="231F20"/>
        </w:rPr>
        <w:t>tanto, en alternativa que disminuye las presiones de sectores poblacionales pro- clives a emigrar en busca de nuevas</w:t>
      </w:r>
      <w:r>
        <w:rPr>
          <w:color w:val="231F20"/>
          <w:spacing w:val="-3"/>
        </w:rPr>
        <w:t> </w:t>
      </w:r>
      <w:r>
        <w:rPr>
          <w:color w:val="231F20"/>
        </w:rPr>
        <w:t>oportunidades.</w:t>
      </w:r>
    </w:p>
    <w:p>
      <w:pPr>
        <w:pStyle w:val="BodyText"/>
        <w:spacing w:line="247" w:lineRule="auto"/>
        <w:ind w:left="117" w:right="114" w:firstLine="283"/>
        <w:jc w:val="both"/>
      </w:pPr>
      <w:r>
        <w:rPr>
          <w:color w:val="231F20"/>
        </w:rPr>
        <w:t>La migración, en tanto explosión demográfica que invade zonas ex- ternas al territorio nacional, además de ser un factor que permite a los migrantes</w:t>
      </w:r>
      <w:r>
        <w:rPr>
          <w:color w:val="231F20"/>
          <w:spacing w:val="-6"/>
        </w:rPr>
        <w:t> </w:t>
      </w:r>
      <w:r>
        <w:rPr>
          <w:color w:val="231F20"/>
        </w:rPr>
        <w:t>identificar</w:t>
      </w:r>
      <w:r>
        <w:rPr>
          <w:color w:val="231F20"/>
          <w:spacing w:val="-6"/>
        </w:rPr>
        <w:t> </w:t>
      </w:r>
      <w:r>
        <w:rPr>
          <w:color w:val="231F20"/>
        </w:rPr>
        <w:t>opciones</w:t>
      </w:r>
      <w:r>
        <w:rPr>
          <w:color w:val="231F20"/>
          <w:spacing w:val="-6"/>
        </w:rPr>
        <w:t> </w:t>
      </w:r>
      <w:r>
        <w:rPr>
          <w:color w:val="231F20"/>
        </w:rPr>
        <w:t>de</w:t>
      </w:r>
      <w:r>
        <w:rPr>
          <w:color w:val="231F20"/>
          <w:spacing w:val="-6"/>
        </w:rPr>
        <w:t> </w:t>
      </w:r>
      <w:r>
        <w:rPr>
          <w:color w:val="231F20"/>
        </w:rPr>
        <w:t>empleo</w:t>
      </w:r>
      <w:r>
        <w:rPr>
          <w:color w:val="231F20"/>
          <w:spacing w:val="-6"/>
        </w:rPr>
        <w:t> </w:t>
      </w:r>
      <w:r>
        <w:rPr>
          <w:color w:val="231F20"/>
        </w:rPr>
        <w:t>y</w:t>
      </w:r>
      <w:r>
        <w:rPr>
          <w:color w:val="231F20"/>
          <w:spacing w:val="-6"/>
        </w:rPr>
        <w:t> </w:t>
      </w:r>
      <w:r>
        <w:rPr>
          <w:color w:val="231F20"/>
        </w:rPr>
        <w:t>bienestar,</w:t>
      </w:r>
      <w:r>
        <w:rPr>
          <w:color w:val="231F20"/>
          <w:spacing w:val="-6"/>
        </w:rPr>
        <w:t> </w:t>
      </w:r>
      <w:r>
        <w:rPr>
          <w:color w:val="231F20"/>
        </w:rPr>
        <w:t>se</w:t>
      </w:r>
      <w:r>
        <w:rPr>
          <w:color w:val="231F20"/>
          <w:spacing w:val="-6"/>
        </w:rPr>
        <w:t> </w:t>
      </w:r>
      <w:r>
        <w:rPr>
          <w:color w:val="231F20"/>
        </w:rPr>
        <w:t>caracteriza</w:t>
      </w:r>
      <w:r>
        <w:rPr>
          <w:color w:val="231F20"/>
          <w:spacing w:val="-6"/>
        </w:rPr>
        <w:t> </w:t>
      </w:r>
      <w:r>
        <w:rPr>
          <w:color w:val="231F20"/>
        </w:rPr>
        <w:t>por</w:t>
      </w:r>
      <w:r>
        <w:rPr>
          <w:color w:val="231F20"/>
          <w:spacing w:val="-6"/>
        </w:rPr>
        <w:t> </w:t>
      </w:r>
      <w:r>
        <w:rPr>
          <w:color w:val="231F20"/>
        </w:rPr>
        <w:t>un dinamismo tal que los desplazamientos se convierten en factor incidente en la dirección de una variedad de procesos sociales y políticos de cierta consideración.</w:t>
      </w:r>
      <w:r>
        <w:rPr>
          <w:color w:val="231F20"/>
          <w:spacing w:val="-8"/>
        </w:rPr>
        <w:t> </w:t>
      </w:r>
      <w:r>
        <w:rPr>
          <w:color w:val="231F20"/>
        </w:rPr>
        <w:t>Recientemente,</w:t>
      </w:r>
      <w:r>
        <w:rPr>
          <w:color w:val="231F20"/>
          <w:spacing w:val="-7"/>
        </w:rPr>
        <w:t> </w:t>
      </w:r>
      <w:r>
        <w:rPr>
          <w:color w:val="231F20"/>
        </w:rPr>
        <w:t>la</w:t>
      </w:r>
      <w:r>
        <w:rPr>
          <w:color w:val="231F20"/>
          <w:spacing w:val="-7"/>
        </w:rPr>
        <w:t> </w:t>
      </w:r>
      <w:r>
        <w:rPr>
          <w:color w:val="231F20"/>
        </w:rPr>
        <w:t>presencia</w:t>
      </w:r>
      <w:r>
        <w:rPr>
          <w:color w:val="231F20"/>
          <w:spacing w:val="-7"/>
        </w:rPr>
        <w:t> </w:t>
      </w:r>
      <w:r>
        <w:rPr>
          <w:color w:val="231F20"/>
        </w:rPr>
        <w:t>de</w:t>
      </w:r>
      <w:r>
        <w:rPr>
          <w:color w:val="231F20"/>
          <w:spacing w:val="-7"/>
        </w:rPr>
        <w:t> </w:t>
      </w:r>
      <w:r>
        <w:rPr>
          <w:color w:val="231F20"/>
        </w:rPr>
        <w:t>migrantes</w:t>
      </w:r>
      <w:r>
        <w:rPr>
          <w:color w:val="231F20"/>
          <w:spacing w:val="-8"/>
        </w:rPr>
        <w:t> </w:t>
      </w:r>
      <w:r>
        <w:rPr>
          <w:color w:val="231F20"/>
        </w:rPr>
        <w:t>mexicanos</w:t>
      </w:r>
      <w:r>
        <w:rPr>
          <w:color w:val="231F20"/>
          <w:spacing w:val="-8"/>
        </w:rPr>
        <w:t> </w:t>
      </w:r>
      <w:r>
        <w:rPr>
          <w:color w:val="231F20"/>
        </w:rPr>
        <w:t>ha</w:t>
      </w:r>
      <w:r>
        <w:rPr>
          <w:color w:val="231F20"/>
          <w:spacing w:val="-7"/>
        </w:rPr>
        <w:t> </w:t>
      </w:r>
      <w:r>
        <w:rPr>
          <w:color w:val="231F20"/>
        </w:rPr>
        <w:t>de- rivado en canalización de expectativas que rebasan el orden económico. Así, los migrantes dejan de ser vistos en tanto insumo productivo y pau- latinamente el migrante mexicano se visibiliza en el despliegue de otros procesos que trastocan la cotidianidad de espacios y regiones diversas de Estados</w:t>
      </w:r>
      <w:r>
        <w:rPr>
          <w:color w:val="231F20"/>
          <w:spacing w:val="-8"/>
        </w:rPr>
        <w:t> </w:t>
      </w:r>
      <w:r>
        <w:rPr>
          <w:color w:val="231F20"/>
        </w:rPr>
        <w:t>Unidos.</w:t>
      </w:r>
    </w:p>
    <w:p>
      <w:pPr>
        <w:pStyle w:val="BodyText"/>
        <w:spacing w:line="247" w:lineRule="auto"/>
        <w:ind w:left="117" w:right="115" w:firstLine="283"/>
        <w:jc w:val="both"/>
      </w:pPr>
      <w:r>
        <w:rPr>
          <w:color w:val="231F20"/>
        </w:rPr>
        <w:t>La</w:t>
      </w:r>
      <w:r>
        <w:rPr>
          <w:color w:val="231F20"/>
          <w:spacing w:val="-11"/>
        </w:rPr>
        <w:t> </w:t>
      </w:r>
      <w:r>
        <w:rPr>
          <w:color w:val="231F20"/>
        </w:rPr>
        <w:t>presencia</w:t>
      </w:r>
      <w:r>
        <w:rPr>
          <w:color w:val="231F20"/>
          <w:spacing w:val="-11"/>
        </w:rPr>
        <w:t> </w:t>
      </w:r>
      <w:r>
        <w:rPr>
          <w:color w:val="231F20"/>
        </w:rPr>
        <w:t>de</w:t>
      </w:r>
      <w:r>
        <w:rPr>
          <w:color w:val="231F20"/>
          <w:spacing w:val="-11"/>
        </w:rPr>
        <w:t> </w:t>
      </w:r>
      <w:r>
        <w:rPr>
          <w:color w:val="231F20"/>
        </w:rPr>
        <w:t>mexicanos</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latinos</w:t>
      </w:r>
      <w:r>
        <w:rPr>
          <w:color w:val="231F20"/>
          <w:spacing w:val="-11"/>
        </w:rPr>
        <w:t> </w:t>
      </w:r>
      <w:r>
        <w:rPr>
          <w:color w:val="231F20"/>
        </w:rPr>
        <w:t>se</w:t>
      </w:r>
      <w:r>
        <w:rPr>
          <w:color w:val="231F20"/>
          <w:spacing w:val="-11"/>
        </w:rPr>
        <w:t> </w:t>
      </w:r>
      <w:r>
        <w:rPr>
          <w:color w:val="231F20"/>
        </w:rPr>
        <w:t>perfila</w:t>
      </w:r>
      <w:r>
        <w:rPr>
          <w:color w:val="231F20"/>
          <w:spacing w:val="-11"/>
        </w:rPr>
        <w:t> </w:t>
      </w:r>
      <w:r>
        <w:rPr>
          <w:color w:val="231F20"/>
        </w:rPr>
        <w:t>como</w:t>
      </w:r>
      <w:r>
        <w:rPr>
          <w:color w:val="231F20"/>
          <w:spacing w:val="-11"/>
        </w:rPr>
        <w:t> </w:t>
      </w:r>
      <w:r>
        <w:rPr>
          <w:color w:val="231F20"/>
        </w:rPr>
        <w:t>una</w:t>
      </w:r>
      <w:r>
        <w:rPr>
          <w:color w:val="231F20"/>
          <w:spacing w:val="-11"/>
        </w:rPr>
        <w:t> </w:t>
      </w:r>
      <w:r>
        <w:rPr>
          <w:color w:val="231F20"/>
        </w:rPr>
        <w:t>realidad</w:t>
      </w:r>
      <w:r>
        <w:rPr>
          <w:color w:val="231F20"/>
          <w:spacing w:val="-11"/>
        </w:rPr>
        <w:t> </w:t>
      </w:r>
      <w:r>
        <w:rPr>
          <w:color w:val="231F20"/>
        </w:rPr>
        <w:t>que tendrá que ser tomada en cuenta en las decisiones fundamentales que ata- ñen al conjunto económico y social de la sociedad norteamericana. Según Heredia</w:t>
      </w:r>
      <w:r>
        <w:rPr>
          <w:color w:val="231F20"/>
          <w:spacing w:val="-9"/>
        </w:rPr>
        <w:t> </w:t>
      </w:r>
      <w:r>
        <w:rPr>
          <w:color w:val="231F20"/>
        </w:rPr>
        <w:t>(2012),</w:t>
      </w:r>
      <w:r>
        <w:rPr>
          <w:color w:val="231F20"/>
          <w:spacing w:val="-9"/>
        </w:rPr>
        <w:t> </w:t>
      </w:r>
      <w:r>
        <w:rPr>
          <w:color w:val="231F20"/>
        </w:rPr>
        <w:t>el</w:t>
      </w:r>
      <w:r>
        <w:rPr>
          <w:color w:val="231F20"/>
          <w:spacing w:val="-9"/>
        </w:rPr>
        <w:t> </w:t>
      </w:r>
      <w:r>
        <w:rPr>
          <w:color w:val="231F20"/>
        </w:rPr>
        <w:t>censo</w:t>
      </w:r>
      <w:r>
        <w:rPr>
          <w:color w:val="231F20"/>
          <w:spacing w:val="-9"/>
        </w:rPr>
        <w:t> </w:t>
      </w:r>
      <w:r>
        <w:rPr>
          <w:color w:val="231F20"/>
        </w:rPr>
        <w:t>de</w:t>
      </w:r>
      <w:r>
        <w:rPr>
          <w:color w:val="231F20"/>
          <w:spacing w:val="-9"/>
        </w:rPr>
        <w:t> </w:t>
      </w:r>
      <w:r>
        <w:rPr>
          <w:color w:val="231F20"/>
        </w:rPr>
        <w:t>población</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2010</w:t>
      </w:r>
      <w:r>
        <w:rPr>
          <w:color w:val="231F20"/>
          <w:spacing w:val="-9"/>
        </w:rPr>
        <w:t> </w:t>
      </w:r>
      <w:r>
        <w:rPr>
          <w:color w:val="231F20"/>
        </w:rPr>
        <w:t>identificó</w:t>
      </w:r>
      <w:r>
        <w:rPr>
          <w:color w:val="231F20"/>
          <w:spacing w:val="-9"/>
        </w:rPr>
        <w:t> </w:t>
      </w:r>
      <w:r>
        <w:rPr>
          <w:color w:val="231F20"/>
        </w:rPr>
        <w:t>a</w:t>
      </w:r>
      <w:r>
        <w:rPr>
          <w:color w:val="231F20"/>
          <w:spacing w:val="-9"/>
        </w:rPr>
        <w:t> </w:t>
      </w:r>
      <w:r>
        <w:rPr>
          <w:color w:val="231F20"/>
        </w:rPr>
        <w:t>50.5</w:t>
      </w:r>
      <w:r>
        <w:rPr>
          <w:color w:val="231F20"/>
          <w:spacing w:val="-9"/>
        </w:rPr>
        <w:t> </w:t>
      </w:r>
      <w:r>
        <w:rPr>
          <w:color w:val="231F20"/>
        </w:rPr>
        <w:t>millones de ciudadanos estadounidenses de origen latino; dos terceras partes son  de origen mexicano. De éstos hay 21.5 millones de votantes latinos que podrían sufragar en noviembre de este año. En tal sentido, la fuerza de los migrantes</w:t>
      </w:r>
      <w:r>
        <w:rPr>
          <w:color w:val="231F20"/>
          <w:spacing w:val="-7"/>
        </w:rPr>
        <w:t> </w:t>
      </w:r>
      <w:r>
        <w:rPr>
          <w:color w:val="231F20"/>
        </w:rPr>
        <w:t>mexicanos,</w:t>
      </w:r>
      <w:r>
        <w:rPr>
          <w:color w:val="231F20"/>
          <w:spacing w:val="-8"/>
        </w:rPr>
        <w:t> </w:t>
      </w:r>
      <w:r>
        <w:rPr>
          <w:color w:val="231F20"/>
        </w:rPr>
        <w:t>además</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masividad,</w:t>
      </w:r>
      <w:r>
        <w:rPr>
          <w:color w:val="231F20"/>
          <w:spacing w:val="-8"/>
        </w:rPr>
        <w:t> </w:t>
      </w:r>
      <w:r>
        <w:rPr>
          <w:color w:val="231F20"/>
        </w:rPr>
        <w:t>tendrá</w:t>
      </w:r>
      <w:r>
        <w:rPr>
          <w:color w:val="231F20"/>
          <w:spacing w:val="-7"/>
        </w:rPr>
        <w:t> </w:t>
      </w:r>
      <w:r>
        <w:rPr>
          <w:color w:val="231F20"/>
        </w:rPr>
        <w:t>resultados</w:t>
      </w:r>
      <w:r>
        <w:rPr>
          <w:color w:val="231F20"/>
          <w:spacing w:val="-7"/>
        </w:rPr>
        <w:t> </w:t>
      </w:r>
      <w:r>
        <w:rPr>
          <w:color w:val="231F20"/>
        </w:rPr>
        <w:t>positivos siempre</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migrantes</w:t>
      </w:r>
      <w:r>
        <w:rPr>
          <w:color w:val="231F20"/>
          <w:spacing w:val="-7"/>
        </w:rPr>
        <w:t> </w:t>
      </w:r>
      <w:r>
        <w:rPr>
          <w:color w:val="231F20"/>
        </w:rPr>
        <w:t>tengan</w:t>
      </w:r>
      <w:r>
        <w:rPr>
          <w:color w:val="231F20"/>
          <w:spacing w:val="-6"/>
        </w:rPr>
        <w:t> </w:t>
      </w:r>
      <w:r>
        <w:rPr>
          <w:color w:val="231F20"/>
        </w:rPr>
        <w:t>la</w:t>
      </w:r>
      <w:r>
        <w:rPr>
          <w:color w:val="231F20"/>
          <w:spacing w:val="-6"/>
        </w:rPr>
        <w:t> </w:t>
      </w:r>
      <w:r>
        <w:rPr>
          <w:color w:val="231F20"/>
        </w:rPr>
        <w:t>capacidad</w:t>
      </w:r>
      <w:r>
        <w:rPr>
          <w:color w:val="231F20"/>
          <w:spacing w:val="-7"/>
        </w:rPr>
        <w:t> </w:t>
      </w:r>
      <w:r>
        <w:rPr>
          <w:color w:val="231F20"/>
        </w:rPr>
        <w:t>de</w:t>
      </w:r>
      <w:r>
        <w:rPr>
          <w:color w:val="231F20"/>
          <w:spacing w:val="-6"/>
        </w:rPr>
        <w:t> </w:t>
      </w:r>
      <w:r>
        <w:rPr>
          <w:color w:val="231F20"/>
        </w:rPr>
        <w:t>organizarse</w:t>
      </w:r>
      <w:r>
        <w:rPr>
          <w:color w:val="231F20"/>
          <w:spacing w:val="-6"/>
        </w:rPr>
        <w:t> </w:t>
      </w:r>
      <w:r>
        <w:rPr>
          <w:color w:val="231F20"/>
        </w:rPr>
        <w:t>para</w:t>
      </w:r>
      <w:r>
        <w:rPr>
          <w:color w:val="231F20"/>
          <w:spacing w:val="-6"/>
        </w:rPr>
        <w:t> </w:t>
      </w:r>
      <w:r>
        <w:rPr>
          <w:color w:val="231F20"/>
        </w:rPr>
        <w:t>presen- tar iniciativas o reformas que ofrezcan mejores condiciones de trabajo y un</w:t>
      </w:r>
      <w:r>
        <w:rPr>
          <w:color w:val="231F20"/>
          <w:spacing w:val="-5"/>
        </w:rPr>
        <w:t> </w:t>
      </w:r>
      <w:r>
        <w:rPr>
          <w:color w:val="231F20"/>
        </w:rPr>
        <w:t>trato</w:t>
      </w:r>
      <w:r>
        <w:rPr>
          <w:color w:val="231F20"/>
          <w:spacing w:val="-5"/>
        </w:rPr>
        <w:t> </w:t>
      </w:r>
      <w:r>
        <w:rPr>
          <w:color w:val="231F20"/>
        </w:rPr>
        <w:t>equitativo</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ámbitos</w:t>
      </w:r>
      <w:r>
        <w:rPr>
          <w:color w:val="231F20"/>
          <w:spacing w:val="-6"/>
        </w:rPr>
        <w:t> </w:t>
      </w:r>
      <w:r>
        <w:rPr>
          <w:color w:val="231F20"/>
        </w:rPr>
        <w:t>laborales,</w:t>
      </w:r>
      <w:r>
        <w:rPr>
          <w:color w:val="231F20"/>
          <w:spacing w:val="-6"/>
        </w:rPr>
        <w:t> </w:t>
      </w:r>
      <w:r>
        <w:rPr>
          <w:color w:val="231F20"/>
        </w:rPr>
        <w:t>en</w:t>
      </w:r>
      <w:r>
        <w:rPr>
          <w:color w:val="231F20"/>
          <w:spacing w:val="-5"/>
        </w:rPr>
        <w:t> </w:t>
      </w:r>
      <w:r>
        <w:rPr>
          <w:color w:val="231F20"/>
        </w:rPr>
        <w:t>la</w:t>
      </w:r>
      <w:r>
        <w:rPr>
          <w:color w:val="231F20"/>
          <w:spacing w:val="-5"/>
        </w:rPr>
        <w:t> </w:t>
      </w:r>
      <w:r>
        <w:rPr>
          <w:color w:val="231F20"/>
        </w:rPr>
        <w:t>salud,</w:t>
      </w:r>
      <w:r>
        <w:rPr>
          <w:color w:val="231F20"/>
          <w:spacing w:val="-5"/>
        </w:rPr>
        <w:t> </w:t>
      </w:r>
      <w:r>
        <w:rPr>
          <w:color w:val="231F20"/>
        </w:rPr>
        <w:t>educación,</w:t>
      </w:r>
      <w:r>
        <w:rPr>
          <w:color w:val="231F20"/>
          <w:spacing w:val="-6"/>
        </w:rPr>
        <w:t> </w:t>
      </w:r>
      <w:r>
        <w:rPr>
          <w:color w:val="231F20"/>
        </w:rPr>
        <w:t>recrea- ción, acceso a sistemas de seguridad,</w:t>
      </w:r>
      <w:r>
        <w:rPr>
          <w:color w:val="231F20"/>
          <w:spacing w:val="-18"/>
        </w:rPr>
        <w:t> </w:t>
      </w:r>
      <w:r>
        <w:rPr>
          <w:color w:val="231F20"/>
        </w:rPr>
        <w:t>etc.</w:t>
      </w:r>
    </w:p>
    <w:p>
      <w:pPr>
        <w:pStyle w:val="BodyText"/>
        <w:spacing w:line="247" w:lineRule="auto"/>
        <w:ind w:left="117" w:right="115" w:firstLine="283"/>
        <w:jc w:val="both"/>
      </w:pPr>
      <w:r>
        <w:rPr>
          <w:color w:val="231F20"/>
        </w:rPr>
        <w:t>El anterior señalamiento no significa que de manera automática los</w:t>
      </w:r>
      <w:r>
        <w:rPr>
          <w:color w:val="231F20"/>
          <w:spacing w:val="-35"/>
        </w:rPr>
        <w:t> </w:t>
      </w:r>
      <w:r>
        <w:rPr>
          <w:color w:val="231F20"/>
        </w:rPr>
        <w:t>mi- grantes</w:t>
      </w:r>
      <w:r>
        <w:rPr>
          <w:color w:val="231F20"/>
          <w:spacing w:val="-8"/>
        </w:rPr>
        <w:t> </w:t>
      </w:r>
      <w:r>
        <w:rPr>
          <w:color w:val="231F20"/>
        </w:rPr>
        <w:t>mexicanos</w:t>
      </w:r>
      <w:r>
        <w:rPr>
          <w:color w:val="231F20"/>
          <w:spacing w:val="-8"/>
        </w:rPr>
        <w:t> </w:t>
      </w:r>
      <w:r>
        <w:rPr>
          <w:color w:val="231F20"/>
        </w:rPr>
        <w:t>podrán</w:t>
      </w:r>
      <w:r>
        <w:rPr>
          <w:color w:val="231F20"/>
          <w:spacing w:val="-7"/>
        </w:rPr>
        <w:t> </w:t>
      </w:r>
      <w:r>
        <w:rPr>
          <w:color w:val="231F20"/>
        </w:rPr>
        <w:t>resolver</w:t>
      </w:r>
      <w:r>
        <w:rPr>
          <w:color w:val="231F20"/>
          <w:spacing w:val="-8"/>
        </w:rPr>
        <w:t> </w:t>
      </w:r>
      <w:r>
        <w:rPr>
          <w:color w:val="231F20"/>
        </w:rPr>
        <w:t>sus</w:t>
      </w:r>
      <w:r>
        <w:rPr>
          <w:color w:val="231F20"/>
          <w:spacing w:val="-7"/>
        </w:rPr>
        <w:t> </w:t>
      </w:r>
      <w:r>
        <w:rPr>
          <w:color w:val="231F20"/>
        </w:rPr>
        <w:t>múltiples</w:t>
      </w:r>
      <w:r>
        <w:rPr>
          <w:color w:val="231F20"/>
          <w:spacing w:val="-8"/>
        </w:rPr>
        <w:t> </w:t>
      </w:r>
      <w:r>
        <w:rPr>
          <w:color w:val="231F20"/>
        </w:rPr>
        <w:t>y</w:t>
      </w:r>
      <w:r>
        <w:rPr>
          <w:color w:val="231F20"/>
          <w:spacing w:val="-7"/>
        </w:rPr>
        <w:t> </w:t>
      </w:r>
      <w:r>
        <w:rPr>
          <w:color w:val="231F20"/>
        </w:rPr>
        <w:t>variadas</w:t>
      </w:r>
      <w:r>
        <w:rPr>
          <w:color w:val="231F20"/>
          <w:spacing w:val="-7"/>
        </w:rPr>
        <w:t> </w:t>
      </w:r>
      <w:r>
        <w:rPr>
          <w:color w:val="231F20"/>
        </w:rPr>
        <w:t>problemáticas, pero sí abre las expectativas para que los mexicanos puedan escalar en el reconocimiento de sus derechos como sector laboral, tanto como sector poblacional que viene planteando demandas más allá de su estatus mi- gratorio. </w:t>
      </w:r>
      <w:r>
        <w:rPr>
          <w:color w:val="231F20"/>
          <w:spacing w:val="-4"/>
        </w:rPr>
        <w:t>Tales </w:t>
      </w:r>
      <w:r>
        <w:rPr>
          <w:color w:val="231F20"/>
        </w:rPr>
        <w:t>expectativas, sobremanera para el sector de migrantes   </w:t>
      </w:r>
      <w:r>
        <w:rPr>
          <w:color w:val="231F20"/>
          <w:spacing w:val="23"/>
        </w:rPr>
        <w:t> </w:t>
      </w:r>
      <w:r>
        <w:rPr>
          <w:color w:val="231F20"/>
        </w:rPr>
        <w:t>de</w:t>
      </w:r>
    </w:p>
    <w:p>
      <w:pPr>
        <w:spacing w:after="0" w:line="247" w:lineRule="auto"/>
        <w:jc w:val="both"/>
        <w:sectPr>
          <w:pgSz w:w="9360" w:h="13040"/>
          <w:pgMar w:header="0" w:footer="496" w:top="800" w:bottom="680" w:left="1300" w:right="1300"/>
        </w:sectPr>
      </w:pPr>
    </w:p>
    <w:p>
      <w:pPr>
        <w:spacing w:before="45"/>
        <w:ind w:left="117" w:right="0" w:firstLine="89"/>
        <w:jc w:val="both"/>
        <w:rPr>
          <w:rFonts w:ascii="Arial" w:hAnsi="Arial"/>
          <w:sz w:val="20"/>
        </w:rPr>
      </w:pPr>
      <w:r>
        <w:rPr>
          <w:rFonts w:ascii="Arial" w:hAnsi="Arial"/>
          <w:color w:val="231F20"/>
          <w:w w:val="70"/>
          <w:sz w:val="20"/>
        </w:rPr>
        <w:t>Redes    migratorias y políticas públicas de la migración internacional guerrerense /Artemio López-Ríos</w:t>
      </w:r>
    </w:p>
    <w:p>
      <w:pPr>
        <w:pStyle w:val="BodyText"/>
        <w:spacing w:before="7"/>
        <w:rPr>
          <w:rFonts w:ascii="Arial"/>
          <w:sz w:val="28"/>
        </w:rPr>
      </w:pPr>
    </w:p>
    <w:p>
      <w:pPr>
        <w:pStyle w:val="BodyText"/>
        <w:spacing w:line="247" w:lineRule="auto"/>
        <w:ind w:left="117" w:right="115"/>
        <w:jc w:val="both"/>
      </w:pPr>
      <w:r>
        <w:rPr>
          <w:color w:val="231F20"/>
        </w:rPr>
        <w:t>reciente incorporación a Estados Unidos, presentan una ventana de opor- tunidad que puede ampliar la cobertura a los recientes inmigrados </w:t>
      </w:r>
      <w:r>
        <w:rPr>
          <w:color w:val="231F20"/>
          <w:spacing w:val="-8"/>
        </w:rPr>
        <w:t>y, </w:t>
      </w:r>
      <w:r>
        <w:rPr>
          <w:color w:val="231F20"/>
        </w:rPr>
        <w:t>en tal sentido, el panorama para los desplazados mexicanos en el exterior podría ser menos complicado.</w:t>
      </w:r>
    </w:p>
    <w:p>
      <w:pPr>
        <w:pStyle w:val="Heading3"/>
        <w:spacing w:line="242" w:lineRule="auto"/>
        <w:ind w:right="524"/>
        <w:jc w:val="left"/>
      </w:pPr>
      <w:r>
        <w:rPr>
          <w:color w:val="231F20"/>
        </w:rPr>
        <w:t>Factores económicos y sociales propiciantes de la migración internacional</w:t>
      </w:r>
    </w:p>
    <w:p>
      <w:pPr>
        <w:pStyle w:val="BodyText"/>
        <w:spacing w:line="247" w:lineRule="auto" w:before="170"/>
        <w:ind w:left="117" w:right="114"/>
        <w:jc w:val="both"/>
      </w:pPr>
      <w:r>
        <w:rPr>
          <w:color w:val="231F20"/>
        </w:rPr>
        <w:t>La migración internacional de mexicanos en buena medida obedece a la falta de oportunidades que el deterioro de la economía nacional involucra, pero también al diferencial salarial existente entre México y Estados Uni- dos. En tal sentido, la política pública en México tiene cierta responsabili- dad referente al carácter de las decisiones en materia económica, dotación de infraestructura y apoyos a las economías locales, o bien, en lo que es ámbito de su competencia concerniente a su participación en la estructu- ración de políticas de atención a migrantes y/o el derrotero del fenómeno migratorio en función de la definición y activación de mecanismos de de- fensa, en instancias internacionales, de los derechos humanos de los mi- grantes mexicanos.</w:t>
      </w:r>
    </w:p>
    <w:p>
      <w:pPr>
        <w:pStyle w:val="BodyText"/>
        <w:spacing w:line="247" w:lineRule="auto"/>
        <w:ind w:left="117" w:right="114" w:firstLine="283"/>
        <w:jc w:val="both"/>
      </w:pPr>
      <w:r>
        <w:rPr>
          <w:color w:val="231F20"/>
        </w:rPr>
        <w:t>En el primer caso, las estadísticas dan cuenta de flujos crecientes de migrantes mexicanos, concomitantes a la presencia de factores negativos de</w:t>
      </w:r>
      <w:r>
        <w:rPr>
          <w:color w:val="231F20"/>
          <w:spacing w:val="-10"/>
        </w:rPr>
        <w:t> </w:t>
      </w:r>
      <w:r>
        <w:rPr>
          <w:color w:val="231F20"/>
        </w:rPr>
        <w:t>crecimiento</w:t>
      </w:r>
      <w:r>
        <w:rPr>
          <w:color w:val="231F20"/>
          <w:spacing w:val="-10"/>
        </w:rPr>
        <w:t> </w:t>
      </w:r>
      <w:r>
        <w:rPr>
          <w:color w:val="231F20"/>
        </w:rPr>
        <w:t>económico</w:t>
      </w:r>
      <w:r>
        <w:rPr>
          <w:color w:val="231F20"/>
          <w:spacing w:val="-10"/>
        </w:rPr>
        <w:t> </w:t>
      </w:r>
      <w:r>
        <w:rPr>
          <w:color w:val="231F20"/>
        </w:rPr>
        <w:t>y</w:t>
      </w:r>
      <w:r>
        <w:rPr>
          <w:color w:val="231F20"/>
          <w:spacing w:val="-10"/>
        </w:rPr>
        <w:t> </w:t>
      </w:r>
      <w:r>
        <w:rPr>
          <w:color w:val="231F20"/>
        </w:rPr>
        <w:t>bienestar</w:t>
      </w:r>
      <w:r>
        <w:rPr>
          <w:color w:val="231F20"/>
          <w:spacing w:val="-10"/>
        </w:rPr>
        <w:t> </w:t>
      </w:r>
      <w:r>
        <w:rPr>
          <w:color w:val="231F20"/>
        </w:rPr>
        <w:t>para</w:t>
      </w:r>
      <w:r>
        <w:rPr>
          <w:color w:val="231F20"/>
          <w:spacing w:val="-10"/>
        </w:rPr>
        <w:t> </w:t>
      </w:r>
      <w:r>
        <w:rPr>
          <w:color w:val="231F20"/>
        </w:rPr>
        <w:t>ciertas</w:t>
      </w:r>
      <w:r>
        <w:rPr>
          <w:color w:val="231F20"/>
          <w:spacing w:val="-10"/>
        </w:rPr>
        <w:t> </w:t>
      </w:r>
      <w:r>
        <w:rPr>
          <w:color w:val="231F20"/>
        </w:rPr>
        <w:t>zonas</w:t>
      </w:r>
      <w:r>
        <w:rPr>
          <w:color w:val="231F20"/>
          <w:spacing w:val="-10"/>
        </w:rPr>
        <w:t> </w:t>
      </w:r>
      <w:r>
        <w:rPr>
          <w:color w:val="231F20"/>
        </w:rPr>
        <w:t>y</w:t>
      </w:r>
      <w:r>
        <w:rPr>
          <w:color w:val="231F20"/>
          <w:spacing w:val="-10"/>
        </w:rPr>
        <w:t> </w:t>
      </w:r>
      <w:r>
        <w:rPr>
          <w:color w:val="231F20"/>
        </w:rPr>
        <w:t>estados</w:t>
      </w:r>
      <w:r>
        <w:rPr>
          <w:color w:val="231F20"/>
          <w:spacing w:val="-10"/>
        </w:rPr>
        <w:t> </w:t>
      </w:r>
      <w:r>
        <w:rPr>
          <w:color w:val="231F20"/>
        </w:rPr>
        <w:t>del</w:t>
      </w:r>
      <w:r>
        <w:rPr>
          <w:color w:val="231F20"/>
          <w:spacing w:val="-10"/>
        </w:rPr>
        <w:t> </w:t>
      </w:r>
      <w:r>
        <w:rPr>
          <w:color w:val="231F20"/>
        </w:rPr>
        <w:t>país. Pero también la movilidad de paisanos al otro lado de la frontera refleja la presencia</w:t>
      </w:r>
      <w:r>
        <w:rPr>
          <w:color w:val="231F20"/>
          <w:spacing w:val="-6"/>
        </w:rPr>
        <w:t> </w:t>
      </w:r>
      <w:r>
        <w:rPr>
          <w:color w:val="231F20"/>
        </w:rPr>
        <w:t>de</w:t>
      </w:r>
      <w:r>
        <w:rPr>
          <w:color w:val="231F20"/>
          <w:spacing w:val="-6"/>
        </w:rPr>
        <w:t> </w:t>
      </w:r>
      <w:r>
        <w:rPr>
          <w:color w:val="231F20"/>
        </w:rPr>
        <w:t>sectores</w:t>
      </w:r>
      <w:r>
        <w:rPr>
          <w:color w:val="231F20"/>
          <w:spacing w:val="-6"/>
        </w:rPr>
        <w:t> </w:t>
      </w:r>
      <w:r>
        <w:rPr>
          <w:color w:val="231F20"/>
        </w:rPr>
        <w:t>con</w:t>
      </w:r>
      <w:r>
        <w:rPr>
          <w:color w:val="231F20"/>
          <w:spacing w:val="-6"/>
        </w:rPr>
        <w:t> </w:t>
      </w:r>
      <w:r>
        <w:rPr>
          <w:color w:val="231F20"/>
        </w:rPr>
        <w:t>cierta</w:t>
      </w:r>
      <w:r>
        <w:rPr>
          <w:color w:val="231F20"/>
          <w:spacing w:val="-6"/>
        </w:rPr>
        <w:t> </w:t>
      </w:r>
      <w:r>
        <w:rPr>
          <w:color w:val="231F20"/>
        </w:rPr>
        <w:t>capacidad</w:t>
      </w:r>
      <w:r>
        <w:rPr>
          <w:color w:val="231F20"/>
          <w:spacing w:val="-7"/>
        </w:rPr>
        <w:t> </w:t>
      </w:r>
      <w:r>
        <w:rPr>
          <w:color w:val="231F20"/>
        </w:rPr>
        <w:t>e</w:t>
      </w:r>
      <w:r>
        <w:rPr>
          <w:color w:val="231F20"/>
          <w:spacing w:val="-6"/>
        </w:rPr>
        <w:t> </w:t>
      </w:r>
      <w:r>
        <w:rPr>
          <w:color w:val="231F20"/>
        </w:rPr>
        <w:t>ingreso</w:t>
      </w:r>
      <w:r>
        <w:rPr>
          <w:color w:val="231F20"/>
          <w:spacing w:val="-6"/>
        </w:rPr>
        <w:t> </w:t>
      </w:r>
      <w:r>
        <w:rPr>
          <w:color w:val="231F20"/>
        </w:rPr>
        <w:t>que</w:t>
      </w:r>
      <w:r>
        <w:rPr>
          <w:color w:val="231F20"/>
          <w:spacing w:val="-6"/>
        </w:rPr>
        <w:t> </w:t>
      </w:r>
      <w:r>
        <w:rPr>
          <w:color w:val="231F20"/>
        </w:rPr>
        <w:t>deciden</w:t>
      </w:r>
      <w:r>
        <w:rPr>
          <w:color w:val="231F20"/>
          <w:spacing w:val="-6"/>
        </w:rPr>
        <w:t> </w:t>
      </w:r>
      <w:r>
        <w:rPr>
          <w:color w:val="231F20"/>
        </w:rPr>
        <w:t>trasladar- se</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Estados</w:t>
      </w:r>
      <w:r>
        <w:rPr>
          <w:color w:val="231F20"/>
          <w:spacing w:val="-9"/>
        </w:rPr>
        <w:t> </w:t>
      </w:r>
      <w:r>
        <w:rPr>
          <w:color w:val="231F20"/>
        </w:rPr>
        <w:t>Unidos</w:t>
      </w:r>
      <w:r>
        <w:rPr>
          <w:color w:val="231F20"/>
          <w:spacing w:val="-8"/>
        </w:rPr>
        <w:t> </w:t>
      </w:r>
      <w:r>
        <w:rPr>
          <w:color w:val="231F20"/>
        </w:rPr>
        <w:t>en</w:t>
      </w:r>
      <w:r>
        <w:rPr>
          <w:color w:val="231F20"/>
          <w:spacing w:val="-8"/>
        </w:rPr>
        <w:t> </w:t>
      </w:r>
      <w:r>
        <w:rPr>
          <w:color w:val="231F20"/>
        </w:rPr>
        <w:t>perspectiva</w:t>
      </w:r>
      <w:r>
        <w:rPr>
          <w:color w:val="231F20"/>
          <w:spacing w:val="-8"/>
        </w:rPr>
        <w:t> </w:t>
      </w:r>
      <w:r>
        <w:rPr>
          <w:color w:val="231F20"/>
        </w:rPr>
        <w:t>de</w:t>
      </w:r>
      <w:r>
        <w:rPr>
          <w:color w:val="231F20"/>
          <w:spacing w:val="-8"/>
        </w:rPr>
        <w:t> </w:t>
      </w:r>
      <w:r>
        <w:rPr>
          <w:color w:val="231F20"/>
        </w:rPr>
        <w:t>mejoramiento</w:t>
      </w:r>
      <w:r>
        <w:rPr>
          <w:color w:val="231F20"/>
          <w:spacing w:val="-9"/>
        </w:rPr>
        <w:t> </w:t>
      </w:r>
      <w:r>
        <w:rPr>
          <w:color w:val="231F20"/>
        </w:rPr>
        <w:t>de</w:t>
      </w:r>
      <w:r>
        <w:rPr>
          <w:color w:val="231F20"/>
          <w:spacing w:val="-8"/>
        </w:rPr>
        <w:t> </w:t>
      </w:r>
      <w:r>
        <w:rPr>
          <w:color w:val="231F20"/>
        </w:rPr>
        <w:t>status,</w:t>
      </w:r>
      <w:r>
        <w:rPr>
          <w:color w:val="231F20"/>
          <w:spacing w:val="-8"/>
        </w:rPr>
        <w:t> </w:t>
      </w:r>
      <w:r>
        <w:rPr>
          <w:color w:val="231F20"/>
        </w:rPr>
        <w:t>es</w:t>
      </w:r>
      <w:r>
        <w:rPr>
          <w:color w:val="231F20"/>
          <w:spacing w:val="-8"/>
        </w:rPr>
        <w:t> </w:t>
      </w:r>
      <w:r>
        <w:rPr>
          <w:color w:val="231F20"/>
        </w:rPr>
        <w:t>decir, no necesariamente son sectores desprovistos de ciertas capacidades pro- ductivas, ya que la decisión de emigrar muchas veces obedece a cálculos económicos y a estrategias que van más allá de la</w:t>
      </w:r>
      <w:r>
        <w:rPr>
          <w:color w:val="231F20"/>
          <w:spacing w:val="-18"/>
        </w:rPr>
        <w:t> </w:t>
      </w:r>
      <w:r>
        <w:rPr>
          <w:color w:val="231F20"/>
        </w:rPr>
        <w:t>sobrevivencia.</w:t>
      </w:r>
    </w:p>
    <w:p>
      <w:pPr>
        <w:pStyle w:val="BodyText"/>
        <w:spacing w:line="247" w:lineRule="auto"/>
        <w:ind w:left="117" w:right="114" w:firstLine="283"/>
        <w:jc w:val="both"/>
      </w:pPr>
      <w:r>
        <w:rPr>
          <w:color w:val="231F20"/>
        </w:rPr>
        <w:t>Sin embargo, se presume que el factor central que empuja a la migra- ción es la insuficiencia de las políticas vinculadas al crecimiento y al de- sarrollo económico. En tal sentido, es pertinente ubicar en perspectiva el grado de responsabilidad que debe asumir el sector gubernamental en la definición de estrategias para generar opciones económicas y sociales a los potenciales espacios y regiones desde donde se incuba el fenómeno migratorio. Así, además de identificar zonas expulsoras, el Estado mexi- cano debe concitar esfuerzos con diversos sectores para ofrecer mejores oportunidades de empleo e ingreso.</w:t>
      </w:r>
    </w:p>
    <w:p>
      <w:pPr>
        <w:pStyle w:val="BodyText"/>
        <w:spacing w:line="247" w:lineRule="auto"/>
        <w:ind w:left="117" w:right="114" w:firstLine="283"/>
        <w:jc w:val="both"/>
      </w:pPr>
      <w:r>
        <w:rPr>
          <w:color w:val="231F20"/>
        </w:rPr>
        <w:t>Dado el carácter y la idiosincrasia del Estado mexicano, es de esperar que asuma rango de prioridad una estrategia tendiente a desplegar poten- cialidades para complementar sinergias, que tengan por objetivo   generar</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jc w:val="both"/>
      </w:pPr>
      <w:r>
        <w:rPr>
          <w:color w:val="231F20"/>
        </w:rPr>
        <w:t>el dinamismo pertinente de variados recursos humanos, de capital y/o de aprovechamiento de entornos sociales y geográficos, ambientales, de apli- cación y desarrollo/adaptación de conocimiento y tecnología, etc. En fin que la responsabilidad institucional de hacer los ajustes pertinentes, de- berá enfocarse a transformar zonas y territorios abandonados en espacios que contribuyan a la redefinición de estrategias para hacer un uso racional de los recursos existentes, particularmente del recurso humano, máxime cuando el nivel de habilitación de los recién emigrados tiende a crecer de manera significativa.</w:t>
      </w:r>
    </w:p>
    <w:p>
      <w:pPr>
        <w:pStyle w:val="BodyText"/>
        <w:spacing w:line="247" w:lineRule="auto"/>
        <w:ind w:left="117" w:right="114" w:firstLine="283"/>
        <w:jc w:val="both"/>
      </w:pPr>
      <w:r>
        <w:rPr>
          <w:color w:val="231F20"/>
        </w:rPr>
        <w:t>En</w:t>
      </w:r>
      <w:r>
        <w:rPr>
          <w:color w:val="231F20"/>
          <w:spacing w:val="-8"/>
        </w:rPr>
        <w:t> </w:t>
      </w:r>
      <w:r>
        <w:rPr>
          <w:color w:val="231F20"/>
        </w:rPr>
        <w:t>el</w:t>
      </w:r>
      <w:r>
        <w:rPr>
          <w:color w:val="231F20"/>
          <w:spacing w:val="-8"/>
        </w:rPr>
        <w:t> </w:t>
      </w:r>
      <w:r>
        <w:rPr>
          <w:color w:val="231F20"/>
        </w:rPr>
        <w:t>segundo</w:t>
      </w:r>
      <w:r>
        <w:rPr>
          <w:color w:val="231F20"/>
          <w:spacing w:val="-7"/>
        </w:rPr>
        <w:t> </w:t>
      </w:r>
      <w:r>
        <w:rPr>
          <w:color w:val="231F20"/>
        </w:rPr>
        <w:t>caso,</w:t>
      </w:r>
      <w:r>
        <w:rPr>
          <w:color w:val="231F20"/>
          <w:spacing w:val="-8"/>
        </w:rPr>
        <w:t> </w:t>
      </w:r>
      <w:r>
        <w:rPr>
          <w:color w:val="231F20"/>
        </w:rPr>
        <w:t>el</w:t>
      </w:r>
      <w:r>
        <w:rPr>
          <w:color w:val="231F20"/>
          <w:spacing w:val="-8"/>
        </w:rPr>
        <w:t> </w:t>
      </w:r>
      <w:r>
        <w:rPr>
          <w:color w:val="231F20"/>
        </w:rPr>
        <w:t>diferencial</w:t>
      </w:r>
      <w:r>
        <w:rPr>
          <w:color w:val="231F20"/>
          <w:spacing w:val="-8"/>
        </w:rPr>
        <w:t> </w:t>
      </w:r>
      <w:r>
        <w:rPr>
          <w:color w:val="231F20"/>
        </w:rPr>
        <w:t>salarial</w:t>
      </w:r>
      <w:r>
        <w:rPr>
          <w:color w:val="231F20"/>
          <w:spacing w:val="-7"/>
        </w:rPr>
        <w:t> </w:t>
      </w:r>
      <w:r>
        <w:rPr>
          <w:color w:val="231F20"/>
        </w:rPr>
        <w:t>que</w:t>
      </w:r>
      <w:r>
        <w:rPr>
          <w:color w:val="231F20"/>
          <w:spacing w:val="-8"/>
        </w:rPr>
        <w:t> </w:t>
      </w:r>
      <w:r>
        <w:rPr>
          <w:color w:val="231F20"/>
        </w:rPr>
        <w:t>representa</w:t>
      </w:r>
      <w:r>
        <w:rPr>
          <w:color w:val="231F20"/>
          <w:spacing w:val="-8"/>
        </w:rPr>
        <w:t> </w:t>
      </w:r>
      <w:r>
        <w:rPr>
          <w:color w:val="231F20"/>
        </w:rPr>
        <w:t>para</w:t>
      </w:r>
      <w:r>
        <w:rPr>
          <w:color w:val="231F20"/>
          <w:spacing w:val="-7"/>
        </w:rPr>
        <w:t> </w:t>
      </w:r>
      <w:r>
        <w:rPr>
          <w:color w:val="231F20"/>
        </w:rPr>
        <w:t>los</w:t>
      </w:r>
      <w:r>
        <w:rPr>
          <w:color w:val="231F20"/>
          <w:spacing w:val="-8"/>
        </w:rPr>
        <w:t> </w:t>
      </w:r>
      <w:r>
        <w:rPr>
          <w:color w:val="231F20"/>
        </w:rPr>
        <w:t>mexi- canos</w:t>
      </w:r>
      <w:r>
        <w:rPr>
          <w:color w:val="231F20"/>
          <w:spacing w:val="-8"/>
        </w:rPr>
        <w:t> </w:t>
      </w:r>
      <w:r>
        <w:rPr>
          <w:color w:val="231F20"/>
        </w:rPr>
        <w:t>trabajar</w:t>
      </w:r>
      <w:r>
        <w:rPr>
          <w:color w:val="231F20"/>
          <w:spacing w:val="-8"/>
        </w:rPr>
        <w:t> </w:t>
      </w:r>
      <w:r>
        <w:rPr>
          <w:color w:val="231F20"/>
        </w:rPr>
        <w:t>en</w:t>
      </w:r>
      <w:r>
        <w:rPr>
          <w:color w:val="231F20"/>
          <w:spacing w:val="-7"/>
        </w:rPr>
        <w:t> </w:t>
      </w:r>
      <w:r>
        <w:rPr>
          <w:color w:val="231F20"/>
        </w:rPr>
        <w:t>Estados</w:t>
      </w:r>
      <w:r>
        <w:rPr>
          <w:color w:val="231F20"/>
          <w:spacing w:val="-8"/>
        </w:rPr>
        <w:t> </w:t>
      </w:r>
      <w:r>
        <w:rPr>
          <w:color w:val="231F20"/>
        </w:rPr>
        <w:t>Unidos,</w:t>
      </w:r>
      <w:r>
        <w:rPr>
          <w:color w:val="231F20"/>
          <w:spacing w:val="-7"/>
        </w:rPr>
        <w:t> </w:t>
      </w:r>
      <w:r>
        <w:rPr>
          <w:color w:val="231F20"/>
        </w:rPr>
        <w:t>se</w:t>
      </w:r>
      <w:r>
        <w:rPr>
          <w:color w:val="231F20"/>
          <w:spacing w:val="-7"/>
        </w:rPr>
        <w:t> </w:t>
      </w:r>
      <w:r>
        <w:rPr>
          <w:color w:val="231F20"/>
        </w:rPr>
        <w:t>convierte</w:t>
      </w:r>
      <w:r>
        <w:rPr>
          <w:color w:val="231F20"/>
          <w:spacing w:val="-8"/>
        </w:rPr>
        <w:t> </w:t>
      </w:r>
      <w:r>
        <w:rPr>
          <w:color w:val="231F20"/>
        </w:rPr>
        <w:t>en</w:t>
      </w:r>
      <w:r>
        <w:rPr>
          <w:color w:val="231F20"/>
          <w:spacing w:val="-7"/>
        </w:rPr>
        <w:t> </w:t>
      </w:r>
      <w:r>
        <w:rPr>
          <w:color w:val="231F20"/>
        </w:rPr>
        <w:t>asunto</w:t>
      </w:r>
      <w:r>
        <w:rPr>
          <w:color w:val="231F20"/>
          <w:spacing w:val="-8"/>
        </w:rPr>
        <w:t> </w:t>
      </w:r>
      <w:r>
        <w:rPr>
          <w:color w:val="231F20"/>
        </w:rPr>
        <w:t>de</w:t>
      </w:r>
      <w:r>
        <w:rPr>
          <w:color w:val="231F20"/>
          <w:spacing w:val="-7"/>
        </w:rPr>
        <w:t> </w:t>
      </w:r>
      <w:r>
        <w:rPr>
          <w:color w:val="231F20"/>
        </w:rPr>
        <w:t>cálculo</w:t>
      </w:r>
      <w:r>
        <w:rPr>
          <w:color w:val="231F20"/>
          <w:spacing w:val="-8"/>
        </w:rPr>
        <w:t> </w:t>
      </w:r>
      <w:r>
        <w:rPr>
          <w:color w:val="231F20"/>
        </w:rPr>
        <w:t>econó- mico ponderado por los migrantes, junto a otros beneficios esperados tras el arribo a las zonas de empleo. De acuerdo con Massey y Malone (2009: 13), los migrantes “no tienen más que cruzar una línea, para tener no sólo ingresos más altos sino también acceso a una mejor escolarización, mayor infraestructura,</w:t>
      </w:r>
      <w:r>
        <w:rPr>
          <w:color w:val="231F20"/>
          <w:spacing w:val="-7"/>
        </w:rPr>
        <w:t> </w:t>
      </w:r>
      <w:r>
        <w:rPr>
          <w:color w:val="231F20"/>
        </w:rPr>
        <w:t>servicios</w:t>
      </w:r>
      <w:r>
        <w:rPr>
          <w:color w:val="231F20"/>
          <w:spacing w:val="-6"/>
        </w:rPr>
        <w:t> </w:t>
      </w:r>
      <w:r>
        <w:rPr>
          <w:color w:val="231F20"/>
        </w:rPr>
        <w:t>sociales</w:t>
      </w:r>
      <w:r>
        <w:rPr>
          <w:color w:val="231F20"/>
          <w:spacing w:val="-6"/>
        </w:rPr>
        <w:t> </w:t>
      </w:r>
      <w:r>
        <w:rPr>
          <w:color w:val="231F20"/>
        </w:rPr>
        <w:t>mejores,</w:t>
      </w:r>
      <w:r>
        <w:rPr>
          <w:color w:val="231F20"/>
          <w:spacing w:val="-7"/>
        </w:rPr>
        <w:t> </w:t>
      </w:r>
      <w:r>
        <w:rPr>
          <w:color w:val="231F20"/>
        </w:rPr>
        <w:t>una</w:t>
      </w:r>
      <w:r>
        <w:rPr>
          <w:color w:val="231F20"/>
          <w:spacing w:val="-6"/>
        </w:rPr>
        <w:t> </w:t>
      </w:r>
      <w:r>
        <w:rPr>
          <w:color w:val="231F20"/>
        </w:rPr>
        <w:t>atención</w:t>
      </w:r>
      <w:r>
        <w:rPr>
          <w:color w:val="231F20"/>
          <w:spacing w:val="-7"/>
        </w:rPr>
        <w:t> </w:t>
      </w:r>
      <w:r>
        <w:rPr>
          <w:color w:val="231F20"/>
        </w:rPr>
        <w:t>médica</w:t>
      </w:r>
      <w:r>
        <w:rPr>
          <w:color w:val="231F20"/>
          <w:spacing w:val="-6"/>
        </w:rPr>
        <w:t> </w:t>
      </w:r>
      <w:r>
        <w:rPr>
          <w:color w:val="231F20"/>
        </w:rPr>
        <w:t>de</w:t>
      </w:r>
      <w:r>
        <w:rPr>
          <w:color w:val="231F20"/>
          <w:spacing w:val="-6"/>
        </w:rPr>
        <w:t> </w:t>
      </w:r>
      <w:r>
        <w:rPr>
          <w:color w:val="231F20"/>
        </w:rPr>
        <w:t>calidad superior y una oferta muchísimo mayor de alternativas de</w:t>
      </w:r>
      <w:r>
        <w:rPr>
          <w:color w:val="231F20"/>
          <w:spacing w:val="-10"/>
        </w:rPr>
        <w:t> </w:t>
      </w:r>
      <w:r>
        <w:rPr>
          <w:color w:val="231F20"/>
        </w:rPr>
        <w:t>consumo”.</w:t>
      </w:r>
    </w:p>
    <w:p>
      <w:pPr>
        <w:pStyle w:val="BodyText"/>
        <w:spacing w:line="247" w:lineRule="auto"/>
        <w:ind w:left="117" w:right="114" w:firstLine="283"/>
        <w:jc w:val="both"/>
      </w:pPr>
      <w:r>
        <w:rPr>
          <w:color w:val="231F20"/>
        </w:rPr>
        <w:t>Sin embargo, para lograr los objetivos propuestos, los migrantes deben enfrentar</w:t>
      </w:r>
      <w:r>
        <w:rPr>
          <w:color w:val="231F20"/>
          <w:spacing w:val="-9"/>
        </w:rPr>
        <w:t> </w:t>
      </w:r>
      <w:r>
        <w:rPr>
          <w:color w:val="231F20"/>
        </w:rPr>
        <w:t>obstáculos</w:t>
      </w:r>
      <w:r>
        <w:rPr>
          <w:color w:val="231F20"/>
          <w:spacing w:val="-8"/>
        </w:rPr>
        <w:t> </w:t>
      </w:r>
      <w:r>
        <w:rPr>
          <w:color w:val="231F20"/>
        </w:rPr>
        <w:t>diversos</w:t>
      </w:r>
      <w:r>
        <w:rPr>
          <w:color w:val="231F20"/>
          <w:spacing w:val="-8"/>
        </w:rPr>
        <w:t> </w:t>
      </w:r>
      <w:r>
        <w:rPr>
          <w:color w:val="231F20"/>
        </w:rPr>
        <w:t>que</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tiempo</w:t>
      </w:r>
      <w:r>
        <w:rPr>
          <w:color w:val="231F20"/>
          <w:spacing w:val="-9"/>
        </w:rPr>
        <w:t> </w:t>
      </w:r>
      <w:r>
        <w:rPr>
          <w:color w:val="231F20"/>
        </w:rPr>
        <w:t>han</w:t>
      </w:r>
      <w:r>
        <w:rPr>
          <w:color w:val="231F20"/>
          <w:spacing w:val="-8"/>
        </w:rPr>
        <w:t> </w:t>
      </w:r>
      <w:r>
        <w:rPr>
          <w:color w:val="231F20"/>
        </w:rPr>
        <w:t>incrementado</w:t>
      </w:r>
      <w:r>
        <w:rPr>
          <w:color w:val="231F20"/>
          <w:spacing w:val="-8"/>
        </w:rPr>
        <w:t> </w:t>
      </w:r>
      <w:r>
        <w:rPr>
          <w:color w:val="231F20"/>
        </w:rPr>
        <w:t>el</w:t>
      </w:r>
      <w:r>
        <w:rPr>
          <w:color w:val="231F20"/>
          <w:spacing w:val="-8"/>
        </w:rPr>
        <w:t> </w:t>
      </w:r>
      <w:r>
        <w:rPr>
          <w:color w:val="231F20"/>
        </w:rPr>
        <w:t>grado de dificultad y riesgo. Al imponerse desde la frontera una clara estrategia de contención del flujo poblacional, fortalecida por la visión desde el lado norteamericano</w:t>
      </w:r>
      <w:r>
        <w:rPr>
          <w:color w:val="231F20"/>
          <w:spacing w:val="-9"/>
        </w:rPr>
        <w:t> </w:t>
      </w:r>
      <w:r>
        <w:rPr>
          <w:color w:val="231F20"/>
        </w:rPr>
        <w:t>de</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línea</w:t>
      </w:r>
      <w:r>
        <w:rPr>
          <w:color w:val="231F20"/>
          <w:spacing w:val="-9"/>
        </w:rPr>
        <w:t> </w:t>
      </w:r>
      <w:r>
        <w:rPr>
          <w:color w:val="231F20"/>
        </w:rPr>
        <w:t>divisoria</w:t>
      </w:r>
      <w:r>
        <w:rPr>
          <w:color w:val="231F20"/>
          <w:spacing w:val="-9"/>
        </w:rPr>
        <w:t> </w:t>
      </w:r>
      <w:r>
        <w:rPr>
          <w:color w:val="231F20"/>
        </w:rPr>
        <w:t>se</w:t>
      </w:r>
      <w:r>
        <w:rPr>
          <w:color w:val="231F20"/>
          <w:spacing w:val="-9"/>
        </w:rPr>
        <w:t> </w:t>
      </w:r>
      <w:r>
        <w:rPr>
          <w:color w:val="231F20"/>
        </w:rPr>
        <w:t>ha</w:t>
      </w:r>
      <w:r>
        <w:rPr>
          <w:color w:val="231F20"/>
          <w:spacing w:val="-9"/>
        </w:rPr>
        <w:t> </w:t>
      </w:r>
      <w:r>
        <w:rPr>
          <w:color w:val="231F20"/>
        </w:rPr>
        <w:t>convertido</w:t>
      </w:r>
      <w:r>
        <w:rPr>
          <w:color w:val="231F20"/>
          <w:spacing w:val="-10"/>
        </w:rPr>
        <w:t> </w:t>
      </w:r>
      <w:r>
        <w:rPr>
          <w:color w:val="231F20"/>
        </w:rPr>
        <w:t>en</w:t>
      </w:r>
      <w:r>
        <w:rPr>
          <w:color w:val="231F20"/>
          <w:spacing w:val="-9"/>
        </w:rPr>
        <w:t> </w:t>
      </w:r>
      <w:r>
        <w:rPr>
          <w:color w:val="231F20"/>
        </w:rPr>
        <w:t>zona</w:t>
      </w:r>
      <w:r>
        <w:rPr>
          <w:color w:val="231F20"/>
          <w:spacing w:val="-9"/>
        </w:rPr>
        <w:t> </w:t>
      </w:r>
      <w:r>
        <w:rPr>
          <w:color w:val="231F20"/>
        </w:rPr>
        <w:t>de</w:t>
      </w:r>
      <w:r>
        <w:rPr>
          <w:color w:val="231F20"/>
          <w:spacing w:val="-9"/>
        </w:rPr>
        <w:t> </w:t>
      </w:r>
      <w:r>
        <w:rPr>
          <w:color w:val="231F20"/>
        </w:rPr>
        <w:t>riesgo </w:t>
      </w:r>
      <w:r>
        <w:rPr>
          <w:color w:val="231F20"/>
          <w:spacing w:val="-8"/>
        </w:rPr>
        <w:t>y, </w:t>
      </w:r>
      <w:r>
        <w:rPr>
          <w:color w:val="231F20"/>
        </w:rPr>
        <w:t>a su vez, convertida en franja vital dentro del esquema de seguridad na- cional aplicado a partir de los lamentables acontecimientos de septiembre de 2001.</w:t>
      </w:r>
    </w:p>
    <w:p>
      <w:pPr>
        <w:pStyle w:val="BodyText"/>
        <w:spacing w:line="247" w:lineRule="auto"/>
        <w:ind w:left="117" w:right="114" w:firstLine="283"/>
        <w:jc w:val="both"/>
      </w:pPr>
      <w:r>
        <w:rPr>
          <w:color w:val="231F20"/>
        </w:rPr>
        <w:t>Otros problemas a que se enfrentan los migrantes mexicanos, una vez logrado el acceso a territorio estadounidense, tienen que ver con diversas manifestaciones de la política discriminatoria que segrega a los migrantes cancelando o reduciéndoles el acceso a derechos básicos. Incluso, muchas veces los migrantes deben sufrir el permanente acoso y agresión de los cuerpos policiacos cobijados por las recientes disposiciones aprobadas en algunos estados de la Unión Americana; tales disposiciones criminalizan de</w:t>
      </w:r>
      <w:r>
        <w:rPr>
          <w:color w:val="231F20"/>
          <w:spacing w:val="-6"/>
        </w:rPr>
        <w:t> </w:t>
      </w:r>
      <w:r>
        <w:rPr>
          <w:color w:val="231F20"/>
        </w:rPr>
        <w:t>facto</w:t>
      </w:r>
      <w:r>
        <w:rPr>
          <w:color w:val="231F20"/>
          <w:spacing w:val="-6"/>
        </w:rPr>
        <w:t> </w:t>
      </w:r>
      <w:r>
        <w:rPr>
          <w:color w:val="231F20"/>
        </w:rPr>
        <w:t>cualquier</w:t>
      </w:r>
      <w:r>
        <w:rPr>
          <w:color w:val="231F20"/>
          <w:spacing w:val="-6"/>
        </w:rPr>
        <w:t> </w:t>
      </w:r>
      <w:r>
        <w:rPr>
          <w:color w:val="231F20"/>
        </w:rPr>
        <w:t>acción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mexicanos</w:t>
      </w:r>
      <w:r>
        <w:rPr>
          <w:color w:val="231F20"/>
          <w:spacing w:val="-7"/>
        </w:rPr>
        <w:t> </w:t>
      </w:r>
      <w:r>
        <w:rPr>
          <w:color w:val="231F20"/>
        </w:rPr>
        <w:t>al</w:t>
      </w:r>
      <w:r>
        <w:rPr>
          <w:color w:val="231F20"/>
          <w:spacing w:val="-6"/>
        </w:rPr>
        <w:t> </w:t>
      </w:r>
      <w:r>
        <w:rPr>
          <w:color w:val="231F20"/>
        </w:rPr>
        <w:t>exigir</w:t>
      </w:r>
      <w:r>
        <w:rPr>
          <w:color w:val="231F20"/>
          <w:spacing w:val="-6"/>
        </w:rPr>
        <w:t> </w:t>
      </w:r>
      <w:r>
        <w:rPr>
          <w:color w:val="231F20"/>
        </w:rPr>
        <w:t>respeto</w:t>
      </w:r>
      <w:r>
        <w:rPr>
          <w:color w:val="231F20"/>
          <w:spacing w:val="-6"/>
        </w:rPr>
        <w:t> </w:t>
      </w:r>
      <w:r>
        <w:rPr>
          <w:color w:val="231F20"/>
        </w:rPr>
        <w:t>a</w:t>
      </w:r>
      <w:r>
        <w:rPr>
          <w:color w:val="231F20"/>
          <w:spacing w:val="-6"/>
        </w:rPr>
        <w:t> </w:t>
      </w:r>
      <w:r>
        <w:rPr>
          <w:color w:val="231F20"/>
        </w:rPr>
        <w:t>sus</w:t>
      </w:r>
      <w:r>
        <w:rPr>
          <w:color w:val="231F20"/>
          <w:spacing w:val="-6"/>
        </w:rPr>
        <w:t> </w:t>
      </w:r>
      <w:r>
        <w:rPr>
          <w:color w:val="231F20"/>
        </w:rPr>
        <w:t>derechos humanos, por lo que los ámbitos laboral y familiar se tornan inseguros al reducirse los espacios de tránsito e interacción entre las comunidades de migrantes.</w:t>
      </w:r>
    </w:p>
    <w:p>
      <w:pPr>
        <w:pStyle w:val="BodyText"/>
        <w:spacing w:line="247" w:lineRule="auto"/>
        <w:ind w:left="117" w:right="114" w:firstLine="283"/>
        <w:jc w:val="both"/>
      </w:pPr>
      <w:r>
        <w:rPr>
          <w:color w:val="231F20"/>
        </w:rPr>
        <w:t>La política discriminatoria desde el sector gubernamental de Estados Unidos, apoyada y alentada por sectores racistas y xenófobos, incubados incluso por algunos sectores empresariales, ha generado un marco de hos-</w:t>
      </w:r>
    </w:p>
    <w:p>
      <w:pPr>
        <w:spacing w:after="0" w:line="247" w:lineRule="auto"/>
        <w:jc w:val="both"/>
        <w:sectPr>
          <w:pgSz w:w="9360" w:h="13040"/>
          <w:pgMar w:header="0" w:footer="496" w:top="800" w:bottom="680" w:left="1300" w:right="1300"/>
        </w:sectPr>
      </w:pPr>
    </w:p>
    <w:p>
      <w:pPr>
        <w:spacing w:before="45"/>
        <w:ind w:left="117" w:right="0" w:firstLine="89"/>
        <w:jc w:val="both"/>
        <w:rPr>
          <w:rFonts w:ascii="Arial" w:hAnsi="Arial"/>
          <w:sz w:val="20"/>
        </w:rPr>
      </w:pPr>
      <w:r>
        <w:rPr>
          <w:rFonts w:ascii="Arial" w:hAnsi="Arial"/>
          <w:color w:val="231F20"/>
          <w:w w:val="70"/>
          <w:sz w:val="20"/>
        </w:rPr>
        <w:t>Redes    migratorias y políticas públicas de la migración internacional guerrerense /Artemio López-Ríos</w:t>
      </w:r>
    </w:p>
    <w:p>
      <w:pPr>
        <w:pStyle w:val="BodyText"/>
        <w:spacing w:before="7"/>
        <w:rPr>
          <w:rFonts w:ascii="Arial"/>
          <w:sz w:val="28"/>
        </w:rPr>
      </w:pPr>
    </w:p>
    <w:p>
      <w:pPr>
        <w:pStyle w:val="BodyText"/>
        <w:spacing w:line="247" w:lineRule="auto"/>
        <w:ind w:left="117" w:right="115"/>
        <w:jc w:val="both"/>
      </w:pPr>
      <w:r>
        <w:rPr>
          <w:color w:val="231F20"/>
        </w:rPr>
        <w:t>tilidad</w:t>
      </w:r>
      <w:r>
        <w:rPr>
          <w:color w:val="231F20"/>
          <w:spacing w:val="-8"/>
        </w:rPr>
        <w:t> </w:t>
      </w:r>
      <w:r>
        <w:rPr>
          <w:color w:val="231F20"/>
        </w:rPr>
        <w:t>hacia</w:t>
      </w:r>
      <w:r>
        <w:rPr>
          <w:color w:val="231F20"/>
          <w:spacing w:val="-7"/>
        </w:rPr>
        <w:t> </w:t>
      </w:r>
      <w:r>
        <w:rPr>
          <w:color w:val="231F20"/>
        </w:rPr>
        <w:t>los</w:t>
      </w:r>
      <w:r>
        <w:rPr>
          <w:color w:val="231F20"/>
          <w:spacing w:val="-7"/>
        </w:rPr>
        <w:t> </w:t>
      </w:r>
      <w:r>
        <w:rPr>
          <w:color w:val="231F20"/>
        </w:rPr>
        <w:t>migrantes</w:t>
      </w:r>
      <w:r>
        <w:rPr>
          <w:color w:val="231F20"/>
          <w:spacing w:val="-7"/>
        </w:rPr>
        <w:t> </w:t>
      </w:r>
      <w:r>
        <w:rPr>
          <w:color w:val="231F20"/>
        </w:rPr>
        <w:t>mexicanos.</w:t>
      </w:r>
      <w:r>
        <w:rPr>
          <w:color w:val="231F20"/>
          <w:spacing w:val="-7"/>
        </w:rPr>
        <w:t> </w:t>
      </w:r>
      <w:r>
        <w:rPr>
          <w:color w:val="231F20"/>
        </w:rPr>
        <w:t>Ello</w:t>
      </w:r>
      <w:r>
        <w:rPr>
          <w:color w:val="231F20"/>
          <w:spacing w:val="-7"/>
        </w:rPr>
        <w:t> </w:t>
      </w:r>
      <w:r>
        <w:rPr>
          <w:color w:val="231F20"/>
        </w:rPr>
        <w:t>se</w:t>
      </w:r>
      <w:r>
        <w:rPr>
          <w:color w:val="231F20"/>
          <w:spacing w:val="-7"/>
        </w:rPr>
        <w:t> </w:t>
      </w:r>
      <w:r>
        <w:rPr>
          <w:color w:val="231F20"/>
        </w:rPr>
        <w:t>refleja</w:t>
      </w:r>
      <w:r>
        <w:rPr>
          <w:color w:val="231F20"/>
          <w:spacing w:val="-7"/>
        </w:rPr>
        <w:t> </w:t>
      </w:r>
      <w:r>
        <w:rPr>
          <w:color w:val="231F20"/>
        </w:rPr>
        <w:t>en</w:t>
      </w:r>
      <w:r>
        <w:rPr>
          <w:color w:val="231F20"/>
          <w:spacing w:val="-7"/>
        </w:rPr>
        <w:t> </w:t>
      </w:r>
      <w:r>
        <w:rPr>
          <w:color w:val="231F20"/>
        </w:rPr>
        <w:t>políticas</w:t>
      </w:r>
      <w:r>
        <w:rPr>
          <w:color w:val="231F20"/>
          <w:spacing w:val="-8"/>
        </w:rPr>
        <w:t> </w:t>
      </w:r>
      <w:r>
        <w:rPr>
          <w:color w:val="231F20"/>
        </w:rPr>
        <w:t>salariales que han deteriorado sensiblemente el ingreso de la población de origen mexicano, negación de servicios asistenciales en instituciones de salud, educación, etc. Si se agrega la negativa de representantes al congreso para dar entrada a una iniciativa de reforma migratoria, el ambiente se torna altamente negativo para el futuro de los migrantes mexicanos, particular- mente para el sector que se encuentra en calidad de</w:t>
      </w:r>
      <w:r>
        <w:rPr>
          <w:color w:val="231F20"/>
          <w:spacing w:val="-10"/>
        </w:rPr>
        <w:t> </w:t>
      </w:r>
      <w:r>
        <w:rPr>
          <w:color w:val="231F20"/>
        </w:rPr>
        <w:t>“indocumentado”.</w:t>
      </w:r>
    </w:p>
    <w:p>
      <w:pPr>
        <w:pStyle w:val="BodyText"/>
        <w:spacing w:line="247" w:lineRule="auto"/>
        <w:ind w:left="117" w:right="114" w:firstLine="283"/>
        <w:jc w:val="both"/>
      </w:pPr>
      <w:r>
        <w:rPr>
          <w:color w:val="231F20"/>
        </w:rPr>
        <w:t>En un panorama de cancelación de derechos y de reducción de oportu- nidades, tal parece que a los migrantes no les queda otra opción que orga- nizarse</w:t>
      </w:r>
      <w:r>
        <w:rPr>
          <w:color w:val="231F20"/>
          <w:spacing w:val="-11"/>
        </w:rPr>
        <w:t> </w:t>
      </w:r>
      <w:r>
        <w:rPr>
          <w:color w:val="231F20"/>
        </w:rPr>
        <w:t>para</w:t>
      </w:r>
      <w:r>
        <w:rPr>
          <w:color w:val="231F20"/>
          <w:spacing w:val="-12"/>
        </w:rPr>
        <w:t> </w:t>
      </w:r>
      <w:r>
        <w:rPr>
          <w:color w:val="231F20"/>
        </w:rPr>
        <w:t>reclamar</w:t>
      </w:r>
      <w:r>
        <w:rPr>
          <w:color w:val="231F20"/>
          <w:spacing w:val="-11"/>
        </w:rPr>
        <w:t> </w:t>
      </w:r>
      <w:r>
        <w:rPr>
          <w:color w:val="231F20"/>
        </w:rPr>
        <w:t>y</w:t>
      </w:r>
      <w:r>
        <w:rPr>
          <w:color w:val="231F20"/>
          <w:spacing w:val="-11"/>
        </w:rPr>
        <w:t> </w:t>
      </w:r>
      <w:r>
        <w:rPr>
          <w:color w:val="231F20"/>
        </w:rPr>
        <w:t>hacer</w:t>
      </w:r>
      <w:r>
        <w:rPr>
          <w:color w:val="231F20"/>
          <w:spacing w:val="-12"/>
        </w:rPr>
        <w:t> </w:t>
      </w:r>
      <w:r>
        <w:rPr>
          <w:color w:val="231F20"/>
        </w:rPr>
        <w:t>valer</w:t>
      </w:r>
      <w:r>
        <w:rPr>
          <w:color w:val="231F20"/>
          <w:spacing w:val="-11"/>
        </w:rPr>
        <w:t> </w:t>
      </w:r>
      <w:r>
        <w:rPr>
          <w:color w:val="231F20"/>
        </w:rPr>
        <w:t>sus</w:t>
      </w:r>
      <w:r>
        <w:rPr>
          <w:color w:val="231F20"/>
          <w:spacing w:val="-11"/>
        </w:rPr>
        <w:t> </w:t>
      </w:r>
      <w:r>
        <w:rPr>
          <w:color w:val="231F20"/>
        </w:rPr>
        <w:t>derechos.</w:t>
      </w:r>
      <w:r>
        <w:rPr>
          <w:color w:val="231F20"/>
          <w:spacing w:val="-12"/>
        </w:rPr>
        <w:t> </w:t>
      </w:r>
      <w:r>
        <w:rPr>
          <w:color w:val="231F20"/>
        </w:rPr>
        <w:t>Lograr</w:t>
      </w:r>
      <w:r>
        <w:rPr>
          <w:color w:val="231F20"/>
          <w:spacing w:val="-12"/>
        </w:rPr>
        <w:t> </w:t>
      </w:r>
      <w:r>
        <w:rPr>
          <w:color w:val="231F20"/>
        </w:rPr>
        <w:t>ser</w:t>
      </w:r>
      <w:r>
        <w:rPr>
          <w:color w:val="231F20"/>
          <w:spacing w:val="-11"/>
        </w:rPr>
        <w:t> </w:t>
      </w:r>
      <w:r>
        <w:rPr>
          <w:color w:val="231F20"/>
        </w:rPr>
        <w:t>visible</w:t>
      </w:r>
      <w:r>
        <w:rPr>
          <w:color w:val="231F20"/>
          <w:spacing w:val="-11"/>
        </w:rPr>
        <w:t> </w:t>
      </w:r>
      <w:r>
        <w:rPr>
          <w:color w:val="231F20"/>
        </w:rPr>
        <w:t>ante</w:t>
      </w:r>
      <w:r>
        <w:rPr>
          <w:color w:val="231F20"/>
          <w:spacing w:val="-12"/>
        </w:rPr>
        <w:t> </w:t>
      </w:r>
      <w:r>
        <w:rPr>
          <w:color w:val="231F20"/>
        </w:rPr>
        <w:t>los ojos e intereses de autoridades y sectores empresariales, pero sobre todo hacer valer derechos elementales en el marco del Derecho internacional y de las propias disposiciones legales de Estados Unidos, sin duda será una enorme tarea. Para avanzar en tal sentido, los migrantes primero tendrán que estructurarse en formas de organización social y política, a través de instancias diversas de</w:t>
      </w:r>
      <w:r>
        <w:rPr>
          <w:color w:val="231F20"/>
          <w:spacing w:val="-1"/>
        </w:rPr>
        <w:t> </w:t>
      </w:r>
      <w:r>
        <w:rPr>
          <w:color w:val="231F20"/>
        </w:rPr>
        <w:t>representación.</w:t>
      </w:r>
    </w:p>
    <w:p>
      <w:pPr>
        <w:pStyle w:val="BodyText"/>
        <w:spacing w:line="247" w:lineRule="auto"/>
        <w:ind w:left="117" w:right="114" w:firstLine="283"/>
        <w:jc w:val="both"/>
      </w:pPr>
      <w:r>
        <w:rPr>
          <w:color w:val="231F20"/>
        </w:rPr>
        <w:t>En algunos estados de la Unión se han dado algunos pasos tendientes</w:t>
      </w:r>
      <w:r>
        <w:rPr>
          <w:color w:val="231F20"/>
          <w:spacing w:val="-21"/>
        </w:rPr>
        <w:t> </w:t>
      </w:r>
      <w:r>
        <w:rPr>
          <w:color w:val="231F20"/>
        </w:rPr>
        <w:t>a la organización de los migrantes. Estados como California, Illinois y Nue- va</w:t>
      </w:r>
      <w:r>
        <w:rPr>
          <w:color w:val="231F20"/>
          <w:spacing w:val="-15"/>
        </w:rPr>
        <w:t> </w:t>
      </w:r>
      <w:r>
        <w:rPr>
          <w:color w:val="231F20"/>
          <w:spacing w:val="-6"/>
        </w:rPr>
        <w:t>York</w:t>
      </w:r>
      <w:r>
        <w:rPr>
          <w:color w:val="231F20"/>
          <w:spacing w:val="-7"/>
        </w:rPr>
        <w:t> </w:t>
      </w:r>
      <w:r>
        <w:rPr>
          <w:color w:val="231F20"/>
        </w:rPr>
        <w:t>ya</w:t>
      </w:r>
      <w:r>
        <w:rPr>
          <w:color w:val="231F20"/>
          <w:spacing w:val="-7"/>
        </w:rPr>
        <w:t> </w:t>
      </w:r>
      <w:r>
        <w:rPr>
          <w:color w:val="231F20"/>
        </w:rPr>
        <w:t>son</w:t>
      </w:r>
      <w:r>
        <w:rPr>
          <w:color w:val="231F20"/>
          <w:spacing w:val="-7"/>
        </w:rPr>
        <w:t> </w:t>
      </w:r>
      <w:r>
        <w:rPr>
          <w:color w:val="231F20"/>
        </w:rPr>
        <w:t>testigos</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conformación</w:t>
      </w:r>
      <w:r>
        <w:rPr>
          <w:color w:val="231F20"/>
          <w:spacing w:val="-8"/>
        </w:rPr>
        <w:t> </w:t>
      </w:r>
      <w:r>
        <w:rPr>
          <w:color w:val="231F20"/>
        </w:rPr>
        <w:t>de</w:t>
      </w:r>
      <w:r>
        <w:rPr>
          <w:color w:val="231F20"/>
          <w:spacing w:val="-7"/>
        </w:rPr>
        <w:t> </w:t>
      </w:r>
      <w:r>
        <w:rPr>
          <w:color w:val="231F20"/>
        </w:rPr>
        <w:t>incipientes</w:t>
      </w:r>
      <w:r>
        <w:rPr>
          <w:color w:val="231F20"/>
          <w:spacing w:val="-8"/>
        </w:rPr>
        <w:t> </w:t>
      </w:r>
      <w:r>
        <w:rPr>
          <w:color w:val="231F20"/>
        </w:rPr>
        <w:t>estructuras</w:t>
      </w:r>
      <w:r>
        <w:rPr>
          <w:color w:val="231F20"/>
          <w:spacing w:val="-8"/>
        </w:rPr>
        <w:t> </w:t>
      </w:r>
      <w:r>
        <w:rPr>
          <w:color w:val="231F20"/>
        </w:rPr>
        <w:t>orga- nizativas. En éstos han sido clave el factor comunitario y la descendencia, así</w:t>
      </w:r>
      <w:r>
        <w:rPr>
          <w:color w:val="231F20"/>
          <w:spacing w:val="-13"/>
        </w:rPr>
        <w:t> </w:t>
      </w:r>
      <w:r>
        <w:rPr>
          <w:color w:val="231F20"/>
        </w:rPr>
        <w:t>como</w:t>
      </w:r>
      <w:r>
        <w:rPr>
          <w:color w:val="231F20"/>
          <w:spacing w:val="-13"/>
        </w:rPr>
        <w:t> </w:t>
      </w:r>
      <w:r>
        <w:rPr>
          <w:color w:val="231F20"/>
        </w:rPr>
        <w:t>la</w:t>
      </w:r>
      <w:r>
        <w:rPr>
          <w:color w:val="231F20"/>
          <w:spacing w:val="-12"/>
        </w:rPr>
        <w:t> </w:t>
      </w:r>
      <w:r>
        <w:rPr>
          <w:color w:val="231F20"/>
        </w:rPr>
        <w:t>herencia</w:t>
      </w:r>
      <w:r>
        <w:rPr>
          <w:color w:val="231F20"/>
          <w:spacing w:val="-12"/>
        </w:rPr>
        <w:t> </w:t>
      </w:r>
      <w:r>
        <w:rPr>
          <w:color w:val="231F20"/>
        </w:rPr>
        <w:t>cultural</w:t>
      </w:r>
      <w:r>
        <w:rPr>
          <w:color w:val="231F20"/>
          <w:spacing w:val="-13"/>
        </w:rPr>
        <w:t> </w:t>
      </w:r>
      <w:r>
        <w:rPr>
          <w:color w:val="231F20"/>
        </w:rPr>
        <w:t>que</w:t>
      </w:r>
      <w:r>
        <w:rPr>
          <w:color w:val="231F20"/>
          <w:spacing w:val="-12"/>
        </w:rPr>
        <w:t> </w:t>
      </w:r>
      <w:r>
        <w:rPr>
          <w:color w:val="231F20"/>
        </w:rPr>
        <w:t>se</w:t>
      </w:r>
      <w:r>
        <w:rPr>
          <w:color w:val="231F20"/>
          <w:spacing w:val="-12"/>
        </w:rPr>
        <w:t> </w:t>
      </w:r>
      <w:r>
        <w:rPr>
          <w:color w:val="231F20"/>
        </w:rPr>
        <w:t>desplaza</w:t>
      </w:r>
      <w:r>
        <w:rPr>
          <w:color w:val="231F20"/>
          <w:spacing w:val="-12"/>
        </w:rPr>
        <w:t> </w:t>
      </w:r>
      <w:r>
        <w:rPr>
          <w:color w:val="231F20"/>
        </w:rPr>
        <w:t>hacia</w:t>
      </w:r>
      <w:r>
        <w:rPr>
          <w:color w:val="231F20"/>
          <w:spacing w:val="-12"/>
        </w:rPr>
        <w:t> </w:t>
      </w:r>
      <w:r>
        <w:rPr>
          <w:color w:val="231F20"/>
        </w:rPr>
        <w:t>otras</w:t>
      </w:r>
      <w:r>
        <w:rPr>
          <w:color w:val="231F20"/>
          <w:spacing w:val="-12"/>
        </w:rPr>
        <w:t> </w:t>
      </w:r>
      <w:r>
        <w:rPr>
          <w:color w:val="231F20"/>
        </w:rPr>
        <w:t>fronteras</w:t>
      </w:r>
      <w:r>
        <w:rPr>
          <w:color w:val="231F20"/>
          <w:spacing w:val="-12"/>
        </w:rPr>
        <w:t> </w:t>
      </w:r>
      <w:r>
        <w:rPr>
          <w:color w:val="231F20"/>
        </w:rPr>
        <w:t>motivan- do la identidad y la pertenencia. En tal sentido, la experiencia de los mi- grantes</w:t>
      </w:r>
      <w:r>
        <w:rPr>
          <w:color w:val="231F20"/>
          <w:spacing w:val="-11"/>
        </w:rPr>
        <w:t> </w:t>
      </w:r>
      <w:r>
        <w:rPr>
          <w:color w:val="231F20"/>
        </w:rPr>
        <w:t>zacatecanos</w:t>
      </w:r>
      <w:r>
        <w:rPr>
          <w:color w:val="231F20"/>
          <w:spacing w:val="-12"/>
        </w:rPr>
        <w:t> </w:t>
      </w:r>
      <w:r>
        <w:rPr>
          <w:color w:val="231F20"/>
        </w:rPr>
        <w:t>y</w:t>
      </w:r>
      <w:r>
        <w:rPr>
          <w:color w:val="231F20"/>
          <w:spacing w:val="-11"/>
        </w:rPr>
        <w:t> </w:t>
      </w:r>
      <w:r>
        <w:rPr>
          <w:color w:val="231F20"/>
        </w:rPr>
        <w:t>oaxaqueños</w:t>
      </w:r>
      <w:r>
        <w:rPr>
          <w:color w:val="231F20"/>
          <w:spacing w:val="-11"/>
        </w:rPr>
        <w:t> </w:t>
      </w:r>
      <w:r>
        <w:rPr>
          <w:color w:val="231F20"/>
        </w:rPr>
        <w:t>en</w:t>
      </w:r>
      <w:r>
        <w:rPr>
          <w:color w:val="231F20"/>
          <w:spacing w:val="-12"/>
        </w:rPr>
        <w:t> </w:t>
      </w:r>
      <w:r>
        <w:rPr>
          <w:color w:val="231F20"/>
        </w:rPr>
        <w:t>California,</w:t>
      </w:r>
      <w:r>
        <w:rPr>
          <w:color w:val="231F20"/>
          <w:spacing w:val="-11"/>
        </w:rPr>
        <w:t> </w:t>
      </w:r>
      <w:r>
        <w:rPr>
          <w:color w:val="231F20"/>
        </w:rPr>
        <w:t>igual</w:t>
      </w:r>
      <w:r>
        <w:rPr>
          <w:color w:val="231F20"/>
          <w:spacing w:val="-12"/>
        </w:rPr>
        <w:t> </w:t>
      </w:r>
      <w:r>
        <w:rPr>
          <w:color w:val="231F20"/>
        </w:rPr>
        <w:t>que</w:t>
      </w:r>
      <w:r>
        <w:rPr>
          <w:color w:val="231F20"/>
          <w:spacing w:val="-11"/>
        </w:rPr>
        <w:t> </w:t>
      </w:r>
      <w:r>
        <w:rPr>
          <w:color w:val="231F20"/>
        </w:rPr>
        <w:t>los</w:t>
      </w:r>
      <w:r>
        <w:rPr>
          <w:color w:val="231F20"/>
          <w:spacing w:val="-11"/>
        </w:rPr>
        <w:t> </w:t>
      </w:r>
      <w:r>
        <w:rPr>
          <w:color w:val="231F20"/>
        </w:rPr>
        <w:t>migrantes</w:t>
      </w:r>
      <w:r>
        <w:rPr>
          <w:color w:val="231F20"/>
          <w:spacing w:val="-12"/>
        </w:rPr>
        <w:t> </w:t>
      </w:r>
      <w:r>
        <w:rPr>
          <w:color w:val="231F20"/>
        </w:rPr>
        <w:t>de Guerrero en Chicago, dan cuenta de interesantes procesos de</w:t>
      </w:r>
      <w:r>
        <w:rPr>
          <w:color w:val="231F20"/>
          <w:spacing w:val="-29"/>
        </w:rPr>
        <w:t> </w:t>
      </w:r>
      <w:r>
        <w:rPr>
          <w:color w:val="231F20"/>
        </w:rPr>
        <w:t>organización tanto en Estados Unidos como en las comunidades mexicanas</w:t>
      </w:r>
      <w:r>
        <w:rPr>
          <w:color w:val="231F20"/>
          <w:spacing w:val="-13"/>
        </w:rPr>
        <w:t> </w:t>
      </w:r>
      <w:r>
        <w:rPr>
          <w:color w:val="231F20"/>
        </w:rPr>
        <w:t>expulsoras.</w:t>
      </w:r>
    </w:p>
    <w:p>
      <w:pPr>
        <w:pStyle w:val="Heading3"/>
      </w:pPr>
      <w:r>
        <w:rPr>
          <w:color w:val="231F20"/>
        </w:rPr>
        <w:t>Los migrantes y las redes migratorias</w:t>
      </w:r>
    </w:p>
    <w:p>
      <w:pPr>
        <w:pStyle w:val="BodyText"/>
        <w:spacing w:line="247" w:lineRule="auto" w:before="172"/>
        <w:ind w:left="117" w:right="115"/>
        <w:jc w:val="both"/>
      </w:pPr>
      <w:r>
        <w:rPr>
          <w:color w:val="231F20"/>
        </w:rPr>
        <w:t>De acuerdo con </w:t>
      </w:r>
      <w:r>
        <w:rPr>
          <w:color w:val="231F20"/>
          <w:spacing w:val="-3"/>
        </w:rPr>
        <w:t>Valenzuela </w:t>
      </w:r>
      <w:r>
        <w:rPr>
          <w:color w:val="231F20"/>
        </w:rPr>
        <w:t>(2004), los antecedentes de las primeras for- mas de organización se remontan a la integración de grupos de mexicanos aglutinados en torno a la idea y la práctica de la mutualidad. Dicha prácti- ca identifica a organizaciones de cooperación fraternas que combinaron la ayuda</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autoayuda</w:t>
      </w:r>
      <w:r>
        <w:rPr>
          <w:color w:val="231F20"/>
          <w:spacing w:val="-5"/>
        </w:rPr>
        <w:t> </w:t>
      </w:r>
      <w:r>
        <w:rPr>
          <w:color w:val="231F20"/>
        </w:rPr>
        <w:t>para</w:t>
      </w:r>
      <w:r>
        <w:rPr>
          <w:color w:val="231F20"/>
          <w:spacing w:val="-5"/>
        </w:rPr>
        <w:t> </w:t>
      </w:r>
      <w:r>
        <w:rPr>
          <w:color w:val="231F20"/>
        </w:rPr>
        <w:t>la</w:t>
      </w:r>
      <w:r>
        <w:rPr>
          <w:color w:val="231F20"/>
          <w:spacing w:val="-5"/>
        </w:rPr>
        <w:t> </w:t>
      </w:r>
      <w:r>
        <w:rPr>
          <w:color w:val="231F20"/>
        </w:rPr>
        <w:t>defensa</w:t>
      </w:r>
      <w:r>
        <w:rPr>
          <w:color w:val="231F20"/>
          <w:spacing w:val="-5"/>
        </w:rPr>
        <w:t> </w:t>
      </w:r>
      <w:r>
        <w:rPr>
          <w:color w:val="231F20"/>
        </w:rPr>
        <w:t>y</w:t>
      </w:r>
      <w:r>
        <w:rPr>
          <w:color w:val="231F20"/>
          <w:spacing w:val="-5"/>
        </w:rPr>
        <w:t> </w:t>
      </w:r>
      <w:r>
        <w:rPr>
          <w:color w:val="231F20"/>
        </w:rPr>
        <w:t>protección</w:t>
      </w:r>
      <w:r>
        <w:rPr>
          <w:color w:val="231F20"/>
          <w:spacing w:val="-5"/>
        </w:rPr>
        <w:t> </w:t>
      </w:r>
      <w:r>
        <w:rPr>
          <w:color w:val="231F20"/>
        </w:rPr>
        <w:t>de</w:t>
      </w:r>
      <w:r>
        <w:rPr>
          <w:color w:val="231F20"/>
          <w:spacing w:val="-5"/>
        </w:rPr>
        <w:t> </w:t>
      </w:r>
      <w:r>
        <w:rPr>
          <w:color w:val="231F20"/>
        </w:rPr>
        <w:t>mexicanos</w:t>
      </w:r>
      <w:r>
        <w:rPr>
          <w:color w:val="231F20"/>
          <w:spacing w:val="-5"/>
        </w:rPr>
        <w:t> </w:t>
      </w:r>
      <w:r>
        <w:rPr>
          <w:color w:val="231F20"/>
        </w:rPr>
        <w:t>asentados en el sur de California a fines del siglo XIX y principios del</w:t>
      </w:r>
      <w:r>
        <w:rPr>
          <w:color w:val="231F20"/>
          <w:spacing w:val="-12"/>
        </w:rPr>
        <w:t> </w:t>
      </w:r>
      <w:r>
        <w:rPr>
          <w:color w:val="231F20"/>
        </w:rPr>
        <w:t>XX.</w:t>
      </w:r>
    </w:p>
    <w:p>
      <w:pPr>
        <w:pStyle w:val="BodyText"/>
        <w:spacing w:line="247" w:lineRule="auto"/>
        <w:ind w:left="117" w:right="114" w:firstLine="283"/>
        <w:jc w:val="both"/>
      </w:pPr>
      <w:r>
        <w:rPr>
          <w:color w:val="231F20"/>
        </w:rPr>
        <w:t>Más adelante, la denominada comunidad México-Americana habría de orientar esfuerzos por construir instancias organizativas para defender los derechos</w:t>
      </w:r>
      <w:r>
        <w:rPr>
          <w:color w:val="231F20"/>
          <w:spacing w:val="-7"/>
        </w:rPr>
        <w:t> </w:t>
      </w:r>
      <w:r>
        <w:rPr>
          <w:color w:val="231F20"/>
        </w:rPr>
        <w:t>de</w:t>
      </w:r>
      <w:r>
        <w:rPr>
          <w:color w:val="231F20"/>
          <w:spacing w:val="-7"/>
        </w:rPr>
        <w:t> </w:t>
      </w:r>
      <w:r>
        <w:rPr>
          <w:color w:val="231F20"/>
        </w:rPr>
        <w:t>mexicanos</w:t>
      </w:r>
      <w:r>
        <w:rPr>
          <w:color w:val="231F20"/>
          <w:spacing w:val="-8"/>
        </w:rPr>
        <w:t> </w:t>
      </w:r>
      <w:r>
        <w:rPr>
          <w:color w:val="231F20"/>
        </w:rPr>
        <w:t>asentados</w:t>
      </w:r>
      <w:r>
        <w:rPr>
          <w:color w:val="231F20"/>
          <w:spacing w:val="-8"/>
        </w:rPr>
        <w:t> </w:t>
      </w:r>
      <w:r>
        <w:rPr>
          <w:color w:val="231F20"/>
        </w:rPr>
        <w:t>en</w:t>
      </w:r>
      <w:r>
        <w:rPr>
          <w:color w:val="231F20"/>
          <w:spacing w:val="-7"/>
        </w:rPr>
        <w:t> </w:t>
      </w:r>
      <w:r>
        <w:rPr>
          <w:color w:val="231F20"/>
        </w:rPr>
        <w:t>Estados</w:t>
      </w:r>
      <w:r>
        <w:rPr>
          <w:color w:val="231F20"/>
          <w:spacing w:val="-8"/>
        </w:rPr>
        <w:t> </w:t>
      </w:r>
      <w:r>
        <w:rPr>
          <w:color w:val="231F20"/>
        </w:rPr>
        <w:t>Unidos.</w:t>
      </w:r>
      <w:r>
        <w:rPr>
          <w:color w:val="231F20"/>
          <w:spacing w:val="-7"/>
        </w:rPr>
        <w:t> </w:t>
      </w:r>
      <w:r>
        <w:rPr>
          <w:color w:val="231F20"/>
        </w:rPr>
        <w:t>El</w:t>
      </w:r>
      <w:r>
        <w:rPr>
          <w:color w:val="231F20"/>
          <w:spacing w:val="-7"/>
        </w:rPr>
        <w:t> </w:t>
      </w:r>
      <w:r>
        <w:rPr>
          <w:color w:val="231F20"/>
        </w:rPr>
        <w:t>carácter</w:t>
      </w:r>
      <w:r>
        <w:rPr>
          <w:color w:val="231F20"/>
          <w:spacing w:val="-8"/>
        </w:rPr>
        <w:t> </w:t>
      </w:r>
      <w:r>
        <w:rPr>
          <w:color w:val="231F20"/>
        </w:rPr>
        <w:t>de</w:t>
      </w:r>
      <w:r>
        <w:rPr>
          <w:color w:val="231F20"/>
          <w:spacing w:val="-7"/>
        </w:rPr>
        <w:t> </w:t>
      </w:r>
      <w:r>
        <w:rPr>
          <w:color w:val="231F20"/>
        </w:rPr>
        <w:t>dichas figuras estaba determinado por la necesidad de organizarse para participar políticamente en perspectiva de asegurar espacios de representación y de- fensa de sectores de mexicanos en estados como California y </w:t>
      </w:r>
      <w:r>
        <w:rPr>
          <w:color w:val="231F20"/>
          <w:spacing w:val="-3"/>
        </w:rPr>
        <w:t>Texas. </w:t>
      </w:r>
      <w:r>
        <w:rPr>
          <w:color w:val="231F20"/>
          <w:spacing w:val="43"/>
        </w:rPr>
        <w:t> </w:t>
      </w:r>
      <w:r>
        <w:rPr>
          <w:color w:val="231F20"/>
        </w:rPr>
        <w:t>Así,</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spacing w:line="247" w:lineRule="auto" w:before="1"/>
        <w:ind w:left="117" w:right="115" w:firstLine="0"/>
        <w:jc w:val="both"/>
        <w:rPr>
          <w:sz w:val="22"/>
        </w:rPr>
      </w:pPr>
      <w:r>
        <w:rPr>
          <w:color w:val="231F20"/>
          <w:sz w:val="22"/>
        </w:rPr>
        <w:t>en 1947 se fundó en Los Ángeles la </w:t>
      </w:r>
      <w:r>
        <w:rPr>
          <w:i/>
          <w:color w:val="231F20"/>
          <w:sz w:val="22"/>
        </w:rPr>
        <w:t>Community Services Organization</w:t>
      </w:r>
      <w:r>
        <w:rPr>
          <w:color w:val="231F20"/>
          <w:sz w:val="22"/>
        </w:rPr>
        <w:t>;  en 1959 surgió la </w:t>
      </w:r>
      <w:r>
        <w:rPr>
          <w:i/>
          <w:color w:val="231F20"/>
          <w:sz w:val="22"/>
        </w:rPr>
        <w:t>Mexican American Political Association</w:t>
      </w:r>
      <w:r>
        <w:rPr>
          <w:color w:val="231F20"/>
          <w:sz w:val="22"/>
        </w:rPr>
        <w:t>; en 1964 Cesar Chávez organizó la Asociación Nacional de Trabajadores Agrícolas que amplió su influencia hasta la década de los ochentas </w:t>
      </w:r>
      <w:r>
        <w:rPr>
          <w:color w:val="231F20"/>
          <w:spacing w:val="-3"/>
          <w:sz w:val="22"/>
        </w:rPr>
        <w:t>(Valenzuela,</w:t>
      </w:r>
      <w:r>
        <w:rPr>
          <w:color w:val="231F20"/>
          <w:spacing w:val="-2"/>
          <w:sz w:val="22"/>
        </w:rPr>
        <w:t> </w:t>
      </w:r>
      <w:r>
        <w:rPr>
          <w:color w:val="231F20"/>
          <w:sz w:val="22"/>
        </w:rPr>
        <w:t>2004).</w:t>
      </w:r>
    </w:p>
    <w:p>
      <w:pPr>
        <w:pStyle w:val="BodyText"/>
        <w:spacing w:line="247" w:lineRule="auto"/>
        <w:ind w:left="117" w:right="114" w:firstLine="283"/>
        <w:jc w:val="both"/>
      </w:pPr>
      <w:r>
        <w:rPr>
          <w:color w:val="231F20"/>
        </w:rPr>
        <w:t>En tiempos más recientes, las formas organizativas de los migrantes mexicanos</w:t>
      </w:r>
      <w:r>
        <w:rPr>
          <w:color w:val="231F20"/>
          <w:spacing w:val="-9"/>
        </w:rPr>
        <w:t> </w:t>
      </w:r>
      <w:r>
        <w:rPr>
          <w:color w:val="231F20"/>
        </w:rPr>
        <w:t>asumen</w:t>
      </w:r>
      <w:r>
        <w:rPr>
          <w:color w:val="231F20"/>
          <w:spacing w:val="-8"/>
        </w:rPr>
        <w:t> </w:t>
      </w:r>
      <w:r>
        <w:rPr>
          <w:color w:val="231F20"/>
        </w:rPr>
        <w:t>el</w:t>
      </w:r>
      <w:r>
        <w:rPr>
          <w:color w:val="231F20"/>
          <w:spacing w:val="-8"/>
        </w:rPr>
        <w:t> </w:t>
      </w:r>
      <w:r>
        <w:rPr>
          <w:color w:val="231F20"/>
        </w:rPr>
        <w:t>carácter</w:t>
      </w:r>
      <w:r>
        <w:rPr>
          <w:color w:val="231F20"/>
          <w:spacing w:val="-8"/>
        </w:rPr>
        <w:t> </w:t>
      </w:r>
      <w:r>
        <w:rPr>
          <w:color w:val="231F20"/>
        </w:rPr>
        <w:t>de</w:t>
      </w:r>
      <w:r>
        <w:rPr>
          <w:color w:val="231F20"/>
          <w:spacing w:val="-8"/>
        </w:rPr>
        <w:t> </w:t>
      </w:r>
      <w:r>
        <w:rPr>
          <w:color w:val="231F20"/>
        </w:rPr>
        <w:t>redes</w:t>
      </w:r>
      <w:r>
        <w:rPr>
          <w:color w:val="231F20"/>
          <w:spacing w:val="-8"/>
        </w:rPr>
        <w:t> </w:t>
      </w:r>
      <w:r>
        <w:rPr>
          <w:color w:val="231F20"/>
        </w:rPr>
        <w:t>de</w:t>
      </w:r>
      <w:r>
        <w:rPr>
          <w:color w:val="231F20"/>
          <w:spacing w:val="-8"/>
        </w:rPr>
        <w:t> </w:t>
      </w:r>
      <w:r>
        <w:rPr>
          <w:color w:val="231F20"/>
        </w:rPr>
        <w:t>organización</w:t>
      </w:r>
      <w:r>
        <w:rPr>
          <w:color w:val="231F20"/>
          <w:spacing w:val="-8"/>
        </w:rPr>
        <w:t> </w:t>
      </w:r>
      <w:r>
        <w:rPr>
          <w:color w:val="231F20"/>
        </w:rPr>
        <w:t>ciudadana</w:t>
      </w:r>
      <w:r>
        <w:rPr>
          <w:color w:val="231F20"/>
          <w:spacing w:val="-9"/>
        </w:rPr>
        <w:t> </w:t>
      </w:r>
      <w:r>
        <w:rPr>
          <w:color w:val="231F20"/>
        </w:rPr>
        <w:t>que</w:t>
      </w:r>
      <w:r>
        <w:rPr>
          <w:color w:val="231F20"/>
          <w:spacing w:val="-8"/>
        </w:rPr>
        <w:t> </w:t>
      </w:r>
      <w:r>
        <w:rPr>
          <w:color w:val="231F20"/>
        </w:rPr>
        <w:t>sur- gen como organizaciones informales que tienen la capacidad de brindar ayuda a los inmigrados que arriban a Estados Unidos. De las organizacio- nes de migrantes que tienen amplia trayectoria y mayor experiencia, entre otros,</w:t>
      </w:r>
      <w:r>
        <w:rPr>
          <w:color w:val="231F20"/>
          <w:spacing w:val="-13"/>
        </w:rPr>
        <w:t> </w:t>
      </w:r>
      <w:r>
        <w:rPr>
          <w:color w:val="231F20"/>
        </w:rPr>
        <w:t>podemos</w:t>
      </w:r>
      <w:r>
        <w:rPr>
          <w:color w:val="231F20"/>
          <w:spacing w:val="-13"/>
        </w:rPr>
        <w:t> </w:t>
      </w:r>
      <w:r>
        <w:rPr>
          <w:color w:val="231F20"/>
        </w:rPr>
        <w:t>citar</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Federación</w:t>
      </w:r>
      <w:r>
        <w:rPr>
          <w:color w:val="231F20"/>
          <w:spacing w:val="-12"/>
        </w:rPr>
        <w:t> </w:t>
      </w:r>
      <w:r>
        <w:rPr>
          <w:color w:val="231F20"/>
        </w:rPr>
        <w:t>de</w:t>
      </w:r>
      <w:r>
        <w:rPr>
          <w:color w:val="231F20"/>
          <w:spacing w:val="-13"/>
        </w:rPr>
        <w:t> </w:t>
      </w:r>
      <w:r>
        <w:rPr>
          <w:color w:val="231F20"/>
        </w:rPr>
        <w:t>Clubes</w:t>
      </w:r>
      <w:r>
        <w:rPr>
          <w:color w:val="231F20"/>
          <w:spacing w:val="-13"/>
        </w:rPr>
        <w:t> </w:t>
      </w:r>
      <w:r>
        <w:rPr>
          <w:color w:val="231F20"/>
        </w:rPr>
        <w:t>Zacatecanos</w:t>
      </w:r>
      <w:r>
        <w:rPr>
          <w:color w:val="231F20"/>
          <w:spacing w:val="-13"/>
        </w:rPr>
        <w:t> </w:t>
      </w:r>
      <w:r>
        <w:rPr>
          <w:color w:val="231F20"/>
        </w:rPr>
        <w:t>Unidos</w:t>
      </w:r>
      <w:r>
        <w:rPr>
          <w:color w:val="231F20"/>
          <w:spacing w:val="-12"/>
        </w:rPr>
        <w:t> </w:t>
      </w:r>
      <w:r>
        <w:rPr>
          <w:color w:val="231F20"/>
        </w:rPr>
        <w:t>del</w:t>
      </w:r>
      <w:r>
        <w:rPr>
          <w:color w:val="231F20"/>
          <w:spacing w:val="-13"/>
        </w:rPr>
        <w:t> </w:t>
      </w:r>
      <w:r>
        <w:rPr>
          <w:color w:val="231F20"/>
        </w:rPr>
        <w:t>Sur de California y al Frente Indígena de Organizaciones Binacionales; estas instancias se han caracterizado por su permanencia y consistencia en la defensa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derechos</w:t>
      </w:r>
      <w:r>
        <w:rPr>
          <w:color w:val="231F20"/>
          <w:spacing w:val="-7"/>
        </w:rPr>
        <w:t> </w:t>
      </w:r>
      <w:r>
        <w:rPr>
          <w:color w:val="231F20"/>
        </w:rPr>
        <w:t>migrantes,</w:t>
      </w:r>
      <w:r>
        <w:rPr>
          <w:color w:val="231F20"/>
          <w:spacing w:val="-8"/>
        </w:rPr>
        <w:t> </w:t>
      </w:r>
      <w:r>
        <w:rPr>
          <w:color w:val="231F20"/>
        </w:rPr>
        <w:t>así</w:t>
      </w:r>
      <w:r>
        <w:rPr>
          <w:color w:val="231F20"/>
          <w:spacing w:val="-7"/>
        </w:rPr>
        <w:t> </w:t>
      </w:r>
      <w:r>
        <w:rPr>
          <w:color w:val="231F20"/>
        </w:rPr>
        <w:t>como</w:t>
      </w:r>
      <w:r>
        <w:rPr>
          <w:color w:val="231F20"/>
          <w:spacing w:val="-7"/>
        </w:rPr>
        <w:t> </w:t>
      </w:r>
      <w:r>
        <w:rPr>
          <w:color w:val="231F20"/>
        </w:rPr>
        <w:t>por</w:t>
      </w:r>
      <w:r>
        <w:rPr>
          <w:color w:val="231F20"/>
          <w:spacing w:val="-7"/>
        </w:rPr>
        <w:t> </w:t>
      </w:r>
      <w:r>
        <w:rPr>
          <w:color w:val="231F20"/>
        </w:rPr>
        <w:t>su</w:t>
      </w:r>
      <w:r>
        <w:rPr>
          <w:color w:val="231F20"/>
          <w:spacing w:val="-7"/>
        </w:rPr>
        <w:t> </w:t>
      </w:r>
      <w:r>
        <w:rPr>
          <w:color w:val="231F20"/>
        </w:rPr>
        <w:t>capacidad</w:t>
      </w:r>
      <w:r>
        <w:rPr>
          <w:color w:val="231F20"/>
          <w:spacing w:val="-8"/>
        </w:rPr>
        <w:t> </w:t>
      </w:r>
      <w:r>
        <w:rPr>
          <w:color w:val="231F20"/>
        </w:rPr>
        <w:t>organizativa para</w:t>
      </w:r>
      <w:r>
        <w:rPr>
          <w:color w:val="231F20"/>
          <w:spacing w:val="-4"/>
        </w:rPr>
        <w:t> </w:t>
      </w:r>
      <w:r>
        <w:rPr>
          <w:color w:val="231F20"/>
        </w:rPr>
        <w:t>generar</w:t>
      </w:r>
      <w:r>
        <w:rPr>
          <w:color w:val="231F20"/>
          <w:spacing w:val="-4"/>
        </w:rPr>
        <w:t> </w:t>
      </w:r>
      <w:r>
        <w:rPr>
          <w:color w:val="231F20"/>
        </w:rPr>
        <w:t>opciones</w:t>
      </w:r>
      <w:r>
        <w:rPr>
          <w:color w:val="231F20"/>
          <w:spacing w:val="-4"/>
        </w:rPr>
        <w:t> </w:t>
      </w:r>
      <w:r>
        <w:rPr>
          <w:color w:val="231F20"/>
        </w:rPr>
        <w:t>para</w:t>
      </w:r>
      <w:r>
        <w:rPr>
          <w:color w:val="231F20"/>
          <w:spacing w:val="-4"/>
        </w:rPr>
        <w:t> </w:t>
      </w:r>
      <w:r>
        <w:rPr>
          <w:color w:val="231F20"/>
        </w:rPr>
        <w:t>los</w:t>
      </w:r>
      <w:r>
        <w:rPr>
          <w:color w:val="231F20"/>
          <w:spacing w:val="-4"/>
        </w:rPr>
        <w:t> </w:t>
      </w:r>
      <w:r>
        <w:rPr>
          <w:color w:val="231F20"/>
        </w:rPr>
        <w:t>migrantes</w:t>
      </w:r>
      <w:r>
        <w:rPr>
          <w:color w:val="231F20"/>
          <w:spacing w:val="-4"/>
        </w:rPr>
        <w:t> </w:t>
      </w:r>
      <w:r>
        <w:rPr>
          <w:color w:val="231F20"/>
        </w:rPr>
        <w:t>tanto</w:t>
      </w:r>
      <w:r>
        <w:rPr>
          <w:color w:val="231F20"/>
          <w:spacing w:val="-4"/>
        </w:rPr>
        <w:t> </w:t>
      </w:r>
      <w:r>
        <w:rPr>
          <w:color w:val="231F20"/>
        </w:rPr>
        <w:t>en</w:t>
      </w:r>
      <w:r>
        <w:rPr>
          <w:color w:val="231F20"/>
          <w:spacing w:val="-4"/>
        </w:rPr>
        <w:t> </w:t>
      </w:r>
      <w:r>
        <w:rPr>
          <w:color w:val="231F20"/>
        </w:rPr>
        <w:t>las</w:t>
      </w:r>
      <w:r>
        <w:rPr>
          <w:color w:val="231F20"/>
          <w:spacing w:val="-4"/>
        </w:rPr>
        <w:t> </w:t>
      </w:r>
      <w:r>
        <w:rPr>
          <w:color w:val="231F20"/>
        </w:rPr>
        <w:t>comunidades</w:t>
      </w:r>
      <w:r>
        <w:rPr>
          <w:color w:val="231F20"/>
          <w:spacing w:val="-4"/>
        </w:rPr>
        <w:t> </w:t>
      </w:r>
      <w:r>
        <w:rPr>
          <w:color w:val="231F20"/>
        </w:rPr>
        <w:t>de</w:t>
      </w:r>
      <w:r>
        <w:rPr>
          <w:color w:val="231F20"/>
          <w:spacing w:val="-4"/>
        </w:rPr>
        <w:t> </w:t>
      </w:r>
      <w:r>
        <w:rPr>
          <w:color w:val="231F20"/>
        </w:rPr>
        <w:t>des- tino como en las comunidades</w:t>
      </w:r>
      <w:r>
        <w:rPr>
          <w:color w:val="231F20"/>
          <w:spacing w:val="-5"/>
        </w:rPr>
        <w:t> </w:t>
      </w:r>
      <w:r>
        <w:rPr>
          <w:color w:val="231F20"/>
        </w:rPr>
        <w:t>expulsoras.</w:t>
      </w:r>
    </w:p>
    <w:p>
      <w:pPr>
        <w:pStyle w:val="BodyText"/>
        <w:spacing w:line="247" w:lineRule="auto"/>
        <w:ind w:left="117" w:right="114" w:firstLine="283"/>
        <w:jc w:val="both"/>
      </w:pPr>
      <w:r>
        <w:rPr>
          <w:color w:val="231F20"/>
        </w:rPr>
        <w:t>En el estado de Guerrero, la presencia migrante se ha dejado sentir con fuerza en las tres últimas décadas. Aunque existe el antecedente de</w:t>
      </w:r>
      <w:r>
        <w:rPr>
          <w:color w:val="231F20"/>
          <w:spacing w:val="-28"/>
        </w:rPr>
        <w:t> </w:t>
      </w:r>
      <w:r>
        <w:rPr>
          <w:color w:val="231F20"/>
        </w:rPr>
        <w:t>impor- tantes oleadas migratorias asociadas al Programa Bracero, es un hecho in- controvertible</w:t>
      </w:r>
      <w:r>
        <w:rPr>
          <w:color w:val="231F20"/>
          <w:spacing w:val="-7"/>
        </w:rPr>
        <w:t> </w:t>
      </w:r>
      <w:r>
        <w:rPr>
          <w:color w:val="231F20"/>
        </w:rPr>
        <w:t>que</w:t>
      </w:r>
      <w:r>
        <w:rPr>
          <w:color w:val="231F20"/>
          <w:spacing w:val="-6"/>
        </w:rPr>
        <w:t> </w:t>
      </w:r>
      <w:r>
        <w:rPr>
          <w:color w:val="231F20"/>
        </w:rPr>
        <w:t>la</w:t>
      </w:r>
      <w:r>
        <w:rPr>
          <w:color w:val="231F20"/>
          <w:spacing w:val="-6"/>
        </w:rPr>
        <w:t> </w:t>
      </w:r>
      <w:r>
        <w:rPr>
          <w:color w:val="231F20"/>
        </w:rPr>
        <w:t>emergencia</w:t>
      </w:r>
      <w:r>
        <w:rPr>
          <w:color w:val="231F20"/>
          <w:spacing w:val="-6"/>
        </w:rPr>
        <w:t> </w:t>
      </w:r>
      <w:r>
        <w:rPr>
          <w:color w:val="231F20"/>
        </w:rPr>
        <w:t>del</w:t>
      </w:r>
      <w:r>
        <w:rPr>
          <w:color w:val="231F20"/>
          <w:spacing w:val="-6"/>
        </w:rPr>
        <w:t> </w:t>
      </w:r>
      <w:r>
        <w:rPr>
          <w:color w:val="231F20"/>
        </w:rPr>
        <w:t>fenómeno</w:t>
      </w:r>
      <w:r>
        <w:rPr>
          <w:color w:val="231F20"/>
          <w:spacing w:val="-6"/>
        </w:rPr>
        <w:t> </w:t>
      </w:r>
      <w:r>
        <w:rPr>
          <w:color w:val="231F20"/>
        </w:rPr>
        <w:t>migratorio</w:t>
      </w:r>
      <w:r>
        <w:rPr>
          <w:color w:val="231F20"/>
          <w:spacing w:val="-7"/>
        </w:rPr>
        <w:t> </w:t>
      </w:r>
      <w:r>
        <w:rPr>
          <w:color w:val="231F20"/>
        </w:rPr>
        <w:t>de</w:t>
      </w:r>
      <w:r>
        <w:rPr>
          <w:color w:val="231F20"/>
          <w:spacing w:val="-6"/>
        </w:rPr>
        <w:t> </w:t>
      </w:r>
      <w:r>
        <w:rPr>
          <w:color w:val="231F20"/>
        </w:rPr>
        <w:t>guerrerenses se caracteriza por ser de reciente data si nos remitimos a la masividad de los desplazamientos </w:t>
      </w:r>
      <w:r>
        <w:rPr>
          <w:color w:val="231F20"/>
          <w:spacing w:val="-8"/>
        </w:rPr>
        <w:t>y, </w:t>
      </w:r>
      <w:r>
        <w:rPr>
          <w:color w:val="231F20"/>
        </w:rPr>
        <w:t>sobremanera, si asociamos la presencia migratoria a la integración de mecanismos de intercambio y solidaridad que juegan un</w:t>
      </w:r>
      <w:r>
        <w:rPr>
          <w:color w:val="231F20"/>
          <w:spacing w:val="-6"/>
        </w:rPr>
        <w:t> </w:t>
      </w:r>
      <w:r>
        <w:rPr>
          <w:color w:val="231F20"/>
        </w:rPr>
        <w:t>rol</w:t>
      </w:r>
      <w:r>
        <w:rPr>
          <w:color w:val="231F20"/>
          <w:spacing w:val="-6"/>
        </w:rPr>
        <w:t> </w:t>
      </w:r>
      <w:r>
        <w:rPr>
          <w:color w:val="231F20"/>
        </w:rPr>
        <w:t>determinante</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modalidades</w:t>
      </w:r>
      <w:r>
        <w:rPr>
          <w:color w:val="231F20"/>
          <w:spacing w:val="-7"/>
        </w:rPr>
        <w:t> </w:t>
      </w:r>
      <w:r>
        <w:rPr>
          <w:color w:val="231F20"/>
        </w:rPr>
        <w:t>que</w:t>
      </w:r>
      <w:r>
        <w:rPr>
          <w:color w:val="231F20"/>
          <w:spacing w:val="-6"/>
        </w:rPr>
        <w:t> </w:t>
      </w:r>
      <w:r>
        <w:rPr>
          <w:color w:val="231F20"/>
        </w:rPr>
        <w:t>asume</w:t>
      </w:r>
      <w:r>
        <w:rPr>
          <w:color w:val="231F20"/>
          <w:spacing w:val="-6"/>
        </w:rPr>
        <w:t> </w:t>
      </w:r>
      <w:r>
        <w:rPr>
          <w:color w:val="231F20"/>
        </w:rPr>
        <w:t>el</w:t>
      </w:r>
      <w:r>
        <w:rPr>
          <w:color w:val="231F20"/>
          <w:spacing w:val="-6"/>
        </w:rPr>
        <w:t> </w:t>
      </w:r>
      <w:r>
        <w:rPr>
          <w:color w:val="231F20"/>
        </w:rPr>
        <w:t>fenómeno</w:t>
      </w:r>
      <w:r>
        <w:rPr>
          <w:color w:val="231F20"/>
          <w:spacing w:val="-6"/>
        </w:rPr>
        <w:t> </w:t>
      </w:r>
      <w:r>
        <w:rPr>
          <w:color w:val="231F20"/>
        </w:rPr>
        <w:t>migratorio tras la emergencia de formas organizativas de</w:t>
      </w:r>
      <w:r>
        <w:rPr>
          <w:color w:val="231F20"/>
          <w:spacing w:val="-11"/>
        </w:rPr>
        <w:t> </w:t>
      </w:r>
      <w:r>
        <w:rPr>
          <w:color w:val="231F20"/>
        </w:rPr>
        <w:t>migrantes.</w:t>
      </w:r>
    </w:p>
    <w:p>
      <w:pPr>
        <w:pStyle w:val="BodyText"/>
        <w:spacing w:line="247" w:lineRule="auto"/>
        <w:ind w:left="117" w:right="114" w:firstLine="283"/>
        <w:jc w:val="both"/>
      </w:pPr>
      <w:r>
        <w:rPr>
          <w:color w:val="231F20"/>
        </w:rPr>
        <w:t>Dada la trayectoria de los desplazamientos de mexicanos, la experien- cia</w:t>
      </w:r>
      <w:r>
        <w:rPr>
          <w:color w:val="231F20"/>
          <w:spacing w:val="-7"/>
        </w:rPr>
        <w:t> </w:t>
      </w:r>
      <w:r>
        <w:rPr>
          <w:color w:val="231F20"/>
        </w:rPr>
        <w:t>migratoria</w:t>
      </w:r>
      <w:r>
        <w:rPr>
          <w:color w:val="231F20"/>
          <w:spacing w:val="-8"/>
        </w:rPr>
        <w:t> </w:t>
      </w:r>
      <w:r>
        <w:rPr>
          <w:color w:val="231F20"/>
        </w:rPr>
        <w:t>ha</w:t>
      </w:r>
      <w:r>
        <w:rPr>
          <w:color w:val="231F20"/>
          <w:spacing w:val="-7"/>
        </w:rPr>
        <w:t> </w:t>
      </w:r>
      <w:r>
        <w:rPr>
          <w:color w:val="231F20"/>
        </w:rPr>
        <w:t>integrado</w:t>
      </w:r>
      <w:r>
        <w:rPr>
          <w:color w:val="231F20"/>
          <w:spacing w:val="-8"/>
        </w:rPr>
        <w:t> </w:t>
      </w:r>
      <w:r>
        <w:rPr>
          <w:color w:val="231F20"/>
        </w:rPr>
        <w:t>estrategias</w:t>
      </w:r>
      <w:r>
        <w:rPr>
          <w:color w:val="231F20"/>
          <w:spacing w:val="-8"/>
        </w:rPr>
        <w:t> </w:t>
      </w:r>
      <w:r>
        <w:rPr>
          <w:color w:val="231F20"/>
        </w:rPr>
        <w:t>diversas</w:t>
      </w:r>
      <w:r>
        <w:rPr>
          <w:color w:val="231F20"/>
          <w:spacing w:val="-7"/>
        </w:rPr>
        <w:t> </w:t>
      </w:r>
      <w:r>
        <w:rPr>
          <w:color w:val="231F20"/>
        </w:rPr>
        <w:t>de</w:t>
      </w:r>
      <w:r>
        <w:rPr>
          <w:color w:val="231F20"/>
          <w:spacing w:val="-7"/>
        </w:rPr>
        <w:t> </w:t>
      </w:r>
      <w:r>
        <w:rPr>
          <w:color w:val="231F20"/>
        </w:rPr>
        <w:t>acceso</w:t>
      </w:r>
      <w:r>
        <w:rPr>
          <w:color w:val="231F20"/>
          <w:spacing w:val="-7"/>
        </w:rPr>
        <w:t> </w:t>
      </w:r>
      <w:r>
        <w:rPr>
          <w:color w:val="231F20"/>
        </w:rPr>
        <w:t>al</w:t>
      </w:r>
      <w:r>
        <w:rPr>
          <w:color w:val="231F20"/>
          <w:spacing w:val="-7"/>
        </w:rPr>
        <w:t> </w:t>
      </w:r>
      <w:r>
        <w:rPr>
          <w:color w:val="231F20"/>
        </w:rPr>
        <w:t>mundo</w:t>
      </w:r>
      <w:r>
        <w:rPr>
          <w:color w:val="231F20"/>
          <w:spacing w:val="-7"/>
        </w:rPr>
        <w:t> </w:t>
      </w:r>
      <w:r>
        <w:rPr>
          <w:color w:val="231F20"/>
        </w:rPr>
        <w:t>laboral que ofrece la economía norteamericana, en tal sentido la emigración es considerada</w:t>
      </w:r>
      <w:r>
        <w:rPr>
          <w:color w:val="231F20"/>
          <w:spacing w:val="-8"/>
        </w:rPr>
        <w:t> </w:t>
      </w:r>
      <w:r>
        <w:rPr>
          <w:color w:val="231F20"/>
        </w:rPr>
        <w:t>un</w:t>
      </w:r>
      <w:r>
        <w:rPr>
          <w:color w:val="231F20"/>
          <w:spacing w:val="-7"/>
        </w:rPr>
        <w:t> </w:t>
      </w:r>
      <w:r>
        <w:rPr>
          <w:color w:val="231F20"/>
        </w:rPr>
        <w:t>proceso</w:t>
      </w:r>
      <w:r>
        <w:rPr>
          <w:color w:val="231F20"/>
          <w:spacing w:val="-7"/>
        </w:rPr>
        <w:t> </w:t>
      </w:r>
      <w:r>
        <w:rPr>
          <w:color w:val="231F20"/>
        </w:rPr>
        <w:t>gradual</w:t>
      </w:r>
      <w:r>
        <w:rPr>
          <w:color w:val="231F20"/>
          <w:spacing w:val="-7"/>
        </w:rPr>
        <w:t> </w:t>
      </w:r>
      <w:r>
        <w:rPr>
          <w:color w:val="231F20"/>
        </w:rPr>
        <w:t>de</w:t>
      </w:r>
      <w:r>
        <w:rPr>
          <w:color w:val="231F20"/>
          <w:spacing w:val="-7"/>
        </w:rPr>
        <w:t> </w:t>
      </w:r>
      <w:r>
        <w:rPr>
          <w:color w:val="231F20"/>
        </w:rPr>
        <w:t>construcción</w:t>
      </w:r>
      <w:r>
        <w:rPr>
          <w:color w:val="231F20"/>
          <w:spacing w:val="-8"/>
        </w:rPr>
        <w:t> </w:t>
      </w:r>
      <w:r>
        <w:rPr>
          <w:color w:val="231F20"/>
        </w:rPr>
        <w:t>de</w:t>
      </w:r>
      <w:r>
        <w:rPr>
          <w:color w:val="231F20"/>
          <w:spacing w:val="-7"/>
        </w:rPr>
        <w:t> </w:t>
      </w:r>
      <w:r>
        <w:rPr>
          <w:color w:val="231F20"/>
        </w:rPr>
        <w:t>redes</w:t>
      </w:r>
      <w:r>
        <w:rPr>
          <w:color w:val="231F20"/>
          <w:spacing w:val="-7"/>
        </w:rPr>
        <w:t> </w:t>
      </w:r>
      <w:r>
        <w:rPr>
          <w:color w:val="231F20"/>
        </w:rPr>
        <w:t>organizativas.</w:t>
      </w:r>
      <w:r>
        <w:rPr>
          <w:color w:val="231F20"/>
          <w:spacing w:val="-7"/>
        </w:rPr>
        <w:t> </w:t>
      </w:r>
      <w:r>
        <w:rPr>
          <w:color w:val="231F20"/>
        </w:rPr>
        <w:t>La importancia</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red</w:t>
      </w:r>
      <w:r>
        <w:rPr>
          <w:color w:val="231F20"/>
          <w:spacing w:val="-7"/>
        </w:rPr>
        <w:t> </w:t>
      </w:r>
      <w:r>
        <w:rPr>
          <w:color w:val="231F20"/>
        </w:rPr>
        <w:t>estriba</w:t>
      </w:r>
      <w:r>
        <w:rPr>
          <w:color w:val="231F20"/>
          <w:spacing w:val="-7"/>
        </w:rPr>
        <w:t> </w:t>
      </w:r>
      <w:r>
        <w:rPr>
          <w:color w:val="231F20"/>
        </w:rPr>
        <w:t>en</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convierte</w:t>
      </w:r>
      <w:r>
        <w:rPr>
          <w:color w:val="231F20"/>
          <w:spacing w:val="-7"/>
        </w:rPr>
        <w:t> </w:t>
      </w:r>
      <w:r>
        <w:rPr>
          <w:color w:val="231F20"/>
        </w:rPr>
        <w:t>en</w:t>
      </w:r>
      <w:r>
        <w:rPr>
          <w:color w:val="231F20"/>
          <w:spacing w:val="-7"/>
        </w:rPr>
        <w:t> </w:t>
      </w:r>
      <w:r>
        <w:rPr>
          <w:color w:val="231F20"/>
        </w:rPr>
        <w:t>instrumento</w:t>
      </w:r>
      <w:r>
        <w:rPr>
          <w:color w:val="231F20"/>
          <w:spacing w:val="-8"/>
        </w:rPr>
        <w:t> </w:t>
      </w:r>
      <w:r>
        <w:rPr>
          <w:color w:val="231F20"/>
        </w:rPr>
        <w:t>facilitador de</w:t>
      </w:r>
      <w:r>
        <w:rPr>
          <w:color w:val="231F20"/>
          <w:spacing w:val="-6"/>
        </w:rPr>
        <w:t> </w:t>
      </w:r>
      <w:r>
        <w:rPr>
          <w:color w:val="231F20"/>
        </w:rPr>
        <w:t>desplazamientos</w:t>
      </w:r>
      <w:r>
        <w:rPr>
          <w:color w:val="231F20"/>
          <w:spacing w:val="-6"/>
        </w:rPr>
        <w:t> </w:t>
      </w:r>
      <w:r>
        <w:rPr>
          <w:color w:val="231F20"/>
        </w:rPr>
        <w:t>múltiples,</w:t>
      </w:r>
      <w:r>
        <w:rPr>
          <w:color w:val="231F20"/>
          <w:spacing w:val="-6"/>
        </w:rPr>
        <w:t> </w:t>
      </w:r>
      <w:r>
        <w:rPr>
          <w:color w:val="231F20"/>
        </w:rPr>
        <w:t>recrea</w:t>
      </w:r>
      <w:r>
        <w:rPr>
          <w:color w:val="231F20"/>
          <w:spacing w:val="-6"/>
        </w:rPr>
        <w:t> </w:t>
      </w:r>
      <w:r>
        <w:rPr>
          <w:color w:val="231F20"/>
        </w:rPr>
        <w:t>el</w:t>
      </w:r>
      <w:r>
        <w:rPr>
          <w:color w:val="231F20"/>
          <w:spacing w:val="-6"/>
        </w:rPr>
        <w:t> </w:t>
      </w:r>
      <w:r>
        <w:rPr>
          <w:color w:val="231F20"/>
        </w:rPr>
        <w:t>espacio</w:t>
      </w:r>
      <w:r>
        <w:rPr>
          <w:color w:val="231F20"/>
          <w:spacing w:val="-7"/>
        </w:rPr>
        <w:t> </w:t>
      </w:r>
      <w:r>
        <w:rPr>
          <w:color w:val="231F20"/>
        </w:rPr>
        <w:t>en</w:t>
      </w:r>
      <w:r>
        <w:rPr>
          <w:color w:val="231F20"/>
          <w:spacing w:val="-6"/>
        </w:rPr>
        <w:t> </w:t>
      </w:r>
      <w:r>
        <w:rPr>
          <w:color w:val="231F20"/>
        </w:rPr>
        <w:t>función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capacidad para integrar necesidades, trayectorias e intereses de los diferentes grupos de migrantes.</w:t>
      </w:r>
    </w:p>
    <w:p>
      <w:pPr>
        <w:pStyle w:val="BodyText"/>
        <w:spacing w:line="247" w:lineRule="auto"/>
        <w:ind w:left="117" w:right="114" w:firstLine="283"/>
        <w:jc w:val="both"/>
      </w:pPr>
      <w:r>
        <w:rPr>
          <w:color w:val="231F20"/>
        </w:rPr>
        <w:t>De la diversidad de trayectorias y estrategias emprendidas por los mi- grantes,</w:t>
      </w:r>
      <w:r>
        <w:rPr>
          <w:color w:val="231F20"/>
          <w:spacing w:val="-7"/>
        </w:rPr>
        <w:t> </w:t>
      </w:r>
      <w:r>
        <w:rPr>
          <w:color w:val="231F20"/>
        </w:rPr>
        <w:t>sin</w:t>
      </w:r>
      <w:r>
        <w:rPr>
          <w:color w:val="231F20"/>
          <w:spacing w:val="-7"/>
        </w:rPr>
        <w:t> </w:t>
      </w:r>
      <w:r>
        <w:rPr>
          <w:color w:val="231F20"/>
        </w:rPr>
        <w:t>duda,</w:t>
      </w:r>
      <w:r>
        <w:rPr>
          <w:color w:val="231F20"/>
          <w:spacing w:val="-7"/>
        </w:rPr>
        <w:t> </w:t>
      </w:r>
      <w:r>
        <w:rPr>
          <w:color w:val="231F20"/>
        </w:rPr>
        <w:t>la</w:t>
      </w:r>
      <w:r>
        <w:rPr>
          <w:color w:val="231F20"/>
          <w:spacing w:val="-7"/>
        </w:rPr>
        <w:t> </w:t>
      </w:r>
      <w:r>
        <w:rPr>
          <w:color w:val="231F20"/>
        </w:rPr>
        <w:t>que</w:t>
      </w:r>
      <w:r>
        <w:rPr>
          <w:color w:val="231F20"/>
          <w:spacing w:val="-7"/>
        </w:rPr>
        <w:t> </w:t>
      </w:r>
      <w:r>
        <w:rPr>
          <w:color w:val="231F20"/>
        </w:rPr>
        <w:t>centra</w:t>
      </w:r>
      <w:r>
        <w:rPr>
          <w:color w:val="231F20"/>
          <w:spacing w:val="-7"/>
        </w:rPr>
        <w:t> </w:t>
      </w:r>
      <w:r>
        <w:rPr>
          <w:color w:val="231F20"/>
        </w:rPr>
        <w:t>su</w:t>
      </w:r>
      <w:r>
        <w:rPr>
          <w:color w:val="231F20"/>
          <w:spacing w:val="-7"/>
        </w:rPr>
        <w:t> </w:t>
      </w:r>
      <w:r>
        <w:rPr>
          <w:color w:val="231F20"/>
        </w:rPr>
        <w:t>interés</w:t>
      </w:r>
      <w:r>
        <w:rPr>
          <w:color w:val="231F20"/>
          <w:spacing w:val="-8"/>
        </w:rPr>
        <w:t> </w:t>
      </w:r>
      <w:r>
        <w:rPr>
          <w:color w:val="231F20"/>
        </w:rPr>
        <w:t>en</w:t>
      </w:r>
      <w:r>
        <w:rPr>
          <w:color w:val="231F20"/>
          <w:spacing w:val="-7"/>
        </w:rPr>
        <w:t> </w:t>
      </w:r>
      <w:r>
        <w:rPr>
          <w:color w:val="231F20"/>
        </w:rPr>
        <w:t>la</w:t>
      </w:r>
      <w:r>
        <w:rPr>
          <w:color w:val="231F20"/>
          <w:spacing w:val="-7"/>
        </w:rPr>
        <w:t> </w:t>
      </w:r>
      <w:r>
        <w:rPr>
          <w:color w:val="231F20"/>
        </w:rPr>
        <w:t>integración</w:t>
      </w:r>
      <w:r>
        <w:rPr>
          <w:color w:val="231F20"/>
          <w:spacing w:val="-8"/>
        </w:rPr>
        <w:t> </w:t>
      </w:r>
      <w:r>
        <w:rPr>
          <w:color w:val="231F20"/>
        </w:rPr>
        <w:t>de</w:t>
      </w:r>
      <w:r>
        <w:rPr>
          <w:color w:val="231F20"/>
          <w:spacing w:val="-7"/>
        </w:rPr>
        <w:t> </w:t>
      </w:r>
      <w:r>
        <w:rPr>
          <w:color w:val="231F20"/>
        </w:rPr>
        <w:t>redes</w:t>
      </w:r>
      <w:r>
        <w:rPr>
          <w:color w:val="231F20"/>
          <w:spacing w:val="-7"/>
        </w:rPr>
        <w:t> </w:t>
      </w:r>
      <w:r>
        <w:rPr>
          <w:color w:val="231F20"/>
        </w:rPr>
        <w:t>se</w:t>
      </w:r>
      <w:r>
        <w:rPr>
          <w:color w:val="231F20"/>
          <w:spacing w:val="-7"/>
        </w:rPr>
        <w:t> </w:t>
      </w:r>
      <w:r>
        <w:rPr>
          <w:color w:val="231F20"/>
        </w:rPr>
        <w:t>apo- ya en la identificación de necesidades </w:t>
      </w:r>
      <w:r>
        <w:rPr>
          <w:color w:val="231F20"/>
          <w:spacing w:val="-8"/>
        </w:rPr>
        <w:t>y, </w:t>
      </w:r>
      <w:r>
        <w:rPr>
          <w:color w:val="231F20"/>
        </w:rPr>
        <w:t>sobre todo, en el reconocimiento de</w:t>
      </w:r>
      <w:r>
        <w:rPr>
          <w:color w:val="231F20"/>
          <w:spacing w:val="-5"/>
        </w:rPr>
        <w:t> </w:t>
      </w:r>
      <w:r>
        <w:rPr>
          <w:color w:val="231F20"/>
        </w:rPr>
        <w:t>actores</w:t>
      </w:r>
      <w:r>
        <w:rPr>
          <w:color w:val="231F20"/>
          <w:spacing w:val="-5"/>
        </w:rPr>
        <w:t> </w:t>
      </w:r>
      <w:r>
        <w:rPr>
          <w:color w:val="231F20"/>
        </w:rPr>
        <w:t>en</w:t>
      </w:r>
      <w:r>
        <w:rPr>
          <w:color w:val="231F20"/>
          <w:spacing w:val="-5"/>
        </w:rPr>
        <w:t> </w:t>
      </w:r>
      <w:r>
        <w:rPr>
          <w:color w:val="231F20"/>
        </w:rPr>
        <w:t>torno</w:t>
      </w:r>
      <w:r>
        <w:rPr>
          <w:color w:val="231F20"/>
          <w:spacing w:val="-5"/>
        </w:rPr>
        <w:t> </w:t>
      </w:r>
      <w:r>
        <w:rPr>
          <w:color w:val="231F20"/>
        </w:rPr>
        <w:t>al</w:t>
      </w:r>
      <w:r>
        <w:rPr>
          <w:color w:val="231F20"/>
          <w:spacing w:val="-5"/>
        </w:rPr>
        <w:t> </w:t>
      </w:r>
      <w:r>
        <w:rPr>
          <w:color w:val="231F20"/>
        </w:rPr>
        <w:t>fenómeno</w:t>
      </w:r>
      <w:r>
        <w:rPr>
          <w:color w:val="231F20"/>
          <w:spacing w:val="-5"/>
        </w:rPr>
        <w:t> </w:t>
      </w:r>
      <w:r>
        <w:rPr>
          <w:color w:val="231F20"/>
        </w:rPr>
        <w:t>migratorio</w:t>
      </w:r>
      <w:r>
        <w:rPr>
          <w:color w:val="231F20"/>
          <w:spacing w:val="-5"/>
        </w:rPr>
        <w:t> </w:t>
      </w:r>
      <w:r>
        <w:rPr>
          <w:color w:val="231F20"/>
        </w:rPr>
        <w:t>que</w:t>
      </w:r>
      <w:r>
        <w:rPr>
          <w:color w:val="231F20"/>
          <w:spacing w:val="-5"/>
        </w:rPr>
        <w:t> </w:t>
      </w:r>
      <w:r>
        <w:rPr>
          <w:color w:val="231F20"/>
        </w:rPr>
        <w:t>se</w:t>
      </w:r>
      <w:r>
        <w:rPr>
          <w:color w:val="231F20"/>
          <w:spacing w:val="-4"/>
        </w:rPr>
        <w:t> </w:t>
      </w:r>
      <w:r>
        <w:rPr>
          <w:color w:val="231F20"/>
        </w:rPr>
        <w:t>reconocen</w:t>
      </w:r>
      <w:r>
        <w:rPr>
          <w:color w:val="231F20"/>
          <w:spacing w:val="-5"/>
        </w:rPr>
        <w:t> </w:t>
      </w:r>
      <w:r>
        <w:rPr>
          <w:color w:val="231F20"/>
        </w:rPr>
        <w:t>e</w:t>
      </w:r>
      <w:r>
        <w:rPr>
          <w:color w:val="231F20"/>
          <w:spacing w:val="-5"/>
        </w:rPr>
        <w:t> </w:t>
      </w:r>
      <w:r>
        <w:rPr>
          <w:color w:val="231F20"/>
        </w:rPr>
        <w:t>interactúan en el circuito y los nudos propios de la migración. Así, el parentesco, tan- to como las afectividades resultantes de la historia individual y colectiva, sin más constituyen verdaderas plataformas de ayuda y solidaridad,   </w:t>
      </w:r>
      <w:r>
        <w:rPr>
          <w:color w:val="231F20"/>
          <w:spacing w:val="30"/>
        </w:rPr>
        <w:t> </w:t>
      </w:r>
      <w:r>
        <w:rPr>
          <w:color w:val="231F20"/>
        </w:rPr>
        <w:t>con</w:t>
      </w:r>
    </w:p>
    <w:p>
      <w:pPr>
        <w:spacing w:after="0" w:line="247" w:lineRule="auto"/>
        <w:jc w:val="both"/>
        <w:sectPr>
          <w:pgSz w:w="9360" w:h="13040"/>
          <w:pgMar w:header="0" w:footer="496" w:top="800" w:bottom="680" w:left="1300" w:right="1300"/>
        </w:sectPr>
      </w:pPr>
    </w:p>
    <w:p>
      <w:pPr>
        <w:spacing w:before="45"/>
        <w:ind w:left="117" w:right="0" w:firstLine="89"/>
        <w:jc w:val="both"/>
        <w:rPr>
          <w:rFonts w:ascii="Arial" w:hAnsi="Arial"/>
          <w:sz w:val="20"/>
        </w:rPr>
      </w:pPr>
      <w:r>
        <w:rPr>
          <w:rFonts w:ascii="Arial" w:hAnsi="Arial"/>
          <w:color w:val="231F20"/>
          <w:w w:val="70"/>
          <w:sz w:val="20"/>
        </w:rPr>
        <w:t>Redes    migratorias y políticas públicas de la migración internacional guerrerense /Artemio López-Ríos</w:t>
      </w:r>
    </w:p>
    <w:p>
      <w:pPr>
        <w:pStyle w:val="BodyText"/>
        <w:spacing w:before="7"/>
        <w:rPr>
          <w:rFonts w:ascii="Arial"/>
          <w:sz w:val="28"/>
        </w:rPr>
      </w:pPr>
    </w:p>
    <w:p>
      <w:pPr>
        <w:pStyle w:val="BodyText"/>
        <w:spacing w:line="247" w:lineRule="auto"/>
        <w:ind w:left="117" w:right="115"/>
        <w:jc w:val="both"/>
      </w:pPr>
      <w:r>
        <w:rPr>
          <w:color w:val="231F20"/>
        </w:rPr>
        <w:t>capacidad para ofertar instrumentos y estrategias coadyuvantes de los</w:t>
      </w:r>
      <w:r>
        <w:rPr>
          <w:color w:val="231F20"/>
          <w:spacing w:val="-30"/>
        </w:rPr>
        <w:t> </w:t>
      </w:r>
      <w:r>
        <w:rPr>
          <w:color w:val="231F20"/>
        </w:rPr>
        <w:t>des- plazamientos en territorio de destino y en la brega al cruce de una franja fronteriza cada vez más</w:t>
      </w:r>
      <w:r>
        <w:rPr>
          <w:color w:val="231F20"/>
          <w:spacing w:val="-2"/>
        </w:rPr>
        <w:t> </w:t>
      </w:r>
      <w:r>
        <w:rPr>
          <w:color w:val="231F20"/>
        </w:rPr>
        <w:t>hostil.</w:t>
      </w:r>
    </w:p>
    <w:p>
      <w:pPr>
        <w:pStyle w:val="BodyText"/>
        <w:spacing w:line="247" w:lineRule="auto"/>
        <w:ind w:left="117" w:right="114" w:firstLine="283"/>
        <w:jc w:val="both"/>
      </w:pPr>
      <w:r>
        <w:rPr>
          <w:color w:val="231F20"/>
        </w:rPr>
        <w:t>Desde los desplazados, la visión que se tiene en torno a la estructura y alcance</w:t>
      </w:r>
      <w:r>
        <w:rPr>
          <w:color w:val="231F20"/>
          <w:spacing w:val="-5"/>
        </w:rPr>
        <w:t> </w:t>
      </w:r>
      <w:r>
        <w:rPr>
          <w:color w:val="231F20"/>
        </w:rPr>
        <w:t>de</w:t>
      </w:r>
      <w:r>
        <w:rPr>
          <w:color w:val="231F20"/>
          <w:spacing w:val="-4"/>
        </w:rPr>
        <w:t> </w:t>
      </w:r>
      <w:r>
        <w:rPr>
          <w:color w:val="231F20"/>
        </w:rPr>
        <w:t>las</w:t>
      </w:r>
      <w:r>
        <w:rPr>
          <w:color w:val="231F20"/>
          <w:spacing w:val="-4"/>
        </w:rPr>
        <w:t> </w:t>
      </w:r>
      <w:r>
        <w:rPr>
          <w:color w:val="231F20"/>
        </w:rPr>
        <w:t>redes</w:t>
      </w:r>
      <w:r>
        <w:rPr>
          <w:color w:val="231F20"/>
          <w:spacing w:val="-4"/>
        </w:rPr>
        <w:t> </w:t>
      </w:r>
      <w:r>
        <w:rPr>
          <w:color w:val="231F20"/>
        </w:rPr>
        <w:t>migratorias</w:t>
      </w:r>
      <w:r>
        <w:rPr>
          <w:color w:val="231F20"/>
          <w:spacing w:val="-5"/>
        </w:rPr>
        <w:t> </w:t>
      </w:r>
      <w:r>
        <w:rPr>
          <w:color w:val="231F20"/>
        </w:rPr>
        <w:t>guarda</w:t>
      </w:r>
      <w:r>
        <w:rPr>
          <w:color w:val="231F20"/>
          <w:spacing w:val="-4"/>
        </w:rPr>
        <w:t> </w:t>
      </w:r>
      <w:r>
        <w:rPr>
          <w:color w:val="231F20"/>
        </w:rPr>
        <w:t>relación</w:t>
      </w:r>
      <w:r>
        <w:rPr>
          <w:color w:val="231F20"/>
          <w:spacing w:val="-4"/>
        </w:rPr>
        <w:t> </w:t>
      </w:r>
      <w:r>
        <w:rPr>
          <w:color w:val="231F20"/>
        </w:rPr>
        <w:t>con</w:t>
      </w:r>
      <w:r>
        <w:rPr>
          <w:color w:val="231F20"/>
          <w:spacing w:val="-4"/>
        </w:rPr>
        <w:t> </w:t>
      </w:r>
      <w:r>
        <w:rPr>
          <w:color w:val="231F20"/>
        </w:rPr>
        <w:t>trayectorias</w:t>
      </w:r>
      <w:r>
        <w:rPr>
          <w:color w:val="231F20"/>
          <w:spacing w:val="-5"/>
        </w:rPr>
        <w:t> </w:t>
      </w:r>
      <w:r>
        <w:rPr>
          <w:color w:val="231F20"/>
        </w:rPr>
        <w:t>marcadas por</w:t>
      </w:r>
      <w:r>
        <w:rPr>
          <w:color w:val="231F20"/>
          <w:spacing w:val="-14"/>
        </w:rPr>
        <w:t> </w:t>
      </w:r>
      <w:r>
        <w:rPr>
          <w:color w:val="231F20"/>
        </w:rPr>
        <w:t>la</w:t>
      </w:r>
      <w:r>
        <w:rPr>
          <w:color w:val="231F20"/>
          <w:spacing w:val="-14"/>
        </w:rPr>
        <w:t> </w:t>
      </w:r>
      <w:r>
        <w:rPr>
          <w:color w:val="231F20"/>
        </w:rPr>
        <w:t>experiencia</w:t>
      </w:r>
      <w:r>
        <w:rPr>
          <w:color w:val="231F20"/>
          <w:spacing w:val="-14"/>
        </w:rPr>
        <w:t> </w:t>
      </w:r>
      <w:r>
        <w:rPr>
          <w:color w:val="231F20"/>
        </w:rPr>
        <w:t>particular.</w:t>
      </w:r>
      <w:r>
        <w:rPr>
          <w:color w:val="231F20"/>
          <w:spacing w:val="-14"/>
        </w:rPr>
        <w:t> </w:t>
      </w:r>
      <w:r>
        <w:rPr>
          <w:color w:val="231F20"/>
        </w:rPr>
        <w:t>La</w:t>
      </w:r>
      <w:r>
        <w:rPr>
          <w:color w:val="231F20"/>
          <w:spacing w:val="-14"/>
        </w:rPr>
        <w:t> </w:t>
      </w:r>
      <w:r>
        <w:rPr>
          <w:color w:val="231F20"/>
        </w:rPr>
        <w:t>estrategia</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rPr>
        <w:t>cosmovisión</w:t>
      </w:r>
      <w:r>
        <w:rPr>
          <w:color w:val="231F20"/>
          <w:spacing w:val="-14"/>
        </w:rPr>
        <w:t> </w:t>
      </w:r>
      <w:r>
        <w:rPr>
          <w:color w:val="231F20"/>
        </w:rPr>
        <w:t>individual</w:t>
      </w:r>
      <w:r>
        <w:rPr>
          <w:color w:val="231F20"/>
          <w:spacing w:val="-14"/>
        </w:rPr>
        <w:t> </w:t>
      </w:r>
      <w:r>
        <w:rPr>
          <w:color w:val="231F20"/>
        </w:rPr>
        <w:t>a</w:t>
      </w:r>
      <w:r>
        <w:rPr>
          <w:color w:val="231F20"/>
          <w:spacing w:val="-14"/>
        </w:rPr>
        <w:t> </w:t>
      </w:r>
      <w:r>
        <w:rPr>
          <w:color w:val="231F20"/>
        </w:rPr>
        <w:t>fin de cuentas pasan a ser parte del ejercicio colectivo cuando el migrante se da cuenta que el apoyo requerido en cada cruce, para obtener un empleo,  o comunicarse y enviar recursos, se resuelve en mejores condiciones te- niendo</w:t>
      </w:r>
      <w:r>
        <w:rPr>
          <w:color w:val="231F20"/>
          <w:spacing w:val="-6"/>
        </w:rPr>
        <w:t> </w:t>
      </w:r>
      <w:r>
        <w:rPr>
          <w:color w:val="231F20"/>
        </w:rPr>
        <w:t>el</w:t>
      </w:r>
      <w:r>
        <w:rPr>
          <w:color w:val="231F20"/>
          <w:spacing w:val="-6"/>
        </w:rPr>
        <w:t> </w:t>
      </w:r>
      <w:r>
        <w:rPr>
          <w:color w:val="231F20"/>
        </w:rPr>
        <w:t>respaldo</w:t>
      </w:r>
      <w:r>
        <w:rPr>
          <w:color w:val="231F20"/>
          <w:spacing w:val="-6"/>
        </w:rPr>
        <w:t> </w:t>
      </w:r>
      <w:r>
        <w:rPr>
          <w:color w:val="231F20"/>
        </w:rPr>
        <w:t>de</w:t>
      </w:r>
      <w:r>
        <w:rPr>
          <w:color w:val="231F20"/>
          <w:spacing w:val="-6"/>
        </w:rPr>
        <w:t> </w:t>
      </w:r>
      <w:r>
        <w:rPr>
          <w:color w:val="231F20"/>
        </w:rPr>
        <w:t>paisanos</w:t>
      </w:r>
      <w:r>
        <w:rPr>
          <w:color w:val="231F20"/>
          <w:spacing w:val="-6"/>
        </w:rPr>
        <w:t> </w:t>
      </w:r>
      <w:r>
        <w:rPr>
          <w:color w:val="231F20"/>
        </w:rPr>
        <w:t>que</w:t>
      </w:r>
      <w:r>
        <w:rPr>
          <w:color w:val="231F20"/>
          <w:spacing w:val="-6"/>
        </w:rPr>
        <w:t> </w:t>
      </w:r>
      <w:r>
        <w:rPr>
          <w:color w:val="231F20"/>
        </w:rPr>
        <w:t>han</w:t>
      </w:r>
      <w:r>
        <w:rPr>
          <w:color w:val="231F20"/>
          <w:spacing w:val="-6"/>
        </w:rPr>
        <w:t> </w:t>
      </w:r>
      <w:r>
        <w:rPr>
          <w:color w:val="231F20"/>
        </w:rPr>
        <w:t>acumulado</w:t>
      </w:r>
      <w:r>
        <w:rPr>
          <w:color w:val="231F20"/>
          <w:spacing w:val="-6"/>
        </w:rPr>
        <w:t> </w:t>
      </w:r>
      <w:r>
        <w:rPr>
          <w:color w:val="231F20"/>
        </w:rPr>
        <w:t>experiencia</w:t>
      </w:r>
      <w:r>
        <w:rPr>
          <w:color w:val="231F20"/>
          <w:spacing w:val="-7"/>
        </w:rPr>
        <w:t> </w:t>
      </w:r>
      <w:r>
        <w:rPr>
          <w:color w:val="231F20"/>
        </w:rPr>
        <w:t>en</w:t>
      </w:r>
      <w:r>
        <w:rPr>
          <w:color w:val="231F20"/>
          <w:spacing w:val="-6"/>
        </w:rPr>
        <w:t> </w:t>
      </w:r>
      <w:r>
        <w:rPr>
          <w:color w:val="231F20"/>
        </w:rPr>
        <w:t>diversos ámbitos de la vida social y productiva en los lugares de</w:t>
      </w:r>
      <w:r>
        <w:rPr>
          <w:color w:val="231F20"/>
          <w:spacing w:val="-9"/>
        </w:rPr>
        <w:t> </w:t>
      </w:r>
      <w:r>
        <w:rPr>
          <w:color w:val="231F20"/>
        </w:rPr>
        <w:t>radicación.</w:t>
      </w:r>
    </w:p>
    <w:p>
      <w:pPr>
        <w:pStyle w:val="BodyText"/>
        <w:spacing w:line="247" w:lineRule="auto"/>
        <w:ind w:left="117" w:right="115" w:firstLine="283"/>
        <w:jc w:val="both"/>
      </w:pPr>
      <w:r>
        <w:rPr>
          <w:color w:val="231F20"/>
        </w:rPr>
        <w:t>En el estado de Guerrero se tienen dos experiencias de trabajo organi- zado de inmigrantes, radicados principalmente en Chicago, Illinois, y en California. Por un lado está la Federación de Guerrerenses Radicados en Chicago, que además de Chicago agrupa a grupos organizados en Califor- nia</w:t>
      </w:r>
      <w:r>
        <w:rPr>
          <w:color w:val="231F20"/>
          <w:spacing w:val="-6"/>
        </w:rPr>
        <w:t> </w:t>
      </w:r>
      <w:r>
        <w:rPr>
          <w:color w:val="231F20"/>
          <w:spacing w:val="-8"/>
        </w:rPr>
        <w:t>y,</w:t>
      </w:r>
      <w:r>
        <w:rPr>
          <w:color w:val="231F20"/>
          <w:spacing w:val="-6"/>
        </w:rPr>
        <w:t> </w:t>
      </w:r>
      <w:r>
        <w:rPr>
          <w:color w:val="231F20"/>
        </w:rPr>
        <w:t>por</w:t>
      </w:r>
      <w:r>
        <w:rPr>
          <w:color w:val="231F20"/>
          <w:spacing w:val="-6"/>
        </w:rPr>
        <w:t> </w:t>
      </w:r>
      <w:r>
        <w:rPr>
          <w:color w:val="231F20"/>
        </w:rPr>
        <w:t>otro,</w:t>
      </w:r>
      <w:r>
        <w:rPr>
          <w:color w:val="231F20"/>
          <w:spacing w:val="-6"/>
        </w:rPr>
        <w:t> </w:t>
      </w:r>
      <w:r>
        <w:rPr>
          <w:color w:val="231F20"/>
        </w:rPr>
        <w:t>al</w:t>
      </w:r>
      <w:r>
        <w:rPr>
          <w:color w:val="231F20"/>
          <w:spacing w:val="-6"/>
        </w:rPr>
        <w:t> </w:t>
      </w:r>
      <w:r>
        <w:rPr>
          <w:color w:val="231F20"/>
        </w:rPr>
        <w:t>Clubes</w:t>
      </w:r>
      <w:r>
        <w:rPr>
          <w:color w:val="231F20"/>
          <w:spacing w:val="-6"/>
        </w:rPr>
        <w:t> </w:t>
      </w:r>
      <w:r>
        <w:rPr>
          <w:color w:val="231F20"/>
        </w:rPr>
        <w:t>Unidos</w:t>
      </w:r>
      <w:r>
        <w:rPr>
          <w:color w:val="231F20"/>
          <w:spacing w:val="-6"/>
        </w:rPr>
        <w:t> </w:t>
      </w:r>
      <w:r>
        <w:rPr>
          <w:color w:val="231F20"/>
        </w:rPr>
        <w:t>de</w:t>
      </w:r>
      <w:r>
        <w:rPr>
          <w:color w:val="231F20"/>
          <w:spacing w:val="-6"/>
        </w:rPr>
        <w:t> </w:t>
      </w:r>
      <w:r>
        <w:rPr>
          <w:color w:val="231F20"/>
        </w:rPr>
        <w:t>Guerrerenses</w:t>
      </w:r>
      <w:r>
        <w:rPr>
          <w:color w:val="231F20"/>
          <w:spacing w:val="-6"/>
        </w:rPr>
        <w:t> </w:t>
      </w:r>
      <w:r>
        <w:rPr>
          <w:color w:val="231F20"/>
        </w:rPr>
        <w:t>del</w:t>
      </w:r>
      <w:r>
        <w:rPr>
          <w:color w:val="231F20"/>
          <w:spacing w:val="-6"/>
        </w:rPr>
        <w:t> </w:t>
      </w:r>
      <w:r>
        <w:rPr>
          <w:color w:val="231F20"/>
        </w:rPr>
        <w:t>Medio</w:t>
      </w:r>
      <w:r>
        <w:rPr>
          <w:color w:val="231F20"/>
          <w:spacing w:val="-6"/>
        </w:rPr>
        <w:t> </w:t>
      </w:r>
      <w:r>
        <w:rPr>
          <w:color w:val="231F20"/>
        </w:rPr>
        <w:t>Oeste.</w:t>
      </w:r>
      <w:r>
        <w:rPr>
          <w:color w:val="231F20"/>
          <w:spacing w:val="-6"/>
        </w:rPr>
        <w:t> </w:t>
      </w:r>
      <w:r>
        <w:rPr>
          <w:color w:val="231F20"/>
        </w:rPr>
        <w:t>Clubes Unidos nació en junio del 2003 y surgió como organización que</w:t>
      </w:r>
      <w:r>
        <w:rPr>
          <w:color w:val="231F20"/>
          <w:spacing w:val="-25"/>
        </w:rPr>
        <w:t> </w:t>
      </w:r>
      <w:r>
        <w:rPr>
          <w:color w:val="231F20"/>
        </w:rPr>
        <w:t>planteaba alcanzar</w:t>
      </w:r>
      <w:r>
        <w:rPr>
          <w:color w:val="231F20"/>
          <w:spacing w:val="-12"/>
        </w:rPr>
        <w:t> </w:t>
      </w:r>
      <w:r>
        <w:rPr>
          <w:color w:val="231F20"/>
        </w:rPr>
        <w:t>metas</w:t>
      </w:r>
      <w:r>
        <w:rPr>
          <w:color w:val="231F20"/>
          <w:spacing w:val="-12"/>
        </w:rPr>
        <w:t> </w:t>
      </w:r>
      <w:r>
        <w:rPr>
          <w:color w:val="231F20"/>
        </w:rPr>
        <w:t>que</w:t>
      </w:r>
      <w:r>
        <w:rPr>
          <w:color w:val="231F20"/>
          <w:spacing w:val="-12"/>
        </w:rPr>
        <w:t> </w:t>
      </w:r>
      <w:r>
        <w:rPr>
          <w:color w:val="231F20"/>
        </w:rPr>
        <w:t>beneficiaran</w:t>
      </w:r>
      <w:r>
        <w:rPr>
          <w:color w:val="231F20"/>
          <w:spacing w:val="-12"/>
        </w:rPr>
        <w:t> </w:t>
      </w:r>
      <w:r>
        <w:rPr>
          <w:color w:val="231F20"/>
        </w:rPr>
        <w:t>a</w:t>
      </w:r>
      <w:r>
        <w:rPr>
          <w:color w:val="231F20"/>
          <w:spacing w:val="-12"/>
        </w:rPr>
        <w:t> </w:t>
      </w:r>
      <w:r>
        <w:rPr>
          <w:color w:val="231F20"/>
        </w:rPr>
        <w:t>sus</w:t>
      </w:r>
      <w:r>
        <w:rPr>
          <w:color w:val="231F20"/>
          <w:spacing w:val="-11"/>
        </w:rPr>
        <w:t> </w:t>
      </w:r>
      <w:r>
        <w:rPr>
          <w:color w:val="231F20"/>
        </w:rPr>
        <w:t>comunidades</w:t>
      </w:r>
      <w:r>
        <w:rPr>
          <w:color w:val="231F20"/>
          <w:spacing w:val="-12"/>
        </w:rPr>
        <w:t> </w:t>
      </w:r>
      <w:r>
        <w:rPr>
          <w:color w:val="231F20"/>
        </w:rPr>
        <w:t>de</w:t>
      </w:r>
      <w:r>
        <w:rPr>
          <w:color w:val="231F20"/>
          <w:spacing w:val="-12"/>
        </w:rPr>
        <w:t> </w:t>
      </w:r>
      <w:r>
        <w:rPr>
          <w:color w:val="231F20"/>
        </w:rPr>
        <w:t>origen.</w:t>
      </w:r>
      <w:r>
        <w:rPr>
          <w:color w:val="231F20"/>
          <w:spacing w:val="-12"/>
        </w:rPr>
        <w:t> </w:t>
      </w:r>
      <w:r>
        <w:rPr>
          <w:color w:val="231F20"/>
        </w:rPr>
        <w:t>La</w:t>
      </w:r>
      <w:r>
        <w:rPr>
          <w:color w:val="231F20"/>
          <w:spacing w:val="-12"/>
        </w:rPr>
        <w:t> </w:t>
      </w:r>
      <w:r>
        <w:rPr>
          <w:color w:val="231F20"/>
        </w:rPr>
        <w:t>organiza- ción surgió después de que se generó división al interior de la Federación de Guerrerenses Radicados en</w:t>
      </w:r>
      <w:r>
        <w:rPr>
          <w:color w:val="231F20"/>
          <w:spacing w:val="-12"/>
        </w:rPr>
        <w:t> </w:t>
      </w:r>
      <w:r>
        <w:rPr>
          <w:color w:val="231F20"/>
        </w:rPr>
        <w:t>Chicago.</w:t>
      </w:r>
    </w:p>
    <w:p>
      <w:pPr>
        <w:pStyle w:val="BodyText"/>
        <w:spacing w:line="247" w:lineRule="auto"/>
        <w:ind w:left="117" w:right="115" w:firstLine="283"/>
        <w:jc w:val="both"/>
      </w:pPr>
      <w:r>
        <w:rPr>
          <w:color w:val="231F20"/>
        </w:rPr>
        <w:t>Estas dos organizaciones, a la fecha, se mantienen como instancias re- presentativas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guerrerenses</w:t>
      </w:r>
      <w:r>
        <w:rPr>
          <w:color w:val="231F20"/>
          <w:spacing w:val="-5"/>
        </w:rPr>
        <w:t> </w:t>
      </w:r>
      <w:r>
        <w:rPr>
          <w:color w:val="231F20"/>
        </w:rPr>
        <w:t>radicados</w:t>
      </w:r>
      <w:r>
        <w:rPr>
          <w:color w:val="231F20"/>
          <w:spacing w:val="-5"/>
        </w:rPr>
        <w:t> </w:t>
      </w:r>
      <w:r>
        <w:rPr>
          <w:color w:val="231F20"/>
        </w:rPr>
        <w:t>en</w:t>
      </w:r>
      <w:r>
        <w:rPr>
          <w:color w:val="231F20"/>
          <w:spacing w:val="-5"/>
        </w:rPr>
        <w:t> </w:t>
      </w:r>
      <w:r>
        <w:rPr>
          <w:color w:val="231F20"/>
        </w:rPr>
        <w:t>Estados</w:t>
      </w:r>
      <w:r>
        <w:rPr>
          <w:color w:val="231F20"/>
          <w:spacing w:val="-5"/>
        </w:rPr>
        <w:t> </w:t>
      </w:r>
      <w:r>
        <w:rPr>
          <w:color w:val="231F20"/>
        </w:rPr>
        <w:t>Unidos.</w:t>
      </w:r>
      <w:r>
        <w:rPr>
          <w:color w:val="231F20"/>
          <w:spacing w:val="-4"/>
        </w:rPr>
        <w:t> </w:t>
      </w:r>
      <w:r>
        <w:rPr>
          <w:color w:val="231F20"/>
        </w:rPr>
        <w:t>De</w:t>
      </w:r>
      <w:r>
        <w:rPr>
          <w:color w:val="231F20"/>
          <w:spacing w:val="-5"/>
        </w:rPr>
        <w:t> </w:t>
      </w:r>
      <w:r>
        <w:rPr>
          <w:color w:val="231F20"/>
        </w:rPr>
        <w:t>manera general comparten la inquietud por trabajar apoyando a sus comunida- des de origen; en cierta forma, la visión que se tiene se acerca bastante al transnacionalismo, desde abajo, que da la oportunidad a los migrantes de construir</w:t>
      </w:r>
      <w:r>
        <w:rPr>
          <w:color w:val="231F20"/>
          <w:spacing w:val="-9"/>
        </w:rPr>
        <w:t> </w:t>
      </w:r>
      <w:r>
        <w:rPr>
          <w:color w:val="231F20"/>
        </w:rPr>
        <w:t>espacios</w:t>
      </w:r>
      <w:r>
        <w:rPr>
          <w:color w:val="231F20"/>
          <w:spacing w:val="-8"/>
        </w:rPr>
        <w:t> </w:t>
      </w:r>
      <w:r>
        <w:rPr>
          <w:color w:val="231F20"/>
        </w:rPr>
        <w:t>de</w:t>
      </w:r>
      <w:r>
        <w:rPr>
          <w:color w:val="231F20"/>
          <w:spacing w:val="-8"/>
        </w:rPr>
        <w:t> </w:t>
      </w:r>
      <w:r>
        <w:rPr>
          <w:color w:val="231F20"/>
        </w:rPr>
        <w:t>interacción</w:t>
      </w:r>
      <w:r>
        <w:rPr>
          <w:color w:val="231F20"/>
          <w:spacing w:val="-8"/>
        </w:rPr>
        <w:t> </w:t>
      </w:r>
      <w:r>
        <w:rPr>
          <w:color w:val="231F20"/>
        </w:rPr>
        <w:t>y</w:t>
      </w:r>
      <w:r>
        <w:rPr>
          <w:color w:val="231F20"/>
          <w:spacing w:val="-8"/>
        </w:rPr>
        <w:t> </w:t>
      </w:r>
      <w:r>
        <w:rPr>
          <w:color w:val="231F20"/>
        </w:rPr>
        <w:t>reciprocidad</w:t>
      </w:r>
      <w:r>
        <w:rPr>
          <w:color w:val="231F20"/>
          <w:spacing w:val="-8"/>
        </w:rPr>
        <w:t> </w:t>
      </w:r>
      <w:r>
        <w:rPr>
          <w:color w:val="231F20"/>
        </w:rPr>
        <w:t>al</w:t>
      </w:r>
      <w:r>
        <w:rPr>
          <w:color w:val="231F20"/>
          <w:spacing w:val="-8"/>
        </w:rPr>
        <w:t> </w:t>
      </w:r>
      <w:r>
        <w:rPr>
          <w:color w:val="231F20"/>
        </w:rPr>
        <w:t>compartir</w:t>
      </w:r>
      <w:r>
        <w:rPr>
          <w:color w:val="231F20"/>
          <w:spacing w:val="-9"/>
        </w:rPr>
        <w:t> </w:t>
      </w:r>
      <w:r>
        <w:rPr>
          <w:color w:val="231F20"/>
        </w:rPr>
        <w:t>recursos</w:t>
      </w:r>
      <w:r>
        <w:rPr>
          <w:color w:val="231F20"/>
          <w:spacing w:val="-8"/>
        </w:rPr>
        <w:t> </w:t>
      </w:r>
      <w:r>
        <w:rPr>
          <w:color w:val="231F20"/>
        </w:rPr>
        <w:t>y</w:t>
      </w:r>
      <w:r>
        <w:rPr>
          <w:color w:val="231F20"/>
          <w:spacing w:val="-8"/>
        </w:rPr>
        <w:t> </w:t>
      </w:r>
      <w:r>
        <w:rPr>
          <w:color w:val="231F20"/>
        </w:rPr>
        <w:t>es- fuerzos</w:t>
      </w:r>
      <w:r>
        <w:rPr>
          <w:color w:val="231F20"/>
          <w:spacing w:val="-11"/>
        </w:rPr>
        <w:t> </w:t>
      </w:r>
      <w:r>
        <w:rPr>
          <w:color w:val="231F20"/>
        </w:rPr>
        <w:t>en</w:t>
      </w:r>
      <w:r>
        <w:rPr>
          <w:color w:val="231F20"/>
          <w:spacing w:val="-11"/>
        </w:rPr>
        <w:t> </w:t>
      </w:r>
      <w:r>
        <w:rPr>
          <w:color w:val="231F20"/>
        </w:rPr>
        <w:t>cada</w:t>
      </w:r>
      <w:r>
        <w:rPr>
          <w:color w:val="231F20"/>
          <w:spacing w:val="-11"/>
        </w:rPr>
        <w:t> </w:t>
      </w:r>
      <w:r>
        <w:rPr>
          <w:color w:val="231F20"/>
        </w:rPr>
        <w:t>acción</w:t>
      </w:r>
      <w:r>
        <w:rPr>
          <w:color w:val="231F20"/>
          <w:spacing w:val="-11"/>
        </w:rPr>
        <w:t> </w:t>
      </w:r>
      <w:r>
        <w:rPr>
          <w:color w:val="231F20"/>
        </w:rPr>
        <w:t>emprendida</w:t>
      </w:r>
      <w:r>
        <w:rPr>
          <w:color w:val="231F20"/>
          <w:spacing w:val="-11"/>
        </w:rPr>
        <w:t> </w:t>
      </w:r>
      <w:r>
        <w:rPr>
          <w:color w:val="231F20"/>
        </w:rPr>
        <w:t>por</w:t>
      </w:r>
      <w:r>
        <w:rPr>
          <w:color w:val="231F20"/>
          <w:spacing w:val="-11"/>
        </w:rPr>
        <w:t> </w:t>
      </w:r>
      <w:r>
        <w:rPr>
          <w:color w:val="231F20"/>
        </w:rPr>
        <w:t>generar</w:t>
      </w:r>
      <w:r>
        <w:rPr>
          <w:color w:val="231F20"/>
          <w:spacing w:val="-11"/>
        </w:rPr>
        <w:t> </w:t>
      </w:r>
      <w:r>
        <w:rPr>
          <w:color w:val="231F20"/>
        </w:rPr>
        <w:t>mejores</w:t>
      </w:r>
      <w:r>
        <w:rPr>
          <w:color w:val="231F20"/>
          <w:spacing w:val="-11"/>
        </w:rPr>
        <w:t> </w:t>
      </w:r>
      <w:r>
        <w:rPr>
          <w:color w:val="231F20"/>
        </w:rPr>
        <w:t>condiciones</w:t>
      </w:r>
      <w:r>
        <w:rPr>
          <w:color w:val="231F20"/>
          <w:spacing w:val="-11"/>
        </w:rPr>
        <w:t> </w:t>
      </w:r>
      <w:r>
        <w:rPr>
          <w:color w:val="231F20"/>
        </w:rPr>
        <w:t>a</w:t>
      </w:r>
      <w:r>
        <w:rPr>
          <w:color w:val="231F20"/>
          <w:spacing w:val="-11"/>
        </w:rPr>
        <w:t> </w:t>
      </w:r>
      <w:r>
        <w:rPr>
          <w:color w:val="231F20"/>
        </w:rPr>
        <w:t>cada migrante dentro y fuera del territorio mexicano. En este caso la evidencia se refleja en prácticas ordinarias desplegadas por los migrantes al intentar rescatar aspectos relativos a la pertenencia, así como al extender la ayuda colectiva traducida en obras materiales</w:t>
      </w:r>
      <w:r>
        <w:rPr>
          <w:color w:val="231F20"/>
          <w:spacing w:val="-4"/>
        </w:rPr>
        <w:t> </w:t>
      </w:r>
      <w:r>
        <w:rPr>
          <w:color w:val="231F20"/>
        </w:rPr>
        <w:t>diversas.</w:t>
      </w:r>
    </w:p>
    <w:p>
      <w:pPr>
        <w:pStyle w:val="BodyText"/>
        <w:spacing w:line="247" w:lineRule="auto"/>
        <w:ind w:left="117" w:right="116" w:firstLine="283"/>
        <w:jc w:val="both"/>
      </w:pPr>
      <w:r>
        <w:rPr>
          <w:color w:val="231F20"/>
        </w:rPr>
        <w:t>Para documentar la experiencia de cada organización representativa de comunidades expulsoras asentadas en su mayoría en la parte norte del Es- tado</w:t>
      </w:r>
      <w:r>
        <w:rPr>
          <w:color w:val="231F20"/>
          <w:spacing w:val="-5"/>
        </w:rPr>
        <w:t> </w:t>
      </w:r>
      <w:r>
        <w:rPr>
          <w:color w:val="231F20"/>
        </w:rPr>
        <w:t>de</w:t>
      </w:r>
      <w:r>
        <w:rPr>
          <w:color w:val="231F20"/>
          <w:spacing w:val="-5"/>
        </w:rPr>
        <w:t> </w:t>
      </w:r>
      <w:r>
        <w:rPr>
          <w:color w:val="231F20"/>
        </w:rPr>
        <w:t>Guerrero,</w:t>
      </w:r>
      <w:r>
        <w:rPr>
          <w:color w:val="231F20"/>
          <w:spacing w:val="-4"/>
        </w:rPr>
        <w:t> </w:t>
      </w:r>
      <w:r>
        <w:rPr>
          <w:color w:val="231F20"/>
        </w:rPr>
        <w:t>fue</w:t>
      </w:r>
      <w:r>
        <w:rPr>
          <w:color w:val="231F20"/>
          <w:spacing w:val="-5"/>
        </w:rPr>
        <w:t> </w:t>
      </w:r>
      <w:r>
        <w:rPr>
          <w:color w:val="231F20"/>
        </w:rPr>
        <w:t>preciso</w:t>
      </w:r>
      <w:r>
        <w:rPr>
          <w:color w:val="231F20"/>
          <w:spacing w:val="-5"/>
        </w:rPr>
        <w:t> </w:t>
      </w:r>
      <w:r>
        <w:rPr>
          <w:color w:val="231F20"/>
        </w:rPr>
        <w:t>acercarse</w:t>
      </w:r>
      <w:r>
        <w:rPr>
          <w:color w:val="231F20"/>
          <w:spacing w:val="-5"/>
        </w:rPr>
        <w:t> </w:t>
      </w:r>
      <w:r>
        <w:rPr>
          <w:color w:val="231F20"/>
        </w:rPr>
        <w:t>a</w:t>
      </w:r>
      <w:r>
        <w:rPr>
          <w:color w:val="231F20"/>
          <w:spacing w:val="-5"/>
        </w:rPr>
        <w:t> </w:t>
      </w:r>
      <w:r>
        <w:rPr>
          <w:color w:val="231F20"/>
        </w:rPr>
        <w:t>líderes</w:t>
      </w:r>
      <w:r>
        <w:rPr>
          <w:color w:val="231F20"/>
          <w:spacing w:val="-5"/>
        </w:rPr>
        <w:t> </w:t>
      </w:r>
      <w:r>
        <w:rPr>
          <w:color w:val="231F20"/>
        </w:rPr>
        <w:t>migrantes</w:t>
      </w:r>
      <w:r>
        <w:rPr>
          <w:color w:val="231F20"/>
          <w:spacing w:val="-5"/>
        </w:rPr>
        <w:t> </w:t>
      </w:r>
      <w:r>
        <w:rPr>
          <w:color w:val="231F20"/>
        </w:rPr>
        <w:t>establecidos</w:t>
      </w:r>
      <w:r>
        <w:rPr>
          <w:color w:val="231F20"/>
          <w:spacing w:val="-6"/>
        </w:rPr>
        <w:t> </w:t>
      </w:r>
      <w:r>
        <w:rPr>
          <w:color w:val="231F20"/>
        </w:rPr>
        <w:t>en Chicago, Ilinois. Se hizo contacto con la Asociación de Clubes Unidos de Guerrerenses del Medio Oeste y con la Federación de Guerrerenses Radi- cados en el Exterior, las principales organizaciones de migrantes en Chi- cago que tienen una trayectoria y una dinámica de trabajo permanentes en el apoyo a iniciativas individuales y colectivas referentes a la</w:t>
      </w:r>
      <w:r>
        <w:rPr>
          <w:color w:val="231F20"/>
          <w:spacing w:val="-4"/>
        </w:rPr>
        <w:t> </w:t>
      </w:r>
      <w:r>
        <w:rPr>
          <w:color w:val="231F20"/>
        </w:rPr>
        <w:t>migración.</w:t>
      </w:r>
    </w:p>
    <w:p>
      <w:pPr>
        <w:spacing w:after="0" w:line="247" w:lineRule="auto"/>
        <w:jc w:val="both"/>
        <w:sectPr>
          <w:pgSz w:w="9360" w:h="13040"/>
          <w:pgMar w:header="0" w:footer="496" w:top="740" w:bottom="680" w:left="1300" w:right="1300"/>
        </w:sectPr>
      </w:pPr>
    </w:p>
    <w:p>
      <w:pPr>
        <w:tabs>
          <w:tab w:pos="5536" w:val="left" w:leader="none"/>
        </w:tabs>
        <w:spacing w:before="48"/>
        <w:ind w:left="451" w:right="0" w:hanging="346"/>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firstLine="333"/>
        <w:jc w:val="both"/>
      </w:pPr>
      <w:r>
        <w:rPr>
          <w:color w:val="231F20"/>
        </w:rPr>
        <w:t>La</w:t>
      </w:r>
      <w:r>
        <w:rPr>
          <w:color w:val="231F20"/>
          <w:spacing w:val="-6"/>
        </w:rPr>
        <w:t> </w:t>
      </w:r>
      <w:r>
        <w:rPr>
          <w:color w:val="231F20"/>
        </w:rPr>
        <w:t>experiencia</w:t>
      </w:r>
      <w:r>
        <w:rPr>
          <w:color w:val="231F20"/>
          <w:spacing w:val="-6"/>
        </w:rPr>
        <w:t> </w:t>
      </w:r>
      <w:r>
        <w:rPr>
          <w:color w:val="231F20"/>
        </w:rPr>
        <w:t>de</w:t>
      </w:r>
      <w:r>
        <w:rPr>
          <w:color w:val="231F20"/>
          <w:spacing w:val="-6"/>
        </w:rPr>
        <w:t> </w:t>
      </w:r>
      <w:r>
        <w:rPr>
          <w:color w:val="231F20"/>
        </w:rPr>
        <w:t>trabajo</w:t>
      </w:r>
      <w:r>
        <w:rPr>
          <w:color w:val="231F20"/>
          <w:spacing w:val="-6"/>
        </w:rPr>
        <w:t> </w:t>
      </w:r>
      <w:r>
        <w:rPr>
          <w:color w:val="231F20"/>
        </w:rPr>
        <w:t>y</w:t>
      </w:r>
      <w:r>
        <w:rPr>
          <w:color w:val="231F20"/>
          <w:spacing w:val="-6"/>
        </w:rPr>
        <w:t> </w:t>
      </w:r>
      <w:r>
        <w:rPr>
          <w:color w:val="231F20"/>
        </w:rPr>
        <w:t>convivencia</w:t>
      </w:r>
      <w:r>
        <w:rPr>
          <w:color w:val="231F20"/>
          <w:spacing w:val="-7"/>
        </w:rPr>
        <w:t> </w:t>
      </w:r>
      <w:r>
        <w:rPr>
          <w:color w:val="231F20"/>
        </w:rPr>
        <w:t>con</w:t>
      </w:r>
      <w:r>
        <w:rPr>
          <w:color w:val="231F20"/>
          <w:spacing w:val="-6"/>
        </w:rPr>
        <w:t> </w:t>
      </w:r>
      <w:r>
        <w:rPr>
          <w:color w:val="231F20"/>
        </w:rPr>
        <w:t>Clubes</w:t>
      </w:r>
      <w:r>
        <w:rPr>
          <w:color w:val="231F20"/>
          <w:spacing w:val="-6"/>
        </w:rPr>
        <w:t> </w:t>
      </w:r>
      <w:r>
        <w:rPr>
          <w:color w:val="231F20"/>
        </w:rPr>
        <w:t>Unidos</w:t>
      </w:r>
      <w:r>
        <w:rPr>
          <w:color w:val="231F20"/>
          <w:spacing w:val="-6"/>
        </w:rPr>
        <w:t> </w:t>
      </w:r>
      <w:r>
        <w:rPr>
          <w:color w:val="231F20"/>
        </w:rPr>
        <w:t>fue</w:t>
      </w:r>
      <w:r>
        <w:rPr>
          <w:color w:val="231F20"/>
          <w:spacing w:val="-6"/>
        </w:rPr>
        <w:t> </w:t>
      </w:r>
      <w:r>
        <w:rPr>
          <w:color w:val="231F20"/>
        </w:rPr>
        <w:t>alenta- dora en los siguientes aspectos:</w:t>
      </w:r>
    </w:p>
    <w:p>
      <w:pPr>
        <w:pStyle w:val="ListParagraph"/>
        <w:numPr>
          <w:ilvl w:val="0"/>
          <w:numId w:val="9"/>
        </w:numPr>
        <w:tabs>
          <w:tab w:pos="478" w:val="left" w:leader="none"/>
        </w:tabs>
        <w:spacing w:line="247" w:lineRule="auto" w:before="169" w:after="0"/>
        <w:ind w:left="477" w:right="115" w:hanging="360"/>
        <w:jc w:val="both"/>
        <w:rPr>
          <w:sz w:val="22"/>
        </w:rPr>
      </w:pPr>
      <w:r>
        <w:rPr>
          <w:color w:val="231F20"/>
          <w:sz w:val="22"/>
        </w:rPr>
        <w:t>Se corroboró la amplia disposición que tiene Clubes Unidos para apo- yar las comunidades de origen, bien sea a través del Programa 3x1, a través del envío de remesas o por el respaldo a migrantes de reciente incorporación.</w:t>
      </w:r>
    </w:p>
    <w:p>
      <w:pPr>
        <w:pStyle w:val="ListParagraph"/>
        <w:numPr>
          <w:ilvl w:val="0"/>
          <w:numId w:val="9"/>
        </w:numPr>
        <w:tabs>
          <w:tab w:pos="478" w:val="left" w:leader="none"/>
        </w:tabs>
        <w:spacing w:line="247" w:lineRule="auto" w:before="0" w:after="0"/>
        <w:ind w:left="477" w:right="114" w:hanging="360"/>
        <w:jc w:val="both"/>
        <w:rPr>
          <w:sz w:val="22"/>
        </w:rPr>
      </w:pPr>
      <w:r>
        <w:rPr>
          <w:color w:val="231F20"/>
          <w:sz w:val="22"/>
        </w:rPr>
        <w:t>La estructura y funcionamiento de Clubes Unidos da cuenta de cierta experiencia de trabajo organizado. Aun y cuando las actividades re- caen en un grupo de voluntarios que dirigen y coordinan lo relativo a las</w:t>
      </w:r>
      <w:r>
        <w:rPr>
          <w:color w:val="231F20"/>
          <w:spacing w:val="-9"/>
          <w:sz w:val="22"/>
        </w:rPr>
        <w:t> </w:t>
      </w:r>
      <w:r>
        <w:rPr>
          <w:color w:val="231F20"/>
          <w:sz w:val="22"/>
        </w:rPr>
        <w:t>actividades</w:t>
      </w:r>
      <w:r>
        <w:rPr>
          <w:color w:val="231F20"/>
          <w:spacing w:val="-10"/>
          <w:sz w:val="22"/>
        </w:rPr>
        <w:t> </w:t>
      </w:r>
      <w:r>
        <w:rPr>
          <w:color w:val="231F20"/>
          <w:sz w:val="22"/>
        </w:rPr>
        <w:t>de</w:t>
      </w:r>
      <w:r>
        <w:rPr>
          <w:color w:val="231F20"/>
          <w:spacing w:val="-9"/>
          <w:sz w:val="22"/>
        </w:rPr>
        <w:t> </w:t>
      </w:r>
      <w:r>
        <w:rPr>
          <w:color w:val="231F20"/>
          <w:sz w:val="22"/>
        </w:rPr>
        <w:t>apoyo</w:t>
      </w:r>
      <w:r>
        <w:rPr>
          <w:color w:val="231F20"/>
          <w:spacing w:val="-9"/>
          <w:sz w:val="22"/>
        </w:rPr>
        <w:t> </w:t>
      </w:r>
      <w:r>
        <w:rPr>
          <w:color w:val="231F20"/>
          <w:sz w:val="22"/>
        </w:rPr>
        <w:t>a</w:t>
      </w:r>
      <w:r>
        <w:rPr>
          <w:color w:val="231F20"/>
          <w:spacing w:val="-9"/>
          <w:sz w:val="22"/>
        </w:rPr>
        <w:t> </w:t>
      </w:r>
      <w:r>
        <w:rPr>
          <w:color w:val="231F20"/>
          <w:sz w:val="22"/>
        </w:rPr>
        <w:t>migrantes,</w:t>
      </w:r>
      <w:r>
        <w:rPr>
          <w:color w:val="231F20"/>
          <w:spacing w:val="-10"/>
          <w:sz w:val="22"/>
        </w:rPr>
        <w:t> </w:t>
      </w:r>
      <w:r>
        <w:rPr>
          <w:color w:val="231F20"/>
          <w:sz w:val="22"/>
        </w:rPr>
        <w:t>tanto</w:t>
      </w:r>
      <w:r>
        <w:rPr>
          <w:color w:val="231F20"/>
          <w:spacing w:val="-9"/>
          <w:sz w:val="22"/>
        </w:rPr>
        <w:t> </w:t>
      </w:r>
      <w:r>
        <w:rPr>
          <w:color w:val="231F20"/>
          <w:sz w:val="22"/>
        </w:rPr>
        <w:t>en</w:t>
      </w:r>
      <w:r>
        <w:rPr>
          <w:color w:val="231F20"/>
          <w:spacing w:val="-9"/>
          <w:sz w:val="22"/>
        </w:rPr>
        <w:t> </w:t>
      </w:r>
      <w:r>
        <w:rPr>
          <w:color w:val="231F20"/>
          <w:sz w:val="22"/>
        </w:rPr>
        <w:t>Chicago</w:t>
      </w:r>
      <w:r>
        <w:rPr>
          <w:color w:val="231F20"/>
          <w:spacing w:val="-9"/>
          <w:sz w:val="22"/>
        </w:rPr>
        <w:t> </w:t>
      </w:r>
      <w:r>
        <w:rPr>
          <w:color w:val="231F20"/>
          <w:sz w:val="22"/>
        </w:rPr>
        <w:t>como</w:t>
      </w:r>
      <w:r>
        <w:rPr>
          <w:color w:val="231F20"/>
          <w:spacing w:val="-9"/>
          <w:sz w:val="22"/>
        </w:rPr>
        <w:t> </w:t>
      </w:r>
      <w:r>
        <w:rPr>
          <w:color w:val="231F20"/>
          <w:sz w:val="22"/>
        </w:rPr>
        <w:t>en</w:t>
      </w:r>
      <w:r>
        <w:rPr>
          <w:color w:val="231F20"/>
          <w:spacing w:val="-9"/>
          <w:sz w:val="22"/>
        </w:rPr>
        <w:t> </w:t>
      </w:r>
      <w:r>
        <w:rPr>
          <w:color w:val="231F20"/>
          <w:sz w:val="22"/>
        </w:rPr>
        <w:t>las</w:t>
      </w:r>
      <w:r>
        <w:rPr>
          <w:color w:val="231F20"/>
          <w:spacing w:val="-9"/>
          <w:sz w:val="22"/>
        </w:rPr>
        <w:t> </w:t>
      </w:r>
      <w:r>
        <w:rPr>
          <w:color w:val="231F20"/>
          <w:sz w:val="22"/>
        </w:rPr>
        <w:t>co- munidades de origen asentadas en la zona norte del Estado de Guerre- ro. Del grupo dirigente destaca el liderazgo de Erasmo Salgado,</w:t>
      </w:r>
      <w:r>
        <w:rPr>
          <w:color w:val="231F20"/>
          <w:spacing w:val="-38"/>
          <w:sz w:val="22"/>
        </w:rPr>
        <w:t> </w:t>
      </w:r>
      <w:r>
        <w:rPr>
          <w:color w:val="231F20"/>
          <w:sz w:val="22"/>
        </w:rPr>
        <w:t>fuerte promotor de la organización y responsable directo del</w:t>
      </w:r>
      <w:r>
        <w:rPr>
          <w:color w:val="231F20"/>
          <w:spacing w:val="-12"/>
          <w:sz w:val="22"/>
        </w:rPr>
        <w:t> </w:t>
      </w:r>
      <w:r>
        <w:rPr>
          <w:color w:val="231F20"/>
          <w:sz w:val="22"/>
        </w:rPr>
        <w:t>funcionamiento de Clubes</w:t>
      </w:r>
      <w:r>
        <w:rPr>
          <w:color w:val="231F20"/>
          <w:spacing w:val="-7"/>
          <w:sz w:val="22"/>
        </w:rPr>
        <w:t> </w:t>
      </w:r>
      <w:r>
        <w:rPr>
          <w:color w:val="231F20"/>
          <w:sz w:val="22"/>
        </w:rPr>
        <w:t>Unidos.</w:t>
      </w:r>
    </w:p>
    <w:p>
      <w:pPr>
        <w:pStyle w:val="BodyText"/>
        <w:spacing w:line="247" w:lineRule="auto" w:before="113"/>
        <w:ind w:left="117" w:right="114" w:firstLine="283"/>
        <w:jc w:val="both"/>
      </w:pPr>
      <w:r>
        <w:rPr>
          <w:color w:val="231F20"/>
        </w:rPr>
        <w:t>Por</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concierne</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Federación</w:t>
      </w:r>
      <w:r>
        <w:rPr>
          <w:color w:val="231F20"/>
          <w:spacing w:val="-11"/>
        </w:rPr>
        <w:t> </w:t>
      </w:r>
      <w:r>
        <w:rPr>
          <w:color w:val="231F20"/>
        </w:rPr>
        <w:t>de</w:t>
      </w:r>
      <w:r>
        <w:rPr>
          <w:color w:val="231F20"/>
          <w:spacing w:val="-11"/>
        </w:rPr>
        <w:t> </w:t>
      </w:r>
      <w:r>
        <w:rPr>
          <w:color w:val="231F20"/>
        </w:rPr>
        <w:t>Guerrerenses,</w:t>
      </w:r>
      <w:r>
        <w:rPr>
          <w:color w:val="231F20"/>
          <w:spacing w:val="-11"/>
        </w:rPr>
        <w:t> </w:t>
      </w:r>
      <w:r>
        <w:rPr>
          <w:color w:val="231F20"/>
        </w:rPr>
        <w:t>se</w:t>
      </w:r>
      <w:r>
        <w:rPr>
          <w:color w:val="231F20"/>
          <w:spacing w:val="-11"/>
        </w:rPr>
        <w:t> </w:t>
      </w:r>
      <w:r>
        <w:rPr>
          <w:color w:val="231F20"/>
        </w:rPr>
        <w:t>constató</w:t>
      </w:r>
      <w:r>
        <w:rPr>
          <w:color w:val="231F20"/>
          <w:spacing w:val="-11"/>
        </w:rPr>
        <w:t> </w:t>
      </w:r>
      <w:r>
        <w:rPr>
          <w:color w:val="231F20"/>
        </w:rPr>
        <w:t>cierto nivel de coordinación entre la dirigencia y se visualizó un estilo de</w:t>
      </w:r>
      <w:r>
        <w:rPr>
          <w:color w:val="231F20"/>
          <w:spacing w:val="-26"/>
        </w:rPr>
        <w:t> </w:t>
      </w:r>
      <w:r>
        <w:rPr>
          <w:color w:val="231F20"/>
        </w:rPr>
        <w:t>trabajo y de relaciones internas diferente al que desarrollan en Clubes Unidos. Mientras en Clubes Unidos las decisiones son centralizadas en torno a la iniciativa y capacidad de Erasmo Salgado, indiscutible líder de la organi- zación, en la Federación se palpa un espíritu orientado en cierta forma a  la búsqueda de consensos en la toma de decisiones, por lo que el trabajo realizado gira en cierta forma en la toma de decisiones</w:t>
      </w:r>
      <w:r>
        <w:rPr>
          <w:color w:val="231F20"/>
          <w:spacing w:val="-4"/>
        </w:rPr>
        <w:t> </w:t>
      </w:r>
      <w:r>
        <w:rPr>
          <w:color w:val="231F20"/>
        </w:rPr>
        <w:t>colectiva.</w:t>
      </w:r>
    </w:p>
    <w:p>
      <w:pPr>
        <w:pStyle w:val="BodyText"/>
        <w:spacing w:line="247" w:lineRule="auto"/>
        <w:ind w:left="117" w:right="114" w:firstLine="283"/>
        <w:jc w:val="both"/>
      </w:pPr>
      <w:r>
        <w:rPr>
          <w:color w:val="231F20"/>
        </w:rPr>
        <w:t>Finalmente, es importante señalar que existen claras diferencias entre Clubes Unidos y la Federación de Guerrerenses:</w:t>
      </w:r>
    </w:p>
    <w:p>
      <w:pPr>
        <w:pStyle w:val="BodyText"/>
        <w:spacing w:line="247" w:lineRule="auto"/>
        <w:ind w:left="117" w:right="116" w:firstLine="283"/>
        <w:jc w:val="both"/>
      </w:pPr>
      <w:r>
        <w:rPr>
          <w:color w:val="231F20"/>
        </w:rPr>
        <w:t>Primero,</w:t>
      </w:r>
      <w:r>
        <w:rPr>
          <w:color w:val="231F20"/>
          <w:spacing w:val="-4"/>
        </w:rPr>
        <w:t> </w:t>
      </w:r>
      <w:r>
        <w:rPr>
          <w:color w:val="231F20"/>
        </w:rPr>
        <w:t>como</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señalado</w:t>
      </w:r>
      <w:r>
        <w:rPr>
          <w:color w:val="231F20"/>
          <w:spacing w:val="-4"/>
        </w:rPr>
        <w:t> </w:t>
      </w:r>
      <w:r>
        <w:rPr>
          <w:color w:val="231F20"/>
        </w:rPr>
        <w:t>arriba,</w:t>
      </w:r>
      <w:r>
        <w:rPr>
          <w:color w:val="231F20"/>
          <w:spacing w:val="-5"/>
        </w:rPr>
        <w:t> </w:t>
      </w:r>
      <w:r>
        <w:rPr>
          <w:color w:val="231F20"/>
        </w:rPr>
        <w:t>los</w:t>
      </w:r>
      <w:r>
        <w:rPr>
          <w:color w:val="231F20"/>
          <w:spacing w:val="-5"/>
        </w:rPr>
        <w:t> </w:t>
      </w:r>
      <w:r>
        <w:rPr>
          <w:color w:val="231F20"/>
        </w:rPr>
        <w:t>liderazgos</w:t>
      </w:r>
      <w:r>
        <w:rPr>
          <w:color w:val="231F20"/>
          <w:spacing w:val="-5"/>
        </w:rPr>
        <w:t> </w:t>
      </w:r>
      <w:r>
        <w:rPr>
          <w:color w:val="231F20"/>
        </w:rPr>
        <w:t>y</w:t>
      </w:r>
      <w:r>
        <w:rPr>
          <w:color w:val="231F20"/>
          <w:spacing w:val="-5"/>
        </w:rPr>
        <w:t> </w:t>
      </w:r>
      <w:r>
        <w:rPr>
          <w:color w:val="231F20"/>
        </w:rPr>
        <w:t>estilos</w:t>
      </w:r>
      <w:r>
        <w:rPr>
          <w:color w:val="231F20"/>
          <w:spacing w:val="-5"/>
        </w:rPr>
        <w:t> </w:t>
      </w:r>
      <w:r>
        <w:rPr>
          <w:color w:val="231F20"/>
        </w:rPr>
        <w:t>entre</w:t>
      </w:r>
      <w:r>
        <w:rPr>
          <w:color w:val="231F20"/>
          <w:spacing w:val="-5"/>
        </w:rPr>
        <w:t> </w:t>
      </w:r>
      <w:r>
        <w:rPr>
          <w:color w:val="231F20"/>
        </w:rPr>
        <w:t>cada propuesta</w:t>
      </w:r>
      <w:r>
        <w:rPr>
          <w:color w:val="231F20"/>
          <w:spacing w:val="-6"/>
        </w:rPr>
        <w:t> </w:t>
      </w:r>
      <w:r>
        <w:rPr>
          <w:color w:val="231F20"/>
        </w:rPr>
        <w:t>de</w:t>
      </w:r>
      <w:r>
        <w:rPr>
          <w:color w:val="231F20"/>
          <w:spacing w:val="-6"/>
        </w:rPr>
        <w:t> </w:t>
      </w:r>
      <w:r>
        <w:rPr>
          <w:color w:val="231F20"/>
        </w:rPr>
        <w:t>trabajo</w:t>
      </w:r>
      <w:r>
        <w:rPr>
          <w:color w:val="231F20"/>
          <w:spacing w:val="-7"/>
        </w:rPr>
        <w:t> </w:t>
      </w:r>
      <w:r>
        <w:rPr>
          <w:color w:val="231F20"/>
        </w:rPr>
        <w:t>dan</w:t>
      </w:r>
      <w:r>
        <w:rPr>
          <w:color w:val="231F20"/>
          <w:spacing w:val="-6"/>
        </w:rPr>
        <w:t> </w:t>
      </w:r>
      <w:r>
        <w:rPr>
          <w:color w:val="231F20"/>
        </w:rPr>
        <w:t>cuenta</w:t>
      </w:r>
      <w:r>
        <w:rPr>
          <w:color w:val="231F20"/>
          <w:spacing w:val="-7"/>
        </w:rPr>
        <w:t> </w:t>
      </w:r>
      <w:r>
        <w:rPr>
          <w:color w:val="231F20"/>
        </w:rPr>
        <w:t>de</w:t>
      </w:r>
      <w:r>
        <w:rPr>
          <w:color w:val="231F20"/>
          <w:spacing w:val="-6"/>
        </w:rPr>
        <w:t> </w:t>
      </w:r>
      <w:r>
        <w:rPr>
          <w:color w:val="231F20"/>
        </w:rPr>
        <w:t>dos</w:t>
      </w:r>
      <w:r>
        <w:rPr>
          <w:color w:val="231F20"/>
          <w:spacing w:val="-6"/>
        </w:rPr>
        <w:t> </w:t>
      </w:r>
      <w:r>
        <w:rPr>
          <w:color w:val="231F20"/>
        </w:rPr>
        <w:t>proyectos</w:t>
      </w:r>
      <w:r>
        <w:rPr>
          <w:color w:val="231F20"/>
          <w:spacing w:val="-6"/>
        </w:rPr>
        <w:t> </w:t>
      </w:r>
      <w:r>
        <w:rPr>
          <w:color w:val="231F20"/>
        </w:rPr>
        <w:t>que</w:t>
      </w:r>
      <w:r>
        <w:rPr>
          <w:color w:val="231F20"/>
          <w:spacing w:val="-6"/>
        </w:rPr>
        <w:t> </w:t>
      </w:r>
      <w:r>
        <w:rPr>
          <w:color w:val="231F20"/>
        </w:rPr>
        <w:t>cohabitaron</w:t>
      </w:r>
      <w:r>
        <w:rPr>
          <w:color w:val="231F20"/>
          <w:spacing w:val="-7"/>
        </w:rPr>
        <w:t> </w:t>
      </w:r>
      <w:r>
        <w:rPr>
          <w:color w:val="231F20"/>
        </w:rPr>
        <w:t>compar- tiendo</w:t>
      </w:r>
      <w:r>
        <w:rPr>
          <w:color w:val="231F20"/>
          <w:spacing w:val="-9"/>
        </w:rPr>
        <w:t> </w:t>
      </w:r>
      <w:r>
        <w:rPr>
          <w:color w:val="231F20"/>
        </w:rPr>
        <w:t>objetivos</w:t>
      </w:r>
      <w:r>
        <w:rPr>
          <w:color w:val="231F20"/>
          <w:spacing w:val="-9"/>
        </w:rPr>
        <w:t> </w:t>
      </w:r>
      <w:r>
        <w:rPr>
          <w:color w:val="231F20"/>
        </w:rPr>
        <w:t>y</w:t>
      </w:r>
      <w:r>
        <w:rPr>
          <w:color w:val="231F20"/>
          <w:spacing w:val="-9"/>
        </w:rPr>
        <w:t> </w:t>
      </w:r>
      <w:r>
        <w:rPr>
          <w:color w:val="231F20"/>
        </w:rPr>
        <w:t>metas</w:t>
      </w:r>
      <w:r>
        <w:rPr>
          <w:color w:val="231F20"/>
          <w:spacing w:val="-9"/>
        </w:rPr>
        <w:t> </w:t>
      </w:r>
      <w:r>
        <w:rPr>
          <w:color w:val="231F20"/>
        </w:rPr>
        <w:t>en</w:t>
      </w:r>
      <w:r>
        <w:rPr>
          <w:color w:val="231F20"/>
          <w:spacing w:val="-9"/>
        </w:rPr>
        <w:t> </w:t>
      </w:r>
      <w:r>
        <w:rPr>
          <w:color w:val="231F20"/>
        </w:rPr>
        <w:t>tiempos</w:t>
      </w:r>
      <w:r>
        <w:rPr>
          <w:color w:val="231F20"/>
          <w:spacing w:val="-9"/>
        </w:rPr>
        <w:t> </w:t>
      </w:r>
      <w:r>
        <w:rPr>
          <w:color w:val="231F20"/>
        </w:rPr>
        <w:t>pasados,</w:t>
      </w:r>
      <w:r>
        <w:rPr>
          <w:color w:val="231F20"/>
          <w:spacing w:val="-9"/>
        </w:rPr>
        <w:t> </w:t>
      </w:r>
      <w:r>
        <w:rPr>
          <w:color w:val="231F20"/>
        </w:rPr>
        <w:t>que</w:t>
      </w:r>
      <w:r>
        <w:rPr>
          <w:color w:val="231F20"/>
          <w:spacing w:val="-9"/>
        </w:rPr>
        <w:t> </w:t>
      </w:r>
      <w:r>
        <w:rPr>
          <w:color w:val="231F20"/>
        </w:rPr>
        <w:t>al</w:t>
      </w:r>
      <w:r>
        <w:rPr>
          <w:color w:val="231F20"/>
          <w:spacing w:val="-9"/>
        </w:rPr>
        <w:t> </w:t>
      </w:r>
      <w:r>
        <w:rPr>
          <w:color w:val="231F20"/>
        </w:rPr>
        <w:t>identificar</w:t>
      </w:r>
      <w:r>
        <w:rPr>
          <w:color w:val="231F20"/>
          <w:spacing w:val="-9"/>
        </w:rPr>
        <w:t> </w:t>
      </w:r>
      <w:r>
        <w:rPr>
          <w:color w:val="231F20"/>
        </w:rPr>
        <w:t>sus</w:t>
      </w:r>
      <w:r>
        <w:rPr>
          <w:color w:val="231F20"/>
          <w:spacing w:val="-8"/>
        </w:rPr>
        <w:t> </w:t>
      </w:r>
      <w:r>
        <w:rPr>
          <w:color w:val="231F20"/>
        </w:rPr>
        <w:t>diferen- dos</w:t>
      </w:r>
      <w:r>
        <w:rPr>
          <w:color w:val="231F20"/>
          <w:spacing w:val="-8"/>
        </w:rPr>
        <w:t> </w:t>
      </w:r>
      <w:r>
        <w:rPr>
          <w:color w:val="231F20"/>
        </w:rPr>
        <w:t>reconocieron</w:t>
      </w:r>
      <w:r>
        <w:rPr>
          <w:color w:val="231F20"/>
          <w:spacing w:val="-8"/>
        </w:rPr>
        <w:t> </w:t>
      </w:r>
      <w:r>
        <w:rPr>
          <w:color w:val="231F20"/>
        </w:rPr>
        <w:t>la</w:t>
      </w:r>
      <w:r>
        <w:rPr>
          <w:color w:val="231F20"/>
          <w:spacing w:val="-8"/>
        </w:rPr>
        <w:t> </w:t>
      </w:r>
      <w:r>
        <w:rPr>
          <w:color w:val="231F20"/>
        </w:rPr>
        <w:t>incompatibilidad</w:t>
      </w:r>
      <w:r>
        <w:rPr>
          <w:color w:val="231F20"/>
          <w:spacing w:val="-9"/>
        </w:rPr>
        <w:t> </w:t>
      </w:r>
      <w:r>
        <w:rPr>
          <w:color w:val="231F20"/>
        </w:rPr>
        <w:t>de</w:t>
      </w:r>
      <w:r>
        <w:rPr>
          <w:color w:val="231F20"/>
          <w:spacing w:val="-8"/>
        </w:rPr>
        <w:t> </w:t>
      </w:r>
      <w:r>
        <w:rPr>
          <w:color w:val="231F20"/>
        </w:rPr>
        <w:t>cada</w:t>
      </w:r>
      <w:r>
        <w:rPr>
          <w:color w:val="231F20"/>
          <w:spacing w:val="-8"/>
        </w:rPr>
        <w:t> </w:t>
      </w:r>
      <w:r>
        <w:rPr>
          <w:color w:val="231F20"/>
        </w:rPr>
        <w:t>proyecto</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postre propició la separación entre lo que hoy es Clubes Unidos y la Federación de</w:t>
      </w:r>
      <w:r>
        <w:rPr>
          <w:color w:val="231F20"/>
          <w:spacing w:val="-4"/>
        </w:rPr>
        <w:t> </w:t>
      </w:r>
      <w:r>
        <w:rPr>
          <w:color w:val="231F20"/>
        </w:rPr>
        <w:t>Clubes</w:t>
      </w:r>
      <w:r>
        <w:rPr>
          <w:color w:val="231F20"/>
          <w:spacing w:val="-4"/>
        </w:rPr>
        <w:t> </w:t>
      </w:r>
      <w:r>
        <w:rPr>
          <w:color w:val="231F20"/>
        </w:rPr>
        <w:t>Guerrerense—</w:t>
      </w:r>
      <w:r>
        <w:rPr>
          <w:color w:val="231F20"/>
          <w:spacing w:val="-3"/>
        </w:rPr>
        <w:t> </w:t>
      </w:r>
      <w:r>
        <w:rPr>
          <w:color w:val="231F20"/>
        </w:rPr>
        <w:t>por</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posibilidad</w:t>
      </w:r>
      <w:r>
        <w:rPr>
          <w:color w:val="231F20"/>
          <w:spacing w:val="-4"/>
        </w:rPr>
        <w:t> </w:t>
      </w:r>
      <w:r>
        <w:rPr>
          <w:color w:val="231F20"/>
        </w:rPr>
        <w:t>de</w:t>
      </w:r>
      <w:r>
        <w:rPr>
          <w:color w:val="231F20"/>
          <w:spacing w:val="-4"/>
        </w:rPr>
        <w:t> </w:t>
      </w:r>
      <w:r>
        <w:rPr>
          <w:color w:val="231F20"/>
        </w:rPr>
        <w:t>volver</w:t>
      </w:r>
      <w:r>
        <w:rPr>
          <w:color w:val="231F20"/>
          <w:spacing w:val="-4"/>
        </w:rPr>
        <w:t> </w:t>
      </w:r>
      <w:r>
        <w:rPr>
          <w:color w:val="231F20"/>
        </w:rPr>
        <w:t>a</w:t>
      </w:r>
      <w:r>
        <w:rPr>
          <w:color w:val="231F20"/>
          <w:spacing w:val="-4"/>
        </w:rPr>
        <w:t> </w:t>
      </w:r>
      <w:r>
        <w:rPr>
          <w:color w:val="231F20"/>
        </w:rPr>
        <w:t>coincidir</w:t>
      </w:r>
      <w:r>
        <w:rPr>
          <w:color w:val="231F20"/>
          <w:spacing w:val="-4"/>
        </w:rPr>
        <w:t> </w:t>
      </w:r>
      <w:r>
        <w:rPr>
          <w:color w:val="231F20"/>
        </w:rPr>
        <w:t>en un solo programa de actividades es, hasta ahora, bastante</w:t>
      </w:r>
      <w:r>
        <w:rPr>
          <w:color w:val="231F20"/>
          <w:spacing w:val="-6"/>
        </w:rPr>
        <w:t> </w:t>
      </w:r>
      <w:r>
        <w:rPr>
          <w:color w:val="231F20"/>
        </w:rPr>
        <w:t>remota.</w:t>
      </w:r>
    </w:p>
    <w:p>
      <w:pPr>
        <w:pStyle w:val="BodyText"/>
        <w:spacing w:line="247" w:lineRule="auto"/>
        <w:ind w:left="117" w:right="114" w:firstLine="283"/>
        <w:jc w:val="both"/>
      </w:pPr>
      <w:r>
        <w:rPr>
          <w:color w:val="231F20"/>
        </w:rPr>
        <w:t>Segundo, el tipo de relaciones que cada experiencia desarrolla con ám- bitos e instituciones externas, marca otra diferencia ya que, como es del dominio</w:t>
      </w:r>
      <w:r>
        <w:rPr>
          <w:color w:val="231F20"/>
          <w:spacing w:val="-12"/>
        </w:rPr>
        <w:t> </w:t>
      </w:r>
      <w:r>
        <w:rPr>
          <w:color w:val="231F20"/>
        </w:rPr>
        <w:t>público</w:t>
      </w:r>
      <w:r>
        <w:rPr>
          <w:color w:val="231F20"/>
          <w:spacing w:val="-12"/>
        </w:rPr>
        <w:t> </w:t>
      </w:r>
      <w:r>
        <w:rPr>
          <w:color w:val="231F20"/>
        </w:rPr>
        <w:t>en</w:t>
      </w:r>
      <w:r>
        <w:rPr>
          <w:color w:val="231F20"/>
          <w:spacing w:val="-13"/>
        </w:rPr>
        <w:t> </w:t>
      </w:r>
      <w:r>
        <w:rPr>
          <w:color w:val="231F20"/>
        </w:rPr>
        <w:t>Chicago,</w:t>
      </w:r>
      <w:r>
        <w:rPr>
          <w:color w:val="231F20"/>
          <w:spacing w:val="-13"/>
        </w:rPr>
        <w:t> </w:t>
      </w:r>
      <w:r>
        <w:rPr>
          <w:color w:val="231F20"/>
        </w:rPr>
        <w:t>mientras</w:t>
      </w:r>
      <w:r>
        <w:rPr>
          <w:color w:val="231F20"/>
          <w:spacing w:val="-13"/>
        </w:rPr>
        <w:t> </w:t>
      </w:r>
      <w:r>
        <w:rPr>
          <w:color w:val="231F20"/>
        </w:rPr>
        <w:t>la</w:t>
      </w:r>
      <w:r>
        <w:rPr>
          <w:color w:val="231F20"/>
          <w:spacing w:val="-13"/>
        </w:rPr>
        <w:t> </w:t>
      </w:r>
      <w:r>
        <w:rPr>
          <w:color w:val="231F20"/>
        </w:rPr>
        <w:t>Federación</w:t>
      </w:r>
      <w:r>
        <w:rPr>
          <w:color w:val="231F20"/>
          <w:spacing w:val="-12"/>
        </w:rPr>
        <w:t> </w:t>
      </w:r>
      <w:r>
        <w:rPr>
          <w:color w:val="231F20"/>
        </w:rPr>
        <w:t>acepta</w:t>
      </w:r>
      <w:r>
        <w:rPr>
          <w:color w:val="231F20"/>
          <w:spacing w:val="-13"/>
        </w:rPr>
        <w:t> </w:t>
      </w:r>
      <w:r>
        <w:rPr>
          <w:color w:val="231F20"/>
        </w:rPr>
        <w:t>establecer</w:t>
      </w:r>
      <w:r>
        <w:rPr>
          <w:color w:val="231F20"/>
          <w:spacing w:val="-13"/>
        </w:rPr>
        <w:t> </w:t>
      </w:r>
      <w:r>
        <w:rPr>
          <w:color w:val="231F20"/>
        </w:rPr>
        <w:t>con- tacto </w:t>
      </w:r>
      <w:r>
        <w:rPr>
          <w:color w:val="231F20"/>
          <w:spacing w:val="-8"/>
        </w:rPr>
        <w:t>y, </w:t>
      </w:r>
      <w:r>
        <w:rPr>
          <w:color w:val="231F20"/>
        </w:rPr>
        <w:t>hasta cierto punto, acercamiento con representantes del gobierno del Estado de Guerrero, los de Clubes Unidos no sólo marcan distancia importante sino que desarrollan fuertes críticas a la ineficiencia y la falta de</w:t>
      </w:r>
      <w:r>
        <w:rPr>
          <w:color w:val="231F20"/>
          <w:spacing w:val="-10"/>
        </w:rPr>
        <w:t> </w:t>
      </w:r>
      <w:r>
        <w:rPr>
          <w:color w:val="231F20"/>
        </w:rPr>
        <w:t>sensibilidad</w:t>
      </w:r>
      <w:r>
        <w:rPr>
          <w:color w:val="231F20"/>
          <w:spacing w:val="-9"/>
        </w:rPr>
        <w:t> </w:t>
      </w:r>
      <w:r>
        <w:rPr>
          <w:color w:val="231F20"/>
        </w:rPr>
        <w:t>de</w:t>
      </w:r>
      <w:r>
        <w:rPr>
          <w:color w:val="231F20"/>
          <w:spacing w:val="-10"/>
        </w:rPr>
        <w:t> </w:t>
      </w:r>
      <w:r>
        <w:rPr>
          <w:color w:val="231F20"/>
        </w:rPr>
        <w:t>dependencias</w:t>
      </w:r>
      <w:r>
        <w:rPr>
          <w:color w:val="231F20"/>
          <w:spacing w:val="-10"/>
        </w:rPr>
        <w:t> </w:t>
      </w:r>
      <w:r>
        <w:rPr>
          <w:color w:val="231F20"/>
        </w:rPr>
        <w:t>públicas,</w:t>
      </w:r>
      <w:r>
        <w:rPr>
          <w:color w:val="231F20"/>
          <w:spacing w:val="-10"/>
        </w:rPr>
        <w:t> </w:t>
      </w:r>
      <w:r>
        <w:rPr>
          <w:color w:val="231F20"/>
        </w:rPr>
        <w:t>dentro</w:t>
      </w:r>
      <w:r>
        <w:rPr>
          <w:color w:val="231F20"/>
          <w:spacing w:val="-10"/>
        </w:rPr>
        <w:t> </w:t>
      </w:r>
      <w:r>
        <w:rPr>
          <w:color w:val="231F20"/>
        </w:rPr>
        <w:t>y</w:t>
      </w:r>
      <w:r>
        <w:rPr>
          <w:color w:val="231F20"/>
          <w:spacing w:val="-10"/>
        </w:rPr>
        <w:t> </w:t>
      </w:r>
      <w:r>
        <w:rPr>
          <w:color w:val="231F20"/>
        </w:rPr>
        <w:t>fuera</w:t>
      </w:r>
      <w:r>
        <w:rPr>
          <w:color w:val="231F20"/>
          <w:spacing w:val="-10"/>
        </w:rPr>
        <w:t> </w:t>
      </w:r>
      <w:r>
        <w:rPr>
          <w:color w:val="231F20"/>
        </w:rPr>
        <w:t>de</w:t>
      </w:r>
      <w:r>
        <w:rPr>
          <w:color w:val="231F20"/>
          <w:spacing w:val="-10"/>
        </w:rPr>
        <w:t> </w:t>
      </w:r>
      <w:r>
        <w:rPr>
          <w:color w:val="231F20"/>
        </w:rPr>
        <w:t>Chicago,</w:t>
      </w:r>
      <w:r>
        <w:rPr>
          <w:color w:val="231F20"/>
          <w:spacing w:val="-10"/>
        </w:rPr>
        <w:t> </w:t>
      </w:r>
      <w:r>
        <w:rPr>
          <w:color w:val="231F20"/>
        </w:rPr>
        <w:t>como</w:t>
      </w:r>
    </w:p>
    <w:p>
      <w:pPr>
        <w:spacing w:after="0" w:line="247" w:lineRule="auto"/>
        <w:jc w:val="both"/>
        <w:sectPr>
          <w:footerReference w:type="default" r:id="rId182"/>
          <w:pgSz w:w="9360" w:h="13040"/>
          <w:pgMar w:footer="496" w:header="0" w:top="800" w:bottom="680" w:left="1300" w:right="1300"/>
        </w:sectPr>
      </w:pPr>
    </w:p>
    <w:p>
      <w:pPr>
        <w:spacing w:before="45"/>
        <w:ind w:left="117" w:right="117" w:firstLine="89"/>
        <w:jc w:val="left"/>
        <w:rPr>
          <w:rFonts w:ascii="Arial" w:hAnsi="Arial"/>
          <w:sz w:val="20"/>
        </w:rPr>
      </w:pPr>
      <w:r>
        <w:rPr>
          <w:rFonts w:ascii="Arial" w:hAnsi="Arial"/>
          <w:color w:val="231F20"/>
          <w:w w:val="70"/>
          <w:sz w:val="20"/>
        </w:rPr>
        <w:t>Redes    migratorias y políticas públicas de la migración internacional guerrerense /Artemio López-Ríos</w:t>
      </w:r>
    </w:p>
    <w:p>
      <w:pPr>
        <w:pStyle w:val="BodyText"/>
        <w:spacing w:before="7"/>
        <w:rPr>
          <w:rFonts w:ascii="Arial"/>
          <w:sz w:val="28"/>
        </w:rPr>
      </w:pPr>
    </w:p>
    <w:p>
      <w:pPr>
        <w:pStyle w:val="BodyText"/>
        <w:spacing w:line="247" w:lineRule="auto"/>
        <w:ind w:left="117" w:right="117"/>
      </w:pPr>
      <w:r>
        <w:rPr>
          <w:color w:val="231F20"/>
        </w:rPr>
        <w:t>la Dirección de Atención a Migrantes del gobierno de Guerrero asentada en esa ciudad.</w:t>
      </w:r>
    </w:p>
    <w:p>
      <w:pPr>
        <w:pStyle w:val="BodyText"/>
        <w:spacing w:line="247" w:lineRule="auto"/>
        <w:ind w:left="117" w:right="115" w:firstLine="283"/>
        <w:jc w:val="both"/>
      </w:pPr>
      <w:r>
        <w:rPr>
          <w:color w:val="231F20"/>
        </w:rPr>
        <w:t>Estas organizaciones de migrantes, sin embargo, trabajan para ampliar su ámbito de influencia. Se desplazan del circuito de ayuda a personas   y/o familias que intentan llegar al “otro lado”, vía conexión con redes de traslado de cierta confiabilidad, aseguramiento de techo y comida, acom- pañamiento para obtener empleo, etc., hasta la responsabilidad asumida por estos migrantes organizados de trabajar propuestas que den solución puntual a los guerrerenses inmigrados y a sus comunidades de</w:t>
      </w:r>
      <w:r>
        <w:rPr>
          <w:color w:val="231F20"/>
          <w:spacing w:val="-5"/>
        </w:rPr>
        <w:t> </w:t>
      </w:r>
      <w:r>
        <w:rPr>
          <w:color w:val="231F20"/>
        </w:rPr>
        <w:t>origen.</w:t>
      </w:r>
    </w:p>
    <w:p>
      <w:pPr>
        <w:pStyle w:val="BodyText"/>
        <w:spacing w:line="247" w:lineRule="auto"/>
        <w:ind w:left="117" w:right="114" w:firstLine="354"/>
        <w:jc w:val="both"/>
      </w:pPr>
      <w:r>
        <w:rPr>
          <w:color w:val="231F20"/>
        </w:rPr>
        <w:t>El esquema de ayuda que impulsan los migrantes organizados se so- porta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antecedente</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cierta</w:t>
      </w:r>
      <w:r>
        <w:rPr>
          <w:color w:val="231F20"/>
          <w:spacing w:val="-8"/>
        </w:rPr>
        <w:t> </w:t>
      </w:r>
      <w:r>
        <w:rPr>
          <w:color w:val="231F20"/>
        </w:rPr>
        <w:t>forma</w:t>
      </w:r>
      <w:r>
        <w:rPr>
          <w:color w:val="231F20"/>
          <w:spacing w:val="-8"/>
        </w:rPr>
        <w:t> </w:t>
      </w:r>
      <w:r>
        <w:rPr>
          <w:color w:val="231F20"/>
        </w:rPr>
        <w:t>arrastra</w:t>
      </w:r>
      <w:r>
        <w:rPr>
          <w:color w:val="231F20"/>
          <w:spacing w:val="-8"/>
        </w:rPr>
        <w:t> </w:t>
      </w:r>
      <w:r>
        <w:rPr>
          <w:color w:val="231F20"/>
        </w:rPr>
        <w:t>desde</w:t>
      </w:r>
      <w:r>
        <w:rPr>
          <w:color w:val="231F20"/>
          <w:spacing w:val="-8"/>
        </w:rPr>
        <w:t> </w:t>
      </w:r>
      <w:r>
        <w:rPr>
          <w:color w:val="231F20"/>
        </w:rPr>
        <w:t>su</w:t>
      </w:r>
      <w:r>
        <w:rPr>
          <w:color w:val="231F20"/>
          <w:spacing w:val="-8"/>
        </w:rPr>
        <w:t> </w:t>
      </w:r>
      <w:r>
        <w:rPr>
          <w:color w:val="231F20"/>
        </w:rPr>
        <w:t>comunidad</w:t>
      </w:r>
      <w:r>
        <w:rPr>
          <w:color w:val="231F20"/>
          <w:spacing w:val="-8"/>
        </w:rPr>
        <w:t> </w:t>
      </w:r>
      <w:r>
        <w:rPr>
          <w:color w:val="231F20"/>
        </w:rPr>
        <w:t>de origen.</w:t>
      </w:r>
      <w:r>
        <w:rPr>
          <w:color w:val="231F20"/>
          <w:spacing w:val="-7"/>
        </w:rPr>
        <w:t> </w:t>
      </w:r>
      <w:r>
        <w:rPr>
          <w:color w:val="231F20"/>
        </w:rPr>
        <w:t>En</w:t>
      </w:r>
      <w:r>
        <w:rPr>
          <w:color w:val="231F20"/>
          <w:spacing w:val="-7"/>
        </w:rPr>
        <w:t> </w:t>
      </w:r>
      <w:r>
        <w:rPr>
          <w:color w:val="231F20"/>
        </w:rPr>
        <w:t>tal</w:t>
      </w:r>
      <w:r>
        <w:rPr>
          <w:color w:val="231F20"/>
          <w:spacing w:val="-7"/>
        </w:rPr>
        <w:t> </w:t>
      </w:r>
      <w:r>
        <w:rPr>
          <w:color w:val="231F20"/>
        </w:rPr>
        <w:t>sentido</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acuerdo</w:t>
      </w:r>
      <w:r>
        <w:rPr>
          <w:color w:val="231F20"/>
          <w:spacing w:val="-7"/>
        </w:rPr>
        <w:t> </w:t>
      </w:r>
      <w:r>
        <w:rPr>
          <w:color w:val="231F20"/>
        </w:rPr>
        <w:t>con</w:t>
      </w:r>
      <w:r>
        <w:rPr>
          <w:color w:val="231F20"/>
          <w:spacing w:val="-7"/>
        </w:rPr>
        <w:t> </w:t>
      </w:r>
      <w:r>
        <w:rPr>
          <w:color w:val="231F20"/>
        </w:rPr>
        <w:t>Moctezuma</w:t>
      </w:r>
      <w:r>
        <w:rPr>
          <w:color w:val="231F20"/>
          <w:spacing w:val="-6"/>
        </w:rPr>
        <w:t> </w:t>
      </w:r>
      <w:r>
        <w:rPr>
          <w:color w:val="231F20"/>
        </w:rPr>
        <w:t>(2008)</w:t>
      </w:r>
      <w:r>
        <w:rPr>
          <w:color w:val="231F20"/>
          <w:spacing w:val="-7"/>
        </w:rPr>
        <w:t> </w:t>
      </w:r>
      <w:r>
        <w:rPr>
          <w:color w:val="231F20"/>
        </w:rPr>
        <w:t>la</w:t>
      </w:r>
      <w:r>
        <w:rPr>
          <w:color w:val="231F20"/>
          <w:spacing w:val="-7"/>
        </w:rPr>
        <w:t> </w:t>
      </w:r>
      <w:r>
        <w:rPr>
          <w:color w:val="231F20"/>
        </w:rPr>
        <w:t>organización se traduce en la integración de redes de ayuda mutua. El acuerdo tácito establecido involucra valores y prácticas circunscritas a una dinámica y    a un patrón cultural que rescata la experiencia de formas de relación que persisten</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tiempo</w:t>
      </w:r>
      <w:r>
        <w:rPr>
          <w:color w:val="231F20"/>
          <w:spacing w:val="-11"/>
        </w:rPr>
        <w:t> </w:t>
      </w:r>
      <w:r>
        <w:rPr>
          <w:color w:val="231F20"/>
        </w:rPr>
        <w:t>y</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espacio;</w:t>
      </w:r>
      <w:r>
        <w:rPr>
          <w:color w:val="231F20"/>
          <w:spacing w:val="-11"/>
        </w:rPr>
        <w:t> </w:t>
      </w:r>
      <w:r>
        <w:rPr>
          <w:color w:val="231F20"/>
        </w:rPr>
        <w:t>y</w:t>
      </w:r>
      <w:r>
        <w:rPr>
          <w:color w:val="231F20"/>
          <w:spacing w:val="-10"/>
        </w:rPr>
        <w:t> </w:t>
      </w:r>
      <w:r>
        <w:rPr>
          <w:color w:val="231F20"/>
        </w:rPr>
        <w:t>más,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trasladan</w:t>
      </w:r>
      <w:r>
        <w:rPr>
          <w:color w:val="231F20"/>
          <w:spacing w:val="-11"/>
        </w:rPr>
        <w:t> </w:t>
      </w:r>
      <w:r>
        <w:rPr>
          <w:color w:val="231F20"/>
        </w:rPr>
        <w:t>desde</w:t>
      </w:r>
      <w:r>
        <w:rPr>
          <w:color w:val="231F20"/>
          <w:spacing w:val="-10"/>
        </w:rPr>
        <w:t> </w:t>
      </w:r>
      <w:r>
        <w:rPr>
          <w:color w:val="231F20"/>
        </w:rPr>
        <w:t>peque- ños territorios hacia otros confines donde son adaptados a un ámbito que incuba problemáticas de mayor</w:t>
      </w:r>
      <w:r>
        <w:rPr>
          <w:color w:val="231F20"/>
          <w:spacing w:val="-2"/>
        </w:rPr>
        <w:t> </w:t>
      </w:r>
      <w:r>
        <w:rPr>
          <w:color w:val="231F20"/>
        </w:rPr>
        <w:t>complejidad.</w:t>
      </w:r>
    </w:p>
    <w:p>
      <w:pPr>
        <w:pStyle w:val="BodyText"/>
        <w:spacing w:line="247" w:lineRule="auto"/>
        <w:ind w:left="117" w:right="115" w:firstLine="283"/>
        <w:jc w:val="both"/>
      </w:pPr>
      <w:r>
        <w:rPr>
          <w:color w:val="231F20"/>
        </w:rPr>
        <w:t>Un</w:t>
      </w:r>
      <w:r>
        <w:rPr>
          <w:color w:val="231F20"/>
          <w:spacing w:val="-7"/>
        </w:rPr>
        <w:t> </w:t>
      </w:r>
      <w:r>
        <w:rPr>
          <w:color w:val="231F20"/>
        </w:rPr>
        <w:t>sector</w:t>
      </w:r>
      <w:r>
        <w:rPr>
          <w:color w:val="231F20"/>
          <w:spacing w:val="-6"/>
        </w:rPr>
        <w:t> </w:t>
      </w:r>
      <w:r>
        <w:rPr>
          <w:color w:val="231F20"/>
        </w:rPr>
        <w:t>de</w:t>
      </w:r>
      <w:r>
        <w:rPr>
          <w:color w:val="231F20"/>
          <w:spacing w:val="-7"/>
        </w:rPr>
        <w:t> </w:t>
      </w:r>
      <w:r>
        <w:rPr>
          <w:color w:val="231F20"/>
        </w:rPr>
        <w:t>los</w:t>
      </w:r>
      <w:r>
        <w:rPr>
          <w:color w:val="231F20"/>
          <w:spacing w:val="-7"/>
        </w:rPr>
        <w:t> </w:t>
      </w:r>
      <w:r>
        <w:rPr>
          <w:color w:val="231F20"/>
        </w:rPr>
        <w:t>migrantes</w:t>
      </w:r>
      <w:r>
        <w:rPr>
          <w:color w:val="231F20"/>
          <w:spacing w:val="-8"/>
        </w:rPr>
        <w:t> </w:t>
      </w:r>
      <w:r>
        <w:rPr>
          <w:color w:val="231F20"/>
        </w:rPr>
        <w:t>de</w:t>
      </w:r>
      <w:r>
        <w:rPr>
          <w:color w:val="231F20"/>
          <w:spacing w:val="-7"/>
        </w:rPr>
        <w:t> </w:t>
      </w:r>
      <w:r>
        <w:rPr>
          <w:color w:val="231F20"/>
        </w:rPr>
        <w:t>Guerrero</w:t>
      </w:r>
      <w:r>
        <w:rPr>
          <w:color w:val="231F20"/>
          <w:spacing w:val="-6"/>
        </w:rPr>
        <w:t> </w:t>
      </w:r>
      <w:r>
        <w:rPr>
          <w:color w:val="231F20"/>
        </w:rPr>
        <w:t>se</w:t>
      </w:r>
      <w:r>
        <w:rPr>
          <w:color w:val="231F20"/>
          <w:spacing w:val="-7"/>
        </w:rPr>
        <w:t> </w:t>
      </w:r>
      <w:r>
        <w:rPr>
          <w:color w:val="231F20"/>
        </w:rPr>
        <w:t>caracteriza</w:t>
      </w:r>
      <w:r>
        <w:rPr>
          <w:color w:val="231F20"/>
          <w:spacing w:val="-8"/>
        </w:rPr>
        <w:t> </w:t>
      </w:r>
      <w:r>
        <w:rPr>
          <w:color w:val="231F20"/>
        </w:rPr>
        <w:t>por</w:t>
      </w:r>
      <w:r>
        <w:rPr>
          <w:color w:val="231F20"/>
          <w:spacing w:val="-7"/>
        </w:rPr>
        <w:t> </w:t>
      </w:r>
      <w:r>
        <w:rPr>
          <w:color w:val="231F20"/>
        </w:rPr>
        <w:t>incorporar</w:t>
      </w:r>
      <w:r>
        <w:rPr>
          <w:color w:val="231F20"/>
          <w:spacing w:val="-8"/>
        </w:rPr>
        <w:t> </w:t>
      </w:r>
      <w:r>
        <w:rPr>
          <w:color w:val="231F20"/>
        </w:rPr>
        <w:t>en su</w:t>
      </w:r>
      <w:r>
        <w:rPr>
          <w:color w:val="231F20"/>
          <w:spacing w:val="-6"/>
        </w:rPr>
        <w:t> </w:t>
      </w:r>
      <w:r>
        <w:rPr>
          <w:color w:val="231F20"/>
        </w:rPr>
        <w:t>desplazamiento</w:t>
      </w:r>
      <w:r>
        <w:rPr>
          <w:color w:val="231F20"/>
          <w:spacing w:val="-6"/>
        </w:rPr>
        <w:t> </w:t>
      </w:r>
      <w:r>
        <w:rPr>
          <w:color w:val="231F20"/>
        </w:rPr>
        <w:t>las</w:t>
      </w:r>
      <w:r>
        <w:rPr>
          <w:color w:val="231F20"/>
          <w:spacing w:val="-6"/>
        </w:rPr>
        <w:t> </w:t>
      </w:r>
      <w:r>
        <w:rPr>
          <w:color w:val="231F20"/>
        </w:rPr>
        <w:t>tradiciones</w:t>
      </w:r>
      <w:r>
        <w:rPr>
          <w:color w:val="231F20"/>
          <w:spacing w:val="-6"/>
        </w:rPr>
        <w:t> </w:t>
      </w:r>
      <w:r>
        <w:rPr>
          <w:color w:val="231F20"/>
        </w:rPr>
        <w:t>y</w:t>
      </w:r>
      <w:r>
        <w:rPr>
          <w:color w:val="231F20"/>
          <w:spacing w:val="-6"/>
        </w:rPr>
        <w:t> </w:t>
      </w:r>
      <w:r>
        <w:rPr>
          <w:color w:val="231F20"/>
        </w:rPr>
        <w:t>costumbres</w:t>
      </w:r>
      <w:r>
        <w:rPr>
          <w:color w:val="231F20"/>
          <w:spacing w:val="-6"/>
        </w:rPr>
        <w:t> </w:t>
      </w:r>
      <w:r>
        <w:rPr>
          <w:color w:val="231F20"/>
        </w:rPr>
        <w:t>adquiridas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terruño</w:t>
      </w:r>
      <w:r>
        <w:rPr>
          <w:color w:val="231F20"/>
          <w:spacing w:val="-6"/>
        </w:rPr>
        <w:t> </w:t>
      </w:r>
      <w:r>
        <w:rPr>
          <w:color w:val="231F20"/>
        </w:rPr>
        <w:t>de nacimiento. La mayoría de estos migrantes tienen antecedentes de trabajo en el medio rural, particularmente los connacionales que emigran de la zona norte de la entidad hacia ciudades de Estados Unidos localizadas en los estados de California, Illinois, </w:t>
      </w:r>
      <w:r>
        <w:rPr>
          <w:color w:val="231F20"/>
          <w:spacing w:val="-4"/>
        </w:rPr>
        <w:t>Texas </w:t>
      </w:r>
      <w:r>
        <w:rPr>
          <w:color w:val="231F20"/>
        </w:rPr>
        <w:t>y Florida,</w:t>
      </w:r>
      <w:r>
        <w:rPr>
          <w:color w:val="231F20"/>
          <w:spacing w:val="-7"/>
        </w:rPr>
        <w:t> </w:t>
      </w:r>
      <w:r>
        <w:rPr>
          <w:color w:val="231F20"/>
        </w:rPr>
        <w:t>principalmente.</w:t>
      </w:r>
    </w:p>
    <w:p>
      <w:pPr>
        <w:pStyle w:val="BodyText"/>
        <w:spacing w:line="247" w:lineRule="auto"/>
        <w:ind w:left="117" w:right="114" w:firstLine="283"/>
        <w:jc w:val="both"/>
      </w:pPr>
      <w:r>
        <w:rPr>
          <w:color w:val="231F20"/>
        </w:rPr>
        <w:t>Estos</w:t>
      </w:r>
      <w:r>
        <w:rPr>
          <w:color w:val="231F20"/>
          <w:spacing w:val="-9"/>
        </w:rPr>
        <w:t> </w:t>
      </w:r>
      <w:r>
        <w:rPr>
          <w:color w:val="231F20"/>
        </w:rPr>
        <w:t>migrantes</w:t>
      </w:r>
      <w:r>
        <w:rPr>
          <w:color w:val="231F20"/>
          <w:spacing w:val="-9"/>
        </w:rPr>
        <w:t> </w:t>
      </w:r>
      <w:r>
        <w:rPr>
          <w:color w:val="231F20"/>
        </w:rPr>
        <w:t>que</w:t>
      </w:r>
      <w:r>
        <w:rPr>
          <w:color w:val="231F20"/>
          <w:spacing w:val="-9"/>
        </w:rPr>
        <w:t> </w:t>
      </w:r>
      <w:r>
        <w:rPr>
          <w:color w:val="231F20"/>
        </w:rPr>
        <w:t>han</w:t>
      </w:r>
      <w:r>
        <w:rPr>
          <w:color w:val="231F20"/>
          <w:spacing w:val="-9"/>
        </w:rPr>
        <w:t> </w:t>
      </w:r>
      <w:r>
        <w:rPr>
          <w:color w:val="231F20"/>
        </w:rPr>
        <w:t>salido</w:t>
      </w:r>
      <w:r>
        <w:rPr>
          <w:color w:val="231F20"/>
          <w:spacing w:val="-8"/>
        </w:rPr>
        <w:t> </w:t>
      </w:r>
      <w:r>
        <w:rPr>
          <w:color w:val="231F20"/>
        </w:rPr>
        <w:t>hacia</w:t>
      </w:r>
      <w:r>
        <w:rPr>
          <w:color w:val="231F20"/>
          <w:spacing w:val="-9"/>
        </w:rPr>
        <w:t> </w:t>
      </w:r>
      <w:r>
        <w:rPr>
          <w:color w:val="231F20"/>
        </w:rPr>
        <w:t>el</w:t>
      </w:r>
      <w:r>
        <w:rPr>
          <w:color w:val="231F20"/>
          <w:spacing w:val="-9"/>
        </w:rPr>
        <w:t> </w:t>
      </w:r>
      <w:r>
        <w:rPr>
          <w:color w:val="231F20"/>
        </w:rPr>
        <w:t>exterior</w:t>
      </w:r>
      <w:r>
        <w:rPr>
          <w:color w:val="231F20"/>
          <w:spacing w:val="-9"/>
        </w:rPr>
        <w:t> </w:t>
      </w:r>
      <w:r>
        <w:rPr>
          <w:color w:val="231F20"/>
        </w:rPr>
        <w:t>desde</w:t>
      </w:r>
      <w:r>
        <w:rPr>
          <w:color w:val="231F20"/>
          <w:spacing w:val="-9"/>
        </w:rPr>
        <w:t> </w:t>
      </w:r>
      <w:r>
        <w:rPr>
          <w:color w:val="231F20"/>
        </w:rPr>
        <w:t>hace</w:t>
      </w:r>
      <w:r>
        <w:rPr>
          <w:color w:val="231F20"/>
          <w:spacing w:val="-9"/>
        </w:rPr>
        <w:t> </w:t>
      </w:r>
      <w:r>
        <w:rPr>
          <w:color w:val="231F20"/>
        </w:rPr>
        <w:t>varios</w:t>
      </w:r>
      <w:r>
        <w:rPr>
          <w:color w:val="231F20"/>
          <w:spacing w:val="-9"/>
        </w:rPr>
        <w:t> </w:t>
      </w:r>
      <w:r>
        <w:rPr>
          <w:color w:val="231F20"/>
        </w:rPr>
        <w:t>años, han tenido la capacidad de construir espacios de participación y reconoci- miento entre sí. Esto es, se han construido liderazgos que han dado vida a proyectos de organización como la Asociación de Clubes de Guerrerenses Radicados en el Medio Oeste y la Federación de Guerrerenses Radica-  dos en Chicago, instancias que han desempeñado roles significativos en  la integración de propuestas para resolver demandas y necesidades a nivel individual y</w:t>
      </w:r>
      <w:r>
        <w:rPr>
          <w:color w:val="231F20"/>
          <w:spacing w:val="-1"/>
        </w:rPr>
        <w:t> </w:t>
      </w:r>
      <w:r>
        <w:rPr>
          <w:color w:val="231F20"/>
        </w:rPr>
        <w:t>comunitario.</w:t>
      </w:r>
    </w:p>
    <w:p>
      <w:pPr>
        <w:pStyle w:val="BodyText"/>
        <w:spacing w:line="247" w:lineRule="auto"/>
        <w:ind w:left="117" w:right="114" w:firstLine="283"/>
        <w:jc w:val="both"/>
      </w:pPr>
      <w:r>
        <w:rPr>
          <w:color w:val="231F20"/>
        </w:rPr>
        <w:t>La experiencia de los migrantes guerrerenses organizados, en lo que concierne</w:t>
      </w:r>
      <w:r>
        <w:rPr>
          <w:color w:val="231F20"/>
          <w:spacing w:val="-8"/>
        </w:rPr>
        <w:t> </w:t>
      </w:r>
      <w:r>
        <w:rPr>
          <w:color w:val="231F20"/>
        </w:rPr>
        <w:t>a</w:t>
      </w:r>
      <w:r>
        <w:rPr>
          <w:color w:val="231F20"/>
          <w:spacing w:val="-8"/>
        </w:rPr>
        <w:t> </w:t>
      </w:r>
      <w:r>
        <w:rPr>
          <w:color w:val="231F20"/>
        </w:rPr>
        <w:t>sus</w:t>
      </w:r>
      <w:r>
        <w:rPr>
          <w:color w:val="231F20"/>
          <w:spacing w:val="-8"/>
        </w:rPr>
        <w:t> </w:t>
      </w:r>
      <w:r>
        <w:rPr>
          <w:color w:val="231F20"/>
        </w:rPr>
        <w:t>aportes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instrumentación</w:t>
      </w:r>
      <w:r>
        <w:rPr>
          <w:color w:val="231F20"/>
          <w:spacing w:val="-9"/>
        </w:rPr>
        <w:t> </w:t>
      </w:r>
      <w:r>
        <w:rPr>
          <w:color w:val="231F20"/>
        </w:rPr>
        <w:t>de</w:t>
      </w:r>
      <w:r>
        <w:rPr>
          <w:color w:val="231F20"/>
          <w:spacing w:val="-8"/>
        </w:rPr>
        <w:t> </w:t>
      </w:r>
      <w:r>
        <w:rPr>
          <w:color w:val="231F20"/>
        </w:rPr>
        <w:t>políticas</w:t>
      </w:r>
      <w:r>
        <w:rPr>
          <w:color w:val="231F20"/>
          <w:spacing w:val="-8"/>
        </w:rPr>
        <w:t> </w:t>
      </w:r>
      <w:r>
        <w:rPr>
          <w:color w:val="231F20"/>
        </w:rPr>
        <w:t>públicas</w:t>
      </w:r>
      <w:r>
        <w:rPr>
          <w:color w:val="231F20"/>
          <w:spacing w:val="-8"/>
        </w:rPr>
        <w:t> </w:t>
      </w:r>
      <w:r>
        <w:rPr>
          <w:color w:val="231F20"/>
        </w:rPr>
        <w:t>en</w:t>
      </w:r>
      <w:r>
        <w:rPr>
          <w:color w:val="231F20"/>
          <w:spacing w:val="-8"/>
        </w:rPr>
        <w:t> </w:t>
      </w:r>
      <w:r>
        <w:rPr>
          <w:color w:val="231F20"/>
        </w:rPr>
        <w:t>terri- torio mexicano, ha alcanzado su máxima expresión en la instauración del Programa 3x1. En la zona de origen de estos migrantes, dicho programa ha resultado en importantes éxitos que trastocan el quehacer ordinario de comunidades asentadas en los municipios de </w:t>
      </w:r>
      <w:r>
        <w:rPr>
          <w:color w:val="231F20"/>
          <w:spacing w:val="-3"/>
        </w:rPr>
        <w:t>Taxco,  </w:t>
      </w:r>
      <w:r>
        <w:rPr>
          <w:color w:val="231F20"/>
        </w:rPr>
        <w:t>Iguala,  </w:t>
      </w:r>
      <w:r>
        <w:rPr>
          <w:color w:val="231F20"/>
          <w:spacing w:val="23"/>
        </w:rPr>
        <w:t> </w:t>
      </w:r>
      <w:r>
        <w:rPr>
          <w:color w:val="231F20"/>
        </w:rPr>
        <w:t>Teloloapan,</w:t>
      </w:r>
    </w:p>
    <w:p>
      <w:pPr>
        <w:spacing w:after="0" w:line="247" w:lineRule="auto"/>
        <w:jc w:val="both"/>
        <w:sectPr>
          <w:footerReference w:type="default" r:id="rId183"/>
          <w:pgSz w:w="9360" w:h="13040"/>
          <w:pgMar w:footer="496" w:header="0" w:top="740" w:bottom="680" w:left="1300" w:right="1300"/>
          <w:pgNumType w:start="221"/>
        </w:sectPr>
      </w:pPr>
    </w:p>
    <w:p>
      <w:pPr>
        <w:tabs>
          <w:tab w:pos="5430" w:val="left" w:leader="none"/>
        </w:tabs>
        <w:spacing w:before="48"/>
        <w:ind w:left="0" w:right="115" w:firstLine="0"/>
        <w:jc w:val="righ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right="115"/>
        <w:jc w:val="right"/>
      </w:pPr>
      <w:r>
        <w:rPr>
          <w:color w:val="231F20"/>
        </w:rPr>
        <w:t>Cocula, Cuetzala del Progreso y Tepecuacuilco, entre otros, donde se lo- calizan comunidades afectadas severamente por la pobreza y marginación.</w:t>
      </w:r>
    </w:p>
    <w:p>
      <w:pPr>
        <w:pStyle w:val="BodyText"/>
        <w:spacing w:line="247" w:lineRule="auto"/>
        <w:ind w:left="117" w:right="115" w:firstLine="283"/>
        <w:jc w:val="both"/>
      </w:pPr>
      <w:r>
        <w:rPr>
          <w:color w:val="231F20"/>
        </w:rPr>
        <w:t>La</w:t>
      </w:r>
      <w:r>
        <w:rPr>
          <w:color w:val="231F20"/>
          <w:spacing w:val="-4"/>
        </w:rPr>
        <w:t> </w:t>
      </w:r>
      <w:r>
        <w:rPr>
          <w:color w:val="231F20"/>
        </w:rPr>
        <w:t>iniciativa</w:t>
      </w:r>
      <w:r>
        <w:rPr>
          <w:color w:val="231F20"/>
          <w:spacing w:val="-4"/>
        </w:rPr>
        <w:t> </w:t>
      </w:r>
      <w:r>
        <w:rPr>
          <w:color w:val="231F20"/>
        </w:rPr>
        <w:t>del</w:t>
      </w:r>
      <w:r>
        <w:rPr>
          <w:color w:val="231F20"/>
          <w:spacing w:val="-4"/>
        </w:rPr>
        <w:t> </w:t>
      </w:r>
      <w:r>
        <w:rPr>
          <w:color w:val="231F20"/>
        </w:rPr>
        <w:t>Programa</w:t>
      </w:r>
      <w:r>
        <w:rPr>
          <w:color w:val="231F20"/>
          <w:spacing w:val="-3"/>
        </w:rPr>
        <w:t> </w:t>
      </w:r>
      <w:r>
        <w:rPr>
          <w:color w:val="231F20"/>
        </w:rPr>
        <w:t>3x1,</w:t>
      </w:r>
      <w:r>
        <w:rPr>
          <w:color w:val="231F20"/>
          <w:spacing w:val="-4"/>
        </w:rPr>
        <w:t> </w:t>
      </w:r>
      <w:r>
        <w:rPr>
          <w:color w:val="231F20"/>
        </w:rPr>
        <w:t>sin</w:t>
      </w:r>
      <w:r>
        <w:rPr>
          <w:color w:val="231F20"/>
          <w:spacing w:val="-4"/>
        </w:rPr>
        <w:t> </w:t>
      </w:r>
      <w:r>
        <w:rPr>
          <w:color w:val="231F20"/>
        </w:rPr>
        <w:t>duda</w:t>
      </w:r>
      <w:r>
        <w:rPr>
          <w:color w:val="231F20"/>
          <w:spacing w:val="-4"/>
        </w:rPr>
        <w:t> </w:t>
      </w:r>
      <w:r>
        <w:rPr>
          <w:color w:val="231F20"/>
        </w:rPr>
        <w:t>no</w:t>
      </w:r>
      <w:r>
        <w:rPr>
          <w:color w:val="231F20"/>
          <w:spacing w:val="-4"/>
        </w:rPr>
        <w:t> </w:t>
      </w:r>
      <w:r>
        <w:rPr>
          <w:color w:val="231F20"/>
        </w:rPr>
        <w:t>se</w:t>
      </w:r>
      <w:r>
        <w:rPr>
          <w:color w:val="231F20"/>
          <w:spacing w:val="-4"/>
        </w:rPr>
        <w:t> </w:t>
      </w:r>
      <w:r>
        <w:rPr>
          <w:color w:val="231F20"/>
        </w:rPr>
        <w:t>habría</w:t>
      </w:r>
      <w:r>
        <w:rPr>
          <w:color w:val="231F20"/>
          <w:spacing w:val="-4"/>
        </w:rPr>
        <w:t> </w:t>
      </w:r>
      <w:r>
        <w:rPr>
          <w:color w:val="231F20"/>
        </w:rPr>
        <w:t>concretado,</w:t>
      </w:r>
      <w:r>
        <w:rPr>
          <w:color w:val="231F20"/>
          <w:spacing w:val="-4"/>
        </w:rPr>
        <w:t> </w:t>
      </w:r>
      <w:r>
        <w:rPr>
          <w:color w:val="231F20"/>
        </w:rPr>
        <w:t>tanto en Zacatecas como en Guerrero, sin la presencia y el dinamismo ejercido por los grupos de migrantes organizados. De acuerdo con</w:t>
      </w:r>
      <w:r>
        <w:rPr>
          <w:color w:val="231F20"/>
          <w:spacing w:val="-5"/>
        </w:rPr>
        <w:t> </w:t>
      </w:r>
      <w:r>
        <w:rPr>
          <w:color w:val="231F20"/>
        </w:rPr>
        <w:t>López:</w:t>
      </w:r>
    </w:p>
    <w:p>
      <w:pPr>
        <w:spacing w:line="249" w:lineRule="auto" w:before="168"/>
        <w:ind w:left="400" w:right="114" w:firstLine="0"/>
        <w:jc w:val="both"/>
        <w:rPr>
          <w:sz w:val="20"/>
        </w:rPr>
      </w:pPr>
      <w:r>
        <w:rPr>
          <w:sz w:val="20"/>
        </w:rPr>
        <w:t>la persistencia del programa amplía su futuro debido al grado de aceptación por</w:t>
      </w:r>
      <w:r>
        <w:rPr>
          <w:spacing w:val="-11"/>
          <w:sz w:val="20"/>
        </w:rPr>
        <w:t> </w:t>
      </w:r>
      <w:r>
        <w:rPr>
          <w:sz w:val="20"/>
        </w:rPr>
        <w:t>las</w:t>
      </w:r>
      <w:r>
        <w:rPr>
          <w:spacing w:val="-11"/>
          <w:sz w:val="20"/>
        </w:rPr>
        <w:t> </w:t>
      </w:r>
      <w:r>
        <w:rPr>
          <w:sz w:val="20"/>
        </w:rPr>
        <w:t>instancias</w:t>
      </w:r>
      <w:r>
        <w:rPr>
          <w:spacing w:val="-11"/>
          <w:sz w:val="20"/>
        </w:rPr>
        <w:t> </w:t>
      </w:r>
      <w:r>
        <w:rPr>
          <w:sz w:val="20"/>
        </w:rPr>
        <w:t>participantes,</w:t>
      </w:r>
      <w:r>
        <w:rPr>
          <w:spacing w:val="-11"/>
          <w:sz w:val="20"/>
        </w:rPr>
        <w:t> </w:t>
      </w:r>
      <w:r>
        <w:rPr>
          <w:sz w:val="20"/>
        </w:rPr>
        <w:t>siendo</w:t>
      </w:r>
      <w:r>
        <w:rPr>
          <w:spacing w:val="-11"/>
          <w:sz w:val="20"/>
        </w:rPr>
        <w:t> </w:t>
      </w:r>
      <w:r>
        <w:rPr>
          <w:sz w:val="20"/>
        </w:rPr>
        <w:t>los</w:t>
      </w:r>
      <w:r>
        <w:rPr>
          <w:spacing w:val="-11"/>
          <w:sz w:val="20"/>
        </w:rPr>
        <w:t> </w:t>
      </w:r>
      <w:r>
        <w:rPr>
          <w:sz w:val="20"/>
        </w:rPr>
        <w:t>migrantes</w:t>
      </w:r>
      <w:r>
        <w:rPr>
          <w:spacing w:val="-11"/>
          <w:sz w:val="20"/>
        </w:rPr>
        <w:t> </w:t>
      </w:r>
      <w:r>
        <w:rPr>
          <w:sz w:val="20"/>
        </w:rPr>
        <w:t>una</w:t>
      </w:r>
      <w:r>
        <w:rPr>
          <w:spacing w:val="-11"/>
          <w:sz w:val="20"/>
        </w:rPr>
        <w:t> </w:t>
      </w:r>
      <w:r>
        <w:rPr>
          <w:sz w:val="20"/>
        </w:rPr>
        <w:t>parte</w:t>
      </w:r>
      <w:r>
        <w:rPr>
          <w:spacing w:val="-11"/>
          <w:sz w:val="20"/>
        </w:rPr>
        <w:t> </w:t>
      </w:r>
      <w:r>
        <w:rPr>
          <w:sz w:val="20"/>
        </w:rPr>
        <w:t>activa</w:t>
      </w:r>
      <w:r>
        <w:rPr>
          <w:spacing w:val="-11"/>
          <w:sz w:val="20"/>
        </w:rPr>
        <w:t> </w:t>
      </w:r>
      <w:r>
        <w:rPr>
          <w:sz w:val="20"/>
        </w:rPr>
        <w:t>en</w:t>
      </w:r>
      <w:r>
        <w:rPr>
          <w:spacing w:val="-11"/>
          <w:sz w:val="20"/>
        </w:rPr>
        <w:t> </w:t>
      </w:r>
      <w:r>
        <w:rPr>
          <w:sz w:val="20"/>
        </w:rPr>
        <w:t>la</w:t>
      </w:r>
      <w:r>
        <w:rPr>
          <w:spacing w:val="-11"/>
          <w:sz w:val="20"/>
        </w:rPr>
        <w:t> </w:t>
      </w:r>
      <w:r>
        <w:rPr>
          <w:sz w:val="20"/>
        </w:rPr>
        <w:t>con- solidación</w:t>
      </w:r>
      <w:r>
        <w:rPr>
          <w:spacing w:val="-5"/>
          <w:sz w:val="20"/>
        </w:rPr>
        <w:t> </w:t>
      </w:r>
      <w:r>
        <w:rPr>
          <w:sz w:val="20"/>
        </w:rPr>
        <w:t>de</w:t>
      </w:r>
      <w:r>
        <w:rPr>
          <w:spacing w:val="-5"/>
          <w:sz w:val="20"/>
        </w:rPr>
        <w:t> </w:t>
      </w:r>
      <w:r>
        <w:rPr>
          <w:sz w:val="20"/>
        </w:rPr>
        <w:t>políticas</w:t>
      </w:r>
      <w:r>
        <w:rPr>
          <w:spacing w:val="-5"/>
          <w:sz w:val="20"/>
        </w:rPr>
        <w:t> </w:t>
      </w:r>
      <w:r>
        <w:rPr>
          <w:sz w:val="20"/>
        </w:rPr>
        <w:t>públicas</w:t>
      </w:r>
      <w:r>
        <w:rPr>
          <w:spacing w:val="-5"/>
          <w:sz w:val="20"/>
        </w:rPr>
        <w:t> </w:t>
      </w:r>
      <w:r>
        <w:rPr>
          <w:sz w:val="20"/>
        </w:rPr>
        <w:t>de</w:t>
      </w:r>
      <w:r>
        <w:rPr>
          <w:spacing w:val="-5"/>
          <w:sz w:val="20"/>
        </w:rPr>
        <w:t> </w:t>
      </w:r>
      <w:r>
        <w:rPr>
          <w:sz w:val="20"/>
        </w:rPr>
        <w:t>apoyo</w:t>
      </w:r>
      <w:r>
        <w:rPr>
          <w:spacing w:val="-5"/>
          <w:sz w:val="20"/>
        </w:rPr>
        <w:t> </w:t>
      </w:r>
      <w:r>
        <w:rPr>
          <w:sz w:val="20"/>
        </w:rPr>
        <w:t>al</w:t>
      </w:r>
      <w:r>
        <w:rPr>
          <w:spacing w:val="-5"/>
          <w:sz w:val="20"/>
        </w:rPr>
        <w:t> </w:t>
      </w:r>
      <w:r>
        <w:rPr>
          <w:sz w:val="20"/>
        </w:rPr>
        <w:t>desarrollo</w:t>
      </w:r>
      <w:r>
        <w:rPr>
          <w:spacing w:val="-5"/>
          <w:sz w:val="20"/>
        </w:rPr>
        <w:t> </w:t>
      </w:r>
      <w:r>
        <w:rPr>
          <w:sz w:val="20"/>
        </w:rPr>
        <w:t>comunitario</w:t>
      </w:r>
      <w:r>
        <w:rPr>
          <w:spacing w:val="-5"/>
          <w:sz w:val="20"/>
        </w:rPr>
        <w:t> </w:t>
      </w:r>
      <w:r>
        <w:rPr>
          <w:sz w:val="20"/>
        </w:rPr>
        <w:t>(2009:</w:t>
      </w:r>
      <w:r>
        <w:rPr>
          <w:spacing w:val="-5"/>
          <w:sz w:val="20"/>
        </w:rPr>
        <w:t> </w:t>
      </w:r>
      <w:r>
        <w:rPr>
          <w:sz w:val="20"/>
        </w:rPr>
        <w:t>67).</w:t>
      </w:r>
    </w:p>
    <w:p>
      <w:pPr>
        <w:pStyle w:val="BodyText"/>
        <w:spacing w:line="247" w:lineRule="auto" w:before="172"/>
        <w:ind w:left="117" w:right="114" w:firstLine="283"/>
        <w:jc w:val="both"/>
      </w:pPr>
      <w:r>
        <w:rPr>
          <w:color w:val="231F20"/>
        </w:rPr>
        <w:t>El programa 3x1 tiene el mérito de ser un instrumento de gestión y seguimiento por parte de la comunidad de migrantes en el exterior, permi- tiendo</w:t>
      </w:r>
      <w:r>
        <w:rPr>
          <w:color w:val="231F20"/>
          <w:spacing w:val="-13"/>
        </w:rPr>
        <w:t> </w:t>
      </w:r>
      <w:r>
        <w:rPr>
          <w:color w:val="231F20"/>
        </w:rPr>
        <w:t>a</w:t>
      </w:r>
      <w:r>
        <w:rPr>
          <w:color w:val="231F20"/>
          <w:spacing w:val="-12"/>
        </w:rPr>
        <w:t> </w:t>
      </w:r>
      <w:r>
        <w:rPr>
          <w:color w:val="231F20"/>
        </w:rPr>
        <w:t>los</w:t>
      </w:r>
      <w:r>
        <w:rPr>
          <w:color w:val="231F20"/>
          <w:spacing w:val="-13"/>
        </w:rPr>
        <w:t> </w:t>
      </w:r>
      <w:r>
        <w:rPr>
          <w:color w:val="231F20"/>
        </w:rPr>
        <w:t>migrantes</w:t>
      </w:r>
      <w:r>
        <w:rPr>
          <w:color w:val="231F20"/>
          <w:spacing w:val="-13"/>
        </w:rPr>
        <w:t> </w:t>
      </w:r>
      <w:r>
        <w:rPr>
          <w:color w:val="231F20"/>
        </w:rPr>
        <w:t>ejercer</w:t>
      </w:r>
      <w:r>
        <w:rPr>
          <w:color w:val="231F20"/>
          <w:spacing w:val="-13"/>
        </w:rPr>
        <w:t> </w:t>
      </w:r>
      <w:r>
        <w:rPr>
          <w:color w:val="231F20"/>
        </w:rPr>
        <w:t>su</w:t>
      </w:r>
      <w:r>
        <w:rPr>
          <w:color w:val="231F20"/>
          <w:spacing w:val="-12"/>
        </w:rPr>
        <w:t> </w:t>
      </w:r>
      <w:r>
        <w:rPr>
          <w:color w:val="231F20"/>
        </w:rPr>
        <w:t>compromiso</w:t>
      </w:r>
      <w:r>
        <w:rPr>
          <w:color w:val="231F20"/>
          <w:spacing w:val="-13"/>
        </w:rPr>
        <w:t> </w:t>
      </w:r>
      <w:r>
        <w:rPr>
          <w:color w:val="231F20"/>
        </w:rPr>
        <w:t>cívico</w:t>
      </w:r>
      <w:r>
        <w:rPr>
          <w:color w:val="231F20"/>
          <w:spacing w:val="-13"/>
        </w:rPr>
        <w:t> </w:t>
      </w:r>
      <w:r>
        <w:rPr>
          <w:color w:val="231F20"/>
        </w:rPr>
        <w:t>desde</w:t>
      </w:r>
      <w:r>
        <w:rPr>
          <w:color w:val="231F20"/>
          <w:spacing w:val="-12"/>
        </w:rPr>
        <w:t> </w:t>
      </w:r>
      <w:r>
        <w:rPr>
          <w:color w:val="231F20"/>
        </w:rPr>
        <w:t>el</w:t>
      </w:r>
      <w:r>
        <w:rPr>
          <w:color w:val="231F20"/>
          <w:spacing w:val="-12"/>
        </w:rPr>
        <w:t> </w:t>
      </w:r>
      <w:r>
        <w:rPr>
          <w:color w:val="231F20"/>
        </w:rPr>
        <w:t>exterior</w:t>
      </w:r>
      <w:r>
        <w:rPr>
          <w:color w:val="231F20"/>
          <w:spacing w:val="-13"/>
        </w:rPr>
        <w:t> </w:t>
      </w:r>
      <w:r>
        <w:rPr>
          <w:color w:val="231F20"/>
        </w:rPr>
        <w:t>(Díaz </w:t>
      </w:r>
      <w:r>
        <w:rPr>
          <w:color w:val="231F20"/>
          <w:spacing w:val="-3"/>
        </w:rPr>
        <w:t>Garay,</w:t>
      </w:r>
      <w:r>
        <w:rPr>
          <w:color w:val="231F20"/>
          <w:spacing w:val="-5"/>
        </w:rPr>
        <w:t> </w:t>
      </w:r>
      <w:r>
        <w:rPr>
          <w:color w:val="231F20"/>
        </w:rPr>
        <w:t>2009).</w:t>
      </w:r>
      <w:r>
        <w:rPr>
          <w:color w:val="231F20"/>
          <w:spacing w:val="-5"/>
        </w:rPr>
        <w:t> </w:t>
      </w:r>
      <w:r>
        <w:rPr>
          <w:color w:val="231F20"/>
        </w:rPr>
        <w:t>Son</w:t>
      </w:r>
      <w:r>
        <w:rPr>
          <w:color w:val="231F20"/>
          <w:spacing w:val="-5"/>
        </w:rPr>
        <w:t> </w:t>
      </w:r>
      <w:r>
        <w:rPr>
          <w:color w:val="231F20"/>
        </w:rPr>
        <w:t>varias</w:t>
      </w:r>
      <w:r>
        <w:rPr>
          <w:color w:val="231F20"/>
          <w:spacing w:val="-5"/>
        </w:rPr>
        <w:t> </w:t>
      </w:r>
      <w:r>
        <w:rPr>
          <w:color w:val="231F20"/>
        </w:rPr>
        <w:t>las</w:t>
      </w:r>
      <w:r>
        <w:rPr>
          <w:color w:val="231F20"/>
          <w:spacing w:val="-5"/>
        </w:rPr>
        <w:t> </w:t>
      </w:r>
      <w:r>
        <w:rPr>
          <w:color w:val="231F20"/>
        </w:rPr>
        <w:t>vertientes</w:t>
      </w:r>
      <w:r>
        <w:rPr>
          <w:color w:val="231F20"/>
          <w:spacing w:val="-5"/>
        </w:rPr>
        <w:t> </w:t>
      </w:r>
      <w:r>
        <w:rPr>
          <w:color w:val="231F20"/>
        </w:rPr>
        <w:t>en</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expresa</w:t>
      </w:r>
      <w:r>
        <w:rPr>
          <w:color w:val="231F20"/>
          <w:spacing w:val="-5"/>
        </w:rPr>
        <w:t> </w:t>
      </w:r>
      <w:r>
        <w:rPr>
          <w:color w:val="231F20"/>
        </w:rPr>
        <w:t>la</w:t>
      </w:r>
      <w:r>
        <w:rPr>
          <w:color w:val="231F20"/>
          <w:spacing w:val="-5"/>
        </w:rPr>
        <w:t> </w:t>
      </w:r>
      <w:r>
        <w:rPr>
          <w:color w:val="231F20"/>
        </w:rPr>
        <w:t>importancia</w:t>
      </w:r>
      <w:r>
        <w:rPr>
          <w:color w:val="231F20"/>
          <w:spacing w:val="-5"/>
        </w:rPr>
        <w:t> </w:t>
      </w:r>
      <w:r>
        <w:rPr>
          <w:color w:val="231F20"/>
        </w:rPr>
        <w:t>de un</w:t>
      </w:r>
      <w:r>
        <w:rPr>
          <w:color w:val="231F20"/>
          <w:spacing w:val="-11"/>
        </w:rPr>
        <w:t> </w:t>
      </w:r>
      <w:r>
        <w:rPr>
          <w:color w:val="231F20"/>
        </w:rPr>
        <w:t>programa</w:t>
      </w:r>
      <w:r>
        <w:rPr>
          <w:color w:val="231F20"/>
          <w:spacing w:val="-11"/>
        </w:rPr>
        <w:t> </w:t>
      </w:r>
      <w:r>
        <w:rPr>
          <w:color w:val="231F20"/>
        </w:rPr>
        <w:t>que</w:t>
      </w:r>
      <w:r>
        <w:rPr>
          <w:color w:val="231F20"/>
          <w:spacing w:val="-11"/>
        </w:rPr>
        <w:t> </w:t>
      </w:r>
      <w:r>
        <w:rPr>
          <w:color w:val="231F20"/>
        </w:rPr>
        <w:t>ha</w:t>
      </w:r>
      <w:r>
        <w:rPr>
          <w:color w:val="231F20"/>
          <w:spacing w:val="-11"/>
        </w:rPr>
        <w:t> </w:t>
      </w:r>
      <w:r>
        <w:rPr>
          <w:color w:val="231F20"/>
        </w:rPr>
        <w:t>sido</w:t>
      </w:r>
      <w:r>
        <w:rPr>
          <w:color w:val="231F20"/>
          <w:spacing w:val="-11"/>
        </w:rPr>
        <w:t> </w:t>
      </w:r>
      <w:r>
        <w:rPr>
          <w:color w:val="231F20"/>
        </w:rPr>
        <w:t>catalogado</w:t>
      </w:r>
      <w:r>
        <w:rPr>
          <w:color w:val="231F20"/>
          <w:spacing w:val="-12"/>
        </w:rPr>
        <w:t> </w:t>
      </w:r>
      <w:r>
        <w:rPr>
          <w:color w:val="231F20"/>
        </w:rPr>
        <w:t>como</w:t>
      </w:r>
      <w:r>
        <w:rPr>
          <w:color w:val="231F20"/>
          <w:spacing w:val="-11"/>
        </w:rPr>
        <w:t> </w:t>
      </w:r>
      <w:r>
        <w:rPr>
          <w:color w:val="231F20"/>
        </w:rPr>
        <w:t>“bondadoso”,</w:t>
      </w:r>
      <w:r>
        <w:rPr>
          <w:color w:val="231F20"/>
          <w:spacing w:val="-12"/>
        </w:rPr>
        <w:t> </w:t>
      </w:r>
      <w:r>
        <w:rPr>
          <w:color w:val="231F20"/>
        </w:rPr>
        <w:t>ya</w:t>
      </w:r>
      <w:r>
        <w:rPr>
          <w:color w:val="231F20"/>
          <w:spacing w:val="-11"/>
        </w:rPr>
        <w:t> </w:t>
      </w:r>
      <w:r>
        <w:rPr>
          <w:color w:val="231F20"/>
        </w:rPr>
        <w:t>que</w:t>
      </w:r>
      <w:r>
        <w:rPr>
          <w:color w:val="231F20"/>
          <w:spacing w:val="-11"/>
        </w:rPr>
        <w:t> </w:t>
      </w:r>
      <w:r>
        <w:rPr>
          <w:color w:val="231F20"/>
        </w:rPr>
        <w:t>contribuye a resolver pendientes no atendidos por el progreso y desarrollo en la pro- puesta del modelo económico</w:t>
      </w:r>
      <w:r>
        <w:rPr>
          <w:color w:val="231F20"/>
          <w:spacing w:val="-2"/>
        </w:rPr>
        <w:t> </w:t>
      </w:r>
      <w:r>
        <w:rPr>
          <w:color w:val="231F20"/>
        </w:rPr>
        <w:t>imperante.</w:t>
      </w:r>
    </w:p>
    <w:p>
      <w:pPr>
        <w:pStyle w:val="BodyText"/>
        <w:spacing w:line="247" w:lineRule="auto"/>
        <w:ind w:left="117" w:right="114" w:firstLine="283"/>
        <w:jc w:val="both"/>
      </w:pPr>
      <w:r>
        <w:rPr>
          <w:color w:val="231F20"/>
        </w:rPr>
        <w:t>Lo que también es cierto es que dicho programa se ha asentado por el tipo y número de necesidades resueltas. Sin embargo, lo central de su ra- zón de ser tiene que ver con vínculos establecidos por los migrantes en el exterior</w:t>
      </w:r>
      <w:r>
        <w:rPr>
          <w:color w:val="231F20"/>
          <w:spacing w:val="-11"/>
        </w:rPr>
        <w:t> </w:t>
      </w:r>
      <w:r>
        <w:rPr>
          <w:color w:val="231F20"/>
        </w:rPr>
        <w:t>y</w:t>
      </w:r>
      <w:r>
        <w:rPr>
          <w:color w:val="231F20"/>
          <w:spacing w:val="-11"/>
        </w:rPr>
        <w:t> </w:t>
      </w:r>
      <w:r>
        <w:rPr>
          <w:color w:val="231F20"/>
        </w:rPr>
        <w:t>cada</w:t>
      </w:r>
      <w:r>
        <w:rPr>
          <w:color w:val="231F20"/>
          <w:spacing w:val="-11"/>
        </w:rPr>
        <w:t> </w:t>
      </w:r>
      <w:r>
        <w:rPr>
          <w:color w:val="231F20"/>
        </w:rPr>
        <w:t>una</w:t>
      </w:r>
      <w:r>
        <w:rPr>
          <w:color w:val="231F20"/>
          <w:spacing w:val="-11"/>
        </w:rPr>
        <w:t> </w:t>
      </w:r>
      <w:r>
        <w:rPr>
          <w:color w:val="231F20"/>
        </w:rPr>
        <w:t>de</w:t>
      </w:r>
      <w:r>
        <w:rPr>
          <w:color w:val="231F20"/>
          <w:spacing w:val="-11"/>
        </w:rPr>
        <w:t> </w:t>
      </w:r>
      <w:r>
        <w:rPr>
          <w:color w:val="231F20"/>
        </w:rPr>
        <w:t>sus</w:t>
      </w:r>
      <w:r>
        <w:rPr>
          <w:color w:val="231F20"/>
          <w:spacing w:val="-11"/>
        </w:rPr>
        <w:t> </w:t>
      </w:r>
      <w:r>
        <w:rPr>
          <w:color w:val="231F20"/>
        </w:rPr>
        <w:t>comunidades</w:t>
      </w:r>
      <w:r>
        <w:rPr>
          <w:color w:val="231F20"/>
          <w:spacing w:val="-11"/>
        </w:rPr>
        <w:t> </w:t>
      </w:r>
      <w:r>
        <w:rPr>
          <w:color w:val="231F20"/>
        </w:rPr>
        <w:t>de</w:t>
      </w:r>
      <w:r>
        <w:rPr>
          <w:color w:val="231F20"/>
          <w:spacing w:val="-11"/>
        </w:rPr>
        <w:t> </w:t>
      </w:r>
      <w:r>
        <w:rPr>
          <w:color w:val="231F20"/>
        </w:rPr>
        <w:t>origen.</w:t>
      </w:r>
      <w:r>
        <w:rPr>
          <w:color w:val="231F20"/>
          <w:spacing w:val="-23"/>
        </w:rPr>
        <w:t> </w:t>
      </w:r>
      <w:r>
        <w:rPr>
          <w:color w:val="231F20"/>
        </w:rPr>
        <w:t>Así,</w:t>
      </w:r>
      <w:r>
        <w:rPr>
          <w:color w:val="231F20"/>
          <w:spacing w:val="-11"/>
        </w:rPr>
        <w:t> </w:t>
      </w:r>
      <w:r>
        <w:rPr>
          <w:color w:val="231F20"/>
        </w:rPr>
        <w:t>lazos</w:t>
      </w:r>
      <w:r>
        <w:rPr>
          <w:color w:val="231F20"/>
          <w:spacing w:val="-11"/>
        </w:rPr>
        <w:t> </w:t>
      </w:r>
      <w:r>
        <w:rPr>
          <w:color w:val="231F20"/>
        </w:rPr>
        <w:t>de</w:t>
      </w:r>
      <w:r>
        <w:rPr>
          <w:color w:val="231F20"/>
          <w:spacing w:val="-11"/>
        </w:rPr>
        <w:t> </w:t>
      </w:r>
      <w:r>
        <w:rPr>
          <w:color w:val="231F20"/>
        </w:rPr>
        <w:t>identidad</w:t>
      </w:r>
      <w:r>
        <w:rPr>
          <w:color w:val="231F20"/>
          <w:spacing w:val="-11"/>
        </w:rPr>
        <w:t> </w:t>
      </w:r>
      <w:r>
        <w:rPr>
          <w:color w:val="231F20"/>
        </w:rPr>
        <w:t>y tradición —además del espíritu guerrerense que impregna a los migrantes organizados— se conjugan en un esfuerzo compartido con instancias del poder público federal, estatal y municipal, que han aceptado y hecho suya una propuesta que se caracteriza por dar sin recibir nada a</w:t>
      </w:r>
      <w:r>
        <w:rPr>
          <w:color w:val="231F20"/>
          <w:spacing w:val="-4"/>
        </w:rPr>
        <w:t> </w:t>
      </w:r>
      <w:r>
        <w:rPr>
          <w:color w:val="231F20"/>
        </w:rPr>
        <w:t>cambio.</w:t>
      </w:r>
    </w:p>
    <w:p>
      <w:pPr>
        <w:pStyle w:val="BodyText"/>
        <w:spacing w:line="247" w:lineRule="auto"/>
        <w:ind w:left="117" w:right="114" w:firstLine="346"/>
        <w:jc w:val="both"/>
      </w:pPr>
      <w:r>
        <w:rPr>
          <w:color w:val="231F20"/>
        </w:rPr>
        <w:t>La otra perspectiva de la migración guerrerense está representada por lo que algunos autores definen como migración emergente. En efecto, en ciertas zonas del estado se ha generado fuerte movilización de jóvenes y adultos, incluso de familias enteras, en algunos puntos donde de manera reciente los flujos migratorios se han incrementado de manera considera- ble.</w:t>
      </w:r>
      <w:r>
        <w:rPr>
          <w:color w:val="231F20"/>
          <w:spacing w:val="-9"/>
        </w:rPr>
        <w:t> </w:t>
      </w:r>
      <w:r>
        <w:rPr>
          <w:color w:val="231F20"/>
        </w:rPr>
        <w:t>Particularmente</w:t>
      </w:r>
      <w:r>
        <w:rPr>
          <w:color w:val="231F20"/>
          <w:spacing w:val="-8"/>
        </w:rPr>
        <w:t> </w:t>
      </w:r>
      <w:r>
        <w:rPr>
          <w:color w:val="231F20"/>
        </w:rPr>
        <w:t>en</w:t>
      </w:r>
      <w:r>
        <w:rPr>
          <w:color w:val="231F20"/>
          <w:spacing w:val="-9"/>
        </w:rPr>
        <w:t> </w:t>
      </w:r>
      <w:r>
        <w:rPr>
          <w:color w:val="231F20"/>
        </w:rPr>
        <w:t>algunos</w:t>
      </w:r>
      <w:r>
        <w:rPr>
          <w:color w:val="231F20"/>
          <w:spacing w:val="-9"/>
        </w:rPr>
        <w:t> </w:t>
      </w:r>
      <w:r>
        <w:rPr>
          <w:color w:val="231F20"/>
        </w:rPr>
        <w:t>municipios</w:t>
      </w:r>
      <w:r>
        <w:rPr>
          <w:color w:val="231F20"/>
          <w:spacing w:val="-10"/>
        </w:rPr>
        <w:t> </w:t>
      </w:r>
      <w:r>
        <w:rPr>
          <w:color w:val="231F20"/>
        </w:rPr>
        <w:t>de</w:t>
      </w:r>
      <w:r>
        <w:rPr>
          <w:color w:val="231F20"/>
          <w:spacing w:val="-9"/>
        </w:rPr>
        <w:t> </w:t>
      </w:r>
      <w:r>
        <w:rPr>
          <w:color w:val="231F20"/>
        </w:rPr>
        <w:t>la</w:t>
      </w:r>
      <w:r>
        <w:rPr>
          <w:color w:val="231F20"/>
          <w:spacing w:val="-9"/>
        </w:rPr>
        <w:t> </w:t>
      </w:r>
      <w:r>
        <w:rPr>
          <w:color w:val="231F20"/>
        </w:rPr>
        <w:t>Costa</w:t>
      </w:r>
      <w:r>
        <w:rPr>
          <w:color w:val="231F20"/>
          <w:spacing w:val="-9"/>
        </w:rPr>
        <w:t> </w:t>
      </w:r>
      <w:r>
        <w:rPr>
          <w:color w:val="231F20"/>
        </w:rPr>
        <w:t>Chica,</w:t>
      </w:r>
      <w:r>
        <w:rPr>
          <w:color w:val="231F20"/>
          <w:spacing w:val="-9"/>
        </w:rPr>
        <w:t> </w:t>
      </w:r>
      <w:r>
        <w:rPr>
          <w:color w:val="231F20"/>
        </w:rPr>
        <w:t>La</w:t>
      </w:r>
      <w:r>
        <w:rPr>
          <w:color w:val="231F20"/>
          <w:spacing w:val="-9"/>
        </w:rPr>
        <w:t> </w:t>
      </w:r>
      <w:r>
        <w:rPr>
          <w:color w:val="231F20"/>
        </w:rPr>
        <w:t>Montaña y la Costa Grande, se ha generado fuerte desplazamiento hacia Estados Unidos.</w:t>
      </w:r>
    </w:p>
    <w:p>
      <w:pPr>
        <w:pStyle w:val="BodyText"/>
        <w:spacing w:line="247" w:lineRule="auto"/>
        <w:ind w:left="117" w:right="115" w:firstLine="283"/>
        <w:jc w:val="both"/>
      </w:pPr>
      <w:r>
        <w:rPr>
          <w:color w:val="231F20"/>
        </w:rPr>
        <w:t>Una característica de los migrantes guerrerenses, al igual que el resto de</w:t>
      </w:r>
      <w:r>
        <w:rPr>
          <w:color w:val="231F20"/>
          <w:spacing w:val="-8"/>
        </w:rPr>
        <w:t> </w:t>
      </w:r>
      <w:r>
        <w:rPr>
          <w:color w:val="231F20"/>
        </w:rPr>
        <w:t>la</w:t>
      </w:r>
      <w:r>
        <w:rPr>
          <w:color w:val="231F20"/>
          <w:spacing w:val="-8"/>
        </w:rPr>
        <w:t> </w:t>
      </w:r>
      <w:r>
        <w:rPr>
          <w:color w:val="231F20"/>
        </w:rPr>
        <w:t>población</w:t>
      </w:r>
      <w:r>
        <w:rPr>
          <w:color w:val="231F20"/>
          <w:spacing w:val="-9"/>
        </w:rPr>
        <w:t> </w:t>
      </w:r>
      <w:r>
        <w:rPr>
          <w:color w:val="231F20"/>
        </w:rPr>
        <w:t>mexicana</w:t>
      </w:r>
      <w:r>
        <w:rPr>
          <w:color w:val="231F20"/>
          <w:spacing w:val="-9"/>
        </w:rPr>
        <w:t> </w:t>
      </w:r>
      <w:r>
        <w:rPr>
          <w:color w:val="231F20"/>
        </w:rPr>
        <w:t>desplazada,</w:t>
      </w:r>
      <w:r>
        <w:rPr>
          <w:color w:val="231F20"/>
          <w:spacing w:val="-9"/>
        </w:rPr>
        <w:t> </w:t>
      </w:r>
      <w:r>
        <w:rPr>
          <w:color w:val="231F20"/>
        </w:rPr>
        <w:t>es</w:t>
      </w:r>
      <w:r>
        <w:rPr>
          <w:color w:val="231F20"/>
          <w:spacing w:val="-8"/>
        </w:rPr>
        <w:t> </w:t>
      </w:r>
      <w:r>
        <w:rPr>
          <w:color w:val="231F20"/>
        </w:rPr>
        <w:t>que</w:t>
      </w:r>
      <w:r>
        <w:rPr>
          <w:color w:val="231F20"/>
          <w:spacing w:val="-8"/>
        </w:rPr>
        <w:t> </w:t>
      </w:r>
      <w:r>
        <w:rPr>
          <w:color w:val="231F20"/>
        </w:rPr>
        <w:t>han</w:t>
      </w:r>
      <w:r>
        <w:rPr>
          <w:color w:val="231F20"/>
          <w:spacing w:val="-8"/>
        </w:rPr>
        <w:t> </w:t>
      </w:r>
      <w:r>
        <w:rPr>
          <w:color w:val="231F20"/>
        </w:rPr>
        <w:t>precisado</w:t>
      </w:r>
      <w:r>
        <w:rPr>
          <w:color w:val="231F20"/>
          <w:spacing w:val="-9"/>
        </w:rPr>
        <w:t> </w:t>
      </w:r>
      <w:r>
        <w:rPr>
          <w:color w:val="231F20"/>
        </w:rPr>
        <w:t>diversificar</w:t>
      </w:r>
      <w:r>
        <w:rPr>
          <w:color w:val="231F20"/>
          <w:spacing w:val="-9"/>
        </w:rPr>
        <w:t> </w:t>
      </w:r>
      <w:r>
        <w:rPr>
          <w:color w:val="231F20"/>
        </w:rPr>
        <w:t>sus lugares de destino. Actualmente se localizan sanmarqueños —población mestiza— en Georgia, Nebraska, California, y Kentucky (Agatón, 2008). Otro grupo importante de migrantes se han establecido en Los Ángeles, Chicago, Nueva </w:t>
      </w:r>
      <w:r>
        <w:rPr>
          <w:color w:val="231F20"/>
          <w:spacing w:val="-5"/>
        </w:rPr>
        <w:t>York, </w:t>
      </w:r>
      <w:r>
        <w:rPr>
          <w:color w:val="231F20"/>
          <w:spacing w:val="-4"/>
        </w:rPr>
        <w:t>Texas </w:t>
      </w:r>
      <w:r>
        <w:rPr>
          <w:color w:val="231F20"/>
        </w:rPr>
        <w:t>y Florida. Las crecientes necesidades de ob- tener empleos y mejores ingresos han presionado a los inmigrantes   </w:t>
      </w:r>
      <w:r>
        <w:rPr>
          <w:color w:val="231F20"/>
          <w:spacing w:val="15"/>
        </w:rPr>
        <w:t> </w:t>
      </w:r>
      <w:r>
        <w:rPr>
          <w:color w:val="231F20"/>
        </w:rPr>
        <w:t>gue-</w:t>
      </w:r>
    </w:p>
    <w:p>
      <w:pPr>
        <w:spacing w:after="0" w:line="247" w:lineRule="auto"/>
        <w:jc w:val="both"/>
        <w:sectPr>
          <w:pgSz w:w="9360" w:h="13040"/>
          <w:pgMar w:header="0" w:footer="496" w:top="800" w:bottom="680" w:left="1300" w:right="1300"/>
        </w:sectPr>
      </w:pPr>
    </w:p>
    <w:p>
      <w:pPr>
        <w:spacing w:before="45"/>
        <w:ind w:left="117" w:right="0" w:firstLine="89"/>
        <w:jc w:val="both"/>
        <w:rPr>
          <w:rFonts w:ascii="Arial" w:hAnsi="Arial"/>
          <w:sz w:val="20"/>
        </w:rPr>
      </w:pPr>
      <w:r>
        <w:rPr>
          <w:rFonts w:ascii="Arial" w:hAnsi="Arial"/>
          <w:color w:val="231F20"/>
          <w:w w:val="70"/>
          <w:sz w:val="20"/>
        </w:rPr>
        <w:t>Redes    migratorias y políticas públicas de la migración internacional guerrerense /Artemio López-Ríos</w:t>
      </w:r>
    </w:p>
    <w:p>
      <w:pPr>
        <w:pStyle w:val="BodyText"/>
        <w:spacing w:before="7"/>
        <w:rPr>
          <w:rFonts w:ascii="Arial"/>
          <w:sz w:val="28"/>
        </w:rPr>
      </w:pPr>
    </w:p>
    <w:p>
      <w:pPr>
        <w:pStyle w:val="BodyText"/>
        <w:spacing w:line="247" w:lineRule="auto"/>
        <w:ind w:left="117" w:right="115"/>
        <w:jc w:val="both"/>
      </w:pPr>
      <w:r>
        <w:rPr>
          <w:color w:val="231F20"/>
        </w:rPr>
        <w:t>rrerenses a incursionar otros asentamientos donde deben demostrar ciertas habilidades adicionales como el dominio del inglés, además de probar su destreza en áreas como la construcción, jardinería, además de su tradicio- nal desempeño en el trabajo agrícola.</w:t>
      </w:r>
    </w:p>
    <w:p>
      <w:pPr>
        <w:pStyle w:val="BodyText"/>
        <w:spacing w:line="247" w:lineRule="auto"/>
        <w:ind w:left="117" w:right="114" w:firstLine="283"/>
        <w:jc w:val="both"/>
      </w:pPr>
      <w:r>
        <w:rPr>
          <w:color w:val="231F20"/>
        </w:rPr>
        <w:t>En el caso de la denominada migración emergente, buena parte está asentada en el estado de Atlanta, Georgia, donde radica un considerable número de población procedente del municipio de San Marcos. La expe- riencia que arroja el trabajo de entrevistar y encuestar a un sector de mi- grantes</w:t>
      </w:r>
      <w:r>
        <w:rPr>
          <w:color w:val="231F20"/>
          <w:spacing w:val="-13"/>
        </w:rPr>
        <w:t> </w:t>
      </w:r>
      <w:r>
        <w:rPr>
          <w:color w:val="231F20"/>
        </w:rPr>
        <w:t>como</w:t>
      </w:r>
      <w:r>
        <w:rPr>
          <w:color w:val="231F20"/>
          <w:spacing w:val="-13"/>
        </w:rPr>
        <w:t> </w:t>
      </w:r>
      <w:r>
        <w:rPr>
          <w:color w:val="231F20"/>
        </w:rPr>
        <w:t>los</w:t>
      </w:r>
      <w:r>
        <w:rPr>
          <w:color w:val="231F20"/>
          <w:spacing w:val="-13"/>
        </w:rPr>
        <w:t> </w:t>
      </w:r>
      <w:r>
        <w:rPr>
          <w:color w:val="231F20"/>
        </w:rPr>
        <w:t>sanmarqueños,</w:t>
      </w:r>
      <w:r>
        <w:rPr>
          <w:color w:val="231F20"/>
          <w:spacing w:val="-13"/>
        </w:rPr>
        <w:t> </w:t>
      </w:r>
      <w:r>
        <w:rPr>
          <w:color w:val="231F20"/>
        </w:rPr>
        <w:t>de</w:t>
      </w:r>
      <w:r>
        <w:rPr>
          <w:color w:val="231F20"/>
          <w:spacing w:val="-13"/>
        </w:rPr>
        <w:t> </w:t>
      </w:r>
      <w:r>
        <w:rPr>
          <w:color w:val="231F20"/>
        </w:rPr>
        <w:t>reciente</w:t>
      </w:r>
      <w:r>
        <w:rPr>
          <w:color w:val="231F20"/>
          <w:spacing w:val="-13"/>
        </w:rPr>
        <w:t> </w:t>
      </w:r>
      <w:r>
        <w:rPr>
          <w:color w:val="231F20"/>
        </w:rPr>
        <w:t>incorporación</w:t>
      </w:r>
      <w:r>
        <w:rPr>
          <w:color w:val="231F20"/>
          <w:spacing w:val="-13"/>
        </w:rPr>
        <w:t> </w:t>
      </w:r>
      <w:r>
        <w:rPr>
          <w:color w:val="231F20"/>
        </w:rPr>
        <w:t>en</w:t>
      </w:r>
      <w:r>
        <w:rPr>
          <w:color w:val="231F20"/>
          <w:spacing w:val="-13"/>
        </w:rPr>
        <w:t> </w:t>
      </w:r>
      <w:r>
        <w:rPr>
          <w:color w:val="231F20"/>
        </w:rPr>
        <w:t>Estados</w:t>
      </w:r>
      <w:r>
        <w:rPr>
          <w:color w:val="231F20"/>
          <w:spacing w:val="-13"/>
        </w:rPr>
        <w:t> </w:t>
      </w:r>
      <w:r>
        <w:rPr>
          <w:color w:val="231F20"/>
        </w:rPr>
        <w:t>Uni- dos</w:t>
      </w:r>
      <w:r>
        <w:rPr>
          <w:color w:val="231F20"/>
          <w:spacing w:val="-4"/>
        </w:rPr>
        <w:t> </w:t>
      </w:r>
      <w:r>
        <w:rPr>
          <w:color w:val="231F20"/>
        </w:rPr>
        <w:t>y</w:t>
      </w:r>
      <w:r>
        <w:rPr>
          <w:color w:val="231F20"/>
          <w:spacing w:val="-4"/>
        </w:rPr>
        <w:t> </w:t>
      </w:r>
      <w:r>
        <w:rPr>
          <w:color w:val="231F20"/>
        </w:rPr>
        <w:t>con</w:t>
      </w:r>
      <w:r>
        <w:rPr>
          <w:color w:val="231F20"/>
          <w:spacing w:val="-4"/>
        </w:rPr>
        <w:t> </w:t>
      </w:r>
      <w:r>
        <w:rPr>
          <w:color w:val="231F20"/>
        </w:rPr>
        <w:t>serios</w:t>
      </w:r>
      <w:r>
        <w:rPr>
          <w:color w:val="231F20"/>
          <w:spacing w:val="-4"/>
        </w:rPr>
        <w:t> </w:t>
      </w:r>
      <w:r>
        <w:rPr>
          <w:color w:val="231F20"/>
        </w:rPr>
        <w:t>problemas</w:t>
      </w:r>
      <w:r>
        <w:rPr>
          <w:color w:val="231F20"/>
          <w:spacing w:val="-4"/>
        </w:rPr>
        <w:t> </w:t>
      </w:r>
      <w:r>
        <w:rPr>
          <w:color w:val="231F20"/>
        </w:rPr>
        <w:t>para</w:t>
      </w:r>
      <w:r>
        <w:rPr>
          <w:color w:val="231F20"/>
          <w:spacing w:val="-4"/>
        </w:rPr>
        <w:t> </w:t>
      </w:r>
      <w:r>
        <w:rPr>
          <w:color w:val="231F20"/>
        </w:rPr>
        <w:t>obtener</w:t>
      </w:r>
      <w:r>
        <w:rPr>
          <w:color w:val="231F20"/>
          <w:spacing w:val="-4"/>
        </w:rPr>
        <w:t> </w:t>
      </w:r>
      <w:r>
        <w:rPr>
          <w:color w:val="231F20"/>
        </w:rPr>
        <w:t>empleo,</w:t>
      </w:r>
      <w:r>
        <w:rPr>
          <w:color w:val="231F20"/>
          <w:spacing w:val="-5"/>
        </w:rPr>
        <w:t> </w:t>
      </w:r>
      <w:r>
        <w:rPr>
          <w:color w:val="231F20"/>
        </w:rPr>
        <w:t>que</w:t>
      </w:r>
      <w:r>
        <w:rPr>
          <w:color w:val="231F20"/>
          <w:spacing w:val="-4"/>
        </w:rPr>
        <w:t> </w:t>
      </w:r>
      <w:r>
        <w:rPr>
          <w:color w:val="231F20"/>
        </w:rPr>
        <w:t>sufren</w:t>
      </w:r>
      <w:r>
        <w:rPr>
          <w:color w:val="231F20"/>
          <w:spacing w:val="-4"/>
        </w:rPr>
        <w:t> </w:t>
      </w:r>
      <w:r>
        <w:rPr>
          <w:color w:val="231F20"/>
        </w:rPr>
        <w:t>segregación</w:t>
      </w:r>
      <w:r>
        <w:rPr>
          <w:color w:val="231F20"/>
          <w:spacing w:val="-3"/>
        </w:rPr>
        <w:t> </w:t>
      </w:r>
      <w:r>
        <w:rPr>
          <w:color w:val="231F20"/>
        </w:rPr>
        <w:t>y falta de apoyo de dependencias mexicanas como el Consulado, da cuenta de una persistente desconfianza hacia todo aquel que quiera conocer los pormenores de su estancia en</w:t>
      </w:r>
      <w:r>
        <w:rPr>
          <w:color w:val="231F20"/>
          <w:spacing w:val="-23"/>
        </w:rPr>
        <w:t> </w:t>
      </w:r>
      <w:r>
        <w:rPr>
          <w:color w:val="231F20"/>
        </w:rPr>
        <w:t>Atlanta.</w:t>
      </w:r>
    </w:p>
    <w:p>
      <w:pPr>
        <w:pStyle w:val="Heading3"/>
        <w:ind w:left="177"/>
      </w:pPr>
      <w:r>
        <w:rPr>
          <w:color w:val="231F20"/>
        </w:rPr>
        <w:t>La política pública hacia los migrantes</w:t>
      </w:r>
    </w:p>
    <w:p>
      <w:pPr>
        <w:pStyle w:val="BodyText"/>
        <w:spacing w:line="247" w:lineRule="auto" w:before="172"/>
        <w:ind w:left="117" w:right="115"/>
        <w:jc w:val="both"/>
      </w:pPr>
      <w:r>
        <w:rPr>
          <w:color w:val="231F20"/>
        </w:rPr>
        <w:t>La política migratoria desplegada por el gobierno mexicano ha variado     a lo largo del periodo en que se inicia hasta la fecha. Según Alba (2010)  la atención a migrantes se dio desde la instauración del Programa Brace- ro, abriéndose un periodo de desatención de la política migratoria (1965- 1986) hasta principios de los años noventa en que se reactivó la gestión pública de atención a connacionales en el</w:t>
      </w:r>
      <w:r>
        <w:rPr>
          <w:color w:val="231F20"/>
          <w:spacing w:val="-17"/>
        </w:rPr>
        <w:t> </w:t>
      </w:r>
      <w:r>
        <w:rPr>
          <w:color w:val="231F20"/>
        </w:rPr>
        <w:t>exterior.</w:t>
      </w:r>
    </w:p>
    <w:p>
      <w:pPr>
        <w:pStyle w:val="BodyText"/>
        <w:spacing w:line="247" w:lineRule="auto"/>
        <w:ind w:left="117" w:right="114" w:firstLine="283"/>
        <w:jc w:val="right"/>
      </w:pPr>
      <w:r>
        <w:rPr>
          <w:color w:val="231F20"/>
        </w:rPr>
        <w:t>El</w:t>
      </w:r>
      <w:r>
        <w:rPr>
          <w:color w:val="231F20"/>
          <w:spacing w:val="-8"/>
        </w:rPr>
        <w:t> </w:t>
      </w:r>
      <w:r>
        <w:rPr>
          <w:color w:val="231F20"/>
        </w:rPr>
        <w:t>mismo</w:t>
      </w:r>
      <w:r>
        <w:rPr>
          <w:color w:val="231F20"/>
          <w:spacing w:val="-8"/>
        </w:rPr>
        <w:t> </w:t>
      </w:r>
      <w:r>
        <w:rPr>
          <w:color w:val="231F20"/>
        </w:rPr>
        <w:t>autor</w:t>
      </w:r>
      <w:r>
        <w:rPr>
          <w:color w:val="231F20"/>
          <w:spacing w:val="-8"/>
        </w:rPr>
        <w:t> </w:t>
      </w:r>
      <w:r>
        <w:rPr>
          <w:color w:val="231F20"/>
        </w:rPr>
        <w:t>(Alba,</w:t>
      </w:r>
      <w:r>
        <w:rPr>
          <w:color w:val="231F20"/>
          <w:spacing w:val="-8"/>
        </w:rPr>
        <w:t> </w:t>
      </w:r>
      <w:r>
        <w:rPr>
          <w:color w:val="231F20"/>
        </w:rPr>
        <w:t>2009)</w:t>
      </w:r>
      <w:r>
        <w:rPr>
          <w:color w:val="231F20"/>
          <w:spacing w:val="-8"/>
        </w:rPr>
        <w:t> </w:t>
      </w:r>
      <w:r>
        <w:rPr>
          <w:color w:val="231F20"/>
        </w:rPr>
        <w:t>reconoce</w:t>
      </w:r>
      <w:r>
        <w:rPr>
          <w:color w:val="231F20"/>
          <w:spacing w:val="-8"/>
        </w:rPr>
        <w:t> </w:t>
      </w:r>
      <w:r>
        <w:rPr>
          <w:color w:val="231F20"/>
        </w:rPr>
        <w:t>que</w:t>
      </w:r>
      <w:r>
        <w:rPr>
          <w:color w:val="231F20"/>
          <w:spacing w:val="-8"/>
        </w:rPr>
        <w:t> </w:t>
      </w:r>
      <w:r>
        <w:rPr>
          <w:color w:val="231F20"/>
        </w:rPr>
        <w:t>a</w:t>
      </w:r>
      <w:r>
        <w:rPr>
          <w:color w:val="231F20"/>
          <w:spacing w:val="-8"/>
        </w:rPr>
        <w:t> </w:t>
      </w:r>
      <w:r>
        <w:rPr>
          <w:color w:val="231F20"/>
        </w:rPr>
        <w:t>partir</w:t>
      </w:r>
      <w:r>
        <w:rPr>
          <w:color w:val="231F20"/>
          <w:spacing w:val="-8"/>
        </w:rPr>
        <w:t> </w:t>
      </w:r>
      <w:r>
        <w:rPr>
          <w:color w:val="231F20"/>
        </w:rPr>
        <w:t>de</w:t>
      </w:r>
      <w:r>
        <w:rPr>
          <w:color w:val="231F20"/>
          <w:spacing w:val="-8"/>
        </w:rPr>
        <w:t> </w:t>
      </w:r>
      <w:r>
        <w:rPr>
          <w:color w:val="231F20"/>
        </w:rPr>
        <w:t>1990,</w:t>
      </w:r>
      <w:r>
        <w:rPr>
          <w:color w:val="231F20"/>
          <w:spacing w:val="-8"/>
        </w:rPr>
        <w:t> </w:t>
      </w:r>
      <w:r>
        <w:rPr>
          <w:color w:val="231F20"/>
        </w:rPr>
        <w:t>se</w:t>
      </w:r>
      <w:r>
        <w:rPr>
          <w:color w:val="231F20"/>
          <w:spacing w:val="-8"/>
        </w:rPr>
        <w:t> </w:t>
      </w:r>
      <w:r>
        <w:rPr>
          <w:color w:val="231F20"/>
        </w:rPr>
        <w:t>desplegó un dinamismo que permitió consolidar importantes</w:t>
      </w:r>
      <w:r>
        <w:rPr>
          <w:color w:val="231F20"/>
          <w:spacing w:val="31"/>
        </w:rPr>
        <w:t> </w:t>
      </w:r>
      <w:r>
        <w:rPr>
          <w:color w:val="231F20"/>
        </w:rPr>
        <w:t>políticas</w:t>
      </w:r>
      <w:r>
        <w:rPr>
          <w:color w:val="231F20"/>
          <w:spacing w:val="23"/>
        </w:rPr>
        <w:t> </w:t>
      </w:r>
      <w:r>
        <w:rPr>
          <w:color w:val="231F20"/>
        </w:rPr>
        <w:t>migratorias en</w:t>
      </w:r>
      <w:r>
        <w:rPr>
          <w:color w:val="231F20"/>
          <w:spacing w:val="-4"/>
        </w:rPr>
        <w:t> </w:t>
      </w:r>
      <w:r>
        <w:rPr>
          <w:color w:val="231F20"/>
        </w:rPr>
        <w:t>México.</w:t>
      </w:r>
      <w:r>
        <w:rPr>
          <w:color w:val="231F20"/>
          <w:spacing w:val="-4"/>
        </w:rPr>
        <w:t> </w:t>
      </w:r>
      <w:r>
        <w:rPr>
          <w:color w:val="231F20"/>
        </w:rPr>
        <w:t>En</w:t>
      </w:r>
      <w:r>
        <w:rPr>
          <w:color w:val="231F20"/>
          <w:spacing w:val="-4"/>
        </w:rPr>
        <w:t> </w:t>
      </w:r>
      <w:r>
        <w:rPr>
          <w:color w:val="231F20"/>
        </w:rPr>
        <w:t>el</w:t>
      </w:r>
      <w:r>
        <w:rPr>
          <w:color w:val="231F20"/>
          <w:spacing w:val="-5"/>
        </w:rPr>
        <w:t> </w:t>
      </w:r>
      <w:r>
        <w:rPr>
          <w:color w:val="231F20"/>
        </w:rPr>
        <w:t>país</w:t>
      </w:r>
      <w:r>
        <w:rPr>
          <w:color w:val="231F20"/>
          <w:spacing w:val="-4"/>
        </w:rPr>
        <w:t> </w:t>
      </w:r>
      <w:r>
        <w:rPr>
          <w:color w:val="231F20"/>
        </w:rPr>
        <w:t>se</w:t>
      </w:r>
      <w:r>
        <w:rPr>
          <w:color w:val="231F20"/>
          <w:spacing w:val="-4"/>
        </w:rPr>
        <w:t> </w:t>
      </w:r>
      <w:r>
        <w:rPr>
          <w:color w:val="231F20"/>
        </w:rPr>
        <w:t>dieron</w:t>
      </w:r>
      <w:r>
        <w:rPr>
          <w:color w:val="231F20"/>
          <w:spacing w:val="-4"/>
        </w:rPr>
        <w:t> </w:t>
      </w:r>
      <w:r>
        <w:rPr>
          <w:color w:val="231F20"/>
        </w:rPr>
        <w:t>facilidades</w:t>
      </w:r>
      <w:r>
        <w:rPr>
          <w:color w:val="231F20"/>
          <w:spacing w:val="-4"/>
        </w:rPr>
        <w:t> </w:t>
      </w:r>
      <w:r>
        <w:rPr>
          <w:color w:val="231F20"/>
        </w:rPr>
        <w:t>para</w:t>
      </w:r>
      <w:r>
        <w:rPr>
          <w:color w:val="231F20"/>
          <w:spacing w:val="-4"/>
        </w:rPr>
        <w:t> </w:t>
      </w:r>
      <w:r>
        <w:rPr>
          <w:color w:val="231F20"/>
        </w:rPr>
        <w:t>canalizar</w:t>
      </w:r>
      <w:r>
        <w:rPr>
          <w:color w:val="231F20"/>
          <w:spacing w:val="-5"/>
        </w:rPr>
        <w:t> </w:t>
      </w:r>
      <w:r>
        <w:rPr>
          <w:color w:val="231F20"/>
        </w:rPr>
        <w:t>los</w:t>
      </w:r>
      <w:r>
        <w:rPr>
          <w:color w:val="231F20"/>
          <w:spacing w:val="-4"/>
        </w:rPr>
        <w:t> </w:t>
      </w:r>
      <w:r>
        <w:rPr>
          <w:color w:val="231F20"/>
        </w:rPr>
        <w:t>ya</w:t>
      </w:r>
      <w:r>
        <w:rPr>
          <w:color w:val="231F20"/>
          <w:spacing w:val="-4"/>
        </w:rPr>
        <w:t> </w:t>
      </w:r>
      <w:r>
        <w:rPr>
          <w:color w:val="231F20"/>
        </w:rPr>
        <w:t>importan- tes</w:t>
      </w:r>
      <w:r>
        <w:rPr>
          <w:color w:val="231F20"/>
          <w:spacing w:val="-7"/>
        </w:rPr>
        <w:t> </w:t>
      </w:r>
      <w:r>
        <w:rPr>
          <w:color w:val="231F20"/>
        </w:rPr>
        <w:t>montos</w:t>
      </w:r>
      <w:r>
        <w:rPr>
          <w:color w:val="231F20"/>
          <w:spacing w:val="-7"/>
        </w:rPr>
        <w:t> </w:t>
      </w:r>
      <w:r>
        <w:rPr>
          <w:color w:val="231F20"/>
        </w:rPr>
        <w:t>de</w:t>
      </w:r>
      <w:r>
        <w:rPr>
          <w:color w:val="231F20"/>
          <w:spacing w:val="-7"/>
        </w:rPr>
        <w:t> </w:t>
      </w:r>
      <w:r>
        <w:rPr>
          <w:color w:val="231F20"/>
        </w:rPr>
        <w:t>remesas</w:t>
      </w:r>
      <w:r>
        <w:rPr>
          <w:color w:val="231F20"/>
          <w:spacing w:val="-6"/>
        </w:rPr>
        <w:t> </w:t>
      </w:r>
      <w:r>
        <w:rPr>
          <w:color w:val="231F20"/>
        </w:rPr>
        <w:t>enviadas</w:t>
      </w:r>
      <w:r>
        <w:rPr>
          <w:color w:val="231F20"/>
          <w:spacing w:val="-7"/>
        </w:rPr>
        <w:t> </w:t>
      </w:r>
      <w:r>
        <w:rPr>
          <w:color w:val="231F20"/>
        </w:rPr>
        <w:t>desde</w:t>
      </w:r>
      <w:r>
        <w:rPr>
          <w:color w:val="231F20"/>
          <w:spacing w:val="-7"/>
        </w:rPr>
        <w:t> </w:t>
      </w:r>
      <w:r>
        <w:rPr>
          <w:color w:val="231F20"/>
        </w:rPr>
        <w:t>Estados</w:t>
      </w:r>
      <w:r>
        <w:rPr>
          <w:color w:val="231F20"/>
          <w:spacing w:val="-7"/>
        </w:rPr>
        <w:t> </w:t>
      </w:r>
      <w:r>
        <w:rPr>
          <w:color w:val="231F20"/>
        </w:rPr>
        <w:t>Unidos.</w:t>
      </w:r>
      <w:r>
        <w:rPr>
          <w:color w:val="231F20"/>
          <w:spacing w:val="-6"/>
        </w:rPr>
        <w:t> </w:t>
      </w:r>
      <w:r>
        <w:rPr>
          <w:color w:val="231F20"/>
        </w:rPr>
        <w:t>Pero</w:t>
      </w:r>
      <w:r>
        <w:rPr>
          <w:color w:val="231F20"/>
          <w:spacing w:val="-6"/>
        </w:rPr>
        <w:t> </w:t>
      </w:r>
      <w:r>
        <w:rPr>
          <w:color w:val="231F20"/>
        </w:rPr>
        <w:t>la</w:t>
      </w:r>
      <w:r>
        <w:rPr>
          <w:color w:val="231F20"/>
          <w:spacing w:val="-7"/>
        </w:rPr>
        <w:t> </w:t>
      </w:r>
      <w:r>
        <w:rPr>
          <w:color w:val="231F20"/>
        </w:rPr>
        <w:t>política</w:t>
      </w:r>
      <w:r>
        <w:rPr>
          <w:color w:val="231F20"/>
          <w:spacing w:val="-6"/>
        </w:rPr>
        <w:t> </w:t>
      </w:r>
      <w:r>
        <w:rPr>
          <w:color w:val="231F20"/>
        </w:rPr>
        <w:t>pú- blica también se enfoca a generar espacios de atención a los</w:t>
      </w:r>
      <w:r>
        <w:rPr>
          <w:color w:val="231F20"/>
          <w:spacing w:val="10"/>
        </w:rPr>
        <w:t> </w:t>
      </w:r>
      <w:r>
        <w:rPr>
          <w:color w:val="231F20"/>
        </w:rPr>
        <w:t>emigrados en el exterior sentando las bases para desplegar, desde instancias</w:t>
      </w:r>
      <w:r>
        <w:rPr>
          <w:color w:val="231F20"/>
          <w:spacing w:val="20"/>
        </w:rPr>
        <w:t> </w:t>
      </w:r>
      <w:r>
        <w:rPr>
          <w:color w:val="231F20"/>
        </w:rPr>
        <w:t>como</w:t>
      </w:r>
      <w:r>
        <w:rPr>
          <w:color w:val="231F20"/>
          <w:spacing w:val="8"/>
        </w:rPr>
        <w:t> </w:t>
      </w:r>
      <w:r>
        <w:rPr>
          <w:color w:val="231F20"/>
        </w:rPr>
        <w:t>con- sulados y oficinas de atención a los connacionales, los</w:t>
      </w:r>
      <w:r>
        <w:rPr>
          <w:color w:val="231F20"/>
          <w:spacing w:val="32"/>
        </w:rPr>
        <w:t> </w:t>
      </w:r>
      <w:r>
        <w:rPr>
          <w:color w:val="231F20"/>
        </w:rPr>
        <w:t>apoyos</w:t>
      </w:r>
      <w:r>
        <w:rPr>
          <w:color w:val="231F20"/>
          <w:spacing w:val="9"/>
        </w:rPr>
        <w:t> </w:t>
      </w:r>
      <w:r>
        <w:rPr>
          <w:color w:val="231F20"/>
        </w:rPr>
        <w:t>necesarios</w:t>
      </w:r>
      <w:r>
        <w:rPr>
          <w:color w:val="231F20"/>
          <w:w w:val="100"/>
        </w:rPr>
        <w:t> </w:t>
      </w:r>
      <w:r>
        <w:rPr>
          <w:color w:val="231F20"/>
        </w:rPr>
        <w:t>para resolver aspectos vitales como la identificación personal, en</w:t>
      </w:r>
      <w:r>
        <w:rPr>
          <w:color w:val="231F20"/>
          <w:spacing w:val="-38"/>
        </w:rPr>
        <w:t> </w:t>
      </w:r>
      <w:r>
        <w:rPr>
          <w:color w:val="231F20"/>
        </w:rPr>
        <w:t>este</w:t>
      </w:r>
      <w:r>
        <w:rPr>
          <w:color w:val="231F20"/>
          <w:spacing w:val="-5"/>
        </w:rPr>
        <w:t> </w:t>
      </w:r>
      <w:r>
        <w:rPr>
          <w:color w:val="231F20"/>
        </w:rPr>
        <w:t>caso vía</w:t>
      </w:r>
      <w:r>
        <w:rPr>
          <w:color w:val="231F20"/>
          <w:spacing w:val="-12"/>
        </w:rPr>
        <w:t> </w:t>
      </w:r>
      <w:r>
        <w:rPr>
          <w:color w:val="231F20"/>
        </w:rPr>
        <w:t>la</w:t>
      </w:r>
      <w:r>
        <w:rPr>
          <w:color w:val="231F20"/>
          <w:spacing w:val="-12"/>
        </w:rPr>
        <w:t> </w:t>
      </w:r>
      <w:r>
        <w:rPr>
          <w:color w:val="231F20"/>
        </w:rPr>
        <w:t>matrícula</w:t>
      </w:r>
      <w:r>
        <w:rPr>
          <w:color w:val="231F20"/>
          <w:spacing w:val="-12"/>
        </w:rPr>
        <w:t> </w:t>
      </w:r>
      <w:r>
        <w:rPr>
          <w:color w:val="231F20"/>
        </w:rPr>
        <w:t>consular,</w:t>
      </w:r>
      <w:r>
        <w:rPr>
          <w:color w:val="231F20"/>
          <w:spacing w:val="-12"/>
        </w:rPr>
        <w:t> </w:t>
      </w:r>
      <w:r>
        <w:rPr>
          <w:color w:val="231F20"/>
        </w:rPr>
        <w:t>que</w:t>
      </w:r>
      <w:r>
        <w:rPr>
          <w:color w:val="231F20"/>
          <w:spacing w:val="-12"/>
        </w:rPr>
        <w:t> </w:t>
      </w:r>
      <w:r>
        <w:rPr>
          <w:color w:val="231F20"/>
        </w:rPr>
        <w:t>respalda</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migrantes</w:t>
      </w:r>
      <w:r>
        <w:rPr>
          <w:color w:val="231F20"/>
          <w:spacing w:val="-12"/>
        </w:rPr>
        <w:t> </w:t>
      </w:r>
      <w:r>
        <w:rPr>
          <w:color w:val="231F20"/>
        </w:rPr>
        <w:t>en</w:t>
      </w:r>
      <w:r>
        <w:rPr>
          <w:color w:val="231F20"/>
          <w:spacing w:val="-12"/>
        </w:rPr>
        <w:t> </w:t>
      </w:r>
      <w:r>
        <w:rPr>
          <w:color w:val="231F20"/>
        </w:rPr>
        <w:t>diversos</w:t>
      </w:r>
      <w:r>
        <w:rPr>
          <w:color w:val="231F20"/>
          <w:spacing w:val="-12"/>
        </w:rPr>
        <w:t> </w:t>
      </w:r>
      <w:r>
        <w:rPr>
          <w:color w:val="231F20"/>
        </w:rPr>
        <w:t>trámites. Las medidas adoptadas por las autoridades mexicanas varían</w:t>
      </w:r>
      <w:r>
        <w:rPr>
          <w:color w:val="231F20"/>
          <w:spacing w:val="47"/>
        </w:rPr>
        <w:t> </w:t>
      </w:r>
      <w:r>
        <w:rPr>
          <w:color w:val="231F20"/>
        </w:rPr>
        <w:t>en</w:t>
      </w:r>
      <w:r>
        <w:rPr>
          <w:color w:val="231F20"/>
          <w:spacing w:val="5"/>
        </w:rPr>
        <w:t> </w:t>
      </w:r>
      <w:r>
        <w:rPr>
          <w:color w:val="231F20"/>
        </w:rPr>
        <w:t>inten- sidad y en la efectividad con que se atienden las demandas</w:t>
      </w:r>
      <w:r>
        <w:rPr>
          <w:color w:val="231F20"/>
          <w:spacing w:val="17"/>
        </w:rPr>
        <w:t> </w:t>
      </w:r>
      <w:r>
        <w:rPr>
          <w:color w:val="231F20"/>
        </w:rPr>
        <w:t>y</w:t>
      </w:r>
      <w:r>
        <w:rPr>
          <w:color w:val="231F20"/>
          <w:spacing w:val="6"/>
        </w:rPr>
        <w:t> </w:t>
      </w:r>
      <w:r>
        <w:rPr>
          <w:color w:val="231F20"/>
        </w:rPr>
        <w:t>necesidades planteadas por mexicanos inmigrados en Estados Unidos. Sin</w:t>
      </w:r>
      <w:r>
        <w:rPr>
          <w:color w:val="231F20"/>
          <w:spacing w:val="-3"/>
        </w:rPr>
        <w:t> </w:t>
      </w:r>
      <w:r>
        <w:rPr>
          <w:color w:val="231F20"/>
        </w:rPr>
        <w:t>embargo,</w:t>
      </w:r>
      <w:r>
        <w:rPr>
          <w:color w:val="231F20"/>
          <w:spacing w:val="-1"/>
        </w:rPr>
        <w:t> </w:t>
      </w:r>
      <w:r>
        <w:rPr>
          <w:color w:val="231F20"/>
        </w:rPr>
        <w:t>el alcance de los resultados obtenidos arroja un saldo deficitario a</w:t>
      </w:r>
      <w:r>
        <w:rPr>
          <w:color w:val="231F20"/>
          <w:spacing w:val="39"/>
        </w:rPr>
        <w:t> </w:t>
      </w:r>
      <w:r>
        <w:rPr>
          <w:color w:val="231F20"/>
        </w:rPr>
        <w:t>favor</w:t>
      </w:r>
      <w:r>
        <w:rPr>
          <w:color w:val="231F20"/>
          <w:spacing w:val="14"/>
        </w:rPr>
        <w:t> </w:t>
      </w:r>
      <w:r>
        <w:rPr>
          <w:color w:val="231F20"/>
        </w:rPr>
        <w:t>de</w:t>
      </w:r>
      <w:r>
        <w:rPr>
          <w:color w:val="231F20"/>
          <w:w w:val="100"/>
        </w:rPr>
        <w:t> </w:t>
      </w:r>
      <w:r>
        <w:rPr>
          <w:color w:val="231F20"/>
        </w:rPr>
        <w:t>las</w:t>
      </w:r>
      <w:r>
        <w:rPr>
          <w:color w:val="231F20"/>
          <w:spacing w:val="26"/>
        </w:rPr>
        <w:t> </w:t>
      </w:r>
      <w:r>
        <w:rPr>
          <w:color w:val="231F20"/>
        </w:rPr>
        <w:t>autoridades</w:t>
      </w:r>
      <w:r>
        <w:rPr>
          <w:color w:val="231F20"/>
          <w:spacing w:val="25"/>
        </w:rPr>
        <w:t> </w:t>
      </w:r>
      <w:r>
        <w:rPr>
          <w:color w:val="231F20"/>
        </w:rPr>
        <w:t>involucradas</w:t>
      </w:r>
      <w:r>
        <w:rPr>
          <w:color w:val="231F20"/>
          <w:spacing w:val="25"/>
        </w:rPr>
        <w:t> </w:t>
      </w:r>
      <w:r>
        <w:rPr>
          <w:color w:val="231F20"/>
        </w:rPr>
        <w:t>en</w:t>
      </w:r>
      <w:r>
        <w:rPr>
          <w:color w:val="231F20"/>
          <w:spacing w:val="26"/>
        </w:rPr>
        <w:t> </w:t>
      </w:r>
      <w:r>
        <w:rPr>
          <w:color w:val="231F20"/>
        </w:rPr>
        <w:t>la</w:t>
      </w:r>
      <w:r>
        <w:rPr>
          <w:color w:val="231F20"/>
          <w:spacing w:val="26"/>
        </w:rPr>
        <w:t> </w:t>
      </w:r>
      <w:r>
        <w:rPr>
          <w:color w:val="231F20"/>
        </w:rPr>
        <w:t>atención</w:t>
      </w:r>
      <w:r>
        <w:rPr>
          <w:color w:val="231F20"/>
          <w:spacing w:val="26"/>
        </w:rPr>
        <w:t> </w:t>
      </w:r>
      <w:r>
        <w:rPr>
          <w:color w:val="231F20"/>
        </w:rPr>
        <w:t>y</w:t>
      </w:r>
      <w:r>
        <w:rPr>
          <w:color w:val="231F20"/>
          <w:spacing w:val="26"/>
        </w:rPr>
        <w:t> </w:t>
      </w:r>
      <w:r>
        <w:rPr>
          <w:color w:val="231F20"/>
        </w:rPr>
        <w:t>apoyo</w:t>
      </w:r>
      <w:r>
        <w:rPr>
          <w:color w:val="231F20"/>
          <w:spacing w:val="26"/>
        </w:rPr>
        <w:t> </w:t>
      </w:r>
      <w:r>
        <w:rPr>
          <w:color w:val="231F20"/>
        </w:rPr>
        <w:t>al</w:t>
      </w:r>
      <w:r>
        <w:rPr>
          <w:color w:val="231F20"/>
          <w:spacing w:val="26"/>
        </w:rPr>
        <w:t> </w:t>
      </w:r>
      <w:r>
        <w:rPr>
          <w:color w:val="231F20"/>
        </w:rPr>
        <w:t>sector</w:t>
      </w:r>
      <w:r>
        <w:rPr>
          <w:color w:val="231F20"/>
          <w:spacing w:val="26"/>
        </w:rPr>
        <w:t> </w:t>
      </w:r>
      <w:r>
        <w:rPr>
          <w:color w:val="231F20"/>
        </w:rPr>
        <w:t>migrantes</w:t>
      </w:r>
    </w:p>
    <w:p>
      <w:pPr>
        <w:pStyle w:val="BodyText"/>
        <w:spacing w:line="253" w:lineRule="exact"/>
        <w:ind w:left="117"/>
        <w:jc w:val="both"/>
      </w:pPr>
      <w:r>
        <w:rPr>
          <w:color w:val="231F20"/>
        </w:rPr>
        <w:t>mexicanos en el extranjero.</w:t>
      </w:r>
    </w:p>
    <w:p>
      <w:pPr>
        <w:pStyle w:val="BodyText"/>
        <w:spacing w:line="247" w:lineRule="auto" w:before="7"/>
        <w:ind w:left="117" w:right="115" w:firstLine="283"/>
        <w:jc w:val="both"/>
      </w:pPr>
      <w:r>
        <w:rPr>
          <w:color w:val="231F20"/>
        </w:rPr>
        <w:t>Aspectos como la seguridad se constituyen en parte de la cotidianidad del migrante, tanto en el trayecto de su recorrido hacia el país del norte y donde</w:t>
      </w:r>
      <w:r>
        <w:rPr>
          <w:color w:val="231F20"/>
          <w:spacing w:val="-9"/>
        </w:rPr>
        <w:t> </w:t>
      </w:r>
      <w:r>
        <w:rPr>
          <w:color w:val="231F20"/>
        </w:rPr>
        <w:t>muchas</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veces</w:t>
      </w:r>
      <w:r>
        <w:rPr>
          <w:color w:val="231F20"/>
          <w:spacing w:val="-9"/>
        </w:rPr>
        <w:t> </w:t>
      </w:r>
      <w:r>
        <w:rPr>
          <w:color w:val="231F20"/>
        </w:rPr>
        <w:t>son</w:t>
      </w:r>
      <w:r>
        <w:rPr>
          <w:color w:val="231F20"/>
          <w:spacing w:val="-9"/>
        </w:rPr>
        <w:t> </w:t>
      </w:r>
      <w:r>
        <w:rPr>
          <w:color w:val="231F20"/>
        </w:rPr>
        <w:t>violentados</w:t>
      </w:r>
      <w:r>
        <w:rPr>
          <w:color w:val="231F20"/>
          <w:spacing w:val="-9"/>
        </w:rPr>
        <w:t> </w:t>
      </w:r>
      <w:r>
        <w:rPr>
          <w:color w:val="231F20"/>
        </w:rPr>
        <w:t>derechos</w:t>
      </w:r>
      <w:r>
        <w:rPr>
          <w:color w:val="231F20"/>
          <w:spacing w:val="-9"/>
        </w:rPr>
        <w:t> </w:t>
      </w:r>
      <w:r>
        <w:rPr>
          <w:color w:val="231F20"/>
        </w:rPr>
        <w:t>elementales,</w:t>
      </w:r>
      <w:r>
        <w:rPr>
          <w:color w:val="231F20"/>
          <w:spacing w:val="-9"/>
        </w:rPr>
        <w:t> </w:t>
      </w:r>
      <w:r>
        <w:rPr>
          <w:color w:val="231F20"/>
        </w:rPr>
        <w:t>como</w:t>
      </w:r>
      <w:r>
        <w:rPr>
          <w:color w:val="231F20"/>
          <w:spacing w:val="-9"/>
        </w:rPr>
        <w:t> </w:t>
      </w:r>
      <w:r>
        <w:rPr>
          <w:color w:val="231F20"/>
        </w:rPr>
        <w:t>en</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jc w:val="both"/>
      </w:pPr>
      <w:r>
        <w:rPr>
          <w:color w:val="231F20"/>
        </w:rPr>
        <w:t>su estadía, al recibir negativas a derechos laborales y no ser tratados</w:t>
      </w:r>
      <w:r>
        <w:rPr>
          <w:color w:val="231F20"/>
          <w:spacing w:val="-18"/>
        </w:rPr>
        <w:t> </w:t>
      </w:r>
      <w:r>
        <w:rPr>
          <w:color w:val="231F20"/>
        </w:rPr>
        <w:t>como ciudadanos</w:t>
      </w:r>
      <w:r>
        <w:rPr>
          <w:color w:val="231F20"/>
          <w:spacing w:val="-12"/>
        </w:rPr>
        <w:t> </w:t>
      </w:r>
      <w:r>
        <w:rPr>
          <w:color w:val="231F20"/>
        </w:rPr>
        <w:t>de</w:t>
      </w:r>
      <w:r>
        <w:rPr>
          <w:color w:val="231F20"/>
          <w:spacing w:val="-11"/>
        </w:rPr>
        <w:t> </w:t>
      </w:r>
      <w:r>
        <w:rPr>
          <w:color w:val="231F20"/>
        </w:rPr>
        <w:t>primer</w:t>
      </w:r>
      <w:r>
        <w:rPr>
          <w:color w:val="231F20"/>
          <w:spacing w:val="-11"/>
        </w:rPr>
        <w:t> </w:t>
      </w:r>
      <w:r>
        <w:rPr>
          <w:color w:val="231F20"/>
        </w:rPr>
        <w:t>orden.</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primer</w:t>
      </w:r>
      <w:r>
        <w:rPr>
          <w:color w:val="231F20"/>
          <w:spacing w:val="-11"/>
        </w:rPr>
        <w:t> </w:t>
      </w:r>
      <w:r>
        <w:rPr>
          <w:color w:val="231F20"/>
        </w:rPr>
        <w:t>caso,</w:t>
      </w:r>
      <w:r>
        <w:rPr>
          <w:color w:val="231F20"/>
          <w:spacing w:val="-11"/>
        </w:rPr>
        <w:t> </w:t>
      </w:r>
      <w:r>
        <w:rPr>
          <w:color w:val="231F20"/>
        </w:rPr>
        <w:t>se</w:t>
      </w:r>
      <w:r>
        <w:rPr>
          <w:color w:val="231F20"/>
          <w:spacing w:val="-11"/>
        </w:rPr>
        <w:t> </w:t>
      </w:r>
      <w:r>
        <w:rPr>
          <w:color w:val="231F20"/>
        </w:rPr>
        <w:t>ha</w:t>
      </w:r>
      <w:r>
        <w:rPr>
          <w:color w:val="231F20"/>
          <w:spacing w:val="-11"/>
        </w:rPr>
        <w:t> </w:t>
      </w:r>
      <w:r>
        <w:rPr>
          <w:color w:val="231F20"/>
        </w:rPr>
        <w:t>documentado</w:t>
      </w:r>
      <w:r>
        <w:rPr>
          <w:color w:val="231F20"/>
          <w:spacing w:val="-11"/>
        </w:rPr>
        <w:t> </w:t>
      </w:r>
      <w:r>
        <w:rPr>
          <w:color w:val="231F20"/>
        </w:rPr>
        <w:t>por</w:t>
      </w:r>
      <w:r>
        <w:rPr>
          <w:color w:val="231F20"/>
          <w:spacing w:val="-11"/>
        </w:rPr>
        <w:t> </w:t>
      </w:r>
      <w:r>
        <w:rPr>
          <w:color w:val="231F20"/>
        </w:rPr>
        <w:t>ins- tancias internacionales la recurrencia de violaciones y vejación de que</w:t>
      </w:r>
      <w:r>
        <w:rPr>
          <w:color w:val="231F20"/>
          <w:spacing w:val="-26"/>
        </w:rPr>
        <w:t> </w:t>
      </w:r>
      <w:r>
        <w:rPr>
          <w:color w:val="231F20"/>
        </w:rPr>
        <w:t>son objeto</w:t>
      </w:r>
      <w:r>
        <w:rPr>
          <w:color w:val="231F20"/>
          <w:spacing w:val="-7"/>
        </w:rPr>
        <w:t> </w:t>
      </w:r>
      <w:r>
        <w:rPr>
          <w:color w:val="231F20"/>
        </w:rPr>
        <w:t>los</w:t>
      </w:r>
      <w:r>
        <w:rPr>
          <w:color w:val="231F20"/>
          <w:spacing w:val="-7"/>
        </w:rPr>
        <w:t> </w:t>
      </w:r>
      <w:r>
        <w:rPr>
          <w:color w:val="231F20"/>
        </w:rPr>
        <w:t>migrantes</w:t>
      </w:r>
      <w:r>
        <w:rPr>
          <w:color w:val="231F20"/>
          <w:spacing w:val="-8"/>
        </w:rPr>
        <w:t> </w:t>
      </w:r>
      <w:r>
        <w:rPr>
          <w:color w:val="231F20"/>
        </w:rPr>
        <w:t>por</w:t>
      </w:r>
      <w:r>
        <w:rPr>
          <w:color w:val="231F20"/>
          <w:spacing w:val="-7"/>
        </w:rPr>
        <w:t> </w:t>
      </w:r>
      <w:r>
        <w:rPr>
          <w:color w:val="231F20"/>
        </w:rPr>
        <w:t>parte</w:t>
      </w:r>
      <w:r>
        <w:rPr>
          <w:color w:val="231F20"/>
          <w:spacing w:val="-7"/>
        </w:rPr>
        <w:t> </w:t>
      </w:r>
      <w:r>
        <w:rPr>
          <w:color w:val="231F20"/>
        </w:rPr>
        <w:t>de</w:t>
      </w:r>
      <w:r>
        <w:rPr>
          <w:color w:val="231F20"/>
          <w:spacing w:val="-7"/>
        </w:rPr>
        <w:t> </w:t>
      </w:r>
      <w:r>
        <w:rPr>
          <w:color w:val="231F20"/>
        </w:rPr>
        <w:t>autoridades</w:t>
      </w:r>
      <w:r>
        <w:rPr>
          <w:color w:val="231F20"/>
          <w:spacing w:val="-8"/>
        </w:rPr>
        <w:t> </w:t>
      </w:r>
      <w:r>
        <w:rPr>
          <w:color w:val="231F20"/>
        </w:rPr>
        <w:t>de</w:t>
      </w:r>
      <w:r>
        <w:rPr>
          <w:color w:val="231F20"/>
          <w:spacing w:val="-7"/>
        </w:rPr>
        <w:t> </w:t>
      </w:r>
      <w:r>
        <w:rPr>
          <w:color w:val="231F20"/>
        </w:rPr>
        <w:t>ambos</w:t>
      </w:r>
      <w:r>
        <w:rPr>
          <w:color w:val="231F20"/>
          <w:spacing w:val="-7"/>
        </w:rPr>
        <w:t> </w:t>
      </w:r>
      <w:r>
        <w:rPr>
          <w:color w:val="231F20"/>
        </w:rPr>
        <w:t>lados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frontera y otro tanto por los grupos dedicados al tráfico de</w:t>
      </w:r>
      <w:r>
        <w:rPr>
          <w:color w:val="231F20"/>
          <w:spacing w:val="-12"/>
        </w:rPr>
        <w:t> </w:t>
      </w:r>
      <w:r>
        <w:rPr>
          <w:color w:val="231F20"/>
        </w:rPr>
        <w:t>indocumentados.</w:t>
      </w:r>
    </w:p>
    <w:p>
      <w:pPr>
        <w:pStyle w:val="BodyText"/>
        <w:spacing w:line="247" w:lineRule="auto"/>
        <w:ind w:left="117" w:right="114" w:firstLine="283"/>
        <w:jc w:val="both"/>
      </w:pPr>
      <w:r>
        <w:rPr>
          <w:color w:val="231F20"/>
        </w:rPr>
        <w:t>El “mejor esfuerzo” de apoyo gubernamental a migrantes tiene su re- gistro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período</w:t>
      </w:r>
      <w:r>
        <w:rPr>
          <w:color w:val="231F20"/>
          <w:spacing w:val="-5"/>
        </w:rPr>
        <w:t> </w:t>
      </w:r>
      <w:r>
        <w:rPr>
          <w:color w:val="231F20"/>
        </w:rPr>
        <w:t>del</w:t>
      </w:r>
      <w:r>
        <w:rPr>
          <w:color w:val="231F20"/>
          <w:spacing w:val="-5"/>
        </w:rPr>
        <w:t> </w:t>
      </w:r>
      <w:r>
        <w:rPr>
          <w:color w:val="231F20"/>
        </w:rPr>
        <w:t>presidente</w:t>
      </w:r>
      <w:r>
        <w:rPr>
          <w:color w:val="231F20"/>
          <w:spacing w:val="-5"/>
        </w:rPr>
        <w:t> </w:t>
      </w:r>
      <w:r>
        <w:rPr>
          <w:color w:val="231F20"/>
        </w:rPr>
        <w:t>Fox</w:t>
      </w:r>
      <w:r>
        <w:rPr>
          <w:color w:val="231F20"/>
          <w:spacing w:val="-5"/>
        </w:rPr>
        <w:t> </w:t>
      </w:r>
      <w:r>
        <w:rPr>
          <w:color w:val="231F20"/>
        </w:rPr>
        <w:t>quien,</w:t>
      </w:r>
      <w:r>
        <w:rPr>
          <w:color w:val="231F20"/>
          <w:spacing w:val="-5"/>
        </w:rPr>
        <w:t> </w:t>
      </w:r>
      <w:r>
        <w:rPr>
          <w:color w:val="231F20"/>
        </w:rPr>
        <w:t>a</w:t>
      </w:r>
      <w:r>
        <w:rPr>
          <w:color w:val="231F20"/>
          <w:spacing w:val="-5"/>
        </w:rPr>
        <w:t> </w:t>
      </w:r>
      <w:r>
        <w:rPr>
          <w:color w:val="231F20"/>
        </w:rPr>
        <w:t>través</w:t>
      </w:r>
      <w:r>
        <w:rPr>
          <w:color w:val="231F20"/>
          <w:spacing w:val="-6"/>
        </w:rPr>
        <w:t> </w:t>
      </w:r>
      <w:r>
        <w:rPr>
          <w:color w:val="231F20"/>
        </w:rPr>
        <w:t>de</w:t>
      </w:r>
      <w:r>
        <w:rPr>
          <w:color w:val="231F20"/>
          <w:spacing w:val="-5"/>
        </w:rPr>
        <w:t> </w:t>
      </w:r>
      <w:r>
        <w:rPr>
          <w:color w:val="231F20"/>
        </w:rPr>
        <w:t>su</w:t>
      </w:r>
      <w:r>
        <w:rPr>
          <w:color w:val="231F20"/>
          <w:spacing w:val="-5"/>
        </w:rPr>
        <w:t> </w:t>
      </w:r>
      <w:r>
        <w:rPr>
          <w:color w:val="231F20"/>
        </w:rPr>
        <w:t>canciller</w:t>
      </w:r>
      <w:r>
        <w:rPr>
          <w:color w:val="231F20"/>
          <w:spacing w:val="-6"/>
        </w:rPr>
        <w:t> </w:t>
      </w:r>
      <w:r>
        <w:rPr>
          <w:color w:val="231F20"/>
        </w:rPr>
        <w:t>Jorge Castañeda, operó una política migratoria activa proponiendo el reconoci- miento de derechos negados en otros tiempos a los mexicanos inmigrados en Estados Unidos. A partir de 2001, México y Estados Unidos habían decidido</w:t>
      </w:r>
      <w:r>
        <w:rPr>
          <w:color w:val="231F20"/>
          <w:spacing w:val="-11"/>
        </w:rPr>
        <w:t> </w:t>
      </w:r>
      <w:r>
        <w:rPr>
          <w:color w:val="231F20"/>
        </w:rPr>
        <w:t>negociar</w:t>
      </w:r>
      <w:r>
        <w:rPr>
          <w:color w:val="231F20"/>
          <w:spacing w:val="-11"/>
        </w:rPr>
        <w:t> </w:t>
      </w:r>
      <w:r>
        <w:rPr>
          <w:color w:val="231F20"/>
        </w:rPr>
        <w:t>la</w:t>
      </w:r>
      <w:r>
        <w:rPr>
          <w:color w:val="231F20"/>
          <w:spacing w:val="-11"/>
        </w:rPr>
        <w:t> </w:t>
      </w:r>
      <w:r>
        <w:rPr>
          <w:color w:val="231F20"/>
        </w:rPr>
        <w:t>propuesta</w:t>
      </w:r>
      <w:r>
        <w:rPr>
          <w:color w:val="231F20"/>
          <w:spacing w:val="-11"/>
        </w:rPr>
        <w:t> </w:t>
      </w:r>
      <w:r>
        <w:rPr>
          <w:color w:val="231F20"/>
        </w:rPr>
        <w:t>de</w:t>
      </w:r>
      <w:r>
        <w:rPr>
          <w:color w:val="231F20"/>
          <w:spacing w:val="-11"/>
        </w:rPr>
        <w:t> </w:t>
      </w:r>
      <w:r>
        <w:rPr>
          <w:color w:val="231F20"/>
        </w:rPr>
        <w:t>México</w:t>
      </w:r>
      <w:r>
        <w:rPr>
          <w:color w:val="231F20"/>
          <w:spacing w:val="-11"/>
        </w:rPr>
        <w:t> </w:t>
      </w:r>
      <w:r>
        <w:rPr>
          <w:color w:val="231F20"/>
        </w:rPr>
        <w:t>a</w:t>
      </w:r>
      <w:r>
        <w:rPr>
          <w:color w:val="231F20"/>
          <w:spacing w:val="-11"/>
        </w:rPr>
        <w:t> </w:t>
      </w:r>
      <w:r>
        <w:rPr>
          <w:color w:val="231F20"/>
        </w:rPr>
        <w:t>favor</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acuerdo</w:t>
      </w:r>
      <w:r>
        <w:rPr>
          <w:color w:val="231F20"/>
          <w:spacing w:val="-12"/>
        </w:rPr>
        <w:t> </w:t>
      </w:r>
      <w:r>
        <w:rPr>
          <w:color w:val="231F20"/>
        </w:rPr>
        <w:t>migratorio global, que incluyera la regularización de los migrantes indocumentados que en ese entonces se encontraban en Estados Unidos (Délano, 2007). Se trataba de afinar mecanismos e instrumentos para resolver aspectos pun- tuales</w:t>
      </w:r>
      <w:r>
        <w:rPr>
          <w:color w:val="231F20"/>
          <w:spacing w:val="-10"/>
        </w:rPr>
        <w:t> </w:t>
      </w:r>
      <w:r>
        <w:rPr>
          <w:color w:val="231F20"/>
        </w:rPr>
        <w:t>como</w:t>
      </w:r>
      <w:r>
        <w:rPr>
          <w:color w:val="231F20"/>
          <w:spacing w:val="-10"/>
        </w:rPr>
        <w:t> </w:t>
      </w:r>
      <w:r>
        <w:rPr>
          <w:color w:val="231F20"/>
        </w:rPr>
        <w:t>ampliación</w:t>
      </w:r>
      <w:r>
        <w:rPr>
          <w:color w:val="231F20"/>
          <w:spacing w:val="-11"/>
        </w:rPr>
        <w:t> </w:t>
      </w:r>
      <w:r>
        <w:rPr>
          <w:color w:val="231F20"/>
        </w:rPr>
        <w:t>de</w:t>
      </w:r>
      <w:r>
        <w:rPr>
          <w:color w:val="231F20"/>
          <w:spacing w:val="-10"/>
        </w:rPr>
        <w:t> </w:t>
      </w:r>
      <w:r>
        <w:rPr>
          <w:color w:val="231F20"/>
        </w:rPr>
        <w:t>número</w:t>
      </w:r>
      <w:r>
        <w:rPr>
          <w:color w:val="231F20"/>
          <w:spacing w:val="-10"/>
        </w:rPr>
        <w:t> </w:t>
      </w:r>
      <w:r>
        <w:rPr>
          <w:color w:val="231F20"/>
        </w:rPr>
        <w:t>de</w:t>
      </w:r>
      <w:r>
        <w:rPr>
          <w:color w:val="231F20"/>
          <w:spacing w:val="-10"/>
        </w:rPr>
        <w:t> </w:t>
      </w:r>
      <w:r>
        <w:rPr>
          <w:color w:val="231F20"/>
        </w:rPr>
        <w:t>visas</w:t>
      </w:r>
      <w:r>
        <w:rPr>
          <w:color w:val="231F20"/>
          <w:spacing w:val="-10"/>
        </w:rPr>
        <w:t> </w:t>
      </w:r>
      <w:r>
        <w:rPr>
          <w:color w:val="231F20"/>
        </w:rPr>
        <w:t>de</w:t>
      </w:r>
      <w:r>
        <w:rPr>
          <w:color w:val="231F20"/>
          <w:spacing w:val="-10"/>
        </w:rPr>
        <w:t> </w:t>
      </w:r>
      <w:r>
        <w:rPr>
          <w:color w:val="231F20"/>
        </w:rPr>
        <w:t>empleo</w:t>
      </w:r>
      <w:r>
        <w:rPr>
          <w:color w:val="231F20"/>
          <w:spacing w:val="-10"/>
        </w:rPr>
        <w:t> </w:t>
      </w:r>
      <w:r>
        <w:rPr>
          <w:color w:val="231F20"/>
        </w:rPr>
        <w:t>temporal,</w:t>
      </w:r>
      <w:r>
        <w:rPr>
          <w:color w:val="231F20"/>
          <w:spacing w:val="-10"/>
        </w:rPr>
        <w:t> </w:t>
      </w:r>
      <w:r>
        <w:rPr>
          <w:color w:val="231F20"/>
        </w:rPr>
        <w:t>seguridad y control de flujos en la zona fronteriza,</w:t>
      </w:r>
      <w:r>
        <w:rPr>
          <w:color w:val="231F20"/>
          <w:spacing w:val="-12"/>
        </w:rPr>
        <w:t> </w:t>
      </w:r>
      <w:r>
        <w:rPr>
          <w:color w:val="231F20"/>
        </w:rPr>
        <w:t>etc.</w:t>
      </w:r>
    </w:p>
    <w:p>
      <w:pPr>
        <w:pStyle w:val="BodyText"/>
        <w:spacing w:line="247" w:lineRule="auto"/>
        <w:ind w:left="117" w:right="114" w:firstLine="283"/>
        <w:jc w:val="both"/>
      </w:pPr>
      <w:r>
        <w:rPr>
          <w:color w:val="231F20"/>
        </w:rPr>
        <w:t>Sin embargo, los acontecimientos del </w:t>
      </w:r>
      <w:r>
        <w:rPr>
          <w:color w:val="231F20"/>
          <w:spacing w:val="-5"/>
        </w:rPr>
        <w:t>11 </w:t>
      </w:r>
      <w:r>
        <w:rPr>
          <w:color w:val="231F20"/>
        </w:rPr>
        <w:t>de septiembre cancelaron las incipientes medidas impulsadas por el gobierno mexicano. En tal sentido, se mantiene vigente la propuesta de reforma migratoria que propugnan</w:t>
      </w:r>
      <w:r>
        <w:rPr>
          <w:color w:val="231F20"/>
          <w:spacing w:val="-23"/>
        </w:rPr>
        <w:t> </w:t>
      </w:r>
      <w:r>
        <w:rPr>
          <w:color w:val="231F20"/>
        </w:rPr>
        <w:t>los mexicanos</w:t>
      </w:r>
      <w:r>
        <w:rPr>
          <w:color w:val="231F20"/>
          <w:spacing w:val="-9"/>
        </w:rPr>
        <w:t> </w:t>
      </w:r>
      <w:r>
        <w:rPr>
          <w:color w:val="231F20"/>
        </w:rPr>
        <w:t>radicados</w:t>
      </w:r>
      <w:r>
        <w:rPr>
          <w:color w:val="231F20"/>
          <w:spacing w:val="-8"/>
        </w:rPr>
        <w:t> </w:t>
      </w:r>
      <w:r>
        <w:rPr>
          <w:color w:val="231F20"/>
        </w:rPr>
        <w:t>en</w:t>
      </w:r>
      <w:r>
        <w:rPr>
          <w:color w:val="231F20"/>
          <w:spacing w:val="-8"/>
        </w:rPr>
        <w:t> </w:t>
      </w:r>
      <w:r>
        <w:rPr>
          <w:color w:val="231F20"/>
        </w:rPr>
        <w:t>Estados</w:t>
      </w:r>
      <w:r>
        <w:rPr>
          <w:color w:val="231F20"/>
          <w:spacing w:val="-8"/>
        </w:rPr>
        <w:t> </w:t>
      </w:r>
      <w:r>
        <w:rPr>
          <w:color w:val="231F20"/>
        </w:rPr>
        <w:t>Unidos.</w:t>
      </w:r>
      <w:r>
        <w:rPr>
          <w:color w:val="231F20"/>
          <w:spacing w:val="-8"/>
        </w:rPr>
        <w:t> </w:t>
      </w:r>
      <w:r>
        <w:rPr>
          <w:color w:val="231F20"/>
        </w:rPr>
        <w:t>Con</w:t>
      </w:r>
      <w:r>
        <w:rPr>
          <w:color w:val="231F20"/>
          <w:spacing w:val="-8"/>
        </w:rPr>
        <w:t> </w:t>
      </w:r>
      <w:r>
        <w:rPr>
          <w:color w:val="231F20"/>
        </w:rPr>
        <w:t>dicha</w:t>
      </w:r>
      <w:r>
        <w:rPr>
          <w:color w:val="231F20"/>
          <w:spacing w:val="-8"/>
        </w:rPr>
        <w:t> </w:t>
      </w:r>
      <w:r>
        <w:rPr>
          <w:color w:val="231F20"/>
        </w:rPr>
        <w:t>reforma,</w:t>
      </w:r>
      <w:r>
        <w:rPr>
          <w:color w:val="231F20"/>
          <w:spacing w:val="-8"/>
        </w:rPr>
        <w:t> </w:t>
      </w:r>
      <w:r>
        <w:rPr>
          <w:color w:val="231F20"/>
        </w:rPr>
        <w:t>los</w:t>
      </w:r>
      <w:r>
        <w:rPr>
          <w:color w:val="231F20"/>
          <w:spacing w:val="-8"/>
        </w:rPr>
        <w:t> </w:t>
      </w:r>
      <w:r>
        <w:rPr>
          <w:color w:val="231F20"/>
        </w:rPr>
        <w:t>migrantes consideran se daría un paso importante en el reconocimiento de derechos laborales y políticos y se ampliarían las condiciones para la seguridad de los connacionales en su internamiento así como en su estadía en territorio estadounidense.</w:t>
      </w:r>
    </w:p>
    <w:p>
      <w:pPr>
        <w:pStyle w:val="BodyText"/>
        <w:spacing w:line="247" w:lineRule="auto"/>
        <w:ind w:left="117" w:right="114" w:firstLine="283"/>
        <w:jc w:val="both"/>
      </w:pPr>
      <w:r>
        <w:rPr>
          <w:color w:val="231F20"/>
        </w:rPr>
        <w:t>Desde la perspectiva de México, para que la migración sea prioridad nacional se requiere precisar y ampliar objetivos de política pública con claro sentido de responsabilidad en diversos niveles. Se necesitan refor- mas legales y administrativas que garanticen apoyos puntuales a los gru- pos y comunidades de migrantes; dichas reformas se deben complementar con los instrumentos y acciones vigentes en materia migratoria a través del reforzamiento de actividades de apoyo a indocumentados, como la desempeñada por instancias claves como el grupo Beta en la zona fronte- riza,</w:t>
      </w:r>
      <w:r>
        <w:rPr>
          <w:color w:val="231F20"/>
          <w:spacing w:val="-6"/>
        </w:rPr>
        <w:t> </w:t>
      </w:r>
      <w:r>
        <w:rPr>
          <w:color w:val="231F20"/>
        </w:rPr>
        <w:t>o</w:t>
      </w:r>
      <w:r>
        <w:rPr>
          <w:color w:val="231F20"/>
          <w:spacing w:val="-6"/>
        </w:rPr>
        <w:t> </w:t>
      </w:r>
      <w:r>
        <w:rPr>
          <w:color w:val="231F20"/>
        </w:rPr>
        <w:t>eficientar</w:t>
      </w:r>
      <w:r>
        <w:rPr>
          <w:color w:val="231F20"/>
          <w:spacing w:val="-6"/>
        </w:rPr>
        <w:t> </w:t>
      </w:r>
      <w:r>
        <w:rPr>
          <w:color w:val="231F20"/>
        </w:rPr>
        <w:t>labores</w:t>
      </w:r>
      <w:r>
        <w:rPr>
          <w:color w:val="231F20"/>
          <w:spacing w:val="-6"/>
        </w:rPr>
        <w:t> </w:t>
      </w:r>
      <w:r>
        <w:rPr>
          <w:color w:val="231F20"/>
        </w:rPr>
        <w:t>realizadas</w:t>
      </w:r>
      <w:r>
        <w:rPr>
          <w:color w:val="231F20"/>
          <w:spacing w:val="-6"/>
        </w:rPr>
        <w:t> </w:t>
      </w:r>
      <w:r>
        <w:rPr>
          <w:color w:val="231F20"/>
        </w:rPr>
        <w:t>por</w:t>
      </w:r>
      <w:r>
        <w:rPr>
          <w:color w:val="231F20"/>
          <w:spacing w:val="-6"/>
        </w:rPr>
        <w:t> </w:t>
      </w:r>
      <w:r>
        <w:rPr>
          <w:color w:val="231F20"/>
        </w:rPr>
        <w:t>oficinas</w:t>
      </w:r>
      <w:r>
        <w:rPr>
          <w:color w:val="231F20"/>
          <w:spacing w:val="-6"/>
        </w:rPr>
        <w:t> </w:t>
      </w:r>
      <w:r>
        <w:rPr>
          <w:color w:val="231F20"/>
        </w:rPr>
        <w:t>de</w:t>
      </w:r>
      <w:r>
        <w:rPr>
          <w:color w:val="231F20"/>
          <w:spacing w:val="-6"/>
        </w:rPr>
        <w:t> </w:t>
      </w:r>
      <w:r>
        <w:rPr>
          <w:color w:val="231F20"/>
        </w:rPr>
        <w:t>atención</w:t>
      </w:r>
      <w:r>
        <w:rPr>
          <w:color w:val="231F20"/>
          <w:spacing w:val="-6"/>
        </w:rPr>
        <w:t> </w:t>
      </w:r>
      <w:r>
        <w:rPr>
          <w:color w:val="231F20"/>
        </w:rPr>
        <w:t>como</w:t>
      </w:r>
      <w:r>
        <w:rPr>
          <w:color w:val="231F20"/>
          <w:spacing w:val="-6"/>
        </w:rPr>
        <w:t> </w:t>
      </w:r>
      <w:r>
        <w:rPr>
          <w:color w:val="231F20"/>
        </w:rPr>
        <w:t>consula- dos, casa del migrante,</w:t>
      </w:r>
      <w:r>
        <w:rPr>
          <w:color w:val="231F20"/>
          <w:spacing w:val="-3"/>
        </w:rPr>
        <w:t> </w:t>
      </w:r>
      <w:r>
        <w:rPr>
          <w:color w:val="231F20"/>
        </w:rPr>
        <w:t>etc.</w:t>
      </w:r>
    </w:p>
    <w:p>
      <w:pPr>
        <w:pStyle w:val="BodyText"/>
        <w:spacing w:line="247" w:lineRule="auto"/>
        <w:ind w:left="117" w:right="114" w:firstLine="283"/>
        <w:jc w:val="both"/>
      </w:pPr>
      <w:r>
        <w:rPr>
          <w:color w:val="231F20"/>
        </w:rPr>
        <w:t>En este marco, la política pública está obligada a lanzar iniciativas to- mando en cuenta las inquietudes y expectativas de los grupos de migran- tes, particularmente de aquéllos que han demostrado compromisos claros de trabajo para mejorar las condiciones de trabajo de los inmigrados, así como en la atención prestada a las comunidades de origen tras el  impulso</w:t>
      </w:r>
    </w:p>
    <w:p>
      <w:pPr>
        <w:spacing w:after="0" w:line="247" w:lineRule="auto"/>
        <w:jc w:val="both"/>
        <w:sectPr>
          <w:pgSz w:w="9360" w:h="13040"/>
          <w:pgMar w:header="0" w:footer="496" w:top="800" w:bottom="680" w:left="1300" w:right="1300"/>
        </w:sectPr>
      </w:pPr>
    </w:p>
    <w:p>
      <w:pPr>
        <w:spacing w:before="45"/>
        <w:ind w:left="117" w:right="0" w:firstLine="89"/>
        <w:jc w:val="both"/>
        <w:rPr>
          <w:rFonts w:ascii="Arial" w:hAnsi="Arial"/>
          <w:sz w:val="20"/>
        </w:rPr>
      </w:pPr>
      <w:r>
        <w:rPr>
          <w:rFonts w:ascii="Arial" w:hAnsi="Arial"/>
          <w:color w:val="231F20"/>
          <w:w w:val="70"/>
          <w:sz w:val="20"/>
        </w:rPr>
        <w:t>Redes    migratorias y políticas públicas de la migración internacional guerrerense /Artemio López-Ríos</w:t>
      </w:r>
    </w:p>
    <w:p>
      <w:pPr>
        <w:pStyle w:val="BodyText"/>
        <w:spacing w:before="7"/>
        <w:rPr>
          <w:rFonts w:ascii="Arial"/>
          <w:sz w:val="28"/>
        </w:rPr>
      </w:pPr>
    </w:p>
    <w:p>
      <w:pPr>
        <w:pStyle w:val="BodyText"/>
        <w:spacing w:line="247" w:lineRule="auto"/>
        <w:ind w:left="117" w:right="115"/>
        <w:jc w:val="both"/>
      </w:pPr>
      <w:r>
        <w:rPr>
          <w:color w:val="231F20"/>
        </w:rPr>
        <w:t>de programas sociales de cierta relevancia como el Programa 3x1, que ha resultado un esfuerzo importante desde la lógica de la política pública fe- deral,</w:t>
      </w:r>
      <w:r>
        <w:rPr>
          <w:color w:val="231F20"/>
          <w:spacing w:val="-8"/>
        </w:rPr>
        <w:t> </w:t>
      </w:r>
      <w:r>
        <w:rPr>
          <w:color w:val="231F20"/>
        </w:rPr>
        <w:t>estatal</w:t>
      </w:r>
      <w:r>
        <w:rPr>
          <w:color w:val="231F20"/>
          <w:spacing w:val="-8"/>
        </w:rPr>
        <w:t> </w:t>
      </w:r>
      <w:r>
        <w:rPr>
          <w:color w:val="231F20"/>
        </w:rPr>
        <w:t>y</w:t>
      </w:r>
      <w:r>
        <w:rPr>
          <w:color w:val="231F20"/>
          <w:spacing w:val="-8"/>
        </w:rPr>
        <w:t> </w:t>
      </w:r>
      <w:r>
        <w:rPr>
          <w:color w:val="231F20"/>
        </w:rPr>
        <w:t>municipal,</w:t>
      </w:r>
      <w:r>
        <w:rPr>
          <w:color w:val="231F20"/>
          <w:spacing w:val="-9"/>
        </w:rPr>
        <w:t> </w:t>
      </w:r>
      <w:r>
        <w:rPr>
          <w:color w:val="231F20"/>
        </w:rPr>
        <w:t>pero</w:t>
      </w:r>
      <w:r>
        <w:rPr>
          <w:color w:val="231F20"/>
          <w:spacing w:val="-8"/>
        </w:rPr>
        <w:t> </w:t>
      </w:r>
      <w:r>
        <w:rPr>
          <w:color w:val="231F20"/>
        </w:rPr>
        <w:t>también</w:t>
      </w:r>
      <w:r>
        <w:rPr>
          <w:color w:val="231F20"/>
          <w:spacing w:val="-8"/>
        </w:rPr>
        <w:t> </w:t>
      </w:r>
      <w:r>
        <w:rPr>
          <w:color w:val="231F20"/>
        </w:rPr>
        <w:t>desde</w:t>
      </w:r>
      <w:r>
        <w:rPr>
          <w:color w:val="231F20"/>
          <w:spacing w:val="-8"/>
        </w:rPr>
        <w:t> </w:t>
      </w:r>
      <w:r>
        <w:rPr>
          <w:color w:val="231F20"/>
        </w:rPr>
        <w:t>la</w:t>
      </w:r>
      <w:r>
        <w:rPr>
          <w:color w:val="231F20"/>
          <w:spacing w:val="-8"/>
        </w:rPr>
        <w:t> </w:t>
      </w:r>
      <w:r>
        <w:rPr>
          <w:color w:val="231F20"/>
        </w:rPr>
        <w:t>lógica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oriundos</w:t>
      </w:r>
      <w:r>
        <w:rPr>
          <w:color w:val="231F20"/>
          <w:spacing w:val="-8"/>
        </w:rPr>
        <w:t> </w:t>
      </w:r>
      <w:r>
        <w:rPr>
          <w:color w:val="231F20"/>
        </w:rPr>
        <w:t>que ven en el 3x1 la oportunidad de contribuir en la gestoría de obra social de significativo</w:t>
      </w:r>
      <w:r>
        <w:rPr>
          <w:color w:val="231F20"/>
          <w:spacing w:val="-12"/>
        </w:rPr>
        <w:t> </w:t>
      </w:r>
      <w:r>
        <w:rPr>
          <w:color w:val="231F20"/>
        </w:rPr>
        <w:t>impacto.</w:t>
      </w:r>
    </w:p>
    <w:p>
      <w:pPr>
        <w:pStyle w:val="BodyText"/>
        <w:spacing w:line="247" w:lineRule="auto"/>
        <w:ind w:left="117" w:right="114" w:firstLine="283"/>
        <w:jc w:val="both"/>
      </w:pPr>
      <w:r>
        <w:rPr>
          <w:color w:val="231F20"/>
        </w:rPr>
        <w:t>En</w:t>
      </w:r>
      <w:r>
        <w:rPr>
          <w:color w:val="231F20"/>
          <w:spacing w:val="-4"/>
        </w:rPr>
        <w:t> </w:t>
      </w:r>
      <w:r>
        <w:rPr>
          <w:color w:val="231F20"/>
        </w:rPr>
        <w:t>el</w:t>
      </w:r>
      <w:r>
        <w:rPr>
          <w:color w:val="231F20"/>
          <w:spacing w:val="-4"/>
        </w:rPr>
        <w:t> </w:t>
      </w:r>
      <w:r>
        <w:rPr>
          <w:color w:val="231F20"/>
        </w:rPr>
        <w:t>estado</w:t>
      </w:r>
      <w:r>
        <w:rPr>
          <w:color w:val="231F20"/>
          <w:spacing w:val="-4"/>
        </w:rPr>
        <w:t> </w:t>
      </w:r>
      <w:r>
        <w:rPr>
          <w:color w:val="231F20"/>
        </w:rPr>
        <w:t>de</w:t>
      </w:r>
      <w:r>
        <w:rPr>
          <w:color w:val="231F20"/>
          <w:spacing w:val="-4"/>
        </w:rPr>
        <w:t> </w:t>
      </w:r>
      <w:r>
        <w:rPr>
          <w:color w:val="231F20"/>
        </w:rPr>
        <w:t>Guerrero,</w:t>
      </w:r>
      <w:r>
        <w:rPr>
          <w:color w:val="231F20"/>
          <w:spacing w:val="-3"/>
        </w:rPr>
        <w:t> </w:t>
      </w:r>
      <w:r>
        <w:rPr>
          <w:color w:val="231F20"/>
        </w:rPr>
        <w:t>la</w:t>
      </w:r>
      <w:r>
        <w:rPr>
          <w:color w:val="231F20"/>
          <w:spacing w:val="-4"/>
        </w:rPr>
        <w:t> </w:t>
      </w:r>
      <w:r>
        <w:rPr>
          <w:color w:val="231F20"/>
        </w:rPr>
        <w:t>política</w:t>
      </w:r>
      <w:r>
        <w:rPr>
          <w:color w:val="231F20"/>
          <w:spacing w:val="-4"/>
        </w:rPr>
        <w:t> </w:t>
      </w:r>
      <w:r>
        <w:rPr>
          <w:color w:val="231F20"/>
        </w:rPr>
        <w:t>pública</w:t>
      </w:r>
      <w:r>
        <w:rPr>
          <w:color w:val="231F20"/>
          <w:spacing w:val="-4"/>
        </w:rPr>
        <w:t> </w:t>
      </w:r>
      <w:r>
        <w:rPr>
          <w:color w:val="231F20"/>
        </w:rPr>
        <w:t>se</w:t>
      </w:r>
      <w:r>
        <w:rPr>
          <w:color w:val="231F20"/>
          <w:spacing w:val="-4"/>
        </w:rPr>
        <w:t> </w:t>
      </w:r>
      <w:r>
        <w:rPr>
          <w:color w:val="231F20"/>
        </w:rPr>
        <w:t>ha</w:t>
      </w:r>
      <w:r>
        <w:rPr>
          <w:color w:val="231F20"/>
          <w:spacing w:val="-4"/>
        </w:rPr>
        <w:t> </w:t>
      </w:r>
      <w:r>
        <w:rPr>
          <w:color w:val="231F20"/>
        </w:rPr>
        <w:t>constreñido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con- certación de iniciativas como el programa 3x1, con particular influencia en la zona norte del estado y al despliegue de medidas de apoyo de menor impacto hacia actividades cotidianas de los migrantes en el exterior, así como de sus familias en cada uno de los lugares de origen. La atención se circunscribe a canalizar apoyos para el traslado de paisanos por defuncio- nes,</w:t>
      </w:r>
      <w:r>
        <w:rPr>
          <w:color w:val="231F20"/>
          <w:spacing w:val="-11"/>
        </w:rPr>
        <w:t> </w:t>
      </w:r>
      <w:r>
        <w:rPr>
          <w:color w:val="231F20"/>
        </w:rPr>
        <w:t>envío</w:t>
      </w:r>
      <w:r>
        <w:rPr>
          <w:color w:val="231F20"/>
          <w:spacing w:val="-11"/>
        </w:rPr>
        <w:t> </w:t>
      </w:r>
      <w:r>
        <w:rPr>
          <w:color w:val="231F20"/>
        </w:rPr>
        <w:t>de</w:t>
      </w:r>
      <w:r>
        <w:rPr>
          <w:color w:val="231F20"/>
          <w:spacing w:val="-11"/>
        </w:rPr>
        <w:t> </w:t>
      </w:r>
      <w:r>
        <w:rPr>
          <w:color w:val="231F20"/>
        </w:rPr>
        <w:t>documentos</w:t>
      </w:r>
      <w:r>
        <w:rPr>
          <w:color w:val="231F20"/>
          <w:spacing w:val="-11"/>
        </w:rPr>
        <w:t> </w:t>
      </w:r>
      <w:r>
        <w:rPr>
          <w:color w:val="231F20"/>
        </w:rPr>
        <w:t>personales,</w:t>
      </w:r>
      <w:r>
        <w:rPr>
          <w:color w:val="231F20"/>
          <w:spacing w:val="-11"/>
        </w:rPr>
        <w:t> </w:t>
      </w:r>
      <w:r>
        <w:rPr>
          <w:color w:val="231F20"/>
        </w:rPr>
        <w:t>información</w:t>
      </w:r>
      <w:r>
        <w:rPr>
          <w:color w:val="231F20"/>
          <w:spacing w:val="-12"/>
        </w:rPr>
        <w:t> </w:t>
      </w:r>
      <w:r>
        <w:rPr>
          <w:color w:val="231F20"/>
        </w:rPr>
        <w:t>para</w:t>
      </w:r>
      <w:r>
        <w:rPr>
          <w:color w:val="231F20"/>
          <w:spacing w:val="-11"/>
        </w:rPr>
        <w:t> </w:t>
      </w:r>
      <w:r>
        <w:rPr>
          <w:color w:val="231F20"/>
        </w:rPr>
        <w:t>realizar</w:t>
      </w:r>
      <w:r>
        <w:rPr>
          <w:color w:val="231F20"/>
          <w:spacing w:val="-11"/>
        </w:rPr>
        <w:t> </w:t>
      </w:r>
      <w:r>
        <w:rPr>
          <w:color w:val="231F20"/>
        </w:rPr>
        <w:t>trámites</w:t>
      </w:r>
      <w:r>
        <w:rPr>
          <w:color w:val="231F20"/>
          <w:spacing w:val="-12"/>
        </w:rPr>
        <w:t> </w:t>
      </w:r>
      <w:r>
        <w:rPr>
          <w:color w:val="231F20"/>
        </w:rPr>
        <w:t>de menor importancia,</w:t>
      </w:r>
      <w:r>
        <w:rPr>
          <w:color w:val="231F20"/>
          <w:spacing w:val="-2"/>
        </w:rPr>
        <w:t> </w:t>
      </w:r>
      <w:r>
        <w:rPr>
          <w:color w:val="231F20"/>
        </w:rPr>
        <w:t>etc.</w:t>
      </w:r>
    </w:p>
    <w:p>
      <w:pPr>
        <w:pStyle w:val="BodyText"/>
        <w:spacing w:line="247" w:lineRule="auto"/>
        <w:ind w:left="117" w:right="114" w:firstLine="283"/>
        <w:jc w:val="both"/>
      </w:pPr>
      <w:r>
        <w:rPr>
          <w:color w:val="231F20"/>
        </w:rPr>
        <w:t>Tal como se ve, la política pública de atención a migrantes impulsada por el gobierno de Guerrero es deficitaria en varios aspectos. Para con- cretar una política de mayor alcance se requiere la concertación entre la entidad gubernamental, los grupos de migrantes y los estudiosos del fe- nómeno, con objeto de plasmar una estrategia comprometida al cumpli- miento de objetivos y metas que, a su vez, sirvan de ejes articuladores de la problemática bajo estudio.</w:t>
      </w:r>
    </w:p>
    <w:p>
      <w:pPr>
        <w:pStyle w:val="BodyText"/>
        <w:spacing w:line="247" w:lineRule="auto"/>
        <w:ind w:left="117" w:right="114" w:firstLine="283"/>
        <w:jc w:val="both"/>
      </w:pPr>
      <w:r>
        <w:rPr>
          <w:color w:val="231F20"/>
        </w:rPr>
        <w:t>En principio, es necesario tener los referentes básicos para construir una</w:t>
      </w:r>
      <w:r>
        <w:rPr>
          <w:color w:val="231F20"/>
          <w:spacing w:val="-9"/>
        </w:rPr>
        <w:t> </w:t>
      </w:r>
      <w:r>
        <w:rPr>
          <w:color w:val="231F20"/>
        </w:rPr>
        <w:t>instancia</w:t>
      </w:r>
      <w:r>
        <w:rPr>
          <w:color w:val="231F20"/>
          <w:spacing w:val="-9"/>
        </w:rPr>
        <w:t> </w:t>
      </w:r>
      <w:r>
        <w:rPr>
          <w:color w:val="231F20"/>
        </w:rPr>
        <w:t>de</w:t>
      </w:r>
      <w:r>
        <w:rPr>
          <w:color w:val="231F20"/>
          <w:spacing w:val="-9"/>
        </w:rPr>
        <w:t> </w:t>
      </w:r>
      <w:r>
        <w:rPr>
          <w:color w:val="231F20"/>
        </w:rPr>
        <w:t>vínculos</w:t>
      </w:r>
      <w:r>
        <w:rPr>
          <w:color w:val="231F20"/>
          <w:spacing w:val="-9"/>
        </w:rPr>
        <w:t> </w:t>
      </w:r>
      <w:r>
        <w:rPr>
          <w:color w:val="231F20"/>
        </w:rPr>
        <w:t>y</w:t>
      </w:r>
      <w:r>
        <w:rPr>
          <w:color w:val="231F20"/>
          <w:spacing w:val="-9"/>
        </w:rPr>
        <w:t> </w:t>
      </w:r>
      <w:r>
        <w:rPr>
          <w:color w:val="231F20"/>
        </w:rPr>
        <w:t>apoyo</w:t>
      </w:r>
      <w:r>
        <w:rPr>
          <w:color w:val="231F20"/>
          <w:spacing w:val="-9"/>
        </w:rPr>
        <w:t> </w:t>
      </w:r>
      <w:r>
        <w:rPr>
          <w:color w:val="231F20"/>
        </w:rPr>
        <w:t>efectivo</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migrantes.</w:t>
      </w:r>
      <w:r>
        <w:rPr>
          <w:color w:val="231F20"/>
          <w:spacing w:val="-9"/>
        </w:rPr>
        <w:t> </w:t>
      </w:r>
      <w:r>
        <w:rPr>
          <w:color w:val="231F20"/>
        </w:rPr>
        <w:t>Dicha</w:t>
      </w:r>
      <w:r>
        <w:rPr>
          <w:color w:val="231F20"/>
          <w:spacing w:val="-8"/>
        </w:rPr>
        <w:t> </w:t>
      </w:r>
      <w:r>
        <w:rPr>
          <w:color w:val="231F20"/>
        </w:rPr>
        <w:t>instancia tendrá por responsabilidad generar un marco legal, político y administra- tivo que favorezca potenciar las iniciativas y propuestas hechas por los diferentes sectores involucrados en el tema de la migración. Desde dicho organismo se tendrá que concertar, con los actores de mayor responsabi- lidad y trascendencia, para proponer mecanismos y estrategias que asegu- ren la visibilidad de los migrantes en los diversos tópicos de la dinámica económica y social del estado de Guerrero, igual que en sus respectivas comunidades de</w:t>
      </w:r>
      <w:r>
        <w:rPr>
          <w:color w:val="231F20"/>
          <w:spacing w:val="-1"/>
        </w:rPr>
        <w:t> </w:t>
      </w:r>
      <w:r>
        <w:rPr>
          <w:color w:val="231F20"/>
        </w:rPr>
        <w:t>inmigración.</w:t>
      </w:r>
    </w:p>
    <w:p>
      <w:pPr>
        <w:pStyle w:val="Heading3"/>
      </w:pPr>
      <w:r>
        <w:rPr>
          <w:color w:val="231F20"/>
        </w:rPr>
        <w:t>La atención a migrantes en el estado de Guerrero</w:t>
      </w:r>
    </w:p>
    <w:p>
      <w:pPr>
        <w:pStyle w:val="BodyText"/>
        <w:spacing w:line="247" w:lineRule="auto" w:before="172"/>
        <w:ind w:left="117" w:right="114"/>
        <w:jc w:val="both"/>
      </w:pPr>
      <w:r>
        <w:rPr>
          <w:color w:val="231F20"/>
        </w:rPr>
        <w:t>La política pública en Guerrero y en México debe asumir un rol definido referente a la construcción de espacios de interacción entre comunidades de migrantes y aquéllas entidades obligadas a dar atención a las</w:t>
      </w:r>
      <w:r>
        <w:rPr>
          <w:color w:val="231F20"/>
          <w:spacing w:val="-22"/>
        </w:rPr>
        <w:t> </w:t>
      </w:r>
      <w:r>
        <w:rPr>
          <w:color w:val="231F20"/>
        </w:rPr>
        <w:t>demandas y necesidades de la población que se desplaza hacia Estados Unidos. De acuerdo</w:t>
      </w:r>
      <w:r>
        <w:rPr>
          <w:color w:val="231F20"/>
          <w:spacing w:val="-7"/>
        </w:rPr>
        <w:t> </w:t>
      </w:r>
      <w:r>
        <w:rPr>
          <w:color w:val="231F20"/>
        </w:rPr>
        <w:t>con</w:t>
      </w:r>
      <w:r>
        <w:rPr>
          <w:color w:val="231F20"/>
          <w:spacing w:val="-11"/>
        </w:rPr>
        <w:t> </w:t>
      </w:r>
      <w:r>
        <w:rPr>
          <w:color w:val="231F20"/>
          <w:spacing w:val="-8"/>
        </w:rPr>
        <w:t>Vono</w:t>
      </w:r>
      <w:r>
        <w:rPr>
          <w:color w:val="231F20"/>
          <w:spacing w:val="-7"/>
        </w:rPr>
        <w:t> </w:t>
      </w:r>
      <w:r>
        <w:rPr>
          <w:color w:val="231F20"/>
        </w:rPr>
        <w:t>de</w:t>
      </w:r>
      <w:r>
        <w:rPr>
          <w:color w:val="231F20"/>
          <w:spacing w:val="-11"/>
        </w:rPr>
        <w:t> </w:t>
      </w:r>
      <w:r>
        <w:rPr>
          <w:color w:val="231F20"/>
        </w:rPr>
        <w:t>Vilhena</w:t>
      </w:r>
      <w:r>
        <w:rPr>
          <w:color w:val="231F20"/>
          <w:spacing w:val="-7"/>
        </w:rPr>
        <w:t> </w:t>
      </w:r>
      <w:r>
        <w:rPr>
          <w:color w:val="231F20"/>
        </w:rPr>
        <w:t>(2006:</w:t>
      </w:r>
      <w:r>
        <w:rPr>
          <w:color w:val="231F20"/>
          <w:spacing w:val="-7"/>
        </w:rPr>
        <w:t> </w:t>
      </w:r>
      <w:r>
        <w:rPr>
          <w:color w:val="231F20"/>
        </w:rPr>
        <w:t>43)</w:t>
      </w:r>
      <w:r>
        <w:rPr>
          <w:color w:val="231F20"/>
          <w:spacing w:val="-7"/>
        </w:rPr>
        <w:t> </w:t>
      </w:r>
      <w:r>
        <w:rPr>
          <w:color w:val="231F20"/>
        </w:rPr>
        <w:t>desde</w:t>
      </w:r>
      <w:r>
        <w:rPr>
          <w:color w:val="231F20"/>
          <w:spacing w:val="-7"/>
        </w:rPr>
        <w:t> </w:t>
      </w:r>
      <w:r>
        <w:rPr>
          <w:color w:val="231F20"/>
        </w:rPr>
        <w:t>la</w:t>
      </w:r>
      <w:r>
        <w:rPr>
          <w:color w:val="231F20"/>
          <w:spacing w:val="-7"/>
        </w:rPr>
        <w:t> </w:t>
      </w:r>
      <w:r>
        <w:rPr>
          <w:color w:val="231F20"/>
        </w:rPr>
        <w:t>teoría</w:t>
      </w:r>
      <w:r>
        <w:rPr>
          <w:color w:val="231F20"/>
          <w:spacing w:val="-7"/>
        </w:rPr>
        <w:t> </w:t>
      </w:r>
      <w:r>
        <w:rPr>
          <w:color w:val="231F20"/>
        </w:rPr>
        <w:t>transnacional</w:t>
      </w:r>
      <w:r>
        <w:rPr>
          <w:color w:val="231F20"/>
          <w:spacing w:val="-7"/>
        </w:rPr>
        <w:t> </w:t>
      </w:r>
      <w:r>
        <w:rPr>
          <w:color w:val="231F20"/>
        </w:rPr>
        <w:t>debe procurarse estrechar lazos entre agencias y actores involucrados en el fe- nómeno migratorio, de tal forma que se evidencie “</w:t>
      </w:r>
      <w:r>
        <w:rPr/>
        <w:t>la importancia de  </w:t>
      </w:r>
      <w:r>
        <w:rPr>
          <w:spacing w:val="34"/>
        </w:rPr>
        <w:t> </w:t>
      </w:r>
      <w:r>
        <w:rPr/>
        <w:t>los</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jc w:val="both"/>
      </w:pPr>
      <w:r>
        <w:rPr/>
        <w:t>lazos entre sociedad civil y Estado en la construcción de espacios sociales relativamente consolidados y la de una institucionalidad centralizada de los actores para la eficiencia de los procesos de vinculación.</w:t>
      </w:r>
    </w:p>
    <w:p>
      <w:pPr>
        <w:pStyle w:val="BodyText"/>
        <w:spacing w:line="247" w:lineRule="auto"/>
        <w:ind w:left="117" w:right="114" w:firstLine="283"/>
        <w:jc w:val="both"/>
      </w:pPr>
      <w:r>
        <w:rPr>
          <w:color w:val="231F20"/>
        </w:rPr>
        <w:t>Para concretar el anterior considerando, es vital definir una estrategia que atienda el tema migratorio de manera integral, por lo que debe darse atención a aspectos cruciales para los grupos movilizados. En perspectiva de aportar algunos elementos que pudieran orientar en materia migratoria a las instancias responsables, señalaremos algunos aspectos que pudieran contribuir a la instauración de políticas de atención a migrantes</w:t>
      </w:r>
      <w:r>
        <w:rPr>
          <w:color w:val="231F20"/>
          <w:spacing w:val="-24"/>
        </w:rPr>
        <w:t> </w:t>
      </w:r>
      <w:r>
        <w:rPr>
          <w:color w:val="231F20"/>
        </w:rPr>
        <w:t>guerreren- ses en el</w:t>
      </w:r>
      <w:r>
        <w:rPr>
          <w:color w:val="231F20"/>
          <w:spacing w:val="-16"/>
        </w:rPr>
        <w:t> </w:t>
      </w:r>
      <w:r>
        <w:rPr>
          <w:color w:val="231F20"/>
        </w:rPr>
        <w:t>exterior.</w:t>
      </w:r>
    </w:p>
    <w:p>
      <w:pPr>
        <w:pStyle w:val="BodyText"/>
        <w:spacing w:line="247" w:lineRule="auto"/>
        <w:ind w:left="117" w:right="114" w:firstLine="283"/>
        <w:jc w:val="both"/>
      </w:pPr>
      <w:r>
        <w:rPr>
          <w:color w:val="231F20"/>
        </w:rPr>
        <w:t>De entrada, es necesario generar espacios desde la política pública que asuman compromisos claros con los migrantes y su problemática. </w:t>
      </w:r>
      <w:r>
        <w:rPr>
          <w:color w:val="231F20"/>
          <w:spacing w:val="-4"/>
        </w:rPr>
        <w:t>Tales </w:t>
      </w:r>
      <w:r>
        <w:rPr>
          <w:color w:val="231F20"/>
        </w:rPr>
        <w:t>espacios deberán trabajar en fortalecer una política migratoria efectiva en la</w:t>
      </w:r>
      <w:r>
        <w:rPr>
          <w:color w:val="231F20"/>
          <w:spacing w:val="-6"/>
        </w:rPr>
        <w:t> </w:t>
      </w:r>
      <w:r>
        <w:rPr>
          <w:color w:val="231F20"/>
        </w:rPr>
        <w:t>atención</w:t>
      </w:r>
      <w:r>
        <w:rPr>
          <w:color w:val="231F20"/>
          <w:spacing w:val="-6"/>
        </w:rPr>
        <w:t> </w:t>
      </w:r>
      <w:r>
        <w:rPr>
          <w:color w:val="231F20"/>
        </w:rPr>
        <w:t>de</w:t>
      </w:r>
      <w:r>
        <w:rPr>
          <w:color w:val="231F20"/>
          <w:spacing w:val="-6"/>
        </w:rPr>
        <w:t> </w:t>
      </w:r>
      <w:r>
        <w:rPr>
          <w:color w:val="231F20"/>
        </w:rPr>
        <w:t>asuntos</w:t>
      </w:r>
      <w:r>
        <w:rPr>
          <w:color w:val="231F20"/>
          <w:spacing w:val="-6"/>
        </w:rPr>
        <w:t> </w:t>
      </w:r>
      <w:r>
        <w:rPr>
          <w:color w:val="231F20"/>
        </w:rPr>
        <w:t>vitales</w:t>
      </w:r>
      <w:r>
        <w:rPr>
          <w:color w:val="231F20"/>
          <w:spacing w:val="-6"/>
        </w:rPr>
        <w:t> </w:t>
      </w:r>
      <w:r>
        <w:rPr>
          <w:color w:val="231F20"/>
        </w:rPr>
        <w:t>como</w:t>
      </w:r>
      <w:r>
        <w:rPr>
          <w:color w:val="231F20"/>
          <w:spacing w:val="-6"/>
        </w:rPr>
        <w:t> </w:t>
      </w:r>
      <w:r>
        <w:rPr>
          <w:color w:val="231F20"/>
        </w:rPr>
        <w:t>la</w:t>
      </w:r>
      <w:r>
        <w:rPr>
          <w:color w:val="231F20"/>
          <w:spacing w:val="-6"/>
        </w:rPr>
        <w:t> </w:t>
      </w:r>
      <w:r>
        <w:rPr>
          <w:color w:val="231F20"/>
        </w:rPr>
        <w:t>protección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derechos</w:t>
      </w:r>
      <w:r>
        <w:rPr>
          <w:color w:val="231F20"/>
          <w:spacing w:val="-6"/>
        </w:rPr>
        <w:t> </w:t>
      </w:r>
      <w:r>
        <w:rPr>
          <w:color w:val="231F20"/>
        </w:rPr>
        <w:t>humanos elementales de los migrantes, para lo cual dicha política deberá establecer estrecha coordinación con dependencias y organismos competentes, como es</w:t>
      </w:r>
      <w:r>
        <w:rPr>
          <w:color w:val="231F20"/>
          <w:spacing w:val="-9"/>
        </w:rPr>
        <w:t> </w:t>
      </w:r>
      <w:r>
        <w:rPr>
          <w:color w:val="231F20"/>
        </w:rPr>
        <w:t>el</w:t>
      </w:r>
      <w:r>
        <w:rPr>
          <w:color w:val="231F20"/>
          <w:spacing w:val="-9"/>
        </w:rPr>
        <w:t> </w:t>
      </w:r>
      <w:r>
        <w:rPr>
          <w:color w:val="231F20"/>
        </w:rPr>
        <w:t>caso</w:t>
      </w:r>
      <w:r>
        <w:rPr>
          <w:color w:val="231F20"/>
          <w:spacing w:val="-9"/>
        </w:rPr>
        <w:t> </w:t>
      </w:r>
      <w:r>
        <w:rPr>
          <w:color w:val="231F20"/>
        </w:rPr>
        <w:t>del</w:t>
      </w:r>
      <w:r>
        <w:rPr>
          <w:color w:val="231F20"/>
          <w:spacing w:val="-9"/>
        </w:rPr>
        <w:t> </w:t>
      </w:r>
      <w:r>
        <w:rPr>
          <w:color w:val="231F20"/>
        </w:rPr>
        <w:t>grupo</w:t>
      </w:r>
      <w:r>
        <w:rPr>
          <w:color w:val="231F20"/>
          <w:spacing w:val="-9"/>
        </w:rPr>
        <w:t> </w:t>
      </w:r>
      <w:r>
        <w:rPr>
          <w:color w:val="231F20"/>
        </w:rPr>
        <w:t>Beta</w:t>
      </w:r>
      <w:r>
        <w:rPr>
          <w:color w:val="231F20"/>
          <w:spacing w:val="-9"/>
        </w:rPr>
        <w:t> </w:t>
      </w:r>
      <w:r>
        <w:rPr>
          <w:color w:val="231F20"/>
        </w:rPr>
        <w:t>de</w:t>
      </w:r>
      <w:r>
        <w:rPr>
          <w:color w:val="231F20"/>
          <w:spacing w:val="-9"/>
        </w:rPr>
        <w:t> </w:t>
      </w:r>
      <w:r>
        <w:rPr>
          <w:color w:val="231F20"/>
        </w:rPr>
        <w:t>vigilancia</w:t>
      </w:r>
      <w:r>
        <w:rPr>
          <w:color w:val="231F20"/>
          <w:spacing w:val="-9"/>
        </w:rPr>
        <w:t> </w:t>
      </w:r>
      <w:r>
        <w:rPr>
          <w:color w:val="231F20"/>
        </w:rPr>
        <w:t>y</w:t>
      </w:r>
      <w:r>
        <w:rPr>
          <w:color w:val="231F20"/>
          <w:spacing w:val="-9"/>
        </w:rPr>
        <w:t> </w:t>
      </w:r>
      <w:r>
        <w:rPr>
          <w:color w:val="231F20"/>
        </w:rPr>
        <w:t>apoyo</w:t>
      </w:r>
      <w:r>
        <w:rPr>
          <w:color w:val="231F20"/>
          <w:spacing w:val="-9"/>
        </w:rPr>
        <w:t> </w:t>
      </w:r>
      <w:r>
        <w:rPr>
          <w:color w:val="231F20"/>
        </w:rPr>
        <w:t>a</w:t>
      </w:r>
      <w:r>
        <w:rPr>
          <w:color w:val="231F20"/>
          <w:spacing w:val="-9"/>
        </w:rPr>
        <w:t> </w:t>
      </w:r>
      <w:r>
        <w:rPr>
          <w:color w:val="231F20"/>
        </w:rPr>
        <w:t>migrantes</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paso</w:t>
      </w:r>
      <w:r>
        <w:rPr>
          <w:color w:val="231F20"/>
          <w:spacing w:val="-9"/>
        </w:rPr>
        <w:t> </w:t>
      </w:r>
      <w:r>
        <w:rPr>
          <w:color w:val="231F20"/>
        </w:rPr>
        <w:t>fron- terizo. Además deberá ocuparse de la asesoría legal en demandas</w:t>
      </w:r>
      <w:r>
        <w:rPr>
          <w:color w:val="231F20"/>
          <w:spacing w:val="-26"/>
        </w:rPr>
        <w:t> </w:t>
      </w:r>
      <w:r>
        <w:rPr>
          <w:color w:val="231F20"/>
        </w:rPr>
        <w:t>específi- cas de migrantes en cada área de residencia, por lo que desde los espacios de</w:t>
      </w:r>
      <w:r>
        <w:rPr>
          <w:color w:val="231F20"/>
          <w:spacing w:val="-8"/>
        </w:rPr>
        <w:t> </w:t>
      </w:r>
      <w:r>
        <w:rPr>
          <w:color w:val="231F20"/>
        </w:rPr>
        <w:t>atención</w:t>
      </w:r>
      <w:r>
        <w:rPr>
          <w:color w:val="231F20"/>
          <w:spacing w:val="-8"/>
        </w:rPr>
        <w:t> </w:t>
      </w:r>
      <w:r>
        <w:rPr>
          <w:color w:val="231F20"/>
        </w:rPr>
        <w:t>a</w:t>
      </w:r>
      <w:r>
        <w:rPr>
          <w:color w:val="231F20"/>
          <w:spacing w:val="-8"/>
        </w:rPr>
        <w:t> </w:t>
      </w:r>
      <w:r>
        <w:rPr>
          <w:color w:val="231F20"/>
        </w:rPr>
        <w:t>migrantes</w:t>
      </w:r>
      <w:r>
        <w:rPr>
          <w:color w:val="231F20"/>
          <w:spacing w:val="-9"/>
        </w:rPr>
        <w:t> </w:t>
      </w:r>
      <w:r>
        <w:rPr>
          <w:color w:val="231F20"/>
        </w:rPr>
        <w:t>deberá</w:t>
      </w:r>
      <w:r>
        <w:rPr>
          <w:color w:val="231F20"/>
          <w:spacing w:val="-8"/>
        </w:rPr>
        <w:t> </w:t>
      </w:r>
      <w:r>
        <w:rPr>
          <w:color w:val="231F20"/>
        </w:rPr>
        <w:t>establecerse</w:t>
      </w:r>
      <w:r>
        <w:rPr>
          <w:color w:val="231F20"/>
          <w:spacing w:val="-9"/>
        </w:rPr>
        <w:t> </w:t>
      </w:r>
      <w:r>
        <w:rPr>
          <w:color w:val="231F20"/>
        </w:rPr>
        <w:t>estrecha</w:t>
      </w:r>
      <w:r>
        <w:rPr>
          <w:color w:val="231F20"/>
          <w:spacing w:val="-8"/>
        </w:rPr>
        <w:t> </w:t>
      </w:r>
      <w:r>
        <w:rPr>
          <w:color w:val="231F20"/>
        </w:rPr>
        <w:t>coordinación</w:t>
      </w:r>
      <w:r>
        <w:rPr>
          <w:color w:val="231F20"/>
          <w:spacing w:val="-9"/>
        </w:rPr>
        <w:t> </w:t>
      </w:r>
      <w:r>
        <w:rPr>
          <w:color w:val="231F20"/>
        </w:rPr>
        <w:t>con</w:t>
      </w:r>
      <w:r>
        <w:rPr>
          <w:color w:val="231F20"/>
          <w:spacing w:val="-8"/>
        </w:rPr>
        <w:t> </w:t>
      </w:r>
      <w:r>
        <w:rPr>
          <w:color w:val="231F20"/>
        </w:rPr>
        <w:t>ins- tancias como consulados, casas de atención a migrantes,</w:t>
      </w:r>
      <w:r>
        <w:rPr>
          <w:color w:val="231F20"/>
          <w:spacing w:val="-6"/>
        </w:rPr>
        <w:t> </w:t>
      </w:r>
      <w:r>
        <w:rPr>
          <w:color w:val="231F20"/>
        </w:rPr>
        <w:t>etc.</w:t>
      </w:r>
    </w:p>
    <w:p>
      <w:pPr>
        <w:pStyle w:val="BodyText"/>
        <w:spacing w:line="247" w:lineRule="auto"/>
        <w:ind w:left="117" w:right="114" w:firstLine="283"/>
        <w:jc w:val="both"/>
      </w:pPr>
      <w:r>
        <w:rPr>
          <w:color w:val="231F20"/>
        </w:rPr>
        <w:t>La política migratoria, por tanto, se enfocará a resolver necesidades específicas</w:t>
      </w:r>
      <w:r>
        <w:rPr>
          <w:color w:val="231F20"/>
          <w:spacing w:val="-5"/>
        </w:rPr>
        <w:t> </w:t>
      </w:r>
      <w:r>
        <w:rPr>
          <w:color w:val="231F20"/>
        </w:rPr>
        <w:t>de</w:t>
      </w:r>
      <w:r>
        <w:rPr>
          <w:color w:val="231F20"/>
          <w:spacing w:val="-5"/>
        </w:rPr>
        <w:t> </w:t>
      </w:r>
      <w:r>
        <w:rPr>
          <w:color w:val="231F20"/>
        </w:rPr>
        <w:t>cada</w:t>
      </w:r>
      <w:r>
        <w:rPr>
          <w:color w:val="231F20"/>
          <w:spacing w:val="-5"/>
        </w:rPr>
        <w:t> </w:t>
      </w:r>
      <w:r>
        <w:rPr>
          <w:color w:val="231F20"/>
        </w:rPr>
        <w:t>grupo</w:t>
      </w:r>
      <w:r>
        <w:rPr>
          <w:color w:val="231F20"/>
          <w:spacing w:val="-5"/>
        </w:rPr>
        <w:t> </w:t>
      </w:r>
      <w:r>
        <w:rPr>
          <w:color w:val="231F20"/>
        </w:rPr>
        <w:t>de</w:t>
      </w:r>
      <w:r>
        <w:rPr>
          <w:color w:val="231F20"/>
          <w:spacing w:val="-5"/>
        </w:rPr>
        <w:t> </w:t>
      </w:r>
      <w:r>
        <w:rPr>
          <w:color w:val="231F20"/>
        </w:rPr>
        <w:t>migrantes.</w:t>
      </w:r>
      <w:r>
        <w:rPr>
          <w:color w:val="231F20"/>
          <w:spacing w:val="-5"/>
        </w:rPr>
        <w:t> </w:t>
      </w:r>
      <w:r>
        <w:rPr>
          <w:color w:val="231F20"/>
        </w:rPr>
        <w:t>Esto,</w:t>
      </w:r>
      <w:r>
        <w:rPr>
          <w:color w:val="231F20"/>
          <w:spacing w:val="-5"/>
        </w:rPr>
        <w:t> </w:t>
      </w:r>
      <w:r>
        <w:rPr>
          <w:color w:val="231F20"/>
        </w:rPr>
        <w:t>en</w:t>
      </w:r>
      <w:r>
        <w:rPr>
          <w:color w:val="231F20"/>
          <w:spacing w:val="-5"/>
        </w:rPr>
        <w:t> </w:t>
      </w:r>
      <w:r>
        <w:rPr>
          <w:color w:val="231F20"/>
        </w:rPr>
        <w:t>función</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principales zonas de asentamiento de los migrantes en el exterior. Ello implica que desde el estado de Guerrero se estará cabildeando ante gobiernos y las casas de representación existentes en cada estado de la Unión Americana. Para asegurar un desempeño decoroso de las entidades públicas avocadas al</w:t>
      </w:r>
      <w:r>
        <w:rPr>
          <w:color w:val="231F20"/>
          <w:spacing w:val="-10"/>
        </w:rPr>
        <w:t> </w:t>
      </w:r>
      <w:r>
        <w:rPr>
          <w:color w:val="231F20"/>
        </w:rPr>
        <w:t>tema,</w:t>
      </w:r>
      <w:r>
        <w:rPr>
          <w:color w:val="231F20"/>
          <w:spacing w:val="-10"/>
        </w:rPr>
        <w:t> </w:t>
      </w:r>
      <w:r>
        <w:rPr>
          <w:color w:val="231F20"/>
        </w:rPr>
        <w:t>es</w:t>
      </w:r>
      <w:r>
        <w:rPr>
          <w:color w:val="231F20"/>
          <w:spacing w:val="-10"/>
        </w:rPr>
        <w:t> </w:t>
      </w:r>
      <w:r>
        <w:rPr>
          <w:color w:val="231F20"/>
        </w:rPr>
        <w:t>preciso</w:t>
      </w:r>
      <w:r>
        <w:rPr>
          <w:color w:val="231F20"/>
          <w:spacing w:val="-10"/>
        </w:rPr>
        <w:t> </w:t>
      </w:r>
      <w:r>
        <w:rPr>
          <w:color w:val="231F20"/>
        </w:rPr>
        <w:t>proponer</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autoridades</w:t>
      </w:r>
      <w:r>
        <w:rPr>
          <w:color w:val="231F20"/>
          <w:spacing w:val="-11"/>
        </w:rPr>
        <w:t> </w:t>
      </w:r>
      <w:r>
        <w:rPr>
          <w:color w:val="231F20"/>
        </w:rPr>
        <w:t>estadounidenses</w:t>
      </w:r>
      <w:r>
        <w:rPr>
          <w:color w:val="231F20"/>
          <w:spacing w:val="-11"/>
        </w:rPr>
        <w:t> </w:t>
      </w:r>
      <w:r>
        <w:rPr>
          <w:color w:val="231F20"/>
        </w:rPr>
        <w:t>la</w:t>
      </w:r>
      <w:r>
        <w:rPr>
          <w:color w:val="231F20"/>
          <w:spacing w:val="-10"/>
        </w:rPr>
        <w:t> </w:t>
      </w:r>
      <w:r>
        <w:rPr>
          <w:color w:val="231F20"/>
        </w:rPr>
        <w:t>necesidad de establecer niveles de coordinación que sean eficientes y</w:t>
      </w:r>
      <w:r>
        <w:rPr>
          <w:color w:val="231F20"/>
          <w:spacing w:val="-24"/>
        </w:rPr>
        <w:t> </w:t>
      </w:r>
      <w:r>
        <w:rPr>
          <w:color w:val="231F20"/>
        </w:rPr>
        <w:t>eficaces.</w:t>
      </w:r>
    </w:p>
    <w:p>
      <w:pPr>
        <w:pStyle w:val="BodyText"/>
        <w:spacing w:line="247" w:lineRule="auto"/>
        <w:ind w:left="117" w:right="114" w:firstLine="283"/>
        <w:jc w:val="both"/>
      </w:pPr>
      <w:r>
        <w:rPr>
          <w:color w:val="231F20"/>
        </w:rPr>
        <w:t>Para cubrir las expectativas arriba señaladas, se requiere de concretar cada propuesta. De forma paralela, se deberán integrar equipos de pro- fesionales especializados en aspectos como derechos humanos, Derecho internacional,</w:t>
      </w:r>
      <w:r>
        <w:rPr>
          <w:color w:val="231F20"/>
          <w:spacing w:val="-7"/>
        </w:rPr>
        <w:t> </w:t>
      </w:r>
      <w:r>
        <w:rPr>
          <w:color w:val="231F20"/>
        </w:rPr>
        <w:t>Derecho</w:t>
      </w:r>
      <w:r>
        <w:rPr>
          <w:color w:val="231F20"/>
          <w:spacing w:val="-5"/>
        </w:rPr>
        <w:t> </w:t>
      </w:r>
      <w:r>
        <w:rPr>
          <w:color w:val="231F20"/>
        </w:rPr>
        <w:t>laboral,</w:t>
      </w:r>
      <w:r>
        <w:rPr>
          <w:color w:val="231F20"/>
          <w:spacing w:val="-6"/>
        </w:rPr>
        <w:t> </w:t>
      </w:r>
      <w:r>
        <w:rPr>
          <w:color w:val="231F20"/>
        </w:rPr>
        <w:t>etc.,</w:t>
      </w:r>
      <w:r>
        <w:rPr>
          <w:color w:val="231F20"/>
          <w:spacing w:val="-6"/>
        </w:rPr>
        <w:t> </w:t>
      </w:r>
      <w:r>
        <w:rPr>
          <w:color w:val="231F20"/>
        </w:rPr>
        <w:t>además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integración</w:t>
      </w:r>
      <w:r>
        <w:rPr>
          <w:color w:val="231F20"/>
          <w:spacing w:val="-6"/>
        </w:rPr>
        <w:t> </w:t>
      </w:r>
      <w:r>
        <w:rPr>
          <w:color w:val="231F20"/>
        </w:rPr>
        <w:t>de</w:t>
      </w:r>
      <w:r>
        <w:rPr>
          <w:color w:val="231F20"/>
          <w:spacing w:val="-6"/>
        </w:rPr>
        <w:t> </w:t>
      </w:r>
      <w:r>
        <w:rPr>
          <w:color w:val="231F20"/>
        </w:rPr>
        <w:t>grupos</w:t>
      </w:r>
      <w:r>
        <w:rPr>
          <w:color w:val="231F20"/>
          <w:spacing w:val="-5"/>
        </w:rPr>
        <w:t> </w:t>
      </w:r>
      <w:r>
        <w:rPr>
          <w:color w:val="231F20"/>
        </w:rPr>
        <w:t>de consultoría para atender aspectos relativos al envío de remesas, inversio- nes y generación de empleos derivados de la</w:t>
      </w:r>
      <w:r>
        <w:rPr>
          <w:color w:val="231F20"/>
          <w:spacing w:val="-1"/>
        </w:rPr>
        <w:t> </w:t>
      </w:r>
      <w:r>
        <w:rPr>
          <w:color w:val="231F20"/>
        </w:rPr>
        <w:t>migración.</w:t>
      </w:r>
    </w:p>
    <w:p>
      <w:pPr>
        <w:pStyle w:val="BodyText"/>
        <w:spacing w:line="247" w:lineRule="auto"/>
        <w:ind w:left="117" w:right="114" w:firstLine="283"/>
        <w:jc w:val="both"/>
      </w:pPr>
      <w:r>
        <w:rPr>
          <w:color w:val="231F20"/>
        </w:rPr>
        <w:t>Para dar atención a aspectos de relevancia como la educación y la cul- tura, quizá sea conveniente diseñar programas de atención a migrantes re- ferentes a alfabetización, círculos de lectura y capacitación para el</w:t>
      </w:r>
      <w:r>
        <w:rPr>
          <w:color w:val="231F20"/>
          <w:spacing w:val="-34"/>
        </w:rPr>
        <w:t> </w:t>
      </w:r>
      <w:r>
        <w:rPr>
          <w:color w:val="231F20"/>
        </w:rPr>
        <w:t>trabajo. En el ámbito cultural se requiere integrar proyectos de divulgación y   </w:t>
      </w:r>
      <w:r>
        <w:rPr>
          <w:color w:val="231F20"/>
          <w:spacing w:val="9"/>
        </w:rPr>
        <w:t> </w:t>
      </w:r>
      <w:r>
        <w:rPr>
          <w:color w:val="231F20"/>
        </w:rPr>
        <w:t>di-</w:t>
      </w:r>
    </w:p>
    <w:p>
      <w:pPr>
        <w:spacing w:after="0" w:line="247" w:lineRule="auto"/>
        <w:jc w:val="both"/>
        <w:sectPr>
          <w:pgSz w:w="9360" w:h="13040"/>
          <w:pgMar w:header="0" w:footer="496" w:top="800" w:bottom="680" w:left="1300" w:right="1300"/>
        </w:sectPr>
      </w:pPr>
    </w:p>
    <w:p>
      <w:pPr>
        <w:spacing w:before="45"/>
        <w:ind w:left="117" w:right="0" w:firstLine="89"/>
        <w:jc w:val="both"/>
        <w:rPr>
          <w:rFonts w:ascii="Arial" w:hAnsi="Arial"/>
          <w:sz w:val="20"/>
        </w:rPr>
      </w:pPr>
      <w:r>
        <w:rPr>
          <w:rFonts w:ascii="Arial" w:hAnsi="Arial"/>
          <w:color w:val="231F20"/>
          <w:w w:val="70"/>
          <w:sz w:val="20"/>
        </w:rPr>
        <w:t>Redes    migratorias y políticas públicas de la migración internacional guerrerense /Artemio López-Ríos</w:t>
      </w:r>
    </w:p>
    <w:p>
      <w:pPr>
        <w:pStyle w:val="BodyText"/>
        <w:spacing w:before="7"/>
        <w:rPr>
          <w:rFonts w:ascii="Arial"/>
          <w:sz w:val="28"/>
        </w:rPr>
      </w:pPr>
    </w:p>
    <w:p>
      <w:pPr>
        <w:pStyle w:val="BodyText"/>
        <w:spacing w:line="247" w:lineRule="auto"/>
        <w:ind w:left="117" w:right="114"/>
        <w:jc w:val="both"/>
      </w:pPr>
      <w:r>
        <w:rPr>
          <w:color w:val="231F20"/>
        </w:rPr>
        <w:t>fusión con intención de cohesionar el espíritu guerrerense que campea en cada estado o ciudad de Estados Unidos donde habitan los migrantes. Tal vez convenga instaurar en los principales lugares de destino de migrantes como los Ángeles, Chicago, Houston y Atlanta, casas del folklor guerre- rense, que tendrían como actividad central difundir los valores e idiosin- crasia de cada región del estado de Guerrero a través de talleres de danza, teatro, cuento y pintura, entre otros.</w:t>
      </w:r>
    </w:p>
    <w:p>
      <w:pPr>
        <w:pStyle w:val="BodyText"/>
        <w:spacing w:line="247" w:lineRule="auto"/>
        <w:ind w:left="117" w:right="114" w:firstLine="283"/>
        <w:jc w:val="both"/>
      </w:pPr>
      <w:r>
        <w:rPr>
          <w:color w:val="231F20"/>
        </w:rPr>
        <w:t>Finalmente, es importante que el fenómeno migratorio sea atendido en el contexto global de las relaciones establecidas entre México y Estados Unidos.</w:t>
      </w:r>
      <w:r>
        <w:rPr>
          <w:color w:val="231F20"/>
          <w:spacing w:val="-22"/>
        </w:rPr>
        <w:t> </w:t>
      </w:r>
      <w:r>
        <w:rPr>
          <w:color w:val="231F20"/>
        </w:rPr>
        <w:t>Aportar</w:t>
      </w:r>
      <w:r>
        <w:rPr>
          <w:color w:val="231F20"/>
          <w:spacing w:val="-11"/>
        </w:rPr>
        <w:t> </w:t>
      </w:r>
      <w:r>
        <w:rPr>
          <w:color w:val="231F20"/>
        </w:rPr>
        <w:t>para</w:t>
      </w:r>
      <w:r>
        <w:rPr>
          <w:color w:val="231F20"/>
          <w:spacing w:val="-12"/>
        </w:rPr>
        <w:t> </w:t>
      </w:r>
      <w:r>
        <w:rPr>
          <w:color w:val="231F20"/>
        </w:rPr>
        <w:t>resolver</w:t>
      </w:r>
      <w:r>
        <w:rPr>
          <w:color w:val="231F20"/>
          <w:spacing w:val="-12"/>
        </w:rPr>
        <w:t> </w:t>
      </w:r>
      <w:r>
        <w:rPr>
          <w:color w:val="231F20"/>
        </w:rPr>
        <w:t>el</w:t>
      </w:r>
      <w:r>
        <w:rPr>
          <w:color w:val="231F20"/>
          <w:spacing w:val="-12"/>
        </w:rPr>
        <w:t> </w:t>
      </w:r>
      <w:r>
        <w:rPr>
          <w:color w:val="231F20"/>
        </w:rPr>
        <w:t>problema</w:t>
      </w:r>
      <w:r>
        <w:rPr>
          <w:color w:val="231F20"/>
          <w:spacing w:val="-12"/>
        </w:rPr>
        <w:t> </w:t>
      </w:r>
      <w:r>
        <w:rPr>
          <w:color w:val="231F20"/>
        </w:rPr>
        <w:t>de</w:t>
      </w:r>
      <w:r>
        <w:rPr>
          <w:color w:val="231F20"/>
          <w:spacing w:val="-12"/>
        </w:rPr>
        <w:t> </w:t>
      </w:r>
      <w:r>
        <w:rPr>
          <w:color w:val="231F20"/>
        </w:rPr>
        <w:t>ocupación</w:t>
      </w:r>
      <w:r>
        <w:rPr>
          <w:color w:val="231F20"/>
          <w:spacing w:val="-12"/>
        </w:rPr>
        <w:t> </w:t>
      </w:r>
      <w:r>
        <w:rPr>
          <w:color w:val="231F20"/>
        </w:rPr>
        <w:t>y</w:t>
      </w:r>
      <w:r>
        <w:rPr>
          <w:color w:val="231F20"/>
          <w:spacing w:val="-12"/>
        </w:rPr>
        <w:t> </w:t>
      </w:r>
      <w:r>
        <w:rPr>
          <w:color w:val="231F20"/>
        </w:rPr>
        <w:t>empleo</w:t>
      </w:r>
      <w:r>
        <w:rPr>
          <w:color w:val="231F20"/>
          <w:spacing w:val="-12"/>
        </w:rPr>
        <w:t> </w:t>
      </w:r>
      <w:r>
        <w:rPr>
          <w:color w:val="231F20"/>
        </w:rPr>
        <w:t>en</w:t>
      </w:r>
      <w:r>
        <w:rPr>
          <w:color w:val="231F20"/>
          <w:spacing w:val="-12"/>
        </w:rPr>
        <w:t> </w:t>
      </w:r>
      <w:r>
        <w:rPr>
          <w:color w:val="231F20"/>
        </w:rPr>
        <w:t>zonas de expulsión, implica generar estrategias para reorientar la dinámica eco- nómica de zonas de pobreza que, como el estado de Guerrero, requiere de esfuerzos amplios de concertación a nivel del estado y la federación para articular una política de restauración de procesos económicos diversifica- dos, con claro impacto en la estructura económica de zonas de pobreza, creciente desempleo y</w:t>
      </w:r>
      <w:r>
        <w:rPr>
          <w:color w:val="231F20"/>
          <w:spacing w:val="-6"/>
        </w:rPr>
        <w:t> </w:t>
      </w:r>
      <w:r>
        <w:rPr>
          <w:color w:val="231F20"/>
        </w:rPr>
        <w:t>marginación.</w:t>
      </w:r>
    </w:p>
    <w:p>
      <w:pPr>
        <w:pStyle w:val="BodyText"/>
        <w:spacing w:line="247" w:lineRule="auto"/>
        <w:ind w:left="117" w:right="114" w:firstLine="283"/>
        <w:jc w:val="both"/>
      </w:pPr>
      <w:r>
        <w:rPr>
          <w:color w:val="231F20"/>
        </w:rPr>
        <w:t>En el contexto de la migración guerrerense, es evidente que la mayor responsabilidad institucional de generar iniciativas favorables a los mi- grantes</w:t>
      </w:r>
      <w:r>
        <w:rPr>
          <w:color w:val="231F20"/>
          <w:spacing w:val="-4"/>
        </w:rPr>
        <w:t> </w:t>
      </w:r>
      <w:r>
        <w:rPr>
          <w:color w:val="231F20"/>
        </w:rPr>
        <w:t>corresponde</w:t>
      </w:r>
      <w:r>
        <w:rPr>
          <w:color w:val="231F20"/>
          <w:spacing w:val="-5"/>
        </w:rPr>
        <w:t> </w:t>
      </w:r>
      <w:r>
        <w:rPr>
          <w:color w:val="231F20"/>
        </w:rPr>
        <w:t>a</w:t>
      </w:r>
      <w:r>
        <w:rPr>
          <w:color w:val="231F20"/>
          <w:spacing w:val="-4"/>
        </w:rPr>
        <w:t> </w:t>
      </w:r>
      <w:r>
        <w:rPr>
          <w:color w:val="231F20"/>
        </w:rPr>
        <w:t>las</w:t>
      </w:r>
      <w:r>
        <w:rPr>
          <w:color w:val="231F20"/>
          <w:spacing w:val="-4"/>
        </w:rPr>
        <w:t> </w:t>
      </w:r>
      <w:r>
        <w:rPr>
          <w:color w:val="231F20"/>
        </w:rPr>
        <w:t>autoridades</w:t>
      </w:r>
      <w:r>
        <w:rPr>
          <w:color w:val="231F20"/>
          <w:spacing w:val="-5"/>
        </w:rPr>
        <w:t> </w:t>
      </w:r>
      <w:r>
        <w:rPr>
          <w:color w:val="231F20"/>
        </w:rPr>
        <w:t>del</w:t>
      </w:r>
      <w:r>
        <w:rPr>
          <w:color w:val="231F20"/>
          <w:spacing w:val="-4"/>
        </w:rPr>
        <w:t> </w:t>
      </w:r>
      <w:r>
        <w:rPr>
          <w:color w:val="231F20"/>
        </w:rPr>
        <w:t>estado</w:t>
      </w:r>
      <w:r>
        <w:rPr>
          <w:color w:val="231F20"/>
          <w:spacing w:val="-5"/>
        </w:rPr>
        <w:t> </w:t>
      </w:r>
      <w:r>
        <w:rPr>
          <w:color w:val="231F20"/>
        </w:rPr>
        <w:t>de</w:t>
      </w:r>
      <w:r>
        <w:rPr>
          <w:color w:val="231F20"/>
          <w:spacing w:val="-4"/>
        </w:rPr>
        <w:t> </w:t>
      </w:r>
      <w:r>
        <w:rPr>
          <w:color w:val="231F20"/>
        </w:rPr>
        <w:t>Guerrero,</w:t>
      </w:r>
      <w:r>
        <w:rPr>
          <w:color w:val="231F20"/>
          <w:spacing w:val="-4"/>
        </w:rPr>
        <w:t> </w:t>
      </w:r>
      <w:r>
        <w:rPr>
          <w:color w:val="231F20"/>
        </w:rPr>
        <w:t>por</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el reto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política</w:t>
      </w:r>
      <w:r>
        <w:rPr>
          <w:color w:val="231F20"/>
          <w:spacing w:val="-12"/>
        </w:rPr>
        <w:t> </w:t>
      </w:r>
      <w:r>
        <w:rPr>
          <w:color w:val="231F20"/>
        </w:rPr>
        <w:t>pública</w:t>
      </w:r>
      <w:r>
        <w:rPr>
          <w:color w:val="231F20"/>
          <w:spacing w:val="-12"/>
        </w:rPr>
        <w:t> </w:t>
      </w:r>
      <w:r>
        <w:rPr>
          <w:color w:val="231F20"/>
        </w:rPr>
        <w:t>estriba</w:t>
      </w:r>
      <w:r>
        <w:rPr>
          <w:color w:val="231F20"/>
          <w:spacing w:val="-13"/>
        </w:rPr>
        <w:t> </w:t>
      </w:r>
      <w:r>
        <w:rPr>
          <w:color w:val="231F20"/>
        </w:rPr>
        <w:t>en</w:t>
      </w:r>
      <w:r>
        <w:rPr>
          <w:color w:val="231F20"/>
          <w:spacing w:val="-12"/>
        </w:rPr>
        <w:t> </w:t>
      </w:r>
      <w:r>
        <w:rPr>
          <w:color w:val="231F20"/>
        </w:rPr>
        <w:t>el</w:t>
      </w:r>
      <w:r>
        <w:rPr>
          <w:color w:val="231F20"/>
          <w:spacing w:val="-12"/>
        </w:rPr>
        <w:t> </w:t>
      </w:r>
      <w:r>
        <w:rPr>
          <w:color w:val="231F20"/>
        </w:rPr>
        <w:t>diseño</w:t>
      </w:r>
      <w:r>
        <w:rPr>
          <w:color w:val="231F20"/>
          <w:spacing w:val="-12"/>
        </w:rPr>
        <w:t> </w:t>
      </w:r>
      <w:r>
        <w:rPr>
          <w:color w:val="231F20"/>
        </w:rPr>
        <w:t>de</w:t>
      </w:r>
      <w:r>
        <w:rPr>
          <w:color w:val="231F20"/>
          <w:spacing w:val="-12"/>
        </w:rPr>
        <w:t> </w:t>
      </w:r>
      <w:r>
        <w:rPr>
          <w:color w:val="231F20"/>
        </w:rPr>
        <w:t>alternativas</w:t>
      </w:r>
      <w:r>
        <w:rPr>
          <w:color w:val="231F20"/>
          <w:spacing w:val="-12"/>
        </w:rPr>
        <w:t> </w:t>
      </w:r>
      <w:r>
        <w:rPr>
          <w:color w:val="231F20"/>
        </w:rPr>
        <w:t>que</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corto y mediano plazos atiendan al fenómeno migratorio en su multicausalidad en su expresión territorial desde su proyección interna y</w:t>
      </w:r>
      <w:r>
        <w:rPr>
          <w:color w:val="231F20"/>
          <w:spacing w:val="-6"/>
        </w:rPr>
        <w:t> </w:t>
      </w:r>
      <w:r>
        <w:rPr>
          <w:color w:val="231F20"/>
        </w:rPr>
        <w:t>externa.</w:t>
      </w:r>
    </w:p>
    <w:p>
      <w:pPr>
        <w:pStyle w:val="BodyText"/>
        <w:spacing w:before="5"/>
        <w:rPr>
          <w:sz w:val="20"/>
        </w:rPr>
      </w:pPr>
    </w:p>
    <w:p>
      <w:pPr>
        <w:pStyle w:val="Heading3"/>
        <w:spacing w:before="0"/>
      </w:pPr>
      <w:r>
        <w:rPr>
          <w:color w:val="231F20"/>
        </w:rPr>
        <w:t>Bibliografía</w:t>
      </w:r>
    </w:p>
    <w:p>
      <w:pPr>
        <w:pStyle w:val="BodyText"/>
        <w:spacing w:before="3"/>
        <w:rPr>
          <w:b/>
          <w:sz w:val="29"/>
        </w:rPr>
      </w:pPr>
    </w:p>
    <w:p>
      <w:pPr>
        <w:spacing w:line="210" w:lineRule="exact" w:before="0"/>
        <w:ind w:left="117" w:right="115" w:firstLine="0"/>
        <w:jc w:val="both"/>
        <w:rPr>
          <w:sz w:val="20"/>
        </w:rPr>
      </w:pPr>
      <w:r>
        <w:rPr>
          <w:color w:val="231F20"/>
          <w:sz w:val="20"/>
        </w:rPr>
        <w:t>ALBA, Francisco, 2009, “Migración internacional y políticas públicas”, en Paula Leite y Silvia E. Giorguli, </w:t>
      </w:r>
      <w:r>
        <w:rPr>
          <w:i/>
          <w:color w:val="231F20"/>
          <w:sz w:val="20"/>
        </w:rPr>
        <w:t>Las políticas públicas ante los retos de la migración </w:t>
      </w:r>
      <w:r>
        <w:rPr>
          <w:i/>
          <w:color w:val="231F20"/>
          <w:sz w:val="20"/>
        </w:rPr>
        <w:t>mexicana a Estados Unidos</w:t>
      </w:r>
      <w:r>
        <w:rPr>
          <w:color w:val="231F20"/>
          <w:sz w:val="20"/>
        </w:rPr>
        <w:t>, Conapo, México.</w:t>
      </w:r>
    </w:p>
    <w:p>
      <w:pPr>
        <w:spacing w:line="210" w:lineRule="exact" w:before="113"/>
        <w:ind w:left="117" w:right="115" w:firstLine="0"/>
        <w:jc w:val="both"/>
        <w:rPr>
          <w:sz w:val="20"/>
        </w:rPr>
      </w:pPr>
      <w:r>
        <w:rPr>
          <w:color w:val="231F20"/>
          <w:sz w:val="20"/>
        </w:rPr>
        <w:t>ALBA, Francisco, 2010, “Respuestas mexicanas frente a la migración a Estados Unidos”, en Francisco Alba, Manuel Ángel Castillo y Gustavo Verduzco, </w:t>
      </w:r>
      <w:r>
        <w:rPr>
          <w:i/>
          <w:color w:val="231F20"/>
          <w:sz w:val="20"/>
        </w:rPr>
        <w:t>Migra- </w:t>
      </w:r>
      <w:r>
        <w:rPr>
          <w:i/>
          <w:color w:val="231F20"/>
          <w:sz w:val="20"/>
        </w:rPr>
        <w:t>ciones Internacionales</w:t>
      </w:r>
      <w:r>
        <w:rPr>
          <w:color w:val="231F20"/>
          <w:sz w:val="20"/>
        </w:rPr>
        <w:t>, vol. III de la colección Los Grandes Problemas de Méxi- co, Colmex, México.</w:t>
      </w:r>
    </w:p>
    <w:p>
      <w:pPr>
        <w:spacing w:line="210" w:lineRule="exact" w:before="113"/>
        <w:ind w:left="117" w:right="115" w:firstLine="0"/>
        <w:jc w:val="both"/>
        <w:rPr>
          <w:sz w:val="20"/>
        </w:rPr>
      </w:pPr>
      <w:r>
        <w:rPr>
          <w:color w:val="231F20"/>
          <w:sz w:val="20"/>
        </w:rPr>
        <w:t>AGATÓN, Darbelio, 2008, </w:t>
      </w:r>
      <w:r>
        <w:rPr>
          <w:i/>
          <w:color w:val="231F20"/>
          <w:sz w:val="20"/>
        </w:rPr>
        <w:t>Cambios demográficos en la estructura familiar del </w:t>
      </w:r>
      <w:r>
        <w:rPr>
          <w:i/>
          <w:color w:val="231F20"/>
          <w:sz w:val="20"/>
        </w:rPr>
        <w:t>Municipio de San Marcos Guerrero, como consecuencia de la emigración inter- nacional y sus efectos en lo social y económico, </w:t>
      </w:r>
      <w:r>
        <w:rPr>
          <w:color w:val="231F20"/>
          <w:sz w:val="20"/>
        </w:rPr>
        <w:t>tesis, Universidad Autónoma de Guerrero, México.</w:t>
      </w:r>
    </w:p>
    <w:p>
      <w:pPr>
        <w:spacing w:line="210" w:lineRule="exact" w:before="113"/>
        <w:ind w:left="117" w:right="115" w:firstLine="0"/>
        <w:jc w:val="both"/>
        <w:rPr>
          <w:sz w:val="20"/>
        </w:rPr>
      </w:pPr>
      <w:r>
        <w:rPr>
          <w:color w:val="231F20"/>
          <w:sz w:val="20"/>
        </w:rPr>
        <w:t>ARROYO ALEJANDRE, Jesús, 2010, “Migración México-Estados Unidos, re- mesas y desarrollo regional: trinomio permanente”, en Francisco Alba, Manuel Ángel Castillo y Gustavo Verduzco, </w:t>
      </w:r>
      <w:r>
        <w:rPr>
          <w:i/>
          <w:color w:val="231F20"/>
          <w:sz w:val="20"/>
        </w:rPr>
        <w:t>Migraciones Internacionales</w:t>
      </w:r>
      <w:r>
        <w:rPr>
          <w:color w:val="231F20"/>
          <w:sz w:val="20"/>
        </w:rPr>
        <w:t>, vol. III de la colección Los Grandes Problemas de México, Colmex, México.</w:t>
      </w:r>
    </w:p>
    <w:p>
      <w:pPr>
        <w:spacing w:after="0" w:line="210" w:lineRule="exact"/>
        <w:jc w:val="both"/>
        <w:rPr>
          <w:sz w:val="20"/>
        </w:rPr>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9"/>
      </w:pPr>
    </w:p>
    <w:p>
      <w:pPr>
        <w:spacing w:line="210" w:lineRule="exact" w:before="1"/>
        <w:ind w:left="117" w:right="115" w:firstLine="0"/>
        <w:jc w:val="both"/>
        <w:rPr>
          <w:sz w:val="20"/>
        </w:rPr>
      </w:pPr>
      <w:r>
        <w:rPr>
          <w:color w:val="231F20"/>
          <w:sz w:val="20"/>
        </w:rPr>
        <w:t>DÉLANO, Alejandra, 2007, “Del Congreso a los suburbios: Iniciativas locales para</w:t>
      </w:r>
      <w:r>
        <w:rPr>
          <w:color w:val="231F20"/>
          <w:spacing w:val="-6"/>
          <w:sz w:val="20"/>
        </w:rPr>
        <w:t> </w:t>
      </w:r>
      <w:r>
        <w:rPr>
          <w:color w:val="231F20"/>
          <w:sz w:val="20"/>
        </w:rPr>
        <w:t>el</w:t>
      </w:r>
      <w:r>
        <w:rPr>
          <w:color w:val="231F20"/>
          <w:spacing w:val="-6"/>
          <w:sz w:val="20"/>
        </w:rPr>
        <w:t> </w:t>
      </w:r>
      <w:r>
        <w:rPr>
          <w:color w:val="231F20"/>
          <w:sz w:val="20"/>
        </w:rPr>
        <w:t>control</w:t>
      </w:r>
      <w:r>
        <w:rPr>
          <w:color w:val="231F20"/>
          <w:spacing w:val="-6"/>
          <w:sz w:val="20"/>
        </w:rPr>
        <w:t> </w:t>
      </w:r>
      <w:r>
        <w:rPr>
          <w:color w:val="231F20"/>
          <w:sz w:val="20"/>
        </w:rPr>
        <w:t>de</w:t>
      </w:r>
      <w:r>
        <w:rPr>
          <w:color w:val="231F20"/>
          <w:spacing w:val="-6"/>
          <w:sz w:val="20"/>
        </w:rPr>
        <w:t> </w:t>
      </w:r>
      <w:r>
        <w:rPr>
          <w:color w:val="231F20"/>
          <w:sz w:val="20"/>
        </w:rPr>
        <w:t>la</w:t>
      </w:r>
      <w:r>
        <w:rPr>
          <w:color w:val="231F20"/>
          <w:spacing w:val="-6"/>
          <w:sz w:val="20"/>
        </w:rPr>
        <w:t> </w:t>
      </w:r>
      <w:r>
        <w:rPr>
          <w:color w:val="231F20"/>
          <w:sz w:val="20"/>
        </w:rPr>
        <w:t>migración</w:t>
      </w:r>
      <w:r>
        <w:rPr>
          <w:color w:val="231F20"/>
          <w:spacing w:val="-6"/>
          <w:sz w:val="20"/>
        </w:rPr>
        <w:t> </w:t>
      </w:r>
      <w:r>
        <w:rPr>
          <w:color w:val="231F20"/>
          <w:sz w:val="20"/>
        </w:rPr>
        <w:t>en</w:t>
      </w:r>
      <w:r>
        <w:rPr>
          <w:color w:val="231F20"/>
          <w:spacing w:val="-6"/>
          <w:sz w:val="20"/>
        </w:rPr>
        <w:t> </w:t>
      </w:r>
      <w:r>
        <w:rPr>
          <w:color w:val="231F20"/>
          <w:sz w:val="20"/>
        </w:rPr>
        <w:t>Estados</w:t>
      </w:r>
      <w:r>
        <w:rPr>
          <w:color w:val="231F20"/>
          <w:spacing w:val="-6"/>
          <w:sz w:val="20"/>
        </w:rPr>
        <w:t> </w:t>
      </w:r>
      <w:r>
        <w:rPr>
          <w:color w:val="231F20"/>
          <w:sz w:val="20"/>
        </w:rPr>
        <w:t>Unidos”,</w:t>
      </w:r>
      <w:r>
        <w:rPr>
          <w:color w:val="231F20"/>
          <w:spacing w:val="-5"/>
          <w:sz w:val="20"/>
        </w:rPr>
        <w:t> </w:t>
      </w:r>
      <w:r>
        <w:rPr>
          <w:color w:val="231F20"/>
          <w:sz w:val="20"/>
        </w:rPr>
        <w:t>en</w:t>
      </w:r>
      <w:r>
        <w:rPr>
          <w:color w:val="231F20"/>
          <w:spacing w:val="-6"/>
          <w:sz w:val="20"/>
        </w:rPr>
        <w:t> </w:t>
      </w:r>
      <w:r>
        <w:rPr>
          <w:color w:val="231F20"/>
          <w:sz w:val="20"/>
        </w:rPr>
        <w:t>Revista</w:t>
      </w:r>
      <w:r>
        <w:rPr>
          <w:color w:val="231F20"/>
          <w:spacing w:val="-6"/>
          <w:sz w:val="20"/>
        </w:rPr>
        <w:t> </w:t>
      </w:r>
      <w:r>
        <w:rPr>
          <w:i/>
          <w:color w:val="231F20"/>
          <w:sz w:val="20"/>
        </w:rPr>
        <w:t>Migración</w:t>
      </w:r>
      <w:r>
        <w:rPr>
          <w:i/>
          <w:color w:val="231F20"/>
          <w:spacing w:val="-6"/>
          <w:sz w:val="20"/>
        </w:rPr>
        <w:t> </w:t>
      </w:r>
      <w:r>
        <w:rPr>
          <w:i/>
          <w:color w:val="231F20"/>
          <w:sz w:val="20"/>
        </w:rPr>
        <w:t>y</w:t>
      </w:r>
      <w:r>
        <w:rPr>
          <w:i/>
          <w:color w:val="231F20"/>
          <w:spacing w:val="-6"/>
          <w:sz w:val="20"/>
        </w:rPr>
        <w:t> </w:t>
      </w:r>
      <w:r>
        <w:rPr>
          <w:i/>
          <w:color w:val="231F20"/>
          <w:sz w:val="20"/>
        </w:rPr>
        <w:t>Desa- </w:t>
      </w:r>
      <w:r>
        <w:rPr>
          <w:i/>
          <w:color w:val="231F20"/>
          <w:sz w:val="20"/>
        </w:rPr>
        <w:t>rrollo</w:t>
      </w:r>
      <w:r>
        <w:rPr>
          <w:color w:val="231F20"/>
          <w:sz w:val="20"/>
        </w:rPr>
        <w:t>, num. 9,</w:t>
      </w:r>
      <w:r>
        <w:rPr>
          <w:color w:val="231F20"/>
          <w:spacing w:val="-9"/>
          <w:sz w:val="20"/>
        </w:rPr>
        <w:t> </w:t>
      </w:r>
      <w:r>
        <w:rPr>
          <w:color w:val="231F20"/>
          <w:sz w:val="20"/>
        </w:rPr>
        <w:t>México.</w:t>
      </w:r>
    </w:p>
    <w:p>
      <w:pPr>
        <w:spacing w:line="210" w:lineRule="exact" w:before="113"/>
        <w:ind w:left="117" w:right="115" w:firstLine="0"/>
        <w:jc w:val="both"/>
        <w:rPr>
          <w:sz w:val="20"/>
        </w:rPr>
      </w:pPr>
      <w:r>
        <w:rPr>
          <w:color w:val="231F20"/>
          <w:sz w:val="20"/>
        </w:rPr>
        <w:t>DÍAZ GARAY, Alejandro, Gabriela Barroso y Luis Fernando Ocampo, 2009, </w:t>
      </w:r>
      <w:r>
        <w:rPr>
          <w:i/>
          <w:color w:val="231F20"/>
          <w:sz w:val="20"/>
        </w:rPr>
        <w:t>Evaluación del Programa 3x1 para migrantes en Guerrero, 2002-2008</w:t>
      </w:r>
      <w:r>
        <w:rPr>
          <w:color w:val="231F20"/>
          <w:sz w:val="20"/>
        </w:rPr>
        <w:t>. Fomix/ Conacyt/Gobierno de Guerrero, México.</w:t>
      </w:r>
    </w:p>
    <w:p>
      <w:pPr>
        <w:spacing w:line="220" w:lineRule="exact" w:before="94"/>
        <w:ind w:left="117" w:right="0" w:firstLine="0"/>
        <w:jc w:val="both"/>
        <w:rPr>
          <w:sz w:val="20"/>
        </w:rPr>
      </w:pPr>
      <w:r>
        <w:rPr>
          <w:color w:val="231F20"/>
          <w:sz w:val="20"/>
        </w:rPr>
        <w:t>HEREDIA, Carlos, 2012, “Diáspora e incidencia política en Estados Unidos”, en</w:t>
      </w:r>
    </w:p>
    <w:p>
      <w:pPr>
        <w:spacing w:line="220" w:lineRule="exact" w:before="0"/>
        <w:ind w:left="117" w:right="0" w:firstLine="0"/>
        <w:jc w:val="both"/>
        <w:rPr>
          <w:sz w:val="20"/>
        </w:rPr>
      </w:pPr>
      <w:r>
        <w:rPr>
          <w:i/>
          <w:color w:val="231F20"/>
          <w:sz w:val="20"/>
        </w:rPr>
        <w:t>Brújula Ciudadana, </w:t>
      </w:r>
      <w:r>
        <w:rPr>
          <w:color w:val="231F20"/>
          <w:sz w:val="20"/>
        </w:rPr>
        <w:t>núm. 37, agosto, México.</w:t>
      </w:r>
    </w:p>
    <w:p>
      <w:pPr>
        <w:spacing w:line="210" w:lineRule="exact" w:before="112"/>
        <w:ind w:left="117" w:right="115" w:firstLine="0"/>
        <w:jc w:val="both"/>
        <w:rPr>
          <w:sz w:val="20"/>
        </w:rPr>
      </w:pPr>
      <w:r>
        <w:rPr>
          <w:color w:val="231F20"/>
          <w:sz w:val="20"/>
        </w:rPr>
        <w:t>LÓPEZ</w:t>
      </w:r>
      <w:r>
        <w:rPr>
          <w:color w:val="231F20"/>
          <w:spacing w:val="-4"/>
          <w:sz w:val="20"/>
        </w:rPr>
        <w:t> </w:t>
      </w:r>
      <w:r>
        <w:rPr>
          <w:color w:val="231F20"/>
          <w:sz w:val="20"/>
        </w:rPr>
        <w:t>RÍOS,</w:t>
      </w:r>
      <w:r>
        <w:rPr>
          <w:color w:val="231F20"/>
          <w:spacing w:val="-15"/>
          <w:sz w:val="20"/>
        </w:rPr>
        <w:t> </w:t>
      </w:r>
      <w:r>
        <w:rPr>
          <w:color w:val="231F20"/>
          <w:sz w:val="20"/>
        </w:rPr>
        <w:t>Artemio,</w:t>
      </w:r>
      <w:r>
        <w:rPr>
          <w:color w:val="231F20"/>
          <w:spacing w:val="-4"/>
          <w:sz w:val="20"/>
        </w:rPr>
        <w:t> </w:t>
      </w:r>
      <w:r>
        <w:rPr>
          <w:color w:val="231F20"/>
          <w:sz w:val="20"/>
        </w:rPr>
        <w:t>2009,</w:t>
      </w:r>
      <w:r>
        <w:rPr>
          <w:color w:val="231F20"/>
          <w:spacing w:val="-4"/>
          <w:sz w:val="20"/>
        </w:rPr>
        <w:t> </w:t>
      </w:r>
      <w:r>
        <w:rPr>
          <w:color w:val="231F20"/>
          <w:sz w:val="20"/>
        </w:rPr>
        <w:t>“Región</w:t>
      </w:r>
      <w:r>
        <w:rPr>
          <w:color w:val="231F20"/>
          <w:spacing w:val="-4"/>
          <w:sz w:val="20"/>
        </w:rPr>
        <w:t> </w:t>
      </w:r>
      <w:r>
        <w:rPr>
          <w:color w:val="231F20"/>
          <w:sz w:val="20"/>
        </w:rPr>
        <w:t>Costa</w:t>
      </w:r>
      <w:r>
        <w:rPr>
          <w:color w:val="231F20"/>
          <w:spacing w:val="-4"/>
          <w:sz w:val="20"/>
        </w:rPr>
        <w:t> </w:t>
      </w:r>
      <w:r>
        <w:rPr>
          <w:color w:val="231F20"/>
          <w:sz w:val="20"/>
        </w:rPr>
        <w:t>Grande”,</w:t>
      </w:r>
      <w:r>
        <w:rPr>
          <w:color w:val="231F20"/>
          <w:spacing w:val="-4"/>
          <w:sz w:val="20"/>
        </w:rPr>
        <w:t> </w:t>
      </w:r>
      <w:r>
        <w:rPr>
          <w:color w:val="231F20"/>
          <w:sz w:val="20"/>
        </w:rPr>
        <w:t>en</w:t>
      </w:r>
      <w:r>
        <w:rPr>
          <w:color w:val="231F20"/>
          <w:spacing w:val="-15"/>
          <w:sz w:val="20"/>
        </w:rPr>
        <w:t> </w:t>
      </w:r>
      <w:r>
        <w:rPr>
          <w:color w:val="231F20"/>
          <w:sz w:val="20"/>
        </w:rPr>
        <w:t>Alejandro</w:t>
      </w:r>
      <w:r>
        <w:rPr>
          <w:color w:val="231F20"/>
          <w:spacing w:val="-4"/>
          <w:sz w:val="20"/>
        </w:rPr>
        <w:t> </w:t>
      </w:r>
      <w:r>
        <w:rPr>
          <w:color w:val="231F20"/>
          <w:sz w:val="20"/>
        </w:rPr>
        <w:t>Díaz</w:t>
      </w:r>
      <w:r>
        <w:rPr>
          <w:color w:val="231F20"/>
          <w:spacing w:val="-4"/>
          <w:sz w:val="20"/>
        </w:rPr>
        <w:t> </w:t>
      </w:r>
      <w:r>
        <w:rPr>
          <w:color w:val="231F20"/>
          <w:sz w:val="20"/>
        </w:rPr>
        <w:t>y</w:t>
      </w:r>
      <w:r>
        <w:rPr>
          <w:color w:val="231F20"/>
          <w:spacing w:val="-4"/>
          <w:sz w:val="20"/>
        </w:rPr>
        <w:t> </w:t>
      </w:r>
      <w:r>
        <w:rPr>
          <w:color w:val="231F20"/>
          <w:sz w:val="20"/>
        </w:rPr>
        <w:t>Cols. </w:t>
      </w:r>
      <w:r>
        <w:rPr>
          <w:i/>
          <w:color w:val="231F20"/>
          <w:sz w:val="20"/>
        </w:rPr>
        <w:t>Evaluación del programa 3x1 para migrantes en </w:t>
      </w:r>
      <w:r>
        <w:rPr>
          <w:i/>
          <w:color w:val="231F20"/>
          <w:spacing w:val="-3"/>
          <w:sz w:val="20"/>
        </w:rPr>
        <w:t>Guerrero</w:t>
      </w:r>
      <w:r>
        <w:rPr>
          <w:color w:val="231F20"/>
          <w:spacing w:val="-3"/>
          <w:sz w:val="20"/>
        </w:rPr>
        <w:t>, </w:t>
      </w:r>
      <w:r>
        <w:rPr>
          <w:color w:val="231F20"/>
          <w:sz w:val="20"/>
        </w:rPr>
        <w:t>2002-2008. Fomix, Conacyt- Gobierno de Guerrero,</w:t>
      </w:r>
      <w:r>
        <w:rPr>
          <w:color w:val="231F20"/>
          <w:spacing w:val="-22"/>
          <w:sz w:val="20"/>
        </w:rPr>
        <w:t> </w:t>
      </w:r>
      <w:r>
        <w:rPr>
          <w:color w:val="231F20"/>
          <w:sz w:val="20"/>
        </w:rPr>
        <w:t>México.</w:t>
      </w:r>
    </w:p>
    <w:p>
      <w:pPr>
        <w:spacing w:line="210" w:lineRule="exact" w:before="113"/>
        <w:ind w:left="117" w:right="115" w:firstLine="0"/>
        <w:jc w:val="both"/>
        <w:rPr>
          <w:sz w:val="20"/>
        </w:rPr>
      </w:pPr>
      <w:r>
        <w:rPr>
          <w:color w:val="231F20"/>
          <w:sz w:val="20"/>
        </w:rPr>
        <w:t>MASSEY DOUGLAS, Jorge Durand y Nolan J. Malone, 2009, </w:t>
      </w:r>
      <w:r>
        <w:rPr>
          <w:i/>
          <w:color w:val="231F20"/>
          <w:sz w:val="20"/>
        </w:rPr>
        <w:t>Detrás de la tra- </w:t>
      </w:r>
      <w:r>
        <w:rPr>
          <w:i/>
          <w:color w:val="231F20"/>
          <w:sz w:val="20"/>
        </w:rPr>
        <w:t>ma. Políticas migratorias entre México y Estados Unidos</w:t>
      </w:r>
      <w:r>
        <w:rPr>
          <w:color w:val="231F20"/>
          <w:sz w:val="20"/>
        </w:rPr>
        <w:t>, Miguel Ángel Porrúa, UAZ, Cámara de Diputados LIX Legislatura, México.</w:t>
      </w:r>
    </w:p>
    <w:p>
      <w:pPr>
        <w:spacing w:line="210" w:lineRule="exact" w:before="113"/>
        <w:ind w:left="117" w:right="115" w:firstLine="0"/>
        <w:jc w:val="both"/>
        <w:rPr>
          <w:sz w:val="20"/>
        </w:rPr>
      </w:pPr>
      <w:r>
        <w:rPr>
          <w:color w:val="231F20"/>
          <w:sz w:val="20"/>
        </w:rPr>
        <w:t>MOCTEZUMA, Miguel, 2008, “Transnacionalidad y transnacionalismo”, en re- vista </w:t>
      </w:r>
      <w:r>
        <w:rPr>
          <w:i/>
          <w:color w:val="231F20"/>
          <w:sz w:val="20"/>
        </w:rPr>
        <w:t>Papeles de Población num.057, </w:t>
      </w:r>
      <w:r>
        <w:rPr>
          <w:color w:val="231F20"/>
          <w:sz w:val="20"/>
        </w:rPr>
        <w:t>México.</w:t>
      </w:r>
    </w:p>
    <w:p>
      <w:pPr>
        <w:spacing w:line="210" w:lineRule="exact" w:before="113"/>
        <w:ind w:left="117" w:right="115" w:firstLine="0"/>
        <w:jc w:val="both"/>
        <w:rPr>
          <w:sz w:val="20"/>
        </w:rPr>
      </w:pPr>
      <w:r>
        <w:rPr>
          <w:color w:val="231F20"/>
          <w:sz w:val="20"/>
        </w:rPr>
        <w:t>OHMAE, Kenichi, 2005, </w:t>
      </w:r>
      <w:r>
        <w:rPr>
          <w:i/>
          <w:color w:val="231F20"/>
          <w:sz w:val="20"/>
        </w:rPr>
        <w:t>El próximo escenario global. Desafíos y oportunidades </w:t>
      </w:r>
      <w:r>
        <w:rPr>
          <w:i/>
          <w:color w:val="231F20"/>
          <w:sz w:val="20"/>
        </w:rPr>
        <w:t>en un mundo sin fronteras. </w:t>
      </w:r>
      <w:r>
        <w:rPr>
          <w:color w:val="231F20"/>
          <w:sz w:val="20"/>
        </w:rPr>
        <w:t>Ed. Norma, México.</w:t>
      </w:r>
    </w:p>
    <w:p>
      <w:pPr>
        <w:spacing w:line="210" w:lineRule="exact" w:before="113"/>
        <w:ind w:left="117" w:right="115" w:firstLine="0"/>
        <w:jc w:val="both"/>
        <w:rPr>
          <w:sz w:val="20"/>
        </w:rPr>
      </w:pPr>
      <w:r>
        <w:rPr>
          <w:color w:val="231F20"/>
          <w:sz w:val="20"/>
        </w:rPr>
        <w:t>VALENZUELA ROMO, Jesús D., 2004, “Las organizaciones de mexicanos en Estados Unidos. Una revisión histórica”, en Guillaume Lanly y M. Basilia Va- lenzuela, </w:t>
      </w:r>
      <w:r>
        <w:rPr>
          <w:i/>
          <w:color w:val="231F20"/>
          <w:sz w:val="20"/>
        </w:rPr>
        <w:t>Clubes de migrantes oriundos mexicanos en los Estados Unidos</w:t>
      </w:r>
      <w:r>
        <w:rPr>
          <w:color w:val="231F20"/>
          <w:sz w:val="20"/>
        </w:rPr>
        <w:t>, Ed. Universidad de Guadalajara, México.</w:t>
      </w:r>
    </w:p>
    <w:p>
      <w:pPr>
        <w:spacing w:line="210" w:lineRule="exact" w:before="113"/>
        <w:ind w:left="117" w:right="115" w:firstLine="0"/>
        <w:jc w:val="both"/>
        <w:rPr>
          <w:sz w:val="20"/>
        </w:rPr>
      </w:pPr>
      <w:r>
        <w:rPr>
          <w:color w:val="231F20"/>
          <w:sz w:val="20"/>
        </w:rPr>
        <w:t>VONO</w:t>
      </w:r>
      <w:r>
        <w:rPr>
          <w:color w:val="231F20"/>
          <w:spacing w:val="-10"/>
          <w:sz w:val="20"/>
        </w:rPr>
        <w:t> </w:t>
      </w:r>
      <w:r>
        <w:rPr>
          <w:color w:val="231F20"/>
          <w:sz w:val="20"/>
        </w:rPr>
        <w:t>DE</w:t>
      </w:r>
      <w:r>
        <w:rPr>
          <w:color w:val="231F20"/>
          <w:spacing w:val="-14"/>
          <w:sz w:val="20"/>
        </w:rPr>
        <w:t> </w:t>
      </w:r>
      <w:r>
        <w:rPr>
          <w:color w:val="231F20"/>
          <w:sz w:val="20"/>
        </w:rPr>
        <w:t>VILHENA,</w:t>
      </w:r>
      <w:r>
        <w:rPr>
          <w:color w:val="231F20"/>
          <w:spacing w:val="-9"/>
          <w:sz w:val="20"/>
        </w:rPr>
        <w:t> </w:t>
      </w:r>
      <w:r>
        <w:rPr>
          <w:color w:val="231F20"/>
          <w:sz w:val="20"/>
        </w:rPr>
        <w:t>Daniela,</w:t>
      </w:r>
      <w:r>
        <w:rPr>
          <w:color w:val="231F20"/>
          <w:spacing w:val="-9"/>
          <w:sz w:val="20"/>
        </w:rPr>
        <w:t> </w:t>
      </w:r>
      <w:r>
        <w:rPr>
          <w:color w:val="231F20"/>
          <w:sz w:val="20"/>
        </w:rPr>
        <w:t>2006,</w:t>
      </w:r>
      <w:r>
        <w:rPr>
          <w:color w:val="231F20"/>
          <w:spacing w:val="-10"/>
          <w:sz w:val="20"/>
        </w:rPr>
        <w:t> </w:t>
      </w:r>
      <w:r>
        <w:rPr>
          <w:i/>
          <w:color w:val="231F20"/>
          <w:sz w:val="20"/>
        </w:rPr>
        <w:t>Vinculación</w:t>
      </w:r>
      <w:r>
        <w:rPr>
          <w:i/>
          <w:color w:val="231F20"/>
          <w:spacing w:val="-11"/>
          <w:sz w:val="20"/>
        </w:rPr>
        <w:t> </w:t>
      </w:r>
      <w:r>
        <w:rPr>
          <w:i/>
          <w:color w:val="231F20"/>
          <w:sz w:val="20"/>
        </w:rPr>
        <w:t>de</w:t>
      </w:r>
      <w:r>
        <w:rPr>
          <w:i/>
          <w:color w:val="231F20"/>
          <w:spacing w:val="-10"/>
          <w:sz w:val="20"/>
        </w:rPr>
        <w:t> </w:t>
      </w:r>
      <w:r>
        <w:rPr>
          <w:i/>
          <w:color w:val="231F20"/>
          <w:sz w:val="20"/>
        </w:rPr>
        <w:t>los</w:t>
      </w:r>
      <w:r>
        <w:rPr>
          <w:i/>
          <w:color w:val="231F20"/>
          <w:spacing w:val="-10"/>
          <w:sz w:val="20"/>
        </w:rPr>
        <w:t> </w:t>
      </w:r>
      <w:r>
        <w:rPr>
          <w:i/>
          <w:color w:val="231F20"/>
          <w:sz w:val="20"/>
        </w:rPr>
        <w:t>emigrados</w:t>
      </w:r>
      <w:r>
        <w:rPr>
          <w:i/>
          <w:color w:val="231F20"/>
          <w:spacing w:val="-10"/>
          <w:sz w:val="20"/>
        </w:rPr>
        <w:t> </w:t>
      </w:r>
      <w:r>
        <w:rPr>
          <w:i/>
          <w:color w:val="231F20"/>
          <w:sz w:val="20"/>
        </w:rPr>
        <w:t>latinoameri- </w:t>
      </w:r>
      <w:r>
        <w:rPr>
          <w:i/>
          <w:color w:val="231F20"/>
          <w:sz w:val="20"/>
        </w:rPr>
        <w:t>canos y caribeños con su país de origen: transnacionalismo y políticas públicas</w:t>
      </w:r>
      <w:r>
        <w:rPr>
          <w:color w:val="231F20"/>
          <w:sz w:val="20"/>
        </w:rPr>
        <w:t>, </w:t>
      </w:r>
      <w:r>
        <w:rPr>
          <w:color w:val="231F20"/>
          <w:spacing w:val="-4"/>
          <w:sz w:val="20"/>
        </w:rPr>
        <w:t>CEPAL, </w:t>
      </w:r>
      <w:r>
        <w:rPr>
          <w:color w:val="231F20"/>
          <w:sz w:val="20"/>
        </w:rPr>
        <w:t>Santiago de Chile.</w:t>
      </w:r>
    </w:p>
    <w:p>
      <w:pPr>
        <w:pStyle w:val="BodyText"/>
        <w:spacing w:before="9"/>
        <w:rPr>
          <w:sz w:val="15"/>
        </w:rPr>
      </w:pPr>
    </w:p>
    <w:p>
      <w:pPr>
        <w:spacing w:before="0"/>
        <w:ind w:left="117" w:right="0" w:firstLine="0"/>
        <w:jc w:val="both"/>
        <w:rPr>
          <w:i/>
          <w:sz w:val="22"/>
        </w:rPr>
      </w:pPr>
      <w:r>
        <w:rPr>
          <w:i/>
          <w:color w:val="231F20"/>
          <w:sz w:val="22"/>
        </w:rPr>
        <w:t>Artemio López-Ríos</w:t>
      </w:r>
    </w:p>
    <w:p>
      <w:pPr>
        <w:pStyle w:val="BodyText"/>
        <w:spacing w:before="2"/>
        <w:rPr>
          <w:i/>
          <w:sz w:val="23"/>
        </w:rPr>
      </w:pPr>
    </w:p>
    <w:p>
      <w:pPr>
        <w:pStyle w:val="BodyText"/>
        <w:spacing w:line="247" w:lineRule="auto"/>
        <w:ind w:left="117" w:right="115"/>
        <w:jc w:val="both"/>
      </w:pPr>
      <w:r>
        <w:rPr>
          <w:color w:val="231F20"/>
        </w:rPr>
        <w:t>Doctor</w:t>
      </w:r>
      <w:r>
        <w:rPr>
          <w:color w:val="231F20"/>
          <w:spacing w:val="-7"/>
        </w:rPr>
        <w:t> </w:t>
      </w:r>
      <w:r>
        <w:rPr>
          <w:color w:val="231F20"/>
        </w:rPr>
        <w:t>en</w:t>
      </w:r>
      <w:r>
        <w:rPr>
          <w:color w:val="231F20"/>
          <w:spacing w:val="-7"/>
        </w:rPr>
        <w:t> </w:t>
      </w:r>
      <w:r>
        <w:rPr>
          <w:color w:val="231F20"/>
        </w:rPr>
        <w:t>Desarrollo</w:t>
      </w:r>
      <w:r>
        <w:rPr>
          <w:color w:val="231F20"/>
          <w:spacing w:val="-7"/>
        </w:rPr>
        <w:t> </w:t>
      </w:r>
      <w:r>
        <w:rPr>
          <w:color w:val="231F20"/>
        </w:rPr>
        <w:t>Regional</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Universidad</w:t>
      </w:r>
      <w:r>
        <w:rPr>
          <w:color w:val="231F20"/>
          <w:spacing w:val="-18"/>
        </w:rPr>
        <w:t> </w:t>
      </w:r>
      <w:r>
        <w:rPr>
          <w:color w:val="231F20"/>
        </w:rPr>
        <w:t>Autónoma</w:t>
      </w:r>
      <w:r>
        <w:rPr>
          <w:color w:val="231F20"/>
          <w:spacing w:val="-7"/>
        </w:rPr>
        <w:t> </w:t>
      </w:r>
      <w:r>
        <w:rPr>
          <w:color w:val="231F20"/>
        </w:rPr>
        <w:t>de</w:t>
      </w:r>
      <w:r>
        <w:rPr>
          <w:color w:val="231F20"/>
          <w:spacing w:val="-7"/>
        </w:rPr>
        <w:t> </w:t>
      </w:r>
      <w:r>
        <w:rPr>
          <w:color w:val="231F20"/>
        </w:rPr>
        <w:t>Guerrero. Es profesor de tiempo Completo en la Unidad de Ciencias de Desarrollo Regional</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Universidad</w:t>
      </w:r>
      <w:r>
        <w:rPr>
          <w:color w:val="231F20"/>
          <w:spacing w:val="-20"/>
        </w:rPr>
        <w:t> </w:t>
      </w:r>
      <w:r>
        <w:rPr>
          <w:color w:val="231F20"/>
        </w:rPr>
        <w:t>Autónoma</w:t>
      </w:r>
      <w:r>
        <w:rPr>
          <w:color w:val="231F20"/>
          <w:spacing w:val="-9"/>
        </w:rPr>
        <w:t> </w:t>
      </w:r>
      <w:r>
        <w:rPr>
          <w:color w:val="231F20"/>
        </w:rPr>
        <w:t>de</w:t>
      </w:r>
      <w:r>
        <w:rPr>
          <w:color w:val="231F20"/>
          <w:spacing w:val="-9"/>
        </w:rPr>
        <w:t> </w:t>
      </w:r>
      <w:r>
        <w:rPr>
          <w:color w:val="231F20"/>
        </w:rPr>
        <w:t>Guerrero,</w:t>
      </w:r>
      <w:r>
        <w:rPr>
          <w:color w:val="231F20"/>
          <w:spacing w:val="-8"/>
        </w:rPr>
        <w:t> </w:t>
      </w:r>
      <w:r>
        <w:rPr>
          <w:color w:val="231F20"/>
        </w:rPr>
        <w:t>donde</w:t>
      </w:r>
      <w:r>
        <w:rPr>
          <w:color w:val="231F20"/>
          <w:spacing w:val="-9"/>
        </w:rPr>
        <w:t> </w:t>
      </w:r>
      <w:r>
        <w:rPr>
          <w:color w:val="231F20"/>
        </w:rPr>
        <w:t>imparte</w:t>
      </w:r>
      <w:r>
        <w:rPr>
          <w:color w:val="231F20"/>
          <w:spacing w:val="-9"/>
        </w:rPr>
        <w:t> </w:t>
      </w:r>
      <w:r>
        <w:rPr>
          <w:color w:val="231F20"/>
        </w:rPr>
        <w:t>los</w:t>
      </w:r>
      <w:r>
        <w:rPr>
          <w:color w:val="231F20"/>
          <w:spacing w:val="-9"/>
        </w:rPr>
        <w:t> </w:t>
      </w:r>
      <w:r>
        <w:rPr>
          <w:color w:val="231F20"/>
        </w:rPr>
        <w:t>cur- sos</w:t>
      </w:r>
      <w:r>
        <w:rPr>
          <w:color w:val="231F20"/>
          <w:spacing w:val="-19"/>
        </w:rPr>
        <w:t> </w:t>
      </w:r>
      <w:r>
        <w:rPr>
          <w:color w:val="231F20"/>
        </w:rPr>
        <w:t>Análisis</w:t>
      </w:r>
      <w:r>
        <w:rPr>
          <w:color w:val="231F20"/>
          <w:spacing w:val="-6"/>
        </w:rPr>
        <w:t> </w:t>
      </w:r>
      <w:r>
        <w:rPr>
          <w:color w:val="231F20"/>
        </w:rPr>
        <w:t>del</w:t>
      </w:r>
      <w:r>
        <w:rPr>
          <w:color w:val="231F20"/>
          <w:spacing w:val="-7"/>
        </w:rPr>
        <w:t> </w:t>
      </w:r>
      <w:r>
        <w:rPr>
          <w:color w:val="231F20"/>
        </w:rPr>
        <w:t>Desarrollo,</w:t>
      </w:r>
      <w:r>
        <w:rPr>
          <w:color w:val="231F20"/>
          <w:spacing w:val="-6"/>
        </w:rPr>
        <w:t> </w:t>
      </w:r>
      <w:r>
        <w:rPr>
          <w:color w:val="231F20"/>
        </w:rPr>
        <w:t>Economía</w:t>
      </w:r>
      <w:r>
        <w:rPr>
          <w:color w:val="231F20"/>
          <w:spacing w:val="-7"/>
        </w:rPr>
        <w:t> </w:t>
      </w:r>
      <w:r>
        <w:rPr>
          <w:color w:val="231F20"/>
        </w:rPr>
        <w:t>Campesina</w:t>
      </w:r>
      <w:r>
        <w:rPr>
          <w:color w:val="231F20"/>
          <w:spacing w:val="-7"/>
        </w:rPr>
        <w:t> </w:t>
      </w:r>
      <w:r>
        <w:rPr>
          <w:color w:val="231F20"/>
        </w:rPr>
        <w:t>y</w:t>
      </w:r>
      <w:r>
        <w:rPr>
          <w:color w:val="231F20"/>
          <w:spacing w:val="-7"/>
        </w:rPr>
        <w:t> </w:t>
      </w:r>
      <w:r>
        <w:rPr>
          <w:color w:val="231F20"/>
        </w:rPr>
        <w:t>Desarrollo</w:t>
      </w:r>
      <w:r>
        <w:rPr>
          <w:color w:val="231F20"/>
          <w:spacing w:val="-6"/>
        </w:rPr>
        <w:t> </w:t>
      </w:r>
      <w:r>
        <w:rPr>
          <w:color w:val="231F20"/>
        </w:rPr>
        <w:t>Regional</w:t>
      </w:r>
      <w:r>
        <w:rPr>
          <w:color w:val="231F20"/>
          <w:spacing w:val="-7"/>
        </w:rPr>
        <w:t> </w:t>
      </w:r>
      <w:r>
        <w:rPr>
          <w:color w:val="231F20"/>
        </w:rPr>
        <w:t>y el</w:t>
      </w:r>
      <w:r>
        <w:rPr>
          <w:color w:val="231F20"/>
          <w:spacing w:val="-6"/>
        </w:rPr>
        <w:t> </w:t>
      </w:r>
      <w:r>
        <w:rPr>
          <w:color w:val="231F20"/>
        </w:rPr>
        <w:t>Seminario</w:t>
      </w:r>
      <w:r>
        <w:rPr>
          <w:color w:val="231F20"/>
          <w:spacing w:val="-6"/>
        </w:rPr>
        <w:t> </w:t>
      </w:r>
      <w:r>
        <w:rPr>
          <w:color w:val="231F20"/>
        </w:rPr>
        <w:t>Política</w:t>
      </w:r>
      <w:r>
        <w:rPr>
          <w:color w:val="231F20"/>
          <w:spacing w:val="-6"/>
        </w:rPr>
        <w:t> </w:t>
      </w:r>
      <w:r>
        <w:rPr>
          <w:color w:val="231F20"/>
        </w:rPr>
        <w:t>Social,</w:t>
      </w:r>
      <w:r>
        <w:rPr>
          <w:color w:val="231F20"/>
          <w:spacing w:val="-6"/>
        </w:rPr>
        <w:t> </w:t>
      </w:r>
      <w:r>
        <w:rPr>
          <w:color w:val="231F20"/>
        </w:rPr>
        <w:t>Migración</w:t>
      </w:r>
      <w:r>
        <w:rPr>
          <w:color w:val="231F20"/>
          <w:spacing w:val="-6"/>
        </w:rPr>
        <w:t> </w:t>
      </w:r>
      <w:r>
        <w:rPr>
          <w:color w:val="231F20"/>
        </w:rPr>
        <w:t>y</w:t>
      </w:r>
      <w:r>
        <w:rPr>
          <w:color w:val="231F20"/>
          <w:spacing w:val="-6"/>
        </w:rPr>
        <w:t> </w:t>
      </w:r>
      <w:r>
        <w:rPr>
          <w:color w:val="231F20"/>
        </w:rPr>
        <w:t>Desarrollo.</w:t>
      </w:r>
      <w:r>
        <w:rPr>
          <w:color w:val="231F20"/>
          <w:spacing w:val="-6"/>
        </w:rPr>
        <w:t> </w:t>
      </w:r>
      <w:r>
        <w:rPr>
          <w:color w:val="231F20"/>
        </w:rPr>
        <w:t>Es</w:t>
      </w:r>
      <w:r>
        <w:rPr>
          <w:color w:val="231F20"/>
          <w:spacing w:val="-6"/>
        </w:rPr>
        <w:t> </w:t>
      </w:r>
      <w:r>
        <w:rPr>
          <w:color w:val="231F20"/>
        </w:rPr>
        <w:t>perfil</w:t>
      </w:r>
      <w:r>
        <w:rPr>
          <w:color w:val="231F20"/>
          <w:spacing w:val="-6"/>
        </w:rPr>
        <w:t> </w:t>
      </w:r>
      <w:r>
        <w:rPr>
          <w:color w:val="231F20"/>
        </w:rPr>
        <w:t>PROMEP</w:t>
      </w:r>
      <w:r>
        <w:rPr>
          <w:color w:val="231F20"/>
          <w:spacing w:val="-13"/>
        </w:rPr>
        <w:t> </w:t>
      </w:r>
      <w:r>
        <w:rPr>
          <w:color w:val="231F20"/>
        </w:rPr>
        <w:t>e integrante</w:t>
      </w:r>
      <w:r>
        <w:rPr>
          <w:color w:val="231F20"/>
          <w:spacing w:val="-6"/>
        </w:rPr>
        <w:t> </w:t>
      </w:r>
      <w:r>
        <w:rPr>
          <w:color w:val="231F20"/>
        </w:rPr>
        <w:t>de</w:t>
      </w:r>
      <w:r>
        <w:rPr>
          <w:color w:val="231F20"/>
          <w:spacing w:val="-6"/>
        </w:rPr>
        <w:t> </w:t>
      </w:r>
      <w:r>
        <w:rPr>
          <w:color w:val="231F20"/>
        </w:rPr>
        <w:t>Cuerpo</w:t>
      </w:r>
      <w:r>
        <w:rPr>
          <w:color w:val="231F20"/>
          <w:spacing w:val="-17"/>
        </w:rPr>
        <w:t> </w:t>
      </w:r>
      <w:r>
        <w:rPr>
          <w:color w:val="231F20"/>
        </w:rPr>
        <w:t>Académico</w:t>
      </w:r>
      <w:r>
        <w:rPr>
          <w:color w:val="231F20"/>
          <w:spacing w:val="-5"/>
        </w:rPr>
        <w:t> </w:t>
      </w:r>
      <w:r>
        <w:rPr>
          <w:color w:val="231F20"/>
        </w:rPr>
        <w:t>Consolidado.</w:t>
      </w:r>
      <w:r>
        <w:rPr>
          <w:color w:val="231F20"/>
          <w:spacing w:val="-6"/>
        </w:rPr>
        <w:t> </w:t>
      </w:r>
      <w:r>
        <w:rPr>
          <w:color w:val="231F20"/>
        </w:rPr>
        <w:t>Entre</w:t>
      </w:r>
      <w:r>
        <w:rPr>
          <w:color w:val="231F20"/>
          <w:spacing w:val="-6"/>
        </w:rPr>
        <w:t> </w:t>
      </w:r>
      <w:r>
        <w:rPr>
          <w:color w:val="231F20"/>
        </w:rPr>
        <w:t>sus</w:t>
      </w:r>
      <w:r>
        <w:rPr>
          <w:color w:val="231F20"/>
          <w:spacing w:val="-5"/>
        </w:rPr>
        <w:t> </w:t>
      </w:r>
      <w:r>
        <w:rPr>
          <w:color w:val="231F20"/>
        </w:rPr>
        <w:t>publicaciones</w:t>
      </w:r>
      <w:r>
        <w:rPr>
          <w:color w:val="231F20"/>
          <w:spacing w:val="-5"/>
        </w:rPr>
        <w:t> </w:t>
      </w:r>
      <w:r>
        <w:rPr>
          <w:color w:val="231F20"/>
        </w:rPr>
        <w:t>re- cientes destacan “Migración internacional y políticas públicas en el</w:t>
      </w:r>
      <w:r>
        <w:rPr>
          <w:color w:val="231F20"/>
          <w:spacing w:val="-30"/>
        </w:rPr>
        <w:t> </w:t>
      </w:r>
      <w:r>
        <w:rPr>
          <w:color w:val="231F20"/>
        </w:rPr>
        <w:t>estado de Guerrero”, en </w:t>
      </w:r>
      <w:r>
        <w:rPr>
          <w:i/>
          <w:color w:val="231F20"/>
        </w:rPr>
        <w:t>Políticas migratorias y de desarrollo en México</w:t>
      </w:r>
      <w:r>
        <w:rPr>
          <w:color w:val="231F20"/>
        </w:rPr>
        <w:t>, Porrúa, 2012;</w:t>
      </w:r>
      <w:r>
        <w:rPr>
          <w:color w:val="231F20"/>
          <w:spacing w:val="-5"/>
        </w:rPr>
        <w:t> </w:t>
      </w:r>
      <w:r>
        <w:rPr>
          <w:color w:val="231F20"/>
        </w:rPr>
        <w:t>“La</w:t>
      </w:r>
      <w:r>
        <w:rPr>
          <w:color w:val="231F20"/>
          <w:spacing w:val="-5"/>
        </w:rPr>
        <w:t> </w:t>
      </w:r>
      <w:r>
        <w:rPr>
          <w:color w:val="231F20"/>
        </w:rPr>
        <w:t>producción</w:t>
      </w:r>
      <w:r>
        <w:rPr>
          <w:color w:val="231F20"/>
          <w:spacing w:val="-5"/>
        </w:rPr>
        <w:t> </w:t>
      </w:r>
      <w:r>
        <w:rPr>
          <w:color w:val="231F20"/>
        </w:rPr>
        <w:t>cafetalera</w:t>
      </w:r>
      <w:r>
        <w:rPr>
          <w:color w:val="231F20"/>
          <w:spacing w:val="-6"/>
        </w:rPr>
        <w:t> </w:t>
      </w:r>
      <w:r>
        <w:rPr>
          <w:color w:val="231F20"/>
        </w:rPr>
        <w:t>en</w:t>
      </w:r>
      <w:r>
        <w:rPr>
          <w:color w:val="231F20"/>
          <w:spacing w:val="-5"/>
        </w:rPr>
        <w:t> </w:t>
      </w:r>
      <w:r>
        <w:rPr>
          <w:color w:val="231F20"/>
        </w:rPr>
        <w:t>el</w:t>
      </w:r>
      <w:r>
        <w:rPr>
          <w:color w:val="231F20"/>
          <w:spacing w:val="-6"/>
        </w:rPr>
        <w:t> </w:t>
      </w:r>
      <w:r>
        <w:rPr>
          <w:color w:val="231F20"/>
        </w:rPr>
        <w:t>estado</w:t>
      </w:r>
      <w:r>
        <w:rPr>
          <w:color w:val="231F20"/>
          <w:spacing w:val="-6"/>
        </w:rPr>
        <w:t> </w:t>
      </w:r>
      <w:r>
        <w:rPr>
          <w:color w:val="231F20"/>
        </w:rPr>
        <w:t>de</w:t>
      </w:r>
      <w:r>
        <w:rPr>
          <w:color w:val="231F20"/>
          <w:spacing w:val="-5"/>
        </w:rPr>
        <w:t> </w:t>
      </w:r>
      <w:r>
        <w:rPr>
          <w:color w:val="231F20"/>
        </w:rPr>
        <w:t>Guerrero”,</w:t>
      </w:r>
      <w:r>
        <w:rPr>
          <w:color w:val="231F20"/>
          <w:spacing w:val="-5"/>
        </w:rPr>
        <w:t> </w:t>
      </w:r>
      <w:r>
        <w:rPr>
          <w:color w:val="231F20"/>
        </w:rPr>
        <w:t>en</w:t>
      </w:r>
      <w:r>
        <w:rPr>
          <w:color w:val="231F20"/>
          <w:spacing w:val="-6"/>
        </w:rPr>
        <w:t> </w:t>
      </w:r>
      <w:r>
        <w:rPr>
          <w:i/>
          <w:color w:val="231F20"/>
        </w:rPr>
        <w:t>Del</w:t>
      </w:r>
      <w:r>
        <w:rPr>
          <w:i/>
          <w:color w:val="231F20"/>
          <w:spacing w:val="-5"/>
        </w:rPr>
        <w:t> </w:t>
      </w:r>
      <w:r>
        <w:rPr>
          <w:i/>
          <w:color w:val="231F20"/>
        </w:rPr>
        <w:t>sabor</w:t>
      </w:r>
      <w:r>
        <w:rPr>
          <w:i/>
          <w:color w:val="231F20"/>
          <w:spacing w:val="-5"/>
        </w:rPr>
        <w:t> </w:t>
      </w:r>
      <w:r>
        <w:rPr>
          <w:i/>
          <w:color w:val="231F20"/>
        </w:rPr>
        <w:t>a </w:t>
      </w:r>
      <w:r>
        <w:rPr>
          <w:i/>
          <w:color w:val="231F20"/>
        </w:rPr>
        <w:t>café y sus nuevas invenciones</w:t>
      </w:r>
      <w:r>
        <w:rPr>
          <w:color w:val="231F20"/>
        </w:rPr>
        <w:t>, UNAM, 2013, y </w:t>
      </w:r>
      <w:r>
        <w:rPr>
          <w:i/>
          <w:color w:val="231F20"/>
          <w:spacing w:val="-3"/>
        </w:rPr>
        <w:t>Teorías </w:t>
      </w:r>
      <w:r>
        <w:rPr>
          <w:i/>
          <w:color w:val="231F20"/>
        </w:rPr>
        <w:t>y enfoques del de- </w:t>
      </w:r>
      <w:r>
        <w:rPr>
          <w:i/>
          <w:color w:val="231F20"/>
        </w:rPr>
        <w:t>sarrollo </w:t>
      </w:r>
      <w:r>
        <w:rPr>
          <w:color w:val="231F20"/>
        </w:rPr>
        <w:t>(coautor) Plaza y </w:t>
      </w:r>
      <w:r>
        <w:rPr>
          <w:color w:val="231F20"/>
          <w:spacing w:val="-4"/>
        </w:rPr>
        <w:t>Valdez, </w:t>
      </w:r>
      <w:r>
        <w:rPr>
          <w:color w:val="231F20"/>
        </w:rPr>
        <w:t>actualmente en proceso de</w:t>
      </w:r>
      <w:r>
        <w:rPr>
          <w:color w:val="231F20"/>
          <w:spacing w:val="-17"/>
        </w:rPr>
        <w:t> </w:t>
      </w:r>
      <w:r>
        <w:rPr>
          <w:color w:val="231F20"/>
        </w:rPr>
        <w:t>publicación.</w:t>
      </w:r>
    </w:p>
    <w:p>
      <w:pPr>
        <w:pStyle w:val="BodyText"/>
        <w:spacing w:before="6"/>
      </w:pPr>
    </w:p>
    <w:p>
      <w:pPr>
        <w:pStyle w:val="BodyText"/>
        <w:ind w:left="117"/>
        <w:jc w:val="both"/>
      </w:pPr>
      <w:r>
        <w:rPr>
          <w:color w:val="231F20"/>
        </w:rPr>
        <w:t>Correo electrónico: </w:t>
      </w:r>
      <w:hyperlink r:id="rId184">
        <w:r>
          <w:rPr>
            <w:color w:val="231F20"/>
          </w:rPr>
          <w:t>artelora@hotmail.com</w:t>
        </w:r>
      </w:hyperlink>
    </w:p>
    <w:p>
      <w:pPr>
        <w:spacing w:after="0"/>
        <w:jc w:val="both"/>
        <w:sectPr>
          <w:pgSz w:w="9360" w:h="13040"/>
          <w:pgMar w:header="0" w:footer="496" w:top="800" w:bottom="680" w:left="1300" w:right="1300"/>
        </w:sectPr>
      </w:pPr>
    </w:p>
    <w:p>
      <w:pPr>
        <w:pStyle w:val="BodyText"/>
        <w:ind w:left="101"/>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ind w:left="2342" w:right="1195" w:hanging="734"/>
      </w:pPr>
      <w:r>
        <w:rPr/>
        <w:pict>
          <v:shape style="position:absolute;margin-left:47.055pt;margin-top:-44.926628pt;width:353.4pt;height:43.5pt;mso-position-horizontal-relative:page;mso-position-vertical-relative:paragraph;z-index:-638272" type="#_x0000_t202" filled="false" stroked="false">
            <v:textbox inset="0,0,0,0">
              <w:txbxContent>
                <w:p>
                  <w:pPr>
                    <w:pStyle w:val="BodyText"/>
                    <w:rPr>
                      <w:sz w:val="20"/>
                    </w:rPr>
                  </w:pPr>
                </w:p>
                <w:p>
                  <w:pPr>
                    <w:spacing w:before="159"/>
                    <w:ind w:left="1798" w:right="0" w:firstLine="0"/>
                    <w:jc w:val="left"/>
                    <w:rPr>
                      <w:rFonts w:ascii="Arial" w:hAnsi="Arial"/>
                      <w:sz w:val="20"/>
                    </w:rPr>
                  </w:pPr>
                  <w:r>
                    <w:rPr>
                      <w:rFonts w:ascii="Arial" w:hAnsi="Arial"/>
                      <w:color w:val="231F20"/>
                      <w:w w:val="70"/>
                      <w:sz w:val="20"/>
                    </w:rPr>
                    <w:t>Migración y cambio del espacio rural en el noreste michoacano /Iván Jiménez-Maya</w:t>
                  </w:r>
                </w:p>
              </w:txbxContent>
            </v:textbox>
            <w10:wrap type="none"/>
          </v:shape>
        </w:pict>
      </w:r>
      <w:r>
        <w:rPr>
          <w:color w:val="231F20"/>
          <w:w w:val="70"/>
        </w:rPr>
        <w:t>Migración y cambio del espacio rural en el noreste michoacano</w:t>
      </w:r>
    </w:p>
    <w:p>
      <w:pPr>
        <w:pStyle w:val="BodyText"/>
        <w:spacing w:before="8"/>
        <w:rPr>
          <w:b/>
          <w:sz w:val="21"/>
        </w:rPr>
      </w:pPr>
    </w:p>
    <w:p>
      <w:pPr>
        <w:pStyle w:val="Heading2"/>
        <w:spacing w:before="61"/>
        <w:ind w:left="2650" w:right="1063"/>
      </w:pPr>
      <w:r>
        <w:rPr>
          <w:color w:val="231F20"/>
        </w:rPr>
        <w:t>Iván Jiménez-Maya</w:t>
      </w:r>
    </w:p>
    <w:p>
      <w:pPr>
        <w:pStyle w:val="BodyText"/>
        <w:rPr>
          <w:sz w:val="20"/>
        </w:rPr>
      </w:pPr>
    </w:p>
    <w:p>
      <w:pPr>
        <w:pStyle w:val="BodyText"/>
        <w:spacing w:before="8"/>
        <w:rPr>
          <w:sz w:val="17"/>
        </w:rPr>
      </w:pPr>
    </w:p>
    <w:p>
      <w:pPr>
        <w:spacing w:before="0"/>
        <w:ind w:left="1451" w:right="86" w:firstLine="0"/>
        <w:jc w:val="left"/>
        <w:rPr>
          <w:i/>
          <w:sz w:val="22"/>
        </w:rPr>
      </w:pPr>
      <w:r>
        <w:rPr>
          <w:i/>
          <w:color w:val="231F20"/>
          <w:sz w:val="22"/>
        </w:rPr>
        <w:t>Instituto Nacional de Antropología e Historia, México</w:t>
      </w:r>
    </w:p>
    <w:p>
      <w:pPr>
        <w:pStyle w:val="BodyText"/>
        <w:rPr>
          <w:i/>
          <w:sz w:val="20"/>
        </w:rPr>
      </w:pPr>
    </w:p>
    <w:p>
      <w:pPr>
        <w:pStyle w:val="BodyText"/>
        <w:rPr>
          <w:i/>
          <w:sz w:val="20"/>
        </w:rPr>
      </w:pPr>
    </w:p>
    <w:p>
      <w:pPr>
        <w:pStyle w:val="BodyText"/>
        <w:rPr>
          <w:i/>
          <w:sz w:val="20"/>
        </w:rPr>
      </w:pPr>
    </w:p>
    <w:p>
      <w:pPr>
        <w:pStyle w:val="BodyText"/>
        <w:spacing w:before="2"/>
        <w:rPr>
          <w:i/>
          <w:sz w:val="18"/>
        </w:rPr>
      </w:pPr>
    </w:p>
    <w:p>
      <w:pPr>
        <w:pStyle w:val="Heading3"/>
        <w:spacing w:before="69"/>
        <w:ind w:left="577" w:right="1063"/>
        <w:jc w:val="left"/>
      </w:pPr>
      <w:r>
        <w:rPr>
          <w:color w:val="231F20"/>
        </w:rPr>
        <w:t>Introducción</w:t>
      </w:r>
    </w:p>
    <w:p>
      <w:pPr>
        <w:pStyle w:val="BodyText"/>
        <w:rPr>
          <w:b/>
          <w:sz w:val="20"/>
        </w:rPr>
      </w:pPr>
    </w:p>
    <w:p>
      <w:pPr>
        <w:pStyle w:val="BodyText"/>
        <w:spacing w:before="2"/>
        <w:rPr>
          <w:b/>
          <w:sz w:val="30"/>
        </w:rPr>
      </w:pPr>
    </w:p>
    <w:p>
      <w:pPr>
        <w:pStyle w:val="BodyText"/>
        <w:spacing w:line="247" w:lineRule="auto"/>
        <w:ind w:left="1456" w:right="175"/>
        <w:jc w:val="both"/>
      </w:pPr>
      <w:r>
        <w:rPr/>
        <w:pict>
          <v:shape style="position:absolute;margin-left:70.866096pt;margin-top:-4.365922pt;width:36.7pt;height:55pt;mso-position-horizontal-relative:page;mso-position-vertical-relative:paragraph;z-index:-638248" type="#_x0000_t202" filled="false" stroked="false">
            <v:textbox inset="0,0,0,0">
              <w:txbxContent>
                <w:p>
                  <w:pPr>
                    <w:spacing w:line="1100" w:lineRule="exact" w:before="0"/>
                    <w:ind w:left="0" w:right="0" w:firstLine="0"/>
                    <w:jc w:val="left"/>
                    <w:rPr>
                      <w:b/>
                      <w:sz w:val="110"/>
                    </w:rPr>
                  </w:pPr>
                  <w:r>
                    <w:rPr>
                      <w:b/>
                      <w:color w:val="231F20"/>
                      <w:sz w:val="110"/>
                    </w:rPr>
                    <w:t>E</w:t>
                  </w:r>
                </w:p>
              </w:txbxContent>
            </v:textbox>
            <w10:wrap type="none"/>
          </v:shape>
        </w:pict>
      </w:r>
      <w:r>
        <w:rPr>
          <w:color w:val="231F20"/>
        </w:rPr>
        <w:t>n este artículo se hablará de una pequeña región del</w:t>
      </w:r>
      <w:r>
        <w:rPr>
          <w:color w:val="231F20"/>
          <w:spacing w:val="-23"/>
        </w:rPr>
        <w:t> </w:t>
      </w:r>
      <w:r>
        <w:rPr>
          <w:color w:val="231F20"/>
        </w:rPr>
        <w:t>centro-occi- dente de México, ubicada en el municipio de Tangancícuaro de Arista, Michoacán, que se denomina el </w:t>
      </w:r>
      <w:r>
        <w:rPr>
          <w:color w:val="231F20"/>
          <w:spacing w:val="-5"/>
        </w:rPr>
        <w:t>“Valle </w:t>
      </w:r>
      <w:r>
        <w:rPr>
          <w:color w:val="231F20"/>
        </w:rPr>
        <w:t>de </w:t>
      </w:r>
      <w:r>
        <w:rPr>
          <w:color w:val="231F20"/>
          <w:spacing w:val="30"/>
        </w:rPr>
        <w:t> </w:t>
      </w:r>
      <w:r>
        <w:rPr>
          <w:color w:val="231F20"/>
        </w:rPr>
        <w:t>Tangancícua-</w:t>
      </w:r>
    </w:p>
    <w:p>
      <w:pPr>
        <w:pStyle w:val="BodyText"/>
        <w:spacing w:line="232" w:lineRule="exact"/>
        <w:ind w:left="577"/>
        <w:jc w:val="both"/>
      </w:pPr>
      <w:r>
        <w:rPr>
          <w:color w:val="231F20"/>
        </w:rPr>
        <w:t>ro”, el cual se encuentra ubicado en el noroeste del estado de  Michoacán,</w:t>
      </w:r>
    </w:p>
    <w:p>
      <w:pPr>
        <w:pStyle w:val="BodyText"/>
        <w:spacing w:line="247" w:lineRule="auto" w:before="7"/>
        <w:ind w:left="577" w:right="174"/>
        <w:jc w:val="both"/>
      </w:pPr>
      <w:r>
        <w:rPr>
          <w:color w:val="231F20"/>
        </w:rPr>
        <w:t>en</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varios</w:t>
      </w:r>
      <w:r>
        <w:rPr>
          <w:color w:val="231F20"/>
          <w:spacing w:val="-5"/>
        </w:rPr>
        <w:t> </w:t>
      </w:r>
      <w:r>
        <w:rPr>
          <w:color w:val="231F20"/>
        </w:rPr>
        <w:t>autores</w:t>
      </w:r>
      <w:r>
        <w:rPr>
          <w:color w:val="231F20"/>
          <w:spacing w:val="-5"/>
        </w:rPr>
        <w:t> </w:t>
      </w:r>
      <w:r>
        <w:rPr>
          <w:color w:val="231F20"/>
        </w:rPr>
        <w:t>denominan</w:t>
      </w:r>
      <w:r>
        <w:rPr>
          <w:color w:val="231F20"/>
          <w:spacing w:val="-5"/>
        </w:rPr>
        <w:t> </w:t>
      </w:r>
      <w:r>
        <w:rPr>
          <w:color w:val="231F20"/>
        </w:rPr>
        <w:t>el</w:t>
      </w:r>
      <w:r>
        <w:rPr>
          <w:color w:val="231F20"/>
          <w:spacing w:val="-5"/>
        </w:rPr>
        <w:t> </w:t>
      </w:r>
      <w:r>
        <w:rPr>
          <w:color w:val="231F20"/>
        </w:rPr>
        <w:t>Bajío</w:t>
      </w:r>
      <w:r>
        <w:rPr>
          <w:color w:val="231F20"/>
          <w:spacing w:val="-5"/>
        </w:rPr>
        <w:t> </w:t>
      </w:r>
      <w:r>
        <w:rPr>
          <w:color w:val="231F20"/>
        </w:rPr>
        <w:t>zamorano</w:t>
      </w:r>
      <w:r>
        <w:rPr>
          <w:i/>
          <w:color w:val="231F20"/>
        </w:rPr>
        <w:t>.</w:t>
      </w:r>
      <w:r>
        <w:rPr>
          <w:i/>
          <w:color w:val="231F20"/>
          <w:spacing w:val="-5"/>
        </w:rPr>
        <w:t> </w:t>
      </w:r>
      <w:r>
        <w:rPr>
          <w:color w:val="231F20"/>
        </w:rPr>
        <w:t>Como</w:t>
      </w:r>
      <w:r>
        <w:rPr>
          <w:color w:val="231F20"/>
          <w:spacing w:val="-5"/>
        </w:rPr>
        <w:t> </w:t>
      </w:r>
      <w:r>
        <w:rPr>
          <w:color w:val="231F20"/>
        </w:rPr>
        <w:t>refiere</w:t>
      </w:r>
      <w:r>
        <w:rPr>
          <w:color w:val="231F20"/>
          <w:spacing w:val="-5"/>
        </w:rPr>
        <w:t> </w:t>
      </w:r>
      <w:r>
        <w:rPr>
          <w:color w:val="231F20"/>
        </w:rPr>
        <w:t>Mar- garita Calleja (1986: 330-331), “el Bajío zamorano, propiamente dicho,</w:t>
      </w:r>
      <w:r>
        <w:rPr>
          <w:color w:val="231F20"/>
          <w:spacing w:val="-18"/>
        </w:rPr>
        <w:t> </w:t>
      </w:r>
      <w:r>
        <w:rPr>
          <w:color w:val="231F20"/>
        </w:rPr>
        <w:t>se limita a los valles más occidentales [de Zamora] que son los de la Guaru- cha, Chavinda, Ciénaga de Chapala, Ecuandureo, Churintzio, Tlazazalca, Purépero,</w:t>
      </w:r>
      <w:r>
        <w:rPr>
          <w:color w:val="231F20"/>
          <w:spacing w:val="-20"/>
        </w:rPr>
        <w:t> </w:t>
      </w:r>
      <w:r>
        <w:rPr>
          <w:color w:val="231F20"/>
        </w:rPr>
        <w:t>Tangancícuaro</w:t>
      </w:r>
      <w:r>
        <w:rPr>
          <w:color w:val="231F20"/>
          <w:spacing w:val="-17"/>
        </w:rPr>
        <w:t> </w:t>
      </w:r>
      <w:r>
        <w:rPr>
          <w:color w:val="231F20"/>
        </w:rPr>
        <w:t>y</w:t>
      </w:r>
      <w:r>
        <w:rPr>
          <w:color w:val="231F20"/>
          <w:spacing w:val="-17"/>
        </w:rPr>
        <w:t> </w:t>
      </w:r>
      <w:r>
        <w:rPr>
          <w:color w:val="231F20"/>
        </w:rPr>
        <w:t>Zamora”.</w:t>
      </w:r>
      <w:r>
        <w:rPr>
          <w:color w:val="231F20"/>
          <w:spacing w:val="-28"/>
        </w:rPr>
        <w:t> </w:t>
      </w:r>
      <w:r>
        <w:rPr>
          <w:color w:val="231F20"/>
        </w:rPr>
        <w:t>Al</w:t>
      </w:r>
      <w:r>
        <w:rPr>
          <w:color w:val="231F20"/>
          <w:spacing w:val="-21"/>
        </w:rPr>
        <w:t> </w:t>
      </w:r>
      <w:r>
        <w:rPr>
          <w:color w:val="231F20"/>
          <w:spacing w:val="-5"/>
        </w:rPr>
        <w:t>Valle</w:t>
      </w:r>
      <w:r>
        <w:rPr>
          <w:color w:val="231F20"/>
          <w:spacing w:val="-17"/>
        </w:rPr>
        <w:t> </w:t>
      </w:r>
      <w:r>
        <w:rPr>
          <w:color w:val="231F20"/>
        </w:rPr>
        <w:t>de</w:t>
      </w:r>
      <w:r>
        <w:rPr>
          <w:color w:val="231F20"/>
          <w:spacing w:val="-21"/>
        </w:rPr>
        <w:t> </w:t>
      </w:r>
      <w:r>
        <w:rPr>
          <w:color w:val="231F20"/>
        </w:rPr>
        <w:t>Tangancícuaro</w:t>
      </w:r>
      <w:r>
        <w:rPr>
          <w:color w:val="231F20"/>
          <w:spacing w:val="-18"/>
        </w:rPr>
        <w:t> </w:t>
      </w:r>
      <w:r>
        <w:rPr>
          <w:color w:val="231F20"/>
        </w:rPr>
        <w:t>lo</w:t>
      </w:r>
      <w:r>
        <w:rPr>
          <w:color w:val="231F20"/>
          <w:spacing w:val="-17"/>
        </w:rPr>
        <w:t> </w:t>
      </w:r>
      <w:r>
        <w:rPr>
          <w:color w:val="231F20"/>
        </w:rPr>
        <w:t>integran la</w:t>
      </w:r>
      <w:r>
        <w:rPr>
          <w:color w:val="231F20"/>
          <w:spacing w:val="-12"/>
        </w:rPr>
        <w:t> </w:t>
      </w:r>
      <w:r>
        <w:rPr>
          <w:color w:val="231F20"/>
        </w:rPr>
        <w:t>cabecera</w:t>
      </w:r>
      <w:r>
        <w:rPr>
          <w:color w:val="231F20"/>
          <w:spacing w:val="-12"/>
        </w:rPr>
        <w:t> </w:t>
      </w:r>
      <w:r>
        <w:rPr>
          <w:color w:val="231F20"/>
        </w:rPr>
        <w:t>municipal</w:t>
      </w:r>
      <w:r>
        <w:rPr>
          <w:color w:val="231F20"/>
          <w:spacing w:val="-16"/>
        </w:rPr>
        <w:t> </w:t>
      </w:r>
      <w:r>
        <w:rPr>
          <w:color w:val="231F20"/>
        </w:rPr>
        <w:t>Tangancícuaro</w:t>
      </w:r>
      <w:r>
        <w:rPr>
          <w:color w:val="231F20"/>
          <w:spacing w:val="-12"/>
        </w:rPr>
        <w:t> </w:t>
      </w:r>
      <w:r>
        <w:rPr>
          <w:color w:val="231F20"/>
        </w:rPr>
        <w:t>y</w:t>
      </w:r>
      <w:r>
        <w:rPr>
          <w:color w:val="231F20"/>
          <w:spacing w:val="-11"/>
        </w:rPr>
        <w:t> </w:t>
      </w:r>
      <w:r>
        <w:rPr>
          <w:color w:val="231F20"/>
        </w:rPr>
        <w:t>cuatro</w:t>
      </w:r>
      <w:r>
        <w:rPr>
          <w:color w:val="231F20"/>
          <w:spacing w:val="-12"/>
        </w:rPr>
        <w:t> </w:t>
      </w:r>
      <w:r>
        <w:rPr>
          <w:color w:val="231F20"/>
        </w:rPr>
        <w:t>tenencias,</w:t>
      </w:r>
      <w:r>
        <w:rPr>
          <w:color w:val="231F20"/>
          <w:spacing w:val="-12"/>
        </w:rPr>
        <w:t> </w:t>
      </w:r>
      <w:r>
        <w:rPr>
          <w:color w:val="231F20"/>
        </w:rPr>
        <w:t>a</w:t>
      </w:r>
      <w:r>
        <w:rPr>
          <w:color w:val="231F20"/>
          <w:spacing w:val="-12"/>
        </w:rPr>
        <w:t> </w:t>
      </w:r>
      <w:r>
        <w:rPr>
          <w:color w:val="231F20"/>
        </w:rPr>
        <w:t>saber:</w:t>
      </w:r>
      <w:r>
        <w:rPr>
          <w:color w:val="231F20"/>
          <w:spacing w:val="-12"/>
        </w:rPr>
        <w:t> </w:t>
      </w:r>
      <w:r>
        <w:rPr>
          <w:color w:val="231F20"/>
        </w:rPr>
        <w:t>Francisco</w:t>
      </w:r>
    </w:p>
    <w:p>
      <w:pPr>
        <w:pStyle w:val="BodyText"/>
        <w:spacing w:line="247" w:lineRule="auto"/>
        <w:ind w:left="577" w:right="174"/>
        <w:jc w:val="both"/>
      </w:pPr>
      <w:r>
        <w:rPr>
          <w:color w:val="231F20"/>
        </w:rPr>
        <w:t>J. Múgica, Gómez Farías, San Antonio Ocampo, Valle de Guadalupe. En general estas comunidades tienen en común su vocación agrícola, y la mi- gración que es de una larga data y alta incidencia desde la segunda mitad del siglo XIX. Desde la época colonial hasta entrado el siglo XX en este Valle se establecieron distintos tipos de asentamientos humanos que a la vez crearon estancias ganaderas, así como haciendas (Canindo, La Gua- rucha, Noroto, Junguaran y su rancho-hacienda Camécuaro) para el uso y aprovechamiento de la tierra; en donde se cultivaban trigo, maíz y fríjol, principalmente</w:t>
      </w:r>
    </w:p>
    <w:p>
      <w:pPr>
        <w:pStyle w:val="Heading3"/>
        <w:ind w:left="577"/>
      </w:pPr>
      <w:r>
        <w:rPr>
          <w:color w:val="231F20"/>
        </w:rPr>
        <w:t>Periodos migratorios</w:t>
      </w:r>
    </w:p>
    <w:p>
      <w:pPr>
        <w:pStyle w:val="BodyText"/>
        <w:spacing w:line="247" w:lineRule="auto" w:before="172"/>
        <w:ind w:left="577" w:right="174"/>
        <w:jc w:val="both"/>
      </w:pPr>
      <w:r>
        <w:rPr>
          <w:color w:val="231F20"/>
        </w:rPr>
        <w:t>A finales del siglo XIX y principios del XX con la implementación del ferrocarril, la migración de fuerza de trabajo adquirió otras</w:t>
      </w:r>
      <w:r>
        <w:rPr>
          <w:color w:val="231F20"/>
          <w:spacing w:val="-17"/>
        </w:rPr>
        <w:t> </w:t>
      </w:r>
      <w:r>
        <w:rPr>
          <w:color w:val="231F20"/>
        </w:rPr>
        <w:t>características, ya que por ese medio se movilizó una cantidad significativa de fuerza  </w:t>
      </w:r>
      <w:r>
        <w:rPr>
          <w:color w:val="231F20"/>
          <w:spacing w:val="10"/>
        </w:rPr>
        <w:t> </w:t>
      </w:r>
      <w:r>
        <w:rPr>
          <w:color w:val="231F20"/>
        </w:rPr>
        <w:t>de</w:t>
      </w:r>
    </w:p>
    <w:p>
      <w:pPr>
        <w:spacing w:after="0" w:line="247" w:lineRule="auto"/>
        <w:jc w:val="both"/>
        <w:sectPr>
          <w:pgSz w:w="9360" w:h="13040"/>
          <w:pgMar w:header="0" w:footer="496" w:top="400" w:bottom="680" w:left="840" w:right="124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jc w:val="both"/>
      </w:pPr>
      <w:r>
        <w:rPr>
          <w:color w:val="231F20"/>
        </w:rPr>
        <w:t>trabajo mexicana a la frontera con Estados Unidos y donde también algu- nos oriundos del </w:t>
      </w:r>
      <w:r>
        <w:rPr>
          <w:color w:val="231F20"/>
          <w:spacing w:val="-5"/>
        </w:rPr>
        <w:t>Valle </w:t>
      </w:r>
      <w:r>
        <w:rPr>
          <w:color w:val="231F20"/>
        </w:rPr>
        <w:t>de Tangancícuaro hicieron acto de presencia. Esta migración se liga con distintas coyunturas y acontecimientos sucedidos tanto en México como en Estados Unidos. </w:t>
      </w:r>
      <w:r>
        <w:rPr>
          <w:color w:val="231F20"/>
          <w:spacing w:val="-12"/>
        </w:rPr>
        <w:t>Ya </w:t>
      </w:r>
      <w:r>
        <w:rPr>
          <w:color w:val="231F20"/>
        </w:rPr>
        <w:t>fuera documentada o indo- cumentada</w:t>
      </w:r>
      <w:r>
        <w:rPr>
          <w:color w:val="231F20"/>
          <w:spacing w:val="-6"/>
        </w:rPr>
        <w:t> </w:t>
      </w:r>
      <w:r>
        <w:rPr>
          <w:color w:val="231F20"/>
        </w:rPr>
        <w:t>la</w:t>
      </w:r>
      <w:r>
        <w:rPr>
          <w:color w:val="231F20"/>
          <w:spacing w:val="-5"/>
        </w:rPr>
        <w:t> </w:t>
      </w:r>
      <w:r>
        <w:rPr>
          <w:color w:val="231F20"/>
        </w:rPr>
        <w:t>migración</w:t>
      </w:r>
      <w:r>
        <w:rPr>
          <w:color w:val="231F20"/>
          <w:spacing w:val="-6"/>
        </w:rPr>
        <w:t> </w:t>
      </w:r>
      <w:r>
        <w:rPr>
          <w:color w:val="231F20"/>
        </w:rPr>
        <w:t>se</w:t>
      </w:r>
      <w:r>
        <w:rPr>
          <w:color w:val="231F20"/>
          <w:spacing w:val="-5"/>
        </w:rPr>
        <w:t> </w:t>
      </w:r>
      <w:r>
        <w:rPr>
          <w:color w:val="231F20"/>
        </w:rPr>
        <w:t>dio</w:t>
      </w:r>
      <w:r>
        <w:rPr>
          <w:color w:val="231F20"/>
          <w:spacing w:val="-5"/>
        </w:rPr>
        <w:t> </w:t>
      </w:r>
      <w:r>
        <w:rPr>
          <w:color w:val="231F20"/>
        </w:rPr>
        <w:t>en</w:t>
      </w:r>
      <w:r>
        <w:rPr>
          <w:color w:val="231F20"/>
          <w:spacing w:val="-5"/>
        </w:rPr>
        <w:t> </w:t>
      </w:r>
      <w:r>
        <w:rPr>
          <w:color w:val="231F20"/>
        </w:rPr>
        <w:t>función</w:t>
      </w:r>
      <w:r>
        <w:rPr>
          <w:color w:val="231F20"/>
          <w:spacing w:val="-5"/>
        </w:rPr>
        <w:t> </w:t>
      </w:r>
      <w:r>
        <w:rPr>
          <w:color w:val="231F20"/>
        </w:rPr>
        <w:t>de</w:t>
      </w:r>
      <w:r>
        <w:rPr>
          <w:color w:val="231F20"/>
          <w:spacing w:val="-5"/>
        </w:rPr>
        <w:t> </w:t>
      </w:r>
      <w:r>
        <w:rPr>
          <w:color w:val="231F20"/>
        </w:rPr>
        <w:t>buscar</w:t>
      </w:r>
      <w:r>
        <w:rPr>
          <w:color w:val="231F20"/>
          <w:spacing w:val="-5"/>
        </w:rPr>
        <w:t> </w:t>
      </w:r>
      <w:r>
        <w:rPr>
          <w:color w:val="231F20"/>
        </w:rPr>
        <w:t>mejores</w:t>
      </w:r>
      <w:r>
        <w:rPr>
          <w:color w:val="231F20"/>
          <w:spacing w:val="-6"/>
        </w:rPr>
        <w:t> </w:t>
      </w:r>
      <w:r>
        <w:rPr>
          <w:color w:val="231F20"/>
        </w:rPr>
        <w:t>ingresos</w:t>
      </w:r>
      <w:r>
        <w:rPr>
          <w:color w:val="231F20"/>
          <w:spacing w:val="-6"/>
        </w:rPr>
        <w:t> </w:t>
      </w:r>
      <w:r>
        <w:rPr>
          <w:color w:val="231F20"/>
          <w:spacing w:val="-8"/>
        </w:rPr>
        <w:t>y,</w:t>
      </w:r>
      <w:r>
        <w:rPr>
          <w:color w:val="231F20"/>
          <w:spacing w:val="-5"/>
        </w:rPr>
        <w:t> </w:t>
      </w:r>
      <w:r>
        <w:rPr>
          <w:color w:val="231F20"/>
        </w:rPr>
        <w:t>en muchos de los casos, como una forma de capitalizarse e invertir el dinero obtenido</w:t>
      </w:r>
      <w:r>
        <w:rPr>
          <w:color w:val="231F20"/>
          <w:spacing w:val="-8"/>
        </w:rPr>
        <w:t> </w:t>
      </w:r>
      <w:r>
        <w:rPr>
          <w:color w:val="231F20"/>
        </w:rPr>
        <w:t>en</w:t>
      </w:r>
      <w:r>
        <w:rPr>
          <w:color w:val="231F20"/>
          <w:spacing w:val="-8"/>
        </w:rPr>
        <w:t> </w:t>
      </w:r>
      <w:r>
        <w:rPr>
          <w:color w:val="231F20"/>
        </w:rPr>
        <w:t>Estados</w:t>
      </w:r>
      <w:r>
        <w:rPr>
          <w:color w:val="231F20"/>
          <w:spacing w:val="-8"/>
        </w:rPr>
        <w:t> </w:t>
      </w:r>
      <w:r>
        <w:rPr>
          <w:color w:val="231F20"/>
        </w:rPr>
        <w:t>Unidos</w:t>
      </w:r>
      <w:r>
        <w:rPr>
          <w:color w:val="231F20"/>
          <w:spacing w:val="-8"/>
        </w:rPr>
        <w:t> </w:t>
      </w:r>
      <w:r>
        <w:rPr>
          <w:color w:val="231F20"/>
        </w:rPr>
        <w:t>en</w:t>
      </w:r>
      <w:r>
        <w:rPr>
          <w:color w:val="231F20"/>
          <w:spacing w:val="-8"/>
        </w:rPr>
        <w:t> </w:t>
      </w:r>
      <w:r>
        <w:rPr>
          <w:color w:val="231F20"/>
        </w:rPr>
        <w:t>hacer</w:t>
      </w:r>
      <w:r>
        <w:rPr>
          <w:color w:val="231F20"/>
          <w:spacing w:val="-8"/>
        </w:rPr>
        <w:t> </w:t>
      </w:r>
      <w:r>
        <w:rPr>
          <w:color w:val="231F20"/>
        </w:rPr>
        <w:t>producir</w:t>
      </w:r>
      <w:r>
        <w:rPr>
          <w:color w:val="231F20"/>
          <w:spacing w:val="-8"/>
        </w:rPr>
        <w:t> </w:t>
      </w:r>
      <w:r>
        <w:rPr>
          <w:color w:val="231F20"/>
        </w:rPr>
        <w:t>sus</w:t>
      </w:r>
      <w:r>
        <w:rPr>
          <w:color w:val="231F20"/>
          <w:spacing w:val="-8"/>
        </w:rPr>
        <w:t> </w:t>
      </w:r>
      <w:r>
        <w:rPr>
          <w:color w:val="231F20"/>
        </w:rPr>
        <w:t>tierras</w:t>
      </w:r>
      <w:r>
        <w:rPr>
          <w:color w:val="231F20"/>
          <w:spacing w:val="-8"/>
        </w:rPr>
        <w:t> </w:t>
      </w:r>
      <w:r>
        <w:rPr>
          <w:color w:val="231F20"/>
        </w:rPr>
        <w:t>y</w:t>
      </w:r>
      <w:r>
        <w:rPr>
          <w:color w:val="231F20"/>
          <w:spacing w:val="-8"/>
        </w:rPr>
        <w:t> </w:t>
      </w:r>
      <w:r>
        <w:rPr>
          <w:color w:val="231F20"/>
        </w:rPr>
        <w:t>obtener</w:t>
      </w:r>
      <w:r>
        <w:rPr>
          <w:color w:val="231F20"/>
          <w:spacing w:val="-8"/>
        </w:rPr>
        <w:t> </w:t>
      </w:r>
      <w:r>
        <w:rPr>
          <w:color w:val="231F20"/>
        </w:rPr>
        <w:t>los</w:t>
      </w:r>
      <w:r>
        <w:rPr>
          <w:color w:val="231F20"/>
          <w:spacing w:val="-8"/>
        </w:rPr>
        <w:t> </w:t>
      </w:r>
      <w:r>
        <w:rPr>
          <w:color w:val="231F20"/>
        </w:rPr>
        <w:t>gra- nos básicos (maíz, trigo y frijol) para el sustento de la</w:t>
      </w:r>
      <w:r>
        <w:rPr>
          <w:color w:val="231F20"/>
          <w:spacing w:val="-9"/>
        </w:rPr>
        <w:t> </w:t>
      </w:r>
      <w:r>
        <w:rPr>
          <w:color w:val="231F20"/>
        </w:rPr>
        <w:t>familia.</w:t>
      </w:r>
    </w:p>
    <w:p>
      <w:pPr>
        <w:pStyle w:val="BodyText"/>
        <w:spacing w:line="247" w:lineRule="auto"/>
        <w:ind w:left="117" w:right="114" w:firstLine="283"/>
        <w:jc w:val="both"/>
      </w:pPr>
      <w:r>
        <w:rPr>
          <w:color w:val="231F20"/>
        </w:rPr>
        <w:t>Con esta migración de comienzos del siglo XX, se dejaron sentadas las bases de lo que en el segundo Programa Bracero (1942-1964) —con la salida</w:t>
      </w:r>
      <w:r>
        <w:rPr>
          <w:color w:val="231F20"/>
          <w:spacing w:val="-9"/>
        </w:rPr>
        <w:t> </w:t>
      </w:r>
      <w:r>
        <w:rPr>
          <w:color w:val="231F20"/>
        </w:rPr>
        <w:t>masiva</w:t>
      </w:r>
      <w:r>
        <w:rPr>
          <w:color w:val="231F20"/>
          <w:spacing w:val="-10"/>
        </w:rPr>
        <w:t> </w:t>
      </w:r>
      <w:r>
        <w:rPr>
          <w:color w:val="231F20"/>
        </w:rPr>
        <w:t>de</w:t>
      </w:r>
      <w:r>
        <w:rPr>
          <w:color w:val="231F20"/>
          <w:spacing w:val="-9"/>
        </w:rPr>
        <w:t> </w:t>
      </w:r>
      <w:r>
        <w:rPr>
          <w:color w:val="231F20"/>
        </w:rPr>
        <w:t>personas</w:t>
      </w:r>
      <w:r>
        <w:rPr>
          <w:color w:val="231F20"/>
          <w:spacing w:val="-9"/>
        </w:rPr>
        <w:t> </w:t>
      </w:r>
      <w:r>
        <w:rPr>
          <w:color w:val="231F20"/>
        </w:rPr>
        <w:t>contratadas</w:t>
      </w:r>
      <w:r>
        <w:rPr>
          <w:color w:val="231F20"/>
          <w:spacing w:val="-10"/>
        </w:rPr>
        <w:t> </w:t>
      </w:r>
      <w:r>
        <w:rPr>
          <w:color w:val="231F20"/>
        </w:rPr>
        <w:t>para</w:t>
      </w:r>
      <w:r>
        <w:rPr>
          <w:color w:val="231F20"/>
          <w:spacing w:val="-9"/>
        </w:rPr>
        <w:t> </w:t>
      </w:r>
      <w:r>
        <w:rPr>
          <w:color w:val="231F20"/>
        </w:rPr>
        <w:t>laborar</w:t>
      </w:r>
      <w:r>
        <w:rPr>
          <w:color w:val="231F20"/>
          <w:spacing w:val="-10"/>
        </w:rPr>
        <w:t> </w:t>
      </w:r>
      <w:r>
        <w:rPr>
          <w:color w:val="231F20"/>
        </w:rPr>
        <w:t>en</w:t>
      </w:r>
      <w:r>
        <w:rPr>
          <w:color w:val="231F20"/>
          <w:spacing w:val="-9"/>
        </w:rPr>
        <w:t> </w:t>
      </w:r>
      <w:r>
        <w:rPr>
          <w:color w:val="231F20"/>
        </w:rPr>
        <w:t>los</w:t>
      </w:r>
      <w:r>
        <w:rPr>
          <w:color w:val="231F20"/>
          <w:spacing w:val="-9"/>
        </w:rPr>
        <w:t> </w:t>
      </w:r>
      <w:r>
        <w:rPr>
          <w:color w:val="231F20"/>
        </w:rPr>
        <w:t>campos</w:t>
      </w:r>
      <w:r>
        <w:rPr>
          <w:color w:val="231F20"/>
          <w:spacing w:val="-9"/>
        </w:rPr>
        <w:t> </w:t>
      </w:r>
      <w:r>
        <w:rPr>
          <w:color w:val="231F20"/>
        </w:rPr>
        <w:t>agrícolas estadounidenses— sería una vinculación orgánica entre la migración y el espacio</w:t>
      </w:r>
      <w:r>
        <w:rPr>
          <w:color w:val="231F20"/>
          <w:spacing w:val="-10"/>
        </w:rPr>
        <w:t> </w:t>
      </w:r>
      <w:r>
        <w:rPr>
          <w:color w:val="231F20"/>
        </w:rPr>
        <w:t>rural</w:t>
      </w:r>
      <w:r>
        <w:rPr>
          <w:color w:val="231F20"/>
          <w:spacing w:val="-10"/>
        </w:rPr>
        <w:t> </w:t>
      </w:r>
      <w:r>
        <w:rPr>
          <w:color w:val="231F20"/>
        </w:rPr>
        <w:t>del</w:t>
      </w:r>
      <w:r>
        <w:rPr>
          <w:color w:val="231F20"/>
          <w:spacing w:val="-14"/>
        </w:rPr>
        <w:t> </w:t>
      </w:r>
      <w:r>
        <w:rPr>
          <w:color w:val="231F20"/>
          <w:spacing w:val="-5"/>
        </w:rPr>
        <w:t>Valle</w:t>
      </w:r>
      <w:r>
        <w:rPr>
          <w:color w:val="231F20"/>
          <w:spacing w:val="-10"/>
        </w:rPr>
        <w:t> </w:t>
      </w:r>
      <w:r>
        <w:rPr>
          <w:color w:val="231F20"/>
        </w:rPr>
        <w:t>de</w:t>
      </w:r>
      <w:r>
        <w:rPr>
          <w:color w:val="231F20"/>
          <w:spacing w:val="-14"/>
        </w:rPr>
        <w:t> </w:t>
      </w:r>
      <w:r>
        <w:rPr>
          <w:color w:val="231F20"/>
        </w:rPr>
        <w:t>Tangancícuaro,</w:t>
      </w:r>
      <w:r>
        <w:rPr>
          <w:color w:val="231F20"/>
          <w:spacing w:val="-11"/>
        </w:rPr>
        <w:t> </w:t>
      </w:r>
      <w:r>
        <w:rPr>
          <w:color w:val="231F20"/>
        </w:rPr>
        <w:t>dando</w:t>
      </w:r>
      <w:r>
        <w:rPr>
          <w:color w:val="231F20"/>
          <w:spacing w:val="-10"/>
        </w:rPr>
        <w:t> </w:t>
      </w:r>
      <w:r>
        <w:rPr>
          <w:color w:val="231F20"/>
        </w:rPr>
        <w:t>como</w:t>
      </w:r>
      <w:r>
        <w:rPr>
          <w:color w:val="231F20"/>
          <w:spacing w:val="-10"/>
        </w:rPr>
        <w:t> </w:t>
      </w:r>
      <w:r>
        <w:rPr>
          <w:color w:val="231F20"/>
        </w:rPr>
        <w:t>resultado</w:t>
      </w:r>
      <w:r>
        <w:rPr>
          <w:color w:val="231F20"/>
          <w:spacing w:val="-10"/>
        </w:rPr>
        <w:t> </w:t>
      </w:r>
      <w:r>
        <w:rPr>
          <w:color w:val="231F20"/>
        </w:rPr>
        <w:t>un</w:t>
      </w:r>
      <w:r>
        <w:rPr>
          <w:color w:val="231F20"/>
          <w:spacing w:val="-10"/>
        </w:rPr>
        <w:t> </w:t>
      </w:r>
      <w:r>
        <w:rPr>
          <w:color w:val="231F20"/>
        </w:rPr>
        <w:t>cambio en</w:t>
      </w:r>
      <w:r>
        <w:rPr>
          <w:color w:val="231F20"/>
          <w:spacing w:val="-5"/>
        </w:rPr>
        <w:t> </w:t>
      </w:r>
      <w:r>
        <w:rPr>
          <w:color w:val="231F20"/>
        </w:rPr>
        <w:t>la</w:t>
      </w:r>
      <w:r>
        <w:rPr>
          <w:color w:val="231F20"/>
          <w:spacing w:val="-5"/>
        </w:rPr>
        <w:t> </w:t>
      </w:r>
      <w:r>
        <w:rPr>
          <w:color w:val="231F20"/>
        </w:rPr>
        <w:t>vida</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dinámica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comunidades</w:t>
      </w:r>
      <w:r>
        <w:rPr>
          <w:color w:val="231F20"/>
          <w:spacing w:val="-6"/>
        </w:rPr>
        <w:t> </w:t>
      </w:r>
      <w:r>
        <w:rPr>
          <w:color w:val="231F20"/>
        </w:rPr>
        <w:t>de</w:t>
      </w:r>
      <w:r>
        <w:rPr>
          <w:color w:val="231F20"/>
          <w:spacing w:val="-5"/>
        </w:rPr>
        <w:t> </w:t>
      </w:r>
      <w:r>
        <w:rPr>
          <w:color w:val="231F20"/>
        </w:rPr>
        <w:t>ese</w:t>
      </w:r>
      <w:r>
        <w:rPr>
          <w:color w:val="231F20"/>
          <w:spacing w:val="-9"/>
        </w:rPr>
        <w:t> </w:t>
      </w:r>
      <w:r>
        <w:rPr>
          <w:color w:val="231F20"/>
          <w:spacing w:val="-5"/>
        </w:rPr>
        <w:t>Valle. </w:t>
      </w:r>
      <w:r>
        <w:rPr>
          <w:color w:val="231F20"/>
        </w:rPr>
        <w:t>Por</w:t>
      </w:r>
      <w:r>
        <w:rPr>
          <w:color w:val="231F20"/>
          <w:spacing w:val="-5"/>
        </w:rPr>
        <w:t> </w:t>
      </w:r>
      <w:r>
        <w:rPr>
          <w:color w:val="231F20"/>
        </w:rPr>
        <w:t>otro</w:t>
      </w:r>
      <w:r>
        <w:rPr>
          <w:color w:val="231F20"/>
          <w:spacing w:val="-5"/>
        </w:rPr>
        <w:t> </w:t>
      </w:r>
      <w:r>
        <w:rPr>
          <w:color w:val="231F20"/>
        </w:rPr>
        <w:t>lado,</w:t>
      </w:r>
      <w:r>
        <w:rPr>
          <w:color w:val="231F20"/>
          <w:spacing w:val="-5"/>
        </w:rPr>
        <w:t> </w:t>
      </w:r>
      <w:r>
        <w:rPr>
          <w:color w:val="231F20"/>
        </w:rPr>
        <w:t>las problemáticas</w:t>
      </w:r>
      <w:r>
        <w:rPr>
          <w:color w:val="231F20"/>
          <w:spacing w:val="-7"/>
        </w:rPr>
        <w:t> </w:t>
      </w:r>
      <w:r>
        <w:rPr>
          <w:color w:val="231F20"/>
        </w:rPr>
        <w:t>que</w:t>
      </w:r>
      <w:r>
        <w:rPr>
          <w:color w:val="231F20"/>
          <w:spacing w:val="-7"/>
        </w:rPr>
        <w:t> </w:t>
      </w:r>
      <w:r>
        <w:rPr>
          <w:color w:val="231F20"/>
        </w:rPr>
        <w:t>han</w:t>
      </w:r>
      <w:r>
        <w:rPr>
          <w:color w:val="231F20"/>
          <w:spacing w:val="-7"/>
        </w:rPr>
        <w:t> </w:t>
      </w:r>
      <w:r>
        <w:rPr>
          <w:color w:val="231F20"/>
        </w:rPr>
        <w:t>estado</w:t>
      </w:r>
      <w:r>
        <w:rPr>
          <w:color w:val="231F20"/>
          <w:spacing w:val="-7"/>
        </w:rPr>
        <w:t> </w:t>
      </w:r>
      <w:r>
        <w:rPr>
          <w:color w:val="231F20"/>
        </w:rPr>
        <w:t>presentes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campo</w:t>
      </w:r>
      <w:r>
        <w:rPr>
          <w:color w:val="231F20"/>
          <w:spacing w:val="-7"/>
        </w:rPr>
        <w:t> </w:t>
      </w:r>
      <w:r>
        <w:rPr>
          <w:color w:val="231F20"/>
        </w:rPr>
        <w:t>mexicano</w:t>
      </w:r>
      <w:r>
        <w:rPr>
          <w:color w:val="231F20"/>
          <w:spacing w:val="-7"/>
        </w:rPr>
        <w:t> </w:t>
      </w:r>
      <w:r>
        <w:rPr>
          <w:color w:val="231F20"/>
        </w:rPr>
        <w:t>representan por</w:t>
      </w:r>
      <w:r>
        <w:rPr>
          <w:color w:val="231F20"/>
          <w:spacing w:val="-6"/>
        </w:rPr>
        <w:t> </w:t>
      </w:r>
      <w:r>
        <w:rPr>
          <w:color w:val="231F20"/>
        </w:rPr>
        <w:t>sí</w:t>
      </w:r>
      <w:r>
        <w:rPr>
          <w:color w:val="231F20"/>
          <w:spacing w:val="-6"/>
        </w:rPr>
        <w:t> </w:t>
      </w:r>
      <w:r>
        <w:rPr>
          <w:color w:val="231F20"/>
        </w:rPr>
        <w:t>mismas</w:t>
      </w:r>
      <w:r>
        <w:rPr>
          <w:color w:val="231F20"/>
          <w:spacing w:val="-6"/>
        </w:rPr>
        <w:t> </w:t>
      </w:r>
      <w:r>
        <w:rPr>
          <w:color w:val="231F20"/>
        </w:rPr>
        <w:t>uno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elementos</w:t>
      </w:r>
      <w:r>
        <w:rPr>
          <w:color w:val="231F20"/>
          <w:spacing w:val="-6"/>
        </w:rPr>
        <w:t> </w:t>
      </w:r>
      <w:r>
        <w:rPr>
          <w:color w:val="231F20"/>
        </w:rPr>
        <w:t>que</w:t>
      </w:r>
      <w:r>
        <w:rPr>
          <w:color w:val="231F20"/>
          <w:spacing w:val="-6"/>
        </w:rPr>
        <w:t> </w:t>
      </w:r>
      <w:r>
        <w:rPr>
          <w:color w:val="231F20"/>
        </w:rPr>
        <w:t>han</w:t>
      </w:r>
      <w:r>
        <w:rPr>
          <w:color w:val="231F20"/>
          <w:spacing w:val="-6"/>
        </w:rPr>
        <w:t> </w:t>
      </w:r>
      <w:r>
        <w:rPr>
          <w:color w:val="231F20"/>
        </w:rPr>
        <w:t>repercutido</w:t>
      </w:r>
      <w:r>
        <w:rPr>
          <w:color w:val="231F20"/>
          <w:spacing w:val="-6"/>
        </w:rPr>
        <w:t> </w:t>
      </w:r>
      <w:r>
        <w:rPr>
          <w:color w:val="231F20"/>
        </w:rPr>
        <w:t>de</w:t>
      </w:r>
      <w:r>
        <w:rPr>
          <w:color w:val="231F20"/>
          <w:spacing w:val="-6"/>
        </w:rPr>
        <w:t> </w:t>
      </w:r>
      <w:r>
        <w:rPr>
          <w:color w:val="231F20"/>
        </w:rPr>
        <w:t>manera</w:t>
      </w:r>
      <w:r>
        <w:rPr>
          <w:color w:val="231F20"/>
          <w:spacing w:val="-6"/>
        </w:rPr>
        <w:t> </w:t>
      </w:r>
      <w:r>
        <w:rPr>
          <w:color w:val="231F20"/>
        </w:rPr>
        <w:t>sustan- cial</w:t>
      </w:r>
      <w:r>
        <w:rPr>
          <w:color w:val="231F20"/>
          <w:spacing w:val="-13"/>
        </w:rPr>
        <w:t> </w:t>
      </w:r>
      <w:r>
        <w:rPr>
          <w:color w:val="231F20"/>
        </w:rPr>
        <w:t>para</w:t>
      </w:r>
      <w:r>
        <w:rPr>
          <w:color w:val="231F20"/>
          <w:spacing w:val="-12"/>
        </w:rPr>
        <w:t> </w:t>
      </w:r>
      <w:r>
        <w:rPr>
          <w:color w:val="231F20"/>
        </w:rPr>
        <w:t>engrosar</w:t>
      </w:r>
      <w:r>
        <w:rPr>
          <w:color w:val="231F20"/>
          <w:spacing w:val="-13"/>
        </w:rPr>
        <w:t> </w:t>
      </w:r>
      <w:r>
        <w:rPr>
          <w:color w:val="231F20"/>
        </w:rPr>
        <w:t>el</w:t>
      </w:r>
      <w:r>
        <w:rPr>
          <w:color w:val="231F20"/>
          <w:spacing w:val="-12"/>
        </w:rPr>
        <w:t> </w:t>
      </w:r>
      <w:r>
        <w:rPr>
          <w:color w:val="231F20"/>
        </w:rPr>
        <w:t>contingente</w:t>
      </w:r>
      <w:r>
        <w:rPr>
          <w:color w:val="231F20"/>
          <w:spacing w:val="-12"/>
        </w:rPr>
        <w:t> </w:t>
      </w:r>
      <w:r>
        <w:rPr>
          <w:color w:val="231F20"/>
        </w:rPr>
        <w:t>de</w:t>
      </w:r>
      <w:r>
        <w:rPr>
          <w:color w:val="231F20"/>
          <w:spacing w:val="-12"/>
        </w:rPr>
        <w:t> </w:t>
      </w:r>
      <w:r>
        <w:rPr>
          <w:color w:val="231F20"/>
        </w:rPr>
        <w:t>mexicanos</w:t>
      </w:r>
      <w:r>
        <w:rPr>
          <w:color w:val="231F20"/>
          <w:spacing w:val="-13"/>
        </w:rPr>
        <w:t> </w:t>
      </w:r>
      <w:r>
        <w:rPr>
          <w:color w:val="231F20"/>
        </w:rPr>
        <w:t>que</w:t>
      </w:r>
      <w:r>
        <w:rPr>
          <w:color w:val="231F20"/>
          <w:spacing w:val="-12"/>
        </w:rPr>
        <w:t> </w:t>
      </w:r>
      <w:r>
        <w:rPr>
          <w:color w:val="231F20"/>
        </w:rPr>
        <w:t>han</w:t>
      </w:r>
      <w:r>
        <w:rPr>
          <w:color w:val="231F20"/>
          <w:spacing w:val="-12"/>
        </w:rPr>
        <w:t> </w:t>
      </w:r>
      <w:r>
        <w:rPr>
          <w:color w:val="231F20"/>
        </w:rPr>
        <w:t>emigrado</w:t>
      </w:r>
      <w:r>
        <w:rPr>
          <w:color w:val="231F20"/>
          <w:spacing w:val="-13"/>
        </w:rPr>
        <w:t> </w:t>
      </w:r>
      <w:r>
        <w:rPr>
          <w:color w:val="231F20"/>
        </w:rPr>
        <w:t>a</w:t>
      </w:r>
      <w:r>
        <w:rPr>
          <w:color w:val="231F20"/>
          <w:spacing w:val="-12"/>
        </w:rPr>
        <w:t> </w:t>
      </w:r>
      <w:r>
        <w:rPr>
          <w:color w:val="231F20"/>
        </w:rPr>
        <w:t>Estados Unidos. Fue así que muchos campesinos mexicanos —que ven negada la posibilidad de subsistir a través de la producción agrícola en México— se enrolaron en el Programa Bracero (1942-1964), principalmente, muchos oriundos del occidente de México y en cuyo contingente viajaban adultos, niños y adolescentes. Como refiere</w:t>
      </w:r>
      <w:r>
        <w:rPr>
          <w:color w:val="231F20"/>
          <w:spacing w:val="-12"/>
        </w:rPr>
        <w:t> </w:t>
      </w:r>
      <w:r>
        <w:rPr>
          <w:color w:val="231F20"/>
        </w:rPr>
        <w:t>Ochoa</w:t>
      </w:r>
    </w:p>
    <w:p>
      <w:pPr>
        <w:spacing w:line="249" w:lineRule="auto" w:before="168"/>
        <w:ind w:left="400" w:right="115" w:firstLine="0"/>
        <w:jc w:val="both"/>
        <w:rPr>
          <w:sz w:val="20"/>
        </w:rPr>
      </w:pPr>
      <w:r>
        <w:rPr>
          <w:sz w:val="20"/>
        </w:rPr>
        <w:t>las estadísticas del gobierno mexicano enseñaron que 5 045 braceros de Mi- choacán reaparecieron en 1947 mientras se esfumaban 10 035; es decir, re- tornaba uno y salían dos. Datos de 1950 indicaban que la mitad de ellos eran menores de edad (2003: 82-83).</w:t>
      </w:r>
    </w:p>
    <w:p>
      <w:pPr>
        <w:pStyle w:val="BodyText"/>
        <w:spacing w:line="247" w:lineRule="auto" w:before="172"/>
        <w:ind w:left="117" w:right="114" w:firstLine="283"/>
        <w:jc w:val="both"/>
      </w:pPr>
      <w:r>
        <w:rPr>
          <w:color w:val="231F20"/>
        </w:rPr>
        <w:t>En dicho Programa Bracero se presentó una migración pendular que generó cambios en el uso y aprovechamiento del agro, pero también en la configuración</w:t>
      </w:r>
      <w:r>
        <w:rPr>
          <w:color w:val="231F20"/>
          <w:spacing w:val="-12"/>
        </w:rPr>
        <w:t> </w:t>
      </w:r>
      <w:r>
        <w:rPr>
          <w:color w:val="231F20"/>
        </w:rPr>
        <w:t>urbana</w:t>
      </w:r>
      <w:r>
        <w:rPr>
          <w:color w:val="231F20"/>
          <w:spacing w:val="-12"/>
        </w:rPr>
        <w:t> </w:t>
      </w:r>
      <w:r>
        <w:rPr>
          <w:color w:val="231F20"/>
          <w:spacing w:val="-8"/>
        </w:rPr>
        <w:t>y,</w:t>
      </w:r>
      <w:r>
        <w:rPr>
          <w:color w:val="231F20"/>
          <w:spacing w:val="-12"/>
        </w:rPr>
        <w:t> </w:t>
      </w:r>
      <w:r>
        <w:rPr>
          <w:color w:val="231F20"/>
        </w:rPr>
        <w:t>en</w:t>
      </w:r>
      <w:r>
        <w:rPr>
          <w:color w:val="231F20"/>
          <w:spacing w:val="-12"/>
        </w:rPr>
        <w:t> </w:t>
      </w:r>
      <w:r>
        <w:rPr>
          <w:color w:val="231F20"/>
        </w:rPr>
        <w:t>general,</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vida</w:t>
      </w:r>
      <w:r>
        <w:rPr>
          <w:color w:val="231F20"/>
          <w:spacing w:val="-12"/>
        </w:rPr>
        <w:t> </w:t>
      </w:r>
      <w:r>
        <w:rPr>
          <w:color w:val="231F20"/>
        </w:rPr>
        <w:t>cotidiana</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comunidades del</w:t>
      </w:r>
      <w:r>
        <w:rPr>
          <w:color w:val="231F20"/>
          <w:spacing w:val="1"/>
        </w:rPr>
        <w:t> </w:t>
      </w:r>
      <w:r>
        <w:rPr>
          <w:color w:val="231F20"/>
          <w:spacing w:val="-5"/>
        </w:rPr>
        <w:t>Valle.</w:t>
      </w:r>
    </w:p>
    <w:p>
      <w:pPr>
        <w:pStyle w:val="BodyText"/>
        <w:spacing w:line="247" w:lineRule="auto"/>
        <w:ind w:left="117" w:right="114" w:firstLine="283"/>
        <w:jc w:val="both"/>
      </w:pPr>
      <w:r>
        <w:rPr>
          <w:color w:val="231F20"/>
        </w:rPr>
        <w:t>En el </w:t>
      </w:r>
      <w:r>
        <w:rPr>
          <w:color w:val="231F20"/>
          <w:spacing w:val="-5"/>
        </w:rPr>
        <w:t>Valle </w:t>
      </w:r>
      <w:r>
        <w:rPr>
          <w:color w:val="231F20"/>
        </w:rPr>
        <w:t>de Tangancícuaro a inicios de los años sesenta, se presentó un cambio dentro de su dinámica migratoria (respecto a la del Programa Bracero), ya que de ser una migración en su mayoría de hombres en edad productiva para laborar en distintos sectores productivos de Estados Uni- dos, con una estancia temporal en aquel país con la idea de regresar a la comunidad</w:t>
      </w:r>
      <w:r>
        <w:rPr>
          <w:color w:val="231F20"/>
          <w:spacing w:val="-7"/>
        </w:rPr>
        <w:t> </w:t>
      </w:r>
      <w:r>
        <w:rPr>
          <w:color w:val="231F20"/>
        </w:rPr>
        <w:t>de</w:t>
      </w:r>
      <w:r>
        <w:rPr>
          <w:color w:val="231F20"/>
          <w:spacing w:val="-6"/>
        </w:rPr>
        <w:t> </w:t>
      </w:r>
      <w:r>
        <w:rPr>
          <w:color w:val="231F20"/>
        </w:rPr>
        <w:t>origen,</w:t>
      </w:r>
      <w:r>
        <w:rPr>
          <w:color w:val="231F20"/>
          <w:spacing w:val="-6"/>
        </w:rPr>
        <w:t> </w:t>
      </w:r>
      <w:r>
        <w:rPr>
          <w:color w:val="231F20"/>
        </w:rPr>
        <w:t>cambió</w:t>
      </w:r>
      <w:r>
        <w:rPr>
          <w:color w:val="231F20"/>
          <w:spacing w:val="-7"/>
        </w:rPr>
        <w:t> </w:t>
      </w:r>
      <w:r>
        <w:rPr>
          <w:color w:val="231F20"/>
        </w:rPr>
        <w:t>a</w:t>
      </w:r>
      <w:r>
        <w:rPr>
          <w:color w:val="231F20"/>
          <w:spacing w:val="-6"/>
        </w:rPr>
        <w:t> </w:t>
      </w:r>
      <w:r>
        <w:rPr>
          <w:color w:val="231F20"/>
        </w:rPr>
        <w:t>una</w:t>
      </w:r>
      <w:r>
        <w:rPr>
          <w:color w:val="231F20"/>
          <w:spacing w:val="-6"/>
        </w:rPr>
        <w:t> </w:t>
      </w:r>
      <w:r>
        <w:rPr>
          <w:color w:val="231F20"/>
        </w:rPr>
        <w:t>dinámica</w:t>
      </w:r>
      <w:r>
        <w:rPr>
          <w:color w:val="231F20"/>
          <w:spacing w:val="-6"/>
        </w:rPr>
        <w:t> </w:t>
      </w:r>
      <w:r>
        <w:rPr>
          <w:color w:val="231F20"/>
        </w:rPr>
        <w:t>migratoria</w:t>
      </w:r>
      <w:r>
        <w:rPr>
          <w:color w:val="231F20"/>
          <w:spacing w:val="-7"/>
        </w:rPr>
        <w:t> </w:t>
      </w:r>
      <w:r>
        <w:rPr>
          <w:color w:val="231F20"/>
        </w:rPr>
        <w:t>que</w:t>
      </w:r>
      <w:r>
        <w:rPr>
          <w:color w:val="231F20"/>
          <w:spacing w:val="-6"/>
        </w:rPr>
        <w:t> </w:t>
      </w:r>
      <w:r>
        <w:rPr>
          <w:color w:val="231F20"/>
        </w:rPr>
        <w:t>no</w:t>
      </w:r>
      <w:r>
        <w:rPr>
          <w:color w:val="231F20"/>
          <w:spacing w:val="-6"/>
        </w:rPr>
        <w:t> </w:t>
      </w:r>
      <w:r>
        <w:rPr>
          <w:color w:val="231F20"/>
        </w:rPr>
        <w:t>había</w:t>
      </w:r>
      <w:r>
        <w:rPr>
          <w:color w:val="231F20"/>
          <w:spacing w:val="-6"/>
        </w:rPr>
        <w:t> </w:t>
      </w:r>
      <w:r>
        <w:rPr>
          <w:color w:val="231F20"/>
        </w:rPr>
        <w:t>sido muy común en este proceso migratorio en el </w:t>
      </w:r>
      <w:r>
        <w:rPr>
          <w:color w:val="231F20"/>
          <w:spacing w:val="-5"/>
        </w:rPr>
        <w:t>Valle. </w:t>
      </w:r>
      <w:r>
        <w:rPr>
          <w:color w:val="231F20"/>
        </w:rPr>
        <w:t>Pasaron a una estancia legal</w:t>
      </w:r>
      <w:r>
        <w:rPr>
          <w:color w:val="231F20"/>
          <w:spacing w:val="19"/>
        </w:rPr>
        <w:t> </w:t>
      </w:r>
      <w:r>
        <w:rPr>
          <w:color w:val="231F20"/>
        </w:rPr>
        <w:t>y</w:t>
      </w:r>
      <w:r>
        <w:rPr>
          <w:color w:val="231F20"/>
          <w:spacing w:val="20"/>
        </w:rPr>
        <w:t> </w:t>
      </w:r>
      <w:r>
        <w:rPr>
          <w:color w:val="231F20"/>
        </w:rPr>
        <w:t>más</w:t>
      </w:r>
      <w:r>
        <w:rPr>
          <w:color w:val="231F20"/>
          <w:spacing w:val="20"/>
        </w:rPr>
        <w:t> </w:t>
      </w:r>
      <w:r>
        <w:rPr>
          <w:color w:val="231F20"/>
        </w:rPr>
        <w:t>prolongada</w:t>
      </w:r>
      <w:r>
        <w:rPr>
          <w:color w:val="231F20"/>
          <w:spacing w:val="20"/>
        </w:rPr>
        <w:t> </w:t>
      </w:r>
      <w:r>
        <w:rPr>
          <w:color w:val="231F20"/>
        </w:rPr>
        <w:t>en</w:t>
      </w:r>
      <w:r>
        <w:rPr>
          <w:color w:val="231F20"/>
          <w:spacing w:val="20"/>
        </w:rPr>
        <w:t> </w:t>
      </w:r>
      <w:r>
        <w:rPr>
          <w:color w:val="231F20"/>
        </w:rPr>
        <w:t>Estados</w:t>
      </w:r>
      <w:r>
        <w:rPr>
          <w:color w:val="231F20"/>
          <w:spacing w:val="19"/>
        </w:rPr>
        <w:t> </w:t>
      </w:r>
      <w:r>
        <w:rPr>
          <w:color w:val="231F20"/>
        </w:rPr>
        <w:t>Unidos</w:t>
      </w:r>
      <w:r>
        <w:rPr>
          <w:color w:val="231F20"/>
          <w:spacing w:val="20"/>
        </w:rPr>
        <w:t> </w:t>
      </w:r>
      <w:r>
        <w:rPr>
          <w:color w:val="231F20"/>
        </w:rPr>
        <w:t>por</w:t>
      </w:r>
      <w:r>
        <w:rPr>
          <w:color w:val="231F20"/>
          <w:spacing w:val="20"/>
        </w:rPr>
        <w:t> </w:t>
      </w:r>
      <w:r>
        <w:rPr>
          <w:color w:val="231F20"/>
        </w:rPr>
        <w:t>parte</w:t>
      </w:r>
      <w:r>
        <w:rPr>
          <w:color w:val="231F20"/>
          <w:spacing w:val="20"/>
        </w:rPr>
        <w:t> </w:t>
      </w:r>
      <w:r>
        <w:rPr>
          <w:color w:val="231F20"/>
        </w:rPr>
        <w:t>de</w:t>
      </w:r>
      <w:r>
        <w:rPr>
          <w:color w:val="231F20"/>
          <w:spacing w:val="20"/>
        </w:rPr>
        <w:t> </w:t>
      </w:r>
      <w:r>
        <w:rPr>
          <w:color w:val="231F20"/>
        </w:rPr>
        <w:t>los</w:t>
      </w:r>
      <w:r>
        <w:rPr>
          <w:color w:val="231F20"/>
          <w:spacing w:val="19"/>
        </w:rPr>
        <w:t> </w:t>
      </w:r>
      <w:r>
        <w:rPr>
          <w:color w:val="231F20"/>
        </w:rPr>
        <w:t>trabajadores</w:t>
      </w:r>
    </w:p>
    <w:p>
      <w:pPr>
        <w:spacing w:after="0" w:line="247" w:lineRule="auto"/>
        <w:jc w:val="both"/>
        <w:sectPr>
          <w:footerReference w:type="default" r:id="rId185"/>
          <w:pgSz w:w="9360" w:h="13040"/>
          <w:pgMar w:footer="496" w:header="0" w:top="800" w:bottom="680" w:left="1300" w:right="1300"/>
        </w:sectPr>
      </w:pPr>
    </w:p>
    <w:p>
      <w:pPr>
        <w:spacing w:before="45"/>
        <w:ind w:left="117" w:right="0" w:firstLine="1321"/>
        <w:jc w:val="left"/>
        <w:rPr>
          <w:rFonts w:ascii="Arial" w:hAnsi="Arial"/>
          <w:sz w:val="20"/>
        </w:rPr>
      </w:pPr>
      <w:r>
        <w:rPr>
          <w:rFonts w:ascii="Arial" w:hAnsi="Arial"/>
          <w:color w:val="231F20"/>
          <w:w w:val="70"/>
          <w:sz w:val="20"/>
        </w:rPr>
        <w:t>Migración y cambio del espacio rural en el noreste michoacano /Iván Jiménez-Maya</w:t>
      </w:r>
    </w:p>
    <w:p>
      <w:pPr>
        <w:pStyle w:val="BodyText"/>
        <w:spacing w:before="7"/>
        <w:rPr>
          <w:rFonts w:ascii="Arial"/>
          <w:sz w:val="28"/>
        </w:rPr>
      </w:pPr>
    </w:p>
    <w:p>
      <w:pPr>
        <w:pStyle w:val="BodyText"/>
        <w:spacing w:line="247" w:lineRule="auto"/>
        <w:ind w:left="117" w:right="114"/>
        <w:jc w:val="both"/>
      </w:pPr>
      <w:r>
        <w:rPr>
          <w:color w:val="231F20"/>
        </w:rPr>
        <w:t>migrantesy</w:t>
      </w:r>
      <w:r>
        <w:rPr>
          <w:color w:val="231F20"/>
          <w:spacing w:val="-6"/>
        </w:rPr>
        <w:t> </w:t>
      </w:r>
      <w:r>
        <w:rPr>
          <w:color w:val="231F20"/>
        </w:rPr>
        <w:t>en</w:t>
      </w:r>
      <w:r>
        <w:rPr>
          <w:color w:val="231F20"/>
          <w:spacing w:val="-6"/>
        </w:rPr>
        <w:t> </w:t>
      </w:r>
      <w:r>
        <w:rPr>
          <w:color w:val="231F20"/>
        </w:rPr>
        <w:t>muchos</w:t>
      </w:r>
      <w:r>
        <w:rPr>
          <w:color w:val="231F20"/>
          <w:spacing w:val="-6"/>
        </w:rPr>
        <w:t> </w:t>
      </w:r>
      <w:r>
        <w:rPr>
          <w:color w:val="231F20"/>
        </w:rPr>
        <w:t>casos</w:t>
      </w:r>
      <w:r>
        <w:rPr>
          <w:color w:val="231F20"/>
          <w:spacing w:val="-6"/>
        </w:rPr>
        <w:t> </w:t>
      </w:r>
      <w:r>
        <w:rPr>
          <w:color w:val="231F20"/>
        </w:rPr>
        <w:t>significó</w:t>
      </w:r>
      <w:r>
        <w:rPr>
          <w:color w:val="231F20"/>
          <w:spacing w:val="-6"/>
        </w:rPr>
        <w:t> </w:t>
      </w:r>
      <w:r>
        <w:rPr>
          <w:color w:val="231F20"/>
        </w:rPr>
        <w:t>llevarse</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familia</w:t>
      </w:r>
      <w:r>
        <w:rPr>
          <w:color w:val="231F20"/>
          <w:spacing w:val="-6"/>
        </w:rPr>
        <w:t> </w:t>
      </w:r>
      <w:r>
        <w:rPr>
          <w:color w:val="231F20"/>
        </w:rPr>
        <w:t>completa</w:t>
      </w:r>
      <w:r>
        <w:rPr>
          <w:color w:val="231F20"/>
          <w:spacing w:val="-6"/>
        </w:rPr>
        <w:t> </w:t>
      </w:r>
      <w:r>
        <w:rPr>
          <w:color w:val="231F20"/>
        </w:rPr>
        <w:t>a</w:t>
      </w:r>
      <w:r>
        <w:rPr>
          <w:color w:val="231F20"/>
          <w:spacing w:val="-6"/>
        </w:rPr>
        <w:t> </w:t>
      </w:r>
      <w:r>
        <w:rPr>
          <w:color w:val="231F20"/>
        </w:rPr>
        <w:t>resi- dir a Estados Unidos de forma legal. Un ejemplo de esto son las llamadas </w:t>
      </w:r>
      <w:r>
        <w:rPr>
          <w:i/>
          <w:color w:val="231F20"/>
        </w:rPr>
        <w:t>cartas</w:t>
      </w:r>
      <w:r>
        <w:rPr>
          <w:i/>
          <w:color w:val="231F20"/>
          <w:spacing w:val="-8"/>
        </w:rPr>
        <w:t> </w:t>
      </w:r>
      <w:r>
        <w:rPr>
          <w:i/>
          <w:color w:val="231F20"/>
        </w:rPr>
        <w:t>de</w:t>
      </w:r>
      <w:r>
        <w:rPr>
          <w:i/>
          <w:color w:val="231F20"/>
          <w:spacing w:val="-8"/>
        </w:rPr>
        <w:t> </w:t>
      </w:r>
      <w:r>
        <w:rPr>
          <w:i/>
          <w:color w:val="231F20"/>
        </w:rPr>
        <w:t>la</w:t>
      </w:r>
      <w:r>
        <w:rPr>
          <w:i/>
          <w:color w:val="231F20"/>
          <w:spacing w:val="-8"/>
        </w:rPr>
        <w:t> </w:t>
      </w:r>
      <w:r>
        <w:rPr>
          <w:i/>
          <w:color w:val="231F20"/>
          <w:spacing w:val="-5"/>
        </w:rPr>
        <w:t>flor.</w:t>
      </w:r>
      <w:r>
        <w:rPr>
          <w:i/>
          <w:color w:val="231F20"/>
          <w:spacing w:val="-8"/>
        </w:rPr>
        <w:t> </w:t>
      </w:r>
      <w:r>
        <w:rPr>
          <w:color w:val="231F20"/>
        </w:rPr>
        <w:t>No</w:t>
      </w:r>
      <w:r>
        <w:rPr>
          <w:color w:val="231F20"/>
          <w:spacing w:val="-8"/>
        </w:rPr>
        <w:t> </w:t>
      </w:r>
      <w:r>
        <w:rPr>
          <w:color w:val="231F20"/>
        </w:rPr>
        <w:t>sólo</w:t>
      </w:r>
      <w:r>
        <w:rPr>
          <w:color w:val="231F20"/>
          <w:spacing w:val="-8"/>
        </w:rPr>
        <w:t> </w:t>
      </w:r>
      <w:r>
        <w:rPr>
          <w:color w:val="231F20"/>
        </w:rPr>
        <w:t>el</w:t>
      </w:r>
      <w:r>
        <w:rPr>
          <w:color w:val="231F20"/>
          <w:spacing w:val="-8"/>
        </w:rPr>
        <w:t> </w:t>
      </w:r>
      <w:r>
        <w:rPr>
          <w:color w:val="231F20"/>
        </w:rPr>
        <w:t>beneficiario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carta</w:t>
      </w:r>
      <w:r>
        <w:rPr>
          <w:color w:val="231F20"/>
          <w:spacing w:val="-8"/>
        </w:rPr>
        <w:t> </w:t>
      </w:r>
      <w:r>
        <w:rPr>
          <w:color w:val="231F20"/>
        </w:rPr>
        <w:t>era</w:t>
      </w:r>
      <w:r>
        <w:rPr>
          <w:color w:val="231F20"/>
          <w:spacing w:val="-8"/>
        </w:rPr>
        <w:t> </w:t>
      </w:r>
      <w:r>
        <w:rPr>
          <w:color w:val="231F20"/>
        </w:rPr>
        <w:t>el</w:t>
      </w:r>
      <w:r>
        <w:rPr>
          <w:color w:val="231F20"/>
          <w:spacing w:val="-8"/>
        </w:rPr>
        <w:t> </w:t>
      </w:r>
      <w:r>
        <w:rPr>
          <w:color w:val="231F20"/>
        </w:rPr>
        <w:t>que</w:t>
      </w:r>
      <w:r>
        <w:rPr>
          <w:color w:val="231F20"/>
          <w:spacing w:val="-8"/>
        </w:rPr>
        <w:t> </w:t>
      </w:r>
      <w:r>
        <w:rPr>
          <w:color w:val="231F20"/>
        </w:rPr>
        <w:t>migraba,</w:t>
      </w:r>
      <w:r>
        <w:rPr>
          <w:color w:val="231F20"/>
          <w:spacing w:val="-8"/>
        </w:rPr>
        <w:t> </w:t>
      </w:r>
      <w:r>
        <w:rPr>
          <w:color w:val="231F20"/>
        </w:rPr>
        <w:t>sino que también el patrón le extendía cartas para que toda su familia arreglara sus papeles para migrar a Estados Unidos y con esto fincara su residencia en aquel</w:t>
      </w:r>
      <w:r>
        <w:rPr>
          <w:color w:val="231F20"/>
          <w:spacing w:val="-2"/>
        </w:rPr>
        <w:t> </w:t>
      </w:r>
      <w:r>
        <w:rPr>
          <w:color w:val="231F20"/>
        </w:rPr>
        <w:t>país.</w:t>
      </w:r>
    </w:p>
    <w:p>
      <w:pPr>
        <w:pStyle w:val="BodyText"/>
        <w:spacing w:line="247" w:lineRule="auto"/>
        <w:ind w:left="117" w:right="114" w:firstLine="283"/>
        <w:jc w:val="both"/>
      </w:pPr>
      <w:r>
        <w:rPr>
          <w:color w:val="231F20"/>
        </w:rPr>
        <w:t>Más adelante con la Ley de Reforma y Control de la Inmigración de 1986 (que sirvió para legalizar a la mano de obra mexicana que vivía sin residencia</w:t>
      </w:r>
      <w:r>
        <w:rPr>
          <w:color w:val="231F20"/>
          <w:spacing w:val="-5"/>
        </w:rPr>
        <w:t> </w:t>
      </w:r>
      <w:r>
        <w:rPr>
          <w:color w:val="231F20"/>
        </w:rPr>
        <w:t>oficial</w:t>
      </w:r>
      <w:r>
        <w:rPr>
          <w:color w:val="231F20"/>
          <w:spacing w:val="-5"/>
        </w:rPr>
        <w:t> </w:t>
      </w:r>
      <w:r>
        <w:rPr>
          <w:color w:val="231F20"/>
        </w:rPr>
        <w:t>en</w:t>
      </w:r>
      <w:r>
        <w:rPr>
          <w:color w:val="231F20"/>
          <w:spacing w:val="-5"/>
        </w:rPr>
        <w:t> </w:t>
      </w:r>
      <w:r>
        <w:rPr>
          <w:color w:val="231F20"/>
        </w:rPr>
        <w:t>Estados</w:t>
      </w:r>
      <w:r>
        <w:rPr>
          <w:color w:val="231F20"/>
          <w:spacing w:val="-5"/>
        </w:rPr>
        <w:t> </w:t>
      </w:r>
      <w:r>
        <w:rPr>
          <w:color w:val="231F20"/>
        </w:rPr>
        <w:t>Unidos)</w:t>
      </w:r>
      <w:r>
        <w:rPr>
          <w:color w:val="231F20"/>
          <w:spacing w:val="-5"/>
        </w:rPr>
        <w:t> </w:t>
      </w:r>
      <w:r>
        <w:rPr>
          <w:color w:val="231F20"/>
        </w:rPr>
        <w:t>se</w:t>
      </w:r>
      <w:r>
        <w:rPr>
          <w:color w:val="231F20"/>
          <w:spacing w:val="-5"/>
        </w:rPr>
        <w:t> </w:t>
      </w:r>
      <w:r>
        <w:rPr>
          <w:color w:val="231F20"/>
        </w:rPr>
        <w:t>presentó</w:t>
      </w:r>
      <w:r>
        <w:rPr>
          <w:color w:val="231F20"/>
          <w:spacing w:val="-5"/>
        </w:rPr>
        <w:t> </w:t>
      </w:r>
      <w:r>
        <w:rPr>
          <w:color w:val="231F20"/>
        </w:rPr>
        <w:t>una</w:t>
      </w:r>
      <w:r>
        <w:rPr>
          <w:color w:val="231F20"/>
          <w:spacing w:val="-5"/>
        </w:rPr>
        <w:t> </w:t>
      </w:r>
      <w:r>
        <w:rPr>
          <w:color w:val="231F20"/>
        </w:rPr>
        <w:t>gran</w:t>
      </w:r>
      <w:r>
        <w:rPr>
          <w:color w:val="231F20"/>
          <w:spacing w:val="-5"/>
        </w:rPr>
        <w:t> </w:t>
      </w:r>
      <w:r>
        <w:rPr>
          <w:color w:val="231F20"/>
        </w:rPr>
        <w:t>afluencia</w:t>
      </w:r>
      <w:r>
        <w:rPr>
          <w:color w:val="231F20"/>
          <w:spacing w:val="-5"/>
        </w:rPr>
        <w:t> </w:t>
      </w:r>
      <w:r>
        <w:rPr>
          <w:color w:val="231F20"/>
        </w:rPr>
        <w:t>de</w:t>
      </w:r>
      <w:r>
        <w:rPr>
          <w:color w:val="231F20"/>
          <w:spacing w:val="-5"/>
        </w:rPr>
        <w:t> </w:t>
      </w:r>
      <w:r>
        <w:rPr>
          <w:color w:val="231F20"/>
        </w:rPr>
        <w:t>in- documentados</w:t>
      </w:r>
      <w:r>
        <w:rPr>
          <w:color w:val="231F20"/>
          <w:spacing w:val="-8"/>
        </w:rPr>
        <w:t> </w:t>
      </w:r>
      <w:r>
        <w:rPr>
          <w:color w:val="231F20"/>
        </w:rPr>
        <w:t>mexicanos</w:t>
      </w:r>
      <w:r>
        <w:rPr>
          <w:color w:val="231F20"/>
          <w:spacing w:val="-8"/>
        </w:rPr>
        <w:t> </w:t>
      </w:r>
      <w:r>
        <w:rPr>
          <w:color w:val="231F20"/>
        </w:rPr>
        <w:t>en</w:t>
      </w:r>
      <w:r>
        <w:rPr>
          <w:color w:val="231F20"/>
          <w:spacing w:val="-7"/>
        </w:rPr>
        <w:t> </w:t>
      </w:r>
      <w:r>
        <w:rPr>
          <w:color w:val="231F20"/>
        </w:rPr>
        <w:t>busca</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regularización</w:t>
      </w:r>
      <w:r>
        <w:rPr>
          <w:color w:val="231F20"/>
          <w:spacing w:val="-7"/>
        </w:rPr>
        <w:t> </w:t>
      </w:r>
      <w:r>
        <w:rPr>
          <w:color w:val="231F20"/>
        </w:rPr>
        <w:t>migratoria,</w:t>
      </w:r>
      <w:r>
        <w:rPr>
          <w:color w:val="231F20"/>
          <w:spacing w:val="-8"/>
        </w:rPr>
        <w:t> </w:t>
      </w:r>
      <w:r>
        <w:rPr>
          <w:color w:val="231F20"/>
        </w:rPr>
        <w:t>inclui- dos muchos de los oriundos de las comunidades del </w:t>
      </w:r>
      <w:r>
        <w:rPr>
          <w:color w:val="231F20"/>
          <w:spacing w:val="-5"/>
        </w:rPr>
        <w:t>Valle, </w:t>
      </w:r>
      <w:r>
        <w:rPr>
          <w:color w:val="231F20"/>
        </w:rPr>
        <w:t>transformando nuevamente ese espacio rural. A raíz de la amnistía, de acuerdo con infor- mación</w:t>
      </w:r>
      <w:r>
        <w:rPr>
          <w:color w:val="231F20"/>
          <w:spacing w:val="-9"/>
        </w:rPr>
        <w:t> </w:t>
      </w:r>
      <w:r>
        <w:rPr>
          <w:color w:val="231F20"/>
        </w:rPr>
        <w:t>recabada</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trabajo</w:t>
      </w:r>
      <w:r>
        <w:rPr>
          <w:color w:val="231F20"/>
          <w:spacing w:val="-9"/>
        </w:rPr>
        <w:t> </w:t>
      </w:r>
      <w:r>
        <w:rPr>
          <w:color w:val="231F20"/>
        </w:rPr>
        <w:t>de</w:t>
      </w:r>
      <w:r>
        <w:rPr>
          <w:color w:val="231F20"/>
          <w:spacing w:val="-8"/>
        </w:rPr>
        <w:t> </w:t>
      </w:r>
      <w:r>
        <w:rPr>
          <w:color w:val="231F20"/>
        </w:rPr>
        <w:t>campo,</w:t>
      </w:r>
      <w:r>
        <w:rPr>
          <w:color w:val="231F20"/>
          <w:spacing w:val="-9"/>
        </w:rPr>
        <w:t> </w:t>
      </w:r>
      <w:r>
        <w:rPr>
          <w:color w:val="231F20"/>
        </w:rPr>
        <w:t>se</w:t>
      </w:r>
      <w:r>
        <w:rPr>
          <w:color w:val="231F20"/>
          <w:spacing w:val="-8"/>
        </w:rPr>
        <w:t> </w:t>
      </w:r>
      <w:r>
        <w:rPr>
          <w:color w:val="231F20"/>
        </w:rPr>
        <w:t>dio</w:t>
      </w:r>
      <w:r>
        <w:rPr>
          <w:color w:val="231F20"/>
          <w:spacing w:val="-8"/>
        </w:rPr>
        <w:t> </w:t>
      </w:r>
      <w:r>
        <w:rPr>
          <w:color w:val="231F20"/>
        </w:rPr>
        <w:t>una</w:t>
      </w:r>
      <w:r>
        <w:rPr>
          <w:color w:val="231F20"/>
          <w:spacing w:val="-8"/>
        </w:rPr>
        <w:t> </w:t>
      </w:r>
      <w:r>
        <w:rPr>
          <w:color w:val="231F20"/>
        </w:rPr>
        <w:t>dramática</w:t>
      </w:r>
      <w:r>
        <w:rPr>
          <w:color w:val="231F20"/>
          <w:spacing w:val="-9"/>
        </w:rPr>
        <w:t> </w:t>
      </w:r>
      <w:r>
        <w:rPr>
          <w:color w:val="231F20"/>
        </w:rPr>
        <w:t>disminución de habitantes, que varió de intensidad en cada una de las comunidades del </w:t>
      </w:r>
      <w:r>
        <w:rPr>
          <w:color w:val="231F20"/>
          <w:spacing w:val="-5"/>
        </w:rPr>
        <w:t>Valle</w:t>
      </w:r>
      <w:r>
        <w:rPr>
          <w:color w:val="231F20"/>
          <w:spacing w:val="-2"/>
        </w:rPr>
        <w:t> </w:t>
      </w:r>
      <w:r>
        <w:rPr>
          <w:color w:val="231F20"/>
        </w:rPr>
        <w:t>de</w:t>
      </w:r>
      <w:r>
        <w:rPr>
          <w:color w:val="231F20"/>
          <w:spacing w:val="-6"/>
        </w:rPr>
        <w:t> </w:t>
      </w:r>
      <w:r>
        <w:rPr>
          <w:color w:val="231F20"/>
        </w:rPr>
        <w:t>Tangancícuaro.</w:t>
      </w:r>
      <w:r>
        <w:rPr>
          <w:color w:val="231F20"/>
          <w:spacing w:val="-15"/>
        </w:rPr>
        <w:t> </w:t>
      </w:r>
      <w:r>
        <w:rPr>
          <w:color w:val="231F20"/>
        </w:rPr>
        <w:t>A</w:t>
      </w:r>
      <w:r>
        <w:rPr>
          <w:color w:val="231F20"/>
          <w:spacing w:val="-14"/>
        </w:rPr>
        <w:t> </w:t>
      </w:r>
      <w:r>
        <w:rPr>
          <w:color w:val="231F20"/>
        </w:rPr>
        <w:t>manera</w:t>
      </w:r>
      <w:r>
        <w:rPr>
          <w:color w:val="231F20"/>
          <w:spacing w:val="-2"/>
        </w:rPr>
        <w:t> </w:t>
      </w:r>
      <w:r>
        <w:rPr>
          <w:color w:val="231F20"/>
        </w:rPr>
        <w:t>de</w:t>
      </w:r>
      <w:r>
        <w:rPr>
          <w:color w:val="231F20"/>
          <w:spacing w:val="-2"/>
        </w:rPr>
        <w:t> </w:t>
      </w:r>
      <w:r>
        <w:rPr>
          <w:color w:val="231F20"/>
        </w:rPr>
        <w:t>termómetro</w:t>
      </w:r>
      <w:r>
        <w:rPr>
          <w:color w:val="231F20"/>
          <w:spacing w:val="-3"/>
        </w:rPr>
        <w:t> </w:t>
      </w:r>
      <w:r>
        <w:rPr>
          <w:color w:val="231F20"/>
        </w:rPr>
        <w:t>de</w:t>
      </w:r>
      <w:r>
        <w:rPr>
          <w:color w:val="231F20"/>
          <w:spacing w:val="-2"/>
        </w:rPr>
        <w:t> </w:t>
      </w:r>
      <w:r>
        <w:rPr>
          <w:color w:val="231F20"/>
        </w:rPr>
        <w:t>esta</w:t>
      </w:r>
      <w:r>
        <w:rPr>
          <w:color w:val="231F20"/>
          <w:spacing w:val="-2"/>
        </w:rPr>
        <w:t> </w:t>
      </w:r>
      <w:r>
        <w:rPr>
          <w:color w:val="231F20"/>
        </w:rPr>
        <w:t>salida</w:t>
      </w:r>
      <w:r>
        <w:rPr>
          <w:color w:val="231F20"/>
          <w:spacing w:val="-2"/>
        </w:rPr>
        <w:t> </w:t>
      </w:r>
      <w:r>
        <w:rPr>
          <w:color w:val="231F20"/>
        </w:rPr>
        <w:t>en</w:t>
      </w:r>
      <w:r>
        <w:rPr>
          <w:color w:val="231F20"/>
          <w:spacing w:val="-2"/>
        </w:rPr>
        <w:t> </w:t>
      </w:r>
      <w:r>
        <w:rPr>
          <w:color w:val="231F20"/>
        </w:rPr>
        <w:t>familia hacia Estados Unidos, están los registros de la disminución de alumnos  en las escuelas de nivel básico de las comunidades del </w:t>
      </w:r>
      <w:r>
        <w:rPr>
          <w:color w:val="231F20"/>
          <w:spacing w:val="-5"/>
        </w:rPr>
        <w:t>Valle, </w:t>
      </w:r>
      <w:r>
        <w:rPr>
          <w:color w:val="231F20"/>
        </w:rPr>
        <w:t>que pueden tomarse como un referente de la disminución de la población a raíz de la migración a Estados Unidos en los años posteriores a la amnistía, un testi- monio de esto lo da el director de la escuela primaria de la comunidad de Francisco J. Múgica:</w:t>
      </w:r>
    </w:p>
    <w:p>
      <w:pPr>
        <w:spacing w:line="249" w:lineRule="auto" w:before="168"/>
        <w:ind w:left="400" w:right="114" w:firstLine="0"/>
        <w:jc w:val="both"/>
        <w:rPr>
          <w:sz w:val="20"/>
        </w:rPr>
      </w:pPr>
      <w:r>
        <w:rPr>
          <w:sz w:val="20"/>
        </w:rPr>
        <w:t>Uh, se aumentó mucho [refiriéndose a la migración], hubo un tiempo en que hubo</w:t>
      </w:r>
      <w:r>
        <w:rPr>
          <w:spacing w:val="-7"/>
          <w:sz w:val="20"/>
        </w:rPr>
        <w:t> </w:t>
      </w:r>
      <w:r>
        <w:rPr>
          <w:sz w:val="20"/>
        </w:rPr>
        <w:t>un</w:t>
      </w:r>
      <w:r>
        <w:rPr>
          <w:spacing w:val="-7"/>
          <w:sz w:val="20"/>
        </w:rPr>
        <w:t> </w:t>
      </w:r>
      <w:r>
        <w:rPr>
          <w:sz w:val="20"/>
        </w:rPr>
        <w:t>documento</w:t>
      </w:r>
      <w:r>
        <w:rPr>
          <w:spacing w:val="-7"/>
          <w:sz w:val="20"/>
        </w:rPr>
        <w:t> </w:t>
      </w:r>
      <w:r>
        <w:rPr>
          <w:sz w:val="20"/>
        </w:rPr>
        <w:t>que</w:t>
      </w:r>
      <w:r>
        <w:rPr>
          <w:spacing w:val="-7"/>
          <w:sz w:val="20"/>
        </w:rPr>
        <w:t> </w:t>
      </w:r>
      <w:r>
        <w:rPr>
          <w:sz w:val="20"/>
        </w:rPr>
        <w:t>le</w:t>
      </w:r>
      <w:r>
        <w:rPr>
          <w:spacing w:val="-7"/>
          <w:sz w:val="20"/>
        </w:rPr>
        <w:t> </w:t>
      </w:r>
      <w:r>
        <w:rPr>
          <w:sz w:val="20"/>
        </w:rPr>
        <w:t>llamaban</w:t>
      </w:r>
      <w:r>
        <w:rPr>
          <w:spacing w:val="-7"/>
          <w:sz w:val="20"/>
        </w:rPr>
        <w:t> </w:t>
      </w:r>
      <w:r>
        <w:rPr>
          <w:sz w:val="20"/>
        </w:rPr>
        <w:t>la</w:t>
      </w:r>
      <w:r>
        <w:rPr>
          <w:spacing w:val="-7"/>
          <w:sz w:val="20"/>
        </w:rPr>
        <w:t> </w:t>
      </w:r>
      <w:r>
        <w:rPr>
          <w:sz w:val="20"/>
        </w:rPr>
        <w:t>amnistía,</w:t>
      </w:r>
      <w:r>
        <w:rPr>
          <w:spacing w:val="-7"/>
          <w:sz w:val="20"/>
        </w:rPr>
        <w:t> </w:t>
      </w:r>
      <w:r>
        <w:rPr>
          <w:sz w:val="20"/>
        </w:rPr>
        <w:t>creo</w:t>
      </w:r>
      <w:r>
        <w:rPr>
          <w:spacing w:val="-7"/>
          <w:sz w:val="20"/>
        </w:rPr>
        <w:t> </w:t>
      </w:r>
      <w:r>
        <w:rPr>
          <w:sz w:val="20"/>
        </w:rPr>
        <w:t>que</w:t>
      </w:r>
      <w:r>
        <w:rPr>
          <w:spacing w:val="-7"/>
          <w:sz w:val="20"/>
        </w:rPr>
        <w:t> </w:t>
      </w:r>
      <w:r>
        <w:rPr>
          <w:sz w:val="20"/>
        </w:rPr>
        <w:t>les</w:t>
      </w:r>
      <w:r>
        <w:rPr>
          <w:spacing w:val="-7"/>
          <w:sz w:val="20"/>
        </w:rPr>
        <w:t> </w:t>
      </w:r>
      <w:r>
        <w:rPr>
          <w:sz w:val="20"/>
        </w:rPr>
        <w:t>hacia</w:t>
      </w:r>
      <w:r>
        <w:rPr>
          <w:spacing w:val="-7"/>
          <w:sz w:val="20"/>
        </w:rPr>
        <w:t> </w:t>
      </w:r>
      <w:r>
        <w:rPr>
          <w:sz w:val="20"/>
        </w:rPr>
        <w:t>una</w:t>
      </w:r>
      <w:r>
        <w:rPr>
          <w:spacing w:val="-7"/>
          <w:sz w:val="20"/>
        </w:rPr>
        <w:t> </w:t>
      </w:r>
      <w:r>
        <w:rPr>
          <w:sz w:val="20"/>
        </w:rPr>
        <w:t>carta</w:t>
      </w:r>
      <w:r>
        <w:rPr>
          <w:spacing w:val="-7"/>
          <w:sz w:val="20"/>
        </w:rPr>
        <w:t> </w:t>
      </w:r>
      <w:r>
        <w:rPr>
          <w:sz w:val="20"/>
        </w:rPr>
        <w:t>el patrón allá en Estados Unidos para que toda su familia se la llevaran allá,</w:t>
      </w:r>
      <w:r>
        <w:rPr>
          <w:spacing w:val="-25"/>
          <w:sz w:val="20"/>
        </w:rPr>
        <w:t> </w:t>
      </w:r>
      <w:r>
        <w:rPr>
          <w:sz w:val="20"/>
        </w:rPr>
        <w:t>para que no se estuvieran yendo y viniendo y esa carta fue la que nos…, pues hubo mucha deserción aquí en la escuela pues, porque con esa carta, todos los de   la familia arreglaron todo, a Estados Unidos se trasladaron a Estados Unidos y esa fue la mayor afectación que tuvo aquí la escuela, eso fue por ahí del… como en mil novecientos ochenta y ocho por ahí, ochenta y nueve… entonces muchos de esos que les dieron carta pues arreglaban y al arreglar, pus arregla- ban a toda la familia, y entonces se fueron, se fueron y no regresaban más y ahí fue donde nos afectó mucho, porque aquí la escuela tenía más de doscien- tos alumnos, cuando yo llegué aquí en mil novecientos ochenta y cinco… sí, después, empezó poco a poquito se fueron, no todos se fueron en un año, esto transcurrió alrededor de unos tres a cuatro años, se dio mucho la migración, entonces</w:t>
      </w:r>
      <w:r>
        <w:rPr>
          <w:spacing w:val="-7"/>
          <w:sz w:val="20"/>
        </w:rPr>
        <w:t> </w:t>
      </w:r>
      <w:r>
        <w:rPr>
          <w:sz w:val="20"/>
        </w:rPr>
        <w:t>nos</w:t>
      </w:r>
      <w:r>
        <w:rPr>
          <w:spacing w:val="-6"/>
          <w:sz w:val="20"/>
        </w:rPr>
        <w:t> </w:t>
      </w:r>
      <w:r>
        <w:rPr>
          <w:sz w:val="20"/>
        </w:rPr>
        <w:t>quedamos</w:t>
      </w:r>
      <w:r>
        <w:rPr>
          <w:spacing w:val="-6"/>
          <w:sz w:val="20"/>
        </w:rPr>
        <w:t> </w:t>
      </w:r>
      <w:r>
        <w:rPr>
          <w:sz w:val="20"/>
        </w:rPr>
        <w:t>ahorita</w:t>
      </w:r>
      <w:r>
        <w:rPr>
          <w:spacing w:val="-7"/>
          <w:sz w:val="20"/>
        </w:rPr>
        <w:t> </w:t>
      </w:r>
      <w:r>
        <w:rPr>
          <w:sz w:val="20"/>
        </w:rPr>
        <w:t>pues</w:t>
      </w:r>
      <w:r>
        <w:rPr>
          <w:spacing w:val="-6"/>
          <w:sz w:val="20"/>
        </w:rPr>
        <w:t> </w:t>
      </w:r>
      <w:r>
        <w:rPr>
          <w:sz w:val="20"/>
        </w:rPr>
        <w:t>ya</w:t>
      </w:r>
      <w:r>
        <w:rPr>
          <w:spacing w:val="-6"/>
          <w:sz w:val="20"/>
        </w:rPr>
        <w:t> </w:t>
      </w:r>
      <w:r>
        <w:rPr>
          <w:sz w:val="20"/>
        </w:rPr>
        <w:t>con</w:t>
      </w:r>
      <w:r>
        <w:rPr>
          <w:spacing w:val="-6"/>
          <w:sz w:val="20"/>
        </w:rPr>
        <w:t> </w:t>
      </w:r>
      <w:r>
        <w:rPr>
          <w:sz w:val="20"/>
        </w:rPr>
        <w:t>treinta,</w:t>
      </w:r>
      <w:r>
        <w:rPr>
          <w:spacing w:val="-7"/>
          <w:sz w:val="20"/>
        </w:rPr>
        <w:t> </w:t>
      </w:r>
      <w:r>
        <w:rPr>
          <w:sz w:val="20"/>
        </w:rPr>
        <w:t>treinta</w:t>
      </w:r>
      <w:r>
        <w:rPr>
          <w:spacing w:val="-7"/>
          <w:sz w:val="20"/>
        </w:rPr>
        <w:t> </w:t>
      </w:r>
      <w:r>
        <w:rPr>
          <w:sz w:val="20"/>
        </w:rPr>
        <w:t>y</w:t>
      </w:r>
      <w:r>
        <w:rPr>
          <w:spacing w:val="-6"/>
          <w:sz w:val="20"/>
        </w:rPr>
        <w:t> </w:t>
      </w:r>
      <w:r>
        <w:rPr>
          <w:sz w:val="20"/>
        </w:rPr>
        <w:t>cinco</w:t>
      </w:r>
      <w:r>
        <w:rPr>
          <w:spacing w:val="-6"/>
          <w:sz w:val="20"/>
        </w:rPr>
        <w:t> </w:t>
      </w:r>
      <w:r>
        <w:rPr>
          <w:sz w:val="20"/>
        </w:rPr>
        <w:t>alumnos</w:t>
      </w:r>
      <w:r>
        <w:rPr>
          <w:spacing w:val="-7"/>
          <w:sz w:val="20"/>
        </w:rPr>
        <w:t> </w:t>
      </w:r>
      <w:r>
        <w:rPr>
          <w:sz w:val="20"/>
        </w:rPr>
        <w:t>los que tenemos, después de tener doscientos veinte, doscientos diez, cuando yo llegué a trabajar en el ochenta y cinco, ya tengo muchos años trabajando… y el caso de la amnistía, ese fue el problema cuando nos fregaron a todos en</w:t>
      </w:r>
      <w:r>
        <w:rPr>
          <w:spacing w:val="42"/>
          <w:sz w:val="20"/>
        </w:rPr>
        <w:t> </w:t>
      </w:r>
      <w:r>
        <w:rPr>
          <w:sz w:val="20"/>
        </w:rPr>
        <w:t>las</w:t>
      </w:r>
    </w:p>
    <w:p>
      <w:pPr>
        <w:spacing w:after="0" w:line="249" w:lineRule="auto"/>
        <w:jc w:val="both"/>
        <w:rPr>
          <w:sz w:val="20"/>
        </w:rPr>
        <w:sectPr>
          <w:footerReference w:type="default" r:id="rId186"/>
          <w:pgSz w:w="9360" w:h="13040"/>
          <w:pgMar w:footer="496" w:header="0" w:top="740" w:bottom="680" w:left="1300" w:right="1300"/>
          <w:pgNumType w:start="231"/>
        </w:sectPr>
      </w:pPr>
    </w:p>
    <w:p>
      <w:pPr>
        <w:tabs>
          <w:tab w:pos="5536" w:val="left" w:leader="none"/>
        </w:tabs>
        <w:spacing w:before="48"/>
        <w:ind w:left="400" w:right="117" w:hanging="295"/>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3"/>
        <w:rPr>
          <w:sz w:val="21"/>
        </w:rPr>
      </w:pPr>
    </w:p>
    <w:p>
      <w:pPr>
        <w:spacing w:line="249" w:lineRule="auto" w:before="1"/>
        <w:ind w:left="400" w:right="114" w:firstLine="0"/>
        <w:jc w:val="both"/>
        <w:rPr>
          <w:sz w:val="20"/>
        </w:rPr>
      </w:pPr>
      <w:r>
        <w:rPr>
          <w:sz w:val="20"/>
        </w:rPr>
        <w:t>escuelas, …de tener tantos alumnos y ya nada más tener 20, cuánto bajo más de</w:t>
      </w:r>
      <w:r>
        <w:rPr>
          <w:spacing w:val="-11"/>
          <w:sz w:val="20"/>
        </w:rPr>
        <w:t> </w:t>
      </w:r>
      <w:r>
        <w:rPr>
          <w:sz w:val="20"/>
        </w:rPr>
        <w:t>200</w:t>
      </w:r>
      <w:r>
        <w:rPr>
          <w:spacing w:val="-11"/>
          <w:sz w:val="20"/>
        </w:rPr>
        <w:t> </w:t>
      </w:r>
      <w:r>
        <w:rPr>
          <w:sz w:val="20"/>
        </w:rPr>
        <w:t>alumnos…</w:t>
      </w:r>
      <w:r>
        <w:rPr>
          <w:spacing w:val="-11"/>
          <w:sz w:val="20"/>
        </w:rPr>
        <w:t> </w:t>
      </w:r>
      <w:r>
        <w:rPr>
          <w:sz w:val="20"/>
        </w:rPr>
        <w:t>(Profesor</w:t>
      </w:r>
      <w:r>
        <w:rPr>
          <w:spacing w:val="-11"/>
          <w:sz w:val="20"/>
        </w:rPr>
        <w:t> </w:t>
      </w:r>
      <w:r>
        <w:rPr>
          <w:sz w:val="20"/>
        </w:rPr>
        <w:t>Raúl,</w:t>
      </w:r>
      <w:r>
        <w:rPr>
          <w:spacing w:val="-11"/>
          <w:sz w:val="20"/>
        </w:rPr>
        <w:t> </w:t>
      </w:r>
      <w:r>
        <w:rPr>
          <w:sz w:val="20"/>
        </w:rPr>
        <w:t>Director</w:t>
      </w:r>
      <w:r>
        <w:rPr>
          <w:spacing w:val="-11"/>
          <w:sz w:val="20"/>
        </w:rPr>
        <w:t> </w:t>
      </w:r>
      <w:r>
        <w:rPr>
          <w:sz w:val="20"/>
        </w:rPr>
        <w:t>de</w:t>
      </w:r>
      <w:r>
        <w:rPr>
          <w:spacing w:val="-11"/>
          <w:sz w:val="20"/>
        </w:rPr>
        <w:t> </w:t>
      </w:r>
      <w:r>
        <w:rPr>
          <w:sz w:val="20"/>
        </w:rPr>
        <w:t>escuela</w:t>
      </w:r>
      <w:r>
        <w:rPr>
          <w:spacing w:val="-12"/>
          <w:sz w:val="20"/>
        </w:rPr>
        <w:t> </w:t>
      </w:r>
      <w:r>
        <w:rPr>
          <w:sz w:val="20"/>
        </w:rPr>
        <w:t>primaria,</w:t>
      </w:r>
      <w:r>
        <w:rPr>
          <w:spacing w:val="-11"/>
          <w:sz w:val="20"/>
        </w:rPr>
        <w:t> </w:t>
      </w:r>
      <w:r>
        <w:rPr>
          <w:sz w:val="20"/>
        </w:rPr>
        <w:t>48</w:t>
      </w:r>
      <w:r>
        <w:rPr>
          <w:spacing w:val="-11"/>
          <w:sz w:val="20"/>
        </w:rPr>
        <w:t> </w:t>
      </w:r>
      <w:r>
        <w:rPr>
          <w:sz w:val="20"/>
        </w:rPr>
        <w:t>años,</w:t>
      </w:r>
      <w:r>
        <w:rPr>
          <w:spacing w:val="-11"/>
          <w:sz w:val="20"/>
        </w:rPr>
        <w:t> </w:t>
      </w:r>
      <w:r>
        <w:rPr>
          <w:sz w:val="20"/>
        </w:rPr>
        <w:t>2008)</w:t>
      </w:r>
    </w:p>
    <w:p>
      <w:pPr>
        <w:pStyle w:val="BodyText"/>
        <w:spacing w:line="247" w:lineRule="auto" w:before="172"/>
        <w:ind w:left="117" w:right="114" w:firstLine="283"/>
        <w:jc w:val="both"/>
      </w:pPr>
      <w:r>
        <w:rPr>
          <w:color w:val="231F20"/>
        </w:rPr>
        <w:t>Y</w:t>
      </w:r>
      <w:r>
        <w:rPr>
          <w:color w:val="231F20"/>
          <w:spacing w:val="-13"/>
        </w:rPr>
        <w:t> </w:t>
      </w:r>
      <w:r>
        <w:rPr>
          <w:color w:val="231F20"/>
        </w:rPr>
        <w:t>no</w:t>
      </w:r>
      <w:r>
        <w:rPr>
          <w:color w:val="231F20"/>
          <w:spacing w:val="-4"/>
        </w:rPr>
        <w:t> </w:t>
      </w:r>
      <w:r>
        <w:rPr>
          <w:color w:val="231F20"/>
        </w:rPr>
        <w:t>sólo</w:t>
      </w:r>
      <w:r>
        <w:rPr>
          <w:color w:val="231F20"/>
          <w:spacing w:val="-4"/>
        </w:rPr>
        <w:t> </w:t>
      </w:r>
      <w:r>
        <w:rPr>
          <w:color w:val="231F20"/>
        </w:rPr>
        <w:t>se</w:t>
      </w:r>
      <w:r>
        <w:rPr>
          <w:color w:val="231F20"/>
          <w:spacing w:val="-4"/>
        </w:rPr>
        <w:t> </w:t>
      </w:r>
      <w:r>
        <w:rPr>
          <w:color w:val="231F20"/>
        </w:rPr>
        <w:t>afectó</w:t>
      </w:r>
      <w:r>
        <w:rPr>
          <w:color w:val="231F20"/>
          <w:spacing w:val="-5"/>
        </w:rPr>
        <w:t> </w:t>
      </w:r>
      <w:r>
        <w:rPr>
          <w:color w:val="231F20"/>
        </w:rPr>
        <w:t>el</w:t>
      </w:r>
      <w:r>
        <w:rPr>
          <w:color w:val="231F20"/>
          <w:spacing w:val="-4"/>
        </w:rPr>
        <w:t> </w:t>
      </w:r>
      <w:r>
        <w:rPr>
          <w:color w:val="231F20"/>
        </w:rPr>
        <w:t>número</w:t>
      </w:r>
      <w:r>
        <w:rPr>
          <w:color w:val="231F20"/>
          <w:spacing w:val="-4"/>
        </w:rPr>
        <w:t> </w:t>
      </w:r>
      <w:r>
        <w:rPr>
          <w:color w:val="231F20"/>
        </w:rPr>
        <w:t>de</w:t>
      </w:r>
      <w:r>
        <w:rPr>
          <w:color w:val="231F20"/>
          <w:spacing w:val="-4"/>
        </w:rPr>
        <w:t> </w:t>
      </w:r>
      <w:r>
        <w:rPr>
          <w:color w:val="231F20"/>
        </w:rPr>
        <w:t>alumnos</w:t>
      </w:r>
      <w:r>
        <w:rPr>
          <w:color w:val="231F20"/>
          <w:spacing w:val="-5"/>
        </w:rPr>
        <w:t> </w:t>
      </w:r>
      <w:r>
        <w:rPr>
          <w:color w:val="231F20"/>
        </w:rPr>
        <w:t>en</w:t>
      </w:r>
      <w:r>
        <w:rPr>
          <w:color w:val="231F20"/>
          <w:spacing w:val="-4"/>
        </w:rPr>
        <w:t> </w:t>
      </w:r>
      <w:r>
        <w:rPr>
          <w:color w:val="231F20"/>
        </w:rPr>
        <w:t>las</w:t>
      </w:r>
      <w:r>
        <w:rPr>
          <w:color w:val="231F20"/>
          <w:spacing w:val="-4"/>
        </w:rPr>
        <w:t> </w:t>
      </w:r>
      <w:r>
        <w:rPr>
          <w:color w:val="231F20"/>
        </w:rPr>
        <w:t>escuelas,</w:t>
      </w:r>
      <w:r>
        <w:rPr>
          <w:color w:val="231F20"/>
          <w:spacing w:val="-5"/>
        </w:rPr>
        <w:t> </w:t>
      </w:r>
      <w:r>
        <w:rPr>
          <w:color w:val="231F20"/>
        </w:rPr>
        <w:t>sino</w:t>
      </w:r>
      <w:r>
        <w:rPr>
          <w:color w:val="231F20"/>
          <w:spacing w:val="-4"/>
        </w:rPr>
        <w:t> </w:t>
      </w:r>
      <w:r>
        <w:rPr>
          <w:color w:val="231F20"/>
        </w:rPr>
        <w:t>también la</w:t>
      </w:r>
      <w:r>
        <w:rPr>
          <w:color w:val="231F20"/>
          <w:spacing w:val="-6"/>
        </w:rPr>
        <w:t> </w:t>
      </w:r>
      <w:r>
        <w:rPr>
          <w:color w:val="231F20"/>
        </w:rPr>
        <w:t>dinámica</w:t>
      </w:r>
      <w:r>
        <w:rPr>
          <w:color w:val="231F20"/>
          <w:spacing w:val="-6"/>
        </w:rPr>
        <w:t> </w:t>
      </w:r>
      <w:r>
        <w:rPr>
          <w:color w:val="231F20"/>
        </w:rPr>
        <w:t>general</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comunidades</w:t>
      </w:r>
      <w:r>
        <w:rPr>
          <w:color w:val="231F20"/>
          <w:spacing w:val="-6"/>
        </w:rPr>
        <w:t> </w:t>
      </w:r>
      <w:r>
        <w:rPr>
          <w:color w:val="231F20"/>
        </w:rPr>
        <w:t>y</w:t>
      </w:r>
      <w:r>
        <w:rPr>
          <w:color w:val="231F20"/>
          <w:spacing w:val="-6"/>
        </w:rPr>
        <w:t> </w:t>
      </w:r>
      <w:r>
        <w:rPr>
          <w:color w:val="231F20"/>
        </w:rPr>
        <w:t>propició</w:t>
      </w:r>
      <w:r>
        <w:rPr>
          <w:color w:val="231F20"/>
          <w:spacing w:val="-6"/>
        </w:rPr>
        <w:t> </w:t>
      </w:r>
      <w:r>
        <w:rPr>
          <w:color w:val="231F20"/>
        </w:rPr>
        <w:t>un</w:t>
      </w:r>
      <w:r>
        <w:rPr>
          <w:color w:val="231F20"/>
          <w:spacing w:val="-6"/>
        </w:rPr>
        <w:t> </w:t>
      </w:r>
      <w:r>
        <w:rPr>
          <w:color w:val="231F20"/>
        </w:rPr>
        <w:t>despoblamiento</w:t>
      </w:r>
      <w:r>
        <w:rPr>
          <w:color w:val="231F20"/>
          <w:spacing w:val="-6"/>
        </w:rPr>
        <w:t> </w:t>
      </w:r>
      <w:r>
        <w:rPr>
          <w:color w:val="231F20"/>
        </w:rPr>
        <w:t>sig- nificativo</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comunidades</w:t>
      </w:r>
      <w:r>
        <w:rPr>
          <w:color w:val="231F20"/>
          <w:spacing w:val="-13"/>
        </w:rPr>
        <w:t> </w:t>
      </w:r>
      <w:r>
        <w:rPr>
          <w:color w:val="231F20"/>
        </w:rPr>
        <w:t>del</w:t>
      </w:r>
      <w:r>
        <w:rPr>
          <w:color w:val="231F20"/>
          <w:spacing w:val="-17"/>
        </w:rPr>
        <w:t> </w:t>
      </w:r>
      <w:r>
        <w:rPr>
          <w:color w:val="231F20"/>
          <w:spacing w:val="-5"/>
        </w:rPr>
        <w:t>Valle</w:t>
      </w:r>
      <w:r>
        <w:rPr>
          <w:color w:val="231F20"/>
          <w:spacing w:val="-13"/>
        </w:rPr>
        <w:t> </w:t>
      </w:r>
      <w:r>
        <w:rPr>
          <w:color w:val="231F20"/>
        </w:rPr>
        <w:t>de</w:t>
      </w:r>
      <w:r>
        <w:rPr>
          <w:color w:val="231F20"/>
          <w:spacing w:val="-17"/>
        </w:rPr>
        <w:t> </w:t>
      </w:r>
      <w:r>
        <w:rPr>
          <w:color w:val="231F20"/>
        </w:rPr>
        <w:t>Tangancícuaro,</w:t>
      </w:r>
      <w:r>
        <w:rPr>
          <w:color w:val="231F20"/>
          <w:spacing w:val="-13"/>
        </w:rPr>
        <w:t> </w:t>
      </w:r>
      <w:r>
        <w:rPr>
          <w:color w:val="231F20"/>
        </w:rPr>
        <w:t>ya</w:t>
      </w:r>
      <w:r>
        <w:rPr>
          <w:color w:val="231F20"/>
          <w:spacing w:val="-13"/>
        </w:rPr>
        <w:t> </w:t>
      </w:r>
      <w:r>
        <w:rPr>
          <w:color w:val="231F20"/>
        </w:rPr>
        <w:t>que</w:t>
      </w:r>
      <w:r>
        <w:rPr>
          <w:color w:val="231F20"/>
          <w:spacing w:val="-13"/>
        </w:rPr>
        <w:t> </w:t>
      </w:r>
      <w:r>
        <w:rPr>
          <w:color w:val="231F20"/>
        </w:rPr>
        <w:t>desde</w:t>
      </w:r>
      <w:r>
        <w:rPr>
          <w:color w:val="231F20"/>
          <w:spacing w:val="-13"/>
        </w:rPr>
        <w:t> </w:t>
      </w:r>
      <w:r>
        <w:rPr>
          <w:color w:val="231F20"/>
        </w:rPr>
        <w:t>esa época para acá sólo quedaron habitando las comunidades en su mayoría personas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tercera</w:t>
      </w:r>
      <w:r>
        <w:rPr>
          <w:color w:val="231F20"/>
          <w:spacing w:val="-8"/>
        </w:rPr>
        <w:t> </w:t>
      </w:r>
      <w:r>
        <w:rPr>
          <w:color w:val="231F20"/>
        </w:rPr>
        <w:t>edad,</w:t>
      </w:r>
      <w:r>
        <w:rPr>
          <w:color w:val="231F20"/>
          <w:spacing w:val="-8"/>
        </w:rPr>
        <w:t> </w:t>
      </w:r>
      <w:r>
        <w:rPr>
          <w:color w:val="231F20"/>
        </w:rPr>
        <w:t>algunas</w:t>
      </w:r>
      <w:r>
        <w:rPr>
          <w:color w:val="231F20"/>
          <w:spacing w:val="-9"/>
        </w:rPr>
        <w:t> </w:t>
      </w:r>
      <w:r>
        <w:rPr>
          <w:color w:val="231F20"/>
        </w:rPr>
        <w:t>esposas</w:t>
      </w:r>
      <w:r>
        <w:rPr>
          <w:color w:val="231F20"/>
          <w:spacing w:val="-9"/>
        </w:rPr>
        <w:t> </w:t>
      </w:r>
      <w:r>
        <w:rPr>
          <w:color w:val="231F20"/>
        </w:rPr>
        <w:t>y</w:t>
      </w:r>
      <w:r>
        <w:rPr>
          <w:color w:val="231F20"/>
          <w:spacing w:val="-8"/>
        </w:rPr>
        <w:t> </w:t>
      </w:r>
      <w:r>
        <w:rPr>
          <w:color w:val="231F20"/>
        </w:rPr>
        <w:t>pocas</w:t>
      </w:r>
      <w:r>
        <w:rPr>
          <w:color w:val="231F20"/>
          <w:spacing w:val="-8"/>
        </w:rPr>
        <w:t> </w:t>
      </w:r>
      <w:r>
        <w:rPr>
          <w:color w:val="231F20"/>
        </w:rPr>
        <w:t>personas</w:t>
      </w:r>
      <w:r>
        <w:rPr>
          <w:color w:val="231F20"/>
          <w:spacing w:val="-8"/>
        </w:rPr>
        <w:t> </w:t>
      </w:r>
      <w:r>
        <w:rPr>
          <w:color w:val="231F20"/>
        </w:rPr>
        <w:t>jóvenes,</w:t>
      </w:r>
      <w:r>
        <w:rPr>
          <w:color w:val="231F20"/>
          <w:spacing w:val="-9"/>
        </w:rPr>
        <w:t> </w:t>
      </w:r>
      <w:r>
        <w:rPr>
          <w:color w:val="231F20"/>
        </w:rPr>
        <w:t>tan- to mujeres como hombres y estos últimos con la esperanza de poder emi- grar a Estados Unidos con sus familiares en cuanto se diera la posibilidad. Pero</w:t>
      </w:r>
      <w:r>
        <w:rPr>
          <w:color w:val="231F20"/>
          <w:spacing w:val="-8"/>
        </w:rPr>
        <w:t> </w:t>
      </w:r>
      <w:r>
        <w:rPr>
          <w:color w:val="231F20"/>
        </w:rPr>
        <w:t>también</w:t>
      </w:r>
      <w:r>
        <w:rPr>
          <w:color w:val="231F20"/>
          <w:spacing w:val="-8"/>
        </w:rPr>
        <w:t> </w:t>
      </w:r>
      <w:r>
        <w:rPr>
          <w:color w:val="231F20"/>
        </w:rPr>
        <w:t>están</w:t>
      </w:r>
      <w:r>
        <w:rPr>
          <w:color w:val="231F20"/>
          <w:spacing w:val="-9"/>
        </w:rPr>
        <w:t> </w:t>
      </w:r>
      <w:r>
        <w:rPr>
          <w:color w:val="231F20"/>
        </w:rPr>
        <w:t>las</w:t>
      </w:r>
      <w:r>
        <w:rPr>
          <w:color w:val="231F20"/>
          <w:spacing w:val="-9"/>
        </w:rPr>
        <w:t> </w:t>
      </w:r>
      <w:r>
        <w:rPr>
          <w:color w:val="231F20"/>
        </w:rPr>
        <w:t>afectaciones</w:t>
      </w:r>
      <w:r>
        <w:rPr>
          <w:color w:val="231F20"/>
          <w:spacing w:val="-9"/>
        </w:rPr>
        <w:t> </w:t>
      </w:r>
      <w:r>
        <w:rPr>
          <w:color w:val="231F20"/>
        </w:rPr>
        <w:t>al</w:t>
      </w:r>
      <w:r>
        <w:rPr>
          <w:color w:val="231F20"/>
          <w:spacing w:val="-9"/>
        </w:rPr>
        <w:t> </w:t>
      </w:r>
      <w:r>
        <w:rPr>
          <w:color w:val="231F20"/>
        </w:rPr>
        <w:t>campo</w:t>
      </w:r>
      <w:r>
        <w:rPr>
          <w:color w:val="231F20"/>
          <w:spacing w:val="-9"/>
        </w:rPr>
        <w:t> </w:t>
      </w:r>
      <w:r>
        <w:rPr>
          <w:color w:val="231F20"/>
        </w:rPr>
        <w:t>en</w:t>
      </w:r>
      <w:r>
        <w:rPr>
          <w:color w:val="231F20"/>
          <w:spacing w:val="-9"/>
        </w:rPr>
        <w:t> </w:t>
      </w:r>
      <w:r>
        <w:rPr>
          <w:color w:val="231F20"/>
        </w:rPr>
        <w:t>estas</w:t>
      </w:r>
      <w:r>
        <w:rPr>
          <w:color w:val="231F20"/>
          <w:spacing w:val="-9"/>
        </w:rPr>
        <w:t> </w:t>
      </w:r>
      <w:r>
        <w:rPr>
          <w:color w:val="231F20"/>
        </w:rPr>
        <w:t>comunidades,</w:t>
      </w:r>
      <w:r>
        <w:rPr>
          <w:color w:val="231F20"/>
          <w:spacing w:val="-9"/>
        </w:rPr>
        <w:t> </w:t>
      </w:r>
      <w:r>
        <w:rPr>
          <w:color w:val="231F20"/>
        </w:rPr>
        <w:t>que</w:t>
      </w:r>
      <w:r>
        <w:rPr>
          <w:color w:val="231F20"/>
          <w:spacing w:val="-8"/>
        </w:rPr>
        <w:t> </w:t>
      </w:r>
      <w:r>
        <w:rPr>
          <w:color w:val="231F20"/>
        </w:rPr>
        <w:t>se refleja</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abandono</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tierras</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consecuente</w:t>
      </w:r>
      <w:r>
        <w:rPr>
          <w:color w:val="231F20"/>
          <w:spacing w:val="-12"/>
        </w:rPr>
        <w:t> </w:t>
      </w:r>
      <w:r>
        <w:rPr>
          <w:color w:val="231F20"/>
        </w:rPr>
        <w:t>caída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producción de</w:t>
      </w:r>
      <w:r>
        <w:rPr>
          <w:color w:val="231F20"/>
          <w:spacing w:val="-6"/>
        </w:rPr>
        <w:t> </w:t>
      </w:r>
      <w:r>
        <w:rPr>
          <w:color w:val="231F20"/>
        </w:rPr>
        <w:t>granos</w:t>
      </w:r>
      <w:r>
        <w:rPr>
          <w:color w:val="231F20"/>
          <w:spacing w:val="-6"/>
        </w:rPr>
        <w:t> </w:t>
      </w:r>
      <w:r>
        <w:rPr>
          <w:color w:val="231F20"/>
        </w:rPr>
        <w:t>básicos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tenía</w:t>
      </w:r>
      <w:r>
        <w:rPr>
          <w:color w:val="231F20"/>
          <w:spacing w:val="-6"/>
        </w:rPr>
        <w:t> </w:t>
      </w:r>
      <w:r>
        <w:rPr>
          <w:color w:val="231F20"/>
        </w:rPr>
        <w:t>en</w:t>
      </w:r>
      <w:r>
        <w:rPr>
          <w:color w:val="231F20"/>
          <w:spacing w:val="-6"/>
        </w:rPr>
        <w:t> </w:t>
      </w:r>
      <w:r>
        <w:rPr>
          <w:color w:val="231F20"/>
        </w:rPr>
        <w:t>estas</w:t>
      </w:r>
      <w:r>
        <w:rPr>
          <w:color w:val="231F20"/>
          <w:spacing w:val="-6"/>
        </w:rPr>
        <w:t> </w:t>
      </w:r>
      <w:r>
        <w:rPr>
          <w:color w:val="231F20"/>
        </w:rPr>
        <w:t>comunidades.</w:t>
      </w:r>
      <w:r>
        <w:rPr>
          <w:color w:val="231F20"/>
          <w:spacing w:val="-11"/>
        </w:rPr>
        <w:t> </w:t>
      </w:r>
      <w:r>
        <w:rPr>
          <w:color w:val="231F20"/>
          <w:spacing w:val="-3"/>
        </w:rPr>
        <w:t>También</w:t>
      </w:r>
      <w:r>
        <w:rPr>
          <w:color w:val="231F20"/>
          <w:spacing w:val="-6"/>
        </w:rPr>
        <w:t> </w:t>
      </w:r>
      <w:r>
        <w:rPr>
          <w:color w:val="231F20"/>
        </w:rPr>
        <w:t>está</w:t>
      </w:r>
      <w:r>
        <w:rPr>
          <w:color w:val="231F20"/>
          <w:spacing w:val="-6"/>
        </w:rPr>
        <w:t> </w:t>
      </w:r>
      <w:r>
        <w:rPr>
          <w:color w:val="231F20"/>
        </w:rPr>
        <w:t>la</w:t>
      </w:r>
      <w:r>
        <w:rPr>
          <w:color w:val="231F20"/>
          <w:spacing w:val="-6"/>
        </w:rPr>
        <w:t> </w:t>
      </w:r>
      <w:r>
        <w:rPr>
          <w:color w:val="231F20"/>
        </w:rPr>
        <w:t>renta de</w:t>
      </w:r>
      <w:r>
        <w:rPr>
          <w:color w:val="231F20"/>
          <w:spacing w:val="-7"/>
        </w:rPr>
        <w:t> </w:t>
      </w:r>
      <w:r>
        <w:rPr>
          <w:color w:val="231F20"/>
        </w:rPr>
        <w:t>las</w:t>
      </w:r>
      <w:r>
        <w:rPr>
          <w:color w:val="231F20"/>
          <w:spacing w:val="-7"/>
        </w:rPr>
        <w:t> </w:t>
      </w:r>
      <w:r>
        <w:rPr>
          <w:color w:val="231F20"/>
        </w:rPr>
        <w:t>tierras</w:t>
      </w:r>
      <w:r>
        <w:rPr>
          <w:color w:val="231F20"/>
          <w:spacing w:val="-7"/>
        </w:rPr>
        <w:t> </w:t>
      </w:r>
      <w:r>
        <w:rPr>
          <w:color w:val="231F20"/>
        </w:rPr>
        <w:t>por</w:t>
      </w:r>
      <w:r>
        <w:rPr>
          <w:color w:val="231F20"/>
          <w:spacing w:val="-7"/>
        </w:rPr>
        <w:t> </w:t>
      </w:r>
      <w:r>
        <w:rPr>
          <w:color w:val="231F20"/>
        </w:rPr>
        <w:t>parte</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emigrados</w:t>
      </w:r>
      <w:r>
        <w:rPr>
          <w:color w:val="231F20"/>
          <w:spacing w:val="-8"/>
        </w:rPr>
        <w:t> </w:t>
      </w:r>
      <w:r>
        <w:rPr>
          <w:color w:val="231F20"/>
        </w:rPr>
        <w:t>para</w:t>
      </w:r>
      <w:r>
        <w:rPr>
          <w:color w:val="231F20"/>
          <w:spacing w:val="-7"/>
        </w:rPr>
        <w:t> </w:t>
      </w:r>
      <w:r>
        <w:rPr>
          <w:color w:val="231F20"/>
        </w:rPr>
        <w:t>obtener</w:t>
      </w:r>
      <w:r>
        <w:rPr>
          <w:color w:val="231F20"/>
          <w:spacing w:val="-7"/>
        </w:rPr>
        <w:t> </w:t>
      </w:r>
      <w:r>
        <w:rPr>
          <w:color w:val="231F20"/>
        </w:rPr>
        <w:t>un</w:t>
      </w:r>
      <w:r>
        <w:rPr>
          <w:color w:val="231F20"/>
          <w:spacing w:val="-7"/>
        </w:rPr>
        <w:t> </w:t>
      </w:r>
      <w:r>
        <w:rPr>
          <w:color w:val="231F20"/>
        </w:rPr>
        <w:t>ingreso</w:t>
      </w:r>
      <w:r>
        <w:rPr>
          <w:color w:val="231F20"/>
          <w:spacing w:val="-7"/>
        </w:rPr>
        <w:t> </w:t>
      </w:r>
      <w:r>
        <w:rPr>
          <w:color w:val="231F20"/>
        </w:rPr>
        <w:t>durante</w:t>
      </w:r>
      <w:r>
        <w:rPr>
          <w:color w:val="231F20"/>
          <w:spacing w:val="-7"/>
        </w:rPr>
        <w:t> </w:t>
      </w:r>
      <w:r>
        <w:rPr>
          <w:color w:val="231F20"/>
        </w:rPr>
        <w:t>su estancia</w:t>
      </w:r>
      <w:r>
        <w:rPr>
          <w:color w:val="231F20"/>
          <w:spacing w:val="-6"/>
        </w:rPr>
        <w:t> </w:t>
      </w:r>
      <w:r>
        <w:rPr>
          <w:color w:val="231F20"/>
        </w:rPr>
        <w:t>en</w:t>
      </w:r>
      <w:r>
        <w:rPr>
          <w:color w:val="231F20"/>
          <w:spacing w:val="-5"/>
        </w:rPr>
        <w:t> </w:t>
      </w:r>
      <w:r>
        <w:rPr>
          <w:color w:val="231F20"/>
        </w:rPr>
        <w:t>Estados</w:t>
      </w:r>
      <w:r>
        <w:rPr>
          <w:color w:val="231F20"/>
          <w:spacing w:val="-6"/>
        </w:rPr>
        <w:t> </w:t>
      </w:r>
      <w:r>
        <w:rPr>
          <w:color w:val="231F20"/>
        </w:rPr>
        <w:t>Unidos,</w:t>
      </w:r>
      <w:r>
        <w:rPr>
          <w:color w:val="231F20"/>
          <w:spacing w:val="-5"/>
        </w:rPr>
        <w:t> </w:t>
      </w:r>
      <w:r>
        <w:rPr>
          <w:color w:val="231F20"/>
        </w:rPr>
        <w:t>esto</w:t>
      </w:r>
      <w:r>
        <w:rPr>
          <w:color w:val="231F20"/>
          <w:spacing w:val="-5"/>
        </w:rPr>
        <w:t> </w:t>
      </w:r>
      <w:r>
        <w:rPr>
          <w:color w:val="231F20"/>
        </w:rPr>
        <w:t>se</w:t>
      </w:r>
      <w:r>
        <w:rPr>
          <w:color w:val="231F20"/>
          <w:spacing w:val="-5"/>
        </w:rPr>
        <w:t> </w:t>
      </w:r>
      <w:r>
        <w:rPr>
          <w:color w:val="231F20"/>
        </w:rPr>
        <w:t>puede</w:t>
      </w:r>
      <w:r>
        <w:rPr>
          <w:color w:val="231F20"/>
          <w:spacing w:val="-5"/>
        </w:rPr>
        <w:t> </w:t>
      </w:r>
      <w:r>
        <w:rPr>
          <w:color w:val="231F20"/>
        </w:rPr>
        <w:t>corroborar</w:t>
      </w:r>
      <w:r>
        <w:rPr>
          <w:color w:val="231F20"/>
          <w:spacing w:val="-6"/>
        </w:rPr>
        <w:t> </w:t>
      </w:r>
      <w:r>
        <w:rPr>
          <w:color w:val="231F20"/>
        </w:rPr>
        <w:t>con</w:t>
      </w:r>
      <w:r>
        <w:rPr>
          <w:color w:val="231F20"/>
          <w:spacing w:val="-5"/>
        </w:rPr>
        <w:t> </w:t>
      </w:r>
      <w:r>
        <w:rPr>
          <w:color w:val="231F20"/>
        </w:rPr>
        <w:t>el</w:t>
      </w:r>
      <w:r>
        <w:rPr>
          <w:color w:val="231F20"/>
          <w:spacing w:val="-5"/>
        </w:rPr>
        <w:t> </w:t>
      </w:r>
      <w:r>
        <w:rPr>
          <w:color w:val="231F20"/>
        </w:rPr>
        <w:t>testimonio</w:t>
      </w:r>
      <w:r>
        <w:rPr>
          <w:color w:val="231F20"/>
          <w:spacing w:val="-6"/>
        </w:rPr>
        <w:t> </w:t>
      </w:r>
      <w:r>
        <w:rPr>
          <w:color w:val="231F20"/>
        </w:rPr>
        <w:t>del mismo profesor que anteriormente se cita:</w:t>
      </w:r>
    </w:p>
    <w:p>
      <w:pPr>
        <w:spacing w:line="249" w:lineRule="auto" w:before="168"/>
        <w:ind w:left="400" w:right="114" w:firstLine="0"/>
        <w:jc w:val="both"/>
        <w:rPr>
          <w:sz w:val="20"/>
        </w:rPr>
      </w:pPr>
      <w:r>
        <w:rPr>
          <w:sz w:val="20"/>
        </w:rPr>
        <w:t>Si ha visto nada más ha quedado gente grande pues, gente que ya no le sirve a Estados</w:t>
      </w:r>
      <w:r>
        <w:rPr>
          <w:spacing w:val="-6"/>
          <w:sz w:val="20"/>
        </w:rPr>
        <w:t> </w:t>
      </w:r>
      <w:r>
        <w:rPr>
          <w:sz w:val="20"/>
        </w:rPr>
        <w:t>Unidos</w:t>
      </w:r>
      <w:r>
        <w:rPr>
          <w:spacing w:val="-6"/>
          <w:sz w:val="20"/>
        </w:rPr>
        <w:t> </w:t>
      </w:r>
      <w:r>
        <w:rPr>
          <w:sz w:val="20"/>
        </w:rPr>
        <w:t>para</w:t>
      </w:r>
      <w:r>
        <w:rPr>
          <w:spacing w:val="-6"/>
          <w:sz w:val="20"/>
        </w:rPr>
        <w:t> </w:t>
      </w:r>
      <w:r>
        <w:rPr>
          <w:sz w:val="20"/>
        </w:rPr>
        <w:t>el</w:t>
      </w:r>
      <w:r>
        <w:rPr>
          <w:spacing w:val="-6"/>
          <w:sz w:val="20"/>
        </w:rPr>
        <w:t> </w:t>
      </w:r>
      <w:r>
        <w:rPr>
          <w:sz w:val="20"/>
        </w:rPr>
        <w:t>trabajo,</w:t>
      </w:r>
      <w:r>
        <w:rPr>
          <w:spacing w:val="-6"/>
          <w:sz w:val="20"/>
        </w:rPr>
        <w:t> </w:t>
      </w:r>
      <w:r>
        <w:rPr>
          <w:sz w:val="20"/>
        </w:rPr>
        <w:t>son</w:t>
      </w:r>
      <w:r>
        <w:rPr>
          <w:spacing w:val="-6"/>
          <w:sz w:val="20"/>
        </w:rPr>
        <w:t> </w:t>
      </w:r>
      <w:r>
        <w:rPr>
          <w:sz w:val="20"/>
        </w:rPr>
        <w:t>los</w:t>
      </w:r>
      <w:r>
        <w:rPr>
          <w:spacing w:val="-6"/>
          <w:sz w:val="20"/>
        </w:rPr>
        <w:t> </w:t>
      </w:r>
      <w:r>
        <w:rPr>
          <w:sz w:val="20"/>
        </w:rPr>
        <w:t>que</w:t>
      </w:r>
      <w:r>
        <w:rPr>
          <w:spacing w:val="-6"/>
          <w:sz w:val="20"/>
        </w:rPr>
        <w:t> </w:t>
      </w:r>
      <w:r>
        <w:rPr>
          <w:sz w:val="20"/>
        </w:rPr>
        <w:t>están</w:t>
      </w:r>
      <w:r>
        <w:rPr>
          <w:spacing w:val="-6"/>
          <w:sz w:val="20"/>
        </w:rPr>
        <w:t> </w:t>
      </w:r>
      <w:r>
        <w:rPr>
          <w:sz w:val="20"/>
        </w:rPr>
        <w:t>aquí,</w:t>
      </w:r>
      <w:r>
        <w:rPr>
          <w:spacing w:val="-6"/>
          <w:sz w:val="20"/>
        </w:rPr>
        <w:t> </w:t>
      </w:r>
      <w:r>
        <w:rPr>
          <w:sz w:val="20"/>
        </w:rPr>
        <w:t>porque</w:t>
      </w:r>
      <w:r>
        <w:rPr>
          <w:spacing w:val="-6"/>
          <w:sz w:val="20"/>
        </w:rPr>
        <w:t> </w:t>
      </w:r>
      <w:r>
        <w:rPr>
          <w:sz w:val="20"/>
        </w:rPr>
        <w:t>los</w:t>
      </w:r>
      <w:r>
        <w:rPr>
          <w:spacing w:val="-6"/>
          <w:sz w:val="20"/>
        </w:rPr>
        <w:t> </w:t>
      </w:r>
      <w:r>
        <w:rPr>
          <w:sz w:val="20"/>
        </w:rPr>
        <w:t>que</w:t>
      </w:r>
      <w:r>
        <w:rPr>
          <w:spacing w:val="-6"/>
          <w:sz w:val="20"/>
        </w:rPr>
        <w:t> </w:t>
      </w:r>
      <w:r>
        <w:rPr>
          <w:sz w:val="20"/>
        </w:rPr>
        <w:t>sí</w:t>
      </w:r>
      <w:r>
        <w:rPr>
          <w:spacing w:val="-6"/>
          <w:sz w:val="20"/>
        </w:rPr>
        <w:t> </w:t>
      </w:r>
      <w:r>
        <w:rPr>
          <w:sz w:val="20"/>
        </w:rPr>
        <w:t>sirven son los que están allá pues… y los que no han alcanzado a arreglar, los que</w:t>
      </w:r>
      <w:r>
        <w:rPr>
          <w:spacing w:val="-33"/>
          <w:sz w:val="20"/>
        </w:rPr>
        <w:t> </w:t>
      </w:r>
      <w:r>
        <w:rPr>
          <w:sz w:val="20"/>
        </w:rPr>
        <w:t>no han</w:t>
      </w:r>
      <w:r>
        <w:rPr>
          <w:spacing w:val="-8"/>
          <w:sz w:val="20"/>
        </w:rPr>
        <w:t> </w:t>
      </w:r>
      <w:r>
        <w:rPr>
          <w:sz w:val="20"/>
        </w:rPr>
        <w:t>alcanzado</w:t>
      </w:r>
      <w:r>
        <w:rPr>
          <w:spacing w:val="-9"/>
          <w:sz w:val="20"/>
        </w:rPr>
        <w:t> </w:t>
      </w:r>
      <w:r>
        <w:rPr>
          <w:sz w:val="20"/>
        </w:rPr>
        <w:t>a</w:t>
      </w:r>
      <w:r>
        <w:rPr>
          <w:spacing w:val="-8"/>
          <w:sz w:val="20"/>
        </w:rPr>
        <w:t> </w:t>
      </w:r>
      <w:r>
        <w:rPr>
          <w:sz w:val="20"/>
        </w:rPr>
        <w:t>arreglar</w:t>
      </w:r>
      <w:r>
        <w:rPr>
          <w:spacing w:val="-9"/>
          <w:sz w:val="20"/>
        </w:rPr>
        <w:t> </w:t>
      </w:r>
      <w:r>
        <w:rPr>
          <w:sz w:val="20"/>
        </w:rPr>
        <w:t>su</w:t>
      </w:r>
      <w:r>
        <w:rPr>
          <w:spacing w:val="-8"/>
          <w:sz w:val="20"/>
        </w:rPr>
        <w:t> </w:t>
      </w:r>
      <w:r>
        <w:rPr>
          <w:sz w:val="20"/>
        </w:rPr>
        <w:t>pasaporte,</w:t>
      </w:r>
      <w:r>
        <w:rPr>
          <w:spacing w:val="-8"/>
          <w:sz w:val="20"/>
        </w:rPr>
        <w:t> </w:t>
      </w:r>
      <w:r>
        <w:rPr>
          <w:sz w:val="20"/>
        </w:rPr>
        <w:t>son</w:t>
      </w:r>
      <w:r>
        <w:rPr>
          <w:spacing w:val="-8"/>
          <w:sz w:val="20"/>
        </w:rPr>
        <w:t> </w:t>
      </w:r>
      <w:r>
        <w:rPr>
          <w:sz w:val="20"/>
        </w:rPr>
        <w:t>los</w:t>
      </w:r>
      <w:r>
        <w:rPr>
          <w:spacing w:val="-8"/>
          <w:sz w:val="20"/>
        </w:rPr>
        <w:t> </w:t>
      </w:r>
      <w:r>
        <w:rPr>
          <w:sz w:val="20"/>
        </w:rPr>
        <w:t>que</w:t>
      </w:r>
      <w:r>
        <w:rPr>
          <w:spacing w:val="-8"/>
          <w:sz w:val="20"/>
        </w:rPr>
        <w:t> </w:t>
      </w:r>
      <w:r>
        <w:rPr>
          <w:sz w:val="20"/>
        </w:rPr>
        <w:t>vienen</w:t>
      </w:r>
      <w:r>
        <w:rPr>
          <w:spacing w:val="-8"/>
          <w:sz w:val="20"/>
        </w:rPr>
        <w:t> </w:t>
      </w:r>
      <w:r>
        <w:rPr>
          <w:sz w:val="20"/>
        </w:rPr>
        <w:t>cada</w:t>
      </w:r>
      <w:r>
        <w:rPr>
          <w:spacing w:val="-8"/>
          <w:sz w:val="20"/>
        </w:rPr>
        <w:t> </w:t>
      </w:r>
      <w:r>
        <w:rPr>
          <w:sz w:val="20"/>
        </w:rPr>
        <w:t>año,</w:t>
      </w:r>
      <w:r>
        <w:rPr>
          <w:spacing w:val="-8"/>
          <w:sz w:val="20"/>
        </w:rPr>
        <w:t> </w:t>
      </w:r>
      <w:r>
        <w:rPr>
          <w:sz w:val="20"/>
        </w:rPr>
        <w:t>son</w:t>
      </w:r>
      <w:r>
        <w:rPr>
          <w:spacing w:val="-8"/>
          <w:sz w:val="20"/>
        </w:rPr>
        <w:t> </w:t>
      </w:r>
      <w:r>
        <w:rPr>
          <w:sz w:val="20"/>
        </w:rPr>
        <w:t>los</w:t>
      </w:r>
      <w:r>
        <w:rPr>
          <w:spacing w:val="-8"/>
          <w:sz w:val="20"/>
        </w:rPr>
        <w:t> </w:t>
      </w:r>
      <w:r>
        <w:rPr>
          <w:sz w:val="20"/>
        </w:rPr>
        <w:t>que están</w:t>
      </w:r>
      <w:r>
        <w:rPr>
          <w:spacing w:val="-7"/>
          <w:sz w:val="20"/>
        </w:rPr>
        <w:t> </w:t>
      </w:r>
      <w:r>
        <w:rPr>
          <w:sz w:val="20"/>
        </w:rPr>
        <w:t>yendo</w:t>
      </w:r>
      <w:r>
        <w:rPr>
          <w:spacing w:val="-6"/>
          <w:sz w:val="20"/>
        </w:rPr>
        <w:t> </w:t>
      </w:r>
      <w:r>
        <w:rPr>
          <w:sz w:val="20"/>
        </w:rPr>
        <w:t>y</w:t>
      </w:r>
      <w:r>
        <w:rPr>
          <w:spacing w:val="-6"/>
          <w:sz w:val="20"/>
        </w:rPr>
        <w:t> </w:t>
      </w:r>
      <w:r>
        <w:rPr>
          <w:sz w:val="20"/>
        </w:rPr>
        <w:t>viniendo,</w:t>
      </w:r>
      <w:r>
        <w:rPr>
          <w:spacing w:val="-6"/>
          <w:sz w:val="20"/>
        </w:rPr>
        <w:t> </w:t>
      </w:r>
      <w:r>
        <w:rPr>
          <w:sz w:val="20"/>
        </w:rPr>
        <w:t>los</w:t>
      </w:r>
      <w:r>
        <w:rPr>
          <w:spacing w:val="-6"/>
          <w:sz w:val="20"/>
        </w:rPr>
        <w:t> </w:t>
      </w:r>
      <w:r>
        <w:rPr>
          <w:sz w:val="20"/>
        </w:rPr>
        <w:t>ilegales,</w:t>
      </w:r>
      <w:r>
        <w:rPr>
          <w:spacing w:val="-7"/>
          <w:sz w:val="20"/>
        </w:rPr>
        <w:t> </w:t>
      </w:r>
      <w:r>
        <w:rPr>
          <w:sz w:val="20"/>
        </w:rPr>
        <w:t>son</w:t>
      </w:r>
      <w:r>
        <w:rPr>
          <w:spacing w:val="-6"/>
          <w:sz w:val="20"/>
        </w:rPr>
        <w:t> </w:t>
      </w:r>
      <w:r>
        <w:rPr>
          <w:sz w:val="20"/>
        </w:rPr>
        <w:t>los</w:t>
      </w:r>
      <w:r>
        <w:rPr>
          <w:spacing w:val="-6"/>
          <w:sz w:val="20"/>
        </w:rPr>
        <w:t> </w:t>
      </w:r>
      <w:r>
        <w:rPr>
          <w:sz w:val="20"/>
        </w:rPr>
        <w:t>que</w:t>
      </w:r>
      <w:r>
        <w:rPr>
          <w:spacing w:val="-6"/>
          <w:sz w:val="20"/>
        </w:rPr>
        <w:t> </w:t>
      </w:r>
      <w:r>
        <w:rPr>
          <w:sz w:val="20"/>
        </w:rPr>
        <w:t>se</w:t>
      </w:r>
      <w:r>
        <w:rPr>
          <w:spacing w:val="-6"/>
          <w:sz w:val="20"/>
        </w:rPr>
        <w:t> </w:t>
      </w:r>
      <w:r>
        <w:rPr>
          <w:sz w:val="20"/>
        </w:rPr>
        <w:t>van</w:t>
      </w:r>
      <w:r>
        <w:rPr>
          <w:spacing w:val="-6"/>
          <w:sz w:val="20"/>
        </w:rPr>
        <w:t> </w:t>
      </w:r>
      <w:r>
        <w:rPr>
          <w:sz w:val="20"/>
        </w:rPr>
        <w:t>de</w:t>
      </w:r>
      <w:r>
        <w:rPr>
          <w:spacing w:val="-6"/>
          <w:sz w:val="20"/>
        </w:rPr>
        <w:t> </w:t>
      </w:r>
      <w:r>
        <w:rPr>
          <w:sz w:val="20"/>
        </w:rPr>
        <w:t>mojados,</w:t>
      </w:r>
      <w:r>
        <w:rPr>
          <w:spacing w:val="-7"/>
          <w:sz w:val="20"/>
        </w:rPr>
        <w:t> </w:t>
      </w:r>
      <w:r>
        <w:rPr>
          <w:sz w:val="20"/>
        </w:rPr>
        <w:t>porque</w:t>
      </w:r>
      <w:r>
        <w:rPr>
          <w:spacing w:val="-6"/>
          <w:sz w:val="20"/>
        </w:rPr>
        <w:t> </w:t>
      </w:r>
      <w:r>
        <w:rPr>
          <w:sz w:val="20"/>
        </w:rPr>
        <w:t>los que ya están documentados ya no vienen, a que se vienen pues, toda la</w:t>
      </w:r>
      <w:r>
        <w:rPr>
          <w:spacing w:val="-34"/>
          <w:sz w:val="20"/>
        </w:rPr>
        <w:t> </w:t>
      </w:r>
      <w:r>
        <w:rPr>
          <w:sz w:val="20"/>
        </w:rPr>
        <w:t>familia la tienen allá, a que viene aquí pues… Sí ya más tierras quedaron pues solas, mire</w:t>
      </w:r>
      <w:r>
        <w:rPr>
          <w:spacing w:val="-7"/>
          <w:sz w:val="20"/>
        </w:rPr>
        <w:t> </w:t>
      </w:r>
      <w:r>
        <w:rPr>
          <w:sz w:val="20"/>
        </w:rPr>
        <w:t>uste</w:t>
      </w:r>
      <w:r>
        <w:rPr>
          <w:spacing w:val="-7"/>
          <w:sz w:val="20"/>
        </w:rPr>
        <w:t> </w:t>
      </w:r>
      <w:r>
        <w:rPr>
          <w:sz w:val="20"/>
        </w:rPr>
        <w:t>antiguamente</w:t>
      </w:r>
      <w:r>
        <w:rPr>
          <w:spacing w:val="-7"/>
          <w:sz w:val="20"/>
        </w:rPr>
        <w:t> </w:t>
      </w:r>
      <w:r>
        <w:rPr>
          <w:sz w:val="20"/>
        </w:rPr>
        <w:t>cuando</w:t>
      </w:r>
      <w:r>
        <w:rPr>
          <w:spacing w:val="-7"/>
          <w:sz w:val="20"/>
        </w:rPr>
        <w:t> </w:t>
      </w:r>
      <w:r>
        <w:rPr>
          <w:sz w:val="20"/>
        </w:rPr>
        <w:t>yo</w:t>
      </w:r>
      <w:r>
        <w:rPr>
          <w:spacing w:val="-7"/>
          <w:sz w:val="20"/>
        </w:rPr>
        <w:t> </w:t>
      </w:r>
      <w:r>
        <w:rPr>
          <w:sz w:val="20"/>
        </w:rPr>
        <w:t>llegué</w:t>
      </w:r>
      <w:r>
        <w:rPr>
          <w:spacing w:val="-7"/>
          <w:sz w:val="20"/>
        </w:rPr>
        <w:t> </w:t>
      </w:r>
      <w:r>
        <w:rPr>
          <w:sz w:val="20"/>
        </w:rPr>
        <w:t>aquí</w:t>
      </w:r>
      <w:r>
        <w:rPr>
          <w:spacing w:val="-7"/>
          <w:sz w:val="20"/>
        </w:rPr>
        <w:t> </w:t>
      </w:r>
      <w:r>
        <w:rPr>
          <w:sz w:val="20"/>
        </w:rPr>
        <w:t>en</w:t>
      </w:r>
      <w:r>
        <w:rPr>
          <w:spacing w:val="-7"/>
          <w:sz w:val="20"/>
        </w:rPr>
        <w:t> </w:t>
      </w:r>
      <w:r>
        <w:rPr>
          <w:sz w:val="20"/>
        </w:rPr>
        <w:t>los</w:t>
      </w:r>
      <w:r>
        <w:rPr>
          <w:spacing w:val="-7"/>
          <w:sz w:val="20"/>
        </w:rPr>
        <w:t> </w:t>
      </w:r>
      <w:r>
        <w:rPr>
          <w:sz w:val="20"/>
        </w:rPr>
        <w:t>primeros</w:t>
      </w:r>
      <w:r>
        <w:rPr>
          <w:spacing w:val="-7"/>
          <w:sz w:val="20"/>
        </w:rPr>
        <w:t> </w:t>
      </w:r>
      <w:r>
        <w:rPr>
          <w:sz w:val="20"/>
        </w:rPr>
        <w:t>años</w:t>
      </w:r>
      <w:r>
        <w:rPr>
          <w:spacing w:val="-7"/>
          <w:sz w:val="20"/>
        </w:rPr>
        <w:t> </w:t>
      </w:r>
      <w:r>
        <w:rPr>
          <w:sz w:val="20"/>
        </w:rPr>
        <w:t>sembraban trigo, después del trigo se empezó a sembrar el maíz, pero yo pienso que los agricultores vieron que no daban resultado esos productos, se metió la fresa, después estuvo la fresa, pero como ya no hay gente la fresa se vino abajo y Tangancícuaro es la única zona donde hay fresa, pero sí ha afectado como,</w:t>
      </w:r>
      <w:r>
        <w:rPr>
          <w:spacing w:val="-17"/>
          <w:sz w:val="20"/>
        </w:rPr>
        <w:t> </w:t>
      </w:r>
      <w:r>
        <w:rPr>
          <w:sz w:val="20"/>
        </w:rPr>
        <w:t>las migraciones, sí se ve a leguas es la realidad… </w:t>
      </w:r>
      <w:r>
        <w:rPr>
          <w:spacing w:val="-11"/>
          <w:sz w:val="20"/>
        </w:rPr>
        <w:t>Ya </w:t>
      </w:r>
      <w:r>
        <w:rPr>
          <w:sz w:val="20"/>
        </w:rPr>
        <w:t>ve que las tierras ni valen pues, a veces los señores cuando vienen aquí, a veces las prestan, ni siquiera cobran la rentan… la prestan para que ay no le vaya a crecer muchos árboles, es lo que quieren nomás ellos… [rentar la tierra es] barato, barato, dos hectá- reas</w:t>
      </w:r>
      <w:r>
        <w:rPr>
          <w:spacing w:val="-10"/>
          <w:sz w:val="20"/>
        </w:rPr>
        <w:t> </w:t>
      </w:r>
      <w:r>
        <w:rPr>
          <w:sz w:val="20"/>
        </w:rPr>
        <w:t>mil</w:t>
      </w:r>
      <w:r>
        <w:rPr>
          <w:spacing w:val="-11"/>
          <w:sz w:val="20"/>
        </w:rPr>
        <w:t> </w:t>
      </w:r>
      <w:r>
        <w:rPr>
          <w:sz w:val="20"/>
        </w:rPr>
        <w:t>pesos…</w:t>
      </w:r>
      <w:r>
        <w:rPr>
          <w:spacing w:val="-11"/>
          <w:sz w:val="20"/>
        </w:rPr>
        <w:t> </w:t>
      </w:r>
      <w:r>
        <w:rPr>
          <w:sz w:val="20"/>
        </w:rPr>
        <w:t>(Profesor</w:t>
      </w:r>
      <w:r>
        <w:rPr>
          <w:spacing w:val="-10"/>
          <w:sz w:val="20"/>
        </w:rPr>
        <w:t> </w:t>
      </w:r>
      <w:r>
        <w:rPr>
          <w:sz w:val="20"/>
        </w:rPr>
        <w:t>Raúl,</w:t>
      </w:r>
      <w:r>
        <w:rPr>
          <w:spacing w:val="-10"/>
          <w:sz w:val="20"/>
        </w:rPr>
        <w:t> </w:t>
      </w:r>
      <w:r>
        <w:rPr>
          <w:sz w:val="20"/>
        </w:rPr>
        <w:t>Director</w:t>
      </w:r>
      <w:r>
        <w:rPr>
          <w:spacing w:val="-10"/>
          <w:sz w:val="20"/>
        </w:rPr>
        <w:t> </w:t>
      </w:r>
      <w:r>
        <w:rPr>
          <w:sz w:val="20"/>
        </w:rPr>
        <w:t>de</w:t>
      </w:r>
      <w:r>
        <w:rPr>
          <w:spacing w:val="-10"/>
          <w:sz w:val="20"/>
        </w:rPr>
        <w:t> </w:t>
      </w:r>
      <w:r>
        <w:rPr>
          <w:sz w:val="20"/>
        </w:rPr>
        <w:t>la</w:t>
      </w:r>
      <w:r>
        <w:rPr>
          <w:spacing w:val="-10"/>
          <w:sz w:val="20"/>
        </w:rPr>
        <w:t> </w:t>
      </w:r>
      <w:r>
        <w:rPr>
          <w:sz w:val="20"/>
        </w:rPr>
        <w:t>escuela</w:t>
      </w:r>
      <w:r>
        <w:rPr>
          <w:spacing w:val="-11"/>
          <w:sz w:val="20"/>
        </w:rPr>
        <w:t> </w:t>
      </w:r>
      <w:r>
        <w:rPr>
          <w:sz w:val="20"/>
        </w:rPr>
        <w:t>primaria,</w:t>
      </w:r>
      <w:r>
        <w:rPr>
          <w:spacing w:val="-11"/>
          <w:sz w:val="20"/>
        </w:rPr>
        <w:t> </w:t>
      </w:r>
      <w:r>
        <w:rPr>
          <w:sz w:val="20"/>
        </w:rPr>
        <w:t>48</w:t>
      </w:r>
      <w:r>
        <w:rPr>
          <w:spacing w:val="-10"/>
          <w:sz w:val="20"/>
        </w:rPr>
        <w:t> </w:t>
      </w:r>
      <w:r>
        <w:rPr>
          <w:sz w:val="20"/>
        </w:rPr>
        <w:t>años,</w:t>
      </w:r>
      <w:r>
        <w:rPr>
          <w:spacing w:val="-14"/>
          <w:sz w:val="20"/>
        </w:rPr>
        <w:t> </w:t>
      </w:r>
      <w:r>
        <w:rPr>
          <w:spacing w:val="-5"/>
          <w:sz w:val="20"/>
        </w:rPr>
        <w:t>Valle </w:t>
      </w:r>
      <w:r>
        <w:rPr>
          <w:sz w:val="20"/>
        </w:rPr>
        <w:t>de Tangancícuaro,</w:t>
      </w:r>
      <w:r>
        <w:rPr>
          <w:spacing w:val="-19"/>
          <w:sz w:val="20"/>
        </w:rPr>
        <w:t> </w:t>
      </w:r>
      <w:r>
        <w:rPr>
          <w:sz w:val="20"/>
        </w:rPr>
        <w:t>2008).</w:t>
      </w:r>
    </w:p>
    <w:p>
      <w:pPr>
        <w:pStyle w:val="BodyText"/>
        <w:spacing w:line="247" w:lineRule="auto" w:before="172"/>
        <w:ind w:left="117" w:right="115" w:firstLine="283"/>
        <w:jc w:val="both"/>
      </w:pPr>
      <w:r>
        <w:rPr>
          <w:color w:val="231F20"/>
        </w:rPr>
        <w:t>Después de la amnistía y llegada la última década del siglo XX se vie- ron los efectos que dejó esta migración en las comunidades expulsoras.</w:t>
      </w:r>
    </w:p>
    <w:p>
      <w:pPr>
        <w:spacing w:after="0" w:line="247" w:lineRule="auto"/>
        <w:jc w:val="both"/>
        <w:sectPr>
          <w:pgSz w:w="9360" w:h="13040"/>
          <w:pgMar w:header="0" w:footer="496" w:top="800" w:bottom="680" w:left="1300" w:right="1300"/>
        </w:sectPr>
      </w:pPr>
    </w:p>
    <w:p>
      <w:pPr>
        <w:spacing w:before="45"/>
        <w:ind w:left="1439" w:right="0" w:firstLine="0"/>
        <w:jc w:val="left"/>
        <w:rPr>
          <w:rFonts w:ascii="Arial" w:hAnsi="Arial"/>
          <w:sz w:val="20"/>
        </w:rPr>
      </w:pPr>
      <w:r>
        <w:rPr>
          <w:rFonts w:ascii="Arial" w:hAnsi="Arial"/>
          <w:color w:val="231F20"/>
          <w:w w:val="70"/>
          <w:sz w:val="20"/>
        </w:rPr>
        <w:t>Migración y cambio del espacio rural en el noreste michoacano /Iván Jiménez-Maya</w:t>
      </w:r>
    </w:p>
    <w:p>
      <w:pPr>
        <w:pStyle w:val="BodyText"/>
        <w:spacing w:before="10"/>
        <w:rPr>
          <w:rFonts w:ascii="Arial"/>
          <w:sz w:val="27"/>
        </w:rPr>
      </w:pPr>
    </w:p>
    <w:p>
      <w:pPr>
        <w:pStyle w:val="Heading3"/>
        <w:spacing w:line="242" w:lineRule="auto" w:before="0"/>
        <w:ind w:right="670"/>
        <w:jc w:val="left"/>
      </w:pPr>
      <w:r>
        <w:rPr>
          <w:color w:val="231F20"/>
        </w:rPr>
        <w:t>El espacio rural del Valle de Tangancícuaro en el contexto modelo neoliberal y del Tratado de Libre Comercio</w:t>
      </w:r>
    </w:p>
    <w:p>
      <w:pPr>
        <w:spacing w:before="1"/>
        <w:ind w:left="117" w:right="0" w:firstLine="0"/>
        <w:jc w:val="both"/>
        <w:rPr>
          <w:b/>
          <w:sz w:val="24"/>
        </w:rPr>
      </w:pPr>
      <w:r>
        <w:rPr>
          <w:b/>
          <w:color w:val="231F20"/>
          <w:sz w:val="24"/>
        </w:rPr>
        <w:t>de América del Norte</w:t>
      </w:r>
    </w:p>
    <w:p>
      <w:pPr>
        <w:pStyle w:val="BodyText"/>
        <w:spacing w:line="247" w:lineRule="auto" w:before="172"/>
        <w:ind w:left="117" w:right="114"/>
        <w:jc w:val="both"/>
      </w:pPr>
      <w:r>
        <w:rPr>
          <w:color w:val="231F20"/>
        </w:rPr>
        <w:t>Las coyunturas mencionadas en capítulos anteriores que han influido en  el proceso migratorio México-Estados Unidos, se han visto reflejadas en la vida de las comunidades del </w:t>
      </w:r>
      <w:r>
        <w:rPr>
          <w:color w:val="231F20"/>
          <w:spacing w:val="-5"/>
        </w:rPr>
        <w:t>Valle </w:t>
      </w:r>
      <w:r>
        <w:rPr>
          <w:color w:val="231F20"/>
        </w:rPr>
        <w:t>de Tangancícuaro. A escala</w:t>
      </w:r>
      <w:r>
        <w:rPr>
          <w:color w:val="231F20"/>
          <w:spacing w:val="-23"/>
        </w:rPr>
        <w:t> </w:t>
      </w:r>
      <w:r>
        <w:rPr>
          <w:color w:val="231F20"/>
        </w:rPr>
        <w:t>nacional, durante</w:t>
      </w:r>
      <w:r>
        <w:rPr>
          <w:color w:val="231F20"/>
          <w:spacing w:val="-4"/>
        </w:rPr>
        <w:t> </w:t>
      </w:r>
      <w:r>
        <w:rPr>
          <w:color w:val="231F20"/>
        </w:rPr>
        <w:t>los</w:t>
      </w:r>
      <w:r>
        <w:rPr>
          <w:color w:val="231F20"/>
          <w:spacing w:val="-4"/>
        </w:rPr>
        <w:t> </w:t>
      </w:r>
      <w:r>
        <w:rPr>
          <w:color w:val="231F20"/>
        </w:rPr>
        <w:t>primeros</w:t>
      </w:r>
      <w:r>
        <w:rPr>
          <w:color w:val="231F20"/>
          <w:spacing w:val="-4"/>
        </w:rPr>
        <w:t> </w:t>
      </w:r>
      <w:r>
        <w:rPr>
          <w:color w:val="231F20"/>
        </w:rPr>
        <w:t>años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década</w:t>
      </w:r>
      <w:r>
        <w:rPr>
          <w:color w:val="231F20"/>
          <w:spacing w:val="-4"/>
        </w:rPr>
        <w:t> </w:t>
      </w:r>
      <w:r>
        <w:rPr>
          <w:color w:val="231F20"/>
        </w:rPr>
        <w:t>de</w:t>
      </w:r>
      <w:r>
        <w:rPr>
          <w:color w:val="231F20"/>
          <w:spacing w:val="-5"/>
        </w:rPr>
        <w:t> </w:t>
      </w:r>
      <w:r>
        <w:rPr>
          <w:color w:val="231F20"/>
        </w:rPr>
        <w:t>los</w:t>
      </w:r>
      <w:r>
        <w:rPr>
          <w:color w:val="231F20"/>
          <w:spacing w:val="-4"/>
        </w:rPr>
        <w:t> </w:t>
      </w:r>
      <w:r>
        <w:rPr>
          <w:color w:val="231F20"/>
        </w:rPr>
        <w:t>años</w:t>
      </w:r>
      <w:r>
        <w:rPr>
          <w:color w:val="231F20"/>
          <w:spacing w:val="-5"/>
        </w:rPr>
        <w:t> </w:t>
      </w:r>
      <w:r>
        <w:rPr>
          <w:color w:val="231F20"/>
        </w:rPr>
        <w:t>ochenta,</w:t>
      </w:r>
      <w:r>
        <w:rPr>
          <w:color w:val="231F20"/>
          <w:spacing w:val="-4"/>
        </w:rPr>
        <w:t> </w:t>
      </w:r>
      <w:r>
        <w:rPr>
          <w:color w:val="231F20"/>
        </w:rPr>
        <w:t>se</w:t>
      </w:r>
      <w:r>
        <w:rPr>
          <w:color w:val="231F20"/>
          <w:spacing w:val="-4"/>
        </w:rPr>
        <w:t> </w:t>
      </w:r>
      <w:r>
        <w:rPr>
          <w:color w:val="231F20"/>
        </w:rPr>
        <w:t>presentaron una serie de cambios sociales, económicos y políticos que se pueden aso- ciar directamente con la incursión del neoliberalismo en la escena pública del</w:t>
      </w:r>
      <w:r>
        <w:rPr>
          <w:color w:val="231F20"/>
          <w:spacing w:val="-5"/>
        </w:rPr>
        <w:t> </w:t>
      </w:r>
      <w:r>
        <w:rPr>
          <w:color w:val="231F20"/>
        </w:rPr>
        <w:t>país.</w:t>
      </w:r>
      <w:r>
        <w:rPr>
          <w:color w:val="231F20"/>
          <w:spacing w:val="-13"/>
        </w:rPr>
        <w:t> </w:t>
      </w:r>
      <w:r>
        <w:rPr>
          <w:color w:val="231F20"/>
        </w:rPr>
        <w:t>Y</w:t>
      </w:r>
      <w:r>
        <w:rPr>
          <w:color w:val="231F20"/>
          <w:spacing w:val="-13"/>
        </w:rPr>
        <w:t> </w:t>
      </w:r>
      <w:r>
        <w:rPr>
          <w:color w:val="231F20"/>
        </w:rPr>
        <w:t>como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caso</w:t>
      </w:r>
      <w:r>
        <w:rPr>
          <w:color w:val="231F20"/>
          <w:spacing w:val="-5"/>
        </w:rPr>
        <w:t> </w:t>
      </w:r>
      <w:r>
        <w:rPr>
          <w:color w:val="231F20"/>
        </w:rPr>
        <w:t>del</w:t>
      </w:r>
      <w:r>
        <w:rPr>
          <w:color w:val="231F20"/>
          <w:spacing w:val="-9"/>
        </w:rPr>
        <w:t> </w:t>
      </w:r>
      <w:r>
        <w:rPr>
          <w:color w:val="231F20"/>
          <w:spacing w:val="-5"/>
        </w:rPr>
        <w:t>Valle </w:t>
      </w:r>
      <w:r>
        <w:rPr>
          <w:color w:val="231F20"/>
        </w:rPr>
        <w:t>que</w:t>
      </w:r>
      <w:r>
        <w:rPr>
          <w:color w:val="231F20"/>
          <w:spacing w:val="-5"/>
        </w:rPr>
        <w:t> </w:t>
      </w:r>
      <w:r>
        <w:rPr>
          <w:color w:val="231F20"/>
        </w:rPr>
        <w:t>nos</w:t>
      </w:r>
      <w:r>
        <w:rPr>
          <w:color w:val="231F20"/>
          <w:spacing w:val="-5"/>
        </w:rPr>
        <w:t> </w:t>
      </w:r>
      <w:r>
        <w:rPr>
          <w:color w:val="231F20"/>
        </w:rPr>
        <w:t>ocupa,</w:t>
      </w:r>
      <w:r>
        <w:rPr>
          <w:color w:val="231F20"/>
          <w:spacing w:val="-5"/>
        </w:rPr>
        <w:t> </w:t>
      </w:r>
      <w:r>
        <w:rPr>
          <w:color w:val="231F20"/>
        </w:rPr>
        <w:t>las</w:t>
      </w:r>
      <w:r>
        <w:rPr>
          <w:color w:val="231F20"/>
          <w:spacing w:val="-5"/>
        </w:rPr>
        <w:t> </w:t>
      </w:r>
      <w:r>
        <w:rPr>
          <w:color w:val="231F20"/>
        </w:rPr>
        <w:t>afectaciones</w:t>
      </w:r>
      <w:r>
        <w:rPr>
          <w:color w:val="231F20"/>
          <w:spacing w:val="-5"/>
        </w:rPr>
        <w:t> </w:t>
      </w:r>
      <w:r>
        <w:rPr>
          <w:color w:val="231F20"/>
        </w:rPr>
        <w:t>gene- radas a raíz de esos cambios impactaron de manera contundente en ese</w:t>
      </w:r>
      <w:r>
        <w:rPr>
          <w:color w:val="231F20"/>
          <w:spacing w:val="-26"/>
        </w:rPr>
        <w:t> </w:t>
      </w:r>
      <w:r>
        <w:rPr>
          <w:color w:val="231F20"/>
        </w:rPr>
        <w:t>es- pacio</w:t>
      </w:r>
      <w:r>
        <w:rPr>
          <w:color w:val="231F20"/>
          <w:spacing w:val="-5"/>
        </w:rPr>
        <w:t> </w:t>
      </w:r>
      <w:r>
        <w:rPr>
          <w:color w:val="231F20"/>
        </w:rPr>
        <w:t>rural,</w:t>
      </w:r>
      <w:r>
        <w:rPr>
          <w:color w:val="231F20"/>
          <w:spacing w:val="-5"/>
        </w:rPr>
        <w:t> </w:t>
      </w:r>
      <w:r>
        <w:rPr>
          <w:color w:val="231F20"/>
        </w:rPr>
        <w:t>propiciando</w:t>
      </w:r>
      <w:r>
        <w:rPr>
          <w:color w:val="231F20"/>
          <w:spacing w:val="-5"/>
        </w:rPr>
        <w:t> </w:t>
      </w:r>
      <w:r>
        <w:rPr>
          <w:color w:val="231F20"/>
        </w:rPr>
        <w:t>el</w:t>
      </w:r>
      <w:r>
        <w:rPr>
          <w:color w:val="231F20"/>
          <w:spacing w:val="-6"/>
        </w:rPr>
        <w:t> </w:t>
      </w:r>
      <w:r>
        <w:rPr>
          <w:color w:val="231F20"/>
        </w:rPr>
        <w:t>abandono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tierras</w:t>
      </w:r>
      <w:r>
        <w:rPr>
          <w:color w:val="231F20"/>
          <w:spacing w:val="-6"/>
        </w:rPr>
        <w:t> </w:t>
      </w:r>
      <w:r>
        <w:rPr>
          <w:color w:val="231F20"/>
        </w:rPr>
        <w:t>al</w:t>
      </w:r>
      <w:r>
        <w:rPr>
          <w:color w:val="231F20"/>
          <w:spacing w:val="-6"/>
        </w:rPr>
        <w:t> </w:t>
      </w:r>
      <w:r>
        <w:rPr>
          <w:color w:val="231F20"/>
        </w:rPr>
        <w:t>no</w:t>
      </w:r>
      <w:r>
        <w:rPr>
          <w:color w:val="231F20"/>
          <w:spacing w:val="-6"/>
        </w:rPr>
        <w:t> </w:t>
      </w:r>
      <w:r>
        <w:rPr>
          <w:color w:val="231F20"/>
        </w:rPr>
        <w:t>resultar</w:t>
      </w:r>
      <w:r>
        <w:rPr>
          <w:color w:val="231F20"/>
          <w:spacing w:val="-5"/>
        </w:rPr>
        <w:t> </w:t>
      </w:r>
      <w:r>
        <w:rPr>
          <w:color w:val="231F20"/>
        </w:rPr>
        <w:t>rentable</w:t>
      </w:r>
      <w:r>
        <w:rPr>
          <w:color w:val="231F20"/>
          <w:spacing w:val="-5"/>
        </w:rPr>
        <w:t> </w:t>
      </w:r>
      <w:r>
        <w:rPr>
          <w:color w:val="231F20"/>
        </w:rPr>
        <w:t>el cultivarlas</w:t>
      </w:r>
      <w:r>
        <w:rPr>
          <w:color w:val="231F20"/>
          <w:spacing w:val="-12"/>
        </w:rPr>
        <w:t> </w:t>
      </w:r>
      <w:r>
        <w:rPr>
          <w:color w:val="231F20"/>
        </w:rPr>
        <w:t>o</w:t>
      </w:r>
      <w:r>
        <w:rPr>
          <w:color w:val="231F20"/>
          <w:spacing w:val="-12"/>
        </w:rPr>
        <w:t> </w:t>
      </w:r>
      <w:r>
        <w:rPr>
          <w:color w:val="231F20"/>
        </w:rPr>
        <w:t>se</w:t>
      </w:r>
      <w:r>
        <w:rPr>
          <w:color w:val="231F20"/>
          <w:spacing w:val="-12"/>
        </w:rPr>
        <w:t> </w:t>
      </w:r>
      <w:r>
        <w:rPr>
          <w:color w:val="231F20"/>
        </w:rPr>
        <w:t>optaba</w:t>
      </w:r>
      <w:r>
        <w:rPr>
          <w:color w:val="231F20"/>
          <w:spacing w:val="-11"/>
        </w:rPr>
        <w:t> </w:t>
      </w:r>
      <w:r>
        <w:rPr>
          <w:color w:val="231F20"/>
        </w:rPr>
        <w:t>por</w:t>
      </w:r>
      <w:r>
        <w:rPr>
          <w:color w:val="231F20"/>
          <w:spacing w:val="-12"/>
        </w:rPr>
        <w:t> </w:t>
      </w:r>
      <w:r>
        <w:rPr>
          <w:color w:val="231F20"/>
        </w:rPr>
        <w:t>rentar</w:t>
      </w:r>
      <w:r>
        <w:rPr>
          <w:color w:val="231F20"/>
          <w:spacing w:val="-11"/>
        </w:rPr>
        <w:t> </w:t>
      </w:r>
      <w:r>
        <w:rPr>
          <w:color w:val="231F20"/>
        </w:rPr>
        <w:t>la</w:t>
      </w:r>
      <w:r>
        <w:rPr>
          <w:color w:val="231F20"/>
          <w:spacing w:val="-12"/>
        </w:rPr>
        <w:t> </w:t>
      </w:r>
      <w:r>
        <w:rPr>
          <w:color w:val="231F20"/>
        </w:rPr>
        <w:t>tierra.</w:t>
      </w:r>
      <w:r>
        <w:rPr>
          <w:color w:val="231F20"/>
          <w:spacing w:val="-12"/>
        </w:rPr>
        <w:t> </w:t>
      </w:r>
      <w:r>
        <w:rPr>
          <w:color w:val="231F20"/>
        </w:rPr>
        <w:t>Esto</w:t>
      </w:r>
      <w:r>
        <w:rPr>
          <w:color w:val="231F20"/>
          <w:spacing w:val="-12"/>
        </w:rPr>
        <w:t> </w:t>
      </w:r>
      <w:r>
        <w:rPr>
          <w:color w:val="231F20"/>
        </w:rPr>
        <w:t>potenció,</w:t>
      </w:r>
      <w:r>
        <w:rPr>
          <w:color w:val="231F20"/>
          <w:spacing w:val="-11"/>
        </w:rPr>
        <w:t> </w:t>
      </w:r>
      <w:r>
        <w:rPr>
          <w:color w:val="231F20"/>
        </w:rPr>
        <w:t>de</w:t>
      </w:r>
      <w:r>
        <w:rPr>
          <w:color w:val="231F20"/>
          <w:spacing w:val="-12"/>
        </w:rPr>
        <w:t> </w:t>
      </w:r>
      <w:r>
        <w:rPr>
          <w:color w:val="231F20"/>
        </w:rPr>
        <w:t>alguna</w:t>
      </w:r>
      <w:r>
        <w:rPr>
          <w:color w:val="231F20"/>
          <w:spacing w:val="-12"/>
        </w:rPr>
        <w:t> </w:t>
      </w:r>
      <w:r>
        <w:rPr>
          <w:color w:val="231F20"/>
        </w:rPr>
        <w:t>manera, la salida de los pocos habitantes que aún habitaban en esas comunidades por las precarias condiciones en que vivían y que no daban cabida para poder sobrevivir de manera</w:t>
      </w:r>
      <w:r>
        <w:rPr>
          <w:color w:val="231F20"/>
          <w:spacing w:val="-10"/>
        </w:rPr>
        <w:t> </w:t>
      </w:r>
      <w:r>
        <w:rPr>
          <w:color w:val="231F20"/>
        </w:rPr>
        <w:t>adecuada.</w:t>
      </w:r>
    </w:p>
    <w:p>
      <w:pPr>
        <w:pStyle w:val="BodyText"/>
        <w:spacing w:line="247" w:lineRule="auto"/>
        <w:ind w:left="117" w:right="114" w:firstLine="283"/>
        <w:jc w:val="both"/>
      </w:pPr>
      <w:r>
        <w:rPr>
          <w:color w:val="231F20"/>
        </w:rPr>
        <w:t>La puesta en marcha de las políticas neoliberales a nivel nacional, a partir de los años ochenta aceleró el abandono de las actividades agrícolas en</w:t>
      </w:r>
      <w:r>
        <w:rPr>
          <w:color w:val="231F20"/>
          <w:spacing w:val="-3"/>
        </w:rPr>
        <w:t> </w:t>
      </w:r>
      <w:r>
        <w:rPr>
          <w:color w:val="231F20"/>
        </w:rPr>
        <w:t>muchas</w:t>
      </w:r>
      <w:r>
        <w:rPr>
          <w:color w:val="231F20"/>
          <w:spacing w:val="-4"/>
        </w:rPr>
        <w:t> </w:t>
      </w:r>
      <w:r>
        <w:rPr>
          <w:color w:val="231F20"/>
        </w:rPr>
        <w:t>de</w:t>
      </w:r>
      <w:r>
        <w:rPr>
          <w:color w:val="231F20"/>
          <w:spacing w:val="-3"/>
        </w:rPr>
        <w:t> </w:t>
      </w:r>
      <w:r>
        <w:rPr>
          <w:color w:val="231F20"/>
        </w:rPr>
        <w:t>las</w:t>
      </w:r>
      <w:r>
        <w:rPr>
          <w:color w:val="231F20"/>
          <w:spacing w:val="-3"/>
        </w:rPr>
        <w:t> </w:t>
      </w:r>
      <w:r>
        <w:rPr>
          <w:color w:val="231F20"/>
        </w:rPr>
        <w:t>tierras</w:t>
      </w:r>
      <w:r>
        <w:rPr>
          <w:color w:val="231F20"/>
          <w:spacing w:val="-4"/>
        </w:rPr>
        <w:t> </w:t>
      </w:r>
      <w:r>
        <w:rPr>
          <w:color w:val="231F20"/>
        </w:rPr>
        <w:t>ejidales</w:t>
      </w:r>
      <w:r>
        <w:rPr>
          <w:color w:val="231F20"/>
          <w:spacing w:val="-4"/>
        </w:rPr>
        <w:t> </w:t>
      </w:r>
      <w:r>
        <w:rPr>
          <w:color w:val="231F20"/>
        </w:rPr>
        <w:t>y</w:t>
      </w:r>
      <w:r>
        <w:rPr>
          <w:color w:val="231F20"/>
          <w:spacing w:val="-3"/>
        </w:rPr>
        <w:t> </w:t>
      </w:r>
      <w:r>
        <w:rPr>
          <w:color w:val="231F20"/>
        </w:rPr>
        <w:t>también</w:t>
      </w:r>
      <w:r>
        <w:rPr>
          <w:color w:val="231F20"/>
          <w:spacing w:val="-4"/>
        </w:rPr>
        <w:t> </w:t>
      </w:r>
      <w:r>
        <w:rPr>
          <w:color w:val="231F20"/>
        </w:rPr>
        <w:t>en</w:t>
      </w:r>
      <w:r>
        <w:rPr>
          <w:color w:val="231F20"/>
          <w:spacing w:val="-3"/>
        </w:rPr>
        <w:t> </w:t>
      </w:r>
      <w:r>
        <w:rPr>
          <w:color w:val="231F20"/>
        </w:rPr>
        <w:t>algunos</w:t>
      </w:r>
      <w:r>
        <w:rPr>
          <w:color w:val="231F20"/>
          <w:spacing w:val="-4"/>
        </w:rPr>
        <w:t> </w:t>
      </w:r>
      <w:r>
        <w:rPr>
          <w:color w:val="231F20"/>
        </w:rPr>
        <w:t>casos</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pequeña propiedad.</w:t>
      </w:r>
      <w:r>
        <w:rPr>
          <w:color w:val="231F20"/>
          <w:spacing w:val="-21"/>
        </w:rPr>
        <w:t> </w:t>
      </w:r>
      <w:r>
        <w:rPr>
          <w:color w:val="231F20"/>
        </w:rPr>
        <w:t>A</w:t>
      </w:r>
      <w:r>
        <w:rPr>
          <w:color w:val="231F20"/>
          <w:spacing w:val="-20"/>
        </w:rPr>
        <w:t> </w:t>
      </w:r>
      <w:r>
        <w:rPr>
          <w:color w:val="231F20"/>
        </w:rPr>
        <w:t>la</w:t>
      </w:r>
      <w:r>
        <w:rPr>
          <w:color w:val="231F20"/>
          <w:spacing w:val="-8"/>
        </w:rPr>
        <w:t> </w:t>
      </w:r>
      <w:r>
        <w:rPr>
          <w:color w:val="231F20"/>
        </w:rPr>
        <w:t>par</w:t>
      </w:r>
      <w:r>
        <w:rPr>
          <w:color w:val="231F20"/>
          <w:spacing w:val="-8"/>
        </w:rPr>
        <w:t> </w:t>
      </w:r>
      <w:r>
        <w:rPr>
          <w:color w:val="231F20"/>
        </w:rPr>
        <w:t>de</w:t>
      </w:r>
      <w:r>
        <w:rPr>
          <w:color w:val="231F20"/>
          <w:spacing w:val="-8"/>
        </w:rPr>
        <w:t> </w:t>
      </w:r>
      <w:r>
        <w:rPr>
          <w:color w:val="231F20"/>
        </w:rPr>
        <w:t>esto</w:t>
      </w:r>
      <w:r>
        <w:rPr>
          <w:color w:val="231F20"/>
          <w:spacing w:val="-8"/>
        </w:rPr>
        <w:t> </w:t>
      </w:r>
      <w:r>
        <w:rPr>
          <w:color w:val="231F20"/>
        </w:rPr>
        <w:t>la</w:t>
      </w:r>
      <w:r>
        <w:rPr>
          <w:color w:val="231F20"/>
          <w:spacing w:val="-8"/>
        </w:rPr>
        <w:t> </w:t>
      </w:r>
      <w:r>
        <w:rPr>
          <w:color w:val="231F20"/>
        </w:rPr>
        <w:t>migración</w:t>
      </w:r>
      <w:r>
        <w:rPr>
          <w:color w:val="231F20"/>
          <w:spacing w:val="-9"/>
        </w:rPr>
        <w:t> </w:t>
      </w:r>
      <w:r>
        <w:rPr>
          <w:color w:val="231F20"/>
        </w:rPr>
        <w:t>a</w:t>
      </w:r>
      <w:r>
        <w:rPr>
          <w:color w:val="231F20"/>
          <w:spacing w:val="-8"/>
        </w:rPr>
        <w:t> </w:t>
      </w:r>
      <w:r>
        <w:rPr>
          <w:color w:val="231F20"/>
        </w:rPr>
        <w:t>Estados</w:t>
      </w:r>
      <w:r>
        <w:rPr>
          <w:color w:val="231F20"/>
          <w:spacing w:val="-9"/>
        </w:rPr>
        <w:t> </w:t>
      </w:r>
      <w:r>
        <w:rPr>
          <w:color w:val="231F20"/>
        </w:rPr>
        <w:t>Unidos</w:t>
      </w:r>
      <w:r>
        <w:rPr>
          <w:color w:val="231F20"/>
          <w:spacing w:val="-8"/>
        </w:rPr>
        <w:t> </w:t>
      </w:r>
      <w:r>
        <w:rPr>
          <w:color w:val="231F20"/>
        </w:rPr>
        <w:t>continúa.</w:t>
      </w:r>
      <w:r>
        <w:rPr>
          <w:color w:val="231F20"/>
          <w:spacing w:val="-9"/>
        </w:rPr>
        <w:t> </w:t>
      </w:r>
      <w:r>
        <w:rPr>
          <w:color w:val="231F20"/>
        </w:rPr>
        <w:t>“Y</w:t>
      </w:r>
      <w:r>
        <w:rPr>
          <w:color w:val="231F20"/>
          <w:spacing w:val="-16"/>
        </w:rPr>
        <w:t> </w:t>
      </w:r>
      <w:r>
        <w:rPr>
          <w:color w:val="231F20"/>
        </w:rPr>
        <w:t>por otro lado [está] la promoción de cultivos comerciales para la exportación en</w:t>
      </w:r>
      <w:r>
        <w:rPr>
          <w:color w:val="231F20"/>
          <w:spacing w:val="-5"/>
        </w:rPr>
        <w:t> </w:t>
      </w:r>
      <w:r>
        <w:rPr>
          <w:color w:val="231F20"/>
        </w:rPr>
        <w:t>reemplazo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producción</w:t>
      </w:r>
      <w:r>
        <w:rPr>
          <w:color w:val="231F20"/>
          <w:spacing w:val="-5"/>
        </w:rPr>
        <w:t> </w:t>
      </w:r>
      <w:r>
        <w:rPr>
          <w:color w:val="231F20"/>
        </w:rPr>
        <w:t>agrícola</w:t>
      </w:r>
      <w:r>
        <w:rPr>
          <w:color w:val="231F20"/>
          <w:spacing w:val="-5"/>
        </w:rPr>
        <w:t> </w:t>
      </w:r>
      <w:r>
        <w:rPr>
          <w:color w:val="231F20"/>
        </w:rPr>
        <w:t>para</w:t>
      </w:r>
      <w:r>
        <w:rPr>
          <w:color w:val="231F20"/>
          <w:spacing w:val="-5"/>
        </w:rPr>
        <w:t> </w:t>
      </w:r>
      <w:r>
        <w:rPr>
          <w:color w:val="231F20"/>
        </w:rPr>
        <w:t>consumo</w:t>
      </w:r>
      <w:r>
        <w:rPr>
          <w:color w:val="231F20"/>
          <w:spacing w:val="-5"/>
        </w:rPr>
        <w:t> </w:t>
      </w:r>
      <w:r>
        <w:rPr>
          <w:color w:val="231F20"/>
        </w:rPr>
        <w:t>propio</w:t>
      </w:r>
      <w:r>
        <w:rPr>
          <w:color w:val="231F20"/>
          <w:spacing w:val="-5"/>
        </w:rPr>
        <w:t> </w:t>
      </w:r>
      <w:r>
        <w:rPr>
          <w:color w:val="231F20"/>
        </w:rPr>
        <w:t>o</w:t>
      </w:r>
      <w:r>
        <w:rPr>
          <w:color w:val="231F20"/>
          <w:spacing w:val="-5"/>
        </w:rPr>
        <w:t> </w:t>
      </w:r>
      <w:r>
        <w:rPr>
          <w:color w:val="231F20"/>
        </w:rPr>
        <w:t>para</w:t>
      </w:r>
      <w:r>
        <w:rPr>
          <w:color w:val="231F20"/>
          <w:spacing w:val="-5"/>
        </w:rPr>
        <w:t> </w:t>
      </w:r>
      <w:r>
        <w:rPr>
          <w:color w:val="231F20"/>
        </w:rPr>
        <w:t>distri- bución en el mercado interno y externo” (Sassen, 2007: 189-190).</w:t>
      </w:r>
    </w:p>
    <w:p>
      <w:pPr>
        <w:pStyle w:val="BodyText"/>
        <w:spacing w:line="253" w:lineRule="exact"/>
        <w:ind w:left="400" w:right="117"/>
      </w:pPr>
      <w:r>
        <w:rPr>
          <w:color w:val="231F20"/>
        </w:rPr>
        <w:t>Es así que esta etapa de liberalización o neoliberal se caracteriza por:</w:t>
      </w:r>
    </w:p>
    <w:p>
      <w:pPr>
        <w:pStyle w:val="ListParagraph"/>
        <w:numPr>
          <w:ilvl w:val="0"/>
          <w:numId w:val="8"/>
        </w:numPr>
        <w:tabs>
          <w:tab w:pos="478" w:val="left" w:leader="none"/>
        </w:tabs>
        <w:spacing w:line="247" w:lineRule="auto" w:before="177" w:after="0"/>
        <w:ind w:left="477" w:right="115" w:hanging="360"/>
        <w:jc w:val="both"/>
        <w:rPr>
          <w:sz w:val="22"/>
        </w:rPr>
      </w:pPr>
      <w:r>
        <w:rPr>
          <w:color w:val="231F20"/>
          <w:sz w:val="22"/>
        </w:rPr>
        <w:t>El control de la inflación, del déficit fiscal y la atracción de inversión extranjera.</w:t>
      </w:r>
    </w:p>
    <w:p>
      <w:pPr>
        <w:pStyle w:val="ListParagraph"/>
        <w:numPr>
          <w:ilvl w:val="0"/>
          <w:numId w:val="8"/>
        </w:numPr>
        <w:tabs>
          <w:tab w:pos="478" w:val="left" w:leader="none"/>
        </w:tabs>
        <w:spacing w:line="247" w:lineRule="auto" w:before="0" w:after="0"/>
        <w:ind w:left="477" w:right="114" w:hanging="360"/>
        <w:jc w:val="both"/>
        <w:rPr>
          <w:sz w:val="22"/>
        </w:rPr>
      </w:pPr>
      <w:r>
        <w:rPr>
          <w:color w:val="231F20"/>
          <w:sz w:val="22"/>
        </w:rPr>
        <w:t>En general se postula que, a diferencia de la ISI, el estado debería   ser mínima y/o “esbelto”, y retirarse de la mayoría de las funciones que cumplía bajo el ISI. Desde esta perspectiva se comprende el ge- neralizado proceso de privatización de empresas paraestatales creadas durante la ISI, así como el generalizado retiro del Estado de sus acti- vidades económicas.</w:t>
      </w:r>
    </w:p>
    <w:p>
      <w:pPr>
        <w:pStyle w:val="ListParagraph"/>
        <w:numPr>
          <w:ilvl w:val="0"/>
          <w:numId w:val="8"/>
        </w:numPr>
        <w:tabs>
          <w:tab w:pos="478" w:val="left" w:leader="none"/>
        </w:tabs>
        <w:spacing w:line="247" w:lineRule="auto" w:before="0" w:after="0"/>
        <w:ind w:left="477" w:right="115" w:hanging="360"/>
        <w:jc w:val="both"/>
        <w:rPr>
          <w:sz w:val="22"/>
        </w:rPr>
      </w:pPr>
      <w:r>
        <w:rPr>
          <w:color w:val="231F20"/>
          <w:sz w:val="22"/>
        </w:rPr>
        <w:t>Como parte sustantiva de la estrategia de la liberalización, el sector privado manufacturero será el motor de crecimiento de esta nueva es- trategia de crecimiento a través de la dinámica de sus</w:t>
      </w:r>
      <w:r>
        <w:rPr>
          <w:color w:val="231F20"/>
          <w:spacing w:val="-5"/>
          <w:sz w:val="22"/>
        </w:rPr>
        <w:t> </w:t>
      </w:r>
      <w:r>
        <w:rPr>
          <w:color w:val="231F20"/>
          <w:sz w:val="22"/>
        </w:rPr>
        <w:t>exportaciones.</w:t>
      </w:r>
    </w:p>
    <w:p>
      <w:pPr>
        <w:pStyle w:val="ListParagraph"/>
        <w:numPr>
          <w:ilvl w:val="0"/>
          <w:numId w:val="8"/>
        </w:numPr>
        <w:tabs>
          <w:tab w:pos="478" w:val="left" w:leader="none"/>
        </w:tabs>
        <w:spacing w:line="253" w:lineRule="exact" w:before="0" w:after="0"/>
        <w:ind w:left="477" w:right="0" w:hanging="360"/>
        <w:jc w:val="both"/>
        <w:rPr>
          <w:sz w:val="22"/>
        </w:rPr>
      </w:pPr>
      <w:r>
        <w:rPr>
          <w:color w:val="231F20"/>
          <w:sz w:val="22"/>
        </w:rPr>
        <w:t>Por lo anterior, gran parte de los mecanismos aplicados durante la</w:t>
      </w:r>
      <w:r>
        <w:rPr>
          <w:color w:val="231F20"/>
          <w:spacing w:val="29"/>
          <w:sz w:val="22"/>
        </w:rPr>
        <w:t> </w:t>
      </w:r>
      <w:r>
        <w:rPr>
          <w:color w:val="231F20"/>
          <w:sz w:val="22"/>
        </w:rPr>
        <w:t>ISI</w:t>
      </w:r>
    </w:p>
    <w:p>
      <w:pPr>
        <w:pStyle w:val="BodyText"/>
        <w:spacing w:line="247" w:lineRule="auto" w:before="7"/>
        <w:ind w:left="477"/>
      </w:pPr>
      <w:r>
        <w:rPr>
          <w:color w:val="231F20"/>
        </w:rPr>
        <w:t>—selección de sectores, subsidios, tipo de cambio preferencial según las prioridades macroeconómicas y sectoriales, altos y  discrecionales</w:t>
      </w:r>
    </w:p>
    <w:p>
      <w:pPr>
        <w:spacing w:after="0" w:line="247" w:lineRule="auto"/>
        <w:sectPr>
          <w:pgSz w:w="9360" w:h="13040"/>
          <w:pgMar w:header="0" w:footer="496" w:top="740" w:bottom="680" w:left="1300" w:right="1300"/>
        </w:sectPr>
      </w:pPr>
    </w:p>
    <w:p>
      <w:pPr>
        <w:tabs>
          <w:tab w:pos="5536" w:val="left" w:leader="none"/>
        </w:tabs>
        <w:spacing w:before="48"/>
        <w:ind w:left="477" w:right="0" w:hanging="37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477" w:right="115"/>
        <w:jc w:val="both"/>
      </w:pPr>
      <w:r>
        <w:rPr>
          <w:color w:val="231F20"/>
        </w:rPr>
        <w:t>aranceles, cuotas y licencias que resultaban en la imposibilidad de</w:t>
      </w:r>
      <w:r>
        <w:rPr>
          <w:color w:val="231F20"/>
          <w:spacing w:val="-24"/>
        </w:rPr>
        <w:t> </w:t>
      </w:r>
      <w:r>
        <w:rPr>
          <w:color w:val="231F20"/>
        </w:rPr>
        <w:t>im- portar</w:t>
      </w:r>
      <w:r>
        <w:rPr>
          <w:color w:val="231F20"/>
          <w:spacing w:val="-9"/>
        </w:rPr>
        <w:t> </w:t>
      </w:r>
      <w:r>
        <w:rPr>
          <w:color w:val="231F20"/>
        </w:rPr>
        <w:t>ciertos</w:t>
      </w:r>
      <w:r>
        <w:rPr>
          <w:color w:val="231F20"/>
          <w:spacing w:val="-9"/>
        </w:rPr>
        <w:t> </w:t>
      </w:r>
      <w:r>
        <w:rPr>
          <w:color w:val="231F20"/>
        </w:rPr>
        <w:t>productos,</w:t>
      </w:r>
      <w:r>
        <w:rPr>
          <w:color w:val="231F20"/>
          <w:spacing w:val="-9"/>
        </w:rPr>
        <w:t> </w:t>
      </w:r>
      <w:r>
        <w:rPr>
          <w:color w:val="231F20"/>
        </w:rPr>
        <w:t>así</w:t>
      </w:r>
      <w:r>
        <w:rPr>
          <w:color w:val="231F20"/>
          <w:spacing w:val="-9"/>
        </w:rPr>
        <w:t> </w:t>
      </w:r>
      <w:r>
        <w:rPr>
          <w:color w:val="231F20"/>
        </w:rPr>
        <w:t>como</w:t>
      </w:r>
      <w:r>
        <w:rPr>
          <w:color w:val="231F20"/>
          <w:spacing w:val="-9"/>
        </w:rPr>
        <w:t> </w:t>
      </w:r>
      <w:r>
        <w:rPr>
          <w:color w:val="231F20"/>
        </w:rPr>
        <w:t>empresas</w:t>
      </w:r>
      <w:r>
        <w:rPr>
          <w:color w:val="231F20"/>
          <w:spacing w:val="-9"/>
        </w:rPr>
        <w:t> </w:t>
      </w:r>
      <w:r>
        <w:rPr>
          <w:color w:val="231F20"/>
        </w:rPr>
        <w:t>monopólicas</w:t>
      </w:r>
      <w:r>
        <w:rPr>
          <w:color w:val="231F20"/>
          <w:spacing w:val="-10"/>
        </w:rPr>
        <w:t> </w:t>
      </w:r>
      <w:r>
        <w:rPr>
          <w:color w:val="231F20"/>
        </w:rPr>
        <w:t>paraestatales entre muchos otros— fueron en gran parte eliminados conforme a los nuevos criterios de la nueva estrategia de</w:t>
      </w:r>
      <w:r>
        <w:rPr>
          <w:color w:val="231F20"/>
          <w:spacing w:val="-2"/>
        </w:rPr>
        <w:t> </w:t>
      </w:r>
      <w:r>
        <w:rPr>
          <w:color w:val="231F20"/>
        </w:rPr>
        <w:t>desarrollo.</w:t>
      </w:r>
    </w:p>
    <w:p>
      <w:pPr>
        <w:pStyle w:val="ListParagraph"/>
        <w:numPr>
          <w:ilvl w:val="0"/>
          <w:numId w:val="8"/>
        </w:numPr>
        <w:tabs>
          <w:tab w:pos="478" w:val="left" w:leader="none"/>
        </w:tabs>
        <w:spacing w:line="247" w:lineRule="auto" w:before="0" w:after="0"/>
        <w:ind w:left="477" w:right="114" w:hanging="360"/>
        <w:jc w:val="both"/>
        <w:rPr>
          <w:sz w:val="22"/>
        </w:rPr>
      </w:pPr>
      <w:r>
        <w:rPr>
          <w:color w:val="231F20"/>
          <w:sz w:val="22"/>
        </w:rPr>
        <w:t>Por último, la atracción de inversión extranjera se convirtió desde 1988,</w:t>
      </w:r>
      <w:r>
        <w:rPr>
          <w:color w:val="231F20"/>
          <w:spacing w:val="-10"/>
          <w:sz w:val="22"/>
        </w:rPr>
        <w:t> </w:t>
      </w:r>
      <w:r>
        <w:rPr>
          <w:color w:val="231F20"/>
          <w:sz w:val="22"/>
        </w:rPr>
        <w:t>en</w:t>
      </w:r>
      <w:r>
        <w:rPr>
          <w:color w:val="231F20"/>
          <w:spacing w:val="-10"/>
          <w:sz w:val="22"/>
        </w:rPr>
        <w:t> </w:t>
      </w:r>
      <w:r>
        <w:rPr>
          <w:color w:val="231F20"/>
          <w:sz w:val="22"/>
        </w:rPr>
        <w:t>el</w:t>
      </w:r>
      <w:r>
        <w:rPr>
          <w:color w:val="231F20"/>
          <w:spacing w:val="-10"/>
          <w:sz w:val="22"/>
        </w:rPr>
        <w:t> </w:t>
      </w:r>
      <w:r>
        <w:rPr>
          <w:color w:val="231F20"/>
          <w:sz w:val="22"/>
        </w:rPr>
        <w:t>principal</w:t>
      </w:r>
      <w:r>
        <w:rPr>
          <w:color w:val="231F20"/>
          <w:spacing w:val="-11"/>
          <w:sz w:val="22"/>
        </w:rPr>
        <w:t> </w:t>
      </w:r>
      <w:r>
        <w:rPr>
          <w:color w:val="231F20"/>
          <w:sz w:val="22"/>
        </w:rPr>
        <w:t>mecanismo</w:t>
      </w:r>
      <w:r>
        <w:rPr>
          <w:color w:val="231F20"/>
          <w:spacing w:val="-11"/>
          <w:sz w:val="22"/>
        </w:rPr>
        <w:t> </w:t>
      </w:r>
      <w:r>
        <w:rPr>
          <w:color w:val="231F20"/>
          <w:sz w:val="22"/>
        </w:rPr>
        <w:t>de</w:t>
      </w:r>
      <w:r>
        <w:rPr>
          <w:color w:val="231F20"/>
          <w:spacing w:val="-10"/>
          <w:sz w:val="22"/>
        </w:rPr>
        <w:t> </w:t>
      </w:r>
      <w:r>
        <w:rPr>
          <w:color w:val="231F20"/>
          <w:sz w:val="22"/>
        </w:rPr>
        <w:t>financiamiento.</w:t>
      </w:r>
      <w:r>
        <w:rPr>
          <w:color w:val="231F20"/>
          <w:spacing w:val="-11"/>
          <w:sz w:val="22"/>
        </w:rPr>
        <w:t> </w:t>
      </w:r>
      <w:r>
        <w:rPr>
          <w:color w:val="231F20"/>
          <w:sz w:val="22"/>
        </w:rPr>
        <w:t>En</w:t>
      </w:r>
      <w:r>
        <w:rPr>
          <w:color w:val="231F20"/>
          <w:spacing w:val="-10"/>
          <w:sz w:val="22"/>
        </w:rPr>
        <w:t> </w:t>
      </w:r>
      <w:r>
        <w:rPr>
          <w:color w:val="231F20"/>
          <w:sz w:val="22"/>
        </w:rPr>
        <w:t>forma</w:t>
      </w:r>
      <w:r>
        <w:rPr>
          <w:color w:val="231F20"/>
          <w:spacing w:val="-10"/>
          <w:sz w:val="22"/>
        </w:rPr>
        <w:t> </w:t>
      </w:r>
      <w:r>
        <w:rPr>
          <w:color w:val="231F20"/>
          <w:sz w:val="22"/>
        </w:rPr>
        <w:t>paralela, y con base en los respectivos pactos económicos hasta 1997, la dis- minución del salario real, a través de sindicatos oficialistas y represi- vos, constituyen uno de los fundamentos de la estrategia de liberación (Dussel, 2003: 43-48).</w:t>
      </w:r>
    </w:p>
    <w:p>
      <w:pPr>
        <w:pStyle w:val="Heading3"/>
        <w:spacing w:line="242" w:lineRule="auto"/>
        <w:ind w:right="1076"/>
        <w:jc w:val="left"/>
      </w:pPr>
      <w:r>
        <w:rPr>
          <w:color w:val="231F20"/>
        </w:rPr>
        <w:t>Los cambios al artículo 27 constitucional en el periodo neoliberal</w:t>
      </w:r>
    </w:p>
    <w:p>
      <w:pPr>
        <w:pStyle w:val="BodyText"/>
        <w:spacing w:line="247" w:lineRule="auto" w:before="170"/>
        <w:ind w:left="117" w:right="114"/>
        <w:jc w:val="both"/>
      </w:pPr>
      <w:r>
        <w:rPr>
          <w:color w:val="231F20"/>
        </w:rPr>
        <w:t>En lo que respecta al artículo 27 constitucional, el gobierno de Miguel de la Madrid hizo la decimotercera adición a dicho artículo, que se incorporó el</w:t>
      </w:r>
      <w:r>
        <w:rPr>
          <w:color w:val="231F20"/>
          <w:spacing w:val="-5"/>
        </w:rPr>
        <w:t> </w:t>
      </w:r>
      <w:r>
        <w:rPr>
          <w:color w:val="231F20"/>
        </w:rPr>
        <w:t>3</w:t>
      </w:r>
      <w:r>
        <w:rPr>
          <w:color w:val="231F20"/>
          <w:spacing w:val="-5"/>
        </w:rPr>
        <w:t> </w:t>
      </w:r>
      <w:r>
        <w:rPr>
          <w:color w:val="231F20"/>
        </w:rPr>
        <w:t>de</w:t>
      </w:r>
      <w:r>
        <w:rPr>
          <w:color w:val="231F20"/>
          <w:spacing w:val="-5"/>
        </w:rPr>
        <w:t> </w:t>
      </w:r>
      <w:r>
        <w:rPr>
          <w:color w:val="231F20"/>
        </w:rPr>
        <w:t>febrero</w:t>
      </w:r>
      <w:r>
        <w:rPr>
          <w:color w:val="231F20"/>
          <w:spacing w:val="-5"/>
        </w:rPr>
        <w:t> </w:t>
      </w:r>
      <w:r>
        <w:rPr>
          <w:color w:val="231F20"/>
        </w:rPr>
        <w:t>de</w:t>
      </w:r>
      <w:r>
        <w:rPr>
          <w:color w:val="231F20"/>
          <w:spacing w:val="-5"/>
        </w:rPr>
        <w:t> </w:t>
      </w:r>
      <w:r>
        <w:rPr>
          <w:color w:val="231F20"/>
        </w:rPr>
        <w:t>1983</w:t>
      </w:r>
      <w:r>
        <w:rPr>
          <w:color w:val="231F20"/>
          <w:spacing w:val="-5"/>
        </w:rPr>
        <w:t> </w:t>
      </w:r>
      <w:r>
        <w:rPr>
          <w:color w:val="231F20"/>
        </w:rPr>
        <w:t>y</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aplicó</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fracciones</w:t>
      </w:r>
      <w:r>
        <w:rPr>
          <w:color w:val="231F20"/>
          <w:spacing w:val="-5"/>
        </w:rPr>
        <w:t> </w:t>
      </w:r>
      <w:r>
        <w:rPr>
          <w:color w:val="231F20"/>
        </w:rPr>
        <w:t>XIX</w:t>
      </w:r>
      <w:r>
        <w:rPr>
          <w:color w:val="231F20"/>
          <w:spacing w:val="-5"/>
        </w:rPr>
        <w:t> </w:t>
      </w:r>
      <w:r>
        <w:rPr>
          <w:color w:val="231F20"/>
        </w:rPr>
        <w:t>y</w:t>
      </w:r>
      <w:r>
        <w:rPr>
          <w:color w:val="231F20"/>
          <w:spacing w:val="-5"/>
        </w:rPr>
        <w:t> </w:t>
      </w:r>
      <w:r>
        <w:rPr>
          <w:color w:val="231F20"/>
        </w:rPr>
        <w:t>XX;</w:t>
      </w:r>
      <w:r>
        <w:rPr>
          <w:color w:val="231F20"/>
          <w:spacing w:val="-5"/>
        </w:rPr>
        <w:t> </w:t>
      </w:r>
      <w:r>
        <w:rPr>
          <w:color w:val="231F20"/>
        </w:rPr>
        <w:t>ambas adiciones</w:t>
      </w:r>
      <w:r>
        <w:rPr>
          <w:color w:val="231F20"/>
          <w:spacing w:val="-7"/>
        </w:rPr>
        <w:t> </w:t>
      </w:r>
      <w:r>
        <w:rPr>
          <w:color w:val="231F20"/>
        </w:rPr>
        <w:t>se</w:t>
      </w:r>
      <w:r>
        <w:rPr>
          <w:color w:val="231F20"/>
          <w:spacing w:val="-7"/>
        </w:rPr>
        <w:t> </w:t>
      </w:r>
      <w:r>
        <w:rPr>
          <w:color w:val="231F20"/>
        </w:rPr>
        <w:t>adoptaron</w:t>
      </w:r>
      <w:r>
        <w:rPr>
          <w:color w:val="231F20"/>
          <w:spacing w:val="-7"/>
        </w:rPr>
        <w:t> </w:t>
      </w:r>
      <w:r>
        <w:rPr>
          <w:color w:val="231F20"/>
        </w:rPr>
        <w:t>en</w:t>
      </w:r>
      <w:r>
        <w:rPr>
          <w:color w:val="231F20"/>
          <w:spacing w:val="-7"/>
        </w:rPr>
        <w:t> </w:t>
      </w:r>
      <w:r>
        <w:rPr>
          <w:color w:val="231F20"/>
        </w:rPr>
        <w:t>ese</w:t>
      </w:r>
      <w:r>
        <w:rPr>
          <w:color w:val="231F20"/>
          <w:spacing w:val="-7"/>
        </w:rPr>
        <w:t> </w:t>
      </w:r>
      <w:r>
        <w:rPr>
          <w:color w:val="231F20"/>
        </w:rPr>
        <w:t>momento</w:t>
      </w:r>
      <w:r>
        <w:rPr>
          <w:color w:val="231F20"/>
          <w:spacing w:val="-7"/>
        </w:rPr>
        <w:t> </w:t>
      </w:r>
      <w:r>
        <w:rPr>
          <w:color w:val="231F20"/>
        </w:rPr>
        <w:t>desde</w:t>
      </w:r>
      <w:r>
        <w:rPr>
          <w:color w:val="231F20"/>
          <w:spacing w:val="-7"/>
        </w:rPr>
        <w:t> </w:t>
      </w:r>
      <w:r>
        <w:rPr>
          <w:color w:val="231F20"/>
        </w:rPr>
        <w:t>una</w:t>
      </w:r>
      <w:r>
        <w:rPr>
          <w:color w:val="231F20"/>
          <w:spacing w:val="-7"/>
        </w:rPr>
        <w:t> </w:t>
      </w:r>
      <w:r>
        <w:rPr>
          <w:color w:val="231F20"/>
        </w:rPr>
        <w:t>lógica</w:t>
      </w:r>
      <w:r>
        <w:rPr>
          <w:color w:val="231F20"/>
          <w:spacing w:val="-7"/>
        </w:rPr>
        <w:t> </w:t>
      </w:r>
      <w:r>
        <w:rPr>
          <w:color w:val="231F20"/>
        </w:rPr>
        <w:t>neoliberal</w:t>
      </w:r>
      <w:r>
        <w:rPr>
          <w:color w:val="231F20"/>
          <w:spacing w:val="-7"/>
        </w:rPr>
        <w:t> </w:t>
      </w:r>
      <w:r>
        <w:rPr>
          <w:color w:val="231F20"/>
        </w:rPr>
        <w:t>ya</w:t>
      </w:r>
      <w:r>
        <w:rPr>
          <w:color w:val="231F20"/>
          <w:spacing w:val="-7"/>
        </w:rPr>
        <w:t> </w:t>
      </w:r>
      <w:r>
        <w:rPr>
          <w:color w:val="231F20"/>
        </w:rPr>
        <w:t>que su discurso se enfocaba en la “modernización y crecimiento</w:t>
      </w:r>
      <w:r>
        <w:rPr>
          <w:color w:val="231F20"/>
          <w:spacing w:val="-6"/>
        </w:rPr>
        <w:t> </w:t>
      </w:r>
      <w:r>
        <w:rPr>
          <w:color w:val="231F20"/>
        </w:rPr>
        <w:t>rural”.</w:t>
      </w:r>
    </w:p>
    <w:p>
      <w:pPr>
        <w:pStyle w:val="BodyText"/>
        <w:spacing w:line="247" w:lineRule="auto"/>
        <w:ind w:left="117" w:right="114" w:firstLine="283"/>
        <w:jc w:val="both"/>
      </w:pPr>
      <w:r>
        <w:rPr>
          <w:color w:val="231F20"/>
        </w:rPr>
        <w:t>Esta legislación fue complementada con una profunda modificación a diversos artículos de la Ley Federal de la Reforma Agraria, con la que se pretendía</w:t>
      </w:r>
      <w:r>
        <w:rPr>
          <w:color w:val="231F20"/>
          <w:spacing w:val="-8"/>
        </w:rPr>
        <w:t> </w:t>
      </w:r>
      <w:r>
        <w:rPr>
          <w:color w:val="231F20"/>
        </w:rPr>
        <w:t>una</w:t>
      </w:r>
      <w:r>
        <w:rPr>
          <w:color w:val="231F20"/>
          <w:spacing w:val="-8"/>
        </w:rPr>
        <w:t> </w:t>
      </w:r>
      <w:r>
        <w:rPr>
          <w:color w:val="231F20"/>
        </w:rPr>
        <w:t>mayor</w:t>
      </w:r>
      <w:r>
        <w:rPr>
          <w:color w:val="231F20"/>
          <w:spacing w:val="-8"/>
        </w:rPr>
        <w:t> </w:t>
      </w:r>
      <w:r>
        <w:rPr>
          <w:color w:val="231F20"/>
        </w:rPr>
        <w:t>productividad</w:t>
      </w:r>
      <w:r>
        <w:rPr>
          <w:color w:val="231F20"/>
          <w:spacing w:val="-8"/>
        </w:rPr>
        <w:t> </w:t>
      </w:r>
      <w:r>
        <w:rPr>
          <w:color w:val="231F20"/>
        </w:rPr>
        <w:t>y</w:t>
      </w:r>
      <w:r>
        <w:rPr>
          <w:color w:val="231F20"/>
          <w:spacing w:val="-8"/>
        </w:rPr>
        <w:t> </w:t>
      </w:r>
      <w:r>
        <w:rPr>
          <w:color w:val="231F20"/>
        </w:rPr>
        <w:t>modernización</w:t>
      </w:r>
      <w:r>
        <w:rPr>
          <w:color w:val="231F20"/>
          <w:spacing w:val="-9"/>
        </w:rPr>
        <w:t> </w:t>
      </w:r>
      <w:r>
        <w:rPr>
          <w:color w:val="231F20"/>
        </w:rPr>
        <w:t>sobre</w:t>
      </w:r>
      <w:r>
        <w:rPr>
          <w:color w:val="231F20"/>
          <w:spacing w:val="-8"/>
        </w:rPr>
        <w:t> </w:t>
      </w:r>
      <w:r>
        <w:rPr>
          <w:color w:val="231F20"/>
        </w:rPr>
        <w:t>la</w:t>
      </w:r>
      <w:r>
        <w:rPr>
          <w:color w:val="231F20"/>
          <w:spacing w:val="-8"/>
        </w:rPr>
        <w:t> </w:t>
      </w:r>
      <w:r>
        <w:rPr>
          <w:color w:val="231F20"/>
        </w:rPr>
        <w:t>base</w:t>
      </w:r>
      <w:r>
        <w:rPr>
          <w:color w:val="231F20"/>
          <w:spacing w:val="-8"/>
        </w:rPr>
        <w:t> </w:t>
      </w:r>
      <w:r>
        <w:rPr>
          <w:color w:val="231F20"/>
        </w:rPr>
        <w:t>de</w:t>
      </w:r>
      <w:r>
        <w:rPr>
          <w:color w:val="231F20"/>
          <w:spacing w:val="-8"/>
        </w:rPr>
        <w:t> </w:t>
      </w:r>
      <w:r>
        <w:rPr>
          <w:color w:val="231F20"/>
        </w:rPr>
        <w:t>reno- var</w:t>
      </w:r>
      <w:r>
        <w:rPr>
          <w:color w:val="231F20"/>
          <w:spacing w:val="-11"/>
        </w:rPr>
        <w:t> </w:t>
      </w:r>
      <w:r>
        <w:rPr>
          <w:color w:val="231F20"/>
        </w:rPr>
        <w:t>el</w:t>
      </w:r>
      <w:r>
        <w:rPr>
          <w:color w:val="231F20"/>
          <w:spacing w:val="-11"/>
        </w:rPr>
        <w:t> </w:t>
      </w:r>
      <w:r>
        <w:rPr>
          <w:color w:val="231F20"/>
        </w:rPr>
        <w:t>proceso</w:t>
      </w:r>
      <w:r>
        <w:rPr>
          <w:color w:val="231F20"/>
          <w:spacing w:val="-11"/>
        </w:rPr>
        <w:t> </w:t>
      </w:r>
      <w:r>
        <w:rPr>
          <w:color w:val="231F20"/>
        </w:rPr>
        <w:t>de</w:t>
      </w:r>
      <w:r>
        <w:rPr>
          <w:color w:val="231F20"/>
          <w:spacing w:val="-11"/>
        </w:rPr>
        <w:t> </w:t>
      </w:r>
      <w:r>
        <w:rPr>
          <w:color w:val="231F20"/>
        </w:rPr>
        <w:t>privatización</w:t>
      </w:r>
      <w:r>
        <w:rPr>
          <w:color w:val="231F20"/>
          <w:spacing w:val="-11"/>
        </w:rPr>
        <w:t> </w:t>
      </w:r>
      <w:r>
        <w:rPr>
          <w:color w:val="231F20"/>
        </w:rPr>
        <w:t>agraria,</w:t>
      </w:r>
      <w:r>
        <w:rPr>
          <w:color w:val="231F20"/>
          <w:spacing w:val="-11"/>
        </w:rPr>
        <w:t> </w:t>
      </w:r>
      <w:r>
        <w:rPr>
          <w:color w:val="231F20"/>
        </w:rPr>
        <w:t>de</w:t>
      </w:r>
      <w:r>
        <w:rPr>
          <w:color w:val="231F20"/>
          <w:spacing w:val="-11"/>
        </w:rPr>
        <w:t> </w:t>
      </w:r>
      <w:r>
        <w:rPr>
          <w:color w:val="231F20"/>
        </w:rPr>
        <w:t>manera</w:t>
      </w:r>
      <w:r>
        <w:rPr>
          <w:color w:val="231F20"/>
          <w:spacing w:val="-11"/>
        </w:rPr>
        <w:t> </w:t>
      </w:r>
      <w:r>
        <w:rPr>
          <w:color w:val="231F20"/>
        </w:rPr>
        <w:t>creciente</w:t>
      </w:r>
      <w:r>
        <w:rPr>
          <w:color w:val="231F20"/>
          <w:spacing w:val="-11"/>
        </w:rPr>
        <w:t> </w:t>
      </w:r>
      <w:r>
        <w:rPr>
          <w:color w:val="231F20"/>
        </w:rPr>
        <w:t>y</w:t>
      </w:r>
      <w:r>
        <w:rPr>
          <w:color w:val="231F20"/>
          <w:spacing w:val="-11"/>
        </w:rPr>
        <w:t> </w:t>
      </w:r>
      <w:r>
        <w:rPr>
          <w:color w:val="231F20"/>
        </w:rPr>
        <w:t>acelerada</w:t>
      </w:r>
      <w:r>
        <w:rPr>
          <w:color w:val="231F20"/>
          <w:spacing w:val="-11"/>
        </w:rPr>
        <w:t> </w:t>
      </w:r>
      <w:r>
        <w:rPr>
          <w:color w:val="231F20"/>
        </w:rPr>
        <w:t>du- rante ese primer periodo de la implantación de las reformas encaminadas a establecer las políticas neoliberales. Al respecto de las modificaciones</w:t>
      </w:r>
      <w:r>
        <w:rPr>
          <w:color w:val="231F20"/>
          <w:spacing w:val="-24"/>
        </w:rPr>
        <w:t> </w:t>
      </w:r>
      <w:r>
        <w:rPr>
          <w:color w:val="231F20"/>
        </w:rPr>
        <w:t>al artículo 27 constitucional, Durand (2002: 406), dice que la relación social y productiva planteada en la reforma de Miguel de la Madrid es</w:t>
      </w:r>
      <w:r>
        <w:rPr>
          <w:color w:val="231F20"/>
          <w:spacing w:val="-35"/>
        </w:rPr>
        <w:t> </w:t>
      </w:r>
      <w:r>
        <w:rPr>
          <w:color w:val="231F20"/>
        </w:rPr>
        <w:t>completa- mente desigual, prácticamente convirtió a los comuneros y ejidatarios en trabajadores asalariados dentro de sus propias</w:t>
      </w:r>
      <w:r>
        <w:rPr>
          <w:color w:val="231F20"/>
          <w:spacing w:val="-4"/>
        </w:rPr>
        <w:t> </w:t>
      </w:r>
      <w:r>
        <w:rPr>
          <w:color w:val="231F20"/>
        </w:rPr>
        <w:t>tierras.</w:t>
      </w:r>
    </w:p>
    <w:p>
      <w:pPr>
        <w:pStyle w:val="BodyText"/>
        <w:spacing w:line="253" w:lineRule="exact"/>
        <w:ind w:left="400"/>
        <w:jc w:val="both"/>
      </w:pPr>
      <w:r>
        <w:rPr>
          <w:color w:val="231F20"/>
        </w:rPr>
        <w:t>Vallentin menciona que:</w:t>
      </w:r>
    </w:p>
    <w:p>
      <w:pPr>
        <w:spacing w:line="249" w:lineRule="auto" w:before="175"/>
        <w:ind w:left="400" w:right="114" w:firstLine="0"/>
        <w:jc w:val="both"/>
        <w:rPr>
          <w:sz w:val="20"/>
        </w:rPr>
      </w:pPr>
      <w:r>
        <w:rPr>
          <w:sz w:val="20"/>
        </w:rPr>
        <w:t>esta liberación del mercado lleva implícita una liberación de la posesión</w:t>
      </w:r>
      <w:r>
        <w:rPr>
          <w:spacing w:val="-25"/>
          <w:sz w:val="20"/>
        </w:rPr>
        <w:t> </w:t>
      </w:r>
      <w:r>
        <w:rPr>
          <w:sz w:val="20"/>
        </w:rPr>
        <w:t>sobre los medios de producción, como es por ejemplo la tenencia de la tierra. Por ello, las políticas neoliberales, al igual que su antecesor histórico —el libera- lismo</w:t>
      </w:r>
      <w:r>
        <w:rPr>
          <w:spacing w:val="-6"/>
          <w:sz w:val="20"/>
        </w:rPr>
        <w:t> </w:t>
      </w:r>
      <w:r>
        <w:rPr>
          <w:sz w:val="20"/>
        </w:rPr>
        <w:t>decimonónico—</w:t>
      </w:r>
      <w:r>
        <w:rPr>
          <w:spacing w:val="-6"/>
          <w:sz w:val="20"/>
        </w:rPr>
        <w:t> </w:t>
      </w:r>
      <w:r>
        <w:rPr>
          <w:sz w:val="20"/>
        </w:rPr>
        <w:t>impulsa</w:t>
      </w:r>
      <w:r>
        <w:rPr>
          <w:spacing w:val="-6"/>
          <w:sz w:val="20"/>
        </w:rPr>
        <w:t> </w:t>
      </w:r>
      <w:r>
        <w:rPr>
          <w:sz w:val="20"/>
        </w:rPr>
        <w:t>la</w:t>
      </w:r>
      <w:r>
        <w:rPr>
          <w:spacing w:val="-6"/>
          <w:sz w:val="20"/>
        </w:rPr>
        <w:t> </w:t>
      </w:r>
      <w:r>
        <w:rPr>
          <w:sz w:val="20"/>
        </w:rPr>
        <w:t>liberación</w:t>
      </w:r>
      <w:r>
        <w:rPr>
          <w:spacing w:val="-6"/>
          <w:sz w:val="20"/>
        </w:rPr>
        <w:t> </w:t>
      </w:r>
      <w:r>
        <w:rPr>
          <w:sz w:val="20"/>
        </w:rPr>
        <w:t>de</w:t>
      </w:r>
      <w:r>
        <w:rPr>
          <w:spacing w:val="-6"/>
          <w:sz w:val="20"/>
        </w:rPr>
        <w:t> </w:t>
      </w:r>
      <w:r>
        <w:rPr>
          <w:sz w:val="20"/>
        </w:rPr>
        <w:t>la</w:t>
      </w:r>
      <w:r>
        <w:rPr>
          <w:spacing w:val="-6"/>
          <w:sz w:val="20"/>
        </w:rPr>
        <w:t> </w:t>
      </w:r>
      <w:r>
        <w:rPr>
          <w:sz w:val="20"/>
        </w:rPr>
        <w:t>tenencia</w:t>
      </w:r>
      <w:r>
        <w:rPr>
          <w:spacing w:val="-6"/>
          <w:sz w:val="20"/>
        </w:rPr>
        <w:t> </w:t>
      </w:r>
      <w:r>
        <w:rPr>
          <w:sz w:val="20"/>
        </w:rPr>
        <w:t>de</w:t>
      </w:r>
      <w:r>
        <w:rPr>
          <w:spacing w:val="-6"/>
          <w:sz w:val="20"/>
        </w:rPr>
        <w:t> </w:t>
      </w:r>
      <w:r>
        <w:rPr>
          <w:sz w:val="20"/>
        </w:rPr>
        <w:t>la</w:t>
      </w:r>
      <w:r>
        <w:rPr>
          <w:spacing w:val="-6"/>
          <w:sz w:val="20"/>
        </w:rPr>
        <w:t> </w:t>
      </w:r>
      <w:r>
        <w:rPr>
          <w:sz w:val="20"/>
        </w:rPr>
        <w:t>tierra</w:t>
      </w:r>
      <w:r>
        <w:rPr>
          <w:spacing w:val="-6"/>
          <w:sz w:val="20"/>
        </w:rPr>
        <w:t> </w:t>
      </w:r>
      <w:r>
        <w:rPr>
          <w:sz w:val="20"/>
        </w:rPr>
        <w:t>para</w:t>
      </w:r>
      <w:r>
        <w:rPr>
          <w:spacing w:val="-6"/>
          <w:sz w:val="20"/>
        </w:rPr>
        <w:t> </w:t>
      </w:r>
      <w:r>
        <w:rPr>
          <w:sz w:val="20"/>
        </w:rPr>
        <w:t>fo- mentar</w:t>
      </w:r>
      <w:r>
        <w:rPr>
          <w:spacing w:val="-4"/>
          <w:sz w:val="20"/>
        </w:rPr>
        <w:t> </w:t>
      </w:r>
      <w:r>
        <w:rPr>
          <w:sz w:val="20"/>
        </w:rPr>
        <w:t>el</w:t>
      </w:r>
      <w:r>
        <w:rPr>
          <w:spacing w:val="-3"/>
          <w:sz w:val="20"/>
        </w:rPr>
        <w:t> </w:t>
      </w:r>
      <w:r>
        <w:rPr>
          <w:sz w:val="20"/>
        </w:rPr>
        <w:t>proceso</w:t>
      </w:r>
      <w:r>
        <w:rPr>
          <w:spacing w:val="-3"/>
          <w:sz w:val="20"/>
        </w:rPr>
        <w:t> </w:t>
      </w:r>
      <w:r>
        <w:rPr>
          <w:sz w:val="20"/>
        </w:rPr>
        <w:t>de</w:t>
      </w:r>
      <w:r>
        <w:rPr>
          <w:spacing w:val="-3"/>
          <w:sz w:val="20"/>
        </w:rPr>
        <w:t> </w:t>
      </w:r>
      <w:r>
        <w:rPr>
          <w:sz w:val="20"/>
        </w:rPr>
        <w:t>liberación</w:t>
      </w:r>
      <w:r>
        <w:rPr>
          <w:spacing w:val="-4"/>
          <w:sz w:val="20"/>
        </w:rPr>
        <w:t> </w:t>
      </w:r>
      <w:r>
        <w:rPr>
          <w:sz w:val="20"/>
        </w:rPr>
        <w:t>del</w:t>
      </w:r>
      <w:r>
        <w:rPr>
          <w:spacing w:val="-3"/>
          <w:sz w:val="20"/>
        </w:rPr>
        <w:t> </w:t>
      </w:r>
      <w:r>
        <w:rPr>
          <w:sz w:val="20"/>
        </w:rPr>
        <w:t>mercado</w:t>
      </w:r>
      <w:r>
        <w:rPr>
          <w:spacing w:val="-4"/>
          <w:sz w:val="20"/>
        </w:rPr>
        <w:t> </w:t>
      </w:r>
      <w:r>
        <w:rPr>
          <w:sz w:val="20"/>
        </w:rPr>
        <w:t>en</w:t>
      </w:r>
      <w:r>
        <w:rPr>
          <w:spacing w:val="-3"/>
          <w:sz w:val="20"/>
        </w:rPr>
        <w:t> </w:t>
      </w:r>
      <w:r>
        <w:rPr>
          <w:sz w:val="20"/>
        </w:rPr>
        <w:t>zonas</w:t>
      </w:r>
      <w:r>
        <w:rPr>
          <w:spacing w:val="-3"/>
          <w:sz w:val="20"/>
        </w:rPr>
        <w:t> </w:t>
      </w:r>
      <w:r>
        <w:rPr>
          <w:sz w:val="20"/>
        </w:rPr>
        <w:t>rurales.</w:t>
      </w:r>
      <w:r>
        <w:rPr>
          <w:spacing w:val="-3"/>
          <w:sz w:val="20"/>
        </w:rPr>
        <w:t> </w:t>
      </w:r>
      <w:r>
        <w:rPr>
          <w:sz w:val="20"/>
        </w:rPr>
        <w:t>Ejemplo</w:t>
      </w:r>
      <w:r>
        <w:rPr>
          <w:spacing w:val="-4"/>
          <w:sz w:val="20"/>
        </w:rPr>
        <w:t> </w:t>
      </w:r>
      <w:r>
        <w:rPr>
          <w:sz w:val="20"/>
        </w:rPr>
        <w:t>de</w:t>
      </w:r>
      <w:r>
        <w:rPr>
          <w:spacing w:val="-3"/>
          <w:sz w:val="20"/>
        </w:rPr>
        <w:t> </w:t>
      </w:r>
      <w:r>
        <w:rPr>
          <w:sz w:val="20"/>
        </w:rPr>
        <w:t>esto son las reformas al artículo 27 constitucional que posteriormente se llevaron a cabo</w:t>
      </w:r>
      <w:r>
        <w:rPr>
          <w:spacing w:val="-5"/>
          <w:sz w:val="20"/>
        </w:rPr>
        <w:t> </w:t>
      </w:r>
      <w:r>
        <w:rPr>
          <w:sz w:val="20"/>
        </w:rPr>
        <w:t>durante</w:t>
      </w:r>
      <w:r>
        <w:rPr>
          <w:spacing w:val="-5"/>
          <w:sz w:val="20"/>
        </w:rPr>
        <w:t> </w:t>
      </w:r>
      <w:r>
        <w:rPr>
          <w:sz w:val="20"/>
        </w:rPr>
        <w:t>el</w:t>
      </w:r>
      <w:r>
        <w:rPr>
          <w:spacing w:val="-5"/>
          <w:sz w:val="20"/>
        </w:rPr>
        <w:t> </w:t>
      </w:r>
      <w:r>
        <w:rPr>
          <w:sz w:val="20"/>
        </w:rPr>
        <w:t>sexenio</w:t>
      </w:r>
      <w:r>
        <w:rPr>
          <w:spacing w:val="-5"/>
          <w:sz w:val="20"/>
        </w:rPr>
        <w:t> </w:t>
      </w:r>
      <w:r>
        <w:rPr>
          <w:sz w:val="20"/>
        </w:rPr>
        <w:t>de</w:t>
      </w:r>
      <w:r>
        <w:rPr>
          <w:spacing w:val="-5"/>
          <w:sz w:val="20"/>
        </w:rPr>
        <w:t> </w:t>
      </w:r>
      <w:r>
        <w:rPr>
          <w:sz w:val="20"/>
        </w:rPr>
        <w:t>Salinas</w:t>
      </w:r>
      <w:r>
        <w:rPr>
          <w:spacing w:val="-5"/>
          <w:sz w:val="20"/>
        </w:rPr>
        <w:t> </w:t>
      </w:r>
      <w:r>
        <w:rPr>
          <w:sz w:val="20"/>
        </w:rPr>
        <w:t>de</w:t>
      </w:r>
      <w:r>
        <w:rPr>
          <w:spacing w:val="-5"/>
          <w:sz w:val="20"/>
        </w:rPr>
        <w:t> </w:t>
      </w:r>
      <w:r>
        <w:rPr>
          <w:sz w:val="20"/>
        </w:rPr>
        <w:t>Gortari</w:t>
      </w:r>
      <w:r>
        <w:rPr>
          <w:spacing w:val="-5"/>
          <w:sz w:val="20"/>
        </w:rPr>
        <w:t> </w:t>
      </w:r>
      <w:r>
        <w:rPr>
          <w:sz w:val="20"/>
        </w:rPr>
        <w:t>y</w:t>
      </w:r>
      <w:r>
        <w:rPr>
          <w:spacing w:val="-5"/>
          <w:sz w:val="20"/>
        </w:rPr>
        <w:t> </w:t>
      </w:r>
      <w:r>
        <w:rPr>
          <w:sz w:val="20"/>
        </w:rPr>
        <w:t>que</w:t>
      </w:r>
      <w:r>
        <w:rPr>
          <w:spacing w:val="-5"/>
          <w:sz w:val="20"/>
        </w:rPr>
        <w:t> </w:t>
      </w:r>
      <w:r>
        <w:rPr>
          <w:sz w:val="20"/>
        </w:rPr>
        <w:t>consistieron</w:t>
      </w:r>
      <w:r>
        <w:rPr>
          <w:spacing w:val="-6"/>
          <w:sz w:val="20"/>
        </w:rPr>
        <w:t> </w:t>
      </w:r>
      <w:r>
        <w:rPr>
          <w:sz w:val="20"/>
        </w:rPr>
        <w:t>en</w:t>
      </w:r>
      <w:r>
        <w:rPr>
          <w:spacing w:val="-5"/>
          <w:sz w:val="20"/>
        </w:rPr>
        <w:t> </w:t>
      </w:r>
      <w:r>
        <w:rPr>
          <w:sz w:val="20"/>
        </w:rPr>
        <w:t>acabar</w:t>
      </w:r>
      <w:r>
        <w:rPr>
          <w:spacing w:val="-5"/>
          <w:sz w:val="20"/>
        </w:rPr>
        <w:t> </w:t>
      </w:r>
      <w:r>
        <w:rPr>
          <w:sz w:val="20"/>
        </w:rPr>
        <w:t>con la propiedad ejidal de la tierra, es así que la tenencia comunal de la tierra es incompatible con el proyecto neoliberal (1998: 34-35).</w:t>
      </w:r>
    </w:p>
    <w:p>
      <w:pPr>
        <w:spacing w:after="0" w:line="249" w:lineRule="auto"/>
        <w:jc w:val="both"/>
        <w:rPr>
          <w:sz w:val="20"/>
        </w:rPr>
        <w:sectPr>
          <w:pgSz w:w="9360" w:h="13040"/>
          <w:pgMar w:header="0" w:footer="496" w:top="800" w:bottom="680" w:left="1300" w:right="1300"/>
        </w:sectPr>
      </w:pPr>
    </w:p>
    <w:p>
      <w:pPr>
        <w:spacing w:before="45"/>
        <w:ind w:left="400" w:right="0" w:firstLine="1038"/>
        <w:jc w:val="left"/>
        <w:rPr>
          <w:rFonts w:ascii="Arial" w:hAnsi="Arial"/>
          <w:sz w:val="20"/>
        </w:rPr>
      </w:pPr>
      <w:r>
        <w:rPr>
          <w:rFonts w:ascii="Arial" w:hAnsi="Arial"/>
          <w:color w:val="231F20"/>
          <w:w w:val="70"/>
          <w:sz w:val="20"/>
        </w:rPr>
        <w:t>Migración y cambio del espacio rural en el noreste michoacano /Iván Jiménez-Maya</w:t>
      </w:r>
    </w:p>
    <w:p>
      <w:pPr>
        <w:pStyle w:val="BodyText"/>
        <w:spacing w:before="7"/>
        <w:rPr>
          <w:rFonts w:ascii="Arial"/>
          <w:sz w:val="28"/>
        </w:rPr>
      </w:pPr>
    </w:p>
    <w:p>
      <w:pPr>
        <w:pStyle w:val="BodyText"/>
        <w:spacing w:line="247" w:lineRule="auto"/>
        <w:ind w:left="117" w:right="114" w:firstLine="283"/>
        <w:jc w:val="both"/>
      </w:pPr>
      <w:r>
        <w:rPr>
          <w:color w:val="231F20"/>
        </w:rPr>
        <w:t>El nuevo contexto neoliberal, por supuesto, no excluyó a la agricultu- ra, incluso puede decirse que fue uno de los sectores más violentamente golpeados y donde más se trastocaron los antiguos cimientos de </w:t>
      </w:r>
      <w:r>
        <w:rPr>
          <w:i/>
          <w:color w:val="231F20"/>
        </w:rPr>
        <w:t>protec- </w:t>
      </w:r>
      <w:r>
        <w:rPr>
          <w:i/>
          <w:color w:val="231F20"/>
        </w:rPr>
        <w:t>ción</w:t>
      </w:r>
      <w:r>
        <w:rPr>
          <w:color w:val="231F20"/>
        </w:rPr>
        <w:t>. Los ejemplos sobran.  Se  eliminaron las políticas de subvenciones  a la producción, la distribución y la comercialización; se desincorpora- ron y/o quebraron cientos de empresas paraestatales (Romero y Villegas, 2001: 97). Aunque, por otro lado, las causas de la migración de trabajado- res mexicanos a Estados Unidos a partir de la segunda mitad de los años ochenta, se ven directamente relacionadas con las políticas neoliberales que provocaron la pauperización de ciertos sectores rurales, como el </w:t>
      </w:r>
      <w:r>
        <w:rPr>
          <w:color w:val="231F20"/>
          <w:spacing w:val="-5"/>
        </w:rPr>
        <w:t>Valle </w:t>
      </w:r>
      <w:r>
        <w:rPr>
          <w:color w:val="231F20"/>
        </w:rPr>
        <w:t>de Tangancícuaro. La consecuencia para los pobladores de esos espacios rurales,</w:t>
      </w:r>
      <w:r>
        <w:rPr>
          <w:color w:val="231F20"/>
          <w:spacing w:val="-7"/>
        </w:rPr>
        <w:t> </w:t>
      </w:r>
      <w:r>
        <w:rPr>
          <w:color w:val="231F20"/>
        </w:rPr>
        <w:t>que</w:t>
      </w:r>
      <w:r>
        <w:rPr>
          <w:color w:val="231F20"/>
          <w:spacing w:val="-7"/>
        </w:rPr>
        <w:t> </w:t>
      </w:r>
      <w:r>
        <w:rPr>
          <w:color w:val="231F20"/>
        </w:rPr>
        <w:t>aún</w:t>
      </w:r>
      <w:r>
        <w:rPr>
          <w:color w:val="231F20"/>
          <w:spacing w:val="-7"/>
        </w:rPr>
        <w:t> </w:t>
      </w:r>
      <w:r>
        <w:rPr>
          <w:color w:val="231F20"/>
        </w:rPr>
        <w:t>no</w:t>
      </w:r>
      <w:r>
        <w:rPr>
          <w:color w:val="231F20"/>
          <w:spacing w:val="-7"/>
        </w:rPr>
        <w:t> </w:t>
      </w:r>
      <w:r>
        <w:rPr>
          <w:color w:val="231F20"/>
        </w:rPr>
        <w:t>habían</w:t>
      </w:r>
      <w:r>
        <w:rPr>
          <w:color w:val="231F20"/>
          <w:spacing w:val="-7"/>
        </w:rPr>
        <w:t> </w:t>
      </w:r>
      <w:r>
        <w:rPr>
          <w:color w:val="231F20"/>
        </w:rPr>
        <w:t>tomado</w:t>
      </w:r>
      <w:r>
        <w:rPr>
          <w:color w:val="231F20"/>
          <w:spacing w:val="-7"/>
        </w:rPr>
        <w:t> </w:t>
      </w:r>
      <w:r>
        <w:rPr>
          <w:color w:val="231F20"/>
        </w:rPr>
        <w:t>la</w:t>
      </w:r>
      <w:r>
        <w:rPr>
          <w:color w:val="231F20"/>
          <w:spacing w:val="-7"/>
        </w:rPr>
        <w:t> </w:t>
      </w:r>
      <w:r>
        <w:rPr>
          <w:color w:val="231F20"/>
        </w:rPr>
        <w:t>decisión</w:t>
      </w:r>
      <w:r>
        <w:rPr>
          <w:color w:val="231F20"/>
          <w:spacing w:val="-7"/>
        </w:rPr>
        <w:t> </w:t>
      </w:r>
      <w:r>
        <w:rPr>
          <w:color w:val="231F20"/>
        </w:rPr>
        <w:t>de</w:t>
      </w:r>
      <w:r>
        <w:rPr>
          <w:color w:val="231F20"/>
          <w:spacing w:val="-7"/>
        </w:rPr>
        <w:t> </w:t>
      </w:r>
      <w:r>
        <w:rPr>
          <w:color w:val="231F20"/>
        </w:rPr>
        <w:t>migrar</w:t>
      </w:r>
      <w:r>
        <w:rPr>
          <w:color w:val="231F20"/>
          <w:spacing w:val="-7"/>
        </w:rPr>
        <w:t> </w:t>
      </w:r>
      <w:r>
        <w:rPr>
          <w:color w:val="231F20"/>
        </w:rPr>
        <w:t>al</w:t>
      </w:r>
      <w:r>
        <w:rPr>
          <w:color w:val="231F20"/>
          <w:spacing w:val="-7"/>
        </w:rPr>
        <w:t> </w:t>
      </w:r>
      <w:r>
        <w:rPr>
          <w:color w:val="231F20"/>
        </w:rPr>
        <w:t>norte,</w:t>
      </w:r>
      <w:r>
        <w:rPr>
          <w:color w:val="231F20"/>
          <w:spacing w:val="-7"/>
        </w:rPr>
        <w:t> </w:t>
      </w:r>
      <w:r>
        <w:rPr>
          <w:color w:val="231F20"/>
        </w:rPr>
        <w:t>optaron</w:t>
      </w:r>
      <w:r>
        <w:rPr>
          <w:color w:val="231F20"/>
          <w:spacing w:val="-7"/>
        </w:rPr>
        <w:t> </w:t>
      </w:r>
      <w:r>
        <w:rPr>
          <w:color w:val="231F20"/>
        </w:rPr>
        <w:t>y tuvieron que emprender el viaje hacia el vecino país del norte en busca de los ingresos para su</w:t>
      </w:r>
      <w:r>
        <w:rPr>
          <w:color w:val="231F20"/>
          <w:spacing w:val="-3"/>
        </w:rPr>
        <w:t> </w:t>
      </w:r>
      <w:r>
        <w:rPr>
          <w:color w:val="231F20"/>
        </w:rPr>
        <w:t>reproducción.</w:t>
      </w:r>
    </w:p>
    <w:p>
      <w:pPr>
        <w:pStyle w:val="BodyText"/>
        <w:spacing w:line="247" w:lineRule="auto"/>
        <w:ind w:left="117" w:right="114" w:firstLine="283"/>
        <w:jc w:val="both"/>
      </w:pPr>
      <w:r>
        <w:rPr>
          <w:color w:val="231F20"/>
        </w:rPr>
        <w:t>Un</w:t>
      </w:r>
      <w:r>
        <w:rPr>
          <w:color w:val="231F20"/>
          <w:spacing w:val="-5"/>
        </w:rPr>
        <w:t> </w:t>
      </w:r>
      <w:r>
        <w:rPr>
          <w:color w:val="231F20"/>
        </w:rPr>
        <w:t>paso</w:t>
      </w:r>
      <w:r>
        <w:rPr>
          <w:color w:val="231F20"/>
          <w:spacing w:val="-5"/>
        </w:rPr>
        <w:t> </w:t>
      </w:r>
      <w:r>
        <w:rPr>
          <w:color w:val="231F20"/>
        </w:rPr>
        <w:t>importante</w:t>
      </w:r>
      <w:r>
        <w:rPr>
          <w:color w:val="231F20"/>
          <w:spacing w:val="-6"/>
        </w:rPr>
        <w:t> </w:t>
      </w:r>
      <w:r>
        <w:rPr>
          <w:color w:val="231F20"/>
        </w:rPr>
        <w:t>para</w:t>
      </w:r>
      <w:r>
        <w:rPr>
          <w:color w:val="231F20"/>
          <w:spacing w:val="-5"/>
        </w:rPr>
        <w:t> </w:t>
      </w:r>
      <w:r>
        <w:rPr>
          <w:color w:val="231F20"/>
        </w:rPr>
        <w:t>dar</w:t>
      </w:r>
      <w:r>
        <w:rPr>
          <w:color w:val="231F20"/>
          <w:spacing w:val="-5"/>
        </w:rPr>
        <w:t> </w:t>
      </w:r>
      <w:r>
        <w:rPr>
          <w:color w:val="231F20"/>
        </w:rPr>
        <w:t>sustento</w:t>
      </w:r>
      <w:r>
        <w:rPr>
          <w:color w:val="231F20"/>
          <w:spacing w:val="-5"/>
        </w:rPr>
        <w:t> </w:t>
      </w:r>
      <w:r>
        <w:rPr>
          <w:color w:val="231F20"/>
        </w:rPr>
        <w:t>jurídico</w:t>
      </w:r>
      <w:r>
        <w:rPr>
          <w:color w:val="231F20"/>
          <w:spacing w:val="-6"/>
        </w:rPr>
        <w:t> </w:t>
      </w:r>
      <w:r>
        <w:rPr>
          <w:color w:val="231F20"/>
        </w:rPr>
        <w:t>en</w:t>
      </w:r>
      <w:r>
        <w:rPr>
          <w:color w:val="231F20"/>
          <w:spacing w:val="-5"/>
        </w:rPr>
        <w:t> </w:t>
      </w:r>
      <w:r>
        <w:rPr>
          <w:color w:val="231F20"/>
        </w:rPr>
        <w:t>el</w:t>
      </w:r>
      <w:r>
        <w:rPr>
          <w:color w:val="231F20"/>
          <w:spacing w:val="-5"/>
        </w:rPr>
        <w:t> </w:t>
      </w:r>
      <w:r>
        <w:rPr>
          <w:color w:val="231F20"/>
        </w:rPr>
        <w:t>marco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Consti- tución</w:t>
      </w:r>
      <w:r>
        <w:rPr>
          <w:color w:val="231F20"/>
          <w:spacing w:val="-10"/>
        </w:rPr>
        <w:t> </w:t>
      </w:r>
      <w:r>
        <w:rPr>
          <w:color w:val="231F20"/>
        </w:rPr>
        <w:t>Mexicana</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gobierno</w:t>
      </w:r>
      <w:r>
        <w:rPr>
          <w:color w:val="231F20"/>
          <w:spacing w:val="-10"/>
        </w:rPr>
        <w:t> </w:t>
      </w:r>
      <w:r>
        <w:rPr>
          <w:color w:val="231F20"/>
        </w:rPr>
        <w:t>de</w:t>
      </w:r>
      <w:r>
        <w:rPr>
          <w:color w:val="231F20"/>
          <w:spacing w:val="-10"/>
        </w:rPr>
        <w:t> </w:t>
      </w:r>
      <w:r>
        <w:rPr>
          <w:color w:val="231F20"/>
        </w:rPr>
        <w:t>Carlos</w:t>
      </w:r>
      <w:r>
        <w:rPr>
          <w:color w:val="231F20"/>
          <w:spacing w:val="-10"/>
        </w:rPr>
        <w:t> </w:t>
      </w:r>
      <w:r>
        <w:rPr>
          <w:color w:val="231F20"/>
        </w:rPr>
        <w:t>Salinas</w:t>
      </w:r>
      <w:r>
        <w:rPr>
          <w:color w:val="231F20"/>
          <w:spacing w:val="-10"/>
        </w:rPr>
        <w:t> </w:t>
      </w:r>
      <w:r>
        <w:rPr>
          <w:color w:val="231F20"/>
        </w:rPr>
        <w:t>de</w:t>
      </w:r>
      <w:r>
        <w:rPr>
          <w:color w:val="231F20"/>
          <w:spacing w:val="-10"/>
        </w:rPr>
        <w:t> </w:t>
      </w:r>
      <w:r>
        <w:rPr>
          <w:color w:val="231F20"/>
        </w:rPr>
        <w:t>Gortari</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reformas neoliberales, es que se continuó con las reformas que comenzaron en el gobierno de Miguel de la Madrid en la misma lógica neoliberal, ejemplo de</w:t>
      </w:r>
      <w:r>
        <w:rPr>
          <w:color w:val="231F20"/>
          <w:spacing w:val="-9"/>
        </w:rPr>
        <w:t> </w:t>
      </w:r>
      <w:r>
        <w:rPr>
          <w:color w:val="231F20"/>
        </w:rPr>
        <w:t>esto</w:t>
      </w:r>
      <w:r>
        <w:rPr>
          <w:color w:val="231F20"/>
          <w:spacing w:val="-10"/>
        </w:rPr>
        <w:t> </w:t>
      </w:r>
      <w:r>
        <w:rPr>
          <w:color w:val="231F20"/>
        </w:rPr>
        <w:t>los</w:t>
      </w:r>
      <w:r>
        <w:rPr>
          <w:color w:val="231F20"/>
          <w:spacing w:val="-10"/>
        </w:rPr>
        <w:t> </w:t>
      </w:r>
      <w:r>
        <w:rPr>
          <w:color w:val="231F20"/>
        </w:rPr>
        <w:t>cambios</w:t>
      </w:r>
      <w:r>
        <w:rPr>
          <w:color w:val="231F20"/>
          <w:spacing w:val="-10"/>
        </w:rPr>
        <w:t> </w:t>
      </w:r>
      <w:r>
        <w:rPr>
          <w:color w:val="231F20"/>
        </w:rPr>
        <w:t>al</w:t>
      </w:r>
      <w:r>
        <w:rPr>
          <w:color w:val="231F20"/>
          <w:spacing w:val="-10"/>
        </w:rPr>
        <w:t> </w:t>
      </w:r>
      <w:r>
        <w:rPr>
          <w:color w:val="231F20"/>
        </w:rPr>
        <w:t>artículo</w:t>
      </w:r>
      <w:r>
        <w:rPr>
          <w:color w:val="231F20"/>
          <w:spacing w:val="-10"/>
        </w:rPr>
        <w:t> </w:t>
      </w:r>
      <w:r>
        <w:rPr>
          <w:color w:val="231F20"/>
        </w:rPr>
        <w:t>27</w:t>
      </w:r>
      <w:r>
        <w:rPr>
          <w:color w:val="231F20"/>
          <w:spacing w:val="-9"/>
        </w:rPr>
        <w:t> </w:t>
      </w:r>
      <w:r>
        <w:rPr>
          <w:color w:val="231F20"/>
        </w:rPr>
        <w:t>constitucional.</w:t>
      </w:r>
      <w:r>
        <w:rPr>
          <w:color w:val="231F20"/>
          <w:spacing w:val="-10"/>
        </w:rPr>
        <w:t> </w:t>
      </w:r>
      <w:r>
        <w:rPr>
          <w:color w:val="231F20"/>
        </w:rPr>
        <w:t>La</w:t>
      </w:r>
      <w:r>
        <w:rPr>
          <w:color w:val="231F20"/>
          <w:spacing w:val="-10"/>
        </w:rPr>
        <w:t> </w:t>
      </w:r>
      <w:r>
        <w:rPr>
          <w:color w:val="231F20"/>
        </w:rPr>
        <w:t>última</w:t>
      </w:r>
      <w:r>
        <w:rPr>
          <w:color w:val="231F20"/>
          <w:spacing w:val="-10"/>
        </w:rPr>
        <w:t> </w:t>
      </w:r>
      <w:r>
        <w:rPr>
          <w:color w:val="231F20"/>
        </w:rPr>
        <w:t>reforma</w:t>
      </w:r>
      <w:r>
        <w:rPr>
          <w:color w:val="231F20"/>
          <w:spacing w:val="-10"/>
        </w:rPr>
        <w:t> </w:t>
      </w:r>
      <w:r>
        <w:rPr>
          <w:color w:val="231F20"/>
        </w:rPr>
        <w:t>a</w:t>
      </w:r>
      <w:r>
        <w:rPr>
          <w:color w:val="231F20"/>
          <w:spacing w:val="-9"/>
        </w:rPr>
        <w:t> </w:t>
      </w:r>
      <w:r>
        <w:rPr>
          <w:color w:val="231F20"/>
        </w:rPr>
        <w:t>dicho artículo</w:t>
      </w:r>
      <w:r>
        <w:rPr>
          <w:color w:val="231F20"/>
          <w:spacing w:val="-3"/>
        </w:rPr>
        <w:t> </w:t>
      </w:r>
      <w:r>
        <w:rPr>
          <w:color w:val="231F20"/>
        </w:rPr>
        <w:t>se</w:t>
      </w:r>
      <w:r>
        <w:rPr>
          <w:color w:val="231F20"/>
          <w:spacing w:val="-3"/>
        </w:rPr>
        <w:t> </w:t>
      </w:r>
      <w:r>
        <w:rPr>
          <w:color w:val="231F20"/>
        </w:rPr>
        <w:t>realizó</w:t>
      </w:r>
      <w:r>
        <w:rPr>
          <w:color w:val="231F20"/>
          <w:spacing w:val="-3"/>
        </w:rPr>
        <w:t> </w:t>
      </w:r>
      <w:r>
        <w:rPr>
          <w:color w:val="231F20"/>
        </w:rPr>
        <w:t>el</w:t>
      </w:r>
      <w:r>
        <w:rPr>
          <w:color w:val="231F20"/>
          <w:spacing w:val="-3"/>
        </w:rPr>
        <w:t> </w:t>
      </w:r>
      <w:r>
        <w:rPr>
          <w:color w:val="231F20"/>
        </w:rPr>
        <w:t>6</w:t>
      </w:r>
      <w:r>
        <w:rPr>
          <w:color w:val="231F20"/>
          <w:spacing w:val="-3"/>
        </w:rPr>
        <w:t> </w:t>
      </w:r>
      <w:r>
        <w:rPr>
          <w:color w:val="231F20"/>
        </w:rPr>
        <w:t>de</w:t>
      </w:r>
      <w:r>
        <w:rPr>
          <w:color w:val="231F20"/>
          <w:spacing w:val="-3"/>
        </w:rPr>
        <w:t> </w:t>
      </w:r>
      <w:r>
        <w:rPr>
          <w:color w:val="231F20"/>
        </w:rPr>
        <w:t>enero</w:t>
      </w:r>
      <w:r>
        <w:rPr>
          <w:color w:val="231F20"/>
          <w:spacing w:val="-3"/>
        </w:rPr>
        <w:t> </w:t>
      </w:r>
      <w:r>
        <w:rPr>
          <w:color w:val="231F20"/>
        </w:rPr>
        <w:t>de</w:t>
      </w:r>
      <w:r>
        <w:rPr>
          <w:color w:val="231F20"/>
          <w:spacing w:val="-3"/>
        </w:rPr>
        <w:t> </w:t>
      </w:r>
      <w:r>
        <w:rPr>
          <w:color w:val="231F20"/>
        </w:rPr>
        <w:t>1992,</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cual</w:t>
      </w:r>
      <w:r>
        <w:rPr>
          <w:color w:val="231F20"/>
          <w:spacing w:val="-3"/>
        </w:rPr>
        <w:t> </w:t>
      </w:r>
      <w:r>
        <w:rPr>
          <w:color w:val="231F20"/>
        </w:rPr>
        <w:t>elaboraron</w:t>
      </w:r>
      <w:r>
        <w:rPr>
          <w:color w:val="231F20"/>
          <w:spacing w:val="-3"/>
        </w:rPr>
        <w:t> </w:t>
      </w:r>
      <w:r>
        <w:rPr>
          <w:color w:val="231F20"/>
        </w:rPr>
        <w:t>una</w:t>
      </w:r>
      <w:r>
        <w:rPr>
          <w:color w:val="231F20"/>
          <w:spacing w:val="-3"/>
        </w:rPr>
        <w:t> </w:t>
      </w:r>
      <w:r>
        <w:rPr>
          <w:color w:val="231F20"/>
        </w:rPr>
        <w:t>serie</w:t>
      </w:r>
      <w:r>
        <w:rPr>
          <w:color w:val="231F20"/>
          <w:spacing w:val="-3"/>
        </w:rPr>
        <w:t> </w:t>
      </w:r>
      <w:r>
        <w:rPr>
          <w:color w:val="231F20"/>
        </w:rPr>
        <w:t>de cambios, principalmente se mencionan a lo referido en el párrafo tercero; en la fracción IV y VI, primer párrafo; fracción</w:t>
      </w:r>
      <w:r>
        <w:rPr>
          <w:color w:val="231F20"/>
          <w:spacing w:val="-21"/>
        </w:rPr>
        <w:t> </w:t>
      </w:r>
      <w:r>
        <w:rPr>
          <w:color w:val="231F20"/>
        </w:rPr>
        <w:t>VII.</w:t>
      </w:r>
    </w:p>
    <w:p>
      <w:pPr>
        <w:pStyle w:val="BodyText"/>
        <w:spacing w:line="247" w:lineRule="auto"/>
        <w:ind w:left="117" w:right="115" w:firstLine="283"/>
        <w:jc w:val="both"/>
      </w:pPr>
      <w:r>
        <w:rPr>
          <w:color w:val="231F20"/>
          <w:spacing w:val="-12"/>
        </w:rPr>
        <w:t>Ya </w:t>
      </w:r>
      <w:r>
        <w:rPr>
          <w:color w:val="231F20"/>
        </w:rPr>
        <w:t>aprobados los cambios constitucionales, el paso siguiente fue dar seguridad</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derechos</w:t>
      </w:r>
      <w:r>
        <w:rPr>
          <w:color w:val="231F20"/>
          <w:spacing w:val="-7"/>
        </w:rPr>
        <w:t> </w:t>
      </w:r>
      <w:r>
        <w:rPr>
          <w:color w:val="231F20"/>
        </w:rPr>
        <w:t>de</w:t>
      </w:r>
      <w:r>
        <w:rPr>
          <w:color w:val="231F20"/>
          <w:spacing w:val="-7"/>
        </w:rPr>
        <w:t> </w:t>
      </w:r>
      <w:r>
        <w:rPr>
          <w:color w:val="231F20"/>
        </w:rPr>
        <w:t>propiedad.</w:t>
      </w:r>
      <w:r>
        <w:rPr>
          <w:color w:val="231F20"/>
          <w:spacing w:val="-7"/>
        </w:rPr>
        <w:t> </w:t>
      </w:r>
      <w:r>
        <w:rPr>
          <w:color w:val="231F20"/>
        </w:rPr>
        <w:t>Con</w:t>
      </w:r>
      <w:r>
        <w:rPr>
          <w:color w:val="231F20"/>
          <w:spacing w:val="-7"/>
        </w:rPr>
        <w:t> </w:t>
      </w:r>
      <w:r>
        <w:rPr>
          <w:color w:val="231F20"/>
        </w:rPr>
        <w:t>tal</w:t>
      </w:r>
      <w:r>
        <w:rPr>
          <w:color w:val="231F20"/>
          <w:spacing w:val="-7"/>
        </w:rPr>
        <w:t> </w:t>
      </w:r>
      <w:r>
        <w:rPr>
          <w:color w:val="231F20"/>
        </w:rPr>
        <w:t>propósito</w:t>
      </w:r>
      <w:r>
        <w:rPr>
          <w:color w:val="231F20"/>
          <w:spacing w:val="-7"/>
        </w:rPr>
        <w:t> </w:t>
      </w:r>
      <w:r>
        <w:rPr>
          <w:color w:val="231F20"/>
        </w:rPr>
        <w:t>en</w:t>
      </w:r>
      <w:r>
        <w:rPr>
          <w:color w:val="231F20"/>
          <w:spacing w:val="-7"/>
        </w:rPr>
        <w:t> </w:t>
      </w:r>
      <w:r>
        <w:rPr>
          <w:color w:val="231F20"/>
        </w:rPr>
        <w:t>1993,</w:t>
      </w:r>
      <w:r>
        <w:rPr>
          <w:color w:val="231F20"/>
          <w:spacing w:val="-7"/>
        </w:rPr>
        <w:t> </w:t>
      </w:r>
      <w:r>
        <w:rPr>
          <w:color w:val="231F20"/>
        </w:rPr>
        <w:t>se</w:t>
      </w:r>
      <w:r>
        <w:rPr>
          <w:color w:val="231F20"/>
          <w:spacing w:val="-7"/>
        </w:rPr>
        <w:t> </w:t>
      </w:r>
      <w:r>
        <w:rPr>
          <w:color w:val="231F20"/>
        </w:rPr>
        <w:t>inició un ambicioso programa de regularización de derechos agrarios en todos los ejidos y comunidades del país, denominado Programa de Certificación y</w:t>
      </w:r>
      <w:r>
        <w:rPr>
          <w:color w:val="231F20"/>
          <w:spacing w:val="-12"/>
        </w:rPr>
        <w:t> </w:t>
      </w:r>
      <w:r>
        <w:rPr>
          <w:color w:val="231F20"/>
        </w:rPr>
        <w:t>Titulación</w:t>
      </w:r>
      <w:r>
        <w:rPr>
          <w:color w:val="231F20"/>
          <w:spacing w:val="-9"/>
        </w:rPr>
        <w:t> </w:t>
      </w:r>
      <w:r>
        <w:rPr>
          <w:color w:val="231F20"/>
        </w:rPr>
        <w:t>de</w:t>
      </w:r>
      <w:r>
        <w:rPr>
          <w:color w:val="231F20"/>
          <w:spacing w:val="-8"/>
        </w:rPr>
        <w:t> </w:t>
      </w:r>
      <w:r>
        <w:rPr>
          <w:color w:val="231F20"/>
        </w:rPr>
        <w:t>Derechos</w:t>
      </w:r>
      <w:r>
        <w:rPr>
          <w:color w:val="231F20"/>
          <w:spacing w:val="-8"/>
        </w:rPr>
        <w:t> </w:t>
      </w:r>
      <w:r>
        <w:rPr>
          <w:color w:val="231F20"/>
        </w:rPr>
        <w:t>Ejidales</w:t>
      </w:r>
      <w:r>
        <w:rPr>
          <w:color w:val="231F20"/>
          <w:spacing w:val="-9"/>
        </w:rPr>
        <w:t> </w:t>
      </w:r>
      <w:r>
        <w:rPr>
          <w:color w:val="231F20"/>
        </w:rPr>
        <w:t>y</w:t>
      </w:r>
      <w:r>
        <w:rPr>
          <w:color w:val="231F20"/>
          <w:spacing w:val="-8"/>
        </w:rPr>
        <w:t> </w:t>
      </w:r>
      <w:r>
        <w:rPr>
          <w:color w:val="231F20"/>
        </w:rPr>
        <w:t>de</w:t>
      </w:r>
      <w:r>
        <w:rPr>
          <w:color w:val="231F20"/>
          <w:spacing w:val="-12"/>
        </w:rPr>
        <w:t> </w:t>
      </w:r>
      <w:r>
        <w:rPr>
          <w:color w:val="231F20"/>
        </w:rPr>
        <w:t>Titulación</w:t>
      </w:r>
      <w:r>
        <w:rPr>
          <w:color w:val="231F20"/>
          <w:spacing w:val="-9"/>
        </w:rPr>
        <w:t> </w:t>
      </w:r>
      <w:r>
        <w:rPr>
          <w:color w:val="231F20"/>
        </w:rPr>
        <w:t>de</w:t>
      </w:r>
      <w:r>
        <w:rPr>
          <w:color w:val="231F20"/>
          <w:spacing w:val="-9"/>
        </w:rPr>
        <w:t> </w:t>
      </w:r>
      <w:r>
        <w:rPr>
          <w:color w:val="231F20"/>
        </w:rPr>
        <w:t>Solares</w:t>
      </w:r>
      <w:r>
        <w:rPr>
          <w:color w:val="231F20"/>
          <w:spacing w:val="-8"/>
        </w:rPr>
        <w:t> </w:t>
      </w:r>
      <w:r>
        <w:rPr>
          <w:color w:val="231F20"/>
        </w:rPr>
        <w:t>(PROCEDE). Con</w:t>
      </w:r>
      <w:r>
        <w:rPr>
          <w:color w:val="231F20"/>
          <w:spacing w:val="-10"/>
        </w:rPr>
        <w:t> </w:t>
      </w:r>
      <w:r>
        <w:rPr>
          <w:color w:val="231F20"/>
        </w:rPr>
        <w:t>lo</w:t>
      </w:r>
      <w:r>
        <w:rPr>
          <w:color w:val="231F20"/>
          <w:spacing w:val="-10"/>
        </w:rPr>
        <w:t> </w:t>
      </w:r>
      <w:r>
        <w:rPr>
          <w:color w:val="231F20"/>
        </w:rPr>
        <w:t>anterior</w:t>
      </w:r>
      <w:r>
        <w:rPr>
          <w:color w:val="231F20"/>
          <w:spacing w:val="-11"/>
        </w:rPr>
        <w:t> </w:t>
      </w:r>
      <w:r>
        <w:rPr>
          <w:color w:val="231F20"/>
        </w:rPr>
        <w:t>se</w:t>
      </w:r>
      <w:r>
        <w:rPr>
          <w:color w:val="231F20"/>
          <w:spacing w:val="-10"/>
        </w:rPr>
        <w:t> </w:t>
      </w:r>
      <w:r>
        <w:rPr>
          <w:color w:val="231F20"/>
        </w:rPr>
        <w:t>abrió</w:t>
      </w:r>
      <w:r>
        <w:rPr>
          <w:color w:val="231F20"/>
          <w:spacing w:val="-10"/>
        </w:rPr>
        <w:t> </w:t>
      </w:r>
      <w:r>
        <w:rPr>
          <w:color w:val="231F20"/>
        </w:rPr>
        <w:t>la</w:t>
      </w:r>
      <w:r>
        <w:rPr>
          <w:color w:val="231F20"/>
          <w:spacing w:val="-10"/>
        </w:rPr>
        <w:t> </w:t>
      </w:r>
      <w:r>
        <w:rPr>
          <w:color w:val="231F20"/>
        </w:rPr>
        <w:t>puerta</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venta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tierras</w:t>
      </w:r>
      <w:r>
        <w:rPr>
          <w:color w:val="231F20"/>
          <w:spacing w:val="-11"/>
        </w:rPr>
        <w:t> </w:t>
      </w:r>
      <w:r>
        <w:rPr>
          <w:color w:val="231F20"/>
        </w:rPr>
        <w:t>ejidales</w:t>
      </w:r>
      <w:r>
        <w:rPr>
          <w:color w:val="231F20"/>
          <w:spacing w:val="-10"/>
        </w:rPr>
        <w:t> </w:t>
      </w:r>
      <w:r>
        <w:rPr>
          <w:color w:val="231F20"/>
        </w:rPr>
        <w:t>o</w:t>
      </w:r>
      <w:r>
        <w:rPr>
          <w:color w:val="231F20"/>
          <w:spacing w:val="-10"/>
        </w:rPr>
        <w:t> </w:t>
      </w:r>
      <w:r>
        <w:rPr>
          <w:color w:val="231F20"/>
        </w:rPr>
        <w:t>como</w:t>
      </w:r>
      <w:r>
        <w:rPr>
          <w:color w:val="231F20"/>
          <w:spacing w:val="-10"/>
        </w:rPr>
        <w:t> </w:t>
      </w:r>
      <w:r>
        <w:rPr>
          <w:color w:val="231F20"/>
        </w:rPr>
        <w:t>en el caso del </w:t>
      </w:r>
      <w:r>
        <w:rPr>
          <w:color w:val="231F20"/>
          <w:spacing w:val="-5"/>
        </w:rPr>
        <w:t>Valle </w:t>
      </w:r>
      <w:r>
        <w:rPr>
          <w:color w:val="231F20"/>
        </w:rPr>
        <w:t>de Tangancícuaro a rentar partes significativas de tierras que eran ejidales a las empresas</w:t>
      </w:r>
      <w:r>
        <w:rPr>
          <w:color w:val="231F20"/>
          <w:spacing w:val="-4"/>
        </w:rPr>
        <w:t> </w:t>
      </w:r>
      <w:r>
        <w:rPr>
          <w:color w:val="231F20"/>
        </w:rPr>
        <w:t>agroindustriales.</w:t>
      </w:r>
    </w:p>
    <w:p>
      <w:pPr>
        <w:pStyle w:val="BodyText"/>
        <w:spacing w:line="247" w:lineRule="auto"/>
        <w:ind w:left="117" w:right="116" w:firstLine="283"/>
        <w:jc w:val="both"/>
      </w:pPr>
      <w:r>
        <w:rPr>
          <w:color w:val="231F20"/>
        </w:rPr>
        <w:t>La industrialización de la agricultura se ha acentuado, por lugares, sin por ello suprimir los vestigios del pasado como la propiedad de tipo lati- fundista o la pequeña propiedad. Hoy más que nunca, hay que distinguir entre problemas de la propiedad y problemas de explotación. Somos tes- tigos del surgimiento en distintos lugares de un tipo social nuevo: el gran agricultor capitalista, a veces poseedor de tierra y otras no, que dirige una empresa industrializada y toma en arrendamiento tierras pertenecientes a gran número de pequeños y medianos propietarios que han dejado la agri- cultura (Lefebvre, 1978: 81).</w:t>
      </w:r>
    </w:p>
    <w:p>
      <w:pPr>
        <w:spacing w:after="0" w:line="247" w:lineRule="auto"/>
        <w:jc w:val="both"/>
        <w:sectPr>
          <w:pgSz w:w="9360" w:h="13040"/>
          <w:pgMar w:header="0" w:footer="496" w:top="740" w:bottom="680" w:left="1300" w:right="1300"/>
        </w:sectPr>
      </w:pPr>
    </w:p>
    <w:p>
      <w:pPr>
        <w:tabs>
          <w:tab w:pos="5536" w:val="left" w:leader="none"/>
        </w:tabs>
        <w:spacing w:before="48"/>
        <w:ind w:left="400" w:right="117" w:hanging="295"/>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firstLine="283"/>
        <w:jc w:val="both"/>
      </w:pPr>
      <w:r>
        <w:rPr>
          <w:color w:val="231F20"/>
        </w:rPr>
        <w:t>Lo explicado en el párrafo anterior se puede relacionar con el proceso de abandono del ejido en el </w:t>
      </w:r>
      <w:r>
        <w:rPr>
          <w:color w:val="231F20"/>
          <w:spacing w:val="-5"/>
        </w:rPr>
        <w:t>Valle </w:t>
      </w:r>
      <w:r>
        <w:rPr>
          <w:color w:val="231F20"/>
        </w:rPr>
        <w:t>de Tangancícuaro desde finales de la década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ochenta</w:t>
      </w:r>
      <w:r>
        <w:rPr>
          <w:color w:val="231F20"/>
          <w:spacing w:val="-11"/>
        </w:rPr>
        <w:t> </w:t>
      </w:r>
      <w:r>
        <w:rPr>
          <w:color w:val="231F20"/>
        </w:rPr>
        <w:t>y</w:t>
      </w:r>
      <w:r>
        <w:rPr>
          <w:color w:val="231F20"/>
          <w:spacing w:val="-11"/>
        </w:rPr>
        <w:t> </w:t>
      </w:r>
      <w:r>
        <w:rPr>
          <w:color w:val="231F20"/>
        </w:rPr>
        <w:t>coincide</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entrada</w:t>
      </w:r>
      <w:r>
        <w:rPr>
          <w:color w:val="231F20"/>
          <w:spacing w:val="-11"/>
        </w:rPr>
        <w:t> </w:t>
      </w:r>
      <w:r>
        <w:rPr>
          <w:color w:val="231F20"/>
        </w:rPr>
        <w:t>de</w:t>
      </w:r>
      <w:r>
        <w:rPr>
          <w:color w:val="231F20"/>
          <w:spacing w:val="-11"/>
        </w:rPr>
        <w:t> </w:t>
      </w:r>
      <w:r>
        <w:rPr>
          <w:color w:val="231F20"/>
        </w:rPr>
        <w:t>esas</w:t>
      </w:r>
      <w:r>
        <w:rPr>
          <w:color w:val="231F20"/>
          <w:spacing w:val="-11"/>
        </w:rPr>
        <w:t> </w:t>
      </w:r>
      <w:r>
        <w:rPr>
          <w:color w:val="231F20"/>
        </w:rPr>
        <w:t>empresas</w:t>
      </w:r>
      <w:r>
        <w:rPr>
          <w:color w:val="231F20"/>
          <w:spacing w:val="-11"/>
        </w:rPr>
        <w:t> </w:t>
      </w:r>
      <w:r>
        <w:rPr>
          <w:color w:val="231F20"/>
        </w:rPr>
        <w:t>industria- lizadas,</w:t>
      </w:r>
      <w:r>
        <w:rPr>
          <w:color w:val="231F20"/>
          <w:spacing w:val="-13"/>
        </w:rPr>
        <w:t> </w:t>
      </w:r>
      <w:r>
        <w:rPr>
          <w:color w:val="231F20"/>
        </w:rPr>
        <w:t>que</w:t>
      </w:r>
      <w:r>
        <w:rPr>
          <w:color w:val="231F20"/>
          <w:spacing w:val="-12"/>
        </w:rPr>
        <w:t> </w:t>
      </w:r>
      <w:r>
        <w:rPr>
          <w:color w:val="231F20"/>
        </w:rPr>
        <w:t>toman</w:t>
      </w:r>
      <w:r>
        <w:rPr>
          <w:color w:val="231F20"/>
          <w:spacing w:val="-13"/>
        </w:rPr>
        <w:t> </w:t>
      </w:r>
      <w:r>
        <w:rPr>
          <w:color w:val="231F20"/>
        </w:rPr>
        <w:t>la</w:t>
      </w:r>
      <w:r>
        <w:rPr>
          <w:color w:val="231F20"/>
          <w:spacing w:val="-12"/>
        </w:rPr>
        <w:t> </w:t>
      </w:r>
      <w:r>
        <w:rPr>
          <w:color w:val="231F20"/>
        </w:rPr>
        <w:t>forma</w:t>
      </w:r>
      <w:r>
        <w:rPr>
          <w:color w:val="231F20"/>
          <w:spacing w:val="-12"/>
        </w:rPr>
        <w:t> </w:t>
      </w:r>
      <w:r>
        <w:rPr>
          <w:color w:val="231F20"/>
        </w:rPr>
        <w:t>de</w:t>
      </w:r>
      <w:r>
        <w:rPr>
          <w:color w:val="231F20"/>
          <w:spacing w:val="-12"/>
        </w:rPr>
        <w:t> </w:t>
      </w:r>
      <w:r>
        <w:rPr>
          <w:color w:val="231F20"/>
        </w:rPr>
        <w:t>las</w:t>
      </w:r>
      <w:r>
        <w:rPr>
          <w:color w:val="231F20"/>
          <w:spacing w:val="-13"/>
        </w:rPr>
        <w:t> </w:t>
      </w:r>
      <w:r>
        <w:rPr>
          <w:color w:val="231F20"/>
        </w:rPr>
        <w:t>actuales</w:t>
      </w:r>
      <w:r>
        <w:rPr>
          <w:color w:val="231F20"/>
          <w:spacing w:val="-13"/>
        </w:rPr>
        <w:t> </w:t>
      </w:r>
      <w:r>
        <w:rPr>
          <w:color w:val="231F20"/>
        </w:rPr>
        <w:t>agroindustrias,</w:t>
      </w:r>
      <w:r>
        <w:rPr>
          <w:color w:val="231F20"/>
          <w:spacing w:val="-13"/>
        </w:rPr>
        <w:t> </w:t>
      </w:r>
      <w:r>
        <w:rPr>
          <w:color w:val="231F20"/>
        </w:rPr>
        <w:t>con</w:t>
      </w:r>
      <w:r>
        <w:rPr>
          <w:color w:val="231F20"/>
          <w:spacing w:val="-13"/>
        </w:rPr>
        <w:t> </w:t>
      </w:r>
      <w:r>
        <w:rPr>
          <w:color w:val="231F20"/>
        </w:rPr>
        <w:t>una</w:t>
      </w:r>
      <w:r>
        <w:rPr>
          <w:color w:val="231F20"/>
          <w:spacing w:val="-12"/>
        </w:rPr>
        <w:t> </w:t>
      </w:r>
      <w:r>
        <w:rPr>
          <w:color w:val="231F20"/>
        </w:rPr>
        <w:t>explota- ción intensiva tanto de jornaleros-proletarios como de la misma tierra y</w:t>
      </w:r>
      <w:r>
        <w:rPr>
          <w:color w:val="231F20"/>
          <w:spacing w:val="-34"/>
        </w:rPr>
        <w:t> </w:t>
      </w:r>
      <w:r>
        <w:rPr>
          <w:color w:val="231F20"/>
        </w:rPr>
        <w:t>va en</w:t>
      </w:r>
      <w:r>
        <w:rPr>
          <w:color w:val="231F20"/>
          <w:spacing w:val="-8"/>
        </w:rPr>
        <w:t> </w:t>
      </w:r>
      <w:r>
        <w:rPr>
          <w:color w:val="231F20"/>
        </w:rPr>
        <w:t>aumento</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condiciones</w:t>
      </w:r>
      <w:r>
        <w:rPr>
          <w:color w:val="231F20"/>
          <w:spacing w:val="-8"/>
        </w:rPr>
        <w:t> </w:t>
      </w:r>
      <w:r>
        <w:rPr>
          <w:color w:val="231F20"/>
        </w:rPr>
        <w:t>actuales</w:t>
      </w:r>
      <w:r>
        <w:rPr>
          <w:color w:val="231F20"/>
          <w:spacing w:val="-9"/>
        </w:rPr>
        <w:t> </w:t>
      </w:r>
      <w:r>
        <w:rPr>
          <w:color w:val="231F20"/>
        </w:rPr>
        <w:t>del</w:t>
      </w:r>
      <w:r>
        <w:rPr>
          <w:color w:val="231F20"/>
          <w:spacing w:val="-8"/>
        </w:rPr>
        <w:t> </w:t>
      </w:r>
      <w:r>
        <w:rPr>
          <w:color w:val="231F20"/>
        </w:rPr>
        <w:t>modo</w:t>
      </w:r>
      <w:r>
        <w:rPr>
          <w:color w:val="231F20"/>
          <w:spacing w:val="-8"/>
        </w:rPr>
        <w:t> </w:t>
      </w:r>
      <w:r>
        <w:rPr>
          <w:color w:val="231F20"/>
        </w:rPr>
        <w:t>de</w:t>
      </w:r>
      <w:r>
        <w:rPr>
          <w:color w:val="231F20"/>
          <w:spacing w:val="-8"/>
        </w:rPr>
        <w:t> </w:t>
      </w:r>
      <w:r>
        <w:rPr>
          <w:color w:val="231F20"/>
        </w:rPr>
        <w:t>producción</w:t>
      </w:r>
      <w:r>
        <w:rPr>
          <w:color w:val="231F20"/>
          <w:spacing w:val="-8"/>
        </w:rPr>
        <w:t> </w:t>
      </w:r>
      <w:r>
        <w:rPr>
          <w:color w:val="231F20"/>
        </w:rPr>
        <w:t>capitalista con el modelo</w:t>
      </w:r>
      <w:r>
        <w:rPr>
          <w:color w:val="231F20"/>
          <w:spacing w:val="-2"/>
        </w:rPr>
        <w:t> </w:t>
      </w:r>
      <w:r>
        <w:rPr>
          <w:color w:val="231F20"/>
        </w:rPr>
        <w:t>neoliberal.</w:t>
      </w:r>
    </w:p>
    <w:p>
      <w:pPr>
        <w:pStyle w:val="Heading3"/>
      </w:pPr>
      <w:r>
        <w:rPr>
          <w:color w:val="231F20"/>
        </w:rPr>
        <w:t>El Tratado de Libre Comercio de América del Norte (TLCAN)</w:t>
      </w:r>
    </w:p>
    <w:p>
      <w:pPr>
        <w:pStyle w:val="BodyText"/>
        <w:spacing w:line="247" w:lineRule="auto" w:before="172"/>
        <w:ind w:left="117" w:right="114"/>
        <w:jc w:val="both"/>
      </w:pPr>
      <w:r>
        <w:rPr>
          <w:color w:val="231F20"/>
        </w:rPr>
        <w:t>El 1 enero de 1994 con la entrada en vigor del Tratado de Libre Comer- cio de América del Norte (TLCAN), comenzó una época de competencia desleal, por la libre entrada de productos, como el caso de granos básicos, que</w:t>
      </w:r>
      <w:r>
        <w:rPr>
          <w:color w:val="231F20"/>
          <w:spacing w:val="-5"/>
        </w:rPr>
        <w:t> </w:t>
      </w:r>
      <w:r>
        <w:rPr>
          <w:color w:val="231F20"/>
        </w:rPr>
        <w:t>debilitarían</w:t>
      </w:r>
      <w:r>
        <w:rPr>
          <w:color w:val="231F20"/>
          <w:spacing w:val="-5"/>
        </w:rPr>
        <w:t> </w:t>
      </w:r>
      <w:r>
        <w:rPr>
          <w:color w:val="231F20"/>
        </w:rPr>
        <w:t>seriamente</w:t>
      </w:r>
      <w:r>
        <w:rPr>
          <w:color w:val="231F20"/>
          <w:spacing w:val="-5"/>
        </w:rPr>
        <w:t> </w:t>
      </w:r>
      <w:r>
        <w:rPr>
          <w:color w:val="231F20"/>
        </w:rPr>
        <w:t>el</w:t>
      </w:r>
      <w:r>
        <w:rPr>
          <w:color w:val="231F20"/>
          <w:spacing w:val="-5"/>
        </w:rPr>
        <w:t> </w:t>
      </w:r>
      <w:r>
        <w:rPr>
          <w:color w:val="231F20"/>
        </w:rPr>
        <w:t>agro</w:t>
      </w:r>
      <w:r>
        <w:rPr>
          <w:color w:val="231F20"/>
          <w:spacing w:val="-6"/>
        </w:rPr>
        <w:t> </w:t>
      </w:r>
      <w:r>
        <w:rPr>
          <w:color w:val="231F20"/>
        </w:rPr>
        <w:t>mexicano.</w:t>
      </w:r>
      <w:r>
        <w:rPr>
          <w:color w:val="231F20"/>
          <w:spacing w:val="-14"/>
        </w:rPr>
        <w:t> </w:t>
      </w:r>
      <w:r>
        <w:rPr>
          <w:color w:val="231F20"/>
        </w:rPr>
        <w:t>Y</w:t>
      </w:r>
      <w:r>
        <w:rPr>
          <w:color w:val="231F20"/>
          <w:spacing w:val="-14"/>
        </w:rPr>
        <w:t> </w:t>
      </w:r>
      <w:r>
        <w:rPr>
          <w:color w:val="231F20"/>
        </w:rPr>
        <w:t>como</w:t>
      </w:r>
      <w:r>
        <w:rPr>
          <w:color w:val="231F20"/>
          <w:spacing w:val="-5"/>
        </w:rPr>
        <w:t> </w:t>
      </w:r>
      <w:r>
        <w:rPr>
          <w:color w:val="231F20"/>
        </w:rPr>
        <w:t>menciona</w:t>
      </w:r>
      <w:r>
        <w:rPr>
          <w:color w:val="231F20"/>
          <w:spacing w:val="-18"/>
        </w:rPr>
        <w:t> </w:t>
      </w:r>
      <w:r>
        <w:rPr>
          <w:color w:val="231F20"/>
        </w:rPr>
        <w:t>Aragonés (2005: 21) respecto a los efectos que tuvo en México la entrada en vigor del TLCAN, las “consecuencias para las pequeñas y medianas empresas  y para el sector agrícola han sido devastadoras generándose altas tasas de desempleo”.</w:t>
      </w:r>
    </w:p>
    <w:p>
      <w:pPr>
        <w:pStyle w:val="BodyText"/>
        <w:spacing w:line="247" w:lineRule="auto"/>
        <w:ind w:left="117" w:right="114" w:firstLine="283"/>
        <w:jc w:val="both"/>
      </w:pPr>
      <w:r>
        <w:rPr>
          <w:color w:val="231F20"/>
        </w:rPr>
        <w:t>La reorientación de la política de apoyos a la producción agrícola con- tribuyó a restringir el acceso a los alimentos por parte de los sectores po- pulares. A mediados de los ochenta los 17 principales productos agrope- cuarios para la alimentación tenían un sistema que consistía en apoyos a los precios, medidas de protección frente al comercio exterior basadas en permisos de importación y aranceles, subsidios al consumo y programas sociales, techos a los precios al menudeo y subsidios a los insumos. Para 1995 el maíz y el frijol mantenían apoyos a los precios; ocho productos recibían el PROCAMPO, que incentivaba la sustitución de cultivos tradi- cionales; todos los productos se regían por los convenios del TLCAN y el </w:t>
      </w:r>
      <w:r>
        <w:rPr>
          <w:color w:val="231F20"/>
          <w:spacing w:val="-3"/>
        </w:rPr>
        <w:t>GATT-Organización</w:t>
      </w:r>
      <w:r>
        <w:rPr>
          <w:color w:val="231F20"/>
          <w:spacing w:val="-5"/>
        </w:rPr>
        <w:t> </w:t>
      </w:r>
      <w:r>
        <w:rPr>
          <w:color w:val="231F20"/>
        </w:rPr>
        <w:t>Mundial</w:t>
      </w:r>
      <w:r>
        <w:rPr>
          <w:color w:val="231F20"/>
          <w:spacing w:val="-5"/>
        </w:rPr>
        <w:t> </w:t>
      </w:r>
      <w:r>
        <w:rPr>
          <w:color w:val="231F20"/>
        </w:rPr>
        <w:t>de</w:t>
      </w:r>
      <w:r>
        <w:rPr>
          <w:color w:val="231F20"/>
          <w:spacing w:val="-5"/>
        </w:rPr>
        <w:t> </w:t>
      </w:r>
      <w:r>
        <w:rPr>
          <w:color w:val="231F20"/>
        </w:rPr>
        <w:t>Comercio,</w:t>
      </w:r>
      <w:r>
        <w:rPr>
          <w:color w:val="231F20"/>
          <w:spacing w:val="-5"/>
        </w:rPr>
        <w:t> </w:t>
      </w:r>
      <w:r>
        <w:rPr>
          <w:color w:val="231F20"/>
        </w:rPr>
        <w:t>OMC;</w:t>
      </w:r>
      <w:r>
        <w:rPr>
          <w:color w:val="231F20"/>
          <w:spacing w:val="-5"/>
        </w:rPr>
        <w:t> </w:t>
      </w:r>
      <w:r>
        <w:rPr>
          <w:color w:val="231F20"/>
        </w:rPr>
        <w:t>el</w:t>
      </w:r>
      <w:r>
        <w:rPr>
          <w:color w:val="231F20"/>
          <w:spacing w:val="-5"/>
        </w:rPr>
        <w:t> </w:t>
      </w:r>
      <w:r>
        <w:rPr>
          <w:color w:val="231F20"/>
        </w:rPr>
        <w:t>maíz</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leche</w:t>
      </w:r>
      <w:r>
        <w:rPr>
          <w:color w:val="231F20"/>
          <w:spacing w:val="-5"/>
        </w:rPr>
        <w:t> </w:t>
      </w:r>
      <w:r>
        <w:rPr>
          <w:color w:val="231F20"/>
        </w:rPr>
        <w:t>man- tenían algún programa social y el trigo y el frijol recibían transferencias del gobierno al primer comprador de la producción; sólo el maíz, el trigo, la caña de azúcar y la leche mantenían un techo al precio de menudeo </w:t>
      </w:r>
      <w:r>
        <w:rPr>
          <w:color w:val="231F20"/>
          <w:spacing w:val="-8"/>
        </w:rPr>
        <w:t>y, </w:t>
      </w:r>
      <w:r>
        <w:rPr>
          <w:color w:val="231F20"/>
        </w:rPr>
        <w:t>finalmente,</w:t>
      </w:r>
      <w:r>
        <w:rPr>
          <w:color w:val="231F20"/>
          <w:spacing w:val="-12"/>
        </w:rPr>
        <w:t> </w:t>
      </w:r>
      <w:r>
        <w:rPr>
          <w:color w:val="231F20"/>
        </w:rPr>
        <w:t>los</w:t>
      </w:r>
      <w:r>
        <w:rPr>
          <w:color w:val="231F20"/>
          <w:spacing w:val="-12"/>
        </w:rPr>
        <w:t> </w:t>
      </w:r>
      <w:r>
        <w:rPr>
          <w:color w:val="231F20"/>
        </w:rPr>
        <w:t>subsidios</w:t>
      </w:r>
      <w:r>
        <w:rPr>
          <w:color w:val="231F20"/>
          <w:spacing w:val="-12"/>
        </w:rPr>
        <w:t> </w:t>
      </w:r>
      <w:r>
        <w:rPr>
          <w:color w:val="231F20"/>
        </w:rPr>
        <w:t>para</w:t>
      </w:r>
      <w:r>
        <w:rPr>
          <w:color w:val="231F20"/>
          <w:spacing w:val="-12"/>
        </w:rPr>
        <w:t> </w:t>
      </w:r>
      <w:r>
        <w:rPr>
          <w:color w:val="231F20"/>
        </w:rPr>
        <w:t>ampliar</w:t>
      </w:r>
      <w:r>
        <w:rPr>
          <w:color w:val="231F20"/>
          <w:spacing w:val="-12"/>
        </w:rPr>
        <w:t> </w:t>
      </w:r>
      <w:r>
        <w:rPr>
          <w:color w:val="231F20"/>
        </w:rPr>
        <w:t>la</w:t>
      </w:r>
      <w:r>
        <w:rPr>
          <w:color w:val="231F20"/>
          <w:spacing w:val="-12"/>
        </w:rPr>
        <w:t> </w:t>
      </w:r>
      <w:r>
        <w:rPr>
          <w:color w:val="231F20"/>
        </w:rPr>
        <w:t>base</w:t>
      </w:r>
      <w:r>
        <w:rPr>
          <w:color w:val="231F20"/>
          <w:spacing w:val="-12"/>
        </w:rPr>
        <w:t> </w:t>
      </w:r>
      <w:r>
        <w:rPr>
          <w:color w:val="231F20"/>
        </w:rPr>
        <w:t>productiva</w:t>
      </w:r>
      <w:r>
        <w:rPr>
          <w:color w:val="231F20"/>
          <w:spacing w:val="-12"/>
        </w:rPr>
        <w:t> </w:t>
      </w:r>
      <w:r>
        <w:rPr>
          <w:color w:val="231F20"/>
        </w:rPr>
        <w:t>se</w:t>
      </w:r>
      <w:r>
        <w:rPr>
          <w:color w:val="231F20"/>
          <w:spacing w:val="-12"/>
        </w:rPr>
        <w:t> </w:t>
      </w:r>
      <w:r>
        <w:rPr>
          <w:color w:val="231F20"/>
        </w:rPr>
        <w:t>redujeron</w:t>
      </w:r>
      <w:r>
        <w:rPr>
          <w:color w:val="231F20"/>
          <w:spacing w:val="-12"/>
        </w:rPr>
        <w:t> </w:t>
      </w:r>
      <w:r>
        <w:rPr>
          <w:color w:val="231F20"/>
        </w:rPr>
        <w:t>drás- ticamente, además del efecto en la liberalización del mercado de tierras (CASA, 2001:</w:t>
      </w:r>
      <w:r>
        <w:rPr>
          <w:color w:val="231F20"/>
          <w:spacing w:val="-1"/>
        </w:rPr>
        <w:t> </w:t>
      </w:r>
      <w:r>
        <w:rPr>
          <w:color w:val="231F20"/>
        </w:rPr>
        <w:t>18).</w:t>
      </w:r>
    </w:p>
    <w:p>
      <w:pPr>
        <w:pStyle w:val="BodyText"/>
        <w:spacing w:line="247" w:lineRule="auto"/>
        <w:ind w:left="117" w:right="114" w:firstLine="283"/>
        <w:jc w:val="both"/>
      </w:pPr>
      <w:r>
        <w:rPr>
          <w:color w:val="231F20"/>
        </w:rPr>
        <w:t>En el contexto del retiro del Estado de la gestión productiva se echó a andar una política centrada en la privatización de los organismos estatales orientados al medio rural como la Compañía Nacional de Subsistencias Populares (CONASUPO), con el fin de reducir el gasto público para el campo,</w:t>
      </w:r>
      <w:r>
        <w:rPr>
          <w:color w:val="231F20"/>
          <w:spacing w:val="-5"/>
        </w:rPr>
        <w:t> </w:t>
      </w:r>
      <w:r>
        <w:rPr>
          <w:color w:val="231F20"/>
        </w:rPr>
        <w:t>a</w:t>
      </w:r>
      <w:r>
        <w:rPr>
          <w:color w:val="231F20"/>
          <w:spacing w:val="-4"/>
        </w:rPr>
        <w:t> </w:t>
      </w:r>
      <w:r>
        <w:rPr>
          <w:color w:val="231F20"/>
        </w:rPr>
        <w:t>la</w:t>
      </w:r>
      <w:r>
        <w:rPr>
          <w:color w:val="231F20"/>
          <w:spacing w:val="-4"/>
        </w:rPr>
        <w:t> </w:t>
      </w:r>
      <w:r>
        <w:rPr>
          <w:color w:val="231F20"/>
        </w:rPr>
        <w:t>vez</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impulsó</w:t>
      </w:r>
      <w:r>
        <w:rPr>
          <w:color w:val="231F20"/>
          <w:spacing w:val="-5"/>
        </w:rPr>
        <w:t> </w:t>
      </w:r>
      <w:r>
        <w:rPr>
          <w:color w:val="231F20"/>
        </w:rPr>
        <w:t>una</w:t>
      </w:r>
      <w:r>
        <w:rPr>
          <w:color w:val="231F20"/>
          <w:spacing w:val="-4"/>
        </w:rPr>
        <w:t> </w:t>
      </w:r>
      <w:r>
        <w:rPr>
          <w:color w:val="231F20"/>
        </w:rPr>
        <w:t>política</w:t>
      </w:r>
      <w:r>
        <w:rPr>
          <w:color w:val="231F20"/>
          <w:spacing w:val="-4"/>
        </w:rPr>
        <w:t> </w:t>
      </w:r>
      <w:r>
        <w:rPr>
          <w:color w:val="231F20"/>
        </w:rPr>
        <w:t>centrada</w:t>
      </w:r>
      <w:r>
        <w:rPr>
          <w:color w:val="231F20"/>
          <w:spacing w:val="-5"/>
        </w:rPr>
        <w:t> </w:t>
      </w:r>
      <w:r>
        <w:rPr>
          <w:color w:val="231F20"/>
        </w:rPr>
        <w:t>en</w:t>
      </w:r>
      <w:r>
        <w:rPr>
          <w:color w:val="231F20"/>
          <w:spacing w:val="-4"/>
        </w:rPr>
        <w:t> </w:t>
      </w:r>
      <w:r>
        <w:rPr>
          <w:color w:val="231F20"/>
        </w:rPr>
        <w:t>la</w:t>
      </w:r>
      <w:r>
        <w:rPr>
          <w:color w:val="231F20"/>
          <w:spacing w:val="-4"/>
        </w:rPr>
        <w:t> </w:t>
      </w:r>
      <w:r>
        <w:rPr>
          <w:color w:val="231F20"/>
        </w:rPr>
        <w:t>apertura</w:t>
      </w:r>
      <w:r>
        <w:rPr>
          <w:color w:val="231F20"/>
          <w:spacing w:val="-5"/>
        </w:rPr>
        <w:t> </w:t>
      </w:r>
      <w:r>
        <w:rPr>
          <w:color w:val="231F20"/>
        </w:rPr>
        <w:t>comer-</w:t>
      </w:r>
    </w:p>
    <w:p>
      <w:pPr>
        <w:spacing w:after="0" w:line="247" w:lineRule="auto"/>
        <w:jc w:val="both"/>
        <w:sectPr>
          <w:pgSz w:w="9360" w:h="13040"/>
          <w:pgMar w:header="0" w:footer="496" w:top="800" w:bottom="680" w:left="1300" w:right="1300"/>
        </w:sectPr>
      </w:pPr>
    </w:p>
    <w:p>
      <w:pPr>
        <w:spacing w:before="45"/>
        <w:ind w:left="117" w:right="0" w:firstLine="1321"/>
        <w:jc w:val="left"/>
        <w:rPr>
          <w:rFonts w:ascii="Arial" w:hAnsi="Arial"/>
          <w:sz w:val="20"/>
        </w:rPr>
      </w:pPr>
      <w:r>
        <w:rPr>
          <w:rFonts w:ascii="Arial" w:hAnsi="Arial"/>
          <w:color w:val="231F20"/>
          <w:w w:val="70"/>
          <w:sz w:val="20"/>
        </w:rPr>
        <w:t>Migración y cambio del espacio rural en el noreste michoacano /Iván Jiménez-Maya</w:t>
      </w:r>
    </w:p>
    <w:p>
      <w:pPr>
        <w:pStyle w:val="BodyText"/>
        <w:spacing w:before="7"/>
        <w:rPr>
          <w:rFonts w:ascii="Arial"/>
          <w:sz w:val="28"/>
        </w:rPr>
      </w:pPr>
    </w:p>
    <w:p>
      <w:pPr>
        <w:pStyle w:val="BodyText"/>
        <w:spacing w:line="247" w:lineRule="auto"/>
        <w:ind w:left="117" w:right="115"/>
        <w:jc w:val="both"/>
      </w:pPr>
      <w:r>
        <w:rPr>
          <w:color w:val="231F20"/>
        </w:rPr>
        <w:t>cial (Rubio, 2001: 19). A partir de la desaparición de la CONASUPO en 1998, la comercialización pasó a manos de intermediarios privados, que determinaron el precio arbitrariamente. </w:t>
      </w:r>
      <w:r>
        <w:rPr>
          <w:color w:val="231F20"/>
          <w:spacing w:val="-6"/>
        </w:rPr>
        <w:t>Tal </w:t>
      </w:r>
      <w:r>
        <w:rPr>
          <w:color w:val="231F20"/>
        </w:rPr>
        <w:t>situación obligó a los produc- tores</w:t>
      </w:r>
      <w:r>
        <w:rPr>
          <w:color w:val="231F20"/>
          <w:spacing w:val="-6"/>
        </w:rPr>
        <w:t> </w:t>
      </w:r>
      <w:r>
        <w:rPr>
          <w:color w:val="231F20"/>
        </w:rPr>
        <w:t>a</w:t>
      </w:r>
      <w:r>
        <w:rPr>
          <w:color w:val="231F20"/>
          <w:spacing w:val="-6"/>
        </w:rPr>
        <w:t> </w:t>
      </w:r>
      <w:r>
        <w:rPr>
          <w:color w:val="231F20"/>
        </w:rPr>
        <w:t>buscar</w:t>
      </w:r>
      <w:r>
        <w:rPr>
          <w:color w:val="231F20"/>
          <w:spacing w:val="-6"/>
        </w:rPr>
        <w:t> </w:t>
      </w:r>
      <w:r>
        <w:rPr>
          <w:color w:val="231F20"/>
        </w:rPr>
        <w:t>otras</w:t>
      </w:r>
      <w:r>
        <w:rPr>
          <w:color w:val="231F20"/>
          <w:spacing w:val="-6"/>
        </w:rPr>
        <w:t> </w:t>
      </w:r>
      <w:r>
        <w:rPr>
          <w:color w:val="231F20"/>
        </w:rPr>
        <w:t>fuentes</w:t>
      </w:r>
      <w:r>
        <w:rPr>
          <w:color w:val="231F20"/>
          <w:spacing w:val="-6"/>
        </w:rPr>
        <w:t> </w:t>
      </w:r>
      <w:r>
        <w:rPr>
          <w:color w:val="231F20"/>
        </w:rPr>
        <w:t>de</w:t>
      </w:r>
      <w:r>
        <w:rPr>
          <w:color w:val="231F20"/>
          <w:spacing w:val="-6"/>
        </w:rPr>
        <w:t> </w:t>
      </w:r>
      <w:r>
        <w:rPr>
          <w:color w:val="231F20"/>
        </w:rPr>
        <w:t>ingreso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cuales</w:t>
      </w:r>
      <w:r>
        <w:rPr>
          <w:color w:val="231F20"/>
          <w:spacing w:val="-6"/>
        </w:rPr>
        <w:t> </w:t>
      </w:r>
      <w:r>
        <w:rPr>
          <w:color w:val="231F20"/>
        </w:rPr>
        <w:t>subsistir</w:t>
      </w:r>
      <w:r>
        <w:rPr>
          <w:color w:val="231F20"/>
          <w:spacing w:val="-6"/>
        </w:rPr>
        <w:t> </w:t>
      </w:r>
      <w:r>
        <w:rPr>
          <w:color w:val="231F20"/>
        </w:rPr>
        <w:t>(Rubio,</w:t>
      </w:r>
      <w:r>
        <w:rPr>
          <w:color w:val="231F20"/>
          <w:spacing w:val="-6"/>
        </w:rPr>
        <w:t> </w:t>
      </w:r>
      <w:r>
        <w:rPr>
          <w:color w:val="231F20"/>
        </w:rPr>
        <w:t>2001: 18).</w:t>
      </w:r>
    </w:p>
    <w:p>
      <w:pPr>
        <w:pStyle w:val="BodyText"/>
        <w:spacing w:line="247" w:lineRule="auto"/>
        <w:ind w:left="117" w:right="114" w:firstLine="283"/>
        <w:jc w:val="both"/>
      </w:pPr>
      <w:r>
        <w:rPr>
          <w:color w:val="231F20"/>
        </w:rPr>
        <w:t>Lo anterior se puede ver de manera más clara en los testimonios que dan algunos de los pocos ejidatarios y agricultores que aún siembran la tierra en el </w:t>
      </w:r>
      <w:r>
        <w:rPr>
          <w:color w:val="231F20"/>
          <w:spacing w:val="-5"/>
        </w:rPr>
        <w:t>Valle </w:t>
      </w:r>
      <w:r>
        <w:rPr>
          <w:color w:val="231F20"/>
        </w:rPr>
        <w:t>de Tangancícuaro. Éstos han vivido en carne propia los cambios a partir de la implementación del modelo neoliberal y todos los efectos negativos de la apertura comercial con el TLCAN, la caída de los precios de sus cosechas que está ligada a la libre importación de granos básicos, pero también a la desaparición del control por parte del Estado mexicano en la compra, almacenaje, venta y distribución de los granos básicos con la desaparición de la CONASUPO. </w:t>
      </w:r>
      <w:r>
        <w:rPr>
          <w:color w:val="231F20"/>
          <w:spacing w:val="-3"/>
        </w:rPr>
        <w:t>También </w:t>
      </w:r>
      <w:r>
        <w:rPr>
          <w:color w:val="231F20"/>
        </w:rPr>
        <w:t>desaparecieron los</w:t>
      </w:r>
      <w:r>
        <w:rPr>
          <w:color w:val="231F20"/>
          <w:spacing w:val="-8"/>
        </w:rPr>
        <w:t> </w:t>
      </w:r>
      <w:r>
        <w:rPr>
          <w:color w:val="231F20"/>
        </w:rPr>
        <w:t>precios</w:t>
      </w:r>
      <w:r>
        <w:rPr>
          <w:color w:val="231F20"/>
          <w:spacing w:val="-8"/>
        </w:rPr>
        <w:t> </w:t>
      </w:r>
      <w:r>
        <w:rPr>
          <w:color w:val="231F20"/>
        </w:rPr>
        <w:t>de</w:t>
      </w:r>
      <w:r>
        <w:rPr>
          <w:color w:val="231F20"/>
          <w:spacing w:val="-8"/>
        </w:rPr>
        <w:t> </w:t>
      </w:r>
      <w:r>
        <w:rPr>
          <w:color w:val="231F20"/>
        </w:rPr>
        <w:t>garantía</w:t>
      </w:r>
      <w:r>
        <w:rPr>
          <w:color w:val="231F20"/>
          <w:spacing w:val="-8"/>
        </w:rPr>
        <w:t> </w:t>
      </w:r>
      <w:r>
        <w:rPr>
          <w:color w:val="231F20"/>
        </w:rPr>
        <w:t>con</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les</w:t>
      </w:r>
      <w:r>
        <w:rPr>
          <w:color w:val="231F20"/>
          <w:spacing w:val="-8"/>
        </w:rPr>
        <w:t> </w:t>
      </w:r>
      <w:r>
        <w:rPr>
          <w:color w:val="231F20"/>
        </w:rPr>
        <w:t>compraban</w:t>
      </w:r>
      <w:r>
        <w:rPr>
          <w:color w:val="231F20"/>
          <w:spacing w:val="-8"/>
        </w:rPr>
        <w:t> </w:t>
      </w:r>
      <w:r>
        <w:rPr>
          <w:color w:val="231F20"/>
        </w:rPr>
        <w:t>los</w:t>
      </w:r>
      <w:r>
        <w:rPr>
          <w:color w:val="231F20"/>
          <w:spacing w:val="-8"/>
        </w:rPr>
        <w:t> </w:t>
      </w:r>
      <w:r>
        <w:rPr>
          <w:color w:val="231F20"/>
        </w:rPr>
        <w:t>granos</w:t>
      </w:r>
      <w:r>
        <w:rPr>
          <w:color w:val="231F20"/>
          <w:spacing w:val="-8"/>
        </w:rPr>
        <w:t> </w:t>
      </w:r>
      <w:r>
        <w:rPr>
          <w:color w:val="231F20"/>
        </w:rPr>
        <w:t>básicos</w:t>
      </w:r>
      <w:r>
        <w:rPr>
          <w:color w:val="231F20"/>
          <w:spacing w:val="-8"/>
        </w:rPr>
        <w:t> </w:t>
      </w:r>
      <w:r>
        <w:rPr>
          <w:color w:val="231F20"/>
        </w:rPr>
        <w:t>y</w:t>
      </w:r>
      <w:r>
        <w:rPr>
          <w:color w:val="231F20"/>
          <w:spacing w:val="-8"/>
        </w:rPr>
        <w:t> </w:t>
      </w:r>
      <w:r>
        <w:rPr>
          <w:color w:val="231F20"/>
        </w:rPr>
        <w:t>otros productos agrícolas. Muy mal resultó la liberación de todo el circuito de venta-compra-distribución de granos básicos, más para pequeños agricul- tores-productores como los del </w:t>
      </w:r>
      <w:r>
        <w:rPr>
          <w:color w:val="231F20"/>
          <w:spacing w:val="-5"/>
        </w:rPr>
        <w:t>Valle </w:t>
      </w:r>
      <w:r>
        <w:rPr>
          <w:color w:val="231F20"/>
        </w:rPr>
        <w:t>de</w:t>
      </w:r>
      <w:r>
        <w:rPr>
          <w:color w:val="231F20"/>
          <w:spacing w:val="-26"/>
        </w:rPr>
        <w:t> </w:t>
      </w:r>
      <w:r>
        <w:rPr>
          <w:color w:val="231F20"/>
        </w:rPr>
        <w:t>Tangancícuaro.</w:t>
      </w:r>
    </w:p>
    <w:p>
      <w:pPr>
        <w:pStyle w:val="BodyText"/>
        <w:spacing w:line="247" w:lineRule="auto"/>
        <w:ind w:left="117" w:right="115" w:firstLine="283"/>
        <w:jc w:val="both"/>
      </w:pPr>
      <w:r>
        <w:rPr>
          <w:color w:val="231F20"/>
        </w:rPr>
        <w:t>El testimonio de Juan José, viejo ejidatario de la comunidad de J. Mú- gica</w:t>
      </w:r>
      <w:r>
        <w:rPr>
          <w:color w:val="231F20"/>
          <w:spacing w:val="-7"/>
        </w:rPr>
        <w:t> </w:t>
      </w:r>
      <w:r>
        <w:rPr>
          <w:color w:val="231F20"/>
        </w:rPr>
        <w:t>nos</w:t>
      </w:r>
      <w:r>
        <w:rPr>
          <w:color w:val="231F20"/>
          <w:spacing w:val="-7"/>
        </w:rPr>
        <w:t> </w:t>
      </w:r>
      <w:r>
        <w:rPr>
          <w:color w:val="231F20"/>
        </w:rPr>
        <w:t>ilustra</w:t>
      </w:r>
      <w:r>
        <w:rPr>
          <w:color w:val="231F20"/>
          <w:spacing w:val="-8"/>
        </w:rPr>
        <w:t> </w:t>
      </w:r>
      <w:r>
        <w:rPr>
          <w:color w:val="231F20"/>
        </w:rPr>
        <w:t>sobre</w:t>
      </w:r>
      <w:r>
        <w:rPr>
          <w:color w:val="231F20"/>
          <w:spacing w:val="-7"/>
        </w:rPr>
        <w:t> </w:t>
      </w:r>
      <w:r>
        <w:rPr>
          <w:color w:val="231F20"/>
        </w:rPr>
        <w:t>los</w:t>
      </w:r>
      <w:r>
        <w:rPr>
          <w:color w:val="231F20"/>
          <w:spacing w:val="-7"/>
        </w:rPr>
        <w:t> </w:t>
      </w:r>
      <w:r>
        <w:rPr>
          <w:color w:val="231F20"/>
        </w:rPr>
        <w:t>cambios</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políticas</w:t>
      </w:r>
      <w:r>
        <w:rPr>
          <w:color w:val="231F20"/>
          <w:spacing w:val="-7"/>
        </w:rPr>
        <w:t> </w:t>
      </w:r>
      <w:r>
        <w:rPr>
          <w:color w:val="231F20"/>
        </w:rPr>
        <w:t>dirigidas</w:t>
      </w:r>
      <w:r>
        <w:rPr>
          <w:color w:val="231F20"/>
          <w:spacing w:val="-7"/>
        </w:rPr>
        <w:t> </w:t>
      </w:r>
      <w:r>
        <w:rPr>
          <w:color w:val="231F20"/>
        </w:rPr>
        <w:t>al</w:t>
      </w:r>
      <w:r>
        <w:rPr>
          <w:color w:val="231F20"/>
          <w:spacing w:val="-7"/>
        </w:rPr>
        <w:t> </w:t>
      </w:r>
      <w:r>
        <w:rPr>
          <w:color w:val="231F20"/>
        </w:rPr>
        <w:t>campo</w:t>
      </w:r>
      <w:r>
        <w:rPr>
          <w:color w:val="231F20"/>
          <w:spacing w:val="-7"/>
        </w:rPr>
        <w:t> </w:t>
      </w:r>
      <w:r>
        <w:rPr>
          <w:color w:val="231F20"/>
        </w:rPr>
        <w:t>con</w:t>
      </w:r>
      <w:r>
        <w:rPr>
          <w:color w:val="231F20"/>
          <w:spacing w:val="-7"/>
        </w:rPr>
        <w:t> </w:t>
      </w:r>
      <w:r>
        <w:rPr>
          <w:color w:val="231F20"/>
        </w:rPr>
        <w:t>la desaparición de CONASUPO y los precios de garantía:</w:t>
      </w:r>
    </w:p>
    <w:p>
      <w:pPr>
        <w:spacing w:line="249" w:lineRule="auto" w:before="168"/>
        <w:ind w:left="400" w:right="114" w:firstLine="0"/>
        <w:jc w:val="both"/>
        <w:rPr>
          <w:sz w:val="20"/>
        </w:rPr>
      </w:pPr>
      <w:r>
        <w:rPr>
          <w:sz w:val="20"/>
        </w:rPr>
        <w:t>…nosotros el mercado que teníamos para las lentejas, era en Ecuandureo y llegábamos Zacapú, yo varias ocasiones llevé varias cargas de aquí para allá, 10-15 toneladas a Ecuandureo y cuando sí ya se hubo libre comercio, bajó    el precio completamente y hubo dos temporadas en que estuvo regalada, nos pagaban desgraciadamente uno cincuenta el kilo, ya no sacábamos ni para el corte y por eso dejábamos tierras abandonadas [en] los ejidos, cuando ya vol- vieron a levantarse los precios, no fue mucho, el año pasado, digo, porque yo lo hice, pagaron a tres pesos kilo y estaba bajo y a pesar de ello nos confor- mamos porque no la querían y como ya quiera tres pesos kilo, dije bueno que por</w:t>
      </w:r>
      <w:r>
        <w:rPr>
          <w:spacing w:val="-5"/>
          <w:sz w:val="20"/>
        </w:rPr>
        <w:t> </w:t>
      </w:r>
      <w:r>
        <w:rPr>
          <w:sz w:val="20"/>
        </w:rPr>
        <w:t>lo</w:t>
      </w:r>
      <w:r>
        <w:rPr>
          <w:spacing w:val="-6"/>
          <w:sz w:val="20"/>
        </w:rPr>
        <w:t> </w:t>
      </w:r>
      <w:r>
        <w:rPr>
          <w:sz w:val="20"/>
        </w:rPr>
        <w:t>menos</w:t>
      </w:r>
      <w:r>
        <w:rPr>
          <w:spacing w:val="-6"/>
          <w:sz w:val="20"/>
        </w:rPr>
        <w:t> </w:t>
      </w:r>
      <w:r>
        <w:rPr>
          <w:sz w:val="20"/>
        </w:rPr>
        <w:t>salgan</w:t>
      </w:r>
      <w:r>
        <w:rPr>
          <w:spacing w:val="-5"/>
          <w:sz w:val="20"/>
        </w:rPr>
        <w:t> </w:t>
      </w:r>
      <w:r>
        <w:rPr>
          <w:sz w:val="20"/>
        </w:rPr>
        <w:t>los</w:t>
      </w:r>
      <w:r>
        <w:rPr>
          <w:spacing w:val="-6"/>
          <w:sz w:val="20"/>
        </w:rPr>
        <w:t> </w:t>
      </w:r>
      <w:r>
        <w:rPr>
          <w:sz w:val="20"/>
        </w:rPr>
        <w:t>gastos</w:t>
      </w:r>
      <w:r>
        <w:rPr>
          <w:spacing w:val="-5"/>
          <w:sz w:val="20"/>
        </w:rPr>
        <w:t> </w:t>
      </w:r>
      <w:r>
        <w:rPr>
          <w:sz w:val="20"/>
        </w:rPr>
        <w:t>que</w:t>
      </w:r>
      <w:r>
        <w:rPr>
          <w:spacing w:val="-5"/>
          <w:sz w:val="20"/>
        </w:rPr>
        <w:t> </w:t>
      </w:r>
      <w:r>
        <w:rPr>
          <w:sz w:val="20"/>
        </w:rPr>
        <w:t>invierte</w:t>
      </w:r>
      <w:r>
        <w:rPr>
          <w:spacing w:val="-6"/>
          <w:sz w:val="20"/>
        </w:rPr>
        <w:t> </w:t>
      </w:r>
      <w:r>
        <w:rPr>
          <w:sz w:val="20"/>
        </w:rPr>
        <w:t>uno,</w:t>
      </w:r>
      <w:r>
        <w:rPr>
          <w:spacing w:val="-5"/>
          <w:sz w:val="20"/>
        </w:rPr>
        <w:t> </w:t>
      </w:r>
      <w:r>
        <w:rPr>
          <w:sz w:val="20"/>
        </w:rPr>
        <w:t>de</w:t>
      </w:r>
      <w:r>
        <w:rPr>
          <w:spacing w:val="-5"/>
          <w:sz w:val="20"/>
        </w:rPr>
        <w:t> </w:t>
      </w:r>
      <w:r>
        <w:rPr>
          <w:sz w:val="20"/>
        </w:rPr>
        <w:t>momento…</w:t>
      </w:r>
      <w:r>
        <w:rPr>
          <w:spacing w:val="-6"/>
          <w:sz w:val="20"/>
        </w:rPr>
        <w:t> </w:t>
      </w:r>
      <w:r>
        <w:rPr>
          <w:sz w:val="20"/>
        </w:rPr>
        <w:t>esa</w:t>
      </w:r>
      <w:r>
        <w:rPr>
          <w:spacing w:val="-6"/>
          <w:sz w:val="20"/>
        </w:rPr>
        <w:t> </w:t>
      </w:r>
      <w:r>
        <w:rPr>
          <w:sz w:val="20"/>
        </w:rPr>
        <w:t>es</w:t>
      </w:r>
      <w:r>
        <w:rPr>
          <w:spacing w:val="-6"/>
          <w:sz w:val="20"/>
        </w:rPr>
        <w:t> </w:t>
      </w:r>
      <w:r>
        <w:rPr>
          <w:sz w:val="20"/>
        </w:rPr>
        <w:t>la</w:t>
      </w:r>
      <w:r>
        <w:rPr>
          <w:spacing w:val="-6"/>
          <w:sz w:val="20"/>
        </w:rPr>
        <w:t> </w:t>
      </w:r>
      <w:r>
        <w:rPr>
          <w:sz w:val="20"/>
        </w:rPr>
        <w:t>razón porque mucha gente nos desanimamos, porque en el grano no hay precio, si hubiera precio no hubiera pedazo de terreno que no se cultivara, porque sim- plemente en el maíz, yo no soy de los que cultivaba mucho, no para qué voy  a andar de mentiroso, no, cultivaba el maíz, de 12 a 14 hectáreas de tierra, y todo el producto me tocó venderlo a CONASUPO… y me compraban a cinco pesos el kilo y ya salía pesado verdad, ya sacaba mis saquitos y entonces sí le echábamos</w:t>
      </w:r>
      <w:r>
        <w:rPr>
          <w:spacing w:val="-9"/>
          <w:sz w:val="20"/>
        </w:rPr>
        <w:t> </w:t>
      </w:r>
      <w:r>
        <w:rPr>
          <w:sz w:val="20"/>
        </w:rPr>
        <w:t>ganas,</w:t>
      </w:r>
      <w:r>
        <w:rPr>
          <w:spacing w:val="-8"/>
          <w:sz w:val="20"/>
        </w:rPr>
        <w:t> </w:t>
      </w:r>
      <w:r>
        <w:rPr>
          <w:sz w:val="20"/>
        </w:rPr>
        <w:t>pero</w:t>
      </w:r>
      <w:r>
        <w:rPr>
          <w:spacing w:val="-9"/>
          <w:sz w:val="20"/>
        </w:rPr>
        <w:t> </w:t>
      </w:r>
      <w:r>
        <w:rPr>
          <w:sz w:val="20"/>
        </w:rPr>
        <w:t>ya</w:t>
      </w:r>
      <w:r>
        <w:rPr>
          <w:spacing w:val="-8"/>
          <w:sz w:val="20"/>
        </w:rPr>
        <w:t> </w:t>
      </w:r>
      <w:r>
        <w:rPr>
          <w:sz w:val="20"/>
        </w:rPr>
        <w:t>cuando</w:t>
      </w:r>
      <w:r>
        <w:rPr>
          <w:spacing w:val="-9"/>
          <w:sz w:val="20"/>
        </w:rPr>
        <w:t> </w:t>
      </w:r>
      <w:r>
        <w:rPr>
          <w:sz w:val="20"/>
        </w:rPr>
        <w:t>se</w:t>
      </w:r>
      <w:r>
        <w:rPr>
          <w:spacing w:val="-8"/>
          <w:sz w:val="20"/>
        </w:rPr>
        <w:t> </w:t>
      </w:r>
      <w:r>
        <w:rPr>
          <w:sz w:val="20"/>
        </w:rPr>
        <w:t>lo</w:t>
      </w:r>
      <w:r>
        <w:rPr>
          <w:spacing w:val="-9"/>
          <w:sz w:val="20"/>
        </w:rPr>
        <w:t> </w:t>
      </w:r>
      <w:r>
        <w:rPr>
          <w:sz w:val="20"/>
        </w:rPr>
        <w:t>bajó</w:t>
      </w:r>
      <w:r>
        <w:rPr>
          <w:spacing w:val="-9"/>
          <w:sz w:val="20"/>
        </w:rPr>
        <w:t> </w:t>
      </w:r>
      <w:r>
        <w:rPr>
          <w:sz w:val="20"/>
        </w:rPr>
        <w:t>a</w:t>
      </w:r>
      <w:r>
        <w:rPr>
          <w:spacing w:val="-9"/>
          <w:sz w:val="20"/>
        </w:rPr>
        <w:t> </w:t>
      </w:r>
      <w:r>
        <w:rPr>
          <w:sz w:val="20"/>
        </w:rPr>
        <w:t>peso</w:t>
      </w:r>
      <w:r>
        <w:rPr>
          <w:spacing w:val="-8"/>
          <w:sz w:val="20"/>
        </w:rPr>
        <w:t> </w:t>
      </w:r>
      <w:r>
        <w:rPr>
          <w:sz w:val="20"/>
        </w:rPr>
        <w:t>el</w:t>
      </w:r>
      <w:r>
        <w:rPr>
          <w:spacing w:val="-9"/>
          <w:sz w:val="20"/>
        </w:rPr>
        <w:t> </w:t>
      </w:r>
      <w:r>
        <w:rPr>
          <w:sz w:val="20"/>
        </w:rPr>
        <w:t>kilo,</w:t>
      </w:r>
      <w:r>
        <w:rPr>
          <w:spacing w:val="-9"/>
          <w:sz w:val="20"/>
        </w:rPr>
        <w:t> </w:t>
      </w:r>
      <w:r>
        <w:rPr>
          <w:sz w:val="20"/>
        </w:rPr>
        <w:t>ya</w:t>
      </w:r>
      <w:r>
        <w:rPr>
          <w:spacing w:val="-8"/>
          <w:sz w:val="20"/>
        </w:rPr>
        <w:t> </w:t>
      </w:r>
      <w:r>
        <w:rPr>
          <w:sz w:val="20"/>
        </w:rPr>
        <w:t>nada,</w:t>
      </w:r>
      <w:r>
        <w:rPr>
          <w:spacing w:val="-9"/>
          <w:sz w:val="20"/>
        </w:rPr>
        <w:t> </w:t>
      </w:r>
      <w:r>
        <w:rPr>
          <w:sz w:val="20"/>
        </w:rPr>
        <w:t>para</w:t>
      </w:r>
      <w:r>
        <w:rPr>
          <w:spacing w:val="-9"/>
          <w:sz w:val="20"/>
        </w:rPr>
        <w:t> </w:t>
      </w:r>
      <w:r>
        <w:rPr>
          <w:sz w:val="20"/>
        </w:rPr>
        <w:t>qué… (Juan José, ejidatario y agricultor, 77 años, Francisco J. Múgica,</w:t>
      </w:r>
      <w:r>
        <w:rPr>
          <w:spacing w:val="-30"/>
          <w:sz w:val="20"/>
        </w:rPr>
        <w:t> </w:t>
      </w:r>
      <w:r>
        <w:rPr>
          <w:sz w:val="20"/>
        </w:rPr>
        <w:t>2008).</w:t>
      </w:r>
    </w:p>
    <w:p>
      <w:pPr>
        <w:spacing w:after="0" w:line="249" w:lineRule="auto"/>
        <w:jc w:val="both"/>
        <w:rPr>
          <w:sz w:val="20"/>
        </w:rPr>
        <w:sectPr>
          <w:pgSz w:w="9360" w:h="13040"/>
          <w:pgMar w:header="0" w:footer="496" w:top="740" w:bottom="680" w:left="1300" w:right="1300"/>
        </w:sectPr>
      </w:pPr>
    </w:p>
    <w:p>
      <w:pPr>
        <w:tabs>
          <w:tab w:pos="5536" w:val="left" w:leader="none"/>
        </w:tabs>
        <w:spacing w:before="48"/>
        <w:ind w:left="400" w:right="117" w:hanging="295"/>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firstLine="283"/>
        <w:jc w:val="both"/>
      </w:pPr>
      <w:r>
        <w:rPr>
          <w:color w:val="231F20"/>
        </w:rPr>
        <w:t>El TLCAN implicaba, en cuanto al mercado interno de granos básicos, los</w:t>
      </w:r>
      <w:r>
        <w:rPr>
          <w:color w:val="231F20"/>
          <w:spacing w:val="-8"/>
        </w:rPr>
        <w:t> </w:t>
      </w:r>
      <w:r>
        <w:rPr>
          <w:color w:val="231F20"/>
        </w:rPr>
        <w:t>siguientes</w:t>
      </w:r>
      <w:r>
        <w:rPr>
          <w:color w:val="231F20"/>
          <w:spacing w:val="-8"/>
        </w:rPr>
        <w:t> </w:t>
      </w:r>
      <w:r>
        <w:rPr>
          <w:color w:val="231F20"/>
        </w:rPr>
        <w:t>aspectos,</w:t>
      </w:r>
      <w:r>
        <w:rPr>
          <w:color w:val="231F20"/>
          <w:spacing w:val="-8"/>
        </w:rPr>
        <w:t> </w:t>
      </w:r>
      <w:r>
        <w:rPr>
          <w:color w:val="231F20"/>
        </w:rPr>
        <w:t>entre</w:t>
      </w:r>
      <w:r>
        <w:rPr>
          <w:color w:val="231F20"/>
          <w:spacing w:val="-8"/>
        </w:rPr>
        <w:t> </w:t>
      </w:r>
      <w:r>
        <w:rPr>
          <w:color w:val="231F20"/>
        </w:rPr>
        <w:t>otros:</w:t>
      </w:r>
      <w:r>
        <w:rPr>
          <w:color w:val="231F20"/>
          <w:spacing w:val="-8"/>
        </w:rPr>
        <w:t> </w:t>
      </w:r>
      <w:r>
        <w:rPr>
          <w:color w:val="231F20"/>
        </w:rPr>
        <w:t>eliminación</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precios</w:t>
      </w:r>
      <w:r>
        <w:rPr>
          <w:color w:val="231F20"/>
          <w:spacing w:val="-8"/>
        </w:rPr>
        <w:t> </w:t>
      </w:r>
      <w:r>
        <w:rPr>
          <w:color w:val="231F20"/>
        </w:rPr>
        <w:t>de</w:t>
      </w:r>
      <w:r>
        <w:rPr>
          <w:color w:val="231F20"/>
          <w:spacing w:val="-8"/>
        </w:rPr>
        <w:t> </w:t>
      </w:r>
      <w:r>
        <w:rPr>
          <w:color w:val="231F20"/>
        </w:rPr>
        <w:t>concerta- ción y de garantía, precios de mercado alineados a los precios internacio- nales, privatización del mercado agrícola, y desmantelamiento del aparato estatal de regulación, comercialización y abasto (Peñaloza, 1997:</w:t>
      </w:r>
      <w:r>
        <w:rPr>
          <w:color w:val="231F20"/>
          <w:spacing w:val="1"/>
        </w:rPr>
        <w:t> </w:t>
      </w:r>
      <w:r>
        <w:rPr>
          <w:color w:val="231F20"/>
        </w:rPr>
        <w:t>97).</w:t>
      </w:r>
    </w:p>
    <w:p>
      <w:pPr>
        <w:pStyle w:val="BodyText"/>
        <w:spacing w:line="247" w:lineRule="auto"/>
        <w:ind w:left="117" w:right="114" w:firstLine="283"/>
        <w:jc w:val="both"/>
      </w:pPr>
      <w:r>
        <w:rPr>
          <w:color w:val="231F20"/>
        </w:rPr>
        <w:t>En cuanto a lo que pasaba en el </w:t>
      </w:r>
      <w:r>
        <w:rPr>
          <w:color w:val="231F20"/>
          <w:spacing w:val="-5"/>
        </w:rPr>
        <w:t>Valle </w:t>
      </w:r>
      <w:r>
        <w:rPr>
          <w:color w:val="231F20"/>
        </w:rPr>
        <w:t>de Tangancícuaro a raíz de los cambios que se dieron en distintos ámbitos de la vida nacional, a partir de la implantación del modelo neoliberal, el Tratado de Libre Comercio de América del Norte (TLCAN), cambios constitucionales como el artículo 27</w:t>
      </w:r>
      <w:r>
        <w:rPr>
          <w:color w:val="231F20"/>
          <w:spacing w:val="-12"/>
        </w:rPr>
        <w:t> </w:t>
      </w:r>
      <w:r>
        <w:rPr>
          <w:color w:val="231F20"/>
        </w:rPr>
        <w:t>constitucional</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llevó</w:t>
      </w:r>
      <w:r>
        <w:rPr>
          <w:color w:val="231F20"/>
          <w:spacing w:val="-12"/>
        </w:rPr>
        <w:t> </w:t>
      </w:r>
      <w:r>
        <w:rPr>
          <w:color w:val="231F20"/>
        </w:rPr>
        <w:t>a</w:t>
      </w:r>
      <w:r>
        <w:rPr>
          <w:color w:val="231F20"/>
          <w:spacing w:val="-12"/>
        </w:rPr>
        <w:t> </w:t>
      </w:r>
      <w:r>
        <w:rPr>
          <w:color w:val="231F20"/>
        </w:rPr>
        <w:t>cabo</w:t>
      </w:r>
      <w:r>
        <w:rPr>
          <w:color w:val="231F20"/>
          <w:spacing w:val="-12"/>
        </w:rPr>
        <w:t> </w:t>
      </w:r>
      <w:r>
        <w:rPr>
          <w:color w:val="231F20"/>
        </w:rPr>
        <w:t>en</w:t>
      </w:r>
      <w:r>
        <w:rPr>
          <w:color w:val="231F20"/>
          <w:spacing w:val="-12"/>
        </w:rPr>
        <w:t> </w:t>
      </w:r>
      <w:r>
        <w:rPr>
          <w:color w:val="231F20"/>
        </w:rPr>
        <w:t>función</w:t>
      </w:r>
      <w:r>
        <w:rPr>
          <w:color w:val="231F20"/>
          <w:spacing w:val="-12"/>
        </w:rPr>
        <w:t> </w:t>
      </w:r>
      <w:r>
        <w:rPr>
          <w:color w:val="231F20"/>
        </w:rPr>
        <w:t>del</w:t>
      </w:r>
      <w:r>
        <w:rPr>
          <w:color w:val="231F20"/>
          <w:spacing w:val="-12"/>
        </w:rPr>
        <w:t> </w:t>
      </w:r>
      <w:r>
        <w:rPr>
          <w:color w:val="231F20"/>
        </w:rPr>
        <w:t>modelo</w:t>
      </w:r>
      <w:r>
        <w:rPr>
          <w:color w:val="231F20"/>
          <w:spacing w:val="-12"/>
        </w:rPr>
        <w:t> </w:t>
      </w:r>
      <w:r>
        <w:rPr>
          <w:color w:val="231F20"/>
        </w:rPr>
        <w:t>neoliberal</w:t>
      </w:r>
      <w:r>
        <w:rPr>
          <w:color w:val="231F20"/>
          <w:spacing w:val="-12"/>
        </w:rPr>
        <w:t> </w:t>
      </w:r>
      <w:r>
        <w:rPr>
          <w:color w:val="231F20"/>
        </w:rPr>
        <w:t>y</w:t>
      </w:r>
      <w:r>
        <w:rPr>
          <w:color w:val="231F20"/>
          <w:spacing w:val="-12"/>
        </w:rPr>
        <w:t> </w:t>
      </w:r>
      <w:r>
        <w:rPr>
          <w:color w:val="231F20"/>
        </w:rPr>
        <w:t>el TLCAN) y que se reflejaron a una escala local, un ejidatario de una de las comunidades del </w:t>
      </w:r>
      <w:r>
        <w:rPr>
          <w:color w:val="231F20"/>
          <w:spacing w:val="-5"/>
        </w:rPr>
        <w:t>Valle </w:t>
      </w:r>
      <w:r>
        <w:rPr>
          <w:color w:val="231F20"/>
        </w:rPr>
        <w:t>de Tangancícuaro explica las</w:t>
      </w:r>
      <w:r>
        <w:rPr>
          <w:color w:val="231F20"/>
          <w:spacing w:val="-20"/>
        </w:rPr>
        <w:t> </w:t>
      </w:r>
      <w:r>
        <w:rPr>
          <w:color w:val="231F20"/>
        </w:rPr>
        <w:t>afectaciones:</w:t>
      </w:r>
    </w:p>
    <w:p>
      <w:pPr>
        <w:spacing w:line="249" w:lineRule="auto" w:before="168"/>
        <w:ind w:left="400" w:right="114" w:firstLine="0"/>
        <w:jc w:val="both"/>
        <w:rPr>
          <w:sz w:val="20"/>
        </w:rPr>
      </w:pPr>
      <w:r>
        <w:rPr>
          <w:sz w:val="20"/>
        </w:rPr>
        <w:t>El</w:t>
      </w:r>
      <w:r>
        <w:rPr>
          <w:spacing w:val="-15"/>
          <w:sz w:val="20"/>
        </w:rPr>
        <w:t> </w:t>
      </w:r>
      <w:r>
        <w:rPr>
          <w:sz w:val="20"/>
        </w:rPr>
        <w:t>TLC</w:t>
      </w:r>
      <w:r>
        <w:rPr>
          <w:spacing w:val="-11"/>
          <w:sz w:val="20"/>
        </w:rPr>
        <w:t> </w:t>
      </w:r>
      <w:r>
        <w:rPr>
          <w:sz w:val="20"/>
        </w:rPr>
        <w:t>sí</w:t>
      </w:r>
      <w:r>
        <w:rPr>
          <w:spacing w:val="-11"/>
          <w:sz w:val="20"/>
        </w:rPr>
        <w:t> </w:t>
      </w:r>
      <w:r>
        <w:rPr>
          <w:sz w:val="20"/>
        </w:rPr>
        <w:t>afectó</w:t>
      </w:r>
      <w:r>
        <w:rPr>
          <w:spacing w:val="-11"/>
          <w:sz w:val="20"/>
        </w:rPr>
        <w:t> </w:t>
      </w:r>
      <w:r>
        <w:rPr>
          <w:sz w:val="20"/>
        </w:rPr>
        <w:t>mucho</w:t>
      </w:r>
      <w:r>
        <w:rPr>
          <w:spacing w:val="-11"/>
          <w:sz w:val="20"/>
        </w:rPr>
        <w:t> </w:t>
      </w:r>
      <w:r>
        <w:rPr>
          <w:sz w:val="20"/>
        </w:rPr>
        <w:t>a</w:t>
      </w:r>
      <w:r>
        <w:rPr>
          <w:spacing w:val="-11"/>
          <w:sz w:val="20"/>
        </w:rPr>
        <w:t> </w:t>
      </w:r>
      <w:r>
        <w:rPr>
          <w:sz w:val="20"/>
        </w:rPr>
        <w:t>los</w:t>
      </w:r>
      <w:r>
        <w:rPr>
          <w:spacing w:val="-11"/>
          <w:sz w:val="20"/>
        </w:rPr>
        <w:t> </w:t>
      </w:r>
      <w:r>
        <w:rPr>
          <w:sz w:val="20"/>
        </w:rPr>
        <w:t>agricultores,</w:t>
      </w:r>
      <w:r>
        <w:rPr>
          <w:spacing w:val="-12"/>
          <w:sz w:val="20"/>
        </w:rPr>
        <w:t> </w:t>
      </w:r>
      <w:r>
        <w:rPr>
          <w:sz w:val="20"/>
        </w:rPr>
        <w:t>por</w:t>
      </w:r>
      <w:r>
        <w:rPr>
          <w:spacing w:val="-11"/>
          <w:sz w:val="20"/>
        </w:rPr>
        <w:t> </w:t>
      </w:r>
      <w:r>
        <w:rPr>
          <w:sz w:val="20"/>
        </w:rPr>
        <w:t>la</w:t>
      </w:r>
      <w:r>
        <w:rPr>
          <w:spacing w:val="-11"/>
          <w:sz w:val="20"/>
        </w:rPr>
        <w:t> </w:t>
      </w:r>
      <w:r>
        <w:rPr>
          <w:sz w:val="20"/>
        </w:rPr>
        <w:t>razón</w:t>
      </w:r>
      <w:r>
        <w:rPr>
          <w:spacing w:val="-11"/>
          <w:sz w:val="20"/>
        </w:rPr>
        <w:t> </w:t>
      </w:r>
      <w:r>
        <w:rPr>
          <w:sz w:val="20"/>
        </w:rPr>
        <w:t>de</w:t>
      </w:r>
      <w:r>
        <w:rPr>
          <w:spacing w:val="-11"/>
          <w:sz w:val="20"/>
        </w:rPr>
        <w:t> </w:t>
      </w:r>
      <w:r>
        <w:rPr>
          <w:sz w:val="20"/>
        </w:rPr>
        <w:t>que</w:t>
      </w:r>
      <w:r>
        <w:rPr>
          <w:spacing w:val="-11"/>
          <w:sz w:val="20"/>
        </w:rPr>
        <w:t> </w:t>
      </w:r>
      <w:r>
        <w:rPr>
          <w:sz w:val="20"/>
        </w:rPr>
        <w:t>se</w:t>
      </w:r>
      <w:r>
        <w:rPr>
          <w:spacing w:val="-11"/>
          <w:sz w:val="20"/>
        </w:rPr>
        <w:t> </w:t>
      </w:r>
      <w:r>
        <w:rPr>
          <w:sz w:val="20"/>
        </w:rPr>
        <w:t>volvió</w:t>
      </w:r>
      <w:r>
        <w:rPr>
          <w:spacing w:val="-11"/>
          <w:sz w:val="20"/>
        </w:rPr>
        <w:t> </w:t>
      </w:r>
      <w:r>
        <w:rPr>
          <w:sz w:val="20"/>
        </w:rPr>
        <w:t>más</w:t>
      </w:r>
      <w:r>
        <w:rPr>
          <w:spacing w:val="-11"/>
          <w:sz w:val="20"/>
        </w:rPr>
        <w:t> </w:t>
      </w:r>
      <w:r>
        <w:rPr>
          <w:sz w:val="20"/>
        </w:rPr>
        <w:t>di- fícil</w:t>
      </w:r>
      <w:r>
        <w:rPr>
          <w:spacing w:val="-4"/>
          <w:sz w:val="20"/>
        </w:rPr>
        <w:t> </w:t>
      </w:r>
      <w:r>
        <w:rPr>
          <w:sz w:val="20"/>
        </w:rPr>
        <w:t>obtener</w:t>
      </w:r>
      <w:r>
        <w:rPr>
          <w:spacing w:val="-4"/>
          <w:sz w:val="20"/>
        </w:rPr>
        <w:t> </w:t>
      </w:r>
      <w:r>
        <w:rPr>
          <w:sz w:val="20"/>
        </w:rPr>
        <w:t>un</w:t>
      </w:r>
      <w:r>
        <w:rPr>
          <w:spacing w:val="-4"/>
          <w:sz w:val="20"/>
        </w:rPr>
        <w:t> </w:t>
      </w:r>
      <w:r>
        <w:rPr>
          <w:sz w:val="20"/>
        </w:rPr>
        <w:t>buen</w:t>
      </w:r>
      <w:r>
        <w:rPr>
          <w:spacing w:val="-4"/>
          <w:sz w:val="20"/>
        </w:rPr>
        <w:t> </w:t>
      </w:r>
      <w:r>
        <w:rPr>
          <w:sz w:val="20"/>
        </w:rPr>
        <w:t>precio</w:t>
      </w:r>
      <w:r>
        <w:rPr>
          <w:spacing w:val="-4"/>
          <w:sz w:val="20"/>
        </w:rPr>
        <w:t> </w:t>
      </w:r>
      <w:r>
        <w:rPr>
          <w:sz w:val="20"/>
        </w:rPr>
        <w:t>por</w:t>
      </w:r>
      <w:r>
        <w:rPr>
          <w:spacing w:val="-4"/>
          <w:sz w:val="20"/>
        </w:rPr>
        <w:t> </w:t>
      </w:r>
      <w:r>
        <w:rPr>
          <w:sz w:val="20"/>
        </w:rPr>
        <w:t>la</w:t>
      </w:r>
      <w:r>
        <w:rPr>
          <w:spacing w:val="-4"/>
          <w:sz w:val="20"/>
        </w:rPr>
        <w:t> </w:t>
      </w:r>
      <w:r>
        <w:rPr>
          <w:sz w:val="20"/>
        </w:rPr>
        <w:t>venta</w:t>
      </w:r>
      <w:r>
        <w:rPr>
          <w:spacing w:val="-4"/>
          <w:sz w:val="20"/>
        </w:rPr>
        <w:t> </w:t>
      </w:r>
      <w:r>
        <w:rPr>
          <w:sz w:val="20"/>
        </w:rPr>
        <w:t>de</w:t>
      </w:r>
      <w:r>
        <w:rPr>
          <w:spacing w:val="-4"/>
          <w:sz w:val="20"/>
        </w:rPr>
        <w:t> </w:t>
      </w:r>
      <w:r>
        <w:rPr>
          <w:sz w:val="20"/>
        </w:rPr>
        <w:t>los</w:t>
      </w:r>
      <w:r>
        <w:rPr>
          <w:spacing w:val="-4"/>
          <w:sz w:val="20"/>
        </w:rPr>
        <w:t> </w:t>
      </w:r>
      <w:r>
        <w:rPr>
          <w:sz w:val="20"/>
        </w:rPr>
        <w:t>productos</w:t>
      </w:r>
      <w:r>
        <w:rPr>
          <w:spacing w:val="-4"/>
          <w:sz w:val="20"/>
        </w:rPr>
        <w:t> </w:t>
      </w:r>
      <w:r>
        <w:rPr>
          <w:sz w:val="20"/>
        </w:rPr>
        <w:t>ya</w:t>
      </w:r>
      <w:r>
        <w:rPr>
          <w:spacing w:val="-4"/>
          <w:sz w:val="20"/>
        </w:rPr>
        <w:t> </w:t>
      </w:r>
      <w:r>
        <w:rPr>
          <w:sz w:val="20"/>
        </w:rPr>
        <w:t>que</w:t>
      </w:r>
      <w:r>
        <w:rPr>
          <w:spacing w:val="-4"/>
          <w:sz w:val="20"/>
        </w:rPr>
        <w:t> </w:t>
      </w:r>
      <w:r>
        <w:rPr>
          <w:sz w:val="20"/>
        </w:rPr>
        <w:t>por</w:t>
      </w:r>
      <w:r>
        <w:rPr>
          <w:spacing w:val="-4"/>
          <w:sz w:val="20"/>
        </w:rPr>
        <w:t> </w:t>
      </w:r>
      <w:r>
        <w:rPr>
          <w:sz w:val="20"/>
        </w:rPr>
        <w:t>la</w:t>
      </w:r>
      <w:r>
        <w:rPr>
          <w:spacing w:val="-4"/>
          <w:sz w:val="20"/>
        </w:rPr>
        <w:t> </w:t>
      </w:r>
      <w:r>
        <w:rPr>
          <w:sz w:val="20"/>
        </w:rPr>
        <w:t>entrada de</w:t>
      </w:r>
      <w:r>
        <w:rPr>
          <w:spacing w:val="-10"/>
          <w:sz w:val="20"/>
        </w:rPr>
        <w:t> </w:t>
      </w:r>
      <w:r>
        <w:rPr>
          <w:sz w:val="20"/>
        </w:rPr>
        <w:t>maíz</w:t>
      </w:r>
      <w:r>
        <w:rPr>
          <w:spacing w:val="-10"/>
          <w:sz w:val="20"/>
        </w:rPr>
        <w:t> </w:t>
      </w:r>
      <w:r>
        <w:rPr>
          <w:sz w:val="20"/>
        </w:rPr>
        <w:t>más</w:t>
      </w:r>
      <w:r>
        <w:rPr>
          <w:spacing w:val="-10"/>
          <w:sz w:val="20"/>
        </w:rPr>
        <w:t> </w:t>
      </w:r>
      <w:r>
        <w:rPr>
          <w:sz w:val="20"/>
        </w:rPr>
        <w:t>barato</w:t>
      </w:r>
      <w:r>
        <w:rPr>
          <w:spacing w:val="-10"/>
          <w:sz w:val="20"/>
        </w:rPr>
        <w:t> </w:t>
      </w:r>
      <w:r>
        <w:rPr>
          <w:sz w:val="20"/>
        </w:rPr>
        <w:t>de</w:t>
      </w:r>
      <w:r>
        <w:rPr>
          <w:spacing w:val="-10"/>
          <w:sz w:val="20"/>
        </w:rPr>
        <w:t> </w:t>
      </w:r>
      <w:r>
        <w:rPr>
          <w:sz w:val="20"/>
        </w:rPr>
        <w:t>Estados</w:t>
      </w:r>
      <w:r>
        <w:rPr>
          <w:spacing w:val="-11"/>
          <w:sz w:val="20"/>
        </w:rPr>
        <w:t> </w:t>
      </w:r>
      <w:r>
        <w:rPr>
          <w:sz w:val="20"/>
        </w:rPr>
        <w:t>Unidos</w:t>
      </w:r>
      <w:r>
        <w:rPr>
          <w:spacing w:val="-10"/>
          <w:sz w:val="20"/>
        </w:rPr>
        <w:t> </w:t>
      </w:r>
      <w:r>
        <w:rPr>
          <w:sz w:val="20"/>
        </w:rPr>
        <w:t>y</w:t>
      </w:r>
      <w:r>
        <w:rPr>
          <w:spacing w:val="-10"/>
          <w:sz w:val="20"/>
        </w:rPr>
        <w:t> </w:t>
      </w:r>
      <w:r>
        <w:rPr>
          <w:sz w:val="20"/>
        </w:rPr>
        <w:t>también</w:t>
      </w:r>
      <w:r>
        <w:rPr>
          <w:spacing w:val="-11"/>
          <w:sz w:val="20"/>
        </w:rPr>
        <w:t> </w:t>
      </w:r>
      <w:r>
        <w:rPr>
          <w:sz w:val="20"/>
        </w:rPr>
        <w:t>la</w:t>
      </w:r>
      <w:r>
        <w:rPr>
          <w:spacing w:val="-10"/>
          <w:sz w:val="20"/>
        </w:rPr>
        <w:t> </w:t>
      </w:r>
      <w:r>
        <w:rPr>
          <w:sz w:val="20"/>
        </w:rPr>
        <w:t>falta</w:t>
      </w:r>
      <w:r>
        <w:rPr>
          <w:spacing w:val="-10"/>
          <w:sz w:val="20"/>
        </w:rPr>
        <w:t> </w:t>
      </w:r>
      <w:r>
        <w:rPr>
          <w:sz w:val="20"/>
        </w:rPr>
        <w:t>de</w:t>
      </w:r>
      <w:r>
        <w:rPr>
          <w:spacing w:val="-10"/>
          <w:sz w:val="20"/>
        </w:rPr>
        <w:t> </w:t>
      </w:r>
      <w:r>
        <w:rPr>
          <w:sz w:val="20"/>
        </w:rPr>
        <w:t>subsidios,</w:t>
      </w:r>
      <w:r>
        <w:rPr>
          <w:spacing w:val="-10"/>
          <w:sz w:val="20"/>
        </w:rPr>
        <w:t> </w:t>
      </w:r>
      <w:r>
        <w:rPr>
          <w:sz w:val="20"/>
        </w:rPr>
        <w:t>el</w:t>
      </w:r>
      <w:r>
        <w:rPr>
          <w:spacing w:val="-10"/>
          <w:sz w:val="20"/>
        </w:rPr>
        <w:t> </w:t>
      </w:r>
      <w:r>
        <w:rPr>
          <w:sz w:val="20"/>
        </w:rPr>
        <w:t>precio de</w:t>
      </w:r>
      <w:r>
        <w:rPr>
          <w:spacing w:val="-9"/>
          <w:sz w:val="20"/>
        </w:rPr>
        <w:t> </w:t>
      </w:r>
      <w:r>
        <w:rPr>
          <w:sz w:val="20"/>
        </w:rPr>
        <w:t>garantía</w:t>
      </w:r>
      <w:r>
        <w:rPr>
          <w:spacing w:val="-9"/>
          <w:sz w:val="20"/>
        </w:rPr>
        <w:t> </w:t>
      </w:r>
      <w:r>
        <w:rPr>
          <w:sz w:val="20"/>
        </w:rPr>
        <w:t>y</w:t>
      </w:r>
      <w:r>
        <w:rPr>
          <w:spacing w:val="-9"/>
          <w:sz w:val="20"/>
        </w:rPr>
        <w:t> </w:t>
      </w:r>
      <w:r>
        <w:rPr>
          <w:sz w:val="20"/>
        </w:rPr>
        <w:t>la</w:t>
      </w:r>
      <w:r>
        <w:rPr>
          <w:spacing w:val="-9"/>
          <w:sz w:val="20"/>
        </w:rPr>
        <w:t> </w:t>
      </w:r>
      <w:r>
        <w:rPr>
          <w:sz w:val="20"/>
        </w:rPr>
        <w:t>compra</w:t>
      </w:r>
      <w:r>
        <w:rPr>
          <w:spacing w:val="-9"/>
          <w:sz w:val="20"/>
        </w:rPr>
        <w:t> </w:t>
      </w:r>
      <w:r>
        <w:rPr>
          <w:sz w:val="20"/>
        </w:rPr>
        <w:t>de</w:t>
      </w:r>
      <w:r>
        <w:rPr>
          <w:spacing w:val="-9"/>
          <w:sz w:val="20"/>
        </w:rPr>
        <w:t> </w:t>
      </w:r>
      <w:r>
        <w:rPr>
          <w:sz w:val="20"/>
        </w:rPr>
        <w:t>su</w:t>
      </w:r>
      <w:r>
        <w:rPr>
          <w:spacing w:val="-9"/>
          <w:sz w:val="20"/>
        </w:rPr>
        <w:t> </w:t>
      </w:r>
      <w:r>
        <w:rPr>
          <w:sz w:val="20"/>
        </w:rPr>
        <w:t>producto</w:t>
      </w:r>
      <w:r>
        <w:rPr>
          <w:spacing w:val="-9"/>
          <w:sz w:val="20"/>
        </w:rPr>
        <w:t> </w:t>
      </w:r>
      <w:r>
        <w:rPr>
          <w:sz w:val="20"/>
        </w:rPr>
        <w:t>por</w:t>
      </w:r>
      <w:r>
        <w:rPr>
          <w:spacing w:val="-9"/>
          <w:sz w:val="20"/>
        </w:rPr>
        <w:t> </w:t>
      </w:r>
      <w:r>
        <w:rPr>
          <w:sz w:val="20"/>
        </w:rPr>
        <w:t>parte</w:t>
      </w:r>
      <w:r>
        <w:rPr>
          <w:spacing w:val="-9"/>
          <w:sz w:val="20"/>
        </w:rPr>
        <w:t> </w:t>
      </w:r>
      <w:r>
        <w:rPr>
          <w:sz w:val="20"/>
        </w:rPr>
        <w:t>del</w:t>
      </w:r>
      <w:r>
        <w:rPr>
          <w:spacing w:val="-9"/>
          <w:sz w:val="20"/>
        </w:rPr>
        <w:t> </w:t>
      </w:r>
      <w:r>
        <w:rPr>
          <w:sz w:val="20"/>
        </w:rPr>
        <w:t>gobierno…</w:t>
      </w:r>
      <w:r>
        <w:rPr>
          <w:spacing w:val="-9"/>
          <w:sz w:val="20"/>
        </w:rPr>
        <w:t> </w:t>
      </w:r>
      <w:r>
        <w:rPr>
          <w:sz w:val="20"/>
        </w:rPr>
        <w:t>Hasta</w:t>
      </w:r>
      <w:r>
        <w:rPr>
          <w:spacing w:val="-9"/>
          <w:sz w:val="20"/>
        </w:rPr>
        <w:t> </w:t>
      </w:r>
      <w:r>
        <w:rPr>
          <w:sz w:val="20"/>
        </w:rPr>
        <w:t>la</w:t>
      </w:r>
      <w:r>
        <w:rPr>
          <w:spacing w:val="-9"/>
          <w:sz w:val="20"/>
        </w:rPr>
        <w:t> </w:t>
      </w:r>
      <w:r>
        <w:rPr>
          <w:sz w:val="20"/>
        </w:rPr>
        <w:t>época de Salinas todavía se podía obtener algo del campo, pero de ahí en adelante</w:t>
      </w:r>
      <w:r>
        <w:rPr>
          <w:spacing w:val="-26"/>
          <w:sz w:val="20"/>
        </w:rPr>
        <w:t> </w:t>
      </w:r>
      <w:r>
        <w:rPr>
          <w:sz w:val="20"/>
        </w:rPr>
        <w:t>se volvió más difícil. </w:t>
      </w:r>
      <w:r>
        <w:rPr>
          <w:spacing w:val="-11"/>
          <w:sz w:val="20"/>
        </w:rPr>
        <w:t>Ya </w:t>
      </w:r>
      <w:r>
        <w:rPr>
          <w:sz w:val="20"/>
        </w:rPr>
        <w:t>que sí se le saca pero muy azaroso ya que hay veces</w:t>
      </w:r>
      <w:r>
        <w:rPr>
          <w:spacing w:val="-34"/>
          <w:sz w:val="20"/>
        </w:rPr>
        <w:t> </w:t>
      </w:r>
      <w:r>
        <w:rPr>
          <w:sz w:val="20"/>
        </w:rPr>
        <w:t>que sí se saca ganancia, pero hay otras en que se pierde, es muy variable</w:t>
      </w:r>
      <w:r>
        <w:rPr>
          <w:spacing w:val="-21"/>
          <w:sz w:val="20"/>
        </w:rPr>
        <w:t> </w:t>
      </w:r>
      <w:r>
        <w:rPr>
          <w:sz w:val="20"/>
        </w:rPr>
        <w:t>(Agustín, ejidatario, productor de leche, 46 años, San Antonio Ocampo,</w:t>
      </w:r>
      <w:r>
        <w:rPr>
          <w:spacing w:val="-29"/>
          <w:sz w:val="20"/>
        </w:rPr>
        <w:t> </w:t>
      </w:r>
      <w:r>
        <w:rPr>
          <w:sz w:val="20"/>
        </w:rPr>
        <w:t>2008).</w:t>
      </w:r>
    </w:p>
    <w:p>
      <w:pPr>
        <w:pStyle w:val="BodyText"/>
        <w:spacing w:line="247" w:lineRule="auto" w:before="172"/>
        <w:ind w:left="117" w:right="115" w:firstLine="283"/>
        <w:jc w:val="both"/>
      </w:pPr>
      <w:r>
        <w:rPr>
          <w:color w:val="231F20"/>
        </w:rPr>
        <w:t>Está también el testimonio de otro ejidatario de la misma comunidad, respecto a las afectaciones con la liberación del mercado de las semillas provenientes de Estados Unidos:</w:t>
      </w:r>
    </w:p>
    <w:p>
      <w:pPr>
        <w:spacing w:line="249" w:lineRule="auto" w:before="168"/>
        <w:ind w:left="400" w:right="114" w:firstLine="0"/>
        <w:jc w:val="both"/>
        <w:rPr>
          <w:sz w:val="20"/>
        </w:rPr>
      </w:pPr>
      <w:r>
        <w:rPr>
          <w:sz w:val="20"/>
        </w:rPr>
        <w:t>Nos afectó... mucho, claro nosotros levantábamos el maíz y trigo, todo y todo se vendía, ahora vas a llevarlo y no te lo compran, porque dicen no…es más barato el que llega del otro lado, entonces a nosotros, por ejemplo ahorita va- mos a decir el abono está el sobre en 90 pesos, ¿pero el costal? como 50 kilos en 90 pesos. Ahorita la semilla está igual, no tiene precio, el abono, no sé si anda</w:t>
      </w:r>
      <w:r>
        <w:rPr>
          <w:spacing w:val="-7"/>
          <w:sz w:val="20"/>
        </w:rPr>
        <w:t> </w:t>
      </w:r>
      <w:r>
        <w:rPr>
          <w:sz w:val="20"/>
        </w:rPr>
        <w:t>sobre</w:t>
      </w:r>
      <w:r>
        <w:rPr>
          <w:spacing w:val="-6"/>
          <w:sz w:val="20"/>
        </w:rPr>
        <w:t> </w:t>
      </w:r>
      <w:r>
        <w:rPr>
          <w:sz w:val="20"/>
        </w:rPr>
        <w:t>250</w:t>
      </w:r>
      <w:r>
        <w:rPr>
          <w:spacing w:val="-6"/>
          <w:sz w:val="20"/>
        </w:rPr>
        <w:t> </w:t>
      </w:r>
      <w:r>
        <w:rPr>
          <w:sz w:val="20"/>
        </w:rPr>
        <w:t>o</w:t>
      </w:r>
      <w:r>
        <w:rPr>
          <w:spacing w:val="-6"/>
          <w:sz w:val="20"/>
        </w:rPr>
        <w:t> </w:t>
      </w:r>
      <w:r>
        <w:rPr>
          <w:sz w:val="20"/>
        </w:rPr>
        <w:t>casi</w:t>
      </w:r>
      <w:r>
        <w:rPr>
          <w:spacing w:val="-7"/>
          <w:sz w:val="20"/>
        </w:rPr>
        <w:t> </w:t>
      </w:r>
      <w:r>
        <w:rPr>
          <w:sz w:val="20"/>
        </w:rPr>
        <w:t>los</w:t>
      </w:r>
      <w:r>
        <w:rPr>
          <w:spacing w:val="-6"/>
          <w:sz w:val="20"/>
        </w:rPr>
        <w:t> </w:t>
      </w:r>
      <w:r>
        <w:rPr>
          <w:sz w:val="20"/>
        </w:rPr>
        <w:t>300</w:t>
      </w:r>
      <w:r>
        <w:rPr>
          <w:spacing w:val="-6"/>
          <w:sz w:val="20"/>
        </w:rPr>
        <w:t> </w:t>
      </w:r>
      <w:r>
        <w:rPr>
          <w:sz w:val="20"/>
        </w:rPr>
        <w:t>pesos,</w:t>
      </w:r>
      <w:r>
        <w:rPr>
          <w:spacing w:val="-6"/>
          <w:sz w:val="20"/>
        </w:rPr>
        <w:t> </w:t>
      </w:r>
      <w:r>
        <w:rPr>
          <w:sz w:val="20"/>
        </w:rPr>
        <w:t>de</w:t>
      </w:r>
      <w:r>
        <w:rPr>
          <w:spacing w:val="-6"/>
          <w:sz w:val="20"/>
        </w:rPr>
        <w:t> </w:t>
      </w:r>
      <w:r>
        <w:rPr>
          <w:sz w:val="20"/>
        </w:rPr>
        <w:t>dónde</w:t>
      </w:r>
      <w:r>
        <w:rPr>
          <w:spacing w:val="-6"/>
          <w:sz w:val="20"/>
        </w:rPr>
        <w:t> </w:t>
      </w:r>
      <w:r>
        <w:rPr>
          <w:sz w:val="20"/>
        </w:rPr>
        <w:t>va</w:t>
      </w:r>
      <w:r>
        <w:rPr>
          <w:spacing w:val="-6"/>
          <w:sz w:val="20"/>
        </w:rPr>
        <w:t> </w:t>
      </w:r>
      <w:r>
        <w:rPr>
          <w:sz w:val="20"/>
        </w:rPr>
        <w:t>a</w:t>
      </w:r>
      <w:r>
        <w:rPr>
          <w:spacing w:val="-6"/>
          <w:sz w:val="20"/>
        </w:rPr>
        <w:t> </w:t>
      </w:r>
      <w:r>
        <w:rPr>
          <w:sz w:val="20"/>
        </w:rPr>
        <w:t>dejar</w:t>
      </w:r>
      <w:r>
        <w:rPr>
          <w:spacing w:val="-6"/>
          <w:sz w:val="20"/>
        </w:rPr>
        <w:t> </w:t>
      </w:r>
      <w:r>
        <w:rPr>
          <w:sz w:val="20"/>
        </w:rPr>
        <w:t>eso</w:t>
      </w:r>
      <w:r>
        <w:rPr>
          <w:spacing w:val="-6"/>
          <w:sz w:val="20"/>
        </w:rPr>
        <w:t> </w:t>
      </w:r>
      <w:r>
        <w:rPr>
          <w:sz w:val="20"/>
        </w:rPr>
        <w:t>(Pedro,</w:t>
      </w:r>
      <w:r>
        <w:rPr>
          <w:spacing w:val="-6"/>
          <w:sz w:val="20"/>
        </w:rPr>
        <w:t> </w:t>
      </w:r>
      <w:r>
        <w:rPr>
          <w:sz w:val="20"/>
        </w:rPr>
        <w:t>ejidatario, 80 años, San Antonio Ocampo,</w:t>
      </w:r>
      <w:r>
        <w:rPr>
          <w:spacing w:val="-26"/>
          <w:sz w:val="20"/>
        </w:rPr>
        <w:t> </w:t>
      </w:r>
      <w:r>
        <w:rPr>
          <w:sz w:val="20"/>
        </w:rPr>
        <w:t>2008).</w:t>
      </w:r>
    </w:p>
    <w:p>
      <w:pPr>
        <w:pStyle w:val="BodyText"/>
        <w:spacing w:line="247" w:lineRule="auto" w:before="172"/>
        <w:ind w:left="117" w:right="114" w:firstLine="283"/>
        <w:jc w:val="both"/>
      </w:pPr>
      <w:r>
        <w:rPr>
          <w:color w:val="231F20"/>
        </w:rPr>
        <w:t>Resultado de lo anterior, se ha presentado una baja en la producción agropecuaria en el </w:t>
      </w:r>
      <w:r>
        <w:rPr>
          <w:color w:val="231F20"/>
          <w:spacing w:val="-5"/>
        </w:rPr>
        <w:t>Valle </w:t>
      </w:r>
      <w:r>
        <w:rPr>
          <w:color w:val="231F20"/>
        </w:rPr>
        <w:t>de Tangancícuaro, ya que no resulta rentable el aprovechamiento</w:t>
      </w:r>
      <w:r>
        <w:rPr>
          <w:color w:val="231F20"/>
          <w:spacing w:val="-7"/>
        </w:rPr>
        <w:t> </w:t>
      </w:r>
      <w:r>
        <w:rPr>
          <w:color w:val="231F20"/>
        </w:rPr>
        <w:t>de</w:t>
      </w:r>
      <w:r>
        <w:rPr>
          <w:color w:val="231F20"/>
          <w:spacing w:val="-6"/>
        </w:rPr>
        <w:t> </w:t>
      </w:r>
      <w:r>
        <w:rPr>
          <w:color w:val="231F20"/>
        </w:rPr>
        <w:t>las</w:t>
      </w:r>
      <w:r>
        <w:rPr>
          <w:color w:val="231F20"/>
          <w:spacing w:val="-6"/>
        </w:rPr>
        <w:t> </w:t>
      </w:r>
      <w:r>
        <w:rPr>
          <w:color w:val="231F20"/>
        </w:rPr>
        <w:t>tierras</w:t>
      </w:r>
      <w:r>
        <w:rPr>
          <w:color w:val="231F20"/>
          <w:spacing w:val="-6"/>
        </w:rPr>
        <w:t> </w:t>
      </w:r>
      <w:r>
        <w:rPr>
          <w:color w:val="231F20"/>
        </w:rPr>
        <w:t>y</w:t>
      </w:r>
      <w:r>
        <w:rPr>
          <w:color w:val="231F20"/>
          <w:spacing w:val="-6"/>
        </w:rPr>
        <w:t> </w:t>
      </w:r>
      <w:r>
        <w:rPr>
          <w:color w:val="231F20"/>
        </w:rPr>
        <w:t>esta</w:t>
      </w:r>
      <w:r>
        <w:rPr>
          <w:color w:val="231F20"/>
          <w:spacing w:val="-6"/>
        </w:rPr>
        <w:t> </w:t>
      </w:r>
      <w:r>
        <w:rPr>
          <w:color w:val="231F20"/>
        </w:rPr>
        <w:t>problemática</w:t>
      </w:r>
      <w:r>
        <w:rPr>
          <w:color w:val="231F20"/>
          <w:spacing w:val="-6"/>
        </w:rPr>
        <w:t> </w:t>
      </w:r>
      <w:r>
        <w:rPr>
          <w:color w:val="231F20"/>
        </w:rPr>
        <w:t>se</w:t>
      </w:r>
      <w:r>
        <w:rPr>
          <w:color w:val="231F20"/>
          <w:spacing w:val="-6"/>
        </w:rPr>
        <w:t> </w:t>
      </w:r>
      <w:r>
        <w:rPr>
          <w:color w:val="231F20"/>
        </w:rPr>
        <w:t>presenta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mayo- ría de las comunidades del </w:t>
      </w:r>
      <w:r>
        <w:rPr>
          <w:color w:val="231F20"/>
          <w:spacing w:val="-5"/>
        </w:rPr>
        <w:t>Valle, </w:t>
      </w:r>
      <w:r>
        <w:rPr>
          <w:color w:val="231F20"/>
        </w:rPr>
        <w:t>siendo la excepción la cabecera munici- pal, donde las tierras están en constante aprovechamiento. Pero en el resto del </w:t>
      </w:r>
      <w:r>
        <w:rPr>
          <w:color w:val="231F20"/>
          <w:spacing w:val="-5"/>
        </w:rPr>
        <w:t>Valle, </w:t>
      </w:r>
      <w:r>
        <w:rPr>
          <w:color w:val="231F20"/>
        </w:rPr>
        <w:t>se da un progresivo abandono de tierras por parte de sus propie- tarios y a la vez se rentan las tierras a productores locales para el cultivo de forrajes o a empresas agroindustriales productoras de fresa, así   </w:t>
      </w:r>
      <w:r>
        <w:rPr>
          <w:color w:val="231F20"/>
          <w:spacing w:val="23"/>
        </w:rPr>
        <w:t> </w:t>
      </w:r>
      <w:r>
        <w:rPr>
          <w:color w:val="231F20"/>
        </w:rPr>
        <w:t>como</w:t>
      </w:r>
    </w:p>
    <w:p>
      <w:pPr>
        <w:spacing w:after="0" w:line="247" w:lineRule="auto"/>
        <w:jc w:val="both"/>
        <w:sectPr>
          <w:pgSz w:w="9360" w:h="13040"/>
          <w:pgMar w:header="0" w:footer="496" w:top="800" w:bottom="680" w:left="1300" w:right="1300"/>
        </w:sectPr>
      </w:pPr>
    </w:p>
    <w:p>
      <w:pPr>
        <w:spacing w:before="45"/>
        <w:ind w:left="117" w:right="0" w:firstLine="1321"/>
        <w:jc w:val="left"/>
        <w:rPr>
          <w:rFonts w:ascii="Arial" w:hAnsi="Arial"/>
          <w:sz w:val="20"/>
        </w:rPr>
      </w:pPr>
      <w:r>
        <w:rPr>
          <w:rFonts w:ascii="Arial" w:hAnsi="Arial"/>
          <w:color w:val="231F20"/>
          <w:w w:val="70"/>
          <w:sz w:val="20"/>
        </w:rPr>
        <w:t>Migración y cambio del espacio rural en el noreste michoacano /Iván Jiménez-Maya</w:t>
      </w:r>
    </w:p>
    <w:p>
      <w:pPr>
        <w:pStyle w:val="BodyText"/>
        <w:spacing w:before="7"/>
        <w:rPr>
          <w:rFonts w:ascii="Arial"/>
          <w:sz w:val="28"/>
        </w:rPr>
      </w:pPr>
    </w:p>
    <w:p>
      <w:pPr>
        <w:pStyle w:val="BodyText"/>
        <w:spacing w:line="247" w:lineRule="auto"/>
        <w:ind w:left="117" w:right="115"/>
        <w:jc w:val="both"/>
      </w:pPr>
      <w:r>
        <w:rPr>
          <w:color w:val="231F20"/>
        </w:rPr>
        <w:t>la venta de algunas de las parcelas a migrantes, aunque lo que predomina es la renta de la tierra y de manera paralela se comenzó con la siembra de nuevos productos, como hortalizas y algunas verduras y quedando para el autoconsumo, en muy pocos casos, los granos básicos: el maíz y el frijol.</w:t>
      </w:r>
    </w:p>
    <w:p>
      <w:pPr>
        <w:pStyle w:val="BodyText"/>
        <w:spacing w:line="247" w:lineRule="auto"/>
        <w:ind w:left="117" w:right="115" w:firstLine="283"/>
        <w:jc w:val="both"/>
      </w:pPr>
      <w:r>
        <w:rPr>
          <w:color w:val="231F20"/>
        </w:rPr>
        <w:t>Los entrevistados mencionaron que la apertura comercial a raíz del TLCAN los afectó por los precios tan bajos de los granos traídos de Esta- dos Unidos, eso también desalentó a los campesinos para que ya no sem- braran, ya que el precio de los fertilizantes es alto y más los costos para preparar la tierra y la cosecha, por lo que no resulta rentable.</w:t>
      </w:r>
    </w:p>
    <w:p>
      <w:pPr>
        <w:spacing w:line="249" w:lineRule="auto" w:before="168"/>
        <w:ind w:left="400" w:right="114" w:firstLine="0"/>
        <w:jc w:val="both"/>
        <w:rPr>
          <w:sz w:val="20"/>
        </w:rPr>
      </w:pPr>
      <w:r>
        <w:rPr>
          <w:sz w:val="20"/>
        </w:rPr>
        <w:t>Mira lo del ejido aquí, pues siempre ha estado con los que estamos ahorita, ya no se siembran parcelas, ahorita te voy a decir por qué, por la razón de que el libre comercio desgració al pobre, entonces el pobre no puede vender lo que siembra (Pedro, ejidatario, 80 años, San Antonio Ocampo, 2008).</w:t>
      </w:r>
    </w:p>
    <w:p>
      <w:pPr>
        <w:pStyle w:val="BodyText"/>
        <w:spacing w:before="172"/>
        <w:ind w:left="400"/>
        <w:jc w:val="both"/>
      </w:pPr>
      <w:r>
        <w:rPr>
          <w:color w:val="231F20"/>
        </w:rPr>
        <w:t>Otro ejidatario comenta al respecto:</w:t>
      </w:r>
    </w:p>
    <w:p>
      <w:pPr>
        <w:spacing w:line="249" w:lineRule="auto" w:before="175"/>
        <w:ind w:left="400" w:right="114" w:firstLine="0"/>
        <w:jc w:val="both"/>
        <w:rPr>
          <w:sz w:val="20"/>
        </w:rPr>
      </w:pPr>
      <w:r>
        <w:rPr>
          <w:sz w:val="20"/>
        </w:rPr>
        <w:t>Cómo no, por ejemplo si aquí no hay granos se importa de allá [Estados Uni- dos]… bueno entonces con eso de que hay libre comercio, lo que hace falta aquí viene de Estados Unidos y lo que no quieren allá lo mandan para acá, maíz cuando se escasea aquí, mandan lo que no quieren o lo que les sobra, bueno</w:t>
      </w:r>
      <w:r>
        <w:rPr>
          <w:spacing w:val="-4"/>
          <w:sz w:val="20"/>
        </w:rPr>
        <w:t> </w:t>
      </w:r>
      <w:r>
        <w:rPr>
          <w:sz w:val="20"/>
        </w:rPr>
        <w:t>eso</w:t>
      </w:r>
      <w:r>
        <w:rPr>
          <w:spacing w:val="-4"/>
          <w:sz w:val="20"/>
        </w:rPr>
        <w:t> </w:t>
      </w:r>
      <w:r>
        <w:rPr>
          <w:sz w:val="20"/>
        </w:rPr>
        <w:t>es</w:t>
      </w:r>
      <w:r>
        <w:rPr>
          <w:spacing w:val="-4"/>
          <w:sz w:val="20"/>
        </w:rPr>
        <w:t> </w:t>
      </w:r>
      <w:r>
        <w:rPr>
          <w:sz w:val="20"/>
        </w:rPr>
        <w:t>lo</w:t>
      </w:r>
      <w:r>
        <w:rPr>
          <w:spacing w:val="-4"/>
          <w:sz w:val="20"/>
        </w:rPr>
        <w:t> </w:t>
      </w:r>
      <w:r>
        <w:rPr>
          <w:sz w:val="20"/>
        </w:rPr>
        <w:t>que</w:t>
      </w:r>
      <w:r>
        <w:rPr>
          <w:spacing w:val="-4"/>
          <w:sz w:val="20"/>
        </w:rPr>
        <w:t> </w:t>
      </w:r>
      <w:r>
        <w:rPr>
          <w:sz w:val="20"/>
        </w:rPr>
        <w:t>yo</w:t>
      </w:r>
      <w:r>
        <w:rPr>
          <w:spacing w:val="-4"/>
          <w:sz w:val="20"/>
        </w:rPr>
        <w:t> </w:t>
      </w:r>
      <w:r>
        <w:rPr>
          <w:sz w:val="20"/>
        </w:rPr>
        <w:t>considero</w:t>
      </w:r>
      <w:r>
        <w:rPr>
          <w:spacing w:val="-4"/>
          <w:sz w:val="20"/>
        </w:rPr>
        <w:t> </w:t>
      </w:r>
      <w:r>
        <w:rPr>
          <w:sz w:val="20"/>
        </w:rPr>
        <w:t>que</w:t>
      </w:r>
      <w:r>
        <w:rPr>
          <w:spacing w:val="-4"/>
          <w:sz w:val="20"/>
        </w:rPr>
        <w:t> </w:t>
      </w:r>
      <w:r>
        <w:rPr>
          <w:sz w:val="20"/>
        </w:rPr>
        <w:t>ha</w:t>
      </w:r>
      <w:r>
        <w:rPr>
          <w:spacing w:val="-4"/>
          <w:sz w:val="20"/>
        </w:rPr>
        <w:t> </w:t>
      </w:r>
      <w:r>
        <w:rPr>
          <w:sz w:val="20"/>
        </w:rPr>
        <w:t>afectado</w:t>
      </w:r>
      <w:r>
        <w:rPr>
          <w:spacing w:val="-4"/>
          <w:sz w:val="20"/>
        </w:rPr>
        <w:t> </w:t>
      </w:r>
      <w:r>
        <w:rPr>
          <w:sz w:val="20"/>
        </w:rPr>
        <w:t>también,</w:t>
      </w:r>
      <w:r>
        <w:rPr>
          <w:spacing w:val="-4"/>
          <w:sz w:val="20"/>
        </w:rPr>
        <w:t> </w:t>
      </w:r>
      <w:r>
        <w:rPr>
          <w:sz w:val="20"/>
        </w:rPr>
        <w:t>[la</w:t>
      </w:r>
      <w:r>
        <w:rPr>
          <w:spacing w:val="-4"/>
          <w:sz w:val="20"/>
        </w:rPr>
        <w:t> </w:t>
      </w:r>
      <w:r>
        <w:rPr>
          <w:sz w:val="20"/>
        </w:rPr>
        <w:t>entrada</w:t>
      </w:r>
      <w:r>
        <w:rPr>
          <w:spacing w:val="-4"/>
          <w:sz w:val="20"/>
        </w:rPr>
        <w:t> </w:t>
      </w:r>
      <w:r>
        <w:rPr>
          <w:sz w:val="20"/>
        </w:rPr>
        <w:t>de</w:t>
      </w:r>
      <w:r>
        <w:rPr>
          <w:spacing w:val="-4"/>
          <w:sz w:val="20"/>
        </w:rPr>
        <w:t> </w:t>
      </w:r>
      <w:r>
        <w:rPr>
          <w:sz w:val="20"/>
        </w:rPr>
        <w:t>tanto grano barato], </w:t>
      </w:r>
      <w:r>
        <w:rPr>
          <w:b/>
          <w:spacing w:val="-4"/>
          <w:sz w:val="20"/>
        </w:rPr>
        <w:t>h</w:t>
      </w:r>
      <w:r>
        <w:rPr>
          <w:spacing w:val="-4"/>
          <w:sz w:val="20"/>
        </w:rPr>
        <w:t>ey, </w:t>
      </w:r>
      <w:r>
        <w:rPr>
          <w:sz w:val="20"/>
        </w:rPr>
        <w:t>este por eso no tienen precio aquí las cosas ¿eh? (Rogelio, migrante jubilado, ex ejidatario, 89 años, San Antonio Ocampo,</w:t>
      </w:r>
      <w:r>
        <w:rPr>
          <w:spacing w:val="-12"/>
          <w:sz w:val="20"/>
        </w:rPr>
        <w:t> </w:t>
      </w:r>
      <w:r>
        <w:rPr>
          <w:sz w:val="20"/>
        </w:rPr>
        <w:t>2008).</w:t>
      </w:r>
    </w:p>
    <w:p>
      <w:pPr>
        <w:pStyle w:val="BodyText"/>
        <w:spacing w:line="247" w:lineRule="auto" w:before="172"/>
        <w:ind w:left="117" w:right="114" w:firstLine="283"/>
        <w:jc w:val="both"/>
      </w:pPr>
      <w:r>
        <w:rPr>
          <w:color w:val="231F20"/>
        </w:rPr>
        <w:t>De acuerdo con lo anterior la Red Mexicana de Acción Frente al Libre Comercio</w:t>
      </w:r>
      <w:r>
        <w:rPr>
          <w:color w:val="231F20"/>
          <w:spacing w:val="-7"/>
        </w:rPr>
        <w:t> </w:t>
      </w:r>
      <w:r>
        <w:rPr>
          <w:color w:val="231F20"/>
        </w:rPr>
        <w:t>(Peñaloza,</w:t>
      </w:r>
      <w:r>
        <w:rPr>
          <w:color w:val="231F20"/>
          <w:spacing w:val="-7"/>
        </w:rPr>
        <w:t> </w:t>
      </w:r>
      <w:r>
        <w:rPr>
          <w:color w:val="231F20"/>
        </w:rPr>
        <w:t>1997:</w:t>
      </w:r>
      <w:r>
        <w:rPr>
          <w:color w:val="231F20"/>
          <w:spacing w:val="-7"/>
        </w:rPr>
        <w:t> </w:t>
      </w:r>
      <w:r>
        <w:rPr>
          <w:color w:val="231F20"/>
        </w:rPr>
        <w:t>99)</w:t>
      </w:r>
      <w:r>
        <w:rPr>
          <w:color w:val="231F20"/>
          <w:spacing w:val="-6"/>
        </w:rPr>
        <w:t> </w:t>
      </w:r>
      <w:r>
        <w:rPr>
          <w:color w:val="231F20"/>
        </w:rPr>
        <w:t>en</w:t>
      </w:r>
      <w:r>
        <w:rPr>
          <w:color w:val="231F20"/>
          <w:spacing w:val="-7"/>
        </w:rPr>
        <w:t> </w:t>
      </w:r>
      <w:r>
        <w:rPr>
          <w:color w:val="231F20"/>
        </w:rPr>
        <w:t>un</w:t>
      </w:r>
      <w:r>
        <w:rPr>
          <w:color w:val="231F20"/>
          <w:spacing w:val="-7"/>
        </w:rPr>
        <w:t> </w:t>
      </w:r>
      <w:r>
        <w:rPr>
          <w:color w:val="231F20"/>
        </w:rPr>
        <w:t>análisis</w:t>
      </w:r>
      <w:r>
        <w:rPr>
          <w:color w:val="231F20"/>
          <w:spacing w:val="-7"/>
        </w:rPr>
        <w:t> </w:t>
      </w:r>
      <w:r>
        <w:rPr>
          <w:color w:val="231F20"/>
        </w:rPr>
        <w:t>tres</w:t>
      </w:r>
      <w:r>
        <w:rPr>
          <w:color w:val="231F20"/>
          <w:spacing w:val="-7"/>
        </w:rPr>
        <w:t> </w:t>
      </w:r>
      <w:r>
        <w:rPr>
          <w:color w:val="231F20"/>
        </w:rPr>
        <w:t>años</w:t>
      </w:r>
      <w:r>
        <w:rPr>
          <w:color w:val="231F20"/>
          <w:spacing w:val="-7"/>
        </w:rPr>
        <w:t> </w:t>
      </w:r>
      <w:r>
        <w:rPr>
          <w:color w:val="231F20"/>
        </w:rPr>
        <w:t>después</w:t>
      </w:r>
      <w:r>
        <w:rPr>
          <w:color w:val="231F20"/>
          <w:spacing w:val="-6"/>
        </w:rPr>
        <w:t> </w:t>
      </w:r>
      <w:r>
        <w:rPr>
          <w:color w:val="231F20"/>
        </w:rPr>
        <w:t>de</w:t>
      </w:r>
      <w:r>
        <w:rPr>
          <w:color w:val="231F20"/>
          <w:spacing w:val="-7"/>
        </w:rPr>
        <w:t> </w:t>
      </w:r>
      <w:r>
        <w:rPr>
          <w:color w:val="231F20"/>
        </w:rPr>
        <w:t>la</w:t>
      </w:r>
      <w:r>
        <w:rPr>
          <w:color w:val="231F20"/>
          <w:spacing w:val="-7"/>
        </w:rPr>
        <w:t> </w:t>
      </w:r>
      <w:r>
        <w:rPr>
          <w:color w:val="231F20"/>
        </w:rPr>
        <w:t>pues- ta en marcha del Tratado de Libre Comercio de América del Norte, en el apartado de las Problemáticas e Impactos Sectoriales presenta un Balance General, del que se resaltan los siguientes puntos:</w:t>
      </w:r>
    </w:p>
    <w:p>
      <w:pPr>
        <w:pStyle w:val="ListParagraph"/>
        <w:numPr>
          <w:ilvl w:val="0"/>
          <w:numId w:val="8"/>
        </w:numPr>
        <w:tabs>
          <w:tab w:pos="478" w:val="left" w:leader="none"/>
        </w:tabs>
        <w:spacing w:line="247" w:lineRule="auto" w:before="169" w:after="0"/>
        <w:ind w:left="477" w:right="115" w:hanging="360"/>
        <w:jc w:val="both"/>
        <w:rPr>
          <w:sz w:val="22"/>
        </w:rPr>
      </w:pPr>
      <w:r>
        <w:rPr>
          <w:color w:val="231F20"/>
          <w:sz w:val="22"/>
        </w:rPr>
        <w:t>El</w:t>
      </w:r>
      <w:r>
        <w:rPr>
          <w:color w:val="231F20"/>
          <w:spacing w:val="-10"/>
          <w:sz w:val="22"/>
        </w:rPr>
        <w:t> </w:t>
      </w:r>
      <w:r>
        <w:rPr>
          <w:color w:val="231F20"/>
          <w:sz w:val="22"/>
        </w:rPr>
        <w:t>TLCAN</w:t>
      </w:r>
      <w:r>
        <w:rPr>
          <w:color w:val="231F20"/>
          <w:spacing w:val="-6"/>
          <w:sz w:val="22"/>
        </w:rPr>
        <w:t> </w:t>
      </w:r>
      <w:r>
        <w:rPr>
          <w:color w:val="231F20"/>
          <w:sz w:val="22"/>
        </w:rPr>
        <w:t>profundiza</w:t>
      </w:r>
      <w:r>
        <w:rPr>
          <w:color w:val="231F20"/>
          <w:spacing w:val="-6"/>
          <w:sz w:val="22"/>
        </w:rPr>
        <w:t> </w:t>
      </w:r>
      <w:r>
        <w:rPr>
          <w:color w:val="231F20"/>
          <w:sz w:val="22"/>
        </w:rPr>
        <w:t>y</w:t>
      </w:r>
      <w:r>
        <w:rPr>
          <w:color w:val="231F20"/>
          <w:spacing w:val="-6"/>
          <w:sz w:val="22"/>
        </w:rPr>
        <w:t> </w:t>
      </w:r>
      <w:r>
        <w:rPr>
          <w:color w:val="231F20"/>
          <w:sz w:val="22"/>
        </w:rPr>
        <w:t>pretende</w:t>
      </w:r>
      <w:r>
        <w:rPr>
          <w:color w:val="231F20"/>
          <w:spacing w:val="-6"/>
          <w:sz w:val="22"/>
        </w:rPr>
        <w:t> </w:t>
      </w:r>
      <w:r>
        <w:rPr>
          <w:color w:val="231F20"/>
          <w:sz w:val="22"/>
        </w:rPr>
        <w:t>hacer</w:t>
      </w:r>
      <w:r>
        <w:rPr>
          <w:color w:val="231F20"/>
          <w:spacing w:val="-6"/>
          <w:sz w:val="22"/>
        </w:rPr>
        <w:t> </w:t>
      </w:r>
      <w:r>
        <w:rPr>
          <w:color w:val="231F20"/>
          <w:sz w:val="22"/>
        </w:rPr>
        <w:t>irreversible</w:t>
      </w:r>
      <w:r>
        <w:rPr>
          <w:color w:val="231F20"/>
          <w:spacing w:val="-7"/>
          <w:sz w:val="22"/>
        </w:rPr>
        <w:t> </w:t>
      </w:r>
      <w:r>
        <w:rPr>
          <w:color w:val="231F20"/>
          <w:sz w:val="22"/>
        </w:rPr>
        <w:t>la</w:t>
      </w:r>
      <w:r>
        <w:rPr>
          <w:color w:val="231F20"/>
          <w:spacing w:val="-6"/>
          <w:sz w:val="22"/>
        </w:rPr>
        <w:t> </w:t>
      </w:r>
      <w:r>
        <w:rPr>
          <w:color w:val="231F20"/>
          <w:sz w:val="22"/>
        </w:rPr>
        <w:t>desprotección</w:t>
      </w:r>
      <w:r>
        <w:rPr>
          <w:color w:val="231F20"/>
          <w:spacing w:val="-6"/>
          <w:sz w:val="22"/>
        </w:rPr>
        <w:t> </w:t>
      </w:r>
      <w:r>
        <w:rPr>
          <w:color w:val="231F20"/>
          <w:sz w:val="22"/>
        </w:rPr>
        <w:t>y desmantelamiento de la agricultura de granos básicos iniciada a partir de 1982 en México con la adopción acrítica y subordinada de los pro- gramas de ajuste estructural del Fondo Monetario Internacional, Ban- co Mundial y Banco Interamericano de</w:t>
      </w:r>
      <w:r>
        <w:rPr>
          <w:color w:val="231F20"/>
          <w:spacing w:val="-18"/>
          <w:sz w:val="22"/>
        </w:rPr>
        <w:t> </w:t>
      </w:r>
      <w:r>
        <w:rPr>
          <w:color w:val="231F20"/>
          <w:sz w:val="22"/>
        </w:rPr>
        <w:t>Desarrollo.</w:t>
      </w:r>
    </w:p>
    <w:p>
      <w:pPr>
        <w:pStyle w:val="ListParagraph"/>
        <w:numPr>
          <w:ilvl w:val="0"/>
          <w:numId w:val="8"/>
        </w:numPr>
        <w:tabs>
          <w:tab w:pos="478" w:val="left" w:leader="none"/>
        </w:tabs>
        <w:spacing w:line="247" w:lineRule="auto" w:before="0" w:after="0"/>
        <w:ind w:left="477" w:right="115" w:hanging="360"/>
        <w:jc w:val="both"/>
        <w:rPr>
          <w:sz w:val="22"/>
        </w:rPr>
      </w:pPr>
      <w:r>
        <w:rPr>
          <w:color w:val="231F20"/>
          <w:sz w:val="22"/>
        </w:rPr>
        <w:t>El</w:t>
      </w:r>
      <w:r>
        <w:rPr>
          <w:color w:val="231F20"/>
          <w:spacing w:val="-11"/>
          <w:sz w:val="22"/>
        </w:rPr>
        <w:t> </w:t>
      </w:r>
      <w:r>
        <w:rPr>
          <w:color w:val="231F20"/>
          <w:sz w:val="22"/>
        </w:rPr>
        <w:t>TLCAN</w:t>
      </w:r>
      <w:r>
        <w:rPr>
          <w:color w:val="231F20"/>
          <w:spacing w:val="-7"/>
          <w:sz w:val="22"/>
        </w:rPr>
        <w:t> </w:t>
      </w:r>
      <w:r>
        <w:rPr>
          <w:color w:val="231F20"/>
          <w:sz w:val="22"/>
        </w:rPr>
        <w:t>coloca</w:t>
      </w:r>
      <w:r>
        <w:rPr>
          <w:color w:val="231F20"/>
          <w:spacing w:val="-7"/>
          <w:sz w:val="22"/>
        </w:rPr>
        <w:t> </w:t>
      </w:r>
      <w:r>
        <w:rPr>
          <w:color w:val="231F20"/>
          <w:sz w:val="22"/>
        </w:rPr>
        <w:t>al</w:t>
      </w:r>
      <w:r>
        <w:rPr>
          <w:color w:val="231F20"/>
          <w:spacing w:val="-7"/>
          <w:sz w:val="22"/>
        </w:rPr>
        <w:t> </w:t>
      </w:r>
      <w:r>
        <w:rPr>
          <w:color w:val="231F20"/>
          <w:sz w:val="22"/>
        </w:rPr>
        <w:t>país</w:t>
      </w:r>
      <w:r>
        <w:rPr>
          <w:color w:val="231F20"/>
          <w:spacing w:val="-7"/>
          <w:sz w:val="22"/>
        </w:rPr>
        <w:t> </w:t>
      </w:r>
      <w:r>
        <w:rPr>
          <w:color w:val="231F20"/>
          <w:sz w:val="22"/>
        </w:rPr>
        <w:t>en</w:t>
      </w:r>
      <w:r>
        <w:rPr>
          <w:color w:val="231F20"/>
          <w:spacing w:val="-7"/>
          <w:sz w:val="22"/>
        </w:rPr>
        <w:t> </w:t>
      </w:r>
      <w:r>
        <w:rPr>
          <w:color w:val="231F20"/>
          <w:sz w:val="22"/>
        </w:rPr>
        <w:t>el</w:t>
      </w:r>
      <w:r>
        <w:rPr>
          <w:color w:val="231F20"/>
          <w:spacing w:val="-7"/>
          <w:sz w:val="22"/>
        </w:rPr>
        <w:t> </w:t>
      </w:r>
      <w:r>
        <w:rPr>
          <w:color w:val="231F20"/>
          <w:sz w:val="22"/>
        </w:rPr>
        <w:t>peor</w:t>
      </w:r>
      <w:r>
        <w:rPr>
          <w:color w:val="231F20"/>
          <w:spacing w:val="-7"/>
          <w:sz w:val="22"/>
        </w:rPr>
        <w:t> </w:t>
      </w:r>
      <w:r>
        <w:rPr>
          <w:color w:val="231F20"/>
          <w:sz w:val="22"/>
        </w:rPr>
        <w:t>de</w:t>
      </w:r>
      <w:r>
        <w:rPr>
          <w:color w:val="231F20"/>
          <w:spacing w:val="-7"/>
          <w:sz w:val="22"/>
        </w:rPr>
        <w:t> </w:t>
      </w:r>
      <w:r>
        <w:rPr>
          <w:color w:val="231F20"/>
          <w:sz w:val="22"/>
        </w:rPr>
        <w:t>los</w:t>
      </w:r>
      <w:r>
        <w:rPr>
          <w:color w:val="231F20"/>
          <w:spacing w:val="-7"/>
          <w:sz w:val="22"/>
        </w:rPr>
        <w:t> </w:t>
      </w:r>
      <w:r>
        <w:rPr>
          <w:color w:val="231F20"/>
          <w:sz w:val="22"/>
        </w:rPr>
        <w:t>mundos</w:t>
      </w:r>
      <w:r>
        <w:rPr>
          <w:color w:val="231F20"/>
          <w:spacing w:val="-7"/>
          <w:sz w:val="22"/>
        </w:rPr>
        <w:t> </w:t>
      </w:r>
      <w:r>
        <w:rPr>
          <w:color w:val="231F20"/>
          <w:sz w:val="22"/>
        </w:rPr>
        <w:t>posibles:</w:t>
      </w:r>
      <w:r>
        <w:rPr>
          <w:color w:val="231F20"/>
          <w:spacing w:val="-7"/>
          <w:sz w:val="22"/>
        </w:rPr>
        <w:t> </w:t>
      </w:r>
      <w:r>
        <w:rPr>
          <w:color w:val="231F20"/>
          <w:sz w:val="22"/>
        </w:rPr>
        <w:t>ni</w:t>
      </w:r>
      <w:r>
        <w:rPr>
          <w:color w:val="231F20"/>
          <w:spacing w:val="-7"/>
          <w:sz w:val="22"/>
        </w:rPr>
        <w:t> </w:t>
      </w:r>
      <w:r>
        <w:rPr>
          <w:color w:val="231F20"/>
          <w:sz w:val="22"/>
        </w:rPr>
        <w:t>autosu- ficiencia alimentaria ni ventajas</w:t>
      </w:r>
      <w:r>
        <w:rPr>
          <w:color w:val="231F20"/>
          <w:spacing w:val="-12"/>
          <w:sz w:val="22"/>
        </w:rPr>
        <w:t> </w:t>
      </w:r>
      <w:r>
        <w:rPr>
          <w:color w:val="231F20"/>
          <w:sz w:val="22"/>
        </w:rPr>
        <w:t>comparativas.</w:t>
      </w:r>
    </w:p>
    <w:p>
      <w:pPr>
        <w:pStyle w:val="ListParagraph"/>
        <w:numPr>
          <w:ilvl w:val="0"/>
          <w:numId w:val="8"/>
        </w:numPr>
        <w:tabs>
          <w:tab w:pos="478" w:val="left" w:leader="none"/>
        </w:tabs>
        <w:spacing w:line="247" w:lineRule="auto" w:before="0" w:after="0"/>
        <w:ind w:left="477" w:right="115" w:hanging="360"/>
        <w:jc w:val="both"/>
        <w:rPr>
          <w:sz w:val="22"/>
        </w:rPr>
      </w:pPr>
      <w:r>
        <w:rPr>
          <w:color w:val="231F20"/>
          <w:sz w:val="22"/>
        </w:rPr>
        <w:t>El TLCAN tiende a favorecer una privatización excluyente y concen- trada del mercado de granos</w:t>
      </w:r>
      <w:r>
        <w:rPr>
          <w:color w:val="231F20"/>
          <w:spacing w:val="-2"/>
          <w:sz w:val="22"/>
        </w:rPr>
        <w:t> </w:t>
      </w:r>
      <w:r>
        <w:rPr>
          <w:color w:val="231F20"/>
          <w:sz w:val="22"/>
        </w:rPr>
        <w:t>básicos.</w:t>
      </w:r>
    </w:p>
    <w:p>
      <w:pPr>
        <w:spacing w:after="0" w:line="247" w:lineRule="auto"/>
        <w:jc w:val="both"/>
        <w:rPr>
          <w:sz w:val="22"/>
        </w:rPr>
        <w:sectPr>
          <w:pgSz w:w="9360" w:h="13040"/>
          <w:pgMar w:header="0" w:footer="496" w:top="740" w:bottom="680" w:left="1300" w:right="1300"/>
        </w:sectPr>
      </w:pPr>
    </w:p>
    <w:p>
      <w:pPr>
        <w:tabs>
          <w:tab w:pos="5536" w:val="left" w:leader="none"/>
        </w:tabs>
        <w:spacing w:before="48"/>
        <w:ind w:left="105" w:right="0" w:firstLine="0"/>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ListParagraph"/>
        <w:numPr>
          <w:ilvl w:val="0"/>
          <w:numId w:val="8"/>
        </w:numPr>
        <w:tabs>
          <w:tab w:pos="478" w:val="left" w:leader="none"/>
        </w:tabs>
        <w:spacing w:line="247" w:lineRule="auto" w:before="0" w:after="0"/>
        <w:ind w:left="477" w:right="115" w:hanging="360"/>
        <w:jc w:val="both"/>
        <w:rPr>
          <w:sz w:val="22"/>
        </w:rPr>
      </w:pPr>
      <w:r>
        <w:rPr>
          <w:color w:val="231F20"/>
          <w:sz w:val="22"/>
        </w:rPr>
        <w:t>El TLCAN tiende a imponer un patrón único de consumo: el de los estadounidenses.</w:t>
      </w:r>
    </w:p>
    <w:p>
      <w:pPr>
        <w:pStyle w:val="ListParagraph"/>
        <w:numPr>
          <w:ilvl w:val="0"/>
          <w:numId w:val="8"/>
        </w:numPr>
        <w:tabs>
          <w:tab w:pos="478" w:val="left" w:leader="none"/>
        </w:tabs>
        <w:spacing w:line="247" w:lineRule="auto" w:before="0" w:after="0"/>
        <w:ind w:left="477" w:right="114" w:hanging="360"/>
        <w:jc w:val="both"/>
        <w:rPr>
          <w:sz w:val="22"/>
        </w:rPr>
      </w:pPr>
      <w:r>
        <w:rPr>
          <w:color w:val="231F20"/>
          <w:sz w:val="22"/>
        </w:rPr>
        <w:t>El incremento de la importación de granos básicos no sólo no se ha traducido en la disminución de precios al consumidor y en mayor dis- ponibilidad y acceso a alimentos para la mayoría, sino que además profundiza los problemas de desempleo y migración, en una situación macroeconómica de</w:t>
      </w:r>
      <w:r>
        <w:rPr>
          <w:color w:val="231F20"/>
          <w:spacing w:val="-1"/>
          <w:sz w:val="22"/>
        </w:rPr>
        <w:t> </w:t>
      </w:r>
      <w:r>
        <w:rPr>
          <w:color w:val="231F20"/>
          <w:sz w:val="22"/>
        </w:rPr>
        <w:t>estancamiento.</w:t>
      </w:r>
    </w:p>
    <w:p>
      <w:pPr>
        <w:pStyle w:val="Heading3"/>
        <w:spacing w:line="242" w:lineRule="auto"/>
        <w:ind w:right="1056"/>
        <w:jc w:val="left"/>
      </w:pPr>
      <w:r>
        <w:rPr>
          <w:color w:val="231F20"/>
        </w:rPr>
        <w:t>El Valle de Tangancícuaro en la década de los noventa en el contexto neoliberal</w:t>
      </w:r>
    </w:p>
    <w:p>
      <w:pPr>
        <w:pStyle w:val="BodyText"/>
        <w:spacing w:line="247" w:lineRule="auto" w:before="170"/>
        <w:ind w:left="117" w:right="115"/>
        <w:jc w:val="both"/>
      </w:pPr>
      <w:r>
        <w:rPr>
          <w:color w:val="231F20"/>
        </w:rPr>
        <w:t>Al igual que hace cien años, muchas personas y familias que habitaban el </w:t>
      </w:r>
      <w:r>
        <w:rPr>
          <w:color w:val="231F20"/>
          <w:spacing w:val="-5"/>
        </w:rPr>
        <w:t>Valle</w:t>
      </w:r>
      <w:r>
        <w:rPr>
          <w:color w:val="231F20"/>
          <w:spacing w:val="-8"/>
        </w:rPr>
        <w:t> </w:t>
      </w:r>
      <w:r>
        <w:rPr>
          <w:color w:val="231F20"/>
        </w:rPr>
        <w:t>de</w:t>
      </w:r>
      <w:r>
        <w:rPr>
          <w:color w:val="231F20"/>
          <w:spacing w:val="-12"/>
        </w:rPr>
        <w:t> </w:t>
      </w:r>
      <w:r>
        <w:rPr>
          <w:color w:val="231F20"/>
        </w:rPr>
        <w:t>Tangancícuaro</w:t>
      </w:r>
      <w:r>
        <w:rPr>
          <w:color w:val="231F20"/>
          <w:spacing w:val="-9"/>
        </w:rPr>
        <w:t> </w:t>
      </w:r>
      <w:r>
        <w:rPr>
          <w:color w:val="231F20"/>
        </w:rPr>
        <w:t>en</w:t>
      </w:r>
      <w:r>
        <w:rPr>
          <w:color w:val="231F20"/>
          <w:spacing w:val="-8"/>
        </w:rPr>
        <w:t> </w:t>
      </w:r>
      <w:r>
        <w:rPr>
          <w:color w:val="231F20"/>
        </w:rPr>
        <w:t>las</w:t>
      </w:r>
      <w:r>
        <w:rPr>
          <w:color w:val="231F20"/>
          <w:spacing w:val="-9"/>
        </w:rPr>
        <w:t> </w:t>
      </w:r>
      <w:r>
        <w:rPr>
          <w:color w:val="231F20"/>
        </w:rPr>
        <w:t>últimas</w:t>
      </w:r>
      <w:r>
        <w:rPr>
          <w:color w:val="231F20"/>
          <w:spacing w:val="-8"/>
        </w:rPr>
        <w:t> </w:t>
      </w:r>
      <w:r>
        <w:rPr>
          <w:color w:val="231F20"/>
        </w:rPr>
        <w:t>décadas</w:t>
      </w:r>
      <w:r>
        <w:rPr>
          <w:color w:val="231F20"/>
          <w:spacing w:val="-8"/>
        </w:rPr>
        <w:t> </w:t>
      </w:r>
      <w:r>
        <w:rPr>
          <w:color w:val="231F20"/>
        </w:rPr>
        <w:t>han</w:t>
      </w:r>
      <w:r>
        <w:rPr>
          <w:color w:val="231F20"/>
          <w:spacing w:val="-8"/>
        </w:rPr>
        <w:t> </w:t>
      </w:r>
      <w:r>
        <w:rPr>
          <w:color w:val="231F20"/>
        </w:rPr>
        <w:t>migrado</w:t>
      </w:r>
      <w:r>
        <w:rPr>
          <w:color w:val="231F20"/>
          <w:spacing w:val="-9"/>
        </w:rPr>
        <w:t> </w:t>
      </w:r>
      <w:r>
        <w:rPr>
          <w:color w:val="231F20"/>
        </w:rPr>
        <w:t>a</w:t>
      </w:r>
      <w:r>
        <w:rPr>
          <w:color w:val="231F20"/>
          <w:spacing w:val="-8"/>
        </w:rPr>
        <w:t> </w:t>
      </w:r>
      <w:r>
        <w:rPr>
          <w:color w:val="231F20"/>
        </w:rPr>
        <w:t>Estados</w:t>
      </w:r>
      <w:r>
        <w:rPr>
          <w:color w:val="231F20"/>
          <w:spacing w:val="-9"/>
        </w:rPr>
        <w:t> </w:t>
      </w:r>
      <w:r>
        <w:rPr>
          <w:color w:val="231F20"/>
        </w:rPr>
        <w:t>Uni- dos para establecerse de manera definitiva, a partir de las distintas opor- tunidades para que los migrantes regularicen su estancia legal en Estados Unidos</w:t>
      </w:r>
      <w:r>
        <w:rPr>
          <w:color w:val="231F20"/>
          <w:spacing w:val="-10"/>
        </w:rPr>
        <w:t> </w:t>
      </w:r>
      <w:r>
        <w:rPr>
          <w:color w:val="231F20"/>
        </w:rPr>
        <w:t>(las</w:t>
      </w:r>
      <w:r>
        <w:rPr>
          <w:color w:val="231F20"/>
          <w:spacing w:val="-10"/>
        </w:rPr>
        <w:t> </w:t>
      </w:r>
      <w:r>
        <w:rPr>
          <w:color w:val="231F20"/>
        </w:rPr>
        <w:t>cartas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flor</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amnistía)</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de</w:t>
      </w:r>
      <w:r>
        <w:rPr>
          <w:color w:val="231F20"/>
          <w:spacing w:val="-10"/>
        </w:rPr>
        <w:t> </w:t>
      </w:r>
      <w:r>
        <w:rPr>
          <w:color w:val="231F20"/>
        </w:rPr>
        <w:t>sus</w:t>
      </w:r>
      <w:r>
        <w:rPr>
          <w:color w:val="231F20"/>
          <w:spacing w:val="-10"/>
        </w:rPr>
        <w:t> </w:t>
      </w:r>
      <w:r>
        <w:rPr>
          <w:color w:val="231F20"/>
        </w:rPr>
        <w:t>familias.</w:t>
      </w:r>
      <w:r>
        <w:rPr>
          <w:color w:val="231F20"/>
          <w:spacing w:val="-10"/>
        </w:rPr>
        <w:t> </w:t>
      </w:r>
      <w:r>
        <w:rPr>
          <w:color w:val="231F20"/>
        </w:rPr>
        <w:t>Dando</w:t>
      </w:r>
      <w:r>
        <w:rPr>
          <w:color w:val="231F20"/>
          <w:spacing w:val="-10"/>
        </w:rPr>
        <w:t> </w:t>
      </w:r>
      <w:r>
        <w:rPr>
          <w:color w:val="231F20"/>
        </w:rPr>
        <w:t>como consecuencia que no haya avisos de que en algún momento estas familias regresen a vivir de nuevo a sus comunidades de origen, ya que en éstas  no encuentran las condiciones necesarias para obtener empleos o si los encuentran no son bien</w:t>
      </w:r>
      <w:r>
        <w:rPr>
          <w:color w:val="231F20"/>
          <w:spacing w:val="-3"/>
        </w:rPr>
        <w:t> </w:t>
      </w:r>
      <w:r>
        <w:rPr>
          <w:color w:val="231F20"/>
        </w:rPr>
        <w:t>remunerados.</w:t>
      </w:r>
    </w:p>
    <w:p>
      <w:pPr>
        <w:pStyle w:val="BodyText"/>
        <w:spacing w:line="247" w:lineRule="auto"/>
        <w:ind w:left="117" w:right="114" w:firstLine="283"/>
        <w:jc w:val="right"/>
      </w:pPr>
      <w:r>
        <w:rPr>
          <w:color w:val="231F20"/>
        </w:rPr>
        <w:t>Como menciona una parte significativa de los entrevistados</w:t>
      </w:r>
      <w:r>
        <w:rPr>
          <w:color w:val="231F20"/>
          <w:spacing w:val="13"/>
        </w:rPr>
        <w:t> </w:t>
      </w:r>
      <w:r>
        <w:rPr>
          <w:color w:val="231F20"/>
        </w:rPr>
        <w:t>que</w:t>
      </w:r>
      <w:r>
        <w:rPr>
          <w:color w:val="231F20"/>
          <w:spacing w:val="1"/>
        </w:rPr>
        <w:t> </w:t>
      </w:r>
      <w:r>
        <w:rPr>
          <w:color w:val="231F20"/>
        </w:rPr>
        <w:t>tenían</w:t>
      </w:r>
      <w:r>
        <w:rPr>
          <w:color w:val="231F20"/>
          <w:w w:val="100"/>
        </w:rPr>
        <w:t> </w:t>
      </w:r>
      <w:r>
        <w:rPr>
          <w:color w:val="231F20"/>
        </w:rPr>
        <w:t>hijos jóvenes en la década de los noventa y que vivían en el </w:t>
      </w:r>
      <w:r>
        <w:rPr>
          <w:color w:val="231F20"/>
          <w:spacing w:val="-5"/>
        </w:rPr>
        <w:t>Valle</w:t>
      </w:r>
      <w:r>
        <w:rPr>
          <w:color w:val="231F20"/>
          <w:spacing w:val="-4"/>
        </w:rPr>
        <w:t> </w:t>
      </w:r>
      <w:r>
        <w:rPr>
          <w:color w:val="231F20"/>
        </w:rPr>
        <w:t>de </w:t>
      </w:r>
      <w:r>
        <w:rPr>
          <w:color w:val="231F20"/>
          <w:spacing w:val="-4"/>
        </w:rPr>
        <w:t>Tan-</w:t>
      </w:r>
      <w:r>
        <w:rPr>
          <w:color w:val="231F20"/>
        </w:rPr>
        <w:t> gancícuaro,</w:t>
      </w:r>
      <w:r>
        <w:rPr>
          <w:color w:val="231F20"/>
          <w:spacing w:val="17"/>
        </w:rPr>
        <w:t> </w:t>
      </w:r>
      <w:r>
        <w:rPr>
          <w:color w:val="231F20"/>
        </w:rPr>
        <w:t>en</w:t>
      </w:r>
      <w:r>
        <w:rPr>
          <w:color w:val="231F20"/>
          <w:spacing w:val="17"/>
        </w:rPr>
        <w:t> </w:t>
      </w:r>
      <w:r>
        <w:rPr>
          <w:color w:val="231F20"/>
        </w:rPr>
        <w:t>esa</w:t>
      </w:r>
      <w:r>
        <w:rPr>
          <w:color w:val="231F20"/>
          <w:spacing w:val="17"/>
        </w:rPr>
        <w:t> </w:t>
      </w:r>
      <w:r>
        <w:rPr>
          <w:color w:val="231F20"/>
        </w:rPr>
        <w:t>época</w:t>
      </w:r>
      <w:r>
        <w:rPr>
          <w:color w:val="231F20"/>
          <w:spacing w:val="17"/>
        </w:rPr>
        <w:t> </w:t>
      </w:r>
      <w:r>
        <w:rPr>
          <w:color w:val="231F20"/>
        </w:rPr>
        <w:t>muchos</w:t>
      </w:r>
      <w:r>
        <w:rPr>
          <w:color w:val="231F20"/>
          <w:spacing w:val="17"/>
        </w:rPr>
        <w:t> </w:t>
      </w:r>
      <w:r>
        <w:rPr>
          <w:color w:val="231F20"/>
        </w:rPr>
        <w:t>de</w:t>
      </w:r>
      <w:r>
        <w:rPr>
          <w:color w:val="231F20"/>
          <w:spacing w:val="17"/>
        </w:rPr>
        <w:t> </w:t>
      </w:r>
      <w:r>
        <w:rPr>
          <w:color w:val="231F20"/>
        </w:rPr>
        <w:t>esos</w:t>
      </w:r>
      <w:r>
        <w:rPr>
          <w:color w:val="231F20"/>
          <w:spacing w:val="17"/>
        </w:rPr>
        <w:t> </w:t>
      </w:r>
      <w:r>
        <w:rPr>
          <w:color w:val="231F20"/>
        </w:rPr>
        <w:t>jóvenes</w:t>
      </w:r>
      <w:r>
        <w:rPr>
          <w:color w:val="231F20"/>
          <w:spacing w:val="16"/>
        </w:rPr>
        <w:t> </w:t>
      </w:r>
      <w:r>
        <w:rPr>
          <w:color w:val="231F20"/>
        </w:rPr>
        <w:t>optaron</w:t>
      </w:r>
      <w:r>
        <w:rPr>
          <w:color w:val="231F20"/>
          <w:spacing w:val="17"/>
        </w:rPr>
        <w:t> </w:t>
      </w:r>
      <w:r>
        <w:rPr>
          <w:color w:val="231F20"/>
        </w:rPr>
        <w:t>por</w:t>
      </w:r>
      <w:r>
        <w:rPr>
          <w:color w:val="231F20"/>
          <w:spacing w:val="17"/>
        </w:rPr>
        <w:t> </w:t>
      </w:r>
      <w:r>
        <w:rPr>
          <w:color w:val="231F20"/>
        </w:rPr>
        <w:t>irse</w:t>
      </w:r>
      <w:r>
        <w:rPr>
          <w:color w:val="231F20"/>
          <w:spacing w:val="17"/>
        </w:rPr>
        <w:t> </w:t>
      </w:r>
      <w:r>
        <w:rPr>
          <w:color w:val="231F20"/>
        </w:rPr>
        <w:t>a</w:t>
      </w:r>
      <w:r>
        <w:rPr>
          <w:color w:val="231F20"/>
          <w:spacing w:val="17"/>
        </w:rPr>
        <w:t> </w:t>
      </w:r>
      <w:r>
        <w:rPr>
          <w:color w:val="231F20"/>
        </w:rPr>
        <w:t>Es- tados Unidos, aunque tenían trabajo en sus comunidades, ya que</w:t>
      </w:r>
      <w:r>
        <w:rPr>
          <w:color w:val="231F20"/>
          <w:spacing w:val="54"/>
        </w:rPr>
        <w:t> </w:t>
      </w:r>
      <w:r>
        <w:rPr>
          <w:color w:val="231F20"/>
        </w:rPr>
        <w:t>éste</w:t>
      </w:r>
      <w:r>
        <w:rPr>
          <w:color w:val="231F20"/>
          <w:spacing w:val="11"/>
        </w:rPr>
        <w:t> </w:t>
      </w:r>
      <w:r>
        <w:rPr>
          <w:color w:val="231F20"/>
        </w:rPr>
        <w:t>era muy mal pagado y las jornadas de trabajo eran largas. Con lo</w:t>
      </w:r>
      <w:r>
        <w:rPr>
          <w:color w:val="231F20"/>
          <w:spacing w:val="-28"/>
        </w:rPr>
        <w:t> </w:t>
      </w:r>
      <w:r>
        <w:rPr>
          <w:color w:val="231F20"/>
        </w:rPr>
        <w:t>que</w:t>
      </w:r>
      <w:r>
        <w:rPr>
          <w:color w:val="231F20"/>
          <w:spacing w:val="-3"/>
        </w:rPr>
        <w:t> </w:t>
      </w:r>
      <w:r>
        <w:rPr>
          <w:color w:val="231F20"/>
        </w:rPr>
        <w:t>ganaban a</w:t>
      </w:r>
      <w:r>
        <w:rPr>
          <w:color w:val="231F20"/>
          <w:spacing w:val="22"/>
        </w:rPr>
        <w:t> </w:t>
      </w:r>
      <w:r>
        <w:rPr>
          <w:color w:val="231F20"/>
        </w:rPr>
        <w:t>veces</w:t>
      </w:r>
      <w:r>
        <w:rPr>
          <w:color w:val="231F20"/>
          <w:spacing w:val="22"/>
        </w:rPr>
        <w:t> </w:t>
      </w:r>
      <w:r>
        <w:rPr>
          <w:color w:val="231F20"/>
        </w:rPr>
        <w:t>ni</w:t>
      </w:r>
      <w:r>
        <w:rPr>
          <w:color w:val="231F20"/>
          <w:spacing w:val="22"/>
        </w:rPr>
        <w:t> </w:t>
      </w:r>
      <w:r>
        <w:rPr>
          <w:color w:val="231F20"/>
        </w:rPr>
        <w:t>les</w:t>
      </w:r>
      <w:r>
        <w:rPr>
          <w:color w:val="231F20"/>
          <w:spacing w:val="22"/>
        </w:rPr>
        <w:t> </w:t>
      </w:r>
      <w:r>
        <w:rPr>
          <w:color w:val="231F20"/>
        </w:rPr>
        <w:t>alcanzaba</w:t>
      </w:r>
      <w:r>
        <w:rPr>
          <w:color w:val="231F20"/>
          <w:spacing w:val="22"/>
        </w:rPr>
        <w:t> </w:t>
      </w:r>
      <w:r>
        <w:rPr>
          <w:color w:val="231F20"/>
        </w:rPr>
        <w:t>para</w:t>
      </w:r>
      <w:r>
        <w:rPr>
          <w:color w:val="231F20"/>
          <w:spacing w:val="22"/>
        </w:rPr>
        <w:t> </w:t>
      </w:r>
      <w:r>
        <w:rPr>
          <w:color w:val="231F20"/>
        </w:rPr>
        <w:t>comer</w:t>
      </w:r>
      <w:r>
        <w:rPr>
          <w:color w:val="231F20"/>
          <w:spacing w:val="22"/>
        </w:rPr>
        <w:t> </w:t>
      </w:r>
      <w:r>
        <w:rPr>
          <w:color w:val="231F20"/>
        </w:rPr>
        <w:t>bien,</w:t>
      </w:r>
      <w:r>
        <w:rPr>
          <w:color w:val="231F20"/>
          <w:spacing w:val="22"/>
        </w:rPr>
        <w:t> </w:t>
      </w:r>
      <w:r>
        <w:rPr>
          <w:color w:val="231F20"/>
        </w:rPr>
        <w:t>ni</w:t>
      </w:r>
      <w:r>
        <w:rPr>
          <w:color w:val="231F20"/>
          <w:spacing w:val="22"/>
        </w:rPr>
        <w:t> </w:t>
      </w:r>
      <w:r>
        <w:rPr>
          <w:color w:val="231F20"/>
        </w:rPr>
        <w:t>para</w:t>
      </w:r>
      <w:r>
        <w:rPr>
          <w:color w:val="231F20"/>
          <w:spacing w:val="22"/>
        </w:rPr>
        <w:t> </w:t>
      </w:r>
      <w:r>
        <w:rPr>
          <w:color w:val="231F20"/>
        </w:rPr>
        <w:t>comprar</w:t>
      </w:r>
      <w:r>
        <w:rPr>
          <w:color w:val="231F20"/>
          <w:spacing w:val="22"/>
        </w:rPr>
        <w:t> </w:t>
      </w:r>
      <w:r>
        <w:rPr>
          <w:color w:val="231F20"/>
        </w:rPr>
        <w:t>ropa,</w:t>
      </w:r>
      <w:r>
        <w:rPr>
          <w:color w:val="231F20"/>
          <w:spacing w:val="22"/>
        </w:rPr>
        <w:t> </w:t>
      </w:r>
      <w:r>
        <w:rPr>
          <w:color w:val="231F20"/>
        </w:rPr>
        <w:t>vamos, ni para cubrir sus necesidades adecuadamente. En definitiva el</w:t>
      </w:r>
      <w:r>
        <w:rPr>
          <w:color w:val="231F20"/>
          <w:spacing w:val="31"/>
        </w:rPr>
        <w:t> </w:t>
      </w:r>
      <w:r>
        <w:rPr>
          <w:color w:val="231F20"/>
        </w:rPr>
        <w:t>campo</w:t>
      </w:r>
      <w:r>
        <w:rPr>
          <w:color w:val="231F20"/>
          <w:spacing w:val="9"/>
        </w:rPr>
        <w:t> </w:t>
      </w:r>
      <w:r>
        <w:rPr>
          <w:color w:val="231F20"/>
        </w:rPr>
        <w:t>no daba</w:t>
      </w:r>
      <w:r>
        <w:rPr>
          <w:color w:val="231F20"/>
          <w:spacing w:val="-10"/>
        </w:rPr>
        <w:t> </w:t>
      </w:r>
      <w:r>
        <w:rPr>
          <w:color w:val="231F20"/>
        </w:rPr>
        <w:t>para</w:t>
      </w:r>
      <w:r>
        <w:rPr>
          <w:color w:val="231F20"/>
          <w:spacing w:val="-10"/>
        </w:rPr>
        <w:t> </w:t>
      </w:r>
      <w:r>
        <w:rPr>
          <w:color w:val="231F20"/>
          <w:spacing w:val="-3"/>
        </w:rPr>
        <w:t>vivir.</w:t>
      </w:r>
      <w:r>
        <w:rPr>
          <w:color w:val="231F20"/>
          <w:spacing w:val="-10"/>
        </w:rPr>
        <w:t> </w:t>
      </w:r>
      <w:r>
        <w:rPr>
          <w:color w:val="231F20"/>
        </w:rPr>
        <w:t>Fue</w:t>
      </w:r>
      <w:r>
        <w:rPr>
          <w:color w:val="231F20"/>
          <w:spacing w:val="-9"/>
        </w:rPr>
        <w:t> </w:t>
      </w:r>
      <w:r>
        <w:rPr>
          <w:color w:val="231F20"/>
        </w:rPr>
        <w:t>entonces</w:t>
      </w:r>
      <w:r>
        <w:rPr>
          <w:color w:val="231F20"/>
          <w:spacing w:val="-10"/>
        </w:rPr>
        <w:t> </w:t>
      </w:r>
      <w:r>
        <w:rPr>
          <w:color w:val="231F20"/>
        </w:rPr>
        <w:t>que</w:t>
      </w:r>
      <w:r>
        <w:rPr>
          <w:color w:val="231F20"/>
          <w:spacing w:val="-10"/>
        </w:rPr>
        <w:t> </w:t>
      </w:r>
      <w:r>
        <w:rPr>
          <w:color w:val="231F20"/>
        </w:rPr>
        <w:t>estos</w:t>
      </w:r>
      <w:r>
        <w:rPr>
          <w:color w:val="231F20"/>
          <w:spacing w:val="-10"/>
        </w:rPr>
        <w:t> </w:t>
      </w:r>
      <w:r>
        <w:rPr>
          <w:color w:val="231F20"/>
        </w:rPr>
        <w:t>jóvenes</w:t>
      </w:r>
      <w:r>
        <w:rPr>
          <w:color w:val="231F20"/>
          <w:spacing w:val="-10"/>
        </w:rPr>
        <w:t> </w:t>
      </w:r>
      <w:r>
        <w:rPr>
          <w:color w:val="231F20"/>
        </w:rPr>
        <w:t>se</w:t>
      </w:r>
      <w:r>
        <w:rPr>
          <w:color w:val="231F20"/>
          <w:spacing w:val="-10"/>
        </w:rPr>
        <w:t> </w:t>
      </w:r>
      <w:r>
        <w:rPr>
          <w:color w:val="231F20"/>
        </w:rPr>
        <w:t>fueron</w:t>
      </w:r>
      <w:r>
        <w:rPr>
          <w:color w:val="231F20"/>
          <w:spacing w:val="-10"/>
        </w:rPr>
        <w:t> </w:t>
      </w:r>
      <w:r>
        <w:rPr>
          <w:color w:val="231F20"/>
        </w:rPr>
        <w:t>a</w:t>
      </w:r>
      <w:r>
        <w:rPr>
          <w:color w:val="231F20"/>
          <w:spacing w:val="-10"/>
        </w:rPr>
        <w:t> </w:t>
      </w:r>
      <w:r>
        <w:rPr>
          <w:color w:val="231F20"/>
        </w:rPr>
        <w:t>Estados</w:t>
      </w:r>
      <w:r>
        <w:rPr>
          <w:color w:val="231F20"/>
          <w:spacing w:val="-10"/>
        </w:rPr>
        <w:t> </w:t>
      </w:r>
      <w:r>
        <w:rPr>
          <w:color w:val="231F20"/>
        </w:rPr>
        <w:t>Unidos</w:t>
      </w:r>
      <w:r>
        <w:rPr>
          <w:color w:val="231F20"/>
          <w:spacing w:val="-1"/>
        </w:rPr>
        <w:t> </w:t>
      </w:r>
      <w:r>
        <w:rPr>
          <w:color w:val="231F20"/>
        </w:rPr>
        <w:t>con la idea de obtener un mejor ingreso aunque tuvieran que</w:t>
      </w:r>
      <w:r>
        <w:rPr>
          <w:color w:val="231F20"/>
          <w:spacing w:val="-22"/>
        </w:rPr>
        <w:t> </w:t>
      </w:r>
      <w:r>
        <w:rPr>
          <w:color w:val="231F20"/>
        </w:rPr>
        <w:t>trabajar</w:t>
      </w:r>
      <w:r>
        <w:rPr>
          <w:color w:val="231F20"/>
          <w:spacing w:val="-2"/>
        </w:rPr>
        <w:t> </w:t>
      </w:r>
      <w:r>
        <w:rPr>
          <w:color w:val="231F20"/>
        </w:rPr>
        <w:t>igual de</w:t>
      </w:r>
      <w:r>
        <w:rPr>
          <w:color w:val="231F20"/>
          <w:spacing w:val="-4"/>
        </w:rPr>
        <w:t> </w:t>
      </w:r>
      <w:r>
        <w:rPr>
          <w:color w:val="231F20"/>
        </w:rPr>
        <w:t>duro</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comunidad</w:t>
      </w:r>
      <w:r>
        <w:rPr>
          <w:color w:val="231F20"/>
          <w:spacing w:val="-4"/>
        </w:rPr>
        <w:t> </w:t>
      </w:r>
      <w:r>
        <w:rPr>
          <w:color w:val="231F20"/>
        </w:rPr>
        <w:t>de</w:t>
      </w:r>
      <w:r>
        <w:rPr>
          <w:color w:val="231F20"/>
          <w:spacing w:val="-4"/>
        </w:rPr>
        <w:t> </w:t>
      </w:r>
      <w:r>
        <w:rPr>
          <w:color w:val="231F20"/>
        </w:rPr>
        <w:t>origen,</w:t>
      </w:r>
      <w:r>
        <w:rPr>
          <w:color w:val="231F20"/>
          <w:spacing w:val="-4"/>
        </w:rPr>
        <w:t> </w:t>
      </w:r>
      <w:r>
        <w:rPr>
          <w:color w:val="231F20"/>
        </w:rPr>
        <w:t>pero</w:t>
      </w:r>
      <w:r>
        <w:rPr>
          <w:color w:val="231F20"/>
          <w:spacing w:val="-4"/>
        </w:rPr>
        <w:t> </w:t>
      </w:r>
      <w:r>
        <w:rPr>
          <w:color w:val="231F20"/>
        </w:rPr>
        <w:t>con</w:t>
      </w:r>
      <w:r>
        <w:rPr>
          <w:color w:val="231F20"/>
          <w:spacing w:val="-4"/>
        </w:rPr>
        <w:t> </w:t>
      </w:r>
      <w:r>
        <w:rPr>
          <w:color w:val="231F20"/>
        </w:rPr>
        <w:t>una</w:t>
      </w:r>
      <w:r>
        <w:rPr>
          <w:color w:val="231F20"/>
          <w:spacing w:val="-4"/>
        </w:rPr>
        <w:t> </w:t>
      </w:r>
      <w:r>
        <w:rPr>
          <w:color w:val="231F20"/>
        </w:rPr>
        <w:t>mejor</w:t>
      </w:r>
      <w:r>
        <w:rPr>
          <w:color w:val="231F20"/>
          <w:spacing w:val="-4"/>
        </w:rPr>
        <w:t> </w:t>
      </w:r>
      <w:r>
        <w:rPr>
          <w:color w:val="231F20"/>
        </w:rPr>
        <w:t>remuneración. Cabe mencionar que esta migración de los años noventa fue</w:t>
      </w:r>
      <w:r>
        <w:rPr>
          <w:color w:val="231F20"/>
          <w:spacing w:val="37"/>
        </w:rPr>
        <w:t> </w:t>
      </w:r>
      <w:r>
        <w:rPr>
          <w:color w:val="231F20"/>
        </w:rPr>
        <w:t>de</w:t>
      </w:r>
      <w:r>
        <w:rPr>
          <w:color w:val="231F20"/>
          <w:spacing w:val="4"/>
        </w:rPr>
        <w:t> </w:t>
      </w:r>
      <w:r>
        <w:rPr>
          <w:color w:val="231F20"/>
        </w:rPr>
        <w:t>mucho menor intensidad que la que se presentó en décadas</w:t>
      </w:r>
      <w:r>
        <w:rPr>
          <w:color w:val="231F20"/>
          <w:spacing w:val="25"/>
        </w:rPr>
        <w:t> </w:t>
      </w:r>
      <w:r>
        <w:rPr>
          <w:color w:val="231F20"/>
        </w:rPr>
        <w:t>anteriores,</w:t>
      </w:r>
      <w:r>
        <w:rPr>
          <w:color w:val="231F20"/>
          <w:spacing w:val="8"/>
        </w:rPr>
        <w:t> </w:t>
      </w:r>
      <w:r>
        <w:rPr>
          <w:color w:val="231F20"/>
        </w:rPr>
        <w:t>principal- mente con la amnistía de 1986. Pero aún significó la salida</w:t>
      </w:r>
      <w:r>
        <w:rPr>
          <w:color w:val="231F20"/>
          <w:spacing w:val="33"/>
        </w:rPr>
        <w:t> </w:t>
      </w:r>
      <w:r>
        <w:rPr>
          <w:color w:val="231F20"/>
        </w:rPr>
        <w:t>de</w:t>
      </w:r>
      <w:r>
        <w:rPr>
          <w:color w:val="231F20"/>
          <w:spacing w:val="13"/>
        </w:rPr>
        <w:t> </w:t>
      </w:r>
      <w:r>
        <w:rPr>
          <w:color w:val="231F20"/>
        </w:rPr>
        <w:t>población</w:t>
      </w:r>
      <w:r>
        <w:rPr>
          <w:color w:val="231F20"/>
          <w:w w:val="100"/>
        </w:rPr>
        <w:t> </w:t>
      </w:r>
      <w:r>
        <w:rPr>
          <w:color w:val="231F20"/>
        </w:rPr>
        <w:t>en edad productiva y gran parte de ésta no piensa regresar a vivir</w:t>
      </w:r>
      <w:r>
        <w:rPr>
          <w:color w:val="231F20"/>
          <w:spacing w:val="18"/>
        </w:rPr>
        <w:t> </w:t>
      </w:r>
      <w:r>
        <w:rPr>
          <w:color w:val="231F20"/>
        </w:rPr>
        <w:t>al</w:t>
      </w:r>
      <w:r>
        <w:rPr>
          <w:color w:val="231F20"/>
          <w:spacing w:val="2"/>
        </w:rPr>
        <w:t> </w:t>
      </w:r>
      <w:r>
        <w:rPr>
          <w:color w:val="231F20"/>
          <w:spacing w:val="-5"/>
        </w:rPr>
        <w:t>Valle</w:t>
      </w:r>
      <w:r>
        <w:rPr>
          <w:color w:val="231F20"/>
        </w:rPr>
        <w:t> de Tangancícuaro, por encontrarse inmerso en la dinámica</w:t>
      </w:r>
      <w:r>
        <w:rPr>
          <w:color w:val="231F20"/>
          <w:spacing w:val="8"/>
        </w:rPr>
        <w:t> </w:t>
      </w:r>
      <w:r>
        <w:rPr>
          <w:color w:val="231F20"/>
        </w:rPr>
        <w:t>migratoria</w:t>
      </w:r>
      <w:r>
        <w:rPr>
          <w:color w:val="231F20"/>
          <w:spacing w:val="15"/>
        </w:rPr>
        <w:t> </w:t>
      </w:r>
      <w:r>
        <w:rPr>
          <w:color w:val="231F20"/>
        </w:rPr>
        <w:t>de Estados</w:t>
      </w:r>
      <w:r>
        <w:rPr>
          <w:color w:val="231F20"/>
          <w:spacing w:val="-6"/>
        </w:rPr>
        <w:t> </w:t>
      </w:r>
      <w:r>
        <w:rPr>
          <w:color w:val="231F20"/>
        </w:rPr>
        <w:t>Unidos</w:t>
      </w:r>
      <w:r>
        <w:rPr>
          <w:color w:val="231F20"/>
          <w:spacing w:val="-5"/>
        </w:rPr>
        <w:t> </w:t>
      </w:r>
      <w:r>
        <w:rPr>
          <w:color w:val="231F20"/>
        </w:rPr>
        <w:t>y</w:t>
      </w:r>
      <w:r>
        <w:rPr>
          <w:color w:val="231F20"/>
          <w:spacing w:val="-6"/>
        </w:rPr>
        <w:t> </w:t>
      </w:r>
      <w:r>
        <w:rPr>
          <w:color w:val="231F20"/>
        </w:rPr>
        <w:t>ante</w:t>
      </w:r>
      <w:r>
        <w:rPr>
          <w:color w:val="231F20"/>
          <w:spacing w:val="-6"/>
        </w:rPr>
        <w:t> </w:t>
      </w:r>
      <w:r>
        <w:rPr>
          <w:color w:val="231F20"/>
        </w:rPr>
        <w:t>el</w:t>
      </w:r>
      <w:r>
        <w:rPr>
          <w:color w:val="231F20"/>
          <w:spacing w:val="-6"/>
        </w:rPr>
        <w:t> </w:t>
      </w:r>
      <w:r>
        <w:rPr>
          <w:color w:val="231F20"/>
        </w:rPr>
        <w:t>panorama</w:t>
      </w:r>
      <w:r>
        <w:rPr>
          <w:color w:val="231F20"/>
          <w:spacing w:val="-6"/>
        </w:rPr>
        <w:t> </w:t>
      </w:r>
      <w:r>
        <w:rPr>
          <w:color w:val="231F20"/>
        </w:rPr>
        <w:t>nada</w:t>
      </w:r>
      <w:r>
        <w:rPr>
          <w:color w:val="231F20"/>
          <w:spacing w:val="-6"/>
        </w:rPr>
        <w:t> </w:t>
      </w:r>
      <w:r>
        <w:rPr>
          <w:color w:val="231F20"/>
        </w:rPr>
        <w:t>alentador</w:t>
      </w:r>
      <w:r>
        <w:rPr>
          <w:color w:val="231F20"/>
          <w:spacing w:val="-6"/>
        </w:rPr>
        <w:t> </w:t>
      </w:r>
      <w:r>
        <w:rPr>
          <w:color w:val="231F20"/>
        </w:rPr>
        <w:t>para</w:t>
      </w:r>
      <w:r>
        <w:rPr>
          <w:color w:val="231F20"/>
          <w:spacing w:val="-6"/>
        </w:rPr>
        <w:t> </w:t>
      </w:r>
      <w:r>
        <w:rPr>
          <w:color w:val="231F20"/>
        </w:rPr>
        <w:t>obtener</w:t>
      </w:r>
      <w:r>
        <w:rPr>
          <w:color w:val="231F20"/>
          <w:spacing w:val="-6"/>
        </w:rPr>
        <w:t> </w:t>
      </w:r>
      <w:r>
        <w:rPr>
          <w:color w:val="231F20"/>
        </w:rPr>
        <w:t>un</w:t>
      </w:r>
      <w:r>
        <w:rPr>
          <w:color w:val="231F20"/>
          <w:spacing w:val="-6"/>
        </w:rPr>
        <w:t> </w:t>
      </w:r>
      <w:r>
        <w:rPr>
          <w:color w:val="231F20"/>
        </w:rPr>
        <w:t>ingreso que les permita sobrevivir en sus comunidades. </w:t>
      </w:r>
      <w:r>
        <w:rPr>
          <w:color w:val="231F20"/>
          <w:spacing w:val="-3"/>
        </w:rPr>
        <w:t>También </w:t>
      </w:r>
      <w:r>
        <w:rPr>
          <w:color w:val="231F20"/>
        </w:rPr>
        <w:t>algunos</w:t>
      </w:r>
      <w:r>
        <w:rPr>
          <w:color w:val="231F20"/>
          <w:spacing w:val="27"/>
        </w:rPr>
        <w:t> </w:t>
      </w:r>
      <w:r>
        <w:rPr>
          <w:color w:val="231F20"/>
        </w:rPr>
        <w:t>ya</w:t>
      </w:r>
      <w:r>
        <w:rPr>
          <w:color w:val="231F20"/>
          <w:spacing w:val="15"/>
        </w:rPr>
        <w:t> </w:t>
      </w:r>
      <w:r>
        <w:rPr>
          <w:color w:val="231F20"/>
        </w:rPr>
        <w:t>han regularizado su status migratorio, haciéndose residentes o</w:t>
      </w:r>
      <w:r>
        <w:rPr>
          <w:color w:val="231F20"/>
          <w:spacing w:val="10"/>
        </w:rPr>
        <w:t> </w:t>
      </w:r>
      <w:r>
        <w:rPr>
          <w:color w:val="231F20"/>
        </w:rPr>
        <w:t>ciudadanos</w:t>
      </w:r>
      <w:r>
        <w:rPr>
          <w:color w:val="231F20"/>
          <w:spacing w:val="9"/>
        </w:rPr>
        <w:t> </w:t>
      </w:r>
      <w:r>
        <w:rPr>
          <w:color w:val="231F20"/>
        </w:rPr>
        <w:t>es- tadounidenses</w:t>
      </w:r>
      <w:r>
        <w:rPr>
          <w:color w:val="231F20"/>
          <w:spacing w:val="-10"/>
        </w:rPr>
        <w:t> </w:t>
      </w:r>
      <w:r>
        <w:rPr>
          <w:color w:val="231F20"/>
        </w:rPr>
        <w:t>y</w:t>
      </w:r>
      <w:r>
        <w:rPr>
          <w:color w:val="231F20"/>
          <w:spacing w:val="-9"/>
        </w:rPr>
        <w:t> </w:t>
      </w:r>
      <w:r>
        <w:rPr>
          <w:color w:val="231F20"/>
        </w:rPr>
        <w:t>menos</w:t>
      </w:r>
      <w:r>
        <w:rPr>
          <w:color w:val="231F20"/>
          <w:spacing w:val="-9"/>
        </w:rPr>
        <w:t> </w:t>
      </w:r>
      <w:r>
        <w:rPr>
          <w:color w:val="231F20"/>
        </w:rPr>
        <w:t>regresarán.</w:t>
      </w:r>
      <w:r>
        <w:rPr>
          <w:color w:val="231F20"/>
          <w:spacing w:val="-9"/>
        </w:rPr>
        <w:t> </w:t>
      </w:r>
      <w:r>
        <w:rPr>
          <w:color w:val="231F20"/>
        </w:rPr>
        <w:t>De</w:t>
      </w:r>
      <w:r>
        <w:rPr>
          <w:color w:val="231F20"/>
          <w:spacing w:val="-9"/>
        </w:rPr>
        <w:t> </w:t>
      </w:r>
      <w:r>
        <w:rPr>
          <w:color w:val="231F20"/>
        </w:rPr>
        <w:t>acuerdo</w:t>
      </w:r>
      <w:r>
        <w:rPr>
          <w:color w:val="231F20"/>
          <w:spacing w:val="-9"/>
        </w:rPr>
        <w:t> </w:t>
      </w:r>
      <w:r>
        <w:rPr>
          <w:color w:val="231F20"/>
        </w:rPr>
        <w:t>con</w:t>
      </w:r>
      <w:r>
        <w:rPr>
          <w:color w:val="231F20"/>
          <w:spacing w:val="-9"/>
        </w:rPr>
        <w:t> </w:t>
      </w:r>
      <w:r>
        <w:rPr>
          <w:color w:val="231F20"/>
        </w:rPr>
        <w:t>lo</w:t>
      </w:r>
      <w:r>
        <w:rPr>
          <w:color w:val="231F20"/>
          <w:spacing w:val="-9"/>
        </w:rPr>
        <w:t> </w:t>
      </w:r>
      <w:r>
        <w:rPr>
          <w:color w:val="231F20"/>
        </w:rPr>
        <w:t>observado</w:t>
      </w:r>
      <w:r>
        <w:rPr>
          <w:color w:val="231F20"/>
          <w:spacing w:val="-9"/>
        </w:rPr>
        <w:t> </w:t>
      </w:r>
      <w:r>
        <w:rPr>
          <w:color w:val="231F20"/>
        </w:rPr>
        <w:t>en</w:t>
      </w:r>
      <w:r>
        <w:rPr>
          <w:color w:val="231F20"/>
          <w:spacing w:val="-9"/>
        </w:rPr>
        <w:t> </w:t>
      </w:r>
      <w:r>
        <w:rPr>
          <w:color w:val="231F20"/>
        </w:rPr>
        <w:t>campo y a partir de pláticas con ejidatarios y pobladores de las distintas </w:t>
      </w:r>
      <w:r>
        <w:rPr>
          <w:color w:val="231F20"/>
          <w:spacing w:val="4"/>
        </w:rPr>
        <w:t> </w:t>
      </w:r>
      <w:r>
        <w:rPr>
          <w:color w:val="231F20"/>
        </w:rPr>
        <w:t>comuni-</w:t>
      </w:r>
    </w:p>
    <w:p>
      <w:pPr>
        <w:spacing w:after="0" w:line="247" w:lineRule="auto"/>
        <w:jc w:val="right"/>
        <w:sectPr>
          <w:footerReference w:type="default" r:id="rId187"/>
          <w:pgSz w:w="9360" w:h="13040"/>
          <w:pgMar w:footer="496" w:header="0" w:top="800" w:bottom="680" w:left="1300" w:right="1300"/>
        </w:sectPr>
      </w:pPr>
    </w:p>
    <w:p>
      <w:pPr>
        <w:spacing w:before="45"/>
        <w:ind w:left="71" w:right="115" w:firstLine="0"/>
        <w:jc w:val="right"/>
        <w:rPr>
          <w:rFonts w:ascii="Arial" w:hAnsi="Arial"/>
          <w:sz w:val="20"/>
        </w:rPr>
      </w:pPr>
      <w:r>
        <w:rPr>
          <w:rFonts w:ascii="Arial" w:hAnsi="Arial"/>
          <w:color w:val="231F20"/>
          <w:w w:val="70"/>
          <w:sz w:val="20"/>
        </w:rPr>
        <w:t>Migración y cambio del espacio rural en el noreste michoacano /Iván Jiménez-Maya</w:t>
      </w:r>
    </w:p>
    <w:p>
      <w:pPr>
        <w:pStyle w:val="BodyText"/>
        <w:spacing w:before="7"/>
        <w:rPr>
          <w:rFonts w:ascii="Arial"/>
          <w:sz w:val="28"/>
        </w:rPr>
      </w:pPr>
    </w:p>
    <w:p>
      <w:pPr>
        <w:pStyle w:val="BodyText"/>
        <w:spacing w:line="247" w:lineRule="auto"/>
        <w:ind w:left="71" w:right="114"/>
        <w:jc w:val="right"/>
      </w:pPr>
      <w:r>
        <w:rPr>
          <w:color w:val="231F20"/>
        </w:rPr>
        <w:t>dades que integran el Valle de Tangancícuaro, son pocos los que migran a Estados Unidos en comparación con décadas anteriores, ya que se han ido muchos y de los pocos que se quedan a vivir en las comunidades, lo que siembran es poco y la causa de esto, ya no les es rentable cultivar la tierra. A partir de la información recabada en entrevistas, para los años ochen-</w:t>
      </w:r>
    </w:p>
    <w:p>
      <w:pPr>
        <w:pStyle w:val="BodyText"/>
        <w:spacing w:line="247" w:lineRule="auto"/>
        <w:ind w:left="117" w:right="114"/>
        <w:jc w:val="both"/>
      </w:pPr>
      <w:r>
        <w:rPr>
          <w:color w:val="231F20"/>
        </w:rPr>
        <w:t>ta</w:t>
      </w:r>
      <w:r>
        <w:rPr>
          <w:color w:val="231F20"/>
          <w:spacing w:val="-5"/>
        </w:rPr>
        <w:t> </w:t>
      </w:r>
      <w:r>
        <w:rPr>
          <w:color w:val="231F20"/>
        </w:rPr>
        <w:t>se</w:t>
      </w:r>
      <w:r>
        <w:rPr>
          <w:color w:val="231F20"/>
          <w:spacing w:val="-4"/>
        </w:rPr>
        <w:t> </w:t>
      </w:r>
      <w:r>
        <w:rPr>
          <w:color w:val="231F20"/>
        </w:rPr>
        <w:t>empezó</w:t>
      </w:r>
      <w:r>
        <w:rPr>
          <w:color w:val="231F20"/>
          <w:spacing w:val="-5"/>
        </w:rPr>
        <w:t> </w:t>
      </w:r>
      <w:r>
        <w:rPr>
          <w:color w:val="231F20"/>
        </w:rPr>
        <w:t>a</w:t>
      </w:r>
      <w:r>
        <w:rPr>
          <w:color w:val="231F20"/>
          <w:spacing w:val="-5"/>
        </w:rPr>
        <w:t> </w:t>
      </w:r>
      <w:r>
        <w:rPr>
          <w:color w:val="231F20"/>
        </w:rPr>
        <w:t>sembrar</w:t>
      </w:r>
      <w:r>
        <w:rPr>
          <w:color w:val="231F20"/>
          <w:spacing w:val="-4"/>
        </w:rPr>
        <w:t> </w:t>
      </w:r>
      <w:r>
        <w:rPr>
          <w:color w:val="231F20"/>
        </w:rPr>
        <w:t>el</w:t>
      </w:r>
      <w:r>
        <w:rPr>
          <w:color w:val="231F20"/>
          <w:spacing w:val="-5"/>
        </w:rPr>
        <w:t> </w:t>
      </w:r>
      <w:r>
        <w:rPr>
          <w:color w:val="231F20"/>
        </w:rPr>
        <w:t>brócoli</w:t>
      </w:r>
      <w:r>
        <w:rPr>
          <w:color w:val="231F20"/>
          <w:spacing w:val="-5"/>
        </w:rPr>
        <w:t> </w:t>
      </w:r>
      <w:r>
        <w:rPr>
          <w:color w:val="231F20"/>
        </w:rPr>
        <w:t>en</w:t>
      </w:r>
      <w:r>
        <w:rPr>
          <w:color w:val="231F20"/>
          <w:spacing w:val="-5"/>
        </w:rPr>
        <w:t> </w:t>
      </w:r>
      <w:r>
        <w:rPr>
          <w:color w:val="231F20"/>
        </w:rPr>
        <w:t>algunas</w:t>
      </w:r>
      <w:r>
        <w:rPr>
          <w:color w:val="231F20"/>
          <w:spacing w:val="-5"/>
        </w:rPr>
        <w:t> </w:t>
      </w:r>
      <w:r>
        <w:rPr>
          <w:color w:val="231F20"/>
        </w:rPr>
        <w:t>tierras</w:t>
      </w:r>
      <w:r>
        <w:rPr>
          <w:color w:val="231F20"/>
          <w:spacing w:val="-5"/>
        </w:rPr>
        <w:t> </w:t>
      </w:r>
      <w:r>
        <w:rPr>
          <w:color w:val="231F20"/>
        </w:rPr>
        <w:t>del</w:t>
      </w:r>
      <w:r>
        <w:rPr>
          <w:color w:val="231F20"/>
          <w:spacing w:val="-8"/>
        </w:rPr>
        <w:t> </w:t>
      </w:r>
      <w:r>
        <w:rPr>
          <w:color w:val="231F20"/>
          <w:spacing w:val="-5"/>
        </w:rPr>
        <w:t>Valle, </w:t>
      </w:r>
      <w:r>
        <w:rPr>
          <w:color w:val="231F20"/>
        </w:rPr>
        <w:t>lo</w:t>
      </w:r>
      <w:r>
        <w:rPr>
          <w:color w:val="231F20"/>
          <w:spacing w:val="-5"/>
        </w:rPr>
        <w:t> </w:t>
      </w:r>
      <w:r>
        <w:rPr>
          <w:color w:val="231F20"/>
        </w:rPr>
        <w:t>que</w:t>
      </w:r>
      <w:r>
        <w:rPr>
          <w:color w:val="231F20"/>
          <w:spacing w:val="-5"/>
        </w:rPr>
        <w:t> </w:t>
      </w:r>
      <w:r>
        <w:rPr>
          <w:color w:val="231F20"/>
        </w:rPr>
        <w:t>gene- rará muchas ganancias a los que lo cultivaban, ya que toda la producción se exportaba. A finales de los ochenta y principios de los noventa</w:t>
      </w:r>
      <w:r>
        <w:rPr>
          <w:color w:val="231F20"/>
          <w:spacing w:val="-14"/>
        </w:rPr>
        <w:t> </w:t>
      </w:r>
      <w:r>
        <w:rPr>
          <w:color w:val="231F20"/>
        </w:rPr>
        <w:t>llegaron a las tierras del </w:t>
      </w:r>
      <w:r>
        <w:rPr>
          <w:color w:val="231F20"/>
          <w:spacing w:val="-5"/>
        </w:rPr>
        <w:t>Valle </w:t>
      </w:r>
      <w:r>
        <w:rPr>
          <w:color w:val="231F20"/>
        </w:rPr>
        <w:t>de Tangancícuaro los vegetales de boutique, ya que cuando Fox era gobernador de Guanajuato, las tierras de ese estado esta- ban agotadas por lo que se extiendieran a tierras donde pudieran cultivar ese vegetal, generando una acumulación de la producción en pocas ma- nos, y a la vez propiciando una desigualdad entre los habitantes del </w:t>
      </w:r>
      <w:r>
        <w:rPr>
          <w:color w:val="231F20"/>
          <w:spacing w:val="-5"/>
        </w:rPr>
        <w:t>Valle. </w:t>
      </w:r>
      <w:r>
        <w:rPr>
          <w:color w:val="231F20"/>
        </w:rPr>
        <w:t>En algunas zonas productoras del Bajío, como Romero </w:t>
      </w:r>
      <w:r>
        <w:rPr>
          <w:i/>
          <w:color w:val="231F20"/>
        </w:rPr>
        <w:t>et al</w:t>
      </w:r>
      <w:r>
        <w:rPr>
          <w:color w:val="231F20"/>
        </w:rPr>
        <w:t>. (2001: </w:t>
      </w:r>
      <w:r>
        <w:rPr>
          <w:color w:val="231F20"/>
          <w:spacing w:val="-3"/>
        </w:rPr>
        <w:t>115) </w:t>
      </w:r>
      <w:r>
        <w:rPr>
          <w:color w:val="231F20"/>
        </w:rPr>
        <w:t>mencionan,</w:t>
      </w:r>
      <w:r>
        <w:rPr>
          <w:color w:val="231F20"/>
          <w:spacing w:val="-6"/>
        </w:rPr>
        <w:t> </w:t>
      </w:r>
      <w:r>
        <w:rPr>
          <w:color w:val="231F20"/>
        </w:rPr>
        <w:t>encontramos</w:t>
      </w:r>
      <w:r>
        <w:rPr>
          <w:color w:val="231F20"/>
          <w:spacing w:val="-6"/>
        </w:rPr>
        <w:t> </w:t>
      </w:r>
      <w:r>
        <w:rPr>
          <w:color w:val="231F20"/>
        </w:rPr>
        <w:t>el</w:t>
      </w:r>
      <w:r>
        <w:rPr>
          <w:color w:val="231F20"/>
          <w:spacing w:val="-5"/>
        </w:rPr>
        <w:t> </w:t>
      </w:r>
      <w:r>
        <w:rPr>
          <w:i/>
          <w:color w:val="231F20"/>
        </w:rPr>
        <w:t>boom</w:t>
      </w:r>
      <w:r>
        <w:rPr>
          <w:i/>
          <w:color w:val="231F20"/>
          <w:spacing w:val="-5"/>
        </w:rPr>
        <w:t> </w:t>
      </w:r>
      <w:r>
        <w:rPr>
          <w:color w:val="231F20"/>
        </w:rPr>
        <w:t>de</w:t>
      </w:r>
      <w:r>
        <w:rPr>
          <w:color w:val="231F20"/>
          <w:spacing w:val="-5"/>
        </w:rPr>
        <w:t> </w:t>
      </w:r>
      <w:r>
        <w:rPr>
          <w:color w:val="231F20"/>
        </w:rPr>
        <w:t>cultivos</w:t>
      </w:r>
      <w:r>
        <w:rPr>
          <w:color w:val="231F20"/>
          <w:spacing w:val="-6"/>
        </w:rPr>
        <w:t> </w:t>
      </w:r>
      <w:r>
        <w:rPr>
          <w:color w:val="231F20"/>
        </w:rPr>
        <w:t>como</w:t>
      </w:r>
      <w:r>
        <w:rPr>
          <w:color w:val="231F20"/>
          <w:spacing w:val="-5"/>
        </w:rPr>
        <w:t> </w:t>
      </w:r>
      <w:r>
        <w:rPr>
          <w:color w:val="231F20"/>
        </w:rPr>
        <w:t>legumbres</w:t>
      </w:r>
      <w:r>
        <w:rPr>
          <w:color w:val="231F20"/>
          <w:spacing w:val="-6"/>
        </w:rPr>
        <w:t> </w:t>
      </w:r>
      <w:r>
        <w:rPr>
          <w:color w:val="231F20"/>
        </w:rPr>
        <w:t>y</w:t>
      </w:r>
      <w:r>
        <w:rPr>
          <w:color w:val="231F20"/>
          <w:spacing w:val="-5"/>
        </w:rPr>
        <w:t> </w:t>
      </w:r>
      <w:r>
        <w:rPr>
          <w:color w:val="231F20"/>
        </w:rPr>
        <w:t>hortalizas frescas,</w:t>
      </w:r>
      <w:r>
        <w:rPr>
          <w:color w:val="231F20"/>
          <w:spacing w:val="-9"/>
        </w:rPr>
        <w:t> </w:t>
      </w:r>
      <w:r>
        <w:rPr>
          <w:color w:val="231F20"/>
        </w:rPr>
        <w:t>éstas</w:t>
      </w:r>
      <w:r>
        <w:rPr>
          <w:color w:val="231F20"/>
          <w:spacing w:val="-9"/>
        </w:rPr>
        <w:t> </w:t>
      </w:r>
      <w:r>
        <w:rPr>
          <w:color w:val="231F20"/>
        </w:rPr>
        <w:t>pasaron</w:t>
      </w:r>
      <w:r>
        <w:rPr>
          <w:color w:val="231F20"/>
          <w:spacing w:val="-9"/>
        </w:rPr>
        <w:t> </w:t>
      </w:r>
      <w:r>
        <w:rPr>
          <w:color w:val="231F20"/>
        </w:rPr>
        <w:t>de</w:t>
      </w:r>
      <w:r>
        <w:rPr>
          <w:color w:val="231F20"/>
          <w:spacing w:val="-9"/>
        </w:rPr>
        <w:t> </w:t>
      </w:r>
      <w:r>
        <w:rPr>
          <w:color w:val="231F20"/>
        </w:rPr>
        <w:t>15.4</w:t>
      </w:r>
      <w:r>
        <w:rPr>
          <w:color w:val="231F20"/>
          <w:spacing w:val="-9"/>
        </w:rPr>
        <w:t> </w:t>
      </w:r>
      <w:r>
        <w:rPr>
          <w:color w:val="231F20"/>
        </w:rPr>
        <w:t>por</w:t>
      </w:r>
      <w:r>
        <w:rPr>
          <w:color w:val="231F20"/>
          <w:spacing w:val="-9"/>
        </w:rPr>
        <w:t> </w:t>
      </w:r>
      <w:r>
        <w:rPr>
          <w:color w:val="231F20"/>
        </w:rPr>
        <w:t>ciento</w:t>
      </w:r>
      <w:r>
        <w:rPr>
          <w:color w:val="231F20"/>
          <w:spacing w:val="-9"/>
        </w:rPr>
        <w:t> </w:t>
      </w:r>
      <w:r>
        <w:rPr>
          <w:color w:val="231F20"/>
        </w:rPr>
        <w:t>en</w:t>
      </w:r>
      <w:r>
        <w:rPr>
          <w:color w:val="231F20"/>
          <w:spacing w:val="-9"/>
        </w:rPr>
        <w:t> </w:t>
      </w:r>
      <w:r>
        <w:rPr>
          <w:color w:val="231F20"/>
        </w:rPr>
        <w:t>1987</w:t>
      </w:r>
      <w:r>
        <w:rPr>
          <w:color w:val="231F20"/>
          <w:spacing w:val="-9"/>
        </w:rPr>
        <w:t> </w:t>
      </w:r>
      <w:r>
        <w:rPr>
          <w:color w:val="231F20"/>
        </w:rPr>
        <w:t>a</w:t>
      </w:r>
      <w:r>
        <w:rPr>
          <w:color w:val="231F20"/>
          <w:spacing w:val="-9"/>
        </w:rPr>
        <w:t> </w:t>
      </w:r>
      <w:r>
        <w:rPr>
          <w:color w:val="231F20"/>
        </w:rPr>
        <w:t>24.2</w:t>
      </w:r>
      <w:r>
        <w:rPr>
          <w:color w:val="231F20"/>
          <w:spacing w:val="-9"/>
        </w:rPr>
        <w:t> </w:t>
      </w:r>
      <w:r>
        <w:rPr>
          <w:color w:val="231F20"/>
        </w:rPr>
        <w:t>por</w:t>
      </w:r>
      <w:r>
        <w:rPr>
          <w:color w:val="231F20"/>
          <w:spacing w:val="-9"/>
        </w:rPr>
        <w:t> </w:t>
      </w:r>
      <w:r>
        <w:rPr>
          <w:color w:val="231F20"/>
        </w:rPr>
        <w:t>ciento</w:t>
      </w:r>
      <w:r>
        <w:rPr>
          <w:color w:val="231F20"/>
          <w:spacing w:val="-9"/>
        </w:rPr>
        <w:t> </w:t>
      </w:r>
      <w:r>
        <w:rPr>
          <w:color w:val="231F20"/>
        </w:rPr>
        <w:t>en</w:t>
      </w:r>
      <w:r>
        <w:rPr>
          <w:color w:val="231F20"/>
          <w:spacing w:val="-9"/>
        </w:rPr>
        <w:t> </w:t>
      </w:r>
      <w:r>
        <w:rPr>
          <w:color w:val="231F20"/>
        </w:rPr>
        <w:t>1997; es decir, un incremento de casi diez puntos porcentuales en diez</w:t>
      </w:r>
      <w:r>
        <w:rPr>
          <w:color w:val="231F20"/>
          <w:spacing w:val="-13"/>
        </w:rPr>
        <w:t> </w:t>
      </w:r>
      <w:r>
        <w:rPr>
          <w:color w:val="231F20"/>
        </w:rPr>
        <w:t>años.</w:t>
      </w:r>
    </w:p>
    <w:p>
      <w:pPr>
        <w:pStyle w:val="BodyText"/>
        <w:spacing w:line="247" w:lineRule="auto"/>
        <w:ind w:left="57" w:right="114" w:firstLine="283"/>
        <w:jc w:val="right"/>
      </w:pPr>
      <w:r>
        <w:rPr>
          <w:color w:val="231F20"/>
        </w:rPr>
        <w:t>En el marco de las diferentes fases del ajuste estructural (periodo neoli- beral) se han llevado a cabo una serie de acciones, entre las que</w:t>
      </w:r>
      <w:r>
        <w:rPr>
          <w:color w:val="231F20"/>
          <w:spacing w:val="52"/>
        </w:rPr>
        <w:t> </w:t>
      </w:r>
      <w:r>
        <w:rPr>
          <w:color w:val="231F20"/>
        </w:rPr>
        <w:t>destacan:</w:t>
      </w:r>
    </w:p>
    <w:p>
      <w:pPr>
        <w:pStyle w:val="ListParagraph"/>
        <w:numPr>
          <w:ilvl w:val="0"/>
          <w:numId w:val="10"/>
        </w:numPr>
        <w:tabs>
          <w:tab w:pos="310" w:val="left" w:leader="none"/>
        </w:tabs>
        <w:spacing w:line="247" w:lineRule="auto" w:before="0" w:after="0"/>
        <w:ind w:left="117" w:right="115" w:firstLine="0"/>
        <w:jc w:val="both"/>
        <w:rPr>
          <w:sz w:val="22"/>
        </w:rPr>
      </w:pPr>
      <w:r>
        <w:rPr>
          <w:color w:val="231F20"/>
          <w:sz w:val="22"/>
        </w:rPr>
        <w:t>las reformas constitucionales y los cambios a las leyes agrarias, forestal y de aguas, orientadas a dar por terminado el reparto agrario y a facili-   tar</w:t>
      </w:r>
      <w:r>
        <w:rPr>
          <w:color w:val="231F20"/>
          <w:spacing w:val="21"/>
          <w:sz w:val="22"/>
        </w:rPr>
        <w:t> </w:t>
      </w:r>
      <w:r>
        <w:rPr>
          <w:color w:val="231F20"/>
          <w:sz w:val="22"/>
        </w:rPr>
        <w:t>la</w:t>
      </w:r>
      <w:r>
        <w:rPr>
          <w:color w:val="231F20"/>
          <w:spacing w:val="21"/>
          <w:sz w:val="22"/>
        </w:rPr>
        <w:t> </w:t>
      </w:r>
      <w:r>
        <w:rPr>
          <w:color w:val="231F20"/>
          <w:sz w:val="22"/>
        </w:rPr>
        <w:t>privatización</w:t>
      </w:r>
      <w:r>
        <w:rPr>
          <w:color w:val="231F20"/>
          <w:spacing w:val="21"/>
          <w:sz w:val="22"/>
        </w:rPr>
        <w:t> </w:t>
      </w:r>
      <w:r>
        <w:rPr>
          <w:color w:val="231F20"/>
          <w:sz w:val="22"/>
        </w:rPr>
        <w:t>y</w:t>
      </w:r>
      <w:r>
        <w:rPr>
          <w:color w:val="231F20"/>
          <w:spacing w:val="21"/>
          <w:sz w:val="22"/>
        </w:rPr>
        <w:t> </w:t>
      </w:r>
      <w:r>
        <w:rPr>
          <w:color w:val="231F20"/>
          <w:sz w:val="22"/>
        </w:rPr>
        <w:t>concentración</w:t>
      </w:r>
      <w:r>
        <w:rPr>
          <w:color w:val="231F20"/>
          <w:spacing w:val="20"/>
          <w:sz w:val="22"/>
        </w:rPr>
        <w:t> </w:t>
      </w:r>
      <w:r>
        <w:rPr>
          <w:color w:val="231F20"/>
          <w:sz w:val="22"/>
        </w:rPr>
        <w:t>de</w:t>
      </w:r>
      <w:r>
        <w:rPr>
          <w:color w:val="231F20"/>
          <w:spacing w:val="21"/>
          <w:sz w:val="22"/>
        </w:rPr>
        <w:t> </w:t>
      </w:r>
      <w:r>
        <w:rPr>
          <w:color w:val="231F20"/>
          <w:sz w:val="22"/>
        </w:rPr>
        <w:t>la</w:t>
      </w:r>
      <w:r>
        <w:rPr>
          <w:color w:val="231F20"/>
          <w:spacing w:val="21"/>
          <w:sz w:val="22"/>
        </w:rPr>
        <w:t> </w:t>
      </w:r>
      <w:r>
        <w:rPr>
          <w:color w:val="231F20"/>
          <w:sz w:val="22"/>
        </w:rPr>
        <w:t>tierra</w:t>
      </w:r>
      <w:r>
        <w:rPr>
          <w:color w:val="231F20"/>
          <w:spacing w:val="21"/>
          <w:sz w:val="22"/>
        </w:rPr>
        <w:t> </w:t>
      </w:r>
      <w:r>
        <w:rPr>
          <w:color w:val="231F20"/>
          <w:sz w:val="22"/>
        </w:rPr>
        <w:t>y</w:t>
      </w:r>
      <w:r>
        <w:rPr>
          <w:color w:val="231F20"/>
          <w:spacing w:val="21"/>
          <w:sz w:val="22"/>
        </w:rPr>
        <w:t> </w:t>
      </w:r>
      <w:r>
        <w:rPr>
          <w:color w:val="231F20"/>
          <w:sz w:val="22"/>
        </w:rPr>
        <w:t>los</w:t>
      </w:r>
      <w:r>
        <w:rPr>
          <w:color w:val="231F20"/>
          <w:spacing w:val="21"/>
          <w:sz w:val="22"/>
        </w:rPr>
        <w:t> </w:t>
      </w:r>
      <w:r>
        <w:rPr>
          <w:color w:val="231F20"/>
          <w:sz w:val="22"/>
        </w:rPr>
        <w:t>recursos</w:t>
      </w:r>
      <w:r>
        <w:rPr>
          <w:color w:val="231F20"/>
          <w:spacing w:val="21"/>
          <w:sz w:val="22"/>
        </w:rPr>
        <w:t> </w:t>
      </w:r>
      <w:r>
        <w:rPr>
          <w:color w:val="231F20"/>
          <w:sz w:val="22"/>
        </w:rPr>
        <w:t>naturales;</w:t>
      </w:r>
    </w:p>
    <w:p>
      <w:pPr>
        <w:pStyle w:val="ListParagraph"/>
        <w:numPr>
          <w:ilvl w:val="0"/>
          <w:numId w:val="10"/>
        </w:numPr>
        <w:tabs>
          <w:tab w:pos="390" w:val="left" w:leader="none"/>
        </w:tabs>
        <w:spacing w:line="247" w:lineRule="auto" w:before="0" w:after="0"/>
        <w:ind w:left="117" w:right="115" w:firstLine="0"/>
        <w:jc w:val="both"/>
        <w:rPr>
          <w:sz w:val="22"/>
        </w:rPr>
      </w:pPr>
      <w:r>
        <w:rPr>
          <w:color w:val="231F20"/>
          <w:sz w:val="22"/>
        </w:rPr>
        <w:t>acciones orientadas a: la reestructuración productiva; reducción de la participación estatal en la producción agropecuaria, la transferencia de la producción y la distribución de insumos y servicios a empresas privadas; la</w:t>
      </w:r>
      <w:r>
        <w:rPr>
          <w:color w:val="231F20"/>
          <w:spacing w:val="17"/>
          <w:sz w:val="22"/>
        </w:rPr>
        <w:t> </w:t>
      </w:r>
      <w:r>
        <w:rPr>
          <w:color w:val="231F20"/>
          <w:sz w:val="22"/>
        </w:rPr>
        <w:t>apertura</w:t>
      </w:r>
      <w:r>
        <w:rPr>
          <w:color w:val="231F20"/>
          <w:spacing w:val="17"/>
          <w:sz w:val="22"/>
        </w:rPr>
        <w:t> </w:t>
      </w:r>
      <w:r>
        <w:rPr>
          <w:color w:val="231F20"/>
          <w:sz w:val="22"/>
        </w:rPr>
        <w:t>comercial</w:t>
      </w:r>
      <w:r>
        <w:rPr>
          <w:color w:val="231F20"/>
          <w:spacing w:val="17"/>
          <w:sz w:val="22"/>
        </w:rPr>
        <w:t> </w:t>
      </w:r>
      <w:r>
        <w:rPr>
          <w:color w:val="231F20"/>
          <w:sz w:val="22"/>
        </w:rPr>
        <w:t>y</w:t>
      </w:r>
      <w:r>
        <w:rPr>
          <w:color w:val="231F20"/>
          <w:spacing w:val="17"/>
          <w:sz w:val="22"/>
        </w:rPr>
        <w:t> </w:t>
      </w:r>
      <w:r>
        <w:rPr>
          <w:color w:val="231F20"/>
          <w:sz w:val="22"/>
        </w:rPr>
        <w:t>la</w:t>
      </w:r>
      <w:r>
        <w:rPr>
          <w:color w:val="231F20"/>
          <w:spacing w:val="17"/>
          <w:sz w:val="22"/>
        </w:rPr>
        <w:t> </w:t>
      </w:r>
      <w:r>
        <w:rPr>
          <w:color w:val="231F20"/>
          <w:sz w:val="22"/>
        </w:rPr>
        <w:t>disminución</w:t>
      </w:r>
      <w:r>
        <w:rPr>
          <w:color w:val="231F20"/>
          <w:spacing w:val="18"/>
          <w:sz w:val="22"/>
        </w:rPr>
        <w:t> </w:t>
      </w:r>
      <w:r>
        <w:rPr>
          <w:color w:val="231F20"/>
          <w:sz w:val="22"/>
        </w:rPr>
        <w:t>del</w:t>
      </w:r>
      <w:r>
        <w:rPr>
          <w:color w:val="231F20"/>
          <w:spacing w:val="18"/>
          <w:sz w:val="22"/>
        </w:rPr>
        <w:t> </w:t>
      </w:r>
      <w:r>
        <w:rPr>
          <w:color w:val="231F20"/>
          <w:sz w:val="22"/>
        </w:rPr>
        <w:t>gasto</w:t>
      </w:r>
      <w:r>
        <w:rPr>
          <w:color w:val="231F20"/>
          <w:spacing w:val="17"/>
          <w:sz w:val="22"/>
        </w:rPr>
        <w:t> </w:t>
      </w:r>
      <w:r>
        <w:rPr>
          <w:color w:val="231F20"/>
          <w:sz w:val="22"/>
        </w:rPr>
        <w:t>público</w:t>
      </w:r>
      <w:r>
        <w:rPr>
          <w:color w:val="231F20"/>
          <w:spacing w:val="18"/>
          <w:sz w:val="22"/>
        </w:rPr>
        <w:t> </w:t>
      </w:r>
      <w:r>
        <w:rPr>
          <w:color w:val="231F20"/>
          <w:sz w:val="22"/>
        </w:rPr>
        <w:t>hacia</w:t>
      </w:r>
      <w:r>
        <w:rPr>
          <w:color w:val="231F20"/>
          <w:spacing w:val="18"/>
          <w:sz w:val="22"/>
        </w:rPr>
        <w:t> </w:t>
      </w:r>
      <w:r>
        <w:rPr>
          <w:color w:val="231F20"/>
          <w:sz w:val="22"/>
        </w:rPr>
        <w:t>el</w:t>
      </w:r>
      <w:r>
        <w:rPr>
          <w:color w:val="231F20"/>
          <w:spacing w:val="17"/>
          <w:sz w:val="22"/>
        </w:rPr>
        <w:t> </w:t>
      </w:r>
      <w:r>
        <w:rPr>
          <w:color w:val="231F20"/>
          <w:sz w:val="22"/>
        </w:rPr>
        <w:t>sector;</w:t>
      </w:r>
    </w:p>
    <w:p>
      <w:pPr>
        <w:pStyle w:val="ListParagraph"/>
        <w:numPr>
          <w:ilvl w:val="0"/>
          <w:numId w:val="10"/>
        </w:numPr>
        <w:tabs>
          <w:tab w:pos="441" w:val="left" w:leader="none"/>
        </w:tabs>
        <w:spacing w:line="247" w:lineRule="auto" w:before="0" w:after="0"/>
        <w:ind w:left="117" w:right="114" w:firstLine="0"/>
        <w:jc w:val="both"/>
        <w:rPr>
          <w:sz w:val="22"/>
        </w:rPr>
      </w:pPr>
      <w:r>
        <w:rPr>
          <w:color w:val="231F20"/>
          <w:sz w:val="22"/>
        </w:rPr>
        <w:t>la reorientación de la producción a las condiciones de competitividad definidas por el mercado internacional. Elementos centrales en este senti- do fueron la apertura comercial con la entrada al </w:t>
      </w:r>
      <w:r>
        <w:rPr>
          <w:color w:val="231F20"/>
          <w:spacing w:val="-7"/>
          <w:sz w:val="22"/>
        </w:rPr>
        <w:t>GATT </w:t>
      </w:r>
      <w:r>
        <w:rPr>
          <w:color w:val="231F20"/>
          <w:sz w:val="22"/>
        </w:rPr>
        <w:t>y posteriormente del TLCAN; iv) el retiro del Estado de sus funciones de regulador de la producción, la distribución y el consumo agropecuario, incluyendo la re- ducción del gasto público y liquidación de organismos que operaban en el financiamiento</w:t>
      </w:r>
      <w:r>
        <w:rPr>
          <w:color w:val="231F20"/>
          <w:spacing w:val="-13"/>
          <w:sz w:val="22"/>
        </w:rPr>
        <w:t> </w:t>
      </w:r>
      <w:r>
        <w:rPr>
          <w:color w:val="231F20"/>
          <w:sz w:val="22"/>
        </w:rPr>
        <w:t>y</w:t>
      </w:r>
      <w:r>
        <w:rPr>
          <w:color w:val="231F20"/>
          <w:spacing w:val="-12"/>
          <w:sz w:val="22"/>
        </w:rPr>
        <w:t> </w:t>
      </w:r>
      <w:r>
        <w:rPr>
          <w:color w:val="231F20"/>
          <w:sz w:val="22"/>
        </w:rPr>
        <w:t>la</w:t>
      </w:r>
      <w:r>
        <w:rPr>
          <w:color w:val="231F20"/>
          <w:spacing w:val="-12"/>
          <w:sz w:val="22"/>
        </w:rPr>
        <w:t> </w:t>
      </w:r>
      <w:r>
        <w:rPr>
          <w:color w:val="231F20"/>
          <w:sz w:val="22"/>
        </w:rPr>
        <w:t>producción</w:t>
      </w:r>
      <w:r>
        <w:rPr>
          <w:color w:val="231F20"/>
          <w:spacing w:val="-12"/>
          <w:sz w:val="22"/>
        </w:rPr>
        <w:t> </w:t>
      </w:r>
      <w:r>
        <w:rPr>
          <w:color w:val="231F20"/>
          <w:sz w:val="22"/>
        </w:rPr>
        <w:t>y</w:t>
      </w:r>
      <w:r>
        <w:rPr>
          <w:color w:val="231F20"/>
          <w:spacing w:val="-12"/>
          <w:sz w:val="22"/>
        </w:rPr>
        <w:t> </w:t>
      </w:r>
      <w:r>
        <w:rPr>
          <w:color w:val="231F20"/>
          <w:sz w:val="22"/>
        </w:rPr>
        <w:t>v)</w:t>
      </w:r>
      <w:r>
        <w:rPr>
          <w:color w:val="231F20"/>
          <w:spacing w:val="-12"/>
          <w:sz w:val="22"/>
        </w:rPr>
        <w:t> </w:t>
      </w:r>
      <w:r>
        <w:rPr>
          <w:color w:val="231F20"/>
          <w:sz w:val="22"/>
        </w:rPr>
        <w:t>el</w:t>
      </w:r>
      <w:r>
        <w:rPr>
          <w:color w:val="231F20"/>
          <w:spacing w:val="-12"/>
          <w:sz w:val="22"/>
        </w:rPr>
        <w:t> </w:t>
      </w:r>
      <w:r>
        <w:rPr>
          <w:color w:val="231F20"/>
          <w:sz w:val="22"/>
        </w:rPr>
        <w:t>establecimiento</w:t>
      </w:r>
      <w:r>
        <w:rPr>
          <w:color w:val="231F20"/>
          <w:spacing w:val="-13"/>
          <w:sz w:val="22"/>
        </w:rPr>
        <w:t> </w:t>
      </w:r>
      <w:r>
        <w:rPr>
          <w:color w:val="231F20"/>
          <w:sz w:val="22"/>
        </w:rPr>
        <w:t>de</w:t>
      </w:r>
      <w:r>
        <w:rPr>
          <w:color w:val="231F20"/>
          <w:spacing w:val="-12"/>
          <w:sz w:val="22"/>
        </w:rPr>
        <w:t> </w:t>
      </w:r>
      <w:r>
        <w:rPr>
          <w:color w:val="231F20"/>
          <w:sz w:val="22"/>
        </w:rPr>
        <w:t>nuevas</w:t>
      </w:r>
      <w:r>
        <w:rPr>
          <w:color w:val="231F20"/>
          <w:spacing w:val="-12"/>
          <w:sz w:val="22"/>
        </w:rPr>
        <w:t> </w:t>
      </w:r>
      <w:r>
        <w:rPr>
          <w:color w:val="231F20"/>
          <w:sz w:val="22"/>
        </w:rPr>
        <w:t>formas</w:t>
      </w:r>
      <w:r>
        <w:rPr>
          <w:color w:val="231F20"/>
          <w:spacing w:val="-12"/>
          <w:sz w:val="22"/>
        </w:rPr>
        <w:t> </w:t>
      </w:r>
      <w:r>
        <w:rPr>
          <w:color w:val="231F20"/>
          <w:sz w:val="22"/>
        </w:rPr>
        <w:t>de relación</w:t>
      </w:r>
      <w:r>
        <w:rPr>
          <w:color w:val="231F20"/>
          <w:spacing w:val="-9"/>
          <w:sz w:val="22"/>
        </w:rPr>
        <w:t> </w:t>
      </w:r>
      <w:r>
        <w:rPr>
          <w:color w:val="231F20"/>
          <w:sz w:val="22"/>
        </w:rPr>
        <w:t>del</w:t>
      </w:r>
      <w:r>
        <w:rPr>
          <w:color w:val="231F20"/>
          <w:spacing w:val="-9"/>
          <w:sz w:val="22"/>
        </w:rPr>
        <w:t> </w:t>
      </w:r>
      <w:r>
        <w:rPr>
          <w:color w:val="231F20"/>
          <w:sz w:val="22"/>
        </w:rPr>
        <w:t>Estado</w:t>
      </w:r>
      <w:r>
        <w:rPr>
          <w:color w:val="231F20"/>
          <w:spacing w:val="-9"/>
          <w:sz w:val="22"/>
        </w:rPr>
        <w:t> </w:t>
      </w:r>
      <w:r>
        <w:rPr>
          <w:color w:val="231F20"/>
          <w:sz w:val="22"/>
        </w:rPr>
        <w:t>con</w:t>
      </w:r>
      <w:r>
        <w:rPr>
          <w:color w:val="231F20"/>
          <w:spacing w:val="-9"/>
          <w:sz w:val="22"/>
        </w:rPr>
        <w:t> </w:t>
      </w:r>
      <w:r>
        <w:rPr>
          <w:color w:val="231F20"/>
          <w:sz w:val="22"/>
        </w:rPr>
        <w:t>la</w:t>
      </w:r>
      <w:r>
        <w:rPr>
          <w:color w:val="231F20"/>
          <w:spacing w:val="-9"/>
          <w:sz w:val="22"/>
        </w:rPr>
        <w:t> </w:t>
      </w:r>
      <w:r>
        <w:rPr>
          <w:color w:val="231F20"/>
          <w:sz w:val="22"/>
        </w:rPr>
        <w:t>sociedad</w:t>
      </w:r>
      <w:r>
        <w:rPr>
          <w:color w:val="231F20"/>
          <w:spacing w:val="-9"/>
          <w:sz w:val="22"/>
        </w:rPr>
        <w:t> </w:t>
      </w:r>
      <w:r>
        <w:rPr>
          <w:color w:val="231F20"/>
          <w:sz w:val="22"/>
        </w:rPr>
        <w:t>y</w:t>
      </w:r>
      <w:r>
        <w:rPr>
          <w:color w:val="231F20"/>
          <w:spacing w:val="-9"/>
          <w:sz w:val="22"/>
        </w:rPr>
        <w:t> </w:t>
      </w:r>
      <w:r>
        <w:rPr>
          <w:color w:val="231F20"/>
          <w:sz w:val="22"/>
        </w:rPr>
        <w:t>muy</w:t>
      </w:r>
      <w:r>
        <w:rPr>
          <w:color w:val="231F20"/>
          <w:spacing w:val="-9"/>
          <w:sz w:val="22"/>
        </w:rPr>
        <w:t> </w:t>
      </w:r>
      <w:r>
        <w:rPr>
          <w:color w:val="231F20"/>
          <w:sz w:val="22"/>
        </w:rPr>
        <w:t>especialmente</w:t>
      </w:r>
      <w:r>
        <w:rPr>
          <w:color w:val="231F20"/>
          <w:spacing w:val="-10"/>
          <w:sz w:val="22"/>
        </w:rPr>
        <w:t> </w:t>
      </w:r>
      <w:r>
        <w:rPr>
          <w:color w:val="231F20"/>
          <w:sz w:val="22"/>
        </w:rPr>
        <w:t>con</w:t>
      </w:r>
      <w:r>
        <w:rPr>
          <w:color w:val="231F20"/>
          <w:spacing w:val="-9"/>
          <w:sz w:val="22"/>
        </w:rPr>
        <w:t> </w:t>
      </w:r>
      <w:r>
        <w:rPr>
          <w:color w:val="231F20"/>
          <w:sz w:val="22"/>
        </w:rPr>
        <w:t>los</w:t>
      </w:r>
      <w:r>
        <w:rPr>
          <w:color w:val="231F20"/>
          <w:spacing w:val="-9"/>
          <w:sz w:val="22"/>
        </w:rPr>
        <w:t> </w:t>
      </w:r>
      <w:r>
        <w:rPr>
          <w:color w:val="231F20"/>
          <w:sz w:val="22"/>
        </w:rPr>
        <w:t>producto- res agropecuarios y con sus organizaciones (CASA, 2001:</w:t>
      </w:r>
      <w:r>
        <w:rPr>
          <w:color w:val="231F20"/>
          <w:spacing w:val="-5"/>
          <w:sz w:val="22"/>
        </w:rPr>
        <w:t> </w:t>
      </w:r>
      <w:r>
        <w:rPr>
          <w:color w:val="231F20"/>
          <w:sz w:val="22"/>
        </w:rPr>
        <w:t>18).</w:t>
      </w:r>
    </w:p>
    <w:p>
      <w:pPr>
        <w:spacing w:after="0" w:line="247" w:lineRule="auto"/>
        <w:jc w:val="both"/>
        <w:rPr>
          <w:sz w:val="22"/>
        </w:rPr>
        <w:sectPr>
          <w:footerReference w:type="default" r:id="rId188"/>
          <w:pgSz w:w="9360" w:h="13040"/>
          <w:pgMar w:footer="496" w:header="0" w:top="740" w:bottom="680" w:left="1300" w:right="1300"/>
          <w:pgNumType w:start="241"/>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
        <w:rPr>
          <w:sz w:val="20"/>
        </w:rPr>
      </w:pPr>
    </w:p>
    <w:p>
      <w:pPr>
        <w:pStyle w:val="Heading3"/>
        <w:spacing w:line="242" w:lineRule="auto" w:before="1"/>
        <w:ind w:right="207"/>
      </w:pPr>
      <w:r>
        <w:rPr>
          <w:color w:val="231F20"/>
        </w:rPr>
        <w:t>El espacio rural y la migración en el </w:t>
      </w:r>
      <w:r>
        <w:rPr>
          <w:color w:val="231F20"/>
          <w:spacing w:val="-5"/>
        </w:rPr>
        <w:t>Valle </w:t>
      </w:r>
      <w:r>
        <w:rPr>
          <w:color w:val="231F20"/>
        </w:rPr>
        <w:t>de </w:t>
      </w:r>
      <w:r>
        <w:rPr>
          <w:color w:val="231F20"/>
          <w:spacing w:val="-3"/>
        </w:rPr>
        <w:t>Tangancícuaro </w:t>
      </w:r>
      <w:r>
        <w:rPr>
          <w:color w:val="231F20"/>
        </w:rPr>
        <w:t>en la actualidad</w:t>
      </w:r>
    </w:p>
    <w:p>
      <w:pPr>
        <w:pStyle w:val="BodyText"/>
        <w:spacing w:line="247" w:lineRule="auto" w:before="170"/>
        <w:ind w:left="117" w:right="115"/>
        <w:jc w:val="both"/>
      </w:pPr>
      <w:r>
        <w:rPr>
          <w:color w:val="231F20"/>
        </w:rPr>
        <w:t>Al parecer los patrones se repiten y esta migración contemporánea guarda muchas similitudes con esas primeras migraciones masivas de finales del siglo XIX y principios del siglo XX en la época del porfiriato. Una simi- litud es la dificultad para obtener un salario para amplios sectores de la población</w:t>
      </w:r>
      <w:r>
        <w:rPr>
          <w:color w:val="231F20"/>
          <w:spacing w:val="-9"/>
        </w:rPr>
        <w:t> </w:t>
      </w:r>
      <w:r>
        <w:rPr>
          <w:color w:val="231F20"/>
        </w:rPr>
        <w:t>y</w:t>
      </w:r>
      <w:r>
        <w:rPr>
          <w:color w:val="231F20"/>
          <w:spacing w:val="-9"/>
        </w:rPr>
        <w:t> </w:t>
      </w:r>
      <w:r>
        <w:rPr>
          <w:color w:val="231F20"/>
        </w:rPr>
        <w:t>si</w:t>
      </w:r>
      <w:r>
        <w:rPr>
          <w:color w:val="231F20"/>
          <w:spacing w:val="-9"/>
        </w:rPr>
        <w:t> </w:t>
      </w:r>
      <w:r>
        <w:rPr>
          <w:color w:val="231F20"/>
        </w:rPr>
        <w:t>lo</w:t>
      </w:r>
      <w:r>
        <w:rPr>
          <w:color w:val="231F20"/>
          <w:spacing w:val="-9"/>
        </w:rPr>
        <w:t> </w:t>
      </w:r>
      <w:r>
        <w:rPr>
          <w:color w:val="231F20"/>
        </w:rPr>
        <w:t>obtienen</w:t>
      </w:r>
      <w:r>
        <w:rPr>
          <w:color w:val="231F20"/>
          <w:spacing w:val="-9"/>
        </w:rPr>
        <w:t> </w:t>
      </w:r>
      <w:r>
        <w:rPr>
          <w:color w:val="231F20"/>
        </w:rPr>
        <w:t>en</w:t>
      </w:r>
      <w:r>
        <w:rPr>
          <w:color w:val="231F20"/>
          <w:spacing w:val="-9"/>
        </w:rPr>
        <w:t> </w:t>
      </w:r>
      <w:r>
        <w:rPr>
          <w:color w:val="231F20"/>
        </w:rPr>
        <w:t>muchos</w:t>
      </w:r>
      <w:r>
        <w:rPr>
          <w:color w:val="231F20"/>
          <w:spacing w:val="-9"/>
        </w:rPr>
        <w:t> </w:t>
      </w:r>
      <w:r>
        <w:rPr>
          <w:color w:val="231F20"/>
        </w:rPr>
        <w:t>casos</w:t>
      </w:r>
      <w:r>
        <w:rPr>
          <w:color w:val="231F20"/>
          <w:spacing w:val="-9"/>
        </w:rPr>
        <w:t> </w:t>
      </w:r>
      <w:r>
        <w:rPr>
          <w:color w:val="231F20"/>
        </w:rPr>
        <w:t>es</w:t>
      </w:r>
      <w:r>
        <w:rPr>
          <w:color w:val="231F20"/>
          <w:spacing w:val="-9"/>
        </w:rPr>
        <w:t> </w:t>
      </w:r>
      <w:r>
        <w:rPr>
          <w:color w:val="231F20"/>
        </w:rPr>
        <w:t>precario</w:t>
      </w:r>
      <w:r>
        <w:rPr>
          <w:color w:val="231F20"/>
          <w:spacing w:val="-9"/>
        </w:rPr>
        <w:t> </w:t>
      </w:r>
      <w:r>
        <w:rPr>
          <w:color w:val="231F20"/>
        </w:rPr>
        <w:t>con</w:t>
      </w:r>
      <w:r>
        <w:rPr>
          <w:color w:val="231F20"/>
          <w:spacing w:val="-9"/>
        </w:rPr>
        <w:t> </w:t>
      </w:r>
      <w:r>
        <w:rPr>
          <w:color w:val="231F20"/>
        </w:rPr>
        <w:t>jornadas</w:t>
      </w:r>
      <w:r>
        <w:rPr>
          <w:color w:val="231F20"/>
          <w:spacing w:val="-9"/>
        </w:rPr>
        <w:t> </w:t>
      </w:r>
      <w:r>
        <w:rPr>
          <w:color w:val="231F20"/>
        </w:rPr>
        <w:t>de</w:t>
      </w:r>
      <w:r>
        <w:rPr>
          <w:color w:val="231F20"/>
          <w:spacing w:val="-9"/>
        </w:rPr>
        <w:t> </w:t>
      </w:r>
      <w:r>
        <w:rPr>
          <w:color w:val="231F20"/>
        </w:rPr>
        <w:t>tra- bajo prolongadas. Las condiciones se hacen difíciles para la</w:t>
      </w:r>
      <w:r>
        <w:rPr>
          <w:color w:val="231F20"/>
          <w:spacing w:val="-34"/>
        </w:rPr>
        <w:t> </w:t>
      </w:r>
      <w:r>
        <w:rPr>
          <w:color w:val="231F20"/>
        </w:rPr>
        <w:t>sobrevivencia de una porción importante de la población de ésta época. Es así que:</w:t>
      </w:r>
    </w:p>
    <w:p>
      <w:pPr>
        <w:spacing w:line="249" w:lineRule="auto" w:before="168"/>
        <w:ind w:left="400" w:right="114" w:firstLine="0"/>
        <w:jc w:val="both"/>
        <w:rPr>
          <w:sz w:val="20"/>
        </w:rPr>
      </w:pPr>
      <w:r>
        <w:rPr>
          <w:sz w:val="20"/>
        </w:rPr>
        <w:t>todas las características de la acumulación primitiva mencionadas por Marx han</w:t>
      </w:r>
      <w:r>
        <w:rPr>
          <w:spacing w:val="-10"/>
          <w:sz w:val="20"/>
        </w:rPr>
        <w:t> </w:t>
      </w:r>
      <w:r>
        <w:rPr>
          <w:sz w:val="20"/>
        </w:rPr>
        <w:t>seguido</w:t>
      </w:r>
      <w:r>
        <w:rPr>
          <w:spacing w:val="-10"/>
          <w:sz w:val="20"/>
        </w:rPr>
        <w:t> </w:t>
      </w:r>
      <w:r>
        <w:rPr>
          <w:sz w:val="20"/>
        </w:rPr>
        <w:t>poderosamente</w:t>
      </w:r>
      <w:r>
        <w:rPr>
          <w:spacing w:val="-10"/>
          <w:sz w:val="20"/>
        </w:rPr>
        <w:t> </w:t>
      </w:r>
      <w:r>
        <w:rPr>
          <w:sz w:val="20"/>
        </w:rPr>
        <w:t>presentes</w:t>
      </w:r>
      <w:r>
        <w:rPr>
          <w:spacing w:val="-10"/>
          <w:sz w:val="20"/>
        </w:rPr>
        <w:t> </w:t>
      </w:r>
      <w:r>
        <w:rPr>
          <w:sz w:val="20"/>
        </w:rPr>
        <w:t>en</w:t>
      </w:r>
      <w:r>
        <w:rPr>
          <w:spacing w:val="-10"/>
          <w:sz w:val="20"/>
        </w:rPr>
        <w:t> </w:t>
      </w:r>
      <w:r>
        <w:rPr>
          <w:sz w:val="20"/>
        </w:rPr>
        <w:t>la</w:t>
      </w:r>
      <w:r>
        <w:rPr>
          <w:spacing w:val="-10"/>
          <w:sz w:val="20"/>
        </w:rPr>
        <w:t> </w:t>
      </w:r>
      <w:r>
        <w:rPr>
          <w:sz w:val="20"/>
        </w:rPr>
        <w:t>Geografía</w:t>
      </w:r>
      <w:r>
        <w:rPr>
          <w:spacing w:val="-9"/>
          <w:sz w:val="20"/>
        </w:rPr>
        <w:t> </w:t>
      </w:r>
      <w:r>
        <w:rPr>
          <w:sz w:val="20"/>
        </w:rPr>
        <w:t>histórica</w:t>
      </w:r>
      <w:r>
        <w:rPr>
          <w:spacing w:val="-10"/>
          <w:sz w:val="20"/>
        </w:rPr>
        <w:t> </w:t>
      </w:r>
      <w:r>
        <w:rPr>
          <w:sz w:val="20"/>
        </w:rPr>
        <w:t>del</w:t>
      </w:r>
      <w:r>
        <w:rPr>
          <w:spacing w:val="-10"/>
          <w:sz w:val="20"/>
        </w:rPr>
        <w:t> </w:t>
      </w:r>
      <w:r>
        <w:rPr>
          <w:sz w:val="20"/>
        </w:rPr>
        <w:t>capitalismo hasta el día de </w:t>
      </w:r>
      <w:r>
        <w:rPr>
          <w:spacing w:val="-4"/>
          <w:sz w:val="20"/>
        </w:rPr>
        <w:t>hoy. </w:t>
      </w:r>
      <w:r>
        <w:rPr>
          <w:sz w:val="20"/>
        </w:rPr>
        <w:t>Durante las tres últimas décadas se ha acelerado el despla- zamiento de población de campesinos y la formación de un proletariado sin tierra en países como México y la India (Harvey, 2003:</w:t>
      </w:r>
      <w:r>
        <w:rPr>
          <w:spacing w:val="-22"/>
          <w:sz w:val="20"/>
        </w:rPr>
        <w:t> </w:t>
      </w:r>
      <w:r>
        <w:rPr>
          <w:sz w:val="20"/>
        </w:rPr>
        <w:t>117).</w:t>
      </w:r>
    </w:p>
    <w:p>
      <w:pPr>
        <w:pStyle w:val="BodyText"/>
        <w:spacing w:line="247" w:lineRule="auto" w:before="172"/>
        <w:ind w:left="117" w:right="114" w:firstLine="283"/>
        <w:jc w:val="both"/>
      </w:pPr>
      <w:r>
        <w:rPr>
          <w:color w:val="231F20"/>
        </w:rPr>
        <w:t>Los programas económicos establecidos en el marco del ajuste estruc- tural han afectado negativamente los niveles de empleo e ingreso en el medio rural, lo que ha repercutido en cambios en las pautas de consumo, básicamente alimentario. El estancamiento productivo ha impactado la si- tuación demográfica, provocando un incremento de la emigración desde regiones con mayor pobreza hacia otras con gran demanda de trabajo</w:t>
      </w:r>
      <w:r>
        <w:rPr>
          <w:color w:val="231F20"/>
          <w:spacing w:val="-31"/>
        </w:rPr>
        <w:t> </w:t>
      </w:r>
      <w:r>
        <w:rPr>
          <w:color w:val="231F20"/>
        </w:rPr>
        <w:t>tem- poral (hacia el noroeste del país y/o a Estados Unidos). Así, en las últimas décadas,</w:t>
      </w:r>
      <w:r>
        <w:rPr>
          <w:color w:val="231F20"/>
          <w:spacing w:val="-8"/>
        </w:rPr>
        <w:t> </w:t>
      </w:r>
      <w:r>
        <w:rPr>
          <w:color w:val="231F20"/>
        </w:rPr>
        <w:t>la</w:t>
      </w:r>
      <w:r>
        <w:rPr>
          <w:color w:val="231F20"/>
          <w:spacing w:val="-8"/>
        </w:rPr>
        <w:t> </w:t>
      </w:r>
      <w:r>
        <w:rPr>
          <w:color w:val="231F20"/>
        </w:rPr>
        <w:t>población</w:t>
      </w:r>
      <w:r>
        <w:rPr>
          <w:color w:val="231F20"/>
          <w:spacing w:val="-8"/>
        </w:rPr>
        <w:t> </w:t>
      </w:r>
      <w:r>
        <w:rPr>
          <w:color w:val="231F20"/>
        </w:rPr>
        <w:t>rural</w:t>
      </w:r>
      <w:r>
        <w:rPr>
          <w:color w:val="231F20"/>
          <w:spacing w:val="-8"/>
        </w:rPr>
        <w:t> </w:t>
      </w:r>
      <w:r>
        <w:rPr>
          <w:color w:val="231F20"/>
        </w:rPr>
        <w:t>que</w:t>
      </w:r>
      <w:r>
        <w:rPr>
          <w:color w:val="231F20"/>
          <w:spacing w:val="-8"/>
        </w:rPr>
        <w:t> </w:t>
      </w:r>
      <w:r>
        <w:rPr>
          <w:color w:val="231F20"/>
        </w:rPr>
        <w:t>representa</w:t>
      </w:r>
      <w:r>
        <w:rPr>
          <w:color w:val="231F20"/>
          <w:spacing w:val="-8"/>
        </w:rPr>
        <w:t> </w:t>
      </w:r>
      <w:r>
        <w:rPr>
          <w:color w:val="231F20"/>
        </w:rPr>
        <w:t>alrededor</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cuarta</w:t>
      </w:r>
      <w:r>
        <w:rPr>
          <w:color w:val="231F20"/>
          <w:spacing w:val="-9"/>
        </w:rPr>
        <w:t> </w:t>
      </w:r>
      <w:r>
        <w:rPr>
          <w:color w:val="231F20"/>
        </w:rPr>
        <w:t>parte</w:t>
      </w:r>
      <w:r>
        <w:rPr>
          <w:color w:val="231F20"/>
          <w:spacing w:val="-8"/>
        </w:rPr>
        <w:t> </w:t>
      </w:r>
      <w:r>
        <w:rPr>
          <w:color w:val="231F20"/>
        </w:rPr>
        <w:t>de</w:t>
      </w:r>
      <w:r>
        <w:rPr>
          <w:color w:val="231F20"/>
          <w:spacing w:val="-8"/>
        </w:rPr>
        <w:t> </w:t>
      </w:r>
      <w:r>
        <w:rPr>
          <w:color w:val="231F20"/>
        </w:rPr>
        <w:t>la población del país, ha vivido importantes cambios desde el punto de vista demográfico, entre los que destacan la disminución de la tasa de fecundi- dad y el incremento de la esperanza de vida (CASA, 2001: 19).</w:t>
      </w:r>
    </w:p>
    <w:p>
      <w:pPr>
        <w:pStyle w:val="BodyText"/>
        <w:spacing w:line="247" w:lineRule="auto"/>
        <w:ind w:left="117" w:right="114" w:firstLine="283"/>
        <w:jc w:val="both"/>
      </w:pPr>
      <w:r>
        <w:rPr>
          <w:color w:val="231F20"/>
        </w:rPr>
        <w:t>Pero dentro de estas similitudes están los patrones migratorios, que en los</w:t>
      </w:r>
      <w:r>
        <w:rPr>
          <w:color w:val="231F20"/>
          <w:spacing w:val="-9"/>
        </w:rPr>
        <w:t> </w:t>
      </w:r>
      <w:r>
        <w:rPr>
          <w:color w:val="231F20"/>
        </w:rPr>
        <w:t>últimos</w:t>
      </w:r>
      <w:r>
        <w:rPr>
          <w:color w:val="231F20"/>
          <w:spacing w:val="-9"/>
        </w:rPr>
        <w:t> </w:t>
      </w:r>
      <w:r>
        <w:rPr>
          <w:color w:val="231F20"/>
        </w:rPr>
        <w:t>años</w:t>
      </w:r>
      <w:r>
        <w:rPr>
          <w:color w:val="231F20"/>
          <w:spacing w:val="-9"/>
        </w:rPr>
        <w:t> </w:t>
      </w:r>
      <w:r>
        <w:rPr>
          <w:color w:val="231F20"/>
        </w:rPr>
        <w:t>vuelven</w:t>
      </w:r>
      <w:r>
        <w:rPr>
          <w:color w:val="231F20"/>
          <w:spacing w:val="-9"/>
        </w:rPr>
        <w:t> </w:t>
      </w:r>
      <w:r>
        <w:rPr>
          <w:color w:val="231F20"/>
        </w:rPr>
        <w:t>a</w:t>
      </w:r>
      <w:r>
        <w:rPr>
          <w:color w:val="231F20"/>
          <w:spacing w:val="-9"/>
        </w:rPr>
        <w:t> </w:t>
      </w:r>
      <w:r>
        <w:rPr>
          <w:color w:val="231F20"/>
        </w:rPr>
        <w:t>presentar</w:t>
      </w:r>
      <w:r>
        <w:rPr>
          <w:color w:val="231F20"/>
          <w:spacing w:val="-9"/>
        </w:rPr>
        <w:t> </w:t>
      </w:r>
      <w:r>
        <w:rPr>
          <w:color w:val="231F20"/>
        </w:rPr>
        <w:t>un</w:t>
      </w:r>
      <w:r>
        <w:rPr>
          <w:color w:val="231F20"/>
          <w:spacing w:val="-9"/>
        </w:rPr>
        <w:t> </w:t>
      </w:r>
      <w:r>
        <w:rPr>
          <w:color w:val="231F20"/>
        </w:rPr>
        <w:t>flujo</w:t>
      </w:r>
      <w:r>
        <w:rPr>
          <w:color w:val="231F20"/>
          <w:spacing w:val="-9"/>
        </w:rPr>
        <w:t> </w:t>
      </w:r>
      <w:r>
        <w:rPr>
          <w:color w:val="231F20"/>
        </w:rPr>
        <w:t>sin</w:t>
      </w:r>
      <w:r>
        <w:rPr>
          <w:color w:val="231F20"/>
          <w:spacing w:val="-9"/>
        </w:rPr>
        <w:t> </w:t>
      </w:r>
      <w:r>
        <w:rPr>
          <w:color w:val="231F20"/>
        </w:rPr>
        <w:t>precedentes</w:t>
      </w:r>
      <w:r>
        <w:rPr>
          <w:color w:val="231F20"/>
          <w:spacing w:val="-9"/>
        </w:rPr>
        <w:t> </w:t>
      </w:r>
      <w:r>
        <w:rPr>
          <w:color w:val="231F20"/>
        </w:rPr>
        <w:t>de</w:t>
      </w:r>
      <w:r>
        <w:rPr>
          <w:color w:val="231F20"/>
          <w:spacing w:val="-9"/>
        </w:rPr>
        <w:t> </w:t>
      </w:r>
      <w:r>
        <w:rPr>
          <w:color w:val="231F20"/>
        </w:rPr>
        <w:t>mexicanos que emigran a Estados Unidos. De acuerdo con cifras oficiales alrededor de 450 mil mexicanos migran al año al vecino país del norte en busca de trabajo. En algunos casos el trabajo es mejor remunerado que el que po- drían encontrar en sus lugares de origen, y aunque a diferencia de</w:t>
      </w:r>
      <w:r>
        <w:rPr>
          <w:color w:val="231F20"/>
          <w:spacing w:val="-29"/>
        </w:rPr>
        <w:t> </w:t>
      </w:r>
      <w:r>
        <w:rPr>
          <w:color w:val="231F20"/>
        </w:rPr>
        <w:t>aquellas migraciones de finales del siglo XIX y principios del siglo XX en que los migrantes se empleaban en su mayoría en el ferrocarril, ahora la oferta la- boral</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que</w:t>
      </w:r>
      <w:r>
        <w:rPr>
          <w:color w:val="231F20"/>
          <w:spacing w:val="-6"/>
        </w:rPr>
        <w:t> </w:t>
      </w:r>
      <w:r>
        <w:rPr>
          <w:color w:val="231F20"/>
        </w:rPr>
        <w:t>acceden</w:t>
      </w:r>
      <w:r>
        <w:rPr>
          <w:color w:val="231F20"/>
          <w:spacing w:val="-7"/>
        </w:rPr>
        <w:t> </w:t>
      </w:r>
      <w:r>
        <w:rPr>
          <w:color w:val="231F20"/>
        </w:rPr>
        <w:t>se</w:t>
      </w:r>
      <w:r>
        <w:rPr>
          <w:color w:val="231F20"/>
          <w:spacing w:val="-6"/>
        </w:rPr>
        <w:t> </w:t>
      </w:r>
      <w:r>
        <w:rPr>
          <w:color w:val="231F20"/>
        </w:rPr>
        <w:t>ha</w:t>
      </w:r>
      <w:r>
        <w:rPr>
          <w:color w:val="231F20"/>
          <w:spacing w:val="-6"/>
        </w:rPr>
        <w:t> </w:t>
      </w:r>
      <w:r>
        <w:rPr>
          <w:color w:val="231F20"/>
        </w:rPr>
        <w:t>diversificado</w:t>
      </w:r>
      <w:r>
        <w:rPr>
          <w:color w:val="231F20"/>
          <w:spacing w:val="-6"/>
        </w:rPr>
        <w:t> </w:t>
      </w:r>
      <w:r>
        <w:rPr>
          <w:color w:val="231F20"/>
        </w:rPr>
        <w:t>desde</w:t>
      </w:r>
      <w:r>
        <w:rPr>
          <w:color w:val="231F20"/>
          <w:spacing w:val="-6"/>
        </w:rPr>
        <w:t> </w:t>
      </w:r>
      <w:r>
        <w:rPr>
          <w:color w:val="231F20"/>
        </w:rPr>
        <w:t>labores</w:t>
      </w:r>
      <w:r>
        <w:rPr>
          <w:color w:val="231F20"/>
          <w:spacing w:val="-6"/>
        </w:rPr>
        <w:t> </w:t>
      </w:r>
      <w:r>
        <w:rPr>
          <w:color w:val="231F20"/>
        </w:rPr>
        <w:t>agrícolas,</w:t>
      </w:r>
      <w:r>
        <w:rPr>
          <w:color w:val="231F20"/>
          <w:spacing w:val="-6"/>
        </w:rPr>
        <w:t> </w:t>
      </w:r>
      <w:r>
        <w:rPr>
          <w:color w:val="231F20"/>
        </w:rPr>
        <w:t>pasando por la construcción hasta los empleos en el sector terciario y de</w:t>
      </w:r>
      <w:r>
        <w:rPr>
          <w:color w:val="231F20"/>
          <w:spacing w:val="-20"/>
        </w:rPr>
        <w:t> </w:t>
      </w:r>
      <w:r>
        <w:rPr>
          <w:color w:val="231F20"/>
        </w:rPr>
        <w:t>servicios.</w:t>
      </w:r>
    </w:p>
    <w:p>
      <w:pPr>
        <w:spacing w:after="0" w:line="247" w:lineRule="auto"/>
        <w:jc w:val="both"/>
        <w:sectPr>
          <w:pgSz w:w="9360" w:h="13040"/>
          <w:pgMar w:header="0" w:footer="496" w:top="800" w:bottom="680" w:left="1300" w:right="1300"/>
        </w:sectPr>
      </w:pPr>
    </w:p>
    <w:p>
      <w:pPr>
        <w:spacing w:before="45"/>
        <w:ind w:left="400" w:right="0" w:firstLine="1038"/>
        <w:jc w:val="left"/>
        <w:rPr>
          <w:rFonts w:ascii="Arial" w:hAnsi="Arial"/>
          <w:sz w:val="20"/>
        </w:rPr>
      </w:pPr>
      <w:r>
        <w:rPr>
          <w:rFonts w:ascii="Arial" w:hAnsi="Arial"/>
          <w:color w:val="231F20"/>
          <w:w w:val="70"/>
          <w:sz w:val="20"/>
        </w:rPr>
        <w:t>Migración y cambio del espacio rural en el noreste michoacano /Iván Jiménez-Maya</w:t>
      </w:r>
    </w:p>
    <w:p>
      <w:pPr>
        <w:pStyle w:val="BodyText"/>
        <w:spacing w:before="7"/>
        <w:rPr>
          <w:rFonts w:ascii="Arial"/>
          <w:sz w:val="28"/>
        </w:rPr>
      </w:pPr>
    </w:p>
    <w:p>
      <w:pPr>
        <w:pStyle w:val="BodyText"/>
        <w:spacing w:line="247" w:lineRule="auto"/>
        <w:ind w:left="117" w:right="115" w:firstLine="283"/>
        <w:jc w:val="both"/>
      </w:pPr>
      <w:r>
        <w:rPr>
          <w:color w:val="231F20"/>
        </w:rPr>
        <w:t>En su último reporte de información sociodemográfica, el Instituto de Nacional de Estadística y Geografía (INEGI) informa que empujados por la falta de oportunidades en territorio nacional un promedio de mil 465 mexicanos abandonaron el país cada día de 2009, incluidos fines de</w:t>
      </w:r>
      <w:r>
        <w:rPr>
          <w:color w:val="231F20"/>
          <w:spacing w:val="-24"/>
        </w:rPr>
        <w:t> </w:t>
      </w:r>
      <w:r>
        <w:rPr>
          <w:color w:val="231F20"/>
        </w:rPr>
        <w:t>sema- na, vacaciones y días festivos. Esto contabiliza un total superior a 535 mil mexicanos que cambiaron su residencia al extranjero. Para el INEGI, si bien se han mantenido niveles similares a los de 2008, “en términos netos la migración internacional sigue representando pérdidas en el total de la población en México”. La mayoría de los mexicanos que salieron del país se encuentran entre los 20 y 30 años, la etapa más productiva, pero según el organismo estadístico también se observó un aumento en los grupos de emigrantes de más de 40 años, aunque esta población fue predominante- mente masculina (Cardoso, 2010: 27).</w:t>
      </w:r>
    </w:p>
    <w:p>
      <w:pPr>
        <w:pStyle w:val="BodyText"/>
        <w:spacing w:line="247" w:lineRule="auto"/>
        <w:ind w:left="117" w:right="114" w:firstLine="283"/>
        <w:jc w:val="both"/>
      </w:pPr>
      <w:r>
        <w:rPr>
          <w:color w:val="231F20"/>
        </w:rPr>
        <w:t>En el caso del </w:t>
      </w:r>
      <w:r>
        <w:rPr>
          <w:color w:val="231F20"/>
          <w:spacing w:val="-5"/>
        </w:rPr>
        <w:t>Valle </w:t>
      </w:r>
      <w:r>
        <w:rPr>
          <w:color w:val="231F20"/>
        </w:rPr>
        <w:t>de Tangancícuaro, aunque la salida de una porción significativa de los habitantes se dio a partir de 1986, con la amnistía en Estados</w:t>
      </w:r>
      <w:r>
        <w:rPr>
          <w:color w:val="231F20"/>
          <w:spacing w:val="-5"/>
        </w:rPr>
        <w:t> </w:t>
      </w:r>
      <w:r>
        <w:rPr>
          <w:color w:val="231F20"/>
        </w:rPr>
        <w:t>Unidos,</w:t>
      </w:r>
      <w:r>
        <w:rPr>
          <w:color w:val="231F20"/>
          <w:spacing w:val="-4"/>
        </w:rPr>
        <w:t> </w:t>
      </w:r>
      <w:r>
        <w:rPr>
          <w:color w:val="231F20"/>
        </w:rPr>
        <w:t>en</w:t>
      </w:r>
      <w:r>
        <w:rPr>
          <w:color w:val="231F20"/>
          <w:spacing w:val="-5"/>
        </w:rPr>
        <w:t> </w:t>
      </w:r>
      <w:r>
        <w:rPr>
          <w:color w:val="231F20"/>
        </w:rPr>
        <w:t>la</w:t>
      </w:r>
      <w:r>
        <w:rPr>
          <w:color w:val="231F20"/>
          <w:spacing w:val="-5"/>
        </w:rPr>
        <w:t> </w:t>
      </w:r>
      <w:r>
        <w:rPr>
          <w:color w:val="231F20"/>
        </w:rPr>
        <w:t>actualidad</w:t>
      </w:r>
      <w:r>
        <w:rPr>
          <w:color w:val="231F20"/>
          <w:spacing w:val="-5"/>
        </w:rPr>
        <w:t> </w:t>
      </w:r>
      <w:r>
        <w:rPr>
          <w:color w:val="231F20"/>
        </w:rPr>
        <w:t>sigue</w:t>
      </w:r>
      <w:r>
        <w:rPr>
          <w:color w:val="231F20"/>
          <w:spacing w:val="-5"/>
        </w:rPr>
        <w:t> </w:t>
      </w:r>
      <w:r>
        <w:rPr>
          <w:color w:val="231F20"/>
        </w:rPr>
        <w:t>disminuyendo</w:t>
      </w:r>
      <w:r>
        <w:rPr>
          <w:color w:val="231F20"/>
          <w:spacing w:val="-5"/>
        </w:rPr>
        <w:t> </w:t>
      </w:r>
      <w:r>
        <w:rPr>
          <w:color w:val="231F20"/>
        </w:rPr>
        <w:t>la</w:t>
      </w:r>
      <w:r>
        <w:rPr>
          <w:color w:val="231F20"/>
          <w:spacing w:val="-5"/>
        </w:rPr>
        <w:t> </w:t>
      </w:r>
      <w:r>
        <w:rPr>
          <w:color w:val="231F20"/>
        </w:rPr>
        <w:t>población</w:t>
      </w:r>
      <w:r>
        <w:rPr>
          <w:color w:val="231F20"/>
          <w:spacing w:val="-5"/>
        </w:rPr>
        <w:t> </w:t>
      </w:r>
      <w:r>
        <w:rPr>
          <w:color w:val="231F20"/>
        </w:rPr>
        <w:t>y</w:t>
      </w:r>
      <w:r>
        <w:rPr>
          <w:color w:val="231F20"/>
          <w:spacing w:val="-5"/>
        </w:rPr>
        <w:t> </w:t>
      </w:r>
      <w:r>
        <w:rPr>
          <w:color w:val="231F20"/>
        </w:rPr>
        <w:t>desde el año de 1990 la tendencia es a la baja, coincidiendo con la década en la que se ponen en marcha las reformas neoliberales y también el TLCAN entra en escena, cuando empieza la disminución de una parte importante de</w:t>
      </w:r>
      <w:r>
        <w:rPr>
          <w:color w:val="231F20"/>
          <w:spacing w:val="-8"/>
        </w:rPr>
        <w:t> </w:t>
      </w:r>
      <w:r>
        <w:rPr>
          <w:color w:val="231F20"/>
        </w:rPr>
        <w:t>las</w:t>
      </w:r>
      <w:r>
        <w:rPr>
          <w:color w:val="231F20"/>
          <w:spacing w:val="-8"/>
        </w:rPr>
        <w:t> </w:t>
      </w:r>
      <w:r>
        <w:rPr>
          <w:color w:val="231F20"/>
        </w:rPr>
        <w:t>actividades</w:t>
      </w:r>
      <w:r>
        <w:rPr>
          <w:color w:val="231F20"/>
          <w:spacing w:val="-8"/>
        </w:rPr>
        <w:t> </w:t>
      </w:r>
      <w:r>
        <w:rPr>
          <w:color w:val="231F20"/>
        </w:rPr>
        <w:t>agrícolas</w:t>
      </w:r>
      <w:r>
        <w:rPr>
          <w:color w:val="231F20"/>
          <w:spacing w:val="-9"/>
        </w:rPr>
        <w:t> </w:t>
      </w:r>
      <w:r>
        <w:rPr>
          <w:color w:val="231F20"/>
        </w:rPr>
        <w:t>que</w:t>
      </w:r>
      <w:r>
        <w:rPr>
          <w:color w:val="231F20"/>
          <w:spacing w:val="-8"/>
        </w:rPr>
        <w:t> </w:t>
      </w:r>
      <w:r>
        <w:rPr>
          <w:color w:val="231F20"/>
        </w:rPr>
        <w:t>se</w:t>
      </w:r>
      <w:r>
        <w:rPr>
          <w:color w:val="231F20"/>
          <w:spacing w:val="-8"/>
        </w:rPr>
        <w:t> </w:t>
      </w:r>
      <w:r>
        <w:rPr>
          <w:color w:val="231F20"/>
        </w:rPr>
        <w:t>llevaban</w:t>
      </w:r>
      <w:r>
        <w:rPr>
          <w:color w:val="231F20"/>
          <w:spacing w:val="-9"/>
        </w:rPr>
        <w:t> </w:t>
      </w:r>
      <w:r>
        <w:rPr>
          <w:color w:val="231F20"/>
        </w:rPr>
        <w:t>a</w:t>
      </w:r>
      <w:r>
        <w:rPr>
          <w:color w:val="231F20"/>
          <w:spacing w:val="-8"/>
        </w:rPr>
        <w:t> </w:t>
      </w:r>
      <w:r>
        <w:rPr>
          <w:color w:val="231F20"/>
        </w:rPr>
        <w:t>cabo</w:t>
      </w:r>
      <w:r>
        <w:rPr>
          <w:color w:val="231F20"/>
          <w:spacing w:val="-8"/>
        </w:rPr>
        <w:t> </w:t>
      </w:r>
      <w:r>
        <w:rPr>
          <w:color w:val="231F20"/>
        </w:rPr>
        <w:t>en</w:t>
      </w:r>
      <w:r>
        <w:rPr>
          <w:color w:val="231F20"/>
          <w:spacing w:val="-8"/>
        </w:rPr>
        <w:t> </w:t>
      </w:r>
      <w:r>
        <w:rPr>
          <w:color w:val="231F20"/>
        </w:rPr>
        <w:t>el</w:t>
      </w:r>
      <w:r>
        <w:rPr>
          <w:color w:val="231F20"/>
          <w:spacing w:val="-12"/>
        </w:rPr>
        <w:t> </w:t>
      </w:r>
      <w:r>
        <w:rPr>
          <w:color w:val="231F20"/>
          <w:spacing w:val="-5"/>
        </w:rPr>
        <w:t>Valle</w:t>
      </w:r>
      <w:r>
        <w:rPr>
          <w:color w:val="231F20"/>
          <w:spacing w:val="-8"/>
        </w:rPr>
        <w:t> </w:t>
      </w:r>
      <w:r>
        <w:rPr>
          <w:color w:val="231F20"/>
        </w:rPr>
        <w:t>a</w:t>
      </w:r>
      <w:r>
        <w:rPr>
          <w:color w:val="231F20"/>
          <w:spacing w:val="-8"/>
        </w:rPr>
        <w:t> </w:t>
      </w:r>
      <w:r>
        <w:rPr>
          <w:color w:val="231F20"/>
        </w:rPr>
        <w:t>lo</w:t>
      </w:r>
      <w:r>
        <w:rPr>
          <w:color w:val="231F20"/>
          <w:spacing w:val="-8"/>
        </w:rPr>
        <w:t> </w:t>
      </w:r>
      <w:r>
        <w:rPr>
          <w:color w:val="231F20"/>
        </w:rPr>
        <w:t>largo</w:t>
      </w:r>
      <w:r>
        <w:rPr>
          <w:color w:val="231F20"/>
          <w:spacing w:val="-8"/>
        </w:rPr>
        <w:t> </w:t>
      </w:r>
      <w:r>
        <w:rPr>
          <w:color w:val="231F20"/>
        </w:rPr>
        <w:t>del siglo</w:t>
      </w:r>
      <w:r>
        <w:rPr>
          <w:color w:val="231F20"/>
          <w:spacing w:val="-10"/>
        </w:rPr>
        <w:t> </w:t>
      </w:r>
      <w:r>
        <w:rPr>
          <w:color w:val="231F20"/>
        </w:rPr>
        <w:t>XX,</w:t>
      </w:r>
      <w:r>
        <w:rPr>
          <w:color w:val="231F20"/>
          <w:spacing w:val="-9"/>
        </w:rPr>
        <w:t> </w:t>
      </w:r>
      <w:r>
        <w:rPr>
          <w:color w:val="231F20"/>
        </w:rPr>
        <w:t>dejando</w:t>
      </w:r>
      <w:r>
        <w:rPr>
          <w:color w:val="231F20"/>
          <w:spacing w:val="-10"/>
        </w:rPr>
        <w:t> </w:t>
      </w:r>
      <w:r>
        <w:rPr>
          <w:color w:val="231F20"/>
        </w:rPr>
        <w:t>sin</w:t>
      </w:r>
      <w:r>
        <w:rPr>
          <w:color w:val="231F20"/>
          <w:spacing w:val="-10"/>
        </w:rPr>
        <w:t> </w:t>
      </w:r>
      <w:r>
        <w:rPr>
          <w:color w:val="231F20"/>
        </w:rPr>
        <w:t>perspectivas</w:t>
      </w:r>
      <w:r>
        <w:rPr>
          <w:color w:val="231F20"/>
          <w:spacing w:val="-10"/>
        </w:rPr>
        <w:t> </w:t>
      </w:r>
      <w:r>
        <w:rPr>
          <w:color w:val="231F20"/>
        </w:rPr>
        <w:t>ni</w:t>
      </w:r>
      <w:r>
        <w:rPr>
          <w:color w:val="231F20"/>
          <w:spacing w:val="-10"/>
        </w:rPr>
        <w:t> </w:t>
      </w:r>
      <w:r>
        <w:rPr>
          <w:color w:val="231F20"/>
        </w:rPr>
        <w:t>posibilidades</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habitantes,</w:t>
      </w:r>
      <w:r>
        <w:rPr>
          <w:color w:val="231F20"/>
          <w:spacing w:val="-10"/>
        </w:rPr>
        <w:t> </w:t>
      </w:r>
      <w:r>
        <w:rPr>
          <w:color w:val="231F20"/>
        </w:rPr>
        <w:t>princi- palmente a los jóvenes que aún quedan en la comunidad y estos optan por irse a Estados Unidos, a reunirse con sus familias y obtener el ingreso que en México no pueden</w:t>
      </w:r>
      <w:r>
        <w:rPr>
          <w:color w:val="231F20"/>
          <w:spacing w:val="-19"/>
        </w:rPr>
        <w:t> </w:t>
      </w:r>
      <w:r>
        <w:rPr>
          <w:color w:val="231F20"/>
        </w:rPr>
        <w:t>obtener.</w:t>
      </w:r>
    </w:p>
    <w:p>
      <w:pPr>
        <w:pStyle w:val="Heading3"/>
      </w:pPr>
      <w:r>
        <w:rPr>
          <w:color w:val="231F20"/>
        </w:rPr>
        <w:t>¿Y ahora qué sucede en ese espacio rural?</w:t>
      </w:r>
    </w:p>
    <w:p>
      <w:pPr>
        <w:pStyle w:val="BodyText"/>
        <w:spacing w:line="247" w:lineRule="auto" w:before="172"/>
        <w:ind w:left="117" w:right="114"/>
        <w:jc w:val="both"/>
      </w:pPr>
      <w:r>
        <w:rPr>
          <w:color w:val="231F20"/>
        </w:rPr>
        <w:t>Los cambios derivados del ajuste estructural (en el periodo neoliberal) en donde el mercado es considerado como el único mecanismo eficiente de asignación de los recursos, han impactado los procesos económicos, polí- ticos,</w:t>
      </w:r>
      <w:r>
        <w:rPr>
          <w:color w:val="231F20"/>
          <w:spacing w:val="-5"/>
        </w:rPr>
        <w:t> </w:t>
      </w:r>
      <w:r>
        <w:rPr>
          <w:color w:val="231F20"/>
        </w:rPr>
        <w:t>ecológicos</w:t>
      </w:r>
      <w:r>
        <w:rPr>
          <w:color w:val="231F20"/>
          <w:spacing w:val="-5"/>
        </w:rPr>
        <w:t> </w:t>
      </w:r>
      <w:r>
        <w:rPr>
          <w:color w:val="231F20"/>
        </w:rPr>
        <w:t>y</w:t>
      </w:r>
      <w:r>
        <w:rPr>
          <w:color w:val="231F20"/>
          <w:spacing w:val="-5"/>
        </w:rPr>
        <w:t> </w:t>
      </w:r>
      <w:r>
        <w:rPr>
          <w:color w:val="231F20"/>
        </w:rPr>
        <w:t>culturales</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regiones</w:t>
      </w:r>
      <w:r>
        <w:rPr>
          <w:color w:val="231F20"/>
          <w:spacing w:val="-5"/>
        </w:rPr>
        <w:t> </w:t>
      </w:r>
      <w:r>
        <w:rPr>
          <w:color w:val="231F20"/>
        </w:rPr>
        <w:t>rurales;</w:t>
      </w:r>
      <w:r>
        <w:rPr>
          <w:color w:val="231F20"/>
          <w:spacing w:val="-5"/>
        </w:rPr>
        <w:t> </w:t>
      </w:r>
      <w:r>
        <w:rPr>
          <w:color w:val="231F20"/>
        </w:rPr>
        <w:t>han</w:t>
      </w:r>
      <w:r>
        <w:rPr>
          <w:color w:val="231F20"/>
          <w:spacing w:val="-5"/>
        </w:rPr>
        <w:t> </w:t>
      </w:r>
      <w:r>
        <w:rPr>
          <w:color w:val="231F20"/>
        </w:rPr>
        <w:t>modificado</w:t>
      </w:r>
      <w:r>
        <w:rPr>
          <w:color w:val="231F20"/>
          <w:spacing w:val="-5"/>
        </w:rPr>
        <w:t> </w:t>
      </w:r>
      <w:r>
        <w:rPr>
          <w:color w:val="231F20"/>
        </w:rPr>
        <w:t>la</w:t>
      </w:r>
      <w:r>
        <w:rPr>
          <w:color w:val="231F20"/>
          <w:spacing w:val="-5"/>
        </w:rPr>
        <w:t> </w:t>
      </w:r>
      <w:r>
        <w:rPr>
          <w:color w:val="231F20"/>
        </w:rPr>
        <w:t>es- tructura</w:t>
      </w:r>
      <w:r>
        <w:rPr>
          <w:color w:val="231F20"/>
          <w:spacing w:val="-5"/>
        </w:rPr>
        <w:t> </w:t>
      </w:r>
      <w:r>
        <w:rPr>
          <w:color w:val="231F20"/>
        </w:rPr>
        <w:t>agraria</w:t>
      </w:r>
      <w:r>
        <w:rPr>
          <w:color w:val="231F20"/>
          <w:spacing w:val="-5"/>
        </w:rPr>
        <w:t> </w:t>
      </w:r>
      <w:r>
        <w:rPr>
          <w:color w:val="231F20"/>
        </w:rPr>
        <w:t>y</w:t>
      </w:r>
      <w:r>
        <w:rPr>
          <w:color w:val="231F20"/>
          <w:spacing w:val="-5"/>
        </w:rPr>
        <w:t> </w:t>
      </w:r>
      <w:r>
        <w:rPr>
          <w:color w:val="231F20"/>
        </w:rPr>
        <w:t>productiva,</w:t>
      </w:r>
      <w:r>
        <w:rPr>
          <w:color w:val="231F20"/>
          <w:spacing w:val="-5"/>
        </w:rPr>
        <w:t> </w:t>
      </w:r>
      <w:r>
        <w:rPr>
          <w:color w:val="231F20"/>
        </w:rPr>
        <w:t>afectando</w:t>
      </w:r>
      <w:r>
        <w:rPr>
          <w:color w:val="231F20"/>
          <w:spacing w:val="-5"/>
        </w:rPr>
        <w:t> </w:t>
      </w:r>
      <w:r>
        <w:rPr>
          <w:color w:val="231F20"/>
        </w:rPr>
        <w:t>las</w:t>
      </w:r>
      <w:r>
        <w:rPr>
          <w:color w:val="231F20"/>
          <w:spacing w:val="-5"/>
        </w:rPr>
        <w:t> </w:t>
      </w:r>
      <w:r>
        <w:rPr>
          <w:color w:val="231F20"/>
        </w:rPr>
        <w:t>condiciones</w:t>
      </w:r>
      <w:r>
        <w:rPr>
          <w:color w:val="231F20"/>
          <w:spacing w:val="-5"/>
        </w:rPr>
        <w:t> </w:t>
      </w:r>
      <w:r>
        <w:rPr>
          <w:color w:val="231F20"/>
        </w:rPr>
        <w:t>de</w:t>
      </w:r>
      <w:r>
        <w:rPr>
          <w:color w:val="231F20"/>
          <w:spacing w:val="-5"/>
        </w:rPr>
        <w:t> </w:t>
      </w:r>
      <w:r>
        <w:rPr>
          <w:color w:val="231F20"/>
        </w:rPr>
        <w:t>vida,</w:t>
      </w:r>
      <w:r>
        <w:rPr>
          <w:color w:val="231F20"/>
          <w:spacing w:val="-5"/>
        </w:rPr>
        <w:t> </w:t>
      </w:r>
      <w:r>
        <w:rPr>
          <w:color w:val="231F20"/>
        </w:rPr>
        <w:t>de</w:t>
      </w:r>
      <w:r>
        <w:rPr>
          <w:color w:val="231F20"/>
          <w:spacing w:val="-5"/>
        </w:rPr>
        <w:t> </w:t>
      </w:r>
      <w:r>
        <w:rPr>
          <w:color w:val="231F20"/>
        </w:rPr>
        <w:t>trabajo e ingreso de la población rural, alterando los escenarios en que se mueven los principales actores sociales (CASA, 2001: 18).</w:t>
      </w:r>
    </w:p>
    <w:p>
      <w:pPr>
        <w:pStyle w:val="BodyText"/>
        <w:spacing w:line="247" w:lineRule="auto"/>
        <w:ind w:left="117" w:right="115" w:firstLine="283"/>
        <w:jc w:val="both"/>
      </w:pPr>
      <w:r>
        <w:rPr>
          <w:color w:val="231F20"/>
        </w:rPr>
        <w:t>En la actualidad en el </w:t>
      </w:r>
      <w:r>
        <w:rPr>
          <w:color w:val="231F20"/>
          <w:spacing w:val="-5"/>
        </w:rPr>
        <w:t>Valle </w:t>
      </w:r>
      <w:r>
        <w:rPr>
          <w:color w:val="231F20"/>
        </w:rPr>
        <w:t>de Tangancícuaro se observa una</w:t>
      </w:r>
      <w:r>
        <w:rPr>
          <w:color w:val="231F20"/>
          <w:spacing w:val="-32"/>
        </w:rPr>
        <w:t> </w:t>
      </w:r>
      <w:r>
        <w:rPr>
          <w:color w:val="231F20"/>
        </w:rPr>
        <w:t>combina- ción de dos tipos de propiedad: la ejidal, aunque ya en PROCEDE y la</w:t>
      </w:r>
      <w:r>
        <w:rPr>
          <w:color w:val="231F20"/>
          <w:spacing w:val="-28"/>
        </w:rPr>
        <w:t> </w:t>
      </w:r>
      <w:r>
        <w:rPr>
          <w:color w:val="231F20"/>
        </w:rPr>
        <w:t>pe- queña propiedad. Éstos son producto de los distintos momentos históricos que han reconfigurado este espacio rural, a la par del largo proceso</w:t>
      </w:r>
      <w:r>
        <w:rPr>
          <w:color w:val="231F20"/>
          <w:spacing w:val="-16"/>
        </w:rPr>
        <w:t> </w:t>
      </w:r>
      <w:r>
        <w:rPr>
          <w:color w:val="231F20"/>
        </w:rPr>
        <w:t>migra- torio que han vivido las comunidades que conforman el </w:t>
      </w:r>
      <w:r>
        <w:rPr>
          <w:color w:val="231F20"/>
          <w:spacing w:val="-5"/>
        </w:rPr>
        <w:t>Valle </w:t>
      </w:r>
      <w:r>
        <w:rPr>
          <w:color w:val="231F20"/>
        </w:rPr>
        <w:t>de </w:t>
      </w:r>
      <w:r>
        <w:rPr>
          <w:color w:val="231F20"/>
          <w:spacing w:val="-3"/>
        </w:rPr>
        <w:t>Tangan- </w:t>
      </w:r>
      <w:r>
        <w:rPr>
          <w:color w:val="231F20"/>
        </w:rPr>
        <w:t>cícuaro. Es así que este espacio rural adquiere una complejidad  particular</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jc w:val="both"/>
      </w:pPr>
      <w:r>
        <w:rPr>
          <w:color w:val="231F20"/>
        </w:rPr>
        <w:t>enmarcada en distintos procesos económicos y sociales a escala nacional, que en la actualidad le dan características singulares y sin el análisis de esos antecedentes sería difícil comprender la actual conformación de ese espacio rural. Esto da pie para el análisis de los procesos que actualmente acontecen en el </w:t>
      </w:r>
      <w:r>
        <w:rPr>
          <w:color w:val="231F20"/>
          <w:spacing w:val="-5"/>
        </w:rPr>
        <w:t>Valle </w:t>
      </w:r>
      <w:r>
        <w:rPr>
          <w:color w:val="231F20"/>
        </w:rPr>
        <w:t>de Tangancícuaro y que siguen transformando este espacio. En el contexto de una migración significativa a Estados Unidos por</w:t>
      </w:r>
      <w:r>
        <w:rPr>
          <w:color w:val="231F20"/>
          <w:spacing w:val="-8"/>
        </w:rPr>
        <w:t> </w:t>
      </w:r>
      <w:r>
        <w:rPr>
          <w:color w:val="231F20"/>
        </w:rPr>
        <w:t>parte</w:t>
      </w:r>
      <w:r>
        <w:rPr>
          <w:color w:val="231F20"/>
          <w:spacing w:val="-7"/>
        </w:rPr>
        <w:t> </w:t>
      </w:r>
      <w:r>
        <w:rPr>
          <w:color w:val="231F20"/>
        </w:rPr>
        <w:t>de</w:t>
      </w:r>
      <w:r>
        <w:rPr>
          <w:color w:val="231F20"/>
          <w:spacing w:val="-8"/>
        </w:rPr>
        <w:t> </w:t>
      </w:r>
      <w:r>
        <w:rPr>
          <w:color w:val="231F20"/>
        </w:rPr>
        <w:t>los</w:t>
      </w:r>
      <w:r>
        <w:rPr>
          <w:color w:val="231F20"/>
          <w:spacing w:val="-8"/>
        </w:rPr>
        <w:t> </w:t>
      </w:r>
      <w:r>
        <w:rPr>
          <w:color w:val="231F20"/>
        </w:rPr>
        <w:t>habitantes</w:t>
      </w:r>
      <w:r>
        <w:rPr>
          <w:color w:val="231F20"/>
          <w:spacing w:val="-7"/>
        </w:rPr>
        <w:t> </w:t>
      </w:r>
      <w:r>
        <w:rPr>
          <w:color w:val="231F20"/>
        </w:rPr>
        <w:t>de</w:t>
      </w:r>
      <w:r>
        <w:rPr>
          <w:color w:val="231F20"/>
          <w:spacing w:val="-8"/>
        </w:rPr>
        <w:t> </w:t>
      </w:r>
      <w:r>
        <w:rPr>
          <w:color w:val="231F20"/>
        </w:rPr>
        <w:t>las</w:t>
      </w:r>
      <w:r>
        <w:rPr>
          <w:color w:val="231F20"/>
          <w:spacing w:val="-8"/>
        </w:rPr>
        <w:t> </w:t>
      </w:r>
      <w:r>
        <w:rPr>
          <w:color w:val="231F20"/>
        </w:rPr>
        <w:t>comunidades</w:t>
      </w:r>
      <w:r>
        <w:rPr>
          <w:color w:val="231F20"/>
          <w:spacing w:val="-8"/>
        </w:rPr>
        <w:t> </w:t>
      </w:r>
      <w:r>
        <w:rPr>
          <w:color w:val="231F20"/>
        </w:rPr>
        <w:t>del</w:t>
      </w:r>
      <w:r>
        <w:rPr>
          <w:color w:val="231F20"/>
          <w:spacing w:val="-11"/>
        </w:rPr>
        <w:t> </w:t>
      </w:r>
      <w:r>
        <w:rPr>
          <w:color w:val="231F20"/>
          <w:spacing w:val="-5"/>
        </w:rPr>
        <w:t>Valle</w:t>
      </w:r>
      <w:r>
        <w:rPr>
          <w:color w:val="231F20"/>
          <w:spacing w:val="-8"/>
        </w:rPr>
        <w:t> </w:t>
      </w:r>
      <w:r>
        <w:rPr>
          <w:color w:val="231F20"/>
        </w:rPr>
        <w:t>de</w:t>
      </w:r>
      <w:r>
        <w:rPr>
          <w:color w:val="231F20"/>
          <w:spacing w:val="-11"/>
        </w:rPr>
        <w:t> </w:t>
      </w:r>
      <w:r>
        <w:rPr>
          <w:color w:val="231F20"/>
        </w:rPr>
        <w:t>Tangancícuaro, con la implementación del modelo neoliberal en México y la entrada en vigor del TLCAN. El resultado para las comunidades rurales, no ha sido del</w:t>
      </w:r>
      <w:r>
        <w:rPr>
          <w:color w:val="231F20"/>
          <w:spacing w:val="-5"/>
        </w:rPr>
        <w:t> </w:t>
      </w:r>
      <w:r>
        <w:rPr>
          <w:color w:val="231F20"/>
        </w:rPr>
        <w:t>todo</w:t>
      </w:r>
      <w:r>
        <w:rPr>
          <w:color w:val="231F20"/>
          <w:spacing w:val="-5"/>
        </w:rPr>
        <w:t> </w:t>
      </w:r>
      <w:r>
        <w:rPr>
          <w:color w:val="231F20"/>
        </w:rPr>
        <w:t>favorable.</w:t>
      </w:r>
      <w:r>
        <w:rPr>
          <w:color w:val="231F20"/>
          <w:spacing w:val="-5"/>
        </w:rPr>
        <w:t> </w:t>
      </w:r>
      <w:r>
        <w:rPr>
          <w:color w:val="231F20"/>
        </w:rPr>
        <w:t>Significó</w:t>
      </w:r>
      <w:r>
        <w:rPr>
          <w:color w:val="231F20"/>
          <w:spacing w:val="-5"/>
        </w:rPr>
        <w:t> </w:t>
      </w:r>
      <w:r>
        <w:rPr>
          <w:color w:val="231F20"/>
        </w:rPr>
        <w:t>el</w:t>
      </w:r>
      <w:r>
        <w:rPr>
          <w:color w:val="231F20"/>
          <w:spacing w:val="-5"/>
        </w:rPr>
        <w:t> </w:t>
      </w:r>
      <w:r>
        <w:rPr>
          <w:color w:val="231F20"/>
        </w:rPr>
        <w:t>abandono</w:t>
      </w:r>
      <w:r>
        <w:rPr>
          <w:color w:val="231F20"/>
          <w:spacing w:val="-5"/>
        </w:rPr>
        <w:t> </w:t>
      </w:r>
      <w:r>
        <w:rPr>
          <w:color w:val="231F20"/>
        </w:rPr>
        <w:t>de</w:t>
      </w:r>
      <w:r>
        <w:rPr>
          <w:color w:val="231F20"/>
          <w:spacing w:val="-5"/>
        </w:rPr>
        <w:t> </w:t>
      </w:r>
      <w:r>
        <w:rPr>
          <w:color w:val="231F20"/>
        </w:rPr>
        <w:t>manera</w:t>
      </w:r>
      <w:r>
        <w:rPr>
          <w:color w:val="231F20"/>
          <w:spacing w:val="-5"/>
        </w:rPr>
        <w:t> </w:t>
      </w:r>
      <w:r>
        <w:rPr>
          <w:color w:val="231F20"/>
        </w:rPr>
        <w:t>acelerada</w:t>
      </w:r>
      <w:r>
        <w:rPr>
          <w:color w:val="231F20"/>
          <w:spacing w:val="-5"/>
        </w:rPr>
        <w:t> </w:t>
      </w:r>
      <w:r>
        <w:rPr>
          <w:color w:val="231F20"/>
        </w:rPr>
        <w:t>las</w:t>
      </w:r>
      <w:r>
        <w:rPr>
          <w:color w:val="231F20"/>
          <w:spacing w:val="-5"/>
        </w:rPr>
        <w:t> </w:t>
      </w:r>
      <w:r>
        <w:rPr>
          <w:color w:val="231F20"/>
        </w:rPr>
        <w:t>tierras</w:t>
      </w:r>
      <w:r>
        <w:rPr>
          <w:color w:val="231F20"/>
          <w:spacing w:val="-5"/>
        </w:rPr>
        <w:t> </w:t>
      </w:r>
      <w:r>
        <w:rPr>
          <w:color w:val="231F20"/>
        </w:rPr>
        <w:t>y el gradual abandono de los cultivos tradicionales, dejando el camino libre para la entrada de otros actores que, por medio de la renta de la tierra, ha- cen uso de esos</w:t>
      </w:r>
      <w:r>
        <w:rPr>
          <w:color w:val="231F20"/>
          <w:spacing w:val="-3"/>
        </w:rPr>
        <w:t> </w:t>
      </w:r>
      <w:r>
        <w:rPr>
          <w:color w:val="231F20"/>
        </w:rPr>
        <w:t>terrenos.</w:t>
      </w:r>
    </w:p>
    <w:p>
      <w:pPr>
        <w:pStyle w:val="BodyText"/>
        <w:spacing w:line="247" w:lineRule="auto"/>
        <w:ind w:left="117" w:right="114" w:firstLine="283"/>
        <w:jc w:val="both"/>
      </w:pPr>
      <w:r>
        <w:rPr>
          <w:color w:val="231F20"/>
        </w:rPr>
        <w:t>Es así que a partir de observaciones realizadas e información obtenida durante el trabajo de campo, tanto en pláticas como en entrevistas con los distintos</w:t>
      </w:r>
      <w:r>
        <w:rPr>
          <w:color w:val="231F20"/>
          <w:spacing w:val="-11"/>
        </w:rPr>
        <w:t> </w:t>
      </w:r>
      <w:r>
        <w:rPr>
          <w:color w:val="231F20"/>
        </w:rPr>
        <w:t>actores</w:t>
      </w:r>
      <w:r>
        <w:rPr>
          <w:color w:val="231F20"/>
          <w:spacing w:val="-12"/>
        </w:rPr>
        <w:t> </w:t>
      </w:r>
      <w:r>
        <w:rPr>
          <w:color w:val="231F20"/>
        </w:rPr>
        <w:t>que</w:t>
      </w:r>
      <w:r>
        <w:rPr>
          <w:color w:val="231F20"/>
          <w:spacing w:val="-11"/>
        </w:rPr>
        <w:t> </w:t>
      </w:r>
      <w:r>
        <w:rPr>
          <w:color w:val="231F20"/>
        </w:rPr>
        <w:t>habitan</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comunidades</w:t>
      </w:r>
      <w:r>
        <w:rPr>
          <w:color w:val="231F20"/>
          <w:spacing w:val="-12"/>
        </w:rPr>
        <w:t> </w:t>
      </w:r>
      <w:r>
        <w:rPr>
          <w:color w:val="231F20"/>
        </w:rPr>
        <w:t>que</w:t>
      </w:r>
      <w:r>
        <w:rPr>
          <w:color w:val="231F20"/>
          <w:spacing w:val="-11"/>
        </w:rPr>
        <w:t> </w:t>
      </w:r>
      <w:r>
        <w:rPr>
          <w:color w:val="231F20"/>
        </w:rPr>
        <w:t>conforman</w:t>
      </w:r>
      <w:r>
        <w:rPr>
          <w:color w:val="231F20"/>
          <w:spacing w:val="-12"/>
        </w:rPr>
        <w:t> </w:t>
      </w:r>
      <w:r>
        <w:rPr>
          <w:color w:val="231F20"/>
        </w:rPr>
        <w:t>el</w:t>
      </w:r>
      <w:r>
        <w:rPr>
          <w:color w:val="231F20"/>
          <w:spacing w:val="-15"/>
        </w:rPr>
        <w:t> </w:t>
      </w:r>
      <w:r>
        <w:rPr>
          <w:color w:val="231F20"/>
          <w:spacing w:val="-5"/>
        </w:rPr>
        <w:t>Valle</w:t>
      </w:r>
      <w:r>
        <w:rPr>
          <w:color w:val="231F20"/>
          <w:spacing w:val="-11"/>
        </w:rPr>
        <w:t> </w:t>
      </w:r>
      <w:r>
        <w:rPr>
          <w:color w:val="231F20"/>
        </w:rPr>
        <w:t>de Tangancícuaro,</w:t>
      </w:r>
      <w:r>
        <w:rPr>
          <w:color w:val="231F20"/>
          <w:spacing w:val="-16"/>
        </w:rPr>
        <w:t> </w:t>
      </w:r>
      <w:r>
        <w:rPr>
          <w:color w:val="231F20"/>
        </w:rPr>
        <w:t>se</w:t>
      </w:r>
      <w:r>
        <w:rPr>
          <w:color w:val="231F20"/>
          <w:spacing w:val="-15"/>
        </w:rPr>
        <w:t> </w:t>
      </w:r>
      <w:r>
        <w:rPr>
          <w:color w:val="231F20"/>
        </w:rPr>
        <w:t>puede</w:t>
      </w:r>
      <w:r>
        <w:rPr>
          <w:color w:val="231F20"/>
          <w:spacing w:val="-15"/>
        </w:rPr>
        <w:t> </w:t>
      </w:r>
      <w:r>
        <w:rPr>
          <w:color w:val="231F20"/>
        </w:rPr>
        <w:t>decir</w:t>
      </w:r>
      <w:r>
        <w:rPr>
          <w:color w:val="231F20"/>
          <w:spacing w:val="-16"/>
        </w:rPr>
        <w:t> </w:t>
      </w:r>
      <w:r>
        <w:rPr>
          <w:color w:val="231F20"/>
        </w:rPr>
        <w:t>que,</w:t>
      </w:r>
      <w:r>
        <w:rPr>
          <w:color w:val="231F20"/>
          <w:spacing w:val="-15"/>
        </w:rPr>
        <w:t> </w:t>
      </w:r>
      <w:r>
        <w:rPr>
          <w:color w:val="231F20"/>
        </w:rPr>
        <w:t>aproximadamente,</w:t>
      </w:r>
      <w:r>
        <w:rPr>
          <w:color w:val="231F20"/>
          <w:spacing w:val="-16"/>
        </w:rPr>
        <w:t> </w:t>
      </w:r>
      <w:r>
        <w:rPr>
          <w:color w:val="231F20"/>
        </w:rPr>
        <w:t>a</w:t>
      </w:r>
      <w:r>
        <w:rPr>
          <w:color w:val="231F20"/>
          <w:spacing w:val="-15"/>
        </w:rPr>
        <w:t> </w:t>
      </w:r>
      <w:r>
        <w:rPr>
          <w:color w:val="231F20"/>
        </w:rPr>
        <w:t>partir</w:t>
      </w:r>
      <w:r>
        <w:rPr>
          <w:color w:val="231F20"/>
          <w:spacing w:val="-15"/>
        </w:rPr>
        <w:t> </w:t>
      </w:r>
      <w:r>
        <w:rPr>
          <w:color w:val="231F20"/>
        </w:rPr>
        <w:t>del</w:t>
      </w:r>
      <w:r>
        <w:rPr>
          <w:color w:val="231F20"/>
          <w:spacing w:val="-15"/>
        </w:rPr>
        <w:t> </w:t>
      </w:r>
      <w:r>
        <w:rPr>
          <w:color w:val="231F20"/>
        </w:rPr>
        <w:t>año</w:t>
      </w:r>
      <w:r>
        <w:rPr>
          <w:color w:val="231F20"/>
          <w:spacing w:val="-16"/>
        </w:rPr>
        <w:t> </w:t>
      </w:r>
      <w:r>
        <w:rPr>
          <w:color w:val="231F20"/>
        </w:rPr>
        <w:t>2000 llegaron al </w:t>
      </w:r>
      <w:r>
        <w:rPr>
          <w:color w:val="231F20"/>
          <w:spacing w:val="-5"/>
        </w:rPr>
        <w:t>Valle </w:t>
      </w:r>
      <w:r>
        <w:rPr>
          <w:color w:val="231F20"/>
        </w:rPr>
        <w:t>de nueva cuenta compañías agroindustriales estadouni- denses, específicamente californianas (Dole y Driscoll). Su producción se enfoca, principalmente, al cultivo de fresa, pero también cultivan moras, zarzamoras y moras azules. </w:t>
      </w:r>
      <w:r>
        <w:rPr>
          <w:color w:val="231F20"/>
          <w:spacing w:val="-3"/>
        </w:rPr>
        <w:t>También </w:t>
      </w:r>
      <w:r>
        <w:rPr>
          <w:color w:val="231F20"/>
        </w:rPr>
        <w:t>algunos migrantes oriundos del</w:t>
      </w:r>
      <w:r>
        <w:rPr>
          <w:color w:val="231F20"/>
          <w:spacing w:val="-37"/>
        </w:rPr>
        <w:t> </w:t>
      </w:r>
      <w:r>
        <w:rPr>
          <w:color w:val="231F20"/>
          <w:spacing w:val="-5"/>
        </w:rPr>
        <w:t>Valle </w:t>
      </w:r>
      <w:r>
        <w:rPr>
          <w:color w:val="231F20"/>
        </w:rPr>
        <w:t>cultivan estos productos, en tierras propias y rentadas y han tenido expe- riencia trabajando con estos productos en California. Su producción es en pequeña escala y va directamente a las empresas antes</w:t>
      </w:r>
      <w:r>
        <w:rPr>
          <w:color w:val="231F20"/>
          <w:spacing w:val="-5"/>
        </w:rPr>
        <w:t> </w:t>
      </w:r>
      <w:r>
        <w:rPr>
          <w:color w:val="231F20"/>
        </w:rPr>
        <w:t>mencionadas.</w:t>
      </w:r>
    </w:p>
    <w:p>
      <w:pPr>
        <w:pStyle w:val="BodyText"/>
        <w:spacing w:line="247" w:lineRule="auto"/>
        <w:ind w:left="117" w:right="114" w:firstLine="283"/>
        <w:jc w:val="both"/>
      </w:pPr>
      <w:r>
        <w:rPr>
          <w:color w:val="231F20"/>
        </w:rPr>
        <w:t>A partir de la implementación de las Políticas de Ajuste Estructural </w:t>
      </w:r>
      <w:r>
        <w:rPr>
          <w:color w:val="231F20"/>
          <w:spacing w:val="-5"/>
        </w:rPr>
        <w:t>(PAE) </w:t>
      </w:r>
      <w:r>
        <w:rPr>
          <w:color w:val="231F20"/>
        </w:rPr>
        <w:t>con la llegada del neoliberalismo y consiguiente apertura comer- cial, se impulsa un modelo de producción cada vez más especializado que privilegia la producción para la exportación a costa de la destinada al</w:t>
      </w:r>
      <w:r>
        <w:rPr>
          <w:color w:val="231F20"/>
          <w:spacing w:val="-36"/>
        </w:rPr>
        <w:t> </w:t>
      </w:r>
      <w:r>
        <w:rPr>
          <w:color w:val="231F20"/>
        </w:rPr>
        <w:t>mer- cado interno (CASA, 2001: 18). Con la llegada de estas empresas agroin- dustriales estadounidenses y pequeños empresarios migrantes al </w:t>
      </w:r>
      <w:r>
        <w:rPr>
          <w:color w:val="231F20"/>
          <w:spacing w:val="-5"/>
        </w:rPr>
        <w:t>Valle </w:t>
      </w:r>
      <w:r>
        <w:rPr>
          <w:color w:val="231F20"/>
        </w:rPr>
        <w:t>de Tangancícuaro, se avanza en la apropiación —no significa con esto que</w:t>
      </w:r>
      <w:r>
        <w:rPr>
          <w:color w:val="231F20"/>
          <w:spacing w:val="-27"/>
        </w:rPr>
        <w:t> </w:t>
      </w:r>
      <w:r>
        <w:rPr>
          <w:color w:val="231F20"/>
        </w:rPr>
        <w:t>se vuelvan dueños de la tierra sino que únicamente la rentan— y explotación de esas tierras que muchos de los oriundos del </w:t>
      </w:r>
      <w:r>
        <w:rPr>
          <w:color w:val="231F20"/>
          <w:spacing w:val="-5"/>
        </w:rPr>
        <w:t>Valle, </w:t>
      </w:r>
      <w:r>
        <w:rPr>
          <w:color w:val="231F20"/>
        </w:rPr>
        <w:t>propietarios de tie- rra, habían dejado al irse a Estados Unidos. Estos nuevos ocupantes de la tierra hacen uso de los recursos naturales como el agua —dichos cultivos denominados</w:t>
      </w:r>
      <w:r>
        <w:rPr>
          <w:color w:val="231F20"/>
          <w:spacing w:val="-8"/>
        </w:rPr>
        <w:t> </w:t>
      </w:r>
      <w:r>
        <w:rPr>
          <w:color w:val="231F20"/>
        </w:rPr>
        <w:t>depredadores</w:t>
      </w:r>
      <w:r>
        <w:rPr>
          <w:color w:val="231F20"/>
          <w:spacing w:val="-8"/>
        </w:rPr>
        <w:t> </w:t>
      </w:r>
      <w:r>
        <w:rPr>
          <w:color w:val="231F20"/>
        </w:rPr>
        <w:t>la</w:t>
      </w:r>
      <w:r>
        <w:rPr>
          <w:color w:val="231F20"/>
          <w:spacing w:val="-8"/>
        </w:rPr>
        <w:t> </w:t>
      </w:r>
      <w:r>
        <w:rPr>
          <w:color w:val="231F20"/>
        </w:rPr>
        <w:t>requieren</w:t>
      </w:r>
      <w:r>
        <w:rPr>
          <w:color w:val="231F20"/>
          <w:spacing w:val="-8"/>
        </w:rPr>
        <w:t> </w:t>
      </w:r>
      <w:r>
        <w:rPr>
          <w:color w:val="231F20"/>
        </w:rPr>
        <w:t>y</w:t>
      </w:r>
      <w:r>
        <w:rPr>
          <w:color w:val="231F20"/>
          <w:spacing w:val="-8"/>
        </w:rPr>
        <w:t> </w:t>
      </w:r>
      <w:r>
        <w:rPr>
          <w:color w:val="231F20"/>
        </w:rPr>
        <w:t>en</w:t>
      </w:r>
      <w:r>
        <w:rPr>
          <w:color w:val="231F20"/>
          <w:spacing w:val="-8"/>
        </w:rPr>
        <w:t> </w:t>
      </w:r>
      <w:r>
        <w:rPr>
          <w:color w:val="231F20"/>
        </w:rPr>
        <w:t>grandes</w:t>
      </w:r>
      <w:r>
        <w:rPr>
          <w:color w:val="231F20"/>
          <w:spacing w:val="-8"/>
        </w:rPr>
        <w:t> </w:t>
      </w:r>
      <w:r>
        <w:rPr>
          <w:color w:val="231F20"/>
        </w:rPr>
        <w:t>cantidades—</w:t>
      </w:r>
      <w:r>
        <w:rPr>
          <w:color w:val="231F20"/>
          <w:spacing w:val="-8"/>
        </w:rPr>
        <w:t> </w:t>
      </w:r>
      <w:r>
        <w:rPr>
          <w:color w:val="231F20"/>
        </w:rPr>
        <w:t>y</w:t>
      </w:r>
      <w:r>
        <w:rPr>
          <w:color w:val="231F20"/>
          <w:spacing w:val="-8"/>
        </w:rPr>
        <w:t> </w:t>
      </w:r>
      <w:r>
        <w:rPr>
          <w:color w:val="231F20"/>
        </w:rPr>
        <w:t>como contraparte</w:t>
      </w:r>
      <w:r>
        <w:rPr>
          <w:color w:val="231F20"/>
          <w:spacing w:val="-12"/>
        </w:rPr>
        <w:t> </w:t>
      </w:r>
      <w:r>
        <w:rPr>
          <w:color w:val="231F20"/>
        </w:rPr>
        <w:t>esas</w:t>
      </w:r>
      <w:r>
        <w:rPr>
          <w:color w:val="231F20"/>
          <w:spacing w:val="-12"/>
        </w:rPr>
        <w:t> </w:t>
      </w:r>
      <w:r>
        <w:rPr>
          <w:color w:val="231F20"/>
        </w:rPr>
        <w:t>empresas</w:t>
      </w:r>
      <w:r>
        <w:rPr>
          <w:color w:val="231F20"/>
          <w:spacing w:val="-12"/>
        </w:rPr>
        <w:t> </w:t>
      </w:r>
      <w:r>
        <w:rPr>
          <w:color w:val="231F20"/>
        </w:rPr>
        <w:t>sólo</w:t>
      </w:r>
      <w:r>
        <w:rPr>
          <w:color w:val="231F20"/>
          <w:spacing w:val="-11"/>
        </w:rPr>
        <w:t> </w:t>
      </w:r>
      <w:r>
        <w:rPr>
          <w:color w:val="231F20"/>
        </w:rPr>
        <w:t>dejan</w:t>
      </w:r>
      <w:r>
        <w:rPr>
          <w:color w:val="231F20"/>
          <w:spacing w:val="-12"/>
        </w:rPr>
        <w:t> </w:t>
      </w:r>
      <w:r>
        <w:rPr>
          <w:color w:val="231F20"/>
        </w:rPr>
        <w:t>contaminación</w:t>
      </w:r>
      <w:r>
        <w:rPr>
          <w:color w:val="231F20"/>
          <w:spacing w:val="-13"/>
        </w:rPr>
        <w:t> </w:t>
      </w:r>
      <w:r>
        <w:rPr>
          <w:color w:val="231F20"/>
        </w:rPr>
        <w:t>tanto</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tierra</w:t>
      </w:r>
      <w:r>
        <w:rPr>
          <w:color w:val="231F20"/>
          <w:spacing w:val="-12"/>
        </w:rPr>
        <w:t> </w:t>
      </w:r>
      <w:r>
        <w:rPr>
          <w:color w:val="231F20"/>
        </w:rPr>
        <w:t>como en los cuerpos de</w:t>
      </w:r>
      <w:r>
        <w:rPr>
          <w:color w:val="231F20"/>
          <w:spacing w:val="-3"/>
        </w:rPr>
        <w:t> </w:t>
      </w:r>
      <w:r>
        <w:rPr>
          <w:color w:val="231F20"/>
        </w:rPr>
        <w:t>agua.</w:t>
      </w:r>
    </w:p>
    <w:p>
      <w:pPr>
        <w:spacing w:after="0" w:line="247" w:lineRule="auto"/>
        <w:jc w:val="both"/>
        <w:sectPr>
          <w:pgSz w:w="9360" w:h="13040"/>
          <w:pgMar w:header="0" w:footer="496" w:top="800" w:bottom="680" w:left="1300" w:right="1300"/>
        </w:sectPr>
      </w:pPr>
    </w:p>
    <w:p>
      <w:pPr>
        <w:spacing w:before="45"/>
        <w:ind w:left="400" w:right="0" w:firstLine="1038"/>
        <w:jc w:val="left"/>
        <w:rPr>
          <w:rFonts w:ascii="Arial" w:hAnsi="Arial"/>
          <w:sz w:val="20"/>
        </w:rPr>
      </w:pPr>
      <w:r>
        <w:rPr>
          <w:rFonts w:ascii="Arial" w:hAnsi="Arial"/>
          <w:color w:val="231F20"/>
          <w:w w:val="70"/>
          <w:sz w:val="20"/>
        </w:rPr>
        <w:t>Migración y cambio del espacio rural en el noreste michoacano /Iván Jiménez-Maya</w:t>
      </w:r>
    </w:p>
    <w:p>
      <w:pPr>
        <w:pStyle w:val="BodyText"/>
        <w:spacing w:before="7"/>
        <w:rPr>
          <w:rFonts w:ascii="Arial"/>
          <w:sz w:val="28"/>
        </w:rPr>
      </w:pPr>
    </w:p>
    <w:p>
      <w:pPr>
        <w:pStyle w:val="BodyText"/>
        <w:spacing w:line="247" w:lineRule="auto"/>
        <w:ind w:left="117" w:right="114" w:firstLine="283"/>
        <w:jc w:val="both"/>
      </w:pPr>
      <w:r>
        <w:rPr>
          <w:color w:val="231F20"/>
        </w:rPr>
        <w:t>Desde</w:t>
      </w:r>
      <w:r>
        <w:rPr>
          <w:color w:val="231F20"/>
          <w:spacing w:val="-11"/>
        </w:rPr>
        <w:t> </w:t>
      </w:r>
      <w:r>
        <w:rPr>
          <w:color w:val="231F20"/>
        </w:rPr>
        <w:t>la</w:t>
      </w:r>
      <w:r>
        <w:rPr>
          <w:color w:val="231F20"/>
          <w:spacing w:val="-12"/>
        </w:rPr>
        <w:t> </w:t>
      </w:r>
      <w:r>
        <w:rPr>
          <w:color w:val="231F20"/>
        </w:rPr>
        <w:t>década</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ochenta</w:t>
      </w:r>
      <w:r>
        <w:rPr>
          <w:color w:val="231F20"/>
          <w:spacing w:val="-12"/>
        </w:rPr>
        <w:t> </w:t>
      </w:r>
      <w:r>
        <w:rPr>
          <w:color w:val="231F20"/>
        </w:rPr>
        <w:t>las</w:t>
      </w:r>
      <w:r>
        <w:rPr>
          <w:color w:val="231F20"/>
          <w:spacing w:val="-12"/>
        </w:rPr>
        <w:t> </w:t>
      </w:r>
      <w:r>
        <w:rPr>
          <w:color w:val="231F20"/>
        </w:rPr>
        <w:t>transformaciones</w:t>
      </w:r>
      <w:r>
        <w:rPr>
          <w:color w:val="231F20"/>
          <w:spacing w:val="-13"/>
        </w:rPr>
        <w:t> </w:t>
      </w:r>
      <w:r>
        <w:rPr>
          <w:color w:val="231F20"/>
        </w:rPr>
        <w:t>que</w:t>
      </w:r>
      <w:r>
        <w:rPr>
          <w:color w:val="231F20"/>
          <w:spacing w:val="-12"/>
        </w:rPr>
        <w:t> </w:t>
      </w:r>
      <w:r>
        <w:rPr>
          <w:color w:val="231F20"/>
        </w:rPr>
        <w:t>han</w:t>
      </w:r>
      <w:r>
        <w:rPr>
          <w:color w:val="231F20"/>
          <w:spacing w:val="-12"/>
        </w:rPr>
        <w:t> </w:t>
      </w:r>
      <w:r>
        <w:rPr>
          <w:color w:val="231F20"/>
        </w:rPr>
        <w:t>sufrido</w:t>
      </w:r>
      <w:r>
        <w:rPr>
          <w:color w:val="231F20"/>
          <w:spacing w:val="-11"/>
        </w:rPr>
        <w:t> </w:t>
      </w:r>
      <w:r>
        <w:rPr>
          <w:color w:val="231F20"/>
        </w:rPr>
        <w:t>los sistemas agrícolas, la vida rural, la tenencia de la tierra y la estructura de clase</w:t>
      </w:r>
      <w:r>
        <w:rPr>
          <w:color w:val="231F20"/>
          <w:spacing w:val="-13"/>
        </w:rPr>
        <w:t> </w:t>
      </w:r>
      <w:r>
        <w:rPr>
          <w:color w:val="231F20"/>
        </w:rPr>
        <w:t>en</w:t>
      </w:r>
      <w:r>
        <w:rPr>
          <w:color w:val="231F20"/>
          <w:spacing w:val="-25"/>
        </w:rPr>
        <w:t> </w:t>
      </w:r>
      <w:r>
        <w:rPr>
          <w:color w:val="231F20"/>
        </w:rPr>
        <w:t>América</w:t>
      </w:r>
      <w:r>
        <w:rPr>
          <w:color w:val="231F20"/>
          <w:spacing w:val="-12"/>
        </w:rPr>
        <w:t> </w:t>
      </w:r>
      <w:r>
        <w:rPr>
          <w:color w:val="231F20"/>
        </w:rPr>
        <w:t>Latina,</w:t>
      </w:r>
      <w:r>
        <w:rPr>
          <w:color w:val="231F20"/>
          <w:spacing w:val="-13"/>
        </w:rPr>
        <w:t> </w:t>
      </w:r>
      <w:r>
        <w:rPr>
          <w:color w:val="231F20"/>
        </w:rPr>
        <w:t>se</w:t>
      </w:r>
      <w:r>
        <w:rPr>
          <w:color w:val="231F20"/>
          <w:spacing w:val="-13"/>
        </w:rPr>
        <w:t> </w:t>
      </w:r>
      <w:r>
        <w:rPr>
          <w:color w:val="231F20"/>
        </w:rPr>
        <w:t>han</w:t>
      </w:r>
      <w:r>
        <w:rPr>
          <w:color w:val="231F20"/>
          <w:spacing w:val="-13"/>
        </w:rPr>
        <w:t> </w:t>
      </w:r>
      <w:r>
        <w:rPr>
          <w:color w:val="231F20"/>
        </w:rPr>
        <w:t>debido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globalización.</w:t>
      </w:r>
      <w:r>
        <w:rPr>
          <w:color w:val="231F20"/>
          <w:spacing w:val="-13"/>
        </w:rPr>
        <w:t> </w:t>
      </w:r>
      <w:r>
        <w:rPr>
          <w:color w:val="231F20"/>
        </w:rPr>
        <w:t>En</w:t>
      </w:r>
      <w:r>
        <w:rPr>
          <w:color w:val="231F20"/>
          <w:spacing w:val="-13"/>
        </w:rPr>
        <w:t> </w:t>
      </w:r>
      <w:r>
        <w:rPr>
          <w:color w:val="231F20"/>
        </w:rPr>
        <w:t>cada</w:t>
      </w:r>
      <w:r>
        <w:rPr>
          <w:color w:val="231F20"/>
          <w:spacing w:val="-13"/>
        </w:rPr>
        <w:t> </w:t>
      </w:r>
      <w:r>
        <w:rPr>
          <w:color w:val="231F20"/>
        </w:rPr>
        <w:t>nación</w:t>
      </w:r>
      <w:r>
        <w:rPr>
          <w:color w:val="231F20"/>
          <w:spacing w:val="-13"/>
        </w:rPr>
        <w:t> </w:t>
      </w:r>
      <w:r>
        <w:rPr>
          <w:color w:val="231F20"/>
        </w:rPr>
        <w:t>y subregión del continente estas transformaciones han seguido caminos dis- tintos,</w:t>
      </w:r>
      <w:r>
        <w:rPr>
          <w:color w:val="231F20"/>
          <w:spacing w:val="-9"/>
        </w:rPr>
        <w:t> </w:t>
      </w:r>
      <w:r>
        <w:rPr>
          <w:color w:val="231F20"/>
        </w:rPr>
        <w:t>con</w:t>
      </w:r>
      <w:r>
        <w:rPr>
          <w:color w:val="231F20"/>
          <w:spacing w:val="-9"/>
        </w:rPr>
        <w:t> </w:t>
      </w:r>
      <w:r>
        <w:rPr>
          <w:color w:val="231F20"/>
        </w:rPr>
        <w:t>base</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historia</w:t>
      </w:r>
      <w:r>
        <w:rPr>
          <w:color w:val="231F20"/>
          <w:spacing w:val="-9"/>
        </w:rPr>
        <w:t> </w:t>
      </w:r>
      <w:r>
        <w:rPr>
          <w:color w:val="231F20"/>
        </w:rPr>
        <w:t>particular</w:t>
      </w:r>
      <w:r>
        <w:rPr>
          <w:color w:val="231F20"/>
          <w:spacing w:val="-9"/>
        </w:rPr>
        <w:t> </w:t>
      </w:r>
      <w:r>
        <w:rPr>
          <w:color w:val="231F20"/>
        </w:rPr>
        <w:t>de</w:t>
      </w:r>
      <w:r>
        <w:rPr>
          <w:color w:val="231F20"/>
          <w:spacing w:val="-9"/>
        </w:rPr>
        <w:t> </w:t>
      </w:r>
      <w:r>
        <w:rPr>
          <w:color w:val="231F20"/>
        </w:rPr>
        <w:t>cada</w:t>
      </w:r>
      <w:r>
        <w:rPr>
          <w:color w:val="231F20"/>
          <w:spacing w:val="-9"/>
        </w:rPr>
        <w:t> </w:t>
      </w:r>
      <w:r>
        <w:rPr>
          <w:color w:val="231F20"/>
        </w:rPr>
        <w:t>una</w:t>
      </w:r>
      <w:r>
        <w:rPr>
          <w:color w:val="231F20"/>
          <w:spacing w:val="-9"/>
        </w:rPr>
        <w:t> </w:t>
      </w:r>
      <w:r>
        <w:rPr>
          <w:color w:val="231F20"/>
        </w:rPr>
        <w:t>de</w:t>
      </w:r>
      <w:r>
        <w:rPr>
          <w:color w:val="231F20"/>
          <w:spacing w:val="-9"/>
        </w:rPr>
        <w:t> </w:t>
      </w:r>
      <w:r>
        <w:rPr>
          <w:color w:val="231F20"/>
        </w:rPr>
        <w:t>ellas,</w:t>
      </w:r>
      <w:r>
        <w:rPr>
          <w:color w:val="231F20"/>
          <w:spacing w:val="-9"/>
        </w:rPr>
        <w:t> </w:t>
      </w:r>
      <w:r>
        <w:rPr>
          <w:color w:val="231F20"/>
        </w:rPr>
        <w:t>pero</w:t>
      </w:r>
      <w:r>
        <w:rPr>
          <w:color w:val="231F20"/>
          <w:spacing w:val="-9"/>
        </w:rPr>
        <w:t> </w:t>
      </w:r>
      <w:r>
        <w:rPr>
          <w:color w:val="231F20"/>
        </w:rPr>
        <w:t>al</w:t>
      </w:r>
      <w:r>
        <w:rPr>
          <w:color w:val="231F20"/>
          <w:spacing w:val="-9"/>
        </w:rPr>
        <w:t> </w:t>
      </w:r>
      <w:r>
        <w:rPr>
          <w:color w:val="231F20"/>
        </w:rPr>
        <w:t>mismo tiempo se pueden observar patrones comunes dentro de estas transforma- ciones, entre las que están: i) un creciente dominio de las agroindustrias transnacionales (lo cual incluye a inversionistas locales y agroindustriales capitalistas); ii) un acelerado remplazo de la agricultura no-capitalista por formas capitalistas de desarrollo; iii) el desplazamiento concomitante de los campesinos y su transformación en un proletariado rural, junto con   un aumento de la migración rural-urbana y transnacional; iv) un carácter flexible y precario del trabajo en la nueva plataforma de</w:t>
      </w:r>
      <w:r>
        <w:rPr>
          <w:color w:val="231F20"/>
          <w:spacing w:val="27"/>
        </w:rPr>
        <w:t> </w:t>
      </w:r>
      <w:r>
        <w:rPr>
          <w:color w:val="231F20"/>
        </w:rPr>
        <w:t>agroexportadora;</w:t>
      </w:r>
    </w:p>
    <w:p>
      <w:pPr>
        <w:pStyle w:val="BodyText"/>
        <w:spacing w:line="247" w:lineRule="auto"/>
        <w:ind w:left="117" w:right="114"/>
        <w:jc w:val="both"/>
      </w:pPr>
      <w:r>
        <w:rPr>
          <w:color w:val="231F20"/>
        </w:rPr>
        <w:t>v) el predominio de la mano de obra femenina en esta plataforma; vi) la articulación de los sistemas locales de agricultura con el supermercado global,</w:t>
      </w:r>
      <w:r>
        <w:rPr>
          <w:color w:val="231F20"/>
          <w:spacing w:val="-4"/>
        </w:rPr>
        <w:t> </w:t>
      </w:r>
      <w:r>
        <w:rPr>
          <w:color w:val="231F20"/>
        </w:rPr>
        <w:t>esto</w:t>
      </w:r>
      <w:r>
        <w:rPr>
          <w:color w:val="231F20"/>
          <w:spacing w:val="-4"/>
        </w:rPr>
        <w:t> </w:t>
      </w:r>
      <w:r>
        <w:rPr>
          <w:color w:val="231F20"/>
        </w:rPr>
        <w:t>es,</w:t>
      </w:r>
      <w:r>
        <w:rPr>
          <w:color w:val="231F20"/>
          <w:spacing w:val="-4"/>
        </w:rPr>
        <w:t> </w:t>
      </w:r>
      <w:r>
        <w:rPr>
          <w:color w:val="231F20"/>
        </w:rPr>
        <w:t>la</w:t>
      </w:r>
      <w:r>
        <w:rPr>
          <w:color w:val="231F20"/>
          <w:spacing w:val="-4"/>
        </w:rPr>
        <w:t> </w:t>
      </w:r>
      <w:r>
        <w:rPr>
          <w:color w:val="231F20"/>
        </w:rPr>
        <w:t>agricultura</w:t>
      </w:r>
      <w:r>
        <w:rPr>
          <w:color w:val="231F20"/>
          <w:spacing w:val="-4"/>
        </w:rPr>
        <w:t> </w:t>
      </w:r>
      <w:r>
        <w:rPr>
          <w:color w:val="231F20"/>
        </w:rPr>
        <w:t>global</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industria</w:t>
      </w:r>
      <w:r>
        <w:rPr>
          <w:color w:val="231F20"/>
          <w:spacing w:val="-4"/>
        </w:rPr>
        <w:t> </w:t>
      </w:r>
      <w:r>
        <w:rPr>
          <w:color w:val="231F20"/>
        </w:rPr>
        <w:t>producción</w:t>
      </w:r>
      <w:r>
        <w:rPr>
          <w:color w:val="231F20"/>
          <w:spacing w:val="-4"/>
        </w:rPr>
        <w:t> </w:t>
      </w:r>
      <w:r>
        <w:rPr>
          <w:color w:val="231F20"/>
        </w:rPr>
        <w:t>de</w:t>
      </w:r>
      <w:r>
        <w:rPr>
          <w:color w:val="231F20"/>
          <w:spacing w:val="-4"/>
        </w:rPr>
        <w:t> </w:t>
      </w:r>
      <w:r>
        <w:rPr>
          <w:color w:val="231F20"/>
        </w:rPr>
        <w:t>alimentos y las cadenas de</w:t>
      </w:r>
      <w:r>
        <w:rPr>
          <w:color w:val="231F20"/>
          <w:spacing w:val="-2"/>
        </w:rPr>
        <w:t> </w:t>
      </w:r>
      <w:r>
        <w:rPr>
          <w:color w:val="231F20"/>
        </w:rPr>
        <w:t>distribución.</w:t>
      </w:r>
    </w:p>
    <w:p>
      <w:pPr>
        <w:pStyle w:val="BodyText"/>
        <w:spacing w:line="247" w:lineRule="auto"/>
        <w:ind w:left="117" w:right="114" w:firstLine="283"/>
        <w:jc w:val="both"/>
      </w:pPr>
      <w:r>
        <w:rPr>
          <w:color w:val="231F20"/>
          <w:spacing w:val="-6"/>
        </w:rPr>
        <w:t>Tal </w:t>
      </w:r>
      <w:r>
        <w:rPr>
          <w:color w:val="231F20"/>
        </w:rPr>
        <w:t>parecería que lo anterior es una radiografía de las transformaciones que desde la implantación del modelo neoliberal en México a mediados de los ochenta, se ha presentado, como lo llama Robinson, en el “siste- ma agrícola” del espacio rural del </w:t>
      </w:r>
      <w:r>
        <w:rPr>
          <w:color w:val="231F20"/>
          <w:spacing w:val="-5"/>
        </w:rPr>
        <w:t>Valle </w:t>
      </w:r>
      <w:r>
        <w:rPr>
          <w:color w:val="231F20"/>
        </w:rPr>
        <w:t>de Tangancícuaro, ya que ante  las afectaciones sufridas por los campesinos a partir de la desaparición de muchos de los apoyos y subsidios que daba el gobierno, aparece la libre importación de granos básicos a raíz del TLCAN. Se abre el camino a   las agroindustrias, cuando para los ejidatarios y campesinos ya no resul-  ta rentable sembrar y prefieren rentar la tierra y en algunos casos dejarla abandonada o venderla y regresar a Estados Unidos, donde en muchos de los casos o reciben una pensión o pueden obtener un trabajo</w:t>
      </w:r>
      <w:r>
        <w:rPr>
          <w:color w:val="231F20"/>
          <w:spacing w:val="-3"/>
        </w:rPr>
        <w:t> </w:t>
      </w:r>
      <w:r>
        <w:rPr>
          <w:color w:val="231F20"/>
        </w:rPr>
        <w:t>remunerado.</w:t>
      </w:r>
    </w:p>
    <w:p>
      <w:pPr>
        <w:pStyle w:val="BodyText"/>
        <w:spacing w:line="247" w:lineRule="auto"/>
        <w:ind w:left="117" w:right="114" w:firstLine="283"/>
        <w:jc w:val="both"/>
      </w:pPr>
      <w:r>
        <w:rPr>
          <w:color w:val="231F20"/>
        </w:rPr>
        <w:t>En lo referente a la creación de nuevos espacios para la acumulación capitalista, Harvey (2007: 259-260) da un par de elementos para entender el</w:t>
      </w:r>
      <w:r>
        <w:rPr>
          <w:color w:val="231F20"/>
          <w:spacing w:val="-11"/>
        </w:rPr>
        <w:t> </w:t>
      </w:r>
      <w:r>
        <w:rPr>
          <w:color w:val="231F20"/>
        </w:rPr>
        <w:t>avance</w:t>
      </w:r>
      <w:r>
        <w:rPr>
          <w:color w:val="231F20"/>
          <w:spacing w:val="-12"/>
        </w:rPr>
        <w:t> </w:t>
      </w:r>
      <w:r>
        <w:rPr>
          <w:color w:val="231F20"/>
        </w:rPr>
        <w:t>de</w:t>
      </w:r>
      <w:r>
        <w:rPr>
          <w:color w:val="231F20"/>
          <w:spacing w:val="-11"/>
        </w:rPr>
        <w:t> </w:t>
      </w:r>
      <w:r>
        <w:rPr>
          <w:color w:val="231F20"/>
        </w:rPr>
        <w:t>la</w:t>
      </w:r>
      <w:r>
        <w:rPr>
          <w:color w:val="231F20"/>
          <w:spacing w:val="-11"/>
        </w:rPr>
        <w:t> </w:t>
      </w:r>
      <w:r>
        <w:rPr>
          <w:color w:val="231F20"/>
        </w:rPr>
        <w:t>agroindustria</w:t>
      </w:r>
      <w:r>
        <w:rPr>
          <w:color w:val="231F20"/>
          <w:spacing w:val="-12"/>
        </w:rPr>
        <w:t> </w:t>
      </w:r>
      <w:r>
        <w:rPr>
          <w:color w:val="231F20"/>
        </w:rPr>
        <w:t>como</w:t>
      </w:r>
      <w:r>
        <w:rPr>
          <w:color w:val="231F20"/>
          <w:spacing w:val="-12"/>
        </w:rPr>
        <w:t> </w:t>
      </w:r>
      <w:r>
        <w:rPr>
          <w:color w:val="231F20"/>
        </w:rPr>
        <w:t>el</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presenta</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espacio</w:t>
      </w:r>
      <w:r>
        <w:rPr>
          <w:color w:val="231F20"/>
          <w:spacing w:val="-12"/>
        </w:rPr>
        <w:t> </w:t>
      </w:r>
      <w:r>
        <w:rPr>
          <w:color w:val="231F20"/>
        </w:rPr>
        <w:t>rural</w:t>
      </w:r>
      <w:r>
        <w:rPr>
          <w:color w:val="231F20"/>
          <w:spacing w:val="-11"/>
        </w:rPr>
        <w:t> </w:t>
      </w:r>
      <w:r>
        <w:rPr>
          <w:color w:val="231F20"/>
        </w:rPr>
        <w:t>del </w:t>
      </w:r>
      <w:r>
        <w:rPr>
          <w:color w:val="231F20"/>
          <w:spacing w:val="-5"/>
        </w:rPr>
        <w:t>Valle </w:t>
      </w:r>
      <w:r>
        <w:rPr>
          <w:color w:val="231F20"/>
        </w:rPr>
        <w:t>de Tangancícuaro desde hace dos</w:t>
      </w:r>
      <w:r>
        <w:rPr>
          <w:color w:val="231F20"/>
          <w:spacing w:val="-16"/>
        </w:rPr>
        <w:t> </w:t>
      </w:r>
      <w:r>
        <w:rPr>
          <w:color w:val="231F20"/>
        </w:rPr>
        <w:t>décadas:</w:t>
      </w:r>
    </w:p>
    <w:p>
      <w:pPr>
        <w:pStyle w:val="ListParagraph"/>
        <w:numPr>
          <w:ilvl w:val="0"/>
          <w:numId w:val="8"/>
        </w:numPr>
        <w:tabs>
          <w:tab w:pos="478" w:val="left" w:leader="none"/>
        </w:tabs>
        <w:spacing w:line="247" w:lineRule="auto" w:before="169" w:after="0"/>
        <w:ind w:left="477" w:right="115" w:hanging="360"/>
        <w:jc w:val="both"/>
        <w:rPr>
          <w:sz w:val="22"/>
        </w:rPr>
      </w:pPr>
      <w:r>
        <w:rPr>
          <w:color w:val="231F20"/>
          <w:sz w:val="22"/>
        </w:rPr>
        <w:t>La penetración del capital en nuevas esferas de actividad organizando las formas de actividad preexistentes conforme a los métodos capita- listas (por ejemplo, la transformación de la agricultura de subsistencia campesina en agricultura</w:t>
      </w:r>
      <w:r>
        <w:rPr>
          <w:color w:val="231F20"/>
          <w:spacing w:val="-3"/>
          <w:sz w:val="22"/>
        </w:rPr>
        <w:t> </w:t>
      </w:r>
      <w:r>
        <w:rPr>
          <w:color w:val="231F20"/>
          <w:sz w:val="22"/>
        </w:rPr>
        <w:t>empresarial).</w:t>
      </w:r>
    </w:p>
    <w:p>
      <w:pPr>
        <w:pStyle w:val="ListParagraph"/>
        <w:numPr>
          <w:ilvl w:val="0"/>
          <w:numId w:val="8"/>
        </w:numPr>
        <w:tabs>
          <w:tab w:pos="478" w:val="left" w:leader="none"/>
        </w:tabs>
        <w:spacing w:line="247" w:lineRule="auto" w:before="0" w:after="0"/>
        <w:ind w:left="477" w:right="115" w:hanging="360"/>
        <w:jc w:val="both"/>
        <w:rPr>
          <w:sz w:val="22"/>
        </w:rPr>
      </w:pPr>
      <w:r>
        <w:rPr>
          <w:color w:val="231F20"/>
          <w:sz w:val="22"/>
        </w:rPr>
        <w:t>Expandirse geográficamente hacia nuevas regiones, aumentar el co- mercio</w:t>
      </w:r>
      <w:r>
        <w:rPr>
          <w:color w:val="231F20"/>
          <w:spacing w:val="-5"/>
          <w:sz w:val="22"/>
        </w:rPr>
        <w:t> </w:t>
      </w:r>
      <w:r>
        <w:rPr>
          <w:color w:val="231F20"/>
          <w:sz w:val="22"/>
        </w:rPr>
        <w:t>exterior,</w:t>
      </w:r>
      <w:r>
        <w:rPr>
          <w:color w:val="231F20"/>
          <w:spacing w:val="-5"/>
          <w:sz w:val="22"/>
        </w:rPr>
        <w:t> </w:t>
      </w:r>
      <w:r>
        <w:rPr>
          <w:color w:val="231F20"/>
          <w:sz w:val="22"/>
        </w:rPr>
        <w:t>exportar</w:t>
      </w:r>
      <w:r>
        <w:rPr>
          <w:color w:val="231F20"/>
          <w:spacing w:val="-5"/>
          <w:sz w:val="22"/>
        </w:rPr>
        <w:t> </w:t>
      </w:r>
      <w:r>
        <w:rPr>
          <w:color w:val="231F20"/>
          <w:sz w:val="22"/>
        </w:rPr>
        <w:t>capital</w:t>
      </w:r>
      <w:r>
        <w:rPr>
          <w:color w:val="231F20"/>
          <w:spacing w:val="-5"/>
          <w:sz w:val="22"/>
        </w:rPr>
        <w:t> </w:t>
      </w:r>
      <w:r>
        <w:rPr>
          <w:color w:val="231F20"/>
          <w:sz w:val="22"/>
        </w:rPr>
        <w:t>y</w:t>
      </w:r>
      <w:r>
        <w:rPr>
          <w:color w:val="231F20"/>
          <w:spacing w:val="-5"/>
          <w:sz w:val="22"/>
        </w:rPr>
        <w:t> </w:t>
      </w:r>
      <w:r>
        <w:rPr>
          <w:color w:val="231F20"/>
          <w:sz w:val="22"/>
        </w:rPr>
        <w:t>en</w:t>
      </w:r>
      <w:r>
        <w:rPr>
          <w:color w:val="231F20"/>
          <w:spacing w:val="-5"/>
          <w:sz w:val="22"/>
        </w:rPr>
        <w:t> </w:t>
      </w:r>
      <w:r>
        <w:rPr>
          <w:color w:val="231F20"/>
          <w:sz w:val="22"/>
        </w:rPr>
        <w:t>general</w:t>
      </w:r>
      <w:r>
        <w:rPr>
          <w:color w:val="231F20"/>
          <w:spacing w:val="-5"/>
          <w:sz w:val="22"/>
        </w:rPr>
        <w:t> </w:t>
      </w:r>
      <w:r>
        <w:rPr>
          <w:color w:val="231F20"/>
          <w:sz w:val="22"/>
        </w:rPr>
        <w:t>expandirse</w:t>
      </w:r>
      <w:r>
        <w:rPr>
          <w:color w:val="231F20"/>
          <w:spacing w:val="-5"/>
          <w:sz w:val="22"/>
        </w:rPr>
        <w:t> </w:t>
      </w:r>
      <w:r>
        <w:rPr>
          <w:color w:val="231F20"/>
          <w:sz w:val="22"/>
        </w:rPr>
        <w:t>hasta</w:t>
      </w:r>
      <w:r>
        <w:rPr>
          <w:color w:val="231F20"/>
          <w:spacing w:val="-4"/>
          <w:sz w:val="22"/>
        </w:rPr>
        <w:t> </w:t>
      </w:r>
      <w:r>
        <w:rPr>
          <w:color w:val="231F20"/>
          <w:sz w:val="22"/>
        </w:rPr>
        <w:t>crear</w:t>
      </w:r>
      <w:r>
        <w:rPr>
          <w:color w:val="231F20"/>
          <w:spacing w:val="-5"/>
          <w:sz w:val="22"/>
        </w:rPr>
        <w:t> </w:t>
      </w:r>
      <w:r>
        <w:rPr>
          <w:color w:val="231F20"/>
          <w:sz w:val="22"/>
        </w:rPr>
        <w:t>lo que Marx denominaba “el mercado</w:t>
      </w:r>
      <w:r>
        <w:rPr>
          <w:color w:val="231F20"/>
          <w:spacing w:val="-5"/>
          <w:sz w:val="22"/>
        </w:rPr>
        <w:t> </w:t>
      </w:r>
      <w:r>
        <w:rPr>
          <w:color w:val="231F20"/>
          <w:sz w:val="22"/>
        </w:rPr>
        <w:t>mundial”.</w:t>
      </w:r>
    </w:p>
    <w:p>
      <w:pPr>
        <w:spacing w:after="0" w:line="247" w:lineRule="auto"/>
        <w:jc w:val="both"/>
        <w:rPr>
          <w:sz w:val="22"/>
        </w:rPr>
        <w:sectPr>
          <w:pgSz w:w="9360" w:h="13040"/>
          <w:pgMar w:header="0" w:footer="496" w:top="740" w:bottom="680" w:left="1300" w:right="1300"/>
        </w:sectPr>
      </w:pPr>
    </w:p>
    <w:p>
      <w:pPr>
        <w:tabs>
          <w:tab w:pos="5536" w:val="left" w:leader="none"/>
        </w:tabs>
        <w:spacing w:before="48"/>
        <w:ind w:left="400" w:right="117" w:hanging="295"/>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before="1"/>
        <w:ind w:left="117" w:right="114" w:firstLine="283"/>
        <w:jc w:val="both"/>
      </w:pPr>
      <w:r>
        <w:rPr>
          <w:color w:val="231F20"/>
        </w:rPr>
        <w:t>En</w:t>
      </w:r>
      <w:r>
        <w:rPr>
          <w:color w:val="231F20"/>
          <w:spacing w:val="-7"/>
        </w:rPr>
        <w:t> </w:t>
      </w:r>
      <w:r>
        <w:rPr>
          <w:color w:val="231F20"/>
        </w:rPr>
        <w:t>el</w:t>
      </w:r>
      <w:r>
        <w:rPr>
          <w:color w:val="231F20"/>
          <w:spacing w:val="-7"/>
        </w:rPr>
        <w:t> </w:t>
      </w:r>
      <w:r>
        <w:rPr>
          <w:color w:val="231F20"/>
        </w:rPr>
        <w:t>primer</w:t>
      </w:r>
      <w:r>
        <w:rPr>
          <w:color w:val="231F20"/>
          <w:spacing w:val="-7"/>
        </w:rPr>
        <w:t> </w:t>
      </w:r>
      <w:r>
        <w:rPr>
          <w:color w:val="231F20"/>
        </w:rPr>
        <w:t>punto</w:t>
      </w:r>
      <w:r>
        <w:rPr>
          <w:color w:val="231F20"/>
          <w:spacing w:val="-7"/>
        </w:rPr>
        <w:t> </w:t>
      </w:r>
      <w:r>
        <w:rPr>
          <w:color w:val="231F20"/>
        </w:rPr>
        <w:t>se</w:t>
      </w:r>
      <w:r>
        <w:rPr>
          <w:color w:val="231F20"/>
          <w:spacing w:val="-7"/>
        </w:rPr>
        <w:t> </w:t>
      </w:r>
      <w:r>
        <w:rPr>
          <w:color w:val="231F20"/>
        </w:rPr>
        <w:t>observa</w:t>
      </w:r>
      <w:r>
        <w:rPr>
          <w:color w:val="231F20"/>
          <w:spacing w:val="-7"/>
        </w:rPr>
        <w:t> </w:t>
      </w:r>
      <w:r>
        <w:rPr>
          <w:color w:val="231F20"/>
        </w:rPr>
        <w:t>cómo</w:t>
      </w:r>
      <w:r>
        <w:rPr>
          <w:color w:val="231F20"/>
          <w:spacing w:val="-7"/>
        </w:rPr>
        <w:t> </w:t>
      </w:r>
      <w:r>
        <w:rPr>
          <w:color w:val="231F20"/>
        </w:rPr>
        <w:t>el</w:t>
      </w:r>
      <w:r>
        <w:rPr>
          <w:color w:val="231F20"/>
          <w:spacing w:val="-7"/>
        </w:rPr>
        <w:t> </w:t>
      </w:r>
      <w:r>
        <w:rPr>
          <w:color w:val="231F20"/>
        </w:rPr>
        <w:t>proceso</w:t>
      </w:r>
      <w:r>
        <w:rPr>
          <w:color w:val="231F20"/>
          <w:spacing w:val="-7"/>
        </w:rPr>
        <w:t> </w:t>
      </w:r>
      <w:r>
        <w:rPr>
          <w:color w:val="231F20"/>
        </w:rPr>
        <w:t>de</w:t>
      </w:r>
      <w:r>
        <w:rPr>
          <w:color w:val="231F20"/>
          <w:spacing w:val="-7"/>
        </w:rPr>
        <w:t> </w:t>
      </w:r>
      <w:r>
        <w:rPr>
          <w:i/>
          <w:color w:val="231F20"/>
        </w:rPr>
        <w:t>intensificación</w:t>
      </w:r>
      <w:r>
        <w:rPr>
          <w:i/>
          <w:color w:val="231F20"/>
          <w:spacing w:val="-7"/>
        </w:rPr>
        <w:t> </w:t>
      </w:r>
      <w:r>
        <w:rPr>
          <w:color w:val="231F20"/>
        </w:rPr>
        <w:t>de</w:t>
      </w:r>
      <w:r>
        <w:rPr>
          <w:color w:val="231F20"/>
          <w:spacing w:val="-7"/>
        </w:rPr>
        <w:t> </w:t>
      </w:r>
      <w:r>
        <w:rPr>
          <w:color w:val="231F20"/>
        </w:rPr>
        <w:t>las actividades, en este caso de las agroindustrias extranjeras, genera nuevas estructuras espaciales y al mismo tiempo determina la actividad social y de los mercados. En tanto el segundo punto nos lleva al tema de la</w:t>
      </w:r>
      <w:r>
        <w:rPr>
          <w:color w:val="231F20"/>
          <w:spacing w:val="-26"/>
        </w:rPr>
        <w:t> </w:t>
      </w:r>
      <w:r>
        <w:rPr>
          <w:color w:val="231F20"/>
        </w:rPr>
        <w:t>organi- zación espacial y de la expansión geográfica como producto necesario del proceso de acumulación (Harvey, 2007: 260). De acuerdo con lo anterior y trasladándolo al espacio rural del </w:t>
      </w:r>
      <w:r>
        <w:rPr>
          <w:color w:val="231F20"/>
          <w:spacing w:val="-5"/>
        </w:rPr>
        <w:t>Valle </w:t>
      </w:r>
      <w:r>
        <w:rPr>
          <w:color w:val="231F20"/>
        </w:rPr>
        <w:t>de Tangancícuaro, se puede en- tender cómo, a partir de los cambios al artículo 27 constitucional durante el periodo neoliberal, se instrumentan cambios en la posesión de la tierra, específicamente</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ejidos,</w:t>
      </w:r>
      <w:r>
        <w:rPr>
          <w:color w:val="231F20"/>
          <w:spacing w:val="-7"/>
        </w:rPr>
        <w:t> </w:t>
      </w:r>
      <w:r>
        <w:rPr>
          <w:color w:val="231F20"/>
        </w:rPr>
        <w:t>que</w:t>
      </w:r>
      <w:r>
        <w:rPr>
          <w:color w:val="231F20"/>
          <w:spacing w:val="-7"/>
        </w:rPr>
        <w:t> </w:t>
      </w:r>
      <w:r>
        <w:rPr>
          <w:color w:val="231F20"/>
        </w:rPr>
        <w:t>favorecen</w:t>
      </w:r>
      <w:r>
        <w:rPr>
          <w:color w:val="231F20"/>
          <w:spacing w:val="-7"/>
        </w:rPr>
        <w:t> </w:t>
      </w:r>
      <w:r>
        <w:rPr>
          <w:color w:val="231F20"/>
        </w:rPr>
        <w:t>la</w:t>
      </w:r>
      <w:r>
        <w:rPr>
          <w:color w:val="231F20"/>
          <w:spacing w:val="-7"/>
        </w:rPr>
        <w:t> </w:t>
      </w:r>
      <w:r>
        <w:rPr>
          <w:color w:val="231F20"/>
        </w:rPr>
        <w:t>expansión</w:t>
      </w:r>
      <w:r>
        <w:rPr>
          <w:color w:val="231F20"/>
          <w:spacing w:val="-7"/>
        </w:rPr>
        <w:t> </w:t>
      </w:r>
      <w:r>
        <w:rPr>
          <w:color w:val="231F20"/>
        </w:rPr>
        <w:t>sobre</w:t>
      </w:r>
      <w:r>
        <w:rPr>
          <w:color w:val="231F20"/>
          <w:spacing w:val="-7"/>
        </w:rPr>
        <w:t> </w:t>
      </w:r>
      <w:r>
        <w:rPr>
          <w:color w:val="231F20"/>
        </w:rPr>
        <w:t>las</w:t>
      </w:r>
      <w:r>
        <w:rPr>
          <w:color w:val="231F20"/>
          <w:spacing w:val="-7"/>
        </w:rPr>
        <w:t> </w:t>
      </w:r>
      <w:r>
        <w:rPr>
          <w:color w:val="231F20"/>
        </w:rPr>
        <w:t>tierras, antes ejidales, de explotaciones agroindustriales de la fresa, mora, zarza- mora,</w:t>
      </w:r>
      <w:r>
        <w:rPr>
          <w:color w:val="231F20"/>
          <w:spacing w:val="-1"/>
        </w:rPr>
        <w:t> </w:t>
      </w:r>
      <w:r>
        <w:rPr>
          <w:color w:val="231F20"/>
        </w:rPr>
        <w:t>etcétera.</w:t>
      </w:r>
    </w:p>
    <w:p>
      <w:pPr>
        <w:pStyle w:val="BodyText"/>
        <w:spacing w:line="247" w:lineRule="auto"/>
        <w:ind w:left="117" w:right="115" w:firstLine="283"/>
        <w:jc w:val="both"/>
      </w:pPr>
      <w:r>
        <w:rPr>
          <w:color w:val="231F20"/>
        </w:rPr>
        <w:t>Ante el panorama de migración, falta de apoyos a la agricultura, bajos precios y mala comercialización de los granos básicos, en las tierras de</w:t>
      </w:r>
      <w:r>
        <w:rPr>
          <w:color w:val="231F20"/>
          <w:spacing w:val="-29"/>
        </w:rPr>
        <w:t> </w:t>
      </w:r>
      <w:r>
        <w:rPr>
          <w:color w:val="231F20"/>
        </w:rPr>
        <w:t>las comunidades</w:t>
      </w:r>
      <w:r>
        <w:rPr>
          <w:color w:val="231F20"/>
          <w:spacing w:val="-14"/>
        </w:rPr>
        <w:t> </w:t>
      </w:r>
      <w:r>
        <w:rPr>
          <w:color w:val="231F20"/>
        </w:rPr>
        <w:t>de</w:t>
      </w:r>
      <w:r>
        <w:rPr>
          <w:color w:val="231F20"/>
          <w:spacing w:val="-13"/>
        </w:rPr>
        <w:t> </w:t>
      </w:r>
      <w:r>
        <w:rPr>
          <w:color w:val="231F20"/>
        </w:rPr>
        <w:t>Francisco</w:t>
      </w:r>
      <w:r>
        <w:rPr>
          <w:color w:val="231F20"/>
          <w:spacing w:val="-13"/>
        </w:rPr>
        <w:t> </w:t>
      </w:r>
      <w:r>
        <w:rPr>
          <w:color w:val="231F20"/>
        </w:rPr>
        <w:t>J.</w:t>
      </w:r>
      <w:r>
        <w:rPr>
          <w:color w:val="231F20"/>
          <w:spacing w:val="-13"/>
        </w:rPr>
        <w:t> </w:t>
      </w:r>
      <w:r>
        <w:rPr>
          <w:color w:val="231F20"/>
        </w:rPr>
        <w:t>Múgica,</w:t>
      </w:r>
      <w:r>
        <w:rPr>
          <w:color w:val="231F20"/>
          <w:spacing w:val="-13"/>
        </w:rPr>
        <w:t> </w:t>
      </w:r>
      <w:r>
        <w:rPr>
          <w:color w:val="231F20"/>
        </w:rPr>
        <w:t>Gómez</w:t>
      </w:r>
      <w:r>
        <w:rPr>
          <w:color w:val="231F20"/>
          <w:spacing w:val="-13"/>
        </w:rPr>
        <w:t> </w:t>
      </w:r>
      <w:r>
        <w:rPr>
          <w:color w:val="231F20"/>
        </w:rPr>
        <w:t>Farías,</w:t>
      </w:r>
      <w:r>
        <w:rPr>
          <w:color w:val="231F20"/>
          <w:spacing w:val="-13"/>
        </w:rPr>
        <w:t> </w:t>
      </w:r>
      <w:r>
        <w:rPr>
          <w:color w:val="231F20"/>
        </w:rPr>
        <w:t>San</w:t>
      </w:r>
      <w:r>
        <w:rPr>
          <w:color w:val="231F20"/>
          <w:spacing w:val="-24"/>
        </w:rPr>
        <w:t> </w:t>
      </w:r>
      <w:r>
        <w:rPr>
          <w:color w:val="231F20"/>
        </w:rPr>
        <w:t>Antonio</w:t>
      </w:r>
      <w:r>
        <w:rPr>
          <w:color w:val="231F20"/>
          <w:spacing w:val="-13"/>
        </w:rPr>
        <w:t> </w:t>
      </w:r>
      <w:r>
        <w:rPr>
          <w:color w:val="231F20"/>
        </w:rPr>
        <w:t>Ocampo y </w:t>
      </w:r>
      <w:r>
        <w:rPr>
          <w:color w:val="231F20"/>
          <w:spacing w:val="-5"/>
        </w:rPr>
        <w:t>Valle </w:t>
      </w:r>
      <w:r>
        <w:rPr>
          <w:color w:val="231F20"/>
        </w:rPr>
        <w:t>de Guadalupe —que son parte del </w:t>
      </w:r>
      <w:r>
        <w:rPr>
          <w:color w:val="231F20"/>
          <w:spacing w:val="-5"/>
        </w:rPr>
        <w:t>Valle </w:t>
      </w:r>
      <w:r>
        <w:rPr>
          <w:color w:val="231F20"/>
        </w:rPr>
        <w:t>de Tangancícuaro— se ha producido un cambio en el tipo de cultivos, respecto a lo que tradicional- mente se cultivaba (trigo, maíz y frijol). En la actualidad los cultivos pre- dominantes en dichas comunidades, por su alto rendimiento y ganancias que</w:t>
      </w:r>
      <w:r>
        <w:rPr>
          <w:color w:val="231F20"/>
          <w:spacing w:val="-4"/>
        </w:rPr>
        <w:t> </w:t>
      </w:r>
      <w:r>
        <w:rPr>
          <w:color w:val="231F20"/>
        </w:rPr>
        <w:t>generaron</w:t>
      </w:r>
      <w:r>
        <w:rPr>
          <w:color w:val="231F20"/>
          <w:spacing w:val="-4"/>
        </w:rPr>
        <w:t> </w:t>
      </w:r>
      <w:r>
        <w:rPr>
          <w:color w:val="231F20"/>
        </w:rPr>
        <w:t>son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obtienen</w:t>
      </w:r>
      <w:r>
        <w:rPr>
          <w:color w:val="231F20"/>
          <w:spacing w:val="-4"/>
        </w:rPr>
        <w:t> </w:t>
      </w:r>
      <w:r>
        <w:rPr>
          <w:color w:val="231F20"/>
        </w:rPr>
        <w:t>forrajes,</w:t>
      </w:r>
      <w:r>
        <w:rPr>
          <w:color w:val="231F20"/>
          <w:spacing w:val="-4"/>
        </w:rPr>
        <w:t> </w:t>
      </w:r>
      <w:r>
        <w:rPr>
          <w:color w:val="231F20"/>
        </w:rPr>
        <w:t>principalmente,</w:t>
      </w:r>
      <w:r>
        <w:rPr>
          <w:color w:val="231F20"/>
          <w:spacing w:val="-4"/>
        </w:rPr>
        <w:t> </w:t>
      </w:r>
      <w:r>
        <w:rPr>
          <w:color w:val="231F20"/>
        </w:rPr>
        <w:t>a</w:t>
      </w:r>
      <w:r>
        <w:rPr>
          <w:color w:val="231F20"/>
          <w:spacing w:val="-4"/>
        </w:rPr>
        <w:t> </w:t>
      </w:r>
      <w:r>
        <w:rPr>
          <w:color w:val="231F20"/>
        </w:rPr>
        <w:t>saber: olleto y janamargo y de acuerdo con información recabada en campo, el cultivo de éstos abarca aproximadamente un 30 por ciento de la superficie sembrada; le sigue la siembra de maíz (forrajero, híbrido y criollo) que abarca una extensión de 15 por ciento de la superficie</w:t>
      </w:r>
      <w:r>
        <w:rPr>
          <w:color w:val="231F20"/>
          <w:spacing w:val="-12"/>
        </w:rPr>
        <w:t> </w:t>
      </w:r>
      <w:r>
        <w:rPr>
          <w:color w:val="231F20"/>
        </w:rPr>
        <w:t>sembrada.</w:t>
      </w:r>
    </w:p>
    <w:p>
      <w:pPr>
        <w:pStyle w:val="BodyText"/>
        <w:spacing w:line="247" w:lineRule="auto"/>
        <w:ind w:left="117" w:right="114" w:firstLine="283"/>
        <w:jc w:val="both"/>
      </w:pPr>
      <w:r>
        <w:rPr>
          <w:color w:val="231F20"/>
        </w:rPr>
        <w:t>Por otro lado, todavía en estas comunidades, de acuerdo con testimo- nios de algunos agricultores y campesinos y por observación propia, se continúa con la siembra de algunas legumbres, cucurbitáceas y cereales, (cultivos tradicionales del </w:t>
      </w:r>
      <w:r>
        <w:rPr>
          <w:color w:val="231F20"/>
          <w:spacing w:val="-5"/>
        </w:rPr>
        <w:t>Valle) </w:t>
      </w:r>
      <w:r>
        <w:rPr>
          <w:color w:val="231F20"/>
        </w:rPr>
        <w:t>como lenteja, garbanzo, fríjol, calabaza, trigo</w:t>
      </w:r>
      <w:r>
        <w:rPr>
          <w:color w:val="231F20"/>
          <w:spacing w:val="-7"/>
        </w:rPr>
        <w:t> </w:t>
      </w:r>
      <w:r>
        <w:rPr>
          <w:color w:val="231F20"/>
        </w:rPr>
        <w:t>y</w:t>
      </w:r>
      <w:r>
        <w:rPr>
          <w:color w:val="231F20"/>
          <w:spacing w:val="-7"/>
        </w:rPr>
        <w:t> </w:t>
      </w:r>
      <w:r>
        <w:rPr>
          <w:color w:val="231F20"/>
        </w:rPr>
        <w:t>maíz;</w:t>
      </w:r>
      <w:r>
        <w:rPr>
          <w:color w:val="231F20"/>
          <w:spacing w:val="-7"/>
        </w:rPr>
        <w:t> </w:t>
      </w:r>
      <w:r>
        <w:rPr>
          <w:color w:val="231F20"/>
        </w:rPr>
        <w:t>y</w:t>
      </w:r>
      <w:r>
        <w:rPr>
          <w:color w:val="231F20"/>
          <w:spacing w:val="-7"/>
        </w:rPr>
        <w:t> </w:t>
      </w:r>
      <w:r>
        <w:rPr>
          <w:color w:val="231F20"/>
        </w:rPr>
        <w:t>abarcan</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conjunto,</w:t>
      </w:r>
      <w:r>
        <w:rPr>
          <w:color w:val="231F20"/>
          <w:spacing w:val="-7"/>
        </w:rPr>
        <w:t> </w:t>
      </w:r>
      <w:r>
        <w:rPr>
          <w:color w:val="231F20"/>
        </w:rPr>
        <w:t>aproximadamente,</w:t>
      </w:r>
      <w:r>
        <w:rPr>
          <w:color w:val="231F20"/>
          <w:spacing w:val="-8"/>
        </w:rPr>
        <w:t> </w:t>
      </w:r>
      <w:r>
        <w:rPr>
          <w:color w:val="231F20"/>
        </w:rPr>
        <w:t>15</w:t>
      </w:r>
      <w:r>
        <w:rPr>
          <w:color w:val="231F20"/>
          <w:spacing w:val="-7"/>
        </w:rPr>
        <w:t> </w:t>
      </w:r>
      <w:r>
        <w:rPr>
          <w:color w:val="231F20"/>
        </w:rPr>
        <w:t>por</w:t>
      </w:r>
      <w:r>
        <w:rPr>
          <w:color w:val="231F20"/>
          <w:spacing w:val="-7"/>
        </w:rPr>
        <w:t> </w:t>
      </w:r>
      <w:r>
        <w:rPr>
          <w:color w:val="231F20"/>
        </w:rPr>
        <w:t>ciento</w:t>
      </w:r>
      <w:r>
        <w:rPr>
          <w:color w:val="231F20"/>
          <w:spacing w:val="-7"/>
        </w:rPr>
        <w:t> </w:t>
      </w:r>
      <w:r>
        <w:rPr>
          <w:color w:val="231F20"/>
        </w:rPr>
        <w:t>de la superficie sembrada. </w:t>
      </w:r>
      <w:r>
        <w:rPr>
          <w:color w:val="231F20"/>
          <w:spacing w:val="-3"/>
        </w:rPr>
        <w:t>También </w:t>
      </w:r>
      <w:r>
        <w:rPr>
          <w:color w:val="231F20"/>
        </w:rPr>
        <w:t>es visible el avance del cultivo de fresas, moras azules, zarzamoras, frambuesas —de acuerdo con observaciones hechas en campo, así como testimonios de agricultores y habitantes de las comunidades</w:t>
      </w:r>
      <w:r>
        <w:rPr>
          <w:color w:val="231F20"/>
          <w:spacing w:val="-7"/>
        </w:rPr>
        <w:t> </w:t>
      </w:r>
      <w:r>
        <w:rPr>
          <w:color w:val="231F20"/>
        </w:rPr>
        <w:t>en</w:t>
      </w:r>
      <w:r>
        <w:rPr>
          <w:color w:val="231F20"/>
          <w:spacing w:val="-7"/>
        </w:rPr>
        <w:t> </w:t>
      </w:r>
      <w:r>
        <w:rPr>
          <w:color w:val="231F20"/>
        </w:rPr>
        <w:t>cuestión—</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superficie</w:t>
      </w:r>
      <w:r>
        <w:rPr>
          <w:color w:val="231F20"/>
          <w:spacing w:val="-7"/>
        </w:rPr>
        <w:t> </w:t>
      </w:r>
      <w:r>
        <w:rPr>
          <w:color w:val="231F20"/>
        </w:rPr>
        <w:t>que</w:t>
      </w:r>
      <w:r>
        <w:rPr>
          <w:color w:val="231F20"/>
          <w:spacing w:val="-7"/>
        </w:rPr>
        <w:t> </w:t>
      </w:r>
      <w:r>
        <w:rPr>
          <w:color w:val="231F20"/>
        </w:rPr>
        <w:t>abarcan</w:t>
      </w:r>
      <w:r>
        <w:rPr>
          <w:color w:val="231F20"/>
          <w:spacing w:val="-7"/>
        </w:rPr>
        <w:t> </w:t>
      </w:r>
      <w:r>
        <w:rPr>
          <w:color w:val="231F20"/>
        </w:rPr>
        <w:t>esos</w:t>
      </w:r>
      <w:r>
        <w:rPr>
          <w:color w:val="231F20"/>
          <w:spacing w:val="-7"/>
        </w:rPr>
        <w:t> </w:t>
      </w:r>
      <w:r>
        <w:rPr>
          <w:color w:val="231F20"/>
        </w:rPr>
        <w:t>cultivos</w:t>
      </w:r>
      <w:r>
        <w:rPr>
          <w:color w:val="231F20"/>
          <w:spacing w:val="-7"/>
        </w:rPr>
        <w:t> </w:t>
      </w:r>
      <w:r>
        <w:rPr>
          <w:color w:val="231F20"/>
        </w:rPr>
        <w:t>en</w:t>
      </w:r>
      <w:r>
        <w:rPr>
          <w:color w:val="231F20"/>
          <w:spacing w:val="-7"/>
        </w:rPr>
        <w:t> </w:t>
      </w:r>
      <w:r>
        <w:rPr>
          <w:color w:val="231F20"/>
        </w:rPr>
        <w:t>las tierras</w:t>
      </w:r>
      <w:r>
        <w:rPr>
          <w:color w:val="231F20"/>
          <w:spacing w:val="-6"/>
        </w:rPr>
        <w:t> </w:t>
      </w:r>
      <w:r>
        <w:rPr>
          <w:color w:val="231F20"/>
        </w:rPr>
        <w:t>de</w:t>
      </w:r>
      <w:r>
        <w:rPr>
          <w:color w:val="231F20"/>
          <w:spacing w:val="-5"/>
        </w:rPr>
        <w:t> </w:t>
      </w:r>
      <w:r>
        <w:rPr>
          <w:color w:val="231F20"/>
        </w:rPr>
        <w:t>las</w:t>
      </w:r>
      <w:r>
        <w:rPr>
          <w:color w:val="231F20"/>
          <w:spacing w:val="-5"/>
        </w:rPr>
        <w:t> </w:t>
      </w:r>
      <w:r>
        <w:rPr>
          <w:color w:val="231F20"/>
        </w:rPr>
        <w:t>cuatro</w:t>
      </w:r>
      <w:r>
        <w:rPr>
          <w:color w:val="231F20"/>
          <w:spacing w:val="-6"/>
        </w:rPr>
        <w:t> </w:t>
      </w:r>
      <w:r>
        <w:rPr>
          <w:color w:val="231F20"/>
        </w:rPr>
        <w:t>comunidades</w:t>
      </w:r>
      <w:r>
        <w:rPr>
          <w:color w:val="231F20"/>
          <w:spacing w:val="-6"/>
        </w:rPr>
        <w:t> </w:t>
      </w:r>
      <w:r>
        <w:rPr>
          <w:color w:val="231F20"/>
        </w:rPr>
        <w:t>referidas,</w:t>
      </w:r>
      <w:r>
        <w:rPr>
          <w:color w:val="231F20"/>
          <w:spacing w:val="-5"/>
        </w:rPr>
        <w:t> </w:t>
      </w:r>
      <w:r>
        <w:rPr>
          <w:color w:val="231F20"/>
        </w:rPr>
        <w:t>es</w:t>
      </w:r>
      <w:r>
        <w:rPr>
          <w:color w:val="231F20"/>
          <w:spacing w:val="-5"/>
        </w:rPr>
        <w:t> </w:t>
      </w:r>
      <w:r>
        <w:rPr>
          <w:color w:val="231F20"/>
        </w:rPr>
        <w:t>de</w:t>
      </w:r>
      <w:r>
        <w:rPr>
          <w:color w:val="231F20"/>
          <w:spacing w:val="-5"/>
        </w:rPr>
        <w:t> </w:t>
      </w:r>
      <w:r>
        <w:rPr>
          <w:color w:val="231F20"/>
        </w:rPr>
        <w:t>aproximadamente</w:t>
      </w:r>
      <w:r>
        <w:rPr>
          <w:color w:val="231F20"/>
          <w:spacing w:val="-6"/>
        </w:rPr>
        <w:t> </w:t>
      </w:r>
      <w:r>
        <w:rPr>
          <w:color w:val="231F20"/>
        </w:rPr>
        <w:t>15</w:t>
      </w:r>
      <w:r>
        <w:rPr>
          <w:color w:val="231F20"/>
          <w:spacing w:val="-5"/>
        </w:rPr>
        <w:t> </w:t>
      </w:r>
      <w:r>
        <w:rPr>
          <w:color w:val="231F20"/>
        </w:rPr>
        <w:t>por ciento y van en</w:t>
      </w:r>
      <w:r>
        <w:rPr>
          <w:color w:val="231F20"/>
          <w:spacing w:val="-2"/>
        </w:rPr>
        <w:t> </w:t>
      </w:r>
      <w:r>
        <w:rPr>
          <w:color w:val="231F20"/>
        </w:rPr>
        <w:t>aumento.</w:t>
      </w:r>
    </w:p>
    <w:p>
      <w:pPr>
        <w:pStyle w:val="BodyText"/>
        <w:spacing w:line="247" w:lineRule="auto"/>
        <w:ind w:left="117" w:right="114" w:firstLine="283"/>
        <w:jc w:val="both"/>
      </w:pPr>
      <w:r>
        <w:rPr>
          <w:color w:val="231F20"/>
        </w:rPr>
        <w:t>Es</w:t>
      </w:r>
      <w:r>
        <w:rPr>
          <w:color w:val="231F20"/>
          <w:spacing w:val="-13"/>
        </w:rPr>
        <w:t> </w:t>
      </w:r>
      <w:r>
        <w:rPr>
          <w:color w:val="231F20"/>
        </w:rPr>
        <w:t>así</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han</w:t>
      </w:r>
      <w:r>
        <w:rPr>
          <w:color w:val="231F20"/>
          <w:spacing w:val="-13"/>
        </w:rPr>
        <w:t> </w:t>
      </w:r>
      <w:r>
        <w:rPr>
          <w:color w:val="231F20"/>
        </w:rPr>
        <w:t>dejado</w:t>
      </w:r>
      <w:r>
        <w:rPr>
          <w:color w:val="231F20"/>
          <w:spacing w:val="-13"/>
        </w:rPr>
        <w:t> </w:t>
      </w:r>
      <w:r>
        <w:rPr>
          <w:color w:val="231F20"/>
        </w:rPr>
        <w:t>de</w:t>
      </w:r>
      <w:r>
        <w:rPr>
          <w:color w:val="231F20"/>
          <w:spacing w:val="-13"/>
        </w:rPr>
        <w:t> </w:t>
      </w:r>
      <w:r>
        <w:rPr>
          <w:color w:val="231F20"/>
        </w:rPr>
        <w:t>producir,</w:t>
      </w:r>
      <w:r>
        <w:rPr>
          <w:color w:val="231F20"/>
          <w:spacing w:val="-13"/>
        </w:rPr>
        <w:t> </w:t>
      </w:r>
      <w:r>
        <w:rPr>
          <w:color w:val="231F20"/>
        </w:rPr>
        <w:t>de</w:t>
      </w:r>
      <w:r>
        <w:rPr>
          <w:color w:val="231F20"/>
          <w:spacing w:val="-13"/>
        </w:rPr>
        <w:t> </w:t>
      </w:r>
      <w:r>
        <w:rPr>
          <w:color w:val="231F20"/>
        </w:rPr>
        <w:t>manera</w:t>
      </w:r>
      <w:r>
        <w:rPr>
          <w:color w:val="231F20"/>
          <w:spacing w:val="-13"/>
        </w:rPr>
        <w:t> </w:t>
      </w:r>
      <w:r>
        <w:rPr>
          <w:color w:val="231F20"/>
        </w:rPr>
        <w:t>significativa,</w:t>
      </w:r>
      <w:r>
        <w:rPr>
          <w:color w:val="231F20"/>
          <w:spacing w:val="-13"/>
        </w:rPr>
        <w:t> </w:t>
      </w:r>
      <w:r>
        <w:rPr>
          <w:color w:val="231F20"/>
        </w:rPr>
        <w:t>los</w:t>
      </w:r>
      <w:r>
        <w:rPr>
          <w:color w:val="231F20"/>
          <w:spacing w:val="-13"/>
        </w:rPr>
        <w:t> </w:t>
      </w:r>
      <w:r>
        <w:rPr>
          <w:color w:val="231F20"/>
        </w:rPr>
        <w:t>granos básicos que hasta la primera mitad de la década de 1980 del siglo pasa-  do se sembraban en cantidades significativas, dando paso, por un lado a productos como los forrajes que implican poca inversión y una  </w:t>
      </w:r>
      <w:r>
        <w:rPr>
          <w:color w:val="231F20"/>
          <w:spacing w:val="37"/>
        </w:rPr>
        <w:t> </w:t>
      </w:r>
      <w:r>
        <w:rPr>
          <w:color w:val="231F20"/>
        </w:rPr>
        <w:t>ganancia</w:t>
      </w:r>
    </w:p>
    <w:p>
      <w:pPr>
        <w:spacing w:after="0" w:line="247" w:lineRule="auto"/>
        <w:jc w:val="both"/>
        <w:sectPr>
          <w:pgSz w:w="9360" w:h="13040"/>
          <w:pgMar w:header="0" w:footer="496" w:top="800" w:bottom="680" w:left="1300" w:right="1300"/>
        </w:sectPr>
      </w:pPr>
    </w:p>
    <w:p>
      <w:pPr>
        <w:spacing w:before="45"/>
        <w:ind w:left="117" w:right="0" w:firstLine="1321"/>
        <w:jc w:val="left"/>
        <w:rPr>
          <w:rFonts w:ascii="Arial" w:hAnsi="Arial"/>
          <w:sz w:val="20"/>
        </w:rPr>
      </w:pPr>
      <w:r>
        <w:rPr>
          <w:rFonts w:ascii="Arial" w:hAnsi="Arial"/>
          <w:color w:val="231F20"/>
          <w:w w:val="70"/>
          <w:sz w:val="20"/>
        </w:rPr>
        <w:t>Migración y cambio del espacio rural en el noreste michoacano /Iván Jiménez-Maya</w:t>
      </w:r>
    </w:p>
    <w:p>
      <w:pPr>
        <w:pStyle w:val="BodyText"/>
        <w:spacing w:before="7"/>
        <w:rPr>
          <w:rFonts w:ascii="Arial"/>
          <w:sz w:val="28"/>
        </w:rPr>
      </w:pPr>
    </w:p>
    <w:p>
      <w:pPr>
        <w:pStyle w:val="BodyText"/>
        <w:spacing w:line="247" w:lineRule="auto"/>
        <w:ind w:left="117" w:right="116"/>
        <w:jc w:val="both"/>
      </w:pPr>
      <w:r>
        <w:rPr>
          <w:color w:val="231F20"/>
        </w:rPr>
        <w:t>asegurada y por otro lado, a la entrada de agroindustrias y el avance de  los cultivos depredadores con un alto valor agregado como fresas, moras azules,</w:t>
      </w:r>
      <w:r>
        <w:rPr>
          <w:color w:val="231F20"/>
          <w:spacing w:val="-1"/>
        </w:rPr>
        <w:t> </w:t>
      </w:r>
      <w:r>
        <w:rPr>
          <w:color w:val="231F20"/>
        </w:rPr>
        <w:t>etcétera.</w:t>
      </w:r>
    </w:p>
    <w:p>
      <w:pPr>
        <w:pStyle w:val="BodyText"/>
        <w:spacing w:line="247" w:lineRule="auto"/>
        <w:ind w:left="117" w:right="114" w:firstLine="283"/>
        <w:jc w:val="both"/>
      </w:pPr>
      <w:r>
        <w:rPr>
          <w:color w:val="231F20"/>
        </w:rPr>
        <w:t>A partir de observaciones propias en el campo y la información pro- porcionada por ejidatarios y campesinos tanto en el </w:t>
      </w:r>
      <w:r>
        <w:rPr>
          <w:color w:val="231F20"/>
          <w:spacing w:val="-5"/>
        </w:rPr>
        <w:t>Valle </w:t>
      </w:r>
      <w:r>
        <w:rPr>
          <w:color w:val="231F20"/>
        </w:rPr>
        <w:t>de Guadalupe como en San Antonio Ocampo, la existencia de tierras abandonadas es menor, pero la renta de la tierra es muy común para la siembra de olleto y maíz, ambos forrajeros y en algunas hectáreas de tierra se siembra fresa. En Gómez Farías el abandono de tierras es algo muy común, aunque el avance del cultivo de la fresa sobre las tierras de esta comunidad —con la característica que es cerca de los cuerpos de agua— tanto ejidales como pequeña propiedad, empieza a ser significativo y va en aumento. En Fran- cisco J. Múgica, el abandono de las tierras se observa a simple vista y la renta de algunas tierras es algo común. Aquí una porción de los viejos eji- datarios aún siembran la tierra con los productos que eran tradicionales de esta</w:t>
      </w:r>
      <w:r>
        <w:rPr>
          <w:color w:val="231F20"/>
          <w:spacing w:val="-5"/>
        </w:rPr>
        <w:t> </w:t>
      </w:r>
      <w:r>
        <w:rPr>
          <w:color w:val="231F20"/>
        </w:rPr>
        <w:t>parte</w:t>
      </w:r>
      <w:r>
        <w:rPr>
          <w:color w:val="231F20"/>
          <w:spacing w:val="-5"/>
        </w:rPr>
        <w:t> </w:t>
      </w:r>
      <w:r>
        <w:rPr>
          <w:color w:val="231F20"/>
        </w:rPr>
        <w:t>del</w:t>
      </w:r>
      <w:r>
        <w:rPr>
          <w:color w:val="231F20"/>
          <w:spacing w:val="-9"/>
        </w:rPr>
        <w:t> </w:t>
      </w:r>
      <w:r>
        <w:rPr>
          <w:color w:val="231F20"/>
          <w:spacing w:val="-5"/>
        </w:rPr>
        <w:t>Valle, </w:t>
      </w:r>
      <w:r>
        <w:rPr>
          <w:color w:val="231F20"/>
        </w:rPr>
        <w:t>a</w:t>
      </w:r>
      <w:r>
        <w:rPr>
          <w:color w:val="231F20"/>
          <w:spacing w:val="-5"/>
        </w:rPr>
        <w:t> </w:t>
      </w:r>
      <w:r>
        <w:rPr>
          <w:color w:val="231F20"/>
        </w:rPr>
        <w:t>saber:</w:t>
      </w:r>
      <w:r>
        <w:rPr>
          <w:color w:val="231F20"/>
          <w:spacing w:val="-5"/>
        </w:rPr>
        <w:t> </w:t>
      </w:r>
      <w:r>
        <w:rPr>
          <w:color w:val="231F20"/>
        </w:rPr>
        <w:t>lenteja,</w:t>
      </w:r>
      <w:r>
        <w:rPr>
          <w:color w:val="231F20"/>
          <w:spacing w:val="-5"/>
        </w:rPr>
        <w:t> </w:t>
      </w:r>
      <w:r>
        <w:rPr>
          <w:color w:val="231F20"/>
        </w:rPr>
        <w:t>garbanzo,</w:t>
      </w:r>
      <w:r>
        <w:rPr>
          <w:color w:val="231F20"/>
          <w:spacing w:val="-5"/>
        </w:rPr>
        <w:t> </w:t>
      </w:r>
      <w:r>
        <w:rPr>
          <w:color w:val="231F20"/>
        </w:rPr>
        <w:t>frijol</w:t>
      </w:r>
      <w:r>
        <w:rPr>
          <w:color w:val="231F20"/>
          <w:spacing w:val="-5"/>
        </w:rPr>
        <w:t> </w:t>
      </w:r>
      <w:r>
        <w:rPr>
          <w:color w:val="231F20"/>
        </w:rPr>
        <w:t>y</w:t>
      </w:r>
      <w:r>
        <w:rPr>
          <w:color w:val="231F20"/>
          <w:spacing w:val="-5"/>
        </w:rPr>
        <w:t> </w:t>
      </w:r>
      <w:r>
        <w:rPr>
          <w:color w:val="231F20"/>
        </w:rPr>
        <w:t>maíz.</w:t>
      </w:r>
      <w:r>
        <w:rPr>
          <w:color w:val="231F20"/>
          <w:spacing w:val="-5"/>
        </w:rPr>
        <w:t> </w:t>
      </w:r>
      <w:r>
        <w:rPr>
          <w:color w:val="231F20"/>
        </w:rPr>
        <w:t>En</w:t>
      </w:r>
      <w:r>
        <w:rPr>
          <w:color w:val="231F20"/>
          <w:spacing w:val="-5"/>
        </w:rPr>
        <w:t> </w:t>
      </w:r>
      <w:r>
        <w:rPr>
          <w:color w:val="231F20"/>
        </w:rPr>
        <w:t>esta</w:t>
      </w:r>
      <w:r>
        <w:rPr>
          <w:color w:val="231F20"/>
          <w:spacing w:val="-5"/>
        </w:rPr>
        <w:t> </w:t>
      </w:r>
      <w:r>
        <w:rPr>
          <w:color w:val="231F20"/>
        </w:rPr>
        <w:t>última comunidad como no existen cuerpos de agua superficiales cercanos a las tierras</w:t>
      </w:r>
      <w:r>
        <w:rPr>
          <w:color w:val="231F20"/>
          <w:spacing w:val="-12"/>
        </w:rPr>
        <w:t> </w:t>
      </w:r>
      <w:r>
        <w:rPr>
          <w:color w:val="231F20"/>
        </w:rPr>
        <w:t>de</w:t>
      </w:r>
      <w:r>
        <w:rPr>
          <w:color w:val="231F20"/>
          <w:spacing w:val="-11"/>
        </w:rPr>
        <w:t> </w:t>
      </w:r>
      <w:r>
        <w:rPr>
          <w:color w:val="231F20"/>
        </w:rPr>
        <w:t>cultivo</w:t>
      </w:r>
      <w:r>
        <w:rPr>
          <w:color w:val="231F20"/>
          <w:spacing w:val="-11"/>
        </w:rPr>
        <w:t> </w:t>
      </w:r>
      <w:r>
        <w:rPr>
          <w:color w:val="231F20"/>
        </w:rPr>
        <w:t>tanto</w:t>
      </w:r>
      <w:r>
        <w:rPr>
          <w:color w:val="231F20"/>
          <w:spacing w:val="-12"/>
        </w:rPr>
        <w:t> </w:t>
      </w:r>
      <w:r>
        <w:rPr>
          <w:color w:val="231F20"/>
        </w:rPr>
        <w:t>ejidales</w:t>
      </w:r>
      <w:r>
        <w:rPr>
          <w:color w:val="231F20"/>
          <w:spacing w:val="-11"/>
        </w:rPr>
        <w:t> </w:t>
      </w:r>
      <w:r>
        <w:rPr>
          <w:color w:val="231F20"/>
        </w:rPr>
        <w:t>como</w:t>
      </w:r>
      <w:r>
        <w:rPr>
          <w:color w:val="231F20"/>
          <w:spacing w:val="-12"/>
        </w:rPr>
        <w:t> </w:t>
      </w:r>
      <w:r>
        <w:rPr>
          <w:color w:val="231F20"/>
        </w:rPr>
        <w:t>pequeña</w:t>
      </w:r>
      <w:r>
        <w:rPr>
          <w:color w:val="231F20"/>
          <w:spacing w:val="-11"/>
        </w:rPr>
        <w:t> </w:t>
      </w:r>
      <w:r>
        <w:rPr>
          <w:color w:val="231F20"/>
        </w:rPr>
        <w:t>propiedad</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su</w:t>
      </w:r>
      <w:r>
        <w:rPr>
          <w:color w:val="231F20"/>
          <w:spacing w:val="-11"/>
        </w:rPr>
        <w:t> </w:t>
      </w:r>
      <w:r>
        <w:rPr>
          <w:color w:val="231F20"/>
        </w:rPr>
        <w:t>mayoría son de temporal, los cultivos depredadores aún no están</w:t>
      </w:r>
      <w:r>
        <w:rPr>
          <w:color w:val="231F20"/>
          <w:spacing w:val="-7"/>
        </w:rPr>
        <w:t> </w:t>
      </w:r>
      <w:r>
        <w:rPr>
          <w:color w:val="231F20"/>
        </w:rPr>
        <w:t>presentes.</w:t>
      </w:r>
    </w:p>
    <w:p>
      <w:pPr>
        <w:pStyle w:val="BodyText"/>
        <w:spacing w:line="247" w:lineRule="auto"/>
        <w:ind w:left="117" w:right="114" w:firstLine="283"/>
        <w:jc w:val="both"/>
      </w:pPr>
      <w:r>
        <w:rPr>
          <w:color w:val="231F20"/>
        </w:rPr>
        <w:t>Algo muy recurrente en las comunidades del </w:t>
      </w:r>
      <w:r>
        <w:rPr>
          <w:color w:val="231F20"/>
          <w:spacing w:val="-5"/>
        </w:rPr>
        <w:t>Valle </w:t>
      </w:r>
      <w:r>
        <w:rPr>
          <w:color w:val="231F20"/>
        </w:rPr>
        <w:t>de Tangancícuaro, aunque menos frecuente en la cabecera municipal, es que los ejidatarios que viven en Estados Unidos dejan sus tierras a cargo de representantes, personas</w:t>
      </w:r>
      <w:r>
        <w:rPr>
          <w:color w:val="231F20"/>
          <w:spacing w:val="-6"/>
        </w:rPr>
        <w:t> </w:t>
      </w:r>
      <w:r>
        <w:rPr>
          <w:color w:val="231F20"/>
        </w:rPr>
        <w:t>que</w:t>
      </w:r>
      <w:r>
        <w:rPr>
          <w:color w:val="231F20"/>
          <w:spacing w:val="-6"/>
        </w:rPr>
        <w:t> </w:t>
      </w:r>
      <w:r>
        <w:rPr>
          <w:color w:val="231F20"/>
        </w:rPr>
        <w:t>viven</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comunidad</w:t>
      </w:r>
      <w:r>
        <w:rPr>
          <w:color w:val="231F20"/>
          <w:spacing w:val="-6"/>
        </w:rPr>
        <w:t> </w:t>
      </w:r>
      <w:r>
        <w:rPr>
          <w:color w:val="231F20"/>
        </w:rPr>
        <w:t>—en</w:t>
      </w:r>
      <w:r>
        <w:rPr>
          <w:color w:val="231F20"/>
          <w:spacing w:val="-6"/>
        </w:rPr>
        <w:t> </w:t>
      </w:r>
      <w:r>
        <w:rPr>
          <w:color w:val="231F20"/>
        </w:rPr>
        <w:t>ocasiones</w:t>
      </w:r>
      <w:r>
        <w:rPr>
          <w:color w:val="231F20"/>
          <w:spacing w:val="-6"/>
        </w:rPr>
        <w:t> </w:t>
      </w:r>
      <w:r>
        <w:rPr>
          <w:color w:val="231F20"/>
        </w:rPr>
        <w:t>una</w:t>
      </w:r>
      <w:r>
        <w:rPr>
          <w:color w:val="231F20"/>
          <w:spacing w:val="-6"/>
        </w:rPr>
        <w:t> </w:t>
      </w:r>
      <w:r>
        <w:rPr>
          <w:color w:val="231F20"/>
        </w:rPr>
        <w:t>persona</w:t>
      </w:r>
      <w:r>
        <w:rPr>
          <w:color w:val="231F20"/>
          <w:spacing w:val="-6"/>
        </w:rPr>
        <w:t> </w:t>
      </w:r>
      <w:r>
        <w:rPr>
          <w:color w:val="231F20"/>
        </w:rPr>
        <w:t>represen- ta a entre tres y cinco ejidatarios— y se hacen cargo de cuidar las tierras y/o sembrarlas, estar al tanto de las reuniones del comisariado ejidal, así como solucionar los problemas que se presenten o las actividades que se deben realizar de manera conjunta para el ejido. Al entrevistar a un ejida- tario de una de las comunidades del </w:t>
      </w:r>
      <w:r>
        <w:rPr>
          <w:color w:val="231F20"/>
          <w:spacing w:val="-5"/>
        </w:rPr>
        <w:t>Valle </w:t>
      </w:r>
      <w:r>
        <w:rPr>
          <w:color w:val="231F20"/>
        </w:rPr>
        <w:t>de Tangancícuaro respecto a la cantidad de ejidatarios que viven en Estados Unidos y qué hacen con su tierra, él comentó que:</w:t>
      </w:r>
    </w:p>
    <w:p>
      <w:pPr>
        <w:spacing w:line="249" w:lineRule="auto" w:before="168"/>
        <w:ind w:left="400" w:right="114" w:firstLine="0"/>
        <w:jc w:val="both"/>
        <w:rPr>
          <w:sz w:val="20"/>
        </w:rPr>
      </w:pPr>
      <w:r>
        <w:rPr>
          <w:sz w:val="20"/>
        </w:rPr>
        <w:t>más de la mitad de los ejidatarios están en Estados Unidos viviendo y muchos de</w:t>
      </w:r>
      <w:r>
        <w:rPr>
          <w:spacing w:val="-5"/>
          <w:sz w:val="20"/>
        </w:rPr>
        <w:t> </w:t>
      </w:r>
      <w:r>
        <w:rPr>
          <w:sz w:val="20"/>
        </w:rPr>
        <w:t>ellos</w:t>
      </w:r>
      <w:r>
        <w:rPr>
          <w:spacing w:val="-5"/>
          <w:sz w:val="20"/>
        </w:rPr>
        <w:t> </w:t>
      </w:r>
      <w:r>
        <w:rPr>
          <w:sz w:val="20"/>
        </w:rPr>
        <w:t>rentan</w:t>
      </w:r>
      <w:r>
        <w:rPr>
          <w:spacing w:val="-5"/>
          <w:sz w:val="20"/>
        </w:rPr>
        <w:t> </w:t>
      </w:r>
      <w:r>
        <w:rPr>
          <w:sz w:val="20"/>
        </w:rPr>
        <w:t>su</w:t>
      </w:r>
      <w:r>
        <w:rPr>
          <w:spacing w:val="-5"/>
          <w:sz w:val="20"/>
        </w:rPr>
        <w:t> </w:t>
      </w:r>
      <w:r>
        <w:rPr>
          <w:sz w:val="20"/>
        </w:rPr>
        <w:t>tierra</w:t>
      </w:r>
      <w:r>
        <w:rPr>
          <w:spacing w:val="-5"/>
          <w:sz w:val="20"/>
        </w:rPr>
        <w:t> </w:t>
      </w:r>
      <w:r>
        <w:rPr>
          <w:sz w:val="20"/>
        </w:rPr>
        <w:t>para</w:t>
      </w:r>
      <w:r>
        <w:rPr>
          <w:spacing w:val="-5"/>
          <w:sz w:val="20"/>
        </w:rPr>
        <w:t> </w:t>
      </w:r>
      <w:r>
        <w:rPr>
          <w:sz w:val="20"/>
        </w:rPr>
        <w:t>el</w:t>
      </w:r>
      <w:r>
        <w:rPr>
          <w:spacing w:val="-5"/>
          <w:sz w:val="20"/>
        </w:rPr>
        <w:t> </w:t>
      </w:r>
      <w:r>
        <w:rPr>
          <w:sz w:val="20"/>
        </w:rPr>
        <w:t>olleto,</w:t>
      </w:r>
      <w:r>
        <w:rPr>
          <w:spacing w:val="-5"/>
          <w:sz w:val="20"/>
        </w:rPr>
        <w:t> </w:t>
      </w:r>
      <w:r>
        <w:rPr>
          <w:sz w:val="20"/>
        </w:rPr>
        <w:t>ya</w:t>
      </w:r>
      <w:r>
        <w:rPr>
          <w:spacing w:val="-5"/>
          <w:sz w:val="20"/>
        </w:rPr>
        <w:t> </w:t>
      </w:r>
      <w:r>
        <w:rPr>
          <w:sz w:val="20"/>
        </w:rPr>
        <w:t>que</w:t>
      </w:r>
      <w:r>
        <w:rPr>
          <w:spacing w:val="-5"/>
          <w:sz w:val="20"/>
        </w:rPr>
        <w:t> </w:t>
      </w:r>
      <w:r>
        <w:rPr>
          <w:sz w:val="20"/>
        </w:rPr>
        <w:t>el</w:t>
      </w:r>
      <w:r>
        <w:rPr>
          <w:spacing w:val="-5"/>
          <w:sz w:val="20"/>
        </w:rPr>
        <w:t> </w:t>
      </w:r>
      <w:r>
        <w:rPr>
          <w:sz w:val="20"/>
        </w:rPr>
        <w:t>olleto</w:t>
      </w:r>
      <w:r>
        <w:rPr>
          <w:spacing w:val="-5"/>
          <w:sz w:val="20"/>
        </w:rPr>
        <w:t> </w:t>
      </w:r>
      <w:r>
        <w:rPr>
          <w:sz w:val="20"/>
        </w:rPr>
        <w:t>se</w:t>
      </w:r>
      <w:r>
        <w:rPr>
          <w:spacing w:val="-5"/>
          <w:sz w:val="20"/>
        </w:rPr>
        <w:t> </w:t>
      </w:r>
      <w:r>
        <w:rPr>
          <w:sz w:val="20"/>
        </w:rPr>
        <w:t>siembra</w:t>
      </w:r>
      <w:r>
        <w:rPr>
          <w:spacing w:val="-5"/>
          <w:sz w:val="20"/>
        </w:rPr>
        <w:t> </w:t>
      </w:r>
      <w:r>
        <w:rPr>
          <w:sz w:val="20"/>
        </w:rPr>
        <w:t>mucho</w:t>
      </w:r>
      <w:r>
        <w:rPr>
          <w:spacing w:val="-5"/>
          <w:sz w:val="20"/>
        </w:rPr>
        <w:t> </w:t>
      </w:r>
      <w:r>
        <w:rPr>
          <w:sz w:val="20"/>
        </w:rPr>
        <w:t>en</w:t>
      </w:r>
      <w:r>
        <w:rPr>
          <w:spacing w:val="-5"/>
          <w:sz w:val="20"/>
        </w:rPr>
        <w:t> </w:t>
      </w:r>
      <w:r>
        <w:rPr>
          <w:sz w:val="20"/>
        </w:rPr>
        <w:t>las tierras</w:t>
      </w:r>
      <w:r>
        <w:rPr>
          <w:spacing w:val="-6"/>
          <w:sz w:val="20"/>
        </w:rPr>
        <w:t> </w:t>
      </w:r>
      <w:r>
        <w:rPr>
          <w:sz w:val="20"/>
        </w:rPr>
        <w:t>de</w:t>
      </w:r>
      <w:r>
        <w:rPr>
          <w:spacing w:val="-6"/>
          <w:sz w:val="20"/>
        </w:rPr>
        <w:t> </w:t>
      </w:r>
      <w:r>
        <w:rPr>
          <w:sz w:val="20"/>
        </w:rPr>
        <w:t>la</w:t>
      </w:r>
      <w:r>
        <w:rPr>
          <w:spacing w:val="-6"/>
          <w:sz w:val="20"/>
        </w:rPr>
        <w:t> </w:t>
      </w:r>
      <w:r>
        <w:rPr>
          <w:sz w:val="20"/>
        </w:rPr>
        <w:t>comunidad,</w:t>
      </w:r>
      <w:r>
        <w:rPr>
          <w:spacing w:val="-6"/>
          <w:sz w:val="20"/>
        </w:rPr>
        <w:t> </w:t>
      </w:r>
      <w:r>
        <w:rPr>
          <w:sz w:val="20"/>
        </w:rPr>
        <w:t>y</w:t>
      </w:r>
      <w:r>
        <w:rPr>
          <w:spacing w:val="-6"/>
          <w:sz w:val="20"/>
        </w:rPr>
        <w:t> </w:t>
      </w:r>
      <w:r>
        <w:rPr>
          <w:sz w:val="20"/>
        </w:rPr>
        <w:t>es</w:t>
      </w:r>
      <w:r>
        <w:rPr>
          <w:spacing w:val="-6"/>
          <w:sz w:val="20"/>
        </w:rPr>
        <w:t> </w:t>
      </w:r>
      <w:r>
        <w:rPr>
          <w:sz w:val="20"/>
        </w:rPr>
        <w:t>más</w:t>
      </w:r>
      <w:r>
        <w:rPr>
          <w:spacing w:val="-6"/>
          <w:sz w:val="20"/>
        </w:rPr>
        <w:t> </w:t>
      </w:r>
      <w:r>
        <w:rPr>
          <w:sz w:val="20"/>
        </w:rPr>
        <w:t>rentable,</w:t>
      </w:r>
      <w:r>
        <w:rPr>
          <w:spacing w:val="-6"/>
          <w:sz w:val="20"/>
        </w:rPr>
        <w:t> </w:t>
      </w:r>
      <w:r>
        <w:rPr>
          <w:sz w:val="20"/>
        </w:rPr>
        <w:t>asimismo</w:t>
      </w:r>
      <w:r>
        <w:rPr>
          <w:spacing w:val="-6"/>
          <w:sz w:val="20"/>
        </w:rPr>
        <w:t> </w:t>
      </w:r>
      <w:r>
        <w:rPr>
          <w:sz w:val="20"/>
        </w:rPr>
        <w:t>muchos</w:t>
      </w:r>
      <w:r>
        <w:rPr>
          <w:spacing w:val="-6"/>
          <w:sz w:val="20"/>
        </w:rPr>
        <w:t> </w:t>
      </w:r>
      <w:r>
        <w:rPr>
          <w:sz w:val="20"/>
        </w:rPr>
        <w:t>de</w:t>
      </w:r>
      <w:r>
        <w:rPr>
          <w:spacing w:val="-6"/>
          <w:sz w:val="20"/>
        </w:rPr>
        <w:t> </w:t>
      </w:r>
      <w:r>
        <w:rPr>
          <w:sz w:val="20"/>
        </w:rPr>
        <w:t>los</w:t>
      </w:r>
      <w:r>
        <w:rPr>
          <w:spacing w:val="-6"/>
          <w:sz w:val="20"/>
        </w:rPr>
        <w:t> </w:t>
      </w:r>
      <w:r>
        <w:rPr>
          <w:sz w:val="20"/>
        </w:rPr>
        <w:t>ejidatarios que</w:t>
      </w:r>
      <w:r>
        <w:rPr>
          <w:spacing w:val="-10"/>
          <w:sz w:val="20"/>
        </w:rPr>
        <w:t> </w:t>
      </w:r>
      <w:r>
        <w:rPr>
          <w:sz w:val="20"/>
        </w:rPr>
        <w:t>están</w:t>
      </w:r>
      <w:r>
        <w:rPr>
          <w:spacing w:val="-10"/>
          <w:sz w:val="20"/>
        </w:rPr>
        <w:t> </w:t>
      </w:r>
      <w:r>
        <w:rPr>
          <w:sz w:val="20"/>
        </w:rPr>
        <w:t>aquí</w:t>
      </w:r>
      <w:r>
        <w:rPr>
          <w:spacing w:val="-10"/>
          <w:sz w:val="20"/>
        </w:rPr>
        <w:t> </w:t>
      </w:r>
      <w:r>
        <w:rPr>
          <w:sz w:val="20"/>
        </w:rPr>
        <w:t>rentan</w:t>
      </w:r>
      <w:r>
        <w:rPr>
          <w:spacing w:val="-10"/>
          <w:sz w:val="20"/>
        </w:rPr>
        <w:t> </w:t>
      </w:r>
      <w:r>
        <w:rPr>
          <w:sz w:val="20"/>
        </w:rPr>
        <w:t>igual</w:t>
      </w:r>
      <w:r>
        <w:rPr>
          <w:spacing w:val="-10"/>
          <w:sz w:val="20"/>
        </w:rPr>
        <w:t> </w:t>
      </w:r>
      <w:r>
        <w:rPr>
          <w:sz w:val="20"/>
        </w:rPr>
        <w:t>sus</w:t>
      </w:r>
      <w:r>
        <w:rPr>
          <w:spacing w:val="-10"/>
          <w:sz w:val="20"/>
        </w:rPr>
        <w:t> </w:t>
      </w:r>
      <w:r>
        <w:rPr>
          <w:sz w:val="20"/>
        </w:rPr>
        <w:t>tierras</w:t>
      </w:r>
      <w:r>
        <w:rPr>
          <w:spacing w:val="-10"/>
          <w:sz w:val="20"/>
        </w:rPr>
        <w:t> </w:t>
      </w:r>
      <w:r>
        <w:rPr>
          <w:sz w:val="20"/>
        </w:rPr>
        <w:t>para</w:t>
      </w:r>
      <w:r>
        <w:rPr>
          <w:spacing w:val="-10"/>
          <w:sz w:val="20"/>
        </w:rPr>
        <w:t> </w:t>
      </w:r>
      <w:r>
        <w:rPr>
          <w:sz w:val="20"/>
        </w:rPr>
        <w:t>la</w:t>
      </w:r>
      <w:r>
        <w:rPr>
          <w:spacing w:val="-10"/>
          <w:sz w:val="20"/>
        </w:rPr>
        <w:t> </w:t>
      </w:r>
      <w:r>
        <w:rPr>
          <w:sz w:val="20"/>
        </w:rPr>
        <w:t>siembra</w:t>
      </w:r>
      <w:r>
        <w:rPr>
          <w:spacing w:val="-9"/>
          <w:sz w:val="20"/>
        </w:rPr>
        <w:t> </w:t>
      </w:r>
      <w:r>
        <w:rPr>
          <w:sz w:val="20"/>
        </w:rPr>
        <w:t>del</w:t>
      </w:r>
      <w:r>
        <w:rPr>
          <w:spacing w:val="-10"/>
          <w:sz w:val="20"/>
        </w:rPr>
        <w:t> </w:t>
      </w:r>
      <w:r>
        <w:rPr>
          <w:sz w:val="20"/>
        </w:rPr>
        <w:t>olleto</w:t>
      </w:r>
      <w:r>
        <w:rPr>
          <w:spacing w:val="-10"/>
          <w:sz w:val="20"/>
        </w:rPr>
        <w:t> </w:t>
      </w:r>
      <w:r>
        <w:rPr>
          <w:sz w:val="20"/>
        </w:rPr>
        <w:t>(Jesús,</w:t>
      </w:r>
      <w:r>
        <w:rPr>
          <w:spacing w:val="-10"/>
          <w:sz w:val="20"/>
        </w:rPr>
        <w:t> </w:t>
      </w:r>
      <w:r>
        <w:rPr>
          <w:sz w:val="20"/>
        </w:rPr>
        <w:t>migran- te jubilado y ejidatario, 80 años, San Antonio Ocampo,</w:t>
      </w:r>
      <w:r>
        <w:rPr>
          <w:spacing w:val="-29"/>
          <w:sz w:val="20"/>
        </w:rPr>
        <w:t> </w:t>
      </w:r>
      <w:r>
        <w:rPr>
          <w:sz w:val="20"/>
        </w:rPr>
        <w:t>2008).</w:t>
      </w:r>
    </w:p>
    <w:p>
      <w:pPr>
        <w:pStyle w:val="BodyText"/>
        <w:spacing w:line="247" w:lineRule="auto" w:before="172"/>
        <w:ind w:left="117" w:right="115" w:firstLine="283"/>
        <w:jc w:val="both"/>
      </w:pPr>
      <w:r>
        <w:rPr>
          <w:color w:val="231F20"/>
        </w:rPr>
        <w:t>Se</w:t>
      </w:r>
      <w:r>
        <w:rPr>
          <w:color w:val="231F20"/>
          <w:spacing w:val="-8"/>
        </w:rPr>
        <w:t> </w:t>
      </w:r>
      <w:r>
        <w:rPr>
          <w:color w:val="231F20"/>
        </w:rPr>
        <w:t>puede</w:t>
      </w:r>
      <w:r>
        <w:rPr>
          <w:color w:val="231F20"/>
          <w:spacing w:val="-8"/>
        </w:rPr>
        <w:t> </w:t>
      </w:r>
      <w:r>
        <w:rPr>
          <w:color w:val="231F20"/>
        </w:rPr>
        <w:t>decir</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espacio</w:t>
      </w:r>
      <w:r>
        <w:rPr>
          <w:color w:val="231F20"/>
          <w:spacing w:val="-8"/>
        </w:rPr>
        <w:t> </w:t>
      </w:r>
      <w:r>
        <w:rPr>
          <w:color w:val="231F20"/>
        </w:rPr>
        <w:t>rural</w:t>
      </w:r>
      <w:r>
        <w:rPr>
          <w:color w:val="231F20"/>
          <w:spacing w:val="-12"/>
        </w:rPr>
        <w:t> </w:t>
      </w:r>
      <w:r>
        <w:rPr>
          <w:color w:val="231F20"/>
          <w:spacing w:val="-5"/>
        </w:rPr>
        <w:t>Valle</w:t>
      </w:r>
      <w:r>
        <w:rPr>
          <w:color w:val="231F20"/>
          <w:spacing w:val="-8"/>
        </w:rPr>
        <w:t> </w:t>
      </w:r>
      <w:r>
        <w:rPr>
          <w:color w:val="231F20"/>
        </w:rPr>
        <w:t>de</w:t>
      </w:r>
      <w:r>
        <w:rPr>
          <w:color w:val="231F20"/>
          <w:spacing w:val="-12"/>
        </w:rPr>
        <w:t> </w:t>
      </w:r>
      <w:r>
        <w:rPr>
          <w:color w:val="231F20"/>
        </w:rPr>
        <w:t>Tangancícuaro</w:t>
      </w:r>
      <w:r>
        <w:rPr>
          <w:color w:val="231F20"/>
          <w:spacing w:val="-9"/>
        </w:rPr>
        <w:t> </w:t>
      </w:r>
      <w:r>
        <w:rPr>
          <w:color w:val="231F20"/>
        </w:rPr>
        <w:t>se</w:t>
      </w:r>
      <w:r>
        <w:rPr>
          <w:color w:val="231F20"/>
          <w:spacing w:val="-8"/>
        </w:rPr>
        <w:t> </w:t>
      </w:r>
      <w:r>
        <w:rPr>
          <w:color w:val="231F20"/>
        </w:rPr>
        <w:t>localiza</w:t>
      </w:r>
      <w:r>
        <w:rPr>
          <w:color w:val="231F20"/>
          <w:spacing w:val="-9"/>
        </w:rPr>
        <w:t> </w:t>
      </w:r>
      <w:r>
        <w:rPr>
          <w:color w:val="231F20"/>
        </w:rPr>
        <w:t>a una escala local, subordinado a otro Estado-nación como es Estados Uni- dos</w:t>
      </w:r>
      <w:r>
        <w:rPr>
          <w:color w:val="231F20"/>
          <w:spacing w:val="-13"/>
        </w:rPr>
        <w:t> </w:t>
      </w:r>
      <w:r>
        <w:rPr>
          <w:color w:val="231F20"/>
        </w:rPr>
        <w:t>en</w:t>
      </w:r>
      <w:r>
        <w:rPr>
          <w:color w:val="231F20"/>
          <w:spacing w:val="-13"/>
        </w:rPr>
        <w:t> </w:t>
      </w:r>
      <w:r>
        <w:rPr>
          <w:color w:val="231F20"/>
        </w:rPr>
        <w:t>una</w:t>
      </w:r>
      <w:r>
        <w:rPr>
          <w:color w:val="231F20"/>
          <w:spacing w:val="-13"/>
        </w:rPr>
        <w:t> </w:t>
      </w:r>
      <w:r>
        <w:rPr>
          <w:color w:val="231F20"/>
        </w:rPr>
        <w:t>escala</w:t>
      </w:r>
      <w:r>
        <w:rPr>
          <w:color w:val="231F20"/>
          <w:spacing w:val="-13"/>
        </w:rPr>
        <w:t> </w:t>
      </w:r>
      <w:r>
        <w:rPr>
          <w:color w:val="231F20"/>
        </w:rPr>
        <w:t>regional</w:t>
      </w:r>
      <w:r>
        <w:rPr>
          <w:color w:val="231F20"/>
          <w:spacing w:val="-13"/>
        </w:rPr>
        <w:t> </w:t>
      </w:r>
      <w:r>
        <w:rPr>
          <w:color w:val="231F20"/>
        </w:rPr>
        <w:t>(México-Estados</w:t>
      </w:r>
      <w:r>
        <w:rPr>
          <w:color w:val="231F20"/>
          <w:spacing w:val="-13"/>
        </w:rPr>
        <w:t> </w:t>
      </w:r>
      <w:r>
        <w:rPr>
          <w:color w:val="231F20"/>
        </w:rPr>
        <w:t>Unidos)</w:t>
      </w:r>
      <w:r>
        <w:rPr>
          <w:color w:val="231F20"/>
          <w:spacing w:val="-13"/>
        </w:rPr>
        <w:t> </w:t>
      </w:r>
      <w:r>
        <w:rPr>
          <w:color w:val="231F20"/>
        </w:rPr>
        <w:t>donde</w:t>
      </w:r>
      <w:r>
        <w:rPr>
          <w:color w:val="231F20"/>
          <w:spacing w:val="-13"/>
        </w:rPr>
        <w:t> </w:t>
      </w:r>
      <w:r>
        <w:rPr>
          <w:color w:val="231F20"/>
        </w:rPr>
        <w:t>México</w:t>
      </w:r>
      <w:r>
        <w:rPr>
          <w:color w:val="231F20"/>
          <w:spacing w:val="-13"/>
        </w:rPr>
        <w:t> </w:t>
      </w:r>
      <w:r>
        <w:rPr>
          <w:color w:val="231F20"/>
        </w:rPr>
        <w:t>(escala</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jc w:val="both"/>
      </w:pPr>
      <w:r>
        <w:rPr>
          <w:color w:val="231F20"/>
        </w:rPr>
        <w:t>nacional) cumple la función de articulador entre Estados Unidos y el</w:t>
      </w:r>
      <w:r>
        <w:rPr>
          <w:color w:val="231F20"/>
          <w:spacing w:val="-34"/>
        </w:rPr>
        <w:t> </w:t>
      </w:r>
      <w:r>
        <w:rPr>
          <w:color w:val="231F20"/>
          <w:spacing w:val="-5"/>
        </w:rPr>
        <w:t>Valle </w:t>
      </w:r>
      <w:r>
        <w:rPr>
          <w:color w:val="231F20"/>
        </w:rPr>
        <w:t>de Tangancícuaro, tanto en el proceso de movilidad de fuerza de trabajo como en el de acumulación</w:t>
      </w:r>
      <w:r>
        <w:rPr>
          <w:color w:val="231F20"/>
          <w:spacing w:val="-3"/>
        </w:rPr>
        <w:t> </w:t>
      </w:r>
      <w:r>
        <w:rPr>
          <w:color w:val="231F20"/>
        </w:rPr>
        <w:t>capitalista.</w:t>
      </w:r>
    </w:p>
    <w:p>
      <w:pPr>
        <w:pStyle w:val="BodyText"/>
        <w:spacing w:line="247" w:lineRule="auto"/>
        <w:ind w:left="117" w:right="114" w:firstLine="283"/>
        <w:jc w:val="both"/>
      </w:pPr>
      <w:r>
        <w:rPr>
          <w:color w:val="231F20"/>
        </w:rPr>
        <w:t>Como escala local, en la actualidad, en el </w:t>
      </w:r>
      <w:r>
        <w:rPr>
          <w:color w:val="231F20"/>
          <w:spacing w:val="-5"/>
        </w:rPr>
        <w:t>Valle </w:t>
      </w:r>
      <w:r>
        <w:rPr>
          <w:color w:val="231F20"/>
        </w:rPr>
        <w:t>de Tangancícuaro la producción</w:t>
      </w:r>
      <w:r>
        <w:rPr>
          <w:color w:val="231F20"/>
          <w:spacing w:val="-5"/>
        </w:rPr>
        <w:t> </w:t>
      </w:r>
      <w:r>
        <w:rPr>
          <w:color w:val="231F20"/>
        </w:rPr>
        <w:t>agroindustrial</w:t>
      </w:r>
      <w:r>
        <w:rPr>
          <w:color w:val="231F20"/>
          <w:spacing w:val="-5"/>
        </w:rPr>
        <w:t> </w:t>
      </w:r>
      <w:r>
        <w:rPr>
          <w:color w:val="231F20"/>
        </w:rPr>
        <w:t>va</w:t>
      </w:r>
      <w:r>
        <w:rPr>
          <w:color w:val="231F20"/>
          <w:spacing w:val="-5"/>
        </w:rPr>
        <w:t> </w:t>
      </w:r>
      <w:r>
        <w:rPr>
          <w:color w:val="231F20"/>
        </w:rPr>
        <w:t>a</w:t>
      </w:r>
      <w:r>
        <w:rPr>
          <w:color w:val="231F20"/>
          <w:spacing w:val="-5"/>
        </w:rPr>
        <w:t> </w:t>
      </w:r>
      <w:r>
        <w:rPr>
          <w:color w:val="231F20"/>
        </w:rPr>
        <w:t>dar</w:t>
      </w:r>
      <w:r>
        <w:rPr>
          <w:color w:val="231F20"/>
          <w:spacing w:val="-5"/>
        </w:rPr>
        <w:t> </w:t>
      </w:r>
      <w:r>
        <w:rPr>
          <w:color w:val="231F20"/>
        </w:rPr>
        <w:t>directamente</w:t>
      </w:r>
      <w:r>
        <w:rPr>
          <w:color w:val="231F20"/>
          <w:spacing w:val="-5"/>
        </w:rPr>
        <w:t> </w:t>
      </w:r>
      <w:r>
        <w:rPr>
          <w:color w:val="231F20"/>
        </w:rPr>
        <w:t>a</w:t>
      </w:r>
      <w:r>
        <w:rPr>
          <w:color w:val="231F20"/>
          <w:spacing w:val="-5"/>
        </w:rPr>
        <w:t> </w:t>
      </w:r>
      <w:r>
        <w:rPr>
          <w:color w:val="231F20"/>
        </w:rPr>
        <w:t>un</w:t>
      </w:r>
      <w:r>
        <w:rPr>
          <w:color w:val="231F20"/>
          <w:spacing w:val="-5"/>
        </w:rPr>
        <w:t> </w:t>
      </w:r>
      <w:r>
        <w:rPr>
          <w:color w:val="231F20"/>
        </w:rPr>
        <w:t>mercado</w:t>
      </w:r>
      <w:r>
        <w:rPr>
          <w:color w:val="231F20"/>
          <w:spacing w:val="-5"/>
        </w:rPr>
        <w:t> </w:t>
      </w:r>
      <w:r>
        <w:rPr>
          <w:color w:val="231F20"/>
        </w:rPr>
        <w:t>regional</w:t>
      </w:r>
      <w:r>
        <w:rPr>
          <w:color w:val="231F20"/>
          <w:spacing w:val="-5"/>
        </w:rPr>
        <w:t> </w:t>
      </w:r>
      <w:r>
        <w:rPr>
          <w:color w:val="231F20"/>
        </w:rPr>
        <w:t>y/o global, territorializando el capital agroindustrial su dominio y extrayendo valor de ese espacio rural local. Y como refiere</w:t>
      </w:r>
      <w:r>
        <w:rPr>
          <w:color w:val="231F20"/>
          <w:spacing w:val="-30"/>
        </w:rPr>
        <w:t> </w:t>
      </w:r>
      <w:r>
        <w:rPr>
          <w:color w:val="231F20"/>
        </w:rPr>
        <w:t>Sassen</w:t>
      </w:r>
    </w:p>
    <w:p>
      <w:pPr>
        <w:spacing w:line="249" w:lineRule="auto" w:before="168"/>
        <w:ind w:left="400" w:right="115" w:firstLine="0"/>
        <w:jc w:val="both"/>
        <w:rPr>
          <w:sz w:val="20"/>
        </w:rPr>
      </w:pPr>
      <w:r>
        <w:rPr>
          <w:sz w:val="20"/>
        </w:rPr>
        <w:t>el resultado es una reformulación de las escalas en términos de los lugares es- tratégicos que articulan el sistema. Con el debilitamiento o la desarticulación parcial de lo nacional en tanto unidad espacial se dan las condiciones necesa- rias para que asciendan otras escalas y unidades espaciales (2007: 43).</w:t>
      </w:r>
    </w:p>
    <w:p>
      <w:pPr>
        <w:pStyle w:val="BodyText"/>
        <w:spacing w:line="247" w:lineRule="auto" w:before="172"/>
        <w:ind w:left="117" w:right="114" w:firstLine="283"/>
        <w:jc w:val="both"/>
      </w:pPr>
      <w:r>
        <w:rPr>
          <w:color w:val="231F20"/>
        </w:rPr>
        <w:t>Desde la concepción neoliberal se considera que la apertura comercial encierra</w:t>
      </w:r>
      <w:r>
        <w:rPr>
          <w:color w:val="231F20"/>
          <w:spacing w:val="-5"/>
        </w:rPr>
        <w:t> </w:t>
      </w:r>
      <w:r>
        <w:rPr>
          <w:color w:val="231F20"/>
        </w:rPr>
        <w:t>el</w:t>
      </w:r>
      <w:r>
        <w:rPr>
          <w:color w:val="231F20"/>
          <w:spacing w:val="-5"/>
        </w:rPr>
        <w:t> </w:t>
      </w:r>
      <w:r>
        <w:rPr>
          <w:color w:val="231F20"/>
        </w:rPr>
        <w:t>logro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competitividad</w:t>
      </w:r>
      <w:r>
        <w:rPr>
          <w:color w:val="231F20"/>
          <w:spacing w:val="-5"/>
        </w:rPr>
        <w:t> </w:t>
      </w:r>
      <w:r>
        <w:rPr>
          <w:color w:val="231F20"/>
        </w:rPr>
        <w:t>asociada</w:t>
      </w:r>
      <w:r>
        <w:rPr>
          <w:color w:val="231F20"/>
          <w:spacing w:val="-5"/>
        </w:rPr>
        <w:t> </w:t>
      </w:r>
      <w:r>
        <w:rPr>
          <w:color w:val="231F20"/>
        </w:rPr>
        <w:t>a</w:t>
      </w:r>
      <w:r>
        <w:rPr>
          <w:color w:val="231F20"/>
          <w:spacing w:val="-5"/>
        </w:rPr>
        <w:t> </w:t>
      </w:r>
      <w:r>
        <w:rPr>
          <w:color w:val="231F20"/>
        </w:rPr>
        <w:t>rentabilidad</w:t>
      </w:r>
      <w:r>
        <w:rPr>
          <w:color w:val="231F20"/>
          <w:spacing w:val="-5"/>
        </w:rPr>
        <w:t> </w:t>
      </w:r>
      <w:r>
        <w:rPr>
          <w:color w:val="231F20"/>
        </w:rPr>
        <w:t>y</w:t>
      </w:r>
      <w:r>
        <w:rPr>
          <w:color w:val="231F20"/>
          <w:spacing w:val="-5"/>
        </w:rPr>
        <w:t> </w:t>
      </w:r>
      <w:r>
        <w:rPr>
          <w:color w:val="231F20"/>
        </w:rPr>
        <w:t>productivi- dad en un contexto donde la economía de mercado marca las pautas para el comercio exterior. Su significado real para el sector rural de México ha derivado en un agudo proceso de diferenciación de productores. Aquellos que tienen la capacidad de insertarse en el mercado internacional (trans- nacionales y grandes productores agroindustriales) logran ventajas para la exportación de sus productos, en tanto que la mayoría de los productores del medio rural ven disminuidas sus posibilidades y no podrán subsistir sino sobre la base de subvenciones y subsidios gubernamentales; pero la política neoliberal exige que se eliminen todos los subsidios y subvencio- nes indiscriminadamente a todos los productores (Perales y Reyes, 2009: 202).</w:t>
      </w:r>
    </w:p>
    <w:p>
      <w:pPr>
        <w:pStyle w:val="Heading3"/>
      </w:pPr>
      <w:r>
        <w:rPr>
          <w:color w:val="231F20"/>
        </w:rPr>
        <w:t>Conclusiones</w:t>
      </w:r>
    </w:p>
    <w:p>
      <w:pPr>
        <w:pStyle w:val="BodyText"/>
        <w:spacing w:line="247" w:lineRule="auto" w:before="172"/>
        <w:ind w:left="117" w:right="114"/>
        <w:jc w:val="both"/>
      </w:pPr>
      <w:r>
        <w:rPr>
          <w:color w:val="231F20"/>
        </w:rPr>
        <w:t>En el caso de las agroindustrias, cada vez abarcan más cantidad de hectá- reas</w:t>
      </w:r>
      <w:r>
        <w:rPr>
          <w:color w:val="231F20"/>
          <w:spacing w:val="-7"/>
        </w:rPr>
        <w:t> </w:t>
      </w:r>
      <w:r>
        <w:rPr>
          <w:color w:val="231F20"/>
        </w:rPr>
        <w:t>(las</w:t>
      </w:r>
      <w:r>
        <w:rPr>
          <w:color w:val="231F20"/>
          <w:spacing w:val="-7"/>
        </w:rPr>
        <w:t> </w:t>
      </w:r>
      <w:r>
        <w:rPr>
          <w:color w:val="231F20"/>
        </w:rPr>
        <w:t>mejores</w:t>
      </w:r>
      <w:r>
        <w:rPr>
          <w:color w:val="231F20"/>
          <w:spacing w:val="-8"/>
        </w:rPr>
        <w:t> </w:t>
      </w:r>
      <w:r>
        <w:rPr>
          <w:color w:val="231F20"/>
        </w:rPr>
        <w:t>en</w:t>
      </w:r>
      <w:r>
        <w:rPr>
          <w:color w:val="231F20"/>
          <w:spacing w:val="-7"/>
        </w:rPr>
        <w:t> </w:t>
      </w:r>
      <w:r>
        <w:rPr>
          <w:color w:val="231F20"/>
        </w:rPr>
        <w:t>calidad</w:t>
      </w:r>
      <w:r>
        <w:rPr>
          <w:color w:val="231F20"/>
          <w:spacing w:val="-8"/>
        </w:rPr>
        <w:t> </w:t>
      </w:r>
      <w:r>
        <w:rPr>
          <w:color w:val="231F20"/>
        </w:rPr>
        <w:t>y</w:t>
      </w:r>
      <w:r>
        <w:rPr>
          <w:color w:val="231F20"/>
          <w:spacing w:val="-7"/>
        </w:rPr>
        <w:t> </w:t>
      </w:r>
      <w:r>
        <w:rPr>
          <w:color w:val="231F20"/>
        </w:rPr>
        <w:t>con</w:t>
      </w:r>
      <w:r>
        <w:rPr>
          <w:color w:val="231F20"/>
          <w:spacing w:val="-8"/>
        </w:rPr>
        <w:t> </w:t>
      </w:r>
      <w:r>
        <w:rPr>
          <w:color w:val="231F20"/>
        </w:rPr>
        <w:t>acceso</w:t>
      </w:r>
      <w:r>
        <w:rPr>
          <w:color w:val="231F20"/>
          <w:spacing w:val="-8"/>
        </w:rPr>
        <w:t> </w:t>
      </w:r>
      <w:r>
        <w:rPr>
          <w:color w:val="231F20"/>
        </w:rPr>
        <w:t>a</w:t>
      </w:r>
      <w:r>
        <w:rPr>
          <w:color w:val="231F20"/>
          <w:spacing w:val="-7"/>
        </w:rPr>
        <w:t> </w:t>
      </w:r>
      <w:r>
        <w:rPr>
          <w:color w:val="231F20"/>
        </w:rPr>
        <w:t>fuente</w:t>
      </w:r>
      <w:r>
        <w:rPr>
          <w:color w:val="231F20"/>
          <w:spacing w:val="-8"/>
        </w:rPr>
        <w:t> </w:t>
      </w:r>
      <w:r>
        <w:rPr>
          <w:color w:val="231F20"/>
        </w:rPr>
        <w:t>de</w:t>
      </w:r>
      <w:r>
        <w:rPr>
          <w:color w:val="231F20"/>
          <w:spacing w:val="-7"/>
        </w:rPr>
        <w:t> </w:t>
      </w:r>
      <w:r>
        <w:rPr>
          <w:color w:val="231F20"/>
        </w:rPr>
        <w:t>agua),</w:t>
      </w:r>
      <w:r>
        <w:rPr>
          <w:color w:val="231F20"/>
          <w:spacing w:val="-8"/>
        </w:rPr>
        <w:t> </w:t>
      </w:r>
      <w:r>
        <w:rPr>
          <w:color w:val="231F20"/>
        </w:rPr>
        <w:t>por</w:t>
      </w:r>
      <w:r>
        <w:rPr>
          <w:color w:val="231F20"/>
          <w:spacing w:val="-7"/>
        </w:rPr>
        <w:t> </w:t>
      </w:r>
      <w:r>
        <w:rPr>
          <w:color w:val="231F20"/>
        </w:rPr>
        <w:t>ser</w:t>
      </w:r>
      <w:r>
        <w:rPr>
          <w:color w:val="231F20"/>
          <w:spacing w:val="-7"/>
        </w:rPr>
        <w:t> </w:t>
      </w:r>
      <w:r>
        <w:rPr>
          <w:color w:val="231F20"/>
        </w:rPr>
        <w:t>del</w:t>
      </w:r>
      <w:r>
        <w:rPr>
          <w:color w:val="231F20"/>
          <w:spacing w:val="-7"/>
        </w:rPr>
        <w:t> </w:t>
      </w:r>
      <w:r>
        <w:rPr>
          <w:color w:val="231F20"/>
        </w:rPr>
        <w:t>tipo de tierras que necesitan estas empresas agroindustriales para llevar a cabo sus explotaciones agrícolas intensivas y depredadoras de recursos. En la actualidad las empresas siguen su avance sobre las tierras cultivables, que cumplan</w:t>
      </w:r>
      <w:r>
        <w:rPr>
          <w:color w:val="231F20"/>
          <w:spacing w:val="-11"/>
        </w:rPr>
        <w:t> </w:t>
      </w:r>
      <w:r>
        <w:rPr>
          <w:color w:val="231F20"/>
        </w:rPr>
        <w:t>con</w:t>
      </w:r>
      <w:r>
        <w:rPr>
          <w:color w:val="231F20"/>
          <w:spacing w:val="-10"/>
        </w:rPr>
        <w:t> </w:t>
      </w:r>
      <w:r>
        <w:rPr>
          <w:color w:val="231F20"/>
        </w:rPr>
        <w:t>los</w:t>
      </w:r>
      <w:r>
        <w:rPr>
          <w:color w:val="231F20"/>
          <w:spacing w:val="-11"/>
        </w:rPr>
        <w:t> </w:t>
      </w:r>
      <w:r>
        <w:rPr>
          <w:color w:val="231F20"/>
        </w:rPr>
        <w:t>requisitos</w:t>
      </w:r>
      <w:r>
        <w:rPr>
          <w:color w:val="231F20"/>
          <w:spacing w:val="-10"/>
        </w:rPr>
        <w:t> </w:t>
      </w:r>
      <w:r>
        <w:rPr>
          <w:color w:val="231F20"/>
        </w:rPr>
        <w:t>antes</w:t>
      </w:r>
      <w:r>
        <w:rPr>
          <w:color w:val="231F20"/>
          <w:spacing w:val="-11"/>
        </w:rPr>
        <w:t> </w:t>
      </w:r>
      <w:r>
        <w:rPr>
          <w:color w:val="231F20"/>
        </w:rPr>
        <w:t>mencionados,</w:t>
      </w:r>
      <w:r>
        <w:rPr>
          <w:color w:val="231F20"/>
          <w:spacing w:val="-11"/>
        </w:rPr>
        <w:t> </w:t>
      </w:r>
      <w:r>
        <w:rPr>
          <w:color w:val="231F20"/>
        </w:rPr>
        <w:t>a</w:t>
      </w:r>
      <w:r>
        <w:rPr>
          <w:color w:val="231F20"/>
          <w:spacing w:val="-11"/>
        </w:rPr>
        <w:t> </w:t>
      </w:r>
      <w:r>
        <w:rPr>
          <w:color w:val="231F20"/>
        </w:rPr>
        <w:t>lo</w:t>
      </w:r>
      <w:r>
        <w:rPr>
          <w:color w:val="231F20"/>
          <w:spacing w:val="-10"/>
        </w:rPr>
        <w:t> </w:t>
      </w:r>
      <w:r>
        <w:rPr>
          <w:color w:val="231F20"/>
        </w:rPr>
        <w:t>largo</w:t>
      </w:r>
      <w:r>
        <w:rPr>
          <w:color w:val="231F20"/>
          <w:spacing w:val="-10"/>
        </w:rPr>
        <w:t> </w:t>
      </w:r>
      <w:r>
        <w:rPr>
          <w:color w:val="231F20"/>
        </w:rPr>
        <w:t>y</w:t>
      </w:r>
      <w:r>
        <w:rPr>
          <w:color w:val="231F20"/>
          <w:spacing w:val="-10"/>
        </w:rPr>
        <w:t> </w:t>
      </w:r>
      <w:r>
        <w:rPr>
          <w:color w:val="231F20"/>
        </w:rPr>
        <w:t>ancho</w:t>
      </w:r>
      <w:r>
        <w:rPr>
          <w:color w:val="231F20"/>
          <w:spacing w:val="-11"/>
        </w:rPr>
        <w:t> </w:t>
      </w:r>
      <w:r>
        <w:rPr>
          <w:color w:val="231F20"/>
        </w:rPr>
        <w:t>del</w:t>
      </w:r>
      <w:r>
        <w:rPr>
          <w:color w:val="231F20"/>
          <w:spacing w:val="-14"/>
        </w:rPr>
        <w:t> </w:t>
      </w:r>
      <w:r>
        <w:rPr>
          <w:color w:val="231F20"/>
          <w:spacing w:val="-5"/>
        </w:rPr>
        <w:t>Valle. </w:t>
      </w:r>
      <w:r>
        <w:rPr>
          <w:color w:val="231F20"/>
        </w:rPr>
        <w:t>Antes el núcleo principal donde se producían las fresas eran las tierras de la cabecera municipal de</w:t>
      </w:r>
      <w:r>
        <w:rPr>
          <w:color w:val="231F20"/>
          <w:spacing w:val="-23"/>
        </w:rPr>
        <w:t> </w:t>
      </w:r>
      <w:r>
        <w:rPr>
          <w:color w:val="231F20"/>
        </w:rPr>
        <w:t>Tangancícuaro.</w:t>
      </w:r>
    </w:p>
    <w:p>
      <w:pPr>
        <w:pStyle w:val="BodyText"/>
        <w:spacing w:line="247" w:lineRule="auto"/>
        <w:ind w:left="117" w:right="114" w:firstLine="283"/>
        <w:jc w:val="both"/>
      </w:pPr>
      <w:r>
        <w:rPr>
          <w:color w:val="231F20"/>
        </w:rPr>
        <w:t>La consecuencia directa del avance de cultivos no tradicionales, res- pecto a los que históricamente se cultivaban en el Valle, está propiciando el abandono de los cultivos tradicionales (trigo, maíz y frijol) y muy posi- blemente desaparezcan de la producción agrícola del Valle en un mediano</w:t>
      </w:r>
    </w:p>
    <w:p>
      <w:pPr>
        <w:spacing w:after="0" w:line="247" w:lineRule="auto"/>
        <w:jc w:val="both"/>
        <w:sectPr>
          <w:pgSz w:w="9360" w:h="13040"/>
          <w:pgMar w:header="0" w:footer="496" w:top="800" w:bottom="680" w:left="1300" w:right="1300"/>
        </w:sectPr>
      </w:pPr>
    </w:p>
    <w:p>
      <w:pPr>
        <w:spacing w:before="45"/>
        <w:ind w:left="103" w:right="0" w:firstLine="1336"/>
        <w:jc w:val="left"/>
        <w:rPr>
          <w:rFonts w:ascii="Arial" w:hAnsi="Arial"/>
          <w:sz w:val="20"/>
        </w:rPr>
      </w:pPr>
      <w:r>
        <w:rPr>
          <w:rFonts w:ascii="Arial" w:hAnsi="Arial"/>
          <w:color w:val="231F20"/>
          <w:w w:val="70"/>
          <w:sz w:val="20"/>
        </w:rPr>
        <w:t>Migración y cambio del espacio rural en el noreste michoacano /Iván Jiménez-Maya</w:t>
      </w:r>
    </w:p>
    <w:p>
      <w:pPr>
        <w:pStyle w:val="BodyText"/>
        <w:spacing w:before="7"/>
        <w:rPr>
          <w:rFonts w:ascii="Arial"/>
          <w:sz w:val="28"/>
        </w:rPr>
      </w:pPr>
    </w:p>
    <w:p>
      <w:pPr>
        <w:pStyle w:val="BodyText"/>
        <w:spacing w:line="247" w:lineRule="auto"/>
        <w:ind w:left="103" w:right="129"/>
        <w:jc w:val="both"/>
      </w:pPr>
      <w:r>
        <w:rPr>
          <w:color w:val="231F20"/>
        </w:rPr>
        <w:t>plazo y sólo queden los cultivos de alto valor agregado, que en muchos de los casos son de exportación: las fresas, las frambuesas, las moras azules, el brócoli y otras hortalizas. Lo anterior representa un futuro incierto para las poblaciones que conforman el Valle de Tangancícuaro respecto a la cantidad de habitantes en las comunidades y con la entrada de las agroin- dustrias la depredación de los recursos del Valle.</w:t>
      </w:r>
    </w:p>
    <w:p>
      <w:pPr>
        <w:pStyle w:val="BodyText"/>
        <w:spacing w:before="6"/>
      </w:pPr>
    </w:p>
    <w:p>
      <w:pPr>
        <w:pStyle w:val="Heading3"/>
        <w:spacing w:before="0"/>
        <w:ind w:left="103"/>
      </w:pPr>
      <w:r>
        <w:rPr>
          <w:color w:val="231F20"/>
        </w:rPr>
        <w:t>Bibliografía</w:t>
      </w:r>
    </w:p>
    <w:p>
      <w:pPr>
        <w:pStyle w:val="BodyText"/>
        <w:spacing w:before="3"/>
        <w:rPr>
          <w:b/>
          <w:sz w:val="33"/>
        </w:rPr>
      </w:pPr>
    </w:p>
    <w:p>
      <w:pPr>
        <w:spacing w:line="210" w:lineRule="exact" w:before="0"/>
        <w:ind w:left="117" w:right="129" w:firstLine="0"/>
        <w:jc w:val="both"/>
        <w:rPr>
          <w:sz w:val="20"/>
        </w:rPr>
      </w:pPr>
      <w:r>
        <w:rPr>
          <w:color w:val="231F20"/>
          <w:sz w:val="20"/>
        </w:rPr>
        <w:t>ARAGONÉS CASTAÑER, Ana María, 2005, </w:t>
      </w:r>
      <w:r>
        <w:rPr>
          <w:i/>
          <w:color w:val="231F20"/>
          <w:sz w:val="20"/>
        </w:rPr>
        <w:t>Nuevos mercados de trabajo y la </w:t>
      </w:r>
      <w:r>
        <w:rPr>
          <w:i/>
          <w:color w:val="231F20"/>
          <w:sz w:val="20"/>
        </w:rPr>
        <w:t>migración mexicana en la Península de Delmarva 1990-200</w:t>
      </w:r>
      <w:r>
        <w:rPr>
          <w:color w:val="231F20"/>
          <w:sz w:val="20"/>
        </w:rPr>
        <w:t>, en Ana María Ara- gonés Castañer, Aída Villalobos y María Teresa Correa, 2005, </w:t>
      </w:r>
      <w:r>
        <w:rPr>
          <w:i/>
          <w:color w:val="231F20"/>
          <w:sz w:val="20"/>
        </w:rPr>
        <w:t>Análisis y pers- </w:t>
      </w:r>
      <w:r>
        <w:rPr>
          <w:i/>
          <w:color w:val="231F20"/>
          <w:sz w:val="20"/>
        </w:rPr>
        <w:t>pectivas de la globalización. Un debate teórico II</w:t>
      </w:r>
      <w:r>
        <w:rPr>
          <w:color w:val="231F20"/>
          <w:sz w:val="20"/>
        </w:rPr>
        <w:t>, UNAM/FES Acatlán, Plaza y Valdés, México.</w:t>
      </w:r>
    </w:p>
    <w:p>
      <w:pPr>
        <w:spacing w:line="210" w:lineRule="exact" w:before="113"/>
        <w:ind w:left="117" w:right="129" w:firstLine="0"/>
        <w:jc w:val="both"/>
        <w:rPr>
          <w:sz w:val="20"/>
        </w:rPr>
      </w:pPr>
      <w:r>
        <w:rPr>
          <w:color w:val="231F20"/>
          <w:sz w:val="20"/>
        </w:rPr>
        <w:t>CALLEJA PINEDO, Margarita, 1986, “Zamora: la formación de la burguesía”, en Carlos Herrejón Peredo, 1986, </w:t>
      </w:r>
      <w:r>
        <w:rPr>
          <w:i/>
          <w:color w:val="231F20"/>
          <w:sz w:val="20"/>
        </w:rPr>
        <w:t>Estudios Michoacanos I</w:t>
      </w:r>
      <w:r>
        <w:rPr>
          <w:color w:val="231F20"/>
          <w:sz w:val="20"/>
        </w:rPr>
        <w:t>, El Colegio de Mi- choacán, Zamora, México.</w:t>
      </w:r>
    </w:p>
    <w:p>
      <w:pPr>
        <w:spacing w:line="210" w:lineRule="exact" w:before="113"/>
        <w:ind w:left="117" w:right="129" w:firstLine="0"/>
        <w:jc w:val="both"/>
        <w:rPr>
          <w:sz w:val="20"/>
        </w:rPr>
      </w:pPr>
      <w:r>
        <w:rPr>
          <w:color w:val="231F20"/>
          <w:sz w:val="20"/>
        </w:rPr>
        <w:t>CARDOSO,</w:t>
      </w:r>
      <w:r>
        <w:rPr>
          <w:color w:val="231F20"/>
          <w:spacing w:val="-10"/>
          <w:sz w:val="20"/>
        </w:rPr>
        <w:t> </w:t>
      </w:r>
      <w:r>
        <w:rPr>
          <w:color w:val="231F20"/>
          <w:sz w:val="20"/>
        </w:rPr>
        <w:t>Víctor,</w:t>
      </w:r>
      <w:r>
        <w:rPr>
          <w:color w:val="231F20"/>
          <w:spacing w:val="-6"/>
          <w:sz w:val="20"/>
        </w:rPr>
        <w:t> </w:t>
      </w:r>
      <w:r>
        <w:rPr>
          <w:color w:val="231F20"/>
          <w:sz w:val="20"/>
        </w:rPr>
        <w:t>2010,</w:t>
      </w:r>
      <w:r>
        <w:rPr>
          <w:color w:val="231F20"/>
          <w:spacing w:val="-6"/>
          <w:sz w:val="20"/>
        </w:rPr>
        <w:t> </w:t>
      </w:r>
      <w:r>
        <w:rPr>
          <w:color w:val="231F20"/>
          <w:sz w:val="20"/>
        </w:rPr>
        <w:t>“Falta</w:t>
      </w:r>
      <w:r>
        <w:rPr>
          <w:color w:val="231F20"/>
          <w:spacing w:val="-6"/>
          <w:sz w:val="20"/>
        </w:rPr>
        <w:t> </w:t>
      </w:r>
      <w:r>
        <w:rPr>
          <w:color w:val="231F20"/>
          <w:sz w:val="20"/>
        </w:rPr>
        <w:t>de</w:t>
      </w:r>
      <w:r>
        <w:rPr>
          <w:color w:val="231F20"/>
          <w:spacing w:val="-6"/>
          <w:sz w:val="20"/>
        </w:rPr>
        <w:t> </w:t>
      </w:r>
      <w:r>
        <w:rPr>
          <w:color w:val="231F20"/>
          <w:sz w:val="20"/>
        </w:rPr>
        <w:t>oportunidades</w:t>
      </w:r>
      <w:r>
        <w:rPr>
          <w:color w:val="231F20"/>
          <w:spacing w:val="-6"/>
          <w:sz w:val="20"/>
        </w:rPr>
        <w:t> </w:t>
      </w:r>
      <w:r>
        <w:rPr>
          <w:color w:val="231F20"/>
          <w:sz w:val="20"/>
        </w:rPr>
        <w:t>expulsa</w:t>
      </w:r>
      <w:r>
        <w:rPr>
          <w:color w:val="231F20"/>
          <w:spacing w:val="-6"/>
          <w:sz w:val="20"/>
        </w:rPr>
        <w:t> </w:t>
      </w:r>
      <w:r>
        <w:rPr>
          <w:color w:val="231F20"/>
          <w:sz w:val="20"/>
        </w:rPr>
        <w:t>del</w:t>
      </w:r>
      <w:r>
        <w:rPr>
          <w:color w:val="231F20"/>
          <w:spacing w:val="-6"/>
          <w:sz w:val="20"/>
        </w:rPr>
        <w:t> </w:t>
      </w:r>
      <w:r>
        <w:rPr>
          <w:color w:val="231F20"/>
          <w:sz w:val="20"/>
        </w:rPr>
        <w:t>país</w:t>
      </w:r>
      <w:r>
        <w:rPr>
          <w:color w:val="231F20"/>
          <w:spacing w:val="-6"/>
          <w:sz w:val="20"/>
        </w:rPr>
        <w:t> </w:t>
      </w:r>
      <w:r>
        <w:rPr>
          <w:color w:val="231F20"/>
          <w:sz w:val="20"/>
        </w:rPr>
        <w:t>a</w:t>
      </w:r>
      <w:r>
        <w:rPr>
          <w:color w:val="231F20"/>
          <w:spacing w:val="-6"/>
          <w:sz w:val="20"/>
        </w:rPr>
        <w:t> </w:t>
      </w:r>
      <w:r>
        <w:rPr>
          <w:color w:val="231F20"/>
          <w:sz w:val="20"/>
        </w:rPr>
        <w:t>1</w:t>
      </w:r>
      <w:r>
        <w:rPr>
          <w:color w:val="231F20"/>
          <w:spacing w:val="-6"/>
          <w:sz w:val="20"/>
        </w:rPr>
        <w:t> </w:t>
      </w:r>
      <w:r>
        <w:rPr>
          <w:color w:val="231F20"/>
          <w:sz w:val="20"/>
        </w:rPr>
        <w:t>465</w:t>
      </w:r>
      <w:r>
        <w:rPr>
          <w:color w:val="231F20"/>
          <w:spacing w:val="-6"/>
          <w:sz w:val="20"/>
        </w:rPr>
        <w:t> </w:t>
      </w:r>
      <w:r>
        <w:rPr>
          <w:color w:val="231F20"/>
          <w:sz w:val="20"/>
        </w:rPr>
        <w:t>mexi- canos al día”, en </w:t>
      </w:r>
      <w:r>
        <w:rPr>
          <w:i/>
          <w:color w:val="231F20"/>
          <w:sz w:val="20"/>
        </w:rPr>
        <w:t>La Jornada</w:t>
      </w:r>
      <w:r>
        <w:rPr>
          <w:color w:val="231F20"/>
          <w:sz w:val="20"/>
        </w:rPr>
        <w:t>, sección Economía, abril 19, pp. 27,</w:t>
      </w:r>
      <w:r>
        <w:rPr>
          <w:color w:val="231F20"/>
          <w:spacing w:val="-4"/>
          <w:sz w:val="20"/>
        </w:rPr>
        <w:t> </w:t>
      </w:r>
      <w:r>
        <w:rPr>
          <w:color w:val="231F20"/>
          <w:sz w:val="20"/>
        </w:rPr>
        <w:t>México.</w:t>
      </w:r>
    </w:p>
    <w:p>
      <w:pPr>
        <w:spacing w:line="210" w:lineRule="exact" w:before="113"/>
        <w:ind w:left="117" w:right="129" w:firstLine="0"/>
        <w:jc w:val="both"/>
        <w:rPr>
          <w:sz w:val="20"/>
        </w:rPr>
      </w:pPr>
      <w:r>
        <w:rPr>
          <w:color w:val="231F20"/>
          <w:sz w:val="20"/>
        </w:rPr>
        <w:t>CASA, 2001, </w:t>
      </w:r>
      <w:r>
        <w:rPr>
          <w:i/>
          <w:color w:val="231F20"/>
          <w:sz w:val="20"/>
        </w:rPr>
        <w:t>Reformas en la política en el sector agropecuario</w:t>
      </w:r>
      <w:r>
        <w:rPr>
          <w:color w:val="231F20"/>
          <w:sz w:val="20"/>
        </w:rPr>
        <w:t>, Resumen ejecu- tivo</w:t>
      </w:r>
      <w:r>
        <w:rPr>
          <w:i/>
          <w:color w:val="231F20"/>
          <w:sz w:val="20"/>
        </w:rPr>
        <w:t>,</w:t>
      </w:r>
      <w:r>
        <w:rPr>
          <w:i/>
          <w:color w:val="231F20"/>
          <w:spacing w:val="-12"/>
          <w:sz w:val="20"/>
        </w:rPr>
        <w:t> </w:t>
      </w:r>
      <w:r>
        <w:rPr>
          <w:color w:val="231F20"/>
          <w:sz w:val="20"/>
        </w:rPr>
        <w:t>Documento</w:t>
      </w:r>
      <w:r>
        <w:rPr>
          <w:color w:val="231F20"/>
          <w:spacing w:val="-12"/>
          <w:sz w:val="20"/>
        </w:rPr>
        <w:t> </w:t>
      </w:r>
      <w:r>
        <w:rPr>
          <w:color w:val="231F20"/>
          <w:sz w:val="20"/>
        </w:rPr>
        <w:t>elaborado</w:t>
      </w:r>
      <w:r>
        <w:rPr>
          <w:color w:val="231F20"/>
          <w:spacing w:val="-13"/>
          <w:sz w:val="20"/>
        </w:rPr>
        <w:t> </w:t>
      </w:r>
      <w:r>
        <w:rPr>
          <w:color w:val="231F20"/>
          <w:sz w:val="20"/>
        </w:rPr>
        <w:t>por</w:t>
      </w:r>
      <w:r>
        <w:rPr>
          <w:color w:val="231F20"/>
          <w:spacing w:val="-12"/>
          <w:sz w:val="20"/>
        </w:rPr>
        <w:t> </w:t>
      </w:r>
      <w:r>
        <w:rPr>
          <w:color w:val="231F20"/>
          <w:sz w:val="20"/>
        </w:rPr>
        <w:t>el</w:t>
      </w:r>
      <w:r>
        <w:rPr>
          <w:color w:val="231F20"/>
          <w:spacing w:val="-12"/>
          <w:sz w:val="20"/>
        </w:rPr>
        <w:t> </w:t>
      </w:r>
      <w:r>
        <w:rPr>
          <w:color w:val="231F20"/>
          <w:sz w:val="20"/>
        </w:rPr>
        <w:t>Comité</w:t>
      </w:r>
      <w:r>
        <w:rPr>
          <w:color w:val="231F20"/>
          <w:spacing w:val="-12"/>
          <w:sz w:val="20"/>
        </w:rPr>
        <w:t> </w:t>
      </w:r>
      <w:r>
        <w:rPr>
          <w:color w:val="231F20"/>
          <w:sz w:val="20"/>
        </w:rPr>
        <w:t>Coordinador</w:t>
      </w:r>
      <w:r>
        <w:rPr>
          <w:color w:val="231F20"/>
          <w:spacing w:val="-12"/>
          <w:sz w:val="20"/>
        </w:rPr>
        <w:t> </w:t>
      </w:r>
      <w:r>
        <w:rPr>
          <w:color w:val="231F20"/>
          <w:sz w:val="20"/>
        </w:rPr>
        <w:t>de</w:t>
      </w:r>
      <w:r>
        <w:rPr>
          <w:color w:val="231F20"/>
          <w:spacing w:val="-12"/>
          <w:sz w:val="20"/>
        </w:rPr>
        <w:t> </w:t>
      </w:r>
      <w:r>
        <w:rPr>
          <w:color w:val="231F20"/>
          <w:sz w:val="20"/>
        </w:rPr>
        <w:t>Citizen’s</w:t>
      </w:r>
      <w:r>
        <w:rPr>
          <w:color w:val="231F20"/>
          <w:spacing w:val="-22"/>
          <w:sz w:val="20"/>
        </w:rPr>
        <w:t> </w:t>
      </w:r>
      <w:r>
        <w:rPr>
          <w:color w:val="231F20"/>
          <w:sz w:val="20"/>
        </w:rPr>
        <w:t>Assessment</w:t>
      </w:r>
      <w:r>
        <w:rPr>
          <w:color w:val="231F20"/>
          <w:spacing w:val="-12"/>
          <w:sz w:val="20"/>
        </w:rPr>
        <w:t> </w:t>
      </w:r>
      <w:r>
        <w:rPr>
          <w:color w:val="231F20"/>
          <w:sz w:val="20"/>
        </w:rPr>
        <w:t>of Structural Adjustment (CASA/SAPRIN),</w:t>
      </w:r>
      <w:r>
        <w:rPr>
          <w:color w:val="231F20"/>
          <w:spacing w:val="-12"/>
          <w:sz w:val="20"/>
        </w:rPr>
        <w:t> </w:t>
      </w:r>
      <w:r>
        <w:rPr>
          <w:color w:val="231F20"/>
          <w:sz w:val="20"/>
        </w:rPr>
        <w:t>México.</w:t>
      </w:r>
    </w:p>
    <w:p>
      <w:pPr>
        <w:spacing w:line="210" w:lineRule="exact" w:before="113"/>
        <w:ind w:left="117" w:right="129" w:firstLine="0"/>
        <w:jc w:val="both"/>
        <w:rPr>
          <w:sz w:val="20"/>
        </w:rPr>
      </w:pPr>
      <w:r>
        <w:rPr>
          <w:color w:val="231F20"/>
          <w:sz w:val="20"/>
        </w:rPr>
        <w:t>DURAND ALCÁNTARA, Carlos Humberto, 2002, </w:t>
      </w:r>
      <w:r>
        <w:rPr>
          <w:i/>
          <w:color w:val="231F20"/>
          <w:sz w:val="20"/>
        </w:rPr>
        <w:t>El derecho agrario y el pro- </w:t>
      </w:r>
      <w:r>
        <w:rPr>
          <w:i/>
          <w:color w:val="231F20"/>
          <w:sz w:val="20"/>
        </w:rPr>
        <w:t>blema agrario de México. Su proyección histórico-social</w:t>
      </w:r>
      <w:r>
        <w:rPr>
          <w:color w:val="231F20"/>
          <w:sz w:val="20"/>
        </w:rPr>
        <w:t>, Porrúa, México.</w:t>
      </w:r>
    </w:p>
    <w:p>
      <w:pPr>
        <w:spacing w:line="210" w:lineRule="exact" w:before="113"/>
        <w:ind w:left="117" w:right="129" w:firstLine="0"/>
        <w:jc w:val="both"/>
        <w:rPr>
          <w:sz w:val="20"/>
        </w:rPr>
      </w:pPr>
      <w:r>
        <w:rPr>
          <w:color w:val="231F20"/>
          <w:sz w:val="20"/>
        </w:rPr>
        <w:t>DUSSEL PETERS, Enrique, 2003, “La polarización de la economía mexicana: aspectos económicos y regionales”, en John Bailey (comp.), </w:t>
      </w:r>
      <w:r>
        <w:rPr>
          <w:i/>
          <w:color w:val="231F20"/>
          <w:sz w:val="20"/>
        </w:rPr>
        <w:t>Impactos del TLC  </w:t>
      </w:r>
      <w:r>
        <w:rPr>
          <w:i/>
          <w:color w:val="231F20"/>
          <w:sz w:val="20"/>
        </w:rPr>
        <w:t>en</w:t>
      </w:r>
      <w:r>
        <w:rPr>
          <w:i/>
          <w:color w:val="231F20"/>
          <w:spacing w:val="-6"/>
          <w:sz w:val="20"/>
        </w:rPr>
        <w:t> </w:t>
      </w:r>
      <w:r>
        <w:rPr>
          <w:i/>
          <w:color w:val="231F20"/>
          <w:sz w:val="20"/>
        </w:rPr>
        <w:t>México</w:t>
      </w:r>
      <w:r>
        <w:rPr>
          <w:i/>
          <w:color w:val="231F20"/>
          <w:spacing w:val="-6"/>
          <w:sz w:val="20"/>
        </w:rPr>
        <w:t> </w:t>
      </w:r>
      <w:r>
        <w:rPr>
          <w:i/>
          <w:color w:val="231F20"/>
          <w:sz w:val="20"/>
        </w:rPr>
        <w:t>y</w:t>
      </w:r>
      <w:r>
        <w:rPr>
          <w:i/>
          <w:color w:val="231F20"/>
          <w:spacing w:val="-6"/>
          <w:sz w:val="20"/>
        </w:rPr>
        <w:t> </w:t>
      </w:r>
      <w:r>
        <w:rPr>
          <w:i/>
          <w:color w:val="231F20"/>
          <w:sz w:val="20"/>
        </w:rPr>
        <w:t>Estados</w:t>
      </w:r>
      <w:r>
        <w:rPr>
          <w:i/>
          <w:color w:val="231F20"/>
          <w:spacing w:val="-6"/>
          <w:sz w:val="20"/>
        </w:rPr>
        <w:t> </w:t>
      </w:r>
      <w:r>
        <w:rPr>
          <w:i/>
          <w:color w:val="231F20"/>
          <w:sz w:val="20"/>
        </w:rPr>
        <w:t>Unidos.</w:t>
      </w:r>
      <w:r>
        <w:rPr>
          <w:i/>
          <w:color w:val="231F20"/>
          <w:spacing w:val="-5"/>
          <w:sz w:val="20"/>
        </w:rPr>
        <w:t> </w:t>
      </w:r>
      <w:r>
        <w:rPr>
          <w:i/>
          <w:color w:val="231F20"/>
          <w:sz w:val="20"/>
        </w:rPr>
        <w:t>Efectos</w:t>
      </w:r>
      <w:r>
        <w:rPr>
          <w:i/>
          <w:color w:val="231F20"/>
          <w:spacing w:val="-6"/>
          <w:sz w:val="20"/>
        </w:rPr>
        <w:t> </w:t>
      </w:r>
      <w:r>
        <w:rPr>
          <w:i/>
          <w:color w:val="231F20"/>
          <w:sz w:val="20"/>
        </w:rPr>
        <w:t>subregionales</w:t>
      </w:r>
      <w:r>
        <w:rPr>
          <w:i/>
          <w:color w:val="231F20"/>
          <w:spacing w:val="-6"/>
          <w:sz w:val="20"/>
        </w:rPr>
        <w:t> </w:t>
      </w:r>
      <w:r>
        <w:rPr>
          <w:i/>
          <w:color w:val="231F20"/>
          <w:sz w:val="20"/>
        </w:rPr>
        <w:t>del</w:t>
      </w:r>
      <w:r>
        <w:rPr>
          <w:i/>
          <w:color w:val="231F20"/>
          <w:spacing w:val="-6"/>
          <w:sz w:val="20"/>
        </w:rPr>
        <w:t> </w:t>
      </w:r>
      <w:r>
        <w:rPr>
          <w:i/>
          <w:color w:val="231F20"/>
          <w:sz w:val="20"/>
        </w:rPr>
        <w:t>comercio</w:t>
      </w:r>
      <w:r>
        <w:rPr>
          <w:i/>
          <w:color w:val="231F20"/>
          <w:spacing w:val="-6"/>
          <w:sz w:val="20"/>
        </w:rPr>
        <w:t> </w:t>
      </w:r>
      <w:r>
        <w:rPr>
          <w:i/>
          <w:color w:val="231F20"/>
          <w:sz w:val="20"/>
        </w:rPr>
        <w:t>y</w:t>
      </w:r>
      <w:r>
        <w:rPr>
          <w:i/>
          <w:color w:val="231F20"/>
          <w:spacing w:val="-5"/>
          <w:sz w:val="20"/>
        </w:rPr>
        <w:t> </w:t>
      </w:r>
      <w:r>
        <w:rPr>
          <w:i/>
          <w:color w:val="231F20"/>
          <w:sz w:val="20"/>
        </w:rPr>
        <w:t>la</w:t>
      </w:r>
      <w:r>
        <w:rPr>
          <w:i/>
          <w:color w:val="231F20"/>
          <w:spacing w:val="-6"/>
          <w:sz w:val="20"/>
        </w:rPr>
        <w:t> </w:t>
      </w:r>
      <w:r>
        <w:rPr>
          <w:i/>
          <w:color w:val="231F20"/>
          <w:sz w:val="20"/>
        </w:rPr>
        <w:t>integración económica</w:t>
      </w:r>
      <w:r>
        <w:rPr>
          <w:color w:val="231F20"/>
          <w:sz w:val="20"/>
        </w:rPr>
        <w:t>, Facultad Latinoamericana de Ciencias Sociales México, Georgetown University,</w:t>
      </w:r>
      <w:r>
        <w:rPr>
          <w:color w:val="231F20"/>
          <w:spacing w:val="-11"/>
          <w:sz w:val="20"/>
        </w:rPr>
        <w:t> </w:t>
      </w:r>
      <w:r>
        <w:rPr>
          <w:color w:val="231F20"/>
          <w:sz w:val="20"/>
        </w:rPr>
        <w:t>Miguel</w:t>
      </w:r>
      <w:r>
        <w:rPr>
          <w:color w:val="231F20"/>
          <w:spacing w:val="-11"/>
          <w:sz w:val="20"/>
        </w:rPr>
        <w:t> </w:t>
      </w:r>
      <w:r>
        <w:rPr>
          <w:color w:val="231F20"/>
          <w:sz w:val="20"/>
        </w:rPr>
        <w:t>Ángel</w:t>
      </w:r>
      <w:r>
        <w:rPr>
          <w:color w:val="231F20"/>
          <w:spacing w:val="-11"/>
          <w:sz w:val="20"/>
        </w:rPr>
        <w:t> </w:t>
      </w:r>
      <w:r>
        <w:rPr>
          <w:color w:val="231F20"/>
          <w:sz w:val="20"/>
        </w:rPr>
        <w:t>Porrúa,</w:t>
      </w:r>
      <w:r>
        <w:rPr>
          <w:color w:val="231F20"/>
          <w:spacing w:val="-11"/>
          <w:sz w:val="20"/>
        </w:rPr>
        <w:t> </w:t>
      </w:r>
      <w:r>
        <w:rPr>
          <w:color w:val="231F20"/>
          <w:sz w:val="20"/>
        </w:rPr>
        <w:t>México.</w:t>
      </w:r>
    </w:p>
    <w:p>
      <w:pPr>
        <w:spacing w:before="94"/>
        <w:ind w:left="117" w:right="0" w:firstLine="0"/>
        <w:jc w:val="both"/>
        <w:rPr>
          <w:sz w:val="20"/>
        </w:rPr>
      </w:pPr>
      <w:r>
        <w:rPr>
          <w:color w:val="231F20"/>
          <w:sz w:val="20"/>
        </w:rPr>
        <w:t>HARVEY, David, 2003, </w:t>
      </w:r>
      <w:r>
        <w:rPr>
          <w:i/>
          <w:color w:val="231F20"/>
          <w:sz w:val="20"/>
        </w:rPr>
        <w:t>Espacios de esperanza</w:t>
      </w:r>
      <w:r>
        <w:rPr>
          <w:color w:val="231F20"/>
          <w:sz w:val="20"/>
        </w:rPr>
        <w:t>, Akal, Madrid, España.</w:t>
      </w:r>
    </w:p>
    <w:p>
      <w:pPr>
        <w:spacing w:line="210" w:lineRule="exact" w:before="112"/>
        <w:ind w:left="117" w:right="129" w:firstLine="0"/>
        <w:jc w:val="both"/>
        <w:rPr>
          <w:sz w:val="20"/>
        </w:rPr>
      </w:pPr>
      <w:r>
        <w:rPr>
          <w:color w:val="231F20"/>
          <w:spacing w:val="-7"/>
          <w:sz w:val="20"/>
        </w:rPr>
        <w:t>HARVEY, </w:t>
      </w:r>
      <w:r>
        <w:rPr>
          <w:color w:val="231F20"/>
          <w:sz w:val="20"/>
        </w:rPr>
        <w:t>David, 2007, </w:t>
      </w:r>
      <w:r>
        <w:rPr>
          <w:i/>
          <w:color w:val="231F20"/>
          <w:sz w:val="20"/>
        </w:rPr>
        <w:t>Espacios del Capital. Hacia una geografía crítica</w:t>
      </w:r>
      <w:r>
        <w:rPr>
          <w:color w:val="231F20"/>
          <w:sz w:val="20"/>
        </w:rPr>
        <w:t>, Akal, España.</w:t>
      </w:r>
    </w:p>
    <w:p>
      <w:pPr>
        <w:spacing w:line="210" w:lineRule="exact" w:before="113"/>
        <w:ind w:left="117" w:right="129" w:firstLine="0"/>
        <w:jc w:val="both"/>
        <w:rPr>
          <w:sz w:val="20"/>
        </w:rPr>
      </w:pPr>
      <w:r>
        <w:rPr>
          <w:color w:val="231F20"/>
          <w:sz w:val="20"/>
        </w:rPr>
        <w:t>LEFEBVRE, Henri, 1978, </w:t>
      </w:r>
      <w:r>
        <w:rPr>
          <w:i/>
          <w:color w:val="231F20"/>
          <w:sz w:val="20"/>
        </w:rPr>
        <w:t>De lo rural a lo urbano</w:t>
      </w:r>
      <w:r>
        <w:rPr>
          <w:color w:val="231F20"/>
          <w:sz w:val="20"/>
        </w:rPr>
        <w:t>, Península, Barcelona, Histo- ria/Ciencia/ Sociedad 79.</w:t>
      </w:r>
    </w:p>
    <w:p>
      <w:pPr>
        <w:spacing w:line="210" w:lineRule="exact" w:before="113"/>
        <w:ind w:left="117" w:right="129" w:firstLine="0"/>
        <w:jc w:val="both"/>
        <w:rPr>
          <w:sz w:val="20"/>
        </w:rPr>
      </w:pPr>
      <w:r>
        <w:rPr>
          <w:color w:val="231F20"/>
          <w:sz w:val="20"/>
        </w:rPr>
        <w:t>OCHOA</w:t>
      </w:r>
      <w:r>
        <w:rPr>
          <w:color w:val="231F20"/>
          <w:spacing w:val="-20"/>
          <w:sz w:val="20"/>
        </w:rPr>
        <w:t> </w:t>
      </w:r>
      <w:r>
        <w:rPr>
          <w:color w:val="231F20"/>
          <w:sz w:val="20"/>
        </w:rPr>
        <w:t>SERRANO,</w:t>
      </w:r>
      <w:r>
        <w:rPr>
          <w:color w:val="231F20"/>
          <w:spacing w:val="-9"/>
          <w:sz w:val="20"/>
        </w:rPr>
        <w:t> </w:t>
      </w:r>
      <w:r>
        <w:rPr>
          <w:color w:val="231F20"/>
          <w:sz w:val="20"/>
        </w:rPr>
        <w:t>Álvaro,</w:t>
      </w:r>
      <w:r>
        <w:rPr>
          <w:color w:val="231F20"/>
          <w:spacing w:val="-9"/>
          <w:sz w:val="20"/>
        </w:rPr>
        <w:t> </w:t>
      </w:r>
      <w:r>
        <w:rPr>
          <w:color w:val="231F20"/>
          <w:sz w:val="20"/>
        </w:rPr>
        <w:t>2003,</w:t>
      </w:r>
      <w:r>
        <w:rPr>
          <w:color w:val="231F20"/>
          <w:spacing w:val="-9"/>
          <w:sz w:val="20"/>
        </w:rPr>
        <w:t> </w:t>
      </w:r>
      <w:r>
        <w:rPr>
          <w:color w:val="231F20"/>
          <w:sz w:val="20"/>
        </w:rPr>
        <w:t>“Michoacanos</w:t>
      </w:r>
      <w:r>
        <w:rPr>
          <w:color w:val="231F20"/>
          <w:spacing w:val="-10"/>
          <w:sz w:val="20"/>
        </w:rPr>
        <w:t> </w:t>
      </w:r>
      <w:r>
        <w:rPr>
          <w:color w:val="231F20"/>
          <w:sz w:val="20"/>
        </w:rPr>
        <w:t>en</w:t>
      </w:r>
      <w:r>
        <w:rPr>
          <w:color w:val="231F20"/>
          <w:spacing w:val="-9"/>
          <w:sz w:val="20"/>
        </w:rPr>
        <w:t> </w:t>
      </w:r>
      <w:r>
        <w:rPr>
          <w:color w:val="231F20"/>
          <w:sz w:val="20"/>
        </w:rPr>
        <w:t>la</w:t>
      </w:r>
      <w:r>
        <w:rPr>
          <w:color w:val="231F20"/>
          <w:spacing w:val="-9"/>
          <w:sz w:val="20"/>
        </w:rPr>
        <w:t> </w:t>
      </w:r>
      <w:r>
        <w:rPr>
          <w:color w:val="231F20"/>
          <w:sz w:val="20"/>
        </w:rPr>
        <w:t>migra…</w:t>
      </w:r>
      <w:r>
        <w:rPr>
          <w:color w:val="231F20"/>
          <w:spacing w:val="-10"/>
          <w:sz w:val="20"/>
        </w:rPr>
        <w:t> </w:t>
      </w:r>
      <w:r>
        <w:rPr>
          <w:color w:val="231F20"/>
          <w:sz w:val="20"/>
        </w:rPr>
        <w:t>traqueteando</w:t>
      </w:r>
      <w:r>
        <w:rPr>
          <w:color w:val="231F20"/>
          <w:spacing w:val="-10"/>
          <w:sz w:val="20"/>
        </w:rPr>
        <w:t> </w:t>
      </w:r>
      <w:r>
        <w:rPr>
          <w:color w:val="231F20"/>
          <w:sz w:val="20"/>
        </w:rPr>
        <w:t>en California”, en López Castro, Gustavo (Editor), 2003, </w:t>
      </w:r>
      <w:r>
        <w:rPr>
          <w:i/>
          <w:color w:val="231F20"/>
          <w:sz w:val="20"/>
        </w:rPr>
        <w:t>Diáspora Michoacana</w:t>
      </w:r>
      <w:r>
        <w:rPr>
          <w:color w:val="231F20"/>
          <w:sz w:val="20"/>
        </w:rPr>
        <w:t>, El Colegio de Michoacán, Gobierno del Estado de Michoacán,</w:t>
      </w:r>
      <w:r>
        <w:rPr>
          <w:color w:val="231F20"/>
          <w:spacing w:val="-33"/>
          <w:sz w:val="20"/>
        </w:rPr>
        <w:t> </w:t>
      </w:r>
      <w:r>
        <w:rPr>
          <w:color w:val="231F20"/>
          <w:sz w:val="20"/>
        </w:rPr>
        <w:t>México.</w:t>
      </w:r>
    </w:p>
    <w:p>
      <w:pPr>
        <w:spacing w:line="210" w:lineRule="exact" w:before="113"/>
        <w:ind w:left="117" w:right="129" w:firstLine="0"/>
        <w:jc w:val="both"/>
        <w:rPr>
          <w:sz w:val="20"/>
        </w:rPr>
      </w:pPr>
      <w:r>
        <w:rPr>
          <w:color w:val="231F20"/>
          <w:sz w:val="20"/>
        </w:rPr>
        <w:t>PERALES SALVADOR, Arturo y Lorenzo Reyes Reyes, 2009, “La apertura co- mercial y el sector agroalimentario en México”, en Sandoval Palacios, Juan M. (Compilador), </w:t>
      </w:r>
      <w:r>
        <w:rPr>
          <w:i/>
          <w:color w:val="231F20"/>
          <w:sz w:val="20"/>
        </w:rPr>
        <w:t>TLCAN: Balance general e impactos subregionales y  sectoriales</w:t>
      </w:r>
      <w:r>
        <w:rPr>
          <w:color w:val="231F20"/>
          <w:sz w:val="20"/>
        </w:rPr>
        <w:t>,</w:t>
      </w:r>
    </w:p>
    <w:p>
      <w:pPr>
        <w:spacing w:after="0" w:line="210" w:lineRule="exact"/>
        <w:jc w:val="both"/>
        <w:rPr>
          <w:sz w:val="20"/>
        </w:rPr>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1"/>
      </w:pPr>
    </w:p>
    <w:p>
      <w:pPr>
        <w:spacing w:line="210" w:lineRule="exact" w:before="0"/>
        <w:ind w:left="117" w:right="115" w:firstLine="0"/>
        <w:jc w:val="both"/>
        <w:rPr>
          <w:sz w:val="20"/>
        </w:rPr>
      </w:pPr>
      <w:r>
        <w:rPr>
          <w:color w:val="231F20"/>
          <w:sz w:val="20"/>
        </w:rPr>
        <w:t>Red Mexicana de Acción frente al Libre Comercio, Universidad Autónoma de Chapingo, México.</w:t>
      </w:r>
    </w:p>
    <w:p>
      <w:pPr>
        <w:spacing w:line="210" w:lineRule="exact" w:before="113"/>
        <w:ind w:left="117" w:right="114" w:firstLine="0"/>
        <w:jc w:val="both"/>
        <w:rPr>
          <w:sz w:val="20"/>
        </w:rPr>
      </w:pPr>
      <w:r>
        <w:rPr>
          <w:color w:val="231F20"/>
          <w:sz w:val="20"/>
        </w:rPr>
        <w:t>PEÑALOZA</w:t>
      </w:r>
      <w:r>
        <w:rPr>
          <w:color w:val="231F20"/>
          <w:spacing w:val="-11"/>
          <w:sz w:val="20"/>
        </w:rPr>
        <w:t> </w:t>
      </w:r>
      <w:r>
        <w:rPr>
          <w:color w:val="231F20"/>
          <w:sz w:val="20"/>
        </w:rPr>
        <w:t>MÉNDEZ,</w:t>
      </w:r>
      <w:r>
        <w:rPr>
          <w:color w:val="231F20"/>
          <w:spacing w:val="-11"/>
          <w:sz w:val="20"/>
        </w:rPr>
        <w:t> </w:t>
      </w:r>
      <w:r>
        <w:rPr>
          <w:color w:val="231F20"/>
          <w:sz w:val="20"/>
        </w:rPr>
        <w:t>Andrés y</w:t>
      </w:r>
      <w:r>
        <w:rPr>
          <w:color w:val="231F20"/>
          <w:spacing w:val="-11"/>
          <w:sz w:val="20"/>
        </w:rPr>
        <w:t> </w:t>
      </w:r>
      <w:r>
        <w:rPr>
          <w:color w:val="231F20"/>
          <w:sz w:val="20"/>
        </w:rPr>
        <w:t>Alberto</w:t>
      </w:r>
      <w:r>
        <w:rPr>
          <w:color w:val="231F20"/>
          <w:spacing w:val="-11"/>
          <w:sz w:val="20"/>
        </w:rPr>
        <w:t> </w:t>
      </w:r>
      <w:r>
        <w:rPr>
          <w:color w:val="231F20"/>
          <w:sz w:val="20"/>
        </w:rPr>
        <w:t>Arroyo Picard, 1997, </w:t>
      </w:r>
      <w:r>
        <w:rPr>
          <w:i/>
          <w:color w:val="231F20"/>
          <w:sz w:val="20"/>
        </w:rPr>
        <w:t>Espejismo</w:t>
      </w:r>
      <w:r>
        <w:rPr>
          <w:i/>
          <w:color w:val="231F20"/>
          <w:spacing w:val="-1"/>
          <w:sz w:val="20"/>
        </w:rPr>
        <w:t> </w:t>
      </w:r>
      <w:r>
        <w:rPr>
          <w:i/>
          <w:color w:val="231F20"/>
          <w:sz w:val="20"/>
        </w:rPr>
        <w:t>y rea- </w:t>
      </w:r>
      <w:r>
        <w:rPr>
          <w:i/>
          <w:color w:val="231F20"/>
          <w:sz w:val="20"/>
        </w:rPr>
        <w:t>lidad:</w:t>
      </w:r>
      <w:r>
        <w:rPr>
          <w:i/>
          <w:color w:val="231F20"/>
          <w:spacing w:val="-5"/>
          <w:sz w:val="20"/>
        </w:rPr>
        <w:t> </w:t>
      </w:r>
      <w:r>
        <w:rPr>
          <w:i/>
          <w:color w:val="231F20"/>
          <w:sz w:val="20"/>
        </w:rPr>
        <w:t>El</w:t>
      </w:r>
      <w:r>
        <w:rPr>
          <w:i/>
          <w:color w:val="231F20"/>
          <w:spacing w:val="-5"/>
          <w:sz w:val="20"/>
        </w:rPr>
        <w:t> </w:t>
      </w:r>
      <w:r>
        <w:rPr>
          <w:i/>
          <w:color w:val="231F20"/>
          <w:sz w:val="20"/>
        </w:rPr>
        <w:t>TLCAN</w:t>
      </w:r>
      <w:r>
        <w:rPr>
          <w:i/>
          <w:color w:val="231F20"/>
          <w:spacing w:val="-5"/>
          <w:sz w:val="20"/>
        </w:rPr>
        <w:t> </w:t>
      </w:r>
      <w:r>
        <w:rPr>
          <w:i/>
          <w:color w:val="231F20"/>
          <w:sz w:val="20"/>
        </w:rPr>
        <w:t>tres</w:t>
      </w:r>
      <w:r>
        <w:rPr>
          <w:i/>
          <w:color w:val="231F20"/>
          <w:spacing w:val="-5"/>
          <w:sz w:val="20"/>
        </w:rPr>
        <w:t> </w:t>
      </w:r>
      <w:r>
        <w:rPr>
          <w:i/>
          <w:color w:val="231F20"/>
          <w:sz w:val="20"/>
        </w:rPr>
        <w:t>años</w:t>
      </w:r>
      <w:r>
        <w:rPr>
          <w:i/>
          <w:color w:val="231F20"/>
          <w:spacing w:val="-5"/>
          <w:sz w:val="20"/>
        </w:rPr>
        <w:t> </w:t>
      </w:r>
      <w:r>
        <w:rPr>
          <w:i/>
          <w:color w:val="231F20"/>
          <w:sz w:val="20"/>
        </w:rPr>
        <w:t>después.</w:t>
      </w:r>
      <w:r>
        <w:rPr>
          <w:i/>
          <w:color w:val="231F20"/>
          <w:spacing w:val="-7"/>
          <w:sz w:val="20"/>
        </w:rPr>
        <w:t> </w:t>
      </w:r>
      <w:r>
        <w:rPr>
          <w:i/>
          <w:color w:val="231F20"/>
          <w:sz w:val="20"/>
        </w:rPr>
        <w:t>Análisis</w:t>
      </w:r>
      <w:r>
        <w:rPr>
          <w:i/>
          <w:color w:val="231F20"/>
          <w:spacing w:val="-5"/>
          <w:sz w:val="20"/>
        </w:rPr>
        <w:t> </w:t>
      </w:r>
      <w:r>
        <w:rPr>
          <w:i/>
          <w:color w:val="231F20"/>
          <w:sz w:val="20"/>
        </w:rPr>
        <w:t>y</w:t>
      </w:r>
      <w:r>
        <w:rPr>
          <w:i/>
          <w:color w:val="231F20"/>
          <w:spacing w:val="-5"/>
          <w:sz w:val="20"/>
        </w:rPr>
        <w:t> </w:t>
      </w:r>
      <w:r>
        <w:rPr>
          <w:i/>
          <w:color w:val="231F20"/>
          <w:sz w:val="20"/>
        </w:rPr>
        <w:t>propuestas</w:t>
      </w:r>
      <w:r>
        <w:rPr>
          <w:i/>
          <w:color w:val="231F20"/>
          <w:spacing w:val="-5"/>
          <w:sz w:val="20"/>
        </w:rPr>
        <w:t> </w:t>
      </w:r>
      <w:r>
        <w:rPr>
          <w:i/>
          <w:color w:val="231F20"/>
          <w:sz w:val="20"/>
        </w:rPr>
        <w:t>desde</w:t>
      </w:r>
      <w:r>
        <w:rPr>
          <w:i/>
          <w:color w:val="231F20"/>
          <w:spacing w:val="-5"/>
          <w:sz w:val="20"/>
        </w:rPr>
        <w:t> </w:t>
      </w:r>
      <w:r>
        <w:rPr>
          <w:i/>
          <w:color w:val="231F20"/>
          <w:sz w:val="20"/>
        </w:rPr>
        <w:t>la</w:t>
      </w:r>
      <w:r>
        <w:rPr>
          <w:i/>
          <w:color w:val="231F20"/>
          <w:spacing w:val="-5"/>
          <w:sz w:val="20"/>
        </w:rPr>
        <w:t> </w:t>
      </w:r>
      <w:r>
        <w:rPr>
          <w:i/>
          <w:color w:val="231F20"/>
          <w:sz w:val="20"/>
        </w:rPr>
        <w:t>sociedad</w:t>
      </w:r>
      <w:r>
        <w:rPr>
          <w:i/>
          <w:color w:val="231F20"/>
          <w:spacing w:val="-4"/>
          <w:sz w:val="20"/>
        </w:rPr>
        <w:t> </w:t>
      </w:r>
      <w:r>
        <w:rPr>
          <w:i/>
          <w:color w:val="231F20"/>
          <w:sz w:val="20"/>
        </w:rPr>
        <w:t>civil, </w:t>
      </w:r>
      <w:r>
        <w:rPr>
          <w:color w:val="231F20"/>
          <w:sz w:val="20"/>
        </w:rPr>
        <w:t>Red Mexicana de Acción frente al Libre Comercio,</w:t>
      </w:r>
      <w:r>
        <w:rPr>
          <w:color w:val="231F20"/>
          <w:spacing w:val="-32"/>
          <w:sz w:val="20"/>
        </w:rPr>
        <w:t> </w:t>
      </w:r>
      <w:r>
        <w:rPr>
          <w:color w:val="231F20"/>
          <w:sz w:val="20"/>
        </w:rPr>
        <w:t>México.</w:t>
      </w:r>
    </w:p>
    <w:p>
      <w:pPr>
        <w:spacing w:line="210" w:lineRule="exact" w:before="113"/>
        <w:ind w:left="117" w:right="115" w:firstLine="0"/>
        <w:jc w:val="both"/>
        <w:rPr>
          <w:sz w:val="20"/>
        </w:rPr>
      </w:pPr>
      <w:r>
        <w:rPr>
          <w:color w:val="231F20"/>
          <w:sz w:val="20"/>
        </w:rPr>
        <w:t>ROMERO SÁNCHEZ, José Antonio y Víctor Ignacio Villegas Carrillo, 2001, “La agricultura mexicana después de la reforma constitucional: una estrategia de polarización 1988-1997”, en José Antonio Romero Sánchez, (coord.), </w:t>
      </w:r>
      <w:r>
        <w:rPr>
          <w:i/>
          <w:color w:val="231F20"/>
          <w:sz w:val="20"/>
        </w:rPr>
        <w:t>El neolibe- </w:t>
      </w:r>
      <w:r>
        <w:rPr>
          <w:i/>
          <w:color w:val="231F20"/>
          <w:sz w:val="20"/>
        </w:rPr>
        <w:t>ralismo</w:t>
      </w:r>
      <w:r>
        <w:rPr>
          <w:i/>
          <w:color w:val="231F20"/>
          <w:spacing w:val="-8"/>
          <w:sz w:val="20"/>
        </w:rPr>
        <w:t> </w:t>
      </w:r>
      <w:r>
        <w:rPr>
          <w:i/>
          <w:color w:val="231F20"/>
          <w:sz w:val="20"/>
        </w:rPr>
        <w:t>en</w:t>
      </w:r>
      <w:r>
        <w:rPr>
          <w:i/>
          <w:color w:val="231F20"/>
          <w:spacing w:val="-8"/>
          <w:sz w:val="20"/>
        </w:rPr>
        <w:t> </w:t>
      </w:r>
      <w:r>
        <w:rPr>
          <w:i/>
          <w:color w:val="231F20"/>
          <w:sz w:val="20"/>
        </w:rPr>
        <w:t>el</w:t>
      </w:r>
      <w:r>
        <w:rPr>
          <w:i/>
          <w:color w:val="231F20"/>
          <w:spacing w:val="-8"/>
          <w:sz w:val="20"/>
        </w:rPr>
        <w:t> </w:t>
      </w:r>
      <w:r>
        <w:rPr>
          <w:i/>
          <w:color w:val="231F20"/>
          <w:sz w:val="20"/>
        </w:rPr>
        <w:t>sector</w:t>
      </w:r>
      <w:r>
        <w:rPr>
          <w:i/>
          <w:color w:val="231F20"/>
          <w:spacing w:val="-8"/>
          <w:sz w:val="20"/>
        </w:rPr>
        <w:t> </w:t>
      </w:r>
      <w:r>
        <w:rPr>
          <w:i/>
          <w:color w:val="231F20"/>
          <w:sz w:val="20"/>
        </w:rPr>
        <w:t>agropecuario</w:t>
      </w:r>
      <w:r>
        <w:rPr>
          <w:i/>
          <w:color w:val="231F20"/>
          <w:spacing w:val="-8"/>
          <w:sz w:val="20"/>
        </w:rPr>
        <w:t> </w:t>
      </w:r>
      <w:r>
        <w:rPr>
          <w:i/>
          <w:color w:val="231F20"/>
          <w:sz w:val="20"/>
        </w:rPr>
        <w:t>en</w:t>
      </w:r>
      <w:r>
        <w:rPr>
          <w:i/>
          <w:color w:val="231F20"/>
          <w:spacing w:val="-8"/>
          <w:sz w:val="20"/>
        </w:rPr>
        <w:t> </w:t>
      </w:r>
      <w:r>
        <w:rPr>
          <w:i/>
          <w:color w:val="231F20"/>
          <w:sz w:val="20"/>
        </w:rPr>
        <w:t>México</w:t>
      </w:r>
      <w:r>
        <w:rPr>
          <w:color w:val="231F20"/>
          <w:sz w:val="20"/>
        </w:rPr>
        <w:t>,</w:t>
      </w:r>
      <w:r>
        <w:rPr>
          <w:color w:val="231F20"/>
          <w:spacing w:val="-8"/>
          <w:sz w:val="20"/>
        </w:rPr>
        <w:t> </w:t>
      </w:r>
      <w:r>
        <w:rPr>
          <w:color w:val="231F20"/>
          <w:sz w:val="20"/>
        </w:rPr>
        <w:t>Facultad</w:t>
      </w:r>
      <w:r>
        <w:rPr>
          <w:color w:val="231F20"/>
          <w:spacing w:val="-8"/>
          <w:sz w:val="20"/>
        </w:rPr>
        <w:t> </w:t>
      </w:r>
      <w:r>
        <w:rPr>
          <w:color w:val="231F20"/>
          <w:sz w:val="20"/>
        </w:rPr>
        <w:t>de</w:t>
      </w:r>
      <w:r>
        <w:rPr>
          <w:color w:val="231F20"/>
          <w:spacing w:val="-8"/>
          <w:sz w:val="20"/>
        </w:rPr>
        <w:t> </w:t>
      </w:r>
      <w:r>
        <w:rPr>
          <w:color w:val="231F20"/>
          <w:sz w:val="20"/>
        </w:rPr>
        <w:t>Economía,</w:t>
      </w:r>
      <w:r>
        <w:rPr>
          <w:color w:val="231F20"/>
          <w:spacing w:val="-9"/>
          <w:sz w:val="20"/>
        </w:rPr>
        <w:t> </w:t>
      </w:r>
      <w:r>
        <w:rPr>
          <w:color w:val="231F20"/>
          <w:sz w:val="20"/>
        </w:rPr>
        <w:t>Universidad Nacional</w:t>
      </w:r>
      <w:r>
        <w:rPr>
          <w:color w:val="231F20"/>
          <w:spacing w:val="-38"/>
          <w:sz w:val="20"/>
        </w:rPr>
        <w:t> </w:t>
      </w:r>
      <w:r>
        <w:rPr>
          <w:color w:val="231F20"/>
          <w:sz w:val="20"/>
        </w:rPr>
        <w:t>Autónoma de México, México.</w:t>
      </w:r>
    </w:p>
    <w:p>
      <w:pPr>
        <w:spacing w:line="210" w:lineRule="exact" w:before="113"/>
        <w:ind w:left="117" w:right="115" w:firstLine="0"/>
        <w:jc w:val="both"/>
        <w:rPr>
          <w:sz w:val="20"/>
        </w:rPr>
      </w:pPr>
      <w:r>
        <w:rPr>
          <w:color w:val="231F20"/>
          <w:sz w:val="20"/>
        </w:rPr>
        <w:t>RUBIO VEGA, Blanca, 2001, “El modelo económico neoliberal y el problema alimentario en México”, en José</w:t>
      </w:r>
      <w:r>
        <w:rPr>
          <w:color w:val="231F20"/>
          <w:spacing w:val="-37"/>
          <w:sz w:val="20"/>
        </w:rPr>
        <w:t> </w:t>
      </w:r>
      <w:r>
        <w:rPr>
          <w:color w:val="231F20"/>
          <w:sz w:val="20"/>
        </w:rPr>
        <w:t>Antonio Romero Sánchez (coordinador), </w:t>
      </w:r>
      <w:r>
        <w:rPr>
          <w:i/>
          <w:color w:val="231F20"/>
          <w:sz w:val="20"/>
        </w:rPr>
        <w:t>El neo- </w:t>
      </w:r>
      <w:r>
        <w:rPr>
          <w:i/>
          <w:color w:val="231F20"/>
          <w:sz w:val="20"/>
        </w:rPr>
        <w:t>liberalismo en el sector agropecuario en México</w:t>
      </w:r>
      <w:r>
        <w:rPr>
          <w:color w:val="231F20"/>
          <w:sz w:val="20"/>
        </w:rPr>
        <w:t>, Facultad de Economía, Univer- sidad</w:t>
      </w:r>
      <w:r>
        <w:rPr>
          <w:color w:val="231F20"/>
          <w:spacing w:val="-7"/>
          <w:sz w:val="20"/>
        </w:rPr>
        <w:t> </w:t>
      </w:r>
      <w:r>
        <w:rPr>
          <w:color w:val="231F20"/>
          <w:sz w:val="20"/>
        </w:rPr>
        <w:t>Nacional</w:t>
      </w:r>
      <w:r>
        <w:rPr>
          <w:color w:val="231F20"/>
          <w:spacing w:val="-17"/>
          <w:sz w:val="20"/>
        </w:rPr>
        <w:t> </w:t>
      </w:r>
      <w:r>
        <w:rPr>
          <w:color w:val="231F20"/>
          <w:sz w:val="20"/>
        </w:rPr>
        <w:t>Autónoma</w:t>
      </w:r>
      <w:r>
        <w:rPr>
          <w:color w:val="231F20"/>
          <w:spacing w:val="-7"/>
          <w:sz w:val="20"/>
        </w:rPr>
        <w:t> </w:t>
      </w:r>
      <w:r>
        <w:rPr>
          <w:color w:val="231F20"/>
          <w:sz w:val="20"/>
        </w:rPr>
        <w:t>de</w:t>
      </w:r>
      <w:r>
        <w:rPr>
          <w:color w:val="231F20"/>
          <w:spacing w:val="-7"/>
          <w:sz w:val="20"/>
        </w:rPr>
        <w:t> </w:t>
      </w:r>
      <w:r>
        <w:rPr>
          <w:color w:val="231F20"/>
          <w:sz w:val="20"/>
        </w:rPr>
        <w:t>México,</w:t>
      </w:r>
      <w:r>
        <w:rPr>
          <w:color w:val="231F20"/>
          <w:spacing w:val="-7"/>
          <w:sz w:val="20"/>
        </w:rPr>
        <w:t> </w:t>
      </w:r>
      <w:r>
        <w:rPr>
          <w:color w:val="231F20"/>
          <w:sz w:val="20"/>
        </w:rPr>
        <w:t>México.</w:t>
      </w:r>
    </w:p>
    <w:p>
      <w:pPr>
        <w:spacing w:line="210" w:lineRule="exact" w:before="113"/>
        <w:ind w:left="117" w:right="115" w:firstLine="0"/>
        <w:jc w:val="both"/>
        <w:rPr>
          <w:sz w:val="20"/>
        </w:rPr>
      </w:pPr>
      <w:r>
        <w:rPr>
          <w:color w:val="231F20"/>
          <w:sz w:val="20"/>
        </w:rPr>
        <w:t>SASSEN,</w:t>
      </w:r>
      <w:r>
        <w:rPr>
          <w:color w:val="231F20"/>
          <w:spacing w:val="-5"/>
          <w:sz w:val="20"/>
        </w:rPr>
        <w:t> </w:t>
      </w:r>
      <w:r>
        <w:rPr>
          <w:color w:val="231F20"/>
          <w:sz w:val="20"/>
        </w:rPr>
        <w:t>Saskia,</w:t>
      </w:r>
      <w:r>
        <w:rPr>
          <w:color w:val="231F20"/>
          <w:spacing w:val="-5"/>
          <w:sz w:val="20"/>
        </w:rPr>
        <w:t> </w:t>
      </w:r>
      <w:r>
        <w:rPr>
          <w:color w:val="231F20"/>
          <w:sz w:val="20"/>
        </w:rPr>
        <w:t>2007,</w:t>
      </w:r>
      <w:r>
        <w:rPr>
          <w:color w:val="231F20"/>
          <w:spacing w:val="-6"/>
          <w:sz w:val="20"/>
        </w:rPr>
        <w:t> </w:t>
      </w:r>
      <w:r>
        <w:rPr>
          <w:i/>
          <w:color w:val="231F20"/>
          <w:sz w:val="20"/>
        </w:rPr>
        <w:t>Una</w:t>
      </w:r>
      <w:r>
        <w:rPr>
          <w:i/>
          <w:color w:val="231F20"/>
          <w:spacing w:val="-6"/>
          <w:sz w:val="20"/>
        </w:rPr>
        <w:t> </w:t>
      </w:r>
      <w:r>
        <w:rPr>
          <w:i/>
          <w:color w:val="231F20"/>
          <w:sz w:val="20"/>
        </w:rPr>
        <w:t>sociología</w:t>
      </w:r>
      <w:r>
        <w:rPr>
          <w:i/>
          <w:color w:val="231F20"/>
          <w:spacing w:val="-5"/>
          <w:sz w:val="20"/>
        </w:rPr>
        <w:t> </w:t>
      </w:r>
      <w:r>
        <w:rPr>
          <w:i/>
          <w:color w:val="231F20"/>
          <w:sz w:val="20"/>
        </w:rPr>
        <w:t>de</w:t>
      </w:r>
      <w:r>
        <w:rPr>
          <w:i/>
          <w:color w:val="231F20"/>
          <w:spacing w:val="-6"/>
          <w:sz w:val="20"/>
        </w:rPr>
        <w:t> </w:t>
      </w:r>
      <w:r>
        <w:rPr>
          <w:i/>
          <w:color w:val="231F20"/>
          <w:sz w:val="20"/>
        </w:rPr>
        <w:t>la</w:t>
      </w:r>
      <w:r>
        <w:rPr>
          <w:i/>
          <w:color w:val="231F20"/>
          <w:spacing w:val="-6"/>
          <w:sz w:val="20"/>
        </w:rPr>
        <w:t> </w:t>
      </w:r>
      <w:r>
        <w:rPr>
          <w:i/>
          <w:color w:val="231F20"/>
          <w:sz w:val="20"/>
        </w:rPr>
        <w:t>Globalización</w:t>
      </w:r>
      <w:r>
        <w:rPr>
          <w:color w:val="231F20"/>
          <w:sz w:val="20"/>
        </w:rPr>
        <w:t>,</w:t>
      </w:r>
      <w:r>
        <w:rPr>
          <w:color w:val="231F20"/>
          <w:spacing w:val="-6"/>
          <w:sz w:val="20"/>
        </w:rPr>
        <w:t> </w:t>
      </w:r>
      <w:r>
        <w:rPr>
          <w:color w:val="231F20"/>
          <w:sz w:val="20"/>
        </w:rPr>
        <w:t>Katz,</w:t>
      </w:r>
      <w:r>
        <w:rPr>
          <w:color w:val="231F20"/>
          <w:spacing w:val="-6"/>
          <w:sz w:val="20"/>
        </w:rPr>
        <w:t> </w:t>
      </w:r>
      <w:r>
        <w:rPr>
          <w:color w:val="231F20"/>
          <w:sz w:val="20"/>
        </w:rPr>
        <w:t>Buenos</w:t>
      </w:r>
      <w:r>
        <w:rPr>
          <w:color w:val="231F20"/>
          <w:spacing w:val="-16"/>
          <w:sz w:val="20"/>
        </w:rPr>
        <w:t> </w:t>
      </w:r>
      <w:r>
        <w:rPr>
          <w:color w:val="231F20"/>
          <w:sz w:val="20"/>
        </w:rPr>
        <w:t>Aires, Argentina.</w:t>
      </w:r>
    </w:p>
    <w:p>
      <w:pPr>
        <w:spacing w:line="210" w:lineRule="exact" w:before="113"/>
        <w:ind w:left="117" w:right="115" w:firstLine="0"/>
        <w:jc w:val="both"/>
        <w:rPr>
          <w:sz w:val="20"/>
        </w:rPr>
      </w:pPr>
      <w:r>
        <w:rPr>
          <w:color w:val="231F20"/>
          <w:sz w:val="20"/>
        </w:rPr>
        <w:t>VALLENTIN HJORTH BOISEN, Susann, 1998, </w:t>
      </w:r>
      <w:r>
        <w:rPr>
          <w:i/>
          <w:color w:val="231F20"/>
          <w:sz w:val="20"/>
        </w:rPr>
        <w:t>Migración y tendencias de la </w:t>
      </w:r>
      <w:r>
        <w:rPr>
          <w:i/>
          <w:color w:val="231F20"/>
          <w:sz w:val="20"/>
        </w:rPr>
        <w:t>economía internacional. La globalización, las relaciones Norte-Sur y la migra- ción internacional de los noventas, </w:t>
      </w:r>
      <w:r>
        <w:rPr>
          <w:color w:val="231F20"/>
          <w:sz w:val="20"/>
        </w:rPr>
        <w:t>Tesis de licenciatura en Antropología Social, INAH/SEP, México.</w:t>
      </w:r>
    </w:p>
    <w:p>
      <w:pPr>
        <w:pStyle w:val="BodyText"/>
        <w:rPr>
          <w:sz w:val="20"/>
        </w:rPr>
      </w:pPr>
    </w:p>
    <w:p>
      <w:pPr>
        <w:spacing w:before="167"/>
        <w:ind w:left="117" w:right="0" w:firstLine="0"/>
        <w:jc w:val="both"/>
        <w:rPr>
          <w:i/>
          <w:sz w:val="22"/>
        </w:rPr>
      </w:pPr>
      <w:r>
        <w:rPr>
          <w:i/>
          <w:color w:val="231F20"/>
          <w:sz w:val="22"/>
        </w:rPr>
        <w:t>Iván Jiménez-Maya</w:t>
      </w:r>
    </w:p>
    <w:p>
      <w:pPr>
        <w:pStyle w:val="BodyText"/>
        <w:spacing w:before="2"/>
        <w:rPr>
          <w:i/>
          <w:sz w:val="23"/>
        </w:rPr>
      </w:pPr>
    </w:p>
    <w:p>
      <w:pPr>
        <w:spacing w:line="247" w:lineRule="auto" w:before="0"/>
        <w:ind w:left="117" w:right="115" w:firstLine="0"/>
        <w:jc w:val="both"/>
        <w:rPr>
          <w:sz w:val="22"/>
        </w:rPr>
      </w:pPr>
      <w:r>
        <w:rPr>
          <w:color w:val="231F20"/>
          <w:sz w:val="22"/>
        </w:rPr>
        <w:t>Doctor en Geografía por la Universidad Nacional Autónoma de México. Entre sus últimas publicaciones destacan: “El proceso migratorio México- Estados Unidos: el caso del </w:t>
      </w:r>
      <w:r>
        <w:rPr>
          <w:color w:val="231F20"/>
          <w:spacing w:val="-5"/>
          <w:sz w:val="22"/>
        </w:rPr>
        <w:t>Valle </w:t>
      </w:r>
      <w:r>
        <w:rPr>
          <w:color w:val="231F20"/>
          <w:sz w:val="22"/>
        </w:rPr>
        <w:t>de Tangancícuaro, Michoacán”, en </w:t>
      </w:r>
      <w:r>
        <w:rPr>
          <w:i/>
          <w:color w:val="231F20"/>
          <w:sz w:val="22"/>
        </w:rPr>
        <w:t>Mi- </w:t>
      </w:r>
      <w:r>
        <w:rPr>
          <w:i/>
          <w:color w:val="231F20"/>
          <w:sz w:val="22"/>
        </w:rPr>
        <w:t>graciones laborales: nuevos flujos, rutas e identidades</w:t>
      </w:r>
      <w:r>
        <w:rPr>
          <w:color w:val="231F20"/>
          <w:sz w:val="22"/>
        </w:rPr>
        <w:t>, </w:t>
      </w:r>
      <w:r>
        <w:rPr>
          <w:color w:val="231F20"/>
          <w:spacing w:val="-6"/>
          <w:sz w:val="22"/>
        </w:rPr>
        <w:t>BUAP, </w:t>
      </w:r>
      <w:r>
        <w:rPr>
          <w:color w:val="231F20"/>
          <w:sz w:val="22"/>
        </w:rPr>
        <w:t>2011; “El megaproyecto eólico en el Istmo de Tehuantepec, Oaxaca. Energías lim- pias, empresas sucias y la resistencia social”, en </w:t>
      </w:r>
      <w:r>
        <w:rPr>
          <w:i/>
          <w:color w:val="231F20"/>
          <w:sz w:val="22"/>
        </w:rPr>
        <w:t>Planes geoestratégicos, </w:t>
      </w:r>
      <w:r>
        <w:rPr>
          <w:i/>
          <w:color w:val="231F20"/>
          <w:sz w:val="22"/>
        </w:rPr>
        <w:t>desplazamientos y migraciones forzadas en el </w:t>
      </w:r>
      <w:r>
        <w:rPr>
          <w:i/>
          <w:color w:val="231F20"/>
          <w:spacing w:val="-3"/>
          <w:sz w:val="22"/>
        </w:rPr>
        <w:t>área </w:t>
      </w:r>
      <w:r>
        <w:rPr>
          <w:i/>
          <w:color w:val="231F20"/>
          <w:sz w:val="22"/>
        </w:rPr>
        <w:t>del proyecto de desa- rrollo e integración mesoamericana</w:t>
      </w:r>
      <w:r>
        <w:rPr>
          <w:color w:val="231F20"/>
          <w:sz w:val="22"/>
        </w:rPr>
        <w:t>, Universidad de Los Andes-Mérida, 2011; “Un siglo de migraciones del </w:t>
      </w:r>
      <w:r>
        <w:rPr>
          <w:color w:val="231F20"/>
          <w:spacing w:val="-5"/>
          <w:sz w:val="22"/>
        </w:rPr>
        <w:t>Valle </w:t>
      </w:r>
      <w:r>
        <w:rPr>
          <w:color w:val="231F20"/>
          <w:sz w:val="22"/>
        </w:rPr>
        <w:t>de Tangancícuaro a los Estados Unidos.</w:t>
      </w:r>
      <w:r>
        <w:rPr>
          <w:color w:val="231F20"/>
          <w:spacing w:val="-11"/>
          <w:sz w:val="22"/>
        </w:rPr>
        <w:t> </w:t>
      </w:r>
      <w:r>
        <w:rPr>
          <w:color w:val="231F20"/>
          <w:sz w:val="22"/>
        </w:rPr>
        <w:t>Del</w:t>
      </w:r>
      <w:r>
        <w:rPr>
          <w:color w:val="231F20"/>
          <w:spacing w:val="-11"/>
          <w:sz w:val="22"/>
        </w:rPr>
        <w:t> </w:t>
      </w:r>
      <w:r>
        <w:rPr>
          <w:color w:val="231F20"/>
          <w:sz w:val="22"/>
        </w:rPr>
        <w:t>Porfiriato</w:t>
      </w:r>
      <w:r>
        <w:rPr>
          <w:color w:val="231F20"/>
          <w:spacing w:val="-11"/>
          <w:sz w:val="22"/>
        </w:rPr>
        <w:t> </w:t>
      </w:r>
      <w:r>
        <w:rPr>
          <w:color w:val="231F20"/>
          <w:sz w:val="22"/>
        </w:rPr>
        <w:t>al</w:t>
      </w:r>
      <w:r>
        <w:rPr>
          <w:color w:val="231F20"/>
          <w:spacing w:val="-11"/>
          <w:sz w:val="22"/>
        </w:rPr>
        <w:t> </w:t>
      </w:r>
      <w:r>
        <w:rPr>
          <w:color w:val="231F20"/>
          <w:sz w:val="22"/>
        </w:rPr>
        <w:t>segundo</w:t>
      </w:r>
      <w:r>
        <w:rPr>
          <w:color w:val="231F20"/>
          <w:spacing w:val="-11"/>
          <w:sz w:val="22"/>
        </w:rPr>
        <w:t> </w:t>
      </w:r>
      <w:r>
        <w:rPr>
          <w:color w:val="231F20"/>
          <w:sz w:val="22"/>
        </w:rPr>
        <w:t>Programa</w:t>
      </w:r>
      <w:r>
        <w:rPr>
          <w:color w:val="231F20"/>
          <w:spacing w:val="-11"/>
          <w:sz w:val="22"/>
        </w:rPr>
        <w:t> </w:t>
      </w:r>
      <w:r>
        <w:rPr>
          <w:color w:val="231F20"/>
          <w:sz w:val="22"/>
        </w:rPr>
        <w:t>Bracero”,</w:t>
      </w:r>
      <w:r>
        <w:rPr>
          <w:color w:val="231F20"/>
          <w:spacing w:val="-11"/>
          <w:sz w:val="22"/>
        </w:rPr>
        <w:t> </w:t>
      </w:r>
      <w:r>
        <w:rPr>
          <w:color w:val="231F20"/>
          <w:sz w:val="22"/>
        </w:rPr>
        <w:t>en</w:t>
      </w:r>
      <w:r>
        <w:rPr>
          <w:color w:val="231F20"/>
          <w:spacing w:val="-11"/>
          <w:sz w:val="22"/>
        </w:rPr>
        <w:t> </w:t>
      </w:r>
      <w:r>
        <w:rPr>
          <w:i/>
          <w:color w:val="231F20"/>
          <w:sz w:val="22"/>
        </w:rPr>
        <w:t>Migrantes</w:t>
      </w:r>
      <w:r>
        <w:rPr>
          <w:i/>
          <w:color w:val="231F20"/>
          <w:spacing w:val="-11"/>
          <w:sz w:val="22"/>
        </w:rPr>
        <w:t> </w:t>
      </w:r>
      <w:r>
        <w:rPr>
          <w:i/>
          <w:color w:val="231F20"/>
          <w:sz w:val="22"/>
        </w:rPr>
        <w:t>somos </w:t>
      </w:r>
      <w:r>
        <w:rPr>
          <w:i/>
          <w:color w:val="231F20"/>
          <w:sz w:val="22"/>
        </w:rPr>
        <w:t>y en el camino andamos. Ensayos </w:t>
      </w:r>
      <w:r>
        <w:rPr>
          <w:i/>
          <w:color w:val="231F20"/>
          <w:spacing w:val="-3"/>
          <w:sz w:val="22"/>
        </w:rPr>
        <w:t>sobre </w:t>
      </w:r>
      <w:r>
        <w:rPr>
          <w:i/>
          <w:color w:val="231F20"/>
          <w:sz w:val="22"/>
        </w:rPr>
        <w:t>identidad, migración y cultura transfronteriza</w:t>
      </w:r>
      <w:r>
        <w:rPr>
          <w:color w:val="231F20"/>
          <w:sz w:val="22"/>
        </w:rPr>
        <w:t>, Gráficos EÓN, UAM-A,</w:t>
      </w:r>
      <w:r>
        <w:rPr>
          <w:color w:val="231F20"/>
          <w:spacing w:val="-30"/>
          <w:sz w:val="22"/>
        </w:rPr>
        <w:t> </w:t>
      </w:r>
      <w:r>
        <w:rPr>
          <w:color w:val="231F20"/>
          <w:sz w:val="22"/>
        </w:rPr>
        <w:t>2011.</w:t>
      </w:r>
    </w:p>
    <w:p>
      <w:pPr>
        <w:pStyle w:val="BodyText"/>
        <w:spacing w:before="6"/>
      </w:pPr>
    </w:p>
    <w:p>
      <w:pPr>
        <w:pStyle w:val="BodyText"/>
        <w:ind w:left="117"/>
        <w:jc w:val="both"/>
      </w:pPr>
      <w:r>
        <w:rPr>
          <w:color w:val="231F20"/>
        </w:rPr>
        <w:t>Correo electrónico: </w:t>
      </w:r>
      <w:hyperlink r:id="rId190">
        <w:r>
          <w:rPr>
            <w:color w:val="231F20"/>
          </w:rPr>
          <w:t>ijmay@yahoo.com.mx</w:t>
        </w:r>
      </w:hyperlink>
    </w:p>
    <w:p>
      <w:pPr>
        <w:spacing w:after="0"/>
        <w:jc w:val="both"/>
        <w:sectPr>
          <w:footerReference w:type="default" r:id="rId189"/>
          <w:pgSz w:w="9360" w:h="13040"/>
          <w:pgMar w:footer="496" w:header="0" w:top="800" w:bottom="680" w:left="1300" w:right="1300"/>
        </w:sectPr>
      </w:pPr>
    </w:p>
    <w:p>
      <w:pPr>
        <w:pStyle w:val="BodyText"/>
        <w:ind w:left="114"/>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spacing w:before="139"/>
        <w:ind w:left="718" w:right="536" w:hanging="1"/>
        <w:jc w:val="center"/>
      </w:pPr>
      <w:r>
        <w:rPr/>
        <w:pict>
          <v:shape style="position:absolute;margin-left:52.723999pt;margin-top:-44.405617pt;width:353.4pt;height:43.5pt;mso-position-horizontal-relative:page;mso-position-vertical-relative:paragraph;z-index:-638200" type="#_x0000_t202" filled="false" stroked="false">
            <v:textbox inset="0,0,0,0">
              <w:txbxContent>
                <w:p>
                  <w:pPr>
                    <w:pStyle w:val="BodyText"/>
                    <w:rPr>
                      <w:sz w:val="20"/>
                    </w:rPr>
                  </w:pPr>
                </w:p>
                <w:p>
                  <w:pPr>
                    <w:pStyle w:val="BodyText"/>
                    <w:spacing w:before="9"/>
                    <w:rPr>
                      <w:sz w:val="19"/>
                    </w:rPr>
                  </w:pPr>
                </w:p>
                <w:p>
                  <w:pPr>
                    <w:spacing w:before="1"/>
                    <w:ind w:left="1076" w:right="0" w:firstLine="0"/>
                    <w:jc w:val="left"/>
                    <w:rPr>
                      <w:rFonts w:ascii="Arial" w:hAnsi="Arial"/>
                      <w:i/>
                      <w:sz w:val="20"/>
                    </w:rPr>
                  </w:pPr>
                  <w:r>
                    <w:rPr>
                      <w:rFonts w:ascii="Arial" w:hAnsi="Arial"/>
                      <w:color w:val="231F20"/>
                      <w:w w:val="70"/>
                      <w:sz w:val="20"/>
                    </w:rPr>
                    <w:t>La dinámica migratoria al interior de los hogares: formas... /Rosa Patricia Román-Reyes </w:t>
                  </w:r>
                  <w:r>
                    <w:rPr>
                      <w:rFonts w:ascii="Arial" w:hAnsi="Arial"/>
                      <w:i/>
                      <w:color w:val="231F20"/>
                      <w:w w:val="70"/>
                      <w:sz w:val="20"/>
                    </w:rPr>
                    <w:t>et al.</w:t>
                  </w:r>
                </w:p>
              </w:txbxContent>
            </v:textbox>
            <w10:wrap type="none"/>
          </v:shape>
        </w:pict>
      </w:r>
      <w:r>
        <w:rPr>
          <w:color w:val="231F20"/>
          <w:w w:val="70"/>
        </w:rPr>
        <w:t>La dinámica migratoria al interior de los hogares: formas de organización social ante un fenómeno creciente y complejo. El caso del Estado de México</w:t>
      </w:r>
    </w:p>
    <w:p>
      <w:pPr>
        <w:pStyle w:val="BodyText"/>
        <w:spacing w:before="10"/>
        <w:rPr>
          <w:b/>
          <w:sz w:val="36"/>
        </w:rPr>
      </w:pPr>
    </w:p>
    <w:p>
      <w:pPr>
        <w:pStyle w:val="Heading2"/>
        <w:spacing w:line="300" w:lineRule="exact" w:before="0"/>
        <w:ind w:left="796" w:right="614"/>
        <w:jc w:val="center"/>
      </w:pPr>
      <w:r>
        <w:rPr>
          <w:color w:val="231F20"/>
        </w:rPr>
        <w:t>Rosa Patricia Román-Reyes, Juan Gabino González-Becerril y José Antonio</w:t>
      </w:r>
      <w:r>
        <w:rPr>
          <w:color w:val="231F20"/>
          <w:spacing w:val="-52"/>
        </w:rPr>
        <w:t> </w:t>
      </w:r>
      <w:r>
        <w:rPr>
          <w:color w:val="231F20"/>
        </w:rPr>
        <w:t>Soberón-Mora</w:t>
      </w:r>
    </w:p>
    <w:p>
      <w:pPr>
        <w:pStyle w:val="BodyText"/>
        <w:rPr>
          <w:sz w:val="30"/>
        </w:rPr>
      </w:pPr>
    </w:p>
    <w:p>
      <w:pPr>
        <w:spacing w:before="236"/>
        <w:ind w:left="728" w:right="548" w:firstLine="0"/>
        <w:jc w:val="center"/>
        <w:rPr>
          <w:i/>
          <w:sz w:val="22"/>
        </w:rPr>
      </w:pPr>
      <w:r>
        <w:rPr>
          <w:i/>
          <w:color w:val="231F20"/>
          <w:sz w:val="22"/>
        </w:rPr>
        <w:t>Universidad Autónoma del Estado de México, México</w:t>
      </w:r>
    </w:p>
    <w:p>
      <w:pPr>
        <w:pStyle w:val="BodyText"/>
        <w:rPr>
          <w:i/>
        </w:rPr>
      </w:pPr>
    </w:p>
    <w:p>
      <w:pPr>
        <w:pStyle w:val="BodyText"/>
        <w:spacing w:before="2"/>
        <w:rPr>
          <w:i/>
          <w:sz w:val="27"/>
        </w:rPr>
      </w:pPr>
    </w:p>
    <w:p>
      <w:pPr>
        <w:pStyle w:val="BodyText"/>
        <w:spacing w:line="247" w:lineRule="auto"/>
        <w:ind w:left="1248" w:right="295"/>
        <w:jc w:val="both"/>
      </w:pPr>
      <w:r>
        <w:rPr/>
        <w:pict>
          <v:shape style="position:absolute;margin-left:70.866096pt;margin-top:-4.365926pt;width:38.6pt;height:55pt;mso-position-horizontal-relative:page;mso-position-vertical-relative:paragraph;z-index:-638176" type="#_x0000_t202" filled="false" stroked="false">
            <v:textbox inset="0,0,0,0">
              <w:txbxContent>
                <w:p>
                  <w:pPr>
                    <w:spacing w:line="1100" w:lineRule="exact" w:before="0"/>
                    <w:ind w:left="0" w:right="0" w:firstLine="0"/>
                    <w:jc w:val="left"/>
                    <w:rPr>
                      <w:b/>
                      <w:sz w:val="110"/>
                    </w:rPr>
                  </w:pPr>
                  <w:r>
                    <w:rPr>
                      <w:b/>
                      <w:spacing w:val="-24"/>
                      <w:sz w:val="110"/>
                    </w:rPr>
                    <w:t>A</w:t>
                  </w:r>
                </w:p>
              </w:txbxContent>
            </v:textbox>
            <w10:wrap type="none"/>
          </v:shape>
        </w:pict>
      </w:r>
      <w:r>
        <w:rPr>
          <w:color w:val="231F20"/>
        </w:rPr>
        <w:t>medida</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migración</w:t>
      </w:r>
      <w:r>
        <w:rPr>
          <w:color w:val="231F20"/>
          <w:spacing w:val="-10"/>
        </w:rPr>
        <w:t> </w:t>
      </w:r>
      <w:r>
        <w:rPr>
          <w:color w:val="231F20"/>
        </w:rPr>
        <w:t>crece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mundo</w:t>
      </w:r>
      <w:r>
        <w:rPr>
          <w:color w:val="231F20"/>
          <w:spacing w:val="-9"/>
        </w:rPr>
        <w:t> </w:t>
      </w:r>
      <w:r>
        <w:rPr>
          <w:color w:val="231F20"/>
        </w:rPr>
        <w:t>es</w:t>
      </w:r>
      <w:r>
        <w:rPr>
          <w:color w:val="231F20"/>
          <w:spacing w:val="-9"/>
        </w:rPr>
        <w:t> </w:t>
      </w:r>
      <w:r>
        <w:rPr>
          <w:color w:val="231F20"/>
        </w:rPr>
        <w:t>cada</w:t>
      </w:r>
      <w:r>
        <w:rPr>
          <w:color w:val="231F20"/>
          <w:spacing w:val="-9"/>
        </w:rPr>
        <w:t> </w:t>
      </w:r>
      <w:r>
        <w:rPr>
          <w:color w:val="231F20"/>
        </w:rPr>
        <w:t>vez</w:t>
      </w:r>
      <w:r>
        <w:rPr>
          <w:color w:val="231F20"/>
          <w:spacing w:val="-9"/>
        </w:rPr>
        <w:t> </w:t>
      </w:r>
      <w:r>
        <w:rPr>
          <w:color w:val="231F20"/>
        </w:rPr>
        <w:t>más</w:t>
      </w:r>
      <w:r>
        <w:rPr>
          <w:color w:val="231F20"/>
          <w:spacing w:val="-9"/>
        </w:rPr>
        <w:t> </w:t>
      </w:r>
      <w:r>
        <w:rPr>
          <w:color w:val="231F20"/>
        </w:rPr>
        <w:t>nece- sario investigar la dinámica de este fenómeno, especialmente en los países en vías de desarrollo donde la importancia de los</w:t>
      </w:r>
      <w:r>
        <w:rPr>
          <w:color w:val="231F20"/>
          <w:spacing w:val="-17"/>
        </w:rPr>
        <w:t> </w:t>
      </w:r>
      <w:r>
        <w:rPr>
          <w:color w:val="231F20"/>
        </w:rPr>
        <w:t>flujos</w:t>
      </w:r>
    </w:p>
    <w:p>
      <w:pPr>
        <w:pStyle w:val="BodyText"/>
        <w:spacing w:line="247" w:lineRule="auto" w:before="13"/>
        <w:ind w:left="477" w:right="296"/>
        <w:jc w:val="both"/>
      </w:pPr>
      <w:r>
        <w:rPr>
          <w:color w:val="231F20"/>
        </w:rPr>
        <w:t>recibidos como remesas es cada vez mayor en relación con la inversión extranjera</w:t>
      </w:r>
      <w:r>
        <w:rPr>
          <w:color w:val="231F20"/>
          <w:spacing w:val="-9"/>
        </w:rPr>
        <w:t> </w:t>
      </w:r>
      <w:r>
        <w:rPr>
          <w:color w:val="231F20"/>
        </w:rPr>
        <w:t>directa</w:t>
      </w:r>
      <w:r>
        <w:rPr>
          <w:color w:val="231F20"/>
          <w:spacing w:val="-9"/>
        </w:rPr>
        <w:t> </w:t>
      </w:r>
      <w:r>
        <w:rPr>
          <w:color w:val="231F20"/>
        </w:rPr>
        <w:t>y</w:t>
      </w:r>
      <w:r>
        <w:rPr>
          <w:color w:val="231F20"/>
          <w:spacing w:val="-9"/>
        </w:rPr>
        <w:t> </w:t>
      </w:r>
      <w:r>
        <w:rPr>
          <w:color w:val="231F20"/>
        </w:rPr>
        <w:t>las</w:t>
      </w:r>
      <w:r>
        <w:rPr>
          <w:color w:val="231F20"/>
          <w:spacing w:val="-9"/>
        </w:rPr>
        <w:t> </w:t>
      </w:r>
      <w:r>
        <w:rPr>
          <w:color w:val="231F20"/>
        </w:rPr>
        <w:t>ayudas</w:t>
      </w:r>
      <w:r>
        <w:rPr>
          <w:color w:val="231F20"/>
          <w:spacing w:val="-9"/>
        </w:rPr>
        <w:t> </w:t>
      </w:r>
      <w:r>
        <w:rPr>
          <w:color w:val="231F20"/>
        </w:rPr>
        <w:t>internacionales.</w:t>
      </w:r>
      <w:r>
        <w:rPr>
          <w:color w:val="231F20"/>
          <w:spacing w:val="-22"/>
        </w:rPr>
        <w:t> </w:t>
      </w:r>
      <w:r>
        <w:rPr>
          <w:color w:val="231F20"/>
        </w:rPr>
        <w:t>Al</w:t>
      </w:r>
      <w:r>
        <w:rPr>
          <w:color w:val="231F20"/>
          <w:spacing w:val="-9"/>
        </w:rPr>
        <w:t> </w:t>
      </w:r>
      <w:r>
        <w:rPr>
          <w:color w:val="231F20"/>
        </w:rPr>
        <w:t>mismo</w:t>
      </w:r>
      <w:r>
        <w:rPr>
          <w:color w:val="231F20"/>
          <w:spacing w:val="-9"/>
        </w:rPr>
        <w:t> </w:t>
      </w:r>
      <w:r>
        <w:rPr>
          <w:color w:val="231F20"/>
        </w:rPr>
        <w:t>tiempo</w:t>
      </w:r>
      <w:r>
        <w:rPr>
          <w:color w:val="231F20"/>
          <w:spacing w:val="-9"/>
        </w:rPr>
        <w:t> </w:t>
      </w:r>
      <w:r>
        <w:rPr>
          <w:color w:val="231F20"/>
        </w:rPr>
        <w:t>comienza a hacerse cada vez más evidente la necesidad de estudiar el efecto de la migración en las condiciones de vida de los hogares y sus</w:t>
      </w:r>
      <w:r>
        <w:rPr>
          <w:color w:val="231F20"/>
          <w:spacing w:val="-7"/>
        </w:rPr>
        <w:t> </w:t>
      </w:r>
      <w:r>
        <w:rPr>
          <w:color w:val="231F20"/>
        </w:rPr>
        <w:t>integrantes.</w:t>
      </w:r>
    </w:p>
    <w:p>
      <w:pPr>
        <w:pStyle w:val="BodyText"/>
        <w:spacing w:line="247" w:lineRule="auto"/>
        <w:ind w:left="477" w:right="294" w:firstLine="283"/>
        <w:jc w:val="both"/>
      </w:pPr>
      <w:r>
        <w:rPr>
          <w:color w:val="231F20"/>
        </w:rPr>
        <w:t>Pensando en esas condiciones de vida es ampliamente reconocido que la migración de México hacia Estados Unidos configura un sistema de in- tercambio y movimiento de recursos que se basa en la conformación de redes sociales y familiares (Canales, 2002). Sin embargo, poco se ha ana- lizado acerca del papel que juegan los hogares de destino en la conforma- ción de esas redes, cómo se estructuran y reestructuran para dar apoyo al migrante</w:t>
      </w:r>
      <w:r>
        <w:rPr>
          <w:color w:val="231F20"/>
          <w:spacing w:val="-10"/>
        </w:rPr>
        <w:t> </w:t>
      </w:r>
      <w:r>
        <w:rPr>
          <w:color w:val="231F20"/>
        </w:rPr>
        <w:t>y</w:t>
      </w:r>
      <w:r>
        <w:rPr>
          <w:color w:val="231F20"/>
          <w:spacing w:val="-10"/>
        </w:rPr>
        <w:t> </w:t>
      </w:r>
      <w:r>
        <w:rPr>
          <w:color w:val="231F20"/>
        </w:rPr>
        <w:t>al</w:t>
      </w:r>
      <w:r>
        <w:rPr>
          <w:color w:val="231F20"/>
          <w:spacing w:val="-10"/>
        </w:rPr>
        <w:t> </w:t>
      </w:r>
      <w:r>
        <w:rPr>
          <w:color w:val="231F20"/>
        </w:rPr>
        <w:t>mismo</w:t>
      </w:r>
      <w:r>
        <w:rPr>
          <w:color w:val="231F20"/>
          <w:spacing w:val="-10"/>
        </w:rPr>
        <w:t> </w:t>
      </w:r>
      <w:r>
        <w:rPr>
          <w:color w:val="231F20"/>
        </w:rPr>
        <w:t>tiempo</w:t>
      </w:r>
      <w:r>
        <w:rPr>
          <w:color w:val="231F20"/>
          <w:spacing w:val="-10"/>
        </w:rPr>
        <w:t> </w:t>
      </w:r>
      <w:r>
        <w:rPr>
          <w:color w:val="231F20"/>
        </w:rPr>
        <w:t>asegurar</w:t>
      </w:r>
      <w:r>
        <w:rPr>
          <w:color w:val="231F20"/>
          <w:spacing w:val="-10"/>
        </w:rPr>
        <w:t> </w:t>
      </w:r>
      <w:r>
        <w:rPr>
          <w:color w:val="231F20"/>
        </w:rPr>
        <w:t>la</w:t>
      </w:r>
      <w:r>
        <w:rPr>
          <w:color w:val="231F20"/>
          <w:spacing w:val="-10"/>
        </w:rPr>
        <w:t> </w:t>
      </w:r>
      <w:r>
        <w:rPr>
          <w:color w:val="231F20"/>
        </w:rPr>
        <w:t>sobrevivencia</w:t>
      </w:r>
      <w:r>
        <w:rPr>
          <w:color w:val="231F20"/>
          <w:spacing w:val="-9"/>
        </w:rPr>
        <w:t> </w:t>
      </w:r>
      <w:r>
        <w:rPr>
          <w:color w:val="231F20"/>
        </w:rPr>
        <w:t>de</w:t>
      </w:r>
      <w:r>
        <w:rPr>
          <w:color w:val="231F20"/>
          <w:spacing w:val="-10"/>
        </w:rPr>
        <w:t> </w:t>
      </w:r>
      <w:r>
        <w:rPr>
          <w:color w:val="231F20"/>
        </w:rPr>
        <w:t>la</w:t>
      </w:r>
      <w:r>
        <w:rPr>
          <w:color w:val="231F20"/>
          <w:spacing w:val="-10"/>
        </w:rPr>
        <w:t> </w:t>
      </w:r>
      <w:r>
        <w:rPr>
          <w:color w:val="231F20"/>
        </w:rPr>
        <w:t>unidad</w:t>
      </w:r>
      <w:r>
        <w:rPr>
          <w:color w:val="231F20"/>
          <w:spacing w:val="-10"/>
        </w:rPr>
        <w:t> </w:t>
      </w:r>
      <w:r>
        <w:rPr>
          <w:color w:val="231F20"/>
        </w:rPr>
        <w:t>domés- tica.</w:t>
      </w:r>
      <w:r>
        <w:rPr>
          <w:color w:val="231F20"/>
          <w:spacing w:val="-5"/>
        </w:rPr>
        <w:t> </w:t>
      </w:r>
      <w:r>
        <w:rPr>
          <w:color w:val="231F20"/>
        </w:rPr>
        <w:t>En</w:t>
      </w:r>
      <w:r>
        <w:rPr>
          <w:color w:val="231F20"/>
          <w:spacing w:val="-5"/>
        </w:rPr>
        <w:t> </w:t>
      </w:r>
      <w:r>
        <w:rPr>
          <w:color w:val="231F20"/>
        </w:rPr>
        <w:t>este</w:t>
      </w:r>
      <w:r>
        <w:rPr>
          <w:color w:val="231F20"/>
          <w:spacing w:val="-5"/>
        </w:rPr>
        <w:t> </w:t>
      </w:r>
      <w:r>
        <w:rPr>
          <w:color w:val="231F20"/>
        </w:rPr>
        <w:t>contexto,</w:t>
      </w:r>
      <w:r>
        <w:rPr>
          <w:color w:val="231F20"/>
          <w:spacing w:val="-5"/>
        </w:rPr>
        <w:t> </w:t>
      </w:r>
      <w:r>
        <w:rPr>
          <w:color w:val="231F20"/>
        </w:rPr>
        <w:t>ese</w:t>
      </w:r>
      <w:r>
        <w:rPr>
          <w:color w:val="231F20"/>
          <w:spacing w:val="-5"/>
        </w:rPr>
        <w:t> </w:t>
      </w:r>
      <w:r>
        <w:rPr>
          <w:color w:val="231F20"/>
        </w:rPr>
        <w:t>doble</w:t>
      </w:r>
      <w:r>
        <w:rPr>
          <w:color w:val="231F20"/>
          <w:spacing w:val="-5"/>
        </w:rPr>
        <w:t> </w:t>
      </w:r>
      <w:r>
        <w:rPr>
          <w:color w:val="231F20"/>
        </w:rPr>
        <w:t>rol</w:t>
      </w:r>
      <w:r>
        <w:rPr>
          <w:color w:val="231F20"/>
          <w:spacing w:val="-5"/>
        </w:rPr>
        <w:t> </w:t>
      </w:r>
      <w:r>
        <w:rPr>
          <w:color w:val="231F20"/>
        </w:rPr>
        <w:t>que</w:t>
      </w:r>
      <w:r>
        <w:rPr>
          <w:color w:val="231F20"/>
          <w:spacing w:val="-5"/>
        </w:rPr>
        <w:t> </w:t>
      </w:r>
      <w:r>
        <w:rPr>
          <w:color w:val="231F20"/>
        </w:rPr>
        <w:t>cumplen</w:t>
      </w:r>
      <w:r>
        <w:rPr>
          <w:color w:val="231F20"/>
          <w:spacing w:val="-5"/>
        </w:rPr>
        <w:t> </w:t>
      </w:r>
      <w:r>
        <w:rPr>
          <w:color w:val="231F20"/>
        </w:rPr>
        <w:t>los</w:t>
      </w:r>
      <w:r>
        <w:rPr>
          <w:color w:val="231F20"/>
          <w:spacing w:val="-5"/>
        </w:rPr>
        <w:t> </w:t>
      </w:r>
      <w:r>
        <w:rPr>
          <w:color w:val="231F20"/>
        </w:rPr>
        <w:t>hogares</w:t>
      </w:r>
      <w:r>
        <w:rPr>
          <w:color w:val="231F20"/>
          <w:spacing w:val="-5"/>
        </w:rPr>
        <w:t> </w:t>
      </w:r>
      <w:r>
        <w:rPr>
          <w:color w:val="231F20"/>
        </w:rPr>
        <w:t>conforma</w:t>
      </w:r>
      <w:r>
        <w:rPr>
          <w:color w:val="231F20"/>
          <w:spacing w:val="-5"/>
        </w:rPr>
        <w:t> </w:t>
      </w:r>
      <w:r>
        <w:rPr>
          <w:color w:val="231F20"/>
        </w:rPr>
        <w:t>sin duda un mecanismo fundamental para la reproducción material y cultural del individuo y del</w:t>
      </w:r>
      <w:r>
        <w:rPr>
          <w:color w:val="231F20"/>
          <w:spacing w:val="-1"/>
        </w:rPr>
        <w:t> </w:t>
      </w:r>
      <w:r>
        <w:rPr>
          <w:color w:val="231F20"/>
        </w:rPr>
        <w:t>grupo.</w:t>
      </w:r>
    </w:p>
    <w:p>
      <w:pPr>
        <w:pStyle w:val="BodyText"/>
        <w:spacing w:line="247" w:lineRule="auto"/>
        <w:ind w:left="477" w:right="294" w:firstLine="283"/>
        <w:jc w:val="both"/>
      </w:pPr>
      <w:r>
        <w:rPr>
          <w:color w:val="231F20"/>
        </w:rPr>
        <w:t>Por supuesto que es necesario reconocer que no todos los hogares que participan del fenómeno migratorio desarrollan este mecanismo de repro- ducción de la misma forma. Las estrategias, opciones y recursos que ma- nejan serán tan diversos como diversos son los hogares. Al mismo tiempo es</w:t>
      </w:r>
      <w:r>
        <w:rPr>
          <w:color w:val="231F20"/>
          <w:spacing w:val="-7"/>
        </w:rPr>
        <w:t> </w:t>
      </w:r>
      <w:r>
        <w:rPr>
          <w:color w:val="231F20"/>
        </w:rPr>
        <w:t>importante</w:t>
      </w:r>
      <w:r>
        <w:rPr>
          <w:color w:val="231F20"/>
          <w:spacing w:val="-7"/>
        </w:rPr>
        <w:t> </w:t>
      </w:r>
      <w:r>
        <w:rPr>
          <w:color w:val="231F20"/>
        </w:rPr>
        <w:t>tener</w:t>
      </w:r>
      <w:r>
        <w:rPr>
          <w:color w:val="231F20"/>
          <w:spacing w:val="-7"/>
        </w:rPr>
        <w:t> </w:t>
      </w:r>
      <w:r>
        <w:rPr>
          <w:color w:val="231F20"/>
        </w:rPr>
        <w:t>en</w:t>
      </w:r>
      <w:r>
        <w:rPr>
          <w:color w:val="231F20"/>
          <w:spacing w:val="-7"/>
        </w:rPr>
        <w:t> </w:t>
      </w:r>
      <w:r>
        <w:rPr>
          <w:color w:val="231F20"/>
        </w:rPr>
        <w:t>cuenta</w:t>
      </w:r>
      <w:r>
        <w:rPr>
          <w:color w:val="231F20"/>
          <w:spacing w:val="-7"/>
        </w:rPr>
        <w:t> </w:t>
      </w:r>
      <w:r>
        <w:rPr>
          <w:color w:val="231F20"/>
        </w:rPr>
        <w:t>algún</w:t>
      </w:r>
      <w:r>
        <w:rPr>
          <w:color w:val="231F20"/>
          <w:spacing w:val="-7"/>
        </w:rPr>
        <w:t> </w:t>
      </w:r>
      <w:r>
        <w:rPr>
          <w:color w:val="231F20"/>
        </w:rPr>
        <w:t>punto</w:t>
      </w:r>
      <w:r>
        <w:rPr>
          <w:color w:val="231F20"/>
          <w:spacing w:val="-7"/>
        </w:rPr>
        <w:t> </w:t>
      </w:r>
      <w:r>
        <w:rPr>
          <w:color w:val="231F20"/>
        </w:rPr>
        <w:t>de</w:t>
      </w:r>
      <w:r>
        <w:rPr>
          <w:color w:val="231F20"/>
          <w:spacing w:val="-7"/>
        </w:rPr>
        <w:t> </w:t>
      </w:r>
      <w:r>
        <w:rPr>
          <w:color w:val="231F20"/>
        </w:rPr>
        <w:t>comparación</w:t>
      </w:r>
      <w:r>
        <w:rPr>
          <w:color w:val="231F20"/>
          <w:spacing w:val="-7"/>
        </w:rPr>
        <w:t> </w:t>
      </w:r>
      <w:r>
        <w:rPr>
          <w:color w:val="231F20"/>
        </w:rPr>
        <w:t>para</w:t>
      </w:r>
      <w:r>
        <w:rPr>
          <w:color w:val="231F20"/>
          <w:spacing w:val="-7"/>
        </w:rPr>
        <w:t> </w:t>
      </w:r>
      <w:r>
        <w:rPr>
          <w:color w:val="231F20"/>
        </w:rPr>
        <w:t>identificar, si</w:t>
      </w:r>
      <w:r>
        <w:rPr>
          <w:color w:val="231F20"/>
          <w:spacing w:val="-7"/>
        </w:rPr>
        <w:t> </w:t>
      </w:r>
      <w:r>
        <w:rPr>
          <w:color w:val="231F20"/>
        </w:rPr>
        <w:t>es</w:t>
      </w:r>
      <w:r>
        <w:rPr>
          <w:color w:val="231F20"/>
          <w:spacing w:val="-7"/>
        </w:rPr>
        <w:t> </w:t>
      </w:r>
      <w:r>
        <w:rPr>
          <w:color w:val="231F20"/>
        </w:rPr>
        <w:t>que</w:t>
      </w:r>
      <w:r>
        <w:rPr>
          <w:color w:val="231F20"/>
          <w:spacing w:val="-8"/>
        </w:rPr>
        <w:t> </w:t>
      </w:r>
      <w:r>
        <w:rPr>
          <w:color w:val="231F20"/>
        </w:rPr>
        <w:t>existen,</w:t>
      </w:r>
      <w:r>
        <w:rPr>
          <w:color w:val="231F20"/>
          <w:spacing w:val="-8"/>
        </w:rPr>
        <w:t> </w:t>
      </w:r>
      <w:r>
        <w:rPr>
          <w:color w:val="231F20"/>
        </w:rPr>
        <w:t>las</w:t>
      </w:r>
      <w:r>
        <w:rPr>
          <w:color w:val="231F20"/>
          <w:spacing w:val="-8"/>
        </w:rPr>
        <w:t> </w:t>
      </w:r>
      <w:r>
        <w:rPr>
          <w:color w:val="231F20"/>
        </w:rPr>
        <w:t>particularidades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hogares</w:t>
      </w:r>
      <w:r>
        <w:rPr>
          <w:color w:val="231F20"/>
          <w:spacing w:val="-8"/>
        </w:rPr>
        <w:t> </w:t>
      </w:r>
      <w:r>
        <w:rPr>
          <w:color w:val="231F20"/>
        </w:rPr>
        <w:t>migrantes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imple- mentación y puesta en práctica de estrategias para la sobrevivencia y con- solidación de redes sociales. De ahí la necesidad de contemplar  </w:t>
      </w:r>
      <w:r>
        <w:rPr>
          <w:color w:val="231F20"/>
          <w:spacing w:val="52"/>
        </w:rPr>
        <w:t> </w:t>
      </w:r>
      <w:r>
        <w:rPr>
          <w:color w:val="231F20"/>
        </w:rPr>
        <w:t>también</w:t>
      </w:r>
    </w:p>
    <w:p>
      <w:pPr>
        <w:spacing w:after="0" w:line="247" w:lineRule="auto"/>
        <w:jc w:val="both"/>
        <w:sectPr>
          <w:footerReference w:type="default" r:id="rId191"/>
          <w:pgSz w:w="9360" w:h="13040"/>
          <w:pgMar w:footer="496" w:header="0" w:top="320" w:bottom="680" w:left="940" w:right="1120"/>
          <w:pgNumType w:start="251"/>
        </w:sectPr>
      </w:pPr>
    </w:p>
    <w:p>
      <w:pPr>
        <w:tabs>
          <w:tab w:pos="5536" w:val="left" w:leader="none"/>
        </w:tabs>
        <w:spacing w:before="51"/>
        <w:ind w:left="117" w:right="0" w:firstLine="11"/>
        <w:jc w:val="both"/>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115"/>
        <w:jc w:val="both"/>
      </w:pPr>
      <w:r>
        <w:rPr>
          <w:color w:val="231F20"/>
        </w:rPr>
        <w:t>las</w:t>
      </w:r>
      <w:r>
        <w:rPr>
          <w:color w:val="231F20"/>
          <w:spacing w:val="-5"/>
        </w:rPr>
        <w:t> </w:t>
      </w:r>
      <w:r>
        <w:rPr>
          <w:color w:val="231F20"/>
        </w:rPr>
        <w:t>características</w:t>
      </w:r>
      <w:r>
        <w:rPr>
          <w:color w:val="231F20"/>
          <w:spacing w:val="-5"/>
        </w:rPr>
        <w:t> </w:t>
      </w:r>
      <w:r>
        <w:rPr>
          <w:color w:val="231F20"/>
        </w:rPr>
        <w:t>de</w:t>
      </w:r>
      <w:r>
        <w:rPr>
          <w:color w:val="231F20"/>
          <w:spacing w:val="-5"/>
        </w:rPr>
        <w:t> </w:t>
      </w:r>
      <w:r>
        <w:rPr>
          <w:color w:val="231F20"/>
        </w:rPr>
        <w:t>organización</w:t>
      </w:r>
      <w:r>
        <w:rPr>
          <w:color w:val="231F20"/>
          <w:spacing w:val="-5"/>
        </w:rPr>
        <w:t> </w:t>
      </w:r>
      <w:r>
        <w:rPr>
          <w:color w:val="231F20"/>
        </w:rPr>
        <w:t>y</w:t>
      </w:r>
      <w:r>
        <w:rPr>
          <w:color w:val="231F20"/>
          <w:spacing w:val="-5"/>
        </w:rPr>
        <w:t> </w:t>
      </w:r>
      <w:r>
        <w:rPr>
          <w:color w:val="231F20"/>
        </w:rPr>
        <w:t>funcionamiento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hogares</w:t>
      </w:r>
      <w:r>
        <w:rPr>
          <w:color w:val="231F20"/>
          <w:spacing w:val="-5"/>
        </w:rPr>
        <w:t> </w:t>
      </w:r>
      <w:r>
        <w:rPr>
          <w:color w:val="231F20"/>
        </w:rPr>
        <w:t>que</w:t>
      </w:r>
      <w:r>
        <w:rPr>
          <w:color w:val="231F20"/>
          <w:spacing w:val="-5"/>
        </w:rPr>
        <w:t> </w:t>
      </w:r>
      <w:r>
        <w:rPr>
          <w:color w:val="231F20"/>
        </w:rPr>
        <w:t>no participan directamente en el fenómeno</w:t>
      </w:r>
      <w:r>
        <w:rPr>
          <w:color w:val="231F20"/>
          <w:spacing w:val="-1"/>
        </w:rPr>
        <w:t> </w:t>
      </w:r>
      <w:r>
        <w:rPr>
          <w:color w:val="231F20"/>
        </w:rPr>
        <w:t>migratorio.</w:t>
      </w:r>
    </w:p>
    <w:p>
      <w:pPr>
        <w:pStyle w:val="BodyText"/>
        <w:spacing w:line="247" w:lineRule="auto"/>
        <w:ind w:left="117" w:right="114" w:firstLine="283"/>
        <w:jc w:val="both"/>
      </w:pPr>
      <w:r>
        <w:rPr>
          <w:color w:val="231F20"/>
        </w:rPr>
        <w:t>Con ese interés este artículo presenta y analiza buena parte de la in- formación socio demográfica y socio económica de los individuos y sus hogares</w:t>
      </w:r>
      <w:r>
        <w:rPr>
          <w:color w:val="231F20"/>
          <w:spacing w:val="-12"/>
        </w:rPr>
        <w:t> </w:t>
      </w:r>
      <w:r>
        <w:rPr>
          <w:color w:val="231F20"/>
        </w:rPr>
        <w:t>captada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Encuesta</w:t>
      </w:r>
      <w:r>
        <w:rPr>
          <w:color w:val="231F20"/>
          <w:spacing w:val="-12"/>
        </w:rPr>
        <w:t> </w:t>
      </w:r>
      <w:r>
        <w:rPr>
          <w:color w:val="231F20"/>
        </w:rPr>
        <w:t>sobre</w:t>
      </w:r>
      <w:r>
        <w:rPr>
          <w:color w:val="231F20"/>
          <w:spacing w:val="-12"/>
        </w:rPr>
        <w:t> </w:t>
      </w:r>
      <w:r>
        <w:rPr>
          <w:color w:val="231F20"/>
        </w:rPr>
        <w:t>Migración</w:t>
      </w:r>
      <w:r>
        <w:rPr>
          <w:color w:val="231F20"/>
          <w:spacing w:val="-12"/>
        </w:rPr>
        <w:t> </w:t>
      </w:r>
      <w:r>
        <w:rPr>
          <w:color w:val="231F20"/>
        </w:rPr>
        <w:t>de</w:t>
      </w:r>
      <w:r>
        <w:rPr>
          <w:color w:val="231F20"/>
          <w:spacing w:val="-12"/>
        </w:rPr>
        <w:t> </w:t>
      </w:r>
      <w:r>
        <w:rPr>
          <w:color w:val="231F20"/>
        </w:rPr>
        <w:t>Mexiquenses</w:t>
      </w:r>
      <w:r>
        <w:rPr>
          <w:color w:val="231F20"/>
          <w:spacing w:val="-12"/>
        </w:rPr>
        <w:t> </w:t>
      </w:r>
      <w:r>
        <w:rPr>
          <w:color w:val="231F20"/>
        </w:rPr>
        <w:t>a</w:t>
      </w:r>
      <w:r>
        <w:rPr>
          <w:color w:val="231F20"/>
          <w:spacing w:val="-12"/>
        </w:rPr>
        <w:t> </w:t>
      </w:r>
      <w:r>
        <w:rPr>
          <w:color w:val="231F20"/>
        </w:rPr>
        <w:t>Estados Unidos EMMEU 2009 (CIEAP/UAEM, 2009), buscando dar respuesta a una serie de preguntas ¿De qué forma incide la migración de uno o varios miembros de un hogar en las condiciones de vida del mismo? ¿Existen diferencias en el capital social (básicamente educativo) entre los hogares que participan de la migración y quienes no se vinculan con este </w:t>
      </w:r>
      <w:r>
        <w:rPr>
          <w:color w:val="231F20"/>
          <w:spacing w:val="52"/>
        </w:rPr>
        <w:t> </w:t>
      </w:r>
      <w:r>
        <w:rPr>
          <w:color w:val="231F20"/>
        </w:rPr>
        <w:t>evento?</w:t>
      </w:r>
    </w:p>
    <w:p>
      <w:pPr>
        <w:pStyle w:val="BodyText"/>
        <w:spacing w:line="247" w:lineRule="auto"/>
        <w:ind w:left="117" w:right="115"/>
        <w:jc w:val="both"/>
      </w:pPr>
      <w:r>
        <w:rPr>
          <w:color w:val="231F20"/>
        </w:rPr>
        <w:t>¿Es posible reconocer cuáles son los factores que establecen diferencias en la decisión y el momento en que un hogar participa de la migración?</w:t>
      </w:r>
    </w:p>
    <w:p>
      <w:pPr>
        <w:pStyle w:val="BodyText"/>
        <w:spacing w:line="253" w:lineRule="exact"/>
        <w:ind w:left="117"/>
        <w:jc w:val="both"/>
      </w:pPr>
      <w:r>
        <w:rPr>
          <w:color w:val="231F20"/>
        </w:rPr>
        <w:t>¿Cuáles son esos factores?</w:t>
      </w:r>
    </w:p>
    <w:p>
      <w:pPr>
        <w:pStyle w:val="Heading3"/>
        <w:spacing w:before="178"/>
      </w:pPr>
      <w:r>
        <w:rPr>
          <w:color w:val="231F20"/>
        </w:rPr>
        <w:t>La Encuesta sobre Migración de Mexiquenses a Estados Unidos</w:t>
      </w:r>
    </w:p>
    <w:p>
      <w:pPr>
        <w:pStyle w:val="BodyText"/>
        <w:spacing w:line="247" w:lineRule="auto" w:before="172"/>
        <w:ind w:left="117" w:right="115"/>
        <w:jc w:val="both"/>
      </w:pPr>
      <w:r>
        <w:rPr>
          <w:color w:val="231F20"/>
        </w:rPr>
        <w:t>El</w:t>
      </w:r>
      <w:r>
        <w:rPr>
          <w:color w:val="231F20"/>
          <w:spacing w:val="-7"/>
        </w:rPr>
        <w:t> </w:t>
      </w:r>
      <w:r>
        <w:rPr>
          <w:color w:val="231F20"/>
        </w:rPr>
        <w:t>Estado</w:t>
      </w:r>
      <w:r>
        <w:rPr>
          <w:color w:val="231F20"/>
          <w:spacing w:val="-7"/>
        </w:rPr>
        <w:t> </w:t>
      </w:r>
      <w:r>
        <w:rPr>
          <w:color w:val="231F20"/>
        </w:rPr>
        <w:t>de</w:t>
      </w:r>
      <w:r>
        <w:rPr>
          <w:color w:val="231F20"/>
          <w:spacing w:val="-7"/>
        </w:rPr>
        <w:t> </w:t>
      </w:r>
      <w:r>
        <w:rPr>
          <w:color w:val="231F20"/>
        </w:rPr>
        <w:t>México</w:t>
      </w:r>
      <w:r>
        <w:rPr>
          <w:color w:val="231F20"/>
          <w:spacing w:val="-7"/>
        </w:rPr>
        <w:t> </w:t>
      </w:r>
      <w:r>
        <w:rPr>
          <w:color w:val="231F20"/>
        </w:rPr>
        <w:t>es</w:t>
      </w:r>
      <w:r>
        <w:rPr>
          <w:color w:val="231F20"/>
          <w:spacing w:val="-7"/>
        </w:rPr>
        <w:t> </w:t>
      </w:r>
      <w:r>
        <w:rPr>
          <w:color w:val="231F20"/>
        </w:rPr>
        <w:t>una</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entidades</w:t>
      </w:r>
      <w:r>
        <w:rPr>
          <w:color w:val="231F20"/>
          <w:spacing w:val="-8"/>
        </w:rPr>
        <w:t> </w:t>
      </w:r>
      <w:r>
        <w:rPr>
          <w:color w:val="231F20"/>
        </w:rPr>
        <w:t>más</w:t>
      </w:r>
      <w:r>
        <w:rPr>
          <w:color w:val="231F20"/>
          <w:spacing w:val="-7"/>
        </w:rPr>
        <w:t> </w:t>
      </w:r>
      <w:r>
        <w:rPr>
          <w:color w:val="231F20"/>
        </w:rPr>
        <w:t>pobladas</w:t>
      </w:r>
      <w:r>
        <w:rPr>
          <w:color w:val="231F20"/>
          <w:spacing w:val="-7"/>
        </w:rPr>
        <w:t> </w:t>
      </w:r>
      <w:r>
        <w:rPr>
          <w:color w:val="231F20"/>
        </w:rPr>
        <w:t>y</w:t>
      </w:r>
      <w:r>
        <w:rPr>
          <w:color w:val="231F20"/>
          <w:spacing w:val="-7"/>
        </w:rPr>
        <w:t> </w:t>
      </w:r>
      <w:r>
        <w:rPr>
          <w:color w:val="231F20"/>
        </w:rPr>
        <w:t>con</w:t>
      </w:r>
      <w:r>
        <w:rPr>
          <w:color w:val="231F20"/>
          <w:spacing w:val="-7"/>
        </w:rPr>
        <w:t> </w:t>
      </w:r>
      <w:r>
        <w:rPr>
          <w:color w:val="231F20"/>
        </w:rPr>
        <w:t>mayor</w:t>
      </w:r>
      <w:r>
        <w:rPr>
          <w:color w:val="231F20"/>
          <w:spacing w:val="-7"/>
        </w:rPr>
        <w:t> </w:t>
      </w:r>
      <w:r>
        <w:rPr>
          <w:color w:val="231F20"/>
        </w:rPr>
        <w:t>di- namismo</w:t>
      </w:r>
      <w:r>
        <w:rPr>
          <w:color w:val="231F20"/>
          <w:spacing w:val="-11"/>
        </w:rPr>
        <w:t> </w:t>
      </w:r>
      <w:r>
        <w:rPr>
          <w:color w:val="231F20"/>
        </w:rPr>
        <w:t>migratorio</w:t>
      </w:r>
      <w:r>
        <w:rPr>
          <w:color w:val="231F20"/>
          <w:spacing w:val="-11"/>
        </w:rPr>
        <w:t> </w:t>
      </w:r>
      <w:r>
        <w:rPr>
          <w:color w:val="231F20"/>
        </w:rPr>
        <w:t>del</w:t>
      </w:r>
      <w:r>
        <w:rPr>
          <w:color w:val="231F20"/>
          <w:spacing w:val="-11"/>
        </w:rPr>
        <w:t> </w:t>
      </w:r>
      <w:r>
        <w:rPr>
          <w:color w:val="231F20"/>
        </w:rPr>
        <w:t>país.</w:t>
      </w:r>
      <w:r>
        <w:rPr>
          <w:color w:val="231F20"/>
          <w:spacing w:val="-11"/>
        </w:rPr>
        <w:t> </w:t>
      </w:r>
      <w:r>
        <w:rPr>
          <w:color w:val="231F20"/>
        </w:rPr>
        <w:t>Basta</w:t>
      </w:r>
      <w:r>
        <w:rPr>
          <w:color w:val="231F20"/>
          <w:spacing w:val="-11"/>
        </w:rPr>
        <w:t> </w:t>
      </w:r>
      <w:r>
        <w:rPr>
          <w:color w:val="231F20"/>
        </w:rPr>
        <w:t>decir</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1970</w:t>
      </w:r>
      <w:r>
        <w:rPr>
          <w:color w:val="231F20"/>
          <w:spacing w:val="-11"/>
        </w:rPr>
        <w:t> </w:t>
      </w:r>
      <w:r>
        <w:rPr>
          <w:color w:val="231F20"/>
        </w:rPr>
        <w:t>la</w:t>
      </w:r>
      <w:r>
        <w:rPr>
          <w:color w:val="231F20"/>
          <w:spacing w:val="-11"/>
        </w:rPr>
        <w:t> </w:t>
      </w:r>
      <w:r>
        <w:rPr>
          <w:color w:val="231F20"/>
        </w:rPr>
        <w:t>población</w:t>
      </w:r>
      <w:r>
        <w:rPr>
          <w:color w:val="231F20"/>
          <w:spacing w:val="-11"/>
        </w:rPr>
        <w:t> </w:t>
      </w:r>
      <w:r>
        <w:rPr>
          <w:color w:val="231F20"/>
        </w:rPr>
        <w:t>migran- te representaba aproximadamente cinco por ciento del total, proporción que</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actualidad</w:t>
      </w:r>
      <w:r>
        <w:rPr>
          <w:color w:val="231F20"/>
          <w:spacing w:val="-12"/>
        </w:rPr>
        <w:t> </w:t>
      </w:r>
      <w:r>
        <w:rPr>
          <w:color w:val="231F20"/>
        </w:rPr>
        <w:t>asciende</w:t>
      </w:r>
      <w:r>
        <w:rPr>
          <w:color w:val="231F20"/>
          <w:spacing w:val="-12"/>
        </w:rPr>
        <w:t> </w:t>
      </w:r>
      <w:r>
        <w:rPr>
          <w:color w:val="231F20"/>
        </w:rPr>
        <w:t>a</w:t>
      </w:r>
      <w:r>
        <w:rPr>
          <w:color w:val="231F20"/>
          <w:spacing w:val="-12"/>
        </w:rPr>
        <w:t> </w:t>
      </w:r>
      <w:r>
        <w:rPr>
          <w:color w:val="231F20"/>
        </w:rPr>
        <w:t>44</w:t>
      </w:r>
      <w:r>
        <w:rPr>
          <w:color w:val="231F20"/>
          <w:spacing w:val="-12"/>
        </w:rPr>
        <w:t> </w:t>
      </w:r>
      <w:r>
        <w:rPr>
          <w:color w:val="231F20"/>
        </w:rPr>
        <w:t>por</w:t>
      </w:r>
      <w:r>
        <w:rPr>
          <w:color w:val="231F20"/>
          <w:spacing w:val="-12"/>
        </w:rPr>
        <w:t> </w:t>
      </w:r>
      <w:r>
        <w:rPr>
          <w:color w:val="231F20"/>
        </w:rPr>
        <w:t>ciento.</w:t>
      </w:r>
      <w:r>
        <w:rPr>
          <w:color w:val="231F20"/>
          <w:spacing w:val="-12"/>
        </w:rPr>
        <w:t> </w:t>
      </w:r>
      <w:r>
        <w:rPr>
          <w:color w:val="231F20"/>
        </w:rPr>
        <w:t>En</w:t>
      </w:r>
      <w:r>
        <w:rPr>
          <w:color w:val="231F20"/>
          <w:spacing w:val="-12"/>
        </w:rPr>
        <w:t> </w:t>
      </w:r>
      <w:r>
        <w:rPr>
          <w:color w:val="231F20"/>
        </w:rPr>
        <w:t>particular,</w:t>
      </w:r>
      <w:r>
        <w:rPr>
          <w:color w:val="231F20"/>
          <w:spacing w:val="-12"/>
        </w:rPr>
        <w:t> </w:t>
      </w:r>
      <w:r>
        <w:rPr>
          <w:color w:val="231F20"/>
        </w:rPr>
        <w:t>la</w:t>
      </w:r>
      <w:r>
        <w:rPr>
          <w:color w:val="231F20"/>
          <w:spacing w:val="-12"/>
        </w:rPr>
        <w:t> </w:t>
      </w:r>
      <w:r>
        <w:rPr>
          <w:color w:val="231F20"/>
        </w:rPr>
        <w:t>migración</w:t>
      </w:r>
      <w:r>
        <w:rPr>
          <w:color w:val="231F20"/>
          <w:spacing w:val="-12"/>
        </w:rPr>
        <w:t> </w:t>
      </w:r>
      <w:r>
        <w:rPr>
          <w:color w:val="231F20"/>
        </w:rPr>
        <w:t>de mexiquenses a Estados Unidos ha llegado a magnitudes importantes colo- cándose</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últimos</w:t>
      </w:r>
      <w:r>
        <w:rPr>
          <w:color w:val="231F20"/>
          <w:spacing w:val="-7"/>
        </w:rPr>
        <w:t> </w:t>
      </w:r>
      <w:r>
        <w:rPr>
          <w:color w:val="231F20"/>
        </w:rPr>
        <w:t>años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cuarto</w:t>
      </w:r>
      <w:r>
        <w:rPr>
          <w:color w:val="231F20"/>
          <w:spacing w:val="-7"/>
        </w:rPr>
        <w:t> </w:t>
      </w:r>
      <w:r>
        <w:rPr>
          <w:color w:val="231F20"/>
        </w:rPr>
        <w:t>lugar</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tablero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migración internacional en relación con el resto de las entidades</w:t>
      </w:r>
      <w:r>
        <w:rPr>
          <w:color w:val="231F20"/>
          <w:spacing w:val="-5"/>
        </w:rPr>
        <w:t> </w:t>
      </w:r>
      <w:r>
        <w:rPr>
          <w:color w:val="231F20"/>
        </w:rPr>
        <w:t>federativas.</w:t>
      </w:r>
    </w:p>
    <w:p>
      <w:pPr>
        <w:pStyle w:val="BodyText"/>
        <w:spacing w:line="247" w:lineRule="auto"/>
        <w:ind w:left="117" w:right="114" w:firstLine="283"/>
        <w:jc w:val="both"/>
      </w:pPr>
      <w:r>
        <w:rPr>
          <w:color w:val="231F20"/>
        </w:rPr>
        <w:t>A partir de la información de diversas encuestas y censos, se sabe que la entidad mexiquense presenta, entre otras características, diversos patro- nes regionales en cuanto a la migración internacional (zonas</w:t>
      </w:r>
      <w:r>
        <w:rPr>
          <w:color w:val="231F20"/>
          <w:spacing w:val="-21"/>
        </w:rPr>
        <w:t> </w:t>
      </w:r>
      <w:r>
        <w:rPr>
          <w:color w:val="231F20"/>
        </w:rPr>
        <w:t>tradicionales, zonas de reciente incorporación como las zonas metropolitanas y zonas indígenas). Los factores que influyen en dicha migración son diversos,</w:t>
      </w:r>
      <w:r>
        <w:rPr>
          <w:color w:val="231F20"/>
          <w:spacing w:val="-33"/>
        </w:rPr>
        <w:t> </w:t>
      </w:r>
      <w:r>
        <w:rPr>
          <w:color w:val="231F20"/>
        </w:rPr>
        <w:t>de- pendiendo de la región de origen y destino, así como de las características de los individuos y sus</w:t>
      </w:r>
      <w:r>
        <w:rPr>
          <w:color w:val="231F20"/>
          <w:spacing w:val="-4"/>
        </w:rPr>
        <w:t> </w:t>
      </w:r>
      <w:r>
        <w:rPr>
          <w:color w:val="231F20"/>
        </w:rPr>
        <w:t>hogares.</w:t>
      </w:r>
    </w:p>
    <w:p>
      <w:pPr>
        <w:pStyle w:val="BodyText"/>
        <w:spacing w:line="247" w:lineRule="auto"/>
        <w:ind w:left="117" w:right="114" w:firstLine="283"/>
        <w:jc w:val="both"/>
      </w:pPr>
      <w:r>
        <w:rPr>
          <w:color w:val="231F20"/>
        </w:rPr>
        <w:t>Por otra parte, es ampliamente reconocido que la dinámica y las condi- ciones de los mercados de trabajo mexicano y estadounidense, que atraen y expulsan migrantes de uno y otro lado de la frontera, así como las redes sociales y familiares que utilizan los migrantes en sus desplazamientos, el papel desempeñado por las remesas y las características de conformación de los hogares entre otros factores, configuran la relevancia que tienen los desplazamientos migratorios internacionales.</w:t>
      </w:r>
    </w:p>
    <w:p>
      <w:pPr>
        <w:pStyle w:val="BodyText"/>
        <w:spacing w:line="247" w:lineRule="auto"/>
        <w:ind w:left="117" w:right="114" w:firstLine="283"/>
        <w:jc w:val="both"/>
      </w:pPr>
      <w:r>
        <w:rPr>
          <w:color w:val="231F20"/>
        </w:rPr>
        <w:t>Si bien en México existe una amplia base de fuentes de información que permiten el análisis de la migración internacional, muy pocos de</w:t>
      </w:r>
      <w:r>
        <w:rPr>
          <w:color w:val="231F20"/>
          <w:spacing w:val="-25"/>
        </w:rPr>
        <w:t> </w:t>
      </w:r>
      <w:r>
        <w:rPr>
          <w:color w:val="231F20"/>
        </w:rPr>
        <w:t>estos datos</w:t>
      </w:r>
      <w:r>
        <w:rPr>
          <w:color w:val="231F20"/>
          <w:spacing w:val="-10"/>
        </w:rPr>
        <w:t> </w:t>
      </w:r>
      <w:r>
        <w:rPr>
          <w:color w:val="231F20"/>
        </w:rPr>
        <w:t>pueden</w:t>
      </w:r>
      <w:r>
        <w:rPr>
          <w:color w:val="231F20"/>
          <w:spacing w:val="-10"/>
        </w:rPr>
        <w:t> </w:t>
      </w:r>
      <w:r>
        <w:rPr>
          <w:color w:val="231F20"/>
        </w:rPr>
        <w:t>ser</w:t>
      </w:r>
      <w:r>
        <w:rPr>
          <w:color w:val="231F20"/>
          <w:spacing w:val="-10"/>
        </w:rPr>
        <w:t> </w:t>
      </w:r>
      <w:r>
        <w:rPr>
          <w:color w:val="231F20"/>
        </w:rPr>
        <w:t>desagregados</w:t>
      </w:r>
      <w:r>
        <w:rPr>
          <w:color w:val="231F20"/>
          <w:spacing w:val="-10"/>
        </w:rPr>
        <w:t> </w:t>
      </w:r>
      <w:r>
        <w:rPr>
          <w:color w:val="231F20"/>
        </w:rPr>
        <w:t>y</w:t>
      </w:r>
      <w:r>
        <w:rPr>
          <w:color w:val="231F20"/>
          <w:spacing w:val="-10"/>
        </w:rPr>
        <w:t> </w:t>
      </w:r>
      <w:r>
        <w:rPr>
          <w:color w:val="231F20"/>
        </w:rPr>
        <w:t>representativos</w:t>
      </w:r>
      <w:r>
        <w:rPr>
          <w:color w:val="231F20"/>
          <w:spacing w:val="-10"/>
        </w:rPr>
        <w:t> </w:t>
      </w:r>
      <w:r>
        <w:rPr>
          <w:color w:val="231F20"/>
        </w:rPr>
        <w:t>para</w:t>
      </w:r>
      <w:r>
        <w:rPr>
          <w:color w:val="231F20"/>
          <w:spacing w:val="-10"/>
        </w:rPr>
        <w:t> </w:t>
      </w:r>
      <w:r>
        <w:rPr>
          <w:color w:val="231F20"/>
        </w:rPr>
        <w:t>el</w:t>
      </w:r>
      <w:r>
        <w:rPr>
          <w:color w:val="231F20"/>
          <w:spacing w:val="-10"/>
        </w:rPr>
        <w:t> </w:t>
      </w:r>
      <w:r>
        <w:rPr>
          <w:color w:val="231F20"/>
        </w:rPr>
        <w:t>Estado</w:t>
      </w:r>
      <w:r>
        <w:rPr>
          <w:color w:val="231F20"/>
          <w:spacing w:val="-10"/>
        </w:rPr>
        <w:t> </w:t>
      </w:r>
      <w:r>
        <w:rPr>
          <w:color w:val="231F20"/>
        </w:rPr>
        <w:t>de</w:t>
      </w:r>
      <w:r>
        <w:rPr>
          <w:color w:val="231F20"/>
          <w:spacing w:val="-10"/>
        </w:rPr>
        <w:t> </w:t>
      </w:r>
      <w:r>
        <w:rPr>
          <w:color w:val="231F20"/>
        </w:rPr>
        <w:t>México.</w:t>
      </w:r>
    </w:p>
    <w:p>
      <w:pPr>
        <w:spacing w:after="0" w:line="247" w:lineRule="auto"/>
        <w:jc w:val="both"/>
        <w:sectPr>
          <w:pgSz w:w="9360" w:h="13040"/>
          <w:pgMar w:header="0" w:footer="496" w:top="840" w:bottom="680" w:left="1300" w:right="1300"/>
        </w:sectPr>
      </w:pPr>
    </w:p>
    <w:p>
      <w:pPr>
        <w:spacing w:before="45"/>
        <w:ind w:left="117" w:right="0" w:firstLine="713"/>
        <w:jc w:val="left"/>
        <w:rPr>
          <w:rFonts w:ascii="Arial" w:hAnsi="Arial"/>
          <w:i/>
          <w:sz w:val="20"/>
        </w:rPr>
      </w:pPr>
      <w:r>
        <w:rPr>
          <w:rFonts w:ascii="Arial" w:hAnsi="Arial"/>
          <w:color w:val="231F20"/>
          <w:w w:val="70"/>
          <w:sz w:val="20"/>
        </w:rPr>
        <w:t>La dinámica migratoria al interior de los hogares: formas... /Rosa Patricia Román-Reyes </w:t>
      </w:r>
      <w:r>
        <w:rPr>
          <w:rFonts w:ascii="Arial" w:hAnsi="Arial"/>
          <w:i/>
          <w:color w:val="231F20"/>
          <w:w w:val="70"/>
          <w:sz w:val="20"/>
        </w:rPr>
        <w:t>et al.</w:t>
      </w:r>
    </w:p>
    <w:p>
      <w:pPr>
        <w:pStyle w:val="BodyText"/>
        <w:spacing w:before="7"/>
        <w:rPr>
          <w:rFonts w:ascii="Arial"/>
          <w:i/>
          <w:sz w:val="28"/>
        </w:rPr>
      </w:pPr>
    </w:p>
    <w:p>
      <w:pPr>
        <w:pStyle w:val="BodyText"/>
        <w:spacing w:line="247" w:lineRule="auto"/>
        <w:ind w:left="117" w:right="114"/>
        <w:jc w:val="both"/>
      </w:pPr>
      <w:r>
        <w:rPr>
          <w:color w:val="231F20"/>
        </w:rPr>
        <w:t>A esto se suma la necesidad de comenzar a incorporar en las encuestas las características</w:t>
      </w:r>
      <w:r>
        <w:rPr>
          <w:color w:val="231F20"/>
          <w:spacing w:val="-7"/>
        </w:rPr>
        <w:t> </w:t>
      </w:r>
      <w:r>
        <w:rPr>
          <w:color w:val="231F20"/>
        </w:rPr>
        <w:t>de</w:t>
      </w:r>
      <w:r>
        <w:rPr>
          <w:color w:val="231F20"/>
          <w:spacing w:val="-7"/>
        </w:rPr>
        <w:t> </w:t>
      </w:r>
      <w:r>
        <w:rPr>
          <w:color w:val="231F20"/>
        </w:rPr>
        <w:t>configuración</w:t>
      </w:r>
      <w:r>
        <w:rPr>
          <w:color w:val="231F20"/>
          <w:spacing w:val="-7"/>
        </w:rPr>
        <w:t> </w:t>
      </w:r>
      <w:r>
        <w:rPr>
          <w:color w:val="231F20"/>
        </w:rPr>
        <w:t>y</w:t>
      </w:r>
      <w:r>
        <w:rPr>
          <w:color w:val="231F20"/>
          <w:spacing w:val="-7"/>
        </w:rPr>
        <w:t> </w:t>
      </w:r>
      <w:r>
        <w:rPr>
          <w:color w:val="231F20"/>
        </w:rPr>
        <w:t>funcionamiento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redes</w:t>
      </w:r>
      <w:r>
        <w:rPr>
          <w:color w:val="231F20"/>
          <w:spacing w:val="-7"/>
        </w:rPr>
        <w:t> </w:t>
      </w:r>
      <w:r>
        <w:rPr>
          <w:color w:val="231F20"/>
        </w:rPr>
        <w:t>sociales,</w:t>
      </w:r>
      <w:r>
        <w:rPr>
          <w:color w:val="231F20"/>
          <w:spacing w:val="-7"/>
        </w:rPr>
        <w:t> </w:t>
      </w:r>
      <w:r>
        <w:rPr>
          <w:color w:val="231F20"/>
        </w:rPr>
        <w:t>las cuales han venido a perfilar la migración en los últimos años y han sido escasamente abordadas en otras encuestas sobre el tema. De ahí la impor- tancia de contar con estudios que den cuenta de dichos aspectos, ya que el conocimiento de las consecuencias demográficas, sociales y económicas de la migración (composición, estructura, dinámica y distribución pobla- cional) constituyen aspectos de suma importancia para formular políticas de población.</w:t>
      </w:r>
    </w:p>
    <w:p>
      <w:pPr>
        <w:pStyle w:val="BodyText"/>
        <w:spacing w:line="247" w:lineRule="auto"/>
        <w:ind w:left="117" w:right="115" w:firstLine="283"/>
        <w:jc w:val="both"/>
      </w:pPr>
      <w:r>
        <w:rPr>
          <w:color w:val="231F20"/>
        </w:rPr>
        <w:t>Con la finalidad de aportar elementos cuantitativos de utilidad para el diseño de un diagnóstico actualizado de la situación de la migración en el Estado de México, la Universidad Autónoma del Estado de México a tra- vés</w:t>
      </w:r>
      <w:r>
        <w:rPr>
          <w:color w:val="231F20"/>
          <w:spacing w:val="-6"/>
        </w:rPr>
        <w:t> </w:t>
      </w:r>
      <w:r>
        <w:rPr>
          <w:color w:val="231F20"/>
        </w:rPr>
        <w:t>del</w:t>
      </w:r>
      <w:r>
        <w:rPr>
          <w:color w:val="231F20"/>
          <w:spacing w:val="-6"/>
        </w:rPr>
        <w:t> </w:t>
      </w:r>
      <w:r>
        <w:rPr>
          <w:color w:val="231F20"/>
        </w:rPr>
        <w:t>Centro</w:t>
      </w:r>
      <w:r>
        <w:rPr>
          <w:color w:val="231F20"/>
          <w:spacing w:val="-6"/>
        </w:rPr>
        <w:t> </w:t>
      </w:r>
      <w:r>
        <w:rPr>
          <w:color w:val="231F20"/>
        </w:rPr>
        <w:t>de</w:t>
      </w:r>
      <w:r>
        <w:rPr>
          <w:color w:val="231F20"/>
          <w:spacing w:val="-6"/>
        </w:rPr>
        <w:t> </w:t>
      </w:r>
      <w:r>
        <w:rPr>
          <w:color w:val="231F20"/>
        </w:rPr>
        <w:t>Investigación</w:t>
      </w:r>
      <w:r>
        <w:rPr>
          <w:color w:val="231F20"/>
          <w:spacing w:val="-6"/>
        </w:rPr>
        <w:t> </w:t>
      </w:r>
      <w:r>
        <w:rPr>
          <w:color w:val="231F20"/>
        </w:rPr>
        <w:t>y</w:t>
      </w:r>
      <w:r>
        <w:rPr>
          <w:color w:val="231F20"/>
          <w:spacing w:val="-6"/>
        </w:rPr>
        <w:t> </w:t>
      </w:r>
      <w:r>
        <w:rPr>
          <w:color w:val="231F20"/>
        </w:rPr>
        <w:t>Estudios</w:t>
      </w:r>
      <w:r>
        <w:rPr>
          <w:color w:val="231F20"/>
          <w:spacing w:val="-17"/>
        </w:rPr>
        <w:t> </w:t>
      </w:r>
      <w:r>
        <w:rPr>
          <w:color w:val="231F20"/>
        </w:rPr>
        <w:t>Avanzados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Población</w:t>
      </w:r>
      <w:r>
        <w:rPr>
          <w:color w:val="231F20"/>
          <w:spacing w:val="-5"/>
        </w:rPr>
        <w:t> </w:t>
      </w:r>
      <w:r>
        <w:rPr>
          <w:color w:val="231F20"/>
        </w:rPr>
        <w:t>y</w:t>
      </w:r>
      <w:r>
        <w:rPr>
          <w:color w:val="231F20"/>
          <w:spacing w:val="-6"/>
        </w:rPr>
        <w:t> </w:t>
      </w:r>
      <w:r>
        <w:rPr>
          <w:color w:val="231F20"/>
        </w:rPr>
        <w:t>la </w:t>
      </w:r>
      <w:r>
        <w:rPr>
          <w:color w:val="231F20"/>
          <w:spacing w:val="-6"/>
        </w:rPr>
        <w:t>LVII </w:t>
      </w:r>
      <w:r>
        <w:rPr>
          <w:color w:val="231F20"/>
        </w:rPr>
        <w:t>Legislatura Local mediante la Comisión de Planeación</w:t>
      </w:r>
      <w:r>
        <w:rPr>
          <w:color w:val="231F20"/>
          <w:spacing w:val="-21"/>
        </w:rPr>
        <w:t> </w:t>
      </w:r>
      <w:r>
        <w:rPr>
          <w:color w:val="231F20"/>
        </w:rPr>
        <w:t>Demográfica, acordaron impulsar la producción de información para mejorar el conoci- miento de los desplazamientos de mexicanos hacia Estados</w:t>
      </w:r>
      <w:r>
        <w:rPr>
          <w:color w:val="231F20"/>
          <w:spacing w:val="-11"/>
        </w:rPr>
        <w:t> </w:t>
      </w:r>
      <w:r>
        <w:rPr>
          <w:color w:val="231F20"/>
        </w:rPr>
        <w:t>Unidos.</w:t>
      </w:r>
    </w:p>
    <w:p>
      <w:pPr>
        <w:pStyle w:val="BodyText"/>
        <w:spacing w:line="247" w:lineRule="auto"/>
        <w:ind w:left="117" w:right="115" w:firstLine="283"/>
        <w:jc w:val="both"/>
      </w:pPr>
      <w:r>
        <w:rPr>
          <w:color w:val="231F20"/>
        </w:rPr>
        <w:t>Para</w:t>
      </w:r>
      <w:r>
        <w:rPr>
          <w:color w:val="231F20"/>
          <w:spacing w:val="-6"/>
        </w:rPr>
        <w:t> </w:t>
      </w:r>
      <w:r>
        <w:rPr>
          <w:color w:val="231F20"/>
        </w:rPr>
        <w:t>ello,</w:t>
      </w:r>
      <w:r>
        <w:rPr>
          <w:color w:val="231F20"/>
          <w:spacing w:val="-7"/>
        </w:rPr>
        <w:t> </w:t>
      </w:r>
      <w:r>
        <w:rPr>
          <w:color w:val="231F20"/>
        </w:rPr>
        <w:t>se</w:t>
      </w:r>
      <w:r>
        <w:rPr>
          <w:color w:val="231F20"/>
          <w:spacing w:val="-6"/>
        </w:rPr>
        <w:t> </w:t>
      </w:r>
      <w:r>
        <w:rPr>
          <w:color w:val="231F20"/>
        </w:rPr>
        <w:t>propuso</w:t>
      </w:r>
      <w:r>
        <w:rPr>
          <w:color w:val="231F20"/>
          <w:spacing w:val="-7"/>
        </w:rPr>
        <w:t> </w:t>
      </w:r>
      <w:r>
        <w:rPr>
          <w:color w:val="231F20"/>
        </w:rPr>
        <w:t>el</w:t>
      </w:r>
      <w:r>
        <w:rPr>
          <w:color w:val="231F20"/>
          <w:spacing w:val="-7"/>
        </w:rPr>
        <w:t> </w:t>
      </w:r>
      <w:r>
        <w:rPr>
          <w:color w:val="231F20"/>
        </w:rPr>
        <w:t>levantamiento</w:t>
      </w:r>
      <w:r>
        <w:rPr>
          <w:color w:val="231F20"/>
          <w:spacing w:val="-8"/>
        </w:rPr>
        <w:t> </w:t>
      </w:r>
      <w:r>
        <w:rPr>
          <w:color w:val="231F20"/>
        </w:rPr>
        <w:t>de</w:t>
      </w:r>
      <w:r>
        <w:rPr>
          <w:color w:val="231F20"/>
          <w:spacing w:val="-7"/>
        </w:rPr>
        <w:t> </w:t>
      </w:r>
      <w:r>
        <w:rPr>
          <w:color w:val="231F20"/>
        </w:rPr>
        <w:t>una</w:t>
      </w:r>
      <w:r>
        <w:rPr>
          <w:color w:val="231F20"/>
          <w:spacing w:val="-7"/>
        </w:rPr>
        <w:t> </w:t>
      </w:r>
      <w:r>
        <w:rPr>
          <w:color w:val="231F20"/>
        </w:rPr>
        <w:t>encuesta</w:t>
      </w:r>
      <w:r>
        <w:rPr>
          <w:color w:val="231F20"/>
          <w:spacing w:val="-7"/>
        </w:rPr>
        <w:t> </w:t>
      </w:r>
      <w:r>
        <w:rPr>
          <w:color w:val="231F20"/>
        </w:rPr>
        <w:t>mediante</w:t>
      </w:r>
      <w:r>
        <w:rPr>
          <w:color w:val="231F20"/>
          <w:spacing w:val="-7"/>
        </w:rPr>
        <w:t> </w:t>
      </w:r>
      <w:r>
        <w:rPr>
          <w:color w:val="231F20"/>
        </w:rPr>
        <w:t>la</w:t>
      </w:r>
      <w:r>
        <w:rPr>
          <w:color w:val="231F20"/>
          <w:spacing w:val="-7"/>
        </w:rPr>
        <w:t> </w:t>
      </w:r>
      <w:r>
        <w:rPr>
          <w:color w:val="231F20"/>
        </w:rPr>
        <w:t>cual fuera posible cuantificar y caracterizar la población migrante que se des- plaza hacia Estados Unidos, con el objetivo de conocer más a fondo su composición, estructura y dinámica en el Estado de</w:t>
      </w:r>
      <w:r>
        <w:rPr>
          <w:color w:val="231F20"/>
          <w:spacing w:val="-11"/>
        </w:rPr>
        <w:t> </w:t>
      </w:r>
      <w:r>
        <w:rPr>
          <w:color w:val="231F20"/>
        </w:rPr>
        <w:t>México.</w:t>
      </w:r>
    </w:p>
    <w:p>
      <w:pPr>
        <w:pStyle w:val="BodyText"/>
        <w:spacing w:line="247" w:lineRule="auto"/>
        <w:ind w:left="117" w:right="114" w:firstLine="283"/>
        <w:jc w:val="both"/>
      </w:pPr>
      <w:r>
        <w:rPr>
          <w:color w:val="231F20"/>
        </w:rPr>
        <w:t>De esta propuesta surgió la EMMEU 2009, la cual aporta elementos  de análisis sobre la dinámica, magnitud y características de la migración mexiquense y cuyo objetivo general es profundizar en el conocimiento</w:t>
      </w:r>
      <w:r>
        <w:rPr>
          <w:color w:val="231F20"/>
          <w:spacing w:val="-34"/>
        </w:rPr>
        <w:t> </w:t>
      </w:r>
      <w:r>
        <w:rPr>
          <w:color w:val="231F20"/>
        </w:rPr>
        <w:t>del fenómeno</w:t>
      </w:r>
      <w:r>
        <w:rPr>
          <w:color w:val="231F20"/>
          <w:spacing w:val="-9"/>
        </w:rPr>
        <w:t> </w:t>
      </w:r>
      <w:r>
        <w:rPr>
          <w:color w:val="231F20"/>
        </w:rPr>
        <w:t>migratorio</w:t>
      </w:r>
      <w:r>
        <w:rPr>
          <w:color w:val="231F20"/>
          <w:spacing w:val="-10"/>
        </w:rPr>
        <w:t> </w:t>
      </w:r>
      <w:r>
        <w:rPr>
          <w:color w:val="231F20"/>
        </w:rPr>
        <w:t>hacia</w:t>
      </w:r>
      <w:r>
        <w:rPr>
          <w:color w:val="231F20"/>
          <w:spacing w:val="-9"/>
        </w:rPr>
        <w:t> </w:t>
      </w:r>
      <w:r>
        <w:rPr>
          <w:color w:val="231F20"/>
        </w:rPr>
        <w:t>Estados</w:t>
      </w:r>
      <w:r>
        <w:rPr>
          <w:color w:val="231F20"/>
          <w:spacing w:val="-10"/>
        </w:rPr>
        <w:t> </w:t>
      </w:r>
      <w:r>
        <w:rPr>
          <w:color w:val="231F20"/>
        </w:rPr>
        <w:t>Unidos,</w:t>
      </w:r>
      <w:r>
        <w:rPr>
          <w:color w:val="231F20"/>
          <w:spacing w:val="-9"/>
        </w:rPr>
        <w:t> </w:t>
      </w:r>
      <w:r>
        <w:rPr>
          <w:color w:val="231F20"/>
        </w:rPr>
        <w:t>fundamentalmente</w:t>
      </w:r>
      <w:r>
        <w:rPr>
          <w:color w:val="231F20"/>
          <w:spacing w:val="-9"/>
        </w:rPr>
        <w:t> </w:t>
      </w:r>
      <w:r>
        <w:rPr>
          <w:color w:val="231F20"/>
        </w:rPr>
        <w:t>de</w:t>
      </w:r>
      <w:r>
        <w:rPr>
          <w:color w:val="231F20"/>
          <w:spacing w:val="-9"/>
        </w:rPr>
        <w:t> </w:t>
      </w:r>
      <w:r>
        <w:rPr>
          <w:color w:val="231F20"/>
        </w:rPr>
        <w:t>carácter laboral, haciendo especial énfasis en los rasgos socioeconómicos y demo- gráficos de los migrantes y sus</w:t>
      </w:r>
      <w:r>
        <w:rPr>
          <w:color w:val="231F20"/>
          <w:spacing w:val="-12"/>
        </w:rPr>
        <w:t> </w:t>
      </w:r>
      <w:r>
        <w:rPr>
          <w:color w:val="231F20"/>
        </w:rPr>
        <w:t>hogares.</w:t>
      </w:r>
    </w:p>
    <w:p>
      <w:pPr>
        <w:pStyle w:val="BodyText"/>
        <w:spacing w:line="247" w:lineRule="auto"/>
        <w:ind w:left="117" w:right="116" w:firstLine="283"/>
        <w:jc w:val="both"/>
      </w:pPr>
      <w:r>
        <w:rPr>
          <w:color w:val="231F20"/>
        </w:rPr>
        <w:t>Como</w:t>
      </w:r>
      <w:r>
        <w:rPr>
          <w:color w:val="231F20"/>
          <w:spacing w:val="-9"/>
        </w:rPr>
        <w:t> </w:t>
      </w:r>
      <w:r>
        <w:rPr>
          <w:color w:val="231F20"/>
        </w:rPr>
        <w:t>fuera</w:t>
      </w:r>
      <w:r>
        <w:rPr>
          <w:color w:val="231F20"/>
          <w:spacing w:val="-10"/>
        </w:rPr>
        <w:t> </w:t>
      </w:r>
      <w:r>
        <w:rPr>
          <w:color w:val="231F20"/>
        </w:rPr>
        <w:t>señalado,</w:t>
      </w:r>
      <w:r>
        <w:rPr>
          <w:color w:val="231F20"/>
          <w:spacing w:val="-10"/>
        </w:rPr>
        <w:t> </w:t>
      </w:r>
      <w:r>
        <w:rPr>
          <w:color w:val="231F20"/>
        </w:rPr>
        <w:t>la</w:t>
      </w:r>
      <w:r>
        <w:rPr>
          <w:color w:val="231F20"/>
          <w:spacing w:val="-10"/>
        </w:rPr>
        <w:t> </w:t>
      </w:r>
      <w:r>
        <w:rPr>
          <w:color w:val="231F20"/>
        </w:rPr>
        <w:t>EMMEU</w:t>
      </w:r>
      <w:r>
        <w:rPr>
          <w:color w:val="231F20"/>
          <w:spacing w:val="-9"/>
        </w:rPr>
        <w:t> </w:t>
      </w:r>
      <w:r>
        <w:rPr>
          <w:color w:val="231F20"/>
        </w:rPr>
        <w:t>2009</w:t>
      </w:r>
      <w:r>
        <w:rPr>
          <w:color w:val="231F20"/>
          <w:spacing w:val="-9"/>
        </w:rPr>
        <w:t> </w:t>
      </w:r>
      <w:r>
        <w:rPr>
          <w:color w:val="231F20"/>
        </w:rPr>
        <w:t>surgió</w:t>
      </w:r>
      <w:r>
        <w:rPr>
          <w:color w:val="231F20"/>
          <w:spacing w:val="-9"/>
        </w:rPr>
        <w:t> </w:t>
      </w:r>
      <w:r>
        <w:rPr>
          <w:color w:val="231F20"/>
        </w:rPr>
        <w:t>con</w:t>
      </w:r>
      <w:r>
        <w:rPr>
          <w:color w:val="231F20"/>
          <w:spacing w:val="-9"/>
        </w:rPr>
        <w:t> </w:t>
      </w:r>
      <w:r>
        <w:rPr>
          <w:color w:val="231F20"/>
        </w:rPr>
        <w:t>el</w:t>
      </w:r>
      <w:r>
        <w:rPr>
          <w:color w:val="231F20"/>
          <w:spacing w:val="-10"/>
        </w:rPr>
        <w:t> </w:t>
      </w:r>
      <w:r>
        <w:rPr>
          <w:color w:val="231F20"/>
        </w:rPr>
        <w:t>interés</w:t>
      </w:r>
      <w:r>
        <w:rPr>
          <w:color w:val="231F20"/>
          <w:spacing w:val="-9"/>
        </w:rPr>
        <w:t> </w:t>
      </w:r>
      <w:r>
        <w:rPr>
          <w:color w:val="231F20"/>
        </w:rPr>
        <w:t>de</w:t>
      </w:r>
      <w:r>
        <w:rPr>
          <w:color w:val="231F20"/>
          <w:spacing w:val="-9"/>
        </w:rPr>
        <w:t> </w:t>
      </w:r>
      <w:r>
        <w:rPr>
          <w:color w:val="231F20"/>
        </w:rPr>
        <w:t>medir</w:t>
      </w:r>
      <w:r>
        <w:rPr>
          <w:color w:val="231F20"/>
          <w:spacing w:val="-10"/>
        </w:rPr>
        <w:t> </w:t>
      </w:r>
      <w:r>
        <w:rPr>
          <w:color w:val="231F20"/>
        </w:rPr>
        <w:t>y caracterizar (demográfica, social y económicamente) la migración laboral entre el Estado de México y Estados Unidos en dos direcciones; cuando van</w:t>
      </w:r>
      <w:r>
        <w:rPr>
          <w:color w:val="231F20"/>
          <w:spacing w:val="-4"/>
        </w:rPr>
        <w:t> </w:t>
      </w:r>
      <w:r>
        <w:rPr>
          <w:color w:val="231F20"/>
        </w:rPr>
        <w:t>y</w:t>
      </w:r>
      <w:r>
        <w:rPr>
          <w:color w:val="231F20"/>
          <w:spacing w:val="-4"/>
        </w:rPr>
        <w:t> </w:t>
      </w:r>
      <w:r>
        <w:rPr>
          <w:color w:val="231F20"/>
        </w:rPr>
        <w:t>cuando</w:t>
      </w:r>
      <w:r>
        <w:rPr>
          <w:color w:val="231F20"/>
          <w:spacing w:val="-4"/>
        </w:rPr>
        <w:t> </w:t>
      </w:r>
      <w:r>
        <w:rPr>
          <w:color w:val="231F20"/>
        </w:rPr>
        <w:t>regresan</w:t>
      </w:r>
      <w:r>
        <w:rPr>
          <w:color w:val="231F20"/>
          <w:spacing w:val="-4"/>
        </w:rPr>
        <w:t> </w:t>
      </w:r>
      <w:r>
        <w:rPr>
          <w:color w:val="231F20"/>
        </w:rPr>
        <w:t>del</w:t>
      </w:r>
      <w:r>
        <w:rPr>
          <w:color w:val="231F20"/>
          <w:spacing w:val="-4"/>
        </w:rPr>
        <w:t> </w:t>
      </w:r>
      <w:r>
        <w:rPr>
          <w:color w:val="231F20"/>
        </w:rPr>
        <w:t>vecino</w:t>
      </w:r>
      <w:r>
        <w:rPr>
          <w:color w:val="231F20"/>
          <w:spacing w:val="-4"/>
        </w:rPr>
        <w:t> </w:t>
      </w:r>
      <w:r>
        <w:rPr>
          <w:color w:val="231F20"/>
        </w:rPr>
        <w:t>del</w:t>
      </w:r>
      <w:r>
        <w:rPr>
          <w:color w:val="231F20"/>
          <w:spacing w:val="-4"/>
        </w:rPr>
        <w:t> </w:t>
      </w:r>
      <w:r>
        <w:rPr>
          <w:color w:val="231F20"/>
        </w:rPr>
        <w:t>norte</w:t>
      </w:r>
      <w:r>
        <w:rPr>
          <w:color w:val="231F20"/>
          <w:spacing w:val="-4"/>
        </w:rPr>
        <w:t> </w:t>
      </w:r>
      <w:r>
        <w:rPr>
          <w:color w:val="231F20"/>
        </w:rPr>
        <w:t>(migración</w:t>
      </w:r>
      <w:r>
        <w:rPr>
          <w:color w:val="231F20"/>
          <w:spacing w:val="-4"/>
        </w:rPr>
        <w:t> </w:t>
      </w:r>
      <w:r>
        <w:rPr>
          <w:color w:val="231F20"/>
        </w:rPr>
        <w:t>internacional).</w:t>
      </w:r>
      <w:r>
        <w:rPr>
          <w:color w:val="231F20"/>
          <w:spacing w:val="-17"/>
        </w:rPr>
        <w:t> </w:t>
      </w:r>
      <w:r>
        <w:rPr>
          <w:color w:val="231F20"/>
        </w:rPr>
        <w:t>Asi- mismo, la EMMEU 2009 tiene como objetivo identificar las corrientes de migrantes laborales del interior del estado, es decir, la migración</w:t>
      </w:r>
      <w:r>
        <w:rPr>
          <w:color w:val="231F20"/>
          <w:spacing w:val="-16"/>
        </w:rPr>
        <w:t> </w:t>
      </w:r>
      <w:r>
        <w:rPr>
          <w:color w:val="231F20"/>
        </w:rPr>
        <w:t>interna.</w:t>
      </w:r>
    </w:p>
    <w:p>
      <w:pPr>
        <w:pStyle w:val="BodyText"/>
        <w:spacing w:line="247" w:lineRule="auto"/>
        <w:ind w:left="117" w:right="114" w:firstLine="283"/>
        <w:jc w:val="both"/>
      </w:pPr>
      <w:r>
        <w:rPr>
          <w:color w:val="231F20"/>
        </w:rPr>
        <w:t>Con base en técnicas y estrategias metodológicas preocupadas por la medición</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análisis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desplazamientos</w:t>
      </w:r>
      <w:r>
        <w:rPr>
          <w:color w:val="231F20"/>
          <w:spacing w:val="-5"/>
        </w:rPr>
        <w:t> </w:t>
      </w:r>
      <w:r>
        <w:rPr>
          <w:color w:val="231F20"/>
        </w:rPr>
        <w:t>recientes,</w:t>
      </w:r>
      <w:r>
        <w:rPr>
          <w:color w:val="231F20"/>
          <w:spacing w:val="-5"/>
        </w:rPr>
        <w:t> </w:t>
      </w:r>
      <w:r>
        <w:rPr>
          <w:color w:val="231F20"/>
        </w:rPr>
        <w:t>de</w:t>
      </w:r>
      <w:r>
        <w:rPr>
          <w:color w:val="231F20"/>
          <w:spacing w:val="-5"/>
        </w:rPr>
        <w:t> </w:t>
      </w:r>
      <w:r>
        <w:rPr>
          <w:color w:val="231F20"/>
        </w:rPr>
        <w:t>retorno,</w:t>
      </w:r>
      <w:r>
        <w:rPr>
          <w:color w:val="231F20"/>
          <w:spacing w:val="-5"/>
        </w:rPr>
        <w:t> </w:t>
      </w:r>
      <w:r>
        <w:rPr>
          <w:color w:val="231F20"/>
        </w:rPr>
        <w:t>pendu- lares, internos e internacionales, la metodología utilizada en la EMMEU 2009 se nutre de la vasta experiencia en medición de la migración que existe en</w:t>
      </w:r>
      <w:r>
        <w:rPr>
          <w:color w:val="231F20"/>
          <w:spacing w:val="-9"/>
        </w:rPr>
        <w:t> </w:t>
      </w:r>
      <w:r>
        <w:rPr>
          <w:color w:val="231F20"/>
        </w:rPr>
        <w:t>México.</w:t>
      </w:r>
    </w:p>
    <w:p>
      <w:pPr>
        <w:pStyle w:val="BodyText"/>
        <w:spacing w:line="247" w:lineRule="auto"/>
        <w:ind w:left="117" w:right="115" w:firstLine="283"/>
        <w:jc w:val="both"/>
      </w:pPr>
      <w:r>
        <w:rPr>
          <w:color w:val="231F20"/>
        </w:rPr>
        <w:t>Esta experiencia de estudio y medición, en sus inicios enfatizaba las características individuales y el volumen de personas que se</w:t>
      </w:r>
      <w:r>
        <w:rPr>
          <w:color w:val="231F20"/>
          <w:spacing w:val="50"/>
        </w:rPr>
        <w:t> </w:t>
      </w:r>
      <w:r>
        <w:rPr>
          <w:color w:val="231F20"/>
        </w:rPr>
        <w:t>desplazaban,</w:t>
      </w:r>
    </w:p>
    <w:p>
      <w:pPr>
        <w:spacing w:after="0" w:line="247" w:lineRule="auto"/>
        <w:jc w:val="both"/>
        <w:sectPr>
          <w:pgSz w:w="9360" w:h="13040"/>
          <w:pgMar w:header="0" w:footer="496" w:top="740" w:bottom="680" w:left="1300" w:right="1300"/>
        </w:sectPr>
      </w:pPr>
    </w:p>
    <w:p>
      <w:pPr>
        <w:tabs>
          <w:tab w:pos="5536" w:val="left" w:leader="none"/>
        </w:tabs>
        <w:spacing w:before="51"/>
        <w:ind w:left="117" w:right="117" w:firstLine="11"/>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pPr>
      <w:r>
        <w:rPr>
          <w:color w:val="231F20"/>
        </w:rPr>
        <w:t>de tal suerte que la migración era sinónimo del total de migrantes o de los saldos migratorios estimados mediante técnicas indirectas.</w:t>
      </w:r>
    </w:p>
    <w:p>
      <w:pPr>
        <w:pStyle w:val="BodyText"/>
        <w:spacing w:line="247" w:lineRule="auto"/>
        <w:ind w:left="117" w:right="114" w:firstLine="283"/>
        <w:jc w:val="both"/>
      </w:pPr>
      <w:r>
        <w:rPr>
          <w:color w:val="231F20"/>
        </w:rPr>
        <w:t>Hacia finales de los setenta surgieron algunas encuestas preocupadas por dar cuenta del acelerado crecimiento demográfico de las tres princi- pales zonas metropolitanas de nuestro país: Ciudad de México, Monterrey y Guadalajara (Corona, 2008: 130). La migración interna era en ese mo- mento el fenómeno que captaba la atención. </w:t>
      </w:r>
      <w:r>
        <w:rPr>
          <w:color w:val="231F20"/>
          <w:spacing w:val="-12"/>
        </w:rPr>
        <w:t>Ya </w:t>
      </w:r>
      <w:r>
        <w:rPr>
          <w:color w:val="231F20"/>
        </w:rPr>
        <w:t>en la década de los setenta comenzó a surgir la inquietud de contabilizar el aumento de la emigración internacional, que era explicada por las asimetrías en el desarrollo entre México</w:t>
      </w:r>
      <w:r>
        <w:rPr>
          <w:color w:val="231F20"/>
          <w:spacing w:val="-13"/>
        </w:rPr>
        <w:t> </w:t>
      </w:r>
      <w:r>
        <w:rPr>
          <w:color w:val="231F20"/>
        </w:rPr>
        <w:t>y</w:t>
      </w:r>
      <w:r>
        <w:rPr>
          <w:color w:val="231F20"/>
          <w:spacing w:val="-13"/>
        </w:rPr>
        <w:t> </w:t>
      </w:r>
      <w:r>
        <w:rPr>
          <w:color w:val="231F20"/>
        </w:rPr>
        <w:t>Estados</w:t>
      </w:r>
      <w:r>
        <w:rPr>
          <w:color w:val="231F20"/>
          <w:spacing w:val="-13"/>
        </w:rPr>
        <w:t> </w:t>
      </w:r>
      <w:r>
        <w:rPr>
          <w:color w:val="231F20"/>
        </w:rPr>
        <w:t>Unidos,</w:t>
      </w:r>
      <w:r>
        <w:rPr>
          <w:color w:val="231F20"/>
          <w:spacing w:val="-12"/>
        </w:rPr>
        <w:t> </w:t>
      </w:r>
      <w:r>
        <w:rPr>
          <w:color w:val="231F20"/>
        </w:rPr>
        <w:t>la</w:t>
      </w:r>
      <w:r>
        <w:rPr>
          <w:color w:val="231F20"/>
          <w:spacing w:val="-13"/>
        </w:rPr>
        <w:t> </w:t>
      </w:r>
      <w:r>
        <w:rPr>
          <w:color w:val="231F20"/>
        </w:rPr>
        <w:t>crisis</w:t>
      </w:r>
      <w:r>
        <w:rPr>
          <w:color w:val="231F20"/>
          <w:spacing w:val="-13"/>
        </w:rPr>
        <w:t> </w:t>
      </w:r>
      <w:r>
        <w:rPr>
          <w:color w:val="231F20"/>
        </w:rPr>
        <w:t>económica</w:t>
      </w:r>
      <w:r>
        <w:rPr>
          <w:color w:val="231F20"/>
          <w:spacing w:val="-13"/>
        </w:rPr>
        <w:t> </w:t>
      </w:r>
      <w:r>
        <w:rPr>
          <w:color w:val="231F20"/>
        </w:rPr>
        <w:t>que</w:t>
      </w:r>
      <w:r>
        <w:rPr>
          <w:color w:val="231F20"/>
          <w:spacing w:val="-13"/>
        </w:rPr>
        <w:t> </w:t>
      </w:r>
      <w:r>
        <w:rPr>
          <w:color w:val="231F20"/>
        </w:rPr>
        <w:t>afectó</w:t>
      </w:r>
      <w:r>
        <w:rPr>
          <w:color w:val="231F20"/>
          <w:spacing w:val="-13"/>
        </w:rPr>
        <w:t> </w:t>
      </w:r>
      <w:r>
        <w:rPr>
          <w:color w:val="231F20"/>
        </w:rPr>
        <w:t>los</w:t>
      </w:r>
      <w:r>
        <w:rPr>
          <w:color w:val="231F20"/>
          <w:spacing w:val="-13"/>
        </w:rPr>
        <w:t> </w:t>
      </w:r>
      <w:r>
        <w:rPr>
          <w:color w:val="231F20"/>
        </w:rPr>
        <w:t>salarios</w:t>
      </w:r>
      <w:r>
        <w:rPr>
          <w:color w:val="231F20"/>
          <w:spacing w:val="-12"/>
        </w:rPr>
        <w:t> </w:t>
      </w:r>
      <w:r>
        <w:rPr>
          <w:color w:val="231F20"/>
        </w:rPr>
        <w:t>reales y el empleo. Pronto se trató de entender y explicar el funcionamiento de un</w:t>
      </w:r>
      <w:r>
        <w:rPr>
          <w:color w:val="231F20"/>
          <w:spacing w:val="-4"/>
        </w:rPr>
        <w:t> </w:t>
      </w:r>
      <w:r>
        <w:rPr>
          <w:color w:val="231F20"/>
        </w:rPr>
        <w:t>mercado</w:t>
      </w:r>
      <w:r>
        <w:rPr>
          <w:color w:val="231F20"/>
          <w:spacing w:val="-5"/>
        </w:rPr>
        <w:t> </w:t>
      </w:r>
      <w:r>
        <w:rPr>
          <w:color w:val="231F20"/>
        </w:rPr>
        <w:t>laboral</w:t>
      </w:r>
      <w:r>
        <w:rPr>
          <w:color w:val="231F20"/>
          <w:spacing w:val="-5"/>
        </w:rPr>
        <w:t> </w:t>
      </w:r>
      <w:r>
        <w:rPr>
          <w:color w:val="231F20"/>
        </w:rPr>
        <w:t>binacional</w:t>
      </w:r>
      <w:r>
        <w:rPr>
          <w:color w:val="231F20"/>
          <w:spacing w:val="-4"/>
        </w:rPr>
        <w:t> </w:t>
      </w:r>
      <w:r>
        <w:rPr>
          <w:color w:val="231F20"/>
        </w:rPr>
        <w:t>que</w:t>
      </w:r>
      <w:r>
        <w:rPr>
          <w:color w:val="231F20"/>
          <w:spacing w:val="-5"/>
        </w:rPr>
        <w:t> </w:t>
      </w:r>
      <w:r>
        <w:rPr>
          <w:color w:val="231F20"/>
        </w:rPr>
        <w:t>demandaba</w:t>
      </w:r>
      <w:r>
        <w:rPr>
          <w:color w:val="231F20"/>
          <w:spacing w:val="-4"/>
        </w:rPr>
        <w:t> </w:t>
      </w:r>
      <w:r>
        <w:rPr>
          <w:color w:val="231F20"/>
        </w:rPr>
        <w:t>fuerza</w:t>
      </w:r>
      <w:r>
        <w:rPr>
          <w:color w:val="231F20"/>
          <w:spacing w:val="-5"/>
        </w:rPr>
        <w:t> </w:t>
      </w:r>
      <w:r>
        <w:rPr>
          <w:color w:val="231F20"/>
        </w:rPr>
        <w:t>de</w:t>
      </w:r>
      <w:r>
        <w:rPr>
          <w:color w:val="231F20"/>
          <w:spacing w:val="-5"/>
        </w:rPr>
        <w:t> </w:t>
      </w:r>
      <w:r>
        <w:rPr>
          <w:color w:val="231F20"/>
        </w:rPr>
        <w:t>trabajo</w:t>
      </w:r>
      <w:r>
        <w:rPr>
          <w:color w:val="231F20"/>
          <w:spacing w:val="-5"/>
        </w:rPr>
        <w:t> </w:t>
      </w:r>
      <w:r>
        <w:rPr>
          <w:color w:val="231F20"/>
        </w:rPr>
        <w:t>poco</w:t>
      </w:r>
      <w:r>
        <w:rPr>
          <w:color w:val="231F20"/>
          <w:spacing w:val="-5"/>
        </w:rPr>
        <w:t> </w:t>
      </w:r>
      <w:r>
        <w:rPr>
          <w:color w:val="231F20"/>
        </w:rPr>
        <w:t>cali- ficada. El desplazamiento de población a nivel internacional trajo consigo la necesidad de generar información para cuantificarla y caracterizarla, lo que derivó en la puesta en marcha de encuestas de hogares por muestreo de viviendas que incorporaba preguntas para identificar la condición mi- gratoria de sus</w:t>
      </w:r>
      <w:r>
        <w:rPr>
          <w:color w:val="231F20"/>
          <w:spacing w:val="-2"/>
        </w:rPr>
        <w:t> </w:t>
      </w:r>
      <w:r>
        <w:rPr>
          <w:color w:val="231F20"/>
        </w:rPr>
        <w:t>miembros.</w:t>
      </w:r>
    </w:p>
    <w:p>
      <w:pPr>
        <w:pStyle w:val="BodyText"/>
        <w:spacing w:line="247" w:lineRule="auto"/>
        <w:ind w:left="117" w:right="114" w:firstLine="283"/>
        <w:jc w:val="both"/>
      </w:pPr>
      <w:r>
        <w:rPr>
          <w:color w:val="231F20"/>
        </w:rPr>
        <w:t>Una de las encuestas pioneras es </w:t>
      </w:r>
      <w:r>
        <w:rPr>
          <w:i/>
          <w:color w:val="231F20"/>
        </w:rPr>
        <w:t>La Encuesta Nacional de Emigración </w:t>
      </w:r>
      <w:r>
        <w:rPr>
          <w:i/>
          <w:color w:val="231F20"/>
        </w:rPr>
        <w:t>a</w:t>
      </w:r>
      <w:r>
        <w:rPr>
          <w:i/>
          <w:color w:val="231F20"/>
          <w:spacing w:val="-5"/>
        </w:rPr>
        <w:t> </w:t>
      </w:r>
      <w:r>
        <w:rPr>
          <w:i/>
          <w:color w:val="231F20"/>
        </w:rPr>
        <w:t>la</w:t>
      </w:r>
      <w:r>
        <w:rPr>
          <w:i/>
          <w:color w:val="231F20"/>
          <w:spacing w:val="-5"/>
        </w:rPr>
        <w:t> </w:t>
      </w:r>
      <w:r>
        <w:rPr>
          <w:i/>
          <w:color w:val="231F20"/>
        </w:rPr>
        <w:t>Frontera</w:t>
      </w:r>
      <w:r>
        <w:rPr>
          <w:i/>
          <w:color w:val="231F20"/>
          <w:spacing w:val="-5"/>
        </w:rPr>
        <w:t> </w:t>
      </w:r>
      <w:r>
        <w:rPr>
          <w:i/>
          <w:color w:val="231F20"/>
        </w:rPr>
        <w:t>Norte</w:t>
      </w:r>
      <w:r>
        <w:rPr>
          <w:i/>
          <w:color w:val="231F20"/>
          <w:spacing w:val="-5"/>
        </w:rPr>
        <w:t> </w:t>
      </w:r>
      <w:r>
        <w:rPr>
          <w:i/>
          <w:color w:val="231F20"/>
        </w:rPr>
        <w:t>y</w:t>
      </w:r>
      <w:r>
        <w:rPr>
          <w:i/>
          <w:color w:val="231F20"/>
          <w:spacing w:val="-5"/>
        </w:rPr>
        <w:t> </w:t>
      </w:r>
      <w:r>
        <w:rPr>
          <w:i/>
          <w:color w:val="231F20"/>
        </w:rPr>
        <w:t>a</w:t>
      </w:r>
      <w:r>
        <w:rPr>
          <w:i/>
          <w:color w:val="231F20"/>
          <w:spacing w:val="-5"/>
        </w:rPr>
        <w:t> </w:t>
      </w:r>
      <w:r>
        <w:rPr>
          <w:i/>
          <w:color w:val="231F20"/>
        </w:rPr>
        <w:t>Estados</w:t>
      </w:r>
      <w:r>
        <w:rPr>
          <w:i/>
          <w:color w:val="231F20"/>
          <w:spacing w:val="-5"/>
        </w:rPr>
        <w:t> </w:t>
      </w:r>
      <w:r>
        <w:rPr>
          <w:i/>
          <w:color w:val="231F20"/>
        </w:rPr>
        <w:t>Unidos</w:t>
      </w:r>
      <w:r>
        <w:rPr>
          <w:i/>
          <w:color w:val="231F20"/>
          <w:spacing w:val="-5"/>
        </w:rPr>
        <w:t> </w:t>
      </w:r>
      <w:r>
        <w:rPr>
          <w:color w:val="231F20"/>
        </w:rPr>
        <w:t>(ENEFNEU)</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realizó</w:t>
      </w:r>
      <w:r>
        <w:rPr>
          <w:color w:val="231F20"/>
          <w:spacing w:val="-5"/>
        </w:rPr>
        <w:t> </w:t>
      </w:r>
      <w:r>
        <w:rPr>
          <w:color w:val="231F20"/>
        </w:rPr>
        <w:t>del</w:t>
      </w:r>
      <w:r>
        <w:rPr>
          <w:color w:val="231F20"/>
          <w:spacing w:val="-5"/>
        </w:rPr>
        <w:t> 11 </w:t>
      </w:r>
      <w:r>
        <w:rPr>
          <w:color w:val="231F20"/>
        </w:rPr>
        <w:t>de diciembre de 1978 al 7 de enero de 1979 por el Centro Nacional de In- formación</w:t>
      </w:r>
      <w:r>
        <w:rPr>
          <w:color w:val="231F20"/>
          <w:spacing w:val="-9"/>
        </w:rPr>
        <w:t> </w:t>
      </w:r>
      <w:r>
        <w:rPr>
          <w:color w:val="231F20"/>
        </w:rPr>
        <w:t>y</w:t>
      </w:r>
      <w:r>
        <w:rPr>
          <w:color w:val="231F20"/>
          <w:spacing w:val="-9"/>
        </w:rPr>
        <w:t> </w:t>
      </w:r>
      <w:r>
        <w:rPr>
          <w:color w:val="231F20"/>
        </w:rPr>
        <w:t>Estadística</w:t>
      </w:r>
      <w:r>
        <w:rPr>
          <w:color w:val="231F20"/>
          <w:spacing w:val="-10"/>
        </w:rPr>
        <w:t> </w:t>
      </w:r>
      <w:r>
        <w:rPr>
          <w:color w:val="231F20"/>
        </w:rPr>
        <w:t>del</w:t>
      </w:r>
      <w:r>
        <w:rPr>
          <w:color w:val="231F20"/>
          <w:spacing w:val="-13"/>
        </w:rPr>
        <w:t> </w:t>
      </w:r>
      <w:r>
        <w:rPr>
          <w:color w:val="231F20"/>
        </w:rPr>
        <w:t>Trabajo</w:t>
      </w:r>
      <w:r>
        <w:rPr>
          <w:color w:val="231F20"/>
          <w:spacing w:val="-9"/>
        </w:rPr>
        <w:t> </w:t>
      </w:r>
      <w:r>
        <w:rPr>
          <w:color w:val="231F20"/>
        </w:rPr>
        <w:t>(CENIET)</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Secretaría</w:t>
      </w:r>
      <w:r>
        <w:rPr>
          <w:color w:val="231F20"/>
          <w:spacing w:val="-8"/>
        </w:rPr>
        <w:t> </w:t>
      </w:r>
      <w:r>
        <w:rPr>
          <w:color w:val="231F20"/>
        </w:rPr>
        <w:t>del</w:t>
      </w:r>
      <w:r>
        <w:rPr>
          <w:color w:val="231F20"/>
          <w:spacing w:val="-13"/>
        </w:rPr>
        <w:t> </w:t>
      </w:r>
      <w:r>
        <w:rPr>
          <w:color w:val="231F20"/>
        </w:rPr>
        <w:t>Trabajo y Previsión Social, con una muestra de 60 mil viviendas en </w:t>
      </w:r>
      <w:r>
        <w:rPr>
          <w:color w:val="231F20"/>
          <w:spacing w:val="-3"/>
        </w:rPr>
        <w:t>115 </w:t>
      </w:r>
      <w:r>
        <w:rPr>
          <w:color w:val="231F20"/>
        </w:rPr>
        <w:t>localida- des de la República Mexicana. La citada encuesta tenía como objetivos establecer la dimensión del flujo migratorio de la mano de obra mexicana a Estados Unidos, conocer sus principales características y determinar el volumen de la migración interna en nuestro país, poniendo énfasis en la frontera norte (Corona, 2008: 137).</w:t>
      </w:r>
    </w:p>
    <w:p>
      <w:pPr>
        <w:pStyle w:val="BodyText"/>
        <w:spacing w:line="247" w:lineRule="auto"/>
        <w:ind w:left="117" w:right="115" w:firstLine="283"/>
        <w:jc w:val="both"/>
      </w:pPr>
      <w:r>
        <w:rPr>
          <w:color w:val="231F20"/>
        </w:rPr>
        <w:t>La ENEFNEU obtuvo información socioeconómica y sociodemográ- fica de todos los residentes del hogar y logró identificar a los miembros con antecedentes migratorios internos e internacionales. Así, la encuesta permitía captar tres tipos de migrantes: i) personas ausentes que tenían 15 años o más de edad, residentes habituales de las viviendas seleccionadas  y de los cuales sus familiares declararon que no se encontraban presentes por haberse ido a Estados Unidos a trabajar o buscar trabajo; ii) retornos, conformado por personas de 15 años o más de edad que estando presentes en su residencia habitual habían ido a buscar trabajo a Estados Unidos entre el primero de enero de 1974 a la fecha de la entrevista (diciembre de 1978-enero de 1979) y iii) migrantes internos, identificados como perso- nas mayores de 14 años que no siendo   </w:t>
      </w:r>
      <w:r>
        <w:rPr>
          <w:color w:val="231F20"/>
          <w:spacing w:val="25"/>
        </w:rPr>
        <w:t> </w:t>
      </w:r>
      <w:r>
        <w:rPr>
          <w:color w:val="231F20"/>
        </w:rPr>
        <w:t>migrantes internacionales habían</w:t>
      </w:r>
    </w:p>
    <w:p>
      <w:pPr>
        <w:spacing w:after="0" w:line="247" w:lineRule="auto"/>
        <w:jc w:val="both"/>
        <w:sectPr>
          <w:pgSz w:w="9360" w:h="13040"/>
          <w:pgMar w:header="0" w:footer="496" w:top="840" w:bottom="680" w:left="1300" w:right="1300"/>
        </w:sectPr>
      </w:pPr>
    </w:p>
    <w:p>
      <w:pPr>
        <w:spacing w:before="45"/>
        <w:ind w:left="117" w:right="0" w:firstLine="713"/>
        <w:jc w:val="left"/>
        <w:rPr>
          <w:rFonts w:ascii="Arial" w:hAnsi="Arial"/>
          <w:i/>
          <w:sz w:val="20"/>
        </w:rPr>
      </w:pPr>
      <w:r>
        <w:rPr>
          <w:rFonts w:ascii="Arial" w:hAnsi="Arial"/>
          <w:color w:val="231F20"/>
          <w:w w:val="70"/>
          <w:sz w:val="20"/>
        </w:rPr>
        <w:t>La dinámica migratoria al interior de los hogares: formas... /Rosa Patricia Román-Reyes </w:t>
      </w:r>
      <w:r>
        <w:rPr>
          <w:rFonts w:ascii="Arial" w:hAnsi="Arial"/>
          <w:i/>
          <w:color w:val="231F20"/>
          <w:w w:val="70"/>
          <w:sz w:val="20"/>
        </w:rPr>
        <w:t>et al.</w:t>
      </w:r>
    </w:p>
    <w:p>
      <w:pPr>
        <w:pStyle w:val="BodyText"/>
        <w:spacing w:before="7"/>
        <w:rPr>
          <w:rFonts w:ascii="Arial"/>
          <w:i/>
          <w:sz w:val="28"/>
        </w:rPr>
      </w:pPr>
    </w:p>
    <w:p>
      <w:pPr>
        <w:pStyle w:val="BodyText"/>
        <w:spacing w:line="247" w:lineRule="auto"/>
        <w:ind w:left="117"/>
      </w:pPr>
      <w:r>
        <w:rPr>
          <w:color w:val="231F20"/>
        </w:rPr>
        <w:t>radicado en alguna otra entidad de la República Mexicana (Corona, 2008: 138).</w:t>
      </w:r>
    </w:p>
    <w:p>
      <w:pPr>
        <w:pStyle w:val="BodyText"/>
        <w:spacing w:line="247" w:lineRule="auto"/>
        <w:ind w:left="117" w:right="115" w:firstLine="283"/>
        <w:jc w:val="both"/>
      </w:pPr>
      <w:r>
        <w:rPr>
          <w:color w:val="231F20"/>
        </w:rPr>
        <w:t>En la línea de la ENEFNEU pero concentrada en los desplazamien-  tos internos, </w:t>
      </w:r>
      <w:r>
        <w:rPr>
          <w:i/>
          <w:color w:val="231F20"/>
        </w:rPr>
        <w:t>la Encuesta Demográfica de Baja California, </w:t>
      </w:r>
      <w:r>
        <w:rPr>
          <w:color w:val="231F20"/>
        </w:rPr>
        <w:t>levantada en octubre de 1986, permitió establecer la magnitud y características de los siguientes grupos de población:</w:t>
      </w:r>
    </w:p>
    <w:p>
      <w:pPr>
        <w:pStyle w:val="ListParagraph"/>
        <w:numPr>
          <w:ilvl w:val="0"/>
          <w:numId w:val="11"/>
        </w:numPr>
        <w:tabs>
          <w:tab w:pos="478" w:val="left" w:leader="none"/>
        </w:tabs>
        <w:spacing w:line="247" w:lineRule="auto" w:before="169" w:after="0"/>
        <w:ind w:left="477" w:right="115" w:hanging="360"/>
        <w:jc w:val="both"/>
        <w:rPr>
          <w:sz w:val="22"/>
        </w:rPr>
      </w:pPr>
      <w:r>
        <w:rPr>
          <w:color w:val="231F20"/>
          <w:sz w:val="22"/>
        </w:rPr>
        <w:t>Flotante,</w:t>
      </w:r>
      <w:r>
        <w:rPr>
          <w:color w:val="231F20"/>
          <w:spacing w:val="-6"/>
          <w:sz w:val="22"/>
        </w:rPr>
        <w:t> </w:t>
      </w:r>
      <w:r>
        <w:rPr>
          <w:color w:val="231F20"/>
          <w:sz w:val="22"/>
        </w:rPr>
        <w:t>captaba</w:t>
      </w:r>
      <w:r>
        <w:rPr>
          <w:color w:val="231F20"/>
          <w:spacing w:val="-7"/>
          <w:sz w:val="22"/>
        </w:rPr>
        <w:t> </w:t>
      </w:r>
      <w:r>
        <w:rPr>
          <w:color w:val="231F20"/>
          <w:sz w:val="22"/>
        </w:rPr>
        <w:t>la</w:t>
      </w:r>
      <w:r>
        <w:rPr>
          <w:color w:val="231F20"/>
          <w:spacing w:val="-7"/>
          <w:sz w:val="22"/>
        </w:rPr>
        <w:t> </w:t>
      </w:r>
      <w:r>
        <w:rPr>
          <w:color w:val="231F20"/>
          <w:sz w:val="22"/>
        </w:rPr>
        <w:t>población</w:t>
      </w:r>
      <w:r>
        <w:rPr>
          <w:color w:val="231F20"/>
          <w:spacing w:val="-7"/>
          <w:sz w:val="22"/>
        </w:rPr>
        <w:t> </w:t>
      </w:r>
      <w:r>
        <w:rPr>
          <w:color w:val="231F20"/>
          <w:sz w:val="22"/>
        </w:rPr>
        <w:t>residente</w:t>
      </w:r>
      <w:r>
        <w:rPr>
          <w:color w:val="231F20"/>
          <w:spacing w:val="-7"/>
          <w:sz w:val="22"/>
        </w:rPr>
        <w:t> </w:t>
      </w:r>
      <w:r>
        <w:rPr>
          <w:color w:val="231F20"/>
          <w:sz w:val="22"/>
        </w:rPr>
        <w:t>junto</w:t>
      </w:r>
      <w:r>
        <w:rPr>
          <w:color w:val="231F20"/>
          <w:spacing w:val="-7"/>
          <w:sz w:val="22"/>
        </w:rPr>
        <w:t> </w:t>
      </w:r>
      <w:r>
        <w:rPr>
          <w:color w:val="231F20"/>
          <w:sz w:val="22"/>
        </w:rPr>
        <w:t>con</w:t>
      </w:r>
      <w:r>
        <w:rPr>
          <w:color w:val="231F20"/>
          <w:spacing w:val="-7"/>
          <w:sz w:val="22"/>
        </w:rPr>
        <w:t> </w:t>
      </w:r>
      <w:r>
        <w:rPr>
          <w:color w:val="231F20"/>
          <w:sz w:val="22"/>
        </w:rPr>
        <w:t>la</w:t>
      </w:r>
      <w:r>
        <w:rPr>
          <w:color w:val="231F20"/>
          <w:spacing w:val="-7"/>
          <w:sz w:val="22"/>
        </w:rPr>
        <w:t> </w:t>
      </w:r>
      <w:r>
        <w:rPr>
          <w:color w:val="231F20"/>
          <w:sz w:val="22"/>
        </w:rPr>
        <w:t>población</w:t>
      </w:r>
      <w:r>
        <w:rPr>
          <w:color w:val="231F20"/>
          <w:spacing w:val="-7"/>
          <w:sz w:val="22"/>
        </w:rPr>
        <w:t> </w:t>
      </w:r>
      <w:r>
        <w:rPr>
          <w:color w:val="231F20"/>
          <w:sz w:val="22"/>
        </w:rPr>
        <w:t>presen- te en las viviendas seleccionadas en la muestra, lo que permite identi- ficar visitantes y ausentes temporales de las</w:t>
      </w:r>
      <w:r>
        <w:rPr>
          <w:color w:val="231F20"/>
          <w:spacing w:val="-12"/>
          <w:sz w:val="22"/>
        </w:rPr>
        <w:t> </w:t>
      </w:r>
      <w:r>
        <w:rPr>
          <w:color w:val="231F20"/>
          <w:sz w:val="22"/>
        </w:rPr>
        <w:t>viviendas.</w:t>
      </w:r>
    </w:p>
    <w:p>
      <w:pPr>
        <w:pStyle w:val="ListParagraph"/>
        <w:numPr>
          <w:ilvl w:val="0"/>
          <w:numId w:val="11"/>
        </w:numPr>
        <w:tabs>
          <w:tab w:pos="478" w:val="left" w:leader="none"/>
        </w:tabs>
        <w:spacing w:line="253" w:lineRule="exact" w:before="0" w:after="0"/>
        <w:ind w:left="477" w:right="0" w:hanging="360"/>
        <w:jc w:val="left"/>
        <w:rPr>
          <w:sz w:val="22"/>
        </w:rPr>
      </w:pPr>
      <w:r>
        <w:rPr>
          <w:color w:val="231F20"/>
          <w:sz w:val="22"/>
        </w:rPr>
        <w:t>La migración entre</w:t>
      </w:r>
      <w:r>
        <w:rPr>
          <w:color w:val="231F20"/>
          <w:spacing w:val="-2"/>
          <w:sz w:val="22"/>
        </w:rPr>
        <w:t> </w:t>
      </w:r>
      <w:r>
        <w:rPr>
          <w:color w:val="231F20"/>
          <w:sz w:val="22"/>
        </w:rPr>
        <w:t>municipios.</w:t>
      </w:r>
    </w:p>
    <w:p>
      <w:pPr>
        <w:pStyle w:val="ListParagraph"/>
        <w:numPr>
          <w:ilvl w:val="0"/>
          <w:numId w:val="11"/>
        </w:numPr>
        <w:tabs>
          <w:tab w:pos="478" w:val="left" w:leader="none"/>
        </w:tabs>
        <w:spacing w:line="247" w:lineRule="auto" w:before="7" w:after="0"/>
        <w:ind w:left="477" w:right="114" w:hanging="360"/>
        <w:jc w:val="both"/>
        <w:rPr>
          <w:sz w:val="22"/>
        </w:rPr>
      </w:pPr>
      <w:r>
        <w:rPr>
          <w:color w:val="231F20"/>
          <w:sz w:val="22"/>
        </w:rPr>
        <w:t>La migración temporal laboral entre Baja California y el resto de las entidades de nuestro</w:t>
      </w:r>
      <w:r>
        <w:rPr>
          <w:color w:val="231F20"/>
          <w:spacing w:val="-1"/>
          <w:sz w:val="22"/>
        </w:rPr>
        <w:t> </w:t>
      </w:r>
      <w:r>
        <w:rPr>
          <w:color w:val="231F20"/>
          <w:sz w:val="22"/>
        </w:rPr>
        <w:t>país.</w:t>
      </w:r>
    </w:p>
    <w:p>
      <w:pPr>
        <w:pStyle w:val="ListParagraph"/>
        <w:numPr>
          <w:ilvl w:val="0"/>
          <w:numId w:val="11"/>
        </w:numPr>
        <w:tabs>
          <w:tab w:pos="478" w:val="left" w:leader="none"/>
        </w:tabs>
        <w:spacing w:line="247" w:lineRule="auto" w:before="0" w:after="0"/>
        <w:ind w:left="477" w:right="115" w:hanging="360"/>
        <w:jc w:val="both"/>
        <w:rPr>
          <w:sz w:val="22"/>
        </w:rPr>
      </w:pPr>
      <w:r>
        <w:rPr>
          <w:color w:val="231F20"/>
          <w:sz w:val="22"/>
        </w:rPr>
        <w:t>La emigración a Estados Unidos mediante la ubicación de los miem- bros del hogar que se fueron a vivir en años anteriores al vecino país del norte (emigración permanente reciente) a través de la ubicación</w:t>
      </w:r>
      <w:r>
        <w:rPr>
          <w:color w:val="231F20"/>
          <w:spacing w:val="-31"/>
          <w:sz w:val="22"/>
        </w:rPr>
        <w:t> </w:t>
      </w:r>
      <w:r>
        <w:rPr>
          <w:color w:val="231F20"/>
          <w:sz w:val="22"/>
        </w:rPr>
        <w:t>de quienes</w:t>
      </w:r>
      <w:r>
        <w:rPr>
          <w:color w:val="231F20"/>
          <w:spacing w:val="-7"/>
          <w:sz w:val="22"/>
        </w:rPr>
        <w:t> </w:t>
      </w:r>
      <w:r>
        <w:rPr>
          <w:color w:val="231F20"/>
          <w:sz w:val="22"/>
        </w:rPr>
        <w:t>viviendo</w:t>
      </w:r>
      <w:r>
        <w:rPr>
          <w:color w:val="231F20"/>
          <w:spacing w:val="-7"/>
          <w:sz w:val="22"/>
        </w:rPr>
        <w:t> </w:t>
      </w:r>
      <w:r>
        <w:rPr>
          <w:color w:val="231F20"/>
          <w:sz w:val="22"/>
        </w:rPr>
        <w:t>en</w:t>
      </w:r>
      <w:r>
        <w:rPr>
          <w:color w:val="231F20"/>
          <w:spacing w:val="-7"/>
          <w:sz w:val="22"/>
        </w:rPr>
        <w:t> </w:t>
      </w:r>
      <w:r>
        <w:rPr>
          <w:color w:val="231F20"/>
          <w:sz w:val="22"/>
        </w:rPr>
        <w:t>Baja</w:t>
      </w:r>
      <w:r>
        <w:rPr>
          <w:color w:val="231F20"/>
          <w:spacing w:val="-7"/>
          <w:sz w:val="22"/>
        </w:rPr>
        <w:t> </w:t>
      </w:r>
      <w:r>
        <w:rPr>
          <w:color w:val="231F20"/>
          <w:sz w:val="22"/>
        </w:rPr>
        <w:t>California</w:t>
      </w:r>
      <w:r>
        <w:rPr>
          <w:color w:val="231F20"/>
          <w:spacing w:val="-7"/>
          <w:sz w:val="22"/>
        </w:rPr>
        <w:t> </w:t>
      </w:r>
      <w:r>
        <w:rPr>
          <w:color w:val="231F20"/>
          <w:sz w:val="22"/>
        </w:rPr>
        <w:t>habían</w:t>
      </w:r>
      <w:r>
        <w:rPr>
          <w:color w:val="231F20"/>
          <w:spacing w:val="-7"/>
          <w:sz w:val="22"/>
        </w:rPr>
        <w:t> </w:t>
      </w:r>
      <w:r>
        <w:rPr>
          <w:color w:val="231F20"/>
          <w:sz w:val="22"/>
        </w:rPr>
        <w:t>trabajado</w:t>
      </w:r>
      <w:r>
        <w:rPr>
          <w:color w:val="231F20"/>
          <w:spacing w:val="-7"/>
          <w:sz w:val="22"/>
        </w:rPr>
        <w:t> </w:t>
      </w:r>
      <w:r>
        <w:rPr>
          <w:color w:val="231F20"/>
          <w:sz w:val="22"/>
        </w:rPr>
        <w:t>en</w:t>
      </w:r>
      <w:r>
        <w:rPr>
          <w:color w:val="231F20"/>
          <w:spacing w:val="-7"/>
          <w:sz w:val="22"/>
        </w:rPr>
        <w:t> </w:t>
      </w:r>
      <w:r>
        <w:rPr>
          <w:color w:val="231F20"/>
          <w:sz w:val="22"/>
        </w:rPr>
        <w:t>Norteamérica (migración laboral de retorno), estableciendo cuáles residentes se en- contraban trabajando en Estados Unidos durante el periodo de la en- trevista (migrantes laborales internacionales) o identificando el lugar de residencia de los hijos de las mujeres de los hogares entrevistados (emigrantes permanentes).</w:t>
      </w:r>
    </w:p>
    <w:p>
      <w:pPr>
        <w:pStyle w:val="BodyText"/>
        <w:spacing w:line="247" w:lineRule="auto" w:before="169"/>
        <w:ind w:left="117" w:right="115" w:firstLine="283"/>
        <w:jc w:val="both"/>
      </w:pPr>
      <w:r>
        <w:rPr>
          <w:i/>
          <w:color w:val="231F20"/>
        </w:rPr>
        <w:t>La Encuesta de Migración en el estado de Zacatecas </w:t>
      </w:r>
      <w:r>
        <w:rPr>
          <w:color w:val="231F20"/>
        </w:rPr>
        <w:t>fue una tercera encuesta de hogares levantada por el gobierno del estado de Zacatecas, la Universidad Autónoma de Zacatecas y el Instituto de Estadística y Geo- grafía (INEGI) entre diciembre de 1990 y enero de 1991, con el objetivo de</w:t>
      </w:r>
      <w:r>
        <w:rPr>
          <w:color w:val="231F20"/>
          <w:spacing w:val="-6"/>
        </w:rPr>
        <w:t> </w:t>
      </w:r>
      <w:r>
        <w:rPr>
          <w:color w:val="231F20"/>
        </w:rPr>
        <w:t>conocer</w:t>
      </w:r>
      <w:r>
        <w:rPr>
          <w:color w:val="231F20"/>
          <w:spacing w:val="-6"/>
        </w:rPr>
        <w:t> </w:t>
      </w:r>
      <w:r>
        <w:rPr>
          <w:color w:val="231F20"/>
        </w:rPr>
        <w:t>las</w:t>
      </w:r>
      <w:r>
        <w:rPr>
          <w:color w:val="231F20"/>
          <w:spacing w:val="-6"/>
        </w:rPr>
        <w:t> </w:t>
      </w:r>
      <w:r>
        <w:rPr>
          <w:color w:val="231F20"/>
        </w:rPr>
        <w:t>características</w:t>
      </w:r>
      <w:r>
        <w:rPr>
          <w:color w:val="231F20"/>
          <w:spacing w:val="-6"/>
        </w:rPr>
        <w:t> </w:t>
      </w:r>
      <w:r>
        <w:rPr>
          <w:color w:val="231F20"/>
        </w:rPr>
        <w:t>sociodemográficas</w:t>
      </w:r>
      <w:r>
        <w:rPr>
          <w:color w:val="231F20"/>
          <w:spacing w:val="-6"/>
        </w:rPr>
        <w:t> </w:t>
      </w:r>
      <w:r>
        <w:rPr>
          <w:color w:val="231F20"/>
        </w:rPr>
        <w:t>y</w:t>
      </w:r>
      <w:r>
        <w:rPr>
          <w:color w:val="231F20"/>
          <w:spacing w:val="-6"/>
        </w:rPr>
        <w:t> </w:t>
      </w:r>
      <w:r>
        <w:rPr>
          <w:color w:val="231F20"/>
        </w:rPr>
        <w:t>socioeconómicas</w:t>
      </w:r>
      <w:r>
        <w:rPr>
          <w:color w:val="231F20"/>
          <w:spacing w:val="-6"/>
        </w:rPr>
        <w:t> </w:t>
      </w:r>
      <w:r>
        <w:rPr>
          <w:color w:val="231F20"/>
        </w:rPr>
        <w:t>de</w:t>
      </w:r>
      <w:r>
        <w:rPr>
          <w:color w:val="231F20"/>
          <w:spacing w:val="-6"/>
        </w:rPr>
        <w:t> </w:t>
      </w:r>
      <w:r>
        <w:rPr>
          <w:color w:val="231F20"/>
        </w:rPr>
        <w:t>los hogares con migrantes y de los movimientos migratorios de los zacate- canos. La encuesta identificó distintos tipos de migrantes tales como los ausentes temporales (residentes habituales que durante la aplicación del cuestionario se encontraban fuera del municipio por razones de trabajo, estudio, vacaciones, etc.) o los hijos residentes en otro lugar (hijos de mu- jeres de 12 años o más del hogar que residían permanentemente en otra entidad federativa o país del</w:t>
      </w:r>
      <w:r>
        <w:rPr>
          <w:color w:val="231F20"/>
          <w:spacing w:val="-1"/>
        </w:rPr>
        <w:t> </w:t>
      </w:r>
      <w:r>
        <w:rPr>
          <w:color w:val="231F20"/>
        </w:rPr>
        <w:t>extranjero).</w:t>
      </w:r>
    </w:p>
    <w:p>
      <w:pPr>
        <w:pStyle w:val="BodyText"/>
        <w:spacing w:line="247" w:lineRule="auto"/>
        <w:ind w:left="117" w:right="115" w:firstLine="283"/>
        <w:jc w:val="both"/>
      </w:pPr>
      <w:r>
        <w:rPr>
          <w:color w:val="231F20"/>
        </w:rPr>
        <w:t>En la década de los noventa entre las encuestas que generaban estadís- ticas sobre migración quizá la más destacable sea la Encuesta Nacional de la Dinámica Demográfica que realizó a finales de 1992 el INEGI, con una muestra de 64 mil viviendas en todo el país.</w:t>
      </w:r>
    </w:p>
    <w:p>
      <w:pPr>
        <w:spacing w:after="0" w:line="247" w:lineRule="auto"/>
        <w:jc w:val="both"/>
        <w:sectPr>
          <w:pgSz w:w="9360" w:h="13040"/>
          <w:pgMar w:header="0" w:footer="496" w:top="740" w:bottom="680" w:left="1300" w:right="1300"/>
        </w:sectPr>
      </w:pPr>
    </w:p>
    <w:p>
      <w:pPr>
        <w:tabs>
          <w:tab w:pos="5408" w:val="left" w:leader="none"/>
        </w:tabs>
        <w:spacing w:before="51"/>
        <w:ind w:left="0" w:right="115" w:firstLine="0"/>
        <w:jc w:val="righ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before="1"/>
        <w:ind w:left="117" w:right="114" w:firstLine="283"/>
        <w:jc w:val="right"/>
      </w:pPr>
      <w:r>
        <w:rPr>
          <w:color w:val="231F20"/>
        </w:rPr>
        <w:t>Recientemente, la </w:t>
      </w:r>
      <w:r>
        <w:rPr>
          <w:i/>
          <w:color w:val="231F20"/>
        </w:rPr>
        <w:t>Encuesta de hogares </w:t>
      </w:r>
      <w:r>
        <w:rPr>
          <w:i/>
          <w:color w:val="231F20"/>
          <w:spacing w:val="-3"/>
        </w:rPr>
        <w:t>sobre </w:t>
      </w:r>
      <w:r>
        <w:rPr>
          <w:i/>
          <w:color w:val="231F20"/>
        </w:rPr>
        <w:t>migración</w:t>
      </w:r>
      <w:r>
        <w:rPr>
          <w:i/>
          <w:color w:val="231F20"/>
          <w:spacing w:val="-8"/>
        </w:rPr>
        <w:t> </w:t>
      </w:r>
      <w:r>
        <w:rPr>
          <w:i/>
          <w:color w:val="231F20"/>
        </w:rPr>
        <w:t>de</w:t>
      </w:r>
      <w:r>
        <w:rPr>
          <w:i/>
          <w:color w:val="231F20"/>
          <w:spacing w:val="-2"/>
        </w:rPr>
        <w:t> </w:t>
      </w:r>
      <w:r>
        <w:rPr>
          <w:i/>
          <w:color w:val="231F20"/>
        </w:rPr>
        <w:t>Guanajua-</w:t>
      </w:r>
      <w:r>
        <w:rPr>
          <w:i/>
          <w:color w:val="231F20"/>
        </w:rPr>
        <w:t> to,</w:t>
      </w:r>
      <w:r>
        <w:rPr>
          <w:i/>
          <w:color w:val="231F20"/>
          <w:spacing w:val="26"/>
        </w:rPr>
        <w:t> </w:t>
      </w:r>
      <w:r>
        <w:rPr>
          <w:color w:val="231F20"/>
        </w:rPr>
        <w:t>realizada</w:t>
      </w:r>
      <w:r>
        <w:rPr>
          <w:color w:val="231F20"/>
          <w:spacing w:val="26"/>
        </w:rPr>
        <w:t> </w:t>
      </w:r>
      <w:r>
        <w:rPr>
          <w:color w:val="231F20"/>
        </w:rPr>
        <w:t>en</w:t>
      </w:r>
      <w:r>
        <w:rPr>
          <w:color w:val="231F20"/>
          <w:spacing w:val="26"/>
        </w:rPr>
        <w:t> </w:t>
      </w:r>
      <w:r>
        <w:rPr>
          <w:color w:val="231F20"/>
        </w:rPr>
        <w:t>mayo</w:t>
      </w:r>
      <w:r>
        <w:rPr>
          <w:color w:val="231F20"/>
          <w:spacing w:val="26"/>
        </w:rPr>
        <w:t> </w:t>
      </w:r>
      <w:r>
        <w:rPr>
          <w:color w:val="231F20"/>
        </w:rPr>
        <w:t>de</w:t>
      </w:r>
      <w:r>
        <w:rPr>
          <w:color w:val="231F20"/>
          <w:spacing w:val="26"/>
        </w:rPr>
        <w:t> </w:t>
      </w:r>
      <w:r>
        <w:rPr>
          <w:color w:val="231F20"/>
        </w:rPr>
        <w:t>2003</w:t>
      </w:r>
      <w:r>
        <w:rPr>
          <w:i/>
          <w:color w:val="231F20"/>
        </w:rPr>
        <w:t>,</w:t>
      </w:r>
      <w:r>
        <w:rPr>
          <w:i/>
          <w:color w:val="231F20"/>
          <w:spacing w:val="26"/>
        </w:rPr>
        <w:t> </w:t>
      </w:r>
      <w:r>
        <w:rPr>
          <w:color w:val="231F20"/>
        </w:rPr>
        <w:t>ha</w:t>
      </w:r>
      <w:r>
        <w:rPr>
          <w:color w:val="231F20"/>
          <w:spacing w:val="26"/>
        </w:rPr>
        <w:t> </w:t>
      </w:r>
      <w:r>
        <w:rPr>
          <w:color w:val="231F20"/>
        </w:rPr>
        <w:t>utilizado</w:t>
      </w:r>
      <w:r>
        <w:rPr>
          <w:color w:val="231F20"/>
          <w:spacing w:val="26"/>
        </w:rPr>
        <w:t> </w:t>
      </w:r>
      <w:r>
        <w:rPr>
          <w:color w:val="231F20"/>
        </w:rPr>
        <w:t>los</w:t>
      </w:r>
      <w:r>
        <w:rPr>
          <w:color w:val="231F20"/>
          <w:spacing w:val="26"/>
        </w:rPr>
        <w:t> </w:t>
      </w:r>
      <w:r>
        <w:rPr>
          <w:color w:val="231F20"/>
        </w:rPr>
        <w:t>conceptos</w:t>
      </w:r>
      <w:r>
        <w:rPr>
          <w:color w:val="231F20"/>
          <w:spacing w:val="26"/>
        </w:rPr>
        <w:t> </w:t>
      </w:r>
      <w:r>
        <w:rPr>
          <w:color w:val="231F20"/>
        </w:rPr>
        <w:t>de</w:t>
      </w:r>
      <w:r>
        <w:rPr>
          <w:color w:val="231F20"/>
          <w:spacing w:val="26"/>
        </w:rPr>
        <w:t> </w:t>
      </w:r>
      <w:r>
        <w:rPr>
          <w:color w:val="231F20"/>
        </w:rPr>
        <w:t>población residente y presente de tal forma que se pueden cuantificar y conocer</w:t>
      </w:r>
      <w:r>
        <w:rPr>
          <w:color w:val="231F20"/>
          <w:spacing w:val="10"/>
        </w:rPr>
        <w:t> </w:t>
      </w:r>
      <w:r>
        <w:rPr>
          <w:color w:val="231F20"/>
        </w:rPr>
        <w:t>los principales</w:t>
      </w:r>
      <w:r>
        <w:rPr>
          <w:color w:val="231F20"/>
          <w:spacing w:val="-17"/>
        </w:rPr>
        <w:t> </w:t>
      </w:r>
      <w:r>
        <w:rPr>
          <w:color w:val="231F20"/>
        </w:rPr>
        <w:t>rasgos</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visitantes</w:t>
      </w:r>
      <w:r>
        <w:rPr>
          <w:color w:val="231F20"/>
          <w:spacing w:val="-17"/>
        </w:rPr>
        <w:t> </w:t>
      </w:r>
      <w:r>
        <w:rPr>
          <w:color w:val="231F20"/>
        </w:rPr>
        <w:t>temporales</w:t>
      </w:r>
      <w:r>
        <w:rPr>
          <w:color w:val="231F20"/>
          <w:spacing w:val="-18"/>
        </w:rPr>
        <w:t> </w:t>
      </w:r>
      <w:r>
        <w:rPr>
          <w:color w:val="231F20"/>
        </w:rPr>
        <w:t>y</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ausentes</w:t>
      </w:r>
      <w:r>
        <w:rPr>
          <w:color w:val="231F20"/>
          <w:spacing w:val="-18"/>
        </w:rPr>
        <w:t> </w:t>
      </w:r>
      <w:r>
        <w:rPr>
          <w:color w:val="231F20"/>
        </w:rPr>
        <w:t>temporales. En esta encuesta se incorporaron, además de las</w:t>
      </w:r>
      <w:r>
        <w:rPr>
          <w:color w:val="231F20"/>
          <w:spacing w:val="41"/>
        </w:rPr>
        <w:t> </w:t>
      </w:r>
      <w:r>
        <w:rPr>
          <w:color w:val="231F20"/>
        </w:rPr>
        <w:t>preguntas</w:t>
      </w:r>
      <w:r>
        <w:rPr>
          <w:color w:val="231F20"/>
          <w:spacing w:val="12"/>
        </w:rPr>
        <w:t> </w:t>
      </w:r>
      <w:r>
        <w:rPr>
          <w:color w:val="231F20"/>
        </w:rPr>
        <w:t>retrospectivas tradicionales, preguntas tendientes a identificar</w:t>
      </w:r>
      <w:r>
        <w:rPr>
          <w:color w:val="231F20"/>
          <w:spacing w:val="9"/>
        </w:rPr>
        <w:t> </w:t>
      </w:r>
      <w:r>
        <w:rPr>
          <w:color w:val="231F20"/>
        </w:rPr>
        <w:t>modalidades</w:t>
      </w:r>
      <w:r>
        <w:rPr>
          <w:color w:val="231F20"/>
          <w:spacing w:val="24"/>
        </w:rPr>
        <w:t> </w:t>
      </w:r>
      <w:r>
        <w:rPr>
          <w:color w:val="231F20"/>
        </w:rPr>
        <w:t>migratorias</w:t>
      </w:r>
      <w:r>
        <w:rPr>
          <w:color w:val="231F20"/>
          <w:w w:val="100"/>
        </w:rPr>
        <w:t> </w:t>
      </w:r>
      <w:r>
        <w:rPr>
          <w:color w:val="231F20"/>
        </w:rPr>
        <w:t>particulares. Asimismo, la encuesta le ha dado un </w:t>
      </w:r>
      <w:r>
        <w:rPr>
          <w:color w:val="231F20"/>
          <w:spacing w:val="27"/>
        </w:rPr>
        <w:t> </w:t>
      </w:r>
      <w:r>
        <w:rPr>
          <w:color w:val="231F20"/>
        </w:rPr>
        <w:t>tratamiento</w:t>
      </w:r>
      <w:r>
        <w:rPr>
          <w:color w:val="231F20"/>
          <w:spacing w:val="18"/>
        </w:rPr>
        <w:t> </w:t>
      </w:r>
      <w:r>
        <w:rPr>
          <w:color w:val="231F20"/>
        </w:rPr>
        <w:t>específico</w:t>
      </w:r>
      <w:r>
        <w:rPr>
          <w:color w:val="231F20"/>
          <w:w w:val="98"/>
        </w:rPr>
        <w:t> </w:t>
      </w:r>
      <w:r>
        <w:rPr>
          <w:color w:val="231F20"/>
        </w:rPr>
        <w:t>a ciertos aspectos del fenómeno, como la condición de documentado</w:t>
      </w:r>
      <w:r>
        <w:rPr>
          <w:color w:val="231F20"/>
          <w:spacing w:val="32"/>
        </w:rPr>
        <w:t> </w:t>
      </w:r>
      <w:r>
        <w:rPr>
          <w:color w:val="231F20"/>
        </w:rPr>
        <w:t>o</w:t>
      </w:r>
      <w:r>
        <w:rPr>
          <w:color w:val="231F20"/>
          <w:spacing w:val="2"/>
        </w:rPr>
        <w:t> </w:t>
      </w:r>
      <w:r>
        <w:rPr>
          <w:color w:val="231F20"/>
        </w:rPr>
        <w:t>no del</w:t>
      </w:r>
      <w:r>
        <w:rPr>
          <w:color w:val="231F20"/>
          <w:spacing w:val="-6"/>
        </w:rPr>
        <w:t> </w:t>
      </w:r>
      <w:r>
        <w:rPr>
          <w:color w:val="231F20"/>
        </w:rPr>
        <w:t>migrante</w:t>
      </w:r>
      <w:r>
        <w:rPr>
          <w:color w:val="231F20"/>
          <w:spacing w:val="-7"/>
        </w:rPr>
        <w:t> </w:t>
      </w:r>
      <w:r>
        <w:rPr>
          <w:color w:val="231F20"/>
        </w:rPr>
        <w:t>y</w:t>
      </w:r>
      <w:r>
        <w:rPr>
          <w:color w:val="231F20"/>
          <w:spacing w:val="-6"/>
        </w:rPr>
        <w:t> </w:t>
      </w:r>
      <w:r>
        <w:rPr>
          <w:color w:val="231F20"/>
        </w:rPr>
        <w:t>la</w:t>
      </w:r>
      <w:r>
        <w:rPr>
          <w:color w:val="231F20"/>
          <w:spacing w:val="-6"/>
        </w:rPr>
        <w:t> </w:t>
      </w:r>
      <w:r>
        <w:rPr>
          <w:color w:val="231F20"/>
        </w:rPr>
        <w:t>ubicación</w:t>
      </w:r>
      <w:r>
        <w:rPr>
          <w:color w:val="231F20"/>
          <w:spacing w:val="-6"/>
        </w:rPr>
        <w:t> </w:t>
      </w:r>
      <w:r>
        <w:rPr>
          <w:color w:val="231F20"/>
        </w:rPr>
        <w:t>de</w:t>
      </w:r>
      <w:r>
        <w:rPr>
          <w:color w:val="231F20"/>
          <w:spacing w:val="-6"/>
        </w:rPr>
        <w:t> </w:t>
      </w:r>
      <w:r>
        <w:rPr>
          <w:color w:val="231F20"/>
        </w:rPr>
        <w:t>hijos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vecino</w:t>
      </w:r>
      <w:r>
        <w:rPr>
          <w:color w:val="231F20"/>
          <w:spacing w:val="-6"/>
        </w:rPr>
        <w:t> </w:t>
      </w:r>
      <w:r>
        <w:rPr>
          <w:color w:val="231F20"/>
        </w:rPr>
        <w:t>país</w:t>
      </w:r>
      <w:r>
        <w:rPr>
          <w:color w:val="231F20"/>
          <w:spacing w:val="-6"/>
        </w:rPr>
        <w:t> </w:t>
      </w:r>
      <w:r>
        <w:rPr>
          <w:color w:val="231F20"/>
        </w:rPr>
        <w:t>del</w:t>
      </w:r>
      <w:r>
        <w:rPr>
          <w:color w:val="231F20"/>
          <w:spacing w:val="-6"/>
        </w:rPr>
        <w:t> </w:t>
      </w:r>
      <w:r>
        <w:rPr>
          <w:color w:val="231F20"/>
        </w:rPr>
        <w:t>norte,</w:t>
      </w:r>
      <w:r>
        <w:rPr>
          <w:color w:val="231F20"/>
          <w:spacing w:val="-6"/>
        </w:rPr>
        <w:t> </w:t>
      </w:r>
      <w:r>
        <w:rPr>
          <w:color w:val="231F20"/>
        </w:rPr>
        <w:t>entre</w:t>
      </w:r>
      <w:r>
        <w:rPr>
          <w:color w:val="231F20"/>
          <w:spacing w:val="-6"/>
        </w:rPr>
        <w:t> </w:t>
      </w:r>
      <w:r>
        <w:rPr>
          <w:color w:val="231F20"/>
        </w:rPr>
        <w:t>otros. Además,</w:t>
      </w:r>
      <w:r>
        <w:rPr>
          <w:color w:val="231F20"/>
          <w:spacing w:val="-6"/>
        </w:rPr>
        <w:t> </w:t>
      </w:r>
      <w:r>
        <w:rPr>
          <w:color w:val="231F20"/>
        </w:rPr>
        <w:t>en</w:t>
      </w:r>
      <w:r>
        <w:rPr>
          <w:color w:val="231F20"/>
          <w:spacing w:val="-6"/>
        </w:rPr>
        <w:t> </w:t>
      </w:r>
      <w:r>
        <w:rPr>
          <w:color w:val="231F20"/>
        </w:rPr>
        <w:t>esta</w:t>
      </w:r>
      <w:r>
        <w:rPr>
          <w:color w:val="231F20"/>
          <w:spacing w:val="-6"/>
        </w:rPr>
        <w:t> </w:t>
      </w:r>
      <w:r>
        <w:rPr>
          <w:color w:val="231F20"/>
        </w:rPr>
        <w:t>encuesta</w:t>
      </w:r>
      <w:r>
        <w:rPr>
          <w:color w:val="231F20"/>
          <w:spacing w:val="-7"/>
        </w:rPr>
        <w:t> </w:t>
      </w:r>
      <w:r>
        <w:rPr>
          <w:color w:val="231F20"/>
        </w:rPr>
        <w:t>se</w:t>
      </w:r>
      <w:r>
        <w:rPr>
          <w:color w:val="231F20"/>
          <w:spacing w:val="-6"/>
        </w:rPr>
        <w:t> </w:t>
      </w:r>
      <w:r>
        <w:rPr>
          <w:color w:val="231F20"/>
        </w:rPr>
        <w:t>agregaron</w:t>
      </w:r>
      <w:r>
        <w:rPr>
          <w:color w:val="231F20"/>
          <w:spacing w:val="-7"/>
        </w:rPr>
        <w:t> </w:t>
      </w:r>
      <w:r>
        <w:rPr>
          <w:color w:val="231F20"/>
        </w:rPr>
        <w:t>pequeños</w:t>
      </w:r>
      <w:r>
        <w:rPr>
          <w:color w:val="231F20"/>
          <w:spacing w:val="-6"/>
        </w:rPr>
        <w:t> </w:t>
      </w:r>
      <w:r>
        <w:rPr>
          <w:color w:val="231F20"/>
        </w:rPr>
        <w:t>módulos</w:t>
      </w:r>
      <w:r>
        <w:rPr>
          <w:color w:val="231F20"/>
          <w:spacing w:val="-7"/>
        </w:rPr>
        <w:t> </w:t>
      </w:r>
      <w:r>
        <w:rPr>
          <w:color w:val="231F20"/>
        </w:rPr>
        <w:t>para</w:t>
      </w:r>
      <w:r>
        <w:rPr>
          <w:color w:val="231F20"/>
          <w:spacing w:val="-6"/>
        </w:rPr>
        <w:t> </w:t>
      </w:r>
      <w:r>
        <w:rPr>
          <w:color w:val="231F20"/>
        </w:rPr>
        <w:t>obtener</w:t>
      </w:r>
      <w:r>
        <w:rPr>
          <w:color w:val="231F20"/>
          <w:spacing w:val="-6"/>
        </w:rPr>
        <w:t> </w:t>
      </w:r>
      <w:r>
        <w:rPr>
          <w:color w:val="231F20"/>
        </w:rPr>
        <w:t>di- ferentes datos sobre el último desplazamiento de los migrantes</w:t>
      </w:r>
      <w:r>
        <w:rPr>
          <w:color w:val="231F20"/>
          <w:spacing w:val="-6"/>
        </w:rPr>
        <w:t> </w:t>
      </w:r>
      <w:r>
        <w:rPr>
          <w:color w:val="231F20"/>
        </w:rPr>
        <w:t>de</w:t>
      </w:r>
      <w:r>
        <w:rPr>
          <w:color w:val="231F20"/>
          <w:spacing w:val="-1"/>
        </w:rPr>
        <w:t> </w:t>
      </w:r>
      <w:r>
        <w:rPr>
          <w:color w:val="231F20"/>
        </w:rPr>
        <w:t>retorno. Finalmente cabe destacar que </w:t>
      </w:r>
      <w:r>
        <w:rPr>
          <w:i/>
          <w:color w:val="231F20"/>
        </w:rPr>
        <w:t>La Encuesta Nacional de Empleo</w:t>
      </w:r>
      <w:r>
        <w:rPr>
          <w:i/>
          <w:color w:val="231F20"/>
          <w:spacing w:val="54"/>
        </w:rPr>
        <w:t> </w:t>
      </w:r>
      <w:r>
        <w:rPr>
          <w:color w:val="231F20"/>
        </w:rPr>
        <w:t>ha</w:t>
      </w:r>
      <w:r>
        <w:rPr>
          <w:color w:val="231F20"/>
          <w:spacing w:val="6"/>
        </w:rPr>
        <w:t> </w:t>
      </w:r>
      <w:r>
        <w:rPr>
          <w:color w:val="231F20"/>
        </w:rPr>
        <w:t>in- corporado un módulo de migración interna e internacional que</w:t>
      </w:r>
      <w:r>
        <w:rPr>
          <w:color w:val="231F20"/>
          <w:spacing w:val="43"/>
        </w:rPr>
        <w:t> </w:t>
      </w:r>
      <w:r>
        <w:rPr>
          <w:color w:val="231F20"/>
        </w:rPr>
        <w:t>indaga</w:t>
      </w:r>
      <w:r>
        <w:rPr>
          <w:color w:val="231F20"/>
          <w:spacing w:val="4"/>
        </w:rPr>
        <w:t> </w:t>
      </w:r>
      <w:r>
        <w:rPr>
          <w:color w:val="231F20"/>
        </w:rPr>
        <w:t>so- bre el volumen de la migración a Estados Unidos, los</w:t>
      </w:r>
      <w:r>
        <w:rPr>
          <w:color w:val="231F20"/>
          <w:spacing w:val="14"/>
        </w:rPr>
        <w:t> </w:t>
      </w:r>
      <w:r>
        <w:rPr>
          <w:color w:val="231F20"/>
        </w:rPr>
        <w:t>principales</w:t>
      </w:r>
      <w:r>
        <w:rPr>
          <w:color w:val="231F20"/>
          <w:spacing w:val="1"/>
        </w:rPr>
        <w:t> </w:t>
      </w:r>
      <w:r>
        <w:rPr>
          <w:color w:val="231F20"/>
        </w:rPr>
        <w:t>destinos a nivel estatal, así como la causa principal de la migración, lo</w:t>
      </w:r>
      <w:r>
        <w:rPr>
          <w:color w:val="231F20"/>
          <w:spacing w:val="6"/>
        </w:rPr>
        <w:t> </w:t>
      </w:r>
      <w:r>
        <w:rPr>
          <w:color w:val="231F20"/>
        </w:rPr>
        <w:t>que permite un acercamiento a las condiciones en las que migran los mexicanos</w:t>
      </w:r>
      <w:r>
        <w:rPr>
          <w:color w:val="231F20"/>
          <w:spacing w:val="32"/>
        </w:rPr>
        <w:t> </w:t>
      </w:r>
      <w:r>
        <w:rPr>
          <w:color w:val="231F20"/>
        </w:rPr>
        <w:t>a</w:t>
      </w:r>
      <w:r>
        <w:rPr>
          <w:color w:val="231F20"/>
          <w:spacing w:val="8"/>
        </w:rPr>
        <w:t> </w:t>
      </w:r>
      <w:r>
        <w:rPr>
          <w:color w:val="231F20"/>
        </w:rPr>
        <w:t>ese país y al conocimiento de la frecuencia con la que esos</w:t>
      </w:r>
      <w:r>
        <w:rPr>
          <w:color w:val="231F20"/>
          <w:spacing w:val="42"/>
        </w:rPr>
        <w:t> </w:t>
      </w:r>
      <w:r>
        <w:rPr>
          <w:color w:val="231F20"/>
        </w:rPr>
        <w:t>mexicanos</w:t>
      </w:r>
      <w:r>
        <w:rPr>
          <w:color w:val="231F20"/>
          <w:spacing w:val="4"/>
        </w:rPr>
        <w:t> </w:t>
      </w:r>
      <w:r>
        <w:rPr>
          <w:color w:val="231F20"/>
        </w:rPr>
        <w:t>envían dinero</w:t>
      </w:r>
      <w:r>
        <w:rPr>
          <w:color w:val="231F20"/>
          <w:spacing w:val="-4"/>
        </w:rPr>
        <w:t> </w:t>
      </w:r>
      <w:r>
        <w:rPr>
          <w:color w:val="231F20"/>
        </w:rPr>
        <w:t>a</w:t>
      </w:r>
      <w:r>
        <w:rPr>
          <w:color w:val="231F20"/>
          <w:spacing w:val="-4"/>
        </w:rPr>
        <w:t> </w:t>
      </w:r>
      <w:r>
        <w:rPr>
          <w:color w:val="231F20"/>
        </w:rPr>
        <w:t>México.</w:t>
      </w:r>
      <w:r>
        <w:rPr>
          <w:color w:val="231F20"/>
          <w:spacing w:val="-16"/>
        </w:rPr>
        <w:t> </w:t>
      </w:r>
      <w:r>
        <w:rPr>
          <w:color w:val="231F20"/>
        </w:rPr>
        <w:t>Además,</w:t>
      </w:r>
      <w:r>
        <w:rPr>
          <w:color w:val="231F20"/>
          <w:spacing w:val="-4"/>
        </w:rPr>
        <w:t> </w:t>
      </w:r>
      <w:r>
        <w:rPr>
          <w:color w:val="231F20"/>
        </w:rPr>
        <w:t>la</w:t>
      </w:r>
      <w:r>
        <w:rPr>
          <w:color w:val="231F20"/>
          <w:spacing w:val="-4"/>
        </w:rPr>
        <w:t> </w:t>
      </w:r>
      <w:r>
        <w:rPr>
          <w:color w:val="231F20"/>
        </w:rPr>
        <w:t>Encuesta</w:t>
      </w:r>
      <w:r>
        <w:rPr>
          <w:color w:val="231F20"/>
          <w:spacing w:val="-5"/>
        </w:rPr>
        <w:t> </w:t>
      </w:r>
      <w:r>
        <w:rPr>
          <w:color w:val="231F20"/>
        </w:rPr>
        <w:t>Nacional</w:t>
      </w:r>
      <w:r>
        <w:rPr>
          <w:color w:val="231F20"/>
          <w:spacing w:val="-4"/>
        </w:rPr>
        <w:t> </w:t>
      </w:r>
      <w:r>
        <w:rPr>
          <w:color w:val="231F20"/>
        </w:rPr>
        <w:t>de</w:t>
      </w:r>
      <w:r>
        <w:rPr>
          <w:color w:val="231F20"/>
          <w:spacing w:val="-4"/>
        </w:rPr>
        <w:t> </w:t>
      </w:r>
      <w:r>
        <w:rPr>
          <w:color w:val="231F20"/>
        </w:rPr>
        <w:t>Empleo</w:t>
      </w:r>
      <w:r>
        <w:rPr>
          <w:color w:val="231F20"/>
          <w:spacing w:val="-4"/>
        </w:rPr>
        <w:t> </w:t>
      </w:r>
      <w:r>
        <w:rPr>
          <w:color w:val="231F20"/>
        </w:rPr>
        <w:t>permite</w:t>
      </w:r>
      <w:r>
        <w:rPr>
          <w:color w:val="231F20"/>
          <w:spacing w:val="-4"/>
        </w:rPr>
        <w:t> </w:t>
      </w:r>
      <w:r>
        <w:rPr>
          <w:color w:val="231F20"/>
        </w:rPr>
        <w:t>desta- car la situación de los miembros del hogar migrantes ausentes</w:t>
      </w:r>
      <w:r>
        <w:rPr>
          <w:color w:val="231F20"/>
          <w:spacing w:val="19"/>
        </w:rPr>
        <w:t> </w:t>
      </w:r>
      <w:r>
        <w:rPr>
          <w:color w:val="231F20"/>
        </w:rPr>
        <w:t>y</w:t>
      </w:r>
      <w:r>
        <w:rPr>
          <w:color w:val="231F20"/>
          <w:spacing w:val="2"/>
        </w:rPr>
        <w:t> </w:t>
      </w:r>
      <w:r>
        <w:rPr>
          <w:color w:val="231F20"/>
        </w:rPr>
        <w:t>presentes temporales en la vivienda lo que ayuda a estructurar montos de </w:t>
      </w:r>
      <w:r>
        <w:rPr>
          <w:color w:val="231F20"/>
          <w:spacing w:val="20"/>
        </w:rPr>
        <w:t> </w:t>
      </w:r>
      <w:r>
        <w:rPr>
          <w:color w:val="231F20"/>
        </w:rPr>
        <w:t>poblacio-</w:t>
      </w:r>
    </w:p>
    <w:p>
      <w:pPr>
        <w:pStyle w:val="BodyText"/>
        <w:spacing w:line="253" w:lineRule="exact"/>
        <w:ind w:left="117" w:right="117"/>
      </w:pPr>
      <w:r>
        <w:rPr>
          <w:color w:val="231F20"/>
        </w:rPr>
        <w:t>nes residente y presente.</w:t>
      </w:r>
    </w:p>
    <w:p>
      <w:pPr>
        <w:pStyle w:val="BodyText"/>
        <w:spacing w:line="247" w:lineRule="auto" w:before="7"/>
        <w:ind w:left="117" w:right="115" w:firstLine="283"/>
        <w:jc w:val="both"/>
      </w:pPr>
      <w:r>
        <w:rPr>
          <w:color w:val="231F20"/>
        </w:rPr>
        <w:t>Nutriéndose de este amplio bagaje, la EMMEU 2009 destaca la rela- ción existente entre el desplazamiento y el individuo; es decir, entre la migración y el migrante. A partir de esta relación capta el desplazamiento en las dos dimensiones que lo definen: tiempo y espacio y a partir de esto recupera del migrante y de su hogar sus características sociodemográficas y económicas y su experiencia migratoria, entre otros aspectos.</w:t>
      </w:r>
    </w:p>
    <w:p>
      <w:pPr>
        <w:pStyle w:val="BodyText"/>
        <w:spacing w:line="247" w:lineRule="auto"/>
        <w:ind w:left="117" w:right="114" w:firstLine="283"/>
        <w:jc w:val="both"/>
      </w:pPr>
      <w:r>
        <w:rPr>
          <w:color w:val="231F20"/>
        </w:rPr>
        <w:t>En</w:t>
      </w:r>
      <w:r>
        <w:rPr>
          <w:color w:val="231F20"/>
          <w:spacing w:val="-6"/>
        </w:rPr>
        <w:t> </w:t>
      </w:r>
      <w:r>
        <w:rPr>
          <w:color w:val="231F20"/>
        </w:rPr>
        <w:t>su</w:t>
      </w:r>
      <w:r>
        <w:rPr>
          <w:color w:val="231F20"/>
          <w:spacing w:val="-6"/>
        </w:rPr>
        <w:t> </w:t>
      </w:r>
      <w:r>
        <w:rPr>
          <w:color w:val="231F20"/>
        </w:rPr>
        <w:t>conceptualización</w:t>
      </w:r>
      <w:r>
        <w:rPr>
          <w:color w:val="231F20"/>
          <w:spacing w:val="-6"/>
        </w:rPr>
        <w:t> </w:t>
      </w:r>
      <w:r>
        <w:rPr>
          <w:color w:val="231F20"/>
        </w:rPr>
        <w:t>la</w:t>
      </w:r>
      <w:r>
        <w:rPr>
          <w:color w:val="231F20"/>
          <w:spacing w:val="-6"/>
        </w:rPr>
        <w:t> </w:t>
      </w:r>
      <w:r>
        <w:rPr>
          <w:color w:val="231F20"/>
        </w:rPr>
        <w:t>EMMEU</w:t>
      </w:r>
      <w:r>
        <w:rPr>
          <w:color w:val="231F20"/>
          <w:spacing w:val="-6"/>
        </w:rPr>
        <w:t> </w:t>
      </w:r>
      <w:r>
        <w:rPr>
          <w:color w:val="231F20"/>
        </w:rPr>
        <w:t>2009</w:t>
      </w:r>
      <w:r>
        <w:rPr>
          <w:color w:val="231F20"/>
          <w:spacing w:val="-6"/>
        </w:rPr>
        <w:t> </w:t>
      </w:r>
      <w:r>
        <w:rPr>
          <w:color w:val="231F20"/>
        </w:rPr>
        <w:t>aporta</w:t>
      </w:r>
      <w:r>
        <w:rPr>
          <w:color w:val="231F20"/>
          <w:spacing w:val="-6"/>
        </w:rPr>
        <w:t> </w:t>
      </w:r>
      <w:r>
        <w:rPr>
          <w:color w:val="231F20"/>
        </w:rPr>
        <w:t>elementos</w:t>
      </w:r>
      <w:r>
        <w:rPr>
          <w:color w:val="231F20"/>
          <w:spacing w:val="-6"/>
        </w:rPr>
        <w:t> </w:t>
      </w:r>
      <w:r>
        <w:rPr>
          <w:color w:val="231F20"/>
        </w:rPr>
        <w:t>para</w:t>
      </w:r>
      <w:r>
        <w:rPr>
          <w:color w:val="231F20"/>
          <w:spacing w:val="-6"/>
        </w:rPr>
        <w:t> </w:t>
      </w:r>
      <w:r>
        <w:rPr>
          <w:color w:val="231F20"/>
        </w:rPr>
        <w:t>inten- tar responder a preguntas como ¿qué porcentaje de hogares del Estado de México están relacionados con la migración a Estados Unidos? ¿qué por- centaje de los hogares corresponden a migrantes laborales? ¿qué propor- 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migración</w:t>
      </w:r>
      <w:r>
        <w:rPr>
          <w:color w:val="231F20"/>
          <w:spacing w:val="-9"/>
        </w:rPr>
        <w:t> </w:t>
      </w:r>
      <w:r>
        <w:rPr>
          <w:color w:val="231F20"/>
        </w:rPr>
        <w:t>corresponde</w:t>
      </w:r>
      <w:r>
        <w:rPr>
          <w:color w:val="231F20"/>
          <w:spacing w:val="-9"/>
        </w:rPr>
        <w:t> </w:t>
      </w:r>
      <w:r>
        <w:rPr>
          <w:color w:val="231F20"/>
        </w:rPr>
        <w:t>a</w:t>
      </w:r>
      <w:r>
        <w:rPr>
          <w:color w:val="231F20"/>
          <w:spacing w:val="-9"/>
        </w:rPr>
        <w:t> </w:t>
      </w:r>
      <w:r>
        <w:rPr>
          <w:color w:val="231F20"/>
        </w:rPr>
        <w:t>migrantes</w:t>
      </w:r>
      <w:r>
        <w:rPr>
          <w:color w:val="231F20"/>
          <w:spacing w:val="-10"/>
        </w:rPr>
        <w:t> </w:t>
      </w:r>
      <w:r>
        <w:rPr>
          <w:color w:val="231F20"/>
        </w:rPr>
        <w:t>mujeres?</w:t>
      </w:r>
      <w:r>
        <w:rPr>
          <w:color w:val="231F20"/>
          <w:spacing w:val="-10"/>
        </w:rPr>
        <w:t> </w:t>
      </w:r>
      <w:r>
        <w:rPr>
          <w:color w:val="231F20"/>
        </w:rPr>
        <w:t>¿qué</w:t>
      </w:r>
      <w:r>
        <w:rPr>
          <w:color w:val="231F20"/>
          <w:spacing w:val="-9"/>
        </w:rPr>
        <w:t> </w:t>
      </w:r>
      <w:r>
        <w:rPr>
          <w:color w:val="231F20"/>
        </w:rPr>
        <w:t>proporción</w:t>
      </w:r>
      <w:r>
        <w:rPr>
          <w:color w:val="231F20"/>
          <w:spacing w:val="-9"/>
        </w:rPr>
        <w:t> </w:t>
      </w:r>
      <w:r>
        <w:rPr>
          <w:color w:val="231F20"/>
        </w:rPr>
        <w:t>de los</w:t>
      </w:r>
      <w:r>
        <w:rPr>
          <w:color w:val="231F20"/>
          <w:spacing w:val="-9"/>
        </w:rPr>
        <w:t> </w:t>
      </w:r>
      <w:r>
        <w:rPr>
          <w:color w:val="231F20"/>
        </w:rPr>
        <w:t>migrantes</w:t>
      </w:r>
      <w:r>
        <w:rPr>
          <w:color w:val="231F20"/>
          <w:spacing w:val="-9"/>
        </w:rPr>
        <w:t> </w:t>
      </w:r>
      <w:r>
        <w:rPr>
          <w:color w:val="231F20"/>
        </w:rPr>
        <w:t>son</w:t>
      </w:r>
      <w:r>
        <w:rPr>
          <w:color w:val="231F20"/>
          <w:spacing w:val="-9"/>
        </w:rPr>
        <w:t> </w:t>
      </w:r>
      <w:r>
        <w:rPr>
          <w:color w:val="231F20"/>
        </w:rPr>
        <w:t>de</w:t>
      </w:r>
      <w:r>
        <w:rPr>
          <w:color w:val="231F20"/>
          <w:spacing w:val="-9"/>
        </w:rPr>
        <w:t> </w:t>
      </w:r>
      <w:r>
        <w:rPr>
          <w:color w:val="231F20"/>
        </w:rPr>
        <w:t>retorno?</w:t>
      </w:r>
      <w:r>
        <w:rPr>
          <w:color w:val="231F20"/>
          <w:spacing w:val="-9"/>
        </w:rPr>
        <w:t> </w:t>
      </w:r>
      <w:r>
        <w:rPr>
          <w:color w:val="231F20"/>
        </w:rPr>
        <w:t>¿qué</w:t>
      </w:r>
      <w:r>
        <w:rPr>
          <w:color w:val="231F20"/>
          <w:spacing w:val="-9"/>
        </w:rPr>
        <w:t> </w:t>
      </w:r>
      <w:r>
        <w:rPr>
          <w:color w:val="231F20"/>
        </w:rPr>
        <w:t>porcentaje</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hogares</w:t>
      </w:r>
      <w:r>
        <w:rPr>
          <w:color w:val="231F20"/>
          <w:spacing w:val="-9"/>
        </w:rPr>
        <w:t> </w:t>
      </w:r>
      <w:r>
        <w:rPr>
          <w:color w:val="231F20"/>
        </w:rPr>
        <w:t>reciben</w:t>
      </w:r>
      <w:r>
        <w:rPr>
          <w:color w:val="231F20"/>
          <w:spacing w:val="-9"/>
        </w:rPr>
        <w:t> </w:t>
      </w:r>
      <w:r>
        <w:rPr>
          <w:color w:val="231F20"/>
        </w:rPr>
        <w:t>reme- sas? ¿en qué se invierte ese dinero? ¿qué factores influyen en la</w:t>
      </w:r>
      <w:r>
        <w:rPr>
          <w:color w:val="231F20"/>
          <w:spacing w:val="-35"/>
        </w:rPr>
        <w:t> </w:t>
      </w:r>
      <w:r>
        <w:rPr>
          <w:color w:val="231F20"/>
        </w:rPr>
        <w:t>migración de mexiquenses a Estados Unidos? ¿qué peso tienen las redes sociales en la emigración mexiquense? en suma, ¿cuáles son las características de la migración interna e internacional en nuestra entidad?</w:t>
      </w:r>
    </w:p>
    <w:p>
      <w:pPr>
        <w:spacing w:after="0" w:line="247" w:lineRule="auto"/>
        <w:jc w:val="both"/>
        <w:sectPr>
          <w:pgSz w:w="9360" w:h="13040"/>
          <w:pgMar w:header="0" w:footer="496" w:top="840" w:bottom="680" w:left="1300" w:right="1300"/>
        </w:sectPr>
      </w:pPr>
    </w:p>
    <w:p>
      <w:pPr>
        <w:spacing w:before="45"/>
        <w:ind w:left="830" w:right="0" w:firstLine="0"/>
        <w:jc w:val="left"/>
        <w:rPr>
          <w:rFonts w:ascii="Arial" w:hAnsi="Arial"/>
          <w:i/>
          <w:sz w:val="20"/>
        </w:rPr>
      </w:pPr>
      <w:r>
        <w:rPr>
          <w:rFonts w:ascii="Arial" w:hAnsi="Arial"/>
          <w:color w:val="231F20"/>
          <w:w w:val="70"/>
          <w:sz w:val="20"/>
        </w:rPr>
        <w:t>La dinámica migratoria al interior de los hogares: formas... /Rosa Patricia Román-Reyes </w:t>
      </w:r>
      <w:r>
        <w:rPr>
          <w:rFonts w:ascii="Arial" w:hAnsi="Arial"/>
          <w:i/>
          <w:color w:val="231F20"/>
          <w:w w:val="70"/>
          <w:sz w:val="20"/>
        </w:rPr>
        <w:t>et al.</w:t>
      </w:r>
    </w:p>
    <w:p>
      <w:pPr>
        <w:pStyle w:val="BodyText"/>
        <w:spacing w:before="10"/>
        <w:rPr>
          <w:rFonts w:ascii="Arial"/>
          <w:i/>
          <w:sz w:val="27"/>
        </w:rPr>
      </w:pPr>
    </w:p>
    <w:p>
      <w:pPr>
        <w:pStyle w:val="Heading3"/>
        <w:spacing w:line="242" w:lineRule="auto" w:before="0"/>
        <w:ind w:right="356"/>
        <w:jc w:val="left"/>
      </w:pPr>
      <w:r>
        <w:rPr>
          <w:color w:val="231F20"/>
        </w:rPr>
        <w:t>Los migrantes captados por la EMMEU 2009: construcción y definición de la población objetivo</w:t>
      </w:r>
    </w:p>
    <w:p>
      <w:pPr>
        <w:pStyle w:val="BodyText"/>
        <w:spacing w:line="247" w:lineRule="auto" w:before="170"/>
        <w:ind w:left="117" w:right="114"/>
        <w:jc w:val="both"/>
      </w:pPr>
      <w:r>
        <w:rPr>
          <w:color w:val="231F20"/>
        </w:rPr>
        <w:t>Es importante insistir en la relación existente entre el desplazamiento y el individuo; es decir, entre la migración y el migrante, así como entre este individuo y su hogar de referencia. La EMMEU 2009 capta el desplaza- miento y a partir de éste recupera al migrante, sus características socio- demográficas y económicas, su experiencia migratoria, etc., siempre en relación con su hogar de pertenencia. De esta forma se logra el análisis articulado de los condicionantes individuales y sociales de la migración.</w:t>
      </w:r>
    </w:p>
    <w:p>
      <w:pPr>
        <w:pStyle w:val="BodyText"/>
        <w:spacing w:line="247" w:lineRule="auto"/>
        <w:ind w:left="117" w:right="114" w:firstLine="283"/>
        <w:jc w:val="both"/>
      </w:pPr>
      <w:r>
        <w:rPr>
          <w:color w:val="231F20"/>
        </w:rPr>
        <w:t>La unidad de observación de la EMMEU 2009 es el </w:t>
      </w:r>
      <w:r>
        <w:rPr>
          <w:color w:val="231F20"/>
          <w:spacing w:val="-3"/>
        </w:rPr>
        <w:t>hogar. </w:t>
      </w:r>
      <w:r>
        <w:rPr>
          <w:color w:val="231F20"/>
        </w:rPr>
        <w:t>Se utilizan los conceptos de residente habitual y hogar que se emplean regularmente en los censos de población y las encuestas sociodemográficas que realiza el Instituto Nacional de Estadística y Geografía. Así, residente habitual es una</w:t>
      </w:r>
      <w:r>
        <w:rPr>
          <w:color w:val="231F20"/>
          <w:spacing w:val="-6"/>
        </w:rPr>
        <w:t> </w:t>
      </w:r>
      <w:r>
        <w:rPr>
          <w:color w:val="231F20"/>
        </w:rPr>
        <w:t>persona</w:t>
      </w:r>
      <w:r>
        <w:rPr>
          <w:color w:val="231F20"/>
          <w:spacing w:val="-6"/>
        </w:rPr>
        <w:t> </w:t>
      </w:r>
      <w:r>
        <w:rPr>
          <w:color w:val="231F20"/>
        </w:rPr>
        <w:t>que</w:t>
      </w:r>
      <w:r>
        <w:rPr>
          <w:color w:val="231F20"/>
          <w:spacing w:val="-6"/>
        </w:rPr>
        <w:t> </w:t>
      </w:r>
      <w:r>
        <w:rPr>
          <w:color w:val="231F20"/>
        </w:rPr>
        <w:t>vive</w:t>
      </w:r>
      <w:r>
        <w:rPr>
          <w:color w:val="231F20"/>
          <w:spacing w:val="-6"/>
        </w:rPr>
        <w:t> </w:t>
      </w:r>
      <w:r>
        <w:rPr>
          <w:color w:val="231F20"/>
        </w:rPr>
        <w:t>normalmente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vivienda,</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que</w:t>
      </w:r>
      <w:r>
        <w:rPr>
          <w:color w:val="231F20"/>
          <w:spacing w:val="-6"/>
        </w:rPr>
        <w:t> </w:t>
      </w:r>
      <w:r>
        <w:rPr>
          <w:color w:val="231F20"/>
        </w:rPr>
        <w:t>duerme,</w:t>
      </w:r>
      <w:r>
        <w:rPr>
          <w:color w:val="231F20"/>
          <w:spacing w:val="-6"/>
        </w:rPr>
        <w:t> </w:t>
      </w:r>
      <w:r>
        <w:rPr>
          <w:color w:val="231F20"/>
        </w:rPr>
        <w:t>come y se protege del ambiente, por ello, la reconoce como su lugar de residen- cia</w:t>
      </w:r>
      <w:r>
        <w:rPr>
          <w:color w:val="231F20"/>
          <w:spacing w:val="-4"/>
        </w:rPr>
        <w:t> </w:t>
      </w:r>
      <w:r>
        <w:rPr>
          <w:color w:val="231F20"/>
        </w:rPr>
        <w:t>habitual,</w:t>
      </w:r>
      <w:r>
        <w:rPr>
          <w:color w:val="231F20"/>
          <w:spacing w:val="-4"/>
        </w:rPr>
        <w:t> </w:t>
      </w:r>
      <w:r>
        <w:rPr>
          <w:color w:val="231F20"/>
        </w:rPr>
        <w:t>mientras</w:t>
      </w:r>
      <w:r>
        <w:rPr>
          <w:color w:val="231F20"/>
          <w:spacing w:val="-4"/>
        </w:rPr>
        <w:t> </w:t>
      </w:r>
      <w:r>
        <w:rPr>
          <w:color w:val="231F20"/>
        </w:rPr>
        <w:t>que</w:t>
      </w:r>
      <w:r>
        <w:rPr>
          <w:color w:val="231F20"/>
          <w:spacing w:val="-4"/>
        </w:rPr>
        <w:t> </w:t>
      </w:r>
      <w:r>
        <w:rPr>
          <w:color w:val="231F20"/>
        </w:rPr>
        <w:t>un</w:t>
      </w:r>
      <w:r>
        <w:rPr>
          <w:color w:val="231F20"/>
          <w:spacing w:val="-4"/>
        </w:rPr>
        <w:t> </w:t>
      </w:r>
      <w:r>
        <w:rPr>
          <w:color w:val="231F20"/>
        </w:rPr>
        <w:t>hogar</w:t>
      </w:r>
      <w:r>
        <w:rPr>
          <w:color w:val="231F20"/>
          <w:spacing w:val="-4"/>
        </w:rPr>
        <w:t> </w:t>
      </w:r>
      <w:r>
        <w:rPr>
          <w:color w:val="231F20"/>
        </w:rPr>
        <w:t>es</w:t>
      </w:r>
      <w:r>
        <w:rPr>
          <w:color w:val="231F20"/>
          <w:spacing w:val="-4"/>
        </w:rPr>
        <w:t> </w:t>
      </w:r>
      <w:r>
        <w:rPr>
          <w:color w:val="231F20"/>
        </w:rPr>
        <w:t>el</w:t>
      </w:r>
      <w:r>
        <w:rPr>
          <w:color w:val="231F20"/>
          <w:spacing w:val="-4"/>
        </w:rPr>
        <w:t> </w:t>
      </w:r>
      <w:r>
        <w:rPr>
          <w:color w:val="231F20"/>
        </w:rPr>
        <w:t>“conjunto</w:t>
      </w:r>
      <w:r>
        <w:rPr>
          <w:color w:val="231F20"/>
          <w:spacing w:val="-4"/>
        </w:rPr>
        <w:t> </w:t>
      </w:r>
      <w:r>
        <w:rPr>
          <w:color w:val="231F20"/>
        </w:rPr>
        <w:t>formado</w:t>
      </w:r>
      <w:r>
        <w:rPr>
          <w:color w:val="231F20"/>
          <w:spacing w:val="-4"/>
        </w:rPr>
        <w:t> </w:t>
      </w:r>
      <w:r>
        <w:rPr>
          <w:color w:val="231F20"/>
        </w:rPr>
        <w:t>por</w:t>
      </w:r>
      <w:r>
        <w:rPr>
          <w:color w:val="231F20"/>
          <w:spacing w:val="-4"/>
        </w:rPr>
        <w:t> </w:t>
      </w:r>
      <w:r>
        <w:rPr>
          <w:color w:val="231F20"/>
        </w:rPr>
        <w:t>una</w:t>
      </w:r>
      <w:r>
        <w:rPr>
          <w:color w:val="231F20"/>
          <w:spacing w:val="-4"/>
        </w:rPr>
        <w:t> </w:t>
      </w:r>
      <w:r>
        <w:rPr>
          <w:color w:val="231F20"/>
        </w:rPr>
        <w:t>o</w:t>
      </w:r>
      <w:r>
        <w:rPr>
          <w:color w:val="231F20"/>
          <w:spacing w:val="-4"/>
        </w:rPr>
        <w:t> </w:t>
      </w:r>
      <w:r>
        <w:rPr>
          <w:color w:val="231F20"/>
        </w:rPr>
        <w:t>más personas</w:t>
      </w:r>
      <w:r>
        <w:rPr>
          <w:color w:val="231F20"/>
          <w:spacing w:val="-9"/>
        </w:rPr>
        <w:t> </w:t>
      </w:r>
      <w:r>
        <w:rPr>
          <w:color w:val="231F20"/>
        </w:rPr>
        <w:t>que</w:t>
      </w:r>
      <w:r>
        <w:rPr>
          <w:color w:val="231F20"/>
          <w:spacing w:val="-9"/>
        </w:rPr>
        <w:t> </w:t>
      </w:r>
      <w:r>
        <w:rPr>
          <w:color w:val="231F20"/>
        </w:rPr>
        <w:t>residen</w:t>
      </w:r>
      <w:r>
        <w:rPr>
          <w:color w:val="231F20"/>
          <w:spacing w:val="-9"/>
        </w:rPr>
        <w:t> </w:t>
      </w:r>
      <w:r>
        <w:rPr>
          <w:color w:val="231F20"/>
        </w:rPr>
        <w:t>habitualmente</w:t>
      </w:r>
      <w:r>
        <w:rPr>
          <w:color w:val="231F20"/>
          <w:spacing w:val="-10"/>
        </w:rPr>
        <w:t> </w:t>
      </w:r>
      <w:r>
        <w:rPr>
          <w:color w:val="231F20"/>
        </w:rPr>
        <w:t>en</w:t>
      </w:r>
      <w:r>
        <w:rPr>
          <w:color w:val="231F20"/>
          <w:spacing w:val="-9"/>
        </w:rPr>
        <w:t> </w:t>
      </w:r>
      <w:r>
        <w:rPr>
          <w:color w:val="231F20"/>
        </w:rPr>
        <w:t>la</w:t>
      </w:r>
      <w:r>
        <w:rPr>
          <w:color w:val="231F20"/>
          <w:spacing w:val="-9"/>
        </w:rPr>
        <w:t> </w:t>
      </w:r>
      <w:r>
        <w:rPr>
          <w:color w:val="231F20"/>
        </w:rPr>
        <w:t>misma</w:t>
      </w:r>
      <w:r>
        <w:rPr>
          <w:color w:val="231F20"/>
          <w:spacing w:val="-9"/>
        </w:rPr>
        <w:t> </w:t>
      </w:r>
      <w:r>
        <w:rPr>
          <w:color w:val="231F20"/>
        </w:rPr>
        <w:t>vivienda</w:t>
      </w:r>
      <w:r>
        <w:rPr>
          <w:color w:val="231F20"/>
          <w:spacing w:val="-9"/>
        </w:rPr>
        <w:t> </w:t>
      </w:r>
      <w:r>
        <w:rPr>
          <w:color w:val="231F20"/>
        </w:rPr>
        <w:t>y</w:t>
      </w:r>
      <w:r>
        <w:rPr>
          <w:color w:val="231F20"/>
          <w:spacing w:val="-9"/>
        </w:rPr>
        <w:t> </w:t>
      </w:r>
      <w:r>
        <w:rPr>
          <w:color w:val="231F20"/>
        </w:rPr>
        <w:t>se</w:t>
      </w:r>
      <w:r>
        <w:rPr>
          <w:color w:val="231F20"/>
          <w:spacing w:val="-9"/>
        </w:rPr>
        <w:t> </w:t>
      </w:r>
      <w:r>
        <w:rPr>
          <w:color w:val="231F20"/>
        </w:rPr>
        <w:t>sostienen</w:t>
      </w:r>
      <w:r>
        <w:rPr>
          <w:color w:val="231F20"/>
          <w:spacing w:val="-9"/>
        </w:rPr>
        <w:t> </w:t>
      </w:r>
      <w:r>
        <w:rPr>
          <w:color w:val="231F20"/>
        </w:rPr>
        <w:t>de un gasto común principalmente para alimentarse y pueden ser parientes o no” (INEGI, 2005: 483).</w:t>
      </w:r>
    </w:p>
    <w:p>
      <w:pPr>
        <w:pStyle w:val="BodyText"/>
        <w:spacing w:line="247" w:lineRule="auto"/>
        <w:ind w:left="117" w:right="115" w:firstLine="283"/>
        <w:jc w:val="both"/>
      </w:pPr>
      <w:r>
        <w:rPr>
          <w:color w:val="231F20"/>
        </w:rPr>
        <w:t>El</w:t>
      </w:r>
      <w:r>
        <w:rPr>
          <w:color w:val="231F20"/>
          <w:spacing w:val="-13"/>
        </w:rPr>
        <w:t> </w:t>
      </w:r>
      <w:r>
        <w:rPr>
          <w:color w:val="231F20"/>
        </w:rPr>
        <w:t>hogar</w:t>
      </w:r>
      <w:r>
        <w:rPr>
          <w:color w:val="231F20"/>
          <w:spacing w:val="-13"/>
        </w:rPr>
        <w:t> </w:t>
      </w:r>
      <w:r>
        <w:rPr>
          <w:color w:val="231F20"/>
        </w:rPr>
        <w:t>con</w:t>
      </w:r>
      <w:r>
        <w:rPr>
          <w:color w:val="231F20"/>
          <w:spacing w:val="-13"/>
        </w:rPr>
        <w:t> </w:t>
      </w:r>
      <w:r>
        <w:rPr>
          <w:color w:val="231F20"/>
        </w:rPr>
        <w:t>migrantes</w:t>
      </w:r>
      <w:r>
        <w:rPr>
          <w:color w:val="231F20"/>
          <w:spacing w:val="-13"/>
        </w:rPr>
        <w:t> </w:t>
      </w:r>
      <w:r>
        <w:rPr>
          <w:color w:val="231F20"/>
        </w:rPr>
        <w:t>es</w:t>
      </w:r>
      <w:r>
        <w:rPr>
          <w:color w:val="231F20"/>
          <w:spacing w:val="-13"/>
        </w:rPr>
        <w:t> </w:t>
      </w:r>
      <w:r>
        <w:rPr>
          <w:color w:val="231F20"/>
        </w:rPr>
        <w:t>identificado</w:t>
      </w:r>
      <w:r>
        <w:rPr>
          <w:color w:val="231F20"/>
          <w:spacing w:val="-13"/>
        </w:rPr>
        <w:t> </w:t>
      </w:r>
      <w:r>
        <w:rPr>
          <w:color w:val="231F20"/>
        </w:rPr>
        <w:t>mediante</w:t>
      </w:r>
      <w:r>
        <w:rPr>
          <w:color w:val="231F20"/>
          <w:spacing w:val="-13"/>
        </w:rPr>
        <w:t> </w:t>
      </w:r>
      <w:r>
        <w:rPr>
          <w:color w:val="231F20"/>
        </w:rPr>
        <w:t>un</w:t>
      </w:r>
      <w:r>
        <w:rPr>
          <w:color w:val="231F20"/>
          <w:spacing w:val="-13"/>
        </w:rPr>
        <w:t> </w:t>
      </w:r>
      <w:r>
        <w:rPr>
          <w:color w:val="231F20"/>
        </w:rPr>
        <w:t>conjunto</w:t>
      </w:r>
      <w:r>
        <w:rPr>
          <w:color w:val="231F20"/>
          <w:spacing w:val="-13"/>
        </w:rPr>
        <w:t> </w:t>
      </w:r>
      <w:r>
        <w:rPr>
          <w:color w:val="231F20"/>
        </w:rPr>
        <w:t>de</w:t>
      </w:r>
      <w:r>
        <w:rPr>
          <w:color w:val="231F20"/>
          <w:spacing w:val="-13"/>
        </w:rPr>
        <w:t> </w:t>
      </w:r>
      <w:r>
        <w:rPr>
          <w:color w:val="231F20"/>
        </w:rPr>
        <w:t>pregun- tas que operativamente lo distinguen:</w:t>
      </w:r>
    </w:p>
    <w:p>
      <w:pPr>
        <w:pStyle w:val="ListParagraph"/>
        <w:numPr>
          <w:ilvl w:val="0"/>
          <w:numId w:val="12"/>
        </w:numPr>
        <w:tabs>
          <w:tab w:pos="478" w:val="left" w:leader="none"/>
        </w:tabs>
        <w:spacing w:line="247" w:lineRule="auto" w:before="169" w:after="0"/>
        <w:ind w:left="477" w:right="114" w:hanging="360"/>
        <w:jc w:val="both"/>
        <w:rPr>
          <w:sz w:val="22"/>
        </w:rPr>
      </w:pPr>
      <w:r>
        <w:rPr>
          <w:color w:val="231F20"/>
          <w:sz w:val="22"/>
        </w:rPr>
        <w:t>Hogares</w:t>
      </w:r>
      <w:r>
        <w:rPr>
          <w:color w:val="231F20"/>
          <w:spacing w:val="-7"/>
          <w:sz w:val="22"/>
        </w:rPr>
        <w:t> </w:t>
      </w:r>
      <w:r>
        <w:rPr>
          <w:color w:val="231F20"/>
          <w:sz w:val="22"/>
        </w:rPr>
        <w:t>mexiquenses</w:t>
      </w:r>
      <w:r>
        <w:rPr>
          <w:color w:val="231F20"/>
          <w:spacing w:val="-7"/>
          <w:sz w:val="22"/>
        </w:rPr>
        <w:t> </w:t>
      </w:r>
      <w:r>
        <w:rPr>
          <w:color w:val="231F20"/>
          <w:sz w:val="22"/>
        </w:rPr>
        <w:t>en</w:t>
      </w:r>
      <w:r>
        <w:rPr>
          <w:color w:val="231F20"/>
          <w:spacing w:val="-8"/>
          <w:sz w:val="22"/>
        </w:rPr>
        <w:t> </w:t>
      </w:r>
      <w:r>
        <w:rPr>
          <w:color w:val="231F20"/>
          <w:sz w:val="22"/>
        </w:rPr>
        <w:t>los</w:t>
      </w:r>
      <w:r>
        <w:rPr>
          <w:color w:val="231F20"/>
          <w:spacing w:val="-8"/>
          <w:sz w:val="22"/>
        </w:rPr>
        <w:t> </w:t>
      </w:r>
      <w:r>
        <w:rPr>
          <w:color w:val="231F20"/>
          <w:sz w:val="22"/>
        </w:rPr>
        <w:t>cuales</w:t>
      </w:r>
      <w:r>
        <w:rPr>
          <w:color w:val="231F20"/>
          <w:spacing w:val="-8"/>
          <w:sz w:val="22"/>
        </w:rPr>
        <w:t> </w:t>
      </w:r>
      <w:r>
        <w:rPr>
          <w:color w:val="231F20"/>
          <w:sz w:val="22"/>
        </w:rPr>
        <w:t>por</w:t>
      </w:r>
      <w:r>
        <w:rPr>
          <w:color w:val="231F20"/>
          <w:spacing w:val="-7"/>
          <w:sz w:val="22"/>
        </w:rPr>
        <w:t> </w:t>
      </w:r>
      <w:r>
        <w:rPr>
          <w:color w:val="231F20"/>
          <w:sz w:val="22"/>
        </w:rPr>
        <w:t>lo</w:t>
      </w:r>
      <w:r>
        <w:rPr>
          <w:color w:val="231F20"/>
          <w:spacing w:val="-8"/>
          <w:sz w:val="22"/>
        </w:rPr>
        <w:t> </w:t>
      </w:r>
      <w:r>
        <w:rPr>
          <w:color w:val="231F20"/>
          <w:sz w:val="22"/>
        </w:rPr>
        <w:t>menos</w:t>
      </w:r>
      <w:r>
        <w:rPr>
          <w:color w:val="231F20"/>
          <w:spacing w:val="-8"/>
          <w:sz w:val="22"/>
        </w:rPr>
        <w:t> </w:t>
      </w:r>
      <w:r>
        <w:rPr>
          <w:color w:val="231F20"/>
          <w:sz w:val="22"/>
        </w:rPr>
        <w:t>uno</w:t>
      </w:r>
      <w:r>
        <w:rPr>
          <w:color w:val="231F20"/>
          <w:spacing w:val="-7"/>
          <w:sz w:val="22"/>
        </w:rPr>
        <w:t> </w:t>
      </w:r>
      <w:r>
        <w:rPr>
          <w:color w:val="231F20"/>
          <w:sz w:val="22"/>
        </w:rPr>
        <w:t>de</w:t>
      </w:r>
      <w:r>
        <w:rPr>
          <w:color w:val="231F20"/>
          <w:spacing w:val="-8"/>
          <w:sz w:val="22"/>
        </w:rPr>
        <w:t> </w:t>
      </w:r>
      <w:r>
        <w:rPr>
          <w:color w:val="231F20"/>
          <w:sz w:val="22"/>
        </w:rPr>
        <w:t>sus</w:t>
      </w:r>
      <w:r>
        <w:rPr>
          <w:color w:val="231F20"/>
          <w:spacing w:val="-7"/>
          <w:sz w:val="22"/>
        </w:rPr>
        <w:t> </w:t>
      </w:r>
      <w:r>
        <w:rPr>
          <w:color w:val="231F20"/>
          <w:sz w:val="22"/>
        </w:rPr>
        <w:t>miembros fue alguna vez a vivir a Estados Unidos y actualmente reside en el </w:t>
      </w:r>
      <w:r>
        <w:rPr>
          <w:color w:val="231F20"/>
          <w:spacing w:val="-3"/>
          <w:sz w:val="22"/>
        </w:rPr>
        <w:t>hogar.</w:t>
      </w:r>
    </w:p>
    <w:p>
      <w:pPr>
        <w:pStyle w:val="ListParagraph"/>
        <w:numPr>
          <w:ilvl w:val="0"/>
          <w:numId w:val="12"/>
        </w:numPr>
        <w:tabs>
          <w:tab w:pos="478" w:val="left" w:leader="none"/>
        </w:tabs>
        <w:spacing w:line="247" w:lineRule="auto" w:before="0" w:after="0"/>
        <w:ind w:left="477" w:right="115" w:hanging="360"/>
        <w:jc w:val="both"/>
        <w:rPr>
          <w:sz w:val="22"/>
        </w:rPr>
      </w:pPr>
      <w:r>
        <w:rPr>
          <w:color w:val="231F20"/>
          <w:sz w:val="22"/>
        </w:rPr>
        <w:t>Hogares mexiquenses en los cuales por los menos uno de sus miem- bros</w:t>
      </w:r>
      <w:r>
        <w:rPr>
          <w:color w:val="231F20"/>
          <w:spacing w:val="-11"/>
          <w:sz w:val="22"/>
        </w:rPr>
        <w:t> </w:t>
      </w:r>
      <w:r>
        <w:rPr>
          <w:color w:val="231F20"/>
          <w:sz w:val="22"/>
        </w:rPr>
        <w:t>se</w:t>
      </w:r>
      <w:r>
        <w:rPr>
          <w:color w:val="231F20"/>
          <w:spacing w:val="-12"/>
          <w:sz w:val="22"/>
        </w:rPr>
        <w:t> </w:t>
      </w:r>
      <w:r>
        <w:rPr>
          <w:color w:val="231F20"/>
          <w:sz w:val="22"/>
        </w:rPr>
        <w:t>fue</w:t>
      </w:r>
      <w:r>
        <w:rPr>
          <w:color w:val="231F20"/>
          <w:spacing w:val="-12"/>
          <w:sz w:val="22"/>
        </w:rPr>
        <w:t> </w:t>
      </w:r>
      <w:r>
        <w:rPr>
          <w:color w:val="231F20"/>
          <w:sz w:val="22"/>
        </w:rPr>
        <w:t>a</w:t>
      </w:r>
      <w:r>
        <w:rPr>
          <w:color w:val="231F20"/>
          <w:spacing w:val="-12"/>
          <w:sz w:val="22"/>
        </w:rPr>
        <w:t> </w:t>
      </w:r>
      <w:r>
        <w:rPr>
          <w:color w:val="231F20"/>
          <w:sz w:val="22"/>
        </w:rPr>
        <w:t>trabajar</w:t>
      </w:r>
      <w:r>
        <w:rPr>
          <w:color w:val="231F20"/>
          <w:spacing w:val="-12"/>
          <w:sz w:val="22"/>
        </w:rPr>
        <w:t> </w:t>
      </w:r>
      <w:r>
        <w:rPr>
          <w:color w:val="231F20"/>
          <w:sz w:val="22"/>
        </w:rPr>
        <w:t>alguna</w:t>
      </w:r>
      <w:r>
        <w:rPr>
          <w:color w:val="231F20"/>
          <w:spacing w:val="-12"/>
          <w:sz w:val="22"/>
        </w:rPr>
        <w:t> </w:t>
      </w:r>
      <w:r>
        <w:rPr>
          <w:color w:val="231F20"/>
          <w:sz w:val="22"/>
        </w:rPr>
        <w:t>vez</w:t>
      </w:r>
      <w:r>
        <w:rPr>
          <w:color w:val="231F20"/>
          <w:spacing w:val="-12"/>
          <w:sz w:val="22"/>
        </w:rPr>
        <w:t> </w:t>
      </w:r>
      <w:r>
        <w:rPr>
          <w:color w:val="231F20"/>
          <w:sz w:val="22"/>
        </w:rPr>
        <w:t>a</w:t>
      </w:r>
      <w:r>
        <w:rPr>
          <w:color w:val="231F20"/>
          <w:spacing w:val="-12"/>
          <w:sz w:val="22"/>
        </w:rPr>
        <w:t> </w:t>
      </w:r>
      <w:r>
        <w:rPr>
          <w:color w:val="231F20"/>
          <w:sz w:val="22"/>
        </w:rPr>
        <w:t>Estados</w:t>
      </w:r>
      <w:r>
        <w:rPr>
          <w:color w:val="231F20"/>
          <w:spacing w:val="-12"/>
          <w:sz w:val="22"/>
        </w:rPr>
        <w:t> </w:t>
      </w:r>
      <w:r>
        <w:rPr>
          <w:color w:val="231F20"/>
          <w:sz w:val="22"/>
        </w:rPr>
        <w:t>Unidos</w:t>
      </w:r>
      <w:r>
        <w:rPr>
          <w:color w:val="231F20"/>
          <w:spacing w:val="-11"/>
          <w:sz w:val="22"/>
        </w:rPr>
        <w:t> </w:t>
      </w:r>
      <w:r>
        <w:rPr>
          <w:color w:val="231F20"/>
          <w:sz w:val="22"/>
        </w:rPr>
        <w:t>y</w:t>
      </w:r>
      <w:r>
        <w:rPr>
          <w:color w:val="231F20"/>
          <w:spacing w:val="-12"/>
          <w:sz w:val="22"/>
        </w:rPr>
        <w:t> </w:t>
      </w:r>
      <w:r>
        <w:rPr>
          <w:color w:val="231F20"/>
          <w:sz w:val="22"/>
        </w:rPr>
        <w:t>actualmente</w:t>
      </w:r>
      <w:r>
        <w:rPr>
          <w:color w:val="231F20"/>
          <w:spacing w:val="-12"/>
          <w:sz w:val="22"/>
        </w:rPr>
        <w:t> </w:t>
      </w:r>
      <w:r>
        <w:rPr>
          <w:color w:val="231F20"/>
          <w:sz w:val="22"/>
        </w:rPr>
        <w:t>reside en el</w:t>
      </w:r>
      <w:r>
        <w:rPr>
          <w:color w:val="231F20"/>
          <w:spacing w:val="4"/>
          <w:sz w:val="22"/>
        </w:rPr>
        <w:t> </w:t>
      </w:r>
      <w:r>
        <w:rPr>
          <w:color w:val="231F20"/>
          <w:spacing w:val="-3"/>
          <w:sz w:val="22"/>
        </w:rPr>
        <w:t>hogar.</w:t>
      </w:r>
    </w:p>
    <w:p>
      <w:pPr>
        <w:pStyle w:val="ListParagraph"/>
        <w:numPr>
          <w:ilvl w:val="0"/>
          <w:numId w:val="12"/>
        </w:numPr>
        <w:tabs>
          <w:tab w:pos="478" w:val="left" w:leader="none"/>
        </w:tabs>
        <w:spacing w:line="247" w:lineRule="auto" w:before="0" w:after="0"/>
        <w:ind w:left="477" w:right="114" w:hanging="360"/>
        <w:jc w:val="both"/>
        <w:rPr>
          <w:sz w:val="22"/>
        </w:rPr>
      </w:pPr>
      <w:r>
        <w:rPr>
          <w:color w:val="231F20"/>
          <w:sz w:val="22"/>
        </w:rPr>
        <w:t>Hogares</w:t>
      </w:r>
      <w:r>
        <w:rPr>
          <w:color w:val="231F20"/>
          <w:spacing w:val="-7"/>
          <w:sz w:val="22"/>
        </w:rPr>
        <w:t> </w:t>
      </w:r>
      <w:r>
        <w:rPr>
          <w:color w:val="231F20"/>
          <w:sz w:val="22"/>
        </w:rPr>
        <w:t>mexiquenses</w:t>
      </w:r>
      <w:r>
        <w:rPr>
          <w:color w:val="231F20"/>
          <w:spacing w:val="-7"/>
          <w:sz w:val="22"/>
        </w:rPr>
        <w:t> </w:t>
      </w:r>
      <w:r>
        <w:rPr>
          <w:color w:val="231F20"/>
          <w:sz w:val="22"/>
        </w:rPr>
        <w:t>en</w:t>
      </w:r>
      <w:r>
        <w:rPr>
          <w:color w:val="231F20"/>
          <w:spacing w:val="-8"/>
          <w:sz w:val="22"/>
        </w:rPr>
        <w:t> </w:t>
      </w:r>
      <w:r>
        <w:rPr>
          <w:color w:val="231F20"/>
          <w:sz w:val="22"/>
        </w:rPr>
        <w:t>los</w:t>
      </w:r>
      <w:r>
        <w:rPr>
          <w:color w:val="231F20"/>
          <w:spacing w:val="-8"/>
          <w:sz w:val="22"/>
        </w:rPr>
        <w:t> </w:t>
      </w:r>
      <w:r>
        <w:rPr>
          <w:color w:val="231F20"/>
          <w:sz w:val="22"/>
        </w:rPr>
        <w:t>cuáles</w:t>
      </w:r>
      <w:r>
        <w:rPr>
          <w:color w:val="231F20"/>
          <w:spacing w:val="-8"/>
          <w:sz w:val="22"/>
        </w:rPr>
        <w:t> </w:t>
      </w:r>
      <w:r>
        <w:rPr>
          <w:color w:val="231F20"/>
          <w:sz w:val="22"/>
        </w:rPr>
        <w:t>por</w:t>
      </w:r>
      <w:r>
        <w:rPr>
          <w:color w:val="231F20"/>
          <w:spacing w:val="-7"/>
          <w:sz w:val="22"/>
        </w:rPr>
        <w:t> </w:t>
      </w:r>
      <w:r>
        <w:rPr>
          <w:color w:val="231F20"/>
          <w:sz w:val="22"/>
        </w:rPr>
        <w:t>lo</w:t>
      </w:r>
      <w:r>
        <w:rPr>
          <w:color w:val="231F20"/>
          <w:spacing w:val="-8"/>
          <w:sz w:val="22"/>
        </w:rPr>
        <w:t> </w:t>
      </w:r>
      <w:r>
        <w:rPr>
          <w:color w:val="231F20"/>
          <w:sz w:val="22"/>
        </w:rPr>
        <w:t>menos</w:t>
      </w:r>
      <w:r>
        <w:rPr>
          <w:color w:val="231F20"/>
          <w:spacing w:val="-8"/>
          <w:sz w:val="22"/>
        </w:rPr>
        <w:t> </w:t>
      </w:r>
      <w:r>
        <w:rPr>
          <w:color w:val="231F20"/>
          <w:sz w:val="22"/>
        </w:rPr>
        <w:t>uno</w:t>
      </w:r>
      <w:r>
        <w:rPr>
          <w:color w:val="231F20"/>
          <w:spacing w:val="-7"/>
          <w:sz w:val="22"/>
        </w:rPr>
        <w:t> </w:t>
      </w:r>
      <w:r>
        <w:rPr>
          <w:color w:val="231F20"/>
          <w:sz w:val="22"/>
        </w:rPr>
        <w:t>de</w:t>
      </w:r>
      <w:r>
        <w:rPr>
          <w:color w:val="231F20"/>
          <w:spacing w:val="-8"/>
          <w:sz w:val="22"/>
        </w:rPr>
        <w:t> </w:t>
      </w:r>
      <w:r>
        <w:rPr>
          <w:color w:val="231F20"/>
          <w:sz w:val="22"/>
        </w:rPr>
        <w:t>sus</w:t>
      </w:r>
      <w:r>
        <w:rPr>
          <w:color w:val="231F20"/>
          <w:spacing w:val="-7"/>
          <w:sz w:val="22"/>
        </w:rPr>
        <w:t> </w:t>
      </w:r>
      <w:r>
        <w:rPr>
          <w:color w:val="231F20"/>
          <w:sz w:val="22"/>
        </w:rPr>
        <w:t>miembros se fue a vivir de manera permanente a Norteamérica en los últimos cinco años (pertenece al hogar pero se fue a Estados</w:t>
      </w:r>
      <w:r>
        <w:rPr>
          <w:color w:val="231F20"/>
          <w:spacing w:val="-12"/>
          <w:sz w:val="22"/>
        </w:rPr>
        <w:t> </w:t>
      </w:r>
      <w:r>
        <w:rPr>
          <w:color w:val="231F20"/>
          <w:sz w:val="22"/>
        </w:rPr>
        <w:t>Unidos).</w:t>
      </w:r>
    </w:p>
    <w:p>
      <w:pPr>
        <w:pStyle w:val="ListParagraph"/>
        <w:numPr>
          <w:ilvl w:val="0"/>
          <w:numId w:val="12"/>
        </w:numPr>
        <w:tabs>
          <w:tab w:pos="478" w:val="left" w:leader="none"/>
        </w:tabs>
        <w:spacing w:line="247" w:lineRule="auto" w:before="0" w:after="0"/>
        <w:ind w:left="477" w:right="114" w:hanging="360"/>
        <w:jc w:val="both"/>
        <w:rPr>
          <w:sz w:val="22"/>
        </w:rPr>
      </w:pPr>
      <w:r>
        <w:rPr>
          <w:color w:val="231F20"/>
          <w:sz w:val="22"/>
        </w:rPr>
        <w:t>Hogares mexiquenses que al momento de la entrevista se encuentren recibiendo remesas (en dinero o en especie) de algún familiar desde Estados</w:t>
      </w:r>
      <w:r>
        <w:rPr>
          <w:color w:val="231F20"/>
          <w:spacing w:val="-8"/>
          <w:sz w:val="22"/>
        </w:rPr>
        <w:t> </w:t>
      </w:r>
      <w:r>
        <w:rPr>
          <w:color w:val="231F20"/>
          <w:sz w:val="22"/>
        </w:rPr>
        <w:t>Unidos.</w:t>
      </w:r>
    </w:p>
    <w:p>
      <w:pPr>
        <w:pStyle w:val="BodyText"/>
        <w:spacing w:line="247" w:lineRule="auto" w:before="169"/>
        <w:ind w:left="117" w:right="115" w:firstLine="283"/>
        <w:jc w:val="both"/>
      </w:pPr>
      <w:r>
        <w:rPr>
          <w:color w:val="231F20"/>
        </w:rPr>
        <w:t>Dado que uno de los intereses centrales del proyecto es analizar el im- pacto que tiene la migración sobre las formas de organización y funcio- namiento de los hogares mexiquenses, se vuelve necesario captar no sólo a los hogares que participan en la migración, sino también a las  unidades</w:t>
      </w:r>
    </w:p>
    <w:p>
      <w:pPr>
        <w:spacing w:after="0" w:line="247" w:lineRule="auto"/>
        <w:jc w:val="both"/>
        <w:sectPr>
          <w:pgSz w:w="9360" w:h="13040"/>
          <w:pgMar w:header="0" w:footer="496" w:top="740" w:bottom="680" w:left="1300" w:right="1300"/>
        </w:sectPr>
      </w:pPr>
    </w:p>
    <w:p>
      <w:pPr>
        <w:tabs>
          <w:tab w:pos="5536" w:val="left" w:leader="none"/>
        </w:tabs>
        <w:spacing w:before="51"/>
        <w:ind w:left="117" w:right="117" w:firstLine="11"/>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115"/>
        <w:jc w:val="both"/>
      </w:pPr>
      <w:r>
        <w:rPr>
          <w:color w:val="231F20"/>
        </w:rPr>
        <w:t>domésticas</w:t>
      </w:r>
      <w:r>
        <w:rPr>
          <w:color w:val="231F20"/>
          <w:spacing w:val="-5"/>
        </w:rPr>
        <w:t> </w:t>
      </w:r>
      <w:r>
        <w:rPr>
          <w:color w:val="231F20"/>
        </w:rPr>
        <w:t>que</w:t>
      </w:r>
      <w:r>
        <w:rPr>
          <w:color w:val="231F20"/>
          <w:spacing w:val="-5"/>
        </w:rPr>
        <w:t> </w:t>
      </w:r>
      <w:r>
        <w:rPr>
          <w:color w:val="231F20"/>
        </w:rPr>
        <w:t>no</w:t>
      </w:r>
      <w:r>
        <w:rPr>
          <w:color w:val="231F20"/>
          <w:spacing w:val="-5"/>
        </w:rPr>
        <w:t> </w:t>
      </w:r>
      <w:r>
        <w:rPr>
          <w:color w:val="231F20"/>
        </w:rPr>
        <w:t>tienen</w:t>
      </w:r>
      <w:r>
        <w:rPr>
          <w:color w:val="231F20"/>
          <w:spacing w:val="-6"/>
        </w:rPr>
        <w:t> </w:t>
      </w:r>
      <w:r>
        <w:rPr>
          <w:color w:val="231F20"/>
        </w:rPr>
        <w:t>vinculación</w:t>
      </w:r>
      <w:r>
        <w:rPr>
          <w:color w:val="231F20"/>
          <w:spacing w:val="-5"/>
        </w:rPr>
        <w:t> </w:t>
      </w:r>
      <w:r>
        <w:rPr>
          <w:color w:val="231F20"/>
        </w:rPr>
        <w:t>con</w:t>
      </w:r>
      <w:r>
        <w:rPr>
          <w:color w:val="231F20"/>
          <w:spacing w:val="-5"/>
        </w:rPr>
        <w:t> </w:t>
      </w:r>
      <w:r>
        <w:rPr>
          <w:color w:val="231F20"/>
        </w:rPr>
        <w:t>este</w:t>
      </w:r>
      <w:r>
        <w:rPr>
          <w:color w:val="231F20"/>
          <w:spacing w:val="-5"/>
        </w:rPr>
        <w:t> </w:t>
      </w:r>
      <w:r>
        <w:rPr>
          <w:color w:val="231F20"/>
        </w:rPr>
        <w:t>fenómeno,</w:t>
      </w:r>
      <w:r>
        <w:rPr>
          <w:color w:val="231F20"/>
          <w:spacing w:val="-5"/>
        </w:rPr>
        <w:t> </w:t>
      </w:r>
      <w:r>
        <w:rPr>
          <w:color w:val="231F20"/>
        </w:rPr>
        <w:t>para</w:t>
      </w:r>
      <w:r>
        <w:rPr>
          <w:color w:val="231F20"/>
          <w:spacing w:val="-5"/>
        </w:rPr>
        <w:t> </w:t>
      </w:r>
      <w:r>
        <w:rPr>
          <w:color w:val="231F20"/>
        </w:rPr>
        <w:t>poder</w:t>
      </w:r>
      <w:r>
        <w:rPr>
          <w:color w:val="231F20"/>
          <w:spacing w:val="-5"/>
        </w:rPr>
        <w:t> </w:t>
      </w:r>
      <w:r>
        <w:rPr>
          <w:color w:val="231F20"/>
        </w:rPr>
        <w:t>reali- zar una comparación que permita identificar el efecto de la migración que se está</w:t>
      </w:r>
      <w:r>
        <w:rPr>
          <w:color w:val="231F20"/>
          <w:spacing w:val="-2"/>
        </w:rPr>
        <w:t> </w:t>
      </w:r>
      <w:r>
        <w:rPr>
          <w:color w:val="231F20"/>
        </w:rPr>
        <w:t>buscando.</w:t>
      </w:r>
    </w:p>
    <w:p>
      <w:pPr>
        <w:pStyle w:val="BodyText"/>
        <w:spacing w:line="247" w:lineRule="auto"/>
        <w:ind w:left="117" w:right="114" w:firstLine="283"/>
        <w:jc w:val="both"/>
      </w:pPr>
      <w:r>
        <w:rPr>
          <w:color w:val="231F20"/>
        </w:rPr>
        <w:t>De</w:t>
      </w:r>
      <w:r>
        <w:rPr>
          <w:color w:val="231F20"/>
          <w:spacing w:val="-6"/>
        </w:rPr>
        <w:t> </w:t>
      </w:r>
      <w:r>
        <w:rPr>
          <w:color w:val="231F20"/>
        </w:rPr>
        <w:t>esta</w:t>
      </w:r>
      <w:r>
        <w:rPr>
          <w:color w:val="231F20"/>
          <w:spacing w:val="-6"/>
        </w:rPr>
        <w:t> </w:t>
      </w:r>
      <w:r>
        <w:rPr>
          <w:color w:val="231F20"/>
        </w:rPr>
        <w:t>forma,</w:t>
      </w:r>
      <w:r>
        <w:rPr>
          <w:color w:val="231F20"/>
          <w:spacing w:val="-6"/>
        </w:rPr>
        <w:t> </w:t>
      </w:r>
      <w:r>
        <w:rPr>
          <w:color w:val="231F20"/>
        </w:rPr>
        <w:t>la</w:t>
      </w:r>
      <w:r>
        <w:rPr>
          <w:color w:val="231F20"/>
          <w:spacing w:val="-6"/>
        </w:rPr>
        <w:t> </w:t>
      </w:r>
      <w:r>
        <w:rPr>
          <w:color w:val="231F20"/>
        </w:rPr>
        <w:t>población</w:t>
      </w:r>
      <w:r>
        <w:rPr>
          <w:color w:val="231F20"/>
          <w:spacing w:val="-6"/>
        </w:rPr>
        <w:t> </w:t>
      </w:r>
      <w:r>
        <w:rPr>
          <w:color w:val="231F20"/>
        </w:rPr>
        <w:t>sujeta</w:t>
      </w:r>
      <w:r>
        <w:rPr>
          <w:color w:val="231F20"/>
          <w:spacing w:val="-6"/>
        </w:rPr>
        <w:t> </w:t>
      </w:r>
      <w:r>
        <w:rPr>
          <w:color w:val="231F20"/>
        </w:rPr>
        <w:t>a</w:t>
      </w:r>
      <w:r>
        <w:rPr>
          <w:color w:val="231F20"/>
          <w:spacing w:val="-6"/>
        </w:rPr>
        <w:t> </w:t>
      </w:r>
      <w:r>
        <w:rPr>
          <w:color w:val="231F20"/>
        </w:rPr>
        <w:t>muestreo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EMMEU</w:t>
      </w:r>
      <w:r>
        <w:rPr>
          <w:color w:val="231F20"/>
          <w:spacing w:val="-6"/>
        </w:rPr>
        <w:t> </w:t>
      </w:r>
      <w:r>
        <w:rPr>
          <w:color w:val="231F20"/>
        </w:rPr>
        <w:t>2009</w:t>
      </w:r>
      <w:r>
        <w:rPr>
          <w:color w:val="231F20"/>
          <w:spacing w:val="-6"/>
        </w:rPr>
        <w:t> </w:t>
      </w:r>
      <w:r>
        <w:rPr>
          <w:color w:val="231F20"/>
        </w:rPr>
        <w:t>es</w:t>
      </w:r>
      <w:r>
        <w:rPr>
          <w:color w:val="231F20"/>
          <w:spacing w:val="-6"/>
        </w:rPr>
        <w:t> </w:t>
      </w:r>
      <w:r>
        <w:rPr>
          <w:color w:val="231F20"/>
        </w:rPr>
        <w:t>el conjunto total de viviendas del Estado de México, que son los que forman los hogares que se encuentran contenidos en las viviendas. La EMMEU 2009 es entonces una encuesta de derecho, en tanto a la población se le ubica en las viviendas donde reside habitualmente y donde se conforman los hogares de los cuales se obtiene la información que es comparable con el Censo de Población y Vivienda de</w:t>
      </w:r>
      <w:r>
        <w:rPr>
          <w:color w:val="231F20"/>
          <w:spacing w:val="-28"/>
        </w:rPr>
        <w:t> </w:t>
      </w:r>
      <w:r>
        <w:rPr>
          <w:color w:val="231F20"/>
        </w:rPr>
        <w:t>2000.</w:t>
      </w:r>
    </w:p>
    <w:p>
      <w:pPr>
        <w:pStyle w:val="Heading3"/>
        <w:spacing w:line="242" w:lineRule="auto"/>
        <w:ind w:right="249"/>
        <w:jc w:val="left"/>
      </w:pPr>
      <w:r>
        <w:rPr>
          <w:color w:val="231F20"/>
        </w:rPr>
        <w:t>Algunas características individuales de los mexiquenses capta- dos por la EMMEU 2009: ¿qué diferencía a los migrantes de quienes no lo son?</w:t>
      </w:r>
    </w:p>
    <w:p>
      <w:pPr>
        <w:pStyle w:val="BodyText"/>
        <w:spacing w:line="247" w:lineRule="auto" w:before="170"/>
        <w:ind w:left="117" w:right="115" w:firstLine="283"/>
        <w:jc w:val="both"/>
      </w:pPr>
      <w:r>
        <w:rPr>
          <w:color w:val="231F20"/>
        </w:rPr>
        <w:t>Para</w:t>
      </w:r>
      <w:r>
        <w:rPr>
          <w:color w:val="231F20"/>
          <w:spacing w:val="-12"/>
        </w:rPr>
        <w:t> </w:t>
      </w:r>
      <w:r>
        <w:rPr>
          <w:color w:val="231F20"/>
        </w:rPr>
        <w:t>poder</w:t>
      </w:r>
      <w:r>
        <w:rPr>
          <w:color w:val="231F20"/>
          <w:spacing w:val="-13"/>
        </w:rPr>
        <w:t> </w:t>
      </w:r>
      <w:r>
        <w:rPr>
          <w:color w:val="231F20"/>
        </w:rPr>
        <w:t>hablar</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características</w:t>
      </w:r>
      <w:r>
        <w:rPr>
          <w:color w:val="231F20"/>
          <w:spacing w:val="-14"/>
        </w:rPr>
        <w:t> </w:t>
      </w:r>
      <w:r>
        <w:rPr>
          <w:color w:val="231F20"/>
        </w:rPr>
        <w:t>de</w:t>
      </w:r>
      <w:r>
        <w:rPr>
          <w:color w:val="231F20"/>
          <w:spacing w:val="-13"/>
        </w:rPr>
        <w:t> </w:t>
      </w:r>
      <w:r>
        <w:rPr>
          <w:color w:val="231F20"/>
        </w:rPr>
        <w:t>los</w:t>
      </w:r>
      <w:r>
        <w:rPr>
          <w:color w:val="231F20"/>
          <w:spacing w:val="-13"/>
        </w:rPr>
        <w:t> </w:t>
      </w:r>
      <w:r>
        <w:rPr>
          <w:color w:val="231F20"/>
        </w:rPr>
        <w:t>hogares</w:t>
      </w:r>
      <w:r>
        <w:rPr>
          <w:color w:val="231F20"/>
          <w:spacing w:val="-13"/>
        </w:rPr>
        <w:t> </w:t>
      </w:r>
      <w:r>
        <w:rPr>
          <w:color w:val="231F20"/>
        </w:rPr>
        <w:t>es</w:t>
      </w:r>
      <w:r>
        <w:rPr>
          <w:color w:val="231F20"/>
          <w:spacing w:val="-13"/>
        </w:rPr>
        <w:t> </w:t>
      </w:r>
      <w:r>
        <w:rPr>
          <w:color w:val="231F20"/>
        </w:rPr>
        <w:t>necesario</w:t>
      </w:r>
      <w:r>
        <w:rPr>
          <w:color w:val="231F20"/>
          <w:spacing w:val="-13"/>
        </w:rPr>
        <w:t> </w:t>
      </w:r>
      <w:r>
        <w:rPr>
          <w:color w:val="231F20"/>
        </w:rPr>
        <w:t>antes contar</w:t>
      </w:r>
      <w:r>
        <w:rPr>
          <w:color w:val="231F20"/>
          <w:spacing w:val="-6"/>
        </w:rPr>
        <w:t> </w:t>
      </w:r>
      <w:r>
        <w:rPr>
          <w:color w:val="231F20"/>
        </w:rPr>
        <w:t>con</w:t>
      </w:r>
      <w:r>
        <w:rPr>
          <w:color w:val="231F20"/>
          <w:spacing w:val="-6"/>
        </w:rPr>
        <w:t> </w:t>
      </w:r>
      <w:r>
        <w:rPr>
          <w:color w:val="231F20"/>
        </w:rPr>
        <w:t>una</w:t>
      </w:r>
      <w:r>
        <w:rPr>
          <w:color w:val="231F20"/>
          <w:spacing w:val="-6"/>
        </w:rPr>
        <w:t> </w:t>
      </w:r>
      <w:r>
        <w:rPr>
          <w:color w:val="231F20"/>
        </w:rPr>
        <w:t>caracterización</w:t>
      </w:r>
      <w:r>
        <w:rPr>
          <w:color w:val="231F20"/>
          <w:spacing w:val="-6"/>
        </w:rPr>
        <w:t> </w:t>
      </w:r>
      <w:r>
        <w:rPr>
          <w:color w:val="231F20"/>
        </w:rPr>
        <w:t>sociodemográfica</w:t>
      </w:r>
      <w:r>
        <w:rPr>
          <w:color w:val="231F20"/>
          <w:spacing w:val="-6"/>
        </w:rPr>
        <w:t> </w:t>
      </w:r>
      <w:r>
        <w:rPr>
          <w:color w:val="231F20"/>
        </w:rPr>
        <w:t>general</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individuos que integran esos hogares, situación obligada si se reconoce la heteroge- neidad presente en el perfil de los migrantes y que se refleja fundamental- mente, entre los factores más destacados, en la creciente y sostenida parti- cipación</w:t>
      </w:r>
      <w:r>
        <w:rPr>
          <w:color w:val="231F20"/>
          <w:spacing w:val="-10"/>
        </w:rPr>
        <w:t> </w:t>
      </w:r>
      <w:r>
        <w:rPr>
          <w:color w:val="231F20"/>
        </w:rPr>
        <w:t>de</w:t>
      </w:r>
      <w:r>
        <w:rPr>
          <w:color w:val="231F20"/>
          <w:spacing w:val="-9"/>
        </w:rPr>
        <w:t> </w:t>
      </w:r>
      <w:r>
        <w:rPr>
          <w:color w:val="231F20"/>
        </w:rPr>
        <w:t>la</w:t>
      </w:r>
      <w:r>
        <w:rPr>
          <w:color w:val="231F20"/>
          <w:spacing w:val="-9"/>
        </w:rPr>
        <w:t> </w:t>
      </w:r>
      <w:r>
        <w:rPr>
          <w:color w:val="231F20"/>
        </w:rPr>
        <w:t>mujer</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considerable</w:t>
      </w:r>
      <w:r>
        <w:rPr>
          <w:color w:val="231F20"/>
          <w:spacing w:val="-10"/>
        </w:rPr>
        <w:t> </w:t>
      </w:r>
      <w:r>
        <w:rPr>
          <w:color w:val="231F20"/>
        </w:rPr>
        <w:t>incorporación</w:t>
      </w:r>
      <w:r>
        <w:rPr>
          <w:color w:val="231F20"/>
          <w:spacing w:val="-10"/>
        </w:rPr>
        <w:t> </w:t>
      </w:r>
      <w:r>
        <w:rPr>
          <w:color w:val="231F20"/>
        </w:rPr>
        <w:t>de</w:t>
      </w:r>
      <w:r>
        <w:rPr>
          <w:color w:val="231F20"/>
          <w:spacing w:val="-9"/>
        </w:rPr>
        <w:t> </w:t>
      </w:r>
      <w:r>
        <w:rPr>
          <w:color w:val="231F20"/>
        </w:rPr>
        <w:t>población</w:t>
      </w:r>
      <w:r>
        <w:rPr>
          <w:color w:val="231F20"/>
          <w:spacing w:val="-9"/>
        </w:rPr>
        <w:t> </w:t>
      </w:r>
      <w:r>
        <w:rPr>
          <w:color w:val="231F20"/>
        </w:rPr>
        <w:t>cada</w:t>
      </w:r>
      <w:r>
        <w:rPr>
          <w:color w:val="231F20"/>
          <w:spacing w:val="-9"/>
        </w:rPr>
        <w:t> </w:t>
      </w:r>
      <w:r>
        <w:rPr>
          <w:color w:val="231F20"/>
        </w:rPr>
        <w:t>vez más joven en los procesos</w:t>
      </w:r>
      <w:r>
        <w:rPr>
          <w:color w:val="231F20"/>
          <w:spacing w:val="-4"/>
        </w:rPr>
        <w:t> </w:t>
      </w:r>
      <w:r>
        <w:rPr>
          <w:color w:val="231F20"/>
        </w:rPr>
        <w:t>migratorios.</w:t>
      </w:r>
    </w:p>
    <w:p>
      <w:pPr>
        <w:pStyle w:val="BodyText"/>
        <w:spacing w:line="247" w:lineRule="auto"/>
        <w:ind w:left="117" w:right="114" w:firstLine="283"/>
        <w:jc w:val="both"/>
      </w:pPr>
      <w:r>
        <w:rPr>
          <w:color w:val="231F20"/>
        </w:rPr>
        <w:t>Desde un abordaje sociodemográfico, lo primero que interesa conocer es la estructura por edad y sexo de la población migrante. La EMMEU 2009</w:t>
      </w:r>
      <w:r>
        <w:rPr>
          <w:color w:val="231F20"/>
          <w:spacing w:val="-8"/>
        </w:rPr>
        <w:t> </w:t>
      </w:r>
      <w:r>
        <w:rPr>
          <w:color w:val="231F20"/>
        </w:rPr>
        <w:t>evidencia</w:t>
      </w:r>
      <w:r>
        <w:rPr>
          <w:color w:val="231F20"/>
          <w:spacing w:val="-8"/>
        </w:rPr>
        <w:t> </w:t>
      </w:r>
      <w:r>
        <w:rPr>
          <w:color w:val="231F20"/>
        </w:rPr>
        <w:t>que,</w:t>
      </w:r>
      <w:r>
        <w:rPr>
          <w:color w:val="231F20"/>
          <w:spacing w:val="-8"/>
        </w:rPr>
        <w:t> </w:t>
      </w:r>
      <w:r>
        <w:rPr>
          <w:color w:val="231F20"/>
        </w:rPr>
        <w:t>aunque</w:t>
      </w:r>
      <w:r>
        <w:rPr>
          <w:color w:val="231F20"/>
          <w:spacing w:val="-8"/>
        </w:rPr>
        <w:t> </w:t>
      </w:r>
      <w:r>
        <w:rPr>
          <w:color w:val="231F20"/>
        </w:rPr>
        <w:t>los</w:t>
      </w:r>
      <w:r>
        <w:rPr>
          <w:color w:val="231F20"/>
          <w:spacing w:val="-8"/>
        </w:rPr>
        <w:t> </w:t>
      </w:r>
      <w:r>
        <w:rPr>
          <w:color w:val="231F20"/>
        </w:rPr>
        <w:t>índices</w:t>
      </w:r>
      <w:r>
        <w:rPr>
          <w:color w:val="231F20"/>
          <w:spacing w:val="-8"/>
        </w:rPr>
        <w:t> </w:t>
      </w:r>
      <w:r>
        <w:rPr>
          <w:color w:val="231F20"/>
        </w:rPr>
        <w:t>de</w:t>
      </w:r>
      <w:r>
        <w:rPr>
          <w:color w:val="231F20"/>
          <w:spacing w:val="-8"/>
        </w:rPr>
        <w:t> </w:t>
      </w:r>
      <w:r>
        <w:rPr>
          <w:color w:val="231F20"/>
        </w:rPr>
        <w:t>masculinidad</w:t>
      </w:r>
      <w:r>
        <w:rPr>
          <w:color w:val="231F20"/>
          <w:spacing w:val="-8"/>
        </w:rPr>
        <w:t> </w:t>
      </w:r>
      <w:r>
        <w:rPr>
          <w:color w:val="231F20"/>
        </w:rPr>
        <w:t>para</w:t>
      </w:r>
      <w:r>
        <w:rPr>
          <w:color w:val="231F20"/>
          <w:spacing w:val="-8"/>
        </w:rPr>
        <w:t> </w:t>
      </w:r>
      <w:r>
        <w:rPr>
          <w:color w:val="231F20"/>
        </w:rPr>
        <w:t>el</w:t>
      </w:r>
      <w:r>
        <w:rPr>
          <w:color w:val="231F20"/>
          <w:spacing w:val="-8"/>
        </w:rPr>
        <w:t> </w:t>
      </w:r>
      <w:r>
        <w:rPr>
          <w:color w:val="231F20"/>
        </w:rPr>
        <w:t>caso</w:t>
      </w:r>
      <w:r>
        <w:rPr>
          <w:color w:val="231F20"/>
          <w:spacing w:val="-8"/>
        </w:rPr>
        <w:t> </w:t>
      </w:r>
      <w:r>
        <w:rPr>
          <w:color w:val="231F20"/>
        </w:rPr>
        <w:t>mexi- cano son altos, la participación de las mujeres en los flujos migratorios hacia</w:t>
      </w:r>
      <w:r>
        <w:rPr>
          <w:color w:val="231F20"/>
          <w:spacing w:val="-5"/>
        </w:rPr>
        <w:t> </w:t>
      </w:r>
      <w:r>
        <w:rPr>
          <w:color w:val="231F20"/>
        </w:rPr>
        <w:t>Estados</w:t>
      </w:r>
      <w:r>
        <w:rPr>
          <w:color w:val="231F20"/>
          <w:spacing w:val="-5"/>
        </w:rPr>
        <w:t> </w:t>
      </w:r>
      <w:r>
        <w:rPr>
          <w:color w:val="231F20"/>
        </w:rPr>
        <w:t>Unidos</w:t>
      </w:r>
      <w:r>
        <w:rPr>
          <w:color w:val="231F20"/>
          <w:spacing w:val="-5"/>
        </w:rPr>
        <w:t> </w:t>
      </w:r>
      <w:r>
        <w:rPr>
          <w:color w:val="231F20"/>
        </w:rPr>
        <w:t>se</w:t>
      </w:r>
      <w:r>
        <w:rPr>
          <w:color w:val="231F20"/>
          <w:spacing w:val="-5"/>
        </w:rPr>
        <w:t> </w:t>
      </w:r>
      <w:r>
        <w:rPr>
          <w:color w:val="231F20"/>
        </w:rPr>
        <w:t>ha</w:t>
      </w:r>
      <w:r>
        <w:rPr>
          <w:color w:val="231F20"/>
          <w:spacing w:val="-5"/>
        </w:rPr>
        <w:t> </w:t>
      </w:r>
      <w:r>
        <w:rPr>
          <w:color w:val="231F20"/>
        </w:rPr>
        <w:t>hecho</w:t>
      </w:r>
      <w:r>
        <w:rPr>
          <w:color w:val="231F20"/>
          <w:spacing w:val="-5"/>
        </w:rPr>
        <w:t> </w:t>
      </w:r>
      <w:r>
        <w:rPr>
          <w:color w:val="231F20"/>
        </w:rPr>
        <w:t>más</w:t>
      </w:r>
      <w:r>
        <w:rPr>
          <w:color w:val="231F20"/>
          <w:spacing w:val="-5"/>
        </w:rPr>
        <w:t> </w:t>
      </w:r>
      <w:r>
        <w:rPr>
          <w:color w:val="231F20"/>
        </w:rPr>
        <w:t>notoria</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últimos</w:t>
      </w:r>
      <w:r>
        <w:rPr>
          <w:color w:val="231F20"/>
          <w:spacing w:val="-5"/>
        </w:rPr>
        <w:t> </w:t>
      </w:r>
      <w:r>
        <w:rPr>
          <w:color w:val="231F20"/>
        </w:rPr>
        <w:t>tiempos</w:t>
      </w:r>
      <w:r>
        <w:rPr>
          <w:color w:val="231F20"/>
          <w:spacing w:val="-6"/>
        </w:rPr>
        <w:t> </w:t>
      </w:r>
      <w:r>
        <w:rPr>
          <w:color w:val="231F20"/>
        </w:rPr>
        <w:t>(Co- rona, 1998). Este aspecto indica que la migración extrarregional no es un fenómeno que involucre exclusivamente a los</w:t>
      </w:r>
      <w:r>
        <w:rPr>
          <w:color w:val="231F20"/>
          <w:spacing w:val="-3"/>
        </w:rPr>
        <w:t> </w:t>
      </w:r>
      <w:r>
        <w:rPr>
          <w:color w:val="231F20"/>
        </w:rPr>
        <w:t>hombres.</w:t>
      </w:r>
    </w:p>
    <w:p>
      <w:pPr>
        <w:pStyle w:val="BodyText"/>
        <w:spacing w:line="247" w:lineRule="auto"/>
        <w:ind w:left="117" w:right="114" w:firstLine="283"/>
        <w:jc w:val="both"/>
      </w:pPr>
      <w:r>
        <w:rPr>
          <w:color w:val="231F20"/>
        </w:rPr>
        <w:t>Por el contrario se trata de hombres y mujeres jóvenes que</w:t>
      </w:r>
      <w:r>
        <w:rPr>
          <w:color w:val="231F20"/>
          <w:spacing w:val="-24"/>
        </w:rPr>
        <w:t> </w:t>
      </w:r>
      <w:r>
        <w:rPr>
          <w:color w:val="231F20"/>
        </w:rPr>
        <w:t>contribuyen con su trabajo —generalmente de bajo costo— a la economía de Estados Unidos así como a la de sus países de origen a través de las remesas (Cai- cedos,</w:t>
      </w:r>
      <w:r>
        <w:rPr>
          <w:color w:val="231F20"/>
          <w:spacing w:val="-1"/>
        </w:rPr>
        <w:t> </w:t>
      </w:r>
      <w:r>
        <w:rPr>
          <w:color w:val="231F20"/>
        </w:rPr>
        <w:t>2008).</w:t>
      </w:r>
    </w:p>
    <w:p>
      <w:pPr>
        <w:pStyle w:val="BodyText"/>
        <w:spacing w:line="247" w:lineRule="auto"/>
        <w:ind w:left="117" w:right="114" w:firstLine="283"/>
        <w:jc w:val="both"/>
      </w:pPr>
      <w:r>
        <w:rPr>
          <w:color w:val="231F20"/>
        </w:rPr>
        <w:t>El</w:t>
      </w:r>
      <w:r>
        <w:rPr>
          <w:color w:val="231F20"/>
          <w:spacing w:val="-9"/>
        </w:rPr>
        <w:t> </w:t>
      </w:r>
      <w:r>
        <w:rPr>
          <w:color w:val="231F20"/>
        </w:rPr>
        <w:t>índice</w:t>
      </w:r>
      <w:r>
        <w:rPr>
          <w:color w:val="231F20"/>
          <w:spacing w:val="-9"/>
        </w:rPr>
        <w:t> </w:t>
      </w:r>
      <w:r>
        <w:rPr>
          <w:color w:val="231F20"/>
        </w:rPr>
        <w:t>de</w:t>
      </w:r>
      <w:r>
        <w:rPr>
          <w:color w:val="231F20"/>
          <w:spacing w:val="-9"/>
        </w:rPr>
        <w:t> </w:t>
      </w:r>
      <w:r>
        <w:rPr>
          <w:color w:val="231F20"/>
        </w:rPr>
        <w:t>masculinidad</w:t>
      </w:r>
      <w:r>
        <w:rPr>
          <w:color w:val="231F20"/>
          <w:spacing w:val="-10"/>
        </w:rPr>
        <w:t> </w:t>
      </w:r>
      <w:r>
        <w:rPr>
          <w:color w:val="231F20"/>
        </w:rPr>
        <w:t>de</w:t>
      </w:r>
      <w:r>
        <w:rPr>
          <w:color w:val="231F20"/>
          <w:spacing w:val="-9"/>
        </w:rPr>
        <w:t> </w:t>
      </w:r>
      <w:r>
        <w:rPr>
          <w:color w:val="231F20"/>
        </w:rPr>
        <w:t>la</w:t>
      </w:r>
      <w:r>
        <w:rPr>
          <w:color w:val="231F20"/>
          <w:spacing w:val="-9"/>
        </w:rPr>
        <w:t> </w:t>
      </w:r>
      <w:r>
        <w:rPr>
          <w:color w:val="231F20"/>
        </w:rPr>
        <w:t>población</w:t>
      </w:r>
      <w:r>
        <w:rPr>
          <w:color w:val="231F20"/>
          <w:spacing w:val="-10"/>
        </w:rPr>
        <w:t> </w:t>
      </w:r>
      <w:r>
        <w:rPr>
          <w:color w:val="231F20"/>
        </w:rPr>
        <w:t>captada</w:t>
      </w:r>
      <w:r>
        <w:rPr>
          <w:color w:val="231F20"/>
          <w:spacing w:val="-10"/>
        </w:rPr>
        <w:t> </w:t>
      </w:r>
      <w:r>
        <w:rPr>
          <w:color w:val="231F20"/>
        </w:rPr>
        <w:t>por</w:t>
      </w:r>
      <w:r>
        <w:rPr>
          <w:color w:val="231F20"/>
          <w:spacing w:val="-9"/>
        </w:rPr>
        <w:t> </w:t>
      </w:r>
      <w:r>
        <w:rPr>
          <w:color w:val="231F20"/>
        </w:rPr>
        <w:t>la</w:t>
      </w:r>
      <w:r>
        <w:rPr>
          <w:color w:val="231F20"/>
          <w:spacing w:val="-9"/>
        </w:rPr>
        <w:t> </w:t>
      </w:r>
      <w:r>
        <w:rPr>
          <w:color w:val="231F20"/>
        </w:rPr>
        <w:t>EMMEU</w:t>
      </w:r>
      <w:r>
        <w:rPr>
          <w:color w:val="231F20"/>
          <w:spacing w:val="-9"/>
        </w:rPr>
        <w:t> </w:t>
      </w:r>
      <w:r>
        <w:rPr>
          <w:color w:val="231F20"/>
        </w:rPr>
        <w:t>2009 fue</w:t>
      </w:r>
      <w:r>
        <w:rPr>
          <w:color w:val="231F20"/>
          <w:spacing w:val="-8"/>
        </w:rPr>
        <w:t> </w:t>
      </w:r>
      <w:r>
        <w:rPr>
          <w:color w:val="231F20"/>
        </w:rPr>
        <w:t>de</w:t>
      </w:r>
      <w:r>
        <w:rPr>
          <w:color w:val="231F20"/>
          <w:spacing w:val="-8"/>
        </w:rPr>
        <w:t> </w:t>
      </w:r>
      <w:r>
        <w:rPr>
          <w:color w:val="231F20"/>
        </w:rPr>
        <w:t>0.92,</w:t>
      </w:r>
      <w:r>
        <w:rPr>
          <w:color w:val="231F20"/>
          <w:spacing w:val="-8"/>
        </w:rPr>
        <w:t> </w:t>
      </w:r>
      <w:r>
        <w:rPr>
          <w:color w:val="231F20"/>
        </w:rPr>
        <w:t>en</w:t>
      </w:r>
      <w:r>
        <w:rPr>
          <w:color w:val="231F20"/>
          <w:spacing w:val="-8"/>
        </w:rPr>
        <w:t> </w:t>
      </w:r>
      <w:r>
        <w:rPr>
          <w:color w:val="231F20"/>
        </w:rPr>
        <w:t>tanto</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índice</w:t>
      </w:r>
      <w:r>
        <w:rPr>
          <w:color w:val="231F20"/>
          <w:spacing w:val="-8"/>
        </w:rPr>
        <w:t> </w:t>
      </w:r>
      <w:r>
        <w:rPr>
          <w:color w:val="231F20"/>
        </w:rPr>
        <w:t>de</w:t>
      </w:r>
      <w:r>
        <w:rPr>
          <w:color w:val="231F20"/>
          <w:spacing w:val="-8"/>
        </w:rPr>
        <w:t> </w:t>
      </w:r>
      <w:r>
        <w:rPr>
          <w:color w:val="231F20"/>
        </w:rPr>
        <w:t>masculinidad</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población</w:t>
      </w:r>
      <w:r>
        <w:rPr>
          <w:color w:val="231F20"/>
          <w:spacing w:val="-8"/>
        </w:rPr>
        <w:t> </w:t>
      </w:r>
      <w:r>
        <w:rPr>
          <w:color w:val="231F20"/>
        </w:rPr>
        <w:t>migran- te fue de 0.68. Este hallazgo se ha documentado desde los inicios del</w:t>
      </w:r>
      <w:r>
        <w:rPr>
          <w:color w:val="231F20"/>
          <w:spacing w:val="-30"/>
        </w:rPr>
        <w:t> </w:t>
      </w:r>
      <w:r>
        <w:rPr>
          <w:color w:val="231F20"/>
        </w:rPr>
        <w:t>estu- dio</w:t>
      </w:r>
      <w:r>
        <w:rPr>
          <w:color w:val="231F20"/>
          <w:spacing w:val="-8"/>
        </w:rPr>
        <w:t> </w:t>
      </w:r>
      <w:r>
        <w:rPr>
          <w:color w:val="231F20"/>
        </w:rPr>
        <w:t>de</w:t>
      </w:r>
      <w:r>
        <w:rPr>
          <w:color w:val="231F20"/>
          <w:spacing w:val="-8"/>
        </w:rPr>
        <w:t> </w:t>
      </w:r>
      <w:r>
        <w:rPr>
          <w:color w:val="231F20"/>
        </w:rPr>
        <w:t>la</w:t>
      </w:r>
      <w:r>
        <w:rPr>
          <w:color w:val="231F20"/>
          <w:spacing w:val="-9"/>
        </w:rPr>
        <w:t> </w:t>
      </w:r>
      <w:r>
        <w:rPr>
          <w:color w:val="231F20"/>
        </w:rPr>
        <w:t>migración</w:t>
      </w:r>
      <w:r>
        <w:rPr>
          <w:color w:val="231F20"/>
          <w:spacing w:val="-9"/>
        </w:rPr>
        <w:t> </w:t>
      </w:r>
      <w:r>
        <w:rPr>
          <w:color w:val="231F20"/>
        </w:rPr>
        <w:t>en</w:t>
      </w:r>
      <w:r>
        <w:rPr>
          <w:color w:val="231F20"/>
          <w:spacing w:val="-9"/>
        </w:rPr>
        <w:t> </w:t>
      </w:r>
      <w:r>
        <w:rPr>
          <w:color w:val="231F20"/>
        </w:rPr>
        <w:t>nuestro</w:t>
      </w:r>
      <w:r>
        <w:rPr>
          <w:color w:val="231F20"/>
          <w:spacing w:val="-8"/>
        </w:rPr>
        <w:t> </w:t>
      </w:r>
      <w:r>
        <w:rPr>
          <w:color w:val="231F20"/>
        </w:rPr>
        <w:t>país,</w:t>
      </w:r>
      <w:r>
        <w:rPr>
          <w:color w:val="231F20"/>
          <w:spacing w:val="-8"/>
        </w:rPr>
        <w:t> </w:t>
      </w:r>
      <w:r>
        <w:rPr>
          <w:color w:val="231F20"/>
        </w:rPr>
        <w:t>cuando</w:t>
      </w:r>
      <w:r>
        <w:rPr>
          <w:color w:val="231F20"/>
          <w:spacing w:val="-9"/>
        </w:rPr>
        <w:t> </w:t>
      </w:r>
      <w:r>
        <w:rPr>
          <w:color w:val="231F20"/>
        </w:rPr>
        <w:t>se</w:t>
      </w:r>
      <w:r>
        <w:rPr>
          <w:color w:val="231F20"/>
          <w:spacing w:val="-8"/>
        </w:rPr>
        <w:t> </w:t>
      </w:r>
      <w:r>
        <w:rPr>
          <w:color w:val="231F20"/>
        </w:rPr>
        <w:t>reportó</w:t>
      </w:r>
      <w:r>
        <w:rPr>
          <w:color w:val="231F20"/>
          <w:spacing w:val="-8"/>
        </w:rPr>
        <w:t> </w:t>
      </w:r>
      <w:r>
        <w:rPr>
          <w:color w:val="231F20"/>
        </w:rPr>
        <w:t>que</w:t>
      </w:r>
      <w:r>
        <w:rPr>
          <w:color w:val="231F20"/>
          <w:spacing w:val="-8"/>
        </w:rPr>
        <w:t> </w:t>
      </w:r>
      <w:r>
        <w:rPr>
          <w:color w:val="231F20"/>
        </w:rPr>
        <w:t>en</w:t>
      </w:r>
      <w:r>
        <w:rPr>
          <w:color w:val="231F20"/>
          <w:spacing w:val="-9"/>
        </w:rPr>
        <w:t> </w:t>
      </w:r>
      <w:r>
        <w:rPr>
          <w:color w:val="231F20"/>
        </w:rPr>
        <w:t>las</w:t>
      </w:r>
      <w:r>
        <w:rPr>
          <w:color w:val="231F20"/>
          <w:spacing w:val="-9"/>
        </w:rPr>
        <w:t> </w:t>
      </w:r>
      <w:r>
        <w:rPr>
          <w:color w:val="231F20"/>
        </w:rPr>
        <w:t>corrientes migratorias</w:t>
      </w:r>
      <w:r>
        <w:rPr>
          <w:color w:val="231F20"/>
          <w:spacing w:val="-5"/>
        </w:rPr>
        <w:t> </w:t>
      </w:r>
      <w:r>
        <w:rPr>
          <w:color w:val="231F20"/>
        </w:rPr>
        <w:t>del</w:t>
      </w:r>
      <w:r>
        <w:rPr>
          <w:color w:val="231F20"/>
          <w:spacing w:val="-5"/>
        </w:rPr>
        <w:t> </w:t>
      </w:r>
      <w:r>
        <w:rPr>
          <w:color w:val="231F20"/>
        </w:rPr>
        <w:t>campo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ciudad</w:t>
      </w:r>
      <w:r>
        <w:rPr>
          <w:color w:val="231F20"/>
          <w:spacing w:val="-5"/>
        </w:rPr>
        <w:t> </w:t>
      </w:r>
      <w:r>
        <w:rPr>
          <w:color w:val="231F20"/>
        </w:rPr>
        <w:t>predominaban</w:t>
      </w:r>
      <w:r>
        <w:rPr>
          <w:color w:val="231F20"/>
          <w:spacing w:val="-5"/>
        </w:rPr>
        <w:t> </w:t>
      </w:r>
      <w:r>
        <w:rPr>
          <w:color w:val="231F20"/>
        </w:rPr>
        <w:t>las</w:t>
      </w:r>
      <w:r>
        <w:rPr>
          <w:color w:val="231F20"/>
          <w:spacing w:val="-5"/>
        </w:rPr>
        <w:t> </w:t>
      </w:r>
      <w:r>
        <w:rPr>
          <w:color w:val="231F20"/>
        </w:rPr>
        <w:t>mujeres</w:t>
      </w:r>
      <w:r>
        <w:rPr>
          <w:color w:val="231F20"/>
          <w:spacing w:val="-5"/>
        </w:rPr>
        <w:t> </w:t>
      </w:r>
      <w:r>
        <w:rPr>
          <w:color w:val="231F20"/>
        </w:rPr>
        <w:t>que</w:t>
      </w:r>
      <w:r>
        <w:rPr>
          <w:color w:val="231F20"/>
          <w:spacing w:val="-5"/>
        </w:rPr>
        <w:t> </w:t>
      </w:r>
      <w:r>
        <w:rPr>
          <w:color w:val="231F20"/>
        </w:rPr>
        <w:t>enviaban las familias campesinas para emplearse en los servicios de las ciudades, principalmente de tipo doméstico (Muñoz </w:t>
      </w:r>
      <w:r>
        <w:rPr>
          <w:i/>
          <w:color w:val="231F20"/>
        </w:rPr>
        <w:t>et al</w:t>
      </w:r>
      <w:r>
        <w:rPr>
          <w:color w:val="231F20"/>
        </w:rPr>
        <w:t>.,</w:t>
      </w:r>
      <w:r>
        <w:rPr>
          <w:color w:val="231F20"/>
          <w:spacing w:val="-3"/>
        </w:rPr>
        <w:t> </w:t>
      </w:r>
      <w:r>
        <w:rPr>
          <w:color w:val="231F20"/>
        </w:rPr>
        <w:t>1977).</w:t>
      </w:r>
    </w:p>
    <w:p>
      <w:pPr>
        <w:spacing w:after="0" w:line="247" w:lineRule="auto"/>
        <w:jc w:val="both"/>
        <w:sectPr>
          <w:pgSz w:w="9360" w:h="13040"/>
          <w:pgMar w:header="0" w:footer="496" w:top="840" w:bottom="680" w:left="1300" w:right="1300"/>
        </w:sectPr>
      </w:pPr>
    </w:p>
    <w:p>
      <w:pPr>
        <w:pStyle w:val="BodyText"/>
        <w:rPr>
          <w:sz w:val="20"/>
        </w:rPr>
      </w:pPr>
      <w:r>
        <w:rPr/>
        <w:pict>
          <v:group style="position:absolute;margin-left:115.852097pt;margin-top:218.786407pt;width:231.45pt;height:37.3pt;mso-position-horizontal-relative:page;mso-position-vertical-relative:page;z-index:-637912" coordorigin="2317,4376" coordsize="4629,746">
            <v:rect style="position:absolute;left:2325;top:4746;width:4614;height:368" filled="false" stroked="true" strokeweight=".75pt" strokecolor="#000000"/>
            <v:line style="position:absolute" from="3945,4386" to="3945,4706" stroked="true" strokeweight="1pt" strokecolor="#000000"/>
            <v:shape style="position:absolute;left:3885;top:4626;width:120;height:120" coordorigin="3885,4626" coordsize="120,120" path="m4005,4626l3885,4626,3945,4746,4005,4626xe" filled="true" fillcolor="#000000" stroked="false">
              <v:path arrowok="t"/>
              <v:fill type="solid"/>
            </v:shape>
            <v:shape style="position:absolute;left:2325;top:4746;width:4614;height:368" type="#_x0000_t202" filled="false" stroked="false">
              <v:textbox inset="0,0,0,0">
                <w:txbxContent>
                  <w:p>
                    <w:pPr>
                      <w:spacing w:before="84"/>
                      <w:ind w:left="149" w:right="0" w:firstLine="0"/>
                      <w:jc w:val="left"/>
                      <w:rPr>
                        <w:rFonts w:ascii="Arial"/>
                        <w:sz w:val="19"/>
                      </w:rPr>
                    </w:pPr>
                    <w:r>
                      <w:rPr>
                        <w:rFonts w:ascii="Arial"/>
                        <w:w w:val="105"/>
                        <w:sz w:val="19"/>
                      </w:rPr>
                      <w:t>Reciben remesas desde Estados Unidos</w:t>
                    </w:r>
                  </w:p>
                </w:txbxContent>
              </v:textbox>
              <w10:wrap type="none"/>
            </v:shape>
            <w10:wrap type="none"/>
          </v:group>
        </w:pict>
      </w:r>
      <w:r>
        <w:rPr/>
        <w:pict>
          <v:shape style="position:absolute;margin-left:598.529175pt;margin-top:105.542pt;width:12.4pt;height:292.350pt;mso-position-horizontal-relative:page;mso-position-vertical-relative:page;z-index:6712" type="#_x0000_t202" filled="false" stroked="false">
            <v:textbox inset="0,0,0,0" style="layout-flow:vertical">
              <w:txbxContent>
                <w:p>
                  <w:pPr>
                    <w:spacing w:line="213" w:lineRule="exact" w:before="0"/>
                    <w:ind w:left="20" w:right="0" w:firstLine="0"/>
                    <w:jc w:val="left"/>
                    <w:rPr>
                      <w:rFonts w:ascii="Arial" w:hAnsi="Arial"/>
                      <w:i/>
                      <w:sz w:val="20"/>
                    </w:rPr>
                  </w:pPr>
                  <w:r>
                    <w:rPr>
                      <w:rFonts w:ascii="Arial" w:hAnsi="Arial"/>
                      <w:color w:val="231F20"/>
                      <w:w w:val="66"/>
                      <w:sz w:val="20"/>
                    </w:rPr>
                    <w:t>La</w:t>
                  </w:r>
                  <w:r>
                    <w:rPr>
                      <w:rFonts w:ascii="Arial" w:hAnsi="Arial"/>
                      <w:color w:val="231F20"/>
                      <w:spacing w:val="-1"/>
                      <w:sz w:val="20"/>
                    </w:rPr>
                    <w:t> </w:t>
                  </w:r>
                  <w:r>
                    <w:rPr>
                      <w:rFonts w:ascii="Arial" w:hAnsi="Arial"/>
                      <w:color w:val="231F20"/>
                      <w:w w:val="72"/>
                      <w:sz w:val="20"/>
                    </w:rPr>
                    <w:t>dinámica</w:t>
                  </w:r>
                  <w:r>
                    <w:rPr>
                      <w:rFonts w:ascii="Arial" w:hAnsi="Arial"/>
                      <w:color w:val="231F20"/>
                      <w:spacing w:val="-1"/>
                      <w:sz w:val="20"/>
                    </w:rPr>
                    <w:t> </w:t>
                  </w:r>
                  <w:r>
                    <w:rPr>
                      <w:rFonts w:ascii="Arial" w:hAnsi="Arial"/>
                      <w:color w:val="231F20"/>
                      <w:w w:val="77"/>
                      <w:sz w:val="20"/>
                    </w:rPr>
                    <w:t>migratoria</w:t>
                  </w:r>
                  <w:r>
                    <w:rPr>
                      <w:rFonts w:ascii="Arial" w:hAnsi="Arial"/>
                      <w:color w:val="231F20"/>
                      <w:spacing w:val="-1"/>
                      <w:sz w:val="20"/>
                    </w:rPr>
                    <w:t> </w:t>
                  </w:r>
                  <w:r>
                    <w:rPr>
                      <w:rFonts w:ascii="Arial" w:hAnsi="Arial"/>
                      <w:color w:val="231F20"/>
                      <w:spacing w:val="-1"/>
                      <w:w w:val="78"/>
                      <w:sz w:val="20"/>
                    </w:rPr>
                    <w:t>a</w:t>
                  </w:r>
                  <w:r>
                    <w:rPr>
                      <w:rFonts w:ascii="Arial" w:hAnsi="Arial"/>
                      <w:color w:val="231F20"/>
                      <w:w w:val="78"/>
                      <w:sz w:val="20"/>
                    </w:rPr>
                    <w:t>l</w:t>
                  </w:r>
                  <w:r>
                    <w:rPr>
                      <w:rFonts w:ascii="Arial" w:hAnsi="Arial"/>
                      <w:color w:val="231F20"/>
                      <w:spacing w:val="-1"/>
                      <w:sz w:val="20"/>
                    </w:rPr>
                    <w:t> </w:t>
                  </w:r>
                  <w:r>
                    <w:rPr>
                      <w:rFonts w:ascii="Arial" w:hAnsi="Arial"/>
                      <w:color w:val="231F20"/>
                      <w:w w:val="83"/>
                      <w:sz w:val="20"/>
                    </w:rPr>
                    <w:t>interior</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w w:val="71"/>
                      <w:sz w:val="20"/>
                    </w:rPr>
                    <w:t>hogares:</w:t>
                  </w:r>
                  <w:r>
                    <w:rPr>
                      <w:rFonts w:ascii="Arial" w:hAnsi="Arial"/>
                      <w:color w:val="231F20"/>
                      <w:spacing w:val="-1"/>
                      <w:sz w:val="20"/>
                    </w:rPr>
                    <w:t> </w:t>
                  </w:r>
                  <w:r>
                    <w:rPr>
                      <w:rFonts w:ascii="Arial" w:hAnsi="Arial"/>
                      <w:color w:val="231F20"/>
                      <w:spacing w:val="-1"/>
                      <w:w w:val="78"/>
                      <w:sz w:val="20"/>
                    </w:rPr>
                    <w:t>formas..</w:t>
                  </w:r>
                  <w:r>
                    <w:rPr>
                      <w:rFonts w:ascii="Arial" w:hAnsi="Arial"/>
                      <w:color w:val="231F20"/>
                      <w:w w:val="78"/>
                      <w:sz w:val="20"/>
                    </w:rPr>
                    <w:t>.</w:t>
                  </w:r>
                  <w:r>
                    <w:rPr>
                      <w:rFonts w:ascii="Arial" w:hAnsi="Arial"/>
                      <w:color w:val="231F20"/>
                      <w:sz w:val="20"/>
                    </w:rPr>
                    <w:t> </w:t>
                  </w:r>
                  <w:r>
                    <w:rPr>
                      <w:rFonts w:ascii="Arial" w:hAnsi="Arial"/>
                      <w:color w:val="231F20"/>
                      <w:spacing w:val="-1"/>
                      <w:w w:val="71"/>
                      <w:sz w:val="20"/>
                    </w:rPr>
                    <w:t>/Ros</w:t>
                  </w:r>
                  <w:r>
                    <w:rPr>
                      <w:rFonts w:ascii="Arial" w:hAnsi="Arial"/>
                      <w:color w:val="231F20"/>
                      <w:w w:val="71"/>
                      <w:sz w:val="20"/>
                    </w:rPr>
                    <w:t>a</w:t>
                  </w:r>
                  <w:r>
                    <w:rPr>
                      <w:rFonts w:ascii="Arial" w:hAnsi="Arial"/>
                      <w:color w:val="231F20"/>
                      <w:sz w:val="20"/>
                    </w:rPr>
                    <w:t> </w:t>
                  </w:r>
                  <w:r>
                    <w:rPr>
                      <w:rFonts w:ascii="Arial" w:hAnsi="Arial"/>
                      <w:color w:val="231F20"/>
                      <w:spacing w:val="-1"/>
                      <w:w w:val="54"/>
                      <w:sz w:val="20"/>
                    </w:rPr>
                    <w:t>Patrici</w:t>
                  </w:r>
                  <w:r>
                    <w:rPr>
                      <w:rFonts w:ascii="Arial" w:hAnsi="Arial"/>
                      <w:color w:val="231F20"/>
                      <w:w w:val="54"/>
                      <w:sz w:val="20"/>
                    </w:rPr>
                    <w:t>a</w:t>
                  </w:r>
                  <w:r>
                    <w:rPr>
                      <w:rFonts w:ascii="Arial" w:hAnsi="Arial"/>
                      <w:color w:val="231F20"/>
                      <w:spacing w:val="-17"/>
                      <w:sz w:val="20"/>
                    </w:rPr>
                    <w:t> </w:t>
                  </w:r>
                  <w:r>
                    <w:rPr>
                      <w:rFonts w:ascii="Arial" w:hAnsi="Arial"/>
                      <w:color w:val="231F20"/>
                      <w:spacing w:val="-1"/>
                      <w:w w:val="49"/>
                      <w:sz w:val="20"/>
                    </w:rPr>
                    <w:t>Román-Reye</w:t>
                  </w:r>
                  <w:r>
                    <w:rPr>
                      <w:rFonts w:ascii="Arial" w:hAnsi="Arial"/>
                      <w:color w:val="231F20"/>
                      <w:w w:val="49"/>
                      <w:sz w:val="20"/>
                    </w:rPr>
                    <w:t>s</w:t>
                  </w:r>
                  <w:r>
                    <w:rPr>
                      <w:rFonts w:ascii="Arial" w:hAnsi="Arial"/>
                      <w:color w:val="231F20"/>
                      <w:spacing w:val="-17"/>
                      <w:sz w:val="20"/>
                    </w:rPr>
                    <w:t> </w:t>
                  </w:r>
                  <w:r>
                    <w:rPr>
                      <w:rFonts w:ascii="Arial" w:hAnsi="Arial"/>
                      <w:i/>
                      <w:color w:val="231F20"/>
                      <w:w w:val="55"/>
                      <w:sz w:val="20"/>
                    </w:rPr>
                    <w:t>et</w:t>
                  </w:r>
                  <w:r>
                    <w:rPr>
                      <w:rFonts w:ascii="Arial" w:hAnsi="Arial"/>
                      <w:i/>
                      <w:color w:val="231F20"/>
                      <w:spacing w:val="-17"/>
                      <w:sz w:val="20"/>
                    </w:rPr>
                    <w:t> </w:t>
                  </w:r>
                  <w:r>
                    <w:rPr>
                      <w:rFonts w:ascii="Arial" w:hAnsi="Arial"/>
                      <w:i/>
                      <w:color w:val="231F20"/>
                      <w:w w:val="58"/>
                      <w:sz w:val="20"/>
                    </w:rPr>
                    <w:t>al.</w:t>
                  </w:r>
                </w:p>
              </w:txbxContent>
            </v:textbox>
            <w10:wrap type="none"/>
          </v:shape>
        </w:pict>
      </w:r>
      <w:r>
        <w:rPr/>
        <w:pict>
          <v:shape style="position:absolute;margin-left:23.820354pt;margin-top:222.936996pt;width:12pt;height:21.25pt;mso-position-horizontal-relative:page;mso-position-vertical-relative:page;z-index:6736" type="#_x0000_t202" filled="false" stroked="false">
            <v:textbox inset="0,0,0,0" style="layout-flow:vertical">
              <w:txbxContent>
                <w:p>
                  <w:pPr>
                    <w:spacing w:line="214" w:lineRule="exact" w:before="0"/>
                    <w:ind w:left="20" w:right="-182" w:firstLine="0"/>
                    <w:jc w:val="left"/>
                    <w:rPr>
                      <w:rFonts w:ascii="Verdana"/>
                      <w:sz w:val="20"/>
                    </w:rPr>
                  </w:pPr>
                  <w:r>
                    <w:rPr>
                      <w:rFonts w:ascii="Verdana"/>
                      <w:color w:val="231F20"/>
                      <w:spacing w:val="-1"/>
                      <w:w w:val="100"/>
                      <w:sz w:val="20"/>
                    </w:rPr>
                    <w:t>259</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p>
    <w:p>
      <w:pPr>
        <w:pStyle w:val="Heading4"/>
        <w:spacing w:before="69"/>
        <w:ind w:left="302"/>
        <w:rPr>
          <w:rFonts w:ascii="Arial" w:hAnsi="Arial"/>
        </w:rPr>
      </w:pPr>
      <w:r>
        <w:rPr>
          <w:rFonts w:ascii="Arial" w:hAnsi="Arial"/>
        </w:rPr>
        <w:t>Esquema 1. Población objetivo de la EMMEU 2009</w:t>
      </w:r>
    </w:p>
    <w:p>
      <w:pPr>
        <w:pStyle w:val="BodyText"/>
        <w:spacing w:before="8"/>
        <w:rPr>
          <w:rFonts w:ascii="Arial"/>
          <w:sz w:val="27"/>
        </w:rPr>
      </w:pPr>
      <w:r>
        <w:rPr/>
        <w:pict>
          <v:shape style="position:absolute;margin-left:269.227112pt;margin-top:18.317034pt;width:141.8pt;height:20.350pt;mso-position-horizontal-relative:page;mso-position-vertical-relative:paragraph;z-index:6448;mso-wrap-distance-left:0;mso-wrap-distance-right:0" type="#_x0000_t202" filled="false" stroked="true" strokeweight=".75pt" strokecolor="#000000">
            <v:textbox inset="0,0,0,0">
              <w:txbxContent>
                <w:p>
                  <w:pPr>
                    <w:spacing w:before="78"/>
                    <w:ind w:left="144" w:right="0" w:firstLine="0"/>
                    <w:jc w:val="left"/>
                    <w:rPr>
                      <w:rFonts w:ascii="Arial"/>
                      <w:b/>
                      <w:sz w:val="19"/>
                    </w:rPr>
                  </w:pPr>
                  <w:r>
                    <w:rPr>
                      <w:rFonts w:ascii="Arial"/>
                      <w:b/>
                      <w:w w:val="105"/>
                      <w:sz w:val="19"/>
                    </w:rPr>
                    <w:t>HOGARES MEXIQUENSES</w:t>
                  </w:r>
                </w:p>
              </w:txbxContent>
            </v:textbox>
            <w10:wrap type="topAndBottom"/>
          </v:shape>
        </w:pict>
      </w:r>
    </w:p>
    <w:p>
      <w:pPr>
        <w:pStyle w:val="BodyText"/>
        <w:spacing w:before="11"/>
        <w:rPr>
          <w:rFonts w:ascii="Arial"/>
          <w:sz w:val="3"/>
        </w:rPr>
      </w:pPr>
    </w:p>
    <w:p>
      <w:pPr>
        <w:pStyle w:val="BodyText"/>
        <w:ind w:left="837"/>
        <w:rPr>
          <w:rFonts w:ascii="Arial"/>
          <w:sz w:val="20"/>
        </w:rPr>
      </w:pPr>
      <w:r>
        <w:rPr>
          <w:rFonts w:ascii="Arial"/>
          <w:sz w:val="20"/>
        </w:rPr>
        <w:pict>
          <v:group style="width:388.4pt;height:106.45pt;mso-position-horizontal-relative:char;mso-position-vertical-relative:line" coordorigin="0,0" coordsize="7768,2129">
            <v:rect style="position:absolute;left:188;top:410;width:2604;height:444" filled="false" stroked="true" strokeweight=".75pt" strokecolor="#000000"/>
            <v:rect style="position:absolute;left:8;top:1061;width:3120;height:609" filled="false" stroked="true" strokeweight=".75pt" strokecolor="#000000"/>
            <v:line style="position:absolute" from="1268,854" to="1268,1090" stroked="true" strokeweight="1pt" strokecolor="#000000"/>
            <v:shape style="position:absolute;left:1208;top:1010;width:120;height:120" coordorigin="1208,1010" coordsize="120,120" path="m1328,1010l1208,1010,1268,1130,1328,1010xe" filled="true" fillcolor="#000000" stroked="false">
              <v:path arrowok="t"/>
              <v:fill type="solid"/>
            </v:shape>
            <v:line style="position:absolute" from="6308,119" to="1268,119" stroked="true" strokeweight=".75pt" strokecolor="#000000"/>
            <v:line style="position:absolute" from="1268,119" to="1268,439" stroked="true" strokeweight="1pt" strokecolor="#000000"/>
            <v:shape style="position:absolute;left:1208;top:359;width:120;height:120" coordorigin="1208,359" coordsize="120,120" path="m1328,359l1208,359,1268,479,1328,359xe" filled="true" fillcolor="#000000" stroked="false">
              <v:path arrowok="t"/>
              <v:fill type="solid"/>
            </v:shape>
            <v:line style="position:absolute" from="3788,8" to="3788,188" stroked="true" strokeweight=".75pt" strokecolor="#000000"/>
            <v:rect style="position:absolute;left:4868;top:410;width:2893;height:444" filled="false" stroked="true" strokeweight=".75pt" strokecolor="#000000"/>
            <v:line style="position:absolute" from="6308,119" to="6308,439" stroked="true" strokeweight="1pt" strokecolor="#000000"/>
            <v:shape style="position:absolute;left:6248;top:359;width:120;height:120" coordorigin="6248,359" coordsize="120,120" path="m6368,359l6248,359,6308,479,6368,359xe" filled="true" fillcolor="#000000" stroked="false">
              <v:path arrowok="t"/>
              <v:fill type="solid"/>
            </v:shape>
            <v:rect style="position:absolute;left:4868;top:1061;width:2880;height:1061" filled="false" stroked="true" strokeweight=".75pt" strokecolor="#000000"/>
            <v:line style="position:absolute" from="6308,854" to="6308,1090" stroked="true" strokeweight="1pt" strokecolor="#000000"/>
            <v:shape style="position:absolute;left:6248;top:1010;width:120;height:120" coordorigin="6248,1010" coordsize="120,120" path="m6368,1010l6248,1010,6308,1130,6368,1010xe" filled="true" fillcolor="#000000" stroked="false">
              <v:path arrowok="t"/>
              <v:fill type="solid"/>
            </v:shape>
            <v:shape style="position:absolute;left:188;top:410;width:2604;height:444" type="#_x0000_t202" filled="false" stroked="false">
              <v:textbox inset="0,0,0,0">
                <w:txbxContent>
                  <w:p>
                    <w:pPr>
                      <w:spacing w:before="89"/>
                      <w:ind w:left="151" w:right="0" w:firstLine="0"/>
                      <w:jc w:val="left"/>
                      <w:rPr>
                        <w:rFonts w:ascii="Arial" w:hAnsi="Arial"/>
                        <w:sz w:val="19"/>
                      </w:rPr>
                    </w:pPr>
                    <w:r>
                      <w:rPr>
                        <w:rFonts w:ascii="Arial" w:hAnsi="Arial"/>
                        <w:w w:val="105"/>
                        <w:sz w:val="19"/>
                      </w:rPr>
                      <w:t>Participan en la migración</w:t>
                    </w:r>
                  </w:p>
                </w:txbxContent>
              </v:textbox>
              <w10:wrap type="none"/>
            </v:shape>
            <v:shape style="position:absolute;left:4868;top:410;width:2887;height:444" type="#_x0000_t202" filled="false" stroked="false">
              <v:textbox inset="0,0,0,0">
                <w:txbxContent>
                  <w:p>
                    <w:pPr>
                      <w:spacing w:before="89"/>
                      <w:ind w:left="151" w:right="0" w:firstLine="0"/>
                      <w:jc w:val="left"/>
                      <w:rPr>
                        <w:rFonts w:ascii="Arial" w:hAnsi="Arial"/>
                        <w:sz w:val="19"/>
                      </w:rPr>
                    </w:pPr>
                    <w:r>
                      <w:rPr>
                        <w:rFonts w:ascii="Arial" w:hAnsi="Arial"/>
                        <w:w w:val="105"/>
                        <w:sz w:val="19"/>
                      </w:rPr>
                      <w:t>No participan en la migración</w:t>
                    </w:r>
                  </w:p>
                </w:txbxContent>
              </v:textbox>
              <w10:wrap type="none"/>
            </v:shape>
            <v:shape style="position:absolute;left:8;top:1061;width:3120;height:609" type="#_x0000_t202" filled="false" stroked="false">
              <v:textbox inset="0,0,0,0">
                <w:txbxContent>
                  <w:p>
                    <w:pPr>
                      <w:spacing w:line="252" w:lineRule="auto" w:before="81"/>
                      <w:ind w:left="1113" w:right="381" w:hanging="723"/>
                      <w:jc w:val="left"/>
                      <w:rPr>
                        <w:rFonts w:ascii="Arial"/>
                        <w:b/>
                        <w:sz w:val="19"/>
                      </w:rPr>
                    </w:pPr>
                    <w:r>
                      <w:rPr>
                        <w:rFonts w:ascii="Arial"/>
                        <w:b/>
                        <w:w w:val="105"/>
                        <w:sz w:val="19"/>
                      </w:rPr>
                      <w:t>Se aplica el cuestionario completo</w:t>
                    </w:r>
                  </w:p>
                </w:txbxContent>
              </v:textbox>
              <w10:wrap type="none"/>
            </v:shape>
            <v:shape style="position:absolute;left:4868;top:1061;width:2887;height:1061" type="#_x0000_t202" filled="false" stroked="false">
              <v:textbox inset="0,0,0,0">
                <w:txbxContent>
                  <w:p>
                    <w:pPr>
                      <w:spacing w:line="252" w:lineRule="auto" w:before="81"/>
                      <w:ind w:left="162" w:right="166" w:firstLine="0"/>
                      <w:jc w:val="center"/>
                      <w:rPr>
                        <w:rFonts w:ascii="Arial" w:hAnsi="Arial"/>
                        <w:b/>
                        <w:sz w:val="19"/>
                      </w:rPr>
                    </w:pPr>
                    <w:r>
                      <w:rPr>
                        <w:rFonts w:ascii="Arial" w:hAnsi="Arial"/>
                        <w:b/>
                        <w:w w:val="105"/>
                        <w:sz w:val="19"/>
                      </w:rPr>
                      <w:t>No se aplican las preguntas del cuestionario relacionadas con la migración</w:t>
                    </w:r>
                  </w:p>
                </w:txbxContent>
              </v:textbox>
              <w10:wrap type="none"/>
            </v:shape>
          </v:group>
        </w:pict>
      </w:r>
      <w:r>
        <w:rPr>
          <w:rFonts w:ascii="Arial"/>
          <w:sz w:val="20"/>
        </w:rPr>
      </w:r>
    </w:p>
    <w:p>
      <w:pPr>
        <w:pStyle w:val="BodyText"/>
        <w:rPr>
          <w:rFonts w:ascii="Arial"/>
          <w:sz w:val="20"/>
        </w:rPr>
      </w:pPr>
    </w:p>
    <w:p>
      <w:pPr>
        <w:pStyle w:val="BodyText"/>
        <w:spacing w:before="9"/>
        <w:rPr>
          <w:rFonts w:ascii="Arial"/>
          <w:sz w:val="23"/>
        </w:rPr>
      </w:pPr>
      <w:r>
        <w:rPr/>
        <w:pict>
          <v:shape style="position:absolute;margin-left:116.227097pt;margin-top:16.026123pt;width:439.9pt;height:20.05pt;mso-position-horizontal-relative:page;mso-position-vertical-relative:paragraph;z-index:6592;mso-wrap-distance-left:0;mso-wrap-distance-right:0" type="#_x0000_t202" filled="false" stroked="true" strokeweight=".75pt" strokecolor="#000000">
            <v:textbox inset="0,0,0,0">
              <w:txbxContent>
                <w:p>
                  <w:pPr>
                    <w:spacing w:before="81"/>
                    <w:ind w:left="141" w:right="0" w:firstLine="0"/>
                    <w:jc w:val="left"/>
                    <w:rPr>
                      <w:rFonts w:ascii="Arial"/>
                      <w:sz w:val="19"/>
                    </w:rPr>
                  </w:pPr>
                  <w:r>
                    <w:rPr>
                      <w:rFonts w:ascii="Arial"/>
                      <w:w w:val="105"/>
                      <w:sz w:val="19"/>
                    </w:rPr>
                    <w:t>Tienen un integrante que alguna vez fue a vivir a Estados Unidos y ahora reside en el hogar</w:t>
                  </w:r>
                </w:p>
              </w:txbxContent>
            </v:textbox>
            <w10:wrap type="topAndBottom"/>
          </v:shape>
        </w:pict>
      </w:r>
      <w:r>
        <w:rPr/>
        <w:pict>
          <v:shape style="position:absolute;margin-left:116.227097pt;margin-top:45.126122pt;width:439.9pt;height:18.7pt;mso-position-horizontal-relative:page;mso-position-vertical-relative:paragraph;z-index:6616;mso-wrap-distance-left:0;mso-wrap-distance-right:0" type="#_x0000_t202" filled="false" stroked="true" strokeweight=".75pt" strokecolor="#000000">
            <v:textbox inset="0,0,0,0">
              <w:txbxContent>
                <w:p>
                  <w:pPr>
                    <w:spacing w:before="75"/>
                    <w:ind w:left="141" w:right="0" w:firstLine="0"/>
                    <w:jc w:val="left"/>
                    <w:rPr>
                      <w:rFonts w:ascii="Arial"/>
                      <w:sz w:val="19"/>
                    </w:rPr>
                  </w:pPr>
                  <w:r>
                    <w:rPr>
                      <w:rFonts w:ascii="Arial"/>
                      <w:w w:val="105"/>
                      <w:sz w:val="19"/>
                    </w:rPr>
                    <w:t>Tienen un integrante que alguna vez fue a trabajar a Estados Unidos y ahora reside en el hogar</w:t>
                  </w:r>
                </w:p>
              </w:txbxContent>
            </v:textbox>
            <w10:wrap type="topAndBottom"/>
          </v:shape>
        </w:pict>
      </w:r>
      <w:r>
        <w:rPr/>
        <w:pict>
          <v:shape style="position:absolute;margin-left:116.227097pt;margin-top:74.226120pt;width:441pt;height:30.1pt;mso-position-horizontal-relative:page;mso-position-vertical-relative:paragraph;z-index:6640;mso-wrap-distance-left:0;mso-wrap-distance-right:0" type="#_x0000_t202" filled="false" stroked="true" strokeweight=".75pt" strokecolor="#000000">
            <v:textbox inset="0,0,0,0">
              <w:txbxContent>
                <w:p>
                  <w:pPr>
                    <w:spacing w:line="252" w:lineRule="auto" w:before="73"/>
                    <w:ind w:left="141" w:right="0" w:firstLine="0"/>
                    <w:jc w:val="left"/>
                    <w:rPr>
                      <w:rFonts w:ascii="Arial" w:hAnsi="Arial"/>
                      <w:sz w:val="19"/>
                    </w:rPr>
                  </w:pPr>
                  <w:r>
                    <w:rPr>
                      <w:rFonts w:ascii="Arial" w:hAnsi="Arial"/>
                      <w:w w:val="105"/>
                      <w:sz w:val="19"/>
                    </w:rPr>
                    <w:t>Tenían un integrante que durante los últimos 5 años se fue a trabajar a los Estados Unidos y ahora no radica en el hogar</w:t>
                  </w:r>
                </w:p>
              </w:txbxContent>
            </v:textbox>
            <w10:wrap type="topAndBottom"/>
          </v:shape>
        </w:pict>
      </w:r>
    </w:p>
    <w:p>
      <w:pPr>
        <w:pStyle w:val="BodyText"/>
        <w:spacing w:before="5"/>
        <w:rPr>
          <w:rFonts w:ascii="Arial"/>
          <w:sz w:val="8"/>
        </w:rPr>
      </w:pPr>
    </w:p>
    <w:p>
      <w:pPr>
        <w:pStyle w:val="BodyText"/>
        <w:spacing w:before="9"/>
        <w:rPr>
          <w:rFonts w:ascii="Arial"/>
          <w:sz w:val="10"/>
        </w:rPr>
      </w:pPr>
    </w:p>
    <w:p>
      <w:pPr>
        <w:spacing w:before="73"/>
        <w:ind w:left="473" w:right="0" w:firstLine="0"/>
        <w:jc w:val="left"/>
        <w:rPr>
          <w:sz w:val="17"/>
        </w:rPr>
      </w:pPr>
      <w:r>
        <w:rPr>
          <w:color w:val="231F20"/>
          <w:sz w:val="17"/>
        </w:rPr>
        <w:t>Fuente: elaboración propia.</w:t>
      </w:r>
    </w:p>
    <w:p>
      <w:pPr>
        <w:spacing w:after="0"/>
        <w:jc w:val="left"/>
        <w:rPr>
          <w:sz w:val="17"/>
        </w:rPr>
        <w:sectPr>
          <w:footerReference w:type="default" r:id="rId192"/>
          <w:pgSz w:w="13040" w:h="9360" w:orient="landscape"/>
          <w:pgMar w:footer="0" w:header="0" w:top="0" w:bottom="280" w:left="1840" w:right="1780"/>
        </w:sectPr>
      </w:pPr>
    </w:p>
    <w:p>
      <w:pPr>
        <w:tabs>
          <w:tab w:pos="5536" w:val="left" w:leader="none"/>
        </w:tabs>
        <w:spacing w:before="51"/>
        <w:ind w:left="128" w:right="117" w:firstLine="0"/>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5"/>
        <w:rPr>
          <w:sz w:val="24"/>
        </w:rPr>
      </w:pPr>
    </w:p>
    <w:p>
      <w:pPr>
        <w:spacing w:line="252" w:lineRule="auto" w:before="0"/>
        <w:ind w:left="224" w:right="377" w:firstLine="0"/>
        <w:jc w:val="left"/>
        <w:rPr>
          <w:sz w:val="19"/>
        </w:rPr>
      </w:pPr>
      <w:r>
        <w:rPr>
          <w:w w:val="105"/>
          <w:sz w:val="19"/>
        </w:rPr>
        <w:t>Cuadro 1. Variables sociodemográficas seleccionadas, según personas migrantes y no migrantes, Estado de México, 2009</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27"/>
        <w:gridCol w:w="1678"/>
        <w:gridCol w:w="1158"/>
        <w:gridCol w:w="1357"/>
      </w:tblGrid>
      <w:tr>
        <w:trPr>
          <w:trHeight w:val="250" w:hRule="exact"/>
        </w:trPr>
        <w:tc>
          <w:tcPr>
            <w:tcW w:w="2327" w:type="dxa"/>
            <w:tcBorders>
              <w:left w:val="nil"/>
              <w:bottom w:val="double" w:sz="4" w:space="0" w:color="000000"/>
              <w:right w:val="nil"/>
            </w:tcBorders>
          </w:tcPr>
          <w:p>
            <w:pPr>
              <w:pStyle w:val="TableParagraph"/>
              <w:spacing w:before="5"/>
              <w:ind w:left="106"/>
              <w:jc w:val="left"/>
              <w:rPr>
                <w:sz w:val="19"/>
              </w:rPr>
            </w:pPr>
            <w:r>
              <w:rPr>
                <w:w w:val="105"/>
                <w:sz w:val="19"/>
              </w:rPr>
              <w:t>Perfil sociodemográfico</w:t>
            </w:r>
          </w:p>
        </w:tc>
        <w:tc>
          <w:tcPr>
            <w:tcW w:w="1678" w:type="dxa"/>
            <w:tcBorders>
              <w:left w:val="nil"/>
              <w:bottom w:val="double" w:sz="4" w:space="0" w:color="000000"/>
              <w:right w:val="nil"/>
            </w:tcBorders>
          </w:tcPr>
          <w:p>
            <w:pPr>
              <w:pStyle w:val="TableParagraph"/>
              <w:spacing w:before="5"/>
              <w:ind w:right="177"/>
              <w:rPr>
                <w:sz w:val="19"/>
              </w:rPr>
            </w:pPr>
            <w:r>
              <w:rPr>
                <w:w w:val="105"/>
                <w:sz w:val="19"/>
              </w:rPr>
              <w:t>Población total</w:t>
            </w:r>
          </w:p>
        </w:tc>
        <w:tc>
          <w:tcPr>
            <w:tcW w:w="1158" w:type="dxa"/>
            <w:tcBorders>
              <w:left w:val="nil"/>
              <w:bottom w:val="double" w:sz="4" w:space="0" w:color="000000"/>
              <w:right w:val="nil"/>
            </w:tcBorders>
          </w:tcPr>
          <w:p>
            <w:pPr>
              <w:pStyle w:val="TableParagraph"/>
              <w:spacing w:before="5"/>
              <w:ind w:right="168"/>
              <w:rPr>
                <w:sz w:val="19"/>
              </w:rPr>
            </w:pPr>
            <w:r>
              <w:rPr>
                <w:sz w:val="19"/>
              </w:rPr>
              <w:t>Migrantes</w:t>
            </w:r>
          </w:p>
        </w:tc>
        <w:tc>
          <w:tcPr>
            <w:tcW w:w="1357" w:type="dxa"/>
            <w:tcBorders>
              <w:left w:val="nil"/>
              <w:bottom w:val="double" w:sz="4" w:space="0" w:color="000000"/>
              <w:right w:val="nil"/>
            </w:tcBorders>
          </w:tcPr>
          <w:p>
            <w:pPr>
              <w:pStyle w:val="TableParagraph"/>
              <w:spacing w:before="5"/>
              <w:ind w:right="103"/>
              <w:rPr>
                <w:sz w:val="19"/>
              </w:rPr>
            </w:pPr>
            <w:r>
              <w:rPr>
                <w:w w:val="105"/>
                <w:sz w:val="19"/>
              </w:rPr>
              <w:t>No migrantes</w:t>
            </w:r>
          </w:p>
        </w:tc>
      </w:tr>
      <w:tr>
        <w:trPr>
          <w:trHeight w:val="252" w:hRule="exact"/>
        </w:trPr>
        <w:tc>
          <w:tcPr>
            <w:tcW w:w="2327" w:type="dxa"/>
            <w:tcBorders>
              <w:top w:val="double" w:sz="4" w:space="0" w:color="000000"/>
              <w:left w:val="nil"/>
              <w:bottom w:val="nil"/>
              <w:right w:val="nil"/>
            </w:tcBorders>
          </w:tcPr>
          <w:p>
            <w:pPr>
              <w:pStyle w:val="TableParagraph"/>
              <w:spacing w:before="5"/>
              <w:ind w:left="106"/>
              <w:jc w:val="left"/>
              <w:rPr>
                <w:i/>
                <w:sz w:val="19"/>
              </w:rPr>
            </w:pPr>
            <w:r>
              <w:rPr>
                <w:i/>
                <w:w w:val="105"/>
                <w:sz w:val="19"/>
              </w:rPr>
              <w:t>Edad</w:t>
            </w:r>
          </w:p>
        </w:tc>
        <w:tc>
          <w:tcPr>
            <w:tcW w:w="1678" w:type="dxa"/>
            <w:tcBorders>
              <w:top w:val="double" w:sz="4" w:space="0" w:color="000000"/>
              <w:left w:val="nil"/>
              <w:bottom w:val="nil"/>
              <w:right w:val="nil"/>
            </w:tcBorders>
          </w:tcPr>
          <w:p>
            <w:pPr/>
          </w:p>
        </w:tc>
        <w:tc>
          <w:tcPr>
            <w:tcW w:w="1158" w:type="dxa"/>
            <w:tcBorders>
              <w:top w:val="double" w:sz="4" w:space="0" w:color="000000"/>
              <w:left w:val="nil"/>
              <w:bottom w:val="nil"/>
              <w:right w:val="nil"/>
            </w:tcBorders>
          </w:tcPr>
          <w:p>
            <w:pPr/>
          </w:p>
        </w:tc>
        <w:tc>
          <w:tcPr>
            <w:tcW w:w="1357" w:type="dxa"/>
            <w:tcBorders>
              <w:top w:val="double" w:sz="4" w:space="0" w:color="000000"/>
              <w:left w:val="nil"/>
              <w:bottom w:val="nil"/>
              <w:right w:val="nil"/>
            </w:tcBorders>
          </w:tcPr>
          <w:p>
            <w:pP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10-14 años</w:t>
            </w:r>
          </w:p>
        </w:tc>
        <w:tc>
          <w:tcPr>
            <w:tcW w:w="1678" w:type="dxa"/>
            <w:tcBorders>
              <w:top w:val="nil"/>
              <w:left w:val="nil"/>
              <w:bottom w:val="nil"/>
              <w:right w:val="nil"/>
            </w:tcBorders>
          </w:tcPr>
          <w:p>
            <w:pPr>
              <w:pStyle w:val="TableParagraph"/>
              <w:spacing w:line="216" w:lineRule="exact"/>
              <w:ind w:right="176"/>
              <w:rPr>
                <w:sz w:val="19"/>
              </w:rPr>
            </w:pPr>
            <w:r>
              <w:rPr>
                <w:sz w:val="19"/>
              </w:rPr>
              <w:t>6.8</w:t>
            </w:r>
          </w:p>
        </w:tc>
        <w:tc>
          <w:tcPr>
            <w:tcW w:w="1158" w:type="dxa"/>
            <w:tcBorders>
              <w:top w:val="nil"/>
              <w:left w:val="nil"/>
              <w:bottom w:val="nil"/>
              <w:right w:val="nil"/>
            </w:tcBorders>
          </w:tcPr>
          <w:p>
            <w:pPr>
              <w:pStyle w:val="TableParagraph"/>
              <w:spacing w:line="216" w:lineRule="exact"/>
              <w:ind w:right="166"/>
              <w:rPr>
                <w:sz w:val="19"/>
              </w:rPr>
            </w:pPr>
            <w:r>
              <w:rPr>
                <w:sz w:val="19"/>
              </w:rPr>
              <w:t>0.8</w:t>
            </w:r>
          </w:p>
        </w:tc>
        <w:tc>
          <w:tcPr>
            <w:tcW w:w="1357" w:type="dxa"/>
            <w:tcBorders>
              <w:top w:val="nil"/>
              <w:left w:val="nil"/>
              <w:bottom w:val="nil"/>
              <w:right w:val="nil"/>
            </w:tcBorders>
          </w:tcPr>
          <w:p>
            <w:pPr>
              <w:pStyle w:val="TableParagraph"/>
              <w:spacing w:line="216" w:lineRule="exact"/>
              <w:ind w:right="103"/>
              <w:rPr>
                <w:sz w:val="19"/>
              </w:rPr>
            </w:pPr>
            <w:r>
              <w:rPr>
                <w:sz w:val="19"/>
              </w:rPr>
              <w:t>7.0</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15-19 años</w:t>
            </w:r>
          </w:p>
        </w:tc>
        <w:tc>
          <w:tcPr>
            <w:tcW w:w="1678" w:type="dxa"/>
            <w:tcBorders>
              <w:top w:val="nil"/>
              <w:left w:val="nil"/>
              <w:bottom w:val="nil"/>
              <w:right w:val="nil"/>
            </w:tcBorders>
          </w:tcPr>
          <w:p>
            <w:pPr>
              <w:pStyle w:val="TableParagraph"/>
              <w:spacing w:line="216" w:lineRule="exact"/>
              <w:ind w:right="177"/>
              <w:rPr>
                <w:sz w:val="19"/>
              </w:rPr>
            </w:pPr>
            <w:r>
              <w:rPr>
                <w:sz w:val="19"/>
              </w:rPr>
              <w:t>13.0</w:t>
            </w:r>
          </w:p>
        </w:tc>
        <w:tc>
          <w:tcPr>
            <w:tcW w:w="1158" w:type="dxa"/>
            <w:tcBorders>
              <w:top w:val="nil"/>
              <w:left w:val="nil"/>
              <w:bottom w:val="nil"/>
              <w:right w:val="nil"/>
            </w:tcBorders>
          </w:tcPr>
          <w:p>
            <w:pPr>
              <w:pStyle w:val="TableParagraph"/>
              <w:spacing w:line="216" w:lineRule="exact"/>
              <w:ind w:right="166"/>
              <w:rPr>
                <w:sz w:val="19"/>
              </w:rPr>
            </w:pPr>
            <w:r>
              <w:rPr>
                <w:sz w:val="19"/>
              </w:rPr>
              <w:t>2.5</w:t>
            </w:r>
          </w:p>
        </w:tc>
        <w:tc>
          <w:tcPr>
            <w:tcW w:w="1357" w:type="dxa"/>
            <w:tcBorders>
              <w:top w:val="nil"/>
              <w:left w:val="nil"/>
              <w:bottom w:val="nil"/>
              <w:right w:val="nil"/>
            </w:tcBorders>
          </w:tcPr>
          <w:p>
            <w:pPr>
              <w:pStyle w:val="TableParagraph"/>
              <w:spacing w:line="216" w:lineRule="exact"/>
              <w:ind w:right="103"/>
              <w:rPr>
                <w:sz w:val="19"/>
              </w:rPr>
            </w:pPr>
            <w:r>
              <w:rPr>
                <w:sz w:val="19"/>
              </w:rPr>
              <w:t>14.0</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20-24 años</w:t>
            </w:r>
          </w:p>
        </w:tc>
        <w:tc>
          <w:tcPr>
            <w:tcW w:w="1678" w:type="dxa"/>
            <w:tcBorders>
              <w:top w:val="nil"/>
              <w:left w:val="nil"/>
              <w:bottom w:val="nil"/>
              <w:right w:val="nil"/>
            </w:tcBorders>
          </w:tcPr>
          <w:p>
            <w:pPr>
              <w:pStyle w:val="TableParagraph"/>
              <w:spacing w:line="216" w:lineRule="exact"/>
              <w:ind w:right="177"/>
              <w:rPr>
                <w:sz w:val="19"/>
              </w:rPr>
            </w:pPr>
            <w:r>
              <w:rPr>
                <w:sz w:val="19"/>
              </w:rPr>
              <w:t>13.0</w:t>
            </w:r>
          </w:p>
        </w:tc>
        <w:tc>
          <w:tcPr>
            <w:tcW w:w="1158" w:type="dxa"/>
            <w:tcBorders>
              <w:top w:val="nil"/>
              <w:left w:val="nil"/>
              <w:bottom w:val="nil"/>
              <w:right w:val="nil"/>
            </w:tcBorders>
          </w:tcPr>
          <w:p>
            <w:pPr>
              <w:pStyle w:val="TableParagraph"/>
              <w:spacing w:line="216" w:lineRule="exact"/>
              <w:ind w:right="167"/>
              <w:rPr>
                <w:sz w:val="19"/>
              </w:rPr>
            </w:pPr>
            <w:r>
              <w:rPr>
                <w:sz w:val="19"/>
              </w:rPr>
              <w:t>11.0</w:t>
            </w:r>
          </w:p>
        </w:tc>
        <w:tc>
          <w:tcPr>
            <w:tcW w:w="1357" w:type="dxa"/>
            <w:tcBorders>
              <w:top w:val="nil"/>
              <w:left w:val="nil"/>
              <w:bottom w:val="nil"/>
              <w:right w:val="nil"/>
            </w:tcBorders>
          </w:tcPr>
          <w:p>
            <w:pPr>
              <w:pStyle w:val="TableParagraph"/>
              <w:spacing w:line="216" w:lineRule="exact"/>
              <w:ind w:right="104"/>
              <w:rPr>
                <w:sz w:val="19"/>
              </w:rPr>
            </w:pPr>
            <w:r>
              <w:rPr>
                <w:sz w:val="19"/>
              </w:rPr>
              <w:t>12.7</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25-29 años</w:t>
            </w:r>
          </w:p>
        </w:tc>
        <w:tc>
          <w:tcPr>
            <w:tcW w:w="1678" w:type="dxa"/>
            <w:tcBorders>
              <w:top w:val="nil"/>
              <w:left w:val="nil"/>
              <w:bottom w:val="nil"/>
              <w:right w:val="nil"/>
            </w:tcBorders>
          </w:tcPr>
          <w:p>
            <w:pPr>
              <w:pStyle w:val="TableParagraph"/>
              <w:spacing w:line="216" w:lineRule="exact"/>
              <w:ind w:right="177"/>
              <w:rPr>
                <w:sz w:val="19"/>
              </w:rPr>
            </w:pPr>
            <w:r>
              <w:rPr>
                <w:sz w:val="19"/>
              </w:rPr>
              <w:t>12.0</w:t>
            </w:r>
          </w:p>
        </w:tc>
        <w:tc>
          <w:tcPr>
            <w:tcW w:w="1158" w:type="dxa"/>
            <w:tcBorders>
              <w:top w:val="nil"/>
              <w:left w:val="nil"/>
              <w:bottom w:val="nil"/>
              <w:right w:val="nil"/>
            </w:tcBorders>
          </w:tcPr>
          <w:p>
            <w:pPr>
              <w:pStyle w:val="TableParagraph"/>
              <w:spacing w:line="216" w:lineRule="exact"/>
              <w:ind w:right="167"/>
              <w:rPr>
                <w:sz w:val="19"/>
              </w:rPr>
            </w:pPr>
            <w:r>
              <w:rPr>
                <w:sz w:val="19"/>
              </w:rPr>
              <w:t>17.5</w:t>
            </w:r>
          </w:p>
        </w:tc>
        <w:tc>
          <w:tcPr>
            <w:tcW w:w="1357" w:type="dxa"/>
            <w:tcBorders>
              <w:top w:val="nil"/>
              <w:left w:val="nil"/>
              <w:bottom w:val="nil"/>
              <w:right w:val="nil"/>
            </w:tcBorders>
          </w:tcPr>
          <w:p>
            <w:pPr>
              <w:pStyle w:val="TableParagraph"/>
              <w:spacing w:line="216" w:lineRule="exact"/>
              <w:ind w:right="104"/>
              <w:rPr>
                <w:sz w:val="19"/>
              </w:rPr>
            </w:pPr>
            <w:r>
              <w:rPr>
                <w:sz w:val="19"/>
              </w:rPr>
              <w:t>11.7</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30-34 años</w:t>
            </w:r>
          </w:p>
        </w:tc>
        <w:tc>
          <w:tcPr>
            <w:tcW w:w="1678" w:type="dxa"/>
            <w:tcBorders>
              <w:top w:val="nil"/>
              <w:left w:val="nil"/>
              <w:bottom w:val="nil"/>
              <w:right w:val="nil"/>
            </w:tcBorders>
          </w:tcPr>
          <w:p>
            <w:pPr>
              <w:pStyle w:val="TableParagraph"/>
              <w:spacing w:line="216" w:lineRule="exact"/>
              <w:ind w:right="176"/>
              <w:rPr>
                <w:sz w:val="19"/>
              </w:rPr>
            </w:pPr>
            <w:r>
              <w:rPr>
                <w:sz w:val="19"/>
              </w:rPr>
              <w:t>8.0</w:t>
            </w:r>
          </w:p>
        </w:tc>
        <w:tc>
          <w:tcPr>
            <w:tcW w:w="1158" w:type="dxa"/>
            <w:tcBorders>
              <w:top w:val="nil"/>
              <w:left w:val="nil"/>
              <w:bottom w:val="nil"/>
              <w:right w:val="nil"/>
            </w:tcBorders>
          </w:tcPr>
          <w:p>
            <w:pPr>
              <w:pStyle w:val="TableParagraph"/>
              <w:spacing w:line="216" w:lineRule="exact"/>
              <w:ind w:right="168"/>
              <w:rPr>
                <w:sz w:val="19"/>
              </w:rPr>
            </w:pPr>
            <w:r>
              <w:rPr>
                <w:sz w:val="19"/>
              </w:rPr>
              <w:t>17.0</w:t>
            </w:r>
          </w:p>
        </w:tc>
        <w:tc>
          <w:tcPr>
            <w:tcW w:w="1357" w:type="dxa"/>
            <w:tcBorders>
              <w:top w:val="nil"/>
              <w:left w:val="nil"/>
              <w:bottom w:val="nil"/>
              <w:right w:val="nil"/>
            </w:tcBorders>
          </w:tcPr>
          <w:p>
            <w:pPr>
              <w:pStyle w:val="TableParagraph"/>
              <w:spacing w:line="216" w:lineRule="exact"/>
              <w:ind w:right="103"/>
              <w:rPr>
                <w:sz w:val="19"/>
              </w:rPr>
            </w:pPr>
            <w:r>
              <w:rPr>
                <w:sz w:val="19"/>
              </w:rPr>
              <w:t>7.8</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35-39 años</w:t>
            </w:r>
          </w:p>
        </w:tc>
        <w:tc>
          <w:tcPr>
            <w:tcW w:w="1678" w:type="dxa"/>
            <w:tcBorders>
              <w:top w:val="nil"/>
              <w:left w:val="nil"/>
              <w:bottom w:val="nil"/>
              <w:right w:val="nil"/>
            </w:tcBorders>
          </w:tcPr>
          <w:p>
            <w:pPr>
              <w:pStyle w:val="TableParagraph"/>
              <w:spacing w:line="216" w:lineRule="exact"/>
              <w:ind w:right="178"/>
              <w:rPr>
                <w:sz w:val="19"/>
              </w:rPr>
            </w:pPr>
            <w:r>
              <w:rPr>
                <w:sz w:val="19"/>
              </w:rPr>
              <w:t>10.0</w:t>
            </w:r>
          </w:p>
        </w:tc>
        <w:tc>
          <w:tcPr>
            <w:tcW w:w="1158" w:type="dxa"/>
            <w:tcBorders>
              <w:top w:val="nil"/>
              <w:left w:val="nil"/>
              <w:bottom w:val="nil"/>
              <w:right w:val="nil"/>
            </w:tcBorders>
          </w:tcPr>
          <w:p>
            <w:pPr>
              <w:pStyle w:val="TableParagraph"/>
              <w:spacing w:line="216" w:lineRule="exact"/>
              <w:ind w:right="168"/>
              <w:rPr>
                <w:sz w:val="19"/>
              </w:rPr>
            </w:pPr>
            <w:r>
              <w:rPr>
                <w:sz w:val="19"/>
              </w:rPr>
              <w:t>11.0</w:t>
            </w:r>
          </w:p>
        </w:tc>
        <w:tc>
          <w:tcPr>
            <w:tcW w:w="1357" w:type="dxa"/>
            <w:tcBorders>
              <w:top w:val="nil"/>
              <w:left w:val="nil"/>
              <w:bottom w:val="nil"/>
              <w:right w:val="nil"/>
            </w:tcBorders>
          </w:tcPr>
          <w:p>
            <w:pPr>
              <w:pStyle w:val="TableParagraph"/>
              <w:spacing w:line="216" w:lineRule="exact"/>
              <w:ind w:right="103"/>
              <w:rPr>
                <w:sz w:val="19"/>
              </w:rPr>
            </w:pPr>
            <w:r>
              <w:rPr>
                <w:sz w:val="19"/>
              </w:rPr>
              <w:t>9.5</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40-44 años</w:t>
            </w:r>
          </w:p>
        </w:tc>
        <w:tc>
          <w:tcPr>
            <w:tcW w:w="1678" w:type="dxa"/>
            <w:tcBorders>
              <w:top w:val="nil"/>
              <w:left w:val="nil"/>
              <w:bottom w:val="nil"/>
              <w:right w:val="nil"/>
            </w:tcBorders>
          </w:tcPr>
          <w:p>
            <w:pPr>
              <w:pStyle w:val="TableParagraph"/>
              <w:spacing w:line="216" w:lineRule="exact"/>
              <w:ind w:right="176"/>
              <w:rPr>
                <w:sz w:val="19"/>
              </w:rPr>
            </w:pPr>
            <w:r>
              <w:rPr>
                <w:sz w:val="19"/>
              </w:rPr>
              <w:t>7.5</w:t>
            </w:r>
          </w:p>
        </w:tc>
        <w:tc>
          <w:tcPr>
            <w:tcW w:w="1158" w:type="dxa"/>
            <w:tcBorders>
              <w:top w:val="nil"/>
              <w:left w:val="nil"/>
              <w:bottom w:val="nil"/>
              <w:right w:val="nil"/>
            </w:tcBorders>
          </w:tcPr>
          <w:p>
            <w:pPr>
              <w:pStyle w:val="TableParagraph"/>
              <w:spacing w:line="216" w:lineRule="exact"/>
              <w:ind w:right="166"/>
              <w:rPr>
                <w:sz w:val="19"/>
              </w:rPr>
            </w:pPr>
            <w:r>
              <w:rPr>
                <w:sz w:val="19"/>
              </w:rPr>
              <w:t>8.3</w:t>
            </w:r>
          </w:p>
        </w:tc>
        <w:tc>
          <w:tcPr>
            <w:tcW w:w="1357" w:type="dxa"/>
            <w:tcBorders>
              <w:top w:val="nil"/>
              <w:left w:val="nil"/>
              <w:bottom w:val="nil"/>
              <w:right w:val="nil"/>
            </w:tcBorders>
          </w:tcPr>
          <w:p>
            <w:pPr>
              <w:pStyle w:val="TableParagraph"/>
              <w:spacing w:line="216" w:lineRule="exact"/>
              <w:ind w:right="103"/>
              <w:rPr>
                <w:sz w:val="19"/>
              </w:rPr>
            </w:pPr>
            <w:r>
              <w:rPr>
                <w:sz w:val="19"/>
              </w:rPr>
              <w:t>7.5</w:t>
            </w:r>
          </w:p>
        </w:tc>
      </w:tr>
      <w:tr>
        <w:trPr>
          <w:trHeight w:val="228"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45-49 años</w:t>
            </w:r>
          </w:p>
        </w:tc>
        <w:tc>
          <w:tcPr>
            <w:tcW w:w="1678" w:type="dxa"/>
            <w:tcBorders>
              <w:top w:val="nil"/>
              <w:left w:val="nil"/>
              <w:bottom w:val="nil"/>
              <w:right w:val="nil"/>
            </w:tcBorders>
          </w:tcPr>
          <w:p>
            <w:pPr>
              <w:pStyle w:val="TableParagraph"/>
              <w:spacing w:line="216" w:lineRule="exact"/>
              <w:ind w:right="176"/>
              <w:rPr>
                <w:sz w:val="19"/>
              </w:rPr>
            </w:pPr>
            <w:r>
              <w:rPr>
                <w:sz w:val="19"/>
              </w:rPr>
              <w:t>6.3</w:t>
            </w:r>
          </w:p>
        </w:tc>
        <w:tc>
          <w:tcPr>
            <w:tcW w:w="1158" w:type="dxa"/>
            <w:tcBorders>
              <w:top w:val="nil"/>
              <w:left w:val="nil"/>
              <w:bottom w:val="nil"/>
              <w:right w:val="nil"/>
            </w:tcBorders>
          </w:tcPr>
          <w:p>
            <w:pPr>
              <w:pStyle w:val="TableParagraph"/>
              <w:spacing w:line="216" w:lineRule="exact"/>
              <w:ind w:right="168"/>
              <w:rPr>
                <w:sz w:val="19"/>
              </w:rPr>
            </w:pPr>
            <w:r>
              <w:rPr>
                <w:sz w:val="19"/>
              </w:rPr>
              <w:t>13.0</w:t>
            </w:r>
          </w:p>
        </w:tc>
        <w:tc>
          <w:tcPr>
            <w:tcW w:w="1357" w:type="dxa"/>
            <w:tcBorders>
              <w:top w:val="nil"/>
              <w:left w:val="nil"/>
              <w:bottom w:val="nil"/>
              <w:right w:val="nil"/>
            </w:tcBorders>
          </w:tcPr>
          <w:p>
            <w:pPr>
              <w:pStyle w:val="TableParagraph"/>
              <w:spacing w:line="216" w:lineRule="exact"/>
              <w:ind w:right="103"/>
              <w:rPr>
                <w:sz w:val="19"/>
              </w:rPr>
            </w:pPr>
            <w:r>
              <w:rPr>
                <w:sz w:val="19"/>
              </w:rPr>
              <w:t>6.1</w:t>
            </w:r>
          </w:p>
        </w:tc>
      </w:tr>
      <w:tr>
        <w:trPr>
          <w:trHeight w:val="228" w:hRule="exact"/>
        </w:trPr>
        <w:tc>
          <w:tcPr>
            <w:tcW w:w="2327" w:type="dxa"/>
            <w:tcBorders>
              <w:top w:val="nil"/>
              <w:left w:val="nil"/>
              <w:bottom w:val="nil"/>
              <w:right w:val="nil"/>
            </w:tcBorders>
          </w:tcPr>
          <w:p>
            <w:pPr>
              <w:pStyle w:val="TableParagraph"/>
              <w:spacing w:line="214" w:lineRule="exact"/>
              <w:ind w:left="106"/>
              <w:jc w:val="left"/>
              <w:rPr>
                <w:sz w:val="19"/>
              </w:rPr>
            </w:pPr>
            <w:r>
              <w:rPr>
                <w:w w:val="105"/>
                <w:sz w:val="19"/>
              </w:rPr>
              <w:t>50-54 años</w:t>
            </w:r>
          </w:p>
        </w:tc>
        <w:tc>
          <w:tcPr>
            <w:tcW w:w="1678" w:type="dxa"/>
            <w:tcBorders>
              <w:top w:val="nil"/>
              <w:left w:val="nil"/>
              <w:bottom w:val="nil"/>
              <w:right w:val="nil"/>
            </w:tcBorders>
          </w:tcPr>
          <w:p>
            <w:pPr>
              <w:pStyle w:val="TableParagraph"/>
              <w:spacing w:line="214" w:lineRule="exact"/>
              <w:ind w:right="178"/>
              <w:rPr>
                <w:sz w:val="19"/>
              </w:rPr>
            </w:pPr>
            <w:r>
              <w:rPr>
                <w:sz w:val="19"/>
              </w:rPr>
              <w:t>5.9</w:t>
            </w:r>
          </w:p>
        </w:tc>
        <w:tc>
          <w:tcPr>
            <w:tcW w:w="1158" w:type="dxa"/>
            <w:tcBorders>
              <w:top w:val="nil"/>
              <w:left w:val="nil"/>
              <w:bottom w:val="nil"/>
              <w:right w:val="nil"/>
            </w:tcBorders>
          </w:tcPr>
          <w:p>
            <w:pPr>
              <w:pStyle w:val="TableParagraph"/>
              <w:spacing w:line="214" w:lineRule="exact"/>
              <w:ind w:right="168"/>
              <w:rPr>
                <w:sz w:val="19"/>
              </w:rPr>
            </w:pPr>
            <w:r>
              <w:rPr>
                <w:sz w:val="19"/>
              </w:rPr>
              <w:t>5.0</w:t>
            </w:r>
          </w:p>
        </w:tc>
        <w:tc>
          <w:tcPr>
            <w:tcW w:w="1357" w:type="dxa"/>
            <w:tcBorders>
              <w:top w:val="nil"/>
              <w:left w:val="nil"/>
              <w:bottom w:val="nil"/>
              <w:right w:val="nil"/>
            </w:tcBorders>
          </w:tcPr>
          <w:p>
            <w:pPr>
              <w:pStyle w:val="TableParagraph"/>
              <w:spacing w:line="214" w:lineRule="exact"/>
              <w:ind w:right="103"/>
              <w:rPr>
                <w:sz w:val="19"/>
              </w:rPr>
            </w:pPr>
            <w:r>
              <w:rPr>
                <w:sz w:val="19"/>
              </w:rPr>
              <w:t>6.0</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55-59 años</w:t>
            </w:r>
          </w:p>
        </w:tc>
        <w:tc>
          <w:tcPr>
            <w:tcW w:w="1678" w:type="dxa"/>
            <w:tcBorders>
              <w:top w:val="nil"/>
              <w:left w:val="nil"/>
              <w:bottom w:val="nil"/>
              <w:right w:val="nil"/>
            </w:tcBorders>
          </w:tcPr>
          <w:p>
            <w:pPr>
              <w:pStyle w:val="TableParagraph"/>
              <w:spacing w:line="216" w:lineRule="exact"/>
              <w:ind w:right="176"/>
              <w:rPr>
                <w:sz w:val="19"/>
              </w:rPr>
            </w:pPr>
            <w:r>
              <w:rPr>
                <w:sz w:val="19"/>
              </w:rPr>
              <w:t>5.7</w:t>
            </w:r>
          </w:p>
        </w:tc>
        <w:tc>
          <w:tcPr>
            <w:tcW w:w="1158" w:type="dxa"/>
            <w:tcBorders>
              <w:top w:val="nil"/>
              <w:left w:val="nil"/>
              <w:bottom w:val="nil"/>
              <w:right w:val="nil"/>
            </w:tcBorders>
          </w:tcPr>
          <w:p>
            <w:pPr>
              <w:pStyle w:val="TableParagraph"/>
              <w:spacing w:line="216" w:lineRule="exact"/>
              <w:ind w:right="166"/>
              <w:rPr>
                <w:sz w:val="19"/>
              </w:rPr>
            </w:pPr>
            <w:r>
              <w:rPr>
                <w:sz w:val="19"/>
              </w:rPr>
              <w:t>4.3</w:t>
            </w:r>
          </w:p>
        </w:tc>
        <w:tc>
          <w:tcPr>
            <w:tcW w:w="1357" w:type="dxa"/>
            <w:tcBorders>
              <w:top w:val="nil"/>
              <w:left w:val="nil"/>
              <w:bottom w:val="nil"/>
              <w:right w:val="nil"/>
            </w:tcBorders>
          </w:tcPr>
          <w:p>
            <w:pPr>
              <w:pStyle w:val="TableParagraph"/>
              <w:spacing w:line="216" w:lineRule="exact"/>
              <w:ind w:right="103"/>
              <w:rPr>
                <w:sz w:val="19"/>
              </w:rPr>
            </w:pPr>
            <w:r>
              <w:rPr>
                <w:sz w:val="19"/>
              </w:rPr>
              <w:t>5.7</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60 y más años</w:t>
            </w:r>
          </w:p>
        </w:tc>
        <w:tc>
          <w:tcPr>
            <w:tcW w:w="1678" w:type="dxa"/>
            <w:tcBorders>
              <w:top w:val="nil"/>
              <w:left w:val="nil"/>
              <w:bottom w:val="nil"/>
              <w:right w:val="nil"/>
            </w:tcBorders>
          </w:tcPr>
          <w:p>
            <w:pPr>
              <w:pStyle w:val="TableParagraph"/>
              <w:spacing w:line="216" w:lineRule="exact"/>
              <w:ind w:right="177"/>
              <w:rPr>
                <w:sz w:val="19"/>
              </w:rPr>
            </w:pPr>
            <w:r>
              <w:rPr>
                <w:sz w:val="19"/>
              </w:rPr>
              <w:t>11.8</w:t>
            </w:r>
          </w:p>
        </w:tc>
        <w:tc>
          <w:tcPr>
            <w:tcW w:w="1158" w:type="dxa"/>
            <w:tcBorders>
              <w:top w:val="nil"/>
              <w:left w:val="nil"/>
              <w:bottom w:val="nil"/>
              <w:right w:val="nil"/>
            </w:tcBorders>
          </w:tcPr>
          <w:p>
            <w:pPr>
              <w:pStyle w:val="TableParagraph"/>
              <w:spacing w:line="216" w:lineRule="exact"/>
              <w:ind w:right="168"/>
              <w:rPr>
                <w:sz w:val="19"/>
              </w:rPr>
            </w:pPr>
            <w:r>
              <w:rPr>
                <w:sz w:val="19"/>
              </w:rPr>
              <w:t>9.5</w:t>
            </w:r>
          </w:p>
        </w:tc>
        <w:tc>
          <w:tcPr>
            <w:tcW w:w="1357" w:type="dxa"/>
            <w:tcBorders>
              <w:top w:val="nil"/>
              <w:left w:val="nil"/>
              <w:bottom w:val="nil"/>
              <w:right w:val="nil"/>
            </w:tcBorders>
          </w:tcPr>
          <w:p>
            <w:pPr>
              <w:pStyle w:val="TableParagraph"/>
              <w:spacing w:line="216" w:lineRule="exact"/>
              <w:ind w:right="103"/>
              <w:rPr>
                <w:sz w:val="19"/>
              </w:rPr>
            </w:pPr>
            <w:r>
              <w:rPr>
                <w:sz w:val="19"/>
              </w:rPr>
              <w:t>12.0</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i/>
                <w:sz w:val="19"/>
              </w:rPr>
            </w:pPr>
            <w:r>
              <w:rPr>
                <w:i/>
                <w:w w:val="105"/>
                <w:sz w:val="19"/>
              </w:rPr>
              <w:t>Escolaridad</w:t>
            </w:r>
          </w:p>
        </w:tc>
        <w:tc>
          <w:tcPr>
            <w:tcW w:w="1678" w:type="dxa"/>
            <w:tcBorders>
              <w:top w:val="nil"/>
              <w:left w:val="nil"/>
              <w:bottom w:val="nil"/>
              <w:right w:val="nil"/>
            </w:tcBorders>
          </w:tcPr>
          <w:p>
            <w:pPr/>
          </w:p>
        </w:tc>
        <w:tc>
          <w:tcPr>
            <w:tcW w:w="1158" w:type="dxa"/>
            <w:tcBorders>
              <w:top w:val="nil"/>
              <w:left w:val="nil"/>
              <w:bottom w:val="nil"/>
              <w:right w:val="nil"/>
            </w:tcBorders>
          </w:tcPr>
          <w:p>
            <w:pPr/>
          </w:p>
        </w:tc>
        <w:tc>
          <w:tcPr>
            <w:tcW w:w="1357" w:type="dxa"/>
            <w:tcBorders>
              <w:top w:val="nil"/>
              <w:left w:val="nil"/>
              <w:bottom w:val="nil"/>
              <w:right w:val="nil"/>
            </w:tcBorders>
          </w:tcPr>
          <w:p>
            <w:pP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Ninguna</w:t>
            </w:r>
          </w:p>
        </w:tc>
        <w:tc>
          <w:tcPr>
            <w:tcW w:w="1678" w:type="dxa"/>
            <w:tcBorders>
              <w:top w:val="nil"/>
              <w:left w:val="nil"/>
              <w:bottom w:val="nil"/>
              <w:right w:val="nil"/>
            </w:tcBorders>
          </w:tcPr>
          <w:p>
            <w:pPr>
              <w:pStyle w:val="TableParagraph"/>
              <w:spacing w:line="216" w:lineRule="exact"/>
              <w:ind w:right="176"/>
              <w:rPr>
                <w:sz w:val="19"/>
              </w:rPr>
            </w:pPr>
            <w:r>
              <w:rPr>
                <w:sz w:val="19"/>
              </w:rPr>
              <w:t>1.3</w:t>
            </w:r>
          </w:p>
        </w:tc>
        <w:tc>
          <w:tcPr>
            <w:tcW w:w="1158" w:type="dxa"/>
            <w:tcBorders>
              <w:top w:val="nil"/>
              <w:left w:val="nil"/>
              <w:bottom w:val="nil"/>
              <w:right w:val="nil"/>
            </w:tcBorders>
          </w:tcPr>
          <w:p>
            <w:pPr>
              <w:pStyle w:val="TableParagraph"/>
              <w:spacing w:line="216" w:lineRule="exact"/>
              <w:ind w:right="166"/>
              <w:rPr>
                <w:sz w:val="19"/>
              </w:rPr>
            </w:pPr>
            <w:r>
              <w:rPr>
                <w:sz w:val="19"/>
              </w:rPr>
              <w:t>0.4</w:t>
            </w:r>
          </w:p>
        </w:tc>
        <w:tc>
          <w:tcPr>
            <w:tcW w:w="1357" w:type="dxa"/>
            <w:tcBorders>
              <w:top w:val="nil"/>
              <w:left w:val="nil"/>
              <w:bottom w:val="nil"/>
              <w:right w:val="nil"/>
            </w:tcBorders>
          </w:tcPr>
          <w:p>
            <w:pPr>
              <w:pStyle w:val="TableParagraph"/>
              <w:spacing w:line="216" w:lineRule="exact"/>
              <w:ind w:right="103"/>
              <w:rPr>
                <w:sz w:val="19"/>
              </w:rPr>
            </w:pPr>
            <w:r>
              <w:rPr>
                <w:sz w:val="19"/>
              </w:rPr>
              <w:t>1.4</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Primaria</w:t>
            </w:r>
          </w:p>
        </w:tc>
        <w:tc>
          <w:tcPr>
            <w:tcW w:w="1678" w:type="dxa"/>
            <w:tcBorders>
              <w:top w:val="nil"/>
              <w:left w:val="nil"/>
              <w:bottom w:val="nil"/>
              <w:right w:val="nil"/>
            </w:tcBorders>
          </w:tcPr>
          <w:p>
            <w:pPr>
              <w:pStyle w:val="TableParagraph"/>
              <w:spacing w:line="216" w:lineRule="exact"/>
              <w:ind w:right="177"/>
              <w:rPr>
                <w:sz w:val="19"/>
              </w:rPr>
            </w:pPr>
            <w:r>
              <w:rPr>
                <w:sz w:val="19"/>
              </w:rPr>
              <w:t>32.8</w:t>
            </w:r>
          </w:p>
        </w:tc>
        <w:tc>
          <w:tcPr>
            <w:tcW w:w="1158" w:type="dxa"/>
            <w:tcBorders>
              <w:top w:val="nil"/>
              <w:left w:val="nil"/>
              <w:bottom w:val="nil"/>
              <w:right w:val="nil"/>
            </w:tcBorders>
          </w:tcPr>
          <w:p>
            <w:pPr>
              <w:pStyle w:val="TableParagraph"/>
              <w:spacing w:line="216" w:lineRule="exact"/>
              <w:ind w:right="167"/>
              <w:rPr>
                <w:sz w:val="19"/>
              </w:rPr>
            </w:pPr>
            <w:r>
              <w:rPr>
                <w:sz w:val="19"/>
              </w:rPr>
              <w:t>35.0</w:t>
            </w:r>
          </w:p>
        </w:tc>
        <w:tc>
          <w:tcPr>
            <w:tcW w:w="1357" w:type="dxa"/>
            <w:tcBorders>
              <w:top w:val="nil"/>
              <w:left w:val="nil"/>
              <w:bottom w:val="nil"/>
              <w:right w:val="nil"/>
            </w:tcBorders>
          </w:tcPr>
          <w:p>
            <w:pPr>
              <w:pStyle w:val="TableParagraph"/>
              <w:spacing w:line="216" w:lineRule="exact"/>
              <w:ind w:right="104"/>
              <w:rPr>
                <w:sz w:val="19"/>
              </w:rPr>
            </w:pPr>
            <w:r>
              <w:rPr>
                <w:sz w:val="19"/>
              </w:rPr>
              <w:t>32.8</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Secundaria</w:t>
            </w:r>
          </w:p>
        </w:tc>
        <w:tc>
          <w:tcPr>
            <w:tcW w:w="1678" w:type="dxa"/>
            <w:tcBorders>
              <w:top w:val="nil"/>
              <w:left w:val="nil"/>
              <w:bottom w:val="nil"/>
              <w:right w:val="nil"/>
            </w:tcBorders>
          </w:tcPr>
          <w:p>
            <w:pPr>
              <w:pStyle w:val="TableParagraph"/>
              <w:spacing w:line="216" w:lineRule="exact"/>
              <w:ind w:right="177"/>
              <w:rPr>
                <w:sz w:val="19"/>
              </w:rPr>
            </w:pPr>
            <w:r>
              <w:rPr>
                <w:sz w:val="19"/>
              </w:rPr>
              <w:t>35.4</w:t>
            </w:r>
          </w:p>
        </w:tc>
        <w:tc>
          <w:tcPr>
            <w:tcW w:w="1158" w:type="dxa"/>
            <w:tcBorders>
              <w:top w:val="nil"/>
              <w:left w:val="nil"/>
              <w:bottom w:val="nil"/>
              <w:right w:val="nil"/>
            </w:tcBorders>
          </w:tcPr>
          <w:p>
            <w:pPr>
              <w:pStyle w:val="TableParagraph"/>
              <w:spacing w:line="216" w:lineRule="exact"/>
              <w:ind w:right="167"/>
              <w:rPr>
                <w:sz w:val="19"/>
              </w:rPr>
            </w:pPr>
            <w:r>
              <w:rPr>
                <w:sz w:val="19"/>
              </w:rPr>
              <w:t>46.2</w:t>
            </w:r>
          </w:p>
        </w:tc>
        <w:tc>
          <w:tcPr>
            <w:tcW w:w="1357" w:type="dxa"/>
            <w:tcBorders>
              <w:top w:val="nil"/>
              <w:left w:val="nil"/>
              <w:bottom w:val="nil"/>
              <w:right w:val="nil"/>
            </w:tcBorders>
          </w:tcPr>
          <w:p>
            <w:pPr>
              <w:pStyle w:val="TableParagraph"/>
              <w:spacing w:line="216" w:lineRule="exact"/>
              <w:ind w:right="104"/>
              <w:rPr>
                <w:sz w:val="19"/>
              </w:rPr>
            </w:pPr>
            <w:r>
              <w:rPr>
                <w:sz w:val="19"/>
              </w:rPr>
              <w:t>35.0</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Preparatoria</w:t>
            </w:r>
          </w:p>
        </w:tc>
        <w:tc>
          <w:tcPr>
            <w:tcW w:w="1678" w:type="dxa"/>
            <w:tcBorders>
              <w:top w:val="nil"/>
              <w:left w:val="nil"/>
              <w:bottom w:val="nil"/>
              <w:right w:val="nil"/>
            </w:tcBorders>
          </w:tcPr>
          <w:p>
            <w:pPr>
              <w:pStyle w:val="TableParagraph"/>
              <w:spacing w:line="216" w:lineRule="exact"/>
              <w:ind w:right="177"/>
              <w:rPr>
                <w:sz w:val="19"/>
              </w:rPr>
            </w:pPr>
            <w:r>
              <w:rPr>
                <w:sz w:val="19"/>
              </w:rPr>
              <w:t>14.8</w:t>
            </w:r>
          </w:p>
        </w:tc>
        <w:tc>
          <w:tcPr>
            <w:tcW w:w="1158" w:type="dxa"/>
            <w:tcBorders>
              <w:top w:val="nil"/>
              <w:left w:val="nil"/>
              <w:bottom w:val="nil"/>
              <w:right w:val="nil"/>
            </w:tcBorders>
          </w:tcPr>
          <w:p>
            <w:pPr>
              <w:pStyle w:val="TableParagraph"/>
              <w:spacing w:line="216" w:lineRule="exact"/>
              <w:ind w:right="166"/>
              <w:rPr>
                <w:sz w:val="19"/>
              </w:rPr>
            </w:pPr>
            <w:r>
              <w:rPr>
                <w:sz w:val="19"/>
              </w:rPr>
              <w:t>7.9</w:t>
            </w:r>
          </w:p>
        </w:tc>
        <w:tc>
          <w:tcPr>
            <w:tcW w:w="1357" w:type="dxa"/>
            <w:tcBorders>
              <w:top w:val="nil"/>
              <w:left w:val="nil"/>
              <w:bottom w:val="nil"/>
              <w:right w:val="nil"/>
            </w:tcBorders>
          </w:tcPr>
          <w:p>
            <w:pPr>
              <w:pStyle w:val="TableParagraph"/>
              <w:spacing w:line="216" w:lineRule="exact"/>
              <w:ind w:right="104"/>
              <w:rPr>
                <w:sz w:val="19"/>
              </w:rPr>
            </w:pPr>
            <w:r>
              <w:rPr>
                <w:sz w:val="19"/>
              </w:rPr>
              <w:t>14.9</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Bachillerato</w:t>
            </w:r>
          </w:p>
        </w:tc>
        <w:tc>
          <w:tcPr>
            <w:tcW w:w="1678" w:type="dxa"/>
            <w:tcBorders>
              <w:top w:val="nil"/>
              <w:left w:val="nil"/>
              <w:bottom w:val="nil"/>
              <w:right w:val="nil"/>
            </w:tcBorders>
          </w:tcPr>
          <w:p>
            <w:pPr>
              <w:pStyle w:val="TableParagraph"/>
              <w:spacing w:line="216" w:lineRule="exact"/>
              <w:ind w:right="176"/>
              <w:rPr>
                <w:sz w:val="19"/>
              </w:rPr>
            </w:pPr>
            <w:r>
              <w:rPr>
                <w:sz w:val="19"/>
              </w:rPr>
              <w:t>5.5</w:t>
            </w:r>
          </w:p>
        </w:tc>
        <w:tc>
          <w:tcPr>
            <w:tcW w:w="1158" w:type="dxa"/>
            <w:tcBorders>
              <w:top w:val="nil"/>
              <w:left w:val="nil"/>
              <w:bottom w:val="nil"/>
              <w:right w:val="nil"/>
            </w:tcBorders>
          </w:tcPr>
          <w:p>
            <w:pPr>
              <w:pStyle w:val="TableParagraph"/>
              <w:spacing w:line="216" w:lineRule="exact"/>
              <w:ind w:right="166"/>
              <w:rPr>
                <w:sz w:val="19"/>
              </w:rPr>
            </w:pPr>
            <w:r>
              <w:rPr>
                <w:sz w:val="19"/>
              </w:rPr>
              <w:t>6.8</w:t>
            </w:r>
          </w:p>
        </w:tc>
        <w:tc>
          <w:tcPr>
            <w:tcW w:w="1357" w:type="dxa"/>
            <w:tcBorders>
              <w:top w:val="nil"/>
              <w:left w:val="nil"/>
              <w:bottom w:val="nil"/>
              <w:right w:val="nil"/>
            </w:tcBorders>
          </w:tcPr>
          <w:p>
            <w:pPr>
              <w:pStyle w:val="TableParagraph"/>
              <w:spacing w:line="216" w:lineRule="exact"/>
              <w:ind w:right="103"/>
              <w:rPr>
                <w:sz w:val="19"/>
              </w:rPr>
            </w:pPr>
            <w:r>
              <w:rPr>
                <w:sz w:val="19"/>
              </w:rPr>
              <w:t>5.5</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Universidad y más</w:t>
            </w:r>
          </w:p>
        </w:tc>
        <w:tc>
          <w:tcPr>
            <w:tcW w:w="1678" w:type="dxa"/>
            <w:tcBorders>
              <w:top w:val="nil"/>
              <w:left w:val="nil"/>
              <w:bottom w:val="nil"/>
              <w:right w:val="nil"/>
            </w:tcBorders>
          </w:tcPr>
          <w:p>
            <w:pPr>
              <w:pStyle w:val="TableParagraph"/>
              <w:spacing w:line="216" w:lineRule="exact"/>
              <w:ind w:right="176"/>
              <w:rPr>
                <w:sz w:val="19"/>
              </w:rPr>
            </w:pPr>
            <w:r>
              <w:rPr>
                <w:sz w:val="19"/>
              </w:rPr>
              <w:t>8.7</w:t>
            </w:r>
          </w:p>
        </w:tc>
        <w:tc>
          <w:tcPr>
            <w:tcW w:w="1158" w:type="dxa"/>
            <w:tcBorders>
              <w:top w:val="nil"/>
              <w:left w:val="nil"/>
              <w:bottom w:val="nil"/>
              <w:right w:val="nil"/>
            </w:tcBorders>
          </w:tcPr>
          <w:p>
            <w:pPr>
              <w:pStyle w:val="TableParagraph"/>
              <w:spacing w:line="216" w:lineRule="exact"/>
              <w:ind w:right="166"/>
              <w:rPr>
                <w:sz w:val="19"/>
              </w:rPr>
            </w:pPr>
            <w:r>
              <w:rPr>
                <w:sz w:val="19"/>
              </w:rPr>
              <w:t>2.5</w:t>
            </w:r>
          </w:p>
        </w:tc>
        <w:tc>
          <w:tcPr>
            <w:tcW w:w="1357" w:type="dxa"/>
            <w:tcBorders>
              <w:top w:val="nil"/>
              <w:left w:val="nil"/>
              <w:bottom w:val="nil"/>
              <w:right w:val="nil"/>
            </w:tcBorders>
          </w:tcPr>
          <w:p>
            <w:pPr>
              <w:pStyle w:val="TableParagraph"/>
              <w:spacing w:line="216" w:lineRule="exact"/>
              <w:ind w:right="103"/>
              <w:rPr>
                <w:sz w:val="19"/>
              </w:rPr>
            </w:pPr>
            <w:r>
              <w:rPr>
                <w:sz w:val="19"/>
              </w:rPr>
              <w:t>8.8</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No especificado</w:t>
            </w:r>
          </w:p>
        </w:tc>
        <w:tc>
          <w:tcPr>
            <w:tcW w:w="1678" w:type="dxa"/>
            <w:tcBorders>
              <w:top w:val="nil"/>
              <w:left w:val="nil"/>
              <w:bottom w:val="nil"/>
              <w:right w:val="nil"/>
            </w:tcBorders>
          </w:tcPr>
          <w:p>
            <w:pPr>
              <w:pStyle w:val="TableParagraph"/>
              <w:spacing w:line="216" w:lineRule="exact"/>
              <w:ind w:right="176"/>
              <w:rPr>
                <w:sz w:val="19"/>
              </w:rPr>
            </w:pPr>
            <w:r>
              <w:rPr>
                <w:sz w:val="19"/>
              </w:rPr>
              <w:t>1.5</w:t>
            </w:r>
          </w:p>
        </w:tc>
        <w:tc>
          <w:tcPr>
            <w:tcW w:w="1158" w:type="dxa"/>
            <w:tcBorders>
              <w:top w:val="nil"/>
              <w:left w:val="nil"/>
              <w:bottom w:val="nil"/>
              <w:right w:val="nil"/>
            </w:tcBorders>
          </w:tcPr>
          <w:p>
            <w:pPr>
              <w:pStyle w:val="TableParagraph"/>
              <w:spacing w:line="216" w:lineRule="exact"/>
              <w:ind w:right="166"/>
              <w:rPr>
                <w:sz w:val="19"/>
              </w:rPr>
            </w:pPr>
            <w:r>
              <w:rPr>
                <w:sz w:val="19"/>
              </w:rPr>
              <w:t>1.2</w:t>
            </w:r>
          </w:p>
        </w:tc>
        <w:tc>
          <w:tcPr>
            <w:tcW w:w="1357" w:type="dxa"/>
            <w:tcBorders>
              <w:top w:val="nil"/>
              <w:left w:val="nil"/>
              <w:bottom w:val="nil"/>
              <w:right w:val="nil"/>
            </w:tcBorders>
          </w:tcPr>
          <w:p>
            <w:pPr>
              <w:pStyle w:val="TableParagraph"/>
              <w:spacing w:line="216" w:lineRule="exact"/>
              <w:ind w:right="103"/>
              <w:rPr>
                <w:sz w:val="19"/>
              </w:rPr>
            </w:pPr>
            <w:r>
              <w:rPr>
                <w:sz w:val="19"/>
              </w:rPr>
              <w:t>1.6</w:t>
            </w:r>
          </w:p>
        </w:tc>
      </w:tr>
      <w:tr>
        <w:trPr>
          <w:trHeight w:val="228" w:hRule="exact"/>
        </w:trPr>
        <w:tc>
          <w:tcPr>
            <w:tcW w:w="2327" w:type="dxa"/>
            <w:tcBorders>
              <w:top w:val="nil"/>
              <w:left w:val="nil"/>
              <w:bottom w:val="nil"/>
              <w:right w:val="nil"/>
            </w:tcBorders>
          </w:tcPr>
          <w:p>
            <w:pPr>
              <w:pStyle w:val="TableParagraph"/>
              <w:spacing w:line="216" w:lineRule="exact"/>
              <w:ind w:left="106"/>
              <w:jc w:val="left"/>
              <w:rPr>
                <w:i/>
                <w:sz w:val="19"/>
              </w:rPr>
            </w:pPr>
            <w:r>
              <w:rPr>
                <w:i/>
                <w:w w:val="105"/>
                <w:sz w:val="19"/>
              </w:rPr>
              <w:t>Estado civil</w:t>
            </w:r>
          </w:p>
        </w:tc>
        <w:tc>
          <w:tcPr>
            <w:tcW w:w="1678" w:type="dxa"/>
            <w:tcBorders>
              <w:top w:val="nil"/>
              <w:left w:val="nil"/>
              <w:bottom w:val="nil"/>
              <w:right w:val="nil"/>
            </w:tcBorders>
          </w:tcPr>
          <w:p>
            <w:pPr/>
          </w:p>
        </w:tc>
        <w:tc>
          <w:tcPr>
            <w:tcW w:w="1158" w:type="dxa"/>
            <w:tcBorders>
              <w:top w:val="nil"/>
              <w:left w:val="nil"/>
              <w:bottom w:val="nil"/>
              <w:right w:val="nil"/>
            </w:tcBorders>
          </w:tcPr>
          <w:p>
            <w:pPr/>
          </w:p>
        </w:tc>
        <w:tc>
          <w:tcPr>
            <w:tcW w:w="1357" w:type="dxa"/>
            <w:tcBorders>
              <w:top w:val="nil"/>
              <w:left w:val="nil"/>
              <w:bottom w:val="nil"/>
              <w:right w:val="nil"/>
            </w:tcBorders>
          </w:tcPr>
          <w:p>
            <w:pPr/>
          </w:p>
        </w:tc>
      </w:tr>
      <w:tr>
        <w:trPr>
          <w:trHeight w:val="228" w:hRule="exact"/>
        </w:trPr>
        <w:tc>
          <w:tcPr>
            <w:tcW w:w="2327" w:type="dxa"/>
            <w:tcBorders>
              <w:top w:val="nil"/>
              <w:left w:val="nil"/>
              <w:bottom w:val="nil"/>
              <w:right w:val="nil"/>
            </w:tcBorders>
          </w:tcPr>
          <w:p>
            <w:pPr>
              <w:pStyle w:val="TableParagraph"/>
              <w:spacing w:line="214" w:lineRule="exact"/>
              <w:ind w:left="106"/>
              <w:jc w:val="left"/>
              <w:rPr>
                <w:sz w:val="19"/>
              </w:rPr>
            </w:pPr>
            <w:r>
              <w:rPr>
                <w:w w:val="105"/>
                <w:sz w:val="19"/>
              </w:rPr>
              <w:t>Casado(a)</w:t>
            </w:r>
          </w:p>
        </w:tc>
        <w:tc>
          <w:tcPr>
            <w:tcW w:w="1678" w:type="dxa"/>
            <w:tcBorders>
              <w:top w:val="nil"/>
              <w:left w:val="nil"/>
              <w:bottom w:val="nil"/>
              <w:right w:val="nil"/>
            </w:tcBorders>
          </w:tcPr>
          <w:p>
            <w:pPr>
              <w:pStyle w:val="TableParagraph"/>
              <w:spacing w:line="214" w:lineRule="exact"/>
              <w:ind w:right="177"/>
              <w:rPr>
                <w:sz w:val="19"/>
              </w:rPr>
            </w:pPr>
            <w:r>
              <w:rPr>
                <w:sz w:val="19"/>
              </w:rPr>
              <w:t>42.9</w:t>
            </w:r>
          </w:p>
        </w:tc>
        <w:tc>
          <w:tcPr>
            <w:tcW w:w="1158" w:type="dxa"/>
            <w:tcBorders>
              <w:top w:val="nil"/>
              <w:left w:val="nil"/>
              <w:bottom w:val="nil"/>
              <w:right w:val="nil"/>
            </w:tcBorders>
          </w:tcPr>
          <w:p>
            <w:pPr>
              <w:pStyle w:val="TableParagraph"/>
              <w:spacing w:line="214" w:lineRule="exact"/>
              <w:ind w:right="167"/>
              <w:rPr>
                <w:sz w:val="19"/>
              </w:rPr>
            </w:pPr>
            <w:r>
              <w:rPr>
                <w:sz w:val="19"/>
              </w:rPr>
              <w:t>52.3</w:t>
            </w:r>
          </w:p>
        </w:tc>
        <w:tc>
          <w:tcPr>
            <w:tcW w:w="1357" w:type="dxa"/>
            <w:tcBorders>
              <w:top w:val="nil"/>
              <w:left w:val="nil"/>
              <w:bottom w:val="nil"/>
              <w:right w:val="nil"/>
            </w:tcBorders>
          </w:tcPr>
          <w:p>
            <w:pPr>
              <w:pStyle w:val="TableParagraph"/>
              <w:spacing w:line="214" w:lineRule="exact"/>
              <w:ind w:right="104"/>
              <w:rPr>
                <w:sz w:val="19"/>
              </w:rPr>
            </w:pPr>
            <w:r>
              <w:rPr>
                <w:sz w:val="19"/>
              </w:rPr>
              <w:t>42.7</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Unión libre</w:t>
            </w:r>
          </w:p>
        </w:tc>
        <w:tc>
          <w:tcPr>
            <w:tcW w:w="1678" w:type="dxa"/>
            <w:tcBorders>
              <w:top w:val="nil"/>
              <w:left w:val="nil"/>
              <w:bottom w:val="nil"/>
              <w:right w:val="nil"/>
            </w:tcBorders>
          </w:tcPr>
          <w:p>
            <w:pPr>
              <w:pStyle w:val="TableParagraph"/>
              <w:spacing w:line="216" w:lineRule="exact"/>
              <w:ind w:right="177"/>
              <w:rPr>
                <w:sz w:val="19"/>
              </w:rPr>
            </w:pPr>
            <w:r>
              <w:rPr>
                <w:sz w:val="19"/>
              </w:rPr>
              <w:t>11.8</w:t>
            </w:r>
          </w:p>
        </w:tc>
        <w:tc>
          <w:tcPr>
            <w:tcW w:w="1158" w:type="dxa"/>
            <w:tcBorders>
              <w:top w:val="nil"/>
              <w:left w:val="nil"/>
              <w:bottom w:val="nil"/>
              <w:right w:val="nil"/>
            </w:tcBorders>
          </w:tcPr>
          <w:p>
            <w:pPr>
              <w:pStyle w:val="TableParagraph"/>
              <w:spacing w:line="216" w:lineRule="exact"/>
              <w:ind w:right="167"/>
              <w:rPr>
                <w:sz w:val="19"/>
              </w:rPr>
            </w:pPr>
            <w:r>
              <w:rPr>
                <w:sz w:val="19"/>
              </w:rPr>
              <w:t>11.7</w:t>
            </w:r>
          </w:p>
        </w:tc>
        <w:tc>
          <w:tcPr>
            <w:tcW w:w="1357" w:type="dxa"/>
            <w:tcBorders>
              <w:top w:val="nil"/>
              <w:left w:val="nil"/>
              <w:bottom w:val="nil"/>
              <w:right w:val="nil"/>
            </w:tcBorders>
          </w:tcPr>
          <w:p>
            <w:pPr>
              <w:pStyle w:val="TableParagraph"/>
              <w:spacing w:line="216" w:lineRule="exact"/>
              <w:ind w:right="104"/>
              <w:rPr>
                <w:sz w:val="19"/>
              </w:rPr>
            </w:pPr>
            <w:r>
              <w:rPr>
                <w:sz w:val="19"/>
              </w:rPr>
              <w:t>11.7</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Soltero(a)</w:t>
            </w:r>
          </w:p>
        </w:tc>
        <w:tc>
          <w:tcPr>
            <w:tcW w:w="1678" w:type="dxa"/>
            <w:tcBorders>
              <w:top w:val="nil"/>
              <w:left w:val="nil"/>
              <w:bottom w:val="nil"/>
              <w:right w:val="nil"/>
            </w:tcBorders>
          </w:tcPr>
          <w:p>
            <w:pPr>
              <w:pStyle w:val="TableParagraph"/>
              <w:spacing w:line="216" w:lineRule="exact"/>
              <w:ind w:right="177"/>
              <w:rPr>
                <w:sz w:val="19"/>
              </w:rPr>
            </w:pPr>
            <w:r>
              <w:rPr>
                <w:sz w:val="19"/>
              </w:rPr>
              <w:t>36.0</w:t>
            </w:r>
          </w:p>
        </w:tc>
        <w:tc>
          <w:tcPr>
            <w:tcW w:w="1158" w:type="dxa"/>
            <w:tcBorders>
              <w:top w:val="nil"/>
              <w:left w:val="nil"/>
              <w:bottom w:val="nil"/>
              <w:right w:val="nil"/>
            </w:tcBorders>
          </w:tcPr>
          <w:p>
            <w:pPr>
              <w:pStyle w:val="TableParagraph"/>
              <w:spacing w:line="216" w:lineRule="exact"/>
              <w:ind w:right="167"/>
              <w:rPr>
                <w:sz w:val="19"/>
              </w:rPr>
            </w:pPr>
            <w:r>
              <w:rPr>
                <w:sz w:val="19"/>
              </w:rPr>
              <w:t>36.4</w:t>
            </w:r>
          </w:p>
        </w:tc>
        <w:tc>
          <w:tcPr>
            <w:tcW w:w="1357" w:type="dxa"/>
            <w:tcBorders>
              <w:top w:val="nil"/>
              <w:left w:val="nil"/>
              <w:bottom w:val="nil"/>
              <w:right w:val="nil"/>
            </w:tcBorders>
          </w:tcPr>
          <w:p>
            <w:pPr>
              <w:pStyle w:val="TableParagraph"/>
              <w:spacing w:line="216" w:lineRule="exact"/>
              <w:ind w:right="104"/>
              <w:rPr>
                <w:sz w:val="19"/>
              </w:rPr>
            </w:pPr>
            <w:r>
              <w:rPr>
                <w:sz w:val="19"/>
              </w:rPr>
              <w:t>36.4</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Separado(a)</w:t>
            </w:r>
          </w:p>
        </w:tc>
        <w:tc>
          <w:tcPr>
            <w:tcW w:w="1678" w:type="dxa"/>
            <w:tcBorders>
              <w:top w:val="nil"/>
              <w:left w:val="nil"/>
              <w:bottom w:val="nil"/>
              <w:right w:val="nil"/>
            </w:tcBorders>
          </w:tcPr>
          <w:p>
            <w:pPr>
              <w:pStyle w:val="TableParagraph"/>
              <w:spacing w:line="216" w:lineRule="exact"/>
              <w:ind w:right="176"/>
              <w:rPr>
                <w:sz w:val="19"/>
              </w:rPr>
            </w:pPr>
            <w:r>
              <w:rPr>
                <w:sz w:val="19"/>
              </w:rPr>
              <w:t>4.7</w:t>
            </w:r>
          </w:p>
        </w:tc>
        <w:tc>
          <w:tcPr>
            <w:tcW w:w="1158" w:type="dxa"/>
            <w:tcBorders>
              <w:top w:val="nil"/>
              <w:left w:val="nil"/>
              <w:bottom w:val="nil"/>
              <w:right w:val="nil"/>
            </w:tcBorders>
          </w:tcPr>
          <w:p>
            <w:pPr>
              <w:pStyle w:val="TableParagraph"/>
              <w:spacing w:line="216" w:lineRule="exact"/>
              <w:ind w:right="166"/>
              <w:rPr>
                <w:sz w:val="19"/>
              </w:rPr>
            </w:pPr>
            <w:r>
              <w:rPr>
                <w:sz w:val="19"/>
              </w:rPr>
              <w:t>6.8</w:t>
            </w:r>
          </w:p>
        </w:tc>
        <w:tc>
          <w:tcPr>
            <w:tcW w:w="1357" w:type="dxa"/>
            <w:tcBorders>
              <w:top w:val="nil"/>
              <w:left w:val="nil"/>
              <w:bottom w:val="nil"/>
              <w:right w:val="nil"/>
            </w:tcBorders>
          </w:tcPr>
          <w:p>
            <w:pPr>
              <w:pStyle w:val="TableParagraph"/>
              <w:spacing w:line="216" w:lineRule="exact"/>
              <w:ind w:right="103"/>
              <w:rPr>
                <w:sz w:val="19"/>
              </w:rPr>
            </w:pPr>
            <w:r>
              <w:rPr>
                <w:sz w:val="19"/>
              </w:rPr>
              <w:t>4.7</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Viudo(a)</w:t>
            </w:r>
          </w:p>
        </w:tc>
        <w:tc>
          <w:tcPr>
            <w:tcW w:w="1678" w:type="dxa"/>
            <w:tcBorders>
              <w:top w:val="nil"/>
              <w:left w:val="nil"/>
              <w:bottom w:val="nil"/>
              <w:right w:val="nil"/>
            </w:tcBorders>
          </w:tcPr>
          <w:p>
            <w:pPr>
              <w:pStyle w:val="TableParagraph"/>
              <w:spacing w:line="216" w:lineRule="exact"/>
              <w:ind w:right="176"/>
              <w:rPr>
                <w:sz w:val="19"/>
              </w:rPr>
            </w:pPr>
            <w:r>
              <w:rPr>
                <w:sz w:val="19"/>
              </w:rPr>
              <w:t>4.6</w:t>
            </w:r>
          </w:p>
        </w:tc>
        <w:tc>
          <w:tcPr>
            <w:tcW w:w="1158" w:type="dxa"/>
            <w:tcBorders>
              <w:top w:val="nil"/>
              <w:left w:val="nil"/>
              <w:bottom w:val="nil"/>
              <w:right w:val="nil"/>
            </w:tcBorders>
          </w:tcPr>
          <w:p>
            <w:pPr>
              <w:pStyle w:val="TableParagraph"/>
              <w:spacing w:line="216" w:lineRule="exact"/>
              <w:ind w:right="166"/>
              <w:rPr>
                <w:sz w:val="19"/>
              </w:rPr>
            </w:pPr>
            <w:r>
              <w:rPr>
                <w:sz w:val="19"/>
              </w:rPr>
              <w:t>4.6</w:t>
            </w:r>
          </w:p>
        </w:tc>
        <w:tc>
          <w:tcPr>
            <w:tcW w:w="1357" w:type="dxa"/>
            <w:tcBorders>
              <w:top w:val="nil"/>
              <w:left w:val="nil"/>
              <w:bottom w:val="nil"/>
              <w:right w:val="nil"/>
            </w:tcBorders>
          </w:tcPr>
          <w:p>
            <w:pPr>
              <w:pStyle w:val="TableParagraph"/>
              <w:spacing w:line="216" w:lineRule="exact"/>
              <w:ind w:right="103"/>
              <w:rPr>
                <w:sz w:val="19"/>
              </w:rPr>
            </w:pPr>
            <w:r>
              <w:rPr>
                <w:sz w:val="19"/>
              </w:rPr>
              <w:t>4.6</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i/>
                <w:sz w:val="19"/>
              </w:rPr>
            </w:pPr>
            <w:r>
              <w:rPr>
                <w:i/>
                <w:w w:val="105"/>
                <w:sz w:val="19"/>
              </w:rPr>
              <w:t>Posición en el hogar</w:t>
            </w:r>
          </w:p>
        </w:tc>
        <w:tc>
          <w:tcPr>
            <w:tcW w:w="1678" w:type="dxa"/>
            <w:tcBorders>
              <w:top w:val="nil"/>
              <w:left w:val="nil"/>
              <w:bottom w:val="nil"/>
              <w:right w:val="nil"/>
            </w:tcBorders>
          </w:tcPr>
          <w:p>
            <w:pPr/>
          </w:p>
        </w:tc>
        <w:tc>
          <w:tcPr>
            <w:tcW w:w="1158" w:type="dxa"/>
            <w:tcBorders>
              <w:top w:val="nil"/>
              <w:left w:val="nil"/>
              <w:bottom w:val="nil"/>
              <w:right w:val="nil"/>
            </w:tcBorders>
          </w:tcPr>
          <w:p>
            <w:pPr/>
          </w:p>
        </w:tc>
        <w:tc>
          <w:tcPr>
            <w:tcW w:w="1357" w:type="dxa"/>
            <w:tcBorders>
              <w:top w:val="nil"/>
              <w:left w:val="nil"/>
              <w:bottom w:val="nil"/>
              <w:right w:val="nil"/>
            </w:tcBorders>
          </w:tcPr>
          <w:p>
            <w:pP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Jefe(a)</w:t>
            </w:r>
          </w:p>
        </w:tc>
        <w:tc>
          <w:tcPr>
            <w:tcW w:w="1678" w:type="dxa"/>
            <w:tcBorders>
              <w:top w:val="nil"/>
              <w:left w:val="nil"/>
              <w:bottom w:val="nil"/>
              <w:right w:val="nil"/>
            </w:tcBorders>
          </w:tcPr>
          <w:p>
            <w:pPr>
              <w:pStyle w:val="TableParagraph"/>
              <w:spacing w:line="216" w:lineRule="exact"/>
              <w:ind w:right="177"/>
              <w:rPr>
                <w:sz w:val="19"/>
              </w:rPr>
            </w:pPr>
            <w:r>
              <w:rPr>
                <w:sz w:val="19"/>
              </w:rPr>
              <w:t>29.0</w:t>
            </w:r>
          </w:p>
        </w:tc>
        <w:tc>
          <w:tcPr>
            <w:tcW w:w="1158" w:type="dxa"/>
            <w:tcBorders>
              <w:top w:val="nil"/>
              <w:left w:val="nil"/>
              <w:bottom w:val="nil"/>
              <w:right w:val="nil"/>
            </w:tcBorders>
          </w:tcPr>
          <w:p>
            <w:pPr>
              <w:pStyle w:val="TableParagraph"/>
              <w:spacing w:line="216" w:lineRule="exact"/>
              <w:ind w:right="167"/>
              <w:rPr>
                <w:sz w:val="19"/>
              </w:rPr>
            </w:pPr>
            <w:r>
              <w:rPr>
                <w:sz w:val="19"/>
              </w:rPr>
              <w:t>62.3</w:t>
            </w:r>
          </w:p>
        </w:tc>
        <w:tc>
          <w:tcPr>
            <w:tcW w:w="1357" w:type="dxa"/>
            <w:tcBorders>
              <w:top w:val="nil"/>
              <w:left w:val="nil"/>
              <w:bottom w:val="nil"/>
              <w:right w:val="nil"/>
            </w:tcBorders>
          </w:tcPr>
          <w:p>
            <w:pPr>
              <w:pStyle w:val="TableParagraph"/>
              <w:spacing w:line="216" w:lineRule="exact"/>
              <w:ind w:right="104"/>
              <w:rPr>
                <w:sz w:val="19"/>
              </w:rPr>
            </w:pPr>
            <w:r>
              <w:rPr>
                <w:sz w:val="19"/>
              </w:rPr>
              <w:t>29.4</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Cónyuge</w:t>
            </w:r>
          </w:p>
        </w:tc>
        <w:tc>
          <w:tcPr>
            <w:tcW w:w="1678" w:type="dxa"/>
            <w:tcBorders>
              <w:top w:val="nil"/>
              <w:left w:val="nil"/>
              <w:bottom w:val="nil"/>
              <w:right w:val="nil"/>
            </w:tcBorders>
          </w:tcPr>
          <w:p>
            <w:pPr>
              <w:pStyle w:val="TableParagraph"/>
              <w:spacing w:line="216" w:lineRule="exact"/>
              <w:ind w:right="177"/>
              <w:rPr>
                <w:sz w:val="19"/>
              </w:rPr>
            </w:pPr>
            <w:r>
              <w:rPr>
                <w:sz w:val="19"/>
              </w:rPr>
              <w:t>22.7</w:t>
            </w:r>
          </w:p>
        </w:tc>
        <w:tc>
          <w:tcPr>
            <w:tcW w:w="1158" w:type="dxa"/>
            <w:tcBorders>
              <w:top w:val="nil"/>
              <w:left w:val="nil"/>
              <w:bottom w:val="nil"/>
              <w:right w:val="nil"/>
            </w:tcBorders>
          </w:tcPr>
          <w:p>
            <w:pPr>
              <w:pStyle w:val="TableParagraph"/>
              <w:spacing w:line="216" w:lineRule="exact"/>
              <w:ind w:right="166"/>
              <w:rPr>
                <w:sz w:val="19"/>
              </w:rPr>
            </w:pPr>
            <w:r>
              <w:rPr>
                <w:sz w:val="19"/>
              </w:rPr>
              <w:t>8.4</w:t>
            </w:r>
          </w:p>
        </w:tc>
        <w:tc>
          <w:tcPr>
            <w:tcW w:w="1357" w:type="dxa"/>
            <w:tcBorders>
              <w:top w:val="nil"/>
              <w:left w:val="nil"/>
              <w:bottom w:val="nil"/>
              <w:right w:val="nil"/>
            </w:tcBorders>
          </w:tcPr>
          <w:p>
            <w:pPr>
              <w:pStyle w:val="TableParagraph"/>
              <w:spacing w:line="216" w:lineRule="exact"/>
              <w:ind w:right="104"/>
              <w:rPr>
                <w:sz w:val="19"/>
              </w:rPr>
            </w:pPr>
            <w:r>
              <w:rPr>
                <w:sz w:val="19"/>
              </w:rPr>
              <w:t>22.7</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Hijo(a)</w:t>
            </w:r>
          </w:p>
        </w:tc>
        <w:tc>
          <w:tcPr>
            <w:tcW w:w="1678" w:type="dxa"/>
            <w:tcBorders>
              <w:top w:val="nil"/>
              <w:left w:val="nil"/>
              <w:bottom w:val="nil"/>
              <w:right w:val="nil"/>
            </w:tcBorders>
          </w:tcPr>
          <w:p>
            <w:pPr>
              <w:pStyle w:val="TableParagraph"/>
              <w:spacing w:line="216" w:lineRule="exact"/>
              <w:ind w:right="177"/>
              <w:rPr>
                <w:sz w:val="19"/>
              </w:rPr>
            </w:pPr>
            <w:r>
              <w:rPr>
                <w:sz w:val="19"/>
              </w:rPr>
              <w:t>36.8</w:t>
            </w:r>
          </w:p>
        </w:tc>
        <w:tc>
          <w:tcPr>
            <w:tcW w:w="1158" w:type="dxa"/>
            <w:tcBorders>
              <w:top w:val="nil"/>
              <w:left w:val="nil"/>
              <w:bottom w:val="nil"/>
              <w:right w:val="nil"/>
            </w:tcBorders>
          </w:tcPr>
          <w:p>
            <w:pPr>
              <w:pStyle w:val="TableParagraph"/>
              <w:spacing w:line="216" w:lineRule="exact"/>
              <w:ind w:right="167"/>
              <w:rPr>
                <w:sz w:val="19"/>
              </w:rPr>
            </w:pPr>
            <w:r>
              <w:rPr>
                <w:sz w:val="19"/>
              </w:rPr>
              <w:t>20.8</w:t>
            </w:r>
          </w:p>
        </w:tc>
        <w:tc>
          <w:tcPr>
            <w:tcW w:w="1357" w:type="dxa"/>
            <w:tcBorders>
              <w:top w:val="nil"/>
              <w:left w:val="nil"/>
              <w:bottom w:val="nil"/>
              <w:right w:val="nil"/>
            </w:tcBorders>
          </w:tcPr>
          <w:p>
            <w:pPr>
              <w:pStyle w:val="TableParagraph"/>
              <w:spacing w:line="216" w:lineRule="exact"/>
              <w:ind w:right="104"/>
              <w:rPr>
                <w:sz w:val="19"/>
              </w:rPr>
            </w:pPr>
            <w:r>
              <w:rPr>
                <w:sz w:val="19"/>
              </w:rPr>
              <w:t>36.8</w:t>
            </w:r>
          </w:p>
        </w:tc>
      </w:tr>
      <w:tr>
        <w:trPr>
          <w:trHeight w:val="230"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Padre o madre</w:t>
            </w:r>
          </w:p>
        </w:tc>
        <w:tc>
          <w:tcPr>
            <w:tcW w:w="1678" w:type="dxa"/>
            <w:tcBorders>
              <w:top w:val="nil"/>
              <w:left w:val="nil"/>
              <w:bottom w:val="nil"/>
              <w:right w:val="nil"/>
            </w:tcBorders>
          </w:tcPr>
          <w:p>
            <w:pPr>
              <w:pStyle w:val="TableParagraph"/>
              <w:spacing w:line="216" w:lineRule="exact"/>
              <w:ind w:right="176"/>
              <w:rPr>
                <w:sz w:val="19"/>
              </w:rPr>
            </w:pPr>
            <w:r>
              <w:rPr>
                <w:sz w:val="19"/>
              </w:rPr>
              <w:t>1.1</w:t>
            </w:r>
          </w:p>
        </w:tc>
        <w:tc>
          <w:tcPr>
            <w:tcW w:w="1158" w:type="dxa"/>
            <w:tcBorders>
              <w:top w:val="nil"/>
              <w:left w:val="nil"/>
              <w:bottom w:val="nil"/>
              <w:right w:val="nil"/>
            </w:tcBorders>
          </w:tcPr>
          <w:p>
            <w:pPr>
              <w:pStyle w:val="TableParagraph"/>
              <w:spacing w:line="216" w:lineRule="exact"/>
              <w:ind w:right="166"/>
              <w:rPr>
                <w:sz w:val="19"/>
              </w:rPr>
            </w:pPr>
            <w:r>
              <w:rPr>
                <w:sz w:val="19"/>
              </w:rPr>
              <w:t>0.7</w:t>
            </w:r>
          </w:p>
        </w:tc>
        <w:tc>
          <w:tcPr>
            <w:tcW w:w="1357" w:type="dxa"/>
            <w:tcBorders>
              <w:top w:val="nil"/>
              <w:left w:val="nil"/>
              <w:bottom w:val="nil"/>
              <w:right w:val="nil"/>
            </w:tcBorders>
          </w:tcPr>
          <w:p>
            <w:pPr>
              <w:pStyle w:val="TableParagraph"/>
              <w:spacing w:line="216" w:lineRule="exact"/>
              <w:ind w:right="103"/>
              <w:rPr>
                <w:sz w:val="19"/>
              </w:rPr>
            </w:pPr>
            <w:r>
              <w:rPr>
                <w:sz w:val="19"/>
              </w:rPr>
              <w:t>1.1</w:t>
            </w:r>
          </w:p>
        </w:tc>
      </w:tr>
      <w:tr>
        <w:trPr>
          <w:trHeight w:val="228" w:hRule="exact"/>
        </w:trPr>
        <w:tc>
          <w:tcPr>
            <w:tcW w:w="2327" w:type="dxa"/>
            <w:tcBorders>
              <w:top w:val="nil"/>
              <w:left w:val="nil"/>
              <w:bottom w:val="nil"/>
              <w:right w:val="nil"/>
            </w:tcBorders>
          </w:tcPr>
          <w:p>
            <w:pPr>
              <w:pStyle w:val="TableParagraph"/>
              <w:spacing w:line="216" w:lineRule="exact"/>
              <w:ind w:left="106"/>
              <w:jc w:val="left"/>
              <w:rPr>
                <w:sz w:val="19"/>
              </w:rPr>
            </w:pPr>
            <w:r>
              <w:rPr>
                <w:w w:val="105"/>
                <w:sz w:val="19"/>
              </w:rPr>
              <w:t>Nieto</w:t>
            </w:r>
          </w:p>
        </w:tc>
        <w:tc>
          <w:tcPr>
            <w:tcW w:w="1678" w:type="dxa"/>
            <w:tcBorders>
              <w:top w:val="nil"/>
              <w:left w:val="nil"/>
              <w:bottom w:val="nil"/>
              <w:right w:val="nil"/>
            </w:tcBorders>
          </w:tcPr>
          <w:p>
            <w:pPr>
              <w:pStyle w:val="TableParagraph"/>
              <w:spacing w:line="216" w:lineRule="exact"/>
              <w:ind w:right="176"/>
              <w:rPr>
                <w:sz w:val="19"/>
              </w:rPr>
            </w:pPr>
            <w:r>
              <w:rPr>
                <w:sz w:val="19"/>
              </w:rPr>
              <w:t>1.9</w:t>
            </w:r>
          </w:p>
        </w:tc>
        <w:tc>
          <w:tcPr>
            <w:tcW w:w="1158" w:type="dxa"/>
            <w:tcBorders>
              <w:top w:val="nil"/>
              <w:left w:val="nil"/>
              <w:bottom w:val="nil"/>
              <w:right w:val="nil"/>
            </w:tcBorders>
          </w:tcPr>
          <w:p>
            <w:pPr>
              <w:pStyle w:val="TableParagraph"/>
              <w:spacing w:line="216" w:lineRule="exact"/>
              <w:ind w:right="166"/>
              <w:rPr>
                <w:sz w:val="19"/>
              </w:rPr>
            </w:pPr>
            <w:r>
              <w:rPr>
                <w:sz w:val="19"/>
              </w:rPr>
              <w:t>0.1</w:t>
            </w:r>
          </w:p>
        </w:tc>
        <w:tc>
          <w:tcPr>
            <w:tcW w:w="1357" w:type="dxa"/>
            <w:tcBorders>
              <w:top w:val="nil"/>
              <w:left w:val="nil"/>
              <w:bottom w:val="nil"/>
              <w:right w:val="nil"/>
            </w:tcBorders>
          </w:tcPr>
          <w:p>
            <w:pPr>
              <w:pStyle w:val="TableParagraph"/>
              <w:spacing w:line="216" w:lineRule="exact"/>
              <w:ind w:right="103"/>
              <w:rPr>
                <w:sz w:val="19"/>
              </w:rPr>
            </w:pPr>
            <w:r>
              <w:rPr>
                <w:sz w:val="19"/>
              </w:rPr>
              <w:t>1.9</w:t>
            </w:r>
          </w:p>
        </w:tc>
      </w:tr>
      <w:tr>
        <w:trPr>
          <w:trHeight w:val="228" w:hRule="exact"/>
        </w:trPr>
        <w:tc>
          <w:tcPr>
            <w:tcW w:w="2327" w:type="dxa"/>
            <w:tcBorders>
              <w:top w:val="nil"/>
              <w:left w:val="nil"/>
              <w:bottom w:val="nil"/>
              <w:right w:val="nil"/>
            </w:tcBorders>
          </w:tcPr>
          <w:p>
            <w:pPr>
              <w:pStyle w:val="TableParagraph"/>
              <w:spacing w:line="214" w:lineRule="exact"/>
              <w:ind w:left="106"/>
              <w:jc w:val="left"/>
              <w:rPr>
                <w:sz w:val="19"/>
              </w:rPr>
            </w:pPr>
            <w:r>
              <w:rPr>
                <w:w w:val="105"/>
                <w:sz w:val="19"/>
              </w:rPr>
              <w:t>Otro pariente</w:t>
            </w:r>
          </w:p>
        </w:tc>
        <w:tc>
          <w:tcPr>
            <w:tcW w:w="1678" w:type="dxa"/>
            <w:tcBorders>
              <w:top w:val="nil"/>
              <w:left w:val="nil"/>
              <w:bottom w:val="nil"/>
              <w:right w:val="nil"/>
            </w:tcBorders>
          </w:tcPr>
          <w:p>
            <w:pPr>
              <w:pStyle w:val="TableParagraph"/>
              <w:spacing w:line="214" w:lineRule="exact"/>
              <w:ind w:right="176"/>
              <w:rPr>
                <w:sz w:val="19"/>
              </w:rPr>
            </w:pPr>
            <w:r>
              <w:rPr>
                <w:sz w:val="19"/>
              </w:rPr>
              <w:t>5.2</w:t>
            </w:r>
          </w:p>
        </w:tc>
        <w:tc>
          <w:tcPr>
            <w:tcW w:w="1158" w:type="dxa"/>
            <w:tcBorders>
              <w:top w:val="nil"/>
              <w:left w:val="nil"/>
              <w:bottom w:val="nil"/>
              <w:right w:val="nil"/>
            </w:tcBorders>
          </w:tcPr>
          <w:p>
            <w:pPr>
              <w:pStyle w:val="TableParagraph"/>
              <w:spacing w:line="214" w:lineRule="exact"/>
              <w:ind w:right="166"/>
              <w:rPr>
                <w:sz w:val="19"/>
              </w:rPr>
            </w:pPr>
            <w:r>
              <w:rPr>
                <w:sz w:val="19"/>
              </w:rPr>
              <w:t>2.8</w:t>
            </w:r>
          </w:p>
        </w:tc>
        <w:tc>
          <w:tcPr>
            <w:tcW w:w="1357" w:type="dxa"/>
            <w:tcBorders>
              <w:top w:val="nil"/>
              <w:left w:val="nil"/>
              <w:bottom w:val="nil"/>
              <w:right w:val="nil"/>
            </w:tcBorders>
          </w:tcPr>
          <w:p>
            <w:pPr>
              <w:pStyle w:val="TableParagraph"/>
              <w:spacing w:line="214" w:lineRule="exact"/>
              <w:ind w:right="103"/>
              <w:rPr>
                <w:sz w:val="19"/>
              </w:rPr>
            </w:pPr>
            <w:r>
              <w:rPr>
                <w:sz w:val="19"/>
              </w:rPr>
              <w:t>5.2</w:t>
            </w:r>
          </w:p>
        </w:tc>
      </w:tr>
      <w:tr>
        <w:trPr>
          <w:trHeight w:val="238" w:hRule="exact"/>
        </w:trPr>
        <w:tc>
          <w:tcPr>
            <w:tcW w:w="2327" w:type="dxa"/>
            <w:tcBorders>
              <w:top w:val="nil"/>
              <w:left w:val="nil"/>
              <w:bottom w:val="double" w:sz="4" w:space="0" w:color="000000"/>
              <w:right w:val="nil"/>
            </w:tcBorders>
          </w:tcPr>
          <w:p>
            <w:pPr>
              <w:pStyle w:val="TableParagraph"/>
              <w:spacing w:line="216" w:lineRule="exact"/>
              <w:ind w:left="106"/>
              <w:jc w:val="left"/>
              <w:rPr>
                <w:sz w:val="19"/>
              </w:rPr>
            </w:pPr>
            <w:r>
              <w:rPr>
                <w:w w:val="105"/>
                <w:sz w:val="19"/>
              </w:rPr>
              <w:t>Otro no pariente</w:t>
            </w:r>
          </w:p>
        </w:tc>
        <w:tc>
          <w:tcPr>
            <w:tcW w:w="1678" w:type="dxa"/>
            <w:tcBorders>
              <w:top w:val="nil"/>
              <w:left w:val="nil"/>
              <w:bottom w:val="double" w:sz="4" w:space="0" w:color="000000"/>
              <w:right w:val="nil"/>
            </w:tcBorders>
          </w:tcPr>
          <w:p>
            <w:pPr>
              <w:pStyle w:val="TableParagraph"/>
              <w:spacing w:line="216" w:lineRule="exact"/>
              <w:ind w:right="178"/>
              <w:rPr>
                <w:sz w:val="19"/>
              </w:rPr>
            </w:pPr>
            <w:r>
              <w:rPr>
                <w:sz w:val="19"/>
              </w:rPr>
              <w:t>1.6</w:t>
            </w:r>
          </w:p>
        </w:tc>
        <w:tc>
          <w:tcPr>
            <w:tcW w:w="1158" w:type="dxa"/>
            <w:tcBorders>
              <w:top w:val="nil"/>
              <w:left w:val="nil"/>
              <w:bottom w:val="double" w:sz="4" w:space="0" w:color="000000"/>
              <w:right w:val="nil"/>
            </w:tcBorders>
          </w:tcPr>
          <w:p>
            <w:pPr>
              <w:pStyle w:val="TableParagraph"/>
              <w:spacing w:line="216" w:lineRule="exact"/>
              <w:ind w:right="168"/>
              <w:rPr>
                <w:sz w:val="19"/>
              </w:rPr>
            </w:pPr>
            <w:r>
              <w:rPr>
                <w:sz w:val="19"/>
              </w:rPr>
              <w:t>2.2</w:t>
            </w:r>
          </w:p>
        </w:tc>
        <w:tc>
          <w:tcPr>
            <w:tcW w:w="1357" w:type="dxa"/>
            <w:tcBorders>
              <w:top w:val="nil"/>
              <w:left w:val="nil"/>
              <w:bottom w:val="double" w:sz="4" w:space="0" w:color="000000"/>
              <w:right w:val="nil"/>
            </w:tcBorders>
          </w:tcPr>
          <w:p>
            <w:pPr>
              <w:pStyle w:val="TableParagraph"/>
              <w:spacing w:line="216" w:lineRule="exact"/>
              <w:ind w:right="103"/>
              <w:rPr>
                <w:sz w:val="19"/>
              </w:rPr>
            </w:pPr>
            <w:r>
              <w:rPr>
                <w:sz w:val="19"/>
              </w:rPr>
              <w:t>1.6</w:t>
            </w:r>
          </w:p>
        </w:tc>
      </w:tr>
    </w:tbl>
    <w:p>
      <w:pPr>
        <w:spacing w:line="174" w:lineRule="exact" w:before="0"/>
        <w:ind w:left="224" w:right="117" w:firstLine="0"/>
        <w:jc w:val="left"/>
        <w:rPr>
          <w:sz w:val="16"/>
        </w:rPr>
      </w:pPr>
      <w:r>
        <w:rPr>
          <w:sz w:val="16"/>
        </w:rPr>
        <w:t>Fuente: cálculos propios a partir de la EMMEU 2009.</w:t>
      </w:r>
    </w:p>
    <w:p>
      <w:pPr>
        <w:pStyle w:val="BodyText"/>
        <w:spacing w:before="8"/>
        <w:rPr>
          <w:sz w:val="15"/>
        </w:rPr>
      </w:pPr>
    </w:p>
    <w:p>
      <w:pPr>
        <w:pStyle w:val="BodyText"/>
        <w:spacing w:line="247" w:lineRule="auto" w:before="1"/>
        <w:ind w:left="117" w:right="115" w:firstLine="283"/>
        <w:jc w:val="both"/>
      </w:pPr>
      <w:r>
        <w:rPr>
          <w:color w:val="231F20"/>
        </w:rPr>
        <w:t>El aumento en el índice de masculinidad sugiere una mayor presencia de parejas e incluso de familias que están migrando juntas, uno de los fe- nómenos recientes del proceso migratorio.</w:t>
      </w:r>
    </w:p>
    <w:p>
      <w:pPr>
        <w:pStyle w:val="BodyText"/>
        <w:spacing w:line="247" w:lineRule="auto"/>
        <w:ind w:left="117" w:right="114" w:firstLine="283"/>
        <w:jc w:val="both"/>
      </w:pPr>
      <w:r>
        <w:rPr>
          <w:color w:val="231F20"/>
        </w:rPr>
        <w:t>Los datos anteriores muestran que a nivel individual, la población mi- grante del Estado de México se caracterizó por dos patrones más o menos</w:t>
      </w:r>
    </w:p>
    <w:p>
      <w:pPr>
        <w:spacing w:after="0" w:line="247" w:lineRule="auto"/>
        <w:jc w:val="both"/>
        <w:sectPr>
          <w:footerReference w:type="default" r:id="rId193"/>
          <w:pgSz w:w="9360" w:h="13040"/>
          <w:pgMar w:footer="496" w:header="0" w:top="840" w:bottom="680" w:left="1300" w:right="1300"/>
          <w:pgNumType w:start="260"/>
        </w:sectPr>
      </w:pPr>
    </w:p>
    <w:p>
      <w:pPr>
        <w:spacing w:before="45"/>
        <w:ind w:left="117" w:right="0" w:firstLine="713"/>
        <w:jc w:val="left"/>
        <w:rPr>
          <w:rFonts w:ascii="Arial" w:hAnsi="Arial"/>
          <w:i/>
          <w:sz w:val="20"/>
        </w:rPr>
      </w:pPr>
      <w:r>
        <w:rPr>
          <w:rFonts w:ascii="Arial" w:hAnsi="Arial"/>
          <w:color w:val="231F20"/>
          <w:w w:val="70"/>
          <w:sz w:val="20"/>
        </w:rPr>
        <w:t>La dinámica migratoria al interior de los hogares: formas... /Rosa Patricia Román-Reyes </w:t>
      </w:r>
      <w:r>
        <w:rPr>
          <w:rFonts w:ascii="Arial" w:hAnsi="Arial"/>
          <w:i/>
          <w:color w:val="231F20"/>
          <w:w w:val="70"/>
          <w:sz w:val="20"/>
        </w:rPr>
        <w:t>et al.</w:t>
      </w:r>
    </w:p>
    <w:p>
      <w:pPr>
        <w:pStyle w:val="BodyText"/>
        <w:spacing w:before="7"/>
        <w:rPr>
          <w:rFonts w:ascii="Arial"/>
          <w:i/>
          <w:sz w:val="28"/>
        </w:rPr>
      </w:pPr>
    </w:p>
    <w:p>
      <w:pPr>
        <w:pStyle w:val="BodyText"/>
        <w:spacing w:line="247" w:lineRule="auto"/>
        <w:ind w:left="117" w:right="115"/>
        <w:jc w:val="both"/>
      </w:pPr>
      <w:r>
        <w:rPr>
          <w:color w:val="231F20"/>
        </w:rPr>
        <w:t>definidos;</w:t>
      </w:r>
      <w:r>
        <w:rPr>
          <w:color w:val="231F20"/>
          <w:spacing w:val="-9"/>
        </w:rPr>
        <w:t> </w:t>
      </w:r>
      <w:r>
        <w:rPr>
          <w:color w:val="231F20"/>
        </w:rPr>
        <w:t>la</w:t>
      </w:r>
      <w:r>
        <w:rPr>
          <w:color w:val="231F20"/>
          <w:spacing w:val="-9"/>
        </w:rPr>
        <w:t> </w:t>
      </w:r>
      <w:r>
        <w:rPr>
          <w:color w:val="231F20"/>
        </w:rPr>
        <w:t>juventud</w:t>
      </w:r>
      <w:r>
        <w:rPr>
          <w:color w:val="231F20"/>
          <w:spacing w:val="-9"/>
        </w:rPr>
        <w:t> </w:t>
      </w:r>
      <w:r>
        <w:rPr>
          <w:color w:val="231F20"/>
        </w:rPr>
        <w:t>y</w:t>
      </w:r>
      <w:r>
        <w:rPr>
          <w:color w:val="231F20"/>
          <w:spacing w:val="-8"/>
        </w:rPr>
        <w:t> </w:t>
      </w:r>
      <w:r>
        <w:rPr>
          <w:color w:val="231F20"/>
        </w:rPr>
        <w:t>feminización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misma,</w:t>
      </w:r>
      <w:r>
        <w:rPr>
          <w:color w:val="231F20"/>
          <w:spacing w:val="-9"/>
        </w:rPr>
        <w:t> </w:t>
      </w:r>
      <w:r>
        <w:rPr>
          <w:color w:val="231F20"/>
        </w:rPr>
        <w:t>así</w:t>
      </w:r>
      <w:r>
        <w:rPr>
          <w:color w:val="231F20"/>
          <w:spacing w:val="-9"/>
        </w:rPr>
        <w:t> </w:t>
      </w:r>
      <w:r>
        <w:rPr>
          <w:color w:val="231F20"/>
        </w:rPr>
        <w:t>como</w:t>
      </w:r>
      <w:r>
        <w:rPr>
          <w:color w:val="231F20"/>
          <w:spacing w:val="-9"/>
        </w:rPr>
        <w:t> </w:t>
      </w:r>
      <w:r>
        <w:rPr>
          <w:color w:val="231F20"/>
        </w:rPr>
        <w:t>menor</w:t>
      </w:r>
      <w:r>
        <w:rPr>
          <w:color w:val="231F20"/>
          <w:spacing w:val="-9"/>
        </w:rPr>
        <w:t> </w:t>
      </w:r>
      <w:r>
        <w:rPr>
          <w:color w:val="231F20"/>
        </w:rPr>
        <w:t>escola- ridad en los niveles más avanzados. Pasemos ahora a explorar cuáles eran las características ya no de los individuos migrantes, sino de sus</w:t>
      </w:r>
      <w:r>
        <w:rPr>
          <w:color w:val="231F20"/>
          <w:spacing w:val="-10"/>
        </w:rPr>
        <w:t> </w:t>
      </w:r>
      <w:r>
        <w:rPr>
          <w:color w:val="231F20"/>
        </w:rPr>
        <w:t>hogares.</w:t>
      </w:r>
    </w:p>
    <w:p>
      <w:pPr>
        <w:pStyle w:val="Heading3"/>
      </w:pPr>
      <w:r>
        <w:rPr>
          <w:color w:val="231F20"/>
        </w:rPr>
        <w:t>Los hogares mexiquenses vistos a través de la EMMEU 2009</w:t>
      </w:r>
    </w:p>
    <w:p>
      <w:pPr>
        <w:pStyle w:val="BodyText"/>
        <w:spacing w:line="247" w:lineRule="auto" w:before="172"/>
        <w:ind w:left="117" w:right="115"/>
        <w:jc w:val="both"/>
      </w:pPr>
      <w:r>
        <w:rPr>
          <w:color w:val="231F20"/>
        </w:rPr>
        <w:t>Dentro de los estudios de la migración desde una perspectiva sociodemo- gráfica, tradicionalmente se han estudiado las características de los indi- viduos para detectar las diferencias a partir de las principales variables demográficas, como sexo y edad, pero también sus características so- cioeconómicas, incluidas su escolaridad, actividad económica, ocupación, posición en la ocupación e ingresos.</w:t>
      </w:r>
    </w:p>
    <w:p>
      <w:pPr>
        <w:pStyle w:val="BodyText"/>
        <w:spacing w:line="247" w:lineRule="auto"/>
        <w:ind w:left="117" w:right="114" w:firstLine="283"/>
        <w:jc w:val="both"/>
      </w:pPr>
      <w:r>
        <w:rPr>
          <w:color w:val="231F20"/>
        </w:rPr>
        <w:t>El análisis a nivel individual ha contribuido, sin duda, al conocimiento de las complejas interrelaciones entre desarrollo económico y dinámica demográfica. A la luz de propuestas teóricas diversas, como la teoría de la modernización</w:t>
      </w:r>
      <w:r>
        <w:rPr>
          <w:color w:val="231F20"/>
          <w:spacing w:val="-10"/>
        </w:rPr>
        <w:t> </w:t>
      </w:r>
      <w:r>
        <w:rPr>
          <w:color w:val="231F20"/>
        </w:rPr>
        <w:t>y</w:t>
      </w:r>
      <w:r>
        <w:rPr>
          <w:color w:val="231F20"/>
          <w:spacing w:val="-9"/>
        </w:rPr>
        <w:t> </w:t>
      </w:r>
      <w:r>
        <w:rPr>
          <w:color w:val="231F20"/>
        </w:rPr>
        <w:t>el</w:t>
      </w:r>
      <w:r>
        <w:rPr>
          <w:color w:val="231F20"/>
          <w:spacing w:val="-9"/>
        </w:rPr>
        <w:t> </w:t>
      </w:r>
      <w:r>
        <w:rPr>
          <w:color w:val="231F20"/>
        </w:rPr>
        <w:t>enfoque</w:t>
      </w:r>
      <w:r>
        <w:rPr>
          <w:color w:val="231F20"/>
          <w:spacing w:val="-9"/>
        </w:rPr>
        <w:t> </w:t>
      </w:r>
      <w:r>
        <w:rPr>
          <w:color w:val="231F20"/>
        </w:rPr>
        <w:t>histórico</w:t>
      </w:r>
      <w:r>
        <w:rPr>
          <w:color w:val="231F20"/>
          <w:spacing w:val="-9"/>
        </w:rPr>
        <w:t> </w:t>
      </w:r>
      <w:r>
        <w:rPr>
          <w:color w:val="231F20"/>
        </w:rPr>
        <w:t>estructural,</w:t>
      </w:r>
      <w:r>
        <w:rPr>
          <w:color w:val="231F20"/>
          <w:spacing w:val="-10"/>
        </w:rPr>
        <w:t> </w:t>
      </w:r>
      <w:r>
        <w:rPr>
          <w:color w:val="231F20"/>
        </w:rPr>
        <w:t>se</w:t>
      </w:r>
      <w:r>
        <w:rPr>
          <w:color w:val="231F20"/>
          <w:spacing w:val="-9"/>
        </w:rPr>
        <w:t> </w:t>
      </w:r>
      <w:r>
        <w:rPr>
          <w:color w:val="231F20"/>
        </w:rPr>
        <w:t>explicaron</w:t>
      </w:r>
      <w:r>
        <w:rPr>
          <w:color w:val="231F20"/>
          <w:spacing w:val="-9"/>
        </w:rPr>
        <w:t> </w:t>
      </w:r>
      <w:r>
        <w:rPr>
          <w:color w:val="231F20"/>
        </w:rPr>
        <w:t>las</w:t>
      </w:r>
      <w:r>
        <w:rPr>
          <w:color w:val="231F20"/>
          <w:spacing w:val="-9"/>
        </w:rPr>
        <w:t> </w:t>
      </w:r>
      <w:r>
        <w:rPr>
          <w:color w:val="231F20"/>
        </w:rPr>
        <w:t>diferen- cias</w:t>
      </w:r>
      <w:r>
        <w:rPr>
          <w:color w:val="231F20"/>
          <w:spacing w:val="-13"/>
        </w:rPr>
        <w:t> </w:t>
      </w:r>
      <w:r>
        <w:rPr>
          <w:color w:val="231F20"/>
        </w:rPr>
        <w:t>sociodemográficas</w:t>
      </w:r>
      <w:r>
        <w:rPr>
          <w:color w:val="231F20"/>
          <w:spacing w:val="-13"/>
        </w:rPr>
        <w:t> </w:t>
      </w:r>
      <w:r>
        <w:rPr>
          <w:color w:val="231F20"/>
        </w:rPr>
        <w:t>entre</w:t>
      </w:r>
      <w:r>
        <w:rPr>
          <w:color w:val="231F20"/>
          <w:spacing w:val="-13"/>
        </w:rPr>
        <w:t> </w:t>
      </w:r>
      <w:r>
        <w:rPr>
          <w:color w:val="231F20"/>
        </w:rPr>
        <w:t>los</w:t>
      </w:r>
      <w:r>
        <w:rPr>
          <w:color w:val="231F20"/>
          <w:spacing w:val="-13"/>
        </w:rPr>
        <w:t> </w:t>
      </w:r>
      <w:r>
        <w:rPr>
          <w:color w:val="231F20"/>
        </w:rPr>
        <w:t>migrantes</w:t>
      </w:r>
      <w:r>
        <w:rPr>
          <w:color w:val="231F20"/>
          <w:spacing w:val="-13"/>
        </w:rPr>
        <w:t> </w:t>
      </w:r>
      <w:r>
        <w:rPr>
          <w:color w:val="231F20"/>
        </w:rPr>
        <w:t>internos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región</w:t>
      </w:r>
      <w:r>
        <w:rPr>
          <w:color w:val="231F20"/>
          <w:spacing w:val="-13"/>
        </w:rPr>
        <w:t> </w:t>
      </w:r>
      <w:r>
        <w:rPr>
          <w:color w:val="231F20"/>
        </w:rPr>
        <w:t>latinoame- ricana </w:t>
      </w:r>
      <w:r>
        <w:rPr>
          <w:color w:val="231F20"/>
          <w:spacing w:val="-3"/>
        </w:rPr>
        <w:t>(Tovar </w:t>
      </w:r>
      <w:r>
        <w:rPr>
          <w:color w:val="231F20"/>
        </w:rPr>
        <w:t>y Vélez,</w:t>
      </w:r>
      <w:r>
        <w:rPr>
          <w:color w:val="231F20"/>
          <w:spacing w:val="-4"/>
        </w:rPr>
        <w:t> </w:t>
      </w:r>
      <w:r>
        <w:rPr>
          <w:color w:val="231F20"/>
        </w:rPr>
        <w:t>2007).</w:t>
      </w:r>
    </w:p>
    <w:p>
      <w:pPr>
        <w:pStyle w:val="BodyText"/>
        <w:spacing w:line="247" w:lineRule="auto"/>
        <w:ind w:left="117" w:right="114" w:firstLine="283"/>
        <w:jc w:val="both"/>
      </w:pPr>
      <w:r>
        <w:rPr>
          <w:color w:val="231F20"/>
        </w:rPr>
        <w:t>Así, la teoría de la modernización enfatizaba las características de los individuos</w:t>
      </w:r>
      <w:r>
        <w:rPr>
          <w:color w:val="231F20"/>
          <w:spacing w:val="-7"/>
        </w:rPr>
        <w:t> </w:t>
      </w:r>
      <w:r>
        <w:rPr>
          <w:color w:val="231F20"/>
        </w:rPr>
        <w:t>para</w:t>
      </w:r>
      <w:r>
        <w:rPr>
          <w:color w:val="231F20"/>
          <w:spacing w:val="-7"/>
        </w:rPr>
        <w:t> </w:t>
      </w:r>
      <w:r>
        <w:rPr>
          <w:color w:val="231F20"/>
        </w:rPr>
        <w:t>explicar</w:t>
      </w:r>
      <w:r>
        <w:rPr>
          <w:color w:val="231F20"/>
          <w:spacing w:val="-7"/>
        </w:rPr>
        <w:t> </w:t>
      </w:r>
      <w:r>
        <w:rPr>
          <w:color w:val="231F20"/>
        </w:rPr>
        <w:t>los</w:t>
      </w:r>
      <w:r>
        <w:rPr>
          <w:color w:val="231F20"/>
          <w:spacing w:val="-7"/>
        </w:rPr>
        <w:t> </w:t>
      </w:r>
      <w:r>
        <w:rPr>
          <w:color w:val="231F20"/>
        </w:rPr>
        <w:t>flujos</w:t>
      </w:r>
      <w:r>
        <w:rPr>
          <w:color w:val="231F20"/>
          <w:spacing w:val="-7"/>
        </w:rPr>
        <w:t> </w:t>
      </w:r>
      <w:r>
        <w:rPr>
          <w:color w:val="231F20"/>
        </w:rPr>
        <w:t>migratorios</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luz</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diferencias</w:t>
      </w:r>
      <w:r>
        <w:rPr>
          <w:color w:val="231F20"/>
          <w:spacing w:val="-7"/>
        </w:rPr>
        <w:t> </w:t>
      </w:r>
      <w:r>
        <w:rPr>
          <w:color w:val="231F20"/>
        </w:rPr>
        <w:t>de los mercados laborales y los ingresos entre las áreas de origen y destino, resaltando la importancia de los factores de atracción y rechazo. Por su parte el enfoque histórico estructural daba un peso central a las desiguales condiciones estructurales de los distintos puntos de origen y destino de</w:t>
      </w:r>
      <w:r>
        <w:rPr>
          <w:color w:val="231F20"/>
          <w:spacing w:val="-34"/>
        </w:rPr>
        <w:t> </w:t>
      </w:r>
      <w:r>
        <w:rPr>
          <w:color w:val="231F20"/>
        </w:rPr>
        <w:t>los migrantes y enfatizaba la influencia de los factores macro en la migración rural urbana, principalmente.</w:t>
      </w:r>
    </w:p>
    <w:p>
      <w:pPr>
        <w:pStyle w:val="BodyText"/>
        <w:spacing w:line="247" w:lineRule="auto"/>
        <w:ind w:left="117" w:right="113" w:firstLine="283"/>
        <w:jc w:val="both"/>
      </w:pPr>
      <w:r>
        <w:rPr>
          <w:color w:val="231F20"/>
        </w:rPr>
        <w:t>No obstante, ya desde la década de los 70 se planteaba la necesidad de incorporar</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análisis</w:t>
      </w:r>
      <w:r>
        <w:rPr>
          <w:color w:val="231F20"/>
          <w:spacing w:val="-9"/>
        </w:rPr>
        <w:t> </w:t>
      </w:r>
      <w:r>
        <w:rPr>
          <w:color w:val="231F20"/>
        </w:rPr>
        <w:t>del</w:t>
      </w:r>
      <w:r>
        <w:rPr>
          <w:color w:val="231F20"/>
          <w:spacing w:val="-9"/>
        </w:rPr>
        <w:t> </w:t>
      </w:r>
      <w:r>
        <w:rPr>
          <w:color w:val="231F20"/>
        </w:rPr>
        <w:t>fenómeno</w:t>
      </w:r>
      <w:r>
        <w:rPr>
          <w:color w:val="231F20"/>
          <w:spacing w:val="-8"/>
        </w:rPr>
        <w:t> </w:t>
      </w:r>
      <w:r>
        <w:rPr>
          <w:color w:val="231F20"/>
        </w:rPr>
        <w:t>migratorio</w:t>
      </w:r>
      <w:r>
        <w:rPr>
          <w:color w:val="231F20"/>
          <w:spacing w:val="-9"/>
        </w:rPr>
        <w:t> </w:t>
      </w:r>
      <w:r>
        <w:rPr>
          <w:color w:val="231F20"/>
        </w:rPr>
        <w:t>las</w:t>
      </w:r>
      <w:r>
        <w:rPr>
          <w:color w:val="231F20"/>
          <w:spacing w:val="-9"/>
        </w:rPr>
        <w:t> </w:t>
      </w:r>
      <w:r>
        <w:rPr>
          <w:color w:val="231F20"/>
        </w:rPr>
        <w:t>distintas</w:t>
      </w:r>
      <w:r>
        <w:rPr>
          <w:color w:val="231F20"/>
          <w:spacing w:val="-9"/>
        </w:rPr>
        <w:t> </w:t>
      </w:r>
      <w:r>
        <w:rPr>
          <w:color w:val="231F20"/>
        </w:rPr>
        <w:t>mediaciones que intervenían entre los factores individuales y los macroestructurales, como</w:t>
      </w:r>
      <w:r>
        <w:rPr>
          <w:color w:val="231F20"/>
          <w:spacing w:val="-10"/>
        </w:rPr>
        <w:t> </w:t>
      </w:r>
      <w:r>
        <w:rPr>
          <w:color w:val="231F20"/>
        </w:rPr>
        <w:t>los</w:t>
      </w:r>
      <w:r>
        <w:rPr>
          <w:color w:val="231F20"/>
          <w:spacing w:val="-10"/>
        </w:rPr>
        <w:t> </w:t>
      </w:r>
      <w:r>
        <w:rPr>
          <w:color w:val="231F20"/>
        </w:rPr>
        <w:t>hogares</w:t>
      </w:r>
      <w:r>
        <w:rPr>
          <w:color w:val="231F20"/>
          <w:spacing w:val="-10"/>
        </w:rPr>
        <w:t> </w:t>
      </w:r>
      <w:r>
        <w:rPr>
          <w:color w:val="231F20"/>
        </w:rPr>
        <w:t>y</w:t>
      </w:r>
      <w:r>
        <w:rPr>
          <w:color w:val="231F20"/>
          <w:spacing w:val="-10"/>
        </w:rPr>
        <w:t> </w:t>
      </w:r>
      <w:r>
        <w:rPr>
          <w:color w:val="231F20"/>
        </w:rPr>
        <w:t>familias</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que</w:t>
      </w:r>
      <w:r>
        <w:rPr>
          <w:color w:val="231F20"/>
          <w:spacing w:val="-10"/>
        </w:rPr>
        <w:t> </w:t>
      </w:r>
      <w:r>
        <w:rPr>
          <w:color w:val="231F20"/>
        </w:rPr>
        <w:t>pertenecían</w:t>
      </w:r>
      <w:r>
        <w:rPr>
          <w:color w:val="231F20"/>
          <w:spacing w:val="-10"/>
        </w:rPr>
        <w:t> </w:t>
      </w:r>
      <w:r>
        <w:rPr>
          <w:color w:val="231F20"/>
        </w:rPr>
        <w:t>los</w:t>
      </w:r>
      <w:r>
        <w:rPr>
          <w:color w:val="231F20"/>
          <w:spacing w:val="-10"/>
        </w:rPr>
        <w:t> </w:t>
      </w:r>
      <w:r>
        <w:rPr>
          <w:color w:val="231F20"/>
        </w:rPr>
        <w:t>migrantes,</w:t>
      </w:r>
      <w:r>
        <w:rPr>
          <w:color w:val="231F20"/>
          <w:spacing w:val="-10"/>
        </w:rPr>
        <w:t> </w:t>
      </w:r>
      <w:r>
        <w:rPr>
          <w:color w:val="231F20"/>
        </w:rPr>
        <w:t>resaltando aspectos de la teoría de la reproducción social y dentro de ésta las estrate- gias de sobrevivencia / reproducción de las familias.</w:t>
      </w:r>
    </w:p>
    <w:p>
      <w:pPr>
        <w:pStyle w:val="BodyText"/>
        <w:spacing w:line="247" w:lineRule="auto"/>
        <w:ind w:left="117" w:right="115" w:firstLine="283"/>
        <w:jc w:val="both"/>
      </w:pPr>
      <w:r>
        <w:rPr>
          <w:color w:val="231F20"/>
        </w:rPr>
        <w:t>Aunque la aproximación a dichas estrategias requiere forzosamente de metodologías interpretativas/cualitativas, la información proveniente de</w:t>
      </w:r>
      <w:r>
        <w:rPr>
          <w:color w:val="231F20"/>
          <w:spacing w:val="-12"/>
        </w:rPr>
        <w:t> </w:t>
      </w:r>
      <w:r>
        <w:rPr>
          <w:color w:val="231F20"/>
        </w:rPr>
        <w:t>la EMMEU</w:t>
      </w:r>
      <w:r>
        <w:rPr>
          <w:color w:val="231F20"/>
          <w:spacing w:val="-8"/>
        </w:rPr>
        <w:t> </w:t>
      </w:r>
      <w:r>
        <w:rPr>
          <w:color w:val="231F20"/>
        </w:rPr>
        <w:t>2009</w:t>
      </w:r>
      <w:r>
        <w:rPr>
          <w:color w:val="231F20"/>
          <w:spacing w:val="-8"/>
        </w:rPr>
        <w:t> </w:t>
      </w:r>
      <w:r>
        <w:rPr>
          <w:color w:val="231F20"/>
        </w:rPr>
        <w:t>permite</w:t>
      </w:r>
      <w:r>
        <w:rPr>
          <w:color w:val="231F20"/>
          <w:spacing w:val="-9"/>
        </w:rPr>
        <w:t> </w:t>
      </w:r>
      <w:r>
        <w:rPr>
          <w:color w:val="231F20"/>
        </w:rPr>
        <w:t>la</w:t>
      </w:r>
      <w:r>
        <w:rPr>
          <w:color w:val="231F20"/>
          <w:spacing w:val="-9"/>
        </w:rPr>
        <w:t> </w:t>
      </w:r>
      <w:r>
        <w:rPr>
          <w:color w:val="231F20"/>
        </w:rPr>
        <w:t>vinculación</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características</w:t>
      </w:r>
      <w:r>
        <w:rPr>
          <w:color w:val="231F20"/>
          <w:spacing w:val="-9"/>
        </w:rPr>
        <w:t> </w:t>
      </w:r>
      <w:r>
        <w:rPr>
          <w:color w:val="231F20"/>
        </w:rPr>
        <w:t>individuales</w:t>
      </w:r>
      <w:r>
        <w:rPr>
          <w:color w:val="231F20"/>
          <w:spacing w:val="-9"/>
        </w:rPr>
        <w:t> </w:t>
      </w:r>
      <w:r>
        <w:rPr>
          <w:color w:val="231F20"/>
        </w:rPr>
        <w:t>de los migrantes con las de sus</w:t>
      </w:r>
      <w:r>
        <w:rPr>
          <w:color w:val="231F20"/>
          <w:spacing w:val="-6"/>
        </w:rPr>
        <w:t> </w:t>
      </w:r>
      <w:r>
        <w:rPr>
          <w:color w:val="231F20"/>
        </w:rPr>
        <w:t>hogares.</w:t>
      </w:r>
    </w:p>
    <w:p>
      <w:pPr>
        <w:pStyle w:val="BodyText"/>
        <w:spacing w:line="247" w:lineRule="auto"/>
        <w:ind w:left="117" w:right="114" w:firstLine="283"/>
        <w:jc w:val="both"/>
      </w:pPr>
      <w:r>
        <w:rPr>
          <w:color w:val="231F20"/>
        </w:rPr>
        <w:t>Muchos estudios se han concentrado en la capacidad de las remesas, como la manifestación más tangible de la migración, de estimular la in- versión en activos agrícolas (Rozelle </w:t>
      </w:r>
      <w:r>
        <w:rPr>
          <w:i/>
          <w:color w:val="231F20"/>
        </w:rPr>
        <w:t>et al</w:t>
      </w:r>
      <w:r>
        <w:rPr>
          <w:color w:val="231F20"/>
        </w:rPr>
        <w:t>., 1999; Adams, 1991), mientras otros han mirado el efecto sobre el desarrollo de actividades</w:t>
      </w:r>
      <w:r>
        <w:rPr>
          <w:color w:val="231F20"/>
          <w:spacing w:val="-37"/>
        </w:rPr>
        <w:t> </w:t>
      </w:r>
      <w:r>
        <w:rPr>
          <w:color w:val="231F20"/>
        </w:rPr>
        <w:t>empresariales</w:t>
      </w:r>
    </w:p>
    <w:p>
      <w:pPr>
        <w:spacing w:after="0" w:line="247" w:lineRule="auto"/>
        <w:jc w:val="both"/>
        <w:sectPr>
          <w:pgSz w:w="9360" w:h="13040"/>
          <w:pgMar w:header="0" w:footer="496" w:top="740" w:bottom="680" w:left="1300" w:right="1300"/>
        </w:sectPr>
      </w:pPr>
    </w:p>
    <w:p>
      <w:pPr>
        <w:tabs>
          <w:tab w:pos="5536" w:val="left" w:leader="none"/>
        </w:tabs>
        <w:spacing w:before="51"/>
        <w:ind w:left="117" w:right="0" w:firstLine="11"/>
        <w:jc w:val="both"/>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114"/>
        <w:jc w:val="both"/>
      </w:pPr>
      <w:r>
        <w:rPr>
          <w:color w:val="231F20"/>
          <w:spacing w:val="-4"/>
        </w:rPr>
        <w:t>(Yang, </w:t>
      </w:r>
      <w:r>
        <w:rPr>
          <w:color w:val="231F20"/>
        </w:rPr>
        <w:t>2005). Suponer que las remesas liberan recursos que pueden ser usados en el gasto en educación, motivó a otros autores a mirar la forma en que la migración de un miembro del hogar afecta los logros educativos (McKenzie</w:t>
      </w:r>
      <w:r>
        <w:rPr>
          <w:color w:val="231F20"/>
          <w:spacing w:val="-5"/>
        </w:rPr>
        <w:t> </w:t>
      </w:r>
      <w:r>
        <w:rPr>
          <w:i/>
          <w:color w:val="231F20"/>
        </w:rPr>
        <w:t>et</w:t>
      </w:r>
      <w:r>
        <w:rPr>
          <w:i/>
          <w:color w:val="231F20"/>
          <w:spacing w:val="-5"/>
        </w:rPr>
        <w:t> </w:t>
      </w:r>
      <w:r>
        <w:rPr>
          <w:i/>
          <w:color w:val="231F20"/>
        </w:rPr>
        <w:t>al</w:t>
      </w:r>
      <w:r>
        <w:rPr>
          <w:color w:val="231F20"/>
        </w:rPr>
        <w:t>.,</w:t>
      </w:r>
      <w:r>
        <w:rPr>
          <w:color w:val="231F20"/>
          <w:spacing w:val="-5"/>
        </w:rPr>
        <w:t> </w:t>
      </w:r>
      <w:r>
        <w:rPr>
          <w:color w:val="231F20"/>
        </w:rPr>
        <w:t>2006)</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deserción</w:t>
      </w:r>
      <w:r>
        <w:rPr>
          <w:color w:val="231F20"/>
          <w:spacing w:val="-5"/>
        </w:rPr>
        <w:t> </w:t>
      </w:r>
      <w:r>
        <w:rPr>
          <w:color w:val="231F20"/>
        </w:rPr>
        <w:t>escolar</w:t>
      </w:r>
      <w:r>
        <w:rPr>
          <w:color w:val="231F20"/>
          <w:spacing w:val="-6"/>
        </w:rPr>
        <w:t> </w:t>
      </w:r>
      <w:r>
        <w:rPr>
          <w:color w:val="231F20"/>
        </w:rPr>
        <w:t>de</w:t>
      </w:r>
      <w:r>
        <w:rPr>
          <w:color w:val="231F20"/>
          <w:spacing w:val="-5"/>
        </w:rPr>
        <w:t> </w:t>
      </w:r>
      <w:r>
        <w:rPr>
          <w:color w:val="231F20"/>
        </w:rPr>
        <w:t>otros</w:t>
      </w:r>
      <w:r>
        <w:rPr>
          <w:color w:val="231F20"/>
          <w:spacing w:val="-5"/>
        </w:rPr>
        <w:t> </w:t>
      </w:r>
      <w:r>
        <w:rPr>
          <w:color w:val="231F20"/>
          <w:spacing w:val="-4"/>
        </w:rPr>
        <w:t>(Yang,</w:t>
      </w:r>
      <w:r>
        <w:rPr>
          <w:color w:val="231F20"/>
          <w:spacing w:val="-5"/>
        </w:rPr>
        <w:t> </w:t>
      </w:r>
      <w:r>
        <w:rPr>
          <w:color w:val="231F20"/>
        </w:rPr>
        <w:t>2005).</w:t>
      </w:r>
      <w:r>
        <w:rPr>
          <w:color w:val="231F20"/>
          <w:spacing w:val="-17"/>
        </w:rPr>
        <w:t> </w:t>
      </w:r>
      <w:r>
        <w:rPr>
          <w:color w:val="231F20"/>
        </w:rPr>
        <w:t>Ade- más, con el propósito de ver los efectos de la migración sobre la pobreza se han conducido investigaciones basadas en medidas construidas a partir de Líneas de Pobreza (LP): incidencia, profundidad y severidad (Adams, 1991; Barham y Boucher, 1998; Solimano, 2003b; Garay y Rodríguez, 2005; </w:t>
      </w:r>
      <w:r>
        <w:rPr>
          <w:color w:val="231F20"/>
          <w:spacing w:val="-4"/>
        </w:rPr>
        <w:t>Tovar </w:t>
      </w:r>
      <w:r>
        <w:rPr>
          <w:color w:val="231F20"/>
        </w:rPr>
        <w:t>y Vélez,</w:t>
      </w:r>
      <w:r>
        <w:rPr>
          <w:color w:val="231F20"/>
          <w:spacing w:val="-5"/>
        </w:rPr>
        <w:t> </w:t>
      </w:r>
      <w:r>
        <w:rPr>
          <w:color w:val="231F20"/>
        </w:rPr>
        <w:t>2007).</w:t>
      </w:r>
    </w:p>
    <w:p>
      <w:pPr>
        <w:pStyle w:val="BodyText"/>
        <w:spacing w:line="247" w:lineRule="auto"/>
        <w:ind w:left="117" w:right="114" w:firstLine="283"/>
        <w:jc w:val="both"/>
      </w:pPr>
      <w:r>
        <w:rPr>
          <w:color w:val="231F20"/>
        </w:rPr>
        <w:t>En</w:t>
      </w:r>
      <w:r>
        <w:rPr>
          <w:color w:val="231F20"/>
          <w:spacing w:val="-11"/>
        </w:rPr>
        <w:t> </w:t>
      </w:r>
      <w:r>
        <w:rPr>
          <w:color w:val="231F20"/>
        </w:rPr>
        <w:t>este</w:t>
      </w:r>
      <w:r>
        <w:rPr>
          <w:color w:val="231F20"/>
          <w:spacing w:val="-11"/>
        </w:rPr>
        <w:t> </w:t>
      </w:r>
      <w:r>
        <w:rPr>
          <w:color w:val="231F20"/>
        </w:rPr>
        <w:t>apartado</w:t>
      </w:r>
      <w:r>
        <w:rPr>
          <w:color w:val="231F20"/>
          <w:spacing w:val="-12"/>
        </w:rPr>
        <w:t> </w:t>
      </w:r>
      <w:r>
        <w:rPr>
          <w:color w:val="231F20"/>
        </w:rPr>
        <w:t>se</w:t>
      </w:r>
      <w:r>
        <w:rPr>
          <w:color w:val="231F20"/>
          <w:spacing w:val="-11"/>
        </w:rPr>
        <w:t> </w:t>
      </w:r>
      <w:r>
        <w:rPr>
          <w:color w:val="231F20"/>
        </w:rPr>
        <w:t>abordará</w:t>
      </w:r>
      <w:r>
        <w:rPr>
          <w:color w:val="231F20"/>
          <w:spacing w:val="-12"/>
        </w:rPr>
        <w:t> </w:t>
      </w:r>
      <w:r>
        <w:rPr>
          <w:color w:val="231F20"/>
        </w:rPr>
        <w:t>la</w:t>
      </w:r>
      <w:r>
        <w:rPr>
          <w:color w:val="231F20"/>
          <w:spacing w:val="-11"/>
        </w:rPr>
        <w:t> </w:t>
      </w:r>
      <w:r>
        <w:rPr>
          <w:color w:val="231F20"/>
        </w:rPr>
        <w:t>forma</w:t>
      </w:r>
      <w:r>
        <w:rPr>
          <w:color w:val="231F20"/>
          <w:spacing w:val="-11"/>
        </w:rPr>
        <w:t> </w:t>
      </w:r>
      <w:r>
        <w:rPr>
          <w:color w:val="231F20"/>
        </w:rPr>
        <w:t>en</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dinámica</w:t>
      </w:r>
      <w:r>
        <w:rPr>
          <w:color w:val="231F20"/>
          <w:spacing w:val="-11"/>
        </w:rPr>
        <w:t> </w:t>
      </w:r>
      <w:r>
        <w:rPr>
          <w:color w:val="231F20"/>
        </w:rPr>
        <w:t>migratoria</w:t>
      </w:r>
      <w:r>
        <w:rPr>
          <w:color w:val="231F20"/>
          <w:spacing w:val="-12"/>
        </w:rPr>
        <w:t> </w:t>
      </w:r>
      <w:r>
        <w:rPr>
          <w:color w:val="231F20"/>
        </w:rPr>
        <w:t>im- pacta en las formas concretas y en las prácticas cotidianas de</w:t>
      </w:r>
      <w:r>
        <w:rPr>
          <w:color w:val="231F20"/>
          <w:spacing w:val="-28"/>
        </w:rPr>
        <w:t> </w:t>
      </w:r>
      <w:r>
        <w:rPr>
          <w:color w:val="231F20"/>
        </w:rPr>
        <w:t>organización de los hogares. Para hacerlo se analizan las características de los hogares mexiquenses que participan en la migración mediante un análisis compa- rativo con los hogares que no tienen relación con el fenómeno migratorio, identificación</w:t>
      </w:r>
      <w:r>
        <w:rPr>
          <w:color w:val="231F20"/>
          <w:spacing w:val="-12"/>
        </w:rPr>
        <w:t> </w:t>
      </w:r>
      <w:r>
        <w:rPr>
          <w:color w:val="231F20"/>
        </w:rPr>
        <w:t>de</w:t>
      </w:r>
      <w:r>
        <w:rPr>
          <w:color w:val="231F20"/>
          <w:spacing w:val="-12"/>
        </w:rPr>
        <w:t> </w:t>
      </w:r>
      <w:r>
        <w:rPr>
          <w:color w:val="231F20"/>
        </w:rPr>
        <w:t>estrategias</w:t>
      </w:r>
      <w:r>
        <w:rPr>
          <w:color w:val="231F20"/>
          <w:spacing w:val="-12"/>
        </w:rPr>
        <w:t> </w:t>
      </w:r>
      <w:r>
        <w:rPr>
          <w:color w:val="231F20"/>
        </w:rPr>
        <w:t>y</w:t>
      </w:r>
      <w:r>
        <w:rPr>
          <w:color w:val="231F20"/>
          <w:spacing w:val="-12"/>
        </w:rPr>
        <w:t> </w:t>
      </w:r>
      <w:r>
        <w:rPr>
          <w:color w:val="231F20"/>
        </w:rPr>
        <w:t>respuestas</w:t>
      </w:r>
      <w:r>
        <w:rPr>
          <w:color w:val="231F20"/>
          <w:spacing w:val="-12"/>
        </w:rPr>
        <w:t> </w:t>
      </w:r>
      <w:r>
        <w:rPr>
          <w:color w:val="231F20"/>
        </w:rPr>
        <w:t>que</w:t>
      </w:r>
      <w:r>
        <w:rPr>
          <w:color w:val="231F20"/>
          <w:spacing w:val="-12"/>
        </w:rPr>
        <w:t> </w:t>
      </w:r>
      <w:r>
        <w:rPr>
          <w:color w:val="231F20"/>
        </w:rPr>
        <w:t>construyen</w:t>
      </w:r>
      <w:r>
        <w:rPr>
          <w:color w:val="231F20"/>
          <w:spacing w:val="-12"/>
        </w:rPr>
        <w:t> </w:t>
      </w:r>
      <w:r>
        <w:rPr>
          <w:color w:val="231F20"/>
        </w:rPr>
        <w:t>la</w:t>
      </w:r>
      <w:r>
        <w:rPr>
          <w:color w:val="231F20"/>
          <w:spacing w:val="-12"/>
        </w:rPr>
        <w:t> </w:t>
      </w:r>
      <w:r>
        <w:rPr>
          <w:color w:val="231F20"/>
        </w:rPr>
        <w:t>relación,</w:t>
      </w:r>
      <w:r>
        <w:rPr>
          <w:color w:val="231F20"/>
          <w:spacing w:val="-12"/>
        </w:rPr>
        <w:t> </w:t>
      </w:r>
      <w:r>
        <w:rPr>
          <w:color w:val="231F20"/>
        </w:rPr>
        <w:t>la</w:t>
      </w:r>
      <w:r>
        <w:rPr>
          <w:color w:val="231F20"/>
          <w:spacing w:val="-12"/>
        </w:rPr>
        <w:t> </w:t>
      </w:r>
      <w:r>
        <w:rPr>
          <w:color w:val="231F20"/>
        </w:rPr>
        <w:t>vin- culación de los migrantes con sus hogares de</w:t>
      </w:r>
      <w:r>
        <w:rPr>
          <w:color w:val="231F20"/>
          <w:spacing w:val="-6"/>
        </w:rPr>
        <w:t> </w:t>
      </w:r>
      <w:r>
        <w:rPr>
          <w:color w:val="231F20"/>
        </w:rPr>
        <w:t>origen.</w:t>
      </w:r>
    </w:p>
    <w:p>
      <w:pPr>
        <w:pStyle w:val="BodyText"/>
        <w:spacing w:line="247" w:lineRule="auto"/>
        <w:ind w:left="117" w:right="114" w:firstLine="283"/>
        <w:jc w:val="both"/>
      </w:pPr>
      <w:r>
        <w:rPr>
          <w:color w:val="231F20"/>
        </w:rPr>
        <w:t>Nuestro interés es presentar una primera aproximación a las caracterís- ticas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hogares</w:t>
      </w:r>
      <w:r>
        <w:rPr>
          <w:color w:val="231F20"/>
          <w:spacing w:val="-6"/>
        </w:rPr>
        <w:t> </w:t>
      </w:r>
      <w:r>
        <w:rPr>
          <w:color w:val="231F20"/>
        </w:rPr>
        <w:t>que</w:t>
      </w:r>
      <w:r>
        <w:rPr>
          <w:color w:val="231F20"/>
          <w:spacing w:val="-6"/>
        </w:rPr>
        <w:t> </w:t>
      </w:r>
      <w:r>
        <w:rPr>
          <w:color w:val="231F20"/>
        </w:rPr>
        <w:t>participan</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migración</w:t>
      </w:r>
      <w:r>
        <w:rPr>
          <w:color w:val="231F20"/>
          <w:spacing w:val="-7"/>
        </w:rPr>
        <w:t> </w:t>
      </w:r>
      <w:r>
        <w:rPr>
          <w:color w:val="231F20"/>
        </w:rPr>
        <w:t>en</w:t>
      </w:r>
      <w:r>
        <w:rPr>
          <w:color w:val="231F20"/>
          <w:spacing w:val="-6"/>
        </w:rPr>
        <w:t> </w:t>
      </w:r>
      <w:r>
        <w:rPr>
          <w:color w:val="231F20"/>
        </w:rPr>
        <w:t>comparación</w:t>
      </w:r>
      <w:r>
        <w:rPr>
          <w:color w:val="231F20"/>
          <w:spacing w:val="-7"/>
        </w:rPr>
        <w:t> </w:t>
      </w:r>
      <w:r>
        <w:rPr>
          <w:color w:val="231F20"/>
        </w:rPr>
        <w:t>con</w:t>
      </w:r>
      <w:r>
        <w:rPr>
          <w:color w:val="231F20"/>
          <w:spacing w:val="-6"/>
        </w:rPr>
        <w:t> </w:t>
      </w:r>
      <w:r>
        <w:rPr>
          <w:color w:val="231F20"/>
        </w:rPr>
        <w:t>los hogares mexiquenses que no tienen relación con el fenómeno migratorio. Se trata de una descripción comparativa muy general de las características de los</w:t>
      </w:r>
      <w:r>
        <w:rPr>
          <w:color w:val="231F20"/>
          <w:spacing w:val="-1"/>
        </w:rPr>
        <w:t> </w:t>
      </w:r>
      <w:r>
        <w:rPr>
          <w:color w:val="231F20"/>
        </w:rPr>
        <w:t>hogares.</w:t>
      </w:r>
    </w:p>
    <w:p>
      <w:pPr>
        <w:pStyle w:val="BodyText"/>
        <w:spacing w:line="247" w:lineRule="auto"/>
        <w:ind w:left="117" w:right="114" w:firstLine="283"/>
        <w:jc w:val="both"/>
      </w:pPr>
      <w:r>
        <w:rPr>
          <w:color w:val="231F20"/>
        </w:rPr>
        <w:t>Pero antes, un par de aclaraciones. En primer lugar hay que señalar que las características de los hogares que participan en la migración en el momento de aplicación de la encuesta no necesariamente eran las mismas que en el momento de la</w:t>
      </w:r>
      <w:r>
        <w:rPr>
          <w:color w:val="231F20"/>
          <w:spacing w:val="-2"/>
        </w:rPr>
        <w:t> </w:t>
      </w:r>
      <w:r>
        <w:rPr>
          <w:color w:val="231F20"/>
        </w:rPr>
        <w:t>migración.</w:t>
      </w:r>
    </w:p>
    <w:p>
      <w:pPr>
        <w:pStyle w:val="BodyText"/>
        <w:spacing w:line="247" w:lineRule="auto"/>
        <w:ind w:left="117" w:right="114" w:firstLine="283"/>
        <w:jc w:val="both"/>
      </w:pPr>
      <w:r>
        <w:rPr>
          <w:color w:val="231F20"/>
        </w:rPr>
        <w:t>Por otro lado, no todos los miembros de los hogares que participan de la</w:t>
      </w:r>
      <w:r>
        <w:rPr>
          <w:color w:val="231F20"/>
          <w:spacing w:val="-8"/>
        </w:rPr>
        <w:t> </w:t>
      </w:r>
      <w:r>
        <w:rPr>
          <w:color w:val="231F20"/>
        </w:rPr>
        <w:t>migración</w:t>
      </w:r>
      <w:r>
        <w:rPr>
          <w:color w:val="231F20"/>
          <w:spacing w:val="-8"/>
        </w:rPr>
        <w:t> </w:t>
      </w:r>
      <w:r>
        <w:rPr>
          <w:color w:val="231F20"/>
        </w:rPr>
        <w:t>son</w:t>
      </w:r>
      <w:r>
        <w:rPr>
          <w:color w:val="231F20"/>
          <w:spacing w:val="-8"/>
        </w:rPr>
        <w:t> </w:t>
      </w:r>
      <w:r>
        <w:rPr>
          <w:color w:val="231F20"/>
        </w:rPr>
        <w:t>migrantes.</w:t>
      </w:r>
      <w:r>
        <w:rPr>
          <w:color w:val="231F20"/>
          <w:spacing w:val="-9"/>
        </w:rPr>
        <w:t> </w:t>
      </w:r>
      <w:r>
        <w:rPr>
          <w:color w:val="231F20"/>
        </w:rPr>
        <w:t>En</w:t>
      </w:r>
      <w:r>
        <w:rPr>
          <w:color w:val="231F20"/>
          <w:spacing w:val="-8"/>
        </w:rPr>
        <w:t> </w:t>
      </w:r>
      <w:r>
        <w:rPr>
          <w:color w:val="231F20"/>
        </w:rPr>
        <w:t>consecuencia,</w:t>
      </w:r>
      <w:r>
        <w:rPr>
          <w:color w:val="231F20"/>
          <w:spacing w:val="-9"/>
        </w:rPr>
        <w:t> </w:t>
      </w:r>
      <w:r>
        <w:rPr>
          <w:color w:val="231F20"/>
        </w:rPr>
        <w:t>el</w:t>
      </w:r>
      <w:r>
        <w:rPr>
          <w:color w:val="231F20"/>
          <w:spacing w:val="-8"/>
        </w:rPr>
        <w:t> </w:t>
      </w:r>
      <w:r>
        <w:rPr>
          <w:color w:val="231F20"/>
        </w:rPr>
        <w:t>número</w:t>
      </w:r>
      <w:r>
        <w:rPr>
          <w:color w:val="231F20"/>
          <w:spacing w:val="-8"/>
        </w:rPr>
        <w:t> </w:t>
      </w:r>
      <w:r>
        <w:rPr>
          <w:color w:val="231F20"/>
        </w:rPr>
        <w:t>de</w:t>
      </w:r>
      <w:r>
        <w:rPr>
          <w:color w:val="231F20"/>
          <w:spacing w:val="-8"/>
        </w:rPr>
        <w:t> </w:t>
      </w:r>
      <w:r>
        <w:rPr>
          <w:color w:val="231F20"/>
        </w:rPr>
        <w:t>hogares</w:t>
      </w:r>
      <w:r>
        <w:rPr>
          <w:color w:val="231F20"/>
          <w:spacing w:val="-8"/>
        </w:rPr>
        <w:t> </w:t>
      </w:r>
      <w:r>
        <w:rPr>
          <w:color w:val="231F20"/>
        </w:rPr>
        <w:t>de</w:t>
      </w:r>
      <w:r>
        <w:rPr>
          <w:color w:val="231F20"/>
          <w:spacing w:val="-8"/>
        </w:rPr>
        <w:t> </w:t>
      </w:r>
      <w:r>
        <w:rPr>
          <w:color w:val="231F20"/>
        </w:rPr>
        <w:t>mi- grantes es menor al total de migrantes a nivel individual, pues en algunos hogares existe más de un miembro</w:t>
      </w:r>
      <w:r>
        <w:rPr>
          <w:color w:val="231F20"/>
          <w:spacing w:val="-3"/>
        </w:rPr>
        <w:t> </w:t>
      </w:r>
      <w:r>
        <w:rPr>
          <w:color w:val="231F20"/>
        </w:rPr>
        <w:t>migrante.</w:t>
      </w:r>
    </w:p>
    <w:p>
      <w:pPr>
        <w:pStyle w:val="BodyText"/>
        <w:spacing w:line="247" w:lineRule="auto"/>
        <w:ind w:left="117" w:right="115" w:firstLine="283"/>
        <w:jc w:val="both"/>
      </w:pPr>
      <w:r>
        <w:rPr>
          <w:color w:val="231F20"/>
        </w:rPr>
        <w:t>Pasemos a las características demográficas básicas de los hogares, como</w:t>
      </w:r>
      <w:r>
        <w:rPr>
          <w:color w:val="231F20"/>
          <w:spacing w:val="-7"/>
        </w:rPr>
        <w:t> </w:t>
      </w:r>
      <w:r>
        <w:rPr>
          <w:color w:val="231F20"/>
        </w:rPr>
        <w:t>su</w:t>
      </w:r>
      <w:r>
        <w:rPr>
          <w:color w:val="231F20"/>
          <w:spacing w:val="-7"/>
        </w:rPr>
        <w:t> </w:t>
      </w:r>
      <w:r>
        <w:rPr>
          <w:color w:val="231F20"/>
        </w:rPr>
        <w:t>tamaño</w:t>
      </w:r>
      <w:r>
        <w:rPr>
          <w:color w:val="231F20"/>
          <w:spacing w:val="-7"/>
        </w:rPr>
        <w:t> </w:t>
      </w:r>
      <w:r>
        <w:rPr>
          <w:color w:val="231F20"/>
        </w:rPr>
        <w:t>promedio,</w:t>
      </w:r>
      <w:r>
        <w:rPr>
          <w:color w:val="231F20"/>
          <w:spacing w:val="-7"/>
        </w:rPr>
        <w:t> </w:t>
      </w:r>
      <w:r>
        <w:rPr>
          <w:color w:val="231F20"/>
        </w:rPr>
        <w:t>el</w:t>
      </w:r>
      <w:r>
        <w:rPr>
          <w:color w:val="231F20"/>
          <w:spacing w:val="-7"/>
        </w:rPr>
        <w:t> </w:t>
      </w:r>
      <w:r>
        <w:rPr>
          <w:color w:val="231F20"/>
        </w:rPr>
        <w:t>tipo</w:t>
      </w:r>
      <w:r>
        <w:rPr>
          <w:color w:val="231F20"/>
          <w:spacing w:val="-7"/>
        </w:rPr>
        <w:t> </w:t>
      </w:r>
      <w:r>
        <w:rPr>
          <w:color w:val="231F20"/>
        </w:rPr>
        <w:t>de</w:t>
      </w:r>
      <w:r>
        <w:rPr>
          <w:color w:val="231F20"/>
          <w:spacing w:val="-7"/>
        </w:rPr>
        <w:t> </w:t>
      </w:r>
      <w:r>
        <w:rPr>
          <w:color w:val="231F20"/>
        </w:rPr>
        <w:t>hogar</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etapa</w:t>
      </w:r>
      <w:r>
        <w:rPr>
          <w:color w:val="231F20"/>
          <w:spacing w:val="-7"/>
        </w:rPr>
        <w:t> </w:t>
      </w:r>
      <w:r>
        <w:rPr>
          <w:color w:val="231F20"/>
        </w:rPr>
        <w:t>del</w:t>
      </w:r>
      <w:r>
        <w:rPr>
          <w:color w:val="231F20"/>
          <w:spacing w:val="-7"/>
        </w:rPr>
        <w:t> </w:t>
      </w:r>
      <w:r>
        <w:rPr>
          <w:color w:val="231F20"/>
        </w:rPr>
        <w:t>ciclo</w:t>
      </w:r>
      <w:r>
        <w:rPr>
          <w:color w:val="231F20"/>
          <w:spacing w:val="-7"/>
        </w:rPr>
        <w:t> </w:t>
      </w:r>
      <w:r>
        <w:rPr>
          <w:color w:val="231F20"/>
        </w:rPr>
        <w:t>vital</w:t>
      </w:r>
      <w:r>
        <w:rPr>
          <w:color w:val="231F20"/>
          <w:position w:val="7"/>
          <w:sz w:val="13"/>
        </w:rPr>
        <w:t>1</w:t>
      </w:r>
      <w:r>
        <w:rPr>
          <w:color w:val="231F20"/>
          <w:spacing w:val="16"/>
          <w:position w:val="7"/>
          <w:sz w:val="13"/>
        </w:rPr>
        <w:t> </w:t>
      </w:r>
      <w:r>
        <w:rPr>
          <w:color w:val="231F20"/>
        </w:rPr>
        <w:t>por</w:t>
      </w:r>
      <w:r>
        <w:rPr>
          <w:color w:val="231F20"/>
          <w:spacing w:val="-7"/>
        </w:rPr>
        <w:t> </w:t>
      </w:r>
      <w:r>
        <w:rPr>
          <w:color w:val="231F20"/>
        </w:rPr>
        <w:t>la que atraviesan, para posteriormente presentar las características socioeco- nómicas de los jefes, sus hogares y las viviendas comparando los hogares en función de su participación o no en la</w:t>
      </w:r>
      <w:r>
        <w:rPr>
          <w:color w:val="231F20"/>
          <w:spacing w:val="-3"/>
        </w:rPr>
        <w:t> </w:t>
      </w:r>
      <w:r>
        <w:rPr>
          <w:color w:val="231F20"/>
        </w:rPr>
        <w:t>migración.</w:t>
      </w:r>
    </w:p>
    <w:p>
      <w:pPr>
        <w:spacing w:before="149"/>
        <w:ind w:left="117" w:right="0" w:firstLine="0"/>
        <w:jc w:val="both"/>
        <w:rPr>
          <w:i/>
          <w:sz w:val="22"/>
        </w:rPr>
      </w:pPr>
      <w:r>
        <w:rPr>
          <w:i/>
          <w:color w:val="231F20"/>
          <w:sz w:val="22"/>
        </w:rPr>
        <w:t>Tamaño del hogar</w:t>
      </w:r>
    </w:p>
    <w:p>
      <w:pPr>
        <w:pStyle w:val="BodyText"/>
        <w:spacing w:line="247" w:lineRule="auto" w:before="177"/>
        <w:ind w:left="117" w:right="115"/>
        <w:jc w:val="both"/>
      </w:pPr>
      <w:r>
        <w:rPr/>
        <w:pict>
          <v:line style="position:absolute;mso-position-horizontal-relative:page;mso-position-vertical-relative:paragraph;z-index:6760;mso-wrap-distance-left:0;mso-wrap-distance-right:0" from="70.866096pt,51.291729pt" to="142.866096pt,51.291729pt" stroked="true" strokeweight=".75pt" strokecolor="#231f20">
            <w10:wrap type="topAndBottom"/>
          </v:line>
        </w:pict>
      </w:r>
      <w:r>
        <w:rPr>
          <w:color w:val="231F20"/>
        </w:rPr>
        <w:t>En</w:t>
      </w:r>
      <w:r>
        <w:rPr>
          <w:color w:val="231F20"/>
          <w:spacing w:val="-5"/>
        </w:rPr>
        <w:t> </w:t>
      </w:r>
      <w:r>
        <w:rPr>
          <w:color w:val="231F20"/>
        </w:rPr>
        <w:t>cuanto</w:t>
      </w:r>
      <w:r>
        <w:rPr>
          <w:color w:val="231F20"/>
          <w:spacing w:val="-5"/>
        </w:rPr>
        <w:t> </w:t>
      </w:r>
      <w:r>
        <w:rPr>
          <w:color w:val="231F20"/>
        </w:rPr>
        <w:t>al</w:t>
      </w:r>
      <w:r>
        <w:rPr>
          <w:color w:val="231F20"/>
          <w:spacing w:val="-5"/>
        </w:rPr>
        <w:t> </w:t>
      </w:r>
      <w:r>
        <w:rPr>
          <w:color w:val="231F20"/>
        </w:rPr>
        <w:t>tamaño</w:t>
      </w:r>
      <w:r>
        <w:rPr>
          <w:color w:val="231F20"/>
          <w:spacing w:val="-5"/>
        </w:rPr>
        <w:t> </w:t>
      </w:r>
      <w:r>
        <w:rPr>
          <w:color w:val="231F20"/>
        </w:rPr>
        <w:t>del</w:t>
      </w:r>
      <w:r>
        <w:rPr>
          <w:color w:val="231F20"/>
          <w:spacing w:val="-5"/>
        </w:rPr>
        <w:t> </w:t>
      </w:r>
      <w:r>
        <w:rPr>
          <w:color w:val="231F20"/>
        </w:rPr>
        <w:t>hogar,</w:t>
      </w:r>
      <w:r>
        <w:rPr>
          <w:color w:val="231F20"/>
          <w:spacing w:val="-5"/>
        </w:rPr>
        <w:t> </w:t>
      </w:r>
      <w:r>
        <w:rPr>
          <w:color w:val="231F20"/>
        </w:rPr>
        <w:t>se</w:t>
      </w:r>
      <w:r>
        <w:rPr>
          <w:color w:val="231F20"/>
          <w:spacing w:val="-5"/>
        </w:rPr>
        <w:t> </w:t>
      </w:r>
      <w:r>
        <w:rPr>
          <w:color w:val="231F20"/>
        </w:rPr>
        <w:t>puede</w:t>
      </w:r>
      <w:r>
        <w:rPr>
          <w:color w:val="231F20"/>
          <w:spacing w:val="-5"/>
        </w:rPr>
        <w:t> </w:t>
      </w:r>
      <w:r>
        <w:rPr>
          <w:color w:val="231F20"/>
        </w:rPr>
        <w:t>apreciar</w:t>
      </w:r>
      <w:r>
        <w:rPr>
          <w:color w:val="231F20"/>
          <w:spacing w:val="-5"/>
        </w:rPr>
        <w:t> </w:t>
      </w:r>
      <w:r>
        <w:rPr>
          <w:color w:val="231F20"/>
        </w:rPr>
        <w:t>que</w:t>
      </w:r>
      <w:r>
        <w:rPr>
          <w:color w:val="231F20"/>
          <w:spacing w:val="-5"/>
        </w:rPr>
        <w:t> </w:t>
      </w:r>
      <w:r>
        <w:rPr>
          <w:color w:val="231F20"/>
        </w:rPr>
        <w:t>no</w:t>
      </w:r>
      <w:r>
        <w:rPr>
          <w:color w:val="231F20"/>
          <w:spacing w:val="-5"/>
        </w:rPr>
        <w:t> </w:t>
      </w:r>
      <w:r>
        <w:rPr>
          <w:color w:val="231F20"/>
        </w:rPr>
        <w:t>existen</w:t>
      </w:r>
      <w:r>
        <w:rPr>
          <w:color w:val="231F20"/>
          <w:spacing w:val="-5"/>
        </w:rPr>
        <w:t> </w:t>
      </w:r>
      <w:r>
        <w:rPr>
          <w:color w:val="231F20"/>
        </w:rPr>
        <w:t>importan- tes diferencias entre los hogares que participan y no en la migración y que se acercan al tamaño promedio a nivel</w:t>
      </w:r>
      <w:r>
        <w:rPr>
          <w:color w:val="231F20"/>
          <w:spacing w:val="-3"/>
        </w:rPr>
        <w:t> </w:t>
      </w:r>
      <w:r>
        <w:rPr>
          <w:color w:val="231F20"/>
        </w:rPr>
        <w:t>nacional.</w:t>
      </w:r>
    </w:p>
    <w:p>
      <w:pPr>
        <w:spacing w:before="0"/>
        <w:ind w:left="117" w:right="0" w:firstLine="0"/>
        <w:jc w:val="both"/>
        <w:rPr>
          <w:sz w:val="17"/>
        </w:rPr>
      </w:pPr>
      <w:r>
        <w:rPr>
          <w:color w:val="231F20"/>
          <w:position w:val="6"/>
          <w:sz w:val="10"/>
        </w:rPr>
        <w:t>1  </w:t>
      </w:r>
      <w:r>
        <w:rPr>
          <w:color w:val="231F20"/>
          <w:sz w:val="17"/>
        </w:rPr>
        <w:t>Realizamos una aproximación al ciclo vital del hogar mediante la edad del jefe reconocido.</w:t>
      </w:r>
    </w:p>
    <w:p>
      <w:pPr>
        <w:spacing w:after="0"/>
        <w:jc w:val="both"/>
        <w:rPr>
          <w:sz w:val="17"/>
        </w:rPr>
        <w:sectPr>
          <w:pgSz w:w="9360" w:h="13040"/>
          <w:pgMar w:header="0" w:footer="496" w:top="840" w:bottom="680" w:left="1300" w:right="1300"/>
        </w:sectPr>
      </w:pPr>
    </w:p>
    <w:p>
      <w:pPr>
        <w:spacing w:before="45"/>
        <w:ind w:left="830" w:right="0" w:firstLine="0"/>
        <w:jc w:val="left"/>
        <w:rPr>
          <w:rFonts w:ascii="Arial" w:hAnsi="Arial"/>
          <w:i/>
          <w:sz w:val="20"/>
        </w:rPr>
      </w:pPr>
      <w:r>
        <w:rPr>
          <w:rFonts w:ascii="Arial" w:hAnsi="Arial"/>
          <w:color w:val="231F20"/>
          <w:w w:val="70"/>
          <w:sz w:val="20"/>
        </w:rPr>
        <w:t>La dinámica migratoria al interior de los hogares: formas... /Rosa Patricia Román-Reyes </w:t>
      </w:r>
      <w:r>
        <w:rPr>
          <w:rFonts w:ascii="Arial" w:hAnsi="Arial"/>
          <w:i/>
          <w:color w:val="231F20"/>
          <w:w w:val="70"/>
          <w:sz w:val="20"/>
        </w:rPr>
        <w:t>et al.</w:t>
      </w:r>
    </w:p>
    <w:p>
      <w:pPr>
        <w:pStyle w:val="BodyText"/>
        <w:spacing w:before="7"/>
        <w:rPr>
          <w:rFonts w:ascii="Arial"/>
          <w:i/>
          <w:sz w:val="26"/>
        </w:rPr>
      </w:pPr>
    </w:p>
    <w:p>
      <w:pPr>
        <w:spacing w:line="252" w:lineRule="auto" w:before="81"/>
        <w:ind w:left="250" w:right="271" w:firstLine="0"/>
        <w:jc w:val="left"/>
        <w:rPr>
          <w:sz w:val="19"/>
        </w:rPr>
      </w:pPr>
      <w:r>
        <w:rPr>
          <w:w w:val="105"/>
          <w:sz w:val="19"/>
        </w:rPr>
        <w:t>Cuadro 2. Tamaño promedio de los hogares mexiquenses según participación o no en la migración, Estado de México, 2009</w:t>
      </w:r>
    </w:p>
    <w:tbl>
      <w:tblPr>
        <w:tblW w:w="0" w:type="auto"/>
        <w:jc w:val="left"/>
        <w:tblInd w:w="1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76"/>
        <w:gridCol w:w="2813"/>
      </w:tblGrid>
      <w:tr>
        <w:trPr>
          <w:trHeight w:val="250" w:hRule="exact"/>
        </w:trPr>
        <w:tc>
          <w:tcPr>
            <w:tcW w:w="3676" w:type="dxa"/>
            <w:tcBorders>
              <w:left w:val="nil"/>
              <w:bottom w:val="double" w:sz="4" w:space="0" w:color="000000"/>
              <w:right w:val="nil"/>
            </w:tcBorders>
          </w:tcPr>
          <w:p>
            <w:pPr>
              <w:pStyle w:val="TableParagraph"/>
              <w:spacing w:before="5"/>
              <w:ind w:left="110"/>
              <w:jc w:val="left"/>
              <w:rPr>
                <w:sz w:val="19"/>
              </w:rPr>
            </w:pPr>
            <w:r>
              <w:rPr>
                <w:w w:val="105"/>
                <w:sz w:val="19"/>
              </w:rPr>
              <w:t>Condición migratoria del hogar</w:t>
            </w:r>
          </w:p>
        </w:tc>
        <w:tc>
          <w:tcPr>
            <w:tcW w:w="2813" w:type="dxa"/>
            <w:tcBorders>
              <w:left w:val="nil"/>
              <w:bottom w:val="double" w:sz="4" w:space="0" w:color="000000"/>
              <w:right w:val="nil"/>
            </w:tcBorders>
          </w:tcPr>
          <w:p>
            <w:pPr>
              <w:pStyle w:val="TableParagraph"/>
              <w:spacing w:before="5"/>
              <w:ind w:right="107"/>
              <w:rPr>
                <w:sz w:val="19"/>
              </w:rPr>
            </w:pPr>
            <w:r>
              <w:rPr>
                <w:w w:val="105"/>
                <w:sz w:val="19"/>
              </w:rPr>
              <w:t>Tamaño promedio del hogar</w:t>
            </w:r>
          </w:p>
        </w:tc>
      </w:tr>
      <w:tr>
        <w:trPr>
          <w:trHeight w:val="252" w:hRule="exact"/>
        </w:trPr>
        <w:tc>
          <w:tcPr>
            <w:tcW w:w="3676" w:type="dxa"/>
            <w:tcBorders>
              <w:top w:val="double" w:sz="4" w:space="0" w:color="000000"/>
              <w:left w:val="nil"/>
              <w:bottom w:val="nil"/>
              <w:right w:val="nil"/>
            </w:tcBorders>
          </w:tcPr>
          <w:p>
            <w:pPr>
              <w:pStyle w:val="TableParagraph"/>
              <w:spacing w:before="5"/>
              <w:ind w:left="110"/>
              <w:jc w:val="left"/>
              <w:rPr>
                <w:sz w:val="19"/>
              </w:rPr>
            </w:pPr>
            <w:r>
              <w:rPr>
                <w:w w:val="105"/>
                <w:sz w:val="19"/>
              </w:rPr>
              <w:t>Hogares mexiquenses</w:t>
            </w:r>
          </w:p>
        </w:tc>
        <w:tc>
          <w:tcPr>
            <w:tcW w:w="2813" w:type="dxa"/>
            <w:tcBorders>
              <w:top w:val="double" w:sz="4" w:space="0" w:color="000000"/>
              <w:left w:val="nil"/>
              <w:bottom w:val="nil"/>
              <w:right w:val="nil"/>
            </w:tcBorders>
          </w:tcPr>
          <w:p>
            <w:pPr>
              <w:pStyle w:val="TableParagraph"/>
              <w:spacing w:before="5"/>
              <w:ind w:right="106"/>
              <w:rPr>
                <w:sz w:val="19"/>
              </w:rPr>
            </w:pPr>
            <w:r>
              <w:rPr>
                <w:sz w:val="19"/>
              </w:rPr>
              <w:t>4.54</w:t>
            </w:r>
          </w:p>
        </w:tc>
      </w:tr>
      <w:tr>
        <w:trPr>
          <w:trHeight w:val="230" w:hRule="exact"/>
        </w:trPr>
        <w:tc>
          <w:tcPr>
            <w:tcW w:w="3676" w:type="dxa"/>
            <w:tcBorders>
              <w:top w:val="nil"/>
              <w:left w:val="nil"/>
              <w:bottom w:val="nil"/>
              <w:right w:val="nil"/>
            </w:tcBorders>
          </w:tcPr>
          <w:p>
            <w:pPr>
              <w:pStyle w:val="TableParagraph"/>
              <w:spacing w:line="216" w:lineRule="exact"/>
              <w:ind w:left="110"/>
              <w:jc w:val="left"/>
              <w:rPr>
                <w:sz w:val="19"/>
              </w:rPr>
            </w:pPr>
            <w:r>
              <w:rPr>
                <w:w w:val="105"/>
                <w:sz w:val="19"/>
              </w:rPr>
              <w:t>Hogar que participa en la migración</w:t>
            </w:r>
          </w:p>
        </w:tc>
        <w:tc>
          <w:tcPr>
            <w:tcW w:w="2813" w:type="dxa"/>
            <w:tcBorders>
              <w:top w:val="nil"/>
              <w:left w:val="nil"/>
              <w:bottom w:val="nil"/>
              <w:right w:val="nil"/>
            </w:tcBorders>
          </w:tcPr>
          <w:p>
            <w:pPr>
              <w:pStyle w:val="TableParagraph"/>
              <w:spacing w:line="216" w:lineRule="exact"/>
              <w:ind w:right="106"/>
              <w:rPr>
                <w:sz w:val="19"/>
              </w:rPr>
            </w:pPr>
            <w:r>
              <w:rPr>
                <w:sz w:val="19"/>
              </w:rPr>
              <w:t>4.75</w:t>
            </w:r>
          </w:p>
        </w:tc>
      </w:tr>
      <w:tr>
        <w:trPr>
          <w:trHeight w:val="238" w:hRule="exact"/>
        </w:trPr>
        <w:tc>
          <w:tcPr>
            <w:tcW w:w="3676" w:type="dxa"/>
            <w:tcBorders>
              <w:top w:val="nil"/>
              <w:left w:val="nil"/>
              <w:bottom w:val="double" w:sz="4" w:space="0" w:color="000000"/>
              <w:right w:val="nil"/>
            </w:tcBorders>
          </w:tcPr>
          <w:p>
            <w:pPr>
              <w:pStyle w:val="TableParagraph"/>
              <w:spacing w:line="216" w:lineRule="exact"/>
              <w:ind w:left="110"/>
              <w:jc w:val="left"/>
              <w:rPr>
                <w:sz w:val="19"/>
              </w:rPr>
            </w:pPr>
            <w:r>
              <w:rPr>
                <w:w w:val="105"/>
                <w:sz w:val="19"/>
              </w:rPr>
              <w:t>Hogar que no participa en la migración</w:t>
            </w:r>
          </w:p>
        </w:tc>
        <w:tc>
          <w:tcPr>
            <w:tcW w:w="2813" w:type="dxa"/>
            <w:tcBorders>
              <w:top w:val="nil"/>
              <w:left w:val="nil"/>
              <w:bottom w:val="double" w:sz="4" w:space="0" w:color="000000"/>
              <w:right w:val="nil"/>
            </w:tcBorders>
          </w:tcPr>
          <w:p>
            <w:pPr>
              <w:pStyle w:val="TableParagraph"/>
              <w:spacing w:line="216" w:lineRule="exact"/>
              <w:ind w:right="106"/>
              <w:rPr>
                <w:sz w:val="19"/>
              </w:rPr>
            </w:pPr>
            <w:r>
              <w:rPr>
                <w:sz w:val="19"/>
              </w:rPr>
              <w:t>4.47</w:t>
            </w:r>
          </w:p>
        </w:tc>
      </w:tr>
    </w:tbl>
    <w:p>
      <w:pPr>
        <w:spacing w:line="169" w:lineRule="exact" w:before="0"/>
        <w:ind w:left="250" w:right="117" w:firstLine="0"/>
        <w:jc w:val="left"/>
        <w:rPr>
          <w:sz w:val="16"/>
        </w:rPr>
      </w:pPr>
      <w:r>
        <w:rPr>
          <w:sz w:val="16"/>
        </w:rPr>
        <w:t>Fuente: cálculos propios a partir de la EMMEU 2009.</w:t>
      </w:r>
    </w:p>
    <w:p>
      <w:pPr>
        <w:spacing w:before="55"/>
        <w:ind w:left="117" w:right="0" w:firstLine="0"/>
        <w:jc w:val="both"/>
        <w:rPr>
          <w:i/>
          <w:sz w:val="22"/>
        </w:rPr>
      </w:pPr>
      <w:r>
        <w:rPr>
          <w:i/>
          <w:color w:val="231F20"/>
          <w:sz w:val="22"/>
        </w:rPr>
        <w:t>Tipo de hogar</w:t>
      </w:r>
    </w:p>
    <w:p>
      <w:pPr>
        <w:pStyle w:val="BodyText"/>
        <w:spacing w:line="247" w:lineRule="auto" w:before="177"/>
        <w:ind w:left="117" w:right="125"/>
        <w:jc w:val="both"/>
      </w:pPr>
      <w:r>
        <w:rPr>
          <w:color w:val="231F20"/>
        </w:rPr>
        <w:t>Si bien a nivel nacional y también estatal predominan los hogares nuclea- res, entre los migrantes hay una mayor presencia de arreglos no nucleares (hogares extendidos y los compuestos: los hogares extendidos o amplia- dos incluyen a familiares adicionales al núcleo, en tanto que los hogares compuestos incluyen además de familiares nucleares y no nucleares a no parientes, como podrían ser amigos) debido a que suelen recurrir a redes sociales en los lugares de destino, tal como ha sido documentado amplia- mente por la literatura.</w:t>
      </w:r>
    </w:p>
    <w:p>
      <w:pPr>
        <w:pStyle w:val="BodyText"/>
        <w:spacing w:line="247" w:lineRule="auto"/>
        <w:ind w:left="117" w:right="125" w:firstLine="283"/>
        <w:jc w:val="both"/>
      </w:pPr>
      <w:r>
        <w:rPr>
          <w:color w:val="231F20"/>
        </w:rPr>
        <w:t>Sin embargo no deja de llamar la atención que entre los hogares de migrantes, más de la mitad son precisamente no nucleares, con una im- portante presencia de hogares extendidos, en donde la presencia de otros parientes es fundamental para la reproducción cotidiana y generacional de las familias.</w:t>
      </w:r>
    </w:p>
    <w:p>
      <w:pPr>
        <w:spacing w:before="149"/>
        <w:ind w:left="117" w:right="0" w:firstLine="0"/>
        <w:jc w:val="both"/>
        <w:rPr>
          <w:i/>
          <w:sz w:val="22"/>
        </w:rPr>
      </w:pPr>
      <w:r>
        <w:rPr>
          <w:i/>
          <w:color w:val="231F20"/>
          <w:sz w:val="22"/>
        </w:rPr>
        <w:t>Edad y sexo del jefe del hogar</w:t>
      </w:r>
    </w:p>
    <w:p>
      <w:pPr>
        <w:pStyle w:val="BodyText"/>
        <w:spacing w:line="247" w:lineRule="auto" w:before="177"/>
        <w:ind w:left="117" w:right="125"/>
        <w:jc w:val="both"/>
      </w:pPr>
      <w:r>
        <w:rPr>
          <w:color w:val="231F20"/>
        </w:rPr>
        <w:t>Como aproximación a las características sociodemográficas de los hoga- res,</w:t>
      </w:r>
      <w:r>
        <w:rPr>
          <w:color w:val="231F20"/>
          <w:spacing w:val="-8"/>
        </w:rPr>
        <w:t> </w:t>
      </w:r>
      <w:r>
        <w:rPr>
          <w:color w:val="231F20"/>
        </w:rPr>
        <w:t>las</w:t>
      </w:r>
      <w:r>
        <w:rPr>
          <w:color w:val="231F20"/>
          <w:spacing w:val="-8"/>
        </w:rPr>
        <w:t> </w:t>
      </w:r>
      <w:r>
        <w:rPr>
          <w:color w:val="231F20"/>
        </w:rPr>
        <w:t>de</w:t>
      </w:r>
      <w:r>
        <w:rPr>
          <w:color w:val="231F20"/>
          <w:spacing w:val="-8"/>
        </w:rPr>
        <w:t> </w:t>
      </w:r>
      <w:r>
        <w:rPr>
          <w:color w:val="231F20"/>
        </w:rPr>
        <w:t>sus</w:t>
      </w:r>
      <w:r>
        <w:rPr>
          <w:color w:val="231F20"/>
          <w:spacing w:val="-8"/>
        </w:rPr>
        <w:t> </w:t>
      </w:r>
      <w:r>
        <w:rPr>
          <w:color w:val="231F20"/>
        </w:rPr>
        <w:t>jefes</w:t>
      </w:r>
      <w:r>
        <w:rPr>
          <w:color w:val="231F20"/>
          <w:spacing w:val="-8"/>
        </w:rPr>
        <w:t> </w:t>
      </w:r>
      <w:r>
        <w:rPr>
          <w:color w:val="231F20"/>
        </w:rPr>
        <w:t>resultan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mayor</w:t>
      </w:r>
      <w:r>
        <w:rPr>
          <w:color w:val="231F20"/>
          <w:spacing w:val="-8"/>
        </w:rPr>
        <w:t> </w:t>
      </w:r>
      <w:r>
        <w:rPr>
          <w:color w:val="231F20"/>
        </w:rPr>
        <w:t>importancia.</w:t>
      </w:r>
      <w:r>
        <w:rPr>
          <w:color w:val="231F20"/>
          <w:spacing w:val="-9"/>
        </w:rPr>
        <w:t> </w:t>
      </w:r>
      <w:r>
        <w:rPr>
          <w:color w:val="231F20"/>
        </w:rPr>
        <w:t>El</w:t>
      </w:r>
      <w:r>
        <w:rPr>
          <w:color w:val="231F20"/>
          <w:spacing w:val="-8"/>
        </w:rPr>
        <w:t> </w:t>
      </w:r>
      <w:r>
        <w:rPr>
          <w:color w:val="231F20"/>
        </w:rPr>
        <w:t>sexo</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edad</w:t>
      </w:r>
      <w:r>
        <w:rPr>
          <w:color w:val="231F20"/>
          <w:spacing w:val="-8"/>
        </w:rPr>
        <w:t> </w:t>
      </w:r>
      <w:r>
        <w:rPr>
          <w:color w:val="231F20"/>
        </w:rPr>
        <w:t>son de las más relevantes, pues esta última permite apreciar la etapa del ciclo vital familiar por el que atraviesa la unidad doméstica. En cuanto al sexo del jefe de hogar, su importancia radica en que la literatura ha puesto de manifiesto que la pobreza afecta en mayor medida a los hogares dirigidos por mujeres, aunque existe un amplio debate acerca de este</w:t>
      </w:r>
      <w:r>
        <w:rPr>
          <w:color w:val="231F20"/>
          <w:spacing w:val="-6"/>
        </w:rPr>
        <w:t> </w:t>
      </w:r>
      <w:r>
        <w:rPr>
          <w:color w:val="231F20"/>
        </w:rPr>
        <w:t>punto.</w:t>
      </w:r>
    </w:p>
    <w:p>
      <w:pPr>
        <w:pStyle w:val="BodyText"/>
        <w:spacing w:line="247" w:lineRule="auto"/>
        <w:ind w:left="117" w:right="125" w:firstLine="283"/>
        <w:jc w:val="both"/>
      </w:pPr>
      <w:r>
        <w:rPr>
          <w:color w:val="231F20"/>
        </w:rPr>
        <w:t>En los Cuadros 3 y 4 se observa que los jefes son en promedio más jó- venes en los hogares que participan en la migración y que su distribución por sexo es muy similar, con un predominio de jefatura masculina. Esta información es muy polémica pues la EMMEU 2009 no hizo sino captar la jefatura de hogar reconocida por los propios miembros. En la práctica, al parecer, hay muchas más mujeres jefas de facto que las declaradas en</w:t>
      </w:r>
      <w:r>
        <w:rPr>
          <w:color w:val="231F20"/>
          <w:spacing w:val="-36"/>
        </w:rPr>
        <w:t> </w:t>
      </w:r>
      <w:r>
        <w:rPr>
          <w:color w:val="231F20"/>
        </w:rPr>
        <w:t>la encuesta.</w:t>
      </w:r>
    </w:p>
    <w:p>
      <w:pPr>
        <w:spacing w:after="0" w:line="247" w:lineRule="auto"/>
        <w:jc w:val="both"/>
        <w:sectPr>
          <w:pgSz w:w="9360" w:h="13040"/>
          <w:pgMar w:header="0" w:footer="496" w:top="740" w:bottom="680" w:left="1300" w:right="1300"/>
        </w:sectPr>
      </w:pPr>
    </w:p>
    <w:p>
      <w:pPr>
        <w:tabs>
          <w:tab w:pos="5536" w:val="left" w:leader="none"/>
        </w:tabs>
        <w:spacing w:before="51"/>
        <w:ind w:left="128" w:right="117" w:firstLine="0"/>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7"/>
        </w:rPr>
      </w:pPr>
    </w:p>
    <w:p>
      <w:pPr>
        <w:spacing w:line="252" w:lineRule="auto" w:before="81"/>
        <w:ind w:left="257" w:right="434" w:firstLine="0"/>
        <w:jc w:val="left"/>
        <w:rPr>
          <w:sz w:val="19"/>
        </w:rPr>
      </w:pPr>
      <w:r>
        <w:rPr/>
        <w:pict>
          <v:shape style="position:absolute;margin-left:72.371002pt;margin-top:27.079563pt;width:324.5pt;height:.1pt;mso-position-horizontal-relative:page;mso-position-vertical-relative:paragraph;z-index:6784" coordorigin="1447,542" coordsize="6490,0" path="m1447,542l5638,542m5638,542l5647,542m5647,542l6660,542m6660,542l6670,542m6670,542l7937,542e" filled="false" stroked="true" strokeweight=".48pt" strokecolor="#000000">
            <v:path arrowok="t"/>
            <w10:wrap type="none"/>
          </v:shape>
        </w:pict>
      </w:r>
      <w:r>
        <w:rPr>
          <w:w w:val="105"/>
          <w:sz w:val="19"/>
        </w:rPr>
        <w:t>Cuadro 3. Sexo de jefe del hogar (mayores de 12 años) según participación o no en la migración, Estado de México, 2009</w:t>
      </w:r>
    </w:p>
    <w:p>
      <w:pPr>
        <w:spacing w:after="0" w:line="252" w:lineRule="auto"/>
        <w:jc w:val="left"/>
        <w:rPr>
          <w:sz w:val="19"/>
        </w:rPr>
        <w:sectPr>
          <w:pgSz w:w="9360" w:h="13040"/>
          <w:pgMar w:header="0" w:footer="496" w:top="840" w:bottom="680" w:left="1300" w:right="1300"/>
        </w:sectPr>
      </w:pPr>
    </w:p>
    <w:p>
      <w:pPr>
        <w:tabs>
          <w:tab w:pos="4619" w:val="left" w:leader="none"/>
        </w:tabs>
        <w:spacing w:before="6"/>
        <w:ind w:left="257" w:right="0" w:firstLine="0"/>
        <w:jc w:val="left"/>
        <w:rPr>
          <w:sz w:val="19"/>
        </w:rPr>
      </w:pPr>
      <w:r>
        <w:rPr/>
        <w:pict>
          <v:shape style="position:absolute;margin-left:72.371002pt;margin-top:13.013762pt;width:324.5pt;height:151.6pt;mso-position-horizontal-relative:page;mso-position-vertical-relative:paragraph;z-index:680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58"/>
                    <w:gridCol w:w="1311"/>
                    <w:gridCol w:w="1221"/>
                  </w:tblGrid>
                  <w:tr>
                    <w:trPr>
                      <w:trHeight w:val="221" w:hRule="exact"/>
                    </w:trPr>
                    <w:tc>
                      <w:tcPr>
                        <w:tcW w:w="3958" w:type="dxa"/>
                        <w:tcBorders>
                          <w:bottom w:val="double" w:sz="4" w:space="0" w:color="000000"/>
                        </w:tcBorders>
                      </w:tcPr>
                      <w:p>
                        <w:pPr/>
                      </w:p>
                    </w:tc>
                    <w:tc>
                      <w:tcPr>
                        <w:tcW w:w="1311" w:type="dxa"/>
                        <w:tcBorders>
                          <w:bottom w:val="double" w:sz="4" w:space="0" w:color="000000"/>
                        </w:tcBorders>
                      </w:tcPr>
                      <w:p>
                        <w:pPr>
                          <w:pStyle w:val="TableParagraph"/>
                          <w:spacing w:line="199" w:lineRule="exact"/>
                          <w:ind w:right="163"/>
                          <w:rPr>
                            <w:sz w:val="19"/>
                          </w:rPr>
                        </w:pPr>
                        <w:r>
                          <w:rPr>
                            <w:sz w:val="19"/>
                          </w:rPr>
                          <w:t>femenina</w:t>
                        </w:r>
                      </w:p>
                    </w:tc>
                    <w:tc>
                      <w:tcPr>
                        <w:tcW w:w="1221" w:type="dxa"/>
                        <w:tcBorders>
                          <w:bottom w:val="double" w:sz="4" w:space="0" w:color="000000"/>
                        </w:tcBorders>
                      </w:tcPr>
                      <w:p>
                        <w:pPr>
                          <w:pStyle w:val="TableParagraph"/>
                          <w:spacing w:line="199" w:lineRule="exact"/>
                          <w:ind w:right="106"/>
                          <w:rPr>
                            <w:sz w:val="19"/>
                          </w:rPr>
                        </w:pPr>
                        <w:r>
                          <w:rPr>
                            <w:sz w:val="19"/>
                          </w:rPr>
                          <w:t>masculina</w:t>
                        </w:r>
                      </w:p>
                    </w:tc>
                  </w:tr>
                  <w:tr>
                    <w:trPr>
                      <w:trHeight w:val="252" w:hRule="exact"/>
                    </w:trPr>
                    <w:tc>
                      <w:tcPr>
                        <w:tcW w:w="3958" w:type="dxa"/>
                        <w:tcBorders>
                          <w:top w:val="double" w:sz="4" w:space="0" w:color="000000"/>
                        </w:tcBorders>
                      </w:tcPr>
                      <w:p>
                        <w:pPr>
                          <w:pStyle w:val="TableParagraph"/>
                          <w:spacing w:before="5"/>
                          <w:ind w:left="110"/>
                          <w:jc w:val="left"/>
                          <w:rPr>
                            <w:sz w:val="19"/>
                          </w:rPr>
                        </w:pPr>
                        <w:r>
                          <w:rPr>
                            <w:w w:val="105"/>
                            <w:sz w:val="19"/>
                          </w:rPr>
                          <w:t>Hogares mexiquenses</w:t>
                        </w:r>
                      </w:p>
                    </w:tc>
                    <w:tc>
                      <w:tcPr>
                        <w:tcW w:w="1311" w:type="dxa"/>
                        <w:tcBorders>
                          <w:top w:val="double" w:sz="4" w:space="0" w:color="000000"/>
                        </w:tcBorders>
                      </w:tcPr>
                      <w:p>
                        <w:pPr>
                          <w:pStyle w:val="TableParagraph"/>
                          <w:spacing w:before="5"/>
                          <w:ind w:right="163"/>
                          <w:rPr>
                            <w:sz w:val="19"/>
                          </w:rPr>
                        </w:pPr>
                        <w:r>
                          <w:rPr>
                            <w:sz w:val="19"/>
                          </w:rPr>
                          <w:t>20.5</w:t>
                        </w:r>
                      </w:p>
                    </w:tc>
                    <w:tc>
                      <w:tcPr>
                        <w:tcW w:w="1221" w:type="dxa"/>
                        <w:tcBorders>
                          <w:top w:val="double" w:sz="4" w:space="0" w:color="000000"/>
                        </w:tcBorders>
                      </w:tcPr>
                      <w:p>
                        <w:pPr>
                          <w:pStyle w:val="TableParagraph"/>
                          <w:spacing w:before="5"/>
                          <w:ind w:right="106"/>
                          <w:rPr>
                            <w:sz w:val="19"/>
                          </w:rPr>
                        </w:pPr>
                        <w:r>
                          <w:rPr>
                            <w:sz w:val="19"/>
                          </w:rPr>
                          <w:t>79.5</w:t>
                        </w:r>
                      </w:p>
                    </w:tc>
                  </w:tr>
                  <w:tr>
                    <w:trPr>
                      <w:trHeight w:val="230" w:hRule="exact"/>
                    </w:trPr>
                    <w:tc>
                      <w:tcPr>
                        <w:tcW w:w="3958" w:type="dxa"/>
                      </w:tcPr>
                      <w:p>
                        <w:pPr>
                          <w:pStyle w:val="TableParagraph"/>
                          <w:spacing w:line="216" w:lineRule="exact"/>
                          <w:ind w:left="110"/>
                          <w:jc w:val="left"/>
                          <w:rPr>
                            <w:sz w:val="19"/>
                          </w:rPr>
                        </w:pPr>
                        <w:r>
                          <w:rPr>
                            <w:w w:val="105"/>
                            <w:sz w:val="19"/>
                          </w:rPr>
                          <w:t>Hogar que participa en la migración</w:t>
                        </w:r>
                      </w:p>
                    </w:tc>
                    <w:tc>
                      <w:tcPr>
                        <w:tcW w:w="1311" w:type="dxa"/>
                      </w:tcPr>
                      <w:p>
                        <w:pPr>
                          <w:pStyle w:val="TableParagraph"/>
                          <w:spacing w:line="216" w:lineRule="exact"/>
                          <w:ind w:right="163"/>
                          <w:rPr>
                            <w:sz w:val="19"/>
                          </w:rPr>
                        </w:pPr>
                        <w:r>
                          <w:rPr>
                            <w:sz w:val="19"/>
                          </w:rPr>
                          <w:t>24.0</w:t>
                        </w:r>
                      </w:p>
                    </w:tc>
                    <w:tc>
                      <w:tcPr>
                        <w:tcW w:w="1221" w:type="dxa"/>
                      </w:tcPr>
                      <w:p>
                        <w:pPr>
                          <w:pStyle w:val="TableParagraph"/>
                          <w:spacing w:line="216" w:lineRule="exact"/>
                          <w:ind w:right="106"/>
                          <w:rPr>
                            <w:sz w:val="19"/>
                          </w:rPr>
                        </w:pPr>
                        <w:r>
                          <w:rPr>
                            <w:sz w:val="19"/>
                          </w:rPr>
                          <w:t>76.0</w:t>
                        </w:r>
                      </w:p>
                    </w:tc>
                  </w:tr>
                  <w:tr>
                    <w:trPr>
                      <w:trHeight w:val="238" w:hRule="exact"/>
                    </w:trPr>
                    <w:tc>
                      <w:tcPr>
                        <w:tcW w:w="3958" w:type="dxa"/>
                        <w:tcBorders>
                          <w:bottom w:val="double" w:sz="4" w:space="0" w:color="000000"/>
                        </w:tcBorders>
                      </w:tcPr>
                      <w:p>
                        <w:pPr>
                          <w:pStyle w:val="TableParagraph"/>
                          <w:spacing w:line="216" w:lineRule="exact"/>
                          <w:ind w:left="110"/>
                          <w:jc w:val="left"/>
                          <w:rPr>
                            <w:sz w:val="19"/>
                          </w:rPr>
                        </w:pPr>
                        <w:r>
                          <w:rPr>
                            <w:w w:val="105"/>
                            <w:sz w:val="19"/>
                          </w:rPr>
                          <w:t>Hogar que no participa en la migración</w:t>
                        </w:r>
                      </w:p>
                    </w:tc>
                    <w:tc>
                      <w:tcPr>
                        <w:tcW w:w="1311" w:type="dxa"/>
                        <w:tcBorders>
                          <w:bottom w:val="double" w:sz="4" w:space="0" w:color="000000"/>
                        </w:tcBorders>
                      </w:tcPr>
                      <w:p>
                        <w:pPr>
                          <w:pStyle w:val="TableParagraph"/>
                          <w:spacing w:line="216" w:lineRule="exact"/>
                          <w:ind w:right="163"/>
                          <w:rPr>
                            <w:sz w:val="19"/>
                          </w:rPr>
                        </w:pPr>
                        <w:r>
                          <w:rPr>
                            <w:sz w:val="19"/>
                          </w:rPr>
                          <w:t>19.9</w:t>
                        </w:r>
                      </w:p>
                    </w:tc>
                    <w:tc>
                      <w:tcPr>
                        <w:tcW w:w="1221" w:type="dxa"/>
                        <w:tcBorders>
                          <w:bottom w:val="double" w:sz="4" w:space="0" w:color="000000"/>
                        </w:tcBorders>
                      </w:tcPr>
                      <w:p>
                        <w:pPr>
                          <w:pStyle w:val="TableParagraph"/>
                          <w:spacing w:line="216" w:lineRule="exact"/>
                          <w:ind w:right="106"/>
                          <w:rPr>
                            <w:sz w:val="19"/>
                          </w:rPr>
                        </w:pPr>
                        <w:r>
                          <w:rPr>
                            <w:sz w:val="19"/>
                          </w:rPr>
                          <w:t>80.1</w:t>
                        </w:r>
                      </w:p>
                    </w:tc>
                  </w:tr>
                  <w:tr>
                    <w:trPr>
                      <w:trHeight w:val="290" w:hRule="exact"/>
                    </w:trPr>
                    <w:tc>
                      <w:tcPr>
                        <w:tcW w:w="3958" w:type="dxa"/>
                        <w:tcBorders>
                          <w:top w:val="double" w:sz="4" w:space="0" w:color="000000"/>
                        </w:tcBorders>
                      </w:tcPr>
                      <w:p>
                        <w:pPr>
                          <w:pStyle w:val="TableParagraph"/>
                          <w:spacing w:line="183" w:lineRule="exact"/>
                          <w:ind w:left="110"/>
                          <w:jc w:val="left"/>
                          <w:rPr>
                            <w:sz w:val="16"/>
                          </w:rPr>
                        </w:pPr>
                        <w:r>
                          <w:rPr>
                            <w:sz w:val="16"/>
                          </w:rPr>
                          <w:t>Fuente: cálculos propios a partir de la EMMEU 2009.</w:t>
                        </w:r>
                      </w:p>
                    </w:tc>
                    <w:tc>
                      <w:tcPr>
                        <w:tcW w:w="1311" w:type="dxa"/>
                        <w:tcBorders>
                          <w:top w:val="double" w:sz="4" w:space="0" w:color="000000"/>
                        </w:tcBorders>
                      </w:tcPr>
                      <w:p>
                        <w:pPr/>
                      </w:p>
                    </w:tc>
                    <w:tc>
                      <w:tcPr>
                        <w:tcW w:w="1221" w:type="dxa"/>
                        <w:tcBorders>
                          <w:top w:val="double" w:sz="4" w:space="0" w:color="000000"/>
                        </w:tcBorders>
                      </w:tcPr>
                      <w:p>
                        <w:pPr/>
                      </w:p>
                    </w:tc>
                  </w:tr>
                  <w:tr>
                    <w:trPr>
                      <w:trHeight w:val="537" w:hRule="exact"/>
                    </w:trPr>
                    <w:tc>
                      <w:tcPr>
                        <w:tcW w:w="5269" w:type="dxa"/>
                        <w:gridSpan w:val="2"/>
                        <w:tcBorders>
                          <w:bottom w:val="single" w:sz="4" w:space="0" w:color="000000"/>
                        </w:tcBorders>
                      </w:tcPr>
                      <w:p>
                        <w:pPr>
                          <w:pStyle w:val="TableParagraph"/>
                          <w:spacing w:line="252" w:lineRule="auto" w:before="76"/>
                          <w:ind w:left="110" w:right="363"/>
                          <w:jc w:val="left"/>
                          <w:rPr>
                            <w:sz w:val="19"/>
                          </w:rPr>
                        </w:pPr>
                        <w:r>
                          <w:rPr>
                            <w:w w:val="105"/>
                            <w:sz w:val="19"/>
                          </w:rPr>
                          <w:t>Cuadro 4. Edad media de jefe del hogar según participación o no en la migración, Estado de México, 2009</w:t>
                        </w:r>
                      </w:p>
                    </w:tc>
                    <w:tc>
                      <w:tcPr>
                        <w:tcW w:w="1221" w:type="dxa"/>
                        <w:tcBorders>
                          <w:bottom w:val="single" w:sz="4" w:space="0" w:color="000000"/>
                        </w:tcBorders>
                      </w:tcPr>
                      <w:p>
                        <w:pPr/>
                      </w:p>
                    </w:tc>
                  </w:tr>
                  <w:tr>
                    <w:trPr>
                      <w:trHeight w:val="250" w:hRule="exact"/>
                    </w:trPr>
                    <w:tc>
                      <w:tcPr>
                        <w:tcW w:w="5269" w:type="dxa"/>
                        <w:gridSpan w:val="2"/>
                        <w:tcBorders>
                          <w:top w:val="single" w:sz="4" w:space="0" w:color="000000"/>
                          <w:bottom w:val="double" w:sz="4" w:space="0" w:color="000000"/>
                        </w:tcBorders>
                      </w:tcPr>
                      <w:p>
                        <w:pPr>
                          <w:pStyle w:val="TableParagraph"/>
                          <w:spacing w:before="5"/>
                          <w:ind w:left="110" w:right="363"/>
                          <w:jc w:val="left"/>
                          <w:rPr>
                            <w:sz w:val="19"/>
                          </w:rPr>
                        </w:pPr>
                        <w:r>
                          <w:rPr>
                            <w:w w:val="105"/>
                            <w:sz w:val="19"/>
                          </w:rPr>
                          <w:t>Condición migratoria del hogar</w:t>
                        </w:r>
                      </w:p>
                    </w:tc>
                    <w:tc>
                      <w:tcPr>
                        <w:tcW w:w="1221" w:type="dxa"/>
                        <w:tcBorders>
                          <w:top w:val="single" w:sz="4" w:space="0" w:color="000000"/>
                          <w:bottom w:val="double" w:sz="4" w:space="0" w:color="000000"/>
                        </w:tcBorders>
                      </w:tcPr>
                      <w:p>
                        <w:pPr>
                          <w:pStyle w:val="TableParagraph"/>
                          <w:spacing w:before="5"/>
                          <w:ind w:right="104"/>
                          <w:rPr>
                            <w:sz w:val="19"/>
                          </w:rPr>
                        </w:pPr>
                        <w:r>
                          <w:rPr>
                            <w:w w:val="105"/>
                            <w:sz w:val="19"/>
                          </w:rPr>
                          <w:t>Edad media</w:t>
                        </w:r>
                      </w:p>
                    </w:tc>
                  </w:tr>
                  <w:tr>
                    <w:trPr>
                      <w:trHeight w:val="252" w:hRule="exact"/>
                    </w:trPr>
                    <w:tc>
                      <w:tcPr>
                        <w:tcW w:w="5269" w:type="dxa"/>
                        <w:gridSpan w:val="2"/>
                        <w:tcBorders>
                          <w:top w:val="double" w:sz="4" w:space="0" w:color="000000"/>
                        </w:tcBorders>
                      </w:tcPr>
                      <w:p>
                        <w:pPr>
                          <w:pStyle w:val="TableParagraph"/>
                          <w:spacing w:before="5"/>
                          <w:ind w:left="110" w:right="363"/>
                          <w:jc w:val="left"/>
                          <w:rPr>
                            <w:sz w:val="19"/>
                          </w:rPr>
                        </w:pPr>
                        <w:r>
                          <w:rPr>
                            <w:w w:val="105"/>
                            <w:sz w:val="19"/>
                          </w:rPr>
                          <w:t>Hogares mexiquenses</w:t>
                        </w:r>
                      </w:p>
                    </w:tc>
                    <w:tc>
                      <w:tcPr>
                        <w:tcW w:w="1221" w:type="dxa"/>
                        <w:tcBorders>
                          <w:top w:val="double" w:sz="4" w:space="0" w:color="000000"/>
                        </w:tcBorders>
                      </w:tcPr>
                      <w:p>
                        <w:pPr>
                          <w:pStyle w:val="TableParagraph"/>
                          <w:spacing w:before="5"/>
                          <w:ind w:right="105"/>
                          <w:rPr>
                            <w:sz w:val="19"/>
                          </w:rPr>
                        </w:pPr>
                        <w:r>
                          <w:rPr>
                            <w:sz w:val="19"/>
                          </w:rPr>
                          <w:t>47.2</w:t>
                        </w:r>
                      </w:p>
                    </w:tc>
                  </w:tr>
                  <w:tr>
                    <w:trPr>
                      <w:trHeight w:val="230" w:hRule="exact"/>
                    </w:trPr>
                    <w:tc>
                      <w:tcPr>
                        <w:tcW w:w="5269" w:type="dxa"/>
                        <w:gridSpan w:val="2"/>
                      </w:tcPr>
                      <w:p>
                        <w:pPr>
                          <w:pStyle w:val="TableParagraph"/>
                          <w:spacing w:line="216" w:lineRule="exact"/>
                          <w:ind w:left="110" w:right="363"/>
                          <w:jc w:val="left"/>
                          <w:rPr>
                            <w:sz w:val="19"/>
                          </w:rPr>
                        </w:pPr>
                        <w:r>
                          <w:rPr>
                            <w:w w:val="105"/>
                            <w:sz w:val="19"/>
                          </w:rPr>
                          <w:t>Hogar que participa en la migración</w:t>
                        </w:r>
                      </w:p>
                    </w:tc>
                    <w:tc>
                      <w:tcPr>
                        <w:tcW w:w="1221" w:type="dxa"/>
                      </w:tcPr>
                      <w:p>
                        <w:pPr>
                          <w:pStyle w:val="TableParagraph"/>
                          <w:spacing w:line="216" w:lineRule="exact"/>
                          <w:ind w:right="105"/>
                          <w:rPr>
                            <w:sz w:val="19"/>
                          </w:rPr>
                        </w:pPr>
                        <w:r>
                          <w:rPr>
                            <w:sz w:val="19"/>
                          </w:rPr>
                          <w:t>48.3</w:t>
                        </w:r>
                      </w:p>
                    </w:tc>
                  </w:tr>
                  <w:tr>
                    <w:trPr>
                      <w:trHeight w:val="238" w:hRule="exact"/>
                    </w:trPr>
                    <w:tc>
                      <w:tcPr>
                        <w:tcW w:w="5269" w:type="dxa"/>
                        <w:gridSpan w:val="2"/>
                        <w:tcBorders>
                          <w:bottom w:val="double" w:sz="4" w:space="0" w:color="000000"/>
                        </w:tcBorders>
                      </w:tcPr>
                      <w:p>
                        <w:pPr>
                          <w:pStyle w:val="TableParagraph"/>
                          <w:spacing w:line="216" w:lineRule="exact"/>
                          <w:ind w:left="110" w:right="363"/>
                          <w:jc w:val="left"/>
                          <w:rPr>
                            <w:sz w:val="19"/>
                          </w:rPr>
                        </w:pPr>
                        <w:r>
                          <w:rPr>
                            <w:w w:val="105"/>
                            <w:sz w:val="19"/>
                          </w:rPr>
                          <w:t>Hogar que no participa en la migración</w:t>
                        </w:r>
                      </w:p>
                    </w:tc>
                    <w:tc>
                      <w:tcPr>
                        <w:tcW w:w="1221" w:type="dxa"/>
                        <w:tcBorders>
                          <w:bottom w:val="double" w:sz="4" w:space="0" w:color="000000"/>
                        </w:tcBorders>
                      </w:tcPr>
                      <w:p>
                        <w:pPr>
                          <w:pStyle w:val="TableParagraph"/>
                          <w:spacing w:line="216" w:lineRule="exact"/>
                          <w:ind w:right="105"/>
                          <w:rPr>
                            <w:sz w:val="19"/>
                          </w:rPr>
                        </w:pPr>
                        <w:r>
                          <w:rPr>
                            <w:sz w:val="19"/>
                          </w:rPr>
                          <w:t>47.0</w:t>
                        </w:r>
                      </w:p>
                    </w:tc>
                  </w:tr>
                  <w:tr>
                    <w:trPr>
                      <w:trHeight w:val="294" w:hRule="exact"/>
                    </w:trPr>
                    <w:tc>
                      <w:tcPr>
                        <w:tcW w:w="5269" w:type="dxa"/>
                        <w:gridSpan w:val="2"/>
                        <w:tcBorders>
                          <w:top w:val="double" w:sz="4" w:space="0" w:color="000000"/>
                        </w:tcBorders>
                      </w:tcPr>
                      <w:p>
                        <w:pPr>
                          <w:pStyle w:val="TableParagraph"/>
                          <w:spacing w:line="183" w:lineRule="exact"/>
                          <w:ind w:left="110" w:right="363"/>
                          <w:jc w:val="left"/>
                          <w:rPr>
                            <w:sz w:val="16"/>
                          </w:rPr>
                        </w:pPr>
                        <w:r>
                          <w:rPr>
                            <w:sz w:val="16"/>
                          </w:rPr>
                          <w:t>Fuente: cálculos propios a partir de la EMMEU 2009.</w:t>
                        </w:r>
                      </w:p>
                    </w:tc>
                    <w:tc>
                      <w:tcPr>
                        <w:tcW w:w="1221" w:type="dxa"/>
                        <w:tcBorders>
                          <w:top w:val="double" w:sz="4" w:space="0" w:color="000000"/>
                        </w:tcBorders>
                      </w:tcPr>
                      <w:p>
                        <w:pPr/>
                      </w:p>
                    </w:tc>
                  </w:tr>
                </w:tbl>
                <w:p>
                  <w:pPr>
                    <w:pStyle w:val="BodyText"/>
                  </w:pPr>
                </w:p>
              </w:txbxContent>
            </v:textbox>
            <w10:wrap type="none"/>
          </v:shape>
        </w:pict>
      </w:r>
      <w:r>
        <w:rPr>
          <w:w w:val="105"/>
          <w:sz w:val="19"/>
        </w:rPr>
        <w:t>Condición migratoria</w:t>
      </w:r>
      <w:r>
        <w:rPr>
          <w:spacing w:val="-2"/>
          <w:w w:val="105"/>
          <w:sz w:val="19"/>
        </w:rPr>
        <w:t> </w:t>
      </w:r>
      <w:r>
        <w:rPr>
          <w:w w:val="105"/>
          <w:sz w:val="19"/>
        </w:rPr>
        <w:t>del</w:t>
      </w:r>
      <w:r>
        <w:rPr>
          <w:spacing w:val="-2"/>
          <w:w w:val="105"/>
          <w:sz w:val="19"/>
        </w:rPr>
        <w:t> </w:t>
      </w:r>
      <w:r>
        <w:rPr>
          <w:w w:val="105"/>
          <w:sz w:val="19"/>
        </w:rPr>
        <w:t>hogar</w:t>
        <w:tab/>
      </w:r>
      <w:r>
        <w:rPr>
          <w:position w:val="12"/>
          <w:sz w:val="19"/>
        </w:rPr>
        <w:t>Jefatura</w:t>
      </w:r>
    </w:p>
    <w:p>
      <w:pPr>
        <w:spacing w:before="11"/>
        <w:ind w:left="257" w:right="0" w:firstLine="0"/>
        <w:jc w:val="left"/>
        <w:rPr>
          <w:sz w:val="19"/>
        </w:rPr>
      </w:pPr>
      <w:r>
        <w:rPr/>
        <w:br w:type="column"/>
      </w:r>
      <w:r>
        <w:rPr>
          <w:w w:val="105"/>
          <w:sz w:val="19"/>
        </w:rPr>
        <w:t>Jefatura</w:t>
      </w:r>
    </w:p>
    <w:p>
      <w:pPr>
        <w:spacing w:after="0"/>
        <w:jc w:val="left"/>
        <w:rPr>
          <w:sz w:val="19"/>
        </w:rPr>
        <w:sectPr>
          <w:type w:val="continuous"/>
          <w:pgSz w:w="9360" w:h="13040"/>
          <w:pgMar w:top="0" w:bottom="0" w:left="1300" w:right="1300"/>
          <w:cols w:num="2" w:equalWidth="0">
            <w:col w:w="5251" w:space="389"/>
            <w:col w:w="1120"/>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3"/>
        <w:spacing w:before="193"/>
      </w:pPr>
      <w:r>
        <w:rPr>
          <w:color w:val="231F20"/>
        </w:rPr>
        <w:t>Las viviendas de los hogares mexiquenses</w:t>
      </w:r>
    </w:p>
    <w:p>
      <w:pPr>
        <w:pStyle w:val="BodyText"/>
        <w:spacing w:line="247" w:lineRule="auto" w:before="172"/>
        <w:ind w:left="117" w:right="115"/>
        <w:jc w:val="both"/>
      </w:pPr>
      <w:r>
        <w:rPr>
          <w:color w:val="231F20"/>
        </w:rPr>
        <w:t>La vivienda es el espacio donde las personas estructuran sus relaciones familiares,</w:t>
      </w:r>
      <w:r>
        <w:rPr>
          <w:color w:val="231F20"/>
          <w:spacing w:val="-5"/>
        </w:rPr>
        <w:t> </w:t>
      </w:r>
      <w:r>
        <w:rPr>
          <w:color w:val="231F20"/>
        </w:rPr>
        <w:t>tan</w:t>
      </w:r>
      <w:r>
        <w:rPr>
          <w:color w:val="231F20"/>
          <w:spacing w:val="-5"/>
        </w:rPr>
        <w:t> </w:t>
      </w:r>
      <w:r>
        <w:rPr>
          <w:color w:val="231F20"/>
        </w:rPr>
        <w:t>importante</w:t>
      </w:r>
      <w:r>
        <w:rPr>
          <w:color w:val="231F20"/>
          <w:spacing w:val="-6"/>
        </w:rPr>
        <w:t> </w:t>
      </w:r>
      <w:r>
        <w:rPr>
          <w:color w:val="231F20"/>
        </w:rPr>
        <w:t>como</w:t>
      </w:r>
      <w:r>
        <w:rPr>
          <w:color w:val="231F20"/>
          <w:spacing w:val="-5"/>
        </w:rPr>
        <w:t> </w:t>
      </w:r>
      <w:r>
        <w:rPr>
          <w:color w:val="231F20"/>
        </w:rPr>
        <w:t>decisiva</w:t>
      </w:r>
      <w:r>
        <w:rPr>
          <w:color w:val="231F20"/>
          <w:spacing w:val="-5"/>
        </w:rPr>
        <w:t> </w:t>
      </w:r>
      <w:r>
        <w:rPr>
          <w:color w:val="231F20"/>
        </w:rPr>
        <w:t>para</w:t>
      </w:r>
      <w:r>
        <w:rPr>
          <w:color w:val="231F20"/>
          <w:spacing w:val="-5"/>
        </w:rPr>
        <w:t> </w:t>
      </w:r>
      <w:r>
        <w:rPr>
          <w:color w:val="231F20"/>
        </w:rPr>
        <w:t>la</w:t>
      </w:r>
      <w:r>
        <w:rPr>
          <w:color w:val="231F20"/>
          <w:spacing w:val="-5"/>
        </w:rPr>
        <w:t> </w:t>
      </w:r>
      <w:r>
        <w:rPr>
          <w:color w:val="231F20"/>
        </w:rPr>
        <w:t>reproducción</w:t>
      </w:r>
      <w:r>
        <w:rPr>
          <w:color w:val="231F20"/>
          <w:spacing w:val="-5"/>
        </w:rPr>
        <w:t> </w:t>
      </w:r>
      <w:r>
        <w:rPr>
          <w:color w:val="231F20"/>
        </w:rPr>
        <w:t>doméstica</w:t>
      </w:r>
      <w:r>
        <w:rPr>
          <w:color w:val="231F20"/>
          <w:spacing w:val="-5"/>
        </w:rPr>
        <w:t> </w:t>
      </w:r>
      <w:r>
        <w:rPr>
          <w:color w:val="231F20"/>
        </w:rPr>
        <w:t>y las relaciones de género y generacionales. En la vivienda familiar sus in- tegrantes atraviesan por las distintas etapas de su curso de vida y es en ese espacio donde construyen y refuerzan vínculos afectivos con sus padres, hermanos, cónyuges, hijos u otros parientes próximos, los cuales les dan identidad y pertenencia de las personas (CONAPO,</w:t>
      </w:r>
      <w:r>
        <w:rPr>
          <w:color w:val="231F20"/>
          <w:spacing w:val="-3"/>
        </w:rPr>
        <w:t> </w:t>
      </w:r>
      <w:r>
        <w:rPr>
          <w:color w:val="231F20"/>
        </w:rPr>
        <w:t>2000).</w:t>
      </w:r>
    </w:p>
    <w:p>
      <w:pPr>
        <w:pStyle w:val="BodyText"/>
        <w:spacing w:line="247" w:lineRule="auto"/>
        <w:ind w:left="117" w:right="114" w:firstLine="283"/>
        <w:jc w:val="both"/>
      </w:pPr>
      <w:r>
        <w:rPr>
          <w:color w:val="231F20"/>
        </w:rPr>
        <w:t>El alojamiento en una vivienda digna y decorosa, derecho familiar</w:t>
      </w:r>
      <w:r>
        <w:rPr>
          <w:color w:val="231F20"/>
          <w:spacing w:val="-34"/>
        </w:rPr>
        <w:t> </w:t>
      </w:r>
      <w:r>
        <w:rPr>
          <w:color w:val="231F20"/>
        </w:rPr>
        <w:t>san- cionado en el artículo cuarto de la Constitución, conforma una estructura de oportunidades que es determinante para la integración de las familias y el desarrollo de las capacidades de sus integrantes, toda vez que su tama- ño y características adecuadas, así como el acceso a servicios esenciales, reduce las tasas de morbilidad, propicia un clima de convivencia y</w:t>
      </w:r>
      <w:r>
        <w:rPr>
          <w:color w:val="231F20"/>
          <w:spacing w:val="-24"/>
        </w:rPr>
        <w:t> </w:t>
      </w:r>
      <w:r>
        <w:rPr>
          <w:color w:val="231F20"/>
        </w:rPr>
        <w:t>respeto a la privacidad entre sus miembros y crea un clima educacional favorable para la población en edad escolar, que son aspectos que influyen en el de- sarrollo de las potencialidades humanas (CONAPO,</w:t>
      </w:r>
      <w:r>
        <w:rPr>
          <w:color w:val="231F20"/>
          <w:spacing w:val="-9"/>
        </w:rPr>
        <w:t> </w:t>
      </w:r>
      <w:r>
        <w:rPr>
          <w:color w:val="231F20"/>
        </w:rPr>
        <w:t>2000).</w:t>
      </w:r>
    </w:p>
    <w:p>
      <w:pPr>
        <w:pStyle w:val="BodyText"/>
        <w:spacing w:line="247" w:lineRule="auto"/>
        <w:ind w:left="117" w:right="115" w:firstLine="283"/>
        <w:jc w:val="both"/>
      </w:pPr>
      <w:r>
        <w:rPr>
          <w:color w:val="231F20"/>
        </w:rPr>
        <w:t>Se entiende que la disponibilidad de bienes electrodomésticos y elec- trónicos permite la conservación de alimentos, reduce traslados a los cen- tros de abasto, eleva el ahorro familiar y facilita la ejecución de las tareas domésticas. Asimismo, la disponibilidad de este tipo de activos familiares contribuye a reducir la intensidad del trabajo doméstico y propicia nuevos arreglos y formas de organización familiar que pueden obrar en</w:t>
      </w:r>
      <w:r>
        <w:rPr>
          <w:color w:val="231F20"/>
          <w:spacing w:val="54"/>
        </w:rPr>
        <w:t> </w:t>
      </w:r>
      <w:r>
        <w:rPr>
          <w:color w:val="231F20"/>
        </w:rPr>
        <w:t>beneficio</w:t>
      </w:r>
    </w:p>
    <w:p>
      <w:pPr>
        <w:spacing w:after="0" w:line="247" w:lineRule="auto"/>
        <w:jc w:val="both"/>
        <w:sectPr>
          <w:type w:val="continuous"/>
          <w:pgSz w:w="9360" w:h="13040"/>
          <w:pgMar w:top="0" w:bottom="0" w:left="1300" w:right="1300"/>
        </w:sectPr>
      </w:pPr>
    </w:p>
    <w:p>
      <w:pPr>
        <w:spacing w:before="45"/>
        <w:ind w:left="117" w:right="0" w:firstLine="713"/>
        <w:jc w:val="left"/>
        <w:rPr>
          <w:rFonts w:ascii="Arial" w:hAnsi="Arial"/>
          <w:i/>
          <w:sz w:val="20"/>
        </w:rPr>
      </w:pPr>
      <w:r>
        <w:rPr>
          <w:rFonts w:ascii="Arial" w:hAnsi="Arial"/>
          <w:color w:val="231F20"/>
          <w:w w:val="70"/>
          <w:sz w:val="20"/>
        </w:rPr>
        <w:t>La dinámica migratoria al interior de los hogares: formas... /Rosa Patricia Román-Reyes </w:t>
      </w:r>
      <w:r>
        <w:rPr>
          <w:rFonts w:ascii="Arial" w:hAnsi="Arial"/>
          <w:i/>
          <w:color w:val="231F20"/>
          <w:w w:val="70"/>
          <w:sz w:val="20"/>
        </w:rPr>
        <w:t>et al.</w:t>
      </w:r>
    </w:p>
    <w:p>
      <w:pPr>
        <w:pStyle w:val="BodyText"/>
        <w:spacing w:before="7"/>
        <w:rPr>
          <w:rFonts w:ascii="Arial"/>
          <w:i/>
          <w:sz w:val="28"/>
        </w:rPr>
      </w:pPr>
    </w:p>
    <w:p>
      <w:pPr>
        <w:pStyle w:val="BodyText"/>
        <w:spacing w:line="247" w:lineRule="auto"/>
        <w:ind w:left="117" w:right="114"/>
        <w:jc w:val="both"/>
      </w:pPr>
      <w:r>
        <w:rPr>
          <w:color w:val="231F20"/>
        </w:rPr>
        <w:t>de una mayor equidad de género, aumentan la calidad de vida de las fa- milias y las comunidades y crean nuevas opciones del disfrute de tiempo libre. A su vez, el acceso a los satisfactores como la radio, la televisión y el reproductor de video facilitan el contacto más amplio con la sociedad y pueden contribuir en forma decisiva a la conformación de una ciudadanía moderna, capaz de desarrollar su agencia (CONAPO, 2000).</w:t>
      </w:r>
    </w:p>
    <w:p>
      <w:pPr>
        <w:pStyle w:val="BodyText"/>
        <w:spacing w:line="247" w:lineRule="auto"/>
        <w:ind w:left="117" w:right="114" w:firstLine="283"/>
        <w:jc w:val="both"/>
      </w:pPr>
      <w:r>
        <w:rPr>
          <w:color w:val="231F20"/>
        </w:rPr>
        <w:t>La conectividad que ofrecen las nuevas tecnologías de información conforma una nueva estructura de oportunidades de bajo costo para el in- tercambio cotidiano de información con lugares remotos, promueve una inserción con mayores ventajas en los mercados e impulsa nuevas formas de comunicación interpersonal. Por su parte, el automóvil es un medio   de transporte personal y familiar generalizado en las ciudades debido a que permite reducir los tiempos y fatigas de los traslados a los lugares de trabajo,</w:t>
      </w:r>
      <w:r>
        <w:rPr>
          <w:color w:val="231F20"/>
          <w:spacing w:val="-6"/>
        </w:rPr>
        <w:t> </w:t>
      </w:r>
      <w:r>
        <w:rPr>
          <w:color w:val="231F20"/>
        </w:rPr>
        <w:t>la</w:t>
      </w:r>
      <w:r>
        <w:rPr>
          <w:color w:val="231F20"/>
          <w:spacing w:val="-5"/>
        </w:rPr>
        <w:t> </w:t>
      </w:r>
      <w:r>
        <w:rPr>
          <w:color w:val="231F20"/>
        </w:rPr>
        <w:t>escuela,</w:t>
      </w:r>
      <w:r>
        <w:rPr>
          <w:color w:val="231F20"/>
          <w:spacing w:val="-6"/>
        </w:rPr>
        <w:t> </w:t>
      </w:r>
      <w:r>
        <w:rPr>
          <w:color w:val="231F20"/>
        </w:rPr>
        <w:t>el</w:t>
      </w:r>
      <w:r>
        <w:rPr>
          <w:color w:val="231F20"/>
          <w:spacing w:val="-5"/>
        </w:rPr>
        <w:t> </w:t>
      </w:r>
      <w:r>
        <w:rPr>
          <w:color w:val="231F20"/>
        </w:rPr>
        <w:t>mercado</w:t>
      </w:r>
      <w:r>
        <w:rPr>
          <w:color w:val="231F20"/>
          <w:spacing w:val="-6"/>
        </w:rPr>
        <w:t> </w:t>
      </w:r>
      <w:r>
        <w:rPr>
          <w:color w:val="231F20"/>
        </w:rPr>
        <w:t>y</w:t>
      </w:r>
      <w:r>
        <w:rPr>
          <w:color w:val="231F20"/>
          <w:spacing w:val="-5"/>
        </w:rPr>
        <w:t> </w:t>
      </w:r>
      <w:r>
        <w:rPr>
          <w:color w:val="231F20"/>
        </w:rPr>
        <w:t>los</w:t>
      </w:r>
      <w:r>
        <w:rPr>
          <w:color w:val="231F20"/>
          <w:spacing w:val="-6"/>
        </w:rPr>
        <w:t> </w:t>
      </w:r>
      <w:r>
        <w:rPr>
          <w:color w:val="231F20"/>
        </w:rPr>
        <w:t>sitios</w:t>
      </w:r>
      <w:r>
        <w:rPr>
          <w:color w:val="231F20"/>
          <w:spacing w:val="-5"/>
        </w:rPr>
        <w:t> </w:t>
      </w:r>
      <w:r>
        <w:rPr>
          <w:color w:val="231F20"/>
        </w:rPr>
        <w:t>de</w:t>
      </w:r>
      <w:r>
        <w:rPr>
          <w:color w:val="231F20"/>
          <w:spacing w:val="-5"/>
        </w:rPr>
        <w:t> </w:t>
      </w:r>
      <w:r>
        <w:rPr>
          <w:color w:val="231F20"/>
        </w:rPr>
        <w:t>esparcimiento,</w:t>
      </w:r>
      <w:r>
        <w:rPr>
          <w:color w:val="231F20"/>
          <w:spacing w:val="-6"/>
        </w:rPr>
        <w:t> </w:t>
      </w:r>
      <w:r>
        <w:rPr>
          <w:color w:val="231F20"/>
        </w:rPr>
        <w:t>entre</w:t>
      </w:r>
      <w:r>
        <w:rPr>
          <w:color w:val="231F20"/>
          <w:spacing w:val="-6"/>
        </w:rPr>
        <w:t> </w:t>
      </w:r>
      <w:r>
        <w:rPr>
          <w:color w:val="231F20"/>
        </w:rPr>
        <w:t>otros</w:t>
      </w:r>
      <w:r>
        <w:rPr>
          <w:color w:val="231F20"/>
          <w:spacing w:val="-5"/>
        </w:rPr>
        <w:t> </w:t>
      </w:r>
      <w:r>
        <w:rPr>
          <w:color w:val="231F20"/>
        </w:rPr>
        <w:t>as- pectos</w:t>
      </w:r>
      <w:r>
        <w:rPr>
          <w:color w:val="231F20"/>
          <w:spacing w:val="-6"/>
        </w:rPr>
        <w:t> </w:t>
      </w:r>
      <w:r>
        <w:rPr>
          <w:color w:val="231F20"/>
        </w:rPr>
        <w:t>que</w:t>
      </w:r>
      <w:r>
        <w:rPr>
          <w:color w:val="231F20"/>
          <w:spacing w:val="-7"/>
        </w:rPr>
        <w:t> </w:t>
      </w:r>
      <w:r>
        <w:rPr>
          <w:color w:val="231F20"/>
        </w:rPr>
        <w:t>inciden</w:t>
      </w:r>
      <w:r>
        <w:rPr>
          <w:color w:val="231F20"/>
          <w:spacing w:val="-7"/>
        </w:rPr>
        <w:t> </w:t>
      </w:r>
      <w:r>
        <w:rPr>
          <w:color w:val="231F20"/>
        </w:rPr>
        <w:t>positivamente</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calidad</w:t>
      </w:r>
      <w:r>
        <w:rPr>
          <w:color w:val="231F20"/>
          <w:spacing w:val="-7"/>
        </w:rPr>
        <w:t> </w:t>
      </w:r>
      <w:r>
        <w:rPr>
          <w:color w:val="231F20"/>
        </w:rPr>
        <w:t>de</w:t>
      </w:r>
      <w:r>
        <w:rPr>
          <w:color w:val="231F20"/>
          <w:spacing w:val="-7"/>
        </w:rPr>
        <w:t> </w:t>
      </w:r>
      <w:r>
        <w:rPr>
          <w:color w:val="231F20"/>
        </w:rPr>
        <w:t>vida</w:t>
      </w:r>
      <w:r>
        <w:rPr>
          <w:color w:val="231F20"/>
          <w:spacing w:val="-6"/>
        </w:rPr>
        <w:t> </w:t>
      </w:r>
      <w:r>
        <w:rPr>
          <w:color w:val="231F20"/>
        </w:rPr>
        <w:t>de</w:t>
      </w:r>
      <w:r>
        <w:rPr>
          <w:color w:val="231F20"/>
          <w:spacing w:val="-7"/>
        </w:rPr>
        <w:t> </w:t>
      </w:r>
      <w:r>
        <w:rPr>
          <w:color w:val="231F20"/>
        </w:rPr>
        <w:t>las</w:t>
      </w:r>
      <w:r>
        <w:rPr>
          <w:color w:val="231F20"/>
          <w:spacing w:val="-7"/>
        </w:rPr>
        <w:t> </w:t>
      </w:r>
      <w:r>
        <w:rPr>
          <w:color w:val="231F20"/>
        </w:rPr>
        <w:t>personas.</w:t>
      </w:r>
      <w:r>
        <w:rPr>
          <w:color w:val="231F20"/>
          <w:spacing w:val="-7"/>
        </w:rPr>
        <w:t> </w:t>
      </w:r>
      <w:r>
        <w:rPr>
          <w:color w:val="231F20"/>
        </w:rPr>
        <w:t>Sin duda,</w:t>
      </w:r>
      <w:r>
        <w:rPr>
          <w:color w:val="231F20"/>
          <w:spacing w:val="-11"/>
        </w:rPr>
        <w:t> </w:t>
      </w:r>
      <w:r>
        <w:rPr>
          <w:color w:val="231F20"/>
        </w:rPr>
        <w:t>la</w:t>
      </w:r>
      <w:r>
        <w:rPr>
          <w:color w:val="231F20"/>
          <w:spacing w:val="-11"/>
        </w:rPr>
        <w:t> </w:t>
      </w:r>
      <w:r>
        <w:rPr>
          <w:color w:val="231F20"/>
        </w:rPr>
        <w:t>disponibilidad</w:t>
      </w:r>
      <w:r>
        <w:rPr>
          <w:color w:val="231F20"/>
          <w:spacing w:val="-11"/>
        </w:rPr>
        <w:t> </w:t>
      </w:r>
      <w:r>
        <w:rPr>
          <w:color w:val="231F20"/>
        </w:rPr>
        <w:t>de</w:t>
      </w:r>
      <w:r>
        <w:rPr>
          <w:color w:val="231F20"/>
          <w:spacing w:val="-11"/>
        </w:rPr>
        <w:t> </w:t>
      </w:r>
      <w:r>
        <w:rPr>
          <w:color w:val="231F20"/>
        </w:rPr>
        <w:t>automóvil</w:t>
      </w:r>
      <w:r>
        <w:rPr>
          <w:color w:val="231F20"/>
          <w:spacing w:val="-11"/>
        </w:rPr>
        <w:t> </w:t>
      </w:r>
      <w:r>
        <w:rPr>
          <w:color w:val="231F20"/>
        </w:rPr>
        <w:t>constituye</w:t>
      </w:r>
      <w:r>
        <w:rPr>
          <w:color w:val="231F20"/>
          <w:spacing w:val="-11"/>
        </w:rPr>
        <w:t> </w:t>
      </w:r>
      <w:r>
        <w:rPr>
          <w:color w:val="231F20"/>
        </w:rPr>
        <w:t>un</w:t>
      </w:r>
      <w:r>
        <w:rPr>
          <w:color w:val="231F20"/>
          <w:spacing w:val="-11"/>
        </w:rPr>
        <w:t> </w:t>
      </w:r>
      <w:r>
        <w:rPr>
          <w:color w:val="231F20"/>
        </w:rPr>
        <w:t>activo</w:t>
      </w:r>
      <w:r>
        <w:rPr>
          <w:color w:val="231F20"/>
          <w:spacing w:val="-11"/>
        </w:rPr>
        <w:t> </w:t>
      </w:r>
      <w:r>
        <w:rPr>
          <w:color w:val="231F20"/>
        </w:rPr>
        <w:t>familiar</w:t>
      </w:r>
      <w:r>
        <w:rPr>
          <w:color w:val="231F20"/>
          <w:spacing w:val="-11"/>
        </w:rPr>
        <w:t> </w:t>
      </w:r>
      <w:r>
        <w:rPr>
          <w:color w:val="231F20"/>
        </w:rPr>
        <w:t>preciado del cual las familias pueden disponer ante situaciones financieras</w:t>
      </w:r>
      <w:r>
        <w:rPr>
          <w:color w:val="231F20"/>
          <w:spacing w:val="-29"/>
        </w:rPr>
        <w:t> </w:t>
      </w:r>
      <w:r>
        <w:rPr>
          <w:color w:val="231F20"/>
        </w:rPr>
        <w:t>adversas (CONAPO,</w:t>
      </w:r>
      <w:r>
        <w:rPr>
          <w:color w:val="231F20"/>
          <w:spacing w:val="-1"/>
        </w:rPr>
        <w:t> </w:t>
      </w:r>
      <w:r>
        <w:rPr>
          <w:color w:val="231F20"/>
        </w:rPr>
        <w:t>2000).</w:t>
      </w:r>
    </w:p>
    <w:p>
      <w:pPr>
        <w:pStyle w:val="BodyText"/>
        <w:spacing w:line="247" w:lineRule="auto"/>
        <w:ind w:left="117" w:right="115" w:firstLine="283"/>
        <w:jc w:val="both"/>
      </w:pPr>
      <w:r>
        <w:rPr>
          <w:color w:val="231F20"/>
        </w:rPr>
        <w:t>En ese sentido, es relevante conocer el grado en que las familias</w:t>
      </w:r>
      <w:r>
        <w:rPr>
          <w:color w:val="231F20"/>
          <w:spacing w:val="-31"/>
        </w:rPr>
        <w:t> </w:t>
      </w:r>
      <w:r>
        <w:rPr>
          <w:color w:val="231F20"/>
        </w:rPr>
        <w:t>dispo- nen de dichos bienes, así como su expresión territorial y su presencia de acuerdo con la participación en la migración de los</w:t>
      </w:r>
      <w:r>
        <w:rPr>
          <w:color w:val="231F20"/>
          <w:spacing w:val="-5"/>
        </w:rPr>
        <w:t> </w:t>
      </w:r>
      <w:r>
        <w:rPr>
          <w:color w:val="231F20"/>
        </w:rPr>
        <w:t>hogares.</w:t>
      </w:r>
    </w:p>
    <w:p>
      <w:pPr>
        <w:pStyle w:val="BodyText"/>
        <w:spacing w:line="247" w:lineRule="auto"/>
        <w:ind w:left="117" w:right="116" w:firstLine="283"/>
        <w:jc w:val="both"/>
      </w:pPr>
      <w:r>
        <w:rPr>
          <w:color w:val="231F20"/>
        </w:rPr>
        <w:t>La información de la EMMEU 2009 aporta elementos que hacen posi- ble</w:t>
      </w:r>
      <w:r>
        <w:rPr>
          <w:color w:val="231F20"/>
          <w:spacing w:val="-6"/>
        </w:rPr>
        <w:t> </w:t>
      </w:r>
      <w:r>
        <w:rPr>
          <w:color w:val="231F20"/>
        </w:rPr>
        <w:t>analizar</w:t>
      </w:r>
      <w:r>
        <w:rPr>
          <w:color w:val="231F20"/>
          <w:spacing w:val="-7"/>
        </w:rPr>
        <w:t> </w:t>
      </w:r>
      <w:r>
        <w:rPr>
          <w:color w:val="231F20"/>
        </w:rPr>
        <w:t>las</w:t>
      </w:r>
      <w:r>
        <w:rPr>
          <w:color w:val="231F20"/>
          <w:spacing w:val="-6"/>
        </w:rPr>
        <w:t> </w:t>
      </w:r>
      <w:r>
        <w:rPr>
          <w:color w:val="231F20"/>
        </w:rPr>
        <w:t>condiciones</w:t>
      </w:r>
      <w:r>
        <w:rPr>
          <w:color w:val="231F20"/>
          <w:spacing w:val="-7"/>
        </w:rPr>
        <w:t> </w:t>
      </w:r>
      <w:r>
        <w:rPr>
          <w:color w:val="231F20"/>
        </w:rPr>
        <w:t>de</w:t>
      </w:r>
      <w:r>
        <w:rPr>
          <w:color w:val="231F20"/>
          <w:spacing w:val="-6"/>
        </w:rPr>
        <w:t> </w:t>
      </w:r>
      <w:r>
        <w:rPr>
          <w:color w:val="231F20"/>
        </w:rPr>
        <w:t>las</w:t>
      </w:r>
      <w:r>
        <w:rPr>
          <w:color w:val="231F20"/>
          <w:spacing w:val="-7"/>
        </w:rPr>
        <w:t> </w:t>
      </w:r>
      <w:r>
        <w:rPr>
          <w:color w:val="231F20"/>
        </w:rPr>
        <w:t>viviendas,</w:t>
      </w:r>
      <w:r>
        <w:rPr>
          <w:color w:val="231F20"/>
          <w:spacing w:val="-6"/>
        </w:rPr>
        <w:t> </w:t>
      </w:r>
      <w:r>
        <w:rPr>
          <w:color w:val="231F20"/>
        </w:rPr>
        <w:t>así</w:t>
      </w:r>
      <w:r>
        <w:rPr>
          <w:color w:val="231F20"/>
          <w:spacing w:val="-7"/>
        </w:rPr>
        <w:t> </w:t>
      </w:r>
      <w:r>
        <w:rPr>
          <w:color w:val="231F20"/>
        </w:rPr>
        <w:t>como</w:t>
      </w:r>
      <w:r>
        <w:rPr>
          <w:color w:val="231F20"/>
          <w:spacing w:val="-7"/>
        </w:rPr>
        <w:t> </w:t>
      </w:r>
      <w:r>
        <w:rPr>
          <w:color w:val="231F20"/>
        </w:rPr>
        <w:t>la</w:t>
      </w:r>
      <w:r>
        <w:rPr>
          <w:color w:val="231F20"/>
          <w:spacing w:val="-7"/>
        </w:rPr>
        <w:t> </w:t>
      </w:r>
      <w:r>
        <w:rPr>
          <w:color w:val="231F20"/>
        </w:rPr>
        <w:t>disponibilidad</w:t>
      </w:r>
      <w:r>
        <w:rPr>
          <w:color w:val="231F20"/>
          <w:spacing w:val="-6"/>
        </w:rPr>
        <w:t> </w:t>
      </w:r>
      <w:r>
        <w:rPr>
          <w:color w:val="231F20"/>
        </w:rPr>
        <w:t>de servicios urbanos y algunos enseres domésticos, datos que se presentan</w:t>
      </w:r>
      <w:r>
        <w:rPr>
          <w:color w:val="231F20"/>
          <w:spacing w:val="-27"/>
        </w:rPr>
        <w:t> </w:t>
      </w:r>
      <w:r>
        <w:rPr>
          <w:color w:val="231F20"/>
        </w:rPr>
        <w:t>en los Cuadros 5, 6, 7 y</w:t>
      </w:r>
      <w:r>
        <w:rPr>
          <w:color w:val="231F20"/>
          <w:spacing w:val="-2"/>
        </w:rPr>
        <w:t> </w:t>
      </w:r>
      <w:r>
        <w:rPr>
          <w:color w:val="231F20"/>
        </w:rPr>
        <w:t>8.</w:t>
      </w:r>
    </w:p>
    <w:p>
      <w:pPr>
        <w:pStyle w:val="BodyText"/>
        <w:spacing w:line="247" w:lineRule="auto"/>
        <w:ind w:left="117" w:right="115" w:firstLine="283"/>
        <w:jc w:val="both"/>
      </w:pPr>
      <w:r>
        <w:rPr>
          <w:color w:val="231F20"/>
        </w:rPr>
        <w:t>El hacinamiento compromete la privacidad de las personas ocupantes de viviendas particulares, propiciando espacios inadecuados para el estu- dio</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esparcimiento,</w:t>
      </w:r>
      <w:r>
        <w:rPr>
          <w:color w:val="231F20"/>
          <w:spacing w:val="-5"/>
        </w:rPr>
        <w:t> </w:t>
      </w:r>
      <w:r>
        <w:rPr>
          <w:color w:val="231F20"/>
        </w:rPr>
        <w:t>entre</w:t>
      </w:r>
      <w:r>
        <w:rPr>
          <w:color w:val="231F20"/>
          <w:spacing w:val="-4"/>
        </w:rPr>
        <w:t> </w:t>
      </w:r>
      <w:r>
        <w:rPr>
          <w:color w:val="231F20"/>
        </w:rPr>
        <w:t>otras</w:t>
      </w:r>
      <w:r>
        <w:rPr>
          <w:color w:val="231F20"/>
          <w:spacing w:val="-4"/>
        </w:rPr>
        <w:t> </w:t>
      </w:r>
      <w:r>
        <w:rPr>
          <w:color w:val="231F20"/>
        </w:rPr>
        <w:t>actividades</w:t>
      </w:r>
      <w:r>
        <w:rPr>
          <w:color w:val="231F20"/>
          <w:spacing w:val="-5"/>
        </w:rPr>
        <w:t> </w:t>
      </w:r>
      <w:r>
        <w:rPr>
          <w:color w:val="231F20"/>
        </w:rPr>
        <w:t>esenciales</w:t>
      </w:r>
      <w:r>
        <w:rPr>
          <w:color w:val="231F20"/>
          <w:spacing w:val="-5"/>
        </w:rPr>
        <w:t> </w:t>
      </w:r>
      <w:r>
        <w:rPr>
          <w:color w:val="231F20"/>
        </w:rPr>
        <w:t>para</w:t>
      </w:r>
      <w:r>
        <w:rPr>
          <w:color w:val="231F20"/>
          <w:spacing w:val="-4"/>
        </w:rPr>
        <w:t> </w:t>
      </w:r>
      <w:r>
        <w:rPr>
          <w:color w:val="231F20"/>
        </w:rPr>
        <w:t>el</w:t>
      </w:r>
      <w:r>
        <w:rPr>
          <w:color w:val="231F20"/>
          <w:spacing w:val="-4"/>
        </w:rPr>
        <w:t> </w:t>
      </w:r>
      <w:r>
        <w:rPr>
          <w:color w:val="231F20"/>
        </w:rPr>
        <w:t>desarrollo de las personas (Cuadro 9).</w:t>
      </w:r>
    </w:p>
    <w:p>
      <w:pPr>
        <w:pStyle w:val="BodyText"/>
        <w:spacing w:line="247" w:lineRule="auto"/>
        <w:ind w:left="117" w:right="114" w:firstLine="283"/>
        <w:jc w:val="both"/>
      </w:pPr>
      <w:r>
        <w:rPr>
          <w:color w:val="231F20"/>
        </w:rPr>
        <w:t>Hasta aquí hemos presentado algunos datos cuantitativos obtenidos y procesados de la EMMEU 2009 acerca de información que puede aproxi- marse al análisis de las condiciones de vida de los hogares que participan y no participan (a modo comparativo como fuera señalado anteriormente) del fenómeno migratorio.</w:t>
      </w:r>
    </w:p>
    <w:p>
      <w:pPr>
        <w:pStyle w:val="BodyText"/>
        <w:spacing w:line="247" w:lineRule="auto"/>
        <w:ind w:left="117" w:right="114" w:firstLine="283"/>
        <w:jc w:val="both"/>
      </w:pPr>
      <w:r>
        <w:rPr>
          <w:color w:val="231F20"/>
        </w:rPr>
        <w:t>Esta información de corte transversal y macro social, con las</w:t>
      </w:r>
      <w:r>
        <w:rPr>
          <w:color w:val="231F20"/>
          <w:spacing w:val="-27"/>
        </w:rPr>
        <w:t> </w:t>
      </w:r>
      <w:r>
        <w:rPr>
          <w:color w:val="231F20"/>
        </w:rPr>
        <w:t>limitacio- nes que presenta al ser datos obtenidos de una encuesta, aporta un marco general</w:t>
      </w:r>
      <w:r>
        <w:rPr>
          <w:color w:val="231F20"/>
          <w:spacing w:val="-9"/>
        </w:rPr>
        <w:t> </w:t>
      </w:r>
      <w:r>
        <w:rPr>
          <w:color w:val="231F20"/>
        </w:rPr>
        <w:t>para</w:t>
      </w:r>
      <w:r>
        <w:rPr>
          <w:color w:val="231F20"/>
          <w:spacing w:val="-10"/>
        </w:rPr>
        <w:t> </w:t>
      </w:r>
      <w:r>
        <w:rPr>
          <w:color w:val="231F20"/>
        </w:rPr>
        <w:t>las</w:t>
      </w:r>
      <w:r>
        <w:rPr>
          <w:color w:val="231F20"/>
          <w:spacing w:val="-10"/>
        </w:rPr>
        <w:t> </w:t>
      </w:r>
      <w:r>
        <w:rPr>
          <w:color w:val="231F20"/>
        </w:rPr>
        <w:t>aproximaciones</w:t>
      </w:r>
      <w:r>
        <w:rPr>
          <w:color w:val="231F20"/>
          <w:spacing w:val="-10"/>
        </w:rPr>
        <w:t> </w:t>
      </w:r>
      <w:r>
        <w:rPr>
          <w:color w:val="231F20"/>
        </w:rPr>
        <w:t>tanto</w:t>
      </w:r>
      <w:r>
        <w:rPr>
          <w:color w:val="231F20"/>
          <w:spacing w:val="-10"/>
        </w:rPr>
        <w:t> </w:t>
      </w:r>
      <w:r>
        <w:rPr>
          <w:color w:val="231F20"/>
        </w:rPr>
        <w:t>teóricas</w:t>
      </w:r>
      <w:r>
        <w:rPr>
          <w:color w:val="231F20"/>
          <w:spacing w:val="-10"/>
        </w:rPr>
        <w:t> </w:t>
      </w:r>
      <w:r>
        <w:rPr>
          <w:color w:val="231F20"/>
        </w:rPr>
        <w:t>como</w:t>
      </w:r>
      <w:r>
        <w:rPr>
          <w:color w:val="231F20"/>
          <w:spacing w:val="-10"/>
        </w:rPr>
        <w:t> </w:t>
      </w:r>
      <w:r>
        <w:rPr>
          <w:color w:val="231F20"/>
        </w:rPr>
        <w:t>metodológicas</w:t>
      </w:r>
      <w:r>
        <w:rPr>
          <w:color w:val="231F20"/>
          <w:spacing w:val="-10"/>
        </w:rPr>
        <w:t> </w:t>
      </w:r>
      <w:r>
        <w:rPr>
          <w:color w:val="231F20"/>
        </w:rPr>
        <w:t>y</w:t>
      </w:r>
      <w:r>
        <w:rPr>
          <w:color w:val="231F20"/>
          <w:spacing w:val="-9"/>
        </w:rPr>
        <w:t> </w:t>
      </w:r>
      <w:r>
        <w:rPr>
          <w:color w:val="231F20"/>
        </w:rPr>
        <w:t>epis- temológicas</w:t>
      </w:r>
      <w:r>
        <w:rPr>
          <w:color w:val="231F20"/>
          <w:spacing w:val="-11"/>
        </w:rPr>
        <w:t> </w:t>
      </w:r>
      <w:r>
        <w:rPr>
          <w:color w:val="231F20"/>
        </w:rPr>
        <w:t>necesarias</w:t>
      </w:r>
      <w:r>
        <w:rPr>
          <w:color w:val="231F20"/>
          <w:spacing w:val="-10"/>
        </w:rPr>
        <w:t> </w:t>
      </w:r>
      <w:r>
        <w:rPr>
          <w:color w:val="231F20"/>
        </w:rPr>
        <w:t>para</w:t>
      </w:r>
      <w:r>
        <w:rPr>
          <w:color w:val="231F20"/>
          <w:spacing w:val="-11"/>
        </w:rPr>
        <w:t> </w:t>
      </w:r>
      <w:r>
        <w:rPr>
          <w:color w:val="231F20"/>
        </w:rPr>
        <w:t>el</w:t>
      </w:r>
      <w:r>
        <w:rPr>
          <w:color w:val="231F20"/>
          <w:spacing w:val="-11"/>
        </w:rPr>
        <w:t> </w:t>
      </w:r>
      <w:r>
        <w:rPr>
          <w:color w:val="231F20"/>
        </w:rPr>
        <w:t>análisis</w:t>
      </w:r>
      <w:r>
        <w:rPr>
          <w:color w:val="231F20"/>
          <w:spacing w:val="-11"/>
        </w:rPr>
        <w:t> </w:t>
      </w:r>
      <w:r>
        <w:rPr>
          <w:color w:val="231F20"/>
        </w:rPr>
        <w:t>del</w:t>
      </w:r>
      <w:r>
        <w:rPr>
          <w:color w:val="231F20"/>
          <w:spacing w:val="-11"/>
        </w:rPr>
        <w:t> </w:t>
      </w:r>
      <w:r>
        <w:rPr>
          <w:color w:val="231F20"/>
        </w:rPr>
        <w:t>fenómeno</w:t>
      </w:r>
      <w:r>
        <w:rPr>
          <w:color w:val="231F20"/>
          <w:spacing w:val="-10"/>
        </w:rPr>
        <w:t> </w:t>
      </w:r>
      <w:r>
        <w:rPr>
          <w:color w:val="231F20"/>
        </w:rPr>
        <w:t>migratorio,</w:t>
      </w:r>
      <w:r>
        <w:rPr>
          <w:color w:val="231F20"/>
          <w:spacing w:val="-11"/>
        </w:rPr>
        <w:t> </w:t>
      </w:r>
      <w:r>
        <w:rPr>
          <w:color w:val="231F20"/>
        </w:rPr>
        <w:t>desde</w:t>
      </w:r>
      <w:r>
        <w:rPr>
          <w:color w:val="231F20"/>
          <w:spacing w:val="-11"/>
        </w:rPr>
        <w:t> </w:t>
      </w:r>
      <w:r>
        <w:rPr>
          <w:color w:val="231F20"/>
        </w:rPr>
        <w:t>una mirada</w:t>
      </w:r>
      <w:r>
        <w:rPr>
          <w:color w:val="231F20"/>
          <w:spacing w:val="-1"/>
        </w:rPr>
        <w:t> </w:t>
      </w:r>
      <w:r>
        <w:rPr>
          <w:color w:val="231F20"/>
        </w:rPr>
        <w:t>coyuntural.</w:t>
      </w:r>
    </w:p>
    <w:p>
      <w:pPr>
        <w:spacing w:after="0" w:line="247" w:lineRule="auto"/>
        <w:jc w:val="both"/>
        <w:sectPr>
          <w:pgSz w:w="9360" w:h="13040"/>
          <w:pgMar w:header="0" w:footer="496" w:top="740" w:bottom="680" w:left="1300" w:right="1300"/>
        </w:sectPr>
      </w:pPr>
    </w:p>
    <w:p>
      <w:pPr>
        <w:tabs>
          <w:tab w:pos="5536" w:val="left" w:leader="none"/>
        </w:tabs>
        <w:spacing w:before="51"/>
        <w:ind w:left="128" w:right="117" w:firstLine="0"/>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7"/>
        </w:rPr>
      </w:pPr>
    </w:p>
    <w:p>
      <w:pPr>
        <w:spacing w:line="252" w:lineRule="auto" w:before="81"/>
        <w:ind w:left="257" w:right="117" w:firstLine="0"/>
        <w:jc w:val="left"/>
        <w:rPr>
          <w:sz w:val="19"/>
        </w:rPr>
      </w:pPr>
      <w:r>
        <w:rPr/>
        <w:pict>
          <v:shape style="position:absolute;margin-left:72.371002pt;margin-top:27.079563pt;width:324.5pt;height:.1pt;mso-position-horizontal-relative:page;mso-position-vertical-relative:paragraph;z-index:6832" coordorigin="1447,542" coordsize="6490,0" path="m1447,542l4308,542m4308,542l4318,542m4318,542l5297,542m5297,542l5307,542m5307,542l6574,542m6574,542l6583,542m6583,542l7937,542e" filled="false" stroked="true" strokeweight=".48pt" strokecolor="#000000">
            <v:path arrowok="t"/>
            <w10:wrap type="none"/>
          </v:shape>
        </w:pict>
      </w:r>
      <w:r>
        <w:rPr>
          <w:w w:val="105"/>
          <w:sz w:val="19"/>
        </w:rPr>
        <w:t>Cuadro 5. Condición de propiedad de la vivienda de los hogares según participación o no en la migración, Estado de México, 2009</w:t>
      </w:r>
    </w:p>
    <w:p>
      <w:pPr>
        <w:spacing w:after="0" w:line="252" w:lineRule="auto"/>
        <w:jc w:val="left"/>
        <w:rPr>
          <w:sz w:val="19"/>
        </w:rPr>
        <w:sectPr>
          <w:pgSz w:w="9360" w:h="13040"/>
          <w:pgMar w:header="0" w:footer="496" w:top="840" w:bottom="680" w:left="1300" w:right="1300"/>
        </w:sectPr>
      </w:pPr>
    </w:p>
    <w:p>
      <w:pPr>
        <w:tabs>
          <w:tab w:pos="3228" w:val="left" w:leader="none"/>
        </w:tabs>
        <w:spacing w:before="6"/>
        <w:ind w:left="257" w:right="0" w:firstLine="0"/>
        <w:jc w:val="left"/>
        <w:rPr>
          <w:sz w:val="19"/>
        </w:rPr>
      </w:pPr>
      <w:r>
        <w:rPr/>
        <w:pict>
          <v:shape style="position:absolute;margin-left:72.371002pt;margin-top:13.013762pt;width:324.5pt;height:48.5pt;mso-position-horizontal-relative:page;mso-position-vertical-relative:paragraph;z-index:685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20"/>
                    <w:gridCol w:w="1208"/>
                    <w:gridCol w:w="1318"/>
                    <w:gridCol w:w="1144"/>
                  </w:tblGrid>
                  <w:tr>
                    <w:trPr>
                      <w:trHeight w:val="221" w:hRule="exact"/>
                    </w:trPr>
                    <w:tc>
                      <w:tcPr>
                        <w:tcW w:w="2820" w:type="dxa"/>
                        <w:tcBorders>
                          <w:bottom w:val="double" w:sz="4" w:space="0" w:color="000000"/>
                        </w:tcBorders>
                      </w:tcPr>
                      <w:p>
                        <w:pPr/>
                      </w:p>
                    </w:tc>
                    <w:tc>
                      <w:tcPr>
                        <w:tcW w:w="1208" w:type="dxa"/>
                        <w:tcBorders>
                          <w:bottom w:val="double" w:sz="4" w:space="0" w:color="000000"/>
                        </w:tcBorders>
                      </w:tcPr>
                      <w:p>
                        <w:pPr>
                          <w:pStyle w:val="TableParagraph"/>
                          <w:spacing w:line="199" w:lineRule="exact"/>
                          <w:ind w:right="280"/>
                          <w:rPr>
                            <w:sz w:val="19"/>
                          </w:rPr>
                        </w:pPr>
                        <w:r>
                          <w:rPr>
                            <w:sz w:val="19"/>
                          </w:rPr>
                          <w:t>totales</w:t>
                        </w:r>
                      </w:p>
                    </w:tc>
                    <w:tc>
                      <w:tcPr>
                        <w:tcW w:w="1318" w:type="dxa"/>
                        <w:tcBorders>
                          <w:bottom w:val="double" w:sz="4" w:space="0" w:color="000000"/>
                        </w:tcBorders>
                      </w:tcPr>
                      <w:p>
                        <w:pPr>
                          <w:pStyle w:val="TableParagraph"/>
                          <w:spacing w:line="199" w:lineRule="exact"/>
                          <w:ind w:right="325"/>
                          <w:rPr>
                            <w:sz w:val="19"/>
                          </w:rPr>
                        </w:pPr>
                        <w:r>
                          <w:rPr>
                            <w:sz w:val="19"/>
                          </w:rPr>
                          <w:t>migrante</w:t>
                        </w:r>
                      </w:p>
                    </w:tc>
                    <w:tc>
                      <w:tcPr>
                        <w:tcW w:w="1144" w:type="dxa"/>
                        <w:tcBorders>
                          <w:bottom w:val="double" w:sz="4" w:space="0" w:color="000000"/>
                        </w:tcBorders>
                      </w:tcPr>
                      <w:p>
                        <w:pPr>
                          <w:pStyle w:val="TableParagraph"/>
                          <w:spacing w:line="199" w:lineRule="exact"/>
                          <w:ind w:right="106"/>
                          <w:rPr>
                            <w:sz w:val="19"/>
                          </w:rPr>
                        </w:pPr>
                        <w:r>
                          <w:rPr>
                            <w:sz w:val="19"/>
                          </w:rPr>
                          <w:t>migrante</w:t>
                        </w:r>
                      </w:p>
                    </w:tc>
                  </w:tr>
                  <w:tr>
                    <w:trPr>
                      <w:trHeight w:val="252" w:hRule="exact"/>
                    </w:trPr>
                    <w:tc>
                      <w:tcPr>
                        <w:tcW w:w="2820" w:type="dxa"/>
                        <w:tcBorders>
                          <w:top w:val="double" w:sz="4" w:space="0" w:color="000000"/>
                        </w:tcBorders>
                      </w:tcPr>
                      <w:p>
                        <w:pPr>
                          <w:pStyle w:val="TableParagraph"/>
                          <w:spacing w:before="5"/>
                          <w:ind w:left="110"/>
                          <w:jc w:val="left"/>
                          <w:rPr>
                            <w:sz w:val="19"/>
                          </w:rPr>
                        </w:pPr>
                        <w:r>
                          <w:rPr>
                            <w:w w:val="105"/>
                            <w:sz w:val="19"/>
                          </w:rPr>
                          <w:t>Vivienda propia</w:t>
                        </w:r>
                      </w:p>
                    </w:tc>
                    <w:tc>
                      <w:tcPr>
                        <w:tcW w:w="1208" w:type="dxa"/>
                        <w:tcBorders>
                          <w:top w:val="double" w:sz="4" w:space="0" w:color="000000"/>
                        </w:tcBorders>
                      </w:tcPr>
                      <w:p>
                        <w:pPr>
                          <w:pStyle w:val="TableParagraph"/>
                          <w:spacing w:before="5"/>
                          <w:ind w:right="280"/>
                          <w:rPr>
                            <w:sz w:val="19"/>
                          </w:rPr>
                        </w:pPr>
                        <w:r>
                          <w:rPr>
                            <w:sz w:val="19"/>
                          </w:rPr>
                          <w:t>82.1</w:t>
                        </w:r>
                      </w:p>
                    </w:tc>
                    <w:tc>
                      <w:tcPr>
                        <w:tcW w:w="1318" w:type="dxa"/>
                        <w:tcBorders>
                          <w:top w:val="double" w:sz="4" w:space="0" w:color="000000"/>
                        </w:tcBorders>
                      </w:tcPr>
                      <w:p>
                        <w:pPr>
                          <w:pStyle w:val="TableParagraph"/>
                          <w:spacing w:before="5"/>
                          <w:ind w:right="325"/>
                          <w:rPr>
                            <w:sz w:val="19"/>
                          </w:rPr>
                        </w:pPr>
                        <w:r>
                          <w:rPr>
                            <w:sz w:val="19"/>
                          </w:rPr>
                          <w:t>81.4</w:t>
                        </w:r>
                      </w:p>
                    </w:tc>
                    <w:tc>
                      <w:tcPr>
                        <w:tcW w:w="1144" w:type="dxa"/>
                        <w:tcBorders>
                          <w:top w:val="double" w:sz="4" w:space="0" w:color="000000"/>
                        </w:tcBorders>
                      </w:tcPr>
                      <w:p>
                        <w:pPr>
                          <w:pStyle w:val="TableParagraph"/>
                          <w:spacing w:before="5"/>
                          <w:ind w:right="106"/>
                          <w:rPr>
                            <w:sz w:val="19"/>
                          </w:rPr>
                        </w:pPr>
                        <w:r>
                          <w:rPr>
                            <w:sz w:val="19"/>
                          </w:rPr>
                          <w:t>85.9</w:t>
                        </w:r>
                      </w:p>
                    </w:tc>
                  </w:tr>
                  <w:tr>
                    <w:trPr>
                      <w:trHeight w:val="230" w:hRule="exact"/>
                    </w:trPr>
                    <w:tc>
                      <w:tcPr>
                        <w:tcW w:w="2820" w:type="dxa"/>
                      </w:tcPr>
                      <w:p>
                        <w:pPr>
                          <w:pStyle w:val="TableParagraph"/>
                          <w:spacing w:line="216" w:lineRule="exact"/>
                          <w:ind w:left="110"/>
                          <w:jc w:val="left"/>
                          <w:rPr>
                            <w:sz w:val="19"/>
                          </w:rPr>
                        </w:pPr>
                        <w:r>
                          <w:rPr>
                            <w:w w:val="105"/>
                            <w:sz w:val="19"/>
                          </w:rPr>
                          <w:t>Vivienda prestada</w:t>
                        </w:r>
                      </w:p>
                    </w:tc>
                    <w:tc>
                      <w:tcPr>
                        <w:tcW w:w="1208" w:type="dxa"/>
                      </w:tcPr>
                      <w:p>
                        <w:pPr>
                          <w:pStyle w:val="TableParagraph"/>
                          <w:spacing w:line="216" w:lineRule="exact"/>
                          <w:ind w:right="279"/>
                          <w:rPr>
                            <w:sz w:val="19"/>
                          </w:rPr>
                        </w:pPr>
                        <w:r>
                          <w:rPr>
                            <w:sz w:val="19"/>
                          </w:rPr>
                          <w:t>7.8</w:t>
                        </w:r>
                      </w:p>
                    </w:tc>
                    <w:tc>
                      <w:tcPr>
                        <w:tcW w:w="1318" w:type="dxa"/>
                      </w:tcPr>
                      <w:p>
                        <w:pPr>
                          <w:pStyle w:val="TableParagraph"/>
                          <w:spacing w:line="216" w:lineRule="exact"/>
                          <w:ind w:right="325"/>
                          <w:rPr>
                            <w:sz w:val="19"/>
                          </w:rPr>
                        </w:pPr>
                        <w:r>
                          <w:rPr>
                            <w:sz w:val="19"/>
                          </w:rPr>
                          <w:t>11.4</w:t>
                        </w:r>
                      </w:p>
                    </w:tc>
                    <w:tc>
                      <w:tcPr>
                        <w:tcW w:w="1144" w:type="dxa"/>
                      </w:tcPr>
                      <w:p>
                        <w:pPr>
                          <w:pStyle w:val="TableParagraph"/>
                          <w:spacing w:line="216" w:lineRule="exact"/>
                          <w:ind w:right="105"/>
                          <w:rPr>
                            <w:sz w:val="19"/>
                          </w:rPr>
                        </w:pPr>
                        <w:r>
                          <w:rPr>
                            <w:sz w:val="19"/>
                          </w:rPr>
                          <w:t>5.1</w:t>
                        </w:r>
                      </w:p>
                    </w:tc>
                  </w:tr>
                  <w:tr>
                    <w:trPr>
                      <w:trHeight w:val="238" w:hRule="exact"/>
                    </w:trPr>
                    <w:tc>
                      <w:tcPr>
                        <w:tcW w:w="2820" w:type="dxa"/>
                        <w:tcBorders>
                          <w:bottom w:val="double" w:sz="4" w:space="0" w:color="000000"/>
                        </w:tcBorders>
                      </w:tcPr>
                      <w:p>
                        <w:pPr>
                          <w:pStyle w:val="TableParagraph"/>
                          <w:spacing w:line="216" w:lineRule="exact"/>
                          <w:ind w:left="110"/>
                          <w:jc w:val="left"/>
                          <w:rPr>
                            <w:sz w:val="19"/>
                          </w:rPr>
                        </w:pPr>
                        <w:r>
                          <w:rPr>
                            <w:w w:val="105"/>
                            <w:sz w:val="19"/>
                          </w:rPr>
                          <w:t>Vivienda rentada o alquilada</w:t>
                        </w:r>
                      </w:p>
                    </w:tc>
                    <w:tc>
                      <w:tcPr>
                        <w:tcW w:w="1208" w:type="dxa"/>
                        <w:tcBorders>
                          <w:bottom w:val="double" w:sz="4" w:space="0" w:color="000000"/>
                        </w:tcBorders>
                      </w:tcPr>
                      <w:p>
                        <w:pPr>
                          <w:pStyle w:val="TableParagraph"/>
                          <w:spacing w:line="216" w:lineRule="exact"/>
                          <w:ind w:right="280"/>
                          <w:rPr>
                            <w:sz w:val="19"/>
                          </w:rPr>
                        </w:pPr>
                        <w:r>
                          <w:rPr>
                            <w:sz w:val="19"/>
                          </w:rPr>
                          <w:t>10.1</w:t>
                        </w:r>
                      </w:p>
                    </w:tc>
                    <w:tc>
                      <w:tcPr>
                        <w:tcW w:w="1318" w:type="dxa"/>
                        <w:tcBorders>
                          <w:bottom w:val="double" w:sz="4" w:space="0" w:color="000000"/>
                        </w:tcBorders>
                      </w:tcPr>
                      <w:p>
                        <w:pPr>
                          <w:pStyle w:val="TableParagraph"/>
                          <w:spacing w:line="216" w:lineRule="exact"/>
                          <w:ind w:right="324"/>
                          <w:rPr>
                            <w:sz w:val="19"/>
                          </w:rPr>
                        </w:pPr>
                        <w:r>
                          <w:rPr>
                            <w:sz w:val="19"/>
                          </w:rPr>
                          <w:t>7.2</w:t>
                        </w:r>
                      </w:p>
                    </w:tc>
                    <w:tc>
                      <w:tcPr>
                        <w:tcW w:w="1144" w:type="dxa"/>
                        <w:tcBorders>
                          <w:bottom w:val="double" w:sz="4" w:space="0" w:color="000000"/>
                        </w:tcBorders>
                      </w:tcPr>
                      <w:p>
                        <w:pPr>
                          <w:pStyle w:val="TableParagraph"/>
                          <w:spacing w:line="216" w:lineRule="exact"/>
                          <w:ind w:right="105"/>
                          <w:rPr>
                            <w:sz w:val="19"/>
                          </w:rPr>
                        </w:pPr>
                        <w:r>
                          <w:rPr>
                            <w:sz w:val="19"/>
                          </w:rPr>
                          <w:t>9.0</w:t>
                        </w:r>
                      </w:p>
                    </w:tc>
                  </w:tr>
                </w:tbl>
                <w:p>
                  <w:pPr>
                    <w:pStyle w:val="BodyText"/>
                  </w:pPr>
                </w:p>
              </w:txbxContent>
            </v:textbox>
            <w10:wrap type="none"/>
          </v:shape>
        </w:pict>
      </w:r>
      <w:r>
        <w:rPr>
          <w:w w:val="105"/>
          <w:sz w:val="19"/>
        </w:rPr>
        <w:t>Condiciones de</w:t>
      </w:r>
      <w:r>
        <w:rPr>
          <w:spacing w:val="-3"/>
          <w:w w:val="105"/>
          <w:sz w:val="19"/>
        </w:rPr>
        <w:t> </w:t>
      </w:r>
      <w:r>
        <w:rPr>
          <w:w w:val="105"/>
          <w:sz w:val="19"/>
        </w:rPr>
        <w:t>la</w:t>
      </w:r>
      <w:r>
        <w:rPr>
          <w:spacing w:val="-1"/>
          <w:w w:val="105"/>
          <w:sz w:val="19"/>
        </w:rPr>
        <w:t> </w:t>
      </w:r>
      <w:r>
        <w:rPr>
          <w:w w:val="105"/>
          <w:sz w:val="19"/>
        </w:rPr>
        <w:t>vivienda</w:t>
        <w:tab/>
      </w:r>
      <w:r>
        <w:rPr>
          <w:w w:val="105"/>
          <w:position w:val="12"/>
          <w:sz w:val="19"/>
        </w:rPr>
        <w:t>Hogares</w:t>
      </w:r>
    </w:p>
    <w:p>
      <w:pPr>
        <w:spacing w:before="11"/>
        <w:ind w:left="257" w:right="-19" w:firstLine="0"/>
        <w:jc w:val="left"/>
        <w:rPr>
          <w:sz w:val="19"/>
        </w:rPr>
      </w:pPr>
      <w:r>
        <w:rPr/>
        <w:br w:type="column"/>
      </w:r>
      <w:r>
        <w:rPr>
          <w:w w:val="105"/>
          <w:sz w:val="19"/>
        </w:rPr>
        <w:t>Hogar</w:t>
      </w:r>
    </w:p>
    <w:p>
      <w:pPr>
        <w:spacing w:before="11"/>
        <w:ind w:left="257" w:right="0" w:firstLine="0"/>
        <w:jc w:val="left"/>
        <w:rPr>
          <w:sz w:val="19"/>
        </w:rPr>
      </w:pPr>
      <w:r>
        <w:rPr/>
        <w:br w:type="column"/>
      </w:r>
      <w:r>
        <w:rPr>
          <w:w w:val="105"/>
          <w:sz w:val="19"/>
        </w:rPr>
        <w:t>Hogar no</w:t>
      </w:r>
    </w:p>
    <w:p>
      <w:pPr>
        <w:spacing w:after="0"/>
        <w:jc w:val="left"/>
        <w:rPr>
          <w:sz w:val="19"/>
        </w:rPr>
        <w:sectPr>
          <w:type w:val="continuous"/>
          <w:pgSz w:w="9360" w:h="13040"/>
          <w:pgMar w:top="0" w:bottom="0" w:left="1300" w:right="1300"/>
          <w:cols w:num="3" w:equalWidth="0">
            <w:col w:w="3895" w:space="514"/>
            <w:col w:w="757" w:space="356"/>
            <w:col w:w="1238"/>
          </w:cols>
        </w:sectPr>
      </w:pPr>
    </w:p>
    <w:p>
      <w:pPr>
        <w:pStyle w:val="BodyText"/>
        <w:rPr>
          <w:sz w:val="20"/>
        </w:rPr>
      </w:pPr>
    </w:p>
    <w:p>
      <w:pPr>
        <w:pStyle w:val="BodyText"/>
        <w:rPr>
          <w:sz w:val="20"/>
        </w:rPr>
      </w:pPr>
    </w:p>
    <w:p>
      <w:pPr>
        <w:pStyle w:val="BodyText"/>
        <w:spacing w:before="10"/>
        <w:rPr>
          <w:sz w:val="28"/>
        </w:rPr>
      </w:pPr>
    </w:p>
    <w:p>
      <w:pPr>
        <w:spacing w:before="78"/>
        <w:ind w:left="257" w:right="117" w:firstLine="0"/>
        <w:jc w:val="left"/>
        <w:rPr>
          <w:sz w:val="16"/>
        </w:rPr>
      </w:pPr>
      <w:r>
        <w:rPr>
          <w:sz w:val="16"/>
        </w:rPr>
        <w:t>Fuente: cálculos propios a partir de la EMMEU 2009.</w:t>
      </w:r>
    </w:p>
    <w:p>
      <w:pPr>
        <w:pStyle w:val="BodyText"/>
        <w:spacing w:before="3"/>
        <w:rPr>
          <w:sz w:val="9"/>
        </w:rPr>
      </w:pPr>
    </w:p>
    <w:p>
      <w:pPr>
        <w:spacing w:line="252" w:lineRule="auto" w:before="81"/>
        <w:ind w:left="397" w:right="117" w:firstLine="0"/>
        <w:jc w:val="left"/>
        <w:rPr>
          <w:sz w:val="19"/>
        </w:rPr>
      </w:pPr>
      <w:r>
        <w:rPr>
          <w:w w:val="105"/>
          <w:sz w:val="19"/>
        </w:rPr>
        <w:t>Cuadro 6. Condición de construcción de la vivienda de los hogares según participación o no en la migración, Estado de México, 2009</w:t>
      </w:r>
    </w:p>
    <w:tbl>
      <w:tblPr>
        <w:tblW w:w="0" w:type="auto"/>
        <w:jc w:val="left"/>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74"/>
        <w:gridCol w:w="682"/>
        <w:gridCol w:w="1042"/>
        <w:gridCol w:w="1048"/>
      </w:tblGrid>
      <w:tr>
        <w:trPr>
          <w:trHeight w:val="242" w:hRule="exact"/>
        </w:trPr>
        <w:tc>
          <w:tcPr>
            <w:tcW w:w="4256" w:type="dxa"/>
            <w:gridSpan w:val="2"/>
            <w:tcBorders>
              <w:left w:val="nil"/>
              <w:bottom w:val="nil"/>
              <w:right w:val="nil"/>
            </w:tcBorders>
          </w:tcPr>
          <w:p>
            <w:pPr>
              <w:pStyle w:val="TableParagraph"/>
              <w:tabs>
                <w:tab w:pos="3450" w:val="left" w:leader="none"/>
              </w:tabs>
              <w:spacing w:line="277" w:lineRule="exact"/>
              <w:ind w:left="110"/>
              <w:jc w:val="left"/>
              <w:rPr>
                <w:sz w:val="19"/>
              </w:rPr>
            </w:pPr>
            <w:r>
              <w:rPr>
                <w:w w:val="105"/>
                <w:sz w:val="19"/>
              </w:rPr>
              <w:t>Condiciones de</w:t>
            </w:r>
            <w:r>
              <w:rPr>
                <w:spacing w:val="-3"/>
                <w:w w:val="105"/>
                <w:sz w:val="19"/>
              </w:rPr>
              <w:t> </w:t>
            </w:r>
            <w:r>
              <w:rPr>
                <w:w w:val="105"/>
                <w:sz w:val="19"/>
              </w:rPr>
              <w:t>la</w:t>
            </w:r>
            <w:r>
              <w:rPr>
                <w:spacing w:val="-2"/>
                <w:w w:val="105"/>
                <w:sz w:val="19"/>
              </w:rPr>
              <w:t> </w:t>
            </w:r>
            <w:r>
              <w:rPr>
                <w:w w:val="105"/>
                <w:sz w:val="19"/>
              </w:rPr>
              <w:t>vivienda</w:t>
              <w:tab/>
            </w:r>
            <w:r>
              <w:rPr>
                <w:w w:val="105"/>
                <w:position w:val="12"/>
                <w:sz w:val="19"/>
              </w:rPr>
              <w:t>Hogares</w:t>
            </w:r>
          </w:p>
        </w:tc>
        <w:tc>
          <w:tcPr>
            <w:tcW w:w="1042" w:type="dxa"/>
            <w:tcBorders>
              <w:left w:val="nil"/>
              <w:bottom w:val="nil"/>
              <w:right w:val="nil"/>
            </w:tcBorders>
          </w:tcPr>
          <w:p>
            <w:pPr>
              <w:pStyle w:val="TableParagraph"/>
              <w:spacing w:before="5"/>
              <w:ind w:right="191"/>
              <w:rPr>
                <w:sz w:val="19"/>
              </w:rPr>
            </w:pPr>
            <w:r>
              <w:rPr>
                <w:sz w:val="19"/>
              </w:rPr>
              <w:t>Hogar</w:t>
            </w:r>
          </w:p>
        </w:tc>
        <w:tc>
          <w:tcPr>
            <w:tcW w:w="1048" w:type="dxa"/>
            <w:tcBorders>
              <w:left w:val="nil"/>
              <w:bottom w:val="nil"/>
              <w:right w:val="nil"/>
            </w:tcBorders>
          </w:tcPr>
          <w:p>
            <w:pPr>
              <w:pStyle w:val="TableParagraph"/>
              <w:spacing w:before="5"/>
              <w:ind w:right="102"/>
              <w:rPr>
                <w:sz w:val="19"/>
              </w:rPr>
            </w:pPr>
            <w:r>
              <w:rPr>
                <w:w w:val="105"/>
                <w:sz w:val="19"/>
              </w:rPr>
              <w:t>Hogar no</w:t>
            </w:r>
          </w:p>
        </w:tc>
      </w:tr>
      <w:tr>
        <w:trPr>
          <w:trHeight w:val="238" w:hRule="exact"/>
        </w:trPr>
        <w:tc>
          <w:tcPr>
            <w:tcW w:w="3574" w:type="dxa"/>
            <w:tcBorders>
              <w:top w:val="nil"/>
              <w:left w:val="nil"/>
              <w:bottom w:val="double" w:sz="4" w:space="0" w:color="000000"/>
              <w:right w:val="nil"/>
            </w:tcBorders>
          </w:tcPr>
          <w:p>
            <w:pPr/>
          </w:p>
        </w:tc>
        <w:tc>
          <w:tcPr>
            <w:tcW w:w="682" w:type="dxa"/>
            <w:tcBorders>
              <w:top w:val="nil"/>
              <w:left w:val="nil"/>
              <w:bottom w:val="double" w:sz="4" w:space="0" w:color="000000"/>
              <w:right w:val="nil"/>
            </w:tcBorders>
          </w:tcPr>
          <w:p>
            <w:pPr>
              <w:pStyle w:val="TableParagraph"/>
              <w:spacing w:line="199" w:lineRule="exact"/>
              <w:ind w:right="138"/>
              <w:rPr>
                <w:sz w:val="19"/>
              </w:rPr>
            </w:pPr>
            <w:r>
              <w:rPr>
                <w:sz w:val="19"/>
              </w:rPr>
              <w:t>totales</w:t>
            </w:r>
          </w:p>
        </w:tc>
        <w:tc>
          <w:tcPr>
            <w:tcW w:w="1042" w:type="dxa"/>
            <w:tcBorders>
              <w:top w:val="nil"/>
              <w:left w:val="nil"/>
              <w:bottom w:val="double" w:sz="4" w:space="0" w:color="000000"/>
              <w:right w:val="nil"/>
            </w:tcBorders>
          </w:tcPr>
          <w:p>
            <w:pPr>
              <w:pStyle w:val="TableParagraph"/>
              <w:spacing w:line="199" w:lineRule="exact"/>
              <w:ind w:right="192"/>
              <w:rPr>
                <w:sz w:val="19"/>
              </w:rPr>
            </w:pPr>
            <w:r>
              <w:rPr>
                <w:sz w:val="19"/>
              </w:rPr>
              <w:t>migrante</w:t>
            </w:r>
          </w:p>
        </w:tc>
        <w:tc>
          <w:tcPr>
            <w:tcW w:w="1048" w:type="dxa"/>
            <w:tcBorders>
              <w:top w:val="nil"/>
              <w:left w:val="nil"/>
              <w:bottom w:val="double" w:sz="4" w:space="0" w:color="000000"/>
              <w:right w:val="nil"/>
            </w:tcBorders>
          </w:tcPr>
          <w:p>
            <w:pPr>
              <w:pStyle w:val="TableParagraph"/>
              <w:spacing w:line="199" w:lineRule="exact"/>
              <w:ind w:right="104"/>
              <w:rPr>
                <w:sz w:val="19"/>
              </w:rPr>
            </w:pPr>
            <w:r>
              <w:rPr>
                <w:sz w:val="19"/>
              </w:rPr>
              <w:t>migrante</w:t>
            </w:r>
          </w:p>
        </w:tc>
      </w:tr>
      <w:tr>
        <w:trPr>
          <w:trHeight w:val="252" w:hRule="exact"/>
        </w:trPr>
        <w:tc>
          <w:tcPr>
            <w:tcW w:w="3574" w:type="dxa"/>
            <w:tcBorders>
              <w:top w:val="double" w:sz="4" w:space="0" w:color="000000"/>
              <w:left w:val="nil"/>
              <w:bottom w:val="nil"/>
              <w:right w:val="nil"/>
            </w:tcBorders>
          </w:tcPr>
          <w:p>
            <w:pPr>
              <w:pStyle w:val="TableParagraph"/>
              <w:spacing w:before="5"/>
              <w:ind w:left="110"/>
              <w:jc w:val="left"/>
              <w:rPr>
                <w:i/>
                <w:sz w:val="19"/>
              </w:rPr>
            </w:pPr>
            <w:r>
              <w:rPr>
                <w:i/>
                <w:w w:val="105"/>
                <w:sz w:val="19"/>
              </w:rPr>
              <w:t>Material de las paredes</w:t>
            </w:r>
          </w:p>
        </w:tc>
        <w:tc>
          <w:tcPr>
            <w:tcW w:w="682" w:type="dxa"/>
            <w:tcBorders>
              <w:top w:val="double" w:sz="4" w:space="0" w:color="000000"/>
              <w:left w:val="nil"/>
              <w:bottom w:val="nil"/>
              <w:right w:val="nil"/>
            </w:tcBorders>
          </w:tcPr>
          <w:p>
            <w:pPr/>
          </w:p>
        </w:tc>
        <w:tc>
          <w:tcPr>
            <w:tcW w:w="1042" w:type="dxa"/>
            <w:tcBorders>
              <w:top w:val="double" w:sz="4" w:space="0" w:color="000000"/>
              <w:left w:val="nil"/>
              <w:bottom w:val="nil"/>
              <w:right w:val="nil"/>
            </w:tcBorders>
          </w:tcPr>
          <w:p>
            <w:pPr/>
          </w:p>
        </w:tc>
        <w:tc>
          <w:tcPr>
            <w:tcW w:w="1048" w:type="dxa"/>
            <w:tcBorders>
              <w:top w:val="double" w:sz="4" w:space="0" w:color="000000"/>
              <w:left w:val="nil"/>
              <w:bottom w:val="nil"/>
              <w:right w:val="nil"/>
            </w:tcBorders>
          </w:tcPr>
          <w:p>
            <w:pPr/>
          </w:p>
        </w:tc>
      </w:tr>
      <w:tr>
        <w:trPr>
          <w:trHeight w:val="230" w:hRule="exact"/>
        </w:trPr>
        <w:tc>
          <w:tcPr>
            <w:tcW w:w="3574" w:type="dxa"/>
            <w:tcBorders>
              <w:top w:val="nil"/>
              <w:left w:val="nil"/>
              <w:bottom w:val="nil"/>
              <w:right w:val="nil"/>
            </w:tcBorders>
          </w:tcPr>
          <w:p>
            <w:pPr>
              <w:pStyle w:val="TableParagraph"/>
              <w:spacing w:line="216" w:lineRule="exact"/>
              <w:ind w:left="110"/>
              <w:jc w:val="left"/>
              <w:rPr>
                <w:sz w:val="19"/>
              </w:rPr>
            </w:pPr>
            <w:r>
              <w:rPr>
                <w:w w:val="105"/>
                <w:sz w:val="19"/>
              </w:rPr>
              <w:t>Madera</w:t>
            </w:r>
          </w:p>
        </w:tc>
        <w:tc>
          <w:tcPr>
            <w:tcW w:w="682" w:type="dxa"/>
            <w:tcBorders>
              <w:top w:val="nil"/>
              <w:left w:val="nil"/>
              <w:bottom w:val="nil"/>
              <w:right w:val="nil"/>
            </w:tcBorders>
          </w:tcPr>
          <w:p>
            <w:pPr>
              <w:pStyle w:val="TableParagraph"/>
              <w:spacing w:line="216" w:lineRule="exact"/>
              <w:ind w:right="137"/>
              <w:rPr>
                <w:sz w:val="19"/>
              </w:rPr>
            </w:pPr>
            <w:r>
              <w:rPr>
                <w:sz w:val="19"/>
              </w:rPr>
              <w:t>0.2</w:t>
            </w:r>
          </w:p>
        </w:tc>
        <w:tc>
          <w:tcPr>
            <w:tcW w:w="1042" w:type="dxa"/>
            <w:tcBorders>
              <w:top w:val="nil"/>
              <w:left w:val="nil"/>
              <w:bottom w:val="nil"/>
              <w:right w:val="nil"/>
            </w:tcBorders>
          </w:tcPr>
          <w:p>
            <w:pPr>
              <w:pStyle w:val="TableParagraph"/>
              <w:spacing w:line="216" w:lineRule="exact"/>
              <w:ind w:right="191"/>
              <w:rPr>
                <w:sz w:val="19"/>
              </w:rPr>
            </w:pPr>
            <w:r>
              <w:rPr>
                <w:sz w:val="19"/>
              </w:rPr>
              <w:t>0.3</w:t>
            </w:r>
          </w:p>
        </w:tc>
        <w:tc>
          <w:tcPr>
            <w:tcW w:w="1048" w:type="dxa"/>
            <w:tcBorders>
              <w:top w:val="nil"/>
              <w:left w:val="nil"/>
              <w:bottom w:val="nil"/>
              <w:right w:val="nil"/>
            </w:tcBorders>
          </w:tcPr>
          <w:p>
            <w:pPr>
              <w:pStyle w:val="TableParagraph"/>
              <w:spacing w:line="216" w:lineRule="exact"/>
              <w:ind w:right="103"/>
              <w:rPr>
                <w:sz w:val="19"/>
              </w:rPr>
            </w:pPr>
            <w:r>
              <w:rPr>
                <w:sz w:val="19"/>
              </w:rPr>
              <w:t>0.2</w:t>
            </w:r>
          </w:p>
        </w:tc>
      </w:tr>
      <w:tr>
        <w:trPr>
          <w:trHeight w:val="230" w:hRule="exact"/>
        </w:trPr>
        <w:tc>
          <w:tcPr>
            <w:tcW w:w="3574" w:type="dxa"/>
            <w:tcBorders>
              <w:top w:val="nil"/>
              <w:left w:val="nil"/>
              <w:bottom w:val="nil"/>
              <w:right w:val="nil"/>
            </w:tcBorders>
          </w:tcPr>
          <w:p>
            <w:pPr>
              <w:pStyle w:val="TableParagraph"/>
              <w:spacing w:line="216" w:lineRule="exact"/>
              <w:ind w:left="110"/>
              <w:jc w:val="left"/>
              <w:rPr>
                <w:sz w:val="19"/>
              </w:rPr>
            </w:pPr>
            <w:r>
              <w:rPr>
                <w:w w:val="105"/>
                <w:sz w:val="19"/>
              </w:rPr>
              <w:t>Adobe</w:t>
            </w:r>
          </w:p>
        </w:tc>
        <w:tc>
          <w:tcPr>
            <w:tcW w:w="682" w:type="dxa"/>
            <w:tcBorders>
              <w:top w:val="nil"/>
              <w:left w:val="nil"/>
              <w:bottom w:val="nil"/>
              <w:right w:val="nil"/>
            </w:tcBorders>
          </w:tcPr>
          <w:p>
            <w:pPr>
              <w:pStyle w:val="TableParagraph"/>
              <w:spacing w:line="216" w:lineRule="exact"/>
              <w:ind w:right="137"/>
              <w:rPr>
                <w:sz w:val="19"/>
              </w:rPr>
            </w:pPr>
            <w:r>
              <w:rPr>
                <w:sz w:val="19"/>
              </w:rPr>
              <w:t>5.3</w:t>
            </w:r>
          </w:p>
        </w:tc>
        <w:tc>
          <w:tcPr>
            <w:tcW w:w="1042" w:type="dxa"/>
            <w:tcBorders>
              <w:top w:val="nil"/>
              <w:left w:val="nil"/>
              <w:bottom w:val="nil"/>
              <w:right w:val="nil"/>
            </w:tcBorders>
          </w:tcPr>
          <w:p>
            <w:pPr>
              <w:pStyle w:val="TableParagraph"/>
              <w:spacing w:line="216" w:lineRule="exact"/>
              <w:ind w:right="191"/>
              <w:rPr>
                <w:sz w:val="19"/>
              </w:rPr>
            </w:pPr>
            <w:r>
              <w:rPr>
                <w:sz w:val="19"/>
              </w:rPr>
              <w:t>4.6</w:t>
            </w:r>
          </w:p>
        </w:tc>
        <w:tc>
          <w:tcPr>
            <w:tcW w:w="1048" w:type="dxa"/>
            <w:tcBorders>
              <w:top w:val="nil"/>
              <w:left w:val="nil"/>
              <w:bottom w:val="nil"/>
              <w:right w:val="nil"/>
            </w:tcBorders>
          </w:tcPr>
          <w:p>
            <w:pPr>
              <w:pStyle w:val="TableParagraph"/>
              <w:spacing w:line="216" w:lineRule="exact"/>
              <w:ind w:right="103"/>
              <w:rPr>
                <w:sz w:val="19"/>
              </w:rPr>
            </w:pPr>
            <w:r>
              <w:rPr>
                <w:sz w:val="19"/>
              </w:rPr>
              <w:t>5.4</w:t>
            </w:r>
          </w:p>
        </w:tc>
      </w:tr>
      <w:tr>
        <w:trPr>
          <w:trHeight w:val="230" w:hRule="exact"/>
        </w:trPr>
        <w:tc>
          <w:tcPr>
            <w:tcW w:w="3574" w:type="dxa"/>
            <w:tcBorders>
              <w:top w:val="nil"/>
              <w:left w:val="nil"/>
              <w:bottom w:val="nil"/>
              <w:right w:val="nil"/>
            </w:tcBorders>
          </w:tcPr>
          <w:p>
            <w:pPr>
              <w:pStyle w:val="TableParagraph"/>
              <w:spacing w:line="216" w:lineRule="exact"/>
              <w:ind w:left="110"/>
              <w:jc w:val="left"/>
              <w:rPr>
                <w:sz w:val="19"/>
              </w:rPr>
            </w:pPr>
            <w:r>
              <w:rPr>
                <w:w w:val="105"/>
                <w:sz w:val="19"/>
              </w:rPr>
              <w:t>Tabique, cemento, piedra o concreto</w:t>
            </w:r>
          </w:p>
        </w:tc>
        <w:tc>
          <w:tcPr>
            <w:tcW w:w="682" w:type="dxa"/>
            <w:tcBorders>
              <w:top w:val="nil"/>
              <w:left w:val="nil"/>
              <w:bottom w:val="nil"/>
              <w:right w:val="nil"/>
            </w:tcBorders>
          </w:tcPr>
          <w:p>
            <w:pPr>
              <w:pStyle w:val="TableParagraph"/>
              <w:spacing w:line="216" w:lineRule="exact"/>
              <w:ind w:right="138"/>
              <w:rPr>
                <w:sz w:val="19"/>
              </w:rPr>
            </w:pPr>
            <w:r>
              <w:rPr>
                <w:sz w:val="19"/>
              </w:rPr>
              <w:t>93.3</w:t>
            </w:r>
          </w:p>
        </w:tc>
        <w:tc>
          <w:tcPr>
            <w:tcW w:w="1042" w:type="dxa"/>
            <w:tcBorders>
              <w:top w:val="nil"/>
              <w:left w:val="nil"/>
              <w:bottom w:val="nil"/>
              <w:right w:val="nil"/>
            </w:tcBorders>
          </w:tcPr>
          <w:p>
            <w:pPr>
              <w:pStyle w:val="TableParagraph"/>
              <w:spacing w:line="216" w:lineRule="exact"/>
              <w:ind w:right="192"/>
              <w:rPr>
                <w:sz w:val="19"/>
              </w:rPr>
            </w:pPr>
            <w:r>
              <w:rPr>
                <w:sz w:val="19"/>
              </w:rPr>
              <w:t>94.9</w:t>
            </w:r>
          </w:p>
        </w:tc>
        <w:tc>
          <w:tcPr>
            <w:tcW w:w="1048" w:type="dxa"/>
            <w:tcBorders>
              <w:top w:val="nil"/>
              <w:left w:val="nil"/>
              <w:bottom w:val="nil"/>
              <w:right w:val="nil"/>
            </w:tcBorders>
          </w:tcPr>
          <w:p>
            <w:pPr>
              <w:pStyle w:val="TableParagraph"/>
              <w:spacing w:line="216" w:lineRule="exact"/>
              <w:ind w:right="104"/>
              <w:rPr>
                <w:sz w:val="19"/>
              </w:rPr>
            </w:pPr>
            <w:r>
              <w:rPr>
                <w:sz w:val="19"/>
              </w:rPr>
              <w:t>93.1</w:t>
            </w:r>
          </w:p>
        </w:tc>
      </w:tr>
      <w:tr>
        <w:trPr>
          <w:trHeight w:val="230" w:hRule="exact"/>
        </w:trPr>
        <w:tc>
          <w:tcPr>
            <w:tcW w:w="3574" w:type="dxa"/>
            <w:tcBorders>
              <w:top w:val="nil"/>
              <w:left w:val="nil"/>
              <w:bottom w:val="nil"/>
              <w:right w:val="nil"/>
            </w:tcBorders>
          </w:tcPr>
          <w:p>
            <w:pPr>
              <w:pStyle w:val="TableParagraph"/>
              <w:spacing w:line="216" w:lineRule="exact"/>
              <w:ind w:left="110"/>
              <w:jc w:val="left"/>
              <w:rPr>
                <w:sz w:val="19"/>
              </w:rPr>
            </w:pPr>
            <w:r>
              <w:rPr>
                <w:w w:val="105"/>
                <w:sz w:val="19"/>
              </w:rPr>
              <w:t>Material de desecho</w:t>
            </w:r>
          </w:p>
        </w:tc>
        <w:tc>
          <w:tcPr>
            <w:tcW w:w="682" w:type="dxa"/>
            <w:tcBorders>
              <w:top w:val="nil"/>
              <w:left w:val="nil"/>
              <w:bottom w:val="nil"/>
              <w:right w:val="nil"/>
            </w:tcBorders>
          </w:tcPr>
          <w:p>
            <w:pPr>
              <w:pStyle w:val="TableParagraph"/>
              <w:spacing w:line="216" w:lineRule="exact"/>
              <w:ind w:right="137"/>
              <w:rPr>
                <w:sz w:val="19"/>
              </w:rPr>
            </w:pPr>
            <w:r>
              <w:rPr>
                <w:sz w:val="19"/>
              </w:rPr>
              <w:t>0.1</w:t>
            </w:r>
          </w:p>
        </w:tc>
        <w:tc>
          <w:tcPr>
            <w:tcW w:w="1042" w:type="dxa"/>
            <w:tcBorders>
              <w:top w:val="nil"/>
              <w:left w:val="nil"/>
              <w:bottom w:val="nil"/>
              <w:right w:val="nil"/>
            </w:tcBorders>
          </w:tcPr>
          <w:p>
            <w:pPr>
              <w:pStyle w:val="TableParagraph"/>
              <w:spacing w:line="216" w:lineRule="exact"/>
              <w:ind w:right="191"/>
              <w:rPr>
                <w:sz w:val="19"/>
              </w:rPr>
            </w:pPr>
            <w:r>
              <w:rPr>
                <w:sz w:val="19"/>
              </w:rPr>
              <w:t>0.3</w:t>
            </w:r>
          </w:p>
        </w:tc>
        <w:tc>
          <w:tcPr>
            <w:tcW w:w="1048" w:type="dxa"/>
            <w:tcBorders>
              <w:top w:val="nil"/>
              <w:left w:val="nil"/>
              <w:bottom w:val="nil"/>
              <w:right w:val="nil"/>
            </w:tcBorders>
          </w:tcPr>
          <w:p>
            <w:pPr>
              <w:pStyle w:val="TableParagraph"/>
              <w:spacing w:line="216" w:lineRule="exact"/>
              <w:ind w:right="103"/>
              <w:rPr>
                <w:sz w:val="19"/>
              </w:rPr>
            </w:pPr>
            <w:r>
              <w:rPr>
                <w:sz w:val="19"/>
              </w:rPr>
              <w:t>0.1</w:t>
            </w:r>
          </w:p>
        </w:tc>
      </w:tr>
      <w:tr>
        <w:trPr>
          <w:trHeight w:val="230" w:hRule="exact"/>
        </w:trPr>
        <w:tc>
          <w:tcPr>
            <w:tcW w:w="3574" w:type="dxa"/>
            <w:tcBorders>
              <w:top w:val="nil"/>
              <w:left w:val="nil"/>
              <w:bottom w:val="nil"/>
              <w:right w:val="nil"/>
            </w:tcBorders>
          </w:tcPr>
          <w:p>
            <w:pPr>
              <w:pStyle w:val="TableParagraph"/>
              <w:spacing w:line="216" w:lineRule="exact"/>
              <w:ind w:left="110"/>
              <w:jc w:val="left"/>
              <w:rPr>
                <w:i/>
                <w:sz w:val="19"/>
              </w:rPr>
            </w:pPr>
            <w:r>
              <w:rPr>
                <w:i/>
                <w:w w:val="105"/>
                <w:sz w:val="19"/>
              </w:rPr>
              <w:t>Material de los techos</w:t>
            </w:r>
          </w:p>
        </w:tc>
        <w:tc>
          <w:tcPr>
            <w:tcW w:w="682" w:type="dxa"/>
            <w:tcBorders>
              <w:top w:val="nil"/>
              <w:left w:val="nil"/>
              <w:bottom w:val="nil"/>
              <w:right w:val="nil"/>
            </w:tcBorders>
          </w:tcPr>
          <w:p>
            <w:pPr/>
          </w:p>
        </w:tc>
        <w:tc>
          <w:tcPr>
            <w:tcW w:w="1042" w:type="dxa"/>
            <w:tcBorders>
              <w:top w:val="nil"/>
              <w:left w:val="nil"/>
              <w:bottom w:val="nil"/>
              <w:right w:val="nil"/>
            </w:tcBorders>
          </w:tcPr>
          <w:p>
            <w:pPr/>
          </w:p>
        </w:tc>
        <w:tc>
          <w:tcPr>
            <w:tcW w:w="1048" w:type="dxa"/>
            <w:tcBorders>
              <w:top w:val="nil"/>
              <w:left w:val="nil"/>
              <w:bottom w:val="nil"/>
              <w:right w:val="nil"/>
            </w:tcBorders>
          </w:tcPr>
          <w:p>
            <w:pPr/>
          </w:p>
        </w:tc>
      </w:tr>
      <w:tr>
        <w:trPr>
          <w:trHeight w:val="230" w:hRule="exact"/>
        </w:trPr>
        <w:tc>
          <w:tcPr>
            <w:tcW w:w="3574" w:type="dxa"/>
            <w:tcBorders>
              <w:top w:val="nil"/>
              <w:left w:val="nil"/>
              <w:bottom w:val="nil"/>
              <w:right w:val="nil"/>
            </w:tcBorders>
          </w:tcPr>
          <w:p>
            <w:pPr>
              <w:pStyle w:val="TableParagraph"/>
              <w:spacing w:line="216" w:lineRule="exact"/>
              <w:ind w:left="110"/>
              <w:jc w:val="left"/>
              <w:rPr>
                <w:sz w:val="19"/>
              </w:rPr>
            </w:pPr>
            <w:r>
              <w:rPr>
                <w:w w:val="105"/>
                <w:sz w:val="19"/>
              </w:rPr>
              <w:t>Lámina cartón</w:t>
            </w:r>
          </w:p>
        </w:tc>
        <w:tc>
          <w:tcPr>
            <w:tcW w:w="682" w:type="dxa"/>
            <w:tcBorders>
              <w:top w:val="nil"/>
              <w:left w:val="nil"/>
              <w:bottom w:val="nil"/>
              <w:right w:val="nil"/>
            </w:tcBorders>
          </w:tcPr>
          <w:p>
            <w:pPr>
              <w:pStyle w:val="TableParagraph"/>
              <w:spacing w:line="216" w:lineRule="exact"/>
              <w:ind w:right="137"/>
              <w:rPr>
                <w:sz w:val="19"/>
              </w:rPr>
            </w:pPr>
            <w:r>
              <w:rPr>
                <w:sz w:val="19"/>
              </w:rPr>
              <w:t>4.3</w:t>
            </w:r>
          </w:p>
        </w:tc>
        <w:tc>
          <w:tcPr>
            <w:tcW w:w="1042" w:type="dxa"/>
            <w:tcBorders>
              <w:top w:val="nil"/>
              <w:left w:val="nil"/>
              <w:bottom w:val="nil"/>
              <w:right w:val="nil"/>
            </w:tcBorders>
          </w:tcPr>
          <w:p>
            <w:pPr>
              <w:pStyle w:val="TableParagraph"/>
              <w:spacing w:line="216" w:lineRule="exact"/>
              <w:ind w:right="191"/>
              <w:rPr>
                <w:sz w:val="19"/>
              </w:rPr>
            </w:pPr>
            <w:r>
              <w:rPr>
                <w:sz w:val="19"/>
              </w:rPr>
              <w:t>1.2</w:t>
            </w:r>
          </w:p>
        </w:tc>
        <w:tc>
          <w:tcPr>
            <w:tcW w:w="1048" w:type="dxa"/>
            <w:tcBorders>
              <w:top w:val="nil"/>
              <w:left w:val="nil"/>
              <w:bottom w:val="nil"/>
              <w:right w:val="nil"/>
            </w:tcBorders>
          </w:tcPr>
          <w:p>
            <w:pPr>
              <w:pStyle w:val="TableParagraph"/>
              <w:spacing w:line="216" w:lineRule="exact"/>
              <w:ind w:right="103"/>
              <w:rPr>
                <w:sz w:val="19"/>
              </w:rPr>
            </w:pPr>
            <w:r>
              <w:rPr>
                <w:sz w:val="19"/>
              </w:rPr>
              <w:t>4.8</w:t>
            </w:r>
          </w:p>
        </w:tc>
      </w:tr>
      <w:tr>
        <w:trPr>
          <w:trHeight w:val="228" w:hRule="exact"/>
        </w:trPr>
        <w:tc>
          <w:tcPr>
            <w:tcW w:w="3574" w:type="dxa"/>
            <w:tcBorders>
              <w:top w:val="nil"/>
              <w:left w:val="nil"/>
              <w:bottom w:val="nil"/>
              <w:right w:val="nil"/>
            </w:tcBorders>
          </w:tcPr>
          <w:p>
            <w:pPr>
              <w:pStyle w:val="TableParagraph"/>
              <w:spacing w:line="216" w:lineRule="exact"/>
              <w:ind w:left="110"/>
              <w:jc w:val="left"/>
              <w:rPr>
                <w:sz w:val="19"/>
              </w:rPr>
            </w:pPr>
            <w:r>
              <w:rPr>
                <w:w w:val="105"/>
                <w:sz w:val="19"/>
              </w:rPr>
              <w:t>Lámina asbesto o metálica</w:t>
            </w:r>
          </w:p>
        </w:tc>
        <w:tc>
          <w:tcPr>
            <w:tcW w:w="682" w:type="dxa"/>
            <w:tcBorders>
              <w:top w:val="nil"/>
              <w:left w:val="nil"/>
              <w:bottom w:val="nil"/>
              <w:right w:val="nil"/>
            </w:tcBorders>
          </w:tcPr>
          <w:p>
            <w:pPr>
              <w:pStyle w:val="TableParagraph"/>
              <w:spacing w:line="216" w:lineRule="exact"/>
              <w:ind w:right="137"/>
              <w:rPr>
                <w:sz w:val="19"/>
              </w:rPr>
            </w:pPr>
            <w:r>
              <w:rPr>
                <w:sz w:val="19"/>
              </w:rPr>
              <w:t>9.0</w:t>
            </w:r>
          </w:p>
        </w:tc>
        <w:tc>
          <w:tcPr>
            <w:tcW w:w="1042" w:type="dxa"/>
            <w:tcBorders>
              <w:top w:val="nil"/>
              <w:left w:val="nil"/>
              <w:bottom w:val="nil"/>
              <w:right w:val="nil"/>
            </w:tcBorders>
          </w:tcPr>
          <w:p>
            <w:pPr>
              <w:pStyle w:val="TableParagraph"/>
              <w:spacing w:line="216" w:lineRule="exact"/>
              <w:ind w:right="192"/>
              <w:rPr>
                <w:sz w:val="19"/>
              </w:rPr>
            </w:pPr>
            <w:r>
              <w:rPr>
                <w:sz w:val="19"/>
              </w:rPr>
              <w:t>10.7</w:t>
            </w:r>
          </w:p>
        </w:tc>
        <w:tc>
          <w:tcPr>
            <w:tcW w:w="1048" w:type="dxa"/>
            <w:tcBorders>
              <w:top w:val="nil"/>
              <w:left w:val="nil"/>
              <w:bottom w:val="nil"/>
              <w:right w:val="nil"/>
            </w:tcBorders>
          </w:tcPr>
          <w:p>
            <w:pPr>
              <w:pStyle w:val="TableParagraph"/>
              <w:spacing w:line="216" w:lineRule="exact"/>
              <w:ind w:right="103"/>
              <w:rPr>
                <w:sz w:val="19"/>
              </w:rPr>
            </w:pPr>
            <w:r>
              <w:rPr>
                <w:sz w:val="19"/>
              </w:rPr>
              <w:t>8.7</w:t>
            </w:r>
          </w:p>
        </w:tc>
      </w:tr>
      <w:tr>
        <w:trPr>
          <w:trHeight w:val="228" w:hRule="exact"/>
        </w:trPr>
        <w:tc>
          <w:tcPr>
            <w:tcW w:w="3574" w:type="dxa"/>
            <w:tcBorders>
              <w:top w:val="nil"/>
              <w:left w:val="nil"/>
              <w:bottom w:val="nil"/>
              <w:right w:val="nil"/>
            </w:tcBorders>
          </w:tcPr>
          <w:p>
            <w:pPr>
              <w:pStyle w:val="TableParagraph"/>
              <w:spacing w:line="214" w:lineRule="exact"/>
              <w:ind w:left="110"/>
              <w:jc w:val="left"/>
              <w:rPr>
                <w:sz w:val="19"/>
              </w:rPr>
            </w:pPr>
            <w:r>
              <w:rPr>
                <w:w w:val="105"/>
                <w:sz w:val="19"/>
              </w:rPr>
              <w:t>Palma o madera</w:t>
            </w:r>
          </w:p>
        </w:tc>
        <w:tc>
          <w:tcPr>
            <w:tcW w:w="682" w:type="dxa"/>
            <w:tcBorders>
              <w:top w:val="nil"/>
              <w:left w:val="nil"/>
              <w:bottom w:val="nil"/>
              <w:right w:val="nil"/>
            </w:tcBorders>
          </w:tcPr>
          <w:p>
            <w:pPr>
              <w:pStyle w:val="TableParagraph"/>
              <w:spacing w:line="214" w:lineRule="exact"/>
              <w:ind w:right="137"/>
              <w:rPr>
                <w:sz w:val="19"/>
              </w:rPr>
            </w:pPr>
            <w:r>
              <w:rPr>
                <w:sz w:val="19"/>
              </w:rPr>
              <w:t>0.3</w:t>
            </w:r>
          </w:p>
        </w:tc>
        <w:tc>
          <w:tcPr>
            <w:tcW w:w="1042" w:type="dxa"/>
            <w:tcBorders>
              <w:top w:val="nil"/>
              <w:left w:val="nil"/>
              <w:bottom w:val="nil"/>
              <w:right w:val="nil"/>
            </w:tcBorders>
          </w:tcPr>
          <w:p>
            <w:pPr>
              <w:pStyle w:val="TableParagraph"/>
              <w:spacing w:line="214" w:lineRule="exact"/>
              <w:ind w:right="191"/>
              <w:rPr>
                <w:sz w:val="19"/>
              </w:rPr>
            </w:pPr>
            <w:r>
              <w:rPr>
                <w:sz w:val="19"/>
              </w:rPr>
              <w:t>0.2</w:t>
            </w:r>
          </w:p>
        </w:tc>
        <w:tc>
          <w:tcPr>
            <w:tcW w:w="1048" w:type="dxa"/>
            <w:tcBorders>
              <w:top w:val="nil"/>
              <w:left w:val="nil"/>
              <w:bottom w:val="nil"/>
              <w:right w:val="nil"/>
            </w:tcBorders>
          </w:tcPr>
          <w:p>
            <w:pPr>
              <w:pStyle w:val="TableParagraph"/>
              <w:spacing w:line="214" w:lineRule="exact"/>
              <w:ind w:right="103"/>
              <w:rPr>
                <w:sz w:val="19"/>
              </w:rPr>
            </w:pPr>
            <w:r>
              <w:rPr>
                <w:sz w:val="19"/>
              </w:rPr>
              <w:t>0.3</w:t>
            </w:r>
          </w:p>
        </w:tc>
      </w:tr>
      <w:tr>
        <w:trPr>
          <w:trHeight w:val="230" w:hRule="exact"/>
        </w:trPr>
        <w:tc>
          <w:tcPr>
            <w:tcW w:w="3574" w:type="dxa"/>
            <w:tcBorders>
              <w:top w:val="nil"/>
              <w:left w:val="nil"/>
              <w:bottom w:val="nil"/>
              <w:right w:val="nil"/>
            </w:tcBorders>
          </w:tcPr>
          <w:p>
            <w:pPr>
              <w:pStyle w:val="TableParagraph"/>
              <w:spacing w:line="216" w:lineRule="exact"/>
              <w:ind w:left="110"/>
              <w:jc w:val="left"/>
              <w:rPr>
                <w:sz w:val="19"/>
              </w:rPr>
            </w:pPr>
            <w:r>
              <w:rPr>
                <w:w w:val="105"/>
                <w:sz w:val="19"/>
              </w:rPr>
              <w:t>Teja</w:t>
            </w:r>
          </w:p>
        </w:tc>
        <w:tc>
          <w:tcPr>
            <w:tcW w:w="682" w:type="dxa"/>
            <w:tcBorders>
              <w:top w:val="nil"/>
              <w:left w:val="nil"/>
              <w:bottom w:val="nil"/>
              <w:right w:val="nil"/>
            </w:tcBorders>
          </w:tcPr>
          <w:p>
            <w:pPr>
              <w:pStyle w:val="TableParagraph"/>
              <w:spacing w:line="216" w:lineRule="exact"/>
              <w:ind w:right="137"/>
              <w:rPr>
                <w:sz w:val="19"/>
              </w:rPr>
            </w:pPr>
            <w:r>
              <w:rPr>
                <w:sz w:val="19"/>
              </w:rPr>
              <w:t>3.2</w:t>
            </w:r>
          </w:p>
        </w:tc>
        <w:tc>
          <w:tcPr>
            <w:tcW w:w="1042" w:type="dxa"/>
            <w:tcBorders>
              <w:top w:val="nil"/>
              <w:left w:val="nil"/>
              <w:bottom w:val="nil"/>
              <w:right w:val="nil"/>
            </w:tcBorders>
          </w:tcPr>
          <w:p>
            <w:pPr>
              <w:pStyle w:val="TableParagraph"/>
              <w:spacing w:line="216" w:lineRule="exact"/>
              <w:ind w:right="191"/>
              <w:rPr>
                <w:sz w:val="19"/>
              </w:rPr>
            </w:pPr>
            <w:r>
              <w:rPr>
                <w:sz w:val="19"/>
              </w:rPr>
              <w:t>6.9</w:t>
            </w:r>
          </w:p>
        </w:tc>
        <w:tc>
          <w:tcPr>
            <w:tcW w:w="1048" w:type="dxa"/>
            <w:tcBorders>
              <w:top w:val="nil"/>
              <w:left w:val="nil"/>
              <w:bottom w:val="nil"/>
              <w:right w:val="nil"/>
            </w:tcBorders>
          </w:tcPr>
          <w:p>
            <w:pPr>
              <w:pStyle w:val="TableParagraph"/>
              <w:spacing w:line="216" w:lineRule="exact"/>
              <w:ind w:right="103"/>
              <w:rPr>
                <w:sz w:val="19"/>
              </w:rPr>
            </w:pPr>
            <w:r>
              <w:rPr>
                <w:sz w:val="19"/>
              </w:rPr>
              <w:t>2.6</w:t>
            </w:r>
          </w:p>
        </w:tc>
      </w:tr>
      <w:tr>
        <w:trPr>
          <w:trHeight w:val="230" w:hRule="exact"/>
        </w:trPr>
        <w:tc>
          <w:tcPr>
            <w:tcW w:w="3574" w:type="dxa"/>
            <w:tcBorders>
              <w:top w:val="nil"/>
              <w:left w:val="nil"/>
              <w:bottom w:val="nil"/>
              <w:right w:val="nil"/>
            </w:tcBorders>
          </w:tcPr>
          <w:p>
            <w:pPr>
              <w:pStyle w:val="TableParagraph"/>
              <w:spacing w:line="216" w:lineRule="exact"/>
              <w:ind w:left="110"/>
              <w:jc w:val="left"/>
              <w:rPr>
                <w:sz w:val="19"/>
              </w:rPr>
            </w:pPr>
            <w:r>
              <w:rPr>
                <w:w w:val="105"/>
                <w:sz w:val="19"/>
              </w:rPr>
              <w:t>Concreto o tabique</w:t>
            </w:r>
          </w:p>
        </w:tc>
        <w:tc>
          <w:tcPr>
            <w:tcW w:w="682" w:type="dxa"/>
            <w:tcBorders>
              <w:top w:val="nil"/>
              <w:left w:val="nil"/>
              <w:bottom w:val="nil"/>
              <w:right w:val="nil"/>
            </w:tcBorders>
          </w:tcPr>
          <w:p>
            <w:pPr>
              <w:pStyle w:val="TableParagraph"/>
              <w:spacing w:line="216" w:lineRule="exact"/>
              <w:ind w:right="138"/>
              <w:rPr>
                <w:sz w:val="19"/>
              </w:rPr>
            </w:pPr>
            <w:r>
              <w:rPr>
                <w:sz w:val="19"/>
              </w:rPr>
              <w:t>83.2</w:t>
            </w:r>
          </w:p>
        </w:tc>
        <w:tc>
          <w:tcPr>
            <w:tcW w:w="1042" w:type="dxa"/>
            <w:tcBorders>
              <w:top w:val="nil"/>
              <w:left w:val="nil"/>
              <w:bottom w:val="nil"/>
              <w:right w:val="nil"/>
            </w:tcBorders>
          </w:tcPr>
          <w:p>
            <w:pPr>
              <w:pStyle w:val="TableParagraph"/>
              <w:spacing w:line="216" w:lineRule="exact"/>
              <w:ind w:right="192"/>
              <w:rPr>
                <w:sz w:val="19"/>
              </w:rPr>
            </w:pPr>
            <w:r>
              <w:rPr>
                <w:sz w:val="19"/>
              </w:rPr>
              <w:t>81.1</w:t>
            </w:r>
          </w:p>
        </w:tc>
        <w:tc>
          <w:tcPr>
            <w:tcW w:w="1048" w:type="dxa"/>
            <w:tcBorders>
              <w:top w:val="nil"/>
              <w:left w:val="nil"/>
              <w:bottom w:val="nil"/>
              <w:right w:val="nil"/>
            </w:tcBorders>
          </w:tcPr>
          <w:p>
            <w:pPr>
              <w:pStyle w:val="TableParagraph"/>
              <w:spacing w:line="216" w:lineRule="exact"/>
              <w:ind w:right="104"/>
              <w:rPr>
                <w:sz w:val="19"/>
              </w:rPr>
            </w:pPr>
            <w:r>
              <w:rPr>
                <w:sz w:val="19"/>
              </w:rPr>
              <w:t>83.6</w:t>
            </w:r>
          </w:p>
        </w:tc>
      </w:tr>
      <w:tr>
        <w:trPr>
          <w:trHeight w:val="230" w:hRule="exact"/>
        </w:trPr>
        <w:tc>
          <w:tcPr>
            <w:tcW w:w="3574" w:type="dxa"/>
            <w:tcBorders>
              <w:top w:val="nil"/>
              <w:left w:val="nil"/>
              <w:bottom w:val="nil"/>
              <w:right w:val="nil"/>
            </w:tcBorders>
          </w:tcPr>
          <w:p>
            <w:pPr>
              <w:pStyle w:val="TableParagraph"/>
              <w:spacing w:line="216" w:lineRule="exact"/>
              <w:ind w:left="110"/>
              <w:jc w:val="left"/>
              <w:rPr>
                <w:i/>
                <w:sz w:val="19"/>
              </w:rPr>
            </w:pPr>
            <w:r>
              <w:rPr>
                <w:i/>
                <w:w w:val="105"/>
                <w:sz w:val="19"/>
              </w:rPr>
              <w:t>Material de los pisos</w:t>
            </w:r>
          </w:p>
        </w:tc>
        <w:tc>
          <w:tcPr>
            <w:tcW w:w="682" w:type="dxa"/>
            <w:tcBorders>
              <w:top w:val="nil"/>
              <w:left w:val="nil"/>
              <w:bottom w:val="nil"/>
              <w:right w:val="nil"/>
            </w:tcBorders>
          </w:tcPr>
          <w:p>
            <w:pPr/>
          </w:p>
        </w:tc>
        <w:tc>
          <w:tcPr>
            <w:tcW w:w="1042" w:type="dxa"/>
            <w:tcBorders>
              <w:top w:val="nil"/>
              <w:left w:val="nil"/>
              <w:bottom w:val="nil"/>
              <w:right w:val="nil"/>
            </w:tcBorders>
          </w:tcPr>
          <w:p>
            <w:pPr/>
          </w:p>
        </w:tc>
        <w:tc>
          <w:tcPr>
            <w:tcW w:w="1048" w:type="dxa"/>
            <w:tcBorders>
              <w:top w:val="nil"/>
              <w:left w:val="nil"/>
              <w:bottom w:val="nil"/>
              <w:right w:val="nil"/>
            </w:tcBorders>
          </w:tcPr>
          <w:p>
            <w:pPr/>
          </w:p>
        </w:tc>
      </w:tr>
      <w:tr>
        <w:trPr>
          <w:trHeight w:val="230" w:hRule="exact"/>
        </w:trPr>
        <w:tc>
          <w:tcPr>
            <w:tcW w:w="3574" w:type="dxa"/>
            <w:tcBorders>
              <w:top w:val="nil"/>
              <w:left w:val="nil"/>
              <w:bottom w:val="nil"/>
              <w:right w:val="nil"/>
            </w:tcBorders>
          </w:tcPr>
          <w:p>
            <w:pPr>
              <w:pStyle w:val="TableParagraph"/>
              <w:spacing w:line="216" w:lineRule="exact"/>
              <w:ind w:left="110"/>
              <w:jc w:val="left"/>
              <w:rPr>
                <w:sz w:val="19"/>
              </w:rPr>
            </w:pPr>
            <w:r>
              <w:rPr>
                <w:w w:val="105"/>
                <w:sz w:val="19"/>
              </w:rPr>
              <w:t>Tierra</w:t>
            </w:r>
          </w:p>
        </w:tc>
        <w:tc>
          <w:tcPr>
            <w:tcW w:w="682" w:type="dxa"/>
            <w:tcBorders>
              <w:top w:val="nil"/>
              <w:left w:val="nil"/>
              <w:bottom w:val="nil"/>
              <w:right w:val="nil"/>
            </w:tcBorders>
          </w:tcPr>
          <w:p>
            <w:pPr>
              <w:pStyle w:val="TableParagraph"/>
              <w:spacing w:line="216" w:lineRule="exact"/>
              <w:ind w:right="137"/>
              <w:rPr>
                <w:sz w:val="19"/>
              </w:rPr>
            </w:pPr>
            <w:r>
              <w:rPr>
                <w:sz w:val="19"/>
              </w:rPr>
              <w:t>2.1</w:t>
            </w:r>
          </w:p>
        </w:tc>
        <w:tc>
          <w:tcPr>
            <w:tcW w:w="1042" w:type="dxa"/>
            <w:tcBorders>
              <w:top w:val="nil"/>
              <w:left w:val="nil"/>
              <w:bottom w:val="nil"/>
              <w:right w:val="nil"/>
            </w:tcBorders>
          </w:tcPr>
          <w:p>
            <w:pPr>
              <w:pStyle w:val="TableParagraph"/>
              <w:spacing w:line="216" w:lineRule="exact"/>
              <w:ind w:right="191"/>
              <w:rPr>
                <w:sz w:val="19"/>
              </w:rPr>
            </w:pPr>
            <w:r>
              <w:rPr>
                <w:sz w:val="19"/>
              </w:rPr>
              <w:t>4.6</w:t>
            </w:r>
          </w:p>
        </w:tc>
        <w:tc>
          <w:tcPr>
            <w:tcW w:w="1048" w:type="dxa"/>
            <w:tcBorders>
              <w:top w:val="nil"/>
              <w:left w:val="nil"/>
              <w:bottom w:val="nil"/>
              <w:right w:val="nil"/>
            </w:tcBorders>
          </w:tcPr>
          <w:p>
            <w:pPr>
              <w:pStyle w:val="TableParagraph"/>
              <w:spacing w:line="216" w:lineRule="exact"/>
              <w:ind w:right="103"/>
              <w:rPr>
                <w:sz w:val="19"/>
              </w:rPr>
            </w:pPr>
            <w:r>
              <w:rPr>
                <w:sz w:val="19"/>
              </w:rPr>
              <w:t>1.7</w:t>
            </w:r>
          </w:p>
        </w:tc>
      </w:tr>
      <w:tr>
        <w:trPr>
          <w:trHeight w:val="230" w:hRule="exact"/>
        </w:trPr>
        <w:tc>
          <w:tcPr>
            <w:tcW w:w="3574" w:type="dxa"/>
            <w:tcBorders>
              <w:top w:val="nil"/>
              <w:left w:val="nil"/>
              <w:bottom w:val="nil"/>
              <w:right w:val="nil"/>
            </w:tcBorders>
          </w:tcPr>
          <w:p>
            <w:pPr>
              <w:pStyle w:val="TableParagraph"/>
              <w:spacing w:line="216" w:lineRule="exact"/>
              <w:ind w:left="110"/>
              <w:jc w:val="left"/>
              <w:rPr>
                <w:sz w:val="19"/>
              </w:rPr>
            </w:pPr>
            <w:r>
              <w:rPr>
                <w:w w:val="105"/>
                <w:sz w:val="19"/>
              </w:rPr>
              <w:t>Cemento</w:t>
            </w:r>
          </w:p>
        </w:tc>
        <w:tc>
          <w:tcPr>
            <w:tcW w:w="682" w:type="dxa"/>
            <w:tcBorders>
              <w:top w:val="nil"/>
              <w:left w:val="nil"/>
              <w:bottom w:val="nil"/>
              <w:right w:val="nil"/>
            </w:tcBorders>
          </w:tcPr>
          <w:p>
            <w:pPr>
              <w:pStyle w:val="TableParagraph"/>
              <w:spacing w:line="216" w:lineRule="exact"/>
              <w:ind w:right="138"/>
              <w:rPr>
                <w:sz w:val="19"/>
              </w:rPr>
            </w:pPr>
            <w:r>
              <w:rPr>
                <w:sz w:val="19"/>
              </w:rPr>
              <w:t>81.7</w:t>
            </w:r>
          </w:p>
        </w:tc>
        <w:tc>
          <w:tcPr>
            <w:tcW w:w="1042" w:type="dxa"/>
            <w:tcBorders>
              <w:top w:val="nil"/>
              <w:left w:val="nil"/>
              <w:bottom w:val="nil"/>
              <w:right w:val="nil"/>
            </w:tcBorders>
          </w:tcPr>
          <w:p>
            <w:pPr>
              <w:pStyle w:val="TableParagraph"/>
              <w:spacing w:line="216" w:lineRule="exact"/>
              <w:ind w:right="192"/>
              <w:rPr>
                <w:sz w:val="19"/>
              </w:rPr>
            </w:pPr>
            <w:r>
              <w:rPr>
                <w:sz w:val="19"/>
              </w:rPr>
              <w:t>80.1</w:t>
            </w:r>
          </w:p>
        </w:tc>
        <w:tc>
          <w:tcPr>
            <w:tcW w:w="1048" w:type="dxa"/>
            <w:tcBorders>
              <w:top w:val="nil"/>
              <w:left w:val="nil"/>
              <w:bottom w:val="nil"/>
              <w:right w:val="nil"/>
            </w:tcBorders>
          </w:tcPr>
          <w:p>
            <w:pPr>
              <w:pStyle w:val="TableParagraph"/>
              <w:spacing w:line="216" w:lineRule="exact"/>
              <w:ind w:right="104"/>
              <w:rPr>
                <w:sz w:val="19"/>
              </w:rPr>
            </w:pPr>
            <w:r>
              <w:rPr>
                <w:sz w:val="19"/>
              </w:rPr>
              <w:t>81.9</w:t>
            </w:r>
          </w:p>
        </w:tc>
      </w:tr>
      <w:tr>
        <w:trPr>
          <w:trHeight w:val="238" w:hRule="exact"/>
        </w:trPr>
        <w:tc>
          <w:tcPr>
            <w:tcW w:w="3574" w:type="dxa"/>
            <w:tcBorders>
              <w:top w:val="nil"/>
              <w:left w:val="nil"/>
              <w:bottom w:val="double" w:sz="4" w:space="0" w:color="000000"/>
              <w:right w:val="nil"/>
            </w:tcBorders>
          </w:tcPr>
          <w:p>
            <w:pPr>
              <w:pStyle w:val="TableParagraph"/>
              <w:spacing w:line="216" w:lineRule="exact"/>
              <w:ind w:left="110"/>
              <w:jc w:val="left"/>
              <w:rPr>
                <w:sz w:val="19"/>
              </w:rPr>
            </w:pPr>
            <w:r>
              <w:rPr>
                <w:w w:val="105"/>
                <w:sz w:val="19"/>
              </w:rPr>
              <w:t>Madera</w:t>
            </w:r>
          </w:p>
        </w:tc>
        <w:tc>
          <w:tcPr>
            <w:tcW w:w="682" w:type="dxa"/>
            <w:tcBorders>
              <w:top w:val="nil"/>
              <w:left w:val="nil"/>
              <w:bottom w:val="double" w:sz="4" w:space="0" w:color="000000"/>
              <w:right w:val="nil"/>
            </w:tcBorders>
          </w:tcPr>
          <w:p>
            <w:pPr>
              <w:pStyle w:val="TableParagraph"/>
              <w:spacing w:line="216" w:lineRule="exact"/>
              <w:ind w:right="138"/>
              <w:rPr>
                <w:sz w:val="19"/>
              </w:rPr>
            </w:pPr>
            <w:r>
              <w:rPr>
                <w:sz w:val="19"/>
              </w:rPr>
              <w:t>16.2</w:t>
            </w:r>
          </w:p>
        </w:tc>
        <w:tc>
          <w:tcPr>
            <w:tcW w:w="1042" w:type="dxa"/>
            <w:tcBorders>
              <w:top w:val="nil"/>
              <w:left w:val="nil"/>
              <w:bottom w:val="double" w:sz="4" w:space="0" w:color="000000"/>
              <w:right w:val="nil"/>
            </w:tcBorders>
          </w:tcPr>
          <w:p>
            <w:pPr>
              <w:pStyle w:val="TableParagraph"/>
              <w:spacing w:line="216" w:lineRule="exact"/>
              <w:ind w:right="192"/>
              <w:rPr>
                <w:sz w:val="19"/>
              </w:rPr>
            </w:pPr>
            <w:r>
              <w:rPr>
                <w:sz w:val="19"/>
              </w:rPr>
              <w:t>15.3</w:t>
            </w:r>
          </w:p>
        </w:tc>
        <w:tc>
          <w:tcPr>
            <w:tcW w:w="1048" w:type="dxa"/>
            <w:tcBorders>
              <w:top w:val="nil"/>
              <w:left w:val="nil"/>
              <w:bottom w:val="double" w:sz="4" w:space="0" w:color="000000"/>
              <w:right w:val="nil"/>
            </w:tcBorders>
          </w:tcPr>
          <w:p>
            <w:pPr>
              <w:pStyle w:val="TableParagraph"/>
              <w:spacing w:line="216" w:lineRule="exact"/>
              <w:ind w:right="104"/>
              <w:rPr>
                <w:sz w:val="19"/>
              </w:rPr>
            </w:pPr>
            <w:r>
              <w:rPr>
                <w:sz w:val="19"/>
              </w:rPr>
              <w:t>16.4</w:t>
            </w:r>
          </w:p>
        </w:tc>
      </w:tr>
      <w:tr>
        <w:trPr>
          <w:trHeight w:val="294" w:hRule="exact"/>
        </w:trPr>
        <w:tc>
          <w:tcPr>
            <w:tcW w:w="3574" w:type="dxa"/>
            <w:tcBorders>
              <w:top w:val="double" w:sz="4" w:space="0" w:color="000000"/>
              <w:left w:val="nil"/>
              <w:bottom w:val="nil"/>
              <w:right w:val="nil"/>
            </w:tcBorders>
          </w:tcPr>
          <w:p>
            <w:pPr>
              <w:pStyle w:val="TableParagraph"/>
              <w:spacing w:line="183" w:lineRule="exact"/>
              <w:ind w:left="110"/>
              <w:jc w:val="left"/>
              <w:rPr>
                <w:sz w:val="16"/>
              </w:rPr>
            </w:pPr>
            <w:r>
              <w:rPr>
                <w:sz w:val="16"/>
              </w:rPr>
              <w:t>Fuente: cálculos propios a partir de la EMMEU 2009.</w:t>
            </w:r>
          </w:p>
        </w:tc>
        <w:tc>
          <w:tcPr>
            <w:tcW w:w="682" w:type="dxa"/>
            <w:tcBorders>
              <w:top w:val="double" w:sz="4" w:space="0" w:color="000000"/>
              <w:left w:val="nil"/>
              <w:bottom w:val="nil"/>
              <w:right w:val="nil"/>
            </w:tcBorders>
          </w:tcPr>
          <w:p>
            <w:pPr/>
          </w:p>
        </w:tc>
        <w:tc>
          <w:tcPr>
            <w:tcW w:w="1042" w:type="dxa"/>
            <w:tcBorders>
              <w:top w:val="double" w:sz="4" w:space="0" w:color="000000"/>
              <w:left w:val="nil"/>
              <w:bottom w:val="nil"/>
              <w:right w:val="nil"/>
            </w:tcBorders>
          </w:tcPr>
          <w:p>
            <w:pPr/>
          </w:p>
        </w:tc>
        <w:tc>
          <w:tcPr>
            <w:tcW w:w="1048" w:type="dxa"/>
            <w:tcBorders>
              <w:top w:val="double" w:sz="4" w:space="0" w:color="000000"/>
              <w:left w:val="nil"/>
              <w:bottom w:val="nil"/>
              <w:right w:val="nil"/>
            </w:tcBorders>
          </w:tcPr>
          <w:p>
            <w:pPr/>
          </w:p>
        </w:tc>
      </w:tr>
    </w:tbl>
    <w:p>
      <w:pPr>
        <w:pStyle w:val="Heading3"/>
        <w:spacing w:line="242" w:lineRule="auto" w:before="80"/>
        <w:ind w:right="1130"/>
        <w:jc w:val="left"/>
      </w:pPr>
      <w:r>
        <w:rPr>
          <w:color w:val="231F20"/>
        </w:rPr>
        <w:t>Acercándose a las condiciones de vida: características socioeconómicas de los jefes y sus hogares</w:t>
      </w:r>
    </w:p>
    <w:p>
      <w:pPr>
        <w:spacing w:before="150"/>
        <w:ind w:left="117" w:right="0" w:firstLine="0"/>
        <w:jc w:val="both"/>
        <w:rPr>
          <w:i/>
          <w:sz w:val="22"/>
        </w:rPr>
      </w:pPr>
      <w:r>
        <w:rPr>
          <w:i/>
          <w:color w:val="231F20"/>
          <w:sz w:val="22"/>
        </w:rPr>
        <w:t>Escolaridad de los jefes</w:t>
      </w:r>
    </w:p>
    <w:p>
      <w:pPr>
        <w:pStyle w:val="BodyText"/>
        <w:spacing w:line="247" w:lineRule="auto" w:before="177"/>
        <w:ind w:left="117" w:right="114"/>
        <w:jc w:val="both"/>
      </w:pPr>
      <w:r>
        <w:rPr>
          <w:color w:val="231F20"/>
        </w:rPr>
        <w:t>Los efectos que tiene la migración sobre la educación en el país de origen de</w:t>
      </w:r>
      <w:r>
        <w:rPr>
          <w:color w:val="231F20"/>
          <w:spacing w:val="-7"/>
        </w:rPr>
        <w:t> </w:t>
      </w:r>
      <w:r>
        <w:rPr>
          <w:color w:val="231F20"/>
        </w:rPr>
        <w:t>los</w:t>
      </w:r>
      <w:r>
        <w:rPr>
          <w:color w:val="231F20"/>
          <w:spacing w:val="-7"/>
        </w:rPr>
        <w:t> </w:t>
      </w:r>
      <w:r>
        <w:rPr>
          <w:color w:val="231F20"/>
        </w:rPr>
        <w:t>migrantes</w:t>
      </w:r>
      <w:r>
        <w:rPr>
          <w:color w:val="231F20"/>
          <w:spacing w:val="-7"/>
        </w:rPr>
        <w:t> </w:t>
      </w:r>
      <w:r>
        <w:rPr>
          <w:color w:val="231F20"/>
        </w:rPr>
        <w:t>han</w:t>
      </w:r>
      <w:r>
        <w:rPr>
          <w:color w:val="231F20"/>
          <w:spacing w:val="-7"/>
        </w:rPr>
        <w:t> </w:t>
      </w:r>
      <w:r>
        <w:rPr>
          <w:color w:val="231F20"/>
        </w:rPr>
        <w:t>sido</w:t>
      </w:r>
      <w:r>
        <w:rPr>
          <w:color w:val="231F20"/>
          <w:spacing w:val="-7"/>
        </w:rPr>
        <w:t> </w:t>
      </w:r>
      <w:r>
        <w:rPr>
          <w:color w:val="231F20"/>
        </w:rPr>
        <w:t>ampliamente</w:t>
      </w:r>
      <w:r>
        <w:rPr>
          <w:color w:val="231F20"/>
          <w:spacing w:val="-8"/>
        </w:rPr>
        <w:t> </w:t>
      </w:r>
      <w:r>
        <w:rPr>
          <w:color w:val="231F20"/>
        </w:rPr>
        <w:t>estudiados.</w:t>
      </w:r>
      <w:r>
        <w:rPr>
          <w:color w:val="231F20"/>
          <w:spacing w:val="-16"/>
        </w:rPr>
        <w:t> </w:t>
      </w:r>
      <w:r>
        <w:rPr>
          <w:color w:val="231F20"/>
          <w:spacing w:val="-6"/>
        </w:rPr>
        <w:t>Yang</w:t>
      </w:r>
      <w:r>
        <w:rPr>
          <w:color w:val="231F20"/>
          <w:spacing w:val="-7"/>
        </w:rPr>
        <w:t> </w:t>
      </w:r>
      <w:r>
        <w:rPr>
          <w:color w:val="231F20"/>
        </w:rPr>
        <w:t>(2005)</w:t>
      </w:r>
      <w:r>
        <w:rPr>
          <w:color w:val="231F20"/>
          <w:spacing w:val="-7"/>
        </w:rPr>
        <w:t> </w:t>
      </w:r>
      <w:r>
        <w:rPr>
          <w:color w:val="231F20"/>
        </w:rPr>
        <w:t>aprovecha el “experimento natural” generado por la crisis financiera asiática, para probar numerosas hipótesis respecto a los impactos de la migración en di- versas variables, entre las que se encuentra la educación. Entre los hallaz- gos se destacan fuertes efectos de la migración, vía remesas, sobre varia- bles relacionadas con la inversión en capital humano: escolaridad infantil, trabajo infantil y gasto del hogar en educación </w:t>
      </w:r>
      <w:r>
        <w:rPr>
          <w:color w:val="231F20"/>
          <w:spacing w:val="-3"/>
        </w:rPr>
        <w:t>(Tovar </w:t>
      </w:r>
      <w:r>
        <w:rPr>
          <w:color w:val="231F20"/>
        </w:rPr>
        <w:t>y Vélez,</w:t>
      </w:r>
      <w:r>
        <w:rPr>
          <w:color w:val="231F20"/>
          <w:spacing w:val="-9"/>
        </w:rPr>
        <w:t> </w:t>
      </w:r>
      <w:r>
        <w:rPr>
          <w:color w:val="231F20"/>
        </w:rPr>
        <w:t>2007).</w:t>
      </w:r>
    </w:p>
    <w:p>
      <w:pPr>
        <w:spacing w:after="0" w:line="247" w:lineRule="auto"/>
        <w:jc w:val="both"/>
        <w:sectPr>
          <w:type w:val="continuous"/>
          <w:pgSz w:w="9360" w:h="13040"/>
          <w:pgMar w:top="0" w:bottom="0" w:left="1300" w:right="1300"/>
        </w:sectPr>
      </w:pPr>
    </w:p>
    <w:p>
      <w:pPr>
        <w:spacing w:before="45"/>
        <w:ind w:left="830" w:right="0" w:firstLine="0"/>
        <w:jc w:val="left"/>
        <w:rPr>
          <w:rFonts w:ascii="Arial" w:hAnsi="Arial"/>
          <w:i/>
          <w:sz w:val="20"/>
        </w:rPr>
      </w:pPr>
      <w:r>
        <w:rPr>
          <w:rFonts w:ascii="Arial" w:hAnsi="Arial"/>
          <w:color w:val="231F20"/>
          <w:w w:val="70"/>
          <w:sz w:val="20"/>
        </w:rPr>
        <w:t>La dinámica migratoria al interior de los hogares: formas... /Rosa Patricia Román-Reyes </w:t>
      </w:r>
      <w:r>
        <w:rPr>
          <w:rFonts w:ascii="Arial" w:hAnsi="Arial"/>
          <w:i/>
          <w:color w:val="231F20"/>
          <w:w w:val="70"/>
          <w:sz w:val="20"/>
        </w:rPr>
        <w:t>et al.</w:t>
      </w:r>
    </w:p>
    <w:p>
      <w:pPr>
        <w:pStyle w:val="BodyText"/>
        <w:rPr>
          <w:rFonts w:ascii="Arial"/>
          <w:i/>
          <w:sz w:val="20"/>
        </w:rPr>
      </w:pPr>
    </w:p>
    <w:p>
      <w:pPr>
        <w:spacing w:line="252" w:lineRule="auto" w:before="157"/>
        <w:ind w:left="397" w:right="377" w:firstLine="0"/>
        <w:jc w:val="left"/>
        <w:rPr>
          <w:sz w:val="19"/>
        </w:rPr>
      </w:pPr>
      <w:r>
        <w:rPr>
          <w:w w:val="105"/>
          <w:sz w:val="19"/>
        </w:rPr>
        <w:t>Cuadro 7. Disponibilidad de bienes y enseres domésticos en las viviendas en los hogares según participación o no en la migración,</w:t>
      </w:r>
    </w:p>
    <w:p>
      <w:pPr>
        <w:spacing w:before="1"/>
        <w:ind w:left="397" w:right="117" w:firstLine="0"/>
        <w:jc w:val="left"/>
        <w:rPr>
          <w:sz w:val="19"/>
        </w:rPr>
      </w:pPr>
      <w:r>
        <w:rPr/>
        <w:pict>
          <v:shape style="position:absolute;margin-left:79.331001pt;margin-top:11.559463pt;width:317.3pt;height:.1pt;mso-position-horizontal-relative:page;mso-position-vertical-relative:paragraph;z-index:6880" coordorigin="1587,231" coordsize="6346,0" path="m1587,231l4534,231m4534,231l4543,231m4543,231l5527,231m5527,231l5537,231m5537,231l6799,231m6799,231l6809,231m6809,231l7932,231e" filled="false" stroked="true" strokeweight=".48pt" strokecolor="#000000">
            <v:path arrowok="t"/>
            <w10:wrap type="none"/>
          </v:shape>
        </w:pict>
      </w:r>
      <w:r>
        <w:rPr>
          <w:w w:val="105"/>
          <w:sz w:val="19"/>
        </w:rPr>
        <w:t>Estado de México, 2009</w:t>
      </w:r>
    </w:p>
    <w:p>
      <w:pPr>
        <w:spacing w:after="0"/>
        <w:jc w:val="left"/>
        <w:rPr>
          <w:sz w:val="19"/>
        </w:rPr>
        <w:sectPr>
          <w:pgSz w:w="9360" w:h="13040"/>
          <w:pgMar w:header="0" w:footer="496" w:top="740" w:bottom="680" w:left="1300" w:right="1300"/>
        </w:sectPr>
      </w:pPr>
    </w:p>
    <w:p>
      <w:pPr>
        <w:tabs>
          <w:tab w:pos="3449" w:val="left" w:leader="none"/>
        </w:tabs>
        <w:spacing w:before="16"/>
        <w:ind w:left="397" w:right="0" w:firstLine="0"/>
        <w:jc w:val="left"/>
        <w:rPr>
          <w:sz w:val="19"/>
        </w:rPr>
      </w:pPr>
      <w:r>
        <w:rPr/>
        <w:pict>
          <v:shape style="position:absolute;margin-left:79.331001pt;margin-top:13.511063pt;width:317.3pt;height:128.9pt;mso-position-horizontal-relative:page;mso-position-vertical-relative:paragraph;z-index:690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69"/>
                    <w:gridCol w:w="1543"/>
                    <w:gridCol w:w="1206"/>
                    <w:gridCol w:w="1029"/>
                  </w:tblGrid>
                  <w:tr>
                    <w:trPr>
                      <w:trHeight w:val="221" w:hRule="exact"/>
                    </w:trPr>
                    <w:tc>
                      <w:tcPr>
                        <w:tcW w:w="2569" w:type="dxa"/>
                        <w:tcBorders>
                          <w:bottom w:val="double" w:sz="4" w:space="0" w:color="000000"/>
                        </w:tcBorders>
                      </w:tcPr>
                      <w:p>
                        <w:pPr/>
                      </w:p>
                    </w:tc>
                    <w:tc>
                      <w:tcPr>
                        <w:tcW w:w="1543" w:type="dxa"/>
                        <w:tcBorders>
                          <w:bottom w:val="double" w:sz="4" w:space="0" w:color="000000"/>
                        </w:tcBorders>
                      </w:tcPr>
                      <w:p>
                        <w:pPr>
                          <w:pStyle w:val="TableParagraph"/>
                          <w:spacing w:line="199" w:lineRule="exact"/>
                          <w:ind w:right="281"/>
                          <w:rPr>
                            <w:sz w:val="19"/>
                          </w:rPr>
                        </w:pPr>
                        <w:r>
                          <w:rPr>
                            <w:sz w:val="19"/>
                          </w:rPr>
                          <w:t>totales</w:t>
                        </w:r>
                      </w:p>
                    </w:tc>
                    <w:tc>
                      <w:tcPr>
                        <w:tcW w:w="1206" w:type="dxa"/>
                        <w:tcBorders>
                          <w:bottom w:val="double" w:sz="4" w:space="0" w:color="000000"/>
                        </w:tcBorders>
                      </w:tcPr>
                      <w:p>
                        <w:pPr>
                          <w:pStyle w:val="TableParagraph"/>
                          <w:spacing w:line="199" w:lineRule="exact"/>
                          <w:ind w:right="211"/>
                          <w:rPr>
                            <w:sz w:val="19"/>
                          </w:rPr>
                        </w:pPr>
                        <w:r>
                          <w:rPr>
                            <w:sz w:val="19"/>
                          </w:rPr>
                          <w:t>migrante</w:t>
                        </w:r>
                      </w:p>
                    </w:tc>
                    <w:tc>
                      <w:tcPr>
                        <w:tcW w:w="1029" w:type="dxa"/>
                        <w:tcBorders>
                          <w:bottom w:val="double" w:sz="4" w:space="0" w:color="000000"/>
                        </w:tcBorders>
                      </w:tcPr>
                      <w:p>
                        <w:pPr>
                          <w:pStyle w:val="TableParagraph"/>
                          <w:spacing w:line="199" w:lineRule="exact"/>
                          <w:ind w:right="104"/>
                          <w:rPr>
                            <w:sz w:val="19"/>
                          </w:rPr>
                        </w:pPr>
                        <w:r>
                          <w:rPr>
                            <w:sz w:val="19"/>
                          </w:rPr>
                          <w:t>migrante</w:t>
                        </w:r>
                      </w:p>
                    </w:tc>
                  </w:tr>
                  <w:tr>
                    <w:trPr>
                      <w:trHeight w:val="252" w:hRule="exact"/>
                    </w:trPr>
                    <w:tc>
                      <w:tcPr>
                        <w:tcW w:w="2569" w:type="dxa"/>
                        <w:tcBorders>
                          <w:top w:val="double" w:sz="4" w:space="0" w:color="000000"/>
                        </w:tcBorders>
                      </w:tcPr>
                      <w:p>
                        <w:pPr>
                          <w:pStyle w:val="TableParagraph"/>
                          <w:spacing w:before="5"/>
                          <w:ind w:left="110"/>
                          <w:jc w:val="left"/>
                          <w:rPr>
                            <w:sz w:val="19"/>
                          </w:rPr>
                        </w:pPr>
                        <w:r>
                          <w:rPr>
                            <w:w w:val="105"/>
                            <w:sz w:val="19"/>
                          </w:rPr>
                          <w:t>Radio</w:t>
                        </w:r>
                      </w:p>
                    </w:tc>
                    <w:tc>
                      <w:tcPr>
                        <w:tcW w:w="1543" w:type="dxa"/>
                        <w:tcBorders>
                          <w:top w:val="double" w:sz="4" w:space="0" w:color="000000"/>
                        </w:tcBorders>
                      </w:tcPr>
                      <w:p>
                        <w:pPr>
                          <w:pStyle w:val="TableParagraph"/>
                          <w:spacing w:before="5"/>
                          <w:ind w:right="281"/>
                          <w:rPr>
                            <w:sz w:val="19"/>
                          </w:rPr>
                        </w:pPr>
                        <w:r>
                          <w:rPr>
                            <w:sz w:val="19"/>
                          </w:rPr>
                          <w:t>86.8</w:t>
                        </w:r>
                      </w:p>
                    </w:tc>
                    <w:tc>
                      <w:tcPr>
                        <w:tcW w:w="1206" w:type="dxa"/>
                        <w:tcBorders>
                          <w:top w:val="double" w:sz="4" w:space="0" w:color="000000"/>
                        </w:tcBorders>
                      </w:tcPr>
                      <w:p>
                        <w:pPr>
                          <w:pStyle w:val="TableParagraph"/>
                          <w:spacing w:before="5"/>
                          <w:ind w:right="211"/>
                          <w:rPr>
                            <w:sz w:val="19"/>
                          </w:rPr>
                        </w:pPr>
                        <w:r>
                          <w:rPr>
                            <w:sz w:val="19"/>
                          </w:rPr>
                          <w:t>88.2</w:t>
                        </w:r>
                      </w:p>
                    </w:tc>
                    <w:tc>
                      <w:tcPr>
                        <w:tcW w:w="1029" w:type="dxa"/>
                        <w:tcBorders>
                          <w:top w:val="double" w:sz="4" w:space="0" w:color="000000"/>
                        </w:tcBorders>
                      </w:tcPr>
                      <w:p>
                        <w:pPr>
                          <w:pStyle w:val="TableParagraph"/>
                          <w:spacing w:before="5"/>
                          <w:ind w:right="104"/>
                          <w:rPr>
                            <w:sz w:val="19"/>
                          </w:rPr>
                        </w:pPr>
                        <w:r>
                          <w:rPr>
                            <w:sz w:val="19"/>
                          </w:rPr>
                          <w:t>86.6</w:t>
                        </w:r>
                      </w:p>
                    </w:tc>
                  </w:tr>
                  <w:tr>
                    <w:trPr>
                      <w:trHeight w:val="230" w:hRule="exact"/>
                    </w:trPr>
                    <w:tc>
                      <w:tcPr>
                        <w:tcW w:w="2569" w:type="dxa"/>
                      </w:tcPr>
                      <w:p>
                        <w:pPr>
                          <w:pStyle w:val="TableParagraph"/>
                          <w:spacing w:line="216" w:lineRule="exact"/>
                          <w:ind w:left="110"/>
                          <w:jc w:val="left"/>
                          <w:rPr>
                            <w:sz w:val="19"/>
                          </w:rPr>
                        </w:pPr>
                        <w:r>
                          <w:rPr>
                            <w:w w:val="105"/>
                            <w:sz w:val="19"/>
                          </w:rPr>
                          <w:t>Televisión</w:t>
                        </w:r>
                      </w:p>
                    </w:tc>
                    <w:tc>
                      <w:tcPr>
                        <w:tcW w:w="1543" w:type="dxa"/>
                      </w:tcPr>
                      <w:p>
                        <w:pPr>
                          <w:pStyle w:val="TableParagraph"/>
                          <w:spacing w:line="216" w:lineRule="exact"/>
                          <w:ind w:right="281"/>
                          <w:rPr>
                            <w:sz w:val="19"/>
                          </w:rPr>
                        </w:pPr>
                        <w:r>
                          <w:rPr>
                            <w:sz w:val="19"/>
                          </w:rPr>
                          <w:t>96.4</w:t>
                        </w:r>
                      </w:p>
                    </w:tc>
                    <w:tc>
                      <w:tcPr>
                        <w:tcW w:w="1206" w:type="dxa"/>
                      </w:tcPr>
                      <w:p>
                        <w:pPr>
                          <w:pStyle w:val="TableParagraph"/>
                          <w:spacing w:line="216" w:lineRule="exact"/>
                          <w:ind w:right="211"/>
                          <w:rPr>
                            <w:sz w:val="19"/>
                          </w:rPr>
                        </w:pPr>
                        <w:r>
                          <w:rPr>
                            <w:sz w:val="19"/>
                          </w:rPr>
                          <w:t>97.1</w:t>
                        </w:r>
                      </w:p>
                    </w:tc>
                    <w:tc>
                      <w:tcPr>
                        <w:tcW w:w="1029" w:type="dxa"/>
                      </w:tcPr>
                      <w:p>
                        <w:pPr>
                          <w:pStyle w:val="TableParagraph"/>
                          <w:spacing w:line="216" w:lineRule="exact"/>
                          <w:ind w:right="104"/>
                          <w:rPr>
                            <w:sz w:val="19"/>
                          </w:rPr>
                        </w:pPr>
                        <w:r>
                          <w:rPr>
                            <w:sz w:val="19"/>
                          </w:rPr>
                          <w:t>96.3</w:t>
                        </w:r>
                      </w:p>
                    </w:tc>
                  </w:tr>
                  <w:tr>
                    <w:trPr>
                      <w:trHeight w:val="230" w:hRule="exact"/>
                    </w:trPr>
                    <w:tc>
                      <w:tcPr>
                        <w:tcW w:w="2569" w:type="dxa"/>
                      </w:tcPr>
                      <w:p>
                        <w:pPr>
                          <w:pStyle w:val="TableParagraph"/>
                          <w:spacing w:line="216" w:lineRule="exact"/>
                          <w:ind w:left="110"/>
                          <w:jc w:val="left"/>
                          <w:rPr>
                            <w:sz w:val="19"/>
                          </w:rPr>
                        </w:pPr>
                        <w:r>
                          <w:rPr>
                            <w:w w:val="105"/>
                            <w:sz w:val="19"/>
                          </w:rPr>
                          <w:t>Reproductor de DVD</w:t>
                        </w:r>
                      </w:p>
                    </w:tc>
                    <w:tc>
                      <w:tcPr>
                        <w:tcW w:w="1543" w:type="dxa"/>
                      </w:tcPr>
                      <w:p>
                        <w:pPr>
                          <w:pStyle w:val="TableParagraph"/>
                          <w:spacing w:line="216" w:lineRule="exact"/>
                          <w:ind w:right="281"/>
                          <w:rPr>
                            <w:sz w:val="19"/>
                          </w:rPr>
                        </w:pPr>
                        <w:r>
                          <w:rPr>
                            <w:sz w:val="19"/>
                          </w:rPr>
                          <w:t>57.8</w:t>
                        </w:r>
                      </w:p>
                    </w:tc>
                    <w:tc>
                      <w:tcPr>
                        <w:tcW w:w="1206" w:type="dxa"/>
                      </w:tcPr>
                      <w:p>
                        <w:pPr>
                          <w:pStyle w:val="TableParagraph"/>
                          <w:spacing w:line="216" w:lineRule="exact"/>
                          <w:ind w:right="211"/>
                          <w:rPr>
                            <w:sz w:val="19"/>
                          </w:rPr>
                        </w:pPr>
                        <w:r>
                          <w:rPr>
                            <w:sz w:val="19"/>
                          </w:rPr>
                          <w:t>53.1</w:t>
                        </w:r>
                      </w:p>
                    </w:tc>
                    <w:tc>
                      <w:tcPr>
                        <w:tcW w:w="1029" w:type="dxa"/>
                      </w:tcPr>
                      <w:p>
                        <w:pPr>
                          <w:pStyle w:val="TableParagraph"/>
                          <w:spacing w:line="216" w:lineRule="exact"/>
                          <w:ind w:right="104"/>
                          <w:rPr>
                            <w:sz w:val="19"/>
                          </w:rPr>
                        </w:pPr>
                        <w:r>
                          <w:rPr>
                            <w:sz w:val="19"/>
                          </w:rPr>
                          <w:t>58.6</w:t>
                        </w:r>
                      </w:p>
                    </w:tc>
                  </w:tr>
                  <w:tr>
                    <w:trPr>
                      <w:trHeight w:val="230" w:hRule="exact"/>
                    </w:trPr>
                    <w:tc>
                      <w:tcPr>
                        <w:tcW w:w="2569" w:type="dxa"/>
                      </w:tcPr>
                      <w:p>
                        <w:pPr>
                          <w:pStyle w:val="TableParagraph"/>
                          <w:spacing w:line="216" w:lineRule="exact"/>
                          <w:ind w:left="110"/>
                          <w:jc w:val="left"/>
                          <w:rPr>
                            <w:sz w:val="19"/>
                          </w:rPr>
                        </w:pPr>
                        <w:r>
                          <w:rPr>
                            <w:w w:val="105"/>
                            <w:sz w:val="19"/>
                          </w:rPr>
                          <w:t>Licuadora</w:t>
                        </w:r>
                      </w:p>
                    </w:tc>
                    <w:tc>
                      <w:tcPr>
                        <w:tcW w:w="1543" w:type="dxa"/>
                      </w:tcPr>
                      <w:p>
                        <w:pPr>
                          <w:pStyle w:val="TableParagraph"/>
                          <w:spacing w:line="216" w:lineRule="exact"/>
                          <w:ind w:right="281"/>
                          <w:rPr>
                            <w:sz w:val="19"/>
                          </w:rPr>
                        </w:pPr>
                        <w:r>
                          <w:rPr>
                            <w:sz w:val="19"/>
                          </w:rPr>
                          <w:t>95.0</w:t>
                        </w:r>
                      </w:p>
                    </w:tc>
                    <w:tc>
                      <w:tcPr>
                        <w:tcW w:w="1206" w:type="dxa"/>
                      </w:tcPr>
                      <w:p>
                        <w:pPr>
                          <w:pStyle w:val="TableParagraph"/>
                          <w:spacing w:line="216" w:lineRule="exact"/>
                          <w:ind w:right="211"/>
                          <w:rPr>
                            <w:sz w:val="19"/>
                          </w:rPr>
                        </w:pPr>
                        <w:r>
                          <w:rPr>
                            <w:sz w:val="19"/>
                          </w:rPr>
                          <w:t>92.7</w:t>
                        </w:r>
                      </w:p>
                    </w:tc>
                    <w:tc>
                      <w:tcPr>
                        <w:tcW w:w="1029" w:type="dxa"/>
                      </w:tcPr>
                      <w:p>
                        <w:pPr>
                          <w:pStyle w:val="TableParagraph"/>
                          <w:spacing w:line="216" w:lineRule="exact"/>
                          <w:ind w:right="104"/>
                          <w:rPr>
                            <w:sz w:val="19"/>
                          </w:rPr>
                        </w:pPr>
                        <w:r>
                          <w:rPr>
                            <w:sz w:val="19"/>
                          </w:rPr>
                          <w:t>95.4</w:t>
                        </w:r>
                      </w:p>
                    </w:tc>
                  </w:tr>
                  <w:tr>
                    <w:trPr>
                      <w:trHeight w:val="230" w:hRule="exact"/>
                    </w:trPr>
                    <w:tc>
                      <w:tcPr>
                        <w:tcW w:w="2569" w:type="dxa"/>
                      </w:tcPr>
                      <w:p>
                        <w:pPr>
                          <w:pStyle w:val="TableParagraph"/>
                          <w:spacing w:line="216" w:lineRule="exact"/>
                          <w:ind w:left="110"/>
                          <w:jc w:val="left"/>
                          <w:rPr>
                            <w:sz w:val="19"/>
                          </w:rPr>
                        </w:pPr>
                        <w:r>
                          <w:rPr>
                            <w:w w:val="105"/>
                            <w:sz w:val="19"/>
                          </w:rPr>
                          <w:t>Lavadora</w:t>
                        </w:r>
                      </w:p>
                    </w:tc>
                    <w:tc>
                      <w:tcPr>
                        <w:tcW w:w="1543" w:type="dxa"/>
                      </w:tcPr>
                      <w:p>
                        <w:pPr>
                          <w:pStyle w:val="TableParagraph"/>
                          <w:spacing w:line="216" w:lineRule="exact"/>
                          <w:ind w:right="281"/>
                          <w:rPr>
                            <w:sz w:val="19"/>
                          </w:rPr>
                        </w:pPr>
                        <w:r>
                          <w:rPr>
                            <w:sz w:val="19"/>
                          </w:rPr>
                          <w:t>62.7</w:t>
                        </w:r>
                      </w:p>
                    </w:tc>
                    <w:tc>
                      <w:tcPr>
                        <w:tcW w:w="1206" w:type="dxa"/>
                      </w:tcPr>
                      <w:p>
                        <w:pPr>
                          <w:pStyle w:val="TableParagraph"/>
                          <w:spacing w:line="216" w:lineRule="exact"/>
                          <w:ind w:right="211"/>
                          <w:rPr>
                            <w:sz w:val="19"/>
                          </w:rPr>
                        </w:pPr>
                        <w:r>
                          <w:rPr>
                            <w:sz w:val="19"/>
                          </w:rPr>
                          <w:t>58.7</w:t>
                        </w:r>
                      </w:p>
                    </w:tc>
                    <w:tc>
                      <w:tcPr>
                        <w:tcW w:w="1029" w:type="dxa"/>
                      </w:tcPr>
                      <w:p>
                        <w:pPr>
                          <w:pStyle w:val="TableParagraph"/>
                          <w:spacing w:line="216" w:lineRule="exact"/>
                          <w:ind w:right="104"/>
                          <w:rPr>
                            <w:sz w:val="19"/>
                          </w:rPr>
                        </w:pPr>
                        <w:r>
                          <w:rPr>
                            <w:sz w:val="19"/>
                          </w:rPr>
                          <w:t>63.4</w:t>
                        </w:r>
                      </w:p>
                    </w:tc>
                  </w:tr>
                  <w:tr>
                    <w:trPr>
                      <w:trHeight w:val="230" w:hRule="exact"/>
                    </w:trPr>
                    <w:tc>
                      <w:tcPr>
                        <w:tcW w:w="2569" w:type="dxa"/>
                      </w:tcPr>
                      <w:p>
                        <w:pPr>
                          <w:pStyle w:val="TableParagraph"/>
                          <w:spacing w:line="216" w:lineRule="exact"/>
                          <w:ind w:left="110"/>
                          <w:jc w:val="left"/>
                          <w:rPr>
                            <w:sz w:val="19"/>
                          </w:rPr>
                        </w:pPr>
                        <w:r>
                          <w:rPr>
                            <w:w w:val="105"/>
                            <w:sz w:val="19"/>
                          </w:rPr>
                          <w:t>Refrigerador</w:t>
                        </w:r>
                      </w:p>
                    </w:tc>
                    <w:tc>
                      <w:tcPr>
                        <w:tcW w:w="1543" w:type="dxa"/>
                      </w:tcPr>
                      <w:p>
                        <w:pPr>
                          <w:pStyle w:val="TableParagraph"/>
                          <w:spacing w:line="216" w:lineRule="exact"/>
                          <w:ind w:right="281"/>
                          <w:rPr>
                            <w:sz w:val="19"/>
                          </w:rPr>
                        </w:pPr>
                        <w:r>
                          <w:rPr>
                            <w:sz w:val="19"/>
                          </w:rPr>
                          <w:t>74.8</w:t>
                        </w:r>
                      </w:p>
                    </w:tc>
                    <w:tc>
                      <w:tcPr>
                        <w:tcW w:w="1206" w:type="dxa"/>
                      </w:tcPr>
                      <w:p>
                        <w:pPr>
                          <w:pStyle w:val="TableParagraph"/>
                          <w:spacing w:line="216" w:lineRule="exact"/>
                          <w:ind w:right="211"/>
                          <w:rPr>
                            <w:sz w:val="19"/>
                          </w:rPr>
                        </w:pPr>
                        <w:r>
                          <w:rPr>
                            <w:sz w:val="19"/>
                          </w:rPr>
                          <w:t>70.5</w:t>
                        </w:r>
                      </w:p>
                    </w:tc>
                    <w:tc>
                      <w:tcPr>
                        <w:tcW w:w="1029" w:type="dxa"/>
                      </w:tcPr>
                      <w:p>
                        <w:pPr>
                          <w:pStyle w:val="TableParagraph"/>
                          <w:spacing w:line="216" w:lineRule="exact"/>
                          <w:ind w:right="104"/>
                          <w:rPr>
                            <w:sz w:val="19"/>
                          </w:rPr>
                        </w:pPr>
                        <w:r>
                          <w:rPr>
                            <w:sz w:val="19"/>
                          </w:rPr>
                          <w:t>75.5</w:t>
                        </w:r>
                      </w:p>
                    </w:tc>
                  </w:tr>
                  <w:tr>
                    <w:trPr>
                      <w:trHeight w:val="228" w:hRule="exact"/>
                    </w:trPr>
                    <w:tc>
                      <w:tcPr>
                        <w:tcW w:w="2569" w:type="dxa"/>
                      </w:tcPr>
                      <w:p>
                        <w:pPr>
                          <w:pStyle w:val="TableParagraph"/>
                          <w:spacing w:line="216" w:lineRule="exact"/>
                          <w:ind w:left="110"/>
                          <w:jc w:val="left"/>
                          <w:rPr>
                            <w:sz w:val="19"/>
                          </w:rPr>
                        </w:pPr>
                        <w:r>
                          <w:rPr>
                            <w:w w:val="105"/>
                            <w:sz w:val="19"/>
                          </w:rPr>
                          <w:t>Calentador de agua</w:t>
                        </w:r>
                      </w:p>
                    </w:tc>
                    <w:tc>
                      <w:tcPr>
                        <w:tcW w:w="1543" w:type="dxa"/>
                      </w:tcPr>
                      <w:p>
                        <w:pPr>
                          <w:pStyle w:val="TableParagraph"/>
                          <w:spacing w:line="216" w:lineRule="exact"/>
                          <w:ind w:right="281"/>
                          <w:rPr>
                            <w:sz w:val="19"/>
                          </w:rPr>
                        </w:pPr>
                        <w:r>
                          <w:rPr>
                            <w:sz w:val="19"/>
                          </w:rPr>
                          <w:t>51.0</w:t>
                        </w:r>
                      </w:p>
                    </w:tc>
                    <w:tc>
                      <w:tcPr>
                        <w:tcW w:w="1206" w:type="dxa"/>
                      </w:tcPr>
                      <w:p>
                        <w:pPr>
                          <w:pStyle w:val="TableParagraph"/>
                          <w:spacing w:line="216" w:lineRule="exact"/>
                          <w:ind w:right="211"/>
                          <w:rPr>
                            <w:sz w:val="19"/>
                          </w:rPr>
                        </w:pPr>
                        <w:r>
                          <w:rPr>
                            <w:sz w:val="19"/>
                          </w:rPr>
                          <w:t>49.6</w:t>
                        </w:r>
                      </w:p>
                    </w:tc>
                    <w:tc>
                      <w:tcPr>
                        <w:tcW w:w="1029" w:type="dxa"/>
                      </w:tcPr>
                      <w:p>
                        <w:pPr>
                          <w:pStyle w:val="TableParagraph"/>
                          <w:spacing w:line="216" w:lineRule="exact"/>
                          <w:ind w:right="103"/>
                          <w:rPr>
                            <w:sz w:val="19"/>
                          </w:rPr>
                        </w:pPr>
                        <w:r>
                          <w:rPr>
                            <w:sz w:val="19"/>
                          </w:rPr>
                          <w:t>51.2</w:t>
                        </w:r>
                      </w:p>
                    </w:tc>
                  </w:tr>
                  <w:tr>
                    <w:trPr>
                      <w:trHeight w:val="228" w:hRule="exact"/>
                    </w:trPr>
                    <w:tc>
                      <w:tcPr>
                        <w:tcW w:w="2569" w:type="dxa"/>
                      </w:tcPr>
                      <w:p>
                        <w:pPr>
                          <w:pStyle w:val="TableParagraph"/>
                          <w:spacing w:line="214" w:lineRule="exact"/>
                          <w:ind w:left="110"/>
                          <w:jc w:val="left"/>
                          <w:rPr>
                            <w:sz w:val="19"/>
                          </w:rPr>
                        </w:pPr>
                        <w:r>
                          <w:rPr>
                            <w:w w:val="105"/>
                            <w:sz w:val="19"/>
                          </w:rPr>
                          <w:t>Teléfono</w:t>
                        </w:r>
                      </w:p>
                    </w:tc>
                    <w:tc>
                      <w:tcPr>
                        <w:tcW w:w="1543" w:type="dxa"/>
                      </w:tcPr>
                      <w:p>
                        <w:pPr>
                          <w:pStyle w:val="TableParagraph"/>
                          <w:spacing w:line="214" w:lineRule="exact"/>
                          <w:ind w:right="281"/>
                          <w:rPr>
                            <w:sz w:val="19"/>
                          </w:rPr>
                        </w:pPr>
                        <w:r>
                          <w:rPr>
                            <w:sz w:val="19"/>
                          </w:rPr>
                          <w:t>47.5</w:t>
                        </w:r>
                      </w:p>
                    </w:tc>
                    <w:tc>
                      <w:tcPr>
                        <w:tcW w:w="1206" w:type="dxa"/>
                      </w:tcPr>
                      <w:p>
                        <w:pPr>
                          <w:pStyle w:val="TableParagraph"/>
                          <w:spacing w:line="214" w:lineRule="exact"/>
                          <w:ind w:right="212"/>
                          <w:rPr>
                            <w:sz w:val="19"/>
                          </w:rPr>
                        </w:pPr>
                        <w:r>
                          <w:rPr>
                            <w:sz w:val="19"/>
                          </w:rPr>
                          <w:t>55.O</w:t>
                        </w:r>
                      </w:p>
                    </w:tc>
                    <w:tc>
                      <w:tcPr>
                        <w:tcW w:w="1029" w:type="dxa"/>
                      </w:tcPr>
                      <w:p>
                        <w:pPr>
                          <w:pStyle w:val="TableParagraph"/>
                          <w:spacing w:line="214" w:lineRule="exact"/>
                          <w:ind w:right="104"/>
                          <w:rPr>
                            <w:sz w:val="19"/>
                          </w:rPr>
                        </w:pPr>
                        <w:r>
                          <w:rPr>
                            <w:sz w:val="19"/>
                          </w:rPr>
                          <w:t>46.2</w:t>
                        </w:r>
                      </w:p>
                    </w:tc>
                  </w:tr>
                  <w:tr>
                    <w:trPr>
                      <w:trHeight w:val="230" w:hRule="exact"/>
                    </w:trPr>
                    <w:tc>
                      <w:tcPr>
                        <w:tcW w:w="2569" w:type="dxa"/>
                      </w:tcPr>
                      <w:p>
                        <w:pPr>
                          <w:pStyle w:val="TableParagraph"/>
                          <w:spacing w:line="216" w:lineRule="exact"/>
                          <w:ind w:left="110"/>
                          <w:jc w:val="left"/>
                          <w:rPr>
                            <w:sz w:val="19"/>
                          </w:rPr>
                        </w:pPr>
                        <w:r>
                          <w:rPr>
                            <w:w w:val="105"/>
                            <w:sz w:val="19"/>
                          </w:rPr>
                          <w:t>Automóvil propio</w:t>
                        </w:r>
                      </w:p>
                    </w:tc>
                    <w:tc>
                      <w:tcPr>
                        <w:tcW w:w="1543" w:type="dxa"/>
                      </w:tcPr>
                      <w:p>
                        <w:pPr>
                          <w:pStyle w:val="TableParagraph"/>
                          <w:spacing w:line="216" w:lineRule="exact"/>
                          <w:ind w:right="281"/>
                          <w:rPr>
                            <w:sz w:val="19"/>
                          </w:rPr>
                        </w:pPr>
                        <w:r>
                          <w:rPr>
                            <w:sz w:val="19"/>
                          </w:rPr>
                          <w:t>32.6</w:t>
                        </w:r>
                      </w:p>
                    </w:tc>
                    <w:tc>
                      <w:tcPr>
                        <w:tcW w:w="1206" w:type="dxa"/>
                      </w:tcPr>
                      <w:p>
                        <w:pPr>
                          <w:pStyle w:val="TableParagraph"/>
                          <w:spacing w:line="216" w:lineRule="exact"/>
                          <w:ind w:right="211"/>
                          <w:rPr>
                            <w:sz w:val="19"/>
                          </w:rPr>
                        </w:pPr>
                        <w:r>
                          <w:rPr>
                            <w:sz w:val="19"/>
                          </w:rPr>
                          <w:t>37.4</w:t>
                        </w:r>
                      </w:p>
                    </w:tc>
                    <w:tc>
                      <w:tcPr>
                        <w:tcW w:w="1029" w:type="dxa"/>
                      </w:tcPr>
                      <w:p>
                        <w:pPr>
                          <w:pStyle w:val="TableParagraph"/>
                          <w:spacing w:line="216" w:lineRule="exact"/>
                          <w:ind w:right="104"/>
                          <w:rPr>
                            <w:sz w:val="19"/>
                          </w:rPr>
                        </w:pPr>
                        <w:r>
                          <w:rPr>
                            <w:sz w:val="19"/>
                          </w:rPr>
                          <w:t>31.7</w:t>
                        </w:r>
                      </w:p>
                    </w:tc>
                  </w:tr>
                  <w:tr>
                    <w:trPr>
                      <w:trHeight w:val="238" w:hRule="exact"/>
                    </w:trPr>
                    <w:tc>
                      <w:tcPr>
                        <w:tcW w:w="2569" w:type="dxa"/>
                        <w:tcBorders>
                          <w:bottom w:val="double" w:sz="4" w:space="0" w:color="000000"/>
                        </w:tcBorders>
                      </w:tcPr>
                      <w:p>
                        <w:pPr>
                          <w:pStyle w:val="TableParagraph"/>
                          <w:spacing w:line="216" w:lineRule="exact"/>
                          <w:ind w:left="110"/>
                          <w:jc w:val="left"/>
                          <w:rPr>
                            <w:sz w:val="19"/>
                          </w:rPr>
                        </w:pPr>
                        <w:r>
                          <w:rPr>
                            <w:w w:val="105"/>
                            <w:sz w:val="19"/>
                          </w:rPr>
                          <w:t>Computadora</w:t>
                        </w:r>
                      </w:p>
                    </w:tc>
                    <w:tc>
                      <w:tcPr>
                        <w:tcW w:w="1543" w:type="dxa"/>
                        <w:tcBorders>
                          <w:bottom w:val="double" w:sz="4" w:space="0" w:color="000000"/>
                        </w:tcBorders>
                      </w:tcPr>
                      <w:p>
                        <w:pPr>
                          <w:pStyle w:val="TableParagraph"/>
                          <w:spacing w:line="216" w:lineRule="exact"/>
                          <w:ind w:right="281"/>
                          <w:rPr>
                            <w:sz w:val="19"/>
                          </w:rPr>
                        </w:pPr>
                        <w:r>
                          <w:rPr>
                            <w:sz w:val="19"/>
                          </w:rPr>
                          <w:t>17.3</w:t>
                        </w:r>
                      </w:p>
                    </w:tc>
                    <w:tc>
                      <w:tcPr>
                        <w:tcW w:w="1206" w:type="dxa"/>
                        <w:tcBorders>
                          <w:bottom w:val="double" w:sz="4" w:space="0" w:color="000000"/>
                        </w:tcBorders>
                      </w:tcPr>
                      <w:p>
                        <w:pPr>
                          <w:pStyle w:val="TableParagraph"/>
                          <w:spacing w:line="216" w:lineRule="exact"/>
                          <w:ind w:right="211"/>
                          <w:rPr>
                            <w:sz w:val="19"/>
                          </w:rPr>
                        </w:pPr>
                        <w:r>
                          <w:rPr>
                            <w:sz w:val="19"/>
                          </w:rPr>
                          <w:t>21.6</w:t>
                        </w:r>
                      </w:p>
                    </w:tc>
                    <w:tc>
                      <w:tcPr>
                        <w:tcW w:w="1029" w:type="dxa"/>
                        <w:tcBorders>
                          <w:bottom w:val="double" w:sz="4" w:space="0" w:color="000000"/>
                        </w:tcBorders>
                      </w:tcPr>
                      <w:p>
                        <w:pPr>
                          <w:pStyle w:val="TableParagraph"/>
                          <w:spacing w:line="216" w:lineRule="exact"/>
                          <w:ind w:right="104"/>
                          <w:rPr>
                            <w:sz w:val="19"/>
                          </w:rPr>
                        </w:pPr>
                        <w:r>
                          <w:rPr>
                            <w:sz w:val="19"/>
                          </w:rPr>
                          <w:t>16.5</w:t>
                        </w:r>
                      </w:p>
                    </w:tc>
                  </w:tr>
                </w:tbl>
                <w:p>
                  <w:pPr>
                    <w:pStyle w:val="BodyText"/>
                  </w:pPr>
                </w:p>
              </w:txbxContent>
            </v:textbox>
            <w10:wrap type="none"/>
          </v:shape>
        </w:pict>
      </w:r>
      <w:r>
        <w:rPr>
          <w:w w:val="105"/>
          <w:sz w:val="19"/>
        </w:rPr>
        <w:t>Bienes disponibles en</w:t>
      </w:r>
      <w:r>
        <w:rPr>
          <w:spacing w:val="-4"/>
          <w:w w:val="105"/>
          <w:sz w:val="19"/>
        </w:rPr>
        <w:t> </w:t>
      </w:r>
      <w:r>
        <w:rPr>
          <w:w w:val="105"/>
          <w:sz w:val="19"/>
        </w:rPr>
        <w:t>la</w:t>
      </w:r>
      <w:r>
        <w:rPr>
          <w:spacing w:val="-2"/>
          <w:w w:val="105"/>
          <w:sz w:val="19"/>
        </w:rPr>
        <w:t> </w:t>
      </w:r>
      <w:r>
        <w:rPr>
          <w:w w:val="105"/>
          <w:sz w:val="19"/>
        </w:rPr>
        <w:t>vivienda</w:t>
        <w:tab/>
      </w:r>
      <w:r>
        <w:rPr>
          <w:w w:val="105"/>
          <w:position w:val="12"/>
          <w:sz w:val="19"/>
        </w:rPr>
        <w:t>Hogares</w:t>
      </w:r>
    </w:p>
    <w:p>
      <w:pPr>
        <w:spacing w:before="21"/>
        <w:ind w:left="397" w:right="0" w:firstLine="0"/>
        <w:jc w:val="left"/>
        <w:rPr>
          <w:sz w:val="19"/>
        </w:rPr>
      </w:pPr>
      <w:r>
        <w:rPr/>
        <w:br w:type="column"/>
      </w:r>
      <w:r>
        <w:rPr>
          <w:sz w:val="19"/>
        </w:rPr>
        <w:t>Hogar</w:t>
      </w:r>
    </w:p>
    <w:p>
      <w:pPr>
        <w:spacing w:before="21"/>
        <w:ind w:left="347" w:right="0" w:firstLine="0"/>
        <w:jc w:val="left"/>
        <w:rPr>
          <w:sz w:val="19"/>
        </w:rPr>
      </w:pPr>
      <w:r>
        <w:rPr/>
        <w:br w:type="column"/>
      </w:r>
      <w:r>
        <w:rPr>
          <w:w w:val="105"/>
          <w:sz w:val="19"/>
        </w:rPr>
        <w:t>Hogar no</w:t>
      </w:r>
    </w:p>
    <w:p>
      <w:pPr>
        <w:spacing w:after="0"/>
        <w:jc w:val="left"/>
        <w:rPr>
          <w:sz w:val="19"/>
        </w:rPr>
        <w:sectPr>
          <w:type w:val="continuous"/>
          <w:pgSz w:w="9360" w:h="13040"/>
          <w:pgMar w:top="0" w:bottom="0" w:left="1300" w:right="1300"/>
          <w:cols w:num="3" w:equalWidth="0">
            <w:col w:w="4117" w:space="378"/>
            <w:col w:w="896" w:space="40"/>
            <w:col w:w="1329"/>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8"/>
        <w:ind w:left="397" w:right="117" w:firstLine="0"/>
        <w:jc w:val="left"/>
        <w:rPr>
          <w:sz w:val="16"/>
        </w:rPr>
      </w:pPr>
      <w:r>
        <w:rPr>
          <w:sz w:val="16"/>
        </w:rPr>
        <w:t>Fuente: cálculos propios a partir de la EMMEU 2009.</w:t>
      </w:r>
    </w:p>
    <w:p>
      <w:pPr>
        <w:pStyle w:val="BodyText"/>
        <w:spacing w:before="4"/>
        <w:rPr>
          <w:sz w:val="12"/>
        </w:rPr>
      </w:pPr>
    </w:p>
    <w:p>
      <w:pPr>
        <w:spacing w:line="252" w:lineRule="auto" w:before="81"/>
        <w:ind w:left="257" w:right="877" w:firstLine="0"/>
        <w:jc w:val="left"/>
        <w:rPr>
          <w:sz w:val="19"/>
        </w:rPr>
      </w:pPr>
      <w:r>
        <w:rPr>
          <w:w w:val="105"/>
          <w:sz w:val="19"/>
        </w:rPr>
        <w:t>Cuadro 8. Servicios de la vivienda de los hogares según participación o no en la migración, Estado de México, 2009</w:t>
      </w:r>
    </w:p>
    <w:tbl>
      <w:tblPr>
        <w:tblW w:w="0" w:type="auto"/>
        <w:jc w:val="lef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87"/>
        <w:gridCol w:w="1184"/>
        <w:gridCol w:w="1119"/>
      </w:tblGrid>
      <w:tr>
        <w:trPr>
          <w:trHeight w:val="480" w:hRule="exact"/>
        </w:trPr>
        <w:tc>
          <w:tcPr>
            <w:tcW w:w="4187" w:type="dxa"/>
            <w:tcBorders>
              <w:left w:val="nil"/>
              <w:bottom w:val="double" w:sz="4" w:space="0" w:color="000000"/>
              <w:right w:val="nil"/>
            </w:tcBorders>
          </w:tcPr>
          <w:p>
            <w:pPr>
              <w:pStyle w:val="TableParagraph"/>
              <w:tabs>
                <w:tab w:pos="3308" w:val="left" w:leader="none"/>
              </w:tabs>
              <w:spacing w:line="127" w:lineRule="auto" w:before="83"/>
              <w:ind w:left="3453" w:right="208" w:hanging="3343"/>
              <w:rPr>
                <w:sz w:val="19"/>
              </w:rPr>
            </w:pPr>
            <w:r>
              <w:rPr>
                <w:w w:val="105"/>
                <w:sz w:val="19"/>
              </w:rPr>
              <w:t>Servicios de</w:t>
            </w:r>
            <w:r>
              <w:rPr>
                <w:spacing w:val="-3"/>
                <w:w w:val="105"/>
                <w:sz w:val="19"/>
              </w:rPr>
              <w:t> </w:t>
            </w:r>
            <w:r>
              <w:rPr>
                <w:w w:val="105"/>
                <w:sz w:val="19"/>
              </w:rPr>
              <w:t>la</w:t>
            </w:r>
            <w:r>
              <w:rPr>
                <w:spacing w:val="-2"/>
                <w:w w:val="105"/>
                <w:sz w:val="19"/>
              </w:rPr>
              <w:t> </w:t>
            </w:r>
            <w:r>
              <w:rPr>
                <w:w w:val="105"/>
                <w:sz w:val="19"/>
              </w:rPr>
              <w:t>vivienda</w:t>
              <w:tab/>
            </w:r>
            <w:r>
              <w:rPr>
                <w:position w:val="12"/>
                <w:sz w:val="19"/>
              </w:rPr>
              <w:t>Hogares </w:t>
            </w:r>
            <w:r>
              <w:rPr>
                <w:sz w:val="19"/>
              </w:rPr>
              <w:t>totales</w:t>
            </w:r>
          </w:p>
        </w:tc>
        <w:tc>
          <w:tcPr>
            <w:tcW w:w="1184" w:type="dxa"/>
            <w:tcBorders>
              <w:left w:val="nil"/>
              <w:bottom w:val="double" w:sz="4" w:space="0" w:color="000000"/>
              <w:right w:val="nil"/>
            </w:tcBorders>
          </w:tcPr>
          <w:p>
            <w:pPr>
              <w:pStyle w:val="TableParagraph"/>
              <w:spacing w:line="252" w:lineRule="auto" w:before="5"/>
              <w:ind w:left="210" w:right="244" w:firstLine="210"/>
              <w:jc w:val="left"/>
              <w:rPr>
                <w:sz w:val="19"/>
              </w:rPr>
            </w:pPr>
            <w:r>
              <w:rPr>
                <w:w w:val="105"/>
                <w:sz w:val="19"/>
              </w:rPr>
              <w:t>Hogar migrante</w:t>
            </w:r>
          </w:p>
        </w:tc>
        <w:tc>
          <w:tcPr>
            <w:tcW w:w="1119" w:type="dxa"/>
            <w:tcBorders>
              <w:left w:val="nil"/>
              <w:bottom w:val="double" w:sz="4" w:space="0" w:color="000000"/>
              <w:right w:val="nil"/>
            </w:tcBorders>
          </w:tcPr>
          <w:p>
            <w:pPr>
              <w:pStyle w:val="TableParagraph"/>
              <w:spacing w:line="252" w:lineRule="auto" w:before="5"/>
              <w:ind w:left="301" w:right="89" w:hanging="39"/>
              <w:jc w:val="left"/>
              <w:rPr>
                <w:sz w:val="19"/>
              </w:rPr>
            </w:pPr>
            <w:r>
              <w:rPr>
                <w:w w:val="105"/>
                <w:sz w:val="19"/>
              </w:rPr>
              <w:t>Hogar no migrante</w:t>
            </w:r>
          </w:p>
        </w:tc>
      </w:tr>
      <w:tr>
        <w:trPr>
          <w:trHeight w:val="252" w:hRule="exact"/>
        </w:trPr>
        <w:tc>
          <w:tcPr>
            <w:tcW w:w="4187" w:type="dxa"/>
            <w:tcBorders>
              <w:top w:val="double" w:sz="4" w:space="0" w:color="000000"/>
              <w:left w:val="nil"/>
              <w:bottom w:val="nil"/>
              <w:right w:val="nil"/>
            </w:tcBorders>
          </w:tcPr>
          <w:p>
            <w:pPr>
              <w:pStyle w:val="TableParagraph"/>
              <w:spacing w:before="5"/>
              <w:ind w:left="110"/>
              <w:jc w:val="left"/>
              <w:rPr>
                <w:i/>
                <w:sz w:val="19"/>
              </w:rPr>
            </w:pPr>
            <w:r>
              <w:rPr>
                <w:i/>
                <w:w w:val="105"/>
                <w:sz w:val="19"/>
              </w:rPr>
              <w:t>Disponibilidad de agua</w:t>
            </w:r>
          </w:p>
        </w:tc>
        <w:tc>
          <w:tcPr>
            <w:tcW w:w="1184" w:type="dxa"/>
            <w:tcBorders>
              <w:top w:val="double" w:sz="4" w:space="0" w:color="000000"/>
              <w:left w:val="nil"/>
              <w:bottom w:val="nil"/>
              <w:right w:val="nil"/>
            </w:tcBorders>
          </w:tcPr>
          <w:p>
            <w:pPr/>
          </w:p>
        </w:tc>
        <w:tc>
          <w:tcPr>
            <w:tcW w:w="1119" w:type="dxa"/>
            <w:tcBorders>
              <w:top w:val="double" w:sz="4" w:space="0" w:color="000000"/>
              <w:left w:val="nil"/>
              <w:bottom w:val="nil"/>
              <w:right w:val="nil"/>
            </w:tcBorders>
          </w:tcPr>
          <w:p>
            <w:pPr/>
          </w:p>
        </w:tc>
      </w:tr>
      <w:tr>
        <w:trPr>
          <w:trHeight w:val="230" w:hRule="exact"/>
        </w:trPr>
        <w:tc>
          <w:tcPr>
            <w:tcW w:w="4187" w:type="dxa"/>
            <w:tcBorders>
              <w:top w:val="nil"/>
              <w:left w:val="nil"/>
              <w:bottom w:val="nil"/>
              <w:right w:val="nil"/>
            </w:tcBorders>
          </w:tcPr>
          <w:p>
            <w:pPr>
              <w:pStyle w:val="TableParagraph"/>
              <w:tabs>
                <w:tab w:pos="3973" w:val="right" w:leader="none"/>
              </w:tabs>
              <w:spacing w:line="216" w:lineRule="exact"/>
              <w:ind w:left="110"/>
              <w:jc w:val="left"/>
              <w:rPr>
                <w:sz w:val="19"/>
              </w:rPr>
            </w:pPr>
            <w:r>
              <w:rPr>
                <w:w w:val="105"/>
                <w:sz w:val="19"/>
              </w:rPr>
              <w:t>Agua entubada dentro de</w:t>
            </w:r>
            <w:r>
              <w:rPr>
                <w:spacing w:val="-1"/>
                <w:w w:val="105"/>
                <w:sz w:val="19"/>
              </w:rPr>
              <w:t> </w:t>
            </w:r>
            <w:r>
              <w:rPr>
                <w:w w:val="105"/>
                <w:sz w:val="19"/>
              </w:rPr>
              <w:t>vivienda</w:t>
              <w:tab/>
              <w:t>59.2</w:t>
            </w:r>
          </w:p>
        </w:tc>
        <w:tc>
          <w:tcPr>
            <w:tcW w:w="1184" w:type="dxa"/>
            <w:tcBorders>
              <w:top w:val="nil"/>
              <w:left w:val="nil"/>
              <w:bottom w:val="nil"/>
              <w:right w:val="nil"/>
            </w:tcBorders>
          </w:tcPr>
          <w:p>
            <w:pPr>
              <w:pStyle w:val="TableParagraph"/>
              <w:spacing w:line="216" w:lineRule="exact"/>
              <w:ind w:right="261"/>
              <w:rPr>
                <w:sz w:val="19"/>
              </w:rPr>
            </w:pPr>
            <w:r>
              <w:rPr>
                <w:sz w:val="19"/>
              </w:rPr>
              <w:t>51.0</w:t>
            </w:r>
          </w:p>
        </w:tc>
        <w:tc>
          <w:tcPr>
            <w:tcW w:w="1119" w:type="dxa"/>
            <w:tcBorders>
              <w:top w:val="nil"/>
              <w:left w:val="nil"/>
              <w:bottom w:val="nil"/>
              <w:right w:val="nil"/>
            </w:tcBorders>
          </w:tcPr>
          <w:p>
            <w:pPr>
              <w:pStyle w:val="TableParagraph"/>
              <w:spacing w:line="216" w:lineRule="exact"/>
              <w:ind w:right="106"/>
              <w:rPr>
                <w:sz w:val="19"/>
              </w:rPr>
            </w:pPr>
            <w:r>
              <w:rPr>
                <w:sz w:val="19"/>
              </w:rPr>
              <w:t>60.6</w:t>
            </w:r>
          </w:p>
        </w:tc>
      </w:tr>
      <w:tr>
        <w:trPr>
          <w:trHeight w:val="230" w:hRule="exact"/>
        </w:trPr>
        <w:tc>
          <w:tcPr>
            <w:tcW w:w="4187" w:type="dxa"/>
            <w:tcBorders>
              <w:top w:val="nil"/>
              <w:left w:val="nil"/>
              <w:bottom w:val="nil"/>
              <w:right w:val="nil"/>
            </w:tcBorders>
          </w:tcPr>
          <w:p>
            <w:pPr>
              <w:pStyle w:val="TableParagraph"/>
              <w:tabs>
                <w:tab w:pos="3973" w:val="right" w:leader="none"/>
              </w:tabs>
              <w:spacing w:line="216" w:lineRule="exact"/>
              <w:ind w:left="110"/>
              <w:jc w:val="left"/>
              <w:rPr>
                <w:sz w:val="19"/>
              </w:rPr>
            </w:pPr>
            <w:r>
              <w:rPr>
                <w:w w:val="105"/>
                <w:sz w:val="19"/>
              </w:rPr>
              <w:t>Agua entubada fuera de vivienda</w:t>
              <w:tab/>
              <w:t>36.8</w:t>
            </w:r>
          </w:p>
        </w:tc>
        <w:tc>
          <w:tcPr>
            <w:tcW w:w="1184" w:type="dxa"/>
            <w:tcBorders>
              <w:top w:val="nil"/>
              <w:left w:val="nil"/>
              <w:bottom w:val="nil"/>
              <w:right w:val="nil"/>
            </w:tcBorders>
          </w:tcPr>
          <w:p>
            <w:pPr>
              <w:pStyle w:val="TableParagraph"/>
              <w:spacing w:line="216" w:lineRule="exact"/>
              <w:ind w:right="261"/>
              <w:rPr>
                <w:sz w:val="19"/>
              </w:rPr>
            </w:pPr>
            <w:r>
              <w:rPr>
                <w:sz w:val="19"/>
              </w:rPr>
              <w:t>40.7</w:t>
            </w:r>
          </w:p>
        </w:tc>
        <w:tc>
          <w:tcPr>
            <w:tcW w:w="1119" w:type="dxa"/>
            <w:tcBorders>
              <w:top w:val="nil"/>
              <w:left w:val="nil"/>
              <w:bottom w:val="nil"/>
              <w:right w:val="nil"/>
            </w:tcBorders>
          </w:tcPr>
          <w:p>
            <w:pPr>
              <w:pStyle w:val="TableParagraph"/>
              <w:spacing w:line="216" w:lineRule="exact"/>
              <w:ind w:right="106"/>
              <w:rPr>
                <w:sz w:val="19"/>
              </w:rPr>
            </w:pPr>
            <w:r>
              <w:rPr>
                <w:sz w:val="19"/>
              </w:rPr>
              <w:t>35.2</w:t>
            </w:r>
          </w:p>
        </w:tc>
      </w:tr>
      <w:tr>
        <w:trPr>
          <w:trHeight w:val="230" w:hRule="exact"/>
        </w:trPr>
        <w:tc>
          <w:tcPr>
            <w:tcW w:w="4187" w:type="dxa"/>
            <w:tcBorders>
              <w:top w:val="nil"/>
              <w:left w:val="nil"/>
              <w:bottom w:val="nil"/>
              <w:right w:val="nil"/>
            </w:tcBorders>
          </w:tcPr>
          <w:p>
            <w:pPr>
              <w:pStyle w:val="TableParagraph"/>
              <w:tabs>
                <w:tab w:pos="3974" w:val="right" w:leader="none"/>
              </w:tabs>
              <w:spacing w:line="216" w:lineRule="exact"/>
              <w:ind w:left="110"/>
              <w:jc w:val="left"/>
              <w:rPr>
                <w:sz w:val="19"/>
              </w:rPr>
            </w:pPr>
            <w:r>
              <w:rPr>
                <w:w w:val="105"/>
                <w:sz w:val="19"/>
              </w:rPr>
              <w:t>Agua de pozo, río</w:t>
            </w:r>
            <w:r>
              <w:rPr>
                <w:spacing w:val="2"/>
                <w:w w:val="105"/>
                <w:sz w:val="19"/>
              </w:rPr>
              <w:t> </w:t>
            </w:r>
            <w:r>
              <w:rPr>
                <w:w w:val="105"/>
                <w:sz w:val="19"/>
              </w:rPr>
              <w:t>o</w:t>
            </w:r>
            <w:r>
              <w:rPr>
                <w:spacing w:val="1"/>
                <w:w w:val="105"/>
                <w:sz w:val="19"/>
              </w:rPr>
              <w:t> </w:t>
            </w:r>
            <w:r>
              <w:rPr>
                <w:w w:val="105"/>
                <w:sz w:val="19"/>
              </w:rPr>
              <w:t>arroyo</w:t>
              <w:tab/>
              <w:t>3.9</w:t>
            </w:r>
          </w:p>
        </w:tc>
        <w:tc>
          <w:tcPr>
            <w:tcW w:w="1184" w:type="dxa"/>
            <w:tcBorders>
              <w:top w:val="nil"/>
              <w:left w:val="nil"/>
              <w:bottom w:val="nil"/>
              <w:right w:val="nil"/>
            </w:tcBorders>
          </w:tcPr>
          <w:p>
            <w:pPr>
              <w:pStyle w:val="TableParagraph"/>
              <w:spacing w:line="216" w:lineRule="exact"/>
              <w:ind w:right="260"/>
              <w:rPr>
                <w:sz w:val="19"/>
              </w:rPr>
            </w:pPr>
            <w:r>
              <w:rPr>
                <w:sz w:val="19"/>
              </w:rPr>
              <w:t>4.1</w:t>
            </w:r>
          </w:p>
        </w:tc>
        <w:tc>
          <w:tcPr>
            <w:tcW w:w="1119" w:type="dxa"/>
            <w:tcBorders>
              <w:top w:val="nil"/>
              <w:left w:val="nil"/>
              <w:bottom w:val="nil"/>
              <w:right w:val="nil"/>
            </w:tcBorders>
          </w:tcPr>
          <w:p>
            <w:pPr>
              <w:pStyle w:val="TableParagraph"/>
              <w:spacing w:line="216" w:lineRule="exact"/>
              <w:ind w:right="105"/>
              <w:rPr>
                <w:sz w:val="19"/>
              </w:rPr>
            </w:pPr>
            <w:r>
              <w:rPr>
                <w:sz w:val="19"/>
              </w:rPr>
              <w:t>1.8</w:t>
            </w:r>
          </w:p>
        </w:tc>
      </w:tr>
      <w:tr>
        <w:trPr>
          <w:trHeight w:val="230" w:hRule="exact"/>
        </w:trPr>
        <w:tc>
          <w:tcPr>
            <w:tcW w:w="4187" w:type="dxa"/>
            <w:tcBorders>
              <w:top w:val="nil"/>
              <w:left w:val="nil"/>
              <w:bottom w:val="nil"/>
              <w:right w:val="nil"/>
            </w:tcBorders>
          </w:tcPr>
          <w:p>
            <w:pPr>
              <w:pStyle w:val="TableParagraph"/>
              <w:spacing w:line="216" w:lineRule="exact"/>
              <w:ind w:left="110"/>
              <w:jc w:val="left"/>
              <w:rPr>
                <w:i/>
                <w:sz w:val="19"/>
              </w:rPr>
            </w:pPr>
            <w:r>
              <w:rPr>
                <w:i/>
                <w:w w:val="105"/>
                <w:sz w:val="19"/>
              </w:rPr>
              <w:t>Sanitario en la vivienda</w:t>
            </w:r>
          </w:p>
        </w:tc>
        <w:tc>
          <w:tcPr>
            <w:tcW w:w="1184" w:type="dxa"/>
            <w:tcBorders>
              <w:top w:val="nil"/>
              <w:left w:val="nil"/>
              <w:bottom w:val="nil"/>
              <w:right w:val="nil"/>
            </w:tcBorders>
          </w:tcPr>
          <w:p>
            <w:pPr/>
          </w:p>
        </w:tc>
        <w:tc>
          <w:tcPr>
            <w:tcW w:w="1119" w:type="dxa"/>
            <w:tcBorders>
              <w:top w:val="nil"/>
              <w:left w:val="nil"/>
              <w:bottom w:val="nil"/>
              <w:right w:val="nil"/>
            </w:tcBorders>
          </w:tcPr>
          <w:p>
            <w:pPr/>
          </w:p>
        </w:tc>
      </w:tr>
      <w:tr>
        <w:trPr>
          <w:trHeight w:val="230" w:hRule="exact"/>
        </w:trPr>
        <w:tc>
          <w:tcPr>
            <w:tcW w:w="4187" w:type="dxa"/>
            <w:tcBorders>
              <w:top w:val="nil"/>
              <w:left w:val="nil"/>
              <w:bottom w:val="nil"/>
              <w:right w:val="nil"/>
            </w:tcBorders>
          </w:tcPr>
          <w:p>
            <w:pPr>
              <w:pStyle w:val="TableParagraph"/>
              <w:tabs>
                <w:tab w:pos="3973" w:val="right" w:leader="none"/>
              </w:tabs>
              <w:spacing w:line="216" w:lineRule="exact"/>
              <w:ind w:left="110"/>
              <w:jc w:val="left"/>
              <w:rPr>
                <w:sz w:val="19"/>
              </w:rPr>
            </w:pPr>
            <w:r>
              <w:rPr>
                <w:w w:val="105"/>
                <w:sz w:val="19"/>
              </w:rPr>
              <w:t>Excusado</w:t>
              <w:tab/>
              <w:t>88.9</w:t>
            </w:r>
          </w:p>
        </w:tc>
        <w:tc>
          <w:tcPr>
            <w:tcW w:w="1184" w:type="dxa"/>
            <w:tcBorders>
              <w:top w:val="nil"/>
              <w:left w:val="nil"/>
              <w:bottom w:val="nil"/>
              <w:right w:val="nil"/>
            </w:tcBorders>
          </w:tcPr>
          <w:p>
            <w:pPr>
              <w:pStyle w:val="TableParagraph"/>
              <w:spacing w:line="216" w:lineRule="exact"/>
              <w:ind w:right="261"/>
              <w:rPr>
                <w:sz w:val="19"/>
              </w:rPr>
            </w:pPr>
            <w:r>
              <w:rPr>
                <w:sz w:val="19"/>
              </w:rPr>
              <w:t>79.9</w:t>
            </w:r>
          </w:p>
        </w:tc>
        <w:tc>
          <w:tcPr>
            <w:tcW w:w="1119" w:type="dxa"/>
            <w:tcBorders>
              <w:top w:val="nil"/>
              <w:left w:val="nil"/>
              <w:bottom w:val="nil"/>
              <w:right w:val="nil"/>
            </w:tcBorders>
          </w:tcPr>
          <w:p>
            <w:pPr>
              <w:pStyle w:val="TableParagraph"/>
              <w:spacing w:line="216" w:lineRule="exact"/>
              <w:ind w:right="106"/>
              <w:rPr>
                <w:sz w:val="19"/>
              </w:rPr>
            </w:pPr>
            <w:r>
              <w:rPr>
                <w:sz w:val="19"/>
              </w:rPr>
              <w:t>90.4</w:t>
            </w:r>
          </w:p>
        </w:tc>
      </w:tr>
      <w:tr>
        <w:trPr>
          <w:trHeight w:val="230" w:hRule="exact"/>
        </w:trPr>
        <w:tc>
          <w:tcPr>
            <w:tcW w:w="4187" w:type="dxa"/>
            <w:tcBorders>
              <w:top w:val="nil"/>
              <w:left w:val="nil"/>
              <w:bottom w:val="nil"/>
              <w:right w:val="nil"/>
            </w:tcBorders>
          </w:tcPr>
          <w:p>
            <w:pPr>
              <w:pStyle w:val="TableParagraph"/>
              <w:tabs>
                <w:tab w:pos="3974" w:val="right" w:leader="none"/>
              </w:tabs>
              <w:spacing w:line="216" w:lineRule="exact"/>
              <w:ind w:left="110"/>
              <w:jc w:val="left"/>
              <w:rPr>
                <w:sz w:val="19"/>
              </w:rPr>
            </w:pPr>
            <w:r>
              <w:rPr>
                <w:w w:val="105"/>
                <w:sz w:val="19"/>
              </w:rPr>
              <w:t>Retrete o</w:t>
            </w:r>
            <w:r>
              <w:rPr>
                <w:spacing w:val="1"/>
                <w:w w:val="105"/>
                <w:sz w:val="19"/>
              </w:rPr>
              <w:t> </w:t>
            </w:r>
            <w:r>
              <w:rPr>
                <w:w w:val="105"/>
                <w:sz w:val="19"/>
              </w:rPr>
              <w:t>fosa</w:t>
              <w:tab/>
              <w:t>6.8</w:t>
            </w:r>
          </w:p>
        </w:tc>
        <w:tc>
          <w:tcPr>
            <w:tcW w:w="1184" w:type="dxa"/>
            <w:tcBorders>
              <w:top w:val="nil"/>
              <w:left w:val="nil"/>
              <w:bottom w:val="nil"/>
              <w:right w:val="nil"/>
            </w:tcBorders>
          </w:tcPr>
          <w:p>
            <w:pPr>
              <w:pStyle w:val="TableParagraph"/>
              <w:spacing w:line="216" w:lineRule="exact"/>
              <w:ind w:right="261"/>
              <w:rPr>
                <w:sz w:val="19"/>
              </w:rPr>
            </w:pPr>
            <w:r>
              <w:rPr>
                <w:sz w:val="19"/>
              </w:rPr>
              <w:t>15.8</w:t>
            </w:r>
          </w:p>
        </w:tc>
        <w:tc>
          <w:tcPr>
            <w:tcW w:w="1119" w:type="dxa"/>
            <w:tcBorders>
              <w:top w:val="nil"/>
              <w:left w:val="nil"/>
              <w:bottom w:val="nil"/>
              <w:right w:val="nil"/>
            </w:tcBorders>
          </w:tcPr>
          <w:p>
            <w:pPr>
              <w:pStyle w:val="TableParagraph"/>
              <w:spacing w:line="216" w:lineRule="exact"/>
              <w:ind w:right="105"/>
              <w:rPr>
                <w:sz w:val="19"/>
              </w:rPr>
            </w:pPr>
            <w:r>
              <w:rPr>
                <w:sz w:val="19"/>
              </w:rPr>
              <w:t>5.3</w:t>
            </w:r>
          </w:p>
        </w:tc>
      </w:tr>
      <w:tr>
        <w:trPr>
          <w:trHeight w:val="228" w:hRule="exact"/>
        </w:trPr>
        <w:tc>
          <w:tcPr>
            <w:tcW w:w="4187" w:type="dxa"/>
            <w:tcBorders>
              <w:top w:val="nil"/>
              <w:left w:val="nil"/>
              <w:bottom w:val="nil"/>
              <w:right w:val="nil"/>
            </w:tcBorders>
          </w:tcPr>
          <w:p>
            <w:pPr>
              <w:pStyle w:val="TableParagraph"/>
              <w:tabs>
                <w:tab w:pos="3725" w:val="left" w:leader="none"/>
              </w:tabs>
              <w:spacing w:line="216" w:lineRule="exact"/>
              <w:ind w:left="110"/>
              <w:jc w:val="left"/>
              <w:rPr>
                <w:sz w:val="19"/>
              </w:rPr>
            </w:pPr>
            <w:r>
              <w:rPr>
                <w:w w:val="105"/>
                <w:sz w:val="19"/>
              </w:rPr>
              <w:t>Letrina</w:t>
              <w:tab/>
              <w:t>2.0</w:t>
            </w:r>
          </w:p>
        </w:tc>
        <w:tc>
          <w:tcPr>
            <w:tcW w:w="1184" w:type="dxa"/>
            <w:tcBorders>
              <w:top w:val="nil"/>
              <w:left w:val="nil"/>
              <w:bottom w:val="nil"/>
              <w:right w:val="nil"/>
            </w:tcBorders>
          </w:tcPr>
          <w:p>
            <w:pPr>
              <w:pStyle w:val="TableParagraph"/>
              <w:spacing w:line="216" w:lineRule="exact"/>
              <w:ind w:right="260"/>
              <w:rPr>
                <w:sz w:val="19"/>
              </w:rPr>
            </w:pPr>
            <w:r>
              <w:rPr>
                <w:sz w:val="19"/>
              </w:rPr>
              <w:t>1.4</w:t>
            </w:r>
          </w:p>
        </w:tc>
        <w:tc>
          <w:tcPr>
            <w:tcW w:w="1119" w:type="dxa"/>
            <w:tcBorders>
              <w:top w:val="nil"/>
              <w:left w:val="nil"/>
              <w:bottom w:val="nil"/>
              <w:right w:val="nil"/>
            </w:tcBorders>
          </w:tcPr>
          <w:p>
            <w:pPr>
              <w:pStyle w:val="TableParagraph"/>
              <w:spacing w:line="216" w:lineRule="exact"/>
              <w:ind w:right="105"/>
              <w:rPr>
                <w:sz w:val="19"/>
              </w:rPr>
            </w:pPr>
            <w:r>
              <w:rPr>
                <w:sz w:val="19"/>
              </w:rPr>
              <w:t>2.1</w:t>
            </w:r>
          </w:p>
        </w:tc>
      </w:tr>
      <w:tr>
        <w:trPr>
          <w:trHeight w:val="228" w:hRule="exact"/>
        </w:trPr>
        <w:tc>
          <w:tcPr>
            <w:tcW w:w="4187" w:type="dxa"/>
            <w:tcBorders>
              <w:top w:val="nil"/>
              <w:left w:val="nil"/>
              <w:bottom w:val="nil"/>
              <w:right w:val="nil"/>
            </w:tcBorders>
          </w:tcPr>
          <w:p>
            <w:pPr>
              <w:pStyle w:val="TableParagraph"/>
              <w:tabs>
                <w:tab w:pos="3974" w:val="right" w:leader="none"/>
              </w:tabs>
              <w:spacing w:line="214" w:lineRule="exact"/>
              <w:ind w:left="110"/>
              <w:jc w:val="left"/>
              <w:rPr>
                <w:sz w:val="19"/>
              </w:rPr>
            </w:pPr>
            <w:r>
              <w:rPr>
                <w:w w:val="105"/>
                <w:sz w:val="19"/>
              </w:rPr>
              <w:t>Hoyo</w:t>
            </w:r>
            <w:r>
              <w:rPr>
                <w:spacing w:val="1"/>
                <w:w w:val="105"/>
                <w:sz w:val="19"/>
              </w:rPr>
              <w:t> </w:t>
            </w:r>
            <w:r>
              <w:rPr>
                <w:w w:val="105"/>
                <w:sz w:val="19"/>
              </w:rPr>
              <w:t>negro</w:t>
              <w:tab/>
              <w:t>0.5</w:t>
            </w:r>
          </w:p>
        </w:tc>
        <w:tc>
          <w:tcPr>
            <w:tcW w:w="1184" w:type="dxa"/>
            <w:tcBorders>
              <w:top w:val="nil"/>
              <w:left w:val="nil"/>
              <w:bottom w:val="nil"/>
              <w:right w:val="nil"/>
            </w:tcBorders>
          </w:tcPr>
          <w:p>
            <w:pPr>
              <w:pStyle w:val="TableParagraph"/>
              <w:spacing w:line="214" w:lineRule="exact"/>
              <w:ind w:right="260"/>
              <w:rPr>
                <w:sz w:val="19"/>
              </w:rPr>
            </w:pPr>
            <w:r>
              <w:rPr>
                <w:sz w:val="19"/>
              </w:rPr>
              <w:t>0.7</w:t>
            </w:r>
          </w:p>
        </w:tc>
        <w:tc>
          <w:tcPr>
            <w:tcW w:w="1119" w:type="dxa"/>
            <w:tcBorders>
              <w:top w:val="nil"/>
              <w:left w:val="nil"/>
              <w:bottom w:val="nil"/>
              <w:right w:val="nil"/>
            </w:tcBorders>
          </w:tcPr>
          <w:p>
            <w:pPr>
              <w:pStyle w:val="TableParagraph"/>
              <w:spacing w:line="214" w:lineRule="exact"/>
              <w:ind w:right="105"/>
              <w:rPr>
                <w:sz w:val="19"/>
              </w:rPr>
            </w:pPr>
            <w:r>
              <w:rPr>
                <w:sz w:val="19"/>
              </w:rPr>
              <w:t>0.5</w:t>
            </w:r>
          </w:p>
        </w:tc>
      </w:tr>
      <w:tr>
        <w:trPr>
          <w:trHeight w:val="230" w:hRule="exact"/>
        </w:trPr>
        <w:tc>
          <w:tcPr>
            <w:tcW w:w="4187" w:type="dxa"/>
            <w:tcBorders>
              <w:top w:val="nil"/>
              <w:left w:val="nil"/>
              <w:bottom w:val="nil"/>
              <w:right w:val="nil"/>
            </w:tcBorders>
          </w:tcPr>
          <w:p>
            <w:pPr>
              <w:pStyle w:val="TableParagraph"/>
              <w:tabs>
                <w:tab w:pos="3974" w:val="right" w:leader="none"/>
              </w:tabs>
              <w:spacing w:line="216" w:lineRule="exact"/>
              <w:ind w:left="110"/>
              <w:jc w:val="left"/>
              <w:rPr>
                <w:sz w:val="19"/>
              </w:rPr>
            </w:pPr>
            <w:r>
              <w:rPr>
                <w:w w:val="105"/>
                <w:sz w:val="19"/>
              </w:rPr>
              <w:t>Sin</w:t>
            </w:r>
            <w:r>
              <w:rPr>
                <w:spacing w:val="1"/>
                <w:w w:val="105"/>
                <w:sz w:val="19"/>
              </w:rPr>
              <w:t> </w:t>
            </w:r>
            <w:r>
              <w:rPr>
                <w:w w:val="105"/>
                <w:sz w:val="19"/>
              </w:rPr>
              <w:t>servicio</w:t>
            </w:r>
            <w:r>
              <w:rPr>
                <w:spacing w:val="1"/>
                <w:w w:val="105"/>
                <w:sz w:val="19"/>
              </w:rPr>
              <w:t> </w:t>
            </w:r>
            <w:r>
              <w:rPr>
                <w:w w:val="105"/>
                <w:sz w:val="19"/>
              </w:rPr>
              <w:t>sanitario</w:t>
              <w:tab/>
              <w:t>1.8</w:t>
            </w:r>
          </w:p>
        </w:tc>
        <w:tc>
          <w:tcPr>
            <w:tcW w:w="1184" w:type="dxa"/>
            <w:tcBorders>
              <w:top w:val="nil"/>
              <w:left w:val="nil"/>
              <w:bottom w:val="nil"/>
              <w:right w:val="nil"/>
            </w:tcBorders>
          </w:tcPr>
          <w:p>
            <w:pPr>
              <w:pStyle w:val="TableParagraph"/>
              <w:spacing w:line="216" w:lineRule="exact"/>
              <w:ind w:right="260"/>
              <w:rPr>
                <w:sz w:val="19"/>
              </w:rPr>
            </w:pPr>
            <w:r>
              <w:rPr>
                <w:sz w:val="19"/>
              </w:rPr>
              <w:t>2.3</w:t>
            </w:r>
          </w:p>
        </w:tc>
        <w:tc>
          <w:tcPr>
            <w:tcW w:w="1119" w:type="dxa"/>
            <w:tcBorders>
              <w:top w:val="nil"/>
              <w:left w:val="nil"/>
              <w:bottom w:val="nil"/>
              <w:right w:val="nil"/>
            </w:tcBorders>
          </w:tcPr>
          <w:p>
            <w:pPr>
              <w:pStyle w:val="TableParagraph"/>
              <w:spacing w:line="216" w:lineRule="exact"/>
              <w:ind w:right="105"/>
              <w:rPr>
                <w:sz w:val="19"/>
              </w:rPr>
            </w:pPr>
            <w:r>
              <w:rPr>
                <w:sz w:val="19"/>
              </w:rPr>
              <w:t>1.7</w:t>
            </w:r>
          </w:p>
        </w:tc>
      </w:tr>
      <w:tr>
        <w:trPr>
          <w:trHeight w:val="230" w:hRule="exact"/>
        </w:trPr>
        <w:tc>
          <w:tcPr>
            <w:tcW w:w="4187" w:type="dxa"/>
            <w:tcBorders>
              <w:top w:val="nil"/>
              <w:left w:val="nil"/>
              <w:bottom w:val="nil"/>
              <w:right w:val="nil"/>
            </w:tcBorders>
          </w:tcPr>
          <w:p>
            <w:pPr>
              <w:pStyle w:val="TableParagraph"/>
              <w:spacing w:line="216" w:lineRule="exact"/>
              <w:ind w:left="110"/>
              <w:jc w:val="left"/>
              <w:rPr>
                <w:i/>
                <w:sz w:val="19"/>
              </w:rPr>
            </w:pPr>
            <w:r>
              <w:rPr>
                <w:i/>
                <w:w w:val="105"/>
                <w:sz w:val="19"/>
              </w:rPr>
              <w:t>Desagüe de aguas sucias</w:t>
            </w:r>
          </w:p>
        </w:tc>
        <w:tc>
          <w:tcPr>
            <w:tcW w:w="1184" w:type="dxa"/>
            <w:tcBorders>
              <w:top w:val="nil"/>
              <w:left w:val="nil"/>
              <w:bottom w:val="nil"/>
              <w:right w:val="nil"/>
            </w:tcBorders>
          </w:tcPr>
          <w:p>
            <w:pPr/>
          </w:p>
        </w:tc>
        <w:tc>
          <w:tcPr>
            <w:tcW w:w="1119" w:type="dxa"/>
            <w:tcBorders>
              <w:top w:val="nil"/>
              <w:left w:val="nil"/>
              <w:bottom w:val="nil"/>
              <w:right w:val="nil"/>
            </w:tcBorders>
          </w:tcPr>
          <w:p>
            <w:pPr/>
          </w:p>
        </w:tc>
      </w:tr>
      <w:tr>
        <w:trPr>
          <w:trHeight w:val="230" w:hRule="exact"/>
        </w:trPr>
        <w:tc>
          <w:tcPr>
            <w:tcW w:w="4187" w:type="dxa"/>
            <w:tcBorders>
              <w:top w:val="nil"/>
              <w:left w:val="nil"/>
              <w:bottom w:val="nil"/>
              <w:right w:val="nil"/>
            </w:tcBorders>
          </w:tcPr>
          <w:p>
            <w:pPr>
              <w:pStyle w:val="TableParagraph"/>
              <w:tabs>
                <w:tab w:pos="3973" w:val="right" w:leader="none"/>
              </w:tabs>
              <w:spacing w:line="216" w:lineRule="exact"/>
              <w:ind w:left="110"/>
              <w:jc w:val="left"/>
              <w:rPr>
                <w:sz w:val="19"/>
              </w:rPr>
            </w:pPr>
            <w:r>
              <w:rPr>
                <w:w w:val="105"/>
                <w:sz w:val="19"/>
              </w:rPr>
              <w:t>A la</w:t>
            </w:r>
            <w:r>
              <w:rPr>
                <w:spacing w:val="1"/>
                <w:w w:val="105"/>
                <w:sz w:val="19"/>
              </w:rPr>
              <w:t> </w:t>
            </w:r>
            <w:r>
              <w:rPr>
                <w:w w:val="105"/>
                <w:sz w:val="19"/>
              </w:rPr>
              <w:t>red</w:t>
            </w:r>
            <w:r>
              <w:rPr>
                <w:spacing w:val="1"/>
                <w:w w:val="105"/>
                <w:sz w:val="19"/>
              </w:rPr>
              <w:t> </w:t>
            </w:r>
            <w:r>
              <w:rPr>
                <w:w w:val="105"/>
                <w:sz w:val="19"/>
              </w:rPr>
              <w:t>pública</w:t>
              <w:tab/>
              <w:t>85.6</w:t>
            </w:r>
          </w:p>
        </w:tc>
        <w:tc>
          <w:tcPr>
            <w:tcW w:w="1184" w:type="dxa"/>
            <w:tcBorders>
              <w:top w:val="nil"/>
              <w:left w:val="nil"/>
              <w:bottom w:val="nil"/>
              <w:right w:val="nil"/>
            </w:tcBorders>
          </w:tcPr>
          <w:p>
            <w:pPr>
              <w:pStyle w:val="TableParagraph"/>
              <w:spacing w:line="216" w:lineRule="exact"/>
              <w:ind w:right="261"/>
              <w:rPr>
                <w:sz w:val="19"/>
              </w:rPr>
            </w:pPr>
            <w:r>
              <w:rPr>
                <w:sz w:val="19"/>
              </w:rPr>
              <w:t>73.7</w:t>
            </w:r>
          </w:p>
        </w:tc>
        <w:tc>
          <w:tcPr>
            <w:tcW w:w="1119" w:type="dxa"/>
            <w:tcBorders>
              <w:top w:val="nil"/>
              <w:left w:val="nil"/>
              <w:bottom w:val="nil"/>
              <w:right w:val="nil"/>
            </w:tcBorders>
          </w:tcPr>
          <w:p>
            <w:pPr>
              <w:pStyle w:val="TableParagraph"/>
              <w:spacing w:line="216" w:lineRule="exact"/>
              <w:ind w:right="106"/>
              <w:rPr>
                <w:sz w:val="19"/>
              </w:rPr>
            </w:pPr>
            <w:r>
              <w:rPr>
                <w:sz w:val="19"/>
              </w:rPr>
              <w:t>87.7</w:t>
            </w:r>
          </w:p>
        </w:tc>
      </w:tr>
      <w:tr>
        <w:trPr>
          <w:trHeight w:val="230" w:hRule="exact"/>
        </w:trPr>
        <w:tc>
          <w:tcPr>
            <w:tcW w:w="4187" w:type="dxa"/>
            <w:tcBorders>
              <w:top w:val="nil"/>
              <w:left w:val="nil"/>
              <w:bottom w:val="nil"/>
              <w:right w:val="nil"/>
            </w:tcBorders>
          </w:tcPr>
          <w:p>
            <w:pPr>
              <w:pStyle w:val="TableParagraph"/>
              <w:tabs>
                <w:tab w:pos="3974" w:val="right" w:leader="none"/>
              </w:tabs>
              <w:spacing w:line="216" w:lineRule="exact"/>
              <w:ind w:left="110"/>
              <w:jc w:val="left"/>
              <w:rPr>
                <w:sz w:val="19"/>
              </w:rPr>
            </w:pPr>
            <w:r>
              <w:rPr>
                <w:w w:val="105"/>
                <w:sz w:val="19"/>
              </w:rPr>
              <w:t>A una</w:t>
            </w:r>
            <w:r>
              <w:rPr>
                <w:spacing w:val="1"/>
                <w:w w:val="105"/>
                <w:sz w:val="19"/>
              </w:rPr>
              <w:t> </w:t>
            </w:r>
            <w:r>
              <w:rPr>
                <w:w w:val="105"/>
                <w:sz w:val="19"/>
              </w:rPr>
              <w:t>fosa séptica</w:t>
              <w:tab/>
              <w:t>7.7</w:t>
            </w:r>
          </w:p>
        </w:tc>
        <w:tc>
          <w:tcPr>
            <w:tcW w:w="1184" w:type="dxa"/>
            <w:tcBorders>
              <w:top w:val="nil"/>
              <w:left w:val="nil"/>
              <w:bottom w:val="nil"/>
              <w:right w:val="nil"/>
            </w:tcBorders>
          </w:tcPr>
          <w:p>
            <w:pPr>
              <w:pStyle w:val="TableParagraph"/>
              <w:spacing w:line="216" w:lineRule="exact"/>
              <w:ind w:right="261"/>
              <w:rPr>
                <w:sz w:val="19"/>
              </w:rPr>
            </w:pPr>
            <w:r>
              <w:rPr>
                <w:sz w:val="19"/>
              </w:rPr>
              <w:t>16.7</w:t>
            </w:r>
          </w:p>
        </w:tc>
        <w:tc>
          <w:tcPr>
            <w:tcW w:w="1119" w:type="dxa"/>
            <w:tcBorders>
              <w:top w:val="nil"/>
              <w:left w:val="nil"/>
              <w:bottom w:val="nil"/>
              <w:right w:val="nil"/>
            </w:tcBorders>
          </w:tcPr>
          <w:p>
            <w:pPr>
              <w:pStyle w:val="TableParagraph"/>
              <w:spacing w:line="216" w:lineRule="exact"/>
              <w:ind w:right="105"/>
              <w:rPr>
                <w:sz w:val="19"/>
              </w:rPr>
            </w:pPr>
            <w:r>
              <w:rPr>
                <w:sz w:val="19"/>
              </w:rPr>
              <w:t>6.2</w:t>
            </w:r>
          </w:p>
        </w:tc>
      </w:tr>
      <w:tr>
        <w:trPr>
          <w:trHeight w:val="230" w:hRule="exact"/>
        </w:trPr>
        <w:tc>
          <w:tcPr>
            <w:tcW w:w="4187" w:type="dxa"/>
            <w:tcBorders>
              <w:top w:val="nil"/>
              <w:left w:val="nil"/>
              <w:bottom w:val="nil"/>
              <w:right w:val="nil"/>
            </w:tcBorders>
          </w:tcPr>
          <w:p>
            <w:pPr>
              <w:pStyle w:val="TableParagraph"/>
              <w:tabs>
                <w:tab w:pos="3974" w:val="right" w:leader="none"/>
              </w:tabs>
              <w:spacing w:line="216" w:lineRule="exact"/>
              <w:ind w:left="110"/>
              <w:jc w:val="left"/>
              <w:rPr>
                <w:sz w:val="19"/>
              </w:rPr>
            </w:pPr>
            <w:r>
              <w:rPr>
                <w:w w:val="105"/>
                <w:sz w:val="19"/>
              </w:rPr>
              <w:t>A</w:t>
            </w:r>
            <w:r>
              <w:rPr>
                <w:spacing w:val="1"/>
                <w:w w:val="105"/>
                <w:sz w:val="19"/>
              </w:rPr>
              <w:t> </w:t>
            </w:r>
            <w:r>
              <w:rPr>
                <w:w w:val="105"/>
                <w:sz w:val="19"/>
              </w:rPr>
              <w:t>barranca</w:t>
              <w:tab/>
              <w:t>1.4</w:t>
            </w:r>
          </w:p>
        </w:tc>
        <w:tc>
          <w:tcPr>
            <w:tcW w:w="1184" w:type="dxa"/>
            <w:tcBorders>
              <w:top w:val="nil"/>
              <w:left w:val="nil"/>
              <w:bottom w:val="nil"/>
              <w:right w:val="nil"/>
            </w:tcBorders>
          </w:tcPr>
          <w:p>
            <w:pPr>
              <w:pStyle w:val="TableParagraph"/>
              <w:spacing w:line="216" w:lineRule="exact"/>
              <w:ind w:right="260"/>
              <w:rPr>
                <w:sz w:val="19"/>
              </w:rPr>
            </w:pPr>
            <w:r>
              <w:rPr>
                <w:sz w:val="19"/>
              </w:rPr>
              <w:t>1.8</w:t>
            </w:r>
          </w:p>
        </w:tc>
        <w:tc>
          <w:tcPr>
            <w:tcW w:w="1119" w:type="dxa"/>
            <w:tcBorders>
              <w:top w:val="nil"/>
              <w:left w:val="nil"/>
              <w:bottom w:val="nil"/>
              <w:right w:val="nil"/>
            </w:tcBorders>
          </w:tcPr>
          <w:p>
            <w:pPr>
              <w:pStyle w:val="TableParagraph"/>
              <w:spacing w:line="216" w:lineRule="exact"/>
              <w:ind w:right="105"/>
              <w:rPr>
                <w:sz w:val="19"/>
              </w:rPr>
            </w:pPr>
            <w:r>
              <w:rPr>
                <w:sz w:val="19"/>
              </w:rPr>
              <w:t>1.3</w:t>
            </w:r>
          </w:p>
        </w:tc>
      </w:tr>
      <w:tr>
        <w:trPr>
          <w:trHeight w:val="230" w:hRule="exact"/>
        </w:trPr>
        <w:tc>
          <w:tcPr>
            <w:tcW w:w="4187" w:type="dxa"/>
            <w:tcBorders>
              <w:top w:val="nil"/>
              <w:left w:val="nil"/>
              <w:bottom w:val="nil"/>
              <w:right w:val="nil"/>
            </w:tcBorders>
          </w:tcPr>
          <w:p>
            <w:pPr>
              <w:pStyle w:val="TableParagraph"/>
              <w:tabs>
                <w:tab w:pos="3974" w:val="right" w:leader="none"/>
              </w:tabs>
              <w:spacing w:line="216" w:lineRule="exact"/>
              <w:ind w:left="110"/>
              <w:jc w:val="left"/>
              <w:rPr>
                <w:sz w:val="19"/>
              </w:rPr>
            </w:pPr>
            <w:r>
              <w:rPr>
                <w:w w:val="105"/>
                <w:sz w:val="19"/>
              </w:rPr>
              <w:t>A río, lago</w:t>
            </w:r>
            <w:r>
              <w:rPr>
                <w:spacing w:val="3"/>
                <w:w w:val="105"/>
                <w:sz w:val="19"/>
              </w:rPr>
              <w:t> </w:t>
            </w:r>
            <w:r>
              <w:rPr>
                <w:w w:val="105"/>
                <w:sz w:val="19"/>
              </w:rPr>
              <w:t>o</w:t>
            </w:r>
            <w:r>
              <w:rPr>
                <w:spacing w:val="1"/>
                <w:w w:val="105"/>
                <w:sz w:val="19"/>
              </w:rPr>
              <w:t> </w:t>
            </w:r>
            <w:r>
              <w:rPr>
                <w:w w:val="105"/>
                <w:sz w:val="19"/>
              </w:rPr>
              <w:t>mar</w:t>
              <w:tab/>
              <w:t>0.8</w:t>
            </w:r>
          </w:p>
        </w:tc>
        <w:tc>
          <w:tcPr>
            <w:tcW w:w="1184" w:type="dxa"/>
            <w:tcBorders>
              <w:top w:val="nil"/>
              <w:left w:val="nil"/>
              <w:bottom w:val="nil"/>
              <w:right w:val="nil"/>
            </w:tcBorders>
          </w:tcPr>
          <w:p>
            <w:pPr>
              <w:pStyle w:val="TableParagraph"/>
              <w:spacing w:line="216" w:lineRule="exact"/>
              <w:ind w:right="260"/>
              <w:rPr>
                <w:sz w:val="19"/>
              </w:rPr>
            </w:pPr>
            <w:r>
              <w:rPr>
                <w:sz w:val="19"/>
              </w:rPr>
              <w:t>0.3</w:t>
            </w:r>
          </w:p>
        </w:tc>
        <w:tc>
          <w:tcPr>
            <w:tcW w:w="1119" w:type="dxa"/>
            <w:tcBorders>
              <w:top w:val="nil"/>
              <w:left w:val="nil"/>
              <w:bottom w:val="nil"/>
              <w:right w:val="nil"/>
            </w:tcBorders>
          </w:tcPr>
          <w:p>
            <w:pPr>
              <w:pStyle w:val="TableParagraph"/>
              <w:spacing w:line="216" w:lineRule="exact"/>
              <w:ind w:right="105"/>
              <w:rPr>
                <w:sz w:val="19"/>
              </w:rPr>
            </w:pPr>
            <w:r>
              <w:rPr>
                <w:sz w:val="19"/>
              </w:rPr>
              <w:t>0.8</w:t>
            </w:r>
          </w:p>
        </w:tc>
      </w:tr>
      <w:tr>
        <w:trPr>
          <w:trHeight w:val="230" w:hRule="exact"/>
        </w:trPr>
        <w:tc>
          <w:tcPr>
            <w:tcW w:w="4187" w:type="dxa"/>
            <w:tcBorders>
              <w:top w:val="nil"/>
              <w:left w:val="nil"/>
              <w:bottom w:val="nil"/>
              <w:right w:val="nil"/>
            </w:tcBorders>
          </w:tcPr>
          <w:p>
            <w:pPr>
              <w:pStyle w:val="TableParagraph"/>
              <w:tabs>
                <w:tab w:pos="3974" w:val="right" w:leader="none"/>
              </w:tabs>
              <w:spacing w:line="216" w:lineRule="exact"/>
              <w:ind w:left="110"/>
              <w:jc w:val="left"/>
              <w:rPr>
                <w:sz w:val="19"/>
              </w:rPr>
            </w:pPr>
            <w:r>
              <w:rPr>
                <w:w w:val="105"/>
                <w:sz w:val="19"/>
              </w:rPr>
              <w:t>Sin</w:t>
            </w:r>
            <w:r>
              <w:rPr>
                <w:spacing w:val="1"/>
                <w:w w:val="105"/>
                <w:sz w:val="19"/>
              </w:rPr>
              <w:t> </w:t>
            </w:r>
            <w:r>
              <w:rPr>
                <w:w w:val="105"/>
                <w:sz w:val="19"/>
              </w:rPr>
              <w:t>drenaje</w:t>
              <w:tab/>
              <w:t>4.6</w:t>
            </w:r>
          </w:p>
        </w:tc>
        <w:tc>
          <w:tcPr>
            <w:tcW w:w="1184" w:type="dxa"/>
            <w:tcBorders>
              <w:top w:val="nil"/>
              <w:left w:val="nil"/>
              <w:bottom w:val="nil"/>
              <w:right w:val="nil"/>
            </w:tcBorders>
          </w:tcPr>
          <w:p>
            <w:pPr>
              <w:pStyle w:val="TableParagraph"/>
              <w:spacing w:line="216" w:lineRule="exact"/>
              <w:ind w:right="260"/>
              <w:rPr>
                <w:sz w:val="19"/>
              </w:rPr>
            </w:pPr>
            <w:r>
              <w:rPr>
                <w:sz w:val="19"/>
              </w:rPr>
              <w:t>7.5</w:t>
            </w:r>
          </w:p>
        </w:tc>
        <w:tc>
          <w:tcPr>
            <w:tcW w:w="1119" w:type="dxa"/>
            <w:tcBorders>
              <w:top w:val="nil"/>
              <w:left w:val="nil"/>
              <w:bottom w:val="nil"/>
              <w:right w:val="nil"/>
            </w:tcBorders>
          </w:tcPr>
          <w:p>
            <w:pPr>
              <w:pStyle w:val="TableParagraph"/>
              <w:spacing w:line="216" w:lineRule="exact"/>
              <w:ind w:right="105"/>
              <w:rPr>
                <w:sz w:val="19"/>
              </w:rPr>
            </w:pPr>
            <w:r>
              <w:rPr>
                <w:sz w:val="19"/>
              </w:rPr>
              <w:t>4.1</w:t>
            </w:r>
          </w:p>
        </w:tc>
      </w:tr>
      <w:tr>
        <w:trPr>
          <w:trHeight w:val="230" w:hRule="exact"/>
        </w:trPr>
        <w:tc>
          <w:tcPr>
            <w:tcW w:w="4187" w:type="dxa"/>
            <w:tcBorders>
              <w:top w:val="nil"/>
              <w:left w:val="nil"/>
              <w:bottom w:val="nil"/>
              <w:right w:val="nil"/>
            </w:tcBorders>
          </w:tcPr>
          <w:p>
            <w:pPr>
              <w:pStyle w:val="TableParagraph"/>
              <w:spacing w:line="216" w:lineRule="exact"/>
              <w:ind w:left="110"/>
              <w:jc w:val="left"/>
              <w:rPr>
                <w:i/>
                <w:sz w:val="19"/>
              </w:rPr>
            </w:pPr>
            <w:r>
              <w:rPr>
                <w:i/>
                <w:w w:val="105"/>
                <w:sz w:val="19"/>
              </w:rPr>
              <w:t>Electricidad en la vivienda</w:t>
            </w:r>
          </w:p>
        </w:tc>
        <w:tc>
          <w:tcPr>
            <w:tcW w:w="1184" w:type="dxa"/>
            <w:tcBorders>
              <w:top w:val="nil"/>
              <w:left w:val="nil"/>
              <w:bottom w:val="nil"/>
              <w:right w:val="nil"/>
            </w:tcBorders>
          </w:tcPr>
          <w:p>
            <w:pPr/>
          </w:p>
        </w:tc>
        <w:tc>
          <w:tcPr>
            <w:tcW w:w="1119" w:type="dxa"/>
            <w:tcBorders>
              <w:top w:val="nil"/>
              <w:left w:val="nil"/>
              <w:bottom w:val="nil"/>
              <w:right w:val="nil"/>
            </w:tcBorders>
          </w:tcPr>
          <w:p>
            <w:pPr/>
          </w:p>
        </w:tc>
      </w:tr>
      <w:tr>
        <w:trPr>
          <w:trHeight w:val="230" w:hRule="exact"/>
        </w:trPr>
        <w:tc>
          <w:tcPr>
            <w:tcW w:w="4187" w:type="dxa"/>
            <w:tcBorders>
              <w:top w:val="nil"/>
              <w:left w:val="nil"/>
              <w:bottom w:val="nil"/>
              <w:right w:val="nil"/>
            </w:tcBorders>
          </w:tcPr>
          <w:p>
            <w:pPr>
              <w:pStyle w:val="TableParagraph"/>
              <w:tabs>
                <w:tab w:pos="3625" w:val="left" w:leader="none"/>
              </w:tabs>
              <w:spacing w:line="216" w:lineRule="exact"/>
              <w:ind w:left="110"/>
              <w:jc w:val="left"/>
              <w:rPr>
                <w:sz w:val="19"/>
              </w:rPr>
            </w:pPr>
            <w:r>
              <w:rPr>
                <w:w w:val="105"/>
                <w:sz w:val="19"/>
              </w:rPr>
              <w:t>Sí</w:t>
              <w:tab/>
              <w:t>99.0</w:t>
            </w:r>
          </w:p>
        </w:tc>
        <w:tc>
          <w:tcPr>
            <w:tcW w:w="1184" w:type="dxa"/>
            <w:tcBorders>
              <w:top w:val="nil"/>
              <w:left w:val="nil"/>
              <w:bottom w:val="nil"/>
              <w:right w:val="nil"/>
            </w:tcBorders>
          </w:tcPr>
          <w:p>
            <w:pPr>
              <w:pStyle w:val="TableParagraph"/>
              <w:spacing w:line="216" w:lineRule="exact"/>
              <w:ind w:right="261"/>
              <w:rPr>
                <w:sz w:val="19"/>
              </w:rPr>
            </w:pPr>
            <w:r>
              <w:rPr>
                <w:sz w:val="19"/>
              </w:rPr>
              <w:t>99.1</w:t>
            </w:r>
          </w:p>
        </w:tc>
        <w:tc>
          <w:tcPr>
            <w:tcW w:w="1119" w:type="dxa"/>
            <w:tcBorders>
              <w:top w:val="nil"/>
              <w:left w:val="nil"/>
              <w:bottom w:val="nil"/>
              <w:right w:val="nil"/>
            </w:tcBorders>
          </w:tcPr>
          <w:p>
            <w:pPr>
              <w:pStyle w:val="TableParagraph"/>
              <w:spacing w:line="216" w:lineRule="exact"/>
              <w:ind w:right="106"/>
              <w:rPr>
                <w:sz w:val="19"/>
              </w:rPr>
            </w:pPr>
            <w:r>
              <w:rPr>
                <w:sz w:val="19"/>
              </w:rPr>
              <w:t>99.0</w:t>
            </w:r>
          </w:p>
        </w:tc>
      </w:tr>
      <w:tr>
        <w:trPr>
          <w:trHeight w:val="230" w:hRule="exact"/>
        </w:trPr>
        <w:tc>
          <w:tcPr>
            <w:tcW w:w="4187" w:type="dxa"/>
            <w:tcBorders>
              <w:top w:val="nil"/>
              <w:left w:val="nil"/>
              <w:bottom w:val="nil"/>
              <w:right w:val="nil"/>
            </w:tcBorders>
          </w:tcPr>
          <w:p>
            <w:pPr>
              <w:pStyle w:val="TableParagraph"/>
              <w:tabs>
                <w:tab w:pos="3725" w:val="left" w:leader="none"/>
              </w:tabs>
              <w:spacing w:line="216" w:lineRule="exact"/>
              <w:ind w:left="110"/>
              <w:jc w:val="left"/>
              <w:rPr>
                <w:sz w:val="19"/>
              </w:rPr>
            </w:pPr>
            <w:r>
              <w:rPr>
                <w:w w:val="105"/>
                <w:sz w:val="19"/>
              </w:rPr>
              <w:t>No</w:t>
              <w:tab/>
              <w:t>1.0</w:t>
            </w:r>
          </w:p>
        </w:tc>
        <w:tc>
          <w:tcPr>
            <w:tcW w:w="1184" w:type="dxa"/>
            <w:tcBorders>
              <w:top w:val="nil"/>
              <w:left w:val="nil"/>
              <w:bottom w:val="nil"/>
              <w:right w:val="nil"/>
            </w:tcBorders>
          </w:tcPr>
          <w:p>
            <w:pPr>
              <w:pStyle w:val="TableParagraph"/>
              <w:spacing w:line="216" w:lineRule="exact"/>
              <w:ind w:right="260"/>
              <w:rPr>
                <w:sz w:val="19"/>
              </w:rPr>
            </w:pPr>
            <w:r>
              <w:rPr>
                <w:sz w:val="19"/>
              </w:rPr>
              <w:t>0.8</w:t>
            </w:r>
          </w:p>
        </w:tc>
        <w:tc>
          <w:tcPr>
            <w:tcW w:w="1119" w:type="dxa"/>
            <w:tcBorders>
              <w:top w:val="nil"/>
              <w:left w:val="nil"/>
              <w:bottom w:val="nil"/>
              <w:right w:val="nil"/>
            </w:tcBorders>
          </w:tcPr>
          <w:p>
            <w:pPr>
              <w:pStyle w:val="TableParagraph"/>
              <w:spacing w:line="216" w:lineRule="exact"/>
              <w:ind w:right="105"/>
              <w:rPr>
                <w:sz w:val="19"/>
              </w:rPr>
            </w:pPr>
            <w:r>
              <w:rPr>
                <w:sz w:val="19"/>
              </w:rPr>
              <w:t>1.0</w:t>
            </w:r>
          </w:p>
        </w:tc>
      </w:tr>
      <w:tr>
        <w:trPr>
          <w:trHeight w:val="228" w:hRule="exact"/>
        </w:trPr>
        <w:tc>
          <w:tcPr>
            <w:tcW w:w="4187" w:type="dxa"/>
            <w:tcBorders>
              <w:top w:val="nil"/>
              <w:left w:val="nil"/>
              <w:bottom w:val="nil"/>
              <w:right w:val="nil"/>
            </w:tcBorders>
          </w:tcPr>
          <w:p>
            <w:pPr>
              <w:pStyle w:val="TableParagraph"/>
              <w:spacing w:line="216" w:lineRule="exact"/>
              <w:ind w:left="110"/>
              <w:jc w:val="left"/>
              <w:rPr>
                <w:i/>
                <w:sz w:val="19"/>
              </w:rPr>
            </w:pPr>
            <w:r>
              <w:rPr>
                <w:i/>
                <w:w w:val="105"/>
                <w:sz w:val="19"/>
              </w:rPr>
              <w:t>Combustible utilizado para cocina</w:t>
            </w:r>
          </w:p>
        </w:tc>
        <w:tc>
          <w:tcPr>
            <w:tcW w:w="1184" w:type="dxa"/>
            <w:tcBorders>
              <w:top w:val="nil"/>
              <w:left w:val="nil"/>
              <w:bottom w:val="nil"/>
              <w:right w:val="nil"/>
            </w:tcBorders>
          </w:tcPr>
          <w:p>
            <w:pPr/>
          </w:p>
        </w:tc>
        <w:tc>
          <w:tcPr>
            <w:tcW w:w="1119" w:type="dxa"/>
            <w:tcBorders>
              <w:top w:val="nil"/>
              <w:left w:val="nil"/>
              <w:bottom w:val="nil"/>
              <w:right w:val="nil"/>
            </w:tcBorders>
          </w:tcPr>
          <w:p>
            <w:pPr/>
          </w:p>
        </w:tc>
      </w:tr>
      <w:tr>
        <w:trPr>
          <w:trHeight w:val="228" w:hRule="exact"/>
        </w:trPr>
        <w:tc>
          <w:tcPr>
            <w:tcW w:w="4187" w:type="dxa"/>
            <w:tcBorders>
              <w:top w:val="nil"/>
              <w:left w:val="nil"/>
              <w:bottom w:val="nil"/>
              <w:right w:val="nil"/>
            </w:tcBorders>
          </w:tcPr>
          <w:p>
            <w:pPr>
              <w:pStyle w:val="TableParagraph"/>
              <w:tabs>
                <w:tab w:pos="3973" w:val="right" w:leader="none"/>
              </w:tabs>
              <w:spacing w:line="214" w:lineRule="exact"/>
              <w:ind w:left="110"/>
              <w:jc w:val="left"/>
              <w:rPr>
                <w:sz w:val="19"/>
              </w:rPr>
            </w:pPr>
            <w:r>
              <w:rPr>
                <w:w w:val="105"/>
                <w:sz w:val="19"/>
              </w:rPr>
              <w:t>Gas</w:t>
              <w:tab/>
              <w:t>89.2</w:t>
            </w:r>
          </w:p>
        </w:tc>
        <w:tc>
          <w:tcPr>
            <w:tcW w:w="1184" w:type="dxa"/>
            <w:tcBorders>
              <w:top w:val="nil"/>
              <w:left w:val="nil"/>
              <w:bottom w:val="nil"/>
              <w:right w:val="nil"/>
            </w:tcBorders>
          </w:tcPr>
          <w:p>
            <w:pPr>
              <w:pStyle w:val="TableParagraph"/>
              <w:spacing w:line="214" w:lineRule="exact"/>
              <w:ind w:right="261"/>
              <w:rPr>
                <w:sz w:val="19"/>
              </w:rPr>
            </w:pPr>
            <w:r>
              <w:rPr>
                <w:sz w:val="19"/>
              </w:rPr>
              <w:t>91.4</w:t>
            </w:r>
          </w:p>
        </w:tc>
        <w:tc>
          <w:tcPr>
            <w:tcW w:w="1119" w:type="dxa"/>
            <w:tcBorders>
              <w:top w:val="nil"/>
              <w:left w:val="nil"/>
              <w:bottom w:val="nil"/>
              <w:right w:val="nil"/>
            </w:tcBorders>
          </w:tcPr>
          <w:p>
            <w:pPr>
              <w:pStyle w:val="TableParagraph"/>
              <w:spacing w:line="214" w:lineRule="exact"/>
              <w:ind w:right="106"/>
              <w:rPr>
                <w:sz w:val="19"/>
              </w:rPr>
            </w:pPr>
            <w:r>
              <w:rPr>
                <w:sz w:val="19"/>
              </w:rPr>
              <w:t>88.8</w:t>
            </w:r>
          </w:p>
        </w:tc>
      </w:tr>
      <w:tr>
        <w:trPr>
          <w:trHeight w:val="230" w:hRule="exact"/>
        </w:trPr>
        <w:tc>
          <w:tcPr>
            <w:tcW w:w="4187" w:type="dxa"/>
            <w:tcBorders>
              <w:top w:val="nil"/>
              <w:left w:val="nil"/>
              <w:bottom w:val="nil"/>
              <w:right w:val="nil"/>
            </w:tcBorders>
          </w:tcPr>
          <w:p>
            <w:pPr>
              <w:pStyle w:val="TableParagraph"/>
              <w:tabs>
                <w:tab w:pos="3973" w:val="right" w:leader="none"/>
              </w:tabs>
              <w:spacing w:line="216" w:lineRule="exact"/>
              <w:ind w:left="110"/>
              <w:jc w:val="left"/>
              <w:rPr>
                <w:sz w:val="19"/>
              </w:rPr>
            </w:pPr>
            <w:r>
              <w:rPr>
                <w:w w:val="105"/>
                <w:sz w:val="19"/>
              </w:rPr>
              <w:t>Leña</w:t>
              <w:tab/>
              <w:t>10.4</w:t>
            </w:r>
          </w:p>
        </w:tc>
        <w:tc>
          <w:tcPr>
            <w:tcW w:w="1184" w:type="dxa"/>
            <w:tcBorders>
              <w:top w:val="nil"/>
              <w:left w:val="nil"/>
              <w:bottom w:val="nil"/>
              <w:right w:val="nil"/>
            </w:tcBorders>
          </w:tcPr>
          <w:p>
            <w:pPr>
              <w:pStyle w:val="TableParagraph"/>
              <w:spacing w:line="216" w:lineRule="exact"/>
              <w:ind w:right="260"/>
              <w:rPr>
                <w:sz w:val="19"/>
              </w:rPr>
            </w:pPr>
            <w:r>
              <w:rPr>
                <w:sz w:val="19"/>
              </w:rPr>
              <w:t>7.6</w:t>
            </w:r>
          </w:p>
        </w:tc>
        <w:tc>
          <w:tcPr>
            <w:tcW w:w="1119" w:type="dxa"/>
            <w:tcBorders>
              <w:top w:val="nil"/>
              <w:left w:val="nil"/>
              <w:bottom w:val="nil"/>
              <w:right w:val="nil"/>
            </w:tcBorders>
          </w:tcPr>
          <w:p>
            <w:pPr>
              <w:pStyle w:val="TableParagraph"/>
              <w:spacing w:line="216" w:lineRule="exact"/>
              <w:ind w:right="106"/>
              <w:rPr>
                <w:sz w:val="19"/>
              </w:rPr>
            </w:pPr>
            <w:r>
              <w:rPr>
                <w:sz w:val="19"/>
              </w:rPr>
              <w:t>10.9</w:t>
            </w:r>
          </w:p>
        </w:tc>
      </w:tr>
      <w:tr>
        <w:trPr>
          <w:trHeight w:val="230" w:hRule="exact"/>
        </w:trPr>
        <w:tc>
          <w:tcPr>
            <w:tcW w:w="4187" w:type="dxa"/>
            <w:tcBorders>
              <w:top w:val="nil"/>
              <w:left w:val="nil"/>
              <w:bottom w:val="nil"/>
              <w:right w:val="nil"/>
            </w:tcBorders>
          </w:tcPr>
          <w:p>
            <w:pPr>
              <w:pStyle w:val="TableParagraph"/>
              <w:tabs>
                <w:tab w:pos="3974" w:val="right" w:leader="none"/>
              </w:tabs>
              <w:spacing w:line="216" w:lineRule="exact"/>
              <w:ind w:left="110"/>
              <w:jc w:val="left"/>
              <w:rPr>
                <w:sz w:val="19"/>
              </w:rPr>
            </w:pPr>
            <w:r>
              <w:rPr>
                <w:w w:val="105"/>
                <w:sz w:val="19"/>
              </w:rPr>
              <w:t>Carbón</w:t>
              <w:tab/>
              <w:t>0.2</w:t>
            </w:r>
          </w:p>
        </w:tc>
        <w:tc>
          <w:tcPr>
            <w:tcW w:w="1184" w:type="dxa"/>
            <w:tcBorders>
              <w:top w:val="nil"/>
              <w:left w:val="nil"/>
              <w:bottom w:val="nil"/>
              <w:right w:val="nil"/>
            </w:tcBorders>
          </w:tcPr>
          <w:p>
            <w:pPr>
              <w:pStyle w:val="TableParagraph"/>
              <w:spacing w:line="216" w:lineRule="exact"/>
              <w:ind w:right="260"/>
              <w:rPr>
                <w:sz w:val="19"/>
              </w:rPr>
            </w:pPr>
            <w:r>
              <w:rPr>
                <w:sz w:val="19"/>
              </w:rPr>
              <w:t>0.4</w:t>
            </w:r>
          </w:p>
        </w:tc>
        <w:tc>
          <w:tcPr>
            <w:tcW w:w="1119" w:type="dxa"/>
            <w:tcBorders>
              <w:top w:val="nil"/>
              <w:left w:val="nil"/>
              <w:bottom w:val="nil"/>
              <w:right w:val="nil"/>
            </w:tcBorders>
          </w:tcPr>
          <w:p>
            <w:pPr>
              <w:pStyle w:val="TableParagraph"/>
              <w:spacing w:line="216" w:lineRule="exact"/>
              <w:ind w:right="105"/>
              <w:rPr>
                <w:sz w:val="19"/>
              </w:rPr>
            </w:pPr>
            <w:r>
              <w:rPr>
                <w:sz w:val="19"/>
              </w:rPr>
              <w:t>0.1</w:t>
            </w:r>
          </w:p>
        </w:tc>
      </w:tr>
      <w:tr>
        <w:trPr>
          <w:trHeight w:val="238" w:hRule="exact"/>
        </w:trPr>
        <w:tc>
          <w:tcPr>
            <w:tcW w:w="4187" w:type="dxa"/>
            <w:tcBorders>
              <w:top w:val="nil"/>
              <w:left w:val="nil"/>
              <w:bottom w:val="double" w:sz="4" w:space="0" w:color="000000"/>
              <w:right w:val="nil"/>
            </w:tcBorders>
          </w:tcPr>
          <w:p>
            <w:pPr>
              <w:pStyle w:val="TableParagraph"/>
              <w:tabs>
                <w:tab w:pos="3974" w:val="right" w:leader="none"/>
              </w:tabs>
              <w:spacing w:line="216" w:lineRule="exact"/>
              <w:ind w:left="110"/>
              <w:jc w:val="left"/>
              <w:rPr>
                <w:sz w:val="19"/>
              </w:rPr>
            </w:pPr>
            <w:r>
              <w:rPr>
                <w:w w:val="105"/>
                <w:sz w:val="19"/>
              </w:rPr>
              <w:t>Electricidad</w:t>
              <w:tab/>
              <w:t>0.1</w:t>
            </w:r>
          </w:p>
        </w:tc>
        <w:tc>
          <w:tcPr>
            <w:tcW w:w="1184" w:type="dxa"/>
            <w:tcBorders>
              <w:top w:val="nil"/>
              <w:left w:val="nil"/>
              <w:bottom w:val="double" w:sz="4" w:space="0" w:color="000000"/>
              <w:right w:val="nil"/>
            </w:tcBorders>
          </w:tcPr>
          <w:p>
            <w:pPr>
              <w:pStyle w:val="TableParagraph"/>
              <w:spacing w:line="216" w:lineRule="exact"/>
              <w:ind w:right="260"/>
              <w:rPr>
                <w:sz w:val="19"/>
              </w:rPr>
            </w:pPr>
            <w:r>
              <w:rPr>
                <w:sz w:val="19"/>
              </w:rPr>
              <w:t>0.3</w:t>
            </w:r>
          </w:p>
        </w:tc>
        <w:tc>
          <w:tcPr>
            <w:tcW w:w="1119" w:type="dxa"/>
            <w:tcBorders>
              <w:top w:val="nil"/>
              <w:left w:val="nil"/>
              <w:bottom w:val="double" w:sz="4" w:space="0" w:color="000000"/>
              <w:right w:val="nil"/>
            </w:tcBorders>
          </w:tcPr>
          <w:p>
            <w:pPr>
              <w:pStyle w:val="TableParagraph"/>
              <w:spacing w:line="216" w:lineRule="exact"/>
              <w:ind w:right="105"/>
              <w:rPr>
                <w:sz w:val="19"/>
              </w:rPr>
            </w:pPr>
            <w:r>
              <w:rPr>
                <w:sz w:val="19"/>
              </w:rPr>
              <w:t>0.1</w:t>
            </w:r>
          </w:p>
        </w:tc>
      </w:tr>
      <w:tr>
        <w:trPr>
          <w:trHeight w:val="294" w:hRule="exact"/>
        </w:trPr>
        <w:tc>
          <w:tcPr>
            <w:tcW w:w="4187" w:type="dxa"/>
            <w:tcBorders>
              <w:top w:val="double" w:sz="4" w:space="0" w:color="000000"/>
              <w:left w:val="nil"/>
              <w:bottom w:val="nil"/>
              <w:right w:val="nil"/>
            </w:tcBorders>
          </w:tcPr>
          <w:p>
            <w:pPr>
              <w:pStyle w:val="TableParagraph"/>
              <w:spacing w:line="183" w:lineRule="exact"/>
              <w:ind w:left="110"/>
              <w:jc w:val="left"/>
              <w:rPr>
                <w:sz w:val="16"/>
              </w:rPr>
            </w:pPr>
            <w:r>
              <w:rPr>
                <w:sz w:val="16"/>
              </w:rPr>
              <w:t>Fuente: cálculos propios a partir de la EMMEU 2009.</w:t>
            </w:r>
          </w:p>
        </w:tc>
        <w:tc>
          <w:tcPr>
            <w:tcW w:w="1184" w:type="dxa"/>
            <w:tcBorders>
              <w:top w:val="double" w:sz="4" w:space="0" w:color="000000"/>
              <w:left w:val="nil"/>
              <w:bottom w:val="nil"/>
              <w:right w:val="nil"/>
            </w:tcBorders>
          </w:tcPr>
          <w:p>
            <w:pPr/>
          </w:p>
        </w:tc>
        <w:tc>
          <w:tcPr>
            <w:tcW w:w="1119" w:type="dxa"/>
            <w:tcBorders>
              <w:top w:val="double" w:sz="4" w:space="0" w:color="000000"/>
              <w:left w:val="nil"/>
              <w:bottom w:val="nil"/>
              <w:right w:val="nil"/>
            </w:tcBorders>
          </w:tcPr>
          <w:p>
            <w:pPr/>
          </w:p>
        </w:tc>
      </w:tr>
    </w:tbl>
    <w:p>
      <w:pPr>
        <w:spacing w:after="0"/>
        <w:sectPr>
          <w:type w:val="continuous"/>
          <w:pgSz w:w="9360" w:h="13040"/>
          <w:pgMar w:top="0" w:bottom="0" w:left="1300" w:right="1300"/>
        </w:sectPr>
      </w:pPr>
    </w:p>
    <w:p>
      <w:pPr>
        <w:tabs>
          <w:tab w:pos="5536" w:val="left" w:leader="none"/>
        </w:tabs>
        <w:spacing w:before="51"/>
        <w:ind w:left="128" w:right="0" w:firstLine="0"/>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7"/>
        <w:rPr>
          <w:sz w:val="18"/>
        </w:rPr>
      </w:pPr>
    </w:p>
    <w:p>
      <w:pPr>
        <w:spacing w:line="249" w:lineRule="auto" w:before="68" w:after="3"/>
        <w:ind w:left="257" w:right="837" w:firstLine="0"/>
        <w:jc w:val="left"/>
        <w:rPr>
          <w:sz w:val="19"/>
        </w:rPr>
      </w:pPr>
      <w:r>
        <w:rPr>
          <w:w w:val="105"/>
          <w:sz w:val="19"/>
        </w:rPr>
        <w:t>Cuadro 9. Índice de hacinamiento</w:t>
      </w:r>
      <w:r>
        <w:rPr>
          <w:rFonts w:ascii="Calibri" w:hAnsi="Calibri"/>
          <w:w w:val="105"/>
          <w:sz w:val="21"/>
        </w:rPr>
        <w:t>* </w:t>
      </w:r>
      <w:r>
        <w:rPr>
          <w:w w:val="105"/>
          <w:sz w:val="19"/>
        </w:rPr>
        <w:t>de los hogares según participación o no en la migración</w:t>
      </w:r>
    </w:p>
    <w:tbl>
      <w:tblPr>
        <w:tblW w:w="0" w:type="auto"/>
        <w:jc w:val="lef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80"/>
        <w:gridCol w:w="2609"/>
      </w:tblGrid>
      <w:tr>
        <w:trPr>
          <w:trHeight w:val="250" w:hRule="exact"/>
        </w:trPr>
        <w:tc>
          <w:tcPr>
            <w:tcW w:w="3880" w:type="dxa"/>
            <w:tcBorders>
              <w:left w:val="nil"/>
              <w:bottom w:val="double" w:sz="4" w:space="0" w:color="000000"/>
              <w:right w:val="nil"/>
            </w:tcBorders>
          </w:tcPr>
          <w:p>
            <w:pPr>
              <w:pStyle w:val="TableParagraph"/>
              <w:spacing w:before="5"/>
              <w:ind w:left="110"/>
              <w:jc w:val="left"/>
              <w:rPr>
                <w:sz w:val="19"/>
              </w:rPr>
            </w:pPr>
            <w:r>
              <w:rPr>
                <w:w w:val="105"/>
                <w:sz w:val="19"/>
              </w:rPr>
              <w:t>Condición migratoria del hogar</w:t>
            </w:r>
          </w:p>
        </w:tc>
        <w:tc>
          <w:tcPr>
            <w:tcW w:w="2609" w:type="dxa"/>
            <w:tcBorders>
              <w:left w:val="nil"/>
              <w:bottom w:val="double" w:sz="4" w:space="0" w:color="000000"/>
              <w:right w:val="nil"/>
            </w:tcBorders>
          </w:tcPr>
          <w:p>
            <w:pPr>
              <w:pStyle w:val="TableParagraph"/>
              <w:spacing w:before="5"/>
              <w:ind w:right="106"/>
              <w:rPr>
                <w:sz w:val="19"/>
              </w:rPr>
            </w:pPr>
            <w:r>
              <w:rPr>
                <w:w w:val="105"/>
                <w:sz w:val="19"/>
              </w:rPr>
              <w:t>Índice de hacinamiento</w:t>
            </w:r>
          </w:p>
        </w:tc>
      </w:tr>
      <w:tr>
        <w:trPr>
          <w:trHeight w:val="252" w:hRule="exact"/>
        </w:trPr>
        <w:tc>
          <w:tcPr>
            <w:tcW w:w="3880" w:type="dxa"/>
            <w:tcBorders>
              <w:top w:val="double" w:sz="4" w:space="0" w:color="000000"/>
              <w:left w:val="nil"/>
              <w:bottom w:val="nil"/>
              <w:right w:val="nil"/>
            </w:tcBorders>
          </w:tcPr>
          <w:p>
            <w:pPr>
              <w:pStyle w:val="TableParagraph"/>
              <w:spacing w:before="5"/>
              <w:ind w:left="110"/>
              <w:jc w:val="left"/>
              <w:rPr>
                <w:sz w:val="19"/>
              </w:rPr>
            </w:pPr>
            <w:r>
              <w:rPr>
                <w:w w:val="105"/>
                <w:sz w:val="19"/>
              </w:rPr>
              <w:t>Hogares mexiquenses</w:t>
            </w:r>
          </w:p>
        </w:tc>
        <w:tc>
          <w:tcPr>
            <w:tcW w:w="2609" w:type="dxa"/>
            <w:tcBorders>
              <w:top w:val="double" w:sz="4" w:space="0" w:color="000000"/>
              <w:left w:val="nil"/>
              <w:bottom w:val="nil"/>
              <w:right w:val="nil"/>
            </w:tcBorders>
          </w:tcPr>
          <w:p>
            <w:pPr>
              <w:pStyle w:val="TableParagraph"/>
              <w:spacing w:before="5"/>
              <w:ind w:right="104"/>
              <w:rPr>
                <w:sz w:val="19"/>
              </w:rPr>
            </w:pPr>
            <w:r>
              <w:rPr>
                <w:sz w:val="19"/>
              </w:rPr>
              <w:t>1.27</w:t>
            </w:r>
          </w:p>
        </w:tc>
      </w:tr>
      <w:tr>
        <w:trPr>
          <w:trHeight w:val="230" w:hRule="exact"/>
        </w:trPr>
        <w:tc>
          <w:tcPr>
            <w:tcW w:w="3880" w:type="dxa"/>
            <w:tcBorders>
              <w:top w:val="nil"/>
              <w:left w:val="nil"/>
              <w:bottom w:val="nil"/>
              <w:right w:val="nil"/>
            </w:tcBorders>
          </w:tcPr>
          <w:p>
            <w:pPr>
              <w:pStyle w:val="TableParagraph"/>
              <w:spacing w:line="216" w:lineRule="exact"/>
              <w:ind w:left="110"/>
              <w:jc w:val="left"/>
              <w:rPr>
                <w:sz w:val="19"/>
              </w:rPr>
            </w:pPr>
            <w:r>
              <w:rPr>
                <w:w w:val="105"/>
                <w:sz w:val="19"/>
              </w:rPr>
              <w:t>Hogar que participa en la migración</w:t>
            </w:r>
          </w:p>
        </w:tc>
        <w:tc>
          <w:tcPr>
            <w:tcW w:w="2609" w:type="dxa"/>
            <w:tcBorders>
              <w:top w:val="nil"/>
              <w:left w:val="nil"/>
              <w:bottom w:val="nil"/>
              <w:right w:val="nil"/>
            </w:tcBorders>
          </w:tcPr>
          <w:p>
            <w:pPr>
              <w:pStyle w:val="TableParagraph"/>
              <w:spacing w:line="216" w:lineRule="exact"/>
              <w:ind w:right="104"/>
              <w:rPr>
                <w:sz w:val="19"/>
              </w:rPr>
            </w:pPr>
            <w:r>
              <w:rPr>
                <w:sz w:val="19"/>
              </w:rPr>
              <w:t>1.31</w:t>
            </w:r>
          </w:p>
        </w:tc>
      </w:tr>
      <w:tr>
        <w:trPr>
          <w:trHeight w:val="238" w:hRule="exact"/>
        </w:trPr>
        <w:tc>
          <w:tcPr>
            <w:tcW w:w="3880" w:type="dxa"/>
            <w:tcBorders>
              <w:top w:val="nil"/>
              <w:left w:val="nil"/>
              <w:bottom w:val="double" w:sz="4" w:space="0" w:color="000000"/>
              <w:right w:val="nil"/>
            </w:tcBorders>
          </w:tcPr>
          <w:p>
            <w:pPr>
              <w:pStyle w:val="TableParagraph"/>
              <w:spacing w:line="216" w:lineRule="exact"/>
              <w:ind w:left="110"/>
              <w:jc w:val="left"/>
              <w:rPr>
                <w:sz w:val="19"/>
              </w:rPr>
            </w:pPr>
            <w:r>
              <w:rPr>
                <w:w w:val="105"/>
                <w:sz w:val="19"/>
              </w:rPr>
              <w:t>Hogar que no participa en la migración</w:t>
            </w:r>
          </w:p>
        </w:tc>
        <w:tc>
          <w:tcPr>
            <w:tcW w:w="2609" w:type="dxa"/>
            <w:tcBorders>
              <w:top w:val="nil"/>
              <w:left w:val="nil"/>
              <w:bottom w:val="double" w:sz="4" w:space="0" w:color="000000"/>
              <w:right w:val="nil"/>
            </w:tcBorders>
          </w:tcPr>
          <w:p>
            <w:pPr>
              <w:pStyle w:val="TableParagraph"/>
              <w:spacing w:line="216" w:lineRule="exact"/>
              <w:ind w:right="104"/>
              <w:rPr>
                <w:sz w:val="19"/>
              </w:rPr>
            </w:pPr>
            <w:r>
              <w:rPr>
                <w:sz w:val="19"/>
              </w:rPr>
              <w:t>1.26</w:t>
            </w:r>
          </w:p>
        </w:tc>
      </w:tr>
    </w:tbl>
    <w:p>
      <w:pPr>
        <w:spacing w:line="169" w:lineRule="exact" w:before="0"/>
        <w:ind w:left="257" w:right="0" w:firstLine="0"/>
        <w:jc w:val="left"/>
        <w:rPr>
          <w:sz w:val="16"/>
        </w:rPr>
      </w:pPr>
      <w:r>
        <w:rPr>
          <w:sz w:val="16"/>
        </w:rPr>
        <w:t>Fuente: cálculos propios a partir de la EMMEU 2009.</w:t>
      </w:r>
    </w:p>
    <w:p>
      <w:pPr>
        <w:spacing w:before="3"/>
        <w:ind w:left="257" w:right="0" w:firstLine="0"/>
        <w:jc w:val="left"/>
        <w:rPr>
          <w:sz w:val="16"/>
        </w:rPr>
      </w:pPr>
      <w:r>
        <w:rPr>
          <w:sz w:val="16"/>
        </w:rPr>
        <w:t>* calculado de acuerdo con la cantidad de personas por cuarto en la vivienda.</w:t>
      </w:r>
    </w:p>
    <w:p>
      <w:pPr>
        <w:pStyle w:val="BodyText"/>
        <w:spacing w:before="8"/>
        <w:rPr>
          <w:sz w:val="9"/>
        </w:rPr>
      </w:pPr>
    </w:p>
    <w:p>
      <w:pPr>
        <w:spacing w:line="252" w:lineRule="auto" w:before="81"/>
        <w:ind w:left="275" w:right="0" w:firstLine="0"/>
        <w:jc w:val="left"/>
        <w:rPr>
          <w:sz w:val="19"/>
        </w:rPr>
      </w:pPr>
      <w:r>
        <w:rPr>
          <w:w w:val="105"/>
          <w:sz w:val="19"/>
        </w:rPr>
        <w:t>Cuadro 10. Escolaridad acumulada promedio de los jefes de hogar según participación o no en la migración, Estado de México, 2009</w:t>
      </w:r>
    </w:p>
    <w:p>
      <w:pPr>
        <w:pStyle w:val="BodyText"/>
        <w:spacing w:line="20" w:lineRule="exact"/>
        <w:ind w:left="160"/>
        <w:rPr>
          <w:sz w:val="2"/>
        </w:rPr>
      </w:pPr>
      <w:r>
        <w:rPr>
          <w:sz w:val="2"/>
        </w:rPr>
        <w:pict>
          <v:group style="width:325pt;height:.5pt;mso-position-horizontal-relative:char;mso-position-vertical-relative:line" coordorigin="0,0" coordsize="6500,10">
            <v:line style="position:absolute" from="5,5" to="3802,5" stroked="true" strokeweight=".48pt" strokecolor="#000000"/>
            <v:line style="position:absolute" from="3802,5" to="3811,5" stroked="true" strokeweight=".48pt" strokecolor="#000000"/>
            <v:line style="position:absolute" from="3811,5" to="6495,5" stroked="true" strokeweight=".48pt" strokecolor="#000000"/>
          </v:group>
        </w:pict>
      </w:r>
      <w:r>
        <w:rPr>
          <w:sz w:val="2"/>
        </w:rPr>
      </w:r>
    </w:p>
    <w:p>
      <w:pPr>
        <w:tabs>
          <w:tab w:pos="4788" w:val="left" w:leader="none"/>
          <w:tab w:pos="5882" w:val="left" w:leader="none"/>
        </w:tabs>
        <w:spacing w:line="285" w:lineRule="auto" w:before="0"/>
        <w:ind w:left="275" w:right="222" w:firstLine="0"/>
        <w:jc w:val="left"/>
        <w:rPr>
          <w:sz w:val="19"/>
        </w:rPr>
      </w:pPr>
      <w:r>
        <w:rPr/>
        <w:pict>
          <v:shape style="position:absolute;margin-left:73.269997pt;margin-top:11.508855pt;width:324.5pt;height:1pt;mso-position-horizontal-relative:page;mso-position-vertical-relative:paragraph;z-index:-637624" coordorigin="1465,230" coordsize="6490,20" path="m1465,230l5262,230m1465,249l5262,249m5262,230l5291,230m5262,249l5291,249m5291,230l7955,230m5291,249l7955,249e" filled="false" stroked="true" strokeweight=".48pt" strokecolor="#000000">
            <v:path arrowok="t"/>
            <w10:wrap type="none"/>
          </v:shape>
        </w:pict>
      </w:r>
      <w:r>
        <w:rPr>
          <w:w w:val="105"/>
          <w:sz w:val="19"/>
        </w:rPr>
        <w:t>Condición migratoria</w:t>
      </w:r>
      <w:r>
        <w:rPr>
          <w:spacing w:val="-3"/>
          <w:w w:val="105"/>
          <w:sz w:val="19"/>
        </w:rPr>
        <w:t> </w:t>
      </w:r>
      <w:r>
        <w:rPr>
          <w:w w:val="105"/>
          <w:sz w:val="19"/>
        </w:rPr>
        <w:t>del</w:t>
      </w:r>
      <w:r>
        <w:rPr>
          <w:spacing w:val="-2"/>
          <w:w w:val="105"/>
          <w:sz w:val="19"/>
        </w:rPr>
        <w:t> </w:t>
      </w:r>
      <w:r>
        <w:rPr>
          <w:w w:val="105"/>
          <w:sz w:val="19"/>
        </w:rPr>
        <w:t>hogar</w:t>
        <w:tab/>
        <w:t>Escolaridad</w:t>
      </w:r>
      <w:r>
        <w:rPr>
          <w:spacing w:val="-5"/>
          <w:w w:val="105"/>
          <w:sz w:val="19"/>
        </w:rPr>
        <w:t> </w:t>
      </w:r>
      <w:r>
        <w:rPr>
          <w:w w:val="105"/>
          <w:sz w:val="19"/>
        </w:rPr>
        <w:t>promedio</w:t>
      </w:r>
      <w:r>
        <w:rPr>
          <w:w w:val="103"/>
          <w:sz w:val="19"/>
        </w:rPr>
        <w:t> </w:t>
      </w:r>
      <w:r>
        <w:rPr>
          <w:w w:val="105"/>
          <w:sz w:val="19"/>
        </w:rPr>
        <w:t>Hogares</w:t>
      </w:r>
      <w:r>
        <w:rPr>
          <w:spacing w:val="-2"/>
          <w:w w:val="105"/>
          <w:sz w:val="19"/>
        </w:rPr>
        <w:t> </w:t>
      </w:r>
      <w:r>
        <w:rPr>
          <w:w w:val="105"/>
          <w:sz w:val="19"/>
        </w:rPr>
        <w:t>mexiquenses</w:t>
        <w:tab/>
        <w:tab/>
        <w:t>7.6</w:t>
      </w:r>
      <w:r>
        <w:rPr>
          <w:spacing w:val="-2"/>
          <w:w w:val="105"/>
          <w:sz w:val="19"/>
        </w:rPr>
        <w:t> </w:t>
      </w:r>
      <w:r>
        <w:rPr>
          <w:w w:val="105"/>
          <w:sz w:val="19"/>
        </w:rPr>
        <w:t>años</w:t>
      </w:r>
    </w:p>
    <w:p>
      <w:pPr>
        <w:tabs>
          <w:tab w:pos="5882" w:val="left" w:leader="none"/>
        </w:tabs>
        <w:spacing w:line="190" w:lineRule="exact" w:before="0"/>
        <w:ind w:left="275" w:right="0" w:firstLine="0"/>
        <w:jc w:val="left"/>
        <w:rPr>
          <w:sz w:val="19"/>
        </w:rPr>
      </w:pPr>
      <w:r>
        <w:rPr>
          <w:w w:val="105"/>
          <w:sz w:val="19"/>
        </w:rPr>
        <w:t>Hogar que participa en</w:t>
      </w:r>
      <w:r>
        <w:rPr>
          <w:spacing w:val="-4"/>
          <w:w w:val="105"/>
          <w:sz w:val="19"/>
        </w:rPr>
        <w:t> </w:t>
      </w:r>
      <w:r>
        <w:rPr>
          <w:w w:val="105"/>
          <w:sz w:val="19"/>
        </w:rPr>
        <w:t>la</w:t>
      </w:r>
      <w:r>
        <w:rPr>
          <w:spacing w:val="-2"/>
          <w:w w:val="105"/>
          <w:sz w:val="19"/>
        </w:rPr>
        <w:t> </w:t>
      </w:r>
      <w:r>
        <w:rPr>
          <w:w w:val="105"/>
          <w:sz w:val="19"/>
        </w:rPr>
        <w:t>migración</w:t>
        <w:tab/>
        <w:t>6.5</w:t>
      </w:r>
      <w:r>
        <w:rPr>
          <w:spacing w:val="-2"/>
          <w:w w:val="105"/>
          <w:sz w:val="19"/>
        </w:rPr>
        <w:t> </w:t>
      </w:r>
      <w:r>
        <w:rPr>
          <w:w w:val="105"/>
          <w:sz w:val="19"/>
        </w:rPr>
        <w:t>años</w:t>
      </w:r>
    </w:p>
    <w:p>
      <w:pPr>
        <w:tabs>
          <w:tab w:pos="5882" w:val="left" w:leader="none"/>
        </w:tabs>
        <w:spacing w:before="12" w:after="7"/>
        <w:ind w:left="275" w:right="0" w:firstLine="0"/>
        <w:jc w:val="left"/>
        <w:rPr>
          <w:sz w:val="19"/>
        </w:rPr>
      </w:pPr>
      <w:r>
        <w:rPr>
          <w:w w:val="105"/>
          <w:sz w:val="19"/>
        </w:rPr>
        <w:t>Hogar que no participa en</w:t>
      </w:r>
      <w:r>
        <w:rPr>
          <w:spacing w:val="-4"/>
          <w:w w:val="105"/>
          <w:sz w:val="19"/>
        </w:rPr>
        <w:t> </w:t>
      </w:r>
      <w:r>
        <w:rPr>
          <w:w w:val="105"/>
          <w:sz w:val="19"/>
        </w:rPr>
        <w:t>la</w:t>
      </w:r>
      <w:r>
        <w:rPr>
          <w:spacing w:val="-1"/>
          <w:w w:val="105"/>
          <w:sz w:val="19"/>
        </w:rPr>
        <w:t> </w:t>
      </w:r>
      <w:r>
        <w:rPr>
          <w:w w:val="105"/>
          <w:sz w:val="19"/>
        </w:rPr>
        <w:t>migración</w:t>
        <w:tab/>
        <w:t>7.7</w:t>
      </w:r>
      <w:r>
        <w:rPr>
          <w:spacing w:val="-2"/>
          <w:w w:val="105"/>
          <w:sz w:val="19"/>
        </w:rPr>
        <w:t> </w:t>
      </w:r>
      <w:r>
        <w:rPr>
          <w:w w:val="105"/>
          <w:sz w:val="19"/>
        </w:rPr>
        <w:t>años</w:t>
      </w:r>
    </w:p>
    <w:p>
      <w:pPr>
        <w:pStyle w:val="BodyText"/>
        <w:spacing w:line="29" w:lineRule="exact"/>
        <w:ind w:left="160"/>
        <w:rPr>
          <w:sz w:val="2"/>
        </w:rPr>
      </w:pPr>
      <w:r>
        <w:rPr>
          <w:position w:val="0"/>
          <w:sz w:val="2"/>
        </w:rPr>
        <w:pict>
          <v:group style="width:325pt;height:1.5pt;mso-position-horizontal-relative:char;mso-position-vertical-relative:line" coordorigin="0,0" coordsize="6500,30">
            <v:line style="position:absolute" from="5,5" to="3802,5" stroked="true" strokeweight=".48pt" strokecolor="#000000"/>
            <v:line style="position:absolute" from="5,24" to="3802,24" stroked="true" strokeweight=".48pt" strokecolor="#000000"/>
            <v:line style="position:absolute" from="3802,5" to="3831,5" stroked="true" strokeweight=".48pt" strokecolor="#000000"/>
            <v:line style="position:absolute" from="3802,24" to="3831,24" stroked="true" strokeweight=".48pt" strokecolor="#000000"/>
            <v:line style="position:absolute" from="3831,5" to="6495,5" stroked="true" strokeweight=".48pt" strokecolor="#000000"/>
            <v:line style="position:absolute" from="3831,24" to="6495,24" stroked="true" strokeweight=".48pt" strokecolor="#000000"/>
          </v:group>
        </w:pict>
      </w:r>
      <w:r>
        <w:rPr>
          <w:position w:val="0"/>
          <w:sz w:val="2"/>
        </w:rPr>
      </w:r>
    </w:p>
    <w:p>
      <w:pPr>
        <w:spacing w:before="0"/>
        <w:ind w:left="275" w:right="0" w:firstLine="0"/>
        <w:jc w:val="left"/>
        <w:rPr>
          <w:sz w:val="16"/>
        </w:rPr>
      </w:pPr>
      <w:r>
        <w:rPr>
          <w:sz w:val="16"/>
        </w:rPr>
        <w:t>Fuente: cálculos propios a partir de la EMMEU 2009.</w:t>
      </w:r>
    </w:p>
    <w:p>
      <w:pPr>
        <w:pStyle w:val="BodyText"/>
        <w:spacing w:before="8"/>
        <w:rPr>
          <w:sz w:val="17"/>
        </w:rPr>
      </w:pPr>
    </w:p>
    <w:p>
      <w:pPr>
        <w:pStyle w:val="BodyText"/>
        <w:spacing w:line="247" w:lineRule="auto" w:before="72"/>
        <w:ind w:left="122" w:right="129" w:firstLine="283"/>
        <w:jc w:val="both"/>
      </w:pPr>
      <w:r>
        <w:rPr>
          <w:color w:val="231F20"/>
        </w:rPr>
        <w:t>McKenzie</w:t>
      </w:r>
      <w:r>
        <w:rPr>
          <w:color w:val="231F20"/>
          <w:spacing w:val="-4"/>
        </w:rPr>
        <w:t> </w:t>
      </w:r>
      <w:r>
        <w:rPr>
          <w:i/>
          <w:color w:val="231F20"/>
        </w:rPr>
        <w:t>et</w:t>
      </w:r>
      <w:r>
        <w:rPr>
          <w:i/>
          <w:color w:val="231F20"/>
          <w:spacing w:val="-5"/>
        </w:rPr>
        <w:t> </w:t>
      </w:r>
      <w:r>
        <w:rPr>
          <w:i/>
          <w:color w:val="231F20"/>
        </w:rPr>
        <w:t>al</w:t>
      </w:r>
      <w:r>
        <w:rPr>
          <w:color w:val="231F20"/>
        </w:rPr>
        <w:t>.</w:t>
      </w:r>
      <w:r>
        <w:rPr>
          <w:color w:val="231F20"/>
          <w:spacing w:val="-5"/>
        </w:rPr>
        <w:t> </w:t>
      </w:r>
      <w:r>
        <w:rPr>
          <w:color w:val="231F20"/>
        </w:rPr>
        <w:t>(2006)</w:t>
      </w:r>
      <w:r>
        <w:rPr>
          <w:color w:val="231F20"/>
          <w:spacing w:val="-5"/>
        </w:rPr>
        <w:t> </w:t>
      </w:r>
      <w:r>
        <w:rPr>
          <w:color w:val="231F20"/>
        </w:rPr>
        <w:t>también</w:t>
      </w:r>
      <w:r>
        <w:rPr>
          <w:color w:val="231F20"/>
          <w:spacing w:val="-5"/>
        </w:rPr>
        <w:t> </w:t>
      </w:r>
      <w:r>
        <w:rPr>
          <w:color w:val="231F20"/>
        </w:rPr>
        <w:t>aborda</w:t>
      </w:r>
      <w:r>
        <w:rPr>
          <w:color w:val="231F20"/>
          <w:spacing w:val="-5"/>
        </w:rPr>
        <w:t> </w:t>
      </w:r>
      <w:r>
        <w:rPr>
          <w:color w:val="231F20"/>
        </w:rPr>
        <w:t>el</w:t>
      </w:r>
      <w:r>
        <w:rPr>
          <w:color w:val="231F20"/>
          <w:spacing w:val="-5"/>
        </w:rPr>
        <w:t> </w:t>
      </w:r>
      <w:r>
        <w:rPr>
          <w:color w:val="231F20"/>
        </w:rPr>
        <w:t>tema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educación</w:t>
      </w:r>
      <w:r>
        <w:rPr>
          <w:color w:val="231F20"/>
          <w:spacing w:val="-5"/>
        </w:rPr>
        <w:t> </w:t>
      </w:r>
      <w:r>
        <w:rPr>
          <w:color w:val="231F20"/>
        </w:rPr>
        <w:t>en</w:t>
      </w:r>
      <w:r>
        <w:rPr>
          <w:color w:val="231F20"/>
          <w:spacing w:val="-5"/>
        </w:rPr>
        <w:t> </w:t>
      </w:r>
      <w:r>
        <w:rPr>
          <w:color w:val="231F20"/>
        </w:rPr>
        <w:t>Mé- xico, y cómo ésta se ve afectada por la migración. Para hacerlo estima  una regresión donde los años de escolaridad de un niño determinado son explicados por las características del hogar y la comunidad y su eventual pertenencia a un hogar con miembros emigrantes. La estimación se hace mediante</w:t>
      </w:r>
      <w:r>
        <w:rPr>
          <w:color w:val="231F20"/>
          <w:spacing w:val="-13"/>
        </w:rPr>
        <w:t> </w:t>
      </w:r>
      <w:r>
        <w:rPr>
          <w:color w:val="231F20"/>
        </w:rPr>
        <w:t>Mínimos</w:t>
      </w:r>
      <w:r>
        <w:rPr>
          <w:color w:val="231F20"/>
          <w:spacing w:val="-12"/>
        </w:rPr>
        <w:t> </w:t>
      </w:r>
      <w:r>
        <w:rPr>
          <w:color w:val="231F20"/>
        </w:rPr>
        <w:t>Cuadrados</w:t>
      </w:r>
      <w:r>
        <w:rPr>
          <w:color w:val="231F20"/>
          <w:spacing w:val="-12"/>
        </w:rPr>
        <w:t> </w:t>
      </w:r>
      <w:r>
        <w:rPr>
          <w:color w:val="231F20"/>
        </w:rPr>
        <w:t>Ordinarios</w:t>
      </w:r>
      <w:r>
        <w:rPr>
          <w:color w:val="231F20"/>
          <w:spacing w:val="-12"/>
        </w:rPr>
        <w:t> </w:t>
      </w:r>
      <w:r>
        <w:rPr>
          <w:color w:val="231F20"/>
        </w:rPr>
        <w:t>(MCO)</w:t>
      </w:r>
      <w:r>
        <w:rPr>
          <w:color w:val="231F20"/>
          <w:spacing w:val="-12"/>
        </w:rPr>
        <w:t> </w:t>
      </w:r>
      <w:r>
        <w:rPr>
          <w:color w:val="231F20"/>
        </w:rPr>
        <w:t>con</w:t>
      </w:r>
      <w:r>
        <w:rPr>
          <w:color w:val="231F20"/>
          <w:spacing w:val="-12"/>
        </w:rPr>
        <w:t> </w:t>
      </w:r>
      <w:r>
        <w:rPr>
          <w:color w:val="231F20"/>
        </w:rPr>
        <w:t>variables</w:t>
      </w:r>
      <w:r>
        <w:rPr>
          <w:color w:val="231F20"/>
          <w:spacing w:val="-12"/>
        </w:rPr>
        <w:t> </w:t>
      </w:r>
      <w:r>
        <w:rPr>
          <w:color w:val="231F20"/>
        </w:rPr>
        <w:t>instrumen- tales,</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presencia</w:t>
      </w:r>
      <w:r>
        <w:rPr>
          <w:color w:val="231F20"/>
          <w:spacing w:val="-7"/>
        </w:rPr>
        <w:t> </w:t>
      </w:r>
      <w:r>
        <w:rPr>
          <w:color w:val="231F20"/>
        </w:rPr>
        <w:t>de</w:t>
      </w:r>
      <w:r>
        <w:rPr>
          <w:color w:val="231F20"/>
          <w:spacing w:val="-7"/>
        </w:rPr>
        <w:t> </w:t>
      </w:r>
      <w:r>
        <w:rPr>
          <w:color w:val="231F20"/>
        </w:rPr>
        <w:t>endogeneidad.</w:t>
      </w:r>
      <w:r>
        <w:rPr>
          <w:color w:val="231F20"/>
          <w:spacing w:val="-8"/>
        </w:rPr>
        <w:t> </w:t>
      </w:r>
      <w:r>
        <w:rPr>
          <w:color w:val="231F20"/>
        </w:rPr>
        <w:t>El</w:t>
      </w:r>
      <w:r>
        <w:rPr>
          <w:color w:val="231F20"/>
          <w:spacing w:val="-7"/>
        </w:rPr>
        <w:t> </w:t>
      </w:r>
      <w:r>
        <w:rPr>
          <w:color w:val="231F20"/>
        </w:rPr>
        <w:t>instrumento</w:t>
      </w:r>
      <w:r>
        <w:rPr>
          <w:color w:val="231F20"/>
          <w:spacing w:val="-8"/>
        </w:rPr>
        <w:t> </w:t>
      </w:r>
      <w:r>
        <w:rPr>
          <w:color w:val="231F20"/>
        </w:rPr>
        <w:t>que</w:t>
      </w:r>
      <w:r>
        <w:rPr>
          <w:color w:val="231F20"/>
          <w:spacing w:val="-7"/>
        </w:rPr>
        <w:t> </w:t>
      </w:r>
      <w:r>
        <w:rPr>
          <w:color w:val="231F20"/>
        </w:rPr>
        <w:t>se</w:t>
      </w:r>
      <w:r>
        <w:rPr>
          <w:color w:val="231F20"/>
          <w:spacing w:val="-7"/>
        </w:rPr>
        <w:t> </w:t>
      </w:r>
      <w:r>
        <w:rPr>
          <w:color w:val="231F20"/>
        </w:rPr>
        <w:t>usa</w:t>
      </w:r>
      <w:r>
        <w:rPr>
          <w:color w:val="231F20"/>
          <w:spacing w:val="-7"/>
        </w:rPr>
        <w:t> </w:t>
      </w:r>
      <w:r>
        <w:rPr>
          <w:color w:val="231F20"/>
        </w:rPr>
        <w:t>siguien- do a </w:t>
      </w:r>
      <w:r>
        <w:rPr>
          <w:color w:val="231F20"/>
          <w:spacing w:val="-3"/>
        </w:rPr>
        <w:t>Massey, </w:t>
      </w:r>
      <w:r>
        <w:rPr>
          <w:color w:val="231F20"/>
        </w:rPr>
        <w:t>Goldring y Durand (1994) es la razón de prevalencia de la migración, que consiste en la proporción de adultos mayores de 15 años que alguna vez han</w:t>
      </w:r>
      <w:r>
        <w:rPr>
          <w:color w:val="231F20"/>
          <w:spacing w:val="-1"/>
        </w:rPr>
        <w:t> </w:t>
      </w:r>
      <w:r>
        <w:rPr>
          <w:color w:val="231F20"/>
        </w:rPr>
        <w:t>migrado.</w:t>
      </w:r>
    </w:p>
    <w:p>
      <w:pPr>
        <w:pStyle w:val="BodyText"/>
        <w:spacing w:line="247" w:lineRule="auto"/>
        <w:ind w:left="122" w:right="129" w:firstLine="283"/>
        <w:jc w:val="both"/>
      </w:pPr>
      <w:r>
        <w:rPr>
          <w:color w:val="231F20"/>
        </w:rPr>
        <w:t>Por un lado, se halla un aspecto positivo como es el efecto directo de las remesas, al permitir a los hogares pagar una mejor educación para sus hijos y aliviar restricciones de liquidez que a menudo truncan el desempe- ño escolar. Por otro, la migración parece tener un papel menos positivo, pues se encuentra en el artículo evidencia preliminar acerca de los bajos niveles de escolaridad que alcanzan los adolescentes de hogares</w:t>
      </w:r>
      <w:r>
        <w:rPr>
          <w:color w:val="231F20"/>
          <w:spacing w:val="-29"/>
        </w:rPr>
        <w:t> </w:t>
      </w:r>
      <w:r>
        <w:rPr>
          <w:color w:val="231F20"/>
        </w:rPr>
        <w:t>migrantes si</w:t>
      </w:r>
      <w:r>
        <w:rPr>
          <w:color w:val="231F20"/>
          <w:spacing w:val="-4"/>
        </w:rPr>
        <w:t> </w:t>
      </w:r>
      <w:r>
        <w:rPr>
          <w:color w:val="231F20"/>
        </w:rPr>
        <w:t>se</w:t>
      </w:r>
      <w:r>
        <w:rPr>
          <w:color w:val="231F20"/>
          <w:spacing w:val="-4"/>
        </w:rPr>
        <w:t> </w:t>
      </w:r>
      <w:r>
        <w:rPr>
          <w:color w:val="231F20"/>
        </w:rPr>
        <w:t>les</w:t>
      </w:r>
      <w:r>
        <w:rPr>
          <w:color w:val="231F20"/>
          <w:spacing w:val="-4"/>
        </w:rPr>
        <w:t> </w:t>
      </w:r>
      <w:r>
        <w:rPr>
          <w:color w:val="231F20"/>
        </w:rPr>
        <w:t>compara</w:t>
      </w:r>
      <w:r>
        <w:rPr>
          <w:color w:val="231F20"/>
          <w:spacing w:val="-4"/>
        </w:rPr>
        <w:t> </w:t>
      </w:r>
      <w:r>
        <w:rPr>
          <w:color w:val="231F20"/>
        </w:rPr>
        <w:t>con</w:t>
      </w:r>
      <w:r>
        <w:rPr>
          <w:color w:val="231F20"/>
          <w:spacing w:val="-4"/>
        </w:rPr>
        <w:t> </w:t>
      </w:r>
      <w:r>
        <w:rPr>
          <w:color w:val="231F20"/>
        </w:rPr>
        <w:t>los</w:t>
      </w:r>
      <w:r>
        <w:rPr>
          <w:color w:val="231F20"/>
          <w:spacing w:val="-4"/>
        </w:rPr>
        <w:t> </w:t>
      </w:r>
      <w:r>
        <w:rPr>
          <w:color w:val="231F20"/>
        </w:rPr>
        <w:t>hogares</w:t>
      </w:r>
      <w:r>
        <w:rPr>
          <w:color w:val="231F20"/>
          <w:spacing w:val="-4"/>
        </w:rPr>
        <w:t> </w:t>
      </w:r>
      <w:r>
        <w:rPr>
          <w:color w:val="231F20"/>
        </w:rPr>
        <w:t>que</w:t>
      </w:r>
      <w:r>
        <w:rPr>
          <w:color w:val="231F20"/>
          <w:spacing w:val="-4"/>
        </w:rPr>
        <w:t> </w:t>
      </w:r>
      <w:r>
        <w:rPr>
          <w:color w:val="231F20"/>
        </w:rPr>
        <w:t>no</w:t>
      </w:r>
      <w:r>
        <w:rPr>
          <w:color w:val="231F20"/>
          <w:spacing w:val="-4"/>
        </w:rPr>
        <w:t> </w:t>
      </w:r>
      <w:r>
        <w:rPr>
          <w:color w:val="231F20"/>
        </w:rPr>
        <w:t>participan</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migración</w:t>
      </w:r>
      <w:r>
        <w:rPr>
          <w:color w:val="231F20"/>
          <w:spacing w:val="-4"/>
        </w:rPr>
        <w:t> </w:t>
      </w:r>
      <w:r>
        <w:rPr>
          <w:color w:val="231F20"/>
          <w:spacing w:val="-3"/>
        </w:rPr>
        <w:t>(Tovar </w:t>
      </w:r>
      <w:r>
        <w:rPr>
          <w:color w:val="231F20"/>
        </w:rPr>
        <w:t>y Vélez,</w:t>
      </w:r>
      <w:r>
        <w:rPr>
          <w:color w:val="231F20"/>
          <w:spacing w:val="-9"/>
        </w:rPr>
        <w:t> </w:t>
      </w:r>
      <w:r>
        <w:rPr>
          <w:color w:val="231F20"/>
        </w:rPr>
        <w:t>2007).</w:t>
      </w:r>
    </w:p>
    <w:p>
      <w:pPr>
        <w:pStyle w:val="BodyText"/>
        <w:spacing w:line="247" w:lineRule="auto"/>
        <w:ind w:left="122" w:right="128" w:firstLine="283"/>
        <w:jc w:val="right"/>
      </w:pPr>
      <w:r>
        <w:rPr>
          <w:color w:val="231F20"/>
        </w:rPr>
        <w:t>A partir de este apartado, presentamos la información correspondiente al total de los jefes, sin distinguir por sexo, en virtud de que los hogares dirigidos por mujeres son muy escasos, lo que afecta su representatividad. En lo relacionado con las características socioeconómicas, encontra- mos una diferencia, aunque modesta a favor de los jefes de hogares que</w:t>
      </w:r>
    </w:p>
    <w:p>
      <w:pPr>
        <w:spacing w:after="0" w:line="247" w:lineRule="auto"/>
        <w:jc w:val="right"/>
        <w:sectPr>
          <w:pgSz w:w="9360" w:h="13040"/>
          <w:pgMar w:header="0" w:footer="496" w:top="840" w:bottom="680" w:left="1300" w:right="1280"/>
        </w:sectPr>
      </w:pPr>
    </w:p>
    <w:p>
      <w:pPr>
        <w:spacing w:before="45"/>
        <w:ind w:left="117" w:right="0" w:firstLine="713"/>
        <w:jc w:val="left"/>
        <w:rPr>
          <w:rFonts w:ascii="Arial" w:hAnsi="Arial"/>
          <w:i/>
          <w:sz w:val="20"/>
        </w:rPr>
      </w:pPr>
      <w:r>
        <w:rPr>
          <w:rFonts w:ascii="Arial" w:hAnsi="Arial"/>
          <w:color w:val="231F20"/>
          <w:w w:val="70"/>
          <w:sz w:val="20"/>
        </w:rPr>
        <w:t>La dinámica migratoria al interior de los hogares: formas... /Rosa Patricia Román-Reyes </w:t>
      </w:r>
      <w:r>
        <w:rPr>
          <w:rFonts w:ascii="Arial" w:hAnsi="Arial"/>
          <w:i/>
          <w:color w:val="231F20"/>
          <w:w w:val="70"/>
          <w:sz w:val="20"/>
        </w:rPr>
        <w:t>et al.</w:t>
      </w:r>
    </w:p>
    <w:p>
      <w:pPr>
        <w:pStyle w:val="BodyText"/>
        <w:spacing w:before="7"/>
        <w:rPr>
          <w:rFonts w:ascii="Arial"/>
          <w:i/>
          <w:sz w:val="28"/>
        </w:rPr>
      </w:pPr>
    </w:p>
    <w:p>
      <w:pPr>
        <w:pStyle w:val="BodyText"/>
        <w:spacing w:line="247" w:lineRule="auto"/>
        <w:ind w:left="117" w:right="114"/>
        <w:jc w:val="both"/>
      </w:pPr>
      <w:r>
        <w:rPr>
          <w:color w:val="231F20"/>
        </w:rPr>
        <w:t>no participan de la migración. A continuación se presenta la información sobre su escolaridad promedio.</w:t>
      </w:r>
    </w:p>
    <w:p>
      <w:pPr>
        <w:spacing w:before="149"/>
        <w:ind w:left="117" w:right="0" w:firstLine="0"/>
        <w:jc w:val="both"/>
        <w:rPr>
          <w:i/>
          <w:sz w:val="22"/>
        </w:rPr>
      </w:pPr>
      <w:r>
        <w:rPr>
          <w:i/>
          <w:color w:val="231F20"/>
          <w:sz w:val="22"/>
        </w:rPr>
        <w:t>Condición de actividad económica</w:t>
      </w:r>
    </w:p>
    <w:p>
      <w:pPr>
        <w:pStyle w:val="BodyText"/>
        <w:spacing w:line="247" w:lineRule="auto" w:before="177"/>
        <w:ind w:left="117" w:right="114"/>
        <w:jc w:val="both"/>
      </w:pPr>
      <w:r>
        <w:rPr>
          <w:color w:val="231F20"/>
        </w:rPr>
        <w:t>Al igual que en el análisis a nivel individual, los jefes de hogar de los hogares que participan de la migración presentan tasas de participación económica superiores a las de los hogares no relacionados con el evento migratorio, debido a que una de las principales causas de la migración entre los primeros se vinculan con el trabajo. </w:t>
      </w:r>
      <w:r>
        <w:rPr>
          <w:color w:val="231F20"/>
          <w:spacing w:val="-3"/>
        </w:rPr>
        <w:t>También </w:t>
      </w:r>
      <w:r>
        <w:rPr>
          <w:color w:val="231F20"/>
        </w:rPr>
        <w:t>los jefes de</w:t>
      </w:r>
      <w:r>
        <w:rPr>
          <w:color w:val="231F20"/>
          <w:spacing w:val="-33"/>
        </w:rPr>
        <w:t> </w:t>
      </w:r>
      <w:r>
        <w:rPr>
          <w:color w:val="231F20"/>
        </w:rPr>
        <w:t>hogares que participan en la migración declararon jornadas laborales más</w:t>
      </w:r>
      <w:r>
        <w:rPr>
          <w:color w:val="231F20"/>
          <w:spacing w:val="-11"/>
        </w:rPr>
        <w:t> </w:t>
      </w:r>
      <w:r>
        <w:rPr>
          <w:color w:val="231F20"/>
        </w:rPr>
        <w:t>largas.</w:t>
      </w:r>
    </w:p>
    <w:p>
      <w:pPr>
        <w:spacing w:before="149"/>
        <w:ind w:left="117" w:right="0" w:firstLine="0"/>
        <w:jc w:val="both"/>
        <w:rPr>
          <w:i/>
          <w:sz w:val="22"/>
        </w:rPr>
      </w:pPr>
      <w:r>
        <w:rPr>
          <w:i/>
          <w:color w:val="231F20"/>
          <w:sz w:val="22"/>
        </w:rPr>
        <w:t>Ingresos por trabajo de los jefes de hogares</w:t>
      </w:r>
    </w:p>
    <w:p>
      <w:pPr>
        <w:pStyle w:val="BodyText"/>
        <w:spacing w:line="247" w:lineRule="auto" w:before="177"/>
        <w:ind w:left="117" w:right="115"/>
        <w:jc w:val="both"/>
      </w:pPr>
      <w:r>
        <w:rPr>
          <w:color w:val="231F20"/>
        </w:rPr>
        <w:t>Las jornadas laborales más largas, sin embargo, no se materializan en el ingreso por trabajo de los jefes, como se observa en el cuadro siguiente, en</w:t>
      </w:r>
      <w:r>
        <w:rPr>
          <w:color w:val="231F20"/>
          <w:spacing w:val="-7"/>
        </w:rPr>
        <w:t> </w:t>
      </w:r>
      <w:r>
        <w:rPr>
          <w:color w:val="231F20"/>
        </w:rPr>
        <w:t>donde</w:t>
      </w:r>
      <w:r>
        <w:rPr>
          <w:color w:val="231F20"/>
          <w:spacing w:val="-7"/>
        </w:rPr>
        <w:t> </w:t>
      </w:r>
      <w:r>
        <w:rPr>
          <w:color w:val="231F20"/>
        </w:rPr>
        <w:t>los</w:t>
      </w:r>
      <w:r>
        <w:rPr>
          <w:color w:val="231F20"/>
          <w:spacing w:val="-7"/>
        </w:rPr>
        <w:t> </w:t>
      </w:r>
      <w:r>
        <w:rPr>
          <w:color w:val="231F20"/>
        </w:rPr>
        <w:t>jefes</w:t>
      </w:r>
      <w:r>
        <w:rPr>
          <w:color w:val="231F20"/>
          <w:spacing w:val="-7"/>
        </w:rPr>
        <w:t> </w:t>
      </w:r>
      <w:r>
        <w:rPr>
          <w:color w:val="231F20"/>
        </w:rPr>
        <w:t>de</w:t>
      </w:r>
      <w:r>
        <w:rPr>
          <w:color w:val="231F20"/>
          <w:spacing w:val="-7"/>
        </w:rPr>
        <w:t> </w:t>
      </w:r>
      <w:r>
        <w:rPr>
          <w:color w:val="231F20"/>
        </w:rPr>
        <w:t>hogares</w:t>
      </w:r>
      <w:r>
        <w:rPr>
          <w:color w:val="231F20"/>
          <w:spacing w:val="-7"/>
        </w:rPr>
        <w:t> </w:t>
      </w:r>
      <w:r>
        <w:rPr>
          <w:color w:val="231F20"/>
        </w:rPr>
        <w:t>migrantes</w:t>
      </w:r>
      <w:r>
        <w:rPr>
          <w:color w:val="231F20"/>
          <w:spacing w:val="-8"/>
        </w:rPr>
        <w:t> </w:t>
      </w:r>
      <w:r>
        <w:rPr>
          <w:color w:val="231F20"/>
        </w:rPr>
        <w:t>perciben</w:t>
      </w:r>
      <w:r>
        <w:rPr>
          <w:color w:val="231F20"/>
          <w:spacing w:val="-7"/>
        </w:rPr>
        <w:t> </w:t>
      </w:r>
      <w:r>
        <w:rPr>
          <w:color w:val="231F20"/>
        </w:rPr>
        <w:t>mayores</w:t>
      </w:r>
      <w:r>
        <w:rPr>
          <w:color w:val="231F20"/>
          <w:spacing w:val="-7"/>
        </w:rPr>
        <w:t> </w:t>
      </w:r>
      <w:r>
        <w:rPr>
          <w:color w:val="231F20"/>
        </w:rPr>
        <w:t>ingresos</w:t>
      </w:r>
      <w:r>
        <w:rPr>
          <w:color w:val="231F20"/>
          <w:spacing w:val="-8"/>
        </w:rPr>
        <w:t> </w:t>
      </w:r>
      <w:r>
        <w:rPr>
          <w:color w:val="231F20"/>
        </w:rPr>
        <w:t>en</w:t>
      </w:r>
      <w:r>
        <w:rPr>
          <w:color w:val="231F20"/>
          <w:spacing w:val="-7"/>
        </w:rPr>
        <w:t> </w:t>
      </w:r>
      <w:r>
        <w:rPr>
          <w:color w:val="231F20"/>
        </w:rPr>
        <w:t>pro- medio que los de hogares no migrantes —que se insertan en trabajos más precarios— aunque la diferencia no es muy</w:t>
      </w:r>
      <w:r>
        <w:rPr>
          <w:color w:val="231F20"/>
          <w:spacing w:val="-3"/>
        </w:rPr>
        <w:t> </w:t>
      </w:r>
      <w:r>
        <w:rPr>
          <w:color w:val="231F20"/>
        </w:rPr>
        <w:t>elevada.</w:t>
      </w:r>
    </w:p>
    <w:p>
      <w:pPr>
        <w:spacing w:line="252" w:lineRule="auto" w:before="157"/>
        <w:ind w:left="397" w:right="117" w:firstLine="0"/>
        <w:jc w:val="left"/>
        <w:rPr>
          <w:sz w:val="19"/>
        </w:rPr>
      </w:pPr>
      <w:r>
        <w:rPr>
          <w:w w:val="105"/>
          <w:sz w:val="19"/>
        </w:rPr>
        <w:t>Cuadro 11. Ingreso por trabajo promedio de los jefes de hogar según participación o no en la migración, Estado de México, 2009</w:t>
      </w:r>
    </w:p>
    <w:tbl>
      <w:tblPr>
        <w:tblW w:w="0" w:type="auto"/>
        <w:jc w:val="left"/>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66"/>
        <w:gridCol w:w="2679"/>
      </w:tblGrid>
      <w:tr>
        <w:trPr>
          <w:trHeight w:val="250" w:hRule="exact"/>
        </w:trPr>
        <w:tc>
          <w:tcPr>
            <w:tcW w:w="3666" w:type="dxa"/>
            <w:tcBorders>
              <w:left w:val="nil"/>
              <w:bottom w:val="double" w:sz="4" w:space="0" w:color="000000"/>
              <w:right w:val="nil"/>
            </w:tcBorders>
          </w:tcPr>
          <w:p>
            <w:pPr>
              <w:pStyle w:val="TableParagraph"/>
              <w:spacing w:before="5"/>
              <w:ind w:left="110"/>
              <w:jc w:val="left"/>
              <w:rPr>
                <w:sz w:val="19"/>
              </w:rPr>
            </w:pPr>
            <w:r>
              <w:rPr>
                <w:w w:val="105"/>
                <w:sz w:val="19"/>
              </w:rPr>
              <w:t>Condición migratoria del hogar</w:t>
            </w:r>
          </w:p>
        </w:tc>
        <w:tc>
          <w:tcPr>
            <w:tcW w:w="2679" w:type="dxa"/>
            <w:tcBorders>
              <w:left w:val="nil"/>
              <w:bottom w:val="double" w:sz="4" w:space="0" w:color="000000"/>
              <w:right w:val="nil"/>
            </w:tcBorders>
          </w:tcPr>
          <w:p>
            <w:pPr>
              <w:pStyle w:val="TableParagraph"/>
              <w:spacing w:before="5"/>
              <w:ind w:right="104"/>
              <w:rPr>
                <w:sz w:val="19"/>
              </w:rPr>
            </w:pPr>
            <w:r>
              <w:rPr>
                <w:w w:val="105"/>
                <w:sz w:val="19"/>
              </w:rPr>
              <w:t>Ingreso promedio en pesos</w:t>
            </w:r>
          </w:p>
        </w:tc>
      </w:tr>
      <w:tr>
        <w:trPr>
          <w:trHeight w:val="252" w:hRule="exact"/>
        </w:trPr>
        <w:tc>
          <w:tcPr>
            <w:tcW w:w="3666" w:type="dxa"/>
            <w:tcBorders>
              <w:top w:val="double" w:sz="4" w:space="0" w:color="000000"/>
              <w:left w:val="nil"/>
              <w:bottom w:val="nil"/>
              <w:right w:val="nil"/>
            </w:tcBorders>
          </w:tcPr>
          <w:p>
            <w:pPr>
              <w:pStyle w:val="TableParagraph"/>
              <w:spacing w:before="5"/>
              <w:ind w:left="110"/>
              <w:jc w:val="left"/>
              <w:rPr>
                <w:sz w:val="19"/>
              </w:rPr>
            </w:pPr>
            <w:r>
              <w:rPr>
                <w:w w:val="105"/>
                <w:sz w:val="19"/>
              </w:rPr>
              <w:t>Hogares mexiquenses</w:t>
            </w:r>
          </w:p>
        </w:tc>
        <w:tc>
          <w:tcPr>
            <w:tcW w:w="2679" w:type="dxa"/>
            <w:tcBorders>
              <w:top w:val="double" w:sz="4" w:space="0" w:color="000000"/>
              <w:left w:val="nil"/>
              <w:bottom w:val="nil"/>
              <w:right w:val="nil"/>
            </w:tcBorders>
          </w:tcPr>
          <w:p>
            <w:pPr>
              <w:pStyle w:val="TableParagraph"/>
              <w:spacing w:before="5"/>
              <w:ind w:right="104"/>
              <w:rPr>
                <w:sz w:val="19"/>
              </w:rPr>
            </w:pPr>
            <w:r>
              <w:rPr>
                <w:w w:val="105"/>
                <w:sz w:val="19"/>
              </w:rPr>
              <w:t>4 280.00</w:t>
            </w:r>
          </w:p>
        </w:tc>
      </w:tr>
      <w:tr>
        <w:trPr>
          <w:trHeight w:val="230" w:hRule="exact"/>
        </w:trPr>
        <w:tc>
          <w:tcPr>
            <w:tcW w:w="3666" w:type="dxa"/>
            <w:tcBorders>
              <w:top w:val="nil"/>
              <w:left w:val="nil"/>
              <w:bottom w:val="nil"/>
              <w:right w:val="nil"/>
            </w:tcBorders>
          </w:tcPr>
          <w:p>
            <w:pPr>
              <w:pStyle w:val="TableParagraph"/>
              <w:spacing w:line="216" w:lineRule="exact"/>
              <w:ind w:left="110"/>
              <w:jc w:val="left"/>
              <w:rPr>
                <w:sz w:val="19"/>
              </w:rPr>
            </w:pPr>
            <w:r>
              <w:rPr>
                <w:w w:val="105"/>
                <w:sz w:val="19"/>
              </w:rPr>
              <w:t>Hogar que participa en la migración</w:t>
            </w:r>
          </w:p>
        </w:tc>
        <w:tc>
          <w:tcPr>
            <w:tcW w:w="2679" w:type="dxa"/>
            <w:tcBorders>
              <w:top w:val="nil"/>
              <w:left w:val="nil"/>
              <w:bottom w:val="nil"/>
              <w:right w:val="nil"/>
            </w:tcBorders>
          </w:tcPr>
          <w:p>
            <w:pPr>
              <w:pStyle w:val="TableParagraph"/>
              <w:spacing w:line="216" w:lineRule="exact"/>
              <w:ind w:right="104"/>
              <w:rPr>
                <w:sz w:val="19"/>
              </w:rPr>
            </w:pPr>
            <w:r>
              <w:rPr>
                <w:w w:val="105"/>
                <w:sz w:val="19"/>
              </w:rPr>
              <w:t>4 290.00</w:t>
            </w:r>
          </w:p>
        </w:tc>
      </w:tr>
      <w:tr>
        <w:trPr>
          <w:trHeight w:val="238" w:hRule="exact"/>
        </w:trPr>
        <w:tc>
          <w:tcPr>
            <w:tcW w:w="3666" w:type="dxa"/>
            <w:tcBorders>
              <w:top w:val="nil"/>
              <w:left w:val="nil"/>
              <w:bottom w:val="double" w:sz="4" w:space="0" w:color="000000"/>
              <w:right w:val="nil"/>
            </w:tcBorders>
          </w:tcPr>
          <w:p>
            <w:pPr>
              <w:pStyle w:val="TableParagraph"/>
              <w:spacing w:line="216" w:lineRule="exact"/>
              <w:ind w:left="110"/>
              <w:jc w:val="left"/>
              <w:rPr>
                <w:sz w:val="19"/>
              </w:rPr>
            </w:pPr>
            <w:r>
              <w:rPr>
                <w:w w:val="105"/>
                <w:sz w:val="19"/>
              </w:rPr>
              <w:t>Hogar que no participa en la migración</w:t>
            </w:r>
          </w:p>
        </w:tc>
        <w:tc>
          <w:tcPr>
            <w:tcW w:w="2679" w:type="dxa"/>
            <w:tcBorders>
              <w:top w:val="nil"/>
              <w:left w:val="nil"/>
              <w:bottom w:val="double" w:sz="4" w:space="0" w:color="000000"/>
              <w:right w:val="nil"/>
            </w:tcBorders>
          </w:tcPr>
          <w:p>
            <w:pPr>
              <w:pStyle w:val="TableParagraph"/>
              <w:spacing w:line="216" w:lineRule="exact"/>
              <w:ind w:right="104"/>
              <w:rPr>
                <w:sz w:val="19"/>
              </w:rPr>
            </w:pPr>
            <w:r>
              <w:rPr>
                <w:w w:val="105"/>
                <w:sz w:val="19"/>
              </w:rPr>
              <w:t>4 280.00</w:t>
            </w:r>
          </w:p>
        </w:tc>
      </w:tr>
    </w:tbl>
    <w:p>
      <w:pPr>
        <w:spacing w:line="169" w:lineRule="exact" w:before="0"/>
        <w:ind w:left="397" w:right="117" w:firstLine="0"/>
        <w:jc w:val="left"/>
        <w:rPr>
          <w:sz w:val="16"/>
        </w:rPr>
      </w:pPr>
      <w:r>
        <w:rPr>
          <w:sz w:val="16"/>
        </w:rPr>
        <w:t>Fuente: cálculos propios a partir de la EMMEU 2009.</w:t>
      </w:r>
    </w:p>
    <w:p>
      <w:pPr>
        <w:spacing w:before="128"/>
        <w:ind w:left="117" w:right="0" w:firstLine="0"/>
        <w:jc w:val="both"/>
        <w:rPr>
          <w:i/>
          <w:sz w:val="22"/>
        </w:rPr>
      </w:pPr>
      <w:r>
        <w:rPr>
          <w:i/>
          <w:color w:val="231F20"/>
          <w:sz w:val="22"/>
        </w:rPr>
        <w:t>Ingreso total del hogar e ingreso familiar per cápita</w:t>
      </w:r>
    </w:p>
    <w:p>
      <w:pPr>
        <w:pStyle w:val="BodyText"/>
        <w:spacing w:line="247" w:lineRule="auto" w:before="177"/>
        <w:ind w:left="117" w:right="115"/>
        <w:jc w:val="both"/>
      </w:pPr>
      <w:r>
        <w:rPr>
          <w:color w:val="231F20"/>
        </w:rPr>
        <w:t>Debemos tomar en cuenta, sin embargo, que el ingreso por trabajo del  jefe no es el único ingreso del </w:t>
      </w:r>
      <w:r>
        <w:rPr>
          <w:color w:val="231F20"/>
          <w:spacing w:val="-3"/>
        </w:rPr>
        <w:t>hogar. </w:t>
      </w:r>
      <w:r>
        <w:rPr>
          <w:color w:val="231F20"/>
        </w:rPr>
        <w:t>El cuestionario de la EMMEU 2009 permite desglosar las distintas fuentes de ingreso a nivel individual y del hogar, lo que hace posible una mejor aproximación a la disponibilidad de recursos monetarios.</w:t>
      </w:r>
    </w:p>
    <w:p>
      <w:pPr>
        <w:pStyle w:val="BodyText"/>
        <w:spacing w:line="247" w:lineRule="auto"/>
        <w:ind w:left="117" w:right="114" w:firstLine="283"/>
        <w:jc w:val="both"/>
      </w:pPr>
      <w:r>
        <w:rPr>
          <w:color w:val="231F20"/>
        </w:rPr>
        <w:t>Al analizar el ingreso total del hogar, encontramos paradójicamente, que el de los hogares de no migrantes era inferior al de los hogares que participan en la migración, a pesar de que sus condiciones socioeconó- micas pudieran apuntar a una situación más desventajosa. Esta situación se revierte al calcular el ingreso total del hogar a nivel per cápita, que nos proporciona una mejor idea de la disponibilidad real de recursos en los distintos grupos de hogares de migrantes: las diferencias son realmente modestas y benefician a los miembros de hogares que se relacionan con el fenómeno migratorio.</w:t>
      </w:r>
    </w:p>
    <w:p>
      <w:pPr>
        <w:spacing w:after="0" w:line="247" w:lineRule="auto"/>
        <w:jc w:val="both"/>
        <w:sectPr>
          <w:pgSz w:w="9360" w:h="13040"/>
          <w:pgMar w:header="0" w:footer="496" w:top="740" w:bottom="680" w:left="1300" w:right="1300"/>
        </w:sectPr>
      </w:pPr>
    </w:p>
    <w:p>
      <w:pPr>
        <w:tabs>
          <w:tab w:pos="5536" w:val="left" w:leader="none"/>
        </w:tabs>
        <w:spacing w:before="51"/>
        <w:ind w:left="128" w:right="117" w:firstLine="0"/>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7"/>
        </w:rPr>
      </w:pPr>
    </w:p>
    <w:p>
      <w:pPr>
        <w:spacing w:line="252" w:lineRule="auto" w:before="81"/>
        <w:ind w:left="397" w:right="1329" w:firstLine="0"/>
        <w:jc w:val="left"/>
        <w:rPr>
          <w:sz w:val="19"/>
        </w:rPr>
      </w:pPr>
      <w:r>
        <w:rPr>
          <w:w w:val="105"/>
          <w:sz w:val="19"/>
        </w:rPr>
        <w:t>Cuadro 12. Ingreso familiar de los hogares según participación o no en la migración, Estado de México, 2009</w:t>
      </w:r>
    </w:p>
    <w:tbl>
      <w:tblPr>
        <w:tblW w:w="0" w:type="auto"/>
        <w:jc w:val="left"/>
        <w:tblInd w:w="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29"/>
        <w:gridCol w:w="2717"/>
      </w:tblGrid>
      <w:tr>
        <w:trPr>
          <w:trHeight w:val="250" w:hRule="exact"/>
        </w:trPr>
        <w:tc>
          <w:tcPr>
            <w:tcW w:w="3629" w:type="dxa"/>
            <w:tcBorders>
              <w:left w:val="nil"/>
              <w:bottom w:val="double" w:sz="4" w:space="0" w:color="000000"/>
              <w:right w:val="nil"/>
            </w:tcBorders>
          </w:tcPr>
          <w:p>
            <w:pPr>
              <w:pStyle w:val="TableParagraph"/>
              <w:spacing w:before="5"/>
              <w:ind w:left="110"/>
              <w:jc w:val="left"/>
              <w:rPr>
                <w:sz w:val="19"/>
              </w:rPr>
            </w:pPr>
            <w:r>
              <w:rPr>
                <w:w w:val="105"/>
                <w:sz w:val="19"/>
              </w:rPr>
              <w:t>Condición migratoria del hogar</w:t>
            </w:r>
          </w:p>
        </w:tc>
        <w:tc>
          <w:tcPr>
            <w:tcW w:w="2717" w:type="dxa"/>
            <w:tcBorders>
              <w:left w:val="nil"/>
              <w:bottom w:val="double" w:sz="4" w:space="0" w:color="000000"/>
              <w:right w:val="nil"/>
            </w:tcBorders>
          </w:tcPr>
          <w:p>
            <w:pPr>
              <w:pStyle w:val="TableParagraph"/>
              <w:spacing w:before="5"/>
              <w:ind w:right="101"/>
              <w:rPr>
                <w:sz w:val="19"/>
              </w:rPr>
            </w:pPr>
            <w:r>
              <w:rPr>
                <w:w w:val="105"/>
                <w:sz w:val="19"/>
              </w:rPr>
              <w:t>Ingreso total del hogar en pesos</w:t>
            </w:r>
          </w:p>
        </w:tc>
      </w:tr>
      <w:tr>
        <w:trPr>
          <w:trHeight w:val="252" w:hRule="exact"/>
        </w:trPr>
        <w:tc>
          <w:tcPr>
            <w:tcW w:w="3629" w:type="dxa"/>
            <w:tcBorders>
              <w:top w:val="double" w:sz="4" w:space="0" w:color="000000"/>
              <w:left w:val="nil"/>
              <w:bottom w:val="nil"/>
              <w:right w:val="nil"/>
            </w:tcBorders>
          </w:tcPr>
          <w:p>
            <w:pPr>
              <w:pStyle w:val="TableParagraph"/>
              <w:spacing w:before="5"/>
              <w:ind w:left="110"/>
              <w:jc w:val="left"/>
              <w:rPr>
                <w:sz w:val="19"/>
              </w:rPr>
            </w:pPr>
            <w:r>
              <w:rPr>
                <w:w w:val="105"/>
                <w:sz w:val="19"/>
              </w:rPr>
              <w:t>Hogares mexiquenses</w:t>
            </w:r>
          </w:p>
        </w:tc>
        <w:tc>
          <w:tcPr>
            <w:tcW w:w="2717" w:type="dxa"/>
            <w:tcBorders>
              <w:top w:val="double" w:sz="4" w:space="0" w:color="000000"/>
              <w:left w:val="nil"/>
              <w:bottom w:val="nil"/>
              <w:right w:val="nil"/>
            </w:tcBorders>
          </w:tcPr>
          <w:p>
            <w:pPr>
              <w:pStyle w:val="TableParagraph"/>
              <w:spacing w:before="5"/>
              <w:ind w:right="100"/>
              <w:rPr>
                <w:sz w:val="19"/>
              </w:rPr>
            </w:pPr>
            <w:r>
              <w:rPr>
                <w:w w:val="105"/>
                <w:sz w:val="19"/>
              </w:rPr>
              <w:t>5 505.00</w:t>
            </w:r>
          </w:p>
        </w:tc>
      </w:tr>
      <w:tr>
        <w:trPr>
          <w:trHeight w:val="230" w:hRule="exact"/>
        </w:trPr>
        <w:tc>
          <w:tcPr>
            <w:tcW w:w="3629" w:type="dxa"/>
            <w:tcBorders>
              <w:top w:val="nil"/>
              <w:left w:val="nil"/>
              <w:bottom w:val="nil"/>
              <w:right w:val="nil"/>
            </w:tcBorders>
          </w:tcPr>
          <w:p>
            <w:pPr>
              <w:pStyle w:val="TableParagraph"/>
              <w:spacing w:line="216" w:lineRule="exact"/>
              <w:ind w:left="110"/>
              <w:jc w:val="left"/>
              <w:rPr>
                <w:sz w:val="19"/>
              </w:rPr>
            </w:pPr>
            <w:r>
              <w:rPr>
                <w:w w:val="105"/>
                <w:sz w:val="19"/>
              </w:rPr>
              <w:t>Hogar que participa en la migración</w:t>
            </w:r>
          </w:p>
        </w:tc>
        <w:tc>
          <w:tcPr>
            <w:tcW w:w="2717" w:type="dxa"/>
            <w:tcBorders>
              <w:top w:val="nil"/>
              <w:left w:val="nil"/>
              <w:bottom w:val="nil"/>
              <w:right w:val="nil"/>
            </w:tcBorders>
          </w:tcPr>
          <w:p>
            <w:pPr>
              <w:pStyle w:val="TableParagraph"/>
              <w:spacing w:line="216" w:lineRule="exact"/>
              <w:ind w:right="100"/>
              <w:rPr>
                <w:sz w:val="19"/>
              </w:rPr>
            </w:pPr>
            <w:r>
              <w:rPr>
                <w:w w:val="105"/>
                <w:sz w:val="19"/>
              </w:rPr>
              <w:t>6 006.00</w:t>
            </w:r>
          </w:p>
        </w:tc>
      </w:tr>
      <w:tr>
        <w:trPr>
          <w:trHeight w:val="238" w:hRule="exact"/>
        </w:trPr>
        <w:tc>
          <w:tcPr>
            <w:tcW w:w="3629" w:type="dxa"/>
            <w:tcBorders>
              <w:top w:val="nil"/>
              <w:left w:val="nil"/>
              <w:bottom w:val="double" w:sz="4" w:space="0" w:color="000000"/>
              <w:right w:val="nil"/>
            </w:tcBorders>
          </w:tcPr>
          <w:p>
            <w:pPr>
              <w:pStyle w:val="TableParagraph"/>
              <w:spacing w:line="216" w:lineRule="exact"/>
              <w:ind w:left="110"/>
              <w:jc w:val="left"/>
              <w:rPr>
                <w:sz w:val="19"/>
              </w:rPr>
            </w:pPr>
            <w:r>
              <w:rPr>
                <w:w w:val="105"/>
                <w:sz w:val="19"/>
              </w:rPr>
              <w:t>Hogar que no participa en la migración</w:t>
            </w:r>
          </w:p>
        </w:tc>
        <w:tc>
          <w:tcPr>
            <w:tcW w:w="2717" w:type="dxa"/>
            <w:tcBorders>
              <w:top w:val="nil"/>
              <w:left w:val="nil"/>
              <w:bottom w:val="double" w:sz="4" w:space="0" w:color="000000"/>
              <w:right w:val="nil"/>
            </w:tcBorders>
          </w:tcPr>
          <w:p>
            <w:pPr>
              <w:pStyle w:val="TableParagraph"/>
              <w:spacing w:line="216" w:lineRule="exact"/>
              <w:ind w:right="100"/>
              <w:rPr>
                <w:sz w:val="19"/>
              </w:rPr>
            </w:pPr>
            <w:r>
              <w:rPr>
                <w:w w:val="105"/>
                <w:sz w:val="19"/>
              </w:rPr>
              <w:t>5 355.00</w:t>
            </w:r>
          </w:p>
        </w:tc>
      </w:tr>
      <w:tr>
        <w:trPr>
          <w:trHeight w:val="294" w:hRule="exact"/>
        </w:trPr>
        <w:tc>
          <w:tcPr>
            <w:tcW w:w="3629" w:type="dxa"/>
            <w:tcBorders>
              <w:top w:val="double" w:sz="4" w:space="0" w:color="000000"/>
              <w:left w:val="nil"/>
              <w:bottom w:val="nil"/>
              <w:right w:val="nil"/>
            </w:tcBorders>
          </w:tcPr>
          <w:p>
            <w:pPr>
              <w:pStyle w:val="TableParagraph"/>
              <w:spacing w:line="183" w:lineRule="exact"/>
              <w:ind w:left="110"/>
              <w:jc w:val="left"/>
              <w:rPr>
                <w:sz w:val="16"/>
              </w:rPr>
            </w:pPr>
            <w:r>
              <w:rPr>
                <w:sz w:val="16"/>
              </w:rPr>
              <w:t>Fuente: cálculos propios a partir de la EMMEU 2009.</w:t>
            </w:r>
          </w:p>
        </w:tc>
        <w:tc>
          <w:tcPr>
            <w:tcW w:w="2717" w:type="dxa"/>
            <w:tcBorders>
              <w:top w:val="double" w:sz="4" w:space="0" w:color="000000"/>
              <w:left w:val="nil"/>
              <w:bottom w:val="nil"/>
              <w:right w:val="nil"/>
            </w:tcBorders>
          </w:tcPr>
          <w:p>
            <w:pPr/>
          </w:p>
        </w:tc>
      </w:tr>
    </w:tbl>
    <w:p>
      <w:pPr>
        <w:pStyle w:val="BodyText"/>
        <w:spacing w:line="247" w:lineRule="auto" w:before="48"/>
        <w:ind w:left="117" w:right="114" w:firstLine="283"/>
        <w:jc w:val="both"/>
      </w:pPr>
      <w:r>
        <w:rPr>
          <w:color w:val="231F20"/>
        </w:rPr>
        <w:t>La información previa apunta a que en promedio, no existen impor- tantes diferencias en los recursos disponibles en los hogares de migrantes, si bien encontramos que solamente son ligeramente superiores para los hogares</w:t>
      </w:r>
      <w:r>
        <w:rPr>
          <w:color w:val="231F20"/>
          <w:spacing w:val="-10"/>
        </w:rPr>
        <w:t> </w:t>
      </w:r>
      <w:r>
        <w:rPr>
          <w:color w:val="231F20"/>
        </w:rPr>
        <w:t>de</w:t>
      </w:r>
      <w:r>
        <w:rPr>
          <w:color w:val="231F20"/>
          <w:spacing w:val="-10"/>
        </w:rPr>
        <w:t> </w:t>
      </w:r>
      <w:r>
        <w:rPr>
          <w:color w:val="231F20"/>
        </w:rPr>
        <w:t>emigrantes.</w:t>
      </w:r>
      <w:r>
        <w:rPr>
          <w:color w:val="231F20"/>
          <w:spacing w:val="-23"/>
        </w:rPr>
        <w:t> </w:t>
      </w:r>
      <w:r>
        <w:rPr>
          <w:color w:val="231F20"/>
        </w:rPr>
        <w:t>Aunque</w:t>
      </w:r>
      <w:r>
        <w:rPr>
          <w:color w:val="231F20"/>
          <w:spacing w:val="-10"/>
        </w:rPr>
        <w:t> </w:t>
      </w:r>
      <w:r>
        <w:rPr>
          <w:color w:val="231F20"/>
        </w:rPr>
        <w:t>entre</w:t>
      </w:r>
      <w:r>
        <w:rPr>
          <w:color w:val="231F20"/>
          <w:spacing w:val="-11"/>
        </w:rPr>
        <w:t> </w:t>
      </w:r>
      <w:r>
        <w:rPr>
          <w:color w:val="231F20"/>
        </w:rPr>
        <w:t>los</w:t>
      </w:r>
      <w:r>
        <w:rPr>
          <w:color w:val="231F20"/>
          <w:spacing w:val="-11"/>
        </w:rPr>
        <w:t> </w:t>
      </w:r>
      <w:r>
        <w:rPr>
          <w:color w:val="231F20"/>
        </w:rPr>
        <w:t>jefes</w:t>
      </w:r>
      <w:r>
        <w:rPr>
          <w:color w:val="231F20"/>
          <w:spacing w:val="-11"/>
        </w:rPr>
        <w:t> </w:t>
      </w:r>
      <w:r>
        <w:rPr>
          <w:color w:val="231F20"/>
        </w:rPr>
        <w:t>de</w:t>
      </w:r>
      <w:r>
        <w:rPr>
          <w:color w:val="231F20"/>
          <w:spacing w:val="-10"/>
        </w:rPr>
        <w:t> </w:t>
      </w:r>
      <w:r>
        <w:rPr>
          <w:color w:val="231F20"/>
        </w:rPr>
        <w:t>hogares</w:t>
      </w:r>
      <w:r>
        <w:rPr>
          <w:color w:val="231F20"/>
          <w:spacing w:val="-10"/>
        </w:rPr>
        <w:t> </w:t>
      </w:r>
      <w:r>
        <w:rPr>
          <w:color w:val="231F20"/>
        </w:rPr>
        <w:t>migrantes</w:t>
      </w:r>
      <w:r>
        <w:rPr>
          <w:color w:val="231F20"/>
          <w:spacing w:val="-11"/>
        </w:rPr>
        <w:t> </w:t>
      </w:r>
      <w:r>
        <w:rPr>
          <w:color w:val="231F20"/>
        </w:rPr>
        <w:t>su</w:t>
      </w:r>
      <w:r>
        <w:rPr>
          <w:color w:val="231F20"/>
          <w:spacing w:val="-10"/>
        </w:rPr>
        <w:t> </w:t>
      </w:r>
      <w:r>
        <w:rPr>
          <w:color w:val="231F20"/>
        </w:rPr>
        <w:t>par- ticipación</w:t>
      </w:r>
      <w:r>
        <w:rPr>
          <w:color w:val="231F20"/>
          <w:spacing w:val="-8"/>
        </w:rPr>
        <w:t> </w:t>
      </w:r>
      <w:r>
        <w:rPr>
          <w:color w:val="231F20"/>
        </w:rPr>
        <w:t>en</w:t>
      </w:r>
      <w:r>
        <w:rPr>
          <w:color w:val="231F20"/>
          <w:spacing w:val="-7"/>
        </w:rPr>
        <w:t> </w:t>
      </w:r>
      <w:r>
        <w:rPr>
          <w:color w:val="231F20"/>
        </w:rPr>
        <w:t>la</w:t>
      </w:r>
      <w:r>
        <w:rPr>
          <w:color w:val="231F20"/>
          <w:spacing w:val="-7"/>
        </w:rPr>
        <w:t> </w:t>
      </w:r>
      <w:r>
        <w:rPr>
          <w:color w:val="231F20"/>
        </w:rPr>
        <w:t>actividad</w:t>
      </w:r>
      <w:r>
        <w:rPr>
          <w:color w:val="231F20"/>
          <w:spacing w:val="-8"/>
        </w:rPr>
        <w:t> </w:t>
      </w:r>
      <w:r>
        <w:rPr>
          <w:color w:val="231F20"/>
        </w:rPr>
        <w:t>económica</w:t>
      </w:r>
      <w:r>
        <w:rPr>
          <w:color w:val="231F20"/>
          <w:spacing w:val="-8"/>
        </w:rPr>
        <w:t> </w:t>
      </w:r>
      <w:r>
        <w:rPr>
          <w:color w:val="231F20"/>
        </w:rPr>
        <w:t>y</w:t>
      </w:r>
      <w:r>
        <w:rPr>
          <w:color w:val="231F20"/>
          <w:spacing w:val="-7"/>
        </w:rPr>
        <w:t> </w:t>
      </w:r>
      <w:r>
        <w:rPr>
          <w:color w:val="231F20"/>
        </w:rPr>
        <w:t>sus</w:t>
      </w:r>
      <w:r>
        <w:rPr>
          <w:color w:val="231F20"/>
          <w:spacing w:val="-7"/>
        </w:rPr>
        <w:t> </w:t>
      </w:r>
      <w:r>
        <w:rPr>
          <w:color w:val="231F20"/>
        </w:rPr>
        <w:t>jornadas</w:t>
      </w:r>
      <w:r>
        <w:rPr>
          <w:color w:val="231F20"/>
          <w:spacing w:val="-8"/>
        </w:rPr>
        <w:t> </w:t>
      </w:r>
      <w:r>
        <w:rPr>
          <w:color w:val="231F20"/>
        </w:rPr>
        <w:t>laborales</w:t>
      </w:r>
      <w:r>
        <w:rPr>
          <w:color w:val="231F20"/>
          <w:spacing w:val="-7"/>
        </w:rPr>
        <w:t> </w:t>
      </w:r>
      <w:r>
        <w:rPr>
          <w:color w:val="231F20"/>
        </w:rPr>
        <w:t>son</w:t>
      </w:r>
      <w:r>
        <w:rPr>
          <w:color w:val="231F20"/>
          <w:spacing w:val="-7"/>
        </w:rPr>
        <w:t> </w:t>
      </w:r>
      <w:r>
        <w:rPr>
          <w:color w:val="231F20"/>
        </w:rPr>
        <w:t>mayores, sus ingresos por trabajo son menores, lo que confirma la precariedad de sus</w:t>
      </w:r>
      <w:r>
        <w:rPr>
          <w:color w:val="231F20"/>
          <w:spacing w:val="-2"/>
        </w:rPr>
        <w:t> </w:t>
      </w:r>
      <w:r>
        <w:rPr>
          <w:color w:val="231F20"/>
        </w:rPr>
        <w:t>ocupaciones.</w:t>
      </w:r>
    </w:p>
    <w:p>
      <w:pPr>
        <w:pStyle w:val="Heading3"/>
        <w:spacing w:line="242" w:lineRule="auto"/>
        <w:ind w:right="117"/>
        <w:jc w:val="left"/>
      </w:pPr>
      <w:r>
        <w:rPr>
          <w:color w:val="231F20"/>
        </w:rPr>
        <w:t>¿De qué forma incide la migración en la configuración de las características sociodemográficas de los hogares?</w:t>
      </w:r>
    </w:p>
    <w:p>
      <w:pPr>
        <w:pStyle w:val="BodyText"/>
        <w:spacing w:line="247" w:lineRule="auto" w:before="170"/>
        <w:ind w:left="117" w:right="114"/>
        <w:jc w:val="both"/>
      </w:pPr>
      <w:r>
        <w:rPr>
          <w:color w:val="231F20"/>
        </w:rPr>
        <w:t>A medida que la migración crece en el mundo es cada vez más necesario investigar la dinámica de este fenómeno, especialmente comienza a</w:t>
      </w:r>
      <w:r>
        <w:rPr>
          <w:color w:val="231F20"/>
          <w:spacing w:val="-35"/>
        </w:rPr>
        <w:t> </w:t>
      </w:r>
      <w:r>
        <w:rPr>
          <w:color w:val="231F20"/>
        </w:rPr>
        <w:t>hacer- se</w:t>
      </w:r>
      <w:r>
        <w:rPr>
          <w:color w:val="231F20"/>
          <w:spacing w:val="-7"/>
        </w:rPr>
        <w:t> </w:t>
      </w:r>
      <w:r>
        <w:rPr>
          <w:color w:val="231F20"/>
        </w:rPr>
        <w:t>cada</w:t>
      </w:r>
      <w:r>
        <w:rPr>
          <w:color w:val="231F20"/>
          <w:spacing w:val="-7"/>
        </w:rPr>
        <w:t> </w:t>
      </w:r>
      <w:r>
        <w:rPr>
          <w:color w:val="231F20"/>
        </w:rPr>
        <w:t>vez</w:t>
      </w:r>
      <w:r>
        <w:rPr>
          <w:color w:val="231F20"/>
          <w:spacing w:val="-7"/>
        </w:rPr>
        <w:t> </w:t>
      </w:r>
      <w:r>
        <w:rPr>
          <w:color w:val="231F20"/>
        </w:rPr>
        <w:t>más</w:t>
      </w:r>
      <w:r>
        <w:rPr>
          <w:color w:val="231F20"/>
          <w:spacing w:val="-7"/>
        </w:rPr>
        <w:t> </w:t>
      </w:r>
      <w:r>
        <w:rPr>
          <w:color w:val="231F20"/>
        </w:rPr>
        <w:t>evidente</w:t>
      </w:r>
      <w:r>
        <w:rPr>
          <w:color w:val="231F20"/>
          <w:spacing w:val="-7"/>
        </w:rPr>
        <w:t> </w:t>
      </w:r>
      <w:r>
        <w:rPr>
          <w:color w:val="231F20"/>
        </w:rPr>
        <w:t>la</w:t>
      </w:r>
      <w:r>
        <w:rPr>
          <w:color w:val="231F20"/>
          <w:spacing w:val="-7"/>
        </w:rPr>
        <w:t> </w:t>
      </w:r>
      <w:r>
        <w:rPr>
          <w:color w:val="231F20"/>
        </w:rPr>
        <w:t>necesidad</w:t>
      </w:r>
      <w:r>
        <w:rPr>
          <w:color w:val="231F20"/>
          <w:spacing w:val="-7"/>
        </w:rPr>
        <w:t> </w:t>
      </w:r>
      <w:r>
        <w:rPr>
          <w:color w:val="231F20"/>
        </w:rPr>
        <w:t>de</w:t>
      </w:r>
      <w:r>
        <w:rPr>
          <w:color w:val="231F20"/>
          <w:spacing w:val="-7"/>
        </w:rPr>
        <w:t> </w:t>
      </w:r>
      <w:r>
        <w:rPr>
          <w:color w:val="231F20"/>
        </w:rPr>
        <w:t>estudiar</w:t>
      </w:r>
      <w:r>
        <w:rPr>
          <w:color w:val="231F20"/>
          <w:spacing w:val="-7"/>
        </w:rPr>
        <w:t> </w:t>
      </w:r>
      <w:r>
        <w:rPr>
          <w:color w:val="231F20"/>
        </w:rPr>
        <w:t>el</w:t>
      </w:r>
      <w:r>
        <w:rPr>
          <w:color w:val="231F20"/>
          <w:spacing w:val="-7"/>
        </w:rPr>
        <w:t> </w:t>
      </w:r>
      <w:r>
        <w:rPr>
          <w:color w:val="231F20"/>
        </w:rPr>
        <w:t>efecto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migración en las condiciones de vida de los</w:t>
      </w:r>
      <w:r>
        <w:rPr>
          <w:color w:val="231F20"/>
          <w:spacing w:val="-4"/>
        </w:rPr>
        <w:t> </w:t>
      </w:r>
      <w:r>
        <w:rPr>
          <w:color w:val="231F20"/>
        </w:rPr>
        <w:t>hogares.</w:t>
      </w:r>
    </w:p>
    <w:p>
      <w:pPr>
        <w:pStyle w:val="BodyText"/>
        <w:spacing w:line="247" w:lineRule="auto"/>
        <w:ind w:left="117" w:right="114" w:firstLine="283"/>
        <w:jc w:val="both"/>
      </w:pPr>
      <w:r>
        <w:rPr>
          <w:color w:val="231F20"/>
        </w:rPr>
        <w:t>Así, el interés en profundizar en el conocimiento y entendimiento de la dinámica migratoria y de las condiciones de vida de la población y de los hogares migrantes fue el detonante para la elaboración de esta propuesta. Ese interés aunado al reconocimiento que la migración es un fenómeno complejo, multidimensional, con temporalidades, espacialidades y causas diversas</w:t>
      </w:r>
      <w:r>
        <w:rPr>
          <w:color w:val="231F20"/>
          <w:spacing w:val="-12"/>
        </w:rPr>
        <w:t> </w:t>
      </w:r>
      <w:r>
        <w:rPr>
          <w:color w:val="231F20"/>
        </w:rPr>
        <w:t>que</w:t>
      </w:r>
      <w:r>
        <w:rPr>
          <w:color w:val="231F20"/>
          <w:spacing w:val="-12"/>
        </w:rPr>
        <w:t> </w:t>
      </w:r>
      <w:r>
        <w:rPr>
          <w:color w:val="231F20"/>
        </w:rPr>
        <w:t>no</w:t>
      </w:r>
      <w:r>
        <w:rPr>
          <w:color w:val="231F20"/>
          <w:spacing w:val="-12"/>
        </w:rPr>
        <w:t> </w:t>
      </w:r>
      <w:r>
        <w:rPr>
          <w:color w:val="231F20"/>
        </w:rPr>
        <w:t>siempre</w:t>
      </w:r>
      <w:r>
        <w:rPr>
          <w:color w:val="231F20"/>
          <w:spacing w:val="-12"/>
        </w:rPr>
        <w:t> </w:t>
      </w:r>
      <w:r>
        <w:rPr>
          <w:color w:val="231F20"/>
        </w:rPr>
        <w:t>son</w:t>
      </w:r>
      <w:r>
        <w:rPr>
          <w:color w:val="231F20"/>
          <w:spacing w:val="-12"/>
        </w:rPr>
        <w:t> </w:t>
      </w:r>
      <w:r>
        <w:rPr>
          <w:color w:val="231F20"/>
        </w:rPr>
        <w:t>aprehendidas</w:t>
      </w:r>
      <w:r>
        <w:rPr>
          <w:color w:val="231F20"/>
          <w:spacing w:val="-13"/>
        </w:rPr>
        <w:t> </w:t>
      </w:r>
      <w:r>
        <w:rPr>
          <w:color w:val="231F20"/>
        </w:rPr>
        <w:t>de</w:t>
      </w:r>
      <w:r>
        <w:rPr>
          <w:color w:val="231F20"/>
          <w:spacing w:val="-12"/>
        </w:rPr>
        <w:t> </w:t>
      </w:r>
      <w:r>
        <w:rPr>
          <w:color w:val="231F20"/>
        </w:rPr>
        <w:t>forma</w:t>
      </w:r>
      <w:r>
        <w:rPr>
          <w:color w:val="231F20"/>
          <w:spacing w:val="-12"/>
        </w:rPr>
        <w:t> </w:t>
      </w:r>
      <w:r>
        <w:rPr>
          <w:color w:val="231F20"/>
        </w:rPr>
        <w:t>acabada</w:t>
      </w:r>
      <w:r>
        <w:rPr>
          <w:color w:val="231F20"/>
          <w:spacing w:val="-13"/>
        </w:rPr>
        <w:t> </w:t>
      </w:r>
      <w:r>
        <w:rPr>
          <w:color w:val="231F20"/>
        </w:rPr>
        <w:t>por</w:t>
      </w:r>
      <w:r>
        <w:rPr>
          <w:color w:val="231F20"/>
          <w:spacing w:val="-12"/>
        </w:rPr>
        <w:t> </w:t>
      </w:r>
      <w:r>
        <w:rPr>
          <w:color w:val="231F20"/>
        </w:rPr>
        <w:t>las</w:t>
      </w:r>
      <w:r>
        <w:rPr>
          <w:color w:val="231F20"/>
          <w:spacing w:val="-13"/>
        </w:rPr>
        <w:t> </w:t>
      </w:r>
      <w:r>
        <w:rPr>
          <w:color w:val="231F20"/>
        </w:rPr>
        <w:t>fuentes convencionales de información, como el censo de población y las encues- tas de</w:t>
      </w:r>
      <w:r>
        <w:rPr>
          <w:color w:val="231F20"/>
          <w:spacing w:val="-1"/>
        </w:rPr>
        <w:t> </w:t>
      </w:r>
      <w:r>
        <w:rPr>
          <w:color w:val="231F20"/>
        </w:rPr>
        <w:t>hogares.</w:t>
      </w:r>
    </w:p>
    <w:p>
      <w:pPr>
        <w:pStyle w:val="BodyText"/>
        <w:spacing w:line="247" w:lineRule="auto"/>
        <w:ind w:left="117" w:right="114" w:firstLine="283"/>
        <w:jc w:val="both"/>
      </w:pPr>
      <w:r>
        <w:rPr>
          <w:color w:val="231F20"/>
        </w:rPr>
        <w:t>Concebir en toda su complejidad las condiciones de vida en relación con</w:t>
      </w:r>
      <w:r>
        <w:rPr>
          <w:color w:val="231F20"/>
          <w:spacing w:val="-12"/>
        </w:rPr>
        <w:t> </w:t>
      </w:r>
      <w:r>
        <w:rPr>
          <w:color w:val="231F20"/>
        </w:rPr>
        <w:t>las</w:t>
      </w:r>
      <w:r>
        <w:rPr>
          <w:color w:val="231F20"/>
          <w:spacing w:val="-12"/>
        </w:rPr>
        <w:t> </w:t>
      </w:r>
      <w:r>
        <w:rPr>
          <w:color w:val="231F20"/>
        </w:rPr>
        <w:t>respuestas</w:t>
      </w:r>
      <w:r>
        <w:rPr>
          <w:color w:val="231F20"/>
          <w:spacing w:val="-11"/>
        </w:rPr>
        <w:t> </w:t>
      </w:r>
      <w:r>
        <w:rPr>
          <w:color w:val="231F20"/>
        </w:rPr>
        <w:t>migratorias</w:t>
      </w:r>
      <w:r>
        <w:rPr>
          <w:color w:val="231F20"/>
          <w:spacing w:val="-12"/>
        </w:rPr>
        <w:t> </w:t>
      </w:r>
      <w:r>
        <w:rPr>
          <w:color w:val="231F20"/>
        </w:rPr>
        <w:t>de</w:t>
      </w:r>
      <w:r>
        <w:rPr>
          <w:color w:val="231F20"/>
          <w:spacing w:val="-11"/>
        </w:rPr>
        <w:t> </w:t>
      </w:r>
      <w:r>
        <w:rPr>
          <w:color w:val="231F20"/>
        </w:rPr>
        <w:t>la</w:t>
      </w:r>
      <w:r>
        <w:rPr>
          <w:color w:val="231F20"/>
          <w:spacing w:val="-11"/>
        </w:rPr>
        <w:t> </w:t>
      </w:r>
      <w:r>
        <w:rPr>
          <w:color w:val="231F20"/>
        </w:rPr>
        <w:t>población,</w:t>
      </w:r>
      <w:r>
        <w:rPr>
          <w:color w:val="231F20"/>
          <w:spacing w:val="-11"/>
        </w:rPr>
        <w:t> </w:t>
      </w:r>
      <w:r>
        <w:rPr>
          <w:color w:val="231F20"/>
        </w:rPr>
        <w:t>impone</w:t>
      </w:r>
      <w:r>
        <w:rPr>
          <w:color w:val="231F20"/>
          <w:spacing w:val="-12"/>
        </w:rPr>
        <w:t> </w:t>
      </w:r>
      <w:r>
        <w:rPr>
          <w:color w:val="231F20"/>
        </w:rPr>
        <w:t>recurrir</w:t>
      </w:r>
      <w:r>
        <w:rPr>
          <w:color w:val="231F20"/>
          <w:spacing w:val="-11"/>
        </w:rPr>
        <w:t> </w:t>
      </w:r>
      <w:r>
        <w:rPr>
          <w:color w:val="231F20"/>
        </w:rPr>
        <w:t>a</w:t>
      </w:r>
      <w:r>
        <w:rPr>
          <w:color w:val="231F20"/>
          <w:spacing w:val="-11"/>
        </w:rPr>
        <w:t> </w:t>
      </w:r>
      <w:r>
        <w:rPr>
          <w:color w:val="231F20"/>
        </w:rPr>
        <w:t>metodolo- gías</w:t>
      </w:r>
      <w:r>
        <w:rPr>
          <w:color w:val="231F20"/>
          <w:spacing w:val="-6"/>
        </w:rPr>
        <w:t> </w:t>
      </w:r>
      <w:r>
        <w:rPr>
          <w:color w:val="231F20"/>
        </w:rPr>
        <w:t>que</w:t>
      </w:r>
      <w:r>
        <w:rPr>
          <w:color w:val="231F20"/>
          <w:spacing w:val="-6"/>
        </w:rPr>
        <w:t> </w:t>
      </w:r>
      <w:r>
        <w:rPr>
          <w:color w:val="231F20"/>
        </w:rPr>
        <w:t>combinen</w:t>
      </w:r>
      <w:r>
        <w:rPr>
          <w:color w:val="231F20"/>
          <w:spacing w:val="-6"/>
        </w:rPr>
        <w:t> </w:t>
      </w:r>
      <w:r>
        <w:rPr>
          <w:color w:val="231F20"/>
        </w:rPr>
        <w:t>aproximaciones</w:t>
      </w:r>
      <w:r>
        <w:rPr>
          <w:color w:val="231F20"/>
          <w:spacing w:val="-7"/>
        </w:rPr>
        <w:t> </w:t>
      </w:r>
      <w:r>
        <w:rPr>
          <w:color w:val="231F20"/>
        </w:rPr>
        <w:t>cualitativas</w:t>
      </w:r>
      <w:r>
        <w:rPr>
          <w:color w:val="231F20"/>
          <w:spacing w:val="-7"/>
        </w:rPr>
        <w:t> </w:t>
      </w:r>
      <w:r>
        <w:rPr>
          <w:color w:val="231F20"/>
        </w:rPr>
        <w:t>y</w:t>
      </w:r>
      <w:r>
        <w:rPr>
          <w:color w:val="231F20"/>
          <w:spacing w:val="-6"/>
        </w:rPr>
        <w:t> </w:t>
      </w:r>
      <w:r>
        <w:rPr>
          <w:color w:val="231F20"/>
        </w:rPr>
        <w:t>cuantitativas,</w:t>
      </w:r>
      <w:r>
        <w:rPr>
          <w:color w:val="231F20"/>
          <w:spacing w:val="-7"/>
        </w:rPr>
        <w:t> </w:t>
      </w:r>
      <w:r>
        <w:rPr>
          <w:color w:val="231F20"/>
        </w:rPr>
        <w:t>que</w:t>
      </w:r>
      <w:r>
        <w:rPr>
          <w:color w:val="231F20"/>
          <w:spacing w:val="-6"/>
        </w:rPr>
        <w:t> </w:t>
      </w:r>
      <w:r>
        <w:rPr>
          <w:color w:val="231F20"/>
        </w:rPr>
        <w:t>permi- tirán aproximarnos a la manera en que la población define y desarrolla su conducta</w:t>
      </w:r>
      <w:r>
        <w:rPr>
          <w:color w:val="231F20"/>
          <w:spacing w:val="-13"/>
        </w:rPr>
        <w:t> </w:t>
      </w:r>
      <w:r>
        <w:rPr>
          <w:color w:val="231F20"/>
        </w:rPr>
        <w:t>migratoria,</w:t>
      </w:r>
      <w:r>
        <w:rPr>
          <w:color w:val="231F20"/>
          <w:spacing w:val="-14"/>
        </w:rPr>
        <w:t> </w:t>
      </w:r>
      <w:r>
        <w:rPr>
          <w:color w:val="231F20"/>
        </w:rPr>
        <w:t>a</w:t>
      </w:r>
      <w:r>
        <w:rPr>
          <w:color w:val="231F20"/>
          <w:spacing w:val="-13"/>
        </w:rPr>
        <w:t> </w:t>
      </w:r>
      <w:r>
        <w:rPr>
          <w:color w:val="231F20"/>
        </w:rPr>
        <w:t>la</w:t>
      </w:r>
      <w:r>
        <w:rPr>
          <w:color w:val="231F20"/>
          <w:spacing w:val="-13"/>
        </w:rPr>
        <w:t> </w:t>
      </w:r>
      <w:r>
        <w:rPr>
          <w:color w:val="231F20"/>
        </w:rPr>
        <w:t>luz</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influencia</w:t>
      </w:r>
      <w:r>
        <w:rPr>
          <w:color w:val="231F20"/>
          <w:spacing w:val="-13"/>
        </w:rPr>
        <w:t> </w:t>
      </w:r>
      <w:r>
        <w:rPr>
          <w:color w:val="231F20"/>
        </w:rPr>
        <w:t>de</w:t>
      </w:r>
      <w:r>
        <w:rPr>
          <w:color w:val="231F20"/>
          <w:spacing w:val="-13"/>
        </w:rPr>
        <w:t> </w:t>
      </w:r>
      <w:r>
        <w:rPr>
          <w:color w:val="231F20"/>
        </w:rPr>
        <w:t>factores</w:t>
      </w:r>
      <w:r>
        <w:rPr>
          <w:color w:val="231F20"/>
          <w:spacing w:val="-13"/>
        </w:rPr>
        <w:t> </w:t>
      </w:r>
      <w:r>
        <w:rPr>
          <w:color w:val="231F20"/>
        </w:rPr>
        <w:t>biográficos,</w:t>
      </w:r>
      <w:r>
        <w:rPr>
          <w:color w:val="231F20"/>
          <w:spacing w:val="-13"/>
        </w:rPr>
        <w:t> </w:t>
      </w:r>
      <w:r>
        <w:rPr>
          <w:color w:val="231F20"/>
        </w:rPr>
        <w:t>demo- gráficos,</w:t>
      </w:r>
      <w:r>
        <w:rPr>
          <w:color w:val="231F20"/>
          <w:spacing w:val="-7"/>
        </w:rPr>
        <w:t> </w:t>
      </w:r>
      <w:r>
        <w:rPr>
          <w:color w:val="231F20"/>
        </w:rPr>
        <w:t>sociales,</w:t>
      </w:r>
      <w:r>
        <w:rPr>
          <w:color w:val="231F20"/>
          <w:spacing w:val="-7"/>
        </w:rPr>
        <w:t> </w:t>
      </w:r>
      <w:r>
        <w:rPr>
          <w:color w:val="231F20"/>
        </w:rPr>
        <w:t>económicos</w:t>
      </w:r>
      <w:r>
        <w:rPr>
          <w:color w:val="231F20"/>
          <w:spacing w:val="-7"/>
        </w:rPr>
        <w:t> </w:t>
      </w:r>
      <w:r>
        <w:rPr>
          <w:color w:val="231F20"/>
        </w:rPr>
        <w:t>y</w:t>
      </w:r>
      <w:r>
        <w:rPr>
          <w:color w:val="231F20"/>
          <w:spacing w:val="-7"/>
        </w:rPr>
        <w:t> </w:t>
      </w:r>
      <w:r>
        <w:rPr>
          <w:color w:val="231F20"/>
        </w:rPr>
        <w:t>culturales,</w:t>
      </w:r>
      <w:r>
        <w:rPr>
          <w:color w:val="231F20"/>
          <w:spacing w:val="-7"/>
        </w:rPr>
        <w:t> </w:t>
      </w:r>
      <w:r>
        <w:rPr>
          <w:color w:val="231F20"/>
        </w:rPr>
        <w:t>entre</w:t>
      </w:r>
      <w:r>
        <w:rPr>
          <w:color w:val="231F20"/>
          <w:spacing w:val="-7"/>
        </w:rPr>
        <w:t> </w:t>
      </w:r>
      <w:r>
        <w:rPr>
          <w:color w:val="231F20"/>
        </w:rPr>
        <w:t>ellos</w:t>
      </w:r>
      <w:r>
        <w:rPr>
          <w:color w:val="231F20"/>
          <w:spacing w:val="-7"/>
        </w:rPr>
        <w:t> </w:t>
      </w:r>
      <w:r>
        <w:rPr>
          <w:color w:val="231F20"/>
        </w:rPr>
        <w:t>las</w:t>
      </w:r>
      <w:r>
        <w:rPr>
          <w:color w:val="231F20"/>
          <w:spacing w:val="-7"/>
        </w:rPr>
        <w:t> </w:t>
      </w:r>
      <w:r>
        <w:rPr>
          <w:color w:val="231F20"/>
        </w:rPr>
        <w:t>determinaciones de</w:t>
      </w:r>
      <w:r>
        <w:rPr>
          <w:color w:val="231F20"/>
          <w:spacing w:val="-4"/>
        </w:rPr>
        <w:t> </w:t>
      </w:r>
      <w:r>
        <w:rPr>
          <w:color w:val="231F20"/>
        </w:rPr>
        <w:t>género</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clase</w:t>
      </w:r>
      <w:r>
        <w:rPr>
          <w:color w:val="231F20"/>
          <w:spacing w:val="-4"/>
        </w:rPr>
        <w:t> </w:t>
      </w:r>
      <w:r>
        <w:rPr>
          <w:color w:val="231F20"/>
        </w:rPr>
        <w:t>social,</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última</w:t>
      </w:r>
      <w:r>
        <w:rPr>
          <w:color w:val="231F20"/>
          <w:spacing w:val="-4"/>
        </w:rPr>
        <w:t> </w:t>
      </w:r>
      <w:r>
        <w:rPr>
          <w:color w:val="231F20"/>
        </w:rPr>
        <w:t>instancia</w:t>
      </w:r>
      <w:r>
        <w:rPr>
          <w:color w:val="231F20"/>
          <w:spacing w:val="-4"/>
        </w:rPr>
        <w:t> </w:t>
      </w:r>
      <w:r>
        <w:rPr>
          <w:color w:val="231F20"/>
        </w:rPr>
        <w:t>delinean</w:t>
      </w:r>
      <w:r>
        <w:rPr>
          <w:color w:val="231F20"/>
          <w:spacing w:val="-4"/>
        </w:rPr>
        <w:t> </w:t>
      </w:r>
      <w:r>
        <w:rPr>
          <w:color w:val="231F20"/>
        </w:rPr>
        <w:t>los</w:t>
      </w:r>
      <w:r>
        <w:rPr>
          <w:color w:val="231F20"/>
          <w:spacing w:val="-4"/>
        </w:rPr>
        <w:t> </w:t>
      </w:r>
      <w:r>
        <w:rPr>
          <w:color w:val="231F20"/>
        </w:rPr>
        <w:t>sentidos</w:t>
      </w:r>
      <w:r>
        <w:rPr>
          <w:color w:val="231F20"/>
          <w:spacing w:val="-4"/>
        </w:rPr>
        <w:t> </w:t>
      </w:r>
      <w:r>
        <w:rPr>
          <w:color w:val="231F20"/>
        </w:rPr>
        <w:t>y significados</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individuos</w:t>
      </w:r>
      <w:r>
        <w:rPr>
          <w:color w:val="231F20"/>
          <w:spacing w:val="-6"/>
        </w:rPr>
        <w:t> </w:t>
      </w:r>
      <w:r>
        <w:rPr>
          <w:color w:val="231F20"/>
        </w:rPr>
        <w:t>otorgan</w:t>
      </w:r>
      <w:r>
        <w:rPr>
          <w:color w:val="231F20"/>
          <w:spacing w:val="-6"/>
        </w:rPr>
        <w:t> </w:t>
      </w:r>
      <w:r>
        <w:rPr>
          <w:color w:val="231F20"/>
        </w:rPr>
        <w:t>a</w:t>
      </w:r>
      <w:r>
        <w:rPr>
          <w:color w:val="231F20"/>
          <w:spacing w:val="-6"/>
        </w:rPr>
        <w:t> </w:t>
      </w:r>
      <w:r>
        <w:rPr>
          <w:color w:val="231F20"/>
        </w:rPr>
        <w:t>sus</w:t>
      </w:r>
      <w:r>
        <w:rPr>
          <w:color w:val="231F20"/>
          <w:spacing w:val="-6"/>
        </w:rPr>
        <w:t> </w:t>
      </w:r>
      <w:r>
        <w:rPr>
          <w:color w:val="231F20"/>
        </w:rPr>
        <w:t>acciones,</w:t>
      </w:r>
      <w:r>
        <w:rPr>
          <w:color w:val="231F20"/>
          <w:spacing w:val="-6"/>
        </w:rPr>
        <w:t> </w:t>
      </w:r>
      <w:r>
        <w:rPr>
          <w:color w:val="231F20"/>
        </w:rPr>
        <w:t>como</w:t>
      </w:r>
      <w:r>
        <w:rPr>
          <w:color w:val="231F20"/>
          <w:spacing w:val="-6"/>
        </w:rPr>
        <w:t> </w:t>
      </w:r>
      <w:r>
        <w:rPr>
          <w:color w:val="231F20"/>
        </w:rPr>
        <w:t>la</w:t>
      </w:r>
      <w:r>
        <w:rPr>
          <w:color w:val="231F20"/>
          <w:spacing w:val="-6"/>
        </w:rPr>
        <w:t> </w:t>
      </w:r>
      <w:r>
        <w:rPr>
          <w:color w:val="231F20"/>
        </w:rPr>
        <w:t>migración.</w:t>
      </w:r>
    </w:p>
    <w:p>
      <w:pPr>
        <w:spacing w:after="0" w:line="247" w:lineRule="auto"/>
        <w:jc w:val="both"/>
        <w:sectPr>
          <w:footerReference w:type="default" r:id="rId194"/>
          <w:pgSz w:w="9360" w:h="13040"/>
          <w:pgMar w:footer="496" w:header="0" w:top="840" w:bottom="680" w:left="1300" w:right="1300"/>
        </w:sectPr>
      </w:pPr>
    </w:p>
    <w:p>
      <w:pPr>
        <w:spacing w:before="45"/>
        <w:ind w:left="830" w:right="0" w:firstLine="0"/>
        <w:jc w:val="left"/>
        <w:rPr>
          <w:rFonts w:ascii="Arial" w:hAnsi="Arial"/>
          <w:i/>
          <w:sz w:val="20"/>
        </w:rPr>
      </w:pPr>
      <w:r>
        <w:rPr>
          <w:rFonts w:ascii="Arial" w:hAnsi="Arial"/>
          <w:color w:val="231F20"/>
          <w:w w:val="70"/>
          <w:sz w:val="20"/>
        </w:rPr>
        <w:t>La dinámica migratoria al interior de los hogares: formas... /Rosa Patricia Román-Reyes </w:t>
      </w:r>
      <w:r>
        <w:rPr>
          <w:rFonts w:ascii="Arial" w:hAnsi="Arial"/>
          <w:i/>
          <w:color w:val="231F20"/>
          <w:w w:val="70"/>
          <w:sz w:val="20"/>
        </w:rPr>
        <w:t>et al.</w:t>
      </w:r>
    </w:p>
    <w:p>
      <w:pPr>
        <w:pStyle w:val="BodyText"/>
        <w:spacing w:before="10"/>
        <w:rPr>
          <w:rFonts w:ascii="Arial"/>
          <w:i/>
          <w:sz w:val="27"/>
        </w:rPr>
      </w:pPr>
    </w:p>
    <w:p>
      <w:pPr>
        <w:pStyle w:val="Heading3"/>
        <w:spacing w:before="0"/>
      </w:pPr>
      <w:r>
        <w:rPr>
          <w:color w:val="231F20"/>
        </w:rPr>
        <w:t>Bibliografía</w:t>
      </w:r>
    </w:p>
    <w:p>
      <w:pPr>
        <w:spacing w:line="210" w:lineRule="exact" w:before="210"/>
        <w:ind w:left="113" w:right="122" w:firstLine="0"/>
        <w:jc w:val="both"/>
        <w:rPr>
          <w:sz w:val="20"/>
        </w:rPr>
      </w:pPr>
      <w:r>
        <w:rPr>
          <w:color w:val="231F20"/>
          <w:sz w:val="20"/>
        </w:rPr>
        <w:t>ADAMS, R., Jr., 1991, “The economic uses and impact of remittances in rural Egypt”, en  </w:t>
      </w:r>
      <w:r>
        <w:rPr>
          <w:i/>
          <w:color w:val="231F20"/>
          <w:sz w:val="20"/>
        </w:rPr>
        <w:t>Economic Development and Cultural Change </w:t>
      </w:r>
      <w:r>
        <w:rPr>
          <w:color w:val="231F20"/>
          <w:sz w:val="20"/>
        </w:rPr>
        <w:t>39(4):695-722.</w:t>
      </w:r>
    </w:p>
    <w:p>
      <w:pPr>
        <w:spacing w:line="210" w:lineRule="exact" w:before="113"/>
        <w:ind w:left="113" w:right="122" w:firstLine="0"/>
        <w:jc w:val="both"/>
        <w:rPr>
          <w:sz w:val="20"/>
        </w:rPr>
      </w:pPr>
      <w:r>
        <w:rPr>
          <w:color w:val="231F20"/>
          <w:sz w:val="20"/>
        </w:rPr>
        <w:t>BARHAM, B. y S. Boucher, 1998, “Migration, remittances, and inequality: esti- mating the net effects of migration on income distribution”, en </w:t>
      </w:r>
      <w:r>
        <w:rPr>
          <w:i/>
          <w:color w:val="231F20"/>
          <w:sz w:val="20"/>
        </w:rPr>
        <w:t>Journal of Devel- </w:t>
      </w:r>
      <w:r>
        <w:rPr>
          <w:i/>
          <w:color w:val="231F20"/>
          <w:sz w:val="20"/>
        </w:rPr>
        <w:t>opment Economics</w:t>
      </w:r>
      <w:r>
        <w:rPr>
          <w:color w:val="231F20"/>
          <w:sz w:val="20"/>
        </w:rPr>
        <w:t>, 55:307–331.</w:t>
      </w:r>
    </w:p>
    <w:p>
      <w:pPr>
        <w:spacing w:line="210" w:lineRule="exact" w:before="113"/>
        <w:ind w:left="113" w:right="122" w:firstLine="0"/>
        <w:jc w:val="both"/>
        <w:rPr>
          <w:sz w:val="20"/>
        </w:rPr>
      </w:pPr>
      <w:r>
        <w:rPr>
          <w:color w:val="231F20"/>
          <w:sz w:val="20"/>
        </w:rPr>
        <w:t>CAICEDOS, Maritza, 2008, </w:t>
      </w:r>
      <w:r>
        <w:rPr>
          <w:i/>
          <w:color w:val="231F20"/>
          <w:sz w:val="20"/>
        </w:rPr>
        <w:t>Condiciones laborales de los inmigrantes de Amé- </w:t>
      </w:r>
      <w:r>
        <w:rPr>
          <w:i/>
          <w:color w:val="231F20"/>
          <w:sz w:val="20"/>
        </w:rPr>
        <w:t>rica latina y el caribe en los Estados Unidos, </w:t>
      </w:r>
      <w:r>
        <w:rPr>
          <w:color w:val="231F20"/>
          <w:sz w:val="20"/>
        </w:rPr>
        <w:t>Tesis para optar por el grado de doctora en estudios de población, El Colegio de México, México.</w:t>
      </w:r>
    </w:p>
    <w:p>
      <w:pPr>
        <w:spacing w:line="210" w:lineRule="exact" w:before="113"/>
        <w:ind w:left="113" w:right="122" w:firstLine="0"/>
        <w:jc w:val="both"/>
        <w:rPr>
          <w:sz w:val="20"/>
        </w:rPr>
      </w:pPr>
      <w:r>
        <w:rPr>
          <w:color w:val="231F20"/>
          <w:sz w:val="20"/>
        </w:rPr>
        <w:t>CANALES, Alejandro, 2002, “Las migraciones internacionales en América Lati- na y el Caribe”, en </w:t>
      </w:r>
      <w:r>
        <w:rPr>
          <w:i/>
          <w:color w:val="231F20"/>
          <w:sz w:val="20"/>
        </w:rPr>
        <w:t>Vivir del Norte</w:t>
      </w:r>
      <w:r>
        <w:rPr>
          <w:color w:val="231F20"/>
          <w:sz w:val="20"/>
        </w:rPr>
        <w:t>, núm. 65, mayo-agosto, México.</w:t>
      </w:r>
    </w:p>
    <w:p>
      <w:pPr>
        <w:spacing w:line="210" w:lineRule="exact" w:before="113"/>
        <w:ind w:left="113" w:right="122" w:firstLine="0"/>
        <w:jc w:val="both"/>
        <w:rPr>
          <w:sz w:val="20"/>
        </w:rPr>
      </w:pPr>
      <w:r>
        <w:rPr>
          <w:color w:val="231F20"/>
          <w:sz w:val="20"/>
        </w:rPr>
        <w:t>CASTRO, Roberto, 1996, “En busca del significado: supuestos alcances y</w:t>
      </w:r>
      <w:r>
        <w:rPr>
          <w:color w:val="231F20"/>
          <w:spacing w:val="-12"/>
          <w:sz w:val="20"/>
        </w:rPr>
        <w:t> </w:t>
      </w:r>
      <w:r>
        <w:rPr>
          <w:color w:val="231F20"/>
          <w:sz w:val="20"/>
        </w:rPr>
        <w:t>limita- ciones del análisis cualitativo”, en I. Szasz, y S. Lerner (comps.), </w:t>
      </w:r>
      <w:r>
        <w:rPr>
          <w:i/>
          <w:color w:val="231F20"/>
          <w:sz w:val="20"/>
        </w:rPr>
        <w:t>Para compren- </w:t>
      </w:r>
      <w:r>
        <w:rPr>
          <w:i/>
          <w:color w:val="231F20"/>
          <w:sz w:val="20"/>
        </w:rPr>
        <w:t>der la subjetividad. La investigación cualitativa en salud reproductiva y sexuali- dad</w:t>
      </w:r>
      <w:r>
        <w:rPr>
          <w:color w:val="231F20"/>
          <w:sz w:val="20"/>
        </w:rPr>
        <w:t>, El Colegio de México,</w:t>
      </w:r>
      <w:r>
        <w:rPr>
          <w:color w:val="231F20"/>
          <w:spacing w:val="-13"/>
          <w:sz w:val="20"/>
        </w:rPr>
        <w:t> </w:t>
      </w:r>
      <w:r>
        <w:rPr>
          <w:color w:val="231F20"/>
          <w:sz w:val="20"/>
        </w:rPr>
        <w:t>México.</w:t>
      </w:r>
    </w:p>
    <w:p>
      <w:pPr>
        <w:spacing w:line="210" w:lineRule="exact" w:before="113"/>
        <w:ind w:left="113" w:right="122" w:firstLine="0"/>
        <w:jc w:val="both"/>
        <w:rPr>
          <w:sz w:val="20"/>
        </w:rPr>
      </w:pPr>
      <w:r>
        <w:rPr>
          <w:color w:val="231F20"/>
          <w:sz w:val="20"/>
        </w:rPr>
        <w:t>CIEAP/UAEM, 2009, </w:t>
      </w:r>
      <w:r>
        <w:rPr>
          <w:i/>
          <w:color w:val="231F20"/>
          <w:sz w:val="20"/>
        </w:rPr>
        <w:t>Encuesta sobre Migración de Mexiquenses a Estados Uni- </w:t>
      </w:r>
      <w:r>
        <w:rPr>
          <w:i/>
          <w:color w:val="231F20"/>
          <w:sz w:val="20"/>
        </w:rPr>
        <w:t>dos</w:t>
      </w:r>
      <w:r>
        <w:rPr>
          <w:color w:val="231F20"/>
          <w:sz w:val="20"/>
        </w:rPr>
        <w:t>, Universidad Autónoma del Estado de México (UAEM), México.</w:t>
      </w:r>
    </w:p>
    <w:p>
      <w:pPr>
        <w:spacing w:line="210" w:lineRule="exact" w:before="113"/>
        <w:ind w:left="113" w:right="122" w:firstLine="0"/>
        <w:jc w:val="both"/>
        <w:rPr>
          <w:sz w:val="20"/>
        </w:rPr>
      </w:pPr>
      <w:r>
        <w:rPr>
          <w:color w:val="231F20"/>
          <w:sz w:val="20"/>
        </w:rPr>
        <w:t>CONAPO, 2000, </w:t>
      </w:r>
      <w:r>
        <w:rPr>
          <w:i/>
          <w:color w:val="231F20"/>
          <w:sz w:val="20"/>
        </w:rPr>
        <w:t>Geografía de los activos familiares en el nuevo siglo: retos y </w:t>
      </w:r>
      <w:r>
        <w:rPr>
          <w:i/>
          <w:color w:val="231F20"/>
          <w:sz w:val="20"/>
        </w:rPr>
        <w:t>oportunidades</w:t>
      </w:r>
      <w:r>
        <w:rPr>
          <w:color w:val="231F20"/>
          <w:sz w:val="20"/>
        </w:rPr>
        <w:t>, México.</w:t>
      </w:r>
    </w:p>
    <w:p>
      <w:pPr>
        <w:spacing w:line="210" w:lineRule="exact" w:before="113"/>
        <w:ind w:left="113" w:right="122" w:firstLine="0"/>
        <w:jc w:val="both"/>
        <w:rPr>
          <w:sz w:val="20"/>
        </w:rPr>
      </w:pPr>
      <w:r>
        <w:rPr>
          <w:color w:val="231F20"/>
          <w:sz w:val="20"/>
        </w:rPr>
        <w:t>CORONA,</w:t>
      </w:r>
      <w:r>
        <w:rPr>
          <w:color w:val="231F20"/>
          <w:spacing w:val="-11"/>
          <w:sz w:val="20"/>
        </w:rPr>
        <w:t> </w:t>
      </w:r>
      <w:r>
        <w:rPr>
          <w:color w:val="231F20"/>
          <w:sz w:val="20"/>
        </w:rPr>
        <w:t>Rodolfo,</w:t>
      </w:r>
      <w:r>
        <w:rPr>
          <w:color w:val="231F20"/>
          <w:spacing w:val="-11"/>
          <w:sz w:val="20"/>
        </w:rPr>
        <w:t> </w:t>
      </w:r>
      <w:r>
        <w:rPr>
          <w:color w:val="231F20"/>
          <w:sz w:val="20"/>
        </w:rPr>
        <w:t>1998,</w:t>
      </w:r>
      <w:r>
        <w:rPr>
          <w:color w:val="231F20"/>
          <w:spacing w:val="-11"/>
          <w:sz w:val="20"/>
        </w:rPr>
        <w:t> </w:t>
      </w:r>
      <w:r>
        <w:rPr>
          <w:color w:val="231F20"/>
          <w:sz w:val="20"/>
        </w:rPr>
        <w:t>“Características,</w:t>
      </w:r>
      <w:r>
        <w:rPr>
          <w:color w:val="231F20"/>
          <w:spacing w:val="-11"/>
          <w:sz w:val="20"/>
        </w:rPr>
        <w:t> </w:t>
      </w:r>
      <w:r>
        <w:rPr>
          <w:color w:val="231F20"/>
          <w:sz w:val="20"/>
        </w:rPr>
        <w:t>alcances</w:t>
      </w:r>
      <w:r>
        <w:rPr>
          <w:color w:val="231F20"/>
          <w:spacing w:val="-11"/>
          <w:sz w:val="20"/>
        </w:rPr>
        <w:t> </w:t>
      </w:r>
      <w:r>
        <w:rPr>
          <w:color w:val="231F20"/>
          <w:sz w:val="20"/>
        </w:rPr>
        <w:t>y</w:t>
      </w:r>
      <w:r>
        <w:rPr>
          <w:color w:val="231F20"/>
          <w:spacing w:val="-11"/>
          <w:sz w:val="20"/>
        </w:rPr>
        <w:t> </w:t>
      </w:r>
      <w:r>
        <w:rPr>
          <w:color w:val="231F20"/>
          <w:sz w:val="20"/>
        </w:rPr>
        <w:t>limitaciones</w:t>
      </w:r>
      <w:r>
        <w:rPr>
          <w:color w:val="231F20"/>
          <w:spacing w:val="-11"/>
          <w:sz w:val="20"/>
        </w:rPr>
        <w:t> </w:t>
      </w:r>
      <w:r>
        <w:rPr>
          <w:color w:val="231F20"/>
          <w:sz w:val="20"/>
        </w:rPr>
        <w:t>de</w:t>
      </w:r>
      <w:r>
        <w:rPr>
          <w:color w:val="231F20"/>
          <w:spacing w:val="-11"/>
          <w:sz w:val="20"/>
        </w:rPr>
        <w:t> </w:t>
      </w:r>
      <w:r>
        <w:rPr>
          <w:color w:val="231F20"/>
          <w:sz w:val="20"/>
        </w:rPr>
        <w:t>la</w:t>
      </w:r>
      <w:r>
        <w:rPr>
          <w:color w:val="231F20"/>
          <w:spacing w:val="-11"/>
          <w:sz w:val="20"/>
        </w:rPr>
        <w:t> </w:t>
      </w:r>
      <w:r>
        <w:rPr>
          <w:color w:val="231F20"/>
          <w:sz w:val="20"/>
        </w:rPr>
        <w:t>informa- ción estadística sobre migraciones en el interior desde y hacia la República</w:t>
      </w:r>
      <w:r>
        <w:rPr>
          <w:color w:val="231F20"/>
          <w:spacing w:val="-31"/>
          <w:sz w:val="20"/>
        </w:rPr>
        <w:t> </w:t>
      </w:r>
      <w:r>
        <w:rPr>
          <w:color w:val="231F20"/>
          <w:sz w:val="20"/>
        </w:rPr>
        <w:t>Mexi- cana,” en Beatriz Figueroa Campos (coordra.), El dato en cuestión: un análisis de las cifras sociodemográficas, El Colegio de</w:t>
      </w:r>
      <w:r>
        <w:rPr>
          <w:color w:val="231F20"/>
          <w:spacing w:val="-11"/>
          <w:sz w:val="20"/>
        </w:rPr>
        <w:t> </w:t>
      </w:r>
      <w:r>
        <w:rPr>
          <w:color w:val="231F20"/>
          <w:sz w:val="20"/>
        </w:rPr>
        <w:t>México.</w:t>
      </w:r>
    </w:p>
    <w:p>
      <w:pPr>
        <w:spacing w:line="210" w:lineRule="exact" w:before="113"/>
        <w:ind w:left="113" w:right="122" w:firstLine="0"/>
        <w:jc w:val="both"/>
        <w:rPr>
          <w:sz w:val="20"/>
        </w:rPr>
      </w:pPr>
      <w:r>
        <w:rPr>
          <w:color w:val="231F20"/>
          <w:sz w:val="20"/>
        </w:rPr>
        <w:t>CORONA, Rodolfo, 2008, “Características, alcances y limitaciones de la infor- mación estadística sobre migraciones en el interior, desde y hacia la República Mexicana”</w:t>
      </w:r>
      <w:r>
        <w:rPr>
          <w:color w:val="231F20"/>
          <w:spacing w:val="-4"/>
          <w:sz w:val="20"/>
        </w:rPr>
        <w:t> </w:t>
      </w:r>
      <w:r>
        <w:rPr>
          <w:color w:val="231F20"/>
          <w:sz w:val="20"/>
        </w:rPr>
        <w:t>en</w:t>
      </w:r>
      <w:r>
        <w:rPr>
          <w:color w:val="231F20"/>
          <w:spacing w:val="-5"/>
          <w:sz w:val="20"/>
        </w:rPr>
        <w:t> </w:t>
      </w:r>
      <w:r>
        <w:rPr>
          <w:color w:val="231F20"/>
          <w:sz w:val="20"/>
        </w:rPr>
        <w:t>Beatriz</w:t>
      </w:r>
      <w:r>
        <w:rPr>
          <w:color w:val="231F20"/>
          <w:spacing w:val="-4"/>
          <w:sz w:val="20"/>
        </w:rPr>
        <w:t> </w:t>
      </w:r>
      <w:r>
        <w:rPr>
          <w:color w:val="231F20"/>
          <w:sz w:val="20"/>
        </w:rPr>
        <w:t>Figueroa</w:t>
      </w:r>
      <w:r>
        <w:rPr>
          <w:color w:val="231F20"/>
          <w:spacing w:val="-4"/>
          <w:sz w:val="20"/>
        </w:rPr>
        <w:t> </w:t>
      </w:r>
      <w:r>
        <w:rPr>
          <w:color w:val="231F20"/>
          <w:sz w:val="20"/>
        </w:rPr>
        <w:t>Campos</w:t>
      </w:r>
      <w:r>
        <w:rPr>
          <w:color w:val="231F20"/>
          <w:spacing w:val="-4"/>
          <w:sz w:val="20"/>
        </w:rPr>
        <w:t> </w:t>
      </w:r>
      <w:r>
        <w:rPr>
          <w:color w:val="231F20"/>
          <w:sz w:val="20"/>
        </w:rPr>
        <w:t>(coordra.),</w:t>
      </w:r>
      <w:r>
        <w:rPr>
          <w:color w:val="231F20"/>
          <w:spacing w:val="-4"/>
          <w:sz w:val="20"/>
        </w:rPr>
        <w:t> </w:t>
      </w:r>
      <w:r>
        <w:rPr>
          <w:i/>
          <w:color w:val="231F20"/>
          <w:sz w:val="20"/>
        </w:rPr>
        <w:t>El</w:t>
      </w:r>
      <w:r>
        <w:rPr>
          <w:i/>
          <w:color w:val="231F20"/>
          <w:spacing w:val="-4"/>
          <w:sz w:val="20"/>
        </w:rPr>
        <w:t> </w:t>
      </w:r>
      <w:r>
        <w:rPr>
          <w:i/>
          <w:color w:val="231F20"/>
          <w:sz w:val="20"/>
        </w:rPr>
        <w:t>dato</w:t>
      </w:r>
      <w:r>
        <w:rPr>
          <w:i/>
          <w:color w:val="231F20"/>
          <w:spacing w:val="-4"/>
          <w:sz w:val="20"/>
        </w:rPr>
        <w:t> </w:t>
      </w:r>
      <w:r>
        <w:rPr>
          <w:i/>
          <w:color w:val="231F20"/>
          <w:sz w:val="20"/>
        </w:rPr>
        <w:t>en</w:t>
      </w:r>
      <w:r>
        <w:rPr>
          <w:i/>
          <w:color w:val="231F20"/>
          <w:spacing w:val="-5"/>
          <w:sz w:val="20"/>
        </w:rPr>
        <w:t> </w:t>
      </w:r>
      <w:r>
        <w:rPr>
          <w:i/>
          <w:color w:val="231F20"/>
          <w:sz w:val="20"/>
        </w:rPr>
        <w:t>cuestión:</w:t>
      </w:r>
      <w:r>
        <w:rPr>
          <w:i/>
          <w:color w:val="231F20"/>
          <w:spacing w:val="-5"/>
          <w:sz w:val="20"/>
        </w:rPr>
        <w:t> </w:t>
      </w:r>
      <w:r>
        <w:rPr>
          <w:i/>
          <w:color w:val="231F20"/>
          <w:sz w:val="20"/>
        </w:rPr>
        <w:t>un</w:t>
      </w:r>
      <w:r>
        <w:rPr>
          <w:i/>
          <w:color w:val="231F20"/>
          <w:spacing w:val="-4"/>
          <w:sz w:val="20"/>
        </w:rPr>
        <w:t> </w:t>
      </w:r>
      <w:r>
        <w:rPr>
          <w:i/>
          <w:color w:val="231F20"/>
          <w:sz w:val="20"/>
        </w:rPr>
        <w:t>análi- </w:t>
      </w:r>
      <w:r>
        <w:rPr>
          <w:i/>
          <w:color w:val="231F20"/>
          <w:sz w:val="20"/>
        </w:rPr>
        <w:t>sis de las cifras sociodemográficas</w:t>
      </w:r>
      <w:r>
        <w:rPr>
          <w:color w:val="231F20"/>
          <w:sz w:val="20"/>
        </w:rPr>
        <w:t>, pp. 129-159, El Colegio de México,</w:t>
      </w:r>
      <w:r>
        <w:rPr>
          <w:color w:val="231F20"/>
          <w:spacing w:val="-12"/>
          <w:sz w:val="20"/>
        </w:rPr>
        <w:t> </w:t>
      </w:r>
      <w:r>
        <w:rPr>
          <w:color w:val="231F20"/>
          <w:sz w:val="20"/>
        </w:rPr>
        <w:t>México.</w:t>
      </w:r>
    </w:p>
    <w:p>
      <w:pPr>
        <w:spacing w:line="210" w:lineRule="exact" w:before="113"/>
        <w:ind w:left="113" w:right="122" w:firstLine="0"/>
        <w:jc w:val="both"/>
        <w:rPr>
          <w:sz w:val="20"/>
        </w:rPr>
      </w:pPr>
      <w:r>
        <w:rPr>
          <w:color w:val="231F20"/>
          <w:sz w:val="20"/>
        </w:rPr>
        <w:t>CORTÉS, Fernando, y Rosa María Rubalcava, 1993, “Algunas determinantes de la inserción laboral en la industria maquiladora de exportación en Matamoros”, en </w:t>
      </w:r>
      <w:r>
        <w:rPr>
          <w:i/>
          <w:color w:val="231F20"/>
          <w:sz w:val="20"/>
        </w:rPr>
        <w:t>Estudios sociológicos</w:t>
      </w:r>
      <w:r>
        <w:rPr>
          <w:color w:val="231F20"/>
          <w:sz w:val="20"/>
        </w:rPr>
        <w:t>, vol. XI, núm. 31, enero-abril, El Colegio de México, México.</w:t>
      </w:r>
    </w:p>
    <w:p>
      <w:pPr>
        <w:spacing w:line="210" w:lineRule="exact" w:before="113"/>
        <w:ind w:left="113" w:right="122" w:firstLine="0"/>
        <w:jc w:val="both"/>
        <w:rPr>
          <w:sz w:val="20"/>
        </w:rPr>
      </w:pPr>
      <w:r>
        <w:rPr>
          <w:color w:val="231F20"/>
          <w:spacing w:val="-8"/>
          <w:sz w:val="20"/>
        </w:rPr>
        <w:t>GARAY, </w:t>
      </w:r>
      <w:r>
        <w:rPr>
          <w:color w:val="231F20"/>
          <w:sz w:val="20"/>
        </w:rPr>
        <w:t>L. J. y A. Rodríguez, 2005, “Caracterización socio-económica de la po- blación emigrante y evaluación del impacto de las remesas internacionales”, en </w:t>
      </w:r>
      <w:r>
        <w:rPr>
          <w:i/>
          <w:color w:val="231F20"/>
          <w:sz w:val="20"/>
        </w:rPr>
        <w:t>Estudios</w:t>
      </w:r>
      <w:r>
        <w:rPr>
          <w:i/>
          <w:color w:val="231F20"/>
          <w:spacing w:val="-12"/>
          <w:sz w:val="20"/>
        </w:rPr>
        <w:t> </w:t>
      </w:r>
      <w:r>
        <w:rPr>
          <w:i/>
          <w:color w:val="231F20"/>
          <w:spacing w:val="-3"/>
          <w:sz w:val="20"/>
        </w:rPr>
        <w:t>sobre</w:t>
      </w:r>
      <w:r>
        <w:rPr>
          <w:i/>
          <w:color w:val="231F20"/>
          <w:spacing w:val="-11"/>
          <w:sz w:val="20"/>
        </w:rPr>
        <w:t> </w:t>
      </w:r>
      <w:r>
        <w:rPr>
          <w:i/>
          <w:color w:val="231F20"/>
          <w:sz w:val="20"/>
        </w:rPr>
        <w:t>migración</w:t>
      </w:r>
      <w:r>
        <w:rPr>
          <w:i/>
          <w:color w:val="231F20"/>
          <w:spacing w:val="-11"/>
          <w:sz w:val="20"/>
        </w:rPr>
        <w:t> </w:t>
      </w:r>
      <w:r>
        <w:rPr>
          <w:i/>
          <w:color w:val="231F20"/>
          <w:sz w:val="20"/>
        </w:rPr>
        <w:t>internacional</w:t>
      </w:r>
      <w:r>
        <w:rPr>
          <w:i/>
          <w:color w:val="231F20"/>
          <w:spacing w:val="-12"/>
          <w:sz w:val="20"/>
        </w:rPr>
        <w:t> </w:t>
      </w:r>
      <w:r>
        <w:rPr>
          <w:i/>
          <w:color w:val="231F20"/>
          <w:sz w:val="20"/>
        </w:rPr>
        <w:t>y</w:t>
      </w:r>
      <w:r>
        <w:rPr>
          <w:i/>
          <w:color w:val="231F20"/>
          <w:spacing w:val="-11"/>
          <w:sz w:val="20"/>
        </w:rPr>
        <w:t> </w:t>
      </w:r>
      <w:r>
        <w:rPr>
          <w:i/>
          <w:color w:val="231F20"/>
          <w:sz w:val="20"/>
        </w:rPr>
        <w:t>remesas</w:t>
      </w:r>
      <w:r>
        <w:rPr>
          <w:i/>
          <w:color w:val="231F20"/>
          <w:spacing w:val="-12"/>
          <w:sz w:val="20"/>
        </w:rPr>
        <w:t> </w:t>
      </w:r>
      <w:r>
        <w:rPr>
          <w:i/>
          <w:color w:val="231F20"/>
          <w:sz w:val="20"/>
        </w:rPr>
        <w:t>en</w:t>
      </w:r>
      <w:r>
        <w:rPr>
          <w:i/>
          <w:color w:val="231F20"/>
          <w:spacing w:val="-11"/>
          <w:sz w:val="20"/>
        </w:rPr>
        <w:t> </w:t>
      </w:r>
      <w:r>
        <w:rPr>
          <w:i/>
          <w:color w:val="231F20"/>
          <w:sz w:val="20"/>
        </w:rPr>
        <w:t>Colombia</w:t>
      </w:r>
      <w:r>
        <w:rPr>
          <w:color w:val="231F20"/>
          <w:sz w:val="20"/>
        </w:rPr>
        <w:t>,</w:t>
      </w:r>
      <w:r>
        <w:rPr>
          <w:color w:val="231F20"/>
          <w:spacing w:val="-11"/>
          <w:sz w:val="20"/>
        </w:rPr>
        <w:t> </w:t>
      </w:r>
      <w:r>
        <w:rPr>
          <w:color w:val="231F20"/>
          <w:sz w:val="20"/>
        </w:rPr>
        <w:t>Cuadernos</w:t>
      </w:r>
      <w:r>
        <w:rPr>
          <w:color w:val="231F20"/>
          <w:spacing w:val="-22"/>
          <w:sz w:val="20"/>
        </w:rPr>
        <w:t> </w:t>
      </w:r>
      <w:r>
        <w:rPr>
          <w:color w:val="231F20"/>
          <w:sz w:val="20"/>
        </w:rPr>
        <w:t>Alian- za País, OIM, Ministerio de Relaciones Exteriores de</w:t>
      </w:r>
      <w:r>
        <w:rPr>
          <w:color w:val="231F20"/>
          <w:spacing w:val="-17"/>
          <w:sz w:val="20"/>
        </w:rPr>
        <w:t> </w:t>
      </w:r>
      <w:r>
        <w:rPr>
          <w:color w:val="231F20"/>
          <w:sz w:val="20"/>
        </w:rPr>
        <w:t>Colombia.</w:t>
      </w:r>
    </w:p>
    <w:p>
      <w:pPr>
        <w:spacing w:line="210" w:lineRule="exact" w:before="113"/>
        <w:ind w:left="113" w:right="122" w:firstLine="0"/>
        <w:jc w:val="both"/>
        <w:rPr>
          <w:sz w:val="20"/>
        </w:rPr>
      </w:pPr>
      <w:r>
        <w:rPr>
          <w:color w:val="231F20"/>
          <w:sz w:val="20"/>
        </w:rPr>
        <w:t>INEGI, 2005, </w:t>
      </w:r>
      <w:r>
        <w:rPr>
          <w:i/>
          <w:color w:val="231F20"/>
          <w:sz w:val="20"/>
        </w:rPr>
        <w:t>II Conteo General de Población y Vivienda de 2005</w:t>
      </w:r>
      <w:r>
        <w:rPr>
          <w:color w:val="231F20"/>
          <w:sz w:val="20"/>
        </w:rPr>
        <w:t>, Aguascalien- tes.</w:t>
      </w:r>
    </w:p>
    <w:p>
      <w:pPr>
        <w:spacing w:line="210" w:lineRule="exact" w:before="113"/>
        <w:ind w:left="113" w:right="121" w:firstLine="0"/>
        <w:jc w:val="both"/>
        <w:rPr>
          <w:sz w:val="20"/>
        </w:rPr>
      </w:pPr>
      <w:r>
        <w:rPr>
          <w:color w:val="231F20"/>
          <w:spacing w:val="-5"/>
          <w:sz w:val="20"/>
        </w:rPr>
        <w:t>MASSEY,</w:t>
      </w:r>
      <w:r>
        <w:rPr>
          <w:color w:val="231F20"/>
          <w:spacing w:val="-11"/>
          <w:sz w:val="20"/>
        </w:rPr>
        <w:t> </w:t>
      </w:r>
      <w:r>
        <w:rPr>
          <w:color w:val="231F20"/>
          <w:sz w:val="20"/>
        </w:rPr>
        <w:t>Douglas,</w:t>
      </w:r>
      <w:r>
        <w:rPr>
          <w:color w:val="231F20"/>
          <w:spacing w:val="-11"/>
          <w:sz w:val="20"/>
        </w:rPr>
        <w:t> </w:t>
      </w:r>
      <w:r>
        <w:rPr>
          <w:color w:val="231F20"/>
          <w:sz w:val="20"/>
        </w:rPr>
        <w:t>Luin</w:t>
      </w:r>
      <w:r>
        <w:rPr>
          <w:color w:val="231F20"/>
          <w:spacing w:val="-11"/>
          <w:sz w:val="20"/>
        </w:rPr>
        <w:t> </w:t>
      </w:r>
      <w:r>
        <w:rPr>
          <w:color w:val="231F20"/>
          <w:sz w:val="20"/>
        </w:rPr>
        <w:t>Goldring</w:t>
      </w:r>
      <w:r>
        <w:rPr>
          <w:color w:val="231F20"/>
          <w:spacing w:val="-11"/>
          <w:sz w:val="20"/>
        </w:rPr>
        <w:t> </w:t>
      </w:r>
      <w:r>
        <w:rPr>
          <w:color w:val="231F20"/>
          <w:sz w:val="20"/>
        </w:rPr>
        <w:t>y</w:t>
      </w:r>
      <w:r>
        <w:rPr>
          <w:color w:val="231F20"/>
          <w:spacing w:val="-11"/>
          <w:sz w:val="20"/>
        </w:rPr>
        <w:t> </w:t>
      </w:r>
      <w:r>
        <w:rPr>
          <w:color w:val="231F20"/>
          <w:sz w:val="20"/>
        </w:rPr>
        <w:t>Jorge</w:t>
      </w:r>
      <w:r>
        <w:rPr>
          <w:color w:val="231F20"/>
          <w:spacing w:val="-11"/>
          <w:sz w:val="20"/>
        </w:rPr>
        <w:t> </w:t>
      </w:r>
      <w:r>
        <w:rPr>
          <w:color w:val="231F20"/>
          <w:sz w:val="20"/>
        </w:rPr>
        <w:t>Durand,</w:t>
      </w:r>
      <w:r>
        <w:rPr>
          <w:color w:val="231F20"/>
          <w:spacing w:val="-11"/>
          <w:sz w:val="20"/>
        </w:rPr>
        <w:t> </w:t>
      </w:r>
      <w:r>
        <w:rPr>
          <w:color w:val="231F20"/>
          <w:sz w:val="20"/>
        </w:rPr>
        <w:t>1994,</w:t>
      </w:r>
      <w:r>
        <w:rPr>
          <w:color w:val="231F20"/>
          <w:spacing w:val="-11"/>
          <w:sz w:val="20"/>
        </w:rPr>
        <w:t> </w:t>
      </w:r>
      <w:r>
        <w:rPr>
          <w:color w:val="231F20"/>
          <w:sz w:val="20"/>
        </w:rPr>
        <w:t>“Contininuities</w:t>
      </w:r>
      <w:r>
        <w:rPr>
          <w:color w:val="231F20"/>
          <w:spacing w:val="-11"/>
          <w:sz w:val="20"/>
        </w:rPr>
        <w:t> </w:t>
      </w:r>
      <w:r>
        <w:rPr>
          <w:color w:val="231F20"/>
          <w:sz w:val="20"/>
        </w:rPr>
        <w:t>in</w:t>
      </w:r>
      <w:r>
        <w:rPr>
          <w:color w:val="231F20"/>
          <w:spacing w:val="-11"/>
          <w:sz w:val="20"/>
        </w:rPr>
        <w:t> </w:t>
      </w:r>
      <w:r>
        <w:rPr>
          <w:color w:val="231F20"/>
          <w:sz w:val="20"/>
        </w:rPr>
        <w:t>trans- national migration: an analysis of nineteen Mexican communities”, en </w:t>
      </w:r>
      <w:r>
        <w:rPr>
          <w:i/>
          <w:color w:val="231F20"/>
          <w:sz w:val="20"/>
        </w:rPr>
        <w:t>American </w:t>
      </w:r>
      <w:r>
        <w:rPr>
          <w:i/>
          <w:color w:val="231F20"/>
          <w:sz w:val="20"/>
        </w:rPr>
        <w:t>Journal of Sociology</w:t>
      </w:r>
      <w:r>
        <w:rPr>
          <w:color w:val="231F20"/>
          <w:sz w:val="20"/>
        </w:rPr>
        <w:t>, vol. 99, issue 6, The Universuty of Chicago</w:t>
      </w:r>
      <w:r>
        <w:rPr>
          <w:color w:val="231F20"/>
          <w:spacing w:val="-6"/>
          <w:sz w:val="20"/>
        </w:rPr>
        <w:t> </w:t>
      </w:r>
      <w:r>
        <w:rPr>
          <w:color w:val="231F20"/>
          <w:sz w:val="20"/>
        </w:rPr>
        <w:t>Press.</w:t>
      </w:r>
    </w:p>
    <w:p>
      <w:pPr>
        <w:spacing w:after="0" w:line="210" w:lineRule="exact"/>
        <w:jc w:val="both"/>
        <w:rPr>
          <w:sz w:val="20"/>
        </w:rPr>
        <w:sectPr>
          <w:footerReference w:type="default" r:id="rId195"/>
          <w:pgSz w:w="9360" w:h="13040"/>
          <w:pgMar w:footer="496" w:header="0" w:top="740" w:bottom="680" w:left="1300" w:right="1300"/>
          <w:pgNumType w:start="271"/>
        </w:sectPr>
      </w:pPr>
    </w:p>
    <w:p>
      <w:pPr>
        <w:tabs>
          <w:tab w:pos="5536" w:val="left" w:leader="none"/>
        </w:tabs>
        <w:spacing w:before="51"/>
        <w:ind w:left="117" w:right="0" w:firstLine="11"/>
        <w:jc w:val="both"/>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19"/>
        </w:rPr>
      </w:pPr>
    </w:p>
    <w:p>
      <w:pPr>
        <w:spacing w:line="210" w:lineRule="exact" w:before="0"/>
        <w:ind w:left="117" w:right="115" w:firstLine="0"/>
        <w:jc w:val="both"/>
        <w:rPr>
          <w:sz w:val="20"/>
        </w:rPr>
      </w:pPr>
      <w:r>
        <w:rPr>
          <w:color w:val="231F20"/>
          <w:sz w:val="20"/>
        </w:rPr>
        <w:t>McKENZIE, D., J. Gibson y S. Stillman, 2006, </w:t>
      </w:r>
      <w:r>
        <w:rPr>
          <w:i/>
          <w:color w:val="231F20"/>
          <w:sz w:val="20"/>
        </w:rPr>
        <w:t>How important is selection? Ex- </w:t>
      </w:r>
      <w:r>
        <w:rPr>
          <w:i/>
          <w:color w:val="231F20"/>
          <w:sz w:val="20"/>
        </w:rPr>
        <w:t>perimental vs. non-experimental measures of the income gains from migration</w:t>
      </w:r>
      <w:r>
        <w:rPr>
          <w:color w:val="231F20"/>
          <w:sz w:val="20"/>
        </w:rPr>
        <w:t>, IZA Discussion Paper, núm. 2087.</w:t>
      </w:r>
    </w:p>
    <w:p>
      <w:pPr>
        <w:spacing w:line="210" w:lineRule="exact" w:before="113"/>
        <w:ind w:left="117" w:right="115" w:firstLine="0"/>
        <w:jc w:val="both"/>
        <w:rPr>
          <w:sz w:val="20"/>
        </w:rPr>
      </w:pPr>
      <w:r>
        <w:rPr>
          <w:color w:val="231F20"/>
          <w:sz w:val="20"/>
        </w:rPr>
        <w:t>MUÑOZ, Humberto, Orlandina de Oliveira y Claudio Stern, 1977, </w:t>
      </w:r>
      <w:r>
        <w:rPr>
          <w:i/>
          <w:color w:val="231F20"/>
          <w:sz w:val="20"/>
        </w:rPr>
        <w:t>Migración y </w:t>
      </w:r>
      <w:r>
        <w:rPr>
          <w:i/>
          <w:color w:val="231F20"/>
          <w:sz w:val="20"/>
        </w:rPr>
        <w:t>desigualdad social en la ciudad de México</w:t>
      </w:r>
      <w:r>
        <w:rPr>
          <w:color w:val="231F20"/>
          <w:sz w:val="20"/>
        </w:rPr>
        <w:t>, El Colegio de México-Instituto de Investigaciones Sociales de la UNAM, México.</w:t>
      </w:r>
    </w:p>
    <w:p>
      <w:pPr>
        <w:spacing w:line="210" w:lineRule="exact" w:before="113"/>
        <w:ind w:left="117" w:right="115" w:firstLine="0"/>
        <w:jc w:val="both"/>
        <w:rPr>
          <w:sz w:val="20"/>
        </w:rPr>
      </w:pPr>
      <w:r>
        <w:rPr>
          <w:color w:val="231F20"/>
          <w:sz w:val="20"/>
        </w:rPr>
        <w:t>OLIVEIRA, Orlandina y Brígida García, 1986, “Encuestas hasta donde”, en </w:t>
      </w:r>
      <w:r>
        <w:rPr>
          <w:i/>
          <w:color w:val="231F20"/>
          <w:sz w:val="20"/>
        </w:rPr>
        <w:t>Pro- </w:t>
      </w:r>
      <w:r>
        <w:rPr>
          <w:i/>
          <w:color w:val="231F20"/>
          <w:sz w:val="20"/>
        </w:rPr>
        <w:t>blemas metodológicos en la investigación sociodemográfica, </w:t>
      </w:r>
      <w:r>
        <w:rPr>
          <w:color w:val="231F20"/>
          <w:sz w:val="20"/>
        </w:rPr>
        <w:t>El Colegio de Mé- xico.</w:t>
      </w:r>
    </w:p>
    <w:p>
      <w:pPr>
        <w:spacing w:line="210" w:lineRule="exact" w:before="113"/>
        <w:ind w:left="117" w:right="114" w:firstLine="0"/>
        <w:jc w:val="both"/>
        <w:rPr>
          <w:sz w:val="20"/>
        </w:rPr>
      </w:pPr>
      <w:r>
        <w:rPr>
          <w:color w:val="231F20"/>
          <w:sz w:val="20"/>
        </w:rPr>
        <w:t>ROZELLE,</w:t>
      </w:r>
      <w:r>
        <w:rPr>
          <w:color w:val="231F20"/>
          <w:spacing w:val="-4"/>
          <w:sz w:val="20"/>
        </w:rPr>
        <w:t> </w:t>
      </w:r>
      <w:r>
        <w:rPr>
          <w:color w:val="231F20"/>
          <w:sz w:val="20"/>
        </w:rPr>
        <w:t>S.,</w:t>
      </w:r>
      <w:r>
        <w:rPr>
          <w:color w:val="231F20"/>
          <w:spacing w:val="-3"/>
          <w:sz w:val="20"/>
        </w:rPr>
        <w:t> </w:t>
      </w:r>
      <w:r>
        <w:rPr>
          <w:color w:val="231F20"/>
          <w:sz w:val="20"/>
        </w:rPr>
        <w:t>J.</w:t>
      </w:r>
      <w:r>
        <w:rPr>
          <w:color w:val="231F20"/>
          <w:spacing w:val="-7"/>
          <w:sz w:val="20"/>
        </w:rPr>
        <w:t> </w:t>
      </w:r>
      <w:r>
        <w:rPr>
          <w:color w:val="231F20"/>
          <w:spacing w:val="-3"/>
          <w:sz w:val="20"/>
        </w:rPr>
        <w:t>Taylor</w:t>
      </w:r>
      <w:r>
        <w:rPr>
          <w:color w:val="231F20"/>
          <w:spacing w:val="-4"/>
          <w:sz w:val="20"/>
        </w:rPr>
        <w:t> </w:t>
      </w:r>
      <w:r>
        <w:rPr>
          <w:color w:val="231F20"/>
          <w:sz w:val="20"/>
        </w:rPr>
        <w:t>y</w:t>
      </w:r>
      <w:r>
        <w:rPr>
          <w:color w:val="231F20"/>
          <w:spacing w:val="-15"/>
          <w:sz w:val="20"/>
        </w:rPr>
        <w:t> </w:t>
      </w:r>
      <w:r>
        <w:rPr>
          <w:color w:val="231F20"/>
          <w:sz w:val="20"/>
        </w:rPr>
        <w:t>A.</w:t>
      </w:r>
      <w:r>
        <w:rPr>
          <w:color w:val="231F20"/>
          <w:spacing w:val="-3"/>
          <w:sz w:val="20"/>
        </w:rPr>
        <w:t> </w:t>
      </w:r>
      <w:r>
        <w:rPr>
          <w:color w:val="231F20"/>
          <w:sz w:val="20"/>
        </w:rPr>
        <w:t>de</w:t>
      </w:r>
      <w:r>
        <w:rPr>
          <w:color w:val="231F20"/>
          <w:spacing w:val="-4"/>
          <w:sz w:val="20"/>
        </w:rPr>
        <w:t> </w:t>
      </w:r>
      <w:r>
        <w:rPr>
          <w:color w:val="231F20"/>
          <w:spacing w:val="-3"/>
          <w:sz w:val="20"/>
        </w:rPr>
        <w:t>Braw,</w:t>
      </w:r>
      <w:r>
        <w:rPr>
          <w:color w:val="231F20"/>
          <w:spacing w:val="-4"/>
          <w:sz w:val="20"/>
        </w:rPr>
        <w:t> </w:t>
      </w:r>
      <w:r>
        <w:rPr>
          <w:color w:val="231F20"/>
          <w:sz w:val="20"/>
        </w:rPr>
        <w:t>1999,</w:t>
      </w:r>
      <w:r>
        <w:rPr>
          <w:color w:val="231F20"/>
          <w:spacing w:val="-3"/>
          <w:sz w:val="20"/>
        </w:rPr>
        <w:t> </w:t>
      </w:r>
      <w:r>
        <w:rPr>
          <w:color w:val="231F20"/>
          <w:sz w:val="20"/>
        </w:rPr>
        <w:t>“Migration,</w:t>
      </w:r>
      <w:r>
        <w:rPr>
          <w:color w:val="231F20"/>
          <w:spacing w:val="-4"/>
          <w:sz w:val="20"/>
        </w:rPr>
        <w:t> </w:t>
      </w:r>
      <w:r>
        <w:rPr>
          <w:color w:val="231F20"/>
          <w:sz w:val="20"/>
        </w:rPr>
        <w:t>remittances</w:t>
      </w:r>
      <w:r>
        <w:rPr>
          <w:color w:val="231F20"/>
          <w:spacing w:val="-4"/>
          <w:sz w:val="20"/>
        </w:rPr>
        <w:t> </w:t>
      </w:r>
      <w:r>
        <w:rPr>
          <w:color w:val="231F20"/>
          <w:sz w:val="20"/>
        </w:rPr>
        <w:t>and</w:t>
      </w:r>
      <w:r>
        <w:rPr>
          <w:color w:val="231F20"/>
          <w:spacing w:val="-4"/>
          <w:sz w:val="20"/>
        </w:rPr>
        <w:t> </w:t>
      </w:r>
      <w:r>
        <w:rPr>
          <w:color w:val="231F20"/>
          <w:sz w:val="20"/>
        </w:rPr>
        <w:t>agricul- tural productivity in China”, en </w:t>
      </w:r>
      <w:r>
        <w:rPr>
          <w:i/>
          <w:color w:val="231F20"/>
          <w:sz w:val="20"/>
        </w:rPr>
        <w:t>The American Economic Review</w:t>
      </w:r>
      <w:r>
        <w:rPr>
          <w:color w:val="231F20"/>
          <w:sz w:val="20"/>
        </w:rPr>
        <w:t>,</w:t>
      </w:r>
      <w:r>
        <w:rPr>
          <w:color w:val="231F20"/>
          <w:spacing w:val="-12"/>
          <w:sz w:val="20"/>
        </w:rPr>
        <w:t> </w:t>
      </w:r>
      <w:r>
        <w:rPr>
          <w:color w:val="231F20"/>
          <w:sz w:val="20"/>
        </w:rPr>
        <w:t>89(2):287-91.</w:t>
      </w:r>
    </w:p>
    <w:p>
      <w:pPr>
        <w:spacing w:line="210" w:lineRule="exact" w:before="113"/>
        <w:ind w:left="117" w:right="114" w:firstLine="0"/>
        <w:jc w:val="both"/>
        <w:rPr>
          <w:sz w:val="20"/>
        </w:rPr>
      </w:pPr>
      <w:r>
        <w:rPr>
          <w:color w:val="231F20"/>
          <w:sz w:val="20"/>
        </w:rPr>
        <w:t>SOLIMANO, A., 2003a, </w:t>
      </w:r>
      <w:r>
        <w:rPr>
          <w:i/>
          <w:color w:val="231F20"/>
          <w:sz w:val="20"/>
        </w:rPr>
        <w:t>Development cycles, political regimes and international </w:t>
      </w:r>
      <w:r>
        <w:rPr>
          <w:i/>
          <w:color w:val="231F20"/>
          <w:sz w:val="20"/>
        </w:rPr>
        <w:t>migration</w:t>
      </w:r>
      <w:r>
        <w:rPr>
          <w:color w:val="231F20"/>
          <w:sz w:val="20"/>
        </w:rPr>
        <w:t>, WIDER, Discussion Paper, núm. 29.</w:t>
      </w:r>
    </w:p>
    <w:p>
      <w:pPr>
        <w:spacing w:line="210" w:lineRule="exact" w:before="113"/>
        <w:ind w:left="117" w:right="115" w:firstLine="0"/>
        <w:jc w:val="both"/>
        <w:rPr>
          <w:sz w:val="20"/>
        </w:rPr>
      </w:pPr>
      <w:r>
        <w:rPr>
          <w:color w:val="231F20"/>
          <w:sz w:val="20"/>
        </w:rPr>
        <w:t>SOLIMANO, A., 2003b, “Remittances by emigrants: issues and evidence. Eco- nomic</w:t>
      </w:r>
      <w:r>
        <w:rPr>
          <w:color w:val="231F20"/>
          <w:spacing w:val="-8"/>
          <w:sz w:val="20"/>
        </w:rPr>
        <w:t> </w:t>
      </w:r>
      <w:r>
        <w:rPr>
          <w:color w:val="231F20"/>
          <w:sz w:val="20"/>
        </w:rPr>
        <w:t>Commission</w:t>
      </w:r>
      <w:r>
        <w:rPr>
          <w:color w:val="231F20"/>
          <w:spacing w:val="-8"/>
          <w:sz w:val="20"/>
        </w:rPr>
        <w:t> </w:t>
      </w:r>
      <w:r>
        <w:rPr>
          <w:color w:val="231F20"/>
          <w:sz w:val="20"/>
        </w:rPr>
        <w:t>for</w:t>
      </w:r>
      <w:r>
        <w:rPr>
          <w:color w:val="231F20"/>
          <w:spacing w:val="-8"/>
          <w:sz w:val="20"/>
        </w:rPr>
        <w:t> </w:t>
      </w:r>
      <w:r>
        <w:rPr>
          <w:color w:val="231F20"/>
          <w:sz w:val="20"/>
        </w:rPr>
        <w:t>Latin</w:t>
      </w:r>
      <w:r>
        <w:rPr>
          <w:color w:val="231F20"/>
          <w:spacing w:val="-18"/>
          <w:sz w:val="20"/>
        </w:rPr>
        <w:t> </w:t>
      </w:r>
      <w:r>
        <w:rPr>
          <w:color w:val="231F20"/>
          <w:sz w:val="20"/>
        </w:rPr>
        <w:t>America</w:t>
      </w:r>
      <w:r>
        <w:rPr>
          <w:color w:val="231F20"/>
          <w:spacing w:val="-8"/>
          <w:sz w:val="20"/>
        </w:rPr>
        <w:t> </w:t>
      </w:r>
      <w:r>
        <w:rPr>
          <w:color w:val="231F20"/>
          <w:sz w:val="20"/>
        </w:rPr>
        <w:t>and</w:t>
      </w:r>
      <w:r>
        <w:rPr>
          <w:color w:val="231F20"/>
          <w:spacing w:val="-8"/>
          <w:sz w:val="20"/>
        </w:rPr>
        <w:t> </w:t>
      </w:r>
      <w:r>
        <w:rPr>
          <w:color w:val="231F20"/>
          <w:sz w:val="20"/>
        </w:rPr>
        <w:t>the</w:t>
      </w:r>
      <w:r>
        <w:rPr>
          <w:color w:val="231F20"/>
          <w:spacing w:val="-8"/>
          <w:sz w:val="20"/>
        </w:rPr>
        <w:t> </w:t>
      </w:r>
      <w:r>
        <w:rPr>
          <w:color w:val="231F20"/>
          <w:sz w:val="20"/>
        </w:rPr>
        <w:t>Caribbean”,</w:t>
      </w:r>
      <w:r>
        <w:rPr>
          <w:color w:val="231F20"/>
          <w:spacing w:val="-8"/>
          <w:sz w:val="20"/>
        </w:rPr>
        <w:t> </w:t>
      </w:r>
      <w:r>
        <w:rPr>
          <w:color w:val="231F20"/>
          <w:sz w:val="20"/>
        </w:rPr>
        <w:t>en</w:t>
      </w:r>
      <w:r>
        <w:rPr>
          <w:color w:val="231F20"/>
          <w:spacing w:val="-8"/>
          <w:sz w:val="20"/>
        </w:rPr>
        <w:t> </w:t>
      </w:r>
      <w:r>
        <w:rPr>
          <w:i/>
          <w:color w:val="231F20"/>
          <w:sz w:val="20"/>
        </w:rPr>
        <w:t>Macroeconomía</w:t>
      </w:r>
      <w:r>
        <w:rPr>
          <w:i/>
          <w:color w:val="231F20"/>
          <w:spacing w:val="-8"/>
          <w:sz w:val="20"/>
        </w:rPr>
        <w:t> </w:t>
      </w:r>
      <w:r>
        <w:rPr>
          <w:i/>
          <w:color w:val="231F20"/>
          <w:sz w:val="20"/>
        </w:rPr>
        <w:t>del </w:t>
      </w:r>
      <w:r>
        <w:rPr>
          <w:i/>
          <w:color w:val="231F20"/>
          <w:sz w:val="20"/>
        </w:rPr>
        <w:t>Desarrollo</w:t>
      </w:r>
      <w:r>
        <w:rPr>
          <w:color w:val="231F20"/>
          <w:sz w:val="20"/>
        </w:rPr>
        <w:t>, núm. 26, Santiago de</w:t>
      </w:r>
      <w:r>
        <w:rPr>
          <w:color w:val="231F20"/>
          <w:spacing w:val="-20"/>
          <w:sz w:val="20"/>
        </w:rPr>
        <w:t> </w:t>
      </w:r>
      <w:r>
        <w:rPr>
          <w:color w:val="231F20"/>
          <w:sz w:val="20"/>
        </w:rPr>
        <w:t>Chile.</w:t>
      </w:r>
    </w:p>
    <w:p>
      <w:pPr>
        <w:spacing w:line="210" w:lineRule="exact" w:before="113"/>
        <w:ind w:left="117" w:right="114" w:firstLine="0"/>
        <w:jc w:val="both"/>
        <w:rPr>
          <w:sz w:val="20"/>
        </w:rPr>
      </w:pPr>
      <w:r>
        <w:rPr>
          <w:color w:val="231F20"/>
          <w:sz w:val="20"/>
        </w:rPr>
        <w:t>TOVAR, Luis y Juan Vélez, 2007, “Los efectos de la migración internacional en las condiciones de vida de los hogares colombianos”, en </w:t>
      </w:r>
      <w:r>
        <w:rPr>
          <w:i/>
          <w:color w:val="231F20"/>
          <w:sz w:val="20"/>
        </w:rPr>
        <w:t>Desarrollo y Sociedad</w:t>
      </w:r>
      <w:r>
        <w:rPr>
          <w:color w:val="231F20"/>
          <w:sz w:val="20"/>
        </w:rPr>
        <w:t>, 155, segundo semestre, Colombia.</w:t>
      </w:r>
    </w:p>
    <w:p>
      <w:pPr>
        <w:spacing w:line="210" w:lineRule="exact" w:before="113"/>
        <w:ind w:left="117" w:right="114" w:firstLine="0"/>
        <w:jc w:val="both"/>
        <w:rPr>
          <w:sz w:val="20"/>
        </w:rPr>
      </w:pPr>
      <w:r>
        <w:rPr>
          <w:color w:val="231F20"/>
          <w:sz w:val="20"/>
        </w:rPr>
        <w:t>YANG, D, 2005, </w:t>
      </w:r>
      <w:r>
        <w:rPr>
          <w:i/>
          <w:color w:val="231F20"/>
          <w:sz w:val="20"/>
        </w:rPr>
        <w:t>International migration, human capital and entrepreneurship: </w:t>
      </w:r>
      <w:r>
        <w:rPr>
          <w:i/>
          <w:color w:val="231F20"/>
          <w:sz w:val="20"/>
        </w:rPr>
        <w:t>Evidence from Philippine migrants. Exchange rate shocks</w:t>
      </w:r>
      <w:r>
        <w:rPr>
          <w:color w:val="231F20"/>
          <w:sz w:val="20"/>
        </w:rPr>
        <w:t>, World Bank Policy Research Working Paper 3578.</w:t>
      </w:r>
    </w:p>
    <w:p>
      <w:pPr>
        <w:pStyle w:val="BodyText"/>
        <w:rPr>
          <w:sz w:val="20"/>
        </w:rPr>
      </w:pPr>
    </w:p>
    <w:p>
      <w:pPr>
        <w:pStyle w:val="BodyText"/>
        <w:rPr>
          <w:sz w:val="20"/>
        </w:rPr>
      </w:pPr>
    </w:p>
    <w:p>
      <w:pPr>
        <w:pStyle w:val="BodyText"/>
        <w:spacing w:before="8"/>
        <w:rPr>
          <w:sz w:val="17"/>
        </w:rPr>
      </w:pPr>
    </w:p>
    <w:p>
      <w:pPr>
        <w:spacing w:before="0"/>
        <w:ind w:left="117" w:right="0" w:firstLine="0"/>
        <w:jc w:val="both"/>
        <w:rPr>
          <w:i/>
          <w:sz w:val="22"/>
        </w:rPr>
      </w:pPr>
      <w:r>
        <w:rPr>
          <w:i/>
          <w:color w:val="231F20"/>
          <w:sz w:val="22"/>
        </w:rPr>
        <w:t>Rosa Patricia Román-Reyes</w:t>
      </w:r>
    </w:p>
    <w:p>
      <w:pPr>
        <w:pStyle w:val="BodyText"/>
        <w:spacing w:before="2"/>
        <w:rPr>
          <w:i/>
          <w:sz w:val="23"/>
        </w:rPr>
      </w:pPr>
    </w:p>
    <w:p>
      <w:pPr>
        <w:pStyle w:val="BodyText"/>
        <w:spacing w:line="247" w:lineRule="auto"/>
        <w:ind w:left="117" w:right="114"/>
        <w:jc w:val="both"/>
      </w:pPr>
      <w:r>
        <w:rPr>
          <w:color w:val="231F20"/>
        </w:rPr>
        <w:t>Doctora</w:t>
      </w:r>
      <w:r>
        <w:rPr>
          <w:color w:val="231F20"/>
          <w:spacing w:val="-6"/>
        </w:rPr>
        <w:t> </w:t>
      </w:r>
      <w:r>
        <w:rPr>
          <w:color w:val="231F20"/>
        </w:rPr>
        <w:t>en</w:t>
      </w:r>
      <w:r>
        <w:rPr>
          <w:color w:val="231F20"/>
          <w:spacing w:val="-6"/>
        </w:rPr>
        <w:t> </w:t>
      </w:r>
      <w:r>
        <w:rPr>
          <w:color w:val="231F20"/>
        </w:rPr>
        <w:t>Estudios</w:t>
      </w:r>
      <w:r>
        <w:rPr>
          <w:color w:val="231F20"/>
          <w:spacing w:val="-7"/>
        </w:rPr>
        <w:t> </w:t>
      </w:r>
      <w:r>
        <w:rPr>
          <w:color w:val="231F20"/>
        </w:rPr>
        <w:t>de</w:t>
      </w:r>
      <w:r>
        <w:rPr>
          <w:color w:val="231F20"/>
          <w:spacing w:val="-6"/>
        </w:rPr>
        <w:t> </w:t>
      </w:r>
      <w:r>
        <w:rPr>
          <w:color w:val="231F20"/>
        </w:rPr>
        <w:t>Población</w:t>
      </w:r>
      <w:r>
        <w:rPr>
          <w:color w:val="231F20"/>
          <w:spacing w:val="-6"/>
        </w:rPr>
        <w:t> </w:t>
      </w:r>
      <w:r>
        <w:rPr>
          <w:color w:val="231F20"/>
        </w:rPr>
        <w:t>por</w:t>
      </w:r>
      <w:r>
        <w:rPr>
          <w:color w:val="231F20"/>
          <w:spacing w:val="-6"/>
        </w:rPr>
        <w:t> </w:t>
      </w:r>
      <w:r>
        <w:rPr>
          <w:color w:val="231F20"/>
        </w:rPr>
        <w:t>El</w:t>
      </w:r>
      <w:r>
        <w:rPr>
          <w:color w:val="231F20"/>
          <w:spacing w:val="-7"/>
        </w:rPr>
        <w:t> </w:t>
      </w:r>
      <w:r>
        <w:rPr>
          <w:color w:val="231F20"/>
        </w:rPr>
        <w:t>Colegio</w:t>
      </w:r>
      <w:r>
        <w:rPr>
          <w:color w:val="231F20"/>
          <w:spacing w:val="-7"/>
        </w:rPr>
        <w:t> </w:t>
      </w:r>
      <w:r>
        <w:rPr>
          <w:color w:val="231F20"/>
        </w:rPr>
        <w:t>de</w:t>
      </w:r>
      <w:r>
        <w:rPr>
          <w:color w:val="231F20"/>
          <w:spacing w:val="-6"/>
        </w:rPr>
        <w:t> </w:t>
      </w:r>
      <w:r>
        <w:rPr>
          <w:color w:val="231F20"/>
        </w:rPr>
        <w:t>México.</w:t>
      </w:r>
      <w:r>
        <w:rPr>
          <w:color w:val="231F20"/>
          <w:spacing w:val="-6"/>
        </w:rPr>
        <w:t> </w:t>
      </w:r>
      <w:r>
        <w:rPr>
          <w:color w:val="231F20"/>
        </w:rPr>
        <w:t>Desde</w:t>
      </w:r>
      <w:r>
        <w:rPr>
          <w:color w:val="231F20"/>
          <w:spacing w:val="-6"/>
        </w:rPr>
        <w:t> </w:t>
      </w:r>
      <w:r>
        <w:rPr>
          <w:color w:val="231F20"/>
        </w:rPr>
        <w:t>el</w:t>
      </w:r>
      <w:r>
        <w:rPr>
          <w:color w:val="231F20"/>
          <w:spacing w:val="-7"/>
        </w:rPr>
        <w:t> </w:t>
      </w:r>
      <w:r>
        <w:rPr>
          <w:color w:val="231F20"/>
        </w:rPr>
        <w:t>año 2007</w:t>
      </w:r>
      <w:r>
        <w:rPr>
          <w:color w:val="231F20"/>
          <w:spacing w:val="-8"/>
        </w:rPr>
        <w:t> </w:t>
      </w:r>
      <w:r>
        <w:rPr>
          <w:color w:val="231F20"/>
        </w:rPr>
        <w:t>se</w:t>
      </w:r>
      <w:r>
        <w:rPr>
          <w:color w:val="231F20"/>
          <w:spacing w:val="-8"/>
        </w:rPr>
        <w:t> </w:t>
      </w:r>
      <w:r>
        <w:rPr>
          <w:color w:val="231F20"/>
        </w:rPr>
        <w:t>desempeña</w:t>
      </w:r>
      <w:r>
        <w:rPr>
          <w:color w:val="231F20"/>
          <w:spacing w:val="-8"/>
        </w:rPr>
        <w:t> </w:t>
      </w:r>
      <w:r>
        <w:rPr>
          <w:color w:val="231F20"/>
        </w:rPr>
        <w:t>como</w:t>
      </w:r>
      <w:r>
        <w:rPr>
          <w:color w:val="231F20"/>
          <w:spacing w:val="-8"/>
        </w:rPr>
        <w:t> </w:t>
      </w:r>
      <w:r>
        <w:rPr>
          <w:color w:val="231F20"/>
        </w:rPr>
        <w:t>profesora-investigadora</w:t>
      </w:r>
      <w:r>
        <w:rPr>
          <w:color w:val="231F20"/>
          <w:spacing w:val="-8"/>
        </w:rPr>
        <w:t> </w:t>
      </w:r>
      <w:r>
        <w:rPr>
          <w:color w:val="231F20"/>
        </w:rPr>
        <w:t>de</w:t>
      </w:r>
      <w:r>
        <w:rPr>
          <w:color w:val="231F20"/>
          <w:spacing w:val="-8"/>
        </w:rPr>
        <w:t> </w:t>
      </w:r>
      <w:r>
        <w:rPr>
          <w:color w:val="231F20"/>
        </w:rPr>
        <w:t>tiempo</w:t>
      </w:r>
      <w:r>
        <w:rPr>
          <w:color w:val="231F20"/>
          <w:spacing w:val="-9"/>
        </w:rPr>
        <w:t> </w:t>
      </w:r>
      <w:r>
        <w:rPr>
          <w:color w:val="231F20"/>
        </w:rPr>
        <w:t>Completo</w:t>
      </w:r>
      <w:r>
        <w:rPr>
          <w:color w:val="231F20"/>
          <w:spacing w:val="-8"/>
        </w:rPr>
        <w:t> </w:t>
      </w:r>
      <w:r>
        <w:rPr>
          <w:color w:val="231F20"/>
        </w:rPr>
        <w:t>del Centro de Investigación y Estudios Avanzados de la Población de la Uni- versidad Autónoma del Estado de México (CIEAP/UAEM). Es miembro del Sistema Nacional de Investigadores del CONACYT Nivel I y Perfil deseable de </w:t>
      </w:r>
      <w:r>
        <w:rPr>
          <w:color w:val="231F20"/>
          <w:spacing w:val="-5"/>
        </w:rPr>
        <w:t>PROMEP. </w:t>
      </w:r>
      <w:r>
        <w:rPr>
          <w:color w:val="231F20"/>
        </w:rPr>
        <w:t>Entre sus últimas publicaciones destacan </w:t>
      </w:r>
      <w:r>
        <w:rPr>
          <w:i/>
          <w:color w:val="231F20"/>
        </w:rPr>
        <w:t>Familia  </w:t>
      </w:r>
      <w:r>
        <w:rPr>
          <w:i/>
          <w:color w:val="231F20"/>
        </w:rPr>
        <w:t>y Migración </w:t>
      </w:r>
      <w:r>
        <w:rPr>
          <w:color w:val="231F20"/>
        </w:rPr>
        <w:t>(coautora), Universidad Autónoma del Estado de México y Miguel Ángel Porrúa, 2013, y los artículos “Un ejercicio de tipificación de la relación trabajo y familia”, en el número 78 de la revista </w:t>
      </w:r>
      <w:r>
        <w:rPr>
          <w:i/>
          <w:color w:val="231F20"/>
        </w:rPr>
        <w:t>Papeles   </w:t>
      </w:r>
      <w:r>
        <w:rPr>
          <w:i/>
          <w:color w:val="231F20"/>
        </w:rPr>
        <w:t>de Población</w:t>
      </w:r>
      <w:r>
        <w:rPr>
          <w:color w:val="231F20"/>
        </w:rPr>
        <w:t>, 2013, y “Trabajo y familia: ¿cómo se articula esta frágil relación?”,</w:t>
      </w:r>
      <w:r>
        <w:rPr>
          <w:color w:val="231F20"/>
          <w:spacing w:val="-6"/>
        </w:rPr>
        <w:t> </w:t>
      </w:r>
      <w:r>
        <w:rPr>
          <w:color w:val="231F20"/>
        </w:rPr>
        <w:t>en</w:t>
      </w:r>
      <w:r>
        <w:rPr>
          <w:color w:val="231F20"/>
          <w:spacing w:val="-6"/>
        </w:rPr>
        <w:t> </w:t>
      </w:r>
      <w:r>
        <w:rPr>
          <w:i/>
          <w:color w:val="231F20"/>
        </w:rPr>
        <w:t>Convergencia</w:t>
      </w:r>
      <w:r>
        <w:rPr>
          <w:color w:val="231F20"/>
        </w:rPr>
        <w:t>,</w:t>
      </w:r>
      <w:r>
        <w:rPr>
          <w:color w:val="231F20"/>
          <w:spacing w:val="-6"/>
        </w:rPr>
        <w:t> </w:t>
      </w:r>
      <w:r>
        <w:rPr>
          <w:color w:val="231F20"/>
        </w:rPr>
        <w:t>revista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Facultad</w:t>
      </w:r>
      <w:r>
        <w:rPr>
          <w:color w:val="231F20"/>
          <w:spacing w:val="-5"/>
        </w:rPr>
        <w:t> </w:t>
      </w:r>
      <w:r>
        <w:rPr>
          <w:color w:val="231F20"/>
        </w:rPr>
        <w:t>de</w:t>
      </w:r>
      <w:r>
        <w:rPr>
          <w:color w:val="231F20"/>
          <w:spacing w:val="-6"/>
        </w:rPr>
        <w:t> </w:t>
      </w:r>
      <w:r>
        <w:rPr>
          <w:color w:val="231F20"/>
        </w:rPr>
        <w:t>Ciencias</w:t>
      </w:r>
      <w:r>
        <w:rPr>
          <w:color w:val="231F20"/>
          <w:spacing w:val="-6"/>
        </w:rPr>
        <w:t> </w:t>
      </w:r>
      <w:r>
        <w:rPr>
          <w:color w:val="231F20"/>
        </w:rPr>
        <w:t>Políticas</w:t>
      </w:r>
      <w:r>
        <w:rPr>
          <w:color w:val="231F20"/>
          <w:spacing w:val="-5"/>
        </w:rPr>
        <w:t> </w:t>
      </w:r>
      <w:r>
        <w:rPr>
          <w:color w:val="231F20"/>
        </w:rPr>
        <w:t>y Sociales de la UAEM,</w:t>
      </w:r>
      <w:r>
        <w:rPr>
          <w:color w:val="231F20"/>
          <w:spacing w:val="-11"/>
        </w:rPr>
        <w:t> </w:t>
      </w:r>
      <w:r>
        <w:rPr>
          <w:color w:val="231F20"/>
        </w:rPr>
        <w:t>2012.</w:t>
      </w:r>
    </w:p>
    <w:p>
      <w:pPr>
        <w:pStyle w:val="BodyText"/>
        <w:spacing w:before="6"/>
      </w:pPr>
    </w:p>
    <w:p>
      <w:pPr>
        <w:pStyle w:val="BodyText"/>
        <w:ind w:left="117"/>
        <w:jc w:val="both"/>
      </w:pPr>
      <w:r>
        <w:rPr>
          <w:color w:val="231F20"/>
        </w:rPr>
        <w:t>Correo electrónico: </w:t>
      </w:r>
      <w:hyperlink r:id="rId196">
        <w:r>
          <w:rPr>
            <w:color w:val="231F20"/>
          </w:rPr>
          <w:t>rpromanr@uaemex.mx</w:t>
        </w:r>
      </w:hyperlink>
    </w:p>
    <w:p>
      <w:pPr>
        <w:spacing w:after="0"/>
        <w:jc w:val="both"/>
        <w:sectPr>
          <w:pgSz w:w="9360" w:h="13040"/>
          <w:pgMar w:header="0" w:footer="496" w:top="840" w:bottom="680" w:left="1300" w:right="1300"/>
        </w:sectPr>
      </w:pPr>
    </w:p>
    <w:p>
      <w:pPr>
        <w:spacing w:before="45"/>
        <w:ind w:left="820" w:right="0" w:firstLine="0"/>
        <w:jc w:val="left"/>
        <w:rPr>
          <w:rFonts w:ascii="Arial" w:hAnsi="Arial"/>
          <w:sz w:val="20"/>
        </w:rPr>
      </w:pPr>
      <w:r>
        <w:rPr>
          <w:rFonts w:ascii="Arial" w:hAnsi="Arial"/>
          <w:color w:val="231F20"/>
          <w:w w:val="70"/>
          <w:sz w:val="20"/>
        </w:rPr>
        <w:t>Migración y remesas internacionales, efectos sobre la economía local...   /David Iglesias-Piña</w:t>
      </w:r>
    </w:p>
    <w:p>
      <w:pPr>
        <w:pStyle w:val="BodyText"/>
        <w:spacing w:before="1"/>
        <w:rPr>
          <w:rFonts w:ascii="Arial"/>
          <w:sz w:val="27"/>
        </w:rPr>
      </w:pPr>
    </w:p>
    <w:p>
      <w:pPr>
        <w:spacing w:before="0"/>
        <w:ind w:left="117" w:right="0" w:firstLine="0"/>
        <w:jc w:val="both"/>
        <w:rPr>
          <w:i/>
          <w:sz w:val="22"/>
        </w:rPr>
      </w:pPr>
      <w:r>
        <w:rPr>
          <w:i/>
          <w:color w:val="231F20"/>
          <w:sz w:val="22"/>
        </w:rPr>
        <w:t>Juan Gabino González Becerril</w:t>
      </w:r>
    </w:p>
    <w:p>
      <w:pPr>
        <w:pStyle w:val="BodyText"/>
        <w:spacing w:before="2"/>
        <w:rPr>
          <w:i/>
          <w:sz w:val="23"/>
        </w:rPr>
      </w:pPr>
    </w:p>
    <w:p>
      <w:pPr>
        <w:spacing w:line="247" w:lineRule="auto" w:before="0"/>
        <w:ind w:left="117" w:right="114" w:firstLine="0"/>
        <w:jc w:val="both"/>
        <w:rPr>
          <w:sz w:val="22"/>
        </w:rPr>
      </w:pPr>
      <w:r>
        <w:rPr>
          <w:color w:val="231F20"/>
          <w:sz w:val="22"/>
        </w:rPr>
        <w:t>Maestro en Estudios de Población por El Colegio de la Frontera Norte. Es profesor-investigador de tiempo completo en el Centro de Investigación y Estudios Avanzados de la Población de la Universidad Autónoma del Es- tado</w:t>
      </w:r>
      <w:r>
        <w:rPr>
          <w:color w:val="231F20"/>
          <w:spacing w:val="-5"/>
          <w:sz w:val="22"/>
        </w:rPr>
        <w:t> </w:t>
      </w:r>
      <w:r>
        <w:rPr>
          <w:color w:val="231F20"/>
          <w:sz w:val="22"/>
        </w:rPr>
        <w:t>de</w:t>
      </w:r>
      <w:r>
        <w:rPr>
          <w:color w:val="231F20"/>
          <w:spacing w:val="-5"/>
          <w:sz w:val="22"/>
        </w:rPr>
        <w:t> </w:t>
      </w:r>
      <w:r>
        <w:rPr>
          <w:color w:val="231F20"/>
          <w:sz w:val="22"/>
        </w:rPr>
        <w:t>México</w:t>
      </w:r>
      <w:r>
        <w:rPr>
          <w:color w:val="231F20"/>
          <w:spacing w:val="-5"/>
          <w:sz w:val="22"/>
        </w:rPr>
        <w:t> </w:t>
      </w:r>
      <w:r>
        <w:rPr>
          <w:color w:val="231F20"/>
          <w:sz w:val="22"/>
        </w:rPr>
        <w:t>(CIEAP/UAEM)</w:t>
      </w:r>
      <w:r>
        <w:rPr>
          <w:color w:val="231F20"/>
          <w:spacing w:val="-5"/>
          <w:sz w:val="22"/>
        </w:rPr>
        <w:t> </w:t>
      </w:r>
      <w:r>
        <w:rPr>
          <w:color w:val="231F20"/>
          <w:sz w:val="22"/>
        </w:rPr>
        <w:t>y</w:t>
      </w:r>
      <w:r>
        <w:rPr>
          <w:color w:val="231F20"/>
          <w:spacing w:val="-5"/>
          <w:sz w:val="22"/>
        </w:rPr>
        <w:t> </w:t>
      </w:r>
      <w:r>
        <w:rPr>
          <w:color w:val="231F20"/>
          <w:sz w:val="22"/>
        </w:rPr>
        <w:t>es</w:t>
      </w:r>
      <w:r>
        <w:rPr>
          <w:color w:val="231F20"/>
          <w:spacing w:val="-5"/>
          <w:sz w:val="22"/>
        </w:rPr>
        <w:t> </w:t>
      </w:r>
      <w:r>
        <w:rPr>
          <w:color w:val="231F20"/>
          <w:sz w:val="22"/>
        </w:rPr>
        <w:t>director</w:t>
      </w:r>
      <w:r>
        <w:rPr>
          <w:color w:val="231F20"/>
          <w:spacing w:val="-5"/>
          <w:sz w:val="22"/>
        </w:rPr>
        <w:t> </w:t>
      </w:r>
      <w:r>
        <w:rPr>
          <w:color w:val="231F20"/>
          <w:sz w:val="22"/>
        </w:rPr>
        <w:t>de</w:t>
      </w:r>
      <w:r>
        <w:rPr>
          <w:color w:val="231F20"/>
          <w:spacing w:val="-5"/>
          <w:sz w:val="22"/>
        </w:rPr>
        <w:t> </w:t>
      </w:r>
      <w:r>
        <w:rPr>
          <w:color w:val="231F20"/>
          <w:sz w:val="22"/>
        </w:rPr>
        <w:t>la</w:t>
      </w:r>
      <w:r>
        <w:rPr>
          <w:color w:val="231F20"/>
          <w:spacing w:val="-5"/>
          <w:sz w:val="22"/>
        </w:rPr>
        <w:t> </w:t>
      </w:r>
      <w:r>
        <w:rPr>
          <w:color w:val="231F20"/>
          <w:sz w:val="22"/>
        </w:rPr>
        <w:t>revista</w:t>
      </w:r>
      <w:r>
        <w:rPr>
          <w:color w:val="231F20"/>
          <w:spacing w:val="-5"/>
          <w:sz w:val="22"/>
        </w:rPr>
        <w:t> </w:t>
      </w:r>
      <w:r>
        <w:rPr>
          <w:i/>
          <w:color w:val="231F20"/>
          <w:sz w:val="22"/>
        </w:rPr>
        <w:t>Papeles</w:t>
      </w:r>
      <w:r>
        <w:rPr>
          <w:i/>
          <w:color w:val="231F20"/>
          <w:spacing w:val="-5"/>
          <w:sz w:val="22"/>
        </w:rPr>
        <w:t> </w:t>
      </w:r>
      <w:r>
        <w:rPr>
          <w:i/>
          <w:color w:val="231F20"/>
          <w:sz w:val="22"/>
        </w:rPr>
        <w:t>de</w:t>
      </w:r>
      <w:r>
        <w:rPr>
          <w:i/>
          <w:color w:val="231F20"/>
          <w:spacing w:val="-5"/>
          <w:sz w:val="22"/>
        </w:rPr>
        <w:t> </w:t>
      </w:r>
      <w:r>
        <w:rPr>
          <w:i/>
          <w:color w:val="231F20"/>
          <w:sz w:val="22"/>
        </w:rPr>
        <w:t>Po- </w:t>
      </w:r>
      <w:r>
        <w:rPr>
          <w:i/>
          <w:color w:val="231F20"/>
          <w:sz w:val="22"/>
        </w:rPr>
        <w:t>blación</w:t>
      </w:r>
      <w:r>
        <w:rPr>
          <w:color w:val="231F20"/>
          <w:sz w:val="22"/>
        </w:rPr>
        <w:t>.</w:t>
      </w:r>
      <w:r>
        <w:rPr>
          <w:color w:val="231F20"/>
          <w:spacing w:val="-8"/>
          <w:sz w:val="22"/>
        </w:rPr>
        <w:t> </w:t>
      </w:r>
      <w:r>
        <w:rPr>
          <w:color w:val="231F20"/>
          <w:sz w:val="22"/>
        </w:rPr>
        <w:t>Entre</w:t>
      </w:r>
      <w:r>
        <w:rPr>
          <w:color w:val="231F20"/>
          <w:spacing w:val="-9"/>
          <w:sz w:val="22"/>
        </w:rPr>
        <w:t> </w:t>
      </w:r>
      <w:r>
        <w:rPr>
          <w:color w:val="231F20"/>
          <w:sz w:val="22"/>
        </w:rPr>
        <w:t>sus</w:t>
      </w:r>
      <w:r>
        <w:rPr>
          <w:color w:val="231F20"/>
          <w:spacing w:val="-8"/>
          <w:sz w:val="22"/>
        </w:rPr>
        <w:t> </w:t>
      </w:r>
      <w:r>
        <w:rPr>
          <w:color w:val="231F20"/>
          <w:sz w:val="22"/>
        </w:rPr>
        <w:t>publicaciones</w:t>
      </w:r>
      <w:r>
        <w:rPr>
          <w:color w:val="231F20"/>
          <w:spacing w:val="-8"/>
          <w:sz w:val="22"/>
        </w:rPr>
        <w:t> </w:t>
      </w:r>
      <w:r>
        <w:rPr>
          <w:color w:val="231F20"/>
          <w:sz w:val="22"/>
        </w:rPr>
        <w:t>recientes</w:t>
      </w:r>
      <w:r>
        <w:rPr>
          <w:color w:val="231F20"/>
          <w:spacing w:val="-8"/>
          <w:sz w:val="22"/>
        </w:rPr>
        <w:t> </w:t>
      </w:r>
      <w:r>
        <w:rPr>
          <w:color w:val="231F20"/>
          <w:sz w:val="22"/>
        </w:rPr>
        <w:t>destacan</w:t>
      </w:r>
      <w:r>
        <w:rPr>
          <w:color w:val="231F20"/>
          <w:spacing w:val="-8"/>
          <w:sz w:val="22"/>
        </w:rPr>
        <w:t> </w:t>
      </w:r>
      <w:r>
        <w:rPr>
          <w:i/>
          <w:color w:val="231F20"/>
          <w:sz w:val="22"/>
        </w:rPr>
        <w:t>Migración</w:t>
      </w:r>
      <w:r>
        <w:rPr>
          <w:i/>
          <w:color w:val="231F20"/>
          <w:spacing w:val="-8"/>
          <w:sz w:val="22"/>
        </w:rPr>
        <w:t> </w:t>
      </w:r>
      <w:r>
        <w:rPr>
          <w:i/>
          <w:color w:val="231F20"/>
          <w:sz w:val="22"/>
        </w:rPr>
        <w:t>mexiquense </w:t>
      </w:r>
      <w:r>
        <w:rPr>
          <w:i/>
          <w:color w:val="231F20"/>
          <w:sz w:val="22"/>
        </w:rPr>
        <w:t>a Estados Unidos: un análisis interdisciplinario</w:t>
      </w:r>
      <w:r>
        <w:rPr>
          <w:color w:val="231F20"/>
          <w:sz w:val="22"/>
        </w:rPr>
        <w:t>, 2012; </w:t>
      </w:r>
      <w:r>
        <w:rPr>
          <w:i/>
          <w:color w:val="231F20"/>
          <w:sz w:val="22"/>
        </w:rPr>
        <w:t>Encuesta </w:t>
      </w:r>
      <w:r>
        <w:rPr>
          <w:i/>
          <w:color w:val="231F20"/>
          <w:spacing w:val="-3"/>
          <w:sz w:val="22"/>
        </w:rPr>
        <w:t>sobre </w:t>
      </w:r>
      <w:r>
        <w:rPr>
          <w:i/>
          <w:color w:val="231F20"/>
          <w:sz w:val="22"/>
        </w:rPr>
        <w:t>Migración de Mexiquenses a Estados Unidos </w:t>
      </w:r>
      <w:r>
        <w:rPr>
          <w:color w:val="231F20"/>
          <w:sz w:val="22"/>
        </w:rPr>
        <w:t>(EMMEU 2009), 2012, y </w:t>
      </w:r>
      <w:r>
        <w:rPr>
          <w:i/>
          <w:color w:val="231F20"/>
          <w:sz w:val="22"/>
        </w:rPr>
        <w:t>Demografía indígena en el Estado de México</w:t>
      </w:r>
      <w:r>
        <w:rPr>
          <w:color w:val="231F20"/>
          <w:sz w:val="22"/>
        </w:rPr>
        <w:t>, 2013 (coautor); todas las publicaciones bajo el sello editorial de</w:t>
      </w:r>
      <w:r>
        <w:rPr>
          <w:color w:val="231F20"/>
          <w:spacing w:val="-5"/>
          <w:sz w:val="22"/>
        </w:rPr>
        <w:t> </w:t>
      </w:r>
      <w:r>
        <w:rPr>
          <w:color w:val="231F20"/>
          <w:sz w:val="22"/>
        </w:rPr>
        <w:t>CIEAP-UAEM.</w:t>
      </w:r>
    </w:p>
    <w:p>
      <w:pPr>
        <w:pStyle w:val="BodyText"/>
        <w:spacing w:before="6"/>
      </w:pPr>
    </w:p>
    <w:p>
      <w:pPr>
        <w:pStyle w:val="BodyText"/>
        <w:ind w:left="117"/>
        <w:jc w:val="both"/>
      </w:pPr>
      <w:r>
        <w:rPr>
          <w:color w:val="231F20"/>
        </w:rPr>
        <w:t>Correo electrónico: </w:t>
      </w:r>
      <w:hyperlink r:id="rId197">
        <w:r>
          <w:rPr>
            <w:color w:val="231F20"/>
          </w:rPr>
          <w:t>gonzalezg2012@hotmail.com</w:t>
        </w:r>
      </w:hyperlink>
    </w:p>
    <w:p>
      <w:pPr>
        <w:pStyle w:val="BodyText"/>
        <w:spacing w:before="2"/>
        <w:rPr>
          <w:sz w:val="23"/>
        </w:rPr>
      </w:pPr>
    </w:p>
    <w:p>
      <w:pPr>
        <w:spacing w:before="0"/>
        <w:ind w:left="117" w:right="0" w:firstLine="0"/>
        <w:jc w:val="both"/>
        <w:rPr>
          <w:i/>
          <w:sz w:val="22"/>
        </w:rPr>
      </w:pPr>
      <w:r>
        <w:rPr>
          <w:i/>
          <w:color w:val="231F20"/>
          <w:sz w:val="22"/>
        </w:rPr>
        <w:t>José Antonio Soberón-Mora</w:t>
      </w:r>
    </w:p>
    <w:p>
      <w:pPr>
        <w:pStyle w:val="BodyText"/>
        <w:spacing w:before="2"/>
        <w:rPr>
          <w:i/>
          <w:sz w:val="23"/>
        </w:rPr>
      </w:pPr>
    </w:p>
    <w:p>
      <w:pPr>
        <w:pStyle w:val="BodyText"/>
        <w:spacing w:line="247" w:lineRule="auto"/>
        <w:ind w:left="117" w:right="114"/>
        <w:jc w:val="both"/>
      </w:pPr>
      <w:r>
        <w:rPr>
          <w:color w:val="231F20"/>
        </w:rPr>
        <w:t>Maestro en Demografía por El Colegio de la Frontera Norte. Es profesor- investigador de tiempo completo en el Centro de Investigación y Estudios Avanzados de la Población de la Universidad Autónoma del Estado de México (CIEAP/UAEM) donde imparte los cursos de Demografía y Cali- dad de </w:t>
      </w:r>
      <w:r>
        <w:rPr>
          <w:color w:val="231F20"/>
          <w:spacing w:val="-3"/>
        </w:rPr>
        <w:t>Vida. </w:t>
      </w:r>
      <w:r>
        <w:rPr>
          <w:color w:val="231F20"/>
        </w:rPr>
        <w:t>Entre sus últimas publicaciones se encuentran “Migración de retorno de mexiquenses provenientes de Estados Unidos y características de los migrantes ausentes” (coautor), en </w:t>
      </w:r>
      <w:r>
        <w:rPr>
          <w:i/>
          <w:color w:val="231F20"/>
        </w:rPr>
        <w:t>Migración mexiquense a Estados </w:t>
      </w:r>
      <w:r>
        <w:rPr>
          <w:i/>
          <w:color w:val="231F20"/>
        </w:rPr>
        <w:t>Unidos: un análisis interdisciplinario</w:t>
      </w:r>
      <w:r>
        <w:rPr>
          <w:color w:val="231F20"/>
        </w:rPr>
        <w:t>, Universidad Autónoma del Estado de México, 2012; “Migración de retorno y salud”, en </w:t>
      </w:r>
      <w:r>
        <w:rPr>
          <w:i/>
          <w:color w:val="231F20"/>
        </w:rPr>
        <w:t>La salud y la migra- </w:t>
      </w:r>
      <w:r>
        <w:rPr>
          <w:i/>
          <w:color w:val="231F20"/>
        </w:rPr>
        <w:t>ción</w:t>
      </w:r>
      <w:r>
        <w:rPr>
          <w:i/>
          <w:color w:val="231F20"/>
          <w:spacing w:val="-5"/>
        </w:rPr>
        <w:t> </w:t>
      </w:r>
      <w:r>
        <w:rPr>
          <w:i/>
          <w:color w:val="231F20"/>
        </w:rPr>
        <w:t>en</w:t>
      </w:r>
      <w:r>
        <w:rPr>
          <w:i/>
          <w:color w:val="231F20"/>
          <w:spacing w:val="-4"/>
        </w:rPr>
        <w:t> </w:t>
      </w:r>
      <w:r>
        <w:rPr>
          <w:i/>
          <w:color w:val="231F20"/>
        </w:rPr>
        <w:t>México</w:t>
      </w:r>
      <w:r>
        <w:rPr>
          <w:color w:val="231F20"/>
        </w:rPr>
        <w:t>,</w:t>
      </w:r>
      <w:r>
        <w:rPr>
          <w:color w:val="231F20"/>
          <w:spacing w:val="-4"/>
        </w:rPr>
        <w:t> </w:t>
      </w:r>
      <w:r>
        <w:rPr>
          <w:color w:val="231F20"/>
        </w:rPr>
        <w:t>Gobierno</w:t>
      </w:r>
      <w:r>
        <w:rPr>
          <w:color w:val="231F20"/>
          <w:spacing w:val="-4"/>
        </w:rPr>
        <w:t> </w:t>
      </w:r>
      <w:r>
        <w:rPr>
          <w:color w:val="231F20"/>
        </w:rPr>
        <w:t>del</w:t>
      </w:r>
      <w:r>
        <w:rPr>
          <w:color w:val="231F20"/>
          <w:spacing w:val="-4"/>
        </w:rPr>
        <w:t> </w:t>
      </w:r>
      <w:r>
        <w:rPr>
          <w:color w:val="231F20"/>
        </w:rPr>
        <w:t>Estado</w:t>
      </w:r>
      <w:r>
        <w:rPr>
          <w:color w:val="231F20"/>
          <w:spacing w:val="-5"/>
        </w:rPr>
        <w:t> </w:t>
      </w:r>
      <w:r>
        <w:rPr>
          <w:color w:val="231F20"/>
        </w:rPr>
        <w:t>de</w:t>
      </w:r>
      <w:r>
        <w:rPr>
          <w:color w:val="231F20"/>
          <w:spacing w:val="-4"/>
        </w:rPr>
        <w:t> </w:t>
      </w:r>
      <w:r>
        <w:rPr>
          <w:color w:val="231F20"/>
        </w:rPr>
        <w:t>México,</w:t>
      </w:r>
      <w:r>
        <w:rPr>
          <w:color w:val="231F20"/>
          <w:spacing w:val="-4"/>
        </w:rPr>
        <w:t> </w:t>
      </w:r>
      <w:r>
        <w:rPr>
          <w:color w:val="231F20"/>
        </w:rPr>
        <w:t>UAEM,</w:t>
      </w:r>
      <w:r>
        <w:rPr>
          <w:color w:val="231F20"/>
          <w:spacing w:val="-4"/>
        </w:rPr>
        <w:t> </w:t>
      </w:r>
      <w:r>
        <w:rPr>
          <w:color w:val="231F20"/>
        </w:rPr>
        <w:t>El</w:t>
      </w:r>
      <w:r>
        <w:rPr>
          <w:color w:val="231F20"/>
          <w:spacing w:val="-4"/>
        </w:rPr>
        <w:t> </w:t>
      </w:r>
      <w:r>
        <w:rPr>
          <w:color w:val="231F20"/>
        </w:rPr>
        <w:t>Colegio</w:t>
      </w:r>
      <w:r>
        <w:rPr>
          <w:color w:val="231F20"/>
          <w:spacing w:val="-4"/>
        </w:rPr>
        <w:t> </w:t>
      </w:r>
      <w:r>
        <w:rPr>
          <w:color w:val="231F20"/>
        </w:rPr>
        <w:t>de</w:t>
      </w:r>
      <w:r>
        <w:rPr>
          <w:color w:val="231F20"/>
          <w:spacing w:val="-4"/>
        </w:rPr>
        <w:t> </w:t>
      </w:r>
      <w:r>
        <w:rPr>
          <w:color w:val="231F20"/>
        </w:rPr>
        <w:t>la Frontera </w:t>
      </w:r>
      <w:r>
        <w:rPr>
          <w:color w:val="231F20"/>
          <w:spacing w:val="-3"/>
        </w:rPr>
        <w:t>Sur, </w:t>
      </w:r>
      <w:r>
        <w:rPr>
          <w:color w:val="231F20"/>
        </w:rPr>
        <w:t>COESPO,</w:t>
      </w:r>
      <w:r>
        <w:rPr>
          <w:color w:val="231F20"/>
          <w:spacing w:val="-4"/>
        </w:rPr>
        <w:t> </w:t>
      </w:r>
      <w:r>
        <w:rPr>
          <w:color w:val="231F20"/>
        </w:rPr>
        <w:t>2012.</w:t>
      </w:r>
    </w:p>
    <w:p>
      <w:pPr>
        <w:pStyle w:val="BodyText"/>
        <w:spacing w:before="6"/>
      </w:pPr>
    </w:p>
    <w:p>
      <w:pPr>
        <w:pStyle w:val="BodyText"/>
        <w:ind w:left="117"/>
        <w:jc w:val="both"/>
      </w:pPr>
      <w:r>
        <w:rPr>
          <w:color w:val="231F20"/>
        </w:rPr>
        <w:t>Correo electrónico: </w:t>
      </w:r>
      <w:hyperlink r:id="rId198">
        <w:r>
          <w:rPr>
            <w:color w:val="231F20"/>
          </w:rPr>
          <w:t>josesoberon2004@yahoo.com</w:t>
        </w:r>
      </w:hyperlink>
    </w:p>
    <w:p>
      <w:pPr>
        <w:spacing w:after="0"/>
        <w:jc w:val="both"/>
        <w:sectPr>
          <w:pgSz w:w="9360" w:h="13040"/>
          <w:pgMar w:header="0" w:footer="496" w:top="740" w:bottom="680" w:left="1300" w:right="1300"/>
        </w:sectPr>
      </w:pPr>
    </w:p>
    <w:p>
      <w:pPr>
        <w:pStyle w:val="BodyText"/>
        <w:ind w:left="115"/>
        <w:rPr>
          <w:sz w:val="20"/>
        </w:rPr>
      </w:pPr>
      <w:r>
        <w:rPr/>
        <w:pict>
          <v:shape style="position:absolute;margin-left:61.794998pt;margin-top:20.784994pt;width:353.4pt;height:43.5pt;mso-position-horizontal-relative:page;mso-position-vertical-relative:page;z-index:-637552" type="#_x0000_t202" filled="false" stroked="false">
            <v:textbox inset="0,0,0,0">
              <w:txbxContent>
                <w:p>
                  <w:pPr>
                    <w:pStyle w:val="BodyText"/>
                  </w:pPr>
                </w:p>
                <w:p>
                  <w:pPr>
                    <w:pStyle w:val="BodyText"/>
                    <w:rPr>
                      <w:sz w:val="21"/>
                    </w:rPr>
                  </w:pPr>
                </w:p>
                <w:p>
                  <w:pPr>
                    <w:tabs>
                      <w:tab w:pos="5600" w:val="left" w:leader="none"/>
                    </w:tabs>
                    <w:spacing w:before="0"/>
                    <w:ind w:left="188" w:right="0" w:firstLine="0"/>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txbxContent>
            </v:textbox>
            <w10:wrap type="none"/>
          </v:shape>
        </w:pict>
      </w:r>
      <w:r>
        <w:rPr/>
        <w:pict>
          <v:shape style="position:absolute;margin-left:61.794998pt;margin-top:592.723999pt;width:353.4pt;height:43.5pt;mso-position-horizontal-relative:page;mso-position-vertical-relative:page;z-index:-637528" type="#_x0000_t202" filled="false" stroked="false">
            <v:textbox inset="0,0,0,0">
              <w:txbxContent>
                <w:p>
                  <w:pPr>
                    <w:pStyle w:val="BodyText"/>
                    <w:rPr>
                      <w:sz w:val="20"/>
                    </w:rPr>
                  </w:pPr>
                </w:p>
                <w:p>
                  <w:pPr>
                    <w:pStyle w:val="BodyText"/>
                    <w:spacing w:before="2"/>
                    <w:rPr>
                      <w:sz w:val="18"/>
                    </w:rPr>
                  </w:pPr>
                </w:p>
                <w:p>
                  <w:pPr>
                    <w:spacing w:before="1"/>
                    <w:ind w:left="2576" w:right="3055" w:firstLine="0"/>
                    <w:jc w:val="center"/>
                    <w:rPr>
                      <w:rFonts w:ascii="Verdana"/>
                      <w:sz w:val="20"/>
                    </w:rPr>
                  </w:pPr>
                  <w:r>
                    <w:rPr>
                      <w:rFonts w:ascii="Verdana"/>
                      <w:color w:val="231F20"/>
                      <w:sz w:val="20"/>
                    </w:rPr>
                    <w:t>274</w:t>
                  </w:r>
                </w:p>
              </w:txbxContent>
            </v:textbox>
            <w10:wrap type="none"/>
          </v:shape>
        </w:pict>
      </w: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3"/>
        </w:rPr>
      </w:pPr>
      <w:r>
        <w:rPr/>
        <w:pict>
          <v:rect style="position:absolute;margin-left:61.794998pt;margin-top:9.548945pt;width:353.386pt;height:43.469pt;mso-position-horizontal-relative:page;mso-position-vertical-relative:paragraph;z-index:7024;mso-wrap-distance-left:0;mso-wrap-distance-right:0" filled="true" fillcolor="#ffffff" stroked="false">
            <v:fill type="solid"/>
            <w10:wrap type="topAndBottom"/>
          </v:rect>
        </w:pict>
      </w:r>
    </w:p>
    <w:p>
      <w:pPr>
        <w:spacing w:after="0"/>
        <w:rPr>
          <w:sz w:val="13"/>
        </w:rPr>
        <w:sectPr>
          <w:footerReference w:type="default" r:id="rId199"/>
          <w:pgSz w:w="9360" w:h="13040"/>
          <w:pgMar w:footer="0" w:header="0" w:top="400" w:bottom="0" w:left="1120" w:right="940"/>
        </w:sectPr>
      </w:pPr>
    </w:p>
    <w:p>
      <w:pPr>
        <w:pStyle w:val="BodyText"/>
        <w:ind w:left="108"/>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spacing w:before="65"/>
        <w:ind w:left="1040" w:right="857"/>
        <w:jc w:val="center"/>
      </w:pPr>
      <w:r>
        <w:rPr/>
        <w:pict>
          <v:shape style="position:absolute;margin-left:52.441002pt;margin-top:-44.934608pt;width:353.4pt;height:43.5pt;mso-position-horizontal-relative:page;mso-position-vertical-relative:paragraph;z-index:-637480" type="#_x0000_t202" filled="false" stroked="false">
            <v:textbox inset="0,0,0,0">
              <w:txbxContent>
                <w:p>
                  <w:pPr>
                    <w:pStyle w:val="BodyText"/>
                    <w:rPr>
                      <w:sz w:val="20"/>
                    </w:rPr>
                  </w:pPr>
                </w:p>
                <w:p>
                  <w:pPr>
                    <w:spacing w:before="159"/>
                    <w:ind w:left="1071" w:right="0" w:firstLine="0"/>
                    <w:jc w:val="left"/>
                    <w:rPr>
                      <w:rFonts w:ascii="Arial" w:hAnsi="Arial"/>
                      <w:sz w:val="20"/>
                    </w:rPr>
                  </w:pPr>
                  <w:r>
                    <w:rPr>
                      <w:rFonts w:ascii="Arial" w:hAnsi="Arial"/>
                      <w:color w:val="231F20"/>
                      <w:w w:val="70"/>
                      <w:sz w:val="20"/>
                    </w:rPr>
                    <w:t>Migración y remesas internacionales, efectos sobre la economía local...   /David Iglesias-Piña</w:t>
                  </w:r>
                </w:p>
              </w:txbxContent>
            </v:textbox>
            <w10:wrap type="none"/>
          </v:shape>
        </w:pict>
      </w:r>
      <w:r>
        <w:rPr>
          <w:color w:val="231F20"/>
          <w:w w:val="70"/>
        </w:rPr>
        <w:t>Migración y remesas internacionales, efectos sobre la economía local. Caso del municipio de Tenancingo, Estado de México</w:t>
      </w:r>
    </w:p>
    <w:p>
      <w:pPr>
        <w:pStyle w:val="Heading2"/>
        <w:spacing w:before="262"/>
        <w:ind w:right="548"/>
        <w:jc w:val="center"/>
      </w:pPr>
      <w:r>
        <w:rPr>
          <w:color w:val="231F20"/>
        </w:rPr>
        <w:t>David Iglesias-Piña</w:t>
      </w:r>
    </w:p>
    <w:p>
      <w:pPr>
        <w:pStyle w:val="BodyText"/>
        <w:spacing w:before="1"/>
        <w:rPr>
          <w:sz w:val="38"/>
        </w:rPr>
      </w:pPr>
    </w:p>
    <w:p>
      <w:pPr>
        <w:spacing w:before="1"/>
        <w:ind w:left="728" w:right="548" w:firstLine="0"/>
        <w:jc w:val="center"/>
        <w:rPr>
          <w:i/>
          <w:sz w:val="22"/>
        </w:rPr>
      </w:pPr>
      <w:r>
        <w:rPr>
          <w:i/>
          <w:color w:val="231F20"/>
          <w:sz w:val="22"/>
        </w:rPr>
        <w:t>Universidad Autónoma del Estado de México, México</w:t>
      </w:r>
    </w:p>
    <w:p>
      <w:pPr>
        <w:pStyle w:val="BodyText"/>
        <w:rPr>
          <w:i/>
        </w:rPr>
      </w:pPr>
    </w:p>
    <w:p>
      <w:pPr>
        <w:pStyle w:val="BodyText"/>
        <w:spacing w:before="10"/>
        <w:rPr>
          <w:i/>
          <w:sz w:val="20"/>
        </w:rPr>
      </w:pPr>
    </w:p>
    <w:p>
      <w:pPr>
        <w:pStyle w:val="Heading3"/>
        <w:spacing w:before="0"/>
        <w:ind w:left="477" w:right="913"/>
        <w:jc w:val="left"/>
      </w:pPr>
      <w:r>
        <w:rPr>
          <w:color w:val="231F20"/>
        </w:rPr>
        <w:t>Introducción</w:t>
      </w:r>
    </w:p>
    <w:p>
      <w:pPr>
        <w:pStyle w:val="BodyText"/>
        <w:rPr>
          <w:b/>
          <w:sz w:val="20"/>
        </w:rPr>
      </w:pPr>
    </w:p>
    <w:p>
      <w:pPr>
        <w:pStyle w:val="BodyText"/>
        <w:spacing w:before="8"/>
        <w:rPr>
          <w:b/>
          <w:sz w:val="26"/>
        </w:rPr>
      </w:pPr>
    </w:p>
    <w:p>
      <w:pPr>
        <w:pStyle w:val="BodyText"/>
        <w:spacing w:line="247" w:lineRule="auto" w:before="1"/>
        <w:ind w:left="1441" w:right="295"/>
        <w:jc w:val="both"/>
      </w:pPr>
      <w:r>
        <w:rPr/>
        <w:pict>
          <v:shape style="position:absolute;margin-left:70.866096pt;margin-top:-4.315927pt;width:36.7pt;height:55pt;mso-position-horizontal-relative:page;mso-position-vertical-relative:paragraph;z-index:-637456" type="#_x0000_t202" filled="false" stroked="false">
            <v:textbox inset="0,0,0,0">
              <w:txbxContent>
                <w:p>
                  <w:pPr>
                    <w:spacing w:line="1100" w:lineRule="exact" w:before="0"/>
                    <w:ind w:left="0" w:right="0" w:firstLine="0"/>
                    <w:jc w:val="left"/>
                    <w:rPr>
                      <w:b/>
                      <w:sz w:val="110"/>
                    </w:rPr>
                  </w:pPr>
                  <w:r>
                    <w:rPr>
                      <w:b/>
                      <w:color w:val="231F20"/>
                      <w:sz w:val="110"/>
                    </w:rPr>
                    <w:t>L</w:t>
                  </w:r>
                </w:p>
              </w:txbxContent>
            </v:textbox>
            <w10:wrap type="none"/>
          </v:shape>
        </w:pict>
      </w:r>
      <w:r>
        <w:rPr>
          <w:color w:val="231F20"/>
        </w:rPr>
        <w:t>a economía contemporánea está teñida de un conjunto de ele- mentos y factores que determinan su desenvolvimiento. Algu- nos</w:t>
      </w:r>
      <w:r>
        <w:rPr>
          <w:color w:val="231F20"/>
          <w:spacing w:val="-9"/>
        </w:rPr>
        <w:t> </w:t>
      </w:r>
      <w:r>
        <w:rPr>
          <w:color w:val="231F20"/>
        </w:rPr>
        <w:t>como</w:t>
      </w:r>
      <w:r>
        <w:rPr>
          <w:color w:val="231F20"/>
          <w:spacing w:val="-9"/>
        </w:rPr>
        <w:t> </w:t>
      </w:r>
      <w:r>
        <w:rPr>
          <w:color w:val="231F20"/>
        </w:rPr>
        <w:t>la</w:t>
      </w:r>
      <w:r>
        <w:rPr>
          <w:color w:val="231F20"/>
          <w:spacing w:val="-9"/>
        </w:rPr>
        <w:t> </w:t>
      </w:r>
      <w:r>
        <w:rPr>
          <w:color w:val="231F20"/>
        </w:rPr>
        <w:t>marginación</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pobreza</w:t>
      </w:r>
      <w:r>
        <w:rPr>
          <w:color w:val="231F20"/>
          <w:spacing w:val="-9"/>
        </w:rPr>
        <w:t> </w:t>
      </w:r>
      <w:r>
        <w:rPr>
          <w:color w:val="231F20"/>
        </w:rPr>
        <w:t>se</w:t>
      </w:r>
      <w:r>
        <w:rPr>
          <w:color w:val="231F20"/>
          <w:spacing w:val="-9"/>
        </w:rPr>
        <w:t> </w:t>
      </w:r>
      <w:r>
        <w:rPr>
          <w:color w:val="231F20"/>
        </w:rPr>
        <w:t>han</w:t>
      </w:r>
      <w:r>
        <w:rPr>
          <w:color w:val="231F20"/>
          <w:spacing w:val="-9"/>
        </w:rPr>
        <w:t> </w:t>
      </w:r>
      <w:r>
        <w:rPr>
          <w:color w:val="231F20"/>
        </w:rPr>
        <w:t>mantenido</w:t>
      </w:r>
      <w:r>
        <w:rPr>
          <w:color w:val="231F20"/>
          <w:spacing w:val="-9"/>
        </w:rPr>
        <w:t> </w:t>
      </w:r>
      <w:r>
        <w:rPr>
          <w:color w:val="231F20"/>
        </w:rPr>
        <w:t>históri-</w:t>
      </w:r>
    </w:p>
    <w:p>
      <w:pPr>
        <w:pStyle w:val="BodyText"/>
        <w:spacing w:line="247" w:lineRule="auto" w:before="25"/>
        <w:ind w:left="477" w:right="294"/>
        <w:jc w:val="both"/>
      </w:pPr>
      <w:r>
        <w:rPr>
          <w:color w:val="231F20"/>
        </w:rPr>
        <w:t>camente y si bien puede asumirse que han disminuido dicho problema, no dejan de ser preocupantes, sobre todo por las implicaciones económicas, políticas, sociales, territoriales y ambientales que ello significa. Otros más como la migración, la dependencia económica, las remesas, la</w:t>
      </w:r>
      <w:r>
        <w:rPr>
          <w:color w:val="231F20"/>
          <w:spacing w:val="-22"/>
        </w:rPr>
        <w:t> </w:t>
      </w:r>
      <w:r>
        <w:rPr>
          <w:color w:val="231F20"/>
        </w:rPr>
        <w:t>infraestruc- tura urbana para las personas adultas, el envejecimiento de la población, la equidad de género, los derechos humanos, la seguridad nacional, entre otros, han ganado terreno por sus implicaciones en las políticas públicas de los países, es decir, son determinantes para el desenvolvimiento de la sociedad y la propia economía, pues al ser producto del funcionamiento del</w:t>
      </w:r>
      <w:r>
        <w:rPr>
          <w:color w:val="231F20"/>
          <w:spacing w:val="-8"/>
        </w:rPr>
        <w:t> </w:t>
      </w:r>
      <w:r>
        <w:rPr>
          <w:color w:val="231F20"/>
        </w:rPr>
        <w:t>libre</w:t>
      </w:r>
      <w:r>
        <w:rPr>
          <w:color w:val="231F20"/>
          <w:spacing w:val="-8"/>
        </w:rPr>
        <w:t> </w:t>
      </w:r>
      <w:r>
        <w:rPr>
          <w:color w:val="231F20"/>
        </w:rPr>
        <w:t>mercado</w:t>
      </w:r>
      <w:r>
        <w:rPr>
          <w:color w:val="231F20"/>
          <w:spacing w:val="-8"/>
        </w:rPr>
        <w:t> </w:t>
      </w:r>
      <w:r>
        <w:rPr>
          <w:color w:val="231F20"/>
        </w:rPr>
        <w:t>que</w:t>
      </w:r>
      <w:r>
        <w:rPr>
          <w:color w:val="231F20"/>
          <w:spacing w:val="-8"/>
        </w:rPr>
        <w:t> </w:t>
      </w:r>
      <w:r>
        <w:rPr>
          <w:color w:val="231F20"/>
        </w:rPr>
        <w:t>pueden</w:t>
      </w:r>
      <w:r>
        <w:rPr>
          <w:color w:val="231F20"/>
          <w:spacing w:val="-8"/>
        </w:rPr>
        <w:t> </w:t>
      </w:r>
      <w:r>
        <w:rPr>
          <w:color w:val="231F20"/>
        </w:rPr>
        <w:t>incluso</w:t>
      </w:r>
      <w:r>
        <w:rPr>
          <w:color w:val="231F20"/>
          <w:spacing w:val="-8"/>
        </w:rPr>
        <w:t> </w:t>
      </w:r>
      <w:r>
        <w:rPr>
          <w:color w:val="231F20"/>
        </w:rPr>
        <w:t>considerarse</w:t>
      </w:r>
      <w:r>
        <w:rPr>
          <w:color w:val="231F20"/>
          <w:spacing w:val="-9"/>
        </w:rPr>
        <w:t> </w:t>
      </w:r>
      <w:r>
        <w:rPr>
          <w:color w:val="231F20"/>
        </w:rPr>
        <w:t>como</w:t>
      </w:r>
      <w:r>
        <w:rPr>
          <w:color w:val="231F20"/>
          <w:spacing w:val="-8"/>
        </w:rPr>
        <w:t> </w:t>
      </w:r>
      <w:r>
        <w:rPr>
          <w:color w:val="231F20"/>
        </w:rPr>
        <w:t>males</w:t>
      </w:r>
      <w:r>
        <w:rPr>
          <w:color w:val="231F20"/>
          <w:spacing w:val="-8"/>
        </w:rPr>
        <w:t> </w:t>
      </w:r>
      <w:r>
        <w:rPr>
          <w:color w:val="231F20"/>
        </w:rPr>
        <w:t>necesarios, distorsionan el funcionamiento sincrónico de los agregados económicos, pues</w:t>
      </w:r>
      <w:r>
        <w:rPr>
          <w:color w:val="231F20"/>
          <w:spacing w:val="-4"/>
        </w:rPr>
        <w:t> </w:t>
      </w:r>
      <w:r>
        <w:rPr>
          <w:color w:val="231F20"/>
        </w:rPr>
        <w:t>a</w:t>
      </w:r>
      <w:r>
        <w:rPr>
          <w:color w:val="231F20"/>
          <w:spacing w:val="-4"/>
        </w:rPr>
        <w:t> </w:t>
      </w:r>
      <w:r>
        <w:rPr>
          <w:color w:val="231F20"/>
        </w:rPr>
        <w:t>medida</w:t>
      </w:r>
      <w:r>
        <w:rPr>
          <w:color w:val="231F20"/>
          <w:spacing w:val="-4"/>
        </w:rPr>
        <w:t> </w:t>
      </w:r>
      <w:r>
        <w:rPr>
          <w:color w:val="231F20"/>
        </w:rPr>
        <w:t>que</w:t>
      </w:r>
      <w:r>
        <w:rPr>
          <w:color w:val="231F20"/>
          <w:spacing w:val="-4"/>
        </w:rPr>
        <w:t> </w:t>
      </w:r>
      <w:r>
        <w:rPr>
          <w:color w:val="231F20"/>
        </w:rPr>
        <w:t>éstos</w:t>
      </w:r>
      <w:r>
        <w:rPr>
          <w:color w:val="231F20"/>
          <w:spacing w:val="-4"/>
        </w:rPr>
        <w:t> </w:t>
      </w:r>
      <w:r>
        <w:rPr>
          <w:color w:val="231F20"/>
        </w:rPr>
        <w:t>crecen</w:t>
      </w:r>
      <w:r>
        <w:rPr>
          <w:color w:val="231F20"/>
          <w:spacing w:val="-4"/>
        </w:rPr>
        <w:t> </w:t>
      </w:r>
      <w:r>
        <w:rPr>
          <w:color w:val="231F20"/>
        </w:rPr>
        <w:t>y</w:t>
      </w:r>
      <w:r>
        <w:rPr>
          <w:color w:val="231F20"/>
          <w:spacing w:val="-4"/>
        </w:rPr>
        <w:t> </w:t>
      </w:r>
      <w:r>
        <w:rPr>
          <w:color w:val="231F20"/>
        </w:rPr>
        <w:t>se</w:t>
      </w:r>
      <w:r>
        <w:rPr>
          <w:color w:val="231F20"/>
          <w:spacing w:val="-4"/>
        </w:rPr>
        <w:t> </w:t>
      </w:r>
      <w:r>
        <w:rPr>
          <w:color w:val="231F20"/>
        </w:rPr>
        <w:t>expanden</w:t>
      </w:r>
      <w:r>
        <w:rPr>
          <w:color w:val="231F20"/>
          <w:spacing w:val="-4"/>
        </w:rPr>
        <w:t> </w:t>
      </w:r>
      <w:r>
        <w:rPr>
          <w:color w:val="231F20"/>
        </w:rPr>
        <w:t>en</w:t>
      </w:r>
      <w:r>
        <w:rPr>
          <w:color w:val="231F20"/>
          <w:spacing w:val="-4"/>
        </w:rPr>
        <w:t> </w:t>
      </w:r>
      <w:r>
        <w:rPr>
          <w:color w:val="231F20"/>
        </w:rPr>
        <w:t>las</w:t>
      </w:r>
      <w:r>
        <w:rPr>
          <w:color w:val="231F20"/>
          <w:spacing w:val="-4"/>
        </w:rPr>
        <w:t> </w:t>
      </w:r>
      <w:r>
        <w:rPr>
          <w:color w:val="231F20"/>
        </w:rPr>
        <w:t>diferentes</w:t>
      </w:r>
      <w:r>
        <w:rPr>
          <w:color w:val="231F20"/>
          <w:spacing w:val="-4"/>
        </w:rPr>
        <w:t> </w:t>
      </w:r>
      <w:r>
        <w:rPr>
          <w:color w:val="231F20"/>
        </w:rPr>
        <w:t>estructuras sociales, crean ambientes de incertidumbre y vulnerabilidad económica, traduciéndose finalmente en una sociedad de riesgo con altos costos, sien- do el Estado, vía políticas públicas, uno de los principales agentes indica- dos para intentar amortiguar dichos</w:t>
      </w:r>
      <w:r>
        <w:rPr>
          <w:color w:val="231F20"/>
          <w:spacing w:val="-3"/>
        </w:rPr>
        <w:t> </w:t>
      </w:r>
      <w:r>
        <w:rPr>
          <w:color w:val="231F20"/>
        </w:rPr>
        <w:t>efectos.</w:t>
      </w:r>
    </w:p>
    <w:p>
      <w:pPr>
        <w:pStyle w:val="BodyText"/>
        <w:spacing w:line="247" w:lineRule="auto"/>
        <w:ind w:left="477" w:right="294" w:firstLine="283"/>
        <w:jc w:val="both"/>
      </w:pPr>
      <w:r>
        <w:rPr>
          <w:color w:val="231F20"/>
        </w:rPr>
        <w:t>Es así que la economía contemporánea no sólo induce a la integración económica y social, sino también segrega y pulveriza algunos colectivos, mismos que tienen que buscar formas alternas de sobrevivencia, siendo uno</w:t>
      </w:r>
      <w:r>
        <w:rPr>
          <w:color w:val="231F20"/>
          <w:spacing w:val="-10"/>
        </w:rPr>
        <w:t> </w:t>
      </w:r>
      <w:r>
        <w:rPr>
          <w:color w:val="231F20"/>
        </w:rPr>
        <w:t>de</w:t>
      </w:r>
      <w:r>
        <w:rPr>
          <w:color w:val="231F20"/>
          <w:spacing w:val="-10"/>
        </w:rPr>
        <w:t> </w:t>
      </w:r>
      <w:r>
        <w:rPr>
          <w:color w:val="231F20"/>
        </w:rPr>
        <w:t>estos</w:t>
      </w:r>
      <w:r>
        <w:rPr>
          <w:color w:val="231F20"/>
          <w:spacing w:val="-11"/>
        </w:rPr>
        <w:t> </w:t>
      </w:r>
      <w:r>
        <w:rPr>
          <w:color w:val="231F20"/>
        </w:rPr>
        <w:t>pivotes</w:t>
      </w:r>
      <w:r>
        <w:rPr>
          <w:color w:val="231F20"/>
          <w:spacing w:val="-10"/>
        </w:rPr>
        <w:t> </w:t>
      </w:r>
      <w:r>
        <w:rPr>
          <w:color w:val="231F20"/>
        </w:rPr>
        <w:t>la</w:t>
      </w:r>
      <w:r>
        <w:rPr>
          <w:color w:val="231F20"/>
          <w:spacing w:val="-10"/>
        </w:rPr>
        <w:t> </w:t>
      </w:r>
      <w:r>
        <w:rPr>
          <w:color w:val="231F20"/>
        </w:rPr>
        <w:t>migración</w:t>
      </w:r>
      <w:r>
        <w:rPr>
          <w:color w:val="231F20"/>
          <w:spacing w:val="-11"/>
        </w:rPr>
        <w:t> </w:t>
      </w:r>
      <w:r>
        <w:rPr>
          <w:color w:val="231F20"/>
        </w:rPr>
        <w:t>internacional,</w:t>
      </w:r>
      <w:r>
        <w:rPr>
          <w:color w:val="231F20"/>
          <w:spacing w:val="-11"/>
        </w:rPr>
        <w:t> </w:t>
      </w:r>
      <w:r>
        <w:rPr>
          <w:color w:val="231F20"/>
        </w:rPr>
        <w:t>que</w:t>
      </w:r>
      <w:r>
        <w:rPr>
          <w:color w:val="231F20"/>
          <w:spacing w:val="-10"/>
        </w:rPr>
        <w:t> </w:t>
      </w:r>
      <w:r>
        <w:rPr>
          <w:color w:val="231F20"/>
        </w:rPr>
        <w:t>para</w:t>
      </w:r>
      <w:r>
        <w:rPr>
          <w:color w:val="231F20"/>
          <w:spacing w:val="-10"/>
        </w:rPr>
        <w:t> </w:t>
      </w:r>
      <w:r>
        <w:rPr>
          <w:color w:val="231F20"/>
        </w:rPr>
        <w:t>el</w:t>
      </w:r>
      <w:r>
        <w:rPr>
          <w:color w:val="231F20"/>
          <w:spacing w:val="-10"/>
        </w:rPr>
        <w:t> </w:t>
      </w:r>
      <w:r>
        <w:rPr>
          <w:color w:val="231F20"/>
        </w:rPr>
        <w:t>caso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paí- ses latinoamericanos como México, se considera casi normal</w:t>
      </w:r>
      <w:r>
        <w:rPr>
          <w:color w:val="231F20"/>
          <w:spacing w:val="-31"/>
        </w:rPr>
        <w:t> </w:t>
      </w:r>
      <w:r>
        <w:rPr>
          <w:color w:val="231F20"/>
        </w:rPr>
        <w:t>socialmente,</w:t>
      </w:r>
    </w:p>
    <w:p>
      <w:pPr>
        <w:spacing w:after="0" w:line="247" w:lineRule="auto"/>
        <w:jc w:val="both"/>
        <w:sectPr>
          <w:footerReference w:type="default" r:id="rId200"/>
          <w:pgSz w:w="9360" w:h="13040"/>
          <w:pgMar w:footer="496" w:header="0" w:top="400" w:bottom="680" w:left="940" w:right="1120"/>
          <w:pgNumType w:start="275"/>
        </w:sectPr>
      </w:pPr>
    </w:p>
    <w:p>
      <w:pPr>
        <w:spacing w:before="52"/>
        <w:ind w:left="124" w:right="-5" w:firstLine="0"/>
        <w:jc w:val="left"/>
        <w:rPr>
          <w:rFonts w:ascii="Arial" w:hAnsi="Arial"/>
          <w:sz w:val="20"/>
        </w:rPr>
      </w:pPr>
      <w:r>
        <w:rPr>
          <w:rFonts w:ascii="Arial" w:hAnsi="Arial"/>
          <w:color w:val="231F20"/>
          <w:w w:val="80"/>
          <w:sz w:val="20"/>
        </w:rPr>
        <w:t>Hitos</w:t>
      </w:r>
      <w:r>
        <w:rPr>
          <w:rFonts w:ascii="Arial" w:hAnsi="Arial"/>
          <w:color w:val="231F20"/>
          <w:spacing w:val="-23"/>
          <w:w w:val="80"/>
          <w:sz w:val="20"/>
        </w:rPr>
        <w:t> </w:t>
      </w:r>
      <w:r>
        <w:rPr>
          <w:rFonts w:ascii="Arial" w:hAnsi="Arial"/>
          <w:color w:val="231F20"/>
          <w:w w:val="80"/>
          <w:sz w:val="20"/>
        </w:rPr>
        <w:t>Demográficos</w:t>
      </w:r>
      <w:r>
        <w:rPr>
          <w:rFonts w:ascii="Arial" w:hAnsi="Arial"/>
          <w:color w:val="231F20"/>
          <w:spacing w:val="-23"/>
          <w:w w:val="80"/>
          <w:sz w:val="20"/>
        </w:rPr>
        <w:t> </w:t>
      </w:r>
      <w:r>
        <w:rPr>
          <w:rFonts w:ascii="Arial" w:hAnsi="Arial"/>
          <w:color w:val="231F20"/>
          <w:w w:val="80"/>
          <w:sz w:val="20"/>
        </w:rPr>
        <w:t>del</w:t>
      </w:r>
      <w:r>
        <w:rPr>
          <w:rFonts w:ascii="Arial" w:hAnsi="Arial"/>
          <w:color w:val="231F20"/>
          <w:spacing w:val="-23"/>
          <w:w w:val="80"/>
          <w:sz w:val="20"/>
        </w:rPr>
        <w:t> </w:t>
      </w:r>
      <w:r>
        <w:rPr>
          <w:rFonts w:ascii="Arial" w:hAnsi="Arial"/>
          <w:color w:val="231F20"/>
          <w:w w:val="80"/>
          <w:sz w:val="20"/>
        </w:rPr>
        <w:t>Siglo</w:t>
      </w:r>
      <w:r>
        <w:rPr>
          <w:rFonts w:ascii="Arial" w:hAnsi="Arial"/>
          <w:color w:val="231F20"/>
          <w:spacing w:val="-23"/>
          <w:w w:val="80"/>
          <w:sz w:val="20"/>
        </w:rPr>
        <w:t> </w:t>
      </w:r>
      <w:r>
        <w:rPr>
          <w:rFonts w:ascii="Arial" w:hAnsi="Arial"/>
          <w:color w:val="231F20"/>
          <w:w w:val="80"/>
          <w:sz w:val="20"/>
        </w:rPr>
        <w:t>XXI:</w:t>
      </w:r>
      <w:r>
        <w:rPr>
          <w:rFonts w:ascii="Arial" w:hAnsi="Arial"/>
          <w:color w:val="231F20"/>
          <w:spacing w:val="-23"/>
          <w:w w:val="80"/>
          <w:sz w:val="20"/>
        </w:rPr>
        <w:t> </w:t>
      </w:r>
      <w:r>
        <w:rPr>
          <w:rFonts w:ascii="Arial" w:hAnsi="Arial"/>
          <w:color w:val="231F20"/>
          <w:w w:val="80"/>
          <w:sz w:val="20"/>
        </w:rPr>
        <w:t>Migración</w:t>
      </w:r>
      <w:r>
        <w:rPr>
          <w:rFonts w:ascii="Arial" w:hAnsi="Arial"/>
          <w:color w:val="231F20"/>
          <w:spacing w:val="-23"/>
          <w:w w:val="80"/>
          <w:sz w:val="20"/>
        </w:rPr>
        <w:t> </w:t>
      </w:r>
      <w:r>
        <w:rPr>
          <w:rFonts w:ascii="Arial" w:hAnsi="Arial"/>
          <w:color w:val="231F20"/>
          <w:w w:val="80"/>
          <w:sz w:val="20"/>
        </w:rPr>
        <w:t>Internacional</w:t>
      </w:r>
    </w:p>
    <w:p>
      <w:pPr>
        <w:spacing w:before="54"/>
        <w:ind w:left="124" w:right="0" w:firstLine="0"/>
        <w:jc w:val="left"/>
        <w:rPr>
          <w:sz w:val="18"/>
        </w:rPr>
      </w:pPr>
      <w:r>
        <w:rPr/>
        <w:br w:type="column"/>
      </w:r>
      <w:r>
        <w:rPr>
          <w:color w:val="231F20"/>
          <w:sz w:val="18"/>
        </w:rPr>
        <w:t>CIEAP/UAEM</w:t>
      </w:r>
    </w:p>
    <w:p>
      <w:pPr>
        <w:spacing w:after="0"/>
        <w:jc w:val="left"/>
        <w:rPr>
          <w:sz w:val="18"/>
        </w:rPr>
        <w:sectPr>
          <w:pgSz w:w="9360" w:h="13040"/>
          <w:pgMar w:header="0" w:footer="496" w:top="840" w:bottom="680" w:left="1300" w:right="1300"/>
          <w:cols w:num="2" w:equalWidth="0">
            <w:col w:w="4101" w:space="1311"/>
            <w:col w:w="1348"/>
          </w:cols>
        </w:sectPr>
      </w:pPr>
    </w:p>
    <w:p>
      <w:pPr>
        <w:pStyle w:val="BodyText"/>
        <w:spacing w:before="2"/>
        <w:rPr>
          <w:sz w:val="13"/>
        </w:rPr>
      </w:pPr>
    </w:p>
    <w:p>
      <w:pPr>
        <w:pStyle w:val="BodyText"/>
        <w:spacing w:line="247" w:lineRule="auto" w:before="71"/>
        <w:ind w:left="117" w:right="114"/>
        <w:jc w:val="both"/>
      </w:pPr>
      <w:r>
        <w:rPr>
          <w:color w:val="231F20"/>
        </w:rPr>
        <w:t>pues la debilidad del mercado laboral, las bajas retribuciones salariales y el alto costo de los satisfactores básicos han llevado a que la población   en edad productiva laboralmente emigre hacia los Estados Unidos, bajo  la idea de mejorar estas carencias presentes en su lugar de origen. Estos desplazamientos de la fuerza de trabajo se han extendido no sólo hacia  los estados menos desarrollados, sino para aquellos considerados más di- námicos como el Estado de México, donde en los últimos 17 años se han identificado municipios de alta expulsión de fuerza de trabajo, como los ubicados en la zona </w:t>
      </w:r>
      <w:r>
        <w:rPr>
          <w:color w:val="231F20"/>
          <w:spacing w:val="-3"/>
        </w:rPr>
        <w:t>sur, </w:t>
      </w:r>
      <w:r>
        <w:rPr>
          <w:color w:val="231F20"/>
        </w:rPr>
        <w:t>en donde se encuentra Tenancingo de Degollado, que a pesar de tener como base de sustento económico la floricultura,</w:t>
      </w:r>
      <w:r>
        <w:rPr>
          <w:color w:val="231F20"/>
          <w:spacing w:val="-37"/>
        </w:rPr>
        <w:t> </w:t>
      </w:r>
      <w:r>
        <w:rPr>
          <w:color w:val="231F20"/>
        </w:rPr>
        <w:t>con- siderada como una actividad de gran dinamismo, su dimensión y rentabi- lidad no han sido lo suficientemente atractivas como para evitar la salida de fuerza de trabajo hacia el exterior. Más bien esta salida representa una opción no sólo de sustento sino de desarrollo familiar, ya que las remesas enviadas permiten acceder a algunos bienes y servicios que anteriormente no podían consumirse.</w:t>
      </w:r>
    </w:p>
    <w:p>
      <w:pPr>
        <w:pStyle w:val="BodyText"/>
        <w:spacing w:line="247" w:lineRule="auto"/>
        <w:ind w:left="117" w:right="114" w:firstLine="283"/>
        <w:jc w:val="both"/>
      </w:pPr>
      <w:r>
        <w:rPr>
          <w:color w:val="231F20"/>
        </w:rPr>
        <w:t>El objetivo de esta ponencia es evidenciar, a través de datos obtenidos en</w:t>
      </w:r>
      <w:r>
        <w:rPr>
          <w:color w:val="231F20"/>
          <w:spacing w:val="-9"/>
        </w:rPr>
        <w:t> </w:t>
      </w:r>
      <w:r>
        <w:rPr>
          <w:color w:val="231F20"/>
        </w:rPr>
        <w:t>campo,</w:t>
      </w:r>
      <w:r>
        <w:rPr>
          <w:color w:val="231F20"/>
          <w:spacing w:val="-9"/>
        </w:rPr>
        <w:t> </w:t>
      </w:r>
      <w:r>
        <w:rPr>
          <w:color w:val="231F20"/>
        </w:rPr>
        <w:t>las</w:t>
      </w:r>
      <w:r>
        <w:rPr>
          <w:color w:val="231F20"/>
          <w:spacing w:val="-9"/>
        </w:rPr>
        <w:t> </w:t>
      </w:r>
      <w:r>
        <w:rPr>
          <w:color w:val="231F20"/>
        </w:rPr>
        <w:t>razones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emigración</w:t>
      </w:r>
      <w:r>
        <w:rPr>
          <w:color w:val="231F20"/>
          <w:spacing w:val="-10"/>
        </w:rPr>
        <w:t> </w:t>
      </w:r>
      <w:r>
        <w:rPr>
          <w:color w:val="231F20"/>
        </w:rPr>
        <w:t>hacia</w:t>
      </w:r>
      <w:r>
        <w:rPr>
          <w:color w:val="231F20"/>
          <w:spacing w:val="-9"/>
        </w:rPr>
        <w:t> </w:t>
      </w:r>
      <w:r>
        <w:rPr>
          <w:color w:val="231F20"/>
        </w:rPr>
        <w:t>los</w:t>
      </w:r>
      <w:r>
        <w:rPr>
          <w:color w:val="231F20"/>
          <w:spacing w:val="-9"/>
        </w:rPr>
        <w:t> </w:t>
      </w:r>
      <w:r>
        <w:rPr>
          <w:color w:val="231F20"/>
        </w:rPr>
        <w:t>Estados</w:t>
      </w:r>
      <w:r>
        <w:rPr>
          <w:color w:val="231F20"/>
          <w:spacing w:val="-9"/>
        </w:rPr>
        <w:t> </w:t>
      </w:r>
      <w:r>
        <w:rPr>
          <w:color w:val="231F20"/>
        </w:rPr>
        <w:t>Unidos,</w:t>
      </w:r>
      <w:r>
        <w:rPr>
          <w:color w:val="231F20"/>
          <w:spacing w:val="-9"/>
        </w:rPr>
        <w:t> </w:t>
      </w:r>
      <w:r>
        <w:rPr>
          <w:color w:val="231F20"/>
        </w:rPr>
        <w:t>así</w:t>
      </w:r>
      <w:r>
        <w:rPr>
          <w:color w:val="231F20"/>
          <w:spacing w:val="-9"/>
        </w:rPr>
        <w:t> </w:t>
      </w:r>
      <w:r>
        <w:rPr>
          <w:color w:val="231F20"/>
        </w:rPr>
        <w:t>como el volumen y frecuencia de envío de remesas, sin olvidar el uso de los mismos.</w:t>
      </w:r>
      <w:r>
        <w:rPr>
          <w:color w:val="231F20"/>
          <w:spacing w:val="-9"/>
        </w:rPr>
        <w:t> </w:t>
      </w:r>
      <w:r>
        <w:rPr>
          <w:color w:val="231F20"/>
        </w:rPr>
        <w:t>Cabe</w:t>
      </w:r>
      <w:r>
        <w:rPr>
          <w:color w:val="231F20"/>
          <w:spacing w:val="-9"/>
        </w:rPr>
        <w:t> </w:t>
      </w:r>
      <w:r>
        <w:rPr>
          <w:color w:val="231F20"/>
        </w:rPr>
        <w:t>resaltar</w:t>
      </w:r>
      <w:r>
        <w:rPr>
          <w:color w:val="231F20"/>
          <w:spacing w:val="-9"/>
        </w:rPr>
        <w:t> </w:t>
      </w:r>
      <w:r>
        <w:rPr>
          <w:color w:val="231F20"/>
        </w:rPr>
        <w:t>que</w:t>
      </w:r>
      <w:r>
        <w:rPr>
          <w:color w:val="231F20"/>
          <w:spacing w:val="-8"/>
        </w:rPr>
        <w:t> </w:t>
      </w:r>
      <w:r>
        <w:rPr>
          <w:color w:val="231F20"/>
        </w:rPr>
        <w:t>esta</w:t>
      </w:r>
      <w:r>
        <w:rPr>
          <w:color w:val="231F20"/>
          <w:spacing w:val="-9"/>
        </w:rPr>
        <w:t> </w:t>
      </w:r>
      <w:r>
        <w:rPr>
          <w:color w:val="231F20"/>
        </w:rPr>
        <w:t>información</w:t>
      </w:r>
      <w:r>
        <w:rPr>
          <w:color w:val="231F20"/>
          <w:spacing w:val="-9"/>
        </w:rPr>
        <w:t> </w:t>
      </w:r>
      <w:r>
        <w:rPr>
          <w:color w:val="231F20"/>
        </w:rPr>
        <w:t>se</w:t>
      </w:r>
      <w:r>
        <w:rPr>
          <w:color w:val="231F20"/>
          <w:spacing w:val="-8"/>
        </w:rPr>
        <w:t> </w:t>
      </w:r>
      <w:r>
        <w:rPr>
          <w:color w:val="231F20"/>
        </w:rPr>
        <w:t>derivó</w:t>
      </w:r>
      <w:r>
        <w:rPr>
          <w:color w:val="231F20"/>
          <w:spacing w:val="-9"/>
        </w:rPr>
        <w:t> </w:t>
      </w:r>
      <w:r>
        <w:rPr>
          <w:color w:val="231F20"/>
        </w:rPr>
        <w:t>del</w:t>
      </w:r>
      <w:r>
        <w:rPr>
          <w:color w:val="231F20"/>
          <w:spacing w:val="-9"/>
        </w:rPr>
        <w:t> </w:t>
      </w:r>
      <w:r>
        <w:rPr>
          <w:color w:val="231F20"/>
        </w:rPr>
        <w:t>trabajo</w:t>
      </w:r>
      <w:r>
        <w:rPr>
          <w:color w:val="231F20"/>
          <w:spacing w:val="-9"/>
        </w:rPr>
        <w:t> </w:t>
      </w:r>
      <w:r>
        <w:rPr>
          <w:color w:val="231F20"/>
        </w:rPr>
        <w:t>de</w:t>
      </w:r>
      <w:r>
        <w:rPr>
          <w:color w:val="231F20"/>
          <w:spacing w:val="-8"/>
        </w:rPr>
        <w:t> </w:t>
      </w:r>
      <w:r>
        <w:rPr>
          <w:color w:val="231F20"/>
        </w:rPr>
        <w:t>campo realizado</w:t>
      </w:r>
      <w:r>
        <w:rPr>
          <w:color w:val="231F20"/>
          <w:spacing w:val="-5"/>
        </w:rPr>
        <w:t> </w:t>
      </w:r>
      <w:r>
        <w:rPr>
          <w:color w:val="231F20"/>
        </w:rPr>
        <w:t>en</w:t>
      </w:r>
      <w:r>
        <w:rPr>
          <w:color w:val="231F20"/>
          <w:spacing w:val="-5"/>
        </w:rPr>
        <w:t> </w:t>
      </w:r>
      <w:r>
        <w:rPr>
          <w:color w:val="231F20"/>
        </w:rPr>
        <w:t>seis</w:t>
      </w:r>
      <w:r>
        <w:rPr>
          <w:color w:val="231F20"/>
          <w:spacing w:val="-5"/>
        </w:rPr>
        <w:t> </w:t>
      </w:r>
      <w:r>
        <w:rPr>
          <w:color w:val="231F20"/>
        </w:rPr>
        <w:t>localidades</w:t>
      </w:r>
      <w:r>
        <w:rPr>
          <w:color w:val="231F20"/>
          <w:spacing w:val="-5"/>
        </w:rPr>
        <w:t> </w:t>
      </w:r>
      <w:r>
        <w:rPr>
          <w:color w:val="231F20"/>
        </w:rPr>
        <w:t>del</w:t>
      </w:r>
      <w:r>
        <w:rPr>
          <w:color w:val="231F20"/>
          <w:spacing w:val="-5"/>
        </w:rPr>
        <w:t> </w:t>
      </w:r>
      <w:r>
        <w:rPr>
          <w:color w:val="231F20"/>
        </w:rPr>
        <w:t>municipio</w:t>
      </w:r>
      <w:r>
        <w:rPr>
          <w:color w:val="231F20"/>
          <w:spacing w:val="-5"/>
        </w:rPr>
        <w:t> </w:t>
      </w:r>
      <w:r>
        <w:rPr>
          <w:color w:val="231F20"/>
        </w:rPr>
        <w:t>de</w:t>
      </w:r>
      <w:r>
        <w:rPr>
          <w:color w:val="231F20"/>
          <w:spacing w:val="-8"/>
        </w:rPr>
        <w:t> </w:t>
      </w:r>
      <w:r>
        <w:rPr>
          <w:color w:val="231F20"/>
        </w:rPr>
        <w:t>Tenancingo</w:t>
      </w:r>
      <w:r>
        <w:rPr>
          <w:color w:val="231F20"/>
          <w:spacing w:val="-5"/>
        </w:rPr>
        <w:t> </w:t>
      </w:r>
      <w:r>
        <w:rPr>
          <w:color w:val="231F20"/>
        </w:rPr>
        <w:t>entre</w:t>
      </w:r>
      <w:r>
        <w:rPr>
          <w:color w:val="231F20"/>
          <w:spacing w:val="-5"/>
        </w:rPr>
        <w:t> </w:t>
      </w:r>
      <w:r>
        <w:rPr>
          <w:color w:val="231F20"/>
        </w:rPr>
        <w:t>diciembre de 2009 y enero de 2010, en la cual se aplicaron 109 encuestas a hogares que tenían al menos un familiar trabajando fuera del país y 30 a los emi- grantes que en estos meses se encontraban en sus hogares. Este ejercicio de</w:t>
      </w:r>
      <w:r>
        <w:rPr>
          <w:color w:val="231F20"/>
          <w:spacing w:val="-11"/>
        </w:rPr>
        <w:t> </w:t>
      </w:r>
      <w:r>
        <w:rPr>
          <w:color w:val="231F20"/>
        </w:rPr>
        <w:t>campo</w:t>
      </w:r>
      <w:r>
        <w:rPr>
          <w:color w:val="231F20"/>
          <w:spacing w:val="-11"/>
        </w:rPr>
        <w:t> </w:t>
      </w:r>
      <w:r>
        <w:rPr>
          <w:color w:val="231F20"/>
        </w:rPr>
        <w:t>permitió</w:t>
      </w:r>
      <w:r>
        <w:rPr>
          <w:color w:val="231F20"/>
          <w:spacing w:val="-11"/>
        </w:rPr>
        <w:t> </w:t>
      </w:r>
      <w:r>
        <w:rPr>
          <w:color w:val="231F20"/>
        </w:rPr>
        <w:t>conocer</w:t>
      </w:r>
      <w:r>
        <w:rPr>
          <w:color w:val="231F20"/>
          <w:spacing w:val="-12"/>
        </w:rPr>
        <w:t> </w:t>
      </w:r>
      <w:r>
        <w:rPr>
          <w:color w:val="231F20"/>
        </w:rPr>
        <w:t>más</w:t>
      </w:r>
      <w:r>
        <w:rPr>
          <w:color w:val="231F20"/>
          <w:spacing w:val="-11"/>
        </w:rPr>
        <w:t> </w:t>
      </w:r>
      <w:r>
        <w:rPr>
          <w:color w:val="231F20"/>
        </w:rPr>
        <w:t>de</w:t>
      </w:r>
      <w:r>
        <w:rPr>
          <w:color w:val="231F20"/>
          <w:spacing w:val="-11"/>
        </w:rPr>
        <w:t> </w:t>
      </w:r>
      <w:r>
        <w:rPr>
          <w:color w:val="231F20"/>
        </w:rPr>
        <w:t>cerca</w:t>
      </w:r>
      <w:r>
        <w:rPr>
          <w:color w:val="231F20"/>
          <w:spacing w:val="-12"/>
        </w:rPr>
        <w:t> </w:t>
      </w:r>
      <w:r>
        <w:rPr>
          <w:color w:val="231F20"/>
        </w:rPr>
        <w:t>el</w:t>
      </w:r>
      <w:r>
        <w:rPr>
          <w:color w:val="231F20"/>
          <w:spacing w:val="-11"/>
        </w:rPr>
        <w:t> </w:t>
      </w:r>
      <w:r>
        <w:rPr>
          <w:color w:val="231F20"/>
        </w:rPr>
        <w:t>comportamiento</w:t>
      </w:r>
      <w:r>
        <w:rPr>
          <w:color w:val="231F20"/>
          <w:spacing w:val="-12"/>
        </w:rPr>
        <w:t> </w:t>
      </w:r>
      <w:r>
        <w:rPr>
          <w:color w:val="231F20"/>
        </w:rPr>
        <w:t>de</w:t>
      </w:r>
      <w:r>
        <w:rPr>
          <w:color w:val="231F20"/>
          <w:spacing w:val="-11"/>
        </w:rPr>
        <w:t> </w:t>
      </w:r>
      <w:r>
        <w:rPr>
          <w:color w:val="231F20"/>
        </w:rPr>
        <w:t>dicho</w:t>
      </w:r>
      <w:r>
        <w:rPr>
          <w:color w:val="231F20"/>
          <w:spacing w:val="-11"/>
        </w:rPr>
        <w:t> </w:t>
      </w:r>
      <w:r>
        <w:rPr>
          <w:color w:val="231F20"/>
        </w:rPr>
        <w:t>fenó- meno y los impactos que provocan las remesas enviadas, no sólo entre los familiares de los emigrantes, sino en el propio</w:t>
      </w:r>
      <w:r>
        <w:rPr>
          <w:color w:val="231F20"/>
          <w:spacing w:val="-6"/>
        </w:rPr>
        <w:t> </w:t>
      </w:r>
      <w:r>
        <w:rPr>
          <w:color w:val="231F20"/>
        </w:rPr>
        <w:t>municipio.</w:t>
      </w:r>
    </w:p>
    <w:p>
      <w:pPr>
        <w:pStyle w:val="Heading3"/>
      </w:pPr>
      <w:r>
        <w:rPr>
          <w:color w:val="231F20"/>
        </w:rPr>
        <w:t>Determinantes de la migración internacional</w:t>
      </w:r>
    </w:p>
    <w:p>
      <w:pPr>
        <w:pStyle w:val="BodyText"/>
        <w:spacing w:line="247" w:lineRule="auto" w:before="172"/>
        <w:ind w:left="117" w:right="114"/>
        <w:jc w:val="both"/>
      </w:pPr>
      <w:r>
        <w:rPr>
          <w:color w:val="231F20"/>
        </w:rPr>
        <w:t>Uno de los fenómenos que acompaña el comportamiento de la economía contemporánea</w:t>
      </w:r>
      <w:r>
        <w:rPr>
          <w:color w:val="231F20"/>
          <w:spacing w:val="-6"/>
        </w:rPr>
        <w:t> </w:t>
      </w:r>
      <w:r>
        <w:rPr>
          <w:color w:val="231F20"/>
        </w:rPr>
        <w:t>es</w:t>
      </w:r>
      <w:r>
        <w:rPr>
          <w:color w:val="231F20"/>
          <w:spacing w:val="-5"/>
        </w:rPr>
        <w:t> </w:t>
      </w:r>
      <w:r>
        <w:rPr>
          <w:color w:val="231F20"/>
        </w:rPr>
        <w:t>la</w:t>
      </w:r>
      <w:r>
        <w:rPr>
          <w:color w:val="231F20"/>
          <w:spacing w:val="-5"/>
        </w:rPr>
        <w:t> </w:t>
      </w:r>
      <w:r>
        <w:rPr>
          <w:color w:val="231F20"/>
        </w:rPr>
        <w:t>migración</w:t>
      </w:r>
      <w:r>
        <w:rPr>
          <w:color w:val="231F20"/>
          <w:spacing w:val="-5"/>
        </w:rPr>
        <w:t> </w:t>
      </w:r>
      <w:r>
        <w:rPr>
          <w:color w:val="231F20"/>
        </w:rPr>
        <w:t>local</w:t>
      </w:r>
      <w:r>
        <w:rPr>
          <w:color w:val="231F20"/>
          <w:spacing w:val="-6"/>
        </w:rPr>
        <w:t> </w:t>
      </w:r>
      <w:r>
        <w:rPr>
          <w:color w:val="231F20"/>
        </w:rPr>
        <w:t>e</w:t>
      </w:r>
      <w:r>
        <w:rPr>
          <w:color w:val="231F20"/>
          <w:spacing w:val="-5"/>
        </w:rPr>
        <w:t> </w:t>
      </w:r>
      <w:r>
        <w:rPr>
          <w:color w:val="231F20"/>
        </w:rPr>
        <w:t>internacional,</w:t>
      </w:r>
      <w:r>
        <w:rPr>
          <w:color w:val="231F20"/>
          <w:spacing w:val="-6"/>
        </w:rPr>
        <w:t> </w:t>
      </w:r>
      <w:r>
        <w:rPr>
          <w:color w:val="231F20"/>
        </w:rPr>
        <w:t>ya</w:t>
      </w:r>
      <w:r>
        <w:rPr>
          <w:color w:val="231F20"/>
          <w:spacing w:val="-5"/>
        </w:rPr>
        <w:t> </w:t>
      </w:r>
      <w:r>
        <w:rPr>
          <w:color w:val="231F20"/>
        </w:rPr>
        <w:t>que</w:t>
      </w:r>
      <w:r>
        <w:rPr>
          <w:color w:val="231F20"/>
          <w:spacing w:val="-5"/>
        </w:rPr>
        <w:t> </w:t>
      </w:r>
      <w:r>
        <w:rPr>
          <w:color w:val="231F20"/>
        </w:rPr>
        <w:t>no</w:t>
      </w:r>
      <w:r>
        <w:rPr>
          <w:color w:val="231F20"/>
          <w:spacing w:val="-5"/>
        </w:rPr>
        <w:t> </w:t>
      </w:r>
      <w:r>
        <w:rPr>
          <w:color w:val="231F20"/>
        </w:rPr>
        <w:t>sólo</w:t>
      </w:r>
      <w:r>
        <w:rPr>
          <w:color w:val="231F20"/>
          <w:spacing w:val="-5"/>
        </w:rPr>
        <w:t> </w:t>
      </w:r>
      <w:r>
        <w:rPr>
          <w:color w:val="231F20"/>
        </w:rPr>
        <w:t>impli- ca el desplazamiento de personas, sino un conjunto de elementos como la historia,</w:t>
      </w:r>
      <w:r>
        <w:rPr>
          <w:color w:val="231F20"/>
          <w:spacing w:val="-9"/>
        </w:rPr>
        <w:t> </w:t>
      </w:r>
      <w:r>
        <w:rPr>
          <w:color w:val="231F20"/>
        </w:rPr>
        <w:t>costumbres,</w:t>
      </w:r>
      <w:r>
        <w:rPr>
          <w:color w:val="231F20"/>
          <w:spacing w:val="-9"/>
        </w:rPr>
        <w:t> </w:t>
      </w:r>
      <w:r>
        <w:rPr>
          <w:color w:val="231F20"/>
        </w:rPr>
        <w:t>tradiciones,</w:t>
      </w:r>
      <w:r>
        <w:rPr>
          <w:color w:val="231F20"/>
          <w:spacing w:val="-9"/>
        </w:rPr>
        <w:t> </w:t>
      </w:r>
      <w:r>
        <w:rPr>
          <w:color w:val="231F20"/>
        </w:rPr>
        <w:t>patrones</w:t>
      </w:r>
      <w:r>
        <w:rPr>
          <w:color w:val="231F20"/>
          <w:spacing w:val="-9"/>
        </w:rPr>
        <w:t> </w:t>
      </w:r>
      <w:r>
        <w:rPr>
          <w:color w:val="231F20"/>
        </w:rPr>
        <w:t>de</w:t>
      </w:r>
      <w:r>
        <w:rPr>
          <w:color w:val="231F20"/>
          <w:spacing w:val="-9"/>
        </w:rPr>
        <w:t> </w:t>
      </w:r>
      <w:r>
        <w:rPr>
          <w:color w:val="231F20"/>
        </w:rPr>
        <w:t>consumo</w:t>
      </w:r>
      <w:r>
        <w:rPr>
          <w:color w:val="231F20"/>
          <w:spacing w:val="-9"/>
        </w:rPr>
        <w:t> </w:t>
      </w:r>
      <w:r>
        <w:rPr>
          <w:color w:val="231F20"/>
        </w:rPr>
        <w:t>y</w:t>
      </w:r>
      <w:r>
        <w:rPr>
          <w:color w:val="231F20"/>
          <w:spacing w:val="-9"/>
        </w:rPr>
        <w:t> </w:t>
      </w:r>
      <w:r>
        <w:rPr>
          <w:color w:val="231F20"/>
        </w:rPr>
        <w:t>reglas</w:t>
      </w:r>
      <w:r>
        <w:rPr>
          <w:color w:val="231F20"/>
          <w:spacing w:val="-9"/>
        </w:rPr>
        <w:t> </w:t>
      </w:r>
      <w:r>
        <w:rPr>
          <w:color w:val="231F20"/>
        </w:rPr>
        <w:t>de</w:t>
      </w:r>
      <w:r>
        <w:rPr>
          <w:color w:val="231F20"/>
          <w:spacing w:val="-9"/>
        </w:rPr>
        <w:t> </w:t>
      </w:r>
      <w:r>
        <w:rPr>
          <w:color w:val="231F20"/>
        </w:rPr>
        <w:t>conduc- ta social, que en muchos casos se pierden o se cambian durante el</w:t>
      </w:r>
      <w:r>
        <w:rPr>
          <w:color w:val="231F20"/>
          <w:spacing w:val="-33"/>
        </w:rPr>
        <w:t> </w:t>
      </w:r>
      <w:r>
        <w:rPr>
          <w:color w:val="231F20"/>
        </w:rPr>
        <w:t>trayecto o estancia en el nuevo lugar, influenciados por las condiciones propias del entorno donde llegan, buscando mejorar principalmente sus condiciones económicas principalmente. En este sentido, existen algunos factores in- ternos y externos que inducen a que la población salga de su lugar de ori- gen, sobresaliendo los siguientes (Aruj, 2008):</w:t>
      </w:r>
    </w:p>
    <w:p>
      <w:pPr>
        <w:spacing w:after="0" w:line="247" w:lineRule="auto"/>
        <w:jc w:val="both"/>
        <w:sectPr>
          <w:type w:val="continuous"/>
          <w:pgSz w:w="9360" w:h="13040"/>
          <w:pgMar w:top="0" w:bottom="0" w:left="1300" w:right="1300"/>
        </w:sectPr>
      </w:pPr>
    </w:p>
    <w:p>
      <w:pPr>
        <w:spacing w:before="45"/>
        <w:ind w:left="820" w:right="0" w:firstLine="0"/>
        <w:jc w:val="left"/>
        <w:rPr>
          <w:rFonts w:ascii="Arial" w:hAnsi="Arial"/>
          <w:sz w:val="20"/>
        </w:rPr>
      </w:pPr>
      <w:r>
        <w:rPr>
          <w:rFonts w:ascii="Arial" w:hAnsi="Arial"/>
          <w:color w:val="231F20"/>
          <w:w w:val="70"/>
          <w:sz w:val="20"/>
        </w:rPr>
        <w:t>Migración y remesas internacionales, efectos sobre la economía local...   /David Iglesias-Piña</w:t>
      </w:r>
    </w:p>
    <w:p>
      <w:pPr>
        <w:pStyle w:val="BodyText"/>
        <w:spacing w:before="7"/>
        <w:rPr>
          <w:rFonts w:ascii="Arial"/>
          <w:sz w:val="28"/>
        </w:rPr>
      </w:pPr>
    </w:p>
    <w:p>
      <w:pPr>
        <w:pStyle w:val="BodyText"/>
        <w:ind w:left="400" w:right="117"/>
      </w:pPr>
      <w:r>
        <w:rPr>
          <w:color w:val="231F20"/>
        </w:rPr>
        <w:t>Internos</w:t>
      </w:r>
    </w:p>
    <w:p>
      <w:pPr>
        <w:pStyle w:val="ListParagraph"/>
        <w:numPr>
          <w:ilvl w:val="0"/>
          <w:numId w:val="8"/>
        </w:numPr>
        <w:tabs>
          <w:tab w:pos="477" w:val="left" w:leader="none"/>
          <w:tab w:pos="478" w:val="left" w:leader="none"/>
        </w:tabs>
        <w:spacing w:line="240" w:lineRule="auto" w:before="177" w:after="0"/>
        <w:ind w:left="477" w:right="0" w:hanging="360"/>
        <w:jc w:val="left"/>
        <w:rPr>
          <w:sz w:val="22"/>
        </w:rPr>
      </w:pPr>
      <w:r>
        <w:rPr>
          <w:color w:val="231F20"/>
          <w:sz w:val="22"/>
        </w:rPr>
        <w:t>Frustración en sus expectativas de</w:t>
      </w:r>
      <w:r>
        <w:rPr>
          <w:color w:val="231F20"/>
          <w:spacing w:val="-14"/>
          <w:sz w:val="22"/>
        </w:rPr>
        <w:t> </w:t>
      </w:r>
      <w:r>
        <w:rPr>
          <w:color w:val="231F20"/>
          <w:sz w:val="22"/>
        </w:rPr>
        <w:t>vida.</w:t>
      </w:r>
    </w:p>
    <w:p>
      <w:pPr>
        <w:pStyle w:val="ListParagraph"/>
        <w:numPr>
          <w:ilvl w:val="0"/>
          <w:numId w:val="8"/>
        </w:numPr>
        <w:tabs>
          <w:tab w:pos="477" w:val="left" w:leader="none"/>
          <w:tab w:pos="478" w:val="left" w:leader="none"/>
        </w:tabs>
        <w:spacing w:line="240" w:lineRule="auto" w:before="7" w:after="0"/>
        <w:ind w:left="477" w:right="0" w:hanging="360"/>
        <w:jc w:val="left"/>
        <w:rPr>
          <w:sz w:val="22"/>
        </w:rPr>
      </w:pPr>
      <w:r>
        <w:rPr>
          <w:color w:val="231F20"/>
          <w:sz w:val="22"/>
        </w:rPr>
        <w:t>Frustración en su realización</w:t>
      </w:r>
      <w:r>
        <w:rPr>
          <w:color w:val="231F20"/>
          <w:spacing w:val="-12"/>
          <w:sz w:val="22"/>
        </w:rPr>
        <w:t> </w:t>
      </w:r>
      <w:r>
        <w:rPr>
          <w:color w:val="231F20"/>
          <w:sz w:val="22"/>
        </w:rPr>
        <w:t>personal.</w:t>
      </w:r>
    </w:p>
    <w:p>
      <w:pPr>
        <w:pStyle w:val="ListParagraph"/>
        <w:numPr>
          <w:ilvl w:val="0"/>
          <w:numId w:val="8"/>
        </w:numPr>
        <w:tabs>
          <w:tab w:pos="477" w:val="left" w:leader="none"/>
          <w:tab w:pos="478" w:val="left" w:leader="none"/>
        </w:tabs>
        <w:spacing w:line="240" w:lineRule="auto" w:before="7" w:after="0"/>
        <w:ind w:left="477" w:right="0" w:hanging="360"/>
        <w:jc w:val="left"/>
        <w:rPr>
          <w:sz w:val="22"/>
        </w:rPr>
      </w:pPr>
      <w:r>
        <w:rPr>
          <w:color w:val="231F20"/>
          <w:sz w:val="22"/>
        </w:rPr>
        <w:t>Mandato generacional, vinculado a la cadena migratoria</w:t>
      </w:r>
      <w:r>
        <w:rPr>
          <w:color w:val="231F20"/>
          <w:spacing w:val="-21"/>
          <w:sz w:val="22"/>
        </w:rPr>
        <w:t> </w:t>
      </w:r>
      <w:r>
        <w:rPr>
          <w:color w:val="231F20"/>
          <w:sz w:val="22"/>
        </w:rPr>
        <w:t>familiar.</w:t>
      </w:r>
    </w:p>
    <w:p>
      <w:pPr>
        <w:pStyle w:val="ListParagraph"/>
        <w:numPr>
          <w:ilvl w:val="0"/>
          <w:numId w:val="8"/>
        </w:numPr>
        <w:tabs>
          <w:tab w:pos="477" w:val="left" w:leader="none"/>
          <w:tab w:pos="478" w:val="left" w:leader="none"/>
        </w:tabs>
        <w:spacing w:line="240" w:lineRule="auto" w:before="7" w:after="0"/>
        <w:ind w:left="477" w:right="0" w:hanging="360"/>
        <w:jc w:val="left"/>
        <w:rPr>
          <w:sz w:val="22"/>
        </w:rPr>
      </w:pPr>
      <w:r>
        <w:rPr>
          <w:color w:val="231F20"/>
          <w:sz w:val="22"/>
        </w:rPr>
        <w:t>Acceso a la información acerca de las opciones de vida en el</w:t>
      </w:r>
      <w:r>
        <w:rPr>
          <w:color w:val="231F20"/>
          <w:spacing w:val="-23"/>
          <w:sz w:val="22"/>
        </w:rPr>
        <w:t> </w:t>
      </w:r>
      <w:r>
        <w:rPr>
          <w:color w:val="231F20"/>
          <w:sz w:val="22"/>
        </w:rPr>
        <w:t>exterior.</w:t>
      </w:r>
    </w:p>
    <w:p>
      <w:pPr>
        <w:pStyle w:val="ListParagraph"/>
        <w:numPr>
          <w:ilvl w:val="0"/>
          <w:numId w:val="8"/>
        </w:numPr>
        <w:tabs>
          <w:tab w:pos="478" w:val="left" w:leader="none"/>
        </w:tabs>
        <w:spacing w:line="247" w:lineRule="auto" w:before="7" w:after="0"/>
        <w:ind w:left="477" w:right="114" w:hanging="360"/>
        <w:jc w:val="both"/>
        <w:rPr>
          <w:sz w:val="22"/>
        </w:rPr>
      </w:pPr>
      <w:r>
        <w:rPr>
          <w:color w:val="231F20"/>
          <w:sz w:val="22"/>
        </w:rPr>
        <w:t>Convicción de la imposibilidad de la realización ético-valorativa en la sociedad de</w:t>
      </w:r>
      <w:r>
        <w:rPr>
          <w:color w:val="231F20"/>
          <w:spacing w:val="-7"/>
          <w:sz w:val="22"/>
        </w:rPr>
        <w:t> </w:t>
      </w:r>
      <w:r>
        <w:rPr>
          <w:color w:val="231F20"/>
          <w:sz w:val="22"/>
        </w:rPr>
        <w:t>origen.</w:t>
      </w:r>
    </w:p>
    <w:p>
      <w:pPr>
        <w:pStyle w:val="BodyText"/>
        <w:spacing w:before="169"/>
        <w:ind w:left="400" w:right="117"/>
      </w:pPr>
      <w:r>
        <w:rPr>
          <w:color w:val="231F20"/>
        </w:rPr>
        <w:t>Externos</w:t>
      </w:r>
    </w:p>
    <w:p>
      <w:pPr>
        <w:pStyle w:val="ListParagraph"/>
        <w:numPr>
          <w:ilvl w:val="0"/>
          <w:numId w:val="8"/>
        </w:numPr>
        <w:tabs>
          <w:tab w:pos="477" w:val="left" w:leader="none"/>
          <w:tab w:pos="478" w:val="left" w:leader="none"/>
        </w:tabs>
        <w:spacing w:line="240" w:lineRule="auto" w:before="177" w:after="0"/>
        <w:ind w:left="477" w:right="0" w:hanging="360"/>
        <w:jc w:val="left"/>
        <w:rPr>
          <w:sz w:val="22"/>
        </w:rPr>
      </w:pPr>
      <w:r>
        <w:rPr>
          <w:color w:val="231F20"/>
          <w:sz w:val="22"/>
        </w:rPr>
        <w:t>Falta de alternativas para logros</w:t>
      </w:r>
      <w:r>
        <w:rPr>
          <w:color w:val="231F20"/>
          <w:spacing w:val="-6"/>
          <w:sz w:val="22"/>
        </w:rPr>
        <w:t> </w:t>
      </w:r>
      <w:r>
        <w:rPr>
          <w:color w:val="231F20"/>
          <w:sz w:val="22"/>
        </w:rPr>
        <w:t>ocupacionales.</w:t>
      </w:r>
    </w:p>
    <w:p>
      <w:pPr>
        <w:pStyle w:val="ListParagraph"/>
        <w:numPr>
          <w:ilvl w:val="0"/>
          <w:numId w:val="8"/>
        </w:numPr>
        <w:tabs>
          <w:tab w:pos="477" w:val="left" w:leader="none"/>
          <w:tab w:pos="478" w:val="left" w:leader="none"/>
        </w:tabs>
        <w:spacing w:line="240" w:lineRule="auto" w:before="7" w:after="0"/>
        <w:ind w:left="477" w:right="0" w:hanging="360"/>
        <w:jc w:val="left"/>
        <w:rPr>
          <w:sz w:val="22"/>
        </w:rPr>
      </w:pPr>
      <w:r>
        <w:rPr>
          <w:color w:val="231F20"/>
          <w:sz w:val="22"/>
        </w:rPr>
        <w:t>Incertidumbre social sobre el futuro</w:t>
      </w:r>
      <w:r>
        <w:rPr>
          <w:color w:val="231F20"/>
          <w:spacing w:val="-9"/>
          <w:sz w:val="22"/>
        </w:rPr>
        <w:t> </w:t>
      </w:r>
      <w:r>
        <w:rPr>
          <w:color w:val="231F20"/>
          <w:sz w:val="22"/>
        </w:rPr>
        <w:t>económico.</w:t>
      </w:r>
    </w:p>
    <w:p>
      <w:pPr>
        <w:pStyle w:val="ListParagraph"/>
        <w:numPr>
          <w:ilvl w:val="0"/>
          <w:numId w:val="8"/>
        </w:numPr>
        <w:tabs>
          <w:tab w:pos="477" w:val="left" w:leader="none"/>
          <w:tab w:pos="478" w:val="left" w:leader="none"/>
        </w:tabs>
        <w:spacing w:line="240" w:lineRule="auto" w:before="7" w:after="0"/>
        <w:ind w:left="477" w:right="0" w:hanging="360"/>
        <w:jc w:val="left"/>
        <w:rPr>
          <w:sz w:val="22"/>
        </w:rPr>
      </w:pPr>
      <w:r>
        <w:rPr>
          <w:color w:val="231F20"/>
          <w:sz w:val="22"/>
        </w:rPr>
        <w:t>Inseguridad general frente al crecimiento de la</w:t>
      </w:r>
      <w:r>
        <w:rPr>
          <w:color w:val="231F20"/>
          <w:spacing w:val="-1"/>
          <w:sz w:val="22"/>
        </w:rPr>
        <w:t> </w:t>
      </w:r>
      <w:r>
        <w:rPr>
          <w:color w:val="231F20"/>
          <w:sz w:val="22"/>
        </w:rPr>
        <w:t>violencia.</w:t>
      </w:r>
    </w:p>
    <w:p>
      <w:pPr>
        <w:pStyle w:val="ListParagraph"/>
        <w:numPr>
          <w:ilvl w:val="0"/>
          <w:numId w:val="8"/>
        </w:numPr>
        <w:tabs>
          <w:tab w:pos="477" w:val="left" w:leader="none"/>
          <w:tab w:pos="478" w:val="left" w:leader="none"/>
        </w:tabs>
        <w:spacing w:line="240" w:lineRule="auto" w:before="7" w:after="0"/>
        <w:ind w:left="477" w:right="0" w:hanging="360"/>
        <w:jc w:val="left"/>
        <w:rPr>
          <w:sz w:val="22"/>
        </w:rPr>
      </w:pPr>
      <w:r>
        <w:rPr>
          <w:color w:val="231F20"/>
          <w:sz w:val="22"/>
        </w:rPr>
        <w:t>Necesidades básicas</w:t>
      </w:r>
      <w:r>
        <w:rPr>
          <w:color w:val="231F20"/>
          <w:spacing w:val="-10"/>
          <w:sz w:val="22"/>
        </w:rPr>
        <w:t> </w:t>
      </w:r>
      <w:r>
        <w:rPr>
          <w:color w:val="231F20"/>
          <w:sz w:val="22"/>
        </w:rPr>
        <w:t>insatisfechas.</w:t>
      </w:r>
    </w:p>
    <w:p>
      <w:pPr>
        <w:pStyle w:val="BodyText"/>
        <w:spacing w:line="247" w:lineRule="auto" w:before="177"/>
        <w:ind w:left="117" w:right="115" w:firstLine="283"/>
        <w:jc w:val="both"/>
      </w:pPr>
      <w:r>
        <w:rPr>
          <w:color w:val="231F20"/>
        </w:rPr>
        <w:t>Es así que en la migración internacional como proceso histórico, se pueden identificar cuatro momentos importantes que describen su impor- tancia</w:t>
      </w:r>
      <w:r>
        <w:rPr>
          <w:color w:val="231F20"/>
          <w:spacing w:val="-11"/>
        </w:rPr>
        <w:t> </w:t>
      </w:r>
      <w:r>
        <w:rPr>
          <w:color w:val="231F20"/>
        </w:rPr>
        <w:t>y</w:t>
      </w:r>
      <w:r>
        <w:rPr>
          <w:color w:val="231F20"/>
          <w:spacing w:val="-11"/>
        </w:rPr>
        <w:t> </w:t>
      </w:r>
      <w:r>
        <w:rPr>
          <w:color w:val="231F20"/>
        </w:rPr>
        <w:t>relevancia</w:t>
      </w:r>
      <w:r>
        <w:rPr>
          <w:color w:val="231F20"/>
          <w:spacing w:val="-11"/>
        </w:rPr>
        <w:t> </w:t>
      </w:r>
      <w:r>
        <w:rPr>
          <w:color w:val="231F20"/>
        </w:rPr>
        <w:t>dentro</w:t>
      </w:r>
      <w:r>
        <w:rPr>
          <w:color w:val="231F20"/>
          <w:spacing w:val="-11"/>
        </w:rPr>
        <w:t> </w:t>
      </w:r>
      <w:r>
        <w:rPr>
          <w:color w:val="231F20"/>
        </w:rPr>
        <w:t>del</w:t>
      </w:r>
      <w:r>
        <w:rPr>
          <w:color w:val="231F20"/>
          <w:spacing w:val="-11"/>
        </w:rPr>
        <w:t> </w:t>
      </w:r>
      <w:r>
        <w:rPr>
          <w:color w:val="231F20"/>
        </w:rPr>
        <w:t>contexto</w:t>
      </w:r>
      <w:r>
        <w:rPr>
          <w:color w:val="231F20"/>
          <w:spacing w:val="-11"/>
        </w:rPr>
        <w:t> </w:t>
      </w:r>
      <w:r>
        <w:rPr>
          <w:color w:val="231F20"/>
        </w:rPr>
        <w:t>mundial</w:t>
      </w:r>
      <w:r>
        <w:rPr>
          <w:color w:val="231F20"/>
          <w:spacing w:val="-11"/>
        </w:rPr>
        <w:t> </w:t>
      </w:r>
      <w:r>
        <w:rPr>
          <w:color w:val="231F20"/>
        </w:rPr>
        <w:t>desde</w:t>
      </w:r>
      <w:r>
        <w:rPr>
          <w:color w:val="231F20"/>
          <w:spacing w:val="-11"/>
        </w:rPr>
        <w:t> </w:t>
      </w:r>
      <w:r>
        <w:rPr>
          <w:color w:val="231F20"/>
        </w:rPr>
        <w:t>finales</w:t>
      </w:r>
      <w:r>
        <w:rPr>
          <w:color w:val="231F20"/>
          <w:spacing w:val="-11"/>
        </w:rPr>
        <w:t> </w:t>
      </w:r>
      <w:r>
        <w:rPr>
          <w:color w:val="231F20"/>
        </w:rPr>
        <w:t>del</w:t>
      </w:r>
      <w:r>
        <w:rPr>
          <w:color w:val="231F20"/>
          <w:spacing w:val="-11"/>
        </w:rPr>
        <w:t> </w:t>
      </w:r>
      <w:r>
        <w:rPr>
          <w:color w:val="231F20"/>
        </w:rPr>
        <w:t>siglo</w:t>
      </w:r>
      <w:r>
        <w:rPr>
          <w:color w:val="231F20"/>
          <w:spacing w:val="-11"/>
        </w:rPr>
        <w:t> </w:t>
      </w:r>
      <w:r>
        <w:rPr>
          <w:color w:val="231F20"/>
        </w:rPr>
        <w:t>XIX (López, 2005):</w:t>
      </w:r>
    </w:p>
    <w:p>
      <w:pPr>
        <w:pStyle w:val="ListParagraph"/>
        <w:numPr>
          <w:ilvl w:val="0"/>
          <w:numId w:val="8"/>
        </w:numPr>
        <w:tabs>
          <w:tab w:pos="478" w:val="left" w:leader="none"/>
        </w:tabs>
        <w:spacing w:line="247" w:lineRule="auto" w:before="169" w:after="0"/>
        <w:ind w:left="477" w:right="115" w:hanging="360"/>
        <w:jc w:val="both"/>
        <w:rPr>
          <w:sz w:val="22"/>
        </w:rPr>
      </w:pPr>
      <w:r>
        <w:rPr>
          <w:color w:val="231F20"/>
          <w:sz w:val="22"/>
        </w:rPr>
        <w:t>El primer momento está relacionado con las migraciones transoceáni- cas,</w:t>
      </w:r>
      <w:r>
        <w:rPr>
          <w:color w:val="231F20"/>
          <w:spacing w:val="-11"/>
          <w:sz w:val="22"/>
        </w:rPr>
        <w:t> </w:t>
      </w:r>
      <w:r>
        <w:rPr>
          <w:color w:val="231F20"/>
          <w:sz w:val="22"/>
        </w:rPr>
        <w:t>que</w:t>
      </w:r>
      <w:r>
        <w:rPr>
          <w:color w:val="231F20"/>
          <w:spacing w:val="-11"/>
          <w:sz w:val="22"/>
        </w:rPr>
        <w:t> </w:t>
      </w:r>
      <w:r>
        <w:rPr>
          <w:color w:val="231F20"/>
          <w:sz w:val="22"/>
        </w:rPr>
        <w:t>a</w:t>
      </w:r>
      <w:r>
        <w:rPr>
          <w:color w:val="231F20"/>
          <w:spacing w:val="-11"/>
          <w:sz w:val="22"/>
        </w:rPr>
        <w:t> </w:t>
      </w:r>
      <w:r>
        <w:rPr>
          <w:color w:val="231F20"/>
          <w:sz w:val="22"/>
        </w:rPr>
        <w:t>finales</w:t>
      </w:r>
      <w:r>
        <w:rPr>
          <w:color w:val="231F20"/>
          <w:spacing w:val="-11"/>
          <w:sz w:val="22"/>
        </w:rPr>
        <w:t> </w:t>
      </w:r>
      <w:r>
        <w:rPr>
          <w:color w:val="231F20"/>
          <w:sz w:val="22"/>
        </w:rPr>
        <w:t>del</w:t>
      </w:r>
      <w:r>
        <w:rPr>
          <w:color w:val="231F20"/>
          <w:spacing w:val="-11"/>
          <w:sz w:val="22"/>
        </w:rPr>
        <w:t> </w:t>
      </w:r>
      <w:r>
        <w:rPr>
          <w:color w:val="231F20"/>
          <w:sz w:val="22"/>
        </w:rPr>
        <w:t>siglo</w:t>
      </w:r>
      <w:r>
        <w:rPr>
          <w:color w:val="231F20"/>
          <w:spacing w:val="-11"/>
          <w:sz w:val="22"/>
        </w:rPr>
        <w:t> </w:t>
      </w:r>
      <w:r>
        <w:rPr>
          <w:color w:val="231F20"/>
          <w:sz w:val="22"/>
        </w:rPr>
        <w:t>XIX</w:t>
      </w:r>
      <w:r>
        <w:rPr>
          <w:color w:val="231F20"/>
          <w:spacing w:val="-11"/>
          <w:sz w:val="22"/>
        </w:rPr>
        <w:t> </w:t>
      </w:r>
      <w:r>
        <w:rPr>
          <w:color w:val="231F20"/>
          <w:sz w:val="22"/>
        </w:rPr>
        <w:t>y</w:t>
      </w:r>
      <w:r>
        <w:rPr>
          <w:color w:val="231F20"/>
          <w:spacing w:val="-11"/>
          <w:sz w:val="22"/>
        </w:rPr>
        <w:t> </w:t>
      </w:r>
      <w:r>
        <w:rPr>
          <w:color w:val="231F20"/>
          <w:sz w:val="22"/>
        </w:rPr>
        <w:t>la</w:t>
      </w:r>
      <w:r>
        <w:rPr>
          <w:color w:val="231F20"/>
          <w:spacing w:val="-11"/>
          <w:sz w:val="22"/>
        </w:rPr>
        <w:t> </w:t>
      </w:r>
      <w:r>
        <w:rPr>
          <w:color w:val="231F20"/>
          <w:sz w:val="22"/>
        </w:rPr>
        <w:t>primera</w:t>
      </w:r>
      <w:r>
        <w:rPr>
          <w:color w:val="231F20"/>
          <w:spacing w:val="-11"/>
          <w:sz w:val="22"/>
        </w:rPr>
        <w:t> </w:t>
      </w:r>
      <w:r>
        <w:rPr>
          <w:color w:val="231F20"/>
          <w:sz w:val="22"/>
        </w:rPr>
        <w:t>mitad</w:t>
      </w:r>
      <w:r>
        <w:rPr>
          <w:color w:val="231F20"/>
          <w:spacing w:val="-11"/>
          <w:sz w:val="22"/>
        </w:rPr>
        <w:t> </w:t>
      </w:r>
      <w:r>
        <w:rPr>
          <w:color w:val="231F20"/>
          <w:sz w:val="22"/>
        </w:rPr>
        <w:t>del</w:t>
      </w:r>
      <w:r>
        <w:rPr>
          <w:color w:val="231F20"/>
          <w:spacing w:val="-11"/>
          <w:sz w:val="22"/>
        </w:rPr>
        <w:t> </w:t>
      </w:r>
      <w:r>
        <w:rPr>
          <w:color w:val="231F20"/>
          <w:sz w:val="22"/>
        </w:rPr>
        <w:t>XX,</w:t>
      </w:r>
      <w:r>
        <w:rPr>
          <w:color w:val="231F20"/>
          <w:spacing w:val="-11"/>
          <w:sz w:val="22"/>
        </w:rPr>
        <w:t> </w:t>
      </w:r>
      <w:r>
        <w:rPr>
          <w:color w:val="231F20"/>
          <w:sz w:val="22"/>
        </w:rPr>
        <w:t>movilizaron alrededor de 55 millones de europeos, la cual fue considerada como una válvula de escape a los múltiples problemas que vivía dicho con- tinente, posibilitando de esta manera la organización y reorganización de los estados</w:t>
      </w:r>
      <w:r>
        <w:rPr>
          <w:color w:val="231F20"/>
          <w:spacing w:val="-2"/>
          <w:sz w:val="22"/>
        </w:rPr>
        <w:t> </w:t>
      </w:r>
      <w:r>
        <w:rPr>
          <w:color w:val="231F20"/>
          <w:sz w:val="22"/>
        </w:rPr>
        <w:t>europeos.</w:t>
      </w:r>
    </w:p>
    <w:p>
      <w:pPr>
        <w:pStyle w:val="ListParagraph"/>
        <w:numPr>
          <w:ilvl w:val="0"/>
          <w:numId w:val="8"/>
        </w:numPr>
        <w:tabs>
          <w:tab w:pos="478" w:val="left" w:leader="none"/>
        </w:tabs>
        <w:spacing w:line="247" w:lineRule="auto" w:before="0" w:after="0"/>
        <w:ind w:left="477" w:right="115" w:hanging="360"/>
        <w:jc w:val="both"/>
        <w:rPr>
          <w:sz w:val="22"/>
        </w:rPr>
      </w:pPr>
      <w:r>
        <w:rPr>
          <w:color w:val="231F20"/>
          <w:sz w:val="22"/>
        </w:rPr>
        <w:t>El segundo momento es explicado por la crisis internacional de 1930, la</w:t>
      </w:r>
      <w:r>
        <w:rPr>
          <w:color w:val="231F20"/>
          <w:spacing w:val="-9"/>
          <w:sz w:val="22"/>
        </w:rPr>
        <w:t> </w:t>
      </w:r>
      <w:r>
        <w:rPr>
          <w:color w:val="231F20"/>
          <w:sz w:val="22"/>
        </w:rPr>
        <w:t>cual</w:t>
      </w:r>
      <w:r>
        <w:rPr>
          <w:color w:val="231F20"/>
          <w:spacing w:val="-9"/>
          <w:sz w:val="22"/>
        </w:rPr>
        <w:t> </w:t>
      </w:r>
      <w:r>
        <w:rPr>
          <w:color w:val="231F20"/>
          <w:sz w:val="22"/>
        </w:rPr>
        <w:t>afectó</w:t>
      </w:r>
      <w:r>
        <w:rPr>
          <w:color w:val="231F20"/>
          <w:spacing w:val="-9"/>
          <w:sz w:val="22"/>
        </w:rPr>
        <w:t> </w:t>
      </w:r>
      <w:r>
        <w:rPr>
          <w:color w:val="231F20"/>
          <w:sz w:val="22"/>
        </w:rPr>
        <w:t>el</w:t>
      </w:r>
      <w:r>
        <w:rPr>
          <w:color w:val="231F20"/>
          <w:spacing w:val="-9"/>
          <w:sz w:val="22"/>
        </w:rPr>
        <w:t> </w:t>
      </w:r>
      <w:r>
        <w:rPr>
          <w:color w:val="231F20"/>
          <w:sz w:val="22"/>
        </w:rPr>
        <w:t>entorno</w:t>
      </w:r>
      <w:r>
        <w:rPr>
          <w:color w:val="231F20"/>
          <w:spacing w:val="-10"/>
          <w:sz w:val="22"/>
        </w:rPr>
        <w:t> </w:t>
      </w:r>
      <w:r>
        <w:rPr>
          <w:color w:val="231F20"/>
          <w:sz w:val="22"/>
        </w:rPr>
        <w:t>rural,</w:t>
      </w:r>
      <w:r>
        <w:rPr>
          <w:color w:val="231F20"/>
          <w:spacing w:val="-9"/>
          <w:sz w:val="22"/>
        </w:rPr>
        <w:t> </w:t>
      </w:r>
      <w:r>
        <w:rPr>
          <w:color w:val="231F20"/>
          <w:sz w:val="22"/>
        </w:rPr>
        <w:t>propiciando</w:t>
      </w:r>
      <w:r>
        <w:rPr>
          <w:color w:val="231F20"/>
          <w:spacing w:val="-9"/>
          <w:sz w:val="22"/>
        </w:rPr>
        <w:t> </w:t>
      </w:r>
      <w:r>
        <w:rPr>
          <w:color w:val="231F20"/>
          <w:sz w:val="22"/>
        </w:rPr>
        <w:t>una</w:t>
      </w:r>
      <w:r>
        <w:rPr>
          <w:color w:val="231F20"/>
          <w:spacing w:val="-9"/>
          <w:sz w:val="22"/>
        </w:rPr>
        <w:t> </w:t>
      </w:r>
      <w:r>
        <w:rPr>
          <w:color w:val="231F20"/>
          <w:sz w:val="22"/>
        </w:rPr>
        <w:t>salida</w:t>
      </w:r>
      <w:r>
        <w:rPr>
          <w:color w:val="231F20"/>
          <w:spacing w:val="-9"/>
          <w:sz w:val="22"/>
        </w:rPr>
        <w:t> </w:t>
      </w:r>
      <w:r>
        <w:rPr>
          <w:color w:val="231F20"/>
          <w:sz w:val="22"/>
        </w:rPr>
        <w:t>masiva</w:t>
      </w:r>
      <w:r>
        <w:rPr>
          <w:color w:val="231F20"/>
          <w:spacing w:val="-9"/>
          <w:sz w:val="22"/>
        </w:rPr>
        <w:t> </w:t>
      </w:r>
      <w:r>
        <w:rPr>
          <w:color w:val="231F20"/>
          <w:sz w:val="22"/>
        </w:rPr>
        <w:t>de</w:t>
      </w:r>
      <w:r>
        <w:rPr>
          <w:color w:val="231F20"/>
          <w:spacing w:val="-9"/>
          <w:sz w:val="22"/>
        </w:rPr>
        <w:t> </w:t>
      </w:r>
      <w:r>
        <w:rPr>
          <w:color w:val="231F20"/>
          <w:sz w:val="22"/>
        </w:rPr>
        <w:t>pobla- ción del campo hacia la</w:t>
      </w:r>
      <w:r>
        <w:rPr>
          <w:color w:val="231F20"/>
          <w:spacing w:val="-2"/>
          <w:sz w:val="22"/>
        </w:rPr>
        <w:t> </w:t>
      </w:r>
      <w:r>
        <w:rPr>
          <w:color w:val="231F20"/>
          <w:sz w:val="22"/>
        </w:rPr>
        <w:t>ciudad.</w:t>
      </w:r>
    </w:p>
    <w:p>
      <w:pPr>
        <w:pStyle w:val="ListParagraph"/>
        <w:numPr>
          <w:ilvl w:val="0"/>
          <w:numId w:val="8"/>
        </w:numPr>
        <w:tabs>
          <w:tab w:pos="478" w:val="left" w:leader="none"/>
        </w:tabs>
        <w:spacing w:line="247" w:lineRule="auto" w:before="0" w:after="0"/>
        <w:ind w:left="477" w:right="115" w:hanging="360"/>
        <w:jc w:val="both"/>
        <w:rPr>
          <w:sz w:val="22"/>
        </w:rPr>
      </w:pPr>
      <w:r>
        <w:rPr>
          <w:color w:val="231F20"/>
          <w:sz w:val="22"/>
        </w:rPr>
        <w:t>El</w:t>
      </w:r>
      <w:r>
        <w:rPr>
          <w:color w:val="231F20"/>
          <w:spacing w:val="-5"/>
          <w:sz w:val="22"/>
        </w:rPr>
        <w:t> </w:t>
      </w:r>
      <w:r>
        <w:rPr>
          <w:color w:val="231F20"/>
          <w:sz w:val="22"/>
        </w:rPr>
        <w:t>tercer</w:t>
      </w:r>
      <w:r>
        <w:rPr>
          <w:color w:val="231F20"/>
          <w:spacing w:val="-5"/>
          <w:sz w:val="22"/>
        </w:rPr>
        <w:t> </w:t>
      </w:r>
      <w:r>
        <w:rPr>
          <w:color w:val="231F20"/>
          <w:sz w:val="22"/>
        </w:rPr>
        <w:t>momento</w:t>
      </w:r>
      <w:r>
        <w:rPr>
          <w:color w:val="231F20"/>
          <w:spacing w:val="-5"/>
          <w:sz w:val="22"/>
        </w:rPr>
        <w:t> </w:t>
      </w:r>
      <w:r>
        <w:rPr>
          <w:color w:val="231F20"/>
          <w:sz w:val="22"/>
        </w:rPr>
        <w:t>se</w:t>
      </w:r>
      <w:r>
        <w:rPr>
          <w:color w:val="231F20"/>
          <w:spacing w:val="-5"/>
          <w:sz w:val="22"/>
        </w:rPr>
        <w:t> </w:t>
      </w:r>
      <w:r>
        <w:rPr>
          <w:color w:val="231F20"/>
          <w:sz w:val="22"/>
        </w:rPr>
        <w:t>produjo</w:t>
      </w:r>
      <w:r>
        <w:rPr>
          <w:color w:val="231F20"/>
          <w:spacing w:val="-5"/>
          <w:sz w:val="22"/>
        </w:rPr>
        <w:t> </w:t>
      </w:r>
      <w:r>
        <w:rPr>
          <w:color w:val="231F20"/>
          <w:sz w:val="22"/>
        </w:rPr>
        <w:t>con</w:t>
      </w:r>
      <w:r>
        <w:rPr>
          <w:color w:val="231F20"/>
          <w:spacing w:val="-5"/>
          <w:sz w:val="22"/>
        </w:rPr>
        <w:t> </w:t>
      </w:r>
      <w:r>
        <w:rPr>
          <w:color w:val="231F20"/>
          <w:sz w:val="22"/>
        </w:rPr>
        <w:t>los</w:t>
      </w:r>
      <w:r>
        <w:rPr>
          <w:color w:val="231F20"/>
          <w:spacing w:val="-5"/>
          <w:sz w:val="22"/>
        </w:rPr>
        <w:t> </w:t>
      </w:r>
      <w:r>
        <w:rPr>
          <w:color w:val="231F20"/>
          <w:sz w:val="22"/>
        </w:rPr>
        <w:t>conflictos</w:t>
      </w:r>
      <w:r>
        <w:rPr>
          <w:color w:val="231F20"/>
          <w:spacing w:val="-5"/>
          <w:sz w:val="22"/>
        </w:rPr>
        <w:t> </w:t>
      </w:r>
      <w:r>
        <w:rPr>
          <w:color w:val="231F20"/>
          <w:sz w:val="22"/>
        </w:rPr>
        <w:t>políticos,</w:t>
      </w:r>
      <w:r>
        <w:rPr>
          <w:color w:val="231F20"/>
          <w:spacing w:val="-5"/>
          <w:sz w:val="22"/>
        </w:rPr>
        <w:t> </w:t>
      </w:r>
      <w:r>
        <w:rPr>
          <w:color w:val="231F20"/>
          <w:sz w:val="22"/>
        </w:rPr>
        <w:t>económicos y</w:t>
      </w:r>
      <w:r>
        <w:rPr>
          <w:color w:val="231F20"/>
          <w:spacing w:val="-6"/>
          <w:sz w:val="22"/>
        </w:rPr>
        <w:t> </w:t>
      </w:r>
      <w:r>
        <w:rPr>
          <w:color w:val="231F20"/>
          <w:sz w:val="22"/>
        </w:rPr>
        <w:t>sociales</w:t>
      </w:r>
      <w:r>
        <w:rPr>
          <w:color w:val="231F20"/>
          <w:spacing w:val="-6"/>
          <w:sz w:val="22"/>
        </w:rPr>
        <w:t> </w:t>
      </w:r>
      <w:r>
        <w:rPr>
          <w:color w:val="231F20"/>
          <w:sz w:val="22"/>
        </w:rPr>
        <w:t>que</w:t>
      </w:r>
      <w:r>
        <w:rPr>
          <w:color w:val="231F20"/>
          <w:spacing w:val="-6"/>
          <w:sz w:val="22"/>
        </w:rPr>
        <w:t> </w:t>
      </w:r>
      <w:r>
        <w:rPr>
          <w:color w:val="231F20"/>
          <w:sz w:val="22"/>
        </w:rPr>
        <w:t>se</w:t>
      </w:r>
      <w:r>
        <w:rPr>
          <w:color w:val="231F20"/>
          <w:spacing w:val="-6"/>
          <w:sz w:val="22"/>
        </w:rPr>
        <w:t> </w:t>
      </w:r>
      <w:r>
        <w:rPr>
          <w:color w:val="231F20"/>
          <w:sz w:val="22"/>
        </w:rPr>
        <w:t>suscitaron</w:t>
      </w:r>
      <w:r>
        <w:rPr>
          <w:color w:val="231F20"/>
          <w:spacing w:val="-6"/>
          <w:sz w:val="22"/>
        </w:rPr>
        <w:t> </w:t>
      </w:r>
      <w:r>
        <w:rPr>
          <w:color w:val="231F20"/>
          <w:sz w:val="22"/>
        </w:rPr>
        <w:t>en</w:t>
      </w:r>
      <w:r>
        <w:rPr>
          <w:color w:val="231F20"/>
          <w:spacing w:val="-6"/>
          <w:sz w:val="22"/>
        </w:rPr>
        <w:t> </w:t>
      </w:r>
      <w:r>
        <w:rPr>
          <w:color w:val="231F20"/>
          <w:sz w:val="22"/>
        </w:rPr>
        <w:t>el</w:t>
      </w:r>
      <w:r>
        <w:rPr>
          <w:color w:val="231F20"/>
          <w:spacing w:val="-6"/>
          <w:sz w:val="22"/>
        </w:rPr>
        <w:t> </w:t>
      </w:r>
      <w:r>
        <w:rPr>
          <w:color w:val="231F20"/>
          <w:sz w:val="22"/>
        </w:rPr>
        <w:t>mundo</w:t>
      </w:r>
      <w:r>
        <w:rPr>
          <w:color w:val="231F20"/>
          <w:spacing w:val="-7"/>
          <w:sz w:val="22"/>
        </w:rPr>
        <w:t> </w:t>
      </w:r>
      <w:r>
        <w:rPr>
          <w:color w:val="231F20"/>
          <w:sz w:val="22"/>
        </w:rPr>
        <w:t>en</w:t>
      </w:r>
      <w:r>
        <w:rPr>
          <w:color w:val="231F20"/>
          <w:spacing w:val="-6"/>
          <w:sz w:val="22"/>
        </w:rPr>
        <w:t> </w:t>
      </w:r>
      <w:r>
        <w:rPr>
          <w:color w:val="231F20"/>
          <w:sz w:val="22"/>
        </w:rPr>
        <w:t>la</w:t>
      </w:r>
      <w:r>
        <w:rPr>
          <w:color w:val="231F20"/>
          <w:spacing w:val="-6"/>
          <w:sz w:val="22"/>
        </w:rPr>
        <w:t> </w:t>
      </w:r>
      <w:r>
        <w:rPr>
          <w:color w:val="231F20"/>
          <w:sz w:val="22"/>
        </w:rPr>
        <w:t>década</w:t>
      </w:r>
      <w:r>
        <w:rPr>
          <w:color w:val="231F20"/>
          <w:spacing w:val="-6"/>
          <w:sz w:val="22"/>
        </w:rPr>
        <w:t> </w:t>
      </w:r>
      <w:r>
        <w:rPr>
          <w:color w:val="231F20"/>
          <w:sz w:val="22"/>
        </w:rPr>
        <w:t>de</w:t>
      </w:r>
      <w:r>
        <w:rPr>
          <w:color w:val="231F20"/>
          <w:spacing w:val="-6"/>
          <w:sz w:val="22"/>
        </w:rPr>
        <w:t> </w:t>
      </w:r>
      <w:r>
        <w:rPr>
          <w:color w:val="231F20"/>
          <w:sz w:val="22"/>
        </w:rPr>
        <w:t>los</w:t>
      </w:r>
      <w:r>
        <w:rPr>
          <w:color w:val="231F20"/>
          <w:spacing w:val="-6"/>
          <w:sz w:val="22"/>
        </w:rPr>
        <w:t> </w:t>
      </w:r>
      <w:r>
        <w:rPr>
          <w:color w:val="231F20"/>
          <w:sz w:val="22"/>
        </w:rPr>
        <w:t>60´s,</w:t>
      </w:r>
      <w:r>
        <w:rPr>
          <w:color w:val="231F20"/>
          <w:spacing w:val="-6"/>
          <w:sz w:val="22"/>
        </w:rPr>
        <w:t> </w:t>
      </w:r>
      <w:r>
        <w:rPr>
          <w:color w:val="231F20"/>
          <w:sz w:val="22"/>
        </w:rPr>
        <w:t>dan- do lugar a la migración entre países</w:t>
      </w:r>
      <w:r>
        <w:rPr>
          <w:color w:val="231F20"/>
          <w:spacing w:val="-3"/>
          <w:sz w:val="22"/>
        </w:rPr>
        <w:t> </w:t>
      </w:r>
      <w:r>
        <w:rPr>
          <w:color w:val="231F20"/>
          <w:sz w:val="22"/>
        </w:rPr>
        <w:t>fronterizos.</w:t>
      </w:r>
    </w:p>
    <w:p>
      <w:pPr>
        <w:pStyle w:val="ListParagraph"/>
        <w:numPr>
          <w:ilvl w:val="0"/>
          <w:numId w:val="8"/>
        </w:numPr>
        <w:tabs>
          <w:tab w:pos="478" w:val="left" w:leader="none"/>
        </w:tabs>
        <w:spacing w:line="247" w:lineRule="auto" w:before="0" w:after="0"/>
        <w:ind w:left="477" w:right="115" w:hanging="360"/>
        <w:jc w:val="both"/>
        <w:rPr>
          <w:sz w:val="22"/>
        </w:rPr>
      </w:pPr>
      <w:r>
        <w:rPr>
          <w:color w:val="231F20"/>
          <w:sz w:val="22"/>
        </w:rPr>
        <w:t>El</w:t>
      </w:r>
      <w:r>
        <w:rPr>
          <w:color w:val="231F20"/>
          <w:spacing w:val="-11"/>
          <w:sz w:val="22"/>
        </w:rPr>
        <w:t> </w:t>
      </w:r>
      <w:r>
        <w:rPr>
          <w:color w:val="231F20"/>
          <w:sz w:val="22"/>
        </w:rPr>
        <w:t>cuarto</w:t>
      </w:r>
      <w:r>
        <w:rPr>
          <w:color w:val="231F20"/>
          <w:spacing w:val="-11"/>
          <w:sz w:val="22"/>
        </w:rPr>
        <w:t> </w:t>
      </w:r>
      <w:r>
        <w:rPr>
          <w:color w:val="231F20"/>
          <w:sz w:val="22"/>
        </w:rPr>
        <w:t>momento</w:t>
      </w:r>
      <w:r>
        <w:rPr>
          <w:color w:val="231F20"/>
          <w:spacing w:val="-11"/>
          <w:sz w:val="22"/>
        </w:rPr>
        <w:t> </w:t>
      </w:r>
      <w:r>
        <w:rPr>
          <w:color w:val="231F20"/>
          <w:sz w:val="22"/>
        </w:rPr>
        <w:t>está</w:t>
      </w:r>
      <w:r>
        <w:rPr>
          <w:color w:val="231F20"/>
          <w:spacing w:val="-11"/>
          <w:sz w:val="22"/>
        </w:rPr>
        <w:t> </w:t>
      </w:r>
      <w:r>
        <w:rPr>
          <w:color w:val="231F20"/>
          <w:sz w:val="22"/>
        </w:rPr>
        <w:t>vinculado</w:t>
      </w:r>
      <w:r>
        <w:rPr>
          <w:color w:val="231F20"/>
          <w:spacing w:val="-11"/>
          <w:sz w:val="22"/>
        </w:rPr>
        <w:t> </w:t>
      </w:r>
      <w:r>
        <w:rPr>
          <w:color w:val="231F20"/>
          <w:sz w:val="22"/>
        </w:rPr>
        <w:t>con</w:t>
      </w:r>
      <w:r>
        <w:rPr>
          <w:color w:val="231F20"/>
          <w:spacing w:val="-11"/>
          <w:sz w:val="22"/>
        </w:rPr>
        <w:t> </w:t>
      </w:r>
      <w:r>
        <w:rPr>
          <w:color w:val="231F20"/>
          <w:sz w:val="22"/>
        </w:rPr>
        <w:t>la</w:t>
      </w:r>
      <w:r>
        <w:rPr>
          <w:color w:val="231F20"/>
          <w:spacing w:val="-11"/>
          <w:sz w:val="22"/>
        </w:rPr>
        <w:t> </w:t>
      </w:r>
      <w:r>
        <w:rPr>
          <w:color w:val="231F20"/>
          <w:sz w:val="22"/>
        </w:rPr>
        <w:t>naturaleza</w:t>
      </w:r>
      <w:r>
        <w:rPr>
          <w:color w:val="231F20"/>
          <w:spacing w:val="-11"/>
          <w:sz w:val="22"/>
        </w:rPr>
        <w:t> </w:t>
      </w:r>
      <w:r>
        <w:rPr>
          <w:color w:val="231F20"/>
          <w:sz w:val="22"/>
        </w:rPr>
        <w:t>propia</w:t>
      </w:r>
      <w:r>
        <w:rPr>
          <w:color w:val="231F20"/>
          <w:spacing w:val="-11"/>
          <w:sz w:val="22"/>
        </w:rPr>
        <w:t> </w:t>
      </w:r>
      <w:r>
        <w:rPr>
          <w:color w:val="231F20"/>
          <w:sz w:val="22"/>
        </w:rPr>
        <w:t>de</w:t>
      </w:r>
      <w:r>
        <w:rPr>
          <w:color w:val="231F20"/>
          <w:spacing w:val="-11"/>
          <w:sz w:val="22"/>
        </w:rPr>
        <w:t> </w:t>
      </w:r>
      <w:r>
        <w:rPr>
          <w:color w:val="231F20"/>
          <w:sz w:val="22"/>
        </w:rPr>
        <w:t>la</w:t>
      </w:r>
      <w:r>
        <w:rPr>
          <w:color w:val="231F20"/>
          <w:spacing w:val="-11"/>
          <w:sz w:val="22"/>
        </w:rPr>
        <w:t> </w:t>
      </w:r>
      <w:r>
        <w:rPr>
          <w:color w:val="231F20"/>
          <w:sz w:val="22"/>
        </w:rPr>
        <w:t>globa- lización</w:t>
      </w:r>
      <w:r>
        <w:rPr>
          <w:color w:val="231F20"/>
          <w:spacing w:val="-4"/>
          <w:sz w:val="22"/>
        </w:rPr>
        <w:t> </w:t>
      </w:r>
      <w:r>
        <w:rPr>
          <w:color w:val="231F20"/>
          <w:sz w:val="22"/>
        </w:rPr>
        <w:t>a</w:t>
      </w:r>
      <w:r>
        <w:rPr>
          <w:color w:val="231F20"/>
          <w:spacing w:val="-4"/>
          <w:sz w:val="22"/>
        </w:rPr>
        <w:t> </w:t>
      </w:r>
      <w:r>
        <w:rPr>
          <w:color w:val="231F20"/>
          <w:sz w:val="22"/>
        </w:rPr>
        <w:t>partir</w:t>
      </w:r>
      <w:r>
        <w:rPr>
          <w:color w:val="231F20"/>
          <w:spacing w:val="-4"/>
          <w:sz w:val="22"/>
        </w:rPr>
        <w:t> </w:t>
      </w:r>
      <w:r>
        <w:rPr>
          <w:color w:val="231F20"/>
          <w:sz w:val="22"/>
        </w:rPr>
        <w:t>de</w:t>
      </w:r>
      <w:r>
        <w:rPr>
          <w:color w:val="231F20"/>
          <w:spacing w:val="-4"/>
          <w:sz w:val="22"/>
        </w:rPr>
        <w:t> </w:t>
      </w:r>
      <w:r>
        <w:rPr>
          <w:color w:val="231F20"/>
          <w:sz w:val="22"/>
        </w:rPr>
        <w:t>las</w:t>
      </w:r>
      <w:r>
        <w:rPr>
          <w:color w:val="231F20"/>
          <w:spacing w:val="-4"/>
          <w:sz w:val="22"/>
        </w:rPr>
        <w:t> </w:t>
      </w:r>
      <w:r>
        <w:rPr>
          <w:color w:val="231F20"/>
          <w:sz w:val="22"/>
        </w:rPr>
        <w:t>últimas</w:t>
      </w:r>
      <w:r>
        <w:rPr>
          <w:color w:val="231F20"/>
          <w:spacing w:val="-4"/>
          <w:sz w:val="22"/>
        </w:rPr>
        <w:t> </w:t>
      </w:r>
      <w:r>
        <w:rPr>
          <w:color w:val="231F20"/>
          <w:sz w:val="22"/>
        </w:rPr>
        <w:t>dos</w:t>
      </w:r>
      <w:r>
        <w:rPr>
          <w:color w:val="231F20"/>
          <w:spacing w:val="-4"/>
          <w:sz w:val="22"/>
        </w:rPr>
        <w:t> </w:t>
      </w:r>
      <w:r>
        <w:rPr>
          <w:color w:val="231F20"/>
          <w:sz w:val="22"/>
        </w:rPr>
        <w:t>décadas</w:t>
      </w:r>
      <w:r>
        <w:rPr>
          <w:color w:val="231F20"/>
          <w:spacing w:val="-4"/>
          <w:sz w:val="22"/>
        </w:rPr>
        <w:t> </w:t>
      </w:r>
      <w:r>
        <w:rPr>
          <w:color w:val="231F20"/>
          <w:sz w:val="22"/>
        </w:rPr>
        <w:t>del</w:t>
      </w:r>
      <w:r>
        <w:rPr>
          <w:color w:val="231F20"/>
          <w:spacing w:val="-4"/>
          <w:sz w:val="22"/>
        </w:rPr>
        <w:t> </w:t>
      </w:r>
      <w:r>
        <w:rPr>
          <w:color w:val="231F20"/>
          <w:sz w:val="22"/>
        </w:rPr>
        <w:t>siglo</w:t>
      </w:r>
      <w:r>
        <w:rPr>
          <w:color w:val="231F20"/>
          <w:spacing w:val="-4"/>
          <w:sz w:val="22"/>
        </w:rPr>
        <w:t> </w:t>
      </w:r>
      <w:r>
        <w:rPr>
          <w:color w:val="231F20"/>
          <w:sz w:val="22"/>
        </w:rPr>
        <w:t>XX</w:t>
      </w:r>
      <w:r>
        <w:rPr>
          <w:color w:val="231F20"/>
          <w:spacing w:val="-4"/>
          <w:sz w:val="22"/>
        </w:rPr>
        <w:t> </w:t>
      </w:r>
      <w:r>
        <w:rPr>
          <w:color w:val="231F20"/>
          <w:sz w:val="22"/>
        </w:rPr>
        <w:t>y</w:t>
      </w:r>
      <w:r>
        <w:rPr>
          <w:color w:val="231F20"/>
          <w:spacing w:val="-4"/>
          <w:sz w:val="22"/>
        </w:rPr>
        <w:t> </w:t>
      </w:r>
      <w:r>
        <w:rPr>
          <w:color w:val="231F20"/>
          <w:sz w:val="22"/>
        </w:rPr>
        <w:t>que</w:t>
      </w:r>
      <w:r>
        <w:rPr>
          <w:color w:val="231F20"/>
          <w:spacing w:val="-4"/>
          <w:sz w:val="22"/>
        </w:rPr>
        <w:t> </w:t>
      </w:r>
      <w:r>
        <w:rPr>
          <w:color w:val="231F20"/>
          <w:sz w:val="22"/>
        </w:rPr>
        <w:t>persiste hasta nuestros días, en la cual se estima que se han movilizado alre- dedor de 150 millones de personas en todo el mundo, de las cuales 20 millones son latinoamericanos </w:t>
      </w:r>
      <w:r>
        <w:rPr>
          <w:color w:val="231F20"/>
          <w:spacing w:val="-4"/>
          <w:sz w:val="22"/>
        </w:rPr>
        <w:t>(CEPAL,</w:t>
      </w:r>
      <w:r>
        <w:rPr>
          <w:color w:val="231F20"/>
          <w:spacing w:val="1"/>
          <w:sz w:val="22"/>
        </w:rPr>
        <w:t> </w:t>
      </w:r>
      <w:r>
        <w:rPr>
          <w:color w:val="231F20"/>
          <w:sz w:val="22"/>
        </w:rPr>
        <w:t>2004).</w:t>
      </w:r>
    </w:p>
    <w:p>
      <w:pPr>
        <w:pStyle w:val="BodyText"/>
        <w:spacing w:line="247" w:lineRule="auto" w:before="169"/>
        <w:ind w:left="117" w:right="115" w:firstLine="283"/>
        <w:jc w:val="both"/>
      </w:pPr>
      <w:r>
        <w:rPr>
          <w:color w:val="231F20"/>
        </w:rPr>
        <w:t>Este hecho no es ajeno a México, pues la cercanía con Estados Unidos ha</w:t>
      </w:r>
      <w:r>
        <w:rPr>
          <w:color w:val="231F20"/>
          <w:spacing w:val="-5"/>
        </w:rPr>
        <w:t> </w:t>
      </w:r>
      <w:r>
        <w:rPr>
          <w:color w:val="231F20"/>
        </w:rPr>
        <w:t>propiciado</w:t>
      </w:r>
      <w:r>
        <w:rPr>
          <w:color w:val="231F20"/>
          <w:spacing w:val="-6"/>
        </w:rPr>
        <w:t> </w:t>
      </w:r>
      <w:r>
        <w:rPr>
          <w:color w:val="231F20"/>
        </w:rPr>
        <w:t>el</w:t>
      </w:r>
      <w:r>
        <w:rPr>
          <w:color w:val="231F20"/>
          <w:spacing w:val="-5"/>
        </w:rPr>
        <w:t> </w:t>
      </w:r>
      <w:r>
        <w:rPr>
          <w:color w:val="231F20"/>
        </w:rPr>
        <w:t>flujo</w:t>
      </w:r>
      <w:r>
        <w:rPr>
          <w:color w:val="231F20"/>
          <w:spacing w:val="-5"/>
        </w:rPr>
        <w:t> </w:t>
      </w:r>
      <w:r>
        <w:rPr>
          <w:color w:val="231F20"/>
        </w:rPr>
        <w:t>constante</w:t>
      </w:r>
      <w:r>
        <w:rPr>
          <w:color w:val="231F20"/>
          <w:spacing w:val="-6"/>
        </w:rPr>
        <w:t> </w:t>
      </w:r>
      <w:r>
        <w:rPr>
          <w:color w:val="231F20"/>
        </w:rPr>
        <w:t>de</w:t>
      </w:r>
      <w:r>
        <w:rPr>
          <w:color w:val="231F20"/>
          <w:spacing w:val="-5"/>
        </w:rPr>
        <w:t> </w:t>
      </w:r>
      <w:r>
        <w:rPr>
          <w:color w:val="231F20"/>
        </w:rPr>
        <w:t>personas,</w:t>
      </w:r>
      <w:r>
        <w:rPr>
          <w:color w:val="231F20"/>
          <w:spacing w:val="-5"/>
        </w:rPr>
        <w:t> </w:t>
      </w:r>
      <w:r>
        <w:rPr>
          <w:color w:val="231F20"/>
        </w:rPr>
        <w:t>tanto</w:t>
      </w:r>
      <w:r>
        <w:rPr>
          <w:color w:val="231F20"/>
          <w:spacing w:val="-6"/>
        </w:rPr>
        <w:t> </w:t>
      </w:r>
      <w:r>
        <w:rPr>
          <w:color w:val="231F20"/>
        </w:rPr>
        <w:t>del</w:t>
      </w:r>
      <w:r>
        <w:rPr>
          <w:color w:val="231F20"/>
          <w:spacing w:val="-6"/>
        </w:rPr>
        <w:t> </w:t>
      </w:r>
      <w:r>
        <w:rPr>
          <w:color w:val="231F20"/>
        </w:rPr>
        <w:t>propio</w:t>
      </w:r>
      <w:r>
        <w:rPr>
          <w:color w:val="231F20"/>
          <w:spacing w:val="-5"/>
        </w:rPr>
        <w:t> </w:t>
      </w:r>
      <w:r>
        <w:rPr>
          <w:color w:val="231F20"/>
        </w:rPr>
        <w:t>país</w:t>
      </w:r>
      <w:r>
        <w:rPr>
          <w:color w:val="231F20"/>
          <w:spacing w:val="-5"/>
        </w:rPr>
        <w:t> </w:t>
      </w:r>
      <w:r>
        <w:rPr>
          <w:color w:val="231F20"/>
        </w:rPr>
        <w:t>como</w:t>
      </w:r>
      <w:r>
        <w:rPr>
          <w:color w:val="231F20"/>
          <w:spacing w:val="-6"/>
        </w:rPr>
        <w:t> </w:t>
      </w:r>
      <w:r>
        <w:rPr>
          <w:color w:val="231F20"/>
        </w:rPr>
        <w:t>de</w:t>
      </w:r>
    </w:p>
    <w:p>
      <w:pPr>
        <w:spacing w:after="0" w:line="247" w:lineRule="auto"/>
        <w:jc w:val="both"/>
        <w:sectPr>
          <w:pgSz w:w="9360" w:h="13040"/>
          <w:pgMar w:header="0" w:footer="496" w:top="740" w:bottom="680" w:left="1300" w:right="1300"/>
        </w:sectPr>
      </w:pPr>
    </w:p>
    <w:p>
      <w:pPr>
        <w:spacing w:before="52"/>
        <w:ind w:left="124" w:right="-5" w:firstLine="0"/>
        <w:jc w:val="left"/>
        <w:rPr>
          <w:rFonts w:ascii="Arial" w:hAnsi="Arial"/>
          <w:sz w:val="20"/>
        </w:rPr>
      </w:pPr>
      <w:r>
        <w:rPr>
          <w:rFonts w:ascii="Arial" w:hAnsi="Arial"/>
          <w:color w:val="231F20"/>
          <w:w w:val="80"/>
          <w:sz w:val="20"/>
        </w:rPr>
        <w:t>Hitos</w:t>
      </w:r>
      <w:r>
        <w:rPr>
          <w:rFonts w:ascii="Arial" w:hAnsi="Arial"/>
          <w:color w:val="231F20"/>
          <w:spacing w:val="-23"/>
          <w:w w:val="80"/>
          <w:sz w:val="20"/>
        </w:rPr>
        <w:t> </w:t>
      </w:r>
      <w:r>
        <w:rPr>
          <w:rFonts w:ascii="Arial" w:hAnsi="Arial"/>
          <w:color w:val="231F20"/>
          <w:w w:val="80"/>
          <w:sz w:val="20"/>
        </w:rPr>
        <w:t>Demográficos</w:t>
      </w:r>
      <w:r>
        <w:rPr>
          <w:rFonts w:ascii="Arial" w:hAnsi="Arial"/>
          <w:color w:val="231F20"/>
          <w:spacing w:val="-23"/>
          <w:w w:val="80"/>
          <w:sz w:val="20"/>
        </w:rPr>
        <w:t> </w:t>
      </w:r>
      <w:r>
        <w:rPr>
          <w:rFonts w:ascii="Arial" w:hAnsi="Arial"/>
          <w:color w:val="231F20"/>
          <w:w w:val="80"/>
          <w:sz w:val="20"/>
        </w:rPr>
        <w:t>del</w:t>
      </w:r>
      <w:r>
        <w:rPr>
          <w:rFonts w:ascii="Arial" w:hAnsi="Arial"/>
          <w:color w:val="231F20"/>
          <w:spacing w:val="-23"/>
          <w:w w:val="80"/>
          <w:sz w:val="20"/>
        </w:rPr>
        <w:t> </w:t>
      </w:r>
      <w:r>
        <w:rPr>
          <w:rFonts w:ascii="Arial" w:hAnsi="Arial"/>
          <w:color w:val="231F20"/>
          <w:w w:val="80"/>
          <w:sz w:val="20"/>
        </w:rPr>
        <w:t>Siglo</w:t>
      </w:r>
      <w:r>
        <w:rPr>
          <w:rFonts w:ascii="Arial" w:hAnsi="Arial"/>
          <w:color w:val="231F20"/>
          <w:spacing w:val="-23"/>
          <w:w w:val="80"/>
          <w:sz w:val="20"/>
        </w:rPr>
        <w:t> </w:t>
      </w:r>
      <w:r>
        <w:rPr>
          <w:rFonts w:ascii="Arial" w:hAnsi="Arial"/>
          <w:color w:val="231F20"/>
          <w:w w:val="80"/>
          <w:sz w:val="20"/>
        </w:rPr>
        <w:t>XXI:</w:t>
      </w:r>
      <w:r>
        <w:rPr>
          <w:rFonts w:ascii="Arial" w:hAnsi="Arial"/>
          <w:color w:val="231F20"/>
          <w:spacing w:val="-23"/>
          <w:w w:val="80"/>
          <w:sz w:val="20"/>
        </w:rPr>
        <w:t> </w:t>
      </w:r>
      <w:r>
        <w:rPr>
          <w:rFonts w:ascii="Arial" w:hAnsi="Arial"/>
          <w:color w:val="231F20"/>
          <w:w w:val="80"/>
          <w:sz w:val="20"/>
        </w:rPr>
        <w:t>Migración</w:t>
      </w:r>
      <w:r>
        <w:rPr>
          <w:rFonts w:ascii="Arial" w:hAnsi="Arial"/>
          <w:color w:val="231F20"/>
          <w:spacing w:val="-23"/>
          <w:w w:val="80"/>
          <w:sz w:val="20"/>
        </w:rPr>
        <w:t> </w:t>
      </w:r>
      <w:r>
        <w:rPr>
          <w:rFonts w:ascii="Arial" w:hAnsi="Arial"/>
          <w:color w:val="231F20"/>
          <w:w w:val="80"/>
          <w:sz w:val="20"/>
        </w:rPr>
        <w:t>Internacional</w:t>
      </w:r>
    </w:p>
    <w:p>
      <w:pPr>
        <w:spacing w:before="54"/>
        <w:ind w:left="124" w:right="0" w:firstLine="0"/>
        <w:jc w:val="left"/>
        <w:rPr>
          <w:sz w:val="18"/>
        </w:rPr>
      </w:pPr>
      <w:r>
        <w:rPr/>
        <w:br w:type="column"/>
      </w:r>
      <w:r>
        <w:rPr>
          <w:color w:val="231F20"/>
          <w:sz w:val="18"/>
        </w:rPr>
        <w:t>CIEAP/UAEM</w:t>
      </w:r>
    </w:p>
    <w:p>
      <w:pPr>
        <w:spacing w:after="0"/>
        <w:jc w:val="left"/>
        <w:rPr>
          <w:sz w:val="18"/>
        </w:rPr>
        <w:sectPr>
          <w:pgSz w:w="9360" w:h="13040"/>
          <w:pgMar w:header="0" w:footer="496" w:top="840" w:bottom="680" w:left="1300" w:right="1300"/>
          <w:cols w:num="2" w:equalWidth="0">
            <w:col w:w="4101" w:space="1311"/>
            <w:col w:w="1348"/>
          </w:cols>
        </w:sectPr>
      </w:pPr>
    </w:p>
    <w:p>
      <w:pPr>
        <w:pStyle w:val="BodyText"/>
        <w:spacing w:before="2"/>
        <w:rPr>
          <w:sz w:val="13"/>
        </w:rPr>
      </w:pPr>
    </w:p>
    <w:p>
      <w:pPr>
        <w:pStyle w:val="BodyText"/>
        <w:spacing w:line="247" w:lineRule="auto" w:before="71"/>
        <w:ind w:left="117" w:right="114"/>
        <w:jc w:val="both"/>
      </w:pPr>
      <w:r>
        <w:rPr>
          <w:color w:val="231F20"/>
        </w:rPr>
        <w:t>otros que llegan de las naciones latinoamericanas y del Caribe, el cual se ha convertido en un trampolín hacia el mercado estadounidense,</w:t>
      </w:r>
      <w:r>
        <w:rPr>
          <w:color w:val="231F20"/>
          <w:spacing w:val="-22"/>
        </w:rPr>
        <w:t> </w:t>
      </w:r>
      <w:r>
        <w:rPr>
          <w:color w:val="231F20"/>
        </w:rPr>
        <w:t>buscando emplearse en actividades mejor remuneradas para enriquecer su calidad de vida y la de sus dependientes. Estos flujos migratorios han fomentado el establecimiento fijo o semifijo de familias mexicanas en territorio esta- dounidense, mismo que ha propiciado la formación de redes migratorias que fortalecen e intensifican dichos desplazamientos, convirtiéndose así</w:t>
      </w:r>
      <w:r>
        <w:rPr>
          <w:color w:val="231F20"/>
          <w:spacing w:val="-27"/>
        </w:rPr>
        <w:t> </w:t>
      </w:r>
      <w:r>
        <w:rPr>
          <w:color w:val="231F20"/>
        </w:rPr>
        <w:t>la migración en un factor de reunificación familiar, de aquí que este</w:t>
      </w:r>
      <w:r>
        <w:rPr>
          <w:color w:val="231F20"/>
          <w:spacing w:val="-22"/>
        </w:rPr>
        <w:t> </w:t>
      </w:r>
      <w:r>
        <w:rPr>
          <w:color w:val="231F20"/>
        </w:rPr>
        <w:t>fenóme- no no sólo implica la movilidad de personas, sino un conjunto de factores económicos,</w:t>
      </w:r>
      <w:r>
        <w:rPr>
          <w:color w:val="231F20"/>
          <w:spacing w:val="-9"/>
        </w:rPr>
        <w:t> </w:t>
      </w:r>
      <w:r>
        <w:rPr>
          <w:color w:val="231F20"/>
        </w:rPr>
        <w:t>sociales,</w:t>
      </w:r>
      <w:r>
        <w:rPr>
          <w:color w:val="231F20"/>
          <w:spacing w:val="-8"/>
        </w:rPr>
        <w:t> </w:t>
      </w:r>
      <w:r>
        <w:rPr>
          <w:color w:val="231F20"/>
        </w:rPr>
        <w:t>culturales</w:t>
      </w:r>
      <w:r>
        <w:rPr>
          <w:color w:val="231F20"/>
          <w:spacing w:val="-8"/>
        </w:rPr>
        <w:t> </w:t>
      </w:r>
      <w:r>
        <w:rPr>
          <w:color w:val="231F20"/>
        </w:rPr>
        <w:t>y</w:t>
      </w:r>
      <w:r>
        <w:rPr>
          <w:color w:val="231F20"/>
          <w:spacing w:val="-8"/>
        </w:rPr>
        <w:t> </w:t>
      </w:r>
      <w:r>
        <w:rPr>
          <w:color w:val="231F20"/>
        </w:rPr>
        <w:t>políticos</w:t>
      </w:r>
      <w:r>
        <w:rPr>
          <w:color w:val="231F20"/>
          <w:spacing w:val="-8"/>
        </w:rPr>
        <w:t> </w:t>
      </w:r>
      <w:r>
        <w:rPr>
          <w:color w:val="231F20"/>
        </w:rPr>
        <w:t>que</w:t>
      </w:r>
      <w:r>
        <w:rPr>
          <w:color w:val="231F20"/>
          <w:spacing w:val="-8"/>
        </w:rPr>
        <w:t> </w:t>
      </w:r>
      <w:r>
        <w:rPr>
          <w:color w:val="231F20"/>
        </w:rPr>
        <w:t>puede</w:t>
      </w:r>
      <w:r>
        <w:rPr>
          <w:color w:val="231F20"/>
          <w:spacing w:val="-8"/>
        </w:rPr>
        <w:t> </w:t>
      </w:r>
      <w:r>
        <w:rPr>
          <w:color w:val="231F20"/>
        </w:rPr>
        <w:t>en</w:t>
      </w:r>
      <w:r>
        <w:rPr>
          <w:color w:val="231F20"/>
          <w:spacing w:val="-8"/>
        </w:rPr>
        <w:t> </w:t>
      </w:r>
      <w:r>
        <w:rPr>
          <w:color w:val="231F20"/>
        </w:rPr>
        <w:t>determinado</w:t>
      </w:r>
      <w:r>
        <w:rPr>
          <w:color w:val="231F20"/>
          <w:spacing w:val="-8"/>
        </w:rPr>
        <w:t> </w:t>
      </w:r>
      <w:r>
        <w:rPr>
          <w:color w:val="231F20"/>
        </w:rPr>
        <w:t>mo- mento afectar al lugar donde realizan su vida</w:t>
      </w:r>
      <w:r>
        <w:rPr>
          <w:color w:val="231F20"/>
          <w:spacing w:val="-4"/>
        </w:rPr>
        <w:t> </w:t>
      </w:r>
      <w:r>
        <w:rPr>
          <w:color w:val="231F20"/>
        </w:rPr>
        <w:t>cotidiana.</w:t>
      </w:r>
    </w:p>
    <w:p>
      <w:pPr>
        <w:pStyle w:val="BodyText"/>
        <w:spacing w:line="247" w:lineRule="auto"/>
        <w:ind w:left="117" w:right="114" w:firstLine="283"/>
        <w:jc w:val="both"/>
      </w:pPr>
      <w:r>
        <w:rPr>
          <w:color w:val="231F20"/>
        </w:rPr>
        <w:t>Es así que en los últimos veinte años, el fenómeno migratorio interna- cional es visto como normal, es decir, ya no causa extrañeza el que hom- bres y mujeres salgan de sus lugares de origen para buscar mejorar sus condiciones</w:t>
      </w:r>
      <w:r>
        <w:rPr>
          <w:color w:val="231F20"/>
          <w:spacing w:val="-7"/>
        </w:rPr>
        <w:t> </w:t>
      </w:r>
      <w:r>
        <w:rPr>
          <w:color w:val="231F20"/>
        </w:rPr>
        <w:t>de</w:t>
      </w:r>
      <w:r>
        <w:rPr>
          <w:color w:val="231F20"/>
          <w:spacing w:val="-6"/>
        </w:rPr>
        <w:t> </w:t>
      </w:r>
      <w:r>
        <w:rPr>
          <w:color w:val="231F20"/>
        </w:rPr>
        <w:t>vida,</w:t>
      </w:r>
      <w:r>
        <w:rPr>
          <w:color w:val="231F20"/>
          <w:spacing w:val="-6"/>
        </w:rPr>
        <w:t> </w:t>
      </w:r>
      <w:r>
        <w:rPr>
          <w:color w:val="231F20"/>
        </w:rPr>
        <w:t>de</w:t>
      </w:r>
      <w:r>
        <w:rPr>
          <w:color w:val="231F20"/>
          <w:spacing w:val="-6"/>
        </w:rPr>
        <w:t> </w:t>
      </w:r>
      <w:r>
        <w:rPr>
          <w:color w:val="231F20"/>
        </w:rPr>
        <w:t>aquí</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desplazamientos</w:t>
      </w:r>
      <w:r>
        <w:rPr>
          <w:color w:val="231F20"/>
          <w:spacing w:val="-6"/>
        </w:rPr>
        <w:t> </w:t>
      </w:r>
      <w:r>
        <w:rPr>
          <w:color w:val="231F20"/>
        </w:rPr>
        <w:t>sociales</w:t>
      </w:r>
      <w:r>
        <w:rPr>
          <w:color w:val="231F20"/>
          <w:spacing w:val="-6"/>
        </w:rPr>
        <w:t> </w:t>
      </w:r>
      <w:r>
        <w:rPr>
          <w:color w:val="231F20"/>
        </w:rPr>
        <w:t>estén</w:t>
      </w:r>
      <w:r>
        <w:rPr>
          <w:color w:val="231F20"/>
          <w:spacing w:val="-7"/>
        </w:rPr>
        <w:t> </w:t>
      </w:r>
      <w:r>
        <w:rPr>
          <w:color w:val="231F20"/>
        </w:rPr>
        <w:t>adqui- riendo</w:t>
      </w:r>
      <w:r>
        <w:rPr>
          <w:color w:val="231F20"/>
          <w:spacing w:val="-10"/>
        </w:rPr>
        <w:t> </w:t>
      </w:r>
      <w:r>
        <w:rPr>
          <w:color w:val="231F20"/>
        </w:rPr>
        <w:t>una</w:t>
      </w:r>
      <w:r>
        <w:rPr>
          <w:color w:val="231F20"/>
          <w:spacing w:val="-10"/>
        </w:rPr>
        <w:t> </w:t>
      </w:r>
      <w:r>
        <w:rPr>
          <w:color w:val="231F20"/>
        </w:rPr>
        <w:t>nueva</w:t>
      </w:r>
      <w:r>
        <w:rPr>
          <w:color w:val="231F20"/>
          <w:spacing w:val="-10"/>
        </w:rPr>
        <w:t> </w:t>
      </w:r>
      <w:r>
        <w:rPr>
          <w:color w:val="231F20"/>
        </w:rPr>
        <w:t>faceta,</w:t>
      </w:r>
      <w:r>
        <w:rPr>
          <w:color w:val="231F20"/>
          <w:spacing w:val="-10"/>
        </w:rPr>
        <w:t> </w:t>
      </w:r>
      <w:r>
        <w:rPr>
          <w:color w:val="231F20"/>
        </w:rPr>
        <w:t>pues</w:t>
      </w:r>
      <w:r>
        <w:rPr>
          <w:color w:val="231F20"/>
          <w:spacing w:val="-10"/>
        </w:rPr>
        <w:t> </w:t>
      </w:r>
      <w:r>
        <w:rPr>
          <w:color w:val="231F20"/>
        </w:rPr>
        <w:t>ya</w:t>
      </w:r>
      <w:r>
        <w:rPr>
          <w:color w:val="231F20"/>
          <w:spacing w:val="-10"/>
        </w:rPr>
        <w:t> </w:t>
      </w:r>
      <w:r>
        <w:rPr>
          <w:color w:val="231F20"/>
        </w:rPr>
        <w:t>no</w:t>
      </w:r>
      <w:r>
        <w:rPr>
          <w:color w:val="231F20"/>
          <w:spacing w:val="-10"/>
        </w:rPr>
        <w:t> </w:t>
      </w:r>
      <w:r>
        <w:rPr>
          <w:color w:val="231F20"/>
        </w:rPr>
        <w:t>sólo</w:t>
      </w:r>
      <w:r>
        <w:rPr>
          <w:color w:val="231F20"/>
          <w:spacing w:val="-10"/>
        </w:rPr>
        <w:t> </w:t>
      </w:r>
      <w:r>
        <w:rPr>
          <w:color w:val="231F20"/>
        </w:rPr>
        <w:t>se</w:t>
      </w:r>
      <w:r>
        <w:rPr>
          <w:color w:val="231F20"/>
          <w:spacing w:val="-10"/>
        </w:rPr>
        <w:t> </w:t>
      </w:r>
      <w:r>
        <w:rPr>
          <w:color w:val="231F20"/>
        </w:rPr>
        <w:t>incluye</w:t>
      </w:r>
      <w:r>
        <w:rPr>
          <w:color w:val="231F20"/>
          <w:spacing w:val="-11"/>
        </w:rPr>
        <w:t> </w:t>
      </w:r>
      <w:r>
        <w:rPr>
          <w:color w:val="231F20"/>
        </w:rPr>
        <w:t>a</w:t>
      </w:r>
      <w:r>
        <w:rPr>
          <w:color w:val="231F20"/>
          <w:spacing w:val="-10"/>
        </w:rPr>
        <w:t> </w:t>
      </w:r>
      <w:r>
        <w:rPr>
          <w:color w:val="231F20"/>
        </w:rPr>
        <w:t>los</w:t>
      </w:r>
      <w:r>
        <w:rPr>
          <w:color w:val="231F20"/>
          <w:spacing w:val="-10"/>
        </w:rPr>
        <w:t> </w:t>
      </w:r>
      <w:r>
        <w:rPr>
          <w:color w:val="231F20"/>
        </w:rPr>
        <w:t>estados</w:t>
      </w:r>
      <w:r>
        <w:rPr>
          <w:color w:val="231F20"/>
          <w:spacing w:val="-10"/>
        </w:rPr>
        <w:t> </w:t>
      </w:r>
      <w:r>
        <w:rPr>
          <w:color w:val="231F20"/>
        </w:rPr>
        <w:t>menos</w:t>
      </w:r>
      <w:r>
        <w:rPr>
          <w:color w:val="231F20"/>
          <w:spacing w:val="-10"/>
        </w:rPr>
        <w:t> </w:t>
      </w:r>
      <w:r>
        <w:rPr>
          <w:color w:val="231F20"/>
        </w:rPr>
        <w:t>de- sarrollados del país, sino se generaliza, aunque en menor proporción a los considerados más dinámicos. Ello implica que más de 60 por ciento de</w:t>
      </w:r>
      <w:r>
        <w:rPr>
          <w:color w:val="231F20"/>
          <w:spacing w:val="-31"/>
        </w:rPr>
        <w:t> </w:t>
      </w:r>
      <w:r>
        <w:rPr>
          <w:color w:val="231F20"/>
        </w:rPr>
        <w:t>los municipios de algunos estados se convierten en expulsores de población, destacando Zacatecas (70.2 por ciento), Aguascalientes (63.6 por ciento), Michoacán (61.9 por ciento), Guanajuato (56.5 por ciento), Durango</w:t>
      </w:r>
      <w:r>
        <w:rPr>
          <w:color w:val="231F20"/>
          <w:spacing w:val="-36"/>
        </w:rPr>
        <w:t> </w:t>
      </w:r>
      <w:r>
        <w:rPr>
          <w:color w:val="231F20"/>
        </w:rPr>
        <w:t>(56.4 por ciento) y Jalisco (58.9 por ciento), los cuales son considerados como entidades que conforman la zona tradicional de emigración. Asimismo, la periferia</w:t>
      </w:r>
      <w:r>
        <w:rPr>
          <w:color w:val="231F20"/>
          <w:spacing w:val="-12"/>
        </w:rPr>
        <w:t> </w:t>
      </w:r>
      <w:r>
        <w:rPr>
          <w:color w:val="231F20"/>
        </w:rPr>
        <w:t>de</w:t>
      </w:r>
      <w:r>
        <w:rPr>
          <w:color w:val="231F20"/>
          <w:spacing w:val="-13"/>
        </w:rPr>
        <w:t> </w:t>
      </w:r>
      <w:r>
        <w:rPr>
          <w:color w:val="231F20"/>
        </w:rPr>
        <w:t>la</w:t>
      </w:r>
      <w:r>
        <w:rPr>
          <w:color w:val="231F20"/>
          <w:spacing w:val="-13"/>
        </w:rPr>
        <w:t> </w:t>
      </w:r>
      <w:r>
        <w:rPr>
          <w:color w:val="231F20"/>
        </w:rPr>
        <w:t>Zona</w:t>
      </w:r>
      <w:r>
        <w:rPr>
          <w:color w:val="231F20"/>
          <w:spacing w:val="-13"/>
        </w:rPr>
        <w:t> </w:t>
      </w:r>
      <w:r>
        <w:rPr>
          <w:color w:val="231F20"/>
        </w:rPr>
        <w:t>Metropolitana</w:t>
      </w:r>
      <w:r>
        <w:rPr>
          <w:color w:val="231F20"/>
          <w:spacing w:val="-12"/>
        </w:rPr>
        <w:t> </w:t>
      </w:r>
      <w:r>
        <w:rPr>
          <w:color w:val="231F20"/>
        </w:rPr>
        <w:t>del</w:t>
      </w:r>
      <w:r>
        <w:rPr>
          <w:color w:val="231F20"/>
          <w:spacing w:val="-16"/>
        </w:rPr>
        <w:t> </w:t>
      </w:r>
      <w:r>
        <w:rPr>
          <w:color w:val="231F20"/>
          <w:spacing w:val="-5"/>
        </w:rPr>
        <w:t>Valle</w:t>
      </w:r>
      <w:r>
        <w:rPr>
          <w:color w:val="231F20"/>
          <w:spacing w:val="-13"/>
        </w:rPr>
        <w:t> </w:t>
      </w:r>
      <w:r>
        <w:rPr>
          <w:color w:val="231F20"/>
        </w:rPr>
        <w:t>de</w:t>
      </w:r>
      <w:r>
        <w:rPr>
          <w:color w:val="231F20"/>
          <w:spacing w:val="-13"/>
        </w:rPr>
        <w:t> </w:t>
      </w:r>
      <w:r>
        <w:rPr>
          <w:color w:val="231F20"/>
        </w:rPr>
        <w:t>México,</w:t>
      </w:r>
      <w:r>
        <w:rPr>
          <w:color w:val="231F20"/>
          <w:spacing w:val="-12"/>
        </w:rPr>
        <w:t> </w:t>
      </w:r>
      <w:r>
        <w:rPr>
          <w:color w:val="231F20"/>
        </w:rPr>
        <w:t>integrada</w:t>
      </w:r>
      <w:r>
        <w:rPr>
          <w:color w:val="231F20"/>
          <w:spacing w:val="-13"/>
        </w:rPr>
        <w:t> </w:t>
      </w:r>
      <w:r>
        <w:rPr>
          <w:color w:val="231F20"/>
        </w:rPr>
        <w:t>por</w:t>
      </w:r>
      <w:r>
        <w:rPr>
          <w:color w:val="231F20"/>
          <w:spacing w:val="-13"/>
        </w:rPr>
        <w:t> </w:t>
      </w:r>
      <w:r>
        <w:rPr>
          <w:color w:val="231F20"/>
        </w:rPr>
        <w:t>algu- nos municipios del sur del Estado de México y Morelos, así como el norte de Guerrero, el sureste de Puebla y la zona mixteca (Oaxaca y Guerrero) se</w:t>
      </w:r>
      <w:r>
        <w:rPr>
          <w:color w:val="231F20"/>
          <w:spacing w:val="-7"/>
        </w:rPr>
        <w:t> </w:t>
      </w:r>
      <w:r>
        <w:rPr>
          <w:color w:val="231F20"/>
        </w:rPr>
        <w:t>han</w:t>
      </w:r>
      <w:r>
        <w:rPr>
          <w:color w:val="231F20"/>
          <w:spacing w:val="-7"/>
        </w:rPr>
        <w:t> </w:t>
      </w:r>
      <w:r>
        <w:rPr>
          <w:color w:val="231F20"/>
        </w:rPr>
        <w:t>convertido</w:t>
      </w:r>
      <w:r>
        <w:rPr>
          <w:color w:val="231F20"/>
          <w:spacing w:val="-8"/>
        </w:rPr>
        <w:t> </w:t>
      </w:r>
      <w:r>
        <w:rPr>
          <w:color w:val="231F20"/>
        </w:rPr>
        <w:t>en</w:t>
      </w:r>
      <w:r>
        <w:rPr>
          <w:color w:val="231F20"/>
          <w:spacing w:val="-7"/>
        </w:rPr>
        <w:t> </w:t>
      </w:r>
      <w:r>
        <w:rPr>
          <w:color w:val="231F20"/>
        </w:rPr>
        <w:t>importantes</w:t>
      </w:r>
      <w:r>
        <w:rPr>
          <w:color w:val="231F20"/>
          <w:spacing w:val="-8"/>
        </w:rPr>
        <w:t> </w:t>
      </w:r>
      <w:r>
        <w:rPr>
          <w:color w:val="231F20"/>
        </w:rPr>
        <w:t>expulsores</w:t>
      </w:r>
      <w:r>
        <w:rPr>
          <w:color w:val="231F20"/>
          <w:spacing w:val="-8"/>
        </w:rPr>
        <w:t> </w:t>
      </w:r>
      <w:r>
        <w:rPr>
          <w:color w:val="231F20"/>
        </w:rPr>
        <w:t>de</w:t>
      </w:r>
      <w:r>
        <w:rPr>
          <w:color w:val="231F20"/>
          <w:spacing w:val="-7"/>
        </w:rPr>
        <w:t> </w:t>
      </w:r>
      <w:r>
        <w:rPr>
          <w:color w:val="231F20"/>
        </w:rPr>
        <w:t>población,</w:t>
      </w:r>
      <w:r>
        <w:rPr>
          <w:color w:val="231F20"/>
          <w:spacing w:val="-7"/>
        </w:rPr>
        <w:t> </w:t>
      </w:r>
      <w:r>
        <w:rPr>
          <w:color w:val="231F20"/>
        </w:rPr>
        <w:t>cuya</w:t>
      </w:r>
      <w:r>
        <w:rPr>
          <w:color w:val="231F20"/>
          <w:spacing w:val="-8"/>
        </w:rPr>
        <w:t> </w:t>
      </w:r>
      <w:r>
        <w:rPr>
          <w:color w:val="231F20"/>
        </w:rPr>
        <w:t>intensidad migratoria tiende a ser similar al de la zona</w:t>
      </w:r>
      <w:r>
        <w:rPr>
          <w:color w:val="231F20"/>
          <w:spacing w:val="-11"/>
        </w:rPr>
        <w:t> </w:t>
      </w:r>
      <w:r>
        <w:rPr>
          <w:color w:val="231F20"/>
        </w:rPr>
        <w:t>tradicional.</w:t>
      </w:r>
    </w:p>
    <w:p>
      <w:pPr>
        <w:pStyle w:val="BodyText"/>
        <w:spacing w:line="247" w:lineRule="auto"/>
        <w:ind w:left="117" w:right="114" w:firstLine="283"/>
        <w:jc w:val="both"/>
      </w:pPr>
      <w:r>
        <w:rPr>
          <w:color w:val="231F20"/>
        </w:rPr>
        <w:t>Respecto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entidad</w:t>
      </w:r>
      <w:r>
        <w:rPr>
          <w:color w:val="231F20"/>
          <w:spacing w:val="-11"/>
        </w:rPr>
        <w:t> </w:t>
      </w:r>
      <w:r>
        <w:rPr>
          <w:color w:val="231F20"/>
        </w:rPr>
        <w:t>mexiquense,</w:t>
      </w:r>
      <w:r>
        <w:rPr>
          <w:color w:val="231F20"/>
          <w:spacing w:val="-11"/>
        </w:rPr>
        <w:t> </w:t>
      </w:r>
      <w:r>
        <w:rPr>
          <w:color w:val="231F20"/>
        </w:rPr>
        <w:t>la</w:t>
      </w:r>
      <w:r>
        <w:rPr>
          <w:color w:val="231F20"/>
          <w:spacing w:val="-11"/>
        </w:rPr>
        <w:t> </w:t>
      </w:r>
      <w:r>
        <w:rPr>
          <w:color w:val="231F20"/>
        </w:rPr>
        <w:t>migración</w:t>
      </w:r>
      <w:r>
        <w:rPr>
          <w:color w:val="231F20"/>
          <w:spacing w:val="-11"/>
        </w:rPr>
        <w:t> </w:t>
      </w:r>
      <w:r>
        <w:rPr>
          <w:color w:val="231F20"/>
        </w:rPr>
        <w:t>internacional</w:t>
      </w:r>
      <w:r>
        <w:rPr>
          <w:color w:val="231F20"/>
          <w:spacing w:val="-11"/>
        </w:rPr>
        <w:t> </w:t>
      </w:r>
      <w:r>
        <w:rPr>
          <w:color w:val="231F20"/>
        </w:rPr>
        <w:t>principal- mente</w:t>
      </w:r>
      <w:r>
        <w:rPr>
          <w:color w:val="231F20"/>
          <w:spacing w:val="-11"/>
        </w:rPr>
        <w:t> </w:t>
      </w:r>
      <w:r>
        <w:rPr>
          <w:color w:val="231F20"/>
        </w:rPr>
        <w:t>hacia</w:t>
      </w:r>
      <w:r>
        <w:rPr>
          <w:color w:val="231F20"/>
          <w:spacing w:val="-11"/>
        </w:rPr>
        <w:t> </w:t>
      </w:r>
      <w:r>
        <w:rPr>
          <w:color w:val="231F20"/>
        </w:rPr>
        <w:t>los</w:t>
      </w:r>
      <w:r>
        <w:rPr>
          <w:color w:val="231F20"/>
          <w:spacing w:val="-11"/>
        </w:rPr>
        <w:t> </w:t>
      </w:r>
      <w:r>
        <w:rPr>
          <w:color w:val="231F20"/>
        </w:rPr>
        <w:t>Estados</w:t>
      </w:r>
      <w:r>
        <w:rPr>
          <w:color w:val="231F20"/>
          <w:spacing w:val="-11"/>
        </w:rPr>
        <w:t> </w:t>
      </w:r>
      <w:r>
        <w:rPr>
          <w:color w:val="231F20"/>
        </w:rPr>
        <w:t>Unidos,</w:t>
      </w:r>
      <w:r>
        <w:rPr>
          <w:color w:val="231F20"/>
          <w:spacing w:val="-10"/>
        </w:rPr>
        <w:t> </w:t>
      </w:r>
      <w:r>
        <w:rPr>
          <w:color w:val="231F20"/>
        </w:rPr>
        <w:t>en</w:t>
      </w:r>
      <w:r>
        <w:rPr>
          <w:color w:val="231F20"/>
          <w:spacing w:val="-11"/>
        </w:rPr>
        <w:t> </w:t>
      </w:r>
      <w:r>
        <w:rPr>
          <w:color w:val="231F20"/>
        </w:rPr>
        <w:t>los</w:t>
      </w:r>
      <w:r>
        <w:rPr>
          <w:color w:val="231F20"/>
          <w:spacing w:val="-11"/>
        </w:rPr>
        <w:t> </w:t>
      </w:r>
      <w:r>
        <w:rPr>
          <w:color w:val="231F20"/>
        </w:rPr>
        <w:t>últimos</w:t>
      </w:r>
      <w:r>
        <w:rPr>
          <w:color w:val="231F20"/>
          <w:spacing w:val="-11"/>
        </w:rPr>
        <w:t> </w:t>
      </w:r>
      <w:r>
        <w:rPr>
          <w:color w:val="231F20"/>
        </w:rPr>
        <w:t>17</w:t>
      </w:r>
      <w:r>
        <w:rPr>
          <w:color w:val="231F20"/>
          <w:spacing w:val="-11"/>
        </w:rPr>
        <w:t> </w:t>
      </w:r>
      <w:r>
        <w:rPr>
          <w:color w:val="231F20"/>
        </w:rPr>
        <w:t>años</w:t>
      </w:r>
      <w:r>
        <w:rPr>
          <w:color w:val="231F20"/>
          <w:spacing w:val="-11"/>
        </w:rPr>
        <w:t> </w:t>
      </w:r>
      <w:r>
        <w:rPr>
          <w:color w:val="231F20"/>
        </w:rPr>
        <w:t>se</w:t>
      </w:r>
      <w:r>
        <w:rPr>
          <w:color w:val="231F20"/>
          <w:spacing w:val="-11"/>
        </w:rPr>
        <w:t> </w:t>
      </w:r>
      <w:r>
        <w:rPr>
          <w:color w:val="231F20"/>
        </w:rPr>
        <w:t>ha</w:t>
      </w:r>
      <w:r>
        <w:rPr>
          <w:color w:val="231F20"/>
          <w:spacing w:val="-11"/>
        </w:rPr>
        <w:t> </w:t>
      </w:r>
      <w:r>
        <w:rPr>
          <w:color w:val="231F20"/>
        </w:rPr>
        <w:t>incrementado considerablemente, explicado por la debilidad del mercado laboral y fo- mentado</w:t>
      </w:r>
      <w:r>
        <w:rPr>
          <w:color w:val="231F20"/>
          <w:spacing w:val="-4"/>
        </w:rPr>
        <w:t> </w:t>
      </w:r>
      <w:r>
        <w:rPr>
          <w:color w:val="231F20"/>
        </w:rPr>
        <w:t>por</w:t>
      </w:r>
      <w:r>
        <w:rPr>
          <w:color w:val="231F20"/>
          <w:spacing w:val="-4"/>
        </w:rPr>
        <w:t> </w:t>
      </w:r>
      <w:r>
        <w:rPr>
          <w:color w:val="231F20"/>
        </w:rPr>
        <w:t>los</w:t>
      </w:r>
      <w:r>
        <w:rPr>
          <w:color w:val="231F20"/>
          <w:spacing w:val="-4"/>
        </w:rPr>
        <w:t> </w:t>
      </w:r>
      <w:r>
        <w:rPr>
          <w:color w:val="231F20"/>
        </w:rPr>
        <w:t>lazos</w:t>
      </w:r>
      <w:r>
        <w:rPr>
          <w:color w:val="231F20"/>
          <w:spacing w:val="-4"/>
        </w:rPr>
        <w:t> </w:t>
      </w:r>
      <w:r>
        <w:rPr>
          <w:color w:val="231F20"/>
        </w:rPr>
        <w:t>de</w:t>
      </w:r>
      <w:r>
        <w:rPr>
          <w:color w:val="231F20"/>
          <w:spacing w:val="-4"/>
        </w:rPr>
        <w:t> </w:t>
      </w:r>
      <w:r>
        <w:rPr>
          <w:color w:val="231F20"/>
        </w:rPr>
        <w:t>cercanía</w:t>
      </w:r>
      <w:r>
        <w:rPr>
          <w:color w:val="231F20"/>
          <w:spacing w:val="-4"/>
        </w:rPr>
        <w:t> </w:t>
      </w:r>
      <w:r>
        <w:rPr>
          <w:color w:val="231F20"/>
        </w:rPr>
        <w:t>familiar,</w:t>
      </w:r>
      <w:r>
        <w:rPr>
          <w:color w:val="231F20"/>
          <w:spacing w:val="-4"/>
        </w:rPr>
        <w:t> </w:t>
      </w:r>
      <w:r>
        <w:rPr>
          <w:color w:val="231F20"/>
        </w:rPr>
        <w:t>lo</w:t>
      </w:r>
      <w:r>
        <w:rPr>
          <w:color w:val="231F20"/>
          <w:spacing w:val="-4"/>
        </w:rPr>
        <w:t> </w:t>
      </w:r>
      <w:r>
        <w:rPr>
          <w:color w:val="231F20"/>
        </w:rPr>
        <w:t>cual</w:t>
      </w:r>
      <w:r>
        <w:rPr>
          <w:color w:val="231F20"/>
          <w:spacing w:val="-4"/>
        </w:rPr>
        <w:t> </w:t>
      </w:r>
      <w:r>
        <w:rPr>
          <w:color w:val="231F20"/>
        </w:rPr>
        <w:t>se</w:t>
      </w:r>
      <w:r>
        <w:rPr>
          <w:color w:val="231F20"/>
          <w:spacing w:val="-4"/>
        </w:rPr>
        <w:t> </w:t>
      </w:r>
      <w:r>
        <w:rPr>
          <w:color w:val="231F20"/>
        </w:rPr>
        <w:t>ha</w:t>
      </w:r>
      <w:r>
        <w:rPr>
          <w:color w:val="231F20"/>
          <w:spacing w:val="-4"/>
        </w:rPr>
        <w:t> </w:t>
      </w:r>
      <w:r>
        <w:rPr>
          <w:color w:val="231F20"/>
        </w:rPr>
        <w:t>convertido</w:t>
      </w:r>
      <w:r>
        <w:rPr>
          <w:color w:val="231F20"/>
          <w:spacing w:val="-5"/>
        </w:rPr>
        <w:t> </w:t>
      </w:r>
      <w:r>
        <w:rPr>
          <w:color w:val="231F20"/>
        </w:rPr>
        <w:t>en</w:t>
      </w:r>
      <w:r>
        <w:rPr>
          <w:color w:val="231F20"/>
          <w:spacing w:val="-4"/>
        </w:rPr>
        <w:t> </w:t>
      </w:r>
      <w:r>
        <w:rPr>
          <w:color w:val="231F20"/>
        </w:rPr>
        <w:t>una importante fuente de realización individual y de sobrevivencia familiar, dadas las remesas que envían a su lugar de origen. Uno de los municipios que</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insertado</w:t>
      </w:r>
      <w:r>
        <w:rPr>
          <w:color w:val="231F20"/>
          <w:spacing w:val="-6"/>
        </w:rPr>
        <w:t> </w:t>
      </w:r>
      <w:r>
        <w:rPr>
          <w:color w:val="231F20"/>
        </w:rPr>
        <w:t>en</w:t>
      </w:r>
      <w:r>
        <w:rPr>
          <w:color w:val="231F20"/>
          <w:spacing w:val="-6"/>
        </w:rPr>
        <w:t> </w:t>
      </w:r>
      <w:r>
        <w:rPr>
          <w:color w:val="231F20"/>
        </w:rPr>
        <w:t>esta</w:t>
      </w:r>
      <w:r>
        <w:rPr>
          <w:color w:val="231F20"/>
          <w:spacing w:val="-6"/>
        </w:rPr>
        <w:t> </w:t>
      </w:r>
      <w:r>
        <w:rPr>
          <w:color w:val="231F20"/>
        </w:rPr>
        <w:t>dinámica</w:t>
      </w:r>
      <w:r>
        <w:rPr>
          <w:color w:val="231F20"/>
          <w:spacing w:val="-6"/>
        </w:rPr>
        <w:t> </w:t>
      </w:r>
      <w:r>
        <w:rPr>
          <w:color w:val="231F20"/>
        </w:rPr>
        <w:t>es</w:t>
      </w:r>
      <w:r>
        <w:rPr>
          <w:color w:val="231F20"/>
          <w:spacing w:val="-10"/>
        </w:rPr>
        <w:t> </w:t>
      </w:r>
      <w:r>
        <w:rPr>
          <w:color w:val="231F20"/>
        </w:rPr>
        <w:t>Tenancingo,</w:t>
      </w:r>
      <w:r>
        <w:rPr>
          <w:color w:val="231F20"/>
          <w:spacing w:val="-6"/>
        </w:rPr>
        <w:t> </w:t>
      </w:r>
      <w:r>
        <w:rPr>
          <w:color w:val="231F20"/>
        </w:rPr>
        <w:t>donde</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detectado un</w:t>
      </w:r>
      <w:r>
        <w:rPr>
          <w:color w:val="231F20"/>
          <w:spacing w:val="-6"/>
        </w:rPr>
        <w:t> </w:t>
      </w:r>
      <w:r>
        <w:rPr>
          <w:color w:val="231F20"/>
        </w:rPr>
        <w:t>proceso</w:t>
      </w:r>
      <w:r>
        <w:rPr>
          <w:color w:val="231F20"/>
          <w:spacing w:val="-6"/>
        </w:rPr>
        <w:t> </w:t>
      </w:r>
      <w:r>
        <w:rPr>
          <w:color w:val="231F20"/>
        </w:rPr>
        <w:t>de</w:t>
      </w:r>
      <w:r>
        <w:rPr>
          <w:color w:val="231F20"/>
          <w:spacing w:val="-6"/>
        </w:rPr>
        <w:t> </w:t>
      </w:r>
      <w:r>
        <w:rPr>
          <w:color w:val="231F20"/>
        </w:rPr>
        <w:t>emigración,</w:t>
      </w:r>
      <w:r>
        <w:rPr>
          <w:color w:val="231F20"/>
          <w:spacing w:val="-7"/>
        </w:rPr>
        <w:t> </w:t>
      </w:r>
      <w:r>
        <w:rPr>
          <w:color w:val="231F20"/>
        </w:rPr>
        <w:t>que</w:t>
      </w:r>
      <w:r>
        <w:rPr>
          <w:color w:val="231F20"/>
          <w:spacing w:val="-6"/>
        </w:rPr>
        <w:t> </w:t>
      </w:r>
      <w:r>
        <w:rPr>
          <w:color w:val="231F20"/>
        </w:rPr>
        <w:t>si</w:t>
      </w:r>
      <w:r>
        <w:rPr>
          <w:color w:val="231F20"/>
          <w:spacing w:val="-6"/>
        </w:rPr>
        <w:t> </w:t>
      </w:r>
      <w:r>
        <w:rPr>
          <w:color w:val="231F20"/>
        </w:rPr>
        <w:t>bien</w:t>
      </w:r>
      <w:r>
        <w:rPr>
          <w:color w:val="231F20"/>
          <w:spacing w:val="-6"/>
        </w:rPr>
        <w:t> </w:t>
      </w:r>
      <w:r>
        <w:rPr>
          <w:color w:val="231F20"/>
        </w:rPr>
        <w:t>no</w:t>
      </w:r>
      <w:r>
        <w:rPr>
          <w:color w:val="231F20"/>
          <w:spacing w:val="-6"/>
        </w:rPr>
        <w:t> </w:t>
      </w:r>
      <w:r>
        <w:rPr>
          <w:color w:val="231F20"/>
        </w:rPr>
        <w:t>es</w:t>
      </w:r>
      <w:r>
        <w:rPr>
          <w:color w:val="231F20"/>
          <w:spacing w:val="-6"/>
        </w:rPr>
        <w:t> </w:t>
      </w:r>
      <w:r>
        <w:rPr>
          <w:color w:val="231F20"/>
        </w:rPr>
        <w:t>reciente,</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últimos</w:t>
      </w:r>
      <w:r>
        <w:rPr>
          <w:color w:val="231F20"/>
          <w:spacing w:val="-6"/>
        </w:rPr>
        <w:t> </w:t>
      </w:r>
      <w:r>
        <w:rPr>
          <w:color w:val="231F20"/>
        </w:rPr>
        <w:t>quince años ha tenido un importante crecimiento a pesar de poseer una estructura productiva diversificada, predominando la producción florícola, el comer- cio y servicios comunes y semi especializados. Sin embargo, la baja</w:t>
      </w:r>
      <w:r>
        <w:rPr>
          <w:color w:val="231F20"/>
          <w:spacing w:val="15"/>
        </w:rPr>
        <w:t> </w:t>
      </w:r>
      <w:r>
        <w:rPr>
          <w:color w:val="231F20"/>
        </w:rPr>
        <w:t>retri-</w:t>
      </w:r>
    </w:p>
    <w:p>
      <w:pPr>
        <w:spacing w:after="0" w:line="247" w:lineRule="auto"/>
        <w:jc w:val="both"/>
        <w:sectPr>
          <w:type w:val="continuous"/>
          <w:pgSz w:w="9360" w:h="13040"/>
          <w:pgMar w:top="0" w:bottom="0" w:left="1300" w:right="1300"/>
        </w:sectPr>
      </w:pPr>
    </w:p>
    <w:p>
      <w:pPr>
        <w:spacing w:before="45"/>
        <w:ind w:left="71" w:right="115" w:firstLine="0"/>
        <w:jc w:val="right"/>
        <w:rPr>
          <w:rFonts w:ascii="Arial" w:hAnsi="Arial"/>
          <w:sz w:val="20"/>
        </w:rPr>
      </w:pPr>
      <w:r>
        <w:rPr>
          <w:rFonts w:ascii="Arial" w:hAnsi="Arial"/>
          <w:color w:val="231F20"/>
          <w:w w:val="70"/>
          <w:sz w:val="20"/>
        </w:rPr>
        <w:t>Migración y remesas internacionales, efectos sobre la economía local...   /David Iglesias-Piña</w:t>
      </w:r>
    </w:p>
    <w:p>
      <w:pPr>
        <w:pStyle w:val="BodyText"/>
        <w:spacing w:before="7"/>
        <w:rPr>
          <w:rFonts w:ascii="Arial"/>
          <w:sz w:val="28"/>
        </w:rPr>
      </w:pPr>
    </w:p>
    <w:p>
      <w:pPr>
        <w:pStyle w:val="BodyText"/>
        <w:spacing w:line="247" w:lineRule="auto"/>
        <w:ind w:left="117" w:right="50"/>
      </w:pPr>
      <w:r>
        <w:rPr>
          <w:color w:val="231F20"/>
        </w:rPr>
        <w:t>bución salarial es lo que induce a que la población en edad laboral tienda a buscar otras opciones ocupacionales más retribuibles.</w:t>
      </w:r>
    </w:p>
    <w:p>
      <w:pPr>
        <w:spacing w:before="149"/>
        <w:ind w:left="117" w:right="117" w:firstLine="0"/>
        <w:jc w:val="left"/>
        <w:rPr>
          <w:i/>
          <w:sz w:val="22"/>
        </w:rPr>
      </w:pPr>
      <w:r>
        <w:rPr>
          <w:i/>
          <w:color w:val="231F20"/>
          <w:sz w:val="22"/>
        </w:rPr>
        <w:t>Efectos económicos de la migración internacional</w:t>
      </w:r>
    </w:p>
    <w:p>
      <w:pPr>
        <w:pStyle w:val="BodyText"/>
        <w:spacing w:line="247" w:lineRule="auto" w:before="177"/>
        <w:ind w:left="117" w:right="114"/>
        <w:jc w:val="right"/>
      </w:pPr>
      <w:r>
        <w:rPr>
          <w:color w:val="231F20"/>
        </w:rPr>
        <w:t>Uno de los impactos económicos más relevantes de la</w:t>
      </w:r>
      <w:r>
        <w:rPr>
          <w:color w:val="231F20"/>
          <w:spacing w:val="21"/>
        </w:rPr>
        <w:t> </w:t>
      </w:r>
      <w:r>
        <w:rPr>
          <w:color w:val="231F20"/>
        </w:rPr>
        <w:t>migración</w:t>
      </w:r>
      <w:r>
        <w:rPr>
          <w:color w:val="231F20"/>
          <w:spacing w:val="7"/>
        </w:rPr>
        <w:t> </w:t>
      </w:r>
      <w:r>
        <w:rPr>
          <w:color w:val="231F20"/>
        </w:rPr>
        <w:t>interna- cional</w:t>
      </w:r>
      <w:r>
        <w:rPr>
          <w:color w:val="231F20"/>
          <w:spacing w:val="-5"/>
        </w:rPr>
        <w:t> </w:t>
      </w:r>
      <w:r>
        <w:rPr>
          <w:color w:val="231F20"/>
        </w:rPr>
        <w:t>son</w:t>
      </w:r>
      <w:r>
        <w:rPr>
          <w:color w:val="231F20"/>
          <w:spacing w:val="-4"/>
        </w:rPr>
        <w:t> </w:t>
      </w:r>
      <w:r>
        <w:rPr>
          <w:color w:val="231F20"/>
        </w:rPr>
        <w:t>las</w:t>
      </w:r>
      <w:r>
        <w:rPr>
          <w:color w:val="231F20"/>
          <w:spacing w:val="-4"/>
        </w:rPr>
        <w:t> </w:t>
      </w:r>
      <w:r>
        <w:rPr>
          <w:color w:val="231F20"/>
        </w:rPr>
        <w:t>remesas</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emigrantes</w:t>
      </w:r>
      <w:r>
        <w:rPr>
          <w:color w:val="231F20"/>
          <w:spacing w:val="-5"/>
        </w:rPr>
        <w:t> </w:t>
      </w:r>
      <w:r>
        <w:rPr>
          <w:color w:val="231F20"/>
        </w:rPr>
        <w:t>envían</w:t>
      </w:r>
      <w:r>
        <w:rPr>
          <w:color w:val="231F20"/>
          <w:spacing w:val="-5"/>
        </w:rPr>
        <w:t> </w:t>
      </w:r>
      <w:r>
        <w:rPr>
          <w:color w:val="231F20"/>
        </w:rPr>
        <w:t>a</w:t>
      </w:r>
      <w:r>
        <w:rPr>
          <w:color w:val="231F20"/>
          <w:spacing w:val="-4"/>
        </w:rPr>
        <w:t> </w:t>
      </w:r>
      <w:r>
        <w:rPr>
          <w:color w:val="231F20"/>
        </w:rPr>
        <w:t>sus</w:t>
      </w:r>
      <w:r>
        <w:rPr>
          <w:color w:val="231F20"/>
          <w:spacing w:val="-4"/>
        </w:rPr>
        <w:t> </w:t>
      </w:r>
      <w:r>
        <w:rPr>
          <w:color w:val="231F20"/>
        </w:rPr>
        <w:t>familias</w:t>
      </w:r>
      <w:r>
        <w:rPr>
          <w:color w:val="231F20"/>
          <w:spacing w:val="-4"/>
        </w:rPr>
        <w:t> </w:t>
      </w:r>
      <w:r>
        <w:rPr>
          <w:color w:val="231F20"/>
        </w:rPr>
        <w:t>a</w:t>
      </w:r>
      <w:r>
        <w:rPr>
          <w:color w:val="231F20"/>
          <w:spacing w:val="-4"/>
        </w:rPr>
        <w:t> </w:t>
      </w:r>
      <w:r>
        <w:rPr>
          <w:color w:val="231F20"/>
        </w:rPr>
        <w:t>sus</w:t>
      </w:r>
      <w:r>
        <w:rPr>
          <w:color w:val="231F20"/>
          <w:spacing w:val="-4"/>
        </w:rPr>
        <w:t> </w:t>
      </w:r>
      <w:r>
        <w:rPr>
          <w:color w:val="231F20"/>
        </w:rPr>
        <w:t>luga- res</w:t>
      </w:r>
      <w:r>
        <w:rPr>
          <w:color w:val="231F20"/>
          <w:spacing w:val="-14"/>
        </w:rPr>
        <w:t> </w:t>
      </w:r>
      <w:r>
        <w:rPr>
          <w:color w:val="231F20"/>
        </w:rPr>
        <w:t>de</w:t>
      </w:r>
      <w:r>
        <w:rPr>
          <w:color w:val="231F20"/>
          <w:spacing w:val="-14"/>
        </w:rPr>
        <w:t> </w:t>
      </w:r>
      <w:r>
        <w:rPr>
          <w:color w:val="231F20"/>
        </w:rPr>
        <w:t>origen.</w:t>
      </w:r>
      <w:r>
        <w:rPr>
          <w:color w:val="231F20"/>
          <w:spacing w:val="-14"/>
        </w:rPr>
        <w:t> </w:t>
      </w:r>
      <w:r>
        <w:rPr>
          <w:color w:val="231F20"/>
        </w:rPr>
        <w:t>Hasta</w:t>
      </w:r>
      <w:r>
        <w:rPr>
          <w:color w:val="231F20"/>
          <w:spacing w:val="-13"/>
        </w:rPr>
        <w:t> </w:t>
      </w:r>
      <w:r>
        <w:rPr>
          <w:color w:val="231F20"/>
        </w:rPr>
        <w:t>el</w:t>
      </w:r>
      <w:r>
        <w:rPr>
          <w:color w:val="231F20"/>
          <w:spacing w:val="-14"/>
        </w:rPr>
        <w:t> </w:t>
      </w:r>
      <w:r>
        <w:rPr>
          <w:color w:val="231F20"/>
        </w:rPr>
        <w:t>año</w:t>
      </w:r>
      <w:r>
        <w:rPr>
          <w:color w:val="231F20"/>
          <w:spacing w:val="-14"/>
        </w:rPr>
        <w:t> </w:t>
      </w:r>
      <w:r>
        <w:rPr>
          <w:color w:val="231F20"/>
        </w:rPr>
        <w:t>2006,</w:t>
      </w:r>
      <w:r>
        <w:rPr>
          <w:color w:val="231F20"/>
          <w:spacing w:val="-14"/>
        </w:rPr>
        <w:t> </w:t>
      </w:r>
      <w:r>
        <w:rPr>
          <w:color w:val="231F20"/>
        </w:rPr>
        <w:t>las</w:t>
      </w:r>
      <w:r>
        <w:rPr>
          <w:color w:val="231F20"/>
          <w:spacing w:val="-14"/>
        </w:rPr>
        <w:t> </w:t>
      </w:r>
      <w:r>
        <w:rPr>
          <w:color w:val="231F20"/>
        </w:rPr>
        <w:t>remesas</w:t>
      </w:r>
      <w:r>
        <w:rPr>
          <w:color w:val="231F20"/>
          <w:spacing w:val="-14"/>
        </w:rPr>
        <w:t> </w:t>
      </w:r>
      <w:r>
        <w:rPr>
          <w:color w:val="231F20"/>
        </w:rPr>
        <w:t>ascendieron</w:t>
      </w:r>
      <w:r>
        <w:rPr>
          <w:color w:val="231F20"/>
          <w:spacing w:val="-14"/>
        </w:rPr>
        <w:t> </w:t>
      </w:r>
      <w:r>
        <w:rPr>
          <w:color w:val="231F20"/>
        </w:rPr>
        <w:t>a</w:t>
      </w:r>
      <w:r>
        <w:rPr>
          <w:color w:val="231F20"/>
          <w:spacing w:val="-14"/>
        </w:rPr>
        <w:t> </w:t>
      </w:r>
      <w:r>
        <w:rPr>
          <w:color w:val="231F20"/>
        </w:rPr>
        <w:t>23</w:t>
      </w:r>
      <w:r>
        <w:rPr>
          <w:color w:val="231F20"/>
          <w:spacing w:val="-14"/>
        </w:rPr>
        <w:t> </w:t>
      </w:r>
      <w:r>
        <w:rPr>
          <w:color w:val="231F20"/>
        </w:rPr>
        <w:t>742</w:t>
      </w:r>
      <w:r>
        <w:rPr>
          <w:color w:val="231F20"/>
          <w:spacing w:val="-14"/>
        </w:rPr>
        <w:t> </w:t>
      </w:r>
      <w:r>
        <w:rPr>
          <w:color w:val="231F20"/>
        </w:rPr>
        <w:t>millones de</w:t>
      </w:r>
      <w:r>
        <w:rPr>
          <w:color w:val="231F20"/>
          <w:spacing w:val="-11"/>
        </w:rPr>
        <w:t> </w:t>
      </w:r>
      <w:r>
        <w:rPr>
          <w:color w:val="231F20"/>
        </w:rPr>
        <w:t>dólares,</w:t>
      </w:r>
      <w:r>
        <w:rPr>
          <w:color w:val="231F20"/>
          <w:spacing w:val="-11"/>
        </w:rPr>
        <w:t> </w:t>
      </w:r>
      <w:r>
        <w:rPr>
          <w:color w:val="231F20"/>
        </w:rPr>
        <w:t>cifra</w:t>
      </w:r>
      <w:r>
        <w:rPr>
          <w:color w:val="231F20"/>
          <w:spacing w:val="-11"/>
        </w:rPr>
        <w:t> </w:t>
      </w:r>
      <w:r>
        <w:rPr>
          <w:color w:val="231F20"/>
        </w:rPr>
        <w:t>muy</w:t>
      </w:r>
      <w:r>
        <w:rPr>
          <w:color w:val="231F20"/>
          <w:spacing w:val="-11"/>
        </w:rPr>
        <w:t> </w:t>
      </w:r>
      <w:r>
        <w:rPr>
          <w:color w:val="231F20"/>
        </w:rPr>
        <w:t>superior</w:t>
      </w:r>
      <w:r>
        <w:rPr>
          <w:color w:val="231F20"/>
          <w:spacing w:val="-11"/>
        </w:rPr>
        <w:t> </w:t>
      </w:r>
      <w:r>
        <w:rPr>
          <w:color w:val="231F20"/>
        </w:rPr>
        <w:t>respecto</w:t>
      </w:r>
      <w:r>
        <w:rPr>
          <w:color w:val="231F20"/>
          <w:spacing w:val="-11"/>
        </w:rPr>
        <w:t> </w:t>
      </w:r>
      <w:r>
        <w:rPr>
          <w:color w:val="231F20"/>
        </w:rPr>
        <w:t>a</w:t>
      </w:r>
      <w:r>
        <w:rPr>
          <w:color w:val="231F20"/>
          <w:spacing w:val="-11"/>
        </w:rPr>
        <w:t> </w:t>
      </w:r>
      <w:r>
        <w:rPr>
          <w:color w:val="231F20"/>
        </w:rPr>
        <w:t>1990</w:t>
      </w:r>
      <w:r>
        <w:rPr>
          <w:color w:val="231F20"/>
          <w:spacing w:val="-11"/>
        </w:rPr>
        <w:t> </w:t>
      </w:r>
      <w:r>
        <w:rPr>
          <w:color w:val="231F20"/>
        </w:rPr>
        <w:t>que</w:t>
      </w:r>
      <w:r>
        <w:rPr>
          <w:color w:val="231F20"/>
          <w:spacing w:val="-11"/>
        </w:rPr>
        <w:t> </w:t>
      </w:r>
      <w:r>
        <w:rPr>
          <w:color w:val="231F20"/>
        </w:rPr>
        <w:t>fue</w:t>
      </w:r>
      <w:r>
        <w:rPr>
          <w:color w:val="231F20"/>
          <w:spacing w:val="-11"/>
        </w:rPr>
        <w:t> </w:t>
      </w:r>
      <w:r>
        <w:rPr>
          <w:color w:val="231F20"/>
        </w:rPr>
        <w:t>de</w:t>
      </w:r>
      <w:r>
        <w:rPr>
          <w:color w:val="231F20"/>
          <w:spacing w:val="-11"/>
        </w:rPr>
        <w:t> </w:t>
      </w:r>
      <w:r>
        <w:rPr>
          <w:color w:val="231F20"/>
        </w:rPr>
        <w:t>2</w:t>
      </w:r>
      <w:r>
        <w:rPr>
          <w:color w:val="231F20"/>
          <w:spacing w:val="-11"/>
        </w:rPr>
        <w:t> </w:t>
      </w:r>
      <w:r>
        <w:rPr>
          <w:color w:val="231F20"/>
        </w:rPr>
        <w:t>494</w:t>
      </w:r>
      <w:r>
        <w:rPr>
          <w:color w:val="231F20"/>
          <w:spacing w:val="-11"/>
        </w:rPr>
        <w:t> </w:t>
      </w:r>
      <w:r>
        <w:rPr>
          <w:color w:val="231F20"/>
        </w:rPr>
        <w:t>millones</w:t>
      </w:r>
      <w:r>
        <w:rPr>
          <w:color w:val="231F20"/>
          <w:spacing w:val="-11"/>
        </w:rPr>
        <w:t> </w:t>
      </w:r>
      <w:r>
        <w:rPr>
          <w:color w:val="231F20"/>
        </w:rPr>
        <w:t>de</w:t>
      </w:r>
      <w:r>
        <w:rPr>
          <w:color w:val="231F20"/>
          <w:w w:val="100"/>
        </w:rPr>
        <w:t> </w:t>
      </w:r>
      <w:r>
        <w:rPr>
          <w:color w:val="231F20"/>
        </w:rPr>
        <w:t>dólares.</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Cuadro</w:t>
      </w:r>
      <w:r>
        <w:rPr>
          <w:color w:val="231F20"/>
          <w:spacing w:val="-12"/>
        </w:rPr>
        <w:t> </w:t>
      </w:r>
      <w:r>
        <w:rPr>
          <w:color w:val="231F20"/>
        </w:rPr>
        <w:t>1</w:t>
      </w:r>
      <w:r>
        <w:rPr>
          <w:color w:val="231F20"/>
          <w:spacing w:val="-12"/>
        </w:rPr>
        <w:t> </w:t>
      </w:r>
      <w:r>
        <w:rPr>
          <w:color w:val="231F20"/>
        </w:rPr>
        <w:t>se</w:t>
      </w:r>
      <w:r>
        <w:rPr>
          <w:color w:val="231F20"/>
          <w:spacing w:val="-12"/>
        </w:rPr>
        <w:t> </w:t>
      </w:r>
      <w:r>
        <w:rPr>
          <w:color w:val="231F20"/>
        </w:rPr>
        <w:t>visualiza</w:t>
      </w:r>
      <w:r>
        <w:rPr>
          <w:color w:val="231F20"/>
          <w:spacing w:val="-12"/>
        </w:rPr>
        <w:t> </w:t>
      </w:r>
      <w:r>
        <w:rPr>
          <w:color w:val="231F20"/>
        </w:rPr>
        <w:t>que</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año</w:t>
      </w:r>
      <w:r>
        <w:rPr>
          <w:color w:val="231F20"/>
          <w:spacing w:val="-12"/>
        </w:rPr>
        <w:t> </w:t>
      </w:r>
      <w:r>
        <w:rPr>
          <w:color w:val="231F20"/>
        </w:rPr>
        <w:t>2008</w:t>
      </w:r>
      <w:r>
        <w:rPr>
          <w:color w:val="231F20"/>
          <w:spacing w:val="-12"/>
        </w:rPr>
        <w:t> </w:t>
      </w:r>
      <w:r>
        <w:rPr>
          <w:color w:val="231F20"/>
        </w:rPr>
        <w:t>este</w:t>
      </w:r>
      <w:r>
        <w:rPr>
          <w:color w:val="231F20"/>
          <w:spacing w:val="-12"/>
        </w:rPr>
        <w:t> </w:t>
      </w:r>
      <w:r>
        <w:rPr>
          <w:color w:val="231F20"/>
        </w:rPr>
        <w:t>flujo</w:t>
      </w:r>
      <w:r>
        <w:rPr>
          <w:color w:val="231F20"/>
          <w:spacing w:val="-12"/>
        </w:rPr>
        <w:t> </w:t>
      </w:r>
      <w:r>
        <w:rPr>
          <w:color w:val="231F20"/>
        </w:rPr>
        <w:t>monetario</w:t>
      </w:r>
      <w:r>
        <w:rPr>
          <w:color w:val="231F20"/>
          <w:w w:val="100"/>
        </w:rPr>
        <w:t> </w:t>
      </w:r>
      <w:r>
        <w:rPr>
          <w:color w:val="231F20"/>
        </w:rPr>
        <w:t>disminuyó poco más de tres por ciento, agravándose todavía más</w:t>
      </w:r>
      <w:r>
        <w:rPr>
          <w:color w:val="231F20"/>
          <w:spacing w:val="-20"/>
        </w:rPr>
        <w:t> </w:t>
      </w:r>
      <w:r>
        <w:rPr>
          <w:color w:val="231F20"/>
        </w:rPr>
        <w:t>en</w:t>
      </w:r>
      <w:r>
        <w:rPr>
          <w:color w:val="231F20"/>
          <w:spacing w:val="-2"/>
        </w:rPr>
        <w:t> </w:t>
      </w:r>
      <w:r>
        <w:rPr>
          <w:color w:val="231F20"/>
        </w:rPr>
        <w:t>2010, al</w:t>
      </w:r>
      <w:r>
        <w:rPr>
          <w:color w:val="231F20"/>
          <w:spacing w:val="18"/>
        </w:rPr>
        <w:t> </w:t>
      </w:r>
      <w:r>
        <w:rPr>
          <w:color w:val="231F20"/>
        </w:rPr>
        <w:t>experimentar</w:t>
      </w:r>
      <w:r>
        <w:rPr>
          <w:color w:val="231F20"/>
          <w:spacing w:val="18"/>
        </w:rPr>
        <w:t> </w:t>
      </w:r>
      <w:r>
        <w:rPr>
          <w:color w:val="231F20"/>
        </w:rPr>
        <w:t>una</w:t>
      </w:r>
      <w:r>
        <w:rPr>
          <w:color w:val="231F20"/>
          <w:spacing w:val="18"/>
        </w:rPr>
        <w:t> </w:t>
      </w:r>
      <w:r>
        <w:rPr>
          <w:color w:val="231F20"/>
        </w:rPr>
        <w:t>caída</w:t>
      </w:r>
      <w:r>
        <w:rPr>
          <w:color w:val="231F20"/>
          <w:spacing w:val="18"/>
        </w:rPr>
        <w:t> </w:t>
      </w:r>
      <w:r>
        <w:rPr>
          <w:color w:val="231F20"/>
        </w:rPr>
        <w:t>de</w:t>
      </w:r>
      <w:r>
        <w:rPr>
          <w:color w:val="231F20"/>
          <w:spacing w:val="18"/>
        </w:rPr>
        <w:t> </w:t>
      </w:r>
      <w:r>
        <w:rPr>
          <w:color w:val="231F20"/>
        </w:rPr>
        <w:t>poco</w:t>
      </w:r>
      <w:r>
        <w:rPr>
          <w:color w:val="231F20"/>
          <w:spacing w:val="18"/>
        </w:rPr>
        <w:t> </w:t>
      </w:r>
      <w:r>
        <w:rPr>
          <w:color w:val="231F20"/>
        </w:rPr>
        <w:t>más</w:t>
      </w:r>
      <w:r>
        <w:rPr>
          <w:color w:val="231F20"/>
          <w:spacing w:val="18"/>
        </w:rPr>
        <w:t> </w:t>
      </w:r>
      <w:r>
        <w:rPr>
          <w:color w:val="231F20"/>
        </w:rPr>
        <w:t>de</w:t>
      </w:r>
      <w:r>
        <w:rPr>
          <w:color w:val="231F20"/>
          <w:spacing w:val="18"/>
        </w:rPr>
        <w:t> </w:t>
      </w:r>
      <w:r>
        <w:rPr>
          <w:color w:val="231F20"/>
        </w:rPr>
        <w:t>26</w:t>
      </w:r>
      <w:r>
        <w:rPr>
          <w:color w:val="231F20"/>
          <w:spacing w:val="18"/>
        </w:rPr>
        <w:t> </w:t>
      </w:r>
      <w:r>
        <w:rPr>
          <w:color w:val="231F20"/>
        </w:rPr>
        <w:t>por</w:t>
      </w:r>
      <w:r>
        <w:rPr>
          <w:color w:val="231F20"/>
          <w:spacing w:val="18"/>
        </w:rPr>
        <w:t> </w:t>
      </w:r>
      <w:r>
        <w:rPr>
          <w:color w:val="231F20"/>
        </w:rPr>
        <w:t>ciento</w:t>
      </w:r>
      <w:r>
        <w:rPr>
          <w:color w:val="231F20"/>
          <w:spacing w:val="18"/>
        </w:rPr>
        <w:t> </w:t>
      </w:r>
      <w:r>
        <w:rPr>
          <w:color w:val="231F20"/>
        </w:rPr>
        <w:t>respecto</w:t>
      </w:r>
      <w:r>
        <w:rPr>
          <w:color w:val="231F20"/>
          <w:spacing w:val="19"/>
        </w:rPr>
        <w:t> </w:t>
      </w:r>
      <w:r>
        <w:rPr>
          <w:color w:val="231F20"/>
        </w:rPr>
        <w:t>al</w:t>
      </w:r>
      <w:r>
        <w:rPr>
          <w:color w:val="231F20"/>
          <w:spacing w:val="18"/>
        </w:rPr>
        <w:t> </w:t>
      </w:r>
      <w:r>
        <w:rPr>
          <w:color w:val="231F20"/>
        </w:rPr>
        <w:t>año anterior, explicado por los efectos prolongados de la recesión</w:t>
      </w:r>
      <w:r>
        <w:rPr>
          <w:color w:val="231F20"/>
          <w:spacing w:val="20"/>
        </w:rPr>
        <w:t> </w:t>
      </w:r>
      <w:r>
        <w:rPr>
          <w:color w:val="231F20"/>
        </w:rPr>
        <w:t>financiera</w:t>
      </w:r>
      <w:r>
        <w:rPr>
          <w:color w:val="231F20"/>
          <w:w w:val="98"/>
        </w:rPr>
        <w:t> </w:t>
      </w:r>
      <w:r>
        <w:rPr>
          <w:color w:val="231F20"/>
        </w:rPr>
        <w:t>suscitada en Estados Unidos en la segunda mitad de 2007 y que en</w:t>
      </w:r>
      <w:r>
        <w:rPr>
          <w:color w:val="231F20"/>
          <w:spacing w:val="37"/>
        </w:rPr>
        <w:t> </w:t>
      </w:r>
      <w:r>
        <w:rPr>
          <w:color w:val="231F20"/>
        </w:rPr>
        <w:t>el</w:t>
      </w:r>
      <w:r>
        <w:rPr>
          <w:color w:val="231F20"/>
          <w:spacing w:val="2"/>
        </w:rPr>
        <w:t> </w:t>
      </w:r>
      <w:r>
        <w:rPr>
          <w:color w:val="231F20"/>
        </w:rPr>
        <w:t>año siguiente</w:t>
      </w:r>
      <w:r>
        <w:rPr>
          <w:color w:val="231F20"/>
          <w:spacing w:val="29"/>
        </w:rPr>
        <w:t> </w:t>
      </w:r>
      <w:r>
        <w:rPr>
          <w:color w:val="231F20"/>
        </w:rPr>
        <w:t>se</w:t>
      </w:r>
      <w:r>
        <w:rPr>
          <w:color w:val="231F20"/>
          <w:spacing w:val="30"/>
        </w:rPr>
        <w:t> </w:t>
      </w:r>
      <w:r>
        <w:rPr>
          <w:color w:val="231F20"/>
        </w:rPr>
        <w:t>convirtió</w:t>
      </w:r>
      <w:r>
        <w:rPr>
          <w:color w:val="231F20"/>
          <w:spacing w:val="29"/>
        </w:rPr>
        <w:t> </w:t>
      </w:r>
      <w:r>
        <w:rPr>
          <w:color w:val="231F20"/>
        </w:rPr>
        <w:t>en</w:t>
      </w:r>
      <w:r>
        <w:rPr>
          <w:color w:val="231F20"/>
          <w:spacing w:val="29"/>
        </w:rPr>
        <w:t> </w:t>
      </w:r>
      <w:r>
        <w:rPr>
          <w:color w:val="231F20"/>
        </w:rPr>
        <w:t>crisis.</w:t>
      </w:r>
      <w:r>
        <w:rPr>
          <w:color w:val="231F20"/>
          <w:spacing w:val="30"/>
        </w:rPr>
        <w:t> </w:t>
      </w:r>
      <w:r>
        <w:rPr>
          <w:color w:val="231F20"/>
        </w:rPr>
        <w:t>Ese</w:t>
      </w:r>
      <w:r>
        <w:rPr>
          <w:color w:val="231F20"/>
          <w:spacing w:val="29"/>
        </w:rPr>
        <w:t> </w:t>
      </w:r>
      <w:r>
        <w:rPr>
          <w:color w:val="231F20"/>
        </w:rPr>
        <w:t>hecho</w:t>
      </w:r>
      <w:r>
        <w:rPr>
          <w:color w:val="231F20"/>
          <w:spacing w:val="29"/>
        </w:rPr>
        <w:t> </w:t>
      </w:r>
      <w:r>
        <w:rPr>
          <w:color w:val="231F20"/>
        </w:rPr>
        <w:t>afectó</w:t>
      </w:r>
      <w:r>
        <w:rPr>
          <w:color w:val="231F20"/>
          <w:spacing w:val="29"/>
        </w:rPr>
        <w:t> </w:t>
      </w:r>
      <w:r>
        <w:rPr>
          <w:color w:val="231F20"/>
        </w:rPr>
        <w:t>significativamente</w:t>
      </w:r>
      <w:r>
        <w:rPr>
          <w:color w:val="231F20"/>
          <w:spacing w:val="29"/>
        </w:rPr>
        <w:t> </w:t>
      </w:r>
      <w:r>
        <w:rPr>
          <w:color w:val="231F20"/>
        </w:rPr>
        <w:t>las</w:t>
      </w:r>
      <w:r>
        <w:rPr>
          <w:color w:val="231F20"/>
          <w:w w:val="100"/>
        </w:rPr>
        <w:t> </w:t>
      </w:r>
      <w:r>
        <w:rPr>
          <w:color w:val="231F20"/>
        </w:rPr>
        <w:t>oportunidades de empleo no sólo de los connacionales, sino de</w:t>
      </w:r>
      <w:r>
        <w:rPr>
          <w:color w:val="231F20"/>
          <w:spacing w:val="30"/>
        </w:rPr>
        <w:t> </w:t>
      </w:r>
      <w:r>
        <w:rPr>
          <w:color w:val="231F20"/>
        </w:rPr>
        <w:t>la</w:t>
      </w:r>
      <w:r>
        <w:rPr>
          <w:color w:val="231F20"/>
          <w:spacing w:val="13"/>
        </w:rPr>
        <w:t> </w:t>
      </w:r>
      <w:r>
        <w:rPr>
          <w:color w:val="231F20"/>
        </w:rPr>
        <w:t>propia población</w:t>
      </w:r>
      <w:r>
        <w:rPr>
          <w:color w:val="231F20"/>
          <w:spacing w:val="-7"/>
        </w:rPr>
        <w:t> </w:t>
      </w:r>
      <w:r>
        <w:rPr>
          <w:color w:val="231F20"/>
        </w:rPr>
        <w:t>originaria.</w:t>
      </w:r>
      <w:r>
        <w:rPr>
          <w:color w:val="231F20"/>
          <w:spacing w:val="-19"/>
        </w:rPr>
        <w:t> </w:t>
      </w:r>
      <w:r>
        <w:rPr>
          <w:color w:val="231F20"/>
        </w:rPr>
        <w:t>Asimismo,</w:t>
      </w:r>
      <w:r>
        <w:rPr>
          <w:color w:val="231F20"/>
          <w:spacing w:val="-6"/>
        </w:rPr>
        <w:t> </w:t>
      </w:r>
      <w:r>
        <w:rPr>
          <w:color w:val="231F20"/>
        </w:rPr>
        <w:t>el</w:t>
      </w:r>
      <w:r>
        <w:rPr>
          <w:color w:val="231F20"/>
          <w:spacing w:val="-7"/>
        </w:rPr>
        <w:t> </w:t>
      </w:r>
      <w:r>
        <w:rPr>
          <w:color w:val="231F20"/>
        </w:rPr>
        <w:t>bajo</w:t>
      </w:r>
      <w:r>
        <w:rPr>
          <w:color w:val="231F20"/>
          <w:spacing w:val="-7"/>
        </w:rPr>
        <w:t> </w:t>
      </w:r>
      <w:r>
        <w:rPr>
          <w:color w:val="231F20"/>
        </w:rPr>
        <w:t>desempeño</w:t>
      </w:r>
      <w:r>
        <w:rPr>
          <w:color w:val="231F20"/>
          <w:spacing w:val="-7"/>
        </w:rPr>
        <w:t> </w:t>
      </w:r>
      <w:r>
        <w:rPr>
          <w:color w:val="231F20"/>
        </w:rPr>
        <w:t>de</w:t>
      </w:r>
      <w:r>
        <w:rPr>
          <w:color w:val="231F20"/>
          <w:spacing w:val="-6"/>
        </w:rPr>
        <w:t> </w:t>
      </w:r>
      <w:r>
        <w:rPr>
          <w:color w:val="231F20"/>
        </w:rPr>
        <w:t>algunos</w:t>
      </w:r>
      <w:r>
        <w:rPr>
          <w:color w:val="231F20"/>
          <w:spacing w:val="-7"/>
        </w:rPr>
        <w:t> </w:t>
      </w:r>
      <w:r>
        <w:rPr>
          <w:color w:val="231F20"/>
        </w:rPr>
        <w:t>sectores</w:t>
      </w:r>
      <w:r>
        <w:rPr>
          <w:color w:val="231F20"/>
          <w:spacing w:val="-6"/>
        </w:rPr>
        <w:t> </w:t>
      </w:r>
      <w:r>
        <w:rPr>
          <w:color w:val="231F20"/>
        </w:rPr>
        <w:t>de actividad</w:t>
      </w:r>
      <w:r>
        <w:rPr>
          <w:color w:val="231F20"/>
          <w:spacing w:val="-6"/>
        </w:rPr>
        <w:t> </w:t>
      </w:r>
      <w:r>
        <w:rPr>
          <w:color w:val="231F20"/>
        </w:rPr>
        <w:t>en</w:t>
      </w:r>
      <w:r>
        <w:rPr>
          <w:color w:val="231F20"/>
          <w:spacing w:val="-5"/>
        </w:rPr>
        <w:t> </w:t>
      </w:r>
      <w:r>
        <w:rPr>
          <w:color w:val="231F20"/>
        </w:rPr>
        <w:t>la</w:t>
      </w:r>
      <w:r>
        <w:rPr>
          <w:color w:val="231F20"/>
          <w:spacing w:val="-5"/>
        </w:rPr>
        <w:t> </w:t>
      </w:r>
      <w:r>
        <w:rPr>
          <w:color w:val="231F20"/>
        </w:rPr>
        <w:t>economía</w:t>
      </w:r>
      <w:r>
        <w:rPr>
          <w:color w:val="231F20"/>
          <w:spacing w:val="-6"/>
        </w:rPr>
        <w:t> </w:t>
      </w:r>
      <w:r>
        <w:rPr>
          <w:color w:val="231F20"/>
        </w:rPr>
        <w:t>estadounidense,</w:t>
      </w:r>
      <w:r>
        <w:rPr>
          <w:color w:val="231F20"/>
          <w:spacing w:val="-6"/>
        </w:rPr>
        <w:t> </w:t>
      </w:r>
      <w:r>
        <w:rPr>
          <w:color w:val="231F20"/>
        </w:rPr>
        <w:t>como</w:t>
      </w:r>
      <w:r>
        <w:rPr>
          <w:color w:val="231F20"/>
          <w:spacing w:val="-5"/>
        </w:rPr>
        <w:t> </w:t>
      </w:r>
      <w:r>
        <w:rPr>
          <w:color w:val="231F20"/>
        </w:rPr>
        <w:t>la</w:t>
      </w:r>
      <w:r>
        <w:rPr>
          <w:color w:val="231F20"/>
          <w:spacing w:val="-5"/>
        </w:rPr>
        <w:t> </w:t>
      </w:r>
      <w:r>
        <w:rPr>
          <w:color w:val="231F20"/>
        </w:rPr>
        <w:t>construcción</w:t>
      </w:r>
      <w:r>
        <w:rPr>
          <w:color w:val="231F20"/>
          <w:spacing w:val="-6"/>
        </w:rPr>
        <w:t> </w:t>
      </w:r>
      <w:r>
        <w:rPr>
          <w:color w:val="231F20"/>
        </w:rPr>
        <w:t>y</w:t>
      </w:r>
      <w:r>
        <w:rPr>
          <w:color w:val="231F20"/>
          <w:spacing w:val="-5"/>
        </w:rPr>
        <w:t> </w:t>
      </w:r>
      <w:r>
        <w:rPr>
          <w:color w:val="231F20"/>
        </w:rPr>
        <w:t>la</w:t>
      </w:r>
      <w:r>
        <w:rPr>
          <w:color w:val="231F20"/>
          <w:spacing w:val="-5"/>
        </w:rPr>
        <w:t> </w:t>
      </w:r>
      <w:r>
        <w:rPr>
          <w:color w:val="231F20"/>
        </w:rPr>
        <w:t>indus- tria manufacturera, expulsó la ocupación laboral. Cada uno de</w:t>
      </w:r>
      <w:r>
        <w:rPr>
          <w:color w:val="231F20"/>
          <w:spacing w:val="-25"/>
        </w:rPr>
        <w:t> </w:t>
      </w:r>
      <w:r>
        <w:rPr>
          <w:color w:val="231F20"/>
        </w:rPr>
        <w:t>estos</w:t>
      </w:r>
      <w:r>
        <w:rPr>
          <w:color w:val="231F20"/>
          <w:spacing w:val="-4"/>
        </w:rPr>
        <w:t> </w:t>
      </w:r>
      <w:r>
        <w:rPr>
          <w:color w:val="231F20"/>
        </w:rPr>
        <w:t>secto- res desempleó alrededor de un millón de personas en 2009, mientras</w:t>
      </w:r>
      <w:r>
        <w:rPr>
          <w:color w:val="231F20"/>
          <w:spacing w:val="11"/>
        </w:rPr>
        <w:t> </w:t>
      </w:r>
      <w:r>
        <w:rPr>
          <w:color w:val="231F20"/>
        </w:rPr>
        <w:t>que</w:t>
      </w:r>
      <w:r>
        <w:rPr>
          <w:color w:val="231F20"/>
          <w:w w:val="100"/>
        </w:rPr>
        <w:t> </w:t>
      </w:r>
      <w:r>
        <w:rPr>
          <w:color w:val="231F20"/>
        </w:rPr>
        <w:t>la industria manufacturera generó 1.4 millones de desempleados,</w:t>
      </w:r>
      <w:r>
        <w:rPr>
          <w:color w:val="231F20"/>
          <w:spacing w:val="25"/>
        </w:rPr>
        <w:t> </w:t>
      </w:r>
      <w:r>
        <w:rPr>
          <w:color w:val="231F20"/>
        </w:rPr>
        <w:t>lo</w:t>
      </w:r>
      <w:r>
        <w:rPr>
          <w:color w:val="231F20"/>
          <w:spacing w:val="17"/>
        </w:rPr>
        <w:t> </w:t>
      </w:r>
      <w:r>
        <w:rPr>
          <w:color w:val="231F20"/>
        </w:rPr>
        <w:t>cual</w:t>
      </w:r>
      <w:r>
        <w:rPr>
          <w:color w:val="231F20"/>
          <w:w w:val="100"/>
        </w:rPr>
        <w:t> </w:t>
      </w:r>
      <w:r>
        <w:rPr>
          <w:color w:val="231F20"/>
        </w:rPr>
        <w:t>indica</w:t>
      </w:r>
      <w:r>
        <w:rPr>
          <w:color w:val="231F20"/>
          <w:spacing w:val="16"/>
        </w:rPr>
        <w:t> </w:t>
      </w:r>
      <w:r>
        <w:rPr>
          <w:color w:val="231F20"/>
        </w:rPr>
        <w:t>que</w:t>
      </w:r>
      <w:r>
        <w:rPr>
          <w:color w:val="231F20"/>
          <w:spacing w:val="16"/>
        </w:rPr>
        <w:t> </w:t>
      </w:r>
      <w:r>
        <w:rPr>
          <w:color w:val="231F20"/>
        </w:rPr>
        <w:t>cerca</w:t>
      </w:r>
      <w:r>
        <w:rPr>
          <w:color w:val="231F20"/>
          <w:spacing w:val="16"/>
        </w:rPr>
        <w:t> </w:t>
      </w:r>
      <w:r>
        <w:rPr>
          <w:color w:val="231F20"/>
        </w:rPr>
        <w:t>de</w:t>
      </w:r>
      <w:r>
        <w:rPr>
          <w:color w:val="231F20"/>
          <w:spacing w:val="16"/>
        </w:rPr>
        <w:t> </w:t>
      </w:r>
      <w:r>
        <w:rPr>
          <w:color w:val="231F20"/>
        </w:rPr>
        <w:t>60</w:t>
      </w:r>
      <w:r>
        <w:rPr>
          <w:color w:val="231F20"/>
          <w:spacing w:val="16"/>
        </w:rPr>
        <w:t> </w:t>
      </w:r>
      <w:r>
        <w:rPr>
          <w:color w:val="231F20"/>
        </w:rPr>
        <w:t>por</w:t>
      </w:r>
      <w:r>
        <w:rPr>
          <w:color w:val="231F20"/>
          <w:spacing w:val="17"/>
        </w:rPr>
        <w:t> </w:t>
      </w:r>
      <w:r>
        <w:rPr>
          <w:color w:val="231F20"/>
        </w:rPr>
        <w:t>ciento</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rPr>
        <w:t>plazas</w:t>
      </w:r>
      <w:r>
        <w:rPr>
          <w:color w:val="231F20"/>
          <w:spacing w:val="17"/>
        </w:rPr>
        <w:t> </w:t>
      </w:r>
      <w:r>
        <w:rPr>
          <w:color w:val="231F20"/>
        </w:rPr>
        <w:t>laborales</w:t>
      </w:r>
      <w:r>
        <w:rPr>
          <w:color w:val="231F20"/>
          <w:spacing w:val="16"/>
        </w:rPr>
        <w:t> </w:t>
      </w:r>
      <w:r>
        <w:rPr>
          <w:color w:val="231F20"/>
        </w:rPr>
        <w:t>perdidas</w:t>
      </w:r>
      <w:r>
        <w:rPr>
          <w:color w:val="231F20"/>
          <w:spacing w:val="17"/>
        </w:rPr>
        <w:t> </w:t>
      </w:r>
      <w:r>
        <w:rPr>
          <w:color w:val="231F20"/>
        </w:rPr>
        <w:t>en</w:t>
      </w:r>
      <w:r>
        <w:rPr>
          <w:color w:val="231F20"/>
          <w:spacing w:val="16"/>
        </w:rPr>
        <w:t> </w:t>
      </w:r>
      <w:r>
        <w:rPr>
          <w:color w:val="231F20"/>
        </w:rPr>
        <w:t>los</w:t>
      </w:r>
      <w:r>
        <w:rPr>
          <w:color w:val="231F20"/>
          <w:w w:val="100"/>
        </w:rPr>
        <w:t> </w:t>
      </w:r>
      <w:r>
        <w:rPr>
          <w:color w:val="231F20"/>
        </w:rPr>
        <w:t>Estados</w:t>
      </w:r>
      <w:r>
        <w:rPr>
          <w:color w:val="231F20"/>
          <w:spacing w:val="-6"/>
        </w:rPr>
        <w:t> </w:t>
      </w:r>
      <w:r>
        <w:rPr>
          <w:color w:val="231F20"/>
        </w:rPr>
        <w:t>Unidos</w:t>
      </w:r>
      <w:r>
        <w:rPr>
          <w:color w:val="231F20"/>
          <w:spacing w:val="-5"/>
        </w:rPr>
        <w:t> </w:t>
      </w:r>
      <w:r>
        <w:rPr>
          <w:color w:val="231F20"/>
        </w:rPr>
        <w:t>en</w:t>
      </w:r>
      <w:r>
        <w:rPr>
          <w:color w:val="231F20"/>
          <w:spacing w:val="-6"/>
        </w:rPr>
        <w:t> </w:t>
      </w:r>
      <w:r>
        <w:rPr>
          <w:color w:val="231F20"/>
        </w:rPr>
        <w:t>ese</w:t>
      </w:r>
      <w:r>
        <w:rPr>
          <w:color w:val="231F20"/>
          <w:spacing w:val="-6"/>
        </w:rPr>
        <w:t> </w:t>
      </w:r>
      <w:r>
        <w:rPr>
          <w:color w:val="231F20"/>
        </w:rPr>
        <w:t>año</w:t>
      </w:r>
      <w:r>
        <w:rPr>
          <w:color w:val="231F20"/>
          <w:spacing w:val="-6"/>
        </w:rPr>
        <w:t> </w:t>
      </w:r>
      <w:r>
        <w:rPr>
          <w:color w:val="231F20"/>
        </w:rPr>
        <w:t>se</w:t>
      </w:r>
      <w:r>
        <w:rPr>
          <w:color w:val="231F20"/>
          <w:spacing w:val="-6"/>
        </w:rPr>
        <w:t> </w:t>
      </w:r>
      <w:r>
        <w:rPr>
          <w:color w:val="231F20"/>
        </w:rPr>
        <w:t>originaron</w:t>
      </w:r>
      <w:r>
        <w:rPr>
          <w:color w:val="231F20"/>
          <w:spacing w:val="-6"/>
        </w:rPr>
        <w:t> </w:t>
      </w:r>
      <w:r>
        <w:rPr>
          <w:color w:val="231F20"/>
        </w:rPr>
        <w:t>en</w:t>
      </w:r>
      <w:r>
        <w:rPr>
          <w:color w:val="231F20"/>
          <w:spacing w:val="-6"/>
        </w:rPr>
        <w:t> </w:t>
      </w:r>
      <w:r>
        <w:rPr>
          <w:color w:val="231F20"/>
        </w:rPr>
        <w:t>dichos</w:t>
      </w:r>
      <w:r>
        <w:rPr>
          <w:color w:val="231F20"/>
          <w:spacing w:val="-6"/>
        </w:rPr>
        <w:t> </w:t>
      </w:r>
      <w:r>
        <w:rPr>
          <w:color w:val="231F20"/>
        </w:rPr>
        <w:t>sectores</w:t>
      </w:r>
      <w:r>
        <w:rPr>
          <w:color w:val="231F20"/>
          <w:spacing w:val="-5"/>
        </w:rPr>
        <w:t> </w:t>
      </w:r>
      <w:r>
        <w:rPr>
          <w:color w:val="231F20"/>
        </w:rPr>
        <w:t>(Ordáz,</w:t>
      </w:r>
      <w:r>
        <w:rPr>
          <w:color w:val="231F20"/>
          <w:spacing w:val="-6"/>
        </w:rPr>
        <w:t> </w:t>
      </w:r>
      <w:r>
        <w:rPr>
          <w:color w:val="231F20"/>
        </w:rPr>
        <w:t>2010).</w:t>
      </w:r>
      <w:r>
        <w:rPr>
          <w:color w:val="231F20"/>
          <w:w w:val="100"/>
        </w:rPr>
        <w:t> </w:t>
      </w:r>
      <w:r>
        <w:rPr>
          <w:color w:val="231F20"/>
        </w:rPr>
        <w:t>No se debe pasar por alto que el endurecimiento de las</w:t>
      </w:r>
      <w:r>
        <w:rPr>
          <w:color w:val="231F20"/>
          <w:spacing w:val="41"/>
        </w:rPr>
        <w:t> </w:t>
      </w:r>
      <w:r>
        <w:rPr>
          <w:color w:val="231F20"/>
        </w:rPr>
        <w:t>leyes</w:t>
      </w:r>
      <w:r>
        <w:rPr>
          <w:color w:val="231F20"/>
          <w:spacing w:val="8"/>
        </w:rPr>
        <w:t> </w:t>
      </w:r>
      <w:r>
        <w:rPr>
          <w:color w:val="231F20"/>
        </w:rPr>
        <w:t>migrato-</w:t>
      </w:r>
      <w:r>
        <w:rPr>
          <w:color w:val="231F20"/>
          <w:w w:val="100"/>
        </w:rPr>
        <w:t> </w:t>
      </w:r>
      <w:r>
        <w:rPr>
          <w:color w:val="231F20"/>
        </w:rPr>
        <w:t>rias y el aumento de la seguridad, tanto en la frontera como en</w:t>
      </w:r>
      <w:r>
        <w:rPr>
          <w:color w:val="231F20"/>
          <w:spacing w:val="19"/>
        </w:rPr>
        <w:t> </w:t>
      </w:r>
      <w:r>
        <w:rPr>
          <w:color w:val="231F20"/>
        </w:rPr>
        <w:t>los</w:t>
      </w:r>
      <w:r>
        <w:rPr>
          <w:color w:val="231F20"/>
          <w:spacing w:val="1"/>
        </w:rPr>
        <w:t> </w:t>
      </w:r>
      <w:r>
        <w:rPr>
          <w:color w:val="231F20"/>
        </w:rPr>
        <w:t>lugares</w:t>
      </w:r>
      <w:r>
        <w:rPr>
          <w:color w:val="231F20"/>
          <w:w w:val="100"/>
        </w:rPr>
        <w:t> </w:t>
      </w:r>
      <w:r>
        <w:rPr>
          <w:color w:val="231F20"/>
        </w:rPr>
        <w:t>de trabajo y zonas habitacionales norteamericanas, ha provocado</w:t>
      </w:r>
      <w:r>
        <w:rPr>
          <w:color w:val="231F20"/>
          <w:spacing w:val="2"/>
        </w:rPr>
        <w:t> </w:t>
      </w:r>
      <w:r>
        <w:rPr>
          <w:color w:val="231F20"/>
        </w:rPr>
        <w:t>que</w:t>
      </w:r>
      <w:r>
        <w:rPr>
          <w:color w:val="231F20"/>
          <w:spacing w:val="14"/>
        </w:rPr>
        <w:t> </w:t>
      </w:r>
      <w:r>
        <w:rPr>
          <w:color w:val="231F20"/>
        </w:rPr>
        <w:t>los</w:t>
      </w:r>
      <w:r>
        <w:rPr>
          <w:color w:val="231F20"/>
          <w:w w:val="100"/>
        </w:rPr>
        <w:t> </w:t>
      </w:r>
      <w:r>
        <w:rPr>
          <w:color w:val="231F20"/>
        </w:rPr>
        <w:t>migrantes se tarden más tiempo para entrar a territorio</w:t>
      </w:r>
      <w:r>
        <w:rPr>
          <w:color w:val="231F20"/>
          <w:spacing w:val="41"/>
        </w:rPr>
        <w:t> </w:t>
      </w:r>
      <w:r>
        <w:rPr>
          <w:color w:val="231F20"/>
        </w:rPr>
        <w:t>estadounidense</w:t>
      </w:r>
      <w:r>
        <w:rPr>
          <w:color w:val="231F20"/>
          <w:spacing w:val="16"/>
        </w:rPr>
        <w:t> </w:t>
      </w:r>
      <w:r>
        <w:rPr>
          <w:color w:val="231F20"/>
        </w:rPr>
        <w:t>y</w:t>
      </w:r>
      <w:r>
        <w:rPr>
          <w:color w:val="231F20"/>
          <w:w w:val="100"/>
        </w:rPr>
        <w:t> </w:t>
      </w:r>
      <w:r>
        <w:rPr>
          <w:color w:val="231F20"/>
        </w:rPr>
        <w:t>para</w:t>
      </w:r>
      <w:r>
        <w:rPr>
          <w:color w:val="231F20"/>
          <w:spacing w:val="19"/>
        </w:rPr>
        <w:t> </w:t>
      </w:r>
      <w:r>
        <w:rPr>
          <w:color w:val="231F20"/>
        </w:rPr>
        <w:t>los</w:t>
      </w:r>
      <w:r>
        <w:rPr>
          <w:color w:val="231F20"/>
          <w:spacing w:val="19"/>
        </w:rPr>
        <w:t> </w:t>
      </w:r>
      <w:r>
        <w:rPr>
          <w:color w:val="231F20"/>
        </w:rPr>
        <w:t>que</w:t>
      </w:r>
      <w:r>
        <w:rPr>
          <w:color w:val="231F20"/>
          <w:spacing w:val="19"/>
        </w:rPr>
        <w:t> </w:t>
      </w:r>
      <w:r>
        <w:rPr>
          <w:color w:val="231F20"/>
        </w:rPr>
        <w:t>ya</w:t>
      </w:r>
      <w:r>
        <w:rPr>
          <w:color w:val="231F20"/>
          <w:spacing w:val="19"/>
        </w:rPr>
        <w:t> </w:t>
      </w:r>
      <w:r>
        <w:rPr>
          <w:color w:val="231F20"/>
        </w:rPr>
        <w:t>encuentran</w:t>
      </w:r>
      <w:r>
        <w:rPr>
          <w:color w:val="231F20"/>
          <w:spacing w:val="19"/>
        </w:rPr>
        <w:t> </w:t>
      </w:r>
      <w:r>
        <w:rPr>
          <w:color w:val="231F20"/>
        </w:rPr>
        <w:t>en</w:t>
      </w:r>
      <w:r>
        <w:rPr>
          <w:color w:val="231F20"/>
          <w:spacing w:val="19"/>
        </w:rPr>
        <w:t> </w:t>
      </w:r>
      <w:r>
        <w:rPr>
          <w:color w:val="231F20"/>
        </w:rPr>
        <w:t>él,</w:t>
      </w:r>
      <w:r>
        <w:rPr>
          <w:color w:val="231F20"/>
          <w:spacing w:val="19"/>
        </w:rPr>
        <w:t> </w:t>
      </w:r>
      <w:r>
        <w:rPr>
          <w:color w:val="231F20"/>
        </w:rPr>
        <w:t>se</w:t>
      </w:r>
      <w:r>
        <w:rPr>
          <w:color w:val="231F20"/>
          <w:spacing w:val="20"/>
        </w:rPr>
        <w:t> </w:t>
      </w:r>
      <w:r>
        <w:rPr>
          <w:color w:val="231F20"/>
        </w:rPr>
        <w:t>prolonga</w:t>
      </w:r>
      <w:r>
        <w:rPr>
          <w:color w:val="231F20"/>
          <w:spacing w:val="19"/>
        </w:rPr>
        <w:t> </w:t>
      </w:r>
      <w:r>
        <w:rPr>
          <w:color w:val="231F20"/>
        </w:rPr>
        <w:t>el</w:t>
      </w:r>
      <w:r>
        <w:rPr>
          <w:color w:val="231F20"/>
          <w:spacing w:val="19"/>
        </w:rPr>
        <w:t> </w:t>
      </w:r>
      <w:r>
        <w:rPr>
          <w:color w:val="231F20"/>
        </w:rPr>
        <w:t>tiempo</w:t>
      </w:r>
      <w:r>
        <w:rPr>
          <w:color w:val="231F20"/>
          <w:spacing w:val="19"/>
        </w:rPr>
        <w:t> </w:t>
      </w:r>
      <w:r>
        <w:rPr>
          <w:color w:val="231F20"/>
        </w:rPr>
        <w:t>para</w:t>
      </w:r>
      <w:r>
        <w:rPr>
          <w:color w:val="231F20"/>
          <w:spacing w:val="19"/>
        </w:rPr>
        <w:t> </w:t>
      </w:r>
      <w:r>
        <w:rPr>
          <w:color w:val="231F20"/>
        </w:rPr>
        <w:t>emplearse,</w:t>
      </w:r>
    </w:p>
    <w:p>
      <w:pPr>
        <w:pStyle w:val="BodyText"/>
        <w:spacing w:line="253" w:lineRule="exact"/>
        <w:ind w:left="117" w:right="117"/>
      </w:pPr>
      <w:r>
        <w:rPr>
          <w:color w:val="231F20"/>
        </w:rPr>
        <w:t>dificultando la obtención de ingresos, el ahorro y envío de remesas.</w:t>
      </w:r>
    </w:p>
    <w:p>
      <w:pPr>
        <w:pStyle w:val="BodyText"/>
        <w:spacing w:line="247" w:lineRule="auto" w:before="7"/>
        <w:ind w:left="117" w:right="114" w:firstLine="283"/>
        <w:jc w:val="both"/>
      </w:pPr>
      <w:r>
        <w:rPr>
          <w:color w:val="231F20"/>
        </w:rPr>
        <w:t>Estos hechos no sólo afectaron directamente el estado anímico del mi- grante, sino también la sobrevivencia de sus dependientes, ya que 40 por ciento de los hogares que reciben este tipo de recursos lo emplean pre- cisamente para satisfacer sus necesidades básicas, es decir, constituye la principal fuente de ingreso, alimentación y sustento familiar. Es así que los hogares ubicados en los estados de Michoacán, Guanajuato, Jalisco y México, fueron los más afectados, pues ahí concentraron poco más de las tres</w:t>
      </w:r>
      <w:r>
        <w:rPr>
          <w:color w:val="231F20"/>
          <w:spacing w:val="-6"/>
        </w:rPr>
        <w:t> </w:t>
      </w:r>
      <w:r>
        <w:rPr>
          <w:color w:val="231F20"/>
        </w:rPr>
        <w:t>cuartas</w:t>
      </w:r>
      <w:r>
        <w:rPr>
          <w:color w:val="231F20"/>
          <w:spacing w:val="-6"/>
        </w:rPr>
        <w:t> </w:t>
      </w:r>
      <w:r>
        <w:rPr>
          <w:color w:val="231F20"/>
        </w:rPr>
        <w:t>partes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transferencias</w:t>
      </w:r>
      <w:r>
        <w:rPr>
          <w:color w:val="231F20"/>
          <w:spacing w:val="-7"/>
        </w:rPr>
        <w:t> </w:t>
      </w:r>
      <w:r>
        <w:rPr>
          <w:color w:val="231F20"/>
        </w:rPr>
        <w:t>enviadas</w:t>
      </w:r>
      <w:r>
        <w:rPr>
          <w:color w:val="231F20"/>
          <w:spacing w:val="-6"/>
        </w:rPr>
        <w:t> </w:t>
      </w:r>
      <w:r>
        <w:rPr>
          <w:color w:val="231F20"/>
        </w:rPr>
        <w:t>al</w:t>
      </w:r>
      <w:r>
        <w:rPr>
          <w:color w:val="231F20"/>
          <w:spacing w:val="-6"/>
        </w:rPr>
        <w:t> </w:t>
      </w:r>
      <w:r>
        <w:rPr>
          <w:color w:val="231F20"/>
        </w:rPr>
        <w:t>territorio</w:t>
      </w:r>
      <w:r>
        <w:rPr>
          <w:color w:val="231F20"/>
          <w:spacing w:val="-6"/>
        </w:rPr>
        <w:t> </w:t>
      </w:r>
      <w:r>
        <w:rPr>
          <w:color w:val="231F20"/>
        </w:rPr>
        <w:t>nacional</w:t>
      </w:r>
      <w:r>
        <w:rPr>
          <w:color w:val="231F20"/>
          <w:spacing w:val="-6"/>
        </w:rPr>
        <w:t> </w:t>
      </w:r>
      <w:r>
        <w:rPr>
          <w:color w:val="231F20"/>
        </w:rPr>
        <w:t>en</w:t>
      </w:r>
      <w:r>
        <w:rPr>
          <w:color w:val="231F20"/>
          <w:spacing w:val="-6"/>
        </w:rPr>
        <w:t> </w:t>
      </w:r>
      <w:r>
        <w:rPr>
          <w:color w:val="231F20"/>
        </w:rPr>
        <w:t>el año 2009, tal como se aprecia en el Cuadro 2.</w:t>
      </w:r>
    </w:p>
    <w:p>
      <w:pPr>
        <w:spacing w:after="0" w:line="247" w:lineRule="auto"/>
        <w:jc w:val="both"/>
        <w:sectPr>
          <w:pgSz w:w="9360" w:h="13040"/>
          <w:pgMar w:header="0" w:footer="496" w:top="740" w:bottom="680" w:left="1300" w:right="1300"/>
        </w:sectPr>
      </w:pPr>
    </w:p>
    <w:p>
      <w:pPr>
        <w:spacing w:before="52"/>
        <w:ind w:left="124" w:right="-5" w:firstLine="0"/>
        <w:jc w:val="left"/>
        <w:rPr>
          <w:rFonts w:ascii="Arial" w:hAnsi="Arial"/>
          <w:sz w:val="20"/>
        </w:rPr>
      </w:pPr>
      <w:r>
        <w:rPr>
          <w:rFonts w:ascii="Arial" w:hAnsi="Arial"/>
          <w:color w:val="231F20"/>
          <w:w w:val="80"/>
          <w:sz w:val="20"/>
        </w:rPr>
        <w:t>Hitos</w:t>
      </w:r>
      <w:r>
        <w:rPr>
          <w:rFonts w:ascii="Arial" w:hAnsi="Arial"/>
          <w:color w:val="231F20"/>
          <w:spacing w:val="-23"/>
          <w:w w:val="80"/>
          <w:sz w:val="20"/>
        </w:rPr>
        <w:t> </w:t>
      </w:r>
      <w:r>
        <w:rPr>
          <w:rFonts w:ascii="Arial" w:hAnsi="Arial"/>
          <w:color w:val="231F20"/>
          <w:w w:val="80"/>
          <w:sz w:val="20"/>
        </w:rPr>
        <w:t>Demográficos</w:t>
      </w:r>
      <w:r>
        <w:rPr>
          <w:rFonts w:ascii="Arial" w:hAnsi="Arial"/>
          <w:color w:val="231F20"/>
          <w:spacing w:val="-23"/>
          <w:w w:val="80"/>
          <w:sz w:val="20"/>
        </w:rPr>
        <w:t> </w:t>
      </w:r>
      <w:r>
        <w:rPr>
          <w:rFonts w:ascii="Arial" w:hAnsi="Arial"/>
          <w:color w:val="231F20"/>
          <w:w w:val="80"/>
          <w:sz w:val="20"/>
        </w:rPr>
        <w:t>del</w:t>
      </w:r>
      <w:r>
        <w:rPr>
          <w:rFonts w:ascii="Arial" w:hAnsi="Arial"/>
          <w:color w:val="231F20"/>
          <w:spacing w:val="-23"/>
          <w:w w:val="80"/>
          <w:sz w:val="20"/>
        </w:rPr>
        <w:t> </w:t>
      </w:r>
      <w:r>
        <w:rPr>
          <w:rFonts w:ascii="Arial" w:hAnsi="Arial"/>
          <w:color w:val="231F20"/>
          <w:w w:val="80"/>
          <w:sz w:val="20"/>
        </w:rPr>
        <w:t>Siglo</w:t>
      </w:r>
      <w:r>
        <w:rPr>
          <w:rFonts w:ascii="Arial" w:hAnsi="Arial"/>
          <w:color w:val="231F20"/>
          <w:spacing w:val="-23"/>
          <w:w w:val="80"/>
          <w:sz w:val="20"/>
        </w:rPr>
        <w:t> </w:t>
      </w:r>
      <w:r>
        <w:rPr>
          <w:rFonts w:ascii="Arial" w:hAnsi="Arial"/>
          <w:color w:val="231F20"/>
          <w:w w:val="80"/>
          <w:sz w:val="20"/>
        </w:rPr>
        <w:t>XXI:</w:t>
      </w:r>
      <w:r>
        <w:rPr>
          <w:rFonts w:ascii="Arial" w:hAnsi="Arial"/>
          <w:color w:val="231F20"/>
          <w:spacing w:val="-23"/>
          <w:w w:val="80"/>
          <w:sz w:val="20"/>
        </w:rPr>
        <w:t> </w:t>
      </w:r>
      <w:r>
        <w:rPr>
          <w:rFonts w:ascii="Arial" w:hAnsi="Arial"/>
          <w:color w:val="231F20"/>
          <w:w w:val="80"/>
          <w:sz w:val="20"/>
        </w:rPr>
        <w:t>Migración</w:t>
      </w:r>
      <w:r>
        <w:rPr>
          <w:rFonts w:ascii="Arial" w:hAnsi="Arial"/>
          <w:color w:val="231F20"/>
          <w:spacing w:val="-23"/>
          <w:w w:val="80"/>
          <w:sz w:val="20"/>
        </w:rPr>
        <w:t> </w:t>
      </w:r>
      <w:r>
        <w:rPr>
          <w:rFonts w:ascii="Arial" w:hAnsi="Arial"/>
          <w:color w:val="231F20"/>
          <w:w w:val="80"/>
          <w:sz w:val="20"/>
        </w:rPr>
        <w:t>Internacional</w:t>
      </w:r>
    </w:p>
    <w:p>
      <w:pPr>
        <w:spacing w:before="54"/>
        <w:ind w:left="124" w:right="0" w:firstLine="0"/>
        <w:jc w:val="left"/>
        <w:rPr>
          <w:sz w:val="18"/>
        </w:rPr>
      </w:pPr>
      <w:r>
        <w:rPr/>
        <w:br w:type="column"/>
      </w:r>
      <w:r>
        <w:rPr>
          <w:color w:val="231F20"/>
          <w:sz w:val="18"/>
        </w:rPr>
        <w:t>CIEAP/UAEM</w:t>
      </w:r>
    </w:p>
    <w:p>
      <w:pPr>
        <w:spacing w:after="0"/>
        <w:jc w:val="left"/>
        <w:rPr>
          <w:sz w:val="18"/>
        </w:rPr>
        <w:sectPr>
          <w:footerReference w:type="default" r:id="rId201"/>
          <w:pgSz w:w="9360" w:h="13040"/>
          <w:pgMar w:footer="496" w:header="0" w:top="840" w:bottom="680" w:left="1300" w:right="1300"/>
          <w:cols w:num="2" w:equalWidth="0">
            <w:col w:w="4101" w:space="1311"/>
            <w:col w:w="1348"/>
          </w:cols>
        </w:sectPr>
      </w:pPr>
    </w:p>
    <w:p>
      <w:pPr>
        <w:pStyle w:val="BodyText"/>
        <w:spacing w:before="1"/>
      </w:pPr>
    </w:p>
    <w:p>
      <w:pPr>
        <w:tabs>
          <w:tab w:pos="6632" w:val="left" w:leader="none"/>
        </w:tabs>
        <w:spacing w:before="81" w:after="37"/>
        <w:ind w:left="325" w:right="0" w:firstLine="0"/>
        <w:jc w:val="left"/>
        <w:rPr>
          <w:sz w:val="19"/>
        </w:rPr>
      </w:pPr>
      <w:r>
        <w:rPr>
          <w:spacing w:val="22"/>
          <w:w w:val="103"/>
          <w:sz w:val="19"/>
          <w:u w:val="single"/>
        </w:rPr>
        <w:t> </w:t>
      </w:r>
      <w:r>
        <w:rPr>
          <w:w w:val="105"/>
          <w:sz w:val="19"/>
          <w:u w:val="single"/>
        </w:rPr>
        <w:t>Cuadro 1. Monto de las remesas anuales,</w:t>
      </w:r>
      <w:r>
        <w:rPr>
          <w:spacing w:val="-9"/>
          <w:w w:val="105"/>
          <w:sz w:val="19"/>
          <w:u w:val="single"/>
        </w:rPr>
        <w:t> </w:t>
      </w:r>
      <w:r>
        <w:rPr>
          <w:w w:val="105"/>
          <w:sz w:val="19"/>
          <w:u w:val="single"/>
        </w:rPr>
        <w:t>1990-2010</w:t>
      </w:r>
      <w:r>
        <w:rPr>
          <w:sz w:val="19"/>
          <w:u w:val="single"/>
        </w:rPr>
        <w:tab/>
      </w:r>
    </w:p>
    <w:tbl>
      <w:tblPr>
        <w:tblW w:w="0" w:type="auto"/>
        <w:jc w:val="left"/>
        <w:tblInd w:w="3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97"/>
        <w:gridCol w:w="1870"/>
        <w:gridCol w:w="1641"/>
      </w:tblGrid>
      <w:tr>
        <w:trPr>
          <w:trHeight w:val="310" w:hRule="exact"/>
        </w:trPr>
        <w:tc>
          <w:tcPr>
            <w:tcW w:w="2797" w:type="dxa"/>
            <w:tcBorders>
              <w:bottom w:val="double" w:sz="4" w:space="0" w:color="000000"/>
            </w:tcBorders>
          </w:tcPr>
          <w:p>
            <w:pPr>
              <w:pStyle w:val="TableParagraph"/>
              <w:spacing w:before="70"/>
              <w:ind w:left="72"/>
              <w:jc w:val="left"/>
              <w:rPr>
                <w:sz w:val="19"/>
              </w:rPr>
            </w:pPr>
            <w:r>
              <w:rPr>
                <w:w w:val="105"/>
                <w:sz w:val="19"/>
              </w:rPr>
              <w:t>Año</w:t>
            </w:r>
          </w:p>
        </w:tc>
        <w:tc>
          <w:tcPr>
            <w:tcW w:w="1870" w:type="dxa"/>
            <w:tcBorders>
              <w:bottom w:val="double" w:sz="4" w:space="0" w:color="000000"/>
            </w:tcBorders>
          </w:tcPr>
          <w:p>
            <w:pPr>
              <w:pStyle w:val="TableParagraph"/>
              <w:spacing w:before="70"/>
              <w:ind w:right="1115"/>
              <w:rPr>
                <w:sz w:val="19"/>
              </w:rPr>
            </w:pPr>
            <w:r>
              <w:rPr>
                <w:sz w:val="19"/>
              </w:rPr>
              <w:t>Monto*</w:t>
            </w:r>
          </w:p>
        </w:tc>
        <w:tc>
          <w:tcPr>
            <w:tcW w:w="1641" w:type="dxa"/>
            <w:tcBorders>
              <w:bottom w:val="double" w:sz="4" w:space="0" w:color="000000"/>
            </w:tcBorders>
          </w:tcPr>
          <w:p>
            <w:pPr>
              <w:pStyle w:val="TableParagraph"/>
              <w:spacing w:before="70"/>
              <w:ind w:right="65"/>
              <w:rPr>
                <w:sz w:val="19"/>
              </w:rPr>
            </w:pPr>
            <w:r>
              <w:rPr>
                <w:sz w:val="19"/>
              </w:rPr>
              <w:t>TC**</w:t>
            </w:r>
          </w:p>
        </w:tc>
      </w:tr>
      <w:tr>
        <w:trPr>
          <w:trHeight w:val="379" w:hRule="exact"/>
        </w:trPr>
        <w:tc>
          <w:tcPr>
            <w:tcW w:w="2797" w:type="dxa"/>
            <w:tcBorders>
              <w:top w:val="double" w:sz="4" w:space="0" w:color="000000"/>
            </w:tcBorders>
          </w:tcPr>
          <w:p>
            <w:pPr>
              <w:pStyle w:val="TableParagraph"/>
              <w:spacing w:before="91"/>
              <w:ind w:left="72"/>
              <w:jc w:val="left"/>
              <w:rPr>
                <w:sz w:val="19"/>
              </w:rPr>
            </w:pPr>
            <w:r>
              <w:rPr>
                <w:w w:val="105"/>
                <w:sz w:val="19"/>
              </w:rPr>
              <w:t>1990</w:t>
            </w:r>
          </w:p>
        </w:tc>
        <w:tc>
          <w:tcPr>
            <w:tcW w:w="1870" w:type="dxa"/>
            <w:tcBorders>
              <w:top w:val="double" w:sz="4" w:space="0" w:color="000000"/>
            </w:tcBorders>
          </w:tcPr>
          <w:p>
            <w:pPr>
              <w:pStyle w:val="TableParagraph"/>
              <w:spacing w:before="91"/>
              <w:ind w:right="1115"/>
              <w:rPr>
                <w:sz w:val="19"/>
              </w:rPr>
            </w:pPr>
            <w:r>
              <w:rPr>
                <w:w w:val="105"/>
                <w:sz w:val="19"/>
              </w:rPr>
              <w:t>2 494</w:t>
            </w:r>
          </w:p>
        </w:tc>
        <w:tc>
          <w:tcPr>
            <w:tcW w:w="1641" w:type="dxa"/>
            <w:tcBorders>
              <w:top w:val="double" w:sz="4" w:space="0" w:color="000000"/>
            </w:tcBorders>
          </w:tcPr>
          <w:p>
            <w:pPr/>
          </w:p>
        </w:tc>
      </w:tr>
      <w:tr>
        <w:trPr>
          <w:trHeight w:val="314" w:hRule="exact"/>
        </w:trPr>
        <w:tc>
          <w:tcPr>
            <w:tcW w:w="2797" w:type="dxa"/>
          </w:tcPr>
          <w:p>
            <w:pPr>
              <w:pStyle w:val="TableParagraph"/>
              <w:spacing w:before="38"/>
              <w:ind w:left="72"/>
              <w:jc w:val="left"/>
              <w:rPr>
                <w:sz w:val="19"/>
              </w:rPr>
            </w:pPr>
            <w:r>
              <w:rPr>
                <w:w w:val="105"/>
                <w:sz w:val="19"/>
              </w:rPr>
              <w:t>1991</w:t>
            </w:r>
          </w:p>
        </w:tc>
        <w:tc>
          <w:tcPr>
            <w:tcW w:w="1870" w:type="dxa"/>
          </w:tcPr>
          <w:p>
            <w:pPr>
              <w:pStyle w:val="TableParagraph"/>
              <w:spacing w:before="38"/>
              <w:ind w:right="1115"/>
              <w:rPr>
                <w:sz w:val="19"/>
              </w:rPr>
            </w:pPr>
            <w:r>
              <w:rPr>
                <w:w w:val="105"/>
                <w:sz w:val="19"/>
              </w:rPr>
              <w:t>2 660</w:t>
            </w:r>
          </w:p>
        </w:tc>
        <w:tc>
          <w:tcPr>
            <w:tcW w:w="1641" w:type="dxa"/>
          </w:tcPr>
          <w:p>
            <w:pPr>
              <w:pStyle w:val="TableParagraph"/>
              <w:spacing w:before="38"/>
              <w:ind w:right="66"/>
              <w:rPr>
                <w:sz w:val="19"/>
              </w:rPr>
            </w:pPr>
            <w:r>
              <w:rPr>
                <w:sz w:val="19"/>
              </w:rPr>
              <w:t>6.7</w:t>
            </w:r>
          </w:p>
        </w:tc>
      </w:tr>
      <w:tr>
        <w:trPr>
          <w:trHeight w:val="314" w:hRule="exact"/>
        </w:trPr>
        <w:tc>
          <w:tcPr>
            <w:tcW w:w="2797" w:type="dxa"/>
          </w:tcPr>
          <w:p>
            <w:pPr>
              <w:pStyle w:val="TableParagraph"/>
              <w:spacing w:before="41"/>
              <w:ind w:left="72"/>
              <w:jc w:val="left"/>
              <w:rPr>
                <w:sz w:val="19"/>
              </w:rPr>
            </w:pPr>
            <w:r>
              <w:rPr>
                <w:w w:val="105"/>
                <w:sz w:val="19"/>
              </w:rPr>
              <w:t>1992</w:t>
            </w:r>
          </w:p>
        </w:tc>
        <w:tc>
          <w:tcPr>
            <w:tcW w:w="1870" w:type="dxa"/>
          </w:tcPr>
          <w:p>
            <w:pPr>
              <w:pStyle w:val="TableParagraph"/>
              <w:spacing w:before="41"/>
              <w:ind w:right="1115"/>
              <w:rPr>
                <w:sz w:val="19"/>
              </w:rPr>
            </w:pPr>
            <w:r>
              <w:rPr>
                <w:w w:val="105"/>
                <w:sz w:val="19"/>
              </w:rPr>
              <w:t>3 070</w:t>
            </w:r>
          </w:p>
        </w:tc>
        <w:tc>
          <w:tcPr>
            <w:tcW w:w="1641" w:type="dxa"/>
          </w:tcPr>
          <w:p>
            <w:pPr>
              <w:pStyle w:val="TableParagraph"/>
              <w:spacing w:before="41"/>
              <w:ind w:right="67"/>
              <w:rPr>
                <w:sz w:val="19"/>
              </w:rPr>
            </w:pPr>
            <w:r>
              <w:rPr>
                <w:sz w:val="19"/>
              </w:rPr>
              <w:t>15.4</w:t>
            </w:r>
          </w:p>
        </w:tc>
      </w:tr>
      <w:tr>
        <w:trPr>
          <w:trHeight w:val="314" w:hRule="exact"/>
        </w:trPr>
        <w:tc>
          <w:tcPr>
            <w:tcW w:w="2797" w:type="dxa"/>
          </w:tcPr>
          <w:p>
            <w:pPr>
              <w:pStyle w:val="TableParagraph"/>
              <w:spacing w:before="38"/>
              <w:ind w:left="72"/>
              <w:jc w:val="left"/>
              <w:rPr>
                <w:sz w:val="19"/>
              </w:rPr>
            </w:pPr>
            <w:r>
              <w:rPr>
                <w:w w:val="105"/>
                <w:sz w:val="19"/>
              </w:rPr>
              <w:t>1993</w:t>
            </w:r>
          </w:p>
        </w:tc>
        <w:tc>
          <w:tcPr>
            <w:tcW w:w="1870" w:type="dxa"/>
          </w:tcPr>
          <w:p>
            <w:pPr>
              <w:pStyle w:val="TableParagraph"/>
              <w:spacing w:before="38"/>
              <w:ind w:right="1115"/>
              <w:rPr>
                <w:sz w:val="19"/>
              </w:rPr>
            </w:pPr>
            <w:r>
              <w:rPr>
                <w:w w:val="105"/>
                <w:sz w:val="19"/>
              </w:rPr>
              <w:t>3 333</w:t>
            </w:r>
          </w:p>
        </w:tc>
        <w:tc>
          <w:tcPr>
            <w:tcW w:w="1641" w:type="dxa"/>
          </w:tcPr>
          <w:p>
            <w:pPr>
              <w:pStyle w:val="TableParagraph"/>
              <w:spacing w:before="38"/>
              <w:ind w:right="66"/>
              <w:rPr>
                <w:sz w:val="19"/>
              </w:rPr>
            </w:pPr>
            <w:r>
              <w:rPr>
                <w:sz w:val="19"/>
              </w:rPr>
              <w:t>8.6</w:t>
            </w:r>
          </w:p>
        </w:tc>
      </w:tr>
      <w:tr>
        <w:trPr>
          <w:trHeight w:val="317" w:hRule="exact"/>
        </w:trPr>
        <w:tc>
          <w:tcPr>
            <w:tcW w:w="2797" w:type="dxa"/>
          </w:tcPr>
          <w:p>
            <w:pPr>
              <w:pStyle w:val="TableParagraph"/>
              <w:spacing w:before="41"/>
              <w:ind w:left="72"/>
              <w:jc w:val="left"/>
              <w:rPr>
                <w:sz w:val="19"/>
              </w:rPr>
            </w:pPr>
            <w:r>
              <w:rPr>
                <w:w w:val="105"/>
                <w:sz w:val="19"/>
              </w:rPr>
              <w:t>1994</w:t>
            </w:r>
          </w:p>
        </w:tc>
        <w:tc>
          <w:tcPr>
            <w:tcW w:w="1870" w:type="dxa"/>
          </w:tcPr>
          <w:p>
            <w:pPr>
              <w:pStyle w:val="TableParagraph"/>
              <w:spacing w:before="41"/>
              <w:ind w:right="1115"/>
              <w:rPr>
                <w:sz w:val="19"/>
              </w:rPr>
            </w:pPr>
            <w:r>
              <w:rPr>
                <w:w w:val="105"/>
                <w:sz w:val="19"/>
              </w:rPr>
              <w:t>3 475</w:t>
            </w:r>
          </w:p>
        </w:tc>
        <w:tc>
          <w:tcPr>
            <w:tcW w:w="1641" w:type="dxa"/>
          </w:tcPr>
          <w:p>
            <w:pPr>
              <w:pStyle w:val="TableParagraph"/>
              <w:spacing w:before="41"/>
              <w:ind w:right="66"/>
              <w:rPr>
                <w:sz w:val="19"/>
              </w:rPr>
            </w:pPr>
            <w:r>
              <w:rPr>
                <w:sz w:val="19"/>
              </w:rPr>
              <w:t>4.2</w:t>
            </w:r>
          </w:p>
        </w:tc>
      </w:tr>
      <w:tr>
        <w:trPr>
          <w:trHeight w:val="314" w:hRule="exact"/>
        </w:trPr>
        <w:tc>
          <w:tcPr>
            <w:tcW w:w="2797" w:type="dxa"/>
          </w:tcPr>
          <w:p>
            <w:pPr>
              <w:pStyle w:val="TableParagraph"/>
              <w:spacing w:before="41"/>
              <w:ind w:left="72"/>
              <w:jc w:val="left"/>
              <w:rPr>
                <w:sz w:val="19"/>
              </w:rPr>
            </w:pPr>
            <w:r>
              <w:rPr>
                <w:w w:val="105"/>
                <w:sz w:val="19"/>
              </w:rPr>
              <w:t>1995</w:t>
            </w:r>
          </w:p>
        </w:tc>
        <w:tc>
          <w:tcPr>
            <w:tcW w:w="1870" w:type="dxa"/>
          </w:tcPr>
          <w:p>
            <w:pPr>
              <w:pStyle w:val="TableParagraph"/>
              <w:spacing w:before="41"/>
              <w:ind w:right="1115"/>
              <w:rPr>
                <w:sz w:val="19"/>
              </w:rPr>
            </w:pPr>
            <w:r>
              <w:rPr>
                <w:w w:val="105"/>
                <w:sz w:val="19"/>
              </w:rPr>
              <w:t>3 673</w:t>
            </w:r>
          </w:p>
        </w:tc>
        <w:tc>
          <w:tcPr>
            <w:tcW w:w="1641" w:type="dxa"/>
          </w:tcPr>
          <w:p>
            <w:pPr>
              <w:pStyle w:val="TableParagraph"/>
              <w:spacing w:before="41"/>
              <w:ind w:right="66"/>
              <w:rPr>
                <w:sz w:val="19"/>
              </w:rPr>
            </w:pPr>
            <w:r>
              <w:rPr>
                <w:sz w:val="19"/>
              </w:rPr>
              <w:t>5.7</w:t>
            </w:r>
          </w:p>
        </w:tc>
      </w:tr>
      <w:tr>
        <w:trPr>
          <w:trHeight w:val="314" w:hRule="exact"/>
        </w:trPr>
        <w:tc>
          <w:tcPr>
            <w:tcW w:w="2797" w:type="dxa"/>
          </w:tcPr>
          <w:p>
            <w:pPr>
              <w:pStyle w:val="TableParagraph"/>
              <w:spacing w:before="38"/>
              <w:ind w:left="72"/>
              <w:jc w:val="left"/>
              <w:rPr>
                <w:sz w:val="19"/>
              </w:rPr>
            </w:pPr>
            <w:r>
              <w:rPr>
                <w:w w:val="105"/>
                <w:sz w:val="19"/>
              </w:rPr>
              <w:t>1996</w:t>
            </w:r>
          </w:p>
        </w:tc>
        <w:tc>
          <w:tcPr>
            <w:tcW w:w="1870" w:type="dxa"/>
          </w:tcPr>
          <w:p>
            <w:pPr>
              <w:pStyle w:val="TableParagraph"/>
              <w:spacing w:before="38"/>
              <w:ind w:right="1115"/>
              <w:rPr>
                <w:sz w:val="19"/>
              </w:rPr>
            </w:pPr>
            <w:r>
              <w:rPr>
                <w:w w:val="105"/>
                <w:sz w:val="19"/>
              </w:rPr>
              <w:t>4 224</w:t>
            </w:r>
          </w:p>
        </w:tc>
        <w:tc>
          <w:tcPr>
            <w:tcW w:w="1641" w:type="dxa"/>
          </w:tcPr>
          <w:p>
            <w:pPr>
              <w:pStyle w:val="TableParagraph"/>
              <w:spacing w:before="38"/>
              <w:ind w:right="66"/>
              <w:rPr>
                <w:sz w:val="19"/>
              </w:rPr>
            </w:pPr>
            <w:r>
              <w:rPr>
                <w:sz w:val="19"/>
              </w:rPr>
              <w:t>15.0</w:t>
            </w:r>
          </w:p>
        </w:tc>
      </w:tr>
      <w:tr>
        <w:trPr>
          <w:trHeight w:val="317" w:hRule="exact"/>
        </w:trPr>
        <w:tc>
          <w:tcPr>
            <w:tcW w:w="2797" w:type="dxa"/>
          </w:tcPr>
          <w:p>
            <w:pPr>
              <w:pStyle w:val="TableParagraph"/>
              <w:spacing w:before="41"/>
              <w:ind w:left="72"/>
              <w:jc w:val="left"/>
              <w:rPr>
                <w:sz w:val="19"/>
              </w:rPr>
            </w:pPr>
            <w:r>
              <w:rPr>
                <w:w w:val="105"/>
                <w:sz w:val="19"/>
              </w:rPr>
              <w:t>1997</w:t>
            </w:r>
          </w:p>
        </w:tc>
        <w:tc>
          <w:tcPr>
            <w:tcW w:w="1870" w:type="dxa"/>
          </w:tcPr>
          <w:p>
            <w:pPr>
              <w:pStyle w:val="TableParagraph"/>
              <w:spacing w:before="41"/>
              <w:ind w:right="1115"/>
              <w:rPr>
                <w:sz w:val="19"/>
              </w:rPr>
            </w:pPr>
            <w:r>
              <w:rPr>
                <w:w w:val="105"/>
                <w:sz w:val="19"/>
              </w:rPr>
              <w:t>4 865</w:t>
            </w:r>
          </w:p>
        </w:tc>
        <w:tc>
          <w:tcPr>
            <w:tcW w:w="1641" w:type="dxa"/>
          </w:tcPr>
          <w:p>
            <w:pPr>
              <w:pStyle w:val="TableParagraph"/>
              <w:spacing w:before="41"/>
              <w:ind w:right="67"/>
              <w:rPr>
                <w:sz w:val="19"/>
              </w:rPr>
            </w:pPr>
            <w:r>
              <w:rPr>
                <w:sz w:val="19"/>
              </w:rPr>
              <w:t>15.2</w:t>
            </w:r>
          </w:p>
        </w:tc>
      </w:tr>
      <w:tr>
        <w:trPr>
          <w:trHeight w:val="314" w:hRule="exact"/>
        </w:trPr>
        <w:tc>
          <w:tcPr>
            <w:tcW w:w="2797" w:type="dxa"/>
          </w:tcPr>
          <w:p>
            <w:pPr>
              <w:pStyle w:val="TableParagraph"/>
              <w:spacing w:before="41"/>
              <w:ind w:left="72"/>
              <w:jc w:val="left"/>
              <w:rPr>
                <w:sz w:val="19"/>
              </w:rPr>
            </w:pPr>
            <w:r>
              <w:rPr>
                <w:w w:val="105"/>
                <w:sz w:val="19"/>
              </w:rPr>
              <w:t>1998</w:t>
            </w:r>
          </w:p>
        </w:tc>
        <w:tc>
          <w:tcPr>
            <w:tcW w:w="1870" w:type="dxa"/>
          </w:tcPr>
          <w:p>
            <w:pPr>
              <w:pStyle w:val="TableParagraph"/>
              <w:spacing w:before="41"/>
              <w:ind w:right="1115"/>
              <w:rPr>
                <w:sz w:val="19"/>
              </w:rPr>
            </w:pPr>
            <w:r>
              <w:rPr>
                <w:w w:val="105"/>
                <w:sz w:val="19"/>
              </w:rPr>
              <w:t>5 627</w:t>
            </w:r>
          </w:p>
        </w:tc>
        <w:tc>
          <w:tcPr>
            <w:tcW w:w="1641" w:type="dxa"/>
          </w:tcPr>
          <w:p>
            <w:pPr>
              <w:pStyle w:val="TableParagraph"/>
              <w:spacing w:before="41"/>
              <w:ind w:right="67"/>
              <w:rPr>
                <w:sz w:val="19"/>
              </w:rPr>
            </w:pPr>
            <w:r>
              <w:rPr>
                <w:sz w:val="19"/>
              </w:rPr>
              <w:t>15.7</w:t>
            </w:r>
          </w:p>
        </w:tc>
      </w:tr>
      <w:tr>
        <w:trPr>
          <w:trHeight w:val="314" w:hRule="exact"/>
        </w:trPr>
        <w:tc>
          <w:tcPr>
            <w:tcW w:w="2797" w:type="dxa"/>
          </w:tcPr>
          <w:p>
            <w:pPr>
              <w:pStyle w:val="TableParagraph"/>
              <w:spacing w:before="38"/>
              <w:ind w:left="72"/>
              <w:jc w:val="left"/>
              <w:rPr>
                <w:sz w:val="19"/>
              </w:rPr>
            </w:pPr>
            <w:r>
              <w:rPr>
                <w:w w:val="105"/>
                <w:sz w:val="19"/>
              </w:rPr>
              <w:t>1999</w:t>
            </w:r>
          </w:p>
        </w:tc>
        <w:tc>
          <w:tcPr>
            <w:tcW w:w="1870" w:type="dxa"/>
          </w:tcPr>
          <w:p>
            <w:pPr>
              <w:pStyle w:val="TableParagraph"/>
              <w:spacing w:before="38"/>
              <w:ind w:right="1115"/>
              <w:rPr>
                <w:sz w:val="19"/>
              </w:rPr>
            </w:pPr>
            <w:r>
              <w:rPr>
                <w:w w:val="105"/>
                <w:sz w:val="19"/>
              </w:rPr>
              <w:t>5 910</w:t>
            </w:r>
          </w:p>
        </w:tc>
        <w:tc>
          <w:tcPr>
            <w:tcW w:w="1641" w:type="dxa"/>
          </w:tcPr>
          <w:p>
            <w:pPr>
              <w:pStyle w:val="TableParagraph"/>
              <w:spacing w:before="38"/>
              <w:ind w:right="66"/>
              <w:rPr>
                <w:sz w:val="19"/>
              </w:rPr>
            </w:pPr>
            <w:r>
              <w:rPr>
                <w:sz w:val="19"/>
              </w:rPr>
              <w:t>5.0</w:t>
            </w:r>
          </w:p>
        </w:tc>
      </w:tr>
      <w:tr>
        <w:trPr>
          <w:trHeight w:val="314" w:hRule="exact"/>
        </w:trPr>
        <w:tc>
          <w:tcPr>
            <w:tcW w:w="2797" w:type="dxa"/>
          </w:tcPr>
          <w:p>
            <w:pPr>
              <w:pStyle w:val="TableParagraph"/>
              <w:spacing w:before="41"/>
              <w:ind w:left="72"/>
              <w:jc w:val="left"/>
              <w:rPr>
                <w:sz w:val="19"/>
              </w:rPr>
            </w:pPr>
            <w:r>
              <w:rPr>
                <w:w w:val="105"/>
                <w:sz w:val="19"/>
              </w:rPr>
              <w:t>2000</w:t>
            </w:r>
          </w:p>
        </w:tc>
        <w:tc>
          <w:tcPr>
            <w:tcW w:w="1870" w:type="dxa"/>
          </w:tcPr>
          <w:p>
            <w:pPr>
              <w:pStyle w:val="TableParagraph"/>
              <w:spacing w:before="41"/>
              <w:ind w:right="1115"/>
              <w:rPr>
                <w:sz w:val="19"/>
              </w:rPr>
            </w:pPr>
            <w:r>
              <w:rPr>
                <w:w w:val="105"/>
                <w:sz w:val="19"/>
              </w:rPr>
              <w:t>6 573</w:t>
            </w:r>
          </w:p>
        </w:tc>
        <w:tc>
          <w:tcPr>
            <w:tcW w:w="1641" w:type="dxa"/>
          </w:tcPr>
          <w:p>
            <w:pPr>
              <w:pStyle w:val="TableParagraph"/>
              <w:spacing w:before="41"/>
              <w:ind w:right="67"/>
              <w:rPr>
                <w:sz w:val="19"/>
              </w:rPr>
            </w:pPr>
            <w:r>
              <w:rPr>
                <w:sz w:val="19"/>
              </w:rPr>
              <w:t>11.2</w:t>
            </w:r>
          </w:p>
        </w:tc>
      </w:tr>
      <w:tr>
        <w:trPr>
          <w:trHeight w:val="314" w:hRule="exact"/>
        </w:trPr>
        <w:tc>
          <w:tcPr>
            <w:tcW w:w="2797" w:type="dxa"/>
          </w:tcPr>
          <w:p>
            <w:pPr>
              <w:pStyle w:val="TableParagraph"/>
              <w:spacing w:before="38"/>
              <w:ind w:left="72"/>
              <w:jc w:val="left"/>
              <w:rPr>
                <w:sz w:val="19"/>
              </w:rPr>
            </w:pPr>
            <w:r>
              <w:rPr>
                <w:w w:val="105"/>
                <w:sz w:val="19"/>
              </w:rPr>
              <w:t>2001</w:t>
            </w:r>
          </w:p>
        </w:tc>
        <w:tc>
          <w:tcPr>
            <w:tcW w:w="1870" w:type="dxa"/>
          </w:tcPr>
          <w:p>
            <w:pPr>
              <w:pStyle w:val="TableParagraph"/>
              <w:spacing w:before="38"/>
              <w:ind w:right="1115"/>
              <w:rPr>
                <w:sz w:val="19"/>
              </w:rPr>
            </w:pPr>
            <w:r>
              <w:rPr>
                <w:w w:val="105"/>
                <w:sz w:val="19"/>
              </w:rPr>
              <w:t>8 895</w:t>
            </w:r>
          </w:p>
        </w:tc>
        <w:tc>
          <w:tcPr>
            <w:tcW w:w="1641" w:type="dxa"/>
          </w:tcPr>
          <w:p>
            <w:pPr>
              <w:pStyle w:val="TableParagraph"/>
              <w:spacing w:before="38"/>
              <w:ind w:right="67"/>
              <w:rPr>
                <w:sz w:val="19"/>
              </w:rPr>
            </w:pPr>
            <w:r>
              <w:rPr>
                <w:sz w:val="19"/>
              </w:rPr>
              <w:t>35.3</w:t>
            </w:r>
          </w:p>
        </w:tc>
      </w:tr>
      <w:tr>
        <w:trPr>
          <w:trHeight w:val="317" w:hRule="exact"/>
        </w:trPr>
        <w:tc>
          <w:tcPr>
            <w:tcW w:w="2797" w:type="dxa"/>
          </w:tcPr>
          <w:p>
            <w:pPr>
              <w:pStyle w:val="TableParagraph"/>
              <w:spacing w:before="41"/>
              <w:ind w:left="72"/>
              <w:jc w:val="left"/>
              <w:rPr>
                <w:sz w:val="19"/>
              </w:rPr>
            </w:pPr>
            <w:r>
              <w:rPr>
                <w:w w:val="105"/>
                <w:sz w:val="19"/>
              </w:rPr>
              <w:t>2002</w:t>
            </w:r>
          </w:p>
        </w:tc>
        <w:tc>
          <w:tcPr>
            <w:tcW w:w="1870" w:type="dxa"/>
          </w:tcPr>
          <w:p>
            <w:pPr>
              <w:pStyle w:val="TableParagraph"/>
              <w:spacing w:before="41"/>
              <w:ind w:right="1115"/>
              <w:rPr>
                <w:sz w:val="19"/>
              </w:rPr>
            </w:pPr>
            <w:r>
              <w:rPr>
                <w:w w:val="105"/>
                <w:sz w:val="19"/>
              </w:rPr>
              <w:t>9 815</w:t>
            </w:r>
          </w:p>
        </w:tc>
        <w:tc>
          <w:tcPr>
            <w:tcW w:w="1641" w:type="dxa"/>
          </w:tcPr>
          <w:p>
            <w:pPr>
              <w:pStyle w:val="TableParagraph"/>
              <w:spacing w:before="41"/>
              <w:ind w:right="67"/>
              <w:rPr>
                <w:sz w:val="19"/>
              </w:rPr>
            </w:pPr>
            <w:r>
              <w:rPr>
                <w:sz w:val="19"/>
              </w:rPr>
              <w:t>10.3</w:t>
            </w:r>
          </w:p>
        </w:tc>
      </w:tr>
      <w:tr>
        <w:trPr>
          <w:trHeight w:val="314" w:hRule="exact"/>
        </w:trPr>
        <w:tc>
          <w:tcPr>
            <w:tcW w:w="2797" w:type="dxa"/>
          </w:tcPr>
          <w:p>
            <w:pPr>
              <w:pStyle w:val="TableParagraph"/>
              <w:spacing w:before="41"/>
              <w:ind w:left="72"/>
              <w:jc w:val="left"/>
              <w:rPr>
                <w:sz w:val="19"/>
              </w:rPr>
            </w:pPr>
            <w:r>
              <w:rPr>
                <w:w w:val="105"/>
                <w:sz w:val="19"/>
              </w:rPr>
              <w:t>2003</w:t>
            </w:r>
          </w:p>
        </w:tc>
        <w:tc>
          <w:tcPr>
            <w:tcW w:w="1870" w:type="dxa"/>
          </w:tcPr>
          <w:p>
            <w:pPr>
              <w:pStyle w:val="TableParagraph"/>
              <w:spacing w:before="41"/>
              <w:ind w:right="1115"/>
              <w:rPr>
                <w:sz w:val="19"/>
              </w:rPr>
            </w:pPr>
            <w:r>
              <w:rPr>
                <w:w w:val="105"/>
                <w:sz w:val="19"/>
              </w:rPr>
              <w:t>15 041</w:t>
            </w:r>
          </w:p>
        </w:tc>
        <w:tc>
          <w:tcPr>
            <w:tcW w:w="1641" w:type="dxa"/>
          </w:tcPr>
          <w:p>
            <w:pPr>
              <w:pStyle w:val="TableParagraph"/>
              <w:spacing w:before="41"/>
              <w:ind w:right="67"/>
              <w:rPr>
                <w:sz w:val="19"/>
              </w:rPr>
            </w:pPr>
            <w:r>
              <w:rPr>
                <w:sz w:val="19"/>
              </w:rPr>
              <w:t>53.2</w:t>
            </w:r>
          </w:p>
        </w:tc>
      </w:tr>
      <w:tr>
        <w:trPr>
          <w:trHeight w:val="314" w:hRule="exact"/>
        </w:trPr>
        <w:tc>
          <w:tcPr>
            <w:tcW w:w="2797" w:type="dxa"/>
          </w:tcPr>
          <w:p>
            <w:pPr>
              <w:pStyle w:val="TableParagraph"/>
              <w:spacing w:before="38"/>
              <w:ind w:left="72"/>
              <w:jc w:val="left"/>
              <w:rPr>
                <w:sz w:val="19"/>
              </w:rPr>
            </w:pPr>
            <w:r>
              <w:rPr>
                <w:w w:val="105"/>
                <w:sz w:val="19"/>
              </w:rPr>
              <w:t>2004</w:t>
            </w:r>
          </w:p>
        </w:tc>
        <w:tc>
          <w:tcPr>
            <w:tcW w:w="1870" w:type="dxa"/>
          </w:tcPr>
          <w:p>
            <w:pPr>
              <w:pStyle w:val="TableParagraph"/>
              <w:spacing w:before="38"/>
              <w:ind w:right="1115"/>
              <w:rPr>
                <w:sz w:val="19"/>
              </w:rPr>
            </w:pPr>
            <w:r>
              <w:rPr>
                <w:w w:val="105"/>
                <w:sz w:val="19"/>
              </w:rPr>
              <w:t>18 331</w:t>
            </w:r>
          </w:p>
        </w:tc>
        <w:tc>
          <w:tcPr>
            <w:tcW w:w="1641" w:type="dxa"/>
          </w:tcPr>
          <w:p>
            <w:pPr>
              <w:pStyle w:val="TableParagraph"/>
              <w:spacing w:before="38"/>
              <w:ind w:right="67"/>
              <w:rPr>
                <w:sz w:val="19"/>
              </w:rPr>
            </w:pPr>
            <w:r>
              <w:rPr>
                <w:sz w:val="19"/>
              </w:rPr>
              <w:t>21.9</w:t>
            </w:r>
          </w:p>
        </w:tc>
      </w:tr>
      <w:tr>
        <w:trPr>
          <w:trHeight w:val="317" w:hRule="exact"/>
        </w:trPr>
        <w:tc>
          <w:tcPr>
            <w:tcW w:w="2797" w:type="dxa"/>
          </w:tcPr>
          <w:p>
            <w:pPr>
              <w:pStyle w:val="TableParagraph"/>
              <w:spacing w:before="41"/>
              <w:ind w:left="72"/>
              <w:jc w:val="left"/>
              <w:rPr>
                <w:sz w:val="19"/>
              </w:rPr>
            </w:pPr>
            <w:r>
              <w:rPr>
                <w:w w:val="105"/>
                <w:sz w:val="19"/>
              </w:rPr>
              <w:t>2005</w:t>
            </w:r>
          </w:p>
        </w:tc>
        <w:tc>
          <w:tcPr>
            <w:tcW w:w="1870" w:type="dxa"/>
          </w:tcPr>
          <w:p>
            <w:pPr>
              <w:pStyle w:val="TableParagraph"/>
              <w:spacing w:before="41"/>
              <w:ind w:right="1115"/>
              <w:rPr>
                <w:sz w:val="19"/>
              </w:rPr>
            </w:pPr>
            <w:r>
              <w:rPr>
                <w:w w:val="105"/>
                <w:sz w:val="19"/>
              </w:rPr>
              <w:t>21 689</w:t>
            </w:r>
          </w:p>
        </w:tc>
        <w:tc>
          <w:tcPr>
            <w:tcW w:w="1641" w:type="dxa"/>
          </w:tcPr>
          <w:p>
            <w:pPr>
              <w:pStyle w:val="TableParagraph"/>
              <w:spacing w:before="41"/>
              <w:ind w:right="67"/>
              <w:rPr>
                <w:sz w:val="19"/>
              </w:rPr>
            </w:pPr>
            <w:r>
              <w:rPr>
                <w:sz w:val="19"/>
              </w:rPr>
              <w:t>18.3</w:t>
            </w:r>
          </w:p>
        </w:tc>
      </w:tr>
      <w:tr>
        <w:trPr>
          <w:trHeight w:val="314" w:hRule="exact"/>
        </w:trPr>
        <w:tc>
          <w:tcPr>
            <w:tcW w:w="2797" w:type="dxa"/>
          </w:tcPr>
          <w:p>
            <w:pPr>
              <w:pStyle w:val="TableParagraph"/>
              <w:spacing w:before="41"/>
              <w:ind w:left="72"/>
              <w:jc w:val="left"/>
              <w:rPr>
                <w:sz w:val="19"/>
              </w:rPr>
            </w:pPr>
            <w:r>
              <w:rPr>
                <w:w w:val="105"/>
                <w:sz w:val="19"/>
              </w:rPr>
              <w:t>2006</w:t>
            </w:r>
          </w:p>
        </w:tc>
        <w:tc>
          <w:tcPr>
            <w:tcW w:w="1870" w:type="dxa"/>
          </w:tcPr>
          <w:p>
            <w:pPr>
              <w:pStyle w:val="TableParagraph"/>
              <w:spacing w:before="41"/>
              <w:ind w:right="1115"/>
              <w:rPr>
                <w:sz w:val="19"/>
              </w:rPr>
            </w:pPr>
            <w:r>
              <w:rPr>
                <w:w w:val="105"/>
                <w:sz w:val="19"/>
              </w:rPr>
              <w:t>25 567</w:t>
            </w:r>
          </w:p>
        </w:tc>
        <w:tc>
          <w:tcPr>
            <w:tcW w:w="1641" w:type="dxa"/>
          </w:tcPr>
          <w:p>
            <w:pPr>
              <w:pStyle w:val="TableParagraph"/>
              <w:spacing w:before="41"/>
              <w:ind w:right="67"/>
              <w:rPr>
                <w:sz w:val="19"/>
              </w:rPr>
            </w:pPr>
            <w:r>
              <w:rPr>
                <w:sz w:val="19"/>
              </w:rPr>
              <w:t>17.9</w:t>
            </w:r>
          </w:p>
        </w:tc>
      </w:tr>
      <w:tr>
        <w:trPr>
          <w:trHeight w:val="314" w:hRule="exact"/>
        </w:trPr>
        <w:tc>
          <w:tcPr>
            <w:tcW w:w="2797" w:type="dxa"/>
          </w:tcPr>
          <w:p>
            <w:pPr>
              <w:pStyle w:val="TableParagraph"/>
              <w:spacing w:before="38"/>
              <w:ind w:left="72"/>
              <w:jc w:val="left"/>
              <w:rPr>
                <w:sz w:val="19"/>
              </w:rPr>
            </w:pPr>
            <w:r>
              <w:rPr>
                <w:w w:val="105"/>
                <w:sz w:val="19"/>
              </w:rPr>
              <w:t>2007</w:t>
            </w:r>
          </w:p>
        </w:tc>
        <w:tc>
          <w:tcPr>
            <w:tcW w:w="1870" w:type="dxa"/>
          </w:tcPr>
          <w:p>
            <w:pPr>
              <w:pStyle w:val="TableParagraph"/>
              <w:spacing w:before="38"/>
              <w:ind w:right="1115"/>
              <w:rPr>
                <w:sz w:val="19"/>
              </w:rPr>
            </w:pPr>
            <w:r>
              <w:rPr>
                <w:w w:val="105"/>
                <w:sz w:val="19"/>
              </w:rPr>
              <w:t>26 069</w:t>
            </w:r>
          </w:p>
        </w:tc>
        <w:tc>
          <w:tcPr>
            <w:tcW w:w="1641" w:type="dxa"/>
          </w:tcPr>
          <w:p>
            <w:pPr>
              <w:pStyle w:val="TableParagraph"/>
              <w:spacing w:before="38"/>
              <w:ind w:right="66"/>
              <w:rPr>
                <w:sz w:val="19"/>
              </w:rPr>
            </w:pPr>
            <w:r>
              <w:rPr>
                <w:sz w:val="19"/>
              </w:rPr>
              <w:t>2.0</w:t>
            </w:r>
          </w:p>
        </w:tc>
      </w:tr>
      <w:tr>
        <w:trPr>
          <w:trHeight w:val="314" w:hRule="exact"/>
        </w:trPr>
        <w:tc>
          <w:tcPr>
            <w:tcW w:w="2797" w:type="dxa"/>
          </w:tcPr>
          <w:p>
            <w:pPr>
              <w:pStyle w:val="TableParagraph"/>
              <w:spacing w:before="41"/>
              <w:ind w:left="72"/>
              <w:jc w:val="left"/>
              <w:rPr>
                <w:sz w:val="19"/>
              </w:rPr>
            </w:pPr>
            <w:r>
              <w:rPr>
                <w:w w:val="105"/>
                <w:sz w:val="19"/>
              </w:rPr>
              <w:t>2008</w:t>
            </w:r>
          </w:p>
        </w:tc>
        <w:tc>
          <w:tcPr>
            <w:tcW w:w="1870" w:type="dxa"/>
          </w:tcPr>
          <w:p>
            <w:pPr>
              <w:pStyle w:val="TableParagraph"/>
              <w:spacing w:before="41"/>
              <w:ind w:right="1115"/>
              <w:rPr>
                <w:sz w:val="19"/>
              </w:rPr>
            </w:pPr>
            <w:r>
              <w:rPr>
                <w:w w:val="105"/>
                <w:sz w:val="19"/>
              </w:rPr>
              <w:t>25 137</w:t>
            </w:r>
          </w:p>
        </w:tc>
        <w:tc>
          <w:tcPr>
            <w:tcW w:w="1641" w:type="dxa"/>
          </w:tcPr>
          <w:p>
            <w:pPr>
              <w:pStyle w:val="TableParagraph"/>
              <w:spacing w:before="41"/>
              <w:ind w:right="66"/>
              <w:rPr>
                <w:sz w:val="19"/>
              </w:rPr>
            </w:pPr>
            <w:r>
              <w:rPr>
                <w:sz w:val="19"/>
              </w:rPr>
              <w:t>-3.6</w:t>
            </w:r>
          </w:p>
        </w:tc>
      </w:tr>
      <w:tr>
        <w:trPr>
          <w:trHeight w:val="314" w:hRule="exact"/>
        </w:trPr>
        <w:tc>
          <w:tcPr>
            <w:tcW w:w="2797" w:type="dxa"/>
          </w:tcPr>
          <w:p>
            <w:pPr>
              <w:pStyle w:val="TableParagraph"/>
              <w:spacing w:before="38"/>
              <w:ind w:left="72"/>
              <w:jc w:val="left"/>
              <w:rPr>
                <w:sz w:val="19"/>
              </w:rPr>
            </w:pPr>
            <w:r>
              <w:rPr>
                <w:w w:val="105"/>
                <w:sz w:val="19"/>
              </w:rPr>
              <w:t>2009</w:t>
            </w:r>
          </w:p>
        </w:tc>
        <w:tc>
          <w:tcPr>
            <w:tcW w:w="1870" w:type="dxa"/>
          </w:tcPr>
          <w:p>
            <w:pPr>
              <w:pStyle w:val="TableParagraph"/>
              <w:spacing w:before="38"/>
              <w:ind w:right="1115"/>
              <w:rPr>
                <w:sz w:val="19"/>
              </w:rPr>
            </w:pPr>
            <w:r>
              <w:rPr>
                <w:w w:val="105"/>
                <w:sz w:val="19"/>
              </w:rPr>
              <w:t>21 181</w:t>
            </w:r>
          </w:p>
        </w:tc>
        <w:tc>
          <w:tcPr>
            <w:tcW w:w="1641" w:type="dxa"/>
          </w:tcPr>
          <w:p>
            <w:pPr>
              <w:pStyle w:val="TableParagraph"/>
              <w:spacing w:before="38"/>
              <w:ind w:right="67"/>
              <w:rPr>
                <w:sz w:val="19"/>
              </w:rPr>
            </w:pPr>
            <w:r>
              <w:rPr>
                <w:sz w:val="19"/>
              </w:rPr>
              <w:t>-15.7</w:t>
            </w:r>
          </w:p>
        </w:tc>
      </w:tr>
      <w:tr>
        <w:trPr>
          <w:trHeight w:val="281" w:hRule="exact"/>
        </w:trPr>
        <w:tc>
          <w:tcPr>
            <w:tcW w:w="2797" w:type="dxa"/>
            <w:tcBorders>
              <w:bottom w:val="double" w:sz="4" w:space="0" w:color="000000"/>
            </w:tcBorders>
          </w:tcPr>
          <w:p>
            <w:pPr>
              <w:pStyle w:val="TableParagraph"/>
              <w:spacing w:before="41"/>
              <w:ind w:left="72"/>
              <w:jc w:val="left"/>
              <w:rPr>
                <w:sz w:val="19"/>
              </w:rPr>
            </w:pPr>
            <w:r>
              <w:rPr>
                <w:w w:val="105"/>
                <w:sz w:val="19"/>
              </w:rPr>
              <w:t>2010</w:t>
            </w:r>
          </w:p>
        </w:tc>
        <w:tc>
          <w:tcPr>
            <w:tcW w:w="1870" w:type="dxa"/>
            <w:tcBorders>
              <w:bottom w:val="double" w:sz="4" w:space="0" w:color="000000"/>
            </w:tcBorders>
          </w:tcPr>
          <w:p>
            <w:pPr>
              <w:pStyle w:val="TableParagraph"/>
              <w:spacing w:before="41"/>
              <w:ind w:right="1115"/>
              <w:rPr>
                <w:sz w:val="19"/>
              </w:rPr>
            </w:pPr>
            <w:r>
              <w:rPr>
                <w:w w:val="105"/>
                <w:sz w:val="19"/>
              </w:rPr>
              <w:t>17 855</w:t>
            </w:r>
          </w:p>
        </w:tc>
        <w:tc>
          <w:tcPr>
            <w:tcW w:w="1641" w:type="dxa"/>
            <w:tcBorders>
              <w:bottom w:val="double" w:sz="4" w:space="0" w:color="000000"/>
            </w:tcBorders>
          </w:tcPr>
          <w:p>
            <w:pPr>
              <w:pStyle w:val="TableParagraph"/>
              <w:spacing w:before="41"/>
              <w:ind w:right="67"/>
              <w:rPr>
                <w:sz w:val="19"/>
              </w:rPr>
            </w:pPr>
            <w:r>
              <w:rPr>
                <w:sz w:val="19"/>
              </w:rPr>
              <w:t>-26.1</w:t>
            </w:r>
          </w:p>
        </w:tc>
      </w:tr>
      <w:tr>
        <w:trPr>
          <w:trHeight w:val="391" w:hRule="exact"/>
        </w:trPr>
        <w:tc>
          <w:tcPr>
            <w:tcW w:w="2797" w:type="dxa"/>
            <w:tcBorders>
              <w:top w:val="double" w:sz="4" w:space="0" w:color="000000"/>
            </w:tcBorders>
          </w:tcPr>
          <w:p>
            <w:pPr>
              <w:pStyle w:val="TableParagraph"/>
              <w:spacing w:line="183" w:lineRule="exact"/>
              <w:ind w:left="72"/>
              <w:jc w:val="left"/>
              <w:rPr>
                <w:sz w:val="16"/>
              </w:rPr>
            </w:pPr>
            <w:r>
              <w:rPr>
                <w:sz w:val="16"/>
              </w:rPr>
              <w:t>* Millones de dólares corrientes</w:t>
            </w:r>
          </w:p>
          <w:p>
            <w:pPr>
              <w:pStyle w:val="TableParagraph"/>
              <w:spacing w:line="183" w:lineRule="exact"/>
              <w:ind w:left="112"/>
              <w:jc w:val="left"/>
              <w:rPr>
                <w:sz w:val="16"/>
              </w:rPr>
            </w:pPr>
            <w:r>
              <w:rPr>
                <w:sz w:val="16"/>
              </w:rPr>
              <w:t>** Tasa de crecimiento promedio anual.</w:t>
            </w:r>
          </w:p>
        </w:tc>
        <w:tc>
          <w:tcPr>
            <w:tcW w:w="1870" w:type="dxa"/>
            <w:tcBorders>
              <w:top w:val="double" w:sz="4" w:space="0" w:color="000000"/>
            </w:tcBorders>
          </w:tcPr>
          <w:p>
            <w:pPr/>
          </w:p>
        </w:tc>
        <w:tc>
          <w:tcPr>
            <w:tcW w:w="1641" w:type="dxa"/>
            <w:tcBorders>
              <w:top w:val="double" w:sz="4" w:space="0" w:color="000000"/>
            </w:tcBorders>
          </w:tcPr>
          <w:p>
            <w:pPr/>
          </w:p>
        </w:tc>
      </w:tr>
      <w:tr>
        <w:trPr>
          <w:trHeight w:val="273" w:hRule="exact"/>
        </w:trPr>
        <w:tc>
          <w:tcPr>
            <w:tcW w:w="2797" w:type="dxa"/>
          </w:tcPr>
          <w:p>
            <w:pPr>
              <w:pStyle w:val="TableParagraph"/>
              <w:spacing w:line="176" w:lineRule="exact"/>
              <w:ind w:left="72"/>
              <w:jc w:val="left"/>
              <w:rPr>
                <w:sz w:val="16"/>
              </w:rPr>
            </w:pPr>
            <w:r>
              <w:rPr>
                <w:sz w:val="16"/>
              </w:rPr>
              <w:t>Fuente: Banxico, 2009.</w:t>
            </w:r>
          </w:p>
        </w:tc>
        <w:tc>
          <w:tcPr>
            <w:tcW w:w="1870" w:type="dxa"/>
          </w:tcPr>
          <w:p>
            <w:pPr/>
          </w:p>
        </w:tc>
        <w:tc>
          <w:tcPr>
            <w:tcW w:w="1641" w:type="dxa"/>
          </w:tcPr>
          <w:p>
            <w:pPr/>
          </w:p>
        </w:tc>
      </w:tr>
    </w:tbl>
    <w:p>
      <w:pPr>
        <w:spacing w:after="0"/>
        <w:sectPr>
          <w:type w:val="continuous"/>
          <w:pgSz w:w="9360" w:h="13040"/>
          <w:pgMar w:top="0" w:bottom="0" w:left="1300" w:right="1300"/>
        </w:sectPr>
      </w:pPr>
    </w:p>
    <w:p>
      <w:pPr>
        <w:spacing w:before="45"/>
        <w:ind w:left="820" w:right="0" w:firstLine="0"/>
        <w:jc w:val="left"/>
        <w:rPr>
          <w:rFonts w:ascii="Arial" w:hAnsi="Arial"/>
          <w:sz w:val="20"/>
        </w:rPr>
      </w:pPr>
      <w:r>
        <w:rPr>
          <w:rFonts w:ascii="Arial" w:hAnsi="Arial"/>
          <w:color w:val="231F20"/>
          <w:w w:val="70"/>
          <w:sz w:val="20"/>
        </w:rPr>
        <w:t>Migración y remesas internacionales, efectos sobre la economía local...   /David Iglesias-Piña</w:t>
      </w:r>
    </w:p>
    <w:p>
      <w:pPr>
        <w:pStyle w:val="BodyText"/>
        <w:rPr>
          <w:rFonts w:ascii="Arial"/>
          <w:sz w:val="20"/>
        </w:rPr>
      </w:pPr>
    </w:p>
    <w:p>
      <w:pPr>
        <w:pStyle w:val="BodyText"/>
        <w:spacing w:before="4"/>
        <w:rPr>
          <w:rFonts w:ascii="Arial"/>
          <w:sz w:val="18"/>
        </w:rPr>
      </w:pPr>
    </w:p>
    <w:p>
      <w:pPr>
        <w:tabs>
          <w:tab w:pos="6636" w:val="left" w:leader="none"/>
        </w:tabs>
        <w:spacing w:before="1" w:after="37"/>
        <w:ind w:left="248" w:right="0" w:firstLine="0"/>
        <w:jc w:val="left"/>
        <w:rPr>
          <w:sz w:val="19"/>
        </w:rPr>
      </w:pPr>
      <w:r>
        <w:rPr>
          <w:spacing w:val="22"/>
          <w:w w:val="103"/>
          <w:sz w:val="19"/>
          <w:u w:val="single"/>
        </w:rPr>
        <w:t> </w:t>
      </w:r>
      <w:r>
        <w:rPr>
          <w:w w:val="105"/>
          <w:sz w:val="19"/>
          <w:u w:val="single"/>
        </w:rPr>
        <w:t>Cuadro 2. Distribución de las remesas por entidad federativa,</w:t>
      </w:r>
      <w:r>
        <w:rPr>
          <w:spacing w:val="-14"/>
          <w:w w:val="105"/>
          <w:sz w:val="19"/>
          <w:u w:val="single"/>
        </w:rPr>
        <w:t> </w:t>
      </w:r>
      <w:r>
        <w:rPr>
          <w:w w:val="105"/>
          <w:sz w:val="19"/>
          <w:u w:val="single"/>
        </w:rPr>
        <w:t>2009</w:t>
      </w:r>
      <w:r>
        <w:rPr>
          <w:sz w:val="19"/>
          <w:u w:val="single"/>
        </w:rPr>
        <w:tab/>
      </w:r>
    </w:p>
    <w:tbl>
      <w:tblPr>
        <w:tblW w:w="0" w:type="auto"/>
        <w:jc w:val="left"/>
        <w:tblInd w:w="24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02"/>
        <w:gridCol w:w="2242"/>
        <w:gridCol w:w="1745"/>
      </w:tblGrid>
      <w:tr>
        <w:trPr>
          <w:trHeight w:val="310" w:hRule="exact"/>
        </w:trPr>
        <w:tc>
          <w:tcPr>
            <w:tcW w:w="2402" w:type="dxa"/>
            <w:tcBorders>
              <w:bottom w:val="double" w:sz="4" w:space="0" w:color="000000"/>
            </w:tcBorders>
          </w:tcPr>
          <w:p>
            <w:pPr>
              <w:pStyle w:val="TableParagraph"/>
              <w:spacing w:before="70"/>
              <w:ind w:left="71"/>
              <w:jc w:val="left"/>
              <w:rPr>
                <w:sz w:val="19"/>
              </w:rPr>
            </w:pPr>
            <w:r>
              <w:rPr>
                <w:w w:val="105"/>
                <w:sz w:val="19"/>
              </w:rPr>
              <w:t>Entidad</w:t>
            </w:r>
          </w:p>
        </w:tc>
        <w:tc>
          <w:tcPr>
            <w:tcW w:w="2242" w:type="dxa"/>
            <w:tcBorders>
              <w:bottom w:val="double" w:sz="4" w:space="0" w:color="000000"/>
            </w:tcBorders>
          </w:tcPr>
          <w:p>
            <w:pPr>
              <w:pStyle w:val="TableParagraph"/>
              <w:spacing w:before="70"/>
              <w:ind w:right="830"/>
              <w:rPr>
                <w:sz w:val="19"/>
              </w:rPr>
            </w:pPr>
            <w:r>
              <w:rPr>
                <w:sz w:val="19"/>
              </w:rPr>
              <w:t>Monto*</w:t>
            </w:r>
          </w:p>
        </w:tc>
        <w:tc>
          <w:tcPr>
            <w:tcW w:w="1745" w:type="dxa"/>
            <w:tcBorders>
              <w:bottom w:val="double" w:sz="4" w:space="0" w:color="000000"/>
            </w:tcBorders>
          </w:tcPr>
          <w:p>
            <w:pPr>
              <w:pStyle w:val="TableParagraph"/>
              <w:spacing w:before="70"/>
              <w:ind w:right="68"/>
              <w:rPr>
                <w:sz w:val="19"/>
              </w:rPr>
            </w:pPr>
            <w:r>
              <w:rPr>
                <w:sz w:val="19"/>
              </w:rPr>
              <w:t>Porcentaje</w:t>
            </w:r>
          </w:p>
        </w:tc>
      </w:tr>
      <w:tr>
        <w:trPr>
          <w:trHeight w:val="300" w:hRule="exact"/>
        </w:trPr>
        <w:tc>
          <w:tcPr>
            <w:tcW w:w="2402" w:type="dxa"/>
            <w:tcBorders>
              <w:top w:val="double" w:sz="4" w:space="0" w:color="000000"/>
            </w:tcBorders>
          </w:tcPr>
          <w:p>
            <w:pPr>
              <w:pStyle w:val="TableParagraph"/>
              <w:spacing w:before="24"/>
              <w:ind w:left="71"/>
              <w:jc w:val="left"/>
              <w:rPr>
                <w:sz w:val="19"/>
              </w:rPr>
            </w:pPr>
            <w:r>
              <w:rPr>
                <w:w w:val="105"/>
                <w:sz w:val="19"/>
              </w:rPr>
              <w:t>Nacional</w:t>
            </w:r>
          </w:p>
        </w:tc>
        <w:tc>
          <w:tcPr>
            <w:tcW w:w="2242" w:type="dxa"/>
            <w:tcBorders>
              <w:top w:val="double" w:sz="4" w:space="0" w:color="000000"/>
            </w:tcBorders>
          </w:tcPr>
          <w:p>
            <w:pPr>
              <w:pStyle w:val="TableParagraph"/>
              <w:spacing w:before="24"/>
              <w:ind w:right="830"/>
              <w:rPr>
                <w:sz w:val="19"/>
              </w:rPr>
            </w:pPr>
            <w:r>
              <w:rPr>
                <w:w w:val="105"/>
                <w:sz w:val="19"/>
              </w:rPr>
              <w:t>21 181</w:t>
            </w:r>
          </w:p>
        </w:tc>
        <w:tc>
          <w:tcPr>
            <w:tcW w:w="1745" w:type="dxa"/>
            <w:tcBorders>
              <w:top w:val="double" w:sz="4" w:space="0" w:color="000000"/>
            </w:tcBorders>
          </w:tcPr>
          <w:p>
            <w:pPr>
              <w:pStyle w:val="TableParagraph"/>
              <w:spacing w:before="24"/>
              <w:ind w:right="67"/>
              <w:rPr>
                <w:sz w:val="19"/>
              </w:rPr>
            </w:pPr>
            <w:r>
              <w:rPr>
                <w:sz w:val="19"/>
              </w:rPr>
              <w:t>100.0</w:t>
            </w:r>
          </w:p>
        </w:tc>
      </w:tr>
      <w:tr>
        <w:trPr>
          <w:trHeight w:val="281" w:hRule="exact"/>
        </w:trPr>
        <w:tc>
          <w:tcPr>
            <w:tcW w:w="2402" w:type="dxa"/>
          </w:tcPr>
          <w:p>
            <w:pPr>
              <w:pStyle w:val="TableParagraph"/>
              <w:spacing w:before="26"/>
              <w:ind w:left="71"/>
              <w:jc w:val="left"/>
              <w:rPr>
                <w:sz w:val="19"/>
              </w:rPr>
            </w:pPr>
            <w:r>
              <w:rPr>
                <w:w w:val="105"/>
                <w:sz w:val="19"/>
              </w:rPr>
              <w:t>Michoacán</w:t>
            </w:r>
          </w:p>
        </w:tc>
        <w:tc>
          <w:tcPr>
            <w:tcW w:w="2242" w:type="dxa"/>
          </w:tcPr>
          <w:p>
            <w:pPr>
              <w:pStyle w:val="TableParagraph"/>
              <w:spacing w:before="26"/>
              <w:ind w:right="830"/>
              <w:rPr>
                <w:sz w:val="19"/>
              </w:rPr>
            </w:pPr>
            <w:r>
              <w:rPr>
                <w:w w:val="105"/>
                <w:sz w:val="19"/>
              </w:rPr>
              <w:t>2 133</w:t>
            </w:r>
          </w:p>
        </w:tc>
        <w:tc>
          <w:tcPr>
            <w:tcW w:w="1745" w:type="dxa"/>
          </w:tcPr>
          <w:p>
            <w:pPr>
              <w:pStyle w:val="TableParagraph"/>
              <w:spacing w:before="26"/>
              <w:ind w:right="68"/>
              <w:rPr>
                <w:sz w:val="19"/>
              </w:rPr>
            </w:pPr>
            <w:r>
              <w:rPr>
                <w:sz w:val="19"/>
              </w:rPr>
              <w:t>10.1</w:t>
            </w:r>
          </w:p>
        </w:tc>
      </w:tr>
      <w:tr>
        <w:trPr>
          <w:trHeight w:val="276" w:hRule="exact"/>
        </w:trPr>
        <w:tc>
          <w:tcPr>
            <w:tcW w:w="2402" w:type="dxa"/>
          </w:tcPr>
          <w:p>
            <w:pPr>
              <w:pStyle w:val="TableParagraph"/>
              <w:spacing w:before="19"/>
              <w:ind w:left="71"/>
              <w:jc w:val="left"/>
              <w:rPr>
                <w:sz w:val="19"/>
              </w:rPr>
            </w:pPr>
            <w:r>
              <w:rPr>
                <w:w w:val="105"/>
                <w:sz w:val="19"/>
              </w:rPr>
              <w:t>Guanajuato</w:t>
            </w:r>
          </w:p>
        </w:tc>
        <w:tc>
          <w:tcPr>
            <w:tcW w:w="2242" w:type="dxa"/>
          </w:tcPr>
          <w:p>
            <w:pPr>
              <w:pStyle w:val="TableParagraph"/>
              <w:spacing w:before="19"/>
              <w:ind w:right="830"/>
              <w:rPr>
                <w:sz w:val="19"/>
              </w:rPr>
            </w:pPr>
            <w:r>
              <w:rPr>
                <w:w w:val="105"/>
                <w:sz w:val="19"/>
              </w:rPr>
              <w:t>1 945</w:t>
            </w:r>
          </w:p>
        </w:tc>
        <w:tc>
          <w:tcPr>
            <w:tcW w:w="1745" w:type="dxa"/>
          </w:tcPr>
          <w:p>
            <w:pPr>
              <w:pStyle w:val="TableParagraph"/>
              <w:spacing w:before="19"/>
              <w:ind w:right="67"/>
              <w:rPr>
                <w:sz w:val="19"/>
              </w:rPr>
            </w:pPr>
            <w:r>
              <w:rPr>
                <w:sz w:val="19"/>
              </w:rPr>
              <w:t>9.2</w:t>
            </w:r>
          </w:p>
        </w:tc>
      </w:tr>
      <w:tr>
        <w:trPr>
          <w:trHeight w:val="286" w:hRule="exact"/>
        </w:trPr>
        <w:tc>
          <w:tcPr>
            <w:tcW w:w="2402" w:type="dxa"/>
          </w:tcPr>
          <w:p>
            <w:pPr>
              <w:pStyle w:val="TableParagraph"/>
              <w:spacing w:before="21"/>
              <w:ind w:left="71"/>
              <w:jc w:val="left"/>
              <w:rPr>
                <w:sz w:val="19"/>
              </w:rPr>
            </w:pPr>
            <w:r>
              <w:rPr>
                <w:w w:val="105"/>
                <w:sz w:val="19"/>
              </w:rPr>
              <w:t>Jalisco</w:t>
            </w:r>
          </w:p>
        </w:tc>
        <w:tc>
          <w:tcPr>
            <w:tcW w:w="2242" w:type="dxa"/>
          </w:tcPr>
          <w:p>
            <w:pPr>
              <w:pStyle w:val="TableParagraph"/>
              <w:spacing w:before="21"/>
              <w:ind w:right="830"/>
              <w:rPr>
                <w:sz w:val="19"/>
              </w:rPr>
            </w:pPr>
            <w:r>
              <w:rPr>
                <w:w w:val="105"/>
                <w:sz w:val="19"/>
              </w:rPr>
              <w:t>1 716</w:t>
            </w:r>
          </w:p>
        </w:tc>
        <w:tc>
          <w:tcPr>
            <w:tcW w:w="1745" w:type="dxa"/>
          </w:tcPr>
          <w:p>
            <w:pPr>
              <w:pStyle w:val="TableParagraph"/>
              <w:spacing w:before="21"/>
              <w:ind w:right="67"/>
              <w:rPr>
                <w:sz w:val="19"/>
              </w:rPr>
            </w:pPr>
            <w:r>
              <w:rPr>
                <w:sz w:val="19"/>
              </w:rPr>
              <w:t>8.1</w:t>
            </w:r>
          </w:p>
        </w:tc>
      </w:tr>
      <w:tr>
        <w:trPr>
          <w:trHeight w:val="283" w:hRule="exact"/>
        </w:trPr>
        <w:tc>
          <w:tcPr>
            <w:tcW w:w="2402" w:type="dxa"/>
          </w:tcPr>
          <w:p>
            <w:pPr>
              <w:pStyle w:val="TableParagraph"/>
              <w:spacing w:before="29"/>
              <w:ind w:left="71"/>
              <w:jc w:val="left"/>
              <w:rPr>
                <w:sz w:val="19"/>
              </w:rPr>
            </w:pPr>
            <w:r>
              <w:rPr>
                <w:w w:val="105"/>
                <w:sz w:val="19"/>
              </w:rPr>
              <w:t>México</w:t>
            </w:r>
          </w:p>
        </w:tc>
        <w:tc>
          <w:tcPr>
            <w:tcW w:w="2242" w:type="dxa"/>
          </w:tcPr>
          <w:p>
            <w:pPr>
              <w:pStyle w:val="TableParagraph"/>
              <w:spacing w:before="29"/>
              <w:ind w:right="830"/>
              <w:rPr>
                <w:sz w:val="19"/>
              </w:rPr>
            </w:pPr>
            <w:r>
              <w:rPr>
                <w:w w:val="105"/>
                <w:sz w:val="19"/>
              </w:rPr>
              <w:t>1 715</w:t>
            </w:r>
          </w:p>
        </w:tc>
        <w:tc>
          <w:tcPr>
            <w:tcW w:w="1745" w:type="dxa"/>
          </w:tcPr>
          <w:p>
            <w:pPr>
              <w:pStyle w:val="TableParagraph"/>
              <w:spacing w:before="29"/>
              <w:ind w:right="67"/>
              <w:rPr>
                <w:sz w:val="19"/>
              </w:rPr>
            </w:pPr>
            <w:r>
              <w:rPr>
                <w:sz w:val="19"/>
              </w:rPr>
              <w:t>8.1</w:t>
            </w:r>
          </w:p>
        </w:tc>
      </w:tr>
      <w:tr>
        <w:trPr>
          <w:trHeight w:val="281" w:hRule="exact"/>
        </w:trPr>
        <w:tc>
          <w:tcPr>
            <w:tcW w:w="2402" w:type="dxa"/>
          </w:tcPr>
          <w:p>
            <w:pPr>
              <w:pStyle w:val="TableParagraph"/>
              <w:spacing w:before="19"/>
              <w:ind w:left="71"/>
              <w:jc w:val="left"/>
              <w:rPr>
                <w:sz w:val="19"/>
              </w:rPr>
            </w:pPr>
            <w:r>
              <w:rPr>
                <w:w w:val="105"/>
                <w:sz w:val="19"/>
              </w:rPr>
              <w:t>Puebla</w:t>
            </w:r>
          </w:p>
        </w:tc>
        <w:tc>
          <w:tcPr>
            <w:tcW w:w="2242" w:type="dxa"/>
          </w:tcPr>
          <w:p>
            <w:pPr>
              <w:pStyle w:val="TableParagraph"/>
              <w:spacing w:before="19"/>
              <w:ind w:right="830"/>
              <w:rPr>
                <w:sz w:val="19"/>
              </w:rPr>
            </w:pPr>
            <w:r>
              <w:rPr>
                <w:w w:val="105"/>
                <w:sz w:val="19"/>
              </w:rPr>
              <w:t>1 305</w:t>
            </w:r>
          </w:p>
        </w:tc>
        <w:tc>
          <w:tcPr>
            <w:tcW w:w="1745" w:type="dxa"/>
          </w:tcPr>
          <w:p>
            <w:pPr>
              <w:pStyle w:val="TableParagraph"/>
              <w:spacing w:before="19"/>
              <w:ind w:right="67"/>
              <w:rPr>
                <w:sz w:val="19"/>
              </w:rPr>
            </w:pPr>
            <w:r>
              <w:rPr>
                <w:sz w:val="19"/>
              </w:rPr>
              <w:t>6.2</w:t>
            </w:r>
          </w:p>
        </w:tc>
      </w:tr>
      <w:tr>
        <w:trPr>
          <w:trHeight w:val="286" w:hRule="exact"/>
        </w:trPr>
        <w:tc>
          <w:tcPr>
            <w:tcW w:w="2402" w:type="dxa"/>
          </w:tcPr>
          <w:p>
            <w:pPr>
              <w:pStyle w:val="TableParagraph"/>
              <w:spacing w:before="26"/>
              <w:ind w:left="71"/>
              <w:jc w:val="left"/>
              <w:rPr>
                <w:sz w:val="19"/>
              </w:rPr>
            </w:pPr>
            <w:r>
              <w:rPr>
                <w:w w:val="105"/>
                <w:sz w:val="19"/>
              </w:rPr>
              <w:t>Veracruz</w:t>
            </w:r>
          </w:p>
        </w:tc>
        <w:tc>
          <w:tcPr>
            <w:tcW w:w="2242" w:type="dxa"/>
          </w:tcPr>
          <w:p>
            <w:pPr>
              <w:pStyle w:val="TableParagraph"/>
              <w:spacing w:before="26"/>
              <w:ind w:right="830"/>
              <w:rPr>
                <w:sz w:val="19"/>
              </w:rPr>
            </w:pPr>
            <w:r>
              <w:rPr>
                <w:w w:val="105"/>
                <w:sz w:val="19"/>
              </w:rPr>
              <w:t>1 294</w:t>
            </w:r>
          </w:p>
        </w:tc>
        <w:tc>
          <w:tcPr>
            <w:tcW w:w="1745" w:type="dxa"/>
          </w:tcPr>
          <w:p>
            <w:pPr>
              <w:pStyle w:val="TableParagraph"/>
              <w:spacing w:before="26"/>
              <w:ind w:right="67"/>
              <w:rPr>
                <w:sz w:val="19"/>
              </w:rPr>
            </w:pPr>
            <w:r>
              <w:rPr>
                <w:sz w:val="19"/>
              </w:rPr>
              <w:t>6.1</w:t>
            </w:r>
          </w:p>
        </w:tc>
      </w:tr>
      <w:tr>
        <w:trPr>
          <w:trHeight w:val="283" w:hRule="exact"/>
        </w:trPr>
        <w:tc>
          <w:tcPr>
            <w:tcW w:w="2402" w:type="dxa"/>
          </w:tcPr>
          <w:p>
            <w:pPr>
              <w:pStyle w:val="TableParagraph"/>
              <w:spacing w:before="24"/>
              <w:ind w:left="71"/>
              <w:jc w:val="left"/>
              <w:rPr>
                <w:sz w:val="19"/>
              </w:rPr>
            </w:pPr>
            <w:r>
              <w:rPr>
                <w:w w:val="105"/>
                <w:sz w:val="19"/>
              </w:rPr>
              <w:t>Oaxaca</w:t>
            </w:r>
          </w:p>
        </w:tc>
        <w:tc>
          <w:tcPr>
            <w:tcW w:w="2242" w:type="dxa"/>
          </w:tcPr>
          <w:p>
            <w:pPr>
              <w:pStyle w:val="TableParagraph"/>
              <w:spacing w:before="24"/>
              <w:ind w:right="830"/>
              <w:rPr>
                <w:sz w:val="19"/>
              </w:rPr>
            </w:pPr>
            <w:r>
              <w:rPr>
                <w:w w:val="105"/>
                <w:sz w:val="19"/>
              </w:rPr>
              <w:t>1 204</w:t>
            </w:r>
          </w:p>
        </w:tc>
        <w:tc>
          <w:tcPr>
            <w:tcW w:w="1745" w:type="dxa"/>
          </w:tcPr>
          <w:p>
            <w:pPr>
              <w:pStyle w:val="TableParagraph"/>
              <w:spacing w:before="24"/>
              <w:ind w:right="67"/>
              <w:rPr>
                <w:sz w:val="19"/>
              </w:rPr>
            </w:pPr>
            <w:r>
              <w:rPr>
                <w:sz w:val="19"/>
              </w:rPr>
              <w:t>5.7</w:t>
            </w:r>
          </w:p>
        </w:tc>
      </w:tr>
      <w:tr>
        <w:trPr>
          <w:trHeight w:val="278" w:hRule="exact"/>
        </w:trPr>
        <w:tc>
          <w:tcPr>
            <w:tcW w:w="2402" w:type="dxa"/>
          </w:tcPr>
          <w:p>
            <w:pPr>
              <w:pStyle w:val="TableParagraph"/>
              <w:spacing w:before="24"/>
              <w:ind w:left="71"/>
              <w:jc w:val="left"/>
              <w:rPr>
                <w:sz w:val="19"/>
              </w:rPr>
            </w:pPr>
            <w:r>
              <w:rPr>
                <w:w w:val="105"/>
                <w:sz w:val="19"/>
              </w:rPr>
              <w:t>Guerrero</w:t>
            </w:r>
          </w:p>
        </w:tc>
        <w:tc>
          <w:tcPr>
            <w:tcW w:w="2242" w:type="dxa"/>
          </w:tcPr>
          <w:p>
            <w:pPr>
              <w:pStyle w:val="TableParagraph"/>
              <w:spacing w:before="24"/>
              <w:ind w:right="830"/>
              <w:rPr>
                <w:sz w:val="19"/>
              </w:rPr>
            </w:pPr>
            <w:r>
              <w:rPr>
                <w:w w:val="105"/>
                <w:sz w:val="19"/>
              </w:rPr>
              <w:t>1 149</w:t>
            </w:r>
          </w:p>
        </w:tc>
        <w:tc>
          <w:tcPr>
            <w:tcW w:w="1745" w:type="dxa"/>
          </w:tcPr>
          <w:p>
            <w:pPr>
              <w:pStyle w:val="TableParagraph"/>
              <w:spacing w:before="24"/>
              <w:ind w:right="67"/>
              <w:rPr>
                <w:sz w:val="19"/>
              </w:rPr>
            </w:pPr>
            <w:r>
              <w:rPr>
                <w:sz w:val="19"/>
              </w:rPr>
              <w:t>5.4</w:t>
            </w:r>
          </w:p>
        </w:tc>
      </w:tr>
      <w:tr>
        <w:trPr>
          <w:trHeight w:val="283" w:hRule="exact"/>
        </w:trPr>
        <w:tc>
          <w:tcPr>
            <w:tcW w:w="2402" w:type="dxa"/>
          </w:tcPr>
          <w:p>
            <w:pPr>
              <w:pStyle w:val="TableParagraph"/>
              <w:spacing w:before="19"/>
              <w:ind w:left="71"/>
              <w:jc w:val="left"/>
              <w:rPr>
                <w:sz w:val="19"/>
              </w:rPr>
            </w:pPr>
            <w:r>
              <w:rPr>
                <w:w w:val="105"/>
                <w:sz w:val="19"/>
              </w:rPr>
              <w:t>Distrito Federal</w:t>
            </w:r>
          </w:p>
        </w:tc>
        <w:tc>
          <w:tcPr>
            <w:tcW w:w="2242" w:type="dxa"/>
          </w:tcPr>
          <w:p>
            <w:pPr>
              <w:pStyle w:val="TableParagraph"/>
              <w:spacing w:before="19"/>
              <w:ind w:right="830"/>
              <w:rPr>
                <w:sz w:val="19"/>
              </w:rPr>
            </w:pPr>
            <w:r>
              <w:rPr>
                <w:sz w:val="19"/>
              </w:rPr>
              <w:t>981</w:t>
            </w:r>
          </w:p>
        </w:tc>
        <w:tc>
          <w:tcPr>
            <w:tcW w:w="1745" w:type="dxa"/>
          </w:tcPr>
          <w:p>
            <w:pPr>
              <w:pStyle w:val="TableParagraph"/>
              <w:spacing w:before="19"/>
              <w:ind w:right="67"/>
              <w:rPr>
                <w:sz w:val="19"/>
              </w:rPr>
            </w:pPr>
            <w:r>
              <w:rPr>
                <w:sz w:val="19"/>
              </w:rPr>
              <w:t>4.6</w:t>
            </w:r>
          </w:p>
        </w:tc>
      </w:tr>
      <w:tr>
        <w:trPr>
          <w:trHeight w:val="286" w:hRule="exact"/>
        </w:trPr>
        <w:tc>
          <w:tcPr>
            <w:tcW w:w="2402" w:type="dxa"/>
          </w:tcPr>
          <w:p>
            <w:pPr>
              <w:pStyle w:val="TableParagraph"/>
              <w:spacing w:before="29"/>
              <w:ind w:left="71"/>
              <w:jc w:val="left"/>
              <w:rPr>
                <w:sz w:val="19"/>
              </w:rPr>
            </w:pPr>
            <w:r>
              <w:rPr>
                <w:w w:val="105"/>
                <w:sz w:val="19"/>
              </w:rPr>
              <w:t>Hidalgo</w:t>
            </w:r>
          </w:p>
        </w:tc>
        <w:tc>
          <w:tcPr>
            <w:tcW w:w="2242" w:type="dxa"/>
          </w:tcPr>
          <w:p>
            <w:pPr>
              <w:pStyle w:val="TableParagraph"/>
              <w:spacing w:before="29"/>
              <w:ind w:right="830"/>
              <w:rPr>
                <w:sz w:val="19"/>
              </w:rPr>
            </w:pPr>
            <w:r>
              <w:rPr>
                <w:sz w:val="19"/>
              </w:rPr>
              <w:t>737</w:t>
            </w:r>
          </w:p>
        </w:tc>
        <w:tc>
          <w:tcPr>
            <w:tcW w:w="1745" w:type="dxa"/>
          </w:tcPr>
          <w:p>
            <w:pPr>
              <w:pStyle w:val="TableParagraph"/>
              <w:spacing w:before="29"/>
              <w:ind w:right="67"/>
              <w:rPr>
                <w:sz w:val="19"/>
              </w:rPr>
            </w:pPr>
            <w:r>
              <w:rPr>
                <w:sz w:val="19"/>
              </w:rPr>
              <w:t>3.5</w:t>
            </w:r>
          </w:p>
        </w:tc>
      </w:tr>
      <w:tr>
        <w:trPr>
          <w:trHeight w:val="283" w:hRule="exact"/>
        </w:trPr>
        <w:tc>
          <w:tcPr>
            <w:tcW w:w="2402" w:type="dxa"/>
          </w:tcPr>
          <w:p>
            <w:pPr>
              <w:pStyle w:val="TableParagraph"/>
              <w:spacing w:before="21"/>
              <w:ind w:left="71"/>
              <w:jc w:val="left"/>
              <w:rPr>
                <w:sz w:val="19"/>
              </w:rPr>
            </w:pPr>
            <w:r>
              <w:rPr>
                <w:w w:val="105"/>
                <w:sz w:val="19"/>
              </w:rPr>
              <w:t>San Luis Potosí</w:t>
            </w:r>
          </w:p>
        </w:tc>
        <w:tc>
          <w:tcPr>
            <w:tcW w:w="2242" w:type="dxa"/>
          </w:tcPr>
          <w:p>
            <w:pPr>
              <w:pStyle w:val="TableParagraph"/>
              <w:spacing w:before="21"/>
              <w:ind w:right="830"/>
              <w:rPr>
                <w:sz w:val="19"/>
              </w:rPr>
            </w:pPr>
            <w:r>
              <w:rPr>
                <w:sz w:val="19"/>
              </w:rPr>
              <w:t>631</w:t>
            </w:r>
          </w:p>
        </w:tc>
        <w:tc>
          <w:tcPr>
            <w:tcW w:w="1745" w:type="dxa"/>
          </w:tcPr>
          <w:p>
            <w:pPr>
              <w:pStyle w:val="TableParagraph"/>
              <w:spacing w:before="21"/>
              <w:ind w:right="67"/>
              <w:rPr>
                <w:sz w:val="19"/>
              </w:rPr>
            </w:pPr>
            <w:r>
              <w:rPr>
                <w:sz w:val="19"/>
              </w:rPr>
              <w:t>3.0</w:t>
            </w:r>
          </w:p>
        </w:tc>
      </w:tr>
      <w:tr>
        <w:trPr>
          <w:trHeight w:val="288" w:hRule="exact"/>
        </w:trPr>
        <w:tc>
          <w:tcPr>
            <w:tcW w:w="2402" w:type="dxa"/>
          </w:tcPr>
          <w:p>
            <w:pPr>
              <w:pStyle w:val="TableParagraph"/>
              <w:spacing w:before="26"/>
              <w:ind w:left="71"/>
              <w:jc w:val="left"/>
              <w:rPr>
                <w:sz w:val="19"/>
              </w:rPr>
            </w:pPr>
            <w:r>
              <w:rPr>
                <w:w w:val="105"/>
                <w:sz w:val="19"/>
              </w:rPr>
              <w:t>Chiapas</w:t>
            </w:r>
          </w:p>
        </w:tc>
        <w:tc>
          <w:tcPr>
            <w:tcW w:w="2242" w:type="dxa"/>
          </w:tcPr>
          <w:p>
            <w:pPr>
              <w:pStyle w:val="TableParagraph"/>
              <w:spacing w:before="26"/>
              <w:ind w:right="830"/>
              <w:rPr>
                <w:sz w:val="19"/>
              </w:rPr>
            </w:pPr>
            <w:r>
              <w:rPr>
                <w:sz w:val="19"/>
              </w:rPr>
              <w:t>606</w:t>
            </w:r>
          </w:p>
        </w:tc>
        <w:tc>
          <w:tcPr>
            <w:tcW w:w="1745" w:type="dxa"/>
          </w:tcPr>
          <w:p>
            <w:pPr>
              <w:pStyle w:val="TableParagraph"/>
              <w:spacing w:before="26"/>
              <w:ind w:right="67"/>
              <w:rPr>
                <w:sz w:val="19"/>
              </w:rPr>
            </w:pPr>
            <w:r>
              <w:rPr>
                <w:sz w:val="19"/>
              </w:rPr>
              <w:t>2.9</w:t>
            </w:r>
          </w:p>
        </w:tc>
      </w:tr>
      <w:tr>
        <w:trPr>
          <w:trHeight w:val="286" w:hRule="exact"/>
        </w:trPr>
        <w:tc>
          <w:tcPr>
            <w:tcW w:w="2402" w:type="dxa"/>
          </w:tcPr>
          <w:p>
            <w:pPr>
              <w:pStyle w:val="TableParagraph"/>
              <w:spacing w:before="26"/>
              <w:ind w:left="71"/>
              <w:jc w:val="left"/>
              <w:rPr>
                <w:sz w:val="19"/>
              </w:rPr>
            </w:pPr>
            <w:r>
              <w:rPr>
                <w:w w:val="105"/>
                <w:sz w:val="19"/>
              </w:rPr>
              <w:t>Zacatecas</w:t>
            </w:r>
          </w:p>
        </w:tc>
        <w:tc>
          <w:tcPr>
            <w:tcW w:w="2242" w:type="dxa"/>
          </w:tcPr>
          <w:p>
            <w:pPr>
              <w:pStyle w:val="TableParagraph"/>
              <w:spacing w:before="26"/>
              <w:ind w:right="830"/>
              <w:rPr>
                <w:sz w:val="19"/>
              </w:rPr>
            </w:pPr>
            <w:r>
              <w:rPr>
                <w:sz w:val="19"/>
              </w:rPr>
              <w:t>570</w:t>
            </w:r>
          </w:p>
        </w:tc>
        <w:tc>
          <w:tcPr>
            <w:tcW w:w="1745" w:type="dxa"/>
          </w:tcPr>
          <w:p>
            <w:pPr>
              <w:pStyle w:val="TableParagraph"/>
              <w:spacing w:before="26"/>
              <w:ind w:right="67"/>
              <w:rPr>
                <w:sz w:val="19"/>
              </w:rPr>
            </w:pPr>
            <w:r>
              <w:rPr>
                <w:sz w:val="19"/>
              </w:rPr>
              <w:t>2.7</w:t>
            </w:r>
          </w:p>
        </w:tc>
      </w:tr>
      <w:tr>
        <w:trPr>
          <w:trHeight w:val="283" w:hRule="exact"/>
        </w:trPr>
        <w:tc>
          <w:tcPr>
            <w:tcW w:w="2402" w:type="dxa"/>
          </w:tcPr>
          <w:p>
            <w:pPr>
              <w:pStyle w:val="TableParagraph"/>
              <w:spacing w:before="24"/>
              <w:ind w:left="71"/>
              <w:jc w:val="left"/>
              <w:rPr>
                <w:sz w:val="19"/>
              </w:rPr>
            </w:pPr>
            <w:r>
              <w:rPr>
                <w:w w:val="105"/>
                <w:sz w:val="19"/>
              </w:rPr>
              <w:t>Morelos</w:t>
            </w:r>
          </w:p>
        </w:tc>
        <w:tc>
          <w:tcPr>
            <w:tcW w:w="2242" w:type="dxa"/>
          </w:tcPr>
          <w:p>
            <w:pPr>
              <w:pStyle w:val="TableParagraph"/>
              <w:spacing w:before="24"/>
              <w:ind w:right="830"/>
              <w:rPr>
                <w:sz w:val="19"/>
              </w:rPr>
            </w:pPr>
            <w:r>
              <w:rPr>
                <w:sz w:val="19"/>
              </w:rPr>
              <w:t>542</w:t>
            </w:r>
          </w:p>
        </w:tc>
        <w:tc>
          <w:tcPr>
            <w:tcW w:w="1745" w:type="dxa"/>
          </w:tcPr>
          <w:p>
            <w:pPr>
              <w:pStyle w:val="TableParagraph"/>
              <w:spacing w:before="24"/>
              <w:ind w:right="67"/>
              <w:rPr>
                <w:sz w:val="19"/>
              </w:rPr>
            </w:pPr>
            <w:r>
              <w:rPr>
                <w:sz w:val="19"/>
              </w:rPr>
              <w:t>2.6</w:t>
            </w:r>
          </w:p>
        </w:tc>
      </w:tr>
      <w:tr>
        <w:trPr>
          <w:trHeight w:val="286" w:hRule="exact"/>
        </w:trPr>
        <w:tc>
          <w:tcPr>
            <w:tcW w:w="2402" w:type="dxa"/>
          </w:tcPr>
          <w:p>
            <w:pPr>
              <w:pStyle w:val="TableParagraph"/>
              <w:spacing w:before="24"/>
              <w:ind w:left="71"/>
              <w:jc w:val="left"/>
              <w:rPr>
                <w:sz w:val="19"/>
              </w:rPr>
            </w:pPr>
            <w:r>
              <w:rPr>
                <w:w w:val="105"/>
                <w:sz w:val="19"/>
              </w:rPr>
              <w:t>Sinaloa</w:t>
            </w:r>
          </w:p>
        </w:tc>
        <w:tc>
          <w:tcPr>
            <w:tcW w:w="2242" w:type="dxa"/>
          </w:tcPr>
          <w:p>
            <w:pPr>
              <w:pStyle w:val="TableParagraph"/>
              <w:spacing w:before="24"/>
              <w:ind w:right="830"/>
              <w:rPr>
                <w:sz w:val="19"/>
              </w:rPr>
            </w:pPr>
            <w:r>
              <w:rPr>
                <w:sz w:val="19"/>
              </w:rPr>
              <w:t>458</w:t>
            </w:r>
          </w:p>
        </w:tc>
        <w:tc>
          <w:tcPr>
            <w:tcW w:w="1745" w:type="dxa"/>
          </w:tcPr>
          <w:p>
            <w:pPr>
              <w:pStyle w:val="TableParagraph"/>
              <w:spacing w:before="24"/>
              <w:ind w:right="67"/>
              <w:rPr>
                <w:sz w:val="19"/>
              </w:rPr>
            </w:pPr>
            <w:r>
              <w:rPr>
                <w:sz w:val="19"/>
              </w:rPr>
              <w:t>2.2</w:t>
            </w:r>
          </w:p>
        </w:tc>
      </w:tr>
      <w:tr>
        <w:trPr>
          <w:trHeight w:val="283" w:hRule="exact"/>
        </w:trPr>
        <w:tc>
          <w:tcPr>
            <w:tcW w:w="2402" w:type="dxa"/>
          </w:tcPr>
          <w:p>
            <w:pPr>
              <w:pStyle w:val="TableParagraph"/>
              <w:spacing w:before="26"/>
              <w:ind w:left="71"/>
              <w:jc w:val="left"/>
              <w:rPr>
                <w:sz w:val="19"/>
              </w:rPr>
            </w:pPr>
            <w:r>
              <w:rPr>
                <w:w w:val="105"/>
                <w:sz w:val="19"/>
              </w:rPr>
              <w:t>Tamaulipas</w:t>
            </w:r>
          </w:p>
        </w:tc>
        <w:tc>
          <w:tcPr>
            <w:tcW w:w="2242" w:type="dxa"/>
          </w:tcPr>
          <w:p>
            <w:pPr>
              <w:pStyle w:val="TableParagraph"/>
              <w:spacing w:before="26"/>
              <w:ind w:right="830"/>
              <w:rPr>
                <w:sz w:val="19"/>
              </w:rPr>
            </w:pPr>
            <w:r>
              <w:rPr>
                <w:sz w:val="19"/>
              </w:rPr>
              <w:t>424</w:t>
            </w:r>
          </w:p>
        </w:tc>
        <w:tc>
          <w:tcPr>
            <w:tcW w:w="1745" w:type="dxa"/>
          </w:tcPr>
          <w:p>
            <w:pPr>
              <w:pStyle w:val="TableParagraph"/>
              <w:spacing w:before="26"/>
              <w:ind w:right="67"/>
              <w:rPr>
                <w:sz w:val="19"/>
              </w:rPr>
            </w:pPr>
            <w:r>
              <w:rPr>
                <w:sz w:val="19"/>
              </w:rPr>
              <w:t>2.0</w:t>
            </w:r>
          </w:p>
        </w:tc>
      </w:tr>
      <w:tr>
        <w:trPr>
          <w:trHeight w:val="281" w:hRule="exact"/>
        </w:trPr>
        <w:tc>
          <w:tcPr>
            <w:tcW w:w="2402" w:type="dxa"/>
          </w:tcPr>
          <w:p>
            <w:pPr>
              <w:pStyle w:val="TableParagraph"/>
              <w:spacing w:before="22"/>
              <w:ind w:left="71"/>
              <w:jc w:val="left"/>
              <w:rPr>
                <w:sz w:val="19"/>
              </w:rPr>
            </w:pPr>
            <w:r>
              <w:rPr>
                <w:w w:val="105"/>
                <w:sz w:val="19"/>
              </w:rPr>
              <w:t>Chihuahua</w:t>
            </w:r>
          </w:p>
        </w:tc>
        <w:tc>
          <w:tcPr>
            <w:tcW w:w="2242" w:type="dxa"/>
          </w:tcPr>
          <w:p>
            <w:pPr>
              <w:pStyle w:val="TableParagraph"/>
              <w:spacing w:before="22"/>
              <w:ind w:right="830"/>
              <w:rPr>
                <w:sz w:val="19"/>
              </w:rPr>
            </w:pPr>
            <w:r>
              <w:rPr>
                <w:sz w:val="19"/>
              </w:rPr>
              <w:t>410</w:t>
            </w:r>
          </w:p>
        </w:tc>
        <w:tc>
          <w:tcPr>
            <w:tcW w:w="1745" w:type="dxa"/>
          </w:tcPr>
          <w:p>
            <w:pPr>
              <w:pStyle w:val="TableParagraph"/>
              <w:spacing w:before="22"/>
              <w:ind w:right="67"/>
              <w:rPr>
                <w:sz w:val="19"/>
              </w:rPr>
            </w:pPr>
            <w:r>
              <w:rPr>
                <w:sz w:val="19"/>
              </w:rPr>
              <w:t>1.9</w:t>
            </w:r>
          </w:p>
        </w:tc>
      </w:tr>
      <w:tr>
        <w:trPr>
          <w:trHeight w:val="283" w:hRule="exact"/>
        </w:trPr>
        <w:tc>
          <w:tcPr>
            <w:tcW w:w="2402" w:type="dxa"/>
          </w:tcPr>
          <w:p>
            <w:pPr>
              <w:pStyle w:val="TableParagraph"/>
              <w:spacing w:before="24"/>
              <w:ind w:left="71"/>
              <w:jc w:val="left"/>
              <w:rPr>
                <w:sz w:val="19"/>
              </w:rPr>
            </w:pPr>
            <w:r>
              <w:rPr>
                <w:w w:val="105"/>
                <w:sz w:val="19"/>
              </w:rPr>
              <w:t>Durango</w:t>
            </w:r>
          </w:p>
        </w:tc>
        <w:tc>
          <w:tcPr>
            <w:tcW w:w="2242" w:type="dxa"/>
          </w:tcPr>
          <w:p>
            <w:pPr>
              <w:pStyle w:val="TableParagraph"/>
              <w:spacing w:before="24"/>
              <w:ind w:right="830"/>
              <w:rPr>
                <w:sz w:val="19"/>
              </w:rPr>
            </w:pPr>
            <w:r>
              <w:rPr>
                <w:sz w:val="19"/>
              </w:rPr>
              <w:t>381</w:t>
            </w:r>
          </w:p>
        </w:tc>
        <w:tc>
          <w:tcPr>
            <w:tcW w:w="1745" w:type="dxa"/>
          </w:tcPr>
          <w:p>
            <w:pPr>
              <w:pStyle w:val="TableParagraph"/>
              <w:spacing w:before="24"/>
              <w:ind w:right="67"/>
              <w:rPr>
                <w:sz w:val="19"/>
              </w:rPr>
            </w:pPr>
            <w:r>
              <w:rPr>
                <w:sz w:val="19"/>
              </w:rPr>
              <w:t>1.8</w:t>
            </w:r>
          </w:p>
        </w:tc>
      </w:tr>
      <w:tr>
        <w:trPr>
          <w:trHeight w:val="281" w:hRule="exact"/>
        </w:trPr>
        <w:tc>
          <w:tcPr>
            <w:tcW w:w="2402" w:type="dxa"/>
          </w:tcPr>
          <w:p>
            <w:pPr>
              <w:pStyle w:val="TableParagraph"/>
              <w:spacing w:before="24"/>
              <w:ind w:left="71"/>
              <w:jc w:val="left"/>
              <w:rPr>
                <w:sz w:val="19"/>
              </w:rPr>
            </w:pPr>
            <w:r>
              <w:rPr>
                <w:w w:val="105"/>
                <w:sz w:val="19"/>
              </w:rPr>
              <w:t>Querétaro</w:t>
            </w:r>
          </w:p>
        </w:tc>
        <w:tc>
          <w:tcPr>
            <w:tcW w:w="2242" w:type="dxa"/>
          </w:tcPr>
          <w:p>
            <w:pPr>
              <w:pStyle w:val="TableParagraph"/>
              <w:spacing w:before="24"/>
              <w:ind w:right="830"/>
              <w:rPr>
                <w:sz w:val="19"/>
              </w:rPr>
            </w:pPr>
            <w:r>
              <w:rPr>
                <w:sz w:val="19"/>
              </w:rPr>
              <w:t>364</w:t>
            </w:r>
          </w:p>
        </w:tc>
        <w:tc>
          <w:tcPr>
            <w:tcW w:w="1745" w:type="dxa"/>
          </w:tcPr>
          <w:p>
            <w:pPr>
              <w:pStyle w:val="TableParagraph"/>
              <w:spacing w:before="24"/>
              <w:ind w:right="67"/>
              <w:rPr>
                <w:sz w:val="19"/>
              </w:rPr>
            </w:pPr>
            <w:r>
              <w:rPr>
                <w:sz w:val="19"/>
              </w:rPr>
              <w:t>1.7</w:t>
            </w:r>
          </w:p>
        </w:tc>
      </w:tr>
      <w:tr>
        <w:trPr>
          <w:trHeight w:val="286" w:hRule="exact"/>
        </w:trPr>
        <w:tc>
          <w:tcPr>
            <w:tcW w:w="2402" w:type="dxa"/>
          </w:tcPr>
          <w:p>
            <w:pPr>
              <w:pStyle w:val="TableParagraph"/>
              <w:spacing w:before="21"/>
              <w:ind w:left="71"/>
              <w:jc w:val="left"/>
              <w:rPr>
                <w:sz w:val="19"/>
              </w:rPr>
            </w:pPr>
            <w:r>
              <w:rPr>
                <w:w w:val="105"/>
                <w:sz w:val="19"/>
              </w:rPr>
              <w:t>Nayarit</w:t>
            </w:r>
          </w:p>
        </w:tc>
        <w:tc>
          <w:tcPr>
            <w:tcW w:w="2242" w:type="dxa"/>
          </w:tcPr>
          <w:p>
            <w:pPr>
              <w:pStyle w:val="TableParagraph"/>
              <w:spacing w:before="21"/>
              <w:ind w:right="830"/>
              <w:rPr>
                <w:sz w:val="19"/>
              </w:rPr>
            </w:pPr>
            <w:r>
              <w:rPr>
                <w:sz w:val="19"/>
              </w:rPr>
              <w:t>348</w:t>
            </w:r>
          </w:p>
        </w:tc>
        <w:tc>
          <w:tcPr>
            <w:tcW w:w="1745" w:type="dxa"/>
          </w:tcPr>
          <w:p>
            <w:pPr>
              <w:pStyle w:val="TableParagraph"/>
              <w:spacing w:before="21"/>
              <w:ind w:right="67"/>
              <w:rPr>
                <w:sz w:val="19"/>
              </w:rPr>
            </w:pPr>
            <w:r>
              <w:rPr>
                <w:sz w:val="19"/>
              </w:rPr>
              <w:t>1.6</w:t>
            </w:r>
          </w:p>
        </w:tc>
      </w:tr>
      <w:tr>
        <w:trPr>
          <w:trHeight w:val="281" w:hRule="exact"/>
        </w:trPr>
        <w:tc>
          <w:tcPr>
            <w:tcW w:w="2402" w:type="dxa"/>
          </w:tcPr>
          <w:p>
            <w:pPr>
              <w:pStyle w:val="TableParagraph"/>
              <w:spacing w:before="29"/>
              <w:ind w:left="71"/>
              <w:jc w:val="left"/>
              <w:rPr>
                <w:sz w:val="19"/>
              </w:rPr>
            </w:pPr>
            <w:r>
              <w:rPr>
                <w:w w:val="105"/>
                <w:sz w:val="19"/>
              </w:rPr>
              <w:t>Baja California</w:t>
            </w:r>
          </w:p>
        </w:tc>
        <w:tc>
          <w:tcPr>
            <w:tcW w:w="2242" w:type="dxa"/>
          </w:tcPr>
          <w:p>
            <w:pPr>
              <w:pStyle w:val="TableParagraph"/>
              <w:spacing w:before="29"/>
              <w:ind w:right="830"/>
              <w:rPr>
                <w:sz w:val="19"/>
              </w:rPr>
            </w:pPr>
            <w:r>
              <w:rPr>
                <w:sz w:val="19"/>
              </w:rPr>
              <w:t>329</w:t>
            </w:r>
          </w:p>
        </w:tc>
        <w:tc>
          <w:tcPr>
            <w:tcW w:w="1745" w:type="dxa"/>
          </w:tcPr>
          <w:p>
            <w:pPr>
              <w:pStyle w:val="TableParagraph"/>
              <w:spacing w:before="29"/>
              <w:ind w:right="67"/>
              <w:rPr>
                <w:sz w:val="19"/>
              </w:rPr>
            </w:pPr>
            <w:r>
              <w:rPr>
                <w:sz w:val="19"/>
              </w:rPr>
              <w:t>1.6</w:t>
            </w:r>
          </w:p>
        </w:tc>
      </w:tr>
      <w:tr>
        <w:trPr>
          <w:trHeight w:val="278" w:hRule="exact"/>
        </w:trPr>
        <w:tc>
          <w:tcPr>
            <w:tcW w:w="2402" w:type="dxa"/>
          </w:tcPr>
          <w:p>
            <w:pPr>
              <w:pStyle w:val="TableParagraph"/>
              <w:spacing w:before="17"/>
              <w:ind w:left="71"/>
              <w:jc w:val="left"/>
              <w:rPr>
                <w:sz w:val="19"/>
              </w:rPr>
            </w:pPr>
            <w:r>
              <w:rPr>
                <w:w w:val="105"/>
                <w:sz w:val="19"/>
              </w:rPr>
              <w:t>Nuevo León</w:t>
            </w:r>
          </w:p>
        </w:tc>
        <w:tc>
          <w:tcPr>
            <w:tcW w:w="2242" w:type="dxa"/>
          </w:tcPr>
          <w:p>
            <w:pPr>
              <w:pStyle w:val="TableParagraph"/>
              <w:spacing w:before="17"/>
              <w:ind w:right="830"/>
              <w:rPr>
                <w:sz w:val="19"/>
              </w:rPr>
            </w:pPr>
            <w:r>
              <w:rPr>
                <w:sz w:val="19"/>
              </w:rPr>
              <w:t>299</w:t>
            </w:r>
          </w:p>
        </w:tc>
        <w:tc>
          <w:tcPr>
            <w:tcW w:w="1745" w:type="dxa"/>
          </w:tcPr>
          <w:p>
            <w:pPr>
              <w:pStyle w:val="TableParagraph"/>
              <w:spacing w:before="17"/>
              <w:ind w:right="67"/>
              <w:rPr>
                <w:sz w:val="19"/>
              </w:rPr>
            </w:pPr>
            <w:r>
              <w:rPr>
                <w:sz w:val="19"/>
              </w:rPr>
              <w:t>1.4</w:t>
            </w:r>
          </w:p>
        </w:tc>
      </w:tr>
      <w:tr>
        <w:trPr>
          <w:trHeight w:val="290" w:hRule="exact"/>
        </w:trPr>
        <w:tc>
          <w:tcPr>
            <w:tcW w:w="2402" w:type="dxa"/>
          </w:tcPr>
          <w:p>
            <w:pPr>
              <w:pStyle w:val="TableParagraph"/>
              <w:spacing w:before="26"/>
              <w:ind w:left="71"/>
              <w:jc w:val="left"/>
              <w:rPr>
                <w:sz w:val="19"/>
              </w:rPr>
            </w:pPr>
            <w:r>
              <w:rPr>
                <w:w w:val="105"/>
                <w:sz w:val="19"/>
              </w:rPr>
              <w:t>Sonora</w:t>
            </w:r>
          </w:p>
        </w:tc>
        <w:tc>
          <w:tcPr>
            <w:tcW w:w="2242" w:type="dxa"/>
          </w:tcPr>
          <w:p>
            <w:pPr>
              <w:pStyle w:val="TableParagraph"/>
              <w:spacing w:before="26"/>
              <w:ind w:right="830"/>
              <w:rPr>
                <w:sz w:val="19"/>
              </w:rPr>
            </w:pPr>
            <w:r>
              <w:rPr>
                <w:sz w:val="19"/>
              </w:rPr>
              <w:t>285</w:t>
            </w:r>
          </w:p>
        </w:tc>
        <w:tc>
          <w:tcPr>
            <w:tcW w:w="1745" w:type="dxa"/>
          </w:tcPr>
          <w:p>
            <w:pPr>
              <w:pStyle w:val="TableParagraph"/>
              <w:spacing w:before="26"/>
              <w:ind w:right="67"/>
              <w:rPr>
                <w:sz w:val="19"/>
              </w:rPr>
            </w:pPr>
            <w:r>
              <w:rPr>
                <w:sz w:val="19"/>
              </w:rPr>
              <w:t>1.3</w:t>
            </w:r>
          </w:p>
        </w:tc>
      </w:tr>
      <w:tr>
        <w:trPr>
          <w:trHeight w:val="288" w:hRule="exact"/>
        </w:trPr>
        <w:tc>
          <w:tcPr>
            <w:tcW w:w="2402" w:type="dxa"/>
          </w:tcPr>
          <w:p>
            <w:pPr>
              <w:pStyle w:val="TableParagraph"/>
              <w:spacing w:before="29"/>
              <w:ind w:left="71"/>
              <w:jc w:val="left"/>
              <w:rPr>
                <w:sz w:val="19"/>
              </w:rPr>
            </w:pPr>
            <w:r>
              <w:rPr>
                <w:w w:val="105"/>
                <w:sz w:val="19"/>
              </w:rPr>
              <w:t>Aguascalientes</w:t>
            </w:r>
          </w:p>
        </w:tc>
        <w:tc>
          <w:tcPr>
            <w:tcW w:w="2242" w:type="dxa"/>
          </w:tcPr>
          <w:p>
            <w:pPr>
              <w:pStyle w:val="TableParagraph"/>
              <w:spacing w:before="29"/>
              <w:ind w:right="830"/>
              <w:rPr>
                <w:sz w:val="19"/>
              </w:rPr>
            </w:pPr>
            <w:r>
              <w:rPr>
                <w:sz w:val="19"/>
              </w:rPr>
              <w:t>281</w:t>
            </w:r>
          </w:p>
        </w:tc>
        <w:tc>
          <w:tcPr>
            <w:tcW w:w="1745" w:type="dxa"/>
          </w:tcPr>
          <w:p>
            <w:pPr>
              <w:pStyle w:val="TableParagraph"/>
              <w:spacing w:before="29"/>
              <w:ind w:right="67"/>
              <w:rPr>
                <w:sz w:val="19"/>
              </w:rPr>
            </w:pPr>
            <w:r>
              <w:rPr>
                <w:sz w:val="19"/>
              </w:rPr>
              <w:t>1.3</w:t>
            </w:r>
          </w:p>
        </w:tc>
      </w:tr>
      <w:tr>
        <w:trPr>
          <w:trHeight w:val="276" w:hRule="exact"/>
        </w:trPr>
        <w:tc>
          <w:tcPr>
            <w:tcW w:w="2402" w:type="dxa"/>
          </w:tcPr>
          <w:p>
            <w:pPr>
              <w:pStyle w:val="TableParagraph"/>
              <w:spacing w:before="24"/>
              <w:ind w:left="71"/>
              <w:jc w:val="left"/>
              <w:rPr>
                <w:sz w:val="19"/>
              </w:rPr>
            </w:pPr>
            <w:r>
              <w:rPr>
                <w:w w:val="105"/>
                <w:sz w:val="19"/>
              </w:rPr>
              <w:t>Tlaxcala</w:t>
            </w:r>
          </w:p>
        </w:tc>
        <w:tc>
          <w:tcPr>
            <w:tcW w:w="2242" w:type="dxa"/>
          </w:tcPr>
          <w:p>
            <w:pPr>
              <w:pStyle w:val="TableParagraph"/>
              <w:spacing w:before="24"/>
              <w:ind w:right="830"/>
              <w:rPr>
                <w:sz w:val="19"/>
              </w:rPr>
            </w:pPr>
            <w:r>
              <w:rPr>
                <w:sz w:val="19"/>
              </w:rPr>
              <w:t>257</w:t>
            </w:r>
          </w:p>
        </w:tc>
        <w:tc>
          <w:tcPr>
            <w:tcW w:w="1745" w:type="dxa"/>
          </w:tcPr>
          <w:p>
            <w:pPr>
              <w:pStyle w:val="TableParagraph"/>
              <w:spacing w:before="24"/>
              <w:ind w:right="67"/>
              <w:rPr>
                <w:sz w:val="19"/>
              </w:rPr>
            </w:pPr>
            <w:r>
              <w:rPr>
                <w:sz w:val="19"/>
              </w:rPr>
              <w:t>1.2</w:t>
            </w:r>
          </w:p>
        </w:tc>
      </w:tr>
      <w:tr>
        <w:trPr>
          <w:trHeight w:val="281" w:hRule="exact"/>
        </w:trPr>
        <w:tc>
          <w:tcPr>
            <w:tcW w:w="2402" w:type="dxa"/>
          </w:tcPr>
          <w:p>
            <w:pPr>
              <w:pStyle w:val="TableParagraph"/>
              <w:spacing w:before="17"/>
              <w:ind w:left="71"/>
              <w:jc w:val="left"/>
              <w:rPr>
                <w:sz w:val="19"/>
              </w:rPr>
            </w:pPr>
            <w:r>
              <w:rPr>
                <w:w w:val="105"/>
                <w:sz w:val="19"/>
              </w:rPr>
              <w:t>Coahuila</w:t>
            </w:r>
          </w:p>
        </w:tc>
        <w:tc>
          <w:tcPr>
            <w:tcW w:w="2242" w:type="dxa"/>
          </w:tcPr>
          <w:p>
            <w:pPr>
              <w:pStyle w:val="TableParagraph"/>
              <w:spacing w:before="17"/>
              <w:ind w:right="830"/>
              <w:rPr>
                <w:sz w:val="19"/>
              </w:rPr>
            </w:pPr>
            <w:r>
              <w:rPr>
                <w:sz w:val="19"/>
              </w:rPr>
              <w:t>246</w:t>
            </w:r>
          </w:p>
        </w:tc>
        <w:tc>
          <w:tcPr>
            <w:tcW w:w="1745" w:type="dxa"/>
          </w:tcPr>
          <w:p>
            <w:pPr>
              <w:pStyle w:val="TableParagraph"/>
              <w:spacing w:before="17"/>
              <w:ind w:right="67"/>
              <w:rPr>
                <w:sz w:val="19"/>
              </w:rPr>
            </w:pPr>
            <w:r>
              <w:rPr>
                <w:sz w:val="19"/>
              </w:rPr>
              <w:t>1.2</w:t>
            </w:r>
          </w:p>
        </w:tc>
      </w:tr>
      <w:tr>
        <w:trPr>
          <w:trHeight w:val="286" w:hRule="exact"/>
        </w:trPr>
        <w:tc>
          <w:tcPr>
            <w:tcW w:w="2402" w:type="dxa"/>
          </w:tcPr>
          <w:p>
            <w:pPr>
              <w:pStyle w:val="TableParagraph"/>
              <w:spacing w:before="29"/>
              <w:ind w:left="71"/>
              <w:jc w:val="left"/>
              <w:rPr>
                <w:sz w:val="19"/>
              </w:rPr>
            </w:pPr>
            <w:r>
              <w:rPr>
                <w:w w:val="105"/>
                <w:sz w:val="19"/>
              </w:rPr>
              <w:t>Colima</w:t>
            </w:r>
          </w:p>
        </w:tc>
        <w:tc>
          <w:tcPr>
            <w:tcW w:w="2242" w:type="dxa"/>
          </w:tcPr>
          <w:p>
            <w:pPr>
              <w:pStyle w:val="TableParagraph"/>
              <w:spacing w:before="29"/>
              <w:ind w:right="830"/>
              <w:rPr>
                <w:sz w:val="19"/>
              </w:rPr>
            </w:pPr>
            <w:r>
              <w:rPr>
                <w:sz w:val="19"/>
              </w:rPr>
              <w:t>173</w:t>
            </w:r>
          </w:p>
        </w:tc>
        <w:tc>
          <w:tcPr>
            <w:tcW w:w="1745" w:type="dxa"/>
          </w:tcPr>
          <w:p>
            <w:pPr>
              <w:pStyle w:val="TableParagraph"/>
              <w:spacing w:before="29"/>
              <w:ind w:right="67"/>
              <w:rPr>
                <w:sz w:val="19"/>
              </w:rPr>
            </w:pPr>
            <w:r>
              <w:rPr>
                <w:sz w:val="19"/>
              </w:rPr>
              <w:t>0.8</w:t>
            </w:r>
          </w:p>
        </w:tc>
      </w:tr>
      <w:tr>
        <w:trPr>
          <w:trHeight w:val="281" w:hRule="exact"/>
        </w:trPr>
        <w:tc>
          <w:tcPr>
            <w:tcW w:w="2402" w:type="dxa"/>
          </w:tcPr>
          <w:p>
            <w:pPr>
              <w:pStyle w:val="TableParagraph"/>
              <w:spacing w:before="21"/>
              <w:ind w:left="71"/>
              <w:jc w:val="left"/>
              <w:rPr>
                <w:sz w:val="19"/>
              </w:rPr>
            </w:pPr>
            <w:r>
              <w:rPr>
                <w:w w:val="105"/>
                <w:sz w:val="19"/>
              </w:rPr>
              <w:t>Tabasco</w:t>
            </w:r>
          </w:p>
        </w:tc>
        <w:tc>
          <w:tcPr>
            <w:tcW w:w="2242" w:type="dxa"/>
          </w:tcPr>
          <w:p>
            <w:pPr>
              <w:pStyle w:val="TableParagraph"/>
              <w:spacing w:before="21"/>
              <w:ind w:right="830"/>
              <w:rPr>
                <w:sz w:val="19"/>
              </w:rPr>
            </w:pPr>
            <w:r>
              <w:rPr>
                <w:sz w:val="19"/>
              </w:rPr>
              <w:t>117</w:t>
            </w:r>
          </w:p>
        </w:tc>
        <w:tc>
          <w:tcPr>
            <w:tcW w:w="1745" w:type="dxa"/>
          </w:tcPr>
          <w:p>
            <w:pPr>
              <w:pStyle w:val="TableParagraph"/>
              <w:spacing w:before="21"/>
              <w:ind w:right="67"/>
              <w:rPr>
                <w:sz w:val="19"/>
              </w:rPr>
            </w:pPr>
            <w:r>
              <w:rPr>
                <w:sz w:val="19"/>
              </w:rPr>
              <w:t>0.6</w:t>
            </w:r>
          </w:p>
        </w:tc>
      </w:tr>
      <w:tr>
        <w:trPr>
          <w:trHeight w:val="286" w:hRule="exact"/>
        </w:trPr>
        <w:tc>
          <w:tcPr>
            <w:tcW w:w="2402" w:type="dxa"/>
          </w:tcPr>
          <w:p>
            <w:pPr>
              <w:pStyle w:val="TableParagraph"/>
              <w:spacing w:before="24"/>
              <w:ind w:left="71"/>
              <w:jc w:val="left"/>
              <w:rPr>
                <w:sz w:val="19"/>
              </w:rPr>
            </w:pPr>
            <w:r>
              <w:rPr>
                <w:w w:val="105"/>
                <w:sz w:val="19"/>
              </w:rPr>
              <w:t>Yucatán</w:t>
            </w:r>
          </w:p>
        </w:tc>
        <w:tc>
          <w:tcPr>
            <w:tcW w:w="2242" w:type="dxa"/>
          </w:tcPr>
          <w:p>
            <w:pPr>
              <w:pStyle w:val="TableParagraph"/>
              <w:spacing w:before="24"/>
              <w:ind w:right="830"/>
              <w:rPr>
                <w:sz w:val="19"/>
              </w:rPr>
            </w:pPr>
            <w:r>
              <w:rPr>
                <w:sz w:val="19"/>
              </w:rPr>
              <w:t>106</w:t>
            </w:r>
          </w:p>
        </w:tc>
        <w:tc>
          <w:tcPr>
            <w:tcW w:w="1745" w:type="dxa"/>
          </w:tcPr>
          <w:p>
            <w:pPr>
              <w:pStyle w:val="TableParagraph"/>
              <w:spacing w:before="24"/>
              <w:ind w:right="67"/>
              <w:rPr>
                <w:sz w:val="19"/>
              </w:rPr>
            </w:pPr>
            <w:r>
              <w:rPr>
                <w:sz w:val="19"/>
              </w:rPr>
              <w:t>0.5</w:t>
            </w:r>
          </w:p>
        </w:tc>
      </w:tr>
      <w:tr>
        <w:trPr>
          <w:trHeight w:val="283" w:hRule="exact"/>
        </w:trPr>
        <w:tc>
          <w:tcPr>
            <w:tcW w:w="2402" w:type="dxa"/>
          </w:tcPr>
          <w:p>
            <w:pPr>
              <w:pStyle w:val="TableParagraph"/>
              <w:spacing w:before="26"/>
              <w:ind w:left="71"/>
              <w:jc w:val="left"/>
              <w:rPr>
                <w:sz w:val="19"/>
              </w:rPr>
            </w:pPr>
            <w:r>
              <w:rPr>
                <w:w w:val="105"/>
                <w:sz w:val="19"/>
              </w:rPr>
              <w:t>Quintana Roo</w:t>
            </w:r>
          </w:p>
        </w:tc>
        <w:tc>
          <w:tcPr>
            <w:tcW w:w="2242" w:type="dxa"/>
          </w:tcPr>
          <w:p>
            <w:pPr>
              <w:pStyle w:val="TableParagraph"/>
              <w:spacing w:before="26"/>
              <w:ind w:right="830"/>
              <w:rPr>
                <w:sz w:val="19"/>
              </w:rPr>
            </w:pPr>
            <w:r>
              <w:rPr>
                <w:sz w:val="19"/>
              </w:rPr>
              <w:t>88</w:t>
            </w:r>
          </w:p>
        </w:tc>
        <w:tc>
          <w:tcPr>
            <w:tcW w:w="1745" w:type="dxa"/>
          </w:tcPr>
          <w:p>
            <w:pPr>
              <w:pStyle w:val="TableParagraph"/>
              <w:spacing w:before="26"/>
              <w:ind w:right="67"/>
              <w:rPr>
                <w:sz w:val="19"/>
              </w:rPr>
            </w:pPr>
            <w:r>
              <w:rPr>
                <w:sz w:val="19"/>
              </w:rPr>
              <w:t>0.4</w:t>
            </w:r>
          </w:p>
        </w:tc>
      </w:tr>
      <w:tr>
        <w:trPr>
          <w:trHeight w:val="298" w:hRule="exact"/>
        </w:trPr>
        <w:tc>
          <w:tcPr>
            <w:tcW w:w="2402" w:type="dxa"/>
          </w:tcPr>
          <w:p>
            <w:pPr>
              <w:pStyle w:val="TableParagraph"/>
              <w:spacing w:before="22"/>
              <w:ind w:left="71"/>
              <w:jc w:val="left"/>
              <w:rPr>
                <w:sz w:val="19"/>
              </w:rPr>
            </w:pPr>
            <w:r>
              <w:rPr>
                <w:w w:val="105"/>
                <w:sz w:val="19"/>
              </w:rPr>
              <w:t>Campeche</w:t>
            </w:r>
          </w:p>
        </w:tc>
        <w:tc>
          <w:tcPr>
            <w:tcW w:w="2242" w:type="dxa"/>
          </w:tcPr>
          <w:p>
            <w:pPr>
              <w:pStyle w:val="TableParagraph"/>
              <w:spacing w:before="22"/>
              <w:ind w:right="830"/>
              <w:rPr>
                <w:sz w:val="19"/>
              </w:rPr>
            </w:pPr>
            <w:r>
              <w:rPr>
                <w:sz w:val="19"/>
              </w:rPr>
              <w:t>57</w:t>
            </w:r>
          </w:p>
        </w:tc>
        <w:tc>
          <w:tcPr>
            <w:tcW w:w="1745" w:type="dxa"/>
          </w:tcPr>
          <w:p>
            <w:pPr>
              <w:pStyle w:val="TableParagraph"/>
              <w:spacing w:before="22"/>
              <w:ind w:right="67"/>
              <w:rPr>
                <w:sz w:val="19"/>
              </w:rPr>
            </w:pPr>
            <w:r>
              <w:rPr>
                <w:sz w:val="19"/>
              </w:rPr>
              <w:t>0.3</w:t>
            </w:r>
          </w:p>
        </w:tc>
      </w:tr>
      <w:tr>
        <w:trPr>
          <w:trHeight w:val="281" w:hRule="exact"/>
        </w:trPr>
        <w:tc>
          <w:tcPr>
            <w:tcW w:w="2402" w:type="dxa"/>
            <w:tcBorders>
              <w:bottom w:val="double" w:sz="4" w:space="0" w:color="000000"/>
            </w:tcBorders>
          </w:tcPr>
          <w:p>
            <w:pPr>
              <w:pStyle w:val="TableParagraph"/>
              <w:spacing w:before="41"/>
              <w:ind w:left="71"/>
              <w:jc w:val="left"/>
              <w:rPr>
                <w:sz w:val="19"/>
              </w:rPr>
            </w:pPr>
            <w:r>
              <w:rPr>
                <w:w w:val="105"/>
                <w:sz w:val="19"/>
              </w:rPr>
              <w:t>Baja California Sur</w:t>
            </w:r>
          </w:p>
        </w:tc>
        <w:tc>
          <w:tcPr>
            <w:tcW w:w="2242" w:type="dxa"/>
            <w:tcBorders>
              <w:bottom w:val="double" w:sz="4" w:space="0" w:color="000000"/>
            </w:tcBorders>
          </w:tcPr>
          <w:p>
            <w:pPr>
              <w:pStyle w:val="TableParagraph"/>
              <w:spacing w:before="41"/>
              <w:ind w:right="830"/>
              <w:rPr>
                <w:sz w:val="19"/>
              </w:rPr>
            </w:pPr>
            <w:r>
              <w:rPr>
                <w:sz w:val="19"/>
              </w:rPr>
              <w:t>33</w:t>
            </w:r>
          </w:p>
        </w:tc>
        <w:tc>
          <w:tcPr>
            <w:tcW w:w="1745" w:type="dxa"/>
            <w:tcBorders>
              <w:bottom w:val="double" w:sz="4" w:space="0" w:color="000000"/>
            </w:tcBorders>
          </w:tcPr>
          <w:p>
            <w:pPr>
              <w:pStyle w:val="TableParagraph"/>
              <w:spacing w:before="41"/>
              <w:ind w:right="67"/>
              <w:rPr>
                <w:sz w:val="19"/>
              </w:rPr>
            </w:pPr>
            <w:r>
              <w:rPr>
                <w:sz w:val="19"/>
              </w:rPr>
              <w:t>0.2</w:t>
            </w:r>
          </w:p>
        </w:tc>
      </w:tr>
      <w:tr>
        <w:trPr>
          <w:trHeight w:val="477" w:hRule="exact"/>
        </w:trPr>
        <w:tc>
          <w:tcPr>
            <w:tcW w:w="2402" w:type="dxa"/>
            <w:tcBorders>
              <w:top w:val="double" w:sz="4" w:space="0" w:color="000000"/>
            </w:tcBorders>
          </w:tcPr>
          <w:p>
            <w:pPr>
              <w:pStyle w:val="TableParagraph"/>
              <w:ind w:left="71" w:right="817"/>
              <w:jc w:val="left"/>
              <w:rPr>
                <w:sz w:val="16"/>
              </w:rPr>
            </w:pPr>
            <w:r>
              <w:rPr>
                <w:sz w:val="16"/>
              </w:rPr>
              <w:t>* Millones de dólares Fuente: Banxico, 2009.</w:t>
            </w:r>
          </w:p>
        </w:tc>
        <w:tc>
          <w:tcPr>
            <w:tcW w:w="2242" w:type="dxa"/>
            <w:tcBorders>
              <w:top w:val="double" w:sz="4" w:space="0" w:color="000000"/>
            </w:tcBorders>
          </w:tcPr>
          <w:p>
            <w:pPr/>
          </w:p>
        </w:tc>
        <w:tc>
          <w:tcPr>
            <w:tcW w:w="1745" w:type="dxa"/>
            <w:tcBorders>
              <w:top w:val="double" w:sz="4" w:space="0" w:color="000000"/>
            </w:tcBorders>
          </w:tcPr>
          <w:p>
            <w:pPr/>
          </w:p>
        </w:tc>
      </w:tr>
    </w:tbl>
    <w:p>
      <w:pPr>
        <w:spacing w:after="0"/>
        <w:sectPr>
          <w:footerReference w:type="default" r:id="rId202"/>
          <w:pgSz w:w="9360" w:h="13040"/>
          <w:pgMar w:footer="496" w:header="0" w:top="740" w:bottom="680" w:left="1300" w:right="1300"/>
          <w:pgNumType w:start="281"/>
        </w:sectPr>
      </w:pPr>
    </w:p>
    <w:p>
      <w:pPr>
        <w:spacing w:before="52"/>
        <w:ind w:left="124" w:right="-5" w:firstLine="0"/>
        <w:jc w:val="left"/>
        <w:rPr>
          <w:rFonts w:ascii="Arial" w:hAnsi="Arial"/>
          <w:sz w:val="20"/>
        </w:rPr>
      </w:pPr>
      <w:r>
        <w:rPr>
          <w:rFonts w:ascii="Arial" w:hAnsi="Arial"/>
          <w:color w:val="231F20"/>
          <w:w w:val="80"/>
          <w:sz w:val="20"/>
        </w:rPr>
        <w:t>Hitos</w:t>
      </w:r>
      <w:r>
        <w:rPr>
          <w:rFonts w:ascii="Arial" w:hAnsi="Arial"/>
          <w:color w:val="231F20"/>
          <w:spacing w:val="-23"/>
          <w:w w:val="80"/>
          <w:sz w:val="20"/>
        </w:rPr>
        <w:t> </w:t>
      </w:r>
      <w:r>
        <w:rPr>
          <w:rFonts w:ascii="Arial" w:hAnsi="Arial"/>
          <w:color w:val="231F20"/>
          <w:w w:val="80"/>
          <w:sz w:val="20"/>
        </w:rPr>
        <w:t>Demográficos</w:t>
      </w:r>
      <w:r>
        <w:rPr>
          <w:rFonts w:ascii="Arial" w:hAnsi="Arial"/>
          <w:color w:val="231F20"/>
          <w:spacing w:val="-23"/>
          <w:w w:val="80"/>
          <w:sz w:val="20"/>
        </w:rPr>
        <w:t> </w:t>
      </w:r>
      <w:r>
        <w:rPr>
          <w:rFonts w:ascii="Arial" w:hAnsi="Arial"/>
          <w:color w:val="231F20"/>
          <w:w w:val="80"/>
          <w:sz w:val="20"/>
        </w:rPr>
        <w:t>del</w:t>
      </w:r>
      <w:r>
        <w:rPr>
          <w:rFonts w:ascii="Arial" w:hAnsi="Arial"/>
          <w:color w:val="231F20"/>
          <w:spacing w:val="-23"/>
          <w:w w:val="80"/>
          <w:sz w:val="20"/>
        </w:rPr>
        <w:t> </w:t>
      </w:r>
      <w:r>
        <w:rPr>
          <w:rFonts w:ascii="Arial" w:hAnsi="Arial"/>
          <w:color w:val="231F20"/>
          <w:w w:val="80"/>
          <w:sz w:val="20"/>
        </w:rPr>
        <w:t>Siglo</w:t>
      </w:r>
      <w:r>
        <w:rPr>
          <w:rFonts w:ascii="Arial" w:hAnsi="Arial"/>
          <w:color w:val="231F20"/>
          <w:spacing w:val="-23"/>
          <w:w w:val="80"/>
          <w:sz w:val="20"/>
        </w:rPr>
        <w:t> </w:t>
      </w:r>
      <w:r>
        <w:rPr>
          <w:rFonts w:ascii="Arial" w:hAnsi="Arial"/>
          <w:color w:val="231F20"/>
          <w:w w:val="80"/>
          <w:sz w:val="20"/>
        </w:rPr>
        <w:t>XXI:</w:t>
      </w:r>
      <w:r>
        <w:rPr>
          <w:rFonts w:ascii="Arial" w:hAnsi="Arial"/>
          <w:color w:val="231F20"/>
          <w:spacing w:val="-23"/>
          <w:w w:val="80"/>
          <w:sz w:val="20"/>
        </w:rPr>
        <w:t> </w:t>
      </w:r>
      <w:r>
        <w:rPr>
          <w:rFonts w:ascii="Arial" w:hAnsi="Arial"/>
          <w:color w:val="231F20"/>
          <w:w w:val="80"/>
          <w:sz w:val="20"/>
        </w:rPr>
        <w:t>Migración</w:t>
      </w:r>
      <w:r>
        <w:rPr>
          <w:rFonts w:ascii="Arial" w:hAnsi="Arial"/>
          <w:color w:val="231F20"/>
          <w:spacing w:val="-23"/>
          <w:w w:val="80"/>
          <w:sz w:val="20"/>
        </w:rPr>
        <w:t> </w:t>
      </w:r>
      <w:r>
        <w:rPr>
          <w:rFonts w:ascii="Arial" w:hAnsi="Arial"/>
          <w:color w:val="231F20"/>
          <w:w w:val="80"/>
          <w:sz w:val="20"/>
        </w:rPr>
        <w:t>Internacional</w:t>
      </w:r>
    </w:p>
    <w:p>
      <w:pPr>
        <w:spacing w:before="54"/>
        <w:ind w:left="124" w:right="0" w:firstLine="0"/>
        <w:jc w:val="left"/>
        <w:rPr>
          <w:sz w:val="18"/>
        </w:rPr>
      </w:pPr>
      <w:r>
        <w:rPr/>
        <w:br w:type="column"/>
      </w:r>
      <w:r>
        <w:rPr>
          <w:color w:val="231F20"/>
          <w:sz w:val="18"/>
        </w:rPr>
        <w:t>CIEAP/UAEM</w:t>
      </w:r>
    </w:p>
    <w:p>
      <w:pPr>
        <w:spacing w:after="0"/>
        <w:jc w:val="left"/>
        <w:rPr>
          <w:sz w:val="18"/>
        </w:rPr>
        <w:sectPr>
          <w:pgSz w:w="9360" w:h="13040"/>
          <w:pgMar w:header="0" w:footer="496" w:top="840" w:bottom="680" w:left="1300" w:right="1300"/>
          <w:cols w:num="2" w:equalWidth="0">
            <w:col w:w="4101" w:space="1311"/>
            <w:col w:w="1348"/>
          </w:cols>
        </w:sectPr>
      </w:pPr>
    </w:p>
    <w:p>
      <w:pPr>
        <w:pStyle w:val="BodyText"/>
        <w:spacing w:before="2"/>
        <w:rPr>
          <w:sz w:val="13"/>
        </w:rPr>
      </w:pPr>
    </w:p>
    <w:p>
      <w:pPr>
        <w:pStyle w:val="BodyText"/>
        <w:spacing w:line="247" w:lineRule="auto" w:before="71"/>
        <w:ind w:left="117" w:right="114" w:firstLine="283"/>
        <w:jc w:val="both"/>
      </w:pPr>
      <w:r>
        <w:rPr>
          <w:color w:val="231F20"/>
        </w:rPr>
        <w:t>Ello sugiere que esta derrama de recursos es parte del ingreso</w:t>
      </w:r>
      <w:r>
        <w:rPr>
          <w:color w:val="231F20"/>
          <w:spacing w:val="-27"/>
        </w:rPr>
        <w:t> </w:t>
      </w:r>
      <w:r>
        <w:rPr>
          <w:color w:val="231F20"/>
        </w:rPr>
        <w:t>corriente de un número considerable de economías domésticas, lo que significa que estas transferencias de los trabajadores mexicanos representan casi la mi- tad de los ingresos de los hogares mexicanos. En términos de uso de esta derrama internacional, 86.4 por ciento se destina para el consumo, 6.3 por ciento se emplea para la educación, 3.2 por ciento para construcción, am- pliación o mejora de viviendas y el restante 4.1 por ciento para otras acti- vidades, como apoyos para la construcción de infraestructura</w:t>
      </w:r>
      <w:r>
        <w:rPr>
          <w:color w:val="231F20"/>
          <w:spacing w:val="-25"/>
        </w:rPr>
        <w:t> </w:t>
      </w:r>
      <w:r>
        <w:rPr>
          <w:color w:val="231F20"/>
        </w:rPr>
        <w:t>comunitaria, actividades comerciales y para el ahorro personal y familiar (CONAPO, 2008).</w:t>
      </w:r>
    </w:p>
    <w:p>
      <w:pPr>
        <w:pStyle w:val="Heading3"/>
        <w:spacing w:line="242" w:lineRule="auto"/>
        <w:ind w:right="126"/>
      </w:pPr>
      <w:r>
        <w:rPr>
          <w:color w:val="231F20"/>
        </w:rPr>
        <w:t>Impactos económicos de la migración y remesas en el municipio de Tenancingo, Estado de México</w:t>
      </w:r>
    </w:p>
    <w:p>
      <w:pPr>
        <w:pStyle w:val="BodyText"/>
        <w:spacing w:line="247" w:lineRule="auto" w:before="170"/>
        <w:ind w:left="117" w:right="114"/>
        <w:jc w:val="both"/>
      </w:pPr>
      <w:r>
        <w:rPr>
          <w:color w:val="231F20"/>
        </w:rPr>
        <w:t>A</w:t>
      </w:r>
      <w:r>
        <w:rPr>
          <w:color w:val="231F20"/>
          <w:spacing w:val="-20"/>
        </w:rPr>
        <w:t> </w:t>
      </w:r>
      <w:r>
        <w:rPr>
          <w:color w:val="231F20"/>
        </w:rPr>
        <w:t>pesar</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Estado</w:t>
      </w:r>
      <w:r>
        <w:rPr>
          <w:color w:val="231F20"/>
          <w:spacing w:val="-8"/>
        </w:rPr>
        <w:t> </w:t>
      </w:r>
      <w:r>
        <w:rPr>
          <w:color w:val="231F20"/>
        </w:rPr>
        <w:t>de</w:t>
      </w:r>
      <w:r>
        <w:rPr>
          <w:color w:val="231F20"/>
          <w:spacing w:val="-8"/>
        </w:rPr>
        <w:t> </w:t>
      </w:r>
      <w:r>
        <w:rPr>
          <w:color w:val="231F20"/>
        </w:rPr>
        <w:t>México</w:t>
      </w:r>
      <w:r>
        <w:rPr>
          <w:color w:val="231F20"/>
          <w:spacing w:val="-8"/>
        </w:rPr>
        <w:t> </w:t>
      </w:r>
      <w:r>
        <w:rPr>
          <w:color w:val="231F20"/>
        </w:rPr>
        <w:t>se</w:t>
      </w:r>
      <w:r>
        <w:rPr>
          <w:color w:val="231F20"/>
          <w:spacing w:val="-8"/>
        </w:rPr>
        <w:t> </w:t>
      </w:r>
      <w:r>
        <w:rPr>
          <w:color w:val="231F20"/>
        </w:rPr>
        <w:t>considera</w:t>
      </w:r>
      <w:r>
        <w:rPr>
          <w:color w:val="231F20"/>
          <w:spacing w:val="-9"/>
        </w:rPr>
        <w:t> </w:t>
      </w:r>
      <w:r>
        <w:rPr>
          <w:color w:val="231F20"/>
        </w:rPr>
        <w:t>la</w:t>
      </w:r>
      <w:r>
        <w:rPr>
          <w:color w:val="231F20"/>
          <w:spacing w:val="-8"/>
        </w:rPr>
        <w:t> </w:t>
      </w:r>
      <w:r>
        <w:rPr>
          <w:color w:val="231F20"/>
        </w:rPr>
        <w:t>segunda</w:t>
      </w:r>
      <w:r>
        <w:rPr>
          <w:color w:val="231F20"/>
          <w:spacing w:val="-8"/>
        </w:rPr>
        <w:t> </w:t>
      </w:r>
      <w:r>
        <w:rPr>
          <w:color w:val="231F20"/>
        </w:rPr>
        <w:t>economía</w:t>
      </w:r>
      <w:r>
        <w:rPr>
          <w:color w:val="231F20"/>
          <w:spacing w:val="-8"/>
        </w:rPr>
        <w:t> </w:t>
      </w:r>
      <w:r>
        <w:rPr>
          <w:color w:val="231F20"/>
        </w:rPr>
        <w:t>más importante de México, presenta algunos problemas como la debilidad de su mercado laboral, el encarecimiento y limitada disponibilidad de satis- factores</w:t>
      </w:r>
      <w:r>
        <w:rPr>
          <w:color w:val="231F20"/>
          <w:spacing w:val="-11"/>
        </w:rPr>
        <w:t> </w:t>
      </w:r>
      <w:r>
        <w:rPr>
          <w:color w:val="231F20"/>
        </w:rPr>
        <w:t>básicos,</w:t>
      </w:r>
      <w:r>
        <w:rPr>
          <w:color w:val="231F20"/>
          <w:spacing w:val="-11"/>
        </w:rPr>
        <w:t> </w:t>
      </w:r>
      <w:r>
        <w:rPr>
          <w:color w:val="231F20"/>
        </w:rPr>
        <w:t>los</w:t>
      </w:r>
      <w:r>
        <w:rPr>
          <w:color w:val="231F20"/>
          <w:spacing w:val="-11"/>
        </w:rPr>
        <w:t> </w:t>
      </w:r>
      <w:r>
        <w:rPr>
          <w:color w:val="231F20"/>
        </w:rPr>
        <w:t>cuales</w:t>
      </w:r>
      <w:r>
        <w:rPr>
          <w:color w:val="231F20"/>
          <w:spacing w:val="-11"/>
        </w:rPr>
        <w:t> </w:t>
      </w:r>
      <w:r>
        <w:rPr>
          <w:color w:val="231F20"/>
        </w:rPr>
        <w:t>se</w:t>
      </w:r>
      <w:r>
        <w:rPr>
          <w:color w:val="231F20"/>
          <w:spacing w:val="-11"/>
        </w:rPr>
        <w:t> </w:t>
      </w:r>
      <w:r>
        <w:rPr>
          <w:color w:val="231F20"/>
        </w:rPr>
        <w:t>han</w:t>
      </w:r>
      <w:r>
        <w:rPr>
          <w:color w:val="231F20"/>
          <w:spacing w:val="-11"/>
        </w:rPr>
        <w:t> </w:t>
      </w:r>
      <w:r>
        <w:rPr>
          <w:color w:val="231F20"/>
        </w:rPr>
        <w:t>convertido</w:t>
      </w:r>
      <w:r>
        <w:rPr>
          <w:color w:val="231F20"/>
          <w:spacing w:val="-11"/>
        </w:rPr>
        <w:t> </w:t>
      </w:r>
      <w:r>
        <w:rPr>
          <w:color w:val="231F20"/>
        </w:rPr>
        <w:t>en</w:t>
      </w:r>
      <w:r>
        <w:rPr>
          <w:color w:val="231F20"/>
          <w:spacing w:val="-11"/>
        </w:rPr>
        <w:t> </w:t>
      </w:r>
      <w:r>
        <w:rPr>
          <w:color w:val="231F20"/>
        </w:rPr>
        <w:t>determinantes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expul- sión de la fuerza de trabajo de algunos municipios como Tenancingo, lo- calizado</w:t>
      </w:r>
      <w:r>
        <w:rPr>
          <w:color w:val="231F20"/>
          <w:spacing w:val="-7"/>
        </w:rPr>
        <w:t> </w:t>
      </w:r>
      <w:r>
        <w:rPr>
          <w:color w:val="231F20"/>
        </w:rPr>
        <w:t>al</w:t>
      </w:r>
      <w:r>
        <w:rPr>
          <w:color w:val="231F20"/>
          <w:spacing w:val="-6"/>
        </w:rPr>
        <w:t> </w:t>
      </w:r>
      <w:r>
        <w:rPr>
          <w:color w:val="231F20"/>
        </w:rPr>
        <w:t>sur</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entidad</w:t>
      </w:r>
      <w:r>
        <w:rPr>
          <w:color w:val="231F20"/>
          <w:spacing w:val="-6"/>
        </w:rPr>
        <w:t> </w:t>
      </w:r>
      <w:r>
        <w:rPr>
          <w:color w:val="231F20"/>
        </w:rPr>
        <w:t>mexiquense,</w:t>
      </w:r>
      <w:r>
        <w:rPr>
          <w:color w:val="231F20"/>
          <w:spacing w:val="-7"/>
        </w:rPr>
        <w:t> </w:t>
      </w:r>
      <w:r>
        <w:rPr>
          <w:color w:val="231F20"/>
        </w:rPr>
        <w:t>cuyas</w:t>
      </w:r>
      <w:r>
        <w:rPr>
          <w:color w:val="231F20"/>
          <w:spacing w:val="-6"/>
        </w:rPr>
        <w:t> </w:t>
      </w:r>
      <w:r>
        <w:rPr>
          <w:color w:val="231F20"/>
        </w:rPr>
        <w:t>características</w:t>
      </w:r>
      <w:r>
        <w:rPr>
          <w:color w:val="231F20"/>
          <w:spacing w:val="-7"/>
        </w:rPr>
        <w:t> </w:t>
      </w:r>
      <w:r>
        <w:rPr>
          <w:color w:val="231F20"/>
        </w:rPr>
        <w:t>económicas y sociales lo colocan como un importante expulsor de fuerza de trabajo, principalmente hacia Estados Unidos. De hecho, el Estado de México es una</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principales</w:t>
      </w:r>
      <w:r>
        <w:rPr>
          <w:color w:val="231F20"/>
          <w:spacing w:val="-12"/>
        </w:rPr>
        <w:t> </w:t>
      </w:r>
      <w:r>
        <w:rPr>
          <w:color w:val="231F20"/>
        </w:rPr>
        <w:t>entidades</w:t>
      </w:r>
      <w:r>
        <w:rPr>
          <w:color w:val="231F20"/>
          <w:spacing w:val="-12"/>
        </w:rPr>
        <w:t> </w:t>
      </w:r>
      <w:r>
        <w:rPr>
          <w:color w:val="231F20"/>
        </w:rPr>
        <w:t>expulsoras</w:t>
      </w:r>
      <w:r>
        <w:rPr>
          <w:color w:val="231F20"/>
          <w:spacing w:val="-13"/>
        </w:rPr>
        <w:t> </w:t>
      </w:r>
      <w:r>
        <w:rPr>
          <w:color w:val="231F20"/>
        </w:rPr>
        <w:t>de</w:t>
      </w:r>
      <w:r>
        <w:rPr>
          <w:color w:val="231F20"/>
          <w:spacing w:val="-12"/>
        </w:rPr>
        <w:t> </w:t>
      </w:r>
      <w:r>
        <w:rPr>
          <w:color w:val="231F20"/>
        </w:rPr>
        <w:t>población</w:t>
      </w:r>
      <w:r>
        <w:rPr>
          <w:color w:val="231F20"/>
          <w:spacing w:val="-12"/>
        </w:rPr>
        <w:t> </w:t>
      </w:r>
      <w:r>
        <w:rPr>
          <w:color w:val="231F20"/>
        </w:rPr>
        <w:t>en</w:t>
      </w:r>
      <w:r>
        <w:rPr>
          <w:color w:val="231F20"/>
          <w:spacing w:val="-12"/>
        </w:rPr>
        <w:t> </w:t>
      </w:r>
      <w:r>
        <w:rPr>
          <w:color w:val="231F20"/>
        </w:rPr>
        <w:t>edad</w:t>
      </w:r>
      <w:r>
        <w:rPr>
          <w:color w:val="231F20"/>
          <w:spacing w:val="-12"/>
        </w:rPr>
        <w:t> </w:t>
      </w:r>
      <w:r>
        <w:rPr>
          <w:color w:val="231F20"/>
        </w:rPr>
        <w:t>laboral,</w:t>
      </w:r>
      <w:r>
        <w:rPr>
          <w:color w:val="231F20"/>
          <w:spacing w:val="-12"/>
        </w:rPr>
        <w:t> </w:t>
      </w:r>
      <w:r>
        <w:rPr>
          <w:color w:val="231F20"/>
        </w:rPr>
        <w:t>al pasar</w:t>
      </w:r>
      <w:r>
        <w:rPr>
          <w:color w:val="231F20"/>
          <w:spacing w:val="-7"/>
        </w:rPr>
        <w:t> </w:t>
      </w:r>
      <w:r>
        <w:rPr>
          <w:color w:val="231F20"/>
        </w:rPr>
        <w:t>del</w:t>
      </w:r>
      <w:r>
        <w:rPr>
          <w:color w:val="231F20"/>
          <w:spacing w:val="-7"/>
        </w:rPr>
        <w:t> </w:t>
      </w:r>
      <w:r>
        <w:rPr>
          <w:color w:val="231F20"/>
        </w:rPr>
        <w:t>lugar</w:t>
      </w:r>
      <w:r>
        <w:rPr>
          <w:color w:val="231F20"/>
          <w:spacing w:val="-7"/>
        </w:rPr>
        <w:t> </w:t>
      </w:r>
      <w:r>
        <w:rPr>
          <w:color w:val="231F20"/>
        </w:rPr>
        <w:t>20</w:t>
      </w:r>
      <w:r>
        <w:rPr>
          <w:color w:val="231F20"/>
          <w:spacing w:val="-6"/>
        </w:rPr>
        <w:t> </w:t>
      </w:r>
      <w:r>
        <w:rPr>
          <w:color w:val="231F20"/>
        </w:rPr>
        <w:t>en</w:t>
      </w:r>
      <w:r>
        <w:rPr>
          <w:color w:val="231F20"/>
          <w:spacing w:val="-7"/>
        </w:rPr>
        <w:t> </w:t>
      </w:r>
      <w:r>
        <w:rPr>
          <w:color w:val="231F20"/>
        </w:rPr>
        <w:t>1970</w:t>
      </w:r>
      <w:r>
        <w:rPr>
          <w:color w:val="231F20"/>
          <w:spacing w:val="-6"/>
        </w:rPr>
        <w:t> </w:t>
      </w:r>
      <w:r>
        <w:rPr>
          <w:color w:val="231F20"/>
        </w:rPr>
        <w:t>a</w:t>
      </w:r>
      <w:r>
        <w:rPr>
          <w:color w:val="231F20"/>
          <w:spacing w:val="-7"/>
        </w:rPr>
        <w:t> </w:t>
      </w:r>
      <w:r>
        <w:rPr>
          <w:color w:val="231F20"/>
        </w:rPr>
        <w:t>la</w:t>
      </w:r>
      <w:r>
        <w:rPr>
          <w:color w:val="231F20"/>
          <w:spacing w:val="-7"/>
        </w:rPr>
        <w:t> </w:t>
      </w:r>
      <w:r>
        <w:rPr>
          <w:color w:val="231F20"/>
        </w:rPr>
        <w:t>cuarta</w:t>
      </w:r>
      <w:r>
        <w:rPr>
          <w:color w:val="231F20"/>
          <w:spacing w:val="-7"/>
        </w:rPr>
        <w:t> </w:t>
      </w:r>
      <w:r>
        <w:rPr>
          <w:color w:val="231F20"/>
        </w:rPr>
        <w:t>posición</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año</w:t>
      </w:r>
      <w:r>
        <w:rPr>
          <w:color w:val="231F20"/>
          <w:spacing w:val="-7"/>
        </w:rPr>
        <w:t> </w:t>
      </w:r>
      <w:r>
        <w:rPr>
          <w:color w:val="231F20"/>
        </w:rPr>
        <w:t>2000.</w:t>
      </w:r>
      <w:r>
        <w:rPr>
          <w:color w:val="231F20"/>
          <w:spacing w:val="-6"/>
        </w:rPr>
        <w:t> </w:t>
      </w:r>
      <w:r>
        <w:rPr>
          <w:color w:val="231F20"/>
        </w:rPr>
        <w:t>En</w:t>
      </w:r>
      <w:r>
        <w:rPr>
          <w:color w:val="231F20"/>
          <w:spacing w:val="-7"/>
        </w:rPr>
        <w:t> </w:t>
      </w:r>
      <w:r>
        <w:rPr>
          <w:color w:val="231F20"/>
        </w:rPr>
        <w:t>términos de</w:t>
      </w:r>
      <w:r>
        <w:rPr>
          <w:color w:val="231F20"/>
          <w:spacing w:val="-10"/>
        </w:rPr>
        <w:t> </w:t>
      </w:r>
      <w:r>
        <w:rPr>
          <w:color w:val="231F20"/>
        </w:rPr>
        <w:t>recepción</w:t>
      </w:r>
      <w:r>
        <w:rPr>
          <w:color w:val="231F20"/>
          <w:spacing w:val="-10"/>
        </w:rPr>
        <w:t> </w:t>
      </w:r>
      <w:r>
        <w:rPr>
          <w:color w:val="231F20"/>
        </w:rPr>
        <w:t>de</w:t>
      </w:r>
      <w:r>
        <w:rPr>
          <w:color w:val="231F20"/>
          <w:spacing w:val="-10"/>
        </w:rPr>
        <w:t> </w:t>
      </w:r>
      <w:r>
        <w:rPr>
          <w:color w:val="231F20"/>
        </w:rPr>
        <w:t>remesas,</w:t>
      </w:r>
      <w:r>
        <w:rPr>
          <w:color w:val="231F20"/>
          <w:spacing w:val="-10"/>
        </w:rPr>
        <w:t> </w:t>
      </w:r>
      <w:r>
        <w:rPr>
          <w:color w:val="231F20"/>
        </w:rPr>
        <w:t>el</w:t>
      </w:r>
      <w:r>
        <w:rPr>
          <w:color w:val="231F20"/>
          <w:spacing w:val="-10"/>
        </w:rPr>
        <w:t> </w:t>
      </w:r>
      <w:r>
        <w:rPr>
          <w:color w:val="231F20"/>
        </w:rPr>
        <w:t>panorama</w:t>
      </w:r>
      <w:r>
        <w:rPr>
          <w:color w:val="231F20"/>
          <w:spacing w:val="-10"/>
        </w:rPr>
        <w:t> </w:t>
      </w:r>
      <w:r>
        <w:rPr>
          <w:color w:val="231F20"/>
        </w:rPr>
        <w:t>es</w:t>
      </w:r>
      <w:r>
        <w:rPr>
          <w:color w:val="231F20"/>
          <w:spacing w:val="-10"/>
        </w:rPr>
        <w:t> </w:t>
      </w:r>
      <w:r>
        <w:rPr>
          <w:color w:val="231F20"/>
        </w:rPr>
        <w:t>similar,</w:t>
      </w:r>
      <w:r>
        <w:rPr>
          <w:color w:val="231F20"/>
          <w:spacing w:val="-10"/>
        </w:rPr>
        <w:t> </w:t>
      </w:r>
      <w:r>
        <w:rPr>
          <w:color w:val="231F20"/>
        </w:rPr>
        <w:t>es</w:t>
      </w:r>
      <w:r>
        <w:rPr>
          <w:color w:val="231F20"/>
          <w:spacing w:val="-10"/>
        </w:rPr>
        <w:t> </w:t>
      </w:r>
      <w:r>
        <w:rPr>
          <w:color w:val="231F20"/>
        </w:rPr>
        <w:t>decir,</w:t>
      </w:r>
      <w:r>
        <w:rPr>
          <w:color w:val="231F20"/>
          <w:spacing w:val="-10"/>
        </w:rPr>
        <w:t> </w:t>
      </w:r>
      <w:r>
        <w:rPr>
          <w:color w:val="231F20"/>
        </w:rPr>
        <w:t>en</w:t>
      </w:r>
      <w:r>
        <w:rPr>
          <w:color w:val="231F20"/>
          <w:spacing w:val="-10"/>
        </w:rPr>
        <w:t> </w:t>
      </w:r>
      <w:r>
        <w:rPr>
          <w:color w:val="231F20"/>
        </w:rPr>
        <w:t>1975</w:t>
      </w:r>
      <w:r>
        <w:rPr>
          <w:color w:val="231F20"/>
          <w:spacing w:val="-10"/>
        </w:rPr>
        <w:t> </w:t>
      </w:r>
      <w:r>
        <w:rPr>
          <w:color w:val="231F20"/>
        </w:rPr>
        <w:t>ocupaba el lugar 17 a nivel nacional y para el año 2000 pasó al cuarto lugar; ocho años</w:t>
      </w:r>
      <w:r>
        <w:rPr>
          <w:color w:val="231F20"/>
          <w:spacing w:val="-7"/>
        </w:rPr>
        <w:t> </w:t>
      </w:r>
      <w:r>
        <w:rPr>
          <w:color w:val="231F20"/>
        </w:rPr>
        <w:t>después</w:t>
      </w:r>
      <w:r>
        <w:rPr>
          <w:color w:val="231F20"/>
          <w:spacing w:val="-6"/>
        </w:rPr>
        <w:t> </w:t>
      </w:r>
      <w:r>
        <w:rPr>
          <w:color w:val="231F20"/>
        </w:rPr>
        <w:t>se</w:t>
      </w:r>
      <w:r>
        <w:rPr>
          <w:color w:val="231F20"/>
          <w:spacing w:val="-6"/>
        </w:rPr>
        <w:t> </w:t>
      </w:r>
      <w:r>
        <w:rPr>
          <w:color w:val="231F20"/>
        </w:rPr>
        <w:t>posicionó</w:t>
      </w:r>
      <w:r>
        <w:rPr>
          <w:color w:val="231F20"/>
          <w:spacing w:val="-6"/>
        </w:rPr>
        <w:t> </w:t>
      </w:r>
      <w:r>
        <w:rPr>
          <w:color w:val="231F20"/>
        </w:rPr>
        <w:t>en</w:t>
      </w:r>
      <w:r>
        <w:rPr>
          <w:color w:val="231F20"/>
          <w:spacing w:val="-7"/>
        </w:rPr>
        <w:t> </w:t>
      </w:r>
      <w:r>
        <w:rPr>
          <w:color w:val="231F20"/>
        </w:rPr>
        <w:t>la</w:t>
      </w:r>
      <w:r>
        <w:rPr>
          <w:color w:val="231F20"/>
          <w:spacing w:val="-7"/>
        </w:rPr>
        <w:t> </w:t>
      </w:r>
      <w:r>
        <w:rPr>
          <w:color w:val="231F20"/>
        </w:rPr>
        <w:t>tercera</w:t>
      </w:r>
      <w:r>
        <w:rPr>
          <w:color w:val="231F20"/>
          <w:spacing w:val="-7"/>
        </w:rPr>
        <w:t> </w:t>
      </w:r>
      <w:r>
        <w:rPr>
          <w:color w:val="231F20"/>
        </w:rPr>
        <w:t>casilla.</w:t>
      </w:r>
      <w:r>
        <w:rPr>
          <w:color w:val="231F20"/>
          <w:spacing w:val="-7"/>
        </w:rPr>
        <w:t> </w:t>
      </w:r>
      <w:r>
        <w:rPr>
          <w:color w:val="231F20"/>
        </w:rPr>
        <w:t>Esto</w:t>
      </w:r>
      <w:r>
        <w:rPr>
          <w:color w:val="231F20"/>
          <w:spacing w:val="-7"/>
        </w:rPr>
        <w:t> </w:t>
      </w:r>
      <w:r>
        <w:rPr>
          <w:color w:val="231F20"/>
        </w:rPr>
        <w:t>indica</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rPr>
        <w:t>remesas percibidas en la entidad mexiquense en 2003 superan por mucho lo que se obtiene del sector turístico o de la inversión extranjera directa, que repre- sentan 300 y 400 millones de dólares, respectivamente (González,</w:t>
      </w:r>
      <w:r>
        <w:rPr>
          <w:color w:val="231F20"/>
          <w:spacing w:val="-6"/>
        </w:rPr>
        <w:t> </w:t>
      </w:r>
      <w:r>
        <w:rPr>
          <w:color w:val="231F20"/>
        </w:rPr>
        <w:t>2006).</w:t>
      </w:r>
    </w:p>
    <w:p>
      <w:pPr>
        <w:pStyle w:val="BodyText"/>
        <w:spacing w:line="247" w:lineRule="auto"/>
        <w:ind w:left="117" w:right="114" w:firstLine="283"/>
        <w:jc w:val="both"/>
      </w:pPr>
      <w:r>
        <w:rPr>
          <w:color w:val="231F20"/>
        </w:rPr>
        <w:t>Para conocer qué factores han propiciado la emigración internacional  y los efectos que han provocado las remesas en la economía del munici- pio de referencia, se parte de las evidencias obtenidas en campo, mismas que permiten evidenciar no sólo la dimensión de dicho fenómeno, sino la importancia que adquiere por constituir una alternativa de sobrevivencia familiar e incluso de crecimiento económico</w:t>
      </w:r>
      <w:r>
        <w:rPr>
          <w:color w:val="231F20"/>
          <w:spacing w:val="-3"/>
        </w:rPr>
        <w:t> </w:t>
      </w:r>
      <w:r>
        <w:rPr>
          <w:color w:val="231F20"/>
        </w:rPr>
        <w:t>local.</w:t>
      </w:r>
    </w:p>
    <w:p>
      <w:pPr>
        <w:spacing w:after="0" w:line="247" w:lineRule="auto"/>
        <w:jc w:val="both"/>
        <w:sectPr>
          <w:type w:val="continuous"/>
          <w:pgSz w:w="9360" w:h="13040"/>
          <w:pgMar w:top="0" w:bottom="0" w:left="1300" w:right="1300"/>
        </w:sectPr>
      </w:pPr>
    </w:p>
    <w:p>
      <w:pPr>
        <w:spacing w:before="45"/>
        <w:ind w:left="820" w:right="0" w:firstLine="0"/>
        <w:jc w:val="left"/>
        <w:rPr>
          <w:rFonts w:ascii="Arial" w:hAnsi="Arial"/>
          <w:sz w:val="20"/>
        </w:rPr>
      </w:pPr>
      <w:r>
        <w:rPr>
          <w:rFonts w:ascii="Arial" w:hAnsi="Arial"/>
          <w:color w:val="231F20"/>
          <w:w w:val="70"/>
          <w:sz w:val="20"/>
        </w:rPr>
        <w:t>Migración y remesas internacionales, efectos sobre la economía local...   /David Iglesias-Piña</w:t>
      </w:r>
    </w:p>
    <w:p>
      <w:pPr>
        <w:pStyle w:val="BodyText"/>
        <w:spacing w:before="7"/>
        <w:rPr>
          <w:rFonts w:ascii="Arial"/>
          <w:sz w:val="28"/>
        </w:rPr>
      </w:pPr>
    </w:p>
    <w:p>
      <w:pPr>
        <w:spacing w:before="0"/>
        <w:ind w:left="117" w:right="0" w:firstLine="0"/>
        <w:jc w:val="both"/>
        <w:rPr>
          <w:i/>
          <w:sz w:val="22"/>
        </w:rPr>
      </w:pPr>
      <w:r>
        <w:rPr>
          <w:i/>
          <w:color w:val="231F20"/>
          <w:sz w:val="22"/>
        </w:rPr>
        <w:t>Metodología</w:t>
      </w:r>
    </w:p>
    <w:p>
      <w:pPr>
        <w:spacing w:before="175"/>
        <w:ind w:left="117" w:right="0" w:firstLine="0"/>
        <w:jc w:val="both"/>
        <w:rPr>
          <w:sz w:val="20"/>
        </w:rPr>
      </w:pPr>
      <w:r>
        <w:rPr>
          <w:color w:val="231F20"/>
          <w:sz w:val="20"/>
        </w:rPr>
        <w:t>Población objetivo y de muestreo</w:t>
      </w:r>
    </w:p>
    <w:p>
      <w:pPr>
        <w:pStyle w:val="BodyText"/>
        <w:spacing w:before="8"/>
        <w:rPr>
          <w:sz w:val="15"/>
        </w:rPr>
      </w:pPr>
    </w:p>
    <w:p>
      <w:pPr>
        <w:pStyle w:val="BodyText"/>
        <w:spacing w:line="247" w:lineRule="auto" w:before="1"/>
        <w:ind w:left="117" w:right="115"/>
        <w:jc w:val="both"/>
      </w:pPr>
      <w:r>
        <w:rPr>
          <w:color w:val="231F20"/>
        </w:rPr>
        <w:t>Está constituida por familiares de emigrantes y de los propios emigrantes, que al momento de realizar la investigación se encontraban en su hogar</w:t>
      </w:r>
      <w:r>
        <w:rPr>
          <w:color w:val="231F20"/>
          <w:spacing w:val="-28"/>
        </w:rPr>
        <w:t> </w:t>
      </w:r>
      <w:r>
        <w:rPr>
          <w:color w:val="231F20"/>
        </w:rPr>
        <w:t>de alguna localidad del municipio. En el caso de los hogares, se eligieron a juicio aquellos que tenían al menos un familiar laborando fuera del</w:t>
      </w:r>
      <w:r>
        <w:rPr>
          <w:color w:val="231F20"/>
          <w:spacing w:val="-5"/>
        </w:rPr>
        <w:t> </w:t>
      </w:r>
      <w:r>
        <w:rPr>
          <w:color w:val="231F20"/>
        </w:rPr>
        <w:t>país.</w:t>
      </w:r>
    </w:p>
    <w:p>
      <w:pPr>
        <w:spacing w:before="168"/>
        <w:ind w:left="117" w:right="0" w:firstLine="0"/>
        <w:jc w:val="both"/>
        <w:rPr>
          <w:sz w:val="20"/>
        </w:rPr>
      </w:pPr>
      <w:r>
        <w:rPr>
          <w:color w:val="231F20"/>
          <w:sz w:val="20"/>
        </w:rPr>
        <w:t>Esquema de muestreo</w:t>
      </w:r>
    </w:p>
    <w:p>
      <w:pPr>
        <w:pStyle w:val="BodyText"/>
        <w:spacing w:before="8"/>
        <w:rPr>
          <w:sz w:val="15"/>
        </w:rPr>
      </w:pPr>
    </w:p>
    <w:p>
      <w:pPr>
        <w:pStyle w:val="BodyText"/>
        <w:spacing w:line="247" w:lineRule="auto" w:before="1"/>
        <w:ind w:left="117" w:right="114"/>
        <w:jc w:val="both"/>
      </w:pPr>
      <w:r>
        <w:rPr>
          <w:color w:val="231F20"/>
        </w:rPr>
        <w:t>Dada la poca accesibilidad para que los hogares y los propios emigrantes brindaran información sobre el fenómeno, previamente se realizaron va- rios recorridos de campo para ubicar la población objetivo y de esta ma- nera elegir a juicio aquellos que estaban dispuestos a brindar información, apoyándose en el muestreo no probabilístico de juicio.</w:t>
      </w:r>
    </w:p>
    <w:p>
      <w:pPr>
        <w:spacing w:before="168"/>
        <w:ind w:left="117" w:right="0" w:firstLine="0"/>
        <w:jc w:val="both"/>
        <w:rPr>
          <w:sz w:val="20"/>
        </w:rPr>
      </w:pPr>
      <w:r>
        <w:rPr>
          <w:color w:val="231F20"/>
          <w:sz w:val="20"/>
        </w:rPr>
        <w:t>Instrumento de recolección de información</w:t>
      </w:r>
    </w:p>
    <w:p>
      <w:pPr>
        <w:pStyle w:val="BodyText"/>
        <w:spacing w:before="8"/>
        <w:rPr>
          <w:sz w:val="15"/>
        </w:rPr>
      </w:pPr>
    </w:p>
    <w:p>
      <w:pPr>
        <w:pStyle w:val="BodyText"/>
        <w:spacing w:line="247" w:lineRule="auto" w:before="1"/>
        <w:ind w:left="117"/>
      </w:pPr>
      <w:r>
        <w:rPr>
          <w:color w:val="231F20"/>
        </w:rPr>
        <w:t>Encuestas aplicadas directamente en los domicilios de la población mues- tra.</w:t>
      </w:r>
    </w:p>
    <w:p>
      <w:pPr>
        <w:spacing w:before="168"/>
        <w:ind w:left="117" w:right="0" w:firstLine="0"/>
        <w:jc w:val="both"/>
        <w:rPr>
          <w:sz w:val="20"/>
        </w:rPr>
      </w:pPr>
      <w:r>
        <w:rPr>
          <w:color w:val="231F20"/>
          <w:sz w:val="20"/>
        </w:rPr>
        <w:t>Estructura de la encuesta</w:t>
      </w:r>
    </w:p>
    <w:p>
      <w:pPr>
        <w:pStyle w:val="BodyText"/>
        <w:spacing w:before="8"/>
        <w:rPr>
          <w:sz w:val="15"/>
        </w:rPr>
      </w:pPr>
    </w:p>
    <w:p>
      <w:pPr>
        <w:pStyle w:val="BodyText"/>
        <w:spacing w:before="1"/>
        <w:ind w:left="117"/>
        <w:jc w:val="both"/>
      </w:pPr>
      <w:r>
        <w:rPr>
          <w:color w:val="231F20"/>
        </w:rPr>
        <w:t>El instrumento aplicado se conformó por dos grandes secciones:</w:t>
      </w:r>
    </w:p>
    <w:p>
      <w:pPr>
        <w:pStyle w:val="ListParagraph"/>
        <w:numPr>
          <w:ilvl w:val="0"/>
          <w:numId w:val="13"/>
        </w:numPr>
        <w:tabs>
          <w:tab w:pos="478" w:val="left" w:leader="none"/>
        </w:tabs>
        <w:spacing w:line="247" w:lineRule="auto" w:before="120" w:after="0"/>
        <w:ind w:left="477" w:right="115" w:hanging="360"/>
        <w:jc w:val="left"/>
        <w:rPr>
          <w:sz w:val="22"/>
        </w:rPr>
      </w:pPr>
      <w:r>
        <w:rPr>
          <w:color w:val="231F20"/>
          <w:sz w:val="22"/>
        </w:rPr>
        <w:t>Generalidades</w:t>
      </w:r>
      <w:r>
        <w:rPr>
          <w:color w:val="231F20"/>
          <w:spacing w:val="-7"/>
          <w:sz w:val="22"/>
        </w:rPr>
        <w:t> </w:t>
      </w:r>
      <w:r>
        <w:rPr>
          <w:color w:val="231F20"/>
          <w:sz w:val="22"/>
        </w:rPr>
        <w:t>socioeconómicas,</w:t>
      </w:r>
      <w:r>
        <w:rPr>
          <w:color w:val="231F20"/>
          <w:spacing w:val="-7"/>
          <w:sz w:val="22"/>
        </w:rPr>
        <w:t> </w:t>
      </w:r>
      <w:r>
        <w:rPr>
          <w:color w:val="231F20"/>
          <w:sz w:val="22"/>
        </w:rPr>
        <w:t>tanto</w:t>
      </w:r>
      <w:r>
        <w:rPr>
          <w:color w:val="231F20"/>
          <w:spacing w:val="-8"/>
          <w:sz w:val="22"/>
        </w:rPr>
        <w:t> </w:t>
      </w:r>
      <w:r>
        <w:rPr>
          <w:color w:val="231F20"/>
          <w:sz w:val="22"/>
        </w:rPr>
        <w:t>de</w:t>
      </w:r>
      <w:r>
        <w:rPr>
          <w:color w:val="231F20"/>
          <w:spacing w:val="-8"/>
          <w:sz w:val="22"/>
        </w:rPr>
        <w:t> </w:t>
      </w:r>
      <w:r>
        <w:rPr>
          <w:color w:val="231F20"/>
          <w:sz w:val="22"/>
        </w:rPr>
        <w:t>los</w:t>
      </w:r>
      <w:r>
        <w:rPr>
          <w:color w:val="231F20"/>
          <w:spacing w:val="-8"/>
          <w:sz w:val="22"/>
        </w:rPr>
        <w:t> </w:t>
      </w:r>
      <w:r>
        <w:rPr>
          <w:color w:val="231F20"/>
          <w:sz w:val="22"/>
        </w:rPr>
        <w:t>hogares</w:t>
      </w:r>
      <w:r>
        <w:rPr>
          <w:color w:val="231F20"/>
          <w:spacing w:val="-8"/>
          <w:sz w:val="22"/>
        </w:rPr>
        <w:t> </w:t>
      </w:r>
      <w:r>
        <w:rPr>
          <w:color w:val="231F20"/>
          <w:sz w:val="22"/>
        </w:rPr>
        <w:t>que</w:t>
      </w:r>
      <w:r>
        <w:rPr>
          <w:color w:val="231F20"/>
          <w:spacing w:val="-8"/>
          <w:sz w:val="22"/>
        </w:rPr>
        <w:t> </w:t>
      </w:r>
      <w:r>
        <w:rPr>
          <w:color w:val="231F20"/>
          <w:sz w:val="22"/>
        </w:rPr>
        <w:t>tienen</w:t>
      </w:r>
      <w:r>
        <w:rPr>
          <w:color w:val="231F20"/>
          <w:spacing w:val="-8"/>
          <w:sz w:val="22"/>
        </w:rPr>
        <w:t> </w:t>
      </w:r>
      <w:r>
        <w:rPr>
          <w:color w:val="231F20"/>
          <w:sz w:val="22"/>
        </w:rPr>
        <w:t>algún familiar trabajando en el extranjero como del propio</w:t>
      </w:r>
      <w:r>
        <w:rPr>
          <w:color w:val="231F20"/>
          <w:spacing w:val="-4"/>
          <w:sz w:val="22"/>
        </w:rPr>
        <w:t> </w:t>
      </w:r>
      <w:r>
        <w:rPr>
          <w:color w:val="231F20"/>
          <w:sz w:val="22"/>
        </w:rPr>
        <w:t>emigrante.</w:t>
      </w:r>
    </w:p>
    <w:p>
      <w:pPr>
        <w:pStyle w:val="ListParagraph"/>
        <w:numPr>
          <w:ilvl w:val="0"/>
          <w:numId w:val="13"/>
        </w:numPr>
        <w:tabs>
          <w:tab w:pos="478" w:val="left" w:leader="none"/>
        </w:tabs>
        <w:spacing w:line="355" w:lineRule="auto" w:before="0" w:after="0"/>
        <w:ind w:left="117" w:right="586" w:firstLine="0"/>
        <w:jc w:val="left"/>
        <w:rPr>
          <w:sz w:val="22"/>
        </w:rPr>
      </w:pPr>
      <w:r>
        <w:rPr>
          <w:color w:val="231F20"/>
          <w:sz w:val="22"/>
        </w:rPr>
        <w:t>Monto de las remesas y el uso que las familias receptoras le dan. A su vez, las preguntas planteadas versaron puntualmente</w:t>
      </w:r>
      <w:r>
        <w:rPr>
          <w:color w:val="231F20"/>
          <w:spacing w:val="-13"/>
          <w:sz w:val="22"/>
        </w:rPr>
        <w:t> </w:t>
      </w:r>
      <w:r>
        <w:rPr>
          <w:color w:val="231F20"/>
          <w:sz w:val="22"/>
        </w:rPr>
        <w:t>sobre:</w:t>
      </w:r>
    </w:p>
    <w:p>
      <w:pPr>
        <w:pStyle w:val="ListParagraph"/>
        <w:numPr>
          <w:ilvl w:val="0"/>
          <w:numId w:val="8"/>
        </w:numPr>
        <w:tabs>
          <w:tab w:pos="478" w:val="left" w:leader="none"/>
        </w:tabs>
        <w:spacing w:line="240" w:lineRule="auto" w:before="60" w:after="0"/>
        <w:ind w:left="477" w:right="0" w:hanging="360"/>
        <w:jc w:val="both"/>
        <w:rPr>
          <w:sz w:val="22"/>
        </w:rPr>
      </w:pPr>
      <w:r>
        <w:rPr>
          <w:color w:val="231F20"/>
          <w:sz w:val="22"/>
        </w:rPr>
        <w:t>Motivación para la emigración hacia los Estados</w:t>
      </w:r>
      <w:r>
        <w:rPr>
          <w:color w:val="231F20"/>
          <w:spacing w:val="-19"/>
          <w:sz w:val="22"/>
        </w:rPr>
        <w:t> </w:t>
      </w:r>
      <w:r>
        <w:rPr>
          <w:color w:val="231F20"/>
          <w:sz w:val="22"/>
        </w:rPr>
        <w:t>Unidos.</w:t>
      </w:r>
    </w:p>
    <w:p>
      <w:pPr>
        <w:pStyle w:val="ListParagraph"/>
        <w:numPr>
          <w:ilvl w:val="0"/>
          <w:numId w:val="8"/>
        </w:numPr>
        <w:tabs>
          <w:tab w:pos="478" w:val="left" w:leader="none"/>
        </w:tabs>
        <w:spacing w:line="240" w:lineRule="auto" w:before="7" w:after="0"/>
        <w:ind w:left="477" w:right="0" w:hanging="360"/>
        <w:jc w:val="both"/>
        <w:rPr>
          <w:sz w:val="22"/>
        </w:rPr>
      </w:pPr>
      <w:r>
        <w:rPr>
          <w:color w:val="231F20"/>
          <w:sz w:val="22"/>
        </w:rPr>
        <w:t>Tiempo de estancia del emigrante en el país de</w:t>
      </w:r>
      <w:r>
        <w:rPr>
          <w:color w:val="231F20"/>
          <w:spacing w:val="-12"/>
          <w:sz w:val="22"/>
        </w:rPr>
        <w:t> </w:t>
      </w:r>
      <w:r>
        <w:rPr>
          <w:color w:val="231F20"/>
          <w:sz w:val="22"/>
        </w:rPr>
        <w:t>destino.</w:t>
      </w:r>
    </w:p>
    <w:p>
      <w:pPr>
        <w:pStyle w:val="ListParagraph"/>
        <w:numPr>
          <w:ilvl w:val="0"/>
          <w:numId w:val="8"/>
        </w:numPr>
        <w:tabs>
          <w:tab w:pos="478" w:val="left" w:leader="none"/>
        </w:tabs>
        <w:spacing w:line="240" w:lineRule="auto" w:before="7" w:after="0"/>
        <w:ind w:left="477" w:right="0" w:hanging="360"/>
        <w:jc w:val="both"/>
        <w:rPr>
          <w:sz w:val="22"/>
        </w:rPr>
      </w:pPr>
      <w:r>
        <w:rPr>
          <w:color w:val="231F20"/>
          <w:sz w:val="22"/>
        </w:rPr>
        <w:t>Razones del envío o no de remesas a sus</w:t>
      </w:r>
      <w:r>
        <w:rPr>
          <w:color w:val="231F20"/>
          <w:spacing w:val="-3"/>
          <w:sz w:val="22"/>
        </w:rPr>
        <w:t> </w:t>
      </w:r>
      <w:r>
        <w:rPr>
          <w:color w:val="231F20"/>
          <w:sz w:val="22"/>
        </w:rPr>
        <w:t>familiares.</w:t>
      </w:r>
    </w:p>
    <w:p>
      <w:pPr>
        <w:pStyle w:val="ListParagraph"/>
        <w:numPr>
          <w:ilvl w:val="0"/>
          <w:numId w:val="8"/>
        </w:numPr>
        <w:tabs>
          <w:tab w:pos="478" w:val="left" w:leader="none"/>
        </w:tabs>
        <w:spacing w:line="240" w:lineRule="auto" w:before="7" w:after="0"/>
        <w:ind w:left="477" w:right="0" w:hanging="360"/>
        <w:jc w:val="both"/>
        <w:rPr>
          <w:sz w:val="22"/>
        </w:rPr>
      </w:pPr>
      <w:r>
        <w:rPr>
          <w:color w:val="231F20"/>
          <w:sz w:val="22"/>
        </w:rPr>
        <w:t>Tipo de remesas enviadas: monetarias y no</w:t>
      </w:r>
      <w:r>
        <w:rPr>
          <w:color w:val="231F20"/>
          <w:spacing w:val="-8"/>
          <w:sz w:val="22"/>
        </w:rPr>
        <w:t> </w:t>
      </w:r>
      <w:r>
        <w:rPr>
          <w:color w:val="231F20"/>
          <w:sz w:val="22"/>
        </w:rPr>
        <w:t>monetarias.</w:t>
      </w:r>
    </w:p>
    <w:p>
      <w:pPr>
        <w:pStyle w:val="ListParagraph"/>
        <w:numPr>
          <w:ilvl w:val="0"/>
          <w:numId w:val="8"/>
        </w:numPr>
        <w:tabs>
          <w:tab w:pos="478" w:val="left" w:leader="none"/>
        </w:tabs>
        <w:spacing w:line="240" w:lineRule="auto" w:before="7" w:after="0"/>
        <w:ind w:left="477" w:right="0" w:hanging="360"/>
        <w:jc w:val="both"/>
        <w:rPr>
          <w:sz w:val="22"/>
        </w:rPr>
      </w:pPr>
      <w:r>
        <w:rPr>
          <w:color w:val="231F20"/>
          <w:sz w:val="22"/>
        </w:rPr>
        <w:t>Frecuencia de envío de las</w:t>
      </w:r>
      <w:r>
        <w:rPr>
          <w:color w:val="231F20"/>
          <w:spacing w:val="-11"/>
          <w:sz w:val="22"/>
        </w:rPr>
        <w:t> </w:t>
      </w:r>
      <w:r>
        <w:rPr>
          <w:color w:val="231F20"/>
          <w:sz w:val="22"/>
        </w:rPr>
        <w:t>remesas.</w:t>
      </w:r>
    </w:p>
    <w:p>
      <w:pPr>
        <w:pStyle w:val="ListParagraph"/>
        <w:numPr>
          <w:ilvl w:val="0"/>
          <w:numId w:val="8"/>
        </w:numPr>
        <w:tabs>
          <w:tab w:pos="478" w:val="left" w:leader="none"/>
        </w:tabs>
        <w:spacing w:line="240" w:lineRule="auto" w:before="7" w:after="0"/>
        <w:ind w:left="477" w:right="0" w:hanging="360"/>
        <w:jc w:val="both"/>
        <w:rPr>
          <w:sz w:val="22"/>
        </w:rPr>
      </w:pPr>
      <w:r>
        <w:rPr>
          <w:color w:val="231F20"/>
          <w:sz w:val="22"/>
        </w:rPr>
        <w:t>Monto de las remesas</w:t>
      </w:r>
      <w:r>
        <w:rPr>
          <w:color w:val="231F20"/>
          <w:spacing w:val="-5"/>
          <w:sz w:val="22"/>
        </w:rPr>
        <w:t> </w:t>
      </w:r>
      <w:r>
        <w:rPr>
          <w:color w:val="231F20"/>
          <w:sz w:val="22"/>
        </w:rPr>
        <w:t>enviadas.</w:t>
      </w:r>
    </w:p>
    <w:p>
      <w:pPr>
        <w:pStyle w:val="ListParagraph"/>
        <w:numPr>
          <w:ilvl w:val="0"/>
          <w:numId w:val="8"/>
        </w:numPr>
        <w:tabs>
          <w:tab w:pos="478" w:val="left" w:leader="none"/>
        </w:tabs>
        <w:spacing w:line="240" w:lineRule="auto" w:before="7" w:after="0"/>
        <w:ind w:left="477" w:right="0" w:hanging="360"/>
        <w:jc w:val="both"/>
        <w:rPr>
          <w:sz w:val="22"/>
        </w:rPr>
      </w:pPr>
      <w:r>
        <w:rPr>
          <w:color w:val="231F20"/>
          <w:sz w:val="22"/>
        </w:rPr>
        <w:t>Medio utilizado para el envío de</w:t>
      </w:r>
      <w:r>
        <w:rPr>
          <w:color w:val="231F20"/>
          <w:spacing w:val="-5"/>
          <w:sz w:val="22"/>
        </w:rPr>
        <w:t> </w:t>
      </w:r>
      <w:r>
        <w:rPr>
          <w:color w:val="231F20"/>
          <w:sz w:val="22"/>
        </w:rPr>
        <w:t>remesas.</w:t>
      </w:r>
    </w:p>
    <w:p>
      <w:pPr>
        <w:pStyle w:val="ListParagraph"/>
        <w:numPr>
          <w:ilvl w:val="0"/>
          <w:numId w:val="8"/>
        </w:numPr>
        <w:tabs>
          <w:tab w:pos="478" w:val="left" w:leader="none"/>
        </w:tabs>
        <w:spacing w:line="240" w:lineRule="auto" w:before="7" w:after="0"/>
        <w:ind w:left="477" w:right="0" w:hanging="360"/>
        <w:jc w:val="both"/>
        <w:rPr>
          <w:sz w:val="22"/>
        </w:rPr>
      </w:pPr>
      <w:r>
        <w:rPr>
          <w:color w:val="231F20"/>
          <w:sz w:val="22"/>
        </w:rPr>
        <w:t>Uso de las remesas</w:t>
      </w:r>
      <w:r>
        <w:rPr>
          <w:color w:val="231F20"/>
          <w:spacing w:val="-3"/>
          <w:sz w:val="22"/>
        </w:rPr>
        <w:t> </w:t>
      </w:r>
      <w:r>
        <w:rPr>
          <w:color w:val="231F20"/>
          <w:sz w:val="22"/>
        </w:rPr>
        <w:t>enviadas.</w:t>
      </w:r>
    </w:p>
    <w:p>
      <w:pPr>
        <w:spacing w:before="175"/>
        <w:ind w:left="117" w:right="0" w:firstLine="0"/>
        <w:jc w:val="both"/>
        <w:rPr>
          <w:sz w:val="20"/>
        </w:rPr>
      </w:pPr>
      <w:r>
        <w:rPr>
          <w:color w:val="231F20"/>
          <w:sz w:val="20"/>
        </w:rPr>
        <w:t>Periodo de trabajo de campo</w:t>
      </w:r>
    </w:p>
    <w:p>
      <w:pPr>
        <w:pStyle w:val="BodyText"/>
        <w:spacing w:before="8"/>
        <w:rPr>
          <w:sz w:val="15"/>
        </w:rPr>
      </w:pPr>
    </w:p>
    <w:p>
      <w:pPr>
        <w:pStyle w:val="ListParagraph"/>
        <w:numPr>
          <w:ilvl w:val="0"/>
          <w:numId w:val="8"/>
        </w:numPr>
        <w:tabs>
          <w:tab w:pos="478" w:val="left" w:leader="none"/>
        </w:tabs>
        <w:spacing w:line="240" w:lineRule="auto" w:before="1" w:after="0"/>
        <w:ind w:left="477" w:right="0" w:hanging="360"/>
        <w:jc w:val="both"/>
        <w:rPr>
          <w:sz w:val="22"/>
        </w:rPr>
      </w:pPr>
      <w:r>
        <w:rPr>
          <w:color w:val="231F20"/>
          <w:sz w:val="22"/>
        </w:rPr>
        <w:t>Recorridos de campo: septiembre-noviembre de 2009.</w:t>
      </w:r>
    </w:p>
    <w:p>
      <w:pPr>
        <w:pStyle w:val="ListParagraph"/>
        <w:numPr>
          <w:ilvl w:val="0"/>
          <w:numId w:val="8"/>
        </w:numPr>
        <w:tabs>
          <w:tab w:pos="478" w:val="left" w:leader="none"/>
        </w:tabs>
        <w:spacing w:line="240" w:lineRule="auto" w:before="7" w:after="0"/>
        <w:ind w:left="477" w:right="0" w:hanging="360"/>
        <w:jc w:val="both"/>
        <w:rPr>
          <w:sz w:val="22"/>
        </w:rPr>
      </w:pPr>
      <w:r>
        <w:rPr>
          <w:color w:val="231F20"/>
          <w:sz w:val="22"/>
        </w:rPr>
        <w:t>Aplicación de cuestionarios: diciembre 2009-enero 2010.</w:t>
      </w:r>
    </w:p>
    <w:p>
      <w:pPr>
        <w:spacing w:after="0" w:line="240" w:lineRule="auto"/>
        <w:jc w:val="both"/>
        <w:rPr>
          <w:sz w:val="22"/>
        </w:rPr>
        <w:sectPr>
          <w:pgSz w:w="9360" w:h="13040"/>
          <w:pgMar w:header="0" w:footer="496" w:top="740" w:bottom="680" w:left="1300" w:right="1300"/>
        </w:sectPr>
      </w:pPr>
    </w:p>
    <w:p>
      <w:pPr>
        <w:spacing w:before="52"/>
        <w:ind w:left="124" w:right="-5" w:firstLine="0"/>
        <w:jc w:val="left"/>
        <w:rPr>
          <w:rFonts w:ascii="Arial" w:hAnsi="Arial"/>
          <w:sz w:val="20"/>
        </w:rPr>
      </w:pPr>
      <w:r>
        <w:rPr>
          <w:rFonts w:ascii="Arial" w:hAnsi="Arial"/>
          <w:color w:val="231F20"/>
          <w:w w:val="80"/>
          <w:sz w:val="20"/>
        </w:rPr>
        <w:t>Hitos</w:t>
      </w:r>
      <w:r>
        <w:rPr>
          <w:rFonts w:ascii="Arial" w:hAnsi="Arial"/>
          <w:color w:val="231F20"/>
          <w:spacing w:val="-23"/>
          <w:w w:val="80"/>
          <w:sz w:val="20"/>
        </w:rPr>
        <w:t> </w:t>
      </w:r>
      <w:r>
        <w:rPr>
          <w:rFonts w:ascii="Arial" w:hAnsi="Arial"/>
          <w:color w:val="231F20"/>
          <w:w w:val="80"/>
          <w:sz w:val="20"/>
        </w:rPr>
        <w:t>Demográficos</w:t>
      </w:r>
      <w:r>
        <w:rPr>
          <w:rFonts w:ascii="Arial" w:hAnsi="Arial"/>
          <w:color w:val="231F20"/>
          <w:spacing w:val="-23"/>
          <w:w w:val="80"/>
          <w:sz w:val="20"/>
        </w:rPr>
        <w:t> </w:t>
      </w:r>
      <w:r>
        <w:rPr>
          <w:rFonts w:ascii="Arial" w:hAnsi="Arial"/>
          <w:color w:val="231F20"/>
          <w:w w:val="80"/>
          <w:sz w:val="20"/>
        </w:rPr>
        <w:t>del</w:t>
      </w:r>
      <w:r>
        <w:rPr>
          <w:rFonts w:ascii="Arial" w:hAnsi="Arial"/>
          <w:color w:val="231F20"/>
          <w:spacing w:val="-23"/>
          <w:w w:val="80"/>
          <w:sz w:val="20"/>
        </w:rPr>
        <w:t> </w:t>
      </w:r>
      <w:r>
        <w:rPr>
          <w:rFonts w:ascii="Arial" w:hAnsi="Arial"/>
          <w:color w:val="231F20"/>
          <w:w w:val="80"/>
          <w:sz w:val="20"/>
        </w:rPr>
        <w:t>Siglo</w:t>
      </w:r>
      <w:r>
        <w:rPr>
          <w:rFonts w:ascii="Arial" w:hAnsi="Arial"/>
          <w:color w:val="231F20"/>
          <w:spacing w:val="-23"/>
          <w:w w:val="80"/>
          <w:sz w:val="20"/>
        </w:rPr>
        <w:t> </w:t>
      </w:r>
      <w:r>
        <w:rPr>
          <w:rFonts w:ascii="Arial" w:hAnsi="Arial"/>
          <w:color w:val="231F20"/>
          <w:w w:val="80"/>
          <w:sz w:val="20"/>
        </w:rPr>
        <w:t>XXI:</w:t>
      </w:r>
      <w:r>
        <w:rPr>
          <w:rFonts w:ascii="Arial" w:hAnsi="Arial"/>
          <w:color w:val="231F20"/>
          <w:spacing w:val="-23"/>
          <w:w w:val="80"/>
          <w:sz w:val="20"/>
        </w:rPr>
        <w:t> </w:t>
      </w:r>
      <w:r>
        <w:rPr>
          <w:rFonts w:ascii="Arial" w:hAnsi="Arial"/>
          <w:color w:val="231F20"/>
          <w:w w:val="80"/>
          <w:sz w:val="20"/>
        </w:rPr>
        <w:t>Migración</w:t>
      </w:r>
      <w:r>
        <w:rPr>
          <w:rFonts w:ascii="Arial" w:hAnsi="Arial"/>
          <w:color w:val="231F20"/>
          <w:spacing w:val="-23"/>
          <w:w w:val="80"/>
          <w:sz w:val="20"/>
        </w:rPr>
        <w:t> </w:t>
      </w:r>
      <w:r>
        <w:rPr>
          <w:rFonts w:ascii="Arial" w:hAnsi="Arial"/>
          <w:color w:val="231F20"/>
          <w:w w:val="80"/>
          <w:sz w:val="20"/>
        </w:rPr>
        <w:t>Internacional</w:t>
      </w:r>
    </w:p>
    <w:p>
      <w:pPr>
        <w:spacing w:before="54"/>
        <w:ind w:left="124" w:right="0" w:firstLine="0"/>
        <w:jc w:val="left"/>
        <w:rPr>
          <w:sz w:val="18"/>
        </w:rPr>
      </w:pPr>
      <w:r>
        <w:rPr/>
        <w:br w:type="column"/>
      </w:r>
      <w:r>
        <w:rPr>
          <w:color w:val="231F20"/>
          <w:sz w:val="18"/>
        </w:rPr>
        <w:t>CIEAP/UAEM</w:t>
      </w:r>
    </w:p>
    <w:p>
      <w:pPr>
        <w:spacing w:after="0"/>
        <w:jc w:val="left"/>
        <w:rPr>
          <w:sz w:val="18"/>
        </w:rPr>
        <w:sectPr>
          <w:pgSz w:w="9360" w:h="13040"/>
          <w:pgMar w:header="0" w:footer="496" w:top="840" w:bottom="680" w:left="1300" w:right="1300"/>
          <w:cols w:num="2" w:equalWidth="0">
            <w:col w:w="4101" w:space="1311"/>
            <w:col w:w="1348"/>
          </w:cols>
        </w:sectPr>
      </w:pPr>
    </w:p>
    <w:p>
      <w:pPr>
        <w:pStyle w:val="BodyText"/>
        <w:spacing w:before="4"/>
        <w:rPr>
          <w:sz w:val="13"/>
        </w:rPr>
      </w:pPr>
    </w:p>
    <w:p>
      <w:pPr>
        <w:spacing w:before="74"/>
        <w:ind w:left="117" w:right="0" w:firstLine="0"/>
        <w:jc w:val="both"/>
        <w:rPr>
          <w:sz w:val="20"/>
        </w:rPr>
      </w:pPr>
      <w:r>
        <w:rPr>
          <w:color w:val="231F20"/>
          <w:sz w:val="20"/>
        </w:rPr>
        <w:t>Dimensión de la muestra</w:t>
      </w:r>
    </w:p>
    <w:p>
      <w:pPr>
        <w:pStyle w:val="BodyText"/>
        <w:spacing w:before="8"/>
        <w:rPr>
          <w:sz w:val="15"/>
        </w:rPr>
      </w:pPr>
    </w:p>
    <w:p>
      <w:pPr>
        <w:pStyle w:val="BodyText"/>
        <w:spacing w:line="247" w:lineRule="auto" w:before="1"/>
        <w:ind w:left="117" w:right="114"/>
        <w:jc w:val="both"/>
      </w:pPr>
      <w:r>
        <w:rPr>
          <w:color w:val="231F20"/>
        </w:rPr>
        <w:t>Adicional a la poca disponibilidad de la población objetivo por brindar información, también se encontró que no había datos puntuales de la can- tidad de emigrantes y hogares con algún emigrante, para ello, con base en los</w:t>
      </w:r>
      <w:r>
        <w:rPr>
          <w:color w:val="231F20"/>
          <w:spacing w:val="-9"/>
        </w:rPr>
        <w:t> </w:t>
      </w:r>
      <w:r>
        <w:rPr>
          <w:color w:val="231F20"/>
        </w:rPr>
        <w:t>recorridos</w:t>
      </w:r>
      <w:r>
        <w:rPr>
          <w:color w:val="231F20"/>
          <w:spacing w:val="-10"/>
        </w:rPr>
        <w:t> </w:t>
      </w:r>
      <w:r>
        <w:rPr>
          <w:color w:val="231F20"/>
        </w:rPr>
        <w:t>de</w:t>
      </w:r>
      <w:r>
        <w:rPr>
          <w:color w:val="231F20"/>
          <w:spacing w:val="-9"/>
        </w:rPr>
        <w:t> </w:t>
      </w:r>
      <w:r>
        <w:rPr>
          <w:color w:val="231F20"/>
        </w:rPr>
        <w:t>campo</w:t>
      </w:r>
      <w:r>
        <w:rPr>
          <w:color w:val="231F20"/>
          <w:spacing w:val="-10"/>
        </w:rPr>
        <w:t> </w:t>
      </w:r>
      <w:r>
        <w:rPr>
          <w:color w:val="231F20"/>
        </w:rPr>
        <w:t>se</w:t>
      </w:r>
      <w:r>
        <w:rPr>
          <w:color w:val="231F20"/>
          <w:spacing w:val="-9"/>
        </w:rPr>
        <w:t> </w:t>
      </w:r>
      <w:r>
        <w:rPr>
          <w:color w:val="231F20"/>
        </w:rPr>
        <w:t>eligió</w:t>
      </w:r>
      <w:r>
        <w:rPr>
          <w:color w:val="231F20"/>
          <w:spacing w:val="-9"/>
        </w:rPr>
        <w:t> </w:t>
      </w:r>
      <w:r>
        <w:rPr>
          <w:color w:val="231F20"/>
        </w:rPr>
        <w:t>a</w:t>
      </w:r>
      <w:r>
        <w:rPr>
          <w:color w:val="231F20"/>
          <w:spacing w:val="-9"/>
        </w:rPr>
        <w:t> </w:t>
      </w:r>
      <w:r>
        <w:rPr>
          <w:color w:val="231F20"/>
        </w:rPr>
        <w:t>juicio</w:t>
      </w:r>
      <w:r>
        <w:rPr>
          <w:color w:val="231F20"/>
          <w:spacing w:val="-10"/>
        </w:rPr>
        <w:t> </w:t>
      </w:r>
      <w:r>
        <w:rPr>
          <w:color w:val="231F20"/>
        </w:rPr>
        <w:t>a</w:t>
      </w:r>
      <w:r>
        <w:rPr>
          <w:color w:val="231F20"/>
          <w:spacing w:val="-9"/>
        </w:rPr>
        <w:t> </w:t>
      </w:r>
      <w:r>
        <w:rPr>
          <w:color w:val="231F20"/>
        </w:rPr>
        <w:t>109</w:t>
      </w:r>
      <w:r>
        <w:rPr>
          <w:color w:val="231F20"/>
          <w:spacing w:val="-9"/>
        </w:rPr>
        <w:t> </w:t>
      </w:r>
      <w:r>
        <w:rPr>
          <w:color w:val="231F20"/>
        </w:rPr>
        <w:t>hogares</w:t>
      </w:r>
      <w:r>
        <w:rPr>
          <w:color w:val="231F20"/>
          <w:spacing w:val="-9"/>
        </w:rPr>
        <w:t> </w:t>
      </w:r>
      <w:r>
        <w:rPr>
          <w:color w:val="231F20"/>
        </w:rPr>
        <w:t>de</w:t>
      </w:r>
      <w:r>
        <w:rPr>
          <w:color w:val="231F20"/>
          <w:spacing w:val="-9"/>
        </w:rPr>
        <w:t> </w:t>
      </w:r>
      <w:r>
        <w:rPr>
          <w:color w:val="231F20"/>
        </w:rPr>
        <w:t>2</w:t>
      </w:r>
      <w:r>
        <w:rPr>
          <w:color w:val="231F20"/>
          <w:spacing w:val="-9"/>
        </w:rPr>
        <w:t> </w:t>
      </w:r>
      <w:r>
        <w:rPr>
          <w:color w:val="231F20"/>
        </w:rPr>
        <w:t>400</w:t>
      </w:r>
      <w:r>
        <w:rPr>
          <w:color w:val="231F20"/>
          <w:spacing w:val="-9"/>
        </w:rPr>
        <w:t> </w:t>
      </w:r>
      <w:r>
        <w:rPr>
          <w:color w:val="231F20"/>
        </w:rPr>
        <w:t>de</w:t>
      </w:r>
      <w:r>
        <w:rPr>
          <w:color w:val="231F20"/>
          <w:spacing w:val="-9"/>
        </w:rPr>
        <w:t> </w:t>
      </w:r>
      <w:r>
        <w:rPr>
          <w:color w:val="231F20"/>
        </w:rPr>
        <w:t>seis</w:t>
      </w:r>
      <w:r>
        <w:rPr>
          <w:color w:val="231F20"/>
          <w:spacing w:val="-9"/>
        </w:rPr>
        <w:t> </w:t>
      </w:r>
      <w:r>
        <w:rPr>
          <w:color w:val="231F20"/>
        </w:rPr>
        <w:t>lo- calidades que contaban con algún emigrante, siendo estos</w:t>
      </w:r>
      <w:r>
        <w:rPr>
          <w:color w:val="231F20"/>
          <w:spacing w:val="-42"/>
        </w:rPr>
        <w:t> </w:t>
      </w:r>
      <w:r>
        <w:rPr>
          <w:color w:val="231F20"/>
        </w:rPr>
        <w:t>Acatzingo, don- de se aplicaron 28 encuestas, Cabecera Municipal, donde se consideraron 30 hogares, Emiliano Zapata, diez encuestas, Tepetzingo nueve, Tepalcal- tepec 15 y en Terrenate se aplicaron 17 encuestas. Asimismo, se</w:t>
      </w:r>
      <w:r>
        <w:rPr>
          <w:color w:val="231F20"/>
          <w:spacing w:val="-25"/>
        </w:rPr>
        <w:t> </w:t>
      </w:r>
      <w:r>
        <w:rPr>
          <w:color w:val="231F20"/>
        </w:rPr>
        <w:t>aplicaron 30 de estos instrumentos a emigrantes que al momento de la realización del trabajo de campo se encontraban en sus hogares, cuya distribución por localidad es más o menos homogénea, tal como se aprecia en el Cuadro</w:t>
      </w:r>
      <w:r>
        <w:rPr>
          <w:color w:val="231F20"/>
          <w:spacing w:val="-9"/>
        </w:rPr>
        <w:t> </w:t>
      </w:r>
      <w:r>
        <w:rPr>
          <w:color w:val="231F20"/>
        </w:rPr>
        <w:t>3.</w:t>
      </w:r>
    </w:p>
    <w:p>
      <w:pPr>
        <w:tabs>
          <w:tab w:pos="6636" w:val="left" w:leader="none"/>
        </w:tabs>
        <w:spacing w:before="163" w:after="37"/>
        <w:ind w:left="185" w:right="0" w:firstLine="0"/>
        <w:jc w:val="both"/>
        <w:rPr>
          <w:sz w:val="19"/>
        </w:rPr>
      </w:pPr>
      <w:r>
        <w:rPr>
          <w:spacing w:val="22"/>
          <w:w w:val="103"/>
          <w:sz w:val="19"/>
          <w:u w:val="single"/>
        </w:rPr>
        <w:t> </w:t>
      </w:r>
      <w:r>
        <w:rPr>
          <w:w w:val="105"/>
          <w:sz w:val="19"/>
          <w:u w:val="single"/>
        </w:rPr>
        <w:t>Cuadro 3. Población</w:t>
      </w:r>
      <w:r>
        <w:rPr>
          <w:spacing w:val="-6"/>
          <w:w w:val="105"/>
          <w:sz w:val="19"/>
          <w:u w:val="single"/>
        </w:rPr>
        <w:t> </w:t>
      </w:r>
      <w:r>
        <w:rPr>
          <w:w w:val="105"/>
          <w:sz w:val="19"/>
          <w:u w:val="single"/>
        </w:rPr>
        <w:t>muestreada</w:t>
      </w:r>
      <w:r>
        <w:rPr>
          <w:sz w:val="19"/>
          <w:u w:val="single"/>
        </w:rPr>
        <w:tab/>
      </w:r>
    </w:p>
    <w:tbl>
      <w:tblPr>
        <w:tblW w:w="0" w:type="auto"/>
        <w:jc w:val="left"/>
        <w:tblInd w:w="18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95"/>
        <w:gridCol w:w="2979"/>
        <w:gridCol w:w="977"/>
      </w:tblGrid>
      <w:tr>
        <w:trPr>
          <w:trHeight w:val="310" w:hRule="exact"/>
        </w:trPr>
        <w:tc>
          <w:tcPr>
            <w:tcW w:w="2495" w:type="dxa"/>
            <w:tcBorders>
              <w:bottom w:val="double" w:sz="4" w:space="0" w:color="000000"/>
            </w:tcBorders>
          </w:tcPr>
          <w:p>
            <w:pPr>
              <w:pStyle w:val="TableParagraph"/>
              <w:spacing w:before="70"/>
              <w:ind w:left="72"/>
              <w:jc w:val="left"/>
              <w:rPr>
                <w:sz w:val="19"/>
              </w:rPr>
            </w:pPr>
            <w:r>
              <w:rPr>
                <w:w w:val="105"/>
                <w:sz w:val="19"/>
              </w:rPr>
              <w:t>Localidad</w:t>
            </w:r>
          </w:p>
        </w:tc>
        <w:tc>
          <w:tcPr>
            <w:tcW w:w="2979" w:type="dxa"/>
            <w:tcBorders>
              <w:bottom w:val="double" w:sz="4" w:space="0" w:color="000000"/>
            </w:tcBorders>
          </w:tcPr>
          <w:p>
            <w:pPr>
              <w:pStyle w:val="TableParagraph"/>
              <w:spacing w:before="70"/>
              <w:ind w:left="1269" w:right="-26"/>
              <w:jc w:val="left"/>
              <w:rPr>
                <w:sz w:val="19"/>
              </w:rPr>
            </w:pPr>
            <w:r>
              <w:rPr>
                <w:w w:val="105"/>
                <w:sz w:val="19"/>
              </w:rPr>
              <w:t>Población</w:t>
            </w:r>
            <w:r>
              <w:rPr>
                <w:spacing w:val="-7"/>
                <w:w w:val="105"/>
                <w:sz w:val="19"/>
              </w:rPr>
              <w:t> </w:t>
            </w:r>
            <w:r>
              <w:rPr>
                <w:w w:val="105"/>
                <w:sz w:val="19"/>
              </w:rPr>
              <w:t>encuestada</w:t>
            </w:r>
          </w:p>
        </w:tc>
        <w:tc>
          <w:tcPr>
            <w:tcW w:w="977" w:type="dxa"/>
            <w:tcBorders>
              <w:bottom w:val="double" w:sz="4" w:space="0" w:color="000000"/>
            </w:tcBorders>
          </w:tcPr>
          <w:p>
            <w:pPr/>
          </w:p>
        </w:tc>
      </w:tr>
      <w:tr>
        <w:trPr>
          <w:trHeight w:val="379" w:hRule="exact"/>
        </w:trPr>
        <w:tc>
          <w:tcPr>
            <w:tcW w:w="2495" w:type="dxa"/>
            <w:tcBorders>
              <w:top w:val="double" w:sz="4" w:space="0" w:color="000000"/>
            </w:tcBorders>
          </w:tcPr>
          <w:p>
            <w:pPr/>
          </w:p>
        </w:tc>
        <w:tc>
          <w:tcPr>
            <w:tcW w:w="2979" w:type="dxa"/>
            <w:tcBorders>
              <w:top w:val="double" w:sz="4" w:space="0" w:color="000000"/>
            </w:tcBorders>
          </w:tcPr>
          <w:p>
            <w:pPr>
              <w:pStyle w:val="TableParagraph"/>
              <w:spacing w:before="91"/>
              <w:ind w:left="708" w:right="-26"/>
              <w:jc w:val="left"/>
              <w:rPr>
                <w:sz w:val="19"/>
              </w:rPr>
            </w:pPr>
            <w:r>
              <w:rPr>
                <w:w w:val="105"/>
                <w:sz w:val="19"/>
              </w:rPr>
              <w:t>Hogares</w:t>
            </w:r>
          </w:p>
        </w:tc>
        <w:tc>
          <w:tcPr>
            <w:tcW w:w="977" w:type="dxa"/>
            <w:tcBorders>
              <w:top w:val="double" w:sz="4" w:space="0" w:color="000000"/>
            </w:tcBorders>
          </w:tcPr>
          <w:p>
            <w:pPr>
              <w:pStyle w:val="TableParagraph"/>
              <w:spacing w:before="91"/>
              <w:ind w:right="65"/>
              <w:rPr>
                <w:sz w:val="19"/>
              </w:rPr>
            </w:pPr>
            <w:r>
              <w:rPr>
                <w:sz w:val="19"/>
              </w:rPr>
              <w:t>Emigrantes</w:t>
            </w:r>
          </w:p>
        </w:tc>
      </w:tr>
      <w:tr>
        <w:trPr>
          <w:trHeight w:val="314" w:hRule="exact"/>
        </w:trPr>
        <w:tc>
          <w:tcPr>
            <w:tcW w:w="2495" w:type="dxa"/>
          </w:tcPr>
          <w:p>
            <w:pPr>
              <w:pStyle w:val="TableParagraph"/>
              <w:spacing w:before="38"/>
              <w:ind w:left="72"/>
              <w:jc w:val="left"/>
              <w:rPr>
                <w:sz w:val="19"/>
              </w:rPr>
            </w:pPr>
            <w:r>
              <w:rPr>
                <w:w w:val="105"/>
                <w:sz w:val="19"/>
              </w:rPr>
              <w:t>Acatzingo</w:t>
            </w:r>
          </w:p>
        </w:tc>
        <w:tc>
          <w:tcPr>
            <w:tcW w:w="2979" w:type="dxa"/>
          </w:tcPr>
          <w:p>
            <w:pPr>
              <w:pStyle w:val="TableParagraph"/>
              <w:spacing w:before="38"/>
              <w:ind w:left="1056" w:right="1484"/>
              <w:jc w:val="center"/>
              <w:rPr>
                <w:sz w:val="19"/>
              </w:rPr>
            </w:pPr>
            <w:r>
              <w:rPr>
                <w:w w:val="105"/>
                <w:sz w:val="19"/>
              </w:rPr>
              <w:t>28</w:t>
            </w:r>
          </w:p>
        </w:tc>
        <w:tc>
          <w:tcPr>
            <w:tcW w:w="977" w:type="dxa"/>
          </w:tcPr>
          <w:p>
            <w:pPr>
              <w:pStyle w:val="TableParagraph"/>
              <w:spacing w:before="38"/>
              <w:ind w:right="67"/>
              <w:rPr>
                <w:sz w:val="19"/>
              </w:rPr>
            </w:pPr>
            <w:r>
              <w:rPr>
                <w:w w:val="103"/>
                <w:sz w:val="19"/>
              </w:rPr>
              <w:t>5</w:t>
            </w:r>
          </w:p>
        </w:tc>
      </w:tr>
      <w:tr>
        <w:trPr>
          <w:trHeight w:val="314" w:hRule="exact"/>
        </w:trPr>
        <w:tc>
          <w:tcPr>
            <w:tcW w:w="2495" w:type="dxa"/>
          </w:tcPr>
          <w:p>
            <w:pPr>
              <w:pStyle w:val="TableParagraph"/>
              <w:spacing w:before="41"/>
              <w:ind w:left="72"/>
              <w:jc w:val="left"/>
              <w:rPr>
                <w:sz w:val="19"/>
              </w:rPr>
            </w:pPr>
            <w:r>
              <w:rPr>
                <w:w w:val="105"/>
                <w:sz w:val="19"/>
              </w:rPr>
              <w:t>Col. Centro</w:t>
            </w:r>
          </w:p>
        </w:tc>
        <w:tc>
          <w:tcPr>
            <w:tcW w:w="2979" w:type="dxa"/>
          </w:tcPr>
          <w:p>
            <w:pPr>
              <w:pStyle w:val="TableParagraph"/>
              <w:spacing w:before="41"/>
              <w:ind w:left="1056" w:right="1484"/>
              <w:jc w:val="center"/>
              <w:rPr>
                <w:sz w:val="19"/>
              </w:rPr>
            </w:pPr>
            <w:r>
              <w:rPr>
                <w:w w:val="105"/>
                <w:sz w:val="19"/>
              </w:rPr>
              <w:t>30</w:t>
            </w:r>
          </w:p>
        </w:tc>
        <w:tc>
          <w:tcPr>
            <w:tcW w:w="977" w:type="dxa"/>
          </w:tcPr>
          <w:p>
            <w:pPr>
              <w:pStyle w:val="TableParagraph"/>
              <w:spacing w:before="41"/>
              <w:ind w:right="67"/>
              <w:rPr>
                <w:sz w:val="19"/>
              </w:rPr>
            </w:pPr>
            <w:r>
              <w:rPr>
                <w:w w:val="103"/>
                <w:sz w:val="19"/>
              </w:rPr>
              <w:t>7</w:t>
            </w:r>
          </w:p>
        </w:tc>
      </w:tr>
      <w:tr>
        <w:trPr>
          <w:trHeight w:val="314" w:hRule="exact"/>
        </w:trPr>
        <w:tc>
          <w:tcPr>
            <w:tcW w:w="2495" w:type="dxa"/>
          </w:tcPr>
          <w:p>
            <w:pPr>
              <w:pStyle w:val="TableParagraph"/>
              <w:spacing w:before="38"/>
              <w:ind w:left="72"/>
              <w:jc w:val="left"/>
              <w:rPr>
                <w:sz w:val="19"/>
              </w:rPr>
            </w:pPr>
            <w:r>
              <w:rPr>
                <w:w w:val="105"/>
                <w:sz w:val="19"/>
              </w:rPr>
              <w:t>Col. Emiliano Zapata</w:t>
            </w:r>
          </w:p>
        </w:tc>
        <w:tc>
          <w:tcPr>
            <w:tcW w:w="2979" w:type="dxa"/>
          </w:tcPr>
          <w:p>
            <w:pPr>
              <w:pStyle w:val="TableParagraph"/>
              <w:spacing w:before="38"/>
              <w:ind w:left="1056" w:right="1484"/>
              <w:jc w:val="center"/>
              <w:rPr>
                <w:sz w:val="19"/>
              </w:rPr>
            </w:pPr>
            <w:r>
              <w:rPr>
                <w:w w:val="105"/>
                <w:sz w:val="19"/>
              </w:rPr>
              <w:t>10</w:t>
            </w:r>
          </w:p>
        </w:tc>
        <w:tc>
          <w:tcPr>
            <w:tcW w:w="977" w:type="dxa"/>
          </w:tcPr>
          <w:p>
            <w:pPr>
              <w:pStyle w:val="TableParagraph"/>
              <w:spacing w:before="38"/>
              <w:ind w:right="65"/>
              <w:rPr>
                <w:sz w:val="19"/>
              </w:rPr>
            </w:pPr>
            <w:r>
              <w:rPr>
                <w:w w:val="103"/>
                <w:sz w:val="19"/>
              </w:rPr>
              <w:t>4</w:t>
            </w:r>
          </w:p>
        </w:tc>
      </w:tr>
      <w:tr>
        <w:trPr>
          <w:trHeight w:val="317" w:hRule="exact"/>
        </w:trPr>
        <w:tc>
          <w:tcPr>
            <w:tcW w:w="2495" w:type="dxa"/>
          </w:tcPr>
          <w:p>
            <w:pPr>
              <w:pStyle w:val="TableParagraph"/>
              <w:spacing w:before="41"/>
              <w:ind w:left="72"/>
              <w:jc w:val="left"/>
              <w:rPr>
                <w:sz w:val="19"/>
              </w:rPr>
            </w:pPr>
            <w:r>
              <w:rPr>
                <w:w w:val="105"/>
                <w:sz w:val="19"/>
              </w:rPr>
              <w:t>Tepetzingo</w:t>
            </w:r>
          </w:p>
        </w:tc>
        <w:tc>
          <w:tcPr>
            <w:tcW w:w="2979" w:type="dxa"/>
          </w:tcPr>
          <w:p>
            <w:pPr>
              <w:pStyle w:val="TableParagraph"/>
              <w:spacing w:before="41"/>
              <w:ind w:right="329"/>
              <w:jc w:val="center"/>
              <w:rPr>
                <w:sz w:val="19"/>
              </w:rPr>
            </w:pPr>
            <w:r>
              <w:rPr>
                <w:w w:val="103"/>
                <w:sz w:val="19"/>
              </w:rPr>
              <w:t>9</w:t>
            </w:r>
          </w:p>
        </w:tc>
        <w:tc>
          <w:tcPr>
            <w:tcW w:w="977" w:type="dxa"/>
          </w:tcPr>
          <w:p>
            <w:pPr>
              <w:pStyle w:val="TableParagraph"/>
              <w:spacing w:before="41"/>
              <w:ind w:right="66"/>
              <w:rPr>
                <w:sz w:val="19"/>
              </w:rPr>
            </w:pPr>
            <w:r>
              <w:rPr>
                <w:w w:val="103"/>
                <w:sz w:val="19"/>
              </w:rPr>
              <w:t>5</w:t>
            </w:r>
          </w:p>
        </w:tc>
      </w:tr>
      <w:tr>
        <w:trPr>
          <w:trHeight w:val="314" w:hRule="exact"/>
        </w:trPr>
        <w:tc>
          <w:tcPr>
            <w:tcW w:w="2495" w:type="dxa"/>
          </w:tcPr>
          <w:p>
            <w:pPr>
              <w:pStyle w:val="TableParagraph"/>
              <w:spacing w:before="41"/>
              <w:ind w:left="72"/>
              <w:jc w:val="left"/>
              <w:rPr>
                <w:sz w:val="19"/>
              </w:rPr>
            </w:pPr>
            <w:r>
              <w:rPr>
                <w:w w:val="105"/>
                <w:sz w:val="19"/>
              </w:rPr>
              <w:t>Tepalcatepec</w:t>
            </w:r>
          </w:p>
        </w:tc>
        <w:tc>
          <w:tcPr>
            <w:tcW w:w="2979" w:type="dxa"/>
          </w:tcPr>
          <w:p>
            <w:pPr>
              <w:pStyle w:val="TableParagraph"/>
              <w:spacing w:before="41"/>
              <w:ind w:left="1056" w:right="1484"/>
              <w:jc w:val="center"/>
              <w:rPr>
                <w:sz w:val="19"/>
              </w:rPr>
            </w:pPr>
            <w:r>
              <w:rPr>
                <w:w w:val="105"/>
                <w:sz w:val="19"/>
              </w:rPr>
              <w:t>15</w:t>
            </w:r>
          </w:p>
        </w:tc>
        <w:tc>
          <w:tcPr>
            <w:tcW w:w="977" w:type="dxa"/>
          </w:tcPr>
          <w:p>
            <w:pPr>
              <w:pStyle w:val="TableParagraph"/>
              <w:spacing w:before="41"/>
              <w:ind w:right="67"/>
              <w:rPr>
                <w:sz w:val="19"/>
              </w:rPr>
            </w:pPr>
            <w:r>
              <w:rPr>
                <w:w w:val="103"/>
                <w:sz w:val="19"/>
              </w:rPr>
              <w:t>5</w:t>
            </w:r>
          </w:p>
        </w:tc>
      </w:tr>
      <w:tr>
        <w:trPr>
          <w:trHeight w:val="314" w:hRule="exact"/>
        </w:trPr>
        <w:tc>
          <w:tcPr>
            <w:tcW w:w="2495" w:type="dxa"/>
          </w:tcPr>
          <w:p>
            <w:pPr>
              <w:pStyle w:val="TableParagraph"/>
              <w:spacing w:before="38"/>
              <w:ind w:left="72"/>
              <w:jc w:val="left"/>
              <w:rPr>
                <w:sz w:val="19"/>
              </w:rPr>
            </w:pPr>
            <w:r>
              <w:rPr>
                <w:w w:val="105"/>
                <w:sz w:val="19"/>
              </w:rPr>
              <w:t>Terrenate</w:t>
            </w:r>
          </w:p>
        </w:tc>
        <w:tc>
          <w:tcPr>
            <w:tcW w:w="2979" w:type="dxa"/>
          </w:tcPr>
          <w:p>
            <w:pPr>
              <w:pStyle w:val="TableParagraph"/>
              <w:spacing w:before="38"/>
              <w:ind w:left="1056" w:right="1484"/>
              <w:jc w:val="center"/>
              <w:rPr>
                <w:sz w:val="19"/>
              </w:rPr>
            </w:pPr>
            <w:r>
              <w:rPr>
                <w:w w:val="105"/>
                <w:sz w:val="19"/>
              </w:rPr>
              <w:t>17</w:t>
            </w:r>
          </w:p>
        </w:tc>
        <w:tc>
          <w:tcPr>
            <w:tcW w:w="977" w:type="dxa"/>
          </w:tcPr>
          <w:p>
            <w:pPr>
              <w:pStyle w:val="TableParagraph"/>
              <w:spacing w:before="38"/>
              <w:ind w:right="67"/>
              <w:rPr>
                <w:sz w:val="19"/>
              </w:rPr>
            </w:pPr>
            <w:r>
              <w:rPr>
                <w:w w:val="103"/>
                <w:sz w:val="19"/>
              </w:rPr>
              <w:t>4</w:t>
            </w:r>
          </w:p>
        </w:tc>
      </w:tr>
      <w:tr>
        <w:trPr>
          <w:trHeight w:val="281" w:hRule="exact"/>
        </w:trPr>
        <w:tc>
          <w:tcPr>
            <w:tcW w:w="2495" w:type="dxa"/>
            <w:tcBorders>
              <w:bottom w:val="double" w:sz="4" w:space="0" w:color="000000"/>
            </w:tcBorders>
          </w:tcPr>
          <w:p>
            <w:pPr>
              <w:pStyle w:val="TableParagraph"/>
              <w:spacing w:before="41"/>
              <w:ind w:left="72"/>
              <w:jc w:val="left"/>
              <w:rPr>
                <w:sz w:val="19"/>
              </w:rPr>
            </w:pPr>
            <w:r>
              <w:rPr>
                <w:w w:val="105"/>
                <w:sz w:val="19"/>
              </w:rPr>
              <w:t>Total</w:t>
            </w:r>
          </w:p>
        </w:tc>
        <w:tc>
          <w:tcPr>
            <w:tcW w:w="2979" w:type="dxa"/>
            <w:tcBorders>
              <w:bottom w:val="double" w:sz="4" w:space="0" w:color="000000"/>
            </w:tcBorders>
          </w:tcPr>
          <w:p>
            <w:pPr>
              <w:pStyle w:val="TableParagraph"/>
              <w:spacing w:before="41"/>
              <w:ind w:left="1055" w:right="1583"/>
              <w:jc w:val="center"/>
              <w:rPr>
                <w:sz w:val="19"/>
              </w:rPr>
            </w:pPr>
            <w:r>
              <w:rPr>
                <w:w w:val="105"/>
                <w:sz w:val="19"/>
              </w:rPr>
              <w:t>109</w:t>
            </w:r>
          </w:p>
        </w:tc>
        <w:tc>
          <w:tcPr>
            <w:tcW w:w="977" w:type="dxa"/>
            <w:tcBorders>
              <w:bottom w:val="double" w:sz="4" w:space="0" w:color="000000"/>
            </w:tcBorders>
          </w:tcPr>
          <w:p>
            <w:pPr>
              <w:pStyle w:val="TableParagraph"/>
              <w:spacing w:before="41"/>
              <w:ind w:right="64"/>
              <w:rPr>
                <w:sz w:val="19"/>
              </w:rPr>
            </w:pPr>
            <w:r>
              <w:rPr>
                <w:sz w:val="19"/>
              </w:rPr>
              <w:t>30</w:t>
            </w:r>
          </w:p>
        </w:tc>
      </w:tr>
    </w:tbl>
    <w:p>
      <w:pPr>
        <w:spacing w:line="169" w:lineRule="exact" w:before="0"/>
        <w:ind w:left="257" w:right="117" w:firstLine="0"/>
        <w:jc w:val="left"/>
        <w:rPr>
          <w:sz w:val="16"/>
        </w:rPr>
      </w:pPr>
      <w:r>
        <w:rPr>
          <w:sz w:val="16"/>
        </w:rPr>
        <w:t>Fuente: elaboración propia con base en trabajo de campo, diciembre 2009-enero 2010.</w:t>
      </w:r>
    </w:p>
    <w:p>
      <w:pPr>
        <w:pStyle w:val="BodyText"/>
        <w:spacing w:before="4"/>
        <w:rPr>
          <w:sz w:val="15"/>
        </w:rPr>
      </w:pPr>
    </w:p>
    <w:p>
      <w:pPr>
        <w:spacing w:before="72"/>
        <w:ind w:left="117" w:right="0" w:firstLine="0"/>
        <w:jc w:val="both"/>
        <w:rPr>
          <w:i/>
          <w:sz w:val="22"/>
        </w:rPr>
      </w:pPr>
      <w:r>
        <w:rPr>
          <w:i/>
          <w:color w:val="231F20"/>
          <w:sz w:val="22"/>
        </w:rPr>
        <w:t>Características de la población encuestada</w:t>
      </w:r>
    </w:p>
    <w:p>
      <w:pPr>
        <w:pStyle w:val="BodyText"/>
        <w:spacing w:line="247" w:lineRule="auto" w:before="177"/>
        <w:ind w:left="117" w:right="114"/>
        <w:jc w:val="both"/>
      </w:pPr>
      <w:r>
        <w:rPr>
          <w:color w:val="231F20"/>
        </w:rPr>
        <w:t>Es</w:t>
      </w:r>
      <w:r>
        <w:rPr>
          <w:color w:val="231F20"/>
          <w:spacing w:val="-11"/>
        </w:rPr>
        <w:t> </w:t>
      </w:r>
      <w:r>
        <w:rPr>
          <w:color w:val="231F20"/>
        </w:rPr>
        <w:t>importante</w:t>
      </w:r>
      <w:r>
        <w:rPr>
          <w:color w:val="231F20"/>
          <w:spacing w:val="-11"/>
        </w:rPr>
        <w:t> </w:t>
      </w:r>
      <w:r>
        <w:rPr>
          <w:color w:val="231F20"/>
        </w:rPr>
        <w:t>mencionar</w:t>
      </w:r>
      <w:r>
        <w:rPr>
          <w:color w:val="231F20"/>
          <w:spacing w:val="-11"/>
        </w:rPr>
        <w:t> </w:t>
      </w:r>
      <w:r>
        <w:rPr>
          <w:color w:val="231F20"/>
        </w:rPr>
        <w:t>que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población</w:t>
      </w:r>
      <w:r>
        <w:rPr>
          <w:color w:val="231F20"/>
          <w:spacing w:val="-11"/>
        </w:rPr>
        <w:t> </w:t>
      </w:r>
      <w:r>
        <w:rPr>
          <w:color w:val="231F20"/>
        </w:rPr>
        <w:t>total</w:t>
      </w:r>
      <w:r>
        <w:rPr>
          <w:color w:val="231F20"/>
          <w:spacing w:val="-11"/>
        </w:rPr>
        <w:t> </w:t>
      </w:r>
      <w:r>
        <w:rPr>
          <w:color w:val="231F20"/>
        </w:rPr>
        <w:t>encuestada,</w:t>
      </w:r>
      <w:r>
        <w:rPr>
          <w:color w:val="231F20"/>
          <w:spacing w:val="-11"/>
        </w:rPr>
        <w:t> </w:t>
      </w:r>
      <w:r>
        <w:rPr>
          <w:color w:val="231F20"/>
        </w:rPr>
        <w:t>57</w:t>
      </w:r>
      <w:r>
        <w:rPr>
          <w:color w:val="231F20"/>
          <w:spacing w:val="-11"/>
        </w:rPr>
        <w:t> </w:t>
      </w:r>
      <w:r>
        <w:rPr>
          <w:color w:val="231F20"/>
        </w:rPr>
        <w:t>por</w:t>
      </w:r>
      <w:r>
        <w:rPr>
          <w:color w:val="231F20"/>
          <w:spacing w:val="-11"/>
        </w:rPr>
        <w:t> </w:t>
      </w:r>
      <w:r>
        <w:rPr>
          <w:color w:val="231F20"/>
        </w:rPr>
        <w:t>cien- to fueron mujeres casadas con más de 40 años de edad, lo que permite inferir que en la mayoría de los hogares de dicho municipio hay ausencia del jefe de familia, en razón de encontrarse trabajando en el lugar o fuera del país. Asimismo, esta ausencia es explicada por la carencia de fuen-   tes de ocupación segura y bien remunerada, pues la percepción promedio mensual de 53 por ciento de estos es de apenas 1 650 pesos. En tanto, siete por ciento de la población tiene un ingreso promedio mensual de      5 775 pesos, que si bien puede considerarse atractivo, no deja de repre- sentar</w:t>
      </w:r>
      <w:r>
        <w:rPr>
          <w:color w:val="231F20"/>
          <w:spacing w:val="-4"/>
        </w:rPr>
        <w:t> </w:t>
      </w:r>
      <w:r>
        <w:rPr>
          <w:color w:val="231F20"/>
        </w:rPr>
        <w:t>una</w:t>
      </w:r>
      <w:r>
        <w:rPr>
          <w:color w:val="231F20"/>
          <w:spacing w:val="-4"/>
        </w:rPr>
        <w:t> </w:t>
      </w:r>
      <w:r>
        <w:rPr>
          <w:color w:val="231F20"/>
        </w:rPr>
        <w:t>limitante</w:t>
      </w:r>
      <w:r>
        <w:rPr>
          <w:color w:val="231F20"/>
          <w:spacing w:val="-4"/>
        </w:rPr>
        <w:t> </w:t>
      </w:r>
      <w:r>
        <w:rPr>
          <w:color w:val="231F20"/>
        </w:rPr>
        <w:t>para</w:t>
      </w:r>
      <w:r>
        <w:rPr>
          <w:color w:val="231F20"/>
          <w:spacing w:val="-4"/>
        </w:rPr>
        <w:t> </w:t>
      </w:r>
      <w:r>
        <w:rPr>
          <w:color w:val="231F20"/>
        </w:rPr>
        <w:t>el</w:t>
      </w:r>
      <w:r>
        <w:rPr>
          <w:color w:val="231F20"/>
          <w:spacing w:val="-4"/>
        </w:rPr>
        <w:t> </w:t>
      </w:r>
      <w:r>
        <w:rPr>
          <w:color w:val="231F20"/>
        </w:rPr>
        <w:t>sustento</w:t>
      </w:r>
      <w:r>
        <w:rPr>
          <w:color w:val="231F20"/>
          <w:spacing w:val="-4"/>
        </w:rPr>
        <w:t> </w:t>
      </w:r>
      <w:r>
        <w:rPr>
          <w:color w:val="231F20"/>
        </w:rPr>
        <w:t>familiar,</w:t>
      </w:r>
      <w:r>
        <w:rPr>
          <w:color w:val="231F20"/>
          <w:spacing w:val="-4"/>
        </w:rPr>
        <w:t> </w:t>
      </w:r>
      <w:r>
        <w:rPr>
          <w:color w:val="231F20"/>
        </w:rPr>
        <w:t>ya</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vuelve</w:t>
      </w:r>
      <w:r>
        <w:rPr>
          <w:color w:val="231F20"/>
          <w:spacing w:val="-4"/>
        </w:rPr>
        <w:t> </w:t>
      </w:r>
      <w:r>
        <w:rPr>
          <w:color w:val="231F20"/>
        </w:rPr>
        <w:t>insuficiente</w:t>
      </w:r>
    </w:p>
    <w:p>
      <w:pPr>
        <w:spacing w:after="0" w:line="247" w:lineRule="auto"/>
        <w:jc w:val="both"/>
        <w:sectPr>
          <w:type w:val="continuous"/>
          <w:pgSz w:w="9360" w:h="13040"/>
          <w:pgMar w:top="0" w:bottom="0" w:left="1300" w:right="1300"/>
        </w:sectPr>
      </w:pPr>
    </w:p>
    <w:p>
      <w:pPr>
        <w:spacing w:before="45"/>
        <w:ind w:left="117" w:right="0" w:firstLine="703"/>
        <w:jc w:val="left"/>
        <w:rPr>
          <w:rFonts w:ascii="Arial" w:hAnsi="Arial"/>
          <w:sz w:val="20"/>
        </w:rPr>
      </w:pPr>
      <w:r>
        <w:rPr>
          <w:rFonts w:ascii="Arial" w:hAnsi="Arial"/>
          <w:color w:val="231F20"/>
          <w:w w:val="70"/>
          <w:sz w:val="20"/>
        </w:rPr>
        <w:t>Migración y remesas internacionales, efectos sobre la economía local...   /David Iglesias-Piña</w:t>
      </w:r>
    </w:p>
    <w:p>
      <w:pPr>
        <w:pStyle w:val="BodyText"/>
        <w:spacing w:before="7"/>
        <w:rPr>
          <w:rFonts w:ascii="Arial"/>
          <w:sz w:val="28"/>
        </w:rPr>
      </w:pPr>
    </w:p>
    <w:p>
      <w:pPr>
        <w:pStyle w:val="BodyText"/>
        <w:spacing w:line="247" w:lineRule="auto"/>
        <w:ind w:left="117" w:right="115"/>
        <w:jc w:val="both"/>
      </w:pPr>
      <w:r>
        <w:rPr>
          <w:color w:val="231F20"/>
        </w:rPr>
        <w:t>ante el encarecimiento de los productos de la canasta básica, por ello, el jefe de familia tiene que buscar la forma de complementar dicha carencia, siendo su principal alternativa la emigración internacional.</w:t>
      </w:r>
    </w:p>
    <w:p>
      <w:pPr>
        <w:spacing w:before="149"/>
        <w:ind w:left="117" w:right="0" w:firstLine="0"/>
        <w:jc w:val="both"/>
        <w:rPr>
          <w:i/>
          <w:sz w:val="22"/>
        </w:rPr>
      </w:pPr>
      <w:r>
        <w:rPr>
          <w:i/>
          <w:color w:val="231F20"/>
          <w:sz w:val="22"/>
        </w:rPr>
        <w:t>Características de los migrantes locales</w:t>
      </w:r>
    </w:p>
    <w:p>
      <w:pPr>
        <w:pStyle w:val="BodyText"/>
        <w:spacing w:line="247" w:lineRule="auto" w:before="177"/>
        <w:ind w:left="117" w:right="114"/>
        <w:jc w:val="both"/>
      </w:pPr>
      <w:r>
        <w:rPr>
          <w:color w:val="231F20"/>
        </w:rPr>
        <w:t>Los desplazamientos de la población local hacia el exterior constituyen</w:t>
      </w:r>
      <w:r>
        <w:rPr>
          <w:color w:val="231F20"/>
          <w:spacing w:val="-22"/>
        </w:rPr>
        <w:t> </w:t>
      </w:r>
      <w:r>
        <w:rPr>
          <w:color w:val="231F20"/>
        </w:rPr>
        <w:t>un aspecto común en el desenvolvimiento del municipio de Tenancingo,</w:t>
      </w:r>
      <w:r>
        <w:rPr>
          <w:color w:val="231F20"/>
          <w:spacing w:val="-38"/>
        </w:rPr>
        <w:t> </w:t>
      </w:r>
      <w:r>
        <w:rPr>
          <w:color w:val="231F20"/>
        </w:rPr>
        <w:t>pues ya</w:t>
      </w:r>
      <w:r>
        <w:rPr>
          <w:color w:val="231F20"/>
          <w:spacing w:val="-8"/>
        </w:rPr>
        <w:t> </w:t>
      </w:r>
      <w:r>
        <w:rPr>
          <w:color w:val="231F20"/>
        </w:rPr>
        <w:t>no</w:t>
      </w:r>
      <w:r>
        <w:rPr>
          <w:color w:val="231F20"/>
          <w:spacing w:val="-8"/>
        </w:rPr>
        <w:t> </w:t>
      </w:r>
      <w:r>
        <w:rPr>
          <w:color w:val="231F20"/>
        </w:rPr>
        <w:t>provoca</w:t>
      </w:r>
      <w:r>
        <w:rPr>
          <w:color w:val="231F20"/>
          <w:spacing w:val="-8"/>
        </w:rPr>
        <w:t> </w:t>
      </w:r>
      <w:r>
        <w:rPr>
          <w:color w:val="231F20"/>
        </w:rPr>
        <w:t>extrañeza</w:t>
      </w:r>
      <w:r>
        <w:rPr>
          <w:color w:val="231F20"/>
          <w:spacing w:val="-9"/>
        </w:rPr>
        <w:t> </w:t>
      </w:r>
      <w:r>
        <w:rPr>
          <w:color w:val="231F20"/>
        </w:rPr>
        <w:t>que</w:t>
      </w:r>
      <w:r>
        <w:rPr>
          <w:color w:val="231F20"/>
          <w:spacing w:val="-8"/>
        </w:rPr>
        <w:t> </w:t>
      </w:r>
      <w:r>
        <w:rPr>
          <w:color w:val="231F20"/>
        </w:rPr>
        <w:t>la</w:t>
      </w:r>
      <w:r>
        <w:rPr>
          <w:color w:val="231F20"/>
          <w:spacing w:val="-8"/>
        </w:rPr>
        <w:t> </w:t>
      </w:r>
      <w:r>
        <w:rPr>
          <w:color w:val="231F20"/>
        </w:rPr>
        <w:t>población</w:t>
      </w:r>
      <w:r>
        <w:rPr>
          <w:color w:val="231F20"/>
          <w:spacing w:val="-8"/>
        </w:rPr>
        <w:t> </w:t>
      </w:r>
      <w:r>
        <w:rPr>
          <w:color w:val="231F20"/>
        </w:rPr>
        <w:t>en</w:t>
      </w:r>
      <w:r>
        <w:rPr>
          <w:color w:val="231F20"/>
          <w:spacing w:val="-8"/>
        </w:rPr>
        <w:t> </w:t>
      </w:r>
      <w:r>
        <w:rPr>
          <w:color w:val="231F20"/>
        </w:rPr>
        <w:t>edad</w:t>
      </w:r>
      <w:r>
        <w:rPr>
          <w:color w:val="231F20"/>
          <w:spacing w:val="-8"/>
        </w:rPr>
        <w:t> </w:t>
      </w:r>
      <w:r>
        <w:rPr>
          <w:color w:val="231F20"/>
        </w:rPr>
        <w:t>laboral</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encuentra oportunidad en la localidad o región o sí la encuentra pero ésta no cumple con</w:t>
      </w:r>
      <w:r>
        <w:rPr>
          <w:color w:val="231F20"/>
          <w:spacing w:val="-12"/>
        </w:rPr>
        <w:t> </w:t>
      </w:r>
      <w:r>
        <w:rPr>
          <w:color w:val="231F20"/>
        </w:rPr>
        <w:t>sus</w:t>
      </w:r>
      <w:r>
        <w:rPr>
          <w:color w:val="231F20"/>
          <w:spacing w:val="-12"/>
        </w:rPr>
        <w:t> </w:t>
      </w:r>
      <w:r>
        <w:rPr>
          <w:color w:val="231F20"/>
        </w:rPr>
        <w:t>expectativas</w:t>
      </w:r>
      <w:r>
        <w:rPr>
          <w:color w:val="231F20"/>
          <w:spacing w:val="-13"/>
        </w:rPr>
        <w:t> </w:t>
      </w:r>
      <w:r>
        <w:rPr>
          <w:color w:val="231F20"/>
        </w:rPr>
        <w:t>racionales</w:t>
      </w:r>
      <w:r>
        <w:rPr>
          <w:color w:val="231F20"/>
          <w:spacing w:val="-12"/>
        </w:rPr>
        <w:t> </w:t>
      </w:r>
      <w:r>
        <w:rPr>
          <w:color w:val="231F20"/>
        </w:rPr>
        <w:t>tienda</w:t>
      </w:r>
      <w:r>
        <w:rPr>
          <w:color w:val="231F20"/>
          <w:spacing w:val="-12"/>
        </w:rPr>
        <w:t> </w:t>
      </w:r>
      <w:r>
        <w:rPr>
          <w:color w:val="231F20"/>
        </w:rPr>
        <w:t>a</w:t>
      </w:r>
      <w:r>
        <w:rPr>
          <w:color w:val="231F20"/>
          <w:spacing w:val="-12"/>
        </w:rPr>
        <w:t> </w:t>
      </w:r>
      <w:r>
        <w:rPr>
          <w:color w:val="231F20"/>
        </w:rPr>
        <w:t>moverse</w:t>
      </w:r>
      <w:r>
        <w:rPr>
          <w:color w:val="231F20"/>
          <w:spacing w:val="-13"/>
        </w:rPr>
        <w:t> </w:t>
      </w:r>
      <w:r>
        <w:rPr>
          <w:color w:val="231F20"/>
        </w:rPr>
        <w:t>hacia</w:t>
      </w:r>
      <w:r>
        <w:rPr>
          <w:color w:val="231F20"/>
          <w:spacing w:val="-12"/>
        </w:rPr>
        <w:t> </w:t>
      </w:r>
      <w:r>
        <w:rPr>
          <w:color w:val="231F20"/>
        </w:rPr>
        <w:t>territorio</w:t>
      </w:r>
      <w:r>
        <w:rPr>
          <w:color w:val="231F20"/>
          <w:spacing w:val="-13"/>
        </w:rPr>
        <w:t> </w:t>
      </w:r>
      <w:r>
        <w:rPr>
          <w:color w:val="231F20"/>
        </w:rPr>
        <w:t>estadouni- dense, de tal suerte que 94 por ciento de los hogares del municipio, tiene al</w:t>
      </w:r>
      <w:r>
        <w:rPr>
          <w:color w:val="231F20"/>
          <w:spacing w:val="-7"/>
        </w:rPr>
        <w:t> </w:t>
      </w:r>
      <w:r>
        <w:rPr>
          <w:color w:val="231F20"/>
        </w:rPr>
        <w:t>menos</w:t>
      </w:r>
      <w:r>
        <w:rPr>
          <w:color w:val="231F20"/>
          <w:spacing w:val="-7"/>
        </w:rPr>
        <w:t> </w:t>
      </w:r>
      <w:r>
        <w:rPr>
          <w:color w:val="231F20"/>
        </w:rPr>
        <w:t>un</w:t>
      </w:r>
      <w:r>
        <w:rPr>
          <w:color w:val="231F20"/>
          <w:spacing w:val="-7"/>
        </w:rPr>
        <w:t> </w:t>
      </w:r>
      <w:r>
        <w:rPr>
          <w:color w:val="231F20"/>
        </w:rPr>
        <w:t>miembro</w:t>
      </w:r>
      <w:r>
        <w:rPr>
          <w:color w:val="231F20"/>
          <w:spacing w:val="-8"/>
        </w:rPr>
        <w:t> </w:t>
      </w:r>
      <w:r>
        <w:rPr>
          <w:color w:val="231F20"/>
        </w:rPr>
        <w:t>de</w:t>
      </w:r>
      <w:r>
        <w:rPr>
          <w:color w:val="231F20"/>
          <w:spacing w:val="-7"/>
        </w:rPr>
        <w:t> </w:t>
      </w:r>
      <w:r>
        <w:rPr>
          <w:color w:val="231F20"/>
        </w:rPr>
        <w:t>su</w:t>
      </w:r>
      <w:r>
        <w:rPr>
          <w:color w:val="231F20"/>
          <w:spacing w:val="-7"/>
        </w:rPr>
        <w:t> </w:t>
      </w:r>
      <w:r>
        <w:rPr>
          <w:color w:val="231F20"/>
        </w:rPr>
        <w:t>familia</w:t>
      </w:r>
      <w:r>
        <w:rPr>
          <w:color w:val="231F20"/>
          <w:spacing w:val="-7"/>
        </w:rPr>
        <w:t> </w:t>
      </w:r>
      <w:r>
        <w:rPr>
          <w:color w:val="231F20"/>
        </w:rPr>
        <w:t>trabajando</w:t>
      </w:r>
      <w:r>
        <w:rPr>
          <w:color w:val="231F20"/>
          <w:spacing w:val="-8"/>
        </w:rPr>
        <w:t> </w:t>
      </w:r>
      <w:r>
        <w:rPr>
          <w:color w:val="231F20"/>
        </w:rPr>
        <w:t>fuera</w:t>
      </w:r>
      <w:r>
        <w:rPr>
          <w:color w:val="231F20"/>
          <w:spacing w:val="-7"/>
        </w:rPr>
        <w:t> </w:t>
      </w:r>
      <w:r>
        <w:rPr>
          <w:color w:val="231F20"/>
        </w:rPr>
        <w:t>del</w:t>
      </w:r>
      <w:r>
        <w:rPr>
          <w:color w:val="231F20"/>
          <w:spacing w:val="-7"/>
        </w:rPr>
        <w:t> </w:t>
      </w:r>
      <w:r>
        <w:rPr>
          <w:color w:val="231F20"/>
        </w:rPr>
        <w:t>país.</w:t>
      </w:r>
      <w:r>
        <w:rPr>
          <w:color w:val="231F20"/>
          <w:spacing w:val="-7"/>
        </w:rPr>
        <w:t> </w:t>
      </w:r>
      <w:r>
        <w:rPr>
          <w:color w:val="231F20"/>
        </w:rPr>
        <w:t>De</w:t>
      </w:r>
      <w:r>
        <w:rPr>
          <w:color w:val="231F20"/>
          <w:spacing w:val="-7"/>
        </w:rPr>
        <w:t> </w:t>
      </w:r>
      <w:r>
        <w:rPr>
          <w:color w:val="231F20"/>
        </w:rPr>
        <w:t>este</w:t>
      </w:r>
      <w:r>
        <w:rPr>
          <w:color w:val="231F20"/>
          <w:spacing w:val="-7"/>
        </w:rPr>
        <w:t> </w:t>
      </w:r>
      <w:r>
        <w:rPr>
          <w:color w:val="231F20"/>
        </w:rPr>
        <w:t>total, 40 por ciento son varones, principalmente hijos y sólo tres por ciento son madres</w:t>
      </w:r>
      <w:r>
        <w:rPr>
          <w:color w:val="231F20"/>
          <w:spacing w:val="-9"/>
        </w:rPr>
        <w:t> </w:t>
      </w:r>
      <w:r>
        <w:rPr>
          <w:color w:val="231F20"/>
        </w:rPr>
        <w:t>de</w:t>
      </w:r>
      <w:r>
        <w:rPr>
          <w:color w:val="231F20"/>
          <w:spacing w:val="-9"/>
        </w:rPr>
        <w:t> </w:t>
      </w:r>
      <w:r>
        <w:rPr>
          <w:color w:val="231F20"/>
        </w:rPr>
        <w:t>familia,</w:t>
      </w:r>
      <w:r>
        <w:rPr>
          <w:color w:val="231F20"/>
          <w:spacing w:val="-9"/>
        </w:rPr>
        <w:t> </w:t>
      </w:r>
      <w:r>
        <w:rPr>
          <w:color w:val="231F20"/>
        </w:rPr>
        <w:t>lo</w:t>
      </w:r>
      <w:r>
        <w:rPr>
          <w:color w:val="231F20"/>
          <w:spacing w:val="-9"/>
        </w:rPr>
        <w:t> </w:t>
      </w:r>
      <w:r>
        <w:rPr>
          <w:color w:val="231F20"/>
        </w:rPr>
        <w:t>cual</w:t>
      </w:r>
      <w:r>
        <w:rPr>
          <w:color w:val="231F20"/>
          <w:spacing w:val="-9"/>
        </w:rPr>
        <w:t> </w:t>
      </w:r>
      <w:r>
        <w:rPr>
          <w:color w:val="231F20"/>
        </w:rPr>
        <w:t>indica</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este</w:t>
      </w:r>
      <w:r>
        <w:rPr>
          <w:color w:val="231F20"/>
          <w:spacing w:val="-9"/>
        </w:rPr>
        <w:t> </w:t>
      </w:r>
      <w:r>
        <w:rPr>
          <w:color w:val="231F20"/>
        </w:rPr>
        <w:t>municipio</w:t>
      </w:r>
      <w:r>
        <w:rPr>
          <w:color w:val="231F20"/>
          <w:spacing w:val="-9"/>
        </w:rPr>
        <w:t> </w:t>
      </w:r>
      <w:r>
        <w:rPr>
          <w:color w:val="231F20"/>
        </w:rPr>
        <w:t>existen</w:t>
      </w:r>
      <w:r>
        <w:rPr>
          <w:color w:val="231F20"/>
          <w:spacing w:val="-9"/>
        </w:rPr>
        <w:t> </w:t>
      </w:r>
      <w:r>
        <w:rPr>
          <w:color w:val="231F20"/>
        </w:rPr>
        <w:t>muchos</w:t>
      </w:r>
      <w:r>
        <w:rPr>
          <w:color w:val="231F20"/>
          <w:spacing w:val="-9"/>
        </w:rPr>
        <w:t> </w:t>
      </w:r>
      <w:r>
        <w:rPr>
          <w:color w:val="231F20"/>
        </w:rPr>
        <w:t>ho- gares cuya responsabilidad recae en las jefas de familia. Cabe resaltar que 59 por ciento de los emigrantes son personas con responsabilidad familiar y 31 por ciento son solteros, de aquí que las percepciones en el mercado local no son suficientes para mantener a los integrantes de la familia, por ello tienen que buscar otras opciones en el</w:t>
      </w:r>
      <w:r>
        <w:rPr>
          <w:color w:val="231F20"/>
          <w:spacing w:val="-16"/>
        </w:rPr>
        <w:t> </w:t>
      </w:r>
      <w:r>
        <w:rPr>
          <w:color w:val="231F20"/>
        </w:rPr>
        <w:t>exterior.</w:t>
      </w:r>
    </w:p>
    <w:p>
      <w:pPr>
        <w:pStyle w:val="BodyText"/>
        <w:spacing w:line="247" w:lineRule="auto"/>
        <w:ind w:left="117" w:right="114" w:firstLine="283"/>
        <w:jc w:val="both"/>
      </w:pPr>
      <w:r>
        <w:rPr>
          <w:color w:val="231F20"/>
        </w:rPr>
        <w:t>En términos de nivel educativo de la población local emigrante, 41 por ciento</w:t>
      </w:r>
      <w:r>
        <w:rPr>
          <w:color w:val="231F20"/>
          <w:spacing w:val="-8"/>
        </w:rPr>
        <w:t> </w:t>
      </w:r>
      <w:r>
        <w:rPr>
          <w:color w:val="231F20"/>
        </w:rPr>
        <w:t>cuenta</w:t>
      </w:r>
      <w:r>
        <w:rPr>
          <w:color w:val="231F20"/>
          <w:spacing w:val="-8"/>
        </w:rPr>
        <w:t> </w:t>
      </w:r>
      <w:r>
        <w:rPr>
          <w:color w:val="231F20"/>
        </w:rPr>
        <w:t>con</w:t>
      </w:r>
      <w:r>
        <w:rPr>
          <w:color w:val="231F20"/>
          <w:spacing w:val="-8"/>
        </w:rPr>
        <w:t> </w:t>
      </w:r>
      <w:r>
        <w:rPr>
          <w:color w:val="231F20"/>
        </w:rPr>
        <w:t>secundaria</w:t>
      </w:r>
      <w:r>
        <w:rPr>
          <w:color w:val="231F20"/>
          <w:spacing w:val="-7"/>
        </w:rPr>
        <w:t> </w:t>
      </w:r>
      <w:r>
        <w:rPr>
          <w:color w:val="231F20"/>
        </w:rPr>
        <w:t>terminada,</w:t>
      </w:r>
      <w:r>
        <w:rPr>
          <w:color w:val="231F20"/>
          <w:spacing w:val="-9"/>
        </w:rPr>
        <w:t> </w:t>
      </w:r>
      <w:r>
        <w:rPr>
          <w:color w:val="231F20"/>
        </w:rPr>
        <w:t>31</w:t>
      </w:r>
      <w:r>
        <w:rPr>
          <w:color w:val="231F20"/>
          <w:spacing w:val="-8"/>
        </w:rPr>
        <w:t> </w:t>
      </w:r>
      <w:r>
        <w:rPr>
          <w:color w:val="231F20"/>
        </w:rPr>
        <w:t>por</w:t>
      </w:r>
      <w:r>
        <w:rPr>
          <w:color w:val="231F20"/>
          <w:spacing w:val="-8"/>
        </w:rPr>
        <w:t> </w:t>
      </w:r>
      <w:r>
        <w:rPr>
          <w:color w:val="231F20"/>
        </w:rPr>
        <w:t>ciento</w:t>
      </w:r>
      <w:r>
        <w:rPr>
          <w:color w:val="231F20"/>
          <w:spacing w:val="-8"/>
        </w:rPr>
        <w:t> </w:t>
      </w:r>
      <w:r>
        <w:rPr>
          <w:color w:val="231F20"/>
        </w:rPr>
        <w:t>con</w:t>
      </w:r>
      <w:r>
        <w:rPr>
          <w:color w:val="231F20"/>
          <w:spacing w:val="-8"/>
        </w:rPr>
        <w:t> </w:t>
      </w:r>
      <w:r>
        <w:rPr>
          <w:color w:val="231F20"/>
        </w:rPr>
        <w:t>primaria,</w:t>
      </w:r>
      <w:r>
        <w:rPr>
          <w:color w:val="231F20"/>
          <w:spacing w:val="-8"/>
        </w:rPr>
        <w:t> </w:t>
      </w:r>
      <w:r>
        <w:rPr>
          <w:color w:val="231F20"/>
        </w:rPr>
        <w:t>17</w:t>
      </w:r>
      <w:r>
        <w:rPr>
          <w:color w:val="231F20"/>
          <w:spacing w:val="-8"/>
        </w:rPr>
        <w:t> </w:t>
      </w:r>
      <w:r>
        <w:rPr>
          <w:color w:val="231F20"/>
        </w:rPr>
        <w:t>por ciento con bachillerato y estudios técnicos truncos y cuatro por ciento de los que salen de su localidad de origen cuenta con estudios de licenciatura terminada, lo que significa que al menos en este municipio estudiar una carrera universitaria no es garantía de ocupación laboral</w:t>
      </w:r>
      <w:r>
        <w:rPr>
          <w:color w:val="231F20"/>
          <w:spacing w:val="-3"/>
        </w:rPr>
        <w:t> </w:t>
      </w:r>
      <w:r>
        <w:rPr>
          <w:color w:val="231F20"/>
        </w:rPr>
        <w:t>plena.</w:t>
      </w:r>
    </w:p>
    <w:p>
      <w:pPr>
        <w:pStyle w:val="BodyText"/>
        <w:spacing w:line="247" w:lineRule="auto"/>
        <w:ind w:left="117" w:right="114" w:firstLine="283"/>
        <w:jc w:val="both"/>
      </w:pPr>
      <w:r>
        <w:rPr>
          <w:color w:val="231F20"/>
        </w:rPr>
        <w:t>Asimismo, 42 por ciento de la población migrante tiene entre uno y cinco años de haber salido de su hogar y de su país, 35 por ciento lleva entre cinco y diez años y 17 por ciento lleva más de </w:t>
      </w:r>
      <w:r>
        <w:rPr>
          <w:color w:val="231F20"/>
          <w:spacing w:val="-5"/>
        </w:rPr>
        <w:t>11 </w:t>
      </w:r>
      <w:r>
        <w:rPr>
          <w:color w:val="231F20"/>
        </w:rPr>
        <w:t>años trabajando en los Estados Unidos. Esto significa que cuando un emigrante abandona su hogar con fines laborales, retorna temporalmente hasta cuando logra cum- plir sus objetivos patrimoniales, de formación educativa de los hijos y re- lativa estabilidad financiera individual o familiar. Es así que el número de dependientes económicos de los emigrantes del municipio de Tenancingo es de tres a cinco personas (49 por ciento de la población) y 14 por ciento no tiene ninguna responsabilidad familiar, por lo que su salida hacia el</w:t>
      </w:r>
      <w:r>
        <w:rPr>
          <w:color w:val="231F20"/>
          <w:spacing w:val="-38"/>
        </w:rPr>
        <w:t> </w:t>
      </w:r>
      <w:r>
        <w:rPr>
          <w:color w:val="231F20"/>
        </w:rPr>
        <w:t>ex- terior, si bien sigue siendo con fines laborales, también obedece a conocer el ambiente socio económico de los Estados Unidos, familiarizarse con   el entorno, adoptar cierto patrón de comportamiento social y tener cierto estatus dentro de su lugar de</w:t>
      </w:r>
      <w:r>
        <w:rPr>
          <w:color w:val="231F20"/>
          <w:spacing w:val="-3"/>
        </w:rPr>
        <w:t> </w:t>
      </w:r>
      <w:r>
        <w:rPr>
          <w:color w:val="231F20"/>
        </w:rPr>
        <w:t>origen.</w:t>
      </w:r>
    </w:p>
    <w:p>
      <w:pPr>
        <w:spacing w:after="0" w:line="247" w:lineRule="auto"/>
        <w:jc w:val="both"/>
        <w:sectPr>
          <w:pgSz w:w="9360" w:h="13040"/>
          <w:pgMar w:header="0" w:footer="496" w:top="740" w:bottom="680" w:left="1300" w:right="1300"/>
        </w:sectPr>
      </w:pPr>
    </w:p>
    <w:p>
      <w:pPr>
        <w:spacing w:before="52"/>
        <w:ind w:left="124" w:right="-5" w:firstLine="0"/>
        <w:jc w:val="left"/>
        <w:rPr>
          <w:rFonts w:ascii="Arial" w:hAnsi="Arial"/>
          <w:sz w:val="20"/>
        </w:rPr>
      </w:pPr>
      <w:r>
        <w:rPr>
          <w:rFonts w:ascii="Arial" w:hAnsi="Arial"/>
          <w:color w:val="231F20"/>
          <w:w w:val="80"/>
          <w:sz w:val="20"/>
        </w:rPr>
        <w:t>Hitos</w:t>
      </w:r>
      <w:r>
        <w:rPr>
          <w:rFonts w:ascii="Arial" w:hAnsi="Arial"/>
          <w:color w:val="231F20"/>
          <w:spacing w:val="-23"/>
          <w:w w:val="80"/>
          <w:sz w:val="20"/>
        </w:rPr>
        <w:t> </w:t>
      </w:r>
      <w:r>
        <w:rPr>
          <w:rFonts w:ascii="Arial" w:hAnsi="Arial"/>
          <w:color w:val="231F20"/>
          <w:w w:val="80"/>
          <w:sz w:val="20"/>
        </w:rPr>
        <w:t>Demográficos</w:t>
      </w:r>
      <w:r>
        <w:rPr>
          <w:rFonts w:ascii="Arial" w:hAnsi="Arial"/>
          <w:color w:val="231F20"/>
          <w:spacing w:val="-23"/>
          <w:w w:val="80"/>
          <w:sz w:val="20"/>
        </w:rPr>
        <w:t> </w:t>
      </w:r>
      <w:r>
        <w:rPr>
          <w:rFonts w:ascii="Arial" w:hAnsi="Arial"/>
          <w:color w:val="231F20"/>
          <w:w w:val="80"/>
          <w:sz w:val="20"/>
        </w:rPr>
        <w:t>del</w:t>
      </w:r>
      <w:r>
        <w:rPr>
          <w:rFonts w:ascii="Arial" w:hAnsi="Arial"/>
          <w:color w:val="231F20"/>
          <w:spacing w:val="-23"/>
          <w:w w:val="80"/>
          <w:sz w:val="20"/>
        </w:rPr>
        <w:t> </w:t>
      </w:r>
      <w:r>
        <w:rPr>
          <w:rFonts w:ascii="Arial" w:hAnsi="Arial"/>
          <w:color w:val="231F20"/>
          <w:w w:val="80"/>
          <w:sz w:val="20"/>
        </w:rPr>
        <w:t>Siglo</w:t>
      </w:r>
      <w:r>
        <w:rPr>
          <w:rFonts w:ascii="Arial" w:hAnsi="Arial"/>
          <w:color w:val="231F20"/>
          <w:spacing w:val="-23"/>
          <w:w w:val="80"/>
          <w:sz w:val="20"/>
        </w:rPr>
        <w:t> </w:t>
      </w:r>
      <w:r>
        <w:rPr>
          <w:rFonts w:ascii="Arial" w:hAnsi="Arial"/>
          <w:color w:val="231F20"/>
          <w:w w:val="80"/>
          <w:sz w:val="20"/>
        </w:rPr>
        <w:t>XXI:</w:t>
      </w:r>
      <w:r>
        <w:rPr>
          <w:rFonts w:ascii="Arial" w:hAnsi="Arial"/>
          <w:color w:val="231F20"/>
          <w:spacing w:val="-23"/>
          <w:w w:val="80"/>
          <w:sz w:val="20"/>
        </w:rPr>
        <w:t> </w:t>
      </w:r>
      <w:r>
        <w:rPr>
          <w:rFonts w:ascii="Arial" w:hAnsi="Arial"/>
          <w:color w:val="231F20"/>
          <w:w w:val="80"/>
          <w:sz w:val="20"/>
        </w:rPr>
        <w:t>Migración</w:t>
      </w:r>
      <w:r>
        <w:rPr>
          <w:rFonts w:ascii="Arial" w:hAnsi="Arial"/>
          <w:color w:val="231F20"/>
          <w:spacing w:val="-23"/>
          <w:w w:val="80"/>
          <w:sz w:val="20"/>
        </w:rPr>
        <w:t> </w:t>
      </w:r>
      <w:r>
        <w:rPr>
          <w:rFonts w:ascii="Arial" w:hAnsi="Arial"/>
          <w:color w:val="231F20"/>
          <w:w w:val="80"/>
          <w:sz w:val="20"/>
        </w:rPr>
        <w:t>Internacional</w:t>
      </w:r>
    </w:p>
    <w:p>
      <w:pPr>
        <w:spacing w:before="54"/>
        <w:ind w:left="124" w:right="0" w:firstLine="0"/>
        <w:jc w:val="left"/>
        <w:rPr>
          <w:sz w:val="18"/>
        </w:rPr>
      </w:pPr>
      <w:r>
        <w:rPr/>
        <w:br w:type="column"/>
      </w:r>
      <w:r>
        <w:rPr>
          <w:color w:val="231F20"/>
          <w:sz w:val="18"/>
        </w:rPr>
        <w:t>CIEAP/UAEM</w:t>
      </w:r>
    </w:p>
    <w:p>
      <w:pPr>
        <w:spacing w:after="0"/>
        <w:jc w:val="left"/>
        <w:rPr>
          <w:sz w:val="18"/>
        </w:rPr>
        <w:sectPr>
          <w:pgSz w:w="9360" w:h="13040"/>
          <w:pgMar w:header="0" w:footer="496" w:top="840" w:bottom="680" w:left="1300" w:right="1300"/>
          <w:cols w:num="2" w:equalWidth="0">
            <w:col w:w="4101" w:space="1311"/>
            <w:col w:w="1348"/>
          </w:cols>
        </w:sectPr>
      </w:pPr>
    </w:p>
    <w:p>
      <w:pPr>
        <w:pStyle w:val="BodyText"/>
        <w:spacing w:before="8"/>
        <w:rPr>
          <w:sz w:val="12"/>
        </w:rPr>
      </w:pPr>
    </w:p>
    <w:p>
      <w:pPr>
        <w:pStyle w:val="BodyText"/>
        <w:spacing w:line="247" w:lineRule="auto" w:before="72"/>
        <w:ind w:left="124" w:right="114" w:firstLine="283"/>
        <w:jc w:val="both"/>
      </w:pPr>
      <w:r>
        <w:rPr>
          <w:color w:val="231F20"/>
        </w:rPr>
        <w:t>35 por ciento de los emigrantes tenancinguenses se encuentra en el es- tado de Delaware, cuya limitada extensión territorial no ha sido impedi- mento para convertirse en un importante centro financiero regional, lo</w:t>
      </w:r>
      <w:r>
        <w:rPr>
          <w:color w:val="231F20"/>
          <w:spacing w:val="-31"/>
        </w:rPr>
        <w:t> </w:t>
      </w:r>
      <w:r>
        <w:rPr>
          <w:color w:val="231F20"/>
        </w:rPr>
        <w:t>que ha</w:t>
      </w:r>
      <w:r>
        <w:rPr>
          <w:color w:val="231F20"/>
          <w:spacing w:val="-7"/>
        </w:rPr>
        <w:t> </w:t>
      </w:r>
      <w:r>
        <w:rPr>
          <w:color w:val="231F20"/>
        </w:rPr>
        <w:t>impulsado</w:t>
      </w:r>
      <w:r>
        <w:rPr>
          <w:color w:val="231F20"/>
          <w:spacing w:val="-8"/>
        </w:rPr>
        <w:t> </w:t>
      </w:r>
      <w:r>
        <w:rPr>
          <w:color w:val="231F20"/>
        </w:rPr>
        <w:t>el</w:t>
      </w:r>
      <w:r>
        <w:rPr>
          <w:color w:val="231F20"/>
          <w:spacing w:val="-7"/>
        </w:rPr>
        <w:t> </w:t>
      </w:r>
      <w:r>
        <w:rPr>
          <w:color w:val="231F20"/>
        </w:rPr>
        <w:t>establecimiento</w:t>
      </w:r>
      <w:r>
        <w:rPr>
          <w:color w:val="231F20"/>
          <w:spacing w:val="-8"/>
        </w:rPr>
        <w:t> </w:t>
      </w:r>
      <w:r>
        <w:rPr>
          <w:color w:val="231F20"/>
        </w:rPr>
        <w:t>y</w:t>
      </w:r>
      <w:r>
        <w:rPr>
          <w:color w:val="231F20"/>
          <w:spacing w:val="-7"/>
        </w:rPr>
        <w:t> </w:t>
      </w:r>
      <w:r>
        <w:rPr>
          <w:color w:val="231F20"/>
        </w:rPr>
        <w:t>desarrollo</w:t>
      </w:r>
      <w:r>
        <w:rPr>
          <w:color w:val="231F20"/>
          <w:spacing w:val="-7"/>
        </w:rPr>
        <w:t> </w:t>
      </w:r>
      <w:r>
        <w:rPr>
          <w:color w:val="231F20"/>
        </w:rPr>
        <w:t>de</w:t>
      </w:r>
      <w:r>
        <w:rPr>
          <w:color w:val="231F20"/>
          <w:spacing w:val="-7"/>
        </w:rPr>
        <w:t> </w:t>
      </w:r>
      <w:r>
        <w:rPr>
          <w:color w:val="231F20"/>
        </w:rPr>
        <w:t>200</w:t>
      </w:r>
      <w:r>
        <w:rPr>
          <w:color w:val="231F20"/>
          <w:spacing w:val="-7"/>
        </w:rPr>
        <w:t> </w:t>
      </w:r>
      <w:r>
        <w:rPr>
          <w:color w:val="231F20"/>
        </w:rPr>
        <w:t>mil</w:t>
      </w:r>
      <w:r>
        <w:rPr>
          <w:color w:val="231F20"/>
          <w:spacing w:val="-7"/>
        </w:rPr>
        <w:t> </w:t>
      </w:r>
      <w:r>
        <w:rPr>
          <w:color w:val="231F20"/>
        </w:rPr>
        <w:t>empresas,</w:t>
      </w:r>
      <w:r>
        <w:rPr>
          <w:color w:val="231F20"/>
          <w:spacing w:val="-8"/>
        </w:rPr>
        <w:t> </w:t>
      </w:r>
      <w:r>
        <w:rPr>
          <w:color w:val="231F20"/>
        </w:rPr>
        <w:t>mismas que constituyen la principal fuente de ocupación de esta población activa. El</w:t>
      </w:r>
      <w:r>
        <w:rPr>
          <w:color w:val="231F20"/>
          <w:spacing w:val="-8"/>
        </w:rPr>
        <w:t> </w:t>
      </w:r>
      <w:r>
        <w:rPr>
          <w:color w:val="231F20"/>
        </w:rPr>
        <w:t>resto</w:t>
      </w:r>
      <w:r>
        <w:rPr>
          <w:color w:val="231F20"/>
          <w:spacing w:val="-7"/>
        </w:rPr>
        <w:t> </w:t>
      </w:r>
      <w:r>
        <w:rPr>
          <w:color w:val="231F20"/>
        </w:rPr>
        <w:t>de</w:t>
      </w:r>
      <w:r>
        <w:rPr>
          <w:color w:val="231F20"/>
          <w:spacing w:val="-7"/>
        </w:rPr>
        <w:t> </w:t>
      </w:r>
      <w:r>
        <w:rPr>
          <w:color w:val="231F20"/>
        </w:rPr>
        <w:t>los</w:t>
      </w:r>
      <w:r>
        <w:rPr>
          <w:color w:val="231F20"/>
          <w:spacing w:val="-8"/>
        </w:rPr>
        <w:t> </w:t>
      </w:r>
      <w:r>
        <w:rPr>
          <w:color w:val="231F20"/>
        </w:rPr>
        <w:t>emigrantes</w:t>
      </w:r>
      <w:r>
        <w:rPr>
          <w:color w:val="231F20"/>
          <w:spacing w:val="-8"/>
        </w:rPr>
        <w:t> </w:t>
      </w:r>
      <w:r>
        <w:rPr>
          <w:color w:val="231F20"/>
        </w:rPr>
        <w:t>se</w:t>
      </w:r>
      <w:r>
        <w:rPr>
          <w:color w:val="231F20"/>
          <w:spacing w:val="-7"/>
        </w:rPr>
        <w:t> </w:t>
      </w:r>
      <w:r>
        <w:rPr>
          <w:color w:val="231F20"/>
        </w:rPr>
        <w:t>encuentra</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estados</w:t>
      </w:r>
      <w:r>
        <w:rPr>
          <w:color w:val="231F20"/>
          <w:spacing w:val="-8"/>
        </w:rPr>
        <w:t> </w:t>
      </w:r>
      <w:r>
        <w:rPr>
          <w:color w:val="231F20"/>
        </w:rPr>
        <w:t>de</w:t>
      </w:r>
      <w:r>
        <w:rPr>
          <w:color w:val="231F20"/>
          <w:spacing w:val="-7"/>
        </w:rPr>
        <w:t> </w:t>
      </w:r>
      <w:r>
        <w:rPr>
          <w:color w:val="231F20"/>
        </w:rPr>
        <w:t>California</w:t>
      </w:r>
      <w:r>
        <w:rPr>
          <w:color w:val="231F20"/>
          <w:spacing w:val="-8"/>
        </w:rPr>
        <w:t> </w:t>
      </w:r>
      <w:r>
        <w:rPr>
          <w:color w:val="231F20"/>
        </w:rPr>
        <w:t>(14</w:t>
      </w:r>
      <w:r>
        <w:rPr>
          <w:color w:val="231F20"/>
          <w:spacing w:val="-8"/>
        </w:rPr>
        <w:t> </w:t>
      </w:r>
      <w:r>
        <w:rPr>
          <w:color w:val="231F20"/>
        </w:rPr>
        <w:t>por ciento)</w:t>
      </w:r>
      <w:r>
        <w:rPr>
          <w:color w:val="231F20"/>
          <w:spacing w:val="-14"/>
        </w:rPr>
        <w:t> </w:t>
      </w:r>
      <w:r>
        <w:rPr>
          <w:color w:val="231F20"/>
        </w:rPr>
        <w:t>nueve</w:t>
      </w:r>
      <w:r>
        <w:rPr>
          <w:color w:val="231F20"/>
          <w:spacing w:val="-13"/>
        </w:rPr>
        <w:t> </w:t>
      </w:r>
      <w:r>
        <w:rPr>
          <w:color w:val="231F20"/>
        </w:rPr>
        <w:t>por</w:t>
      </w:r>
      <w:r>
        <w:rPr>
          <w:color w:val="231F20"/>
          <w:spacing w:val="-13"/>
        </w:rPr>
        <w:t> </w:t>
      </w:r>
      <w:r>
        <w:rPr>
          <w:color w:val="231F20"/>
        </w:rPr>
        <w:t>ciento</w:t>
      </w:r>
      <w:r>
        <w:rPr>
          <w:color w:val="231F20"/>
          <w:spacing w:val="-13"/>
        </w:rPr>
        <w:t> </w:t>
      </w:r>
      <w:r>
        <w:rPr>
          <w:color w:val="231F20"/>
        </w:rPr>
        <w:t>en</w:t>
      </w:r>
      <w:r>
        <w:rPr>
          <w:color w:val="231F20"/>
          <w:spacing w:val="-13"/>
        </w:rPr>
        <w:t> </w:t>
      </w:r>
      <w:r>
        <w:rPr>
          <w:color w:val="231F20"/>
        </w:rPr>
        <w:t>Pensilvania,</w:t>
      </w:r>
      <w:r>
        <w:rPr>
          <w:color w:val="231F20"/>
          <w:spacing w:val="-12"/>
        </w:rPr>
        <w:t> </w:t>
      </w:r>
      <w:r>
        <w:rPr>
          <w:color w:val="231F20"/>
        </w:rPr>
        <w:t>ocho</w:t>
      </w:r>
      <w:r>
        <w:rPr>
          <w:color w:val="231F20"/>
          <w:spacing w:val="-13"/>
        </w:rPr>
        <w:t> </w:t>
      </w:r>
      <w:r>
        <w:rPr>
          <w:color w:val="231F20"/>
        </w:rPr>
        <w:t>por</w:t>
      </w:r>
      <w:r>
        <w:rPr>
          <w:color w:val="231F20"/>
          <w:spacing w:val="-13"/>
        </w:rPr>
        <w:t> </w:t>
      </w:r>
      <w:r>
        <w:rPr>
          <w:color w:val="231F20"/>
        </w:rPr>
        <w:t>ciento</w:t>
      </w:r>
      <w:r>
        <w:rPr>
          <w:color w:val="231F20"/>
          <w:spacing w:val="-13"/>
        </w:rPr>
        <w:t> </w:t>
      </w:r>
      <w:r>
        <w:rPr>
          <w:color w:val="231F20"/>
        </w:rPr>
        <w:t>en</w:t>
      </w:r>
      <w:r>
        <w:rPr>
          <w:color w:val="231F20"/>
          <w:spacing w:val="-13"/>
        </w:rPr>
        <w:t> </w:t>
      </w:r>
      <w:r>
        <w:rPr>
          <w:color w:val="231F20"/>
        </w:rPr>
        <w:t>Illinois,</w:t>
      </w:r>
      <w:r>
        <w:rPr>
          <w:color w:val="231F20"/>
          <w:spacing w:val="-13"/>
        </w:rPr>
        <w:t> </w:t>
      </w:r>
      <w:r>
        <w:rPr>
          <w:color w:val="231F20"/>
        </w:rPr>
        <w:t>Florida cuatro por ciento, New </w:t>
      </w:r>
      <w:r>
        <w:rPr>
          <w:color w:val="231F20"/>
          <w:spacing w:val="-5"/>
        </w:rPr>
        <w:t>York, </w:t>
      </w:r>
      <w:r>
        <w:rPr>
          <w:color w:val="231F20"/>
          <w:spacing w:val="-3"/>
        </w:rPr>
        <w:t>Texas, </w:t>
      </w:r>
      <w:r>
        <w:rPr>
          <w:color w:val="231F20"/>
        </w:rPr>
        <w:t>Arizona y Washington dos por ciento en cada estado, Wisconsin y Minnesota uno por ciento en cada uno y el restante en otros</w:t>
      </w:r>
      <w:r>
        <w:rPr>
          <w:color w:val="231F20"/>
          <w:spacing w:val="-1"/>
        </w:rPr>
        <w:t> </w:t>
      </w:r>
      <w:r>
        <w:rPr>
          <w:color w:val="231F20"/>
        </w:rPr>
        <w:t>estados.</w:t>
      </w:r>
    </w:p>
    <w:p>
      <w:pPr>
        <w:spacing w:before="149"/>
        <w:ind w:left="124" w:right="0" w:firstLine="0"/>
        <w:jc w:val="both"/>
        <w:rPr>
          <w:i/>
          <w:sz w:val="22"/>
        </w:rPr>
      </w:pPr>
      <w:r>
        <w:rPr>
          <w:i/>
          <w:color w:val="231F20"/>
          <w:sz w:val="22"/>
        </w:rPr>
        <w:t>Importancia de las remesas en la economía local</w:t>
      </w:r>
    </w:p>
    <w:p>
      <w:pPr>
        <w:pStyle w:val="BodyText"/>
        <w:spacing w:line="247" w:lineRule="auto" w:before="177"/>
        <w:ind w:left="124" w:right="114"/>
        <w:jc w:val="both"/>
      </w:pPr>
      <w:r>
        <w:rPr>
          <w:color w:val="231F20"/>
        </w:rPr>
        <w:t>El envío de remesas constituye una importante fuente de ingresos de las familias, mismas que contribuyen aunque sea marginalmente a dinami- zar la economía local, aumentar el consumo, demandar bienes duraderos  y suntuosos y abrir establecimientos comerciales y de servicios, que no sólo constituyen un medio que moviliza recursos financieros, sino que se convierten es negocios familiares que dan empleo a la población local. Este ambiente se torna más dinámico a medida que aumenta la frecuencia receptiva de recursos. Del total de la población encuestada, 83 por ciento recibe remesas, de las cuales, 42 por ciento lo obtiene mensualmente, 15 por ciento cada quince días y </w:t>
      </w:r>
      <w:r>
        <w:rPr>
          <w:color w:val="231F20"/>
          <w:spacing w:val="-5"/>
        </w:rPr>
        <w:t>11 </w:t>
      </w:r>
      <w:r>
        <w:rPr>
          <w:color w:val="231F20"/>
        </w:rPr>
        <w:t>por ciento cada seis meses. En este mis- mo sentido, 33 por ciento de las familias recibe de 51 a 100 dólares por cada transferencia, 26 por ciento capta entre 101 y 200 dólares y sólo seis por ciento recibe más de 201 y hasta 500 dólares por cada envío, cuya cantidad mayor es utilizada para satisfacer necesidades básicas de alimen- tación, educación, salud y vestido. De hecho, 48 por ciento de las reme- sas recibidas se emplean para alimento y vestido, siete por ciento para la compra, construcción, mejora o ampliación de vivienda, cuatro por ciento para pago de deudas, tres por ciento para cuestiones de salud y uno por ciento</w:t>
      </w:r>
      <w:r>
        <w:rPr>
          <w:color w:val="231F20"/>
          <w:spacing w:val="-9"/>
        </w:rPr>
        <w:t> </w:t>
      </w:r>
      <w:r>
        <w:rPr>
          <w:color w:val="231F20"/>
        </w:rPr>
        <w:t>para</w:t>
      </w:r>
      <w:r>
        <w:rPr>
          <w:color w:val="231F20"/>
          <w:spacing w:val="-9"/>
        </w:rPr>
        <w:t> </w:t>
      </w:r>
      <w:r>
        <w:rPr>
          <w:color w:val="231F20"/>
        </w:rPr>
        <w:t>la</w:t>
      </w:r>
      <w:r>
        <w:rPr>
          <w:color w:val="231F20"/>
          <w:spacing w:val="-9"/>
        </w:rPr>
        <w:t> </w:t>
      </w:r>
      <w:r>
        <w:rPr>
          <w:color w:val="231F20"/>
        </w:rPr>
        <w:t>educación</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hijos.</w:t>
      </w:r>
      <w:r>
        <w:rPr>
          <w:color w:val="231F20"/>
          <w:spacing w:val="-21"/>
        </w:rPr>
        <w:t> </w:t>
      </w:r>
      <w:r>
        <w:rPr>
          <w:color w:val="231F20"/>
        </w:rPr>
        <w:t>Así</w:t>
      </w:r>
      <w:r>
        <w:rPr>
          <w:color w:val="231F20"/>
          <w:spacing w:val="-9"/>
        </w:rPr>
        <w:t> </w:t>
      </w:r>
      <w:r>
        <w:rPr>
          <w:color w:val="231F20"/>
        </w:rPr>
        <w:t>también,</w:t>
      </w:r>
      <w:r>
        <w:rPr>
          <w:color w:val="231F20"/>
          <w:spacing w:val="-9"/>
        </w:rPr>
        <w:t> </w:t>
      </w:r>
      <w:r>
        <w:rPr>
          <w:color w:val="231F20"/>
        </w:rPr>
        <w:t>algunos</w:t>
      </w:r>
      <w:r>
        <w:rPr>
          <w:color w:val="231F20"/>
          <w:spacing w:val="-9"/>
        </w:rPr>
        <w:t> </w:t>
      </w:r>
      <w:r>
        <w:rPr>
          <w:color w:val="231F20"/>
        </w:rPr>
        <w:t>hogares</w:t>
      </w:r>
      <w:r>
        <w:rPr>
          <w:color w:val="231F20"/>
          <w:spacing w:val="-9"/>
        </w:rPr>
        <w:t> </w:t>
      </w:r>
      <w:r>
        <w:rPr>
          <w:color w:val="231F20"/>
        </w:rPr>
        <w:t>reciben remesas no monetarias, es decir en especie, consistente en artículos de</w:t>
      </w:r>
      <w:r>
        <w:rPr>
          <w:color w:val="231F20"/>
          <w:spacing w:val="-37"/>
        </w:rPr>
        <w:t> </w:t>
      </w:r>
      <w:r>
        <w:rPr>
          <w:color w:val="231F20"/>
        </w:rPr>
        <w:t>uso personal o familiar. El 29 por ciento de éstos recibe ropa, ocho por ciento electrodomésticos y ocho por ciento juguetes, cuyo valor oscila entre 100 y 400 dólares, mismos que al no considerarse necesarios para algún inte- grante de la familia, opta por comercializarlas entre sus conocidos o en el mercado</w:t>
      </w:r>
      <w:r>
        <w:rPr>
          <w:color w:val="231F20"/>
          <w:spacing w:val="-1"/>
        </w:rPr>
        <w:t> </w:t>
      </w:r>
      <w:r>
        <w:rPr>
          <w:color w:val="231F20"/>
        </w:rPr>
        <w:t>local.</w:t>
      </w:r>
    </w:p>
    <w:p>
      <w:pPr>
        <w:spacing w:after="0" w:line="247" w:lineRule="auto"/>
        <w:jc w:val="both"/>
        <w:sectPr>
          <w:type w:val="continuous"/>
          <w:pgSz w:w="9360" w:h="13040"/>
          <w:pgMar w:top="0" w:bottom="0" w:left="1300" w:right="1300"/>
        </w:sectPr>
      </w:pPr>
    </w:p>
    <w:p>
      <w:pPr>
        <w:spacing w:before="45"/>
        <w:ind w:left="820" w:right="0" w:firstLine="0"/>
        <w:jc w:val="left"/>
        <w:rPr>
          <w:rFonts w:ascii="Arial" w:hAnsi="Arial"/>
          <w:sz w:val="20"/>
        </w:rPr>
      </w:pPr>
      <w:r>
        <w:rPr>
          <w:rFonts w:ascii="Arial" w:hAnsi="Arial"/>
          <w:color w:val="231F20"/>
          <w:w w:val="70"/>
          <w:sz w:val="20"/>
        </w:rPr>
        <w:t>Migración y remesas internacionales, efectos sobre la economía local...   /David Iglesias-Piña</w:t>
      </w:r>
    </w:p>
    <w:p>
      <w:pPr>
        <w:pStyle w:val="BodyText"/>
        <w:spacing w:before="5"/>
        <w:rPr>
          <w:rFonts w:ascii="Arial"/>
          <w:sz w:val="27"/>
        </w:rPr>
      </w:pPr>
    </w:p>
    <w:p>
      <w:pPr>
        <w:pStyle w:val="Heading3"/>
        <w:spacing w:before="0"/>
      </w:pPr>
      <w:r>
        <w:rPr>
          <w:color w:val="231F20"/>
        </w:rPr>
        <w:t>Conclusiones</w:t>
      </w:r>
    </w:p>
    <w:p>
      <w:pPr>
        <w:pStyle w:val="BodyText"/>
        <w:spacing w:line="247" w:lineRule="auto" w:before="172"/>
        <w:ind w:left="117" w:right="114"/>
        <w:jc w:val="both"/>
      </w:pPr>
      <w:r>
        <w:rPr>
          <w:color w:val="231F20"/>
        </w:rPr>
        <w:t>Es claro que la emigración internacional es un proceso de intercambio, es decir,</w:t>
      </w:r>
      <w:r>
        <w:rPr>
          <w:color w:val="231F20"/>
          <w:spacing w:val="-9"/>
        </w:rPr>
        <w:t> </w:t>
      </w:r>
      <w:r>
        <w:rPr>
          <w:color w:val="231F20"/>
        </w:rPr>
        <w:t>por</w:t>
      </w:r>
      <w:r>
        <w:rPr>
          <w:color w:val="231F20"/>
          <w:spacing w:val="-9"/>
        </w:rPr>
        <w:t> </w:t>
      </w:r>
      <w:r>
        <w:rPr>
          <w:color w:val="231F20"/>
        </w:rPr>
        <w:t>un</w:t>
      </w:r>
      <w:r>
        <w:rPr>
          <w:color w:val="231F20"/>
          <w:spacing w:val="-9"/>
        </w:rPr>
        <w:t> </w:t>
      </w:r>
      <w:r>
        <w:rPr>
          <w:color w:val="231F20"/>
        </w:rPr>
        <w:t>lado,</w:t>
      </w:r>
      <w:r>
        <w:rPr>
          <w:color w:val="231F20"/>
          <w:spacing w:val="-9"/>
        </w:rPr>
        <w:t> </w:t>
      </w:r>
      <w:r>
        <w:rPr>
          <w:color w:val="231F20"/>
        </w:rPr>
        <w:t>los</w:t>
      </w:r>
      <w:r>
        <w:rPr>
          <w:color w:val="231F20"/>
          <w:spacing w:val="-9"/>
        </w:rPr>
        <w:t> </w:t>
      </w:r>
      <w:r>
        <w:rPr>
          <w:color w:val="231F20"/>
        </w:rPr>
        <w:t>países</w:t>
      </w:r>
      <w:r>
        <w:rPr>
          <w:color w:val="231F20"/>
          <w:spacing w:val="-9"/>
        </w:rPr>
        <w:t> </w:t>
      </w:r>
      <w:r>
        <w:rPr>
          <w:color w:val="231F20"/>
        </w:rPr>
        <w:t>receptores</w:t>
      </w:r>
      <w:r>
        <w:rPr>
          <w:color w:val="231F20"/>
          <w:spacing w:val="-9"/>
        </w:rPr>
        <w:t> </w:t>
      </w:r>
      <w:r>
        <w:rPr>
          <w:color w:val="231F20"/>
        </w:rPr>
        <w:t>requieren</w:t>
      </w:r>
      <w:r>
        <w:rPr>
          <w:color w:val="231F20"/>
          <w:spacing w:val="-9"/>
        </w:rPr>
        <w:t> </w:t>
      </w:r>
      <w:r>
        <w:rPr>
          <w:color w:val="231F20"/>
        </w:rPr>
        <w:t>de</w:t>
      </w:r>
      <w:r>
        <w:rPr>
          <w:color w:val="231F20"/>
          <w:spacing w:val="-9"/>
        </w:rPr>
        <w:t> </w:t>
      </w:r>
      <w:r>
        <w:rPr>
          <w:color w:val="231F20"/>
        </w:rPr>
        <w:t>mano</w:t>
      </w:r>
      <w:r>
        <w:rPr>
          <w:color w:val="231F20"/>
          <w:spacing w:val="-9"/>
        </w:rPr>
        <w:t> </w:t>
      </w:r>
      <w:r>
        <w:rPr>
          <w:color w:val="231F20"/>
        </w:rPr>
        <w:t>de</w:t>
      </w:r>
      <w:r>
        <w:rPr>
          <w:color w:val="231F20"/>
          <w:spacing w:val="-9"/>
        </w:rPr>
        <w:t> </w:t>
      </w:r>
      <w:r>
        <w:rPr>
          <w:color w:val="231F20"/>
        </w:rPr>
        <w:t>obra</w:t>
      </w:r>
      <w:r>
        <w:rPr>
          <w:color w:val="231F20"/>
          <w:spacing w:val="-9"/>
        </w:rPr>
        <w:t> </w:t>
      </w:r>
      <w:r>
        <w:rPr>
          <w:color w:val="231F20"/>
        </w:rPr>
        <w:t>barata</w:t>
      </w:r>
      <w:r>
        <w:rPr>
          <w:color w:val="231F20"/>
          <w:spacing w:val="-9"/>
        </w:rPr>
        <w:t> </w:t>
      </w:r>
      <w:r>
        <w:rPr>
          <w:color w:val="231F20"/>
        </w:rPr>
        <w:t>y eficiente,</w:t>
      </w:r>
      <w:r>
        <w:rPr>
          <w:color w:val="231F20"/>
          <w:spacing w:val="-10"/>
        </w:rPr>
        <w:t> </w:t>
      </w:r>
      <w:r>
        <w:rPr>
          <w:color w:val="231F20"/>
        </w:rPr>
        <w:t>y</w:t>
      </w:r>
      <w:r>
        <w:rPr>
          <w:color w:val="231F20"/>
          <w:spacing w:val="-10"/>
        </w:rPr>
        <w:t> </w:t>
      </w:r>
      <w:r>
        <w:rPr>
          <w:color w:val="231F20"/>
        </w:rPr>
        <w:t>por</w:t>
      </w:r>
      <w:r>
        <w:rPr>
          <w:color w:val="231F20"/>
          <w:spacing w:val="-10"/>
        </w:rPr>
        <w:t> </w:t>
      </w:r>
      <w:r>
        <w:rPr>
          <w:color w:val="231F20"/>
        </w:rPr>
        <w:t>otro,</w:t>
      </w:r>
      <w:r>
        <w:rPr>
          <w:color w:val="231F20"/>
          <w:spacing w:val="-10"/>
        </w:rPr>
        <w:t> </w:t>
      </w:r>
      <w:r>
        <w:rPr>
          <w:color w:val="231F20"/>
        </w:rPr>
        <w:t>las</w:t>
      </w:r>
      <w:r>
        <w:rPr>
          <w:color w:val="231F20"/>
          <w:spacing w:val="-10"/>
        </w:rPr>
        <w:t> </w:t>
      </w:r>
      <w:r>
        <w:rPr>
          <w:color w:val="231F20"/>
        </w:rPr>
        <w:t>economías</w:t>
      </w:r>
      <w:r>
        <w:rPr>
          <w:color w:val="231F20"/>
          <w:spacing w:val="-10"/>
        </w:rPr>
        <w:t> </w:t>
      </w:r>
      <w:r>
        <w:rPr>
          <w:color w:val="231F20"/>
        </w:rPr>
        <w:t>expulsoras</w:t>
      </w:r>
      <w:r>
        <w:rPr>
          <w:color w:val="231F20"/>
          <w:spacing w:val="-10"/>
        </w:rPr>
        <w:t> </w:t>
      </w:r>
      <w:r>
        <w:rPr>
          <w:color w:val="231F20"/>
        </w:rPr>
        <w:t>requieren</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remesas</w:t>
      </w:r>
      <w:r>
        <w:rPr>
          <w:color w:val="231F20"/>
          <w:spacing w:val="-10"/>
        </w:rPr>
        <w:t> </w:t>
      </w:r>
      <w:r>
        <w:rPr>
          <w:color w:val="231F20"/>
        </w:rPr>
        <w:t>en- viadas</w:t>
      </w:r>
      <w:r>
        <w:rPr>
          <w:color w:val="231F20"/>
          <w:spacing w:val="-6"/>
        </w:rPr>
        <w:t> </w:t>
      </w:r>
      <w:r>
        <w:rPr>
          <w:color w:val="231F20"/>
        </w:rPr>
        <w:t>para</w:t>
      </w:r>
      <w:r>
        <w:rPr>
          <w:color w:val="231F20"/>
          <w:spacing w:val="-6"/>
        </w:rPr>
        <w:t> </w:t>
      </w:r>
      <w:r>
        <w:rPr>
          <w:color w:val="231F20"/>
        </w:rPr>
        <w:t>que</w:t>
      </w:r>
      <w:r>
        <w:rPr>
          <w:color w:val="231F20"/>
          <w:spacing w:val="-7"/>
        </w:rPr>
        <w:t> </w:t>
      </w:r>
      <w:r>
        <w:rPr>
          <w:color w:val="231F20"/>
        </w:rPr>
        <w:t>las</w:t>
      </w:r>
      <w:r>
        <w:rPr>
          <w:color w:val="231F20"/>
          <w:spacing w:val="-7"/>
        </w:rPr>
        <w:t> </w:t>
      </w:r>
      <w:r>
        <w:rPr>
          <w:color w:val="231F20"/>
        </w:rPr>
        <w:t>familias</w:t>
      </w:r>
      <w:r>
        <w:rPr>
          <w:color w:val="231F20"/>
          <w:spacing w:val="-7"/>
        </w:rPr>
        <w:t> </w:t>
      </w:r>
      <w:r>
        <w:rPr>
          <w:color w:val="231F20"/>
        </w:rPr>
        <w:t>se</w:t>
      </w:r>
      <w:r>
        <w:rPr>
          <w:color w:val="231F20"/>
          <w:spacing w:val="-6"/>
        </w:rPr>
        <w:t> </w:t>
      </w:r>
      <w:r>
        <w:rPr>
          <w:color w:val="231F20"/>
        </w:rPr>
        <w:t>sostengan,</w:t>
      </w:r>
      <w:r>
        <w:rPr>
          <w:color w:val="231F20"/>
          <w:spacing w:val="-6"/>
        </w:rPr>
        <w:t> </w:t>
      </w:r>
      <w:r>
        <w:rPr>
          <w:color w:val="231F20"/>
        </w:rPr>
        <w:t>ahorren</w:t>
      </w:r>
      <w:r>
        <w:rPr>
          <w:color w:val="231F20"/>
          <w:spacing w:val="-7"/>
        </w:rPr>
        <w:t> </w:t>
      </w:r>
      <w:r>
        <w:rPr>
          <w:color w:val="231F20"/>
        </w:rPr>
        <w:t>e</w:t>
      </w:r>
      <w:r>
        <w:rPr>
          <w:color w:val="231F20"/>
          <w:spacing w:val="-7"/>
        </w:rPr>
        <w:t> </w:t>
      </w:r>
      <w:r>
        <w:rPr>
          <w:color w:val="231F20"/>
        </w:rPr>
        <w:t>inviertan</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esta</w:t>
      </w:r>
      <w:r>
        <w:rPr>
          <w:color w:val="231F20"/>
          <w:spacing w:val="-7"/>
        </w:rPr>
        <w:t> </w:t>
      </w:r>
      <w:r>
        <w:rPr>
          <w:color w:val="231F20"/>
        </w:rPr>
        <w:t>ma- nera</w:t>
      </w:r>
      <w:r>
        <w:rPr>
          <w:color w:val="231F20"/>
          <w:spacing w:val="-5"/>
        </w:rPr>
        <w:t> </w:t>
      </w:r>
      <w:r>
        <w:rPr>
          <w:color w:val="231F20"/>
        </w:rPr>
        <w:t>contribuyan</w:t>
      </w:r>
      <w:r>
        <w:rPr>
          <w:color w:val="231F20"/>
          <w:spacing w:val="-5"/>
        </w:rPr>
        <w:t> </w:t>
      </w:r>
      <w:r>
        <w:rPr>
          <w:color w:val="231F20"/>
        </w:rPr>
        <w:t>a</w:t>
      </w:r>
      <w:r>
        <w:rPr>
          <w:color w:val="231F20"/>
          <w:spacing w:val="-5"/>
        </w:rPr>
        <w:t> </w:t>
      </w:r>
      <w:r>
        <w:rPr>
          <w:color w:val="231F20"/>
        </w:rPr>
        <w:t>dinamizar</w:t>
      </w:r>
      <w:r>
        <w:rPr>
          <w:color w:val="231F20"/>
          <w:spacing w:val="-5"/>
        </w:rPr>
        <w:t> </w:t>
      </w:r>
      <w:r>
        <w:rPr>
          <w:color w:val="231F20"/>
        </w:rPr>
        <w:t>los</w:t>
      </w:r>
      <w:r>
        <w:rPr>
          <w:color w:val="231F20"/>
          <w:spacing w:val="-5"/>
        </w:rPr>
        <w:t> </w:t>
      </w:r>
      <w:r>
        <w:rPr>
          <w:color w:val="231F20"/>
        </w:rPr>
        <w:t>mercados</w:t>
      </w:r>
      <w:r>
        <w:rPr>
          <w:color w:val="231F20"/>
          <w:spacing w:val="-5"/>
        </w:rPr>
        <w:t> </w:t>
      </w:r>
      <w:r>
        <w:rPr>
          <w:color w:val="231F20"/>
        </w:rPr>
        <w:t>locales.</w:t>
      </w:r>
      <w:r>
        <w:rPr>
          <w:color w:val="231F20"/>
          <w:spacing w:val="-6"/>
        </w:rPr>
        <w:t> </w:t>
      </w:r>
      <w:r>
        <w:rPr>
          <w:color w:val="231F20"/>
        </w:rPr>
        <w:t>Este</w:t>
      </w:r>
      <w:r>
        <w:rPr>
          <w:color w:val="231F20"/>
          <w:spacing w:val="-5"/>
        </w:rPr>
        <w:t> </w:t>
      </w:r>
      <w:r>
        <w:rPr>
          <w:color w:val="231F20"/>
        </w:rPr>
        <w:t>hecho</w:t>
      </w:r>
      <w:r>
        <w:rPr>
          <w:color w:val="231F20"/>
          <w:spacing w:val="-5"/>
        </w:rPr>
        <w:t> </w:t>
      </w:r>
      <w:r>
        <w:rPr>
          <w:color w:val="231F20"/>
        </w:rPr>
        <w:t>se</w:t>
      </w:r>
      <w:r>
        <w:rPr>
          <w:color w:val="231F20"/>
          <w:spacing w:val="-5"/>
        </w:rPr>
        <w:t> </w:t>
      </w:r>
      <w:r>
        <w:rPr>
          <w:color w:val="231F20"/>
        </w:rPr>
        <w:t>conside- ra</w:t>
      </w:r>
      <w:r>
        <w:rPr>
          <w:color w:val="231F20"/>
          <w:spacing w:val="-8"/>
        </w:rPr>
        <w:t> </w:t>
      </w:r>
      <w:r>
        <w:rPr>
          <w:color w:val="231F20"/>
        </w:rPr>
        <w:t>una</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razones</w:t>
      </w:r>
      <w:r>
        <w:rPr>
          <w:color w:val="231F20"/>
          <w:spacing w:val="-8"/>
        </w:rPr>
        <w:t> </w:t>
      </w:r>
      <w:r>
        <w:rPr>
          <w:color w:val="231F20"/>
        </w:rPr>
        <w:t>contemporáneas</w:t>
      </w:r>
      <w:r>
        <w:rPr>
          <w:color w:val="231F20"/>
          <w:spacing w:val="-8"/>
        </w:rPr>
        <w:t> </w:t>
      </w:r>
      <w:r>
        <w:rPr>
          <w:color w:val="231F20"/>
        </w:rPr>
        <w:t>que</w:t>
      </w:r>
      <w:r>
        <w:rPr>
          <w:color w:val="231F20"/>
          <w:spacing w:val="-8"/>
        </w:rPr>
        <w:t> </w:t>
      </w:r>
      <w:r>
        <w:rPr>
          <w:color w:val="231F20"/>
        </w:rPr>
        <w:t>induce</w:t>
      </w:r>
      <w:r>
        <w:rPr>
          <w:color w:val="231F20"/>
          <w:spacing w:val="-8"/>
        </w:rPr>
        <w:t> </w:t>
      </w:r>
      <w:r>
        <w:rPr>
          <w:color w:val="231F20"/>
        </w:rPr>
        <w:t>a</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fuerza</w:t>
      </w:r>
      <w:r>
        <w:rPr>
          <w:color w:val="231F20"/>
          <w:spacing w:val="-8"/>
        </w:rPr>
        <w:t> </w:t>
      </w:r>
      <w:r>
        <w:rPr>
          <w:color w:val="231F20"/>
        </w:rPr>
        <w:t>de</w:t>
      </w:r>
      <w:r>
        <w:rPr>
          <w:color w:val="231F20"/>
          <w:spacing w:val="-8"/>
        </w:rPr>
        <w:t> </w:t>
      </w:r>
      <w:r>
        <w:rPr>
          <w:color w:val="231F20"/>
        </w:rPr>
        <w:t>trabajo del municipio de Tenancingo emigre hacia los Estados Unidos, buscando no sólo mejorar sus condiciones de vida, sino garantizar cierta estabilidad económica</w:t>
      </w:r>
      <w:r>
        <w:rPr>
          <w:color w:val="231F20"/>
          <w:spacing w:val="-4"/>
        </w:rPr>
        <w:t> </w:t>
      </w:r>
      <w:r>
        <w:rPr>
          <w:color w:val="231F20"/>
        </w:rPr>
        <w:t>y</w:t>
      </w:r>
      <w:r>
        <w:rPr>
          <w:color w:val="231F20"/>
          <w:spacing w:val="-3"/>
        </w:rPr>
        <w:t> </w:t>
      </w:r>
      <w:r>
        <w:rPr>
          <w:color w:val="231F20"/>
        </w:rPr>
        <w:t>social</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futuro,</w:t>
      </w:r>
      <w:r>
        <w:rPr>
          <w:color w:val="231F20"/>
          <w:spacing w:val="-3"/>
        </w:rPr>
        <w:t> </w:t>
      </w:r>
      <w:r>
        <w:rPr>
          <w:color w:val="231F20"/>
        </w:rPr>
        <w:t>aunque</w:t>
      </w:r>
      <w:r>
        <w:rPr>
          <w:color w:val="231F20"/>
          <w:spacing w:val="-4"/>
        </w:rPr>
        <w:t> </w:t>
      </w:r>
      <w:r>
        <w:rPr>
          <w:color w:val="231F20"/>
        </w:rPr>
        <w:t>esto</w:t>
      </w:r>
      <w:r>
        <w:rPr>
          <w:color w:val="231F20"/>
          <w:spacing w:val="-3"/>
        </w:rPr>
        <w:t> </w:t>
      </w:r>
      <w:r>
        <w:rPr>
          <w:color w:val="231F20"/>
        </w:rPr>
        <w:t>no</w:t>
      </w:r>
      <w:r>
        <w:rPr>
          <w:color w:val="231F20"/>
          <w:spacing w:val="-3"/>
        </w:rPr>
        <w:t> </w:t>
      </w:r>
      <w:r>
        <w:rPr>
          <w:color w:val="231F20"/>
        </w:rPr>
        <w:t>siempre</w:t>
      </w:r>
      <w:r>
        <w:rPr>
          <w:color w:val="231F20"/>
          <w:spacing w:val="-3"/>
        </w:rPr>
        <w:t> </w:t>
      </w:r>
      <w:r>
        <w:rPr>
          <w:color w:val="231F20"/>
        </w:rPr>
        <w:t>se</w:t>
      </w:r>
      <w:r>
        <w:rPr>
          <w:color w:val="231F20"/>
          <w:spacing w:val="-3"/>
        </w:rPr>
        <w:t> </w:t>
      </w:r>
      <w:r>
        <w:rPr>
          <w:color w:val="231F20"/>
        </w:rPr>
        <w:t>cumple,</w:t>
      </w:r>
      <w:r>
        <w:rPr>
          <w:color w:val="231F20"/>
          <w:spacing w:val="-4"/>
        </w:rPr>
        <w:t> </w:t>
      </w:r>
      <w:r>
        <w:rPr>
          <w:color w:val="231F20"/>
        </w:rPr>
        <w:t>pues</w:t>
      </w:r>
      <w:r>
        <w:rPr>
          <w:color w:val="231F20"/>
          <w:spacing w:val="-3"/>
        </w:rPr>
        <w:t> </w:t>
      </w:r>
      <w:r>
        <w:rPr>
          <w:color w:val="231F20"/>
        </w:rPr>
        <w:t>a medida que las leyes migratorias del país vecino se tornan más drásticas y estrictas, el traslado, estancia y ocupación puede truncarse, sin olvidar los efectos negativos que pueden generar las coyunturas económicas como lo sucedido</w:t>
      </w:r>
      <w:r>
        <w:rPr>
          <w:color w:val="231F20"/>
          <w:spacing w:val="-7"/>
        </w:rPr>
        <w:t> </w:t>
      </w:r>
      <w:r>
        <w:rPr>
          <w:color w:val="231F20"/>
        </w:rPr>
        <w:t>a</w:t>
      </w:r>
      <w:r>
        <w:rPr>
          <w:color w:val="231F20"/>
          <w:spacing w:val="-7"/>
        </w:rPr>
        <w:t> </w:t>
      </w:r>
      <w:r>
        <w:rPr>
          <w:color w:val="231F20"/>
        </w:rPr>
        <w:t>mediados</w:t>
      </w:r>
      <w:r>
        <w:rPr>
          <w:color w:val="231F20"/>
          <w:spacing w:val="-8"/>
        </w:rPr>
        <w:t> </w:t>
      </w:r>
      <w:r>
        <w:rPr>
          <w:color w:val="231F20"/>
        </w:rPr>
        <w:t>de</w:t>
      </w:r>
      <w:r>
        <w:rPr>
          <w:color w:val="231F20"/>
          <w:spacing w:val="-7"/>
        </w:rPr>
        <w:t> </w:t>
      </w:r>
      <w:r>
        <w:rPr>
          <w:color w:val="231F20"/>
        </w:rPr>
        <w:t>2008</w:t>
      </w:r>
      <w:r>
        <w:rPr>
          <w:color w:val="231F20"/>
          <w:spacing w:val="-7"/>
        </w:rPr>
        <w:t> </w:t>
      </w:r>
      <w:r>
        <w:rPr>
          <w:color w:val="231F20"/>
        </w:rPr>
        <w:t>en</w:t>
      </w:r>
      <w:r>
        <w:rPr>
          <w:color w:val="231F20"/>
          <w:spacing w:val="-8"/>
        </w:rPr>
        <w:t> </w:t>
      </w:r>
      <w:r>
        <w:rPr>
          <w:color w:val="231F20"/>
        </w:rPr>
        <w:t>la</w:t>
      </w:r>
      <w:r>
        <w:rPr>
          <w:color w:val="231F20"/>
          <w:spacing w:val="-8"/>
        </w:rPr>
        <w:t> </w:t>
      </w:r>
      <w:r>
        <w:rPr>
          <w:color w:val="231F20"/>
        </w:rPr>
        <w:t>economía</w:t>
      </w:r>
      <w:r>
        <w:rPr>
          <w:color w:val="231F20"/>
          <w:spacing w:val="-8"/>
        </w:rPr>
        <w:t> </w:t>
      </w:r>
      <w:r>
        <w:rPr>
          <w:color w:val="231F20"/>
        </w:rPr>
        <w:t>estadounidense,</w:t>
      </w:r>
      <w:r>
        <w:rPr>
          <w:color w:val="231F20"/>
          <w:spacing w:val="-8"/>
        </w:rPr>
        <w:t> </w:t>
      </w:r>
      <w:r>
        <w:rPr>
          <w:color w:val="231F20"/>
        </w:rPr>
        <w:t>que</w:t>
      </w:r>
      <w:r>
        <w:rPr>
          <w:color w:val="231F20"/>
          <w:spacing w:val="-8"/>
        </w:rPr>
        <w:t> </w:t>
      </w:r>
      <w:r>
        <w:rPr>
          <w:color w:val="231F20"/>
        </w:rPr>
        <w:t>provocó una fuerte desocupación de la fuerza de trabajo emigrante, afectando con- secuentemente el envío de</w:t>
      </w:r>
      <w:r>
        <w:rPr>
          <w:color w:val="231F20"/>
          <w:spacing w:val="-12"/>
        </w:rPr>
        <w:t> </w:t>
      </w:r>
      <w:r>
        <w:rPr>
          <w:color w:val="231F20"/>
        </w:rPr>
        <w:t>remesas.</w:t>
      </w:r>
    </w:p>
    <w:p>
      <w:pPr>
        <w:pStyle w:val="BodyText"/>
        <w:spacing w:line="247" w:lineRule="auto"/>
        <w:ind w:left="117" w:right="114" w:firstLine="283"/>
        <w:jc w:val="both"/>
      </w:pPr>
      <w:r>
        <w:rPr>
          <w:color w:val="231F20"/>
        </w:rPr>
        <w:t>Asimismo,</w:t>
      </w:r>
      <w:r>
        <w:rPr>
          <w:color w:val="231F20"/>
          <w:spacing w:val="-4"/>
        </w:rPr>
        <w:t> </w:t>
      </w:r>
      <w:r>
        <w:rPr>
          <w:color w:val="231F20"/>
        </w:rPr>
        <w:t>debe</w:t>
      </w:r>
      <w:r>
        <w:rPr>
          <w:color w:val="231F20"/>
          <w:spacing w:val="-4"/>
        </w:rPr>
        <w:t> </w:t>
      </w:r>
      <w:r>
        <w:rPr>
          <w:color w:val="231F20"/>
        </w:rPr>
        <w:t>enfatizarse</w:t>
      </w:r>
      <w:r>
        <w:rPr>
          <w:color w:val="231F20"/>
          <w:spacing w:val="-5"/>
        </w:rPr>
        <w:t> </w:t>
      </w:r>
      <w:r>
        <w:rPr>
          <w:color w:val="231F20"/>
        </w:rPr>
        <w:t>que</w:t>
      </w:r>
      <w:r>
        <w:rPr>
          <w:color w:val="231F20"/>
          <w:spacing w:val="-4"/>
        </w:rPr>
        <w:t> </w:t>
      </w:r>
      <w:r>
        <w:rPr>
          <w:color w:val="231F20"/>
        </w:rPr>
        <w:t>no</w:t>
      </w:r>
      <w:r>
        <w:rPr>
          <w:color w:val="231F20"/>
          <w:spacing w:val="-4"/>
        </w:rPr>
        <w:t> </w:t>
      </w:r>
      <w:r>
        <w:rPr>
          <w:color w:val="231F20"/>
        </w:rPr>
        <w:t>siempre</w:t>
      </w:r>
      <w:r>
        <w:rPr>
          <w:color w:val="231F20"/>
          <w:spacing w:val="-4"/>
        </w:rPr>
        <w:t> </w:t>
      </w:r>
      <w:r>
        <w:rPr>
          <w:color w:val="231F20"/>
        </w:rPr>
        <w:t>las</w:t>
      </w:r>
      <w:r>
        <w:rPr>
          <w:color w:val="231F20"/>
          <w:spacing w:val="-4"/>
        </w:rPr>
        <w:t> </w:t>
      </w:r>
      <w:r>
        <w:rPr>
          <w:color w:val="231F20"/>
        </w:rPr>
        <w:t>remesas</w:t>
      </w:r>
      <w:r>
        <w:rPr>
          <w:color w:val="231F20"/>
          <w:spacing w:val="-4"/>
        </w:rPr>
        <w:t> </w:t>
      </w:r>
      <w:r>
        <w:rPr>
          <w:color w:val="231F20"/>
        </w:rPr>
        <w:t>son</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can- tidades deseadas por los hogares receptores, pues las evidencias han mos- trado que algunos sólo reciben 51 dólares por cada transferencia y otros  se ven más favorecidos al recibir 200 dólares mensuales, razón por la que los impactos observados en la economía local no son muy significativos, ya que la mayor parte de estos recursos se emplean para satisfacer necesi- dades básicas de alimentación, salud, educación y vestido principalmente y sólo diez por ciento se emplea para realizar alguna inversión, abrir un negocio, comprar algún bien inmueble o para</w:t>
      </w:r>
      <w:r>
        <w:rPr>
          <w:color w:val="231F20"/>
          <w:spacing w:val="-16"/>
        </w:rPr>
        <w:t> </w:t>
      </w:r>
      <w:r>
        <w:rPr>
          <w:color w:val="231F20"/>
        </w:rPr>
        <w:t>ahorrar.</w:t>
      </w:r>
    </w:p>
    <w:p>
      <w:pPr>
        <w:pStyle w:val="BodyText"/>
        <w:spacing w:line="247" w:lineRule="auto"/>
        <w:ind w:left="117" w:right="115" w:firstLine="283"/>
        <w:jc w:val="both"/>
      </w:pPr>
      <w:r>
        <w:rPr>
          <w:color w:val="231F20"/>
        </w:rPr>
        <w:t>Es así que tanto los emigrantes como sus familiares involucrados en este fenómeno migratorio, en muchas ocasiones se ven inmersos en situa- ciones poco favorables, pues a veces el emigrante es víctima de la delin- cuencia e incluso de las propias leyes estadounidenses al ser acusados y encarcelados injustamente y en casos extremos asesinados por la policía norteamericana, de aquí que el gobierno debe prestar especial atención en tratar de crear las condiciones necesarias para la ocupación de la fuerza</w:t>
      </w:r>
      <w:r>
        <w:rPr>
          <w:color w:val="231F20"/>
          <w:spacing w:val="-25"/>
        </w:rPr>
        <w:t> </w:t>
      </w:r>
      <w:r>
        <w:rPr>
          <w:color w:val="231F20"/>
        </w:rPr>
        <w:t>de trabajo</w:t>
      </w:r>
      <w:r>
        <w:rPr>
          <w:color w:val="231F20"/>
          <w:spacing w:val="-6"/>
        </w:rPr>
        <w:t> </w:t>
      </w:r>
      <w:r>
        <w:rPr>
          <w:color w:val="231F20"/>
        </w:rPr>
        <w:t>o</w:t>
      </w:r>
      <w:r>
        <w:rPr>
          <w:color w:val="231F20"/>
          <w:spacing w:val="-6"/>
        </w:rPr>
        <w:t> </w:t>
      </w:r>
      <w:r>
        <w:rPr>
          <w:color w:val="231F20"/>
        </w:rPr>
        <w:t>de</w:t>
      </w:r>
      <w:r>
        <w:rPr>
          <w:color w:val="231F20"/>
          <w:spacing w:val="-6"/>
        </w:rPr>
        <w:t> </w:t>
      </w:r>
      <w:r>
        <w:rPr>
          <w:color w:val="231F20"/>
        </w:rPr>
        <w:t>establecer</w:t>
      </w:r>
      <w:r>
        <w:rPr>
          <w:color w:val="231F20"/>
          <w:spacing w:val="-6"/>
        </w:rPr>
        <w:t> </w:t>
      </w:r>
      <w:r>
        <w:rPr>
          <w:color w:val="231F20"/>
        </w:rPr>
        <w:t>ciertos</w:t>
      </w:r>
      <w:r>
        <w:rPr>
          <w:color w:val="231F20"/>
          <w:spacing w:val="-6"/>
        </w:rPr>
        <w:t> </w:t>
      </w:r>
      <w:r>
        <w:rPr>
          <w:color w:val="231F20"/>
        </w:rPr>
        <w:t>acuerdos</w:t>
      </w:r>
      <w:r>
        <w:rPr>
          <w:color w:val="231F20"/>
          <w:spacing w:val="-6"/>
        </w:rPr>
        <w:t> </w:t>
      </w:r>
      <w:r>
        <w:rPr>
          <w:color w:val="231F20"/>
        </w:rPr>
        <w:t>para</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emigrantes</w:t>
      </w:r>
      <w:r>
        <w:rPr>
          <w:color w:val="231F20"/>
          <w:spacing w:val="-6"/>
        </w:rPr>
        <w:t> </w:t>
      </w:r>
      <w:r>
        <w:rPr>
          <w:color w:val="231F20"/>
        </w:rPr>
        <w:t>nacionales puedan emplearse en dicho país, ya que en las localidades habitadas ma- yoritariamente</w:t>
      </w:r>
      <w:r>
        <w:rPr>
          <w:color w:val="231F20"/>
          <w:spacing w:val="-5"/>
        </w:rPr>
        <w:t> </w:t>
      </w:r>
      <w:r>
        <w:rPr>
          <w:color w:val="231F20"/>
        </w:rPr>
        <w:t>por</w:t>
      </w:r>
      <w:r>
        <w:rPr>
          <w:color w:val="231F20"/>
          <w:spacing w:val="-4"/>
        </w:rPr>
        <w:t> </w:t>
      </w:r>
      <w:r>
        <w:rPr>
          <w:color w:val="231F20"/>
        </w:rPr>
        <w:t>niños,</w:t>
      </w:r>
      <w:r>
        <w:rPr>
          <w:color w:val="231F20"/>
          <w:spacing w:val="-4"/>
        </w:rPr>
        <w:t> </w:t>
      </w:r>
      <w:r>
        <w:rPr>
          <w:color w:val="231F20"/>
        </w:rPr>
        <w:t>mujeres</w:t>
      </w:r>
      <w:r>
        <w:rPr>
          <w:color w:val="231F20"/>
          <w:spacing w:val="-5"/>
        </w:rPr>
        <w:t> </w:t>
      </w:r>
      <w:r>
        <w:rPr>
          <w:color w:val="231F20"/>
        </w:rPr>
        <w:t>y</w:t>
      </w:r>
      <w:r>
        <w:rPr>
          <w:color w:val="231F20"/>
          <w:spacing w:val="-4"/>
        </w:rPr>
        <w:t> </w:t>
      </w:r>
      <w:r>
        <w:rPr>
          <w:color w:val="231F20"/>
        </w:rPr>
        <w:t>personas</w:t>
      </w:r>
      <w:r>
        <w:rPr>
          <w:color w:val="231F20"/>
          <w:spacing w:val="-4"/>
        </w:rPr>
        <w:t> </w:t>
      </w:r>
      <w:r>
        <w:rPr>
          <w:color w:val="231F20"/>
        </w:rPr>
        <w:t>adultas</w:t>
      </w:r>
      <w:r>
        <w:rPr>
          <w:color w:val="231F20"/>
          <w:spacing w:val="-5"/>
        </w:rPr>
        <w:t> </w:t>
      </w:r>
      <w:r>
        <w:rPr>
          <w:color w:val="231F20"/>
        </w:rPr>
        <w:t>de</w:t>
      </w:r>
      <w:r>
        <w:rPr>
          <w:color w:val="231F20"/>
          <w:spacing w:val="-4"/>
        </w:rPr>
        <w:t> </w:t>
      </w:r>
      <w:r>
        <w:rPr>
          <w:color w:val="231F20"/>
        </w:rPr>
        <w:t>más</w:t>
      </w:r>
      <w:r>
        <w:rPr>
          <w:color w:val="231F20"/>
          <w:spacing w:val="-5"/>
        </w:rPr>
        <w:t> </w:t>
      </w:r>
      <w:r>
        <w:rPr>
          <w:color w:val="231F20"/>
        </w:rPr>
        <w:t>de</w:t>
      </w:r>
      <w:r>
        <w:rPr>
          <w:color w:val="231F20"/>
          <w:spacing w:val="-4"/>
        </w:rPr>
        <w:t> </w:t>
      </w:r>
      <w:r>
        <w:rPr>
          <w:color w:val="231F20"/>
        </w:rPr>
        <w:t>40</w:t>
      </w:r>
      <w:r>
        <w:rPr>
          <w:color w:val="231F20"/>
          <w:spacing w:val="-4"/>
        </w:rPr>
        <w:t> </w:t>
      </w:r>
      <w:r>
        <w:rPr>
          <w:color w:val="231F20"/>
        </w:rPr>
        <w:t>años</w:t>
      </w:r>
      <w:r>
        <w:rPr>
          <w:color w:val="231F20"/>
          <w:spacing w:val="-5"/>
        </w:rPr>
        <w:t> </w:t>
      </w:r>
      <w:r>
        <w:rPr>
          <w:color w:val="231F20"/>
        </w:rPr>
        <w:t>de edad, producto de la emigración, subsisten con las remesas</w:t>
      </w:r>
      <w:r>
        <w:rPr>
          <w:color w:val="231F20"/>
          <w:spacing w:val="-12"/>
        </w:rPr>
        <w:t> </w:t>
      </w:r>
      <w:r>
        <w:rPr>
          <w:color w:val="231F20"/>
        </w:rPr>
        <w:t>enviadas.</w:t>
      </w:r>
    </w:p>
    <w:p>
      <w:pPr>
        <w:pStyle w:val="BodyText"/>
        <w:spacing w:line="247" w:lineRule="auto"/>
        <w:ind w:left="117" w:right="115" w:firstLine="283"/>
        <w:jc w:val="both"/>
      </w:pPr>
      <w:r>
        <w:rPr>
          <w:color w:val="231F20"/>
        </w:rPr>
        <w:t>Finalmente, las remesas pueden ser más rentables si los gobiernos lo- cales y estatales se involucran en estas cuestiones, creando proyectos pro-</w:t>
      </w:r>
    </w:p>
    <w:p>
      <w:pPr>
        <w:spacing w:after="0" w:line="247" w:lineRule="auto"/>
        <w:jc w:val="both"/>
        <w:sectPr>
          <w:pgSz w:w="9360" w:h="13040"/>
          <w:pgMar w:header="0" w:footer="496" w:top="740" w:bottom="680" w:left="1300" w:right="1300"/>
        </w:sectPr>
      </w:pPr>
    </w:p>
    <w:p>
      <w:pPr>
        <w:spacing w:before="52"/>
        <w:ind w:left="124" w:right="-5" w:firstLine="0"/>
        <w:jc w:val="left"/>
        <w:rPr>
          <w:rFonts w:ascii="Arial" w:hAnsi="Arial"/>
          <w:sz w:val="20"/>
        </w:rPr>
      </w:pPr>
      <w:r>
        <w:rPr>
          <w:rFonts w:ascii="Arial" w:hAnsi="Arial"/>
          <w:color w:val="231F20"/>
          <w:w w:val="80"/>
          <w:sz w:val="20"/>
        </w:rPr>
        <w:t>Hitos</w:t>
      </w:r>
      <w:r>
        <w:rPr>
          <w:rFonts w:ascii="Arial" w:hAnsi="Arial"/>
          <w:color w:val="231F20"/>
          <w:spacing w:val="-23"/>
          <w:w w:val="80"/>
          <w:sz w:val="20"/>
        </w:rPr>
        <w:t> </w:t>
      </w:r>
      <w:r>
        <w:rPr>
          <w:rFonts w:ascii="Arial" w:hAnsi="Arial"/>
          <w:color w:val="231F20"/>
          <w:w w:val="80"/>
          <w:sz w:val="20"/>
        </w:rPr>
        <w:t>Demográficos</w:t>
      </w:r>
      <w:r>
        <w:rPr>
          <w:rFonts w:ascii="Arial" w:hAnsi="Arial"/>
          <w:color w:val="231F20"/>
          <w:spacing w:val="-23"/>
          <w:w w:val="80"/>
          <w:sz w:val="20"/>
        </w:rPr>
        <w:t> </w:t>
      </w:r>
      <w:r>
        <w:rPr>
          <w:rFonts w:ascii="Arial" w:hAnsi="Arial"/>
          <w:color w:val="231F20"/>
          <w:w w:val="80"/>
          <w:sz w:val="20"/>
        </w:rPr>
        <w:t>del</w:t>
      </w:r>
      <w:r>
        <w:rPr>
          <w:rFonts w:ascii="Arial" w:hAnsi="Arial"/>
          <w:color w:val="231F20"/>
          <w:spacing w:val="-23"/>
          <w:w w:val="80"/>
          <w:sz w:val="20"/>
        </w:rPr>
        <w:t> </w:t>
      </w:r>
      <w:r>
        <w:rPr>
          <w:rFonts w:ascii="Arial" w:hAnsi="Arial"/>
          <w:color w:val="231F20"/>
          <w:w w:val="80"/>
          <w:sz w:val="20"/>
        </w:rPr>
        <w:t>Siglo</w:t>
      </w:r>
      <w:r>
        <w:rPr>
          <w:rFonts w:ascii="Arial" w:hAnsi="Arial"/>
          <w:color w:val="231F20"/>
          <w:spacing w:val="-23"/>
          <w:w w:val="80"/>
          <w:sz w:val="20"/>
        </w:rPr>
        <w:t> </w:t>
      </w:r>
      <w:r>
        <w:rPr>
          <w:rFonts w:ascii="Arial" w:hAnsi="Arial"/>
          <w:color w:val="231F20"/>
          <w:w w:val="80"/>
          <w:sz w:val="20"/>
        </w:rPr>
        <w:t>XXI:</w:t>
      </w:r>
      <w:r>
        <w:rPr>
          <w:rFonts w:ascii="Arial" w:hAnsi="Arial"/>
          <w:color w:val="231F20"/>
          <w:spacing w:val="-23"/>
          <w:w w:val="80"/>
          <w:sz w:val="20"/>
        </w:rPr>
        <w:t> </w:t>
      </w:r>
      <w:r>
        <w:rPr>
          <w:rFonts w:ascii="Arial" w:hAnsi="Arial"/>
          <w:color w:val="231F20"/>
          <w:w w:val="80"/>
          <w:sz w:val="20"/>
        </w:rPr>
        <w:t>Migración</w:t>
      </w:r>
      <w:r>
        <w:rPr>
          <w:rFonts w:ascii="Arial" w:hAnsi="Arial"/>
          <w:color w:val="231F20"/>
          <w:spacing w:val="-23"/>
          <w:w w:val="80"/>
          <w:sz w:val="20"/>
        </w:rPr>
        <w:t> </w:t>
      </w:r>
      <w:r>
        <w:rPr>
          <w:rFonts w:ascii="Arial" w:hAnsi="Arial"/>
          <w:color w:val="231F20"/>
          <w:w w:val="80"/>
          <w:sz w:val="20"/>
        </w:rPr>
        <w:t>Internacional</w:t>
      </w:r>
    </w:p>
    <w:p>
      <w:pPr>
        <w:spacing w:before="54"/>
        <w:ind w:left="124" w:right="0" w:firstLine="0"/>
        <w:jc w:val="left"/>
        <w:rPr>
          <w:sz w:val="18"/>
        </w:rPr>
      </w:pPr>
      <w:r>
        <w:rPr/>
        <w:br w:type="column"/>
      </w:r>
      <w:r>
        <w:rPr>
          <w:color w:val="231F20"/>
          <w:sz w:val="18"/>
        </w:rPr>
        <w:t>CIEAP/UAEM</w:t>
      </w:r>
    </w:p>
    <w:p>
      <w:pPr>
        <w:spacing w:after="0"/>
        <w:jc w:val="left"/>
        <w:rPr>
          <w:sz w:val="18"/>
        </w:rPr>
        <w:sectPr>
          <w:pgSz w:w="9360" w:h="13040"/>
          <w:pgMar w:header="0" w:footer="496" w:top="840" w:bottom="680" w:left="1300" w:right="1300"/>
          <w:cols w:num="2" w:equalWidth="0">
            <w:col w:w="4101" w:space="1311"/>
            <w:col w:w="1348"/>
          </w:cols>
        </w:sectPr>
      </w:pPr>
    </w:p>
    <w:p>
      <w:pPr>
        <w:pStyle w:val="BodyText"/>
        <w:spacing w:before="7"/>
        <w:rPr>
          <w:sz w:val="13"/>
        </w:rPr>
      </w:pPr>
    </w:p>
    <w:p>
      <w:pPr>
        <w:pStyle w:val="BodyText"/>
        <w:spacing w:line="247" w:lineRule="auto" w:before="72"/>
        <w:ind w:left="117" w:right="115"/>
        <w:jc w:val="both"/>
      </w:pPr>
      <w:r>
        <w:rPr>
          <w:color w:val="231F20"/>
        </w:rPr>
        <w:t>ductivos acorde con las condiciones de cada región, como opción no sólo de</w:t>
      </w:r>
      <w:r>
        <w:rPr>
          <w:color w:val="231F20"/>
          <w:spacing w:val="-10"/>
        </w:rPr>
        <w:t> </w:t>
      </w:r>
      <w:r>
        <w:rPr>
          <w:color w:val="231F20"/>
        </w:rPr>
        <w:t>ocupación</w:t>
      </w:r>
      <w:r>
        <w:rPr>
          <w:color w:val="231F20"/>
          <w:spacing w:val="-10"/>
        </w:rPr>
        <w:t> </w:t>
      </w:r>
      <w:r>
        <w:rPr>
          <w:color w:val="231F20"/>
        </w:rPr>
        <w:t>e</w:t>
      </w:r>
      <w:r>
        <w:rPr>
          <w:color w:val="231F20"/>
          <w:spacing w:val="-10"/>
        </w:rPr>
        <w:t> </w:t>
      </w:r>
      <w:r>
        <w:rPr>
          <w:color w:val="231F20"/>
        </w:rPr>
        <w:t>ingresos,</w:t>
      </w:r>
      <w:r>
        <w:rPr>
          <w:color w:val="231F20"/>
          <w:spacing w:val="-11"/>
        </w:rPr>
        <w:t> </w:t>
      </w:r>
      <w:r>
        <w:rPr>
          <w:color w:val="231F20"/>
        </w:rPr>
        <w:t>sino</w:t>
      </w:r>
      <w:r>
        <w:rPr>
          <w:color w:val="231F20"/>
          <w:spacing w:val="-10"/>
        </w:rPr>
        <w:t> </w:t>
      </w:r>
      <w:r>
        <w:rPr>
          <w:color w:val="231F20"/>
        </w:rPr>
        <w:t>de</w:t>
      </w:r>
      <w:r>
        <w:rPr>
          <w:color w:val="231F20"/>
          <w:spacing w:val="-10"/>
        </w:rPr>
        <w:t> </w:t>
      </w:r>
      <w:r>
        <w:rPr>
          <w:color w:val="231F20"/>
        </w:rPr>
        <w:t>desarrollo</w:t>
      </w:r>
      <w:r>
        <w:rPr>
          <w:color w:val="231F20"/>
          <w:spacing w:val="-10"/>
        </w:rPr>
        <w:t> </w:t>
      </w:r>
      <w:r>
        <w:rPr>
          <w:color w:val="231F20"/>
        </w:rPr>
        <w:t>local,</w:t>
      </w:r>
      <w:r>
        <w:rPr>
          <w:color w:val="231F20"/>
          <w:spacing w:val="-11"/>
        </w:rPr>
        <w:t> </w:t>
      </w:r>
      <w:r>
        <w:rPr>
          <w:color w:val="231F20"/>
        </w:rPr>
        <w:t>velando</w:t>
      </w:r>
      <w:r>
        <w:rPr>
          <w:color w:val="231F20"/>
          <w:spacing w:val="-10"/>
        </w:rPr>
        <w:t> </w:t>
      </w:r>
      <w:r>
        <w:rPr>
          <w:color w:val="231F20"/>
        </w:rPr>
        <w:t>por</w:t>
      </w:r>
      <w:r>
        <w:rPr>
          <w:color w:val="231F20"/>
          <w:spacing w:val="-10"/>
        </w:rPr>
        <w:t> </w:t>
      </w:r>
      <w:r>
        <w:rPr>
          <w:color w:val="231F20"/>
        </w:rPr>
        <w:t>la</w:t>
      </w:r>
      <w:r>
        <w:rPr>
          <w:color w:val="231F20"/>
          <w:spacing w:val="-10"/>
        </w:rPr>
        <w:t> </w:t>
      </w:r>
      <w:r>
        <w:rPr>
          <w:color w:val="231F20"/>
        </w:rPr>
        <w:t>utilidad</w:t>
      </w:r>
      <w:r>
        <w:rPr>
          <w:color w:val="231F20"/>
          <w:spacing w:val="-10"/>
        </w:rPr>
        <w:t> </w:t>
      </w:r>
      <w:r>
        <w:rPr>
          <w:color w:val="231F20"/>
        </w:rPr>
        <w:t>de dichos recursos recibidos.</w:t>
      </w:r>
    </w:p>
    <w:p>
      <w:pPr>
        <w:pStyle w:val="BodyText"/>
        <w:spacing w:before="7"/>
        <w:rPr>
          <w:sz w:val="15"/>
        </w:rPr>
      </w:pPr>
    </w:p>
    <w:p>
      <w:pPr>
        <w:pStyle w:val="Heading3"/>
        <w:spacing w:before="69"/>
        <w:ind w:right="117"/>
        <w:jc w:val="left"/>
      </w:pPr>
      <w:r>
        <w:rPr>
          <w:color w:val="231F20"/>
        </w:rPr>
        <w:t>Bibliografía</w:t>
      </w:r>
    </w:p>
    <w:p>
      <w:pPr>
        <w:pStyle w:val="BodyText"/>
        <w:spacing w:before="7"/>
        <w:rPr>
          <w:b/>
          <w:sz w:val="12"/>
        </w:rPr>
      </w:pPr>
    </w:p>
    <w:p>
      <w:pPr>
        <w:spacing w:line="210" w:lineRule="exact" w:before="93"/>
        <w:ind w:left="124" w:right="108" w:firstLine="0"/>
        <w:jc w:val="both"/>
        <w:rPr>
          <w:sz w:val="20"/>
        </w:rPr>
      </w:pPr>
      <w:r>
        <w:rPr>
          <w:color w:val="231F20"/>
          <w:sz w:val="20"/>
        </w:rPr>
        <w:t>ARUJ,</w:t>
      </w:r>
      <w:r>
        <w:rPr>
          <w:color w:val="231F20"/>
          <w:spacing w:val="-7"/>
          <w:sz w:val="20"/>
        </w:rPr>
        <w:t> </w:t>
      </w:r>
      <w:r>
        <w:rPr>
          <w:color w:val="231F20"/>
          <w:sz w:val="20"/>
        </w:rPr>
        <w:t>J.,</w:t>
      </w:r>
      <w:r>
        <w:rPr>
          <w:color w:val="231F20"/>
          <w:spacing w:val="-7"/>
          <w:sz w:val="20"/>
        </w:rPr>
        <w:t> </w:t>
      </w:r>
      <w:r>
        <w:rPr>
          <w:color w:val="231F20"/>
          <w:sz w:val="20"/>
        </w:rPr>
        <w:t>2008,</w:t>
      </w:r>
      <w:r>
        <w:rPr>
          <w:color w:val="231F20"/>
          <w:spacing w:val="-7"/>
          <w:sz w:val="20"/>
        </w:rPr>
        <w:t> </w:t>
      </w:r>
      <w:r>
        <w:rPr>
          <w:color w:val="231F20"/>
          <w:sz w:val="20"/>
        </w:rPr>
        <w:t>“Causas,</w:t>
      </w:r>
      <w:r>
        <w:rPr>
          <w:color w:val="231F20"/>
          <w:spacing w:val="-7"/>
          <w:sz w:val="20"/>
        </w:rPr>
        <w:t> </w:t>
      </w:r>
      <w:r>
        <w:rPr>
          <w:color w:val="231F20"/>
          <w:sz w:val="20"/>
        </w:rPr>
        <w:t>consecuencias,</w:t>
      </w:r>
      <w:r>
        <w:rPr>
          <w:color w:val="231F20"/>
          <w:spacing w:val="-8"/>
          <w:sz w:val="20"/>
        </w:rPr>
        <w:t> </w:t>
      </w:r>
      <w:r>
        <w:rPr>
          <w:color w:val="231F20"/>
          <w:sz w:val="20"/>
        </w:rPr>
        <w:t>efectos</w:t>
      </w:r>
      <w:r>
        <w:rPr>
          <w:color w:val="231F20"/>
          <w:spacing w:val="-8"/>
          <w:sz w:val="20"/>
        </w:rPr>
        <w:t> </w:t>
      </w:r>
      <w:r>
        <w:rPr>
          <w:color w:val="231F20"/>
          <w:sz w:val="20"/>
        </w:rPr>
        <w:t>e</w:t>
      </w:r>
      <w:r>
        <w:rPr>
          <w:color w:val="231F20"/>
          <w:spacing w:val="-7"/>
          <w:sz w:val="20"/>
        </w:rPr>
        <w:t> </w:t>
      </w:r>
      <w:r>
        <w:rPr>
          <w:color w:val="231F20"/>
          <w:sz w:val="20"/>
        </w:rPr>
        <w:t>impactos</w:t>
      </w:r>
      <w:r>
        <w:rPr>
          <w:color w:val="231F20"/>
          <w:spacing w:val="-8"/>
          <w:sz w:val="20"/>
        </w:rPr>
        <w:t> </w:t>
      </w:r>
      <w:r>
        <w:rPr>
          <w:color w:val="231F20"/>
          <w:sz w:val="20"/>
        </w:rPr>
        <w:t>de</w:t>
      </w:r>
      <w:r>
        <w:rPr>
          <w:color w:val="231F20"/>
          <w:spacing w:val="-7"/>
          <w:sz w:val="20"/>
        </w:rPr>
        <w:t> </w:t>
      </w:r>
      <w:r>
        <w:rPr>
          <w:color w:val="231F20"/>
          <w:sz w:val="20"/>
        </w:rPr>
        <w:t>las</w:t>
      </w:r>
      <w:r>
        <w:rPr>
          <w:color w:val="231F20"/>
          <w:spacing w:val="-7"/>
          <w:sz w:val="20"/>
        </w:rPr>
        <w:t> </w:t>
      </w:r>
      <w:r>
        <w:rPr>
          <w:color w:val="231F20"/>
          <w:sz w:val="20"/>
        </w:rPr>
        <w:t>migraciones</w:t>
      </w:r>
      <w:r>
        <w:rPr>
          <w:color w:val="231F20"/>
          <w:spacing w:val="-8"/>
          <w:sz w:val="20"/>
        </w:rPr>
        <w:t> </w:t>
      </w:r>
      <w:r>
        <w:rPr>
          <w:color w:val="231F20"/>
          <w:sz w:val="20"/>
        </w:rPr>
        <w:t>en Latinoamérica” en </w:t>
      </w:r>
      <w:r>
        <w:rPr>
          <w:i/>
          <w:color w:val="231F20"/>
          <w:sz w:val="20"/>
        </w:rPr>
        <w:t>Papeles de Población, </w:t>
      </w:r>
      <w:r>
        <w:rPr>
          <w:color w:val="231F20"/>
          <w:sz w:val="20"/>
        </w:rPr>
        <w:t>núm. 55, pp.</w:t>
      </w:r>
      <w:r>
        <w:rPr>
          <w:color w:val="231F20"/>
          <w:spacing w:val="-4"/>
          <w:sz w:val="20"/>
        </w:rPr>
        <w:t> </w:t>
      </w:r>
      <w:r>
        <w:rPr>
          <w:color w:val="231F20"/>
          <w:sz w:val="20"/>
        </w:rPr>
        <w:t>95-166.</w:t>
      </w:r>
    </w:p>
    <w:p>
      <w:pPr>
        <w:spacing w:line="210" w:lineRule="exact" w:before="113"/>
        <w:ind w:left="124" w:right="103" w:firstLine="0"/>
        <w:jc w:val="both"/>
        <w:rPr>
          <w:sz w:val="20"/>
        </w:rPr>
      </w:pPr>
      <w:r>
        <w:rPr>
          <w:color w:val="231F20"/>
          <w:sz w:val="20"/>
        </w:rPr>
        <w:t>BANXICO, 2009, </w:t>
      </w:r>
      <w:r>
        <w:rPr>
          <w:i/>
          <w:color w:val="231F20"/>
          <w:sz w:val="20"/>
        </w:rPr>
        <w:t>Informe anual del Banco de México</w:t>
      </w:r>
      <w:r>
        <w:rPr>
          <w:color w:val="231F20"/>
          <w:sz w:val="20"/>
        </w:rPr>
        <w:t>, Disponible en http:// banxico,org,mx/publicaciones-y-discursos/publicaciones-informes-periodicos/ anual/%</w:t>
      </w:r>
    </w:p>
    <w:p>
      <w:pPr>
        <w:spacing w:line="210" w:lineRule="exact" w:before="113"/>
        <w:ind w:left="124" w:right="107" w:firstLine="0"/>
        <w:jc w:val="both"/>
        <w:rPr>
          <w:sz w:val="20"/>
        </w:rPr>
      </w:pPr>
      <w:r>
        <w:rPr>
          <w:color w:val="231F20"/>
          <w:spacing w:val="-4"/>
          <w:sz w:val="20"/>
        </w:rPr>
        <w:t>CEPAL</w:t>
      </w:r>
      <w:r>
        <w:rPr>
          <w:color w:val="231F20"/>
          <w:spacing w:val="-13"/>
          <w:sz w:val="20"/>
        </w:rPr>
        <w:t> </w:t>
      </w:r>
      <w:r>
        <w:rPr>
          <w:color w:val="231F20"/>
          <w:sz w:val="20"/>
        </w:rPr>
        <w:t>(Comisión</w:t>
      </w:r>
      <w:r>
        <w:rPr>
          <w:color w:val="231F20"/>
          <w:spacing w:val="-6"/>
          <w:sz w:val="20"/>
        </w:rPr>
        <w:t> </w:t>
      </w:r>
      <w:r>
        <w:rPr>
          <w:color w:val="231F20"/>
          <w:sz w:val="20"/>
        </w:rPr>
        <w:t>Económica</w:t>
      </w:r>
      <w:r>
        <w:rPr>
          <w:color w:val="231F20"/>
          <w:spacing w:val="-6"/>
          <w:sz w:val="20"/>
        </w:rPr>
        <w:t> </w:t>
      </w:r>
      <w:r>
        <w:rPr>
          <w:color w:val="231F20"/>
          <w:sz w:val="20"/>
        </w:rPr>
        <w:t>para</w:t>
      </w:r>
      <w:r>
        <w:rPr>
          <w:color w:val="231F20"/>
          <w:spacing w:val="-17"/>
          <w:sz w:val="20"/>
        </w:rPr>
        <w:t> </w:t>
      </w:r>
      <w:r>
        <w:rPr>
          <w:color w:val="231F20"/>
          <w:sz w:val="20"/>
        </w:rPr>
        <w:t>América</w:t>
      </w:r>
      <w:r>
        <w:rPr>
          <w:color w:val="231F20"/>
          <w:spacing w:val="-6"/>
          <w:sz w:val="20"/>
        </w:rPr>
        <w:t> </w:t>
      </w:r>
      <w:r>
        <w:rPr>
          <w:color w:val="231F20"/>
          <w:sz w:val="20"/>
        </w:rPr>
        <w:t>Latina),</w:t>
      </w:r>
      <w:r>
        <w:rPr>
          <w:color w:val="231F20"/>
          <w:spacing w:val="-6"/>
          <w:sz w:val="20"/>
        </w:rPr>
        <w:t> </w:t>
      </w:r>
      <w:r>
        <w:rPr>
          <w:color w:val="231F20"/>
          <w:sz w:val="20"/>
        </w:rPr>
        <w:t>2004,</w:t>
      </w:r>
      <w:r>
        <w:rPr>
          <w:color w:val="231F20"/>
          <w:spacing w:val="-6"/>
          <w:sz w:val="20"/>
        </w:rPr>
        <w:t> </w:t>
      </w:r>
      <w:r>
        <w:rPr>
          <w:i/>
          <w:color w:val="231F20"/>
          <w:sz w:val="20"/>
        </w:rPr>
        <w:t>Uso</w:t>
      </w:r>
      <w:r>
        <w:rPr>
          <w:i/>
          <w:color w:val="231F20"/>
          <w:spacing w:val="-6"/>
          <w:sz w:val="20"/>
        </w:rPr>
        <w:t> </w:t>
      </w:r>
      <w:r>
        <w:rPr>
          <w:i/>
          <w:color w:val="231F20"/>
          <w:sz w:val="20"/>
        </w:rPr>
        <w:t>productivo</w:t>
      </w:r>
      <w:r>
        <w:rPr>
          <w:i/>
          <w:color w:val="231F20"/>
          <w:spacing w:val="-6"/>
          <w:sz w:val="20"/>
        </w:rPr>
        <w:t> </w:t>
      </w:r>
      <w:r>
        <w:rPr>
          <w:i/>
          <w:color w:val="231F20"/>
          <w:sz w:val="20"/>
        </w:rPr>
        <w:t>de</w:t>
      </w:r>
      <w:r>
        <w:rPr>
          <w:i/>
          <w:color w:val="231F20"/>
          <w:spacing w:val="-6"/>
          <w:sz w:val="20"/>
        </w:rPr>
        <w:t> </w:t>
      </w:r>
      <w:r>
        <w:rPr>
          <w:i/>
          <w:color w:val="231F20"/>
          <w:sz w:val="20"/>
        </w:rPr>
        <w:t>las </w:t>
      </w:r>
      <w:r>
        <w:rPr>
          <w:i/>
          <w:color w:val="231F20"/>
          <w:sz w:val="20"/>
        </w:rPr>
        <w:t>remesas</w:t>
      </w:r>
      <w:r>
        <w:rPr>
          <w:i/>
          <w:color w:val="231F20"/>
          <w:spacing w:val="-5"/>
          <w:sz w:val="20"/>
        </w:rPr>
        <w:t> </w:t>
      </w:r>
      <w:r>
        <w:rPr>
          <w:i/>
          <w:color w:val="231F20"/>
          <w:sz w:val="20"/>
        </w:rPr>
        <w:t>familiares</w:t>
      </w:r>
      <w:r>
        <w:rPr>
          <w:i/>
          <w:color w:val="231F20"/>
          <w:spacing w:val="-5"/>
          <w:sz w:val="20"/>
        </w:rPr>
        <w:t> </w:t>
      </w:r>
      <w:r>
        <w:rPr>
          <w:i/>
          <w:color w:val="231F20"/>
          <w:sz w:val="20"/>
        </w:rPr>
        <w:t>y</w:t>
      </w:r>
      <w:r>
        <w:rPr>
          <w:i/>
          <w:color w:val="231F20"/>
          <w:spacing w:val="-4"/>
          <w:sz w:val="20"/>
        </w:rPr>
        <w:t> </w:t>
      </w:r>
      <w:r>
        <w:rPr>
          <w:i/>
          <w:color w:val="231F20"/>
          <w:sz w:val="20"/>
        </w:rPr>
        <w:t>comunitarias</w:t>
      </w:r>
      <w:r>
        <w:rPr>
          <w:i/>
          <w:color w:val="231F20"/>
          <w:spacing w:val="-5"/>
          <w:sz w:val="20"/>
        </w:rPr>
        <w:t> </w:t>
      </w:r>
      <w:r>
        <w:rPr>
          <w:i/>
          <w:color w:val="231F20"/>
          <w:sz w:val="20"/>
        </w:rPr>
        <w:t>en</w:t>
      </w:r>
      <w:r>
        <w:rPr>
          <w:i/>
          <w:color w:val="231F20"/>
          <w:spacing w:val="-5"/>
          <w:sz w:val="20"/>
        </w:rPr>
        <w:t> </w:t>
      </w:r>
      <w:r>
        <w:rPr>
          <w:i/>
          <w:color w:val="231F20"/>
          <w:sz w:val="20"/>
        </w:rPr>
        <w:t>Centroamérica,</w:t>
      </w:r>
      <w:r>
        <w:rPr>
          <w:i/>
          <w:color w:val="231F20"/>
          <w:spacing w:val="-4"/>
          <w:sz w:val="20"/>
        </w:rPr>
        <w:t> </w:t>
      </w:r>
      <w:r>
        <w:rPr>
          <w:color w:val="231F20"/>
          <w:sz w:val="20"/>
        </w:rPr>
        <w:t>,</w:t>
      </w:r>
      <w:r>
        <w:rPr>
          <w:color w:val="231F20"/>
          <w:spacing w:val="-4"/>
          <w:sz w:val="20"/>
        </w:rPr>
        <w:t> </w:t>
      </w:r>
      <w:r>
        <w:rPr>
          <w:color w:val="231F20"/>
          <w:sz w:val="20"/>
        </w:rPr>
        <w:t>Santiago</w:t>
      </w:r>
      <w:r>
        <w:rPr>
          <w:color w:val="231F20"/>
          <w:spacing w:val="-4"/>
          <w:sz w:val="20"/>
        </w:rPr>
        <w:t> </w:t>
      </w:r>
      <w:r>
        <w:rPr>
          <w:color w:val="231F20"/>
          <w:sz w:val="20"/>
        </w:rPr>
        <w:t>de</w:t>
      </w:r>
      <w:r>
        <w:rPr>
          <w:color w:val="231F20"/>
          <w:spacing w:val="-4"/>
          <w:sz w:val="20"/>
        </w:rPr>
        <w:t> </w:t>
      </w:r>
      <w:r>
        <w:rPr>
          <w:color w:val="231F20"/>
          <w:sz w:val="20"/>
        </w:rPr>
        <w:t>Chile.</w:t>
      </w:r>
    </w:p>
    <w:p>
      <w:pPr>
        <w:spacing w:line="210" w:lineRule="exact" w:before="113"/>
        <w:ind w:left="124" w:right="108" w:firstLine="0"/>
        <w:jc w:val="both"/>
        <w:rPr>
          <w:sz w:val="20"/>
        </w:rPr>
      </w:pPr>
      <w:r>
        <w:rPr>
          <w:color w:val="231F20"/>
          <w:sz w:val="20"/>
        </w:rPr>
        <w:t>CONAPO (Consejo Nacional de Población), 2008, </w:t>
      </w:r>
      <w:r>
        <w:rPr>
          <w:i/>
          <w:color w:val="231F20"/>
          <w:sz w:val="20"/>
        </w:rPr>
        <w:t>Remesas de trabajadores mi- </w:t>
      </w:r>
      <w:r>
        <w:rPr>
          <w:i/>
          <w:color w:val="231F20"/>
          <w:sz w:val="20"/>
        </w:rPr>
        <w:t>grantes por regiones, según nivel de desarrollo, áreas geográficas y países</w:t>
      </w:r>
      <w:r>
        <w:rPr>
          <w:i/>
          <w:color w:val="231F20"/>
          <w:spacing w:val="-24"/>
          <w:sz w:val="20"/>
        </w:rPr>
        <w:t> </w:t>
      </w:r>
      <w:r>
        <w:rPr>
          <w:i/>
          <w:color w:val="231F20"/>
          <w:sz w:val="20"/>
        </w:rPr>
        <w:t>selec- cionados, </w:t>
      </w:r>
      <w:r>
        <w:rPr>
          <w:color w:val="231F20"/>
          <w:sz w:val="20"/>
        </w:rPr>
        <w:t>disponible en</w:t>
      </w:r>
      <w:r>
        <w:rPr>
          <w:color w:val="231F20"/>
          <w:spacing w:val="-15"/>
          <w:sz w:val="20"/>
        </w:rPr>
        <w:t> </w:t>
      </w:r>
      <w:hyperlink r:id="rId203">
        <w:r>
          <w:rPr>
            <w:color w:val="231F20"/>
            <w:sz w:val="20"/>
          </w:rPr>
          <w:t>http://www.conapo.gob.mx/mig_int/s2008/01.htm</w:t>
        </w:r>
      </w:hyperlink>
    </w:p>
    <w:p>
      <w:pPr>
        <w:spacing w:line="220" w:lineRule="exact" w:before="94"/>
        <w:ind w:left="124" w:right="0" w:firstLine="0"/>
        <w:jc w:val="both"/>
        <w:rPr>
          <w:sz w:val="20"/>
        </w:rPr>
      </w:pPr>
      <w:r>
        <w:rPr>
          <w:color w:val="231F20"/>
          <w:sz w:val="20"/>
        </w:rPr>
        <w:t>GONZÁLEZ, J., 2006, “Migración y remesas en el sur del Estado de México” en</w:t>
      </w:r>
    </w:p>
    <w:p>
      <w:pPr>
        <w:spacing w:line="220" w:lineRule="exact" w:before="0"/>
        <w:ind w:left="124" w:right="0" w:firstLine="0"/>
        <w:jc w:val="both"/>
        <w:rPr>
          <w:sz w:val="20"/>
        </w:rPr>
      </w:pPr>
      <w:r>
        <w:rPr>
          <w:i/>
          <w:color w:val="231F20"/>
          <w:sz w:val="20"/>
        </w:rPr>
        <w:t>Papeles de Población, </w:t>
      </w:r>
      <w:r>
        <w:rPr>
          <w:color w:val="231F20"/>
          <w:sz w:val="20"/>
        </w:rPr>
        <w:t>núm. 50.</w:t>
      </w:r>
    </w:p>
    <w:p>
      <w:pPr>
        <w:spacing w:line="210" w:lineRule="exact" w:before="112"/>
        <w:ind w:left="124" w:right="107" w:firstLine="0"/>
        <w:jc w:val="both"/>
        <w:rPr>
          <w:sz w:val="20"/>
        </w:rPr>
      </w:pPr>
      <w:r>
        <w:rPr>
          <w:color w:val="231F20"/>
          <w:sz w:val="20"/>
        </w:rPr>
        <w:t>LÓPEZ, D., 2005, “Migración de mexicanos desde y hacia Estados Unidos de América: estadísticas, problemáticas y retos”, en </w:t>
      </w:r>
      <w:r>
        <w:rPr>
          <w:i/>
          <w:color w:val="231F20"/>
          <w:sz w:val="20"/>
        </w:rPr>
        <w:t>Papeles de Población, </w:t>
      </w:r>
      <w:r>
        <w:rPr>
          <w:color w:val="231F20"/>
          <w:sz w:val="20"/>
        </w:rPr>
        <w:t>núm. 48.</w:t>
      </w:r>
    </w:p>
    <w:p>
      <w:pPr>
        <w:spacing w:line="210" w:lineRule="exact" w:before="113"/>
        <w:ind w:left="124" w:right="107" w:firstLine="0"/>
        <w:jc w:val="both"/>
        <w:rPr>
          <w:sz w:val="20"/>
        </w:rPr>
      </w:pPr>
      <w:r>
        <w:rPr>
          <w:color w:val="231F20"/>
          <w:sz w:val="20"/>
        </w:rPr>
        <w:t>ORDÁZ,</w:t>
      </w:r>
      <w:r>
        <w:rPr>
          <w:color w:val="231F20"/>
          <w:spacing w:val="-6"/>
          <w:sz w:val="20"/>
        </w:rPr>
        <w:t> </w:t>
      </w:r>
      <w:r>
        <w:rPr>
          <w:color w:val="231F20"/>
          <w:sz w:val="20"/>
        </w:rPr>
        <w:t>J.,</w:t>
      </w:r>
      <w:r>
        <w:rPr>
          <w:color w:val="231F20"/>
          <w:spacing w:val="-6"/>
          <w:sz w:val="20"/>
        </w:rPr>
        <w:t> </w:t>
      </w:r>
      <w:r>
        <w:rPr>
          <w:color w:val="231F20"/>
          <w:sz w:val="20"/>
        </w:rPr>
        <w:t>2010,</w:t>
      </w:r>
      <w:r>
        <w:rPr>
          <w:color w:val="231F20"/>
          <w:spacing w:val="-7"/>
          <w:sz w:val="20"/>
        </w:rPr>
        <w:t> </w:t>
      </w:r>
      <w:r>
        <w:rPr>
          <w:i/>
          <w:color w:val="231F20"/>
          <w:sz w:val="20"/>
        </w:rPr>
        <w:t>Observatorio</w:t>
      </w:r>
      <w:r>
        <w:rPr>
          <w:i/>
          <w:color w:val="231F20"/>
          <w:spacing w:val="-6"/>
          <w:sz w:val="20"/>
        </w:rPr>
        <w:t> </w:t>
      </w:r>
      <w:r>
        <w:rPr>
          <w:i/>
          <w:color w:val="231F20"/>
          <w:sz w:val="20"/>
        </w:rPr>
        <w:t>de</w:t>
      </w:r>
      <w:r>
        <w:rPr>
          <w:i/>
          <w:color w:val="231F20"/>
          <w:spacing w:val="-6"/>
          <w:sz w:val="20"/>
        </w:rPr>
        <w:t> </w:t>
      </w:r>
      <w:r>
        <w:rPr>
          <w:i/>
          <w:color w:val="231F20"/>
          <w:sz w:val="20"/>
        </w:rPr>
        <w:t>migración,</w:t>
      </w:r>
      <w:r>
        <w:rPr>
          <w:i/>
          <w:color w:val="231F20"/>
          <w:spacing w:val="-6"/>
          <w:sz w:val="20"/>
        </w:rPr>
        <w:t> </w:t>
      </w:r>
      <w:r>
        <w:rPr>
          <w:color w:val="231F20"/>
          <w:sz w:val="20"/>
        </w:rPr>
        <w:t>Servicios</w:t>
      </w:r>
      <w:r>
        <w:rPr>
          <w:color w:val="231F20"/>
          <w:spacing w:val="-6"/>
          <w:sz w:val="20"/>
        </w:rPr>
        <w:t> </w:t>
      </w:r>
      <w:r>
        <w:rPr>
          <w:color w:val="231F20"/>
          <w:sz w:val="20"/>
        </w:rPr>
        <w:t>de</w:t>
      </w:r>
      <w:r>
        <w:rPr>
          <w:color w:val="231F20"/>
          <w:spacing w:val="-6"/>
          <w:sz w:val="20"/>
        </w:rPr>
        <w:t> </w:t>
      </w:r>
      <w:r>
        <w:rPr>
          <w:color w:val="231F20"/>
          <w:sz w:val="20"/>
        </w:rPr>
        <w:t>estudios</w:t>
      </w:r>
      <w:r>
        <w:rPr>
          <w:color w:val="231F20"/>
          <w:spacing w:val="-7"/>
          <w:sz w:val="20"/>
        </w:rPr>
        <w:t> </w:t>
      </w:r>
      <w:r>
        <w:rPr>
          <w:color w:val="231F20"/>
          <w:sz w:val="20"/>
        </w:rPr>
        <w:t>económicos, </w:t>
      </w:r>
      <w:r>
        <w:rPr>
          <w:color w:val="231F20"/>
          <w:spacing w:val="-4"/>
          <w:sz w:val="20"/>
        </w:rPr>
        <w:t>BBVA-Bancomer,</w:t>
      </w:r>
      <w:r>
        <w:rPr>
          <w:color w:val="231F20"/>
          <w:spacing w:val="13"/>
          <w:sz w:val="20"/>
        </w:rPr>
        <w:t> </w:t>
      </w:r>
      <w:r>
        <w:rPr>
          <w:color w:val="231F20"/>
          <w:sz w:val="20"/>
        </w:rPr>
        <w:t>España.</w:t>
      </w:r>
    </w:p>
    <w:p>
      <w:pPr>
        <w:pStyle w:val="BodyText"/>
        <w:spacing w:before="10"/>
        <w:rPr>
          <w:sz w:val="15"/>
        </w:rPr>
      </w:pPr>
    </w:p>
    <w:p>
      <w:pPr>
        <w:spacing w:before="0"/>
        <w:ind w:left="117" w:right="0" w:firstLine="0"/>
        <w:jc w:val="both"/>
        <w:rPr>
          <w:i/>
          <w:sz w:val="22"/>
        </w:rPr>
      </w:pPr>
      <w:r>
        <w:rPr>
          <w:i/>
          <w:color w:val="231F20"/>
          <w:sz w:val="22"/>
        </w:rPr>
        <w:t>David Iglesias-Piña</w:t>
      </w:r>
    </w:p>
    <w:p>
      <w:pPr>
        <w:pStyle w:val="BodyText"/>
        <w:spacing w:before="2"/>
        <w:rPr>
          <w:i/>
          <w:sz w:val="23"/>
        </w:rPr>
      </w:pPr>
    </w:p>
    <w:p>
      <w:pPr>
        <w:spacing w:line="247" w:lineRule="auto" w:before="0"/>
        <w:ind w:left="117" w:right="121" w:firstLine="0"/>
        <w:jc w:val="both"/>
        <w:rPr>
          <w:sz w:val="22"/>
        </w:rPr>
      </w:pPr>
      <w:r>
        <w:rPr>
          <w:color w:val="231F20"/>
          <w:sz w:val="22"/>
        </w:rPr>
        <w:t>Doctor en Economía por la Universidad Nacional Autónoma de México (UNAM). Es investigador del Centro de Estudios e Investigación en De- sarrollo Sustentable (CEDES) de la Universidad Autónoma del Estado de México</w:t>
      </w:r>
      <w:r>
        <w:rPr>
          <w:color w:val="231F20"/>
          <w:spacing w:val="-6"/>
          <w:sz w:val="22"/>
        </w:rPr>
        <w:t> </w:t>
      </w:r>
      <w:r>
        <w:rPr>
          <w:color w:val="231F20"/>
          <w:sz w:val="22"/>
        </w:rPr>
        <w:t>(UAEM)</w:t>
      </w:r>
      <w:r>
        <w:rPr>
          <w:color w:val="231F20"/>
          <w:spacing w:val="-7"/>
          <w:sz w:val="22"/>
        </w:rPr>
        <w:t> </w:t>
      </w:r>
      <w:r>
        <w:rPr>
          <w:color w:val="231F20"/>
          <w:sz w:val="22"/>
        </w:rPr>
        <w:t>y</w:t>
      </w:r>
      <w:r>
        <w:rPr>
          <w:color w:val="231F20"/>
          <w:spacing w:val="-7"/>
          <w:sz w:val="22"/>
        </w:rPr>
        <w:t> </w:t>
      </w:r>
      <w:r>
        <w:rPr>
          <w:color w:val="231F20"/>
          <w:sz w:val="22"/>
        </w:rPr>
        <w:t>profesor</w:t>
      </w:r>
      <w:r>
        <w:rPr>
          <w:color w:val="231F20"/>
          <w:spacing w:val="-7"/>
          <w:sz w:val="22"/>
        </w:rPr>
        <w:t> </w:t>
      </w:r>
      <w:r>
        <w:rPr>
          <w:color w:val="231F20"/>
          <w:sz w:val="22"/>
        </w:rPr>
        <w:t>del</w:t>
      </w:r>
      <w:r>
        <w:rPr>
          <w:color w:val="231F20"/>
          <w:spacing w:val="-7"/>
          <w:sz w:val="22"/>
        </w:rPr>
        <w:t> </w:t>
      </w:r>
      <w:r>
        <w:rPr>
          <w:color w:val="231F20"/>
          <w:sz w:val="22"/>
        </w:rPr>
        <w:t>Centro</w:t>
      </w:r>
      <w:r>
        <w:rPr>
          <w:color w:val="231F20"/>
          <w:spacing w:val="-7"/>
          <w:sz w:val="22"/>
        </w:rPr>
        <w:t> </w:t>
      </w:r>
      <w:r>
        <w:rPr>
          <w:color w:val="231F20"/>
          <w:sz w:val="22"/>
        </w:rPr>
        <w:t>Universitario</w:t>
      </w:r>
      <w:r>
        <w:rPr>
          <w:color w:val="231F20"/>
          <w:spacing w:val="-6"/>
          <w:sz w:val="22"/>
        </w:rPr>
        <w:t> </w:t>
      </w:r>
      <w:r>
        <w:rPr>
          <w:color w:val="231F20"/>
          <w:sz w:val="22"/>
        </w:rPr>
        <w:t>UAEM,</w:t>
      </w:r>
      <w:r>
        <w:rPr>
          <w:color w:val="231F20"/>
          <w:spacing w:val="-7"/>
          <w:sz w:val="22"/>
        </w:rPr>
        <w:t> </w:t>
      </w:r>
      <w:r>
        <w:rPr>
          <w:color w:val="231F20"/>
          <w:sz w:val="22"/>
        </w:rPr>
        <w:t>Campus</w:t>
      </w:r>
      <w:r>
        <w:rPr>
          <w:color w:val="231F20"/>
          <w:spacing w:val="-10"/>
          <w:sz w:val="22"/>
        </w:rPr>
        <w:t> </w:t>
      </w:r>
      <w:r>
        <w:rPr>
          <w:color w:val="231F20"/>
          <w:spacing w:val="-6"/>
          <w:sz w:val="22"/>
        </w:rPr>
        <w:t>Te- </w:t>
      </w:r>
      <w:r>
        <w:rPr>
          <w:color w:val="231F20"/>
          <w:sz w:val="22"/>
        </w:rPr>
        <w:t>nancingo. Entre sus últimas publicaciones destacan: “Comportamiento de la industria manufacturera nacional ante la apertura de mercados, 1990- 2010”, en </w:t>
      </w:r>
      <w:r>
        <w:rPr>
          <w:i/>
          <w:color w:val="231F20"/>
          <w:sz w:val="22"/>
        </w:rPr>
        <w:t>Integración Social Territorial y Desarrollo. Hacia Políticas </w:t>
      </w:r>
      <w:r>
        <w:rPr>
          <w:i/>
          <w:color w:val="231F20"/>
          <w:sz w:val="22"/>
        </w:rPr>
        <w:t>Públicas Alternativas</w:t>
      </w:r>
      <w:r>
        <w:rPr>
          <w:color w:val="231F20"/>
          <w:sz w:val="22"/>
        </w:rPr>
        <w:t>. AMECIDER, A. C., México, 2013; “Formación de regiones de reconcentración industrial (RRI) en el Estado de México”, en </w:t>
      </w:r>
      <w:r>
        <w:rPr>
          <w:i/>
          <w:color w:val="231F20"/>
          <w:sz w:val="22"/>
        </w:rPr>
        <w:t>Desarrollo</w:t>
      </w:r>
      <w:r>
        <w:rPr>
          <w:i/>
          <w:color w:val="231F20"/>
          <w:spacing w:val="-16"/>
          <w:sz w:val="22"/>
        </w:rPr>
        <w:t> </w:t>
      </w:r>
      <w:r>
        <w:rPr>
          <w:i/>
          <w:color w:val="231F20"/>
          <w:sz w:val="22"/>
        </w:rPr>
        <w:t>regional,</w:t>
      </w:r>
      <w:r>
        <w:rPr>
          <w:i/>
          <w:color w:val="231F20"/>
          <w:spacing w:val="-17"/>
          <w:sz w:val="22"/>
        </w:rPr>
        <w:t> </w:t>
      </w:r>
      <w:r>
        <w:rPr>
          <w:i/>
          <w:color w:val="231F20"/>
          <w:sz w:val="22"/>
        </w:rPr>
        <w:t>posicionamiento</w:t>
      </w:r>
      <w:r>
        <w:rPr>
          <w:i/>
          <w:color w:val="231F20"/>
          <w:spacing w:val="-16"/>
          <w:sz w:val="22"/>
        </w:rPr>
        <w:t> </w:t>
      </w:r>
      <w:r>
        <w:rPr>
          <w:i/>
          <w:color w:val="231F20"/>
          <w:sz w:val="22"/>
        </w:rPr>
        <w:t>mundial</w:t>
      </w:r>
      <w:r>
        <w:rPr>
          <w:i/>
          <w:color w:val="231F20"/>
          <w:spacing w:val="-16"/>
          <w:sz w:val="22"/>
        </w:rPr>
        <w:t> </w:t>
      </w:r>
      <w:r>
        <w:rPr>
          <w:i/>
          <w:color w:val="231F20"/>
          <w:sz w:val="22"/>
        </w:rPr>
        <w:t>y</w:t>
      </w:r>
      <w:r>
        <w:rPr>
          <w:i/>
          <w:color w:val="231F20"/>
          <w:spacing w:val="-16"/>
          <w:sz w:val="22"/>
        </w:rPr>
        <w:t> </w:t>
      </w:r>
      <w:r>
        <w:rPr>
          <w:i/>
          <w:color w:val="231F20"/>
          <w:sz w:val="22"/>
        </w:rPr>
        <w:t>estrategias</w:t>
      </w:r>
      <w:r>
        <w:rPr>
          <w:color w:val="231F20"/>
          <w:sz w:val="22"/>
        </w:rPr>
        <w:t>,</w:t>
      </w:r>
      <w:r>
        <w:rPr>
          <w:color w:val="231F20"/>
          <w:spacing w:val="-27"/>
          <w:sz w:val="22"/>
        </w:rPr>
        <w:t> </w:t>
      </w:r>
      <w:r>
        <w:rPr>
          <w:color w:val="231F20"/>
          <w:sz w:val="22"/>
        </w:rPr>
        <w:t>AMECIDER,</w:t>
      </w:r>
    </w:p>
    <w:p>
      <w:pPr>
        <w:spacing w:line="247" w:lineRule="auto" w:before="0"/>
        <w:ind w:left="117" w:right="122" w:firstLine="0"/>
        <w:jc w:val="both"/>
        <w:rPr>
          <w:sz w:val="22"/>
        </w:rPr>
      </w:pPr>
      <w:r>
        <w:rPr>
          <w:color w:val="231F20"/>
          <w:sz w:val="22"/>
        </w:rPr>
        <w:t>A.</w:t>
      </w:r>
      <w:r>
        <w:rPr>
          <w:color w:val="231F20"/>
          <w:spacing w:val="-5"/>
          <w:sz w:val="22"/>
        </w:rPr>
        <w:t> </w:t>
      </w:r>
      <w:r>
        <w:rPr>
          <w:color w:val="231F20"/>
          <w:sz w:val="22"/>
        </w:rPr>
        <w:t>C.</w:t>
      </w:r>
      <w:r>
        <w:rPr>
          <w:color w:val="231F20"/>
          <w:spacing w:val="-5"/>
          <w:sz w:val="22"/>
        </w:rPr>
        <w:t> </w:t>
      </w:r>
      <w:r>
        <w:rPr>
          <w:color w:val="231F20"/>
          <w:sz w:val="22"/>
        </w:rPr>
        <w:t>México,</w:t>
      </w:r>
      <w:r>
        <w:rPr>
          <w:color w:val="231F20"/>
          <w:spacing w:val="-5"/>
          <w:sz w:val="22"/>
        </w:rPr>
        <w:t> </w:t>
      </w:r>
      <w:r>
        <w:rPr>
          <w:color w:val="231F20"/>
          <w:sz w:val="22"/>
        </w:rPr>
        <w:t>2012,</w:t>
      </w:r>
      <w:r>
        <w:rPr>
          <w:color w:val="231F20"/>
          <w:spacing w:val="-5"/>
          <w:sz w:val="22"/>
        </w:rPr>
        <w:t> </w:t>
      </w:r>
      <w:r>
        <w:rPr>
          <w:color w:val="231F20"/>
          <w:sz w:val="22"/>
        </w:rPr>
        <w:t>y</w:t>
      </w:r>
      <w:r>
        <w:rPr>
          <w:color w:val="231F20"/>
          <w:spacing w:val="-5"/>
          <w:sz w:val="22"/>
        </w:rPr>
        <w:t> </w:t>
      </w:r>
      <w:r>
        <w:rPr>
          <w:color w:val="231F20"/>
          <w:sz w:val="22"/>
        </w:rPr>
        <w:t>“Factores</w:t>
      </w:r>
      <w:r>
        <w:rPr>
          <w:color w:val="231F20"/>
          <w:spacing w:val="-5"/>
          <w:sz w:val="22"/>
        </w:rPr>
        <w:t> </w:t>
      </w:r>
      <w:r>
        <w:rPr>
          <w:color w:val="231F20"/>
          <w:sz w:val="22"/>
        </w:rPr>
        <w:t>explicativos</w:t>
      </w:r>
      <w:r>
        <w:rPr>
          <w:color w:val="231F20"/>
          <w:spacing w:val="-6"/>
          <w:sz w:val="22"/>
        </w:rPr>
        <w:t> </w:t>
      </w:r>
      <w:r>
        <w:rPr>
          <w:color w:val="231F20"/>
          <w:sz w:val="22"/>
        </w:rPr>
        <w:t>de</w:t>
      </w:r>
      <w:r>
        <w:rPr>
          <w:color w:val="231F20"/>
          <w:spacing w:val="-5"/>
          <w:sz w:val="22"/>
        </w:rPr>
        <w:t> </w:t>
      </w:r>
      <w:r>
        <w:rPr>
          <w:color w:val="231F20"/>
          <w:sz w:val="22"/>
        </w:rPr>
        <w:t>la</w:t>
      </w:r>
      <w:r>
        <w:rPr>
          <w:color w:val="231F20"/>
          <w:spacing w:val="-5"/>
          <w:sz w:val="22"/>
        </w:rPr>
        <w:t> </w:t>
      </w:r>
      <w:r>
        <w:rPr>
          <w:color w:val="231F20"/>
          <w:sz w:val="22"/>
        </w:rPr>
        <w:t>localización</w:t>
      </w:r>
      <w:r>
        <w:rPr>
          <w:color w:val="231F20"/>
          <w:spacing w:val="-5"/>
          <w:sz w:val="22"/>
        </w:rPr>
        <w:t> </w:t>
      </w:r>
      <w:r>
        <w:rPr>
          <w:color w:val="231F20"/>
          <w:sz w:val="22"/>
        </w:rPr>
        <w:t>polarizada de los parques industriales en el Estado de México. Un análisis regional”, en </w:t>
      </w:r>
      <w:r>
        <w:rPr>
          <w:i/>
          <w:color w:val="231F20"/>
          <w:sz w:val="22"/>
        </w:rPr>
        <w:t>El estudio del desarrollo regional desde una perspectiva multidiscipli- </w:t>
      </w:r>
      <w:r>
        <w:rPr>
          <w:i/>
          <w:color w:val="231F20"/>
          <w:sz w:val="22"/>
        </w:rPr>
        <w:t>naria</w:t>
      </w:r>
      <w:r>
        <w:rPr>
          <w:color w:val="231F20"/>
          <w:sz w:val="22"/>
        </w:rPr>
        <w:t>, UAEM, México,</w:t>
      </w:r>
      <w:r>
        <w:rPr>
          <w:color w:val="231F20"/>
          <w:spacing w:val="-10"/>
          <w:sz w:val="22"/>
        </w:rPr>
        <w:t> </w:t>
      </w:r>
      <w:r>
        <w:rPr>
          <w:color w:val="231F20"/>
          <w:sz w:val="22"/>
        </w:rPr>
        <w:t>2013.</w:t>
      </w:r>
    </w:p>
    <w:p>
      <w:pPr>
        <w:pStyle w:val="BodyText"/>
        <w:spacing w:before="6"/>
      </w:pPr>
    </w:p>
    <w:p>
      <w:pPr>
        <w:pStyle w:val="BodyText"/>
        <w:ind w:left="117"/>
        <w:jc w:val="both"/>
      </w:pPr>
      <w:r>
        <w:rPr>
          <w:color w:val="231F20"/>
        </w:rPr>
        <w:t>Correo electrónico: </w:t>
      </w:r>
      <w:hyperlink r:id="rId204">
        <w:r>
          <w:rPr>
            <w:color w:val="231F20"/>
          </w:rPr>
          <w:t>diglesiasp@uaemex.mx</w:t>
        </w:r>
      </w:hyperlink>
    </w:p>
    <w:p>
      <w:pPr>
        <w:spacing w:after="0"/>
        <w:jc w:val="both"/>
        <w:sectPr>
          <w:type w:val="continuous"/>
          <w:pgSz w:w="9360" w:h="13040"/>
          <w:pgMar w:top="0" w:bottom="0" w:left="1300" w:right="1300"/>
        </w:sectPr>
      </w:pPr>
    </w:p>
    <w:p>
      <w:pPr>
        <w:pStyle w:val="BodyText"/>
        <w:ind w:left="249"/>
        <w:rPr>
          <w:sz w:val="20"/>
        </w:rPr>
      </w:pPr>
      <w:r>
        <w:rPr/>
        <w:pict>
          <v:shape style="position:absolute;margin-left:50.457001pt;margin-top:19.247993pt;width:353.4pt;height:43.5pt;mso-position-horizontal-relative:page;mso-position-vertical-relative:page;z-index:-637384" type="#_x0000_t202" filled="false" stroked="false">
            <v:textbox inset="0,0,0,0">
              <w:txbxContent>
                <w:p>
                  <w:pPr>
                    <w:pStyle w:val="BodyText"/>
                    <w:rPr>
                      <w:b/>
                      <w:sz w:val="20"/>
                    </w:rPr>
                  </w:pPr>
                </w:p>
                <w:p>
                  <w:pPr>
                    <w:pStyle w:val="BodyText"/>
                    <w:spacing w:before="6"/>
                    <w:rPr>
                      <w:b/>
                      <w:sz w:val="16"/>
                    </w:rPr>
                  </w:pPr>
                </w:p>
                <w:p>
                  <w:pPr>
                    <w:spacing w:before="0"/>
                    <w:ind w:left="751" w:right="0" w:firstLine="0"/>
                    <w:jc w:val="left"/>
                    <w:rPr>
                      <w:rFonts w:ascii="Arial" w:hAnsi="Arial"/>
                      <w:sz w:val="20"/>
                    </w:rPr>
                  </w:pPr>
                  <w:r>
                    <w:rPr>
                      <w:rFonts w:ascii="Arial" w:hAnsi="Arial"/>
                      <w:color w:val="231F20"/>
                      <w:w w:val="66"/>
                      <w:sz w:val="20"/>
                    </w:rPr>
                    <w:t>Las</w:t>
                  </w:r>
                  <w:r>
                    <w:rPr>
                      <w:rFonts w:ascii="Arial" w:hAnsi="Arial"/>
                      <w:color w:val="231F20"/>
                      <w:spacing w:val="-1"/>
                      <w:sz w:val="20"/>
                    </w:rPr>
                    <w:t> </w:t>
                  </w:r>
                  <w:r>
                    <w:rPr>
                      <w:rFonts w:ascii="Arial" w:hAnsi="Arial"/>
                      <w:color w:val="231F20"/>
                      <w:spacing w:val="-1"/>
                      <w:w w:val="68"/>
                      <w:sz w:val="20"/>
                    </w:rPr>
                    <w:t>remesa</w:t>
                  </w:r>
                  <w:r>
                    <w:rPr>
                      <w:rFonts w:ascii="Arial" w:hAnsi="Arial"/>
                      <w:color w:val="231F20"/>
                      <w:w w:val="68"/>
                      <w:sz w:val="20"/>
                    </w:rPr>
                    <w:t>s</w:t>
                  </w:r>
                  <w:r>
                    <w:rPr>
                      <w:rFonts w:ascii="Arial" w:hAnsi="Arial"/>
                      <w:color w:val="231F20"/>
                      <w:sz w:val="20"/>
                    </w:rPr>
                    <w:t> </w:t>
                  </w:r>
                  <w:r>
                    <w:rPr>
                      <w:rFonts w:ascii="Arial" w:hAnsi="Arial"/>
                      <w:color w:val="231F20"/>
                      <w:w w:val="72"/>
                      <w:sz w:val="20"/>
                    </w:rPr>
                    <w:t>indígenas</w:t>
                  </w:r>
                  <w:r>
                    <w:rPr>
                      <w:rFonts w:ascii="Arial" w:hAnsi="Arial"/>
                      <w:color w:val="231F20"/>
                      <w:spacing w:val="-1"/>
                      <w:sz w:val="20"/>
                    </w:rPr>
                    <w:t> </w:t>
                  </w:r>
                  <w:r>
                    <w:rPr>
                      <w:rFonts w:ascii="Arial" w:hAnsi="Arial"/>
                      <w:color w:val="231F20"/>
                      <w:spacing w:val="-1"/>
                      <w:w w:val="67"/>
                      <w:sz w:val="20"/>
                    </w:rPr>
                    <w:t>com</w:t>
                  </w:r>
                  <w:r>
                    <w:rPr>
                      <w:rFonts w:ascii="Arial" w:hAnsi="Arial"/>
                      <w:color w:val="231F20"/>
                      <w:w w:val="67"/>
                      <w:sz w:val="20"/>
                    </w:rPr>
                    <w:t>o</w:t>
                  </w:r>
                  <w:r>
                    <w:rPr>
                      <w:rFonts w:ascii="Arial" w:hAnsi="Arial"/>
                      <w:color w:val="231F20"/>
                      <w:spacing w:val="-1"/>
                      <w:sz w:val="20"/>
                    </w:rPr>
                    <w:t> </w:t>
                  </w:r>
                  <w:r>
                    <w:rPr>
                      <w:rFonts w:ascii="Arial" w:hAnsi="Arial"/>
                      <w:color w:val="231F20"/>
                      <w:spacing w:val="-1"/>
                      <w:w w:val="71"/>
                      <w:sz w:val="20"/>
                    </w:rPr>
                    <w:t>complement</w:t>
                  </w:r>
                  <w:r>
                    <w:rPr>
                      <w:rFonts w:ascii="Arial" w:hAnsi="Arial"/>
                      <w:color w:val="231F20"/>
                      <w:w w:val="71"/>
                      <w:sz w:val="20"/>
                    </w:rPr>
                    <w:t>o</w:t>
                  </w:r>
                  <w:r>
                    <w:rPr>
                      <w:rFonts w:ascii="Arial" w:hAnsi="Arial"/>
                      <w:color w:val="231F20"/>
                      <w:sz w:val="20"/>
                    </w:rPr>
                    <w:t> </w:t>
                  </w:r>
                  <w:r>
                    <w:rPr>
                      <w:rFonts w:ascii="Arial" w:hAnsi="Arial"/>
                      <w:color w:val="231F20"/>
                      <w:spacing w:val="-1"/>
                      <w:w w:val="78"/>
                      <w:sz w:val="20"/>
                    </w:rPr>
                    <w:t>a</w:t>
                  </w:r>
                  <w:r>
                    <w:rPr>
                      <w:rFonts w:ascii="Arial" w:hAnsi="Arial"/>
                      <w:color w:val="231F20"/>
                      <w:w w:val="78"/>
                      <w:sz w:val="20"/>
                    </w:rPr>
                    <w:t>l</w:t>
                  </w:r>
                  <w:r>
                    <w:rPr>
                      <w:rFonts w:ascii="Arial" w:hAnsi="Arial"/>
                      <w:color w:val="231F20"/>
                      <w:spacing w:val="-1"/>
                      <w:sz w:val="20"/>
                    </w:rPr>
                    <w:t> </w:t>
                  </w:r>
                  <w:r>
                    <w:rPr>
                      <w:rFonts w:ascii="Arial" w:hAnsi="Arial"/>
                      <w:color w:val="231F20"/>
                      <w:w w:val="73"/>
                      <w:sz w:val="20"/>
                    </w:rPr>
                    <w:t>ingreso</w:t>
                  </w:r>
                  <w:r>
                    <w:rPr>
                      <w:rFonts w:ascii="Arial" w:hAnsi="Arial"/>
                      <w:color w:val="231F20"/>
                      <w:spacing w:val="-1"/>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67"/>
                      <w:sz w:val="20"/>
                    </w:rPr>
                    <w:t>sus</w:t>
                  </w:r>
                  <w:r>
                    <w:rPr>
                      <w:rFonts w:ascii="Arial" w:hAnsi="Arial"/>
                      <w:color w:val="231F20"/>
                      <w:spacing w:val="-1"/>
                      <w:sz w:val="20"/>
                    </w:rPr>
                    <w:t> </w:t>
                  </w:r>
                  <w:r>
                    <w:rPr>
                      <w:rFonts w:ascii="Arial" w:hAnsi="Arial"/>
                      <w:color w:val="231F20"/>
                      <w:w w:val="72"/>
                      <w:sz w:val="20"/>
                    </w:rPr>
                    <w:t>mecanismos...</w:t>
                  </w:r>
                  <w:r>
                    <w:rPr>
                      <w:rFonts w:ascii="Arial" w:hAnsi="Arial"/>
                      <w:color w:val="231F20"/>
                      <w:spacing w:val="-1"/>
                      <w:sz w:val="20"/>
                    </w:rPr>
                    <w:t> </w:t>
                  </w:r>
                  <w:r>
                    <w:rPr>
                      <w:rFonts w:ascii="Arial" w:hAnsi="Arial"/>
                      <w:color w:val="231F20"/>
                      <w:spacing w:val="-1"/>
                      <w:w w:val="99"/>
                      <w:sz w:val="20"/>
                    </w:rPr>
                    <w:t>/</w:t>
                  </w:r>
                  <w:r>
                    <w:rPr>
                      <w:rFonts w:ascii="Arial" w:hAnsi="Arial"/>
                      <w:color w:val="231F20"/>
                      <w:w w:val="47"/>
                      <w:sz w:val="20"/>
                    </w:rPr>
                    <w:t>César</w:t>
                  </w:r>
                  <w:r>
                    <w:rPr>
                      <w:rFonts w:ascii="Arial" w:hAnsi="Arial"/>
                      <w:color w:val="231F20"/>
                      <w:spacing w:val="-17"/>
                      <w:sz w:val="20"/>
                    </w:rPr>
                    <w:t> </w:t>
                  </w:r>
                  <w:r>
                    <w:rPr>
                      <w:rFonts w:ascii="Arial" w:hAnsi="Arial"/>
                      <w:color w:val="231F20"/>
                      <w:spacing w:val="-1"/>
                      <w:w w:val="52"/>
                      <w:sz w:val="20"/>
                    </w:rPr>
                    <w:t>Raú</w:t>
                  </w:r>
                  <w:r>
                    <w:rPr>
                      <w:rFonts w:ascii="Arial" w:hAnsi="Arial"/>
                      <w:color w:val="231F20"/>
                      <w:w w:val="52"/>
                      <w:sz w:val="20"/>
                    </w:rPr>
                    <w:t>l</w:t>
                  </w:r>
                  <w:r>
                    <w:rPr>
                      <w:rFonts w:ascii="Arial" w:hAnsi="Arial"/>
                      <w:color w:val="231F20"/>
                      <w:spacing w:val="-17"/>
                      <w:sz w:val="20"/>
                    </w:rPr>
                    <w:t> </w:t>
                  </w:r>
                  <w:r>
                    <w:rPr>
                      <w:rFonts w:ascii="Arial" w:hAnsi="Arial"/>
                      <w:color w:val="231F20"/>
                      <w:w w:val="52"/>
                      <w:sz w:val="20"/>
                    </w:rPr>
                    <w:t>Pérez-Marcial</w:t>
                  </w:r>
                </w:p>
              </w:txbxContent>
            </v:textbox>
            <w10:wrap type="none"/>
          </v:shape>
        </w:pict>
      </w:r>
      <w:r>
        <w:rPr/>
        <w:pict>
          <v:shape style="position:absolute;margin-left:43.465pt;margin-top:602.242004pt;width:353.4pt;height:43.5pt;mso-position-horizontal-relative:page;mso-position-vertical-relative:page;z-index:-637360" type="#_x0000_t202" filled="false" stroked="false">
            <v:textbox inset="0,0,0,0">
              <w:txbxContent>
                <w:p>
                  <w:pPr>
                    <w:pStyle w:val="BodyText"/>
                    <w:spacing w:before="8"/>
                    <w:rPr>
                      <w:b/>
                      <w:sz w:val="21"/>
                    </w:rPr>
                  </w:pPr>
                </w:p>
                <w:p>
                  <w:pPr>
                    <w:spacing w:before="0"/>
                    <w:ind w:left="3015" w:right="2480" w:firstLine="0"/>
                    <w:jc w:val="center"/>
                    <w:rPr>
                      <w:rFonts w:ascii="Verdana"/>
                      <w:sz w:val="20"/>
                    </w:rPr>
                  </w:pPr>
                  <w:r>
                    <w:rPr>
                      <w:rFonts w:ascii="Verdana"/>
                      <w:color w:val="231F20"/>
                      <w:sz w:val="20"/>
                    </w:rPr>
                    <w:t>289</w:t>
                  </w:r>
                </w:p>
              </w:txbxContent>
            </v:textbox>
            <w10:wrap type="none"/>
          </v:shape>
        </w:pict>
      </w: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line="249" w:lineRule="auto" w:before="216"/>
        <w:ind w:left="2576" w:right="255" w:firstLine="3676"/>
        <w:jc w:val="right"/>
      </w:pPr>
      <w:r>
        <w:rPr>
          <w:color w:val="231F20"/>
          <w:w w:val="75"/>
        </w:rPr>
        <w:t>Parte 4 </w:t>
      </w:r>
      <w:r>
        <w:rPr>
          <w:color w:val="231F20"/>
          <w:w w:val="80"/>
        </w:rPr>
        <w:t>El</w:t>
      </w:r>
      <w:r>
        <w:rPr>
          <w:color w:val="231F20"/>
          <w:spacing w:val="-54"/>
          <w:w w:val="80"/>
        </w:rPr>
        <w:t> </w:t>
      </w:r>
      <w:r>
        <w:rPr>
          <w:color w:val="231F20"/>
          <w:w w:val="80"/>
        </w:rPr>
        <w:t>papel</w:t>
      </w:r>
      <w:r>
        <w:rPr>
          <w:color w:val="231F20"/>
          <w:spacing w:val="-54"/>
          <w:w w:val="80"/>
        </w:rPr>
        <w:t> </w:t>
      </w:r>
      <w:r>
        <w:rPr>
          <w:color w:val="231F20"/>
          <w:w w:val="80"/>
        </w:rPr>
        <w:t>del</w:t>
      </w:r>
      <w:r>
        <w:rPr>
          <w:color w:val="231F20"/>
          <w:spacing w:val="-54"/>
          <w:w w:val="80"/>
        </w:rPr>
        <w:t> </w:t>
      </w:r>
      <w:r>
        <w:rPr>
          <w:color w:val="231F20"/>
          <w:w w:val="80"/>
        </w:rPr>
        <w:t>trabajo</w:t>
      </w:r>
      <w:r>
        <w:rPr>
          <w:color w:val="231F20"/>
          <w:spacing w:val="-54"/>
          <w:w w:val="80"/>
        </w:rPr>
        <w:t> </w:t>
      </w:r>
      <w:r>
        <w:rPr>
          <w:color w:val="231F20"/>
          <w:w w:val="80"/>
        </w:rPr>
        <w:t>indígena</w:t>
      </w:r>
      <w:r>
        <w:rPr>
          <w:color w:val="231F20"/>
          <w:spacing w:val="-54"/>
          <w:w w:val="80"/>
        </w:rPr>
        <w:t> </w:t>
      </w:r>
      <w:r>
        <w:rPr>
          <w:color w:val="231F20"/>
          <w:w w:val="80"/>
        </w:rPr>
        <w:t>e</w:t>
      </w:r>
      <w:r>
        <w:rPr>
          <w:color w:val="231F20"/>
          <w:w w:val="75"/>
        </w:rPr>
        <w:t> infantil migrante en Estados Unidos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9"/>
        </w:rPr>
      </w:pPr>
      <w:r>
        <w:rPr/>
        <w:pict>
          <v:rect style="position:absolute;margin-left:43.465pt;margin-top:18.883888pt;width:353.386pt;height:43.469pt;mso-position-horizontal-relative:page;mso-position-vertical-relative:paragraph;z-index:7192;mso-wrap-distance-left:0;mso-wrap-distance-right:0" filled="true" fillcolor="#ffffff" stroked="false">
            <v:fill type="solid"/>
            <w10:wrap type="topAndBottom"/>
          </v:rect>
        </w:pict>
      </w:r>
    </w:p>
    <w:p>
      <w:pPr>
        <w:spacing w:after="0"/>
        <w:rPr>
          <w:sz w:val="29"/>
        </w:rPr>
        <w:sectPr>
          <w:footerReference w:type="default" r:id="rId205"/>
          <w:pgSz w:w="9360" w:h="13040"/>
          <w:pgMar w:footer="0" w:header="0" w:top="360" w:bottom="0" w:left="760" w:right="1160"/>
        </w:sectPr>
      </w:pPr>
    </w:p>
    <w:p>
      <w:pPr>
        <w:pStyle w:val="BodyText"/>
        <w:ind w:left="103"/>
        <w:rPr>
          <w:sz w:val="20"/>
        </w:rPr>
      </w:pPr>
      <w:r>
        <w:rPr/>
        <w:pict>
          <v:shape style="position:absolute;margin-left:48.188999pt;margin-top:23.903994pt;width:353.4pt;height:43.5pt;mso-position-horizontal-relative:page;mso-position-vertical-relative:page;z-index:-637288" type="#_x0000_t202" filled="false" stroked="false">
            <v:textbox inset="0,0,0,0">
              <w:txbxContent>
                <w:p>
                  <w:pPr>
                    <w:pStyle w:val="BodyText"/>
                    <w:rPr>
                      <w:b/>
                      <w:sz w:val="20"/>
                    </w:rPr>
                  </w:pPr>
                </w:p>
                <w:p>
                  <w:pPr>
                    <w:tabs>
                      <w:tab w:pos="5873" w:val="left" w:leader="none"/>
                    </w:tabs>
                    <w:spacing w:before="159"/>
                    <w:ind w:left="442" w:right="0" w:firstLine="0"/>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txbxContent>
            </v:textbox>
            <w10:wrap type="none"/>
          </v:shape>
        </w:pict>
      </w:r>
      <w:r>
        <w:rPr/>
        <w:pict>
          <v:shape style="position:absolute;margin-left:62.929001pt;margin-top:593.291016pt;width:353.4pt;height:43.5pt;mso-position-horizontal-relative:page;mso-position-vertical-relative:page;z-index:-637264" type="#_x0000_t202" filled="false" stroked="false">
            <v:textbox inset="0,0,0,0">
              <w:txbxContent>
                <w:p>
                  <w:pPr>
                    <w:pStyle w:val="BodyText"/>
                    <w:rPr>
                      <w:b/>
                      <w:sz w:val="20"/>
                    </w:rPr>
                  </w:pPr>
                </w:p>
                <w:p>
                  <w:pPr>
                    <w:pStyle w:val="BodyText"/>
                    <w:spacing w:before="3"/>
                    <w:rPr>
                      <w:b/>
                      <w:sz w:val="17"/>
                    </w:rPr>
                  </w:pPr>
                </w:p>
                <w:p>
                  <w:pPr>
                    <w:spacing w:before="0"/>
                    <w:ind w:left="2531" w:right="3055" w:firstLine="0"/>
                    <w:jc w:val="center"/>
                    <w:rPr>
                      <w:rFonts w:ascii="Verdana"/>
                      <w:sz w:val="20"/>
                    </w:rPr>
                  </w:pPr>
                  <w:r>
                    <w:rPr>
                      <w:rFonts w:ascii="Verdana"/>
                      <w:color w:val="231F20"/>
                      <w:sz w:val="20"/>
                    </w:rPr>
                    <w:t>290</w:t>
                  </w:r>
                </w:p>
              </w:txbxContent>
            </v:textbox>
            <w10:wrap type="none"/>
          </v:shape>
        </w:pict>
      </w: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28"/>
        </w:rPr>
      </w:pPr>
      <w:r>
        <w:rPr/>
        <w:pict>
          <v:rect style="position:absolute;margin-left:62.929001pt;margin-top:18.614969pt;width:353.386pt;height:43.469pt;mso-position-horizontal-relative:page;mso-position-vertical-relative:paragraph;z-index:7288;mso-wrap-distance-left:0;mso-wrap-distance-right:0" filled="true" fillcolor="#ffffff" stroked="false">
            <v:fill type="solid"/>
            <w10:wrap type="topAndBottom"/>
          </v:rect>
        </w:pict>
      </w:r>
    </w:p>
    <w:p>
      <w:pPr>
        <w:spacing w:after="0"/>
        <w:rPr>
          <w:sz w:val="28"/>
        </w:rPr>
        <w:sectPr>
          <w:footerReference w:type="default" r:id="rId206"/>
          <w:pgSz w:w="9360" w:h="13040"/>
          <w:pgMar w:footer="0" w:header="0" w:top="460" w:bottom="0" w:left="860" w:right="920"/>
        </w:sectPr>
      </w:pPr>
    </w:p>
    <w:p>
      <w:pPr>
        <w:pStyle w:val="BodyText"/>
        <w:ind w:left="114"/>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spacing w:before="94"/>
        <w:ind w:left="1561" w:right="297" w:hanging="962"/>
      </w:pPr>
      <w:r>
        <w:rPr/>
        <w:pict>
          <v:shape style="position:absolute;margin-left:52.723999pt;margin-top:-44.463627pt;width:353.4pt;height:43.5pt;mso-position-horizontal-relative:page;mso-position-vertical-relative:paragraph;z-index:-637192" type="#_x0000_t202" filled="false" stroked="false">
            <v:textbox inset="0,0,0,0">
              <w:txbxContent>
                <w:p>
                  <w:pPr>
                    <w:pStyle w:val="BodyText"/>
                    <w:rPr>
                      <w:sz w:val="20"/>
                    </w:rPr>
                  </w:pPr>
                </w:p>
                <w:p>
                  <w:pPr>
                    <w:pStyle w:val="BodyText"/>
                    <w:spacing w:before="6"/>
                    <w:rPr>
                      <w:sz w:val="16"/>
                    </w:rPr>
                  </w:pPr>
                </w:p>
                <w:p>
                  <w:pPr>
                    <w:spacing w:before="0"/>
                    <w:ind w:left="706" w:right="0" w:firstLine="0"/>
                    <w:jc w:val="left"/>
                    <w:rPr>
                      <w:rFonts w:ascii="Arial" w:hAnsi="Arial"/>
                      <w:sz w:val="20"/>
                    </w:rPr>
                  </w:pPr>
                  <w:r>
                    <w:rPr>
                      <w:rFonts w:ascii="Arial" w:hAnsi="Arial"/>
                      <w:color w:val="231F20"/>
                      <w:w w:val="66"/>
                      <w:sz w:val="20"/>
                    </w:rPr>
                    <w:t>Las</w:t>
                  </w:r>
                  <w:r>
                    <w:rPr>
                      <w:rFonts w:ascii="Arial" w:hAnsi="Arial"/>
                      <w:color w:val="231F20"/>
                      <w:spacing w:val="-1"/>
                      <w:sz w:val="20"/>
                    </w:rPr>
                    <w:t> </w:t>
                  </w:r>
                  <w:r>
                    <w:rPr>
                      <w:rFonts w:ascii="Arial" w:hAnsi="Arial"/>
                      <w:color w:val="231F20"/>
                      <w:spacing w:val="-1"/>
                      <w:w w:val="68"/>
                      <w:sz w:val="20"/>
                    </w:rPr>
                    <w:t>remesa</w:t>
                  </w:r>
                  <w:r>
                    <w:rPr>
                      <w:rFonts w:ascii="Arial" w:hAnsi="Arial"/>
                      <w:color w:val="231F20"/>
                      <w:w w:val="68"/>
                      <w:sz w:val="20"/>
                    </w:rPr>
                    <w:t>s</w:t>
                  </w:r>
                  <w:r>
                    <w:rPr>
                      <w:rFonts w:ascii="Arial" w:hAnsi="Arial"/>
                      <w:color w:val="231F20"/>
                      <w:sz w:val="20"/>
                    </w:rPr>
                    <w:t> </w:t>
                  </w:r>
                  <w:r>
                    <w:rPr>
                      <w:rFonts w:ascii="Arial" w:hAnsi="Arial"/>
                      <w:color w:val="231F20"/>
                      <w:w w:val="72"/>
                      <w:sz w:val="20"/>
                    </w:rPr>
                    <w:t>indígenas</w:t>
                  </w:r>
                  <w:r>
                    <w:rPr>
                      <w:rFonts w:ascii="Arial" w:hAnsi="Arial"/>
                      <w:color w:val="231F20"/>
                      <w:spacing w:val="-1"/>
                      <w:sz w:val="20"/>
                    </w:rPr>
                    <w:t> </w:t>
                  </w:r>
                  <w:r>
                    <w:rPr>
                      <w:rFonts w:ascii="Arial" w:hAnsi="Arial"/>
                      <w:color w:val="231F20"/>
                      <w:spacing w:val="-1"/>
                      <w:w w:val="67"/>
                      <w:sz w:val="20"/>
                    </w:rPr>
                    <w:t>com</w:t>
                  </w:r>
                  <w:r>
                    <w:rPr>
                      <w:rFonts w:ascii="Arial" w:hAnsi="Arial"/>
                      <w:color w:val="231F20"/>
                      <w:w w:val="67"/>
                      <w:sz w:val="20"/>
                    </w:rPr>
                    <w:t>o</w:t>
                  </w:r>
                  <w:r>
                    <w:rPr>
                      <w:rFonts w:ascii="Arial" w:hAnsi="Arial"/>
                      <w:color w:val="231F20"/>
                      <w:spacing w:val="-1"/>
                      <w:sz w:val="20"/>
                    </w:rPr>
                    <w:t> </w:t>
                  </w:r>
                  <w:r>
                    <w:rPr>
                      <w:rFonts w:ascii="Arial" w:hAnsi="Arial"/>
                      <w:color w:val="231F20"/>
                      <w:spacing w:val="-1"/>
                      <w:w w:val="71"/>
                      <w:sz w:val="20"/>
                    </w:rPr>
                    <w:t>complement</w:t>
                  </w:r>
                  <w:r>
                    <w:rPr>
                      <w:rFonts w:ascii="Arial" w:hAnsi="Arial"/>
                      <w:color w:val="231F20"/>
                      <w:w w:val="71"/>
                      <w:sz w:val="20"/>
                    </w:rPr>
                    <w:t>o</w:t>
                  </w:r>
                  <w:r>
                    <w:rPr>
                      <w:rFonts w:ascii="Arial" w:hAnsi="Arial"/>
                      <w:color w:val="231F20"/>
                      <w:sz w:val="20"/>
                    </w:rPr>
                    <w:t> </w:t>
                  </w:r>
                  <w:r>
                    <w:rPr>
                      <w:rFonts w:ascii="Arial" w:hAnsi="Arial"/>
                      <w:color w:val="231F20"/>
                      <w:spacing w:val="-1"/>
                      <w:w w:val="78"/>
                      <w:sz w:val="20"/>
                    </w:rPr>
                    <w:t>a</w:t>
                  </w:r>
                  <w:r>
                    <w:rPr>
                      <w:rFonts w:ascii="Arial" w:hAnsi="Arial"/>
                      <w:color w:val="231F20"/>
                      <w:w w:val="78"/>
                      <w:sz w:val="20"/>
                    </w:rPr>
                    <w:t>l</w:t>
                  </w:r>
                  <w:r>
                    <w:rPr>
                      <w:rFonts w:ascii="Arial" w:hAnsi="Arial"/>
                      <w:color w:val="231F20"/>
                      <w:spacing w:val="-1"/>
                      <w:sz w:val="20"/>
                    </w:rPr>
                    <w:t> </w:t>
                  </w:r>
                  <w:r>
                    <w:rPr>
                      <w:rFonts w:ascii="Arial" w:hAnsi="Arial"/>
                      <w:color w:val="231F20"/>
                      <w:w w:val="73"/>
                      <w:sz w:val="20"/>
                    </w:rPr>
                    <w:t>ingreso</w:t>
                  </w:r>
                  <w:r>
                    <w:rPr>
                      <w:rFonts w:ascii="Arial" w:hAnsi="Arial"/>
                      <w:color w:val="231F20"/>
                      <w:spacing w:val="-1"/>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67"/>
                      <w:sz w:val="20"/>
                    </w:rPr>
                    <w:t>sus</w:t>
                  </w:r>
                  <w:r>
                    <w:rPr>
                      <w:rFonts w:ascii="Arial" w:hAnsi="Arial"/>
                      <w:color w:val="231F20"/>
                      <w:spacing w:val="-1"/>
                      <w:sz w:val="20"/>
                    </w:rPr>
                    <w:t> </w:t>
                  </w:r>
                  <w:r>
                    <w:rPr>
                      <w:rFonts w:ascii="Arial" w:hAnsi="Arial"/>
                      <w:color w:val="231F20"/>
                      <w:w w:val="72"/>
                      <w:sz w:val="20"/>
                    </w:rPr>
                    <w:t>mecanismos...</w:t>
                  </w:r>
                  <w:r>
                    <w:rPr>
                      <w:rFonts w:ascii="Arial" w:hAnsi="Arial"/>
                      <w:color w:val="231F20"/>
                      <w:spacing w:val="-1"/>
                      <w:sz w:val="20"/>
                    </w:rPr>
                    <w:t> </w:t>
                  </w:r>
                  <w:r>
                    <w:rPr>
                      <w:rFonts w:ascii="Arial" w:hAnsi="Arial"/>
                      <w:color w:val="231F20"/>
                      <w:spacing w:val="-1"/>
                      <w:w w:val="99"/>
                      <w:sz w:val="20"/>
                    </w:rPr>
                    <w:t>/</w:t>
                  </w:r>
                  <w:r>
                    <w:rPr>
                      <w:rFonts w:ascii="Arial" w:hAnsi="Arial"/>
                      <w:color w:val="231F20"/>
                      <w:w w:val="47"/>
                      <w:sz w:val="20"/>
                    </w:rPr>
                    <w:t>César</w:t>
                  </w:r>
                  <w:r>
                    <w:rPr>
                      <w:rFonts w:ascii="Arial" w:hAnsi="Arial"/>
                      <w:color w:val="231F20"/>
                      <w:spacing w:val="-17"/>
                      <w:sz w:val="20"/>
                    </w:rPr>
                    <w:t> </w:t>
                  </w:r>
                  <w:r>
                    <w:rPr>
                      <w:rFonts w:ascii="Arial" w:hAnsi="Arial"/>
                      <w:color w:val="231F20"/>
                      <w:spacing w:val="-1"/>
                      <w:w w:val="52"/>
                      <w:sz w:val="20"/>
                    </w:rPr>
                    <w:t>Raú</w:t>
                  </w:r>
                  <w:r>
                    <w:rPr>
                      <w:rFonts w:ascii="Arial" w:hAnsi="Arial"/>
                      <w:color w:val="231F20"/>
                      <w:w w:val="52"/>
                      <w:sz w:val="20"/>
                    </w:rPr>
                    <w:t>l</w:t>
                  </w:r>
                  <w:r>
                    <w:rPr>
                      <w:rFonts w:ascii="Arial" w:hAnsi="Arial"/>
                      <w:color w:val="231F20"/>
                      <w:spacing w:val="-17"/>
                      <w:sz w:val="20"/>
                    </w:rPr>
                    <w:t> </w:t>
                  </w:r>
                  <w:r>
                    <w:rPr>
                      <w:rFonts w:ascii="Arial" w:hAnsi="Arial"/>
                      <w:color w:val="231F20"/>
                      <w:w w:val="52"/>
                      <w:sz w:val="20"/>
                    </w:rPr>
                    <w:t>Pérez-Marcial</w:t>
                  </w:r>
                </w:p>
              </w:txbxContent>
            </v:textbox>
            <w10:wrap type="none"/>
          </v:shape>
        </w:pict>
      </w:r>
      <w:r>
        <w:rPr>
          <w:color w:val="231F20"/>
          <w:w w:val="70"/>
        </w:rPr>
        <w:t>Las remesas indígenas como complemento al ingreso y sus mecanismos de uso y recepción</w:t>
      </w:r>
    </w:p>
    <w:p>
      <w:pPr>
        <w:pStyle w:val="BodyText"/>
        <w:spacing w:before="3"/>
        <w:rPr>
          <w:b/>
          <w:sz w:val="17"/>
        </w:rPr>
      </w:pPr>
    </w:p>
    <w:p>
      <w:pPr>
        <w:pStyle w:val="Heading2"/>
        <w:spacing w:before="61"/>
        <w:ind w:left="2200"/>
      </w:pPr>
      <w:r>
        <w:rPr>
          <w:color w:val="231F20"/>
        </w:rPr>
        <w:t>César Raúl Pérez Marcial</w:t>
      </w:r>
    </w:p>
    <w:p>
      <w:pPr>
        <w:pStyle w:val="BodyText"/>
        <w:spacing w:before="2"/>
        <w:rPr>
          <w:sz w:val="17"/>
        </w:rPr>
      </w:pPr>
    </w:p>
    <w:p>
      <w:pPr>
        <w:spacing w:line="247" w:lineRule="auto" w:before="72"/>
        <w:ind w:left="1995" w:right="1692" w:hanging="104"/>
        <w:jc w:val="left"/>
        <w:rPr>
          <w:i/>
          <w:sz w:val="22"/>
        </w:rPr>
      </w:pPr>
      <w:r>
        <w:rPr>
          <w:i/>
          <w:color w:val="231F20"/>
          <w:sz w:val="22"/>
        </w:rPr>
        <w:t>Centro de Estudios Urbanos y Regionales </w:t>
      </w:r>
      <w:r>
        <w:rPr>
          <w:i/>
          <w:color w:val="231F20"/>
          <w:sz w:val="22"/>
        </w:rPr>
        <w:t>Colegio del Estado de Hidalgo, México</w:t>
      </w:r>
    </w:p>
    <w:p>
      <w:pPr>
        <w:pStyle w:val="BodyText"/>
        <w:spacing w:before="4"/>
        <w:rPr>
          <w:i/>
          <w:sz w:val="24"/>
        </w:rPr>
      </w:pPr>
    </w:p>
    <w:p>
      <w:pPr>
        <w:pStyle w:val="Heading3"/>
        <w:spacing w:before="69"/>
        <w:ind w:left="477" w:right="913"/>
        <w:jc w:val="left"/>
      </w:pPr>
      <w:r>
        <w:rPr>
          <w:color w:val="231F20"/>
        </w:rPr>
        <w:t>Introducción</w:t>
      </w:r>
    </w:p>
    <w:p>
      <w:pPr>
        <w:pStyle w:val="BodyText"/>
        <w:rPr>
          <w:b/>
          <w:sz w:val="20"/>
        </w:rPr>
      </w:pPr>
    </w:p>
    <w:p>
      <w:pPr>
        <w:pStyle w:val="BodyText"/>
        <w:spacing w:before="10"/>
        <w:rPr>
          <w:b/>
          <w:sz w:val="16"/>
        </w:rPr>
      </w:pPr>
    </w:p>
    <w:p>
      <w:pPr>
        <w:pStyle w:val="BodyText"/>
        <w:spacing w:line="247" w:lineRule="auto" w:before="187"/>
        <w:ind w:left="1426" w:right="294"/>
        <w:jc w:val="both"/>
      </w:pPr>
      <w:r>
        <w:rPr/>
        <w:pict>
          <v:shape style="position:absolute;margin-left:70.866096pt;margin-top:4.984069pt;width:36.7pt;height:55pt;mso-position-horizontal-relative:page;mso-position-vertical-relative:paragraph;z-index:-637168" type="#_x0000_t202" filled="false" stroked="false">
            <v:textbox inset="0,0,0,0">
              <w:txbxContent>
                <w:p>
                  <w:pPr>
                    <w:spacing w:line="1100" w:lineRule="exact" w:before="0"/>
                    <w:ind w:left="0" w:right="0" w:firstLine="0"/>
                    <w:jc w:val="left"/>
                    <w:rPr>
                      <w:b/>
                      <w:sz w:val="110"/>
                    </w:rPr>
                  </w:pPr>
                  <w:r>
                    <w:rPr>
                      <w:b/>
                      <w:color w:val="231F20"/>
                      <w:sz w:val="110"/>
                    </w:rPr>
                    <w:t>L</w:t>
                  </w:r>
                </w:p>
              </w:txbxContent>
            </v:textbox>
            <w10:wrap type="none"/>
          </v:shape>
        </w:pict>
      </w:r>
      <w:r>
        <w:rPr>
          <w:color w:val="231F20"/>
        </w:rPr>
        <w:t>as remesas monetarias constituyen una expresión de las migra- ciones internacionales contemporáneas y de relaciones sociales y económicas que se establecen entre los lugares involucrados.</w:t>
      </w:r>
    </w:p>
    <w:p>
      <w:pPr>
        <w:pStyle w:val="BodyText"/>
        <w:spacing w:line="247" w:lineRule="auto" w:before="7"/>
        <w:ind w:left="477" w:right="295"/>
        <w:jc w:val="both"/>
      </w:pPr>
      <w:r>
        <w:rPr>
          <w:color w:val="231F20"/>
        </w:rPr>
        <w:t>Su dinámica principalmente se asocia evidentemente a la cantidad de per- sonas, a la temporalidad del proceso y al mercado laboral en donde se inserten los migrantes.</w:t>
      </w:r>
    </w:p>
    <w:p>
      <w:pPr>
        <w:pStyle w:val="BodyText"/>
        <w:spacing w:line="247" w:lineRule="auto"/>
        <w:ind w:left="477" w:right="294" w:firstLine="283"/>
        <w:jc w:val="both"/>
      </w:pPr>
      <w:r>
        <w:rPr>
          <w:color w:val="231F20"/>
        </w:rPr>
        <w:t>En la contabilización de las remesas se muestra un crecimiento signifi- cativo, lo que le da un papel sobresaliente en el ingreso para algunas eco- nomías nacionales, por ello, tiende a suponerse que estos recursos inciden en</w:t>
      </w:r>
      <w:r>
        <w:rPr>
          <w:color w:val="231F20"/>
          <w:spacing w:val="-10"/>
        </w:rPr>
        <w:t> </w:t>
      </w:r>
      <w:r>
        <w:rPr>
          <w:color w:val="231F20"/>
        </w:rPr>
        <w:t>las</w:t>
      </w:r>
      <w:r>
        <w:rPr>
          <w:color w:val="231F20"/>
          <w:spacing w:val="-10"/>
        </w:rPr>
        <w:t> </w:t>
      </w:r>
      <w:r>
        <w:rPr>
          <w:color w:val="231F20"/>
        </w:rPr>
        <w:t>economías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países</w:t>
      </w:r>
      <w:r>
        <w:rPr>
          <w:color w:val="231F20"/>
          <w:spacing w:val="-10"/>
        </w:rPr>
        <w:t> </w:t>
      </w:r>
      <w:r>
        <w:rPr>
          <w:color w:val="231F20"/>
        </w:rPr>
        <w:t>receptores.</w:t>
      </w:r>
      <w:r>
        <w:rPr>
          <w:color w:val="231F20"/>
          <w:spacing w:val="-10"/>
        </w:rPr>
        <w:t> </w:t>
      </w:r>
      <w:r>
        <w:rPr>
          <w:color w:val="231F20"/>
        </w:rPr>
        <w:t>Es</w:t>
      </w:r>
      <w:r>
        <w:rPr>
          <w:color w:val="231F20"/>
          <w:spacing w:val="-10"/>
        </w:rPr>
        <w:t> </w:t>
      </w:r>
      <w:r>
        <w:rPr>
          <w:color w:val="231F20"/>
        </w:rPr>
        <w:t>por</w:t>
      </w:r>
      <w:r>
        <w:rPr>
          <w:color w:val="231F20"/>
          <w:spacing w:val="-10"/>
        </w:rPr>
        <w:t> </w:t>
      </w:r>
      <w:r>
        <w:rPr>
          <w:color w:val="231F20"/>
        </w:rPr>
        <w:t>eso</w:t>
      </w:r>
      <w:r>
        <w:rPr>
          <w:color w:val="231F20"/>
          <w:spacing w:val="-10"/>
        </w:rPr>
        <w:t> </w:t>
      </w:r>
      <w:r>
        <w:rPr>
          <w:color w:val="231F20"/>
        </w:rPr>
        <w:t>que</w:t>
      </w:r>
      <w:r>
        <w:rPr>
          <w:color w:val="231F20"/>
          <w:spacing w:val="-10"/>
        </w:rPr>
        <w:t> </w:t>
      </w:r>
      <w:r>
        <w:rPr>
          <w:color w:val="231F20"/>
        </w:rPr>
        <w:t>existe</w:t>
      </w:r>
      <w:r>
        <w:rPr>
          <w:color w:val="231F20"/>
          <w:spacing w:val="-11"/>
        </w:rPr>
        <w:t> </w:t>
      </w:r>
      <w:r>
        <w:rPr>
          <w:color w:val="231F20"/>
        </w:rPr>
        <w:t>un</w:t>
      </w:r>
      <w:r>
        <w:rPr>
          <w:color w:val="231F20"/>
          <w:spacing w:val="-10"/>
        </w:rPr>
        <w:t> </w:t>
      </w:r>
      <w:r>
        <w:rPr>
          <w:color w:val="231F20"/>
        </w:rPr>
        <w:t>impacto generalizado pero que sólo ocurre en la escala de los hogares</w:t>
      </w:r>
      <w:r>
        <w:rPr>
          <w:color w:val="231F20"/>
          <w:spacing w:val="-6"/>
        </w:rPr>
        <w:t> </w:t>
      </w:r>
      <w:r>
        <w:rPr>
          <w:color w:val="231F20"/>
        </w:rPr>
        <w:t>receptores.</w:t>
      </w:r>
    </w:p>
    <w:p>
      <w:pPr>
        <w:pStyle w:val="BodyText"/>
        <w:spacing w:line="247" w:lineRule="auto"/>
        <w:ind w:left="477" w:right="294" w:firstLine="283"/>
        <w:jc w:val="both"/>
      </w:pPr>
      <w:r>
        <w:rPr>
          <w:color w:val="231F20"/>
        </w:rPr>
        <w:t>Esta consideración surge al ubicarlas como un “motor de desarrollo”,</w:t>
      </w:r>
      <w:r>
        <w:rPr>
          <w:color w:val="231F20"/>
          <w:position w:val="7"/>
          <w:sz w:val="13"/>
        </w:rPr>
        <w:t>1 </w:t>
      </w:r>
      <w:r>
        <w:rPr>
          <w:color w:val="231F20"/>
        </w:rPr>
        <w:t>pero con la imperiosa necesidad de precisar que el envío de recursos a comunidades de migrantes constituye un fondo salarial de transferencia familiar, por lo que su contribución al crecimiento y desarrollo</w:t>
      </w:r>
      <w:r>
        <w:rPr>
          <w:color w:val="231F20"/>
          <w:spacing w:val="-32"/>
        </w:rPr>
        <w:t> </w:t>
      </w:r>
      <w:r>
        <w:rPr>
          <w:color w:val="231F20"/>
        </w:rPr>
        <w:t>económico nacional suele ser limitado o</w:t>
      </w:r>
      <w:r>
        <w:rPr>
          <w:color w:val="231F20"/>
          <w:spacing w:val="-7"/>
        </w:rPr>
        <w:t> </w:t>
      </w:r>
      <w:r>
        <w:rPr>
          <w:color w:val="231F20"/>
        </w:rPr>
        <w:t>nulo.</w:t>
      </w:r>
    </w:p>
    <w:p>
      <w:pPr>
        <w:pStyle w:val="BodyText"/>
        <w:spacing w:line="247" w:lineRule="auto"/>
        <w:ind w:left="477" w:right="295" w:firstLine="283"/>
        <w:jc w:val="both"/>
      </w:pPr>
      <w:r>
        <w:rPr>
          <w:color w:val="231F20"/>
        </w:rPr>
        <w:t>Usualmente se busca comparar el valor de las remesas con diversos indicadores macroeconómicos pero su lógica no corresponde a la de un fondo de ahorro o inversión, sino al de ingreso familiar, que suele des- tinarse en su mayor parte a la satisfacción de las necesidades básicas, y contribuye a disminuir la vulnerabilidad social y a generar apoyos durante situaciones</w:t>
      </w:r>
      <w:r>
        <w:rPr>
          <w:color w:val="231F20"/>
          <w:spacing w:val="-11"/>
        </w:rPr>
        <w:t> </w:t>
      </w:r>
      <w:r>
        <w:rPr>
          <w:color w:val="231F20"/>
        </w:rPr>
        <w:t>críticas</w:t>
      </w:r>
      <w:r>
        <w:rPr>
          <w:color w:val="231F20"/>
          <w:spacing w:val="-12"/>
        </w:rPr>
        <w:t> </w:t>
      </w:r>
      <w:r>
        <w:rPr>
          <w:color w:val="231F20"/>
        </w:rPr>
        <w:t>y</w:t>
      </w:r>
      <w:r>
        <w:rPr>
          <w:color w:val="231F20"/>
          <w:spacing w:val="-12"/>
        </w:rPr>
        <w:t> </w:t>
      </w:r>
      <w:r>
        <w:rPr>
          <w:color w:val="231F20"/>
        </w:rPr>
        <w:t>no</w:t>
      </w:r>
      <w:r>
        <w:rPr>
          <w:color w:val="231F20"/>
          <w:spacing w:val="-12"/>
        </w:rPr>
        <w:t> </w:t>
      </w:r>
      <w:r>
        <w:rPr>
          <w:color w:val="231F20"/>
        </w:rPr>
        <w:t>pueden</w:t>
      </w:r>
      <w:r>
        <w:rPr>
          <w:color w:val="231F20"/>
          <w:spacing w:val="-12"/>
        </w:rPr>
        <w:t> </w:t>
      </w:r>
      <w:r>
        <w:rPr>
          <w:color w:val="231F20"/>
        </w:rPr>
        <w:t>considerarse</w:t>
      </w:r>
      <w:r>
        <w:rPr>
          <w:color w:val="231F20"/>
          <w:spacing w:val="-13"/>
        </w:rPr>
        <w:t> </w:t>
      </w:r>
      <w:r>
        <w:rPr>
          <w:color w:val="231F20"/>
        </w:rPr>
        <w:t>solución</w:t>
      </w:r>
      <w:r>
        <w:rPr>
          <w:color w:val="231F20"/>
          <w:spacing w:val="-11"/>
        </w:rPr>
        <w:t> </w:t>
      </w:r>
      <w:r>
        <w:rPr>
          <w:color w:val="231F20"/>
        </w:rPr>
        <w:t>a</w:t>
      </w:r>
      <w:r>
        <w:rPr>
          <w:color w:val="231F20"/>
          <w:spacing w:val="-12"/>
        </w:rPr>
        <w:t> </w:t>
      </w:r>
      <w:r>
        <w:rPr>
          <w:color w:val="231F20"/>
        </w:rPr>
        <w:t>la</w:t>
      </w:r>
      <w:r>
        <w:rPr>
          <w:color w:val="231F20"/>
          <w:spacing w:val="-12"/>
        </w:rPr>
        <w:t> </w:t>
      </w:r>
      <w:r>
        <w:rPr>
          <w:color w:val="231F20"/>
        </w:rPr>
        <w:t>pobreza,</w:t>
      </w:r>
      <w:r>
        <w:rPr>
          <w:color w:val="231F20"/>
          <w:spacing w:val="-12"/>
        </w:rPr>
        <w:t> </w:t>
      </w:r>
      <w:r>
        <w:rPr>
          <w:color w:val="231F20"/>
        </w:rPr>
        <w:t>sino</w:t>
      </w:r>
      <w:r>
        <w:rPr>
          <w:color w:val="231F20"/>
          <w:spacing w:val="-12"/>
        </w:rPr>
        <w:t> </w:t>
      </w:r>
      <w:r>
        <w:rPr>
          <w:color w:val="231F20"/>
        </w:rPr>
        <w:t>un amortiguador a la</w:t>
      </w:r>
      <w:r>
        <w:rPr>
          <w:color w:val="231F20"/>
          <w:spacing w:val="-1"/>
        </w:rPr>
        <w:t> </w:t>
      </w:r>
      <w:r>
        <w:rPr>
          <w:color w:val="231F20"/>
        </w:rPr>
        <w:t>misma.</w:t>
      </w:r>
    </w:p>
    <w:p>
      <w:pPr>
        <w:pStyle w:val="BodyText"/>
        <w:rPr>
          <w:sz w:val="20"/>
        </w:rPr>
      </w:pPr>
    </w:p>
    <w:p>
      <w:pPr>
        <w:pStyle w:val="BodyText"/>
        <w:spacing w:before="10"/>
        <w:rPr>
          <w:sz w:val="18"/>
        </w:rPr>
      </w:pPr>
      <w:r>
        <w:rPr/>
        <w:pict>
          <v:line style="position:absolute;mso-position-horizontal-relative:page;mso-position-vertical-relative:paragraph;z-index:7384;mso-wrap-distance-left:0;mso-wrap-distance-right:0" from="70.866096pt,13.184329pt" to="142.866096pt,13.184329pt" stroked="true" strokeweight=".75pt" strokecolor="#231f20">
            <w10:wrap type="topAndBottom"/>
          </v:line>
        </w:pict>
      </w:r>
    </w:p>
    <w:p>
      <w:pPr>
        <w:spacing w:line="208" w:lineRule="auto" w:before="0"/>
        <w:ind w:left="477" w:right="378" w:firstLine="0"/>
        <w:jc w:val="left"/>
        <w:rPr>
          <w:sz w:val="17"/>
        </w:rPr>
      </w:pPr>
      <w:r>
        <w:rPr>
          <w:color w:val="231F20"/>
          <w:position w:val="6"/>
          <w:sz w:val="10"/>
        </w:rPr>
        <w:t>1 </w:t>
      </w:r>
      <w:r>
        <w:rPr>
          <w:color w:val="231F20"/>
          <w:sz w:val="17"/>
        </w:rPr>
        <w:t>Para el tema de los mitos de las remesas puede consultarse Gosh (2006), </w:t>
      </w:r>
      <w:r>
        <w:rPr>
          <w:i/>
          <w:color w:val="231F20"/>
          <w:sz w:val="17"/>
        </w:rPr>
        <w:t>Las remesas de mi- </w:t>
      </w:r>
      <w:r>
        <w:rPr>
          <w:i/>
          <w:color w:val="231F20"/>
          <w:sz w:val="17"/>
        </w:rPr>
        <w:t>grantes y el desarrollo: mitos, retórica y realidades</w:t>
      </w:r>
      <w:r>
        <w:rPr>
          <w:color w:val="231F20"/>
          <w:sz w:val="17"/>
        </w:rPr>
        <w:t>. OIM, Guatemala.</w:t>
      </w:r>
    </w:p>
    <w:p>
      <w:pPr>
        <w:spacing w:after="0" w:line="208" w:lineRule="auto"/>
        <w:jc w:val="left"/>
        <w:rPr>
          <w:sz w:val="17"/>
        </w:rPr>
        <w:sectPr>
          <w:footerReference w:type="default" r:id="rId207"/>
          <w:pgSz w:w="9360" w:h="13040"/>
          <w:pgMar w:footer="496" w:header="0" w:top="360" w:bottom="680" w:left="940" w:right="1120"/>
          <w:pgNumType w:start="291"/>
        </w:sectPr>
      </w:pPr>
    </w:p>
    <w:p>
      <w:pPr>
        <w:tabs>
          <w:tab w:pos="5536" w:val="left" w:leader="none"/>
        </w:tabs>
        <w:spacing w:before="48"/>
        <w:ind w:left="400" w:right="117" w:hanging="295"/>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firstLine="283"/>
        <w:jc w:val="both"/>
      </w:pPr>
      <w:r>
        <w:rPr>
          <w:color w:val="231F20"/>
        </w:rPr>
        <w:t>Aunque las remesas se han incorporado a circuitos financieros y se in- terpretan como fuente de apoyo contra la pobreza debido a la circulación y uso de los recursos, en el contexto rural de elevado deterioro social y descomposición del tejido productivo éstas tienen un impacto localizado</w:t>
      </w:r>
      <w:r>
        <w:rPr>
          <w:color w:val="231F20"/>
          <w:spacing w:val="-31"/>
        </w:rPr>
        <w:t> </w:t>
      </w:r>
      <w:r>
        <w:rPr>
          <w:color w:val="231F20"/>
        </w:rPr>
        <w:t>o micro</w:t>
      </w:r>
      <w:r>
        <w:rPr>
          <w:color w:val="231F20"/>
          <w:spacing w:val="-1"/>
        </w:rPr>
        <w:t> </w:t>
      </w:r>
      <w:r>
        <w:rPr>
          <w:color w:val="231F20"/>
        </w:rPr>
        <w:t>regional.</w:t>
      </w:r>
    </w:p>
    <w:p>
      <w:pPr>
        <w:pStyle w:val="BodyText"/>
        <w:spacing w:line="247" w:lineRule="auto"/>
        <w:ind w:left="117" w:right="114" w:firstLine="283"/>
        <w:jc w:val="both"/>
      </w:pPr>
      <w:r>
        <w:rPr>
          <w:color w:val="231F20"/>
        </w:rPr>
        <w:t>En la economía de las comunidades indígenas, de los estados y muni- cipios con más de 30 por ciento de Hablantes de Lengua Indígena (HLI) para este ejemplo, son similares a las economías campesinas. Las remesas impactan en la producción destinada al autoconsumo y el mercado local que tiene una racionalidad diferente, que por la salida de mano de obra e inyección exógena de ingresos se evidencia ese papel y promueve la idea de ser un elemento que mejoraría las condiciones, pero genera también nuevas escalas de polarización hacia el interior, por lo que el ámbito terri- torial y la escala geográfica pueden ser elementos diferenciadores del uso y el impacto de las remesas.</w:t>
      </w:r>
    </w:p>
    <w:p>
      <w:pPr>
        <w:pStyle w:val="BodyText"/>
        <w:spacing w:line="247" w:lineRule="auto"/>
        <w:ind w:left="117" w:right="114" w:firstLine="283"/>
        <w:jc w:val="both"/>
      </w:pPr>
      <w:r>
        <w:rPr>
          <w:color w:val="231F20"/>
        </w:rPr>
        <w:t>Otro rasgo diferenciador es la magnitud e impacto de las remesas en estas</w:t>
      </w:r>
      <w:r>
        <w:rPr>
          <w:color w:val="231F20"/>
          <w:spacing w:val="-5"/>
        </w:rPr>
        <w:t> </w:t>
      </w:r>
      <w:r>
        <w:rPr>
          <w:color w:val="231F20"/>
        </w:rPr>
        <w:t>comunidades,</w:t>
      </w:r>
      <w:r>
        <w:rPr>
          <w:color w:val="231F20"/>
          <w:spacing w:val="-6"/>
        </w:rPr>
        <w:t> </w:t>
      </w:r>
      <w:r>
        <w:rPr>
          <w:color w:val="231F20"/>
        </w:rPr>
        <w:t>pues</w:t>
      </w:r>
      <w:r>
        <w:rPr>
          <w:color w:val="231F20"/>
          <w:spacing w:val="-5"/>
        </w:rPr>
        <w:t> </w:t>
      </w:r>
      <w:r>
        <w:rPr>
          <w:color w:val="231F20"/>
        </w:rPr>
        <w:t>gran</w:t>
      </w:r>
      <w:r>
        <w:rPr>
          <w:color w:val="231F20"/>
          <w:spacing w:val="-5"/>
        </w:rPr>
        <w:t> </w:t>
      </w:r>
      <w:r>
        <w:rPr>
          <w:color w:val="231F20"/>
        </w:rPr>
        <w:t>parte</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poblaciones</w:t>
      </w:r>
      <w:r>
        <w:rPr>
          <w:color w:val="231F20"/>
          <w:spacing w:val="-5"/>
        </w:rPr>
        <w:t> </w:t>
      </w:r>
      <w:r>
        <w:rPr>
          <w:color w:val="231F20"/>
        </w:rPr>
        <w:t>indígenas</w:t>
      </w:r>
      <w:r>
        <w:rPr>
          <w:color w:val="231F20"/>
          <w:spacing w:val="-6"/>
        </w:rPr>
        <w:t> </w:t>
      </w:r>
      <w:r>
        <w:rPr>
          <w:color w:val="231F20"/>
        </w:rPr>
        <w:t>rurales</w:t>
      </w:r>
      <w:r>
        <w:rPr>
          <w:color w:val="231F20"/>
          <w:spacing w:val="-5"/>
        </w:rPr>
        <w:t> </w:t>
      </w:r>
      <w:r>
        <w:rPr>
          <w:color w:val="231F20"/>
        </w:rPr>
        <w:t>se caracterizan por los elevados índices de pobreza y marginación donde el ingreso</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circulación</w:t>
      </w:r>
      <w:r>
        <w:rPr>
          <w:color w:val="231F20"/>
          <w:spacing w:val="-8"/>
        </w:rPr>
        <w:t> </w:t>
      </w:r>
      <w:r>
        <w:rPr>
          <w:color w:val="231F20"/>
        </w:rPr>
        <w:t>de</w:t>
      </w:r>
      <w:r>
        <w:rPr>
          <w:color w:val="231F20"/>
          <w:spacing w:val="-8"/>
        </w:rPr>
        <w:t> </w:t>
      </w:r>
      <w:r>
        <w:rPr>
          <w:color w:val="231F20"/>
        </w:rPr>
        <w:t>recursos</w:t>
      </w:r>
      <w:r>
        <w:rPr>
          <w:color w:val="231F20"/>
          <w:spacing w:val="-8"/>
        </w:rPr>
        <w:t> </w:t>
      </w:r>
      <w:r>
        <w:rPr>
          <w:color w:val="231F20"/>
        </w:rPr>
        <w:t>aún</w:t>
      </w:r>
      <w:r>
        <w:rPr>
          <w:color w:val="231F20"/>
          <w:spacing w:val="-8"/>
        </w:rPr>
        <w:t> </w:t>
      </w:r>
      <w:r>
        <w:rPr>
          <w:color w:val="231F20"/>
        </w:rPr>
        <w:t>reducidos,</w:t>
      </w:r>
      <w:r>
        <w:rPr>
          <w:color w:val="231F20"/>
          <w:spacing w:val="-8"/>
        </w:rPr>
        <w:t> </w:t>
      </w:r>
      <w:r>
        <w:rPr>
          <w:color w:val="231F20"/>
        </w:rPr>
        <w:t>constituyen</w:t>
      </w:r>
      <w:r>
        <w:rPr>
          <w:color w:val="231F20"/>
          <w:spacing w:val="-8"/>
        </w:rPr>
        <w:t> </w:t>
      </w:r>
      <w:r>
        <w:rPr>
          <w:color w:val="231F20"/>
        </w:rPr>
        <w:t>una</w:t>
      </w:r>
      <w:r>
        <w:rPr>
          <w:color w:val="231F20"/>
          <w:spacing w:val="-8"/>
        </w:rPr>
        <w:t> </w:t>
      </w:r>
      <w:r>
        <w:rPr>
          <w:color w:val="231F20"/>
        </w:rPr>
        <w:t>estrate- gia de sobrevivencia y de disminución de la vulnerabilidad</w:t>
      </w:r>
      <w:r>
        <w:rPr>
          <w:color w:val="231F20"/>
          <w:spacing w:val="-18"/>
        </w:rPr>
        <w:t> </w:t>
      </w:r>
      <w:r>
        <w:rPr>
          <w:color w:val="231F20"/>
        </w:rPr>
        <w:t>social.</w:t>
      </w:r>
    </w:p>
    <w:p>
      <w:pPr>
        <w:pStyle w:val="BodyText"/>
        <w:spacing w:line="247" w:lineRule="auto"/>
        <w:ind w:left="117" w:right="115" w:firstLine="283"/>
        <w:jc w:val="both"/>
      </w:pPr>
      <w:r>
        <w:rPr>
          <w:color w:val="231F20"/>
        </w:rPr>
        <w:t>Finalmente,</w:t>
      </w:r>
      <w:r>
        <w:rPr>
          <w:color w:val="231F20"/>
          <w:spacing w:val="-8"/>
        </w:rPr>
        <w:t> </w:t>
      </w:r>
      <w:r>
        <w:rPr>
          <w:color w:val="231F20"/>
        </w:rPr>
        <w:t>las</w:t>
      </w:r>
      <w:r>
        <w:rPr>
          <w:color w:val="231F20"/>
          <w:spacing w:val="-9"/>
        </w:rPr>
        <w:t> </w:t>
      </w:r>
      <w:r>
        <w:rPr>
          <w:color w:val="231F20"/>
        </w:rPr>
        <w:t>remesas</w:t>
      </w:r>
      <w:r>
        <w:rPr>
          <w:color w:val="231F20"/>
          <w:spacing w:val="-9"/>
        </w:rPr>
        <w:t> </w:t>
      </w:r>
      <w:r>
        <w:rPr>
          <w:color w:val="231F20"/>
        </w:rPr>
        <w:t>que</w:t>
      </w:r>
      <w:r>
        <w:rPr>
          <w:color w:val="231F20"/>
          <w:spacing w:val="-9"/>
        </w:rPr>
        <w:t> </w:t>
      </w:r>
      <w:r>
        <w:rPr>
          <w:color w:val="231F20"/>
        </w:rPr>
        <w:t>tienen</w:t>
      </w:r>
      <w:r>
        <w:rPr>
          <w:color w:val="231F20"/>
          <w:spacing w:val="-9"/>
        </w:rPr>
        <w:t> </w:t>
      </w:r>
      <w:r>
        <w:rPr>
          <w:color w:val="231F20"/>
        </w:rPr>
        <w:t>como</w:t>
      </w:r>
      <w:r>
        <w:rPr>
          <w:color w:val="231F20"/>
          <w:spacing w:val="-9"/>
        </w:rPr>
        <w:t> </w:t>
      </w:r>
      <w:r>
        <w:rPr>
          <w:color w:val="231F20"/>
        </w:rPr>
        <w:t>destino</w:t>
      </w:r>
      <w:r>
        <w:rPr>
          <w:color w:val="231F20"/>
          <w:spacing w:val="-9"/>
        </w:rPr>
        <w:t> </w:t>
      </w:r>
      <w:r>
        <w:rPr>
          <w:color w:val="231F20"/>
        </w:rPr>
        <w:t>las</w:t>
      </w:r>
      <w:r>
        <w:rPr>
          <w:color w:val="231F20"/>
          <w:spacing w:val="-9"/>
        </w:rPr>
        <w:t> </w:t>
      </w:r>
      <w:r>
        <w:rPr>
          <w:color w:val="231F20"/>
        </w:rPr>
        <w:t>comunidades</w:t>
      </w:r>
      <w:r>
        <w:rPr>
          <w:color w:val="231F20"/>
          <w:spacing w:val="-9"/>
        </w:rPr>
        <w:t> </w:t>
      </w:r>
      <w:r>
        <w:rPr>
          <w:color w:val="231F20"/>
        </w:rPr>
        <w:t>indí- genas cumplen una función sociocultural para mantener y reforzar prácti- cas</w:t>
      </w:r>
      <w:r>
        <w:rPr>
          <w:color w:val="231F20"/>
          <w:spacing w:val="-8"/>
        </w:rPr>
        <w:t> </w:t>
      </w:r>
      <w:r>
        <w:rPr>
          <w:color w:val="231F20"/>
        </w:rPr>
        <w:t>y</w:t>
      </w:r>
      <w:r>
        <w:rPr>
          <w:color w:val="231F20"/>
          <w:spacing w:val="-8"/>
        </w:rPr>
        <w:t> </w:t>
      </w:r>
      <w:r>
        <w:rPr>
          <w:color w:val="231F20"/>
        </w:rPr>
        <w:t>valores</w:t>
      </w:r>
      <w:r>
        <w:rPr>
          <w:color w:val="231F20"/>
          <w:spacing w:val="-8"/>
        </w:rPr>
        <w:t> </w:t>
      </w:r>
      <w:r>
        <w:rPr>
          <w:color w:val="231F20"/>
        </w:rPr>
        <w:t>tradicionales,</w:t>
      </w:r>
      <w:r>
        <w:rPr>
          <w:color w:val="231F20"/>
          <w:spacing w:val="-9"/>
        </w:rPr>
        <w:t> </w:t>
      </w:r>
      <w:r>
        <w:rPr>
          <w:color w:val="231F20"/>
        </w:rPr>
        <w:t>fortaleciendo</w:t>
      </w:r>
      <w:r>
        <w:rPr>
          <w:color w:val="231F20"/>
          <w:spacing w:val="-8"/>
        </w:rPr>
        <w:t> </w:t>
      </w:r>
      <w:r>
        <w:rPr>
          <w:color w:val="231F20"/>
        </w:rPr>
        <w:t>la</w:t>
      </w:r>
      <w:r>
        <w:rPr>
          <w:color w:val="231F20"/>
          <w:spacing w:val="-8"/>
        </w:rPr>
        <w:t> </w:t>
      </w:r>
      <w:r>
        <w:rPr>
          <w:color w:val="231F20"/>
        </w:rPr>
        <w:t>cohesión</w:t>
      </w:r>
      <w:r>
        <w:rPr>
          <w:color w:val="231F20"/>
          <w:spacing w:val="-8"/>
        </w:rPr>
        <w:t> </w:t>
      </w:r>
      <w:r>
        <w:rPr>
          <w:color w:val="231F20"/>
        </w:rPr>
        <w:t>social,</w:t>
      </w:r>
      <w:r>
        <w:rPr>
          <w:color w:val="231F20"/>
          <w:spacing w:val="-8"/>
        </w:rPr>
        <w:t> </w:t>
      </w:r>
      <w:r>
        <w:rPr>
          <w:color w:val="231F20"/>
        </w:rPr>
        <w:t>cultura</w:t>
      </w:r>
      <w:r>
        <w:rPr>
          <w:color w:val="231F20"/>
          <w:spacing w:val="-8"/>
        </w:rPr>
        <w:t> </w:t>
      </w:r>
      <w:r>
        <w:rPr>
          <w:color w:val="231F20"/>
        </w:rPr>
        <w:t>e</w:t>
      </w:r>
      <w:r>
        <w:rPr>
          <w:color w:val="231F20"/>
          <w:spacing w:val="-8"/>
        </w:rPr>
        <w:t> </w:t>
      </w:r>
      <w:r>
        <w:rPr>
          <w:color w:val="231F20"/>
        </w:rPr>
        <w:t>iden- tidad de los pueblos que se insertan en los circuitos</w:t>
      </w:r>
      <w:r>
        <w:rPr>
          <w:color w:val="231F20"/>
          <w:spacing w:val="-7"/>
        </w:rPr>
        <w:t> </w:t>
      </w:r>
      <w:r>
        <w:rPr>
          <w:color w:val="231F20"/>
        </w:rPr>
        <w:t>migratorios.</w:t>
      </w:r>
    </w:p>
    <w:p>
      <w:pPr>
        <w:pStyle w:val="BodyText"/>
        <w:spacing w:line="247" w:lineRule="auto"/>
        <w:ind w:left="117" w:right="114" w:firstLine="283"/>
        <w:jc w:val="both"/>
      </w:pPr>
      <w:r>
        <w:rPr>
          <w:color w:val="231F20"/>
        </w:rPr>
        <w:t>De</w:t>
      </w:r>
      <w:r>
        <w:rPr>
          <w:color w:val="231F20"/>
          <w:spacing w:val="-8"/>
        </w:rPr>
        <w:t> </w:t>
      </w:r>
      <w:r>
        <w:rPr>
          <w:color w:val="231F20"/>
        </w:rPr>
        <w:t>esta</w:t>
      </w:r>
      <w:r>
        <w:rPr>
          <w:color w:val="231F20"/>
          <w:spacing w:val="-8"/>
        </w:rPr>
        <w:t> </w:t>
      </w:r>
      <w:r>
        <w:rPr>
          <w:color w:val="231F20"/>
        </w:rPr>
        <w:t>manera,</w:t>
      </w:r>
      <w:r>
        <w:rPr>
          <w:color w:val="231F20"/>
          <w:spacing w:val="-8"/>
        </w:rPr>
        <w:t> </w:t>
      </w:r>
      <w:r>
        <w:rPr>
          <w:color w:val="231F20"/>
        </w:rPr>
        <w:t>la</w:t>
      </w:r>
      <w:r>
        <w:rPr>
          <w:color w:val="231F20"/>
          <w:spacing w:val="-8"/>
        </w:rPr>
        <w:t> </w:t>
      </w:r>
      <w:r>
        <w:rPr>
          <w:color w:val="231F20"/>
        </w:rPr>
        <w:t>etnicidad</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cultura</w:t>
      </w:r>
      <w:r>
        <w:rPr>
          <w:color w:val="231F20"/>
          <w:spacing w:val="-8"/>
        </w:rPr>
        <w:t> </w:t>
      </w:r>
      <w:r>
        <w:rPr>
          <w:color w:val="231F20"/>
        </w:rPr>
        <w:t>constituyen</w:t>
      </w:r>
      <w:r>
        <w:rPr>
          <w:color w:val="231F20"/>
          <w:spacing w:val="-8"/>
        </w:rPr>
        <w:t> </w:t>
      </w:r>
      <w:r>
        <w:rPr>
          <w:color w:val="231F20"/>
        </w:rPr>
        <w:t>elementos</w:t>
      </w:r>
      <w:r>
        <w:rPr>
          <w:color w:val="231F20"/>
          <w:spacing w:val="-8"/>
        </w:rPr>
        <w:t> </w:t>
      </w:r>
      <w:r>
        <w:rPr>
          <w:color w:val="231F20"/>
        </w:rPr>
        <w:t>diferen- ciadores</w:t>
      </w:r>
      <w:r>
        <w:rPr>
          <w:color w:val="231F20"/>
          <w:spacing w:val="-12"/>
        </w:rPr>
        <w:t> </w:t>
      </w:r>
      <w:r>
        <w:rPr>
          <w:color w:val="231F20"/>
        </w:rPr>
        <w:t>del</w:t>
      </w:r>
      <w:r>
        <w:rPr>
          <w:color w:val="231F20"/>
          <w:spacing w:val="-11"/>
        </w:rPr>
        <w:t> </w:t>
      </w:r>
      <w:r>
        <w:rPr>
          <w:color w:val="231F20"/>
        </w:rPr>
        <w:t>proceso</w:t>
      </w:r>
      <w:r>
        <w:rPr>
          <w:color w:val="231F20"/>
          <w:spacing w:val="-11"/>
        </w:rPr>
        <w:t> </w:t>
      </w:r>
      <w:r>
        <w:rPr>
          <w:color w:val="231F20"/>
        </w:rPr>
        <w:t>migratorio</w:t>
      </w:r>
      <w:r>
        <w:rPr>
          <w:color w:val="231F20"/>
          <w:spacing w:val="-11"/>
        </w:rPr>
        <w:t> </w:t>
      </w:r>
      <w:r>
        <w:rPr>
          <w:color w:val="231F20"/>
        </w:rPr>
        <w:t>indígena</w:t>
      </w:r>
      <w:r>
        <w:rPr>
          <w:color w:val="231F20"/>
          <w:spacing w:val="-12"/>
        </w:rPr>
        <w:t> </w:t>
      </w:r>
      <w:r>
        <w:rPr>
          <w:color w:val="231F20"/>
        </w:rPr>
        <w:t>y</w:t>
      </w:r>
      <w:r>
        <w:rPr>
          <w:color w:val="231F20"/>
          <w:spacing w:val="-11"/>
        </w:rPr>
        <w:t> </w:t>
      </w:r>
      <w:r>
        <w:rPr>
          <w:color w:val="231F20"/>
        </w:rPr>
        <w:t>del</w:t>
      </w:r>
      <w:r>
        <w:rPr>
          <w:color w:val="231F20"/>
          <w:spacing w:val="-11"/>
        </w:rPr>
        <w:t> </w:t>
      </w:r>
      <w:r>
        <w:rPr>
          <w:color w:val="231F20"/>
        </w:rPr>
        <w:t>envío</w:t>
      </w:r>
      <w:r>
        <w:rPr>
          <w:color w:val="231F20"/>
          <w:spacing w:val="-12"/>
        </w:rPr>
        <w:t> </w:t>
      </w:r>
      <w:r>
        <w:rPr>
          <w:color w:val="231F20"/>
        </w:rPr>
        <w:t>de</w:t>
      </w:r>
      <w:r>
        <w:rPr>
          <w:color w:val="231F20"/>
          <w:spacing w:val="-11"/>
        </w:rPr>
        <w:t> </w:t>
      </w:r>
      <w:r>
        <w:rPr>
          <w:color w:val="231F20"/>
        </w:rPr>
        <w:t>remesas</w:t>
      </w:r>
      <w:r>
        <w:rPr>
          <w:color w:val="231F20"/>
          <w:spacing w:val="-11"/>
        </w:rPr>
        <w:t> </w:t>
      </w:r>
      <w:r>
        <w:rPr>
          <w:color w:val="231F20"/>
        </w:rPr>
        <w:t>porque</w:t>
      </w:r>
      <w:r>
        <w:rPr>
          <w:color w:val="231F20"/>
          <w:spacing w:val="-11"/>
        </w:rPr>
        <w:t> </w:t>
      </w:r>
      <w:r>
        <w:rPr>
          <w:color w:val="231F20"/>
        </w:rPr>
        <w:t>es- tas poblaciones establecen mediaciones que les son propias a su</w:t>
      </w:r>
      <w:r>
        <w:rPr>
          <w:color w:val="231F20"/>
          <w:spacing w:val="-25"/>
        </w:rPr>
        <w:t> </w:t>
      </w:r>
      <w:r>
        <w:rPr>
          <w:color w:val="231F20"/>
        </w:rPr>
        <w:t>condición de grupo, por el tipo de redes sociales familiares, grupales y comunitarias que desarrollan, así como las tradiciones y costumbres</w:t>
      </w:r>
      <w:r>
        <w:rPr>
          <w:color w:val="231F20"/>
          <w:spacing w:val="-5"/>
        </w:rPr>
        <w:t> </w:t>
      </w:r>
      <w:r>
        <w:rPr>
          <w:color w:val="231F20"/>
        </w:rPr>
        <w:t>inherentes.</w:t>
      </w:r>
    </w:p>
    <w:p>
      <w:pPr>
        <w:pStyle w:val="Heading3"/>
      </w:pPr>
      <w:r>
        <w:rPr>
          <w:color w:val="231F20"/>
        </w:rPr>
        <w:t>Las remesas en México: recepción e importancia</w:t>
      </w:r>
    </w:p>
    <w:p>
      <w:pPr>
        <w:pStyle w:val="BodyText"/>
        <w:spacing w:line="247" w:lineRule="auto" w:before="172"/>
        <w:ind w:left="117" w:right="115"/>
        <w:jc w:val="both"/>
      </w:pPr>
      <w:r>
        <w:rPr>
          <w:color w:val="231F20"/>
        </w:rPr>
        <w:t>Las remesas que se generan a nivel internacional tienen patrones espacia- les; se distinguen dos grandes corredores desde Estados Unidos y Canadá, se desprenden tres flujos que van hacia Latinoamérica (36.3 por ciento), Asia oriental (30.1 por ciento) y Europa (17.3 por ciento) otro de Europa central;</w:t>
      </w:r>
      <w:r>
        <w:rPr>
          <w:color w:val="231F20"/>
          <w:spacing w:val="-11"/>
        </w:rPr>
        <w:t> </w:t>
      </w:r>
      <w:r>
        <w:rPr>
          <w:color w:val="231F20"/>
        </w:rPr>
        <w:t>otros</w:t>
      </w:r>
      <w:r>
        <w:rPr>
          <w:color w:val="231F20"/>
          <w:spacing w:val="-11"/>
        </w:rPr>
        <w:t> </w:t>
      </w:r>
      <w:r>
        <w:rPr>
          <w:color w:val="231F20"/>
        </w:rPr>
        <w:t>tres</w:t>
      </w:r>
      <w:r>
        <w:rPr>
          <w:color w:val="231F20"/>
          <w:spacing w:val="-11"/>
        </w:rPr>
        <w:t> </w:t>
      </w:r>
      <w:r>
        <w:rPr>
          <w:color w:val="231F20"/>
        </w:rPr>
        <w:t>flujos</w:t>
      </w:r>
      <w:r>
        <w:rPr>
          <w:color w:val="231F20"/>
          <w:spacing w:val="-11"/>
        </w:rPr>
        <w:t> </w:t>
      </w:r>
      <w:r>
        <w:rPr>
          <w:color w:val="231F20"/>
        </w:rPr>
        <w:t>que</w:t>
      </w:r>
      <w:r>
        <w:rPr>
          <w:color w:val="231F20"/>
          <w:spacing w:val="-11"/>
        </w:rPr>
        <w:t> </w:t>
      </w:r>
      <w:r>
        <w:rPr>
          <w:color w:val="231F20"/>
        </w:rPr>
        <w:t>van</w:t>
      </w:r>
      <w:r>
        <w:rPr>
          <w:color w:val="231F20"/>
          <w:spacing w:val="-11"/>
        </w:rPr>
        <w:t> </w:t>
      </w:r>
      <w:r>
        <w:rPr>
          <w:color w:val="231F20"/>
        </w:rPr>
        <w:t>a</w:t>
      </w:r>
      <w:r>
        <w:rPr>
          <w:color w:val="231F20"/>
          <w:spacing w:val="-23"/>
        </w:rPr>
        <w:t> </w:t>
      </w:r>
      <w:r>
        <w:rPr>
          <w:color w:val="231F20"/>
        </w:rPr>
        <w:t>Asia</w:t>
      </w:r>
      <w:r>
        <w:rPr>
          <w:color w:val="231F20"/>
          <w:spacing w:val="-11"/>
        </w:rPr>
        <w:t> </w:t>
      </w:r>
      <w:r>
        <w:rPr>
          <w:color w:val="231F20"/>
        </w:rPr>
        <w:t>con</w:t>
      </w:r>
      <w:r>
        <w:rPr>
          <w:color w:val="231F20"/>
          <w:spacing w:val="-11"/>
        </w:rPr>
        <w:t> </w:t>
      </w:r>
      <w:r>
        <w:rPr>
          <w:color w:val="231F20"/>
        </w:rPr>
        <w:t>15.9</w:t>
      </w:r>
      <w:r>
        <w:rPr>
          <w:color w:val="231F20"/>
          <w:spacing w:val="-11"/>
        </w:rPr>
        <w:t> </w:t>
      </w:r>
      <w:r>
        <w:rPr>
          <w:color w:val="231F20"/>
        </w:rPr>
        <w:t>por</w:t>
      </w:r>
      <w:r>
        <w:rPr>
          <w:color w:val="231F20"/>
          <w:spacing w:val="-11"/>
        </w:rPr>
        <w:t> </w:t>
      </w:r>
      <w:r>
        <w:rPr>
          <w:color w:val="231F20"/>
        </w:rPr>
        <w:t>ciento,</w:t>
      </w:r>
      <w:r>
        <w:rPr>
          <w:color w:val="231F20"/>
          <w:spacing w:val="-11"/>
        </w:rPr>
        <w:t> </w:t>
      </w:r>
      <w:r>
        <w:rPr>
          <w:color w:val="231F20"/>
        </w:rPr>
        <w:t>África</w:t>
      </w:r>
      <w:r>
        <w:rPr>
          <w:color w:val="231F20"/>
          <w:spacing w:val="-11"/>
        </w:rPr>
        <w:t> </w:t>
      </w:r>
      <w:r>
        <w:rPr>
          <w:color w:val="231F20"/>
        </w:rPr>
        <w:t>con</w:t>
      </w:r>
      <w:r>
        <w:rPr>
          <w:color w:val="231F20"/>
          <w:spacing w:val="-11"/>
        </w:rPr>
        <w:t> </w:t>
      </w:r>
      <w:r>
        <w:rPr>
          <w:color w:val="231F20"/>
        </w:rPr>
        <w:t>10.3 por ciento y el 4.4 por ciento se dirige a Latinoamérica (ver Mapa</w:t>
      </w:r>
      <w:r>
        <w:rPr>
          <w:color w:val="231F20"/>
          <w:spacing w:val="-7"/>
        </w:rPr>
        <w:t> </w:t>
      </w:r>
      <w:r>
        <w:rPr>
          <w:color w:val="231F20"/>
        </w:rPr>
        <w:t>1).</w:t>
      </w:r>
    </w:p>
    <w:p>
      <w:pPr>
        <w:spacing w:after="0" w:line="247" w:lineRule="auto"/>
        <w:jc w:val="both"/>
        <w:sectPr>
          <w:pgSz w:w="9360" w:h="13040"/>
          <w:pgMar w:header="0" w:footer="496" w:top="800" w:bottom="680" w:left="1300" w:right="1300"/>
        </w:sectPr>
      </w:pPr>
    </w:p>
    <w:p>
      <w:pPr>
        <w:pStyle w:val="BodyText"/>
        <w:rPr>
          <w:sz w:val="20"/>
        </w:rPr>
      </w:pPr>
      <w:r>
        <w:rPr/>
        <w:pict>
          <v:shape style="position:absolute;margin-left:598.624939pt;margin-top:87.044502pt;width:12pt;height:310.8pt;mso-position-horizontal-relative:page;mso-position-vertical-relative:page;z-index:7480" type="#_x0000_t202" filled="false" stroked="false">
            <v:textbox inset="0,0,0,0" style="layout-flow:vertical">
              <w:txbxContent>
                <w:p>
                  <w:pPr>
                    <w:spacing w:line="208" w:lineRule="exact" w:before="0"/>
                    <w:ind w:left="20" w:right="0" w:firstLine="0"/>
                    <w:jc w:val="left"/>
                    <w:rPr>
                      <w:rFonts w:ascii="Arial" w:hAnsi="Arial"/>
                      <w:sz w:val="20"/>
                    </w:rPr>
                  </w:pPr>
                  <w:r>
                    <w:rPr>
                      <w:rFonts w:ascii="Arial" w:hAnsi="Arial"/>
                      <w:color w:val="231F20"/>
                      <w:w w:val="66"/>
                      <w:sz w:val="20"/>
                    </w:rPr>
                    <w:t>Las</w:t>
                  </w:r>
                  <w:r>
                    <w:rPr>
                      <w:rFonts w:ascii="Arial" w:hAnsi="Arial"/>
                      <w:color w:val="231F20"/>
                      <w:spacing w:val="-1"/>
                      <w:sz w:val="20"/>
                    </w:rPr>
                    <w:t> </w:t>
                  </w:r>
                  <w:r>
                    <w:rPr>
                      <w:rFonts w:ascii="Arial" w:hAnsi="Arial"/>
                      <w:color w:val="231F20"/>
                      <w:spacing w:val="-1"/>
                      <w:w w:val="68"/>
                      <w:sz w:val="20"/>
                    </w:rPr>
                    <w:t>remesa</w:t>
                  </w:r>
                  <w:r>
                    <w:rPr>
                      <w:rFonts w:ascii="Arial" w:hAnsi="Arial"/>
                      <w:color w:val="231F20"/>
                      <w:w w:val="68"/>
                      <w:sz w:val="20"/>
                    </w:rPr>
                    <w:t>s</w:t>
                  </w:r>
                  <w:r>
                    <w:rPr>
                      <w:rFonts w:ascii="Arial" w:hAnsi="Arial"/>
                      <w:color w:val="231F20"/>
                      <w:sz w:val="20"/>
                    </w:rPr>
                    <w:t> </w:t>
                  </w:r>
                  <w:r>
                    <w:rPr>
                      <w:rFonts w:ascii="Arial" w:hAnsi="Arial"/>
                      <w:color w:val="231F20"/>
                      <w:w w:val="72"/>
                      <w:sz w:val="20"/>
                    </w:rPr>
                    <w:t>indígenas</w:t>
                  </w:r>
                  <w:r>
                    <w:rPr>
                      <w:rFonts w:ascii="Arial" w:hAnsi="Arial"/>
                      <w:color w:val="231F20"/>
                      <w:spacing w:val="-1"/>
                      <w:sz w:val="20"/>
                    </w:rPr>
                    <w:t> </w:t>
                  </w:r>
                  <w:r>
                    <w:rPr>
                      <w:rFonts w:ascii="Arial" w:hAnsi="Arial"/>
                      <w:color w:val="231F20"/>
                      <w:spacing w:val="-1"/>
                      <w:w w:val="67"/>
                      <w:sz w:val="20"/>
                    </w:rPr>
                    <w:t>com</w:t>
                  </w:r>
                  <w:r>
                    <w:rPr>
                      <w:rFonts w:ascii="Arial" w:hAnsi="Arial"/>
                      <w:color w:val="231F20"/>
                      <w:w w:val="67"/>
                      <w:sz w:val="20"/>
                    </w:rPr>
                    <w:t>o</w:t>
                  </w:r>
                  <w:r>
                    <w:rPr>
                      <w:rFonts w:ascii="Arial" w:hAnsi="Arial"/>
                      <w:color w:val="231F20"/>
                      <w:spacing w:val="-1"/>
                      <w:sz w:val="20"/>
                    </w:rPr>
                    <w:t> </w:t>
                  </w:r>
                  <w:r>
                    <w:rPr>
                      <w:rFonts w:ascii="Arial" w:hAnsi="Arial"/>
                      <w:color w:val="231F20"/>
                      <w:spacing w:val="-1"/>
                      <w:w w:val="71"/>
                      <w:sz w:val="20"/>
                    </w:rPr>
                    <w:t>complement</w:t>
                  </w:r>
                  <w:r>
                    <w:rPr>
                      <w:rFonts w:ascii="Arial" w:hAnsi="Arial"/>
                      <w:color w:val="231F20"/>
                      <w:w w:val="71"/>
                      <w:sz w:val="20"/>
                    </w:rPr>
                    <w:t>o</w:t>
                  </w:r>
                  <w:r>
                    <w:rPr>
                      <w:rFonts w:ascii="Arial" w:hAnsi="Arial"/>
                      <w:color w:val="231F20"/>
                      <w:sz w:val="20"/>
                    </w:rPr>
                    <w:t> </w:t>
                  </w:r>
                  <w:r>
                    <w:rPr>
                      <w:rFonts w:ascii="Arial" w:hAnsi="Arial"/>
                      <w:color w:val="231F20"/>
                      <w:spacing w:val="-1"/>
                      <w:w w:val="78"/>
                      <w:sz w:val="20"/>
                    </w:rPr>
                    <w:t>a</w:t>
                  </w:r>
                  <w:r>
                    <w:rPr>
                      <w:rFonts w:ascii="Arial" w:hAnsi="Arial"/>
                      <w:color w:val="231F20"/>
                      <w:w w:val="78"/>
                      <w:sz w:val="20"/>
                    </w:rPr>
                    <w:t>l</w:t>
                  </w:r>
                  <w:r>
                    <w:rPr>
                      <w:rFonts w:ascii="Arial" w:hAnsi="Arial"/>
                      <w:color w:val="231F20"/>
                      <w:spacing w:val="-1"/>
                      <w:sz w:val="20"/>
                    </w:rPr>
                    <w:t> </w:t>
                  </w:r>
                  <w:r>
                    <w:rPr>
                      <w:rFonts w:ascii="Arial" w:hAnsi="Arial"/>
                      <w:color w:val="231F20"/>
                      <w:w w:val="73"/>
                      <w:sz w:val="20"/>
                    </w:rPr>
                    <w:t>ingreso</w:t>
                  </w:r>
                  <w:r>
                    <w:rPr>
                      <w:rFonts w:ascii="Arial" w:hAnsi="Arial"/>
                      <w:color w:val="231F20"/>
                      <w:spacing w:val="-1"/>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67"/>
                      <w:sz w:val="20"/>
                    </w:rPr>
                    <w:t>sus</w:t>
                  </w:r>
                  <w:r>
                    <w:rPr>
                      <w:rFonts w:ascii="Arial" w:hAnsi="Arial"/>
                      <w:color w:val="231F20"/>
                      <w:spacing w:val="-1"/>
                      <w:sz w:val="20"/>
                    </w:rPr>
                    <w:t> </w:t>
                  </w:r>
                  <w:r>
                    <w:rPr>
                      <w:rFonts w:ascii="Arial" w:hAnsi="Arial"/>
                      <w:color w:val="231F20"/>
                      <w:w w:val="72"/>
                      <w:sz w:val="20"/>
                    </w:rPr>
                    <w:t>mecanismos...</w:t>
                  </w:r>
                  <w:r>
                    <w:rPr>
                      <w:rFonts w:ascii="Arial" w:hAnsi="Arial"/>
                      <w:color w:val="231F20"/>
                      <w:spacing w:val="-1"/>
                      <w:sz w:val="20"/>
                    </w:rPr>
                    <w:t> </w:t>
                  </w:r>
                  <w:r>
                    <w:rPr>
                      <w:rFonts w:ascii="Arial" w:hAnsi="Arial"/>
                      <w:color w:val="231F20"/>
                      <w:spacing w:val="-1"/>
                      <w:w w:val="99"/>
                      <w:sz w:val="20"/>
                    </w:rPr>
                    <w:t>/</w:t>
                  </w:r>
                  <w:r>
                    <w:rPr>
                      <w:rFonts w:ascii="Arial" w:hAnsi="Arial"/>
                      <w:color w:val="231F20"/>
                      <w:w w:val="47"/>
                      <w:sz w:val="20"/>
                    </w:rPr>
                    <w:t>César</w:t>
                  </w:r>
                  <w:r>
                    <w:rPr>
                      <w:rFonts w:ascii="Arial" w:hAnsi="Arial"/>
                      <w:color w:val="231F20"/>
                      <w:spacing w:val="-17"/>
                      <w:sz w:val="20"/>
                    </w:rPr>
                    <w:t> </w:t>
                  </w:r>
                  <w:r>
                    <w:rPr>
                      <w:rFonts w:ascii="Arial" w:hAnsi="Arial"/>
                      <w:color w:val="231F20"/>
                      <w:spacing w:val="-1"/>
                      <w:w w:val="52"/>
                      <w:sz w:val="20"/>
                    </w:rPr>
                    <w:t>Raú</w:t>
                  </w:r>
                  <w:r>
                    <w:rPr>
                      <w:rFonts w:ascii="Arial" w:hAnsi="Arial"/>
                      <w:color w:val="231F20"/>
                      <w:w w:val="52"/>
                      <w:sz w:val="20"/>
                    </w:rPr>
                    <w:t>l</w:t>
                  </w:r>
                  <w:r>
                    <w:rPr>
                      <w:rFonts w:ascii="Arial" w:hAnsi="Arial"/>
                      <w:color w:val="231F20"/>
                      <w:spacing w:val="-17"/>
                      <w:sz w:val="20"/>
                    </w:rPr>
                    <w:t> </w:t>
                  </w:r>
                  <w:r>
                    <w:rPr>
                      <w:rFonts w:ascii="Arial" w:hAnsi="Arial"/>
                      <w:color w:val="231F20"/>
                      <w:w w:val="52"/>
                      <w:sz w:val="20"/>
                    </w:rPr>
                    <w:t>Pérez-Marcial</w:t>
                  </w:r>
                </w:p>
              </w:txbxContent>
            </v:textbox>
            <w10:wrap type="none"/>
          </v:shape>
        </w:pict>
      </w:r>
      <w:r>
        <w:rPr/>
        <w:pict>
          <v:shape style="position:absolute;margin-left:23.820354pt;margin-top:222.936996pt;width:12pt;height:21.25pt;mso-position-horizontal-relative:page;mso-position-vertical-relative:page;z-index:7504" type="#_x0000_t202" filled="false" stroked="false">
            <v:textbox inset="0,0,0,0" style="layout-flow:vertical">
              <w:txbxContent>
                <w:p>
                  <w:pPr>
                    <w:spacing w:line="214" w:lineRule="exact" w:before="0"/>
                    <w:ind w:left="20" w:right="-182" w:firstLine="0"/>
                    <w:jc w:val="left"/>
                    <w:rPr>
                      <w:rFonts w:ascii="Verdana"/>
                      <w:sz w:val="20"/>
                    </w:rPr>
                  </w:pPr>
                  <w:r>
                    <w:rPr>
                      <w:rFonts w:ascii="Verdana"/>
                      <w:color w:val="231F20"/>
                      <w:spacing w:val="-1"/>
                      <w:w w:val="100"/>
                      <w:sz w:val="20"/>
                    </w:rPr>
                    <w:t>293</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p>
    <w:p>
      <w:pPr>
        <w:spacing w:before="0"/>
        <w:ind w:left="310" w:right="0" w:firstLine="0"/>
        <w:jc w:val="left"/>
        <w:rPr>
          <w:sz w:val="20"/>
        </w:rPr>
      </w:pPr>
      <w:r>
        <w:rPr>
          <w:color w:val="231F20"/>
          <w:sz w:val="20"/>
        </w:rPr>
        <w:t>Mapa 1. Principales corredores internacionales, 2010</w:t>
      </w:r>
    </w:p>
    <w:p>
      <w:pPr>
        <w:pStyle w:val="BodyText"/>
        <w:spacing w:before="6"/>
        <w:rPr>
          <w:sz w:val="13"/>
        </w:rPr>
      </w:pPr>
      <w:r>
        <w:rPr/>
        <w:pict>
          <v:group style="position:absolute;margin-left:95.802101pt;margin-top:9.742601pt;width:458.9pt;height:259.45pt;mso-position-horizontal-relative:page;mso-position-vertical-relative:paragraph;z-index:7456;mso-wrap-distance-left:0;mso-wrap-distance-right:0" coordorigin="1916,195" coordsize="9178,5189">
            <v:shape style="position:absolute;left:1921;top:200;width:9168;height:5178" type="#_x0000_t75" stroked="false">
              <v:imagedata r:id="rId209" o:title=""/>
            </v:shape>
            <v:rect style="position:absolute;left:1919;top:197;width:9173;height:5183" filled="false" stroked="true" strokeweight=".25pt" strokecolor="#000000"/>
            <w10:wrap type="topAndBottom"/>
          </v:group>
        </w:pict>
      </w:r>
    </w:p>
    <w:p>
      <w:pPr>
        <w:spacing w:before="34"/>
        <w:ind w:left="310" w:right="0" w:firstLine="0"/>
        <w:jc w:val="left"/>
        <w:rPr>
          <w:sz w:val="17"/>
        </w:rPr>
      </w:pPr>
      <w:r>
        <w:rPr>
          <w:color w:val="231F20"/>
          <w:sz w:val="17"/>
        </w:rPr>
        <w:t>Fuente: elaboración propia a partir de Banco Mundial.</w:t>
      </w:r>
    </w:p>
    <w:p>
      <w:pPr>
        <w:spacing w:after="0"/>
        <w:jc w:val="left"/>
        <w:rPr>
          <w:sz w:val="17"/>
        </w:rPr>
        <w:sectPr>
          <w:footerReference w:type="default" r:id="rId208"/>
          <w:pgSz w:w="13040" w:h="9360" w:orient="landscape"/>
          <w:pgMar w:footer="0" w:header="0" w:top="0" w:bottom="280" w:left="1640" w:right="1840"/>
        </w:sectPr>
      </w:pPr>
    </w:p>
    <w:p>
      <w:pPr>
        <w:tabs>
          <w:tab w:pos="5536" w:val="left" w:leader="none"/>
        </w:tabs>
        <w:spacing w:before="48"/>
        <w:ind w:left="400" w:right="117" w:hanging="295"/>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firstLine="283"/>
        <w:jc w:val="both"/>
      </w:pPr>
      <w:r>
        <w:rPr>
          <w:color w:val="231F20"/>
        </w:rPr>
        <w:t>De</w:t>
      </w:r>
      <w:r>
        <w:rPr>
          <w:color w:val="231F20"/>
          <w:spacing w:val="-7"/>
        </w:rPr>
        <w:t> </w:t>
      </w:r>
      <w:r>
        <w:rPr>
          <w:color w:val="231F20"/>
        </w:rPr>
        <w:t>acuerdo</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Banco</w:t>
      </w:r>
      <w:r>
        <w:rPr>
          <w:color w:val="231F20"/>
          <w:spacing w:val="-7"/>
        </w:rPr>
        <w:t> </w:t>
      </w:r>
      <w:r>
        <w:rPr>
          <w:color w:val="231F20"/>
        </w:rPr>
        <w:t>Mundial,</w:t>
      </w:r>
      <w:r>
        <w:rPr>
          <w:color w:val="231F20"/>
          <w:spacing w:val="-7"/>
        </w:rPr>
        <w:t> </w:t>
      </w:r>
      <w:r>
        <w:rPr>
          <w:color w:val="231F20"/>
        </w:rPr>
        <w:t>el</w:t>
      </w:r>
      <w:r>
        <w:rPr>
          <w:color w:val="231F20"/>
          <w:spacing w:val="-7"/>
        </w:rPr>
        <w:t> </w:t>
      </w:r>
      <w:r>
        <w:rPr>
          <w:color w:val="231F20"/>
        </w:rPr>
        <w:t>flujo</w:t>
      </w:r>
      <w:r>
        <w:rPr>
          <w:color w:val="231F20"/>
          <w:spacing w:val="-7"/>
        </w:rPr>
        <w:t> </w:t>
      </w:r>
      <w:r>
        <w:rPr>
          <w:color w:val="231F20"/>
        </w:rPr>
        <w:t>mundial</w:t>
      </w:r>
      <w:r>
        <w:rPr>
          <w:color w:val="231F20"/>
          <w:spacing w:val="-7"/>
        </w:rPr>
        <w:t> </w:t>
      </w:r>
      <w:r>
        <w:rPr>
          <w:color w:val="231F20"/>
        </w:rPr>
        <w:t>de</w:t>
      </w:r>
      <w:r>
        <w:rPr>
          <w:color w:val="231F20"/>
          <w:spacing w:val="-7"/>
        </w:rPr>
        <w:t> </w:t>
      </w:r>
      <w:r>
        <w:rPr>
          <w:color w:val="231F20"/>
        </w:rPr>
        <w:t>remesas</w:t>
      </w:r>
      <w:r>
        <w:rPr>
          <w:color w:val="231F20"/>
          <w:spacing w:val="-7"/>
        </w:rPr>
        <w:t> </w:t>
      </w:r>
      <w:r>
        <w:rPr>
          <w:color w:val="231F20"/>
        </w:rPr>
        <w:t>en</w:t>
      </w:r>
      <w:r>
        <w:rPr>
          <w:color w:val="231F20"/>
          <w:spacing w:val="-7"/>
        </w:rPr>
        <w:t> </w:t>
      </w:r>
      <w:r>
        <w:rPr>
          <w:color w:val="231F20"/>
        </w:rPr>
        <w:t>2010 fue de 440 mil millones de dólares y sus estimaciones se aproximan a los 500</w:t>
      </w:r>
      <w:r>
        <w:rPr>
          <w:color w:val="231F20"/>
          <w:spacing w:val="-11"/>
        </w:rPr>
        <w:t> </w:t>
      </w:r>
      <w:r>
        <w:rPr>
          <w:color w:val="231F20"/>
        </w:rPr>
        <w:t>mil</w:t>
      </w:r>
      <w:r>
        <w:rPr>
          <w:color w:val="231F20"/>
          <w:spacing w:val="-12"/>
        </w:rPr>
        <w:t> </w:t>
      </w:r>
      <w:r>
        <w:rPr>
          <w:color w:val="231F20"/>
        </w:rPr>
        <w:t>millones</w:t>
      </w:r>
      <w:r>
        <w:rPr>
          <w:color w:val="231F20"/>
          <w:spacing w:val="-11"/>
        </w:rPr>
        <w:t> </w:t>
      </w:r>
      <w:r>
        <w:rPr>
          <w:color w:val="231F20"/>
        </w:rPr>
        <w:t>de</w:t>
      </w:r>
      <w:r>
        <w:rPr>
          <w:color w:val="231F20"/>
          <w:spacing w:val="-11"/>
        </w:rPr>
        <w:t> </w:t>
      </w:r>
      <w:r>
        <w:rPr>
          <w:color w:val="231F20"/>
        </w:rPr>
        <w:t>dólares</w:t>
      </w:r>
      <w:r>
        <w:rPr>
          <w:color w:val="231F20"/>
          <w:spacing w:val="-11"/>
        </w:rPr>
        <w:t> </w:t>
      </w:r>
      <w:r>
        <w:rPr>
          <w:color w:val="231F20"/>
        </w:rPr>
        <w:t>en</w:t>
      </w:r>
      <w:r>
        <w:rPr>
          <w:color w:val="231F20"/>
          <w:spacing w:val="-11"/>
        </w:rPr>
        <w:t> </w:t>
      </w:r>
      <w:r>
        <w:rPr>
          <w:color w:val="231F20"/>
        </w:rPr>
        <w:t>2012.</w:t>
      </w:r>
      <w:r>
        <w:rPr>
          <w:color w:val="231F20"/>
          <w:spacing w:val="-11"/>
        </w:rPr>
        <w:t> </w:t>
      </w:r>
      <w:r>
        <w:rPr>
          <w:color w:val="231F20"/>
        </w:rPr>
        <w:t>En</w:t>
      </w:r>
      <w:r>
        <w:rPr>
          <w:color w:val="231F20"/>
          <w:spacing w:val="-11"/>
        </w:rPr>
        <w:t> </w:t>
      </w:r>
      <w:r>
        <w:rPr>
          <w:color w:val="231F20"/>
        </w:rPr>
        <w:t>2010</w:t>
      </w:r>
      <w:r>
        <w:rPr>
          <w:color w:val="231F20"/>
          <w:spacing w:val="-11"/>
        </w:rPr>
        <w:t> </w:t>
      </w:r>
      <w:r>
        <w:rPr>
          <w:color w:val="231F20"/>
        </w:rPr>
        <w:t>México</w:t>
      </w:r>
      <w:r>
        <w:rPr>
          <w:color w:val="231F20"/>
          <w:spacing w:val="-11"/>
        </w:rPr>
        <w:t> </w:t>
      </w:r>
      <w:r>
        <w:rPr>
          <w:color w:val="231F20"/>
        </w:rPr>
        <w:t>ocupó</w:t>
      </w:r>
      <w:r>
        <w:rPr>
          <w:color w:val="231F20"/>
          <w:spacing w:val="-11"/>
        </w:rPr>
        <w:t> </w:t>
      </w:r>
      <w:r>
        <w:rPr>
          <w:color w:val="231F20"/>
        </w:rPr>
        <w:t>el</w:t>
      </w:r>
      <w:r>
        <w:rPr>
          <w:color w:val="231F20"/>
          <w:spacing w:val="-11"/>
        </w:rPr>
        <w:t> </w:t>
      </w:r>
      <w:r>
        <w:rPr>
          <w:color w:val="231F20"/>
        </w:rPr>
        <w:t>tercer</w:t>
      </w:r>
      <w:r>
        <w:rPr>
          <w:color w:val="231F20"/>
          <w:spacing w:val="-12"/>
        </w:rPr>
        <w:t> </w:t>
      </w:r>
      <w:r>
        <w:rPr>
          <w:color w:val="231F20"/>
        </w:rPr>
        <w:t>lugar a nivel internacional, superado por India y China, rebasando ampliamente a Brasil en el área</w:t>
      </w:r>
      <w:r>
        <w:rPr>
          <w:color w:val="231F20"/>
          <w:spacing w:val="-2"/>
        </w:rPr>
        <w:t> </w:t>
      </w:r>
      <w:r>
        <w:rPr>
          <w:color w:val="231F20"/>
        </w:rPr>
        <w:t>latinoamericana.</w:t>
      </w:r>
    </w:p>
    <w:p>
      <w:pPr>
        <w:pStyle w:val="BodyText"/>
        <w:spacing w:line="247" w:lineRule="auto"/>
        <w:ind w:left="117" w:right="114" w:firstLine="283"/>
        <w:jc w:val="both"/>
      </w:pPr>
      <w:r>
        <w:rPr>
          <w:color w:val="231F20"/>
        </w:rPr>
        <w:t>El patrón de remesas se caracteriza por la concentración; China, India, México y Filipinas perciben alrededor de la tercera parte del total de re- mesas</w:t>
      </w:r>
      <w:r>
        <w:rPr>
          <w:color w:val="231F20"/>
          <w:spacing w:val="-5"/>
        </w:rPr>
        <w:t> </w:t>
      </w:r>
      <w:r>
        <w:rPr>
          <w:color w:val="231F20"/>
        </w:rPr>
        <w:t>que</w:t>
      </w:r>
      <w:r>
        <w:rPr>
          <w:color w:val="231F20"/>
          <w:spacing w:val="-5"/>
        </w:rPr>
        <w:t> </w:t>
      </w:r>
      <w:r>
        <w:rPr>
          <w:color w:val="231F20"/>
        </w:rPr>
        <w:t>circulan</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mundo.</w:t>
      </w:r>
      <w:r>
        <w:rPr>
          <w:color w:val="231F20"/>
          <w:spacing w:val="-5"/>
        </w:rPr>
        <w:t> </w:t>
      </w:r>
      <w:r>
        <w:rPr>
          <w:color w:val="231F20"/>
        </w:rPr>
        <w:t>Le</w:t>
      </w:r>
      <w:r>
        <w:rPr>
          <w:color w:val="231F20"/>
          <w:spacing w:val="-5"/>
        </w:rPr>
        <w:t> </w:t>
      </w:r>
      <w:r>
        <w:rPr>
          <w:color w:val="231F20"/>
        </w:rPr>
        <w:t>siguen</w:t>
      </w:r>
      <w:r>
        <w:rPr>
          <w:color w:val="231F20"/>
          <w:spacing w:val="-4"/>
        </w:rPr>
        <w:t> </w:t>
      </w:r>
      <w:r>
        <w:rPr>
          <w:color w:val="231F20"/>
        </w:rPr>
        <w:t>países</w:t>
      </w:r>
      <w:r>
        <w:rPr>
          <w:color w:val="231F20"/>
          <w:spacing w:val="-5"/>
        </w:rPr>
        <w:t> </w:t>
      </w:r>
      <w:r>
        <w:rPr>
          <w:color w:val="231F20"/>
        </w:rPr>
        <w:t>Europeos</w:t>
      </w:r>
      <w:r>
        <w:rPr>
          <w:color w:val="231F20"/>
          <w:spacing w:val="-5"/>
        </w:rPr>
        <w:t> </w:t>
      </w:r>
      <w:r>
        <w:rPr>
          <w:color w:val="231F20"/>
        </w:rPr>
        <w:t>como</w:t>
      </w:r>
      <w:r>
        <w:rPr>
          <w:color w:val="231F20"/>
          <w:spacing w:val="-5"/>
        </w:rPr>
        <w:t> </w:t>
      </w:r>
      <w:r>
        <w:rPr>
          <w:color w:val="231F20"/>
        </w:rPr>
        <w:t>España, Francia y Alemania; un gran número de países presentan rangos interme- dios en la captación de remesas y la mayoría se ubica en rangos bajos     de recepción de remesas. Cabe destacar que existen diversos flujos entre continentes o al interior de estos, pero que por su dimensión son poco sig- nificativos en comparación con las principales corrientes de</w:t>
      </w:r>
      <w:r>
        <w:rPr>
          <w:color w:val="231F20"/>
          <w:spacing w:val="-12"/>
        </w:rPr>
        <w:t> </w:t>
      </w:r>
      <w:r>
        <w:rPr>
          <w:color w:val="231F20"/>
        </w:rPr>
        <w:t>remesas.</w:t>
      </w:r>
    </w:p>
    <w:p>
      <w:pPr>
        <w:pStyle w:val="BodyText"/>
        <w:spacing w:line="247" w:lineRule="auto"/>
        <w:ind w:left="117" w:right="114" w:firstLine="283"/>
        <w:jc w:val="both"/>
      </w:pPr>
      <w:r>
        <w:rPr>
          <w:color w:val="231F20"/>
        </w:rPr>
        <w:t>Banco de México registró que nuestro país recibió al cierre de </w:t>
      </w:r>
      <w:r>
        <w:rPr>
          <w:color w:val="231F20"/>
          <w:spacing w:val="-3"/>
        </w:rPr>
        <w:t>2011 </w:t>
      </w:r>
      <w:r>
        <w:rPr>
          <w:color w:val="231F20"/>
        </w:rPr>
        <w:t>la cantidad</w:t>
      </w:r>
      <w:r>
        <w:rPr>
          <w:color w:val="231F20"/>
          <w:spacing w:val="-11"/>
        </w:rPr>
        <w:t> </w:t>
      </w:r>
      <w:r>
        <w:rPr>
          <w:color w:val="231F20"/>
        </w:rPr>
        <w:t>de</w:t>
      </w:r>
      <w:r>
        <w:rPr>
          <w:color w:val="231F20"/>
          <w:spacing w:val="-11"/>
        </w:rPr>
        <w:t> </w:t>
      </w:r>
      <w:r>
        <w:rPr>
          <w:color w:val="231F20"/>
        </w:rPr>
        <w:t>22</w:t>
      </w:r>
      <w:r>
        <w:rPr>
          <w:color w:val="231F20"/>
          <w:spacing w:val="-11"/>
        </w:rPr>
        <w:t> </w:t>
      </w:r>
      <w:r>
        <w:rPr>
          <w:color w:val="231F20"/>
        </w:rPr>
        <w:t>730.9</w:t>
      </w:r>
      <w:r>
        <w:rPr>
          <w:color w:val="231F20"/>
          <w:spacing w:val="-11"/>
        </w:rPr>
        <w:t> </w:t>
      </w:r>
      <w:r>
        <w:rPr>
          <w:color w:val="231F20"/>
        </w:rPr>
        <w:t>millones</w:t>
      </w:r>
      <w:r>
        <w:rPr>
          <w:color w:val="231F20"/>
          <w:spacing w:val="-11"/>
        </w:rPr>
        <w:t> </w:t>
      </w:r>
      <w:r>
        <w:rPr>
          <w:color w:val="231F20"/>
        </w:rPr>
        <w:t>de</w:t>
      </w:r>
      <w:r>
        <w:rPr>
          <w:color w:val="231F20"/>
          <w:spacing w:val="-11"/>
        </w:rPr>
        <w:t> </w:t>
      </w:r>
      <w:r>
        <w:rPr>
          <w:color w:val="231F20"/>
        </w:rPr>
        <w:t>dólares,</w:t>
      </w:r>
      <w:r>
        <w:rPr>
          <w:color w:val="231F20"/>
          <w:spacing w:val="-11"/>
        </w:rPr>
        <w:t> </w:t>
      </w:r>
      <w:r>
        <w:rPr>
          <w:color w:val="231F20"/>
        </w:rPr>
        <w:t>ligeramente</w:t>
      </w:r>
      <w:r>
        <w:rPr>
          <w:color w:val="231F20"/>
          <w:spacing w:val="-11"/>
        </w:rPr>
        <w:t> </w:t>
      </w:r>
      <w:r>
        <w:rPr>
          <w:color w:val="231F20"/>
        </w:rPr>
        <w:t>superior</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de</w:t>
      </w:r>
      <w:r>
        <w:rPr>
          <w:color w:val="231F20"/>
          <w:spacing w:val="-11"/>
        </w:rPr>
        <w:t> </w:t>
      </w:r>
      <w:r>
        <w:rPr>
          <w:color w:val="231F20"/>
        </w:rPr>
        <w:t>2010 (21 271.1). Este flujo ha tenido dos tendencias en los últimos años. Entre 2004 y 2007 el volumen anual de remesas aumentó, llegando a la cifra récord en 2006 de 25 567 millones de dólares, el número de transacciones también</w:t>
      </w:r>
      <w:r>
        <w:rPr>
          <w:color w:val="231F20"/>
          <w:spacing w:val="-6"/>
        </w:rPr>
        <w:t> </w:t>
      </w:r>
      <w:r>
        <w:rPr>
          <w:color w:val="231F20"/>
        </w:rPr>
        <w:t>aumentó</w:t>
      </w:r>
      <w:r>
        <w:rPr>
          <w:color w:val="231F20"/>
          <w:spacing w:val="-6"/>
        </w:rPr>
        <w:t> </w:t>
      </w:r>
      <w:r>
        <w:rPr>
          <w:color w:val="231F20"/>
        </w:rPr>
        <w:t>de</w:t>
      </w:r>
      <w:r>
        <w:rPr>
          <w:color w:val="231F20"/>
          <w:spacing w:val="-5"/>
        </w:rPr>
        <w:t> </w:t>
      </w:r>
      <w:r>
        <w:rPr>
          <w:color w:val="231F20"/>
        </w:rPr>
        <w:t>57</w:t>
      </w:r>
      <w:r>
        <w:rPr>
          <w:color w:val="231F20"/>
          <w:spacing w:val="-5"/>
        </w:rPr>
        <w:t> </w:t>
      </w:r>
      <w:r>
        <w:rPr>
          <w:color w:val="231F20"/>
        </w:rPr>
        <w:t>millones</w:t>
      </w:r>
      <w:r>
        <w:rPr>
          <w:color w:val="231F20"/>
          <w:spacing w:val="-5"/>
        </w:rPr>
        <w:t> </w:t>
      </w:r>
      <w:r>
        <w:rPr>
          <w:color w:val="231F20"/>
        </w:rPr>
        <w:t>en</w:t>
      </w:r>
      <w:r>
        <w:rPr>
          <w:color w:val="231F20"/>
          <w:spacing w:val="-5"/>
        </w:rPr>
        <w:t> </w:t>
      </w:r>
      <w:r>
        <w:rPr>
          <w:color w:val="231F20"/>
        </w:rPr>
        <w:t>2004</w:t>
      </w:r>
      <w:r>
        <w:rPr>
          <w:color w:val="231F20"/>
          <w:spacing w:val="-5"/>
        </w:rPr>
        <w:t> </w:t>
      </w:r>
      <w:r>
        <w:rPr>
          <w:color w:val="231F20"/>
        </w:rPr>
        <w:t>a</w:t>
      </w:r>
      <w:r>
        <w:rPr>
          <w:color w:val="231F20"/>
          <w:spacing w:val="-5"/>
        </w:rPr>
        <w:t> </w:t>
      </w:r>
      <w:r>
        <w:rPr>
          <w:color w:val="231F20"/>
        </w:rPr>
        <w:t>75.6</w:t>
      </w:r>
      <w:r>
        <w:rPr>
          <w:color w:val="231F20"/>
          <w:spacing w:val="-5"/>
        </w:rPr>
        <w:t> </w:t>
      </w:r>
      <w:r>
        <w:rPr>
          <w:color w:val="231F20"/>
        </w:rPr>
        <w:t>millones</w:t>
      </w:r>
      <w:r>
        <w:rPr>
          <w:color w:val="231F20"/>
          <w:spacing w:val="-6"/>
        </w:rPr>
        <w:t> </w:t>
      </w:r>
      <w:r>
        <w:rPr>
          <w:color w:val="231F20"/>
        </w:rPr>
        <w:t>en</w:t>
      </w:r>
      <w:r>
        <w:rPr>
          <w:color w:val="231F20"/>
          <w:spacing w:val="-5"/>
        </w:rPr>
        <w:t> </w:t>
      </w:r>
      <w:r>
        <w:rPr>
          <w:color w:val="231F20"/>
        </w:rPr>
        <w:t>2007.</w:t>
      </w:r>
      <w:r>
        <w:rPr>
          <w:color w:val="231F20"/>
          <w:spacing w:val="-17"/>
        </w:rPr>
        <w:t> </w:t>
      </w:r>
      <w:r>
        <w:rPr>
          <w:color w:val="231F20"/>
        </w:rPr>
        <w:t>A</w:t>
      </w:r>
      <w:r>
        <w:rPr>
          <w:color w:val="231F20"/>
          <w:spacing w:val="-17"/>
        </w:rPr>
        <w:t> </w:t>
      </w:r>
      <w:r>
        <w:rPr>
          <w:color w:val="231F20"/>
        </w:rPr>
        <w:t>partir de 2008 estos parámetros descendieran. Cabe destacar que el promedio  de dólares por operación tuvo un comportamiento similar pasando de 322 para 2004, 346 en 2008 y 326 en</w:t>
      </w:r>
      <w:r>
        <w:rPr>
          <w:color w:val="231F20"/>
          <w:spacing w:val="-11"/>
        </w:rPr>
        <w:t> </w:t>
      </w:r>
      <w:r>
        <w:rPr>
          <w:color w:val="231F20"/>
        </w:rPr>
        <w:t>2011.</w:t>
      </w:r>
    </w:p>
    <w:p>
      <w:pPr>
        <w:pStyle w:val="BodyText"/>
        <w:spacing w:line="247" w:lineRule="auto"/>
        <w:ind w:left="117" w:right="115" w:firstLine="283"/>
        <w:jc w:val="both"/>
      </w:pPr>
      <w:r>
        <w:rPr>
          <w:color w:val="231F20"/>
        </w:rPr>
        <w:t>La distribución por entidad federativa muestra patrones regionales desiguales.</w:t>
      </w:r>
      <w:r>
        <w:rPr>
          <w:color w:val="231F20"/>
          <w:spacing w:val="-4"/>
        </w:rPr>
        <w:t> </w:t>
      </w:r>
      <w:r>
        <w:rPr>
          <w:color w:val="231F20"/>
        </w:rPr>
        <w:t>En</w:t>
      </w:r>
      <w:r>
        <w:rPr>
          <w:color w:val="231F20"/>
          <w:spacing w:val="-4"/>
        </w:rPr>
        <w:t> </w:t>
      </w:r>
      <w:r>
        <w:rPr>
          <w:color w:val="231F20"/>
        </w:rPr>
        <w:t>2011,</w:t>
      </w:r>
      <w:r>
        <w:rPr>
          <w:color w:val="231F20"/>
          <w:spacing w:val="-4"/>
        </w:rPr>
        <w:t> </w:t>
      </w:r>
      <w:r>
        <w:rPr>
          <w:color w:val="231F20"/>
        </w:rPr>
        <w:t>ocho</w:t>
      </w:r>
      <w:r>
        <w:rPr>
          <w:color w:val="231F20"/>
          <w:spacing w:val="-4"/>
        </w:rPr>
        <w:t> </w:t>
      </w:r>
      <w:r>
        <w:rPr>
          <w:color w:val="231F20"/>
        </w:rPr>
        <w:t>entidades</w:t>
      </w:r>
      <w:r>
        <w:rPr>
          <w:color w:val="231F20"/>
          <w:spacing w:val="-4"/>
        </w:rPr>
        <w:t> </w:t>
      </w:r>
      <w:r>
        <w:rPr>
          <w:color w:val="231F20"/>
        </w:rPr>
        <w:t>concentraron</w:t>
      </w:r>
      <w:r>
        <w:rPr>
          <w:color w:val="231F20"/>
          <w:spacing w:val="-4"/>
        </w:rPr>
        <w:t> </w:t>
      </w:r>
      <w:r>
        <w:rPr>
          <w:color w:val="231F20"/>
        </w:rPr>
        <w:t>60</w:t>
      </w:r>
      <w:r>
        <w:rPr>
          <w:color w:val="231F20"/>
          <w:spacing w:val="-4"/>
        </w:rPr>
        <w:t> </w:t>
      </w:r>
      <w:r>
        <w:rPr>
          <w:color w:val="231F20"/>
        </w:rPr>
        <w:t>por</w:t>
      </w:r>
      <w:r>
        <w:rPr>
          <w:color w:val="231F20"/>
          <w:spacing w:val="-4"/>
        </w:rPr>
        <w:t> </w:t>
      </w:r>
      <w:r>
        <w:rPr>
          <w:color w:val="231F20"/>
        </w:rPr>
        <w:t>ciento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flu- jos de remesas, las de fuerte tradición migratoria del Centro-Occidente</w:t>
      </w:r>
      <w:r>
        <w:rPr>
          <w:color w:val="231F20"/>
          <w:spacing w:val="-30"/>
        </w:rPr>
        <w:t> </w:t>
      </w:r>
      <w:r>
        <w:rPr>
          <w:color w:val="231F20"/>
        </w:rPr>
        <w:t>del país como Michoacán, Guanajuato y Jalisco y otras de reciente incorpora- ción a los flujos migratorios como el Estado de México, Puebla, Oaxaca, </w:t>
      </w:r>
      <w:r>
        <w:rPr>
          <w:color w:val="231F20"/>
          <w:spacing w:val="-4"/>
        </w:rPr>
        <w:t>Veracruz </w:t>
      </w:r>
      <w:r>
        <w:rPr>
          <w:color w:val="231F20"/>
        </w:rPr>
        <w:t>y Guerrero (ver Cuadro 1 y Mapa 2) algunas de ellas con una importante composición indígena en su conglomerado</w:t>
      </w:r>
      <w:r>
        <w:rPr>
          <w:color w:val="231F20"/>
          <w:spacing w:val="-6"/>
        </w:rPr>
        <w:t> </w:t>
      </w:r>
      <w:r>
        <w:rPr>
          <w:color w:val="231F20"/>
        </w:rPr>
        <w:t>poblacional.</w:t>
      </w:r>
    </w:p>
    <w:p>
      <w:pPr>
        <w:pStyle w:val="BodyText"/>
        <w:spacing w:line="247" w:lineRule="auto"/>
        <w:ind w:left="117" w:right="114" w:firstLine="283"/>
        <w:jc w:val="both"/>
      </w:pPr>
      <w:r>
        <w:rPr>
          <w:color w:val="231F20"/>
        </w:rPr>
        <w:t>Contrario a lo que se podría esperar de las entidades de fuerte</w:t>
      </w:r>
      <w:r>
        <w:rPr>
          <w:color w:val="231F20"/>
          <w:spacing w:val="-26"/>
        </w:rPr>
        <w:t> </w:t>
      </w:r>
      <w:r>
        <w:rPr>
          <w:color w:val="231F20"/>
        </w:rPr>
        <w:t>tradición migratoria como Zacatecas, no está en una posición relevante en los mon- tos de remesas en el contexto nacional. Para otros resultan indiferentes, como Baja California </w:t>
      </w:r>
      <w:r>
        <w:rPr>
          <w:color w:val="231F20"/>
          <w:spacing w:val="-3"/>
        </w:rPr>
        <w:t>Sur, </w:t>
      </w:r>
      <w:r>
        <w:rPr>
          <w:color w:val="231F20"/>
        </w:rPr>
        <w:t>Quintana Roo y Campeche, donde su participa- ción comparativamente es baja al no rebasar los 100 millones de dólares en este último</w:t>
      </w:r>
      <w:r>
        <w:rPr>
          <w:color w:val="231F20"/>
          <w:spacing w:val="-2"/>
        </w:rPr>
        <w:t> </w:t>
      </w:r>
      <w:r>
        <w:rPr>
          <w:color w:val="231F20"/>
        </w:rPr>
        <w:t>año.</w:t>
      </w:r>
    </w:p>
    <w:p>
      <w:pPr>
        <w:pStyle w:val="BodyText"/>
        <w:spacing w:line="247" w:lineRule="auto"/>
        <w:ind w:left="117" w:right="114" w:firstLine="283"/>
        <w:jc w:val="both"/>
      </w:pPr>
      <w:r>
        <w:rPr>
          <w:color w:val="231F20"/>
        </w:rPr>
        <w:t>Parte de lo anterior se debe al bajo flujo migratorio al exterior de estas entidades, sustentadas en el turismo y la extracción de hidrocarburos, que con una mayor estabilidad y auge económico han provocado la llegada de inmigrantes de distintas partes del país.</w:t>
      </w:r>
    </w:p>
    <w:p>
      <w:pPr>
        <w:spacing w:after="0" w:line="247" w:lineRule="auto"/>
        <w:jc w:val="both"/>
        <w:sectPr>
          <w:footerReference w:type="default" r:id="rId210"/>
          <w:pgSz w:w="9360" w:h="13040"/>
          <w:pgMar w:footer="496" w:header="0" w:top="800" w:bottom="680" w:left="1300" w:right="1300"/>
          <w:pgNumType w:start="294"/>
        </w:sectPr>
      </w:pPr>
    </w:p>
    <w:p>
      <w:pPr>
        <w:spacing w:before="45"/>
        <w:ind w:left="460" w:right="0" w:firstLine="0"/>
        <w:jc w:val="left"/>
        <w:rPr>
          <w:rFonts w:ascii="Arial" w:hAnsi="Arial"/>
          <w:sz w:val="20"/>
        </w:rPr>
      </w:pPr>
      <w:r>
        <w:rPr/>
        <w:pict>
          <v:shape style="position:absolute;margin-left:81.25pt;margin-top:94.146996pt;width:315.4pt;height:493pt;mso-position-horizontal-relative:page;mso-position-vertical-relative:page;z-index:752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87"/>
                    <w:gridCol w:w="939"/>
                    <w:gridCol w:w="730"/>
                    <w:gridCol w:w="771"/>
                    <w:gridCol w:w="628"/>
                    <w:gridCol w:w="659"/>
                    <w:gridCol w:w="692"/>
                  </w:tblGrid>
                  <w:tr>
                    <w:trPr>
                      <w:trHeight w:val="242" w:hRule="exact"/>
                    </w:trPr>
                    <w:tc>
                      <w:tcPr>
                        <w:tcW w:w="5615" w:type="dxa"/>
                        <w:gridSpan w:val="6"/>
                        <w:tcBorders>
                          <w:left w:val="nil"/>
                          <w:bottom w:val="nil"/>
                          <w:right w:val="nil"/>
                        </w:tcBorders>
                      </w:tcPr>
                      <w:p>
                        <w:pPr>
                          <w:pStyle w:val="TableParagraph"/>
                          <w:tabs>
                            <w:tab w:pos="1986" w:val="left" w:leader="none"/>
                            <w:tab w:pos="3547" w:val="left" w:leader="none"/>
                            <w:tab w:pos="4987" w:val="left" w:leader="none"/>
                          </w:tabs>
                          <w:spacing w:line="273" w:lineRule="exact" w:before="5"/>
                          <w:ind w:left="72"/>
                          <w:jc w:val="left"/>
                          <w:rPr>
                            <w:sz w:val="19"/>
                          </w:rPr>
                        </w:pPr>
                        <w:r>
                          <w:rPr>
                            <w:w w:val="105"/>
                            <w:position w:val="-11"/>
                            <w:sz w:val="19"/>
                          </w:rPr>
                          <w:t>Entidad</w:t>
                          <w:tab/>
                        </w:r>
                        <w:r>
                          <w:rPr>
                            <w:w w:val="105"/>
                            <w:sz w:val="19"/>
                          </w:rPr>
                          <w:t>Remesas</w:t>
                          <w:tab/>
                          <w:t>Remesas</w:t>
                          <w:tab/>
                          <w:t>Lugar</w:t>
                        </w:r>
                      </w:p>
                    </w:tc>
                    <w:tc>
                      <w:tcPr>
                        <w:tcW w:w="692" w:type="dxa"/>
                        <w:tcBorders>
                          <w:left w:val="nil"/>
                          <w:bottom w:val="nil"/>
                          <w:right w:val="nil"/>
                        </w:tcBorders>
                      </w:tcPr>
                      <w:p>
                        <w:pPr>
                          <w:pStyle w:val="TableParagraph"/>
                          <w:spacing w:before="5"/>
                          <w:ind w:right="63"/>
                          <w:rPr>
                            <w:sz w:val="19"/>
                          </w:rPr>
                        </w:pPr>
                        <w:r>
                          <w:rPr>
                            <w:sz w:val="19"/>
                          </w:rPr>
                          <w:t>Lugar</w:t>
                        </w:r>
                      </w:p>
                    </w:tc>
                  </w:tr>
                  <w:tr>
                    <w:trPr>
                      <w:trHeight w:val="238" w:hRule="exact"/>
                    </w:trPr>
                    <w:tc>
                      <w:tcPr>
                        <w:tcW w:w="1887" w:type="dxa"/>
                        <w:tcBorders>
                          <w:top w:val="nil"/>
                          <w:left w:val="nil"/>
                          <w:bottom w:val="double" w:sz="4" w:space="0" w:color="000000"/>
                          <w:right w:val="nil"/>
                        </w:tcBorders>
                      </w:tcPr>
                      <w:p>
                        <w:pPr/>
                      </w:p>
                    </w:tc>
                    <w:tc>
                      <w:tcPr>
                        <w:tcW w:w="939" w:type="dxa"/>
                        <w:tcBorders>
                          <w:top w:val="nil"/>
                          <w:left w:val="nil"/>
                          <w:bottom w:val="double" w:sz="4" w:space="0" w:color="000000"/>
                          <w:right w:val="nil"/>
                        </w:tcBorders>
                      </w:tcPr>
                      <w:p>
                        <w:pPr>
                          <w:pStyle w:val="TableParagraph"/>
                          <w:spacing w:line="199" w:lineRule="exact"/>
                          <w:ind w:right="126"/>
                          <w:rPr>
                            <w:sz w:val="19"/>
                          </w:rPr>
                        </w:pPr>
                        <w:r>
                          <w:rPr>
                            <w:sz w:val="19"/>
                          </w:rPr>
                          <w:t>2006</w:t>
                        </w:r>
                      </w:p>
                    </w:tc>
                    <w:tc>
                      <w:tcPr>
                        <w:tcW w:w="730" w:type="dxa"/>
                        <w:tcBorders>
                          <w:top w:val="nil"/>
                          <w:left w:val="nil"/>
                          <w:bottom w:val="double" w:sz="4" w:space="0" w:color="000000"/>
                          <w:right w:val="nil"/>
                        </w:tcBorders>
                      </w:tcPr>
                      <w:p>
                        <w:pPr/>
                      </w:p>
                    </w:tc>
                    <w:tc>
                      <w:tcPr>
                        <w:tcW w:w="771" w:type="dxa"/>
                        <w:tcBorders>
                          <w:top w:val="nil"/>
                          <w:left w:val="nil"/>
                          <w:bottom w:val="double" w:sz="4" w:space="0" w:color="000000"/>
                          <w:right w:val="nil"/>
                        </w:tcBorders>
                      </w:tcPr>
                      <w:p>
                        <w:pPr>
                          <w:pStyle w:val="TableParagraph"/>
                          <w:spacing w:line="199" w:lineRule="exact"/>
                          <w:ind w:right="67"/>
                          <w:rPr>
                            <w:sz w:val="19"/>
                          </w:rPr>
                        </w:pPr>
                        <w:r>
                          <w:rPr>
                            <w:sz w:val="19"/>
                          </w:rPr>
                          <w:t>2011</w:t>
                        </w:r>
                      </w:p>
                    </w:tc>
                    <w:tc>
                      <w:tcPr>
                        <w:tcW w:w="628" w:type="dxa"/>
                        <w:tcBorders>
                          <w:top w:val="nil"/>
                          <w:left w:val="nil"/>
                          <w:bottom w:val="double" w:sz="4" w:space="0" w:color="000000"/>
                          <w:right w:val="nil"/>
                        </w:tcBorders>
                      </w:tcPr>
                      <w:p>
                        <w:pPr/>
                      </w:p>
                    </w:tc>
                    <w:tc>
                      <w:tcPr>
                        <w:tcW w:w="659" w:type="dxa"/>
                        <w:tcBorders>
                          <w:top w:val="nil"/>
                          <w:left w:val="nil"/>
                          <w:bottom w:val="double" w:sz="4" w:space="0" w:color="000000"/>
                          <w:right w:val="nil"/>
                        </w:tcBorders>
                      </w:tcPr>
                      <w:p>
                        <w:pPr>
                          <w:pStyle w:val="TableParagraph"/>
                          <w:spacing w:line="199" w:lineRule="exact"/>
                          <w:ind w:right="148"/>
                          <w:rPr>
                            <w:sz w:val="19"/>
                          </w:rPr>
                        </w:pPr>
                        <w:r>
                          <w:rPr>
                            <w:sz w:val="19"/>
                          </w:rPr>
                          <w:t>2006</w:t>
                        </w:r>
                      </w:p>
                    </w:tc>
                    <w:tc>
                      <w:tcPr>
                        <w:tcW w:w="692" w:type="dxa"/>
                        <w:tcBorders>
                          <w:top w:val="nil"/>
                          <w:left w:val="nil"/>
                          <w:bottom w:val="double" w:sz="4" w:space="0" w:color="000000"/>
                          <w:right w:val="nil"/>
                        </w:tcBorders>
                      </w:tcPr>
                      <w:p>
                        <w:pPr>
                          <w:pStyle w:val="TableParagraph"/>
                          <w:spacing w:line="199" w:lineRule="exact"/>
                          <w:ind w:right="62"/>
                          <w:rPr>
                            <w:sz w:val="19"/>
                          </w:rPr>
                        </w:pPr>
                        <w:r>
                          <w:rPr>
                            <w:sz w:val="19"/>
                          </w:rPr>
                          <w:t>2011</w:t>
                        </w:r>
                      </w:p>
                    </w:tc>
                  </w:tr>
                  <w:tr>
                    <w:trPr>
                      <w:trHeight w:val="382" w:hRule="exact"/>
                    </w:trPr>
                    <w:tc>
                      <w:tcPr>
                        <w:tcW w:w="1887" w:type="dxa"/>
                        <w:tcBorders>
                          <w:top w:val="double" w:sz="4" w:space="0" w:color="000000"/>
                          <w:left w:val="nil"/>
                          <w:bottom w:val="nil"/>
                          <w:right w:val="nil"/>
                        </w:tcBorders>
                      </w:tcPr>
                      <w:p>
                        <w:pPr>
                          <w:pStyle w:val="TableParagraph"/>
                          <w:spacing w:before="125"/>
                          <w:ind w:left="72"/>
                          <w:jc w:val="left"/>
                          <w:rPr>
                            <w:sz w:val="19"/>
                          </w:rPr>
                        </w:pPr>
                        <w:r>
                          <w:rPr>
                            <w:w w:val="105"/>
                            <w:sz w:val="19"/>
                          </w:rPr>
                          <w:t>Aguascalientes</w:t>
                        </w:r>
                      </w:p>
                    </w:tc>
                    <w:tc>
                      <w:tcPr>
                        <w:tcW w:w="939" w:type="dxa"/>
                        <w:tcBorders>
                          <w:top w:val="double" w:sz="4" w:space="0" w:color="000000"/>
                          <w:left w:val="nil"/>
                          <w:bottom w:val="nil"/>
                          <w:right w:val="nil"/>
                        </w:tcBorders>
                      </w:tcPr>
                      <w:p>
                        <w:pPr>
                          <w:pStyle w:val="TableParagraph"/>
                          <w:spacing w:before="125"/>
                          <w:ind w:right="126"/>
                          <w:rPr>
                            <w:sz w:val="19"/>
                          </w:rPr>
                        </w:pPr>
                        <w:r>
                          <w:rPr>
                            <w:sz w:val="19"/>
                          </w:rPr>
                          <w:t>359</w:t>
                        </w:r>
                      </w:p>
                    </w:tc>
                    <w:tc>
                      <w:tcPr>
                        <w:tcW w:w="730" w:type="dxa"/>
                        <w:tcBorders>
                          <w:top w:val="double" w:sz="4" w:space="0" w:color="000000"/>
                          <w:left w:val="nil"/>
                          <w:bottom w:val="nil"/>
                          <w:right w:val="nil"/>
                        </w:tcBorders>
                      </w:tcPr>
                      <w:p>
                        <w:pPr>
                          <w:pStyle w:val="TableParagraph"/>
                          <w:spacing w:before="125"/>
                          <w:ind w:right="150"/>
                          <w:rPr>
                            <w:sz w:val="19"/>
                          </w:rPr>
                        </w:pPr>
                        <w:r>
                          <w:rPr>
                            <w:sz w:val="19"/>
                          </w:rPr>
                          <w:t>1.5</w:t>
                        </w:r>
                      </w:p>
                    </w:tc>
                    <w:tc>
                      <w:tcPr>
                        <w:tcW w:w="771" w:type="dxa"/>
                        <w:tcBorders>
                          <w:top w:val="double" w:sz="4" w:space="0" w:color="000000"/>
                          <w:left w:val="nil"/>
                          <w:bottom w:val="nil"/>
                          <w:right w:val="nil"/>
                        </w:tcBorders>
                      </w:tcPr>
                      <w:p>
                        <w:pPr>
                          <w:pStyle w:val="TableParagraph"/>
                          <w:spacing w:before="125"/>
                          <w:ind w:right="67"/>
                          <w:rPr>
                            <w:sz w:val="19"/>
                          </w:rPr>
                        </w:pPr>
                        <w:r>
                          <w:rPr>
                            <w:sz w:val="19"/>
                          </w:rPr>
                          <w:t>306</w:t>
                        </w:r>
                      </w:p>
                    </w:tc>
                    <w:tc>
                      <w:tcPr>
                        <w:tcW w:w="628" w:type="dxa"/>
                        <w:tcBorders>
                          <w:top w:val="double" w:sz="4" w:space="0" w:color="000000"/>
                          <w:left w:val="nil"/>
                          <w:bottom w:val="nil"/>
                          <w:right w:val="nil"/>
                        </w:tcBorders>
                      </w:tcPr>
                      <w:p>
                        <w:pPr>
                          <w:pStyle w:val="TableParagraph"/>
                          <w:spacing w:before="125"/>
                          <w:ind w:right="107"/>
                          <w:rPr>
                            <w:sz w:val="19"/>
                          </w:rPr>
                        </w:pPr>
                        <w:r>
                          <w:rPr>
                            <w:sz w:val="19"/>
                          </w:rPr>
                          <w:t>1.3</w:t>
                        </w:r>
                      </w:p>
                    </w:tc>
                    <w:tc>
                      <w:tcPr>
                        <w:tcW w:w="659" w:type="dxa"/>
                        <w:tcBorders>
                          <w:top w:val="double" w:sz="4" w:space="0" w:color="000000"/>
                          <w:left w:val="nil"/>
                          <w:bottom w:val="nil"/>
                          <w:right w:val="nil"/>
                        </w:tcBorders>
                      </w:tcPr>
                      <w:p>
                        <w:pPr>
                          <w:pStyle w:val="TableParagraph"/>
                          <w:spacing w:before="125"/>
                          <w:ind w:right="147"/>
                          <w:rPr>
                            <w:sz w:val="19"/>
                          </w:rPr>
                        </w:pPr>
                        <w:r>
                          <w:rPr>
                            <w:sz w:val="19"/>
                          </w:rPr>
                          <w:t>19</w:t>
                        </w:r>
                      </w:p>
                    </w:tc>
                    <w:tc>
                      <w:tcPr>
                        <w:tcW w:w="692" w:type="dxa"/>
                        <w:tcBorders>
                          <w:top w:val="double" w:sz="4" w:space="0" w:color="000000"/>
                          <w:left w:val="nil"/>
                          <w:bottom w:val="nil"/>
                          <w:right w:val="nil"/>
                        </w:tcBorders>
                      </w:tcPr>
                      <w:p>
                        <w:pPr>
                          <w:pStyle w:val="TableParagraph"/>
                          <w:spacing w:before="125"/>
                          <w:ind w:right="62"/>
                          <w:rPr>
                            <w:sz w:val="19"/>
                          </w:rPr>
                        </w:pPr>
                        <w:r>
                          <w:rPr>
                            <w:sz w:val="19"/>
                          </w:rPr>
                          <w:t>22</w:t>
                        </w:r>
                      </w:p>
                    </w:tc>
                  </w:tr>
                  <w:tr>
                    <w:trPr>
                      <w:trHeight w:val="271" w:hRule="exact"/>
                    </w:trPr>
                    <w:tc>
                      <w:tcPr>
                        <w:tcW w:w="1887" w:type="dxa"/>
                        <w:tcBorders>
                          <w:top w:val="nil"/>
                          <w:left w:val="nil"/>
                          <w:bottom w:val="nil"/>
                          <w:right w:val="nil"/>
                        </w:tcBorders>
                      </w:tcPr>
                      <w:p>
                        <w:pPr>
                          <w:pStyle w:val="TableParagraph"/>
                          <w:spacing w:before="26"/>
                          <w:ind w:left="72"/>
                          <w:jc w:val="left"/>
                          <w:rPr>
                            <w:sz w:val="19"/>
                          </w:rPr>
                        </w:pPr>
                        <w:r>
                          <w:rPr>
                            <w:w w:val="105"/>
                            <w:sz w:val="19"/>
                          </w:rPr>
                          <w:t>Baja California</w:t>
                        </w:r>
                      </w:p>
                    </w:tc>
                    <w:tc>
                      <w:tcPr>
                        <w:tcW w:w="939" w:type="dxa"/>
                        <w:tcBorders>
                          <w:top w:val="nil"/>
                          <w:left w:val="nil"/>
                          <w:bottom w:val="nil"/>
                          <w:right w:val="nil"/>
                        </w:tcBorders>
                      </w:tcPr>
                      <w:p>
                        <w:pPr>
                          <w:pStyle w:val="TableParagraph"/>
                          <w:spacing w:before="26"/>
                          <w:ind w:right="126"/>
                          <w:rPr>
                            <w:sz w:val="19"/>
                          </w:rPr>
                        </w:pPr>
                        <w:r>
                          <w:rPr>
                            <w:sz w:val="19"/>
                          </w:rPr>
                          <w:t>308</w:t>
                        </w:r>
                      </w:p>
                    </w:tc>
                    <w:tc>
                      <w:tcPr>
                        <w:tcW w:w="730" w:type="dxa"/>
                        <w:tcBorders>
                          <w:top w:val="nil"/>
                          <w:left w:val="nil"/>
                          <w:bottom w:val="nil"/>
                          <w:right w:val="nil"/>
                        </w:tcBorders>
                      </w:tcPr>
                      <w:p>
                        <w:pPr>
                          <w:pStyle w:val="TableParagraph"/>
                          <w:spacing w:before="26"/>
                          <w:ind w:right="150"/>
                          <w:rPr>
                            <w:sz w:val="19"/>
                          </w:rPr>
                        </w:pPr>
                        <w:r>
                          <w:rPr>
                            <w:sz w:val="19"/>
                          </w:rPr>
                          <w:t>1.3</w:t>
                        </w:r>
                      </w:p>
                    </w:tc>
                    <w:tc>
                      <w:tcPr>
                        <w:tcW w:w="771" w:type="dxa"/>
                        <w:tcBorders>
                          <w:top w:val="nil"/>
                          <w:left w:val="nil"/>
                          <w:bottom w:val="nil"/>
                          <w:right w:val="nil"/>
                        </w:tcBorders>
                      </w:tcPr>
                      <w:p>
                        <w:pPr>
                          <w:pStyle w:val="TableParagraph"/>
                          <w:spacing w:before="26"/>
                          <w:ind w:right="67"/>
                          <w:rPr>
                            <w:sz w:val="19"/>
                          </w:rPr>
                        </w:pPr>
                        <w:r>
                          <w:rPr>
                            <w:sz w:val="19"/>
                          </w:rPr>
                          <w:t>396</w:t>
                        </w:r>
                      </w:p>
                    </w:tc>
                    <w:tc>
                      <w:tcPr>
                        <w:tcW w:w="628" w:type="dxa"/>
                        <w:tcBorders>
                          <w:top w:val="nil"/>
                          <w:left w:val="nil"/>
                          <w:bottom w:val="nil"/>
                          <w:right w:val="nil"/>
                        </w:tcBorders>
                      </w:tcPr>
                      <w:p>
                        <w:pPr>
                          <w:pStyle w:val="TableParagraph"/>
                          <w:spacing w:before="26"/>
                          <w:ind w:right="107"/>
                          <w:rPr>
                            <w:sz w:val="19"/>
                          </w:rPr>
                        </w:pPr>
                        <w:r>
                          <w:rPr>
                            <w:sz w:val="19"/>
                          </w:rPr>
                          <w:t>1.7</w:t>
                        </w:r>
                      </w:p>
                    </w:tc>
                    <w:tc>
                      <w:tcPr>
                        <w:tcW w:w="659" w:type="dxa"/>
                        <w:tcBorders>
                          <w:top w:val="nil"/>
                          <w:left w:val="nil"/>
                          <w:bottom w:val="nil"/>
                          <w:right w:val="nil"/>
                        </w:tcBorders>
                      </w:tcPr>
                      <w:p>
                        <w:pPr>
                          <w:pStyle w:val="TableParagraph"/>
                          <w:spacing w:before="7"/>
                          <w:ind w:right="147"/>
                          <w:rPr>
                            <w:sz w:val="19"/>
                          </w:rPr>
                        </w:pPr>
                        <w:r>
                          <w:rPr>
                            <w:sz w:val="19"/>
                          </w:rPr>
                          <w:t>24</w:t>
                        </w:r>
                      </w:p>
                    </w:tc>
                    <w:tc>
                      <w:tcPr>
                        <w:tcW w:w="692" w:type="dxa"/>
                        <w:tcBorders>
                          <w:top w:val="nil"/>
                          <w:left w:val="nil"/>
                          <w:bottom w:val="nil"/>
                          <w:right w:val="nil"/>
                        </w:tcBorders>
                      </w:tcPr>
                      <w:p>
                        <w:pPr>
                          <w:pStyle w:val="TableParagraph"/>
                          <w:spacing w:before="7"/>
                          <w:ind w:right="62"/>
                          <w:rPr>
                            <w:sz w:val="19"/>
                          </w:rPr>
                        </w:pPr>
                        <w:r>
                          <w:rPr>
                            <w:sz w:val="19"/>
                          </w:rPr>
                          <w:t>19</w:t>
                        </w:r>
                      </w:p>
                    </w:tc>
                  </w:tr>
                  <w:tr>
                    <w:trPr>
                      <w:trHeight w:val="286" w:hRule="exact"/>
                    </w:trPr>
                    <w:tc>
                      <w:tcPr>
                        <w:tcW w:w="1887" w:type="dxa"/>
                        <w:tcBorders>
                          <w:top w:val="nil"/>
                          <w:left w:val="nil"/>
                          <w:bottom w:val="nil"/>
                          <w:right w:val="nil"/>
                        </w:tcBorders>
                      </w:tcPr>
                      <w:p>
                        <w:pPr>
                          <w:pStyle w:val="TableParagraph"/>
                          <w:spacing w:before="38"/>
                          <w:ind w:left="72"/>
                          <w:jc w:val="left"/>
                          <w:rPr>
                            <w:sz w:val="19"/>
                          </w:rPr>
                        </w:pPr>
                        <w:r>
                          <w:rPr>
                            <w:w w:val="105"/>
                            <w:sz w:val="19"/>
                          </w:rPr>
                          <w:t>Baja California Sur</w:t>
                        </w:r>
                      </w:p>
                    </w:tc>
                    <w:tc>
                      <w:tcPr>
                        <w:tcW w:w="939" w:type="dxa"/>
                        <w:tcBorders>
                          <w:top w:val="nil"/>
                          <w:left w:val="nil"/>
                          <w:bottom w:val="nil"/>
                          <w:right w:val="nil"/>
                        </w:tcBorders>
                      </w:tcPr>
                      <w:p>
                        <w:pPr>
                          <w:pStyle w:val="TableParagraph"/>
                          <w:spacing w:before="38"/>
                          <w:ind w:right="126"/>
                          <w:rPr>
                            <w:sz w:val="19"/>
                          </w:rPr>
                        </w:pPr>
                        <w:r>
                          <w:rPr>
                            <w:sz w:val="19"/>
                          </w:rPr>
                          <w:t>29</w:t>
                        </w:r>
                      </w:p>
                    </w:tc>
                    <w:tc>
                      <w:tcPr>
                        <w:tcW w:w="730" w:type="dxa"/>
                        <w:tcBorders>
                          <w:top w:val="nil"/>
                          <w:left w:val="nil"/>
                          <w:bottom w:val="nil"/>
                          <w:right w:val="nil"/>
                        </w:tcBorders>
                      </w:tcPr>
                      <w:p>
                        <w:pPr>
                          <w:pStyle w:val="TableParagraph"/>
                          <w:spacing w:before="38"/>
                          <w:ind w:right="150"/>
                          <w:rPr>
                            <w:sz w:val="19"/>
                          </w:rPr>
                        </w:pPr>
                        <w:r>
                          <w:rPr>
                            <w:sz w:val="19"/>
                          </w:rPr>
                          <w:t>0.1</w:t>
                        </w:r>
                      </w:p>
                    </w:tc>
                    <w:tc>
                      <w:tcPr>
                        <w:tcW w:w="771" w:type="dxa"/>
                        <w:tcBorders>
                          <w:top w:val="nil"/>
                          <w:left w:val="nil"/>
                          <w:bottom w:val="nil"/>
                          <w:right w:val="nil"/>
                        </w:tcBorders>
                      </w:tcPr>
                      <w:p>
                        <w:pPr>
                          <w:pStyle w:val="TableParagraph"/>
                          <w:spacing w:before="38"/>
                          <w:ind w:right="67"/>
                          <w:rPr>
                            <w:sz w:val="19"/>
                          </w:rPr>
                        </w:pPr>
                        <w:r>
                          <w:rPr>
                            <w:sz w:val="19"/>
                          </w:rPr>
                          <w:t>36</w:t>
                        </w:r>
                      </w:p>
                    </w:tc>
                    <w:tc>
                      <w:tcPr>
                        <w:tcW w:w="628" w:type="dxa"/>
                        <w:tcBorders>
                          <w:top w:val="nil"/>
                          <w:left w:val="nil"/>
                          <w:bottom w:val="nil"/>
                          <w:right w:val="nil"/>
                        </w:tcBorders>
                      </w:tcPr>
                      <w:p>
                        <w:pPr>
                          <w:pStyle w:val="TableParagraph"/>
                          <w:spacing w:before="38"/>
                          <w:ind w:right="107"/>
                          <w:rPr>
                            <w:sz w:val="19"/>
                          </w:rPr>
                        </w:pPr>
                        <w:r>
                          <w:rPr>
                            <w:sz w:val="19"/>
                          </w:rPr>
                          <w:t>0.2</w:t>
                        </w:r>
                      </w:p>
                    </w:tc>
                    <w:tc>
                      <w:tcPr>
                        <w:tcW w:w="659" w:type="dxa"/>
                        <w:tcBorders>
                          <w:top w:val="nil"/>
                          <w:left w:val="nil"/>
                          <w:bottom w:val="nil"/>
                          <w:right w:val="nil"/>
                        </w:tcBorders>
                      </w:tcPr>
                      <w:p>
                        <w:pPr>
                          <w:pStyle w:val="TableParagraph"/>
                          <w:spacing w:before="10"/>
                          <w:ind w:right="148"/>
                          <w:rPr>
                            <w:sz w:val="19"/>
                          </w:rPr>
                        </w:pPr>
                        <w:r>
                          <w:rPr>
                            <w:sz w:val="19"/>
                          </w:rPr>
                          <w:t>32</w:t>
                        </w:r>
                      </w:p>
                    </w:tc>
                    <w:tc>
                      <w:tcPr>
                        <w:tcW w:w="692" w:type="dxa"/>
                        <w:tcBorders>
                          <w:top w:val="nil"/>
                          <w:left w:val="nil"/>
                          <w:bottom w:val="nil"/>
                          <w:right w:val="nil"/>
                        </w:tcBorders>
                      </w:tcPr>
                      <w:p>
                        <w:pPr>
                          <w:pStyle w:val="TableParagraph"/>
                          <w:spacing w:before="10"/>
                          <w:ind w:right="63"/>
                          <w:rPr>
                            <w:sz w:val="19"/>
                          </w:rPr>
                        </w:pPr>
                        <w:r>
                          <w:rPr>
                            <w:sz w:val="19"/>
                          </w:rPr>
                          <w:t>32</w:t>
                        </w:r>
                      </w:p>
                    </w:tc>
                  </w:tr>
                  <w:tr>
                    <w:trPr>
                      <w:trHeight w:val="286" w:hRule="exact"/>
                    </w:trPr>
                    <w:tc>
                      <w:tcPr>
                        <w:tcW w:w="1887" w:type="dxa"/>
                        <w:tcBorders>
                          <w:top w:val="nil"/>
                          <w:left w:val="nil"/>
                          <w:bottom w:val="nil"/>
                          <w:right w:val="nil"/>
                        </w:tcBorders>
                      </w:tcPr>
                      <w:p>
                        <w:pPr>
                          <w:pStyle w:val="TableParagraph"/>
                          <w:spacing w:before="41"/>
                          <w:ind w:left="72"/>
                          <w:jc w:val="left"/>
                          <w:rPr>
                            <w:sz w:val="19"/>
                          </w:rPr>
                        </w:pPr>
                        <w:r>
                          <w:rPr>
                            <w:w w:val="105"/>
                            <w:sz w:val="19"/>
                          </w:rPr>
                          <w:t>Campeche</w:t>
                        </w:r>
                      </w:p>
                    </w:tc>
                    <w:tc>
                      <w:tcPr>
                        <w:tcW w:w="939" w:type="dxa"/>
                        <w:tcBorders>
                          <w:top w:val="nil"/>
                          <w:left w:val="nil"/>
                          <w:bottom w:val="nil"/>
                          <w:right w:val="nil"/>
                        </w:tcBorders>
                      </w:tcPr>
                      <w:p>
                        <w:pPr>
                          <w:pStyle w:val="TableParagraph"/>
                          <w:spacing w:before="41"/>
                          <w:ind w:right="126"/>
                          <w:rPr>
                            <w:sz w:val="19"/>
                          </w:rPr>
                        </w:pPr>
                        <w:r>
                          <w:rPr>
                            <w:sz w:val="19"/>
                          </w:rPr>
                          <w:t>65</w:t>
                        </w:r>
                      </w:p>
                    </w:tc>
                    <w:tc>
                      <w:tcPr>
                        <w:tcW w:w="730" w:type="dxa"/>
                        <w:tcBorders>
                          <w:top w:val="nil"/>
                          <w:left w:val="nil"/>
                          <w:bottom w:val="nil"/>
                          <w:right w:val="nil"/>
                        </w:tcBorders>
                      </w:tcPr>
                      <w:p>
                        <w:pPr>
                          <w:pStyle w:val="TableParagraph"/>
                          <w:spacing w:before="41"/>
                          <w:ind w:right="150"/>
                          <w:rPr>
                            <w:sz w:val="19"/>
                          </w:rPr>
                        </w:pPr>
                        <w:r>
                          <w:rPr>
                            <w:sz w:val="19"/>
                          </w:rPr>
                          <w:t>0.3</w:t>
                        </w:r>
                      </w:p>
                    </w:tc>
                    <w:tc>
                      <w:tcPr>
                        <w:tcW w:w="771" w:type="dxa"/>
                        <w:tcBorders>
                          <w:top w:val="nil"/>
                          <w:left w:val="nil"/>
                          <w:bottom w:val="nil"/>
                          <w:right w:val="nil"/>
                        </w:tcBorders>
                      </w:tcPr>
                      <w:p>
                        <w:pPr>
                          <w:pStyle w:val="TableParagraph"/>
                          <w:spacing w:before="41"/>
                          <w:ind w:right="67"/>
                          <w:rPr>
                            <w:sz w:val="19"/>
                          </w:rPr>
                        </w:pPr>
                        <w:r>
                          <w:rPr>
                            <w:sz w:val="19"/>
                          </w:rPr>
                          <w:t>58</w:t>
                        </w:r>
                      </w:p>
                    </w:tc>
                    <w:tc>
                      <w:tcPr>
                        <w:tcW w:w="628" w:type="dxa"/>
                        <w:tcBorders>
                          <w:top w:val="nil"/>
                          <w:left w:val="nil"/>
                          <w:bottom w:val="nil"/>
                          <w:right w:val="nil"/>
                        </w:tcBorders>
                      </w:tcPr>
                      <w:p>
                        <w:pPr>
                          <w:pStyle w:val="TableParagraph"/>
                          <w:spacing w:before="41"/>
                          <w:ind w:right="107"/>
                          <w:rPr>
                            <w:sz w:val="19"/>
                          </w:rPr>
                        </w:pPr>
                        <w:r>
                          <w:rPr>
                            <w:sz w:val="19"/>
                          </w:rPr>
                          <w:t>0.3</w:t>
                        </w:r>
                      </w:p>
                    </w:tc>
                    <w:tc>
                      <w:tcPr>
                        <w:tcW w:w="659" w:type="dxa"/>
                        <w:tcBorders>
                          <w:top w:val="nil"/>
                          <w:left w:val="nil"/>
                          <w:bottom w:val="nil"/>
                          <w:right w:val="nil"/>
                        </w:tcBorders>
                      </w:tcPr>
                      <w:p>
                        <w:pPr>
                          <w:pStyle w:val="TableParagraph"/>
                          <w:spacing w:before="12"/>
                          <w:ind w:right="147"/>
                          <w:rPr>
                            <w:sz w:val="19"/>
                          </w:rPr>
                        </w:pPr>
                        <w:r>
                          <w:rPr>
                            <w:sz w:val="19"/>
                          </w:rPr>
                          <w:t>31</w:t>
                        </w:r>
                      </w:p>
                    </w:tc>
                    <w:tc>
                      <w:tcPr>
                        <w:tcW w:w="692" w:type="dxa"/>
                        <w:tcBorders>
                          <w:top w:val="nil"/>
                          <w:left w:val="nil"/>
                          <w:bottom w:val="nil"/>
                          <w:right w:val="nil"/>
                        </w:tcBorders>
                      </w:tcPr>
                      <w:p>
                        <w:pPr>
                          <w:pStyle w:val="TableParagraph"/>
                          <w:spacing w:before="12"/>
                          <w:ind w:right="62"/>
                          <w:rPr>
                            <w:sz w:val="19"/>
                          </w:rPr>
                        </w:pPr>
                        <w:r>
                          <w:rPr>
                            <w:sz w:val="19"/>
                          </w:rPr>
                          <w:t>31</w:t>
                        </w:r>
                      </w:p>
                    </w:tc>
                  </w:tr>
                  <w:tr>
                    <w:trPr>
                      <w:trHeight w:val="278" w:hRule="exact"/>
                    </w:trPr>
                    <w:tc>
                      <w:tcPr>
                        <w:tcW w:w="1887" w:type="dxa"/>
                        <w:tcBorders>
                          <w:top w:val="nil"/>
                          <w:left w:val="nil"/>
                          <w:bottom w:val="nil"/>
                          <w:right w:val="nil"/>
                        </w:tcBorders>
                      </w:tcPr>
                      <w:p>
                        <w:pPr>
                          <w:pStyle w:val="TableParagraph"/>
                          <w:spacing w:before="33"/>
                          <w:ind w:left="72"/>
                          <w:jc w:val="left"/>
                          <w:rPr>
                            <w:sz w:val="19"/>
                          </w:rPr>
                        </w:pPr>
                        <w:r>
                          <w:rPr>
                            <w:w w:val="105"/>
                            <w:sz w:val="19"/>
                          </w:rPr>
                          <w:t>Coahuila</w:t>
                        </w:r>
                      </w:p>
                    </w:tc>
                    <w:tc>
                      <w:tcPr>
                        <w:tcW w:w="939" w:type="dxa"/>
                        <w:tcBorders>
                          <w:top w:val="nil"/>
                          <w:left w:val="nil"/>
                          <w:bottom w:val="nil"/>
                          <w:right w:val="nil"/>
                        </w:tcBorders>
                      </w:tcPr>
                      <w:p>
                        <w:pPr>
                          <w:pStyle w:val="TableParagraph"/>
                          <w:spacing w:before="33"/>
                          <w:ind w:right="126"/>
                          <w:rPr>
                            <w:sz w:val="19"/>
                          </w:rPr>
                        </w:pPr>
                        <w:r>
                          <w:rPr>
                            <w:sz w:val="19"/>
                          </w:rPr>
                          <w:t>271</w:t>
                        </w:r>
                      </w:p>
                    </w:tc>
                    <w:tc>
                      <w:tcPr>
                        <w:tcW w:w="730" w:type="dxa"/>
                        <w:tcBorders>
                          <w:top w:val="nil"/>
                          <w:left w:val="nil"/>
                          <w:bottom w:val="nil"/>
                          <w:right w:val="nil"/>
                        </w:tcBorders>
                      </w:tcPr>
                      <w:p>
                        <w:pPr>
                          <w:pStyle w:val="TableParagraph"/>
                          <w:spacing w:before="33"/>
                          <w:ind w:right="150"/>
                          <w:rPr>
                            <w:sz w:val="19"/>
                          </w:rPr>
                        </w:pPr>
                        <w:r>
                          <w:rPr>
                            <w:sz w:val="19"/>
                          </w:rPr>
                          <w:t>1.1</w:t>
                        </w:r>
                      </w:p>
                    </w:tc>
                    <w:tc>
                      <w:tcPr>
                        <w:tcW w:w="771" w:type="dxa"/>
                        <w:tcBorders>
                          <w:top w:val="nil"/>
                          <w:left w:val="nil"/>
                          <w:bottom w:val="nil"/>
                          <w:right w:val="nil"/>
                        </w:tcBorders>
                      </w:tcPr>
                      <w:p>
                        <w:pPr>
                          <w:pStyle w:val="TableParagraph"/>
                          <w:spacing w:before="33"/>
                          <w:ind w:right="67"/>
                          <w:rPr>
                            <w:sz w:val="19"/>
                          </w:rPr>
                        </w:pPr>
                        <w:r>
                          <w:rPr>
                            <w:sz w:val="19"/>
                          </w:rPr>
                          <w:t>246</w:t>
                        </w:r>
                      </w:p>
                    </w:tc>
                    <w:tc>
                      <w:tcPr>
                        <w:tcW w:w="628" w:type="dxa"/>
                        <w:tcBorders>
                          <w:top w:val="nil"/>
                          <w:left w:val="nil"/>
                          <w:bottom w:val="nil"/>
                          <w:right w:val="nil"/>
                        </w:tcBorders>
                      </w:tcPr>
                      <w:p>
                        <w:pPr>
                          <w:pStyle w:val="TableParagraph"/>
                          <w:spacing w:before="33"/>
                          <w:ind w:right="107"/>
                          <w:rPr>
                            <w:sz w:val="19"/>
                          </w:rPr>
                        </w:pPr>
                        <w:r>
                          <w:rPr>
                            <w:sz w:val="19"/>
                          </w:rPr>
                          <w:t>1.1</w:t>
                        </w:r>
                      </w:p>
                    </w:tc>
                    <w:tc>
                      <w:tcPr>
                        <w:tcW w:w="659" w:type="dxa"/>
                        <w:tcBorders>
                          <w:top w:val="nil"/>
                          <w:left w:val="nil"/>
                          <w:bottom w:val="nil"/>
                          <w:right w:val="nil"/>
                        </w:tcBorders>
                      </w:tcPr>
                      <w:p>
                        <w:pPr>
                          <w:pStyle w:val="TableParagraph"/>
                          <w:spacing w:before="9"/>
                          <w:ind w:right="147"/>
                          <w:rPr>
                            <w:sz w:val="19"/>
                          </w:rPr>
                        </w:pPr>
                        <w:r>
                          <w:rPr>
                            <w:sz w:val="19"/>
                          </w:rPr>
                          <w:t>25</w:t>
                        </w:r>
                      </w:p>
                    </w:tc>
                    <w:tc>
                      <w:tcPr>
                        <w:tcW w:w="692" w:type="dxa"/>
                        <w:tcBorders>
                          <w:top w:val="nil"/>
                          <w:left w:val="nil"/>
                          <w:bottom w:val="nil"/>
                          <w:right w:val="nil"/>
                        </w:tcBorders>
                      </w:tcPr>
                      <w:p>
                        <w:pPr>
                          <w:pStyle w:val="TableParagraph"/>
                          <w:spacing w:before="9"/>
                          <w:ind w:right="62"/>
                          <w:rPr>
                            <w:sz w:val="19"/>
                          </w:rPr>
                        </w:pPr>
                        <w:r>
                          <w:rPr>
                            <w:sz w:val="19"/>
                          </w:rPr>
                          <w:t>26</w:t>
                        </w:r>
                      </w:p>
                    </w:tc>
                  </w:tr>
                  <w:tr>
                    <w:trPr>
                      <w:trHeight w:val="286" w:hRule="exact"/>
                    </w:trPr>
                    <w:tc>
                      <w:tcPr>
                        <w:tcW w:w="1887" w:type="dxa"/>
                        <w:tcBorders>
                          <w:top w:val="nil"/>
                          <w:left w:val="nil"/>
                          <w:bottom w:val="nil"/>
                          <w:right w:val="nil"/>
                        </w:tcBorders>
                      </w:tcPr>
                      <w:p>
                        <w:pPr>
                          <w:pStyle w:val="TableParagraph"/>
                          <w:spacing w:before="38"/>
                          <w:ind w:left="72"/>
                          <w:jc w:val="left"/>
                          <w:rPr>
                            <w:sz w:val="19"/>
                          </w:rPr>
                        </w:pPr>
                        <w:r>
                          <w:rPr>
                            <w:w w:val="105"/>
                            <w:sz w:val="19"/>
                          </w:rPr>
                          <w:t>Colima</w:t>
                        </w:r>
                      </w:p>
                    </w:tc>
                    <w:tc>
                      <w:tcPr>
                        <w:tcW w:w="939" w:type="dxa"/>
                        <w:tcBorders>
                          <w:top w:val="nil"/>
                          <w:left w:val="nil"/>
                          <w:bottom w:val="nil"/>
                          <w:right w:val="nil"/>
                        </w:tcBorders>
                      </w:tcPr>
                      <w:p>
                        <w:pPr>
                          <w:pStyle w:val="TableParagraph"/>
                          <w:spacing w:before="38"/>
                          <w:ind w:right="126"/>
                          <w:rPr>
                            <w:sz w:val="19"/>
                          </w:rPr>
                        </w:pPr>
                        <w:r>
                          <w:rPr>
                            <w:sz w:val="19"/>
                          </w:rPr>
                          <w:t>179</w:t>
                        </w:r>
                      </w:p>
                    </w:tc>
                    <w:tc>
                      <w:tcPr>
                        <w:tcW w:w="730" w:type="dxa"/>
                        <w:tcBorders>
                          <w:top w:val="nil"/>
                          <w:left w:val="nil"/>
                          <w:bottom w:val="nil"/>
                          <w:right w:val="nil"/>
                        </w:tcBorders>
                      </w:tcPr>
                      <w:p>
                        <w:pPr>
                          <w:pStyle w:val="TableParagraph"/>
                          <w:spacing w:before="38"/>
                          <w:ind w:right="150"/>
                          <w:rPr>
                            <w:sz w:val="19"/>
                          </w:rPr>
                        </w:pPr>
                        <w:r>
                          <w:rPr>
                            <w:sz w:val="19"/>
                          </w:rPr>
                          <w:t>0.8</w:t>
                        </w:r>
                      </w:p>
                    </w:tc>
                    <w:tc>
                      <w:tcPr>
                        <w:tcW w:w="771" w:type="dxa"/>
                        <w:tcBorders>
                          <w:top w:val="nil"/>
                          <w:left w:val="nil"/>
                          <w:bottom w:val="nil"/>
                          <w:right w:val="nil"/>
                        </w:tcBorders>
                      </w:tcPr>
                      <w:p>
                        <w:pPr>
                          <w:pStyle w:val="TableParagraph"/>
                          <w:spacing w:before="38"/>
                          <w:ind w:right="67"/>
                          <w:rPr>
                            <w:sz w:val="19"/>
                          </w:rPr>
                        </w:pPr>
                        <w:r>
                          <w:rPr>
                            <w:sz w:val="19"/>
                          </w:rPr>
                          <w:t>183</w:t>
                        </w:r>
                      </w:p>
                    </w:tc>
                    <w:tc>
                      <w:tcPr>
                        <w:tcW w:w="628" w:type="dxa"/>
                        <w:tcBorders>
                          <w:top w:val="nil"/>
                          <w:left w:val="nil"/>
                          <w:bottom w:val="nil"/>
                          <w:right w:val="nil"/>
                        </w:tcBorders>
                      </w:tcPr>
                      <w:p>
                        <w:pPr>
                          <w:pStyle w:val="TableParagraph"/>
                          <w:spacing w:before="38"/>
                          <w:ind w:right="107"/>
                          <w:rPr>
                            <w:sz w:val="19"/>
                          </w:rPr>
                        </w:pPr>
                        <w:r>
                          <w:rPr>
                            <w:sz w:val="19"/>
                          </w:rPr>
                          <w:t>0.8</w:t>
                        </w:r>
                      </w:p>
                    </w:tc>
                    <w:tc>
                      <w:tcPr>
                        <w:tcW w:w="659" w:type="dxa"/>
                        <w:tcBorders>
                          <w:top w:val="nil"/>
                          <w:left w:val="nil"/>
                          <w:bottom w:val="nil"/>
                          <w:right w:val="nil"/>
                        </w:tcBorders>
                      </w:tcPr>
                      <w:p>
                        <w:pPr>
                          <w:pStyle w:val="TableParagraph"/>
                          <w:spacing w:before="9"/>
                          <w:ind w:right="147"/>
                          <w:rPr>
                            <w:sz w:val="19"/>
                          </w:rPr>
                        </w:pPr>
                        <w:r>
                          <w:rPr>
                            <w:sz w:val="19"/>
                          </w:rPr>
                          <w:t>27</w:t>
                        </w:r>
                      </w:p>
                    </w:tc>
                    <w:tc>
                      <w:tcPr>
                        <w:tcW w:w="692" w:type="dxa"/>
                        <w:tcBorders>
                          <w:top w:val="nil"/>
                          <w:left w:val="nil"/>
                          <w:bottom w:val="nil"/>
                          <w:right w:val="nil"/>
                        </w:tcBorders>
                      </w:tcPr>
                      <w:p>
                        <w:pPr>
                          <w:pStyle w:val="TableParagraph"/>
                          <w:spacing w:before="9"/>
                          <w:ind w:right="62"/>
                          <w:rPr>
                            <w:sz w:val="19"/>
                          </w:rPr>
                        </w:pPr>
                        <w:r>
                          <w:rPr>
                            <w:sz w:val="19"/>
                          </w:rPr>
                          <w:t>27</w:t>
                        </w:r>
                      </w:p>
                    </w:tc>
                  </w:tr>
                  <w:tr>
                    <w:trPr>
                      <w:trHeight w:val="281" w:hRule="exact"/>
                    </w:trPr>
                    <w:tc>
                      <w:tcPr>
                        <w:tcW w:w="1887" w:type="dxa"/>
                        <w:tcBorders>
                          <w:top w:val="nil"/>
                          <w:left w:val="nil"/>
                          <w:bottom w:val="nil"/>
                          <w:right w:val="nil"/>
                        </w:tcBorders>
                      </w:tcPr>
                      <w:p>
                        <w:pPr>
                          <w:pStyle w:val="TableParagraph"/>
                          <w:spacing w:before="36"/>
                          <w:ind w:left="72"/>
                          <w:jc w:val="left"/>
                          <w:rPr>
                            <w:sz w:val="19"/>
                          </w:rPr>
                        </w:pPr>
                        <w:r>
                          <w:rPr>
                            <w:w w:val="105"/>
                            <w:sz w:val="19"/>
                          </w:rPr>
                          <w:t>Chiapas</w:t>
                        </w:r>
                      </w:p>
                    </w:tc>
                    <w:tc>
                      <w:tcPr>
                        <w:tcW w:w="939" w:type="dxa"/>
                        <w:tcBorders>
                          <w:top w:val="nil"/>
                          <w:left w:val="nil"/>
                          <w:bottom w:val="nil"/>
                          <w:right w:val="nil"/>
                        </w:tcBorders>
                      </w:tcPr>
                      <w:p>
                        <w:pPr>
                          <w:pStyle w:val="TableParagraph"/>
                          <w:spacing w:before="36"/>
                          <w:ind w:right="126"/>
                          <w:rPr>
                            <w:sz w:val="19"/>
                          </w:rPr>
                        </w:pPr>
                        <w:r>
                          <w:rPr>
                            <w:sz w:val="19"/>
                          </w:rPr>
                          <w:t>825</w:t>
                        </w:r>
                      </w:p>
                    </w:tc>
                    <w:tc>
                      <w:tcPr>
                        <w:tcW w:w="730" w:type="dxa"/>
                        <w:tcBorders>
                          <w:top w:val="nil"/>
                          <w:left w:val="nil"/>
                          <w:bottom w:val="nil"/>
                          <w:right w:val="nil"/>
                        </w:tcBorders>
                      </w:tcPr>
                      <w:p>
                        <w:pPr>
                          <w:pStyle w:val="TableParagraph"/>
                          <w:spacing w:before="36"/>
                          <w:ind w:right="150"/>
                          <w:rPr>
                            <w:sz w:val="19"/>
                          </w:rPr>
                        </w:pPr>
                        <w:r>
                          <w:rPr>
                            <w:sz w:val="19"/>
                          </w:rPr>
                          <w:t>3.5</w:t>
                        </w:r>
                      </w:p>
                    </w:tc>
                    <w:tc>
                      <w:tcPr>
                        <w:tcW w:w="771" w:type="dxa"/>
                        <w:tcBorders>
                          <w:top w:val="nil"/>
                          <w:left w:val="nil"/>
                          <w:bottom w:val="nil"/>
                          <w:right w:val="nil"/>
                        </w:tcBorders>
                      </w:tcPr>
                      <w:p>
                        <w:pPr>
                          <w:pStyle w:val="TableParagraph"/>
                          <w:spacing w:before="36"/>
                          <w:ind w:right="67"/>
                          <w:rPr>
                            <w:sz w:val="19"/>
                          </w:rPr>
                        </w:pPr>
                        <w:r>
                          <w:rPr>
                            <w:sz w:val="19"/>
                          </w:rPr>
                          <w:t>593</w:t>
                        </w:r>
                      </w:p>
                    </w:tc>
                    <w:tc>
                      <w:tcPr>
                        <w:tcW w:w="628" w:type="dxa"/>
                        <w:tcBorders>
                          <w:top w:val="nil"/>
                          <w:left w:val="nil"/>
                          <w:bottom w:val="nil"/>
                          <w:right w:val="nil"/>
                        </w:tcBorders>
                      </w:tcPr>
                      <w:p>
                        <w:pPr>
                          <w:pStyle w:val="TableParagraph"/>
                          <w:spacing w:before="36"/>
                          <w:ind w:right="107"/>
                          <w:rPr>
                            <w:sz w:val="19"/>
                          </w:rPr>
                        </w:pPr>
                        <w:r>
                          <w:rPr>
                            <w:sz w:val="19"/>
                          </w:rPr>
                          <w:t>2.6</w:t>
                        </w:r>
                      </w:p>
                    </w:tc>
                    <w:tc>
                      <w:tcPr>
                        <w:tcW w:w="659" w:type="dxa"/>
                        <w:tcBorders>
                          <w:top w:val="nil"/>
                          <w:left w:val="nil"/>
                          <w:bottom w:val="nil"/>
                          <w:right w:val="nil"/>
                        </w:tcBorders>
                      </w:tcPr>
                      <w:p>
                        <w:pPr>
                          <w:pStyle w:val="TableParagraph"/>
                          <w:spacing w:before="12"/>
                          <w:ind w:right="147"/>
                          <w:rPr>
                            <w:sz w:val="19"/>
                          </w:rPr>
                        </w:pPr>
                        <w:r>
                          <w:rPr>
                            <w:sz w:val="19"/>
                          </w:rPr>
                          <w:t>11</w:t>
                        </w:r>
                      </w:p>
                    </w:tc>
                    <w:tc>
                      <w:tcPr>
                        <w:tcW w:w="692" w:type="dxa"/>
                        <w:tcBorders>
                          <w:top w:val="nil"/>
                          <w:left w:val="nil"/>
                          <w:bottom w:val="nil"/>
                          <w:right w:val="nil"/>
                        </w:tcBorders>
                      </w:tcPr>
                      <w:p>
                        <w:pPr>
                          <w:pStyle w:val="TableParagraph"/>
                          <w:spacing w:before="12"/>
                          <w:ind w:right="62"/>
                          <w:rPr>
                            <w:sz w:val="19"/>
                          </w:rPr>
                        </w:pPr>
                        <w:r>
                          <w:rPr>
                            <w:sz w:val="19"/>
                          </w:rPr>
                          <w:t>13</w:t>
                        </w:r>
                      </w:p>
                    </w:tc>
                  </w:tr>
                  <w:tr>
                    <w:trPr>
                      <w:trHeight w:val="278" w:hRule="exact"/>
                    </w:trPr>
                    <w:tc>
                      <w:tcPr>
                        <w:tcW w:w="1887" w:type="dxa"/>
                        <w:tcBorders>
                          <w:top w:val="nil"/>
                          <w:left w:val="nil"/>
                          <w:bottom w:val="nil"/>
                          <w:right w:val="nil"/>
                        </w:tcBorders>
                      </w:tcPr>
                      <w:p>
                        <w:pPr>
                          <w:pStyle w:val="TableParagraph"/>
                          <w:spacing w:before="33"/>
                          <w:ind w:left="72"/>
                          <w:jc w:val="left"/>
                          <w:rPr>
                            <w:sz w:val="19"/>
                          </w:rPr>
                        </w:pPr>
                        <w:r>
                          <w:rPr>
                            <w:w w:val="105"/>
                            <w:sz w:val="19"/>
                          </w:rPr>
                          <w:t>Chihuahua</w:t>
                        </w:r>
                      </w:p>
                    </w:tc>
                    <w:tc>
                      <w:tcPr>
                        <w:tcW w:w="939" w:type="dxa"/>
                        <w:tcBorders>
                          <w:top w:val="nil"/>
                          <w:left w:val="nil"/>
                          <w:bottom w:val="nil"/>
                          <w:right w:val="nil"/>
                        </w:tcBorders>
                      </w:tcPr>
                      <w:p>
                        <w:pPr>
                          <w:pStyle w:val="TableParagraph"/>
                          <w:spacing w:before="33"/>
                          <w:ind w:right="126"/>
                          <w:rPr>
                            <w:sz w:val="19"/>
                          </w:rPr>
                        </w:pPr>
                        <w:r>
                          <w:rPr>
                            <w:sz w:val="19"/>
                          </w:rPr>
                          <w:t>440</w:t>
                        </w:r>
                      </w:p>
                    </w:tc>
                    <w:tc>
                      <w:tcPr>
                        <w:tcW w:w="730" w:type="dxa"/>
                        <w:tcBorders>
                          <w:top w:val="nil"/>
                          <w:left w:val="nil"/>
                          <w:bottom w:val="nil"/>
                          <w:right w:val="nil"/>
                        </w:tcBorders>
                      </w:tcPr>
                      <w:p>
                        <w:pPr>
                          <w:pStyle w:val="TableParagraph"/>
                          <w:spacing w:before="33"/>
                          <w:ind w:right="150"/>
                          <w:rPr>
                            <w:sz w:val="19"/>
                          </w:rPr>
                        </w:pPr>
                        <w:r>
                          <w:rPr>
                            <w:sz w:val="19"/>
                          </w:rPr>
                          <w:t>1.9</w:t>
                        </w:r>
                      </w:p>
                    </w:tc>
                    <w:tc>
                      <w:tcPr>
                        <w:tcW w:w="771" w:type="dxa"/>
                        <w:tcBorders>
                          <w:top w:val="nil"/>
                          <w:left w:val="nil"/>
                          <w:bottom w:val="nil"/>
                          <w:right w:val="nil"/>
                        </w:tcBorders>
                      </w:tcPr>
                      <w:p>
                        <w:pPr>
                          <w:pStyle w:val="TableParagraph"/>
                          <w:spacing w:before="33"/>
                          <w:ind w:right="67"/>
                          <w:rPr>
                            <w:sz w:val="19"/>
                          </w:rPr>
                        </w:pPr>
                        <w:r>
                          <w:rPr>
                            <w:sz w:val="19"/>
                          </w:rPr>
                          <w:t>418</w:t>
                        </w:r>
                      </w:p>
                    </w:tc>
                    <w:tc>
                      <w:tcPr>
                        <w:tcW w:w="628" w:type="dxa"/>
                        <w:tcBorders>
                          <w:top w:val="nil"/>
                          <w:left w:val="nil"/>
                          <w:bottom w:val="nil"/>
                          <w:right w:val="nil"/>
                        </w:tcBorders>
                      </w:tcPr>
                      <w:p>
                        <w:pPr>
                          <w:pStyle w:val="TableParagraph"/>
                          <w:spacing w:before="33"/>
                          <w:ind w:right="107"/>
                          <w:rPr>
                            <w:sz w:val="19"/>
                          </w:rPr>
                        </w:pPr>
                        <w:r>
                          <w:rPr>
                            <w:sz w:val="19"/>
                          </w:rPr>
                          <w:t>1.8</w:t>
                        </w:r>
                      </w:p>
                    </w:tc>
                    <w:tc>
                      <w:tcPr>
                        <w:tcW w:w="659" w:type="dxa"/>
                        <w:tcBorders>
                          <w:top w:val="nil"/>
                          <w:left w:val="nil"/>
                          <w:bottom w:val="nil"/>
                          <w:right w:val="nil"/>
                        </w:tcBorders>
                      </w:tcPr>
                      <w:p>
                        <w:pPr>
                          <w:pStyle w:val="TableParagraph"/>
                          <w:spacing w:before="9"/>
                          <w:ind w:right="147"/>
                          <w:rPr>
                            <w:sz w:val="19"/>
                          </w:rPr>
                        </w:pPr>
                        <w:r>
                          <w:rPr>
                            <w:sz w:val="19"/>
                          </w:rPr>
                          <w:t>18</w:t>
                        </w:r>
                      </w:p>
                    </w:tc>
                    <w:tc>
                      <w:tcPr>
                        <w:tcW w:w="692" w:type="dxa"/>
                        <w:tcBorders>
                          <w:top w:val="nil"/>
                          <w:left w:val="nil"/>
                          <w:bottom w:val="nil"/>
                          <w:right w:val="nil"/>
                        </w:tcBorders>
                      </w:tcPr>
                      <w:p>
                        <w:pPr>
                          <w:pStyle w:val="TableParagraph"/>
                          <w:spacing w:before="9"/>
                          <w:ind w:right="62"/>
                          <w:rPr>
                            <w:sz w:val="19"/>
                          </w:rPr>
                        </w:pPr>
                        <w:r>
                          <w:rPr>
                            <w:sz w:val="19"/>
                          </w:rPr>
                          <w:t>17</w:t>
                        </w:r>
                      </w:p>
                    </w:tc>
                  </w:tr>
                  <w:tr>
                    <w:trPr>
                      <w:trHeight w:val="281" w:hRule="exact"/>
                    </w:trPr>
                    <w:tc>
                      <w:tcPr>
                        <w:tcW w:w="1887" w:type="dxa"/>
                        <w:tcBorders>
                          <w:top w:val="nil"/>
                          <w:left w:val="nil"/>
                          <w:bottom w:val="nil"/>
                          <w:right w:val="nil"/>
                        </w:tcBorders>
                      </w:tcPr>
                      <w:p>
                        <w:pPr>
                          <w:pStyle w:val="TableParagraph"/>
                          <w:spacing w:before="33"/>
                          <w:ind w:left="72"/>
                          <w:jc w:val="left"/>
                          <w:rPr>
                            <w:sz w:val="19"/>
                          </w:rPr>
                        </w:pPr>
                        <w:r>
                          <w:rPr>
                            <w:w w:val="105"/>
                            <w:sz w:val="19"/>
                          </w:rPr>
                          <w:t>Distrito Federal</w:t>
                        </w:r>
                      </w:p>
                    </w:tc>
                    <w:tc>
                      <w:tcPr>
                        <w:tcW w:w="939" w:type="dxa"/>
                        <w:tcBorders>
                          <w:top w:val="nil"/>
                          <w:left w:val="nil"/>
                          <w:bottom w:val="nil"/>
                          <w:right w:val="nil"/>
                        </w:tcBorders>
                      </w:tcPr>
                      <w:p>
                        <w:pPr>
                          <w:pStyle w:val="TableParagraph"/>
                          <w:spacing w:before="33"/>
                          <w:ind w:right="126"/>
                          <w:rPr>
                            <w:sz w:val="19"/>
                          </w:rPr>
                        </w:pPr>
                        <w:r>
                          <w:rPr>
                            <w:w w:val="105"/>
                            <w:sz w:val="19"/>
                          </w:rPr>
                          <w:t>1 539</w:t>
                        </w:r>
                      </w:p>
                    </w:tc>
                    <w:tc>
                      <w:tcPr>
                        <w:tcW w:w="730" w:type="dxa"/>
                        <w:tcBorders>
                          <w:top w:val="nil"/>
                          <w:left w:val="nil"/>
                          <w:bottom w:val="nil"/>
                          <w:right w:val="nil"/>
                        </w:tcBorders>
                      </w:tcPr>
                      <w:p>
                        <w:pPr>
                          <w:pStyle w:val="TableParagraph"/>
                          <w:spacing w:before="33"/>
                          <w:ind w:right="150"/>
                          <w:rPr>
                            <w:sz w:val="19"/>
                          </w:rPr>
                        </w:pPr>
                        <w:r>
                          <w:rPr>
                            <w:sz w:val="19"/>
                          </w:rPr>
                          <w:t>6.5</w:t>
                        </w:r>
                      </w:p>
                    </w:tc>
                    <w:tc>
                      <w:tcPr>
                        <w:tcW w:w="771" w:type="dxa"/>
                        <w:tcBorders>
                          <w:top w:val="nil"/>
                          <w:left w:val="nil"/>
                          <w:bottom w:val="nil"/>
                          <w:right w:val="nil"/>
                        </w:tcBorders>
                      </w:tcPr>
                      <w:p>
                        <w:pPr>
                          <w:pStyle w:val="TableParagraph"/>
                          <w:spacing w:before="33"/>
                          <w:ind w:right="67"/>
                          <w:rPr>
                            <w:sz w:val="19"/>
                          </w:rPr>
                        </w:pPr>
                        <w:r>
                          <w:rPr>
                            <w:w w:val="105"/>
                            <w:sz w:val="19"/>
                          </w:rPr>
                          <w:t>1 148</w:t>
                        </w:r>
                      </w:p>
                    </w:tc>
                    <w:tc>
                      <w:tcPr>
                        <w:tcW w:w="628" w:type="dxa"/>
                        <w:tcBorders>
                          <w:top w:val="nil"/>
                          <w:left w:val="nil"/>
                          <w:bottom w:val="nil"/>
                          <w:right w:val="nil"/>
                        </w:tcBorders>
                      </w:tcPr>
                      <w:p>
                        <w:pPr>
                          <w:pStyle w:val="TableParagraph"/>
                          <w:spacing w:before="33"/>
                          <w:ind w:right="107"/>
                          <w:rPr>
                            <w:sz w:val="19"/>
                          </w:rPr>
                        </w:pPr>
                        <w:r>
                          <w:rPr>
                            <w:sz w:val="19"/>
                          </w:rPr>
                          <w:t>5.1</w:t>
                        </w:r>
                      </w:p>
                    </w:tc>
                    <w:tc>
                      <w:tcPr>
                        <w:tcW w:w="659" w:type="dxa"/>
                        <w:tcBorders>
                          <w:top w:val="nil"/>
                          <w:left w:val="nil"/>
                          <w:bottom w:val="nil"/>
                          <w:right w:val="nil"/>
                        </w:tcBorders>
                      </w:tcPr>
                      <w:p>
                        <w:pPr>
                          <w:pStyle w:val="TableParagraph"/>
                          <w:spacing w:before="9"/>
                          <w:ind w:right="149"/>
                          <w:rPr>
                            <w:sz w:val="19"/>
                          </w:rPr>
                        </w:pPr>
                        <w:r>
                          <w:rPr>
                            <w:w w:val="103"/>
                            <w:sz w:val="19"/>
                          </w:rPr>
                          <w:t>5</w:t>
                        </w:r>
                      </w:p>
                    </w:tc>
                    <w:tc>
                      <w:tcPr>
                        <w:tcW w:w="692" w:type="dxa"/>
                        <w:tcBorders>
                          <w:top w:val="nil"/>
                          <w:left w:val="nil"/>
                          <w:bottom w:val="nil"/>
                          <w:right w:val="nil"/>
                        </w:tcBorders>
                      </w:tcPr>
                      <w:p>
                        <w:pPr>
                          <w:pStyle w:val="TableParagraph"/>
                          <w:spacing w:before="9"/>
                          <w:ind w:right="64"/>
                          <w:rPr>
                            <w:sz w:val="19"/>
                          </w:rPr>
                        </w:pPr>
                        <w:r>
                          <w:rPr>
                            <w:w w:val="103"/>
                            <w:sz w:val="19"/>
                          </w:rPr>
                          <w:t>9</w:t>
                        </w:r>
                      </w:p>
                    </w:tc>
                  </w:tr>
                  <w:tr>
                    <w:trPr>
                      <w:trHeight w:val="288" w:hRule="exact"/>
                    </w:trPr>
                    <w:tc>
                      <w:tcPr>
                        <w:tcW w:w="1887" w:type="dxa"/>
                        <w:tcBorders>
                          <w:top w:val="nil"/>
                          <w:left w:val="nil"/>
                          <w:bottom w:val="nil"/>
                          <w:right w:val="nil"/>
                        </w:tcBorders>
                      </w:tcPr>
                      <w:p>
                        <w:pPr>
                          <w:pStyle w:val="TableParagraph"/>
                          <w:spacing w:before="41"/>
                          <w:ind w:left="72"/>
                          <w:jc w:val="left"/>
                          <w:rPr>
                            <w:sz w:val="19"/>
                          </w:rPr>
                        </w:pPr>
                        <w:r>
                          <w:rPr>
                            <w:w w:val="105"/>
                            <w:sz w:val="19"/>
                          </w:rPr>
                          <w:t>Durango</w:t>
                        </w:r>
                      </w:p>
                    </w:tc>
                    <w:tc>
                      <w:tcPr>
                        <w:tcW w:w="939" w:type="dxa"/>
                        <w:tcBorders>
                          <w:top w:val="nil"/>
                          <w:left w:val="nil"/>
                          <w:bottom w:val="nil"/>
                          <w:right w:val="nil"/>
                        </w:tcBorders>
                      </w:tcPr>
                      <w:p>
                        <w:pPr>
                          <w:pStyle w:val="TableParagraph"/>
                          <w:spacing w:before="41"/>
                          <w:ind w:right="126"/>
                          <w:rPr>
                            <w:sz w:val="19"/>
                          </w:rPr>
                        </w:pPr>
                        <w:r>
                          <w:rPr>
                            <w:sz w:val="19"/>
                          </w:rPr>
                          <w:t>385</w:t>
                        </w:r>
                      </w:p>
                    </w:tc>
                    <w:tc>
                      <w:tcPr>
                        <w:tcW w:w="730" w:type="dxa"/>
                        <w:tcBorders>
                          <w:top w:val="nil"/>
                          <w:left w:val="nil"/>
                          <w:bottom w:val="nil"/>
                          <w:right w:val="nil"/>
                        </w:tcBorders>
                      </w:tcPr>
                      <w:p>
                        <w:pPr>
                          <w:pStyle w:val="TableParagraph"/>
                          <w:spacing w:before="41"/>
                          <w:ind w:right="150"/>
                          <w:rPr>
                            <w:sz w:val="19"/>
                          </w:rPr>
                        </w:pPr>
                        <w:r>
                          <w:rPr>
                            <w:sz w:val="19"/>
                          </w:rPr>
                          <w:t>1.6</w:t>
                        </w:r>
                      </w:p>
                    </w:tc>
                    <w:tc>
                      <w:tcPr>
                        <w:tcW w:w="771" w:type="dxa"/>
                        <w:tcBorders>
                          <w:top w:val="nil"/>
                          <w:left w:val="nil"/>
                          <w:bottom w:val="nil"/>
                          <w:right w:val="nil"/>
                        </w:tcBorders>
                      </w:tcPr>
                      <w:p>
                        <w:pPr>
                          <w:pStyle w:val="TableParagraph"/>
                          <w:spacing w:before="41"/>
                          <w:ind w:right="67"/>
                          <w:rPr>
                            <w:sz w:val="19"/>
                          </w:rPr>
                        </w:pPr>
                        <w:r>
                          <w:rPr>
                            <w:sz w:val="19"/>
                          </w:rPr>
                          <w:t>415</w:t>
                        </w:r>
                      </w:p>
                    </w:tc>
                    <w:tc>
                      <w:tcPr>
                        <w:tcW w:w="628" w:type="dxa"/>
                        <w:tcBorders>
                          <w:top w:val="nil"/>
                          <w:left w:val="nil"/>
                          <w:bottom w:val="nil"/>
                          <w:right w:val="nil"/>
                        </w:tcBorders>
                      </w:tcPr>
                      <w:p>
                        <w:pPr>
                          <w:pStyle w:val="TableParagraph"/>
                          <w:spacing w:before="41"/>
                          <w:ind w:right="107"/>
                          <w:rPr>
                            <w:sz w:val="19"/>
                          </w:rPr>
                        </w:pPr>
                        <w:r>
                          <w:rPr>
                            <w:sz w:val="19"/>
                          </w:rPr>
                          <w:t>1.8</w:t>
                        </w:r>
                      </w:p>
                    </w:tc>
                    <w:tc>
                      <w:tcPr>
                        <w:tcW w:w="659" w:type="dxa"/>
                        <w:tcBorders>
                          <w:top w:val="nil"/>
                          <w:left w:val="nil"/>
                          <w:bottom w:val="nil"/>
                          <w:right w:val="nil"/>
                        </w:tcBorders>
                      </w:tcPr>
                      <w:p>
                        <w:pPr>
                          <w:pStyle w:val="TableParagraph"/>
                          <w:spacing w:before="12"/>
                          <w:ind w:right="147"/>
                          <w:rPr>
                            <w:sz w:val="19"/>
                          </w:rPr>
                        </w:pPr>
                        <w:r>
                          <w:rPr>
                            <w:sz w:val="19"/>
                          </w:rPr>
                          <w:t>20</w:t>
                        </w:r>
                      </w:p>
                    </w:tc>
                    <w:tc>
                      <w:tcPr>
                        <w:tcW w:w="692" w:type="dxa"/>
                        <w:tcBorders>
                          <w:top w:val="nil"/>
                          <w:left w:val="nil"/>
                          <w:bottom w:val="nil"/>
                          <w:right w:val="nil"/>
                        </w:tcBorders>
                      </w:tcPr>
                      <w:p>
                        <w:pPr>
                          <w:pStyle w:val="TableParagraph"/>
                          <w:spacing w:before="12"/>
                          <w:ind w:right="62"/>
                          <w:rPr>
                            <w:sz w:val="19"/>
                          </w:rPr>
                        </w:pPr>
                        <w:r>
                          <w:rPr>
                            <w:sz w:val="19"/>
                          </w:rPr>
                          <w:t>18</w:t>
                        </w:r>
                      </w:p>
                    </w:tc>
                  </w:tr>
                  <w:tr>
                    <w:trPr>
                      <w:trHeight w:val="286" w:hRule="exact"/>
                    </w:trPr>
                    <w:tc>
                      <w:tcPr>
                        <w:tcW w:w="1887" w:type="dxa"/>
                        <w:tcBorders>
                          <w:top w:val="nil"/>
                          <w:left w:val="nil"/>
                          <w:bottom w:val="nil"/>
                          <w:right w:val="nil"/>
                        </w:tcBorders>
                      </w:tcPr>
                      <w:p>
                        <w:pPr>
                          <w:pStyle w:val="TableParagraph"/>
                          <w:spacing w:before="41"/>
                          <w:ind w:left="72"/>
                          <w:jc w:val="left"/>
                          <w:rPr>
                            <w:sz w:val="19"/>
                          </w:rPr>
                        </w:pPr>
                        <w:r>
                          <w:rPr>
                            <w:w w:val="105"/>
                            <w:sz w:val="19"/>
                          </w:rPr>
                          <w:t>Guanajuato</w:t>
                        </w:r>
                      </w:p>
                    </w:tc>
                    <w:tc>
                      <w:tcPr>
                        <w:tcW w:w="939" w:type="dxa"/>
                        <w:tcBorders>
                          <w:top w:val="nil"/>
                          <w:left w:val="nil"/>
                          <w:bottom w:val="nil"/>
                          <w:right w:val="nil"/>
                        </w:tcBorders>
                      </w:tcPr>
                      <w:p>
                        <w:pPr>
                          <w:pStyle w:val="TableParagraph"/>
                          <w:spacing w:before="41"/>
                          <w:ind w:right="126"/>
                          <w:rPr>
                            <w:sz w:val="19"/>
                          </w:rPr>
                        </w:pPr>
                        <w:r>
                          <w:rPr>
                            <w:w w:val="105"/>
                            <w:sz w:val="19"/>
                          </w:rPr>
                          <w:t>2 100</w:t>
                        </w:r>
                      </w:p>
                    </w:tc>
                    <w:tc>
                      <w:tcPr>
                        <w:tcW w:w="730" w:type="dxa"/>
                        <w:tcBorders>
                          <w:top w:val="nil"/>
                          <w:left w:val="nil"/>
                          <w:bottom w:val="nil"/>
                          <w:right w:val="nil"/>
                        </w:tcBorders>
                      </w:tcPr>
                      <w:p>
                        <w:pPr>
                          <w:pStyle w:val="TableParagraph"/>
                          <w:spacing w:before="41"/>
                          <w:ind w:right="150"/>
                          <w:rPr>
                            <w:sz w:val="19"/>
                          </w:rPr>
                        </w:pPr>
                        <w:r>
                          <w:rPr>
                            <w:sz w:val="19"/>
                          </w:rPr>
                          <w:t>8.8</w:t>
                        </w:r>
                      </w:p>
                    </w:tc>
                    <w:tc>
                      <w:tcPr>
                        <w:tcW w:w="771" w:type="dxa"/>
                        <w:tcBorders>
                          <w:top w:val="nil"/>
                          <w:left w:val="nil"/>
                          <w:bottom w:val="nil"/>
                          <w:right w:val="nil"/>
                        </w:tcBorders>
                      </w:tcPr>
                      <w:p>
                        <w:pPr>
                          <w:pStyle w:val="TableParagraph"/>
                          <w:spacing w:before="41"/>
                          <w:ind w:right="67"/>
                          <w:rPr>
                            <w:sz w:val="19"/>
                          </w:rPr>
                        </w:pPr>
                        <w:r>
                          <w:rPr>
                            <w:w w:val="105"/>
                            <w:sz w:val="19"/>
                          </w:rPr>
                          <w:t>2 148</w:t>
                        </w:r>
                      </w:p>
                    </w:tc>
                    <w:tc>
                      <w:tcPr>
                        <w:tcW w:w="628" w:type="dxa"/>
                        <w:tcBorders>
                          <w:top w:val="nil"/>
                          <w:left w:val="nil"/>
                          <w:bottom w:val="nil"/>
                          <w:right w:val="nil"/>
                        </w:tcBorders>
                      </w:tcPr>
                      <w:p>
                        <w:pPr>
                          <w:pStyle w:val="TableParagraph"/>
                          <w:spacing w:before="41"/>
                          <w:ind w:right="107"/>
                          <w:rPr>
                            <w:sz w:val="19"/>
                          </w:rPr>
                        </w:pPr>
                        <w:r>
                          <w:rPr>
                            <w:sz w:val="19"/>
                          </w:rPr>
                          <w:t>9.4</w:t>
                        </w:r>
                      </w:p>
                    </w:tc>
                    <w:tc>
                      <w:tcPr>
                        <w:tcW w:w="659" w:type="dxa"/>
                        <w:tcBorders>
                          <w:top w:val="nil"/>
                          <w:left w:val="nil"/>
                          <w:bottom w:val="nil"/>
                          <w:right w:val="nil"/>
                        </w:tcBorders>
                      </w:tcPr>
                      <w:p>
                        <w:pPr>
                          <w:pStyle w:val="TableParagraph"/>
                          <w:spacing w:before="12"/>
                          <w:ind w:right="149"/>
                          <w:rPr>
                            <w:sz w:val="19"/>
                          </w:rPr>
                        </w:pPr>
                        <w:r>
                          <w:rPr>
                            <w:w w:val="103"/>
                            <w:sz w:val="19"/>
                          </w:rPr>
                          <w:t>2</w:t>
                        </w:r>
                      </w:p>
                    </w:tc>
                    <w:tc>
                      <w:tcPr>
                        <w:tcW w:w="692" w:type="dxa"/>
                        <w:tcBorders>
                          <w:top w:val="nil"/>
                          <w:left w:val="nil"/>
                          <w:bottom w:val="nil"/>
                          <w:right w:val="nil"/>
                        </w:tcBorders>
                      </w:tcPr>
                      <w:p>
                        <w:pPr>
                          <w:pStyle w:val="TableParagraph"/>
                          <w:spacing w:before="12"/>
                          <w:ind w:right="64"/>
                          <w:rPr>
                            <w:sz w:val="19"/>
                          </w:rPr>
                        </w:pPr>
                        <w:r>
                          <w:rPr>
                            <w:w w:val="103"/>
                            <w:sz w:val="19"/>
                          </w:rPr>
                          <w:t>2</w:t>
                        </w:r>
                      </w:p>
                    </w:tc>
                  </w:tr>
                  <w:tr>
                    <w:trPr>
                      <w:trHeight w:val="278" w:hRule="exact"/>
                    </w:trPr>
                    <w:tc>
                      <w:tcPr>
                        <w:tcW w:w="1887" w:type="dxa"/>
                        <w:tcBorders>
                          <w:top w:val="nil"/>
                          <w:left w:val="nil"/>
                          <w:bottom w:val="nil"/>
                          <w:right w:val="nil"/>
                        </w:tcBorders>
                      </w:tcPr>
                      <w:p>
                        <w:pPr>
                          <w:pStyle w:val="TableParagraph"/>
                          <w:spacing w:before="33"/>
                          <w:ind w:left="72"/>
                          <w:jc w:val="left"/>
                          <w:rPr>
                            <w:sz w:val="19"/>
                          </w:rPr>
                        </w:pPr>
                        <w:r>
                          <w:rPr>
                            <w:w w:val="105"/>
                            <w:sz w:val="19"/>
                          </w:rPr>
                          <w:t>Guerrero</w:t>
                        </w:r>
                      </w:p>
                    </w:tc>
                    <w:tc>
                      <w:tcPr>
                        <w:tcW w:w="939" w:type="dxa"/>
                        <w:tcBorders>
                          <w:top w:val="nil"/>
                          <w:left w:val="nil"/>
                          <w:bottom w:val="nil"/>
                          <w:right w:val="nil"/>
                        </w:tcBorders>
                      </w:tcPr>
                      <w:p>
                        <w:pPr>
                          <w:pStyle w:val="TableParagraph"/>
                          <w:spacing w:before="33"/>
                          <w:ind w:right="126"/>
                          <w:rPr>
                            <w:sz w:val="19"/>
                          </w:rPr>
                        </w:pPr>
                        <w:r>
                          <w:rPr>
                            <w:w w:val="105"/>
                            <w:sz w:val="19"/>
                          </w:rPr>
                          <w:t>1 207</w:t>
                        </w:r>
                      </w:p>
                    </w:tc>
                    <w:tc>
                      <w:tcPr>
                        <w:tcW w:w="730" w:type="dxa"/>
                        <w:tcBorders>
                          <w:top w:val="nil"/>
                          <w:left w:val="nil"/>
                          <w:bottom w:val="nil"/>
                          <w:right w:val="nil"/>
                        </w:tcBorders>
                      </w:tcPr>
                      <w:p>
                        <w:pPr>
                          <w:pStyle w:val="TableParagraph"/>
                          <w:spacing w:before="33"/>
                          <w:ind w:right="150"/>
                          <w:rPr>
                            <w:sz w:val="19"/>
                          </w:rPr>
                        </w:pPr>
                        <w:r>
                          <w:rPr>
                            <w:sz w:val="19"/>
                          </w:rPr>
                          <w:t>5.1</w:t>
                        </w:r>
                      </w:p>
                    </w:tc>
                    <w:tc>
                      <w:tcPr>
                        <w:tcW w:w="771" w:type="dxa"/>
                        <w:tcBorders>
                          <w:top w:val="nil"/>
                          <w:left w:val="nil"/>
                          <w:bottom w:val="nil"/>
                          <w:right w:val="nil"/>
                        </w:tcBorders>
                      </w:tcPr>
                      <w:p>
                        <w:pPr>
                          <w:pStyle w:val="TableParagraph"/>
                          <w:spacing w:before="33"/>
                          <w:ind w:right="67"/>
                          <w:rPr>
                            <w:sz w:val="19"/>
                          </w:rPr>
                        </w:pPr>
                        <w:r>
                          <w:rPr>
                            <w:w w:val="105"/>
                            <w:sz w:val="19"/>
                          </w:rPr>
                          <w:t>1 259</w:t>
                        </w:r>
                      </w:p>
                    </w:tc>
                    <w:tc>
                      <w:tcPr>
                        <w:tcW w:w="628" w:type="dxa"/>
                        <w:tcBorders>
                          <w:top w:val="nil"/>
                          <w:left w:val="nil"/>
                          <w:bottom w:val="nil"/>
                          <w:right w:val="nil"/>
                        </w:tcBorders>
                      </w:tcPr>
                      <w:p>
                        <w:pPr>
                          <w:pStyle w:val="TableParagraph"/>
                          <w:spacing w:before="33"/>
                          <w:ind w:right="107"/>
                          <w:rPr>
                            <w:sz w:val="19"/>
                          </w:rPr>
                        </w:pPr>
                        <w:r>
                          <w:rPr>
                            <w:sz w:val="19"/>
                          </w:rPr>
                          <w:t>5.5</w:t>
                        </w:r>
                      </w:p>
                    </w:tc>
                    <w:tc>
                      <w:tcPr>
                        <w:tcW w:w="659" w:type="dxa"/>
                        <w:tcBorders>
                          <w:top w:val="nil"/>
                          <w:left w:val="nil"/>
                          <w:bottom w:val="nil"/>
                          <w:right w:val="nil"/>
                        </w:tcBorders>
                      </w:tcPr>
                      <w:p>
                        <w:pPr>
                          <w:pStyle w:val="TableParagraph"/>
                          <w:spacing w:before="9"/>
                          <w:ind w:right="149"/>
                          <w:rPr>
                            <w:sz w:val="19"/>
                          </w:rPr>
                        </w:pPr>
                        <w:r>
                          <w:rPr>
                            <w:w w:val="103"/>
                            <w:sz w:val="19"/>
                          </w:rPr>
                          <w:t>8</w:t>
                        </w:r>
                      </w:p>
                    </w:tc>
                    <w:tc>
                      <w:tcPr>
                        <w:tcW w:w="692" w:type="dxa"/>
                        <w:tcBorders>
                          <w:top w:val="nil"/>
                          <w:left w:val="nil"/>
                          <w:bottom w:val="nil"/>
                          <w:right w:val="nil"/>
                        </w:tcBorders>
                      </w:tcPr>
                      <w:p>
                        <w:pPr>
                          <w:pStyle w:val="TableParagraph"/>
                          <w:spacing w:before="9"/>
                          <w:ind w:right="64"/>
                          <w:rPr>
                            <w:sz w:val="19"/>
                          </w:rPr>
                        </w:pPr>
                        <w:r>
                          <w:rPr>
                            <w:w w:val="103"/>
                            <w:sz w:val="19"/>
                          </w:rPr>
                          <w:t>8</w:t>
                        </w:r>
                      </w:p>
                    </w:tc>
                  </w:tr>
                  <w:tr>
                    <w:trPr>
                      <w:trHeight w:val="283" w:hRule="exact"/>
                    </w:trPr>
                    <w:tc>
                      <w:tcPr>
                        <w:tcW w:w="1887" w:type="dxa"/>
                        <w:tcBorders>
                          <w:top w:val="nil"/>
                          <w:left w:val="nil"/>
                          <w:bottom w:val="nil"/>
                          <w:right w:val="nil"/>
                        </w:tcBorders>
                      </w:tcPr>
                      <w:p>
                        <w:pPr>
                          <w:pStyle w:val="TableParagraph"/>
                          <w:spacing w:before="38"/>
                          <w:ind w:left="71"/>
                          <w:jc w:val="left"/>
                          <w:rPr>
                            <w:sz w:val="19"/>
                          </w:rPr>
                        </w:pPr>
                        <w:r>
                          <w:rPr>
                            <w:w w:val="105"/>
                            <w:sz w:val="19"/>
                          </w:rPr>
                          <w:t>Hidalgo</w:t>
                        </w:r>
                      </w:p>
                    </w:tc>
                    <w:tc>
                      <w:tcPr>
                        <w:tcW w:w="939" w:type="dxa"/>
                        <w:tcBorders>
                          <w:top w:val="nil"/>
                          <w:left w:val="nil"/>
                          <w:bottom w:val="nil"/>
                          <w:right w:val="nil"/>
                        </w:tcBorders>
                      </w:tcPr>
                      <w:p>
                        <w:pPr>
                          <w:pStyle w:val="TableParagraph"/>
                          <w:spacing w:before="38"/>
                          <w:ind w:right="126"/>
                          <w:rPr>
                            <w:sz w:val="19"/>
                          </w:rPr>
                        </w:pPr>
                        <w:r>
                          <w:rPr>
                            <w:sz w:val="19"/>
                          </w:rPr>
                          <w:t>834</w:t>
                        </w:r>
                      </w:p>
                    </w:tc>
                    <w:tc>
                      <w:tcPr>
                        <w:tcW w:w="730" w:type="dxa"/>
                        <w:tcBorders>
                          <w:top w:val="nil"/>
                          <w:left w:val="nil"/>
                          <w:bottom w:val="nil"/>
                          <w:right w:val="nil"/>
                        </w:tcBorders>
                      </w:tcPr>
                      <w:p>
                        <w:pPr>
                          <w:pStyle w:val="TableParagraph"/>
                          <w:spacing w:before="38"/>
                          <w:ind w:right="150"/>
                          <w:rPr>
                            <w:sz w:val="19"/>
                          </w:rPr>
                        </w:pPr>
                        <w:r>
                          <w:rPr>
                            <w:sz w:val="19"/>
                          </w:rPr>
                          <w:t>3.5</w:t>
                        </w:r>
                      </w:p>
                    </w:tc>
                    <w:tc>
                      <w:tcPr>
                        <w:tcW w:w="771" w:type="dxa"/>
                        <w:tcBorders>
                          <w:top w:val="nil"/>
                          <w:left w:val="nil"/>
                          <w:bottom w:val="nil"/>
                          <w:right w:val="nil"/>
                        </w:tcBorders>
                      </w:tcPr>
                      <w:p>
                        <w:pPr>
                          <w:pStyle w:val="TableParagraph"/>
                          <w:spacing w:before="38"/>
                          <w:ind w:right="67"/>
                          <w:rPr>
                            <w:sz w:val="19"/>
                          </w:rPr>
                        </w:pPr>
                        <w:r>
                          <w:rPr>
                            <w:sz w:val="19"/>
                          </w:rPr>
                          <w:t>760</w:t>
                        </w:r>
                      </w:p>
                    </w:tc>
                    <w:tc>
                      <w:tcPr>
                        <w:tcW w:w="628" w:type="dxa"/>
                        <w:tcBorders>
                          <w:top w:val="nil"/>
                          <w:left w:val="nil"/>
                          <w:bottom w:val="nil"/>
                          <w:right w:val="nil"/>
                        </w:tcBorders>
                      </w:tcPr>
                      <w:p>
                        <w:pPr>
                          <w:pStyle w:val="TableParagraph"/>
                          <w:spacing w:before="38"/>
                          <w:ind w:right="107"/>
                          <w:rPr>
                            <w:sz w:val="19"/>
                          </w:rPr>
                        </w:pPr>
                        <w:r>
                          <w:rPr>
                            <w:sz w:val="19"/>
                          </w:rPr>
                          <w:t>3.3</w:t>
                        </w:r>
                      </w:p>
                    </w:tc>
                    <w:tc>
                      <w:tcPr>
                        <w:tcW w:w="659" w:type="dxa"/>
                        <w:tcBorders>
                          <w:top w:val="nil"/>
                          <w:left w:val="nil"/>
                          <w:bottom w:val="nil"/>
                          <w:right w:val="nil"/>
                        </w:tcBorders>
                      </w:tcPr>
                      <w:p>
                        <w:pPr>
                          <w:pStyle w:val="TableParagraph"/>
                          <w:spacing w:before="10"/>
                          <w:ind w:right="148"/>
                          <w:rPr>
                            <w:sz w:val="19"/>
                          </w:rPr>
                        </w:pPr>
                        <w:r>
                          <w:rPr>
                            <w:sz w:val="19"/>
                          </w:rPr>
                          <w:t>10</w:t>
                        </w:r>
                      </w:p>
                    </w:tc>
                    <w:tc>
                      <w:tcPr>
                        <w:tcW w:w="692" w:type="dxa"/>
                        <w:tcBorders>
                          <w:top w:val="nil"/>
                          <w:left w:val="nil"/>
                          <w:bottom w:val="nil"/>
                          <w:right w:val="nil"/>
                        </w:tcBorders>
                      </w:tcPr>
                      <w:p>
                        <w:pPr>
                          <w:pStyle w:val="TableParagraph"/>
                          <w:spacing w:before="10"/>
                          <w:ind w:right="63"/>
                          <w:rPr>
                            <w:sz w:val="19"/>
                          </w:rPr>
                        </w:pPr>
                        <w:r>
                          <w:rPr>
                            <w:sz w:val="19"/>
                          </w:rPr>
                          <w:t>10</w:t>
                        </w:r>
                      </w:p>
                    </w:tc>
                  </w:tr>
                  <w:tr>
                    <w:trPr>
                      <w:trHeight w:val="283" w:hRule="exact"/>
                    </w:trPr>
                    <w:tc>
                      <w:tcPr>
                        <w:tcW w:w="1887" w:type="dxa"/>
                        <w:tcBorders>
                          <w:top w:val="nil"/>
                          <w:left w:val="nil"/>
                          <w:bottom w:val="nil"/>
                          <w:right w:val="nil"/>
                        </w:tcBorders>
                      </w:tcPr>
                      <w:p>
                        <w:pPr>
                          <w:pStyle w:val="TableParagraph"/>
                          <w:spacing w:before="38"/>
                          <w:ind w:left="72"/>
                          <w:jc w:val="left"/>
                          <w:rPr>
                            <w:sz w:val="19"/>
                          </w:rPr>
                        </w:pPr>
                        <w:r>
                          <w:rPr>
                            <w:w w:val="105"/>
                            <w:sz w:val="19"/>
                          </w:rPr>
                          <w:t>Jalisco</w:t>
                        </w:r>
                      </w:p>
                    </w:tc>
                    <w:tc>
                      <w:tcPr>
                        <w:tcW w:w="939" w:type="dxa"/>
                        <w:tcBorders>
                          <w:top w:val="nil"/>
                          <w:left w:val="nil"/>
                          <w:bottom w:val="nil"/>
                          <w:right w:val="nil"/>
                        </w:tcBorders>
                      </w:tcPr>
                      <w:p>
                        <w:pPr>
                          <w:pStyle w:val="TableParagraph"/>
                          <w:spacing w:before="38"/>
                          <w:ind w:right="126"/>
                          <w:rPr>
                            <w:sz w:val="19"/>
                          </w:rPr>
                        </w:pPr>
                        <w:r>
                          <w:rPr>
                            <w:w w:val="105"/>
                            <w:sz w:val="19"/>
                          </w:rPr>
                          <w:t>1 958</w:t>
                        </w:r>
                      </w:p>
                    </w:tc>
                    <w:tc>
                      <w:tcPr>
                        <w:tcW w:w="730" w:type="dxa"/>
                        <w:tcBorders>
                          <w:top w:val="nil"/>
                          <w:left w:val="nil"/>
                          <w:bottom w:val="nil"/>
                          <w:right w:val="nil"/>
                        </w:tcBorders>
                      </w:tcPr>
                      <w:p>
                        <w:pPr>
                          <w:pStyle w:val="TableParagraph"/>
                          <w:spacing w:before="38"/>
                          <w:ind w:right="150"/>
                          <w:rPr>
                            <w:sz w:val="19"/>
                          </w:rPr>
                        </w:pPr>
                        <w:r>
                          <w:rPr>
                            <w:sz w:val="19"/>
                          </w:rPr>
                          <w:t>8.2</w:t>
                        </w:r>
                      </w:p>
                    </w:tc>
                    <w:tc>
                      <w:tcPr>
                        <w:tcW w:w="771" w:type="dxa"/>
                        <w:tcBorders>
                          <w:top w:val="nil"/>
                          <w:left w:val="nil"/>
                          <w:bottom w:val="nil"/>
                          <w:right w:val="nil"/>
                        </w:tcBorders>
                      </w:tcPr>
                      <w:p>
                        <w:pPr>
                          <w:pStyle w:val="TableParagraph"/>
                          <w:spacing w:before="38"/>
                          <w:ind w:right="67"/>
                          <w:rPr>
                            <w:sz w:val="19"/>
                          </w:rPr>
                        </w:pPr>
                        <w:r>
                          <w:rPr>
                            <w:sz w:val="19"/>
                          </w:rPr>
                          <w:t>1,890</w:t>
                        </w:r>
                      </w:p>
                    </w:tc>
                    <w:tc>
                      <w:tcPr>
                        <w:tcW w:w="628" w:type="dxa"/>
                        <w:tcBorders>
                          <w:top w:val="nil"/>
                          <w:left w:val="nil"/>
                          <w:bottom w:val="nil"/>
                          <w:right w:val="nil"/>
                        </w:tcBorders>
                      </w:tcPr>
                      <w:p>
                        <w:pPr>
                          <w:pStyle w:val="TableParagraph"/>
                          <w:spacing w:before="38"/>
                          <w:ind w:right="107"/>
                          <w:rPr>
                            <w:sz w:val="19"/>
                          </w:rPr>
                        </w:pPr>
                        <w:r>
                          <w:rPr>
                            <w:sz w:val="19"/>
                          </w:rPr>
                          <w:t>8.3</w:t>
                        </w:r>
                      </w:p>
                    </w:tc>
                    <w:tc>
                      <w:tcPr>
                        <w:tcW w:w="659" w:type="dxa"/>
                        <w:tcBorders>
                          <w:top w:val="nil"/>
                          <w:left w:val="nil"/>
                          <w:bottom w:val="nil"/>
                          <w:right w:val="nil"/>
                        </w:tcBorders>
                      </w:tcPr>
                      <w:p>
                        <w:pPr>
                          <w:pStyle w:val="TableParagraph"/>
                          <w:spacing w:before="9"/>
                          <w:ind w:right="149"/>
                          <w:rPr>
                            <w:sz w:val="19"/>
                          </w:rPr>
                        </w:pPr>
                        <w:r>
                          <w:rPr>
                            <w:w w:val="103"/>
                            <w:sz w:val="19"/>
                          </w:rPr>
                          <w:t>4</w:t>
                        </w:r>
                      </w:p>
                    </w:tc>
                    <w:tc>
                      <w:tcPr>
                        <w:tcW w:w="692" w:type="dxa"/>
                        <w:tcBorders>
                          <w:top w:val="nil"/>
                          <w:left w:val="nil"/>
                          <w:bottom w:val="nil"/>
                          <w:right w:val="nil"/>
                        </w:tcBorders>
                      </w:tcPr>
                      <w:p>
                        <w:pPr>
                          <w:pStyle w:val="TableParagraph"/>
                          <w:spacing w:before="9"/>
                          <w:ind w:right="64"/>
                          <w:rPr>
                            <w:sz w:val="19"/>
                          </w:rPr>
                        </w:pPr>
                        <w:r>
                          <w:rPr>
                            <w:w w:val="103"/>
                            <w:sz w:val="19"/>
                          </w:rPr>
                          <w:t>3</w:t>
                        </w:r>
                      </w:p>
                    </w:tc>
                  </w:tr>
                  <w:tr>
                    <w:trPr>
                      <w:trHeight w:val="278" w:hRule="exact"/>
                    </w:trPr>
                    <w:tc>
                      <w:tcPr>
                        <w:tcW w:w="1887" w:type="dxa"/>
                        <w:tcBorders>
                          <w:top w:val="nil"/>
                          <w:left w:val="nil"/>
                          <w:bottom w:val="nil"/>
                          <w:right w:val="nil"/>
                        </w:tcBorders>
                      </w:tcPr>
                      <w:p>
                        <w:pPr>
                          <w:pStyle w:val="TableParagraph"/>
                          <w:spacing w:before="33"/>
                          <w:ind w:left="72"/>
                          <w:jc w:val="left"/>
                          <w:rPr>
                            <w:sz w:val="19"/>
                          </w:rPr>
                        </w:pPr>
                        <w:r>
                          <w:rPr>
                            <w:w w:val="105"/>
                            <w:sz w:val="19"/>
                          </w:rPr>
                          <w:t>México</w:t>
                        </w:r>
                      </w:p>
                    </w:tc>
                    <w:tc>
                      <w:tcPr>
                        <w:tcW w:w="939" w:type="dxa"/>
                        <w:tcBorders>
                          <w:top w:val="nil"/>
                          <w:left w:val="nil"/>
                          <w:bottom w:val="nil"/>
                          <w:right w:val="nil"/>
                        </w:tcBorders>
                      </w:tcPr>
                      <w:p>
                        <w:pPr>
                          <w:pStyle w:val="TableParagraph"/>
                          <w:spacing w:before="33"/>
                          <w:ind w:right="126"/>
                          <w:rPr>
                            <w:sz w:val="19"/>
                          </w:rPr>
                        </w:pPr>
                        <w:r>
                          <w:rPr>
                            <w:w w:val="105"/>
                            <w:sz w:val="19"/>
                          </w:rPr>
                          <w:t>1 993</w:t>
                        </w:r>
                      </w:p>
                    </w:tc>
                    <w:tc>
                      <w:tcPr>
                        <w:tcW w:w="730" w:type="dxa"/>
                        <w:tcBorders>
                          <w:top w:val="nil"/>
                          <w:left w:val="nil"/>
                          <w:bottom w:val="nil"/>
                          <w:right w:val="nil"/>
                        </w:tcBorders>
                      </w:tcPr>
                      <w:p>
                        <w:pPr>
                          <w:pStyle w:val="TableParagraph"/>
                          <w:spacing w:before="33"/>
                          <w:ind w:right="150"/>
                          <w:rPr>
                            <w:sz w:val="19"/>
                          </w:rPr>
                        </w:pPr>
                        <w:r>
                          <w:rPr>
                            <w:sz w:val="19"/>
                          </w:rPr>
                          <w:t>8.4</w:t>
                        </w:r>
                      </w:p>
                    </w:tc>
                    <w:tc>
                      <w:tcPr>
                        <w:tcW w:w="771" w:type="dxa"/>
                        <w:tcBorders>
                          <w:top w:val="nil"/>
                          <w:left w:val="nil"/>
                          <w:bottom w:val="nil"/>
                          <w:right w:val="nil"/>
                        </w:tcBorders>
                      </w:tcPr>
                      <w:p>
                        <w:pPr>
                          <w:pStyle w:val="TableParagraph"/>
                          <w:spacing w:before="33"/>
                          <w:ind w:right="67"/>
                          <w:rPr>
                            <w:sz w:val="19"/>
                          </w:rPr>
                        </w:pPr>
                        <w:r>
                          <w:rPr>
                            <w:w w:val="105"/>
                            <w:sz w:val="19"/>
                          </w:rPr>
                          <w:t>1 653</w:t>
                        </w:r>
                      </w:p>
                    </w:tc>
                    <w:tc>
                      <w:tcPr>
                        <w:tcW w:w="628" w:type="dxa"/>
                        <w:tcBorders>
                          <w:top w:val="nil"/>
                          <w:left w:val="nil"/>
                          <w:bottom w:val="nil"/>
                          <w:right w:val="nil"/>
                        </w:tcBorders>
                      </w:tcPr>
                      <w:p>
                        <w:pPr>
                          <w:pStyle w:val="TableParagraph"/>
                          <w:spacing w:before="33"/>
                          <w:ind w:right="107"/>
                          <w:rPr>
                            <w:sz w:val="19"/>
                          </w:rPr>
                        </w:pPr>
                        <w:r>
                          <w:rPr>
                            <w:sz w:val="19"/>
                          </w:rPr>
                          <w:t>7.3</w:t>
                        </w:r>
                      </w:p>
                    </w:tc>
                    <w:tc>
                      <w:tcPr>
                        <w:tcW w:w="659" w:type="dxa"/>
                        <w:tcBorders>
                          <w:top w:val="nil"/>
                          <w:left w:val="nil"/>
                          <w:bottom w:val="nil"/>
                          <w:right w:val="nil"/>
                        </w:tcBorders>
                      </w:tcPr>
                      <w:p>
                        <w:pPr>
                          <w:pStyle w:val="TableParagraph"/>
                          <w:spacing w:before="9"/>
                          <w:ind w:right="149"/>
                          <w:rPr>
                            <w:sz w:val="19"/>
                          </w:rPr>
                        </w:pPr>
                        <w:r>
                          <w:rPr>
                            <w:w w:val="103"/>
                            <w:sz w:val="19"/>
                          </w:rPr>
                          <w:t>3</w:t>
                        </w:r>
                      </w:p>
                    </w:tc>
                    <w:tc>
                      <w:tcPr>
                        <w:tcW w:w="692" w:type="dxa"/>
                        <w:tcBorders>
                          <w:top w:val="nil"/>
                          <w:left w:val="nil"/>
                          <w:bottom w:val="nil"/>
                          <w:right w:val="nil"/>
                        </w:tcBorders>
                      </w:tcPr>
                      <w:p>
                        <w:pPr>
                          <w:pStyle w:val="TableParagraph"/>
                          <w:spacing w:before="9"/>
                          <w:ind w:right="64"/>
                          <w:rPr>
                            <w:sz w:val="19"/>
                          </w:rPr>
                        </w:pPr>
                        <w:r>
                          <w:rPr>
                            <w:w w:val="103"/>
                            <w:sz w:val="19"/>
                          </w:rPr>
                          <w:t>4</w:t>
                        </w:r>
                      </w:p>
                    </w:tc>
                  </w:tr>
                  <w:tr>
                    <w:trPr>
                      <w:trHeight w:val="281" w:hRule="exact"/>
                    </w:trPr>
                    <w:tc>
                      <w:tcPr>
                        <w:tcW w:w="1887" w:type="dxa"/>
                        <w:tcBorders>
                          <w:top w:val="nil"/>
                          <w:left w:val="nil"/>
                          <w:bottom w:val="nil"/>
                          <w:right w:val="nil"/>
                        </w:tcBorders>
                      </w:tcPr>
                      <w:p>
                        <w:pPr>
                          <w:pStyle w:val="TableParagraph"/>
                          <w:spacing w:before="34"/>
                          <w:ind w:left="71"/>
                          <w:jc w:val="left"/>
                          <w:rPr>
                            <w:sz w:val="19"/>
                          </w:rPr>
                        </w:pPr>
                        <w:r>
                          <w:rPr>
                            <w:w w:val="105"/>
                            <w:sz w:val="19"/>
                          </w:rPr>
                          <w:t>Michoacán</w:t>
                        </w:r>
                      </w:p>
                    </w:tc>
                    <w:tc>
                      <w:tcPr>
                        <w:tcW w:w="939" w:type="dxa"/>
                        <w:tcBorders>
                          <w:top w:val="nil"/>
                          <w:left w:val="nil"/>
                          <w:bottom w:val="nil"/>
                          <w:right w:val="nil"/>
                        </w:tcBorders>
                      </w:tcPr>
                      <w:p>
                        <w:pPr>
                          <w:pStyle w:val="TableParagraph"/>
                          <w:spacing w:before="34"/>
                          <w:ind w:right="126"/>
                          <w:rPr>
                            <w:sz w:val="19"/>
                          </w:rPr>
                        </w:pPr>
                        <w:r>
                          <w:rPr>
                            <w:w w:val="105"/>
                            <w:sz w:val="19"/>
                          </w:rPr>
                          <w:t>2 419</w:t>
                        </w:r>
                      </w:p>
                    </w:tc>
                    <w:tc>
                      <w:tcPr>
                        <w:tcW w:w="730" w:type="dxa"/>
                        <w:tcBorders>
                          <w:top w:val="nil"/>
                          <w:left w:val="nil"/>
                          <w:bottom w:val="nil"/>
                          <w:right w:val="nil"/>
                        </w:tcBorders>
                      </w:tcPr>
                      <w:p>
                        <w:pPr>
                          <w:pStyle w:val="TableParagraph"/>
                          <w:spacing w:before="34"/>
                          <w:ind w:right="151"/>
                          <w:rPr>
                            <w:sz w:val="19"/>
                          </w:rPr>
                        </w:pPr>
                        <w:r>
                          <w:rPr>
                            <w:sz w:val="19"/>
                          </w:rPr>
                          <w:t>10.2</w:t>
                        </w:r>
                      </w:p>
                    </w:tc>
                    <w:tc>
                      <w:tcPr>
                        <w:tcW w:w="771" w:type="dxa"/>
                        <w:tcBorders>
                          <w:top w:val="nil"/>
                          <w:left w:val="nil"/>
                          <w:bottom w:val="nil"/>
                          <w:right w:val="nil"/>
                        </w:tcBorders>
                      </w:tcPr>
                      <w:p>
                        <w:pPr>
                          <w:pStyle w:val="TableParagraph"/>
                          <w:spacing w:before="34"/>
                          <w:ind w:right="67"/>
                          <w:rPr>
                            <w:sz w:val="19"/>
                          </w:rPr>
                        </w:pPr>
                        <w:r>
                          <w:rPr>
                            <w:w w:val="105"/>
                            <w:sz w:val="19"/>
                          </w:rPr>
                          <w:t>2 238</w:t>
                        </w:r>
                      </w:p>
                    </w:tc>
                    <w:tc>
                      <w:tcPr>
                        <w:tcW w:w="628" w:type="dxa"/>
                        <w:tcBorders>
                          <w:top w:val="nil"/>
                          <w:left w:val="nil"/>
                          <w:bottom w:val="nil"/>
                          <w:right w:val="nil"/>
                        </w:tcBorders>
                      </w:tcPr>
                      <w:p>
                        <w:pPr>
                          <w:pStyle w:val="TableParagraph"/>
                          <w:spacing w:before="34"/>
                          <w:ind w:right="108"/>
                          <w:rPr>
                            <w:sz w:val="19"/>
                          </w:rPr>
                        </w:pPr>
                        <w:r>
                          <w:rPr>
                            <w:sz w:val="19"/>
                          </w:rPr>
                          <w:t>9.8</w:t>
                        </w:r>
                      </w:p>
                    </w:tc>
                    <w:tc>
                      <w:tcPr>
                        <w:tcW w:w="659" w:type="dxa"/>
                        <w:tcBorders>
                          <w:top w:val="nil"/>
                          <w:left w:val="nil"/>
                          <w:bottom w:val="nil"/>
                          <w:right w:val="nil"/>
                        </w:tcBorders>
                      </w:tcPr>
                      <w:p>
                        <w:pPr>
                          <w:pStyle w:val="TableParagraph"/>
                          <w:spacing w:before="10"/>
                          <w:ind w:right="149"/>
                          <w:rPr>
                            <w:sz w:val="19"/>
                          </w:rPr>
                        </w:pPr>
                        <w:r>
                          <w:rPr>
                            <w:w w:val="103"/>
                            <w:sz w:val="19"/>
                          </w:rPr>
                          <w:t>1</w:t>
                        </w:r>
                      </w:p>
                    </w:tc>
                    <w:tc>
                      <w:tcPr>
                        <w:tcW w:w="692" w:type="dxa"/>
                        <w:tcBorders>
                          <w:top w:val="nil"/>
                          <w:left w:val="nil"/>
                          <w:bottom w:val="nil"/>
                          <w:right w:val="nil"/>
                        </w:tcBorders>
                      </w:tcPr>
                      <w:p>
                        <w:pPr>
                          <w:pStyle w:val="TableParagraph"/>
                          <w:spacing w:before="10"/>
                          <w:ind w:right="64"/>
                          <w:rPr>
                            <w:sz w:val="19"/>
                          </w:rPr>
                        </w:pPr>
                        <w:r>
                          <w:rPr>
                            <w:w w:val="103"/>
                            <w:sz w:val="19"/>
                          </w:rPr>
                          <w:t>1</w:t>
                        </w:r>
                      </w:p>
                    </w:tc>
                  </w:tr>
                  <w:tr>
                    <w:trPr>
                      <w:trHeight w:val="283" w:hRule="exact"/>
                    </w:trPr>
                    <w:tc>
                      <w:tcPr>
                        <w:tcW w:w="1887" w:type="dxa"/>
                        <w:tcBorders>
                          <w:top w:val="nil"/>
                          <w:left w:val="nil"/>
                          <w:bottom w:val="nil"/>
                          <w:right w:val="nil"/>
                        </w:tcBorders>
                      </w:tcPr>
                      <w:p>
                        <w:pPr>
                          <w:pStyle w:val="TableParagraph"/>
                          <w:spacing w:before="41"/>
                          <w:ind w:left="72"/>
                          <w:jc w:val="left"/>
                          <w:rPr>
                            <w:sz w:val="19"/>
                          </w:rPr>
                        </w:pPr>
                        <w:r>
                          <w:rPr>
                            <w:w w:val="105"/>
                            <w:sz w:val="19"/>
                          </w:rPr>
                          <w:t>Morelos</w:t>
                        </w:r>
                      </w:p>
                    </w:tc>
                    <w:tc>
                      <w:tcPr>
                        <w:tcW w:w="939" w:type="dxa"/>
                        <w:tcBorders>
                          <w:top w:val="nil"/>
                          <w:left w:val="nil"/>
                          <w:bottom w:val="nil"/>
                          <w:right w:val="nil"/>
                        </w:tcBorders>
                      </w:tcPr>
                      <w:p>
                        <w:pPr>
                          <w:pStyle w:val="TableParagraph"/>
                          <w:spacing w:before="41"/>
                          <w:ind w:right="126"/>
                          <w:rPr>
                            <w:sz w:val="19"/>
                          </w:rPr>
                        </w:pPr>
                        <w:r>
                          <w:rPr>
                            <w:sz w:val="19"/>
                          </w:rPr>
                          <w:t>556</w:t>
                        </w:r>
                      </w:p>
                    </w:tc>
                    <w:tc>
                      <w:tcPr>
                        <w:tcW w:w="730" w:type="dxa"/>
                        <w:tcBorders>
                          <w:top w:val="nil"/>
                          <w:left w:val="nil"/>
                          <w:bottom w:val="nil"/>
                          <w:right w:val="nil"/>
                        </w:tcBorders>
                      </w:tcPr>
                      <w:p>
                        <w:pPr>
                          <w:pStyle w:val="TableParagraph"/>
                          <w:spacing w:before="41"/>
                          <w:ind w:right="150"/>
                          <w:rPr>
                            <w:sz w:val="19"/>
                          </w:rPr>
                        </w:pPr>
                        <w:r>
                          <w:rPr>
                            <w:sz w:val="19"/>
                          </w:rPr>
                          <w:t>2.3</w:t>
                        </w:r>
                      </w:p>
                    </w:tc>
                    <w:tc>
                      <w:tcPr>
                        <w:tcW w:w="771" w:type="dxa"/>
                        <w:tcBorders>
                          <w:top w:val="nil"/>
                          <w:left w:val="nil"/>
                          <w:bottom w:val="nil"/>
                          <w:right w:val="nil"/>
                        </w:tcBorders>
                      </w:tcPr>
                      <w:p>
                        <w:pPr>
                          <w:pStyle w:val="TableParagraph"/>
                          <w:spacing w:before="41"/>
                          <w:ind w:right="67"/>
                          <w:rPr>
                            <w:sz w:val="19"/>
                          </w:rPr>
                        </w:pPr>
                        <w:r>
                          <w:rPr>
                            <w:sz w:val="19"/>
                          </w:rPr>
                          <w:t>585</w:t>
                        </w:r>
                      </w:p>
                    </w:tc>
                    <w:tc>
                      <w:tcPr>
                        <w:tcW w:w="628" w:type="dxa"/>
                        <w:tcBorders>
                          <w:top w:val="nil"/>
                          <w:left w:val="nil"/>
                          <w:bottom w:val="nil"/>
                          <w:right w:val="nil"/>
                        </w:tcBorders>
                      </w:tcPr>
                      <w:p>
                        <w:pPr>
                          <w:pStyle w:val="TableParagraph"/>
                          <w:spacing w:before="41"/>
                          <w:ind w:right="107"/>
                          <w:rPr>
                            <w:sz w:val="19"/>
                          </w:rPr>
                        </w:pPr>
                        <w:r>
                          <w:rPr>
                            <w:sz w:val="19"/>
                          </w:rPr>
                          <w:t>2.6</w:t>
                        </w:r>
                      </w:p>
                    </w:tc>
                    <w:tc>
                      <w:tcPr>
                        <w:tcW w:w="659" w:type="dxa"/>
                        <w:tcBorders>
                          <w:top w:val="nil"/>
                          <w:left w:val="nil"/>
                          <w:bottom w:val="nil"/>
                          <w:right w:val="nil"/>
                        </w:tcBorders>
                      </w:tcPr>
                      <w:p>
                        <w:pPr>
                          <w:pStyle w:val="TableParagraph"/>
                          <w:spacing w:before="12"/>
                          <w:ind w:right="147"/>
                          <w:rPr>
                            <w:sz w:val="19"/>
                          </w:rPr>
                        </w:pPr>
                        <w:r>
                          <w:rPr>
                            <w:sz w:val="19"/>
                          </w:rPr>
                          <w:t>14</w:t>
                        </w:r>
                      </w:p>
                    </w:tc>
                    <w:tc>
                      <w:tcPr>
                        <w:tcW w:w="692" w:type="dxa"/>
                        <w:tcBorders>
                          <w:top w:val="nil"/>
                          <w:left w:val="nil"/>
                          <w:bottom w:val="nil"/>
                          <w:right w:val="nil"/>
                        </w:tcBorders>
                      </w:tcPr>
                      <w:p>
                        <w:pPr>
                          <w:pStyle w:val="TableParagraph"/>
                          <w:spacing w:before="12"/>
                          <w:ind w:right="62"/>
                          <w:rPr>
                            <w:sz w:val="19"/>
                          </w:rPr>
                        </w:pPr>
                        <w:r>
                          <w:rPr>
                            <w:sz w:val="19"/>
                          </w:rPr>
                          <w:t>14</w:t>
                        </w:r>
                      </w:p>
                    </w:tc>
                  </w:tr>
                  <w:tr>
                    <w:trPr>
                      <w:trHeight w:val="276" w:hRule="exact"/>
                    </w:trPr>
                    <w:tc>
                      <w:tcPr>
                        <w:tcW w:w="1887" w:type="dxa"/>
                        <w:tcBorders>
                          <w:top w:val="nil"/>
                          <w:left w:val="nil"/>
                          <w:bottom w:val="nil"/>
                          <w:right w:val="nil"/>
                        </w:tcBorders>
                      </w:tcPr>
                      <w:p>
                        <w:pPr>
                          <w:pStyle w:val="TableParagraph"/>
                          <w:spacing w:before="31"/>
                          <w:ind w:left="72"/>
                          <w:jc w:val="left"/>
                          <w:rPr>
                            <w:sz w:val="19"/>
                          </w:rPr>
                        </w:pPr>
                        <w:r>
                          <w:rPr>
                            <w:w w:val="105"/>
                            <w:sz w:val="19"/>
                          </w:rPr>
                          <w:t>Nayarit</w:t>
                        </w:r>
                      </w:p>
                    </w:tc>
                    <w:tc>
                      <w:tcPr>
                        <w:tcW w:w="939" w:type="dxa"/>
                        <w:tcBorders>
                          <w:top w:val="nil"/>
                          <w:left w:val="nil"/>
                          <w:bottom w:val="nil"/>
                          <w:right w:val="nil"/>
                        </w:tcBorders>
                      </w:tcPr>
                      <w:p>
                        <w:pPr>
                          <w:pStyle w:val="TableParagraph"/>
                          <w:spacing w:before="31"/>
                          <w:ind w:right="126"/>
                          <w:rPr>
                            <w:sz w:val="19"/>
                          </w:rPr>
                        </w:pPr>
                        <w:r>
                          <w:rPr>
                            <w:sz w:val="19"/>
                          </w:rPr>
                          <w:t>332</w:t>
                        </w:r>
                      </w:p>
                    </w:tc>
                    <w:tc>
                      <w:tcPr>
                        <w:tcW w:w="730" w:type="dxa"/>
                        <w:tcBorders>
                          <w:top w:val="nil"/>
                          <w:left w:val="nil"/>
                          <w:bottom w:val="nil"/>
                          <w:right w:val="nil"/>
                        </w:tcBorders>
                      </w:tcPr>
                      <w:p>
                        <w:pPr>
                          <w:pStyle w:val="TableParagraph"/>
                          <w:spacing w:before="31"/>
                          <w:ind w:right="150"/>
                          <w:rPr>
                            <w:sz w:val="19"/>
                          </w:rPr>
                        </w:pPr>
                        <w:r>
                          <w:rPr>
                            <w:sz w:val="19"/>
                          </w:rPr>
                          <w:t>1.4</w:t>
                        </w:r>
                      </w:p>
                    </w:tc>
                    <w:tc>
                      <w:tcPr>
                        <w:tcW w:w="771" w:type="dxa"/>
                        <w:tcBorders>
                          <w:top w:val="nil"/>
                          <w:left w:val="nil"/>
                          <w:bottom w:val="nil"/>
                          <w:right w:val="nil"/>
                        </w:tcBorders>
                      </w:tcPr>
                      <w:p>
                        <w:pPr>
                          <w:pStyle w:val="TableParagraph"/>
                          <w:spacing w:before="31"/>
                          <w:ind w:right="67"/>
                          <w:rPr>
                            <w:sz w:val="19"/>
                          </w:rPr>
                        </w:pPr>
                        <w:r>
                          <w:rPr>
                            <w:sz w:val="19"/>
                          </w:rPr>
                          <w:t>355</w:t>
                        </w:r>
                      </w:p>
                    </w:tc>
                    <w:tc>
                      <w:tcPr>
                        <w:tcW w:w="628" w:type="dxa"/>
                        <w:tcBorders>
                          <w:top w:val="nil"/>
                          <w:left w:val="nil"/>
                          <w:bottom w:val="nil"/>
                          <w:right w:val="nil"/>
                        </w:tcBorders>
                      </w:tcPr>
                      <w:p>
                        <w:pPr>
                          <w:pStyle w:val="TableParagraph"/>
                          <w:spacing w:before="31"/>
                          <w:ind w:right="107"/>
                          <w:rPr>
                            <w:sz w:val="19"/>
                          </w:rPr>
                        </w:pPr>
                        <w:r>
                          <w:rPr>
                            <w:sz w:val="19"/>
                          </w:rPr>
                          <w:t>1.6</w:t>
                        </w:r>
                      </w:p>
                    </w:tc>
                    <w:tc>
                      <w:tcPr>
                        <w:tcW w:w="659" w:type="dxa"/>
                        <w:tcBorders>
                          <w:top w:val="nil"/>
                          <w:left w:val="nil"/>
                          <w:bottom w:val="nil"/>
                          <w:right w:val="nil"/>
                        </w:tcBorders>
                      </w:tcPr>
                      <w:p>
                        <w:pPr>
                          <w:pStyle w:val="TableParagraph"/>
                          <w:spacing w:before="7"/>
                          <w:ind w:right="147"/>
                          <w:rPr>
                            <w:sz w:val="19"/>
                          </w:rPr>
                        </w:pPr>
                        <w:r>
                          <w:rPr>
                            <w:sz w:val="19"/>
                          </w:rPr>
                          <w:t>23</w:t>
                        </w:r>
                      </w:p>
                    </w:tc>
                    <w:tc>
                      <w:tcPr>
                        <w:tcW w:w="692" w:type="dxa"/>
                        <w:tcBorders>
                          <w:top w:val="nil"/>
                          <w:left w:val="nil"/>
                          <w:bottom w:val="nil"/>
                          <w:right w:val="nil"/>
                        </w:tcBorders>
                      </w:tcPr>
                      <w:p>
                        <w:pPr>
                          <w:pStyle w:val="TableParagraph"/>
                          <w:spacing w:before="7"/>
                          <w:ind w:right="62"/>
                          <w:rPr>
                            <w:sz w:val="19"/>
                          </w:rPr>
                        </w:pPr>
                        <w:r>
                          <w:rPr>
                            <w:sz w:val="19"/>
                          </w:rPr>
                          <w:t>21</w:t>
                        </w:r>
                      </w:p>
                    </w:tc>
                  </w:tr>
                  <w:tr>
                    <w:trPr>
                      <w:trHeight w:val="278" w:hRule="exact"/>
                    </w:trPr>
                    <w:tc>
                      <w:tcPr>
                        <w:tcW w:w="1887" w:type="dxa"/>
                        <w:tcBorders>
                          <w:top w:val="nil"/>
                          <w:left w:val="nil"/>
                          <w:bottom w:val="nil"/>
                          <w:right w:val="nil"/>
                        </w:tcBorders>
                      </w:tcPr>
                      <w:p>
                        <w:pPr>
                          <w:pStyle w:val="TableParagraph"/>
                          <w:spacing w:before="34"/>
                          <w:ind w:left="72"/>
                          <w:jc w:val="left"/>
                          <w:rPr>
                            <w:sz w:val="19"/>
                          </w:rPr>
                        </w:pPr>
                        <w:r>
                          <w:rPr>
                            <w:w w:val="105"/>
                            <w:sz w:val="19"/>
                          </w:rPr>
                          <w:t>Nuevo León</w:t>
                        </w:r>
                      </w:p>
                    </w:tc>
                    <w:tc>
                      <w:tcPr>
                        <w:tcW w:w="939" w:type="dxa"/>
                        <w:tcBorders>
                          <w:top w:val="nil"/>
                          <w:left w:val="nil"/>
                          <w:bottom w:val="nil"/>
                          <w:right w:val="nil"/>
                        </w:tcBorders>
                      </w:tcPr>
                      <w:p>
                        <w:pPr>
                          <w:pStyle w:val="TableParagraph"/>
                          <w:spacing w:before="34"/>
                          <w:ind w:right="126"/>
                          <w:rPr>
                            <w:sz w:val="19"/>
                          </w:rPr>
                        </w:pPr>
                        <w:r>
                          <w:rPr>
                            <w:sz w:val="19"/>
                          </w:rPr>
                          <w:t>342</w:t>
                        </w:r>
                      </w:p>
                    </w:tc>
                    <w:tc>
                      <w:tcPr>
                        <w:tcW w:w="730" w:type="dxa"/>
                        <w:tcBorders>
                          <w:top w:val="nil"/>
                          <w:left w:val="nil"/>
                          <w:bottom w:val="nil"/>
                          <w:right w:val="nil"/>
                        </w:tcBorders>
                      </w:tcPr>
                      <w:p>
                        <w:pPr>
                          <w:pStyle w:val="TableParagraph"/>
                          <w:spacing w:before="34"/>
                          <w:ind w:right="149"/>
                          <w:rPr>
                            <w:sz w:val="19"/>
                          </w:rPr>
                        </w:pPr>
                        <w:r>
                          <w:rPr>
                            <w:sz w:val="19"/>
                          </w:rPr>
                          <w:t>1.4</w:t>
                        </w:r>
                      </w:p>
                    </w:tc>
                    <w:tc>
                      <w:tcPr>
                        <w:tcW w:w="771" w:type="dxa"/>
                        <w:tcBorders>
                          <w:top w:val="nil"/>
                          <w:left w:val="nil"/>
                          <w:bottom w:val="nil"/>
                          <w:right w:val="nil"/>
                        </w:tcBorders>
                      </w:tcPr>
                      <w:p>
                        <w:pPr>
                          <w:pStyle w:val="TableParagraph"/>
                          <w:spacing w:before="34"/>
                          <w:ind w:right="67"/>
                          <w:rPr>
                            <w:sz w:val="19"/>
                          </w:rPr>
                        </w:pPr>
                        <w:r>
                          <w:rPr>
                            <w:sz w:val="19"/>
                          </w:rPr>
                          <w:t>308</w:t>
                        </w:r>
                      </w:p>
                    </w:tc>
                    <w:tc>
                      <w:tcPr>
                        <w:tcW w:w="628" w:type="dxa"/>
                        <w:tcBorders>
                          <w:top w:val="nil"/>
                          <w:left w:val="nil"/>
                          <w:bottom w:val="nil"/>
                          <w:right w:val="nil"/>
                        </w:tcBorders>
                      </w:tcPr>
                      <w:p>
                        <w:pPr>
                          <w:pStyle w:val="TableParagraph"/>
                          <w:spacing w:before="34"/>
                          <w:ind w:right="107"/>
                          <w:rPr>
                            <w:sz w:val="19"/>
                          </w:rPr>
                        </w:pPr>
                        <w:r>
                          <w:rPr>
                            <w:sz w:val="19"/>
                          </w:rPr>
                          <w:t>1.4</w:t>
                        </w:r>
                      </w:p>
                    </w:tc>
                    <w:tc>
                      <w:tcPr>
                        <w:tcW w:w="659" w:type="dxa"/>
                        <w:tcBorders>
                          <w:top w:val="nil"/>
                          <w:left w:val="nil"/>
                          <w:bottom w:val="nil"/>
                          <w:right w:val="nil"/>
                        </w:tcBorders>
                      </w:tcPr>
                      <w:p>
                        <w:pPr>
                          <w:pStyle w:val="TableParagraph"/>
                          <w:spacing w:before="10"/>
                          <w:ind w:right="147"/>
                          <w:rPr>
                            <w:sz w:val="19"/>
                          </w:rPr>
                        </w:pPr>
                        <w:r>
                          <w:rPr>
                            <w:sz w:val="19"/>
                          </w:rPr>
                          <w:t>21</w:t>
                        </w:r>
                      </w:p>
                    </w:tc>
                    <w:tc>
                      <w:tcPr>
                        <w:tcW w:w="692" w:type="dxa"/>
                        <w:tcBorders>
                          <w:top w:val="nil"/>
                          <w:left w:val="nil"/>
                          <w:bottom w:val="nil"/>
                          <w:right w:val="nil"/>
                        </w:tcBorders>
                      </w:tcPr>
                      <w:p>
                        <w:pPr>
                          <w:pStyle w:val="TableParagraph"/>
                          <w:spacing w:before="10"/>
                          <w:ind w:right="62"/>
                          <w:rPr>
                            <w:sz w:val="19"/>
                          </w:rPr>
                        </w:pPr>
                        <w:r>
                          <w:rPr>
                            <w:sz w:val="19"/>
                          </w:rPr>
                          <w:t>24</w:t>
                        </w:r>
                      </w:p>
                    </w:tc>
                  </w:tr>
                  <w:tr>
                    <w:trPr>
                      <w:trHeight w:val="281" w:hRule="exact"/>
                    </w:trPr>
                    <w:tc>
                      <w:tcPr>
                        <w:tcW w:w="1887" w:type="dxa"/>
                        <w:tcBorders>
                          <w:top w:val="nil"/>
                          <w:left w:val="nil"/>
                          <w:bottom w:val="nil"/>
                          <w:right w:val="nil"/>
                        </w:tcBorders>
                      </w:tcPr>
                      <w:p>
                        <w:pPr>
                          <w:pStyle w:val="TableParagraph"/>
                          <w:spacing w:before="34"/>
                          <w:ind w:left="72"/>
                          <w:jc w:val="left"/>
                          <w:rPr>
                            <w:sz w:val="19"/>
                          </w:rPr>
                        </w:pPr>
                        <w:r>
                          <w:rPr>
                            <w:w w:val="105"/>
                            <w:sz w:val="19"/>
                          </w:rPr>
                          <w:t>Oaxaca</w:t>
                        </w:r>
                      </w:p>
                    </w:tc>
                    <w:tc>
                      <w:tcPr>
                        <w:tcW w:w="939" w:type="dxa"/>
                        <w:tcBorders>
                          <w:top w:val="nil"/>
                          <w:left w:val="nil"/>
                          <w:bottom w:val="nil"/>
                          <w:right w:val="nil"/>
                        </w:tcBorders>
                      </w:tcPr>
                      <w:p>
                        <w:pPr>
                          <w:pStyle w:val="TableParagraph"/>
                          <w:spacing w:before="34"/>
                          <w:ind w:right="126"/>
                          <w:rPr>
                            <w:sz w:val="19"/>
                          </w:rPr>
                        </w:pPr>
                        <w:r>
                          <w:rPr>
                            <w:w w:val="105"/>
                            <w:sz w:val="19"/>
                          </w:rPr>
                          <w:t>1 180</w:t>
                        </w:r>
                      </w:p>
                    </w:tc>
                    <w:tc>
                      <w:tcPr>
                        <w:tcW w:w="730" w:type="dxa"/>
                        <w:tcBorders>
                          <w:top w:val="nil"/>
                          <w:left w:val="nil"/>
                          <w:bottom w:val="nil"/>
                          <w:right w:val="nil"/>
                        </w:tcBorders>
                      </w:tcPr>
                      <w:p>
                        <w:pPr>
                          <w:pStyle w:val="TableParagraph"/>
                          <w:spacing w:before="34"/>
                          <w:ind w:right="149"/>
                          <w:rPr>
                            <w:sz w:val="19"/>
                          </w:rPr>
                        </w:pPr>
                        <w:r>
                          <w:rPr>
                            <w:sz w:val="19"/>
                          </w:rPr>
                          <w:t>5.0</w:t>
                        </w:r>
                      </w:p>
                    </w:tc>
                    <w:tc>
                      <w:tcPr>
                        <w:tcW w:w="771" w:type="dxa"/>
                        <w:tcBorders>
                          <w:top w:val="nil"/>
                          <w:left w:val="nil"/>
                          <w:bottom w:val="nil"/>
                          <w:right w:val="nil"/>
                        </w:tcBorders>
                      </w:tcPr>
                      <w:p>
                        <w:pPr>
                          <w:pStyle w:val="TableParagraph"/>
                          <w:spacing w:before="34"/>
                          <w:ind w:right="67"/>
                          <w:rPr>
                            <w:sz w:val="19"/>
                          </w:rPr>
                        </w:pPr>
                        <w:r>
                          <w:rPr>
                            <w:w w:val="105"/>
                            <w:sz w:val="19"/>
                          </w:rPr>
                          <w:t>1 423</w:t>
                        </w:r>
                      </w:p>
                    </w:tc>
                    <w:tc>
                      <w:tcPr>
                        <w:tcW w:w="628" w:type="dxa"/>
                        <w:tcBorders>
                          <w:top w:val="nil"/>
                          <w:left w:val="nil"/>
                          <w:bottom w:val="nil"/>
                          <w:right w:val="nil"/>
                        </w:tcBorders>
                      </w:tcPr>
                      <w:p>
                        <w:pPr>
                          <w:pStyle w:val="TableParagraph"/>
                          <w:spacing w:before="34"/>
                          <w:ind w:right="107"/>
                          <w:rPr>
                            <w:sz w:val="19"/>
                          </w:rPr>
                        </w:pPr>
                        <w:r>
                          <w:rPr>
                            <w:sz w:val="19"/>
                          </w:rPr>
                          <w:t>6.3</w:t>
                        </w:r>
                      </w:p>
                    </w:tc>
                    <w:tc>
                      <w:tcPr>
                        <w:tcW w:w="659" w:type="dxa"/>
                        <w:tcBorders>
                          <w:top w:val="nil"/>
                          <w:left w:val="nil"/>
                          <w:bottom w:val="nil"/>
                          <w:right w:val="nil"/>
                        </w:tcBorders>
                      </w:tcPr>
                      <w:p>
                        <w:pPr>
                          <w:pStyle w:val="TableParagraph"/>
                          <w:spacing w:before="10"/>
                          <w:ind w:right="149"/>
                          <w:rPr>
                            <w:sz w:val="19"/>
                          </w:rPr>
                        </w:pPr>
                        <w:r>
                          <w:rPr>
                            <w:w w:val="103"/>
                            <w:sz w:val="19"/>
                          </w:rPr>
                          <w:t>9</w:t>
                        </w:r>
                      </w:p>
                    </w:tc>
                    <w:tc>
                      <w:tcPr>
                        <w:tcW w:w="692" w:type="dxa"/>
                        <w:tcBorders>
                          <w:top w:val="nil"/>
                          <w:left w:val="nil"/>
                          <w:bottom w:val="nil"/>
                          <w:right w:val="nil"/>
                        </w:tcBorders>
                      </w:tcPr>
                      <w:p>
                        <w:pPr>
                          <w:pStyle w:val="TableParagraph"/>
                          <w:spacing w:before="10"/>
                          <w:ind w:right="64"/>
                          <w:rPr>
                            <w:sz w:val="19"/>
                          </w:rPr>
                        </w:pPr>
                        <w:r>
                          <w:rPr>
                            <w:w w:val="103"/>
                            <w:sz w:val="19"/>
                          </w:rPr>
                          <w:t>6</w:t>
                        </w:r>
                      </w:p>
                    </w:tc>
                  </w:tr>
                  <w:tr>
                    <w:trPr>
                      <w:trHeight w:val="286" w:hRule="exact"/>
                    </w:trPr>
                    <w:tc>
                      <w:tcPr>
                        <w:tcW w:w="1887" w:type="dxa"/>
                        <w:tcBorders>
                          <w:top w:val="nil"/>
                          <w:left w:val="nil"/>
                          <w:bottom w:val="nil"/>
                          <w:right w:val="nil"/>
                        </w:tcBorders>
                      </w:tcPr>
                      <w:p>
                        <w:pPr>
                          <w:pStyle w:val="TableParagraph"/>
                          <w:spacing w:before="41"/>
                          <w:ind w:left="72"/>
                          <w:jc w:val="left"/>
                          <w:rPr>
                            <w:sz w:val="19"/>
                          </w:rPr>
                        </w:pPr>
                        <w:r>
                          <w:rPr>
                            <w:w w:val="105"/>
                            <w:sz w:val="19"/>
                          </w:rPr>
                          <w:t>Puebla</w:t>
                        </w:r>
                      </w:p>
                    </w:tc>
                    <w:tc>
                      <w:tcPr>
                        <w:tcW w:w="939" w:type="dxa"/>
                        <w:tcBorders>
                          <w:top w:val="nil"/>
                          <w:left w:val="nil"/>
                          <w:bottom w:val="nil"/>
                          <w:right w:val="nil"/>
                        </w:tcBorders>
                      </w:tcPr>
                      <w:p>
                        <w:pPr>
                          <w:pStyle w:val="TableParagraph"/>
                          <w:spacing w:before="41"/>
                          <w:ind w:right="126"/>
                          <w:rPr>
                            <w:sz w:val="19"/>
                          </w:rPr>
                        </w:pPr>
                        <w:r>
                          <w:rPr>
                            <w:w w:val="105"/>
                            <w:sz w:val="19"/>
                          </w:rPr>
                          <w:t>1 376</w:t>
                        </w:r>
                      </w:p>
                    </w:tc>
                    <w:tc>
                      <w:tcPr>
                        <w:tcW w:w="730" w:type="dxa"/>
                        <w:tcBorders>
                          <w:top w:val="nil"/>
                          <w:left w:val="nil"/>
                          <w:bottom w:val="nil"/>
                          <w:right w:val="nil"/>
                        </w:tcBorders>
                      </w:tcPr>
                      <w:p>
                        <w:pPr>
                          <w:pStyle w:val="TableParagraph"/>
                          <w:spacing w:before="41"/>
                          <w:ind w:right="150"/>
                          <w:rPr>
                            <w:sz w:val="19"/>
                          </w:rPr>
                        </w:pPr>
                        <w:r>
                          <w:rPr>
                            <w:sz w:val="19"/>
                          </w:rPr>
                          <w:t>5.8</w:t>
                        </w:r>
                      </w:p>
                    </w:tc>
                    <w:tc>
                      <w:tcPr>
                        <w:tcW w:w="771" w:type="dxa"/>
                        <w:tcBorders>
                          <w:top w:val="nil"/>
                          <w:left w:val="nil"/>
                          <w:bottom w:val="nil"/>
                          <w:right w:val="nil"/>
                        </w:tcBorders>
                      </w:tcPr>
                      <w:p>
                        <w:pPr>
                          <w:pStyle w:val="TableParagraph"/>
                          <w:spacing w:before="41"/>
                          <w:ind w:right="67"/>
                          <w:rPr>
                            <w:sz w:val="19"/>
                          </w:rPr>
                        </w:pPr>
                        <w:r>
                          <w:rPr>
                            <w:w w:val="105"/>
                            <w:sz w:val="19"/>
                          </w:rPr>
                          <w:t>1 465</w:t>
                        </w:r>
                      </w:p>
                    </w:tc>
                    <w:tc>
                      <w:tcPr>
                        <w:tcW w:w="628" w:type="dxa"/>
                        <w:tcBorders>
                          <w:top w:val="nil"/>
                          <w:left w:val="nil"/>
                          <w:bottom w:val="nil"/>
                          <w:right w:val="nil"/>
                        </w:tcBorders>
                      </w:tcPr>
                      <w:p>
                        <w:pPr>
                          <w:pStyle w:val="TableParagraph"/>
                          <w:spacing w:before="41"/>
                          <w:ind w:right="107"/>
                          <w:rPr>
                            <w:sz w:val="19"/>
                          </w:rPr>
                        </w:pPr>
                        <w:r>
                          <w:rPr>
                            <w:sz w:val="19"/>
                          </w:rPr>
                          <w:t>6.4</w:t>
                        </w:r>
                      </w:p>
                    </w:tc>
                    <w:tc>
                      <w:tcPr>
                        <w:tcW w:w="659" w:type="dxa"/>
                        <w:tcBorders>
                          <w:top w:val="nil"/>
                          <w:left w:val="nil"/>
                          <w:bottom w:val="nil"/>
                          <w:right w:val="nil"/>
                        </w:tcBorders>
                      </w:tcPr>
                      <w:p>
                        <w:pPr>
                          <w:pStyle w:val="TableParagraph"/>
                          <w:spacing w:before="12"/>
                          <w:ind w:right="149"/>
                          <w:rPr>
                            <w:sz w:val="19"/>
                          </w:rPr>
                        </w:pPr>
                        <w:r>
                          <w:rPr>
                            <w:w w:val="103"/>
                            <w:sz w:val="19"/>
                          </w:rPr>
                          <w:t>7</w:t>
                        </w:r>
                      </w:p>
                    </w:tc>
                    <w:tc>
                      <w:tcPr>
                        <w:tcW w:w="692" w:type="dxa"/>
                        <w:tcBorders>
                          <w:top w:val="nil"/>
                          <w:left w:val="nil"/>
                          <w:bottom w:val="nil"/>
                          <w:right w:val="nil"/>
                        </w:tcBorders>
                      </w:tcPr>
                      <w:p>
                        <w:pPr>
                          <w:pStyle w:val="TableParagraph"/>
                          <w:spacing w:before="12"/>
                          <w:ind w:right="64"/>
                          <w:rPr>
                            <w:sz w:val="19"/>
                          </w:rPr>
                        </w:pPr>
                        <w:r>
                          <w:rPr>
                            <w:w w:val="103"/>
                            <w:sz w:val="19"/>
                          </w:rPr>
                          <w:t>5</w:t>
                        </w:r>
                      </w:p>
                    </w:tc>
                  </w:tr>
                  <w:tr>
                    <w:trPr>
                      <w:trHeight w:val="278" w:hRule="exact"/>
                    </w:trPr>
                    <w:tc>
                      <w:tcPr>
                        <w:tcW w:w="1887" w:type="dxa"/>
                        <w:tcBorders>
                          <w:top w:val="nil"/>
                          <w:left w:val="nil"/>
                          <w:bottom w:val="nil"/>
                          <w:right w:val="nil"/>
                        </w:tcBorders>
                      </w:tcPr>
                      <w:p>
                        <w:pPr>
                          <w:pStyle w:val="TableParagraph"/>
                          <w:spacing w:before="33"/>
                          <w:ind w:left="72"/>
                          <w:jc w:val="left"/>
                          <w:rPr>
                            <w:sz w:val="19"/>
                          </w:rPr>
                        </w:pPr>
                        <w:r>
                          <w:rPr>
                            <w:w w:val="105"/>
                            <w:sz w:val="19"/>
                          </w:rPr>
                          <w:t>Querétaro</w:t>
                        </w:r>
                      </w:p>
                    </w:tc>
                    <w:tc>
                      <w:tcPr>
                        <w:tcW w:w="939" w:type="dxa"/>
                        <w:tcBorders>
                          <w:top w:val="nil"/>
                          <w:left w:val="nil"/>
                          <w:bottom w:val="nil"/>
                          <w:right w:val="nil"/>
                        </w:tcBorders>
                      </w:tcPr>
                      <w:p>
                        <w:pPr>
                          <w:pStyle w:val="TableParagraph"/>
                          <w:spacing w:before="33"/>
                          <w:ind w:right="126"/>
                          <w:rPr>
                            <w:sz w:val="19"/>
                          </w:rPr>
                        </w:pPr>
                        <w:r>
                          <w:rPr>
                            <w:sz w:val="19"/>
                          </w:rPr>
                          <w:t>458</w:t>
                        </w:r>
                      </w:p>
                    </w:tc>
                    <w:tc>
                      <w:tcPr>
                        <w:tcW w:w="730" w:type="dxa"/>
                        <w:tcBorders>
                          <w:top w:val="nil"/>
                          <w:left w:val="nil"/>
                          <w:bottom w:val="nil"/>
                          <w:right w:val="nil"/>
                        </w:tcBorders>
                      </w:tcPr>
                      <w:p>
                        <w:pPr>
                          <w:pStyle w:val="TableParagraph"/>
                          <w:spacing w:before="33"/>
                          <w:ind w:right="150"/>
                          <w:rPr>
                            <w:sz w:val="19"/>
                          </w:rPr>
                        </w:pPr>
                        <w:r>
                          <w:rPr>
                            <w:sz w:val="19"/>
                          </w:rPr>
                          <w:t>1.9</w:t>
                        </w:r>
                      </w:p>
                    </w:tc>
                    <w:tc>
                      <w:tcPr>
                        <w:tcW w:w="771" w:type="dxa"/>
                        <w:tcBorders>
                          <w:top w:val="nil"/>
                          <w:left w:val="nil"/>
                          <w:bottom w:val="nil"/>
                          <w:right w:val="nil"/>
                        </w:tcBorders>
                      </w:tcPr>
                      <w:p>
                        <w:pPr>
                          <w:pStyle w:val="TableParagraph"/>
                          <w:spacing w:before="33"/>
                          <w:ind w:right="67"/>
                          <w:rPr>
                            <w:sz w:val="19"/>
                          </w:rPr>
                        </w:pPr>
                        <w:r>
                          <w:rPr>
                            <w:sz w:val="19"/>
                          </w:rPr>
                          <w:t>382</w:t>
                        </w:r>
                      </w:p>
                    </w:tc>
                    <w:tc>
                      <w:tcPr>
                        <w:tcW w:w="628" w:type="dxa"/>
                        <w:tcBorders>
                          <w:top w:val="nil"/>
                          <w:left w:val="nil"/>
                          <w:bottom w:val="nil"/>
                          <w:right w:val="nil"/>
                        </w:tcBorders>
                      </w:tcPr>
                      <w:p>
                        <w:pPr>
                          <w:pStyle w:val="TableParagraph"/>
                          <w:spacing w:before="33"/>
                          <w:ind w:right="107"/>
                          <w:rPr>
                            <w:sz w:val="19"/>
                          </w:rPr>
                        </w:pPr>
                        <w:r>
                          <w:rPr>
                            <w:sz w:val="19"/>
                          </w:rPr>
                          <w:t>1.7</w:t>
                        </w:r>
                      </w:p>
                    </w:tc>
                    <w:tc>
                      <w:tcPr>
                        <w:tcW w:w="659" w:type="dxa"/>
                        <w:tcBorders>
                          <w:top w:val="nil"/>
                          <w:left w:val="nil"/>
                          <w:bottom w:val="nil"/>
                          <w:right w:val="nil"/>
                        </w:tcBorders>
                      </w:tcPr>
                      <w:p>
                        <w:pPr>
                          <w:pStyle w:val="TableParagraph"/>
                          <w:spacing w:before="9"/>
                          <w:ind w:right="147"/>
                          <w:rPr>
                            <w:sz w:val="19"/>
                          </w:rPr>
                        </w:pPr>
                        <w:r>
                          <w:rPr>
                            <w:sz w:val="19"/>
                          </w:rPr>
                          <w:t>17</w:t>
                        </w:r>
                      </w:p>
                    </w:tc>
                    <w:tc>
                      <w:tcPr>
                        <w:tcW w:w="692" w:type="dxa"/>
                        <w:tcBorders>
                          <w:top w:val="nil"/>
                          <w:left w:val="nil"/>
                          <w:bottom w:val="nil"/>
                          <w:right w:val="nil"/>
                        </w:tcBorders>
                      </w:tcPr>
                      <w:p>
                        <w:pPr>
                          <w:pStyle w:val="TableParagraph"/>
                          <w:spacing w:before="9"/>
                          <w:ind w:right="62"/>
                          <w:rPr>
                            <w:sz w:val="19"/>
                          </w:rPr>
                        </w:pPr>
                        <w:r>
                          <w:rPr>
                            <w:sz w:val="19"/>
                          </w:rPr>
                          <w:t>20</w:t>
                        </w:r>
                      </w:p>
                    </w:tc>
                  </w:tr>
                  <w:tr>
                    <w:trPr>
                      <w:trHeight w:val="281" w:hRule="exact"/>
                    </w:trPr>
                    <w:tc>
                      <w:tcPr>
                        <w:tcW w:w="1887" w:type="dxa"/>
                        <w:tcBorders>
                          <w:top w:val="nil"/>
                          <w:left w:val="nil"/>
                          <w:bottom w:val="nil"/>
                          <w:right w:val="nil"/>
                        </w:tcBorders>
                      </w:tcPr>
                      <w:p>
                        <w:pPr>
                          <w:pStyle w:val="TableParagraph"/>
                          <w:spacing w:before="33"/>
                          <w:ind w:left="72"/>
                          <w:jc w:val="left"/>
                          <w:rPr>
                            <w:sz w:val="19"/>
                          </w:rPr>
                        </w:pPr>
                        <w:r>
                          <w:rPr>
                            <w:w w:val="105"/>
                            <w:sz w:val="19"/>
                          </w:rPr>
                          <w:t>Quintana Roo</w:t>
                        </w:r>
                      </w:p>
                    </w:tc>
                    <w:tc>
                      <w:tcPr>
                        <w:tcW w:w="939" w:type="dxa"/>
                        <w:tcBorders>
                          <w:top w:val="nil"/>
                          <w:left w:val="nil"/>
                          <w:bottom w:val="nil"/>
                          <w:right w:val="nil"/>
                        </w:tcBorders>
                      </w:tcPr>
                      <w:p>
                        <w:pPr>
                          <w:pStyle w:val="TableParagraph"/>
                          <w:spacing w:before="33"/>
                          <w:ind w:right="126"/>
                          <w:rPr>
                            <w:sz w:val="19"/>
                          </w:rPr>
                        </w:pPr>
                        <w:r>
                          <w:rPr>
                            <w:sz w:val="19"/>
                          </w:rPr>
                          <w:t>99</w:t>
                        </w:r>
                      </w:p>
                    </w:tc>
                    <w:tc>
                      <w:tcPr>
                        <w:tcW w:w="730" w:type="dxa"/>
                        <w:tcBorders>
                          <w:top w:val="nil"/>
                          <w:left w:val="nil"/>
                          <w:bottom w:val="nil"/>
                          <w:right w:val="nil"/>
                        </w:tcBorders>
                      </w:tcPr>
                      <w:p>
                        <w:pPr>
                          <w:pStyle w:val="TableParagraph"/>
                          <w:spacing w:before="33"/>
                          <w:ind w:right="150"/>
                          <w:rPr>
                            <w:sz w:val="19"/>
                          </w:rPr>
                        </w:pPr>
                        <w:r>
                          <w:rPr>
                            <w:sz w:val="19"/>
                          </w:rPr>
                          <w:t>0.4</w:t>
                        </w:r>
                      </w:p>
                    </w:tc>
                    <w:tc>
                      <w:tcPr>
                        <w:tcW w:w="771" w:type="dxa"/>
                        <w:tcBorders>
                          <w:top w:val="nil"/>
                          <w:left w:val="nil"/>
                          <w:bottom w:val="nil"/>
                          <w:right w:val="nil"/>
                        </w:tcBorders>
                      </w:tcPr>
                      <w:p>
                        <w:pPr>
                          <w:pStyle w:val="TableParagraph"/>
                          <w:spacing w:before="33"/>
                          <w:ind w:right="67"/>
                          <w:rPr>
                            <w:sz w:val="19"/>
                          </w:rPr>
                        </w:pPr>
                        <w:r>
                          <w:rPr>
                            <w:sz w:val="19"/>
                          </w:rPr>
                          <w:t>92</w:t>
                        </w:r>
                      </w:p>
                    </w:tc>
                    <w:tc>
                      <w:tcPr>
                        <w:tcW w:w="628" w:type="dxa"/>
                        <w:tcBorders>
                          <w:top w:val="nil"/>
                          <w:left w:val="nil"/>
                          <w:bottom w:val="nil"/>
                          <w:right w:val="nil"/>
                        </w:tcBorders>
                      </w:tcPr>
                      <w:p>
                        <w:pPr>
                          <w:pStyle w:val="TableParagraph"/>
                          <w:spacing w:before="33"/>
                          <w:ind w:right="107"/>
                          <w:rPr>
                            <w:sz w:val="19"/>
                          </w:rPr>
                        </w:pPr>
                        <w:r>
                          <w:rPr>
                            <w:sz w:val="19"/>
                          </w:rPr>
                          <w:t>0.4</w:t>
                        </w:r>
                      </w:p>
                    </w:tc>
                    <w:tc>
                      <w:tcPr>
                        <w:tcW w:w="659" w:type="dxa"/>
                        <w:tcBorders>
                          <w:top w:val="nil"/>
                          <w:left w:val="nil"/>
                          <w:bottom w:val="nil"/>
                          <w:right w:val="nil"/>
                        </w:tcBorders>
                      </w:tcPr>
                      <w:p>
                        <w:pPr>
                          <w:pStyle w:val="TableParagraph"/>
                          <w:spacing w:before="9"/>
                          <w:ind w:right="147"/>
                          <w:rPr>
                            <w:sz w:val="19"/>
                          </w:rPr>
                        </w:pPr>
                        <w:r>
                          <w:rPr>
                            <w:sz w:val="19"/>
                          </w:rPr>
                          <w:t>30</w:t>
                        </w:r>
                      </w:p>
                    </w:tc>
                    <w:tc>
                      <w:tcPr>
                        <w:tcW w:w="692" w:type="dxa"/>
                        <w:tcBorders>
                          <w:top w:val="nil"/>
                          <w:left w:val="nil"/>
                          <w:bottom w:val="nil"/>
                          <w:right w:val="nil"/>
                        </w:tcBorders>
                      </w:tcPr>
                      <w:p>
                        <w:pPr>
                          <w:pStyle w:val="TableParagraph"/>
                          <w:spacing w:before="9"/>
                          <w:ind w:right="62"/>
                          <w:rPr>
                            <w:sz w:val="19"/>
                          </w:rPr>
                        </w:pPr>
                        <w:r>
                          <w:rPr>
                            <w:sz w:val="19"/>
                          </w:rPr>
                          <w:t>30</w:t>
                        </w:r>
                      </w:p>
                    </w:tc>
                  </w:tr>
                  <w:tr>
                    <w:trPr>
                      <w:trHeight w:val="281" w:hRule="exact"/>
                    </w:trPr>
                    <w:tc>
                      <w:tcPr>
                        <w:tcW w:w="1887" w:type="dxa"/>
                        <w:tcBorders>
                          <w:top w:val="nil"/>
                          <w:left w:val="nil"/>
                          <w:bottom w:val="nil"/>
                          <w:right w:val="nil"/>
                        </w:tcBorders>
                      </w:tcPr>
                      <w:p>
                        <w:pPr>
                          <w:pStyle w:val="TableParagraph"/>
                          <w:spacing w:before="36"/>
                          <w:ind w:left="72"/>
                          <w:jc w:val="left"/>
                          <w:rPr>
                            <w:sz w:val="19"/>
                          </w:rPr>
                        </w:pPr>
                        <w:r>
                          <w:rPr>
                            <w:w w:val="105"/>
                            <w:sz w:val="19"/>
                          </w:rPr>
                          <w:t>San Luis Potosí</w:t>
                        </w:r>
                      </w:p>
                    </w:tc>
                    <w:tc>
                      <w:tcPr>
                        <w:tcW w:w="939" w:type="dxa"/>
                        <w:tcBorders>
                          <w:top w:val="nil"/>
                          <w:left w:val="nil"/>
                          <w:bottom w:val="nil"/>
                          <w:right w:val="nil"/>
                        </w:tcBorders>
                      </w:tcPr>
                      <w:p>
                        <w:pPr>
                          <w:pStyle w:val="TableParagraph"/>
                          <w:spacing w:before="36"/>
                          <w:ind w:right="126"/>
                          <w:rPr>
                            <w:sz w:val="19"/>
                          </w:rPr>
                        </w:pPr>
                        <w:r>
                          <w:rPr>
                            <w:sz w:val="19"/>
                          </w:rPr>
                          <w:t>623</w:t>
                        </w:r>
                      </w:p>
                    </w:tc>
                    <w:tc>
                      <w:tcPr>
                        <w:tcW w:w="730" w:type="dxa"/>
                        <w:tcBorders>
                          <w:top w:val="nil"/>
                          <w:left w:val="nil"/>
                          <w:bottom w:val="nil"/>
                          <w:right w:val="nil"/>
                        </w:tcBorders>
                      </w:tcPr>
                      <w:p>
                        <w:pPr>
                          <w:pStyle w:val="TableParagraph"/>
                          <w:spacing w:before="36"/>
                          <w:ind w:right="150"/>
                          <w:rPr>
                            <w:sz w:val="19"/>
                          </w:rPr>
                        </w:pPr>
                        <w:r>
                          <w:rPr>
                            <w:sz w:val="19"/>
                          </w:rPr>
                          <w:t>2.6</w:t>
                        </w:r>
                      </w:p>
                    </w:tc>
                    <w:tc>
                      <w:tcPr>
                        <w:tcW w:w="771" w:type="dxa"/>
                        <w:tcBorders>
                          <w:top w:val="nil"/>
                          <w:left w:val="nil"/>
                          <w:bottom w:val="nil"/>
                          <w:right w:val="nil"/>
                        </w:tcBorders>
                      </w:tcPr>
                      <w:p>
                        <w:pPr>
                          <w:pStyle w:val="TableParagraph"/>
                          <w:spacing w:before="36"/>
                          <w:ind w:right="67"/>
                          <w:rPr>
                            <w:sz w:val="19"/>
                          </w:rPr>
                        </w:pPr>
                        <w:r>
                          <w:rPr>
                            <w:sz w:val="19"/>
                          </w:rPr>
                          <w:t>699</w:t>
                        </w:r>
                      </w:p>
                    </w:tc>
                    <w:tc>
                      <w:tcPr>
                        <w:tcW w:w="628" w:type="dxa"/>
                        <w:tcBorders>
                          <w:top w:val="nil"/>
                          <w:left w:val="nil"/>
                          <w:bottom w:val="nil"/>
                          <w:right w:val="nil"/>
                        </w:tcBorders>
                      </w:tcPr>
                      <w:p>
                        <w:pPr>
                          <w:pStyle w:val="TableParagraph"/>
                          <w:spacing w:before="36"/>
                          <w:ind w:right="107"/>
                          <w:rPr>
                            <w:sz w:val="19"/>
                          </w:rPr>
                        </w:pPr>
                        <w:r>
                          <w:rPr>
                            <w:sz w:val="19"/>
                          </w:rPr>
                          <w:t>3.1</w:t>
                        </w:r>
                      </w:p>
                    </w:tc>
                    <w:tc>
                      <w:tcPr>
                        <w:tcW w:w="659" w:type="dxa"/>
                        <w:tcBorders>
                          <w:top w:val="nil"/>
                          <w:left w:val="nil"/>
                          <w:bottom w:val="nil"/>
                          <w:right w:val="nil"/>
                        </w:tcBorders>
                      </w:tcPr>
                      <w:p>
                        <w:pPr>
                          <w:pStyle w:val="TableParagraph"/>
                          <w:spacing w:before="12"/>
                          <w:ind w:right="147"/>
                          <w:rPr>
                            <w:sz w:val="19"/>
                          </w:rPr>
                        </w:pPr>
                        <w:r>
                          <w:rPr>
                            <w:sz w:val="19"/>
                          </w:rPr>
                          <w:t>12</w:t>
                        </w:r>
                      </w:p>
                    </w:tc>
                    <w:tc>
                      <w:tcPr>
                        <w:tcW w:w="692" w:type="dxa"/>
                        <w:tcBorders>
                          <w:top w:val="nil"/>
                          <w:left w:val="nil"/>
                          <w:bottom w:val="nil"/>
                          <w:right w:val="nil"/>
                        </w:tcBorders>
                      </w:tcPr>
                      <w:p>
                        <w:pPr>
                          <w:pStyle w:val="TableParagraph"/>
                          <w:spacing w:before="12"/>
                          <w:ind w:right="62"/>
                          <w:rPr>
                            <w:sz w:val="19"/>
                          </w:rPr>
                        </w:pPr>
                        <w:r>
                          <w:rPr>
                            <w:sz w:val="19"/>
                          </w:rPr>
                          <w:t>11</w:t>
                        </w:r>
                      </w:p>
                    </w:tc>
                  </w:tr>
                  <w:tr>
                    <w:trPr>
                      <w:trHeight w:val="276" w:hRule="exact"/>
                    </w:trPr>
                    <w:tc>
                      <w:tcPr>
                        <w:tcW w:w="1887" w:type="dxa"/>
                        <w:tcBorders>
                          <w:top w:val="nil"/>
                          <w:left w:val="nil"/>
                          <w:bottom w:val="nil"/>
                          <w:right w:val="nil"/>
                        </w:tcBorders>
                      </w:tcPr>
                      <w:p>
                        <w:pPr>
                          <w:pStyle w:val="TableParagraph"/>
                          <w:spacing w:before="33"/>
                          <w:ind w:left="72"/>
                          <w:jc w:val="left"/>
                          <w:rPr>
                            <w:sz w:val="19"/>
                          </w:rPr>
                        </w:pPr>
                        <w:r>
                          <w:rPr>
                            <w:w w:val="105"/>
                            <w:sz w:val="19"/>
                          </w:rPr>
                          <w:t>Sinaloa</w:t>
                        </w:r>
                      </w:p>
                    </w:tc>
                    <w:tc>
                      <w:tcPr>
                        <w:tcW w:w="939" w:type="dxa"/>
                        <w:tcBorders>
                          <w:top w:val="nil"/>
                          <w:left w:val="nil"/>
                          <w:bottom w:val="nil"/>
                          <w:right w:val="nil"/>
                        </w:tcBorders>
                      </w:tcPr>
                      <w:p>
                        <w:pPr>
                          <w:pStyle w:val="TableParagraph"/>
                          <w:spacing w:before="33"/>
                          <w:ind w:right="126"/>
                          <w:rPr>
                            <w:sz w:val="19"/>
                          </w:rPr>
                        </w:pPr>
                        <w:r>
                          <w:rPr>
                            <w:sz w:val="19"/>
                          </w:rPr>
                          <w:t>487</w:t>
                        </w:r>
                      </w:p>
                    </w:tc>
                    <w:tc>
                      <w:tcPr>
                        <w:tcW w:w="730" w:type="dxa"/>
                        <w:tcBorders>
                          <w:top w:val="nil"/>
                          <w:left w:val="nil"/>
                          <w:bottom w:val="nil"/>
                          <w:right w:val="nil"/>
                        </w:tcBorders>
                      </w:tcPr>
                      <w:p>
                        <w:pPr>
                          <w:pStyle w:val="TableParagraph"/>
                          <w:spacing w:before="33"/>
                          <w:ind w:right="150"/>
                          <w:rPr>
                            <w:sz w:val="19"/>
                          </w:rPr>
                        </w:pPr>
                        <w:r>
                          <w:rPr>
                            <w:sz w:val="19"/>
                          </w:rPr>
                          <w:t>2.0</w:t>
                        </w:r>
                      </w:p>
                    </w:tc>
                    <w:tc>
                      <w:tcPr>
                        <w:tcW w:w="771" w:type="dxa"/>
                        <w:tcBorders>
                          <w:top w:val="nil"/>
                          <w:left w:val="nil"/>
                          <w:bottom w:val="nil"/>
                          <w:right w:val="nil"/>
                        </w:tcBorders>
                      </w:tcPr>
                      <w:p>
                        <w:pPr>
                          <w:pStyle w:val="TableParagraph"/>
                          <w:spacing w:before="33"/>
                          <w:ind w:right="67"/>
                          <w:rPr>
                            <w:sz w:val="19"/>
                          </w:rPr>
                        </w:pPr>
                        <w:r>
                          <w:rPr>
                            <w:sz w:val="19"/>
                          </w:rPr>
                          <w:t>510</w:t>
                        </w:r>
                      </w:p>
                    </w:tc>
                    <w:tc>
                      <w:tcPr>
                        <w:tcW w:w="628" w:type="dxa"/>
                        <w:tcBorders>
                          <w:top w:val="nil"/>
                          <w:left w:val="nil"/>
                          <w:bottom w:val="nil"/>
                          <w:right w:val="nil"/>
                        </w:tcBorders>
                      </w:tcPr>
                      <w:p>
                        <w:pPr>
                          <w:pStyle w:val="TableParagraph"/>
                          <w:spacing w:before="33"/>
                          <w:ind w:right="107"/>
                          <w:rPr>
                            <w:sz w:val="19"/>
                          </w:rPr>
                        </w:pPr>
                        <w:r>
                          <w:rPr>
                            <w:sz w:val="19"/>
                          </w:rPr>
                          <w:t>2.2</w:t>
                        </w:r>
                      </w:p>
                    </w:tc>
                    <w:tc>
                      <w:tcPr>
                        <w:tcW w:w="659" w:type="dxa"/>
                        <w:tcBorders>
                          <w:top w:val="nil"/>
                          <w:left w:val="nil"/>
                          <w:bottom w:val="nil"/>
                          <w:right w:val="nil"/>
                        </w:tcBorders>
                      </w:tcPr>
                      <w:p>
                        <w:pPr>
                          <w:pStyle w:val="TableParagraph"/>
                          <w:spacing w:before="9"/>
                          <w:ind w:right="147"/>
                          <w:rPr>
                            <w:sz w:val="19"/>
                          </w:rPr>
                        </w:pPr>
                        <w:r>
                          <w:rPr>
                            <w:sz w:val="19"/>
                          </w:rPr>
                          <w:t>15</w:t>
                        </w:r>
                      </w:p>
                    </w:tc>
                    <w:tc>
                      <w:tcPr>
                        <w:tcW w:w="692" w:type="dxa"/>
                        <w:tcBorders>
                          <w:top w:val="nil"/>
                          <w:left w:val="nil"/>
                          <w:bottom w:val="nil"/>
                          <w:right w:val="nil"/>
                        </w:tcBorders>
                      </w:tcPr>
                      <w:p>
                        <w:pPr>
                          <w:pStyle w:val="TableParagraph"/>
                          <w:spacing w:before="9"/>
                          <w:ind w:right="62"/>
                          <w:rPr>
                            <w:sz w:val="19"/>
                          </w:rPr>
                        </w:pPr>
                        <w:r>
                          <w:rPr>
                            <w:sz w:val="19"/>
                          </w:rPr>
                          <w:t>15</w:t>
                        </w:r>
                      </w:p>
                    </w:tc>
                  </w:tr>
                  <w:tr>
                    <w:trPr>
                      <w:trHeight w:val="278" w:hRule="exact"/>
                    </w:trPr>
                    <w:tc>
                      <w:tcPr>
                        <w:tcW w:w="1887" w:type="dxa"/>
                        <w:tcBorders>
                          <w:top w:val="nil"/>
                          <w:left w:val="nil"/>
                          <w:bottom w:val="nil"/>
                          <w:right w:val="nil"/>
                        </w:tcBorders>
                      </w:tcPr>
                      <w:p>
                        <w:pPr>
                          <w:pStyle w:val="TableParagraph"/>
                          <w:spacing w:before="31"/>
                          <w:ind w:left="72"/>
                          <w:jc w:val="left"/>
                          <w:rPr>
                            <w:sz w:val="19"/>
                          </w:rPr>
                        </w:pPr>
                        <w:r>
                          <w:rPr>
                            <w:w w:val="105"/>
                            <w:sz w:val="19"/>
                          </w:rPr>
                          <w:t>Sonora</w:t>
                        </w:r>
                      </w:p>
                    </w:tc>
                    <w:tc>
                      <w:tcPr>
                        <w:tcW w:w="939" w:type="dxa"/>
                        <w:tcBorders>
                          <w:top w:val="nil"/>
                          <w:left w:val="nil"/>
                          <w:bottom w:val="nil"/>
                          <w:right w:val="nil"/>
                        </w:tcBorders>
                      </w:tcPr>
                      <w:p>
                        <w:pPr>
                          <w:pStyle w:val="TableParagraph"/>
                          <w:spacing w:before="31"/>
                          <w:ind w:right="126"/>
                          <w:rPr>
                            <w:sz w:val="19"/>
                          </w:rPr>
                        </w:pPr>
                        <w:r>
                          <w:rPr>
                            <w:sz w:val="19"/>
                          </w:rPr>
                          <w:t>333</w:t>
                        </w:r>
                      </w:p>
                    </w:tc>
                    <w:tc>
                      <w:tcPr>
                        <w:tcW w:w="730" w:type="dxa"/>
                        <w:tcBorders>
                          <w:top w:val="nil"/>
                          <w:left w:val="nil"/>
                          <w:bottom w:val="nil"/>
                          <w:right w:val="nil"/>
                        </w:tcBorders>
                      </w:tcPr>
                      <w:p>
                        <w:pPr>
                          <w:pStyle w:val="TableParagraph"/>
                          <w:spacing w:before="31"/>
                          <w:ind w:right="150"/>
                          <w:rPr>
                            <w:sz w:val="19"/>
                          </w:rPr>
                        </w:pPr>
                        <w:r>
                          <w:rPr>
                            <w:sz w:val="19"/>
                          </w:rPr>
                          <w:t>1.4</w:t>
                        </w:r>
                      </w:p>
                    </w:tc>
                    <w:tc>
                      <w:tcPr>
                        <w:tcW w:w="771" w:type="dxa"/>
                        <w:tcBorders>
                          <w:top w:val="nil"/>
                          <w:left w:val="nil"/>
                          <w:bottom w:val="nil"/>
                          <w:right w:val="nil"/>
                        </w:tcBorders>
                      </w:tcPr>
                      <w:p>
                        <w:pPr>
                          <w:pStyle w:val="TableParagraph"/>
                          <w:spacing w:before="31"/>
                          <w:ind w:right="67"/>
                          <w:rPr>
                            <w:sz w:val="19"/>
                          </w:rPr>
                        </w:pPr>
                        <w:r>
                          <w:rPr>
                            <w:sz w:val="19"/>
                          </w:rPr>
                          <w:t>326</w:t>
                        </w:r>
                      </w:p>
                    </w:tc>
                    <w:tc>
                      <w:tcPr>
                        <w:tcW w:w="628" w:type="dxa"/>
                        <w:tcBorders>
                          <w:top w:val="nil"/>
                          <w:left w:val="nil"/>
                          <w:bottom w:val="nil"/>
                          <w:right w:val="nil"/>
                        </w:tcBorders>
                      </w:tcPr>
                      <w:p>
                        <w:pPr>
                          <w:pStyle w:val="TableParagraph"/>
                          <w:spacing w:before="31"/>
                          <w:ind w:right="107"/>
                          <w:rPr>
                            <w:sz w:val="19"/>
                          </w:rPr>
                        </w:pPr>
                        <w:r>
                          <w:rPr>
                            <w:sz w:val="19"/>
                          </w:rPr>
                          <w:t>1.4</w:t>
                        </w:r>
                      </w:p>
                    </w:tc>
                    <w:tc>
                      <w:tcPr>
                        <w:tcW w:w="659" w:type="dxa"/>
                        <w:tcBorders>
                          <w:top w:val="nil"/>
                          <w:left w:val="nil"/>
                          <w:bottom w:val="nil"/>
                          <w:right w:val="nil"/>
                        </w:tcBorders>
                      </w:tcPr>
                      <w:p>
                        <w:pPr>
                          <w:pStyle w:val="TableParagraph"/>
                          <w:spacing w:before="7"/>
                          <w:ind w:right="147"/>
                          <w:rPr>
                            <w:sz w:val="19"/>
                          </w:rPr>
                        </w:pPr>
                        <w:r>
                          <w:rPr>
                            <w:sz w:val="19"/>
                          </w:rPr>
                          <w:t>22</w:t>
                        </w:r>
                      </w:p>
                    </w:tc>
                    <w:tc>
                      <w:tcPr>
                        <w:tcW w:w="692" w:type="dxa"/>
                        <w:tcBorders>
                          <w:top w:val="nil"/>
                          <w:left w:val="nil"/>
                          <w:bottom w:val="nil"/>
                          <w:right w:val="nil"/>
                        </w:tcBorders>
                      </w:tcPr>
                      <w:p>
                        <w:pPr>
                          <w:pStyle w:val="TableParagraph"/>
                          <w:spacing w:before="7"/>
                          <w:ind w:right="62"/>
                          <w:rPr>
                            <w:sz w:val="19"/>
                          </w:rPr>
                        </w:pPr>
                        <w:r>
                          <w:rPr>
                            <w:sz w:val="19"/>
                          </w:rPr>
                          <w:t>23</w:t>
                        </w:r>
                      </w:p>
                    </w:tc>
                  </w:tr>
                  <w:tr>
                    <w:trPr>
                      <w:trHeight w:val="283" w:hRule="exact"/>
                    </w:trPr>
                    <w:tc>
                      <w:tcPr>
                        <w:tcW w:w="1887" w:type="dxa"/>
                        <w:tcBorders>
                          <w:top w:val="nil"/>
                          <w:left w:val="nil"/>
                          <w:bottom w:val="nil"/>
                          <w:right w:val="nil"/>
                        </w:tcBorders>
                      </w:tcPr>
                      <w:p>
                        <w:pPr>
                          <w:pStyle w:val="TableParagraph"/>
                          <w:spacing w:before="36"/>
                          <w:ind w:left="72"/>
                          <w:jc w:val="left"/>
                          <w:rPr>
                            <w:sz w:val="19"/>
                          </w:rPr>
                        </w:pPr>
                        <w:r>
                          <w:rPr>
                            <w:w w:val="105"/>
                            <w:sz w:val="19"/>
                          </w:rPr>
                          <w:t>Tabasco</w:t>
                        </w:r>
                      </w:p>
                    </w:tc>
                    <w:tc>
                      <w:tcPr>
                        <w:tcW w:w="939" w:type="dxa"/>
                        <w:tcBorders>
                          <w:top w:val="nil"/>
                          <w:left w:val="nil"/>
                          <w:bottom w:val="nil"/>
                          <w:right w:val="nil"/>
                        </w:tcBorders>
                      </w:tcPr>
                      <w:p>
                        <w:pPr>
                          <w:pStyle w:val="TableParagraph"/>
                          <w:spacing w:before="36"/>
                          <w:ind w:right="126"/>
                          <w:rPr>
                            <w:sz w:val="19"/>
                          </w:rPr>
                        </w:pPr>
                        <w:r>
                          <w:rPr>
                            <w:sz w:val="19"/>
                          </w:rPr>
                          <w:t>173</w:t>
                        </w:r>
                      </w:p>
                    </w:tc>
                    <w:tc>
                      <w:tcPr>
                        <w:tcW w:w="730" w:type="dxa"/>
                        <w:tcBorders>
                          <w:top w:val="nil"/>
                          <w:left w:val="nil"/>
                          <w:bottom w:val="nil"/>
                          <w:right w:val="nil"/>
                        </w:tcBorders>
                      </w:tcPr>
                      <w:p>
                        <w:pPr>
                          <w:pStyle w:val="TableParagraph"/>
                          <w:spacing w:before="36"/>
                          <w:ind w:right="150"/>
                          <w:rPr>
                            <w:sz w:val="19"/>
                          </w:rPr>
                        </w:pPr>
                        <w:r>
                          <w:rPr>
                            <w:sz w:val="19"/>
                          </w:rPr>
                          <w:t>0.7</w:t>
                        </w:r>
                      </w:p>
                    </w:tc>
                    <w:tc>
                      <w:tcPr>
                        <w:tcW w:w="771" w:type="dxa"/>
                        <w:tcBorders>
                          <w:top w:val="nil"/>
                          <w:left w:val="nil"/>
                          <w:bottom w:val="nil"/>
                          <w:right w:val="nil"/>
                        </w:tcBorders>
                      </w:tcPr>
                      <w:p>
                        <w:pPr>
                          <w:pStyle w:val="TableParagraph"/>
                          <w:spacing w:before="36"/>
                          <w:ind w:right="67"/>
                          <w:rPr>
                            <w:sz w:val="19"/>
                          </w:rPr>
                        </w:pPr>
                        <w:r>
                          <w:rPr>
                            <w:sz w:val="19"/>
                          </w:rPr>
                          <w:t>111</w:t>
                        </w:r>
                      </w:p>
                    </w:tc>
                    <w:tc>
                      <w:tcPr>
                        <w:tcW w:w="628" w:type="dxa"/>
                        <w:tcBorders>
                          <w:top w:val="nil"/>
                          <w:left w:val="nil"/>
                          <w:bottom w:val="nil"/>
                          <w:right w:val="nil"/>
                        </w:tcBorders>
                      </w:tcPr>
                      <w:p>
                        <w:pPr>
                          <w:pStyle w:val="TableParagraph"/>
                          <w:spacing w:before="36"/>
                          <w:ind w:right="107"/>
                          <w:rPr>
                            <w:sz w:val="19"/>
                          </w:rPr>
                        </w:pPr>
                        <w:r>
                          <w:rPr>
                            <w:sz w:val="19"/>
                          </w:rPr>
                          <w:t>0.5</w:t>
                        </w:r>
                      </w:p>
                    </w:tc>
                    <w:tc>
                      <w:tcPr>
                        <w:tcW w:w="659" w:type="dxa"/>
                        <w:tcBorders>
                          <w:top w:val="nil"/>
                          <w:left w:val="nil"/>
                          <w:bottom w:val="nil"/>
                          <w:right w:val="nil"/>
                        </w:tcBorders>
                      </w:tcPr>
                      <w:p>
                        <w:pPr>
                          <w:pStyle w:val="TableParagraph"/>
                          <w:spacing w:before="12"/>
                          <w:ind w:right="147"/>
                          <w:rPr>
                            <w:sz w:val="19"/>
                          </w:rPr>
                        </w:pPr>
                        <w:r>
                          <w:rPr>
                            <w:sz w:val="19"/>
                          </w:rPr>
                          <w:t>28</w:t>
                        </w:r>
                      </w:p>
                    </w:tc>
                    <w:tc>
                      <w:tcPr>
                        <w:tcW w:w="692" w:type="dxa"/>
                        <w:tcBorders>
                          <w:top w:val="nil"/>
                          <w:left w:val="nil"/>
                          <w:bottom w:val="nil"/>
                          <w:right w:val="nil"/>
                        </w:tcBorders>
                      </w:tcPr>
                      <w:p>
                        <w:pPr>
                          <w:pStyle w:val="TableParagraph"/>
                          <w:spacing w:before="12"/>
                          <w:ind w:right="62"/>
                          <w:rPr>
                            <w:sz w:val="19"/>
                          </w:rPr>
                        </w:pPr>
                        <w:r>
                          <w:rPr>
                            <w:sz w:val="19"/>
                          </w:rPr>
                          <w:t>29</w:t>
                        </w:r>
                      </w:p>
                    </w:tc>
                  </w:tr>
                  <w:tr>
                    <w:trPr>
                      <w:trHeight w:val="286" w:hRule="exact"/>
                    </w:trPr>
                    <w:tc>
                      <w:tcPr>
                        <w:tcW w:w="1887" w:type="dxa"/>
                        <w:tcBorders>
                          <w:top w:val="nil"/>
                          <w:left w:val="nil"/>
                          <w:bottom w:val="nil"/>
                          <w:right w:val="nil"/>
                        </w:tcBorders>
                      </w:tcPr>
                      <w:p>
                        <w:pPr>
                          <w:pStyle w:val="TableParagraph"/>
                          <w:spacing w:before="41"/>
                          <w:ind w:left="72"/>
                          <w:jc w:val="left"/>
                          <w:rPr>
                            <w:sz w:val="19"/>
                          </w:rPr>
                        </w:pPr>
                        <w:r>
                          <w:rPr>
                            <w:w w:val="105"/>
                            <w:sz w:val="19"/>
                          </w:rPr>
                          <w:t>Tamaulipas</w:t>
                        </w:r>
                      </w:p>
                    </w:tc>
                    <w:tc>
                      <w:tcPr>
                        <w:tcW w:w="939" w:type="dxa"/>
                        <w:tcBorders>
                          <w:top w:val="nil"/>
                          <w:left w:val="nil"/>
                          <w:bottom w:val="nil"/>
                          <w:right w:val="nil"/>
                        </w:tcBorders>
                      </w:tcPr>
                      <w:p>
                        <w:pPr>
                          <w:pStyle w:val="TableParagraph"/>
                          <w:spacing w:before="41"/>
                          <w:ind w:right="126"/>
                          <w:rPr>
                            <w:sz w:val="19"/>
                          </w:rPr>
                        </w:pPr>
                        <w:r>
                          <w:rPr>
                            <w:sz w:val="19"/>
                          </w:rPr>
                          <w:t>474</w:t>
                        </w:r>
                      </w:p>
                    </w:tc>
                    <w:tc>
                      <w:tcPr>
                        <w:tcW w:w="730" w:type="dxa"/>
                        <w:tcBorders>
                          <w:top w:val="nil"/>
                          <w:left w:val="nil"/>
                          <w:bottom w:val="nil"/>
                          <w:right w:val="nil"/>
                        </w:tcBorders>
                      </w:tcPr>
                      <w:p>
                        <w:pPr>
                          <w:pStyle w:val="TableParagraph"/>
                          <w:spacing w:before="41"/>
                          <w:ind w:right="150"/>
                          <w:rPr>
                            <w:sz w:val="19"/>
                          </w:rPr>
                        </w:pPr>
                        <w:r>
                          <w:rPr>
                            <w:sz w:val="19"/>
                          </w:rPr>
                          <w:t>2.0</w:t>
                        </w:r>
                      </w:p>
                    </w:tc>
                    <w:tc>
                      <w:tcPr>
                        <w:tcW w:w="771" w:type="dxa"/>
                        <w:tcBorders>
                          <w:top w:val="nil"/>
                          <w:left w:val="nil"/>
                          <w:bottom w:val="nil"/>
                          <w:right w:val="nil"/>
                        </w:tcBorders>
                      </w:tcPr>
                      <w:p>
                        <w:pPr>
                          <w:pStyle w:val="TableParagraph"/>
                          <w:spacing w:before="41"/>
                          <w:ind w:right="67"/>
                          <w:rPr>
                            <w:sz w:val="19"/>
                          </w:rPr>
                        </w:pPr>
                        <w:r>
                          <w:rPr>
                            <w:sz w:val="19"/>
                          </w:rPr>
                          <w:t>444</w:t>
                        </w:r>
                      </w:p>
                    </w:tc>
                    <w:tc>
                      <w:tcPr>
                        <w:tcW w:w="628" w:type="dxa"/>
                        <w:tcBorders>
                          <w:top w:val="nil"/>
                          <w:left w:val="nil"/>
                          <w:bottom w:val="nil"/>
                          <w:right w:val="nil"/>
                        </w:tcBorders>
                      </w:tcPr>
                      <w:p>
                        <w:pPr>
                          <w:pStyle w:val="TableParagraph"/>
                          <w:spacing w:before="41"/>
                          <w:ind w:right="107"/>
                          <w:rPr>
                            <w:sz w:val="19"/>
                          </w:rPr>
                        </w:pPr>
                        <w:r>
                          <w:rPr>
                            <w:sz w:val="19"/>
                          </w:rPr>
                          <w:t>2.0</w:t>
                        </w:r>
                      </w:p>
                    </w:tc>
                    <w:tc>
                      <w:tcPr>
                        <w:tcW w:w="659" w:type="dxa"/>
                        <w:tcBorders>
                          <w:top w:val="nil"/>
                          <w:left w:val="nil"/>
                          <w:bottom w:val="nil"/>
                          <w:right w:val="nil"/>
                        </w:tcBorders>
                      </w:tcPr>
                      <w:p>
                        <w:pPr>
                          <w:pStyle w:val="TableParagraph"/>
                          <w:spacing w:before="12"/>
                          <w:ind w:right="147"/>
                          <w:rPr>
                            <w:sz w:val="19"/>
                          </w:rPr>
                        </w:pPr>
                        <w:r>
                          <w:rPr>
                            <w:sz w:val="19"/>
                          </w:rPr>
                          <w:t>16</w:t>
                        </w:r>
                      </w:p>
                    </w:tc>
                    <w:tc>
                      <w:tcPr>
                        <w:tcW w:w="692" w:type="dxa"/>
                        <w:tcBorders>
                          <w:top w:val="nil"/>
                          <w:left w:val="nil"/>
                          <w:bottom w:val="nil"/>
                          <w:right w:val="nil"/>
                        </w:tcBorders>
                      </w:tcPr>
                      <w:p>
                        <w:pPr>
                          <w:pStyle w:val="TableParagraph"/>
                          <w:spacing w:before="12"/>
                          <w:ind w:right="62"/>
                          <w:rPr>
                            <w:sz w:val="19"/>
                          </w:rPr>
                        </w:pPr>
                        <w:r>
                          <w:rPr>
                            <w:sz w:val="19"/>
                          </w:rPr>
                          <w:t>16</w:t>
                        </w:r>
                      </w:p>
                    </w:tc>
                  </w:tr>
                  <w:tr>
                    <w:trPr>
                      <w:trHeight w:val="278" w:hRule="exact"/>
                    </w:trPr>
                    <w:tc>
                      <w:tcPr>
                        <w:tcW w:w="1887" w:type="dxa"/>
                        <w:tcBorders>
                          <w:top w:val="nil"/>
                          <w:left w:val="nil"/>
                          <w:bottom w:val="nil"/>
                          <w:right w:val="nil"/>
                        </w:tcBorders>
                      </w:tcPr>
                      <w:p>
                        <w:pPr>
                          <w:pStyle w:val="TableParagraph"/>
                          <w:spacing w:before="33"/>
                          <w:ind w:left="72"/>
                          <w:jc w:val="left"/>
                          <w:rPr>
                            <w:sz w:val="19"/>
                          </w:rPr>
                        </w:pPr>
                        <w:r>
                          <w:rPr>
                            <w:w w:val="105"/>
                            <w:sz w:val="19"/>
                          </w:rPr>
                          <w:t>Tlaxcala</w:t>
                        </w:r>
                      </w:p>
                    </w:tc>
                    <w:tc>
                      <w:tcPr>
                        <w:tcW w:w="939" w:type="dxa"/>
                        <w:tcBorders>
                          <w:top w:val="nil"/>
                          <w:left w:val="nil"/>
                          <w:bottom w:val="nil"/>
                          <w:right w:val="nil"/>
                        </w:tcBorders>
                      </w:tcPr>
                      <w:p>
                        <w:pPr>
                          <w:pStyle w:val="TableParagraph"/>
                          <w:spacing w:before="33"/>
                          <w:ind w:right="126"/>
                          <w:rPr>
                            <w:sz w:val="19"/>
                          </w:rPr>
                        </w:pPr>
                        <w:r>
                          <w:rPr>
                            <w:sz w:val="19"/>
                          </w:rPr>
                          <w:t>261</w:t>
                        </w:r>
                      </w:p>
                    </w:tc>
                    <w:tc>
                      <w:tcPr>
                        <w:tcW w:w="730" w:type="dxa"/>
                        <w:tcBorders>
                          <w:top w:val="nil"/>
                          <w:left w:val="nil"/>
                          <w:bottom w:val="nil"/>
                          <w:right w:val="nil"/>
                        </w:tcBorders>
                      </w:tcPr>
                      <w:p>
                        <w:pPr>
                          <w:pStyle w:val="TableParagraph"/>
                          <w:spacing w:before="33"/>
                          <w:ind w:right="150"/>
                          <w:rPr>
                            <w:sz w:val="19"/>
                          </w:rPr>
                        </w:pPr>
                        <w:r>
                          <w:rPr>
                            <w:sz w:val="19"/>
                          </w:rPr>
                          <w:t>1.1</w:t>
                        </w:r>
                      </w:p>
                    </w:tc>
                    <w:tc>
                      <w:tcPr>
                        <w:tcW w:w="771" w:type="dxa"/>
                        <w:tcBorders>
                          <w:top w:val="nil"/>
                          <w:left w:val="nil"/>
                          <w:bottom w:val="nil"/>
                          <w:right w:val="nil"/>
                        </w:tcBorders>
                      </w:tcPr>
                      <w:p>
                        <w:pPr>
                          <w:pStyle w:val="TableParagraph"/>
                          <w:spacing w:before="33"/>
                          <w:ind w:right="67"/>
                          <w:rPr>
                            <w:sz w:val="19"/>
                          </w:rPr>
                        </w:pPr>
                        <w:r>
                          <w:rPr>
                            <w:sz w:val="19"/>
                          </w:rPr>
                          <w:t>274</w:t>
                        </w:r>
                      </w:p>
                    </w:tc>
                    <w:tc>
                      <w:tcPr>
                        <w:tcW w:w="628" w:type="dxa"/>
                        <w:tcBorders>
                          <w:top w:val="nil"/>
                          <w:left w:val="nil"/>
                          <w:bottom w:val="nil"/>
                          <w:right w:val="nil"/>
                        </w:tcBorders>
                      </w:tcPr>
                      <w:p>
                        <w:pPr>
                          <w:pStyle w:val="TableParagraph"/>
                          <w:spacing w:before="33"/>
                          <w:ind w:right="107"/>
                          <w:rPr>
                            <w:sz w:val="19"/>
                          </w:rPr>
                        </w:pPr>
                        <w:r>
                          <w:rPr>
                            <w:sz w:val="19"/>
                          </w:rPr>
                          <w:t>1.2</w:t>
                        </w:r>
                      </w:p>
                    </w:tc>
                    <w:tc>
                      <w:tcPr>
                        <w:tcW w:w="659" w:type="dxa"/>
                        <w:tcBorders>
                          <w:top w:val="nil"/>
                          <w:left w:val="nil"/>
                          <w:bottom w:val="nil"/>
                          <w:right w:val="nil"/>
                        </w:tcBorders>
                      </w:tcPr>
                      <w:p>
                        <w:pPr>
                          <w:pStyle w:val="TableParagraph"/>
                          <w:spacing w:before="9"/>
                          <w:ind w:right="147"/>
                          <w:rPr>
                            <w:sz w:val="19"/>
                          </w:rPr>
                        </w:pPr>
                        <w:r>
                          <w:rPr>
                            <w:sz w:val="19"/>
                          </w:rPr>
                          <w:t>26</w:t>
                        </w:r>
                      </w:p>
                    </w:tc>
                    <w:tc>
                      <w:tcPr>
                        <w:tcW w:w="692" w:type="dxa"/>
                        <w:tcBorders>
                          <w:top w:val="nil"/>
                          <w:left w:val="nil"/>
                          <w:bottom w:val="nil"/>
                          <w:right w:val="nil"/>
                        </w:tcBorders>
                      </w:tcPr>
                      <w:p>
                        <w:pPr>
                          <w:pStyle w:val="TableParagraph"/>
                          <w:spacing w:before="9"/>
                          <w:ind w:right="62"/>
                          <w:rPr>
                            <w:sz w:val="19"/>
                          </w:rPr>
                        </w:pPr>
                        <w:r>
                          <w:rPr>
                            <w:sz w:val="19"/>
                          </w:rPr>
                          <w:t>25</w:t>
                        </w:r>
                      </w:p>
                    </w:tc>
                  </w:tr>
                  <w:tr>
                    <w:trPr>
                      <w:trHeight w:val="281" w:hRule="exact"/>
                    </w:trPr>
                    <w:tc>
                      <w:tcPr>
                        <w:tcW w:w="1887" w:type="dxa"/>
                        <w:tcBorders>
                          <w:top w:val="nil"/>
                          <w:left w:val="nil"/>
                          <w:bottom w:val="nil"/>
                          <w:right w:val="nil"/>
                        </w:tcBorders>
                      </w:tcPr>
                      <w:p>
                        <w:pPr>
                          <w:pStyle w:val="TableParagraph"/>
                          <w:spacing w:before="33"/>
                          <w:ind w:left="72"/>
                          <w:jc w:val="left"/>
                          <w:rPr>
                            <w:sz w:val="19"/>
                          </w:rPr>
                        </w:pPr>
                        <w:r>
                          <w:rPr>
                            <w:w w:val="105"/>
                            <w:sz w:val="19"/>
                          </w:rPr>
                          <w:t>Veracruz</w:t>
                        </w:r>
                      </w:p>
                    </w:tc>
                    <w:tc>
                      <w:tcPr>
                        <w:tcW w:w="939" w:type="dxa"/>
                        <w:tcBorders>
                          <w:top w:val="nil"/>
                          <w:left w:val="nil"/>
                          <w:bottom w:val="nil"/>
                          <w:right w:val="nil"/>
                        </w:tcBorders>
                      </w:tcPr>
                      <w:p>
                        <w:pPr>
                          <w:pStyle w:val="TableParagraph"/>
                          <w:spacing w:before="33"/>
                          <w:ind w:right="126"/>
                          <w:rPr>
                            <w:sz w:val="19"/>
                          </w:rPr>
                        </w:pPr>
                        <w:r>
                          <w:rPr>
                            <w:w w:val="105"/>
                            <w:sz w:val="19"/>
                          </w:rPr>
                          <w:t>1 436</w:t>
                        </w:r>
                      </w:p>
                    </w:tc>
                    <w:tc>
                      <w:tcPr>
                        <w:tcW w:w="730" w:type="dxa"/>
                        <w:tcBorders>
                          <w:top w:val="nil"/>
                          <w:left w:val="nil"/>
                          <w:bottom w:val="nil"/>
                          <w:right w:val="nil"/>
                        </w:tcBorders>
                      </w:tcPr>
                      <w:p>
                        <w:pPr>
                          <w:pStyle w:val="TableParagraph"/>
                          <w:spacing w:before="33"/>
                          <w:ind w:right="150"/>
                          <w:rPr>
                            <w:sz w:val="19"/>
                          </w:rPr>
                        </w:pPr>
                        <w:r>
                          <w:rPr>
                            <w:sz w:val="19"/>
                          </w:rPr>
                          <w:t>6.0</w:t>
                        </w:r>
                      </w:p>
                    </w:tc>
                    <w:tc>
                      <w:tcPr>
                        <w:tcW w:w="771" w:type="dxa"/>
                        <w:tcBorders>
                          <w:top w:val="nil"/>
                          <w:left w:val="nil"/>
                          <w:bottom w:val="nil"/>
                          <w:right w:val="nil"/>
                        </w:tcBorders>
                      </w:tcPr>
                      <w:p>
                        <w:pPr>
                          <w:pStyle w:val="TableParagraph"/>
                          <w:spacing w:before="33"/>
                          <w:ind w:right="67"/>
                          <w:rPr>
                            <w:sz w:val="19"/>
                          </w:rPr>
                        </w:pPr>
                        <w:r>
                          <w:rPr>
                            <w:w w:val="105"/>
                            <w:sz w:val="19"/>
                          </w:rPr>
                          <w:t>1 269</w:t>
                        </w:r>
                      </w:p>
                    </w:tc>
                    <w:tc>
                      <w:tcPr>
                        <w:tcW w:w="628" w:type="dxa"/>
                        <w:tcBorders>
                          <w:top w:val="nil"/>
                          <w:left w:val="nil"/>
                          <w:bottom w:val="nil"/>
                          <w:right w:val="nil"/>
                        </w:tcBorders>
                      </w:tcPr>
                      <w:p>
                        <w:pPr>
                          <w:pStyle w:val="TableParagraph"/>
                          <w:spacing w:before="33"/>
                          <w:ind w:right="107"/>
                          <w:rPr>
                            <w:sz w:val="19"/>
                          </w:rPr>
                        </w:pPr>
                        <w:r>
                          <w:rPr>
                            <w:sz w:val="19"/>
                          </w:rPr>
                          <w:t>5.6</w:t>
                        </w:r>
                      </w:p>
                    </w:tc>
                    <w:tc>
                      <w:tcPr>
                        <w:tcW w:w="659" w:type="dxa"/>
                        <w:tcBorders>
                          <w:top w:val="nil"/>
                          <w:left w:val="nil"/>
                          <w:bottom w:val="nil"/>
                          <w:right w:val="nil"/>
                        </w:tcBorders>
                      </w:tcPr>
                      <w:p>
                        <w:pPr>
                          <w:pStyle w:val="TableParagraph"/>
                          <w:spacing w:before="9"/>
                          <w:ind w:right="149"/>
                          <w:rPr>
                            <w:sz w:val="19"/>
                          </w:rPr>
                        </w:pPr>
                        <w:r>
                          <w:rPr>
                            <w:w w:val="103"/>
                            <w:sz w:val="19"/>
                          </w:rPr>
                          <w:t>6</w:t>
                        </w:r>
                      </w:p>
                    </w:tc>
                    <w:tc>
                      <w:tcPr>
                        <w:tcW w:w="692" w:type="dxa"/>
                        <w:tcBorders>
                          <w:top w:val="nil"/>
                          <w:left w:val="nil"/>
                          <w:bottom w:val="nil"/>
                          <w:right w:val="nil"/>
                        </w:tcBorders>
                      </w:tcPr>
                      <w:p>
                        <w:pPr>
                          <w:pStyle w:val="TableParagraph"/>
                          <w:spacing w:before="9"/>
                          <w:ind w:right="64"/>
                          <w:rPr>
                            <w:sz w:val="19"/>
                          </w:rPr>
                        </w:pPr>
                        <w:r>
                          <w:rPr>
                            <w:w w:val="103"/>
                            <w:sz w:val="19"/>
                          </w:rPr>
                          <w:t>7</w:t>
                        </w:r>
                      </w:p>
                    </w:tc>
                  </w:tr>
                  <w:tr>
                    <w:trPr>
                      <w:trHeight w:val="288" w:hRule="exact"/>
                    </w:trPr>
                    <w:tc>
                      <w:tcPr>
                        <w:tcW w:w="1887" w:type="dxa"/>
                        <w:tcBorders>
                          <w:top w:val="nil"/>
                          <w:left w:val="nil"/>
                          <w:bottom w:val="nil"/>
                          <w:right w:val="nil"/>
                        </w:tcBorders>
                      </w:tcPr>
                      <w:p>
                        <w:pPr>
                          <w:pStyle w:val="TableParagraph"/>
                          <w:spacing w:before="36"/>
                          <w:ind w:left="72"/>
                          <w:jc w:val="left"/>
                          <w:rPr>
                            <w:sz w:val="19"/>
                          </w:rPr>
                        </w:pPr>
                        <w:r>
                          <w:rPr>
                            <w:w w:val="105"/>
                            <w:sz w:val="19"/>
                          </w:rPr>
                          <w:t>Yucatán</w:t>
                        </w:r>
                      </w:p>
                    </w:tc>
                    <w:tc>
                      <w:tcPr>
                        <w:tcW w:w="939" w:type="dxa"/>
                        <w:tcBorders>
                          <w:top w:val="nil"/>
                          <w:left w:val="nil"/>
                          <w:bottom w:val="nil"/>
                          <w:right w:val="nil"/>
                        </w:tcBorders>
                      </w:tcPr>
                      <w:p>
                        <w:pPr>
                          <w:pStyle w:val="TableParagraph"/>
                          <w:spacing w:before="36"/>
                          <w:ind w:right="126"/>
                          <w:rPr>
                            <w:sz w:val="19"/>
                          </w:rPr>
                        </w:pPr>
                        <w:r>
                          <w:rPr>
                            <w:sz w:val="19"/>
                          </w:rPr>
                          <w:t>114</w:t>
                        </w:r>
                      </w:p>
                    </w:tc>
                    <w:tc>
                      <w:tcPr>
                        <w:tcW w:w="730" w:type="dxa"/>
                        <w:tcBorders>
                          <w:top w:val="nil"/>
                          <w:left w:val="nil"/>
                          <w:bottom w:val="nil"/>
                          <w:right w:val="nil"/>
                        </w:tcBorders>
                      </w:tcPr>
                      <w:p>
                        <w:pPr>
                          <w:pStyle w:val="TableParagraph"/>
                          <w:spacing w:before="36"/>
                          <w:ind w:right="150"/>
                          <w:rPr>
                            <w:sz w:val="19"/>
                          </w:rPr>
                        </w:pPr>
                        <w:r>
                          <w:rPr>
                            <w:sz w:val="19"/>
                          </w:rPr>
                          <w:t>0.5</w:t>
                        </w:r>
                      </w:p>
                    </w:tc>
                    <w:tc>
                      <w:tcPr>
                        <w:tcW w:w="771" w:type="dxa"/>
                        <w:tcBorders>
                          <w:top w:val="nil"/>
                          <w:left w:val="nil"/>
                          <w:bottom w:val="nil"/>
                          <w:right w:val="nil"/>
                        </w:tcBorders>
                      </w:tcPr>
                      <w:p>
                        <w:pPr>
                          <w:pStyle w:val="TableParagraph"/>
                          <w:spacing w:before="36"/>
                          <w:ind w:right="67"/>
                          <w:rPr>
                            <w:sz w:val="19"/>
                          </w:rPr>
                        </w:pPr>
                        <w:r>
                          <w:rPr>
                            <w:sz w:val="19"/>
                          </w:rPr>
                          <w:t>118</w:t>
                        </w:r>
                      </w:p>
                    </w:tc>
                    <w:tc>
                      <w:tcPr>
                        <w:tcW w:w="628" w:type="dxa"/>
                        <w:tcBorders>
                          <w:top w:val="nil"/>
                          <w:left w:val="nil"/>
                          <w:bottom w:val="nil"/>
                          <w:right w:val="nil"/>
                        </w:tcBorders>
                      </w:tcPr>
                      <w:p>
                        <w:pPr>
                          <w:pStyle w:val="TableParagraph"/>
                          <w:spacing w:before="36"/>
                          <w:ind w:right="107"/>
                          <w:rPr>
                            <w:sz w:val="19"/>
                          </w:rPr>
                        </w:pPr>
                        <w:r>
                          <w:rPr>
                            <w:sz w:val="19"/>
                          </w:rPr>
                          <w:t>0.5</w:t>
                        </w:r>
                      </w:p>
                    </w:tc>
                    <w:tc>
                      <w:tcPr>
                        <w:tcW w:w="659" w:type="dxa"/>
                        <w:tcBorders>
                          <w:top w:val="nil"/>
                          <w:left w:val="nil"/>
                          <w:bottom w:val="nil"/>
                          <w:right w:val="nil"/>
                        </w:tcBorders>
                      </w:tcPr>
                      <w:p>
                        <w:pPr>
                          <w:pStyle w:val="TableParagraph"/>
                          <w:spacing w:before="12"/>
                          <w:ind w:right="147"/>
                          <w:rPr>
                            <w:sz w:val="19"/>
                          </w:rPr>
                        </w:pPr>
                        <w:r>
                          <w:rPr>
                            <w:sz w:val="19"/>
                          </w:rPr>
                          <w:t>29</w:t>
                        </w:r>
                      </w:p>
                    </w:tc>
                    <w:tc>
                      <w:tcPr>
                        <w:tcW w:w="692" w:type="dxa"/>
                        <w:tcBorders>
                          <w:top w:val="nil"/>
                          <w:left w:val="nil"/>
                          <w:bottom w:val="nil"/>
                          <w:right w:val="nil"/>
                        </w:tcBorders>
                      </w:tcPr>
                      <w:p>
                        <w:pPr>
                          <w:pStyle w:val="TableParagraph"/>
                          <w:spacing w:before="12"/>
                          <w:ind w:right="62"/>
                          <w:rPr>
                            <w:sz w:val="19"/>
                          </w:rPr>
                        </w:pPr>
                        <w:r>
                          <w:rPr>
                            <w:sz w:val="19"/>
                          </w:rPr>
                          <w:t>28</w:t>
                        </w:r>
                      </w:p>
                    </w:tc>
                  </w:tr>
                  <w:tr>
                    <w:trPr>
                      <w:trHeight w:val="288" w:hRule="exact"/>
                    </w:trPr>
                    <w:tc>
                      <w:tcPr>
                        <w:tcW w:w="1887" w:type="dxa"/>
                        <w:tcBorders>
                          <w:top w:val="nil"/>
                          <w:left w:val="nil"/>
                          <w:bottom w:val="nil"/>
                          <w:right w:val="nil"/>
                        </w:tcBorders>
                      </w:tcPr>
                      <w:p>
                        <w:pPr>
                          <w:pStyle w:val="TableParagraph"/>
                          <w:spacing w:before="55"/>
                          <w:ind w:left="72"/>
                          <w:jc w:val="left"/>
                          <w:rPr>
                            <w:sz w:val="19"/>
                          </w:rPr>
                        </w:pPr>
                        <w:r>
                          <w:rPr>
                            <w:w w:val="105"/>
                            <w:sz w:val="19"/>
                          </w:rPr>
                          <w:t>Zacatecas</w:t>
                        </w:r>
                      </w:p>
                    </w:tc>
                    <w:tc>
                      <w:tcPr>
                        <w:tcW w:w="939" w:type="dxa"/>
                        <w:tcBorders>
                          <w:top w:val="nil"/>
                          <w:left w:val="nil"/>
                          <w:bottom w:val="nil"/>
                          <w:right w:val="nil"/>
                        </w:tcBorders>
                      </w:tcPr>
                      <w:p>
                        <w:pPr>
                          <w:pStyle w:val="TableParagraph"/>
                          <w:spacing w:before="55"/>
                          <w:ind w:right="126"/>
                          <w:rPr>
                            <w:sz w:val="19"/>
                          </w:rPr>
                        </w:pPr>
                        <w:r>
                          <w:rPr>
                            <w:sz w:val="19"/>
                          </w:rPr>
                          <w:t>588</w:t>
                        </w:r>
                      </w:p>
                    </w:tc>
                    <w:tc>
                      <w:tcPr>
                        <w:tcW w:w="730" w:type="dxa"/>
                        <w:tcBorders>
                          <w:top w:val="nil"/>
                          <w:left w:val="nil"/>
                          <w:bottom w:val="nil"/>
                          <w:right w:val="nil"/>
                        </w:tcBorders>
                      </w:tcPr>
                      <w:p>
                        <w:pPr>
                          <w:pStyle w:val="TableParagraph"/>
                          <w:spacing w:before="55"/>
                          <w:ind w:right="150"/>
                          <w:rPr>
                            <w:sz w:val="19"/>
                          </w:rPr>
                        </w:pPr>
                        <w:r>
                          <w:rPr>
                            <w:sz w:val="19"/>
                          </w:rPr>
                          <w:t>2.5</w:t>
                        </w:r>
                      </w:p>
                    </w:tc>
                    <w:tc>
                      <w:tcPr>
                        <w:tcW w:w="771" w:type="dxa"/>
                        <w:tcBorders>
                          <w:top w:val="nil"/>
                          <w:left w:val="nil"/>
                          <w:bottom w:val="nil"/>
                          <w:right w:val="nil"/>
                        </w:tcBorders>
                      </w:tcPr>
                      <w:p>
                        <w:pPr>
                          <w:pStyle w:val="TableParagraph"/>
                          <w:spacing w:before="55"/>
                          <w:ind w:right="67"/>
                          <w:rPr>
                            <w:sz w:val="19"/>
                          </w:rPr>
                        </w:pPr>
                        <w:r>
                          <w:rPr>
                            <w:sz w:val="19"/>
                          </w:rPr>
                          <w:t>624</w:t>
                        </w:r>
                      </w:p>
                    </w:tc>
                    <w:tc>
                      <w:tcPr>
                        <w:tcW w:w="628" w:type="dxa"/>
                        <w:tcBorders>
                          <w:top w:val="nil"/>
                          <w:left w:val="nil"/>
                          <w:bottom w:val="nil"/>
                          <w:right w:val="nil"/>
                        </w:tcBorders>
                      </w:tcPr>
                      <w:p>
                        <w:pPr>
                          <w:pStyle w:val="TableParagraph"/>
                          <w:spacing w:before="55"/>
                          <w:ind w:right="107"/>
                          <w:rPr>
                            <w:sz w:val="19"/>
                          </w:rPr>
                        </w:pPr>
                        <w:r>
                          <w:rPr>
                            <w:sz w:val="19"/>
                          </w:rPr>
                          <w:t>2.7</w:t>
                        </w:r>
                      </w:p>
                    </w:tc>
                    <w:tc>
                      <w:tcPr>
                        <w:tcW w:w="659" w:type="dxa"/>
                        <w:tcBorders>
                          <w:top w:val="nil"/>
                          <w:left w:val="nil"/>
                          <w:bottom w:val="nil"/>
                          <w:right w:val="nil"/>
                        </w:tcBorders>
                      </w:tcPr>
                      <w:p>
                        <w:pPr>
                          <w:pStyle w:val="TableParagraph"/>
                          <w:spacing w:before="17"/>
                          <w:ind w:right="147"/>
                          <w:rPr>
                            <w:sz w:val="19"/>
                          </w:rPr>
                        </w:pPr>
                        <w:r>
                          <w:rPr>
                            <w:sz w:val="19"/>
                          </w:rPr>
                          <w:t>13</w:t>
                        </w:r>
                      </w:p>
                    </w:tc>
                    <w:tc>
                      <w:tcPr>
                        <w:tcW w:w="692" w:type="dxa"/>
                        <w:tcBorders>
                          <w:top w:val="nil"/>
                          <w:left w:val="nil"/>
                          <w:bottom w:val="nil"/>
                          <w:right w:val="nil"/>
                        </w:tcBorders>
                      </w:tcPr>
                      <w:p>
                        <w:pPr>
                          <w:pStyle w:val="TableParagraph"/>
                          <w:spacing w:before="17"/>
                          <w:ind w:right="62"/>
                          <w:rPr>
                            <w:sz w:val="19"/>
                          </w:rPr>
                        </w:pPr>
                        <w:r>
                          <w:rPr>
                            <w:sz w:val="19"/>
                          </w:rPr>
                          <w:t>12</w:t>
                        </w:r>
                      </w:p>
                    </w:tc>
                  </w:tr>
                  <w:tr>
                    <w:trPr>
                      <w:trHeight w:val="242" w:hRule="exact"/>
                    </w:trPr>
                    <w:tc>
                      <w:tcPr>
                        <w:tcW w:w="1887" w:type="dxa"/>
                        <w:tcBorders>
                          <w:top w:val="nil"/>
                          <w:left w:val="nil"/>
                          <w:bottom w:val="double" w:sz="4" w:space="0" w:color="000000"/>
                          <w:right w:val="nil"/>
                        </w:tcBorders>
                      </w:tcPr>
                      <w:p>
                        <w:pPr>
                          <w:pStyle w:val="TableParagraph"/>
                          <w:spacing w:line="216" w:lineRule="exact"/>
                          <w:ind w:left="72"/>
                          <w:jc w:val="left"/>
                          <w:rPr>
                            <w:sz w:val="19"/>
                          </w:rPr>
                        </w:pPr>
                        <w:r>
                          <w:rPr>
                            <w:w w:val="105"/>
                            <w:sz w:val="19"/>
                          </w:rPr>
                          <w:t>Total Nacional</w:t>
                        </w:r>
                      </w:p>
                    </w:tc>
                    <w:tc>
                      <w:tcPr>
                        <w:tcW w:w="939" w:type="dxa"/>
                        <w:tcBorders>
                          <w:top w:val="nil"/>
                          <w:left w:val="nil"/>
                          <w:bottom w:val="double" w:sz="4" w:space="0" w:color="000000"/>
                          <w:right w:val="nil"/>
                        </w:tcBorders>
                      </w:tcPr>
                      <w:p>
                        <w:pPr>
                          <w:pStyle w:val="TableParagraph"/>
                          <w:spacing w:line="216" w:lineRule="exact"/>
                          <w:ind w:right="126"/>
                          <w:rPr>
                            <w:sz w:val="19"/>
                          </w:rPr>
                        </w:pPr>
                        <w:r>
                          <w:rPr>
                            <w:w w:val="105"/>
                            <w:sz w:val="19"/>
                          </w:rPr>
                          <w:t>23 742</w:t>
                        </w:r>
                      </w:p>
                    </w:tc>
                    <w:tc>
                      <w:tcPr>
                        <w:tcW w:w="730" w:type="dxa"/>
                        <w:tcBorders>
                          <w:top w:val="nil"/>
                          <w:left w:val="nil"/>
                          <w:bottom w:val="double" w:sz="4" w:space="0" w:color="000000"/>
                          <w:right w:val="nil"/>
                        </w:tcBorders>
                      </w:tcPr>
                      <w:p>
                        <w:pPr>
                          <w:pStyle w:val="TableParagraph"/>
                          <w:spacing w:line="216" w:lineRule="exact"/>
                          <w:ind w:right="151"/>
                          <w:rPr>
                            <w:sz w:val="19"/>
                          </w:rPr>
                        </w:pPr>
                        <w:r>
                          <w:rPr>
                            <w:sz w:val="19"/>
                          </w:rPr>
                          <w:t>100.0</w:t>
                        </w:r>
                      </w:p>
                    </w:tc>
                    <w:tc>
                      <w:tcPr>
                        <w:tcW w:w="771" w:type="dxa"/>
                        <w:tcBorders>
                          <w:top w:val="nil"/>
                          <w:left w:val="nil"/>
                          <w:bottom w:val="double" w:sz="4" w:space="0" w:color="000000"/>
                          <w:right w:val="nil"/>
                        </w:tcBorders>
                      </w:tcPr>
                      <w:p>
                        <w:pPr>
                          <w:pStyle w:val="TableParagraph"/>
                          <w:spacing w:line="216" w:lineRule="exact"/>
                          <w:ind w:right="67"/>
                          <w:rPr>
                            <w:sz w:val="19"/>
                          </w:rPr>
                        </w:pPr>
                        <w:r>
                          <w:rPr>
                            <w:w w:val="105"/>
                            <w:sz w:val="19"/>
                          </w:rPr>
                          <w:t>22 731</w:t>
                        </w:r>
                      </w:p>
                    </w:tc>
                    <w:tc>
                      <w:tcPr>
                        <w:tcW w:w="628" w:type="dxa"/>
                        <w:tcBorders>
                          <w:top w:val="nil"/>
                          <w:left w:val="nil"/>
                          <w:bottom w:val="double" w:sz="4" w:space="0" w:color="000000"/>
                          <w:right w:val="nil"/>
                        </w:tcBorders>
                      </w:tcPr>
                      <w:p>
                        <w:pPr>
                          <w:pStyle w:val="TableParagraph"/>
                          <w:spacing w:line="216" w:lineRule="exact"/>
                          <w:ind w:right="108"/>
                          <w:rPr>
                            <w:sz w:val="19"/>
                          </w:rPr>
                        </w:pPr>
                        <w:r>
                          <w:rPr>
                            <w:sz w:val="19"/>
                          </w:rPr>
                          <w:t>100.0</w:t>
                        </w:r>
                      </w:p>
                    </w:tc>
                    <w:tc>
                      <w:tcPr>
                        <w:tcW w:w="659" w:type="dxa"/>
                        <w:tcBorders>
                          <w:top w:val="nil"/>
                          <w:left w:val="nil"/>
                          <w:bottom w:val="double" w:sz="4" w:space="0" w:color="000000"/>
                          <w:right w:val="nil"/>
                        </w:tcBorders>
                      </w:tcPr>
                      <w:p>
                        <w:pPr>
                          <w:pStyle w:val="TableParagraph"/>
                          <w:spacing w:before="2"/>
                          <w:ind w:right="148"/>
                          <w:rPr>
                            <w:sz w:val="19"/>
                          </w:rPr>
                        </w:pPr>
                        <w:r>
                          <w:rPr>
                            <w:w w:val="103"/>
                            <w:sz w:val="19"/>
                          </w:rPr>
                          <w:t>-</w:t>
                        </w:r>
                      </w:p>
                    </w:tc>
                    <w:tc>
                      <w:tcPr>
                        <w:tcW w:w="692" w:type="dxa"/>
                        <w:tcBorders>
                          <w:top w:val="nil"/>
                          <w:left w:val="nil"/>
                          <w:bottom w:val="double" w:sz="4" w:space="0" w:color="000000"/>
                          <w:right w:val="nil"/>
                        </w:tcBorders>
                      </w:tcPr>
                      <w:p>
                        <w:pPr>
                          <w:pStyle w:val="TableParagraph"/>
                          <w:spacing w:before="2"/>
                          <w:ind w:right="63"/>
                          <w:rPr>
                            <w:sz w:val="19"/>
                          </w:rPr>
                        </w:pPr>
                        <w:r>
                          <w:rPr>
                            <w:w w:val="103"/>
                            <w:sz w:val="19"/>
                          </w:rPr>
                          <w:t>-</w:t>
                        </w:r>
                      </w:p>
                    </w:tc>
                  </w:tr>
                </w:tbl>
                <w:p>
                  <w:pPr>
                    <w:pStyle w:val="BodyText"/>
                  </w:pPr>
                </w:p>
              </w:txbxContent>
            </v:textbox>
            <w10:wrap type="none"/>
          </v:shape>
        </w:pict>
      </w:r>
      <w:r>
        <w:rPr>
          <w:rFonts w:ascii="Arial" w:hAnsi="Arial"/>
          <w:color w:val="231F20"/>
          <w:w w:val="66"/>
          <w:sz w:val="20"/>
        </w:rPr>
        <w:t>Las</w:t>
      </w:r>
      <w:r>
        <w:rPr>
          <w:rFonts w:ascii="Arial" w:hAnsi="Arial"/>
          <w:color w:val="231F20"/>
          <w:spacing w:val="-1"/>
          <w:sz w:val="20"/>
        </w:rPr>
        <w:t> </w:t>
      </w:r>
      <w:r>
        <w:rPr>
          <w:rFonts w:ascii="Arial" w:hAnsi="Arial"/>
          <w:color w:val="231F20"/>
          <w:spacing w:val="-1"/>
          <w:w w:val="68"/>
          <w:sz w:val="20"/>
        </w:rPr>
        <w:t>remesa</w:t>
      </w:r>
      <w:r>
        <w:rPr>
          <w:rFonts w:ascii="Arial" w:hAnsi="Arial"/>
          <w:color w:val="231F20"/>
          <w:w w:val="68"/>
          <w:sz w:val="20"/>
        </w:rPr>
        <w:t>s</w:t>
      </w:r>
      <w:r>
        <w:rPr>
          <w:rFonts w:ascii="Arial" w:hAnsi="Arial"/>
          <w:color w:val="231F20"/>
          <w:sz w:val="20"/>
        </w:rPr>
        <w:t> </w:t>
      </w:r>
      <w:r>
        <w:rPr>
          <w:rFonts w:ascii="Arial" w:hAnsi="Arial"/>
          <w:color w:val="231F20"/>
          <w:w w:val="72"/>
          <w:sz w:val="20"/>
        </w:rPr>
        <w:t>indígenas</w:t>
      </w:r>
      <w:r>
        <w:rPr>
          <w:rFonts w:ascii="Arial" w:hAnsi="Arial"/>
          <w:color w:val="231F20"/>
          <w:spacing w:val="-1"/>
          <w:sz w:val="20"/>
        </w:rPr>
        <w:t> </w:t>
      </w:r>
      <w:r>
        <w:rPr>
          <w:rFonts w:ascii="Arial" w:hAnsi="Arial"/>
          <w:color w:val="231F20"/>
          <w:spacing w:val="-1"/>
          <w:w w:val="67"/>
          <w:sz w:val="20"/>
        </w:rPr>
        <w:t>com</w:t>
      </w:r>
      <w:r>
        <w:rPr>
          <w:rFonts w:ascii="Arial" w:hAnsi="Arial"/>
          <w:color w:val="231F20"/>
          <w:w w:val="67"/>
          <w:sz w:val="20"/>
        </w:rPr>
        <w:t>o</w:t>
      </w:r>
      <w:r>
        <w:rPr>
          <w:rFonts w:ascii="Arial" w:hAnsi="Arial"/>
          <w:color w:val="231F20"/>
          <w:spacing w:val="-1"/>
          <w:sz w:val="20"/>
        </w:rPr>
        <w:t> </w:t>
      </w:r>
      <w:r>
        <w:rPr>
          <w:rFonts w:ascii="Arial" w:hAnsi="Arial"/>
          <w:color w:val="231F20"/>
          <w:spacing w:val="-1"/>
          <w:w w:val="71"/>
          <w:sz w:val="20"/>
        </w:rPr>
        <w:t>complement</w:t>
      </w:r>
      <w:r>
        <w:rPr>
          <w:rFonts w:ascii="Arial" w:hAnsi="Arial"/>
          <w:color w:val="231F20"/>
          <w:w w:val="71"/>
          <w:sz w:val="20"/>
        </w:rPr>
        <w:t>o</w:t>
      </w:r>
      <w:r>
        <w:rPr>
          <w:rFonts w:ascii="Arial" w:hAnsi="Arial"/>
          <w:color w:val="231F20"/>
          <w:sz w:val="20"/>
        </w:rPr>
        <w:t> </w:t>
      </w:r>
      <w:r>
        <w:rPr>
          <w:rFonts w:ascii="Arial" w:hAnsi="Arial"/>
          <w:color w:val="231F20"/>
          <w:spacing w:val="-1"/>
          <w:w w:val="78"/>
          <w:sz w:val="20"/>
        </w:rPr>
        <w:t>a</w:t>
      </w:r>
      <w:r>
        <w:rPr>
          <w:rFonts w:ascii="Arial" w:hAnsi="Arial"/>
          <w:color w:val="231F20"/>
          <w:w w:val="78"/>
          <w:sz w:val="20"/>
        </w:rPr>
        <w:t>l</w:t>
      </w:r>
      <w:r>
        <w:rPr>
          <w:rFonts w:ascii="Arial" w:hAnsi="Arial"/>
          <w:color w:val="231F20"/>
          <w:spacing w:val="-1"/>
          <w:sz w:val="20"/>
        </w:rPr>
        <w:t> </w:t>
      </w:r>
      <w:r>
        <w:rPr>
          <w:rFonts w:ascii="Arial" w:hAnsi="Arial"/>
          <w:color w:val="231F20"/>
          <w:w w:val="73"/>
          <w:sz w:val="20"/>
        </w:rPr>
        <w:t>ingreso</w:t>
      </w:r>
      <w:r>
        <w:rPr>
          <w:rFonts w:ascii="Arial" w:hAnsi="Arial"/>
          <w:color w:val="231F20"/>
          <w:spacing w:val="-1"/>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67"/>
          <w:sz w:val="20"/>
        </w:rPr>
        <w:t>sus</w:t>
      </w:r>
      <w:r>
        <w:rPr>
          <w:rFonts w:ascii="Arial" w:hAnsi="Arial"/>
          <w:color w:val="231F20"/>
          <w:spacing w:val="-1"/>
          <w:sz w:val="20"/>
        </w:rPr>
        <w:t> </w:t>
      </w:r>
      <w:r>
        <w:rPr>
          <w:rFonts w:ascii="Arial" w:hAnsi="Arial"/>
          <w:color w:val="231F20"/>
          <w:w w:val="72"/>
          <w:sz w:val="20"/>
        </w:rPr>
        <w:t>mecanismos...</w:t>
      </w:r>
      <w:r>
        <w:rPr>
          <w:rFonts w:ascii="Arial" w:hAnsi="Arial"/>
          <w:color w:val="231F20"/>
          <w:spacing w:val="-1"/>
          <w:sz w:val="20"/>
        </w:rPr>
        <w:t> </w:t>
      </w:r>
      <w:r>
        <w:rPr>
          <w:rFonts w:ascii="Arial" w:hAnsi="Arial"/>
          <w:color w:val="231F20"/>
          <w:spacing w:val="-1"/>
          <w:w w:val="99"/>
          <w:sz w:val="20"/>
        </w:rPr>
        <w:t>/</w:t>
      </w:r>
      <w:r>
        <w:rPr>
          <w:rFonts w:ascii="Arial" w:hAnsi="Arial"/>
          <w:color w:val="231F20"/>
          <w:w w:val="47"/>
          <w:sz w:val="20"/>
        </w:rPr>
        <w:t>César</w:t>
      </w:r>
      <w:r>
        <w:rPr>
          <w:rFonts w:ascii="Arial" w:hAnsi="Arial"/>
          <w:color w:val="231F20"/>
          <w:spacing w:val="-17"/>
          <w:sz w:val="20"/>
        </w:rPr>
        <w:t> </w:t>
      </w:r>
      <w:r>
        <w:rPr>
          <w:rFonts w:ascii="Arial" w:hAnsi="Arial"/>
          <w:color w:val="231F20"/>
          <w:spacing w:val="-1"/>
          <w:w w:val="52"/>
          <w:sz w:val="20"/>
        </w:rPr>
        <w:t>Raú</w:t>
      </w:r>
      <w:r>
        <w:rPr>
          <w:rFonts w:ascii="Arial" w:hAnsi="Arial"/>
          <w:color w:val="231F20"/>
          <w:w w:val="52"/>
          <w:sz w:val="20"/>
        </w:rPr>
        <w:t>l</w:t>
      </w:r>
      <w:r>
        <w:rPr>
          <w:rFonts w:ascii="Arial" w:hAnsi="Arial"/>
          <w:color w:val="231F20"/>
          <w:spacing w:val="-17"/>
          <w:sz w:val="20"/>
        </w:rPr>
        <w:t> </w:t>
      </w:r>
      <w:r>
        <w:rPr>
          <w:rFonts w:ascii="Arial" w:hAnsi="Arial"/>
          <w:color w:val="231F20"/>
          <w:w w:val="52"/>
          <w:sz w:val="20"/>
        </w:rPr>
        <w:t>Pérez-Marcial</w:t>
      </w:r>
    </w:p>
    <w:p>
      <w:pPr>
        <w:pStyle w:val="BodyText"/>
        <w:rPr>
          <w:rFonts w:ascii="Arial"/>
          <w:sz w:val="20"/>
        </w:rPr>
      </w:pPr>
    </w:p>
    <w:p>
      <w:pPr>
        <w:spacing w:line="252" w:lineRule="auto" w:before="157"/>
        <w:ind w:left="397" w:right="503" w:firstLine="0"/>
        <w:jc w:val="left"/>
        <w:rPr>
          <w:sz w:val="19"/>
        </w:rPr>
      </w:pPr>
      <w:r>
        <w:rPr>
          <w:w w:val="105"/>
          <w:sz w:val="19"/>
        </w:rPr>
        <w:t>Cuadro 1. Monto de remesas recibidas por entidad, porcentajes y lugar que ocuparon para 2006 y 2011 (millones de dólares)</w:t>
      </w:r>
    </w:p>
    <w:p>
      <w:pPr>
        <w:tabs>
          <w:tab w:pos="5005" w:val="left" w:leader="none"/>
        </w:tabs>
        <w:spacing w:before="126"/>
        <w:ind w:left="3563" w:right="117" w:firstLine="0"/>
        <w:jc w:val="left"/>
        <w:rPr>
          <w:sz w:val="19"/>
        </w:rPr>
      </w:pPr>
      <w:r>
        <w:rPr>
          <w:w w:val="105"/>
          <w:sz w:val="19"/>
        </w:rPr>
        <w:t>%</w:t>
        <w:tab/>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spacing w:before="79"/>
        <w:ind w:left="397" w:right="117" w:firstLine="0"/>
        <w:jc w:val="left"/>
        <w:rPr>
          <w:sz w:val="16"/>
        </w:rPr>
      </w:pPr>
      <w:r>
        <w:rPr>
          <w:sz w:val="16"/>
        </w:rPr>
        <w:t>Fuente: elaboración propia a partir de Banco de México.</w:t>
      </w:r>
    </w:p>
    <w:p>
      <w:pPr>
        <w:spacing w:after="0"/>
        <w:jc w:val="left"/>
        <w:rPr>
          <w:sz w:val="16"/>
        </w:rPr>
        <w:sectPr>
          <w:pgSz w:w="9360" w:h="13040"/>
          <w:pgMar w:header="0" w:footer="496" w:top="740" w:bottom="680" w:left="1300" w:right="1300"/>
        </w:sectPr>
      </w:pPr>
    </w:p>
    <w:p>
      <w:pPr>
        <w:pStyle w:val="BodyText"/>
        <w:rPr>
          <w:sz w:val="20"/>
        </w:rPr>
      </w:pPr>
      <w:r>
        <w:rPr/>
        <w:pict>
          <v:shape style="position:absolute;margin-left:595.506775pt;margin-top:69.299202pt;width:12pt;height:200.85pt;mso-position-horizontal-relative:page;mso-position-vertical-relative:page;z-index:7576" type="#_x0000_t202" filled="false" stroked="false">
            <v:textbox inset="0,0,0,0" style="layout-flow:vertical">
              <w:txbxContent>
                <w:p>
                  <w:pPr>
                    <w:spacing w:line="208" w:lineRule="exact" w:before="0"/>
                    <w:ind w:left="20" w:right="-673" w:firstLine="0"/>
                    <w:jc w:val="left"/>
                    <w:rPr>
                      <w:rFonts w:ascii="Arial" w:hAnsi="Arial"/>
                      <w:sz w:val="20"/>
                    </w:rPr>
                  </w:pPr>
                  <w:r>
                    <w:rPr>
                      <w:rFonts w:ascii="Arial" w:hAnsi="Arial"/>
                      <w:color w:val="231F20"/>
                      <w:spacing w:val="-1"/>
                      <w:w w:val="78"/>
                      <w:sz w:val="20"/>
                    </w:rPr>
                    <w:t>Hito</w:t>
                  </w:r>
                  <w:r>
                    <w:rPr>
                      <w:rFonts w:ascii="Arial" w:hAnsi="Arial"/>
                      <w:color w:val="231F20"/>
                      <w:w w:val="78"/>
                      <w:sz w:val="20"/>
                    </w:rPr>
                    <w:t>s</w:t>
                  </w:r>
                  <w:r>
                    <w:rPr>
                      <w:rFonts w:ascii="Arial" w:hAnsi="Arial"/>
                      <w:color w:val="231F20"/>
                      <w:spacing w:val="-1"/>
                      <w:sz w:val="20"/>
                    </w:rPr>
                    <w:t> </w:t>
                  </w:r>
                  <w:r>
                    <w:rPr>
                      <w:rFonts w:ascii="Arial" w:hAnsi="Arial"/>
                      <w:color w:val="231F20"/>
                      <w:w w:val="72"/>
                      <w:sz w:val="20"/>
                    </w:rPr>
                    <w:t>Demográficos</w:t>
                  </w:r>
                  <w:r>
                    <w:rPr>
                      <w:rFonts w:ascii="Arial" w:hAnsi="Arial"/>
                      <w:color w:val="231F20"/>
                      <w:spacing w:val="-1"/>
                      <w:sz w:val="20"/>
                    </w:rPr>
                    <w:t> </w:t>
                  </w:r>
                  <w:r>
                    <w:rPr>
                      <w:rFonts w:ascii="Arial" w:hAnsi="Arial"/>
                      <w:color w:val="231F20"/>
                      <w:w w:val="76"/>
                      <w:sz w:val="20"/>
                    </w:rPr>
                    <w:t>del</w:t>
                  </w:r>
                  <w:r>
                    <w:rPr>
                      <w:rFonts w:ascii="Arial" w:hAnsi="Arial"/>
                      <w:color w:val="231F20"/>
                      <w:spacing w:val="-1"/>
                      <w:sz w:val="20"/>
                    </w:rPr>
                    <w:t> </w:t>
                  </w:r>
                  <w:r>
                    <w:rPr>
                      <w:rFonts w:ascii="Arial" w:hAnsi="Arial"/>
                      <w:color w:val="231F20"/>
                      <w:spacing w:val="-1"/>
                      <w:w w:val="77"/>
                      <w:sz w:val="20"/>
                    </w:rPr>
                    <w:t>Sigl</w:t>
                  </w:r>
                  <w:r>
                    <w:rPr>
                      <w:rFonts w:ascii="Arial" w:hAnsi="Arial"/>
                      <w:color w:val="231F20"/>
                      <w:w w:val="77"/>
                      <w:sz w:val="20"/>
                    </w:rPr>
                    <w:t>o</w:t>
                  </w:r>
                  <w:r>
                    <w:rPr>
                      <w:rFonts w:ascii="Arial" w:hAnsi="Arial"/>
                      <w:color w:val="231F20"/>
                      <w:sz w:val="20"/>
                    </w:rPr>
                    <w:t> </w:t>
                  </w:r>
                  <w:r>
                    <w:rPr>
                      <w:rFonts w:ascii="Arial" w:hAnsi="Arial"/>
                      <w:color w:val="231F20"/>
                      <w:w w:val="80"/>
                      <w:sz w:val="20"/>
                    </w:rPr>
                    <w:t>XXI:</w:t>
                  </w:r>
                  <w:r>
                    <w:rPr>
                      <w:rFonts w:ascii="Arial" w:hAnsi="Arial"/>
                      <w:color w:val="231F20"/>
                      <w:spacing w:val="-1"/>
                      <w:sz w:val="20"/>
                    </w:rPr>
                    <w:t> </w:t>
                  </w:r>
                  <w:r>
                    <w:rPr>
                      <w:rFonts w:ascii="Arial" w:hAnsi="Arial"/>
                      <w:color w:val="231F20"/>
                      <w:w w:val="76"/>
                      <w:sz w:val="20"/>
                    </w:rPr>
                    <w:t>Migración</w:t>
                  </w:r>
                  <w:r>
                    <w:rPr>
                      <w:rFonts w:ascii="Arial" w:hAnsi="Arial"/>
                      <w:color w:val="231F20"/>
                      <w:spacing w:val="-1"/>
                      <w:sz w:val="20"/>
                    </w:rPr>
                    <w:t> </w:t>
                  </w:r>
                  <w:r>
                    <w:rPr>
                      <w:rFonts w:ascii="Arial" w:hAnsi="Arial"/>
                      <w:color w:val="231F20"/>
                      <w:w w:val="76"/>
                      <w:sz w:val="20"/>
                    </w:rPr>
                    <w:t>Internacional</w:t>
                  </w:r>
                </w:p>
              </w:txbxContent>
            </v:textbox>
            <w10:wrap type="none"/>
          </v:shape>
        </w:pict>
      </w:r>
      <w:r>
        <w:rPr/>
        <w:pict>
          <v:shape style="position:absolute;margin-left:595.135681pt;margin-top:340.848389pt;width:11pt;height:57.05pt;mso-position-horizontal-relative:page;mso-position-vertical-relative:page;z-index:7600" type="#_x0000_t202" filled="false" stroked="false">
            <v:textbox inset="0,0,0,0" style="layout-flow:vertical">
              <w:txbxContent>
                <w:p>
                  <w:pPr>
                    <w:spacing w:line="204" w:lineRule="exact" w:before="0"/>
                    <w:ind w:left="20" w:right="-921" w:firstLine="0"/>
                    <w:jc w:val="left"/>
                    <w:rPr>
                      <w:sz w:val="18"/>
                    </w:rPr>
                  </w:pPr>
                  <w:r>
                    <w:rPr>
                      <w:color w:val="231F20"/>
                      <w:sz w:val="18"/>
                    </w:rPr>
                    <w:t>CIEAP/UAEM</w:t>
                  </w:r>
                </w:p>
              </w:txbxContent>
            </v:textbox>
            <w10:wrap type="none"/>
          </v:shape>
        </w:pict>
      </w:r>
      <w:r>
        <w:rPr/>
        <w:pict>
          <v:shape style="position:absolute;margin-left:23.820354pt;margin-top:215.850403pt;width:12pt;height:21.25pt;mso-position-horizontal-relative:page;mso-position-vertical-relative:page;z-index:7624" type="#_x0000_t202" filled="false" stroked="false">
            <v:textbox inset="0,0,0,0" style="layout-flow:vertical">
              <w:txbxContent>
                <w:p>
                  <w:pPr>
                    <w:spacing w:line="214" w:lineRule="exact" w:before="0"/>
                    <w:ind w:left="20" w:right="-182" w:firstLine="0"/>
                    <w:jc w:val="left"/>
                    <w:rPr>
                      <w:rFonts w:ascii="Verdana"/>
                      <w:sz w:val="20"/>
                    </w:rPr>
                  </w:pPr>
                  <w:r>
                    <w:rPr>
                      <w:rFonts w:ascii="Verdana"/>
                      <w:color w:val="231F20"/>
                      <w:spacing w:val="-1"/>
                      <w:w w:val="100"/>
                      <w:sz w:val="20"/>
                    </w:rPr>
                    <w:t>296</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spacing w:before="0"/>
        <w:ind w:left="783" w:right="0" w:firstLine="0"/>
        <w:jc w:val="left"/>
        <w:rPr>
          <w:sz w:val="20"/>
        </w:rPr>
      </w:pPr>
      <w:r>
        <w:rPr>
          <w:color w:val="231F20"/>
          <w:sz w:val="20"/>
        </w:rPr>
        <w:t>Mapa 2. México: montos de remesas por Entidad Federativa, 2011</w:t>
      </w:r>
    </w:p>
    <w:p>
      <w:pPr>
        <w:pStyle w:val="BodyText"/>
        <w:spacing w:before="9"/>
        <w:rPr>
          <w:sz w:val="12"/>
        </w:rPr>
      </w:pPr>
      <w:r>
        <w:rPr/>
        <w:pict>
          <v:group style="position:absolute;margin-left:100.877296pt;margin-top:9.328704pt;width:457.7pt;height:286.45pt;mso-position-horizontal-relative:page;mso-position-vertical-relative:paragraph;z-index:7552;mso-wrap-distance-left:0;mso-wrap-distance-right:0" coordorigin="2018,187" coordsize="9154,5729">
            <v:shape style="position:absolute;left:2023;top:192;width:9144;height:5718" type="#_x0000_t75" stroked="false">
              <v:imagedata r:id="rId212" o:title=""/>
            </v:shape>
            <v:rect style="position:absolute;left:2020;top:189;width:9149;height:5723" filled="false" stroked="true" strokeweight=".25pt" strokecolor="#000000"/>
            <w10:wrap type="topAndBottom"/>
          </v:group>
        </w:pict>
      </w:r>
    </w:p>
    <w:p>
      <w:pPr>
        <w:spacing w:before="69"/>
        <w:ind w:left="783" w:right="0" w:firstLine="0"/>
        <w:jc w:val="left"/>
        <w:rPr>
          <w:sz w:val="17"/>
        </w:rPr>
      </w:pPr>
      <w:r>
        <w:rPr>
          <w:color w:val="231F20"/>
          <w:sz w:val="17"/>
        </w:rPr>
        <w:t>Fuente: elaboración propia a partir de Banxico.</w:t>
      </w:r>
    </w:p>
    <w:p>
      <w:pPr>
        <w:spacing w:after="0"/>
        <w:jc w:val="left"/>
        <w:rPr>
          <w:sz w:val="17"/>
        </w:rPr>
        <w:sectPr>
          <w:footerReference w:type="default" r:id="rId211"/>
          <w:pgSz w:w="13040" w:h="9360" w:orient="landscape"/>
          <w:pgMar w:footer="0" w:header="0" w:top="0" w:bottom="280" w:left="1280" w:right="1760"/>
        </w:sectPr>
      </w:pPr>
    </w:p>
    <w:p>
      <w:pPr>
        <w:spacing w:before="45"/>
        <w:ind w:left="400" w:right="0" w:firstLine="60"/>
        <w:jc w:val="left"/>
        <w:rPr>
          <w:rFonts w:ascii="Arial" w:hAnsi="Arial"/>
          <w:sz w:val="20"/>
        </w:rPr>
      </w:pPr>
      <w:r>
        <w:rPr>
          <w:rFonts w:ascii="Arial" w:hAnsi="Arial"/>
          <w:color w:val="231F20"/>
          <w:w w:val="66"/>
          <w:sz w:val="20"/>
        </w:rPr>
        <w:t>Las</w:t>
      </w:r>
      <w:r>
        <w:rPr>
          <w:rFonts w:ascii="Arial" w:hAnsi="Arial"/>
          <w:color w:val="231F20"/>
          <w:spacing w:val="-1"/>
          <w:sz w:val="20"/>
        </w:rPr>
        <w:t> </w:t>
      </w:r>
      <w:r>
        <w:rPr>
          <w:rFonts w:ascii="Arial" w:hAnsi="Arial"/>
          <w:color w:val="231F20"/>
          <w:spacing w:val="-1"/>
          <w:w w:val="68"/>
          <w:sz w:val="20"/>
        </w:rPr>
        <w:t>remesa</w:t>
      </w:r>
      <w:r>
        <w:rPr>
          <w:rFonts w:ascii="Arial" w:hAnsi="Arial"/>
          <w:color w:val="231F20"/>
          <w:w w:val="68"/>
          <w:sz w:val="20"/>
        </w:rPr>
        <w:t>s</w:t>
      </w:r>
      <w:r>
        <w:rPr>
          <w:rFonts w:ascii="Arial" w:hAnsi="Arial"/>
          <w:color w:val="231F20"/>
          <w:sz w:val="20"/>
        </w:rPr>
        <w:t> </w:t>
      </w:r>
      <w:r>
        <w:rPr>
          <w:rFonts w:ascii="Arial" w:hAnsi="Arial"/>
          <w:color w:val="231F20"/>
          <w:w w:val="72"/>
          <w:sz w:val="20"/>
        </w:rPr>
        <w:t>indígenas</w:t>
      </w:r>
      <w:r>
        <w:rPr>
          <w:rFonts w:ascii="Arial" w:hAnsi="Arial"/>
          <w:color w:val="231F20"/>
          <w:spacing w:val="-1"/>
          <w:sz w:val="20"/>
        </w:rPr>
        <w:t> </w:t>
      </w:r>
      <w:r>
        <w:rPr>
          <w:rFonts w:ascii="Arial" w:hAnsi="Arial"/>
          <w:color w:val="231F20"/>
          <w:spacing w:val="-1"/>
          <w:w w:val="67"/>
          <w:sz w:val="20"/>
        </w:rPr>
        <w:t>com</w:t>
      </w:r>
      <w:r>
        <w:rPr>
          <w:rFonts w:ascii="Arial" w:hAnsi="Arial"/>
          <w:color w:val="231F20"/>
          <w:w w:val="67"/>
          <w:sz w:val="20"/>
        </w:rPr>
        <w:t>o</w:t>
      </w:r>
      <w:r>
        <w:rPr>
          <w:rFonts w:ascii="Arial" w:hAnsi="Arial"/>
          <w:color w:val="231F20"/>
          <w:spacing w:val="-1"/>
          <w:sz w:val="20"/>
        </w:rPr>
        <w:t> </w:t>
      </w:r>
      <w:r>
        <w:rPr>
          <w:rFonts w:ascii="Arial" w:hAnsi="Arial"/>
          <w:color w:val="231F20"/>
          <w:spacing w:val="-1"/>
          <w:w w:val="71"/>
          <w:sz w:val="20"/>
        </w:rPr>
        <w:t>complement</w:t>
      </w:r>
      <w:r>
        <w:rPr>
          <w:rFonts w:ascii="Arial" w:hAnsi="Arial"/>
          <w:color w:val="231F20"/>
          <w:w w:val="71"/>
          <w:sz w:val="20"/>
        </w:rPr>
        <w:t>o</w:t>
      </w:r>
      <w:r>
        <w:rPr>
          <w:rFonts w:ascii="Arial" w:hAnsi="Arial"/>
          <w:color w:val="231F20"/>
          <w:sz w:val="20"/>
        </w:rPr>
        <w:t> </w:t>
      </w:r>
      <w:r>
        <w:rPr>
          <w:rFonts w:ascii="Arial" w:hAnsi="Arial"/>
          <w:color w:val="231F20"/>
          <w:spacing w:val="-1"/>
          <w:w w:val="78"/>
          <w:sz w:val="20"/>
        </w:rPr>
        <w:t>a</w:t>
      </w:r>
      <w:r>
        <w:rPr>
          <w:rFonts w:ascii="Arial" w:hAnsi="Arial"/>
          <w:color w:val="231F20"/>
          <w:w w:val="78"/>
          <w:sz w:val="20"/>
        </w:rPr>
        <w:t>l</w:t>
      </w:r>
      <w:r>
        <w:rPr>
          <w:rFonts w:ascii="Arial" w:hAnsi="Arial"/>
          <w:color w:val="231F20"/>
          <w:spacing w:val="-1"/>
          <w:sz w:val="20"/>
        </w:rPr>
        <w:t> </w:t>
      </w:r>
      <w:r>
        <w:rPr>
          <w:rFonts w:ascii="Arial" w:hAnsi="Arial"/>
          <w:color w:val="231F20"/>
          <w:w w:val="73"/>
          <w:sz w:val="20"/>
        </w:rPr>
        <w:t>ingreso</w:t>
      </w:r>
      <w:r>
        <w:rPr>
          <w:rFonts w:ascii="Arial" w:hAnsi="Arial"/>
          <w:color w:val="231F20"/>
          <w:spacing w:val="-1"/>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67"/>
          <w:sz w:val="20"/>
        </w:rPr>
        <w:t>sus</w:t>
      </w:r>
      <w:r>
        <w:rPr>
          <w:rFonts w:ascii="Arial" w:hAnsi="Arial"/>
          <w:color w:val="231F20"/>
          <w:spacing w:val="-1"/>
          <w:sz w:val="20"/>
        </w:rPr>
        <w:t> </w:t>
      </w:r>
      <w:r>
        <w:rPr>
          <w:rFonts w:ascii="Arial" w:hAnsi="Arial"/>
          <w:color w:val="231F20"/>
          <w:w w:val="72"/>
          <w:sz w:val="20"/>
        </w:rPr>
        <w:t>mecanismos...</w:t>
      </w:r>
      <w:r>
        <w:rPr>
          <w:rFonts w:ascii="Arial" w:hAnsi="Arial"/>
          <w:color w:val="231F20"/>
          <w:spacing w:val="-1"/>
          <w:sz w:val="20"/>
        </w:rPr>
        <w:t> </w:t>
      </w:r>
      <w:r>
        <w:rPr>
          <w:rFonts w:ascii="Arial" w:hAnsi="Arial"/>
          <w:color w:val="231F20"/>
          <w:spacing w:val="-1"/>
          <w:w w:val="99"/>
          <w:sz w:val="20"/>
        </w:rPr>
        <w:t>/</w:t>
      </w:r>
      <w:r>
        <w:rPr>
          <w:rFonts w:ascii="Arial" w:hAnsi="Arial"/>
          <w:color w:val="231F20"/>
          <w:w w:val="47"/>
          <w:sz w:val="20"/>
        </w:rPr>
        <w:t>César</w:t>
      </w:r>
      <w:r>
        <w:rPr>
          <w:rFonts w:ascii="Arial" w:hAnsi="Arial"/>
          <w:color w:val="231F20"/>
          <w:spacing w:val="-17"/>
          <w:sz w:val="20"/>
        </w:rPr>
        <w:t> </w:t>
      </w:r>
      <w:r>
        <w:rPr>
          <w:rFonts w:ascii="Arial" w:hAnsi="Arial"/>
          <w:color w:val="231F20"/>
          <w:spacing w:val="-1"/>
          <w:w w:val="52"/>
          <w:sz w:val="20"/>
        </w:rPr>
        <w:t>Raú</w:t>
      </w:r>
      <w:r>
        <w:rPr>
          <w:rFonts w:ascii="Arial" w:hAnsi="Arial"/>
          <w:color w:val="231F20"/>
          <w:w w:val="52"/>
          <w:sz w:val="20"/>
        </w:rPr>
        <w:t>l</w:t>
      </w:r>
      <w:r>
        <w:rPr>
          <w:rFonts w:ascii="Arial" w:hAnsi="Arial"/>
          <w:color w:val="231F20"/>
          <w:spacing w:val="-17"/>
          <w:sz w:val="20"/>
        </w:rPr>
        <w:t> </w:t>
      </w:r>
      <w:r>
        <w:rPr>
          <w:rFonts w:ascii="Arial" w:hAnsi="Arial"/>
          <w:color w:val="231F20"/>
          <w:w w:val="52"/>
          <w:sz w:val="20"/>
        </w:rPr>
        <w:t>Pérez-Marcial</w:t>
      </w:r>
    </w:p>
    <w:p>
      <w:pPr>
        <w:pStyle w:val="BodyText"/>
        <w:spacing w:before="7"/>
        <w:rPr>
          <w:rFonts w:ascii="Arial"/>
          <w:sz w:val="28"/>
        </w:rPr>
      </w:pPr>
    </w:p>
    <w:p>
      <w:pPr>
        <w:pStyle w:val="BodyText"/>
        <w:spacing w:line="247" w:lineRule="auto"/>
        <w:ind w:left="117" w:right="134" w:firstLine="283"/>
        <w:jc w:val="both"/>
      </w:pPr>
      <w:r>
        <w:rPr>
          <w:color w:val="231F20"/>
        </w:rPr>
        <w:t>Otra característica del patrón territorial de recepción de remesas es  que ocho entidades con presencia de poblaciones indígenas como son Mi- choacán, Puebla, Oaxaca, </w:t>
      </w:r>
      <w:r>
        <w:rPr>
          <w:color w:val="231F20"/>
          <w:spacing w:val="-3"/>
        </w:rPr>
        <w:t>Veracruz, </w:t>
      </w:r>
      <w:r>
        <w:rPr>
          <w:color w:val="231F20"/>
        </w:rPr>
        <w:t>Guerrero e Hidalgo, están ubicadas en las primeras diez de mayor recepción de remesas. Chiapas un poco por debajo de estas y </w:t>
      </w:r>
      <w:r>
        <w:rPr>
          <w:color w:val="231F20"/>
          <w:spacing w:val="-4"/>
        </w:rPr>
        <w:t>Yucatán </w:t>
      </w:r>
      <w:r>
        <w:rPr>
          <w:color w:val="231F20"/>
        </w:rPr>
        <w:t>se ubicó en el vigésimo octavo </w:t>
      </w:r>
      <w:r>
        <w:rPr>
          <w:color w:val="231F20"/>
          <w:spacing w:val="-3"/>
        </w:rPr>
        <w:t>lugar.</w:t>
      </w:r>
    </w:p>
    <w:p>
      <w:pPr>
        <w:pStyle w:val="BodyText"/>
        <w:spacing w:line="247" w:lineRule="auto"/>
        <w:ind w:left="117" w:right="134" w:firstLine="283"/>
        <w:jc w:val="both"/>
      </w:pPr>
      <w:r>
        <w:rPr>
          <w:color w:val="231F20"/>
        </w:rPr>
        <w:t>El peso específico de las remesas suele dimensionarse a nivel ma- croeconómico ya sea por su participación en el Producto Interno Bruto (PIB) nacional e ingresos relacionados al sector externo. Desde 1995 han aumentado respecto al PIB pero su aporte es limitado (contrario en Hon- duras,</w:t>
      </w:r>
      <w:r>
        <w:rPr>
          <w:color w:val="231F20"/>
          <w:spacing w:val="-8"/>
        </w:rPr>
        <w:t> </w:t>
      </w:r>
      <w:r>
        <w:rPr>
          <w:color w:val="231F20"/>
        </w:rPr>
        <w:t>El</w:t>
      </w:r>
      <w:r>
        <w:rPr>
          <w:color w:val="231F20"/>
          <w:spacing w:val="-8"/>
        </w:rPr>
        <w:t> </w:t>
      </w:r>
      <w:r>
        <w:rPr>
          <w:color w:val="231F20"/>
        </w:rPr>
        <w:t>Salvador</w:t>
      </w:r>
      <w:r>
        <w:rPr>
          <w:color w:val="231F20"/>
          <w:spacing w:val="-7"/>
        </w:rPr>
        <w:t> </w:t>
      </w:r>
      <w:r>
        <w:rPr>
          <w:color w:val="231F20"/>
        </w:rPr>
        <w:t>o</w:t>
      </w:r>
      <w:r>
        <w:rPr>
          <w:color w:val="231F20"/>
          <w:spacing w:val="-8"/>
        </w:rPr>
        <w:t> </w:t>
      </w:r>
      <w:r>
        <w:rPr>
          <w:color w:val="231F20"/>
        </w:rPr>
        <w:t>Haití).</w:t>
      </w:r>
      <w:r>
        <w:rPr>
          <w:color w:val="231F20"/>
          <w:spacing w:val="-8"/>
        </w:rPr>
        <w:t> </w:t>
      </w:r>
      <w:r>
        <w:rPr>
          <w:color w:val="231F20"/>
        </w:rPr>
        <w:t>Para</w:t>
      </w:r>
      <w:r>
        <w:rPr>
          <w:color w:val="231F20"/>
          <w:spacing w:val="-8"/>
        </w:rPr>
        <w:t> </w:t>
      </w:r>
      <w:r>
        <w:rPr>
          <w:color w:val="231F20"/>
        </w:rPr>
        <w:t>2006</w:t>
      </w:r>
      <w:r>
        <w:rPr>
          <w:color w:val="231F20"/>
          <w:spacing w:val="-8"/>
        </w:rPr>
        <w:t> </w:t>
      </w:r>
      <w:r>
        <w:rPr>
          <w:color w:val="231F20"/>
        </w:rPr>
        <w:t>se</w:t>
      </w:r>
      <w:r>
        <w:rPr>
          <w:color w:val="231F20"/>
          <w:spacing w:val="-8"/>
        </w:rPr>
        <w:t> </w:t>
      </w:r>
      <w:r>
        <w:rPr>
          <w:color w:val="231F20"/>
        </w:rPr>
        <w:t>estabilizó</w:t>
      </w:r>
      <w:r>
        <w:rPr>
          <w:color w:val="231F20"/>
          <w:spacing w:val="-9"/>
        </w:rPr>
        <w:t> </w:t>
      </w:r>
      <w:r>
        <w:rPr>
          <w:color w:val="231F20"/>
        </w:rPr>
        <w:t>y</w:t>
      </w:r>
      <w:r>
        <w:rPr>
          <w:color w:val="231F20"/>
          <w:spacing w:val="-8"/>
        </w:rPr>
        <w:t> </w:t>
      </w:r>
      <w:r>
        <w:rPr>
          <w:color w:val="231F20"/>
        </w:rPr>
        <w:t>mostró</w:t>
      </w:r>
      <w:r>
        <w:rPr>
          <w:color w:val="231F20"/>
          <w:spacing w:val="-8"/>
        </w:rPr>
        <w:t> </w:t>
      </w:r>
      <w:r>
        <w:rPr>
          <w:color w:val="231F20"/>
        </w:rPr>
        <w:t>una</w:t>
      </w:r>
      <w:r>
        <w:rPr>
          <w:color w:val="231F20"/>
          <w:spacing w:val="-8"/>
        </w:rPr>
        <w:t> </w:t>
      </w:r>
      <w:r>
        <w:rPr>
          <w:color w:val="231F20"/>
        </w:rPr>
        <w:t>tendencia descendente hasta 2009 para luego repuntar ligeramente en 2010 y</w:t>
      </w:r>
      <w:r>
        <w:rPr>
          <w:color w:val="231F20"/>
          <w:spacing w:val="-10"/>
        </w:rPr>
        <w:t> </w:t>
      </w:r>
      <w:r>
        <w:rPr>
          <w:color w:val="231F20"/>
        </w:rPr>
        <w:t>2011.</w:t>
      </w:r>
    </w:p>
    <w:p>
      <w:pPr>
        <w:pStyle w:val="BodyText"/>
        <w:spacing w:line="247" w:lineRule="auto"/>
        <w:ind w:left="117" w:right="134" w:firstLine="283"/>
        <w:jc w:val="both"/>
      </w:pPr>
      <w:r>
        <w:rPr>
          <w:color w:val="231F20"/>
        </w:rPr>
        <w:t>También se definen en crecimiento progresivo y constante, situándose entre la segunda y tercera fuente abajo de las exportaciones petroleras y la Inversión Extranjera Directa (IED) en ciertos años, superando a los ingre- sos generados por la exportación de productos agrícolas y la captación de ingresos por parte del turismo (ver Gráfica 1). Recientemente han dupli- cado a los ingresos captados por exportaciones agropecuarias y turismo, manteniendo una tendencia similar a la IED.</w:t>
      </w:r>
    </w:p>
    <w:p>
      <w:pPr>
        <w:pStyle w:val="BodyText"/>
        <w:spacing w:before="8"/>
        <w:rPr>
          <w:sz w:val="17"/>
        </w:rPr>
      </w:pPr>
    </w:p>
    <w:p>
      <w:pPr>
        <w:spacing w:before="74"/>
        <w:ind w:left="176" w:right="0" w:firstLine="0"/>
        <w:jc w:val="left"/>
        <w:rPr>
          <w:sz w:val="20"/>
        </w:rPr>
      </w:pPr>
      <w:r>
        <w:rPr/>
        <w:pict>
          <v:group style="position:absolute;margin-left:106.459198pt;margin-top:33.812843pt;width:274.9pt;height:124.7pt;mso-position-horizontal-relative:page;mso-position-vertical-relative:paragraph;z-index:-636952" coordorigin="2129,676" coordsize="5498,2494">
            <v:rect style="position:absolute;left:2180;top:686;width:5437;height:2432" filled="false" stroked="true" strokeweight=".967pt" strokecolor="#808080"/>
            <v:line style="position:absolute" from="2180,3118" to="2180,686" stroked="true" strokeweight=".242pt" strokecolor="#000000"/>
            <v:shape style="position:absolute;left:0;top:4362;width:48;height:2429" coordorigin="0,4362" coordsize="48,2429" path="m2132,3116l2180,3116m2132,2713l2180,2713m2132,2305l2180,2305m2132,1902l2180,1902m2132,1499l2180,1499m2132,1091l2180,1091m2132,688l2180,688e" filled="false" stroked="true" strokeweight=".242pt" strokecolor="#000000">
              <v:path arrowok="t"/>
            </v:shape>
            <v:line style="position:absolute" from="2180,3118" to="7617,3118" stroked="true" strokeweight=".242pt" strokecolor="#000000"/>
            <v:shape style="position:absolute;left:0;top:6791;width:5438;height:51" coordorigin="0,6791" coordsize="5438,51" path="m2180,3116l2180,3167m2722,3116l2722,3167m3269,3116l3269,3167m3812,3116l3812,3167m4354,3116l4354,3167m4896,3116l4896,3167m5444,3116l5444,3167m5986,3116l5986,3167m6528,3116l6528,3167m7076,3116l7076,3167m7617,3116l7617,3167e" filled="false" stroked="true" strokeweight=".242pt" strokecolor="#000000">
              <v:path arrowok="t"/>
            </v:shape>
            <v:shape style="position:absolute;left:2180;top:2060;width:5438;height:956" coordorigin="2180,2060" coordsize="5438,956" path="m2180,3016l2248,3015,2316,3014,2384,3012,2452,3010,2520,3006,2588,3002,2656,2997,2724,2993,2792,2990,2860,2987,2928,2985,2996,2983,3064,2981,3132,2980,3200,2978,3268,2977,3336,2975,3404,2974,3472,2972,3540,2969,3608,2964,3676,2959,3744,2953,3811,2947,3879,2940,3947,2934,4015,2928,4083,2921,4151,2913,4219,2904,4287,2896,4355,2890,4423,2886,4491,2884,4559,2882,4627,2878,4695,2874,4763,2870,4831,2863,4899,2851,4967,2831,5035,2805,5103,2778,5171,2757,5239,2748,5307,2746,5375,2741,5442,2720,5510,2677,5578,2618,5646,2556,5714,2504,5782,2466,5850,2435,5918,2406,5986,2375,6054,2342,6122,2309,6190,2275,6258,2240,6326,2199,6394,2153,6462,2112,6530,2082,6598,2066,6666,2060,6734,2060,6802,2062,6870,2064,6938,2069,7006,2080,7074,2099,7141,2134,7209,2182,7277,2228,7345,2259,7413,2270,7481,2268,7549,2260,7617,2256e" filled="false" stroked="true" strokeweight=".5pt" strokecolor="#000000">
              <v:path arrowok="t"/>
            </v:shape>
            <v:shape style="position:absolute;left:2180;top:1053;width:5438;height:1770" coordorigin="2180,1053" coordsize="5438,1770" path="m2180,2708l2248,2730,2316,2753,2384,2773,2452,2787,2520,2791,2588,2787,2656,2782,2724,2781,2792,2786,2860,2793,2928,2801,2996,2806,3064,2810,3132,2812,3200,2812,3268,2809,3336,2804,3404,2797,3472,2785,3540,2768,3608,2738,3676,2700,3744,2663,3811,2639,3879,2629,3947,2628,4015,2636,4083,2654,4151,2691,4219,2745,4287,2796,4355,2822,4423,2818,4491,2794,4559,2758,4627,2714,4681,2667,4736,2607,4790,2545,4844,2493,4899,2464,4967,2472,5035,2512,5103,2558,5171,2583,5239,2582,5307,2567,5375,2544,5442,2517,5510,2486,5578,2449,5646,2408,5714,2364,5782,2319,5850,2273,5918,2220,5986,2159,6041,2100,6095,2033,6149,1962,6204,1891,6258,1825,6312,1763,6367,1701,6421,1641,6475,1586,6530,1537,6598,1491,6666,1457,6734,1422,6802,1375,6841,1329,6879,1265,6918,1194,6957,1128,6996,1078,7035,1053,7074,1066,7123,1160,7148,1237,7172,1327,7197,1424,7222,1523,7247,1619,7271,1706,7296,1780,7321,1835,7379,1870,7413,1843,7447,1792,7481,1724,7515,1647,7549,1567,7583,1492,7617,1429e" filled="false" stroked="true" strokeweight=".5pt" strokecolor="#000000">
              <v:path arrowok="t"/>
              <v:stroke dashstyle="dash"/>
            </v:shape>
            <v:shape style="position:absolute;left:2180;top:2773;width:5438;height:260" coordorigin="2180,2773" coordsize="5438,260" path="m2180,3030l2248,3028,2316,3025,2384,3022,2452,3022,2520,3024,2588,3028,2656,3032,2724,3032,2792,3028,2860,3020,2928,3011,2996,3005,3064,3002,3132,3002,3200,3000,3268,2995,3336,2981,3404,2962,3472,2944,3540,2932,3608,2932,3676,2938,3744,2946,3811,2951,3879,2949,3947,2945,4015,2941,4083,2938,4151,2938,4219,2940,4287,2942,4355,2943,4423,2942,4491,2941,4559,2940,4627,2938,4695,2935,4763,2930,4831,2927,4899,2925,4967,2927,5035,2930,5103,2934,5171,2938,5239,2942,5307,2946,5375,2948,5442,2948,5510,2942,5578,2933,5646,2923,5714,2914,5782,2907,5850,2900,5918,2894,5986,2888,6054,2885,6122,2882,6190,2880,6258,2875,6326,2868,6394,2859,6462,2849,6530,2841,6598,2834,6666,2828,6734,2823,6802,2817,6870,2811,6938,2806,7006,2801,7074,2798,7141,2799,7209,2802,7277,2805,7345,2805,7413,2799,7481,2791,7549,2782,7617,2773e" filled="false" stroked="true" strokeweight=".5pt" strokecolor="#000000">
              <v:path arrowok="t"/>
              <v:stroke dashstyle="dash"/>
            </v:shape>
            <v:shape style="position:absolute;left:2180;top:2678;width:5438;height:281" coordorigin="2180,2678" coordsize="5438,281" path="m2180,2958l2248,2954,2316,2949,2384,2945,2452,2942,2520,2940,2588,2938,2656,2938,2724,2937,2792,2936,2860,2935,2928,2934,2996,2933,3064,2930,3132,2926,3200,2923,3268,2921,3336,2922,3404,2925,3472,2927,3540,2928,3608,2925,3676,2920,3744,2915,3811,2911,3879,2908,3947,2906,4015,2904,4083,2902,4151,2898,4219,2895,4287,2891,4355,2889,4423,2891,4491,2894,4559,2896,4627,2895,4695,2887,4763,2876,4831,2865,4899,2857,4967,2854,5035,2853,5103,2853,5171,2853,5239,2851,5307,2850,5375,2848,5442,2845,5510,2841,5578,2837,5646,2831,5714,2824,5782,2814,5850,2802,5918,2789,5986,2778,6054,2769,6122,2761,6190,2753,6258,2747,6326,2742,6394,2739,6462,2735,6530,2730,6598,2723,6666,2715,6734,2706,6802,2699,6870,2691,6938,2683,7006,2678,7074,2679,7141,2692,7209,2712,7277,2732,7345,2744,7413,2744,7481,2736,7549,2726,7617,2717e" filled="false" stroked="true" strokeweight=".5pt" strokecolor="#000000">
              <v:path arrowok="t"/>
              <v:stroke dashstyle="dash"/>
            </v:shape>
            <v:shape style="position:absolute;left:2180;top:1871;width:5438;height:1106" coordorigin="2180,1871" coordsize="5438,1106" path="m2180,2968l2248,2969,2316,2971,2384,2972,2452,2973,2520,2975,2588,2976,2656,2976,2724,2972,2792,2967,2860,2960,2928,2946,2996,2919,3050,2879,3105,2823,3159,2765,3213,2715,3268,2686,3336,2688,3404,2716,3472,2753,3540,2778,3608,2793,3676,2806,3744,2810,3811,2800,3879,2762,3947,2704,4015,2651,4083,2626,4138,2641,4192,2681,4246,2729,4301,2767,4410,2757,4464,2714,4518,2659,4573,2603,4627,2555,4695,2516,4763,2485,4831,2447,4899,2384,4938,2326,4976,2249,5015,2164,5054,2078,5093,2000,5132,1941,5171,1908,5225,1910,5279,1953,5334,2019,5388,2090,5442,2148,5497,2201,5551,2260,5606,2314,5660,2353,5714,2366,5769,2341,5823,2285,5877,2217,5932,2153,5986,2112,6054,2094,6122,2096,6190,2111,6258,2134,6312,2169,6367,2222,6421,2275,6475,2310,6569,2275,6608,2214,6646,2137,6685,2055,6724,1978,6763,1917,6802,1881,6856,1871,6910,1890,6965,1929,7019,1982,7074,2041,7112,2094,7151,2163,7190,2240,7229,2317,7268,2387,7307,2443,7345,2476,7400,2482,7454,2455,7508,2409,7563,2357,7617,2316e" filled="false" stroked="true" strokeweight=".5pt" strokecolor="#000000">
              <v:path arrowok="t"/>
              <v:stroke dashstyle="dash"/>
            </v:shape>
            <w10:wrap type="none"/>
          </v:group>
        </w:pict>
      </w:r>
      <w:r>
        <w:rPr>
          <w:color w:val="231F20"/>
          <w:sz w:val="20"/>
        </w:rPr>
        <w:t>Gráfica 1. Ingresos nacionales (millones de USD)</w:t>
      </w:r>
    </w:p>
    <w:p>
      <w:pPr>
        <w:pStyle w:val="BodyText"/>
        <w:spacing w:before="3"/>
        <w:rPr>
          <w:sz w:val="12"/>
        </w:rPr>
      </w:pPr>
    </w:p>
    <w:tbl>
      <w:tblPr>
        <w:tblW w:w="0" w:type="auto"/>
        <w:jc w:val="left"/>
        <w:tblInd w:w="17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966"/>
        <w:gridCol w:w="544"/>
        <w:gridCol w:w="544"/>
        <w:gridCol w:w="544"/>
        <w:gridCol w:w="544"/>
        <w:gridCol w:w="544"/>
        <w:gridCol w:w="544"/>
        <w:gridCol w:w="544"/>
        <w:gridCol w:w="544"/>
        <w:gridCol w:w="544"/>
        <w:gridCol w:w="485"/>
        <w:gridCol w:w="131"/>
      </w:tblGrid>
      <w:tr>
        <w:trPr>
          <w:trHeight w:val="456" w:hRule="exact"/>
        </w:trPr>
        <w:tc>
          <w:tcPr>
            <w:tcW w:w="966" w:type="dxa"/>
            <w:tcBorders>
              <w:bottom w:val="nil"/>
              <w:right w:val="nil"/>
            </w:tcBorders>
          </w:tcPr>
          <w:p>
            <w:pPr>
              <w:pStyle w:val="TableParagraph"/>
              <w:spacing w:before="2"/>
              <w:jc w:val="left"/>
              <w:rPr>
                <w:sz w:val="13"/>
              </w:rPr>
            </w:pPr>
          </w:p>
          <w:p>
            <w:pPr>
              <w:pStyle w:val="TableParagraph"/>
              <w:ind w:left="37"/>
              <w:jc w:val="left"/>
              <w:rPr>
                <w:rFonts w:ascii="Arial"/>
                <w:sz w:val="16"/>
              </w:rPr>
            </w:pPr>
            <w:r>
              <w:rPr>
                <w:rFonts w:ascii="Arial"/>
                <w:w w:val="105"/>
                <w:sz w:val="16"/>
              </w:rPr>
              <w:t>60,000</w:t>
            </w:r>
          </w:p>
        </w:tc>
        <w:tc>
          <w:tcPr>
            <w:tcW w:w="544" w:type="dxa"/>
            <w:tcBorders>
              <w:left w:val="nil"/>
              <w:bottom w:val="nil"/>
              <w:right w:val="nil"/>
            </w:tcBorders>
          </w:tcPr>
          <w:p>
            <w:pPr/>
          </w:p>
        </w:tc>
        <w:tc>
          <w:tcPr>
            <w:tcW w:w="544" w:type="dxa"/>
            <w:tcBorders>
              <w:left w:val="nil"/>
              <w:bottom w:val="nil"/>
              <w:right w:val="nil"/>
            </w:tcBorders>
          </w:tcPr>
          <w:p>
            <w:pPr/>
          </w:p>
        </w:tc>
        <w:tc>
          <w:tcPr>
            <w:tcW w:w="544" w:type="dxa"/>
            <w:tcBorders>
              <w:left w:val="nil"/>
              <w:bottom w:val="nil"/>
              <w:right w:val="nil"/>
            </w:tcBorders>
          </w:tcPr>
          <w:p>
            <w:pPr/>
          </w:p>
        </w:tc>
        <w:tc>
          <w:tcPr>
            <w:tcW w:w="544" w:type="dxa"/>
            <w:tcBorders>
              <w:left w:val="nil"/>
              <w:bottom w:val="nil"/>
              <w:right w:val="nil"/>
            </w:tcBorders>
          </w:tcPr>
          <w:p>
            <w:pPr/>
          </w:p>
        </w:tc>
        <w:tc>
          <w:tcPr>
            <w:tcW w:w="544" w:type="dxa"/>
            <w:tcBorders>
              <w:left w:val="nil"/>
              <w:bottom w:val="nil"/>
              <w:right w:val="nil"/>
            </w:tcBorders>
          </w:tcPr>
          <w:p>
            <w:pPr/>
          </w:p>
        </w:tc>
        <w:tc>
          <w:tcPr>
            <w:tcW w:w="544" w:type="dxa"/>
            <w:tcBorders>
              <w:left w:val="nil"/>
              <w:bottom w:val="nil"/>
              <w:right w:val="nil"/>
            </w:tcBorders>
          </w:tcPr>
          <w:p>
            <w:pPr/>
          </w:p>
        </w:tc>
        <w:tc>
          <w:tcPr>
            <w:tcW w:w="544" w:type="dxa"/>
            <w:tcBorders>
              <w:left w:val="nil"/>
              <w:bottom w:val="nil"/>
              <w:right w:val="nil"/>
            </w:tcBorders>
          </w:tcPr>
          <w:p>
            <w:pPr/>
          </w:p>
        </w:tc>
        <w:tc>
          <w:tcPr>
            <w:tcW w:w="544" w:type="dxa"/>
            <w:tcBorders>
              <w:left w:val="nil"/>
              <w:bottom w:val="nil"/>
              <w:right w:val="nil"/>
            </w:tcBorders>
          </w:tcPr>
          <w:p>
            <w:pPr/>
          </w:p>
        </w:tc>
        <w:tc>
          <w:tcPr>
            <w:tcW w:w="544" w:type="dxa"/>
            <w:tcBorders>
              <w:left w:val="nil"/>
              <w:bottom w:val="nil"/>
              <w:right w:val="nil"/>
            </w:tcBorders>
          </w:tcPr>
          <w:p>
            <w:pPr/>
          </w:p>
        </w:tc>
        <w:tc>
          <w:tcPr>
            <w:tcW w:w="485" w:type="dxa"/>
            <w:tcBorders>
              <w:left w:val="nil"/>
              <w:bottom w:val="nil"/>
              <w:right w:val="nil"/>
            </w:tcBorders>
          </w:tcPr>
          <w:p>
            <w:pPr/>
          </w:p>
        </w:tc>
        <w:tc>
          <w:tcPr>
            <w:tcW w:w="131" w:type="dxa"/>
            <w:tcBorders>
              <w:left w:val="nil"/>
              <w:bottom w:val="nil"/>
            </w:tcBorders>
          </w:tcPr>
          <w:p>
            <w:pPr/>
          </w:p>
        </w:tc>
      </w:tr>
      <w:tr>
        <w:trPr>
          <w:trHeight w:val="405" w:hRule="exact"/>
        </w:trPr>
        <w:tc>
          <w:tcPr>
            <w:tcW w:w="966" w:type="dxa"/>
            <w:tcBorders>
              <w:top w:val="nil"/>
              <w:bottom w:val="nil"/>
              <w:right w:val="nil"/>
            </w:tcBorders>
          </w:tcPr>
          <w:p>
            <w:pPr>
              <w:pStyle w:val="TableParagraph"/>
              <w:spacing w:before="103"/>
              <w:ind w:left="37"/>
              <w:jc w:val="left"/>
              <w:rPr>
                <w:rFonts w:ascii="Arial"/>
                <w:sz w:val="16"/>
              </w:rPr>
            </w:pPr>
            <w:r>
              <w:rPr>
                <w:rFonts w:ascii="Arial"/>
                <w:w w:val="105"/>
                <w:sz w:val="16"/>
              </w:rPr>
              <w:t>50,000</w:t>
            </w: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485" w:type="dxa"/>
            <w:tcBorders>
              <w:top w:val="nil"/>
              <w:left w:val="nil"/>
              <w:bottom w:val="nil"/>
              <w:right w:val="nil"/>
            </w:tcBorders>
          </w:tcPr>
          <w:p>
            <w:pPr/>
          </w:p>
        </w:tc>
        <w:tc>
          <w:tcPr>
            <w:tcW w:w="131" w:type="dxa"/>
            <w:tcBorders>
              <w:top w:val="nil"/>
              <w:left w:val="nil"/>
              <w:bottom w:val="nil"/>
            </w:tcBorders>
          </w:tcPr>
          <w:p>
            <w:pPr/>
          </w:p>
        </w:tc>
      </w:tr>
      <w:tr>
        <w:trPr>
          <w:trHeight w:val="405" w:hRule="exact"/>
        </w:trPr>
        <w:tc>
          <w:tcPr>
            <w:tcW w:w="966" w:type="dxa"/>
            <w:tcBorders>
              <w:top w:val="nil"/>
              <w:bottom w:val="nil"/>
              <w:right w:val="nil"/>
            </w:tcBorders>
          </w:tcPr>
          <w:p>
            <w:pPr>
              <w:pStyle w:val="TableParagraph"/>
              <w:spacing w:before="103"/>
              <w:ind w:left="37"/>
              <w:jc w:val="left"/>
              <w:rPr>
                <w:rFonts w:ascii="Arial"/>
                <w:sz w:val="16"/>
              </w:rPr>
            </w:pPr>
            <w:r>
              <w:rPr>
                <w:rFonts w:ascii="Arial"/>
                <w:w w:val="105"/>
                <w:sz w:val="16"/>
              </w:rPr>
              <w:t>40,000</w:t>
            </w: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485" w:type="dxa"/>
            <w:tcBorders>
              <w:top w:val="nil"/>
              <w:left w:val="nil"/>
              <w:bottom w:val="nil"/>
              <w:right w:val="nil"/>
            </w:tcBorders>
          </w:tcPr>
          <w:p>
            <w:pPr/>
          </w:p>
        </w:tc>
        <w:tc>
          <w:tcPr>
            <w:tcW w:w="131" w:type="dxa"/>
            <w:tcBorders>
              <w:top w:val="nil"/>
              <w:left w:val="nil"/>
              <w:bottom w:val="nil"/>
            </w:tcBorders>
          </w:tcPr>
          <w:p>
            <w:pPr/>
          </w:p>
        </w:tc>
      </w:tr>
      <w:tr>
        <w:trPr>
          <w:trHeight w:val="405" w:hRule="exact"/>
        </w:trPr>
        <w:tc>
          <w:tcPr>
            <w:tcW w:w="966" w:type="dxa"/>
            <w:tcBorders>
              <w:top w:val="nil"/>
              <w:bottom w:val="nil"/>
              <w:right w:val="nil"/>
            </w:tcBorders>
          </w:tcPr>
          <w:p>
            <w:pPr>
              <w:pStyle w:val="TableParagraph"/>
              <w:spacing w:before="103"/>
              <w:ind w:left="37"/>
              <w:jc w:val="left"/>
              <w:rPr>
                <w:rFonts w:ascii="Arial"/>
                <w:sz w:val="16"/>
              </w:rPr>
            </w:pPr>
            <w:r>
              <w:rPr>
                <w:rFonts w:ascii="Arial"/>
                <w:w w:val="105"/>
                <w:sz w:val="16"/>
              </w:rPr>
              <w:t>30,000</w:t>
            </w: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485" w:type="dxa"/>
            <w:tcBorders>
              <w:top w:val="nil"/>
              <w:left w:val="nil"/>
              <w:bottom w:val="nil"/>
              <w:right w:val="nil"/>
            </w:tcBorders>
          </w:tcPr>
          <w:p>
            <w:pPr/>
          </w:p>
        </w:tc>
        <w:tc>
          <w:tcPr>
            <w:tcW w:w="131" w:type="dxa"/>
            <w:tcBorders>
              <w:top w:val="nil"/>
              <w:left w:val="nil"/>
              <w:bottom w:val="nil"/>
            </w:tcBorders>
          </w:tcPr>
          <w:p>
            <w:pPr/>
          </w:p>
        </w:tc>
      </w:tr>
      <w:tr>
        <w:trPr>
          <w:trHeight w:val="405" w:hRule="exact"/>
        </w:trPr>
        <w:tc>
          <w:tcPr>
            <w:tcW w:w="966" w:type="dxa"/>
            <w:tcBorders>
              <w:top w:val="nil"/>
              <w:bottom w:val="nil"/>
              <w:right w:val="nil"/>
            </w:tcBorders>
          </w:tcPr>
          <w:p>
            <w:pPr>
              <w:pStyle w:val="TableParagraph"/>
              <w:spacing w:before="103"/>
              <w:ind w:left="37"/>
              <w:jc w:val="left"/>
              <w:rPr>
                <w:rFonts w:ascii="Arial"/>
                <w:sz w:val="16"/>
              </w:rPr>
            </w:pPr>
            <w:r>
              <w:rPr>
                <w:rFonts w:ascii="Arial"/>
                <w:w w:val="105"/>
                <w:sz w:val="16"/>
              </w:rPr>
              <w:t>20,000</w:t>
            </w: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485" w:type="dxa"/>
            <w:tcBorders>
              <w:top w:val="nil"/>
              <w:left w:val="nil"/>
              <w:bottom w:val="nil"/>
              <w:right w:val="nil"/>
            </w:tcBorders>
          </w:tcPr>
          <w:p>
            <w:pPr/>
          </w:p>
        </w:tc>
        <w:tc>
          <w:tcPr>
            <w:tcW w:w="131" w:type="dxa"/>
            <w:tcBorders>
              <w:top w:val="nil"/>
              <w:left w:val="nil"/>
              <w:bottom w:val="nil"/>
            </w:tcBorders>
          </w:tcPr>
          <w:p>
            <w:pPr/>
          </w:p>
        </w:tc>
      </w:tr>
      <w:tr>
        <w:trPr>
          <w:trHeight w:val="405" w:hRule="exact"/>
        </w:trPr>
        <w:tc>
          <w:tcPr>
            <w:tcW w:w="966" w:type="dxa"/>
            <w:tcBorders>
              <w:top w:val="nil"/>
              <w:bottom w:val="nil"/>
              <w:right w:val="nil"/>
            </w:tcBorders>
          </w:tcPr>
          <w:p>
            <w:pPr>
              <w:pStyle w:val="TableParagraph"/>
              <w:spacing w:before="103"/>
              <w:ind w:left="37"/>
              <w:jc w:val="left"/>
              <w:rPr>
                <w:rFonts w:ascii="Arial"/>
                <w:sz w:val="16"/>
              </w:rPr>
            </w:pPr>
            <w:r>
              <w:rPr>
                <w:rFonts w:ascii="Arial"/>
                <w:w w:val="105"/>
                <w:sz w:val="16"/>
              </w:rPr>
              <w:t>10,000</w:t>
            </w: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485" w:type="dxa"/>
            <w:tcBorders>
              <w:top w:val="nil"/>
              <w:left w:val="nil"/>
              <w:bottom w:val="nil"/>
              <w:right w:val="nil"/>
            </w:tcBorders>
          </w:tcPr>
          <w:p>
            <w:pPr/>
          </w:p>
        </w:tc>
        <w:tc>
          <w:tcPr>
            <w:tcW w:w="131" w:type="dxa"/>
            <w:tcBorders>
              <w:top w:val="nil"/>
              <w:left w:val="nil"/>
              <w:bottom w:val="nil"/>
            </w:tcBorders>
          </w:tcPr>
          <w:p>
            <w:pPr/>
          </w:p>
        </w:tc>
      </w:tr>
      <w:tr>
        <w:trPr>
          <w:trHeight w:val="302" w:hRule="exact"/>
        </w:trPr>
        <w:tc>
          <w:tcPr>
            <w:tcW w:w="966" w:type="dxa"/>
            <w:tcBorders>
              <w:top w:val="nil"/>
              <w:bottom w:val="nil"/>
              <w:right w:val="nil"/>
            </w:tcBorders>
          </w:tcPr>
          <w:p>
            <w:pPr>
              <w:pStyle w:val="TableParagraph"/>
              <w:spacing w:before="103"/>
              <w:ind w:left="42"/>
              <w:jc w:val="center"/>
              <w:rPr>
                <w:rFonts w:ascii="Arial"/>
                <w:sz w:val="16"/>
              </w:rPr>
            </w:pPr>
            <w:r>
              <w:rPr>
                <w:rFonts w:ascii="Arial"/>
                <w:w w:val="102"/>
                <w:sz w:val="16"/>
              </w:rPr>
              <w:t>0</w:t>
            </w: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544" w:type="dxa"/>
            <w:tcBorders>
              <w:top w:val="nil"/>
              <w:left w:val="nil"/>
              <w:bottom w:val="nil"/>
              <w:right w:val="nil"/>
            </w:tcBorders>
          </w:tcPr>
          <w:p>
            <w:pPr/>
          </w:p>
        </w:tc>
        <w:tc>
          <w:tcPr>
            <w:tcW w:w="485" w:type="dxa"/>
            <w:tcBorders>
              <w:top w:val="nil"/>
              <w:left w:val="nil"/>
              <w:bottom w:val="nil"/>
              <w:right w:val="nil"/>
            </w:tcBorders>
          </w:tcPr>
          <w:p>
            <w:pPr/>
          </w:p>
        </w:tc>
        <w:tc>
          <w:tcPr>
            <w:tcW w:w="131" w:type="dxa"/>
            <w:tcBorders>
              <w:top w:val="nil"/>
              <w:left w:val="nil"/>
              <w:bottom w:val="nil"/>
            </w:tcBorders>
          </w:tcPr>
          <w:p>
            <w:pPr/>
          </w:p>
        </w:tc>
      </w:tr>
      <w:tr>
        <w:trPr>
          <w:trHeight w:val="287" w:hRule="exact"/>
        </w:trPr>
        <w:tc>
          <w:tcPr>
            <w:tcW w:w="966" w:type="dxa"/>
            <w:tcBorders>
              <w:top w:val="nil"/>
              <w:right w:val="nil"/>
            </w:tcBorders>
          </w:tcPr>
          <w:p>
            <w:pPr>
              <w:pStyle w:val="TableParagraph"/>
              <w:ind w:left="509"/>
              <w:jc w:val="left"/>
              <w:rPr>
                <w:rFonts w:ascii="Arial"/>
                <w:sz w:val="16"/>
              </w:rPr>
            </w:pPr>
            <w:r>
              <w:rPr>
                <w:rFonts w:ascii="Arial"/>
                <w:w w:val="105"/>
                <w:sz w:val="16"/>
              </w:rPr>
              <w:t>1990</w:t>
            </w:r>
          </w:p>
        </w:tc>
        <w:tc>
          <w:tcPr>
            <w:tcW w:w="544" w:type="dxa"/>
            <w:tcBorders>
              <w:top w:val="nil"/>
              <w:left w:val="nil"/>
              <w:right w:val="nil"/>
            </w:tcBorders>
          </w:tcPr>
          <w:p>
            <w:pPr>
              <w:pStyle w:val="TableParagraph"/>
              <w:ind w:left="88"/>
              <w:jc w:val="left"/>
              <w:rPr>
                <w:rFonts w:ascii="Arial"/>
                <w:sz w:val="16"/>
              </w:rPr>
            </w:pPr>
            <w:r>
              <w:rPr>
                <w:rFonts w:ascii="Arial"/>
                <w:w w:val="105"/>
                <w:sz w:val="16"/>
              </w:rPr>
              <w:t>1992</w:t>
            </w:r>
          </w:p>
        </w:tc>
        <w:tc>
          <w:tcPr>
            <w:tcW w:w="544" w:type="dxa"/>
            <w:tcBorders>
              <w:top w:val="nil"/>
              <w:left w:val="nil"/>
              <w:right w:val="nil"/>
            </w:tcBorders>
          </w:tcPr>
          <w:p>
            <w:pPr>
              <w:pStyle w:val="TableParagraph"/>
              <w:ind w:left="88"/>
              <w:jc w:val="left"/>
              <w:rPr>
                <w:rFonts w:ascii="Arial"/>
                <w:sz w:val="16"/>
              </w:rPr>
            </w:pPr>
            <w:r>
              <w:rPr>
                <w:rFonts w:ascii="Arial"/>
                <w:w w:val="105"/>
                <w:sz w:val="16"/>
              </w:rPr>
              <w:t>1994</w:t>
            </w:r>
          </w:p>
        </w:tc>
        <w:tc>
          <w:tcPr>
            <w:tcW w:w="544" w:type="dxa"/>
            <w:tcBorders>
              <w:top w:val="nil"/>
              <w:left w:val="nil"/>
              <w:right w:val="nil"/>
            </w:tcBorders>
          </w:tcPr>
          <w:p>
            <w:pPr>
              <w:pStyle w:val="TableParagraph"/>
              <w:ind w:left="88"/>
              <w:jc w:val="left"/>
              <w:rPr>
                <w:rFonts w:ascii="Arial"/>
                <w:sz w:val="16"/>
              </w:rPr>
            </w:pPr>
            <w:r>
              <w:rPr>
                <w:rFonts w:ascii="Arial"/>
                <w:w w:val="105"/>
                <w:sz w:val="16"/>
              </w:rPr>
              <w:t>1996</w:t>
            </w:r>
          </w:p>
        </w:tc>
        <w:tc>
          <w:tcPr>
            <w:tcW w:w="544" w:type="dxa"/>
            <w:tcBorders>
              <w:top w:val="nil"/>
              <w:left w:val="nil"/>
              <w:right w:val="nil"/>
            </w:tcBorders>
          </w:tcPr>
          <w:p>
            <w:pPr>
              <w:pStyle w:val="TableParagraph"/>
              <w:ind w:left="88"/>
              <w:jc w:val="left"/>
              <w:rPr>
                <w:rFonts w:ascii="Arial"/>
                <w:sz w:val="16"/>
              </w:rPr>
            </w:pPr>
            <w:r>
              <w:rPr>
                <w:rFonts w:ascii="Arial"/>
                <w:w w:val="105"/>
                <w:sz w:val="16"/>
              </w:rPr>
              <w:t>1998</w:t>
            </w:r>
          </w:p>
        </w:tc>
        <w:tc>
          <w:tcPr>
            <w:tcW w:w="544" w:type="dxa"/>
            <w:tcBorders>
              <w:top w:val="nil"/>
              <w:left w:val="nil"/>
              <w:right w:val="nil"/>
            </w:tcBorders>
          </w:tcPr>
          <w:p>
            <w:pPr>
              <w:pStyle w:val="TableParagraph"/>
              <w:ind w:left="88"/>
              <w:jc w:val="left"/>
              <w:rPr>
                <w:rFonts w:ascii="Arial"/>
                <w:sz w:val="16"/>
              </w:rPr>
            </w:pPr>
            <w:r>
              <w:rPr>
                <w:rFonts w:ascii="Arial"/>
                <w:w w:val="105"/>
                <w:sz w:val="16"/>
              </w:rPr>
              <w:t>2000</w:t>
            </w:r>
          </w:p>
        </w:tc>
        <w:tc>
          <w:tcPr>
            <w:tcW w:w="544" w:type="dxa"/>
            <w:tcBorders>
              <w:top w:val="nil"/>
              <w:left w:val="nil"/>
              <w:right w:val="nil"/>
            </w:tcBorders>
          </w:tcPr>
          <w:p>
            <w:pPr>
              <w:pStyle w:val="TableParagraph"/>
              <w:ind w:left="88"/>
              <w:jc w:val="left"/>
              <w:rPr>
                <w:rFonts w:ascii="Arial"/>
                <w:sz w:val="16"/>
              </w:rPr>
            </w:pPr>
            <w:r>
              <w:rPr>
                <w:rFonts w:ascii="Arial"/>
                <w:w w:val="105"/>
                <w:sz w:val="16"/>
              </w:rPr>
              <w:t>2002</w:t>
            </w:r>
          </w:p>
        </w:tc>
        <w:tc>
          <w:tcPr>
            <w:tcW w:w="544" w:type="dxa"/>
            <w:tcBorders>
              <w:top w:val="nil"/>
              <w:left w:val="nil"/>
              <w:right w:val="nil"/>
            </w:tcBorders>
          </w:tcPr>
          <w:p>
            <w:pPr>
              <w:pStyle w:val="TableParagraph"/>
              <w:ind w:left="88"/>
              <w:jc w:val="left"/>
              <w:rPr>
                <w:rFonts w:ascii="Arial"/>
                <w:sz w:val="16"/>
              </w:rPr>
            </w:pPr>
            <w:r>
              <w:rPr>
                <w:rFonts w:ascii="Arial"/>
                <w:w w:val="105"/>
                <w:sz w:val="16"/>
              </w:rPr>
              <w:t>2004</w:t>
            </w:r>
          </w:p>
        </w:tc>
        <w:tc>
          <w:tcPr>
            <w:tcW w:w="544" w:type="dxa"/>
            <w:tcBorders>
              <w:top w:val="nil"/>
              <w:left w:val="nil"/>
              <w:right w:val="nil"/>
            </w:tcBorders>
          </w:tcPr>
          <w:p>
            <w:pPr>
              <w:pStyle w:val="TableParagraph"/>
              <w:ind w:left="88"/>
              <w:jc w:val="left"/>
              <w:rPr>
                <w:rFonts w:ascii="Arial"/>
                <w:sz w:val="16"/>
              </w:rPr>
            </w:pPr>
            <w:r>
              <w:rPr>
                <w:rFonts w:ascii="Arial"/>
                <w:w w:val="105"/>
                <w:sz w:val="16"/>
              </w:rPr>
              <w:t>2006</w:t>
            </w:r>
          </w:p>
        </w:tc>
        <w:tc>
          <w:tcPr>
            <w:tcW w:w="544" w:type="dxa"/>
            <w:tcBorders>
              <w:top w:val="nil"/>
              <w:left w:val="nil"/>
              <w:right w:val="nil"/>
            </w:tcBorders>
          </w:tcPr>
          <w:p>
            <w:pPr>
              <w:pStyle w:val="TableParagraph"/>
              <w:ind w:left="88"/>
              <w:jc w:val="left"/>
              <w:rPr>
                <w:rFonts w:ascii="Arial"/>
                <w:sz w:val="16"/>
              </w:rPr>
            </w:pPr>
            <w:r>
              <w:rPr>
                <w:rFonts w:ascii="Arial"/>
                <w:w w:val="105"/>
                <w:sz w:val="16"/>
              </w:rPr>
              <w:t>2008</w:t>
            </w:r>
          </w:p>
        </w:tc>
        <w:tc>
          <w:tcPr>
            <w:tcW w:w="485" w:type="dxa"/>
            <w:tcBorders>
              <w:top w:val="nil"/>
              <w:left w:val="nil"/>
              <w:right w:val="nil"/>
            </w:tcBorders>
          </w:tcPr>
          <w:p>
            <w:pPr>
              <w:pStyle w:val="TableParagraph"/>
              <w:ind w:left="88"/>
              <w:jc w:val="left"/>
              <w:rPr>
                <w:rFonts w:ascii="Arial"/>
                <w:sz w:val="16"/>
              </w:rPr>
            </w:pPr>
            <w:r>
              <w:rPr>
                <w:rFonts w:ascii="Arial"/>
                <w:w w:val="105"/>
                <w:sz w:val="16"/>
              </w:rPr>
              <w:t>2010</w:t>
            </w:r>
          </w:p>
        </w:tc>
        <w:tc>
          <w:tcPr>
            <w:tcW w:w="131" w:type="dxa"/>
            <w:tcBorders>
              <w:top w:val="nil"/>
              <w:left w:val="nil"/>
              <w:bottom w:val="nil"/>
            </w:tcBorders>
          </w:tcPr>
          <w:p>
            <w:pPr/>
          </w:p>
        </w:tc>
      </w:tr>
      <w:tr>
        <w:trPr>
          <w:trHeight w:val="322" w:hRule="exact"/>
        </w:trPr>
        <w:tc>
          <w:tcPr>
            <w:tcW w:w="6344" w:type="dxa"/>
            <w:gridSpan w:val="11"/>
            <w:tcBorders>
              <w:bottom w:val="double" w:sz="8" w:space="0" w:color="000000"/>
            </w:tcBorders>
          </w:tcPr>
          <w:p>
            <w:pPr>
              <w:pStyle w:val="TableParagraph"/>
              <w:tabs>
                <w:tab w:pos="1992" w:val="left" w:leader="none"/>
                <w:tab w:pos="3234" w:val="left" w:leader="none"/>
                <w:tab w:pos="4836" w:val="left" w:leader="none"/>
                <w:tab w:pos="6059" w:val="left" w:leader="none"/>
              </w:tabs>
              <w:spacing w:before="66"/>
              <w:ind w:left="669"/>
              <w:jc w:val="left"/>
              <w:rPr>
                <w:rFonts w:ascii="Arial" w:hAnsi="Arial"/>
                <w:sz w:val="16"/>
              </w:rPr>
            </w:pPr>
            <w:r>
              <w:rPr>
                <w:rFonts w:ascii="Arial" w:hAnsi="Arial"/>
                <w:sz w:val="16"/>
              </w:rPr>
              <w:t>Remesas</w:t>
              <w:tab/>
              <w:t>Petróleo</w:t>
              <w:tab/>
              <w:t>Agropecuario</w:t>
              <w:tab/>
              <w:t>Turismo</w:t>
              <w:tab/>
              <w:t>IED</w:t>
            </w:r>
          </w:p>
        </w:tc>
        <w:tc>
          <w:tcPr>
            <w:tcW w:w="131" w:type="dxa"/>
            <w:tcBorders>
              <w:top w:val="nil"/>
            </w:tcBorders>
          </w:tcPr>
          <w:p>
            <w:pPr/>
          </w:p>
        </w:tc>
      </w:tr>
    </w:tbl>
    <w:p>
      <w:pPr>
        <w:spacing w:before="101"/>
        <w:ind w:left="176" w:right="0" w:firstLine="0"/>
        <w:jc w:val="left"/>
        <w:rPr>
          <w:sz w:val="17"/>
        </w:rPr>
      </w:pPr>
      <w:r>
        <w:rPr/>
        <w:pict>
          <v:line style="position:absolute;mso-position-horizontal-relative:page;mso-position-vertical-relative:paragraph;z-index:-636928" from="79.712502pt,-10.245049pt" to="104.912502pt,-10.245049pt" stroked="true" strokeweight=".5pt" strokecolor="#000000">
            <w10:wrap type="none"/>
          </v:line>
        </w:pict>
      </w:r>
      <w:r>
        <w:rPr/>
        <w:pict>
          <v:line style="position:absolute;mso-position-horizontal-relative:page;mso-position-vertical-relative:paragraph;z-index:-636904" from="145.830704pt,-10.245049pt" to="171.030704pt,-10.245049pt" stroked="true" strokeweight=".5pt" strokecolor="#000000">
            <v:stroke dashstyle="dash"/>
            <w10:wrap type="none"/>
          </v:line>
        </w:pict>
      </w:r>
      <w:r>
        <w:rPr/>
        <w:pict>
          <v:line style="position:absolute;mso-position-horizontal-relative:page;mso-position-vertical-relative:paragraph;z-index:-636880" from="207.949005pt,-10.245049pt" to="233.149005pt,-10.245049pt" stroked="true" strokeweight=".5pt" strokecolor="#000000">
            <v:stroke dashstyle="dash"/>
            <w10:wrap type="none"/>
          </v:line>
        </w:pict>
      </w:r>
      <w:r>
        <w:rPr/>
        <w:pict>
          <v:line style="position:absolute;mso-position-horizontal-relative:page;mso-position-vertical-relative:paragraph;z-index:-636856" from="288.067291pt,-10.245049pt" to="313.267291pt,-10.245049pt" stroked="true" strokeweight=".5pt" strokecolor="#000000">
            <v:stroke dashstyle="dash"/>
            <w10:wrap type="none"/>
          </v:line>
        </w:pict>
      </w:r>
      <w:r>
        <w:rPr/>
        <w:pict>
          <v:line style="position:absolute;mso-position-horizontal-relative:page;mso-position-vertical-relative:paragraph;z-index:-636832" from="349.185486pt,-10.245049pt" to="374.385486pt,-10.245049pt" stroked="true" strokeweight=".5pt" strokecolor="#000000">
            <v:stroke dashstyle="dash"/>
            <w10:wrap type="none"/>
          </v:line>
        </w:pict>
      </w:r>
      <w:r>
        <w:rPr>
          <w:color w:val="231F20"/>
          <w:sz w:val="17"/>
        </w:rPr>
        <w:t>Fuente: elaboración propia a partir de Banco de México e INEGI.</w:t>
      </w:r>
    </w:p>
    <w:p>
      <w:pPr>
        <w:pStyle w:val="BodyText"/>
        <w:rPr>
          <w:sz w:val="16"/>
        </w:rPr>
      </w:pPr>
    </w:p>
    <w:p>
      <w:pPr>
        <w:pStyle w:val="BodyText"/>
        <w:spacing w:before="9"/>
        <w:rPr>
          <w:sz w:val="12"/>
        </w:rPr>
      </w:pPr>
    </w:p>
    <w:p>
      <w:pPr>
        <w:pStyle w:val="BodyText"/>
        <w:spacing w:line="247" w:lineRule="auto"/>
        <w:ind w:left="117" w:right="134" w:firstLine="283"/>
        <w:jc w:val="both"/>
      </w:pPr>
      <w:r>
        <w:rPr>
          <w:color w:val="231F20"/>
        </w:rPr>
        <w:t>Por estados, la proporción respecto al PIB y otros indicadores resulta más</w:t>
      </w:r>
      <w:r>
        <w:rPr>
          <w:color w:val="231F20"/>
          <w:spacing w:val="-10"/>
        </w:rPr>
        <w:t> </w:t>
      </w:r>
      <w:r>
        <w:rPr>
          <w:color w:val="231F20"/>
        </w:rPr>
        <w:t>significativa,</w:t>
      </w:r>
      <w:r>
        <w:rPr>
          <w:color w:val="231F20"/>
          <w:spacing w:val="-10"/>
        </w:rPr>
        <w:t> </w:t>
      </w:r>
      <w:r>
        <w:rPr>
          <w:color w:val="231F20"/>
        </w:rPr>
        <w:t>en</w:t>
      </w:r>
      <w:r>
        <w:rPr>
          <w:color w:val="231F20"/>
          <w:spacing w:val="-10"/>
        </w:rPr>
        <w:t> </w:t>
      </w:r>
      <w:r>
        <w:rPr>
          <w:color w:val="231F20"/>
        </w:rPr>
        <w:t>algunas</w:t>
      </w:r>
      <w:r>
        <w:rPr>
          <w:color w:val="231F20"/>
          <w:spacing w:val="-10"/>
        </w:rPr>
        <w:t> </w:t>
      </w:r>
      <w:r>
        <w:rPr>
          <w:color w:val="231F20"/>
        </w:rPr>
        <w:t>entidades</w:t>
      </w:r>
      <w:r>
        <w:rPr>
          <w:color w:val="231F20"/>
          <w:spacing w:val="-10"/>
        </w:rPr>
        <w:t> </w:t>
      </w:r>
      <w:r>
        <w:rPr>
          <w:color w:val="231F20"/>
        </w:rPr>
        <w:t>el</w:t>
      </w:r>
      <w:r>
        <w:rPr>
          <w:color w:val="231F20"/>
          <w:spacing w:val="-10"/>
        </w:rPr>
        <w:t> </w:t>
      </w:r>
      <w:r>
        <w:rPr>
          <w:color w:val="231F20"/>
        </w:rPr>
        <w:t>ingreso</w:t>
      </w:r>
      <w:r>
        <w:rPr>
          <w:color w:val="231F20"/>
          <w:spacing w:val="-10"/>
        </w:rPr>
        <w:t> </w:t>
      </w:r>
      <w:r>
        <w:rPr>
          <w:color w:val="231F20"/>
        </w:rPr>
        <w:t>de</w:t>
      </w:r>
      <w:r>
        <w:rPr>
          <w:color w:val="231F20"/>
          <w:spacing w:val="-10"/>
        </w:rPr>
        <w:t> </w:t>
      </w:r>
      <w:r>
        <w:rPr>
          <w:color w:val="231F20"/>
        </w:rPr>
        <w:t>remesas</w:t>
      </w:r>
      <w:r>
        <w:rPr>
          <w:color w:val="231F20"/>
          <w:spacing w:val="-10"/>
        </w:rPr>
        <w:t> </w:t>
      </w:r>
      <w:r>
        <w:rPr>
          <w:color w:val="231F20"/>
        </w:rPr>
        <w:t>representa</w:t>
      </w:r>
      <w:r>
        <w:rPr>
          <w:color w:val="231F20"/>
          <w:spacing w:val="-10"/>
        </w:rPr>
        <w:t> </w:t>
      </w:r>
      <w:r>
        <w:rPr>
          <w:color w:val="231F20"/>
        </w:rPr>
        <w:t>un alto monto de los recursos monetarios ocasionando contextos y</w:t>
      </w:r>
      <w:r>
        <w:rPr>
          <w:color w:val="231F20"/>
          <w:spacing w:val="-19"/>
        </w:rPr>
        <w:t> </w:t>
      </w:r>
      <w:r>
        <w:rPr>
          <w:color w:val="231F20"/>
        </w:rPr>
        <w:t>escenarios</w:t>
      </w:r>
    </w:p>
    <w:p>
      <w:pPr>
        <w:spacing w:after="0" w:line="247" w:lineRule="auto"/>
        <w:jc w:val="both"/>
        <w:sectPr>
          <w:footerReference w:type="default" r:id="rId213"/>
          <w:pgSz w:w="9360" w:h="13040"/>
          <w:pgMar w:footer="496" w:header="0" w:top="740" w:bottom="680" w:left="1300" w:right="1280"/>
          <w:pgNumType w:start="297"/>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jc w:val="both"/>
      </w:pPr>
      <w:r>
        <w:rPr>
          <w:color w:val="231F20"/>
        </w:rPr>
        <w:t>reveladores. Se destacan casos como Michoacán, Oaxaca y Guerrero, la equivalencia llega a ser de ocho y nueve por ciento del PIB para 2010. Otros como Zacatecas, Guanajuato, Morelos, Puebla, Hidalgo, Nayarit y Tlaxcala la proporción es de cuatro a siete por ciento (ver Cuadro 3).</w:t>
      </w:r>
    </w:p>
    <w:p>
      <w:pPr>
        <w:pStyle w:val="BodyText"/>
        <w:spacing w:line="247" w:lineRule="auto"/>
        <w:ind w:left="117" w:right="114" w:firstLine="283"/>
        <w:jc w:val="both"/>
      </w:pPr>
      <w:r>
        <w:rPr>
          <w:color w:val="231F20"/>
        </w:rPr>
        <w:t>Lo</w:t>
      </w:r>
      <w:r>
        <w:rPr>
          <w:color w:val="231F20"/>
          <w:spacing w:val="-7"/>
        </w:rPr>
        <w:t> </w:t>
      </w:r>
      <w:r>
        <w:rPr>
          <w:color w:val="231F20"/>
        </w:rPr>
        <w:t>anterior</w:t>
      </w:r>
      <w:r>
        <w:rPr>
          <w:color w:val="231F20"/>
          <w:spacing w:val="-7"/>
        </w:rPr>
        <w:t> </w:t>
      </w:r>
      <w:r>
        <w:rPr>
          <w:color w:val="231F20"/>
        </w:rPr>
        <w:t>significa</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rPr>
        <w:t>remesas</w:t>
      </w:r>
      <w:r>
        <w:rPr>
          <w:color w:val="231F20"/>
          <w:spacing w:val="-7"/>
        </w:rPr>
        <w:t> </w:t>
      </w:r>
      <w:r>
        <w:rPr>
          <w:color w:val="231F20"/>
        </w:rPr>
        <w:t>pueden</w:t>
      </w:r>
      <w:r>
        <w:rPr>
          <w:color w:val="231F20"/>
          <w:spacing w:val="-7"/>
        </w:rPr>
        <w:t> </w:t>
      </w:r>
      <w:r>
        <w:rPr>
          <w:color w:val="231F20"/>
        </w:rPr>
        <w:t>representar</w:t>
      </w:r>
      <w:r>
        <w:rPr>
          <w:color w:val="231F20"/>
          <w:spacing w:val="-7"/>
        </w:rPr>
        <w:t> </w:t>
      </w:r>
      <w:r>
        <w:rPr>
          <w:color w:val="231F20"/>
        </w:rPr>
        <w:t>una</w:t>
      </w:r>
      <w:r>
        <w:rPr>
          <w:color w:val="231F20"/>
          <w:spacing w:val="-7"/>
        </w:rPr>
        <w:t> </w:t>
      </w:r>
      <w:r>
        <w:rPr>
          <w:color w:val="231F20"/>
        </w:rPr>
        <w:t>entrada</w:t>
      </w:r>
      <w:r>
        <w:rPr>
          <w:color w:val="231F20"/>
          <w:spacing w:val="-7"/>
        </w:rPr>
        <w:t> </w:t>
      </w:r>
      <w:r>
        <w:rPr>
          <w:color w:val="231F20"/>
        </w:rPr>
        <w:t>de recursos importante y aunque no necesariamente se destinen a la produc- ción o la inversión, son referentes del peso relativo. Una referencia más de los ingresos son los generados a través de los programas Procampo y Oportunidades, que por su naturaleza podrían resultar mejores</w:t>
      </w:r>
      <w:r>
        <w:rPr>
          <w:color w:val="231F20"/>
          <w:spacing w:val="-38"/>
        </w:rPr>
        <w:t> </w:t>
      </w:r>
      <w:r>
        <w:rPr>
          <w:color w:val="231F20"/>
        </w:rPr>
        <w:t>indicadores de incentivos para el desarrollo o eliminación de la pobreza, por su orien- tación institucional y porque son ingreso familiar que permite la actividad productiva</w:t>
      </w:r>
      <w:r>
        <w:rPr>
          <w:color w:val="231F20"/>
          <w:spacing w:val="-10"/>
        </w:rPr>
        <w:t> </w:t>
      </w:r>
      <w:r>
        <w:rPr>
          <w:color w:val="231F20"/>
        </w:rPr>
        <w:t>y</w:t>
      </w:r>
      <w:r>
        <w:rPr>
          <w:color w:val="231F20"/>
          <w:spacing w:val="-10"/>
        </w:rPr>
        <w:t> </w:t>
      </w:r>
      <w:r>
        <w:rPr>
          <w:color w:val="231F20"/>
        </w:rPr>
        <w:t>acceder</w:t>
      </w:r>
      <w:r>
        <w:rPr>
          <w:color w:val="231F20"/>
          <w:spacing w:val="-11"/>
        </w:rPr>
        <w:t> </w:t>
      </w:r>
      <w:r>
        <w:rPr>
          <w:color w:val="231F20"/>
        </w:rPr>
        <w:t>a</w:t>
      </w:r>
      <w:r>
        <w:rPr>
          <w:color w:val="231F20"/>
          <w:spacing w:val="-10"/>
        </w:rPr>
        <w:t> </w:t>
      </w:r>
      <w:r>
        <w:rPr>
          <w:color w:val="231F20"/>
        </w:rPr>
        <w:t>fuentes</w:t>
      </w:r>
      <w:r>
        <w:rPr>
          <w:color w:val="231F20"/>
          <w:spacing w:val="-10"/>
        </w:rPr>
        <w:t> </w:t>
      </w:r>
      <w:r>
        <w:rPr>
          <w:color w:val="231F20"/>
        </w:rPr>
        <w:t>de</w:t>
      </w:r>
      <w:r>
        <w:rPr>
          <w:color w:val="231F20"/>
          <w:spacing w:val="-10"/>
        </w:rPr>
        <w:t> </w:t>
      </w:r>
      <w:r>
        <w:rPr>
          <w:color w:val="231F20"/>
        </w:rPr>
        <w:t>alimentación</w:t>
      </w:r>
      <w:r>
        <w:rPr>
          <w:color w:val="231F20"/>
          <w:spacing w:val="-11"/>
        </w:rPr>
        <w:t> </w:t>
      </w:r>
      <w:r>
        <w:rPr>
          <w:color w:val="231F20"/>
        </w:rPr>
        <w:t>y</w:t>
      </w:r>
      <w:r>
        <w:rPr>
          <w:color w:val="231F20"/>
          <w:spacing w:val="-10"/>
        </w:rPr>
        <w:t> </w:t>
      </w:r>
      <w:r>
        <w:rPr>
          <w:color w:val="231F20"/>
        </w:rPr>
        <w:t>suplir</w:t>
      </w:r>
      <w:r>
        <w:rPr>
          <w:color w:val="231F20"/>
          <w:spacing w:val="-10"/>
        </w:rPr>
        <w:t> </w:t>
      </w:r>
      <w:r>
        <w:rPr>
          <w:color w:val="231F20"/>
        </w:rPr>
        <w:t>ciertas</w:t>
      </w:r>
      <w:r>
        <w:rPr>
          <w:color w:val="231F20"/>
          <w:spacing w:val="-11"/>
        </w:rPr>
        <w:t> </w:t>
      </w:r>
      <w:r>
        <w:rPr>
          <w:color w:val="231F20"/>
        </w:rPr>
        <w:t>carencias</w:t>
      </w:r>
      <w:r>
        <w:rPr>
          <w:color w:val="231F20"/>
          <w:spacing w:val="-11"/>
        </w:rPr>
        <w:t> </w:t>
      </w:r>
      <w:r>
        <w:rPr>
          <w:color w:val="231F20"/>
        </w:rPr>
        <w:t>de la vulnerabilidad</w:t>
      </w:r>
      <w:r>
        <w:rPr>
          <w:color w:val="231F20"/>
          <w:spacing w:val="-7"/>
        </w:rPr>
        <w:t> </w:t>
      </w:r>
      <w:r>
        <w:rPr>
          <w:color w:val="231F20"/>
        </w:rPr>
        <w:t>social.</w:t>
      </w:r>
    </w:p>
    <w:p>
      <w:pPr>
        <w:pStyle w:val="BodyText"/>
        <w:spacing w:line="247" w:lineRule="auto"/>
        <w:ind w:left="117" w:right="114" w:firstLine="283"/>
        <w:jc w:val="both"/>
      </w:pPr>
      <w:r>
        <w:rPr>
          <w:color w:val="231F20"/>
        </w:rPr>
        <w:t>Las remesas superan a ambos programas en su escala nacional y la comparación a partir de dichas políticas públicas respecto al monto de re- mesas describe que los recursos de Procampo representan 5.4 por ciento del</w:t>
      </w:r>
      <w:r>
        <w:rPr>
          <w:color w:val="231F20"/>
          <w:spacing w:val="-6"/>
        </w:rPr>
        <w:t> </w:t>
      </w:r>
      <w:r>
        <w:rPr>
          <w:color w:val="231F20"/>
        </w:rPr>
        <w:t>total</w:t>
      </w:r>
      <w:r>
        <w:rPr>
          <w:color w:val="231F20"/>
          <w:spacing w:val="-6"/>
        </w:rPr>
        <w:t> </w:t>
      </w:r>
      <w:r>
        <w:rPr>
          <w:color w:val="231F20"/>
        </w:rPr>
        <w:t>de</w:t>
      </w:r>
      <w:r>
        <w:rPr>
          <w:color w:val="231F20"/>
          <w:spacing w:val="-6"/>
        </w:rPr>
        <w:t> </w:t>
      </w:r>
      <w:r>
        <w:rPr>
          <w:color w:val="231F20"/>
        </w:rPr>
        <w:t>remesas</w:t>
      </w:r>
      <w:r>
        <w:rPr>
          <w:color w:val="231F20"/>
          <w:spacing w:val="-6"/>
        </w:rPr>
        <w:t> </w:t>
      </w:r>
      <w:r>
        <w:rPr>
          <w:color w:val="231F20"/>
        </w:rPr>
        <w:t>de</w:t>
      </w:r>
      <w:r>
        <w:rPr>
          <w:color w:val="231F20"/>
          <w:spacing w:val="-6"/>
        </w:rPr>
        <w:t> </w:t>
      </w:r>
      <w:r>
        <w:rPr>
          <w:color w:val="231F20"/>
        </w:rPr>
        <w:t>2010,</w:t>
      </w:r>
      <w:r>
        <w:rPr>
          <w:color w:val="231F20"/>
          <w:spacing w:val="-6"/>
        </w:rPr>
        <w:t> </w:t>
      </w:r>
      <w:r>
        <w:rPr>
          <w:color w:val="231F20"/>
        </w:rPr>
        <w:t>las</w:t>
      </w:r>
      <w:r>
        <w:rPr>
          <w:color w:val="231F20"/>
          <w:spacing w:val="-6"/>
        </w:rPr>
        <w:t> </w:t>
      </w:r>
      <w:r>
        <w:rPr>
          <w:color w:val="231F20"/>
        </w:rPr>
        <w:t>cuales</w:t>
      </w:r>
      <w:r>
        <w:rPr>
          <w:color w:val="231F20"/>
          <w:spacing w:val="-6"/>
        </w:rPr>
        <w:t> </w:t>
      </w:r>
      <w:r>
        <w:rPr>
          <w:color w:val="231F20"/>
        </w:rPr>
        <w:t>son</w:t>
      </w:r>
      <w:r>
        <w:rPr>
          <w:color w:val="231F20"/>
          <w:spacing w:val="-6"/>
        </w:rPr>
        <w:t> </w:t>
      </w:r>
      <w:r>
        <w:rPr>
          <w:color w:val="231F20"/>
        </w:rPr>
        <w:t>18</w:t>
      </w:r>
      <w:r>
        <w:rPr>
          <w:color w:val="231F20"/>
          <w:spacing w:val="-6"/>
        </w:rPr>
        <w:t> </w:t>
      </w:r>
      <w:r>
        <w:rPr>
          <w:color w:val="231F20"/>
        </w:rPr>
        <w:t>veces</w:t>
      </w:r>
      <w:r>
        <w:rPr>
          <w:color w:val="231F20"/>
          <w:spacing w:val="-6"/>
        </w:rPr>
        <w:t> </w:t>
      </w:r>
      <w:r>
        <w:rPr>
          <w:color w:val="231F20"/>
        </w:rPr>
        <w:t>el</w:t>
      </w:r>
      <w:r>
        <w:rPr>
          <w:color w:val="231F20"/>
          <w:spacing w:val="-6"/>
        </w:rPr>
        <w:t> </w:t>
      </w:r>
      <w:r>
        <w:rPr>
          <w:color w:val="231F20"/>
        </w:rPr>
        <w:t>ingreso</w:t>
      </w:r>
      <w:r>
        <w:rPr>
          <w:color w:val="231F20"/>
          <w:spacing w:val="-6"/>
        </w:rPr>
        <w:t> </w:t>
      </w:r>
      <w:r>
        <w:rPr>
          <w:color w:val="231F20"/>
        </w:rPr>
        <w:t>del</w:t>
      </w:r>
      <w:r>
        <w:rPr>
          <w:color w:val="231F20"/>
          <w:spacing w:val="-6"/>
        </w:rPr>
        <w:t> </w:t>
      </w:r>
      <w:r>
        <w:rPr>
          <w:color w:val="231F20"/>
        </w:rPr>
        <w:t>progra- ma. Para Oportunidades sus recursos son equivalentes a 20 por ciento del total</w:t>
      </w:r>
      <w:r>
        <w:rPr>
          <w:color w:val="231F20"/>
          <w:spacing w:val="-7"/>
        </w:rPr>
        <w:t> </w:t>
      </w:r>
      <w:r>
        <w:rPr>
          <w:color w:val="231F20"/>
        </w:rPr>
        <w:t>de</w:t>
      </w:r>
      <w:r>
        <w:rPr>
          <w:color w:val="231F20"/>
          <w:spacing w:val="-7"/>
        </w:rPr>
        <w:t> </w:t>
      </w:r>
      <w:r>
        <w:rPr>
          <w:color w:val="231F20"/>
        </w:rPr>
        <w:t>remesas</w:t>
      </w:r>
      <w:r>
        <w:rPr>
          <w:color w:val="231F20"/>
          <w:spacing w:val="-7"/>
        </w:rPr>
        <w:t> </w:t>
      </w:r>
      <w:r>
        <w:rPr>
          <w:color w:val="231F20"/>
        </w:rPr>
        <w:t>para</w:t>
      </w:r>
      <w:r>
        <w:rPr>
          <w:color w:val="231F20"/>
          <w:spacing w:val="-7"/>
        </w:rPr>
        <w:t> </w:t>
      </w:r>
      <w:r>
        <w:rPr>
          <w:color w:val="231F20"/>
        </w:rPr>
        <w:t>ese</w:t>
      </w:r>
      <w:r>
        <w:rPr>
          <w:color w:val="231F20"/>
          <w:spacing w:val="-7"/>
        </w:rPr>
        <w:t> </w:t>
      </w:r>
      <w:r>
        <w:rPr>
          <w:color w:val="231F20"/>
        </w:rPr>
        <w:t>mismo</w:t>
      </w:r>
      <w:r>
        <w:rPr>
          <w:color w:val="231F20"/>
          <w:spacing w:val="-7"/>
        </w:rPr>
        <w:t> </w:t>
      </w:r>
      <w:r>
        <w:rPr>
          <w:color w:val="231F20"/>
        </w:rPr>
        <w:t>año;</w:t>
      </w:r>
      <w:r>
        <w:rPr>
          <w:color w:val="231F20"/>
          <w:spacing w:val="-7"/>
        </w:rPr>
        <w:t> </w:t>
      </w:r>
      <w:r>
        <w:rPr>
          <w:color w:val="231F20"/>
        </w:rPr>
        <w:t>siendo</w:t>
      </w:r>
      <w:r>
        <w:rPr>
          <w:color w:val="231F20"/>
          <w:spacing w:val="-7"/>
        </w:rPr>
        <w:t> </w:t>
      </w:r>
      <w:r>
        <w:rPr>
          <w:color w:val="231F20"/>
        </w:rPr>
        <w:t>las</w:t>
      </w:r>
      <w:r>
        <w:rPr>
          <w:color w:val="231F20"/>
          <w:spacing w:val="-7"/>
        </w:rPr>
        <w:t> </w:t>
      </w:r>
      <w:r>
        <w:rPr>
          <w:color w:val="231F20"/>
        </w:rPr>
        <w:t>remesas</w:t>
      </w:r>
      <w:r>
        <w:rPr>
          <w:color w:val="231F20"/>
          <w:spacing w:val="-7"/>
        </w:rPr>
        <w:t> </w:t>
      </w:r>
      <w:r>
        <w:rPr>
          <w:color w:val="231F20"/>
        </w:rPr>
        <w:t>cinco</w:t>
      </w:r>
      <w:r>
        <w:rPr>
          <w:color w:val="231F20"/>
          <w:spacing w:val="-7"/>
        </w:rPr>
        <w:t> </w:t>
      </w:r>
      <w:r>
        <w:rPr>
          <w:color w:val="231F20"/>
        </w:rPr>
        <w:t>veces</w:t>
      </w:r>
      <w:r>
        <w:rPr>
          <w:color w:val="231F20"/>
          <w:spacing w:val="-7"/>
        </w:rPr>
        <w:t> </w:t>
      </w:r>
      <w:r>
        <w:rPr>
          <w:color w:val="231F20"/>
        </w:rPr>
        <w:t>dicho programa (ver Cuadro 4).</w:t>
      </w:r>
    </w:p>
    <w:p>
      <w:pPr>
        <w:pStyle w:val="BodyText"/>
        <w:spacing w:line="247" w:lineRule="auto"/>
        <w:ind w:left="117" w:right="115" w:firstLine="283"/>
        <w:jc w:val="both"/>
      </w:pPr>
      <w:r>
        <w:rPr>
          <w:color w:val="231F20"/>
        </w:rPr>
        <w:t>Para la mayoría de las entidades los recursos destinados desde Pro- campo, en comparación con las remesas recibidas, tienen un peso poco significativo pues no rebasan diez por ciento (donde se incluyen siete de los estados con mayor proporción de población indígena). Para el Progra- ma Oportunidades la proporción de recursos respecto a las remesas suele ser más significativa, aunque con pesos específicos diferenciados. Así por ejemplo,</w:t>
      </w:r>
      <w:r>
        <w:rPr>
          <w:color w:val="231F20"/>
          <w:spacing w:val="-13"/>
        </w:rPr>
        <w:t> </w:t>
      </w:r>
      <w:r>
        <w:rPr>
          <w:color w:val="231F20"/>
        </w:rPr>
        <w:t>en</w:t>
      </w:r>
      <w:r>
        <w:rPr>
          <w:color w:val="231F20"/>
          <w:spacing w:val="-13"/>
        </w:rPr>
        <w:t> </w:t>
      </w:r>
      <w:r>
        <w:rPr>
          <w:color w:val="231F20"/>
        </w:rPr>
        <w:t>Michoacán</w:t>
      </w:r>
      <w:r>
        <w:rPr>
          <w:color w:val="231F20"/>
          <w:spacing w:val="-13"/>
        </w:rPr>
        <w:t> </w:t>
      </w:r>
      <w:r>
        <w:rPr>
          <w:color w:val="231F20"/>
        </w:rPr>
        <w:t>los</w:t>
      </w:r>
      <w:r>
        <w:rPr>
          <w:color w:val="231F20"/>
          <w:spacing w:val="-13"/>
        </w:rPr>
        <w:t> </w:t>
      </w:r>
      <w:r>
        <w:rPr>
          <w:color w:val="231F20"/>
        </w:rPr>
        <w:t>recursos</w:t>
      </w:r>
      <w:r>
        <w:rPr>
          <w:color w:val="231F20"/>
          <w:spacing w:val="-13"/>
        </w:rPr>
        <w:t> </w:t>
      </w:r>
      <w:r>
        <w:rPr>
          <w:color w:val="231F20"/>
        </w:rPr>
        <w:t>de</w:t>
      </w:r>
      <w:r>
        <w:rPr>
          <w:color w:val="231F20"/>
          <w:spacing w:val="-13"/>
        </w:rPr>
        <w:t> </w:t>
      </w:r>
      <w:r>
        <w:rPr>
          <w:color w:val="231F20"/>
        </w:rPr>
        <w:t>Oportunidades</w:t>
      </w:r>
      <w:r>
        <w:rPr>
          <w:color w:val="231F20"/>
          <w:spacing w:val="-12"/>
        </w:rPr>
        <w:t> </w:t>
      </w:r>
      <w:r>
        <w:rPr>
          <w:color w:val="231F20"/>
        </w:rPr>
        <w:t>respecto</w:t>
      </w:r>
      <w:r>
        <w:rPr>
          <w:color w:val="231F20"/>
          <w:spacing w:val="-13"/>
        </w:rPr>
        <w:t> </w:t>
      </w:r>
      <w:r>
        <w:rPr>
          <w:color w:val="231F20"/>
        </w:rPr>
        <w:t>a</w:t>
      </w:r>
      <w:r>
        <w:rPr>
          <w:color w:val="231F20"/>
          <w:spacing w:val="-13"/>
        </w:rPr>
        <w:t> </w:t>
      </w:r>
      <w:r>
        <w:rPr>
          <w:color w:val="231F20"/>
        </w:rPr>
        <w:t>sus</w:t>
      </w:r>
      <w:r>
        <w:rPr>
          <w:color w:val="231F20"/>
          <w:spacing w:val="-13"/>
        </w:rPr>
        <w:t> </w:t>
      </w:r>
      <w:r>
        <w:rPr>
          <w:color w:val="231F20"/>
        </w:rPr>
        <w:t>reme- sas oscilan alrededor de diez por ciento; en entidades como Puebla, Oaxa- ca,</w:t>
      </w:r>
      <w:r>
        <w:rPr>
          <w:color w:val="231F20"/>
          <w:spacing w:val="-5"/>
        </w:rPr>
        <w:t> </w:t>
      </w:r>
      <w:r>
        <w:rPr>
          <w:color w:val="231F20"/>
        </w:rPr>
        <w:t>Guerrero</w:t>
      </w:r>
      <w:r>
        <w:rPr>
          <w:color w:val="231F20"/>
          <w:spacing w:val="-4"/>
        </w:rPr>
        <w:t> </w:t>
      </w:r>
      <w:r>
        <w:rPr>
          <w:color w:val="231F20"/>
        </w:rPr>
        <w:t>e</w:t>
      </w:r>
      <w:r>
        <w:rPr>
          <w:color w:val="231F20"/>
          <w:spacing w:val="-5"/>
        </w:rPr>
        <w:t> </w:t>
      </w:r>
      <w:r>
        <w:rPr>
          <w:color w:val="231F20"/>
        </w:rPr>
        <w:t>Hidalgo</w:t>
      </w:r>
      <w:r>
        <w:rPr>
          <w:color w:val="231F20"/>
          <w:spacing w:val="-4"/>
        </w:rPr>
        <w:t> </w:t>
      </w:r>
      <w:r>
        <w:rPr>
          <w:color w:val="231F20"/>
        </w:rPr>
        <w:t>la</w:t>
      </w:r>
      <w:r>
        <w:rPr>
          <w:color w:val="231F20"/>
          <w:spacing w:val="-5"/>
        </w:rPr>
        <w:t> </w:t>
      </w:r>
      <w:r>
        <w:rPr>
          <w:color w:val="231F20"/>
        </w:rPr>
        <w:t>proporción</w:t>
      </w:r>
      <w:r>
        <w:rPr>
          <w:color w:val="231F20"/>
          <w:spacing w:val="-5"/>
        </w:rPr>
        <w:t> </w:t>
      </w:r>
      <w:r>
        <w:rPr>
          <w:color w:val="231F20"/>
        </w:rPr>
        <w:t>oscila</w:t>
      </w:r>
      <w:r>
        <w:rPr>
          <w:color w:val="231F20"/>
          <w:spacing w:val="-5"/>
        </w:rPr>
        <w:t> </w:t>
      </w:r>
      <w:r>
        <w:rPr>
          <w:color w:val="231F20"/>
        </w:rPr>
        <w:t>alrededor</w:t>
      </w:r>
      <w:r>
        <w:rPr>
          <w:color w:val="231F20"/>
          <w:spacing w:val="-6"/>
        </w:rPr>
        <w:t> </w:t>
      </w:r>
      <w:r>
        <w:rPr>
          <w:color w:val="231F20"/>
        </w:rPr>
        <w:t>de</w:t>
      </w:r>
      <w:r>
        <w:rPr>
          <w:color w:val="231F20"/>
          <w:spacing w:val="-5"/>
        </w:rPr>
        <w:t> </w:t>
      </w:r>
      <w:r>
        <w:rPr>
          <w:color w:val="231F20"/>
        </w:rPr>
        <w:t>25</w:t>
      </w:r>
      <w:r>
        <w:rPr>
          <w:color w:val="231F20"/>
          <w:spacing w:val="-5"/>
        </w:rPr>
        <w:t> </w:t>
      </w:r>
      <w:r>
        <w:rPr>
          <w:color w:val="231F20"/>
        </w:rPr>
        <w:t>por</w:t>
      </w:r>
      <w:r>
        <w:rPr>
          <w:color w:val="231F20"/>
          <w:spacing w:val="-5"/>
        </w:rPr>
        <w:t> </w:t>
      </w:r>
      <w:r>
        <w:rPr>
          <w:color w:val="231F20"/>
        </w:rPr>
        <w:t>ciento.</w:t>
      </w:r>
      <w:r>
        <w:rPr>
          <w:color w:val="231F20"/>
          <w:spacing w:val="-5"/>
        </w:rPr>
        <w:t> </w:t>
      </w:r>
      <w:r>
        <w:rPr>
          <w:color w:val="231F20"/>
        </w:rPr>
        <w:t>Fi- nalmente</w:t>
      </w:r>
      <w:r>
        <w:rPr>
          <w:color w:val="231F20"/>
          <w:spacing w:val="-7"/>
        </w:rPr>
        <w:t> </w:t>
      </w:r>
      <w:r>
        <w:rPr>
          <w:color w:val="231F20"/>
        </w:rPr>
        <w:t>en</w:t>
      </w:r>
      <w:r>
        <w:rPr>
          <w:color w:val="231F20"/>
          <w:spacing w:val="-7"/>
        </w:rPr>
        <w:t> </w:t>
      </w:r>
      <w:r>
        <w:rPr>
          <w:color w:val="231F20"/>
        </w:rPr>
        <w:t>entidades</w:t>
      </w:r>
      <w:r>
        <w:rPr>
          <w:color w:val="231F20"/>
          <w:spacing w:val="-7"/>
        </w:rPr>
        <w:t> </w:t>
      </w:r>
      <w:r>
        <w:rPr>
          <w:color w:val="231F20"/>
        </w:rPr>
        <w:t>como</w:t>
      </w:r>
      <w:r>
        <w:rPr>
          <w:color w:val="231F20"/>
          <w:spacing w:val="-7"/>
        </w:rPr>
        <w:t> </w:t>
      </w:r>
      <w:r>
        <w:rPr>
          <w:color w:val="231F20"/>
        </w:rPr>
        <w:t>Chiapas</w:t>
      </w:r>
      <w:r>
        <w:rPr>
          <w:color w:val="231F20"/>
          <w:spacing w:val="-7"/>
        </w:rPr>
        <w:t> </w:t>
      </w:r>
      <w:r>
        <w:rPr>
          <w:color w:val="231F20"/>
        </w:rPr>
        <w:t>y</w:t>
      </w:r>
      <w:r>
        <w:rPr>
          <w:color w:val="231F20"/>
          <w:spacing w:val="-15"/>
        </w:rPr>
        <w:t> </w:t>
      </w:r>
      <w:r>
        <w:rPr>
          <w:color w:val="231F20"/>
          <w:spacing w:val="-4"/>
        </w:rPr>
        <w:t>Yucatán,</w:t>
      </w:r>
      <w:r>
        <w:rPr>
          <w:color w:val="231F20"/>
          <w:spacing w:val="-7"/>
        </w:rPr>
        <w:t> </w:t>
      </w:r>
      <w:r>
        <w:rPr>
          <w:color w:val="231F20"/>
        </w:rPr>
        <w:t>los</w:t>
      </w:r>
      <w:r>
        <w:rPr>
          <w:color w:val="231F20"/>
          <w:spacing w:val="-7"/>
        </w:rPr>
        <w:t> </w:t>
      </w:r>
      <w:r>
        <w:rPr>
          <w:color w:val="231F20"/>
        </w:rPr>
        <w:t>recursos</w:t>
      </w:r>
      <w:r>
        <w:rPr>
          <w:color w:val="231F20"/>
          <w:spacing w:val="-7"/>
        </w:rPr>
        <w:t> </w:t>
      </w:r>
      <w:r>
        <w:rPr>
          <w:color w:val="231F20"/>
        </w:rPr>
        <w:t>del</w:t>
      </w:r>
      <w:r>
        <w:rPr>
          <w:color w:val="231F20"/>
          <w:spacing w:val="-7"/>
        </w:rPr>
        <w:t> </w:t>
      </w:r>
      <w:r>
        <w:rPr>
          <w:color w:val="231F20"/>
        </w:rPr>
        <w:t>Programa Oportunidades</w:t>
      </w:r>
      <w:r>
        <w:rPr>
          <w:color w:val="231F20"/>
          <w:spacing w:val="-12"/>
        </w:rPr>
        <w:t> </w:t>
      </w:r>
      <w:r>
        <w:rPr>
          <w:color w:val="231F20"/>
        </w:rPr>
        <w:t>son</w:t>
      </w:r>
      <w:r>
        <w:rPr>
          <w:color w:val="231F20"/>
          <w:spacing w:val="-13"/>
        </w:rPr>
        <w:t> </w:t>
      </w:r>
      <w:r>
        <w:rPr>
          <w:color w:val="231F20"/>
        </w:rPr>
        <w:t>muy</w:t>
      </w:r>
      <w:r>
        <w:rPr>
          <w:color w:val="231F20"/>
          <w:spacing w:val="-13"/>
        </w:rPr>
        <w:t> </w:t>
      </w:r>
      <w:r>
        <w:rPr>
          <w:color w:val="231F20"/>
        </w:rPr>
        <w:t>cercanos</w:t>
      </w:r>
      <w:r>
        <w:rPr>
          <w:color w:val="231F20"/>
          <w:spacing w:val="-13"/>
        </w:rPr>
        <w:t> </w:t>
      </w:r>
      <w:r>
        <w:rPr>
          <w:color w:val="231F20"/>
        </w:rPr>
        <w:t>al</w:t>
      </w:r>
      <w:r>
        <w:rPr>
          <w:color w:val="231F20"/>
          <w:spacing w:val="-13"/>
        </w:rPr>
        <w:t> </w:t>
      </w:r>
      <w:r>
        <w:rPr>
          <w:color w:val="231F20"/>
        </w:rPr>
        <w:t>monto</w:t>
      </w:r>
      <w:r>
        <w:rPr>
          <w:color w:val="231F20"/>
          <w:spacing w:val="-13"/>
        </w:rPr>
        <w:t> </w:t>
      </w:r>
      <w:r>
        <w:rPr>
          <w:color w:val="231F20"/>
        </w:rPr>
        <w:t>de</w:t>
      </w:r>
      <w:r>
        <w:rPr>
          <w:color w:val="231F20"/>
          <w:spacing w:val="-13"/>
        </w:rPr>
        <w:t> </w:t>
      </w:r>
      <w:r>
        <w:rPr>
          <w:color w:val="231F20"/>
        </w:rPr>
        <w:t>remesas</w:t>
      </w:r>
      <w:r>
        <w:rPr>
          <w:color w:val="231F20"/>
          <w:spacing w:val="-13"/>
        </w:rPr>
        <w:t> </w:t>
      </w:r>
      <w:r>
        <w:rPr>
          <w:color w:val="231F20"/>
        </w:rPr>
        <w:t>pues</w:t>
      </w:r>
      <w:r>
        <w:rPr>
          <w:color w:val="231F20"/>
          <w:spacing w:val="-13"/>
        </w:rPr>
        <w:t> </w:t>
      </w:r>
      <w:r>
        <w:rPr>
          <w:color w:val="231F20"/>
        </w:rPr>
        <w:t>la</w:t>
      </w:r>
      <w:r>
        <w:rPr>
          <w:color w:val="231F20"/>
          <w:spacing w:val="-13"/>
        </w:rPr>
        <w:t> </w:t>
      </w:r>
      <w:r>
        <w:rPr>
          <w:color w:val="231F20"/>
        </w:rPr>
        <w:t>equivalencia fue de 80 por ciento y 96 por ciento respectivamente, lo que demuestra la fragilidad</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aparatos</w:t>
      </w:r>
      <w:r>
        <w:rPr>
          <w:color w:val="231F20"/>
          <w:spacing w:val="-6"/>
        </w:rPr>
        <w:t> </w:t>
      </w:r>
      <w:r>
        <w:rPr>
          <w:color w:val="231F20"/>
        </w:rPr>
        <w:t>productivos</w:t>
      </w:r>
      <w:r>
        <w:rPr>
          <w:color w:val="231F20"/>
          <w:spacing w:val="-5"/>
        </w:rPr>
        <w:t> </w:t>
      </w:r>
      <w:r>
        <w:rPr>
          <w:color w:val="231F20"/>
        </w:rPr>
        <w:t>a</w:t>
      </w:r>
      <w:r>
        <w:rPr>
          <w:color w:val="231F20"/>
          <w:spacing w:val="-5"/>
        </w:rPr>
        <w:t> </w:t>
      </w:r>
      <w:r>
        <w:rPr>
          <w:color w:val="231F20"/>
        </w:rPr>
        <w:t>nivel</w:t>
      </w:r>
      <w:r>
        <w:rPr>
          <w:color w:val="231F20"/>
          <w:spacing w:val="-5"/>
        </w:rPr>
        <w:t> </w:t>
      </w:r>
      <w:r>
        <w:rPr>
          <w:color w:val="231F20"/>
        </w:rPr>
        <w:t>estatal,</w:t>
      </w:r>
      <w:r>
        <w:rPr>
          <w:color w:val="231F20"/>
          <w:spacing w:val="-6"/>
        </w:rPr>
        <w:t> </w:t>
      </w:r>
      <w:r>
        <w:rPr>
          <w:color w:val="231F20"/>
        </w:rPr>
        <w:t>la</w:t>
      </w:r>
      <w:r>
        <w:rPr>
          <w:color w:val="231F20"/>
          <w:spacing w:val="-6"/>
        </w:rPr>
        <w:t> </w:t>
      </w:r>
      <w:r>
        <w:rPr>
          <w:color w:val="231F20"/>
        </w:rPr>
        <w:t>dependencia</w:t>
      </w:r>
      <w:r>
        <w:rPr>
          <w:color w:val="231F20"/>
          <w:spacing w:val="-5"/>
        </w:rPr>
        <w:t> </w:t>
      </w:r>
      <w:r>
        <w:rPr>
          <w:color w:val="231F20"/>
        </w:rPr>
        <w:t>de</w:t>
      </w:r>
      <w:r>
        <w:rPr>
          <w:color w:val="231F20"/>
          <w:spacing w:val="-5"/>
        </w:rPr>
        <w:t> </w:t>
      </w:r>
      <w:r>
        <w:rPr>
          <w:color w:val="231F20"/>
        </w:rPr>
        <w:t>los programas asistenciales y de los mercados laborales</w:t>
      </w:r>
      <w:r>
        <w:rPr>
          <w:color w:val="231F20"/>
          <w:spacing w:val="-4"/>
        </w:rPr>
        <w:t> </w:t>
      </w:r>
      <w:r>
        <w:rPr>
          <w:color w:val="231F20"/>
        </w:rPr>
        <w:t>externos.</w:t>
      </w:r>
    </w:p>
    <w:p>
      <w:pPr>
        <w:spacing w:after="0" w:line="247" w:lineRule="auto"/>
        <w:jc w:val="both"/>
        <w:sectPr>
          <w:pgSz w:w="9360" w:h="13040"/>
          <w:pgMar w:header="0" w:footer="496" w:top="800" w:bottom="680" w:left="1300" w:right="1300"/>
        </w:sectPr>
      </w:pPr>
    </w:p>
    <w:p>
      <w:pPr>
        <w:spacing w:before="45"/>
        <w:ind w:left="460" w:right="0" w:firstLine="0"/>
        <w:jc w:val="left"/>
        <w:rPr>
          <w:rFonts w:ascii="Arial" w:hAnsi="Arial"/>
          <w:sz w:val="20"/>
        </w:rPr>
      </w:pPr>
      <w:r>
        <w:rPr>
          <w:rFonts w:ascii="Arial" w:hAnsi="Arial"/>
          <w:color w:val="231F20"/>
          <w:w w:val="66"/>
          <w:sz w:val="20"/>
        </w:rPr>
        <w:t>Las</w:t>
      </w:r>
      <w:r>
        <w:rPr>
          <w:rFonts w:ascii="Arial" w:hAnsi="Arial"/>
          <w:color w:val="231F20"/>
          <w:spacing w:val="-1"/>
          <w:sz w:val="20"/>
        </w:rPr>
        <w:t> </w:t>
      </w:r>
      <w:r>
        <w:rPr>
          <w:rFonts w:ascii="Arial" w:hAnsi="Arial"/>
          <w:color w:val="231F20"/>
          <w:spacing w:val="-1"/>
          <w:w w:val="68"/>
          <w:sz w:val="20"/>
        </w:rPr>
        <w:t>remesa</w:t>
      </w:r>
      <w:r>
        <w:rPr>
          <w:rFonts w:ascii="Arial" w:hAnsi="Arial"/>
          <w:color w:val="231F20"/>
          <w:w w:val="68"/>
          <w:sz w:val="20"/>
        </w:rPr>
        <w:t>s</w:t>
      </w:r>
      <w:r>
        <w:rPr>
          <w:rFonts w:ascii="Arial" w:hAnsi="Arial"/>
          <w:color w:val="231F20"/>
          <w:sz w:val="20"/>
        </w:rPr>
        <w:t> </w:t>
      </w:r>
      <w:r>
        <w:rPr>
          <w:rFonts w:ascii="Arial" w:hAnsi="Arial"/>
          <w:color w:val="231F20"/>
          <w:w w:val="72"/>
          <w:sz w:val="20"/>
        </w:rPr>
        <w:t>indígenas</w:t>
      </w:r>
      <w:r>
        <w:rPr>
          <w:rFonts w:ascii="Arial" w:hAnsi="Arial"/>
          <w:color w:val="231F20"/>
          <w:spacing w:val="-1"/>
          <w:sz w:val="20"/>
        </w:rPr>
        <w:t> </w:t>
      </w:r>
      <w:r>
        <w:rPr>
          <w:rFonts w:ascii="Arial" w:hAnsi="Arial"/>
          <w:color w:val="231F20"/>
          <w:spacing w:val="-1"/>
          <w:w w:val="67"/>
          <w:sz w:val="20"/>
        </w:rPr>
        <w:t>com</w:t>
      </w:r>
      <w:r>
        <w:rPr>
          <w:rFonts w:ascii="Arial" w:hAnsi="Arial"/>
          <w:color w:val="231F20"/>
          <w:w w:val="67"/>
          <w:sz w:val="20"/>
        </w:rPr>
        <w:t>o</w:t>
      </w:r>
      <w:r>
        <w:rPr>
          <w:rFonts w:ascii="Arial" w:hAnsi="Arial"/>
          <w:color w:val="231F20"/>
          <w:spacing w:val="-1"/>
          <w:sz w:val="20"/>
        </w:rPr>
        <w:t> </w:t>
      </w:r>
      <w:r>
        <w:rPr>
          <w:rFonts w:ascii="Arial" w:hAnsi="Arial"/>
          <w:color w:val="231F20"/>
          <w:spacing w:val="-1"/>
          <w:w w:val="71"/>
          <w:sz w:val="20"/>
        </w:rPr>
        <w:t>complement</w:t>
      </w:r>
      <w:r>
        <w:rPr>
          <w:rFonts w:ascii="Arial" w:hAnsi="Arial"/>
          <w:color w:val="231F20"/>
          <w:w w:val="71"/>
          <w:sz w:val="20"/>
        </w:rPr>
        <w:t>o</w:t>
      </w:r>
      <w:r>
        <w:rPr>
          <w:rFonts w:ascii="Arial" w:hAnsi="Arial"/>
          <w:color w:val="231F20"/>
          <w:sz w:val="20"/>
        </w:rPr>
        <w:t> </w:t>
      </w:r>
      <w:r>
        <w:rPr>
          <w:rFonts w:ascii="Arial" w:hAnsi="Arial"/>
          <w:color w:val="231F20"/>
          <w:spacing w:val="-1"/>
          <w:w w:val="78"/>
          <w:sz w:val="20"/>
        </w:rPr>
        <w:t>a</w:t>
      </w:r>
      <w:r>
        <w:rPr>
          <w:rFonts w:ascii="Arial" w:hAnsi="Arial"/>
          <w:color w:val="231F20"/>
          <w:w w:val="78"/>
          <w:sz w:val="20"/>
        </w:rPr>
        <w:t>l</w:t>
      </w:r>
      <w:r>
        <w:rPr>
          <w:rFonts w:ascii="Arial" w:hAnsi="Arial"/>
          <w:color w:val="231F20"/>
          <w:spacing w:val="-1"/>
          <w:sz w:val="20"/>
        </w:rPr>
        <w:t> </w:t>
      </w:r>
      <w:r>
        <w:rPr>
          <w:rFonts w:ascii="Arial" w:hAnsi="Arial"/>
          <w:color w:val="231F20"/>
          <w:w w:val="73"/>
          <w:sz w:val="20"/>
        </w:rPr>
        <w:t>ingreso</w:t>
      </w:r>
      <w:r>
        <w:rPr>
          <w:rFonts w:ascii="Arial" w:hAnsi="Arial"/>
          <w:color w:val="231F20"/>
          <w:spacing w:val="-1"/>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67"/>
          <w:sz w:val="20"/>
        </w:rPr>
        <w:t>sus</w:t>
      </w:r>
      <w:r>
        <w:rPr>
          <w:rFonts w:ascii="Arial" w:hAnsi="Arial"/>
          <w:color w:val="231F20"/>
          <w:spacing w:val="-1"/>
          <w:sz w:val="20"/>
        </w:rPr>
        <w:t> </w:t>
      </w:r>
      <w:r>
        <w:rPr>
          <w:rFonts w:ascii="Arial" w:hAnsi="Arial"/>
          <w:color w:val="231F20"/>
          <w:w w:val="72"/>
          <w:sz w:val="20"/>
        </w:rPr>
        <w:t>mecanismos...</w:t>
      </w:r>
      <w:r>
        <w:rPr>
          <w:rFonts w:ascii="Arial" w:hAnsi="Arial"/>
          <w:color w:val="231F20"/>
          <w:spacing w:val="-1"/>
          <w:sz w:val="20"/>
        </w:rPr>
        <w:t> </w:t>
      </w:r>
      <w:r>
        <w:rPr>
          <w:rFonts w:ascii="Arial" w:hAnsi="Arial"/>
          <w:color w:val="231F20"/>
          <w:spacing w:val="-1"/>
          <w:w w:val="99"/>
          <w:sz w:val="20"/>
        </w:rPr>
        <w:t>/</w:t>
      </w:r>
      <w:r>
        <w:rPr>
          <w:rFonts w:ascii="Arial" w:hAnsi="Arial"/>
          <w:color w:val="231F20"/>
          <w:w w:val="47"/>
          <w:sz w:val="20"/>
        </w:rPr>
        <w:t>César</w:t>
      </w:r>
      <w:r>
        <w:rPr>
          <w:rFonts w:ascii="Arial" w:hAnsi="Arial"/>
          <w:color w:val="231F20"/>
          <w:spacing w:val="-17"/>
          <w:sz w:val="20"/>
        </w:rPr>
        <w:t> </w:t>
      </w:r>
      <w:r>
        <w:rPr>
          <w:rFonts w:ascii="Arial" w:hAnsi="Arial"/>
          <w:color w:val="231F20"/>
          <w:spacing w:val="-1"/>
          <w:w w:val="52"/>
          <w:sz w:val="20"/>
        </w:rPr>
        <w:t>Raú</w:t>
      </w:r>
      <w:r>
        <w:rPr>
          <w:rFonts w:ascii="Arial" w:hAnsi="Arial"/>
          <w:color w:val="231F20"/>
          <w:w w:val="52"/>
          <w:sz w:val="20"/>
        </w:rPr>
        <w:t>l</w:t>
      </w:r>
      <w:r>
        <w:rPr>
          <w:rFonts w:ascii="Arial" w:hAnsi="Arial"/>
          <w:color w:val="231F20"/>
          <w:spacing w:val="-17"/>
          <w:sz w:val="20"/>
        </w:rPr>
        <w:t> </w:t>
      </w:r>
      <w:r>
        <w:rPr>
          <w:rFonts w:ascii="Arial" w:hAnsi="Arial"/>
          <w:color w:val="231F20"/>
          <w:w w:val="52"/>
          <w:sz w:val="20"/>
        </w:rPr>
        <w:t>Pérez-Marcial</w:t>
      </w:r>
    </w:p>
    <w:p>
      <w:pPr>
        <w:pStyle w:val="BodyText"/>
        <w:rPr>
          <w:rFonts w:ascii="Arial"/>
          <w:sz w:val="20"/>
        </w:rPr>
      </w:pPr>
    </w:p>
    <w:p>
      <w:pPr>
        <w:pStyle w:val="BodyText"/>
        <w:spacing w:before="2"/>
        <w:rPr>
          <w:rFonts w:ascii="Arial"/>
          <w:sz w:val="17"/>
        </w:rPr>
      </w:pPr>
    </w:p>
    <w:p>
      <w:pPr>
        <w:spacing w:line="249" w:lineRule="auto" w:before="0" w:after="46"/>
        <w:ind w:left="235" w:right="117" w:firstLine="0"/>
        <w:jc w:val="left"/>
        <w:rPr>
          <w:sz w:val="16"/>
        </w:rPr>
      </w:pPr>
      <w:r>
        <w:rPr>
          <w:w w:val="95"/>
          <w:sz w:val="16"/>
        </w:rPr>
        <w:t>Cuadro</w:t>
      </w:r>
      <w:r>
        <w:rPr>
          <w:spacing w:val="-25"/>
          <w:w w:val="95"/>
          <w:sz w:val="16"/>
        </w:rPr>
        <w:t> </w:t>
      </w:r>
      <w:r>
        <w:rPr>
          <w:w w:val="95"/>
          <w:sz w:val="16"/>
        </w:rPr>
        <w:t>3.</w:t>
      </w:r>
      <w:r>
        <w:rPr>
          <w:spacing w:val="-25"/>
          <w:w w:val="95"/>
          <w:sz w:val="16"/>
        </w:rPr>
        <w:t> </w:t>
      </w:r>
      <w:r>
        <w:rPr>
          <w:w w:val="95"/>
          <w:sz w:val="16"/>
        </w:rPr>
        <w:t>Remesas</w:t>
      </w:r>
      <w:r>
        <w:rPr>
          <w:spacing w:val="-25"/>
          <w:w w:val="95"/>
          <w:sz w:val="16"/>
        </w:rPr>
        <w:t> </w:t>
      </w:r>
      <w:r>
        <w:rPr>
          <w:w w:val="95"/>
          <w:sz w:val="16"/>
        </w:rPr>
        <w:t>recibidas</w:t>
      </w:r>
      <w:r>
        <w:rPr>
          <w:spacing w:val="-25"/>
          <w:w w:val="95"/>
          <w:sz w:val="16"/>
        </w:rPr>
        <w:t> </w:t>
      </w:r>
      <w:r>
        <w:rPr>
          <w:w w:val="95"/>
          <w:sz w:val="16"/>
        </w:rPr>
        <w:t>por</w:t>
      </w:r>
      <w:r>
        <w:rPr>
          <w:spacing w:val="-25"/>
          <w:w w:val="95"/>
          <w:sz w:val="16"/>
        </w:rPr>
        <w:t> </w:t>
      </w:r>
      <w:r>
        <w:rPr>
          <w:w w:val="95"/>
          <w:sz w:val="16"/>
        </w:rPr>
        <w:t>estados</w:t>
      </w:r>
      <w:r>
        <w:rPr>
          <w:spacing w:val="-25"/>
          <w:w w:val="95"/>
          <w:sz w:val="16"/>
        </w:rPr>
        <w:t> </w:t>
      </w:r>
      <w:r>
        <w:rPr>
          <w:w w:val="95"/>
          <w:sz w:val="16"/>
        </w:rPr>
        <w:t>y</w:t>
      </w:r>
      <w:r>
        <w:rPr>
          <w:spacing w:val="-25"/>
          <w:w w:val="95"/>
          <w:sz w:val="16"/>
        </w:rPr>
        <w:t> </w:t>
      </w:r>
      <w:r>
        <w:rPr>
          <w:w w:val="95"/>
          <w:sz w:val="16"/>
        </w:rPr>
        <w:t>participación</w:t>
      </w:r>
      <w:r>
        <w:rPr>
          <w:spacing w:val="-25"/>
          <w:w w:val="95"/>
          <w:sz w:val="16"/>
        </w:rPr>
        <w:t> </w:t>
      </w:r>
      <w:r>
        <w:rPr>
          <w:w w:val="95"/>
          <w:sz w:val="16"/>
        </w:rPr>
        <w:t>respecto</w:t>
      </w:r>
      <w:r>
        <w:rPr>
          <w:spacing w:val="-25"/>
          <w:w w:val="95"/>
          <w:sz w:val="16"/>
        </w:rPr>
        <w:t> </w:t>
      </w:r>
      <w:r>
        <w:rPr>
          <w:w w:val="95"/>
          <w:sz w:val="16"/>
        </w:rPr>
        <w:t>al</w:t>
      </w:r>
      <w:r>
        <w:rPr>
          <w:spacing w:val="-25"/>
          <w:w w:val="95"/>
          <w:sz w:val="16"/>
        </w:rPr>
        <w:t> </w:t>
      </w:r>
      <w:r>
        <w:rPr>
          <w:w w:val="95"/>
          <w:sz w:val="16"/>
        </w:rPr>
        <w:t>PIB</w:t>
      </w:r>
      <w:r>
        <w:rPr>
          <w:spacing w:val="-25"/>
          <w:w w:val="95"/>
          <w:sz w:val="16"/>
        </w:rPr>
        <w:t> </w:t>
      </w:r>
      <w:r>
        <w:rPr>
          <w:w w:val="95"/>
          <w:sz w:val="16"/>
        </w:rPr>
        <w:t>estatal,</w:t>
      </w:r>
      <w:r>
        <w:rPr>
          <w:spacing w:val="-25"/>
          <w:w w:val="95"/>
          <w:sz w:val="16"/>
        </w:rPr>
        <w:t> </w:t>
      </w:r>
      <w:r>
        <w:rPr>
          <w:w w:val="95"/>
          <w:sz w:val="16"/>
        </w:rPr>
        <w:t>sector</w:t>
      </w:r>
      <w:r>
        <w:rPr>
          <w:spacing w:val="-25"/>
          <w:w w:val="95"/>
          <w:sz w:val="16"/>
        </w:rPr>
        <w:t> </w:t>
      </w:r>
      <w:r>
        <w:rPr>
          <w:w w:val="95"/>
          <w:sz w:val="16"/>
        </w:rPr>
        <w:t>primario</w:t>
      </w:r>
      <w:r>
        <w:rPr>
          <w:spacing w:val="-25"/>
          <w:w w:val="95"/>
          <w:sz w:val="16"/>
        </w:rPr>
        <w:t> </w:t>
      </w:r>
      <w:r>
        <w:rPr>
          <w:w w:val="95"/>
          <w:sz w:val="16"/>
        </w:rPr>
        <w:t>e</w:t>
      </w:r>
      <w:r>
        <w:rPr>
          <w:spacing w:val="-25"/>
          <w:w w:val="95"/>
          <w:sz w:val="16"/>
        </w:rPr>
        <w:t> </w:t>
      </w:r>
      <w:r>
        <w:rPr>
          <w:w w:val="95"/>
          <w:sz w:val="16"/>
        </w:rPr>
        <w:t>ingresos </w:t>
      </w:r>
      <w:r>
        <w:rPr>
          <w:w w:val="90"/>
          <w:sz w:val="16"/>
        </w:rPr>
        <w:t>públicos, 2010 (miles de pesos</w:t>
      </w:r>
      <w:r>
        <w:rPr>
          <w:spacing w:val="-21"/>
          <w:w w:val="90"/>
          <w:sz w:val="16"/>
        </w:rPr>
        <w:t> </w:t>
      </w:r>
      <w:r>
        <w:rPr>
          <w:w w:val="90"/>
          <w:sz w:val="16"/>
        </w:rPr>
        <w:t>corrientes)</w:t>
      </w:r>
    </w:p>
    <w:tbl>
      <w:tblPr>
        <w:tblW w:w="0" w:type="auto"/>
        <w:jc w:val="left"/>
        <w:tblInd w:w="18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16"/>
        <w:gridCol w:w="865"/>
        <w:gridCol w:w="1007"/>
        <w:gridCol w:w="588"/>
        <w:gridCol w:w="820"/>
        <w:gridCol w:w="597"/>
        <w:gridCol w:w="949"/>
        <w:gridCol w:w="610"/>
      </w:tblGrid>
      <w:tr>
        <w:trPr>
          <w:trHeight w:val="201" w:hRule="exact"/>
        </w:trPr>
        <w:tc>
          <w:tcPr>
            <w:tcW w:w="4297" w:type="dxa"/>
            <w:gridSpan w:val="5"/>
            <w:vMerge w:val="restart"/>
            <w:tcBorders>
              <w:left w:val="nil"/>
              <w:right w:val="nil"/>
            </w:tcBorders>
          </w:tcPr>
          <w:p>
            <w:pPr/>
          </w:p>
        </w:tc>
        <w:tc>
          <w:tcPr>
            <w:tcW w:w="597" w:type="dxa"/>
            <w:tcBorders>
              <w:left w:val="nil"/>
              <w:bottom w:val="nil"/>
              <w:right w:val="nil"/>
            </w:tcBorders>
          </w:tcPr>
          <w:p>
            <w:pPr/>
          </w:p>
        </w:tc>
        <w:tc>
          <w:tcPr>
            <w:tcW w:w="949" w:type="dxa"/>
            <w:tcBorders>
              <w:left w:val="nil"/>
              <w:bottom w:val="nil"/>
              <w:right w:val="nil"/>
            </w:tcBorders>
          </w:tcPr>
          <w:p>
            <w:pPr/>
          </w:p>
        </w:tc>
        <w:tc>
          <w:tcPr>
            <w:tcW w:w="610" w:type="dxa"/>
            <w:tcBorders>
              <w:left w:val="nil"/>
              <w:bottom w:val="nil"/>
              <w:right w:val="nil"/>
            </w:tcBorders>
          </w:tcPr>
          <w:p>
            <w:pPr>
              <w:pStyle w:val="TableParagraph"/>
              <w:spacing w:before="1"/>
              <w:ind w:right="48"/>
              <w:rPr>
                <w:sz w:val="16"/>
              </w:rPr>
            </w:pPr>
            <w:r>
              <w:rPr>
                <w:w w:val="95"/>
                <w:sz w:val="16"/>
              </w:rPr>
              <w:t>% de</w:t>
            </w:r>
          </w:p>
        </w:tc>
      </w:tr>
      <w:tr>
        <w:trPr>
          <w:trHeight w:val="191" w:hRule="exact"/>
        </w:trPr>
        <w:tc>
          <w:tcPr>
            <w:tcW w:w="4297" w:type="dxa"/>
            <w:gridSpan w:val="5"/>
            <w:vMerge/>
            <w:tcBorders>
              <w:left w:val="nil"/>
              <w:bottom w:val="nil"/>
              <w:right w:val="nil"/>
            </w:tcBorders>
          </w:tcPr>
          <w:p>
            <w:pPr/>
          </w:p>
        </w:tc>
        <w:tc>
          <w:tcPr>
            <w:tcW w:w="597" w:type="dxa"/>
            <w:tcBorders>
              <w:top w:val="nil"/>
              <w:left w:val="nil"/>
              <w:bottom w:val="nil"/>
              <w:right w:val="nil"/>
            </w:tcBorders>
          </w:tcPr>
          <w:p>
            <w:pPr>
              <w:pStyle w:val="TableParagraph"/>
              <w:spacing w:line="180" w:lineRule="exact"/>
              <w:ind w:right="48"/>
              <w:rPr>
                <w:sz w:val="16"/>
              </w:rPr>
            </w:pPr>
            <w:r>
              <w:rPr>
                <w:w w:val="95"/>
                <w:sz w:val="16"/>
              </w:rPr>
              <w:t>% de</w:t>
            </w:r>
          </w:p>
        </w:tc>
        <w:tc>
          <w:tcPr>
            <w:tcW w:w="949" w:type="dxa"/>
            <w:tcBorders>
              <w:top w:val="nil"/>
              <w:left w:val="nil"/>
              <w:bottom w:val="nil"/>
              <w:right w:val="nil"/>
            </w:tcBorders>
          </w:tcPr>
          <w:p>
            <w:pPr/>
          </w:p>
        </w:tc>
        <w:tc>
          <w:tcPr>
            <w:tcW w:w="610" w:type="dxa"/>
            <w:tcBorders>
              <w:top w:val="nil"/>
              <w:left w:val="nil"/>
              <w:bottom w:val="nil"/>
              <w:right w:val="nil"/>
            </w:tcBorders>
          </w:tcPr>
          <w:p>
            <w:pPr>
              <w:pStyle w:val="TableParagraph"/>
              <w:spacing w:line="180" w:lineRule="exact"/>
              <w:ind w:right="49"/>
              <w:rPr>
                <w:sz w:val="16"/>
              </w:rPr>
            </w:pPr>
            <w:r>
              <w:rPr>
                <w:w w:val="85"/>
                <w:sz w:val="16"/>
              </w:rPr>
              <w:t>remesas</w:t>
            </w:r>
          </w:p>
        </w:tc>
      </w:tr>
      <w:tr>
        <w:trPr>
          <w:trHeight w:val="191" w:hRule="exact"/>
        </w:trPr>
        <w:tc>
          <w:tcPr>
            <w:tcW w:w="1016" w:type="dxa"/>
            <w:tcBorders>
              <w:top w:val="nil"/>
              <w:left w:val="nil"/>
              <w:bottom w:val="nil"/>
              <w:right w:val="nil"/>
            </w:tcBorders>
          </w:tcPr>
          <w:p>
            <w:pPr/>
          </w:p>
        </w:tc>
        <w:tc>
          <w:tcPr>
            <w:tcW w:w="865" w:type="dxa"/>
            <w:tcBorders>
              <w:top w:val="nil"/>
              <w:left w:val="nil"/>
              <w:bottom w:val="nil"/>
              <w:right w:val="nil"/>
            </w:tcBorders>
          </w:tcPr>
          <w:p>
            <w:pPr/>
          </w:p>
        </w:tc>
        <w:tc>
          <w:tcPr>
            <w:tcW w:w="1007" w:type="dxa"/>
            <w:tcBorders>
              <w:top w:val="nil"/>
              <w:left w:val="nil"/>
              <w:bottom w:val="nil"/>
              <w:right w:val="nil"/>
            </w:tcBorders>
          </w:tcPr>
          <w:p>
            <w:pPr/>
          </w:p>
        </w:tc>
        <w:tc>
          <w:tcPr>
            <w:tcW w:w="588" w:type="dxa"/>
            <w:tcBorders>
              <w:top w:val="nil"/>
              <w:left w:val="nil"/>
              <w:bottom w:val="nil"/>
              <w:right w:val="nil"/>
            </w:tcBorders>
          </w:tcPr>
          <w:p>
            <w:pPr>
              <w:pStyle w:val="TableParagraph"/>
              <w:spacing w:line="180" w:lineRule="exact"/>
              <w:ind w:right="49"/>
              <w:rPr>
                <w:sz w:val="16"/>
              </w:rPr>
            </w:pPr>
            <w:r>
              <w:rPr>
                <w:w w:val="95"/>
                <w:sz w:val="16"/>
              </w:rPr>
              <w:t>% de</w:t>
            </w:r>
          </w:p>
        </w:tc>
        <w:tc>
          <w:tcPr>
            <w:tcW w:w="820" w:type="dxa"/>
            <w:tcBorders>
              <w:top w:val="nil"/>
              <w:left w:val="nil"/>
              <w:bottom w:val="nil"/>
              <w:right w:val="nil"/>
            </w:tcBorders>
          </w:tcPr>
          <w:p>
            <w:pPr/>
          </w:p>
        </w:tc>
        <w:tc>
          <w:tcPr>
            <w:tcW w:w="597" w:type="dxa"/>
            <w:tcBorders>
              <w:top w:val="nil"/>
              <w:left w:val="nil"/>
              <w:bottom w:val="nil"/>
              <w:right w:val="nil"/>
            </w:tcBorders>
          </w:tcPr>
          <w:p>
            <w:pPr>
              <w:pStyle w:val="TableParagraph"/>
              <w:spacing w:line="180" w:lineRule="exact"/>
              <w:ind w:right="49"/>
              <w:rPr>
                <w:sz w:val="16"/>
              </w:rPr>
            </w:pPr>
            <w:r>
              <w:rPr>
                <w:w w:val="85"/>
                <w:sz w:val="16"/>
              </w:rPr>
              <w:t>remesas</w:t>
            </w:r>
          </w:p>
        </w:tc>
        <w:tc>
          <w:tcPr>
            <w:tcW w:w="949" w:type="dxa"/>
            <w:tcBorders>
              <w:top w:val="nil"/>
              <w:left w:val="nil"/>
              <w:bottom w:val="nil"/>
              <w:right w:val="nil"/>
            </w:tcBorders>
          </w:tcPr>
          <w:p>
            <w:pPr/>
          </w:p>
        </w:tc>
        <w:tc>
          <w:tcPr>
            <w:tcW w:w="610" w:type="dxa"/>
            <w:tcBorders>
              <w:top w:val="nil"/>
              <w:left w:val="nil"/>
              <w:bottom w:val="nil"/>
              <w:right w:val="nil"/>
            </w:tcBorders>
          </w:tcPr>
          <w:p>
            <w:pPr>
              <w:pStyle w:val="TableParagraph"/>
              <w:spacing w:line="180" w:lineRule="exact"/>
              <w:ind w:right="49"/>
              <w:rPr>
                <w:sz w:val="16"/>
              </w:rPr>
            </w:pPr>
            <w:r>
              <w:rPr>
                <w:w w:val="85"/>
                <w:sz w:val="16"/>
              </w:rPr>
              <w:t>respecto</w:t>
            </w:r>
          </w:p>
        </w:tc>
      </w:tr>
      <w:tr>
        <w:trPr>
          <w:trHeight w:val="191" w:hRule="exact"/>
        </w:trPr>
        <w:tc>
          <w:tcPr>
            <w:tcW w:w="1016" w:type="dxa"/>
            <w:tcBorders>
              <w:top w:val="nil"/>
              <w:left w:val="nil"/>
              <w:bottom w:val="nil"/>
              <w:right w:val="nil"/>
            </w:tcBorders>
          </w:tcPr>
          <w:p>
            <w:pPr/>
          </w:p>
        </w:tc>
        <w:tc>
          <w:tcPr>
            <w:tcW w:w="865" w:type="dxa"/>
            <w:tcBorders>
              <w:top w:val="nil"/>
              <w:left w:val="nil"/>
              <w:bottom w:val="nil"/>
              <w:right w:val="nil"/>
            </w:tcBorders>
          </w:tcPr>
          <w:p>
            <w:pPr/>
          </w:p>
        </w:tc>
        <w:tc>
          <w:tcPr>
            <w:tcW w:w="1007" w:type="dxa"/>
            <w:tcBorders>
              <w:top w:val="nil"/>
              <w:left w:val="nil"/>
              <w:bottom w:val="nil"/>
              <w:right w:val="nil"/>
            </w:tcBorders>
          </w:tcPr>
          <w:p>
            <w:pPr/>
          </w:p>
        </w:tc>
        <w:tc>
          <w:tcPr>
            <w:tcW w:w="588" w:type="dxa"/>
            <w:tcBorders>
              <w:top w:val="nil"/>
              <w:left w:val="nil"/>
              <w:bottom w:val="nil"/>
              <w:right w:val="nil"/>
            </w:tcBorders>
          </w:tcPr>
          <w:p>
            <w:pPr>
              <w:pStyle w:val="TableParagraph"/>
              <w:spacing w:line="180" w:lineRule="exact"/>
              <w:ind w:right="49"/>
              <w:rPr>
                <w:sz w:val="16"/>
              </w:rPr>
            </w:pPr>
            <w:r>
              <w:rPr>
                <w:w w:val="85"/>
                <w:sz w:val="16"/>
              </w:rPr>
              <w:t>remesas</w:t>
            </w:r>
          </w:p>
        </w:tc>
        <w:tc>
          <w:tcPr>
            <w:tcW w:w="820" w:type="dxa"/>
            <w:tcBorders>
              <w:top w:val="nil"/>
              <w:left w:val="nil"/>
              <w:bottom w:val="nil"/>
              <w:right w:val="nil"/>
            </w:tcBorders>
          </w:tcPr>
          <w:p>
            <w:pPr/>
          </w:p>
        </w:tc>
        <w:tc>
          <w:tcPr>
            <w:tcW w:w="597" w:type="dxa"/>
            <w:tcBorders>
              <w:top w:val="nil"/>
              <w:left w:val="nil"/>
              <w:bottom w:val="nil"/>
              <w:right w:val="nil"/>
            </w:tcBorders>
          </w:tcPr>
          <w:p>
            <w:pPr>
              <w:pStyle w:val="TableParagraph"/>
              <w:spacing w:line="180" w:lineRule="exact"/>
              <w:ind w:right="50"/>
              <w:rPr>
                <w:sz w:val="16"/>
              </w:rPr>
            </w:pPr>
            <w:r>
              <w:rPr>
                <w:w w:val="85"/>
                <w:sz w:val="16"/>
              </w:rPr>
              <w:t>respecto</w:t>
            </w:r>
          </w:p>
        </w:tc>
        <w:tc>
          <w:tcPr>
            <w:tcW w:w="949" w:type="dxa"/>
            <w:tcBorders>
              <w:top w:val="nil"/>
              <w:left w:val="nil"/>
              <w:bottom w:val="nil"/>
              <w:right w:val="nil"/>
            </w:tcBorders>
          </w:tcPr>
          <w:p>
            <w:pPr/>
          </w:p>
        </w:tc>
        <w:tc>
          <w:tcPr>
            <w:tcW w:w="610" w:type="dxa"/>
            <w:tcBorders>
              <w:top w:val="nil"/>
              <w:left w:val="nil"/>
              <w:bottom w:val="nil"/>
              <w:right w:val="nil"/>
            </w:tcBorders>
          </w:tcPr>
          <w:p>
            <w:pPr>
              <w:pStyle w:val="TableParagraph"/>
              <w:spacing w:line="180" w:lineRule="exact"/>
              <w:ind w:right="49"/>
              <w:rPr>
                <w:sz w:val="16"/>
              </w:rPr>
            </w:pPr>
            <w:r>
              <w:rPr>
                <w:w w:val="95"/>
                <w:sz w:val="16"/>
              </w:rPr>
              <w:t>a los</w:t>
            </w:r>
          </w:p>
        </w:tc>
      </w:tr>
      <w:tr>
        <w:trPr>
          <w:trHeight w:val="191" w:hRule="exact"/>
        </w:trPr>
        <w:tc>
          <w:tcPr>
            <w:tcW w:w="1016" w:type="dxa"/>
            <w:tcBorders>
              <w:top w:val="nil"/>
              <w:left w:val="nil"/>
              <w:bottom w:val="nil"/>
              <w:right w:val="nil"/>
            </w:tcBorders>
          </w:tcPr>
          <w:p>
            <w:pPr/>
          </w:p>
        </w:tc>
        <w:tc>
          <w:tcPr>
            <w:tcW w:w="865" w:type="dxa"/>
            <w:tcBorders>
              <w:top w:val="nil"/>
              <w:left w:val="nil"/>
              <w:bottom w:val="nil"/>
              <w:right w:val="nil"/>
            </w:tcBorders>
          </w:tcPr>
          <w:p>
            <w:pPr>
              <w:pStyle w:val="TableParagraph"/>
              <w:spacing w:line="180" w:lineRule="exact"/>
              <w:ind w:right="48"/>
              <w:rPr>
                <w:sz w:val="16"/>
              </w:rPr>
            </w:pPr>
            <w:r>
              <w:rPr>
                <w:w w:val="85"/>
                <w:sz w:val="16"/>
              </w:rPr>
              <w:t>Remesas</w:t>
            </w:r>
          </w:p>
        </w:tc>
        <w:tc>
          <w:tcPr>
            <w:tcW w:w="1007" w:type="dxa"/>
            <w:tcBorders>
              <w:top w:val="nil"/>
              <w:left w:val="nil"/>
              <w:bottom w:val="nil"/>
              <w:right w:val="nil"/>
            </w:tcBorders>
          </w:tcPr>
          <w:p>
            <w:pPr>
              <w:pStyle w:val="TableParagraph"/>
              <w:spacing w:line="180" w:lineRule="exact"/>
              <w:ind w:right="57"/>
              <w:rPr>
                <w:sz w:val="16"/>
              </w:rPr>
            </w:pPr>
            <w:r>
              <w:rPr>
                <w:w w:val="85"/>
                <w:sz w:val="16"/>
              </w:rPr>
              <w:t>PIB</w:t>
            </w:r>
          </w:p>
        </w:tc>
        <w:tc>
          <w:tcPr>
            <w:tcW w:w="588" w:type="dxa"/>
            <w:tcBorders>
              <w:top w:val="nil"/>
              <w:left w:val="nil"/>
              <w:bottom w:val="nil"/>
              <w:right w:val="nil"/>
            </w:tcBorders>
          </w:tcPr>
          <w:p>
            <w:pPr>
              <w:pStyle w:val="TableParagraph"/>
              <w:spacing w:line="180" w:lineRule="exact"/>
              <w:ind w:right="49"/>
              <w:rPr>
                <w:sz w:val="16"/>
              </w:rPr>
            </w:pPr>
            <w:r>
              <w:rPr>
                <w:w w:val="85"/>
                <w:sz w:val="16"/>
              </w:rPr>
              <w:t>respecto</w:t>
            </w:r>
          </w:p>
        </w:tc>
        <w:tc>
          <w:tcPr>
            <w:tcW w:w="820" w:type="dxa"/>
            <w:tcBorders>
              <w:top w:val="nil"/>
              <w:left w:val="nil"/>
              <w:bottom w:val="nil"/>
              <w:right w:val="nil"/>
            </w:tcBorders>
          </w:tcPr>
          <w:p>
            <w:pPr>
              <w:pStyle w:val="TableParagraph"/>
              <w:spacing w:line="180" w:lineRule="exact"/>
              <w:ind w:right="50"/>
              <w:rPr>
                <w:sz w:val="16"/>
              </w:rPr>
            </w:pPr>
            <w:r>
              <w:rPr>
                <w:w w:val="85"/>
                <w:sz w:val="16"/>
              </w:rPr>
              <w:t>Sector</w:t>
            </w:r>
          </w:p>
        </w:tc>
        <w:tc>
          <w:tcPr>
            <w:tcW w:w="597" w:type="dxa"/>
            <w:tcBorders>
              <w:top w:val="nil"/>
              <w:left w:val="nil"/>
              <w:bottom w:val="nil"/>
              <w:right w:val="nil"/>
            </w:tcBorders>
          </w:tcPr>
          <w:p>
            <w:pPr>
              <w:pStyle w:val="TableParagraph"/>
              <w:spacing w:line="180" w:lineRule="exact"/>
              <w:ind w:right="49"/>
              <w:rPr>
                <w:sz w:val="16"/>
              </w:rPr>
            </w:pPr>
            <w:r>
              <w:rPr>
                <w:w w:val="85"/>
                <w:sz w:val="16"/>
              </w:rPr>
              <w:t>PIB</w:t>
            </w:r>
          </w:p>
        </w:tc>
        <w:tc>
          <w:tcPr>
            <w:tcW w:w="949" w:type="dxa"/>
            <w:tcBorders>
              <w:top w:val="nil"/>
              <w:left w:val="nil"/>
              <w:bottom w:val="nil"/>
              <w:right w:val="nil"/>
            </w:tcBorders>
          </w:tcPr>
          <w:p>
            <w:pPr>
              <w:pStyle w:val="TableParagraph"/>
              <w:spacing w:line="180" w:lineRule="exact"/>
              <w:ind w:right="70"/>
              <w:rPr>
                <w:sz w:val="16"/>
              </w:rPr>
            </w:pPr>
            <w:r>
              <w:rPr>
                <w:w w:val="85"/>
                <w:sz w:val="16"/>
              </w:rPr>
              <w:t>Ingresos</w:t>
            </w:r>
          </w:p>
        </w:tc>
        <w:tc>
          <w:tcPr>
            <w:tcW w:w="610" w:type="dxa"/>
            <w:tcBorders>
              <w:top w:val="nil"/>
              <w:left w:val="nil"/>
              <w:bottom w:val="nil"/>
              <w:right w:val="nil"/>
            </w:tcBorders>
          </w:tcPr>
          <w:p>
            <w:pPr>
              <w:pStyle w:val="TableParagraph"/>
              <w:spacing w:line="180" w:lineRule="exact"/>
              <w:ind w:right="48"/>
              <w:rPr>
                <w:sz w:val="16"/>
              </w:rPr>
            </w:pPr>
            <w:r>
              <w:rPr>
                <w:w w:val="85"/>
                <w:sz w:val="16"/>
              </w:rPr>
              <w:t>ingresos</w:t>
            </w:r>
          </w:p>
        </w:tc>
      </w:tr>
      <w:tr>
        <w:trPr>
          <w:trHeight w:val="197" w:hRule="exact"/>
        </w:trPr>
        <w:tc>
          <w:tcPr>
            <w:tcW w:w="1016" w:type="dxa"/>
            <w:tcBorders>
              <w:top w:val="nil"/>
              <w:left w:val="nil"/>
              <w:bottom w:val="double" w:sz="3" w:space="0" w:color="000000"/>
              <w:right w:val="nil"/>
            </w:tcBorders>
          </w:tcPr>
          <w:p>
            <w:pPr>
              <w:pStyle w:val="TableParagraph"/>
              <w:spacing w:line="180" w:lineRule="exact"/>
              <w:ind w:left="51"/>
              <w:jc w:val="left"/>
              <w:rPr>
                <w:sz w:val="16"/>
              </w:rPr>
            </w:pPr>
            <w:r>
              <w:rPr>
                <w:sz w:val="16"/>
              </w:rPr>
              <w:t>Entidad</w:t>
            </w:r>
          </w:p>
        </w:tc>
        <w:tc>
          <w:tcPr>
            <w:tcW w:w="865" w:type="dxa"/>
            <w:tcBorders>
              <w:top w:val="nil"/>
              <w:left w:val="nil"/>
              <w:bottom w:val="double" w:sz="3" w:space="0" w:color="000000"/>
              <w:right w:val="nil"/>
            </w:tcBorders>
          </w:tcPr>
          <w:p>
            <w:pPr>
              <w:pStyle w:val="TableParagraph"/>
              <w:spacing w:line="180" w:lineRule="exact"/>
              <w:ind w:right="50"/>
              <w:rPr>
                <w:sz w:val="16"/>
              </w:rPr>
            </w:pPr>
            <w:r>
              <w:rPr>
                <w:w w:val="85"/>
                <w:sz w:val="16"/>
              </w:rPr>
              <w:t>monetarias*</w:t>
            </w:r>
          </w:p>
        </w:tc>
        <w:tc>
          <w:tcPr>
            <w:tcW w:w="1007" w:type="dxa"/>
            <w:tcBorders>
              <w:top w:val="nil"/>
              <w:left w:val="nil"/>
              <w:bottom w:val="double" w:sz="3" w:space="0" w:color="000000"/>
              <w:right w:val="nil"/>
            </w:tcBorders>
          </w:tcPr>
          <w:p>
            <w:pPr/>
          </w:p>
        </w:tc>
        <w:tc>
          <w:tcPr>
            <w:tcW w:w="588" w:type="dxa"/>
            <w:tcBorders>
              <w:top w:val="nil"/>
              <w:left w:val="nil"/>
              <w:bottom w:val="double" w:sz="3" w:space="0" w:color="000000"/>
              <w:right w:val="nil"/>
            </w:tcBorders>
          </w:tcPr>
          <w:p>
            <w:pPr>
              <w:pStyle w:val="TableParagraph"/>
              <w:spacing w:line="180" w:lineRule="exact"/>
              <w:ind w:right="49"/>
              <w:rPr>
                <w:sz w:val="16"/>
              </w:rPr>
            </w:pPr>
            <w:r>
              <w:rPr>
                <w:w w:val="85"/>
                <w:sz w:val="16"/>
              </w:rPr>
              <w:t>PIB</w:t>
            </w:r>
          </w:p>
        </w:tc>
        <w:tc>
          <w:tcPr>
            <w:tcW w:w="820" w:type="dxa"/>
            <w:tcBorders>
              <w:top w:val="nil"/>
              <w:left w:val="nil"/>
              <w:bottom w:val="double" w:sz="3" w:space="0" w:color="000000"/>
              <w:right w:val="nil"/>
            </w:tcBorders>
          </w:tcPr>
          <w:p>
            <w:pPr>
              <w:pStyle w:val="TableParagraph"/>
              <w:spacing w:line="180" w:lineRule="exact"/>
              <w:ind w:right="51"/>
              <w:rPr>
                <w:sz w:val="16"/>
              </w:rPr>
            </w:pPr>
            <w:r>
              <w:rPr>
                <w:w w:val="85"/>
                <w:sz w:val="16"/>
              </w:rPr>
              <w:t>primario</w:t>
            </w:r>
          </w:p>
        </w:tc>
        <w:tc>
          <w:tcPr>
            <w:tcW w:w="597" w:type="dxa"/>
            <w:tcBorders>
              <w:top w:val="nil"/>
              <w:left w:val="nil"/>
              <w:bottom w:val="double" w:sz="3" w:space="0" w:color="000000"/>
              <w:right w:val="nil"/>
            </w:tcBorders>
          </w:tcPr>
          <w:p>
            <w:pPr>
              <w:pStyle w:val="TableParagraph"/>
              <w:spacing w:line="180" w:lineRule="exact"/>
              <w:ind w:right="49"/>
              <w:rPr>
                <w:sz w:val="16"/>
              </w:rPr>
            </w:pPr>
            <w:r>
              <w:rPr>
                <w:w w:val="85"/>
                <w:sz w:val="16"/>
              </w:rPr>
              <w:t>primario</w:t>
            </w:r>
          </w:p>
        </w:tc>
        <w:tc>
          <w:tcPr>
            <w:tcW w:w="949" w:type="dxa"/>
            <w:tcBorders>
              <w:top w:val="nil"/>
              <w:left w:val="nil"/>
              <w:bottom w:val="double" w:sz="3" w:space="0" w:color="000000"/>
              <w:right w:val="nil"/>
            </w:tcBorders>
          </w:tcPr>
          <w:p>
            <w:pPr>
              <w:pStyle w:val="TableParagraph"/>
              <w:spacing w:line="180" w:lineRule="exact"/>
              <w:ind w:right="71"/>
              <w:rPr>
                <w:sz w:val="16"/>
              </w:rPr>
            </w:pPr>
            <w:r>
              <w:rPr>
                <w:w w:val="85"/>
                <w:sz w:val="16"/>
              </w:rPr>
              <w:t>públicos**</w:t>
            </w:r>
          </w:p>
        </w:tc>
        <w:tc>
          <w:tcPr>
            <w:tcW w:w="610" w:type="dxa"/>
            <w:tcBorders>
              <w:top w:val="nil"/>
              <w:left w:val="nil"/>
              <w:bottom w:val="double" w:sz="3" w:space="0" w:color="000000"/>
              <w:right w:val="nil"/>
            </w:tcBorders>
          </w:tcPr>
          <w:p>
            <w:pPr>
              <w:pStyle w:val="TableParagraph"/>
              <w:spacing w:line="180" w:lineRule="exact"/>
              <w:ind w:right="48"/>
              <w:rPr>
                <w:sz w:val="16"/>
              </w:rPr>
            </w:pPr>
            <w:r>
              <w:rPr>
                <w:w w:val="85"/>
                <w:sz w:val="16"/>
              </w:rPr>
              <w:t>públicos</w:t>
            </w:r>
          </w:p>
        </w:tc>
      </w:tr>
      <w:tr>
        <w:trPr>
          <w:trHeight w:val="229" w:hRule="exact"/>
        </w:trPr>
        <w:tc>
          <w:tcPr>
            <w:tcW w:w="1016" w:type="dxa"/>
            <w:tcBorders>
              <w:top w:val="double" w:sz="3" w:space="0" w:color="000000"/>
              <w:left w:val="nil"/>
              <w:bottom w:val="nil"/>
              <w:right w:val="nil"/>
            </w:tcBorders>
          </w:tcPr>
          <w:p>
            <w:pPr>
              <w:pStyle w:val="TableParagraph"/>
              <w:spacing w:before="21"/>
              <w:ind w:left="51"/>
              <w:jc w:val="left"/>
              <w:rPr>
                <w:sz w:val="16"/>
              </w:rPr>
            </w:pPr>
            <w:r>
              <w:rPr>
                <w:sz w:val="16"/>
              </w:rPr>
              <w:t>Nacional</w:t>
            </w:r>
          </w:p>
        </w:tc>
        <w:tc>
          <w:tcPr>
            <w:tcW w:w="865" w:type="dxa"/>
            <w:tcBorders>
              <w:top w:val="double" w:sz="3" w:space="0" w:color="000000"/>
              <w:left w:val="nil"/>
              <w:bottom w:val="nil"/>
              <w:right w:val="nil"/>
            </w:tcBorders>
          </w:tcPr>
          <w:p>
            <w:pPr>
              <w:pStyle w:val="TableParagraph"/>
              <w:spacing w:before="21"/>
              <w:ind w:right="49"/>
              <w:rPr>
                <w:sz w:val="16"/>
              </w:rPr>
            </w:pPr>
            <w:r>
              <w:rPr>
                <w:w w:val="95"/>
                <w:sz w:val="16"/>
              </w:rPr>
              <w:t>268 740 740</w:t>
            </w:r>
          </w:p>
        </w:tc>
        <w:tc>
          <w:tcPr>
            <w:tcW w:w="1007" w:type="dxa"/>
            <w:tcBorders>
              <w:top w:val="double" w:sz="3" w:space="0" w:color="000000"/>
              <w:left w:val="nil"/>
              <w:bottom w:val="nil"/>
              <w:right w:val="nil"/>
            </w:tcBorders>
          </w:tcPr>
          <w:p>
            <w:pPr>
              <w:pStyle w:val="TableParagraph"/>
              <w:spacing w:before="21"/>
              <w:ind w:right="57"/>
              <w:rPr>
                <w:sz w:val="16"/>
              </w:rPr>
            </w:pPr>
            <w:r>
              <w:rPr>
                <w:w w:val="95"/>
                <w:sz w:val="16"/>
              </w:rPr>
              <w:t>12 504 744 198</w:t>
            </w:r>
          </w:p>
        </w:tc>
        <w:tc>
          <w:tcPr>
            <w:tcW w:w="588" w:type="dxa"/>
            <w:tcBorders>
              <w:top w:val="double" w:sz="3" w:space="0" w:color="000000"/>
              <w:left w:val="nil"/>
              <w:bottom w:val="nil"/>
              <w:right w:val="nil"/>
            </w:tcBorders>
          </w:tcPr>
          <w:p>
            <w:pPr>
              <w:pStyle w:val="TableParagraph"/>
              <w:spacing w:before="21"/>
              <w:ind w:right="48"/>
              <w:rPr>
                <w:sz w:val="16"/>
              </w:rPr>
            </w:pPr>
            <w:r>
              <w:rPr>
                <w:w w:val="85"/>
                <w:sz w:val="16"/>
              </w:rPr>
              <w:t>2.15</w:t>
            </w:r>
          </w:p>
        </w:tc>
        <w:tc>
          <w:tcPr>
            <w:tcW w:w="820" w:type="dxa"/>
            <w:tcBorders>
              <w:top w:val="double" w:sz="3" w:space="0" w:color="000000"/>
              <w:left w:val="nil"/>
              <w:bottom w:val="nil"/>
              <w:right w:val="nil"/>
            </w:tcBorders>
          </w:tcPr>
          <w:p>
            <w:pPr>
              <w:pStyle w:val="TableParagraph"/>
              <w:spacing w:before="21"/>
              <w:ind w:right="49"/>
              <w:rPr>
                <w:sz w:val="16"/>
              </w:rPr>
            </w:pPr>
            <w:r>
              <w:rPr>
                <w:w w:val="95"/>
                <w:sz w:val="16"/>
              </w:rPr>
              <w:t>439 243 865</w:t>
            </w:r>
          </w:p>
        </w:tc>
        <w:tc>
          <w:tcPr>
            <w:tcW w:w="597" w:type="dxa"/>
            <w:tcBorders>
              <w:top w:val="double" w:sz="3" w:space="0" w:color="000000"/>
              <w:left w:val="nil"/>
              <w:bottom w:val="nil"/>
              <w:right w:val="nil"/>
            </w:tcBorders>
          </w:tcPr>
          <w:p>
            <w:pPr>
              <w:pStyle w:val="TableParagraph"/>
              <w:spacing w:before="21"/>
              <w:ind w:right="50"/>
              <w:rPr>
                <w:sz w:val="16"/>
              </w:rPr>
            </w:pPr>
            <w:r>
              <w:rPr>
                <w:w w:val="85"/>
                <w:sz w:val="16"/>
              </w:rPr>
              <w:t>61.2</w:t>
            </w:r>
          </w:p>
        </w:tc>
        <w:tc>
          <w:tcPr>
            <w:tcW w:w="949" w:type="dxa"/>
            <w:tcBorders>
              <w:top w:val="double" w:sz="3" w:space="0" w:color="000000"/>
              <w:left w:val="nil"/>
              <w:bottom w:val="nil"/>
              <w:right w:val="nil"/>
            </w:tcBorders>
          </w:tcPr>
          <w:p>
            <w:pPr>
              <w:pStyle w:val="TableParagraph"/>
              <w:spacing w:before="21"/>
              <w:ind w:right="70"/>
              <w:rPr>
                <w:sz w:val="16"/>
              </w:rPr>
            </w:pPr>
            <w:r>
              <w:rPr>
                <w:w w:val="95"/>
                <w:sz w:val="16"/>
              </w:rPr>
              <w:t>1 225 892 296</w:t>
            </w:r>
          </w:p>
        </w:tc>
        <w:tc>
          <w:tcPr>
            <w:tcW w:w="610" w:type="dxa"/>
            <w:tcBorders>
              <w:top w:val="double" w:sz="3" w:space="0" w:color="000000"/>
              <w:left w:val="nil"/>
              <w:bottom w:val="nil"/>
              <w:right w:val="nil"/>
            </w:tcBorders>
          </w:tcPr>
          <w:p>
            <w:pPr>
              <w:pStyle w:val="TableParagraph"/>
              <w:spacing w:before="21"/>
              <w:ind w:right="49"/>
              <w:rPr>
                <w:sz w:val="16"/>
              </w:rPr>
            </w:pPr>
            <w:r>
              <w:rPr>
                <w:w w:val="85"/>
                <w:sz w:val="16"/>
              </w:rPr>
              <w:t>21.9</w:t>
            </w:r>
          </w:p>
        </w:tc>
      </w:tr>
      <w:tr>
        <w:trPr>
          <w:trHeight w:val="235" w:hRule="exact"/>
        </w:trPr>
        <w:tc>
          <w:tcPr>
            <w:tcW w:w="1016" w:type="dxa"/>
            <w:tcBorders>
              <w:top w:val="nil"/>
              <w:left w:val="nil"/>
              <w:bottom w:val="nil"/>
              <w:right w:val="nil"/>
            </w:tcBorders>
          </w:tcPr>
          <w:p>
            <w:pPr>
              <w:pStyle w:val="TableParagraph"/>
              <w:spacing w:before="39"/>
              <w:ind w:left="51"/>
              <w:jc w:val="left"/>
              <w:rPr>
                <w:b/>
                <w:sz w:val="16"/>
              </w:rPr>
            </w:pPr>
            <w:r>
              <w:rPr>
                <w:b/>
                <w:sz w:val="16"/>
              </w:rPr>
              <w:t>Michoacán</w:t>
            </w:r>
          </w:p>
        </w:tc>
        <w:tc>
          <w:tcPr>
            <w:tcW w:w="865" w:type="dxa"/>
            <w:tcBorders>
              <w:top w:val="nil"/>
              <w:left w:val="nil"/>
              <w:bottom w:val="nil"/>
              <w:right w:val="nil"/>
            </w:tcBorders>
          </w:tcPr>
          <w:p>
            <w:pPr>
              <w:pStyle w:val="TableParagraph"/>
              <w:spacing w:before="39"/>
              <w:ind w:right="49"/>
              <w:rPr>
                <w:b/>
                <w:sz w:val="16"/>
              </w:rPr>
            </w:pPr>
            <w:r>
              <w:rPr>
                <w:b/>
                <w:w w:val="95"/>
                <w:sz w:val="16"/>
              </w:rPr>
              <w:t>27 051 707</w:t>
            </w:r>
          </w:p>
        </w:tc>
        <w:tc>
          <w:tcPr>
            <w:tcW w:w="1007" w:type="dxa"/>
            <w:tcBorders>
              <w:top w:val="nil"/>
              <w:left w:val="nil"/>
              <w:bottom w:val="nil"/>
              <w:right w:val="nil"/>
            </w:tcBorders>
          </w:tcPr>
          <w:p>
            <w:pPr>
              <w:pStyle w:val="TableParagraph"/>
              <w:spacing w:before="39"/>
              <w:ind w:right="57"/>
              <w:rPr>
                <w:b/>
                <w:sz w:val="16"/>
              </w:rPr>
            </w:pPr>
            <w:r>
              <w:rPr>
                <w:b/>
                <w:w w:val="95"/>
                <w:sz w:val="16"/>
              </w:rPr>
              <w:t>300 829 596</w:t>
            </w:r>
          </w:p>
        </w:tc>
        <w:tc>
          <w:tcPr>
            <w:tcW w:w="588" w:type="dxa"/>
            <w:tcBorders>
              <w:top w:val="nil"/>
              <w:left w:val="nil"/>
              <w:bottom w:val="nil"/>
              <w:right w:val="nil"/>
            </w:tcBorders>
          </w:tcPr>
          <w:p>
            <w:pPr>
              <w:pStyle w:val="TableParagraph"/>
              <w:spacing w:before="39"/>
              <w:ind w:right="48"/>
              <w:rPr>
                <w:b/>
                <w:sz w:val="16"/>
              </w:rPr>
            </w:pPr>
            <w:r>
              <w:rPr>
                <w:b/>
                <w:w w:val="85"/>
                <w:sz w:val="16"/>
              </w:rPr>
              <w:t>8.99</w:t>
            </w:r>
          </w:p>
        </w:tc>
        <w:tc>
          <w:tcPr>
            <w:tcW w:w="820" w:type="dxa"/>
            <w:tcBorders>
              <w:top w:val="nil"/>
              <w:left w:val="nil"/>
              <w:bottom w:val="nil"/>
              <w:right w:val="nil"/>
            </w:tcBorders>
          </w:tcPr>
          <w:p>
            <w:pPr>
              <w:pStyle w:val="TableParagraph"/>
              <w:spacing w:before="39"/>
              <w:ind w:right="49"/>
              <w:rPr>
                <w:b/>
                <w:sz w:val="16"/>
              </w:rPr>
            </w:pPr>
            <w:r>
              <w:rPr>
                <w:b/>
                <w:w w:val="95"/>
                <w:sz w:val="16"/>
              </w:rPr>
              <w:t>31 950 118</w:t>
            </w:r>
          </w:p>
        </w:tc>
        <w:tc>
          <w:tcPr>
            <w:tcW w:w="597" w:type="dxa"/>
            <w:tcBorders>
              <w:top w:val="nil"/>
              <w:left w:val="nil"/>
              <w:bottom w:val="nil"/>
              <w:right w:val="nil"/>
            </w:tcBorders>
          </w:tcPr>
          <w:p>
            <w:pPr>
              <w:pStyle w:val="TableParagraph"/>
              <w:spacing w:line="180" w:lineRule="exact"/>
              <w:ind w:right="50"/>
              <w:rPr>
                <w:b/>
                <w:sz w:val="16"/>
              </w:rPr>
            </w:pPr>
            <w:r>
              <w:rPr>
                <w:b/>
                <w:w w:val="85"/>
                <w:sz w:val="16"/>
              </w:rPr>
              <w:t>84.7</w:t>
            </w:r>
          </w:p>
        </w:tc>
        <w:tc>
          <w:tcPr>
            <w:tcW w:w="949" w:type="dxa"/>
            <w:tcBorders>
              <w:top w:val="nil"/>
              <w:left w:val="nil"/>
              <w:bottom w:val="nil"/>
              <w:right w:val="nil"/>
            </w:tcBorders>
          </w:tcPr>
          <w:p>
            <w:pPr>
              <w:pStyle w:val="TableParagraph"/>
              <w:spacing w:before="39"/>
              <w:ind w:right="70"/>
              <w:rPr>
                <w:b/>
                <w:sz w:val="16"/>
              </w:rPr>
            </w:pPr>
            <w:r>
              <w:rPr>
                <w:b/>
                <w:w w:val="95"/>
                <w:sz w:val="16"/>
              </w:rPr>
              <w:t>48 321 358</w:t>
            </w:r>
          </w:p>
        </w:tc>
        <w:tc>
          <w:tcPr>
            <w:tcW w:w="610" w:type="dxa"/>
            <w:tcBorders>
              <w:top w:val="nil"/>
              <w:left w:val="nil"/>
              <w:bottom w:val="nil"/>
              <w:right w:val="nil"/>
            </w:tcBorders>
          </w:tcPr>
          <w:p>
            <w:pPr>
              <w:pStyle w:val="TableParagraph"/>
              <w:spacing w:before="39"/>
              <w:ind w:right="49"/>
              <w:rPr>
                <w:b/>
                <w:sz w:val="16"/>
              </w:rPr>
            </w:pPr>
            <w:r>
              <w:rPr>
                <w:b/>
                <w:w w:val="85"/>
                <w:sz w:val="16"/>
              </w:rPr>
              <w:t>56.0</w:t>
            </w:r>
          </w:p>
        </w:tc>
      </w:tr>
      <w:tr>
        <w:trPr>
          <w:trHeight w:val="235" w:hRule="exact"/>
        </w:trPr>
        <w:tc>
          <w:tcPr>
            <w:tcW w:w="1016" w:type="dxa"/>
            <w:tcBorders>
              <w:top w:val="nil"/>
              <w:left w:val="nil"/>
              <w:bottom w:val="nil"/>
              <w:right w:val="nil"/>
            </w:tcBorders>
          </w:tcPr>
          <w:p>
            <w:pPr>
              <w:pStyle w:val="TableParagraph"/>
              <w:spacing w:before="39"/>
              <w:ind w:left="51"/>
              <w:jc w:val="left"/>
              <w:rPr>
                <w:sz w:val="16"/>
              </w:rPr>
            </w:pPr>
            <w:r>
              <w:rPr>
                <w:sz w:val="16"/>
              </w:rPr>
              <w:t>Guanajuato</w:t>
            </w:r>
          </w:p>
        </w:tc>
        <w:tc>
          <w:tcPr>
            <w:tcW w:w="865" w:type="dxa"/>
            <w:tcBorders>
              <w:top w:val="nil"/>
              <w:left w:val="nil"/>
              <w:bottom w:val="nil"/>
              <w:right w:val="nil"/>
            </w:tcBorders>
          </w:tcPr>
          <w:p>
            <w:pPr>
              <w:pStyle w:val="TableParagraph"/>
              <w:spacing w:before="39"/>
              <w:ind w:right="49"/>
              <w:rPr>
                <w:sz w:val="16"/>
              </w:rPr>
            </w:pPr>
            <w:r>
              <w:rPr>
                <w:w w:val="95"/>
                <w:sz w:val="16"/>
              </w:rPr>
              <w:t>24 993 644</w:t>
            </w:r>
          </w:p>
        </w:tc>
        <w:tc>
          <w:tcPr>
            <w:tcW w:w="1007" w:type="dxa"/>
            <w:tcBorders>
              <w:top w:val="nil"/>
              <w:left w:val="nil"/>
              <w:bottom w:val="nil"/>
              <w:right w:val="nil"/>
            </w:tcBorders>
          </w:tcPr>
          <w:p>
            <w:pPr>
              <w:pStyle w:val="TableParagraph"/>
              <w:spacing w:before="39"/>
              <w:ind w:right="57"/>
              <w:rPr>
                <w:sz w:val="16"/>
              </w:rPr>
            </w:pPr>
            <w:r>
              <w:rPr>
                <w:w w:val="95"/>
                <w:sz w:val="16"/>
              </w:rPr>
              <w:t>491 382 991</w:t>
            </w:r>
          </w:p>
        </w:tc>
        <w:tc>
          <w:tcPr>
            <w:tcW w:w="588" w:type="dxa"/>
            <w:tcBorders>
              <w:top w:val="nil"/>
              <w:left w:val="nil"/>
              <w:bottom w:val="nil"/>
              <w:right w:val="nil"/>
            </w:tcBorders>
          </w:tcPr>
          <w:p>
            <w:pPr>
              <w:pStyle w:val="TableParagraph"/>
              <w:spacing w:before="39"/>
              <w:ind w:right="48"/>
              <w:rPr>
                <w:sz w:val="16"/>
              </w:rPr>
            </w:pPr>
            <w:r>
              <w:rPr>
                <w:w w:val="85"/>
                <w:sz w:val="16"/>
              </w:rPr>
              <w:t>5.09</w:t>
            </w:r>
          </w:p>
        </w:tc>
        <w:tc>
          <w:tcPr>
            <w:tcW w:w="820" w:type="dxa"/>
            <w:tcBorders>
              <w:top w:val="nil"/>
              <w:left w:val="nil"/>
              <w:bottom w:val="nil"/>
              <w:right w:val="nil"/>
            </w:tcBorders>
          </w:tcPr>
          <w:p>
            <w:pPr>
              <w:pStyle w:val="TableParagraph"/>
              <w:spacing w:before="39"/>
              <w:ind w:right="49"/>
              <w:rPr>
                <w:sz w:val="16"/>
              </w:rPr>
            </w:pPr>
            <w:r>
              <w:rPr>
                <w:w w:val="95"/>
                <w:sz w:val="16"/>
              </w:rPr>
              <w:t>20 463 460</w:t>
            </w:r>
          </w:p>
        </w:tc>
        <w:tc>
          <w:tcPr>
            <w:tcW w:w="597" w:type="dxa"/>
            <w:tcBorders>
              <w:top w:val="nil"/>
              <w:left w:val="nil"/>
              <w:bottom w:val="nil"/>
              <w:right w:val="nil"/>
            </w:tcBorders>
          </w:tcPr>
          <w:p>
            <w:pPr>
              <w:pStyle w:val="TableParagraph"/>
              <w:spacing w:line="180" w:lineRule="exact"/>
              <w:ind w:right="50"/>
              <w:rPr>
                <w:sz w:val="16"/>
              </w:rPr>
            </w:pPr>
            <w:r>
              <w:rPr>
                <w:w w:val="85"/>
                <w:sz w:val="16"/>
              </w:rPr>
              <w:t>122.1</w:t>
            </w:r>
          </w:p>
        </w:tc>
        <w:tc>
          <w:tcPr>
            <w:tcW w:w="949" w:type="dxa"/>
            <w:tcBorders>
              <w:top w:val="nil"/>
              <w:left w:val="nil"/>
              <w:bottom w:val="nil"/>
              <w:right w:val="nil"/>
            </w:tcBorders>
          </w:tcPr>
          <w:p>
            <w:pPr>
              <w:pStyle w:val="TableParagraph"/>
              <w:spacing w:before="39"/>
              <w:ind w:right="70"/>
              <w:rPr>
                <w:sz w:val="16"/>
              </w:rPr>
            </w:pPr>
            <w:r>
              <w:rPr>
                <w:w w:val="95"/>
                <w:sz w:val="16"/>
              </w:rPr>
              <w:t>48 464 596</w:t>
            </w:r>
          </w:p>
        </w:tc>
        <w:tc>
          <w:tcPr>
            <w:tcW w:w="610" w:type="dxa"/>
            <w:tcBorders>
              <w:top w:val="nil"/>
              <w:left w:val="nil"/>
              <w:bottom w:val="nil"/>
              <w:right w:val="nil"/>
            </w:tcBorders>
          </w:tcPr>
          <w:p>
            <w:pPr>
              <w:pStyle w:val="TableParagraph"/>
              <w:spacing w:before="39"/>
              <w:ind w:right="49"/>
              <w:rPr>
                <w:sz w:val="16"/>
              </w:rPr>
            </w:pPr>
            <w:r>
              <w:rPr>
                <w:w w:val="85"/>
                <w:sz w:val="16"/>
              </w:rPr>
              <w:t>51.6</w:t>
            </w:r>
          </w:p>
        </w:tc>
      </w:tr>
      <w:tr>
        <w:trPr>
          <w:trHeight w:val="239" w:hRule="exact"/>
        </w:trPr>
        <w:tc>
          <w:tcPr>
            <w:tcW w:w="1016" w:type="dxa"/>
            <w:tcBorders>
              <w:top w:val="nil"/>
              <w:left w:val="nil"/>
              <w:bottom w:val="nil"/>
              <w:right w:val="nil"/>
            </w:tcBorders>
          </w:tcPr>
          <w:p>
            <w:pPr>
              <w:pStyle w:val="TableParagraph"/>
              <w:spacing w:before="43"/>
              <w:ind w:left="51"/>
              <w:jc w:val="left"/>
              <w:rPr>
                <w:sz w:val="16"/>
              </w:rPr>
            </w:pPr>
            <w:r>
              <w:rPr>
                <w:sz w:val="16"/>
              </w:rPr>
              <w:t>Jalisco</w:t>
            </w:r>
          </w:p>
        </w:tc>
        <w:tc>
          <w:tcPr>
            <w:tcW w:w="865" w:type="dxa"/>
            <w:tcBorders>
              <w:top w:val="nil"/>
              <w:left w:val="nil"/>
              <w:bottom w:val="nil"/>
              <w:right w:val="nil"/>
            </w:tcBorders>
          </w:tcPr>
          <w:p>
            <w:pPr>
              <w:pStyle w:val="TableParagraph"/>
              <w:spacing w:before="43"/>
              <w:ind w:right="49"/>
              <w:rPr>
                <w:sz w:val="16"/>
              </w:rPr>
            </w:pPr>
            <w:r>
              <w:rPr>
                <w:w w:val="95"/>
                <w:sz w:val="16"/>
              </w:rPr>
              <w:t>22 144 700</w:t>
            </w:r>
          </w:p>
        </w:tc>
        <w:tc>
          <w:tcPr>
            <w:tcW w:w="1007" w:type="dxa"/>
            <w:tcBorders>
              <w:top w:val="nil"/>
              <w:left w:val="nil"/>
              <w:bottom w:val="nil"/>
              <w:right w:val="nil"/>
            </w:tcBorders>
          </w:tcPr>
          <w:p>
            <w:pPr>
              <w:pStyle w:val="TableParagraph"/>
              <w:spacing w:before="43"/>
              <w:ind w:right="57"/>
              <w:rPr>
                <w:sz w:val="16"/>
              </w:rPr>
            </w:pPr>
            <w:r>
              <w:rPr>
                <w:w w:val="95"/>
                <w:sz w:val="16"/>
              </w:rPr>
              <w:t>787 147 048</w:t>
            </w:r>
          </w:p>
        </w:tc>
        <w:tc>
          <w:tcPr>
            <w:tcW w:w="588" w:type="dxa"/>
            <w:tcBorders>
              <w:top w:val="nil"/>
              <w:left w:val="nil"/>
              <w:bottom w:val="nil"/>
              <w:right w:val="nil"/>
            </w:tcBorders>
          </w:tcPr>
          <w:p>
            <w:pPr>
              <w:pStyle w:val="TableParagraph"/>
              <w:spacing w:before="43"/>
              <w:ind w:right="48"/>
              <w:rPr>
                <w:sz w:val="16"/>
              </w:rPr>
            </w:pPr>
            <w:r>
              <w:rPr>
                <w:w w:val="85"/>
                <w:sz w:val="16"/>
              </w:rPr>
              <w:t>2.81</w:t>
            </w:r>
          </w:p>
        </w:tc>
        <w:tc>
          <w:tcPr>
            <w:tcW w:w="820" w:type="dxa"/>
            <w:tcBorders>
              <w:top w:val="nil"/>
              <w:left w:val="nil"/>
              <w:bottom w:val="nil"/>
              <w:right w:val="nil"/>
            </w:tcBorders>
          </w:tcPr>
          <w:p>
            <w:pPr>
              <w:pStyle w:val="TableParagraph"/>
              <w:spacing w:before="43"/>
              <w:ind w:right="49"/>
              <w:rPr>
                <w:sz w:val="16"/>
              </w:rPr>
            </w:pPr>
            <w:r>
              <w:rPr>
                <w:w w:val="95"/>
                <w:sz w:val="16"/>
              </w:rPr>
              <w:t>46 374 157</w:t>
            </w:r>
          </w:p>
        </w:tc>
        <w:tc>
          <w:tcPr>
            <w:tcW w:w="597" w:type="dxa"/>
            <w:tcBorders>
              <w:top w:val="nil"/>
              <w:left w:val="nil"/>
              <w:bottom w:val="nil"/>
              <w:right w:val="nil"/>
            </w:tcBorders>
          </w:tcPr>
          <w:p>
            <w:pPr>
              <w:pStyle w:val="TableParagraph"/>
              <w:spacing w:line="180" w:lineRule="exact"/>
              <w:ind w:right="50"/>
              <w:rPr>
                <w:sz w:val="16"/>
              </w:rPr>
            </w:pPr>
            <w:r>
              <w:rPr>
                <w:w w:val="85"/>
                <w:sz w:val="16"/>
              </w:rPr>
              <w:t>47.8</w:t>
            </w:r>
          </w:p>
        </w:tc>
        <w:tc>
          <w:tcPr>
            <w:tcW w:w="949" w:type="dxa"/>
            <w:tcBorders>
              <w:top w:val="nil"/>
              <w:left w:val="nil"/>
              <w:bottom w:val="nil"/>
              <w:right w:val="nil"/>
            </w:tcBorders>
          </w:tcPr>
          <w:p>
            <w:pPr>
              <w:pStyle w:val="TableParagraph"/>
              <w:spacing w:before="43"/>
              <w:ind w:right="70"/>
              <w:rPr>
                <w:sz w:val="16"/>
              </w:rPr>
            </w:pPr>
            <w:r>
              <w:rPr>
                <w:w w:val="95"/>
                <w:sz w:val="16"/>
              </w:rPr>
              <w:t>73 161 157</w:t>
            </w:r>
          </w:p>
        </w:tc>
        <w:tc>
          <w:tcPr>
            <w:tcW w:w="610" w:type="dxa"/>
            <w:tcBorders>
              <w:top w:val="nil"/>
              <w:left w:val="nil"/>
              <w:bottom w:val="nil"/>
              <w:right w:val="nil"/>
            </w:tcBorders>
          </w:tcPr>
          <w:p>
            <w:pPr>
              <w:pStyle w:val="TableParagraph"/>
              <w:spacing w:before="43"/>
              <w:ind w:right="49"/>
              <w:rPr>
                <w:sz w:val="16"/>
              </w:rPr>
            </w:pPr>
            <w:r>
              <w:rPr>
                <w:w w:val="85"/>
                <w:sz w:val="16"/>
              </w:rPr>
              <w:t>30.3</w:t>
            </w:r>
          </w:p>
        </w:tc>
      </w:tr>
      <w:tr>
        <w:trPr>
          <w:trHeight w:val="235" w:hRule="exact"/>
        </w:trPr>
        <w:tc>
          <w:tcPr>
            <w:tcW w:w="1016" w:type="dxa"/>
            <w:tcBorders>
              <w:top w:val="nil"/>
              <w:left w:val="nil"/>
              <w:bottom w:val="nil"/>
              <w:right w:val="nil"/>
            </w:tcBorders>
          </w:tcPr>
          <w:p>
            <w:pPr>
              <w:pStyle w:val="TableParagraph"/>
              <w:spacing w:before="39"/>
              <w:ind w:left="51"/>
              <w:jc w:val="left"/>
              <w:rPr>
                <w:sz w:val="16"/>
              </w:rPr>
            </w:pPr>
            <w:r>
              <w:rPr>
                <w:sz w:val="16"/>
              </w:rPr>
              <w:t>México</w:t>
            </w:r>
          </w:p>
        </w:tc>
        <w:tc>
          <w:tcPr>
            <w:tcW w:w="865" w:type="dxa"/>
            <w:tcBorders>
              <w:top w:val="nil"/>
              <w:left w:val="nil"/>
              <w:bottom w:val="nil"/>
              <w:right w:val="nil"/>
            </w:tcBorders>
          </w:tcPr>
          <w:p>
            <w:pPr>
              <w:pStyle w:val="TableParagraph"/>
              <w:spacing w:before="39"/>
              <w:ind w:right="49"/>
              <w:rPr>
                <w:sz w:val="16"/>
              </w:rPr>
            </w:pPr>
            <w:r>
              <w:rPr>
                <w:w w:val="95"/>
                <w:sz w:val="16"/>
              </w:rPr>
              <w:t>20 657 690</w:t>
            </w:r>
          </w:p>
        </w:tc>
        <w:tc>
          <w:tcPr>
            <w:tcW w:w="1007" w:type="dxa"/>
            <w:tcBorders>
              <w:top w:val="nil"/>
              <w:left w:val="nil"/>
              <w:bottom w:val="nil"/>
              <w:right w:val="nil"/>
            </w:tcBorders>
          </w:tcPr>
          <w:p>
            <w:pPr>
              <w:pStyle w:val="TableParagraph"/>
              <w:spacing w:before="39"/>
              <w:ind w:right="57"/>
              <w:rPr>
                <w:sz w:val="16"/>
              </w:rPr>
            </w:pPr>
            <w:r>
              <w:rPr>
                <w:w w:val="95"/>
                <w:sz w:val="16"/>
              </w:rPr>
              <w:t>1 172 479 719</w:t>
            </w:r>
          </w:p>
        </w:tc>
        <w:tc>
          <w:tcPr>
            <w:tcW w:w="588" w:type="dxa"/>
            <w:tcBorders>
              <w:top w:val="nil"/>
              <w:left w:val="nil"/>
              <w:bottom w:val="nil"/>
              <w:right w:val="nil"/>
            </w:tcBorders>
          </w:tcPr>
          <w:p>
            <w:pPr>
              <w:pStyle w:val="TableParagraph"/>
              <w:spacing w:before="39"/>
              <w:ind w:right="48"/>
              <w:rPr>
                <w:sz w:val="16"/>
              </w:rPr>
            </w:pPr>
            <w:r>
              <w:rPr>
                <w:w w:val="85"/>
                <w:sz w:val="16"/>
              </w:rPr>
              <w:t>1.76</w:t>
            </w:r>
          </w:p>
        </w:tc>
        <w:tc>
          <w:tcPr>
            <w:tcW w:w="820" w:type="dxa"/>
            <w:tcBorders>
              <w:top w:val="nil"/>
              <w:left w:val="nil"/>
              <w:bottom w:val="nil"/>
              <w:right w:val="nil"/>
            </w:tcBorders>
          </w:tcPr>
          <w:p>
            <w:pPr>
              <w:pStyle w:val="TableParagraph"/>
              <w:spacing w:before="39"/>
              <w:ind w:right="49"/>
              <w:rPr>
                <w:sz w:val="16"/>
              </w:rPr>
            </w:pPr>
            <w:r>
              <w:rPr>
                <w:w w:val="95"/>
                <w:sz w:val="16"/>
              </w:rPr>
              <w:t>17 347 755</w:t>
            </w:r>
          </w:p>
        </w:tc>
        <w:tc>
          <w:tcPr>
            <w:tcW w:w="597" w:type="dxa"/>
            <w:tcBorders>
              <w:top w:val="nil"/>
              <w:left w:val="nil"/>
              <w:bottom w:val="nil"/>
              <w:right w:val="nil"/>
            </w:tcBorders>
          </w:tcPr>
          <w:p>
            <w:pPr>
              <w:pStyle w:val="TableParagraph"/>
              <w:spacing w:line="180" w:lineRule="exact"/>
              <w:ind w:right="50"/>
              <w:rPr>
                <w:sz w:val="16"/>
              </w:rPr>
            </w:pPr>
            <w:r>
              <w:rPr>
                <w:w w:val="85"/>
                <w:sz w:val="16"/>
              </w:rPr>
              <w:t>119.1</w:t>
            </w:r>
          </w:p>
        </w:tc>
        <w:tc>
          <w:tcPr>
            <w:tcW w:w="949" w:type="dxa"/>
            <w:tcBorders>
              <w:top w:val="nil"/>
              <w:left w:val="nil"/>
              <w:bottom w:val="nil"/>
              <w:right w:val="nil"/>
            </w:tcBorders>
          </w:tcPr>
          <w:p>
            <w:pPr>
              <w:pStyle w:val="TableParagraph"/>
              <w:spacing w:before="39"/>
              <w:ind w:right="70"/>
              <w:rPr>
                <w:sz w:val="16"/>
              </w:rPr>
            </w:pPr>
            <w:r>
              <w:rPr>
                <w:w w:val="95"/>
                <w:sz w:val="16"/>
              </w:rPr>
              <w:t>171 651 095</w:t>
            </w:r>
          </w:p>
        </w:tc>
        <w:tc>
          <w:tcPr>
            <w:tcW w:w="610" w:type="dxa"/>
            <w:tcBorders>
              <w:top w:val="nil"/>
              <w:left w:val="nil"/>
              <w:bottom w:val="nil"/>
              <w:right w:val="nil"/>
            </w:tcBorders>
          </w:tcPr>
          <w:p>
            <w:pPr>
              <w:pStyle w:val="TableParagraph"/>
              <w:spacing w:before="39"/>
              <w:ind w:right="49"/>
              <w:rPr>
                <w:sz w:val="16"/>
              </w:rPr>
            </w:pPr>
            <w:r>
              <w:rPr>
                <w:w w:val="85"/>
                <w:sz w:val="16"/>
              </w:rPr>
              <w:t>12.0</w:t>
            </w:r>
          </w:p>
        </w:tc>
      </w:tr>
      <w:tr>
        <w:trPr>
          <w:trHeight w:val="235" w:hRule="exact"/>
        </w:trPr>
        <w:tc>
          <w:tcPr>
            <w:tcW w:w="1016" w:type="dxa"/>
            <w:tcBorders>
              <w:top w:val="nil"/>
              <w:left w:val="nil"/>
              <w:bottom w:val="nil"/>
              <w:right w:val="nil"/>
            </w:tcBorders>
          </w:tcPr>
          <w:p>
            <w:pPr>
              <w:pStyle w:val="TableParagraph"/>
              <w:spacing w:before="39"/>
              <w:ind w:left="51"/>
              <w:jc w:val="left"/>
              <w:rPr>
                <w:b/>
                <w:sz w:val="16"/>
              </w:rPr>
            </w:pPr>
            <w:r>
              <w:rPr>
                <w:b/>
                <w:sz w:val="16"/>
              </w:rPr>
              <w:t>Puebla</w:t>
            </w:r>
          </w:p>
        </w:tc>
        <w:tc>
          <w:tcPr>
            <w:tcW w:w="865" w:type="dxa"/>
            <w:tcBorders>
              <w:top w:val="nil"/>
              <w:left w:val="nil"/>
              <w:bottom w:val="nil"/>
              <w:right w:val="nil"/>
            </w:tcBorders>
          </w:tcPr>
          <w:p>
            <w:pPr>
              <w:pStyle w:val="TableParagraph"/>
              <w:spacing w:before="39"/>
              <w:ind w:right="49"/>
              <w:rPr>
                <w:b/>
                <w:sz w:val="16"/>
              </w:rPr>
            </w:pPr>
            <w:r>
              <w:rPr>
                <w:b/>
                <w:w w:val="95"/>
                <w:sz w:val="16"/>
              </w:rPr>
              <w:t>17 297 072</w:t>
            </w:r>
          </w:p>
        </w:tc>
        <w:tc>
          <w:tcPr>
            <w:tcW w:w="1007" w:type="dxa"/>
            <w:tcBorders>
              <w:top w:val="nil"/>
              <w:left w:val="nil"/>
              <w:bottom w:val="nil"/>
              <w:right w:val="nil"/>
            </w:tcBorders>
          </w:tcPr>
          <w:p>
            <w:pPr>
              <w:pStyle w:val="TableParagraph"/>
              <w:spacing w:before="39"/>
              <w:ind w:right="57"/>
              <w:rPr>
                <w:b/>
                <w:sz w:val="16"/>
              </w:rPr>
            </w:pPr>
            <w:r>
              <w:rPr>
                <w:b/>
                <w:w w:val="95"/>
                <w:sz w:val="16"/>
              </w:rPr>
              <w:t>423 877 988</w:t>
            </w:r>
          </w:p>
        </w:tc>
        <w:tc>
          <w:tcPr>
            <w:tcW w:w="588" w:type="dxa"/>
            <w:tcBorders>
              <w:top w:val="nil"/>
              <w:left w:val="nil"/>
              <w:bottom w:val="nil"/>
              <w:right w:val="nil"/>
            </w:tcBorders>
          </w:tcPr>
          <w:p>
            <w:pPr>
              <w:pStyle w:val="TableParagraph"/>
              <w:spacing w:before="39"/>
              <w:ind w:right="48"/>
              <w:rPr>
                <w:b/>
                <w:sz w:val="16"/>
              </w:rPr>
            </w:pPr>
            <w:r>
              <w:rPr>
                <w:b/>
                <w:w w:val="85"/>
                <w:sz w:val="16"/>
              </w:rPr>
              <w:t>4.08</w:t>
            </w:r>
          </w:p>
        </w:tc>
        <w:tc>
          <w:tcPr>
            <w:tcW w:w="820" w:type="dxa"/>
            <w:tcBorders>
              <w:top w:val="nil"/>
              <w:left w:val="nil"/>
              <w:bottom w:val="nil"/>
              <w:right w:val="nil"/>
            </w:tcBorders>
          </w:tcPr>
          <w:p>
            <w:pPr>
              <w:pStyle w:val="TableParagraph"/>
              <w:spacing w:before="39"/>
              <w:ind w:right="49"/>
              <w:rPr>
                <w:b/>
                <w:sz w:val="16"/>
              </w:rPr>
            </w:pPr>
            <w:r>
              <w:rPr>
                <w:b/>
                <w:w w:val="95"/>
                <w:sz w:val="16"/>
              </w:rPr>
              <w:t>19 586 169</w:t>
            </w:r>
          </w:p>
        </w:tc>
        <w:tc>
          <w:tcPr>
            <w:tcW w:w="597" w:type="dxa"/>
            <w:tcBorders>
              <w:top w:val="nil"/>
              <w:left w:val="nil"/>
              <w:bottom w:val="nil"/>
              <w:right w:val="nil"/>
            </w:tcBorders>
          </w:tcPr>
          <w:p>
            <w:pPr>
              <w:pStyle w:val="TableParagraph"/>
              <w:spacing w:line="180" w:lineRule="exact"/>
              <w:ind w:right="50"/>
              <w:rPr>
                <w:b/>
                <w:sz w:val="16"/>
              </w:rPr>
            </w:pPr>
            <w:r>
              <w:rPr>
                <w:b/>
                <w:w w:val="85"/>
                <w:sz w:val="16"/>
              </w:rPr>
              <w:t>88.3</w:t>
            </w:r>
          </w:p>
        </w:tc>
        <w:tc>
          <w:tcPr>
            <w:tcW w:w="949" w:type="dxa"/>
            <w:tcBorders>
              <w:top w:val="nil"/>
              <w:left w:val="nil"/>
              <w:bottom w:val="nil"/>
              <w:right w:val="nil"/>
            </w:tcBorders>
          </w:tcPr>
          <w:p>
            <w:pPr>
              <w:pStyle w:val="TableParagraph"/>
              <w:spacing w:before="39"/>
              <w:ind w:right="70"/>
              <w:rPr>
                <w:b/>
                <w:sz w:val="16"/>
              </w:rPr>
            </w:pPr>
            <w:r>
              <w:rPr>
                <w:b/>
                <w:w w:val="95"/>
                <w:sz w:val="16"/>
              </w:rPr>
              <w:t>54 491 394</w:t>
            </w:r>
          </w:p>
        </w:tc>
        <w:tc>
          <w:tcPr>
            <w:tcW w:w="610" w:type="dxa"/>
            <w:tcBorders>
              <w:top w:val="nil"/>
              <w:left w:val="nil"/>
              <w:bottom w:val="nil"/>
              <w:right w:val="nil"/>
            </w:tcBorders>
          </w:tcPr>
          <w:p>
            <w:pPr>
              <w:pStyle w:val="TableParagraph"/>
              <w:spacing w:before="39"/>
              <w:ind w:right="49"/>
              <w:rPr>
                <w:b/>
                <w:sz w:val="16"/>
              </w:rPr>
            </w:pPr>
            <w:r>
              <w:rPr>
                <w:b/>
                <w:w w:val="85"/>
                <w:sz w:val="16"/>
              </w:rPr>
              <w:t>31.7</w:t>
            </w:r>
          </w:p>
        </w:tc>
      </w:tr>
      <w:tr>
        <w:trPr>
          <w:trHeight w:val="235" w:hRule="exact"/>
        </w:trPr>
        <w:tc>
          <w:tcPr>
            <w:tcW w:w="1016" w:type="dxa"/>
            <w:tcBorders>
              <w:top w:val="nil"/>
              <w:left w:val="nil"/>
              <w:bottom w:val="nil"/>
              <w:right w:val="nil"/>
            </w:tcBorders>
          </w:tcPr>
          <w:p>
            <w:pPr>
              <w:pStyle w:val="TableParagraph"/>
              <w:spacing w:before="39"/>
              <w:ind w:left="51"/>
              <w:jc w:val="left"/>
              <w:rPr>
                <w:b/>
                <w:sz w:val="16"/>
              </w:rPr>
            </w:pPr>
            <w:r>
              <w:rPr>
                <w:b/>
                <w:sz w:val="16"/>
              </w:rPr>
              <w:t>Oaxaca</w:t>
            </w:r>
          </w:p>
        </w:tc>
        <w:tc>
          <w:tcPr>
            <w:tcW w:w="865" w:type="dxa"/>
            <w:tcBorders>
              <w:top w:val="nil"/>
              <w:left w:val="nil"/>
              <w:bottom w:val="nil"/>
              <w:right w:val="nil"/>
            </w:tcBorders>
          </w:tcPr>
          <w:p>
            <w:pPr>
              <w:pStyle w:val="TableParagraph"/>
              <w:spacing w:before="39"/>
              <w:ind w:right="49"/>
              <w:rPr>
                <w:b/>
                <w:sz w:val="16"/>
              </w:rPr>
            </w:pPr>
            <w:r>
              <w:rPr>
                <w:b/>
                <w:w w:val="95"/>
                <w:sz w:val="16"/>
              </w:rPr>
              <w:t>16 355 847</w:t>
            </w:r>
          </w:p>
        </w:tc>
        <w:tc>
          <w:tcPr>
            <w:tcW w:w="1007" w:type="dxa"/>
            <w:tcBorders>
              <w:top w:val="nil"/>
              <w:left w:val="nil"/>
              <w:bottom w:val="nil"/>
              <w:right w:val="nil"/>
            </w:tcBorders>
          </w:tcPr>
          <w:p>
            <w:pPr>
              <w:pStyle w:val="TableParagraph"/>
              <w:spacing w:before="39"/>
              <w:ind w:right="57"/>
              <w:rPr>
                <w:b/>
                <w:sz w:val="16"/>
              </w:rPr>
            </w:pPr>
            <w:r>
              <w:rPr>
                <w:b/>
                <w:w w:val="95"/>
                <w:sz w:val="16"/>
              </w:rPr>
              <w:t>194 208 592</w:t>
            </w:r>
          </w:p>
        </w:tc>
        <w:tc>
          <w:tcPr>
            <w:tcW w:w="588" w:type="dxa"/>
            <w:tcBorders>
              <w:top w:val="nil"/>
              <w:left w:val="nil"/>
              <w:bottom w:val="nil"/>
              <w:right w:val="nil"/>
            </w:tcBorders>
          </w:tcPr>
          <w:p>
            <w:pPr>
              <w:pStyle w:val="TableParagraph"/>
              <w:spacing w:before="39"/>
              <w:ind w:right="48"/>
              <w:rPr>
                <w:b/>
                <w:sz w:val="16"/>
              </w:rPr>
            </w:pPr>
            <w:r>
              <w:rPr>
                <w:b/>
                <w:w w:val="85"/>
                <w:sz w:val="16"/>
              </w:rPr>
              <w:t>8.42</w:t>
            </w:r>
          </w:p>
        </w:tc>
        <w:tc>
          <w:tcPr>
            <w:tcW w:w="820" w:type="dxa"/>
            <w:tcBorders>
              <w:top w:val="nil"/>
              <w:left w:val="nil"/>
              <w:bottom w:val="nil"/>
              <w:right w:val="nil"/>
            </w:tcBorders>
          </w:tcPr>
          <w:p>
            <w:pPr>
              <w:pStyle w:val="TableParagraph"/>
              <w:spacing w:before="39"/>
              <w:ind w:right="49"/>
              <w:rPr>
                <w:b/>
                <w:sz w:val="16"/>
              </w:rPr>
            </w:pPr>
            <w:r>
              <w:rPr>
                <w:b/>
                <w:w w:val="95"/>
                <w:sz w:val="16"/>
              </w:rPr>
              <w:t>13 113 062</w:t>
            </w:r>
          </w:p>
        </w:tc>
        <w:tc>
          <w:tcPr>
            <w:tcW w:w="597" w:type="dxa"/>
            <w:tcBorders>
              <w:top w:val="nil"/>
              <w:left w:val="nil"/>
              <w:bottom w:val="nil"/>
              <w:right w:val="nil"/>
            </w:tcBorders>
          </w:tcPr>
          <w:p>
            <w:pPr>
              <w:pStyle w:val="TableParagraph"/>
              <w:spacing w:line="180" w:lineRule="exact"/>
              <w:ind w:right="50"/>
              <w:rPr>
                <w:b/>
                <w:sz w:val="16"/>
              </w:rPr>
            </w:pPr>
            <w:r>
              <w:rPr>
                <w:b/>
                <w:w w:val="85"/>
                <w:sz w:val="16"/>
              </w:rPr>
              <w:t>124.7</w:t>
            </w:r>
          </w:p>
        </w:tc>
        <w:tc>
          <w:tcPr>
            <w:tcW w:w="949" w:type="dxa"/>
            <w:tcBorders>
              <w:top w:val="nil"/>
              <w:left w:val="nil"/>
              <w:bottom w:val="nil"/>
              <w:right w:val="nil"/>
            </w:tcBorders>
          </w:tcPr>
          <w:p>
            <w:pPr>
              <w:pStyle w:val="TableParagraph"/>
              <w:spacing w:before="39"/>
              <w:ind w:right="70"/>
              <w:rPr>
                <w:b/>
                <w:sz w:val="16"/>
              </w:rPr>
            </w:pPr>
            <w:r>
              <w:rPr>
                <w:b/>
                <w:w w:val="95"/>
                <w:sz w:val="16"/>
              </w:rPr>
              <w:t>51 711 486</w:t>
            </w:r>
          </w:p>
        </w:tc>
        <w:tc>
          <w:tcPr>
            <w:tcW w:w="610" w:type="dxa"/>
            <w:tcBorders>
              <w:top w:val="nil"/>
              <w:left w:val="nil"/>
              <w:bottom w:val="nil"/>
              <w:right w:val="nil"/>
            </w:tcBorders>
          </w:tcPr>
          <w:p>
            <w:pPr>
              <w:pStyle w:val="TableParagraph"/>
              <w:spacing w:before="39"/>
              <w:ind w:right="49"/>
              <w:rPr>
                <w:b/>
                <w:sz w:val="16"/>
              </w:rPr>
            </w:pPr>
            <w:r>
              <w:rPr>
                <w:b/>
                <w:w w:val="85"/>
                <w:sz w:val="16"/>
              </w:rPr>
              <w:t>31.6</w:t>
            </w:r>
          </w:p>
        </w:tc>
      </w:tr>
      <w:tr>
        <w:trPr>
          <w:trHeight w:val="235" w:hRule="exact"/>
        </w:trPr>
        <w:tc>
          <w:tcPr>
            <w:tcW w:w="1016" w:type="dxa"/>
            <w:tcBorders>
              <w:top w:val="nil"/>
              <w:left w:val="nil"/>
              <w:bottom w:val="nil"/>
              <w:right w:val="nil"/>
            </w:tcBorders>
          </w:tcPr>
          <w:p>
            <w:pPr>
              <w:pStyle w:val="TableParagraph"/>
              <w:spacing w:before="39"/>
              <w:ind w:left="51"/>
              <w:jc w:val="left"/>
              <w:rPr>
                <w:b/>
                <w:sz w:val="16"/>
              </w:rPr>
            </w:pPr>
            <w:r>
              <w:rPr>
                <w:b/>
                <w:sz w:val="16"/>
              </w:rPr>
              <w:t>Veracruz</w:t>
            </w:r>
          </w:p>
        </w:tc>
        <w:tc>
          <w:tcPr>
            <w:tcW w:w="865" w:type="dxa"/>
            <w:tcBorders>
              <w:top w:val="nil"/>
              <w:left w:val="nil"/>
              <w:bottom w:val="nil"/>
              <w:right w:val="nil"/>
            </w:tcBorders>
          </w:tcPr>
          <w:p>
            <w:pPr>
              <w:pStyle w:val="TableParagraph"/>
              <w:spacing w:before="39"/>
              <w:ind w:right="49"/>
              <w:rPr>
                <w:b/>
                <w:sz w:val="16"/>
              </w:rPr>
            </w:pPr>
            <w:r>
              <w:rPr>
                <w:b/>
                <w:w w:val="95"/>
                <w:sz w:val="16"/>
              </w:rPr>
              <w:t>15 610 447</w:t>
            </w:r>
          </w:p>
        </w:tc>
        <w:tc>
          <w:tcPr>
            <w:tcW w:w="1007" w:type="dxa"/>
            <w:tcBorders>
              <w:top w:val="nil"/>
              <w:left w:val="nil"/>
              <w:bottom w:val="nil"/>
              <w:right w:val="nil"/>
            </w:tcBorders>
          </w:tcPr>
          <w:p>
            <w:pPr>
              <w:pStyle w:val="TableParagraph"/>
              <w:spacing w:before="39"/>
              <w:ind w:right="57"/>
              <w:rPr>
                <w:b/>
                <w:sz w:val="16"/>
              </w:rPr>
            </w:pPr>
            <w:r>
              <w:rPr>
                <w:b/>
                <w:w w:val="95"/>
                <w:sz w:val="16"/>
              </w:rPr>
              <w:t>590 287 903</w:t>
            </w:r>
          </w:p>
        </w:tc>
        <w:tc>
          <w:tcPr>
            <w:tcW w:w="588" w:type="dxa"/>
            <w:tcBorders>
              <w:top w:val="nil"/>
              <w:left w:val="nil"/>
              <w:bottom w:val="nil"/>
              <w:right w:val="nil"/>
            </w:tcBorders>
          </w:tcPr>
          <w:p>
            <w:pPr>
              <w:pStyle w:val="TableParagraph"/>
              <w:spacing w:before="39"/>
              <w:ind w:right="48"/>
              <w:rPr>
                <w:b/>
                <w:sz w:val="16"/>
              </w:rPr>
            </w:pPr>
            <w:r>
              <w:rPr>
                <w:b/>
                <w:w w:val="85"/>
                <w:sz w:val="16"/>
              </w:rPr>
              <w:t>2.64</w:t>
            </w:r>
          </w:p>
        </w:tc>
        <w:tc>
          <w:tcPr>
            <w:tcW w:w="820" w:type="dxa"/>
            <w:tcBorders>
              <w:top w:val="nil"/>
              <w:left w:val="nil"/>
              <w:bottom w:val="nil"/>
              <w:right w:val="nil"/>
            </w:tcBorders>
          </w:tcPr>
          <w:p>
            <w:pPr>
              <w:pStyle w:val="TableParagraph"/>
              <w:spacing w:before="39"/>
              <w:ind w:right="49"/>
              <w:rPr>
                <w:b/>
                <w:sz w:val="16"/>
              </w:rPr>
            </w:pPr>
            <w:r>
              <w:rPr>
                <w:b/>
                <w:w w:val="95"/>
                <w:sz w:val="16"/>
              </w:rPr>
              <w:t>36 002 473</w:t>
            </w:r>
          </w:p>
        </w:tc>
        <w:tc>
          <w:tcPr>
            <w:tcW w:w="597" w:type="dxa"/>
            <w:tcBorders>
              <w:top w:val="nil"/>
              <w:left w:val="nil"/>
              <w:bottom w:val="nil"/>
              <w:right w:val="nil"/>
            </w:tcBorders>
          </w:tcPr>
          <w:p>
            <w:pPr>
              <w:pStyle w:val="TableParagraph"/>
              <w:spacing w:line="180" w:lineRule="exact"/>
              <w:ind w:right="50"/>
              <w:rPr>
                <w:b/>
                <w:sz w:val="16"/>
              </w:rPr>
            </w:pPr>
            <w:r>
              <w:rPr>
                <w:b/>
                <w:w w:val="85"/>
                <w:sz w:val="16"/>
              </w:rPr>
              <w:t>43.4</w:t>
            </w:r>
          </w:p>
        </w:tc>
        <w:tc>
          <w:tcPr>
            <w:tcW w:w="949" w:type="dxa"/>
            <w:tcBorders>
              <w:top w:val="nil"/>
              <w:left w:val="nil"/>
              <w:bottom w:val="nil"/>
              <w:right w:val="nil"/>
            </w:tcBorders>
          </w:tcPr>
          <w:p>
            <w:pPr>
              <w:pStyle w:val="TableParagraph"/>
              <w:spacing w:before="39"/>
              <w:ind w:right="70"/>
              <w:rPr>
                <w:b/>
                <w:sz w:val="16"/>
              </w:rPr>
            </w:pPr>
            <w:r>
              <w:rPr>
                <w:b/>
                <w:w w:val="95"/>
                <w:sz w:val="16"/>
              </w:rPr>
              <w:t>98 322 229</w:t>
            </w:r>
          </w:p>
        </w:tc>
        <w:tc>
          <w:tcPr>
            <w:tcW w:w="610" w:type="dxa"/>
            <w:tcBorders>
              <w:top w:val="nil"/>
              <w:left w:val="nil"/>
              <w:bottom w:val="nil"/>
              <w:right w:val="nil"/>
            </w:tcBorders>
          </w:tcPr>
          <w:p>
            <w:pPr>
              <w:pStyle w:val="TableParagraph"/>
              <w:spacing w:before="39"/>
              <w:ind w:right="49"/>
              <w:rPr>
                <w:b/>
                <w:sz w:val="16"/>
              </w:rPr>
            </w:pPr>
            <w:r>
              <w:rPr>
                <w:b/>
                <w:w w:val="85"/>
                <w:sz w:val="16"/>
              </w:rPr>
              <w:t>15.9</w:t>
            </w:r>
          </w:p>
        </w:tc>
      </w:tr>
      <w:tr>
        <w:trPr>
          <w:trHeight w:val="235" w:hRule="exact"/>
        </w:trPr>
        <w:tc>
          <w:tcPr>
            <w:tcW w:w="1016" w:type="dxa"/>
            <w:tcBorders>
              <w:top w:val="nil"/>
              <w:left w:val="nil"/>
              <w:bottom w:val="nil"/>
              <w:right w:val="nil"/>
            </w:tcBorders>
          </w:tcPr>
          <w:p>
            <w:pPr>
              <w:pStyle w:val="TableParagraph"/>
              <w:spacing w:before="39"/>
              <w:ind w:left="51"/>
              <w:jc w:val="left"/>
              <w:rPr>
                <w:b/>
                <w:sz w:val="16"/>
              </w:rPr>
            </w:pPr>
            <w:r>
              <w:rPr>
                <w:b/>
                <w:sz w:val="16"/>
              </w:rPr>
              <w:t>Guerrero</w:t>
            </w:r>
          </w:p>
        </w:tc>
        <w:tc>
          <w:tcPr>
            <w:tcW w:w="865" w:type="dxa"/>
            <w:tcBorders>
              <w:top w:val="nil"/>
              <w:left w:val="nil"/>
              <w:bottom w:val="nil"/>
              <w:right w:val="nil"/>
            </w:tcBorders>
          </w:tcPr>
          <w:p>
            <w:pPr>
              <w:pStyle w:val="TableParagraph"/>
              <w:spacing w:before="39"/>
              <w:ind w:right="49"/>
              <w:rPr>
                <w:b/>
                <w:sz w:val="16"/>
              </w:rPr>
            </w:pPr>
            <w:r>
              <w:rPr>
                <w:b/>
                <w:w w:val="95"/>
                <w:sz w:val="16"/>
              </w:rPr>
              <w:t>15 155 626</w:t>
            </w:r>
          </w:p>
        </w:tc>
        <w:tc>
          <w:tcPr>
            <w:tcW w:w="1007" w:type="dxa"/>
            <w:tcBorders>
              <w:top w:val="nil"/>
              <w:left w:val="nil"/>
              <w:bottom w:val="nil"/>
              <w:right w:val="nil"/>
            </w:tcBorders>
          </w:tcPr>
          <w:p>
            <w:pPr>
              <w:pStyle w:val="TableParagraph"/>
              <w:spacing w:before="39"/>
              <w:ind w:right="57"/>
              <w:rPr>
                <w:b/>
                <w:sz w:val="16"/>
              </w:rPr>
            </w:pPr>
            <w:r>
              <w:rPr>
                <w:b/>
                <w:w w:val="95"/>
                <w:sz w:val="16"/>
              </w:rPr>
              <w:t>186 026 285</w:t>
            </w:r>
          </w:p>
        </w:tc>
        <w:tc>
          <w:tcPr>
            <w:tcW w:w="588" w:type="dxa"/>
            <w:tcBorders>
              <w:top w:val="nil"/>
              <w:left w:val="nil"/>
              <w:bottom w:val="nil"/>
              <w:right w:val="nil"/>
            </w:tcBorders>
          </w:tcPr>
          <w:p>
            <w:pPr>
              <w:pStyle w:val="TableParagraph"/>
              <w:spacing w:before="39"/>
              <w:ind w:right="48"/>
              <w:rPr>
                <w:b/>
                <w:sz w:val="16"/>
              </w:rPr>
            </w:pPr>
            <w:r>
              <w:rPr>
                <w:b/>
                <w:w w:val="85"/>
                <w:sz w:val="16"/>
              </w:rPr>
              <w:t>8.15</w:t>
            </w:r>
          </w:p>
        </w:tc>
        <w:tc>
          <w:tcPr>
            <w:tcW w:w="820" w:type="dxa"/>
            <w:tcBorders>
              <w:top w:val="nil"/>
              <w:left w:val="nil"/>
              <w:bottom w:val="nil"/>
              <w:right w:val="nil"/>
            </w:tcBorders>
          </w:tcPr>
          <w:p>
            <w:pPr>
              <w:pStyle w:val="TableParagraph"/>
              <w:spacing w:before="39"/>
              <w:ind w:right="49"/>
              <w:rPr>
                <w:b/>
                <w:sz w:val="16"/>
              </w:rPr>
            </w:pPr>
            <w:r>
              <w:rPr>
                <w:b/>
                <w:w w:val="95"/>
                <w:sz w:val="16"/>
              </w:rPr>
              <w:t>10 642 288</w:t>
            </w:r>
          </w:p>
        </w:tc>
        <w:tc>
          <w:tcPr>
            <w:tcW w:w="597" w:type="dxa"/>
            <w:tcBorders>
              <w:top w:val="nil"/>
              <w:left w:val="nil"/>
              <w:bottom w:val="nil"/>
              <w:right w:val="nil"/>
            </w:tcBorders>
          </w:tcPr>
          <w:p>
            <w:pPr>
              <w:pStyle w:val="TableParagraph"/>
              <w:spacing w:line="180" w:lineRule="exact"/>
              <w:ind w:right="50"/>
              <w:rPr>
                <w:b/>
                <w:sz w:val="16"/>
              </w:rPr>
            </w:pPr>
            <w:r>
              <w:rPr>
                <w:b/>
                <w:w w:val="85"/>
                <w:sz w:val="16"/>
              </w:rPr>
              <w:t>142.4</w:t>
            </w:r>
          </w:p>
        </w:tc>
        <w:tc>
          <w:tcPr>
            <w:tcW w:w="949" w:type="dxa"/>
            <w:tcBorders>
              <w:top w:val="nil"/>
              <w:left w:val="nil"/>
              <w:bottom w:val="nil"/>
              <w:right w:val="nil"/>
            </w:tcBorders>
          </w:tcPr>
          <w:p>
            <w:pPr>
              <w:pStyle w:val="TableParagraph"/>
              <w:spacing w:before="39"/>
              <w:ind w:right="70"/>
              <w:rPr>
                <w:b/>
                <w:sz w:val="16"/>
              </w:rPr>
            </w:pPr>
            <w:r>
              <w:rPr>
                <w:b/>
                <w:w w:val="95"/>
                <w:sz w:val="16"/>
              </w:rPr>
              <w:t>39 798 484</w:t>
            </w:r>
          </w:p>
        </w:tc>
        <w:tc>
          <w:tcPr>
            <w:tcW w:w="610" w:type="dxa"/>
            <w:tcBorders>
              <w:top w:val="nil"/>
              <w:left w:val="nil"/>
              <w:bottom w:val="nil"/>
              <w:right w:val="nil"/>
            </w:tcBorders>
          </w:tcPr>
          <w:p>
            <w:pPr>
              <w:pStyle w:val="TableParagraph"/>
              <w:spacing w:before="39"/>
              <w:ind w:right="49"/>
              <w:rPr>
                <w:b/>
                <w:sz w:val="16"/>
              </w:rPr>
            </w:pPr>
            <w:r>
              <w:rPr>
                <w:b/>
                <w:w w:val="85"/>
                <w:sz w:val="16"/>
              </w:rPr>
              <w:t>38.1</w:t>
            </w:r>
          </w:p>
        </w:tc>
      </w:tr>
      <w:tr>
        <w:trPr>
          <w:trHeight w:val="239" w:hRule="exact"/>
        </w:trPr>
        <w:tc>
          <w:tcPr>
            <w:tcW w:w="1016" w:type="dxa"/>
            <w:tcBorders>
              <w:top w:val="nil"/>
              <w:left w:val="nil"/>
              <w:bottom w:val="nil"/>
              <w:right w:val="nil"/>
            </w:tcBorders>
          </w:tcPr>
          <w:p>
            <w:pPr>
              <w:pStyle w:val="TableParagraph"/>
              <w:spacing w:line="180" w:lineRule="exact"/>
              <w:ind w:left="51"/>
              <w:jc w:val="left"/>
              <w:rPr>
                <w:sz w:val="16"/>
              </w:rPr>
            </w:pPr>
            <w:r>
              <w:rPr>
                <w:sz w:val="16"/>
              </w:rPr>
              <w:t>Distrito</w:t>
            </w:r>
          </w:p>
        </w:tc>
        <w:tc>
          <w:tcPr>
            <w:tcW w:w="865" w:type="dxa"/>
            <w:tcBorders>
              <w:top w:val="nil"/>
              <w:left w:val="nil"/>
              <w:bottom w:val="nil"/>
              <w:right w:val="nil"/>
            </w:tcBorders>
          </w:tcPr>
          <w:p>
            <w:pPr>
              <w:pStyle w:val="TableParagraph"/>
              <w:spacing w:before="43"/>
              <w:ind w:right="49"/>
              <w:rPr>
                <w:sz w:val="16"/>
              </w:rPr>
            </w:pPr>
            <w:r>
              <w:rPr>
                <w:w w:val="95"/>
                <w:sz w:val="16"/>
              </w:rPr>
              <w:t>12 604 842</w:t>
            </w:r>
          </w:p>
        </w:tc>
        <w:tc>
          <w:tcPr>
            <w:tcW w:w="1007" w:type="dxa"/>
            <w:tcBorders>
              <w:top w:val="nil"/>
              <w:left w:val="nil"/>
              <w:bottom w:val="nil"/>
              <w:right w:val="nil"/>
            </w:tcBorders>
          </w:tcPr>
          <w:p>
            <w:pPr>
              <w:pStyle w:val="TableParagraph"/>
              <w:spacing w:before="43"/>
              <w:ind w:right="57"/>
              <w:rPr>
                <w:sz w:val="16"/>
              </w:rPr>
            </w:pPr>
            <w:r>
              <w:rPr>
                <w:w w:val="95"/>
                <w:sz w:val="16"/>
              </w:rPr>
              <w:t>2 160 048 526</w:t>
            </w:r>
          </w:p>
        </w:tc>
        <w:tc>
          <w:tcPr>
            <w:tcW w:w="588" w:type="dxa"/>
            <w:tcBorders>
              <w:top w:val="nil"/>
              <w:left w:val="nil"/>
              <w:bottom w:val="nil"/>
              <w:right w:val="nil"/>
            </w:tcBorders>
          </w:tcPr>
          <w:p>
            <w:pPr>
              <w:pStyle w:val="TableParagraph"/>
              <w:spacing w:before="43"/>
              <w:ind w:right="48"/>
              <w:rPr>
                <w:sz w:val="16"/>
              </w:rPr>
            </w:pPr>
            <w:r>
              <w:rPr>
                <w:w w:val="85"/>
                <w:sz w:val="16"/>
              </w:rPr>
              <w:t>0.58</w:t>
            </w:r>
          </w:p>
        </w:tc>
        <w:tc>
          <w:tcPr>
            <w:tcW w:w="820" w:type="dxa"/>
            <w:tcBorders>
              <w:top w:val="nil"/>
              <w:left w:val="nil"/>
              <w:bottom w:val="nil"/>
              <w:right w:val="nil"/>
            </w:tcBorders>
          </w:tcPr>
          <w:p>
            <w:pPr>
              <w:pStyle w:val="TableParagraph"/>
              <w:spacing w:before="43"/>
              <w:ind w:right="49"/>
              <w:rPr>
                <w:sz w:val="16"/>
              </w:rPr>
            </w:pPr>
            <w:r>
              <w:rPr>
                <w:w w:val="95"/>
                <w:sz w:val="16"/>
              </w:rPr>
              <w:t>1 350 001</w:t>
            </w:r>
          </w:p>
        </w:tc>
        <w:tc>
          <w:tcPr>
            <w:tcW w:w="597" w:type="dxa"/>
            <w:tcBorders>
              <w:top w:val="nil"/>
              <w:left w:val="nil"/>
              <w:bottom w:val="nil"/>
              <w:right w:val="nil"/>
            </w:tcBorders>
          </w:tcPr>
          <w:p>
            <w:pPr>
              <w:pStyle w:val="TableParagraph"/>
              <w:spacing w:line="180" w:lineRule="exact"/>
              <w:ind w:right="50"/>
              <w:rPr>
                <w:sz w:val="16"/>
              </w:rPr>
            </w:pPr>
            <w:r>
              <w:rPr>
                <w:w w:val="85"/>
                <w:sz w:val="16"/>
              </w:rPr>
              <w:t>933.7</w:t>
            </w:r>
          </w:p>
        </w:tc>
        <w:tc>
          <w:tcPr>
            <w:tcW w:w="949" w:type="dxa"/>
            <w:tcBorders>
              <w:top w:val="nil"/>
              <w:left w:val="nil"/>
              <w:bottom w:val="nil"/>
              <w:right w:val="nil"/>
            </w:tcBorders>
          </w:tcPr>
          <w:p>
            <w:pPr>
              <w:pStyle w:val="TableParagraph"/>
              <w:spacing w:before="43"/>
              <w:ind w:right="70"/>
              <w:rPr>
                <w:sz w:val="16"/>
              </w:rPr>
            </w:pPr>
            <w:r>
              <w:rPr>
                <w:w w:val="95"/>
                <w:sz w:val="16"/>
              </w:rPr>
              <w:t>130 541 396</w:t>
            </w:r>
          </w:p>
        </w:tc>
        <w:tc>
          <w:tcPr>
            <w:tcW w:w="610" w:type="dxa"/>
            <w:tcBorders>
              <w:top w:val="nil"/>
              <w:left w:val="nil"/>
              <w:bottom w:val="nil"/>
              <w:right w:val="nil"/>
            </w:tcBorders>
          </w:tcPr>
          <w:p>
            <w:pPr>
              <w:pStyle w:val="TableParagraph"/>
              <w:spacing w:before="43"/>
              <w:ind w:right="49"/>
              <w:rPr>
                <w:sz w:val="16"/>
              </w:rPr>
            </w:pPr>
            <w:r>
              <w:rPr>
                <w:w w:val="85"/>
                <w:sz w:val="16"/>
              </w:rPr>
              <w:t>9.7</w:t>
            </w:r>
          </w:p>
        </w:tc>
      </w:tr>
      <w:tr>
        <w:trPr>
          <w:trHeight w:val="235" w:hRule="exact"/>
        </w:trPr>
        <w:tc>
          <w:tcPr>
            <w:tcW w:w="1016" w:type="dxa"/>
            <w:tcBorders>
              <w:top w:val="nil"/>
              <w:left w:val="nil"/>
              <w:bottom w:val="nil"/>
              <w:right w:val="nil"/>
            </w:tcBorders>
          </w:tcPr>
          <w:p>
            <w:pPr>
              <w:pStyle w:val="TableParagraph"/>
              <w:spacing w:before="39"/>
              <w:ind w:left="51"/>
              <w:jc w:val="left"/>
              <w:rPr>
                <w:b/>
                <w:sz w:val="16"/>
              </w:rPr>
            </w:pPr>
            <w:r>
              <w:rPr>
                <w:b/>
                <w:sz w:val="16"/>
              </w:rPr>
              <w:t>Hidalgo</w:t>
            </w:r>
          </w:p>
        </w:tc>
        <w:tc>
          <w:tcPr>
            <w:tcW w:w="865" w:type="dxa"/>
            <w:tcBorders>
              <w:top w:val="nil"/>
              <w:left w:val="nil"/>
              <w:bottom w:val="nil"/>
              <w:right w:val="nil"/>
            </w:tcBorders>
          </w:tcPr>
          <w:p>
            <w:pPr>
              <w:pStyle w:val="TableParagraph"/>
              <w:spacing w:before="39"/>
              <w:ind w:right="49"/>
              <w:rPr>
                <w:b/>
                <w:sz w:val="16"/>
              </w:rPr>
            </w:pPr>
            <w:r>
              <w:rPr>
                <w:b/>
                <w:w w:val="95"/>
                <w:sz w:val="16"/>
              </w:rPr>
              <w:t>9 025 658</w:t>
            </w:r>
          </w:p>
        </w:tc>
        <w:tc>
          <w:tcPr>
            <w:tcW w:w="1007" w:type="dxa"/>
            <w:tcBorders>
              <w:top w:val="nil"/>
              <w:left w:val="nil"/>
              <w:bottom w:val="nil"/>
              <w:right w:val="nil"/>
            </w:tcBorders>
          </w:tcPr>
          <w:p>
            <w:pPr>
              <w:pStyle w:val="TableParagraph"/>
              <w:spacing w:before="39"/>
              <w:ind w:right="57"/>
              <w:rPr>
                <w:b/>
                <w:sz w:val="16"/>
              </w:rPr>
            </w:pPr>
            <w:r>
              <w:rPr>
                <w:b/>
                <w:w w:val="95"/>
                <w:sz w:val="16"/>
              </w:rPr>
              <w:t>194 399 691</w:t>
            </w:r>
          </w:p>
        </w:tc>
        <w:tc>
          <w:tcPr>
            <w:tcW w:w="588" w:type="dxa"/>
            <w:tcBorders>
              <w:top w:val="nil"/>
              <w:left w:val="nil"/>
              <w:bottom w:val="nil"/>
              <w:right w:val="nil"/>
            </w:tcBorders>
          </w:tcPr>
          <w:p>
            <w:pPr>
              <w:pStyle w:val="TableParagraph"/>
              <w:spacing w:before="39"/>
              <w:ind w:right="48"/>
              <w:rPr>
                <w:b/>
                <w:sz w:val="16"/>
              </w:rPr>
            </w:pPr>
            <w:r>
              <w:rPr>
                <w:b/>
                <w:w w:val="85"/>
                <w:sz w:val="16"/>
              </w:rPr>
              <w:t>4.64</w:t>
            </w:r>
          </w:p>
        </w:tc>
        <w:tc>
          <w:tcPr>
            <w:tcW w:w="820" w:type="dxa"/>
            <w:tcBorders>
              <w:top w:val="nil"/>
              <w:left w:val="nil"/>
              <w:bottom w:val="nil"/>
              <w:right w:val="nil"/>
            </w:tcBorders>
          </w:tcPr>
          <w:p>
            <w:pPr>
              <w:pStyle w:val="TableParagraph"/>
              <w:spacing w:before="39"/>
              <w:ind w:right="49"/>
              <w:rPr>
                <w:b/>
                <w:sz w:val="16"/>
              </w:rPr>
            </w:pPr>
            <w:r>
              <w:rPr>
                <w:b/>
                <w:w w:val="95"/>
                <w:sz w:val="16"/>
              </w:rPr>
              <w:t>8 986 438</w:t>
            </w:r>
          </w:p>
        </w:tc>
        <w:tc>
          <w:tcPr>
            <w:tcW w:w="597" w:type="dxa"/>
            <w:tcBorders>
              <w:top w:val="nil"/>
              <w:left w:val="nil"/>
              <w:bottom w:val="nil"/>
              <w:right w:val="nil"/>
            </w:tcBorders>
          </w:tcPr>
          <w:p>
            <w:pPr>
              <w:pStyle w:val="TableParagraph"/>
              <w:spacing w:line="180" w:lineRule="exact"/>
              <w:ind w:right="50"/>
              <w:rPr>
                <w:b/>
                <w:sz w:val="16"/>
              </w:rPr>
            </w:pPr>
            <w:r>
              <w:rPr>
                <w:b/>
                <w:w w:val="85"/>
                <w:sz w:val="16"/>
              </w:rPr>
              <w:t>100.4</w:t>
            </w:r>
          </w:p>
        </w:tc>
        <w:tc>
          <w:tcPr>
            <w:tcW w:w="949" w:type="dxa"/>
            <w:tcBorders>
              <w:top w:val="nil"/>
              <w:left w:val="nil"/>
              <w:bottom w:val="nil"/>
              <w:right w:val="nil"/>
            </w:tcBorders>
          </w:tcPr>
          <w:p>
            <w:pPr>
              <w:pStyle w:val="TableParagraph"/>
              <w:spacing w:before="39"/>
              <w:ind w:right="70"/>
              <w:rPr>
                <w:b/>
                <w:sz w:val="16"/>
              </w:rPr>
            </w:pPr>
            <w:r>
              <w:rPr>
                <w:b/>
                <w:w w:val="95"/>
                <w:sz w:val="16"/>
              </w:rPr>
              <w:t>27 396 671</w:t>
            </w:r>
          </w:p>
        </w:tc>
        <w:tc>
          <w:tcPr>
            <w:tcW w:w="610" w:type="dxa"/>
            <w:tcBorders>
              <w:top w:val="nil"/>
              <w:left w:val="nil"/>
              <w:bottom w:val="nil"/>
              <w:right w:val="nil"/>
            </w:tcBorders>
          </w:tcPr>
          <w:p>
            <w:pPr>
              <w:pStyle w:val="TableParagraph"/>
              <w:spacing w:before="39"/>
              <w:ind w:right="49"/>
              <w:rPr>
                <w:b/>
                <w:sz w:val="16"/>
              </w:rPr>
            </w:pPr>
            <w:r>
              <w:rPr>
                <w:b/>
                <w:w w:val="85"/>
                <w:sz w:val="16"/>
              </w:rPr>
              <w:t>32.9</w:t>
            </w:r>
          </w:p>
        </w:tc>
      </w:tr>
      <w:tr>
        <w:trPr>
          <w:trHeight w:val="235" w:hRule="exact"/>
        </w:trPr>
        <w:tc>
          <w:tcPr>
            <w:tcW w:w="1016" w:type="dxa"/>
            <w:tcBorders>
              <w:top w:val="nil"/>
              <w:left w:val="nil"/>
              <w:bottom w:val="nil"/>
              <w:right w:val="nil"/>
            </w:tcBorders>
          </w:tcPr>
          <w:p>
            <w:pPr>
              <w:pStyle w:val="TableParagraph"/>
              <w:spacing w:before="39"/>
              <w:ind w:left="51"/>
              <w:jc w:val="left"/>
              <w:rPr>
                <w:sz w:val="16"/>
              </w:rPr>
            </w:pPr>
            <w:r>
              <w:rPr>
                <w:sz w:val="16"/>
              </w:rPr>
              <w:t>SLP</w:t>
            </w:r>
          </w:p>
        </w:tc>
        <w:tc>
          <w:tcPr>
            <w:tcW w:w="865" w:type="dxa"/>
            <w:tcBorders>
              <w:top w:val="nil"/>
              <w:left w:val="nil"/>
              <w:bottom w:val="nil"/>
              <w:right w:val="nil"/>
            </w:tcBorders>
          </w:tcPr>
          <w:p>
            <w:pPr>
              <w:pStyle w:val="TableParagraph"/>
              <w:spacing w:before="39"/>
              <w:ind w:right="49"/>
              <w:rPr>
                <w:sz w:val="16"/>
              </w:rPr>
            </w:pPr>
            <w:r>
              <w:rPr>
                <w:w w:val="95"/>
                <w:sz w:val="16"/>
              </w:rPr>
              <w:t>7 940 406</w:t>
            </w:r>
          </w:p>
        </w:tc>
        <w:tc>
          <w:tcPr>
            <w:tcW w:w="1007" w:type="dxa"/>
            <w:tcBorders>
              <w:top w:val="nil"/>
              <w:left w:val="nil"/>
              <w:bottom w:val="nil"/>
              <w:right w:val="nil"/>
            </w:tcBorders>
          </w:tcPr>
          <w:p>
            <w:pPr>
              <w:pStyle w:val="TableParagraph"/>
              <w:spacing w:before="39"/>
              <w:ind w:right="57"/>
              <w:rPr>
                <w:sz w:val="16"/>
              </w:rPr>
            </w:pPr>
            <w:r>
              <w:rPr>
                <w:w w:val="95"/>
                <w:sz w:val="16"/>
              </w:rPr>
              <w:t>238 730 437</w:t>
            </w:r>
          </w:p>
        </w:tc>
        <w:tc>
          <w:tcPr>
            <w:tcW w:w="588" w:type="dxa"/>
            <w:tcBorders>
              <w:top w:val="nil"/>
              <w:left w:val="nil"/>
              <w:bottom w:val="nil"/>
              <w:right w:val="nil"/>
            </w:tcBorders>
          </w:tcPr>
          <w:p>
            <w:pPr>
              <w:pStyle w:val="TableParagraph"/>
              <w:spacing w:before="39"/>
              <w:ind w:right="48"/>
              <w:rPr>
                <w:sz w:val="16"/>
              </w:rPr>
            </w:pPr>
            <w:r>
              <w:rPr>
                <w:w w:val="85"/>
                <w:sz w:val="16"/>
              </w:rPr>
              <w:t>3.33</w:t>
            </w:r>
          </w:p>
        </w:tc>
        <w:tc>
          <w:tcPr>
            <w:tcW w:w="820" w:type="dxa"/>
            <w:tcBorders>
              <w:top w:val="nil"/>
              <w:left w:val="nil"/>
              <w:bottom w:val="nil"/>
              <w:right w:val="nil"/>
            </w:tcBorders>
          </w:tcPr>
          <w:p>
            <w:pPr>
              <w:pStyle w:val="TableParagraph"/>
              <w:spacing w:before="39"/>
              <w:ind w:right="49"/>
              <w:rPr>
                <w:sz w:val="16"/>
              </w:rPr>
            </w:pPr>
            <w:r>
              <w:rPr>
                <w:w w:val="95"/>
                <w:sz w:val="16"/>
              </w:rPr>
              <w:t>9 707 912</w:t>
            </w:r>
          </w:p>
        </w:tc>
        <w:tc>
          <w:tcPr>
            <w:tcW w:w="597" w:type="dxa"/>
            <w:tcBorders>
              <w:top w:val="nil"/>
              <w:left w:val="nil"/>
              <w:bottom w:val="nil"/>
              <w:right w:val="nil"/>
            </w:tcBorders>
          </w:tcPr>
          <w:p>
            <w:pPr>
              <w:pStyle w:val="TableParagraph"/>
              <w:spacing w:line="180" w:lineRule="exact"/>
              <w:ind w:right="50"/>
              <w:rPr>
                <w:sz w:val="16"/>
              </w:rPr>
            </w:pPr>
            <w:r>
              <w:rPr>
                <w:w w:val="85"/>
                <w:sz w:val="16"/>
              </w:rPr>
              <w:t>81.8</w:t>
            </w:r>
          </w:p>
        </w:tc>
        <w:tc>
          <w:tcPr>
            <w:tcW w:w="949" w:type="dxa"/>
            <w:tcBorders>
              <w:top w:val="nil"/>
              <w:left w:val="nil"/>
              <w:bottom w:val="nil"/>
              <w:right w:val="nil"/>
            </w:tcBorders>
          </w:tcPr>
          <w:p>
            <w:pPr>
              <w:pStyle w:val="TableParagraph"/>
              <w:spacing w:before="39"/>
              <w:ind w:right="70"/>
              <w:rPr>
                <w:sz w:val="16"/>
              </w:rPr>
            </w:pPr>
            <w:r>
              <w:rPr>
                <w:w w:val="95"/>
                <w:sz w:val="16"/>
              </w:rPr>
              <w:t>27 761 178</w:t>
            </w:r>
          </w:p>
        </w:tc>
        <w:tc>
          <w:tcPr>
            <w:tcW w:w="610" w:type="dxa"/>
            <w:tcBorders>
              <w:top w:val="nil"/>
              <w:left w:val="nil"/>
              <w:bottom w:val="nil"/>
              <w:right w:val="nil"/>
            </w:tcBorders>
          </w:tcPr>
          <w:p>
            <w:pPr>
              <w:pStyle w:val="TableParagraph"/>
              <w:spacing w:before="39"/>
              <w:ind w:right="49"/>
              <w:rPr>
                <w:sz w:val="16"/>
              </w:rPr>
            </w:pPr>
            <w:r>
              <w:rPr>
                <w:w w:val="85"/>
                <w:sz w:val="16"/>
              </w:rPr>
              <w:t>28.6</w:t>
            </w:r>
          </w:p>
        </w:tc>
      </w:tr>
      <w:tr>
        <w:trPr>
          <w:trHeight w:val="235" w:hRule="exact"/>
        </w:trPr>
        <w:tc>
          <w:tcPr>
            <w:tcW w:w="1016" w:type="dxa"/>
            <w:tcBorders>
              <w:top w:val="nil"/>
              <w:left w:val="nil"/>
              <w:bottom w:val="nil"/>
              <w:right w:val="nil"/>
            </w:tcBorders>
          </w:tcPr>
          <w:p>
            <w:pPr>
              <w:pStyle w:val="TableParagraph"/>
              <w:spacing w:before="39"/>
              <w:ind w:left="51"/>
              <w:jc w:val="left"/>
              <w:rPr>
                <w:sz w:val="16"/>
              </w:rPr>
            </w:pPr>
            <w:r>
              <w:rPr>
                <w:sz w:val="16"/>
              </w:rPr>
              <w:t>Zacatecas</w:t>
            </w:r>
          </w:p>
        </w:tc>
        <w:tc>
          <w:tcPr>
            <w:tcW w:w="865" w:type="dxa"/>
            <w:tcBorders>
              <w:top w:val="nil"/>
              <w:left w:val="nil"/>
              <w:bottom w:val="nil"/>
              <w:right w:val="nil"/>
            </w:tcBorders>
          </w:tcPr>
          <w:p>
            <w:pPr>
              <w:pStyle w:val="TableParagraph"/>
              <w:spacing w:before="39"/>
              <w:ind w:right="49"/>
              <w:rPr>
                <w:sz w:val="16"/>
              </w:rPr>
            </w:pPr>
            <w:r>
              <w:rPr>
                <w:w w:val="95"/>
                <w:sz w:val="16"/>
              </w:rPr>
              <w:t>7 337 769</w:t>
            </w:r>
          </w:p>
        </w:tc>
        <w:tc>
          <w:tcPr>
            <w:tcW w:w="1007" w:type="dxa"/>
            <w:tcBorders>
              <w:top w:val="nil"/>
              <w:left w:val="nil"/>
              <w:bottom w:val="nil"/>
              <w:right w:val="nil"/>
            </w:tcBorders>
          </w:tcPr>
          <w:p>
            <w:pPr>
              <w:pStyle w:val="TableParagraph"/>
              <w:spacing w:before="39"/>
              <w:ind w:right="57"/>
              <w:rPr>
                <w:sz w:val="16"/>
              </w:rPr>
            </w:pPr>
            <w:r>
              <w:rPr>
                <w:w w:val="95"/>
                <w:sz w:val="16"/>
              </w:rPr>
              <w:t>113 954 551</w:t>
            </w:r>
          </w:p>
        </w:tc>
        <w:tc>
          <w:tcPr>
            <w:tcW w:w="588" w:type="dxa"/>
            <w:tcBorders>
              <w:top w:val="nil"/>
              <w:left w:val="nil"/>
              <w:bottom w:val="nil"/>
              <w:right w:val="nil"/>
            </w:tcBorders>
          </w:tcPr>
          <w:p>
            <w:pPr>
              <w:pStyle w:val="TableParagraph"/>
              <w:spacing w:before="39"/>
              <w:ind w:right="48"/>
              <w:rPr>
                <w:sz w:val="16"/>
              </w:rPr>
            </w:pPr>
            <w:r>
              <w:rPr>
                <w:w w:val="85"/>
                <w:sz w:val="16"/>
              </w:rPr>
              <w:t>6.44</w:t>
            </w:r>
          </w:p>
        </w:tc>
        <w:tc>
          <w:tcPr>
            <w:tcW w:w="820" w:type="dxa"/>
            <w:tcBorders>
              <w:top w:val="nil"/>
              <w:left w:val="nil"/>
              <w:bottom w:val="nil"/>
              <w:right w:val="nil"/>
            </w:tcBorders>
          </w:tcPr>
          <w:p>
            <w:pPr>
              <w:pStyle w:val="TableParagraph"/>
              <w:spacing w:before="39"/>
              <w:ind w:right="49"/>
              <w:rPr>
                <w:sz w:val="16"/>
              </w:rPr>
            </w:pPr>
            <w:r>
              <w:rPr>
                <w:w w:val="95"/>
                <w:sz w:val="16"/>
              </w:rPr>
              <w:t>10 133 685</w:t>
            </w:r>
          </w:p>
        </w:tc>
        <w:tc>
          <w:tcPr>
            <w:tcW w:w="597" w:type="dxa"/>
            <w:tcBorders>
              <w:top w:val="nil"/>
              <w:left w:val="nil"/>
              <w:bottom w:val="nil"/>
              <w:right w:val="nil"/>
            </w:tcBorders>
          </w:tcPr>
          <w:p>
            <w:pPr>
              <w:pStyle w:val="TableParagraph"/>
              <w:spacing w:line="180" w:lineRule="exact"/>
              <w:ind w:right="50"/>
              <w:rPr>
                <w:sz w:val="16"/>
              </w:rPr>
            </w:pPr>
            <w:r>
              <w:rPr>
                <w:w w:val="85"/>
                <w:sz w:val="16"/>
              </w:rPr>
              <w:t>72.4</w:t>
            </w:r>
          </w:p>
        </w:tc>
        <w:tc>
          <w:tcPr>
            <w:tcW w:w="949" w:type="dxa"/>
            <w:tcBorders>
              <w:top w:val="nil"/>
              <w:left w:val="nil"/>
              <w:bottom w:val="nil"/>
              <w:right w:val="nil"/>
            </w:tcBorders>
          </w:tcPr>
          <w:p>
            <w:pPr>
              <w:pStyle w:val="TableParagraph"/>
              <w:spacing w:before="39"/>
              <w:ind w:right="70"/>
              <w:rPr>
                <w:sz w:val="16"/>
              </w:rPr>
            </w:pPr>
            <w:r>
              <w:rPr>
                <w:w w:val="95"/>
                <w:sz w:val="16"/>
              </w:rPr>
              <w:t>23 538 034</w:t>
            </w:r>
          </w:p>
        </w:tc>
        <w:tc>
          <w:tcPr>
            <w:tcW w:w="610" w:type="dxa"/>
            <w:tcBorders>
              <w:top w:val="nil"/>
              <w:left w:val="nil"/>
              <w:bottom w:val="nil"/>
              <w:right w:val="nil"/>
            </w:tcBorders>
          </w:tcPr>
          <w:p>
            <w:pPr>
              <w:pStyle w:val="TableParagraph"/>
              <w:spacing w:before="39"/>
              <w:ind w:right="49"/>
              <w:rPr>
                <w:sz w:val="16"/>
              </w:rPr>
            </w:pPr>
            <w:r>
              <w:rPr>
                <w:w w:val="85"/>
                <w:sz w:val="16"/>
              </w:rPr>
              <w:t>31.2</w:t>
            </w:r>
          </w:p>
        </w:tc>
      </w:tr>
      <w:tr>
        <w:trPr>
          <w:trHeight w:val="235" w:hRule="exact"/>
        </w:trPr>
        <w:tc>
          <w:tcPr>
            <w:tcW w:w="1016" w:type="dxa"/>
            <w:tcBorders>
              <w:top w:val="nil"/>
              <w:left w:val="nil"/>
              <w:bottom w:val="nil"/>
              <w:right w:val="nil"/>
            </w:tcBorders>
          </w:tcPr>
          <w:p>
            <w:pPr>
              <w:pStyle w:val="TableParagraph"/>
              <w:spacing w:before="39"/>
              <w:ind w:left="51"/>
              <w:jc w:val="left"/>
              <w:rPr>
                <w:b/>
                <w:sz w:val="16"/>
              </w:rPr>
            </w:pPr>
            <w:r>
              <w:rPr>
                <w:b/>
                <w:sz w:val="16"/>
              </w:rPr>
              <w:t>Chiapas</w:t>
            </w:r>
          </w:p>
        </w:tc>
        <w:tc>
          <w:tcPr>
            <w:tcW w:w="865" w:type="dxa"/>
            <w:tcBorders>
              <w:top w:val="nil"/>
              <w:left w:val="nil"/>
              <w:bottom w:val="nil"/>
              <w:right w:val="nil"/>
            </w:tcBorders>
          </w:tcPr>
          <w:p>
            <w:pPr>
              <w:pStyle w:val="TableParagraph"/>
              <w:spacing w:before="39"/>
              <w:ind w:right="49"/>
              <w:rPr>
                <w:b/>
                <w:sz w:val="16"/>
              </w:rPr>
            </w:pPr>
            <w:r>
              <w:rPr>
                <w:b/>
                <w:w w:val="95"/>
                <w:sz w:val="16"/>
              </w:rPr>
              <w:t>7 246 805</w:t>
            </w:r>
          </w:p>
        </w:tc>
        <w:tc>
          <w:tcPr>
            <w:tcW w:w="1007" w:type="dxa"/>
            <w:tcBorders>
              <w:top w:val="nil"/>
              <w:left w:val="nil"/>
              <w:bottom w:val="nil"/>
              <w:right w:val="nil"/>
            </w:tcBorders>
          </w:tcPr>
          <w:p>
            <w:pPr>
              <w:pStyle w:val="TableParagraph"/>
              <w:spacing w:before="39"/>
              <w:ind w:right="57"/>
              <w:rPr>
                <w:b/>
                <w:sz w:val="16"/>
              </w:rPr>
            </w:pPr>
            <w:r>
              <w:rPr>
                <w:b/>
                <w:w w:val="95"/>
                <w:sz w:val="16"/>
              </w:rPr>
              <w:t>229 422 035</w:t>
            </w:r>
          </w:p>
        </w:tc>
        <w:tc>
          <w:tcPr>
            <w:tcW w:w="588" w:type="dxa"/>
            <w:tcBorders>
              <w:top w:val="nil"/>
              <w:left w:val="nil"/>
              <w:bottom w:val="nil"/>
              <w:right w:val="nil"/>
            </w:tcBorders>
          </w:tcPr>
          <w:p>
            <w:pPr>
              <w:pStyle w:val="TableParagraph"/>
              <w:spacing w:before="39"/>
              <w:ind w:right="48"/>
              <w:rPr>
                <w:b/>
                <w:sz w:val="16"/>
              </w:rPr>
            </w:pPr>
            <w:r>
              <w:rPr>
                <w:b/>
                <w:w w:val="85"/>
                <w:sz w:val="16"/>
              </w:rPr>
              <w:t>3.16</w:t>
            </w:r>
          </w:p>
        </w:tc>
        <w:tc>
          <w:tcPr>
            <w:tcW w:w="820" w:type="dxa"/>
            <w:tcBorders>
              <w:top w:val="nil"/>
              <w:left w:val="nil"/>
              <w:bottom w:val="nil"/>
              <w:right w:val="nil"/>
            </w:tcBorders>
          </w:tcPr>
          <w:p>
            <w:pPr>
              <w:pStyle w:val="TableParagraph"/>
              <w:spacing w:before="39"/>
              <w:ind w:right="49"/>
              <w:rPr>
                <w:b/>
                <w:sz w:val="16"/>
              </w:rPr>
            </w:pPr>
            <w:r>
              <w:rPr>
                <w:b/>
                <w:w w:val="95"/>
                <w:sz w:val="16"/>
              </w:rPr>
              <w:t>20 253 827</w:t>
            </w:r>
          </w:p>
        </w:tc>
        <w:tc>
          <w:tcPr>
            <w:tcW w:w="597" w:type="dxa"/>
            <w:tcBorders>
              <w:top w:val="nil"/>
              <w:left w:val="nil"/>
              <w:bottom w:val="nil"/>
              <w:right w:val="nil"/>
            </w:tcBorders>
          </w:tcPr>
          <w:p>
            <w:pPr>
              <w:pStyle w:val="TableParagraph"/>
              <w:spacing w:line="180" w:lineRule="exact"/>
              <w:ind w:right="50"/>
              <w:rPr>
                <w:b/>
                <w:sz w:val="16"/>
              </w:rPr>
            </w:pPr>
            <w:r>
              <w:rPr>
                <w:b/>
                <w:w w:val="85"/>
                <w:sz w:val="16"/>
              </w:rPr>
              <w:t>35.8</w:t>
            </w:r>
          </w:p>
        </w:tc>
        <w:tc>
          <w:tcPr>
            <w:tcW w:w="949" w:type="dxa"/>
            <w:tcBorders>
              <w:top w:val="nil"/>
              <w:left w:val="nil"/>
              <w:bottom w:val="nil"/>
              <w:right w:val="nil"/>
            </w:tcBorders>
          </w:tcPr>
          <w:p>
            <w:pPr>
              <w:pStyle w:val="TableParagraph"/>
              <w:spacing w:before="39"/>
              <w:ind w:right="70"/>
              <w:rPr>
                <w:b/>
                <w:sz w:val="16"/>
              </w:rPr>
            </w:pPr>
            <w:r>
              <w:rPr>
                <w:b/>
                <w:w w:val="95"/>
                <w:sz w:val="16"/>
              </w:rPr>
              <w:t>57 417 860</w:t>
            </w:r>
          </w:p>
        </w:tc>
        <w:tc>
          <w:tcPr>
            <w:tcW w:w="610" w:type="dxa"/>
            <w:tcBorders>
              <w:top w:val="nil"/>
              <w:left w:val="nil"/>
              <w:bottom w:val="nil"/>
              <w:right w:val="nil"/>
            </w:tcBorders>
          </w:tcPr>
          <w:p>
            <w:pPr>
              <w:pStyle w:val="TableParagraph"/>
              <w:spacing w:before="39"/>
              <w:ind w:right="49"/>
              <w:rPr>
                <w:b/>
                <w:sz w:val="16"/>
              </w:rPr>
            </w:pPr>
            <w:r>
              <w:rPr>
                <w:b/>
                <w:w w:val="85"/>
                <w:sz w:val="16"/>
              </w:rPr>
              <w:t>12.6</w:t>
            </w:r>
          </w:p>
        </w:tc>
      </w:tr>
      <w:tr>
        <w:trPr>
          <w:trHeight w:val="235" w:hRule="exact"/>
        </w:trPr>
        <w:tc>
          <w:tcPr>
            <w:tcW w:w="1016" w:type="dxa"/>
            <w:tcBorders>
              <w:top w:val="nil"/>
              <w:left w:val="nil"/>
              <w:bottom w:val="nil"/>
              <w:right w:val="nil"/>
            </w:tcBorders>
          </w:tcPr>
          <w:p>
            <w:pPr>
              <w:pStyle w:val="TableParagraph"/>
              <w:spacing w:before="39"/>
              <w:ind w:left="51"/>
              <w:jc w:val="left"/>
              <w:rPr>
                <w:sz w:val="16"/>
              </w:rPr>
            </w:pPr>
            <w:r>
              <w:rPr>
                <w:sz w:val="16"/>
              </w:rPr>
              <w:t>Morelos</w:t>
            </w:r>
          </w:p>
        </w:tc>
        <w:tc>
          <w:tcPr>
            <w:tcW w:w="865" w:type="dxa"/>
            <w:tcBorders>
              <w:top w:val="nil"/>
              <w:left w:val="nil"/>
              <w:bottom w:val="nil"/>
              <w:right w:val="nil"/>
            </w:tcBorders>
          </w:tcPr>
          <w:p>
            <w:pPr>
              <w:pStyle w:val="TableParagraph"/>
              <w:spacing w:before="39"/>
              <w:ind w:right="49"/>
              <w:rPr>
                <w:sz w:val="16"/>
              </w:rPr>
            </w:pPr>
            <w:r>
              <w:rPr>
                <w:w w:val="95"/>
                <w:sz w:val="16"/>
              </w:rPr>
              <w:t>6 999 181</w:t>
            </w:r>
          </w:p>
        </w:tc>
        <w:tc>
          <w:tcPr>
            <w:tcW w:w="1007" w:type="dxa"/>
            <w:tcBorders>
              <w:top w:val="nil"/>
              <w:left w:val="nil"/>
              <w:bottom w:val="nil"/>
              <w:right w:val="nil"/>
            </w:tcBorders>
          </w:tcPr>
          <w:p>
            <w:pPr>
              <w:pStyle w:val="TableParagraph"/>
              <w:spacing w:before="39"/>
              <w:ind w:right="57"/>
              <w:rPr>
                <w:sz w:val="16"/>
              </w:rPr>
            </w:pPr>
            <w:r>
              <w:rPr>
                <w:w w:val="95"/>
                <w:sz w:val="16"/>
              </w:rPr>
              <w:t>138 852 842</w:t>
            </w:r>
          </w:p>
        </w:tc>
        <w:tc>
          <w:tcPr>
            <w:tcW w:w="588" w:type="dxa"/>
            <w:tcBorders>
              <w:top w:val="nil"/>
              <w:left w:val="nil"/>
              <w:bottom w:val="nil"/>
              <w:right w:val="nil"/>
            </w:tcBorders>
          </w:tcPr>
          <w:p>
            <w:pPr>
              <w:pStyle w:val="TableParagraph"/>
              <w:spacing w:before="39"/>
              <w:ind w:right="48"/>
              <w:rPr>
                <w:sz w:val="16"/>
              </w:rPr>
            </w:pPr>
            <w:r>
              <w:rPr>
                <w:w w:val="85"/>
                <w:sz w:val="16"/>
              </w:rPr>
              <w:t>5.04</w:t>
            </w:r>
          </w:p>
        </w:tc>
        <w:tc>
          <w:tcPr>
            <w:tcW w:w="820" w:type="dxa"/>
            <w:tcBorders>
              <w:top w:val="nil"/>
              <w:left w:val="nil"/>
              <w:bottom w:val="nil"/>
              <w:right w:val="nil"/>
            </w:tcBorders>
          </w:tcPr>
          <w:p>
            <w:pPr>
              <w:pStyle w:val="TableParagraph"/>
              <w:spacing w:before="39"/>
              <w:ind w:right="49"/>
              <w:rPr>
                <w:sz w:val="16"/>
              </w:rPr>
            </w:pPr>
            <w:r>
              <w:rPr>
                <w:w w:val="95"/>
                <w:sz w:val="16"/>
              </w:rPr>
              <w:t>5 587 253</w:t>
            </w:r>
          </w:p>
        </w:tc>
        <w:tc>
          <w:tcPr>
            <w:tcW w:w="597" w:type="dxa"/>
            <w:tcBorders>
              <w:top w:val="nil"/>
              <w:left w:val="nil"/>
              <w:bottom w:val="nil"/>
              <w:right w:val="nil"/>
            </w:tcBorders>
          </w:tcPr>
          <w:p>
            <w:pPr>
              <w:pStyle w:val="TableParagraph"/>
              <w:spacing w:line="180" w:lineRule="exact"/>
              <w:ind w:right="50"/>
              <w:rPr>
                <w:sz w:val="16"/>
              </w:rPr>
            </w:pPr>
            <w:r>
              <w:rPr>
                <w:w w:val="85"/>
                <w:sz w:val="16"/>
              </w:rPr>
              <w:t>125.3</w:t>
            </w:r>
          </w:p>
        </w:tc>
        <w:tc>
          <w:tcPr>
            <w:tcW w:w="949" w:type="dxa"/>
            <w:tcBorders>
              <w:top w:val="nil"/>
              <w:left w:val="nil"/>
              <w:bottom w:val="nil"/>
              <w:right w:val="nil"/>
            </w:tcBorders>
          </w:tcPr>
          <w:p>
            <w:pPr>
              <w:pStyle w:val="TableParagraph"/>
              <w:spacing w:before="39"/>
              <w:ind w:right="70"/>
              <w:rPr>
                <w:sz w:val="16"/>
              </w:rPr>
            </w:pPr>
            <w:r>
              <w:rPr>
                <w:w w:val="95"/>
                <w:sz w:val="16"/>
              </w:rPr>
              <w:t>19 543 848</w:t>
            </w:r>
          </w:p>
        </w:tc>
        <w:tc>
          <w:tcPr>
            <w:tcW w:w="610" w:type="dxa"/>
            <w:tcBorders>
              <w:top w:val="nil"/>
              <w:left w:val="nil"/>
              <w:bottom w:val="nil"/>
              <w:right w:val="nil"/>
            </w:tcBorders>
          </w:tcPr>
          <w:p>
            <w:pPr>
              <w:pStyle w:val="TableParagraph"/>
              <w:spacing w:before="39"/>
              <w:ind w:right="49"/>
              <w:rPr>
                <w:sz w:val="16"/>
              </w:rPr>
            </w:pPr>
            <w:r>
              <w:rPr>
                <w:w w:val="85"/>
                <w:sz w:val="16"/>
              </w:rPr>
              <w:t>35.8</w:t>
            </w:r>
          </w:p>
        </w:tc>
      </w:tr>
      <w:tr>
        <w:trPr>
          <w:trHeight w:val="239" w:hRule="exact"/>
        </w:trPr>
        <w:tc>
          <w:tcPr>
            <w:tcW w:w="1016" w:type="dxa"/>
            <w:tcBorders>
              <w:top w:val="nil"/>
              <w:left w:val="nil"/>
              <w:bottom w:val="nil"/>
              <w:right w:val="nil"/>
            </w:tcBorders>
          </w:tcPr>
          <w:p>
            <w:pPr>
              <w:pStyle w:val="TableParagraph"/>
              <w:spacing w:before="43"/>
              <w:ind w:left="51"/>
              <w:jc w:val="left"/>
              <w:rPr>
                <w:sz w:val="16"/>
              </w:rPr>
            </w:pPr>
            <w:r>
              <w:rPr>
                <w:sz w:val="16"/>
              </w:rPr>
              <w:t>Sinaloa</w:t>
            </w:r>
          </w:p>
        </w:tc>
        <w:tc>
          <w:tcPr>
            <w:tcW w:w="865" w:type="dxa"/>
            <w:tcBorders>
              <w:top w:val="nil"/>
              <w:left w:val="nil"/>
              <w:bottom w:val="nil"/>
              <w:right w:val="nil"/>
            </w:tcBorders>
          </w:tcPr>
          <w:p>
            <w:pPr>
              <w:pStyle w:val="TableParagraph"/>
              <w:spacing w:before="43"/>
              <w:ind w:right="49"/>
              <w:rPr>
                <w:sz w:val="16"/>
              </w:rPr>
            </w:pPr>
            <w:r>
              <w:rPr>
                <w:w w:val="95"/>
                <w:sz w:val="16"/>
              </w:rPr>
              <w:t>5 931 616</w:t>
            </w:r>
          </w:p>
        </w:tc>
        <w:tc>
          <w:tcPr>
            <w:tcW w:w="1007" w:type="dxa"/>
            <w:tcBorders>
              <w:top w:val="nil"/>
              <w:left w:val="nil"/>
              <w:bottom w:val="nil"/>
              <w:right w:val="nil"/>
            </w:tcBorders>
          </w:tcPr>
          <w:p>
            <w:pPr>
              <w:pStyle w:val="TableParagraph"/>
              <w:spacing w:before="43"/>
              <w:ind w:right="57"/>
              <w:rPr>
                <w:sz w:val="16"/>
              </w:rPr>
            </w:pPr>
            <w:r>
              <w:rPr>
                <w:w w:val="95"/>
                <w:sz w:val="16"/>
              </w:rPr>
              <w:t>264 401 611</w:t>
            </w:r>
          </w:p>
        </w:tc>
        <w:tc>
          <w:tcPr>
            <w:tcW w:w="588" w:type="dxa"/>
            <w:tcBorders>
              <w:top w:val="nil"/>
              <w:left w:val="nil"/>
              <w:bottom w:val="nil"/>
              <w:right w:val="nil"/>
            </w:tcBorders>
          </w:tcPr>
          <w:p>
            <w:pPr>
              <w:pStyle w:val="TableParagraph"/>
              <w:spacing w:before="43"/>
              <w:ind w:right="48"/>
              <w:rPr>
                <w:sz w:val="16"/>
              </w:rPr>
            </w:pPr>
            <w:r>
              <w:rPr>
                <w:w w:val="85"/>
                <w:sz w:val="16"/>
              </w:rPr>
              <w:t>2.24</w:t>
            </w:r>
          </w:p>
        </w:tc>
        <w:tc>
          <w:tcPr>
            <w:tcW w:w="820" w:type="dxa"/>
            <w:tcBorders>
              <w:top w:val="nil"/>
              <w:left w:val="nil"/>
              <w:bottom w:val="nil"/>
              <w:right w:val="nil"/>
            </w:tcBorders>
          </w:tcPr>
          <w:p>
            <w:pPr>
              <w:pStyle w:val="TableParagraph"/>
              <w:spacing w:before="43"/>
              <w:ind w:right="49"/>
              <w:rPr>
                <w:sz w:val="16"/>
              </w:rPr>
            </w:pPr>
            <w:r>
              <w:rPr>
                <w:w w:val="95"/>
                <w:sz w:val="16"/>
              </w:rPr>
              <w:t>31 138 365</w:t>
            </w:r>
          </w:p>
        </w:tc>
        <w:tc>
          <w:tcPr>
            <w:tcW w:w="597" w:type="dxa"/>
            <w:tcBorders>
              <w:top w:val="nil"/>
              <w:left w:val="nil"/>
              <w:bottom w:val="nil"/>
              <w:right w:val="nil"/>
            </w:tcBorders>
          </w:tcPr>
          <w:p>
            <w:pPr>
              <w:pStyle w:val="TableParagraph"/>
              <w:spacing w:line="180" w:lineRule="exact"/>
              <w:ind w:right="50"/>
              <w:rPr>
                <w:sz w:val="16"/>
              </w:rPr>
            </w:pPr>
            <w:r>
              <w:rPr>
                <w:w w:val="85"/>
                <w:sz w:val="16"/>
              </w:rPr>
              <w:t>19.0</w:t>
            </w:r>
          </w:p>
        </w:tc>
        <w:tc>
          <w:tcPr>
            <w:tcW w:w="949" w:type="dxa"/>
            <w:tcBorders>
              <w:top w:val="nil"/>
              <w:left w:val="nil"/>
              <w:bottom w:val="nil"/>
              <w:right w:val="nil"/>
            </w:tcBorders>
          </w:tcPr>
          <w:p>
            <w:pPr>
              <w:pStyle w:val="TableParagraph"/>
              <w:spacing w:before="43"/>
              <w:ind w:right="70"/>
              <w:rPr>
                <w:sz w:val="16"/>
              </w:rPr>
            </w:pPr>
            <w:r>
              <w:rPr>
                <w:w w:val="95"/>
                <w:sz w:val="16"/>
              </w:rPr>
              <w:t>32 447 180</w:t>
            </w:r>
          </w:p>
        </w:tc>
        <w:tc>
          <w:tcPr>
            <w:tcW w:w="610" w:type="dxa"/>
            <w:tcBorders>
              <w:top w:val="nil"/>
              <w:left w:val="nil"/>
              <w:bottom w:val="nil"/>
              <w:right w:val="nil"/>
            </w:tcBorders>
          </w:tcPr>
          <w:p>
            <w:pPr>
              <w:pStyle w:val="TableParagraph"/>
              <w:spacing w:before="43"/>
              <w:ind w:right="49"/>
              <w:rPr>
                <w:sz w:val="16"/>
              </w:rPr>
            </w:pPr>
            <w:r>
              <w:rPr>
                <w:w w:val="85"/>
                <w:sz w:val="16"/>
              </w:rPr>
              <w:t>18.3</w:t>
            </w:r>
          </w:p>
        </w:tc>
      </w:tr>
      <w:tr>
        <w:trPr>
          <w:trHeight w:val="235" w:hRule="exact"/>
        </w:trPr>
        <w:tc>
          <w:tcPr>
            <w:tcW w:w="1016" w:type="dxa"/>
            <w:tcBorders>
              <w:top w:val="nil"/>
              <w:left w:val="nil"/>
              <w:bottom w:val="nil"/>
              <w:right w:val="nil"/>
            </w:tcBorders>
          </w:tcPr>
          <w:p>
            <w:pPr>
              <w:pStyle w:val="TableParagraph"/>
              <w:spacing w:before="39"/>
              <w:ind w:left="51"/>
              <w:jc w:val="left"/>
              <w:rPr>
                <w:sz w:val="16"/>
              </w:rPr>
            </w:pPr>
            <w:r>
              <w:rPr>
                <w:sz w:val="16"/>
              </w:rPr>
              <w:t>Tamaulipas</w:t>
            </w:r>
          </w:p>
        </w:tc>
        <w:tc>
          <w:tcPr>
            <w:tcW w:w="865" w:type="dxa"/>
            <w:tcBorders>
              <w:top w:val="nil"/>
              <w:left w:val="nil"/>
              <w:bottom w:val="nil"/>
              <w:right w:val="nil"/>
            </w:tcBorders>
          </w:tcPr>
          <w:p>
            <w:pPr>
              <w:pStyle w:val="TableParagraph"/>
              <w:spacing w:before="39"/>
              <w:ind w:right="49"/>
              <w:rPr>
                <w:sz w:val="16"/>
              </w:rPr>
            </w:pPr>
            <w:r>
              <w:rPr>
                <w:w w:val="95"/>
                <w:sz w:val="16"/>
              </w:rPr>
              <w:t>5 075 038</w:t>
            </w:r>
          </w:p>
        </w:tc>
        <w:tc>
          <w:tcPr>
            <w:tcW w:w="1007" w:type="dxa"/>
            <w:tcBorders>
              <w:top w:val="nil"/>
              <w:left w:val="nil"/>
              <w:bottom w:val="nil"/>
              <w:right w:val="nil"/>
            </w:tcBorders>
          </w:tcPr>
          <w:p>
            <w:pPr>
              <w:pStyle w:val="TableParagraph"/>
              <w:spacing w:before="39"/>
              <w:ind w:right="57"/>
              <w:rPr>
                <w:sz w:val="16"/>
              </w:rPr>
            </w:pPr>
            <w:r>
              <w:rPr>
                <w:w w:val="95"/>
                <w:sz w:val="16"/>
              </w:rPr>
              <w:t>387 540 126</w:t>
            </w:r>
          </w:p>
        </w:tc>
        <w:tc>
          <w:tcPr>
            <w:tcW w:w="588" w:type="dxa"/>
            <w:tcBorders>
              <w:top w:val="nil"/>
              <w:left w:val="nil"/>
              <w:bottom w:val="nil"/>
              <w:right w:val="nil"/>
            </w:tcBorders>
          </w:tcPr>
          <w:p>
            <w:pPr>
              <w:pStyle w:val="TableParagraph"/>
              <w:spacing w:before="39"/>
              <w:ind w:right="48"/>
              <w:rPr>
                <w:sz w:val="16"/>
              </w:rPr>
            </w:pPr>
            <w:r>
              <w:rPr>
                <w:w w:val="85"/>
                <w:sz w:val="16"/>
              </w:rPr>
              <w:t>1.31</w:t>
            </w:r>
          </w:p>
        </w:tc>
        <w:tc>
          <w:tcPr>
            <w:tcW w:w="820" w:type="dxa"/>
            <w:tcBorders>
              <w:top w:val="nil"/>
              <w:left w:val="nil"/>
              <w:bottom w:val="nil"/>
              <w:right w:val="nil"/>
            </w:tcBorders>
          </w:tcPr>
          <w:p>
            <w:pPr>
              <w:pStyle w:val="TableParagraph"/>
              <w:spacing w:before="39"/>
              <w:ind w:right="49"/>
              <w:rPr>
                <w:sz w:val="16"/>
              </w:rPr>
            </w:pPr>
            <w:r>
              <w:rPr>
                <w:w w:val="95"/>
                <w:sz w:val="16"/>
              </w:rPr>
              <w:t>14 773 369</w:t>
            </w:r>
          </w:p>
        </w:tc>
        <w:tc>
          <w:tcPr>
            <w:tcW w:w="597" w:type="dxa"/>
            <w:tcBorders>
              <w:top w:val="nil"/>
              <w:left w:val="nil"/>
              <w:bottom w:val="nil"/>
              <w:right w:val="nil"/>
            </w:tcBorders>
          </w:tcPr>
          <w:p>
            <w:pPr>
              <w:pStyle w:val="TableParagraph"/>
              <w:spacing w:line="180" w:lineRule="exact"/>
              <w:ind w:right="50"/>
              <w:rPr>
                <w:sz w:val="16"/>
              </w:rPr>
            </w:pPr>
            <w:r>
              <w:rPr>
                <w:w w:val="85"/>
                <w:sz w:val="16"/>
              </w:rPr>
              <w:t>34.4</w:t>
            </w:r>
          </w:p>
        </w:tc>
        <w:tc>
          <w:tcPr>
            <w:tcW w:w="949" w:type="dxa"/>
            <w:tcBorders>
              <w:top w:val="nil"/>
              <w:left w:val="nil"/>
              <w:bottom w:val="nil"/>
              <w:right w:val="nil"/>
            </w:tcBorders>
          </w:tcPr>
          <w:p>
            <w:pPr>
              <w:pStyle w:val="TableParagraph"/>
              <w:spacing w:before="39"/>
              <w:ind w:right="70"/>
              <w:rPr>
                <w:sz w:val="16"/>
              </w:rPr>
            </w:pPr>
            <w:r>
              <w:rPr>
                <w:w w:val="95"/>
                <w:sz w:val="16"/>
              </w:rPr>
              <w:t>40 126 596</w:t>
            </w:r>
          </w:p>
        </w:tc>
        <w:tc>
          <w:tcPr>
            <w:tcW w:w="610" w:type="dxa"/>
            <w:tcBorders>
              <w:top w:val="nil"/>
              <w:left w:val="nil"/>
              <w:bottom w:val="nil"/>
              <w:right w:val="nil"/>
            </w:tcBorders>
          </w:tcPr>
          <w:p>
            <w:pPr>
              <w:pStyle w:val="TableParagraph"/>
              <w:spacing w:before="39"/>
              <w:ind w:right="49"/>
              <w:rPr>
                <w:sz w:val="16"/>
              </w:rPr>
            </w:pPr>
            <w:r>
              <w:rPr>
                <w:w w:val="85"/>
                <w:sz w:val="16"/>
              </w:rPr>
              <w:t>12.6</w:t>
            </w:r>
          </w:p>
        </w:tc>
      </w:tr>
      <w:tr>
        <w:trPr>
          <w:trHeight w:val="235" w:hRule="exact"/>
        </w:trPr>
        <w:tc>
          <w:tcPr>
            <w:tcW w:w="1016" w:type="dxa"/>
            <w:tcBorders>
              <w:top w:val="nil"/>
              <w:left w:val="nil"/>
              <w:bottom w:val="nil"/>
              <w:right w:val="nil"/>
            </w:tcBorders>
          </w:tcPr>
          <w:p>
            <w:pPr>
              <w:pStyle w:val="TableParagraph"/>
              <w:spacing w:before="39"/>
              <w:ind w:left="51"/>
              <w:jc w:val="left"/>
              <w:rPr>
                <w:sz w:val="16"/>
              </w:rPr>
            </w:pPr>
            <w:r>
              <w:rPr>
                <w:sz w:val="16"/>
              </w:rPr>
              <w:t>Chihuahua</w:t>
            </w:r>
          </w:p>
        </w:tc>
        <w:tc>
          <w:tcPr>
            <w:tcW w:w="865" w:type="dxa"/>
            <w:tcBorders>
              <w:top w:val="nil"/>
              <w:left w:val="nil"/>
              <w:bottom w:val="nil"/>
              <w:right w:val="nil"/>
            </w:tcBorders>
          </w:tcPr>
          <w:p>
            <w:pPr>
              <w:pStyle w:val="TableParagraph"/>
              <w:spacing w:before="39"/>
              <w:ind w:right="49"/>
              <w:rPr>
                <w:sz w:val="16"/>
              </w:rPr>
            </w:pPr>
            <w:r>
              <w:rPr>
                <w:w w:val="95"/>
                <w:sz w:val="16"/>
              </w:rPr>
              <w:t>5 018 185</w:t>
            </w:r>
          </w:p>
        </w:tc>
        <w:tc>
          <w:tcPr>
            <w:tcW w:w="1007" w:type="dxa"/>
            <w:tcBorders>
              <w:top w:val="nil"/>
              <w:left w:val="nil"/>
              <w:bottom w:val="nil"/>
              <w:right w:val="nil"/>
            </w:tcBorders>
          </w:tcPr>
          <w:p>
            <w:pPr>
              <w:pStyle w:val="TableParagraph"/>
              <w:spacing w:before="39"/>
              <w:ind w:right="57"/>
              <w:rPr>
                <w:sz w:val="16"/>
              </w:rPr>
            </w:pPr>
            <w:r>
              <w:rPr>
                <w:w w:val="95"/>
                <w:sz w:val="16"/>
              </w:rPr>
              <w:t>371 014 956</w:t>
            </w:r>
          </w:p>
        </w:tc>
        <w:tc>
          <w:tcPr>
            <w:tcW w:w="588" w:type="dxa"/>
            <w:tcBorders>
              <w:top w:val="nil"/>
              <w:left w:val="nil"/>
              <w:bottom w:val="nil"/>
              <w:right w:val="nil"/>
            </w:tcBorders>
          </w:tcPr>
          <w:p>
            <w:pPr>
              <w:pStyle w:val="TableParagraph"/>
              <w:spacing w:before="39"/>
              <w:ind w:right="48"/>
              <w:rPr>
                <w:sz w:val="16"/>
              </w:rPr>
            </w:pPr>
            <w:r>
              <w:rPr>
                <w:w w:val="85"/>
                <w:sz w:val="16"/>
              </w:rPr>
              <w:t>1.35</w:t>
            </w:r>
          </w:p>
        </w:tc>
        <w:tc>
          <w:tcPr>
            <w:tcW w:w="820" w:type="dxa"/>
            <w:tcBorders>
              <w:top w:val="nil"/>
              <w:left w:val="nil"/>
              <w:bottom w:val="nil"/>
              <w:right w:val="nil"/>
            </w:tcBorders>
          </w:tcPr>
          <w:p>
            <w:pPr>
              <w:pStyle w:val="TableParagraph"/>
              <w:spacing w:before="39"/>
              <w:ind w:right="49"/>
              <w:rPr>
                <w:sz w:val="16"/>
              </w:rPr>
            </w:pPr>
            <w:r>
              <w:rPr>
                <w:w w:val="95"/>
                <w:sz w:val="16"/>
              </w:rPr>
              <w:t>25 474 404</w:t>
            </w:r>
          </w:p>
        </w:tc>
        <w:tc>
          <w:tcPr>
            <w:tcW w:w="597" w:type="dxa"/>
            <w:tcBorders>
              <w:top w:val="nil"/>
              <w:left w:val="nil"/>
              <w:bottom w:val="nil"/>
              <w:right w:val="nil"/>
            </w:tcBorders>
          </w:tcPr>
          <w:p>
            <w:pPr>
              <w:pStyle w:val="TableParagraph"/>
              <w:spacing w:line="180" w:lineRule="exact"/>
              <w:ind w:right="50"/>
              <w:rPr>
                <w:sz w:val="16"/>
              </w:rPr>
            </w:pPr>
            <w:r>
              <w:rPr>
                <w:w w:val="85"/>
                <w:sz w:val="16"/>
              </w:rPr>
              <w:t>19.7</w:t>
            </w:r>
          </w:p>
        </w:tc>
        <w:tc>
          <w:tcPr>
            <w:tcW w:w="949" w:type="dxa"/>
            <w:tcBorders>
              <w:top w:val="nil"/>
              <w:left w:val="nil"/>
              <w:bottom w:val="nil"/>
              <w:right w:val="nil"/>
            </w:tcBorders>
          </w:tcPr>
          <w:p>
            <w:pPr>
              <w:pStyle w:val="TableParagraph"/>
              <w:spacing w:before="39"/>
              <w:ind w:right="70"/>
              <w:rPr>
                <w:sz w:val="16"/>
              </w:rPr>
            </w:pPr>
            <w:r>
              <w:rPr>
                <w:w w:val="95"/>
                <w:sz w:val="16"/>
              </w:rPr>
              <w:t>40 480 060</w:t>
            </w:r>
          </w:p>
        </w:tc>
        <w:tc>
          <w:tcPr>
            <w:tcW w:w="610" w:type="dxa"/>
            <w:tcBorders>
              <w:top w:val="nil"/>
              <w:left w:val="nil"/>
              <w:bottom w:val="nil"/>
              <w:right w:val="nil"/>
            </w:tcBorders>
          </w:tcPr>
          <w:p>
            <w:pPr>
              <w:pStyle w:val="TableParagraph"/>
              <w:spacing w:before="39"/>
              <w:ind w:right="49"/>
              <w:rPr>
                <w:sz w:val="16"/>
              </w:rPr>
            </w:pPr>
            <w:r>
              <w:rPr>
                <w:w w:val="85"/>
                <w:sz w:val="16"/>
              </w:rPr>
              <w:t>12.4</w:t>
            </w:r>
          </w:p>
        </w:tc>
      </w:tr>
      <w:tr>
        <w:trPr>
          <w:trHeight w:val="235" w:hRule="exact"/>
        </w:trPr>
        <w:tc>
          <w:tcPr>
            <w:tcW w:w="1016" w:type="dxa"/>
            <w:tcBorders>
              <w:top w:val="nil"/>
              <w:left w:val="nil"/>
              <w:bottom w:val="nil"/>
              <w:right w:val="nil"/>
            </w:tcBorders>
          </w:tcPr>
          <w:p>
            <w:pPr>
              <w:pStyle w:val="TableParagraph"/>
              <w:spacing w:before="39"/>
              <w:ind w:left="51"/>
              <w:jc w:val="left"/>
              <w:rPr>
                <w:sz w:val="16"/>
              </w:rPr>
            </w:pPr>
            <w:r>
              <w:rPr>
                <w:sz w:val="16"/>
              </w:rPr>
              <w:t>Durango</w:t>
            </w:r>
          </w:p>
        </w:tc>
        <w:tc>
          <w:tcPr>
            <w:tcW w:w="865" w:type="dxa"/>
            <w:tcBorders>
              <w:top w:val="nil"/>
              <w:left w:val="nil"/>
              <w:bottom w:val="nil"/>
              <w:right w:val="nil"/>
            </w:tcBorders>
          </w:tcPr>
          <w:p>
            <w:pPr>
              <w:pStyle w:val="TableParagraph"/>
              <w:spacing w:before="39"/>
              <w:ind w:right="49"/>
              <w:rPr>
                <w:sz w:val="16"/>
              </w:rPr>
            </w:pPr>
            <w:r>
              <w:rPr>
                <w:w w:val="95"/>
                <w:sz w:val="16"/>
              </w:rPr>
              <w:t>4 781 931</w:t>
            </w:r>
          </w:p>
        </w:tc>
        <w:tc>
          <w:tcPr>
            <w:tcW w:w="1007" w:type="dxa"/>
            <w:tcBorders>
              <w:top w:val="nil"/>
              <w:left w:val="nil"/>
              <w:bottom w:val="nil"/>
              <w:right w:val="nil"/>
            </w:tcBorders>
          </w:tcPr>
          <w:p>
            <w:pPr>
              <w:pStyle w:val="TableParagraph"/>
              <w:spacing w:before="39"/>
              <w:ind w:right="57"/>
              <w:rPr>
                <w:sz w:val="16"/>
              </w:rPr>
            </w:pPr>
            <w:r>
              <w:rPr>
                <w:w w:val="95"/>
                <w:sz w:val="16"/>
              </w:rPr>
              <w:t>156 890 199</w:t>
            </w:r>
          </w:p>
        </w:tc>
        <w:tc>
          <w:tcPr>
            <w:tcW w:w="588" w:type="dxa"/>
            <w:tcBorders>
              <w:top w:val="nil"/>
              <w:left w:val="nil"/>
              <w:bottom w:val="nil"/>
              <w:right w:val="nil"/>
            </w:tcBorders>
          </w:tcPr>
          <w:p>
            <w:pPr>
              <w:pStyle w:val="TableParagraph"/>
              <w:spacing w:before="39"/>
              <w:ind w:right="48"/>
              <w:rPr>
                <w:sz w:val="16"/>
              </w:rPr>
            </w:pPr>
            <w:r>
              <w:rPr>
                <w:w w:val="85"/>
                <w:sz w:val="16"/>
              </w:rPr>
              <w:t>3.05</w:t>
            </w:r>
          </w:p>
        </w:tc>
        <w:tc>
          <w:tcPr>
            <w:tcW w:w="820" w:type="dxa"/>
            <w:tcBorders>
              <w:top w:val="nil"/>
              <w:left w:val="nil"/>
              <w:bottom w:val="nil"/>
              <w:right w:val="nil"/>
            </w:tcBorders>
          </w:tcPr>
          <w:p>
            <w:pPr>
              <w:pStyle w:val="TableParagraph"/>
              <w:spacing w:before="39"/>
              <w:ind w:right="49"/>
              <w:rPr>
                <w:sz w:val="16"/>
              </w:rPr>
            </w:pPr>
            <w:r>
              <w:rPr>
                <w:w w:val="95"/>
                <w:sz w:val="16"/>
              </w:rPr>
              <w:t>14 910 435</w:t>
            </w:r>
          </w:p>
        </w:tc>
        <w:tc>
          <w:tcPr>
            <w:tcW w:w="597" w:type="dxa"/>
            <w:tcBorders>
              <w:top w:val="nil"/>
              <w:left w:val="nil"/>
              <w:bottom w:val="nil"/>
              <w:right w:val="nil"/>
            </w:tcBorders>
          </w:tcPr>
          <w:p>
            <w:pPr>
              <w:pStyle w:val="TableParagraph"/>
              <w:spacing w:line="180" w:lineRule="exact"/>
              <w:ind w:right="50"/>
              <w:rPr>
                <w:sz w:val="16"/>
              </w:rPr>
            </w:pPr>
            <w:r>
              <w:rPr>
                <w:w w:val="85"/>
                <w:sz w:val="16"/>
              </w:rPr>
              <w:t>32.1</w:t>
            </w:r>
          </w:p>
        </w:tc>
        <w:tc>
          <w:tcPr>
            <w:tcW w:w="949" w:type="dxa"/>
            <w:tcBorders>
              <w:top w:val="nil"/>
              <w:left w:val="nil"/>
              <w:bottom w:val="nil"/>
              <w:right w:val="nil"/>
            </w:tcBorders>
          </w:tcPr>
          <w:p>
            <w:pPr>
              <w:pStyle w:val="TableParagraph"/>
              <w:spacing w:before="39"/>
              <w:ind w:right="70"/>
              <w:rPr>
                <w:sz w:val="16"/>
              </w:rPr>
            </w:pPr>
            <w:r>
              <w:rPr>
                <w:w w:val="95"/>
                <w:sz w:val="16"/>
              </w:rPr>
              <w:t>20 196 348</w:t>
            </w:r>
          </w:p>
        </w:tc>
        <w:tc>
          <w:tcPr>
            <w:tcW w:w="610" w:type="dxa"/>
            <w:tcBorders>
              <w:top w:val="nil"/>
              <w:left w:val="nil"/>
              <w:bottom w:val="nil"/>
              <w:right w:val="nil"/>
            </w:tcBorders>
          </w:tcPr>
          <w:p>
            <w:pPr>
              <w:pStyle w:val="TableParagraph"/>
              <w:spacing w:before="39"/>
              <w:ind w:right="49"/>
              <w:rPr>
                <w:sz w:val="16"/>
              </w:rPr>
            </w:pPr>
            <w:r>
              <w:rPr>
                <w:w w:val="85"/>
                <w:sz w:val="16"/>
              </w:rPr>
              <w:t>23.7</w:t>
            </w:r>
          </w:p>
        </w:tc>
      </w:tr>
      <w:tr>
        <w:trPr>
          <w:trHeight w:val="235" w:hRule="exact"/>
        </w:trPr>
        <w:tc>
          <w:tcPr>
            <w:tcW w:w="1016" w:type="dxa"/>
            <w:tcBorders>
              <w:top w:val="nil"/>
              <w:left w:val="nil"/>
              <w:bottom w:val="nil"/>
              <w:right w:val="nil"/>
            </w:tcBorders>
          </w:tcPr>
          <w:p>
            <w:pPr>
              <w:pStyle w:val="TableParagraph"/>
              <w:spacing w:before="39"/>
              <w:ind w:left="51"/>
              <w:jc w:val="left"/>
              <w:rPr>
                <w:sz w:val="16"/>
              </w:rPr>
            </w:pPr>
            <w:r>
              <w:rPr>
                <w:sz w:val="16"/>
              </w:rPr>
              <w:t>Querétaro</w:t>
            </w:r>
          </w:p>
        </w:tc>
        <w:tc>
          <w:tcPr>
            <w:tcW w:w="865" w:type="dxa"/>
            <w:tcBorders>
              <w:top w:val="nil"/>
              <w:left w:val="nil"/>
              <w:bottom w:val="nil"/>
              <w:right w:val="nil"/>
            </w:tcBorders>
          </w:tcPr>
          <w:p>
            <w:pPr>
              <w:pStyle w:val="TableParagraph"/>
              <w:spacing w:before="39"/>
              <w:ind w:right="49"/>
              <w:rPr>
                <w:sz w:val="16"/>
              </w:rPr>
            </w:pPr>
            <w:r>
              <w:rPr>
                <w:w w:val="95"/>
                <w:sz w:val="16"/>
              </w:rPr>
              <w:t>4 472 401</w:t>
            </w:r>
          </w:p>
        </w:tc>
        <w:tc>
          <w:tcPr>
            <w:tcW w:w="1007" w:type="dxa"/>
            <w:tcBorders>
              <w:top w:val="nil"/>
              <w:left w:val="nil"/>
              <w:bottom w:val="nil"/>
              <w:right w:val="nil"/>
            </w:tcBorders>
          </w:tcPr>
          <w:p>
            <w:pPr>
              <w:pStyle w:val="TableParagraph"/>
              <w:spacing w:before="39"/>
              <w:ind w:right="57"/>
              <w:rPr>
                <w:sz w:val="16"/>
              </w:rPr>
            </w:pPr>
            <w:r>
              <w:rPr>
                <w:w w:val="95"/>
                <w:sz w:val="16"/>
              </w:rPr>
              <w:t>232 181 692</w:t>
            </w:r>
          </w:p>
        </w:tc>
        <w:tc>
          <w:tcPr>
            <w:tcW w:w="588" w:type="dxa"/>
            <w:tcBorders>
              <w:top w:val="nil"/>
              <w:left w:val="nil"/>
              <w:bottom w:val="nil"/>
              <w:right w:val="nil"/>
            </w:tcBorders>
          </w:tcPr>
          <w:p>
            <w:pPr>
              <w:pStyle w:val="TableParagraph"/>
              <w:spacing w:before="39"/>
              <w:ind w:right="48"/>
              <w:rPr>
                <w:sz w:val="16"/>
              </w:rPr>
            </w:pPr>
            <w:r>
              <w:rPr>
                <w:w w:val="85"/>
                <w:sz w:val="16"/>
              </w:rPr>
              <w:t>1.93</w:t>
            </w:r>
          </w:p>
        </w:tc>
        <w:tc>
          <w:tcPr>
            <w:tcW w:w="820" w:type="dxa"/>
            <w:tcBorders>
              <w:top w:val="nil"/>
              <w:left w:val="nil"/>
              <w:bottom w:val="nil"/>
              <w:right w:val="nil"/>
            </w:tcBorders>
          </w:tcPr>
          <w:p>
            <w:pPr>
              <w:pStyle w:val="TableParagraph"/>
              <w:spacing w:before="39"/>
              <w:ind w:right="49"/>
              <w:rPr>
                <w:sz w:val="16"/>
              </w:rPr>
            </w:pPr>
            <w:r>
              <w:rPr>
                <w:w w:val="95"/>
                <w:sz w:val="16"/>
              </w:rPr>
              <w:t>6 080 992</w:t>
            </w:r>
          </w:p>
        </w:tc>
        <w:tc>
          <w:tcPr>
            <w:tcW w:w="597" w:type="dxa"/>
            <w:tcBorders>
              <w:top w:val="nil"/>
              <w:left w:val="nil"/>
              <w:bottom w:val="nil"/>
              <w:right w:val="nil"/>
            </w:tcBorders>
          </w:tcPr>
          <w:p>
            <w:pPr>
              <w:pStyle w:val="TableParagraph"/>
              <w:spacing w:line="180" w:lineRule="exact"/>
              <w:ind w:right="50"/>
              <w:rPr>
                <w:sz w:val="16"/>
              </w:rPr>
            </w:pPr>
            <w:r>
              <w:rPr>
                <w:w w:val="85"/>
                <w:sz w:val="16"/>
              </w:rPr>
              <w:t>73.5</w:t>
            </w:r>
          </w:p>
        </w:tc>
        <w:tc>
          <w:tcPr>
            <w:tcW w:w="949" w:type="dxa"/>
            <w:tcBorders>
              <w:top w:val="nil"/>
              <w:left w:val="nil"/>
              <w:bottom w:val="nil"/>
              <w:right w:val="nil"/>
            </w:tcBorders>
          </w:tcPr>
          <w:p>
            <w:pPr>
              <w:pStyle w:val="TableParagraph"/>
              <w:spacing w:before="39"/>
              <w:ind w:right="70"/>
              <w:rPr>
                <w:sz w:val="16"/>
              </w:rPr>
            </w:pPr>
            <w:r>
              <w:rPr>
                <w:w w:val="95"/>
                <w:sz w:val="16"/>
              </w:rPr>
              <w:t>20 840 841</w:t>
            </w:r>
          </w:p>
        </w:tc>
        <w:tc>
          <w:tcPr>
            <w:tcW w:w="610" w:type="dxa"/>
            <w:tcBorders>
              <w:top w:val="nil"/>
              <w:left w:val="nil"/>
              <w:bottom w:val="nil"/>
              <w:right w:val="nil"/>
            </w:tcBorders>
          </w:tcPr>
          <w:p>
            <w:pPr>
              <w:pStyle w:val="TableParagraph"/>
              <w:spacing w:before="39"/>
              <w:ind w:right="49"/>
              <w:rPr>
                <w:sz w:val="16"/>
              </w:rPr>
            </w:pPr>
            <w:r>
              <w:rPr>
                <w:w w:val="85"/>
                <w:sz w:val="16"/>
              </w:rPr>
              <w:t>21.5</w:t>
            </w:r>
          </w:p>
        </w:tc>
      </w:tr>
      <w:tr>
        <w:trPr>
          <w:trHeight w:val="235" w:hRule="exact"/>
        </w:trPr>
        <w:tc>
          <w:tcPr>
            <w:tcW w:w="1016" w:type="dxa"/>
            <w:tcBorders>
              <w:top w:val="nil"/>
              <w:left w:val="nil"/>
              <w:bottom w:val="nil"/>
              <w:right w:val="nil"/>
            </w:tcBorders>
          </w:tcPr>
          <w:p>
            <w:pPr>
              <w:pStyle w:val="TableParagraph"/>
              <w:spacing w:line="180" w:lineRule="exact"/>
              <w:ind w:left="51"/>
              <w:jc w:val="left"/>
              <w:rPr>
                <w:sz w:val="16"/>
              </w:rPr>
            </w:pPr>
            <w:r>
              <w:rPr>
                <w:sz w:val="16"/>
              </w:rPr>
              <w:t>Baja</w:t>
            </w:r>
          </w:p>
        </w:tc>
        <w:tc>
          <w:tcPr>
            <w:tcW w:w="865" w:type="dxa"/>
            <w:tcBorders>
              <w:top w:val="nil"/>
              <w:left w:val="nil"/>
              <w:bottom w:val="nil"/>
              <w:right w:val="nil"/>
            </w:tcBorders>
          </w:tcPr>
          <w:p>
            <w:pPr>
              <w:pStyle w:val="TableParagraph"/>
              <w:spacing w:before="39"/>
              <w:ind w:right="49"/>
              <w:rPr>
                <w:sz w:val="16"/>
              </w:rPr>
            </w:pPr>
            <w:r>
              <w:rPr>
                <w:w w:val="95"/>
                <w:sz w:val="16"/>
              </w:rPr>
              <w:t>4 389 017</w:t>
            </w:r>
          </w:p>
        </w:tc>
        <w:tc>
          <w:tcPr>
            <w:tcW w:w="1007" w:type="dxa"/>
            <w:tcBorders>
              <w:top w:val="nil"/>
              <w:left w:val="nil"/>
              <w:bottom w:val="nil"/>
              <w:right w:val="nil"/>
            </w:tcBorders>
          </w:tcPr>
          <w:p>
            <w:pPr>
              <w:pStyle w:val="TableParagraph"/>
              <w:spacing w:before="39"/>
              <w:ind w:right="57"/>
              <w:rPr>
                <w:sz w:val="16"/>
              </w:rPr>
            </w:pPr>
            <w:r>
              <w:rPr>
                <w:w w:val="95"/>
                <w:sz w:val="16"/>
              </w:rPr>
              <w:t>339 451 756</w:t>
            </w:r>
          </w:p>
        </w:tc>
        <w:tc>
          <w:tcPr>
            <w:tcW w:w="588" w:type="dxa"/>
            <w:tcBorders>
              <w:top w:val="nil"/>
              <w:left w:val="nil"/>
              <w:bottom w:val="nil"/>
              <w:right w:val="nil"/>
            </w:tcBorders>
          </w:tcPr>
          <w:p>
            <w:pPr>
              <w:pStyle w:val="TableParagraph"/>
              <w:spacing w:before="39"/>
              <w:ind w:right="48"/>
              <w:rPr>
                <w:sz w:val="16"/>
              </w:rPr>
            </w:pPr>
            <w:r>
              <w:rPr>
                <w:w w:val="85"/>
                <w:sz w:val="16"/>
              </w:rPr>
              <w:t>1.29</w:t>
            </w:r>
          </w:p>
        </w:tc>
        <w:tc>
          <w:tcPr>
            <w:tcW w:w="820" w:type="dxa"/>
            <w:tcBorders>
              <w:top w:val="nil"/>
              <w:left w:val="nil"/>
              <w:bottom w:val="nil"/>
              <w:right w:val="nil"/>
            </w:tcBorders>
          </w:tcPr>
          <w:p>
            <w:pPr>
              <w:pStyle w:val="TableParagraph"/>
              <w:spacing w:before="39"/>
              <w:ind w:right="49"/>
              <w:rPr>
                <w:sz w:val="16"/>
              </w:rPr>
            </w:pPr>
            <w:r>
              <w:rPr>
                <w:w w:val="95"/>
                <w:sz w:val="16"/>
              </w:rPr>
              <w:t>11 873 827</w:t>
            </w:r>
          </w:p>
        </w:tc>
        <w:tc>
          <w:tcPr>
            <w:tcW w:w="597" w:type="dxa"/>
            <w:tcBorders>
              <w:top w:val="nil"/>
              <w:left w:val="nil"/>
              <w:bottom w:val="nil"/>
              <w:right w:val="nil"/>
            </w:tcBorders>
          </w:tcPr>
          <w:p>
            <w:pPr>
              <w:pStyle w:val="TableParagraph"/>
              <w:spacing w:line="180" w:lineRule="exact"/>
              <w:ind w:right="50"/>
              <w:rPr>
                <w:sz w:val="16"/>
              </w:rPr>
            </w:pPr>
            <w:r>
              <w:rPr>
                <w:w w:val="85"/>
                <w:sz w:val="16"/>
              </w:rPr>
              <w:t>37.0</w:t>
            </w:r>
          </w:p>
        </w:tc>
        <w:tc>
          <w:tcPr>
            <w:tcW w:w="949" w:type="dxa"/>
            <w:tcBorders>
              <w:top w:val="nil"/>
              <w:left w:val="nil"/>
              <w:bottom w:val="nil"/>
              <w:right w:val="nil"/>
            </w:tcBorders>
          </w:tcPr>
          <w:p>
            <w:pPr>
              <w:pStyle w:val="TableParagraph"/>
              <w:spacing w:before="39"/>
              <w:ind w:right="70"/>
              <w:rPr>
                <w:sz w:val="16"/>
              </w:rPr>
            </w:pPr>
            <w:r>
              <w:rPr>
                <w:w w:val="95"/>
                <w:sz w:val="16"/>
              </w:rPr>
              <w:t>31 857 992</w:t>
            </w:r>
          </w:p>
        </w:tc>
        <w:tc>
          <w:tcPr>
            <w:tcW w:w="610" w:type="dxa"/>
            <w:tcBorders>
              <w:top w:val="nil"/>
              <w:left w:val="nil"/>
              <w:bottom w:val="nil"/>
              <w:right w:val="nil"/>
            </w:tcBorders>
          </w:tcPr>
          <w:p>
            <w:pPr>
              <w:pStyle w:val="TableParagraph"/>
              <w:spacing w:before="39"/>
              <w:ind w:right="49"/>
              <w:rPr>
                <w:sz w:val="16"/>
              </w:rPr>
            </w:pPr>
            <w:r>
              <w:rPr>
                <w:w w:val="85"/>
                <w:sz w:val="16"/>
              </w:rPr>
              <w:t>13.8</w:t>
            </w:r>
          </w:p>
        </w:tc>
      </w:tr>
      <w:tr>
        <w:trPr>
          <w:trHeight w:val="239" w:hRule="exact"/>
        </w:trPr>
        <w:tc>
          <w:tcPr>
            <w:tcW w:w="1016" w:type="dxa"/>
            <w:tcBorders>
              <w:top w:val="nil"/>
              <w:left w:val="nil"/>
              <w:bottom w:val="nil"/>
              <w:right w:val="nil"/>
            </w:tcBorders>
          </w:tcPr>
          <w:p>
            <w:pPr>
              <w:pStyle w:val="TableParagraph"/>
              <w:spacing w:before="43"/>
              <w:ind w:left="51"/>
              <w:jc w:val="left"/>
              <w:rPr>
                <w:sz w:val="16"/>
              </w:rPr>
            </w:pPr>
            <w:r>
              <w:rPr>
                <w:sz w:val="16"/>
              </w:rPr>
              <w:t>Nayarit</w:t>
            </w:r>
          </w:p>
        </w:tc>
        <w:tc>
          <w:tcPr>
            <w:tcW w:w="865" w:type="dxa"/>
            <w:tcBorders>
              <w:top w:val="nil"/>
              <w:left w:val="nil"/>
              <w:bottom w:val="nil"/>
              <w:right w:val="nil"/>
            </w:tcBorders>
          </w:tcPr>
          <w:p>
            <w:pPr>
              <w:pStyle w:val="TableParagraph"/>
              <w:spacing w:before="43"/>
              <w:ind w:right="49"/>
              <w:rPr>
                <w:sz w:val="16"/>
              </w:rPr>
            </w:pPr>
            <w:r>
              <w:rPr>
                <w:w w:val="95"/>
                <w:sz w:val="16"/>
              </w:rPr>
              <w:t>4 256 361</w:t>
            </w:r>
          </w:p>
        </w:tc>
        <w:tc>
          <w:tcPr>
            <w:tcW w:w="1007" w:type="dxa"/>
            <w:tcBorders>
              <w:top w:val="nil"/>
              <w:left w:val="nil"/>
              <w:bottom w:val="nil"/>
              <w:right w:val="nil"/>
            </w:tcBorders>
          </w:tcPr>
          <w:p>
            <w:pPr>
              <w:pStyle w:val="TableParagraph"/>
              <w:spacing w:before="43"/>
              <w:ind w:right="57"/>
              <w:rPr>
                <w:sz w:val="16"/>
              </w:rPr>
            </w:pPr>
            <w:r>
              <w:rPr>
                <w:w w:val="95"/>
                <w:sz w:val="16"/>
              </w:rPr>
              <w:t>74 319 542</w:t>
            </w:r>
          </w:p>
        </w:tc>
        <w:tc>
          <w:tcPr>
            <w:tcW w:w="588" w:type="dxa"/>
            <w:tcBorders>
              <w:top w:val="nil"/>
              <w:left w:val="nil"/>
              <w:bottom w:val="nil"/>
              <w:right w:val="nil"/>
            </w:tcBorders>
          </w:tcPr>
          <w:p>
            <w:pPr>
              <w:pStyle w:val="TableParagraph"/>
              <w:spacing w:before="43"/>
              <w:ind w:right="48"/>
              <w:rPr>
                <w:sz w:val="16"/>
              </w:rPr>
            </w:pPr>
            <w:r>
              <w:rPr>
                <w:w w:val="85"/>
                <w:sz w:val="16"/>
              </w:rPr>
              <w:t>5.73</w:t>
            </w:r>
          </w:p>
        </w:tc>
        <w:tc>
          <w:tcPr>
            <w:tcW w:w="820" w:type="dxa"/>
            <w:tcBorders>
              <w:top w:val="nil"/>
              <w:left w:val="nil"/>
              <w:bottom w:val="nil"/>
              <w:right w:val="nil"/>
            </w:tcBorders>
          </w:tcPr>
          <w:p>
            <w:pPr>
              <w:pStyle w:val="TableParagraph"/>
              <w:spacing w:before="43"/>
              <w:ind w:right="49"/>
              <w:rPr>
                <w:sz w:val="16"/>
              </w:rPr>
            </w:pPr>
            <w:r>
              <w:rPr>
                <w:w w:val="95"/>
                <w:sz w:val="16"/>
              </w:rPr>
              <w:t>6 258 607</w:t>
            </w:r>
          </w:p>
        </w:tc>
        <w:tc>
          <w:tcPr>
            <w:tcW w:w="597" w:type="dxa"/>
            <w:tcBorders>
              <w:top w:val="nil"/>
              <w:left w:val="nil"/>
              <w:bottom w:val="nil"/>
              <w:right w:val="nil"/>
            </w:tcBorders>
          </w:tcPr>
          <w:p>
            <w:pPr>
              <w:pStyle w:val="TableParagraph"/>
              <w:spacing w:line="180" w:lineRule="exact"/>
              <w:ind w:right="50"/>
              <w:rPr>
                <w:sz w:val="16"/>
              </w:rPr>
            </w:pPr>
            <w:r>
              <w:rPr>
                <w:w w:val="85"/>
                <w:sz w:val="16"/>
              </w:rPr>
              <w:t>68.0</w:t>
            </w:r>
          </w:p>
        </w:tc>
        <w:tc>
          <w:tcPr>
            <w:tcW w:w="949" w:type="dxa"/>
            <w:tcBorders>
              <w:top w:val="nil"/>
              <w:left w:val="nil"/>
              <w:bottom w:val="nil"/>
              <w:right w:val="nil"/>
            </w:tcBorders>
          </w:tcPr>
          <w:p>
            <w:pPr>
              <w:pStyle w:val="TableParagraph"/>
              <w:spacing w:before="43"/>
              <w:ind w:right="70"/>
              <w:rPr>
                <w:sz w:val="16"/>
              </w:rPr>
            </w:pPr>
            <w:r>
              <w:rPr>
                <w:w w:val="95"/>
                <w:sz w:val="16"/>
              </w:rPr>
              <w:t>16 517 419</w:t>
            </w:r>
          </w:p>
        </w:tc>
        <w:tc>
          <w:tcPr>
            <w:tcW w:w="610" w:type="dxa"/>
            <w:tcBorders>
              <w:top w:val="nil"/>
              <w:left w:val="nil"/>
              <w:bottom w:val="nil"/>
              <w:right w:val="nil"/>
            </w:tcBorders>
          </w:tcPr>
          <w:p>
            <w:pPr>
              <w:pStyle w:val="TableParagraph"/>
              <w:spacing w:before="43"/>
              <w:ind w:right="49"/>
              <w:rPr>
                <w:sz w:val="16"/>
              </w:rPr>
            </w:pPr>
            <w:r>
              <w:rPr>
                <w:w w:val="85"/>
                <w:sz w:val="16"/>
              </w:rPr>
              <w:t>25.8</w:t>
            </w:r>
          </w:p>
        </w:tc>
      </w:tr>
      <w:tr>
        <w:trPr>
          <w:trHeight w:val="235" w:hRule="exact"/>
        </w:trPr>
        <w:tc>
          <w:tcPr>
            <w:tcW w:w="1016" w:type="dxa"/>
            <w:tcBorders>
              <w:top w:val="nil"/>
              <w:left w:val="nil"/>
              <w:bottom w:val="nil"/>
              <w:right w:val="nil"/>
            </w:tcBorders>
          </w:tcPr>
          <w:p>
            <w:pPr>
              <w:pStyle w:val="TableParagraph"/>
              <w:spacing w:before="39"/>
              <w:ind w:left="51"/>
              <w:jc w:val="left"/>
              <w:rPr>
                <w:sz w:val="16"/>
              </w:rPr>
            </w:pPr>
            <w:r>
              <w:rPr>
                <w:w w:val="95"/>
                <w:sz w:val="16"/>
              </w:rPr>
              <w:t>Aguascalientes</w:t>
            </w:r>
          </w:p>
        </w:tc>
        <w:tc>
          <w:tcPr>
            <w:tcW w:w="865" w:type="dxa"/>
            <w:tcBorders>
              <w:top w:val="nil"/>
              <w:left w:val="nil"/>
              <w:bottom w:val="nil"/>
              <w:right w:val="nil"/>
            </w:tcBorders>
          </w:tcPr>
          <w:p>
            <w:pPr>
              <w:pStyle w:val="TableParagraph"/>
              <w:spacing w:before="39"/>
              <w:ind w:right="49"/>
              <w:rPr>
                <w:sz w:val="16"/>
              </w:rPr>
            </w:pPr>
            <w:r>
              <w:rPr>
                <w:w w:val="95"/>
                <w:sz w:val="16"/>
              </w:rPr>
              <w:t>3 708 050</w:t>
            </w:r>
          </w:p>
        </w:tc>
        <w:tc>
          <w:tcPr>
            <w:tcW w:w="1007" w:type="dxa"/>
            <w:tcBorders>
              <w:top w:val="nil"/>
              <w:left w:val="nil"/>
              <w:bottom w:val="nil"/>
              <w:right w:val="nil"/>
            </w:tcBorders>
          </w:tcPr>
          <w:p>
            <w:pPr>
              <w:pStyle w:val="TableParagraph"/>
              <w:spacing w:before="39"/>
              <w:ind w:right="57"/>
              <w:rPr>
                <w:sz w:val="16"/>
              </w:rPr>
            </w:pPr>
            <w:r>
              <w:rPr>
                <w:w w:val="95"/>
                <w:sz w:val="16"/>
              </w:rPr>
              <w:t>137 537 594</w:t>
            </w:r>
          </w:p>
        </w:tc>
        <w:tc>
          <w:tcPr>
            <w:tcW w:w="588" w:type="dxa"/>
            <w:tcBorders>
              <w:top w:val="nil"/>
              <w:left w:val="nil"/>
              <w:bottom w:val="nil"/>
              <w:right w:val="nil"/>
            </w:tcBorders>
          </w:tcPr>
          <w:p>
            <w:pPr>
              <w:pStyle w:val="TableParagraph"/>
              <w:spacing w:before="39"/>
              <w:ind w:right="48"/>
              <w:rPr>
                <w:sz w:val="16"/>
              </w:rPr>
            </w:pPr>
            <w:r>
              <w:rPr>
                <w:w w:val="85"/>
                <w:sz w:val="16"/>
              </w:rPr>
              <w:t>2.70</w:t>
            </w:r>
          </w:p>
        </w:tc>
        <w:tc>
          <w:tcPr>
            <w:tcW w:w="820" w:type="dxa"/>
            <w:tcBorders>
              <w:top w:val="nil"/>
              <w:left w:val="nil"/>
              <w:bottom w:val="nil"/>
              <w:right w:val="nil"/>
            </w:tcBorders>
          </w:tcPr>
          <w:p>
            <w:pPr>
              <w:pStyle w:val="TableParagraph"/>
              <w:spacing w:before="39"/>
              <w:ind w:right="49"/>
              <w:rPr>
                <w:sz w:val="16"/>
              </w:rPr>
            </w:pPr>
            <w:r>
              <w:rPr>
                <w:w w:val="95"/>
                <w:sz w:val="16"/>
              </w:rPr>
              <w:t>5 862 522</w:t>
            </w:r>
          </w:p>
        </w:tc>
        <w:tc>
          <w:tcPr>
            <w:tcW w:w="597" w:type="dxa"/>
            <w:tcBorders>
              <w:top w:val="nil"/>
              <w:left w:val="nil"/>
              <w:bottom w:val="nil"/>
              <w:right w:val="nil"/>
            </w:tcBorders>
          </w:tcPr>
          <w:p>
            <w:pPr>
              <w:pStyle w:val="TableParagraph"/>
              <w:spacing w:line="180" w:lineRule="exact"/>
              <w:ind w:right="50"/>
              <w:rPr>
                <w:sz w:val="16"/>
              </w:rPr>
            </w:pPr>
            <w:r>
              <w:rPr>
                <w:w w:val="85"/>
                <w:sz w:val="16"/>
              </w:rPr>
              <w:t>63.3</w:t>
            </w:r>
          </w:p>
        </w:tc>
        <w:tc>
          <w:tcPr>
            <w:tcW w:w="949" w:type="dxa"/>
            <w:tcBorders>
              <w:top w:val="nil"/>
              <w:left w:val="nil"/>
              <w:bottom w:val="nil"/>
              <w:right w:val="nil"/>
            </w:tcBorders>
          </w:tcPr>
          <w:p>
            <w:pPr>
              <w:pStyle w:val="TableParagraph"/>
              <w:spacing w:before="39"/>
              <w:ind w:right="70"/>
              <w:rPr>
                <w:sz w:val="16"/>
              </w:rPr>
            </w:pPr>
            <w:r>
              <w:rPr>
                <w:w w:val="95"/>
                <w:sz w:val="16"/>
              </w:rPr>
              <w:t>13 440 705</w:t>
            </w:r>
          </w:p>
        </w:tc>
        <w:tc>
          <w:tcPr>
            <w:tcW w:w="610" w:type="dxa"/>
            <w:tcBorders>
              <w:top w:val="nil"/>
              <w:left w:val="nil"/>
              <w:bottom w:val="nil"/>
              <w:right w:val="nil"/>
            </w:tcBorders>
          </w:tcPr>
          <w:p>
            <w:pPr>
              <w:pStyle w:val="TableParagraph"/>
              <w:spacing w:before="39"/>
              <w:ind w:right="49"/>
              <w:rPr>
                <w:sz w:val="16"/>
              </w:rPr>
            </w:pPr>
            <w:r>
              <w:rPr>
                <w:w w:val="85"/>
                <w:sz w:val="16"/>
              </w:rPr>
              <w:t>27.6</w:t>
            </w:r>
          </w:p>
        </w:tc>
      </w:tr>
      <w:tr>
        <w:trPr>
          <w:trHeight w:val="235" w:hRule="exact"/>
        </w:trPr>
        <w:tc>
          <w:tcPr>
            <w:tcW w:w="1016" w:type="dxa"/>
            <w:tcBorders>
              <w:top w:val="nil"/>
              <w:left w:val="nil"/>
              <w:bottom w:val="nil"/>
              <w:right w:val="nil"/>
            </w:tcBorders>
          </w:tcPr>
          <w:p>
            <w:pPr>
              <w:pStyle w:val="TableParagraph"/>
              <w:spacing w:before="39"/>
              <w:ind w:left="51"/>
              <w:jc w:val="left"/>
              <w:rPr>
                <w:sz w:val="16"/>
              </w:rPr>
            </w:pPr>
            <w:r>
              <w:rPr>
                <w:sz w:val="16"/>
              </w:rPr>
              <w:t>Sonora</w:t>
            </w:r>
          </w:p>
        </w:tc>
        <w:tc>
          <w:tcPr>
            <w:tcW w:w="865" w:type="dxa"/>
            <w:tcBorders>
              <w:top w:val="nil"/>
              <w:left w:val="nil"/>
              <w:bottom w:val="nil"/>
              <w:right w:val="nil"/>
            </w:tcBorders>
          </w:tcPr>
          <w:p>
            <w:pPr>
              <w:pStyle w:val="TableParagraph"/>
              <w:spacing w:before="39"/>
              <w:ind w:right="49"/>
              <w:rPr>
                <w:sz w:val="16"/>
              </w:rPr>
            </w:pPr>
            <w:r>
              <w:rPr>
                <w:w w:val="95"/>
                <w:sz w:val="16"/>
              </w:rPr>
              <w:t>3 684 045</w:t>
            </w:r>
          </w:p>
        </w:tc>
        <w:tc>
          <w:tcPr>
            <w:tcW w:w="1007" w:type="dxa"/>
            <w:tcBorders>
              <w:top w:val="nil"/>
              <w:left w:val="nil"/>
              <w:bottom w:val="nil"/>
              <w:right w:val="nil"/>
            </w:tcBorders>
          </w:tcPr>
          <w:p>
            <w:pPr>
              <w:pStyle w:val="TableParagraph"/>
              <w:spacing w:before="39"/>
              <w:ind w:right="57"/>
              <w:rPr>
                <w:sz w:val="16"/>
              </w:rPr>
            </w:pPr>
            <w:r>
              <w:rPr>
                <w:w w:val="95"/>
                <w:sz w:val="16"/>
              </w:rPr>
              <w:t>320 899 924</w:t>
            </w:r>
          </w:p>
        </w:tc>
        <w:tc>
          <w:tcPr>
            <w:tcW w:w="588" w:type="dxa"/>
            <w:tcBorders>
              <w:top w:val="nil"/>
              <w:left w:val="nil"/>
              <w:bottom w:val="nil"/>
              <w:right w:val="nil"/>
            </w:tcBorders>
          </w:tcPr>
          <w:p>
            <w:pPr>
              <w:pStyle w:val="TableParagraph"/>
              <w:spacing w:before="39"/>
              <w:ind w:right="48"/>
              <w:rPr>
                <w:sz w:val="16"/>
              </w:rPr>
            </w:pPr>
            <w:r>
              <w:rPr>
                <w:w w:val="85"/>
                <w:sz w:val="16"/>
              </w:rPr>
              <w:t>1.15</w:t>
            </w:r>
          </w:p>
        </w:tc>
        <w:tc>
          <w:tcPr>
            <w:tcW w:w="820" w:type="dxa"/>
            <w:tcBorders>
              <w:top w:val="nil"/>
              <w:left w:val="nil"/>
              <w:bottom w:val="nil"/>
              <w:right w:val="nil"/>
            </w:tcBorders>
          </w:tcPr>
          <w:p>
            <w:pPr>
              <w:pStyle w:val="TableParagraph"/>
              <w:spacing w:before="39"/>
              <w:ind w:right="49"/>
              <w:rPr>
                <w:sz w:val="16"/>
              </w:rPr>
            </w:pPr>
            <w:r>
              <w:rPr>
                <w:w w:val="95"/>
                <w:sz w:val="16"/>
              </w:rPr>
              <w:t>23 957 342</w:t>
            </w:r>
          </w:p>
        </w:tc>
        <w:tc>
          <w:tcPr>
            <w:tcW w:w="597" w:type="dxa"/>
            <w:tcBorders>
              <w:top w:val="nil"/>
              <w:left w:val="nil"/>
              <w:bottom w:val="nil"/>
              <w:right w:val="nil"/>
            </w:tcBorders>
          </w:tcPr>
          <w:p>
            <w:pPr>
              <w:pStyle w:val="TableParagraph"/>
              <w:spacing w:line="180" w:lineRule="exact"/>
              <w:ind w:right="50"/>
              <w:rPr>
                <w:sz w:val="16"/>
              </w:rPr>
            </w:pPr>
            <w:r>
              <w:rPr>
                <w:w w:val="85"/>
                <w:sz w:val="16"/>
              </w:rPr>
              <w:t>15.4</w:t>
            </w:r>
          </w:p>
        </w:tc>
        <w:tc>
          <w:tcPr>
            <w:tcW w:w="949" w:type="dxa"/>
            <w:tcBorders>
              <w:top w:val="nil"/>
              <w:left w:val="nil"/>
              <w:bottom w:val="nil"/>
              <w:right w:val="nil"/>
            </w:tcBorders>
          </w:tcPr>
          <w:p>
            <w:pPr>
              <w:pStyle w:val="TableParagraph"/>
              <w:spacing w:before="39"/>
              <w:ind w:right="70"/>
              <w:rPr>
                <w:sz w:val="16"/>
              </w:rPr>
            </w:pPr>
            <w:r>
              <w:rPr>
                <w:w w:val="95"/>
                <w:sz w:val="16"/>
              </w:rPr>
              <w:t>38 992 614</w:t>
            </w:r>
          </w:p>
        </w:tc>
        <w:tc>
          <w:tcPr>
            <w:tcW w:w="610" w:type="dxa"/>
            <w:tcBorders>
              <w:top w:val="nil"/>
              <w:left w:val="nil"/>
              <w:bottom w:val="nil"/>
              <w:right w:val="nil"/>
            </w:tcBorders>
          </w:tcPr>
          <w:p>
            <w:pPr>
              <w:pStyle w:val="TableParagraph"/>
              <w:spacing w:before="39"/>
              <w:ind w:right="49"/>
              <w:rPr>
                <w:sz w:val="16"/>
              </w:rPr>
            </w:pPr>
            <w:r>
              <w:rPr>
                <w:w w:val="85"/>
                <w:sz w:val="16"/>
              </w:rPr>
              <w:t>9.4</w:t>
            </w:r>
          </w:p>
        </w:tc>
      </w:tr>
      <w:tr>
        <w:trPr>
          <w:trHeight w:val="235" w:hRule="exact"/>
        </w:trPr>
        <w:tc>
          <w:tcPr>
            <w:tcW w:w="1016" w:type="dxa"/>
            <w:tcBorders>
              <w:top w:val="nil"/>
              <w:left w:val="nil"/>
              <w:bottom w:val="nil"/>
              <w:right w:val="nil"/>
            </w:tcBorders>
          </w:tcPr>
          <w:p>
            <w:pPr>
              <w:pStyle w:val="TableParagraph"/>
              <w:spacing w:before="39"/>
              <w:ind w:left="51"/>
              <w:jc w:val="left"/>
              <w:rPr>
                <w:sz w:val="16"/>
              </w:rPr>
            </w:pPr>
            <w:r>
              <w:rPr>
                <w:w w:val="90"/>
                <w:sz w:val="16"/>
              </w:rPr>
              <w:t>Nuevo León</w:t>
            </w:r>
          </w:p>
        </w:tc>
        <w:tc>
          <w:tcPr>
            <w:tcW w:w="865" w:type="dxa"/>
            <w:tcBorders>
              <w:top w:val="nil"/>
              <w:left w:val="nil"/>
              <w:bottom w:val="nil"/>
              <w:right w:val="nil"/>
            </w:tcBorders>
          </w:tcPr>
          <w:p>
            <w:pPr>
              <w:pStyle w:val="TableParagraph"/>
              <w:spacing w:before="39"/>
              <w:ind w:right="49"/>
              <w:rPr>
                <w:sz w:val="16"/>
              </w:rPr>
            </w:pPr>
            <w:r>
              <w:rPr>
                <w:w w:val="95"/>
                <w:sz w:val="16"/>
              </w:rPr>
              <w:t>3 582 974</w:t>
            </w:r>
          </w:p>
        </w:tc>
        <w:tc>
          <w:tcPr>
            <w:tcW w:w="1007" w:type="dxa"/>
            <w:tcBorders>
              <w:top w:val="nil"/>
              <w:left w:val="nil"/>
              <w:bottom w:val="nil"/>
              <w:right w:val="nil"/>
            </w:tcBorders>
          </w:tcPr>
          <w:p>
            <w:pPr>
              <w:pStyle w:val="TableParagraph"/>
              <w:spacing w:before="39"/>
              <w:ind w:right="57"/>
              <w:rPr>
                <w:sz w:val="16"/>
              </w:rPr>
            </w:pPr>
            <w:r>
              <w:rPr>
                <w:w w:val="95"/>
                <w:sz w:val="16"/>
              </w:rPr>
              <w:t>938 002 962</w:t>
            </w:r>
          </w:p>
        </w:tc>
        <w:tc>
          <w:tcPr>
            <w:tcW w:w="588" w:type="dxa"/>
            <w:tcBorders>
              <w:top w:val="nil"/>
              <w:left w:val="nil"/>
              <w:bottom w:val="nil"/>
              <w:right w:val="nil"/>
            </w:tcBorders>
          </w:tcPr>
          <w:p>
            <w:pPr>
              <w:pStyle w:val="TableParagraph"/>
              <w:spacing w:before="39"/>
              <w:ind w:right="48"/>
              <w:rPr>
                <w:sz w:val="16"/>
              </w:rPr>
            </w:pPr>
            <w:r>
              <w:rPr>
                <w:w w:val="85"/>
                <w:sz w:val="16"/>
              </w:rPr>
              <w:t>0.38</w:t>
            </w:r>
          </w:p>
        </w:tc>
        <w:tc>
          <w:tcPr>
            <w:tcW w:w="820" w:type="dxa"/>
            <w:tcBorders>
              <w:top w:val="nil"/>
              <w:left w:val="nil"/>
              <w:bottom w:val="nil"/>
              <w:right w:val="nil"/>
            </w:tcBorders>
          </w:tcPr>
          <w:p>
            <w:pPr>
              <w:pStyle w:val="TableParagraph"/>
              <w:spacing w:before="39"/>
              <w:ind w:right="49"/>
              <w:rPr>
                <w:sz w:val="16"/>
              </w:rPr>
            </w:pPr>
            <w:r>
              <w:rPr>
                <w:w w:val="95"/>
                <w:sz w:val="16"/>
              </w:rPr>
              <w:t>7 284 626</w:t>
            </w:r>
          </w:p>
        </w:tc>
        <w:tc>
          <w:tcPr>
            <w:tcW w:w="597" w:type="dxa"/>
            <w:tcBorders>
              <w:top w:val="nil"/>
              <w:left w:val="nil"/>
              <w:bottom w:val="nil"/>
              <w:right w:val="nil"/>
            </w:tcBorders>
          </w:tcPr>
          <w:p>
            <w:pPr>
              <w:pStyle w:val="TableParagraph"/>
              <w:spacing w:line="180" w:lineRule="exact"/>
              <w:ind w:right="50"/>
              <w:rPr>
                <w:sz w:val="16"/>
              </w:rPr>
            </w:pPr>
            <w:r>
              <w:rPr>
                <w:w w:val="85"/>
                <w:sz w:val="16"/>
              </w:rPr>
              <w:t>49.2</w:t>
            </w:r>
          </w:p>
        </w:tc>
        <w:tc>
          <w:tcPr>
            <w:tcW w:w="949" w:type="dxa"/>
            <w:tcBorders>
              <w:top w:val="nil"/>
              <w:left w:val="nil"/>
              <w:bottom w:val="nil"/>
              <w:right w:val="nil"/>
            </w:tcBorders>
          </w:tcPr>
          <w:p>
            <w:pPr>
              <w:pStyle w:val="TableParagraph"/>
              <w:spacing w:before="39"/>
              <w:ind w:right="70"/>
              <w:rPr>
                <w:sz w:val="16"/>
              </w:rPr>
            </w:pPr>
            <w:r>
              <w:rPr>
                <w:w w:val="95"/>
                <w:sz w:val="16"/>
              </w:rPr>
              <w:t>59 343 349</w:t>
            </w:r>
          </w:p>
        </w:tc>
        <w:tc>
          <w:tcPr>
            <w:tcW w:w="610" w:type="dxa"/>
            <w:tcBorders>
              <w:top w:val="nil"/>
              <w:left w:val="nil"/>
              <w:bottom w:val="nil"/>
              <w:right w:val="nil"/>
            </w:tcBorders>
          </w:tcPr>
          <w:p>
            <w:pPr>
              <w:pStyle w:val="TableParagraph"/>
              <w:spacing w:before="39"/>
              <w:ind w:right="49"/>
              <w:rPr>
                <w:sz w:val="16"/>
              </w:rPr>
            </w:pPr>
            <w:r>
              <w:rPr>
                <w:w w:val="85"/>
                <w:sz w:val="16"/>
              </w:rPr>
              <w:t>6.0</w:t>
            </w:r>
          </w:p>
        </w:tc>
      </w:tr>
      <w:tr>
        <w:trPr>
          <w:trHeight w:val="235" w:hRule="exact"/>
        </w:trPr>
        <w:tc>
          <w:tcPr>
            <w:tcW w:w="1016" w:type="dxa"/>
            <w:tcBorders>
              <w:top w:val="nil"/>
              <w:left w:val="nil"/>
              <w:bottom w:val="nil"/>
              <w:right w:val="nil"/>
            </w:tcBorders>
          </w:tcPr>
          <w:p>
            <w:pPr>
              <w:pStyle w:val="TableParagraph"/>
              <w:spacing w:before="39"/>
              <w:ind w:left="51"/>
              <w:jc w:val="left"/>
              <w:rPr>
                <w:sz w:val="16"/>
              </w:rPr>
            </w:pPr>
            <w:r>
              <w:rPr>
                <w:sz w:val="16"/>
              </w:rPr>
              <w:t>Tlaxcala</w:t>
            </w:r>
          </w:p>
        </w:tc>
        <w:tc>
          <w:tcPr>
            <w:tcW w:w="865" w:type="dxa"/>
            <w:tcBorders>
              <w:top w:val="nil"/>
              <w:left w:val="nil"/>
              <w:bottom w:val="nil"/>
              <w:right w:val="nil"/>
            </w:tcBorders>
          </w:tcPr>
          <w:p>
            <w:pPr>
              <w:pStyle w:val="TableParagraph"/>
              <w:spacing w:before="39"/>
              <w:ind w:right="49"/>
              <w:rPr>
                <w:sz w:val="16"/>
              </w:rPr>
            </w:pPr>
            <w:r>
              <w:rPr>
                <w:w w:val="95"/>
                <w:sz w:val="16"/>
              </w:rPr>
              <w:t>3 260 810</w:t>
            </w:r>
          </w:p>
        </w:tc>
        <w:tc>
          <w:tcPr>
            <w:tcW w:w="1007" w:type="dxa"/>
            <w:tcBorders>
              <w:top w:val="nil"/>
              <w:left w:val="nil"/>
              <w:bottom w:val="nil"/>
              <w:right w:val="nil"/>
            </w:tcBorders>
          </w:tcPr>
          <w:p>
            <w:pPr>
              <w:pStyle w:val="TableParagraph"/>
              <w:spacing w:before="39"/>
              <w:ind w:right="57"/>
              <w:rPr>
                <w:sz w:val="16"/>
              </w:rPr>
            </w:pPr>
            <w:r>
              <w:rPr>
                <w:w w:val="95"/>
                <w:sz w:val="16"/>
              </w:rPr>
              <w:t>67 852 644</w:t>
            </w:r>
          </w:p>
        </w:tc>
        <w:tc>
          <w:tcPr>
            <w:tcW w:w="588" w:type="dxa"/>
            <w:tcBorders>
              <w:top w:val="nil"/>
              <w:left w:val="nil"/>
              <w:bottom w:val="nil"/>
              <w:right w:val="nil"/>
            </w:tcBorders>
          </w:tcPr>
          <w:p>
            <w:pPr>
              <w:pStyle w:val="TableParagraph"/>
              <w:spacing w:before="39"/>
              <w:ind w:right="48"/>
              <w:rPr>
                <w:sz w:val="16"/>
              </w:rPr>
            </w:pPr>
            <w:r>
              <w:rPr>
                <w:w w:val="85"/>
                <w:sz w:val="16"/>
              </w:rPr>
              <w:t>4.81</w:t>
            </w:r>
          </w:p>
        </w:tc>
        <w:tc>
          <w:tcPr>
            <w:tcW w:w="820" w:type="dxa"/>
            <w:tcBorders>
              <w:top w:val="nil"/>
              <w:left w:val="nil"/>
              <w:bottom w:val="nil"/>
              <w:right w:val="nil"/>
            </w:tcBorders>
          </w:tcPr>
          <w:p>
            <w:pPr>
              <w:pStyle w:val="TableParagraph"/>
              <w:spacing w:before="39"/>
              <w:ind w:right="49"/>
              <w:rPr>
                <w:sz w:val="16"/>
              </w:rPr>
            </w:pPr>
            <w:r>
              <w:rPr>
                <w:w w:val="95"/>
                <w:sz w:val="16"/>
              </w:rPr>
              <w:t>2 986 220</w:t>
            </w:r>
          </w:p>
        </w:tc>
        <w:tc>
          <w:tcPr>
            <w:tcW w:w="597" w:type="dxa"/>
            <w:tcBorders>
              <w:top w:val="nil"/>
              <w:left w:val="nil"/>
              <w:bottom w:val="nil"/>
              <w:right w:val="nil"/>
            </w:tcBorders>
          </w:tcPr>
          <w:p>
            <w:pPr>
              <w:pStyle w:val="TableParagraph"/>
              <w:spacing w:line="180" w:lineRule="exact"/>
              <w:ind w:right="50"/>
              <w:rPr>
                <w:sz w:val="16"/>
              </w:rPr>
            </w:pPr>
            <w:r>
              <w:rPr>
                <w:w w:val="85"/>
                <w:sz w:val="16"/>
              </w:rPr>
              <w:t>109.2</w:t>
            </w:r>
          </w:p>
        </w:tc>
        <w:tc>
          <w:tcPr>
            <w:tcW w:w="949" w:type="dxa"/>
            <w:tcBorders>
              <w:top w:val="nil"/>
              <w:left w:val="nil"/>
              <w:bottom w:val="nil"/>
              <w:right w:val="nil"/>
            </w:tcBorders>
          </w:tcPr>
          <w:p>
            <w:pPr>
              <w:pStyle w:val="TableParagraph"/>
              <w:spacing w:before="39"/>
              <w:ind w:right="70"/>
              <w:rPr>
                <w:sz w:val="16"/>
              </w:rPr>
            </w:pPr>
            <w:r>
              <w:rPr>
                <w:w w:val="95"/>
                <w:sz w:val="16"/>
              </w:rPr>
              <w:t>17 005 540</w:t>
            </w:r>
          </w:p>
        </w:tc>
        <w:tc>
          <w:tcPr>
            <w:tcW w:w="610" w:type="dxa"/>
            <w:tcBorders>
              <w:top w:val="nil"/>
              <w:left w:val="nil"/>
              <w:bottom w:val="nil"/>
              <w:right w:val="nil"/>
            </w:tcBorders>
          </w:tcPr>
          <w:p>
            <w:pPr>
              <w:pStyle w:val="TableParagraph"/>
              <w:spacing w:before="39"/>
              <w:ind w:right="49"/>
              <w:rPr>
                <w:sz w:val="16"/>
              </w:rPr>
            </w:pPr>
            <w:r>
              <w:rPr>
                <w:w w:val="85"/>
                <w:sz w:val="16"/>
              </w:rPr>
              <w:t>19.2</w:t>
            </w:r>
          </w:p>
        </w:tc>
      </w:tr>
      <w:tr>
        <w:trPr>
          <w:trHeight w:val="235" w:hRule="exact"/>
        </w:trPr>
        <w:tc>
          <w:tcPr>
            <w:tcW w:w="1016" w:type="dxa"/>
            <w:tcBorders>
              <w:top w:val="nil"/>
              <w:left w:val="nil"/>
              <w:bottom w:val="nil"/>
              <w:right w:val="nil"/>
            </w:tcBorders>
          </w:tcPr>
          <w:p>
            <w:pPr>
              <w:pStyle w:val="TableParagraph"/>
              <w:spacing w:before="39"/>
              <w:ind w:left="51"/>
              <w:jc w:val="left"/>
              <w:rPr>
                <w:sz w:val="16"/>
              </w:rPr>
            </w:pPr>
            <w:r>
              <w:rPr>
                <w:sz w:val="16"/>
              </w:rPr>
              <w:t>Coahuila</w:t>
            </w:r>
          </w:p>
        </w:tc>
        <w:tc>
          <w:tcPr>
            <w:tcW w:w="865" w:type="dxa"/>
            <w:tcBorders>
              <w:top w:val="nil"/>
              <w:left w:val="nil"/>
              <w:bottom w:val="nil"/>
              <w:right w:val="nil"/>
            </w:tcBorders>
          </w:tcPr>
          <w:p>
            <w:pPr>
              <w:pStyle w:val="TableParagraph"/>
              <w:spacing w:before="39"/>
              <w:ind w:right="49"/>
              <w:rPr>
                <w:sz w:val="16"/>
              </w:rPr>
            </w:pPr>
            <w:r>
              <w:rPr>
                <w:w w:val="95"/>
                <w:sz w:val="16"/>
              </w:rPr>
              <w:t>2 952 542</w:t>
            </w:r>
          </w:p>
        </w:tc>
        <w:tc>
          <w:tcPr>
            <w:tcW w:w="1007" w:type="dxa"/>
            <w:tcBorders>
              <w:top w:val="nil"/>
              <w:left w:val="nil"/>
              <w:bottom w:val="nil"/>
              <w:right w:val="nil"/>
            </w:tcBorders>
          </w:tcPr>
          <w:p>
            <w:pPr>
              <w:pStyle w:val="TableParagraph"/>
              <w:spacing w:before="39"/>
              <w:ind w:right="57"/>
              <w:rPr>
                <w:sz w:val="16"/>
              </w:rPr>
            </w:pPr>
            <w:r>
              <w:rPr>
                <w:w w:val="95"/>
                <w:sz w:val="16"/>
              </w:rPr>
              <w:t>388 502 943</w:t>
            </w:r>
          </w:p>
        </w:tc>
        <w:tc>
          <w:tcPr>
            <w:tcW w:w="588" w:type="dxa"/>
            <w:tcBorders>
              <w:top w:val="nil"/>
              <w:left w:val="nil"/>
              <w:bottom w:val="nil"/>
              <w:right w:val="nil"/>
            </w:tcBorders>
          </w:tcPr>
          <w:p>
            <w:pPr>
              <w:pStyle w:val="TableParagraph"/>
              <w:spacing w:before="39"/>
              <w:ind w:right="48"/>
              <w:rPr>
                <w:sz w:val="16"/>
              </w:rPr>
            </w:pPr>
            <w:r>
              <w:rPr>
                <w:w w:val="85"/>
                <w:sz w:val="16"/>
              </w:rPr>
              <w:t>0.76</w:t>
            </w:r>
          </w:p>
        </w:tc>
        <w:tc>
          <w:tcPr>
            <w:tcW w:w="820" w:type="dxa"/>
            <w:tcBorders>
              <w:top w:val="nil"/>
              <w:left w:val="nil"/>
              <w:bottom w:val="nil"/>
              <w:right w:val="nil"/>
            </w:tcBorders>
          </w:tcPr>
          <w:p>
            <w:pPr>
              <w:pStyle w:val="TableParagraph"/>
              <w:spacing w:before="39"/>
              <w:ind w:right="49"/>
              <w:rPr>
                <w:sz w:val="16"/>
              </w:rPr>
            </w:pPr>
            <w:r>
              <w:rPr>
                <w:w w:val="95"/>
                <w:sz w:val="16"/>
              </w:rPr>
              <w:t>10 779 031</w:t>
            </w:r>
          </w:p>
        </w:tc>
        <w:tc>
          <w:tcPr>
            <w:tcW w:w="597" w:type="dxa"/>
            <w:tcBorders>
              <w:top w:val="nil"/>
              <w:left w:val="nil"/>
              <w:bottom w:val="nil"/>
              <w:right w:val="nil"/>
            </w:tcBorders>
          </w:tcPr>
          <w:p>
            <w:pPr>
              <w:pStyle w:val="TableParagraph"/>
              <w:spacing w:line="180" w:lineRule="exact"/>
              <w:ind w:right="50"/>
              <w:rPr>
                <w:sz w:val="16"/>
              </w:rPr>
            </w:pPr>
            <w:r>
              <w:rPr>
                <w:w w:val="85"/>
                <w:sz w:val="16"/>
              </w:rPr>
              <w:t>27.4</w:t>
            </w:r>
          </w:p>
        </w:tc>
        <w:tc>
          <w:tcPr>
            <w:tcW w:w="949" w:type="dxa"/>
            <w:tcBorders>
              <w:top w:val="nil"/>
              <w:left w:val="nil"/>
              <w:bottom w:val="nil"/>
              <w:right w:val="nil"/>
            </w:tcBorders>
          </w:tcPr>
          <w:p>
            <w:pPr>
              <w:pStyle w:val="TableParagraph"/>
              <w:spacing w:before="39"/>
              <w:ind w:right="70"/>
              <w:rPr>
                <w:sz w:val="16"/>
              </w:rPr>
            </w:pPr>
            <w:r>
              <w:rPr>
                <w:w w:val="95"/>
                <w:sz w:val="16"/>
              </w:rPr>
              <w:t>40 052 238</w:t>
            </w:r>
          </w:p>
        </w:tc>
        <w:tc>
          <w:tcPr>
            <w:tcW w:w="610" w:type="dxa"/>
            <w:tcBorders>
              <w:top w:val="nil"/>
              <w:left w:val="nil"/>
              <w:bottom w:val="nil"/>
              <w:right w:val="nil"/>
            </w:tcBorders>
          </w:tcPr>
          <w:p>
            <w:pPr>
              <w:pStyle w:val="TableParagraph"/>
              <w:spacing w:before="39"/>
              <w:ind w:right="49"/>
              <w:rPr>
                <w:sz w:val="16"/>
              </w:rPr>
            </w:pPr>
            <w:r>
              <w:rPr>
                <w:w w:val="85"/>
                <w:sz w:val="16"/>
              </w:rPr>
              <w:t>7.4</w:t>
            </w:r>
          </w:p>
        </w:tc>
      </w:tr>
      <w:tr>
        <w:trPr>
          <w:trHeight w:val="239" w:hRule="exact"/>
        </w:trPr>
        <w:tc>
          <w:tcPr>
            <w:tcW w:w="1016" w:type="dxa"/>
            <w:tcBorders>
              <w:top w:val="nil"/>
              <w:left w:val="nil"/>
              <w:bottom w:val="nil"/>
              <w:right w:val="nil"/>
            </w:tcBorders>
          </w:tcPr>
          <w:p>
            <w:pPr>
              <w:pStyle w:val="TableParagraph"/>
              <w:spacing w:before="43"/>
              <w:ind w:left="51"/>
              <w:jc w:val="left"/>
              <w:rPr>
                <w:sz w:val="16"/>
              </w:rPr>
            </w:pPr>
            <w:r>
              <w:rPr>
                <w:sz w:val="16"/>
              </w:rPr>
              <w:t>Colima</w:t>
            </w:r>
          </w:p>
        </w:tc>
        <w:tc>
          <w:tcPr>
            <w:tcW w:w="865" w:type="dxa"/>
            <w:tcBorders>
              <w:top w:val="nil"/>
              <w:left w:val="nil"/>
              <w:bottom w:val="nil"/>
              <w:right w:val="nil"/>
            </w:tcBorders>
          </w:tcPr>
          <w:p>
            <w:pPr>
              <w:pStyle w:val="TableParagraph"/>
              <w:spacing w:before="43"/>
              <w:ind w:right="49"/>
              <w:rPr>
                <w:sz w:val="16"/>
              </w:rPr>
            </w:pPr>
            <w:r>
              <w:rPr>
                <w:w w:val="95"/>
                <w:sz w:val="16"/>
              </w:rPr>
              <w:t>2 164 187</w:t>
            </w:r>
          </w:p>
        </w:tc>
        <w:tc>
          <w:tcPr>
            <w:tcW w:w="1007" w:type="dxa"/>
            <w:tcBorders>
              <w:top w:val="nil"/>
              <w:left w:val="nil"/>
              <w:bottom w:val="nil"/>
              <w:right w:val="nil"/>
            </w:tcBorders>
          </w:tcPr>
          <w:p>
            <w:pPr>
              <w:pStyle w:val="TableParagraph"/>
              <w:spacing w:before="43"/>
              <w:ind w:right="57"/>
              <w:rPr>
                <w:sz w:val="16"/>
              </w:rPr>
            </w:pPr>
            <w:r>
              <w:rPr>
                <w:w w:val="95"/>
                <w:sz w:val="16"/>
              </w:rPr>
              <w:t>69 551 309</w:t>
            </w:r>
          </w:p>
        </w:tc>
        <w:tc>
          <w:tcPr>
            <w:tcW w:w="588" w:type="dxa"/>
            <w:tcBorders>
              <w:top w:val="nil"/>
              <w:left w:val="nil"/>
              <w:bottom w:val="nil"/>
              <w:right w:val="nil"/>
            </w:tcBorders>
          </w:tcPr>
          <w:p>
            <w:pPr>
              <w:pStyle w:val="TableParagraph"/>
              <w:spacing w:before="43"/>
              <w:ind w:right="48"/>
              <w:rPr>
                <w:sz w:val="16"/>
              </w:rPr>
            </w:pPr>
            <w:r>
              <w:rPr>
                <w:w w:val="85"/>
                <w:sz w:val="16"/>
              </w:rPr>
              <w:t>3.11</w:t>
            </w:r>
          </w:p>
        </w:tc>
        <w:tc>
          <w:tcPr>
            <w:tcW w:w="820" w:type="dxa"/>
            <w:tcBorders>
              <w:top w:val="nil"/>
              <w:left w:val="nil"/>
              <w:bottom w:val="nil"/>
              <w:right w:val="nil"/>
            </w:tcBorders>
          </w:tcPr>
          <w:p>
            <w:pPr>
              <w:pStyle w:val="TableParagraph"/>
              <w:spacing w:before="43"/>
              <w:ind w:right="49"/>
              <w:rPr>
                <w:sz w:val="16"/>
              </w:rPr>
            </w:pPr>
            <w:r>
              <w:rPr>
                <w:w w:val="95"/>
                <w:sz w:val="16"/>
              </w:rPr>
              <w:t>4 174 192</w:t>
            </w:r>
          </w:p>
        </w:tc>
        <w:tc>
          <w:tcPr>
            <w:tcW w:w="597" w:type="dxa"/>
            <w:tcBorders>
              <w:top w:val="nil"/>
              <w:left w:val="nil"/>
              <w:bottom w:val="nil"/>
              <w:right w:val="nil"/>
            </w:tcBorders>
          </w:tcPr>
          <w:p>
            <w:pPr>
              <w:pStyle w:val="TableParagraph"/>
              <w:spacing w:line="180" w:lineRule="exact"/>
              <w:ind w:right="50"/>
              <w:rPr>
                <w:sz w:val="16"/>
              </w:rPr>
            </w:pPr>
            <w:r>
              <w:rPr>
                <w:w w:val="85"/>
                <w:sz w:val="16"/>
              </w:rPr>
              <w:t>51.8</w:t>
            </w:r>
          </w:p>
        </w:tc>
        <w:tc>
          <w:tcPr>
            <w:tcW w:w="949" w:type="dxa"/>
            <w:tcBorders>
              <w:top w:val="nil"/>
              <w:left w:val="nil"/>
              <w:bottom w:val="nil"/>
              <w:right w:val="nil"/>
            </w:tcBorders>
          </w:tcPr>
          <w:p>
            <w:pPr>
              <w:pStyle w:val="TableParagraph"/>
              <w:spacing w:before="43"/>
              <w:ind w:right="70"/>
              <w:rPr>
                <w:sz w:val="16"/>
              </w:rPr>
            </w:pPr>
            <w:r>
              <w:rPr>
                <w:w w:val="95"/>
                <w:sz w:val="16"/>
              </w:rPr>
              <w:t>8 826 824</w:t>
            </w:r>
          </w:p>
        </w:tc>
        <w:tc>
          <w:tcPr>
            <w:tcW w:w="610" w:type="dxa"/>
            <w:tcBorders>
              <w:top w:val="nil"/>
              <w:left w:val="nil"/>
              <w:bottom w:val="nil"/>
              <w:right w:val="nil"/>
            </w:tcBorders>
          </w:tcPr>
          <w:p>
            <w:pPr>
              <w:pStyle w:val="TableParagraph"/>
              <w:spacing w:before="43"/>
              <w:ind w:right="49"/>
              <w:rPr>
                <w:sz w:val="16"/>
              </w:rPr>
            </w:pPr>
            <w:r>
              <w:rPr>
                <w:w w:val="85"/>
                <w:sz w:val="16"/>
              </w:rPr>
              <w:t>24.5</w:t>
            </w:r>
          </w:p>
        </w:tc>
      </w:tr>
      <w:tr>
        <w:trPr>
          <w:trHeight w:val="235" w:hRule="exact"/>
        </w:trPr>
        <w:tc>
          <w:tcPr>
            <w:tcW w:w="1016" w:type="dxa"/>
            <w:tcBorders>
              <w:top w:val="nil"/>
              <w:left w:val="nil"/>
              <w:bottom w:val="nil"/>
              <w:right w:val="nil"/>
            </w:tcBorders>
          </w:tcPr>
          <w:p>
            <w:pPr>
              <w:pStyle w:val="TableParagraph"/>
              <w:spacing w:before="39"/>
              <w:ind w:left="51"/>
              <w:jc w:val="left"/>
              <w:rPr>
                <w:b/>
                <w:sz w:val="16"/>
              </w:rPr>
            </w:pPr>
            <w:r>
              <w:rPr>
                <w:b/>
                <w:sz w:val="16"/>
              </w:rPr>
              <w:t>Yucatán</w:t>
            </w:r>
          </w:p>
        </w:tc>
        <w:tc>
          <w:tcPr>
            <w:tcW w:w="865" w:type="dxa"/>
            <w:tcBorders>
              <w:top w:val="nil"/>
              <w:left w:val="nil"/>
              <w:bottom w:val="nil"/>
              <w:right w:val="nil"/>
            </w:tcBorders>
          </w:tcPr>
          <w:p>
            <w:pPr>
              <w:pStyle w:val="TableParagraph"/>
              <w:spacing w:before="39"/>
              <w:ind w:right="49"/>
              <w:rPr>
                <w:b/>
                <w:sz w:val="16"/>
              </w:rPr>
            </w:pPr>
            <w:r>
              <w:rPr>
                <w:b/>
                <w:w w:val="95"/>
                <w:sz w:val="16"/>
              </w:rPr>
              <w:t>1 421 314</w:t>
            </w:r>
          </w:p>
        </w:tc>
        <w:tc>
          <w:tcPr>
            <w:tcW w:w="1007" w:type="dxa"/>
            <w:tcBorders>
              <w:top w:val="nil"/>
              <w:left w:val="nil"/>
              <w:bottom w:val="nil"/>
              <w:right w:val="nil"/>
            </w:tcBorders>
          </w:tcPr>
          <w:p>
            <w:pPr>
              <w:pStyle w:val="TableParagraph"/>
              <w:spacing w:before="39"/>
              <w:ind w:right="57"/>
              <w:rPr>
                <w:b/>
                <w:sz w:val="16"/>
              </w:rPr>
            </w:pPr>
            <w:r>
              <w:rPr>
                <w:b/>
                <w:w w:val="95"/>
                <w:sz w:val="16"/>
              </w:rPr>
              <w:t>175 015 847</w:t>
            </w:r>
          </w:p>
        </w:tc>
        <w:tc>
          <w:tcPr>
            <w:tcW w:w="588" w:type="dxa"/>
            <w:tcBorders>
              <w:top w:val="nil"/>
              <w:left w:val="nil"/>
              <w:bottom w:val="nil"/>
              <w:right w:val="nil"/>
            </w:tcBorders>
          </w:tcPr>
          <w:p>
            <w:pPr>
              <w:pStyle w:val="TableParagraph"/>
              <w:spacing w:before="39"/>
              <w:ind w:right="48"/>
              <w:rPr>
                <w:b/>
                <w:sz w:val="16"/>
              </w:rPr>
            </w:pPr>
            <w:r>
              <w:rPr>
                <w:b/>
                <w:w w:val="85"/>
                <w:sz w:val="16"/>
              </w:rPr>
              <w:t>0.81</w:t>
            </w:r>
          </w:p>
        </w:tc>
        <w:tc>
          <w:tcPr>
            <w:tcW w:w="820" w:type="dxa"/>
            <w:tcBorders>
              <w:top w:val="nil"/>
              <w:left w:val="nil"/>
              <w:bottom w:val="nil"/>
              <w:right w:val="nil"/>
            </w:tcBorders>
          </w:tcPr>
          <w:p>
            <w:pPr>
              <w:pStyle w:val="TableParagraph"/>
              <w:spacing w:before="39"/>
              <w:ind w:right="49"/>
              <w:rPr>
                <w:b/>
                <w:sz w:val="16"/>
              </w:rPr>
            </w:pPr>
            <w:r>
              <w:rPr>
                <w:b/>
                <w:w w:val="95"/>
                <w:sz w:val="16"/>
              </w:rPr>
              <w:t>7 419 043</w:t>
            </w:r>
          </w:p>
        </w:tc>
        <w:tc>
          <w:tcPr>
            <w:tcW w:w="597" w:type="dxa"/>
            <w:tcBorders>
              <w:top w:val="nil"/>
              <w:left w:val="nil"/>
              <w:bottom w:val="nil"/>
              <w:right w:val="nil"/>
            </w:tcBorders>
          </w:tcPr>
          <w:p>
            <w:pPr>
              <w:pStyle w:val="TableParagraph"/>
              <w:spacing w:line="180" w:lineRule="exact"/>
              <w:ind w:right="50"/>
              <w:rPr>
                <w:b/>
                <w:sz w:val="16"/>
              </w:rPr>
            </w:pPr>
            <w:r>
              <w:rPr>
                <w:b/>
                <w:w w:val="85"/>
                <w:sz w:val="16"/>
              </w:rPr>
              <w:t>19.2</w:t>
            </w:r>
          </w:p>
        </w:tc>
        <w:tc>
          <w:tcPr>
            <w:tcW w:w="949" w:type="dxa"/>
            <w:tcBorders>
              <w:top w:val="nil"/>
              <w:left w:val="nil"/>
              <w:bottom w:val="nil"/>
              <w:right w:val="nil"/>
            </w:tcBorders>
          </w:tcPr>
          <w:p>
            <w:pPr>
              <w:pStyle w:val="TableParagraph"/>
              <w:spacing w:before="39"/>
              <w:ind w:right="70"/>
              <w:rPr>
                <w:b/>
                <w:sz w:val="16"/>
              </w:rPr>
            </w:pPr>
            <w:r>
              <w:rPr>
                <w:b/>
                <w:w w:val="95"/>
                <w:sz w:val="16"/>
              </w:rPr>
              <w:t>21 768 190</w:t>
            </w:r>
          </w:p>
        </w:tc>
        <w:tc>
          <w:tcPr>
            <w:tcW w:w="610" w:type="dxa"/>
            <w:tcBorders>
              <w:top w:val="nil"/>
              <w:left w:val="nil"/>
              <w:bottom w:val="nil"/>
              <w:right w:val="nil"/>
            </w:tcBorders>
          </w:tcPr>
          <w:p>
            <w:pPr>
              <w:pStyle w:val="TableParagraph"/>
              <w:spacing w:before="39"/>
              <w:ind w:right="49"/>
              <w:rPr>
                <w:b/>
                <w:sz w:val="16"/>
              </w:rPr>
            </w:pPr>
            <w:r>
              <w:rPr>
                <w:b/>
                <w:w w:val="85"/>
                <w:sz w:val="16"/>
              </w:rPr>
              <w:t>6.5</w:t>
            </w:r>
          </w:p>
        </w:tc>
      </w:tr>
      <w:tr>
        <w:trPr>
          <w:trHeight w:val="235" w:hRule="exact"/>
        </w:trPr>
        <w:tc>
          <w:tcPr>
            <w:tcW w:w="1016" w:type="dxa"/>
            <w:tcBorders>
              <w:top w:val="nil"/>
              <w:left w:val="nil"/>
              <w:bottom w:val="nil"/>
              <w:right w:val="nil"/>
            </w:tcBorders>
          </w:tcPr>
          <w:p>
            <w:pPr>
              <w:pStyle w:val="TableParagraph"/>
              <w:spacing w:before="39"/>
              <w:ind w:left="51"/>
              <w:jc w:val="left"/>
              <w:rPr>
                <w:sz w:val="16"/>
              </w:rPr>
            </w:pPr>
            <w:r>
              <w:rPr>
                <w:sz w:val="16"/>
              </w:rPr>
              <w:t>Tabasco</w:t>
            </w:r>
          </w:p>
        </w:tc>
        <w:tc>
          <w:tcPr>
            <w:tcW w:w="865" w:type="dxa"/>
            <w:tcBorders>
              <w:top w:val="nil"/>
              <w:left w:val="nil"/>
              <w:bottom w:val="nil"/>
              <w:right w:val="nil"/>
            </w:tcBorders>
          </w:tcPr>
          <w:p>
            <w:pPr>
              <w:pStyle w:val="TableParagraph"/>
              <w:spacing w:before="39"/>
              <w:ind w:right="49"/>
              <w:rPr>
                <w:sz w:val="16"/>
              </w:rPr>
            </w:pPr>
            <w:r>
              <w:rPr>
                <w:w w:val="95"/>
                <w:sz w:val="16"/>
              </w:rPr>
              <w:t>1 404 890</w:t>
            </w:r>
          </w:p>
        </w:tc>
        <w:tc>
          <w:tcPr>
            <w:tcW w:w="1007" w:type="dxa"/>
            <w:tcBorders>
              <w:top w:val="nil"/>
              <w:left w:val="nil"/>
              <w:bottom w:val="nil"/>
              <w:right w:val="nil"/>
            </w:tcBorders>
          </w:tcPr>
          <w:p>
            <w:pPr>
              <w:pStyle w:val="TableParagraph"/>
              <w:spacing w:before="39"/>
              <w:ind w:right="57"/>
              <w:rPr>
                <w:sz w:val="16"/>
              </w:rPr>
            </w:pPr>
            <w:r>
              <w:rPr>
                <w:w w:val="95"/>
                <w:sz w:val="16"/>
              </w:rPr>
              <w:t>462 467 019</w:t>
            </w:r>
          </w:p>
        </w:tc>
        <w:tc>
          <w:tcPr>
            <w:tcW w:w="588" w:type="dxa"/>
            <w:tcBorders>
              <w:top w:val="nil"/>
              <w:left w:val="nil"/>
              <w:bottom w:val="nil"/>
              <w:right w:val="nil"/>
            </w:tcBorders>
          </w:tcPr>
          <w:p>
            <w:pPr>
              <w:pStyle w:val="TableParagraph"/>
              <w:spacing w:before="39"/>
              <w:ind w:right="48"/>
              <w:rPr>
                <w:sz w:val="16"/>
              </w:rPr>
            </w:pPr>
            <w:r>
              <w:rPr>
                <w:w w:val="85"/>
                <w:sz w:val="16"/>
              </w:rPr>
              <w:t>0.30</w:t>
            </w:r>
          </w:p>
        </w:tc>
        <w:tc>
          <w:tcPr>
            <w:tcW w:w="820" w:type="dxa"/>
            <w:tcBorders>
              <w:top w:val="nil"/>
              <w:left w:val="nil"/>
              <w:bottom w:val="nil"/>
              <w:right w:val="nil"/>
            </w:tcBorders>
          </w:tcPr>
          <w:p>
            <w:pPr>
              <w:pStyle w:val="TableParagraph"/>
              <w:spacing w:before="39"/>
              <w:ind w:right="49"/>
              <w:rPr>
                <w:sz w:val="16"/>
              </w:rPr>
            </w:pPr>
            <w:r>
              <w:rPr>
                <w:w w:val="95"/>
                <w:sz w:val="16"/>
              </w:rPr>
              <w:t>5 756 506</w:t>
            </w:r>
          </w:p>
        </w:tc>
        <w:tc>
          <w:tcPr>
            <w:tcW w:w="597" w:type="dxa"/>
            <w:tcBorders>
              <w:top w:val="nil"/>
              <w:left w:val="nil"/>
              <w:bottom w:val="nil"/>
              <w:right w:val="nil"/>
            </w:tcBorders>
          </w:tcPr>
          <w:p>
            <w:pPr>
              <w:pStyle w:val="TableParagraph"/>
              <w:spacing w:line="180" w:lineRule="exact"/>
              <w:ind w:right="50"/>
              <w:rPr>
                <w:sz w:val="16"/>
              </w:rPr>
            </w:pPr>
            <w:r>
              <w:rPr>
                <w:w w:val="85"/>
                <w:sz w:val="16"/>
              </w:rPr>
              <w:t>24.4</w:t>
            </w:r>
          </w:p>
        </w:tc>
        <w:tc>
          <w:tcPr>
            <w:tcW w:w="949" w:type="dxa"/>
            <w:tcBorders>
              <w:top w:val="nil"/>
              <w:left w:val="nil"/>
              <w:bottom w:val="nil"/>
              <w:right w:val="nil"/>
            </w:tcBorders>
          </w:tcPr>
          <w:p>
            <w:pPr>
              <w:pStyle w:val="TableParagraph"/>
              <w:spacing w:before="39"/>
              <w:ind w:right="70"/>
              <w:rPr>
                <w:sz w:val="16"/>
              </w:rPr>
            </w:pPr>
            <w:r>
              <w:rPr>
                <w:w w:val="95"/>
                <w:sz w:val="16"/>
              </w:rPr>
              <w:t>35 013 053</w:t>
            </w:r>
          </w:p>
        </w:tc>
        <w:tc>
          <w:tcPr>
            <w:tcW w:w="610" w:type="dxa"/>
            <w:tcBorders>
              <w:top w:val="nil"/>
              <w:left w:val="nil"/>
              <w:bottom w:val="nil"/>
              <w:right w:val="nil"/>
            </w:tcBorders>
          </w:tcPr>
          <w:p>
            <w:pPr>
              <w:pStyle w:val="TableParagraph"/>
              <w:spacing w:before="39"/>
              <w:ind w:right="49"/>
              <w:rPr>
                <w:sz w:val="16"/>
              </w:rPr>
            </w:pPr>
            <w:r>
              <w:rPr>
                <w:w w:val="85"/>
                <w:sz w:val="16"/>
              </w:rPr>
              <w:t>4.0</w:t>
            </w:r>
          </w:p>
        </w:tc>
      </w:tr>
      <w:tr>
        <w:trPr>
          <w:trHeight w:val="235" w:hRule="exact"/>
        </w:trPr>
        <w:tc>
          <w:tcPr>
            <w:tcW w:w="1016" w:type="dxa"/>
            <w:tcBorders>
              <w:top w:val="nil"/>
              <w:left w:val="nil"/>
              <w:bottom w:val="nil"/>
              <w:right w:val="nil"/>
            </w:tcBorders>
          </w:tcPr>
          <w:p>
            <w:pPr>
              <w:pStyle w:val="TableParagraph"/>
              <w:spacing w:before="39"/>
              <w:ind w:left="51"/>
              <w:jc w:val="left"/>
              <w:rPr>
                <w:sz w:val="16"/>
              </w:rPr>
            </w:pPr>
            <w:r>
              <w:rPr>
                <w:w w:val="90"/>
                <w:sz w:val="16"/>
              </w:rPr>
              <w:t>Quintana Roo</w:t>
            </w:r>
          </w:p>
        </w:tc>
        <w:tc>
          <w:tcPr>
            <w:tcW w:w="865" w:type="dxa"/>
            <w:tcBorders>
              <w:top w:val="nil"/>
              <w:left w:val="nil"/>
              <w:bottom w:val="nil"/>
              <w:right w:val="nil"/>
            </w:tcBorders>
          </w:tcPr>
          <w:p>
            <w:pPr>
              <w:pStyle w:val="TableParagraph"/>
              <w:spacing w:before="39"/>
              <w:ind w:right="49"/>
              <w:rPr>
                <w:sz w:val="16"/>
              </w:rPr>
            </w:pPr>
            <w:r>
              <w:rPr>
                <w:w w:val="95"/>
                <w:sz w:val="16"/>
              </w:rPr>
              <w:t>1 095 359</w:t>
            </w:r>
          </w:p>
        </w:tc>
        <w:tc>
          <w:tcPr>
            <w:tcW w:w="1007" w:type="dxa"/>
            <w:tcBorders>
              <w:top w:val="nil"/>
              <w:left w:val="nil"/>
              <w:bottom w:val="nil"/>
              <w:right w:val="nil"/>
            </w:tcBorders>
          </w:tcPr>
          <w:p>
            <w:pPr>
              <w:pStyle w:val="TableParagraph"/>
              <w:spacing w:before="39"/>
              <w:ind w:right="57"/>
              <w:rPr>
                <w:sz w:val="16"/>
              </w:rPr>
            </w:pPr>
            <w:r>
              <w:rPr>
                <w:w w:val="95"/>
                <w:sz w:val="16"/>
              </w:rPr>
              <w:t>176 812 630</w:t>
            </w:r>
          </w:p>
        </w:tc>
        <w:tc>
          <w:tcPr>
            <w:tcW w:w="588" w:type="dxa"/>
            <w:tcBorders>
              <w:top w:val="nil"/>
              <w:left w:val="nil"/>
              <w:bottom w:val="nil"/>
              <w:right w:val="nil"/>
            </w:tcBorders>
          </w:tcPr>
          <w:p>
            <w:pPr>
              <w:pStyle w:val="TableParagraph"/>
              <w:spacing w:before="39"/>
              <w:ind w:right="48"/>
              <w:rPr>
                <w:sz w:val="16"/>
              </w:rPr>
            </w:pPr>
            <w:r>
              <w:rPr>
                <w:w w:val="85"/>
                <w:sz w:val="16"/>
              </w:rPr>
              <w:t>0.62</w:t>
            </w:r>
          </w:p>
        </w:tc>
        <w:tc>
          <w:tcPr>
            <w:tcW w:w="820" w:type="dxa"/>
            <w:tcBorders>
              <w:top w:val="nil"/>
              <w:left w:val="nil"/>
              <w:bottom w:val="nil"/>
              <w:right w:val="nil"/>
            </w:tcBorders>
          </w:tcPr>
          <w:p>
            <w:pPr>
              <w:pStyle w:val="TableParagraph"/>
              <w:spacing w:before="39"/>
              <w:ind w:right="49"/>
              <w:rPr>
                <w:sz w:val="16"/>
              </w:rPr>
            </w:pPr>
            <w:r>
              <w:rPr>
                <w:w w:val="95"/>
                <w:sz w:val="16"/>
              </w:rPr>
              <w:t>1 888 832</w:t>
            </w:r>
          </w:p>
        </w:tc>
        <w:tc>
          <w:tcPr>
            <w:tcW w:w="597" w:type="dxa"/>
            <w:tcBorders>
              <w:top w:val="nil"/>
              <w:left w:val="nil"/>
              <w:bottom w:val="nil"/>
              <w:right w:val="nil"/>
            </w:tcBorders>
          </w:tcPr>
          <w:p>
            <w:pPr>
              <w:pStyle w:val="TableParagraph"/>
              <w:spacing w:line="180" w:lineRule="exact"/>
              <w:ind w:right="50"/>
              <w:rPr>
                <w:sz w:val="16"/>
              </w:rPr>
            </w:pPr>
            <w:r>
              <w:rPr>
                <w:w w:val="85"/>
                <w:sz w:val="16"/>
              </w:rPr>
              <w:t>58.0</w:t>
            </w:r>
          </w:p>
        </w:tc>
        <w:tc>
          <w:tcPr>
            <w:tcW w:w="949" w:type="dxa"/>
            <w:tcBorders>
              <w:top w:val="nil"/>
              <w:left w:val="nil"/>
              <w:bottom w:val="nil"/>
              <w:right w:val="nil"/>
            </w:tcBorders>
          </w:tcPr>
          <w:p>
            <w:pPr>
              <w:pStyle w:val="TableParagraph"/>
              <w:spacing w:before="39"/>
              <w:ind w:right="70"/>
              <w:rPr>
                <w:sz w:val="16"/>
              </w:rPr>
            </w:pPr>
            <w:r>
              <w:rPr>
                <w:w w:val="95"/>
                <w:sz w:val="16"/>
              </w:rPr>
              <w:t>23 018 068</w:t>
            </w:r>
          </w:p>
        </w:tc>
        <w:tc>
          <w:tcPr>
            <w:tcW w:w="610" w:type="dxa"/>
            <w:tcBorders>
              <w:top w:val="nil"/>
              <w:left w:val="nil"/>
              <w:bottom w:val="nil"/>
              <w:right w:val="nil"/>
            </w:tcBorders>
          </w:tcPr>
          <w:p>
            <w:pPr>
              <w:pStyle w:val="TableParagraph"/>
              <w:spacing w:before="39"/>
              <w:ind w:right="49"/>
              <w:rPr>
                <w:sz w:val="16"/>
              </w:rPr>
            </w:pPr>
            <w:r>
              <w:rPr>
                <w:w w:val="85"/>
                <w:sz w:val="16"/>
              </w:rPr>
              <w:t>4.8</w:t>
            </w:r>
          </w:p>
        </w:tc>
      </w:tr>
      <w:tr>
        <w:trPr>
          <w:trHeight w:val="235" w:hRule="exact"/>
        </w:trPr>
        <w:tc>
          <w:tcPr>
            <w:tcW w:w="1016" w:type="dxa"/>
            <w:tcBorders>
              <w:top w:val="nil"/>
              <w:left w:val="nil"/>
              <w:bottom w:val="nil"/>
              <w:right w:val="nil"/>
            </w:tcBorders>
          </w:tcPr>
          <w:p>
            <w:pPr>
              <w:pStyle w:val="TableParagraph"/>
              <w:spacing w:before="39"/>
              <w:ind w:left="51"/>
              <w:jc w:val="left"/>
              <w:rPr>
                <w:sz w:val="16"/>
              </w:rPr>
            </w:pPr>
            <w:r>
              <w:rPr>
                <w:sz w:val="16"/>
              </w:rPr>
              <w:t>Campeche</w:t>
            </w:r>
          </w:p>
        </w:tc>
        <w:tc>
          <w:tcPr>
            <w:tcW w:w="865" w:type="dxa"/>
            <w:tcBorders>
              <w:top w:val="nil"/>
              <w:left w:val="nil"/>
              <w:bottom w:val="nil"/>
              <w:right w:val="nil"/>
            </w:tcBorders>
          </w:tcPr>
          <w:p>
            <w:pPr>
              <w:pStyle w:val="TableParagraph"/>
              <w:spacing w:before="39"/>
              <w:ind w:right="49"/>
              <w:rPr>
                <w:sz w:val="16"/>
              </w:rPr>
            </w:pPr>
            <w:r>
              <w:rPr>
                <w:w w:val="90"/>
                <w:sz w:val="16"/>
              </w:rPr>
              <w:t>694 865</w:t>
            </w:r>
          </w:p>
        </w:tc>
        <w:tc>
          <w:tcPr>
            <w:tcW w:w="1007" w:type="dxa"/>
            <w:tcBorders>
              <w:top w:val="nil"/>
              <w:left w:val="nil"/>
              <w:bottom w:val="nil"/>
              <w:right w:val="nil"/>
            </w:tcBorders>
          </w:tcPr>
          <w:p>
            <w:pPr>
              <w:pStyle w:val="TableParagraph"/>
              <w:spacing w:before="39"/>
              <w:ind w:right="57"/>
              <w:rPr>
                <w:sz w:val="16"/>
              </w:rPr>
            </w:pPr>
            <w:r>
              <w:rPr>
                <w:w w:val="95"/>
                <w:sz w:val="16"/>
              </w:rPr>
              <w:t>645 293 199</w:t>
            </w:r>
          </w:p>
        </w:tc>
        <w:tc>
          <w:tcPr>
            <w:tcW w:w="588" w:type="dxa"/>
            <w:tcBorders>
              <w:top w:val="nil"/>
              <w:left w:val="nil"/>
              <w:bottom w:val="nil"/>
              <w:right w:val="nil"/>
            </w:tcBorders>
          </w:tcPr>
          <w:p>
            <w:pPr>
              <w:pStyle w:val="TableParagraph"/>
              <w:spacing w:before="39"/>
              <w:ind w:right="48"/>
              <w:rPr>
                <w:sz w:val="16"/>
              </w:rPr>
            </w:pPr>
            <w:r>
              <w:rPr>
                <w:w w:val="85"/>
                <w:sz w:val="16"/>
              </w:rPr>
              <w:t>0.11</w:t>
            </w:r>
          </w:p>
        </w:tc>
        <w:tc>
          <w:tcPr>
            <w:tcW w:w="820" w:type="dxa"/>
            <w:tcBorders>
              <w:top w:val="nil"/>
              <w:left w:val="nil"/>
              <w:bottom w:val="nil"/>
              <w:right w:val="nil"/>
            </w:tcBorders>
          </w:tcPr>
          <w:p>
            <w:pPr>
              <w:pStyle w:val="TableParagraph"/>
              <w:spacing w:before="39"/>
              <w:ind w:right="49"/>
              <w:rPr>
                <w:sz w:val="16"/>
              </w:rPr>
            </w:pPr>
            <w:r>
              <w:rPr>
                <w:w w:val="95"/>
                <w:sz w:val="16"/>
              </w:rPr>
              <w:t>3 898 933</w:t>
            </w:r>
          </w:p>
        </w:tc>
        <w:tc>
          <w:tcPr>
            <w:tcW w:w="597" w:type="dxa"/>
            <w:tcBorders>
              <w:top w:val="nil"/>
              <w:left w:val="nil"/>
              <w:bottom w:val="nil"/>
              <w:right w:val="nil"/>
            </w:tcBorders>
          </w:tcPr>
          <w:p>
            <w:pPr>
              <w:pStyle w:val="TableParagraph"/>
              <w:spacing w:line="180" w:lineRule="exact"/>
              <w:ind w:right="50"/>
              <w:rPr>
                <w:sz w:val="16"/>
              </w:rPr>
            </w:pPr>
            <w:r>
              <w:rPr>
                <w:w w:val="85"/>
                <w:sz w:val="16"/>
              </w:rPr>
              <w:t>17.8</w:t>
            </w:r>
          </w:p>
        </w:tc>
        <w:tc>
          <w:tcPr>
            <w:tcW w:w="949" w:type="dxa"/>
            <w:tcBorders>
              <w:top w:val="nil"/>
              <w:left w:val="nil"/>
              <w:bottom w:val="nil"/>
              <w:right w:val="nil"/>
            </w:tcBorders>
          </w:tcPr>
          <w:p>
            <w:pPr>
              <w:pStyle w:val="TableParagraph"/>
              <w:spacing w:before="39"/>
              <w:ind w:right="70"/>
              <w:rPr>
                <w:sz w:val="16"/>
              </w:rPr>
            </w:pPr>
            <w:r>
              <w:rPr>
                <w:w w:val="95"/>
                <w:sz w:val="16"/>
              </w:rPr>
              <w:t>14 829 578</w:t>
            </w:r>
          </w:p>
        </w:tc>
        <w:tc>
          <w:tcPr>
            <w:tcW w:w="610" w:type="dxa"/>
            <w:tcBorders>
              <w:top w:val="nil"/>
              <w:left w:val="nil"/>
              <w:bottom w:val="nil"/>
              <w:right w:val="nil"/>
            </w:tcBorders>
          </w:tcPr>
          <w:p>
            <w:pPr>
              <w:pStyle w:val="TableParagraph"/>
              <w:spacing w:before="39"/>
              <w:ind w:right="49"/>
              <w:rPr>
                <w:sz w:val="16"/>
              </w:rPr>
            </w:pPr>
            <w:r>
              <w:rPr>
                <w:w w:val="85"/>
                <w:sz w:val="16"/>
              </w:rPr>
              <w:t>4.7</w:t>
            </w:r>
          </w:p>
        </w:tc>
      </w:tr>
      <w:tr>
        <w:trPr>
          <w:trHeight w:val="241" w:hRule="exact"/>
        </w:trPr>
        <w:tc>
          <w:tcPr>
            <w:tcW w:w="1016" w:type="dxa"/>
            <w:tcBorders>
              <w:top w:val="nil"/>
              <w:left w:val="nil"/>
              <w:bottom w:val="double" w:sz="3" w:space="0" w:color="000000"/>
              <w:right w:val="nil"/>
            </w:tcBorders>
          </w:tcPr>
          <w:p>
            <w:pPr>
              <w:pStyle w:val="TableParagraph"/>
              <w:spacing w:before="39"/>
              <w:ind w:left="51"/>
              <w:jc w:val="left"/>
              <w:rPr>
                <w:sz w:val="16"/>
              </w:rPr>
            </w:pPr>
            <w:r>
              <w:rPr>
                <w:sz w:val="16"/>
              </w:rPr>
              <w:t>BCS</w:t>
            </w:r>
          </w:p>
        </w:tc>
        <w:tc>
          <w:tcPr>
            <w:tcW w:w="865" w:type="dxa"/>
            <w:tcBorders>
              <w:top w:val="nil"/>
              <w:left w:val="nil"/>
              <w:bottom w:val="double" w:sz="3" w:space="0" w:color="000000"/>
              <w:right w:val="nil"/>
            </w:tcBorders>
          </w:tcPr>
          <w:p>
            <w:pPr>
              <w:pStyle w:val="TableParagraph"/>
              <w:spacing w:before="39"/>
              <w:ind w:right="49"/>
              <w:rPr>
                <w:sz w:val="16"/>
              </w:rPr>
            </w:pPr>
            <w:r>
              <w:rPr>
                <w:w w:val="90"/>
                <w:sz w:val="16"/>
              </w:rPr>
              <w:t>425 762</w:t>
            </w:r>
          </w:p>
        </w:tc>
        <w:tc>
          <w:tcPr>
            <w:tcW w:w="1007" w:type="dxa"/>
            <w:tcBorders>
              <w:top w:val="nil"/>
              <w:left w:val="nil"/>
              <w:bottom w:val="double" w:sz="3" w:space="0" w:color="000000"/>
              <w:right w:val="nil"/>
            </w:tcBorders>
          </w:tcPr>
          <w:p>
            <w:pPr>
              <w:pStyle w:val="TableParagraph"/>
              <w:spacing w:before="39"/>
              <w:ind w:right="57"/>
              <w:rPr>
                <w:sz w:val="16"/>
              </w:rPr>
            </w:pPr>
            <w:r>
              <w:rPr>
                <w:w w:val="95"/>
                <w:sz w:val="16"/>
              </w:rPr>
              <w:t>75 360 040</w:t>
            </w:r>
          </w:p>
        </w:tc>
        <w:tc>
          <w:tcPr>
            <w:tcW w:w="588" w:type="dxa"/>
            <w:tcBorders>
              <w:top w:val="nil"/>
              <w:left w:val="nil"/>
              <w:bottom w:val="double" w:sz="3" w:space="0" w:color="000000"/>
              <w:right w:val="nil"/>
            </w:tcBorders>
          </w:tcPr>
          <w:p>
            <w:pPr>
              <w:pStyle w:val="TableParagraph"/>
              <w:spacing w:before="39"/>
              <w:ind w:right="48"/>
              <w:rPr>
                <w:sz w:val="16"/>
              </w:rPr>
            </w:pPr>
            <w:r>
              <w:rPr>
                <w:w w:val="85"/>
                <w:sz w:val="16"/>
              </w:rPr>
              <w:t>0.56</w:t>
            </w:r>
          </w:p>
        </w:tc>
        <w:tc>
          <w:tcPr>
            <w:tcW w:w="820" w:type="dxa"/>
            <w:tcBorders>
              <w:top w:val="nil"/>
              <w:left w:val="nil"/>
              <w:bottom w:val="double" w:sz="3" w:space="0" w:color="000000"/>
              <w:right w:val="nil"/>
            </w:tcBorders>
          </w:tcPr>
          <w:p>
            <w:pPr>
              <w:pStyle w:val="TableParagraph"/>
              <w:spacing w:before="39"/>
              <w:ind w:right="49"/>
              <w:rPr>
                <w:sz w:val="16"/>
              </w:rPr>
            </w:pPr>
            <w:r>
              <w:rPr>
                <w:w w:val="95"/>
                <w:sz w:val="16"/>
              </w:rPr>
              <w:t>3 228 022</w:t>
            </w:r>
          </w:p>
        </w:tc>
        <w:tc>
          <w:tcPr>
            <w:tcW w:w="597" w:type="dxa"/>
            <w:tcBorders>
              <w:top w:val="nil"/>
              <w:left w:val="nil"/>
              <w:bottom w:val="double" w:sz="3" w:space="0" w:color="000000"/>
              <w:right w:val="nil"/>
            </w:tcBorders>
          </w:tcPr>
          <w:p>
            <w:pPr>
              <w:pStyle w:val="TableParagraph"/>
              <w:spacing w:line="180" w:lineRule="exact"/>
              <w:ind w:right="50"/>
              <w:rPr>
                <w:sz w:val="16"/>
              </w:rPr>
            </w:pPr>
            <w:r>
              <w:rPr>
                <w:w w:val="85"/>
                <w:sz w:val="16"/>
              </w:rPr>
              <w:t>13.2</w:t>
            </w:r>
          </w:p>
        </w:tc>
        <w:tc>
          <w:tcPr>
            <w:tcW w:w="949" w:type="dxa"/>
            <w:tcBorders>
              <w:top w:val="nil"/>
              <w:left w:val="nil"/>
              <w:bottom w:val="double" w:sz="3" w:space="0" w:color="000000"/>
              <w:right w:val="nil"/>
            </w:tcBorders>
          </w:tcPr>
          <w:p>
            <w:pPr>
              <w:pStyle w:val="TableParagraph"/>
              <w:spacing w:before="39"/>
              <w:ind w:right="70"/>
              <w:rPr>
                <w:sz w:val="16"/>
              </w:rPr>
            </w:pPr>
            <w:r>
              <w:rPr>
                <w:w w:val="95"/>
                <w:sz w:val="16"/>
              </w:rPr>
              <w:t>9 556 312</w:t>
            </w:r>
          </w:p>
        </w:tc>
        <w:tc>
          <w:tcPr>
            <w:tcW w:w="610" w:type="dxa"/>
            <w:tcBorders>
              <w:top w:val="nil"/>
              <w:left w:val="nil"/>
              <w:bottom w:val="double" w:sz="3" w:space="0" w:color="000000"/>
              <w:right w:val="nil"/>
            </w:tcBorders>
          </w:tcPr>
          <w:p>
            <w:pPr>
              <w:pStyle w:val="TableParagraph"/>
              <w:spacing w:before="39"/>
              <w:ind w:right="49"/>
              <w:rPr>
                <w:sz w:val="16"/>
              </w:rPr>
            </w:pPr>
            <w:r>
              <w:rPr>
                <w:w w:val="85"/>
                <w:sz w:val="16"/>
              </w:rPr>
              <w:t>4.5</w:t>
            </w:r>
          </w:p>
        </w:tc>
      </w:tr>
    </w:tbl>
    <w:p>
      <w:pPr>
        <w:spacing w:line="143" w:lineRule="exact" w:before="0"/>
        <w:ind w:left="235" w:right="0" w:firstLine="0"/>
        <w:jc w:val="both"/>
        <w:rPr>
          <w:sz w:val="13"/>
        </w:rPr>
      </w:pPr>
      <w:r>
        <w:rPr>
          <w:w w:val="95"/>
          <w:sz w:val="13"/>
        </w:rPr>
        <w:t>* Para la conversión de dólares a pesos se utilizó el valor de tipo de cambio promedio anual para 2010 de 12.6339 pesos por dólar</w:t>
      </w:r>
    </w:p>
    <w:p>
      <w:pPr>
        <w:spacing w:line="244" w:lineRule="auto" w:before="1"/>
        <w:ind w:left="236" w:right="166" w:firstLine="0"/>
        <w:jc w:val="both"/>
        <w:rPr>
          <w:sz w:val="13"/>
        </w:rPr>
      </w:pPr>
      <w:r>
        <w:rPr>
          <w:w w:val="90"/>
          <w:sz w:val="13"/>
        </w:rPr>
        <w:t>**</w:t>
      </w:r>
      <w:r>
        <w:rPr>
          <w:spacing w:val="-6"/>
          <w:w w:val="90"/>
          <w:sz w:val="13"/>
        </w:rPr>
        <w:t> </w:t>
      </w:r>
      <w:r>
        <w:rPr>
          <w:w w:val="90"/>
          <w:sz w:val="13"/>
        </w:rPr>
        <w:t>El</w:t>
      </w:r>
      <w:r>
        <w:rPr>
          <w:spacing w:val="-6"/>
          <w:w w:val="90"/>
          <w:sz w:val="13"/>
        </w:rPr>
        <w:t> </w:t>
      </w:r>
      <w:r>
        <w:rPr>
          <w:w w:val="90"/>
          <w:sz w:val="13"/>
        </w:rPr>
        <w:t>total</w:t>
      </w:r>
      <w:r>
        <w:rPr>
          <w:spacing w:val="-6"/>
          <w:w w:val="90"/>
          <w:sz w:val="13"/>
        </w:rPr>
        <w:t> </w:t>
      </w:r>
      <w:r>
        <w:rPr>
          <w:w w:val="90"/>
          <w:sz w:val="13"/>
        </w:rPr>
        <w:t>del</w:t>
      </w:r>
      <w:r>
        <w:rPr>
          <w:spacing w:val="-6"/>
          <w:w w:val="90"/>
          <w:sz w:val="13"/>
        </w:rPr>
        <w:t> </w:t>
      </w:r>
      <w:r>
        <w:rPr>
          <w:w w:val="90"/>
          <w:sz w:val="13"/>
        </w:rPr>
        <w:t>ingreso</w:t>
      </w:r>
      <w:r>
        <w:rPr>
          <w:spacing w:val="-6"/>
          <w:w w:val="90"/>
          <w:sz w:val="13"/>
        </w:rPr>
        <w:t> </w:t>
      </w:r>
      <w:r>
        <w:rPr>
          <w:w w:val="90"/>
          <w:sz w:val="13"/>
        </w:rPr>
        <w:t>público</w:t>
      </w:r>
      <w:r>
        <w:rPr>
          <w:spacing w:val="-6"/>
          <w:w w:val="90"/>
          <w:sz w:val="13"/>
        </w:rPr>
        <w:t> </w:t>
      </w:r>
      <w:r>
        <w:rPr>
          <w:w w:val="90"/>
          <w:sz w:val="13"/>
        </w:rPr>
        <w:t>de</w:t>
      </w:r>
      <w:r>
        <w:rPr>
          <w:spacing w:val="-6"/>
          <w:w w:val="90"/>
          <w:sz w:val="13"/>
        </w:rPr>
        <w:t> </w:t>
      </w:r>
      <w:r>
        <w:rPr>
          <w:w w:val="90"/>
          <w:sz w:val="13"/>
        </w:rPr>
        <w:t>las</w:t>
      </w:r>
      <w:r>
        <w:rPr>
          <w:spacing w:val="-6"/>
          <w:w w:val="90"/>
          <w:sz w:val="13"/>
        </w:rPr>
        <w:t> </w:t>
      </w:r>
      <w:r>
        <w:rPr>
          <w:w w:val="90"/>
          <w:sz w:val="13"/>
        </w:rPr>
        <w:t>entidades</w:t>
      </w:r>
      <w:r>
        <w:rPr>
          <w:spacing w:val="-6"/>
          <w:w w:val="90"/>
          <w:sz w:val="13"/>
        </w:rPr>
        <w:t> </w:t>
      </w:r>
      <w:r>
        <w:rPr>
          <w:w w:val="90"/>
          <w:sz w:val="13"/>
        </w:rPr>
        <w:t>federativas</w:t>
      </w:r>
      <w:r>
        <w:rPr>
          <w:spacing w:val="-6"/>
          <w:w w:val="90"/>
          <w:sz w:val="13"/>
        </w:rPr>
        <w:t> </w:t>
      </w:r>
      <w:r>
        <w:rPr>
          <w:w w:val="90"/>
          <w:sz w:val="13"/>
        </w:rPr>
        <w:t>comprende</w:t>
      </w:r>
      <w:r>
        <w:rPr>
          <w:spacing w:val="-6"/>
          <w:w w:val="90"/>
          <w:sz w:val="13"/>
        </w:rPr>
        <w:t> </w:t>
      </w:r>
      <w:r>
        <w:rPr>
          <w:w w:val="90"/>
          <w:sz w:val="13"/>
        </w:rPr>
        <w:t>los</w:t>
      </w:r>
      <w:r>
        <w:rPr>
          <w:spacing w:val="-6"/>
          <w:w w:val="90"/>
          <w:sz w:val="13"/>
        </w:rPr>
        <w:t> </w:t>
      </w:r>
      <w:r>
        <w:rPr>
          <w:w w:val="90"/>
          <w:sz w:val="13"/>
        </w:rPr>
        <w:t>siguientes</w:t>
      </w:r>
      <w:r>
        <w:rPr>
          <w:spacing w:val="-6"/>
          <w:w w:val="90"/>
          <w:sz w:val="13"/>
        </w:rPr>
        <w:t> </w:t>
      </w:r>
      <w:r>
        <w:rPr>
          <w:w w:val="90"/>
          <w:sz w:val="13"/>
        </w:rPr>
        <w:t>rubros:</w:t>
      </w:r>
      <w:r>
        <w:rPr>
          <w:spacing w:val="-6"/>
          <w:w w:val="90"/>
          <w:sz w:val="13"/>
        </w:rPr>
        <w:t> </w:t>
      </w:r>
      <w:r>
        <w:rPr>
          <w:w w:val="90"/>
          <w:sz w:val="13"/>
        </w:rPr>
        <w:t>ingresos</w:t>
      </w:r>
      <w:r>
        <w:rPr>
          <w:spacing w:val="-6"/>
          <w:w w:val="90"/>
          <w:sz w:val="13"/>
        </w:rPr>
        <w:t> </w:t>
      </w:r>
      <w:r>
        <w:rPr>
          <w:w w:val="90"/>
          <w:sz w:val="13"/>
        </w:rPr>
        <w:t>propios</w:t>
      </w:r>
      <w:r>
        <w:rPr>
          <w:spacing w:val="-6"/>
          <w:w w:val="90"/>
          <w:sz w:val="13"/>
        </w:rPr>
        <w:t> </w:t>
      </w:r>
      <w:r>
        <w:rPr>
          <w:w w:val="90"/>
          <w:sz w:val="13"/>
        </w:rPr>
        <w:t>por</w:t>
      </w:r>
      <w:r>
        <w:rPr>
          <w:spacing w:val="-6"/>
          <w:w w:val="90"/>
          <w:sz w:val="13"/>
        </w:rPr>
        <w:t> </w:t>
      </w:r>
      <w:r>
        <w:rPr>
          <w:w w:val="90"/>
          <w:sz w:val="13"/>
        </w:rPr>
        <w:t>el</w:t>
      </w:r>
      <w:r>
        <w:rPr>
          <w:spacing w:val="-6"/>
          <w:w w:val="90"/>
          <w:sz w:val="13"/>
        </w:rPr>
        <w:t> </w:t>
      </w:r>
      <w:r>
        <w:rPr>
          <w:w w:val="90"/>
          <w:sz w:val="13"/>
        </w:rPr>
        <w:t>cobro</w:t>
      </w:r>
      <w:r>
        <w:rPr>
          <w:spacing w:val="-6"/>
          <w:w w:val="90"/>
          <w:sz w:val="13"/>
        </w:rPr>
        <w:t> </w:t>
      </w:r>
      <w:r>
        <w:rPr>
          <w:w w:val="90"/>
          <w:sz w:val="13"/>
        </w:rPr>
        <w:t>de</w:t>
      </w:r>
      <w:r>
        <w:rPr>
          <w:spacing w:val="-6"/>
          <w:w w:val="90"/>
          <w:sz w:val="13"/>
        </w:rPr>
        <w:t> </w:t>
      </w:r>
      <w:r>
        <w:rPr>
          <w:w w:val="90"/>
          <w:sz w:val="13"/>
        </w:rPr>
        <w:t>impuestos</w:t>
      </w:r>
      <w:r>
        <w:rPr>
          <w:spacing w:val="-6"/>
          <w:w w:val="90"/>
          <w:sz w:val="13"/>
        </w:rPr>
        <w:t> </w:t>
      </w:r>
      <w:r>
        <w:rPr>
          <w:w w:val="90"/>
          <w:sz w:val="13"/>
        </w:rPr>
        <w:t>y derechos, aprovechamientos, contribuciones, ingresos por cuentas a terceros, trasferencias y participaciones federales, financiamiento y </w:t>
      </w:r>
      <w:r>
        <w:rPr>
          <w:w w:val="85"/>
          <w:sz w:val="13"/>
        </w:rPr>
        <w:t>disponibilidad  inicial.</w:t>
      </w:r>
    </w:p>
    <w:p>
      <w:pPr>
        <w:spacing w:line="148" w:lineRule="exact" w:before="0"/>
        <w:ind w:left="236" w:right="0" w:firstLine="0"/>
        <w:jc w:val="both"/>
        <w:rPr>
          <w:sz w:val="13"/>
        </w:rPr>
      </w:pPr>
      <w:r>
        <w:rPr>
          <w:w w:val="90"/>
          <w:sz w:val="13"/>
        </w:rPr>
        <w:t>Fuente: elaboración propia a partir de Banco de México e INEGI.</w:t>
      </w:r>
    </w:p>
    <w:p>
      <w:pPr>
        <w:spacing w:after="0" w:line="148" w:lineRule="exact"/>
        <w:jc w:val="both"/>
        <w:rPr>
          <w:sz w:val="13"/>
        </w:rPr>
        <w:sectPr>
          <w:pgSz w:w="9360" w:h="13040"/>
          <w:pgMar w:header="0" w:footer="496" w:top="740" w:bottom="680" w:left="1300" w:right="1300"/>
        </w:sectPr>
      </w:pPr>
    </w:p>
    <w:p>
      <w:pPr>
        <w:tabs>
          <w:tab w:pos="5536" w:val="left" w:leader="none"/>
        </w:tabs>
        <w:spacing w:before="48"/>
        <w:ind w:left="105" w:right="117" w:firstLine="0"/>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spacing w:after="0"/>
        <w:rPr>
          <w:sz w:val="20"/>
        </w:rPr>
        <w:sectPr>
          <w:footerReference w:type="default" r:id="rId214"/>
          <w:pgSz w:w="9360" w:h="13040"/>
          <w:pgMar w:footer="496" w:header="0" w:top="800" w:bottom="680" w:left="1300" w:right="1300"/>
        </w:sectPr>
      </w:pPr>
    </w:p>
    <w:p>
      <w:pPr>
        <w:spacing w:line="254" w:lineRule="auto" w:before="85"/>
        <w:ind w:left="234" w:right="0" w:firstLine="0"/>
        <w:jc w:val="left"/>
        <w:rPr>
          <w:sz w:val="16"/>
        </w:rPr>
      </w:pPr>
      <w:r>
        <w:rPr>
          <w:w w:val="90"/>
          <w:sz w:val="16"/>
        </w:rPr>
        <w:t>Cuadro</w:t>
      </w:r>
      <w:r>
        <w:rPr>
          <w:spacing w:val="-17"/>
          <w:w w:val="90"/>
          <w:sz w:val="16"/>
        </w:rPr>
        <w:t> </w:t>
      </w:r>
      <w:r>
        <w:rPr>
          <w:w w:val="90"/>
          <w:sz w:val="16"/>
        </w:rPr>
        <w:t>4.</w:t>
      </w:r>
      <w:r>
        <w:rPr>
          <w:spacing w:val="-17"/>
          <w:w w:val="90"/>
          <w:sz w:val="16"/>
        </w:rPr>
        <w:t> </w:t>
      </w:r>
      <w:r>
        <w:rPr>
          <w:w w:val="90"/>
          <w:sz w:val="16"/>
        </w:rPr>
        <w:t>Remesas</w:t>
      </w:r>
      <w:r>
        <w:rPr>
          <w:spacing w:val="-17"/>
          <w:w w:val="90"/>
          <w:sz w:val="16"/>
        </w:rPr>
        <w:t> </w:t>
      </w:r>
      <w:r>
        <w:rPr>
          <w:w w:val="90"/>
          <w:sz w:val="16"/>
        </w:rPr>
        <w:t>recibidas</w:t>
      </w:r>
      <w:r>
        <w:rPr>
          <w:spacing w:val="-17"/>
          <w:w w:val="90"/>
          <w:sz w:val="16"/>
        </w:rPr>
        <w:t> </w:t>
      </w:r>
      <w:r>
        <w:rPr>
          <w:w w:val="90"/>
          <w:sz w:val="16"/>
        </w:rPr>
        <w:t>por</w:t>
      </w:r>
      <w:r>
        <w:rPr>
          <w:spacing w:val="-17"/>
          <w:w w:val="90"/>
          <w:sz w:val="16"/>
        </w:rPr>
        <w:t> </w:t>
      </w:r>
      <w:r>
        <w:rPr>
          <w:w w:val="90"/>
          <w:sz w:val="16"/>
        </w:rPr>
        <w:t>estados</w:t>
      </w:r>
      <w:r>
        <w:rPr>
          <w:spacing w:val="-17"/>
          <w:w w:val="90"/>
          <w:sz w:val="16"/>
        </w:rPr>
        <w:t> </w:t>
      </w:r>
      <w:r>
        <w:rPr>
          <w:w w:val="90"/>
          <w:sz w:val="16"/>
        </w:rPr>
        <w:t>y</w:t>
      </w:r>
      <w:r>
        <w:rPr>
          <w:spacing w:val="-17"/>
          <w:w w:val="90"/>
          <w:sz w:val="16"/>
        </w:rPr>
        <w:t> </w:t>
      </w:r>
      <w:r>
        <w:rPr>
          <w:w w:val="90"/>
          <w:sz w:val="16"/>
        </w:rPr>
        <w:t>proporción</w:t>
      </w:r>
      <w:r>
        <w:rPr>
          <w:spacing w:val="-17"/>
          <w:w w:val="90"/>
          <w:sz w:val="16"/>
        </w:rPr>
        <w:t> </w:t>
      </w:r>
      <w:r>
        <w:rPr>
          <w:w w:val="90"/>
          <w:sz w:val="16"/>
        </w:rPr>
        <w:t>Programas</w:t>
      </w:r>
      <w:r>
        <w:rPr>
          <w:spacing w:val="-17"/>
          <w:w w:val="90"/>
          <w:sz w:val="16"/>
        </w:rPr>
        <w:t> </w:t>
      </w:r>
      <w:r>
        <w:rPr>
          <w:w w:val="90"/>
          <w:sz w:val="16"/>
        </w:rPr>
        <w:t>Procampo</w:t>
      </w:r>
      <w:r>
        <w:rPr>
          <w:spacing w:val="-17"/>
          <w:w w:val="90"/>
          <w:sz w:val="16"/>
        </w:rPr>
        <w:t> </w:t>
      </w:r>
      <w:r>
        <w:rPr>
          <w:w w:val="90"/>
          <w:sz w:val="16"/>
        </w:rPr>
        <w:t>y</w:t>
      </w:r>
      <w:r>
        <w:rPr>
          <w:spacing w:val="-17"/>
          <w:w w:val="90"/>
          <w:sz w:val="16"/>
        </w:rPr>
        <w:t> </w:t>
      </w:r>
      <w:r>
        <w:rPr>
          <w:w w:val="90"/>
          <w:sz w:val="16"/>
        </w:rPr>
        <w:t>Oportunidades,</w:t>
      </w:r>
      <w:r>
        <w:rPr>
          <w:spacing w:val="-17"/>
          <w:w w:val="90"/>
          <w:sz w:val="16"/>
        </w:rPr>
        <w:t> </w:t>
      </w:r>
      <w:r>
        <w:rPr>
          <w:w w:val="90"/>
          <w:sz w:val="16"/>
        </w:rPr>
        <w:t>2010 (miles</w:t>
      </w:r>
      <w:r>
        <w:rPr>
          <w:spacing w:val="-21"/>
          <w:w w:val="90"/>
          <w:sz w:val="16"/>
        </w:rPr>
        <w:t> </w:t>
      </w:r>
      <w:r>
        <w:rPr>
          <w:w w:val="90"/>
          <w:sz w:val="16"/>
        </w:rPr>
        <w:t>de</w:t>
      </w:r>
      <w:r>
        <w:rPr>
          <w:spacing w:val="-21"/>
          <w:w w:val="90"/>
          <w:sz w:val="16"/>
        </w:rPr>
        <w:t> </w:t>
      </w:r>
      <w:r>
        <w:rPr>
          <w:w w:val="90"/>
          <w:sz w:val="16"/>
        </w:rPr>
        <w:t>pesos</w:t>
      </w:r>
      <w:r>
        <w:rPr>
          <w:spacing w:val="-21"/>
          <w:w w:val="90"/>
          <w:sz w:val="16"/>
        </w:rPr>
        <w:t> </w:t>
      </w:r>
      <w:r>
        <w:rPr>
          <w:w w:val="90"/>
          <w:sz w:val="16"/>
        </w:rPr>
        <w:t>corrientes)</w:t>
      </w:r>
    </w:p>
    <w:p>
      <w:pPr>
        <w:pStyle w:val="BodyText"/>
        <w:rPr>
          <w:sz w:val="16"/>
        </w:rPr>
      </w:pPr>
      <w:r>
        <w:rPr/>
        <w:br w:type="column"/>
      </w:r>
      <w:r>
        <w:rPr>
          <w:sz w:val="16"/>
        </w:rPr>
      </w:r>
    </w:p>
    <w:p>
      <w:pPr>
        <w:pStyle w:val="BodyText"/>
        <w:rPr>
          <w:sz w:val="16"/>
        </w:rPr>
      </w:pPr>
    </w:p>
    <w:p>
      <w:pPr>
        <w:pStyle w:val="BodyText"/>
        <w:rPr>
          <w:sz w:val="16"/>
        </w:rPr>
      </w:pPr>
    </w:p>
    <w:p>
      <w:pPr>
        <w:spacing w:line="113" w:lineRule="exact" w:before="126"/>
        <w:ind w:left="234" w:right="0" w:firstLine="0"/>
        <w:jc w:val="left"/>
        <w:rPr>
          <w:sz w:val="16"/>
        </w:rPr>
      </w:pPr>
      <w:r>
        <w:rPr/>
        <w:pict>
          <v:shape style="position:absolute;margin-left:74.213333pt;margin-top:-3.903488pt;width:322.650pt;height:423.85pt;mso-position-horizontal-relative:page;mso-position-vertical-relative:paragraph;z-index:7792" type="#_x0000_t202" filled="false" stroked="false">
            <v:textbox inset="0,0,0,0">
              <w:txbxContent>
                <w:tbl>
                  <w:tblPr>
                    <w:tblW w:w="0" w:type="auto"/>
                    <w:jc w:val="left"/>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55"/>
                    <w:gridCol w:w="887"/>
                    <w:gridCol w:w="847"/>
                    <w:gridCol w:w="636"/>
                    <w:gridCol w:w="649"/>
                    <w:gridCol w:w="988"/>
                    <w:gridCol w:w="734"/>
                    <w:gridCol w:w="656"/>
                  </w:tblGrid>
                  <w:tr>
                    <w:trPr>
                      <w:trHeight w:val="400" w:hRule="exact"/>
                    </w:trPr>
                    <w:tc>
                      <w:tcPr>
                        <w:tcW w:w="4075" w:type="dxa"/>
                        <w:gridSpan w:val="5"/>
                        <w:tcBorders>
                          <w:left w:val="nil"/>
                          <w:bottom w:val="nil"/>
                          <w:right w:val="nil"/>
                        </w:tcBorders>
                      </w:tcPr>
                      <w:p>
                        <w:pPr>
                          <w:pStyle w:val="TableParagraph"/>
                          <w:tabs>
                            <w:tab w:pos="3483" w:val="left" w:leader="none"/>
                          </w:tabs>
                          <w:spacing w:line="139" w:lineRule="exact" w:before="5"/>
                          <w:ind w:left="2059"/>
                          <w:jc w:val="left"/>
                          <w:rPr>
                            <w:sz w:val="16"/>
                          </w:rPr>
                        </w:pPr>
                        <w:r>
                          <w:rPr>
                            <w:w w:val="95"/>
                            <w:sz w:val="16"/>
                          </w:rPr>
                          <w:t>Recursos</w:t>
                          <w:tab/>
                        </w:r>
                        <w:r>
                          <w:rPr>
                            <w:w w:val="90"/>
                            <w:sz w:val="16"/>
                          </w:rPr>
                          <w:t>Remesas/</w:t>
                        </w:r>
                      </w:p>
                      <w:p>
                        <w:pPr>
                          <w:pStyle w:val="TableParagraph"/>
                          <w:tabs>
                            <w:tab w:pos="1383" w:val="left" w:leader="none"/>
                            <w:tab w:pos="2439" w:val="left" w:leader="none"/>
                            <w:tab w:pos="3135" w:val="left" w:leader="none"/>
                            <w:tab w:pos="3777" w:val="left" w:leader="none"/>
                          </w:tabs>
                          <w:spacing w:line="239" w:lineRule="exact"/>
                          <w:ind w:left="50"/>
                          <w:jc w:val="left"/>
                          <w:rPr>
                            <w:sz w:val="16"/>
                          </w:rPr>
                        </w:pPr>
                        <w:r>
                          <w:rPr>
                            <w:w w:val="95"/>
                            <w:sz w:val="16"/>
                          </w:rPr>
                          <w:t>Entidad</w:t>
                          <w:tab/>
                        </w:r>
                        <w:r>
                          <w:rPr>
                            <w:w w:val="95"/>
                            <w:position w:val="10"/>
                            <w:sz w:val="16"/>
                          </w:rPr>
                          <w:t>Remesas</w:t>
                          <w:tab/>
                        </w:r>
                        <w:r>
                          <w:rPr>
                            <w:w w:val="95"/>
                            <w:sz w:val="16"/>
                          </w:rPr>
                          <w:t>de</w:t>
                          <w:tab/>
                        </w:r>
                        <w:r>
                          <w:rPr>
                            <w:w w:val="95"/>
                            <w:position w:val="10"/>
                            <w:sz w:val="16"/>
                          </w:rPr>
                          <w:t>%</w:t>
                          <w:tab/>
                        </w:r>
                        <w:r>
                          <w:rPr>
                            <w:w w:val="95"/>
                            <w:sz w:val="16"/>
                          </w:rPr>
                          <w:t>Pro-</w:t>
                        </w:r>
                      </w:p>
                    </w:tc>
                    <w:tc>
                      <w:tcPr>
                        <w:tcW w:w="988" w:type="dxa"/>
                        <w:tcBorders>
                          <w:left w:val="nil"/>
                          <w:bottom w:val="nil"/>
                          <w:right w:val="nil"/>
                        </w:tcBorders>
                      </w:tcPr>
                      <w:p>
                        <w:pPr>
                          <w:pStyle w:val="TableParagraph"/>
                          <w:spacing w:line="254" w:lineRule="auto" w:before="5"/>
                          <w:ind w:left="335" w:hanging="175"/>
                          <w:jc w:val="left"/>
                          <w:rPr>
                            <w:sz w:val="16"/>
                          </w:rPr>
                        </w:pPr>
                        <w:r>
                          <w:rPr>
                            <w:w w:val="90"/>
                            <w:sz w:val="16"/>
                          </w:rPr>
                          <w:t>Recursos del </w:t>
                        </w:r>
                        <w:r>
                          <w:rPr>
                            <w:w w:val="85"/>
                            <w:sz w:val="16"/>
                          </w:rPr>
                          <w:t>Programa</w:t>
                        </w:r>
                      </w:p>
                    </w:tc>
                    <w:tc>
                      <w:tcPr>
                        <w:tcW w:w="734" w:type="dxa"/>
                        <w:tcBorders>
                          <w:left w:val="nil"/>
                          <w:bottom w:val="nil"/>
                          <w:right w:val="nil"/>
                        </w:tcBorders>
                      </w:tcPr>
                      <w:p>
                        <w:pPr>
                          <w:pStyle w:val="TableParagraph"/>
                          <w:spacing w:before="5"/>
                          <w:ind w:right="74"/>
                          <w:rPr>
                            <w:sz w:val="16"/>
                          </w:rPr>
                        </w:pPr>
                        <w:r>
                          <w:rPr>
                            <w:w w:val="85"/>
                            <w:sz w:val="16"/>
                          </w:rPr>
                          <w:t>%</w:t>
                        </w:r>
                      </w:p>
                      <w:p>
                        <w:pPr>
                          <w:pStyle w:val="TableParagraph"/>
                          <w:spacing w:before="11"/>
                          <w:ind w:right="73"/>
                          <w:rPr>
                            <w:sz w:val="16"/>
                          </w:rPr>
                        </w:pPr>
                        <w:r>
                          <w:rPr>
                            <w:w w:val="85"/>
                            <w:sz w:val="16"/>
                          </w:rPr>
                          <w:t>Oportuni-</w:t>
                        </w:r>
                      </w:p>
                    </w:tc>
                    <w:tc>
                      <w:tcPr>
                        <w:tcW w:w="656" w:type="dxa"/>
                        <w:tcBorders>
                          <w:left w:val="nil"/>
                          <w:bottom w:val="nil"/>
                          <w:right w:val="nil"/>
                        </w:tcBorders>
                      </w:tcPr>
                      <w:p>
                        <w:pPr>
                          <w:pStyle w:val="TableParagraph"/>
                          <w:spacing w:before="5"/>
                          <w:ind w:right="44"/>
                          <w:rPr>
                            <w:sz w:val="16"/>
                          </w:rPr>
                        </w:pPr>
                        <w:r>
                          <w:rPr>
                            <w:w w:val="85"/>
                            <w:sz w:val="16"/>
                          </w:rPr>
                          <w:t>Remesas/</w:t>
                        </w:r>
                      </w:p>
                    </w:tc>
                  </w:tr>
                  <w:tr>
                    <w:trPr>
                      <w:trHeight w:val="201" w:hRule="exact"/>
                    </w:trPr>
                    <w:tc>
                      <w:tcPr>
                        <w:tcW w:w="1055" w:type="dxa"/>
                        <w:tcBorders>
                          <w:top w:val="nil"/>
                          <w:left w:val="nil"/>
                          <w:bottom w:val="double" w:sz="3" w:space="0" w:color="000000"/>
                          <w:right w:val="nil"/>
                        </w:tcBorders>
                      </w:tcPr>
                      <w:p>
                        <w:pPr/>
                      </w:p>
                    </w:tc>
                    <w:tc>
                      <w:tcPr>
                        <w:tcW w:w="887" w:type="dxa"/>
                        <w:tcBorders>
                          <w:top w:val="nil"/>
                          <w:left w:val="nil"/>
                          <w:bottom w:val="double" w:sz="3" w:space="0" w:color="000000"/>
                          <w:right w:val="nil"/>
                        </w:tcBorders>
                      </w:tcPr>
                      <w:p>
                        <w:pPr/>
                      </w:p>
                    </w:tc>
                    <w:tc>
                      <w:tcPr>
                        <w:tcW w:w="847" w:type="dxa"/>
                        <w:tcBorders>
                          <w:top w:val="nil"/>
                          <w:left w:val="nil"/>
                          <w:bottom w:val="double" w:sz="3" w:space="0" w:color="000000"/>
                          <w:right w:val="nil"/>
                        </w:tcBorders>
                      </w:tcPr>
                      <w:p>
                        <w:pPr>
                          <w:pStyle w:val="TableParagraph"/>
                          <w:spacing w:line="169" w:lineRule="exact"/>
                          <w:ind w:left="63" w:right="-38"/>
                          <w:jc w:val="left"/>
                          <w:rPr>
                            <w:sz w:val="16"/>
                          </w:rPr>
                        </w:pPr>
                        <w:r>
                          <w:rPr>
                            <w:w w:val="95"/>
                            <w:sz w:val="16"/>
                          </w:rPr>
                          <w:t>Procampo</w:t>
                        </w:r>
                        <w:r>
                          <w:rPr>
                            <w:spacing w:val="12"/>
                            <w:w w:val="95"/>
                            <w:sz w:val="16"/>
                          </w:rPr>
                          <w:t> </w:t>
                        </w:r>
                        <w:r>
                          <w:rPr>
                            <w:w w:val="95"/>
                            <w:position w:val="10"/>
                            <w:sz w:val="16"/>
                          </w:rPr>
                          <w:t>Pr</w:t>
                        </w:r>
                      </w:p>
                    </w:tc>
                    <w:tc>
                      <w:tcPr>
                        <w:tcW w:w="636" w:type="dxa"/>
                        <w:tcBorders>
                          <w:top w:val="nil"/>
                          <w:left w:val="nil"/>
                          <w:bottom w:val="double" w:sz="3" w:space="0" w:color="000000"/>
                          <w:right w:val="nil"/>
                        </w:tcBorders>
                      </w:tcPr>
                      <w:p>
                        <w:pPr/>
                      </w:p>
                    </w:tc>
                    <w:tc>
                      <w:tcPr>
                        <w:tcW w:w="649" w:type="dxa"/>
                        <w:tcBorders>
                          <w:top w:val="nil"/>
                          <w:left w:val="nil"/>
                          <w:bottom w:val="double" w:sz="3" w:space="0" w:color="000000"/>
                          <w:right w:val="nil"/>
                        </w:tcBorders>
                      </w:tcPr>
                      <w:p>
                        <w:pPr>
                          <w:pStyle w:val="TableParagraph"/>
                          <w:spacing w:line="169" w:lineRule="exact"/>
                          <w:ind w:right="56"/>
                          <w:rPr>
                            <w:sz w:val="16"/>
                          </w:rPr>
                        </w:pPr>
                        <w:r>
                          <w:rPr>
                            <w:w w:val="85"/>
                            <w:sz w:val="16"/>
                          </w:rPr>
                          <w:t>campo</w:t>
                        </w:r>
                      </w:p>
                    </w:tc>
                    <w:tc>
                      <w:tcPr>
                        <w:tcW w:w="988" w:type="dxa"/>
                        <w:tcBorders>
                          <w:top w:val="nil"/>
                          <w:left w:val="nil"/>
                          <w:bottom w:val="double" w:sz="3" w:space="0" w:color="000000"/>
                          <w:right w:val="nil"/>
                        </w:tcBorders>
                      </w:tcPr>
                      <w:p>
                        <w:pPr>
                          <w:pStyle w:val="TableParagraph"/>
                          <w:spacing w:line="169" w:lineRule="exact"/>
                          <w:ind w:right="109"/>
                          <w:rPr>
                            <w:sz w:val="16"/>
                          </w:rPr>
                        </w:pPr>
                        <w:r>
                          <w:rPr>
                            <w:w w:val="85"/>
                            <w:sz w:val="16"/>
                          </w:rPr>
                          <w:t>Oportunidades</w:t>
                        </w:r>
                      </w:p>
                    </w:tc>
                    <w:tc>
                      <w:tcPr>
                        <w:tcW w:w="734" w:type="dxa"/>
                        <w:tcBorders>
                          <w:top w:val="nil"/>
                          <w:left w:val="nil"/>
                          <w:bottom w:val="double" w:sz="3" w:space="0" w:color="000000"/>
                          <w:right w:val="nil"/>
                        </w:tcBorders>
                      </w:tcPr>
                      <w:p>
                        <w:pPr>
                          <w:pStyle w:val="TableParagraph"/>
                          <w:spacing w:line="169" w:lineRule="exact"/>
                          <w:ind w:right="72"/>
                          <w:rPr>
                            <w:sz w:val="16"/>
                          </w:rPr>
                        </w:pPr>
                        <w:r>
                          <w:rPr>
                            <w:w w:val="85"/>
                            <w:sz w:val="16"/>
                          </w:rPr>
                          <w:t>dades</w:t>
                        </w:r>
                      </w:p>
                    </w:tc>
                    <w:tc>
                      <w:tcPr>
                        <w:tcW w:w="656" w:type="dxa"/>
                        <w:tcBorders>
                          <w:top w:val="nil"/>
                          <w:left w:val="nil"/>
                          <w:bottom w:val="double" w:sz="3" w:space="0" w:color="000000"/>
                          <w:right w:val="nil"/>
                        </w:tcBorders>
                      </w:tcPr>
                      <w:p>
                        <w:pPr>
                          <w:pStyle w:val="TableParagraph"/>
                          <w:spacing w:line="169" w:lineRule="exact"/>
                          <w:ind w:right="46"/>
                          <w:rPr>
                            <w:sz w:val="16"/>
                          </w:rPr>
                        </w:pPr>
                        <w:r>
                          <w:rPr>
                            <w:w w:val="85"/>
                            <w:sz w:val="16"/>
                          </w:rPr>
                          <w:t>nidades</w:t>
                        </w:r>
                      </w:p>
                    </w:tc>
                  </w:tr>
                  <w:tr>
                    <w:trPr>
                      <w:trHeight w:val="244" w:hRule="exact"/>
                    </w:trPr>
                    <w:tc>
                      <w:tcPr>
                        <w:tcW w:w="1055" w:type="dxa"/>
                        <w:tcBorders>
                          <w:top w:val="double" w:sz="3" w:space="0" w:color="000000"/>
                          <w:left w:val="nil"/>
                          <w:bottom w:val="nil"/>
                          <w:right w:val="nil"/>
                        </w:tcBorders>
                      </w:tcPr>
                      <w:p>
                        <w:pPr>
                          <w:pStyle w:val="TableParagraph"/>
                          <w:spacing w:before="13"/>
                          <w:ind w:left="50"/>
                          <w:jc w:val="left"/>
                          <w:rPr>
                            <w:sz w:val="16"/>
                          </w:rPr>
                        </w:pPr>
                        <w:r>
                          <w:rPr>
                            <w:w w:val="95"/>
                            <w:sz w:val="16"/>
                          </w:rPr>
                          <w:t>Nacional</w:t>
                        </w:r>
                      </w:p>
                    </w:tc>
                    <w:tc>
                      <w:tcPr>
                        <w:tcW w:w="887" w:type="dxa"/>
                        <w:tcBorders>
                          <w:top w:val="double" w:sz="3" w:space="0" w:color="000000"/>
                          <w:left w:val="nil"/>
                          <w:bottom w:val="nil"/>
                          <w:right w:val="nil"/>
                        </w:tcBorders>
                      </w:tcPr>
                      <w:p>
                        <w:pPr>
                          <w:pStyle w:val="TableParagraph"/>
                          <w:spacing w:before="5"/>
                          <w:ind w:right="61"/>
                          <w:rPr>
                            <w:sz w:val="16"/>
                          </w:rPr>
                        </w:pPr>
                        <w:r>
                          <w:rPr>
                            <w:w w:val="90"/>
                            <w:sz w:val="16"/>
                          </w:rPr>
                          <w:t>268 740 740</w:t>
                        </w:r>
                      </w:p>
                    </w:tc>
                    <w:tc>
                      <w:tcPr>
                        <w:tcW w:w="847" w:type="dxa"/>
                        <w:tcBorders>
                          <w:top w:val="double" w:sz="3" w:space="0" w:color="000000"/>
                          <w:left w:val="nil"/>
                          <w:bottom w:val="nil"/>
                          <w:right w:val="nil"/>
                        </w:tcBorders>
                      </w:tcPr>
                      <w:p>
                        <w:pPr>
                          <w:pStyle w:val="TableParagraph"/>
                          <w:spacing w:before="5"/>
                          <w:ind w:left="245" w:right="-38"/>
                          <w:jc w:val="left"/>
                          <w:rPr>
                            <w:sz w:val="16"/>
                          </w:rPr>
                        </w:pPr>
                        <w:r>
                          <w:rPr>
                            <w:w w:val="90"/>
                            <w:sz w:val="16"/>
                          </w:rPr>
                          <w:t>14 620</w:t>
                        </w:r>
                      </w:p>
                    </w:tc>
                    <w:tc>
                      <w:tcPr>
                        <w:tcW w:w="636" w:type="dxa"/>
                        <w:tcBorders>
                          <w:top w:val="double" w:sz="3" w:space="0" w:color="000000"/>
                          <w:left w:val="nil"/>
                          <w:bottom w:val="nil"/>
                          <w:right w:val="nil"/>
                        </w:tcBorders>
                      </w:tcPr>
                      <w:p>
                        <w:pPr>
                          <w:pStyle w:val="TableParagraph"/>
                          <w:spacing w:before="13"/>
                          <w:ind w:right="171"/>
                          <w:rPr>
                            <w:sz w:val="16"/>
                          </w:rPr>
                        </w:pPr>
                        <w:r>
                          <w:rPr>
                            <w:w w:val="85"/>
                            <w:sz w:val="16"/>
                          </w:rPr>
                          <w:t>5.4</w:t>
                        </w:r>
                      </w:p>
                    </w:tc>
                    <w:tc>
                      <w:tcPr>
                        <w:tcW w:w="649" w:type="dxa"/>
                        <w:tcBorders>
                          <w:top w:val="double" w:sz="3" w:space="0" w:color="000000"/>
                          <w:left w:val="nil"/>
                          <w:bottom w:val="nil"/>
                          <w:right w:val="nil"/>
                        </w:tcBorders>
                      </w:tcPr>
                      <w:p>
                        <w:pPr>
                          <w:pStyle w:val="TableParagraph"/>
                          <w:spacing w:before="13"/>
                          <w:ind w:right="56"/>
                          <w:rPr>
                            <w:sz w:val="16"/>
                          </w:rPr>
                        </w:pPr>
                        <w:r>
                          <w:rPr>
                            <w:w w:val="85"/>
                            <w:sz w:val="16"/>
                          </w:rPr>
                          <w:t>18.4</w:t>
                        </w:r>
                      </w:p>
                    </w:tc>
                    <w:tc>
                      <w:tcPr>
                        <w:tcW w:w="988" w:type="dxa"/>
                        <w:tcBorders>
                          <w:top w:val="double" w:sz="3" w:space="0" w:color="000000"/>
                          <w:left w:val="nil"/>
                          <w:bottom w:val="nil"/>
                          <w:right w:val="nil"/>
                        </w:tcBorders>
                      </w:tcPr>
                      <w:p>
                        <w:pPr>
                          <w:pStyle w:val="TableParagraph"/>
                          <w:spacing w:before="13"/>
                          <w:ind w:right="108"/>
                          <w:rPr>
                            <w:sz w:val="16"/>
                          </w:rPr>
                        </w:pPr>
                        <w:r>
                          <w:rPr>
                            <w:w w:val="90"/>
                            <w:sz w:val="16"/>
                          </w:rPr>
                          <w:t>54 421 865</w:t>
                        </w:r>
                      </w:p>
                    </w:tc>
                    <w:tc>
                      <w:tcPr>
                        <w:tcW w:w="734" w:type="dxa"/>
                        <w:tcBorders>
                          <w:top w:val="double" w:sz="3" w:space="0" w:color="000000"/>
                          <w:left w:val="nil"/>
                          <w:bottom w:val="nil"/>
                          <w:right w:val="nil"/>
                        </w:tcBorders>
                      </w:tcPr>
                      <w:p>
                        <w:pPr>
                          <w:pStyle w:val="TableParagraph"/>
                          <w:spacing w:before="13"/>
                          <w:ind w:right="74"/>
                          <w:rPr>
                            <w:sz w:val="16"/>
                          </w:rPr>
                        </w:pPr>
                        <w:r>
                          <w:rPr>
                            <w:w w:val="85"/>
                            <w:sz w:val="16"/>
                          </w:rPr>
                          <w:t>20.3</w:t>
                        </w:r>
                      </w:p>
                    </w:tc>
                    <w:tc>
                      <w:tcPr>
                        <w:tcW w:w="656" w:type="dxa"/>
                        <w:tcBorders>
                          <w:top w:val="double" w:sz="3" w:space="0" w:color="000000"/>
                          <w:left w:val="nil"/>
                          <w:bottom w:val="nil"/>
                          <w:right w:val="nil"/>
                        </w:tcBorders>
                      </w:tcPr>
                      <w:p>
                        <w:pPr>
                          <w:pStyle w:val="TableParagraph"/>
                          <w:spacing w:before="13"/>
                          <w:ind w:right="46"/>
                          <w:rPr>
                            <w:sz w:val="16"/>
                          </w:rPr>
                        </w:pPr>
                        <w:r>
                          <w:rPr>
                            <w:w w:val="85"/>
                            <w:sz w:val="16"/>
                          </w:rPr>
                          <w:t>4.9</w:t>
                        </w:r>
                      </w:p>
                    </w:tc>
                  </w:tr>
                  <w:tr>
                    <w:trPr>
                      <w:trHeight w:val="236" w:hRule="exact"/>
                    </w:trPr>
                    <w:tc>
                      <w:tcPr>
                        <w:tcW w:w="1055" w:type="dxa"/>
                        <w:tcBorders>
                          <w:top w:val="nil"/>
                          <w:left w:val="nil"/>
                          <w:bottom w:val="nil"/>
                          <w:right w:val="nil"/>
                        </w:tcBorders>
                      </w:tcPr>
                      <w:p>
                        <w:pPr>
                          <w:pStyle w:val="TableParagraph"/>
                          <w:spacing w:before="21"/>
                          <w:ind w:left="50"/>
                          <w:jc w:val="left"/>
                          <w:rPr>
                            <w:b/>
                            <w:sz w:val="16"/>
                          </w:rPr>
                        </w:pPr>
                        <w:r>
                          <w:rPr>
                            <w:b/>
                            <w:w w:val="95"/>
                            <w:sz w:val="16"/>
                          </w:rPr>
                          <w:t>Michoacán</w:t>
                        </w:r>
                      </w:p>
                    </w:tc>
                    <w:tc>
                      <w:tcPr>
                        <w:tcW w:w="887" w:type="dxa"/>
                        <w:tcBorders>
                          <w:top w:val="nil"/>
                          <w:left w:val="nil"/>
                          <w:bottom w:val="nil"/>
                          <w:right w:val="nil"/>
                        </w:tcBorders>
                      </w:tcPr>
                      <w:p>
                        <w:pPr>
                          <w:pStyle w:val="TableParagraph"/>
                          <w:spacing w:before="21"/>
                          <w:ind w:right="61"/>
                          <w:rPr>
                            <w:b/>
                            <w:sz w:val="16"/>
                          </w:rPr>
                        </w:pPr>
                        <w:r>
                          <w:rPr>
                            <w:b/>
                            <w:w w:val="90"/>
                            <w:sz w:val="16"/>
                          </w:rPr>
                          <w:t>27 051 707</w:t>
                        </w:r>
                      </w:p>
                    </w:tc>
                    <w:tc>
                      <w:tcPr>
                        <w:tcW w:w="847" w:type="dxa"/>
                        <w:tcBorders>
                          <w:top w:val="nil"/>
                          <w:left w:val="nil"/>
                          <w:bottom w:val="nil"/>
                          <w:right w:val="nil"/>
                        </w:tcBorders>
                      </w:tcPr>
                      <w:p>
                        <w:pPr>
                          <w:pStyle w:val="TableParagraph"/>
                          <w:spacing w:before="21"/>
                          <w:ind w:left="175" w:right="-38"/>
                          <w:jc w:val="left"/>
                          <w:rPr>
                            <w:b/>
                            <w:sz w:val="16"/>
                          </w:rPr>
                        </w:pPr>
                        <w:r>
                          <w:rPr>
                            <w:b/>
                            <w:w w:val="90"/>
                            <w:sz w:val="16"/>
                          </w:rPr>
                          <w:t>747 619</w:t>
                        </w:r>
                      </w:p>
                    </w:tc>
                    <w:tc>
                      <w:tcPr>
                        <w:tcW w:w="636" w:type="dxa"/>
                        <w:tcBorders>
                          <w:top w:val="nil"/>
                          <w:left w:val="nil"/>
                          <w:bottom w:val="nil"/>
                          <w:right w:val="nil"/>
                        </w:tcBorders>
                      </w:tcPr>
                      <w:p>
                        <w:pPr>
                          <w:pStyle w:val="TableParagraph"/>
                          <w:spacing w:before="21"/>
                          <w:ind w:right="171"/>
                          <w:rPr>
                            <w:b/>
                            <w:sz w:val="16"/>
                          </w:rPr>
                        </w:pPr>
                        <w:r>
                          <w:rPr>
                            <w:b/>
                            <w:w w:val="85"/>
                            <w:sz w:val="16"/>
                          </w:rPr>
                          <w:t>2.8</w:t>
                        </w:r>
                      </w:p>
                    </w:tc>
                    <w:tc>
                      <w:tcPr>
                        <w:tcW w:w="649" w:type="dxa"/>
                        <w:tcBorders>
                          <w:top w:val="nil"/>
                          <w:left w:val="nil"/>
                          <w:bottom w:val="nil"/>
                          <w:right w:val="nil"/>
                        </w:tcBorders>
                      </w:tcPr>
                      <w:p>
                        <w:pPr>
                          <w:pStyle w:val="TableParagraph"/>
                          <w:spacing w:before="21"/>
                          <w:ind w:right="56"/>
                          <w:rPr>
                            <w:b/>
                            <w:sz w:val="16"/>
                          </w:rPr>
                        </w:pPr>
                        <w:r>
                          <w:rPr>
                            <w:b/>
                            <w:w w:val="85"/>
                            <w:sz w:val="16"/>
                          </w:rPr>
                          <w:t>36.2</w:t>
                        </w:r>
                      </w:p>
                    </w:tc>
                    <w:tc>
                      <w:tcPr>
                        <w:tcW w:w="988" w:type="dxa"/>
                        <w:tcBorders>
                          <w:top w:val="nil"/>
                          <w:left w:val="nil"/>
                          <w:bottom w:val="nil"/>
                          <w:right w:val="nil"/>
                        </w:tcBorders>
                      </w:tcPr>
                      <w:p>
                        <w:pPr>
                          <w:pStyle w:val="TableParagraph"/>
                          <w:spacing w:before="21"/>
                          <w:ind w:right="108"/>
                          <w:rPr>
                            <w:b/>
                            <w:sz w:val="16"/>
                          </w:rPr>
                        </w:pPr>
                        <w:r>
                          <w:rPr>
                            <w:b/>
                            <w:w w:val="90"/>
                            <w:sz w:val="16"/>
                          </w:rPr>
                          <w:t>2 693 981</w:t>
                        </w:r>
                      </w:p>
                    </w:tc>
                    <w:tc>
                      <w:tcPr>
                        <w:tcW w:w="734" w:type="dxa"/>
                        <w:tcBorders>
                          <w:top w:val="nil"/>
                          <w:left w:val="nil"/>
                          <w:bottom w:val="nil"/>
                          <w:right w:val="nil"/>
                        </w:tcBorders>
                      </w:tcPr>
                      <w:p>
                        <w:pPr>
                          <w:pStyle w:val="TableParagraph"/>
                          <w:spacing w:before="21"/>
                          <w:ind w:right="74"/>
                          <w:rPr>
                            <w:b/>
                            <w:sz w:val="16"/>
                          </w:rPr>
                        </w:pPr>
                        <w:r>
                          <w:rPr>
                            <w:b/>
                            <w:w w:val="85"/>
                            <w:sz w:val="16"/>
                          </w:rPr>
                          <w:t>10.0</w:t>
                        </w:r>
                      </w:p>
                    </w:tc>
                    <w:tc>
                      <w:tcPr>
                        <w:tcW w:w="656" w:type="dxa"/>
                        <w:tcBorders>
                          <w:top w:val="nil"/>
                          <w:left w:val="nil"/>
                          <w:bottom w:val="nil"/>
                          <w:right w:val="nil"/>
                        </w:tcBorders>
                      </w:tcPr>
                      <w:p>
                        <w:pPr>
                          <w:pStyle w:val="TableParagraph"/>
                          <w:spacing w:before="21"/>
                          <w:ind w:right="46"/>
                          <w:rPr>
                            <w:b/>
                            <w:sz w:val="16"/>
                          </w:rPr>
                        </w:pPr>
                        <w:r>
                          <w:rPr>
                            <w:b/>
                            <w:w w:val="85"/>
                            <w:sz w:val="16"/>
                          </w:rPr>
                          <w:t>10.0</w:t>
                        </w:r>
                      </w:p>
                    </w:tc>
                  </w:tr>
                  <w:tr>
                    <w:trPr>
                      <w:trHeight w:val="234" w:hRule="exact"/>
                    </w:trPr>
                    <w:tc>
                      <w:tcPr>
                        <w:tcW w:w="1055" w:type="dxa"/>
                        <w:tcBorders>
                          <w:top w:val="nil"/>
                          <w:left w:val="nil"/>
                          <w:bottom w:val="nil"/>
                          <w:right w:val="nil"/>
                        </w:tcBorders>
                      </w:tcPr>
                      <w:p>
                        <w:pPr>
                          <w:pStyle w:val="TableParagraph"/>
                          <w:spacing w:before="17"/>
                          <w:ind w:left="50"/>
                          <w:jc w:val="left"/>
                          <w:rPr>
                            <w:sz w:val="16"/>
                          </w:rPr>
                        </w:pPr>
                        <w:r>
                          <w:rPr>
                            <w:w w:val="95"/>
                            <w:sz w:val="16"/>
                          </w:rPr>
                          <w:t>Guanajuato</w:t>
                        </w:r>
                      </w:p>
                    </w:tc>
                    <w:tc>
                      <w:tcPr>
                        <w:tcW w:w="887" w:type="dxa"/>
                        <w:tcBorders>
                          <w:top w:val="nil"/>
                          <w:left w:val="nil"/>
                          <w:bottom w:val="nil"/>
                          <w:right w:val="nil"/>
                        </w:tcBorders>
                      </w:tcPr>
                      <w:p>
                        <w:pPr>
                          <w:pStyle w:val="TableParagraph"/>
                          <w:spacing w:before="17"/>
                          <w:ind w:right="61"/>
                          <w:rPr>
                            <w:sz w:val="16"/>
                          </w:rPr>
                        </w:pPr>
                        <w:r>
                          <w:rPr>
                            <w:w w:val="90"/>
                            <w:sz w:val="16"/>
                          </w:rPr>
                          <w:t>24 993 644</w:t>
                        </w:r>
                      </w:p>
                    </w:tc>
                    <w:tc>
                      <w:tcPr>
                        <w:tcW w:w="847" w:type="dxa"/>
                        <w:tcBorders>
                          <w:top w:val="nil"/>
                          <w:left w:val="nil"/>
                          <w:bottom w:val="nil"/>
                          <w:right w:val="nil"/>
                        </w:tcBorders>
                      </w:tcPr>
                      <w:p>
                        <w:pPr>
                          <w:pStyle w:val="TableParagraph"/>
                          <w:spacing w:before="17"/>
                          <w:ind w:left="175" w:right="-38"/>
                          <w:jc w:val="left"/>
                          <w:rPr>
                            <w:sz w:val="16"/>
                          </w:rPr>
                        </w:pPr>
                        <w:r>
                          <w:rPr>
                            <w:w w:val="90"/>
                            <w:sz w:val="16"/>
                          </w:rPr>
                          <w:t>782 696</w:t>
                        </w:r>
                      </w:p>
                    </w:tc>
                    <w:tc>
                      <w:tcPr>
                        <w:tcW w:w="636" w:type="dxa"/>
                        <w:tcBorders>
                          <w:top w:val="nil"/>
                          <w:left w:val="nil"/>
                          <w:bottom w:val="nil"/>
                          <w:right w:val="nil"/>
                        </w:tcBorders>
                      </w:tcPr>
                      <w:p>
                        <w:pPr>
                          <w:pStyle w:val="TableParagraph"/>
                          <w:spacing w:before="17"/>
                          <w:ind w:right="171"/>
                          <w:rPr>
                            <w:sz w:val="16"/>
                          </w:rPr>
                        </w:pPr>
                        <w:r>
                          <w:rPr>
                            <w:w w:val="85"/>
                            <w:sz w:val="16"/>
                          </w:rPr>
                          <w:t>3.1</w:t>
                        </w:r>
                      </w:p>
                    </w:tc>
                    <w:tc>
                      <w:tcPr>
                        <w:tcW w:w="649" w:type="dxa"/>
                        <w:tcBorders>
                          <w:top w:val="nil"/>
                          <w:left w:val="nil"/>
                          <w:bottom w:val="nil"/>
                          <w:right w:val="nil"/>
                        </w:tcBorders>
                      </w:tcPr>
                      <w:p>
                        <w:pPr>
                          <w:pStyle w:val="TableParagraph"/>
                          <w:spacing w:before="17"/>
                          <w:ind w:right="56"/>
                          <w:rPr>
                            <w:sz w:val="16"/>
                          </w:rPr>
                        </w:pPr>
                        <w:r>
                          <w:rPr>
                            <w:w w:val="85"/>
                            <w:sz w:val="16"/>
                          </w:rPr>
                          <w:t>31.9</w:t>
                        </w:r>
                      </w:p>
                    </w:tc>
                    <w:tc>
                      <w:tcPr>
                        <w:tcW w:w="988" w:type="dxa"/>
                        <w:tcBorders>
                          <w:top w:val="nil"/>
                          <w:left w:val="nil"/>
                          <w:bottom w:val="nil"/>
                          <w:right w:val="nil"/>
                        </w:tcBorders>
                      </w:tcPr>
                      <w:p>
                        <w:pPr>
                          <w:pStyle w:val="TableParagraph"/>
                          <w:spacing w:before="17"/>
                          <w:ind w:right="108"/>
                          <w:rPr>
                            <w:sz w:val="16"/>
                          </w:rPr>
                        </w:pPr>
                        <w:r>
                          <w:rPr>
                            <w:w w:val="90"/>
                            <w:sz w:val="16"/>
                          </w:rPr>
                          <w:t>2 582 386</w:t>
                        </w:r>
                      </w:p>
                    </w:tc>
                    <w:tc>
                      <w:tcPr>
                        <w:tcW w:w="734" w:type="dxa"/>
                        <w:tcBorders>
                          <w:top w:val="nil"/>
                          <w:left w:val="nil"/>
                          <w:bottom w:val="nil"/>
                          <w:right w:val="nil"/>
                        </w:tcBorders>
                      </w:tcPr>
                      <w:p>
                        <w:pPr>
                          <w:pStyle w:val="TableParagraph"/>
                          <w:spacing w:before="17"/>
                          <w:ind w:right="74"/>
                          <w:rPr>
                            <w:sz w:val="16"/>
                          </w:rPr>
                        </w:pPr>
                        <w:r>
                          <w:rPr>
                            <w:w w:val="85"/>
                            <w:sz w:val="16"/>
                          </w:rPr>
                          <w:t>10.3</w:t>
                        </w:r>
                      </w:p>
                    </w:tc>
                    <w:tc>
                      <w:tcPr>
                        <w:tcW w:w="656" w:type="dxa"/>
                        <w:tcBorders>
                          <w:top w:val="nil"/>
                          <w:left w:val="nil"/>
                          <w:bottom w:val="nil"/>
                          <w:right w:val="nil"/>
                        </w:tcBorders>
                      </w:tcPr>
                      <w:p>
                        <w:pPr>
                          <w:pStyle w:val="TableParagraph"/>
                          <w:spacing w:before="17"/>
                          <w:ind w:right="46"/>
                          <w:rPr>
                            <w:sz w:val="16"/>
                          </w:rPr>
                        </w:pPr>
                        <w:r>
                          <w:rPr>
                            <w:w w:val="85"/>
                            <w:sz w:val="16"/>
                          </w:rPr>
                          <w:t>9.7</w:t>
                        </w:r>
                      </w:p>
                    </w:tc>
                  </w:tr>
                  <w:tr>
                    <w:trPr>
                      <w:trHeight w:val="244" w:hRule="exact"/>
                    </w:trPr>
                    <w:tc>
                      <w:tcPr>
                        <w:tcW w:w="1055" w:type="dxa"/>
                        <w:tcBorders>
                          <w:top w:val="nil"/>
                          <w:left w:val="nil"/>
                          <w:bottom w:val="nil"/>
                          <w:right w:val="nil"/>
                        </w:tcBorders>
                      </w:tcPr>
                      <w:p>
                        <w:pPr>
                          <w:pStyle w:val="TableParagraph"/>
                          <w:spacing w:before="19"/>
                          <w:ind w:left="50"/>
                          <w:jc w:val="left"/>
                          <w:rPr>
                            <w:sz w:val="16"/>
                          </w:rPr>
                        </w:pPr>
                        <w:r>
                          <w:rPr>
                            <w:w w:val="95"/>
                            <w:sz w:val="16"/>
                          </w:rPr>
                          <w:t>Jalisco</w:t>
                        </w:r>
                      </w:p>
                    </w:tc>
                    <w:tc>
                      <w:tcPr>
                        <w:tcW w:w="887" w:type="dxa"/>
                        <w:tcBorders>
                          <w:top w:val="nil"/>
                          <w:left w:val="nil"/>
                          <w:bottom w:val="nil"/>
                          <w:right w:val="nil"/>
                        </w:tcBorders>
                      </w:tcPr>
                      <w:p>
                        <w:pPr>
                          <w:pStyle w:val="TableParagraph"/>
                          <w:spacing w:before="19"/>
                          <w:ind w:right="61"/>
                          <w:rPr>
                            <w:sz w:val="16"/>
                          </w:rPr>
                        </w:pPr>
                        <w:r>
                          <w:rPr>
                            <w:w w:val="90"/>
                            <w:sz w:val="16"/>
                          </w:rPr>
                          <w:t>22 144 700</w:t>
                        </w:r>
                      </w:p>
                    </w:tc>
                    <w:tc>
                      <w:tcPr>
                        <w:tcW w:w="847" w:type="dxa"/>
                        <w:tcBorders>
                          <w:top w:val="nil"/>
                          <w:left w:val="nil"/>
                          <w:bottom w:val="nil"/>
                          <w:right w:val="nil"/>
                        </w:tcBorders>
                      </w:tcPr>
                      <w:p>
                        <w:pPr>
                          <w:pStyle w:val="TableParagraph"/>
                          <w:spacing w:before="19"/>
                          <w:ind w:left="175" w:right="-38"/>
                          <w:jc w:val="left"/>
                          <w:rPr>
                            <w:sz w:val="16"/>
                          </w:rPr>
                        </w:pPr>
                        <w:r>
                          <w:rPr>
                            <w:w w:val="90"/>
                            <w:sz w:val="16"/>
                          </w:rPr>
                          <w:t>982 544</w:t>
                        </w:r>
                      </w:p>
                    </w:tc>
                    <w:tc>
                      <w:tcPr>
                        <w:tcW w:w="636" w:type="dxa"/>
                        <w:tcBorders>
                          <w:top w:val="nil"/>
                          <w:left w:val="nil"/>
                          <w:bottom w:val="nil"/>
                          <w:right w:val="nil"/>
                        </w:tcBorders>
                      </w:tcPr>
                      <w:p>
                        <w:pPr>
                          <w:pStyle w:val="TableParagraph"/>
                          <w:spacing w:before="19"/>
                          <w:ind w:right="171"/>
                          <w:rPr>
                            <w:sz w:val="16"/>
                          </w:rPr>
                        </w:pPr>
                        <w:r>
                          <w:rPr>
                            <w:w w:val="85"/>
                            <w:sz w:val="16"/>
                          </w:rPr>
                          <w:t>4.4</w:t>
                        </w:r>
                      </w:p>
                    </w:tc>
                    <w:tc>
                      <w:tcPr>
                        <w:tcW w:w="649" w:type="dxa"/>
                        <w:tcBorders>
                          <w:top w:val="nil"/>
                          <w:left w:val="nil"/>
                          <w:bottom w:val="nil"/>
                          <w:right w:val="nil"/>
                        </w:tcBorders>
                      </w:tcPr>
                      <w:p>
                        <w:pPr>
                          <w:pStyle w:val="TableParagraph"/>
                          <w:spacing w:before="19"/>
                          <w:ind w:right="56"/>
                          <w:rPr>
                            <w:sz w:val="16"/>
                          </w:rPr>
                        </w:pPr>
                        <w:r>
                          <w:rPr>
                            <w:w w:val="85"/>
                            <w:sz w:val="16"/>
                          </w:rPr>
                          <w:t>22.5</w:t>
                        </w:r>
                      </w:p>
                    </w:tc>
                    <w:tc>
                      <w:tcPr>
                        <w:tcW w:w="988" w:type="dxa"/>
                        <w:tcBorders>
                          <w:top w:val="nil"/>
                          <w:left w:val="nil"/>
                          <w:bottom w:val="nil"/>
                          <w:right w:val="nil"/>
                        </w:tcBorders>
                      </w:tcPr>
                      <w:p>
                        <w:pPr>
                          <w:pStyle w:val="TableParagraph"/>
                          <w:spacing w:before="19"/>
                          <w:ind w:right="108"/>
                          <w:rPr>
                            <w:sz w:val="16"/>
                          </w:rPr>
                        </w:pPr>
                        <w:r>
                          <w:rPr>
                            <w:w w:val="90"/>
                            <w:sz w:val="16"/>
                          </w:rPr>
                          <w:t>1 751 396</w:t>
                        </w:r>
                      </w:p>
                    </w:tc>
                    <w:tc>
                      <w:tcPr>
                        <w:tcW w:w="734" w:type="dxa"/>
                        <w:tcBorders>
                          <w:top w:val="nil"/>
                          <w:left w:val="nil"/>
                          <w:bottom w:val="nil"/>
                          <w:right w:val="nil"/>
                        </w:tcBorders>
                      </w:tcPr>
                      <w:p>
                        <w:pPr>
                          <w:pStyle w:val="TableParagraph"/>
                          <w:spacing w:before="19"/>
                          <w:ind w:right="73"/>
                          <w:rPr>
                            <w:sz w:val="16"/>
                          </w:rPr>
                        </w:pPr>
                        <w:r>
                          <w:rPr>
                            <w:w w:val="85"/>
                            <w:sz w:val="16"/>
                          </w:rPr>
                          <w:t>7.9</w:t>
                        </w:r>
                      </w:p>
                    </w:tc>
                    <w:tc>
                      <w:tcPr>
                        <w:tcW w:w="656" w:type="dxa"/>
                        <w:tcBorders>
                          <w:top w:val="nil"/>
                          <w:left w:val="nil"/>
                          <w:bottom w:val="nil"/>
                          <w:right w:val="nil"/>
                        </w:tcBorders>
                      </w:tcPr>
                      <w:p>
                        <w:pPr>
                          <w:pStyle w:val="TableParagraph"/>
                          <w:spacing w:before="19"/>
                          <w:ind w:right="46"/>
                          <w:rPr>
                            <w:sz w:val="16"/>
                          </w:rPr>
                        </w:pPr>
                        <w:r>
                          <w:rPr>
                            <w:w w:val="85"/>
                            <w:sz w:val="16"/>
                          </w:rPr>
                          <w:t>12.6</w:t>
                        </w:r>
                      </w:p>
                    </w:tc>
                  </w:tr>
                  <w:tr>
                    <w:trPr>
                      <w:trHeight w:val="242" w:hRule="exact"/>
                    </w:trPr>
                    <w:tc>
                      <w:tcPr>
                        <w:tcW w:w="1055" w:type="dxa"/>
                        <w:tcBorders>
                          <w:top w:val="nil"/>
                          <w:left w:val="nil"/>
                          <w:bottom w:val="nil"/>
                          <w:right w:val="nil"/>
                        </w:tcBorders>
                      </w:tcPr>
                      <w:p>
                        <w:pPr>
                          <w:pStyle w:val="TableParagraph"/>
                          <w:spacing w:before="27"/>
                          <w:ind w:left="50"/>
                          <w:jc w:val="left"/>
                          <w:rPr>
                            <w:sz w:val="16"/>
                          </w:rPr>
                        </w:pPr>
                        <w:r>
                          <w:rPr>
                            <w:w w:val="95"/>
                            <w:sz w:val="16"/>
                          </w:rPr>
                          <w:t>México</w:t>
                        </w:r>
                      </w:p>
                    </w:tc>
                    <w:tc>
                      <w:tcPr>
                        <w:tcW w:w="887" w:type="dxa"/>
                        <w:tcBorders>
                          <w:top w:val="nil"/>
                          <w:left w:val="nil"/>
                          <w:bottom w:val="nil"/>
                          <w:right w:val="nil"/>
                        </w:tcBorders>
                      </w:tcPr>
                      <w:p>
                        <w:pPr>
                          <w:pStyle w:val="TableParagraph"/>
                          <w:spacing w:before="27"/>
                          <w:ind w:right="61"/>
                          <w:rPr>
                            <w:sz w:val="16"/>
                          </w:rPr>
                        </w:pPr>
                        <w:r>
                          <w:rPr>
                            <w:w w:val="90"/>
                            <w:sz w:val="16"/>
                          </w:rPr>
                          <w:t>20 657 690</w:t>
                        </w:r>
                      </w:p>
                    </w:tc>
                    <w:tc>
                      <w:tcPr>
                        <w:tcW w:w="847" w:type="dxa"/>
                        <w:tcBorders>
                          <w:top w:val="nil"/>
                          <w:left w:val="nil"/>
                          <w:bottom w:val="nil"/>
                          <w:right w:val="nil"/>
                        </w:tcBorders>
                      </w:tcPr>
                      <w:p>
                        <w:pPr>
                          <w:pStyle w:val="TableParagraph"/>
                          <w:spacing w:before="27"/>
                          <w:ind w:left="175" w:right="-38"/>
                          <w:jc w:val="left"/>
                          <w:rPr>
                            <w:sz w:val="16"/>
                          </w:rPr>
                        </w:pPr>
                        <w:r>
                          <w:rPr>
                            <w:w w:val="90"/>
                            <w:sz w:val="16"/>
                          </w:rPr>
                          <w:t>479 403</w:t>
                        </w:r>
                      </w:p>
                    </w:tc>
                    <w:tc>
                      <w:tcPr>
                        <w:tcW w:w="636" w:type="dxa"/>
                        <w:tcBorders>
                          <w:top w:val="nil"/>
                          <w:left w:val="nil"/>
                          <w:bottom w:val="nil"/>
                          <w:right w:val="nil"/>
                        </w:tcBorders>
                      </w:tcPr>
                      <w:p>
                        <w:pPr>
                          <w:pStyle w:val="TableParagraph"/>
                          <w:spacing w:before="27"/>
                          <w:ind w:right="171"/>
                          <w:rPr>
                            <w:sz w:val="16"/>
                          </w:rPr>
                        </w:pPr>
                        <w:r>
                          <w:rPr>
                            <w:w w:val="85"/>
                            <w:sz w:val="16"/>
                          </w:rPr>
                          <w:t>2.3</w:t>
                        </w:r>
                      </w:p>
                    </w:tc>
                    <w:tc>
                      <w:tcPr>
                        <w:tcW w:w="649" w:type="dxa"/>
                        <w:tcBorders>
                          <w:top w:val="nil"/>
                          <w:left w:val="nil"/>
                          <w:bottom w:val="nil"/>
                          <w:right w:val="nil"/>
                        </w:tcBorders>
                      </w:tcPr>
                      <w:p>
                        <w:pPr>
                          <w:pStyle w:val="TableParagraph"/>
                          <w:spacing w:before="27"/>
                          <w:ind w:right="56"/>
                          <w:rPr>
                            <w:sz w:val="16"/>
                          </w:rPr>
                        </w:pPr>
                        <w:r>
                          <w:rPr>
                            <w:w w:val="85"/>
                            <w:sz w:val="16"/>
                          </w:rPr>
                          <w:t>43.1</w:t>
                        </w:r>
                      </w:p>
                    </w:tc>
                    <w:tc>
                      <w:tcPr>
                        <w:tcW w:w="988" w:type="dxa"/>
                        <w:tcBorders>
                          <w:top w:val="nil"/>
                          <w:left w:val="nil"/>
                          <w:bottom w:val="nil"/>
                          <w:right w:val="nil"/>
                        </w:tcBorders>
                      </w:tcPr>
                      <w:p>
                        <w:pPr>
                          <w:pStyle w:val="TableParagraph"/>
                          <w:spacing w:before="27"/>
                          <w:ind w:right="108"/>
                          <w:rPr>
                            <w:sz w:val="16"/>
                          </w:rPr>
                        </w:pPr>
                        <w:r>
                          <w:rPr>
                            <w:w w:val="90"/>
                            <w:sz w:val="16"/>
                          </w:rPr>
                          <w:t>4 596 659</w:t>
                        </w:r>
                      </w:p>
                    </w:tc>
                    <w:tc>
                      <w:tcPr>
                        <w:tcW w:w="734" w:type="dxa"/>
                        <w:tcBorders>
                          <w:top w:val="nil"/>
                          <w:left w:val="nil"/>
                          <w:bottom w:val="nil"/>
                          <w:right w:val="nil"/>
                        </w:tcBorders>
                      </w:tcPr>
                      <w:p>
                        <w:pPr>
                          <w:pStyle w:val="TableParagraph"/>
                          <w:spacing w:before="27"/>
                          <w:ind w:right="74"/>
                          <w:rPr>
                            <w:sz w:val="16"/>
                          </w:rPr>
                        </w:pPr>
                        <w:r>
                          <w:rPr>
                            <w:w w:val="85"/>
                            <w:sz w:val="16"/>
                          </w:rPr>
                          <w:t>22.3</w:t>
                        </w:r>
                      </w:p>
                    </w:tc>
                    <w:tc>
                      <w:tcPr>
                        <w:tcW w:w="656" w:type="dxa"/>
                        <w:tcBorders>
                          <w:top w:val="nil"/>
                          <w:left w:val="nil"/>
                          <w:bottom w:val="nil"/>
                          <w:right w:val="nil"/>
                        </w:tcBorders>
                      </w:tcPr>
                      <w:p>
                        <w:pPr>
                          <w:pStyle w:val="TableParagraph"/>
                          <w:spacing w:before="27"/>
                          <w:ind w:right="46"/>
                          <w:rPr>
                            <w:sz w:val="16"/>
                          </w:rPr>
                        </w:pPr>
                        <w:r>
                          <w:rPr>
                            <w:w w:val="85"/>
                            <w:sz w:val="16"/>
                          </w:rPr>
                          <w:t>4.5</w:t>
                        </w:r>
                      </w:p>
                    </w:tc>
                  </w:tr>
                  <w:tr>
                    <w:trPr>
                      <w:trHeight w:val="232" w:hRule="exact"/>
                    </w:trPr>
                    <w:tc>
                      <w:tcPr>
                        <w:tcW w:w="1055" w:type="dxa"/>
                        <w:tcBorders>
                          <w:top w:val="nil"/>
                          <w:left w:val="nil"/>
                          <w:bottom w:val="nil"/>
                          <w:right w:val="nil"/>
                        </w:tcBorders>
                      </w:tcPr>
                      <w:p>
                        <w:pPr>
                          <w:pStyle w:val="TableParagraph"/>
                          <w:spacing w:before="17"/>
                          <w:ind w:left="50"/>
                          <w:jc w:val="left"/>
                          <w:rPr>
                            <w:b/>
                            <w:sz w:val="16"/>
                          </w:rPr>
                        </w:pPr>
                        <w:r>
                          <w:rPr>
                            <w:b/>
                            <w:w w:val="95"/>
                            <w:sz w:val="16"/>
                          </w:rPr>
                          <w:t>Puebla</w:t>
                        </w:r>
                      </w:p>
                    </w:tc>
                    <w:tc>
                      <w:tcPr>
                        <w:tcW w:w="887" w:type="dxa"/>
                        <w:tcBorders>
                          <w:top w:val="nil"/>
                          <w:left w:val="nil"/>
                          <w:bottom w:val="nil"/>
                          <w:right w:val="nil"/>
                        </w:tcBorders>
                      </w:tcPr>
                      <w:p>
                        <w:pPr>
                          <w:pStyle w:val="TableParagraph"/>
                          <w:spacing w:before="17"/>
                          <w:ind w:right="61"/>
                          <w:rPr>
                            <w:b/>
                            <w:sz w:val="16"/>
                          </w:rPr>
                        </w:pPr>
                        <w:r>
                          <w:rPr>
                            <w:b/>
                            <w:w w:val="90"/>
                            <w:sz w:val="16"/>
                          </w:rPr>
                          <w:t>17 297 072</w:t>
                        </w:r>
                      </w:p>
                    </w:tc>
                    <w:tc>
                      <w:tcPr>
                        <w:tcW w:w="847" w:type="dxa"/>
                        <w:tcBorders>
                          <w:top w:val="nil"/>
                          <w:left w:val="nil"/>
                          <w:bottom w:val="nil"/>
                          <w:right w:val="nil"/>
                        </w:tcBorders>
                      </w:tcPr>
                      <w:p>
                        <w:pPr>
                          <w:pStyle w:val="TableParagraph"/>
                          <w:spacing w:before="17"/>
                          <w:ind w:left="175" w:right="-38"/>
                          <w:jc w:val="left"/>
                          <w:rPr>
                            <w:b/>
                            <w:sz w:val="16"/>
                          </w:rPr>
                        </w:pPr>
                        <w:r>
                          <w:rPr>
                            <w:b/>
                            <w:w w:val="90"/>
                            <w:sz w:val="16"/>
                          </w:rPr>
                          <w:t>642 698</w:t>
                        </w:r>
                      </w:p>
                    </w:tc>
                    <w:tc>
                      <w:tcPr>
                        <w:tcW w:w="636" w:type="dxa"/>
                        <w:tcBorders>
                          <w:top w:val="nil"/>
                          <w:left w:val="nil"/>
                          <w:bottom w:val="nil"/>
                          <w:right w:val="nil"/>
                        </w:tcBorders>
                      </w:tcPr>
                      <w:p>
                        <w:pPr>
                          <w:pStyle w:val="TableParagraph"/>
                          <w:spacing w:before="17"/>
                          <w:ind w:right="171"/>
                          <w:rPr>
                            <w:b/>
                            <w:sz w:val="16"/>
                          </w:rPr>
                        </w:pPr>
                        <w:r>
                          <w:rPr>
                            <w:b/>
                            <w:w w:val="85"/>
                            <w:sz w:val="16"/>
                          </w:rPr>
                          <w:t>3.7</w:t>
                        </w:r>
                      </w:p>
                    </w:tc>
                    <w:tc>
                      <w:tcPr>
                        <w:tcW w:w="649" w:type="dxa"/>
                        <w:tcBorders>
                          <w:top w:val="nil"/>
                          <w:left w:val="nil"/>
                          <w:bottom w:val="nil"/>
                          <w:right w:val="nil"/>
                        </w:tcBorders>
                      </w:tcPr>
                      <w:p>
                        <w:pPr>
                          <w:pStyle w:val="TableParagraph"/>
                          <w:spacing w:before="17"/>
                          <w:ind w:right="56"/>
                          <w:rPr>
                            <w:b/>
                            <w:sz w:val="16"/>
                          </w:rPr>
                        </w:pPr>
                        <w:r>
                          <w:rPr>
                            <w:b/>
                            <w:w w:val="85"/>
                            <w:sz w:val="16"/>
                          </w:rPr>
                          <w:t>26.9</w:t>
                        </w:r>
                      </w:p>
                    </w:tc>
                    <w:tc>
                      <w:tcPr>
                        <w:tcW w:w="988" w:type="dxa"/>
                        <w:tcBorders>
                          <w:top w:val="nil"/>
                          <w:left w:val="nil"/>
                          <w:bottom w:val="nil"/>
                          <w:right w:val="nil"/>
                        </w:tcBorders>
                      </w:tcPr>
                      <w:p>
                        <w:pPr>
                          <w:pStyle w:val="TableParagraph"/>
                          <w:spacing w:before="17"/>
                          <w:ind w:right="108"/>
                          <w:rPr>
                            <w:b/>
                            <w:sz w:val="16"/>
                          </w:rPr>
                        </w:pPr>
                        <w:r>
                          <w:rPr>
                            <w:b/>
                            <w:w w:val="90"/>
                            <w:sz w:val="16"/>
                          </w:rPr>
                          <w:t>4 407 489</w:t>
                        </w:r>
                      </w:p>
                    </w:tc>
                    <w:tc>
                      <w:tcPr>
                        <w:tcW w:w="734" w:type="dxa"/>
                        <w:tcBorders>
                          <w:top w:val="nil"/>
                          <w:left w:val="nil"/>
                          <w:bottom w:val="nil"/>
                          <w:right w:val="nil"/>
                        </w:tcBorders>
                      </w:tcPr>
                      <w:p>
                        <w:pPr>
                          <w:pStyle w:val="TableParagraph"/>
                          <w:spacing w:before="17"/>
                          <w:ind w:right="74"/>
                          <w:rPr>
                            <w:b/>
                            <w:sz w:val="16"/>
                          </w:rPr>
                        </w:pPr>
                        <w:r>
                          <w:rPr>
                            <w:b/>
                            <w:w w:val="85"/>
                            <w:sz w:val="16"/>
                          </w:rPr>
                          <w:t>25.5</w:t>
                        </w:r>
                      </w:p>
                    </w:tc>
                    <w:tc>
                      <w:tcPr>
                        <w:tcW w:w="656" w:type="dxa"/>
                        <w:tcBorders>
                          <w:top w:val="nil"/>
                          <w:left w:val="nil"/>
                          <w:bottom w:val="nil"/>
                          <w:right w:val="nil"/>
                        </w:tcBorders>
                      </w:tcPr>
                      <w:p>
                        <w:pPr>
                          <w:pStyle w:val="TableParagraph"/>
                          <w:spacing w:before="17"/>
                          <w:ind w:right="46"/>
                          <w:rPr>
                            <w:b/>
                            <w:sz w:val="16"/>
                          </w:rPr>
                        </w:pPr>
                        <w:r>
                          <w:rPr>
                            <w:b/>
                            <w:w w:val="85"/>
                            <w:sz w:val="16"/>
                          </w:rPr>
                          <w:t>3.9</w:t>
                        </w:r>
                      </w:p>
                    </w:tc>
                  </w:tr>
                  <w:tr>
                    <w:trPr>
                      <w:trHeight w:val="240" w:hRule="exact"/>
                    </w:trPr>
                    <w:tc>
                      <w:tcPr>
                        <w:tcW w:w="1055" w:type="dxa"/>
                        <w:tcBorders>
                          <w:top w:val="nil"/>
                          <w:left w:val="nil"/>
                          <w:bottom w:val="nil"/>
                          <w:right w:val="nil"/>
                        </w:tcBorders>
                      </w:tcPr>
                      <w:p>
                        <w:pPr>
                          <w:pStyle w:val="TableParagraph"/>
                          <w:spacing w:before="17"/>
                          <w:ind w:left="50"/>
                          <w:jc w:val="left"/>
                          <w:rPr>
                            <w:b/>
                            <w:sz w:val="16"/>
                          </w:rPr>
                        </w:pPr>
                        <w:r>
                          <w:rPr>
                            <w:b/>
                            <w:w w:val="95"/>
                            <w:sz w:val="16"/>
                          </w:rPr>
                          <w:t>Oaxaca</w:t>
                        </w:r>
                      </w:p>
                    </w:tc>
                    <w:tc>
                      <w:tcPr>
                        <w:tcW w:w="887" w:type="dxa"/>
                        <w:tcBorders>
                          <w:top w:val="nil"/>
                          <w:left w:val="nil"/>
                          <w:bottom w:val="nil"/>
                          <w:right w:val="nil"/>
                        </w:tcBorders>
                      </w:tcPr>
                      <w:p>
                        <w:pPr>
                          <w:pStyle w:val="TableParagraph"/>
                          <w:spacing w:before="17"/>
                          <w:ind w:right="61"/>
                          <w:rPr>
                            <w:b/>
                            <w:sz w:val="16"/>
                          </w:rPr>
                        </w:pPr>
                        <w:r>
                          <w:rPr>
                            <w:b/>
                            <w:w w:val="90"/>
                            <w:sz w:val="16"/>
                          </w:rPr>
                          <w:t>16 355 847</w:t>
                        </w:r>
                      </w:p>
                    </w:tc>
                    <w:tc>
                      <w:tcPr>
                        <w:tcW w:w="847" w:type="dxa"/>
                        <w:tcBorders>
                          <w:top w:val="nil"/>
                          <w:left w:val="nil"/>
                          <w:bottom w:val="nil"/>
                          <w:right w:val="nil"/>
                        </w:tcBorders>
                      </w:tcPr>
                      <w:p>
                        <w:pPr>
                          <w:pStyle w:val="TableParagraph"/>
                          <w:spacing w:before="17"/>
                          <w:ind w:left="175" w:right="-38"/>
                          <w:jc w:val="left"/>
                          <w:rPr>
                            <w:b/>
                            <w:sz w:val="16"/>
                          </w:rPr>
                        </w:pPr>
                        <w:r>
                          <w:rPr>
                            <w:b/>
                            <w:w w:val="90"/>
                            <w:sz w:val="16"/>
                          </w:rPr>
                          <w:t>696 965</w:t>
                        </w:r>
                      </w:p>
                    </w:tc>
                    <w:tc>
                      <w:tcPr>
                        <w:tcW w:w="636" w:type="dxa"/>
                        <w:tcBorders>
                          <w:top w:val="nil"/>
                          <w:left w:val="nil"/>
                          <w:bottom w:val="nil"/>
                          <w:right w:val="nil"/>
                        </w:tcBorders>
                      </w:tcPr>
                      <w:p>
                        <w:pPr>
                          <w:pStyle w:val="TableParagraph"/>
                          <w:spacing w:before="17"/>
                          <w:ind w:right="171"/>
                          <w:rPr>
                            <w:b/>
                            <w:sz w:val="16"/>
                          </w:rPr>
                        </w:pPr>
                        <w:r>
                          <w:rPr>
                            <w:b/>
                            <w:w w:val="85"/>
                            <w:sz w:val="16"/>
                          </w:rPr>
                          <w:t>4.3</w:t>
                        </w:r>
                      </w:p>
                    </w:tc>
                    <w:tc>
                      <w:tcPr>
                        <w:tcW w:w="649" w:type="dxa"/>
                        <w:tcBorders>
                          <w:top w:val="nil"/>
                          <w:left w:val="nil"/>
                          <w:bottom w:val="nil"/>
                          <w:right w:val="nil"/>
                        </w:tcBorders>
                      </w:tcPr>
                      <w:p>
                        <w:pPr>
                          <w:pStyle w:val="TableParagraph"/>
                          <w:spacing w:before="17"/>
                          <w:ind w:right="56"/>
                          <w:rPr>
                            <w:b/>
                            <w:sz w:val="16"/>
                          </w:rPr>
                        </w:pPr>
                        <w:r>
                          <w:rPr>
                            <w:b/>
                            <w:w w:val="85"/>
                            <w:sz w:val="16"/>
                          </w:rPr>
                          <w:t>23.5</w:t>
                        </w:r>
                      </w:p>
                    </w:tc>
                    <w:tc>
                      <w:tcPr>
                        <w:tcW w:w="988" w:type="dxa"/>
                        <w:tcBorders>
                          <w:top w:val="nil"/>
                          <w:left w:val="nil"/>
                          <w:bottom w:val="nil"/>
                          <w:right w:val="nil"/>
                        </w:tcBorders>
                      </w:tcPr>
                      <w:p>
                        <w:pPr>
                          <w:pStyle w:val="TableParagraph"/>
                          <w:spacing w:before="17"/>
                          <w:ind w:right="108"/>
                          <w:rPr>
                            <w:b/>
                            <w:sz w:val="16"/>
                          </w:rPr>
                        </w:pPr>
                        <w:r>
                          <w:rPr>
                            <w:b/>
                            <w:w w:val="90"/>
                            <w:sz w:val="16"/>
                          </w:rPr>
                          <w:t>3 983 953</w:t>
                        </w:r>
                      </w:p>
                    </w:tc>
                    <w:tc>
                      <w:tcPr>
                        <w:tcW w:w="734" w:type="dxa"/>
                        <w:tcBorders>
                          <w:top w:val="nil"/>
                          <w:left w:val="nil"/>
                          <w:bottom w:val="nil"/>
                          <w:right w:val="nil"/>
                        </w:tcBorders>
                      </w:tcPr>
                      <w:p>
                        <w:pPr>
                          <w:pStyle w:val="TableParagraph"/>
                          <w:spacing w:before="17"/>
                          <w:ind w:right="74"/>
                          <w:rPr>
                            <w:b/>
                            <w:sz w:val="16"/>
                          </w:rPr>
                        </w:pPr>
                        <w:r>
                          <w:rPr>
                            <w:b/>
                            <w:w w:val="85"/>
                            <w:sz w:val="16"/>
                          </w:rPr>
                          <w:t>24.4</w:t>
                        </w:r>
                      </w:p>
                    </w:tc>
                    <w:tc>
                      <w:tcPr>
                        <w:tcW w:w="656" w:type="dxa"/>
                        <w:tcBorders>
                          <w:top w:val="nil"/>
                          <w:left w:val="nil"/>
                          <w:bottom w:val="nil"/>
                          <w:right w:val="nil"/>
                        </w:tcBorders>
                      </w:tcPr>
                      <w:p>
                        <w:pPr>
                          <w:pStyle w:val="TableParagraph"/>
                          <w:spacing w:before="17"/>
                          <w:ind w:right="46"/>
                          <w:rPr>
                            <w:b/>
                            <w:sz w:val="16"/>
                          </w:rPr>
                        </w:pPr>
                        <w:r>
                          <w:rPr>
                            <w:b/>
                            <w:w w:val="85"/>
                            <w:sz w:val="16"/>
                          </w:rPr>
                          <w:t>4.1</w:t>
                        </w:r>
                      </w:p>
                    </w:tc>
                  </w:tr>
                  <w:tr>
                    <w:trPr>
                      <w:trHeight w:val="240" w:hRule="exact"/>
                    </w:trPr>
                    <w:tc>
                      <w:tcPr>
                        <w:tcW w:w="1055" w:type="dxa"/>
                        <w:tcBorders>
                          <w:top w:val="nil"/>
                          <w:left w:val="nil"/>
                          <w:bottom w:val="nil"/>
                          <w:right w:val="nil"/>
                        </w:tcBorders>
                      </w:tcPr>
                      <w:p>
                        <w:pPr>
                          <w:pStyle w:val="TableParagraph"/>
                          <w:spacing w:before="25"/>
                          <w:ind w:left="50"/>
                          <w:jc w:val="left"/>
                          <w:rPr>
                            <w:b/>
                            <w:sz w:val="16"/>
                          </w:rPr>
                        </w:pPr>
                        <w:r>
                          <w:rPr>
                            <w:b/>
                            <w:w w:val="95"/>
                            <w:sz w:val="16"/>
                          </w:rPr>
                          <w:t>Veracruz</w:t>
                        </w:r>
                      </w:p>
                    </w:tc>
                    <w:tc>
                      <w:tcPr>
                        <w:tcW w:w="887" w:type="dxa"/>
                        <w:tcBorders>
                          <w:top w:val="nil"/>
                          <w:left w:val="nil"/>
                          <w:bottom w:val="nil"/>
                          <w:right w:val="nil"/>
                        </w:tcBorders>
                      </w:tcPr>
                      <w:p>
                        <w:pPr>
                          <w:pStyle w:val="TableParagraph"/>
                          <w:spacing w:before="25"/>
                          <w:ind w:right="61"/>
                          <w:rPr>
                            <w:b/>
                            <w:sz w:val="16"/>
                          </w:rPr>
                        </w:pPr>
                        <w:r>
                          <w:rPr>
                            <w:b/>
                            <w:w w:val="90"/>
                            <w:sz w:val="16"/>
                          </w:rPr>
                          <w:t>15 610 447</w:t>
                        </w:r>
                      </w:p>
                    </w:tc>
                    <w:tc>
                      <w:tcPr>
                        <w:tcW w:w="847" w:type="dxa"/>
                        <w:tcBorders>
                          <w:top w:val="nil"/>
                          <w:left w:val="nil"/>
                          <w:bottom w:val="nil"/>
                          <w:right w:val="nil"/>
                        </w:tcBorders>
                      </w:tcPr>
                      <w:p>
                        <w:pPr>
                          <w:pStyle w:val="TableParagraph"/>
                          <w:spacing w:before="25"/>
                          <w:ind w:left="175" w:right="-38"/>
                          <w:jc w:val="left"/>
                          <w:rPr>
                            <w:b/>
                            <w:sz w:val="16"/>
                          </w:rPr>
                        </w:pPr>
                        <w:r>
                          <w:rPr>
                            <w:b/>
                            <w:w w:val="90"/>
                            <w:sz w:val="16"/>
                          </w:rPr>
                          <w:t>677 815</w:t>
                        </w:r>
                      </w:p>
                    </w:tc>
                    <w:tc>
                      <w:tcPr>
                        <w:tcW w:w="636" w:type="dxa"/>
                        <w:tcBorders>
                          <w:top w:val="nil"/>
                          <w:left w:val="nil"/>
                          <w:bottom w:val="nil"/>
                          <w:right w:val="nil"/>
                        </w:tcBorders>
                      </w:tcPr>
                      <w:p>
                        <w:pPr>
                          <w:pStyle w:val="TableParagraph"/>
                          <w:spacing w:before="25"/>
                          <w:ind w:right="171"/>
                          <w:rPr>
                            <w:b/>
                            <w:sz w:val="16"/>
                          </w:rPr>
                        </w:pPr>
                        <w:r>
                          <w:rPr>
                            <w:b/>
                            <w:w w:val="85"/>
                            <w:sz w:val="16"/>
                          </w:rPr>
                          <w:t>4.3</w:t>
                        </w:r>
                      </w:p>
                    </w:tc>
                    <w:tc>
                      <w:tcPr>
                        <w:tcW w:w="649" w:type="dxa"/>
                        <w:tcBorders>
                          <w:top w:val="nil"/>
                          <w:left w:val="nil"/>
                          <w:bottom w:val="nil"/>
                          <w:right w:val="nil"/>
                        </w:tcBorders>
                      </w:tcPr>
                      <w:p>
                        <w:pPr>
                          <w:pStyle w:val="TableParagraph"/>
                          <w:spacing w:before="25"/>
                          <w:ind w:right="56"/>
                          <w:rPr>
                            <w:b/>
                            <w:sz w:val="16"/>
                          </w:rPr>
                        </w:pPr>
                        <w:r>
                          <w:rPr>
                            <w:b/>
                            <w:w w:val="85"/>
                            <w:sz w:val="16"/>
                          </w:rPr>
                          <w:t>23.0</w:t>
                        </w:r>
                      </w:p>
                    </w:tc>
                    <w:tc>
                      <w:tcPr>
                        <w:tcW w:w="988" w:type="dxa"/>
                        <w:tcBorders>
                          <w:top w:val="nil"/>
                          <w:left w:val="nil"/>
                          <w:bottom w:val="nil"/>
                          <w:right w:val="nil"/>
                        </w:tcBorders>
                      </w:tcPr>
                      <w:p>
                        <w:pPr>
                          <w:pStyle w:val="TableParagraph"/>
                          <w:spacing w:before="25"/>
                          <w:ind w:right="108"/>
                          <w:rPr>
                            <w:b/>
                            <w:sz w:val="16"/>
                          </w:rPr>
                        </w:pPr>
                        <w:r>
                          <w:rPr>
                            <w:b/>
                            <w:w w:val="90"/>
                            <w:sz w:val="16"/>
                          </w:rPr>
                          <w:t>6 069 428</w:t>
                        </w:r>
                      </w:p>
                    </w:tc>
                    <w:tc>
                      <w:tcPr>
                        <w:tcW w:w="734" w:type="dxa"/>
                        <w:tcBorders>
                          <w:top w:val="nil"/>
                          <w:left w:val="nil"/>
                          <w:bottom w:val="nil"/>
                          <w:right w:val="nil"/>
                        </w:tcBorders>
                      </w:tcPr>
                      <w:p>
                        <w:pPr>
                          <w:pStyle w:val="TableParagraph"/>
                          <w:spacing w:before="25"/>
                          <w:ind w:right="74"/>
                          <w:rPr>
                            <w:b/>
                            <w:sz w:val="16"/>
                          </w:rPr>
                        </w:pPr>
                        <w:r>
                          <w:rPr>
                            <w:b/>
                            <w:w w:val="85"/>
                            <w:sz w:val="16"/>
                          </w:rPr>
                          <w:t>38.9</w:t>
                        </w:r>
                      </w:p>
                    </w:tc>
                    <w:tc>
                      <w:tcPr>
                        <w:tcW w:w="656" w:type="dxa"/>
                        <w:tcBorders>
                          <w:top w:val="nil"/>
                          <w:left w:val="nil"/>
                          <w:bottom w:val="nil"/>
                          <w:right w:val="nil"/>
                        </w:tcBorders>
                      </w:tcPr>
                      <w:p>
                        <w:pPr>
                          <w:pStyle w:val="TableParagraph"/>
                          <w:spacing w:before="25"/>
                          <w:ind w:right="46"/>
                          <w:rPr>
                            <w:b/>
                            <w:sz w:val="16"/>
                          </w:rPr>
                        </w:pPr>
                        <w:r>
                          <w:rPr>
                            <w:b/>
                            <w:w w:val="85"/>
                            <w:sz w:val="16"/>
                          </w:rPr>
                          <w:t>2.6</w:t>
                        </w:r>
                      </w:p>
                    </w:tc>
                  </w:tr>
                  <w:tr>
                    <w:trPr>
                      <w:trHeight w:val="232" w:hRule="exact"/>
                    </w:trPr>
                    <w:tc>
                      <w:tcPr>
                        <w:tcW w:w="1055" w:type="dxa"/>
                        <w:tcBorders>
                          <w:top w:val="nil"/>
                          <w:left w:val="nil"/>
                          <w:bottom w:val="nil"/>
                          <w:right w:val="nil"/>
                        </w:tcBorders>
                      </w:tcPr>
                      <w:p>
                        <w:pPr>
                          <w:pStyle w:val="TableParagraph"/>
                          <w:spacing w:before="17"/>
                          <w:ind w:left="50"/>
                          <w:jc w:val="left"/>
                          <w:rPr>
                            <w:b/>
                            <w:sz w:val="16"/>
                          </w:rPr>
                        </w:pPr>
                        <w:r>
                          <w:rPr>
                            <w:b/>
                            <w:w w:val="95"/>
                            <w:sz w:val="16"/>
                          </w:rPr>
                          <w:t>Guerrero</w:t>
                        </w:r>
                      </w:p>
                    </w:tc>
                    <w:tc>
                      <w:tcPr>
                        <w:tcW w:w="887" w:type="dxa"/>
                        <w:tcBorders>
                          <w:top w:val="nil"/>
                          <w:left w:val="nil"/>
                          <w:bottom w:val="nil"/>
                          <w:right w:val="nil"/>
                        </w:tcBorders>
                      </w:tcPr>
                      <w:p>
                        <w:pPr>
                          <w:pStyle w:val="TableParagraph"/>
                          <w:spacing w:before="17"/>
                          <w:ind w:right="61"/>
                          <w:rPr>
                            <w:b/>
                            <w:sz w:val="16"/>
                          </w:rPr>
                        </w:pPr>
                        <w:r>
                          <w:rPr>
                            <w:b/>
                            <w:w w:val="90"/>
                            <w:sz w:val="16"/>
                          </w:rPr>
                          <w:t>15 155 626</w:t>
                        </w:r>
                      </w:p>
                    </w:tc>
                    <w:tc>
                      <w:tcPr>
                        <w:tcW w:w="847" w:type="dxa"/>
                        <w:tcBorders>
                          <w:top w:val="nil"/>
                          <w:left w:val="nil"/>
                          <w:bottom w:val="nil"/>
                          <w:right w:val="nil"/>
                        </w:tcBorders>
                      </w:tcPr>
                      <w:p>
                        <w:pPr>
                          <w:pStyle w:val="TableParagraph"/>
                          <w:spacing w:before="17"/>
                          <w:ind w:left="175" w:right="-38"/>
                          <w:jc w:val="left"/>
                          <w:rPr>
                            <w:b/>
                            <w:sz w:val="16"/>
                          </w:rPr>
                        </w:pPr>
                        <w:r>
                          <w:rPr>
                            <w:b/>
                            <w:w w:val="90"/>
                            <w:sz w:val="16"/>
                          </w:rPr>
                          <w:t>463 662</w:t>
                        </w:r>
                      </w:p>
                    </w:tc>
                    <w:tc>
                      <w:tcPr>
                        <w:tcW w:w="636" w:type="dxa"/>
                        <w:tcBorders>
                          <w:top w:val="nil"/>
                          <w:left w:val="nil"/>
                          <w:bottom w:val="nil"/>
                          <w:right w:val="nil"/>
                        </w:tcBorders>
                      </w:tcPr>
                      <w:p>
                        <w:pPr>
                          <w:pStyle w:val="TableParagraph"/>
                          <w:spacing w:before="17"/>
                          <w:ind w:right="171"/>
                          <w:rPr>
                            <w:b/>
                            <w:sz w:val="16"/>
                          </w:rPr>
                        </w:pPr>
                        <w:r>
                          <w:rPr>
                            <w:b/>
                            <w:w w:val="85"/>
                            <w:sz w:val="16"/>
                          </w:rPr>
                          <w:t>3.1</w:t>
                        </w:r>
                      </w:p>
                    </w:tc>
                    <w:tc>
                      <w:tcPr>
                        <w:tcW w:w="649" w:type="dxa"/>
                        <w:tcBorders>
                          <w:top w:val="nil"/>
                          <w:left w:val="nil"/>
                          <w:bottom w:val="nil"/>
                          <w:right w:val="nil"/>
                        </w:tcBorders>
                      </w:tcPr>
                      <w:p>
                        <w:pPr>
                          <w:pStyle w:val="TableParagraph"/>
                          <w:spacing w:before="17"/>
                          <w:ind w:right="56"/>
                          <w:rPr>
                            <w:b/>
                            <w:sz w:val="16"/>
                          </w:rPr>
                        </w:pPr>
                        <w:r>
                          <w:rPr>
                            <w:b/>
                            <w:w w:val="85"/>
                            <w:sz w:val="16"/>
                          </w:rPr>
                          <w:t>32.7</w:t>
                        </w:r>
                      </w:p>
                    </w:tc>
                    <w:tc>
                      <w:tcPr>
                        <w:tcW w:w="988" w:type="dxa"/>
                        <w:tcBorders>
                          <w:top w:val="nil"/>
                          <w:left w:val="nil"/>
                          <w:bottom w:val="nil"/>
                          <w:right w:val="nil"/>
                        </w:tcBorders>
                      </w:tcPr>
                      <w:p>
                        <w:pPr>
                          <w:pStyle w:val="TableParagraph"/>
                          <w:spacing w:before="17"/>
                          <w:ind w:right="108"/>
                          <w:rPr>
                            <w:b/>
                            <w:sz w:val="16"/>
                          </w:rPr>
                        </w:pPr>
                        <w:r>
                          <w:rPr>
                            <w:b/>
                            <w:w w:val="90"/>
                            <w:sz w:val="16"/>
                          </w:rPr>
                          <w:t>3 668 213</w:t>
                        </w:r>
                      </w:p>
                    </w:tc>
                    <w:tc>
                      <w:tcPr>
                        <w:tcW w:w="734" w:type="dxa"/>
                        <w:tcBorders>
                          <w:top w:val="nil"/>
                          <w:left w:val="nil"/>
                          <w:bottom w:val="nil"/>
                          <w:right w:val="nil"/>
                        </w:tcBorders>
                      </w:tcPr>
                      <w:p>
                        <w:pPr>
                          <w:pStyle w:val="TableParagraph"/>
                          <w:spacing w:before="17"/>
                          <w:ind w:right="74"/>
                          <w:rPr>
                            <w:b/>
                            <w:sz w:val="16"/>
                          </w:rPr>
                        </w:pPr>
                        <w:r>
                          <w:rPr>
                            <w:b/>
                            <w:w w:val="85"/>
                            <w:sz w:val="16"/>
                          </w:rPr>
                          <w:t>24.2</w:t>
                        </w:r>
                      </w:p>
                    </w:tc>
                    <w:tc>
                      <w:tcPr>
                        <w:tcW w:w="656" w:type="dxa"/>
                        <w:tcBorders>
                          <w:top w:val="nil"/>
                          <w:left w:val="nil"/>
                          <w:bottom w:val="nil"/>
                          <w:right w:val="nil"/>
                        </w:tcBorders>
                      </w:tcPr>
                      <w:p>
                        <w:pPr>
                          <w:pStyle w:val="TableParagraph"/>
                          <w:spacing w:before="17"/>
                          <w:ind w:right="46"/>
                          <w:rPr>
                            <w:b/>
                            <w:sz w:val="16"/>
                          </w:rPr>
                        </w:pPr>
                        <w:r>
                          <w:rPr>
                            <w:b/>
                            <w:w w:val="85"/>
                            <w:sz w:val="16"/>
                          </w:rPr>
                          <w:t>4.1</w:t>
                        </w:r>
                      </w:p>
                    </w:tc>
                  </w:tr>
                  <w:tr>
                    <w:trPr>
                      <w:trHeight w:val="240" w:hRule="exact"/>
                    </w:trPr>
                    <w:tc>
                      <w:tcPr>
                        <w:tcW w:w="1055" w:type="dxa"/>
                        <w:tcBorders>
                          <w:top w:val="nil"/>
                          <w:left w:val="nil"/>
                          <w:bottom w:val="nil"/>
                          <w:right w:val="nil"/>
                        </w:tcBorders>
                      </w:tcPr>
                      <w:p>
                        <w:pPr>
                          <w:pStyle w:val="TableParagraph"/>
                          <w:spacing w:before="17"/>
                          <w:ind w:left="50"/>
                          <w:jc w:val="left"/>
                          <w:rPr>
                            <w:sz w:val="16"/>
                          </w:rPr>
                        </w:pPr>
                        <w:r>
                          <w:rPr>
                            <w:w w:val="85"/>
                            <w:sz w:val="16"/>
                          </w:rPr>
                          <w:t>Distrito Federal</w:t>
                        </w:r>
                      </w:p>
                    </w:tc>
                    <w:tc>
                      <w:tcPr>
                        <w:tcW w:w="887" w:type="dxa"/>
                        <w:tcBorders>
                          <w:top w:val="nil"/>
                          <w:left w:val="nil"/>
                          <w:bottom w:val="nil"/>
                          <w:right w:val="nil"/>
                        </w:tcBorders>
                      </w:tcPr>
                      <w:p>
                        <w:pPr>
                          <w:pStyle w:val="TableParagraph"/>
                          <w:spacing w:before="17"/>
                          <w:ind w:right="61"/>
                          <w:rPr>
                            <w:sz w:val="16"/>
                          </w:rPr>
                        </w:pPr>
                        <w:r>
                          <w:rPr>
                            <w:w w:val="90"/>
                            <w:sz w:val="16"/>
                          </w:rPr>
                          <w:t>12 604 842</w:t>
                        </w:r>
                      </w:p>
                    </w:tc>
                    <w:tc>
                      <w:tcPr>
                        <w:tcW w:w="847" w:type="dxa"/>
                        <w:tcBorders>
                          <w:top w:val="nil"/>
                          <w:left w:val="nil"/>
                          <w:bottom w:val="nil"/>
                          <w:right w:val="nil"/>
                        </w:tcBorders>
                      </w:tcPr>
                      <w:p>
                        <w:pPr>
                          <w:pStyle w:val="TableParagraph"/>
                          <w:spacing w:before="17"/>
                          <w:ind w:left="314" w:right="-38"/>
                          <w:jc w:val="left"/>
                          <w:rPr>
                            <w:sz w:val="16"/>
                          </w:rPr>
                        </w:pPr>
                        <w:r>
                          <w:rPr>
                            <w:w w:val="90"/>
                            <w:sz w:val="16"/>
                          </w:rPr>
                          <w:t>5 038</w:t>
                        </w:r>
                      </w:p>
                    </w:tc>
                    <w:tc>
                      <w:tcPr>
                        <w:tcW w:w="636" w:type="dxa"/>
                        <w:tcBorders>
                          <w:top w:val="nil"/>
                          <w:left w:val="nil"/>
                          <w:bottom w:val="nil"/>
                          <w:right w:val="nil"/>
                        </w:tcBorders>
                      </w:tcPr>
                      <w:p>
                        <w:pPr>
                          <w:pStyle w:val="TableParagraph"/>
                          <w:spacing w:before="17"/>
                          <w:ind w:right="171"/>
                          <w:rPr>
                            <w:sz w:val="16"/>
                          </w:rPr>
                        </w:pPr>
                        <w:r>
                          <w:rPr>
                            <w:w w:val="85"/>
                            <w:sz w:val="16"/>
                          </w:rPr>
                          <w:t>0.0</w:t>
                        </w:r>
                      </w:p>
                    </w:tc>
                    <w:tc>
                      <w:tcPr>
                        <w:tcW w:w="649" w:type="dxa"/>
                        <w:tcBorders>
                          <w:top w:val="nil"/>
                          <w:left w:val="nil"/>
                          <w:bottom w:val="nil"/>
                          <w:right w:val="nil"/>
                        </w:tcBorders>
                      </w:tcPr>
                      <w:p>
                        <w:pPr>
                          <w:pStyle w:val="TableParagraph"/>
                          <w:spacing w:before="17"/>
                          <w:ind w:right="56"/>
                          <w:rPr>
                            <w:sz w:val="16"/>
                          </w:rPr>
                        </w:pPr>
                        <w:r>
                          <w:rPr>
                            <w:w w:val="90"/>
                            <w:sz w:val="16"/>
                          </w:rPr>
                          <w:t>2 501.8</w:t>
                        </w:r>
                      </w:p>
                    </w:tc>
                    <w:tc>
                      <w:tcPr>
                        <w:tcW w:w="988" w:type="dxa"/>
                        <w:tcBorders>
                          <w:top w:val="nil"/>
                          <w:left w:val="nil"/>
                          <w:bottom w:val="nil"/>
                          <w:right w:val="nil"/>
                        </w:tcBorders>
                      </w:tcPr>
                      <w:p>
                        <w:pPr>
                          <w:pStyle w:val="TableParagraph"/>
                          <w:spacing w:before="17"/>
                          <w:ind w:right="108"/>
                          <w:rPr>
                            <w:sz w:val="16"/>
                          </w:rPr>
                        </w:pPr>
                        <w:r>
                          <w:rPr>
                            <w:w w:val="90"/>
                            <w:sz w:val="16"/>
                          </w:rPr>
                          <w:t>556 089</w:t>
                        </w:r>
                      </w:p>
                    </w:tc>
                    <w:tc>
                      <w:tcPr>
                        <w:tcW w:w="734" w:type="dxa"/>
                        <w:tcBorders>
                          <w:top w:val="nil"/>
                          <w:left w:val="nil"/>
                          <w:bottom w:val="nil"/>
                          <w:right w:val="nil"/>
                        </w:tcBorders>
                      </w:tcPr>
                      <w:p>
                        <w:pPr>
                          <w:pStyle w:val="TableParagraph"/>
                          <w:spacing w:before="17"/>
                          <w:ind w:right="73"/>
                          <w:rPr>
                            <w:sz w:val="16"/>
                          </w:rPr>
                        </w:pPr>
                        <w:r>
                          <w:rPr>
                            <w:w w:val="85"/>
                            <w:sz w:val="16"/>
                          </w:rPr>
                          <w:t>4.4</w:t>
                        </w:r>
                      </w:p>
                    </w:tc>
                    <w:tc>
                      <w:tcPr>
                        <w:tcW w:w="656" w:type="dxa"/>
                        <w:tcBorders>
                          <w:top w:val="nil"/>
                          <w:left w:val="nil"/>
                          <w:bottom w:val="nil"/>
                          <w:right w:val="nil"/>
                        </w:tcBorders>
                      </w:tcPr>
                      <w:p>
                        <w:pPr>
                          <w:pStyle w:val="TableParagraph"/>
                          <w:spacing w:before="17"/>
                          <w:ind w:right="46"/>
                          <w:rPr>
                            <w:sz w:val="16"/>
                          </w:rPr>
                        </w:pPr>
                        <w:r>
                          <w:rPr>
                            <w:w w:val="85"/>
                            <w:sz w:val="16"/>
                          </w:rPr>
                          <w:t>22.7</w:t>
                        </w:r>
                      </w:p>
                    </w:tc>
                  </w:tr>
                  <w:tr>
                    <w:trPr>
                      <w:trHeight w:val="244" w:hRule="exact"/>
                    </w:trPr>
                    <w:tc>
                      <w:tcPr>
                        <w:tcW w:w="1055" w:type="dxa"/>
                        <w:tcBorders>
                          <w:top w:val="nil"/>
                          <w:left w:val="nil"/>
                          <w:bottom w:val="nil"/>
                          <w:right w:val="nil"/>
                        </w:tcBorders>
                      </w:tcPr>
                      <w:p>
                        <w:pPr>
                          <w:pStyle w:val="TableParagraph"/>
                          <w:spacing w:before="25"/>
                          <w:ind w:left="50"/>
                          <w:jc w:val="left"/>
                          <w:rPr>
                            <w:b/>
                            <w:sz w:val="16"/>
                          </w:rPr>
                        </w:pPr>
                        <w:r>
                          <w:rPr>
                            <w:b/>
                            <w:w w:val="95"/>
                            <w:sz w:val="16"/>
                          </w:rPr>
                          <w:t>Hidalgo</w:t>
                        </w:r>
                      </w:p>
                    </w:tc>
                    <w:tc>
                      <w:tcPr>
                        <w:tcW w:w="887" w:type="dxa"/>
                        <w:tcBorders>
                          <w:top w:val="nil"/>
                          <w:left w:val="nil"/>
                          <w:bottom w:val="nil"/>
                          <w:right w:val="nil"/>
                        </w:tcBorders>
                      </w:tcPr>
                      <w:p>
                        <w:pPr>
                          <w:pStyle w:val="TableParagraph"/>
                          <w:spacing w:before="25"/>
                          <w:ind w:right="61"/>
                          <w:rPr>
                            <w:b/>
                            <w:sz w:val="16"/>
                          </w:rPr>
                        </w:pPr>
                        <w:r>
                          <w:rPr>
                            <w:b/>
                            <w:w w:val="90"/>
                            <w:sz w:val="16"/>
                          </w:rPr>
                          <w:t>9 025 658</w:t>
                        </w:r>
                      </w:p>
                    </w:tc>
                    <w:tc>
                      <w:tcPr>
                        <w:tcW w:w="847" w:type="dxa"/>
                        <w:tcBorders>
                          <w:top w:val="nil"/>
                          <w:left w:val="nil"/>
                          <w:bottom w:val="nil"/>
                          <w:right w:val="nil"/>
                        </w:tcBorders>
                      </w:tcPr>
                      <w:p>
                        <w:pPr>
                          <w:pStyle w:val="TableParagraph"/>
                          <w:spacing w:before="25"/>
                          <w:ind w:left="175" w:right="-38"/>
                          <w:jc w:val="left"/>
                          <w:rPr>
                            <w:b/>
                            <w:sz w:val="16"/>
                          </w:rPr>
                        </w:pPr>
                        <w:r>
                          <w:rPr>
                            <w:b/>
                            <w:w w:val="90"/>
                            <w:sz w:val="16"/>
                          </w:rPr>
                          <w:t>384 418</w:t>
                        </w:r>
                      </w:p>
                    </w:tc>
                    <w:tc>
                      <w:tcPr>
                        <w:tcW w:w="636" w:type="dxa"/>
                        <w:tcBorders>
                          <w:top w:val="nil"/>
                          <w:left w:val="nil"/>
                          <w:bottom w:val="nil"/>
                          <w:right w:val="nil"/>
                        </w:tcBorders>
                      </w:tcPr>
                      <w:p>
                        <w:pPr>
                          <w:pStyle w:val="TableParagraph"/>
                          <w:spacing w:before="25"/>
                          <w:ind w:right="171"/>
                          <w:rPr>
                            <w:b/>
                            <w:sz w:val="16"/>
                          </w:rPr>
                        </w:pPr>
                        <w:r>
                          <w:rPr>
                            <w:b/>
                            <w:w w:val="85"/>
                            <w:sz w:val="16"/>
                          </w:rPr>
                          <w:t>4.3</w:t>
                        </w:r>
                      </w:p>
                    </w:tc>
                    <w:tc>
                      <w:tcPr>
                        <w:tcW w:w="649" w:type="dxa"/>
                        <w:tcBorders>
                          <w:top w:val="nil"/>
                          <w:left w:val="nil"/>
                          <w:bottom w:val="nil"/>
                          <w:right w:val="nil"/>
                        </w:tcBorders>
                      </w:tcPr>
                      <w:p>
                        <w:pPr>
                          <w:pStyle w:val="TableParagraph"/>
                          <w:spacing w:before="25"/>
                          <w:ind w:right="56"/>
                          <w:rPr>
                            <w:b/>
                            <w:sz w:val="16"/>
                          </w:rPr>
                        </w:pPr>
                        <w:r>
                          <w:rPr>
                            <w:b/>
                            <w:w w:val="85"/>
                            <w:sz w:val="16"/>
                          </w:rPr>
                          <w:t>23.5</w:t>
                        </w:r>
                      </w:p>
                    </w:tc>
                    <w:tc>
                      <w:tcPr>
                        <w:tcW w:w="988" w:type="dxa"/>
                        <w:tcBorders>
                          <w:top w:val="nil"/>
                          <w:left w:val="nil"/>
                          <w:bottom w:val="nil"/>
                          <w:right w:val="nil"/>
                        </w:tcBorders>
                      </w:tcPr>
                      <w:p>
                        <w:pPr>
                          <w:pStyle w:val="TableParagraph"/>
                          <w:spacing w:before="25"/>
                          <w:ind w:right="108"/>
                          <w:rPr>
                            <w:b/>
                            <w:sz w:val="16"/>
                          </w:rPr>
                        </w:pPr>
                        <w:r>
                          <w:rPr>
                            <w:b/>
                            <w:w w:val="90"/>
                            <w:sz w:val="16"/>
                          </w:rPr>
                          <w:t>2 097 184</w:t>
                        </w:r>
                      </w:p>
                    </w:tc>
                    <w:tc>
                      <w:tcPr>
                        <w:tcW w:w="734" w:type="dxa"/>
                        <w:tcBorders>
                          <w:top w:val="nil"/>
                          <w:left w:val="nil"/>
                          <w:bottom w:val="nil"/>
                          <w:right w:val="nil"/>
                        </w:tcBorders>
                      </w:tcPr>
                      <w:p>
                        <w:pPr>
                          <w:pStyle w:val="TableParagraph"/>
                          <w:spacing w:before="25"/>
                          <w:ind w:right="74"/>
                          <w:rPr>
                            <w:b/>
                            <w:sz w:val="16"/>
                          </w:rPr>
                        </w:pPr>
                        <w:r>
                          <w:rPr>
                            <w:b/>
                            <w:w w:val="85"/>
                            <w:sz w:val="16"/>
                          </w:rPr>
                          <w:t>23.2</w:t>
                        </w:r>
                      </w:p>
                    </w:tc>
                    <w:tc>
                      <w:tcPr>
                        <w:tcW w:w="656" w:type="dxa"/>
                        <w:tcBorders>
                          <w:top w:val="nil"/>
                          <w:left w:val="nil"/>
                          <w:bottom w:val="nil"/>
                          <w:right w:val="nil"/>
                        </w:tcBorders>
                      </w:tcPr>
                      <w:p>
                        <w:pPr>
                          <w:pStyle w:val="TableParagraph"/>
                          <w:spacing w:before="25"/>
                          <w:ind w:right="46"/>
                          <w:rPr>
                            <w:b/>
                            <w:sz w:val="16"/>
                          </w:rPr>
                        </w:pPr>
                        <w:r>
                          <w:rPr>
                            <w:b/>
                            <w:w w:val="85"/>
                            <w:sz w:val="16"/>
                          </w:rPr>
                          <w:t>4.3</w:t>
                        </w:r>
                      </w:p>
                    </w:tc>
                  </w:tr>
                  <w:tr>
                    <w:trPr>
                      <w:trHeight w:val="234" w:hRule="exact"/>
                    </w:trPr>
                    <w:tc>
                      <w:tcPr>
                        <w:tcW w:w="1055" w:type="dxa"/>
                        <w:tcBorders>
                          <w:top w:val="nil"/>
                          <w:left w:val="nil"/>
                          <w:bottom w:val="nil"/>
                          <w:right w:val="nil"/>
                        </w:tcBorders>
                      </w:tcPr>
                      <w:p>
                        <w:pPr>
                          <w:pStyle w:val="TableParagraph"/>
                          <w:spacing w:before="21"/>
                          <w:ind w:left="50"/>
                          <w:jc w:val="left"/>
                          <w:rPr>
                            <w:sz w:val="16"/>
                          </w:rPr>
                        </w:pPr>
                        <w:r>
                          <w:rPr>
                            <w:w w:val="95"/>
                            <w:sz w:val="16"/>
                          </w:rPr>
                          <w:t>SLP</w:t>
                        </w:r>
                      </w:p>
                    </w:tc>
                    <w:tc>
                      <w:tcPr>
                        <w:tcW w:w="887" w:type="dxa"/>
                        <w:tcBorders>
                          <w:top w:val="nil"/>
                          <w:left w:val="nil"/>
                          <w:bottom w:val="nil"/>
                          <w:right w:val="nil"/>
                        </w:tcBorders>
                      </w:tcPr>
                      <w:p>
                        <w:pPr>
                          <w:pStyle w:val="TableParagraph"/>
                          <w:spacing w:before="21"/>
                          <w:ind w:right="61"/>
                          <w:rPr>
                            <w:sz w:val="16"/>
                          </w:rPr>
                        </w:pPr>
                        <w:r>
                          <w:rPr>
                            <w:w w:val="90"/>
                            <w:sz w:val="16"/>
                          </w:rPr>
                          <w:t>7 940 406</w:t>
                        </w:r>
                      </w:p>
                    </w:tc>
                    <w:tc>
                      <w:tcPr>
                        <w:tcW w:w="847" w:type="dxa"/>
                        <w:tcBorders>
                          <w:top w:val="nil"/>
                          <w:left w:val="nil"/>
                          <w:bottom w:val="nil"/>
                          <w:right w:val="nil"/>
                        </w:tcBorders>
                      </w:tcPr>
                      <w:p>
                        <w:pPr>
                          <w:pStyle w:val="TableParagraph"/>
                          <w:spacing w:before="21"/>
                          <w:ind w:left="175" w:right="-38"/>
                          <w:jc w:val="left"/>
                          <w:rPr>
                            <w:sz w:val="16"/>
                          </w:rPr>
                        </w:pPr>
                        <w:r>
                          <w:rPr>
                            <w:w w:val="90"/>
                            <w:sz w:val="16"/>
                          </w:rPr>
                          <w:t>527 008</w:t>
                        </w:r>
                      </w:p>
                    </w:tc>
                    <w:tc>
                      <w:tcPr>
                        <w:tcW w:w="636" w:type="dxa"/>
                        <w:tcBorders>
                          <w:top w:val="nil"/>
                          <w:left w:val="nil"/>
                          <w:bottom w:val="nil"/>
                          <w:right w:val="nil"/>
                        </w:tcBorders>
                      </w:tcPr>
                      <w:p>
                        <w:pPr>
                          <w:pStyle w:val="TableParagraph"/>
                          <w:spacing w:before="21"/>
                          <w:ind w:right="171"/>
                          <w:rPr>
                            <w:sz w:val="16"/>
                          </w:rPr>
                        </w:pPr>
                        <w:r>
                          <w:rPr>
                            <w:w w:val="85"/>
                            <w:sz w:val="16"/>
                          </w:rPr>
                          <w:t>6.6</w:t>
                        </w:r>
                      </w:p>
                    </w:tc>
                    <w:tc>
                      <w:tcPr>
                        <w:tcW w:w="649" w:type="dxa"/>
                        <w:tcBorders>
                          <w:top w:val="nil"/>
                          <w:left w:val="nil"/>
                          <w:bottom w:val="nil"/>
                          <w:right w:val="nil"/>
                        </w:tcBorders>
                      </w:tcPr>
                      <w:p>
                        <w:pPr>
                          <w:pStyle w:val="TableParagraph"/>
                          <w:spacing w:before="21"/>
                          <w:ind w:right="56"/>
                          <w:rPr>
                            <w:sz w:val="16"/>
                          </w:rPr>
                        </w:pPr>
                        <w:r>
                          <w:rPr>
                            <w:w w:val="85"/>
                            <w:sz w:val="16"/>
                          </w:rPr>
                          <w:t>15.1</w:t>
                        </w:r>
                      </w:p>
                    </w:tc>
                    <w:tc>
                      <w:tcPr>
                        <w:tcW w:w="988" w:type="dxa"/>
                        <w:tcBorders>
                          <w:top w:val="nil"/>
                          <w:left w:val="nil"/>
                          <w:bottom w:val="nil"/>
                          <w:right w:val="nil"/>
                        </w:tcBorders>
                      </w:tcPr>
                      <w:p>
                        <w:pPr>
                          <w:pStyle w:val="TableParagraph"/>
                          <w:spacing w:before="21"/>
                          <w:ind w:right="108"/>
                          <w:rPr>
                            <w:sz w:val="16"/>
                          </w:rPr>
                        </w:pPr>
                        <w:r>
                          <w:rPr>
                            <w:w w:val="90"/>
                            <w:sz w:val="16"/>
                          </w:rPr>
                          <w:t>1 990 541</w:t>
                        </w:r>
                      </w:p>
                    </w:tc>
                    <w:tc>
                      <w:tcPr>
                        <w:tcW w:w="734" w:type="dxa"/>
                        <w:tcBorders>
                          <w:top w:val="nil"/>
                          <w:left w:val="nil"/>
                          <w:bottom w:val="nil"/>
                          <w:right w:val="nil"/>
                        </w:tcBorders>
                      </w:tcPr>
                      <w:p>
                        <w:pPr>
                          <w:pStyle w:val="TableParagraph"/>
                          <w:spacing w:before="21"/>
                          <w:ind w:right="74"/>
                          <w:rPr>
                            <w:sz w:val="16"/>
                          </w:rPr>
                        </w:pPr>
                        <w:r>
                          <w:rPr>
                            <w:w w:val="85"/>
                            <w:sz w:val="16"/>
                          </w:rPr>
                          <w:t>25.1</w:t>
                        </w:r>
                      </w:p>
                    </w:tc>
                    <w:tc>
                      <w:tcPr>
                        <w:tcW w:w="656" w:type="dxa"/>
                        <w:tcBorders>
                          <w:top w:val="nil"/>
                          <w:left w:val="nil"/>
                          <w:bottom w:val="nil"/>
                          <w:right w:val="nil"/>
                        </w:tcBorders>
                      </w:tcPr>
                      <w:p>
                        <w:pPr>
                          <w:pStyle w:val="TableParagraph"/>
                          <w:spacing w:before="21"/>
                          <w:ind w:right="46"/>
                          <w:rPr>
                            <w:sz w:val="16"/>
                          </w:rPr>
                        </w:pPr>
                        <w:r>
                          <w:rPr>
                            <w:w w:val="85"/>
                            <w:sz w:val="16"/>
                          </w:rPr>
                          <w:t>4.0</w:t>
                        </w:r>
                      </w:p>
                    </w:tc>
                  </w:tr>
                  <w:tr>
                    <w:trPr>
                      <w:trHeight w:val="238" w:hRule="exact"/>
                    </w:trPr>
                    <w:tc>
                      <w:tcPr>
                        <w:tcW w:w="1055" w:type="dxa"/>
                        <w:tcBorders>
                          <w:top w:val="nil"/>
                          <w:left w:val="nil"/>
                          <w:bottom w:val="nil"/>
                          <w:right w:val="nil"/>
                        </w:tcBorders>
                      </w:tcPr>
                      <w:p>
                        <w:pPr>
                          <w:pStyle w:val="TableParagraph"/>
                          <w:spacing w:before="15"/>
                          <w:ind w:left="50"/>
                          <w:jc w:val="left"/>
                          <w:rPr>
                            <w:sz w:val="16"/>
                          </w:rPr>
                        </w:pPr>
                        <w:r>
                          <w:rPr>
                            <w:w w:val="95"/>
                            <w:sz w:val="16"/>
                          </w:rPr>
                          <w:t>Zacatecas</w:t>
                        </w:r>
                      </w:p>
                    </w:tc>
                    <w:tc>
                      <w:tcPr>
                        <w:tcW w:w="887" w:type="dxa"/>
                        <w:tcBorders>
                          <w:top w:val="nil"/>
                          <w:left w:val="nil"/>
                          <w:bottom w:val="nil"/>
                          <w:right w:val="nil"/>
                        </w:tcBorders>
                      </w:tcPr>
                      <w:p>
                        <w:pPr>
                          <w:pStyle w:val="TableParagraph"/>
                          <w:spacing w:before="15"/>
                          <w:ind w:right="61"/>
                          <w:rPr>
                            <w:sz w:val="16"/>
                          </w:rPr>
                        </w:pPr>
                        <w:r>
                          <w:rPr>
                            <w:w w:val="90"/>
                            <w:sz w:val="16"/>
                          </w:rPr>
                          <w:t>7 337 769</w:t>
                        </w:r>
                      </w:p>
                    </w:tc>
                    <w:tc>
                      <w:tcPr>
                        <w:tcW w:w="847" w:type="dxa"/>
                        <w:tcBorders>
                          <w:top w:val="nil"/>
                          <w:left w:val="nil"/>
                          <w:bottom w:val="nil"/>
                          <w:right w:val="nil"/>
                        </w:tcBorders>
                      </w:tcPr>
                      <w:p>
                        <w:pPr>
                          <w:pStyle w:val="TableParagraph"/>
                          <w:spacing w:before="15"/>
                          <w:ind w:left="71" w:right="-38"/>
                          <w:jc w:val="left"/>
                          <w:rPr>
                            <w:sz w:val="16"/>
                          </w:rPr>
                        </w:pPr>
                        <w:r>
                          <w:rPr>
                            <w:w w:val="90"/>
                            <w:sz w:val="16"/>
                          </w:rPr>
                          <w:t>1 091 846</w:t>
                        </w:r>
                      </w:p>
                    </w:tc>
                    <w:tc>
                      <w:tcPr>
                        <w:tcW w:w="636" w:type="dxa"/>
                        <w:tcBorders>
                          <w:top w:val="nil"/>
                          <w:left w:val="nil"/>
                          <w:bottom w:val="nil"/>
                          <w:right w:val="nil"/>
                        </w:tcBorders>
                      </w:tcPr>
                      <w:p>
                        <w:pPr>
                          <w:pStyle w:val="TableParagraph"/>
                          <w:spacing w:before="15"/>
                          <w:ind w:right="172"/>
                          <w:rPr>
                            <w:sz w:val="16"/>
                          </w:rPr>
                        </w:pPr>
                        <w:r>
                          <w:rPr>
                            <w:w w:val="85"/>
                            <w:sz w:val="16"/>
                          </w:rPr>
                          <w:t>14.9</w:t>
                        </w:r>
                      </w:p>
                    </w:tc>
                    <w:tc>
                      <w:tcPr>
                        <w:tcW w:w="649" w:type="dxa"/>
                        <w:tcBorders>
                          <w:top w:val="nil"/>
                          <w:left w:val="nil"/>
                          <w:bottom w:val="nil"/>
                          <w:right w:val="nil"/>
                        </w:tcBorders>
                      </w:tcPr>
                      <w:p>
                        <w:pPr>
                          <w:pStyle w:val="TableParagraph"/>
                          <w:spacing w:before="15"/>
                          <w:ind w:right="55"/>
                          <w:rPr>
                            <w:sz w:val="16"/>
                          </w:rPr>
                        </w:pPr>
                        <w:r>
                          <w:rPr>
                            <w:w w:val="85"/>
                            <w:sz w:val="16"/>
                          </w:rPr>
                          <w:t>6.7</w:t>
                        </w:r>
                      </w:p>
                    </w:tc>
                    <w:tc>
                      <w:tcPr>
                        <w:tcW w:w="988" w:type="dxa"/>
                        <w:tcBorders>
                          <w:top w:val="nil"/>
                          <w:left w:val="nil"/>
                          <w:bottom w:val="nil"/>
                          <w:right w:val="nil"/>
                        </w:tcBorders>
                      </w:tcPr>
                      <w:p>
                        <w:pPr>
                          <w:pStyle w:val="TableParagraph"/>
                          <w:spacing w:before="15"/>
                          <w:ind w:right="108"/>
                          <w:rPr>
                            <w:sz w:val="16"/>
                          </w:rPr>
                        </w:pPr>
                        <w:r>
                          <w:rPr>
                            <w:w w:val="90"/>
                            <w:sz w:val="16"/>
                          </w:rPr>
                          <w:t>981 079</w:t>
                        </w:r>
                      </w:p>
                    </w:tc>
                    <w:tc>
                      <w:tcPr>
                        <w:tcW w:w="734" w:type="dxa"/>
                        <w:tcBorders>
                          <w:top w:val="nil"/>
                          <w:left w:val="nil"/>
                          <w:bottom w:val="nil"/>
                          <w:right w:val="nil"/>
                        </w:tcBorders>
                      </w:tcPr>
                      <w:p>
                        <w:pPr>
                          <w:pStyle w:val="TableParagraph"/>
                          <w:spacing w:before="15"/>
                          <w:ind w:right="74"/>
                          <w:rPr>
                            <w:sz w:val="16"/>
                          </w:rPr>
                        </w:pPr>
                        <w:r>
                          <w:rPr>
                            <w:w w:val="85"/>
                            <w:sz w:val="16"/>
                          </w:rPr>
                          <w:t>13.4</w:t>
                        </w:r>
                      </w:p>
                    </w:tc>
                    <w:tc>
                      <w:tcPr>
                        <w:tcW w:w="656" w:type="dxa"/>
                        <w:tcBorders>
                          <w:top w:val="nil"/>
                          <w:left w:val="nil"/>
                          <w:bottom w:val="nil"/>
                          <w:right w:val="nil"/>
                        </w:tcBorders>
                      </w:tcPr>
                      <w:p>
                        <w:pPr>
                          <w:pStyle w:val="TableParagraph"/>
                          <w:spacing w:before="15"/>
                          <w:ind w:right="46"/>
                          <w:rPr>
                            <w:sz w:val="16"/>
                          </w:rPr>
                        </w:pPr>
                        <w:r>
                          <w:rPr>
                            <w:w w:val="85"/>
                            <w:sz w:val="16"/>
                          </w:rPr>
                          <w:t>7.5</w:t>
                        </w:r>
                      </w:p>
                    </w:tc>
                  </w:tr>
                  <w:tr>
                    <w:trPr>
                      <w:trHeight w:val="242" w:hRule="exact"/>
                    </w:trPr>
                    <w:tc>
                      <w:tcPr>
                        <w:tcW w:w="1055" w:type="dxa"/>
                        <w:tcBorders>
                          <w:top w:val="nil"/>
                          <w:left w:val="nil"/>
                          <w:bottom w:val="nil"/>
                          <w:right w:val="nil"/>
                        </w:tcBorders>
                      </w:tcPr>
                      <w:p>
                        <w:pPr>
                          <w:pStyle w:val="TableParagraph"/>
                          <w:spacing w:before="25"/>
                          <w:ind w:left="50"/>
                          <w:jc w:val="left"/>
                          <w:rPr>
                            <w:b/>
                            <w:sz w:val="16"/>
                          </w:rPr>
                        </w:pPr>
                        <w:r>
                          <w:rPr>
                            <w:b/>
                            <w:w w:val="95"/>
                            <w:sz w:val="16"/>
                          </w:rPr>
                          <w:t>Chiapas</w:t>
                        </w:r>
                      </w:p>
                    </w:tc>
                    <w:tc>
                      <w:tcPr>
                        <w:tcW w:w="887" w:type="dxa"/>
                        <w:tcBorders>
                          <w:top w:val="nil"/>
                          <w:left w:val="nil"/>
                          <w:bottom w:val="nil"/>
                          <w:right w:val="nil"/>
                        </w:tcBorders>
                      </w:tcPr>
                      <w:p>
                        <w:pPr>
                          <w:pStyle w:val="TableParagraph"/>
                          <w:spacing w:before="25"/>
                          <w:ind w:right="61"/>
                          <w:rPr>
                            <w:b/>
                            <w:sz w:val="16"/>
                          </w:rPr>
                        </w:pPr>
                        <w:r>
                          <w:rPr>
                            <w:b/>
                            <w:w w:val="90"/>
                            <w:sz w:val="16"/>
                          </w:rPr>
                          <w:t>7 246 805</w:t>
                        </w:r>
                      </w:p>
                    </w:tc>
                    <w:tc>
                      <w:tcPr>
                        <w:tcW w:w="847" w:type="dxa"/>
                        <w:tcBorders>
                          <w:top w:val="nil"/>
                          <w:left w:val="nil"/>
                          <w:bottom w:val="nil"/>
                          <w:right w:val="nil"/>
                        </w:tcBorders>
                      </w:tcPr>
                      <w:p>
                        <w:pPr>
                          <w:pStyle w:val="TableParagraph"/>
                          <w:spacing w:before="25"/>
                          <w:ind w:left="71" w:right="-38"/>
                          <w:jc w:val="left"/>
                          <w:rPr>
                            <w:b/>
                            <w:sz w:val="16"/>
                          </w:rPr>
                        </w:pPr>
                        <w:r>
                          <w:rPr>
                            <w:b/>
                            <w:w w:val="90"/>
                            <w:sz w:val="16"/>
                          </w:rPr>
                          <w:t>1 039 876</w:t>
                        </w:r>
                      </w:p>
                    </w:tc>
                    <w:tc>
                      <w:tcPr>
                        <w:tcW w:w="636" w:type="dxa"/>
                        <w:tcBorders>
                          <w:top w:val="nil"/>
                          <w:left w:val="nil"/>
                          <w:bottom w:val="nil"/>
                          <w:right w:val="nil"/>
                        </w:tcBorders>
                      </w:tcPr>
                      <w:p>
                        <w:pPr>
                          <w:pStyle w:val="TableParagraph"/>
                          <w:spacing w:before="25"/>
                          <w:ind w:right="172"/>
                          <w:rPr>
                            <w:b/>
                            <w:sz w:val="16"/>
                          </w:rPr>
                        </w:pPr>
                        <w:r>
                          <w:rPr>
                            <w:b/>
                            <w:w w:val="85"/>
                            <w:sz w:val="16"/>
                          </w:rPr>
                          <w:t>14.3</w:t>
                        </w:r>
                      </w:p>
                    </w:tc>
                    <w:tc>
                      <w:tcPr>
                        <w:tcW w:w="649" w:type="dxa"/>
                        <w:tcBorders>
                          <w:top w:val="nil"/>
                          <w:left w:val="nil"/>
                          <w:bottom w:val="nil"/>
                          <w:right w:val="nil"/>
                        </w:tcBorders>
                      </w:tcPr>
                      <w:p>
                        <w:pPr>
                          <w:pStyle w:val="TableParagraph"/>
                          <w:spacing w:before="25"/>
                          <w:ind w:right="55"/>
                          <w:rPr>
                            <w:b/>
                            <w:sz w:val="16"/>
                          </w:rPr>
                        </w:pPr>
                        <w:r>
                          <w:rPr>
                            <w:b/>
                            <w:w w:val="85"/>
                            <w:sz w:val="16"/>
                          </w:rPr>
                          <w:t>7.0</w:t>
                        </w:r>
                      </w:p>
                    </w:tc>
                    <w:tc>
                      <w:tcPr>
                        <w:tcW w:w="988" w:type="dxa"/>
                        <w:tcBorders>
                          <w:top w:val="nil"/>
                          <w:left w:val="nil"/>
                          <w:bottom w:val="nil"/>
                          <w:right w:val="nil"/>
                        </w:tcBorders>
                      </w:tcPr>
                      <w:p>
                        <w:pPr>
                          <w:pStyle w:val="TableParagraph"/>
                          <w:spacing w:before="25"/>
                          <w:ind w:right="108"/>
                          <w:rPr>
                            <w:b/>
                            <w:sz w:val="16"/>
                          </w:rPr>
                        </w:pPr>
                        <w:r>
                          <w:rPr>
                            <w:b/>
                            <w:w w:val="90"/>
                            <w:sz w:val="16"/>
                          </w:rPr>
                          <w:t>5 762 806</w:t>
                        </w:r>
                      </w:p>
                    </w:tc>
                    <w:tc>
                      <w:tcPr>
                        <w:tcW w:w="734" w:type="dxa"/>
                        <w:tcBorders>
                          <w:top w:val="nil"/>
                          <w:left w:val="nil"/>
                          <w:bottom w:val="nil"/>
                          <w:right w:val="nil"/>
                        </w:tcBorders>
                      </w:tcPr>
                      <w:p>
                        <w:pPr>
                          <w:pStyle w:val="TableParagraph"/>
                          <w:spacing w:before="25"/>
                          <w:ind w:right="74"/>
                          <w:rPr>
                            <w:b/>
                            <w:sz w:val="16"/>
                          </w:rPr>
                        </w:pPr>
                        <w:r>
                          <w:rPr>
                            <w:b/>
                            <w:w w:val="85"/>
                            <w:sz w:val="16"/>
                          </w:rPr>
                          <w:t>79.5</w:t>
                        </w:r>
                      </w:p>
                    </w:tc>
                    <w:tc>
                      <w:tcPr>
                        <w:tcW w:w="656" w:type="dxa"/>
                        <w:tcBorders>
                          <w:top w:val="nil"/>
                          <w:left w:val="nil"/>
                          <w:bottom w:val="nil"/>
                          <w:right w:val="nil"/>
                        </w:tcBorders>
                      </w:tcPr>
                      <w:p>
                        <w:pPr>
                          <w:pStyle w:val="TableParagraph"/>
                          <w:spacing w:before="25"/>
                          <w:ind w:right="46"/>
                          <w:rPr>
                            <w:b/>
                            <w:sz w:val="16"/>
                          </w:rPr>
                        </w:pPr>
                        <w:r>
                          <w:rPr>
                            <w:b/>
                            <w:w w:val="85"/>
                            <w:sz w:val="16"/>
                          </w:rPr>
                          <w:t>1.3</w:t>
                        </w:r>
                      </w:p>
                    </w:tc>
                  </w:tr>
                  <w:tr>
                    <w:trPr>
                      <w:trHeight w:val="234" w:hRule="exact"/>
                    </w:trPr>
                    <w:tc>
                      <w:tcPr>
                        <w:tcW w:w="1055" w:type="dxa"/>
                        <w:tcBorders>
                          <w:top w:val="nil"/>
                          <w:left w:val="nil"/>
                          <w:bottom w:val="nil"/>
                          <w:right w:val="nil"/>
                        </w:tcBorders>
                      </w:tcPr>
                      <w:p>
                        <w:pPr>
                          <w:pStyle w:val="TableParagraph"/>
                          <w:spacing w:before="19"/>
                          <w:ind w:left="50"/>
                          <w:jc w:val="left"/>
                          <w:rPr>
                            <w:sz w:val="16"/>
                          </w:rPr>
                        </w:pPr>
                        <w:r>
                          <w:rPr>
                            <w:w w:val="95"/>
                            <w:sz w:val="16"/>
                          </w:rPr>
                          <w:t>Morelos</w:t>
                        </w:r>
                      </w:p>
                    </w:tc>
                    <w:tc>
                      <w:tcPr>
                        <w:tcW w:w="887" w:type="dxa"/>
                        <w:tcBorders>
                          <w:top w:val="nil"/>
                          <w:left w:val="nil"/>
                          <w:bottom w:val="nil"/>
                          <w:right w:val="nil"/>
                        </w:tcBorders>
                      </w:tcPr>
                      <w:p>
                        <w:pPr>
                          <w:pStyle w:val="TableParagraph"/>
                          <w:spacing w:before="19"/>
                          <w:ind w:right="61"/>
                          <w:rPr>
                            <w:sz w:val="16"/>
                          </w:rPr>
                        </w:pPr>
                        <w:r>
                          <w:rPr>
                            <w:w w:val="90"/>
                            <w:sz w:val="16"/>
                          </w:rPr>
                          <w:t>6 999 181</w:t>
                        </w:r>
                      </w:p>
                    </w:tc>
                    <w:tc>
                      <w:tcPr>
                        <w:tcW w:w="847" w:type="dxa"/>
                        <w:tcBorders>
                          <w:top w:val="nil"/>
                          <w:left w:val="nil"/>
                          <w:bottom w:val="nil"/>
                          <w:right w:val="nil"/>
                        </w:tcBorders>
                      </w:tcPr>
                      <w:p>
                        <w:pPr>
                          <w:pStyle w:val="TableParagraph"/>
                          <w:spacing w:before="19"/>
                          <w:ind w:left="245" w:right="-38"/>
                          <w:jc w:val="left"/>
                          <w:rPr>
                            <w:sz w:val="16"/>
                          </w:rPr>
                        </w:pPr>
                        <w:r>
                          <w:rPr>
                            <w:w w:val="90"/>
                            <w:sz w:val="16"/>
                          </w:rPr>
                          <w:t>79 264</w:t>
                        </w:r>
                      </w:p>
                    </w:tc>
                    <w:tc>
                      <w:tcPr>
                        <w:tcW w:w="636" w:type="dxa"/>
                        <w:tcBorders>
                          <w:top w:val="nil"/>
                          <w:left w:val="nil"/>
                          <w:bottom w:val="nil"/>
                          <w:right w:val="nil"/>
                        </w:tcBorders>
                      </w:tcPr>
                      <w:p>
                        <w:pPr>
                          <w:pStyle w:val="TableParagraph"/>
                          <w:spacing w:before="19"/>
                          <w:ind w:right="171"/>
                          <w:rPr>
                            <w:sz w:val="16"/>
                          </w:rPr>
                        </w:pPr>
                        <w:r>
                          <w:rPr>
                            <w:w w:val="85"/>
                            <w:sz w:val="16"/>
                          </w:rPr>
                          <w:t>1.1</w:t>
                        </w:r>
                      </w:p>
                    </w:tc>
                    <w:tc>
                      <w:tcPr>
                        <w:tcW w:w="649" w:type="dxa"/>
                        <w:tcBorders>
                          <w:top w:val="nil"/>
                          <w:left w:val="nil"/>
                          <w:bottom w:val="nil"/>
                          <w:right w:val="nil"/>
                        </w:tcBorders>
                      </w:tcPr>
                      <w:p>
                        <w:pPr>
                          <w:pStyle w:val="TableParagraph"/>
                          <w:spacing w:before="19"/>
                          <w:ind w:right="56"/>
                          <w:rPr>
                            <w:sz w:val="16"/>
                          </w:rPr>
                        </w:pPr>
                        <w:r>
                          <w:rPr>
                            <w:w w:val="85"/>
                            <w:sz w:val="16"/>
                          </w:rPr>
                          <w:t>88.3</w:t>
                        </w:r>
                      </w:p>
                    </w:tc>
                    <w:tc>
                      <w:tcPr>
                        <w:tcW w:w="988" w:type="dxa"/>
                        <w:tcBorders>
                          <w:top w:val="nil"/>
                          <w:left w:val="nil"/>
                          <w:bottom w:val="nil"/>
                          <w:right w:val="nil"/>
                        </w:tcBorders>
                      </w:tcPr>
                      <w:p>
                        <w:pPr>
                          <w:pStyle w:val="TableParagraph"/>
                          <w:spacing w:before="19"/>
                          <w:ind w:right="108"/>
                          <w:rPr>
                            <w:sz w:val="16"/>
                          </w:rPr>
                        </w:pPr>
                        <w:r>
                          <w:rPr>
                            <w:w w:val="90"/>
                            <w:sz w:val="16"/>
                          </w:rPr>
                          <w:t>799 787</w:t>
                        </w:r>
                      </w:p>
                    </w:tc>
                    <w:tc>
                      <w:tcPr>
                        <w:tcW w:w="734" w:type="dxa"/>
                        <w:tcBorders>
                          <w:top w:val="nil"/>
                          <w:left w:val="nil"/>
                          <w:bottom w:val="nil"/>
                          <w:right w:val="nil"/>
                        </w:tcBorders>
                      </w:tcPr>
                      <w:p>
                        <w:pPr>
                          <w:pStyle w:val="TableParagraph"/>
                          <w:spacing w:before="19"/>
                          <w:ind w:right="74"/>
                          <w:rPr>
                            <w:sz w:val="16"/>
                          </w:rPr>
                        </w:pPr>
                        <w:r>
                          <w:rPr>
                            <w:w w:val="85"/>
                            <w:sz w:val="16"/>
                          </w:rPr>
                          <w:t>11.4</w:t>
                        </w:r>
                      </w:p>
                    </w:tc>
                    <w:tc>
                      <w:tcPr>
                        <w:tcW w:w="656" w:type="dxa"/>
                        <w:tcBorders>
                          <w:top w:val="nil"/>
                          <w:left w:val="nil"/>
                          <w:bottom w:val="nil"/>
                          <w:right w:val="nil"/>
                        </w:tcBorders>
                      </w:tcPr>
                      <w:p>
                        <w:pPr>
                          <w:pStyle w:val="TableParagraph"/>
                          <w:spacing w:before="19"/>
                          <w:ind w:right="46"/>
                          <w:rPr>
                            <w:sz w:val="16"/>
                          </w:rPr>
                        </w:pPr>
                        <w:r>
                          <w:rPr>
                            <w:w w:val="85"/>
                            <w:sz w:val="16"/>
                          </w:rPr>
                          <w:t>8.8</w:t>
                        </w:r>
                      </w:p>
                    </w:tc>
                  </w:tr>
                  <w:tr>
                    <w:trPr>
                      <w:trHeight w:val="238" w:hRule="exact"/>
                    </w:trPr>
                    <w:tc>
                      <w:tcPr>
                        <w:tcW w:w="1055" w:type="dxa"/>
                        <w:tcBorders>
                          <w:top w:val="nil"/>
                          <w:left w:val="nil"/>
                          <w:bottom w:val="nil"/>
                          <w:right w:val="nil"/>
                        </w:tcBorders>
                      </w:tcPr>
                      <w:p>
                        <w:pPr>
                          <w:pStyle w:val="TableParagraph"/>
                          <w:spacing w:before="17"/>
                          <w:ind w:left="50"/>
                          <w:jc w:val="left"/>
                          <w:rPr>
                            <w:sz w:val="16"/>
                          </w:rPr>
                        </w:pPr>
                        <w:r>
                          <w:rPr>
                            <w:w w:val="95"/>
                            <w:sz w:val="16"/>
                          </w:rPr>
                          <w:t>Sinaloa</w:t>
                        </w:r>
                      </w:p>
                    </w:tc>
                    <w:tc>
                      <w:tcPr>
                        <w:tcW w:w="887" w:type="dxa"/>
                        <w:tcBorders>
                          <w:top w:val="nil"/>
                          <w:left w:val="nil"/>
                          <w:bottom w:val="nil"/>
                          <w:right w:val="nil"/>
                        </w:tcBorders>
                      </w:tcPr>
                      <w:p>
                        <w:pPr>
                          <w:pStyle w:val="TableParagraph"/>
                          <w:spacing w:before="17"/>
                          <w:ind w:right="61"/>
                          <w:rPr>
                            <w:sz w:val="16"/>
                          </w:rPr>
                        </w:pPr>
                        <w:r>
                          <w:rPr>
                            <w:w w:val="90"/>
                            <w:sz w:val="16"/>
                          </w:rPr>
                          <w:t>5 931 616</w:t>
                        </w:r>
                      </w:p>
                    </w:tc>
                    <w:tc>
                      <w:tcPr>
                        <w:tcW w:w="847" w:type="dxa"/>
                        <w:tcBorders>
                          <w:top w:val="nil"/>
                          <w:left w:val="nil"/>
                          <w:bottom w:val="nil"/>
                          <w:right w:val="nil"/>
                        </w:tcBorders>
                      </w:tcPr>
                      <w:p>
                        <w:pPr>
                          <w:pStyle w:val="TableParagraph"/>
                          <w:spacing w:before="17"/>
                          <w:ind w:left="71" w:right="-38"/>
                          <w:jc w:val="left"/>
                          <w:rPr>
                            <w:sz w:val="16"/>
                          </w:rPr>
                        </w:pPr>
                        <w:r>
                          <w:rPr>
                            <w:w w:val="90"/>
                            <w:sz w:val="16"/>
                          </w:rPr>
                          <w:t>1 073 187</w:t>
                        </w:r>
                      </w:p>
                    </w:tc>
                    <w:tc>
                      <w:tcPr>
                        <w:tcW w:w="636" w:type="dxa"/>
                        <w:tcBorders>
                          <w:top w:val="nil"/>
                          <w:left w:val="nil"/>
                          <w:bottom w:val="nil"/>
                          <w:right w:val="nil"/>
                        </w:tcBorders>
                      </w:tcPr>
                      <w:p>
                        <w:pPr>
                          <w:pStyle w:val="TableParagraph"/>
                          <w:spacing w:before="17"/>
                          <w:ind w:right="172"/>
                          <w:rPr>
                            <w:sz w:val="16"/>
                          </w:rPr>
                        </w:pPr>
                        <w:r>
                          <w:rPr>
                            <w:w w:val="85"/>
                            <w:sz w:val="16"/>
                          </w:rPr>
                          <w:t>18.1</w:t>
                        </w:r>
                      </w:p>
                    </w:tc>
                    <w:tc>
                      <w:tcPr>
                        <w:tcW w:w="649" w:type="dxa"/>
                        <w:tcBorders>
                          <w:top w:val="nil"/>
                          <w:left w:val="nil"/>
                          <w:bottom w:val="nil"/>
                          <w:right w:val="nil"/>
                        </w:tcBorders>
                      </w:tcPr>
                      <w:p>
                        <w:pPr>
                          <w:pStyle w:val="TableParagraph"/>
                          <w:spacing w:before="17"/>
                          <w:ind w:right="55"/>
                          <w:rPr>
                            <w:sz w:val="16"/>
                          </w:rPr>
                        </w:pPr>
                        <w:r>
                          <w:rPr>
                            <w:w w:val="85"/>
                            <w:sz w:val="16"/>
                          </w:rPr>
                          <w:t>5.5</w:t>
                        </w:r>
                      </w:p>
                    </w:tc>
                    <w:tc>
                      <w:tcPr>
                        <w:tcW w:w="988" w:type="dxa"/>
                        <w:tcBorders>
                          <w:top w:val="nil"/>
                          <w:left w:val="nil"/>
                          <w:bottom w:val="nil"/>
                          <w:right w:val="nil"/>
                        </w:tcBorders>
                      </w:tcPr>
                      <w:p>
                        <w:pPr>
                          <w:pStyle w:val="TableParagraph"/>
                          <w:spacing w:before="17"/>
                          <w:ind w:right="108"/>
                          <w:rPr>
                            <w:sz w:val="16"/>
                          </w:rPr>
                        </w:pPr>
                        <w:r>
                          <w:rPr>
                            <w:w w:val="90"/>
                            <w:sz w:val="16"/>
                          </w:rPr>
                          <w:t>1 304 618</w:t>
                        </w:r>
                      </w:p>
                    </w:tc>
                    <w:tc>
                      <w:tcPr>
                        <w:tcW w:w="734" w:type="dxa"/>
                        <w:tcBorders>
                          <w:top w:val="nil"/>
                          <w:left w:val="nil"/>
                          <w:bottom w:val="nil"/>
                          <w:right w:val="nil"/>
                        </w:tcBorders>
                      </w:tcPr>
                      <w:p>
                        <w:pPr>
                          <w:pStyle w:val="TableParagraph"/>
                          <w:spacing w:before="17"/>
                          <w:ind w:right="74"/>
                          <w:rPr>
                            <w:sz w:val="16"/>
                          </w:rPr>
                        </w:pPr>
                        <w:r>
                          <w:rPr>
                            <w:w w:val="85"/>
                            <w:sz w:val="16"/>
                          </w:rPr>
                          <w:t>22.0</w:t>
                        </w:r>
                      </w:p>
                    </w:tc>
                    <w:tc>
                      <w:tcPr>
                        <w:tcW w:w="656" w:type="dxa"/>
                        <w:tcBorders>
                          <w:top w:val="nil"/>
                          <w:left w:val="nil"/>
                          <w:bottom w:val="nil"/>
                          <w:right w:val="nil"/>
                        </w:tcBorders>
                      </w:tcPr>
                      <w:p>
                        <w:pPr>
                          <w:pStyle w:val="TableParagraph"/>
                          <w:spacing w:before="17"/>
                          <w:ind w:right="46"/>
                          <w:rPr>
                            <w:sz w:val="16"/>
                          </w:rPr>
                        </w:pPr>
                        <w:r>
                          <w:rPr>
                            <w:w w:val="85"/>
                            <w:sz w:val="16"/>
                          </w:rPr>
                          <w:t>4.5</w:t>
                        </w:r>
                      </w:p>
                    </w:tc>
                  </w:tr>
                  <w:tr>
                    <w:trPr>
                      <w:trHeight w:val="246" w:hRule="exact"/>
                    </w:trPr>
                    <w:tc>
                      <w:tcPr>
                        <w:tcW w:w="1055" w:type="dxa"/>
                        <w:tcBorders>
                          <w:top w:val="nil"/>
                          <w:left w:val="nil"/>
                          <w:bottom w:val="nil"/>
                          <w:right w:val="nil"/>
                        </w:tcBorders>
                      </w:tcPr>
                      <w:p>
                        <w:pPr>
                          <w:pStyle w:val="TableParagraph"/>
                          <w:spacing w:before="23"/>
                          <w:ind w:left="50"/>
                          <w:jc w:val="left"/>
                          <w:rPr>
                            <w:sz w:val="16"/>
                          </w:rPr>
                        </w:pPr>
                        <w:r>
                          <w:rPr>
                            <w:w w:val="95"/>
                            <w:sz w:val="16"/>
                          </w:rPr>
                          <w:t>Tamaulipas</w:t>
                        </w:r>
                      </w:p>
                    </w:tc>
                    <w:tc>
                      <w:tcPr>
                        <w:tcW w:w="887" w:type="dxa"/>
                        <w:tcBorders>
                          <w:top w:val="nil"/>
                          <w:left w:val="nil"/>
                          <w:bottom w:val="nil"/>
                          <w:right w:val="nil"/>
                        </w:tcBorders>
                      </w:tcPr>
                      <w:p>
                        <w:pPr>
                          <w:pStyle w:val="TableParagraph"/>
                          <w:spacing w:before="23"/>
                          <w:ind w:right="61"/>
                          <w:rPr>
                            <w:sz w:val="16"/>
                          </w:rPr>
                        </w:pPr>
                        <w:r>
                          <w:rPr>
                            <w:w w:val="90"/>
                            <w:sz w:val="16"/>
                          </w:rPr>
                          <w:t>5 075 038</w:t>
                        </w:r>
                      </w:p>
                    </w:tc>
                    <w:tc>
                      <w:tcPr>
                        <w:tcW w:w="847" w:type="dxa"/>
                        <w:tcBorders>
                          <w:top w:val="nil"/>
                          <w:left w:val="nil"/>
                          <w:bottom w:val="nil"/>
                          <w:right w:val="nil"/>
                        </w:tcBorders>
                      </w:tcPr>
                      <w:p>
                        <w:pPr>
                          <w:pStyle w:val="TableParagraph"/>
                          <w:spacing w:before="23"/>
                          <w:ind w:left="71" w:right="-38"/>
                          <w:jc w:val="left"/>
                          <w:rPr>
                            <w:sz w:val="16"/>
                          </w:rPr>
                        </w:pPr>
                        <w:r>
                          <w:rPr>
                            <w:w w:val="90"/>
                            <w:sz w:val="16"/>
                          </w:rPr>
                          <w:t>1 356 995</w:t>
                        </w:r>
                      </w:p>
                    </w:tc>
                    <w:tc>
                      <w:tcPr>
                        <w:tcW w:w="636" w:type="dxa"/>
                        <w:tcBorders>
                          <w:top w:val="nil"/>
                          <w:left w:val="nil"/>
                          <w:bottom w:val="nil"/>
                          <w:right w:val="nil"/>
                        </w:tcBorders>
                      </w:tcPr>
                      <w:p>
                        <w:pPr>
                          <w:pStyle w:val="TableParagraph"/>
                          <w:spacing w:before="23"/>
                          <w:ind w:right="172"/>
                          <w:rPr>
                            <w:sz w:val="16"/>
                          </w:rPr>
                        </w:pPr>
                        <w:r>
                          <w:rPr>
                            <w:w w:val="85"/>
                            <w:sz w:val="16"/>
                          </w:rPr>
                          <w:t>26.7</w:t>
                        </w:r>
                      </w:p>
                    </w:tc>
                    <w:tc>
                      <w:tcPr>
                        <w:tcW w:w="649" w:type="dxa"/>
                        <w:tcBorders>
                          <w:top w:val="nil"/>
                          <w:left w:val="nil"/>
                          <w:bottom w:val="nil"/>
                          <w:right w:val="nil"/>
                        </w:tcBorders>
                      </w:tcPr>
                      <w:p>
                        <w:pPr>
                          <w:pStyle w:val="TableParagraph"/>
                          <w:spacing w:before="23"/>
                          <w:ind w:right="55"/>
                          <w:rPr>
                            <w:sz w:val="16"/>
                          </w:rPr>
                        </w:pPr>
                        <w:r>
                          <w:rPr>
                            <w:w w:val="85"/>
                            <w:sz w:val="16"/>
                          </w:rPr>
                          <w:t>3.7</w:t>
                        </w:r>
                      </w:p>
                    </w:tc>
                    <w:tc>
                      <w:tcPr>
                        <w:tcW w:w="988" w:type="dxa"/>
                        <w:tcBorders>
                          <w:top w:val="nil"/>
                          <w:left w:val="nil"/>
                          <w:bottom w:val="nil"/>
                          <w:right w:val="nil"/>
                        </w:tcBorders>
                      </w:tcPr>
                      <w:p>
                        <w:pPr>
                          <w:pStyle w:val="TableParagraph"/>
                          <w:spacing w:before="23"/>
                          <w:ind w:right="108"/>
                          <w:rPr>
                            <w:sz w:val="16"/>
                          </w:rPr>
                        </w:pPr>
                        <w:r>
                          <w:rPr>
                            <w:w w:val="90"/>
                            <w:sz w:val="16"/>
                          </w:rPr>
                          <w:t>967 470</w:t>
                        </w:r>
                      </w:p>
                    </w:tc>
                    <w:tc>
                      <w:tcPr>
                        <w:tcW w:w="734" w:type="dxa"/>
                        <w:tcBorders>
                          <w:top w:val="nil"/>
                          <w:left w:val="nil"/>
                          <w:bottom w:val="nil"/>
                          <w:right w:val="nil"/>
                        </w:tcBorders>
                      </w:tcPr>
                      <w:p>
                        <w:pPr>
                          <w:pStyle w:val="TableParagraph"/>
                          <w:spacing w:before="23"/>
                          <w:ind w:right="74"/>
                          <w:rPr>
                            <w:sz w:val="16"/>
                          </w:rPr>
                        </w:pPr>
                        <w:r>
                          <w:rPr>
                            <w:w w:val="85"/>
                            <w:sz w:val="16"/>
                          </w:rPr>
                          <w:t>19.1</w:t>
                        </w:r>
                      </w:p>
                    </w:tc>
                    <w:tc>
                      <w:tcPr>
                        <w:tcW w:w="656" w:type="dxa"/>
                        <w:tcBorders>
                          <w:top w:val="nil"/>
                          <w:left w:val="nil"/>
                          <w:bottom w:val="nil"/>
                          <w:right w:val="nil"/>
                        </w:tcBorders>
                      </w:tcPr>
                      <w:p>
                        <w:pPr>
                          <w:pStyle w:val="TableParagraph"/>
                          <w:spacing w:before="23"/>
                          <w:ind w:right="46"/>
                          <w:rPr>
                            <w:sz w:val="16"/>
                          </w:rPr>
                        </w:pPr>
                        <w:r>
                          <w:rPr>
                            <w:w w:val="85"/>
                            <w:sz w:val="16"/>
                          </w:rPr>
                          <w:t>5.2</w:t>
                        </w:r>
                      </w:p>
                    </w:tc>
                  </w:tr>
                  <w:tr>
                    <w:trPr>
                      <w:trHeight w:val="242" w:hRule="exact"/>
                    </w:trPr>
                    <w:tc>
                      <w:tcPr>
                        <w:tcW w:w="1055" w:type="dxa"/>
                        <w:tcBorders>
                          <w:top w:val="nil"/>
                          <w:left w:val="nil"/>
                          <w:bottom w:val="nil"/>
                          <w:right w:val="nil"/>
                        </w:tcBorders>
                      </w:tcPr>
                      <w:p>
                        <w:pPr>
                          <w:pStyle w:val="TableParagraph"/>
                          <w:spacing w:before="25"/>
                          <w:ind w:left="50"/>
                          <w:jc w:val="left"/>
                          <w:rPr>
                            <w:sz w:val="16"/>
                          </w:rPr>
                        </w:pPr>
                        <w:r>
                          <w:rPr>
                            <w:w w:val="95"/>
                            <w:sz w:val="16"/>
                          </w:rPr>
                          <w:t>Chihuahua</w:t>
                        </w:r>
                      </w:p>
                    </w:tc>
                    <w:tc>
                      <w:tcPr>
                        <w:tcW w:w="887" w:type="dxa"/>
                        <w:tcBorders>
                          <w:top w:val="nil"/>
                          <w:left w:val="nil"/>
                          <w:bottom w:val="nil"/>
                          <w:right w:val="nil"/>
                        </w:tcBorders>
                      </w:tcPr>
                      <w:p>
                        <w:pPr>
                          <w:pStyle w:val="TableParagraph"/>
                          <w:spacing w:before="25"/>
                          <w:ind w:right="61"/>
                          <w:rPr>
                            <w:sz w:val="16"/>
                          </w:rPr>
                        </w:pPr>
                        <w:r>
                          <w:rPr>
                            <w:w w:val="90"/>
                            <w:sz w:val="16"/>
                          </w:rPr>
                          <w:t>5 018 185</w:t>
                        </w:r>
                      </w:p>
                    </w:tc>
                    <w:tc>
                      <w:tcPr>
                        <w:tcW w:w="847" w:type="dxa"/>
                        <w:tcBorders>
                          <w:top w:val="nil"/>
                          <w:left w:val="nil"/>
                          <w:bottom w:val="nil"/>
                          <w:right w:val="nil"/>
                        </w:tcBorders>
                      </w:tcPr>
                      <w:p>
                        <w:pPr>
                          <w:pStyle w:val="TableParagraph"/>
                          <w:spacing w:before="25"/>
                          <w:ind w:left="175" w:right="-38"/>
                          <w:jc w:val="left"/>
                          <w:rPr>
                            <w:sz w:val="16"/>
                          </w:rPr>
                        </w:pPr>
                        <w:r>
                          <w:rPr>
                            <w:w w:val="90"/>
                            <w:sz w:val="16"/>
                          </w:rPr>
                          <w:t>833 391</w:t>
                        </w:r>
                      </w:p>
                    </w:tc>
                    <w:tc>
                      <w:tcPr>
                        <w:tcW w:w="636" w:type="dxa"/>
                        <w:tcBorders>
                          <w:top w:val="nil"/>
                          <w:left w:val="nil"/>
                          <w:bottom w:val="nil"/>
                          <w:right w:val="nil"/>
                        </w:tcBorders>
                      </w:tcPr>
                      <w:p>
                        <w:pPr>
                          <w:pStyle w:val="TableParagraph"/>
                          <w:spacing w:before="25"/>
                          <w:ind w:right="172"/>
                          <w:rPr>
                            <w:sz w:val="16"/>
                          </w:rPr>
                        </w:pPr>
                        <w:r>
                          <w:rPr>
                            <w:w w:val="85"/>
                            <w:sz w:val="16"/>
                          </w:rPr>
                          <w:t>16.6</w:t>
                        </w:r>
                      </w:p>
                    </w:tc>
                    <w:tc>
                      <w:tcPr>
                        <w:tcW w:w="649" w:type="dxa"/>
                        <w:tcBorders>
                          <w:top w:val="nil"/>
                          <w:left w:val="nil"/>
                          <w:bottom w:val="nil"/>
                          <w:right w:val="nil"/>
                        </w:tcBorders>
                      </w:tcPr>
                      <w:p>
                        <w:pPr>
                          <w:pStyle w:val="TableParagraph"/>
                          <w:spacing w:before="25"/>
                          <w:ind w:right="55"/>
                          <w:rPr>
                            <w:sz w:val="16"/>
                          </w:rPr>
                        </w:pPr>
                        <w:r>
                          <w:rPr>
                            <w:w w:val="85"/>
                            <w:sz w:val="16"/>
                          </w:rPr>
                          <w:t>6.0</w:t>
                        </w:r>
                      </w:p>
                    </w:tc>
                    <w:tc>
                      <w:tcPr>
                        <w:tcW w:w="988" w:type="dxa"/>
                        <w:tcBorders>
                          <w:top w:val="nil"/>
                          <w:left w:val="nil"/>
                          <w:bottom w:val="nil"/>
                          <w:right w:val="nil"/>
                        </w:tcBorders>
                      </w:tcPr>
                      <w:p>
                        <w:pPr>
                          <w:pStyle w:val="TableParagraph"/>
                          <w:spacing w:before="25"/>
                          <w:ind w:right="108"/>
                          <w:rPr>
                            <w:sz w:val="16"/>
                          </w:rPr>
                        </w:pPr>
                        <w:r>
                          <w:rPr>
                            <w:w w:val="90"/>
                            <w:sz w:val="16"/>
                          </w:rPr>
                          <w:t>651 589</w:t>
                        </w:r>
                      </w:p>
                    </w:tc>
                    <w:tc>
                      <w:tcPr>
                        <w:tcW w:w="734" w:type="dxa"/>
                        <w:tcBorders>
                          <w:top w:val="nil"/>
                          <w:left w:val="nil"/>
                          <w:bottom w:val="nil"/>
                          <w:right w:val="nil"/>
                        </w:tcBorders>
                      </w:tcPr>
                      <w:p>
                        <w:pPr>
                          <w:pStyle w:val="TableParagraph"/>
                          <w:spacing w:before="25"/>
                          <w:ind w:right="74"/>
                          <w:rPr>
                            <w:sz w:val="16"/>
                          </w:rPr>
                        </w:pPr>
                        <w:r>
                          <w:rPr>
                            <w:w w:val="85"/>
                            <w:sz w:val="16"/>
                          </w:rPr>
                          <w:t>13.0</w:t>
                        </w:r>
                      </w:p>
                    </w:tc>
                    <w:tc>
                      <w:tcPr>
                        <w:tcW w:w="656" w:type="dxa"/>
                        <w:tcBorders>
                          <w:top w:val="nil"/>
                          <w:left w:val="nil"/>
                          <w:bottom w:val="nil"/>
                          <w:right w:val="nil"/>
                        </w:tcBorders>
                      </w:tcPr>
                      <w:p>
                        <w:pPr>
                          <w:pStyle w:val="TableParagraph"/>
                          <w:spacing w:before="25"/>
                          <w:ind w:right="46"/>
                          <w:rPr>
                            <w:sz w:val="16"/>
                          </w:rPr>
                        </w:pPr>
                        <w:r>
                          <w:rPr>
                            <w:w w:val="85"/>
                            <w:sz w:val="16"/>
                          </w:rPr>
                          <w:t>7.7</w:t>
                        </w:r>
                      </w:p>
                    </w:tc>
                  </w:tr>
                  <w:tr>
                    <w:trPr>
                      <w:trHeight w:val="234" w:hRule="exact"/>
                    </w:trPr>
                    <w:tc>
                      <w:tcPr>
                        <w:tcW w:w="1055" w:type="dxa"/>
                        <w:tcBorders>
                          <w:top w:val="nil"/>
                          <w:left w:val="nil"/>
                          <w:bottom w:val="nil"/>
                          <w:right w:val="nil"/>
                        </w:tcBorders>
                      </w:tcPr>
                      <w:p>
                        <w:pPr>
                          <w:pStyle w:val="TableParagraph"/>
                          <w:spacing w:before="19"/>
                          <w:ind w:left="50"/>
                          <w:jc w:val="left"/>
                          <w:rPr>
                            <w:sz w:val="16"/>
                          </w:rPr>
                        </w:pPr>
                        <w:r>
                          <w:rPr>
                            <w:w w:val="95"/>
                            <w:sz w:val="16"/>
                          </w:rPr>
                          <w:t>Durango</w:t>
                        </w:r>
                      </w:p>
                    </w:tc>
                    <w:tc>
                      <w:tcPr>
                        <w:tcW w:w="887" w:type="dxa"/>
                        <w:tcBorders>
                          <w:top w:val="nil"/>
                          <w:left w:val="nil"/>
                          <w:bottom w:val="nil"/>
                          <w:right w:val="nil"/>
                        </w:tcBorders>
                      </w:tcPr>
                      <w:p>
                        <w:pPr>
                          <w:pStyle w:val="TableParagraph"/>
                          <w:spacing w:before="19"/>
                          <w:ind w:right="61"/>
                          <w:rPr>
                            <w:sz w:val="16"/>
                          </w:rPr>
                        </w:pPr>
                        <w:r>
                          <w:rPr>
                            <w:w w:val="90"/>
                            <w:sz w:val="16"/>
                          </w:rPr>
                          <w:t>4 781 931</w:t>
                        </w:r>
                      </w:p>
                    </w:tc>
                    <w:tc>
                      <w:tcPr>
                        <w:tcW w:w="847" w:type="dxa"/>
                        <w:tcBorders>
                          <w:top w:val="nil"/>
                          <w:left w:val="nil"/>
                          <w:bottom w:val="nil"/>
                          <w:right w:val="nil"/>
                        </w:tcBorders>
                      </w:tcPr>
                      <w:p>
                        <w:pPr>
                          <w:pStyle w:val="TableParagraph"/>
                          <w:spacing w:before="19"/>
                          <w:ind w:left="175" w:right="-38"/>
                          <w:jc w:val="left"/>
                          <w:rPr>
                            <w:sz w:val="16"/>
                          </w:rPr>
                        </w:pPr>
                        <w:r>
                          <w:rPr>
                            <w:w w:val="90"/>
                            <w:sz w:val="16"/>
                          </w:rPr>
                          <w:t>597 542</w:t>
                        </w:r>
                      </w:p>
                    </w:tc>
                    <w:tc>
                      <w:tcPr>
                        <w:tcW w:w="636" w:type="dxa"/>
                        <w:tcBorders>
                          <w:top w:val="nil"/>
                          <w:left w:val="nil"/>
                          <w:bottom w:val="nil"/>
                          <w:right w:val="nil"/>
                        </w:tcBorders>
                      </w:tcPr>
                      <w:p>
                        <w:pPr>
                          <w:pStyle w:val="TableParagraph"/>
                          <w:spacing w:before="19"/>
                          <w:ind w:right="172"/>
                          <w:rPr>
                            <w:sz w:val="16"/>
                          </w:rPr>
                        </w:pPr>
                        <w:r>
                          <w:rPr>
                            <w:w w:val="85"/>
                            <w:sz w:val="16"/>
                          </w:rPr>
                          <w:t>12.5</w:t>
                        </w:r>
                      </w:p>
                    </w:tc>
                    <w:tc>
                      <w:tcPr>
                        <w:tcW w:w="649" w:type="dxa"/>
                        <w:tcBorders>
                          <w:top w:val="nil"/>
                          <w:left w:val="nil"/>
                          <w:bottom w:val="nil"/>
                          <w:right w:val="nil"/>
                        </w:tcBorders>
                      </w:tcPr>
                      <w:p>
                        <w:pPr>
                          <w:pStyle w:val="TableParagraph"/>
                          <w:spacing w:before="19"/>
                          <w:ind w:right="55"/>
                          <w:rPr>
                            <w:sz w:val="16"/>
                          </w:rPr>
                        </w:pPr>
                        <w:r>
                          <w:rPr>
                            <w:w w:val="85"/>
                            <w:sz w:val="16"/>
                          </w:rPr>
                          <w:t>8.0</w:t>
                        </w:r>
                      </w:p>
                    </w:tc>
                    <w:tc>
                      <w:tcPr>
                        <w:tcW w:w="988" w:type="dxa"/>
                        <w:tcBorders>
                          <w:top w:val="nil"/>
                          <w:left w:val="nil"/>
                          <w:bottom w:val="nil"/>
                          <w:right w:val="nil"/>
                        </w:tcBorders>
                      </w:tcPr>
                      <w:p>
                        <w:pPr>
                          <w:pStyle w:val="TableParagraph"/>
                          <w:spacing w:before="19"/>
                          <w:ind w:right="108"/>
                          <w:rPr>
                            <w:sz w:val="16"/>
                          </w:rPr>
                        </w:pPr>
                        <w:r>
                          <w:rPr>
                            <w:w w:val="90"/>
                            <w:sz w:val="16"/>
                          </w:rPr>
                          <w:t>767 425</w:t>
                        </w:r>
                      </w:p>
                    </w:tc>
                    <w:tc>
                      <w:tcPr>
                        <w:tcW w:w="734" w:type="dxa"/>
                        <w:tcBorders>
                          <w:top w:val="nil"/>
                          <w:left w:val="nil"/>
                          <w:bottom w:val="nil"/>
                          <w:right w:val="nil"/>
                        </w:tcBorders>
                      </w:tcPr>
                      <w:p>
                        <w:pPr>
                          <w:pStyle w:val="TableParagraph"/>
                          <w:spacing w:before="19"/>
                          <w:ind w:right="74"/>
                          <w:rPr>
                            <w:sz w:val="16"/>
                          </w:rPr>
                        </w:pPr>
                        <w:r>
                          <w:rPr>
                            <w:w w:val="85"/>
                            <w:sz w:val="16"/>
                          </w:rPr>
                          <w:t>16.0</w:t>
                        </w:r>
                      </w:p>
                    </w:tc>
                    <w:tc>
                      <w:tcPr>
                        <w:tcW w:w="656" w:type="dxa"/>
                        <w:tcBorders>
                          <w:top w:val="nil"/>
                          <w:left w:val="nil"/>
                          <w:bottom w:val="nil"/>
                          <w:right w:val="nil"/>
                        </w:tcBorders>
                      </w:tcPr>
                      <w:p>
                        <w:pPr>
                          <w:pStyle w:val="TableParagraph"/>
                          <w:spacing w:before="19"/>
                          <w:ind w:right="46"/>
                          <w:rPr>
                            <w:sz w:val="16"/>
                          </w:rPr>
                        </w:pPr>
                        <w:r>
                          <w:rPr>
                            <w:w w:val="85"/>
                            <w:sz w:val="16"/>
                          </w:rPr>
                          <w:t>6.2</w:t>
                        </w:r>
                      </w:p>
                    </w:tc>
                  </w:tr>
                  <w:tr>
                    <w:trPr>
                      <w:trHeight w:val="240" w:hRule="exact"/>
                    </w:trPr>
                    <w:tc>
                      <w:tcPr>
                        <w:tcW w:w="1055" w:type="dxa"/>
                        <w:tcBorders>
                          <w:top w:val="nil"/>
                          <w:left w:val="nil"/>
                          <w:bottom w:val="nil"/>
                          <w:right w:val="nil"/>
                        </w:tcBorders>
                      </w:tcPr>
                      <w:p>
                        <w:pPr>
                          <w:pStyle w:val="TableParagraph"/>
                          <w:spacing w:before="17"/>
                          <w:ind w:left="50"/>
                          <w:jc w:val="left"/>
                          <w:rPr>
                            <w:sz w:val="16"/>
                          </w:rPr>
                        </w:pPr>
                        <w:r>
                          <w:rPr>
                            <w:w w:val="95"/>
                            <w:sz w:val="16"/>
                          </w:rPr>
                          <w:t>Querétaro</w:t>
                        </w:r>
                      </w:p>
                    </w:tc>
                    <w:tc>
                      <w:tcPr>
                        <w:tcW w:w="887" w:type="dxa"/>
                        <w:tcBorders>
                          <w:top w:val="nil"/>
                          <w:left w:val="nil"/>
                          <w:bottom w:val="nil"/>
                          <w:right w:val="nil"/>
                        </w:tcBorders>
                      </w:tcPr>
                      <w:p>
                        <w:pPr>
                          <w:pStyle w:val="TableParagraph"/>
                          <w:spacing w:before="17"/>
                          <w:ind w:right="61"/>
                          <w:rPr>
                            <w:sz w:val="16"/>
                          </w:rPr>
                        </w:pPr>
                        <w:r>
                          <w:rPr>
                            <w:w w:val="90"/>
                            <w:sz w:val="16"/>
                          </w:rPr>
                          <w:t>4 472 401</w:t>
                        </w:r>
                      </w:p>
                    </w:tc>
                    <w:tc>
                      <w:tcPr>
                        <w:tcW w:w="847" w:type="dxa"/>
                        <w:tcBorders>
                          <w:top w:val="nil"/>
                          <w:left w:val="nil"/>
                          <w:bottom w:val="nil"/>
                          <w:right w:val="nil"/>
                        </w:tcBorders>
                      </w:tcPr>
                      <w:p>
                        <w:pPr>
                          <w:pStyle w:val="TableParagraph"/>
                          <w:spacing w:before="17"/>
                          <w:ind w:left="175" w:right="-38"/>
                          <w:jc w:val="left"/>
                          <w:rPr>
                            <w:sz w:val="16"/>
                          </w:rPr>
                        </w:pPr>
                        <w:r>
                          <w:rPr>
                            <w:w w:val="90"/>
                            <w:sz w:val="16"/>
                          </w:rPr>
                          <w:t>137 202</w:t>
                        </w:r>
                      </w:p>
                    </w:tc>
                    <w:tc>
                      <w:tcPr>
                        <w:tcW w:w="636" w:type="dxa"/>
                        <w:tcBorders>
                          <w:top w:val="nil"/>
                          <w:left w:val="nil"/>
                          <w:bottom w:val="nil"/>
                          <w:right w:val="nil"/>
                        </w:tcBorders>
                      </w:tcPr>
                      <w:p>
                        <w:pPr>
                          <w:pStyle w:val="TableParagraph"/>
                          <w:spacing w:before="17"/>
                          <w:ind w:right="171"/>
                          <w:rPr>
                            <w:sz w:val="16"/>
                          </w:rPr>
                        </w:pPr>
                        <w:r>
                          <w:rPr>
                            <w:w w:val="85"/>
                            <w:sz w:val="16"/>
                          </w:rPr>
                          <w:t>3.1</w:t>
                        </w:r>
                      </w:p>
                    </w:tc>
                    <w:tc>
                      <w:tcPr>
                        <w:tcW w:w="649" w:type="dxa"/>
                        <w:tcBorders>
                          <w:top w:val="nil"/>
                          <w:left w:val="nil"/>
                          <w:bottom w:val="nil"/>
                          <w:right w:val="nil"/>
                        </w:tcBorders>
                      </w:tcPr>
                      <w:p>
                        <w:pPr>
                          <w:pStyle w:val="TableParagraph"/>
                          <w:spacing w:before="17"/>
                          <w:ind w:right="56"/>
                          <w:rPr>
                            <w:sz w:val="16"/>
                          </w:rPr>
                        </w:pPr>
                        <w:r>
                          <w:rPr>
                            <w:w w:val="85"/>
                            <w:sz w:val="16"/>
                          </w:rPr>
                          <w:t>32.6</w:t>
                        </w:r>
                      </w:p>
                    </w:tc>
                    <w:tc>
                      <w:tcPr>
                        <w:tcW w:w="988" w:type="dxa"/>
                        <w:tcBorders>
                          <w:top w:val="nil"/>
                          <w:left w:val="nil"/>
                          <w:bottom w:val="nil"/>
                          <w:right w:val="nil"/>
                        </w:tcBorders>
                      </w:tcPr>
                      <w:p>
                        <w:pPr>
                          <w:pStyle w:val="TableParagraph"/>
                          <w:spacing w:before="17"/>
                          <w:ind w:right="108"/>
                          <w:rPr>
                            <w:sz w:val="16"/>
                          </w:rPr>
                        </w:pPr>
                        <w:r>
                          <w:rPr>
                            <w:w w:val="90"/>
                            <w:sz w:val="16"/>
                          </w:rPr>
                          <w:t>767 156</w:t>
                        </w:r>
                      </w:p>
                    </w:tc>
                    <w:tc>
                      <w:tcPr>
                        <w:tcW w:w="734" w:type="dxa"/>
                        <w:tcBorders>
                          <w:top w:val="nil"/>
                          <w:left w:val="nil"/>
                          <w:bottom w:val="nil"/>
                          <w:right w:val="nil"/>
                        </w:tcBorders>
                      </w:tcPr>
                      <w:p>
                        <w:pPr>
                          <w:pStyle w:val="TableParagraph"/>
                          <w:spacing w:before="17"/>
                          <w:ind w:right="74"/>
                          <w:rPr>
                            <w:sz w:val="16"/>
                          </w:rPr>
                        </w:pPr>
                        <w:r>
                          <w:rPr>
                            <w:w w:val="85"/>
                            <w:sz w:val="16"/>
                          </w:rPr>
                          <w:t>17.2</w:t>
                        </w:r>
                      </w:p>
                    </w:tc>
                    <w:tc>
                      <w:tcPr>
                        <w:tcW w:w="656" w:type="dxa"/>
                        <w:tcBorders>
                          <w:top w:val="nil"/>
                          <w:left w:val="nil"/>
                          <w:bottom w:val="nil"/>
                          <w:right w:val="nil"/>
                        </w:tcBorders>
                      </w:tcPr>
                      <w:p>
                        <w:pPr>
                          <w:pStyle w:val="TableParagraph"/>
                          <w:spacing w:before="17"/>
                          <w:ind w:right="46"/>
                          <w:rPr>
                            <w:sz w:val="16"/>
                          </w:rPr>
                        </w:pPr>
                        <w:r>
                          <w:rPr>
                            <w:w w:val="85"/>
                            <w:sz w:val="16"/>
                          </w:rPr>
                          <w:t>5.8</w:t>
                        </w:r>
                      </w:p>
                    </w:tc>
                  </w:tr>
                  <w:tr>
                    <w:trPr>
                      <w:trHeight w:val="236" w:hRule="exact"/>
                    </w:trPr>
                    <w:tc>
                      <w:tcPr>
                        <w:tcW w:w="1055" w:type="dxa"/>
                        <w:tcBorders>
                          <w:top w:val="nil"/>
                          <w:left w:val="nil"/>
                          <w:bottom w:val="nil"/>
                          <w:right w:val="nil"/>
                        </w:tcBorders>
                      </w:tcPr>
                      <w:p>
                        <w:pPr>
                          <w:pStyle w:val="TableParagraph"/>
                          <w:spacing w:before="25"/>
                          <w:ind w:left="50"/>
                          <w:jc w:val="left"/>
                          <w:rPr>
                            <w:sz w:val="16"/>
                          </w:rPr>
                        </w:pPr>
                        <w:r>
                          <w:rPr>
                            <w:w w:val="85"/>
                            <w:sz w:val="16"/>
                          </w:rPr>
                          <w:t>Baja California</w:t>
                        </w:r>
                      </w:p>
                    </w:tc>
                    <w:tc>
                      <w:tcPr>
                        <w:tcW w:w="887" w:type="dxa"/>
                        <w:tcBorders>
                          <w:top w:val="nil"/>
                          <w:left w:val="nil"/>
                          <w:bottom w:val="nil"/>
                          <w:right w:val="nil"/>
                        </w:tcBorders>
                      </w:tcPr>
                      <w:p>
                        <w:pPr>
                          <w:pStyle w:val="TableParagraph"/>
                          <w:spacing w:before="25"/>
                          <w:ind w:right="61"/>
                          <w:rPr>
                            <w:sz w:val="16"/>
                          </w:rPr>
                        </w:pPr>
                        <w:r>
                          <w:rPr>
                            <w:w w:val="90"/>
                            <w:sz w:val="16"/>
                          </w:rPr>
                          <w:t>4 389 017</w:t>
                        </w:r>
                      </w:p>
                    </w:tc>
                    <w:tc>
                      <w:tcPr>
                        <w:tcW w:w="847" w:type="dxa"/>
                        <w:tcBorders>
                          <w:top w:val="nil"/>
                          <w:left w:val="nil"/>
                          <w:bottom w:val="nil"/>
                          <w:right w:val="nil"/>
                        </w:tcBorders>
                      </w:tcPr>
                      <w:p>
                        <w:pPr>
                          <w:pStyle w:val="TableParagraph"/>
                          <w:spacing w:before="25"/>
                          <w:ind w:left="175" w:right="-38"/>
                          <w:jc w:val="left"/>
                          <w:rPr>
                            <w:sz w:val="16"/>
                          </w:rPr>
                        </w:pPr>
                        <w:r>
                          <w:rPr>
                            <w:w w:val="90"/>
                            <w:sz w:val="16"/>
                          </w:rPr>
                          <w:t>124 026</w:t>
                        </w:r>
                      </w:p>
                    </w:tc>
                    <w:tc>
                      <w:tcPr>
                        <w:tcW w:w="636" w:type="dxa"/>
                        <w:tcBorders>
                          <w:top w:val="nil"/>
                          <w:left w:val="nil"/>
                          <w:bottom w:val="nil"/>
                          <w:right w:val="nil"/>
                        </w:tcBorders>
                      </w:tcPr>
                      <w:p>
                        <w:pPr>
                          <w:pStyle w:val="TableParagraph"/>
                          <w:spacing w:before="25"/>
                          <w:ind w:right="171"/>
                          <w:rPr>
                            <w:sz w:val="16"/>
                          </w:rPr>
                        </w:pPr>
                        <w:r>
                          <w:rPr>
                            <w:w w:val="85"/>
                            <w:sz w:val="16"/>
                          </w:rPr>
                          <w:t>2.8</w:t>
                        </w:r>
                      </w:p>
                    </w:tc>
                    <w:tc>
                      <w:tcPr>
                        <w:tcW w:w="649" w:type="dxa"/>
                        <w:tcBorders>
                          <w:top w:val="nil"/>
                          <w:left w:val="nil"/>
                          <w:bottom w:val="nil"/>
                          <w:right w:val="nil"/>
                        </w:tcBorders>
                      </w:tcPr>
                      <w:p>
                        <w:pPr>
                          <w:pStyle w:val="TableParagraph"/>
                          <w:spacing w:before="25"/>
                          <w:ind w:right="56"/>
                          <w:rPr>
                            <w:sz w:val="16"/>
                          </w:rPr>
                        </w:pPr>
                        <w:r>
                          <w:rPr>
                            <w:w w:val="85"/>
                            <w:sz w:val="16"/>
                          </w:rPr>
                          <w:t>35.4</w:t>
                        </w:r>
                      </w:p>
                    </w:tc>
                    <w:tc>
                      <w:tcPr>
                        <w:tcW w:w="988" w:type="dxa"/>
                        <w:tcBorders>
                          <w:top w:val="nil"/>
                          <w:left w:val="nil"/>
                          <w:bottom w:val="nil"/>
                          <w:right w:val="nil"/>
                        </w:tcBorders>
                      </w:tcPr>
                      <w:p>
                        <w:pPr>
                          <w:pStyle w:val="TableParagraph"/>
                          <w:spacing w:before="25"/>
                          <w:ind w:right="108"/>
                          <w:rPr>
                            <w:sz w:val="16"/>
                          </w:rPr>
                        </w:pPr>
                        <w:r>
                          <w:rPr>
                            <w:w w:val="90"/>
                            <w:sz w:val="16"/>
                          </w:rPr>
                          <w:t>287 149</w:t>
                        </w:r>
                      </w:p>
                    </w:tc>
                    <w:tc>
                      <w:tcPr>
                        <w:tcW w:w="734" w:type="dxa"/>
                        <w:tcBorders>
                          <w:top w:val="nil"/>
                          <w:left w:val="nil"/>
                          <w:bottom w:val="nil"/>
                          <w:right w:val="nil"/>
                        </w:tcBorders>
                      </w:tcPr>
                      <w:p>
                        <w:pPr>
                          <w:pStyle w:val="TableParagraph"/>
                          <w:spacing w:before="25"/>
                          <w:ind w:right="73"/>
                          <w:rPr>
                            <w:sz w:val="16"/>
                          </w:rPr>
                        </w:pPr>
                        <w:r>
                          <w:rPr>
                            <w:w w:val="85"/>
                            <w:sz w:val="16"/>
                          </w:rPr>
                          <w:t>6.5</w:t>
                        </w:r>
                      </w:p>
                    </w:tc>
                    <w:tc>
                      <w:tcPr>
                        <w:tcW w:w="656" w:type="dxa"/>
                        <w:tcBorders>
                          <w:top w:val="nil"/>
                          <w:left w:val="nil"/>
                          <w:bottom w:val="nil"/>
                          <w:right w:val="nil"/>
                        </w:tcBorders>
                      </w:tcPr>
                      <w:p>
                        <w:pPr>
                          <w:pStyle w:val="TableParagraph"/>
                          <w:spacing w:before="25"/>
                          <w:ind w:right="46"/>
                          <w:rPr>
                            <w:sz w:val="16"/>
                          </w:rPr>
                        </w:pPr>
                        <w:r>
                          <w:rPr>
                            <w:w w:val="85"/>
                            <w:sz w:val="16"/>
                          </w:rPr>
                          <w:t>15.3</w:t>
                        </w:r>
                      </w:p>
                    </w:tc>
                  </w:tr>
                  <w:tr>
                    <w:trPr>
                      <w:trHeight w:val="234" w:hRule="exact"/>
                    </w:trPr>
                    <w:tc>
                      <w:tcPr>
                        <w:tcW w:w="1055" w:type="dxa"/>
                        <w:tcBorders>
                          <w:top w:val="nil"/>
                          <w:left w:val="nil"/>
                          <w:bottom w:val="nil"/>
                          <w:right w:val="nil"/>
                        </w:tcBorders>
                      </w:tcPr>
                      <w:p>
                        <w:pPr>
                          <w:pStyle w:val="TableParagraph"/>
                          <w:spacing w:before="13"/>
                          <w:ind w:left="50"/>
                          <w:jc w:val="left"/>
                          <w:rPr>
                            <w:sz w:val="16"/>
                          </w:rPr>
                        </w:pPr>
                        <w:r>
                          <w:rPr>
                            <w:w w:val="95"/>
                            <w:sz w:val="16"/>
                          </w:rPr>
                          <w:t>Nayarit</w:t>
                        </w:r>
                      </w:p>
                    </w:tc>
                    <w:tc>
                      <w:tcPr>
                        <w:tcW w:w="887" w:type="dxa"/>
                        <w:tcBorders>
                          <w:top w:val="nil"/>
                          <w:left w:val="nil"/>
                          <w:bottom w:val="nil"/>
                          <w:right w:val="nil"/>
                        </w:tcBorders>
                      </w:tcPr>
                      <w:p>
                        <w:pPr>
                          <w:pStyle w:val="TableParagraph"/>
                          <w:spacing w:before="13"/>
                          <w:ind w:right="61"/>
                          <w:rPr>
                            <w:sz w:val="16"/>
                          </w:rPr>
                        </w:pPr>
                        <w:r>
                          <w:rPr>
                            <w:w w:val="90"/>
                            <w:sz w:val="16"/>
                          </w:rPr>
                          <w:t>4 256 361</w:t>
                        </w:r>
                      </w:p>
                    </w:tc>
                    <w:tc>
                      <w:tcPr>
                        <w:tcW w:w="847" w:type="dxa"/>
                        <w:tcBorders>
                          <w:top w:val="nil"/>
                          <w:left w:val="nil"/>
                          <w:bottom w:val="nil"/>
                          <w:right w:val="nil"/>
                        </w:tcBorders>
                      </w:tcPr>
                      <w:p>
                        <w:pPr>
                          <w:pStyle w:val="TableParagraph"/>
                          <w:spacing w:before="13"/>
                          <w:ind w:left="175" w:right="-38"/>
                          <w:jc w:val="left"/>
                          <w:rPr>
                            <w:sz w:val="16"/>
                          </w:rPr>
                        </w:pPr>
                        <w:r>
                          <w:rPr>
                            <w:w w:val="90"/>
                            <w:sz w:val="16"/>
                          </w:rPr>
                          <w:t>242 276</w:t>
                        </w:r>
                      </w:p>
                    </w:tc>
                    <w:tc>
                      <w:tcPr>
                        <w:tcW w:w="636" w:type="dxa"/>
                        <w:tcBorders>
                          <w:top w:val="nil"/>
                          <w:left w:val="nil"/>
                          <w:bottom w:val="nil"/>
                          <w:right w:val="nil"/>
                        </w:tcBorders>
                      </w:tcPr>
                      <w:p>
                        <w:pPr>
                          <w:pStyle w:val="TableParagraph"/>
                          <w:spacing w:before="13"/>
                          <w:ind w:right="171"/>
                          <w:rPr>
                            <w:sz w:val="16"/>
                          </w:rPr>
                        </w:pPr>
                        <w:r>
                          <w:rPr>
                            <w:w w:val="85"/>
                            <w:sz w:val="16"/>
                          </w:rPr>
                          <w:t>5.7</w:t>
                        </w:r>
                      </w:p>
                    </w:tc>
                    <w:tc>
                      <w:tcPr>
                        <w:tcW w:w="649" w:type="dxa"/>
                        <w:tcBorders>
                          <w:top w:val="nil"/>
                          <w:left w:val="nil"/>
                          <w:bottom w:val="nil"/>
                          <w:right w:val="nil"/>
                        </w:tcBorders>
                      </w:tcPr>
                      <w:p>
                        <w:pPr>
                          <w:pStyle w:val="TableParagraph"/>
                          <w:spacing w:before="13"/>
                          <w:ind w:right="56"/>
                          <w:rPr>
                            <w:sz w:val="16"/>
                          </w:rPr>
                        </w:pPr>
                        <w:r>
                          <w:rPr>
                            <w:w w:val="85"/>
                            <w:sz w:val="16"/>
                          </w:rPr>
                          <w:t>17.6</w:t>
                        </w:r>
                      </w:p>
                    </w:tc>
                    <w:tc>
                      <w:tcPr>
                        <w:tcW w:w="988" w:type="dxa"/>
                        <w:tcBorders>
                          <w:top w:val="nil"/>
                          <w:left w:val="nil"/>
                          <w:bottom w:val="nil"/>
                          <w:right w:val="nil"/>
                        </w:tcBorders>
                      </w:tcPr>
                      <w:p>
                        <w:pPr>
                          <w:pStyle w:val="TableParagraph"/>
                          <w:spacing w:before="13"/>
                          <w:ind w:right="108"/>
                          <w:rPr>
                            <w:sz w:val="16"/>
                          </w:rPr>
                        </w:pPr>
                        <w:r>
                          <w:rPr>
                            <w:w w:val="90"/>
                            <w:sz w:val="16"/>
                          </w:rPr>
                          <w:t>464 033</w:t>
                        </w:r>
                      </w:p>
                    </w:tc>
                    <w:tc>
                      <w:tcPr>
                        <w:tcW w:w="734" w:type="dxa"/>
                        <w:tcBorders>
                          <w:top w:val="nil"/>
                          <w:left w:val="nil"/>
                          <w:bottom w:val="nil"/>
                          <w:right w:val="nil"/>
                        </w:tcBorders>
                      </w:tcPr>
                      <w:p>
                        <w:pPr>
                          <w:pStyle w:val="TableParagraph"/>
                          <w:spacing w:before="13"/>
                          <w:ind w:right="74"/>
                          <w:rPr>
                            <w:sz w:val="16"/>
                          </w:rPr>
                        </w:pPr>
                        <w:r>
                          <w:rPr>
                            <w:w w:val="85"/>
                            <w:sz w:val="16"/>
                          </w:rPr>
                          <w:t>10.9</w:t>
                        </w:r>
                      </w:p>
                    </w:tc>
                    <w:tc>
                      <w:tcPr>
                        <w:tcW w:w="656" w:type="dxa"/>
                        <w:tcBorders>
                          <w:top w:val="nil"/>
                          <w:left w:val="nil"/>
                          <w:bottom w:val="nil"/>
                          <w:right w:val="nil"/>
                        </w:tcBorders>
                      </w:tcPr>
                      <w:p>
                        <w:pPr>
                          <w:pStyle w:val="TableParagraph"/>
                          <w:spacing w:before="13"/>
                          <w:ind w:right="46"/>
                          <w:rPr>
                            <w:sz w:val="16"/>
                          </w:rPr>
                        </w:pPr>
                        <w:r>
                          <w:rPr>
                            <w:w w:val="85"/>
                            <w:sz w:val="16"/>
                          </w:rPr>
                          <w:t>9.2</w:t>
                        </w:r>
                      </w:p>
                    </w:tc>
                  </w:tr>
                  <w:tr>
                    <w:trPr>
                      <w:trHeight w:val="244" w:hRule="exact"/>
                    </w:trPr>
                    <w:tc>
                      <w:tcPr>
                        <w:tcW w:w="1055" w:type="dxa"/>
                        <w:tcBorders>
                          <w:top w:val="nil"/>
                          <w:left w:val="nil"/>
                          <w:bottom w:val="nil"/>
                          <w:right w:val="nil"/>
                        </w:tcBorders>
                      </w:tcPr>
                      <w:p>
                        <w:pPr>
                          <w:pStyle w:val="TableParagraph"/>
                          <w:spacing w:before="23"/>
                          <w:ind w:left="50"/>
                          <w:jc w:val="left"/>
                          <w:rPr>
                            <w:sz w:val="16"/>
                          </w:rPr>
                        </w:pPr>
                        <w:r>
                          <w:rPr>
                            <w:w w:val="95"/>
                            <w:sz w:val="16"/>
                          </w:rPr>
                          <w:t>Aguascalientes</w:t>
                        </w:r>
                      </w:p>
                    </w:tc>
                    <w:tc>
                      <w:tcPr>
                        <w:tcW w:w="887" w:type="dxa"/>
                        <w:tcBorders>
                          <w:top w:val="nil"/>
                          <w:left w:val="nil"/>
                          <w:bottom w:val="nil"/>
                          <w:right w:val="nil"/>
                        </w:tcBorders>
                      </w:tcPr>
                      <w:p>
                        <w:pPr>
                          <w:pStyle w:val="TableParagraph"/>
                          <w:spacing w:before="23"/>
                          <w:ind w:right="61"/>
                          <w:rPr>
                            <w:sz w:val="16"/>
                          </w:rPr>
                        </w:pPr>
                        <w:r>
                          <w:rPr>
                            <w:w w:val="90"/>
                            <w:sz w:val="16"/>
                          </w:rPr>
                          <w:t>3 708 050</w:t>
                        </w:r>
                      </w:p>
                    </w:tc>
                    <w:tc>
                      <w:tcPr>
                        <w:tcW w:w="847" w:type="dxa"/>
                        <w:tcBorders>
                          <w:top w:val="nil"/>
                          <w:left w:val="nil"/>
                          <w:bottom w:val="nil"/>
                          <w:right w:val="nil"/>
                        </w:tcBorders>
                      </w:tcPr>
                      <w:p>
                        <w:pPr>
                          <w:pStyle w:val="TableParagraph"/>
                          <w:spacing w:before="23"/>
                          <w:ind w:left="245" w:right="-38"/>
                          <w:jc w:val="left"/>
                          <w:rPr>
                            <w:sz w:val="16"/>
                          </w:rPr>
                        </w:pPr>
                        <w:r>
                          <w:rPr>
                            <w:w w:val="90"/>
                            <w:sz w:val="16"/>
                          </w:rPr>
                          <w:t>92 476</w:t>
                        </w:r>
                      </w:p>
                    </w:tc>
                    <w:tc>
                      <w:tcPr>
                        <w:tcW w:w="636" w:type="dxa"/>
                        <w:tcBorders>
                          <w:top w:val="nil"/>
                          <w:left w:val="nil"/>
                          <w:bottom w:val="nil"/>
                          <w:right w:val="nil"/>
                        </w:tcBorders>
                      </w:tcPr>
                      <w:p>
                        <w:pPr>
                          <w:pStyle w:val="TableParagraph"/>
                          <w:spacing w:before="23"/>
                          <w:ind w:right="171"/>
                          <w:rPr>
                            <w:sz w:val="16"/>
                          </w:rPr>
                        </w:pPr>
                        <w:r>
                          <w:rPr>
                            <w:w w:val="85"/>
                            <w:sz w:val="16"/>
                          </w:rPr>
                          <w:t>2.5</w:t>
                        </w:r>
                      </w:p>
                    </w:tc>
                    <w:tc>
                      <w:tcPr>
                        <w:tcW w:w="649" w:type="dxa"/>
                        <w:tcBorders>
                          <w:top w:val="nil"/>
                          <w:left w:val="nil"/>
                          <w:bottom w:val="nil"/>
                          <w:right w:val="nil"/>
                        </w:tcBorders>
                      </w:tcPr>
                      <w:p>
                        <w:pPr>
                          <w:pStyle w:val="TableParagraph"/>
                          <w:spacing w:before="23"/>
                          <w:ind w:right="56"/>
                          <w:rPr>
                            <w:sz w:val="16"/>
                          </w:rPr>
                        </w:pPr>
                        <w:r>
                          <w:rPr>
                            <w:w w:val="85"/>
                            <w:sz w:val="16"/>
                          </w:rPr>
                          <w:t>40.1</w:t>
                        </w:r>
                      </w:p>
                    </w:tc>
                    <w:tc>
                      <w:tcPr>
                        <w:tcW w:w="988" w:type="dxa"/>
                        <w:tcBorders>
                          <w:top w:val="nil"/>
                          <w:left w:val="nil"/>
                          <w:bottom w:val="nil"/>
                          <w:right w:val="nil"/>
                        </w:tcBorders>
                      </w:tcPr>
                      <w:p>
                        <w:pPr>
                          <w:pStyle w:val="TableParagraph"/>
                          <w:spacing w:before="23"/>
                          <w:ind w:right="108"/>
                          <w:rPr>
                            <w:sz w:val="16"/>
                          </w:rPr>
                        </w:pPr>
                        <w:r>
                          <w:rPr>
                            <w:w w:val="90"/>
                            <w:sz w:val="16"/>
                          </w:rPr>
                          <w:t>306 833</w:t>
                        </w:r>
                      </w:p>
                    </w:tc>
                    <w:tc>
                      <w:tcPr>
                        <w:tcW w:w="734" w:type="dxa"/>
                        <w:tcBorders>
                          <w:top w:val="nil"/>
                          <w:left w:val="nil"/>
                          <w:bottom w:val="nil"/>
                          <w:right w:val="nil"/>
                        </w:tcBorders>
                      </w:tcPr>
                      <w:p>
                        <w:pPr>
                          <w:pStyle w:val="TableParagraph"/>
                          <w:spacing w:before="23"/>
                          <w:ind w:right="73"/>
                          <w:rPr>
                            <w:sz w:val="16"/>
                          </w:rPr>
                        </w:pPr>
                        <w:r>
                          <w:rPr>
                            <w:w w:val="85"/>
                            <w:sz w:val="16"/>
                          </w:rPr>
                          <w:t>8.3</w:t>
                        </w:r>
                      </w:p>
                    </w:tc>
                    <w:tc>
                      <w:tcPr>
                        <w:tcW w:w="656" w:type="dxa"/>
                        <w:tcBorders>
                          <w:top w:val="nil"/>
                          <w:left w:val="nil"/>
                          <w:bottom w:val="nil"/>
                          <w:right w:val="nil"/>
                        </w:tcBorders>
                      </w:tcPr>
                      <w:p>
                        <w:pPr>
                          <w:pStyle w:val="TableParagraph"/>
                          <w:spacing w:before="23"/>
                          <w:ind w:right="46"/>
                          <w:rPr>
                            <w:sz w:val="16"/>
                          </w:rPr>
                        </w:pPr>
                        <w:r>
                          <w:rPr>
                            <w:w w:val="85"/>
                            <w:sz w:val="16"/>
                          </w:rPr>
                          <w:t>12.1</w:t>
                        </w:r>
                      </w:p>
                    </w:tc>
                  </w:tr>
                  <w:tr>
                    <w:trPr>
                      <w:trHeight w:val="240" w:hRule="exact"/>
                    </w:trPr>
                    <w:tc>
                      <w:tcPr>
                        <w:tcW w:w="1055" w:type="dxa"/>
                        <w:tcBorders>
                          <w:top w:val="nil"/>
                          <w:left w:val="nil"/>
                          <w:bottom w:val="nil"/>
                          <w:right w:val="nil"/>
                        </w:tcBorders>
                      </w:tcPr>
                      <w:p>
                        <w:pPr>
                          <w:pStyle w:val="TableParagraph"/>
                          <w:spacing w:before="23"/>
                          <w:ind w:left="50"/>
                          <w:jc w:val="left"/>
                          <w:rPr>
                            <w:sz w:val="16"/>
                          </w:rPr>
                        </w:pPr>
                        <w:r>
                          <w:rPr>
                            <w:w w:val="95"/>
                            <w:sz w:val="16"/>
                          </w:rPr>
                          <w:t>Sonora</w:t>
                        </w:r>
                      </w:p>
                    </w:tc>
                    <w:tc>
                      <w:tcPr>
                        <w:tcW w:w="887" w:type="dxa"/>
                        <w:tcBorders>
                          <w:top w:val="nil"/>
                          <w:left w:val="nil"/>
                          <w:bottom w:val="nil"/>
                          <w:right w:val="nil"/>
                        </w:tcBorders>
                      </w:tcPr>
                      <w:p>
                        <w:pPr>
                          <w:pStyle w:val="TableParagraph"/>
                          <w:spacing w:before="23"/>
                          <w:ind w:right="61"/>
                          <w:rPr>
                            <w:sz w:val="16"/>
                          </w:rPr>
                        </w:pPr>
                        <w:r>
                          <w:rPr>
                            <w:w w:val="90"/>
                            <w:sz w:val="16"/>
                          </w:rPr>
                          <w:t>3 684 045</w:t>
                        </w:r>
                      </w:p>
                    </w:tc>
                    <w:tc>
                      <w:tcPr>
                        <w:tcW w:w="847" w:type="dxa"/>
                        <w:tcBorders>
                          <w:top w:val="nil"/>
                          <w:left w:val="nil"/>
                          <w:bottom w:val="nil"/>
                          <w:right w:val="nil"/>
                        </w:tcBorders>
                      </w:tcPr>
                      <w:p>
                        <w:pPr>
                          <w:pStyle w:val="TableParagraph"/>
                          <w:spacing w:before="23"/>
                          <w:ind w:left="175" w:right="-38"/>
                          <w:jc w:val="left"/>
                          <w:rPr>
                            <w:sz w:val="16"/>
                          </w:rPr>
                        </w:pPr>
                        <w:r>
                          <w:rPr>
                            <w:w w:val="90"/>
                            <w:sz w:val="16"/>
                          </w:rPr>
                          <w:t>448 451</w:t>
                        </w:r>
                      </w:p>
                    </w:tc>
                    <w:tc>
                      <w:tcPr>
                        <w:tcW w:w="636" w:type="dxa"/>
                        <w:tcBorders>
                          <w:top w:val="nil"/>
                          <w:left w:val="nil"/>
                          <w:bottom w:val="nil"/>
                          <w:right w:val="nil"/>
                        </w:tcBorders>
                      </w:tcPr>
                      <w:p>
                        <w:pPr>
                          <w:pStyle w:val="TableParagraph"/>
                          <w:spacing w:before="23"/>
                          <w:ind w:right="172"/>
                          <w:rPr>
                            <w:sz w:val="16"/>
                          </w:rPr>
                        </w:pPr>
                        <w:r>
                          <w:rPr>
                            <w:w w:val="85"/>
                            <w:sz w:val="16"/>
                          </w:rPr>
                          <w:t>12.2</w:t>
                        </w:r>
                      </w:p>
                    </w:tc>
                    <w:tc>
                      <w:tcPr>
                        <w:tcW w:w="649" w:type="dxa"/>
                        <w:tcBorders>
                          <w:top w:val="nil"/>
                          <w:left w:val="nil"/>
                          <w:bottom w:val="nil"/>
                          <w:right w:val="nil"/>
                        </w:tcBorders>
                      </w:tcPr>
                      <w:p>
                        <w:pPr>
                          <w:pStyle w:val="TableParagraph"/>
                          <w:spacing w:before="23"/>
                          <w:ind w:right="55"/>
                          <w:rPr>
                            <w:sz w:val="16"/>
                          </w:rPr>
                        </w:pPr>
                        <w:r>
                          <w:rPr>
                            <w:w w:val="85"/>
                            <w:sz w:val="16"/>
                          </w:rPr>
                          <w:t>8.2</w:t>
                        </w:r>
                      </w:p>
                    </w:tc>
                    <w:tc>
                      <w:tcPr>
                        <w:tcW w:w="988" w:type="dxa"/>
                        <w:tcBorders>
                          <w:top w:val="nil"/>
                          <w:left w:val="nil"/>
                          <w:bottom w:val="nil"/>
                          <w:right w:val="nil"/>
                        </w:tcBorders>
                      </w:tcPr>
                      <w:p>
                        <w:pPr>
                          <w:pStyle w:val="TableParagraph"/>
                          <w:spacing w:before="23"/>
                          <w:ind w:right="108"/>
                          <w:rPr>
                            <w:sz w:val="16"/>
                          </w:rPr>
                        </w:pPr>
                        <w:r>
                          <w:rPr>
                            <w:w w:val="90"/>
                            <w:sz w:val="16"/>
                          </w:rPr>
                          <w:t>705 156</w:t>
                        </w:r>
                      </w:p>
                    </w:tc>
                    <w:tc>
                      <w:tcPr>
                        <w:tcW w:w="734" w:type="dxa"/>
                        <w:tcBorders>
                          <w:top w:val="nil"/>
                          <w:left w:val="nil"/>
                          <w:bottom w:val="nil"/>
                          <w:right w:val="nil"/>
                        </w:tcBorders>
                      </w:tcPr>
                      <w:p>
                        <w:pPr>
                          <w:pStyle w:val="TableParagraph"/>
                          <w:spacing w:before="23"/>
                          <w:ind w:right="74"/>
                          <w:rPr>
                            <w:sz w:val="16"/>
                          </w:rPr>
                        </w:pPr>
                        <w:r>
                          <w:rPr>
                            <w:w w:val="85"/>
                            <w:sz w:val="16"/>
                          </w:rPr>
                          <w:t>19.1</w:t>
                        </w:r>
                      </w:p>
                    </w:tc>
                    <w:tc>
                      <w:tcPr>
                        <w:tcW w:w="656" w:type="dxa"/>
                        <w:tcBorders>
                          <w:top w:val="nil"/>
                          <w:left w:val="nil"/>
                          <w:bottom w:val="nil"/>
                          <w:right w:val="nil"/>
                        </w:tcBorders>
                      </w:tcPr>
                      <w:p>
                        <w:pPr>
                          <w:pStyle w:val="TableParagraph"/>
                          <w:spacing w:before="23"/>
                          <w:ind w:right="46"/>
                          <w:rPr>
                            <w:sz w:val="16"/>
                          </w:rPr>
                        </w:pPr>
                        <w:r>
                          <w:rPr>
                            <w:w w:val="85"/>
                            <w:sz w:val="16"/>
                          </w:rPr>
                          <w:t>5.2</w:t>
                        </w:r>
                      </w:p>
                    </w:tc>
                  </w:tr>
                  <w:tr>
                    <w:trPr>
                      <w:trHeight w:val="232" w:hRule="exact"/>
                    </w:trPr>
                    <w:tc>
                      <w:tcPr>
                        <w:tcW w:w="1055" w:type="dxa"/>
                        <w:tcBorders>
                          <w:top w:val="nil"/>
                          <w:left w:val="nil"/>
                          <w:bottom w:val="nil"/>
                          <w:right w:val="nil"/>
                        </w:tcBorders>
                      </w:tcPr>
                      <w:p>
                        <w:pPr>
                          <w:pStyle w:val="TableParagraph"/>
                          <w:spacing w:before="19"/>
                          <w:ind w:left="50"/>
                          <w:jc w:val="left"/>
                          <w:rPr>
                            <w:sz w:val="16"/>
                          </w:rPr>
                        </w:pPr>
                        <w:r>
                          <w:rPr>
                            <w:w w:val="85"/>
                            <w:sz w:val="16"/>
                          </w:rPr>
                          <w:t>Nuevo León</w:t>
                        </w:r>
                      </w:p>
                    </w:tc>
                    <w:tc>
                      <w:tcPr>
                        <w:tcW w:w="887" w:type="dxa"/>
                        <w:tcBorders>
                          <w:top w:val="nil"/>
                          <w:left w:val="nil"/>
                          <w:bottom w:val="nil"/>
                          <w:right w:val="nil"/>
                        </w:tcBorders>
                      </w:tcPr>
                      <w:p>
                        <w:pPr>
                          <w:pStyle w:val="TableParagraph"/>
                          <w:spacing w:before="19"/>
                          <w:ind w:right="61"/>
                          <w:rPr>
                            <w:sz w:val="16"/>
                          </w:rPr>
                        </w:pPr>
                        <w:r>
                          <w:rPr>
                            <w:w w:val="90"/>
                            <w:sz w:val="16"/>
                          </w:rPr>
                          <w:t>3 582 974</w:t>
                        </w:r>
                      </w:p>
                    </w:tc>
                    <w:tc>
                      <w:tcPr>
                        <w:tcW w:w="847" w:type="dxa"/>
                        <w:tcBorders>
                          <w:top w:val="nil"/>
                          <w:left w:val="nil"/>
                          <w:bottom w:val="nil"/>
                          <w:right w:val="nil"/>
                        </w:tcBorders>
                      </w:tcPr>
                      <w:p>
                        <w:pPr>
                          <w:pStyle w:val="TableParagraph"/>
                          <w:spacing w:before="19"/>
                          <w:ind w:left="175" w:right="-38"/>
                          <w:jc w:val="left"/>
                          <w:rPr>
                            <w:sz w:val="16"/>
                          </w:rPr>
                        </w:pPr>
                        <w:r>
                          <w:rPr>
                            <w:w w:val="90"/>
                            <w:sz w:val="16"/>
                          </w:rPr>
                          <w:t>210 420</w:t>
                        </w:r>
                      </w:p>
                    </w:tc>
                    <w:tc>
                      <w:tcPr>
                        <w:tcW w:w="636" w:type="dxa"/>
                        <w:tcBorders>
                          <w:top w:val="nil"/>
                          <w:left w:val="nil"/>
                          <w:bottom w:val="nil"/>
                          <w:right w:val="nil"/>
                        </w:tcBorders>
                      </w:tcPr>
                      <w:p>
                        <w:pPr>
                          <w:pStyle w:val="TableParagraph"/>
                          <w:spacing w:before="19"/>
                          <w:ind w:right="171"/>
                          <w:rPr>
                            <w:sz w:val="16"/>
                          </w:rPr>
                        </w:pPr>
                        <w:r>
                          <w:rPr>
                            <w:w w:val="85"/>
                            <w:sz w:val="16"/>
                          </w:rPr>
                          <w:t>5.9</w:t>
                        </w:r>
                      </w:p>
                    </w:tc>
                    <w:tc>
                      <w:tcPr>
                        <w:tcW w:w="649" w:type="dxa"/>
                        <w:tcBorders>
                          <w:top w:val="nil"/>
                          <w:left w:val="nil"/>
                          <w:bottom w:val="nil"/>
                          <w:right w:val="nil"/>
                        </w:tcBorders>
                      </w:tcPr>
                      <w:p>
                        <w:pPr>
                          <w:pStyle w:val="TableParagraph"/>
                          <w:spacing w:before="19"/>
                          <w:ind w:right="56"/>
                          <w:rPr>
                            <w:sz w:val="16"/>
                          </w:rPr>
                        </w:pPr>
                        <w:r>
                          <w:rPr>
                            <w:w w:val="85"/>
                            <w:sz w:val="16"/>
                          </w:rPr>
                          <w:t>17.0</w:t>
                        </w:r>
                      </w:p>
                    </w:tc>
                    <w:tc>
                      <w:tcPr>
                        <w:tcW w:w="988" w:type="dxa"/>
                        <w:tcBorders>
                          <w:top w:val="nil"/>
                          <w:left w:val="nil"/>
                          <w:bottom w:val="nil"/>
                          <w:right w:val="nil"/>
                        </w:tcBorders>
                      </w:tcPr>
                      <w:p>
                        <w:pPr>
                          <w:pStyle w:val="TableParagraph"/>
                          <w:spacing w:before="19"/>
                          <w:ind w:right="108"/>
                          <w:rPr>
                            <w:sz w:val="16"/>
                          </w:rPr>
                        </w:pPr>
                        <w:r>
                          <w:rPr>
                            <w:w w:val="90"/>
                            <w:sz w:val="16"/>
                          </w:rPr>
                          <w:t>510 209</w:t>
                        </w:r>
                      </w:p>
                    </w:tc>
                    <w:tc>
                      <w:tcPr>
                        <w:tcW w:w="734" w:type="dxa"/>
                        <w:tcBorders>
                          <w:top w:val="nil"/>
                          <w:left w:val="nil"/>
                          <w:bottom w:val="nil"/>
                          <w:right w:val="nil"/>
                        </w:tcBorders>
                      </w:tcPr>
                      <w:p>
                        <w:pPr>
                          <w:pStyle w:val="TableParagraph"/>
                          <w:spacing w:before="19"/>
                          <w:ind w:right="74"/>
                          <w:rPr>
                            <w:sz w:val="16"/>
                          </w:rPr>
                        </w:pPr>
                        <w:r>
                          <w:rPr>
                            <w:w w:val="85"/>
                            <w:sz w:val="16"/>
                          </w:rPr>
                          <w:t>14.2</w:t>
                        </w:r>
                      </w:p>
                    </w:tc>
                    <w:tc>
                      <w:tcPr>
                        <w:tcW w:w="656" w:type="dxa"/>
                        <w:tcBorders>
                          <w:top w:val="nil"/>
                          <w:left w:val="nil"/>
                          <w:bottom w:val="nil"/>
                          <w:right w:val="nil"/>
                        </w:tcBorders>
                      </w:tcPr>
                      <w:p>
                        <w:pPr>
                          <w:pStyle w:val="TableParagraph"/>
                          <w:spacing w:before="19"/>
                          <w:ind w:right="46"/>
                          <w:rPr>
                            <w:sz w:val="16"/>
                          </w:rPr>
                        </w:pPr>
                        <w:r>
                          <w:rPr>
                            <w:w w:val="85"/>
                            <w:sz w:val="16"/>
                          </w:rPr>
                          <w:t>7.0</w:t>
                        </w:r>
                      </w:p>
                    </w:tc>
                  </w:tr>
                  <w:tr>
                    <w:trPr>
                      <w:trHeight w:val="234" w:hRule="exact"/>
                    </w:trPr>
                    <w:tc>
                      <w:tcPr>
                        <w:tcW w:w="1055" w:type="dxa"/>
                        <w:tcBorders>
                          <w:top w:val="nil"/>
                          <w:left w:val="nil"/>
                          <w:bottom w:val="nil"/>
                          <w:right w:val="nil"/>
                        </w:tcBorders>
                      </w:tcPr>
                      <w:p>
                        <w:pPr>
                          <w:pStyle w:val="TableParagraph"/>
                          <w:spacing w:before="15"/>
                          <w:ind w:left="50"/>
                          <w:jc w:val="left"/>
                          <w:rPr>
                            <w:sz w:val="16"/>
                          </w:rPr>
                        </w:pPr>
                        <w:r>
                          <w:rPr>
                            <w:w w:val="95"/>
                            <w:sz w:val="16"/>
                          </w:rPr>
                          <w:t>Tlaxcala</w:t>
                        </w:r>
                      </w:p>
                    </w:tc>
                    <w:tc>
                      <w:tcPr>
                        <w:tcW w:w="887" w:type="dxa"/>
                        <w:tcBorders>
                          <w:top w:val="nil"/>
                          <w:left w:val="nil"/>
                          <w:bottom w:val="nil"/>
                          <w:right w:val="nil"/>
                        </w:tcBorders>
                      </w:tcPr>
                      <w:p>
                        <w:pPr>
                          <w:pStyle w:val="TableParagraph"/>
                          <w:spacing w:before="15"/>
                          <w:ind w:right="61"/>
                          <w:rPr>
                            <w:sz w:val="16"/>
                          </w:rPr>
                        </w:pPr>
                        <w:r>
                          <w:rPr>
                            <w:w w:val="90"/>
                            <w:sz w:val="16"/>
                          </w:rPr>
                          <w:t>3 260 810</w:t>
                        </w:r>
                      </w:p>
                    </w:tc>
                    <w:tc>
                      <w:tcPr>
                        <w:tcW w:w="847" w:type="dxa"/>
                        <w:tcBorders>
                          <w:top w:val="nil"/>
                          <w:left w:val="nil"/>
                          <w:bottom w:val="nil"/>
                          <w:right w:val="nil"/>
                        </w:tcBorders>
                      </w:tcPr>
                      <w:p>
                        <w:pPr>
                          <w:pStyle w:val="TableParagraph"/>
                          <w:spacing w:before="15"/>
                          <w:ind w:left="175" w:right="-38"/>
                          <w:jc w:val="left"/>
                          <w:rPr>
                            <w:sz w:val="16"/>
                          </w:rPr>
                        </w:pPr>
                        <w:r>
                          <w:rPr>
                            <w:w w:val="90"/>
                            <w:sz w:val="16"/>
                          </w:rPr>
                          <w:t>210 516</w:t>
                        </w:r>
                      </w:p>
                    </w:tc>
                    <w:tc>
                      <w:tcPr>
                        <w:tcW w:w="636" w:type="dxa"/>
                        <w:tcBorders>
                          <w:top w:val="nil"/>
                          <w:left w:val="nil"/>
                          <w:bottom w:val="nil"/>
                          <w:right w:val="nil"/>
                        </w:tcBorders>
                      </w:tcPr>
                      <w:p>
                        <w:pPr>
                          <w:pStyle w:val="TableParagraph"/>
                          <w:spacing w:before="15"/>
                          <w:ind w:right="171"/>
                          <w:rPr>
                            <w:sz w:val="16"/>
                          </w:rPr>
                        </w:pPr>
                        <w:r>
                          <w:rPr>
                            <w:w w:val="85"/>
                            <w:sz w:val="16"/>
                          </w:rPr>
                          <w:t>6.5</w:t>
                        </w:r>
                      </w:p>
                    </w:tc>
                    <w:tc>
                      <w:tcPr>
                        <w:tcW w:w="649" w:type="dxa"/>
                        <w:tcBorders>
                          <w:top w:val="nil"/>
                          <w:left w:val="nil"/>
                          <w:bottom w:val="nil"/>
                          <w:right w:val="nil"/>
                        </w:tcBorders>
                      </w:tcPr>
                      <w:p>
                        <w:pPr>
                          <w:pStyle w:val="TableParagraph"/>
                          <w:spacing w:before="15"/>
                          <w:ind w:right="56"/>
                          <w:rPr>
                            <w:sz w:val="16"/>
                          </w:rPr>
                        </w:pPr>
                        <w:r>
                          <w:rPr>
                            <w:w w:val="85"/>
                            <w:sz w:val="16"/>
                          </w:rPr>
                          <w:t>15.5</w:t>
                        </w:r>
                      </w:p>
                    </w:tc>
                    <w:tc>
                      <w:tcPr>
                        <w:tcW w:w="988" w:type="dxa"/>
                        <w:tcBorders>
                          <w:top w:val="nil"/>
                          <w:left w:val="nil"/>
                          <w:bottom w:val="nil"/>
                          <w:right w:val="nil"/>
                        </w:tcBorders>
                      </w:tcPr>
                      <w:p>
                        <w:pPr>
                          <w:pStyle w:val="TableParagraph"/>
                          <w:spacing w:before="15"/>
                          <w:ind w:right="108"/>
                          <w:rPr>
                            <w:sz w:val="16"/>
                          </w:rPr>
                        </w:pPr>
                        <w:r>
                          <w:rPr>
                            <w:w w:val="90"/>
                            <w:sz w:val="16"/>
                          </w:rPr>
                          <w:t>701 371</w:t>
                        </w:r>
                      </w:p>
                    </w:tc>
                    <w:tc>
                      <w:tcPr>
                        <w:tcW w:w="734" w:type="dxa"/>
                        <w:tcBorders>
                          <w:top w:val="nil"/>
                          <w:left w:val="nil"/>
                          <w:bottom w:val="nil"/>
                          <w:right w:val="nil"/>
                        </w:tcBorders>
                      </w:tcPr>
                      <w:p>
                        <w:pPr>
                          <w:pStyle w:val="TableParagraph"/>
                          <w:spacing w:before="15"/>
                          <w:ind w:right="74"/>
                          <w:rPr>
                            <w:sz w:val="16"/>
                          </w:rPr>
                        </w:pPr>
                        <w:r>
                          <w:rPr>
                            <w:w w:val="85"/>
                            <w:sz w:val="16"/>
                          </w:rPr>
                          <w:t>21.5</w:t>
                        </w:r>
                      </w:p>
                    </w:tc>
                    <w:tc>
                      <w:tcPr>
                        <w:tcW w:w="656" w:type="dxa"/>
                        <w:tcBorders>
                          <w:top w:val="nil"/>
                          <w:left w:val="nil"/>
                          <w:bottom w:val="nil"/>
                          <w:right w:val="nil"/>
                        </w:tcBorders>
                      </w:tcPr>
                      <w:p>
                        <w:pPr>
                          <w:pStyle w:val="TableParagraph"/>
                          <w:spacing w:before="15"/>
                          <w:ind w:right="46"/>
                          <w:rPr>
                            <w:sz w:val="16"/>
                          </w:rPr>
                        </w:pPr>
                        <w:r>
                          <w:rPr>
                            <w:w w:val="85"/>
                            <w:sz w:val="16"/>
                          </w:rPr>
                          <w:t>4.6</w:t>
                        </w:r>
                      </w:p>
                    </w:tc>
                  </w:tr>
                  <w:tr>
                    <w:trPr>
                      <w:trHeight w:val="244" w:hRule="exact"/>
                    </w:trPr>
                    <w:tc>
                      <w:tcPr>
                        <w:tcW w:w="1055" w:type="dxa"/>
                        <w:tcBorders>
                          <w:top w:val="nil"/>
                          <w:left w:val="nil"/>
                          <w:bottom w:val="nil"/>
                          <w:right w:val="nil"/>
                        </w:tcBorders>
                      </w:tcPr>
                      <w:p>
                        <w:pPr>
                          <w:pStyle w:val="TableParagraph"/>
                          <w:spacing w:before="21"/>
                          <w:ind w:left="50"/>
                          <w:jc w:val="left"/>
                          <w:rPr>
                            <w:sz w:val="16"/>
                          </w:rPr>
                        </w:pPr>
                        <w:r>
                          <w:rPr>
                            <w:w w:val="95"/>
                            <w:sz w:val="16"/>
                          </w:rPr>
                          <w:t>Coahuila</w:t>
                        </w:r>
                      </w:p>
                    </w:tc>
                    <w:tc>
                      <w:tcPr>
                        <w:tcW w:w="887" w:type="dxa"/>
                        <w:tcBorders>
                          <w:top w:val="nil"/>
                          <w:left w:val="nil"/>
                          <w:bottom w:val="nil"/>
                          <w:right w:val="nil"/>
                        </w:tcBorders>
                      </w:tcPr>
                      <w:p>
                        <w:pPr>
                          <w:pStyle w:val="TableParagraph"/>
                          <w:spacing w:before="21"/>
                          <w:ind w:right="61"/>
                          <w:rPr>
                            <w:sz w:val="16"/>
                          </w:rPr>
                        </w:pPr>
                        <w:r>
                          <w:rPr>
                            <w:w w:val="90"/>
                            <w:sz w:val="16"/>
                          </w:rPr>
                          <w:t>2 952 542</w:t>
                        </w:r>
                      </w:p>
                    </w:tc>
                    <w:tc>
                      <w:tcPr>
                        <w:tcW w:w="847" w:type="dxa"/>
                        <w:tcBorders>
                          <w:top w:val="nil"/>
                          <w:left w:val="nil"/>
                          <w:bottom w:val="nil"/>
                          <w:right w:val="nil"/>
                        </w:tcBorders>
                      </w:tcPr>
                      <w:p>
                        <w:pPr>
                          <w:pStyle w:val="TableParagraph"/>
                          <w:spacing w:before="21"/>
                          <w:ind w:left="175" w:right="-38"/>
                          <w:jc w:val="left"/>
                          <w:rPr>
                            <w:sz w:val="16"/>
                          </w:rPr>
                        </w:pPr>
                        <w:r>
                          <w:rPr>
                            <w:w w:val="90"/>
                            <w:sz w:val="16"/>
                          </w:rPr>
                          <w:t>141 929</w:t>
                        </w:r>
                      </w:p>
                    </w:tc>
                    <w:tc>
                      <w:tcPr>
                        <w:tcW w:w="636" w:type="dxa"/>
                        <w:tcBorders>
                          <w:top w:val="nil"/>
                          <w:left w:val="nil"/>
                          <w:bottom w:val="nil"/>
                          <w:right w:val="nil"/>
                        </w:tcBorders>
                      </w:tcPr>
                      <w:p>
                        <w:pPr>
                          <w:pStyle w:val="TableParagraph"/>
                          <w:spacing w:before="21"/>
                          <w:ind w:right="171"/>
                          <w:rPr>
                            <w:sz w:val="16"/>
                          </w:rPr>
                        </w:pPr>
                        <w:r>
                          <w:rPr>
                            <w:w w:val="85"/>
                            <w:sz w:val="16"/>
                          </w:rPr>
                          <w:t>4.8</w:t>
                        </w:r>
                      </w:p>
                    </w:tc>
                    <w:tc>
                      <w:tcPr>
                        <w:tcW w:w="649" w:type="dxa"/>
                        <w:tcBorders>
                          <w:top w:val="nil"/>
                          <w:left w:val="nil"/>
                          <w:bottom w:val="nil"/>
                          <w:right w:val="nil"/>
                        </w:tcBorders>
                      </w:tcPr>
                      <w:p>
                        <w:pPr>
                          <w:pStyle w:val="TableParagraph"/>
                          <w:spacing w:before="21"/>
                          <w:ind w:right="56"/>
                          <w:rPr>
                            <w:sz w:val="16"/>
                          </w:rPr>
                        </w:pPr>
                        <w:r>
                          <w:rPr>
                            <w:w w:val="85"/>
                            <w:sz w:val="16"/>
                          </w:rPr>
                          <w:t>20.8</w:t>
                        </w:r>
                      </w:p>
                    </w:tc>
                    <w:tc>
                      <w:tcPr>
                        <w:tcW w:w="988" w:type="dxa"/>
                        <w:tcBorders>
                          <w:top w:val="nil"/>
                          <w:left w:val="nil"/>
                          <w:bottom w:val="nil"/>
                          <w:right w:val="nil"/>
                        </w:tcBorders>
                      </w:tcPr>
                      <w:p>
                        <w:pPr>
                          <w:pStyle w:val="TableParagraph"/>
                          <w:spacing w:before="21"/>
                          <w:ind w:right="108"/>
                          <w:rPr>
                            <w:sz w:val="16"/>
                          </w:rPr>
                        </w:pPr>
                        <w:r>
                          <w:rPr>
                            <w:w w:val="90"/>
                            <w:sz w:val="16"/>
                          </w:rPr>
                          <w:t>494 923</w:t>
                        </w:r>
                      </w:p>
                    </w:tc>
                    <w:tc>
                      <w:tcPr>
                        <w:tcW w:w="734" w:type="dxa"/>
                        <w:tcBorders>
                          <w:top w:val="nil"/>
                          <w:left w:val="nil"/>
                          <w:bottom w:val="nil"/>
                          <w:right w:val="nil"/>
                        </w:tcBorders>
                      </w:tcPr>
                      <w:p>
                        <w:pPr>
                          <w:pStyle w:val="TableParagraph"/>
                          <w:spacing w:before="21"/>
                          <w:ind w:right="74"/>
                          <w:rPr>
                            <w:sz w:val="16"/>
                          </w:rPr>
                        </w:pPr>
                        <w:r>
                          <w:rPr>
                            <w:w w:val="85"/>
                            <w:sz w:val="16"/>
                          </w:rPr>
                          <w:t>16.8</w:t>
                        </w:r>
                      </w:p>
                    </w:tc>
                    <w:tc>
                      <w:tcPr>
                        <w:tcW w:w="656" w:type="dxa"/>
                        <w:tcBorders>
                          <w:top w:val="nil"/>
                          <w:left w:val="nil"/>
                          <w:bottom w:val="nil"/>
                          <w:right w:val="nil"/>
                        </w:tcBorders>
                      </w:tcPr>
                      <w:p>
                        <w:pPr>
                          <w:pStyle w:val="TableParagraph"/>
                          <w:spacing w:before="21"/>
                          <w:ind w:right="46"/>
                          <w:rPr>
                            <w:sz w:val="16"/>
                          </w:rPr>
                        </w:pPr>
                        <w:r>
                          <w:rPr>
                            <w:w w:val="85"/>
                            <w:sz w:val="16"/>
                          </w:rPr>
                          <w:t>6.0</w:t>
                        </w:r>
                      </w:p>
                    </w:tc>
                  </w:tr>
                  <w:tr>
                    <w:trPr>
                      <w:trHeight w:val="242" w:hRule="exact"/>
                    </w:trPr>
                    <w:tc>
                      <w:tcPr>
                        <w:tcW w:w="1055" w:type="dxa"/>
                        <w:tcBorders>
                          <w:top w:val="nil"/>
                          <w:left w:val="nil"/>
                          <w:bottom w:val="nil"/>
                          <w:right w:val="nil"/>
                        </w:tcBorders>
                      </w:tcPr>
                      <w:p>
                        <w:pPr>
                          <w:pStyle w:val="TableParagraph"/>
                          <w:spacing w:before="25"/>
                          <w:ind w:left="50"/>
                          <w:jc w:val="left"/>
                          <w:rPr>
                            <w:sz w:val="16"/>
                          </w:rPr>
                        </w:pPr>
                        <w:r>
                          <w:rPr>
                            <w:w w:val="95"/>
                            <w:sz w:val="16"/>
                          </w:rPr>
                          <w:t>Colima</w:t>
                        </w:r>
                      </w:p>
                    </w:tc>
                    <w:tc>
                      <w:tcPr>
                        <w:tcW w:w="887" w:type="dxa"/>
                        <w:tcBorders>
                          <w:top w:val="nil"/>
                          <w:left w:val="nil"/>
                          <w:bottom w:val="nil"/>
                          <w:right w:val="nil"/>
                        </w:tcBorders>
                      </w:tcPr>
                      <w:p>
                        <w:pPr>
                          <w:pStyle w:val="TableParagraph"/>
                          <w:spacing w:before="25"/>
                          <w:ind w:right="61"/>
                          <w:rPr>
                            <w:sz w:val="16"/>
                          </w:rPr>
                        </w:pPr>
                        <w:r>
                          <w:rPr>
                            <w:w w:val="90"/>
                            <w:sz w:val="16"/>
                          </w:rPr>
                          <w:t>2 164 187</w:t>
                        </w:r>
                      </w:p>
                    </w:tc>
                    <w:tc>
                      <w:tcPr>
                        <w:tcW w:w="847" w:type="dxa"/>
                        <w:tcBorders>
                          <w:top w:val="nil"/>
                          <w:left w:val="nil"/>
                          <w:bottom w:val="nil"/>
                          <w:right w:val="nil"/>
                        </w:tcBorders>
                      </w:tcPr>
                      <w:p>
                        <w:pPr>
                          <w:pStyle w:val="TableParagraph"/>
                          <w:spacing w:before="25"/>
                          <w:ind w:left="245" w:right="-38"/>
                          <w:jc w:val="left"/>
                          <w:rPr>
                            <w:sz w:val="16"/>
                          </w:rPr>
                        </w:pPr>
                        <w:r>
                          <w:rPr>
                            <w:w w:val="90"/>
                            <w:sz w:val="16"/>
                          </w:rPr>
                          <w:t>40 934</w:t>
                        </w:r>
                      </w:p>
                    </w:tc>
                    <w:tc>
                      <w:tcPr>
                        <w:tcW w:w="636" w:type="dxa"/>
                        <w:tcBorders>
                          <w:top w:val="nil"/>
                          <w:left w:val="nil"/>
                          <w:bottom w:val="nil"/>
                          <w:right w:val="nil"/>
                        </w:tcBorders>
                      </w:tcPr>
                      <w:p>
                        <w:pPr>
                          <w:pStyle w:val="TableParagraph"/>
                          <w:spacing w:before="25"/>
                          <w:ind w:right="171"/>
                          <w:rPr>
                            <w:sz w:val="16"/>
                          </w:rPr>
                        </w:pPr>
                        <w:r>
                          <w:rPr>
                            <w:w w:val="85"/>
                            <w:sz w:val="16"/>
                          </w:rPr>
                          <w:t>1.9</w:t>
                        </w:r>
                      </w:p>
                    </w:tc>
                    <w:tc>
                      <w:tcPr>
                        <w:tcW w:w="649" w:type="dxa"/>
                        <w:tcBorders>
                          <w:top w:val="nil"/>
                          <w:left w:val="nil"/>
                          <w:bottom w:val="nil"/>
                          <w:right w:val="nil"/>
                        </w:tcBorders>
                      </w:tcPr>
                      <w:p>
                        <w:pPr>
                          <w:pStyle w:val="TableParagraph"/>
                          <w:spacing w:before="25"/>
                          <w:ind w:right="56"/>
                          <w:rPr>
                            <w:sz w:val="16"/>
                          </w:rPr>
                        </w:pPr>
                        <w:r>
                          <w:rPr>
                            <w:w w:val="85"/>
                            <w:sz w:val="16"/>
                          </w:rPr>
                          <w:t>52.9</w:t>
                        </w:r>
                      </w:p>
                    </w:tc>
                    <w:tc>
                      <w:tcPr>
                        <w:tcW w:w="988" w:type="dxa"/>
                        <w:tcBorders>
                          <w:top w:val="nil"/>
                          <w:left w:val="nil"/>
                          <w:bottom w:val="nil"/>
                          <w:right w:val="nil"/>
                        </w:tcBorders>
                      </w:tcPr>
                      <w:p>
                        <w:pPr>
                          <w:pStyle w:val="TableParagraph"/>
                          <w:spacing w:before="25"/>
                          <w:ind w:right="108"/>
                          <w:rPr>
                            <w:sz w:val="16"/>
                          </w:rPr>
                        </w:pPr>
                        <w:r>
                          <w:rPr>
                            <w:w w:val="90"/>
                            <w:sz w:val="16"/>
                          </w:rPr>
                          <w:t>193 038</w:t>
                        </w:r>
                      </w:p>
                    </w:tc>
                    <w:tc>
                      <w:tcPr>
                        <w:tcW w:w="734" w:type="dxa"/>
                        <w:tcBorders>
                          <w:top w:val="nil"/>
                          <w:left w:val="nil"/>
                          <w:bottom w:val="nil"/>
                          <w:right w:val="nil"/>
                        </w:tcBorders>
                      </w:tcPr>
                      <w:p>
                        <w:pPr>
                          <w:pStyle w:val="TableParagraph"/>
                          <w:spacing w:before="25"/>
                          <w:ind w:right="73"/>
                          <w:rPr>
                            <w:sz w:val="16"/>
                          </w:rPr>
                        </w:pPr>
                        <w:r>
                          <w:rPr>
                            <w:w w:val="85"/>
                            <w:sz w:val="16"/>
                          </w:rPr>
                          <w:t>8.9</w:t>
                        </w:r>
                      </w:p>
                    </w:tc>
                    <w:tc>
                      <w:tcPr>
                        <w:tcW w:w="656" w:type="dxa"/>
                        <w:tcBorders>
                          <w:top w:val="nil"/>
                          <w:left w:val="nil"/>
                          <w:bottom w:val="nil"/>
                          <w:right w:val="nil"/>
                        </w:tcBorders>
                      </w:tcPr>
                      <w:p>
                        <w:pPr>
                          <w:pStyle w:val="TableParagraph"/>
                          <w:spacing w:before="25"/>
                          <w:ind w:right="46"/>
                          <w:rPr>
                            <w:sz w:val="16"/>
                          </w:rPr>
                        </w:pPr>
                        <w:r>
                          <w:rPr>
                            <w:w w:val="85"/>
                            <w:sz w:val="16"/>
                          </w:rPr>
                          <w:t>11.2</w:t>
                        </w:r>
                      </w:p>
                    </w:tc>
                  </w:tr>
                  <w:tr>
                    <w:trPr>
                      <w:trHeight w:val="238" w:hRule="exact"/>
                    </w:trPr>
                    <w:tc>
                      <w:tcPr>
                        <w:tcW w:w="1055" w:type="dxa"/>
                        <w:tcBorders>
                          <w:top w:val="nil"/>
                          <w:left w:val="nil"/>
                          <w:bottom w:val="nil"/>
                          <w:right w:val="nil"/>
                        </w:tcBorders>
                      </w:tcPr>
                      <w:p>
                        <w:pPr>
                          <w:pStyle w:val="TableParagraph"/>
                          <w:spacing w:before="19"/>
                          <w:ind w:left="50"/>
                          <w:jc w:val="left"/>
                          <w:rPr>
                            <w:b/>
                            <w:sz w:val="16"/>
                          </w:rPr>
                        </w:pPr>
                        <w:r>
                          <w:rPr>
                            <w:b/>
                            <w:w w:val="95"/>
                            <w:sz w:val="16"/>
                          </w:rPr>
                          <w:t>Yucatán</w:t>
                        </w:r>
                      </w:p>
                    </w:tc>
                    <w:tc>
                      <w:tcPr>
                        <w:tcW w:w="887" w:type="dxa"/>
                        <w:tcBorders>
                          <w:top w:val="nil"/>
                          <w:left w:val="nil"/>
                          <w:bottom w:val="nil"/>
                          <w:right w:val="nil"/>
                        </w:tcBorders>
                      </w:tcPr>
                      <w:p>
                        <w:pPr>
                          <w:pStyle w:val="TableParagraph"/>
                          <w:spacing w:before="19"/>
                          <w:ind w:right="61"/>
                          <w:rPr>
                            <w:b/>
                            <w:sz w:val="16"/>
                          </w:rPr>
                        </w:pPr>
                        <w:r>
                          <w:rPr>
                            <w:b/>
                            <w:w w:val="90"/>
                            <w:sz w:val="16"/>
                          </w:rPr>
                          <w:t>1 421 314</w:t>
                        </w:r>
                      </w:p>
                    </w:tc>
                    <w:tc>
                      <w:tcPr>
                        <w:tcW w:w="847" w:type="dxa"/>
                        <w:tcBorders>
                          <w:top w:val="nil"/>
                          <w:left w:val="nil"/>
                          <w:bottom w:val="nil"/>
                          <w:right w:val="nil"/>
                        </w:tcBorders>
                      </w:tcPr>
                      <w:p>
                        <w:pPr>
                          <w:pStyle w:val="TableParagraph"/>
                          <w:spacing w:before="19"/>
                          <w:ind w:left="175" w:right="-38"/>
                          <w:jc w:val="left"/>
                          <w:rPr>
                            <w:b/>
                            <w:sz w:val="16"/>
                          </w:rPr>
                        </w:pPr>
                        <w:r>
                          <w:rPr>
                            <w:b/>
                            <w:w w:val="90"/>
                            <w:sz w:val="16"/>
                          </w:rPr>
                          <w:t>131 150</w:t>
                        </w:r>
                      </w:p>
                    </w:tc>
                    <w:tc>
                      <w:tcPr>
                        <w:tcW w:w="636" w:type="dxa"/>
                        <w:tcBorders>
                          <w:top w:val="nil"/>
                          <w:left w:val="nil"/>
                          <w:bottom w:val="nil"/>
                          <w:right w:val="nil"/>
                        </w:tcBorders>
                      </w:tcPr>
                      <w:p>
                        <w:pPr>
                          <w:pStyle w:val="TableParagraph"/>
                          <w:spacing w:before="19"/>
                          <w:ind w:right="171"/>
                          <w:rPr>
                            <w:b/>
                            <w:sz w:val="16"/>
                          </w:rPr>
                        </w:pPr>
                        <w:r>
                          <w:rPr>
                            <w:b/>
                            <w:w w:val="85"/>
                            <w:sz w:val="16"/>
                          </w:rPr>
                          <w:t>9.2</w:t>
                        </w:r>
                      </w:p>
                    </w:tc>
                    <w:tc>
                      <w:tcPr>
                        <w:tcW w:w="649" w:type="dxa"/>
                        <w:tcBorders>
                          <w:top w:val="nil"/>
                          <w:left w:val="nil"/>
                          <w:bottom w:val="nil"/>
                          <w:right w:val="nil"/>
                        </w:tcBorders>
                      </w:tcPr>
                      <w:p>
                        <w:pPr>
                          <w:pStyle w:val="TableParagraph"/>
                          <w:spacing w:before="19"/>
                          <w:ind w:right="56"/>
                          <w:rPr>
                            <w:b/>
                            <w:sz w:val="16"/>
                          </w:rPr>
                        </w:pPr>
                        <w:r>
                          <w:rPr>
                            <w:b/>
                            <w:w w:val="85"/>
                            <w:sz w:val="16"/>
                          </w:rPr>
                          <w:t>10.8</w:t>
                        </w:r>
                      </w:p>
                    </w:tc>
                    <w:tc>
                      <w:tcPr>
                        <w:tcW w:w="988" w:type="dxa"/>
                        <w:tcBorders>
                          <w:top w:val="nil"/>
                          <w:left w:val="nil"/>
                          <w:bottom w:val="nil"/>
                          <w:right w:val="nil"/>
                        </w:tcBorders>
                      </w:tcPr>
                      <w:p>
                        <w:pPr>
                          <w:pStyle w:val="TableParagraph"/>
                          <w:spacing w:before="19"/>
                          <w:ind w:right="108"/>
                          <w:rPr>
                            <w:b/>
                            <w:sz w:val="16"/>
                          </w:rPr>
                        </w:pPr>
                        <w:r>
                          <w:rPr>
                            <w:b/>
                            <w:w w:val="90"/>
                            <w:sz w:val="16"/>
                          </w:rPr>
                          <w:t>1 363 778</w:t>
                        </w:r>
                      </w:p>
                    </w:tc>
                    <w:tc>
                      <w:tcPr>
                        <w:tcW w:w="734" w:type="dxa"/>
                        <w:tcBorders>
                          <w:top w:val="nil"/>
                          <w:left w:val="nil"/>
                          <w:bottom w:val="nil"/>
                          <w:right w:val="nil"/>
                        </w:tcBorders>
                      </w:tcPr>
                      <w:p>
                        <w:pPr>
                          <w:pStyle w:val="TableParagraph"/>
                          <w:spacing w:before="19"/>
                          <w:ind w:right="74"/>
                          <w:rPr>
                            <w:b/>
                            <w:sz w:val="16"/>
                          </w:rPr>
                        </w:pPr>
                        <w:r>
                          <w:rPr>
                            <w:b/>
                            <w:w w:val="85"/>
                            <w:sz w:val="16"/>
                          </w:rPr>
                          <w:t>96.0</w:t>
                        </w:r>
                      </w:p>
                    </w:tc>
                    <w:tc>
                      <w:tcPr>
                        <w:tcW w:w="656" w:type="dxa"/>
                        <w:tcBorders>
                          <w:top w:val="nil"/>
                          <w:left w:val="nil"/>
                          <w:bottom w:val="nil"/>
                          <w:right w:val="nil"/>
                        </w:tcBorders>
                      </w:tcPr>
                      <w:p>
                        <w:pPr>
                          <w:pStyle w:val="TableParagraph"/>
                          <w:spacing w:before="19"/>
                          <w:ind w:right="46"/>
                          <w:rPr>
                            <w:b/>
                            <w:sz w:val="16"/>
                          </w:rPr>
                        </w:pPr>
                        <w:r>
                          <w:rPr>
                            <w:b/>
                            <w:w w:val="85"/>
                            <w:sz w:val="16"/>
                          </w:rPr>
                          <w:t>1.0</w:t>
                        </w:r>
                      </w:p>
                    </w:tc>
                  </w:tr>
                  <w:tr>
                    <w:trPr>
                      <w:trHeight w:val="242" w:hRule="exact"/>
                    </w:trPr>
                    <w:tc>
                      <w:tcPr>
                        <w:tcW w:w="1055" w:type="dxa"/>
                        <w:tcBorders>
                          <w:top w:val="nil"/>
                          <w:left w:val="nil"/>
                          <w:bottom w:val="nil"/>
                          <w:right w:val="nil"/>
                        </w:tcBorders>
                      </w:tcPr>
                      <w:p>
                        <w:pPr>
                          <w:pStyle w:val="TableParagraph"/>
                          <w:spacing w:before="21"/>
                          <w:ind w:left="50"/>
                          <w:jc w:val="left"/>
                          <w:rPr>
                            <w:sz w:val="16"/>
                          </w:rPr>
                        </w:pPr>
                        <w:r>
                          <w:rPr>
                            <w:w w:val="95"/>
                            <w:sz w:val="16"/>
                          </w:rPr>
                          <w:t>Tabasco</w:t>
                        </w:r>
                      </w:p>
                    </w:tc>
                    <w:tc>
                      <w:tcPr>
                        <w:tcW w:w="887" w:type="dxa"/>
                        <w:tcBorders>
                          <w:top w:val="nil"/>
                          <w:left w:val="nil"/>
                          <w:bottom w:val="nil"/>
                          <w:right w:val="nil"/>
                        </w:tcBorders>
                      </w:tcPr>
                      <w:p>
                        <w:pPr>
                          <w:pStyle w:val="TableParagraph"/>
                          <w:spacing w:before="21"/>
                          <w:ind w:right="61"/>
                          <w:rPr>
                            <w:sz w:val="16"/>
                          </w:rPr>
                        </w:pPr>
                        <w:r>
                          <w:rPr>
                            <w:w w:val="90"/>
                            <w:sz w:val="16"/>
                          </w:rPr>
                          <w:t>1 404 890</w:t>
                        </w:r>
                      </w:p>
                    </w:tc>
                    <w:tc>
                      <w:tcPr>
                        <w:tcW w:w="847" w:type="dxa"/>
                        <w:tcBorders>
                          <w:top w:val="nil"/>
                          <w:left w:val="nil"/>
                          <w:bottom w:val="nil"/>
                          <w:right w:val="nil"/>
                        </w:tcBorders>
                      </w:tcPr>
                      <w:p>
                        <w:pPr>
                          <w:pStyle w:val="TableParagraph"/>
                          <w:spacing w:before="21"/>
                          <w:ind w:left="245" w:right="-38"/>
                          <w:jc w:val="left"/>
                          <w:rPr>
                            <w:sz w:val="16"/>
                          </w:rPr>
                        </w:pPr>
                        <w:r>
                          <w:rPr>
                            <w:w w:val="90"/>
                            <w:sz w:val="16"/>
                          </w:rPr>
                          <w:t>86 138</w:t>
                        </w:r>
                      </w:p>
                    </w:tc>
                    <w:tc>
                      <w:tcPr>
                        <w:tcW w:w="636" w:type="dxa"/>
                        <w:tcBorders>
                          <w:top w:val="nil"/>
                          <w:left w:val="nil"/>
                          <w:bottom w:val="nil"/>
                          <w:right w:val="nil"/>
                        </w:tcBorders>
                      </w:tcPr>
                      <w:p>
                        <w:pPr>
                          <w:pStyle w:val="TableParagraph"/>
                          <w:spacing w:before="21"/>
                          <w:ind w:right="171"/>
                          <w:rPr>
                            <w:sz w:val="16"/>
                          </w:rPr>
                        </w:pPr>
                        <w:r>
                          <w:rPr>
                            <w:w w:val="85"/>
                            <w:sz w:val="16"/>
                          </w:rPr>
                          <w:t>6.1</w:t>
                        </w:r>
                      </w:p>
                    </w:tc>
                    <w:tc>
                      <w:tcPr>
                        <w:tcW w:w="649" w:type="dxa"/>
                        <w:tcBorders>
                          <w:top w:val="nil"/>
                          <w:left w:val="nil"/>
                          <w:bottom w:val="nil"/>
                          <w:right w:val="nil"/>
                        </w:tcBorders>
                      </w:tcPr>
                      <w:p>
                        <w:pPr>
                          <w:pStyle w:val="TableParagraph"/>
                          <w:spacing w:before="21"/>
                          <w:ind w:right="56"/>
                          <w:rPr>
                            <w:sz w:val="16"/>
                          </w:rPr>
                        </w:pPr>
                        <w:r>
                          <w:rPr>
                            <w:w w:val="85"/>
                            <w:sz w:val="16"/>
                          </w:rPr>
                          <w:t>16.3</w:t>
                        </w:r>
                      </w:p>
                    </w:tc>
                    <w:tc>
                      <w:tcPr>
                        <w:tcW w:w="988" w:type="dxa"/>
                        <w:tcBorders>
                          <w:top w:val="nil"/>
                          <w:left w:val="nil"/>
                          <w:bottom w:val="nil"/>
                          <w:right w:val="nil"/>
                        </w:tcBorders>
                      </w:tcPr>
                      <w:p>
                        <w:pPr>
                          <w:pStyle w:val="TableParagraph"/>
                          <w:spacing w:before="21"/>
                          <w:ind w:right="108"/>
                          <w:rPr>
                            <w:sz w:val="16"/>
                          </w:rPr>
                        </w:pPr>
                        <w:r>
                          <w:rPr>
                            <w:w w:val="90"/>
                            <w:sz w:val="16"/>
                          </w:rPr>
                          <w:t>1 748 756</w:t>
                        </w:r>
                      </w:p>
                    </w:tc>
                    <w:tc>
                      <w:tcPr>
                        <w:tcW w:w="734" w:type="dxa"/>
                        <w:tcBorders>
                          <w:top w:val="nil"/>
                          <w:left w:val="nil"/>
                          <w:bottom w:val="nil"/>
                          <w:right w:val="nil"/>
                        </w:tcBorders>
                      </w:tcPr>
                      <w:p>
                        <w:pPr>
                          <w:pStyle w:val="TableParagraph"/>
                          <w:spacing w:before="21"/>
                          <w:ind w:right="74"/>
                          <w:rPr>
                            <w:sz w:val="16"/>
                          </w:rPr>
                        </w:pPr>
                        <w:r>
                          <w:rPr>
                            <w:w w:val="85"/>
                            <w:sz w:val="16"/>
                          </w:rPr>
                          <w:t>124.5</w:t>
                        </w:r>
                      </w:p>
                    </w:tc>
                    <w:tc>
                      <w:tcPr>
                        <w:tcW w:w="656" w:type="dxa"/>
                        <w:tcBorders>
                          <w:top w:val="nil"/>
                          <w:left w:val="nil"/>
                          <w:bottom w:val="nil"/>
                          <w:right w:val="nil"/>
                        </w:tcBorders>
                      </w:tcPr>
                      <w:p>
                        <w:pPr>
                          <w:pStyle w:val="TableParagraph"/>
                          <w:spacing w:before="21"/>
                          <w:ind w:right="46"/>
                          <w:rPr>
                            <w:sz w:val="16"/>
                          </w:rPr>
                        </w:pPr>
                        <w:r>
                          <w:rPr>
                            <w:w w:val="85"/>
                            <w:sz w:val="16"/>
                          </w:rPr>
                          <w:t>0.8</w:t>
                        </w:r>
                      </w:p>
                    </w:tc>
                  </w:tr>
                  <w:tr>
                    <w:trPr>
                      <w:trHeight w:val="240" w:hRule="exact"/>
                    </w:trPr>
                    <w:tc>
                      <w:tcPr>
                        <w:tcW w:w="1055" w:type="dxa"/>
                        <w:tcBorders>
                          <w:top w:val="nil"/>
                          <w:left w:val="nil"/>
                          <w:bottom w:val="nil"/>
                          <w:right w:val="nil"/>
                        </w:tcBorders>
                      </w:tcPr>
                      <w:p>
                        <w:pPr>
                          <w:pStyle w:val="TableParagraph"/>
                          <w:spacing w:before="23"/>
                          <w:ind w:left="50"/>
                          <w:jc w:val="left"/>
                          <w:rPr>
                            <w:sz w:val="16"/>
                          </w:rPr>
                        </w:pPr>
                        <w:r>
                          <w:rPr>
                            <w:w w:val="85"/>
                            <w:sz w:val="16"/>
                          </w:rPr>
                          <w:t>Quintana Roo</w:t>
                        </w:r>
                      </w:p>
                    </w:tc>
                    <w:tc>
                      <w:tcPr>
                        <w:tcW w:w="887" w:type="dxa"/>
                        <w:tcBorders>
                          <w:top w:val="nil"/>
                          <w:left w:val="nil"/>
                          <w:bottom w:val="nil"/>
                          <w:right w:val="nil"/>
                        </w:tcBorders>
                      </w:tcPr>
                      <w:p>
                        <w:pPr>
                          <w:pStyle w:val="TableParagraph"/>
                          <w:spacing w:before="23"/>
                          <w:ind w:right="61"/>
                          <w:rPr>
                            <w:sz w:val="16"/>
                          </w:rPr>
                        </w:pPr>
                        <w:r>
                          <w:rPr>
                            <w:w w:val="90"/>
                            <w:sz w:val="16"/>
                          </w:rPr>
                          <w:t>1 095 359</w:t>
                        </w:r>
                      </w:p>
                    </w:tc>
                    <w:tc>
                      <w:tcPr>
                        <w:tcW w:w="847" w:type="dxa"/>
                        <w:tcBorders>
                          <w:top w:val="nil"/>
                          <w:left w:val="nil"/>
                          <w:bottom w:val="nil"/>
                          <w:right w:val="nil"/>
                        </w:tcBorders>
                      </w:tcPr>
                      <w:p>
                        <w:pPr>
                          <w:pStyle w:val="TableParagraph"/>
                          <w:spacing w:before="23"/>
                          <w:ind w:left="175" w:right="-38"/>
                          <w:jc w:val="left"/>
                          <w:rPr>
                            <w:sz w:val="16"/>
                          </w:rPr>
                        </w:pPr>
                        <w:r>
                          <w:rPr>
                            <w:w w:val="90"/>
                            <w:sz w:val="16"/>
                          </w:rPr>
                          <w:t>100 180</w:t>
                        </w:r>
                      </w:p>
                    </w:tc>
                    <w:tc>
                      <w:tcPr>
                        <w:tcW w:w="636" w:type="dxa"/>
                        <w:tcBorders>
                          <w:top w:val="nil"/>
                          <w:left w:val="nil"/>
                          <w:bottom w:val="nil"/>
                          <w:right w:val="nil"/>
                        </w:tcBorders>
                      </w:tcPr>
                      <w:p>
                        <w:pPr>
                          <w:pStyle w:val="TableParagraph"/>
                          <w:spacing w:before="23"/>
                          <w:ind w:right="171"/>
                          <w:rPr>
                            <w:sz w:val="16"/>
                          </w:rPr>
                        </w:pPr>
                        <w:r>
                          <w:rPr>
                            <w:w w:val="85"/>
                            <w:sz w:val="16"/>
                          </w:rPr>
                          <w:t>9.1</w:t>
                        </w:r>
                      </w:p>
                    </w:tc>
                    <w:tc>
                      <w:tcPr>
                        <w:tcW w:w="649" w:type="dxa"/>
                        <w:tcBorders>
                          <w:top w:val="nil"/>
                          <w:left w:val="nil"/>
                          <w:bottom w:val="nil"/>
                          <w:right w:val="nil"/>
                        </w:tcBorders>
                      </w:tcPr>
                      <w:p>
                        <w:pPr>
                          <w:pStyle w:val="TableParagraph"/>
                          <w:spacing w:before="23"/>
                          <w:ind w:right="56"/>
                          <w:rPr>
                            <w:sz w:val="16"/>
                          </w:rPr>
                        </w:pPr>
                        <w:r>
                          <w:rPr>
                            <w:w w:val="85"/>
                            <w:sz w:val="16"/>
                          </w:rPr>
                          <w:t>10.9</w:t>
                        </w:r>
                      </w:p>
                    </w:tc>
                    <w:tc>
                      <w:tcPr>
                        <w:tcW w:w="988" w:type="dxa"/>
                        <w:tcBorders>
                          <w:top w:val="nil"/>
                          <w:left w:val="nil"/>
                          <w:bottom w:val="nil"/>
                          <w:right w:val="nil"/>
                        </w:tcBorders>
                      </w:tcPr>
                      <w:p>
                        <w:pPr>
                          <w:pStyle w:val="TableParagraph"/>
                          <w:spacing w:before="23"/>
                          <w:ind w:right="108"/>
                          <w:rPr>
                            <w:sz w:val="16"/>
                          </w:rPr>
                        </w:pPr>
                        <w:r>
                          <w:rPr>
                            <w:w w:val="90"/>
                            <w:sz w:val="16"/>
                          </w:rPr>
                          <w:t>564 449</w:t>
                        </w:r>
                      </w:p>
                    </w:tc>
                    <w:tc>
                      <w:tcPr>
                        <w:tcW w:w="734" w:type="dxa"/>
                        <w:tcBorders>
                          <w:top w:val="nil"/>
                          <w:left w:val="nil"/>
                          <w:bottom w:val="nil"/>
                          <w:right w:val="nil"/>
                        </w:tcBorders>
                      </w:tcPr>
                      <w:p>
                        <w:pPr>
                          <w:pStyle w:val="TableParagraph"/>
                          <w:spacing w:before="23"/>
                          <w:ind w:right="74"/>
                          <w:rPr>
                            <w:sz w:val="16"/>
                          </w:rPr>
                        </w:pPr>
                        <w:r>
                          <w:rPr>
                            <w:w w:val="85"/>
                            <w:sz w:val="16"/>
                          </w:rPr>
                          <w:t>51.5</w:t>
                        </w:r>
                      </w:p>
                    </w:tc>
                    <w:tc>
                      <w:tcPr>
                        <w:tcW w:w="656" w:type="dxa"/>
                        <w:tcBorders>
                          <w:top w:val="nil"/>
                          <w:left w:val="nil"/>
                          <w:bottom w:val="nil"/>
                          <w:right w:val="nil"/>
                        </w:tcBorders>
                      </w:tcPr>
                      <w:p>
                        <w:pPr>
                          <w:pStyle w:val="TableParagraph"/>
                          <w:spacing w:before="23"/>
                          <w:ind w:right="46"/>
                          <w:rPr>
                            <w:sz w:val="16"/>
                          </w:rPr>
                        </w:pPr>
                        <w:r>
                          <w:rPr>
                            <w:w w:val="85"/>
                            <w:sz w:val="16"/>
                          </w:rPr>
                          <w:t>1.9</w:t>
                        </w:r>
                      </w:p>
                    </w:tc>
                  </w:tr>
                  <w:tr>
                    <w:trPr>
                      <w:trHeight w:val="238" w:hRule="exact"/>
                    </w:trPr>
                    <w:tc>
                      <w:tcPr>
                        <w:tcW w:w="1055" w:type="dxa"/>
                        <w:tcBorders>
                          <w:top w:val="nil"/>
                          <w:left w:val="nil"/>
                          <w:bottom w:val="nil"/>
                          <w:right w:val="nil"/>
                        </w:tcBorders>
                      </w:tcPr>
                      <w:p>
                        <w:pPr>
                          <w:pStyle w:val="TableParagraph"/>
                          <w:spacing w:before="19"/>
                          <w:ind w:left="50"/>
                          <w:jc w:val="left"/>
                          <w:rPr>
                            <w:sz w:val="16"/>
                          </w:rPr>
                        </w:pPr>
                        <w:r>
                          <w:rPr>
                            <w:w w:val="95"/>
                            <w:sz w:val="16"/>
                          </w:rPr>
                          <w:t>Campeche</w:t>
                        </w:r>
                      </w:p>
                    </w:tc>
                    <w:tc>
                      <w:tcPr>
                        <w:tcW w:w="887" w:type="dxa"/>
                        <w:tcBorders>
                          <w:top w:val="nil"/>
                          <w:left w:val="nil"/>
                          <w:bottom w:val="nil"/>
                          <w:right w:val="nil"/>
                        </w:tcBorders>
                      </w:tcPr>
                      <w:p>
                        <w:pPr>
                          <w:pStyle w:val="TableParagraph"/>
                          <w:spacing w:before="19"/>
                          <w:ind w:right="61"/>
                          <w:rPr>
                            <w:sz w:val="16"/>
                          </w:rPr>
                        </w:pPr>
                        <w:r>
                          <w:rPr>
                            <w:w w:val="90"/>
                            <w:sz w:val="16"/>
                          </w:rPr>
                          <w:t>694 865</w:t>
                        </w:r>
                      </w:p>
                    </w:tc>
                    <w:tc>
                      <w:tcPr>
                        <w:tcW w:w="847" w:type="dxa"/>
                        <w:tcBorders>
                          <w:top w:val="nil"/>
                          <w:left w:val="nil"/>
                          <w:bottom w:val="nil"/>
                          <w:right w:val="nil"/>
                        </w:tcBorders>
                      </w:tcPr>
                      <w:p>
                        <w:pPr>
                          <w:pStyle w:val="TableParagraph"/>
                          <w:spacing w:before="19"/>
                          <w:ind w:left="175" w:right="-38"/>
                          <w:jc w:val="left"/>
                          <w:rPr>
                            <w:sz w:val="16"/>
                          </w:rPr>
                        </w:pPr>
                        <w:r>
                          <w:rPr>
                            <w:w w:val="90"/>
                            <w:sz w:val="16"/>
                          </w:rPr>
                          <w:t>176 369</w:t>
                        </w:r>
                      </w:p>
                    </w:tc>
                    <w:tc>
                      <w:tcPr>
                        <w:tcW w:w="636" w:type="dxa"/>
                        <w:tcBorders>
                          <w:top w:val="nil"/>
                          <w:left w:val="nil"/>
                          <w:bottom w:val="nil"/>
                          <w:right w:val="nil"/>
                        </w:tcBorders>
                      </w:tcPr>
                      <w:p>
                        <w:pPr>
                          <w:pStyle w:val="TableParagraph"/>
                          <w:spacing w:before="19"/>
                          <w:ind w:right="172"/>
                          <w:rPr>
                            <w:sz w:val="16"/>
                          </w:rPr>
                        </w:pPr>
                        <w:r>
                          <w:rPr>
                            <w:w w:val="85"/>
                            <w:sz w:val="16"/>
                          </w:rPr>
                          <w:t>25.4</w:t>
                        </w:r>
                      </w:p>
                    </w:tc>
                    <w:tc>
                      <w:tcPr>
                        <w:tcW w:w="649" w:type="dxa"/>
                        <w:tcBorders>
                          <w:top w:val="nil"/>
                          <w:left w:val="nil"/>
                          <w:bottom w:val="nil"/>
                          <w:right w:val="nil"/>
                        </w:tcBorders>
                      </w:tcPr>
                      <w:p>
                        <w:pPr>
                          <w:pStyle w:val="TableParagraph"/>
                          <w:spacing w:before="19"/>
                          <w:ind w:right="55"/>
                          <w:rPr>
                            <w:sz w:val="16"/>
                          </w:rPr>
                        </w:pPr>
                        <w:r>
                          <w:rPr>
                            <w:w w:val="85"/>
                            <w:sz w:val="16"/>
                          </w:rPr>
                          <w:t>3.9</w:t>
                        </w:r>
                      </w:p>
                    </w:tc>
                    <w:tc>
                      <w:tcPr>
                        <w:tcW w:w="988" w:type="dxa"/>
                        <w:tcBorders>
                          <w:top w:val="nil"/>
                          <w:left w:val="nil"/>
                          <w:bottom w:val="nil"/>
                          <w:right w:val="nil"/>
                        </w:tcBorders>
                      </w:tcPr>
                      <w:p>
                        <w:pPr>
                          <w:pStyle w:val="TableParagraph"/>
                          <w:spacing w:before="19"/>
                          <w:ind w:right="108"/>
                          <w:rPr>
                            <w:sz w:val="16"/>
                          </w:rPr>
                        </w:pPr>
                        <w:r>
                          <w:rPr>
                            <w:w w:val="90"/>
                            <w:sz w:val="16"/>
                          </w:rPr>
                          <w:t>553 565</w:t>
                        </w:r>
                      </w:p>
                    </w:tc>
                    <w:tc>
                      <w:tcPr>
                        <w:tcW w:w="734" w:type="dxa"/>
                        <w:tcBorders>
                          <w:top w:val="nil"/>
                          <w:left w:val="nil"/>
                          <w:bottom w:val="nil"/>
                          <w:right w:val="nil"/>
                        </w:tcBorders>
                      </w:tcPr>
                      <w:p>
                        <w:pPr>
                          <w:pStyle w:val="TableParagraph"/>
                          <w:spacing w:before="19"/>
                          <w:ind w:right="74"/>
                          <w:rPr>
                            <w:sz w:val="16"/>
                          </w:rPr>
                        </w:pPr>
                        <w:r>
                          <w:rPr>
                            <w:w w:val="85"/>
                            <w:sz w:val="16"/>
                          </w:rPr>
                          <w:t>79.7</w:t>
                        </w:r>
                      </w:p>
                    </w:tc>
                    <w:tc>
                      <w:tcPr>
                        <w:tcW w:w="656" w:type="dxa"/>
                        <w:tcBorders>
                          <w:top w:val="nil"/>
                          <w:left w:val="nil"/>
                          <w:bottom w:val="nil"/>
                          <w:right w:val="nil"/>
                        </w:tcBorders>
                      </w:tcPr>
                      <w:p>
                        <w:pPr>
                          <w:pStyle w:val="TableParagraph"/>
                          <w:spacing w:before="19"/>
                          <w:ind w:right="46"/>
                          <w:rPr>
                            <w:sz w:val="16"/>
                          </w:rPr>
                        </w:pPr>
                        <w:r>
                          <w:rPr>
                            <w:w w:val="85"/>
                            <w:sz w:val="16"/>
                          </w:rPr>
                          <w:t>1.3</w:t>
                        </w:r>
                      </w:p>
                    </w:tc>
                  </w:tr>
                  <w:tr>
                    <w:trPr>
                      <w:trHeight w:val="223" w:hRule="exact"/>
                    </w:trPr>
                    <w:tc>
                      <w:tcPr>
                        <w:tcW w:w="1055" w:type="dxa"/>
                        <w:tcBorders>
                          <w:top w:val="nil"/>
                          <w:left w:val="nil"/>
                          <w:bottom w:val="double" w:sz="3" w:space="0" w:color="000000"/>
                          <w:right w:val="nil"/>
                        </w:tcBorders>
                      </w:tcPr>
                      <w:p>
                        <w:pPr>
                          <w:pStyle w:val="TableParagraph"/>
                          <w:spacing w:before="21"/>
                          <w:ind w:left="50"/>
                          <w:jc w:val="left"/>
                          <w:rPr>
                            <w:sz w:val="16"/>
                          </w:rPr>
                        </w:pPr>
                        <w:r>
                          <w:rPr>
                            <w:w w:val="95"/>
                            <w:sz w:val="16"/>
                          </w:rPr>
                          <w:t>BCS</w:t>
                        </w:r>
                      </w:p>
                    </w:tc>
                    <w:tc>
                      <w:tcPr>
                        <w:tcW w:w="887" w:type="dxa"/>
                        <w:tcBorders>
                          <w:top w:val="nil"/>
                          <w:left w:val="nil"/>
                          <w:bottom w:val="double" w:sz="3" w:space="0" w:color="000000"/>
                          <w:right w:val="nil"/>
                        </w:tcBorders>
                      </w:tcPr>
                      <w:p>
                        <w:pPr>
                          <w:pStyle w:val="TableParagraph"/>
                          <w:spacing w:before="21"/>
                          <w:ind w:right="61"/>
                          <w:rPr>
                            <w:sz w:val="16"/>
                          </w:rPr>
                        </w:pPr>
                        <w:r>
                          <w:rPr>
                            <w:w w:val="90"/>
                            <w:sz w:val="16"/>
                          </w:rPr>
                          <w:t>425 762</w:t>
                        </w:r>
                      </w:p>
                    </w:tc>
                    <w:tc>
                      <w:tcPr>
                        <w:tcW w:w="847" w:type="dxa"/>
                        <w:tcBorders>
                          <w:top w:val="nil"/>
                          <w:left w:val="nil"/>
                          <w:bottom w:val="double" w:sz="3" w:space="0" w:color="000000"/>
                          <w:right w:val="nil"/>
                        </w:tcBorders>
                      </w:tcPr>
                      <w:p>
                        <w:pPr>
                          <w:pStyle w:val="TableParagraph"/>
                          <w:spacing w:before="21"/>
                          <w:ind w:left="245" w:right="-38"/>
                          <w:jc w:val="left"/>
                          <w:rPr>
                            <w:sz w:val="16"/>
                          </w:rPr>
                        </w:pPr>
                        <w:r>
                          <w:rPr>
                            <w:w w:val="90"/>
                            <w:sz w:val="16"/>
                          </w:rPr>
                          <w:t>16 272</w:t>
                        </w:r>
                      </w:p>
                    </w:tc>
                    <w:tc>
                      <w:tcPr>
                        <w:tcW w:w="636" w:type="dxa"/>
                        <w:tcBorders>
                          <w:top w:val="nil"/>
                          <w:left w:val="nil"/>
                          <w:bottom w:val="double" w:sz="3" w:space="0" w:color="000000"/>
                          <w:right w:val="nil"/>
                        </w:tcBorders>
                      </w:tcPr>
                      <w:p>
                        <w:pPr>
                          <w:pStyle w:val="TableParagraph"/>
                          <w:spacing w:before="21"/>
                          <w:ind w:right="171"/>
                          <w:rPr>
                            <w:sz w:val="16"/>
                          </w:rPr>
                        </w:pPr>
                        <w:r>
                          <w:rPr>
                            <w:w w:val="85"/>
                            <w:sz w:val="16"/>
                          </w:rPr>
                          <w:t>3.8</w:t>
                        </w:r>
                      </w:p>
                    </w:tc>
                    <w:tc>
                      <w:tcPr>
                        <w:tcW w:w="649" w:type="dxa"/>
                        <w:tcBorders>
                          <w:top w:val="nil"/>
                          <w:left w:val="nil"/>
                          <w:bottom w:val="double" w:sz="3" w:space="0" w:color="000000"/>
                          <w:right w:val="nil"/>
                        </w:tcBorders>
                      </w:tcPr>
                      <w:p>
                        <w:pPr>
                          <w:pStyle w:val="TableParagraph"/>
                          <w:spacing w:before="21"/>
                          <w:ind w:right="56"/>
                          <w:rPr>
                            <w:sz w:val="16"/>
                          </w:rPr>
                        </w:pPr>
                        <w:r>
                          <w:rPr>
                            <w:w w:val="85"/>
                            <w:sz w:val="16"/>
                          </w:rPr>
                          <w:t>26.2</w:t>
                        </w:r>
                      </w:p>
                    </w:tc>
                    <w:tc>
                      <w:tcPr>
                        <w:tcW w:w="988" w:type="dxa"/>
                        <w:tcBorders>
                          <w:top w:val="nil"/>
                          <w:left w:val="nil"/>
                          <w:bottom w:val="double" w:sz="3" w:space="0" w:color="000000"/>
                          <w:right w:val="nil"/>
                        </w:tcBorders>
                      </w:tcPr>
                      <w:p>
                        <w:pPr>
                          <w:pStyle w:val="TableParagraph"/>
                          <w:spacing w:before="21"/>
                          <w:ind w:right="108"/>
                          <w:rPr>
                            <w:sz w:val="16"/>
                          </w:rPr>
                        </w:pPr>
                        <w:r>
                          <w:rPr>
                            <w:w w:val="90"/>
                            <w:sz w:val="16"/>
                          </w:rPr>
                          <w:t>129 358</w:t>
                        </w:r>
                      </w:p>
                    </w:tc>
                    <w:tc>
                      <w:tcPr>
                        <w:tcW w:w="734" w:type="dxa"/>
                        <w:tcBorders>
                          <w:top w:val="nil"/>
                          <w:left w:val="nil"/>
                          <w:bottom w:val="double" w:sz="3" w:space="0" w:color="000000"/>
                          <w:right w:val="nil"/>
                        </w:tcBorders>
                      </w:tcPr>
                      <w:p>
                        <w:pPr>
                          <w:pStyle w:val="TableParagraph"/>
                          <w:spacing w:before="21"/>
                          <w:ind w:right="74"/>
                          <w:rPr>
                            <w:sz w:val="16"/>
                          </w:rPr>
                        </w:pPr>
                        <w:r>
                          <w:rPr>
                            <w:w w:val="85"/>
                            <w:sz w:val="16"/>
                          </w:rPr>
                          <w:t>30.4</w:t>
                        </w:r>
                      </w:p>
                    </w:tc>
                    <w:tc>
                      <w:tcPr>
                        <w:tcW w:w="656" w:type="dxa"/>
                        <w:tcBorders>
                          <w:top w:val="nil"/>
                          <w:left w:val="nil"/>
                          <w:bottom w:val="double" w:sz="3" w:space="0" w:color="000000"/>
                          <w:right w:val="nil"/>
                        </w:tcBorders>
                      </w:tcPr>
                      <w:p>
                        <w:pPr>
                          <w:pStyle w:val="TableParagraph"/>
                          <w:spacing w:before="21"/>
                          <w:ind w:right="46"/>
                          <w:rPr>
                            <w:sz w:val="16"/>
                          </w:rPr>
                        </w:pPr>
                        <w:r>
                          <w:rPr>
                            <w:w w:val="85"/>
                            <w:sz w:val="16"/>
                          </w:rPr>
                          <w:t>3.3</w:t>
                        </w:r>
                      </w:p>
                    </w:tc>
                  </w:tr>
                </w:tbl>
                <w:p>
                  <w:pPr>
                    <w:pStyle w:val="BodyText"/>
                  </w:pPr>
                </w:p>
              </w:txbxContent>
            </v:textbox>
            <w10:wrap type="none"/>
          </v:shape>
        </w:pict>
      </w:r>
      <w:r>
        <w:rPr>
          <w:w w:val="95"/>
          <w:sz w:val="16"/>
        </w:rPr>
        <w:t>Oportu-</w:t>
      </w:r>
    </w:p>
    <w:p>
      <w:pPr>
        <w:spacing w:after="0" w:line="113" w:lineRule="exact"/>
        <w:jc w:val="left"/>
        <w:rPr>
          <w:sz w:val="16"/>
        </w:rPr>
        <w:sectPr>
          <w:type w:val="continuous"/>
          <w:pgSz w:w="9360" w:h="13040"/>
          <w:pgMar w:top="0" w:bottom="0" w:left="1300" w:right="1300"/>
          <w:cols w:num="2" w:equalWidth="0">
            <w:col w:w="5809" w:space="105"/>
            <w:col w:w="846"/>
          </w:cols>
        </w:sectPr>
      </w:pPr>
    </w:p>
    <w:p>
      <w:pPr>
        <w:tabs>
          <w:tab w:pos="2994" w:val="left" w:leader="none"/>
        </w:tabs>
        <w:spacing w:line="169" w:lineRule="exact" w:before="0"/>
        <w:ind w:left="1451" w:right="117" w:firstLine="0"/>
        <w:jc w:val="left"/>
        <w:rPr>
          <w:sz w:val="16"/>
        </w:rPr>
      </w:pPr>
      <w:r>
        <w:rPr>
          <w:w w:val="95"/>
          <w:sz w:val="16"/>
        </w:rPr>
        <w:t>monetarias</w:t>
        <w:tab/>
        <w:t>ocampo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p>
    <w:p>
      <w:pPr>
        <w:spacing w:before="87"/>
        <w:ind w:left="234" w:right="117" w:firstLine="0"/>
        <w:jc w:val="left"/>
        <w:rPr>
          <w:sz w:val="13"/>
        </w:rPr>
      </w:pPr>
      <w:r>
        <w:rPr>
          <w:w w:val="85"/>
          <w:sz w:val="13"/>
        </w:rPr>
        <w:t>Fuente: elaboración propia a partir de Banxico.</w:t>
      </w:r>
    </w:p>
    <w:p>
      <w:pPr>
        <w:spacing w:after="0"/>
        <w:jc w:val="left"/>
        <w:rPr>
          <w:sz w:val="13"/>
        </w:rPr>
        <w:sectPr>
          <w:type w:val="continuous"/>
          <w:pgSz w:w="9360" w:h="13040"/>
          <w:pgMar w:top="0" w:bottom="0" w:left="1300" w:right="1300"/>
        </w:sectPr>
      </w:pPr>
    </w:p>
    <w:p>
      <w:pPr>
        <w:spacing w:before="45"/>
        <w:ind w:left="460" w:right="0" w:firstLine="0"/>
        <w:jc w:val="left"/>
        <w:rPr>
          <w:rFonts w:ascii="Arial" w:hAnsi="Arial"/>
          <w:sz w:val="20"/>
        </w:rPr>
      </w:pPr>
      <w:r>
        <w:rPr>
          <w:rFonts w:ascii="Arial" w:hAnsi="Arial"/>
          <w:color w:val="231F20"/>
          <w:w w:val="66"/>
          <w:sz w:val="20"/>
        </w:rPr>
        <w:t>Las</w:t>
      </w:r>
      <w:r>
        <w:rPr>
          <w:rFonts w:ascii="Arial" w:hAnsi="Arial"/>
          <w:color w:val="231F20"/>
          <w:spacing w:val="-1"/>
          <w:sz w:val="20"/>
        </w:rPr>
        <w:t> </w:t>
      </w:r>
      <w:r>
        <w:rPr>
          <w:rFonts w:ascii="Arial" w:hAnsi="Arial"/>
          <w:color w:val="231F20"/>
          <w:spacing w:val="-1"/>
          <w:w w:val="68"/>
          <w:sz w:val="20"/>
        </w:rPr>
        <w:t>remesa</w:t>
      </w:r>
      <w:r>
        <w:rPr>
          <w:rFonts w:ascii="Arial" w:hAnsi="Arial"/>
          <w:color w:val="231F20"/>
          <w:w w:val="68"/>
          <w:sz w:val="20"/>
        </w:rPr>
        <w:t>s</w:t>
      </w:r>
      <w:r>
        <w:rPr>
          <w:rFonts w:ascii="Arial" w:hAnsi="Arial"/>
          <w:color w:val="231F20"/>
          <w:sz w:val="20"/>
        </w:rPr>
        <w:t> </w:t>
      </w:r>
      <w:r>
        <w:rPr>
          <w:rFonts w:ascii="Arial" w:hAnsi="Arial"/>
          <w:color w:val="231F20"/>
          <w:w w:val="72"/>
          <w:sz w:val="20"/>
        </w:rPr>
        <w:t>indígenas</w:t>
      </w:r>
      <w:r>
        <w:rPr>
          <w:rFonts w:ascii="Arial" w:hAnsi="Arial"/>
          <w:color w:val="231F20"/>
          <w:spacing w:val="-1"/>
          <w:sz w:val="20"/>
        </w:rPr>
        <w:t> </w:t>
      </w:r>
      <w:r>
        <w:rPr>
          <w:rFonts w:ascii="Arial" w:hAnsi="Arial"/>
          <w:color w:val="231F20"/>
          <w:spacing w:val="-1"/>
          <w:w w:val="67"/>
          <w:sz w:val="20"/>
        </w:rPr>
        <w:t>com</w:t>
      </w:r>
      <w:r>
        <w:rPr>
          <w:rFonts w:ascii="Arial" w:hAnsi="Arial"/>
          <w:color w:val="231F20"/>
          <w:w w:val="67"/>
          <w:sz w:val="20"/>
        </w:rPr>
        <w:t>o</w:t>
      </w:r>
      <w:r>
        <w:rPr>
          <w:rFonts w:ascii="Arial" w:hAnsi="Arial"/>
          <w:color w:val="231F20"/>
          <w:spacing w:val="-1"/>
          <w:sz w:val="20"/>
        </w:rPr>
        <w:t> </w:t>
      </w:r>
      <w:r>
        <w:rPr>
          <w:rFonts w:ascii="Arial" w:hAnsi="Arial"/>
          <w:color w:val="231F20"/>
          <w:spacing w:val="-1"/>
          <w:w w:val="71"/>
          <w:sz w:val="20"/>
        </w:rPr>
        <w:t>complement</w:t>
      </w:r>
      <w:r>
        <w:rPr>
          <w:rFonts w:ascii="Arial" w:hAnsi="Arial"/>
          <w:color w:val="231F20"/>
          <w:w w:val="71"/>
          <w:sz w:val="20"/>
        </w:rPr>
        <w:t>o</w:t>
      </w:r>
      <w:r>
        <w:rPr>
          <w:rFonts w:ascii="Arial" w:hAnsi="Arial"/>
          <w:color w:val="231F20"/>
          <w:sz w:val="20"/>
        </w:rPr>
        <w:t> </w:t>
      </w:r>
      <w:r>
        <w:rPr>
          <w:rFonts w:ascii="Arial" w:hAnsi="Arial"/>
          <w:color w:val="231F20"/>
          <w:spacing w:val="-1"/>
          <w:w w:val="78"/>
          <w:sz w:val="20"/>
        </w:rPr>
        <w:t>a</w:t>
      </w:r>
      <w:r>
        <w:rPr>
          <w:rFonts w:ascii="Arial" w:hAnsi="Arial"/>
          <w:color w:val="231F20"/>
          <w:w w:val="78"/>
          <w:sz w:val="20"/>
        </w:rPr>
        <w:t>l</w:t>
      </w:r>
      <w:r>
        <w:rPr>
          <w:rFonts w:ascii="Arial" w:hAnsi="Arial"/>
          <w:color w:val="231F20"/>
          <w:spacing w:val="-1"/>
          <w:sz w:val="20"/>
        </w:rPr>
        <w:t> </w:t>
      </w:r>
      <w:r>
        <w:rPr>
          <w:rFonts w:ascii="Arial" w:hAnsi="Arial"/>
          <w:color w:val="231F20"/>
          <w:w w:val="73"/>
          <w:sz w:val="20"/>
        </w:rPr>
        <w:t>ingreso</w:t>
      </w:r>
      <w:r>
        <w:rPr>
          <w:rFonts w:ascii="Arial" w:hAnsi="Arial"/>
          <w:color w:val="231F20"/>
          <w:spacing w:val="-1"/>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67"/>
          <w:sz w:val="20"/>
        </w:rPr>
        <w:t>sus</w:t>
      </w:r>
      <w:r>
        <w:rPr>
          <w:rFonts w:ascii="Arial" w:hAnsi="Arial"/>
          <w:color w:val="231F20"/>
          <w:spacing w:val="-1"/>
          <w:sz w:val="20"/>
        </w:rPr>
        <w:t> </w:t>
      </w:r>
      <w:r>
        <w:rPr>
          <w:rFonts w:ascii="Arial" w:hAnsi="Arial"/>
          <w:color w:val="231F20"/>
          <w:w w:val="72"/>
          <w:sz w:val="20"/>
        </w:rPr>
        <w:t>mecanismos...</w:t>
      </w:r>
      <w:r>
        <w:rPr>
          <w:rFonts w:ascii="Arial" w:hAnsi="Arial"/>
          <w:color w:val="231F20"/>
          <w:spacing w:val="-1"/>
          <w:sz w:val="20"/>
        </w:rPr>
        <w:t> </w:t>
      </w:r>
      <w:r>
        <w:rPr>
          <w:rFonts w:ascii="Arial" w:hAnsi="Arial"/>
          <w:color w:val="231F20"/>
          <w:spacing w:val="-1"/>
          <w:w w:val="99"/>
          <w:sz w:val="20"/>
        </w:rPr>
        <w:t>/</w:t>
      </w:r>
      <w:r>
        <w:rPr>
          <w:rFonts w:ascii="Arial" w:hAnsi="Arial"/>
          <w:color w:val="231F20"/>
          <w:w w:val="47"/>
          <w:sz w:val="20"/>
        </w:rPr>
        <w:t>César</w:t>
      </w:r>
      <w:r>
        <w:rPr>
          <w:rFonts w:ascii="Arial" w:hAnsi="Arial"/>
          <w:color w:val="231F20"/>
          <w:spacing w:val="-17"/>
          <w:sz w:val="20"/>
        </w:rPr>
        <w:t> </w:t>
      </w:r>
      <w:r>
        <w:rPr>
          <w:rFonts w:ascii="Arial" w:hAnsi="Arial"/>
          <w:color w:val="231F20"/>
          <w:spacing w:val="-1"/>
          <w:w w:val="52"/>
          <w:sz w:val="20"/>
        </w:rPr>
        <w:t>Raú</w:t>
      </w:r>
      <w:r>
        <w:rPr>
          <w:rFonts w:ascii="Arial" w:hAnsi="Arial"/>
          <w:color w:val="231F20"/>
          <w:w w:val="52"/>
          <w:sz w:val="20"/>
        </w:rPr>
        <w:t>l</w:t>
      </w:r>
      <w:r>
        <w:rPr>
          <w:rFonts w:ascii="Arial" w:hAnsi="Arial"/>
          <w:color w:val="231F20"/>
          <w:spacing w:val="-17"/>
          <w:sz w:val="20"/>
        </w:rPr>
        <w:t> </w:t>
      </w:r>
      <w:r>
        <w:rPr>
          <w:rFonts w:ascii="Arial" w:hAnsi="Arial"/>
          <w:color w:val="231F20"/>
          <w:w w:val="52"/>
          <w:sz w:val="20"/>
        </w:rPr>
        <w:t>Pérez-Marcial</w:t>
      </w:r>
    </w:p>
    <w:p>
      <w:pPr>
        <w:pStyle w:val="BodyText"/>
        <w:spacing w:before="10"/>
        <w:rPr>
          <w:rFonts w:ascii="Arial"/>
          <w:sz w:val="27"/>
        </w:rPr>
      </w:pPr>
    </w:p>
    <w:p>
      <w:pPr>
        <w:pStyle w:val="Heading3"/>
        <w:spacing w:before="0"/>
      </w:pPr>
      <w:r>
        <w:rPr>
          <w:color w:val="231F20"/>
        </w:rPr>
        <w:t>Remesas monetarias indígenas</w:t>
      </w:r>
    </w:p>
    <w:p>
      <w:pPr>
        <w:pStyle w:val="BodyText"/>
        <w:spacing w:line="247" w:lineRule="auto" w:before="172"/>
        <w:ind w:left="117" w:right="115"/>
        <w:jc w:val="both"/>
      </w:pPr>
      <w:r>
        <w:rPr>
          <w:color w:val="231F20"/>
        </w:rPr>
        <w:t>Desde la perspectiva de los lugares donde se generan las remesas interna- cionales</w:t>
      </w:r>
      <w:r>
        <w:rPr>
          <w:color w:val="231F20"/>
          <w:spacing w:val="-15"/>
        </w:rPr>
        <w:t> </w:t>
      </w:r>
      <w:r>
        <w:rPr>
          <w:color w:val="231F20"/>
        </w:rPr>
        <w:t>que</w:t>
      </w:r>
      <w:r>
        <w:rPr>
          <w:color w:val="231F20"/>
          <w:spacing w:val="-15"/>
        </w:rPr>
        <w:t> </w:t>
      </w:r>
      <w:r>
        <w:rPr>
          <w:color w:val="231F20"/>
        </w:rPr>
        <w:t>fluyen</w:t>
      </w:r>
      <w:r>
        <w:rPr>
          <w:color w:val="231F20"/>
          <w:spacing w:val="-15"/>
        </w:rPr>
        <w:t> </w:t>
      </w:r>
      <w:r>
        <w:rPr>
          <w:color w:val="231F20"/>
        </w:rPr>
        <w:t>hacia</w:t>
      </w:r>
      <w:r>
        <w:rPr>
          <w:color w:val="231F20"/>
          <w:spacing w:val="-15"/>
        </w:rPr>
        <w:t> </w:t>
      </w:r>
      <w:r>
        <w:rPr>
          <w:color w:val="231F20"/>
        </w:rPr>
        <w:t>México</w:t>
      </w:r>
      <w:r>
        <w:rPr>
          <w:color w:val="231F20"/>
          <w:spacing w:val="-15"/>
        </w:rPr>
        <w:t> </w:t>
      </w:r>
      <w:r>
        <w:rPr>
          <w:color w:val="231F20"/>
        </w:rPr>
        <w:t>existe</w:t>
      </w:r>
      <w:r>
        <w:rPr>
          <w:color w:val="231F20"/>
          <w:spacing w:val="-15"/>
        </w:rPr>
        <w:t> </w:t>
      </w:r>
      <w:r>
        <w:rPr>
          <w:color w:val="231F20"/>
        </w:rPr>
        <w:t>cierta</w:t>
      </w:r>
      <w:r>
        <w:rPr>
          <w:color w:val="231F20"/>
          <w:spacing w:val="-15"/>
        </w:rPr>
        <w:t> </w:t>
      </w:r>
      <w:r>
        <w:rPr>
          <w:color w:val="231F20"/>
        </w:rPr>
        <w:t>correspondencia</w:t>
      </w:r>
      <w:r>
        <w:rPr>
          <w:color w:val="231F20"/>
          <w:spacing w:val="-15"/>
        </w:rPr>
        <w:t> </w:t>
      </w:r>
      <w:r>
        <w:rPr>
          <w:color w:val="231F20"/>
        </w:rPr>
        <w:t>con</w:t>
      </w:r>
      <w:r>
        <w:rPr>
          <w:color w:val="231F20"/>
          <w:spacing w:val="-15"/>
        </w:rPr>
        <w:t> </w:t>
      </w:r>
      <w:r>
        <w:rPr>
          <w:color w:val="231F20"/>
        </w:rPr>
        <w:t>estados y</w:t>
      </w:r>
      <w:r>
        <w:rPr>
          <w:color w:val="231F20"/>
          <w:spacing w:val="-10"/>
        </w:rPr>
        <w:t> </w:t>
      </w:r>
      <w:r>
        <w:rPr>
          <w:color w:val="231F20"/>
        </w:rPr>
        <w:t>condados</w:t>
      </w:r>
      <w:r>
        <w:rPr>
          <w:color w:val="231F20"/>
          <w:spacing w:val="-10"/>
        </w:rPr>
        <w:t> </w:t>
      </w:r>
      <w:r>
        <w:rPr>
          <w:color w:val="231F20"/>
        </w:rPr>
        <w:t>donde</w:t>
      </w:r>
      <w:r>
        <w:rPr>
          <w:color w:val="231F20"/>
          <w:spacing w:val="-10"/>
        </w:rPr>
        <w:t> </w:t>
      </w:r>
      <w:r>
        <w:rPr>
          <w:color w:val="231F20"/>
        </w:rPr>
        <w:t>trabaja</w:t>
      </w:r>
      <w:r>
        <w:rPr>
          <w:color w:val="231F20"/>
          <w:spacing w:val="-10"/>
        </w:rPr>
        <w:t> </w:t>
      </w:r>
      <w:r>
        <w:rPr>
          <w:color w:val="231F20"/>
        </w:rPr>
        <w:t>y</w:t>
      </w:r>
      <w:r>
        <w:rPr>
          <w:color w:val="231F20"/>
          <w:spacing w:val="-10"/>
        </w:rPr>
        <w:t> </w:t>
      </w:r>
      <w:r>
        <w:rPr>
          <w:color w:val="231F20"/>
        </w:rPr>
        <w:t>reside</w:t>
      </w:r>
      <w:r>
        <w:rPr>
          <w:color w:val="231F20"/>
          <w:spacing w:val="-10"/>
        </w:rPr>
        <w:t> </w:t>
      </w:r>
      <w:r>
        <w:rPr>
          <w:color w:val="231F20"/>
        </w:rPr>
        <w:t>la</w:t>
      </w:r>
      <w:r>
        <w:rPr>
          <w:color w:val="231F20"/>
          <w:spacing w:val="-10"/>
        </w:rPr>
        <w:t> </w:t>
      </w:r>
      <w:r>
        <w:rPr>
          <w:color w:val="231F20"/>
        </w:rPr>
        <w:t>población</w:t>
      </w:r>
      <w:r>
        <w:rPr>
          <w:color w:val="231F20"/>
          <w:spacing w:val="-10"/>
        </w:rPr>
        <w:t> </w:t>
      </w:r>
      <w:r>
        <w:rPr>
          <w:color w:val="231F20"/>
        </w:rPr>
        <w:t>mexicana.</w:t>
      </w:r>
      <w:r>
        <w:rPr>
          <w:color w:val="231F20"/>
          <w:spacing w:val="-10"/>
        </w:rPr>
        <w:t> </w:t>
      </w:r>
      <w:r>
        <w:rPr>
          <w:color w:val="231F20"/>
        </w:rPr>
        <w:t>Sin</w:t>
      </w:r>
      <w:r>
        <w:rPr>
          <w:color w:val="231F20"/>
          <w:spacing w:val="-10"/>
        </w:rPr>
        <w:t> </w:t>
      </w:r>
      <w:r>
        <w:rPr>
          <w:color w:val="231F20"/>
        </w:rPr>
        <w:t>embargo,</w:t>
      </w:r>
      <w:r>
        <w:rPr>
          <w:color w:val="231F20"/>
          <w:spacing w:val="-10"/>
        </w:rPr>
        <w:t> </w:t>
      </w:r>
      <w:r>
        <w:rPr>
          <w:color w:val="231F20"/>
        </w:rPr>
        <w:t>los flujos de remesas siguen patrones más específicos debido a la distribución del</w:t>
      </w:r>
      <w:r>
        <w:rPr>
          <w:color w:val="231F20"/>
          <w:spacing w:val="-9"/>
        </w:rPr>
        <w:t> </w:t>
      </w:r>
      <w:r>
        <w:rPr>
          <w:color w:val="231F20"/>
        </w:rPr>
        <w:t>mercado</w:t>
      </w:r>
      <w:r>
        <w:rPr>
          <w:color w:val="231F20"/>
          <w:spacing w:val="-9"/>
        </w:rPr>
        <w:t> </w:t>
      </w:r>
      <w:r>
        <w:rPr>
          <w:color w:val="231F20"/>
        </w:rPr>
        <w:t>laboral</w:t>
      </w:r>
      <w:r>
        <w:rPr>
          <w:color w:val="231F20"/>
          <w:spacing w:val="-9"/>
        </w:rPr>
        <w:t> </w:t>
      </w:r>
      <w:r>
        <w:rPr>
          <w:color w:val="231F20"/>
        </w:rPr>
        <w:t>donde</w:t>
      </w:r>
      <w:r>
        <w:rPr>
          <w:color w:val="231F20"/>
          <w:spacing w:val="-9"/>
        </w:rPr>
        <w:t> </w:t>
      </w:r>
      <w:r>
        <w:rPr>
          <w:color w:val="231F20"/>
        </w:rPr>
        <w:t>se</w:t>
      </w:r>
      <w:r>
        <w:rPr>
          <w:color w:val="231F20"/>
          <w:spacing w:val="-9"/>
        </w:rPr>
        <w:t> </w:t>
      </w:r>
      <w:r>
        <w:rPr>
          <w:color w:val="231F20"/>
        </w:rPr>
        <w:t>insertan</w:t>
      </w:r>
      <w:r>
        <w:rPr>
          <w:color w:val="231F20"/>
          <w:spacing w:val="-10"/>
        </w:rPr>
        <w:t> </w:t>
      </w:r>
      <w:r>
        <w:rPr>
          <w:color w:val="231F20"/>
        </w:rPr>
        <w:t>los</w:t>
      </w:r>
      <w:r>
        <w:rPr>
          <w:color w:val="231F20"/>
          <w:spacing w:val="-9"/>
        </w:rPr>
        <w:t> </w:t>
      </w:r>
      <w:r>
        <w:rPr>
          <w:color w:val="231F20"/>
        </w:rPr>
        <w:t>migrantes</w:t>
      </w:r>
      <w:r>
        <w:rPr>
          <w:color w:val="231F20"/>
          <w:spacing w:val="-10"/>
        </w:rPr>
        <w:t> </w:t>
      </w:r>
      <w:r>
        <w:rPr>
          <w:color w:val="231F20"/>
        </w:rPr>
        <w:t>y</w:t>
      </w:r>
      <w:r>
        <w:rPr>
          <w:color w:val="231F20"/>
          <w:spacing w:val="-9"/>
        </w:rPr>
        <w:t> </w:t>
      </w:r>
      <w:r>
        <w:rPr>
          <w:color w:val="231F20"/>
        </w:rPr>
        <w:t>los</w:t>
      </w:r>
      <w:r>
        <w:rPr>
          <w:color w:val="231F20"/>
          <w:spacing w:val="-9"/>
        </w:rPr>
        <w:t> </w:t>
      </w:r>
      <w:r>
        <w:rPr>
          <w:color w:val="231F20"/>
        </w:rPr>
        <w:t>lugares</w:t>
      </w:r>
      <w:r>
        <w:rPr>
          <w:color w:val="231F20"/>
          <w:spacing w:val="-10"/>
        </w:rPr>
        <w:t> </w:t>
      </w:r>
      <w:r>
        <w:rPr>
          <w:color w:val="231F20"/>
        </w:rPr>
        <w:t>de</w:t>
      </w:r>
      <w:r>
        <w:rPr>
          <w:color w:val="231F20"/>
          <w:spacing w:val="-9"/>
        </w:rPr>
        <w:t> </w:t>
      </w:r>
      <w:r>
        <w:rPr>
          <w:color w:val="231F20"/>
        </w:rPr>
        <w:t>origen de la mano de</w:t>
      </w:r>
      <w:r>
        <w:rPr>
          <w:color w:val="231F20"/>
          <w:spacing w:val="-1"/>
        </w:rPr>
        <w:t> </w:t>
      </w:r>
      <w:r>
        <w:rPr>
          <w:color w:val="231F20"/>
        </w:rPr>
        <w:t>obra.</w:t>
      </w:r>
    </w:p>
    <w:p>
      <w:pPr>
        <w:pStyle w:val="BodyText"/>
        <w:spacing w:line="247" w:lineRule="auto"/>
        <w:ind w:left="117" w:right="115" w:firstLine="283"/>
        <w:jc w:val="both"/>
      </w:pPr>
      <w:r>
        <w:rPr>
          <w:color w:val="231F20"/>
        </w:rPr>
        <w:t>El Banco Mundial y la Asia-Pacific Economic Cooperation (APEC) (Hernández-Coss, 2004) estudiaron los cambios de los flujos de remesas  y presentan información de las ciudades en Estados Unidos desde donde se generan los envíos. En esta investigación, participaron la Secretaría de Relaciones Exteriores y consulados de México, revelaron los patrones te- rritoriales que vinculan la migración entre ciudades de México y Estados Unidos,</w:t>
      </w:r>
      <w:r>
        <w:rPr>
          <w:color w:val="231F20"/>
          <w:spacing w:val="-7"/>
        </w:rPr>
        <w:t> </w:t>
      </w:r>
      <w:r>
        <w:rPr>
          <w:color w:val="231F20"/>
        </w:rPr>
        <w:t>permitiendo</w:t>
      </w:r>
      <w:r>
        <w:rPr>
          <w:color w:val="231F20"/>
          <w:spacing w:val="-7"/>
        </w:rPr>
        <w:t> </w:t>
      </w:r>
      <w:r>
        <w:rPr>
          <w:color w:val="231F20"/>
        </w:rPr>
        <w:t>definir</w:t>
      </w:r>
      <w:r>
        <w:rPr>
          <w:color w:val="231F20"/>
          <w:spacing w:val="-7"/>
        </w:rPr>
        <w:t> </w:t>
      </w:r>
      <w:r>
        <w:rPr>
          <w:color w:val="231F20"/>
        </w:rPr>
        <w:t>corredores</w:t>
      </w:r>
      <w:r>
        <w:rPr>
          <w:color w:val="231F20"/>
          <w:spacing w:val="-7"/>
        </w:rPr>
        <w:t> </w:t>
      </w:r>
      <w:r>
        <w:rPr>
          <w:color w:val="231F20"/>
        </w:rPr>
        <w:t>y</w:t>
      </w:r>
      <w:r>
        <w:rPr>
          <w:color w:val="231F20"/>
          <w:spacing w:val="-7"/>
        </w:rPr>
        <w:t> </w:t>
      </w:r>
      <w:r>
        <w:rPr>
          <w:color w:val="231F20"/>
        </w:rPr>
        <w:t>estimar</w:t>
      </w:r>
      <w:r>
        <w:rPr>
          <w:color w:val="231F20"/>
          <w:spacing w:val="-7"/>
        </w:rPr>
        <w:t> </w:t>
      </w:r>
      <w:r>
        <w:rPr>
          <w:color w:val="231F20"/>
        </w:rPr>
        <w:t>además</w:t>
      </w:r>
      <w:r>
        <w:rPr>
          <w:color w:val="231F20"/>
          <w:spacing w:val="-7"/>
        </w:rPr>
        <w:t> </w:t>
      </w:r>
      <w:r>
        <w:rPr>
          <w:color w:val="231F20"/>
        </w:rPr>
        <w:t>el</w:t>
      </w:r>
      <w:r>
        <w:rPr>
          <w:color w:val="231F20"/>
          <w:spacing w:val="-7"/>
        </w:rPr>
        <w:t> </w:t>
      </w:r>
      <w:r>
        <w:rPr>
          <w:color w:val="231F20"/>
        </w:rPr>
        <w:t>número</w:t>
      </w:r>
      <w:r>
        <w:rPr>
          <w:color w:val="231F20"/>
          <w:spacing w:val="-7"/>
        </w:rPr>
        <w:t> </w:t>
      </w:r>
      <w:r>
        <w:rPr>
          <w:color w:val="231F20"/>
        </w:rPr>
        <w:t>de</w:t>
      </w:r>
      <w:r>
        <w:rPr>
          <w:color w:val="231F20"/>
          <w:spacing w:val="-7"/>
        </w:rPr>
        <w:t> </w:t>
      </w:r>
      <w:r>
        <w:rPr>
          <w:color w:val="231F20"/>
        </w:rPr>
        <w:t>mi- grantes por jurisdicción (incluyendo a</w:t>
      </w:r>
      <w:r>
        <w:rPr>
          <w:color w:val="231F20"/>
          <w:spacing w:val="-1"/>
        </w:rPr>
        <w:t> </w:t>
      </w:r>
      <w:r>
        <w:rPr>
          <w:color w:val="231F20"/>
        </w:rPr>
        <w:t>indocumentados).</w:t>
      </w:r>
    </w:p>
    <w:p>
      <w:pPr>
        <w:pStyle w:val="BodyText"/>
        <w:spacing w:line="247" w:lineRule="auto"/>
        <w:ind w:left="117" w:right="115" w:firstLine="283"/>
        <w:jc w:val="both"/>
      </w:pPr>
      <w:r>
        <w:rPr>
          <w:color w:val="231F20"/>
        </w:rPr>
        <w:t>La</w:t>
      </w:r>
      <w:r>
        <w:rPr>
          <w:color w:val="231F20"/>
          <w:spacing w:val="-8"/>
        </w:rPr>
        <w:t> </w:t>
      </w:r>
      <w:r>
        <w:rPr>
          <w:color w:val="231F20"/>
        </w:rPr>
        <w:t>identificación</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patrones</w:t>
      </w:r>
      <w:r>
        <w:rPr>
          <w:color w:val="231F20"/>
          <w:spacing w:val="-8"/>
        </w:rPr>
        <w:t> </w:t>
      </w:r>
      <w:r>
        <w:rPr>
          <w:color w:val="231F20"/>
        </w:rPr>
        <w:t>espaciales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principales</w:t>
      </w:r>
      <w:r>
        <w:rPr>
          <w:color w:val="231F20"/>
          <w:spacing w:val="-8"/>
        </w:rPr>
        <w:t> </w:t>
      </w:r>
      <w:r>
        <w:rPr>
          <w:color w:val="231F20"/>
        </w:rPr>
        <w:t>flujos</w:t>
      </w:r>
      <w:r>
        <w:rPr>
          <w:color w:val="231F20"/>
          <w:spacing w:val="-8"/>
        </w:rPr>
        <w:t> </w:t>
      </w:r>
      <w:r>
        <w:rPr>
          <w:color w:val="231F20"/>
        </w:rPr>
        <w:t>en- tre</w:t>
      </w:r>
      <w:r>
        <w:rPr>
          <w:color w:val="231F20"/>
          <w:spacing w:val="-11"/>
        </w:rPr>
        <w:t> </w:t>
      </w:r>
      <w:r>
        <w:rPr>
          <w:color w:val="231F20"/>
        </w:rPr>
        <w:t>Estados</w:t>
      </w:r>
      <w:r>
        <w:rPr>
          <w:color w:val="231F20"/>
          <w:spacing w:val="-12"/>
        </w:rPr>
        <w:t> </w:t>
      </w:r>
      <w:r>
        <w:rPr>
          <w:color w:val="231F20"/>
        </w:rPr>
        <w:t>Unidos</w:t>
      </w:r>
      <w:r>
        <w:rPr>
          <w:color w:val="231F20"/>
          <w:spacing w:val="-11"/>
        </w:rPr>
        <w:t> </w:t>
      </w:r>
      <w:r>
        <w:rPr>
          <w:color w:val="231F20"/>
        </w:rPr>
        <w:t>y</w:t>
      </w:r>
      <w:r>
        <w:rPr>
          <w:color w:val="231F20"/>
          <w:spacing w:val="-11"/>
        </w:rPr>
        <w:t> </w:t>
      </w:r>
      <w:r>
        <w:rPr>
          <w:color w:val="231F20"/>
        </w:rPr>
        <w:t>México</w:t>
      </w:r>
      <w:r>
        <w:rPr>
          <w:color w:val="231F20"/>
          <w:spacing w:val="-11"/>
        </w:rPr>
        <w:t> </w:t>
      </w:r>
      <w:r>
        <w:rPr>
          <w:color w:val="231F20"/>
        </w:rPr>
        <w:t>se</w:t>
      </w:r>
      <w:r>
        <w:rPr>
          <w:color w:val="231F20"/>
          <w:spacing w:val="-11"/>
        </w:rPr>
        <w:t> </w:t>
      </w:r>
      <w:r>
        <w:rPr>
          <w:color w:val="231F20"/>
        </w:rPr>
        <w:t>realizó</w:t>
      </w:r>
      <w:r>
        <w:rPr>
          <w:color w:val="231F20"/>
          <w:spacing w:val="-11"/>
        </w:rPr>
        <w:t> </w:t>
      </w:r>
      <w:r>
        <w:rPr>
          <w:color w:val="231F20"/>
        </w:rPr>
        <w:t>con</w:t>
      </w:r>
      <w:r>
        <w:rPr>
          <w:color w:val="231F20"/>
          <w:spacing w:val="-11"/>
        </w:rPr>
        <w:t> </w:t>
      </w:r>
      <w:r>
        <w:rPr>
          <w:color w:val="231F20"/>
        </w:rPr>
        <w:t>base</w:t>
      </w:r>
      <w:r>
        <w:rPr>
          <w:color w:val="231F20"/>
          <w:spacing w:val="-11"/>
        </w:rPr>
        <w:t> </w:t>
      </w:r>
      <w:r>
        <w:rPr>
          <w:color w:val="231F20"/>
        </w:rPr>
        <w:t>en</w:t>
      </w:r>
      <w:r>
        <w:rPr>
          <w:color w:val="231F20"/>
          <w:spacing w:val="-11"/>
        </w:rPr>
        <w:t> </w:t>
      </w:r>
      <w:r>
        <w:rPr>
          <w:color w:val="231F20"/>
        </w:rPr>
        <w:t>una</w:t>
      </w:r>
      <w:r>
        <w:rPr>
          <w:color w:val="231F20"/>
          <w:spacing w:val="-11"/>
        </w:rPr>
        <w:t> </w:t>
      </w:r>
      <w:r>
        <w:rPr>
          <w:color w:val="231F20"/>
        </w:rPr>
        <w:t>regionalización</w:t>
      </w:r>
      <w:r>
        <w:rPr>
          <w:color w:val="231F20"/>
          <w:spacing w:val="-11"/>
        </w:rPr>
        <w:t> </w:t>
      </w:r>
      <w:r>
        <w:rPr>
          <w:color w:val="231F20"/>
        </w:rPr>
        <w:t>del proceso en Estados Unidos, dando como resultado la definición de cuatro áreas: el Noreste, Centro Este, Sur y Oeste. La región Noreste comprende una de las zonas más pobladas y urbanizadas de Estados Unidos desde las cuales</w:t>
      </w:r>
      <w:r>
        <w:rPr>
          <w:color w:val="231F20"/>
          <w:spacing w:val="-9"/>
        </w:rPr>
        <w:t> </w:t>
      </w:r>
      <w:r>
        <w:rPr>
          <w:color w:val="231F20"/>
        </w:rPr>
        <w:t>se</w:t>
      </w:r>
      <w:r>
        <w:rPr>
          <w:color w:val="231F20"/>
          <w:spacing w:val="-9"/>
        </w:rPr>
        <w:t> </w:t>
      </w:r>
      <w:r>
        <w:rPr>
          <w:color w:val="231F20"/>
        </w:rPr>
        <w:t>generan</w:t>
      </w:r>
      <w:r>
        <w:rPr>
          <w:color w:val="231F20"/>
          <w:spacing w:val="-9"/>
        </w:rPr>
        <w:t> </w:t>
      </w:r>
      <w:r>
        <w:rPr>
          <w:color w:val="231F20"/>
        </w:rPr>
        <w:t>los</w:t>
      </w:r>
      <w:r>
        <w:rPr>
          <w:color w:val="231F20"/>
          <w:spacing w:val="-8"/>
        </w:rPr>
        <w:t> </w:t>
      </w:r>
      <w:r>
        <w:rPr>
          <w:color w:val="231F20"/>
        </w:rPr>
        <w:t>principales</w:t>
      </w:r>
      <w:r>
        <w:rPr>
          <w:color w:val="231F20"/>
          <w:spacing w:val="-9"/>
        </w:rPr>
        <w:t> </w:t>
      </w:r>
      <w:r>
        <w:rPr>
          <w:color w:val="231F20"/>
        </w:rPr>
        <w:t>flujos</w:t>
      </w:r>
      <w:r>
        <w:rPr>
          <w:color w:val="231F20"/>
          <w:spacing w:val="-8"/>
        </w:rPr>
        <w:t> </w:t>
      </w:r>
      <w:r>
        <w:rPr>
          <w:color w:val="231F20"/>
        </w:rPr>
        <w:t>de</w:t>
      </w:r>
      <w:r>
        <w:rPr>
          <w:color w:val="231F20"/>
          <w:spacing w:val="-9"/>
        </w:rPr>
        <w:t> </w:t>
      </w:r>
      <w:r>
        <w:rPr>
          <w:color w:val="231F20"/>
        </w:rPr>
        <w:t>remesas</w:t>
      </w:r>
      <w:r>
        <w:rPr>
          <w:color w:val="231F20"/>
          <w:spacing w:val="-9"/>
        </w:rPr>
        <w:t> </w:t>
      </w:r>
      <w:r>
        <w:rPr>
          <w:color w:val="231F20"/>
        </w:rPr>
        <w:t>hacia</w:t>
      </w:r>
      <w:r>
        <w:rPr>
          <w:color w:val="231F20"/>
          <w:spacing w:val="-9"/>
        </w:rPr>
        <w:t> </w:t>
      </w:r>
      <w:r>
        <w:rPr>
          <w:color w:val="231F20"/>
        </w:rPr>
        <w:t>México.</w:t>
      </w:r>
      <w:r>
        <w:rPr>
          <w:color w:val="231F20"/>
          <w:spacing w:val="-9"/>
        </w:rPr>
        <w:t> </w:t>
      </w:r>
      <w:r>
        <w:rPr>
          <w:color w:val="231F20"/>
        </w:rPr>
        <w:t>Su</w:t>
      </w:r>
      <w:r>
        <w:rPr>
          <w:color w:val="231F20"/>
          <w:spacing w:val="-8"/>
        </w:rPr>
        <w:t> </w:t>
      </w:r>
      <w:r>
        <w:rPr>
          <w:color w:val="231F20"/>
        </w:rPr>
        <w:t>punto clave</w:t>
      </w:r>
      <w:r>
        <w:rPr>
          <w:color w:val="231F20"/>
          <w:spacing w:val="-9"/>
        </w:rPr>
        <w:t> </w:t>
      </w:r>
      <w:r>
        <w:rPr>
          <w:color w:val="231F20"/>
        </w:rPr>
        <w:t>es</w:t>
      </w:r>
      <w:r>
        <w:rPr>
          <w:color w:val="231F20"/>
          <w:spacing w:val="-9"/>
        </w:rPr>
        <w:t> </w:t>
      </w:r>
      <w:r>
        <w:rPr>
          <w:color w:val="231F20"/>
        </w:rPr>
        <w:t>Nueva</w:t>
      </w:r>
      <w:r>
        <w:rPr>
          <w:color w:val="231F20"/>
          <w:spacing w:val="-16"/>
        </w:rPr>
        <w:t> </w:t>
      </w:r>
      <w:r>
        <w:rPr>
          <w:color w:val="231F20"/>
          <w:spacing w:val="-6"/>
        </w:rPr>
        <w:t>York</w:t>
      </w:r>
      <w:r>
        <w:rPr>
          <w:color w:val="231F20"/>
          <w:spacing w:val="-9"/>
        </w:rPr>
        <w:t> </w:t>
      </w:r>
      <w:r>
        <w:rPr>
          <w:color w:val="231F20"/>
        </w:rPr>
        <w:t>donde</w:t>
      </w:r>
      <w:r>
        <w:rPr>
          <w:color w:val="231F20"/>
          <w:spacing w:val="-8"/>
        </w:rPr>
        <w:t> </w:t>
      </w:r>
      <w:r>
        <w:rPr>
          <w:color w:val="231F20"/>
        </w:rPr>
        <w:t>trabaja</w:t>
      </w:r>
      <w:r>
        <w:rPr>
          <w:color w:val="231F20"/>
          <w:spacing w:val="-9"/>
        </w:rPr>
        <w:t> </w:t>
      </w:r>
      <w:r>
        <w:rPr>
          <w:color w:val="231F20"/>
        </w:rPr>
        <w:t>más</w:t>
      </w:r>
      <w:r>
        <w:rPr>
          <w:color w:val="231F20"/>
          <w:spacing w:val="-9"/>
        </w:rPr>
        <w:t> </w:t>
      </w:r>
      <w:r>
        <w:rPr>
          <w:color w:val="231F20"/>
        </w:rPr>
        <w:t>de</w:t>
      </w:r>
      <w:r>
        <w:rPr>
          <w:color w:val="231F20"/>
          <w:spacing w:val="-8"/>
        </w:rPr>
        <w:t> </w:t>
      </w:r>
      <w:r>
        <w:rPr>
          <w:color w:val="231F20"/>
        </w:rPr>
        <w:t>un</w:t>
      </w:r>
      <w:r>
        <w:rPr>
          <w:color w:val="231F20"/>
          <w:spacing w:val="-9"/>
        </w:rPr>
        <w:t> </w:t>
      </w:r>
      <w:r>
        <w:rPr>
          <w:color w:val="231F20"/>
        </w:rPr>
        <w:t>millón</w:t>
      </w:r>
      <w:r>
        <w:rPr>
          <w:color w:val="231F20"/>
          <w:spacing w:val="-9"/>
        </w:rPr>
        <w:t> </w:t>
      </w:r>
      <w:r>
        <w:rPr>
          <w:color w:val="231F20"/>
        </w:rPr>
        <w:t>de</w:t>
      </w:r>
      <w:r>
        <w:rPr>
          <w:color w:val="231F20"/>
          <w:spacing w:val="-8"/>
        </w:rPr>
        <w:t> </w:t>
      </w:r>
      <w:r>
        <w:rPr>
          <w:color w:val="231F20"/>
        </w:rPr>
        <w:t>mexicanos</w:t>
      </w:r>
      <w:r>
        <w:rPr>
          <w:color w:val="231F20"/>
          <w:spacing w:val="-9"/>
        </w:rPr>
        <w:t> </w:t>
      </w:r>
      <w:r>
        <w:rPr>
          <w:color w:val="231F20"/>
        </w:rPr>
        <w:t>de</w:t>
      </w:r>
      <w:r>
        <w:rPr>
          <w:color w:val="231F20"/>
          <w:spacing w:val="-8"/>
        </w:rPr>
        <w:t> </w:t>
      </w:r>
      <w:r>
        <w:rPr>
          <w:color w:val="231F20"/>
        </w:rPr>
        <w:t>Pue- bla,</w:t>
      </w:r>
      <w:r>
        <w:rPr>
          <w:color w:val="231F20"/>
          <w:spacing w:val="-11"/>
        </w:rPr>
        <w:t> </w:t>
      </w:r>
      <w:r>
        <w:rPr>
          <w:color w:val="231F20"/>
        </w:rPr>
        <w:t>Oaxaca</w:t>
      </w:r>
      <w:r>
        <w:rPr>
          <w:color w:val="231F20"/>
          <w:spacing w:val="-11"/>
        </w:rPr>
        <w:t> </w:t>
      </w:r>
      <w:r>
        <w:rPr>
          <w:color w:val="231F20"/>
        </w:rPr>
        <w:t>y</w:t>
      </w:r>
      <w:r>
        <w:rPr>
          <w:color w:val="231F20"/>
          <w:spacing w:val="-11"/>
        </w:rPr>
        <w:t> </w:t>
      </w:r>
      <w:r>
        <w:rPr>
          <w:color w:val="231F20"/>
        </w:rPr>
        <w:t>Guerrero,</w:t>
      </w:r>
      <w:r>
        <w:rPr>
          <w:color w:val="231F20"/>
          <w:spacing w:val="-11"/>
        </w:rPr>
        <w:t> </w:t>
      </w:r>
      <w:r>
        <w:rPr>
          <w:color w:val="231F20"/>
        </w:rPr>
        <w:t>el</w:t>
      </w:r>
      <w:r>
        <w:rPr>
          <w:color w:val="231F20"/>
          <w:spacing w:val="-11"/>
        </w:rPr>
        <w:t> </w:t>
      </w:r>
      <w:r>
        <w:rPr>
          <w:color w:val="231F20"/>
        </w:rPr>
        <w:t>flujo</w:t>
      </w:r>
      <w:r>
        <w:rPr>
          <w:color w:val="231F20"/>
          <w:spacing w:val="-11"/>
        </w:rPr>
        <w:t> </w:t>
      </w:r>
      <w:r>
        <w:rPr>
          <w:color w:val="231F20"/>
        </w:rPr>
        <w:t>define</w:t>
      </w:r>
      <w:r>
        <w:rPr>
          <w:color w:val="231F20"/>
          <w:spacing w:val="-11"/>
        </w:rPr>
        <w:t> </w:t>
      </w:r>
      <w:r>
        <w:rPr>
          <w:color w:val="231F20"/>
        </w:rPr>
        <w:t>al</w:t>
      </w:r>
      <w:r>
        <w:rPr>
          <w:color w:val="231F20"/>
          <w:spacing w:val="-11"/>
        </w:rPr>
        <w:t> </w:t>
      </w:r>
      <w:r>
        <w:rPr>
          <w:color w:val="231F20"/>
        </w:rPr>
        <w:t>denominado</w:t>
      </w:r>
      <w:r>
        <w:rPr>
          <w:color w:val="231F20"/>
          <w:spacing w:val="-11"/>
        </w:rPr>
        <w:t> </w:t>
      </w:r>
      <w:r>
        <w:rPr>
          <w:color w:val="231F20"/>
        </w:rPr>
        <w:t>“triángulo</w:t>
      </w:r>
      <w:r>
        <w:rPr>
          <w:color w:val="231F20"/>
          <w:spacing w:val="-11"/>
        </w:rPr>
        <w:t> </w:t>
      </w:r>
      <w:r>
        <w:rPr>
          <w:color w:val="231F20"/>
        </w:rPr>
        <w:t>mixteco”, además de otros con población indígena como Hidalgo y</w:t>
      </w:r>
      <w:r>
        <w:rPr>
          <w:color w:val="231F20"/>
          <w:spacing w:val="-20"/>
        </w:rPr>
        <w:t> </w:t>
      </w:r>
      <w:r>
        <w:rPr>
          <w:color w:val="231F20"/>
        </w:rPr>
        <w:t>Michoacán.</w:t>
      </w:r>
    </w:p>
    <w:p>
      <w:pPr>
        <w:pStyle w:val="BodyText"/>
        <w:spacing w:line="247" w:lineRule="auto"/>
        <w:ind w:left="117" w:right="116" w:firstLine="283"/>
        <w:jc w:val="both"/>
      </w:pPr>
      <w:r>
        <w:rPr>
          <w:color w:val="231F20"/>
        </w:rPr>
        <w:t>El corredor Centro-Este de Estados Unidos se conecta con una serie de estados</w:t>
      </w:r>
      <w:r>
        <w:rPr>
          <w:color w:val="231F20"/>
          <w:spacing w:val="-7"/>
        </w:rPr>
        <w:t> </w:t>
      </w:r>
      <w:r>
        <w:rPr>
          <w:color w:val="231F20"/>
        </w:rPr>
        <w:t>mexicanos</w:t>
      </w:r>
      <w:r>
        <w:rPr>
          <w:color w:val="231F20"/>
          <w:spacing w:val="-7"/>
        </w:rPr>
        <w:t> </w:t>
      </w:r>
      <w:r>
        <w:rPr>
          <w:color w:val="231F20"/>
        </w:rPr>
        <w:t>que</w:t>
      </w:r>
      <w:r>
        <w:rPr>
          <w:color w:val="231F20"/>
          <w:spacing w:val="-7"/>
        </w:rPr>
        <w:t> </w:t>
      </w:r>
      <w:r>
        <w:rPr>
          <w:color w:val="231F20"/>
        </w:rPr>
        <w:t>configuran</w:t>
      </w:r>
      <w:r>
        <w:rPr>
          <w:color w:val="231F20"/>
          <w:spacing w:val="-7"/>
        </w:rPr>
        <w:t> </w:t>
      </w:r>
      <w:r>
        <w:rPr>
          <w:color w:val="231F20"/>
        </w:rPr>
        <w:t>una</w:t>
      </w:r>
      <w:r>
        <w:rPr>
          <w:color w:val="231F20"/>
          <w:spacing w:val="-7"/>
        </w:rPr>
        <w:t> </w:t>
      </w:r>
      <w:r>
        <w:rPr>
          <w:color w:val="231F20"/>
        </w:rPr>
        <w:t>línea</w:t>
      </w:r>
      <w:r>
        <w:rPr>
          <w:color w:val="231F20"/>
          <w:spacing w:val="-7"/>
        </w:rPr>
        <w:t> </w:t>
      </w:r>
      <w:r>
        <w:rPr>
          <w:color w:val="231F20"/>
        </w:rPr>
        <w:t>del</w:t>
      </w:r>
      <w:r>
        <w:rPr>
          <w:color w:val="231F20"/>
          <w:spacing w:val="-7"/>
        </w:rPr>
        <w:t> </w:t>
      </w:r>
      <w:r>
        <w:rPr>
          <w:color w:val="231F20"/>
        </w:rPr>
        <w:t>Centro</w:t>
      </w:r>
      <w:r>
        <w:rPr>
          <w:color w:val="231F20"/>
          <w:spacing w:val="-7"/>
        </w:rPr>
        <w:t> </w:t>
      </w:r>
      <w:r>
        <w:rPr>
          <w:color w:val="231F20"/>
        </w:rPr>
        <w:t>Occidente</w:t>
      </w:r>
      <w:r>
        <w:rPr>
          <w:color w:val="231F20"/>
          <w:spacing w:val="-7"/>
        </w:rPr>
        <w:t> </w:t>
      </w:r>
      <w:r>
        <w:rPr>
          <w:color w:val="231F20"/>
        </w:rPr>
        <w:t>al</w:t>
      </w:r>
      <w:r>
        <w:rPr>
          <w:color w:val="231F20"/>
          <w:spacing w:val="-7"/>
        </w:rPr>
        <w:t> </w:t>
      </w:r>
      <w:r>
        <w:rPr>
          <w:color w:val="231F20"/>
        </w:rPr>
        <w:t>Norte de México, incluyendo nuevamente al estado de Michoacán como entidad de población indígena migrante pero el resto de la región de receptora es quizá una de las más amplias y</w:t>
      </w:r>
      <w:r>
        <w:rPr>
          <w:color w:val="231F20"/>
          <w:spacing w:val="-3"/>
        </w:rPr>
        <w:t> </w:t>
      </w:r>
      <w:r>
        <w:rPr>
          <w:color w:val="231F20"/>
        </w:rPr>
        <w:t>complejas.</w:t>
      </w:r>
    </w:p>
    <w:p>
      <w:pPr>
        <w:pStyle w:val="BodyText"/>
        <w:spacing w:line="247" w:lineRule="auto"/>
        <w:ind w:left="117" w:right="114" w:firstLine="283"/>
        <w:jc w:val="both"/>
      </w:pPr>
      <w:r>
        <w:rPr>
          <w:color w:val="231F20"/>
        </w:rPr>
        <w:t>El tercer corredor es del Oeste de Estados Unidos a dos regiones en México al noroeste y el occidente integrando nuevamente a Michoacán pero con la peculiaridad de que es el corredor donde la continuidad física es clara al integrar desde Chihuahua, Sonora y Baja California con los te- rritorios del Pacifico de Estados Unidos hasta Washington.</w:t>
      </w:r>
    </w:p>
    <w:p>
      <w:pPr>
        <w:pStyle w:val="BodyText"/>
        <w:spacing w:line="247" w:lineRule="auto"/>
        <w:ind w:left="117" w:right="114" w:firstLine="283"/>
        <w:jc w:val="both"/>
      </w:pPr>
      <w:r>
        <w:rPr>
          <w:color w:val="231F20"/>
        </w:rPr>
        <w:t>Por último del Sur de Estados Unidos a la región central y del norte de México nuevamente en la integración territorial entre emisor y receptor donde en la región denominada central se encuentran estados indígenas como Guerrero, Hidalgo y una vez más Michoacán, este caso   finalmente</w:t>
      </w:r>
    </w:p>
    <w:p>
      <w:pPr>
        <w:spacing w:after="0" w:line="247" w:lineRule="auto"/>
        <w:jc w:val="both"/>
        <w:sectPr>
          <w:footerReference w:type="default" r:id="rId215"/>
          <w:pgSz w:w="9360" w:h="13040"/>
          <w:pgMar w:footer="496" w:header="0" w:top="740" w:bottom="680" w:left="1300" w:right="1300"/>
          <w:pgNumType w:start="301"/>
        </w:sectPr>
      </w:pPr>
    </w:p>
    <w:p>
      <w:pPr>
        <w:tabs>
          <w:tab w:pos="5536" w:val="left" w:leader="none"/>
        </w:tabs>
        <w:spacing w:before="48"/>
        <w:ind w:left="117" w:right="117" w:hanging="12"/>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7"/>
      </w:pPr>
      <w:r>
        <w:rPr>
          <w:color w:val="231F20"/>
        </w:rPr>
        <w:t>se puede entender bajo la idea de su amplia experiencia en los circuitos migratorios.</w:t>
      </w:r>
    </w:p>
    <w:p>
      <w:pPr>
        <w:pStyle w:val="BodyText"/>
        <w:spacing w:line="247" w:lineRule="auto"/>
        <w:ind w:left="117" w:right="114" w:firstLine="283"/>
        <w:jc w:val="both"/>
      </w:pPr>
      <w:r>
        <w:rPr>
          <w:color w:val="231F20"/>
        </w:rPr>
        <w:t>A</w:t>
      </w:r>
      <w:r>
        <w:rPr>
          <w:color w:val="231F20"/>
          <w:spacing w:val="-20"/>
        </w:rPr>
        <w:t> </w:t>
      </w:r>
      <w:r>
        <w:rPr>
          <w:color w:val="231F20"/>
        </w:rPr>
        <w:t>partir</w:t>
      </w:r>
      <w:r>
        <w:rPr>
          <w:color w:val="231F20"/>
          <w:spacing w:val="-8"/>
        </w:rPr>
        <w:t> </w:t>
      </w:r>
      <w:r>
        <w:rPr>
          <w:color w:val="231F20"/>
        </w:rPr>
        <w:t>del</w:t>
      </w:r>
      <w:r>
        <w:rPr>
          <w:color w:val="231F20"/>
          <w:spacing w:val="-8"/>
        </w:rPr>
        <w:t> </w:t>
      </w:r>
      <w:r>
        <w:rPr>
          <w:color w:val="231F20"/>
        </w:rPr>
        <w:t>Censo</w:t>
      </w:r>
      <w:r>
        <w:rPr>
          <w:color w:val="231F20"/>
          <w:spacing w:val="-8"/>
        </w:rPr>
        <w:t> </w:t>
      </w:r>
      <w:r>
        <w:rPr>
          <w:color w:val="231F20"/>
        </w:rPr>
        <w:t>de</w:t>
      </w:r>
      <w:r>
        <w:rPr>
          <w:color w:val="231F20"/>
          <w:spacing w:val="-8"/>
        </w:rPr>
        <w:t> </w:t>
      </w:r>
      <w:r>
        <w:rPr>
          <w:color w:val="231F20"/>
        </w:rPr>
        <w:t>2000</w:t>
      </w:r>
      <w:r>
        <w:rPr>
          <w:color w:val="231F20"/>
          <w:spacing w:val="-8"/>
        </w:rPr>
        <w:t> </w:t>
      </w:r>
      <w:r>
        <w:rPr>
          <w:color w:val="231F20"/>
        </w:rPr>
        <w:t>se</w:t>
      </w:r>
      <w:r>
        <w:rPr>
          <w:color w:val="231F20"/>
          <w:spacing w:val="-8"/>
        </w:rPr>
        <w:t> </w:t>
      </w:r>
      <w:r>
        <w:rPr>
          <w:color w:val="231F20"/>
        </w:rPr>
        <w:t>elaboró</w:t>
      </w:r>
      <w:r>
        <w:rPr>
          <w:color w:val="231F20"/>
          <w:spacing w:val="-9"/>
        </w:rPr>
        <w:t> </w:t>
      </w:r>
      <w:r>
        <w:rPr>
          <w:color w:val="231F20"/>
        </w:rPr>
        <w:t>el</w:t>
      </w:r>
      <w:r>
        <w:rPr>
          <w:color w:val="231F20"/>
          <w:spacing w:val="-8"/>
        </w:rPr>
        <w:t> </w:t>
      </w:r>
      <w:r>
        <w:rPr>
          <w:color w:val="231F20"/>
        </w:rPr>
        <w:t>índice</w:t>
      </w:r>
      <w:r>
        <w:rPr>
          <w:color w:val="231F20"/>
          <w:spacing w:val="-9"/>
        </w:rPr>
        <w:t> </w:t>
      </w:r>
      <w:r>
        <w:rPr>
          <w:color w:val="231F20"/>
        </w:rPr>
        <w:t>de</w:t>
      </w:r>
      <w:r>
        <w:rPr>
          <w:color w:val="231F20"/>
          <w:spacing w:val="-8"/>
        </w:rPr>
        <w:t> </w:t>
      </w:r>
      <w:r>
        <w:rPr>
          <w:color w:val="231F20"/>
        </w:rPr>
        <w:t>intensidad</w:t>
      </w:r>
      <w:r>
        <w:rPr>
          <w:color w:val="231F20"/>
          <w:spacing w:val="-8"/>
        </w:rPr>
        <w:t> </w:t>
      </w:r>
      <w:r>
        <w:rPr>
          <w:color w:val="231F20"/>
        </w:rPr>
        <w:t>migratoria por municipio, que por medio de sus variables permite identificar los ho- gares que recibieron remesas y que pertenecen a las localidades indígenas bajo</w:t>
      </w:r>
      <w:r>
        <w:rPr>
          <w:color w:val="231F20"/>
          <w:spacing w:val="-7"/>
        </w:rPr>
        <w:t> </w:t>
      </w:r>
      <w:r>
        <w:rPr>
          <w:color w:val="231F20"/>
        </w:rPr>
        <w:t>el</w:t>
      </w:r>
      <w:r>
        <w:rPr>
          <w:color w:val="231F20"/>
          <w:spacing w:val="-7"/>
        </w:rPr>
        <w:t> </w:t>
      </w:r>
      <w:r>
        <w:rPr>
          <w:color w:val="231F20"/>
        </w:rPr>
        <w:t>criterio</w:t>
      </w:r>
      <w:r>
        <w:rPr>
          <w:color w:val="231F20"/>
          <w:spacing w:val="-7"/>
        </w:rPr>
        <w:t> </w:t>
      </w:r>
      <w:r>
        <w:rPr>
          <w:color w:val="231F20"/>
        </w:rPr>
        <w:t>que</w:t>
      </w:r>
      <w:r>
        <w:rPr>
          <w:color w:val="231F20"/>
          <w:spacing w:val="-7"/>
        </w:rPr>
        <w:t> </w:t>
      </w:r>
      <w:r>
        <w:rPr>
          <w:color w:val="231F20"/>
        </w:rPr>
        <w:t>determina</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municipios</w:t>
      </w:r>
      <w:r>
        <w:rPr>
          <w:color w:val="231F20"/>
          <w:spacing w:val="-8"/>
        </w:rPr>
        <w:t> </w:t>
      </w:r>
      <w:r>
        <w:rPr>
          <w:color w:val="231F20"/>
        </w:rPr>
        <w:t>con</w:t>
      </w:r>
      <w:r>
        <w:rPr>
          <w:color w:val="231F20"/>
          <w:spacing w:val="-7"/>
        </w:rPr>
        <w:t> </w:t>
      </w:r>
      <w:r>
        <w:rPr>
          <w:color w:val="231F20"/>
        </w:rPr>
        <w:t>más</w:t>
      </w:r>
      <w:r>
        <w:rPr>
          <w:color w:val="231F20"/>
          <w:spacing w:val="-7"/>
        </w:rPr>
        <w:t> </w:t>
      </w:r>
      <w:r>
        <w:rPr>
          <w:color w:val="231F20"/>
        </w:rPr>
        <w:t>de</w:t>
      </w:r>
      <w:r>
        <w:rPr>
          <w:color w:val="231F20"/>
          <w:spacing w:val="-7"/>
        </w:rPr>
        <w:t> </w:t>
      </w:r>
      <w:r>
        <w:rPr>
          <w:color w:val="231F20"/>
        </w:rPr>
        <w:t>30</w:t>
      </w:r>
      <w:r>
        <w:rPr>
          <w:color w:val="231F20"/>
          <w:spacing w:val="-7"/>
        </w:rPr>
        <w:t> </w:t>
      </w:r>
      <w:r>
        <w:rPr>
          <w:color w:val="231F20"/>
        </w:rPr>
        <w:t>por</w:t>
      </w:r>
      <w:r>
        <w:rPr>
          <w:color w:val="231F20"/>
          <w:spacing w:val="-7"/>
        </w:rPr>
        <w:t> </w:t>
      </w:r>
      <w:r>
        <w:rPr>
          <w:color w:val="231F20"/>
        </w:rPr>
        <w:t>ciento</w:t>
      </w:r>
      <w:r>
        <w:rPr>
          <w:color w:val="231F20"/>
          <w:spacing w:val="-7"/>
        </w:rPr>
        <w:t> </w:t>
      </w:r>
      <w:r>
        <w:rPr>
          <w:color w:val="231F20"/>
        </w:rPr>
        <w:t>de la población mayor de cinco años hablante de una lengua</w:t>
      </w:r>
      <w:r>
        <w:rPr>
          <w:color w:val="231F20"/>
          <w:spacing w:val="-4"/>
        </w:rPr>
        <w:t> </w:t>
      </w:r>
      <w:r>
        <w:rPr>
          <w:color w:val="231F20"/>
        </w:rPr>
        <w:t>indígena.</w:t>
      </w:r>
    </w:p>
    <w:p>
      <w:pPr>
        <w:pStyle w:val="BodyText"/>
        <w:spacing w:line="247" w:lineRule="auto"/>
        <w:ind w:left="117" w:right="115" w:firstLine="283"/>
        <w:jc w:val="both"/>
      </w:pPr>
      <w:r>
        <w:rPr>
          <w:color w:val="231F20"/>
        </w:rPr>
        <w:t>En</w:t>
      </w:r>
      <w:r>
        <w:rPr>
          <w:color w:val="231F20"/>
          <w:spacing w:val="-6"/>
        </w:rPr>
        <w:t> </w:t>
      </w:r>
      <w:r>
        <w:rPr>
          <w:color w:val="231F20"/>
        </w:rPr>
        <w:t>este</w:t>
      </w:r>
      <w:r>
        <w:rPr>
          <w:color w:val="231F20"/>
          <w:spacing w:val="-6"/>
        </w:rPr>
        <w:t> </w:t>
      </w:r>
      <w:r>
        <w:rPr>
          <w:color w:val="231F20"/>
        </w:rPr>
        <w:t>sentido,</w:t>
      </w:r>
      <w:r>
        <w:rPr>
          <w:color w:val="231F20"/>
          <w:spacing w:val="-5"/>
        </w:rPr>
        <w:t> </w:t>
      </w:r>
      <w:r>
        <w:rPr>
          <w:color w:val="231F20"/>
        </w:rPr>
        <w:t>de</w:t>
      </w:r>
      <w:r>
        <w:rPr>
          <w:color w:val="231F20"/>
          <w:spacing w:val="-6"/>
        </w:rPr>
        <w:t> </w:t>
      </w:r>
      <w:r>
        <w:rPr>
          <w:color w:val="231F20"/>
        </w:rPr>
        <w:t>las</w:t>
      </w:r>
      <w:r>
        <w:rPr>
          <w:color w:val="231F20"/>
          <w:spacing w:val="-6"/>
        </w:rPr>
        <w:t> </w:t>
      </w:r>
      <w:r>
        <w:rPr>
          <w:color w:val="231F20"/>
        </w:rPr>
        <w:t>entidades</w:t>
      </w:r>
      <w:r>
        <w:rPr>
          <w:color w:val="231F20"/>
          <w:spacing w:val="-6"/>
        </w:rPr>
        <w:t> </w:t>
      </w:r>
      <w:r>
        <w:rPr>
          <w:color w:val="231F20"/>
        </w:rPr>
        <w:t>que</w:t>
      </w:r>
      <w:r>
        <w:rPr>
          <w:color w:val="231F20"/>
          <w:spacing w:val="-6"/>
        </w:rPr>
        <w:t> </w:t>
      </w:r>
      <w:r>
        <w:rPr>
          <w:color w:val="231F20"/>
        </w:rPr>
        <w:t>son</w:t>
      </w:r>
      <w:r>
        <w:rPr>
          <w:color w:val="231F20"/>
          <w:spacing w:val="-6"/>
        </w:rPr>
        <w:t> </w:t>
      </w:r>
      <w:r>
        <w:rPr>
          <w:color w:val="231F20"/>
        </w:rPr>
        <w:t>motivo</w:t>
      </w:r>
      <w:r>
        <w:rPr>
          <w:color w:val="231F20"/>
          <w:spacing w:val="-6"/>
        </w:rPr>
        <w:t> </w:t>
      </w:r>
      <w:r>
        <w:rPr>
          <w:color w:val="231F20"/>
        </w:rPr>
        <w:t>del</w:t>
      </w:r>
      <w:r>
        <w:rPr>
          <w:color w:val="231F20"/>
          <w:spacing w:val="-6"/>
        </w:rPr>
        <w:t> </w:t>
      </w:r>
      <w:r>
        <w:rPr>
          <w:color w:val="231F20"/>
        </w:rPr>
        <w:t>estudio</w:t>
      </w:r>
      <w:r>
        <w:rPr>
          <w:color w:val="231F20"/>
          <w:spacing w:val="-6"/>
        </w:rPr>
        <w:t> </w:t>
      </w:r>
      <w:r>
        <w:rPr>
          <w:color w:val="231F20"/>
        </w:rPr>
        <w:t>se</w:t>
      </w:r>
      <w:r>
        <w:rPr>
          <w:color w:val="231F20"/>
          <w:spacing w:val="-6"/>
        </w:rPr>
        <w:t> </w:t>
      </w:r>
      <w:r>
        <w:rPr>
          <w:color w:val="231F20"/>
        </w:rPr>
        <w:t>registra- ron</w:t>
      </w:r>
      <w:r>
        <w:rPr>
          <w:color w:val="231F20"/>
          <w:spacing w:val="-12"/>
        </w:rPr>
        <w:t> </w:t>
      </w:r>
      <w:r>
        <w:rPr>
          <w:color w:val="231F20"/>
        </w:rPr>
        <w:t>568</w:t>
      </w:r>
      <w:r>
        <w:rPr>
          <w:color w:val="231F20"/>
          <w:spacing w:val="-12"/>
        </w:rPr>
        <w:t> </w:t>
      </w:r>
      <w:r>
        <w:rPr>
          <w:color w:val="231F20"/>
        </w:rPr>
        <w:t>municipios</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país</w:t>
      </w:r>
      <w:r>
        <w:rPr>
          <w:color w:val="231F20"/>
          <w:spacing w:val="-12"/>
        </w:rPr>
        <w:t> </w:t>
      </w:r>
      <w:r>
        <w:rPr>
          <w:color w:val="231F20"/>
        </w:rPr>
        <w:t>definidos</w:t>
      </w:r>
      <w:r>
        <w:rPr>
          <w:color w:val="231F20"/>
          <w:spacing w:val="-12"/>
        </w:rPr>
        <w:t> </w:t>
      </w:r>
      <w:r>
        <w:rPr>
          <w:color w:val="231F20"/>
        </w:rPr>
        <w:t>bajo</w:t>
      </w:r>
      <w:r>
        <w:rPr>
          <w:color w:val="231F20"/>
          <w:spacing w:val="-12"/>
        </w:rPr>
        <w:t> </w:t>
      </w:r>
      <w:r>
        <w:rPr>
          <w:color w:val="231F20"/>
        </w:rPr>
        <w:t>dicho</w:t>
      </w:r>
      <w:r>
        <w:rPr>
          <w:color w:val="231F20"/>
          <w:spacing w:val="-12"/>
        </w:rPr>
        <w:t> </w:t>
      </w:r>
      <w:r>
        <w:rPr>
          <w:color w:val="231F20"/>
        </w:rPr>
        <w:t>criterio</w:t>
      </w:r>
      <w:r>
        <w:rPr>
          <w:color w:val="231F20"/>
          <w:spacing w:val="-12"/>
        </w:rPr>
        <w:t> </w:t>
      </w:r>
      <w:r>
        <w:rPr>
          <w:color w:val="231F20"/>
        </w:rPr>
        <w:t>como</w:t>
      </w:r>
      <w:r>
        <w:rPr>
          <w:color w:val="231F20"/>
          <w:spacing w:val="-12"/>
        </w:rPr>
        <w:t> </w:t>
      </w:r>
      <w:r>
        <w:rPr>
          <w:color w:val="231F20"/>
        </w:rPr>
        <w:t>indígenas, en los cuales se ubicaron 30 573 hogares que recibieron remesas. Cabe destacar que los datos por entidad federativa muestran grandes</w:t>
      </w:r>
      <w:r>
        <w:rPr>
          <w:color w:val="231F20"/>
          <w:spacing w:val="-18"/>
        </w:rPr>
        <w:t> </w:t>
      </w:r>
      <w:r>
        <w:rPr>
          <w:color w:val="231F20"/>
        </w:rPr>
        <w:t>diferencias en razón justamente del número de población indígena y que cumplen la condición de receptores de</w:t>
      </w:r>
      <w:r>
        <w:rPr>
          <w:color w:val="231F20"/>
          <w:spacing w:val="-1"/>
        </w:rPr>
        <w:t> </w:t>
      </w:r>
      <w:r>
        <w:rPr>
          <w:color w:val="231F20"/>
        </w:rPr>
        <w:t>remesas.</w:t>
      </w:r>
    </w:p>
    <w:p>
      <w:pPr>
        <w:pStyle w:val="BodyText"/>
        <w:spacing w:line="247" w:lineRule="auto"/>
        <w:ind w:left="117" w:right="115" w:firstLine="283"/>
        <w:jc w:val="both"/>
      </w:pPr>
      <w:r>
        <w:rPr>
          <w:color w:val="231F20"/>
        </w:rPr>
        <w:t>De esta manera en </w:t>
      </w:r>
      <w:r>
        <w:rPr>
          <w:color w:val="231F20"/>
          <w:spacing w:val="-4"/>
        </w:rPr>
        <w:t>Yucatán </w:t>
      </w:r>
      <w:r>
        <w:rPr>
          <w:color w:val="231F20"/>
        </w:rPr>
        <w:t>51 por ciento de los hogares ubicados en municipios indígenas recibieron remesas, en Oaxaca 36 por ciento y en Hidalgo 24.4 por ciento. En contraste en Chiapas fueron 6.5 por ciento,</w:t>
      </w:r>
      <w:r>
        <w:rPr>
          <w:color w:val="231F20"/>
          <w:spacing w:val="-30"/>
        </w:rPr>
        <w:t> </w:t>
      </w:r>
      <w:r>
        <w:rPr>
          <w:color w:val="231F20"/>
        </w:rPr>
        <w:t>en Guerrero 5.8 por ciento, en Michoacán 3.3, Puebla 3.9 por ciento y </w:t>
      </w:r>
      <w:r>
        <w:rPr>
          <w:color w:val="231F20"/>
          <w:spacing w:val="-5"/>
        </w:rPr>
        <w:t>Vera- </w:t>
      </w:r>
      <w:r>
        <w:rPr>
          <w:color w:val="231F20"/>
        </w:rPr>
        <w:t>cruz 4.3 por ciento </w:t>
      </w:r>
      <w:r>
        <w:rPr>
          <w:color w:val="231F20"/>
          <w:spacing w:val="-7"/>
        </w:rPr>
        <w:t>(Ver </w:t>
      </w:r>
      <w:r>
        <w:rPr>
          <w:color w:val="231F20"/>
        </w:rPr>
        <w:t>Cuadro</w:t>
      </w:r>
      <w:r>
        <w:rPr>
          <w:color w:val="231F20"/>
          <w:spacing w:val="7"/>
        </w:rPr>
        <w:t> </w:t>
      </w:r>
      <w:r>
        <w:rPr>
          <w:color w:val="231F20"/>
        </w:rPr>
        <w:t>5).</w:t>
      </w:r>
    </w:p>
    <w:p>
      <w:pPr>
        <w:pStyle w:val="BodyText"/>
        <w:spacing w:line="247" w:lineRule="auto"/>
        <w:ind w:left="117" w:right="114" w:firstLine="283"/>
        <w:jc w:val="both"/>
      </w:pPr>
      <w:r>
        <w:rPr>
          <w:color w:val="231F20"/>
        </w:rPr>
        <w:t>La complejidad de los patrones de recepción de remesas en los mu- nicipios indígenas hace referencia a que en el contexto de la migración   no existe una sola tendencia en la integración de la población indígena a los circuitos migratorios y a la transferencia de remesas a sus lugares de origen, aunque sí es clara la pauta en donde los municipios con la mayor cantidad de receptores son en algunos casos los municipios con población indígena.</w:t>
      </w:r>
    </w:p>
    <w:p>
      <w:pPr>
        <w:pStyle w:val="BodyText"/>
        <w:spacing w:line="247" w:lineRule="auto"/>
        <w:ind w:left="117" w:right="114" w:firstLine="283"/>
        <w:jc w:val="both"/>
      </w:pPr>
      <w:r>
        <w:rPr>
          <w:color w:val="231F20"/>
        </w:rPr>
        <w:t>Casos donde la proporción de HLI es muy alta la recepción de remesas no es recíproca, quizá esto por lo complicada que resulta la integración de esa población a los circuitos de migración por la ausencia de condiciones para</w:t>
      </w:r>
      <w:r>
        <w:rPr>
          <w:color w:val="231F20"/>
          <w:spacing w:val="-11"/>
        </w:rPr>
        <w:t> </w:t>
      </w:r>
      <w:r>
        <w:rPr>
          <w:color w:val="231F20"/>
        </w:rPr>
        <w:t>migrar.</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79</w:t>
      </w:r>
      <w:r>
        <w:rPr>
          <w:color w:val="231F20"/>
          <w:spacing w:val="-11"/>
        </w:rPr>
        <w:t> </w:t>
      </w:r>
      <w:r>
        <w:rPr>
          <w:color w:val="231F20"/>
        </w:rPr>
        <w:t>municipios</w:t>
      </w:r>
      <w:r>
        <w:rPr>
          <w:color w:val="231F20"/>
          <w:spacing w:val="-11"/>
        </w:rPr>
        <w:t> </w:t>
      </w:r>
      <w:r>
        <w:rPr>
          <w:color w:val="231F20"/>
        </w:rPr>
        <w:t>con</w:t>
      </w:r>
      <w:r>
        <w:rPr>
          <w:color w:val="231F20"/>
          <w:spacing w:val="-11"/>
        </w:rPr>
        <w:t> </w:t>
      </w:r>
      <w:r>
        <w:rPr>
          <w:color w:val="231F20"/>
        </w:rPr>
        <w:t>una</w:t>
      </w:r>
      <w:r>
        <w:rPr>
          <w:color w:val="231F20"/>
          <w:spacing w:val="-11"/>
        </w:rPr>
        <w:t> </w:t>
      </w:r>
      <w:r>
        <w:rPr>
          <w:color w:val="231F20"/>
        </w:rPr>
        <w:t>categoría</w:t>
      </w:r>
      <w:r>
        <w:rPr>
          <w:color w:val="231F20"/>
          <w:spacing w:val="-11"/>
        </w:rPr>
        <w:t> </w:t>
      </w:r>
      <w:r>
        <w:rPr>
          <w:color w:val="231F20"/>
        </w:rPr>
        <w:t>nula</w:t>
      </w:r>
      <w:r>
        <w:rPr>
          <w:color w:val="231F20"/>
          <w:spacing w:val="-11"/>
        </w:rPr>
        <w:t> </w:t>
      </w:r>
      <w:r>
        <w:rPr>
          <w:color w:val="231F20"/>
        </w:rPr>
        <w:t>de</w:t>
      </w:r>
      <w:r>
        <w:rPr>
          <w:color w:val="231F20"/>
          <w:spacing w:val="-11"/>
        </w:rPr>
        <w:t> </w:t>
      </w:r>
      <w:r>
        <w:rPr>
          <w:color w:val="231F20"/>
        </w:rPr>
        <w:t>intensidad</w:t>
      </w:r>
      <w:r>
        <w:rPr>
          <w:color w:val="231F20"/>
          <w:spacing w:val="-11"/>
        </w:rPr>
        <w:t> </w:t>
      </w:r>
      <w:r>
        <w:rPr>
          <w:color w:val="231F20"/>
        </w:rPr>
        <w:t>mi- gratoria,</w:t>
      </w:r>
      <w:r>
        <w:rPr>
          <w:color w:val="231F20"/>
          <w:spacing w:val="-8"/>
        </w:rPr>
        <w:t> </w:t>
      </w:r>
      <w:r>
        <w:rPr>
          <w:color w:val="231F20"/>
        </w:rPr>
        <w:t>92</w:t>
      </w:r>
      <w:r>
        <w:rPr>
          <w:color w:val="231F20"/>
          <w:spacing w:val="-8"/>
        </w:rPr>
        <w:t> </w:t>
      </w:r>
      <w:r>
        <w:rPr>
          <w:color w:val="231F20"/>
        </w:rPr>
        <w:t>por</w:t>
      </w:r>
      <w:r>
        <w:rPr>
          <w:color w:val="231F20"/>
          <w:spacing w:val="-8"/>
        </w:rPr>
        <w:t> </w:t>
      </w:r>
      <w:r>
        <w:rPr>
          <w:color w:val="231F20"/>
        </w:rPr>
        <w:t>ciento</w:t>
      </w:r>
      <w:r>
        <w:rPr>
          <w:color w:val="231F20"/>
          <w:spacing w:val="-8"/>
        </w:rPr>
        <w:t> </w:t>
      </w:r>
      <w:r>
        <w:rPr>
          <w:color w:val="231F20"/>
        </w:rPr>
        <w:t>(73)</w:t>
      </w:r>
      <w:r>
        <w:rPr>
          <w:color w:val="231F20"/>
          <w:spacing w:val="-8"/>
        </w:rPr>
        <w:t> </w:t>
      </w:r>
      <w:r>
        <w:rPr>
          <w:color w:val="231F20"/>
        </w:rPr>
        <w:t>superan</w:t>
      </w:r>
      <w:r>
        <w:rPr>
          <w:color w:val="231F20"/>
          <w:spacing w:val="-8"/>
        </w:rPr>
        <w:t> </w:t>
      </w:r>
      <w:r>
        <w:rPr>
          <w:color w:val="231F20"/>
        </w:rPr>
        <w:t>50</w:t>
      </w:r>
      <w:r>
        <w:rPr>
          <w:color w:val="231F20"/>
          <w:spacing w:val="-8"/>
        </w:rPr>
        <w:t> </w:t>
      </w:r>
      <w:r>
        <w:rPr>
          <w:color w:val="231F20"/>
        </w:rPr>
        <w:t>por</w:t>
      </w:r>
      <w:r>
        <w:rPr>
          <w:color w:val="231F20"/>
          <w:spacing w:val="-8"/>
        </w:rPr>
        <w:t> </w:t>
      </w:r>
      <w:r>
        <w:rPr>
          <w:color w:val="231F20"/>
        </w:rPr>
        <w:t>ciento</w:t>
      </w:r>
      <w:r>
        <w:rPr>
          <w:color w:val="231F20"/>
          <w:spacing w:val="-8"/>
        </w:rPr>
        <w:t> </w:t>
      </w:r>
      <w:r>
        <w:rPr>
          <w:color w:val="231F20"/>
        </w:rPr>
        <w:t>de</w:t>
      </w:r>
      <w:r>
        <w:rPr>
          <w:color w:val="231F20"/>
          <w:spacing w:val="-8"/>
        </w:rPr>
        <w:t> </w:t>
      </w:r>
      <w:r>
        <w:rPr>
          <w:color w:val="231F20"/>
        </w:rPr>
        <w:t>HLI</w:t>
      </w:r>
      <w:r>
        <w:rPr>
          <w:color w:val="231F20"/>
          <w:spacing w:val="-8"/>
        </w:rPr>
        <w:t> </w:t>
      </w:r>
      <w:r>
        <w:rPr>
          <w:color w:val="231F20"/>
        </w:rPr>
        <w:t>y</w:t>
      </w:r>
      <w:r>
        <w:rPr>
          <w:color w:val="231F20"/>
          <w:spacing w:val="-8"/>
        </w:rPr>
        <w:t> </w:t>
      </w:r>
      <w:r>
        <w:rPr>
          <w:color w:val="231F20"/>
        </w:rPr>
        <w:t>contrariamente, de los 25 municipios con mayor proporción de hogares receptores de re- mesas de 35 a 99 por ciento de su población de cinco años y más es</w:t>
      </w:r>
      <w:r>
        <w:rPr>
          <w:color w:val="231F20"/>
          <w:spacing w:val="-8"/>
        </w:rPr>
        <w:t> </w:t>
      </w:r>
      <w:r>
        <w:rPr>
          <w:color w:val="231F20"/>
        </w:rPr>
        <w:t>HLI.</w:t>
      </w:r>
    </w:p>
    <w:p>
      <w:pPr>
        <w:pStyle w:val="BodyText"/>
        <w:spacing w:line="247" w:lineRule="auto"/>
        <w:ind w:left="117" w:right="114" w:firstLine="283"/>
        <w:jc w:val="both"/>
      </w:pPr>
      <w:r>
        <w:rPr>
          <w:color w:val="231F20"/>
        </w:rPr>
        <w:t>Parte de lo anterior indica que las contribuciones directas e indirectas del ingreso por remesa integran de manera substancial al sustento de los hogares. Por encadenamiento existen efectos y por medio del ahorro se extienden a otros hogares (incluyendo a los no participantes de la migra- ción internacional). Se tienen impactos en la producción, pero ocasionan una mayor desigualdad por ingreso entre la población en pobreza (Taylor, 2004: 157).</w:t>
      </w:r>
    </w:p>
    <w:p>
      <w:pPr>
        <w:spacing w:after="0" w:line="247" w:lineRule="auto"/>
        <w:jc w:val="both"/>
        <w:sectPr>
          <w:pgSz w:w="9360" w:h="13040"/>
          <w:pgMar w:header="0" w:footer="496" w:top="800" w:bottom="680" w:left="1300" w:right="1300"/>
        </w:sectPr>
      </w:pPr>
    </w:p>
    <w:p>
      <w:pPr>
        <w:spacing w:before="45"/>
        <w:ind w:left="460" w:right="0" w:firstLine="0"/>
        <w:jc w:val="left"/>
        <w:rPr>
          <w:rFonts w:ascii="Arial" w:hAnsi="Arial"/>
          <w:sz w:val="20"/>
        </w:rPr>
      </w:pPr>
      <w:r>
        <w:rPr>
          <w:rFonts w:ascii="Arial" w:hAnsi="Arial"/>
          <w:color w:val="231F20"/>
          <w:w w:val="66"/>
          <w:sz w:val="20"/>
        </w:rPr>
        <w:t>Las</w:t>
      </w:r>
      <w:r>
        <w:rPr>
          <w:rFonts w:ascii="Arial" w:hAnsi="Arial"/>
          <w:color w:val="231F20"/>
          <w:spacing w:val="-1"/>
          <w:sz w:val="20"/>
        </w:rPr>
        <w:t> </w:t>
      </w:r>
      <w:r>
        <w:rPr>
          <w:rFonts w:ascii="Arial" w:hAnsi="Arial"/>
          <w:color w:val="231F20"/>
          <w:spacing w:val="-1"/>
          <w:w w:val="68"/>
          <w:sz w:val="20"/>
        </w:rPr>
        <w:t>remesa</w:t>
      </w:r>
      <w:r>
        <w:rPr>
          <w:rFonts w:ascii="Arial" w:hAnsi="Arial"/>
          <w:color w:val="231F20"/>
          <w:w w:val="68"/>
          <w:sz w:val="20"/>
        </w:rPr>
        <w:t>s</w:t>
      </w:r>
      <w:r>
        <w:rPr>
          <w:rFonts w:ascii="Arial" w:hAnsi="Arial"/>
          <w:color w:val="231F20"/>
          <w:sz w:val="20"/>
        </w:rPr>
        <w:t> </w:t>
      </w:r>
      <w:r>
        <w:rPr>
          <w:rFonts w:ascii="Arial" w:hAnsi="Arial"/>
          <w:color w:val="231F20"/>
          <w:w w:val="72"/>
          <w:sz w:val="20"/>
        </w:rPr>
        <w:t>indígenas</w:t>
      </w:r>
      <w:r>
        <w:rPr>
          <w:rFonts w:ascii="Arial" w:hAnsi="Arial"/>
          <w:color w:val="231F20"/>
          <w:spacing w:val="-1"/>
          <w:sz w:val="20"/>
        </w:rPr>
        <w:t> </w:t>
      </w:r>
      <w:r>
        <w:rPr>
          <w:rFonts w:ascii="Arial" w:hAnsi="Arial"/>
          <w:color w:val="231F20"/>
          <w:spacing w:val="-1"/>
          <w:w w:val="67"/>
          <w:sz w:val="20"/>
        </w:rPr>
        <w:t>com</w:t>
      </w:r>
      <w:r>
        <w:rPr>
          <w:rFonts w:ascii="Arial" w:hAnsi="Arial"/>
          <w:color w:val="231F20"/>
          <w:w w:val="67"/>
          <w:sz w:val="20"/>
        </w:rPr>
        <w:t>o</w:t>
      </w:r>
      <w:r>
        <w:rPr>
          <w:rFonts w:ascii="Arial" w:hAnsi="Arial"/>
          <w:color w:val="231F20"/>
          <w:spacing w:val="-1"/>
          <w:sz w:val="20"/>
        </w:rPr>
        <w:t> </w:t>
      </w:r>
      <w:r>
        <w:rPr>
          <w:rFonts w:ascii="Arial" w:hAnsi="Arial"/>
          <w:color w:val="231F20"/>
          <w:spacing w:val="-1"/>
          <w:w w:val="71"/>
          <w:sz w:val="20"/>
        </w:rPr>
        <w:t>complement</w:t>
      </w:r>
      <w:r>
        <w:rPr>
          <w:rFonts w:ascii="Arial" w:hAnsi="Arial"/>
          <w:color w:val="231F20"/>
          <w:w w:val="71"/>
          <w:sz w:val="20"/>
        </w:rPr>
        <w:t>o</w:t>
      </w:r>
      <w:r>
        <w:rPr>
          <w:rFonts w:ascii="Arial" w:hAnsi="Arial"/>
          <w:color w:val="231F20"/>
          <w:sz w:val="20"/>
        </w:rPr>
        <w:t> </w:t>
      </w:r>
      <w:r>
        <w:rPr>
          <w:rFonts w:ascii="Arial" w:hAnsi="Arial"/>
          <w:color w:val="231F20"/>
          <w:spacing w:val="-1"/>
          <w:w w:val="78"/>
          <w:sz w:val="20"/>
        </w:rPr>
        <w:t>a</w:t>
      </w:r>
      <w:r>
        <w:rPr>
          <w:rFonts w:ascii="Arial" w:hAnsi="Arial"/>
          <w:color w:val="231F20"/>
          <w:w w:val="78"/>
          <w:sz w:val="20"/>
        </w:rPr>
        <w:t>l</w:t>
      </w:r>
      <w:r>
        <w:rPr>
          <w:rFonts w:ascii="Arial" w:hAnsi="Arial"/>
          <w:color w:val="231F20"/>
          <w:spacing w:val="-1"/>
          <w:sz w:val="20"/>
        </w:rPr>
        <w:t> </w:t>
      </w:r>
      <w:r>
        <w:rPr>
          <w:rFonts w:ascii="Arial" w:hAnsi="Arial"/>
          <w:color w:val="231F20"/>
          <w:w w:val="73"/>
          <w:sz w:val="20"/>
        </w:rPr>
        <w:t>ingreso</w:t>
      </w:r>
      <w:r>
        <w:rPr>
          <w:rFonts w:ascii="Arial" w:hAnsi="Arial"/>
          <w:color w:val="231F20"/>
          <w:spacing w:val="-1"/>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67"/>
          <w:sz w:val="20"/>
        </w:rPr>
        <w:t>sus</w:t>
      </w:r>
      <w:r>
        <w:rPr>
          <w:rFonts w:ascii="Arial" w:hAnsi="Arial"/>
          <w:color w:val="231F20"/>
          <w:spacing w:val="-1"/>
          <w:sz w:val="20"/>
        </w:rPr>
        <w:t> </w:t>
      </w:r>
      <w:r>
        <w:rPr>
          <w:rFonts w:ascii="Arial" w:hAnsi="Arial"/>
          <w:color w:val="231F20"/>
          <w:w w:val="72"/>
          <w:sz w:val="20"/>
        </w:rPr>
        <w:t>mecanismos...</w:t>
      </w:r>
      <w:r>
        <w:rPr>
          <w:rFonts w:ascii="Arial" w:hAnsi="Arial"/>
          <w:color w:val="231F20"/>
          <w:spacing w:val="-1"/>
          <w:sz w:val="20"/>
        </w:rPr>
        <w:t> </w:t>
      </w:r>
      <w:r>
        <w:rPr>
          <w:rFonts w:ascii="Arial" w:hAnsi="Arial"/>
          <w:color w:val="231F20"/>
          <w:spacing w:val="-1"/>
          <w:w w:val="99"/>
          <w:sz w:val="20"/>
        </w:rPr>
        <w:t>/</w:t>
      </w:r>
      <w:r>
        <w:rPr>
          <w:rFonts w:ascii="Arial" w:hAnsi="Arial"/>
          <w:color w:val="231F20"/>
          <w:w w:val="47"/>
          <w:sz w:val="20"/>
        </w:rPr>
        <w:t>César</w:t>
      </w:r>
      <w:r>
        <w:rPr>
          <w:rFonts w:ascii="Arial" w:hAnsi="Arial"/>
          <w:color w:val="231F20"/>
          <w:spacing w:val="-17"/>
          <w:sz w:val="20"/>
        </w:rPr>
        <w:t> </w:t>
      </w:r>
      <w:r>
        <w:rPr>
          <w:rFonts w:ascii="Arial" w:hAnsi="Arial"/>
          <w:color w:val="231F20"/>
          <w:spacing w:val="-1"/>
          <w:w w:val="52"/>
          <w:sz w:val="20"/>
        </w:rPr>
        <w:t>Raú</w:t>
      </w:r>
      <w:r>
        <w:rPr>
          <w:rFonts w:ascii="Arial" w:hAnsi="Arial"/>
          <w:color w:val="231F20"/>
          <w:w w:val="52"/>
          <w:sz w:val="20"/>
        </w:rPr>
        <w:t>l</w:t>
      </w:r>
      <w:r>
        <w:rPr>
          <w:rFonts w:ascii="Arial" w:hAnsi="Arial"/>
          <w:color w:val="231F20"/>
          <w:spacing w:val="-17"/>
          <w:sz w:val="20"/>
        </w:rPr>
        <w:t> </w:t>
      </w:r>
      <w:r>
        <w:rPr>
          <w:rFonts w:ascii="Arial" w:hAnsi="Arial"/>
          <w:color w:val="231F20"/>
          <w:w w:val="52"/>
          <w:sz w:val="20"/>
        </w:rPr>
        <w:t>Pérez-Marcial</w:t>
      </w:r>
    </w:p>
    <w:p>
      <w:pPr>
        <w:pStyle w:val="BodyText"/>
        <w:spacing w:before="7"/>
        <w:rPr>
          <w:rFonts w:ascii="Arial"/>
          <w:sz w:val="26"/>
        </w:rPr>
      </w:pPr>
    </w:p>
    <w:p>
      <w:pPr>
        <w:spacing w:before="81"/>
        <w:ind w:left="387" w:right="117" w:firstLine="0"/>
        <w:jc w:val="left"/>
        <w:rPr>
          <w:sz w:val="19"/>
        </w:rPr>
      </w:pPr>
      <w:r>
        <w:rPr>
          <w:w w:val="105"/>
          <w:sz w:val="19"/>
        </w:rPr>
        <w:t>Cuadro 5. Municipios con más de 30 por ciento de HLI que fueron</w:t>
      </w:r>
    </w:p>
    <w:p>
      <w:pPr>
        <w:tabs>
          <w:tab w:pos="1858" w:val="left" w:leader="none"/>
          <w:tab w:pos="3458" w:val="left" w:leader="none"/>
          <w:tab w:pos="4116" w:val="left" w:leader="none"/>
          <w:tab w:pos="6266" w:val="left" w:leader="none"/>
          <w:tab w:pos="6636" w:val="left" w:leader="none"/>
        </w:tabs>
        <w:spacing w:line="278" w:lineRule="auto" w:before="12"/>
        <w:ind w:left="599" w:right="115" w:hanging="284"/>
        <w:jc w:val="left"/>
        <w:rPr>
          <w:sz w:val="19"/>
        </w:rPr>
      </w:pPr>
      <w:r>
        <w:rPr/>
        <w:pict>
          <v:shape style="position:absolute;margin-left:80.771004pt;margin-top:26.991175pt;width:316.1pt;height:116.65pt;mso-position-horizontal-relative:page;mso-position-vertical-relative:paragraph;z-index:781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82"/>
                    <w:gridCol w:w="708"/>
                    <w:gridCol w:w="1242"/>
                    <w:gridCol w:w="489"/>
                    <w:gridCol w:w="1073"/>
                    <w:gridCol w:w="1243"/>
                    <w:gridCol w:w="484"/>
                  </w:tblGrid>
                  <w:tr>
                    <w:trPr>
                      <w:trHeight w:val="230" w:hRule="exact"/>
                    </w:trPr>
                    <w:tc>
                      <w:tcPr>
                        <w:tcW w:w="1082" w:type="dxa"/>
                        <w:tcBorders>
                          <w:bottom w:val="double" w:sz="4" w:space="0" w:color="000000"/>
                        </w:tcBorders>
                      </w:tcPr>
                      <w:p>
                        <w:pPr/>
                      </w:p>
                    </w:tc>
                    <w:tc>
                      <w:tcPr>
                        <w:tcW w:w="708" w:type="dxa"/>
                        <w:tcBorders>
                          <w:bottom w:val="double" w:sz="4" w:space="0" w:color="000000"/>
                        </w:tcBorders>
                      </w:tcPr>
                      <w:p>
                        <w:pPr>
                          <w:pStyle w:val="TableParagraph"/>
                          <w:spacing w:line="199" w:lineRule="exact"/>
                          <w:ind w:right="163"/>
                          <w:rPr>
                            <w:sz w:val="19"/>
                          </w:rPr>
                        </w:pPr>
                        <w:r>
                          <w:rPr>
                            <w:sz w:val="19"/>
                          </w:rPr>
                          <w:t>Total</w:t>
                        </w:r>
                      </w:p>
                    </w:tc>
                    <w:tc>
                      <w:tcPr>
                        <w:tcW w:w="1242" w:type="dxa"/>
                        <w:tcBorders>
                          <w:bottom w:val="double" w:sz="4" w:space="0" w:color="000000"/>
                        </w:tcBorders>
                      </w:tcPr>
                      <w:p>
                        <w:pPr>
                          <w:pStyle w:val="TableParagraph"/>
                          <w:spacing w:line="199" w:lineRule="exact"/>
                          <w:ind w:right="211"/>
                          <w:rPr>
                            <w:sz w:val="19"/>
                          </w:rPr>
                        </w:pPr>
                        <w:r>
                          <w:rPr>
                            <w:w w:val="105"/>
                            <w:sz w:val="19"/>
                          </w:rPr>
                          <w:t>&gt;30% HLI</w:t>
                        </w:r>
                      </w:p>
                    </w:tc>
                    <w:tc>
                      <w:tcPr>
                        <w:tcW w:w="489" w:type="dxa"/>
                        <w:tcBorders>
                          <w:bottom w:val="double" w:sz="4" w:space="0" w:color="000000"/>
                        </w:tcBorders>
                      </w:tcPr>
                      <w:p>
                        <w:pPr/>
                      </w:p>
                    </w:tc>
                    <w:tc>
                      <w:tcPr>
                        <w:tcW w:w="1073" w:type="dxa"/>
                        <w:tcBorders>
                          <w:bottom w:val="double" w:sz="4" w:space="0" w:color="000000"/>
                        </w:tcBorders>
                      </w:tcPr>
                      <w:p>
                        <w:pPr>
                          <w:pStyle w:val="TableParagraph"/>
                          <w:spacing w:line="199" w:lineRule="exact"/>
                          <w:ind w:right="161"/>
                          <w:rPr>
                            <w:sz w:val="19"/>
                          </w:rPr>
                        </w:pPr>
                        <w:r>
                          <w:rPr>
                            <w:sz w:val="19"/>
                          </w:rPr>
                          <w:t>Municipio</w:t>
                        </w:r>
                      </w:p>
                    </w:tc>
                    <w:tc>
                      <w:tcPr>
                        <w:tcW w:w="1243" w:type="dxa"/>
                        <w:tcBorders>
                          <w:bottom w:val="double" w:sz="4" w:space="0" w:color="000000"/>
                        </w:tcBorders>
                      </w:tcPr>
                      <w:p>
                        <w:pPr>
                          <w:pStyle w:val="TableParagraph"/>
                          <w:spacing w:line="199" w:lineRule="exact"/>
                          <w:ind w:right="214"/>
                          <w:rPr>
                            <w:sz w:val="19"/>
                          </w:rPr>
                        </w:pPr>
                        <w:r>
                          <w:rPr>
                            <w:w w:val="105"/>
                            <w:sz w:val="19"/>
                          </w:rPr>
                          <w:t>&gt;30% HLI</w:t>
                        </w:r>
                      </w:p>
                    </w:tc>
                    <w:tc>
                      <w:tcPr>
                        <w:tcW w:w="484" w:type="dxa"/>
                        <w:tcBorders>
                          <w:bottom w:val="double" w:sz="4" w:space="0" w:color="000000"/>
                        </w:tcBorders>
                      </w:tcPr>
                      <w:p>
                        <w:pPr/>
                      </w:p>
                    </w:tc>
                  </w:tr>
                  <w:tr>
                    <w:trPr>
                      <w:trHeight w:val="293" w:hRule="exact"/>
                    </w:trPr>
                    <w:tc>
                      <w:tcPr>
                        <w:tcW w:w="1082" w:type="dxa"/>
                        <w:tcBorders>
                          <w:top w:val="double" w:sz="4" w:space="0" w:color="000000"/>
                        </w:tcBorders>
                      </w:tcPr>
                      <w:p>
                        <w:pPr>
                          <w:pStyle w:val="TableParagraph"/>
                          <w:spacing w:before="33"/>
                          <w:ind w:left="72"/>
                          <w:jc w:val="left"/>
                          <w:rPr>
                            <w:sz w:val="19"/>
                          </w:rPr>
                        </w:pPr>
                        <w:r>
                          <w:rPr>
                            <w:w w:val="105"/>
                            <w:sz w:val="19"/>
                          </w:rPr>
                          <w:t>Chiapas</w:t>
                        </w:r>
                      </w:p>
                    </w:tc>
                    <w:tc>
                      <w:tcPr>
                        <w:tcW w:w="708" w:type="dxa"/>
                        <w:tcBorders>
                          <w:top w:val="double" w:sz="4" w:space="0" w:color="000000"/>
                        </w:tcBorders>
                      </w:tcPr>
                      <w:p>
                        <w:pPr>
                          <w:pStyle w:val="TableParagraph"/>
                          <w:spacing w:before="33"/>
                          <w:ind w:right="162"/>
                          <w:rPr>
                            <w:sz w:val="19"/>
                          </w:rPr>
                        </w:pPr>
                        <w:r>
                          <w:rPr>
                            <w:sz w:val="19"/>
                          </w:rPr>
                          <w:t>119</w:t>
                        </w:r>
                      </w:p>
                    </w:tc>
                    <w:tc>
                      <w:tcPr>
                        <w:tcW w:w="1242" w:type="dxa"/>
                        <w:tcBorders>
                          <w:top w:val="double" w:sz="4" w:space="0" w:color="000000"/>
                        </w:tcBorders>
                      </w:tcPr>
                      <w:p>
                        <w:pPr>
                          <w:pStyle w:val="TableParagraph"/>
                          <w:spacing w:before="33"/>
                          <w:ind w:right="212"/>
                          <w:rPr>
                            <w:sz w:val="19"/>
                          </w:rPr>
                        </w:pPr>
                        <w:r>
                          <w:rPr>
                            <w:sz w:val="19"/>
                          </w:rPr>
                          <w:t>46</w:t>
                        </w:r>
                      </w:p>
                    </w:tc>
                    <w:tc>
                      <w:tcPr>
                        <w:tcW w:w="489" w:type="dxa"/>
                        <w:tcBorders>
                          <w:top w:val="double" w:sz="4" w:space="0" w:color="000000"/>
                        </w:tcBorders>
                      </w:tcPr>
                      <w:p>
                        <w:pPr>
                          <w:pStyle w:val="TableParagraph"/>
                          <w:spacing w:before="33"/>
                          <w:ind w:right="73"/>
                          <w:rPr>
                            <w:sz w:val="19"/>
                          </w:rPr>
                        </w:pPr>
                        <w:r>
                          <w:rPr>
                            <w:sz w:val="19"/>
                          </w:rPr>
                          <w:t>39</w:t>
                        </w:r>
                      </w:p>
                    </w:tc>
                    <w:tc>
                      <w:tcPr>
                        <w:tcW w:w="1073" w:type="dxa"/>
                        <w:tcBorders>
                          <w:top w:val="double" w:sz="4" w:space="0" w:color="000000"/>
                        </w:tcBorders>
                      </w:tcPr>
                      <w:p>
                        <w:pPr>
                          <w:pStyle w:val="TableParagraph"/>
                          <w:spacing w:before="33"/>
                          <w:ind w:right="161"/>
                          <w:rPr>
                            <w:sz w:val="19"/>
                          </w:rPr>
                        </w:pPr>
                        <w:r>
                          <w:rPr>
                            <w:w w:val="105"/>
                            <w:sz w:val="19"/>
                          </w:rPr>
                          <w:t>6 339</w:t>
                        </w:r>
                      </w:p>
                    </w:tc>
                    <w:tc>
                      <w:tcPr>
                        <w:tcW w:w="1243" w:type="dxa"/>
                        <w:tcBorders>
                          <w:top w:val="double" w:sz="4" w:space="0" w:color="000000"/>
                        </w:tcBorders>
                      </w:tcPr>
                      <w:p>
                        <w:pPr>
                          <w:pStyle w:val="TableParagraph"/>
                          <w:spacing w:before="33"/>
                          <w:ind w:right="215"/>
                          <w:rPr>
                            <w:sz w:val="19"/>
                          </w:rPr>
                        </w:pPr>
                        <w:r>
                          <w:rPr>
                            <w:sz w:val="19"/>
                          </w:rPr>
                          <w:t>411</w:t>
                        </w:r>
                      </w:p>
                    </w:tc>
                    <w:tc>
                      <w:tcPr>
                        <w:tcW w:w="484" w:type="dxa"/>
                        <w:tcBorders>
                          <w:top w:val="double" w:sz="4" w:space="0" w:color="000000"/>
                        </w:tcBorders>
                      </w:tcPr>
                      <w:p>
                        <w:pPr>
                          <w:pStyle w:val="TableParagraph"/>
                          <w:spacing w:before="33"/>
                          <w:ind w:right="67"/>
                          <w:rPr>
                            <w:sz w:val="19"/>
                          </w:rPr>
                        </w:pPr>
                        <w:r>
                          <w:rPr>
                            <w:w w:val="103"/>
                            <w:sz w:val="19"/>
                          </w:rPr>
                          <w:t>7</w:t>
                        </w:r>
                      </w:p>
                    </w:tc>
                  </w:tr>
                  <w:tr>
                    <w:trPr>
                      <w:trHeight w:val="254" w:hRule="exact"/>
                    </w:trPr>
                    <w:tc>
                      <w:tcPr>
                        <w:tcW w:w="1082" w:type="dxa"/>
                      </w:tcPr>
                      <w:p>
                        <w:pPr>
                          <w:pStyle w:val="TableParagraph"/>
                          <w:spacing w:before="9"/>
                          <w:ind w:left="71"/>
                          <w:jc w:val="left"/>
                          <w:rPr>
                            <w:sz w:val="19"/>
                          </w:rPr>
                        </w:pPr>
                        <w:r>
                          <w:rPr>
                            <w:w w:val="105"/>
                            <w:sz w:val="19"/>
                          </w:rPr>
                          <w:t>Guerrero</w:t>
                        </w:r>
                      </w:p>
                    </w:tc>
                    <w:tc>
                      <w:tcPr>
                        <w:tcW w:w="708" w:type="dxa"/>
                      </w:tcPr>
                      <w:p>
                        <w:pPr>
                          <w:pStyle w:val="TableParagraph"/>
                          <w:spacing w:before="9"/>
                          <w:ind w:right="162"/>
                          <w:rPr>
                            <w:sz w:val="19"/>
                          </w:rPr>
                        </w:pPr>
                        <w:r>
                          <w:rPr>
                            <w:sz w:val="19"/>
                          </w:rPr>
                          <w:t>76</w:t>
                        </w:r>
                      </w:p>
                    </w:tc>
                    <w:tc>
                      <w:tcPr>
                        <w:tcW w:w="1242" w:type="dxa"/>
                      </w:tcPr>
                      <w:p>
                        <w:pPr>
                          <w:pStyle w:val="TableParagraph"/>
                          <w:spacing w:before="9"/>
                          <w:ind w:right="212"/>
                          <w:rPr>
                            <w:sz w:val="19"/>
                          </w:rPr>
                        </w:pPr>
                        <w:r>
                          <w:rPr>
                            <w:sz w:val="19"/>
                          </w:rPr>
                          <w:t>21</w:t>
                        </w:r>
                      </w:p>
                    </w:tc>
                    <w:tc>
                      <w:tcPr>
                        <w:tcW w:w="489" w:type="dxa"/>
                      </w:tcPr>
                      <w:p>
                        <w:pPr>
                          <w:pStyle w:val="TableParagraph"/>
                          <w:spacing w:before="9"/>
                          <w:ind w:right="73"/>
                          <w:rPr>
                            <w:sz w:val="19"/>
                          </w:rPr>
                        </w:pPr>
                        <w:r>
                          <w:rPr>
                            <w:sz w:val="19"/>
                          </w:rPr>
                          <w:t>28</w:t>
                        </w:r>
                      </w:p>
                    </w:tc>
                    <w:tc>
                      <w:tcPr>
                        <w:tcW w:w="1073" w:type="dxa"/>
                      </w:tcPr>
                      <w:p>
                        <w:pPr>
                          <w:pStyle w:val="TableParagraph"/>
                          <w:spacing w:before="9"/>
                          <w:ind w:right="161"/>
                          <w:rPr>
                            <w:sz w:val="19"/>
                          </w:rPr>
                        </w:pPr>
                        <w:r>
                          <w:rPr>
                            <w:w w:val="105"/>
                            <w:sz w:val="19"/>
                          </w:rPr>
                          <w:t>53 280</w:t>
                        </w:r>
                      </w:p>
                    </w:tc>
                    <w:tc>
                      <w:tcPr>
                        <w:tcW w:w="1243" w:type="dxa"/>
                      </w:tcPr>
                      <w:p>
                        <w:pPr>
                          <w:pStyle w:val="TableParagraph"/>
                          <w:spacing w:before="9"/>
                          <w:ind w:right="215"/>
                          <w:rPr>
                            <w:sz w:val="19"/>
                          </w:rPr>
                        </w:pPr>
                        <w:r>
                          <w:rPr>
                            <w:w w:val="105"/>
                            <w:sz w:val="19"/>
                          </w:rPr>
                          <w:t>3 084</w:t>
                        </w:r>
                      </w:p>
                    </w:tc>
                    <w:tc>
                      <w:tcPr>
                        <w:tcW w:w="484" w:type="dxa"/>
                      </w:tcPr>
                      <w:p>
                        <w:pPr>
                          <w:pStyle w:val="TableParagraph"/>
                          <w:spacing w:before="9"/>
                          <w:ind w:right="67"/>
                          <w:rPr>
                            <w:sz w:val="19"/>
                          </w:rPr>
                        </w:pPr>
                        <w:r>
                          <w:rPr>
                            <w:w w:val="103"/>
                            <w:sz w:val="19"/>
                          </w:rPr>
                          <w:t>6</w:t>
                        </w:r>
                      </w:p>
                    </w:tc>
                  </w:tr>
                  <w:tr>
                    <w:trPr>
                      <w:trHeight w:val="254" w:hRule="exact"/>
                    </w:trPr>
                    <w:tc>
                      <w:tcPr>
                        <w:tcW w:w="1082" w:type="dxa"/>
                      </w:tcPr>
                      <w:p>
                        <w:pPr>
                          <w:pStyle w:val="TableParagraph"/>
                          <w:spacing w:before="9"/>
                          <w:ind w:left="71"/>
                          <w:jc w:val="left"/>
                          <w:rPr>
                            <w:sz w:val="19"/>
                          </w:rPr>
                        </w:pPr>
                        <w:r>
                          <w:rPr>
                            <w:w w:val="105"/>
                            <w:sz w:val="19"/>
                          </w:rPr>
                          <w:t>Hidalgo</w:t>
                        </w:r>
                      </w:p>
                    </w:tc>
                    <w:tc>
                      <w:tcPr>
                        <w:tcW w:w="708" w:type="dxa"/>
                      </w:tcPr>
                      <w:p>
                        <w:pPr>
                          <w:pStyle w:val="TableParagraph"/>
                          <w:spacing w:before="9"/>
                          <w:ind w:right="162"/>
                          <w:rPr>
                            <w:sz w:val="19"/>
                          </w:rPr>
                        </w:pPr>
                        <w:r>
                          <w:rPr>
                            <w:sz w:val="19"/>
                          </w:rPr>
                          <w:t>84</w:t>
                        </w:r>
                      </w:p>
                    </w:tc>
                    <w:tc>
                      <w:tcPr>
                        <w:tcW w:w="1242" w:type="dxa"/>
                      </w:tcPr>
                      <w:p>
                        <w:pPr>
                          <w:pStyle w:val="TableParagraph"/>
                          <w:spacing w:before="9"/>
                          <w:ind w:right="212"/>
                          <w:rPr>
                            <w:sz w:val="19"/>
                          </w:rPr>
                        </w:pPr>
                        <w:r>
                          <w:rPr>
                            <w:sz w:val="19"/>
                          </w:rPr>
                          <w:t>22</w:t>
                        </w:r>
                      </w:p>
                    </w:tc>
                    <w:tc>
                      <w:tcPr>
                        <w:tcW w:w="489" w:type="dxa"/>
                      </w:tcPr>
                      <w:p>
                        <w:pPr>
                          <w:pStyle w:val="TableParagraph"/>
                          <w:spacing w:before="9"/>
                          <w:ind w:right="73"/>
                          <w:rPr>
                            <w:sz w:val="19"/>
                          </w:rPr>
                        </w:pPr>
                        <w:r>
                          <w:rPr>
                            <w:sz w:val="19"/>
                          </w:rPr>
                          <w:t>26</w:t>
                        </w:r>
                      </w:p>
                    </w:tc>
                    <w:tc>
                      <w:tcPr>
                        <w:tcW w:w="1073" w:type="dxa"/>
                      </w:tcPr>
                      <w:p>
                        <w:pPr>
                          <w:pStyle w:val="TableParagraph"/>
                          <w:spacing w:before="9"/>
                          <w:ind w:right="161"/>
                          <w:rPr>
                            <w:sz w:val="19"/>
                          </w:rPr>
                        </w:pPr>
                        <w:r>
                          <w:rPr>
                            <w:w w:val="105"/>
                            <w:sz w:val="19"/>
                          </w:rPr>
                          <w:t>25 645</w:t>
                        </w:r>
                      </w:p>
                    </w:tc>
                    <w:tc>
                      <w:tcPr>
                        <w:tcW w:w="1243" w:type="dxa"/>
                      </w:tcPr>
                      <w:p>
                        <w:pPr>
                          <w:pStyle w:val="TableParagraph"/>
                          <w:spacing w:before="9"/>
                          <w:ind w:right="215"/>
                          <w:rPr>
                            <w:sz w:val="19"/>
                          </w:rPr>
                        </w:pPr>
                        <w:r>
                          <w:rPr>
                            <w:w w:val="105"/>
                            <w:sz w:val="19"/>
                          </w:rPr>
                          <w:t>6 258</w:t>
                        </w:r>
                      </w:p>
                    </w:tc>
                    <w:tc>
                      <w:tcPr>
                        <w:tcW w:w="484" w:type="dxa"/>
                      </w:tcPr>
                      <w:p>
                        <w:pPr>
                          <w:pStyle w:val="TableParagraph"/>
                          <w:spacing w:before="9"/>
                          <w:ind w:right="65"/>
                          <w:rPr>
                            <w:sz w:val="19"/>
                          </w:rPr>
                        </w:pPr>
                        <w:r>
                          <w:rPr>
                            <w:sz w:val="19"/>
                          </w:rPr>
                          <w:t>24</w:t>
                        </w:r>
                      </w:p>
                    </w:tc>
                  </w:tr>
                  <w:tr>
                    <w:trPr>
                      <w:trHeight w:val="254" w:hRule="exact"/>
                    </w:trPr>
                    <w:tc>
                      <w:tcPr>
                        <w:tcW w:w="1082" w:type="dxa"/>
                      </w:tcPr>
                      <w:p>
                        <w:pPr>
                          <w:pStyle w:val="TableParagraph"/>
                          <w:spacing w:before="9"/>
                          <w:ind w:left="71"/>
                          <w:jc w:val="left"/>
                          <w:rPr>
                            <w:sz w:val="19"/>
                          </w:rPr>
                        </w:pPr>
                        <w:r>
                          <w:rPr>
                            <w:w w:val="105"/>
                            <w:sz w:val="19"/>
                          </w:rPr>
                          <w:t>Michoacán</w:t>
                        </w:r>
                      </w:p>
                    </w:tc>
                    <w:tc>
                      <w:tcPr>
                        <w:tcW w:w="708" w:type="dxa"/>
                      </w:tcPr>
                      <w:p>
                        <w:pPr>
                          <w:pStyle w:val="TableParagraph"/>
                          <w:spacing w:before="9"/>
                          <w:ind w:right="162"/>
                          <w:rPr>
                            <w:sz w:val="19"/>
                          </w:rPr>
                        </w:pPr>
                        <w:r>
                          <w:rPr>
                            <w:sz w:val="19"/>
                          </w:rPr>
                          <w:t>113</w:t>
                        </w:r>
                      </w:p>
                    </w:tc>
                    <w:tc>
                      <w:tcPr>
                        <w:tcW w:w="1242" w:type="dxa"/>
                      </w:tcPr>
                      <w:p>
                        <w:pPr>
                          <w:pStyle w:val="TableParagraph"/>
                          <w:spacing w:before="9"/>
                          <w:ind w:right="214"/>
                          <w:rPr>
                            <w:sz w:val="19"/>
                          </w:rPr>
                        </w:pPr>
                        <w:r>
                          <w:rPr>
                            <w:w w:val="103"/>
                            <w:sz w:val="19"/>
                          </w:rPr>
                          <w:t>7</w:t>
                        </w:r>
                      </w:p>
                    </w:tc>
                    <w:tc>
                      <w:tcPr>
                        <w:tcW w:w="489" w:type="dxa"/>
                      </w:tcPr>
                      <w:p>
                        <w:pPr>
                          <w:pStyle w:val="TableParagraph"/>
                          <w:spacing w:before="9"/>
                          <w:ind w:right="75"/>
                          <w:rPr>
                            <w:sz w:val="19"/>
                          </w:rPr>
                        </w:pPr>
                        <w:r>
                          <w:rPr>
                            <w:w w:val="103"/>
                            <w:sz w:val="19"/>
                          </w:rPr>
                          <w:t>6</w:t>
                        </w:r>
                      </w:p>
                    </w:tc>
                    <w:tc>
                      <w:tcPr>
                        <w:tcW w:w="1073" w:type="dxa"/>
                      </w:tcPr>
                      <w:p>
                        <w:pPr>
                          <w:pStyle w:val="TableParagraph"/>
                          <w:spacing w:before="9"/>
                          <w:ind w:right="161"/>
                          <w:rPr>
                            <w:sz w:val="19"/>
                          </w:rPr>
                        </w:pPr>
                        <w:r>
                          <w:rPr>
                            <w:w w:val="105"/>
                            <w:sz w:val="19"/>
                          </w:rPr>
                          <w:t>101 630</w:t>
                        </w:r>
                      </w:p>
                    </w:tc>
                    <w:tc>
                      <w:tcPr>
                        <w:tcW w:w="1243" w:type="dxa"/>
                      </w:tcPr>
                      <w:p>
                        <w:pPr>
                          <w:pStyle w:val="TableParagraph"/>
                          <w:spacing w:before="9"/>
                          <w:ind w:right="215"/>
                          <w:rPr>
                            <w:sz w:val="19"/>
                          </w:rPr>
                        </w:pPr>
                        <w:r>
                          <w:rPr>
                            <w:w w:val="105"/>
                            <w:sz w:val="19"/>
                          </w:rPr>
                          <w:t>3 325</w:t>
                        </w:r>
                      </w:p>
                    </w:tc>
                    <w:tc>
                      <w:tcPr>
                        <w:tcW w:w="484" w:type="dxa"/>
                      </w:tcPr>
                      <w:p>
                        <w:pPr>
                          <w:pStyle w:val="TableParagraph"/>
                          <w:spacing w:before="9"/>
                          <w:ind w:right="67"/>
                          <w:rPr>
                            <w:sz w:val="19"/>
                          </w:rPr>
                        </w:pPr>
                        <w:r>
                          <w:rPr>
                            <w:w w:val="103"/>
                            <w:sz w:val="19"/>
                          </w:rPr>
                          <w:t>3</w:t>
                        </w:r>
                      </w:p>
                    </w:tc>
                  </w:tr>
                  <w:tr>
                    <w:trPr>
                      <w:trHeight w:val="254" w:hRule="exact"/>
                    </w:trPr>
                    <w:tc>
                      <w:tcPr>
                        <w:tcW w:w="1082" w:type="dxa"/>
                      </w:tcPr>
                      <w:p>
                        <w:pPr>
                          <w:pStyle w:val="TableParagraph"/>
                          <w:spacing w:before="9"/>
                          <w:ind w:left="71"/>
                          <w:jc w:val="left"/>
                          <w:rPr>
                            <w:sz w:val="19"/>
                          </w:rPr>
                        </w:pPr>
                        <w:r>
                          <w:rPr>
                            <w:w w:val="105"/>
                            <w:sz w:val="19"/>
                          </w:rPr>
                          <w:t>Oaxaca</w:t>
                        </w:r>
                      </w:p>
                    </w:tc>
                    <w:tc>
                      <w:tcPr>
                        <w:tcW w:w="708" w:type="dxa"/>
                      </w:tcPr>
                      <w:p>
                        <w:pPr>
                          <w:pStyle w:val="TableParagraph"/>
                          <w:spacing w:before="9"/>
                          <w:ind w:right="162"/>
                          <w:rPr>
                            <w:sz w:val="19"/>
                          </w:rPr>
                        </w:pPr>
                        <w:r>
                          <w:rPr>
                            <w:sz w:val="19"/>
                          </w:rPr>
                          <w:t>570</w:t>
                        </w:r>
                      </w:p>
                    </w:tc>
                    <w:tc>
                      <w:tcPr>
                        <w:tcW w:w="1242" w:type="dxa"/>
                      </w:tcPr>
                      <w:p>
                        <w:pPr>
                          <w:pStyle w:val="TableParagraph"/>
                          <w:spacing w:before="9"/>
                          <w:ind w:right="212"/>
                          <w:rPr>
                            <w:sz w:val="19"/>
                          </w:rPr>
                        </w:pPr>
                        <w:r>
                          <w:rPr>
                            <w:sz w:val="19"/>
                          </w:rPr>
                          <w:t>283</w:t>
                        </w:r>
                      </w:p>
                    </w:tc>
                    <w:tc>
                      <w:tcPr>
                        <w:tcW w:w="489" w:type="dxa"/>
                      </w:tcPr>
                      <w:p>
                        <w:pPr>
                          <w:pStyle w:val="TableParagraph"/>
                          <w:spacing w:before="9"/>
                          <w:ind w:right="73"/>
                          <w:rPr>
                            <w:sz w:val="19"/>
                          </w:rPr>
                        </w:pPr>
                        <w:r>
                          <w:rPr>
                            <w:sz w:val="19"/>
                          </w:rPr>
                          <w:t>50</w:t>
                        </w:r>
                      </w:p>
                    </w:tc>
                    <w:tc>
                      <w:tcPr>
                        <w:tcW w:w="1073" w:type="dxa"/>
                      </w:tcPr>
                      <w:p>
                        <w:pPr>
                          <w:pStyle w:val="TableParagraph"/>
                          <w:spacing w:before="9"/>
                          <w:ind w:right="161"/>
                          <w:rPr>
                            <w:sz w:val="19"/>
                          </w:rPr>
                        </w:pPr>
                        <w:r>
                          <w:rPr>
                            <w:w w:val="105"/>
                            <w:sz w:val="19"/>
                          </w:rPr>
                          <w:t>31 516</w:t>
                        </w:r>
                      </w:p>
                    </w:tc>
                    <w:tc>
                      <w:tcPr>
                        <w:tcW w:w="1243" w:type="dxa"/>
                      </w:tcPr>
                      <w:p>
                        <w:pPr>
                          <w:pStyle w:val="TableParagraph"/>
                          <w:spacing w:before="9"/>
                          <w:ind w:right="215"/>
                          <w:rPr>
                            <w:sz w:val="19"/>
                          </w:rPr>
                        </w:pPr>
                        <w:r>
                          <w:rPr>
                            <w:w w:val="105"/>
                            <w:sz w:val="19"/>
                          </w:rPr>
                          <w:t>11 361</w:t>
                        </w:r>
                      </w:p>
                    </w:tc>
                    <w:tc>
                      <w:tcPr>
                        <w:tcW w:w="484" w:type="dxa"/>
                      </w:tcPr>
                      <w:p>
                        <w:pPr>
                          <w:pStyle w:val="TableParagraph"/>
                          <w:spacing w:before="9"/>
                          <w:ind w:right="65"/>
                          <w:rPr>
                            <w:sz w:val="19"/>
                          </w:rPr>
                        </w:pPr>
                        <w:r>
                          <w:rPr>
                            <w:sz w:val="19"/>
                          </w:rPr>
                          <w:t>36</w:t>
                        </w:r>
                      </w:p>
                    </w:tc>
                  </w:tr>
                  <w:tr>
                    <w:trPr>
                      <w:trHeight w:val="257" w:hRule="exact"/>
                    </w:trPr>
                    <w:tc>
                      <w:tcPr>
                        <w:tcW w:w="1082" w:type="dxa"/>
                      </w:tcPr>
                      <w:p>
                        <w:pPr>
                          <w:pStyle w:val="TableParagraph"/>
                          <w:spacing w:before="9"/>
                          <w:ind w:left="71"/>
                          <w:jc w:val="left"/>
                          <w:rPr>
                            <w:sz w:val="19"/>
                          </w:rPr>
                        </w:pPr>
                        <w:r>
                          <w:rPr>
                            <w:w w:val="105"/>
                            <w:sz w:val="19"/>
                          </w:rPr>
                          <w:t>Puebla</w:t>
                        </w:r>
                      </w:p>
                    </w:tc>
                    <w:tc>
                      <w:tcPr>
                        <w:tcW w:w="708" w:type="dxa"/>
                      </w:tcPr>
                      <w:p>
                        <w:pPr>
                          <w:pStyle w:val="TableParagraph"/>
                          <w:spacing w:before="9"/>
                          <w:ind w:right="162"/>
                          <w:rPr>
                            <w:sz w:val="19"/>
                          </w:rPr>
                        </w:pPr>
                        <w:r>
                          <w:rPr>
                            <w:sz w:val="19"/>
                          </w:rPr>
                          <w:t>217</w:t>
                        </w:r>
                      </w:p>
                    </w:tc>
                    <w:tc>
                      <w:tcPr>
                        <w:tcW w:w="1242" w:type="dxa"/>
                      </w:tcPr>
                      <w:p>
                        <w:pPr>
                          <w:pStyle w:val="TableParagraph"/>
                          <w:spacing w:before="9"/>
                          <w:ind w:right="212"/>
                          <w:rPr>
                            <w:sz w:val="19"/>
                          </w:rPr>
                        </w:pPr>
                        <w:r>
                          <w:rPr>
                            <w:sz w:val="19"/>
                          </w:rPr>
                          <w:t>57</w:t>
                        </w:r>
                      </w:p>
                    </w:tc>
                    <w:tc>
                      <w:tcPr>
                        <w:tcW w:w="489" w:type="dxa"/>
                      </w:tcPr>
                      <w:p>
                        <w:pPr>
                          <w:pStyle w:val="TableParagraph"/>
                          <w:spacing w:before="9"/>
                          <w:ind w:right="73"/>
                          <w:rPr>
                            <w:sz w:val="19"/>
                          </w:rPr>
                        </w:pPr>
                        <w:r>
                          <w:rPr>
                            <w:sz w:val="19"/>
                          </w:rPr>
                          <w:t>26</w:t>
                        </w:r>
                      </w:p>
                    </w:tc>
                    <w:tc>
                      <w:tcPr>
                        <w:tcW w:w="1073" w:type="dxa"/>
                      </w:tcPr>
                      <w:p>
                        <w:pPr>
                          <w:pStyle w:val="TableParagraph"/>
                          <w:spacing w:before="9"/>
                          <w:ind w:right="161"/>
                          <w:rPr>
                            <w:sz w:val="19"/>
                          </w:rPr>
                        </w:pPr>
                        <w:r>
                          <w:rPr>
                            <w:w w:val="105"/>
                            <w:sz w:val="19"/>
                          </w:rPr>
                          <w:t>36 059</w:t>
                        </w:r>
                      </w:p>
                    </w:tc>
                    <w:tc>
                      <w:tcPr>
                        <w:tcW w:w="1243" w:type="dxa"/>
                      </w:tcPr>
                      <w:p>
                        <w:pPr>
                          <w:pStyle w:val="TableParagraph"/>
                          <w:spacing w:before="9"/>
                          <w:ind w:right="215"/>
                          <w:rPr>
                            <w:sz w:val="19"/>
                          </w:rPr>
                        </w:pPr>
                        <w:r>
                          <w:rPr>
                            <w:w w:val="105"/>
                            <w:sz w:val="19"/>
                          </w:rPr>
                          <w:t>1 401</w:t>
                        </w:r>
                      </w:p>
                    </w:tc>
                    <w:tc>
                      <w:tcPr>
                        <w:tcW w:w="484" w:type="dxa"/>
                      </w:tcPr>
                      <w:p>
                        <w:pPr>
                          <w:pStyle w:val="TableParagraph"/>
                          <w:spacing w:before="9"/>
                          <w:ind w:right="67"/>
                          <w:rPr>
                            <w:sz w:val="19"/>
                          </w:rPr>
                        </w:pPr>
                        <w:r>
                          <w:rPr>
                            <w:w w:val="103"/>
                            <w:sz w:val="19"/>
                          </w:rPr>
                          <w:t>4</w:t>
                        </w:r>
                      </w:p>
                    </w:tc>
                  </w:tr>
                  <w:tr>
                    <w:trPr>
                      <w:trHeight w:val="257" w:hRule="exact"/>
                    </w:trPr>
                    <w:tc>
                      <w:tcPr>
                        <w:tcW w:w="1082" w:type="dxa"/>
                      </w:tcPr>
                      <w:p>
                        <w:pPr>
                          <w:pStyle w:val="TableParagraph"/>
                          <w:spacing w:before="12"/>
                          <w:ind w:left="71"/>
                          <w:jc w:val="left"/>
                          <w:rPr>
                            <w:sz w:val="19"/>
                          </w:rPr>
                        </w:pPr>
                        <w:r>
                          <w:rPr>
                            <w:w w:val="105"/>
                            <w:sz w:val="19"/>
                          </w:rPr>
                          <w:t>Veracruz</w:t>
                        </w:r>
                      </w:p>
                    </w:tc>
                    <w:tc>
                      <w:tcPr>
                        <w:tcW w:w="708" w:type="dxa"/>
                      </w:tcPr>
                      <w:p>
                        <w:pPr>
                          <w:pStyle w:val="TableParagraph"/>
                          <w:spacing w:before="12"/>
                          <w:ind w:right="162"/>
                          <w:rPr>
                            <w:sz w:val="19"/>
                          </w:rPr>
                        </w:pPr>
                        <w:r>
                          <w:rPr>
                            <w:sz w:val="19"/>
                          </w:rPr>
                          <w:t>210</w:t>
                        </w:r>
                      </w:p>
                    </w:tc>
                    <w:tc>
                      <w:tcPr>
                        <w:tcW w:w="1242" w:type="dxa"/>
                      </w:tcPr>
                      <w:p>
                        <w:pPr>
                          <w:pStyle w:val="TableParagraph"/>
                          <w:spacing w:before="12"/>
                          <w:ind w:right="212"/>
                          <w:rPr>
                            <w:sz w:val="19"/>
                          </w:rPr>
                        </w:pPr>
                        <w:r>
                          <w:rPr>
                            <w:sz w:val="19"/>
                          </w:rPr>
                          <w:t>43</w:t>
                        </w:r>
                      </w:p>
                    </w:tc>
                    <w:tc>
                      <w:tcPr>
                        <w:tcW w:w="489" w:type="dxa"/>
                      </w:tcPr>
                      <w:p>
                        <w:pPr>
                          <w:pStyle w:val="TableParagraph"/>
                          <w:spacing w:before="12"/>
                          <w:ind w:right="73"/>
                          <w:rPr>
                            <w:sz w:val="19"/>
                          </w:rPr>
                        </w:pPr>
                        <w:r>
                          <w:rPr>
                            <w:sz w:val="19"/>
                          </w:rPr>
                          <w:t>21</w:t>
                        </w:r>
                      </w:p>
                    </w:tc>
                    <w:tc>
                      <w:tcPr>
                        <w:tcW w:w="1073" w:type="dxa"/>
                      </w:tcPr>
                      <w:p>
                        <w:pPr>
                          <w:pStyle w:val="TableParagraph"/>
                          <w:spacing w:before="12"/>
                          <w:ind w:right="161"/>
                          <w:rPr>
                            <w:sz w:val="19"/>
                          </w:rPr>
                        </w:pPr>
                        <w:r>
                          <w:rPr>
                            <w:w w:val="105"/>
                            <w:sz w:val="19"/>
                          </w:rPr>
                          <w:t>45 208</w:t>
                        </w:r>
                      </w:p>
                    </w:tc>
                    <w:tc>
                      <w:tcPr>
                        <w:tcW w:w="1243" w:type="dxa"/>
                      </w:tcPr>
                      <w:p>
                        <w:pPr>
                          <w:pStyle w:val="TableParagraph"/>
                          <w:spacing w:before="12"/>
                          <w:ind w:right="215"/>
                          <w:rPr>
                            <w:sz w:val="19"/>
                          </w:rPr>
                        </w:pPr>
                        <w:r>
                          <w:rPr>
                            <w:w w:val="105"/>
                            <w:sz w:val="19"/>
                          </w:rPr>
                          <w:t>1 936</w:t>
                        </w:r>
                      </w:p>
                    </w:tc>
                    <w:tc>
                      <w:tcPr>
                        <w:tcW w:w="484" w:type="dxa"/>
                      </w:tcPr>
                      <w:p>
                        <w:pPr>
                          <w:pStyle w:val="TableParagraph"/>
                          <w:spacing w:before="12"/>
                          <w:ind w:right="67"/>
                          <w:rPr>
                            <w:sz w:val="19"/>
                          </w:rPr>
                        </w:pPr>
                        <w:r>
                          <w:rPr>
                            <w:w w:val="103"/>
                            <w:sz w:val="19"/>
                          </w:rPr>
                          <w:t>4</w:t>
                        </w:r>
                      </w:p>
                    </w:tc>
                  </w:tr>
                  <w:tr>
                    <w:trPr>
                      <w:trHeight w:val="250" w:hRule="exact"/>
                    </w:trPr>
                    <w:tc>
                      <w:tcPr>
                        <w:tcW w:w="1082" w:type="dxa"/>
                        <w:tcBorders>
                          <w:bottom w:val="double" w:sz="4" w:space="0" w:color="000000"/>
                        </w:tcBorders>
                      </w:tcPr>
                      <w:p>
                        <w:pPr>
                          <w:pStyle w:val="TableParagraph"/>
                          <w:spacing w:before="9"/>
                          <w:ind w:left="71"/>
                          <w:jc w:val="left"/>
                          <w:rPr>
                            <w:sz w:val="19"/>
                          </w:rPr>
                        </w:pPr>
                        <w:r>
                          <w:rPr>
                            <w:w w:val="105"/>
                            <w:sz w:val="19"/>
                          </w:rPr>
                          <w:t>Yucatán</w:t>
                        </w:r>
                      </w:p>
                    </w:tc>
                    <w:tc>
                      <w:tcPr>
                        <w:tcW w:w="708" w:type="dxa"/>
                        <w:tcBorders>
                          <w:bottom w:val="double" w:sz="4" w:space="0" w:color="000000"/>
                        </w:tcBorders>
                      </w:tcPr>
                      <w:p>
                        <w:pPr>
                          <w:pStyle w:val="TableParagraph"/>
                          <w:spacing w:before="9"/>
                          <w:ind w:right="162"/>
                          <w:rPr>
                            <w:sz w:val="19"/>
                          </w:rPr>
                        </w:pPr>
                        <w:r>
                          <w:rPr>
                            <w:sz w:val="19"/>
                          </w:rPr>
                          <w:t>106</w:t>
                        </w:r>
                      </w:p>
                    </w:tc>
                    <w:tc>
                      <w:tcPr>
                        <w:tcW w:w="1242" w:type="dxa"/>
                        <w:tcBorders>
                          <w:bottom w:val="double" w:sz="4" w:space="0" w:color="000000"/>
                        </w:tcBorders>
                      </w:tcPr>
                      <w:p>
                        <w:pPr>
                          <w:pStyle w:val="TableParagraph"/>
                          <w:spacing w:before="9"/>
                          <w:ind w:right="212"/>
                          <w:rPr>
                            <w:sz w:val="19"/>
                          </w:rPr>
                        </w:pPr>
                        <w:r>
                          <w:rPr>
                            <w:sz w:val="19"/>
                          </w:rPr>
                          <w:t>89</w:t>
                        </w:r>
                      </w:p>
                    </w:tc>
                    <w:tc>
                      <w:tcPr>
                        <w:tcW w:w="489" w:type="dxa"/>
                        <w:tcBorders>
                          <w:bottom w:val="double" w:sz="4" w:space="0" w:color="000000"/>
                        </w:tcBorders>
                      </w:tcPr>
                      <w:p>
                        <w:pPr>
                          <w:pStyle w:val="TableParagraph"/>
                          <w:spacing w:before="9"/>
                          <w:ind w:right="73"/>
                          <w:rPr>
                            <w:sz w:val="19"/>
                          </w:rPr>
                        </w:pPr>
                        <w:r>
                          <w:rPr>
                            <w:sz w:val="19"/>
                          </w:rPr>
                          <w:t>84</w:t>
                        </w:r>
                      </w:p>
                    </w:tc>
                    <w:tc>
                      <w:tcPr>
                        <w:tcW w:w="1073" w:type="dxa"/>
                        <w:tcBorders>
                          <w:bottom w:val="double" w:sz="4" w:space="0" w:color="000000"/>
                        </w:tcBorders>
                      </w:tcPr>
                      <w:p>
                        <w:pPr>
                          <w:pStyle w:val="TableParagraph"/>
                          <w:spacing w:before="9"/>
                          <w:ind w:right="161"/>
                          <w:rPr>
                            <w:sz w:val="19"/>
                          </w:rPr>
                        </w:pPr>
                        <w:r>
                          <w:rPr>
                            <w:w w:val="105"/>
                            <w:sz w:val="19"/>
                          </w:rPr>
                          <w:t>5 476</w:t>
                        </w:r>
                      </w:p>
                    </w:tc>
                    <w:tc>
                      <w:tcPr>
                        <w:tcW w:w="1243" w:type="dxa"/>
                        <w:tcBorders>
                          <w:bottom w:val="double" w:sz="4" w:space="0" w:color="000000"/>
                        </w:tcBorders>
                      </w:tcPr>
                      <w:p>
                        <w:pPr>
                          <w:pStyle w:val="TableParagraph"/>
                          <w:spacing w:before="9"/>
                          <w:ind w:right="215"/>
                          <w:rPr>
                            <w:sz w:val="19"/>
                          </w:rPr>
                        </w:pPr>
                        <w:r>
                          <w:rPr>
                            <w:w w:val="105"/>
                            <w:sz w:val="19"/>
                          </w:rPr>
                          <w:t>2 797</w:t>
                        </w:r>
                      </w:p>
                    </w:tc>
                    <w:tc>
                      <w:tcPr>
                        <w:tcW w:w="484" w:type="dxa"/>
                        <w:tcBorders>
                          <w:bottom w:val="double" w:sz="4" w:space="0" w:color="000000"/>
                        </w:tcBorders>
                      </w:tcPr>
                      <w:p>
                        <w:pPr>
                          <w:pStyle w:val="TableParagraph"/>
                          <w:spacing w:before="9"/>
                          <w:ind w:right="65"/>
                          <w:rPr>
                            <w:sz w:val="19"/>
                          </w:rPr>
                        </w:pPr>
                        <w:r>
                          <w:rPr>
                            <w:sz w:val="19"/>
                          </w:rPr>
                          <w:t>51</w:t>
                        </w:r>
                      </w:p>
                    </w:tc>
                  </w:tr>
                </w:tbl>
                <w:p>
                  <w:pPr>
                    <w:pStyle w:val="BodyText"/>
                  </w:pPr>
                </w:p>
              </w:txbxContent>
            </v:textbox>
            <w10:wrap type="none"/>
          </v:shape>
        </w:pict>
      </w:r>
      <w:r>
        <w:rPr>
          <w:w w:val="103"/>
          <w:sz w:val="19"/>
          <w:u w:val="single"/>
        </w:rPr>
        <w:t> </w:t>
      </w:r>
      <w:r>
        <w:rPr>
          <w:spacing w:val="-25"/>
          <w:sz w:val="19"/>
          <w:u w:val="single"/>
        </w:rPr>
        <w:t> </w:t>
      </w:r>
      <w:r>
        <w:rPr>
          <w:w w:val="105"/>
          <w:sz w:val="19"/>
          <w:u w:val="single"/>
        </w:rPr>
        <w:t>receptores de</w:t>
      </w:r>
      <w:r>
        <w:rPr>
          <w:spacing w:val="-5"/>
          <w:w w:val="105"/>
          <w:sz w:val="19"/>
          <w:u w:val="single"/>
        </w:rPr>
        <w:t> </w:t>
      </w:r>
      <w:r>
        <w:rPr>
          <w:w w:val="105"/>
          <w:sz w:val="19"/>
          <w:u w:val="single"/>
        </w:rPr>
        <w:t>remesas</w:t>
      </w:r>
      <w:r>
        <w:rPr>
          <w:spacing w:val="-3"/>
          <w:w w:val="105"/>
          <w:sz w:val="19"/>
          <w:u w:val="single"/>
        </w:rPr>
        <w:t> </w:t>
      </w:r>
      <w:r>
        <w:rPr>
          <w:w w:val="105"/>
          <w:sz w:val="19"/>
          <w:u w:val="single"/>
        </w:rPr>
        <w:t>(2000)</w:t>
      </w:r>
      <w:r>
        <w:rPr>
          <w:sz w:val="19"/>
          <w:u w:val="single"/>
        </w:rPr>
        <w:tab/>
        <w:tab/>
        <w:tab/>
        <w:tab/>
      </w:r>
      <w:r>
        <w:rPr>
          <w:sz w:val="19"/>
        </w:rPr>
        <w:t> </w:t>
      </w:r>
      <w:r>
        <w:rPr>
          <w:w w:val="105"/>
          <w:position w:val="-11"/>
          <w:sz w:val="19"/>
        </w:rPr>
        <w:t>Estado</w:t>
        <w:tab/>
      </w:r>
      <w:r>
        <w:rPr>
          <w:w w:val="105"/>
          <w:sz w:val="19"/>
        </w:rPr>
        <w:t>Municipios</w:t>
        <w:tab/>
      </w:r>
      <w:r>
        <w:rPr>
          <w:w w:val="105"/>
          <w:position w:val="-11"/>
          <w:sz w:val="19"/>
        </w:rPr>
        <w:t>%</w:t>
        <w:tab/>
      </w:r>
      <w:r>
        <w:rPr>
          <w:w w:val="105"/>
          <w:sz w:val="19"/>
        </w:rPr>
        <w:t>Hogares</w:t>
      </w:r>
      <w:r>
        <w:rPr>
          <w:spacing w:val="-1"/>
          <w:w w:val="105"/>
          <w:sz w:val="19"/>
        </w:rPr>
        <w:t> </w:t>
      </w:r>
      <w:r>
        <w:rPr>
          <w:w w:val="105"/>
          <w:sz w:val="19"/>
        </w:rPr>
        <w:t>Receptores</w:t>
        <w:tab/>
      </w:r>
      <w:r>
        <w:rPr>
          <w:w w:val="105"/>
          <w:position w:val="-11"/>
          <w:sz w:val="19"/>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4"/>
        </w:rPr>
      </w:pPr>
    </w:p>
    <w:p>
      <w:pPr>
        <w:spacing w:before="79"/>
        <w:ind w:left="387" w:right="117" w:firstLine="0"/>
        <w:jc w:val="left"/>
        <w:rPr>
          <w:sz w:val="16"/>
        </w:rPr>
      </w:pPr>
      <w:r>
        <w:rPr>
          <w:sz w:val="16"/>
        </w:rPr>
        <w:t>Fuente: elaboración propia a partir de CONAPO.</w:t>
      </w:r>
    </w:p>
    <w:p>
      <w:pPr>
        <w:pStyle w:val="BodyText"/>
        <w:spacing w:line="247" w:lineRule="auto" w:before="140"/>
        <w:ind w:left="117" w:right="115" w:firstLine="283"/>
        <w:jc w:val="both"/>
      </w:pPr>
      <w:r>
        <w:rPr>
          <w:color w:val="231F20"/>
        </w:rPr>
        <w:t>De acuerdo con las distintas encuestas desde el año 2000, las remesas se ocupan primordialmente (80 por ciento) para gastos de alimentación y renta,</w:t>
      </w:r>
      <w:r>
        <w:rPr>
          <w:color w:val="231F20"/>
          <w:spacing w:val="-5"/>
        </w:rPr>
        <w:t> </w:t>
      </w:r>
      <w:r>
        <w:rPr>
          <w:color w:val="231F20"/>
        </w:rPr>
        <w:t>compra</w:t>
      </w:r>
      <w:r>
        <w:rPr>
          <w:color w:val="231F20"/>
          <w:spacing w:val="-5"/>
        </w:rPr>
        <w:t> </w:t>
      </w:r>
      <w:r>
        <w:rPr>
          <w:color w:val="231F20"/>
        </w:rPr>
        <w:t>o</w:t>
      </w:r>
      <w:r>
        <w:rPr>
          <w:color w:val="231F20"/>
          <w:spacing w:val="-5"/>
        </w:rPr>
        <w:t> </w:t>
      </w:r>
      <w:r>
        <w:rPr>
          <w:color w:val="231F20"/>
        </w:rPr>
        <w:t>mejora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vivienda,</w:t>
      </w:r>
      <w:r>
        <w:rPr>
          <w:color w:val="231F20"/>
          <w:spacing w:val="-5"/>
        </w:rPr>
        <w:t> </w:t>
      </w:r>
      <w:r>
        <w:rPr>
          <w:color w:val="231F20"/>
        </w:rPr>
        <w:t>en</w:t>
      </w:r>
      <w:r>
        <w:rPr>
          <w:color w:val="231F20"/>
          <w:spacing w:val="-5"/>
        </w:rPr>
        <w:t> </w:t>
      </w:r>
      <w:r>
        <w:rPr>
          <w:color w:val="231F20"/>
        </w:rPr>
        <w:t>segundo</w:t>
      </w:r>
      <w:r>
        <w:rPr>
          <w:color w:val="231F20"/>
          <w:spacing w:val="-5"/>
        </w:rPr>
        <w:t> </w:t>
      </w:r>
      <w:r>
        <w:rPr>
          <w:color w:val="231F20"/>
        </w:rPr>
        <w:t>lugar</w:t>
      </w:r>
      <w:r>
        <w:rPr>
          <w:color w:val="231F20"/>
          <w:spacing w:val="-5"/>
        </w:rPr>
        <w:t> </w:t>
      </w:r>
      <w:r>
        <w:rPr>
          <w:color w:val="231F20"/>
        </w:rPr>
        <w:t>para</w:t>
      </w:r>
      <w:r>
        <w:rPr>
          <w:color w:val="231F20"/>
          <w:spacing w:val="-5"/>
        </w:rPr>
        <w:t> </w:t>
      </w:r>
      <w:r>
        <w:rPr>
          <w:color w:val="231F20"/>
        </w:rPr>
        <w:t>la</w:t>
      </w:r>
      <w:r>
        <w:rPr>
          <w:color w:val="231F20"/>
          <w:spacing w:val="-5"/>
        </w:rPr>
        <w:t> </w:t>
      </w:r>
      <w:r>
        <w:rPr>
          <w:color w:val="231F20"/>
        </w:rPr>
        <w:t>compra</w:t>
      </w:r>
      <w:r>
        <w:rPr>
          <w:color w:val="231F20"/>
          <w:spacing w:val="-5"/>
        </w:rPr>
        <w:t> </w:t>
      </w:r>
      <w:r>
        <w:rPr>
          <w:color w:val="231F20"/>
        </w:rPr>
        <w:t>de tierras</w:t>
      </w:r>
      <w:r>
        <w:rPr>
          <w:color w:val="231F20"/>
          <w:spacing w:val="-4"/>
        </w:rPr>
        <w:t> </w:t>
      </w:r>
      <w:r>
        <w:rPr>
          <w:color w:val="231F20"/>
        </w:rPr>
        <w:t>o</w:t>
      </w:r>
      <w:r>
        <w:rPr>
          <w:color w:val="231F20"/>
          <w:spacing w:val="-4"/>
        </w:rPr>
        <w:t> </w:t>
      </w:r>
      <w:r>
        <w:rPr>
          <w:color w:val="231F20"/>
        </w:rPr>
        <w:t>negocios</w:t>
      </w:r>
      <w:r>
        <w:rPr>
          <w:color w:val="231F20"/>
          <w:spacing w:val="-4"/>
        </w:rPr>
        <w:t> </w:t>
      </w:r>
      <w:r>
        <w:rPr>
          <w:color w:val="231F20"/>
        </w:rPr>
        <w:t>y</w:t>
      </w:r>
      <w:r>
        <w:rPr>
          <w:color w:val="231F20"/>
          <w:spacing w:val="-4"/>
        </w:rPr>
        <w:t> </w:t>
      </w:r>
      <w:r>
        <w:rPr>
          <w:color w:val="231F20"/>
        </w:rPr>
        <w:t>finalmente</w:t>
      </w:r>
      <w:r>
        <w:rPr>
          <w:color w:val="231F20"/>
          <w:spacing w:val="-4"/>
        </w:rPr>
        <w:t> </w:t>
      </w:r>
      <w:r>
        <w:rPr>
          <w:color w:val="231F20"/>
        </w:rPr>
        <w:t>al</w:t>
      </w:r>
      <w:r>
        <w:rPr>
          <w:color w:val="231F20"/>
          <w:spacing w:val="-4"/>
        </w:rPr>
        <w:t> </w:t>
      </w:r>
      <w:r>
        <w:rPr>
          <w:color w:val="231F20"/>
        </w:rPr>
        <w:t>pago</w:t>
      </w:r>
      <w:r>
        <w:rPr>
          <w:color w:val="231F20"/>
          <w:spacing w:val="-4"/>
        </w:rPr>
        <w:t> </w:t>
      </w:r>
      <w:r>
        <w:rPr>
          <w:color w:val="231F20"/>
        </w:rPr>
        <w:t>de</w:t>
      </w:r>
      <w:r>
        <w:rPr>
          <w:color w:val="231F20"/>
          <w:spacing w:val="-4"/>
        </w:rPr>
        <w:t> </w:t>
      </w:r>
      <w:r>
        <w:rPr>
          <w:color w:val="231F20"/>
        </w:rPr>
        <w:t>deudas</w:t>
      </w:r>
      <w:r>
        <w:rPr>
          <w:color w:val="231F20"/>
          <w:spacing w:val="-4"/>
        </w:rPr>
        <w:t> </w:t>
      </w:r>
      <w:r>
        <w:rPr>
          <w:color w:val="231F20"/>
        </w:rPr>
        <w:t>y</w:t>
      </w:r>
      <w:r>
        <w:rPr>
          <w:color w:val="231F20"/>
          <w:spacing w:val="-4"/>
        </w:rPr>
        <w:t> </w:t>
      </w:r>
      <w:r>
        <w:rPr>
          <w:color w:val="231F20"/>
        </w:rPr>
        <w:t>otros</w:t>
      </w:r>
      <w:r>
        <w:rPr>
          <w:color w:val="231F20"/>
          <w:spacing w:val="-4"/>
        </w:rPr>
        <w:t> </w:t>
      </w:r>
      <w:r>
        <w:rPr>
          <w:color w:val="231F20"/>
        </w:rPr>
        <w:t>rubros</w:t>
      </w:r>
      <w:r>
        <w:rPr>
          <w:color w:val="231F20"/>
          <w:spacing w:val="-4"/>
        </w:rPr>
        <w:t> </w:t>
      </w:r>
      <w:r>
        <w:rPr>
          <w:color w:val="231F20"/>
        </w:rPr>
        <w:t>no</w:t>
      </w:r>
      <w:r>
        <w:rPr>
          <w:color w:val="231F20"/>
          <w:spacing w:val="-4"/>
        </w:rPr>
        <w:t> </w:t>
      </w:r>
      <w:r>
        <w:rPr>
          <w:color w:val="231F20"/>
        </w:rPr>
        <w:t>especi- ficados.</w:t>
      </w:r>
      <w:r>
        <w:rPr>
          <w:color w:val="231F20"/>
          <w:spacing w:val="-7"/>
        </w:rPr>
        <w:t> </w:t>
      </w:r>
      <w:r>
        <w:rPr>
          <w:color w:val="231F20"/>
        </w:rPr>
        <w:t>Se</w:t>
      </w:r>
      <w:r>
        <w:rPr>
          <w:color w:val="231F20"/>
          <w:spacing w:val="-7"/>
        </w:rPr>
        <w:t> </w:t>
      </w:r>
      <w:r>
        <w:rPr>
          <w:color w:val="231F20"/>
        </w:rPr>
        <w:t>desprende</w:t>
      </w:r>
      <w:r>
        <w:rPr>
          <w:color w:val="231F20"/>
          <w:spacing w:val="-8"/>
        </w:rPr>
        <w:t> </w:t>
      </w:r>
      <w:r>
        <w:rPr>
          <w:color w:val="231F20"/>
        </w:rPr>
        <w:t>que</w:t>
      </w:r>
      <w:r>
        <w:rPr>
          <w:color w:val="231F20"/>
          <w:spacing w:val="-7"/>
        </w:rPr>
        <w:t> </w:t>
      </w:r>
      <w:r>
        <w:rPr>
          <w:color w:val="231F20"/>
        </w:rPr>
        <w:t>el</w:t>
      </w:r>
      <w:r>
        <w:rPr>
          <w:color w:val="231F20"/>
          <w:spacing w:val="-8"/>
        </w:rPr>
        <w:t> </w:t>
      </w:r>
      <w:r>
        <w:rPr>
          <w:color w:val="231F20"/>
        </w:rPr>
        <w:t>uso</w:t>
      </w:r>
      <w:r>
        <w:rPr>
          <w:color w:val="231F20"/>
          <w:spacing w:val="-7"/>
        </w:rPr>
        <w:t> </w:t>
      </w:r>
      <w:r>
        <w:rPr>
          <w:color w:val="231F20"/>
        </w:rPr>
        <w:t>de</w:t>
      </w:r>
      <w:r>
        <w:rPr>
          <w:color w:val="231F20"/>
          <w:spacing w:val="-7"/>
        </w:rPr>
        <w:t> </w:t>
      </w:r>
      <w:r>
        <w:rPr>
          <w:color w:val="231F20"/>
        </w:rPr>
        <w:t>remesas</w:t>
      </w:r>
      <w:r>
        <w:rPr>
          <w:color w:val="231F20"/>
          <w:spacing w:val="-8"/>
        </w:rPr>
        <w:t> </w:t>
      </w:r>
      <w:r>
        <w:rPr>
          <w:color w:val="231F20"/>
        </w:rPr>
        <w:t>tiene</w:t>
      </w:r>
      <w:r>
        <w:rPr>
          <w:color w:val="231F20"/>
          <w:spacing w:val="-8"/>
        </w:rPr>
        <w:t> </w:t>
      </w:r>
      <w:r>
        <w:rPr>
          <w:color w:val="231F20"/>
        </w:rPr>
        <w:t>preeminencia</w:t>
      </w:r>
      <w:r>
        <w:rPr>
          <w:color w:val="231F20"/>
          <w:spacing w:val="-8"/>
        </w:rPr>
        <w:t> </w:t>
      </w:r>
      <w:r>
        <w:rPr>
          <w:color w:val="231F20"/>
        </w:rPr>
        <w:t>en</w:t>
      </w:r>
      <w:r>
        <w:rPr>
          <w:color w:val="231F20"/>
          <w:spacing w:val="-7"/>
        </w:rPr>
        <w:t> </w:t>
      </w:r>
      <w:r>
        <w:rPr>
          <w:color w:val="231F20"/>
        </w:rPr>
        <w:t>el</w:t>
      </w:r>
      <w:r>
        <w:rPr>
          <w:color w:val="231F20"/>
          <w:spacing w:val="-8"/>
        </w:rPr>
        <w:t> </w:t>
      </w:r>
      <w:r>
        <w:rPr>
          <w:color w:val="231F20"/>
        </w:rPr>
        <w:t>gasto en necesidades básicas y consumo familiar; quedando una baja</w:t>
      </w:r>
      <w:r>
        <w:rPr>
          <w:color w:val="231F20"/>
          <w:spacing w:val="-38"/>
        </w:rPr>
        <w:t> </w:t>
      </w:r>
      <w:r>
        <w:rPr>
          <w:color w:val="231F20"/>
        </w:rPr>
        <w:t>proporción a inversiones productivas y en otra baja inversión en</w:t>
      </w:r>
      <w:r>
        <w:rPr>
          <w:color w:val="231F20"/>
          <w:spacing w:val="-4"/>
        </w:rPr>
        <w:t> </w:t>
      </w:r>
      <w:r>
        <w:rPr>
          <w:color w:val="231F20"/>
        </w:rPr>
        <w:t>educación.</w:t>
      </w:r>
    </w:p>
    <w:p>
      <w:pPr>
        <w:pStyle w:val="BodyText"/>
        <w:spacing w:line="247" w:lineRule="auto"/>
        <w:ind w:left="117" w:right="115" w:firstLine="283"/>
        <w:jc w:val="both"/>
      </w:pPr>
      <w:r>
        <w:rPr>
          <w:color w:val="231F20"/>
        </w:rPr>
        <w:t>Estos mismos aspectos no son contrarios o distantes del uso que le dan las comunidades o familias HLI que reciben estos ingresos, pero los ni- veles de vulnerabilidad son mayores y más amplios en el proceso de mi- gración, su integración a los mecanismos de transferencias es inercial y abrupto,</w:t>
      </w:r>
      <w:r>
        <w:rPr>
          <w:color w:val="231F20"/>
          <w:spacing w:val="-7"/>
        </w:rPr>
        <w:t> </w:t>
      </w:r>
      <w:r>
        <w:rPr>
          <w:color w:val="231F20"/>
        </w:rPr>
        <w:t>los</w:t>
      </w:r>
      <w:r>
        <w:rPr>
          <w:color w:val="231F20"/>
          <w:spacing w:val="-7"/>
        </w:rPr>
        <w:t> </w:t>
      </w:r>
      <w:r>
        <w:rPr>
          <w:color w:val="231F20"/>
        </w:rPr>
        <w:t>ingresos</w:t>
      </w:r>
      <w:r>
        <w:rPr>
          <w:color w:val="231F20"/>
          <w:spacing w:val="-7"/>
        </w:rPr>
        <w:t> </w:t>
      </w:r>
      <w:r>
        <w:rPr>
          <w:color w:val="231F20"/>
        </w:rPr>
        <w:t>son</w:t>
      </w:r>
      <w:r>
        <w:rPr>
          <w:color w:val="231F20"/>
          <w:spacing w:val="-6"/>
        </w:rPr>
        <w:t> </w:t>
      </w:r>
      <w:r>
        <w:rPr>
          <w:color w:val="231F20"/>
        </w:rPr>
        <w:t>maximizados</w:t>
      </w:r>
      <w:r>
        <w:rPr>
          <w:color w:val="231F20"/>
          <w:spacing w:val="-7"/>
        </w:rPr>
        <w:t> </w:t>
      </w:r>
      <w:r>
        <w:rPr>
          <w:color w:val="231F20"/>
        </w:rPr>
        <w:t>y</w:t>
      </w:r>
      <w:r>
        <w:rPr>
          <w:color w:val="231F20"/>
          <w:spacing w:val="-7"/>
        </w:rPr>
        <w:t> </w:t>
      </w:r>
      <w:r>
        <w:rPr>
          <w:color w:val="231F20"/>
        </w:rPr>
        <w:t>reconocen</w:t>
      </w:r>
      <w:r>
        <w:rPr>
          <w:color w:val="231F20"/>
          <w:spacing w:val="-6"/>
        </w:rPr>
        <w:t> </w:t>
      </w:r>
      <w:r>
        <w:rPr>
          <w:color w:val="231F20"/>
        </w:rPr>
        <w:t>en</w:t>
      </w:r>
      <w:r>
        <w:rPr>
          <w:color w:val="231F20"/>
          <w:spacing w:val="-7"/>
        </w:rPr>
        <w:t> </w:t>
      </w:r>
      <w:r>
        <w:rPr>
          <w:color w:val="231F20"/>
        </w:rPr>
        <w:t>estos</w:t>
      </w:r>
      <w:r>
        <w:rPr>
          <w:color w:val="231F20"/>
          <w:spacing w:val="-7"/>
        </w:rPr>
        <w:t> </w:t>
      </w:r>
      <w:r>
        <w:rPr>
          <w:color w:val="231F20"/>
        </w:rPr>
        <w:t>usos</w:t>
      </w:r>
      <w:r>
        <w:rPr>
          <w:color w:val="231F20"/>
          <w:spacing w:val="-6"/>
        </w:rPr>
        <w:t> </w:t>
      </w:r>
      <w:r>
        <w:rPr>
          <w:color w:val="231F20"/>
        </w:rPr>
        <w:t>un</w:t>
      </w:r>
      <w:r>
        <w:rPr>
          <w:color w:val="231F20"/>
          <w:spacing w:val="-7"/>
        </w:rPr>
        <w:t> </w:t>
      </w:r>
      <w:r>
        <w:rPr>
          <w:color w:val="231F20"/>
        </w:rPr>
        <w:t>orden o proceso de gasto.</w:t>
      </w:r>
    </w:p>
    <w:p>
      <w:pPr>
        <w:pStyle w:val="BodyText"/>
        <w:spacing w:line="247" w:lineRule="auto"/>
        <w:ind w:left="117" w:right="114" w:firstLine="283"/>
        <w:jc w:val="both"/>
      </w:pPr>
      <w:r>
        <w:rPr>
          <w:color w:val="231F20"/>
        </w:rPr>
        <w:t>A</w:t>
      </w:r>
      <w:r>
        <w:rPr>
          <w:color w:val="231F20"/>
          <w:spacing w:val="-19"/>
        </w:rPr>
        <w:t> </w:t>
      </w:r>
      <w:r>
        <w:rPr>
          <w:color w:val="231F20"/>
        </w:rPr>
        <w:t>ciertas</w:t>
      </w:r>
      <w:r>
        <w:rPr>
          <w:color w:val="231F20"/>
          <w:spacing w:val="-7"/>
        </w:rPr>
        <w:t> </w:t>
      </w:r>
      <w:r>
        <w:rPr>
          <w:color w:val="231F20"/>
        </w:rPr>
        <w:t>escalas</w:t>
      </w:r>
      <w:r>
        <w:rPr>
          <w:color w:val="231F20"/>
          <w:spacing w:val="-8"/>
        </w:rPr>
        <w:t> </w:t>
      </w:r>
      <w:r>
        <w:rPr>
          <w:color w:val="231F20"/>
        </w:rPr>
        <w:t>las</w:t>
      </w:r>
      <w:r>
        <w:rPr>
          <w:color w:val="231F20"/>
          <w:spacing w:val="-7"/>
        </w:rPr>
        <w:t> </w:t>
      </w:r>
      <w:r>
        <w:rPr>
          <w:color w:val="231F20"/>
        </w:rPr>
        <w:t>remesas</w:t>
      </w:r>
      <w:r>
        <w:rPr>
          <w:color w:val="231F20"/>
          <w:spacing w:val="-7"/>
        </w:rPr>
        <w:t> </w:t>
      </w:r>
      <w:r>
        <w:rPr>
          <w:color w:val="231F20"/>
        </w:rPr>
        <w:t>no</w:t>
      </w:r>
      <w:r>
        <w:rPr>
          <w:color w:val="231F20"/>
          <w:spacing w:val="-7"/>
        </w:rPr>
        <w:t> </w:t>
      </w:r>
      <w:r>
        <w:rPr>
          <w:color w:val="231F20"/>
        </w:rPr>
        <w:t>sólo</w:t>
      </w:r>
      <w:r>
        <w:rPr>
          <w:color w:val="231F20"/>
          <w:spacing w:val="-7"/>
        </w:rPr>
        <w:t> </w:t>
      </w:r>
      <w:r>
        <w:rPr>
          <w:color w:val="231F20"/>
        </w:rPr>
        <w:t>contribuyen</w:t>
      </w:r>
      <w:r>
        <w:rPr>
          <w:color w:val="231F20"/>
          <w:spacing w:val="-8"/>
        </w:rPr>
        <w:t> </w:t>
      </w:r>
      <w:r>
        <w:rPr>
          <w:color w:val="231F20"/>
        </w:rPr>
        <w:t>de</w:t>
      </w:r>
      <w:r>
        <w:rPr>
          <w:color w:val="231F20"/>
          <w:spacing w:val="-7"/>
        </w:rPr>
        <w:t> </w:t>
      </w:r>
      <w:r>
        <w:rPr>
          <w:color w:val="231F20"/>
        </w:rPr>
        <w:t>manera</w:t>
      </w:r>
      <w:r>
        <w:rPr>
          <w:color w:val="231F20"/>
          <w:spacing w:val="-7"/>
        </w:rPr>
        <w:t> </w:t>
      </w:r>
      <w:r>
        <w:rPr>
          <w:color w:val="231F20"/>
        </w:rPr>
        <w:t>directa</w:t>
      </w:r>
      <w:r>
        <w:rPr>
          <w:color w:val="231F20"/>
          <w:spacing w:val="-7"/>
        </w:rPr>
        <w:t> </w:t>
      </w:r>
      <w:r>
        <w:rPr>
          <w:color w:val="231F20"/>
        </w:rPr>
        <w:t>a</w:t>
      </w:r>
      <w:r>
        <w:rPr>
          <w:color w:val="231F20"/>
          <w:spacing w:val="-7"/>
        </w:rPr>
        <w:t> </w:t>
      </w:r>
      <w:r>
        <w:rPr>
          <w:color w:val="231F20"/>
        </w:rPr>
        <w:t>la generación de actividad económica y de proyectos productivos, sino que vienen a incrementar la capacidad de gasto de grupos sociales de ingresos bajos, lo que beneficia en forma indirecta a quienes producen y satisfacen esta demanda adicional generada por las</w:t>
      </w:r>
      <w:r>
        <w:rPr>
          <w:color w:val="231F20"/>
          <w:spacing w:val="-3"/>
        </w:rPr>
        <w:t> </w:t>
      </w:r>
      <w:r>
        <w:rPr>
          <w:color w:val="231F20"/>
        </w:rPr>
        <w:t>remesas.</w:t>
      </w:r>
    </w:p>
    <w:p>
      <w:pPr>
        <w:pStyle w:val="BodyText"/>
        <w:spacing w:line="247" w:lineRule="auto"/>
        <w:ind w:left="117" w:right="114" w:firstLine="283"/>
        <w:jc w:val="both"/>
      </w:pPr>
      <w:r>
        <w:rPr>
          <w:color w:val="231F20"/>
        </w:rPr>
        <w:t>Lo anterior permite que se suscite en la población un fenómeno es- pecialmente favorable ya que reduce sus niveles de empleo pero no su capacidad</w:t>
      </w:r>
      <w:r>
        <w:rPr>
          <w:color w:val="231F20"/>
          <w:spacing w:val="-6"/>
        </w:rPr>
        <w:t> </w:t>
      </w:r>
      <w:r>
        <w:rPr>
          <w:color w:val="231F20"/>
        </w:rPr>
        <w:t>de</w:t>
      </w:r>
      <w:r>
        <w:rPr>
          <w:color w:val="231F20"/>
          <w:spacing w:val="-6"/>
        </w:rPr>
        <w:t> </w:t>
      </w:r>
      <w:r>
        <w:rPr>
          <w:color w:val="231F20"/>
        </w:rPr>
        <w:t>compra,</w:t>
      </w:r>
      <w:r>
        <w:rPr>
          <w:color w:val="231F20"/>
          <w:spacing w:val="-6"/>
        </w:rPr>
        <w:t> </w:t>
      </w:r>
      <w:r>
        <w:rPr>
          <w:color w:val="231F20"/>
        </w:rPr>
        <w:t>que</w:t>
      </w:r>
      <w:r>
        <w:rPr>
          <w:color w:val="231F20"/>
          <w:spacing w:val="-6"/>
        </w:rPr>
        <w:t> </w:t>
      </w:r>
      <w:r>
        <w:rPr>
          <w:color w:val="231F20"/>
        </w:rPr>
        <w:t>es</w:t>
      </w:r>
      <w:r>
        <w:rPr>
          <w:color w:val="231F20"/>
          <w:spacing w:val="-6"/>
        </w:rPr>
        <w:t> </w:t>
      </w:r>
      <w:r>
        <w:rPr>
          <w:color w:val="231F20"/>
        </w:rPr>
        <w:t>un</w:t>
      </w:r>
      <w:r>
        <w:rPr>
          <w:color w:val="231F20"/>
          <w:spacing w:val="-6"/>
        </w:rPr>
        <w:t> </w:t>
      </w:r>
      <w:r>
        <w:rPr>
          <w:color w:val="231F20"/>
        </w:rPr>
        <w:t>efecto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captación</w:t>
      </w:r>
      <w:r>
        <w:rPr>
          <w:color w:val="231F20"/>
          <w:spacing w:val="-6"/>
        </w:rPr>
        <w:t> </w:t>
      </w:r>
      <w:r>
        <w:rPr>
          <w:color w:val="231F20"/>
        </w:rPr>
        <w:t>de</w:t>
      </w:r>
      <w:r>
        <w:rPr>
          <w:color w:val="231F20"/>
          <w:spacing w:val="-6"/>
        </w:rPr>
        <w:t> </w:t>
      </w:r>
      <w:r>
        <w:rPr>
          <w:color w:val="231F20"/>
        </w:rPr>
        <w:t>recursos</w:t>
      </w:r>
      <w:r>
        <w:rPr>
          <w:color w:val="231F20"/>
          <w:spacing w:val="-6"/>
        </w:rPr>
        <w:t> </w:t>
      </w:r>
      <w:r>
        <w:rPr>
          <w:color w:val="231F20"/>
        </w:rPr>
        <w:t>fiscales, con un componente inflacionario inevitable, mostrando lo desequilibrado del sistema, al generar mano de obra que produce riqueza diferenciada en dos espacios, producción e impuestos en un mercado laboral y en el otro consumo y un tipo específico de contribuciones en</w:t>
      </w:r>
      <w:r>
        <w:rPr>
          <w:color w:val="231F20"/>
          <w:spacing w:val="-12"/>
        </w:rPr>
        <w:t> </w:t>
      </w:r>
      <w:r>
        <w:rPr>
          <w:color w:val="231F20"/>
        </w:rPr>
        <w:t>otro.</w:t>
      </w:r>
    </w:p>
    <w:p>
      <w:pPr>
        <w:spacing w:after="0" w:line="247" w:lineRule="auto"/>
        <w:jc w:val="both"/>
        <w:sectPr>
          <w:pgSz w:w="9360" w:h="13040"/>
          <w:pgMar w:header="0" w:footer="496" w:top="740" w:bottom="680" w:left="1300" w:right="1300"/>
        </w:sectPr>
      </w:pPr>
    </w:p>
    <w:p>
      <w:pPr>
        <w:tabs>
          <w:tab w:pos="5536" w:val="left" w:leader="none"/>
        </w:tabs>
        <w:spacing w:before="48"/>
        <w:ind w:left="105" w:right="0" w:firstLine="0"/>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
        <w:rPr>
          <w:sz w:val="20"/>
        </w:rPr>
      </w:pPr>
    </w:p>
    <w:p>
      <w:pPr>
        <w:pStyle w:val="Heading3"/>
        <w:spacing w:before="1"/>
      </w:pPr>
      <w:r>
        <w:rPr>
          <w:color w:val="231F20"/>
        </w:rPr>
        <w:t>Las transferencias de remesas</w:t>
      </w:r>
    </w:p>
    <w:p>
      <w:pPr>
        <w:pStyle w:val="BodyText"/>
        <w:spacing w:line="247" w:lineRule="auto" w:before="172"/>
        <w:ind w:left="117" w:right="116"/>
        <w:jc w:val="both"/>
      </w:pPr>
      <w:r>
        <w:rPr>
          <w:color w:val="231F20"/>
        </w:rPr>
        <w:t>Los mecanismos de transferencia han tendido a evolucionar en las últimas dos décadas, de medios informales a un proceso de integración a canales del sistema financiero. En este proceso hay una fuerte competencia de</w:t>
      </w:r>
      <w:r>
        <w:rPr>
          <w:color w:val="231F20"/>
          <w:spacing w:val="-34"/>
        </w:rPr>
        <w:t> </w:t>
      </w:r>
      <w:r>
        <w:rPr>
          <w:color w:val="231F20"/>
        </w:rPr>
        <w:t>dis- tintos</w:t>
      </w:r>
      <w:r>
        <w:rPr>
          <w:color w:val="231F20"/>
          <w:spacing w:val="-6"/>
        </w:rPr>
        <w:t> </w:t>
      </w:r>
      <w:r>
        <w:rPr>
          <w:color w:val="231F20"/>
        </w:rPr>
        <w:t>intermediarios</w:t>
      </w:r>
      <w:r>
        <w:rPr>
          <w:color w:val="231F20"/>
          <w:spacing w:val="-6"/>
        </w:rPr>
        <w:t> </w:t>
      </w:r>
      <w:r>
        <w:rPr>
          <w:color w:val="231F20"/>
        </w:rPr>
        <w:t>que</w:t>
      </w:r>
      <w:r>
        <w:rPr>
          <w:color w:val="231F20"/>
          <w:spacing w:val="-6"/>
        </w:rPr>
        <w:t> </w:t>
      </w:r>
      <w:r>
        <w:rPr>
          <w:color w:val="231F20"/>
        </w:rPr>
        <w:t>intentan</w:t>
      </w:r>
      <w:r>
        <w:rPr>
          <w:color w:val="231F20"/>
          <w:spacing w:val="-6"/>
        </w:rPr>
        <w:t> </w:t>
      </w:r>
      <w:r>
        <w:rPr>
          <w:color w:val="231F20"/>
        </w:rPr>
        <w:t>captar</w:t>
      </w:r>
      <w:r>
        <w:rPr>
          <w:color w:val="231F20"/>
          <w:spacing w:val="-6"/>
        </w:rPr>
        <w:t> </w:t>
      </w:r>
      <w:r>
        <w:rPr>
          <w:color w:val="231F20"/>
        </w:rPr>
        <w:t>los</w:t>
      </w:r>
      <w:r>
        <w:rPr>
          <w:color w:val="231F20"/>
          <w:spacing w:val="-5"/>
        </w:rPr>
        <w:t> </w:t>
      </w:r>
      <w:r>
        <w:rPr>
          <w:color w:val="231F20"/>
        </w:rPr>
        <w:t>beneficios</w:t>
      </w:r>
      <w:r>
        <w:rPr>
          <w:color w:val="231F20"/>
          <w:spacing w:val="-6"/>
        </w:rPr>
        <w:t> </w:t>
      </w:r>
      <w:r>
        <w:rPr>
          <w:color w:val="231F20"/>
        </w:rPr>
        <w:t>que</w:t>
      </w:r>
      <w:r>
        <w:rPr>
          <w:color w:val="231F20"/>
          <w:spacing w:val="-6"/>
        </w:rPr>
        <w:t> </w:t>
      </w:r>
      <w:r>
        <w:rPr>
          <w:color w:val="231F20"/>
        </w:rPr>
        <w:t>genera</w:t>
      </w:r>
      <w:r>
        <w:rPr>
          <w:color w:val="231F20"/>
          <w:spacing w:val="-6"/>
        </w:rPr>
        <w:t> </w:t>
      </w:r>
      <w:r>
        <w:rPr>
          <w:color w:val="231F20"/>
        </w:rPr>
        <w:t>el</w:t>
      </w:r>
      <w:r>
        <w:rPr>
          <w:color w:val="231F20"/>
          <w:spacing w:val="-6"/>
        </w:rPr>
        <w:t> </w:t>
      </w:r>
      <w:r>
        <w:rPr>
          <w:color w:val="231F20"/>
        </w:rPr>
        <w:t>costo de envío, generando mayor bancarización, integración institucional y ten- dencia hacia Transferencias Electrónicas</w:t>
      </w:r>
      <w:r>
        <w:rPr>
          <w:color w:val="231F20"/>
          <w:spacing w:val="-14"/>
        </w:rPr>
        <w:t> </w:t>
      </w:r>
      <w:r>
        <w:rPr>
          <w:color w:val="231F20"/>
        </w:rPr>
        <w:t>(TE).</w:t>
      </w:r>
    </w:p>
    <w:p>
      <w:pPr>
        <w:pStyle w:val="BodyText"/>
        <w:spacing w:line="247" w:lineRule="auto"/>
        <w:ind w:left="117" w:right="116" w:firstLine="283"/>
        <w:jc w:val="both"/>
      </w:pPr>
      <w:r>
        <w:rPr>
          <w:color w:val="231F20"/>
        </w:rPr>
        <w:t>Se ha pasado de un mercado acaparado por Telégrafos de México y giros telegráficos o de personas conocidas (remesas de bolsillo) con alto riesgo, a una apertura por órdenes de pago de empresas remesadoras</w:t>
      </w:r>
      <w:r>
        <w:rPr>
          <w:color w:val="231F20"/>
          <w:spacing w:val="-38"/>
        </w:rPr>
        <w:t> </w:t>
      </w:r>
      <w:r>
        <w:rPr>
          <w:color w:val="231F20"/>
        </w:rPr>
        <w:t>inter- nacionales, que debido al bajo costo y prontitud dejan en desuso los servi- cios postales, con la creación de innumerables centros cambiarios y casas de</w:t>
      </w:r>
      <w:r>
        <w:rPr>
          <w:color w:val="231F20"/>
          <w:spacing w:val="-9"/>
        </w:rPr>
        <w:t> </w:t>
      </w:r>
      <w:r>
        <w:rPr>
          <w:color w:val="231F20"/>
        </w:rPr>
        <w:t>cambio</w:t>
      </w:r>
      <w:r>
        <w:rPr>
          <w:color w:val="231F20"/>
          <w:spacing w:val="-9"/>
        </w:rPr>
        <w:t> </w:t>
      </w:r>
      <w:r>
        <w:rPr>
          <w:color w:val="231F20"/>
        </w:rPr>
        <w:t>(Pérez</w:t>
      </w:r>
      <w:r>
        <w:rPr>
          <w:color w:val="231F20"/>
          <w:spacing w:val="-9"/>
        </w:rPr>
        <w:t> </w:t>
      </w:r>
      <w:r>
        <w:rPr>
          <w:color w:val="231F20"/>
        </w:rPr>
        <w:t>y</w:t>
      </w:r>
      <w:r>
        <w:rPr>
          <w:color w:val="231F20"/>
          <w:spacing w:val="-9"/>
        </w:rPr>
        <w:t> </w:t>
      </w:r>
      <w:r>
        <w:rPr>
          <w:color w:val="231F20"/>
        </w:rPr>
        <w:t>Álvarez,</w:t>
      </w:r>
      <w:r>
        <w:rPr>
          <w:color w:val="231F20"/>
          <w:spacing w:val="-9"/>
        </w:rPr>
        <w:t> </w:t>
      </w:r>
      <w:r>
        <w:rPr>
          <w:color w:val="231F20"/>
        </w:rPr>
        <w:t>2005).</w:t>
      </w:r>
      <w:r>
        <w:rPr>
          <w:color w:val="231F20"/>
          <w:spacing w:val="-21"/>
        </w:rPr>
        <w:t> </w:t>
      </w:r>
      <w:r>
        <w:rPr>
          <w:color w:val="231F20"/>
        </w:rPr>
        <w:t>Actualmente</w:t>
      </w:r>
      <w:r>
        <w:rPr>
          <w:color w:val="231F20"/>
          <w:spacing w:val="-8"/>
        </w:rPr>
        <w:t> </w:t>
      </w:r>
      <w:r>
        <w:rPr>
          <w:color w:val="231F20"/>
        </w:rPr>
        <w:t>las</w:t>
      </w:r>
      <w:r>
        <w:rPr>
          <w:color w:val="231F20"/>
          <w:spacing w:val="-9"/>
        </w:rPr>
        <w:t> </w:t>
      </w:r>
      <w:r>
        <w:rPr>
          <w:color w:val="231F20"/>
        </w:rPr>
        <w:t>innovaciones</w:t>
      </w:r>
      <w:r>
        <w:rPr>
          <w:color w:val="231F20"/>
          <w:spacing w:val="-10"/>
        </w:rPr>
        <w:t> </w:t>
      </w:r>
      <w:r>
        <w:rPr>
          <w:color w:val="231F20"/>
        </w:rPr>
        <w:t>tecnoló- gicas han permitido transformar una vez más el tránsito de las remesas,</w:t>
      </w:r>
      <w:r>
        <w:rPr>
          <w:color w:val="231F20"/>
          <w:spacing w:val="-15"/>
        </w:rPr>
        <w:t> </w:t>
      </w:r>
      <w:r>
        <w:rPr>
          <w:color w:val="231F20"/>
        </w:rPr>
        <w:t>en especial se trata de TE que crecen gracias a la rapidez de los</w:t>
      </w:r>
      <w:r>
        <w:rPr>
          <w:color w:val="231F20"/>
          <w:spacing w:val="-10"/>
        </w:rPr>
        <w:t> </w:t>
      </w:r>
      <w:r>
        <w:rPr>
          <w:color w:val="231F20"/>
        </w:rPr>
        <w:t>envíos.</w:t>
      </w:r>
    </w:p>
    <w:p>
      <w:pPr>
        <w:pStyle w:val="BodyText"/>
        <w:spacing w:line="247" w:lineRule="auto"/>
        <w:ind w:left="117" w:right="114" w:firstLine="283"/>
        <w:jc w:val="both"/>
      </w:pPr>
      <w:r>
        <w:rPr>
          <w:color w:val="231F20"/>
        </w:rPr>
        <w:t>México pasó de 50 a 97 por ciento de remesas que llegan por TE, que varían en su recepción y entrega, desde el efectivo hasta el uso de cuentas bancarias, incorporando el uso de tarjetas (principalmente de débito)</w:t>
      </w:r>
      <w:r>
        <w:rPr>
          <w:color w:val="231F20"/>
          <w:spacing w:val="-20"/>
        </w:rPr>
        <w:t> </w:t>
      </w:r>
      <w:r>
        <w:rPr>
          <w:color w:val="231F20"/>
        </w:rPr>
        <w:t>junto con</w:t>
      </w:r>
      <w:r>
        <w:rPr>
          <w:color w:val="231F20"/>
          <w:spacing w:val="-4"/>
        </w:rPr>
        <w:t> </w:t>
      </w:r>
      <w:r>
        <w:rPr>
          <w:color w:val="231F20"/>
        </w:rPr>
        <w:t>el</w:t>
      </w:r>
      <w:r>
        <w:rPr>
          <w:color w:val="231F20"/>
          <w:spacing w:val="-4"/>
        </w:rPr>
        <w:t> </w:t>
      </w:r>
      <w:r>
        <w:rPr>
          <w:color w:val="231F20"/>
        </w:rPr>
        <w:t>envío</w:t>
      </w:r>
      <w:r>
        <w:rPr>
          <w:color w:val="231F20"/>
          <w:spacing w:val="-4"/>
        </w:rPr>
        <w:t> </w:t>
      </w:r>
      <w:r>
        <w:rPr>
          <w:color w:val="231F20"/>
        </w:rPr>
        <w:t>de</w:t>
      </w:r>
      <w:r>
        <w:rPr>
          <w:color w:val="231F20"/>
          <w:spacing w:val="-4"/>
        </w:rPr>
        <w:t> </w:t>
      </w:r>
      <w:r>
        <w:rPr>
          <w:color w:val="231F20"/>
        </w:rPr>
        <w:t>dinero</w:t>
      </w:r>
      <w:r>
        <w:rPr>
          <w:color w:val="231F20"/>
          <w:spacing w:val="-4"/>
        </w:rPr>
        <w:t> </w:t>
      </w:r>
      <w:r>
        <w:rPr>
          <w:color w:val="231F20"/>
        </w:rPr>
        <w:t>online</w:t>
      </w:r>
      <w:r>
        <w:rPr>
          <w:color w:val="231F20"/>
          <w:spacing w:val="-4"/>
        </w:rPr>
        <w:t> </w:t>
      </w:r>
      <w:r>
        <w:rPr>
          <w:color w:val="231F20"/>
        </w:rPr>
        <w:t>y</w:t>
      </w:r>
      <w:r>
        <w:rPr>
          <w:color w:val="231F20"/>
          <w:spacing w:val="-4"/>
        </w:rPr>
        <w:t> </w:t>
      </w:r>
      <w:r>
        <w:rPr>
          <w:color w:val="231F20"/>
        </w:rPr>
        <w:t>vía</w:t>
      </w:r>
      <w:r>
        <w:rPr>
          <w:color w:val="231F20"/>
          <w:spacing w:val="-4"/>
        </w:rPr>
        <w:t> </w:t>
      </w:r>
      <w:r>
        <w:rPr>
          <w:color w:val="231F20"/>
        </w:rPr>
        <w:t>teléfono.</w:t>
      </w:r>
      <w:r>
        <w:rPr>
          <w:color w:val="231F20"/>
          <w:spacing w:val="-4"/>
        </w:rPr>
        <w:t> </w:t>
      </w:r>
      <w:r>
        <w:rPr>
          <w:color w:val="231F20"/>
        </w:rPr>
        <w:t>La</w:t>
      </w:r>
      <w:r>
        <w:rPr>
          <w:color w:val="231F20"/>
          <w:spacing w:val="-4"/>
        </w:rPr>
        <w:t> </w:t>
      </w:r>
      <w:r>
        <w:rPr>
          <w:color w:val="231F20"/>
        </w:rPr>
        <w:t>cuantificación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mon- tos,</w:t>
      </w:r>
      <w:r>
        <w:rPr>
          <w:color w:val="231F20"/>
          <w:spacing w:val="-8"/>
        </w:rPr>
        <w:t> </w:t>
      </w:r>
      <w:r>
        <w:rPr>
          <w:color w:val="231F20"/>
        </w:rPr>
        <w:t>frecuencias</w:t>
      </w:r>
      <w:r>
        <w:rPr>
          <w:color w:val="231F20"/>
          <w:spacing w:val="-7"/>
        </w:rPr>
        <w:t> </w:t>
      </w:r>
      <w:r>
        <w:rPr>
          <w:color w:val="231F20"/>
        </w:rPr>
        <w:t>y</w:t>
      </w:r>
      <w:r>
        <w:rPr>
          <w:color w:val="231F20"/>
          <w:spacing w:val="-7"/>
        </w:rPr>
        <w:t> </w:t>
      </w:r>
      <w:r>
        <w:rPr>
          <w:color w:val="231F20"/>
        </w:rPr>
        <w:t>operaciones</w:t>
      </w:r>
      <w:r>
        <w:rPr>
          <w:color w:val="231F20"/>
          <w:spacing w:val="-8"/>
        </w:rPr>
        <w:t> </w:t>
      </w:r>
      <w:r>
        <w:rPr>
          <w:color w:val="231F20"/>
        </w:rPr>
        <w:t>por</w:t>
      </w:r>
      <w:r>
        <w:rPr>
          <w:color w:val="231F20"/>
          <w:spacing w:val="-7"/>
        </w:rPr>
        <w:t> </w:t>
      </w:r>
      <w:r>
        <w:rPr>
          <w:color w:val="231F20"/>
        </w:rPr>
        <w:t>parte</w:t>
      </w:r>
      <w:r>
        <w:rPr>
          <w:color w:val="231F20"/>
          <w:spacing w:val="-8"/>
        </w:rPr>
        <w:t> </w:t>
      </w:r>
      <w:r>
        <w:rPr>
          <w:color w:val="231F20"/>
        </w:rPr>
        <w:t>del</w:t>
      </w:r>
      <w:r>
        <w:rPr>
          <w:color w:val="231F20"/>
          <w:spacing w:val="-7"/>
        </w:rPr>
        <w:t> </w:t>
      </w:r>
      <w:r>
        <w:rPr>
          <w:color w:val="231F20"/>
        </w:rPr>
        <w:t>Banco</w:t>
      </w:r>
      <w:r>
        <w:rPr>
          <w:color w:val="231F20"/>
          <w:spacing w:val="-8"/>
        </w:rPr>
        <w:t> </w:t>
      </w:r>
      <w:r>
        <w:rPr>
          <w:color w:val="231F20"/>
        </w:rPr>
        <w:t>de</w:t>
      </w:r>
      <w:r>
        <w:rPr>
          <w:color w:val="231F20"/>
          <w:spacing w:val="-7"/>
        </w:rPr>
        <w:t> </w:t>
      </w:r>
      <w:r>
        <w:rPr>
          <w:color w:val="231F20"/>
        </w:rPr>
        <w:t>México</w:t>
      </w:r>
      <w:r>
        <w:rPr>
          <w:color w:val="231F20"/>
          <w:spacing w:val="-7"/>
        </w:rPr>
        <w:t> </w:t>
      </w:r>
      <w:r>
        <w:rPr>
          <w:color w:val="231F20"/>
        </w:rPr>
        <w:t>es</w:t>
      </w:r>
      <w:r>
        <w:rPr>
          <w:color w:val="231F20"/>
          <w:spacing w:val="-7"/>
        </w:rPr>
        <w:t> </w:t>
      </w:r>
      <w:r>
        <w:rPr>
          <w:color w:val="231F20"/>
        </w:rPr>
        <w:t>a</w:t>
      </w:r>
      <w:r>
        <w:rPr>
          <w:color w:val="231F20"/>
          <w:spacing w:val="-7"/>
        </w:rPr>
        <w:t> </w:t>
      </w:r>
      <w:r>
        <w:rPr>
          <w:color w:val="231F20"/>
        </w:rPr>
        <w:t>partir</w:t>
      </w:r>
      <w:r>
        <w:rPr>
          <w:color w:val="231F20"/>
          <w:spacing w:val="-8"/>
        </w:rPr>
        <w:t> </w:t>
      </w:r>
      <w:r>
        <w:rPr>
          <w:color w:val="231F20"/>
        </w:rPr>
        <w:t>de empresas</w:t>
      </w:r>
      <w:r>
        <w:rPr>
          <w:color w:val="231F20"/>
          <w:spacing w:val="-10"/>
        </w:rPr>
        <w:t> </w:t>
      </w:r>
      <w:r>
        <w:rPr>
          <w:color w:val="231F20"/>
        </w:rPr>
        <w:t>que</w:t>
      </w:r>
      <w:r>
        <w:rPr>
          <w:color w:val="231F20"/>
          <w:spacing w:val="-10"/>
        </w:rPr>
        <w:t> </w:t>
      </w:r>
      <w:r>
        <w:rPr>
          <w:color w:val="231F20"/>
        </w:rPr>
        <w:t>brindan</w:t>
      </w:r>
      <w:r>
        <w:rPr>
          <w:color w:val="231F20"/>
          <w:spacing w:val="-10"/>
        </w:rPr>
        <w:t> </w:t>
      </w:r>
      <w:r>
        <w:rPr>
          <w:color w:val="231F20"/>
        </w:rPr>
        <w:t>este</w:t>
      </w:r>
      <w:r>
        <w:rPr>
          <w:color w:val="231F20"/>
          <w:spacing w:val="-10"/>
        </w:rPr>
        <w:t> </w:t>
      </w:r>
      <w:r>
        <w:rPr>
          <w:color w:val="231F20"/>
        </w:rPr>
        <w:t>servicio,</w:t>
      </w:r>
      <w:r>
        <w:rPr>
          <w:color w:val="231F20"/>
          <w:spacing w:val="-9"/>
        </w:rPr>
        <w:t> </w:t>
      </w:r>
      <w:r>
        <w:rPr>
          <w:color w:val="231F20"/>
        </w:rPr>
        <w:t>esta</w:t>
      </w:r>
      <w:r>
        <w:rPr>
          <w:color w:val="231F20"/>
          <w:spacing w:val="-10"/>
        </w:rPr>
        <w:t> </w:t>
      </w:r>
      <w:r>
        <w:rPr>
          <w:color w:val="231F20"/>
        </w:rPr>
        <w:t>información</w:t>
      </w:r>
      <w:r>
        <w:rPr>
          <w:color w:val="231F20"/>
          <w:spacing w:val="-11"/>
        </w:rPr>
        <w:t> </w:t>
      </w:r>
      <w:r>
        <w:rPr>
          <w:color w:val="231F20"/>
        </w:rPr>
        <w:t>es</w:t>
      </w:r>
      <w:r>
        <w:rPr>
          <w:color w:val="231F20"/>
          <w:spacing w:val="-10"/>
        </w:rPr>
        <w:t> </w:t>
      </w:r>
      <w:r>
        <w:rPr>
          <w:color w:val="231F20"/>
        </w:rPr>
        <w:t>usada</w:t>
      </w:r>
      <w:r>
        <w:rPr>
          <w:color w:val="231F20"/>
          <w:spacing w:val="-10"/>
        </w:rPr>
        <w:t> </w:t>
      </w:r>
      <w:r>
        <w:rPr>
          <w:color w:val="231F20"/>
        </w:rPr>
        <w:t>para</w:t>
      </w:r>
      <w:r>
        <w:rPr>
          <w:color w:val="231F20"/>
          <w:spacing w:val="-10"/>
        </w:rPr>
        <w:t> </w:t>
      </w:r>
      <w:r>
        <w:rPr>
          <w:color w:val="231F20"/>
        </w:rPr>
        <w:t>balanza de pagos, de manera superficial y sin mayor desagregación es complicado hacer distinción de características mayores de las</w:t>
      </w:r>
      <w:r>
        <w:rPr>
          <w:color w:val="231F20"/>
          <w:spacing w:val="-3"/>
        </w:rPr>
        <w:t> </w:t>
      </w:r>
      <w:r>
        <w:rPr>
          <w:color w:val="231F20"/>
        </w:rPr>
        <w:t>remesas.</w:t>
      </w:r>
    </w:p>
    <w:p>
      <w:pPr>
        <w:pStyle w:val="BodyText"/>
        <w:spacing w:line="247" w:lineRule="auto"/>
        <w:ind w:left="117" w:right="114" w:firstLine="283"/>
        <w:jc w:val="both"/>
      </w:pPr>
      <w:r>
        <w:rPr>
          <w:color w:val="231F20"/>
        </w:rPr>
        <w:t>El</w:t>
      </w:r>
      <w:r>
        <w:rPr>
          <w:color w:val="231F20"/>
          <w:spacing w:val="-12"/>
        </w:rPr>
        <w:t> </w:t>
      </w:r>
      <w:r>
        <w:rPr>
          <w:color w:val="231F20"/>
        </w:rPr>
        <w:t>volumen</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remesas</w:t>
      </w:r>
      <w:r>
        <w:rPr>
          <w:color w:val="231F20"/>
          <w:spacing w:val="-12"/>
        </w:rPr>
        <w:t> </w:t>
      </w:r>
      <w:r>
        <w:rPr>
          <w:color w:val="231F20"/>
        </w:rPr>
        <w:t>ha</w:t>
      </w:r>
      <w:r>
        <w:rPr>
          <w:color w:val="231F20"/>
          <w:spacing w:val="-12"/>
        </w:rPr>
        <w:t> </w:t>
      </w:r>
      <w:r>
        <w:rPr>
          <w:color w:val="231F20"/>
        </w:rPr>
        <w:t>tenido</w:t>
      </w:r>
      <w:r>
        <w:rPr>
          <w:color w:val="231F20"/>
          <w:spacing w:val="-13"/>
        </w:rPr>
        <w:t> </w:t>
      </w:r>
      <w:r>
        <w:rPr>
          <w:color w:val="231F20"/>
        </w:rPr>
        <w:t>mayor</w:t>
      </w:r>
      <w:r>
        <w:rPr>
          <w:color w:val="231F20"/>
          <w:spacing w:val="-12"/>
        </w:rPr>
        <w:t> </w:t>
      </w:r>
      <w:r>
        <w:rPr>
          <w:color w:val="231F20"/>
        </w:rPr>
        <w:t>impacto</w:t>
      </w:r>
      <w:r>
        <w:rPr>
          <w:color w:val="231F20"/>
          <w:spacing w:val="-13"/>
        </w:rPr>
        <w:t> </w:t>
      </w:r>
      <w:r>
        <w:rPr>
          <w:color w:val="231F20"/>
        </w:rPr>
        <w:t>después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deva- luación del peso. En el periodo de 1995 a 2002, se registró un incremento de 262 por ciento y los envíos se cuadriplicaron de 1989 a 2000, ambos casos son coyunturales y coinciden con un cambio de metodología en la captación de remesas y muestran el peso del fenómeno migratorio en las dos direcciones ya mencionadas y lo importante que será contar con una contabilización</w:t>
      </w:r>
      <w:r>
        <w:rPr>
          <w:color w:val="231F20"/>
          <w:spacing w:val="-6"/>
        </w:rPr>
        <w:t> </w:t>
      </w:r>
      <w:r>
        <w:rPr>
          <w:color w:val="231F20"/>
        </w:rPr>
        <w:t>más</w:t>
      </w:r>
      <w:r>
        <w:rPr>
          <w:color w:val="231F20"/>
          <w:spacing w:val="-6"/>
        </w:rPr>
        <w:t> </w:t>
      </w:r>
      <w:r>
        <w:rPr>
          <w:color w:val="231F20"/>
        </w:rPr>
        <w:t>detallada.</w:t>
      </w:r>
      <w:r>
        <w:rPr>
          <w:color w:val="231F20"/>
          <w:spacing w:val="-5"/>
        </w:rPr>
        <w:t> </w:t>
      </w:r>
      <w:r>
        <w:rPr>
          <w:color w:val="231F20"/>
        </w:rPr>
        <w:t>Más</w:t>
      </w:r>
      <w:r>
        <w:rPr>
          <w:color w:val="231F20"/>
          <w:spacing w:val="-5"/>
        </w:rPr>
        <w:t> </w:t>
      </w:r>
      <w:r>
        <w:rPr>
          <w:color w:val="231F20"/>
        </w:rPr>
        <w:t>allá</w:t>
      </w:r>
      <w:r>
        <w:rPr>
          <w:color w:val="231F20"/>
          <w:spacing w:val="-6"/>
        </w:rPr>
        <w:t> </w:t>
      </w:r>
      <w:r>
        <w:rPr>
          <w:color w:val="231F20"/>
        </w:rPr>
        <w:t>de</w:t>
      </w:r>
      <w:r>
        <w:rPr>
          <w:color w:val="231F20"/>
          <w:spacing w:val="-5"/>
        </w:rPr>
        <w:t> </w:t>
      </w:r>
      <w:r>
        <w:rPr>
          <w:color w:val="231F20"/>
        </w:rPr>
        <w:t>montos</w:t>
      </w:r>
      <w:r>
        <w:rPr>
          <w:color w:val="231F20"/>
          <w:spacing w:val="-6"/>
        </w:rPr>
        <w:t> </w:t>
      </w:r>
      <w:r>
        <w:rPr>
          <w:color w:val="231F20"/>
        </w:rPr>
        <w:t>y</w:t>
      </w:r>
      <w:r>
        <w:rPr>
          <w:color w:val="231F20"/>
          <w:spacing w:val="-5"/>
        </w:rPr>
        <w:t> </w:t>
      </w:r>
      <w:r>
        <w:rPr>
          <w:color w:val="231F20"/>
        </w:rPr>
        <w:t>tipos</w:t>
      </w:r>
      <w:r>
        <w:rPr>
          <w:color w:val="231F20"/>
          <w:spacing w:val="-6"/>
        </w:rPr>
        <w:t> </w:t>
      </w:r>
      <w:r>
        <w:rPr>
          <w:color w:val="231F20"/>
        </w:rPr>
        <w:t>de</w:t>
      </w:r>
      <w:r>
        <w:rPr>
          <w:color w:val="231F20"/>
          <w:spacing w:val="-5"/>
        </w:rPr>
        <w:t> </w:t>
      </w:r>
      <w:r>
        <w:rPr>
          <w:color w:val="231F20"/>
        </w:rPr>
        <w:t>envío</w:t>
      </w:r>
      <w:r>
        <w:rPr>
          <w:color w:val="231F20"/>
          <w:spacing w:val="-6"/>
        </w:rPr>
        <w:t> </w:t>
      </w:r>
      <w:r>
        <w:rPr>
          <w:color w:val="231F20"/>
        </w:rPr>
        <w:t>se</w:t>
      </w:r>
      <w:r>
        <w:rPr>
          <w:color w:val="231F20"/>
          <w:spacing w:val="-5"/>
        </w:rPr>
        <w:t> </w:t>
      </w:r>
      <w:r>
        <w:rPr>
          <w:color w:val="231F20"/>
        </w:rPr>
        <w:t>trata de integrar variables que sean funcionales, que además de la balanza de pagos, proporcionen oportunidad de definir pautas de investigación y de aportaciones.</w:t>
      </w:r>
    </w:p>
    <w:p>
      <w:pPr>
        <w:pStyle w:val="BodyText"/>
        <w:spacing w:line="247" w:lineRule="auto"/>
        <w:ind w:left="117" w:right="115" w:firstLine="283"/>
        <w:jc w:val="both"/>
      </w:pPr>
      <w:r>
        <w:rPr>
          <w:color w:val="231F20"/>
        </w:rPr>
        <w:t>A pesar de que los bancos son los intermediarios financieros, el</w:t>
      </w:r>
      <w:r>
        <w:rPr>
          <w:color w:val="231F20"/>
          <w:spacing w:val="-25"/>
        </w:rPr>
        <w:t> </w:t>
      </w:r>
      <w:r>
        <w:rPr>
          <w:color w:val="231F20"/>
        </w:rPr>
        <w:t>merca- do</w:t>
      </w:r>
      <w:r>
        <w:rPr>
          <w:color w:val="231F20"/>
          <w:spacing w:val="-7"/>
        </w:rPr>
        <w:t> </w:t>
      </w:r>
      <w:r>
        <w:rPr>
          <w:color w:val="231F20"/>
        </w:rPr>
        <w:t>migrante</w:t>
      </w:r>
      <w:r>
        <w:rPr>
          <w:color w:val="231F20"/>
          <w:spacing w:val="-7"/>
        </w:rPr>
        <w:t> </w:t>
      </w:r>
      <w:r>
        <w:rPr>
          <w:color w:val="231F20"/>
        </w:rPr>
        <w:t>no</w:t>
      </w:r>
      <w:r>
        <w:rPr>
          <w:color w:val="231F20"/>
          <w:spacing w:val="-7"/>
        </w:rPr>
        <w:t> </w:t>
      </w:r>
      <w:r>
        <w:rPr>
          <w:color w:val="231F20"/>
        </w:rPr>
        <w:t>había</w:t>
      </w:r>
      <w:r>
        <w:rPr>
          <w:color w:val="231F20"/>
          <w:spacing w:val="-7"/>
        </w:rPr>
        <w:t> </w:t>
      </w:r>
      <w:r>
        <w:rPr>
          <w:color w:val="231F20"/>
        </w:rPr>
        <w:t>sido</w:t>
      </w:r>
      <w:r>
        <w:rPr>
          <w:color w:val="231F20"/>
          <w:spacing w:val="-7"/>
        </w:rPr>
        <w:t> </w:t>
      </w:r>
      <w:r>
        <w:rPr>
          <w:color w:val="231F20"/>
        </w:rPr>
        <w:t>de</w:t>
      </w:r>
      <w:r>
        <w:rPr>
          <w:color w:val="231F20"/>
          <w:spacing w:val="-7"/>
        </w:rPr>
        <w:t> </w:t>
      </w:r>
      <w:r>
        <w:rPr>
          <w:color w:val="231F20"/>
        </w:rPr>
        <w:t>interés,</w:t>
      </w:r>
      <w:r>
        <w:rPr>
          <w:color w:val="231F20"/>
          <w:spacing w:val="-7"/>
        </w:rPr>
        <w:t> </w:t>
      </w:r>
      <w:r>
        <w:rPr>
          <w:color w:val="231F20"/>
        </w:rPr>
        <w:t>sólo</w:t>
      </w:r>
      <w:r>
        <w:rPr>
          <w:color w:val="231F20"/>
          <w:spacing w:val="-7"/>
        </w:rPr>
        <w:t> </w:t>
      </w:r>
      <w:r>
        <w:rPr>
          <w:color w:val="231F20"/>
        </w:rPr>
        <w:t>hasta</w:t>
      </w:r>
      <w:r>
        <w:rPr>
          <w:color w:val="231F20"/>
          <w:spacing w:val="-7"/>
        </w:rPr>
        <w:t> </w:t>
      </w:r>
      <w:r>
        <w:rPr>
          <w:color w:val="231F20"/>
        </w:rPr>
        <w:t>“descubrir”</w:t>
      </w:r>
      <w:r>
        <w:rPr>
          <w:color w:val="231F20"/>
          <w:spacing w:val="-7"/>
        </w:rPr>
        <w:t> </w:t>
      </w:r>
      <w:r>
        <w:rPr>
          <w:color w:val="231F20"/>
        </w:rPr>
        <w:t>el</w:t>
      </w:r>
      <w:r>
        <w:rPr>
          <w:color w:val="231F20"/>
          <w:spacing w:val="-7"/>
        </w:rPr>
        <w:t> </w:t>
      </w:r>
      <w:r>
        <w:rPr>
          <w:color w:val="231F20"/>
        </w:rPr>
        <w:t>beneficio</w:t>
      </w:r>
      <w:r>
        <w:rPr>
          <w:color w:val="231F20"/>
          <w:spacing w:val="-7"/>
        </w:rPr>
        <w:t> </w:t>
      </w:r>
      <w:r>
        <w:rPr>
          <w:color w:val="231F20"/>
        </w:rPr>
        <w:t>en la captación de clientes y cobros de comisiones variadas; lo que ya era un servicio otorgado de manera paralela en Estados Unidos por las</w:t>
      </w:r>
      <w:r>
        <w:rPr>
          <w:color w:val="231F20"/>
          <w:spacing w:val="-35"/>
        </w:rPr>
        <w:t> </w:t>
      </w:r>
      <w:r>
        <w:rPr>
          <w:color w:val="231F20"/>
        </w:rPr>
        <w:t>institucio- nes financieras no</w:t>
      </w:r>
      <w:r>
        <w:rPr>
          <w:color w:val="231F20"/>
          <w:spacing w:val="-12"/>
        </w:rPr>
        <w:t> </w:t>
      </w:r>
      <w:r>
        <w:rPr>
          <w:color w:val="231F20"/>
        </w:rPr>
        <w:t>bancarias.</w:t>
      </w:r>
    </w:p>
    <w:p>
      <w:pPr>
        <w:spacing w:after="0" w:line="247" w:lineRule="auto"/>
        <w:jc w:val="both"/>
        <w:sectPr>
          <w:pgSz w:w="9360" w:h="13040"/>
          <w:pgMar w:header="0" w:footer="496" w:top="800" w:bottom="680" w:left="1300" w:right="1300"/>
        </w:sectPr>
      </w:pPr>
    </w:p>
    <w:p>
      <w:pPr>
        <w:spacing w:before="45"/>
        <w:ind w:left="400" w:right="0" w:firstLine="60"/>
        <w:jc w:val="left"/>
        <w:rPr>
          <w:rFonts w:ascii="Arial" w:hAnsi="Arial"/>
          <w:sz w:val="20"/>
        </w:rPr>
      </w:pPr>
      <w:r>
        <w:rPr>
          <w:rFonts w:ascii="Arial" w:hAnsi="Arial"/>
          <w:color w:val="231F20"/>
          <w:w w:val="66"/>
          <w:sz w:val="20"/>
        </w:rPr>
        <w:t>Las</w:t>
      </w:r>
      <w:r>
        <w:rPr>
          <w:rFonts w:ascii="Arial" w:hAnsi="Arial"/>
          <w:color w:val="231F20"/>
          <w:spacing w:val="-1"/>
          <w:sz w:val="20"/>
        </w:rPr>
        <w:t> </w:t>
      </w:r>
      <w:r>
        <w:rPr>
          <w:rFonts w:ascii="Arial" w:hAnsi="Arial"/>
          <w:color w:val="231F20"/>
          <w:spacing w:val="-1"/>
          <w:w w:val="68"/>
          <w:sz w:val="20"/>
        </w:rPr>
        <w:t>remesa</w:t>
      </w:r>
      <w:r>
        <w:rPr>
          <w:rFonts w:ascii="Arial" w:hAnsi="Arial"/>
          <w:color w:val="231F20"/>
          <w:w w:val="68"/>
          <w:sz w:val="20"/>
        </w:rPr>
        <w:t>s</w:t>
      </w:r>
      <w:r>
        <w:rPr>
          <w:rFonts w:ascii="Arial" w:hAnsi="Arial"/>
          <w:color w:val="231F20"/>
          <w:sz w:val="20"/>
        </w:rPr>
        <w:t> </w:t>
      </w:r>
      <w:r>
        <w:rPr>
          <w:rFonts w:ascii="Arial" w:hAnsi="Arial"/>
          <w:color w:val="231F20"/>
          <w:w w:val="72"/>
          <w:sz w:val="20"/>
        </w:rPr>
        <w:t>indígenas</w:t>
      </w:r>
      <w:r>
        <w:rPr>
          <w:rFonts w:ascii="Arial" w:hAnsi="Arial"/>
          <w:color w:val="231F20"/>
          <w:spacing w:val="-1"/>
          <w:sz w:val="20"/>
        </w:rPr>
        <w:t> </w:t>
      </w:r>
      <w:r>
        <w:rPr>
          <w:rFonts w:ascii="Arial" w:hAnsi="Arial"/>
          <w:color w:val="231F20"/>
          <w:spacing w:val="-1"/>
          <w:w w:val="67"/>
          <w:sz w:val="20"/>
        </w:rPr>
        <w:t>com</w:t>
      </w:r>
      <w:r>
        <w:rPr>
          <w:rFonts w:ascii="Arial" w:hAnsi="Arial"/>
          <w:color w:val="231F20"/>
          <w:w w:val="67"/>
          <w:sz w:val="20"/>
        </w:rPr>
        <w:t>o</w:t>
      </w:r>
      <w:r>
        <w:rPr>
          <w:rFonts w:ascii="Arial" w:hAnsi="Arial"/>
          <w:color w:val="231F20"/>
          <w:spacing w:val="-1"/>
          <w:sz w:val="20"/>
        </w:rPr>
        <w:t> </w:t>
      </w:r>
      <w:r>
        <w:rPr>
          <w:rFonts w:ascii="Arial" w:hAnsi="Arial"/>
          <w:color w:val="231F20"/>
          <w:spacing w:val="-1"/>
          <w:w w:val="71"/>
          <w:sz w:val="20"/>
        </w:rPr>
        <w:t>complement</w:t>
      </w:r>
      <w:r>
        <w:rPr>
          <w:rFonts w:ascii="Arial" w:hAnsi="Arial"/>
          <w:color w:val="231F20"/>
          <w:w w:val="71"/>
          <w:sz w:val="20"/>
        </w:rPr>
        <w:t>o</w:t>
      </w:r>
      <w:r>
        <w:rPr>
          <w:rFonts w:ascii="Arial" w:hAnsi="Arial"/>
          <w:color w:val="231F20"/>
          <w:sz w:val="20"/>
        </w:rPr>
        <w:t> </w:t>
      </w:r>
      <w:r>
        <w:rPr>
          <w:rFonts w:ascii="Arial" w:hAnsi="Arial"/>
          <w:color w:val="231F20"/>
          <w:spacing w:val="-1"/>
          <w:w w:val="78"/>
          <w:sz w:val="20"/>
        </w:rPr>
        <w:t>a</w:t>
      </w:r>
      <w:r>
        <w:rPr>
          <w:rFonts w:ascii="Arial" w:hAnsi="Arial"/>
          <w:color w:val="231F20"/>
          <w:w w:val="78"/>
          <w:sz w:val="20"/>
        </w:rPr>
        <w:t>l</w:t>
      </w:r>
      <w:r>
        <w:rPr>
          <w:rFonts w:ascii="Arial" w:hAnsi="Arial"/>
          <w:color w:val="231F20"/>
          <w:spacing w:val="-1"/>
          <w:sz w:val="20"/>
        </w:rPr>
        <w:t> </w:t>
      </w:r>
      <w:r>
        <w:rPr>
          <w:rFonts w:ascii="Arial" w:hAnsi="Arial"/>
          <w:color w:val="231F20"/>
          <w:w w:val="73"/>
          <w:sz w:val="20"/>
        </w:rPr>
        <w:t>ingreso</w:t>
      </w:r>
      <w:r>
        <w:rPr>
          <w:rFonts w:ascii="Arial" w:hAnsi="Arial"/>
          <w:color w:val="231F20"/>
          <w:spacing w:val="-1"/>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67"/>
          <w:sz w:val="20"/>
        </w:rPr>
        <w:t>sus</w:t>
      </w:r>
      <w:r>
        <w:rPr>
          <w:rFonts w:ascii="Arial" w:hAnsi="Arial"/>
          <w:color w:val="231F20"/>
          <w:spacing w:val="-1"/>
          <w:sz w:val="20"/>
        </w:rPr>
        <w:t> </w:t>
      </w:r>
      <w:r>
        <w:rPr>
          <w:rFonts w:ascii="Arial" w:hAnsi="Arial"/>
          <w:color w:val="231F20"/>
          <w:w w:val="72"/>
          <w:sz w:val="20"/>
        </w:rPr>
        <w:t>mecanismos...</w:t>
      </w:r>
      <w:r>
        <w:rPr>
          <w:rFonts w:ascii="Arial" w:hAnsi="Arial"/>
          <w:color w:val="231F20"/>
          <w:spacing w:val="-1"/>
          <w:sz w:val="20"/>
        </w:rPr>
        <w:t> </w:t>
      </w:r>
      <w:r>
        <w:rPr>
          <w:rFonts w:ascii="Arial" w:hAnsi="Arial"/>
          <w:color w:val="231F20"/>
          <w:spacing w:val="-1"/>
          <w:w w:val="99"/>
          <w:sz w:val="20"/>
        </w:rPr>
        <w:t>/</w:t>
      </w:r>
      <w:r>
        <w:rPr>
          <w:rFonts w:ascii="Arial" w:hAnsi="Arial"/>
          <w:color w:val="231F20"/>
          <w:w w:val="47"/>
          <w:sz w:val="20"/>
        </w:rPr>
        <w:t>César</w:t>
      </w:r>
      <w:r>
        <w:rPr>
          <w:rFonts w:ascii="Arial" w:hAnsi="Arial"/>
          <w:color w:val="231F20"/>
          <w:spacing w:val="-17"/>
          <w:sz w:val="20"/>
        </w:rPr>
        <w:t> </w:t>
      </w:r>
      <w:r>
        <w:rPr>
          <w:rFonts w:ascii="Arial" w:hAnsi="Arial"/>
          <w:color w:val="231F20"/>
          <w:spacing w:val="-1"/>
          <w:w w:val="52"/>
          <w:sz w:val="20"/>
        </w:rPr>
        <w:t>Raú</w:t>
      </w:r>
      <w:r>
        <w:rPr>
          <w:rFonts w:ascii="Arial" w:hAnsi="Arial"/>
          <w:color w:val="231F20"/>
          <w:w w:val="52"/>
          <w:sz w:val="20"/>
        </w:rPr>
        <w:t>l</w:t>
      </w:r>
      <w:r>
        <w:rPr>
          <w:rFonts w:ascii="Arial" w:hAnsi="Arial"/>
          <w:color w:val="231F20"/>
          <w:spacing w:val="-17"/>
          <w:sz w:val="20"/>
        </w:rPr>
        <w:t> </w:t>
      </w:r>
      <w:r>
        <w:rPr>
          <w:rFonts w:ascii="Arial" w:hAnsi="Arial"/>
          <w:color w:val="231F20"/>
          <w:w w:val="52"/>
          <w:sz w:val="20"/>
        </w:rPr>
        <w:t>Pérez-Marcial</w:t>
      </w:r>
    </w:p>
    <w:p>
      <w:pPr>
        <w:pStyle w:val="BodyText"/>
        <w:spacing w:before="7"/>
        <w:rPr>
          <w:rFonts w:ascii="Arial"/>
          <w:sz w:val="28"/>
        </w:rPr>
      </w:pPr>
    </w:p>
    <w:p>
      <w:pPr>
        <w:pStyle w:val="BodyText"/>
        <w:spacing w:line="247" w:lineRule="auto"/>
        <w:ind w:left="117" w:right="114" w:firstLine="283"/>
        <w:jc w:val="both"/>
      </w:pPr>
      <w:r>
        <w:rPr>
          <w:color w:val="231F20"/>
        </w:rPr>
        <w:t>Existen algunos agentes ligados a los servicios de las remesas que no están inscritos o regulados por autoridades como los centros cambiarios   y centros de pago, algunos de ellos localizados en espacios de población indígena, que han sido los agentes tradicionales que constituyeron el sis- tema de remesas familiares, ya que realizan una actividad financiera con operaciones internacionales y los otros aún más</w:t>
      </w:r>
      <w:r>
        <w:rPr>
          <w:color w:val="231F20"/>
          <w:spacing w:val="-4"/>
        </w:rPr>
        <w:t> </w:t>
      </w:r>
      <w:r>
        <w:rPr>
          <w:color w:val="231F20"/>
        </w:rPr>
        <w:t>informales.</w:t>
      </w:r>
    </w:p>
    <w:p>
      <w:pPr>
        <w:pStyle w:val="BodyText"/>
        <w:spacing w:line="247" w:lineRule="auto"/>
        <w:ind w:left="117" w:right="114" w:firstLine="283"/>
        <w:jc w:val="both"/>
        <w:rPr>
          <w:sz w:val="13"/>
        </w:rPr>
      </w:pPr>
      <w:r>
        <w:rPr>
          <w:color w:val="231F20"/>
        </w:rPr>
        <w:t>Las razones para la aparición e integración de tantos agentes están es- trechamente relacionadas con los instrumentos de envío; la introducción de los elementos electrónicos ha hecho posible que los centros de pago    se puedan ubicar en casi cualquier tipo de institución o negocio (desde tiendas de abarrotes, farmacias, tiendas de artículos electrónicos, casetas telefónicas, bancos, entre otros) pero los pagos se hacen sin la posibilidad de seleccionar el mejor tipo de cambio, además existen otros agentes en</w:t>
      </w:r>
      <w:r>
        <w:rPr>
          <w:color w:val="231F20"/>
          <w:spacing w:val="-28"/>
        </w:rPr>
        <w:t> </w:t>
      </w:r>
      <w:r>
        <w:rPr>
          <w:color w:val="231F20"/>
        </w:rPr>
        <w:t>el mercado de</w:t>
      </w:r>
      <w:r>
        <w:rPr>
          <w:color w:val="231F20"/>
          <w:spacing w:val="-3"/>
        </w:rPr>
        <w:t> </w:t>
      </w:r>
      <w:r>
        <w:rPr>
          <w:color w:val="231F20"/>
        </w:rPr>
        <w:t>envíos.</w:t>
      </w:r>
      <w:r>
        <w:rPr>
          <w:color w:val="231F20"/>
          <w:position w:val="7"/>
          <w:sz w:val="13"/>
        </w:rPr>
        <w:t>2</w:t>
      </w:r>
    </w:p>
    <w:p>
      <w:pPr>
        <w:pStyle w:val="BodyText"/>
        <w:spacing w:line="247" w:lineRule="auto"/>
        <w:ind w:left="117" w:right="114" w:firstLine="283"/>
        <w:jc w:val="both"/>
        <w:rPr>
          <w:sz w:val="13"/>
        </w:rPr>
      </w:pPr>
      <w:r>
        <w:rPr>
          <w:color w:val="231F20"/>
        </w:rPr>
        <w:t>Desde</w:t>
      </w:r>
      <w:r>
        <w:rPr>
          <w:color w:val="231F20"/>
          <w:spacing w:val="-9"/>
        </w:rPr>
        <w:t> </w:t>
      </w:r>
      <w:r>
        <w:rPr>
          <w:color w:val="231F20"/>
        </w:rPr>
        <w:t>2002,</w:t>
      </w:r>
      <w:r>
        <w:rPr>
          <w:color w:val="231F20"/>
          <w:spacing w:val="-9"/>
        </w:rPr>
        <w:t> </w:t>
      </w:r>
      <w:r>
        <w:rPr>
          <w:color w:val="231F20"/>
        </w:rPr>
        <w:t>el</w:t>
      </w:r>
      <w:r>
        <w:rPr>
          <w:color w:val="231F20"/>
          <w:spacing w:val="-9"/>
        </w:rPr>
        <w:t> </w:t>
      </w:r>
      <w:r>
        <w:rPr>
          <w:color w:val="231F20"/>
        </w:rPr>
        <w:t>elevado</w:t>
      </w:r>
      <w:r>
        <w:rPr>
          <w:color w:val="231F20"/>
          <w:spacing w:val="-9"/>
        </w:rPr>
        <w:t> </w:t>
      </w:r>
      <w:r>
        <w:rPr>
          <w:color w:val="231F20"/>
        </w:rPr>
        <w:t>volumen</w:t>
      </w:r>
      <w:r>
        <w:rPr>
          <w:color w:val="231F20"/>
          <w:spacing w:val="-9"/>
        </w:rPr>
        <w:t> </w:t>
      </w:r>
      <w:r>
        <w:rPr>
          <w:color w:val="231F20"/>
        </w:rPr>
        <w:t>de</w:t>
      </w:r>
      <w:r>
        <w:rPr>
          <w:color w:val="231F20"/>
          <w:spacing w:val="-9"/>
        </w:rPr>
        <w:t> </w:t>
      </w:r>
      <w:r>
        <w:rPr>
          <w:color w:val="231F20"/>
        </w:rPr>
        <w:t>remesas</w:t>
      </w:r>
      <w:r>
        <w:rPr>
          <w:color w:val="231F20"/>
          <w:spacing w:val="-9"/>
        </w:rPr>
        <w:t> </w:t>
      </w:r>
      <w:r>
        <w:rPr>
          <w:color w:val="231F20"/>
        </w:rPr>
        <w:t>familiares</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crecimiento demográfico de la población latina en EU, entre ellos los HLI de México, propició que los bancos norteamericanos empezaran a participar en el en- vío de remesas, principalmente </w:t>
      </w:r>
      <w:r>
        <w:rPr>
          <w:color w:val="231F20"/>
          <w:spacing w:val="-4"/>
        </w:rPr>
        <w:t>Wells </w:t>
      </w:r>
      <w:r>
        <w:rPr>
          <w:color w:val="231F20"/>
        </w:rPr>
        <w:t>Fargo y Bank of América, que han recibido</w:t>
      </w:r>
      <w:r>
        <w:rPr>
          <w:color w:val="231F20"/>
          <w:spacing w:val="-6"/>
        </w:rPr>
        <w:t> </w:t>
      </w:r>
      <w:r>
        <w:rPr>
          <w:color w:val="231F20"/>
        </w:rPr>
        <w:t>el</w:t>
      </w:r>
      <w:r>
        <w:rPr>
          <w:color w:val="231F20"/>
          <w:spacing w:val="-6"/>
        </w:rPr>
        <w:t> </w:t>
      </w:r>
      <w:r>
        <w:rPr>
          <w:color w:val="231F20"/>
        </w:rPr>
        <w:t>apoyo</w:t>
      </w:r>
      <w:r>
        <w:rPr>
          <w:color w:val="231F20"/>
          <w:spacing w:val="-6"/>
        </w:rPr>
        <w:t> </w:t>
      </w:r>
      <w:r>
        <w:rPr>
          <w:color w:val="231F20"/>
        </w:rPr>
        <w:t>del</w:t>
      </w:r>
      <w:r>
        <w:rPr>
          <w:color w:val="231F20"/>
          <w:spacing w:val="-6"/>
        </w:rPr>
        <w:t> </w:t>
      </w:r>
      <w:r>
        <w:rPr>
          <w:color w:val="231F20"/>
        </w:rPr>
        <w:t>gobierno</w:t>
      </w:r>
      <w:r>
        <w:rPr>
          <w:color w:val="231F20"/>
          <w:spacing w:val="-6"/>
        </w:rPr>
        <w:t> </w:t>
      </w:r>
      <w:r>
        <w:rPr>
          <w:color w:val="231F20"/>
        </w:rPr>
        <w:t>mexicano</w:t>
      </w:r>
      <w:r>
        <w:rPr>
          <w:color w:val="231F20"/>
          <w:spacing w:val="-6"/>
        </w:rPr>
        <w:t> </w:t>
      </w:r>
      <w:r>
        <w:rPr>
          <w:color w:val="231F20"/>
        </w:rPr>
        <w:t>mediante</w:t>
      </w:r>
      <w:r>
        <w:rPr>
          <w:color w:val="231F20"/>
          <w:spacing w:val="-6"/>
        </w:rPr>
        <w:t> </w:t>
      </w:r>
      <w:r>
        <w:rPr>
          <w:color w:val="231F20"/>
        </w:rPr>
        <w:t>la</w:t>
      </w:r>
      <w:r>
        <w:rPr>
          <w:color w:val="231F20"/>
          <w:spacing w:val="-6"/>
        </w:rPr>
        <w:t> </w:t>
      </w:r>
      <w:r>
        <w:rPr>
          <w:color w:val="231F20"/>
        </w:rPr>
        <w:t>promoción</w:t>
      </w:r>
      <w:r>
        <w:rPr>
          <w:color w:val="231F20"/>
          <w:spacing w:val="-6"/>
        </w:rPr>
        <w:t> </w:t>
      </w:r>
      <w:r>
        <w:rPr>
          <w:color w:val="231F20"/>
        </w:rPr>
        <w:t>de</w:t>
      </w:r>
      <w:r>
        <w:rPr>
          <w:color w:val="231F20"/>
          <w:spacing w:val="-6"/>
        </w:rPr>
        <w:t> </w:t>
      </w:r>
      <w:r>
        <w:rPr>
          <w:color w:val="231F20"/>
        </w:rPr>
        <w:t>instru- mentos de envío en los propios</w:t>
      </w:r>
      <w:r>
        <w:rPr>
          <w:color w:val="231F20"/>
          <w:spacing w:val="-6"/>
        </w:rPr>
        <w:t> </w:t>
      </w:r>
      <w:r>
        <w:rPr>
          <w:color w:val="231F20"/>
        </w:rPr>
        <w:t>consulados.</w:t>
      </w:r>
      <w:r>
        <w:rPr>
          <w:color w:val="231F20"/>
          <w:position w:val="7"/>
          <w:sz w:val="13"/>
        </w:rPr>
        <w:t>3</w:t>
      </w:r>
    </w:p>
    <w:p>
      <w:pPr>
        <w:pStyle w:val="BodyText"/>
        <w:spacing w:line="247" w:lineRule="auto"/>
        <w:ind w:left="117" w:right="115" w:firstLine="283"/>
        <w:jc w:val="both"/>
      </w:pPr>
      <w:r>
        <w:rPr>
          <w:color w:val="231F20"/>
        </w:rPr>
        <w:t>Un organismo que se ha incorporado a la intermediación es el Consejo Mundial</w:t>
      </w:r>
      <w:r>
        <w:rPr>
          <w:color w:val="231F20"/>
          <w:spacing w:val="-5"/>
        </w:rPr>
        <w:t> </w:t>
      </w:r>
      <w:r>
        <w:rPr>
          <w:color w:val="231F20"/>
        </w:rPr>
        <w:t>de</w:t>
      </w:r>
      <w:r>
        <w:rPr>
          <w:color w:val="231F20"/>
          <w:spacing w:val="-5"/>
        </w:rPr>
        <w:t> </w:t>
      </w:r>
      <w:r>
        <w:rPr>
          <w:color w:val="231F20"/>
        </w:rPr>
        <w:t>Uniones</w:t>
      </w:r>
      <w:r>
        <w:rPr>
          <w:color w:val="231F20"/>
          <w:spacing w:val="-4"/>
        </w:rPr>
        <w:t> </w:t>
      </w:r>
      <w:r>
        <w:rPr>
          <w:color w:val="231F20"/>
        </w:rPr>
        <w:t>de</w:t>
      </w:r>
      <w:r>
        <w:rPr>
          <w:color w:val="231F20"/>
          <w:spacing w:val="-5"/>
        </w:rPr>
        <w:t> </w:t>
      </w:r>
      <w:r>
        <w:rPr>
          <w:color w:val="231F20"/>
        </w:rPr>
        <w:t>Crédito</w:t>
      </w:r>
      <w:r>
        <w:rPr>
          <w:color w:val="231F20"/>
          <w:spacing w:val="-5"/>
        </w:rPr>
        <w:t> </w:t>
      </w:r>
      <w:r>
        <w:rPr>
          <w:color w:val="231F20"/>
          <w:spacing w:val="-4"/>
        </w:rPr>
        <w:t>(Word</w:t>
      </w:r>
      <w:r>
        <w:rPr>
          <w:color w:val="231F20"/>
          <w:spacing w:val="-5"/>
        </w:rPr>
        <w:t> </w:t>
      </w:r>
      <w:r>
        <w:rPr>
          <w:color w:val="231F20"/>
        </w:rPr>
        <w:t>Council</w:t>
      </w:r>
      <w:r>
        <w:rPr>
          <w:color w:val="231F20"/>
          <w:spacing w:val="-5"/>
        </w:rPr>
        <w:t> </w:t>
      </w:r>
      <w:r>
        <w:rPr>
          <w:color w:val="231F20"/>
        </w:rPr>
        <w:t>of</w:t>
      </w:r>
      <w:r>
        <w:rPr>
          <w:color w:val="231F20"/>
          <w:spacing w:val="-5"/>
        </w:rPr>
        <w:t> </w:t>
      </w:r>
      <w:r>
        <w:rPr>
          <w:color w:val="231F20"/>
        </w:rPr>
        <w:t>Credits</w:t>
      </w:r>
      <w:r>
        <w:rPr>
          <w:color w:val="231F20"/>
          <w:spacing w:val="-5"/>
        </w:rPr>
        <w:t> </w:t>
      </w:r>
      <w:r>
        <w:rPr>
          <w:color w:val="231F20"/>
        </w:rPr>
        <w:t>Unions</w:t>
      </w:r>
      <w:r>
        <w:rPr>
          <w:color w:val="231F20"/>
          <w:spacing w:val="-5"/>
        </w:rPr>
        <w:t> </w:t>
      </w:r>
      <w:r>
        <w:rPr>
          <w:color w:val="231F20"/>
        </w:rPr>
        <w:t>—WOC CU—) con la International Remittance Network (IRNet) en la que se pue- de tener acceso a servicios de transferencias electrónicas sin comisión y con mejores tipos de cambio. Esta modalidad inició en países de Latinoa- mérica,</w:t>
      </w:r>
      <w:r>
        <w:rPr>
          <w:color w:val="231F20"/>
          <w:spacing w:val="-12"/>
        </w:rPr>
        <w:t> </w:t>
      </w:r>
      <w:r>
        <w:rPr>
          <w:color w:val="231F20"/>
        </w:rPr>
        <w:t>incluyendo</w:t>
      </w:r>
      <w:r>
        <w:rPr>
          <w:color w:val="231F20"/>
          <w:spacing w:val="-12"/>
        </w:rPr>
        <w:t> </w:t>
      </w:r>
      <w:r>
        <w:rPr>
          <w:color w:val="231F20"/>
        </w:rPr>
        <w:t>México</w:t>
      </w:r>
      <w:r>
        <w:rPr>
          <w:color w:val="231F20"/>
          <w:spacing w:val="-12"/>
        </w:rPr>
        <w:t> </w:t>
      </w:r>
      <w:r>
        <w:rPr>
          <w:color w:val="231F20"/>
        </w:rPr>
        <w:t>y</w:t>
      </w:r>
      <w:r>
        <w:rPr>
          <w:color w:val="231F20"/>
          <w:spacing w:val="-12"/>
        </w:rPr>
        <w:t> </w:t>
      </w:r>
      <w:r>
        <w:rPr>
          <w:color w:val="231F20"/>
        </w:rPr>
        <w:t>tiene</w:t>
      </w:r>
      <w:r>
        <w:rPr>
          <w:color w:val="231F20"/>
          <w:spacing w:val="-12"/>
        </w:rPr>
        <w:t> </w:t>
      </w:r>
      <w:r>
        <w:rPr>
          <w:color w:val="231F20"/>
        </w:rPr>
        <w:t>la</w:t>
      </w:r>
      <w:r>
        <w:rPr>
          <w:color w:val="231F20"/>
          <w:spacing w:val="-12"/>
        </w:rPr>
        <w:t> </w:t>
      </w:r>
      <w:r>
        <w:rPr>
          <w:color w:val="231F20"/>
        </w:rPr>
        <w:t>finalidad</w:t>
      </w:r>
      <w:r>
        <w:rPr>
          <w:color w:val="231F20"/>
          <w:spacing w:val="-12"/>
        </w:rPr>
        <w:t> </w:t>
      </w:r>
      <w:r>
        <w:rPr>
          <w:color w:val="231F20"/>
        </w:rPr>
        <w:t>de</w:t>
      </w:r>
      <w:r>
        <w:rPr>
          <w:color w:val="231F20"/>
          <w:spacing w:val="-12"/>
        </w:rPr>
        <w:t> </w:t>
      </w:r>
      <w:r>
        <w:rPr>
          <w:color w:val="231F20"/>
        </w:rPr>
        <w:t>incrementar</w:t>
      </w:r>
      <w:r>
        <w:rPr>
          <w:color w:val="231F20"/>
          <w:spacing w:val="-12"/>
        </w:rPr>
        <w:t> </w:t>
      </w:r>
      <w:r>
        <w:rPr>
          <w:color w:val="231F20"/>
        </w:rPr>
        <w:t>los</w:t>
      </w:r>
      <w:r>
        <w:rPr>
          <w:color w:val="231F20"/>
          <w:spacing w:val="-12"/>
        </w:rPr>
        <w:t> </w:t>
      </w:r>
      <w:r>
        <w:rPr>
          <w:color w:val="231F20"/>
        </w:rPr>
        <w:t>servicios financieros de los migrantes internacionales en el sector formal para que después participen de otros.</w:t>
      </w:r>
    </w:p>
    <w:p>
      <w:pPr>
        <w:pStyle w:val="BodyText"/>
        <w:spacing w:line="247" w:lineRule="auto"/>
        <w:ind w:left="117" w:right="116" w:firstLine="283"/>
        <w:jc w:val="both"/>
      </w:pPr>
      <w:r>
        <w:rPr>
          <w:color w:val="231F20"/>
        </w:rPr>
        <w:t>En</w:t>
      </w:r>
      <w:r>
        <w:rPr>
          <w:color w:val="231F20"/>
          <w:spacing w:val="-7"/>
        </w:rPr>
        <w:t> </w:t>
      </w:r>
      <w:r>
        <w:rPr>
          <w:color w:val="231F20"/>
        </w:rPr>
        <w:t>México</w:t>
      </w:r>
      <w:r>
        <w:rPr>
          <w:color w:val="231F20"/>
          <w:spacing w:val="-7"/>
        </w:rPr>
        <w:t> </w:t>
      </w:r>
      <w:r>
        <w:rPr>
          <w:color w:val="231F20"/>
        </w:rPr>
        <w:t>las</w:t>
      </w:r>
      <w:r>
        <w:rPr>
          <w:color w:val="231F20"/>
          <w:spacing w:val="-7"/>
        </w:rPr>
        <w:t> </w:t>
      </w:r>
      <w:r>
        <w:rPr>
          <w:color w:val="231F20"/>
        </w:rPr>
        <w:t>instituciones</w:t>
      </w:r>
      <w:r>
        <w:rPr>
          <w:color w:val="231F20"/>
          <w:spacing w:val="-7"/>
        </w:rPr>
        <w:t> </w:t>
      </w:r>
      <w:r>
        <w:rPr>
          <w:color w:val="231F20"/>
        </w:rPr>
        <w:t>financieras</w:t>
      </w:r>
      <w:r>
        <w:rPr>
          <w:color w:val="231F20"/>
          <w:spacing w:val="-7"/>
        </w:rPr>
        <w:t> </w:t>
      </w:r>
      <w:r>
        <w:rPr>
          <w:color w:val="231F20"/>
        </w:rPr>
        <w:t>para</w:t>
      </w:r>
      <w:r>
        <w:rPr>
          <w:color w:val="231F20"/>
          <w:spacing w:val="-7"/>
        </w:rPr>
        <w:t> </w:t>
      </w:r>
      <w:r>
        <w:rPr>
          <w:color w:val="231F20"/>
        </w:rPr>
        <w:t>el</w:t>
      </w:r>
      <w:r>
        <w:rPr>
          <w:color w:val="231F20"/>
          <w:spacing w:val="-7"/>
        </w:rPr>
        <w:t> </w:t>
      </w:r>
      <w:r>
        <w:rPr>
          <w:color w:val="231F20"/>
        </w:rPr>
        <w:t>ahorro</w:t>
      </w:r>
      <w:r>
        <w:rPr>
          <w:color w:val="231F20"/>
          <w:spacing w:val="-7"/>
        </w:rPr>
        <w:t> </w:t>
      </w:r>
      <w:r>
        <w:rPr>
          <w:color w:val="231F20"/>
        </w:rPr>
        <w:t>y</w:t>
      </w:r>
      <w:r>
        <w:rPr>
          <w:color w:val="231F20"/>
          <w:spacing w:val="-7"/>
        </w:rPr>
        <w:t> </w:t>
      </w:r>
      <w:r>
        <w:rPr>
          <w:color w:val="231F20"/>
        </w:rPr>
        <w:t>crédito</w:t>
      </w:r>
      <w:r>
        <w:rPr>
          <w:color w:val="231F20"/>
          <w:spacing w:val="-7"/>
        </w:rPr>
        <w:t> </w:t>
      </w:r>
      <w:r>
        <w:rPr>
          <w:color w:val="231F20"/>
        </w:rPr>
        <w:t>popular son coordinadas por el BANSEFI, antes Panahl y desde 2000 participa en el pago de remesas a través de la Red de la Gente</w:t>
      </w:r>
      <w:r>
        <w:rPr>
          <w:color w:val="231F20"/>
          <w:position w:val="7"/>
          <w:sz w:val="13"/>
        </w:rPr>
        <w:t>4 </w:t>
      </w:r>
      <w:r>
        <w:rPr>
          <w:color w:val="231F20"/>
        </w:rPr>
        <w:t>en un acuerdo con coo- perativas</w:t>
      </w:r>
      <w:r>
        <w:rPr>
          <w:color w:val="231F20"/>
          <w:spacing w:val="-10"/>
        </w:rPr>
        <w:t> </w:t>
      </w:r>
      <w:r>
        <w:rPr>
          <w:color w:val="231F20"/>
        </w:rPr>
        <w:t>de</w:t>
      </w:r>
      <w:r>
        <w:rPr>
          <w:color w:val="231F20"/>
          <w:spacing w:val="-10"/>
        </w:rPr>
        <w:t> </w:t>
      </w:r>
      <w:r>
        <w:rPr>
          <w:color w:val="231F20"/>
        </w:rPr>
        <w:t>crédito</w:t>
      </w:r>
      <w:r>
        <w:rPr>
          <w:color w:val="231F20"/>
          <w:spacing w:val="-10"/>
        </w:rPr>
        <w:t> </w:t>
      </w:r>
      <w:r>
        <w:rPr>
          <w:color w:val="231F20"/>
        </w:rPr>
        <w:t>y</w:t>
      </w:r>
      <w:r>
        <w:rPr>
          <w:color w:val="231F20"/>
          <w:spacing w:val="-10"/>
        </w:rPr>
        <w:t> </w:t>
      </w:r>
      <w:r>
        <w:rPr>
          <w:color w:val="231F20"/>
        </w:rPr>
        <w:t>ahorro,</w:t>
      </w:r>
      <w:r>
        <w:rPr>
          <w:color w:val="231F20"/>
          <w:spacing w:val="-11"/>
        </w:rPr>
        <w:t> </w:t>
      </w:r>
      <w:r>
        <w:rPr>
          <w:color w:val="231F20"/>
        </w:rPr>
        <w:t>empresas</w:t>
      </w:r>
      <w:r>
        <w:rPr>
          <w:color w:val="231F20"/>
          <w:spacing w:val="-11"/>
        </w:rPr>
        <w:t> </w:t>
      </w:r>
      <w:r>
        <w:rPr>
          <w:color w:val="231F20"/>
        </w:rPr>
        <w:t>transmisoras</w:t>
      </w:r>
      <w:r>
        <w:rPr>
          <w:color w:val="231F20"/>
          <w:spacing w:val="-11"/>
        </w:rPr>
        <w:t> </w:t>
      </w:r>
      <w:r>
        <w:rPr>
          <w:color w:val="231F20"/>
        </w:rPr>
        <w:t>han</w:t>
      </w:r>
      <w:r>
        <w:rPr>
          <w:color w:val="231F20"/>
          <w:spacing w:val="-10"/>
        </w:rPr>
        <w:t> </w:t>
      </w:r>
      <w:r>
        <w:rPr>
          <w:color w:val="231F20"/>
        </w:rPr>
        <w:t>ampliado</w:t>
      </w:r>
      <w:r>
        <w:rPr>
          <w:color w:val="231F20"/>
          <w:spacing w:val="-11"/>
        </w:rPr>
        <w:t> </w:t>
      </w:r>
      <w:r>
        <w:rPr>
          <w:color w:val="231F20"/>
        </w:rPr>
        <w:t>a</w:t>
      </w:r>
      <w:r>
        <w:rPr>
          <w:color w:val="231F20"/>
          <w:spacing w:val="-10"/>
        </w:rPr>
        <w:t> </w:t>
      </w:r>
      <w:r>
        <w:rPr>
          <w:color w:val="231F20"/>
        </w:rPr>
        <w:t>cuatro mil puntos adicionales en áreas rurales, por lo que se ofrecen costos bajos cuando se deposita en una</w:t>
      </w:r>
      <w:r>
        <w:rPr>
          <w:color w:val="231F20"/>
          <w:spacing w:val="-3"/>
        </w:rPr>
        <w:t> </w:t>
      </w:r>
      <w:r>
        <w:rPr>
          <w:color w:val="231F20"/>
        </w:rPr>
        <w:t>cuenta.</w:t>
      </w:r>
    </w:p>
    <w:p>
      <w:pPr>
        <w:pStyle w:val="BodyText"/>
        <w:spacing w:before="8"/>
        <w:rPr>
          <w:sz w:val="15"/>
        </w:rPr>
      </w:pPr>
      <w:r>
        <w:rPr/>
        <w:pict>
          <v:line style="position:absolute;mso-position-horizontal-relative:page;mso-position-vertical-relative:paragraph;z-index:7840;mso-wrap-distance-left:0;mso-wrap-distance-right:0" from="70.866096pt,11.364459pt" to="142.866096pt,11.364459pt" stroked="true" strokeweight=".75pt" strokecolor="#231f20">
            <w10:wrap type="topAndBottom"/>
          </v:line>
        </w:pict>
      </w:r>
    </w:p>
    <w:p>
      <w:pPr>
        <w:spacing w:line="208" w:lineRule="auto" w:before="0"/>
        <w:ind w:left="117" w:right="115" w:firstLine="0"/>
        <w:jc w:val="both"/>
        <w:rPr>
          <w:sz w:val="17"/>
        </w:rPr>
      </w:pPr>
      <w:r>
        <w:rPr>
          <w:color w:val="231F20"/>
          <w:position w:val="6"/>
          <w:sz w:val="10"/>
        </w:rPr>
        <w:t>2 </w:t>
      </w:r>
      <w:r>
        <w:rPr>
          <w:color w:val="231F20"/>
          <w:sz w:val="17"/>
        </w:rPr>
        <w:t>Entre las empresas de Western Union y Money Gramm para 1993 tenían el 98 por ciento del mercado, para el año 2001 tenían menos de 40 por ciento.</w:t>
      </w:r>
    </w:p>
    <w:p>
      <w:pPr>
        <w:spacing w:line="162" w:lineRule="exact" w:before="0"/>
        <w:ind w:left="117" w:right="0" w:firstLine="0"/>
        <w:jc w:val="both"/>
        <w:rPr>
          <w:sz w:val="17"/>
        </w:rPr>
      </w:pPr>
      <w:r>
        <w:rPr>
          <w:color w:val="231F20"/>
          <w:position w:val="6"/>
          <w:sz w:val="10"/>
        </w:rPr>
        <w:t>3 </w:t>
      </w:r>
      <w:r>
        <w:rPr>
          <w:color w:val="231F20"/>
          <w:sz w:val="17"/>
        </w:rPr>
        <w:t>En </w:t>
      </w:r>
      <w:hyperlink r:id="rId216">
        <w:r>
          <w:rPr>
            <w:color w:val="231F20"/>
            <w:sz w:val="17"/>
          </w:rPr>
          <w:t>http://www2.eluniversal.com.mx/pls/impreso/noticia.html?id_nota=24413&amp;tabla=finanzas,</w:t>
        </w:r>
      </w:hyperlink>
    </w:p>
    <w:p>
      <w:pPr>
        <w:spacing w:line="170" w:lineRule="exact" w:before="0"/>
        <w:ind w:left="117" w:right="0" w:firstLine="0"/>
        <w:jc w:val="both"/>
        <w:rPr>
          <w:sz w:val="17"/>
        </w:rPr>
      </w:pPr>
      <w:r>
        <w:rPr>
          <w:color w:val="231F20"/>
          <w:sz w:val="17"/>
        </w:rPr>
        <w:t>consultado 15 abril 2008.</w:t>
      </w:r>
    </w:p>
    <w:p>
      <w:pPr>
        <w:spacing w:line="170" w:lineRule="exact" w:before="10"/>
        <w:ind w:left="117" w:right="115" w:firstLine="0"/>
        <w:jc w:val="both"/>
        <w:rPr>
          <w:sz w:val="17"/>
        </w:rPr>
      </w:pPr>
      <w:r>
        <w:rPr>
          <w:color w:val="231F20"/>
          <w:position w:val="6"/>
          <w:sz w:val="10"/>
        </w:rPr>
        <w:t>4 </w:t>
      </w:r>
      <w:r>
        <w:rPr>
          <w:color w:val="231F20"/>
          <w:sz w:val="17"/>
        </w:rPr>
        <w:t>El pago de ésta es principalmente con recursos del Banco Interamericano de Desarrollo (BID), recursos</w:t>
      </w:r>
      <w:r>
        <w:rPr>
          <w:color w:val="231F20"/>
          <w:spacing w:val="-5"/>
          <w:sz w:val="17"/>
        </w:rPr>
        <w:t> </w:t>
      </w:r>
      <w:r>
        <w:rPr>
          <w:color w:val="231F20"/>
          <w:sz w:val="17"/>
        </w:rPr>
        <w:t>para</w:t>
      </w:r>
      <w:r>
        <w:rPr>
          <w:color w:val="231F20"/>
          <w:spacing w:val="-5"/>
          <w:sz w:val="17"/>
        </w:rPr>
        <w:t> </w:t>
      </w:r>
      <w:r>
        <w:rPr>
          <w:color w:val="231F20"/>
          <w:sz w:val="17"/>
        </w:rPr>
        <w:t>la</w:t>
      </w:r>
      <w:r>
        <w:rPr>
          <w:color w:val="231F20"/>
          <w:spacing w:val="-5"/>
          <w:sz w:val="17"/>
        </w:rPr>
        <w:t> </w:t>
      </w:r>
      <w:r>
        <w:rPr>
          <w:color w:val="231F20"/>
          <w:sz w:val="17"/>
        </w:rPr>
        <w:t>educación</w:t>
      </w:r>
      <w:r>
        <w:rPr>
          <w:color w:val="231F20"/>
          <w:spacing w:val="-5"/>
          <w:sz w:val="17"/>
        </w:rPr>
        <w:t> </w:t>
      </w:r>
      <w:r>
        <w:rPr>
          <w:color w:val="231F20"/>
          <w:sz w:val="17"/>
        </w:rPr>
        <w:t>de</w:t>
      </w:r>
      <w:r>
        <w:rPr>
          <w:color w:val="231F20"/>
          <w:spacing w:val="-5"/>
          <w:sz w:val="17"/>
        </w:rPr>
        <w:t> </w:t>
      </w:r>
      <w:r>
        <w:rPr>
          <w:color w:val="231F20"/>
          <w:sz w:val="17"/>
        </w:rPr>
        <w:t>los</w:t>
      </w:r>
      <w:r>
        <w:rPr>
          <w:color w:val="231F20"/>
          <w:spacing w:val="-5"/>
          <w:sz w:val="17"/>
        </w:rPr>
        <w:t> </w:t>
      </w:r>
      <w:r>
        <w:rPr>
          <w:color w:val="231F20"/>
          <w:sz w:val="17"/>
        </w:rPr>
        <w:t>familiares</w:t>
      </w:r>
      <w:r>
        <w:rPr>
          <w:color w:val="231F20"/>
          <w:spacing w:val="-5"/>
          <w:sz w:val="17"/>
        </w:rPr>
        <w:t> </w:t>
      </w:r>
      <w:r>
        <w:rPr>
          <w:color w:val="231F20"/>
          <w:sz w:val="17"/>
        </w:rPr>
        <w:t>de</w:t>
      </w:r>
      <w:r>
        <w:rPr>
          <w:color w:val="231F20"/>
          <w:spacing w:val="-5"/>
          <w:sz w:val="17"/>
        </w:rPr>
        <w:t> </w:t>
      </w:r>
      <w:r>
        <w:rPr>
          <w:color w:val="231F20"/>
          <w:sz w:val="17"/>
        </w:rPr>
        <w:t>los</w:t>
      </w:r>
      <w:r>
        <w:rPr>
          <w:color w:val="231F20"/>
          <w:spacing w:val="-5"/>
          <w:sz w:val="17"/>
        </w:rPr>
        <w:t> </w:t>
      </w:r>
      <w:r>
        <w:rPr>
          <w:color w:val="231F20"/>
          <w:sz w:val="17"/>
        </w:rPr>
        <w:t>migrantes</w:t>
      </w:r>
      <w:r>
        <w:rPr>
          <w:color w:val="231F20"/>
          <w:spacing w:val="-5"/>
          <w:sz w:val="17"/>
        </w:rPr>
        <w:t> </w:t>
      </w:r>
      <w:r>
        <w:rPr>
          <w:color w:val="231F20"/>
          <w:sz w:val="17"/>
        </w:rPr>
        <w:t>en</w:t>
      </w:r>
      <w:r>
        <w:rPr>
          <w:color w:val="231F20"/>
          <w:spacing w:val="-5"/>
          <w:sz w:val="17"/>
        </w:rPr>
        <w:t> </w:t>
      </w:r>
      <w:r>
        <w:rPr>
          <w:color w:val="231F20"/>
          <w:sz w:val="17"/>
        </w:rPr>
        <w:t>sus</w:t>
      </w:r>
      <w:r>
        <w:rPr>
          <w:color w:val="231F20"/>
          <w:spacing w:val="-5"/>
          <w:sz w:val="17"/>
        </w:rPr>
        <w:t> </w:t>
      </w:r>
      <w:r>
        <w:rPr>
          <w:color w:val="231F20"/>
          <w:sz w:val="17"/>
        </w:rPr>
        <w:t>zonas</w:t>
      </w:r>
      <w:r>
        <w:rPr>
          <w:color w:val="231F20"/>
          <w:spacing w:val="-5"/>
          <w:sz w:val="17"/>
        </w:rPr>
        <w:t> </w:t>
      </w:r>
      <w:r>
        <w:rPr>
          <w:color w:val="231F20"/>
          <w:sz w:val="17"/>
        </w:rPr>
        <w:t>de</w:t>
      </w:r>
      <w:r>
        <w:rPr>
          <w:color w:val="231F20"/>
          <w:spacing w:val="-5"/>
          <w:sz w:val="17"/>
        </w:rPr>
        <w:t> </w:t>
      </w:r>
      <w:r>
        <w:rPr>
          <w:color w:val="231F20"/>
          <w:sz w:val="17"/>
        </w:rPr>
        <w:t>influencia</w:t>
      </w:r>
      <w:r>
        <w:rPr>
          <w:color w:val="231F20"/>
          <w:spacing w:val="-5"/>
          <w:sz w:val="17"/>
        </w:rPr>
        <w:t> </w:t>
      </w:r>
      <w:r>
        <w:rPr>
          <w:color w:val="231F20"/>
          <w:sz w:val="17"/>
        </w:rPr>
        <w:t>en</w:t>
      </w:r>
      <w:r>
        <w:rPr>
          <w:color w:val="231F20"/>
          <w:spacing w:val="-5"/>
          <w:sz w:val="17"/>
        </w:rPr>
        <w:t> </w:t>
      </w:r>
      <w:r>
        <w:rPr>
          <w:color w:val="231F20"/>
          <w:sz w:val="17"/>
        </w:rPr>
        <w:t>temas financieros y</w:t>
      </w:r>
      <w:r>
        <w:rPr>
          <w:color w:val="231F20"/>
          <w:spacing w:val="-10"/>
          <w:sz w:val="17"/>
        </w:rPr>
        <w:t> </w:t>
      </w:r>
      <w:r>
        <w:rPr>
          <w:color w:val="231F20"/>
          <w:sz w:val="17"/>
        </w:rPr>
        <w:t>bancarios.</w:t>
      </w:r>
    </w:p>
    <w:p>
      <w:pPr>
        <w:spacing w:after="0" w:line="170" w:lineRule="exact"/>
        <w:jc w:val="both"/>
        <w:rPr>
          <w:sz w:val="17"/>
        </w:rPr>
        <w:sectPr>
          <w:pgSz w:w="9360" w:h="13040"/>
          <w:pgMar w:header="0" w:footer="496" w:top="740" w:bottom="680" w:left="1300" w:right="1300"/>
        </w:sectPr>
      </w:pPr>
    </w:p>
    <w:p>
      <w:pPr>
        <w:tabs>
          <w:tab w:pos="5536" w:val="left" w:leader="none"/>
        </w:tabs>
        <w:spacing w:before="48"/>
        <w:ind w:left="397" w:right="117" w:hanging="292"/>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9"/>
        <w:rPr>
          <w:sz w:val="18"/>
        </w:rPr>
      </w:pPr>
    </w:p>
    <w:p>
      <w:pPr>
        <w:pStyle w:val="BodyText"/>
        <w:spacing w:line="247" w:lineRule="auto"/>
        <w:ind w:left="114" w:right="114" w:firstLine="283"/>
        <w:jc w:val="both"/>
      </w:pPr>
      <w:r>
        <w:rPr>
          <w:color w:val="231F20"/>
        </w:rPr>
        <w:t>Los</w:t>
      </w:r>
      <w:r>
        <w:rPr>
          <w:color w:val="231F20"/>
          <w:spacing w:val="-8"/>
        </w:rPr>
        <w:t> </w:t>
      </w:r>
      <w:r>
        <w:rPr>
          <w:color w:val="231F20"/>
        </w:rPr>
        <w:t>envíos</w:t>
      </w:r>
      <w:r>
        <w:rPr>
          <w:color w:val="231F20"/>
          <w:spacing w:val="-8"/>
        </w:rPr>
        <w:t> </w:t>
      </w:r>
      <w:r>
        <w:rPr>
          <w:color w:val="231F20"/>
        </w:rPr>
        <w:t>de</w:t>
      </w:r>
      <w:r>
        <w:rPr>
          <w:color w:val="231F20"/>
          <w:spacing w:val="-8"/>
        </w:rPr>
        <w:t> </w:t>
      </w:r>
      <w:r>
        <w:rPr>
          <w:color w:val="231F20"/>
        </w:rPr>
        <w:t>remesas</w:t>
      </w:r>
      <w:r>
        <w:rPr>
          <w:color w:val="231F20"/>
          <w:spacing w:val="-8"/>
        </w:rPr>
        <w:t> </w:t>
      </w:r>
      <w:r>
        <w:rPr>
          <w:color w:val="231F20"/>
        </w:rPr>
        <w:t>por</w:t>
      </w:r>
      <w:r>
        <w:rPr>
          <w:color w:val="231F20"/>
          <w:spacing w:val="-8"/>
        </w:rPr>
        <w:t> </w:t>
      </w:r>
      <w:r>
        <w:rPr>
          <w:color w:val="231F20"/>
        </w:rPr>
        <w:t>parte</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bancos</w:t>
      </w:r>
      <w:r>
        <w:rPr>
          <w:color w:val="231F20"/>
          <w:spacing w:val="-8"/>
        </w:rPr>
        <w:t> </w:t>
      </w:r>
      <w:r>
        <w:rPr>
          <w:color w:val="231F20"/>
        </w:rPr>
        <w:t>que</w:t>
      </w:r>
      <w:r>
        <w:rPr>
          <w:color w:val="231F20"/>
          <w:spacing w:val="-8"/>
        </w:rPr>
        <w:t> </w:t>
      </w:r>
      <w:r>
        <w:rPr>
          <w:color w:val="231F20"/>
        </w:rPr>
        <w:t>operan</w:t>
      </w:r>
      <w:r>
        <w:rPr>
          <w:color w:val="231F20"/>
          <w:spacing w:val="-8"/>
        </w:rPr>
        <w:t> </w:t>
      </w:r>
      <w:r>
        <w:rPr>
          <w:color w:val="231F20"/>
        </w:rPr>
        <w:t>en</w:t>
      </w:r>
      <w:r>
        <w:rPr>
          <w:color w:val="231F20"/>
          <w:spacing w:val="-8"/>
        </w:rPr>
        <w:t> </w:t>
      </w:r>
      <w:r>
        <w:rPr>
          <w:color w:val="231F20"/>
        </w:rPr>
        <w:t>México</w:t>
      </w:r>
      <w:r>
        <w:rPr>
          <w:color w:val="231F20"/>
          <w:spacing w:val="-8"/>
        </w:rPr>
        <w:t> </w:t>
      </w:r>
      <w:r>
        <w:rPr>
          <w:color w:val="231F20"/>
        </w:rPr>
        <w:t>se concentraron desde 2001 cuando el entonces Grupo Financiero Bancomer captaba cerca de 40 por ciento de los envíos, mientras que Elektra sólo 16 por ciento</w:t>
      </w:r>
      <w:r>
        <w:rPr>
          <w:color w:val="231F20"/>
          <w:position w:val="7"/>
          <w:sz w:val="13"/>
        </w:rPr>
        <w:t>5 </w:t>
      </w:r>
      <w:r>
        <w:rPr>
          <w:color w:val="231F20"/>
        </w:rPr>
        <w:t>y </w:t>
      </w:r>
      <w:r>
        <w:rPr>
          <w:color w:val="231F20"/>
          <w:spacing w:val="-3"/>
        </w:rPr>
        <w:t>Telecom </w:t>
      </w:r>
      <w:r>
        <w:rPr>
          <w:color w:val="231F20"/>
        </w:rPr>
        <w:t>ocho por ciento. Estas operaciones no sólo se efec- tuaban en México, ya que en relación directa con pequeños</w:t>
      </w:r>
      <w:r>
        <w:rPr>
          <w:color w:val="231F20"/>
          <w:spacing w:val="-30"/>
        </w:rPr>
        <w:t> </w:t>
      </w:r>
      <w:r>
        <w:rPr>
          <w:color w:val="231F20"/>
        </w:rPr>
        <w:t>establecimien- tos se realizaba la principal actividad financiera, la transferencia</w:t>
      </w:r>
      <w:r>
        <w:rPr>
          <w:color w:val="231F20"/>
          <w:spacing w:val="-30"/>
        </w:rPr>
        <w:t> </w:t>
      </w:r>
      <w:r>
        <w:rPr>
          <w:color w:val="231F20"/>
        </w:rPr>
        <w:t>electróni- ca de fondo, además de la concentración de pagos. Bancomer motivó</w:t>
      </w:r>
      <w:r>
        <w:rPr>
          <w:color w:val="231F20"/>
          <w:spacing w:val="-38"/>
        </w:rPr>
        <w:t> </w:t>
      </w:r>
      <w:r>
        <w:rPr>
          <w:color w:val="231F20"/>
        </w:rPr>
        <w:t>abrir cuentas de ahorro para que los envíos fueran depositados</w:t>
      </w:r>
      <w:r>
        <w:rPr>
          <w:color w:val="231F20"/>
          <w:position w:val="7"/>
          <w:sz w:val="13"/>
        </w:rPr>
        <w:t>6 </w:t>
      </w:r>
      <w:r>
        <w:rPr>
          <w:color w:val="231F20"/>
        </w:rPr>
        <w:t>por lo que dejó de ser sólo un punto de pago. Cabe señalar que en una encuesta realizada en</w:t>
      </w:r>
      <w:r>
        <w:rPr>
          <w:color w:val="231F20"/>
          <w:spacing w:val="-4"/>
        </w:rPr>
        <w:t> </w:t>
      </w:r>
      <w:r>
        <w:rPr>
          <w:color w:val="231F20"/>
        </w:rPr>
        <w:t>México</w:t>
      </w:r>
      <w:r>
        <w:rPr>
          <w:color w:val="231F20"/>
          <w:spacing w:val="-4"/>
        </w:rPr>
        <w:t> </w:t>
      </w:r>
      <w:r>
        <w:rPr>
          <w:color w:val="231F20"/>
        </w:rPr>
        <w:t>por</w:t>
      </w:r>
      <w:r>
        <w:rPr>
          <w:color w:val="231F20"/>
          <w:spacing w:val="-4"/>
        </w:rPr>
        <w:t> </w:t>
      </w:r>
      <w:r>
        <w:rPr>
          <w:color w:val="231F20"/>
        </w:rPr>
        <w:t>el</w:t>
      </w:r>
      <w:r>
        <w:rPr>
          <w:color w:val="231F20"/>
          <w:spacing w:val="-4"/>
        </w:rPr>
        <w:t> </w:t>
      </w:r>
      <w:r>
        <w:rPr>
          <w:color w:val="231F20"/>
        </w:rPr>
        <w:t>Pew</w:t>
      </w:r>
      <w:r>
        <w:rPr>
          <w:color w:val="231F20"/>
          <w:spacing w:val="-4"/>
        </w:rPr>
        <w:t> </w:t>
      </w:r>
      <w:r>
        <w:rPr>
          <w:color w:val="231F20"/>
        </w:rPr>
        <w:t>Hispanic</w:t>
      </w:r>
      <w:r>
        <w:rPr>
          <w:color w:val="231F20"/>
          <w:spacing w:val="-4"/>
        </w:rPr>
        <w:t> </w:t>
      </w:r>
      <w:r>
        <w:rPr>
          <w:color w:val="231F20"/>
        </w:rPr>
        <w:t>Center</w:t>
      </w:r>
      <w:r>
        <w:rPr>
          <w:color w:val="231F20"/>
          <w:spacing w:val="-4"/>
        </w:rPr>
        <w:t> </w:t>
      </w:r>
      <w:r>
        <w:rPr>
          <w:color w:val="231F20"/>
        </w:rPr>
        <w:t>se</w:t>
      </w:r>
      <w:r>
        <w:rPr>
          <w:color w:val="231F20"/>
          <w:spacing w:val="-4"/>
        </w:rPr>
        <w:t> </w:t>
      </w:r>
      <w:r>
        <w:rPr>
          <w:color w:val="231F20"/>
        </w:rPr>
        <w:t>mostró</w:t>
      </w:r>
      <w:r>
        <w:rPr>
          <w:color w:val="231F20"/>
          <w:spacing w:val="-4"/>
        </w:rPr>
        <w:t> </w:t>
      </w:r>
      <w:r>
        <w:rPr>
          <w:color w:val="231F20"/>
        </w:rPr>
        <w:t>que</w:t>
      </w:r>
      <w:r>
        <w:rPr>
          <w:color w:val="231F20"/>
          <w:spacing w:val="-4"/>
        </w:rPr>
        <w:t> </w:t>
      </w:r>
      <w:r>
        <w:rPr>
          <w:color w:val="231F20"/>
        </w:rPr>
        <w:t>más</w:t>
      </w:r>
      <w:r>
        <w:rPr>
          <w:color w:val="231F20"/>
          <w:spacing w:val="-4"/>
        </w:rPr>
        <w:t> </w:t>
      </w:r>
      <w:r>
        <w:rPr>
          <w:color w:val="231F20"/>
        </w:rPr>
        <w:t>de</w:t>
      </w:r>
      <w:r>
        <w:rPr>
          <w:color w:val="231F20"/>
          <w:spacing w:val="-4"/>
        </w:rPr>
        <w:t> </w:t>
      </w:r>
      <w:r>
        <w:rPr>
          <w:color w:val="231F20"/>
        </w:rPr>
        <w:t>40</w:t>
      </w:r>
      <w:r>
        <w:rPr>
          <w:color w:val="231F20"/>
          <w:spacing w:val="-4"/>
        </w:rPr>
        <w:t> </w:t>
      </w:r>
      <w:r>
        <w:rPr>
          <w:color w:val="231F20"/>
        </w:rPr>
        <w:t>por</w:t>
      </w:r>
      <w:r>
        <w:rPr>
          <w:color w:val="231F20"/>
          <w:spacing w:val="-4"/>
        </w:rPr>
        <w:t> </w:t>
      </w:r>
      <w:r>
        <w:rPr>
          <w:color w:val="231F20"/>
        </w:rPr>
        <w:t>ciento de los receptores lo hacían por medios bancarios, independiente de contar con cuenta bancaria (Pérez, 2005: 122).</w:t>
      </w:r>
    </w:p>
    <w:p>
      <w:pPr>
        <w:pStyle w:val="BodyText"/>
        <w:spacing w:line="247" w:lineRule="auto"/>
        <w:ind w:left="114" w:right="114" w:firstLine="283"/>
        <w:jc w:val="both"/>
      </w:pPr>
      <w:r>
        <w:rPr>
          <w:color w:val="231F20"/>
        </w:rPr>
        <w:t>El bajo interés en las remesas desde el extranjero fue por lo complejo que eran los trámites y la falta de sucursales para la distribución, reciente- mente esto ha empezado a cambiar, iniciando por los mecanismos en con- tra del lavado de dinero y financiamiento del terrorismo que ha motivado que</w:t>
      </w:r>
      <w:r>
        <w:rPr>
          <w:color w:val="231F20"/>
          <w:spacing w:val="-7"/>
        </w:rPr>
        <w:t> </w:t>
      </w:r>
      <w:r>
        <w:rPr>
          <w:color w:val="231F20"/>
        </w:rPr>
        <w:t>los</w:t>
      </w:r>
      <w:r>
        <w:rPr>
          <w:color w:val="231F20"/>
          <w:spacing w:val="-7"/>
        </w:rPr>
        <w:t> </w:t>
      </w:r>
      <w:r>
        <w:rPr>
          <w:color w:val="231F20"/>
        </w:rPr>
        <w:t>usuarios</w:t>
      </w:r>
      <w:r>
        <w:rPr>
          <w:color w:val="231F20"/>
          <w:spacing w:val="-7"/>
        </w:rPr>
        <w:t> </w:t>
      </w:r>
      <w:r>
        <w:rPr>
          <w:color w:val="231F20"/>
        </w:rPr>
        <w:t>eviten</w:t>
      </w:r>
      <w:r>
        <w:rPr>
          <w:color w:val="231F20"/>
          <w:spacing w:val="-7"/>
        </w:rPr>
        <w:t> </w:t>
      </w:r>
      <w:r>
        <w:rPr>
          <w:color w:val="231F20"/>
        </w:rPr>
        <w:t>las</w:t>
      </w:r>
      <w:r>
        <w:rPr>
          <w:color w:val="231F20"/>
          <w:spacing w:val="-7"/>
        </w:rPr>
        <w:t> </w:t>
      </w:r>
      <w:r>
        <w:rPr>
          <w:color w:val="231F20"/>
        </w:rPr>
        <w:t>redes</w:t>
      </w:r>
      <w:r>
        <w:rPr>
          <w:color w:val="231F20"/>
          <w:spacing w:val="-7"/>
        </w:rPr>
        <w:t> </w:t>
      </w:r>
      <w:r>
        <w:rPr>
          <w:color w:val="231F20"/>
        </w:rPr>
        <w:t>informales</w:t>
      </w:r>
      <w:r>
        <w:rPr>
          <w:color w:val="231F20"/>
          <w:spacing w:val="-7"/>
        </w:rPr>
        <w:t> </w:t>
      </w:r>
      <w:r>
        <w:rPr>
          <w:color w:val="231F20"/>
        </w:rPr>
        <w:t>de</w:t>
      </w:r>
      <w:r>
        <w:rPr>
          <w:color w:val="231F20"/>
          <w:spacing w:val="-7"/>
        </w:rPr>
        <w:t> </w:t>
      </w:r>
      <w:r>
        <w:rPr>
          <w:color w:val="231F20"/>
        </w:rPr>
        <w:t>transferencia</w:t>
      </w:r>
      <w:r>
        <w:rPr>
          <w:color w:val="231F20"/>
          <w:spacing w:val="-8"/>
        </w:rPr>
        <w:t> </w:t>
      </w:r>
      <w:r>
        <w:rPr>
          <w:color w:val="231F20"/>
        </w:rPr>
        <w:t>y</w:t>
      </w:r>
      <w:r>
        <w:rPr>
          <w:color w:val="231F20"/>
          <w:spacing w:val="-7"/>
        </w:rPr>
        <w:t> </w:t>
      </w:r>
      <w:r>
        <w:rPr>
          <w:color w:val="231F20"/>
        </w:rPr>
        <w:t>han</w:t>
      </w:r>
      <w:r>
        <w:rPr>
          <w:color w:val="231F20"/>
          <w:spacing w:val="-7"/>
        </w:rPr>
        <w:t> </w:t>
      </w:r>
      <w:r>
        <w:rPr>
          <w:color w:val="231F20"/>
        </w:rPr>
        <w:t>buscado redes seguras y formales para sus envíos (Ratha, 2005: 20), concentrando a los usuarios HLI en las ciudades o localidades que cuenten con alguna sucursal o institución financiera con estas</w:t>
      </w:r>
      <w:r>
        <w:rPr>
          <w:color w:val="231F20"/>
          <w:spacing w:val="-12"/>
        </w:rPr>
        <w:t> </w:t>
      </w:r>
      <w:r>
        <w:rPr>
          <w:color w:val="231F20"/>
        </w:rPr>
        <w:t>conexiones.</w:t>
      </w:r>
    </w:p>
    <w:p>
      <w:pPr>
        <w:pStyle w:val="Heading3"/>
        <w:ind w:left="114"/>
      </w:pPr>
      <w:r>
        <w:rPr>
          <w:color w:val="231F20"/>
        </w:rPr>
        <w:t>Costo del envío de remesas</w:t>
      </w:r>
    </w:p>
    <w:p>
      <w:pPr>
        <w:pStyle w:val="BodyText"/>
        <w:spacing w:line="247" w:lineRule="auto" w:before="172"/>
        <w:ind w:left="114" w:right="114"/>
        <w:jc w:val="both"/>
      </w:pPr>
      <w:r>
        <w:rPr>
          <w:color w:val="231F20"/>
        </w:rPr>
        <w:t>Bajo</w:t>
      </w:r>
      <w:r>
        <w:rPr>
          <w:color w:val="231F20"/>
          <w:spacing w:val="-10"/>
        </w:rPr>
        <w:t> </w:t>
      </w:r>
      <w:r>
        <w:rPr>
          <w:color w:val="231F20"/>
        </w:rPr>
        <w:t>el</w:t>
      </w:r>
      <w:r>
        <w:rPr>
          <w:color w:val="231F20"/>
          <w:spacing w:val="-10"/>
        </w:rPr>
        <w:t> </w:t>
      </w:r>
      <w:r>
        <w:rPr>
          <w:color w:val="231F20"/>
        </w:rPr>
        <w:t>rubro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costos</w:t>
      </w:r>
      <w:r>
        <w:rPr>
          <w:color w:val="231F20"/>
          <w:spacing w:val="-11"/>
        </w:rPr>
        <w:t> </w:t>
      </w:r>
      <w:r>
        <w:rPr>
          <w:color w:val="231F20"/>
        </w:rPr>
        <w:t>a</w:t>
      </w:r>
      <w:r>
        <w:rPr>
          <w:color w:val="231F20"/>
          <w:spacing w:val="-10"/>
        </w:rPr>
        <w:t> </w:t>
      </w:r>
      <w:r>
        <w:rPr>
          <w:color w:val="231F20"/>
        </w:rPr>
        <w:t>usuarios,</w:t>
      </w:r>
      <w:r>
        <w:rPr>
          <w:color w:val="231F20"/>
          <w:spacing w:val="-10"/>
        </w:rPr>
        <w:t> </w:t>
      </w:r>
      <w:r>
        <w:rPr>
          <w:color w:val="231F20"/>
        </w:rPr>
        <w:t>las</w:t>
      </w:r>
      <w:r>
        <w:rPr>
          <w:color w:val="231F20"/>
          <w:spacing w:val="-10"/>
        </w:rPr>
        <w:t> </w:t>
      </w:r>
      <w:r>
        <w:rPr>
          <w:color w:val="231F20"/>
        </w:rPr>
        <w:t>empresas</w:t>
      </w:r>
      <w:r>
        <w:rPr>
          <w:color w:val="231F20"/>
          <w:spacing w:val="-11"/>
        </w:rPr>
        <w:t> </w:t>
      </w:r>
      <w:r>
        <w:rPr>
          <w:color w:val="231F20"/>
        </w:rPr>
        <w:t>en</w:t>
      </w:r>
      <w:r>
        <w:rPr>
          <w:color w:val="231F20"/>
          <w:spacing w:val="-10"/>
        </w:rPr>
        <w:t> </w:t>
      </w:r>
      <w:r>
        <w:rPr>
          <w:color w:val="231F20"/>
        </w:rPr>
        <w:t>México</w:t>
      </w:r>
      <w:r>
        <w:rPr>
          <w:color w:val="231F20"/>
          <w:spacing w:val="-10"/>
        </w:rPr>
        <w:t> </w:t>
      </w:r>
      <w:r>
        <w:rPr>
          <w:color w:val="231F20"/>
        </w:rPr>
        <w:t>normalmen- te contaban con tarifas escalonadas para los diferentes montos de envíos, lo</w:t>
      </w:r>
      <w:r>
        <w:rPr>
          <w:color w:val="231F20"/>
          <w:spacing w:val="-6"/>
        </w:rPr>
        <w:t> </w:t>
      </w:r>
      <w:r>
        <w:rPr>
          <w:color w:val="231F20"/>
        </w:rPr>
        <w:t>cual</w:t>
      </w:r>
      <w:r>
        <w:rPr>
          <w:color w:val="231F20"/>
          <w:spacing w:val="-6"/>
        </w:rPr>
        <w:t> </w:t>
      </w:r>
      <w:r>
        <w:rPr>
          <w:color w:val="231F20"/>
        </w:rPr>
        <w:t>ha</w:t>
      </w:r>
      <w:r>
        <w:rPr>
          <w:color w:val="231F20"/>
          <w:spacing w:val="-6"/>
        </w:rPr>
        <w:t> </w:t>
      </w:r>
      <w:r>
        <w:rPr>
          <w:color w:val="231F20"/>
        </w:rPr>
        <w:t>cambiado</w:t>
      </w:r>
      <w:r>
        <w:rPr>
          <w:color w:val="231F20"/>
          <w:spacing w:val="-6"/>
        </w:rPr>
        <w:t> </w:t>
      </w:r>
      <w:r>
        <w:rPr>
          <w:color w:val="231F20"/>
        </w:rPr>
        <w:t>a</w:t>
      </w:r>
      <w:r>
        <w:rPr>
          <w:color w:val="231F20"/>
          <w:spacing w:val="-6"/>
        </w:rPr>
        <w:t> </w:t>
      </w:r>
      <w:r>
        <w:rPr>
          <w:color w:val="231F20"/>
        </w:rPr>
        <w:t>tarifas</w:t>
      </w:r>
      <w:r>
        <w:rPr>
          <w:color w:val="231F20"/>
          <w:spacing w:val="-6"/>
        </w:rPr>
        <w:t> </w:t>
      </w:r>
      <w:r>
        <w:rPr>
          <w:color w:val="231F20"/>
        </w:rPr>
        <w:t>planas</w:t>
      </w:r>
      <w:r>
        <w:rPr>
          <w:color w:val="231F20"/>
          <w:spacing w:val="-6"/>
        </w:rPr>
        <w:t> </w:t>
      </w:r>
      <w:r>
        <w:rPr>
          <w:color w:val="231F20"/>
        </w:rPr>
        <w:t>que</w:t>
      </w:r>
      <w:r>
        <w:rPr>
          <w:color w:val="231F20"/>
          <w:spacing w:val="-6"/>
        </w:rPr>
        <w:t> </w:t>
      </w:r>
      <w:r>
        <w:rPr>
          <w:color w:val="231F20"/>
        </w:rPr>
        <w:t>representan</w:t>
      </w:r>
      <w:r>
        <w:rPr>
          <w:color w:val="231F20"/>
          <w:spacing w:val="-6"/>
        </w:rPr>
        <w:t> </w:t>
      </w:r>
      <w:r>
        <w:rPr>
          <w:color w:val="231F20"/>
        </w:rPr>
        <w:t>un</w:t>
      </w:r>
      <w:r>
        <w:rPr>
          <w:color w:val="231F20"/>
          <w:spacing w:val="-6"/>
        </w:rPr>
        <w:t> </w:t>
      </w:r>
      <w:r>
        <w:rPr>
          <w:color w:val="231F20"/>
        </w:rPr>
        <w:t>precio</w:t>
      </w:r>
      <w:r>
        <w:rPr>
          <w:color w:val="231F20"/>
          <w:spacing w:val="-6"/>
        </w:rPr>
        <w:t> </w:t>
      </w:r>
      <w:r>
        <w:rPr>
          <w:color w:val="231F20"/>
        </w:rPr>
        <w:t>único</w:t>
      </w:r>
      <w:r>
        <w:rPr>
          <w:color w:val="231F20"/>
          <w:spacing w:val="-6"/>
        </w:rPr>
        <w:t> </w:t>
      </w:r>
      <w:r>
        <w:rPr>
          <w:color w:val="231F20"/>
        </w:rPr>
        <w:t>en</w:t>
      </w:r>
      <w:r>
        <w:rPr>
          <w:color w:val="231F20"/>
          <w:spacing w:val="-6"/>
        </w:rPr>
        <w:t> </w:t>
      </w:r>
      <w:r>
        <w:rPr>
          <w:color w:val="231F20"/>
        </w:rPr>
        <w:t>los centros</w:t>
      </w:r>
      <w:r>
        <w:rPr>
          <w:color w:val="231F20"/>
          <w:spacing w:val="-10"/>
        </w:rPr>
        <w:t> </w:t>
      </w:r>
      <w:r>
        <w:rPr>
          <w:color w:val="231F20"/>
        </w:rPr>
        <w:t>de</w:t>
      </w:r>
      <w:r>
        <w:rPr>
          <w:color w:val="231F20"/>
          <w:spacing w:val="-9"/>
        </w:rPr>
        <w:t> </w:t>
      </w:r>
      <w:r>
        <w:rPr>
          <w:color w:val="231F20"/>
        </w:rPr>
        <w:t>recepción.</w:t>
      </w:r>
      <w:r>
        <w:rPr>
          <w:color w:val="231F20"/>
          <w:spacing w:val="-9"/>
        </w:rPr>
        <w:t> </w:t>
      </w:r>
      <w:r>
        <w:rPr>
          <w:color w:val="231F20"/>
        </w:rPr>
        <w:t>Por</w:t>
      </w:r>
      <w:r>
        <w:rPr>
          <w:color w:val="231F20"/>
          <w:spacing w:val="-9"/>
        </w:rPr>
        <w:t> </w:t>
      </w:r>
      <w:r>
        <w:rPr>
          <w:color w:val="231F20"/>
        </w:rPr>
        <w:t>lo</w:t>
      </w:r>
      <w:r>
        <w:rPr>
          <w:color w:val="231F20"/>
          <w:spacing w:val="-9"/>
        </w:rPr>
        <w:t> </w:t>
      </w:r>
      <w:r>
        <w:rPr>
          <w:color w:val="231F20"/>
        </w:rPr>
        <w:t>general</w:t>
      </w:r>
      <w:r>
        <w:rPr>
          <w:color w:val="231F20"/>
          <w:spacing w:val="-9"/>
        </w:rPr>
        <w:t> </w:t>
      </w:r>
      <w:r>
        <w:rPr>
          <w:color w:val="231F20"/>
        </w:rPr>
        <w:t>el</w:t>
      </w:r>
      <w:r>
        <w:rPr>
          <w:color w:val="231F20"/>
          <w:spacing w:val="-9"/>
        </w:rPr>
        <w:t> </w:t>
      </w:r>
      <w:r>
        <w:rPr>
          <w:color w:val="231F20"/>
        </w:rPr>
        <w:t>costo</w:t>
      </w:r>
      <w:r>
        <w:rPr>
          <w:color w:val="231F20"/>
          <w:spacing w:val="-10"/>
        </w:rPr>
        <w:t> </w:t>
      </w:r>
      <w:r>
        <w:rPr>
          <w:color w:val="231F20"/>
        </w:rPr>
        <w:t>promedio</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transferencia es de 9.5 por ciento del monto que se envía, aunque puede oscilar hasta</w:t>
      </w:r>
      <w:r>
        <w:rPr>
          <w:color w:val="231F20"/>
          <w:spacing w:val="-28"/>
        </w:rPr>
        <w:t> </w:t>
      </w:r>
      <w:r>
        <w:rPr>
          <w:color w:val="231F20"/>
        </w:rPr>
        <w:t>20 por ciento; por la aplicación de tecnologías se reducirían los costos agili- zando la transacción, disminuyendo pérdidas cambiarias y mejorando la divulgación en zonas rurales (Ratha, 2005: 20).</w:t>
      </w:r>
    </w:p>
    <w:p>
      <w:pPr>
        <w:pStyle w:val="BodyText"/>
        <w:spacing w:line="247" w:lineRule="auto"/>
        <w:ind w:left="114" w:right="115" w:firstLine="283"/>
        <w:jc w:val="both"/>
      </w:pPr>
      <w:r>
        <w:rPr>
          <w:color w:val="231F20"/>
        </w:rPr>
        <w:t>En compensación a las tarifas planas, el sistema bancario integró un cobro extra al de comisiones bancarias y “motivó” a los clientes a abrir cuentas de ahorro (mayor capitalización e incremento en comisiones). Las empresas tradicionales no tenían un costo pero sí un cobro por manejo de cuenta, uso de cajeros, por incumplimiento en saldo mínimo requerido,</w:t>
      </w:r>
    </w:p>
    <w:p>
      <w:pPr>
        <w:pStyle w:val="BodyText"/>
        <w:rPr>
          <w:sz w:val="20"/>
        </w:rPr>
      </w:pPr>
    </w:p>
    <w:p>
      <w:pPr>
        <w:pStyle w:val="BodyText"/>
        <w:spacing w:before="9"/>
        <w:rPr>
          <w:sz w:val="10"/>
        </w:rPr>
      </w:pPr>
      <w:r>
        <w:rPr/>
        <w:pict>
          <v:line style="position:absolute;mso-position-horizontal-relative:page;mso-position-vertical-relative:paragraph;z-index:7864;mso-wrap-distance-left:0;mso-wrap-distance-right:0" from="70.7155pt,8.571131pt" to="142.7155pt,8.571131pt" stroked="true" strokeweight=".75pt" strokecolor="#231f20">
            <w10:wrap type="topAndBottom"/>
          </v:line>
        </w:pict>
      </w:r>
    </w:p>
    <w:p>
      <w:pPr>
        <w:spacing w:line="208" w:lineRule="auto" w:before="0"/>
        <w:ind w:left="114" w:right="117" w:firstLine="0"/>
        <w:jc w:val="left"/>
        <w:rPr>
          <w:sz w:val="17"/>
        </w:rPr>
      </w:pPr>
      <w:r>
        <w:rPr>
          <w:color w:val="231F20"/>
          <w:position w:val="6"/>
          <w:sz w:val="10"/>
        </w:rPr>
        <w:t>5 </w:t>
      </w:r>
      <w:r>
        <w:rPr>
          <w:color w:val="231F20"/>
          <w:sz w:val="17"/>
        </w:rPr>
        <w:t>Estas operaciones ahora las realiza Banco Azteca que en 2003 contaba con cerca de 10 por ciento de las operaciones de ahorro y cheques de la banca comercial.</w:t>
      </w:r>
    </w:p>
    <w:p>
      <w:pPr>
        <w:spacing w:line="170" w:lineRule="exact" w:before="2"/>
        <w:ind w:left="114" w:right="0" w:firstLine="0"/>
        <w:jc w:val="left"/>
        <w:rPr>
          <w:sz w:val="17"/>
        </w:rPr>
      </w:pPr>
      <w:r>
        <w:rPr>
          <w:color w:val="231F20"/>
          <w:position w:val="6"/>
          <w:sz w:val="10"/>
        </w:rPr>
        <w:t>6 </w:t>
      </w:r>
      <w:r>
        <w:rPr>
          <w:color w:val="231F20"/>
          <w:sz w:val="17"/>
        </w:rPr>
        <w:t>El aumento declarado por autoridades financieras en cuentas de ahorro y cheques, también lla- madas de exigibilidad inmediata por su rápida conversión a efectivo, en 2002 se cuadruplicaron.</w:t>
      </w:r>
    </w:p>
    <w:p>
      <w:pPr>
        <w:spacing w:after="0" w:line="170" w:lineRule="exact"/>
        <w:jc w:val="left"/>
        <w:rPr>
          <w:sz w:val="17"/>
        </w:rPr>
        <w:sectPr>
          <w:pgSz w:w="9360" w:h="13040"/>
          <w:pgMar w:header="0" w:footer="496" w:top="800" w:bottom="680" w:left="1300" w:right="1300"/>
        </w:sectPr>
      </w:pPr>
    </w:p>
    <w:p>
      <w:pPr>
        <w:spacing w:before="45"/>
        <w:ind w:left="117" w:right="0" w:firstLine="343"/>
        <w:jc w:val="both"/>
        <w:rPr>
          <w:rFonts w:ascii="Arial" w:hAnsi="Arial"/>
          <w:sz w:val="20"/>
        </w:rPr>
      </w:pPr>
      <w:r>
        <w:rPr>
          <w:rFonts w:ascii="Arial" w:hAnsi="Arial"/>
          <w:color w:val="231F20"/>
          <w:w w:val="66"/>
          <w:sz w:val="20"/>
        </w:rPr>
        <w:t>Las</w:t>
      </w:r>
      <w:r>
        <w:rPr>
          <w:rFonts w:ascii="Arial" w:hAnsi="Arial"/>
          <w:color w:val="231F20"/>
          <w:spacing w:val="-1"/>
          <w:sz w:val="20"/>
        </w:rPr>
        <w:t> </w:t>
      </w:r>
      <w:r>
        <w:rPr>
          <w:rFonts w:ascii="Arial" w:hAnsi="Arial"/>
          <w:color w:val="231F20"/>
          <w:spacing w:val="-1"/>
          <w:w w:val="68"/>
          <w:sz w:val="20"/>
        </w:rPr>
        <w:t>remesa</w:t>
      </w:r>
      <w:r>
        <w:rPr>
          <w:rFonts w:ascii="Arial" w:hAnsi="Arial"/>
          <w:color w:val="231F20"/>
          <w:w w:val="68"/>
          <w:sz w:val="20"/>
        </w:rPr>
        <w:t>s</w:t>
      </w:r>
      <w:r>
        <w:rPr>
          <w:rFonts w:ascii="Arial" w:hAnsi="Arial"/>
          <w:color w:val="231F20"/>
          <w:sz w:val="20"/>
        </w:rPr>
        <w:t> </w:t>
      </w:r>
      <w:r>
        <w:rPr>
          <w:rFonts w:ascii="Arial" w:hAnsi="Arial"/>
          <w:color w:val="231F20"/>
          <w:w w:val="72"/>
          <w:sz w:val="20"/>
        </w:rPr>
        <w:t>indígenas</w:t>
      </w:r>
      <w:r>
        <w:rPr>
          <w:rFonts w:ascii="Arial" w:hAnsi="Arial"/>
          <w:color w:val="231F20"/>
          <w:spacing w:val="-1"/>
          <w:sz w:val="20"/>
        </w:rPr>
        <w:t> </w:t>
      </w:r>
      <w:r>
        <w:rPr>
          <w:rFonts w:ascii="Arial" w:hAnsi="Arial"/>
          <w:color w:val="231F20"/>
          <w:spacing w:val="-1"/>
          <w:w w:val="67"/>
          <w:sz w:val="20"/>
        </w:rPr>
        <w:t>com</w:t>
      </w:r>
      <w:r>
        <w:rPr>
          <w:rFonts w:ascii="Arial" w:hAnsi="Arial"/>
          <w:color w:val="231F20"/>
          <w:w w:val="67"/>
          <w:sz w:val="20"/>
        </w:rPr>
        <w:t>o</w:t>
      </w:r>
      <w:r>
        <w:rPr>
          <w:rFonts w:ascii="Arial" w:hAnsi="Arial"/>
          <w:color w:val="231F20"/>
          <w:spacing w:val="-1"/>
          <w:sz w:val="20"/>
        </w:rPr>
        <w:t> </w:t>
      </w:r>
      <w:r>
        <w:rPr>
          <w:rFonts w:ascii="Arial" w:hAnsi="Arial"/>
          <w:color w:val="231F20"/>
          <w:spacing w:val="-1"/>
          <w:w w:val="71"/>
          <w:sz w:val="20"/>
        </w:rPr>
        <w:t>complement</w:t>
      </w:r>
      <w:r>
        <w:rPr>
          <w:rFonts w:ascii="Arial" w:hAnsi="Arial"/>
          <w:color w:val="231F20"/>
          <w:w w:val="71"/>
          <w:sz w:val="20"/>
        </w:rPr>
        <w:t>o</w:t>
      </w:r>
      <w:r>
        <w:rPr>
          <w:rFonts w:ascii="Arial" w:hAnsi="Arial"/>
          <w:color w:val="231F20"/>
          <w:sz w:val="20"/>
        </w:rPr>
        <w:t> </w:t>
      </w:r>
      <w:r>
        <w:rPr>
          <w:rFonts w:ascii="Arial" w:hAnsi="Arial"/>
          <w:color w:val="231F20"/>
          <w:spacing w:val="-1"/>
          <w:w w:val="78"/>
          <w:sz w:val="20"/>
        </w:rPr>
        <w:t>a</w:t>
      </w:r>
      <w:r>
        <w:rPr>
          <w:rFonts w:ascii="Arial" w:hAnsi="Arial"/>
          <w:color w:val="231F20"/>
          <w:w w:val="78"/>
          <w:sz w:val="20"/>
        </w:rPr>
        <w:t>l</w:t>
      </w:r>
      <w:r>
        <w:rPr>
          <w:rFonts w:ascii="Arial" w:hAnsi="Arial"/>
          <w:color w:val="231F20"/>
          <w:spacing w:val="-1"/>
          <w:sz w:val="20"/>
        </w:rPr>
        <w:t> </w:t>
      </w:r>
      <w:r>
        <w:rPr>
          <w:rFonts w:ascii="Arial" w:hAnsi="Arial"/>
          <w:color w:val="231F20"/>
          <w:w w:val="73"/>
          <w:sz w:val="20"/>
        </w:rPr>
        <w:t>ingreso</w:t>
      </w:r>
      <w:r>
        <w:rPr>
          <w:rFonts w:ascii="Arial" w:hAnsi="Arial"/>
          <w:color w:val="231F20"/>
          <w:spacing w:val="-1"/>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67"/>
          <w:sz w:val="20"/>
        </w:rPr>
        <w:t>sus</w:t>
      </w:r>
      <w:r>
        <w:rPr>
          <w:rFonts w:ascii="Arial" w:hAnsi="Arial"/>
          <w:color w:val="231F20"/>
          <w:spacing w:val="-1"/>
          <w:sz w:val="20"/>
        </w:rPr>
        <w:t> </w:t>
      </w:r>
      <w:r>
        <w:rPr>
          <w:rFonts w:ascii="Arial" w:hAnsi="Arial"/>
          <w:color w:val="231F20"/>
          <w:w w:val="72"/>
          <w:sz w:val="20"/>
        </w:rPr>
        <w:t>mecanismos...</w:t>
      </w:r>
      <w:r>
        <w:rPr>
          <w:rFonts w:ascii="Arial" w:hAnsi="Arial"/>
          <w:color w:val="231F20"/>
          <w:spacing w:val="-1"/>
          <w:sz w:val="20"/>
        </w:rPr>
        <w:t> </w:t>
      </w:r>
      <w:r>
        <w:rPr>
          <w:rFonts w:ascii="Arial" w:hAnsi="Arial"/>
          <w:color w:val="231F20"/>
          <w:spacing w:val="-1"/>
          <w:w w:val="99"/>
          <w:sz w:val="20"/>
        </w:rPr>
        <w:t>/</w:t>
      </w:r>
      <w:r>
        <w:rPr>
          <w:rFonts w:ascii="Arial" w:hAnsi="Arial"/>
          <w:color w:val="231F20"/>
          <w:w w:val="47"/>
          <w:sz w:val="20"/>
        </w:rPr>
        <w:t>César</w:t>
      </w:r>
      <w:r>
        <w:rPr>
          <w:rFonts w:ascii="Arial" w:hAnsi="Arial"/>
          <w:color w:val="231F20"/>
          <w:spacing w:val="-17"/>
          <w:sz w:val="20"/>
        </w:rPr>
        <w:t> </w:t>
      </w:r>
      <w:r>
        <w:rPr>
          <w:rFonts w:ascii="Arial" w:hAnsi="Arial"/>
          <w:color w:val="231F20"/>
          <w:spacing w:val="-1"/>
          <w:w w:val="52"/>
          <w:sz w:val="20"/>
        </w:rPr>
        <w:t>Raú</w:t>
      </w:r>
      <w:r>
        <w:rPr>
          <w:rFonts w:ascii="Arial" w:hAnsi="Arial"/>
          <w:color w:val="231F20"/>
          <w:w w:val="52"/>
          <w:sz w:val="20"/>
        </w:rPr>
        <w:t>l</w:t>
      </w:r>
      <w:r>
        <w:rPr>
          <w:rFonts w:ascii="Arial" w:hAnsi="Arial"/>
          <w:color w:val="231F20"/>
          <w:spacing w:val="-17"/>
          <w:sz w:val="20"/>
        </w:rPr>
        <w:t> </w:t>
      </w:r>
      <w:r>
        <w:rPr>
          <w:rFonts w:ascii="Arial" w:hAnsi="Arial"/>
          <w:color w:val="231F20"/>
          <w:w w:val="52"/>
          <w:sz w:val="20"/>
        </w:rPr>
        <w:t>Pérez-Marcial</w:t>
      </w:r>
    </w:p>
    <w:p>
      <w:pPr>
        <w:pStyle w:val="BodyText"/>
        <w:spacing w:before="7"/>
        <w:rPr>
          <w:rFonts w:ascii="Arial"/>
          <w:sz w:val="28"/>
        </w:rPr>
      </w:pPr>
    </w:p>
    <w:p>
      <w:pPr>
        <w:pStyle w:val="BodyText"/>
        <w:spacing w:line="247" w:lineRule="auto"/>
        <w:ind w:left="117" w:right="31"/>
      </w:pPr>
      <w:r>
        <w:rPr>
          <w:color w:val="231F20"/>
        </w:rPr>
        <w:t>entro otros (costos extras no evaluados en función del servicio por remesas de los bancos).</w:t>
      </w:r>
    </w:p>
    <w:p>
      <w:pPr>
        <w:pStyle w:val="BodyText"/>
        <w:spacing w:line="247" w:lineRule="auto"/>
        <w:ind w:left="117" w:right="115" w:firstLine="283"/>
        <w:jc w:val="both"/>
      </w:pPr>
      <w:r>
        <w:rPr>
          <w:color w:val="231F20"/>
        </w:rPr>
        <w:t>Aún</w:t>
      </w:r>
      <w:r>
        <w:rPr>
          <w:color w:val="231F20"/>
          <w:spacing w:val="-7"/>
        </w:rPr>
        <w:t> </w:t>
      </w:r>
      <w:r>
        <w:rPr>
          <w:color w:val="231F20"/>
        </w:rPr>
        <w:t>así,</w:t>
      </w:r>
      <w:r>
        <w:rPr>
          <w:color w:val="231F20"/>
          <w:spacing w:val="-7"/>
        </w:rPr>
        <w:t> </w:t>
      </w:r>
      <w:r>
        <w:rPr>
          <w:color w:val="231F20"/>
        </w:rPr>
        <w:t>los</w:t>
      </w:r>
      <w:r>
        <w:rPr>
          <w:color w:val="231F20"/>
          <w:spacing w:val="-7"/>
        </w:rPr>
        <w:t> </w:t>
      </w:r>
      <w:r>
        <w:rPr>
          <w:color w:val="231F20"/>
        </w:rPr>
        <w:t>servicios</w:t>
      </w:r>
      <w:r>
        <w:rPr>
          <w:color w:val="231F20"/>
          <w:spacing w:val="-6"/>
        </w:rPr>
        <w:t> </w:t>
      </w:r>
      <w:r>
        <w:rPr>
          <w:color w:val="231F20"/>
        </w:rPr>
        <w:t>ofrecidos</w:t>
      </w:r>
      <w:r>
        <w:rPr>
          <w:color w:val="231F20"/>
          <w:spacing w:val="-7"/>
        </w:rPr>
        <w:t> </w:t>
      </w:r>
      <w:r>
        <w:rPr>
          <w:color w:val="231F20"/>
        </w:rPr>
        <w:t>por</w:t>
      </w:r>
      <w:r>
        <w:rPr>
          <w:color w:val="231F20"/>
          <w:spacing w:val="-7"/>
        </w:rPr>
        <w:t> </w:t>
      </w:r>
      <w:r>
        <w:rPr>
          <w:color w:val="231F20"/>
        </w:rPr>
        <w:t>los</w:t>
      </w:r>
      <w:r>
        <w:rPr>
          <w:color w:val="231F20"/>
          <w:spacing w:val="-7"/>
        </w:rPr>
        <w:t> </w:t>
      </w:r>
      <w:r>
        <w:rPr>
          <w:color w:val="231F20"/>
        </w:rPr>
        <w:t>bancos</w:t>
      </w:r>
      <w:r>
        <w:rPr>
          <w:color w:val="231F20"/>
          <w:spacing w:val="-7"/>
        </w:rPr>
        <w:t> </w:t>
      </w:r>
      <w:r>
        <w:rPr>
          <w:color w:val="231F20"/>
        </w:rPr>
        <w:t>con</w:t>
      </w:r>
      <w:r>
        <w:rPr>
          <w:color w:val="231F20"/>
          <w:spacing w:val="-7"/>
        </w:rPr>
        <w:t> </w:t>
      </w:r>
      <w:r>
        <w:rPr>
          <w:color w:val="231F20"/>
        </w:rPr>
        <w:t>una</w:t>
      </w:r>
      <w:r>
        <w:rPr>
          <w:color w:val="231F20"/>
          <w:spacing w:val="-7"/>
        </w:rPr>
        <w:t> </w:t>
      </w:r>
      <w:r>
        <w:rPr>
          <w:color w:val="231F20"/>
        </w:rPr>
        <w:t>tarjeta</w:t>
      </w:r>
      <w:r>
        <w:rPr>
          <w:color w:val="231F20"/>
          <w:spacing w:val="-7"/>
        </w:rPr>
        <w:t> </w:t>
      </w:r>
      <w:r>
        <w:rPr>
          <w:color w:val="231F20"/>
        </w:rPr>
        <w:t>de</w:t>
      </w:r>
      <w:r>
        <w:rPr>
          <w:color w:val="231F20"/>
          <w:spacing w:val="-7"/>
        </w:rPr>
        <w:t> </w:t>
      </w:r>
      <w:r>
        <w:rPr>
          <w:color w:val="231F20"/>
        </w:rPr>
        <w:t>débito son más accesibles, las instituciones</w:t>
      </w:r>
      <w:r>
        <w:rPr>
          <w:color w:val="231F20"/>
          <w:position w:val="7"/>
          <w:sz w:val="13"/>
        </w:rPr>
        <w:t>7 </w:t>
      </w:r>
      <w:r>
        <w:rPr>
          <w:color w:val="231F20"/>
        </w:rPr>
        <w:t>que han logrado tomar este merca- do han sido autorizadas por la Secretaría de Hacienda y Crédito Público (SHCP) en México y su operación es verificada por el Banco de México; a la vez son supervisadas por la CNBV y observadas por la</w:t>
      </w:r>
      <w:r>
        <w:rPr>
          <w:color w:val="231F20"/>
          <w:spacing w:val="-36"/>
        </w:rPr>
        <w:t> </w:t>
      </w:r>
      <w:r>
        <w:rPr>
          <w:color w:val="231F20"/>
        </w:rPr>
        <w:t>CONDUSEF.</w:t>
      </w:r>
    </w:p>
    <w:p>
      <w:pPr>
        <w:pStyle w:val="BodyText"/>
        <w:spacing w:line="247" w:lineRule="auto"/>
        <w:ind w:left="117" w:right="115" w:firstLine="283"/>
        <w:jc w:val="both"/>
      </w:pPr>
      <w:r>
        <w:rPr>
          <w:color w:val="231F20"/>
        </w:rPr>
        <w:t>El cálculo del costo total por envío según PROFECO</w:t>
      </w:r>
      <w:r>
        <w:rPr>
          <w:color w:val="231F20"/>
          <w:position w:val="7"/>
          <w:sz w:val="13"/>
        </w:rPr>
        <w:t>8 </w:t>
      </w:r>
      <w:r>
        <w:rPr>
          <w:color w:val="231F20"/>
        </w:rPr>
        <w:t>considera dos elementos: la comisión que cobra el intermediario y el tipo de cambio pa- gado</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mismo,</w:t>
      </w:r>
      <w:r>
        <w:rPr>
          <w:color w:val="231F20"/>
          <w:spacing w:val="-5"/>
        </w:rPr>
        <w:t> </w:t>
      </w:r>
      <w:r>
        <w:rPr>
          <w:color w:val="231F20"/>
        </w:rPr>
        <w:t>en</w:t>
      </w:r>
      <w:r>
        <w:rPr>
          <w:color w:val="231F20"/>
          <w:spacing w:val="-5"/>
        </w:rPr>
        <w:t> </w:t>
      </w:r>
      <w:r>
        <w:rPr>
          <w:color w:val="231F20"/>
        </w:rPr>
        <w:t>donde</w:t>
      </w:r>
      <w:r>
        <w:rPr>
          <w:color w:val="231F20"/>
          <w:spacing w:val="-5"/>
        </w:rPr>
        <w:t> </w:t>
      </w:r>
      <w:r>
        <w:rPr>
          <w:color w:val="231F20"/>
        </w:rPr>
        <w:t>el</w:t>
      </w:r>
      <w:r>
        <w:rPr>
          <w:color w:val="231F20"/>
          <w:spacing w:val="-5"/>
        </w:rPr>
        <w:t> </w:t>
      </w:r>
      <w:r>
        <w:rPr>
          <w:color w:val="231F20"/>
        </w:rPr>
        <w:t>precio</w:t>
      </w:r>
      <w:r>
        <w:rPr>
          <w:color w:val="231F20"/>
          <w:spacing w:val="-5"/>
        </w:rPr>
        <w:t> </w:t>
      </w:r>
      <w:r>
        <w:rPr>
          <w:color w:val="231F20"/>
        </w:rPr>
        <w:t>del</w:t>
      </w:r>
      <w:r>
        <w:rPr>
          <w:color w:val="231F20"/>
          <w:spacing w:val="-5"/>
        </w:rPr>
        <w:t> </w:t>
      </w:r>
      <w:r>
        <w:rPr>
          <w:color w:val="231F20"/>
        </w:rPr>
        <w:t>tipo</w:t>
      </w:r>
      <w:r>
        <w:rPr>
          <w:color w:val="231F20"/>
          <w:spacing w:val="-5"/>
        </w:rPr>
        <w:t> </w:t>
      </w:r>
      <w:r>
        <w:rPr>
          <w:color w:val="231F20"/>
        </w:rPr>
        <w:t>de</w:t>
      </w:r>
      <w:r>
        <w:rPr>
          <w:color w:val="231F20"/>
          <w:spacing w:val="-5"/>
        </w:rPr>
        <w:t> </w:t>
      </w:r>
      <w:r>
        <w:rPr>
          <w:color w:val="231F20"/>
        </w:rPr>
        <w:t>cambio</w:t>
      </w:r>
      <w:r>
        <w:rPr>
          <w:color w:val="231F20"/>
          <w:spacing w:val="-5"/>
        </w:rPr>
        <w:t> </w:t>
      </w:r>
      <w:r>
        <w:rPr>
          <w:color w:val="231F20"/>
        </w:rPr>
        <w:t>puede</w:t>
      </w:r>
      <w:r>
        <w:rPr>
          <w:color w:val="231F20"/>
          <w:spacing w:val="-5"/>
        </w:rPr>
        <w:t> </w:t>
      </w:r>
      <w:r>
        <w:rPr>
          <w:color w:val="231F20"/>
        </w:rPr>
        <w:t>ser</w:t>
      </w:r>
      <w:r>
        <w:rPr>
          <w:color w:val="231F20"/>
          <w:spacing w:val="-5"/>
        </w:rPr>
        <w:t> </w:t>
      </w:r>
      <w:r>
        <w:rPr>
          <w:color w:val="231F20"/>
        </w:rPr>
        <w:t>menor al que se da al menudeo en ventanillas, reduciendo el monto recibido por el beneficiario. Al pagar en dólares el beneficiario puede obtener mayor ventaja al intercambiar su envío en bancos o casas de cambio donde el precio es</w:t>
      </w:r>
      <w:r>
        <w:rPr>
          <w:color w:val="231F20"/>
          <w:spacing w:val="4"/>
        </w:rPr>
        <w:t> </w:t>
      </w:r>
      <w:r>
        <w:rPr>
          <w:color w:val="231F20"/>
          <w:spacing w:val="-3"/>
        </w:rPr>
        <w:t>mayor.</w:t>
      </w:r>
    </w:p>
    <w:p>
      <w:pPr>
        <w:pStyle w:val="BodyText"/>
        <w:spacing w:line="247" w:lineRule="auto"/>
        <w:ind w:left="117" w:right="114" w:firstLine="283"/>
        <w:jc w:val="both"/>
      </w:pPr>
      <w:r>
        <w:rPr>
          <w:color w:val="231F20"/>
        </w:rPr>
        <w:t>La comisión cobrada por envío ha tenido una baja considerable, de 1999 a 2008 los costos que aplican las empresas especializadas por envío mostraron una reducción desde el inicio. La rapidez y dinamismo del</w:t>
      </w:r>
      <w:r>
        <w:rPr>
          <w:color w:val="231F20"/>
          <w:spacing w:val="-38"/>
        </w:rPr>
        <w:t> </w:t>
      </w:r>
      <w:r>
        <w:rPr>
          <w:color w:val="231F20"/>
        </w:rPr>
        <w:t>mer- cado ha mantenido la tendencia a la baja con un periodo de concentración que</w:t>
      </w:r>
      <w:r>
        <w:rPr>
          <w:color w:val="231F20"/>
          <w:spacing w:val="-6"/>
        </w:rPr>
        <w:t> </w:t>
      </w:r>
      <w:r>
        <w:rPr>
          <w:color w:val="231F20"/>
        </w:rPr>
        <w:t>inició</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mes</w:t>
      </w:r>
      <w:r>
        <w:rPr>
          <w:color w:val="231F20"/>
          <w:spacing w:val="-6"/>
        </w:rPr>
        <w:t> </w:t>
      </w:r>
      <w:r>
        <w:rPr>
          <w:color w:val="231F20"/>
        </w:rPr>
        <w:t>de</w:t>
      </w:r>
      <w:r>
        <w:rPr>
          <w:color w:val="231F20"/>
          <w:spacing w:val="-6"/>
        </w:rPr>
        <w:t> </w:t>
      </w:r>
      <w:r>
        <w:rPr>
          <w:color w:val="231F20"/>
        </w:rPr>
        <w:t>julio</w:t>
      </w:r>
      <w:r>
        <w:rPr>
          <w:color w:val="231F20"/>
          <w:spacing w:val="-7"/>
        </w:rPr>
        <w:t> </w:t>
      </w:r>
      <w:r>
        <w:rPr>
          <w:color w:val="231F20"/>
        </w:rPr>
        <w:t>y</w:t>
      </w:r>
      <w:r>
        <w:rPr>
          <w:color w:val="231F20"/>
          <w:spacing w:val="-6"/>
        </w:rPr>
        <w:t> </w:t>
      </w:r>
      <w:r>
        <w:rPr>
          <w:color w:val="231F20"/>
        </w:rPr>
        <w:t>terminó</w:t>
      </w:r>
      <w:r>
        <w:rPr>
          <w:color w:val="231F20"/>
          <w:spacing w:val="-7"/>
        </w:rPr>
        <w:t> </w:t>
      </w:r>
      <w:r>
        <w:rPr>
          <w:color w:val="231F20"/>
        </w:rPr>
        <w:t>en</w:t>
      </w:r>
      <w:r>
        <w:rPr>
          <w:color w:val="231F20"/>
          <w:spacing w:val="-6"/>
        </w:rPr>
        <w:t> </w:t>
      </w:r>
      <w:r>
        <w:rPr>
          <w:color w:val="231F20"/>
        </w:rPr>
        <w:t>octubre</w:t>
      </w:r>
      <w:r>
        <w:rPr>
          <w:color w:val="231F20"/>
          <w:spacing w:val="-6"/>
        </w:rPr>
        <w:t> </w:t>
      </w:r>
      <w:r>
        <w:rPr>
          <w:color w:val="231F20"/>
        </w:rPr>
        <w:t>del</w:t>
      </w:r>
      <w:r>
        <w:rPr>
          <w:color w:val="231F20"/>
          <w:spacing w:val="-6"/>
        </w:rPr>
        <w:t> </w:t>
      </w:r>
      <w:r>
        <w:rPr>
          <w:color w:val="231F20"/>
        </w:rPr>
        <w:t>año</w:t>
      </w:r>
      <w:r>
        <w:rPr>
          <w:color w:val="231F20"/>
          <w:spacing w:val="-6"/>
        </w:rPr>
        <w:t> </w:t>
      </w:r>
      <w:r>
        <w:rPr>
          <w:color w:val="231F20"/>
        </w:rPr>
        <w:t>2003</w:t>
      </w:r>
      <w:r>
        <w:rPr>
          <w:color w:val="231F20"/>
          <w:spacing w:val="-6"/>
        </w:rPr>
        <w:t> </w:t>
      </w:r>
      <w:r>
        <w:rPr>
          <w:color w:val="231F20"/>
        </w:rPr>
        <w:t>como</w:t>
      </w:r>
      <w:r>
        <w:rPr>
          <w:color w:val="231F20"/>
          <w:spacing w:val="-6"/>
        </w:rPr>
        <w:t> </w:t>
      </w:r>
      <w:r>
        <w:rPr>
          <w:color w:val="231F20"/>
        </w:rPr>
        <w:t>parte de la descripción del comportamiento mensual de las comisiones; en las distintas</w:t>
      </w:r>
      <w:r>
        <w:rPr>
          <w:color w:val="231F20"/>
          <w:spacing w:val="-9"/>
        </w:rPr>
        <w:t> </w:t>
      </w:r>
      <w:r>
        <w:rPr>
          <w:color w:val="231F20"/>
        </w:rPr>
        <w:t>ciudades</w:t>
      </w:r>
      <w:r>
        <w:rPr>
          <w:color w:val="231F20"/>
          <w:spacing w:val="-10"/>
        </w:rPr>
        <w:t> </w:t>
      </w:r>
      <w:r>
        <w:rPr>
          <w:color w:val="231F20"/>
        </w:rPr>
        <w:t>hay</w:t>
      </w:r>
      <w:r>
        <w:rPr>
          <w:color w:val="231F20"/>
          <w:spacing w:val="-9"/>
        </w:rPr>
        <w:t> </w:t>
      </w:r>
      <w:r>
        <w:rPr>
          <w:color w:val="231F20"/>
        </w:rPr>
        <w:t>ejemplos</w:t>
      </w:r>
      <w:r>
        <w:rPr>
          <w:color w:val="231F20"/>
          <w:spacing w:val="-10"/>
        </w:rPr>
        <w:t> </w:t>
      </w:r>
      <w:r>
        <w:rPr>
          <w:color w:val="231F20"/>
        </w:rPr>
        <w:t>representativos</w:t>
      </w:r>
      <w:r>
        <w:rPr>
          <w:color w:val="231F20"/>
          <w:spacing w:val="-9"/>
        </w:rPr>
        <w:t> </w:t>
      </w:r>
      <w:r>
        <w:rPr>
          <w:color w:val="231F20"/>
        </w:rPr>
        <w:t>de</w:t>
      </w:r>
      <w:r>
        <w:rPr>
          <w:color w:val="231F20"/>
          <w:spacing w:val="-9"/>
        </w:rPr>
        <w:t> </w:t>
      </w:r>
      <w:r>
        <w:rPr>
          <w:color w:val="231F20"/>
        </w:rPr>
        <w:t>los</w:t>
      </w:r>
      <w:r>
        <w:rPr>
          <w:color w:val="231F20"/>
          <w:spacing w:val="-10"/>
        </w:rPr>
        <w:t> </w:t>
      </w:r>
      <w:r>
        <w:rPr>
          <w:color w:val="231F20"/>
        </w:rPr>
        <w:t>extremos</w:t>
      </w:r>
      <w:r>
        <w:rPr>
          <w:color w:val="231F20"/>
          <w:spacing w:val="-10"/>
        </w:rPr>
        <w:t> </w:t>
      </w:r>
      <w:r>
        <w:rPr>
          <w:color w:val="231F20"/>
        </w:rPr>
        <w:t>y</w:t>
      </w:r>
      <w:r>
        <w:rPr>
          <w:color w:val="231F20"/>
          <w:spacing w:val="-9"/>
        </w:rPr>
        <w:t> </w:t>
      </w:r>
      <w:r>
        <w:rPr>
          <w:color w:val="231F20"/>
        </w:rPr>
        <w:t>del</w:t>
      </w:r>
      <w:r>
        <w:rPr>
          <w:color w:val="231F20"/>
          <w:spacing w:val="-9"/>
        </w:rPr>
        <w:t> </w:t>
      </w:r>
      <w:r>
        <w:rPr>
          <w:color w:val="231F20"/>
        </w:rPr>
        <w:t>com- portamiento en el costo de enviar remesas a México. De 2009 a 2010 en ciertas ciudades existió un comportamiento distinto al esperado aunque la comisión siguió conservando una tendencia</w:t>
      </w:r>
      <w:r>
        <w:rPr>
          <w:color w:val="231F20"/>
          <w:spacing w:val="-8"/>
        </w:rPr>
        <w:t> </w:t>
      </w:r>
      <w:r>
        <w:rPr>
          <w:color w:val="231F20"/>
        </w:rPr>
        <w:t>estable.</w:t>
      </w:r>
    </w:p>
    <w:p>
      <w:pPr>
        <w:pStyle w:val="BodyText"/>
        <w:spacing w:line="247" w:lineRule="auto"/>
        <w:ind w:left="117" w:right="114" w:firstLine="283"/>
        <w:jc w:val="right"/>
      </w:pPr>
      <w:r>
        <w:rPr>
          <w:color w:val="231F20"/>
        </w:rPr>
        <w:t>Para el caso del tipo de cambio y en comparación con la</w:t>
      </w:r>
      <w:r>
        <w:rPr>
          <w:color w:val="231F20"/>
          <w:spacing w:val="24"/>
        </w:rPr>
        <w:t> </w:t>
      </w:r>
      <w:r>
        <w:rPr>
          <w:color w:val="231F20"/>
        </w:rPr>
        <w:t>comisión</w:t>
      </w:r>
      <w:r>
        <w:rPr>
          <w:color w:val="231F20"/>
          <w:spacing w:val="5"/>
        </w:rPr>
        <w:t> </w:t>
      </w:r>
      <w:r>
        <w:rPr>
          <w:color w:val="231F20"/>
        </w:rPr>
        <w:t>co- brada</w:t>
      </w:r>
      <w:r>
        <w:rPr>
          <w:color w:val="231F20"/>
          <w:spacing w:val="-9"/>
        </w:rPr>
        <w:t> </w:t>
      </w:r>
      <w:r>
        <w:rPr>
          <w:color w:val="231F20"/>
        </w:rPr>
        <w:t>es</w:t>
      </w:r>
      <w:r>
        <w:rPr>
          <w:color w:val="231F20"/>
          <w:spacing w:val="-9"/>
        </w:rPr>
        <w:t> </w:t>
      </w:r>
      <w:r>
        <w:rPr>
          <w:color w:val="231F20"/>
        </w:rPr>
        <w:t>clara</w:t>
      </w:r>
      <w:r>
        <w:rPr>
          <w:color w:val="231F20"/>
          <w:spacing w:val="-9"/>
        </w:rPr>
        <w:t> </w:t>
      </w:r>
      <w:r>
        <w:rPr>
          <w:color w:val="231F20"/>
        </w:rPr>
        <w:t>la</w:t>
      </w:r>
      <w:r>
        <w:rPr>
          <w:color w:val="231F20"/>
          <w:spacing w:val="-9"/>
        </w:rPr>
        <w:t> </w:t>
      </w:r>
      <w:r>
        <w:rPr>
          <w:color w:val="231F20"/>
        </w:rPr>
        <w:t>diferencia</w:t>
      </w:r>
      <w:r>
        <w:rPr>
          <w:color w:val="231F20"/>
          <w:spacing w:val="-9"/>
        </w:rPr>
        <w:t> </w:t>
      </w:r>
      <w:r>
        <w:rPr>
          <w:color w:val="231F20"/>
        </w:rPr>
        <w:t>de</w:t>
      </w:r>
      <w:r>
        <w:rPr>
          <w:color w:val="231F20"/>
          <w:spacing w:val="-9"/>
        </w:rPr>
        <w:t> </w:t>
      </w:r>
      <w:r>
        <w:rPr>
          <w:color w:val="231F20"/>
        </w:rPr>
        <w:t>inicio</w:t>
      </w:r>
      <w:r>
        <w:rPr>
          <w:color w:val="231F20"/>
          <w:spacing w:val="-10"/>
        </w:rPr>
        <w:t> </w:t>
      </w:r>
      <w:r>
        <w:rPr>
          <w:color w:val="231F20"/>
        </w:rPr>
        <w:t>en</w:t>
      </w:r>
      <w:r>
        <w:rPr>
          <w:color w:val="231F20"/>
          <w:spacing w:val="-9"/>
        </w:rPr>
        <w:t> </w:t>
      </w:r>
      <w:r>
        <w:rPr>
          <w:color w:val="231F20"/>
        </w:rPr>
        <w:t>la</w:t>
      </w:r>
      <w:r>
        <w:rPr>
          <w:color w:val="231F20"/>
          <w:spacing w:val="-9"/>
        </w:rPr>
        <w:t> </w:t>
      </w:r>
      <w:r>
        <w:rPr>
          <w:color w:val="231F20"/>
        </w:rPr>
        <w:t>variabilidad,</w:t>
      </w:r>
      <w:r>
        <w:rPr>
          <w:color w:val="231F20"/>
          <w:spacing w:val="-9"/>
        </w:rPr>
        <w:t> </w:t>
      </w:r>
      <w:r>
        <w:rPr>
          <w:color w:val="231F20"/>
        </w:rPr>
        <w:t>que</w:t>
      </w:r>
      <w:r>
        <w:rPr>
          <w:color w:val="231F20"/>
          <w:spacing w:val="-9"/>
        </w:rPr>
        <w:t> </w:t>
      </w:r>
      <w:r>
        <w:rPr>
          <w:color w:val="231F20"/>
        </w:rPr>
        <w:t>depende</w:t>
      </w:r>
      <w:r>
        <w:rPr>
          <w:color w:val="231F20"/>
          <w:spacing w:val="-9"/>
        </w:rPr>
        <w:t> </w:t>
      </w:r>
      <w:r>
        <w:rPr>
          <w:color w:val="231F20"/>
        </w:rPr>
        <w:t>de</w:t>
      </w:r>
      <w:r>
        <w:rPr>
          <w:color w:val="231F20"/>
          <w:spacing w:val="-9"/>
        </w:rPr>
        <w:t> </w:t>
      </w:r>
      <w:r>
        <w:rPr>
          <w:color w:val="231F20"/>
        </w:rPr>
        <w:t>fac- tores</w:t>
      </w:r>
      <w:r>
        <w:rPr>
          <w:color w:val="231F20"/>
          <w:spacing w:val="-8"/>
        </w:rPr>
        <w:t> </w:t>
      </w:r>
      <w:r>
        <w:rPr>
          <w:color w:val="231F20"/>
        </w:rPr>
        <w:t>macroeconómicos</w:t>
      </w:r>
      <w:r>
        <w:rPr>
          <w:color w:val="231F20"/>
          <w:spacing w:val="-8"/>
        </w:rPr>
        <w:t> </w:t>
      </w:r>
      <w:r>
        <w:rPr>
          <w:color w:val="231F20"/>
        </w:rPr>
        <w:t>y</w:t>
      </w:r>
      <w:r>
        <w:rPr>
          <w:color w:val="231F20"/>
          <w:spacing w:val="-7"/>
        </w:rPr>
        <w:t> </w:t>
      </w:r>
      <w:r>
        <w:rPr>
          <w:color w:val="231F20"/>
        </w:rPr>
        <w:t>con</w:t>
      </w:r>
      <w:r>
        <w:rPr>
          <w:color w:val="231F20"/>
          <w:spacing w:val="-8"/>
        </w:rPr>
        <w:t> </w:t>
      </w:r>
      <w:r>
        <w:rPr>
          <w:color w:val="231F20"/>
        </w:rPr>
        <w:t>comportamiento</w:t>
      </w:r>
      <w:r>
        <w:rPr>
          <w:color w:val="231F20"/>
          <w:spacing w:val="-8"/>
        </w:rPr>
        <w:t> </w:t>
      </w:r>
      <w:r>
        <w:rPr>
          <w:color w:val="231F20"/>
        </w:rPr>
        <w:t>contrario</w:t>
      </w:r>
      <w:r>
        <w:rPr>
          <w:color w:val="231F20"/>
          <w:spacing w:val="-8"/>
        </w:rPr>
        <w:t> </w:t>
      </w:r>
      <w:r>
        <w:rPr>
          <w:color w:val="231F20"/>
        </w:rPr>
        <w:t>al</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comisión, es regularmente positiva con caídas bruscas antes de los</w:t>
      </w:r>
      <w:r>
        <w:rPr>
          <w:color w:val="231F20"/>
          <w:spacing w:val="11"/>
        </w:rPr>
        <w:t> </w:t>
      </w:r>
      <w:r>
        <w:rPr>
          <w:color w:val="231F20"/>
        </w:rPr>
        <w:t>incrementos;</w:t>
      </w:r>
      <w:r>
        <w:rPr>
          <w:color w:val="231F20"/>
          <w:spacing w:val="13"/>
        </w:rPr>
        <w:t> </w:t>
      </w:r>
      <w:r>
        <w:rPr>
          <w:color w:val="231F20"/>
        </w:rPr>
        <w:t>en algunos casos en las primeras semanas de los meses de junio y</w:t>
      </w:r>
      <w:r>
        <w:rPr>
          <w:color w:val="231F20"/>
          <w:spacing w:val="-29"/>
        </w:rPr>
        <w:t> </w:t>
      </w:r>
      <w:r>
        <w:rPr>
          <w:color w:val="231F20"/>
        </w:rPr>
        <w:t>de</w:t>
      </w:r>
      <w:r>
        <w:rPr>
          <w:color w:val="231F20"/>
          <w:spacing w:val="-3"/>
        </w:rPr>
        <w:t> </w:t>
      </w:r>
      <w:r>
        <w:rPr>
          <w:color w:val="231F20"/>
        </w:rPr>
        <w:t>octubre. La</w:t>
      </w:r>
      <w:r>
        <w:rPr>
          <w:color w:val="231F20"/>
          <w:spacing w:val="-4"/>
        </w:rPr>
        <w:t> </w:t>
      </w:r>
      <w:r>
        <w:rPr>
          <w:color w:val="231F20"/>
        </w:rPr>
        <w:t>caída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tasa</w:t>
      </w:r>
      <w:r>
        <w:rPr>
          <w:color w:val="231F20"/>
          <w:spacing w:val="-4"/>
        </w:rPr>
        <w:t> </w:t>
      </w:r>
      <w:r>
        <w:rPr>
          <w:color w:val="231F20"/>
        </w:rPr>
        <w:t>de</w:t>
      </w:r>
      <w:r>
        <w:rPr>
          <w:color w:val="231F20"/>
          <w:spacing w:val="-4"/>
        </w:rPr>
        <w:t> </w:t>
      </w:r>
      <w:r>
        <w:rPr>
          <w:color w:val="231F20"/>
        </w:rPr>
        <w:t>cambio</w:t>
      </w:r>
      <w:r>
        <w:rPr>
          <w:color w:val="231F20"/>
          <w:spacing w:val="-4"/>
        </w:rPr>
        <w:t> </w:t>
      </w:r>
      <w:r>
        <w:rPr>
          <w:color w:val="231F20"/>
        </w:rPr>
        <w:t>estuvo</w:t>
      </w:r>
      <w:r>
        <w:rPr>
          <w:color w:val="231F20"/>
          <w:spacing w:val="-4"/>
        </w:rPr>
        <w:t> </w:t>
      </w:r>
      <w:r>
        <w:rPr>
          <w:color w:val="231F20"/>
        </w:rPr>
        <w:t>intensificada</w:t>
      </w:r>
      <w:r>
        <w:rPr>
          <w:color w:val="231F20"/>
          <w:spacing w:val="-4"/>
        </w:rPr>
        <w:t> </w:t>
      </w:r>
      <w:r>
        <w:rPr>
          <w:color w:val="231F20"/>
        </w:rPr>
        <w:t>por</w:t>
      </w:r>
      <w:r>
        <w:rPr>
          <w:color w:val="231F20"/>
          <w:spacing w:val="-4"/>
        </w:rPr>
        <w:t> </w:t>
      </w:r>
      <w:r>
        <w:rPr>
          <w:color w:val="231F20"/>
        </w:rPr>
        <w:t>un</w:t>
      </w:r>
      <w:r>
        <w:rPr>
          <w:color w:val="231F20"/>
          <w:spacing w:val="-4"/>
        </w:rPr>
        <w:t> </w:t>
      </w:r>
      <w:r>
        <w:rPr>
          <w:color w:val="231F20"/>
        </w:rPr>
        <w:t>pico</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vo- lumen de transferencias que superó los dos mil millones de</w:t>
      </w:r>
      <w:r>
        <w:rPr>
          <w:color w:val="231F20"/>
          <w:spacing w:val="-34"/>
        </w:rPr>
        <w:t> </w:t>
      </w:r>
      <w:r>
        <w:rPr>
          <w:color w:val="231F20"/>
        </w:rPr>
        <w:t>dólares;</w:t>
      </w:r>
      <w:r>
        <w:rPr>
          <w:color w:val="231F20"/>
          <w:spacing w:val="-4"/>
        </w:rPr>
        <w:t> </w:t>
      </w:r>
      <w:r>
        <w:rPr>
          <w:color w:val="231F20"/>
        </w:rPr>
        <w:t>poste- riormente</w:t>
      </w:r>
      <w:r>
        <w:rPr>
          <w:color w:val="231F20"/>
          <w:spacing w:val="-11"/>
        </w:rPr>
        <w:t> </w:t>
      </w:r>
      <w:r>
        <w:rPr>
          <w:color w:val="231F20"/>
        </w:rPr>
        <w:t>se</w:t>
      </w:r>
      <w:r>
        <w:rPr>
          <w:color w:val="231F20"/>
          <w:spacing w:val="-10"/>
        </w:rPr>
        <w:t> </w:t>
      </w:r>
      <w:r>
        <w:rPr>
          <w:color w:val="231F20"/>
        </w:rPr>
        <w:t>dio</w:t>
      </w:r>
      <w:r>
        <w:rPr>
          <w:color w:val="231F20"/>
          <w:spacing w:val="-10"/>
        </w:rPr>
        <w:t> </w:t>
      </w:r>
      <w:r>
        <w:rPr>
          <w:color w:val="231F20"/>
        </w:rPr>
        <w:t>una</w:t>
      </w:r>
      <w:r>
        <w:rPr>
          <w:color w:val="231F20"/>
          <w:spacing w:val="-10"/>
        </w:rPr>
        <w:t> </w:t>
      </w:r>
      <w:r>
        <w:rPr>
          <w:color w:val="231F20"/>
        </w:rPr>
        <w:t>tendencia</w:t>
      </w:r>
      <w:r>
        <w:rPr>
          <w:color w:val="231F20"/>
          <w:spacing w:val="-11"/>
        </w:rPr>
        <w:t> </w:t>
      </w:r>
      <w:r>
        <w:rPr>
          <w:color w:val="231F20"/>
        </w:rPr>
        <w:t>constante</w:t>
      </w:r>
      <w:r>
        <w:rPr>
          <w:color w:val="231F20"/>
          <w:spacing w:val="-11"/>
        </w:rPr>
        <w:t> </w:t>
      </w:r>
      <w:r>
        <w:rPr>
          <w:color w:val="231F20"/>
        </w:rPr>
        <w:t>a</w:t>
      </w:r>
      <w:r>
        <w:rPr>
          <w:color w:val="231F20"/>
          <w:spacing w:val="-10"/>
        </w:rPr>
        <w:t> </w:t>
      </w:r>
      <w:r>
        <w:rPr>
          <w:color w:val="231F20"/>
        </w:rPr>
        <w:t>la</w:t>
      </w:r>
      <w:r>
        <w:rPr>
          <w:color w:val="231F20"/>
          <w:spacing w:val="-11"/>
        </w:rPr>
        <w:t> </w:t>
      </w:r>
      <w:r>
        <w:rPr>
          <w:color w:val="231F20"/>
        </w:rPr>
        <w:t>baja</w:t>
      </w:r>
      <w:r>
        <w:rPr>
          <w:color w:val="231F20"/>
          <w:spacing w:val="-10"/>
        </w:rPr>
        <w:t> </w:t>
      </w:r>
      <w:r>
        <w:rPr>
          <w:color w:val="231F20"/>
        </w:rPr>
        <w:t>hasta</w:t>
      </w:r>
      <w:r>
        <w:rPr>
          <w:color w:val="231F20"/>
          <w:spacing w:val="-10"/>
        </w:rPr>
        <w:t> </w:t>
      </w:r>
      <w:r>
        <w:rPr>
          <w:color w:val="231F20"/>
        </w:rPr>
        <w:t>diciembre</w:t>
      </w:r>
      <w:r>
        <w:rPr>
          <w:color w:val="231F20"/>
          <w:spacing w:val="-11"/>
        </w:rPr>
        <w:t> </w:t>
      </w:r>
      <w:r>
        <w:rPr>
          <w:color w:val="231F20"/>
        </w:rPr>
        <w:t>de</w:t>
      </w:r>
      <w:r>
        <w:rPr>
          <w:color w:val="231F20"/>
          <w:spacing w:val="-10"/>
        </w:rPr>
        <w:t> </w:t>
      </w:r>
      <w:r>
        <w:rPr>
          <w:color w:val="231F20"/>
        </w:rPr>
        <w:t>2010. Son los costos ocultos los que contraen problemas para</w:t>
      </w:r>
      <w:r>
        <w:rPr>
          <w:color w:val="231F20"/>
          <w:spacing w:val="4"/>
        </w:rPr>
        <w:t> </w:t>
      </w:r>
      <w:r>
        <w:rPr>
          <w:color w:val="231F20"/>
        </w:rPr>
        <w:t>ser</w:t>
      </w:r>
      <w:r>
        <w:rPr>
          <w:color w:val="231F20"/>
          <w:spacing w:val="12"/>
        </w:rPr>
        <w:t> </w:t>
      </w:r>
      <w:r>
        <w:rPr>
          <w:color w:val="231F20"/>
        </w:rPr>
        <w:t>cuantificados</w:t>
      </w:r>
      <w:r>
        <w:rPr>
          <w:color w:val="231F20"/>
          <w:w w:val="98"/>
        </w:rPr>
        <w:t> </w:t>
      </w:r>
      <w:r>
        <w:rPr>
          <w:color w:val="231F20"/>
        </w:rPr>
        <w:t>ya que pueden variar para cada empresa remesadora, para cada tipo de</w:t>
      </w:r>
      <w:r>
        <w:rPr>
          <w:color w:val="231F20"/>
          <w:spacing w:val="-14"/>
        </w:rPr>
        <w:t> </w:t>
      </w:r>
      <w:r>
        <w:rPr>
          <w:color w:val="231F20"/>
        </w:rPr>
        <w:t>en-</w:t>
      </w:r>
    </w:p>
    <w:p>
      <w:pPr>
        <w:pStyle w:val="BodyText"/>
        <w:spacing w:before="8"/>
        <w:rPr>
          <w:sz w:val="15"/>
        </w:rPr>
      </w:pPr>
      <w:r>
        <w:rPr/>
        <w:pict>
          <v:line style="position:absolute;mso-position-horizontal-relative:page;mso-position-vertical-relative:paragraph;z-index:7888;mso-wrap-distance-left:0;mso-wrap-distance-right:0" from="70.866096pt,11.364459pt" to="142.866096pt,11.364459pt" stroked="true" strokeweight=".75pt" strokecolor="#231f20">
            <w10:wrap type="topAndBottom"/>
          </v:line>
        </w:pict>
      </w:r>
    </w:p>
    <w:p>
      <w:pPr>
        <w:spacing w:line="208" w:lineRule="auto" w:before="0"/>
        <w:ind w:left="117" w:right="115" w:firstLine="0"/>
        <w:jc w:val="both"/>
        <w:rPr>
          <w:sz w:val="17"/>
        </w:rPr>
      </w:pPr>
      <w:r>
        <w:rPr>
          <w:color w:val="231F20"/>
          <w:position w:val="6"/>
          <w:sz w:val="10"/>
        </w:rPr>
        <w:t>7 </w:t>
      </w:r>
      <w:r>
        <w:rPr>
          <w:sz w:val="17"/>
        </w:rPr>
        <w:t>Existe una lista de centros cambiarios miembros de la ANCE-TD, autorizados y regulados por el </w:t>
      </w:r>
      <w:r>
        <w:rPr>
          <w:spacing w:val="-9"/>
          <w:sz w:val="17"/>
        </w:rPr>
        <w:t>SAT, </w:t>
      </w:r>
      <w:r>
        <w:rPr>
          <w:sz w:val="17"/>
        </w:rPr>
        <w:t>las compañías remesadoras, el Servicio Postal Mexicano y otros son responsabilidad de la</w:t>
      </w:r>
      <w:r>
        <w:rPr>
          <w:spacing w:val="-8"/>
          <w:sz w:val="17"/>
        </w:rPr>
        <w:t> </w:t>
      </w:r>
      <w:r>
        <w:rPr>
          <w:sz w:val="17"/>
        </w:rPr>
        <w:t>PROFECO</w:t>
      </w:r>
      <w:r>
        <w:rPr>
          <w:spacing w:val="-8"/>
          <w:sz w:val="17"/>
        </w:rPr>
        <w:t> </w:t>
      </w:r>
      <w:r>
        <w:rPr>
          <w:sz w:val="17"/>
        </w:rPr>
        <w:t>y</w:t>
      </w:r>
      <w:r>
        <w:rPr>
          <w:spacing w:val="-8"/>
          <w:sz w:val="17"/>
        </w:rPr>
        <w:t> </w:t>
      </w:r>
      <w:r>
        <w:rPr>
          <w:sz w:val="17"/>
        </w:rPr>
        <w:t>los</w:t>
      </w:r>
      <w:r>
        <w:rPr>
          <w:spacing w:val="-8"/>
          <w:sz w:val="17"/>
        </w:rPr>
        <w:t> </w:t>
      </w:r>
      <w:r>
        <w:rPr>
          <w:sz w:val="17"/>
        </w:rPr>
        <w:t>usuarios</w:t>
      </w:r>
      <w:r>
        <w:rPr>
          <w:spacing w:val="-8"/>
          <w:sz w:val="17"/>
        </w:rPr>
        <w:t> </w:t>
      </w:r>
      <w:r>
        <w:rPr>
          <w:sz w:val="17"/>
        </w:rPr>
        <w:t>se</w:t>
      </w:r>
      <w:r>
        <w:rPr>
          <w:spacing w:val="-8"/>
          <w:sz w:val="17"/>
        </w:rPr>
        <w:t> </w:t>
      </w:r>
      <w:r>
        <w:rPr>
          <w:sz w:val="17"/>
        </w:rPr>
        <w:t>encuentran</w:t>
      </w:r>
      <w:r>
        <w:rPr>
          <w:spacing w:val="-9"/>
          <w:sz w:val="17"/>
        </w:rPr>
        <w:t> </w:t>
      </w:r>
      <w:r>
        <w:rPr>
          <w:sz w:val="17"/>
        </w:rPr>
        <w:t>protegidos</w:t>
      </w:r>
      <w:r>
        <w:rPr>
          <w:spacing w:val="-8"/>
          <w:sz w:val="17"/>
        </w:rPr>
        <w:t> </w:t>
      </w:r>
      <w:r>
        <w:rPr>
          <w:sz w:val="17"/>
        </w:rPr>
        <w:t>por</w:t>
      </w:r>
      <w:r>
        <w:rPr>
          <w:spacing w:val="-8"/>
          <w:sz w:val="17"/>
        </w:rPr>
        <w:t> </w:t>
      </w:r>
      <w:r>
        <w:rPr>
          <w:sz w:val="17"/>
        </w:rPr>
        <w:t>la</w:t>
      </w:r>
      <w:r>
        <w:rPr>
          <w:spacing w:val="-8"/>
          <w:sz w:val="17"/>
        </w:rPr>
        <w:t> </w:t>
      </w:r>
      <w:r>
        <w:rPr>
          <w:sz w:val="17"/>
        </w:rPr>
        <w:t>Ley</w:t>
      </w:r>
      <w:r>
        <w:rPr>
          <w:spacing w:val="-8"/>
          <w:sz w:val="17"/>
        </w:rPr>
        <w:t> </w:t>
      </w:r>
      <w:r>
        <w:rPr>
          <w:sz w:val="17"/>
        </w:rPr>
        <w:t>Federal</w:t>
      </w:r>
      <w:r>
        <w:rPr>
          <w:spacing w:val="-8"/>
          <w:sz w:val="17"/>
        </w:rPr>
        <w:t> </w:t>
      </w:r>
      <w:r>
        <w:rPr>
          <w:sz w:val="17"/>
        </w:rPr>
        <w:t>de</w:t>
      </w:r>
      <w:r>
        <w:rPr>
          <w:spacing w:val="-8"/>
          <w:sz w:val="17"/>
        </w:rPr>
        <w:t> </w:t>
      </w:r>
      <w:r>
        <w:rPr>
          <w:sz w:val="17"/>
        </w:rPr>
        <w:t>Protección</w:t>
      </w:r>
      <w:r>
        <w:rPr>
          <w:spacing w:val="-8"/>
          <w:sz w:val="17"/>
        </w:rPr>
        <w:t> </w:t>
      </w:r>
      <w:r>
        <w:rPr>
          <w:sz w:val="17"/>
        </w:rPr>
        <w:t>al</w:t>
      </w:r>
      <w:r>
        <w:rPr>
          <w:spacing w:val="-8"/>
          <w:sz w:val="17"/>
        </w:rPr>
        <w:t> </w:t>
      </w:r>
      <w:r>
        <w:rPr>
          <w:sz w:val="17"/>
        </w:rPr>
        <w:t>Consu- midor</w:t>
      </w:r>
      <w:r>
        <w:rPr>
          <w:spacing w:val="-5"/>
          <w:sz w:val="17"/>
        </w:rPr>
        <w:t> </w:t>
      </w:r>
      <w:r>
        <w:rPr>
          <w:sz w:val="17"/>
        </w:rPr>
        <w:t>y</w:t>
      </w:r>
      <w:r>
        <w:rPr>
          <w:spacing w:val="-5"/>
          <w:sz w:val="17"/>
        </w:rPr>
        <w:t> </w:t>
      </w:r>
      <w:r>
        <w:rPr>
          <w:sz w:val="17"/>
        </w:rPr>
        <w:t>los</w:t>
      </w:r>
      <w:r>
        <w:rPr>
          <w:spacing w:val="-5"/>
          <w:sz w:val="17"/>
        </w:rPr>
        <w:t> </w:t>
      </w:r>
      <w:r>
        <w:rPr>
          <w:sz w:val="17"/>
        </w:rPr>
        <w:t>centros</w:t>
      </w:r>
      <w:r>
        <w:rPr>
          <w:spacing w:val="-5"/>
          <w:sz w:val="17"/>
        </w:rPr>
        <w:t> </w:t>
      </w:r>
      <w:r>
        <w:rPr>
          <w:sz w:val="17"/>
        </w:rPr>
        <w:t>cambiarios</w:t>
      </w:r>
      <w:r>
        <w:rPr>
          <w:spacing w:val="-5"/>
          <w:sz w:val="17"/>
        </w:rPr>
        <w:t> </w:t>
      </w:r>
      <w:r>
        <w:rPr>
          <w:sz w:val="17"/>
        </w:rPr>
        <w:t>la</w:t>
      </w:r>
      <w:r>
        <w:rPr>
          <w:spacing w:val="-5"/>
          <w:sz w:val="17"/>
        </w:rPr>
        <w:t> </w:t>
      </w:r>
      <w:r>
        <w:rPr>
          <w:sz w:val="17"/>
        </w:rPr>
        <w:t>CONDUSEF</w:t>
      </w:r>
      <w:r>
        <w:rPr>
          <w:spacing w:val="-5"/>
          <w:sz w:val="17"/>
        </w:rPr>
        <w:t> </w:t>
      </w:r>
      <w:r>
        <w:rPr>
          <w:sz w:val="17"/>
        </w:rPr>
        <w:t>los</w:t>
      </w:r>
      <w:r>
        <w:rPr>
          <w:spacing w:val="-5"/>
          <w:sz w:val="17"/>
        </w:rPr>
        <w:t> </w:t>
      </w:r>
      <w:r>
        <w:rPr>
          <w:sz w:val="17"/>
        </w:rPr>
        <w:t>clasifica</w:t>
      </w:r>
      <w:r>
        <w:rPr>
          <w:spacing w:val="-5"/>
          <w:sz w:val="17"/>
        </w:rPr>
        <w:t> </w:t>
      </w:r>
      <w:r>
        <w:rPr>
          <w:sz w:val="17"/>
        </w:rPr>
        <w:t>como</w:t>
      </w:r>
      <w:r>
        <w:rPr>
          <w:spacing w:val="-5"/>
          <w:sz w:val="17"/>
        </w:rPr>
        <w:t> </w:t>
      </w:r>
      <w:r>
        <w:rPr>
          <w:sz w:val="17"/>
        </w:rPr>
        <w:t>personas</w:t>
      </w:r>
      <w:r>
        <w:rPr>
          <w:spacing w:val="-5"/>
          <w:sz w:val="17"/>
        </w:rPr>
        <w:t> </w:t>
      </w:r>
      <w:r>
        <w:rPr>
          <w:sz w:val="17"/>
        </w:rPr>
        <w:t>físicas</w:t>
      </w:r>
      <w:r>
        <w:rPr>
          <w:spacing w:val="-5"/>
          <w:sz w:val="17"/>
        </w:rPr>
        <w:t> </w:t>
      </w:r>
      <w:r>
        <w:rPr>
          <w:sz w:val="17"/>
        </w:rPr>
        <w:t>y</w:t>
      </w:r>
      <w:r>
        <w:rPr>
          <w:spacing w:val="-5"/>
          <w:sz w:val="17"/>
        </w:rPr>
        <w:t> </w:t>
      </w:r>
      <w:r>
        <w:rPr>
          <w:sz w:val="17"/>
        </w:rPr>
        <w:t>morales</w:t>
      </w:r>
      <w:r>
        <w:rPr>
          <w:spacing w:val="-5"/>
          <w:sz w:val="17"/>
        </w:rPr>
        <w:t> </w:t>
      </w:r>
      <w:r>
        <w:rPr>
          <w:sz w:val="17"/>
        </w:rPr>
        <w:t>que pueden tener actividades menores a 10 mil dólares por cliente por</w:t>
      </w:r>
      <w:r>
        <w:rPr>
          <w:spacing w:val="-5"/>
          <w:sz w:val="17"/>
        </w:rPr>
        <w:t> </w:t>
      </w:r>
      <w:r>
        <w:rPr>
          <w:sz w:val="17"/>
        </w:rPr>
        <w:t>día.</w:t>
      </w:r>
    </w:p>
    <w:p>
      <w:pPr>
        <w:spacing w:line="170" w:lineRule="exact" w:before="2"/>
        <w:ind w:left="117" w:right="115" w:firstLine="0"/>
        <w:jc w:val="both"/>
        <w:rPr>
          <w:sz w:val="17"/>
        </w:rPr>
      </w:pPr>
      <w:r>
        <w:rPr>
          <w:color w:val="231F20"/>
          <w:position w:val="6"/>
          <w:sz w:val="10"/>
        </w:rPr>
        <w:t>8 </w:t>
      </w:r>
      <w:r>
        <w:rPr>
          <w:sz w:val="17"/>
        </w:rPr>
        <w:t>“Quién es quién en el envío de dinero” Costos y características de los servicios por ciudad y empresa, en </w:t>
      </w:r>
      <w:hyperlink r:id="rId217">
        <w:r>
          <w:rPr>
            <w:sz w:val="17"/>
          </w:rPr>
          <w:t>http.//www.profeco.gob.mx/envio/comocalcula.asp,</w:t>
        </w:r>
      </w:hyperlink>
      <w:r>
        <w:rPr>
          <w:sz w:val="17"/>
        </w:rPr>
        <w:t> febrero 2009.</w:t>
      </w:r>
    </w:p>
    <w:p>
      <w:pPr>
        <w:spacing w:after="0" w:line="170" w:lineRule="exact"/>
        <w:jc w:val="both"/>
        <w:rPr>
          <w:sz w:val="17"/>
        </w:rPr>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jc w:val="both"/>
      </w:pPr>
      <w:r>
        <w:rPr>
          <w:color w:val="231F20"/>
        </w:rPr>
        <w:t>vío y por la cantidad enviada, estas son las condiciones que debe estudiar y considerar el remitente al momento de decidir con qué empresa hará</w:t>
      </w:r>
      <w:r>
        <w:rPr>
          <w:color w:val="231F20"/>
          <w:spacing w:val="-36"/>
        </w:rPr>
        <w:t> </w:t>
      </w:r>
      <w:r>
        <w:rPr>
          <w:color w:val="231F20"/>
        </w:rPr>
        <w:t>una transferencia.</w:t>
      </w:r>
    </w:p>
    <w:p>
      <w:pPr>
        <w:pStyle w:val="BodyText"/>
        <w:spacing w:line="247" w:lineRule="auto"/>
        <w:ind w:left="117" w:right="114" w:firstLine="283"/>
        <w:jc w:val="both"/>
      </w:pPr>
      <w:r>
        <w:rPr>
          <w:color w:val="231F20"/>
        </w:rPr>
        <w:t>Funcionalmente para los agentes involucrados se presentan mecanis- mos, estrategias y procedimientos diversos para lograr captar la remesa y para prestar el servicio y les es indispensable contar con infraestructura y procesos amigables para lograr posicionar el servicio de envío-recepción ya</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trata</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amplio</w:t>
      </w:r>
      <w:r>
        <w:rPr>
          <w:color w:val="231F20"/>
          <w:spacing w:val="-7"/>
        </w:rPr>
        <w:t> </w:t>
      </w:r>
      <w:r>
        <w:rPr>
          <w:color w:val="231F20"/>
        </w:rPr>
        <w:t>abanico</w:t>
      </w:r>
      <w:r>
        <w:rPr>
          <w:color w:val="231F20"/>
          <w:spacing w:val="-7"/>
        </w:rPr>
        <w:t> </w:t>
      </w:r>
      <w:r>
        <w:rPr>
          <w:color w:val="231F20"/>
        </w:rPr>
        <w:t>de</w:t>
      </w:r>
      <w:r>
        <w:rPr>
          <w:color w:val="231F20"/>
          <w:spacing w:val="-6"/>
        </w:rPr>
        <w:t> </w:t>
      </w:r>
      <w:r>
        <w:rPr>
          <w:color w:val="231F20"/>
        </w:rPr>
        <w:t>opciones</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servicio</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cuan- to al número de instituciones que</w:t>
      </w:r>
      <w:r>
        <w:rPr>
          <w:color w:val="231F20"/>
          <w:spacing w:val="-2"/>
        </w:rPr>
        <w:t> </w:t>
      </w:r>
      <w:r>
        <w:rPr>
          <w:color w:val="231F20"/>
        </w:rPr>
        <w:t>participan.</w:t>
      </w:r>
    </w:p>
    <w:p>
      <w:pPr>
        <w:pStyle w:val="BodyText"/>
        <w:spacing w:line="247" w:lineRule="auto"/>
        <w:ind w:left="117" w:right="114" w:firstLine="283"/>
        <w:jc w:val="both"/>
      </w:pPr>
      <w:r>
        <w:rPr>
          <w:color w:val="231F20"/>
        </w:rPr>
        <w:t>Independientes están los criterios de selección del envío, sobresale el tipo</w:t>
      </w:r>
      <w:r>
        <w:rPr>
          <w:color w:val="231F20"/>
          <w:spacing w:val="-11"/>
        </w:rPr>
        <w:t> </w:t>
      </w:r>
      <w:r>
        <w:rPr>
          <w:color w:val="231F20"/>
        </w:rPr>
        <w:t>de</w:t>
      </w:r>
      <w:r>
        <w:rPr>
          <w:color w:val="231F20"/>
          <w:spacing w:val="-11"/>
        </w:rPr>
        <w:t> </w:t>
      </w:r>
      <w:r>
        <w:rPr>
          <w:color w:val="231F20"/>
        </w:rPr>
        <w:t>cambio,</w:t>
      </w:r>
      <w:r>
        <w:rPr>
          <w:color w:val="231F20"/>
          <w:spacing w:val="-11"/>
        </w:rPr>
        <w:t> </w:t>
      </w:r>
      <w:r>
        <w:rPr>
          <w:color w:val="231F20"/>
        </w:rPr>
        <w:t>que</w:t>
      </w:r>
      <w:r>
        <w:rPr>
          <w:color w:val="231F20"/>
          <w:spacing w:val="-11"/>
        </w:rPr>
        <w:t> </w:t>
      </w:r>
      <w:r>
        <w:rPr>
          <w:color w:val="231F20"/>
        </w:rPr>
        <w:t>por</w:t>
      </w:r>
      <w:r>
        <w:rPr>
          <w:color w:val="231F20"/>
          <w:spacing w:val="-11"/>
        </w:rPr>
        <w:t> </w:t>
      </w:r>
      <w:r>
        <w:rPr>
          <w:color w:val="231F20"/>
        </w:rPr>
        <w:t>mercadotecnia</w:t>
      </w:r>
      <w:r>
        <w:rPr>
          <w:color w:val="231F20"/>
          <w:spacing w:val="-12"/>
        </w:rPr>
        <w:t> </w:t>
      </w:r>
      <w:r>
        <w:rPr>
          <w:color w:val="231F20"/>
        </w:rPr>
        <w:t>es</w:t>
      </w:r>
      <w:r>
        <w:rPr>
          <w:color w:val="231F20"/>
          <w:spacing w:val="-11"/>
        </w:rPr>
        <w:t> </w:t>
      </w:r>
      <w:r>
        <w:rPr>
          <w:color w:val="231F20"/>
        </w:rPr>
        <w:t>posible</w:t>
      </w:r>
      <w:r>
        <w:rPr>
          <w:color w:val="231F20"/>
          <w:spacing w:val="-11"/>
        </w:rPr>
        <w:t> </w:t>
      </w:r>
      <w:r>
        <w:rPr>
          <w:color w:val="231F20"/>
        </w:rPr>
        <w:t>crear</w:t>
      </w:r>
      <w:r>
        <w:rPr>
          <w:color w:val="231F20"/>
          <w:spacing w:val="-11"/>
        </w:rPr>
        <w:t> </w:t>
      </w:r>
      <w:r>
        <w:rPr>
          <w:color w:val="231F20"/>
        </w:rPr>
        <w:t>información</w:t>
      </w:r>
      <w:r>
        <w:rPr>
          <w:color w:val="231F20"/>
          <w:spacing w:val="-12"/>
        </w:rPr>
        <w:t> </w:t>
      </w:r>
      <w:r>
        <w:rPr>
          <w:color w:val="231F20"/>
        </w:rPr>
        <w:t>asimé- trica</w:t>
      </w:r>
      <w:r>
        <w:rPr>
          <w:color w:val="231F20"/>
          <w:spacing w:val="-9"/>
        </w:rPr>
        <w:t> </w:t>
      </w:r>
      <w:r>
        <w:rPr>
          <w:color w:val="231F20"/>
        </w:rPr>
        <w:t>y</w:t>
      </w:r>
      <w:r>
        <w:rPr>
          <w:color w:val="231F20"/>
          <w:spacing w:val="-9"/>
        </w:rPr>
        <w:t> </w:t>
      </w:r>
      <w:r>
        <w:rPr>
          <w:color w:val="231F20"/>
        </w:rPr>
        <w:t>confundir</w:t>
      </w:r>
      <w:r>
        <w:rPr>
          <w:color w:val="231F20"/>
          <w:spacing w:val="-9"/>
        </w:rPr>
        <w:t> </w:t>
      </w:r>
      <w:r>
        <w:rPr>
          <w:color w:val="231F20"/>
        </w:rPr>
        <w:t>al</w:t>
      </w:r>
      <w:r>
        <w:rPr>
          <w:color w:val="231F20"/>
          <w:spacing w:val="-9"/>
        </w:rPr>
        <w:t> </w:t>
      </w:r>
      <w:r>
        <w:rPr>
          <w:color w:val="231F20"/>
        </w:rPr>
        <w:t>usuario</w:t>
      </w:r>
      <w:r>
        <w:rPr>
          <w:color w:val="231F20"/>
          <w:spacing w:val="-9"/>
        </w:rPr>
        <w:t> </w:t>
      </w:r>
      <w:r>
        <w:rPr>
          <w:color w:val="231F20"/>
        </w:rPr>
        <w:t>poco</w:t>
      </w:r>
      <w:r>
        <w:rPr>
          <w:color w:val="231F20"/>
          <w:spacing w:val="-9"/>
        </w:rPr>
        <w:t> </w:t>
      </w:r>
      <w:r>
        <w:rPr>
          <w:color w:val="231F20"/>
        </w:rPr>
        <w:t>experimentado;</w:t>
      </w:r>
      <w:r>
        <w:rPr>
          <w:color w:val="231F20"/>
          <w:spacing w:val="-10"/>
        </w:rPr>
        <w:t> </w:t>
      </w:r>
      <w:r>
        <w:rPr>
          <w:color w:val="231F20"/>
        </w:rPr>
        <w:t>otro</w:t>
      </w:r>
      <w:r>
        <w:rPr>
          <w:color w:val="231F20"/>
          <w:spacing w:val="-9"/>
        </w:rPr>
        <w:t> </w:t>
      </w:r>
      <w:r>
        <w:rPr>
          <w:color w:val="231F20"/>
        </w:rPr>
        <w:t>criterio</w:t>
      </w:r>
      <w:r>
        <w:rPr>
          <w:color w:val="231F20"/>
          <w:spacing w:val="-9"/>
        </w:rPr>
        <w:t> </w:t>
      </w:r>
      <w:r>
        <w:rPr>
          <w:color w:val="231F20"/>
        </w:rPr>
        <w:t>es</w:t>
      </w:r>
      <w:r>
        <w:rPr>
          <w:color w:val="231F20"/>
          <w:spacing w:val="-9"/>
        </w:rPr>
        <w:t> </w:t>
      </w:r>
      <w:r>
        <w:rPr>
          <w:color w:val="231F20"/>
        </w:rPr>
        <w:t>seguridad, la cercanía a la empresa y por supuesto el precio; en otros casos la veloci- dad del envío y aún más complejos un vínculo entre seguridad y rapidez que</w:t>
      </w:r>
      <w:r>
        <w:rPr>
          <w:color w:val="231F20"/>
          <w:spacing w:val="-10"/>
        </w:rPr>
        <w:t> </w:t>
      </w:r>
      <w:r>
        <w:rPr>
          <w:color w:val="231F20"/>
        </w:rPr>
        <w:t>genera</w:t>
      </w:r>
      <w:r>
        <w:rPr>
          <w:color w:val="231F20"/>
          <w:spacing w:val="-10"/>
        </w:rPr>
        <w:t> </w:t>
      </w:r>
      <w:r>
        <w:rPr>
          <w:color w:val="231F20"/>
        </w:rPr>
        <w:t>confianza.</w:t>
      </w:r>
      <w:r>
        <w:rPr>
          <w:color w:val="231F20"/>
          <w:spacing w:val="-11"/>
        </w:rPr>
        <w:t> </w:t>
      </w:r>
      <w:r>
        <w:rPr>
          <w:color w:val="231F20"/>
        </w:rPr>
        <w:t>En</w:t>
      </w:r>
      <w:r>
        <w:rPr>
          <w:color w:val="231F20"/>
          <w:spacing w:val="-10"/>
        </w:rPr>
        <w:t> </w:t>
      </w:r>
      <w:r>
        <w:rPr>
          <w:color w:val="231F20"/>
        </w:rPr>
        <w:t>este</w:t>
      </w:r>
      <w:r>
        <w:rPr>
          <w:color w:val="231F20"/>
          <w:spacing w:val="-10"/>
        </w:rPr>
        <w:t> </w:t>
      </w:r>
      <w:r>
        <w:rPr>
          <w:color w:val="231F20"/>
        </w:rPr>
        <w:t>sentido</w:t>
      </w:r>
      <w:r>
        <w:rPr>
          <w:color w:val="231F20"/>
          <w:spacing w:val="-10"/>
        </w:rPr>
        <w:t> </w:t>
      </w:r>
      <w:r>
        <w:rPr>
          <w:color w:val="231F20"/>
        </w:rPr>
        <w:t>la</w:t>
      </w:r>
      <w:r>
        <w:rPr>
          <w:color w:val="231F20"/>
          <w:spacing w:val="-10"/>
        </w:rPr>
        <w:t> </w:t>
      </w:r>
      <w:r>
        <w:rPr>
          <w:color w:val="231F20"/>
        </w:rPr>
        <w:t>competencia</w:t>
      </w:r>
      <w:r>
        <w:rPr>
          <w:color w:val="231F20"/>
          <w:spacing w:val="-11"/>
        </w:rPr>
        <w:t> </w:t>
      </w:r>
      <w:r>
        <w:rPr>
          <w:color w:val="231F20"/>
        </w:rPr>
        <w:t>no</w:t>
      </w:r>
      <w:r>
        <w:rPr>
          <w:color w:val="231F20"/>
          <w:spacing w:val="-10"/>
        </w:rPr>
        <w:t> </w:t>
      </w:r>
      <w:r>
        <w:rPr>
          <w:color w:val="231F20"/>
        </w:rPr>
        <w:t>será</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precios sino diferenciales que permiten el alto costo de los servicios básicos. Al- gunos</w:t>
      </w:r>
      <w:r>
        <w:rPr>
          <w:color w:val="231F20"/>
          <w:spacing w:val="-4"/>
        </w:rPr>
        <w:t> </w:t>
      </w:r>
      <w:r>
        <w:rPr>
          <w:color w:val="231F20"/>
        </w:rPr>
        <w:t>elementos</w:t>
      </w:r>
      <w:r>
        <w:rPr>
          <w:color w:val="231F20"/>
          <w:spacing w:val="-4"/>
        </w:rPr>
        <w:t> </w:t>
      </w:r>
      <w:r>
        <w:rPr>
          <w:color w:val="231F20"/>
        </w:rPr>
        <w:t>quizá</w:t>
      </w:r>
      <w:r>
        <w:rPr>
          <w:color w:val="231F20"/>
          <w:spacing w:val="-4"/>
        </w:rPr>
        <w:t> </w:t>
      </w:r>
      <w:r>
        <w:rPr>
          <w:color w:val="231F20"/>
        </w:rPr>
        <w:t>lejanos</w:t>
      </w:r>
      <w:r>
        <w:rPr>
          <w:color w:val="231F20"/>
          <w:spacing w:val="-5"/>
        </w:rPr>
        <w:t> </w:t>
      </w:r>
      <w:r>
        <w:rPr>
          <w:color w:val="231F20"/>
        </w:rPr>
        <w:t>pero</w:t>
      </w:r>
      <w:r>
        <w:rPr>
          <w:color w:val="231F20"/>
          <w:spacing w:val="-5"/>
        </w:rPr>
        <w:t> </w:t>
      </w:r>
      <w:r>
        <w:rPr>
          <w:color w:val="231F20"/>
        </w:rPr>
        <w:t>paralelos</w:t>
      </w:r>
      <w:r>
        <w:rPr>
          <w:color w:val="231F20"/>
          <w:spacing w:val="-4"/>
        </w:rPr>
        <w:t> </w:t>
      </w:r>
      <w:r>
        <w:rPr>
          <w:color w:val="231F20"/>
        </w:rPr>
        <w:t>son</w:t>
      </w:r>
      <w:r>
        <w:rPr>
          <w:color w:val="231F20"/>
          <w:spacing w:val="-4"/>
        </w:rPr>
        <w:t> </w:t>
      </w:r>
      <w:r>
        <w:rPr>
          <w:color w:val="231F20"/>
        </w:rPr>
        <w:t>los</w:t>
      </w:r>
      <w:r>
        <w:rPr>
          <w:color w:val="231F20"/>
          <w:spacing w:val="-5"/>
        </w:rPr>
        <w:t> </w:t>
      </w:r>
      <w:r>
        <w:rPr>
          <w:color w:val="231F20"/>
        </w:rPr>
        <w:t>costos</w:t>
      </w:r>
      <w:r>
        <w:rPr>
          <w:color w:val="231F20"/>
          <w:spacing w:val="-5"/>
        </w:rPr>
        <w:t> </w:t>
      </w:r>
      <w:r>
        <w:rPr>
          <w:color w:val="231F20"/>
        </w:rPr>
        <w:t>sociales</w:t>
      </w:r>
      <w:r>
        <w:rPr>
          <w:color w:val="231F20"/>
          <w:spacing w:val="-4"/>
        </w:rPr>
        <w:t> </w:t>
      </w:r>
      <w:r>
        <w:rPr>
          <w:color w:val="231F20"/>
        </w:rPr>
        <w:t>como temores culturales que serán un disuasivo en los intentos de liberación de las</w:t>
      </w:r>
      <w:r>
        <w:rPr>
          <w:color w:val="231F20"/>
          <w:spacing w:val="-5"/>
        </w:rPr>
        <w:t> </w:t>
      </w:r>
      <w:r>
        <w:rPr>
          <w:color w:val="231F20"/>
        </w:rPr>
        <w:t>leyes</w:t>
      </w:r>
      <w:r>
        <w:rPr>
          <w:color w:val="231F20"/>
          <w:spacing w:val="-5"/>
        </w:rPr>
        <w:t> </w:t>
      </w:r>
      <w:r>
        <w:rPr>
          <w:color w:val="231F20"/>
        </w:rPr>
        <w:t>de</w:t>
      </w:r>
      <w:r>
        <w:rPr>
          <w:color w:val="231F20"/>
          <w:spacing w:val="-5"/>
        </w:rPr>
        <w:t> </w:t>
      </w:r>
      <w:r>
        <w:rPr>
          <w:color w:val="231F20"/>
        </w:rPr>
        <w:t>inmigración</w:t>
      </w:r>
      <w:r>
        <w:rPr>
          <w:color w:val="231F20"/>
          <w:spacing w:val="-5"/>
        </w:rPr>
        <w:t> </w:t>
      </w:r>
      <w:r>
        <w:rPr>
          <w:color w:val="231F20"/>
        </w:rPr>
        <w:t>en</w:t>
      </w:r>
      <w:r>
        <w:rPr>
          <w:color w:val="231F20"/>
          <w:spacing w:val="-5"/>
        </w:rPr>
        <w:t> </w:t>
      </w:r>
      <w:r>
        <w:rPr>
          <w:color w:val="231F20"/>
        </w:rPr>
        <w:t>países</w:t>
      </w:r>
      <w:r>
        <w:rPr>
          <w:color w:val="231F20"/>
          <w:spacing w:val="-5"/>
        </w:rPr>
        <w:t> </w:t>
      </w:r>
      <w:r>
        <w:rPr>
          <w:color w:val="231F20"/>
        </w:rPr>
        <w:t>industrializados.</w:t>
      </w:r>
      <w:r>
        <w:rPr>
          <w:color w:val="231F20"/>
          <w:spacing w:val="-6"/>
        </w:rPr>
        <w:t> </w:t>
      </w:r>
      <w:r>
        <w:rPr>
          <w:color w:val="231F20"/>
        </w:rPr>
        <w:t>Éstos</w:t>
      </w:r>
      <w:r>
        <w:rPr>
          <w:color w:val="231F20"/>
          <w:spacing w:val="-5"/>
        </w:rPr>
        <w:t> </w:t>
      </w:r>
      <w:r>
        <w:rPr>
          <w:color w:val="231F20"/>
        </w:rPr>
        <w:t>no</w:t>
      </w:r>
      <w:r>
        <w:rPr>
          <w:color w:val="231F20"/>
          <w:spacing w:val="-5"/>
        </w:rPr>
        <w:t> </w:t>
      </w:r>
      <w:r>
        <w:rPr>
          <w:color w:val="231F20"/>
        </w:rPr>
        <w:t>limitan</w:t>
      </w:r>
      <w:r>
        <w:rPr>
          <w:color w:val="231F20"/>
          <w:spacing w:val="-6"/>
        </w:rPr>
        <w:t> </w:t>
      </w:r>
      <w:r>
        <w:rPr>
          <w:color w:val="231F20"/>
        </w:rPr>
        <w:t>el</w:t>
      </w:r>
      <w:r>
        <w:rPr>
          <w:color w:val="231F20"/>
          <w:spacing w:val="-5"/>
        </w:rPr>
        <w:t> </w:t>
      </w:r>
      <w:r>
        <w:rPr>
          <w:color w:val="231F20"/>
        </w:rPr>
        <w:t>flu- jo de población (Ratha, 2005: 25).</w:t>
      </w:r>
    </w:p>
    <w:p>
      <w:pPr>
        <w:pStyle w:val="Heading3"/>
      </w:pPr>
      <w:r>
        <w:rPr>
          <w:color w:val="231F20"/>
        </w:rPr>
        <w:t>Conclusiones</w:t>
      </w:r>
    </w:p>
    <w:p>
      <w:pPr>
        <w:pStyle w:val="BodyText"/>
        <w:spacing w:line="247" w:lineRule="auto" w:before="172"/>
        <w:ind w:left="117" w:right="115"/>
        <w:jc w:val="both"/>
      </w:pPr>
      <w:r>
        <w:rPr>
          <w:color w:val="231F20"/>
        </w:rPr>
        <w:t>Los beneficios de la migración y sus costos para los países en desarrollo son desde los obvios se incrementan los salarios reales, se despeja el mer- cado laboral y los implícitos, como los fiscales y la circulación de capital. Las desventajas son estrechas: trabajadores altamente calificados que no tienen competencia o mercado laboral, un marco de déficit fiscal compen- sado por remesas.</w:t>
      </w:r>
    </w:p>
    <w:p>
      <w:pPr>
        <w:pStyle w:val="BodyText"/>
        <w:spacing w:line="247" w:lineRule="auto"/>
        <w:ind w:left="117" w:right="114" w:firstLine="283"/>
        <w:jc w:val="both"/>
      </w:pPr>
      <w:r>
        <w:rPr>
          <w:color w:val="231F20"/>
        </w:rPr>
        <w:t>Las remesas para la población de bajos ingresos son una consecuencia directa y objetivo primordial de la migración internacional, en cualquiera de</w:t>
      </w:r>
      <w:r>
        <w:rPr>
          <w:color w:val="231F20"/>
          <w:spacing w:val="-10"/>
        </w:rPr>
        <w:t> </w:t>
      </w:r>
      <w:r>
        <w:rPr>
          <w:color w:val="231F20"/>
        </w:rPr>
        <w:t>sus</w:t>
      </w:r>
      <w:r>
        <w:rPr>
          <w:color w:val="231F20"/>
          <w:spacing w:val="-10"/>
        </w:rPr>
        <w:t> </w:t>
      </w:r>
      <w:r>
        <w:rPr>
          <w:color w:val="231F20"/>
        </w:rPr>
        <w:t>formas.</w:t>
      </w:r>
      <w:r>
        <w:rPr>
          <w:color w:val="231F20"/>
          <w:spacing w:val="-10"/>
        </w:rPr>
        <w:t> </w:t>
      </w:r>
      <w:r>
        <w:rPr>
          <w:color w:val="231F20"/>
        </w:rPr>
        <w:t>La</w:t>
      </w:r>
      <w:r>
        <w:rPr>
          <w:color w:val="231F20"/>
          <w:spacing w:val="-10"/>
        </w:rPr>
        <w:t> </w:t>
      </w:r>
      <w:r>
        <w:rPr>
          <w:color w:val="231F20"/>
        </w:rPr>
        <w:t>medición</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flujos</w:t>
      </w:r>
      <w:r>
        <w:rPr>
          <w:color w:val="231F20"/>
          <w:spacing w:val="-10"/>
        </w:rPr>
        <w:t> </w:t>
      </w:r>
      <w:r>
        <w:rPr>
          <w:color w:val="231F20"/>
        </w:rPr>
        <w:t>deberá</w:t>
      </w:r>
      <w:r>
        <w:rPr>
          <w:color w:val="231F20"/>
          <w:spacing w:val="-10"/>
        </w:rPr>
        <w:t> </w:t>
      </w:r>
      <w:r>
        <w:rPr>
          <w:color w:val="231F20"/>
        </w:rPr>
        <w:t>ser</w:t>
      </w:r>
      <w:r>
        <w:rPr>
          <w:color w:val="231F20"/>
          <w:spacing w:val="-10"/>
        </w:rPr>
        <w:t> </w:t>
      </w:r>
      <w:r>
        <w:rPr>
          <w:color w:val="231F20"/>
        </w:rPr>
        <w:t>por</w:t>
      </w:r>
      <w:r>
        <w:rPr>
          <w:color w:val="231F20"/>
          <w:spacing w:val="-10"/>
        </w:rPr>
        <w:t> </w:t>
      </w:r>
      <w:r>
        <w:rPr>
          <w:color w:val="231F20"/>
        </w:rPr>
        <w:t>métodos</w:t>
      </w:r>
      <w:r>
        <w:rPr>
          <w:color w:val="231F20"/>
          <w:spacing w:val="-10"/>
        </w:rPr>
        <w:t> </w:t>
      </w:r>
      <w:r>
        <w:rPr>
          <w:color w:val="231F20"/>
        </w:rPr>
        <w:t>integrados y más amplios en la consideración de los impactos, importancia del flujo, aspectos consecuentes y métodos técnicos que son abordados desde una perspectiva cuantitativa y detallados en su funcionamiento por parte de</w:t>
      </w:r>
      <w:r>
        <w:rPr>
          <w:color w:val="231F20"/>
          <w:spacing w:val="-32"/>
        </w:rPr>
        <w:t> </w:t>
      </w:r>
      <w:r>
        <w:rPr>
          <w:color w:val="231F20"/>
        </w:rPr>
        <w:t>las instituciones</w:t>
      </w:r>
      <w:r>
        <w:rPr>
          <w:color w:val="231F20"/>
          <w:spacing w:val="-1"/>
        </w:rPr>
        <w:t> </w:t>
      </w:r>
      <w:r>
        <w:rPr>
          <w:color w:val="231F20"/>
        </w:rPr>
        <w:t>responsables.</w:t>
      </w:r>
    </w:p>
    <w:p>
      <w:pPr>
        <w:pStyle w:val="BodyText"/>
        <w:spacing w:line="247" w:lineRule="auto"/>
        <w:ind w:left="117" w:right="114" w:firstLine="283"/>
        <w:jc w:val="both"/>
      </w:pPr>
      <w:r>
        <w:rPr>
          <w:color w:val="231F20"/>
        </w:rPr>
        <w:t>El mercado de las transferencias como está definido lleva a reducir las opciones</w:t>
      </w:r>
      <w:r>
        <w:rPr>
          <w:color w:val="231F20"/>
          <w:spacing w:val="-7"/>
        </w:rPr>
        <w:t> </w:t>
      </w:r>
      <w:r>
        <w:rPr>
          <w:color w:val="231F20"/>
        </w:rPr>
        <w:t>de</w:t>
      </w:r>
      <w:r>
        <w:rPr>
          <w:color w:val="231F20"/>
          <w:spacing w:val="-7"/>
        </w:rPr>
        <w:t> </w:t>
      </w:r>
      <w:r>
        <w:rPr>
          <w:color w:val="231F20"/>
        </w:rPr>
        <w:t>recepción</w:t>
      </w:r>
      <w:r>
        <w:rPr>
          <w:color w:val="231F20"/>
          <w:spacing w:val="-7"/>
        </w:rPr>
        <w:t> </w:t>
      </w:r>
      <w:r>
        <w:rPr>
          <w:color w:val="231F20"/>
        </w:rPr>
        <w:t>de</w:t>
      </w:r>
      <w:r>
        <w:rPr>
          <w:color w:val="231F20"/>
          <w:spacing w:val="-7"/>
        </w:rPr>
        <w:t> </w:t>
      </w:r>
      <w:r>
        <w:rPr>
          <w:color w:val="231F20"/>
        </w:rPr>
        <w:t>remesas</w:t>
      </w:r>
      <w:r>
        <w:rPr>
          <w:color w:val="231F20"/>
          <w:spacing w:val="-6"/>
        </w:rPr>
        <w:t> </w:t>
      </w:r>
      <w:r>
        <w:rPr>
          <w:color w:val="231F20"/>
        </w:rPr>
        <w:t>no</w:t>
      </w:r>
      <w:r>
        <w:rPr>
          <w:color w:val="231F20"/>
          <w:spacing w:val="-7"/>
        </w:rPr>
        <w:t> </w:t>
      </w:r>
      <w:r>
        <w:rPr>
          <w:color w:val="231F20"/>
        </w:rPr>
        <w:t>sólo</w:t>
      </w:r>
      <w:r>
        <w:rPr>
          <w:color w:val="231F20"/>
          <w:spacing w:val="-6"/>
        </w:rPr>
        <w:t> </w:t>
      </w:r>
      <w:r>
        <w:rPr>
          <w:color w:val="231F20"/>
        </w:rPr>
        <w:t>al</w:t>
      </w:r>
      <w:r>
        <w:rPr>
          <w:color w:val="231F20"/>
          <w:spacing w:val="-7"/>
        </w:rPr>
        <w:t> </w:t>
      </w:r>
      <w:r>
        <w:rPr>
          <w:color w:val="231F20"/>
        </w:rPr>
        <w:t>grueso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hogares,</w:t>
      </w:r>
      <w:r>
        <w:rPr>
          <w:color w:val="231F20"/>
          <w:spacing w:val="-7"/>
        </w:rPr>
        <w:t> </w:t>
      </w:r>
      <w:r>
        <w:rPr>
          <w:color w:val="231F20"/>
        </w:rPr>
        <w:t>sino</w:t>
      </w:r>
      <w:r>
        <w:rPr>
          <w:color w:val="231F20"/>
          <w:spacing w:val="-6"/>
        </w:rPr>
        <w:t> </w:t>
      </w:r>
      <w:r>
        <w:rPr>
          <w:color w:val="231F20"/>
        </w:rPr>
        <w:t>de las comunidades indígenas que además de no contar con las condiciones de integración a un mercado laboral nacional o internacional se ven</w:t>
      </w:r>
      <w:r>
        <w:rPr>
          <w:color w:val="231F20"/>
          <w:spacing w:val="5"/>
        </w:rPr>
        <w:t> </w:t>
      </w:r>
      <w:r>
        <w:rPr>
          <w:color w:val="231F20"/>
        </w:rPr>
        <w:t>“obli-</w:t>
      </w:r>
    </w:p>
    <w:p>
      <w:pPr>
        <w:spacing w:after="0" w:line="247" w:lineRule="auto"/>
        <w:jc w:val="both"/>
        <w:sectPr>
          <w:pgSz w:w="9360" w:h="13040"/>
          <w:pgMar w:header="0" w:footer="496" w:top="800" w:bottom="680" w:left="1300" w:right="1300"/>
        </w:sectPr>
      </w:pPr>
    </w:p>
    <w:p>
      <w:pPr>
        <w:spacing w:before="45"/>
        <w:ind w:left="117" w:right="0" w:firstLine="343"/>
        <w:jc w:val="both"/>
        <w:rPr>
          <w:rFonts w:ascii="Arial" w:hAnsi="Arial"/>
          <w:sz w:val="20"/>
        </w:rPr>
      </w:pPr>
      <w:r>
        <w:rPr>
          <w:rFonts w:ascii="Arial" w:hAnsi="Arial"/>
          <w:color w:val="231F20"/>
          <w:w w:val="66"/>
          <w:sz w:val="20"/>
        </w:rPr>
        <w:t>Las</w:t>
      </w:r>
      <w:r>
        <w:rPr>
          <w:rFonts w:ascii="Arial" w:hAnsi="Arial"/>
          <w:color w:val="231F20"/>
          <w:spacing w:val="-1"/>
          <w:sz w:val="20"/>
        </w:rPr>
        <w:t> </w:t>
      </w:r>
      <w:r>
        <w:rPr>
          <w:rFonts w:ascii="Arial" w:hAnsi="Arial"/>
          <w:color w:val="231F20"/>
          <w:spacing w:val="-1"/>
          <w:w w:val="68"/>
          <w:sz w:val="20"/>
        </w:rPr>
        <w:t>remesa</w:t>
      </w:r>
      <w:r>
        <w:rPr>
          <w:rFonts w:ascii="Arial" w:hAnsi="Arial"/>
          <w:color w:val="231F20"/>
          <w:w w:val="68"/>
          <w:sz w:val="20"/>
        </w:rPr>
        <w:t>s</w:t>
      </w:r>
      <w:r>
        <w:rPr>
          <w:rFonts w:ascii="Arial" w:hAnsi="Arial"/>
          <w:color w:val="231F20"/>
          <w:sz w:val="20"/>
        </w:rPr>
        <w:t> </w:t>
      </w:r>
      <w:r>
        <w:rPr>
          <w:rFonts w:ascii="Arial" w:hAnsi="Arial"/>
          <w:color w:val="231F20"/>
          <w:w w:val="72"/>
          <w:sz w:val="20"/>
        </w:rPr>
        <w:t>indígenas</w:t>
      </w:r>
      <w:r>
        <w:rPr>
          <w:rFonts w:ascii="Arial" w:hAnsi="Arial"/>
          <w:color w:val="231F20"/>
          <w:spacing w:val="-1"/>
          <w:sz w:val="20"/>
        </w:rPr>
        <w:t> </w:t>
      </w:r>
      <w:r>
        <w:rPr>
          <w:rFonts w:ascii="Arial" w:hAnsi="Arial"/>
          <w:color w:val="231F20"/>
          <w:spacing w:val="-1"/>
          <w:w w:val="67"/>
          <w:sz w:val="20"/>
        </w:rPr>
        <w:t>com</w:t>
      </w:r>
      <w:r>
        <w:rPr>
          <w:rFonts w:ascii="Arial" w:hAnsi="Arial"/>
          <w:color w:val="231F20"/>
          <w:w w:val="67"/>
          <w:sz w:val="20"/>
        </w:rPr>
        <w:t>o</w:t>
      </w:r>
      <w:r>
        <w:rPr>
          <w:rFonts w:ascii="Arial" w:hAnsi="Arial"/>
          <w:color w:val="231F20"/>
          <w:spacing w:val="-1"/>
          <w:sz w:val="20"/>
        </w:rPr>
        <w:t> </w:t>
      </w:r>
      <w:r>
        <w:rPr>
          <w:rFonts w:ascii="Arial" w:hAnsi="Arial"/>
          <w:color w:val="231F20"/>
          <w:spacing w:val="-1"/>
          <w:w w:val="71"/>
          <w:sz w:val="20"/>
        </w:rPr>
        <w:t>complement</w:t>
      </w:r>
      <w:r>
        <w:rPr>
          <w:rFonts w:ascii="Arial" w:hAnsi="Arial"/>
          <w:color w:val="231F20"/>
          <w:w w:val="71"/>
          <w:sz w:val="20"/>
        </w:rPr>
        <w:t>o</w:t>
      </w:r>
      <w:r>
        <w:rPr>
          <w:rFonts w:ascii="Arial" w:hAnsi="Arial"/>
          <w:color w:val="231F20"/>
          <w:sz w:val="20"/>
        </w:rPr>
        <w:t> </w:t>
      </w:r>
      <w:r>
        <w:rPr>
          <w:rFonts w:ascii="Arial" w:hAnsi="Arial"/>
          <w:color w:val="231F20"/>
          <w:spacing w:val="-1"/>
          <w:w w:val="78"/>
          <w:sz w:val="20"/>
        </w:rPr>
        <w:t>a</w:t>
      </w:r>
      <w:r>
        <w:rPr>
          <w:rFonts w:ascii="Arial" w:hAnsi="Arial"/>
          <w:color w:val="231F20"/>
          <w:w w:val="78"/>
          <w:sz w:val="20"/>
        </w:rPr>
        <w:t>l</w:t>
      </w:r>
      <w:r>
        <w:rPr>
          <w:rFonts w:ascii="Arial" w:hAnsi="Arial"/>
          <w:color w:val="231F20"/>
          <w:spacing w:val="-1"/>
          <w:sz w:val="20"/>
        </w:rPr>
        <w:t> </w:t>
      </w:r>
      <w:r>
        <w:rPr>
          <w:rFonts w:ascii="Arial" w:hAnsi="Arial"/>
          <w:color w:val="231F20"/>
          <w:w w:val="73"/>
          <w:sz w:val="20"/>
        </w:rPr>
        <w:t>ingreso</w:t>
      </w:r>
      <w:r>
        <w:rPr>
          <w:rFonts w:ascii="Arial" w:hAnsi="Arial"/>
          <w:color w:val="231F20"/>
          <w:spacing w:val="-1"/>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67"/>
          <w:sz w:val="20"/>
        </w:rPr>
        <w:t>sus</w:t>
      </w:r>
      <w:r>
        <w:rPr>
          <w:rFonts w:ascii="Arial" w:hAnsi="Arial"/>
          <w:color w:val="231F20"/>
          <w:spacing w:val="-1"/>
          <w:sz w:val="20"/>
        </w:rPr>
        <w:t> </w:t>
      </w:r>
      <w:r>
        <w:rPr>
          <w:rFonts w:ascii="Arial" w:hAnsi="Arial"/>
          <w:color w:val="231F20"/>
          <w:w w:val="72"/>
          <w:sz w:val="20"/>
        </w:rPr>
        <w:t>mecanismos...</w:t>
      </w:r>
      <w:r>
        <w:rPr>
          <w:rFonts w:ascii="Arial" w:hAnsi="Arial"/>
          <w:color w:val="231F20"/>
          <w:spacing w:val="-1"/>
          <w:sz w:val="20"/>
        </w:rPr>
        <w:t> </w:t>
      </w:r>
      <w:r>
        <w:rPr>
          <w:rFonts w:ascii="Arial" w:hAnsi="Arial"/>
          <w:color w:val="231F20"/>
          <w:spacing w:val="-1"/>
          <w:w w:val="99"/>
          <w:sz w:val="20"/>
        </w:rPr>
        <w:t>/</w:t>
      </w:r>
      <w:r>
        <w:rPr>
          <w:rFonts w:ascii="Arial" w:hAnsi="Arial"/>
          <w:color w:val="231F20"/>
          <w:w w:val="47"/>
          <w:sz w:val="20"/>
        </w:rPr>
        <w:t>César</w:t>
      </w:r>
      <w:r>
        <w:rPr>
          <w:rFonts w:ascii="Arial" w:hAnsi="Arial"/>
          <w:color w:val="231F20"/>
          <w:spacing w:val="-17"/>
          <w:sz w:val="20"/>
        </w:rPr>
        <w:t> </w:t>
      </w:r>
      <w:r>
        <w:rPr>
          <w:rFonts w:ascii="Arial" w:hAnsi="Arial"/>
          <w:color w:val="231F20"/>
          <w:spacing w:val="-1"/>
          <w:w w:val="52"/>
          <w:sz w:val="20"/>
        </w:rPr>
        <w:t>Raú</w:t>
      </w:r>
      <w:r>
        <w:rPr>
          <w:rFonts w:ascii="Arial" w:hAnsi="Arial"/>
          <w:color w:val="231F20"/>
          <w:w w:val="52"/>
          <w:sz w:val="20"/>
        </w:rPr>
        <w:t>l</w:t>
      </w:r>
      <w:r>
        <w:rPr>
          <w:rFonts w:ascii="Arial" w:hAnsi="Arial"/>
          <w:color w:val="231F20"/>
          <w:spacing w:val="-17"/>
          <w:sz w:val="20"/>
        </w:rPr>
        <w:t> </w:t>
      </w:r>
      <w:r>
        <w:rPr>
          <w:rFonts w:ascii="Arial" w:hAnsi="Arial"/>
          <w:color w:val="231F20"/>
          <w:w w:val="52"/>
          <w:sz w:val="20"/>
        </w:rPr>
        <w:t>Pérez-Marcial</w:t>
      </w:r>
    </w:p>
    <w:p>
      <w:pPr>
        <w:pStyle w:val="BodyText"/>
        <w:spacing w:before="7"/>
        <w:rPr>
          <w:rFonts w:ascii="Arial"/>
          <w:sz w:val="28"/>
        </w:rPr>
      </w:pPr>
    </w:p>
    <w:p>
      <w:pPr>
        <w:pStyle w:val="BodyText"/>
        <w:spacing w:line="247" w:lineRule="auto"/>
        <w:ind w:left="117" w:right="115"/>
        <w:jc w:val="both"/>
      </w:pPr>
      <w:r>
        <w:rPr>
          <w:color w:val="231F20"/>
        </w:rPr>
        <w:t>gadas” a servicios financieros poco accesibles y complejos, además de la descoordinación por el uso de tecnología y el cruce de pagos de subsidios o programas federales.</w:t>
      </w:r>
    </w:p>
    <w:p>
      <w:pPr>
        <w:pStyle w:val="BodyText"/>
        <w:spacing w:line="247" w:lineRule="auto"/>
        <w:ind w:left="117" w:right="114" w:firstLine="283"/>
        <w:jc w:val="both"/>
      </w:pPr>
      <w:r>
        <w:rPr>
          <w:color w:val="231F20"/>
        </w:rPr>
        <w:t>La reducción en la variación de las remesas (monetarias, en especie y sociales) determina una tendencia a la prolongación de los circuitos de la migración internacional donde la población HLI será cada vez más inte- grada como mano de obra y su entrada a los servicios financieros será con pautas y con altos costos.</w:t>
      </w:r>
    </w:p>
    <w:p>
      <w:pPr>
        <w:pStyle w:val="BodyText"/>
        <w:spacing w:line="247" w:lineRule="auto"/>
        <w:ind w:left="117" w:right="114" w:firstLine="283"/>
        <w:jc w:val="both"/>
      </w:pPr>
      <w:r>
        <w:rPr>
          <w:color w:val="231F20"/>
        </w:rPr>
        <w:t>En el caso de las poblaciones indígenas integradas a la migración in- ternacional, el éxito migratorio no sólo puede interpretarse gracias a las remesas sino como un factor de integración a patrones de consumo y con- diciones</w:t>
      </w:r>
      <w:r>
        <w:rPr>
          <w:color w:val="231F20"/>
          <w:spacing w:val="-11"/>
        </w:rPr>
        <w:t> </w:t>
      </w:r>
      <w:r>
        <w:rPr>
          <w:color w:val="231F20"/>
        </w:rPr>
        <w:t>sociales</w:t>
      </w:r>
      <w:r>
        <w:rPr>
          <w:color w:val="231F20"/>
          <w:spacing w:val="-10"/>
        </w:rPr>
        <w:t> </w:t>
      </w:r>
      <w:r>
        <w:rPr>
          <w:color w:val="231F20"/>
        </w:rPr>
        <w:t>distintas</w:t>
      </w:r>
      <w:r>
        <w:rPr>
          <w:color w:val="231F20"/>
          <w:spacing w:val="-11"/>
        </w:rPr>
        <w:t> </w:t>
      </w:r>
      <w:r>
        <w:rPr>
          <w:color w:val="231F20"/>
        </w:rPr>
        <w:t>a</w:t>
      </w:r>
      <w:r>
        <w:rPr>
          <w:color w:val="231F20"/>
          <w:spacing w:val="-11"/>
        </w:rPr>
        <w:t> </w:t>
      </w:r>
      <w:r>
        <w:rPr>
          <w:color w:val="231F20"/>
        </w:rPr>
        <w:t>las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población</w:t>
      </w:r>
      <w:r>
        <w:rPr>
          <w:color w:val="231F20"/>
          <w:spacing w:val="-11"/>
        </w:rPr>
        <w:t> </w:t>
      </w:r>
      <w:r>
        <w:rPr>
          <w:color w:val="231F20"/>
        </w:rPr>
        <w:t>en</w:t>
      </w:r>
      <w:r>
        <w:rPr>
          <w:color w:val="231F20"/>
          <w:spacing w:val="-11"/>
        </w:rPr>
        <w:t> </w:t>
      </w:r>
      <w:r>
        <w:rPr>
          <w:color w:val="231F20"/>
        </w:rPr>
        <w:t>general,</w:t>
      </w:r>
      <w:r>
        <w:rPr>
          <w:color w:val="231F20"/>
          <w:spacing w:val="-11"/>
        </w:rPr>
        <w:t> </w:t>
      </w:r>
      <w:r>
        <w:rPr>
          <w:color w:val="231F20"/>
        </w:rPr>
        <w:t>que</w:t>
      </w:r>
      <w:r>
        <w:rPr>
          <w:color w:val="231F20"/>
          <w:spacing w:val="-11"/>
        </w:rPr>
        <w:t> </w:t>
      </w:r>
      <w:r>
        <w:rPr>
          <w:color w:val="231F20"/>
        </w:rPr>
        <w:t>contribuyen a la continuidad del modelo de expulsión de población y de asimilación cultural.</w:t>
      </w:r>
    </w:p>
    <w:p>
      <w:pPr>
        <w:pStyle w:val="BodyText"/>
        <w:spacing w:line="247" w:lineRule="auto"/>
        <w:ind w:left="117" w:right="114" w:firstLine="283"/>
        <w:jc w:val="both"/>
      </w:pPr>
      <w:r>
        <w:rPr>
          <w:color w:val="231F20"/>
        </w:rPr>
        <w:t>Las remesas colectivas, comunitarias o sociales son posteriores a la creación del club de migrantes, con la intención de apoyar a las comuni- dades de origen, la transferencia motiva el contacto y de forma indirecta incrementa</w:t>
      </w:r>
      <w:r>
        <w:rPr>
          <w:color w:val="231F20"/>
          <w:spacing w:val="-6"/>
        </w:rPr>
        <w:t> </w:t>
      </w:r>
      <w:r>
        <w:rPr>
          <w:color w:val="231F20"/>
        </w:rPr>
        <w:t>el</w:t>
      </w:r>
      <w:r>
        <w:rPr>
          <w:color w:val="231F20"/>
          <w:spacing w:val="-6"/>
        </w:rPr>
        <w:t> </w:t>
      </w:r>
      <w:r>
        <w:rPr>
          <w:color w:val="231F20"/>
        </w:rPr>
        <w:t>papel</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remesa</w:t>
      </w:r>
      <w:r>
        <w:rPr>
          <w:color w:val="231F20"/>
          <w:spacing w:val="-6"/>
        </w:rPr>
        <w:t> </w:t>
      </w:r>
      <w:r>
        <w:rPr>
          <w:color w:val="231F20"/>
        </w:rPr>
        <w:t>o</w:t>
      </w:r>
      <w:r>
        <w:rPr>
          <w:color w:val="231F20"/>
          <w:spacing w:val="-6"/>
        </w:rPr>
        <w:t> </w:t>
      </w:r>
      <w:r>
        <w:rPr>
          <w:color w:val="231F20"/>
        </w:rPr>
        <w:t>su</w:t>
      </w:r>
      <w:r>
        <w:rPr>
          <w:color w:val="231F20"/>
          <w:spacing w:val="-6"/>
        </w:rPr>
        <w:t> </w:t>
      </w:r>
      <w:r>
        <w:rPr>
          <w:color w:val="231F20"/>
        </w:rPr>
        <w:t>futura</w:t>
      </w:r>
      <w:r>
        <w:rPr>
          <w:color w:val="231F20"/>
          <w:spacing w:val="-6"/>
        </w:rPr>
        <w:t> </w:t>
      </w:r>
      <w:r>
        <w:rPr>
          <w:color w:val="231F20"/>
        </w:rPr>
        <w:t>inversión.</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fundación</w:t>
      </w:r>
      <w:r>
        <w:rPr>
          <w:color w:val="231F20"/>
          <w:spacing w:val="-6"/>
        </w:rPr>
        <w:t> </w:t>
      </w:r>
      <w:r>
        <w:rPr>
          <w:color w:val="231F20"/>
        </w:rPr>
        <w:t>de las cooperativas de crédito se busca corregir una falla en el mercado y las razones también son la posibilidad de establecer relaciones económicas, generar nuevas fuentes de ingreso y prestar servicios dentro de la comu- nidad.</w:t>
      </w:r>
    </w:p>
    <w:p>
      <w:pPr>
        <w:pStyle w:val="BodyText"/>
        <w:spacing w:line="247" w:lineRule="auto"/>
        <w:ind w:left="117" w:right="115" w:firstLine="283"/>
        <w:jc w:val="both"/>
      </w:pPr>
      <w:r>
        <w:rPr>
          <w:color w:val="231F20"/>
        </w:rPr>
        <w:t>El</w:t>
      </w:r>
      <w:r>
        <w:rPr>
          <w:color w:val="231F20"/>
          <w:spacing w:val="-9"/>
        </w:rPr>
        <w:t> </w:t>
      </w:r>
      <w:r>
        <w:rPr>
          <w:color w:val="231F20"/>
        </w:rPr>
        <w:t>impacto</w:t>
      </w:r>
      <w:r>
        <w:rPr>
          <w:color w:val="231F20"/>
          <w:spacing w:val="-9"/>
        </w:rPr>
        <w:t> </w:t>
      </w:r>
      <w:r>
        <w:rPr>
          <w:color w:val="231F20"/>
        </w:rPr>
        <w:t>más</w:t>
      </w:r>
      <w:r>
        <w:rPr>
          <w:color w:val="231F20"/>
          <w:spacing w:val="-9"/>
        </w:rPr>
        <w:t> </w:t>
      </w:r>
      <w:r>
        <w:rPr>
          <w:color w:val="231F20"/>
        </w:rPr>
        <w:t>significativo</w:t>
      </w:r>
      <w:r>
        <w:rPr>
          <w:color w:val="231F20"/>
          <w:spacing w:val="-10"/>
        </w:rPr>
        <w:t> </w:t>
      </w:r>
      <w:r>
        <w:rPr>
          <w:color w:val="231F20"/>
        </w:rPr>
        <w:t>es</w:t>
      </w:r>
      <w:r>
        <w:rPr>
          <w:color w:val="231F20"/>
          <w:spacing w:val="-9"/>
        </w:rPr>
        <w:t> </w:t>
      </w:r>
      <w:r>
        <w:rPr>
          <w:color w:val="231F20"/>
        </w:rPr>
        <w:t>la</w:t>
      </w:r>
      <w:r>
        <w:rPr>
          <w:color w:val="231F20"/>
          <w:spacing w:val="-9"/>
        </w:rPr>
        <w:t> </w:t>
      </w:r>
      <w:r>
        <w:rPr>
          <w:color w:val="231F20"/>
        </w:rPr>
        <w:t>contratación</w:t>
      </w:r>
      <w:r>
        <w:rPr>
          <w:color w:val="231F20"/>
          <w:spacing w:val="-10"/>
        </w:rPr>
        <w:t> </w:t>
      </w:r>
      <w:r>
        <w:rPr>
          <w:color w:val="231F20"/>
        </w:rPr>
        <w:t>de</w:t>
      </w:r>
      <w:r>
        <w:rPr>
          <w:color w:val="231F20"/>
          <w:spacing w:val="-9"/>
        </w:rPr>
        <w:t> </w:t>
      </w:r>
      <w:r>
        <w:rPr>
          <w:color w:val="231F20"/>
        </w:rPr>
        <w:t>cuentas</w:t>
      </w:r>
      <w:r>
        <w:rPr>
          <w:color w:val="231F20"/>
          <w:spacing w:val="-9"/>
        </w:rPr>
        <w:t> </w:t>
      </w:r>
      <w:r>
        <w:rPr>
          <w:color w:val="231F20"/>
        </w:rPr>
        <w:t>de</w:t>
      </w:r>
      <w:r>
        <w:rPr>
          <w:color w:val="231F20"/>
          <w:spacing w:val="-9"/>
        </w:rPr>
        <w:t> </w:t>
      </w:r>
      <w:r>
        <w:rPr>
          <w:color w:val="231F20"/>
        </w:rPr>
        <w:t>depósito</w:t>
      </w:r>
      <w:r>
        <w:rPr>
          <w:color w:val="231F20"/>
          <w:spacing w:val="-9"/>
        </w:rPr>
        <w:t> </w:t>
      </w:r>
      <w:r>
        <w:rPr>
          <w:color w:val="231F20"/>
        </w:rPr>
        <w:t>y la integración de usuarios sin servicios bancarios al sistema financiero</w:t>
      </w:r>
      <w:r>
        <w:rPr>
          <w:color w:val="231F20"/>
          <w:spacing w:val="-32"/>
        </w:rPr>
        <w:t> </w:t>
      </w:r>
      <w:r>
        <w:rPr>
          <w:color w:val="231F20"/>
        </w:rPr>
        <w:t>(re- mitentes y receptores), lo cual no reduce el interés por costos decrecientes en el</w:t>
      </w:r>
      <w:r>
        <w:rPr>
          <w:color w:val="231F20"/>
          <w:spacing w:val="-1"/>
        </w:rPr>
        <w:t> </w:t>
      </w:r>
      <w:r>
        <w:rPr>
          <w:color w:val="231F20"/>
        </w:rPr>
        <w:t>mercado.</w:t>
      </w:r>
    </w:p>
    <w:p>
      <w:pPr>
        <w:pStyle w:val="Heading3"/>
        <w:spacing w:before="176"/>
      </w:pPr>
      <w:r>
        <w:rPr>
          <w:color w:val="231F20"/>
        </w:rPr>
        <w:t>Bibliografía</w:t>
      </w:r>
    </w:p>
    <w:p>
      <w:pPr>
        <w:spacing w:line="210" w:lineRule="exact" w:before="153"/>
        <w:ind w:left="117" w:right="115" w:firstLine="0"/>
        <w:jc w:val="both"/>
        <w:rPr>
          <w:sz w:val="20"/>
        </w:rPr>
      </w:pPr>
      <w:r>
        <w:rPr>
          <w:color w:val="231F20"/>
          <w:sz w:val="20"/>
        </w:rPr>
        <w:t>BANCO DE MÉXICO, 2008, </w:t>
      </w:r>
      <w:r>
        <w:rPr>
          <w:i/>
          <w:color w:val="231F20"/>
          <w:sz w:val="20"/>
        </w:rPr>
        <w:t>Balanza de pagos 2007</w:t>
      </w:r>
      <w:r>
        <w:rPr>
          <w:color w:val="231F20"/>
          <w:sz w:val="20"/>
        </w:rPr>
        <w:t>, comunicado de prensa, consultado en abril 2008 en </w:t>
      </w:r>
      <w:hyperlink r:id="rId218">
        <w:r>
          <w:rPr>
            <w:color w:val="231F20"/>
            <w:sz w:val="20"/>
          </w:rPr>
          <w:t>http://www.banxico.org.mx/documents/</w:t>
        </w:r>
      </w:hyperlink>
    </w:p>
    <w:p>
      <w:pPr>
        <w:spacing w:line="210" w:lineRule="exact" w:before="113"/>
        <w:ind w:left="117" w:right="115" w:firstLine="0"/>
        <w:jc w:val="both"/>
        <w:rPr>
          <w:sz w:val="20"/>
        </w:rPr>
      </w:pPr>
      <w:r>
        <w:rPr>
          <w:color w:val="231F20"/>
          <w:sz w:val="20"/>
        </w:rPr>
        <w:t>BANCO DE MÉXICO, 2010, </w:t>
      </w:r>
      <w:r>
        <w:rPr>
          <w:i/>
          <w:color w:val="231F20"/>
          <w:sz w:val="20"/>
        </w:rPr>
        <w:t>Remesas familiares</w:t>
      </w:r>
      <w:r>
        <w:rPr>
          <w:color w:val="231F20"/>
          <w:sz w:val="20"/>
        </w:rPr>
        <w:t>, hoja de información en http:// </w:t>
      </w:r>
      <w:hyperlink r:id="rId219">
        <w:r>
          <w:rPr>
            <w:color w:val="231F20"/>
            <w:sz w:val="20"/>
          </w:rPr>
          <w:t>www.banxico.org.mx/polmoneinflacion/estadisticas/balanzaPagos/balanzaPagos.</w:t>
        </w:r>
      </w:hyperlink>
      <w:r>
        <w:rPr>
          <w:color w:val="231F20"/>
          <w:sz w:val="20"/>
        </w:rPr>
        <w:t> html, consultado en abril, junio, agosto 2008; enero, abril, agosto 2009 y febrero 2010.</w:t>
      </w:r>
    </w:p>
    <w:p>
      <w:pPr>
        <w:spacing w:line="210" w:lineRule="exact" w:before="113"/>
        <w:ind w:left="117" w:right="115" w:firstLine="0"/>
        <w:jc w:val="both"/>
        <w:rPr>
          <w:sz w:val="20"/>
        </w:rPr>
      </w:pPr>
      <w:r>
        <w:rPr>
          <w:color w:val="231F20"/>
          <w:sz w:val="20"/>
        </w:rPr>
        <w:t>BANCO INTERAMERICANO DE DESARROLLO, s/f, </w:t>
      </w:r>
      <w:r>
        <w:rPr>
          <w:i/>
          <w:color w:val="231F20"/>
          <w:sz w:val="20"/>
        </w:rPr>
        <w:t>Las remesas como </w:t>
      </w:r>
      <w:r>
        <w:rPr>
          <w:i/>
          <w:color w:val="231F20"/>
          <w:sz w:val="20"/>
        </w:rPr>
        <w:t>instrumento de desarrollo</w:t>
      </w:r>
      <w:r>
        <w:rPr>
          <w:color w:val="231F20"/>
          <w:sz w:val="20"/>
        </w:rPr>
        <w:t>, fondo multilateral de inversiones, en </w:t>
      </w:r>
      <w:hyperlink r:id="rId220">
        <w:r>
          <w:rPr>
            <w:color w:val="231F20"/>
            <w:sz w:val="20"/>
          </w:rPr>
          <w:t>www.iadb.org,</w:t>
        </w:r>
      </w:hyperlink>
      <w:r>
        <w:rPr>
          <w:color w:val="231F20"/>
          <w:sz w:val="20"/>
        </w:rPr>
        <w:t> Washington DC</w:t>
      </w:r>
    </w:p>
    <w:p>
      <w:pPr>
        <w:spacing w:line="210" w:lineRule="exact" w:before="113"/>
        <w:ind w:left="117" w:right="115" w:firstLine="0"/>
        <w:jc w:val="both"/>
        <w:rPr>
          <w:sz w:val="20"/>
        </w:rPr>
      </w:pPr>
      <w:r>
        <w:rPr>
          <w:color w:val="231F20"/>
          <w:sz w:val="20"/>
        </w:rPr>
        <w:t>CANALES, A., 2008, “Las cifras sobre remesas en México. ¿Son creíbles?”, en revista </w:t>
      </w:r>
      <w:r>
        <w:rPr>
          <w:i/>
          <w:color w:val="231F20"/>
          <w:sz w:val="20"/>
        </w:rPr>
        <w:t>Migraciones Internacionales</w:t>
      </w:r>
      <w:r>
        <w:rPr>
          <w:color w:val="231F20"/>
          <w:sz w:val="20"/>
        </w:rPr>
        <w:t>, vol. 4, núm. 4, julio-diciembre, Colegio de la Frontera Norte, México.</w:t>
      </w:r>
    </w:p>
    <w:p>
      <w:pPr>
        <w:spacing w:after="0" w:line="210" w:lineRule="exact"/>
        <w:jc w:val="both"/>
        <w:rPr>
          <w:sz w:val="20"/>
        </w:rPr>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5"/>
        <w:rPr>
          <w:sz w:val="24"/>
        </w:rPr>
      </w:pPr>
    </w:p>
    <w:p>
      <w:pPr>
        <w:spacing w:line="210" w:lineRule="exact" w:before="0"/>
        <w:ind w:left="117" w:right="115" w:firstLine="0"/>
        <w:jc w:val="both"/>
        <w:rPr>
          <w:sz w:val="20"/>
        </w:rPr>
      </w:pPr>
      <w:r>
        <w:rPr>
          <w:color w:val="231F20"/>
          <w:sz w:val="20"/>
        </w:rPr>
        <w:t>CAÑAS, J. R. Coronado y </w:t>
      </w:r>
      <w:r>
        <w:rPr>
          <w:color w:val="231F20"/>
          <w:spacing w:val="-12"/>
          <w:sz w:val="20"/>
        </w:rPr>
        <w:t>P. </w:t>
      </w:r>
      <w:r>
        <w:rPr>
          <w:color w:val="231F20"/>
          <w:sz w:val="20"/>
        </w:rPr>
        <w:t>Orrenius, 2007, “Explaining the increase in remit- tances</w:t>
      </w:r>
      <w:r>
        <w:rPr>
          <w:color w:val="231F20"/>
          <w:spacing w:val="-11"/>
          <w:sz w:val="20"/>
        </w:rPr>
        <w:t> </w:t>
      </w:r>
      <w:r>
        <w:rPr>
          <w:color w:val="231F20"/>
          <w:sz w:val="20"/>
        </w:rPr>
        <w:t>to</w:t>
      </w:r>
      <w:r>
        <w:rPr>
          <w:color w:val="231F20"/>
          <w:spacing w:val="-11"/>
          <w:sz w:val="20"/>
        </w:rPr>
        <w:t> </w:t>
      </w:r>
      <w:r>
        <w:rPr>
          <w:color w:val="231F20"/>
          <w:sz w:val="20"/>
        </w:rPr>
        <w:t>Mexico”,</w:t>
      </w:r>
      <w:r>
        <w:rPr>
          <w:color w:val="231F20"/>
          <w:spacing w:val="-10"/>
          <w:sz w:val="20"/>
        </w:rPr>
        <w:t> </w:t>
      </w:r>
      <w:r>
        <w:rPr>
          <w:color w:val="231F20"/>
          <w:sz w:val="20"/>
        </w:rPr>
        <w:t>en</w:t>
      </w:r>
      <w:r>
        <w:rPr>
          <w:color w:val="231F20"/>
          <w:spacing w:val="-11"/>
          <w:sz w:val="20"/>
        </w:rPr>
        <w:t> </w:t>
      </w:r>
      <w:r>
        <w:rPr>
          <w:color w:val="231F20"/>
          <w:sz w:val="20"/>
        </w:rPr>
        <w:t>revista</w:t>
      </w:r>
      <w:r>
        <w:rPr>
          <w:color w:val="231F20"/>
          <w:spacing w:val="-10"/>
          <w:sz w:val="20"/>
        </w:rPr>
        <w:t> </w:t>
      </w:r>
      <w:r>
        <w:rPr>
          <w:i/>
          <w:color w:val="231F20"/>
          <w:sz w:val="20"/>
        </w:rPr>
        <w:t>Southwest</w:t>
      </w:r>
      <w:r>
        <w:rPr>
          <w:i/>
          <w:color w:val="231F20"/>
          <w:spacing w:val="-11"/>
          <w:sz w:val="20"/>
        </w:rPr>
        <w:t> </w:t>
      </w:r>
      <w:r>
        <w:rPr>
          <w:i/>
          <w:color w:val="231F20"/>
          <w:sz w:val="20"/>
        </w:rPr>
        <w:t>Economy</w:t>
      </w:r>
      <w:r>
        <w:rPr>
          <w:color w:val="231F20"/>
          <w:sz w:val="20"/>
        </w:rPr>
        <w:t>,</w:t>
      </w:r>
      <w:r>
        <w:rPr>
          <w:color w:val="231F20"/>
          <w:spacing w:val="-11"/>
          <w:sz w:val="20"/>
        </w:rPr>
        <w:t> </w:t>
      </w:r>
      <w:r>
        <w:rPr>
          <w:color w:val="231F20"/>
          <w:sz w:val="20"/>
        </w:rPr>
        <w:t>Federal</w:t>
      </w:r>
      <w:r>
        <w:rPr>
          <w:color w:val="231F20"/>
          <w:spacing w:val="-10"/>
          <w:sz w:val="20"/>
        </w:rPr>
        <w:t> </w:t>
      </w:r>
      <w:r>
        <w:rPr>
          <w:color w:val="231F20"/>
          <w:sz w:val="20"/>
        </w:rPr>
        <w:t>reserve</w:t>
      </w:r>
      <w:r>
        <w:rPr>
          <w:color w:val="231F20"/>
          <w:spacing w:val="-11"/>
          <w:sz w:val="20"/>
        </w:rPr>
        <w:t> </w:t>
      </w:r>
      <w:r>
        <w:rPr>
          <w:color w:val="231F20"/>
          <w:sz w:val="20"/>
        </w:rPr>
        <w:t>Bank</w:t>
      </w:r>
      <w:r>
        <w:rPr>
          <w:color w:val="231F20"/>
          <w:spacing w:val="-11"/>
          <w:sz w:val="20"/>
        </w:rPr>
        <w:t> </w:t>
      </w:r>
      <w:r>
        <w:rPr>
          <w:color w:val="231F20"/>
          <w:sz w:val="20"/>
        </w:rPr>
        <w:t>of</w:t>
      </w:r>
      <w:r>
        <w:rPr>
          <w:color w:val="231F20"/>
          <w:spacing w:val="-11"/>
          <w:sz w:val="20"/>
        </w:rPr>
        <w:t> </w:t>
      </w:r>
      <w:r>
        <w:rPr>
          <w:color w:val="231F20"/>
          <w:sz w:val="20"/>
        </w:rPr>
        <w:t>Dallas, julio-agosto.</w:t>
      </w:r>
    </w:p>
    <w:p>
      <w:pPr>
        <w:spacing w:line="210" w:lineRule="exact" w:before="113"/>
        <w:ind w:left="117" w:right="115" w:firstLine="0"/>
        <w:jc w:val="both"/>
        <w:rPr>
          <w:sz w:val="20"/>
        </w:rPr>
      </w:pPr>
      <w:r>
        <w:rPr>
          <w:color w:val="231F20"/>
          <w:sz w:val="20"/>
        </w:rPr>
        <w:t>CONAPO (Consejo Nacional de Población), 2000, </w:t>
      </w:r>
      <w:r>
        <w:rPr>
          <w:i/>
          <w:color w:val="231F20"/>
          <w:sz w:val="20"/>
        </w:rPr>
        <w:t>Índice de Intensidad </w:t>
      </w:r>
      <w:r>
        <w:rPr>
          <w:i/>
          <w:color w:val="231F20"/>
          <w:sz w:val="20"/>
        </w:rPr>
        <w:t>Migratoria</w:t>
      </w:r>
      <w:r>
        <w:rPr>
          <w:color w:val="231F20"/>
          <w:sz w:val="20"/>
        </w:rPr>
        <w:t>, México.</w:t>
      </w:r>
    </w:p>
    <w:p>
      <w:pPr>
        <w:spacing w:line="210" w:lineRule="exact" w:before="113"/>
        <w:ind w:left="117" w:right="115" w:firstLine="0"/>
        <w:jc w:val="both"/>
        <w:rPr>
          <w:sz w:val="20"/>
        </w:rPr>
      </w:pPr>
      <w:r>
        <w:rPr>
          <w:color w:val="231F20"/>
          <w:sz w:val="20"/>
        </w:rPr>
        <w:t>CONAPO (Consejo Nacional de Población), 2005, </w:t>
      </w:r>
      <w:r>
        <w:rPr>
          <w:i/>
          <w:color w:val="231F20"/>
          <w:sz w:val="20"/>
        </w:rPr>
        <w:t>Índice de Marginación</w:t>
      </w:r>
      <w:r>
        <w:rPr>
          <w:color w:val="231F20"/>
          <w:sz w:val="20"/>
        </w:rPr>
        <w:t>, Mé- xico.</w:t>
      </w:r>
    </w:p>
    <w:p>
      <w:pPr>
        <w:spacing w:line="210" w:lineRule="exact" w:before="113"/>
        <w:ind w:left="117" w:right="115" w:firstLine="0"/>
        <w:jc w:val="both"/>
        <w:rPr>
          <w:sz w:val="20"/>
        </w:rPr>
      </w:pPr>
      <w:r>
        <w:rPr>
          <w:color w:val="231F20"/>
          <w:sz w:val="20"/>
        </w:rPr>
        <w:t>CONAPO (Consejo Nacional de Población), 2008, “Monto de remesas familia- res anuales, 1990-2006”, en </w:t>
      </w:r>
      <w:hyperlink r:id="rId222">
        <w:r>
          <w:rPr>
            <w:color w:val="231F20"/>
            <w:sz w:val="20"/>
          </w:rPr>
          <w:t>http://www.conapo.gob.mx/mig_int/s2008/mate-</w:t>
        </w:r>
      </w:hyperlink>
      <w:r>
        <w:rPr>
          <w:color w:val="231F20"/>
          <w:sz w:val="20"/>
        </w:rPr>
        <w:t> rial/08_01_01.xls, consultado abril 2008.</w:t>
      </w:r>
    </w:p>
    <w:p>
      <w:pPr>
        <w:spacing w:line="210" w:lineRule="exact" w:before="113"/>
        <w:ind w:left="117" w:right="115" w:firstLine="0"/>
        <w:jc w:val="both"/>
        <w:rPr>
          <w:sz w:val="20"/>
        </w:rPr>
      </w:pPr>
      <w:r>
        <w:rPr>
          <w:color w:val="231F20"/>
          <w:sz w:val="20"/>
        </w:rPr>
        <w:t>GHOSH, B., 2006, </w:t>
      </w:r>
      <w:r>
        <w:rPr>
          <w:i/>
          <w:color w:val="231F20"/>
          <w:sz w:val="20"/>
        </w:rPr>
        <w:t>Migrants’ remittances and development: myths, rhetoric and </w:t>
      </w:r>
      <w:r>
        <w:rPr>
          <w:i/>
          <w:color w:val="231F20"/>
          <w:sz w:val="20"/>
        </w:rPr>
        <w:t>realities, </w:t>
      </w:r>
      <w:r>
        <w:rPr>
          <w:color w:val="231F20"/>
          <w:sz w:val="20"/>
        </w:rPr>
        <w:t>Organización Internacional para las Migraciones OIM, The Hague Pro- cess on Refugees and Migration, Guatemala.</w:t>
      </w:r>
    </w:p>
    <w:p>
      <w:pPr>
        <w:spacing w:line="210" w:lineRule="exact" w:before="113"/>
        <w:ind w:left="117" w:right="115" w:firstLine="0"/>
        <w:jc w:val="both"/>
        <w:rPr>
          <w:sz w:val="20"/>
        </w:rPr>
      </w:pPr>
      <w:r>
        <w:rPr>
          <w:color w:val="231F20"/>
          <w:sz w:val="20"/>
        </w:rPr>
        <w:t>GHOSH, Bimal, 2006, </w:t>
      </w:r>
      <w:r>
        <w:rPr>
          <w:i/>
          <w:color w:val="231F20"/>
          <w:sz w:val="20"/>
        </w:rPr>
        <w:t>Migrants’ remittances and development: myths, rhetoric </w:t>
      </w:r>
      <w:r>
        <w:rPr>
          <w:i/>
          <w:color w:val="231F20"/>
          <w:sz w:val="20"/>
        </w:rPr>
        <w:t>and realities; </w:t>
      </w:r>
      <w:r>
        <w:rPr>
          <w:color w:val="231F20"/>
          <w:sz w:val="20"/>
        </w:rPr>
        <w:t>Proceso de La Haya sobre Refugiados y Migración, es una publi- cación de la Organización Internacional para las Migraciones OIM, Guatemala. Ciudad de Guatemala. </w:t>
      </w:r>
      <w:hyperlink r:id="rId223">
        <w:r>
          <w:rPr>
            <w:color w:val="231F20"/>
            <w:sz w:val="20"/>
          </w:rPr>
          <w:t>http://www.oim.org.gt</w:t>
        </w:r>
      </w:hyperlink>
    </w:p>
    <w:p>
      <w:pPr>
        <w:spacing w:line="210" w:lineRule="exact" w:before="113"/>
        <w:ind w:left="117" w:right="115" w:firstLine="0"/>
        <w:jc w:val="both"/>
        <w:rPr>
          <w:sz w:val="20"/>
        </w:rPr>
      </w:pPr>
      <w:r>
        <w:rPr>
          <w:color w:val="231F20"/>
          <w:sz w:val="20"/>
        </w:rPr>
        <w:t>GRACE, D., 2004, “Análisis de la experiencia de las cooperativas de crédito con remesas</w:t>
      </w:r>
      <w:r>
        <w:rPr>
          <w:color w:val="231F20"/>
          <w:spacing w:val="-4"/>
          <w:sz w:val="20"/>
        </w:rPr>
        <w:t> </w:t>
      </w:r>
      <w:r>
        <w:rPr>
          <w:color w:val="231F20"/>
          <w:sz w:val="20"/>
        </w:rPr>
        <w:t>en</w:t>
      </w:r>
      <w:r>
        <w:rPr>
          <w:color w:val="231F20"/>
          <w:spacing w:val="-4"/>
          <w:sz w:val="20"/>
        </w:rPr>
        <w:t> </w:t>
      </w:r>
      <w:r>
        <w:rPr>
          <w:color w:val="231F20"/>
          <w:sz w:val="20"/>
        </w:rPr>
        <w:t>el</w:t>
      </w:r>
      <w:r>
        <w:rPr>
          <w:color w:val="231F20"/>
          <w:spacing w:val="-4"/>
          <w:sz w:val="20"/>
        </w:rPr>
        <w:t> </w:t>
      </w:r>
      <w:r>
        <w:rPr>
          <w:color w:val="231F20"/>
          <w:sz w:val="20"/>
        </w:rPr>
        <w:t>mercado</w:t>
      </w:r>
      <w:r>
        <w:rPr>
          <w:color w:val="231F20"/>
          <w:spacing w:val="-4"/>
          <w:sz w:val="20"/>
        </w:rPr>
        <w:t> </w:t>
      </w:r>
      <w:r>
        <w:rPr>
          <w:color w:val="231F20"/>
          <w:sz w:val="20"/>
        </w:rPr>
        <w:t>de</w:t>
      </w:r>
      <w:r>
        <w:rPr>
          <w:color w:val="231F20"/>
          <w:spacing w:val="-14"/>
          <w:sz w:val="20"/>
        </w:rPr>
        <w:t> </w:t>
      </w:r>
      <w:r>
        <w:rPr>
          <w:color w:val="231F20"/>
          <w:sz w:val="20"/>
        </w:rPr>
        <w:t>América</w:t>
      </w:r>
      <w:r>
        <w:rPr>
          <w:color w:val="231F20"/>
          <w:spacing w:val="-4"/>
          <w:sz w:val="20"/>
        </w:rPr>
        <w:t> </w:t>
      </w:r>
      <w:r>
        <w:rPr>
          <w:color w:val="231F20"/>
          <w:sz w:val="20"/>
        </w:rPr>
        <w:t>latina”,</w:t>
      </w:r>
      <w:r>
        <w:rPr>
          <w:color w:val="231F20"/>
          <w:spacing w:val="-4"/>
          <w:sz w:val="20"/>
        </w:rPr>
        <w:t> </w:t>
      </w:r>
      <w:r>
        <w:rPr>
          <w:color w:val="231F20"/>
          <w:sz w:val="20"/>
        </w:rPr>
        <w:t>en</w:t>
      </w:r>
      <w:r>
        <w:rPr>
          <w:color w:val="231F20"/>
          <w:spacing w:val="-4"/>
          <w:sz w:val="20"/>
        </w:rPr>
        <w:t> </w:t>
      </w:r>
      <w:r>
        <w:rPr>
          <w:color w:val="231F20"/>
          <w:sz w:val="20"/>
        </w:rPr>
        <w:t>S.</w:t>
      </w:r>
      <w:r>
        <w:rPr>
          <w:color w:val="231F20"/>
          <w:spacing w:val="-4"/>
          <w:sz w:val="20"/>
        </w:rPr>
        <w:t> </w:t>
      </w:r>
      <w:r>
        <w:rPr>
          <w:color w:val="231F20"/>
          <w:sz w:val="20"/>
        </w:rPr>
        <w:t>Munzele</w:t>
      </w:r>
      <w:r>
        <w:rPr>
          <w:color w:val="231F20"/>
          <w:spacing w:val="-4"/>
          <w:sz w:val="20"/>
        </w:rPr>
        <w:t> </w:t>
      </w:r>
      <w:r>
        <w:rPr>
          <w:color w:val="231F20"/>
          <w:sz w:val="20"/>
        </w:rPr>
        <w:t>D.</w:t>
      </w:r>
      <w:r>
        <w:rPr>
          <w:color w:val="231F20"/>
          <w:spacing w:val="-4"/>
          <w:sz w:val="20"/>
        </w:rPr>
        <w:t> </w:t>
      </w:r>
      <w:r>
        <w:rPr>
          <w:color w:val="231F20"/>
          <w:sz w:val="20"/>
        </w:rPr>
        <w:t>Ratha</w:t>
      </w:r>
      <w:r>
        <w:rPr>
          <w:color w:val="231F20"/>
          <w:spacing w:val="-4"/>
          <w:sz w:val="20"/>
        </w:rPr>
        <w:t> </w:t>
      </w:r>
      <w:r>
        <w:rPr>
          <w:color w:val="231F20"/>
          <w:sz w:val="20"/>
        </w:rPr>
        <w:t>(eds.),</w:t>
      </w:r>
      <w:r>
        <w:rPr>
          <w:color w:val="231F20"/>
          <w:spacing w:val="-4"/>
          <w:sz w:val="20"/>
        </w:rPr>
        <w:t> </w:t>
      </w:r>
      <w:r>
        <w:rPr>
          <w:i/>
          <w:color w:val="231F20"/>
          <w:sz w:val="20"/>
        </w:rPr>
        <w:t>Las</w:t>
      </w:r>
      <w:r>
        <w:rPr>
          <w:i/>
          <w:color w:val="231F20"/>
          <w:spacing w:val="-4"/>
          <w:sz w:val="20"/>
        </w:rPr>
        <w:t> </w:t>
      </w:r>
      <w:r>
        <w:rPr>
          <w:i/>
          <w:color w:val="231F20"/>
          <w:spacing w:val="-3"/>
          <w:sz w:val="20"/>
        </w:rPr>
        <w:t>re- </w:t>
      </w:r>
      <w:r>
        <w:rPr>
          <w:i/>
          <w:color w:val="231F20"/>
          <w:sz w:val="20"/>
        </w:rPr>
        <w:t>mesas</w:t>
      </w:r>
      <w:r>
        <w:rPr>
          <w:i/>
          <w:color w:val="231F20"/>
          <w:spacing w:val="-9"/>
          <w:sz w:val="20"/>
        </w:rPr>
        <w:t> </w:t>
      </w:r>
      <w:r>
        <w:rPr>
          <w:i/>
          <w:color w:val="231F20"/>
          <w:sz w:val="20"/>
        </w:rPr>
        <w:t>su</w:t>
      </w:r>
      <w:r>
        <w:rPr>
          <w:i/>
          <w:color w:val="231F20"/>
          <w:spacing w:val="-9"/>
          <w:sz w:val="20"/>
        </w:rPr>
        <w:t> </w:t>
      </w:r>
      <w:r>
        <w:rPr>
          <w:i/>
          <w:color w:val="231F20"/>
          <w:sz w:val="20"/>
        </w:rPr>
        <w:t>impacto</w:t>
      </w:r>
      <w:r>
        <w:rPr>
          <w:i/>
          <w:color w:val="231F20"/>
          <w:spacing w:val="-10"/>
          <w:sz w:val="20"/>
        </w:rPr>
        <w:t> </w:t>
      </w:r>
      <w:r>
        <w:rPr>
          <w:i/>
          <w:color w:val="231F20"/>
          <w:sz w:val="20"/>
        </w:rPr>
        <w:t>en</w:t>
      </w:r>
      <w:r>
        <w:rPr>
          <w:i/>
          <w:color w:val="231F20"/>
          <w:spacing w:val="-10"/>
          <w:sz w:val="20"/>
        </w:rPr>
        <w:t> </w:t>
      </w:r>
      <w:r>
        <w:rPr>
          <w:i/>
          <w:color w:val="231F20"/>
          <w:sz w:val="20"/>
        </w:rPr>
        <w:t>el</w:t>
      </w:r>
      <w:r>
        <w:rPr>
          <w:i/>
          <w:color w:val="231F20"/>
          <w:spacing w:val="-10"/>
          <w:sz w:val="20"/>
        </w:rPr>
        <w:t> </w:t>
      </w:r>
      <w:r>
        <w:rPr>
          <w:i/>
          <w:color w:val="231F20"/>
          <w:sz w:val="20"/>
        </w:rPr>
        <w:t>desarrollo</w:t>
      </w:r>
      <w:r>
        <w:rPr>
          <w:i/>
          <w:color w:val="231F20"/>
          <w:spacing w:val="-9"/>
          <w:sz w:val="20"/>
        </w:rPr>
        <w:t> </w:t>
      </w:r>
      <w:r>
        <w:rPr>
          <w:i/>
          <w:color w:val="231F20"/>
          <w:sz w:val="20"/>
        </w:rPr>
        <w:t>y</w:t>
      </w:r>
      <w:r>
        <w:rPr>
          <w:i/>
          <w:color w:val="231F20"/>
          <w:spacing w:val="-9"/>
          <w:sz w:val="20"/>
        </w:rPr>
        <w:t> </w:t>
      </w:r>
      <w:r>
        <w:rPr>
          <w:i/>
          <w:color w:val="231F20"/>
          <w:sz w:val="20"/>
        </w:rPr>
        <w:t>perspectivas</w:t>
      </w:r>
      <w:r>
        <w:rPr>
          <w:i/>
          <w:color w:val="231F20"/>
          <w:spacing w:val="-10"/>
          <w:sz w:val="20"/>
        </w:rPr>
        <w:t> </w:t>
      </w:r>
      <w:r>
        <w:rPr>
          <w:i/>
          <w:color w:val="231F20"/>
          <w:sz w:val="20"/>
        </w:rPr>
        <w:t>futuras</w:t>
      </w:r>
      <w:r>
        <w:rPr>
          <w:color w:val="231F20"/>
          <w:sz w:val="20"/>
        </w:rPr>
        <w:t>,</w:t>
      </w:r>
      <w:r>
        <w:rPr>
          <w:color w:val="231F20"/>
          <w:spacing w:val="-9"/>
          <w:sz w:val="20"/>
        </w:rPr>
        <w:t> </w:t>
      </w:r>
      <w:r>
        <w:rPr>
          <w:color w:val="231F20"/>
          <w:sz w:val="20"/>
        </w:rPr>
        <w:t>Banco</w:t>
      </w:r>
      <w:r>
        <w:rPr>
          <w:color w:val="231F20"/>
          <w:spacing w:val="-10"/>
          <w:sz w:val="20"/>
        </w:rPr>
        <w:t> </w:t>
      </w:r>
      <w:r>
        <w:rPr>
          <w:color w:val="231F20"/>
          <w:sz w:val="20"/>
        </w:rPr>
        <w:t>Mundial,</w:t>
      </w:r>
      <w:r>
        <w:rPr>
          <w:color w:val="231F20"/>
          <w:spacing w:val="-9"/>
          <w:sz w:val="20"/>
        </w:rPr>
        <w:t> </w:t>
      </w:r>
      <w:r>
        <w:rPr>
          <w:color w:val="231F20"/>
          <w:sz w:val="20"/>
        </w:rPr>
        <w:t>Mayolo ediciones</w:t>
      </w:r>
      <w:r>
        <w:rPr>
          <w:color w:val="231F20"/>
          <w:spacing w:val="-1"/>
          <w:sz w:val="20"/>
        </w:rPr>
        <w:t> </w:t>
      </w:r>
      <w:r>
        <w:rPr>
          <w:color w:val="231F20"/>
          <w:sz w:val="20"/>
        </w:rPr>
        <w:t>Colombia.</w:t>
      </w:r>
    </w:p>
    <w:p>
      <w:pPr>
        <w:spacing w:line="210" w:lineRule="exact" w:before="113"/>
        <w:ind w:left="117" w:right="115" w:firstLine="0"/>
        <w:jc w:val="both"/>
        <w:rPr>
          <w:sz w:val="20"/>
        </w:rPr>
      </w:pPr>
      <w:r>
        <w:rPr>
          <w:color w:val="231F20"/>
          <w:sz w:val="20"/>
        </w:rPr>
        <w:t>HERNÁNDEZ-COSS,</w:t>
      </w:r>
      <w:r>
        <w:rPr>
          <w:color w:val="231F20"/>
          <w:spacing w:val="-4"/>
          <w:sz w:val="20"/>
        </w:rPr>
        <w:t> </w:t>
      </w:r>
      <w:r>
        <w:rPr>
          <w:color w:val="231F20"/>
          <w:sz w:val="20"/>
        </w:rPr>
        <w:t>R.,</w:t>
      </w:r>
      <w:r>
        <w:rPr>
          <w:color w:val="231F20"/>
          <w:spacing w:val="-5"/>
          <w:sz w:val="20"/>
        </w:rPr>
        <w:t> </w:t>
      </w:r>
      <w:r>
        <w:rPr>
          <w:color w:val="231F20"/>
          <w:sz w:val="20"/>
        </w:rPr>
        <w:t>2004,</w:t>
      </w:r>
      <w:r>
        <w:rPr>
          <w:color w:val="231F20"/>
          <w:spacing w:val="-5"/>
          <w:sz w:val="20"/>
        </w:rPr>
        <w:t> </w:t>
      </w:r>
      <w:r>
        <w:rPr>
          <w:i/>
          <w:color w:val="231F20"/>
          <w:sz w:val="20"/>
        </w:rPr>
        <w:t>The</w:t>
      </w:r>
      <w:r>
        <w:rPr>
          <w:i/>
          <w:color w:val="231F20"/>
          <w:spacing w:val="-5"/>
          <w:sz w:val="20"/>
        </w:rPr>
        <w:t> </w:t>
      </w:r>
      <w:r>
        <w:rPr>
          <w:i/>
          <w:color w:val="231F20"/>
          <w:sz w:val="20"/>
        </w:rPr>
        <w:t>U.S.-Mexico</w:t>
      </w:r>
      <w:r>
        <w:rPr>
          <w:i/>
          <w:color w:val="231F20"/>
          <w:spacing w:val="-5"/>
          <w:sz w:val="20"/>
        </w:rPr>
        <w:t> </w:t>
      </w:r>
      <w:r>
        <w:rPr>
          <w:i/>
          <w:color w:val="231F20"/>
          <w:sz w:val="20"/>
        </w:rPr>
        <w:t>remittance</w:t>
      </w:r>
      <w:r>
        <w:rPr>
          <w:i/>
          <w:color w:val="231F20"/>
          <w:spacing w:val="-6"/>
          <w:sz w:val="20"/>
        </w:rPr>
        <w:t> </w:t>
      </w:r>
      <w:r>
        <w:rPr>
          <w:i/>
          <w:color w:val="231F20"/>
          <w:sz w:val="20"/>
        </w:rPr>
        <w:t>corridor</w:t>
      </w:r>
      <w:r>
        <w:rPr>
          <w:i/>
          <w:color w:val="231F20"/>
          <w:spacing w:val="-6"/>
          <w:sz w:val="20"/>
        </w:rPr>
        <w:t> </w:t>
      </w:r>
      <w:r>
        <w:rPr>
          <w:i/>
          <w:color w:val="231F20"/>
          <w:sz w:val="20"/>
        </w:rPr>
        <w:t>lessons</w:t>
      </w:r>
      <w:r>
        <w:rPr>
          <w:i/>
          <w:color w:val="231F20"/>
          <w:spacing w:val="-6"/>
          <w:sz w:val="20"/>
        </w:rPr>
        <w:t> </w:t>
      </w:r>
      <w:r>
        <w:rPr>
          <w:i/>
          <w:color w:val="231F20"/>
          <w:sz w:val="20"/>
        </w:rPr>
        <w:t>on </w:t>
      </w:r>
      <w:r>
        <w:rPr>
          <w:i/>
          <w:color w:val="231F20"/>
          <w:sz w:val="20"/>
        </w:rPr>
        <w:t>shifting from informal to formal transfer systems</w:t>
      </w:r>
      <w:r>
        <w:rPr>
          <w:color w:val="231F20"/>
          <w:sz w:val="20"/>
        </w:rPr>
        <w:t>, </w:t>
      </w:r>
      <w:r>
        <w:rPr>
          <w:color w:val="231F20"/>
          <w:spacing w:val="-4"/>
          <w:sz w:val="20"/>
        </w:rPr>
        <w:t>World </w:t>
      </w:r>
      <w:r>
        <w:rPr>
          <w:color w:val="231F20"/>
          <w:sz w:val="20"/>
        </w:rPr>
        <w:t>Bank </w:t>
      </w:r>
      <w:r>
        <w:rPr>
          <w:color w:val="231F20"/>
          <w:spacing w:val="-3"/>
          <w:sz w:val="20"/>
        </w:rPr>
        <w:t>Working </w:t>
      </w:r>
      <w:r>
        <w:rPr>
          <w:color w:val="231F20"/>
          <w:sz w:val="20"/>
        </w:rPr>
        <w:t>Paper 47. The </w:t>
      </w:r>
      <w:r>
        <w:rPr>
          <w:color w:val="231F20"/>
          <w:spacing w:val="-4"/>
          <w:sz w:val="20"/>
        </w:rPr>
        <w:t>World </w:t>
      </w:r>
      <w:r>
        <w:rPr>
          <w:color w:val="231F20"/>
          <w:sz w:val="20"/>
        </w:rPr>
        <w:t>Bank, The International Bank for Reconstruction and Development, United</w:t>
      </w:r>
      <w:r>
        <w:rPr>
          <w:color w:val="231F20"/>
          <w:spacing w:val="-8"/>
          <w:sz w:val="20"/>
        </w:rPr>
        <w:t> </w:t>
      </w:r>
      <w:r>
        <w:rPr>
          <w:color w:val="231F20"/>
          <w:sz w:val="20"/>
        </w:rPr>
        <w:t>States</w:t>
      </w:r>
      <w:r>
        <w:rPr>
          <w:color w:val="231F20"/>
          <w:spacing w:val="-8"/>
          <w:sz w:val="20"/>
        </w:rPr>
        <w:t> </w:t>
      </w:r>
      <w:r>
        <w:rPr>
          <w:color w:val="231F20"/>
          <w:sz w:val="20"/>
        </w:rPr>
        <w:t>of</w:t>
      </w:r>
      <w:r>
        <w:rPr>
          <w:color w:val="231F20"/>
          <w:spacing w:val="-18"/>
          <w:sz w:val="20"/>
        </w:rPr>
        <w:t> </w:t>
      </w:r>
      <w:r>
        <w:rPr>
          <w:color w:val="231F20"/>
          <w:sz w:val="20"/>
        </w:rPr>
        <w:t>America,</w:t>
      </w:r>
      <w:r>
        <w:rPr>
          <w:color w:val="231F20"/>
          <w:spacing w:val="-12"/>
          <w:sz w:val="20"/>
        </w:rPr>
        <w:t> </w:t>
      </w:r>
      <w:r>
        <w:rPr>
          <w:color w:val="231F20"/>
          <w:sz w:val="20"/>
        </w:rPr>
        <w:t>Washington,</w:t>
      </w:r>
      <w:r>
        <w:rPr>
          <w:color w:val="231F20"/>
          <w:spacing w:val="-9"/>
          <w:sz w:val="20"/>
        </w:rPr>
        <w:t> </w:t>
      </w:r>
      <w:r>
        <w:rPr>
          <w:color w:val="231F20"/>
          <w:sz w:val="20"/>
        </w:rPr>
        <w:t>D.C.</w:t>
      </w:r>
    </w:p>
    <w:p>
      <w:pPr>
        <w:spacing w:line="210" w:lineRule="exact" w:before="113"/>
        <w:ind w:left="117" w:right="115" w:firstLine="0"/>
        <w:jc w:val="both"/>
        <w:rPr>
          <w:sz w:val="20"/>
        </w:rPr>
      </w:pPr>
      <w:r>
        <w:rPr>
          <w:color w:val="231F20"/>
          <w:sz w:val="20"/>
        </w:rPr>
        <w:t>MENDOZA, J. y E. Díaz, 2008, “¿Son las remesas una fuente de ahorro o inver- sión en México? Un analisis regional del comportamiento de hogares”, en </w:t>
      </w:r>
      <w:r>
        <w:rPr>
          <w:i/>
          <w:color w:val="231F20"/>
          <w:sz w:val="20"/>
        </w:rPr>
        <w:t>Pape- </w:t>
      </w:r>
      <w:r>
        <w:rPr>
          <w:i/>
          <w:color w:val="231F20"/>
          <w:sz w:val="20"/>
        </w:rPr>
        <w:t>les de Población</w:t>
      </w:r>
      <w:r>
        <w:rPr>
          <w:color w:val="231F20"/>
          <w:sz w:val="20"/>
        </w:rPr>
        <w:t>, Centro de Investigación y Estudios Avanzados de la Población UAEM, año 14 núm. 56, abril- junio, México.</w:t>
      </w:r>
    </w:p>
    <w:p>
      <w:pPr>
        <w:spacing w:line="210" w:lineRule="exact" w:before="113"/>
        <w:ind w:left="117" w:right="115" w:firstLine="0"/>
        <w:jc w:val="both"/>
        <w:rPr>
          <w:sz w:val="20"/>
        </w:rPr>
      </w:pPr>
      <w:r>
        <w:rPr>
          <w:color w:val="231F20"/>
          <w:sz w:val="20"/>
        </w:rPr>
        <w:t>NAGARAJAN,</w:t>
      </w:r>
      <w:r>
        <w:rPr>
          <w:color w:val="231F20"/>
          <w:spacing w:val="-3"/>
          <w:sz w:val="20"/>
        </w:rPr>
        <w:t> </w:t>
      </w:r>
      <w:r>
        <w:rPr>
          <w:color w:val="231F20"/>
          <w:sz w:val="20"/>
        </w:rPr>
        <w:t>G.</w:t>
      </w:r>
      <w:r>
        <w:rPr>
          <w:color w:val="231F20"/>
          <w:spacing w:val="-3"/>
          <w:sz w:val="20"/>
        </w:rPr>
        <w:t> </w:t>
      </w:r>
      <w:r>
        <w:rPr>
          <w:color w:val="231F20"/>
          <w:sz w:val="20"/>
        </w:rPr>
        <w:t>y</w:t>
      </w:r>
      <w:r>
        <w:rPr>
          <w:color w:val="231F20"/>
          <w:spacing w:val="-3"/>
          <w:sz w:val="20"/>
        </w:rPr>
        <w:t> </w:t>
      </w:r>
      <w:r>
        <w:rPr>
          <w:color w:val="231F20"/>
          <w:sz w:val="20"/>
        </w:rPr>
        <w:t>L.</w:t>
      </w:r>
      <w:r>
        <w:rPr>
          <w:color w:val="231F20"/>
          <w:spacing w:val="-4"/>
          <w:sz w:val="20"/>
        </w:rPr>
        <w:t> </w:t>
      </w:r>
      <w:r>
        <w:rPr>
          <w:color w:val="231F20"/>
          <w:sz w:val="20"/>
        </w:rPr>
        <w:t>Richard,</w:t>
      </w:r>
      <w:r>
        <w:rPr>
          <w:color w:val="231F20"/>
          <w:spacing w:val="-3"/>
          <w:sz w:val="20"/>
        </w:rPr>
        <w:t> </w:t>
      </w:r>
      <w:r>
        <w:rPr>
          <w:color w:val="231F20"/>
          <w:sz w:val="20"/>
        </w:rPr>
        <w:t>2005,</w:t>
      </w:r>
      <w:r>
        <w:rPr>
          <w:color w:val="231F20"/>
          <w:spacing w:val="-4"/>
          <w:sz w:val="20"/>
        </w:rPr>
        <w:t> </w:t>
      </w:r>
      <w:r>
        <w:rPr>
          <w:i/>
          <w:color w:val="231F20"/>
          <w:sz w:val="20"/>
        </w:rPr>
        <w:t>Rural</w:t>
      </w:r>
      <w:r>
        <w:rPr>
          <w:i/>
          <w:color w:val="231F20"/>
          <w:spacing w:val="-4"/>
          <w:sz w:val="20"/>
        </w:rPr>
        <w:t> </w:t>
      </w:r>
      <w:r>
        <w:rPr>
          <w:i/>
          <w:color w:val="231F20"/>
          <w:sz w:val="20"/>
        </w:rPr>
        <w:t>finance:</w:t>
      </w:r>
      <w:r>
        <w:rPr>
          <w:i/>
          <w:color w:val="231F20"/>
          <w:spacing w:val="-4"/>
          <w:sz w:val="20"/>
        </w:rPr>
        <w:t> </w:t>
      </w:r>
      <w:r>
        <w:rPr>
          <w:i/>
          <w:color w:val="231F20"/>
          <w:sz w:val="20"/>
        </w:rPr>
        <w:t>recent</w:t>
      </w:r>
      <w:r>
        <w:rPr>
          <w:i/>
          <w:color w:val="231F20"/>
          <w:spacing w:val="-4"/>
          <w:sz w:val="20"/>
        </w:rPr>
        <w:t> </w:t>
      </w:r>
      <w:r>
        <w:rPr>
          <w:i/>
          <w:color w:val="231F20"/>
          <w:sz w:val="20"/>
        </w:rPr>
        <w:t>advances</w:t>
      </w:r>
      <w:r>
        <w:rPr>
          <w:i/>
          <w:color w:val="231F20"/>
          <w:spacing w:val="-4"/>
          <w:sz w:val="20"/>
        </w:rPr>
        <w:t> </w:t>
      </w:r>
      <w:r>
        <w:rPr>
          <w:i/>
          <w:color w:val="231F20"/>
          <w:sz w:val="20"/>
        </w:rPr>
        <w:t>and</w:t>
      </w:r>
      <w:r>
        <w:rPr>
          <w:i/>
          <w:color w:val="231F20"/>
          <w:spacing w:val="-3"/>
          <w:sz w:val="20"/>
        </w:rPr>
        <w:t> </w:t>
      </w:r>
      <w:r>
        <w:rPr>
          <w:i/>
          <w:color w:val="231F20"/>
          <w:sz w:val="20"/>
        </w:rPr>
        <w:t>emer- </w:t>
      </w:r>
      <w:r>
        <w:rPr>
          <w:i/>
          <w:color w:val="231F20"/>
          <w:sz w:val="20"/>
        </w:rPr>
        <w:t>ging</w:t>
      </w:r>
      <w:r>
        <w:rPr>
          <w:i/>
          <w:color w:val="231F20"/>
          <w:spacing w:val="-7"/>
          <w:sz w:val="20"/>
        </w:rPr>
        <w:t> </w:t>
      </w:r>
      <w:r>
        <w:rPr>
          <w:i/>
          <w:color w:val="231F20"/>
          <w:sz w:val="20"/>
        </w:rPr>
        <w:t>lessons,</w:t>
      </w:r>
      <w:r>
        <w:rPr>
          <w:i/>
          <w:color w:val="231F20"/>
          <w:spacing w:val="-7"/>
          <w:sz w:val="20"/>
        </w:rPr>
        <w:t> </w:t>
      </w:r>
      <w:r>
        <w:rPr>
          <w:i/>
          <w:color w:val="231F20"/>
          <w:sz w:val="20"/>
        </w:rPr>
        <w:t>debates,</w:t>
      </w:r>
      <w:r>
        <w:rPr>
          <w:i/>
          <w:color w:val="231F20"/>
          <w:spacing w:val="-7"/>
          <w:sz w:val="20"/>
        </w:rPr>
        <w:t> </w:t>
      </w:r>
      <w:r>
        <w:rPr>
          <w:i/>
          <w:color w:val="231F20"/>
          <w:sz w:val="20"/>
        </w:rPr>
        <w:t>and</w:t>
      </w:r>
      <w:r>
        <w:rPr>
          <w:i/>
          <w:color w:val="231F20"/>
          <w:spacing w:val="-7"/>
          <w:sz w:val="20"/>
        </w:rPr>
        <w:t> </w:t>
      </w:r>
      <w:r>
        <w:rPr>
          <w:i/>
          <w:color w:val="231F20"/>
          <w:sz w:val="20"/>
        </w:rPr>
        <w:t>opportunities,</w:t>
      </w:r>
      <w:r>
        <w:rPr>
          <w:i/>
          <w:color w:val="231F20"/>
          <w:spacing w:val="-7"/>
          <w:sz w:val="20"/>
        </w:rPr>
        <w:t> </w:t>
      </w:r>
      <w:r>
        <w:rPr>
          <w:color w:val="231F20"/>
          <w:sz w:val="20"/>
        </w:rPr>
        <w:t>Departamento</w:t>
      </w:r>
      <w:r>
        <w:rPr>
          <w:color w:val="231F20"/>
          <w:spacing w:val="-6"/>
          <w:sz w:val="20"/>
        </w:rPr>
        <w:t> </w:t>
      </w:r>
      <w:r>
        <w:rPr>
          <w:color w:val="231F20"/>
          <w:sz w:val="20"/>
        </w:rPr>
        <w:t>de</w:t>
      </w:r>
      <w:r>
        <w:rPr>
          <w:color w:val="231F20"/>
          <w:spacing w:val="-7"/>
          <w:sz w:val="20"/>
        </w:rPr>
        <w:t> </w:t>
      </w:r>
      <w:r>
        <w:rPr>
          <w:color w:val="231F20"/>
          <w:sz w:val="20"/>
        </w:rPr>
        <w:t>agricultura,</w:t>
      </w:r>
      <w:r>
        <w:rPr>
          <w:color w:val="231F20"/>
          <w:spacing w:val="-7"/>
          <w:sz w:val="20"/>
        </w:rPr>
        <w:t> </w:t>
      </w:r>
      <w:r>
        <w:rPr>
          <w:color w:val="231F20"/>
          <w:sz w:val="20"/>
        </w:rPr>
        <w:t>medio</w:t>
      </w:r>
      <w:r>
        <w:rPr>
          <w:color w:val="231F20"/>
          <w:spacing w:val="-7"/>
          <w:sz w:val="20"/>
        </w:rPr>
        <w:t> </w:t>
      </w:r>
      <w:r>
        <w:rPr>
          <w:color w:val="231F20"/>
          <w:sz w:val="20"/>
        </w:rPr>
        <w:t>am- biente y economía del desarrollo, Ohio State </w:t>
      </w:r>
      <w:r>
        <w:rPr>
          <w:color w:val="231F20"/>
          <w:spacing w:val="-3"/>
          <w:sz w:val="20"/>
        </w:rPr>
        <w:t>University, </w:t>
      </w:r>
      <w:r>
        <w:rPr>
          <w:color w:val="231F20"/>
          <w:sz w:val="20"/>
        </w:rPr>
        <w:t>Ohio.</w:t>
      </w:r>
    </w:p>
    <w:p>
      <w:pPr>
        <w:spacing w:line="210" w:lineRule="exact" w:before="113"/>
        <w:ind w:left="117" w:right="115" w:firstLine="0"/>
        <w:jc w:val="both"/>
        <w:rPr>
          <w:sz w:val="20"/>
        </w:rPr>
      </w:pPr>
      <w:r>
        <w:rPr>
          <w:color w:val="231F20"/>
          <w:sz w:val="20"/>
        </w:rPr>
        <w:t>OIT (Oficina Internacional del Trabajo), 2006, </w:t>
      </w:r>
      <w:r>
        <w:rPr>
          <w:i/>
          <w:color w:val="231F20"/>
          <w:sz w:val="20"/>
        </w:rPr>
        <w:t>Remesas de mexicanos en el exte- </w:t>
      </w:r>
      <w:r>
        <w:rPr>
          <w:i/>
          <w:color w:val="231F20"/>
          <w:sz w:val="20"/>
        </w:rPr>
        <w:t>rior y su vinculación con el desarrollo económico, social y cultural de sus comu- nidades de origen</w:t>
      </w:r>
      <w:r>
        <w:rPr>
          <w:color w:val="231F20"/>
          <w:sz w:val="20"/>
        </w:rPr>
        <w:t>, Estudios sobre migraciones internacionales 59, Programa de Migraciones Internacionales, Ginebra, Suiza.</w:t>
      </w:r>
    </w:p>
    <w:p>
      <w:pPr>
        <w:spacing w:line="210" w:lineRule="exact" w:before="113"/>
        <w:ind w:left="117" w:right="115" w:firstLine="0"/>
        <w:jc w:val="both"/>
        <w:rPr>
          <w:sz w:val="20"/>
        </w:rPr>
      </w:pPr>
      <w:r>
        <w:rPr>
          <w:color w:val="231F20"/>
          <w:sz w:val="20"/>
        </w:rPr>
        <w:t>PÉREZ </w:t>
      </w:r>
      <w:r>
        <w:rPr>
          <w:color w:val="231F20"/>
          <w:spacing w:val="-6"/>
          <w:sz w:val="20"/>
        </w:rPr>
        <w:t>ÁLVAREZ, </w:t>
      </w:r>
      <w:r>
        <w:rPr>
          <w:color w:val="231F20"/>
          <w:sz w:val="20"/>
        </w:rPr>
        <w:t>Akaki </w:t>
      </w:r>
      <w:r>
        <w:rPr>
          <w:color w:val="231F20"/>
          <w:spacing w:val="-8"/>
          <w:sz w:val="20"/>
        </w:rPr>
        <w:t>P., </w:t>
      </w:r>
      <w:r>
        <w:rPr>
          <w:color w:val="231F20"/>
          <w:sz w:val="20"/>
        </w:rPr>
        <w:t>2005, “Intermediación financiera y remesas en Mé- xico”, en </w:t>
      </w:r>
      <w:r>
        <w:rPr>
          <w:i/>
          <w:color w:val="231F20"/>
          <w:sz w:val="20"/>
        </w:rPr>
        <w:t>Migraciones Internacionales</w:t>
      </w:r>
      <w:r>
        <w:rPr>
          <w:color w:val="231F20"/>
          <w:sz w:val="20"/>
        </w:rPr>
        <w:t>, vol. 3 núm. 1, enero-junio, Colegio de la Frontera Norte, México.</w:t>
      </w:r>
    </w:p>
    <w:p>
      <w:pPr>
        <w:spacing w:line="220" w:lineRule="exact" w:before="94"/>
        <w:ind w:left="117" w:right="0" w:firstLine="0"/>
        <w:jc w:val="both"/>
        <w:rPr>
          <w:sz w:val="20"/>
        </w:rPr>
      </w:pPr>
      <w:r>
        <w:rPr>
          <w:color w:val="231F20"/>
          <w:sz w:val="20"/>
        </w:rPr>
        <w:t>PROCURADURÍA FEDERAL DEL CONSUMIDOR, 2008, “El mercado de re-</w:t>
      </w:r>
    </w:p>
    <w:p>
      <w:pPr>
        <w:spacing w:line="210" w:lineRule="exact" w:before="8"/>
        <w:ind w:left="117" w:right="115" w:firstLine="0"/>
        <w:jc w:val="both"/>
        <w:rPr>
          <w:sz w:val="20"/>
        </w:rPr>
      </w:pPr>
      <w:r>
        <w:rPr>
          <w:color w:val="231F20"/>
          <w:sz w:val="20"/>
        </w:rPr>
        <w:t>mesas”, en A. Segovia, Boletín económico </w:t>
      </w:r>
      <w:r>
        <w:rPr>
          <w:i/>
          <w:color w:val="231F20"/>
          <w:sz w:val="20"/>
        </w:rPr>
        <w:t>Brújula de compra</w:t>
      </w:r>
      <w:r>
        <w:rPr>
          <w:color w:val="231F20"/>
          <w:sz w:val="20"/>
        </w:rPr>
        <w:t>, en www.profeco. gob.mx, mayo.</w:t>
      </w:r>
    </w:p>
    <w:p>
      <w:pPr>
        <w:spacing w:after="0" w:line="210" w:lineRule="exact"/>
        <w:jc w:val="both"/>
        <w:rPr>
          <w:sz w:val="20"/>
        </w:rPr>
        <w:sectPr>
          <w:footerReference w:type="default" r:id="rId221"/>
          <w:pgSz w:w="9360" w:h="13040"/>
          <w:pgMar w:footer="496" w:header="0" w:top="800" w:bottom="680" w:left="1300" w:right="1300"/>
        </w:sectPr>
      </w:pPr>
    </w:p>
    <w:p>
      <w:pPr>
        <w:spacing w:before="45"/>
        <w:ind w:left="117" w:right="0" w:firstLine="343"/>
        <w:jc w:val="left"/>
        <w:rPr>
          <w:rFonts w:ascii="Arial" w:hAnsi="Arial"/>
          <w:sz w:val="20"/>
        </w:rPr>
      </w:pPr>
      <w:r>
        <w:rPr>
          <w:rFonts w:ascii="Arial" w:hAnsi="Arial"/>
          <w:color w:val="231F20"/>
          <w:w w:val="66"/>
          <w:sz w:val="20"/>
        </w:rPr>
        <w:t>Las</w:t>
      </w:r>
      <w:r>
        <w:rPr>
          <w:rFonts w:ascii="Arial" w:hAnsi="Arial"/>
          <w:color w:val="231F20"/>
          <w:spacing w:val="-1"/>
          <w:sz w:val="20"/>
        </w:rPr>
        <w:t> </w:t>
      </w:r>
      <w:r>
        <w:rPr>
          <w:rFonts w:ascii="Arial" w:hAnsi="Arial"/>
          <w:color w:val="231F20"/>
          <w:spacing w:val="-1"/>
          <w:w w:val="68"/>
          <w:sz w:val="20"/>
        </w:rPr>
        <w:t>remesa</w:t>
      </w:r>
      <w:r>
        <w:rPr>
          <w:rFonts w:ascii="Arial" w:hAnsi="Arial"/>
          <w:color w:val="231F20"/>
          <w:w w:val="68"/>
          <w:sz w:val="20"/>
        </w:rPr>
        <w:t>s</w:t>
      </w:r>
      <w:r>
        <w:rPr>
          <w:rFonts w:ascii="Arial" w:hAnsi="Arial"/>
          <w:color w:val="231F20"/>
          <w:sz w:val="20"/>
        </w:rPr>
        <w:t> </w:t>
      </w:r>
      <w:r>
        <w:rPr>
          <w:rFonts w:ascii="Arial" w:hAnsi="Arial"/>
          <w:color w:val="231F20"/>
          <w:w w:val="72"/>
          <w:sz w:val="20"/>
        </w:rPr>
        <w:t>indígenas</w:t>
      </w:r>
      <w:r>
        <w:rPr>
          <w:rFonts w:ascii="Arial" w:hAnsi="Arial"/>
          <w:color w:val="231F20"/>
          <w:spacing w:val="-1"/>
          <w:sz w:val="20"/>
        </w:rPr>
        <w:t> </w:t>
      </w:r>
      <w:r>
        <w:rPr>
          <w:rFonts w:ascii="Arial" w:hAnsi="Arial"/>
          <w:color w:val="231F20"/>
          <w:spacing w:val="-1"/>
          <w:w w:val="67"/>
          <w:sz w:val="20"/>
        </w:rPr>
        <w:t>com</w:t>
      </w:r>
      <w:r>
        <w:rPr>
          <w:rFonts w:ascii="Arial" w:hAnsi="Arial"/>
          <w:color w:val="231F20"/>
          <w:w w:val="67"/>
          <w:sz w:val="20"/>
        </w:rPr>
        <w:t>o</w:t>
      </w:r>
      <w:r>
        <w:rPr>
          <w:rFonts w:ascii="Arial" w:hAnsi="Arial"/>
          <w:color w:val="231F20"/>
          <w:spacing w:val="-1"/>
          <w:sz w:val="20"/>
        </w:rPr>
        <w:t> </w:t>
      </w:r>
      <w:r>
        <w:rPr>
          <w:rFonts w:ascii="Arial" w:hAnsi="Arial"/>
          <w:color w:val="231F20"/>
          <w:spacing w:val="-1"/>
          <w:w w:val="71"/>
          <w:sz w:val="20"/>
        </w:rPr>
        <w:t>complement</w:t>
      </w:r>
      <w:r>
        <w:rPr>
          <w:rFonts w:ascii="Arial" w:hAnsi="Arial"/>
          <w:color w:val="231F20"/>
          <w:w w:val="71"/>
          <w:sz w:val="20"/>
        </w:rPr>
        <w:t>o</w:t>
      </w:r>
      <w:r>
        <w:rPr>
          <w:rFonts w:ascii="Arial" w:hAnsi="Arial"/>
          <w:color w:val="231F20"/>
          <w:sz w:val="20"/>
        </w:rPr>
        <w:t> </w:t>
      </w:r>
      <w:r>
        <w:rPr>
          <w:rFonts w:ascii="Arial" w:hAnsi="Arial"/>
          <w:color w:val="231F20"/>
          <w:spacing w:val="-1"/>
          <w:w w:val="78"/>
          <w:sz w:val="20"/>
        </w:rPr>
        <w:t>a</w:t>
      </w:r>
      <w:r>
        <w:rPr>
          <w:rFonts w:ascii="Arial" w:hAnsi="Arial"/>
          <w:color w:val="231F20"/>
          <w:w w:val="78"/>
          <w:sz w:val="20"/>
        </w:rPr>
        <w:t>l</w:t>
      </w:r>
      <w:r>
        <w:rPr>
          <w:rFonts w:ascii="Arial" w:hAnsi="Arial"/>
          <w:color w:val="231F20"/>
          <w:spacing w:val="-1"/>
          <w:sz w:val="20"/>
        </w:rPr>
        <w:t> </w:t>
      </w:r>
      <w:r>
        <w:rPr>
          <w:rFonts w:ascii="Arial" w:hAnsi="Arial"/>
          <w:color w:val="231F20"/>
          <w:w w:val="73"/>
          <w:sz w:val="20"/>
        </w:rPr>
        <w:t>ingreso</w:t>
      </w:r>
      <w:r>
        <w:rPr>
          <w:rFonts w:ascii="Arial" w:hAnsi="Arial"/>
          <w:color w:val="231F20"/>
          <w:spacing w:val="-1"/>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67"/>
          <w:sz w:val="20"/>
        </w:rPr>
        <w:t>sus</w:t>
      </w:r>
      <w:r>
        <w:rPr>
          <w:rFonts w:ascii="Arial" w:hAnsi="Arial"/>
          <w:color w:val="231F20"/>
          <w:spacing w:val="-1"/>
          <w:sz w:val="20"/>
        </w:rPr>
        <w:t> </w:t>
      </w:r>
      <w:r>
        <w:rPr>
          <w:rFonts w:ascii="Arial" w:hAnsi="Arial"/>
          <w:color w:val="231F20"/>
          <w:w w:val="72"/>
          <w:sz w:val="20"/>
        </w:rPr>
        <w:t>mecanismos...</w:t>
      </w:r>
      <w:r>
        <w:rPr>
          <w:rFonts w:ascii="Arial" w:hAnsi="Arial"/>
          <w:color w:val="231F20"/>
          <w:spacing w:val="-1"/>
          <w:sz w:val="20"/>
        </w:rPr>
        <w:t> </w:t>
      </w:r>
      <w:r>
        <w:rPr>
          <w:rFonts w:ascii="Arial" w:hAnsi="Arial"/>
          <w:color w:val="231F20"/>
          <w:spacing w:val="-1"/>
          <w:w w:val="99"/>
          <w:sz w:val="20"/>
        </w:rPr>
        <w:t>/</w:t>
      </w:r>
      <w:r>
        <w:rPr>
          <w:rFonts w:ascii="Arial" w:hAnsi="Arial"/>
          <w:color w:val="231F20"/>
          <w:w w:val="47"/>
          <w:sz w:val="20"/>
        </w:rPr>
        <w:t>César</w:t>
      </w:r>
      <w:r>
        <w:rPr>
          <w:rFonts w:ascii="Arial" w:hAnsi="Arial"/>
          <w:color w:val="231F20"/>
          <w:spacing w:val="-17"/>
          <w:sz w:val="20"/>
        </w:rPr>
        <w:t> </w:t>
      </w:r>
      <w:r>
        <w:rPr>
          <w:rFonts w:ascii="Arial" w:hAnsi="Arial"/>
          <w:color w:val="231F20"/>
          <w:spacing w:val="-1"/>
          <w:w w:val="52"/>
          <w:sz w:val="20"/>
        </w:rPr>
        <w:t>Raú</w:t>
      </w:r>
      <w:r>
        <w:rPr>
          <w:rFonts w:ascii="Arial" w:hAnsi="Arial"/>
          <w:color w:val="231F20"/>
          <w:w w:val="52"/>
          <w:sz w:val="20"/>
        </w:rPr>
        <w:t>l</w:t>
      </w:r>
      <w:r>
        <w:rPr>
          <w:rFonts w:ascii="Arial" w:hAnsi="Arial"/>
          <w:color w:val="231F20"/>
          <w:spacing w:val="-17"/>
          <w:sz w:val="20"/>
        </w:rPr>
        <w:t> </w:t>
      </w:r>
      <w:r>
        <w:rPr>
          <w:rFonts w:ascii="Arial" w:hAnsi="Arial"/>
          <w:color w:val="231F20"/>
          <w:w w:val="52"/>
          <w:sz w:val="20"/>
        </w:rPr>
        <w:t>Pérez-Marcial</w:t>
      </w:r>
    </w:p>
    <w:p>
      <w:pPr>
        <w:pStyle w:val="BodyText"/>
        <w:rPr>
          <w:rFonts w:ascii="Arial"/>
          <w:sz w:val="20"/>
        </w:rPr>
      </w:pPr>
    </w:p>
    <w:p>
      <w:pPr>
        <w:spacing w:line="210" w:lineRule="exact" w:before="123"/>
        <w:ind w:left="117" w:right="115" w:firstLine="0"/>
        <w:jc w:val="both"/>
        <w:rPr>
          <w:sz w:val="20"/>
        </w:rPr>
      </w:pPr>
      <w:r>
        <w:rPr>
          <w:color w:val="231F20"/>
          <w:spacing w:val="-4"/>
          <w:sz w:val="20"/>
        </w:rPr>
        <w:t>RATHA, </w:t>
      </w:r>
      <w:r>
        <w:rPr>
          <w:color w:val="231F20"/>
          <w:sz w:val="20"/>
        </w:rPr>
        <w:t>D, S. Mohapatra, K. Vijayalakshmi y Z. Xu, 2007, “Tendencias de las remesas en 2007”, en </w:t>
      </w:r>
      <w:r>
        <w:rPr>
          <w:i/>
          <w:color w:val="231F20"/>
          <w:sz w:val="20"/>
        </w:rPr>
        <w:t>Migración y Desarrollo</w:t>
      </w:r>
      <w:r>
        <w:rPr>
          <w:color w:val="231F20"/>
          <w:sz w:val="20"/>
        </w:rPr>
        <w:t>, nota informativa núm. 3; Grupo de análisis de las perspectivas de desarrollo, Equipo sobre migración y</w:t>
      </w:r>
      <w:r>
        <w:rPr>
          <w:color w:val="231F20"/>
          <w:spacing w:val="-8"/>
          <w:sz w:val="20"/>
        </w:rPr>
        <w:t> </w:t>
      </w:r>
      <w:r>
        <w:rPr>
          <w:color w:val="231F20"/>
          <w:sz w:val="20"/>
        </w:rPr>
        <w:t>remesas.</w:t>
      </w:r>
    </w:p>
    <w:p>
      <w:pPr>
        <w:spacing w:line="210" w:lineRule="exact" w:before="113"/>
        <w:ind w:left="117" w:right="115" w:firstLine="0"/>
        <w:jc w:val="both"/>
        <w:rPr>
          <w:sz w:val="20"/>
        </w:rPr>
      </w:pPr>
      <w:r>
        <w:rPr>
          <w:color w:val="231F20"/>
          <w:sz w:val="20"/>
        </w:rPr>
        <w:t>RATHA, D., 2005, “Las remesas de los trabajadores: fuente importante y estable de financiamiento externo para el desarrollo” en S. Munzele D. Ratha (eds.), </w:t>
      </w:r>
      <w:r>
        <w:rPr>
          <w:i/>
          <w:color w:val="231F20"/>
          <w:sz w:val="20"/>
        </w:rPr>
        <w:t>Las </w:t>
      </w:r>
      <w:r>
        <w:rPr>
          <w:i/>
          <w:color w:val="231F20"/>
          <w:sz w:val="20"/>
        </w:rPr>
        <w:t>remesas su impacto en el desarrollo y perspectivas futuras</w:t>
      </w:r>
      <w:r>
        <w:rPr>
          <w:color w:val="231F20"/>
          <w:sz w:val="20"/>
        </w:rPr>
        <w:t>, Banco Mundial Ma- yolo ediciones Colombia.</w:t>
      </w:r>
    </w:p>
    <w:p>
      <w:pPr>
        <w:spacing w:line="210" w:lineRule="exact" w:before="113"/>
        <w:ind w:left="117" w:right="115" w:firstLine="0"/>
        <w:jc w:val="both"/>
        <w:rPr>
          <w:sz w:val="20"/>
        </w:rPr>
      </w:pPr>
      <w:r>
        <w:rPr>
          <w:color w:val="231F20"/>
          <w:spacing w:val="-4"/>
          <w:sz w:val="20"/>
        </w:rPr>
        <w:t>RATHA, </w:t>
      </w:r>
      <w:r>
        <w:rPr>
          <w:color w:val="231F20"/>
          <w:sz w:val="20"/>
        </w:rPr>
        <w:t>D. S. Mohapatra y Z. Xu, 2008, “Outlook for remittance flows 2008- 2010:</w:t>
      </w:r>
      <w:r>
        <w:rPr>
          <w:color w:val="231F20"/>
          <w:spacing w:val="-10"/>
          <w:sz w:val="20"/>
        </w:rPr>
        <w:t> </w:t>
      </w:r>
      <w:r>
        <w:rPr>
          <w:color w:val="231F20"/>
          <w:sz w:val="20"/>
        </w:rPr>
        <w:t>growth</w:t>
      </w:r>
      <w:r>
        <w:rPr>
          <w:color w:val="231F20"/>
          <w:spacing w:val="-10"/>
          <w:sz w:val="20"/>
        </w:rPr>
        <w:t> </w:t>
      </w:r>
      <w:r>
        <w:rPr>
          <w:color w:val="231F20"/>
          <w:sz w:val="20"/>
        </w:rPr>
        <w:t>expected</w:t>
      </w:r>
      <w:r>
        <w:rPr>
          <w:color w:val="231F20"/>
          <w:spacing w:val="-10"/>
          <w:sz w:val="20"/>
        </w:rPr>
        <w:t> </w:t>
      </w:r>
      <w:r>
        <w:rPr>
          <w:color w:val="231F20"/>
          <w:sz w:val="20"/>
        </w:rPr>
        <w:t>to</w:t>
      </w:r>
      <w:r>
        <w:rPr>
          <w:color w:val="231F20"/>
          <w:spacing w:val="-10"/>
          <w:sz w:val="20"/>
        </w:rPr>
        <w:t> </w:t>
      </w:r>
      <w:r>
        <w:rPr>
          <w:color w:val="231F20"/>
          <w:sz w:val="20"/>
        </w:rPr>
        <w:t>moderate</w:t>
      </w:r>
      <w:r>
        <w:rPr>
          <w:color w:val="231F20"/>
          <w:spacing w:val="-10"/>
          <w:sz w:val="20"/>
        </w:rPr>
        <w:t> </w:t>
      </w:r>
      <w:r>
        <w:rPr>
          <w:color w:val="231F20"/>
          <w:sz w:val="20"/>
        </w:rPr>
        <w:t>significantly,</w:t>
      </w:r>
      <w:r>
        <w:rPr>
          <w:color w:val="231F20"/>
          <w:spacing w:val="-10"/>
          <w:sz w:val="20"/>
        </w:rPr>
        <w:t> </w:t>
      </w:r>
      <w:r>
        <w:rPr>
          <w:color w:val="231F20"/>
          <w:sz w:val="20"/>
        </w:rPr>
        <w:t>but</w:t>
      </w:r>
      <w:r>
        <w:rPr>
          <w:color w:val="231F20"/>
          <w:spacing w:val="-10"/>
          <w:sz w:val="20"/>
        </w:rPr>
        <w:t> </w:t>
      </w:r>
      <w:r>
        <w:rPr>
          <w:color w:val="231F20"/>
          <w:sz w:val="20"/>
        </w:rPr>
        <w:t>flows</w:t>
      </w:r>
      <w:r>
        <w:rPr>
          <w:color w:val="231F20"/>
          <w:spacing w:val="-10"/>
          <w:sz w:val="20"/>
        </w:rPr>
        <w:t> </w:t>
      </w:r>
      <w:r>
        <w:rPr>
          <w:color w:val="231F20"/>
          <w:sz w:val="20"/>
        </w:rPr>
        <w:t>to</w:t>
      </w:r>
      <w:r>
        <w:rPr>
          <w:color w:val="231F20"/>
          <w:spacing w:val="-10"/>
          <w:sz w:val="20"/>
        </w:rPr>
        <w:t> </w:t>
      </w:r>
      <w:r>
        <w:rPr>
          <w:color w:val="231F20"/>
          <w:sz w:val="20"/>
        </w:rPr>
        <w:t>remain</w:t>
      </w:r>
      <w:r>
        <w:rPr>
          <w:color w:val="231F20"/>
          <w:spacing w:val="-10"/>
          <w:sz w:val="20"/>
        </w:rPr>
        <w:t> </w:t>
      </w:r>
      <w:r>
        <w:rPr>
          <w:color w:val="231F20"/>
          <w:sz w:val="20"/>
        </w:rPr>
        <w:t>resilient”,</w:t>
      </w:r>
      <w:r>
        <w:rPr>
          <w:color w:val="231F20"/>
          <w:spacing w:val="-10"/>
          <w:sz w:val="20"/>
        </w:rPr>
        <w:t> </w:t>
      </w:r>
      <w:r>
        <w:rPr>
          <w:color w:val="231F20"/>
          <w:sz w:val="20"/>
        </w:rPr>
        <w:t>en </w:t>
      </w:r>
      <w:r>
        <w:rPr>
          <w:i/>
          <w:color w:val="231F20"/>
          <w:sz w:val="20"/>
        </w:rPr>
        <w:t>Migration and Development Brief </w:t>
      </w:r>
      <w:r>
        <w:rPr>
          <w:color w:val="231F20"/>
          <w:sz w:val="20"/>
        </w:rPr>
        <w:t>8, Migration and Remittances </w:t>
      </w:r>
      <w:r>
        <w:rPr>
          <w:color w:val="231F20"/>
          <w:spacing w:val="-3"/>
          <w:sz w:val="20"/>
        </w:rPr>
        <w:t>Team, </w:t>
      </w:r>
      <w:r>
        <w:rPr>
          <w:color w:val="231F20"/>
          <w:sz w:val="20"/>
        </w:rPr>
        <w:t>Develop- ment Prospects Group, </w:t>
      </w:r>
      <w:r>
        <w:rPr>
          <w:color w:val="231F20"/>
          <w:spacing w:val="-4"/>
          <w:sz w:val="20"/>
        </w:rPr>
        <w:t>World</w:t>
      </w:r>
      <w:r>
        <w:rPr>
          <w:color w:val="231F20"/>
          <w:spacing w:val="-14"/>
          <w:sz w:val="20"/>
        </w:rPr>
        <w:t> </w:t>
      </w:r>
      <w:r>
        <w:rPr>
          <w:color w:val="231F20"/>
          <w:sz w:val="20"/>
        </w:rPr>
        <w:t>Bank.</w:t>
      </w:r>
    </w:p>
    <w:p>
      <w:pPr>
        <w:spacing w:line="210" w:lineRule="exact" w:before="113"/>
        <w:ind w:left="117" w:right="114" w:firstLine="0"/>
        <w:jc w:val="both"/>
        <w:rPr>
          <w:sz w:val="20"/>
        </w:rPr>
      </w:pPr>
      <w:r>
        <w:rPr>
          <w:color w:val="231F20"/>
          <w:sz w:val="20"/>
        </w:rPr>
        <w:t>TAYLOR, J., 2004, “Remittances, savings and development in migrant-sending areas”, en D. Massey y J. Taylor, </w:t>
      </w:r>
      <w:r>
        <w:rPr>
          <w:i/>
          <w:color w:val="231F20"/>
          <w:sz w:val="20"/>
        </w:rPr>
        <w:t>International migration prospects and policies </w:t>
      </w:r>
      <w:r>
        <w:rPr>
          <w:i/>
          <w:color w:val="231F20"/>
          <w:sz w:val="20"/>
        </w:rPr>
        <w:t>in a global market</w:t>
      </w:r>
      <w:r>
        <w:rPr>
          <w:color w:val="231F20"/>
          <w:sz w:val="20"/>
        </w:rPr>
        <w:t>, Oxford University Press.</w:t>
      </w:r>
    </w:p>
    <w:p>
      <w:pPr>
        <w:spacing w:line="210" w:lineRule="exact" w:before="113"/>
        <w:ind w:left="117" w:right="115" w:firstLine="0"/>
        <w:jc w:val="both"/>
        <w:rPr>
          <w:sz w:val="20"/>
        </w:rPr>
      </w:pPr>
      <w:r>
        <w:rPr>
          <w:color w:val="231F20"/>
          <w:sz w:val="20"/>
        </w:rPr>
        <w:t>TUIRÁN, R., J. Santibañez y R. Corono, 2006, “Monto de las remesas familiares en</w:t>
      </w:r>
      <w:r>
        <w:rPr>
          <w:color w:val="231F20"/>
          <w:spacing w:val="-11"/>
          <w:sz w:val="20"/>
        </w:rPr>
        <w:t> </w:t>
      </w:r>
      <w:r>
        <w:rPr>
          <w:color w:val="231F20"/>
          <w:sz w:val="20"/>
        </w:rPr>
        <w:t>México”,</w:t>
      </w:r>
      <w:r>
        <w:rPr>
          <w:color w:val="231F20"/>
          <w:spacing w:val="-10"/>
          <w:sz w:val="20"/>
        </w:rPr>
        <w:t> </w:t>
      </w:r>
      <w:r>
        <w:rPr>
          <w:color w:val="231F20"/>
          <w:sz w:val="20"/>
        </w:rPr>
        <w:t>en</w:t>
      </w:r>
      <w:r>
        <w:rPr>
          <w:color w:val="231F20"/>
          <w:spacing w:val="-11"/>
          <w:sz w:val="20"/>
        </w:rPr>
        <w:t> </w:t>
      </w:r>
      <w:r>
        <w:rPr>
          <w:i/>
          <w:color w:val="231F20"/>
          <w:sz w:val="20"/>
        </w:rPr>
        <w:t>Papeles</w:t>
      </w:r>
      <w:r>
        <w:rPr>
          <w:i/>
          <w:color w:val="231F20"/>
          <w:spacing w:val="-11"/>
          <w:sz w:val="20"/>
        </w:rPr>
        <w:t> </w:t>
      </w:r>
      <w:r>
        <w:rPr>
          <w:i/>
          <w:color w:val="231F20"/>
          <w:sz w:val="20"/>
        </w:rPr>
        <w:t>de</w:t>
      </w:r>
      <w:r>
        <w:rPr>
          <w:i/>
          <w:color w:val="231F20"/>
          <w:spacing w:val="-11"/>
          <w:sz w:val="20"/>
        </w:rPr>
        <w:t> </w:t>
      </w:r>
      <w:r>
        <w:rPr>
          <w:i/>
          <w:color w:val="231F20"/>
          <w:sz w:val="20"/>
        </w:rPr>
        <w:t>Población</w:t>
      </w:r>
      <w:r>
        <w:rPr>
          <w:color w:val="231F20"/>
          <w:sz w:val="20"/>
        </w:rPr>
        <w:t>,</w:t>
      </w:r>
      <w:r>
        <w:rPr>
          <w:color w:val="231F20"/>
          <w:spacing w:val="-11"/>
          <w:sz w:val="20"/>
        </w:rPr>
        <w:t> </w:t>
      </w:r>
      <w:r>
        <w:rPr>
          <w:color w:val="231F20"/>
          <w:sz w:val="20"/>
        </w:rPr>
        <w:t>Centro</w:t>
      </w:r>
      <w:r>
        <w:rPr>
          <w:color w:val="231F20"/>
          <w:spacing w:val="-11"/>
          <w:sz w:val="20"/>
        </w:rPr>
        <w:t> </w:t>
      </w:r>
      <w:r>
        <w:rPr>
          <w:color w:val="231F20"/>
          <w:sz w:val="20"/>
        </w:rPr>
        <w:t>de</w:t>
      </w:r>
      <w:r>
        <w:rPr>
          <w:color w:val="231F20"/>
          <w:spacing w:val="-11"/>
          <w:sz w:val="20"/>
        </w:rPr>
        <w:t> </w:t>
      </w:r>
      <w:r>
        <w:rPr>
          <w:color w:val="231F20"/>
          <w:sz w:val="20"/>
        </w:rPr>
        <w:t>Investigación</w:t>
      </w:r>
      <w:r>
        <w:rPr>
          <w:color w:val="231F20"/>
          <w:spacing w:val="-11"/>
          <w:sz w:val="20"/>
        </w:rPr>
        <w:t> </w:t>
      </w:r>
      <w:r>
        <w:rPr>
          <w:color w:val="231F20"/>
          <w:sz w:val="20"/>
        </w:rPr>
        <w:t>y</w:t>
      </w:r>
      <w:r>
        <w:rPr>
          <w:color w:val="231F20"/>
          <w:spacing w:val="-11"/>
          <w:sz w:val="20"/>
        </w:rPr>
        <w:t> </w:t>
      </w:r>
      <w:r>
        <w:rPr>
          <w:color w:val="231F20"/>
          <w:sz w:val="20"/>
        </w:rPr>
        <w:t>Estudios</w:t>
      </w:r>
      <w:r>
        <w:rPr>
          <w:color w:val="231F20"/>
          <w:spacing w:val="-22"/>
          <w:sz w:val="20"/>
        </w:rPr>
        <w:t> </w:t>
      </w:r>
      <w:r>
        <w:rPr>
          <w:color w:val="231F20"/>
          <w:spacing w:val="-3"/>
          <w:sz w:val="20"/>
        </w:rPr>
        <w:t>Avanza- </w:t>
      </w:r>
      <w:r>
        <w:rPr>
          <w:color w:val="231F20"/>
          <w:sz w:val="20"/>
        </w:rPr>
        <w:t>dos de la Población UAEM, año 12, núm. 50, octubre diciembre,</w:t>
      </w:r>
      <w:r>
        <w:rPr>
          <w:color w:val="231F20"/>
          <w:spacing w:val="-23"/>
          <w:sz w:val="20"/>
        </w:rPr>
        <w:t> </w:t>
      </w:r>
      <w:r>
        <w:rPr>
          <w:color w:val="231F20"/>
          <w:sz w:val="20"/>
        </w:rPr>
        <w:t>México.</w:t>
      </w:r>
    </w:p>
    <w:p>
      <w:pPr>
        <w:pStyle w:val="BodyText"/>
        <w:rPr>
          <w:sz w:val="20"/>
        </w:rPr>
      </w:pPr>
    </w:p>
    <w:p>
      <w:pPr>
        <w:pStyle w:val="BodyText"/>
        <w:rPr>
          <w:sz w:val="20"/>
        </w:rPr>
      </w:pPr>
    </w:p>
    <w:p>
      <w:pPr>
        <w:spacing w:before="159"/>
        <w:ind w:left="117" w:right="0" w:firstLine="0"/>
        <w:jc w:val="both"/>
        <w:rPr>
          <w:i/>
          <w:sz w:val="22"/>
        </w:rPr>
      </w:pPr>
      <w:r>
        <w:rPr>
          <w:i/>
          <w:color w:val="231F20"/>
          <w:sz w:val="22"/>
        </w:rPr>
        <w:t>César Raúl Pérez-Marcial</w:t>
      </w:r>
    </w:p>
    <w:p>
      <w:pPr>
        <w:pStyle w:val="BodyText"/>
        <w:spacing w:before="2"/>
        <w:rPr>
          <w:i/>
          <w:sz w:val="23"/>
        </w:rPr>
      </w:pPr>
    </w:p>
    <w:p>
      <w:pPr>
        <w:spacing w:line="247" w:lineRule="auto" w:before="0"/>
        <w:ind w:left="117" w:right="115" w:firstLine="0"/>
        <w:jc w:val="both"/>
        <w:rPr>
          <w:sz w:val="22"/>
        </w:rPr>
      </w:pPr>
      <w:r>
        <w:rPr>
          <w:color w:val="231F20"/>
          <w:sz w:val="22"/>
        </w:rPr>
        <w:t>Doctor en Economía por la Universidad Nacional Autónoma de México (UNAM). Imparte cursos de Estadística y Geografía de la población en   la UNAM y es profesor investigador en El Colegio del Estado de Hidal- go de las asignaturas Economía urbana, </w:t>
      </w:r>
      <w:r>
        <w:rPr>
          <w:color w:val="231F20"/>
          <w:spacing w:val="-3"/>
          <w:sz w:val="22"/>
        </w:rPr>
        <w:t>Teorías </w:t>
      </w:r>
      <w:r>
        <w:rPr>
          <w:color w:val="231F20"/>
          <w:sz w:val="22"/>
        </w:rPr>
        <w:t>del desarrollo regional y Desarrollo urbano sustentable. Entre sus últimas publicaciones se encuen- tran</w:t>
      </w:r>
      <w:r>
        <w:rPr>
          <w:color w:val="231F20"/>
          <w:spacing w:val="-14"/>
          <w:sz w:val="22"/>
        </w:rPr>
        <w:t> </w:t>
      </w:r>
      <w:r>
        <w:rPr>
          <w:i/>
          <w:color w:val="231F20"/>
          <w:sz w:val="22"/>
        </w:rPr>
        <w:t>Sector</w:t>
      </w:r>
      <w:r>
        <w:rPr>
          <w:i/>
          <w:color w:val="231F20"/>
          <w:spacing w:val="-14"/>
          <w:sz w:val="22"/>
        </w:rPr>
        <w:t> </w:t>
      </w:r>
      <w:r>
        <w:rPr>
          <w:i/>
          <w:color w:val="231F20"/>
          <w:sz w:val="22"/>
        </w:rPr>
        <w:t>microfinanciero</w:t>
      </w:r>
      <w:r>
        <w:rPr>
          <w:i/>
          <w:color w:val="231F20"/>
          <w:spacing w:val="-14"/>
          <w:sz w:val="22"/>
        </w:rPr>
        <w:t> </w:t>
      </w:r>
      <w:r>
        <w:rPr>
          <w:i/>
          <w:color w:val="231F20"/>
          <w:sz w:val="22"/>
        </w:rPr>
        <w:t>y</w:t>
      </w:r>
      <w:r>
        <w:rPr>
          <w:i/>
          <w:color w:val="231F20"/>
          <w:spacing w:val="-14"/>
          <w:sz w:val="22"/>
        </w:rPr>
        <w:t> </w:t>
      </w:r>
      <w:r>
        <w:rPr>
          <w:i/>
          <w:color w:val="231F20"/>
          <w:sz w:val="22"/>
        </w:rPr>
        <w:t>la</w:t>
      </w:r>
      <w:r>
        <w:rPr>
          <w:i/>
          <w:color w:val="231F20"/>
          <w:spacing w:val="-14"/>
          <w:sz w:val="22"/>
        </w:rPr>
        <w:t> </w:t>
      </w:r>
      <w:r>
        <w:rPr>
          <w:i/>
          <w:color w:val="231F20"/>
          <w:sz w:val="22"/>
        </w:rPr>
        <w:t>transferencia</w:t>
      </w:r>
      <w:r>
        <w:rPr>
          <w:i/>
          <w:color w:val="231F20"/>
          <w:spacing w:val="-14"/>
          <w:sz w:val="22"/>
        </w:rPr>
        <w:t> </w:t>
      </w:r>
      <w:r>
        <w:rPr>
          <w:i/>
          <w:color w:val="231F20"/>
          <w:sz w:val="22"/>
        </w:rPr>
        <w:t>de</w:t>
      </w:r>
      <w:r>
        <w:rPr>
          <w:i/>
          <w:color w:val="231F20"/>
          <w:spacing w:val="-14"/>
          <w:sz w:val="22"/>
        </w:rPr>
        <w:t> </w:t>
      </w:r>
      <w:r>
        <w:rPr>
          <w:i/>
          <w:color w:val="231F20"/>
          <w:sz w:val="22"/>
        </w:rPr>
        <w:t>remesas</w:t>
      </w:r>
      <w:r>
        <w:rPr>
          <w:color w:val="231F20"/>
          <w:sz w:val="22"/>
        </w:rPr>
        <w:t>,</w:t>
      </w:r>
      <w:r>
        <w:rPr>
          <w:color w:val="231F20"/>
          <w:spacing w:val="-18"/>
          <w:sz w:val="22"/>
        </w:rPr>
        <w:t> </w:t>
      </w:r>
      <w:r>
        <w:rPr>
          <w:color w:val="231F20"/>
          <w:sz w:val="22"/>
        </w:rPr>
        <w:t>VI</w:t>
      </w:r>
      <w:r>
        <w:rPr>
          <w:color w:val="231F20"/>
          <w:spacing w:val="-14"/>
          <w:sz w:val="22"/>
        </w:rPr>
        <w:t> </w:t>
      </w:r>
      <w:r>
        <w:rPr>
          <w:color w:val="231F20"/>
          <w:sz w:val="22"/>
        </w:rPr>
        <w:t>Seminario</w:t>
      </w:r>
      <w:r>
        <w:rPr>
          <w:color w:val="231F20"/>
          <w:spacing w:val="-13"/>
          <w:sz w:val="22"/>
        </w:rPr>
        <w:t> </w:t>
      </w:r>
      <w:r>
        <w:rPr>
          <w:color w:val="231F20"/>
          <w:sz w:val="22"/>
        </w:rPr>
        <w:t>de Economía del trabajo y la tecnología, IIEc-UNAM, 2011; “Reafirmación de las identidades minoritarias, las raíces de todos”, en </w:t>
      </w:r>
      <w:r>
        <w:rPr>
          <w:i/>
          <w:color w:val="231F20"/>
          <w:sz w:val="22"/>
        </w:rPr>
        <w:t>Afromexicanos</w:t>
      </w:r>
      <w:r>
        <w:rPr>
          <w:color w:val="231F20"/>
          <w:sz w:val="22"/>
        </w:rPr>
        <w:t>, Oaxaca Población Siglo XXI, Revista de la Dirección General de Pobla- ción de Oaxaca, núm. 33 Nueva época, Gobierno del estado de Oaxaca, 2012, y </w:t>
      </w:r>
      <w:r>
        <w:rPr>
          <w:i/>
          <w:color w:val="231F20"/>
          <w:sz w:val="22"/>
        </w:rPr>
        <w:t>La formación de redes de localidades indígenas en el estado de </w:t>
      </w:r>
      <w:r>
        <w:rPr>
          <w:i/>
          <w:color w:val="231F20"/>
          <w:sz w:val="22"/>
        </w:rPr>
        <w:t>Hidalgo a partir de la dispersión, </w:t>
      </w:r>
      <w:r>
        <w:rPr>
          <w:i/>
          <w:color w:val="231F20"/>
          <w:spacing w:val="-3"/>
          <w:sz w:val="22"/>
        </w:rPr>
        <w:t>Transferencia </w:t>
      </w:r>
      <w:r>
        <w:rPr>
          <w:i/>
          <w:color w:val="231F20"/>
          <w:sz w:val="22"/>
        </w:rPr>
        <w:t>y uso de las remesas in- dígenas en el estado de Hidalgo</w:t>
      </w:r>
      <w:r>
        <w:rPr>
          <w:color w:val="231F20"/>
          <w:sz w:val="22"/>
        </w:rPr>
        <w:t>, OEA y Gobierno del estado de Hidalgo, (en proceso de publicación).</w:t>
      </w:r>
    </w:p>
    <w:p>
      <w:pPr>
        <w:pStyle w:val="BodyText"/>
        <w:spacing w:before="6"/>
      </w:pPr>
    </w:p>
    <w:p>
      <w:pPr>
        <w:pStyle w:val="BodyText"/>
        <w:ind w:left="117"/>
        <w:jc w:val="both"/>
      </w:pPr>
      <w:r>
        <w:rPr>
          <w:color w:val="231F20"/>
        </w:rPr>
        <w:t>Correo electrónico: </w:t>
      </w:r>
      <w:hyperlink r:id="rId225">
        <w:r>
          <w:rPr>
            <w:color w:val="231F20"/>
          </w:rPr>
          <w:t>cmarcial@elcolegiodelestadodehidalgo.edu.mx</w:t>
        </w:r>
      </w:hyperlink>
    </w:p>
    <w:p>
      <w:pPr>
        <w:spacing w:after="0"/>
        <w:jc w:val="both"/>
        <w:sectPr>
          <w:footerReference w:type="default" r:id="rId224"/>
          <w:pgSz w:w="9360" w:h="13040"/>
          <w:pgMar w:footer="496" w:header="0" w:top="740" w:bottom="680" w:left="1300" w:right="1300"/>
        </w:sectPr>
      </w:pPr>
    </w:p>
    <w:p>
      <w:pPr>
        <w:pStyle w:val="BodyText"/>
        <w:ind w:left="103"/>
        <w:rPr>
          <w:sz w:val="20"/>
        </w:rPr>
      </w:pPr>
      <w:r>
        <w:rPr/>
        <w:pict>
          <v:shape style="position:absolute;margin-left:57.165001pt;margin-top:20.784994pt;width:353.4pt;height:43.5pt;mso-position-horizontal-relative:page;mso-position-vertical-relative:page;z-index:-636640" type="#_x0000_t202" filled="false" stroked="false">
            <v:textbox inset="0,0,0,0">
              <w:txbxContent>
                <w:p>
                  <w:pPr>
                    <w:pStyle w:val="BodyText"/>
                    <w:rPr>
                      <w:sz w:val="20"/>
                    </w:rPr>
                  </w:pPr>
                </w:p>
                <w:p>
                  <w:pPr>
                    <w:pStyle w:val="BodyText"/>
                    <w:spacing w:before="3"/>
                    <w:rPr>
                      <w:sz w:val="19"/>
                    </w:rPr>
                  </w:pPr>
                </w:p>
                <w:p>
                  <w:pPr>
                    <w:tabs>
                      <w:tab w:pos="5693" w:val="left" w:leader="none"/>
                    </w:tabs>
                    <w:spacing w:before="0"/>
                    <w:ind w:left="262" w:right="0" w:firstLine="0"/>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txbxContent>
            </v:textbox>
            <w10:wrap type="none"/>
          </v:shape>
        </w:pict>
      </w:r>
      <w:r>
        <w:rPr/>
        <w:pict>
          <v:shape style="position:absolute;margin-left:57.165001pt;margin-top:602.242004pt;width:353.4pt;height:43.5pt;mso-position-horizontal-relative:page;mso-position-vertical-relative:page;z-index:-636616" type="#_x0000_t202" filled="false" stroked="false">
            <v:textbox inset="0,0,0,0">
              <w:txbxContent>
                <w:p>
                  <w:pPr>
                    <w:pStyle w:val="BodyText"/>
                    <w:spacing w:before="8"/>
                    <w:rPr>
                      <w:sz w:val="21"/>
                    </w:rPr>
                  </w:pPr>
                </w:p>
                <w:p>
                  <w:pPr>
                    <w:spacing w:before="0"/>
                    <w:ind w:left="2761" w:right="3055" w:firstLine="0"/>
                    <w:jc w:val="center"/>
                    <w:rPr>
                      <w:rFonts w:ascii="Verdana"/>
                      <w:sz w:val="20"/>
                    </w:rPr>
                  </w:pPr>
                  <w:r>
                    <w:rPr>
                      <w:rFonts w:ascii="Verdana"/>
                      <w:color w:val="231F20"/>
                      <w:sz w:val="20"/>
                    </w:rPr>
                    <w:t>312</w:t>
                  </w:r>
                </w:p>
              </w:txbxContent>
            </v:textbox>
            <w10:wrap type="none"/>
          </v:shape>
        </w:pict>
      </w: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9"/>
        </w:rPr>
      </w:pPr>
      <w:r>
        <w:rPr/>
        <w:pict>
          <v:rect style="position:absolute;margin-left:57.165001pt;margin-top:19.066946pt;width:353.386pt;height:43.469pt;mso-position-horizontal-relative:page;mso-position-vertical-relative:paragraph;z-index:7936;mso-wrap-distance-left:0;mso-wrap-distance-right:0" filled="true" fillcolor="#ffffff" stroked="false">
            <v:fill type="solid"/>
            <w10:wrap type="topAndBottom"/>
          </v:rect>
        </w:pict>
      </w:r>
    </w:p>
    <w:p>
      <w:pPr>
        <w:spacing w:after="0"/>
        <w:rPr>
          <w:sz w:val="29"/>
        </w:rPr>
        <w:sectPr>
          <w:footerReference w:type="default" r:id="rId226"/>
          <w:pgSz w:w="9360" w:h="13040"/>
          <w:pgMar w:footer="0" w:header="0" w:top="400" w:bottom="0" w:left="1040" w:right="1040"/>
        </w:sectPr>
      </w:pPr>
    </w:p>
    <w:p>
      <w:pPr>
        <w:pStyle w:val="BodyText"/>
        <w:ind w:left="107"/>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ind w:left="1024" w:right="1241"/>
        <w:jc w:val="center"/>
      </w:pPr>
      <w:r>
        <w:rPr/>
        <w:pict>
          <v:shape style="position:absolute;margin-left:62.362pt;margin-top:-44.926628pt;width:353.4pt;height:43.5pt;mso-position-horizontal-relative:page;mso-position-vertical-relative:paragraph;z-index:-636568" type="#_x0000_t202" filled="false" stroked="false">
            <v:textbox inset="0,0,0,0">
              <w:txbxContent>
                <w:p>
                  <w:pPr>
                    <w:pStyle w:val="BodyText"/>
                    <w:rPr>
                      <w:sz w:val="20"/>
                    </w:rPr>
                  </w:pPr>
                </w:p>
                <w:p>
                  <w:pPr>
                    <w:spacing w:before="159"/>
                    <w:ind w:left="835" w:right="0" w:firstLine="0"/>
                    <w:jc w:val="left"/>
                    <w:rPr>
                      <w:rFonts w:ascii="Arial" w:hAnsi="Arial"/>
                      <w:i/>
                      <w:sz w:val="20"/>
                    </w:rPr>
                  </w:pPr>
                  <w:r>
                    <w:rPr>
                      <w:rFonts w:ascii="Arial" w:hAnsi="Arial"/>
                      <w:color w:val="231F20"/>
                      <w:w w:val="66"/>
                      <w:sz w:val="20"/>
                    </w:rPr>
                    <w:t>La</w:t>
                  </w:r>
                  <w:r>
                    <w:rPr>
                      <w:rFonts w:ascii="Arial" w:hAnsi="Arial"/>
                      <w:color w:val="231F20"/>
                      <w:spacing w:val="-1"/>
                      <w:sz w:val="20"/>
                    </w:rPr>
                    <w:t> </w:t>
                  </w:r>
                  <w:r>
                    <w:rPr>
                      <w:rFonts w:ascii="Arial" w:hAnsi="Arial"/>
                      <w:color w:val="231F20"/>
                      <w:w w:val="76"/>
                      <w:sz w:val="20"/>
                    </w:rPr>
                    <w:t>participación</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3"/>
                      <w:sz w:val="20"/>
                    </w:rPr>
                    <w:t>población</w:t>
                  </w:r>
                  <w:r>
                    <w:rPr>
                      <w:rFonts w:ascii="Arial" w:hAnsi="Arial"/>
                      <w:color w:val="231F20"/>
                      <w:spacing w:val="-1"/>
                      <w:sz w:val="20"/>
                    </w:rPr>
                    <w:t> </w:t>
                  </w:r>
                  <w:r>
                    <w:rPr>
                      <w:rFonts w:ascii="Arial" w:hAnsi="Arial"/>
                      <w:color w:val="231F20"/>
                      <w:w w:val="72"/>
                      <w:sz w:val="20"/>
                    </w:rPr>
                    <w:t>indígena</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8"/>
                      <w:sz w:val="20"/>
                    </w:rPr>
                    <w:t>migración...</w:t>
                  </w:r>
                  <w:r>
                    <w:rPr>
                      <w:rFonts w:ascii="Arial" w:hAnsi="Arial"/>
                      <w:color w:val="231F20"/>
                      <w:spacing w:val="-1"/>
                      <w:sz w:val="20"/>
                    </w:rPr>
                    <w:t> </w:t>
                  </w:r>
                  <w:r>
                    <w:rPr>
                      <w:rFonts w:ascii="Arial" w:hAnsi="Arial"/>
                      <w:color w:val="231F20"/>
                      <w:w w:val="99"/>
                      <w:sz w:val="20"/>
                    </w:rPr>
                    <w:t>/</w:t>
                  </w:r>
                  <w:r>
                    <w:rPr>
                      <w:rFonts w:ascii="Arial" w:hAnsi="Arial"/>
                      <w:color w:val="231F20"/>
                      <w:w w:val="49"/>
                      <w:sz w:val="20"/>
                    </w:rPr>
                    <w:t>Juan</w:t>
                  </w:r>
                  <w:r>
                    <w:rPr>
                      <w:rFonts w:ascii="Arial" w:hAnsi="Arial"/>
                      <w:color w:val="231F20"/>
                      <w:spacing w:val="-17"/>
                      <w:sz w:val="20"/>
                    </w:rPr>
                    <w:t> </w:t>
                  </w:r>
                  <w:r>
                    <w:rPr>
                      <w:rFonts w:ascii="Arial" w:hAnsi="Arial"/>
                      <w:color w:val="231F20"/>
                      <w:w w:val="49"/>
                      <w:sz w:val="20"/>
                    </w:rPr>
                    <w:t>Gabino</w:t>
                  </w:r>
                  <w:r>
                    <w:rPr>
                      <w:rFonts w:ascii="Arial" w:hAnsi="Arial"/>
                      <w:color w:val="231F20"/>
                      <w:spacing w:val="-17"/>
                      <w:sz w:val="20"/>
                    </w:rPr>
                    <w:t> </w:t>
                  </w:r>
                  <w:r>
                    <w:rPr>
                      <w:rFonts w:ascii="Arial" w:hAnsi="Arial"/>
                      <w:color w:val="231F20"/>
                      <w:w w:val="52"/>
                      <w:sz w:val="20"/>
                    </w:rPr>
                    <w:t>González-Becerril</w:t>
                  </w:r>
                  <w:r>
                    <w:rPr>
                      <w:rFonts w:ascii="Arial" w:hAnsi="Arial"/>
                      <w:color w:val="231F20"/>
                      <w:spacing w:val="-17"/>
                      <w:sz w:val="20"/>
                    </w:rPr>
                    <w:t> </w:t>
                  </w:r>
                  <w:r>
                    <w:rPr>
                      <w:rFonts w:ascii="Arial" w:hAnsi="Arial"/>
                      <w:i/>
                      <w:color w:val="231F20"/>
                      <w:w w:val="55"/>
                      <w:sz w:val="20"/>
                    </w:rPr>
                    <w:t>et</w:t>
                  </w:r>
                  <w:r>
                    <w:rPr>
                      <w:rFonts w:ascii="Arial" w:hAnsi="Arial"/>
                      <w:i/>
                      <w:color w:val="231F20"/>
                      <w:spacing w:val="-17"/>
                      <w:sz w:val="20"/>
                    </w:rPr>
                    <w:t> </w:t>
                  </w:r>
                  <w:r>
                    <w:rPr>
                      <w:rFonts w:ascii="Arial" w:hAnsi="Arial"/>
                      <w:i/>
                      <w:color w:val="231F20"/>
                      <w:w w:val="58"/>
                      <w:sz w:val="20"/>
                    </w:rPr>
                    <w:t>al.</w:t>
                  </w:r>
                </w:p>
              </w:txbxContent>
            </v:textbox>
            <w10:wrap type="none"/>
          </v:shape>
        </w:pict>
      </w:r>
      <w:r>
        <w:rPr>
          <w:color w:val="231F20"/>
          <w:w w:val="70"/>
        </w:rPr>
        <w:t>La participación de la población indígena en la migración internacional: el caso</w:t>
      </w:r>
    </w:p>
    <w:p>
      <w:pPr>
        <w:spacing w:line="407" w:lineRule="exact" w:before="0"/>
        <w:ind w:left="331" w:right="548" w:firstLine="0"/>
        <w:jc w:val="center"/>
        <w:rPr>
          <w:b/>
          <w:sz w:val="40"/>
        </w:rPr>
      </w:pPr>
      <w:r>
        <w:rPr>
          <w:b/>
          <w:color w:val="231F20"/>
          <w:w w:val="70"/>
          <w:sz w:val="40"/>
        </w:rPr>
        <w:t>del Estado de México 2000-2009</w:t>
      </w:r>
    </w:p>
    <w:p>
      <w:pPr>
        <w:pStyle w:val="Heading2"/>
        <w:spacing w:line="300" w:lineRule="exact" w:before="325"/>
        <w:ind w:left="769" w:right="987"/>
        <w:jc w:val="center"/>
      </w:pPr>
      <w:r>
        <w:rPr>
          <w:color w:val="231F20"/>
        </w:rPr>
        <w:t>Juan Gabino González-Becerril, José Antonio Soberón-Mora y Rafael López-Vega</w:t>
      </w:r>
    </w:p>
    <w:p>
      <w:pPr>
        <w:pStyle w:val="BodyText"/>
        <w:spacing w:before="6"/>
        <w:rPr>
          <w:sz w:val="43"/>
        </w:rPr>
      </w:pPr>
    </w:p>
    <w:p>
      <w:pPr>
        <w:spacing w:line="247" w:lineRule="auto" w:before="0"/>
        <w:ind w:left="839" w:right="1057" w:firstLine="0"/>
        <w:jc w:val="center"/>
        <w:rPr>
          <w:i/>
          <w:sz w:val="22"/>
        </w:rPr>
      </w:pPr>
      <w:r>
        <w:rPr>
          <w:i/>
          <w:color w:val="231F20"/>
          <w:sz w:val="22"/>
        </w:rPr>
        <w:t>Universidad Autónoma del Estado de México, México </w:t>
      </w:r>
      <w:r>
        <w:rPr>
          <w:i/>
          <w:color w:val="231F20"/>
          <w:sz w:val="22"/>
        </w:rPr>
        <w:t>Consejo Nacional de Población, México</w:t>
      </w:r>
    </w:p>
    <w:p>
      <w:pPr>
        <w:pStyle w:val="BodyText"/>
        <w:rPr>
          <w:i/>
        </w:rPr>
      </w:pPr>
    </w:p>
    <w:p>
      <w:pPr>
        <w:pStyle w:val="BodyText"/>
        <w:spacing w:before="5"/>
        <w:rPr>
          <w:i/>
          <w:sz w:val="29"/>
        </w:rPr>
      </w:pPr>
    </w:p>
    <w:p>
      <w:pPr>
        <w:pStyle w:val="Heading3"/>
        <w:spacing w:before="0"/>
        <w:ind w:left="277" w:right="913"/>
        <w:jc w:val="left"/>
      </w:pPr>
      <w:r>
        <w:rPr>
          <w:color w:val="231F20"/>
        </w:rPr>
        <w:t>Introducción</w:t>
      </w:r>
    </w:p>
    <w:p>
      <w:pPr>
        <w:pStyle w:val="BodyText"/>
        <w:rPr>
          <w:b/>
          <w:sz w:val="20"/>
        </w:rPr>
      </w:pPr>
    </w:p>
    <w:p>
      <w:pPr>
        <w:pStyle w:val="BodyText"/>
        <w:spacing w:before="4"/>
        <w:rPr>
          <w:b/>
          <w:sz w:val="31"/>
        </w:rPr>
      </w:pPr>
    </w:p>
    <w:p>
      <w:pPr>
        <w:pStyle w:val="BodyText"/>
        <w:spacing w:line="247" w:lineRule="auto"/>
        <w:ind w:left="1226" w:right="495"/>
        <w:jc w:val="both"/>
      </w:pPr>
      <w:r>
        <w:rPr/>
        <w:pict>
          <v:shape style="position:absolute;margin-left:70.866096pt;margin-top:-4.365925pt;width:36.7pt;height:55pt;mso-position-horizontal-relative:page;mso-position-vertical-relative:paragraph;z-index:-636544" type="#_x0000_t202" filled="false" stroked="false">
            <v:textbox inset="0,0,0,0">
              <w:txbxContent>
                <w:p>
                  <w:pPr>
                    <w:spacing w:line="1100" w:lineRule="exact" w:before="0"/>
                    <w:ind w:left="0" w:right="0" w:firstLine="0"/>
                    <w:jc w:val="left"/>
                    <w:rPr>
                      <w:b/>
                      <w:sz w:val="110"/>
                    </w:rPr>
                  </w:pPr>
                  <w:r>
                    <w:rPr>
                      <w:b/>
                      <w:color w:val="231F20"/>
                      <w:sz w:val="110"/>
                    </w:rPr>
                    <w:t>L</w:t>
                  </w:r>
                </w:p>
              </w:txbxContent>
            </v:textbox>
            <w10:wrap type="none"/>
          </v:shape>
        </w:pict>
      </w:r>
      <w:r>
        <w:rPr>
          <w:color w:val="231F20"/>
        </w:rPr>
        <w:t>a información que recaba la Encuesta sobre Migración en la Frontera Norte de México (EMIF) se refiere a distintos tipos</w:t>
      </w:r>
      <w:r>
        <w:rPr>
          <w:color w:val="231F20"/>
          <w:spacing w:val="-22"/>
        </w:rPr>
        <w:t> </w:t>
      </w:r>
      <w:r>
        <w:rPr>
          <w:color w:val="231F20"/>
        </w:rPr>
        <w:t>de la migración internacional a nivel nacional, estatal y  </w:t>
      </w:r>
      <w:r>
        <w:rPr>
          <w:color w:val="231F20"/>
          <w:spacing w:val="31"/>
        </w:rPr>
        <w:t> </w:t>
      </w:r>
      <w:r>
        <w:rPr>
          <w:color w:val="231F20"/>
        </w:rPr>
        <w:t>regional.</w:t>
      </w:r>
    </w:p>
    <w:p>
      <w:pPr>
        <w:pStyle w:val="BodyText"/>
        <w:spacing w:line="247" w:lineRule="auto" w:before="24"/>
        <w:ind w:left="277" w:right="495"/>
        <w:jc w:val="both"/>
      </w:pPr>
      <w:r>
        <w:rPr>
          <w:color w:val="231F20"/>
        </w:rPr>
        <w:t>La EMIF permite precisar el alcance demográfico y territorial del fenó- meno</w:t>
      </w:r>
      <w:r>
        <w:rPr>
          <w:color w:val="231F20"/>
          <w:spacing w:val="-5"/>
        </w:rPr>
        <w:t> </w:t>
      </w:r>
      <w:r>
        <w:rPr>
          <w:color w:val="231F20"/>
        </w:rPr>
        <w:t>migratorio</w:t>
      </w:r>
      <w:r>
        <w:rPr>
          <w:color w:val="231F20"/>
          <w:spacing w:val="-6"/>
        </w:rPr>
        <w:t> </w:t>
      </w:r>
      <w:r>
        <w:rPr>
          <w:color w:val="231F20"/>
        </w:rPr>
        <w:t>y</w:t>
      </w:r>
      <w:r>
        <w:rPr>
          <w:color w:val="231F20"/>
          <w:spacing w:val="-5"/>
        </w:rPr>
        <w:t> </w:t>
      </w:r>
      <w:r>
        <w:rPr>
          <w:color w:val="231F20"/>
        </w:rPr>
        <w:t>dar</w:t>
      </w:r>
      <w:r>
        <w:rPr>
          <w:color w:val="231F20"/>
          <w:spacing w:val="-5"/>
        </w:rPr>
        <w:t> </w:t>
      </w:r>
      <w:r>
        <w:rPr>
          <w:color w:val="231F20"/>
        </w:rPr>
        <w:t>seguimientos</w:t>
      </w:r>
      <w:r>
        <w:rPr>
          <w:color w:val="231F20"/>
          <w:spacing w:val="-4"/>
        </w:rPr>
        <w:t> </w:t>
      </w:r>
      <w:r>
        <w:rPr>
          <w:color w:val="231F20"/>
        </w:rPr>
        <w:t>sistemáticos</w:t>
      </w:r>
      <w:r>
        <w:rPr>
          <w:color w:val="231F20"/>
          <w:spacing w:val="-4"/>
        </w:rPr>
        <w:t> </w:t>
      </w:r>
      <w:r>
        <w:rPr>
          <w:color w:val="231F20"/>
        </w:rPr>
        <w:t>sobre</w:t>
      </w:r>
      <w:r>
        <w:rPr>
          <w:color w:val="231F20"/>
          <w:spacing w:val="-5"/>
        </w:rPr>
        <w:t> </w:t>
      </w:r>
      <w:r>
        <w:rPr>
          <w:color w:val="231F20"/>
        </w:rPr>
        <w:t>la</w:t>
      </w:r>
      <w:r>
        <w:rPr>
          <w:color w:val="231F20"/>
          <w:spacing w:val="-5"/>
        </w:rPr>
        <w:t> </w:t>
      </w:r>
      <w:r>
        <w:rPr>
          <w:color w:val="231F20"/>
        </w:rPr>
        <w:t>participación</w:t>
      </w:r>
      <w:r>
        <w:rPr>
          <w:color w:val="231F20"/>
          <w:spacing w:val="-5"/>
        </w:rPr>
        <w:t> </w:t>
      </w:r>
      <w:r>
        <w:rPr>
          <w:color w:val="231F20"/>
        </w:rPr>
        <w:t>de algunos grupos de migrantes, como es el caso de la población indígena. Esta es una categoría migratoria que en la EMIF se incluye desde 1998    a la fecha. La información y el análisis que se presentan en este artícu-    lo permitirán visibilizar y caracterizar demográficamente a los indígenas mexiquenses</w:t>
      </w:r>
      <w:r>
        <w:rPr>
          <w:color w:val="231F20"/>
          <w:spacing w:val="-7"/>
        </w:rPr>
        <w:t> </w:t>
      </w:r>
      <w:r>
        <w:rPr>
          <w:color w:val="231F20"/>
        </w:rPr>
        <w:t>migrantes.</w:t>
      </w:r>
      <w:r>
        <w:rPr>
          <w:color w:val="231F20"/>
          <w:spacing w:val="-7"/>
        </w:rPr>
        <w:t> </w:t>
      </w:r>
      <w:r>
        <w:rPr>
          <w:color w:val="231F20"/>
        </w:rPr>
        <w:t>Se</w:t>
      </w:r>
      <w:r>
        <w:rPr>
          <w:color w:val="231F20"/>
          <w:spacing w:val="-6"/>
        </w:rPr>
        <w:t> </w:t>
      </w:r>
      <w:r>
        <w:rPr>
          <w:color w:val="231F20"/>
        </w:rPr>
        <w:t>tomará</w:t>
      </w:r>
      <w:r>
        <w:rPr>
          <w:color w:val="231F20"/>
          <w:spacing w:val="-6"/>
        </w:rPr>
        <w:t> </w:t>
      </w:r>
      <w:r>
        <w:rPr>
          <w:color w:val="231F20"/>
        </w:rPr>
        <w:t>como</w:t>
      </w:r>
      <w:r>
        <w:rPr>
          <w:color w:val="231F20"/>
          <w:spacing w:val="-6"/>
        </w:rPr>
        <w:t> </w:t>
      </w:r>
      <w:r>
        <w:rPr>
          <w:color w:val="231F20"/>
        </w:rPr>
        <w:t>base</w:t>
      </w:r>
      <w:r>
        <w:rPr>
          <w:color w:val="231F20"/>
          <w:spacing w:val="-6"/>
        </w:rPr>
        <w:t> </w:t>
      </w:r>
      <w:r>
        <w:rPr>
          <w:color w:val="231F20"/>
        </w:rPr>
        <w:t>la</w:t>
      </w:r>
      <w:r>
        <w:rPr>
          <w:color w:val="231F20"/>
          <w:spacing w:val="-6"/>
        </w:rPr>
        <w:t> </w:t>
      </w:r>
      <w:r>
        <w:rPr>
          <w:color w:val="231F20"/>
        </w:rPr>
        <w:t>metodología</w:t>
      </w:r>
      <w:r>
        <w:rPr>
          <w:color w:val="231F20"/>
          <w:spacing w:val="-6"/>
        </w:rPr>
        <w:t> </w:t>
      </w:r>
      <w:r>
        <w:rPr>
          <w:color w:val="231F20"/>
        </w:rPr>
        <w:t>comparativa sistemática y tendrá como referente a los no indígenas migrantes interna- cionales</w:t>
      </w:r>
      <w:r>
        <w:rPr>
          <w:color w:val="231F20"/>
          <w:spacing w:val="-10"/>
        </w:rPr>
        <w:t> </w:t>
      </w:r>
      <w:r>
        <w:rPr>
          <w:color w:val="231F20"/>
        </w:rPr>
        <w:t>para</w:t>
      </w:r>
      <w:r>
        <w:rPr>
          <w:color w:val="231F20"/>
          <w:spacing w:val="-10"/>
        </w:rPr>
        <w:t> </w:t>
      </w:r>
      <w:r>
        <w:rPr>
          <w:color w:val="231F20"/>
        </w:rPr>
        <w:t>expresar</w:t>
      </w:r>
      <w:r>
        <w:rPr>
          <w:color w:val="231F20"/>
          <w:spacing w:val="-10"/>
        </w:rPr>
        <w:t> </w:t>
      </w:r>
      <w:r>
        <w:rPr>
          <w:color w:val="231F20"/>
        </w:rPr>
        <w:t>su</w:t>
      </w:r>
      <w:r>
        <w:rPr>
          <w:color w:val="231F20"/>
          <w:spacing w:val="-10"/>
        </w:rPr>
        <w:t> </w:t>
      </w:r>
      <w:r>
        <w:rPr>
          <w:color w:val="231F20"/>
        </w:rPr>
        <w:t>caracterización</w:t>
      </w:r>
      <w:r>
        <w:rPr>
          <w:color w:val="231F20"/>
          <w:spacing w:val="-11"/>
        </w:rPr>
        <w:t> </w:t>
      </w:r>
      <w:r>
        <w:rPr>
          <w:color w:val="231F20"/>
        </w:rPr>
        <w:t>en</w:t>
      </w:r>
      <w:r>
        <w:rPr>
          <w:color w:val="231F20"/>
          <w:spacing w:val="-10"/>
        </w:rPr>
        <w:t> </w:t>
      </w:r>
      <w:r>
        <w:rPr>
          <w:color w:val="231F20"/>
        </w:rPr>
        <w:t>dos</w:t>
      </w:r>
      <w:r>
        <w:rPr>
          <w:color w:val="231F20"/>
          <w:spacing w:val="-10"/>
        </w:rPr>
        <w:t> </w:t>
      </w:r>
      <w:r>
        <w:rPr>
          <w:color w:val="231F20"/>
        </w:rPr>
        <w:t>niveles:</w:t>
      </w:r>
      <w:r>
        <w:rPr>
          <w:color w:val="231F20"/>
          <w:spacing w:val="-10"/>
        </w:rPr>
        <w:t> </w:t>
      </w:r>
      <w:r>
        <w:rPr>
          <w:color w:val="231F20"/>
        </w:rPr>
        <w:t>flujo</w:t>
      </w:r>
      <w:r>
        <w:rPr>
          <w:color w:val="231F20"/>
          <w:spacing w:val="-10"/>
        </w:rPr>
        <w:t> </w:t>
      </w:r>
      <w:r>
        <w:rPr>
          <w:color w:val="231F20"/>
        </w:rPr>
        <w:t>de</w:t>
      </w:r>
      <w:r>
        <w:rPr>
          <w:color w:val="231F20"/>
          <w:spacing w:val="-10"/>
        </w:rPr>
        <w:t> </w:t>
      </w:r>
      <w:r>
        <w:rPr>
          <w:color w:val="231F20"/>
        </w:rPr>
        <w:t>migrantes temporales procedentes del sur (Estado de México) con destino a Estados Unidos y el flujo temporal procedente de Estados Unidos según lugar de residencia (Estado de México) en 2000 y 2009.</w:t>
      </w:r>
    </w:p>
    <w:p>
      <w:pPr>
        <w:pStyle w:val="BodyText"/>
        <w:spacing w:line="247" w:lineRule="auto"/>
        <w:ind w:left="277" w:right="494" w:firstLine="283"/>
        <w:jc w:val="both"/>
      </w:pPr>
      <w:r>
        <w:rPr>
          <w:color w:val="231F20"/>
        </w:rPr>
        <w:t>La EMIF permite justificar la participación de la migración internacio- nal indígena al representar por un lado, 4.3 de la emigración de</w:t>
      </w:r>
      <w:r>
        <w:rPr>
          <w:color w:val="231F20"/>
          <w:spacing w:val="-37"/>
        </w:rPr>
        <w:t> </w:t>
      </w:r>
      <w:r>
        <w:rPr>
          <w:color w:val="231F20"/>
        </w:rPr>
        <w:t>mexicanos a</w:t>
      </w:r>
      <w:r>
        <w:rPr>
          <w:color w:val="231F20"/>
          <w:spacing w:val="-7"/>
        </w:rPr>
        <w:t> </w:t>
      </w:r>
      <w:r>
        <w:rPr>
          <w:color w:val="231F20"/>
        </w:rPr>
        <w:t>Estados</w:t>
      </w:r>
      <w:r>
        <w:rPr>
          <w:color w:val="231F20"/>
          <w:spacing w:val="-7"/>
        </w:rPr>
        <w:t> </w:t>
      </w:r>
      <w:r>
        <w:rPr>
          <w:color w:val="231F20"/>
        </w:rPr>
        <w:t>Unidos</w:t>
      </w:r>
      <w:r>
        <w:rPr>
          <w:color w:val="231F20"/>
          <w:spacing w:val="-6"/>
        </w:rPr>
        <w:t> </w:t>
      </w:r>
      <w:r>
        <w:rPr>
          <w:color w:val="231F20"/>
        </w:rPr>
        <w:t>y</w:t>
      </w:r>
      <w:r>
        <w:rPr>
          <w:color w:val="231F20"/>
          <w:spacing w:val="-7"/>
        </w:rPr>
        <w:t> </w:t>
      </w:r>
      <w:r>
        <w:rPr>
          <w:color w:val="231F20"/>
        </w:rPr>
        <w:t>2.8</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emigración</w:t>
      </w:r>
      <w:r>
        <w:rPr>
          <w:color w:val="231F20"/>
          <w:spacing w:val="-7"/>
        </w:rPr>
        <w:t> </w:t>
      </w:r>
      <w:r>
        <w:rPr>
          <w:color w:val="231F20"/>
        </w:rPr>
        <w:t>de</w:t>
      </w:r>
      <w:r>
        <w:rPr>
          <w:color w:val="231F20"/>
          <w:spacing w:val="-7"/>
        </w:rPr>
        <w:t> </w:t>
      </w:r>
      <w:r>
        <w:rPr>
          <w:color w:val="231F20"/>
        </w:rPr>
        <w:t>mexiquenses</w:t>
      </w:r>
      <w:r>
        <w:rPr>
          <w:color w:val="231F20"/>
          <w:spacing w:val="-7"/>
        </w:rPr>
        <w:t> </w:t>
      </w:r>
      <w:r>
        <w:rPr>
          <w:color w:val="231F20"/>
        </w:rPr>
        <w:t>al</w:t>
      </w:r>
      <w:r>
        <w:rPr>
          <w:color w:val="231F20"/>
          <w:spacing w:val="-7"/>
        </w:rPr>
        <w:t> </w:t>
      </w:r>
      <w:r>
        <w:rPr>
          <w:color w:val="231F20"/>
        </w:rPr>
        <w:t>vecino</w:t>
      </w:r>
      <w:r>
        <w:rPr>
          <w:color w:val="231F20"/>
          <w:spacing w:val="-7"/>
        </w:rPr>
        <w:t> </w:t>
      </w:r>
      <w:r>
        <w:rPr>
          <w:color w:val="231F20"/>
        </w:rPr>
        <w:t>país</w:t>
      </w:r>
      <w:r>
        <w:rPr>
          <w:color w:val="231F20"/>
          <w:spacing w:val="-7"/>
        </w:rPr>
        <w:t> </w:t>
      </w:r>
      <w:r>
        <w:rPr>
          <w:color w:val="231F20"/>
        </w:rPr>
        <w:t>del norte</w:t>
      </w:r>
      <w:r>
        <w:rPr>
          <w:color w:val="231F20"/>
          <w:spacing w:val="-5"/>
        </w:rPr>
        <w:t> </w:t>
      </w:r>
      <w:r>
        <w:rPr>
          <w:color w:val="231F20"/>
        </w:rPr>
        <w:t>y</w:t>
      </w:r>
      <w:r>
        <w:rPr>
          <w:color w:val="231F20"/>
          <w:spacing w:val="-5"/>
        </w:rPr>
        <w:t> </w:t>
      </w:r>
      <w:r>
        <w:rPr>
          <w:color w:val="231F20"/>
        </w:rPr>
        <w:t>por</w:t>
      </w:r>
      <w:r>
        <w:rPr>
          <w:color w:val="231F20"/>
          <w:spacing w:val="-5"/>
        </w:rPr>
        <w:t> </w:t>
      </w:r>
      <w:r>
        <w:rPr>
          <w:color w:val="231F20"/>
        </w:rPr>
        <w:t>otro,</w:t>
      </w:r>
      <w:r>
        <w:rPr>
          <w:color w:val="231F20"/>
          <w:spacing w:val="-5"/>
        </w:rPr>
        <w:t> </w:t>
      </w:r>
      <w:r>
        <w:rPr>
          <w:color w:val="231F20"/>
        </w:rPr>
        <w:t>4.8</w:t>
      </w:r>
      <w:r>
        <w:rPr>
          <w:color w:val="231F20"/>
          <w:spacing w:val="-5"/>
        </w:rPr>
        <w:t> </w:t>
      </w:r>
      <w:r>
        <w:rPr>
          <w:color w:val="231F20"/>
        </w:rPr>
        <w:t>por</w:t>
      </w:r>
      <w:r>
        <w:rPr>
          <w:color w:val="231F20"/>
          <w:spacing w:val="-5"/>
        </w:rPr>
        <w:t> </w:t>
      </w:r>
      <w:r>
        <w:rPr>
          <w:color w:val="231F20"/>
        </w:rPr>
        <w:t>ciento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retornos</w:t>
      </w:r>
      <w:r>
        <w:rPr>
          <w:color w:val="231F20"/>
          <w:spacing w:val="-5"/>
        </w:rPr>
        <w:t> </w:t>
      </w:r>
      <w:r>
        <w:rPr>
          <w:color w:val="231F20"/>
        </w:rPr>
        <w:t>nacionales</w:t>
      </w:r>
      <w:r>
        <w:rPr>
          <w:color w:val="231F20"/>
          <w:spacing w:val="-5"/>
        </w:rPr>
        <w:t> </w:t>
      </w:r>
      <w:r>
        <w:rPr>
          <w:color w:val="231F20"/>
        </w:rPr>
        <w:t>y</w:t>
      </w:r>
      <w:r>
        <w:rPr>
          <w:color w:val="231F20"/>
          <w:spacing w:val="-5"/>
        </w:rPr>
        <w:t> </w:t>
      </w:r>
      <w:r>
        <w:rPr>
          <w:color w:val="231F20"/>
        </w:rPr>
        <w:t>5.4</w:t>
      </w:r>
      <w:r>
        <w:rPr>
          <w:color w:val="231F20"/>
          <w:spacing w:val="-5"/>
        </w:rPr>
        <w:t> </w:t>
      </w:r>
      <w:r>
        <w:rPr>
          <w:color w:val="231F20"/>
        </w:rPr>
        <w:t>de</w:t>
      </w:r>
      <w:r>
        <w:rPr>
          <w:color w:val="231F20"/>
          <w:spacing w:val="-5"/>
        </w:rPr>
        <w:t> </w:t>
      </w:r>
      <w:r>
        <w:rPr>
          <w:color w:val="231F20"/>
        </w:rPr>
        <w:t>retornos a nivel estatal en 2009 (COLEF </w:t>
      </w:r>
      <w:r>
        <w:rPr>
          <w:i/>
          <w:color w:val="231F20"/>
        </w:rPr>
        <w:t>et al</w:t>
      </w:r>
      <w:r>
        <w:rPr>
          <w:color w:val="231F20"/>
        </w:rPr>
        <w:t>., 2009). Pero falta saber, ¿quiénes son? ¿de dónde salen? ¿a dónde llegan? y otras características de esta</w:t>
      </w:r>
      <w:r>
        <w:rPr>
          <w:color w:val="231F20"/>
          <w:spacing w:val="48"/>
        </w:rPr>
        <w:t> </w:t>
      </w:r>
      <w:r>
        <w:rPr>
          <w:color w:val="231F20"/>
        </w:rPr>
        <w:t>mi-</w:t>
      </w:r>
    </w:p>
    <w:p>
      <w:pPr>
        <w:spacing w:after="0" w:line="247" w:lineRule="auto"/>
        <w:jc w:val="both"/>
        <w:sectPr>
          <w:footerReference w:type="default" r:id="rId227"/>
          <w:pgSz w:w="9360" w:h="13040"/>
          <w:pgMar w:footer="496" w:header="0" w:top="400" w:bottom="680" w:left="1140" w:right="920"/>
          <w:pgNumType w:start="313"/>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jc w:val="both"/>
      </w:pPr>
      <w:r>
        <w:rPr>
          <w:color w:val="231F20"/>
        </w:rPr>
        <w:t>gración en particular, preguntas que se resolverán a lo largo del trabajo y en la exposición de éste.</w:t>
      </w:r>
    </w:p>
    <w:p>
      <w:pPr>
        <w:pStyle w:val="Heading3"/>
      </w:pPr>
      <w:r>
        <w:rPr>
          <w:color w:val="231F20"/>
        </w:rPr>
        <w:t>Los cambios de la migración México-Estados Unidos</w:t>
      </w:r>
    </w:p>
    <w:p>
      <w:pPr>
        <w:pStyle w:val="BodyText"/>
        <w:spacing w:line="247" w:lineRule="auto" w:before="172"/>
        <w:ind w:left="117" w:right="115"/>
        <w:jc w:val="both"/>
      </w:pPr>
      <w:r>
        <w:rPr>
          <w:color w:val="231F20"/>
        </w:rPr>
        <w:t>A finales del siglo pasado el Consejo Nacional de Población publicó un libro en el cual registraba los principales cambios y continuidades de la migración de mexicanos a Estados Unidos. A inicio del siglo XXI, consi- deramos citar algunos de los cambios más significativos de la migración México-Estados Unidos, que son:</w:t>
      </w:r>
    </w:p>
    <w:p>
      <w:pPr>
        <w:pStyle w:val="ListParagraph"/>
        <w:numPr>
          <w:ilvl w:val="0"/>
          <w:numId w:val="8"/>
        </w:numPr>
        <w:tabs>
          <w:tab w:pos="478" w:val="left" w:leader="none"/>
        </w:tabs>
        <w:spacing w:line="247" w:lineRule="auto" w:before="169" w:after="0"/>
        <w:ind w:left="477" w:right="115" w:hanging="360"/>
        <w:jc w:val="both"/>
        <w:rPr>
          <w:sz w:val="22"/>
        </w:rPr>
      </w:pPr>
      <w:r>
        <w:rPr>
          <w:color w:val="231F20"/>
          <w:sz w:val="22"/>
        </w:rPr>
        <w:t>Se reduce la emigración indocumentada mexicana a Estados Unidos producto de la crisis económica y el control fronterizo (el número de migrantes mexicanos no autorizados en Estados Unidos se redujo en alrededor</w:t>
      </w:r>
      <w:r>
        <w:rPr>
          <w:color w:val="231F20"/>
          <w:spacing w:val="-11"/>
          <w:sz w:val="22"/>
        </w:rPr>
        <w:t> </w:t>
      </w:r>
      <w:r>
        <w:rPr>
          <w:color w:val="231F20"/>
          <w:sz w:val="22"/>
        </w:rPr>
        <w:t>de</w:t>
      </w:r>
      <w:r>
        <w:rPr>
          <w:color w:val="231F20"/>
          <w:spacing w:val="-10"/>
          <w:sz w:val="22"/>
        </w:rPr>
        <w:t> </w:t>
      </w:r>
      <w:r>
        <w:rPr>
          <w:color w:val="231F20"/>
          <w:sz w:val="22"/>
        </w:rPr>
        <w:t>400</w:t>
      </w:r>
      <w:r>
        <w:rPr>
          <w:color w:val="231F20"/>
          <w:spacing w:val="-10"/>
          <w:sz w:val="22"/>
        </w:rPr>
        <w:t> </w:t>
      </w:r>
      <w:r>
        <w:rPr>
          <w:color w:val="231F20"/>
          <w:sz w:val="22"/>
        </w:rPr>
        <w:t>mil</w:t>
      </w:r>
      <w:r>
        <w:rPr>
          <w:color w:val="231F20"/>
          <w:spacing w:val="-11"/>
          <w:sz w:val="22"/>
        </w:rPr>
        <w:t> </w:t>
      </w:r>
      <w:r>
        <w:rPr>
          <w:color w:val="231F20"/>
          <w:sz w:val="22"/>
        </w:rPr>
        <w:t>entre</w:t>
      </w:r>
      <w:r>
        <w:rPr>
          <w:color w:val="231F20"/>
          <w:spacing w:val="-11"/>
          <w:sz w:val="22"/>
        </w:rPr>
        <w:t> </w:t>
      </w:r>
      <w:r>
        <w:rPr>
          <w:color w:val="231F20"/>
          <w:sz w:val="22"/>
        </w:rPr>
        <w:t>2007</w:t>
      </w:r>
      <w:r>
        <w:rPr>
          <w:color w:val="231F20"/>
          <w:spacing w:val="-10"/>
          <w:sz w:val="22"/>
        </w:rPr>
        <w:t> </w:t>
      </w:r>
      <w:r>
        <w:rPr>
          <w:color w:val="231F20"/>
          <w:sz w:val="22"/>
        </w:rPr>
        <w:t>y</w:t>
      </w:r>
      <w:r>
        <w:rPr>
          <w:color w:val="231F20"/>
          <w:spacing w:val="-10"/>
          <w:sz w:val="22"/>
        </w:rPr>
        <w:t> </w:t>
      </w:r>
      <w:r>
        <w:rPr>
          <w:color w:val="231F20"/>
          <w:sz w:val="22"/>
        </w:rPr>
        <w:t>2010,</w:t>
      </w:r>
      <w:r>
        <w:rPr>
          <w:color w:val="231F20"/>
          <w:spacing w:val="-10"/>
          <w:sz w:val="22"/>
        </w:rPr>
        <w:t> </w:t>
      </w:r>
      <w:r>
        <w:rPr>
          <w:color w:val="231F20"/>
          <w:sz w:val="22"/>
        </w:rPr>
        <w:t>a</w:t>
      </w:r>
      <w:r>
        <w:rPr>
          <w:color w:val="231F20"/>
          <w:spacing w:val="-10"/>
          <w:sz w:val="22"/>
        </w:rPr>
        <w:t> </w:t>
      </w:r>
      <w:r>
        <w:rPr>
          <w:color w:val="231F20"/>
          <w:sz w:val="22"/>
        </w:rPr>
        <w:t>tal</w:t>
      </w:r>
      <w:r>
        <w:rPr>
          <w:color w:val="231F20"/>
          <w:spacing w:val="-11"/>
          <w:sz w:val="22"/>
        </w:rPr>
        <w:t> </w:t>
      </w:r>
      <w:r>
        <w:rPr>
          <w:color w:val="231F20"/>
          <w:sz w:val="22"/>
        </w:rPr>
        <w:t>punto</w:t>
      </w:r>
      <w:r>
        <w:rPr>
          <w:color w:val="231F20"/>
          <w:spacing w:val="-10"/>
          <w:sz w:val="22"/>
        </w:rPr>
        <w:t> </w:t>
      </w:r>
      <w:r>
        <w:rPr>
          <w:color w:val="231F20"/>
          <w:sz w:val="22"/>
        </w:rPr>
        <w:t>que</w:t>
      </w:r>
      <w:r>
        <w:rPr>
          <w:color w:val="231F20"/>
          <w:spacing w:val="-10"/>
          <w:sz w:val="22"/>
        </w:rPr>
        <w:t> </w:t>
      </w:r>
      <w:r>
        <w:rPr>
          <w:color w:val="231F20"/>
          <w:sz w:val="22"/>
        </w:rPr>
        <w:t>se</w:t>
      </w:r>
      <w:r>
        <w:rPr>
          <w:color w:val="231F20"/>
          <w:spacing w:val="-10"/>
          <w:sz w:val="22"/>
        </w:rPr>
        <w:t> </w:t>
      </w:r>
      <w:r>
        <w:rPr>
          <w:color w:val="231F20"/>
          <w:sz w:val="22"/>
        </w:rPr>
        <w:t>habla</w:t>
      </w:r>
      <w:r>
        <w:rPr>
          <w:color w:val="231F20"/>
          <w:spacing w:val="-10"/>
          <w:sz w:val="22"/>
        </w:rPr>
        <w:t> </w:t>
      </w:r>
      <w:r>
        <w:rPr>
          <w:color w:val="231F20"/>
          <w:sz w:val="22"/>
        </w:rPr>
        <w:t>de</w:t>
      </w:r>
      <w:r>
        <w:rPr>
          <w:color w:val="231F20"/>
          <w:spacing w:val="-10"/>
          <w:sz w:val="22"/>
        </w:rPr>
        <w:t> </w:t>
      </w:r>
      <w:r>
        <w:rPr>
          <w:color w:val="231F20"/>
          <w:sz w:val="22"/>
        </w:rPr>
        <w:t>una tasa cero de la migración) y el número de emigrantes documentados aumenta aunque a menor</w:t>
      </w:r>
      <w:r>
        <w:rPr>
          <w:color w:val="231F20"/>
          <w:spacing w:val="-3"/>
          <w:sz w:val="22"/>
        </w:rPr>
        <w:t> </w:t>
      </w:r>
      <w:r>
        <w:rPr>
          <w:color w:val="231F20"/>
          <w:sz w:val="22"/>
        </w:rPr>
        <w:t>ritmo.</w:t>
      </w:r>
    </w:p>
    <w:p>
      <w:pPr>
        <w:pStyle w:val="ListParagraph"/>
        <w:numPr>
          <w:ilvl w:val="0"/>
          <w:numId w:val="8"/>
        </w:numPr>
        <w:tabs>
          <w:tab w:pos="478" w:val="left" w:leader="none"/>
        </w:tabs>
        <w:spacing w:line="247" w:lineRule="auto" w:before="0" w:after="0"/>
        <w:ind w:left="477" w:right="115" w:hanging="360"/>
        <w:jc w:val="both"/>
        <w:rPr>
          <w:sz w:val="22"/>
        </w:rPr>
      </w:pPr>
      <w:r>
        <w:rPr>
          <w:color w:val="231F20"/>
          <w:sz w:val="22"/>
        </w:rPr>
        <w:t>Una participación cada vez mayor de las mujeres en los flujos migra- torios.</w:t>
      </w:r>
      <w:r>
        <w:rPr>
          <w:color w:val="231F20"/>
          <w:spacing w:val="-6"/>
          <w:sz w:val="22"/>
        </w:rPr>
        <w:t> </w:t>
      </w:r>
      <w:r>
        <w:rPr>
          <w:color w:val="231F20"/>
          <w:sz w:val="22"/>
        </w:rPr>
        <w:t>En</w:t>
      </w:r>
      <w:r>
        <w:rPr>
          <w:color w:val="231F20"/>
          <w:spacing w:val="-6"/>
          <w:sz w:val="22"/>
        </w:rPr>
        <w:t> </w:t>
      </w:r>
      <w:r>
        <w:rPr>
          <w:color w:val="231F20"/>
          <w:sz w:val="22"/>
        </w:rPr>
        <w:t>1994</w:t>
      </w:r>
      <w:r>
        <w:rPr>
          <w:color w:val="231F20"/>
          <w:spacing w:val="-6"/>
          <w:sz w:val="22"/>
        </w:rPr>
        <w:t> </w:t>
      </w:r>
      <w:r>
        <w:rPr>
          <w:color w:val="231F20"/>
          <w:sz w:val="22"/>
        </w:rPr>
        <w:t>había</w:t>
      </w:r>
      <w:r>
        <w:rPr>
          <w:color w:val="231F20"/>
          <w:spacing w:val="-7"/>
          <w:sz w:val="22"/>
        </w:rPr>
        <w:t> </w:t>
      </w:r>
      <w:r>
        <w:rPr>
          <w:color w:val="231F20"/>
          <w:sz w:val="22"/>
        </w:rPr>
        <w:t>2.9</w:t>
      </w:r>
      <w:r>
        <w:rPr>
          <w:color w:val="231F20"/>
          <w:spacing w:val="-6"/>
          <w:sz w:val="22"/>
        </w:rPr>
        <w:t> </w:t>
      </w:r>
      <w:r>
        <w:rPr>
          <w:color w:val="231F20"/>
          <w:sz w:val="22"/>
        </w:rPr>
        <w:t>millones</w:t>
      </w:r>
      <w:r>
        <w:rPr>
          <w:color w:val="231F20"/>
          <w:spacing w:val="-7"/>
          <w:sz w:val="22"/>
        </w:rPr>
        <w:t> </w:t>
      </w:r>
      <w:r>
        <w:rPr>
          <w:color w:val="231F20"/>
          <w:sz w:val="22"/>
        </w:rPr>
        <w:t>de</w:t>
      </w:r>
      <w:r>
        <w:rPr>
          <w:color w:val="231F20"/>
          <w:spacing w:val="-6"/>
          <w:sz w:val="22"/>
        </w:rPr>
        <w:t> </w:t>
      </w:r>
      <w:r>
        <w:rPr>
          <w:color w:val="231F20"/>
          <w:sz w:val="22"/>
        </w:rPr>
        <w:t>mujeres</w:t>
      </w:r>
      <w:r>
        <w:rPr>
          <w:color w:val="231F20"/>
          <w:spacing w:val="-7"/>
          <w:sz w:val="22"/>
        </w:rPr>
        <w:t> </w:t>
      </w:r>
      <w:r>
        <w:rPr>
          <w:color w:val="231F20"/>
          <w:sz w:val="22"/>
        </w:rPr>
        <w:t>mexicanas</w:t>
      </w:r>
      <w:r>
        <w:rPr>
          <w:color w:val="231F20"/>
          <w:spacing w:val="-7"/>
          <w:sz w:val="22"/>
        </w:rPr>
        <w:t> </w:t>
      </w:r>
      <w:r>
        <w:rPr>
          <w:color w:val="231F20"/>
          <w:sz w:val="22"/>
        </w:rPr>
        <w:t>residentes</w:t>
      </w:r>
      <w:r>
        <w:rPr>
          <w:color w:val="231F20"/>
          <w:spacing w:val="-7"/>
          <w:sz w:val="22"/>
        </w:rPr>
        <w:t> </w:t>
      </w:r>
      <w:r>
        <w:rPr>
          <w:color w:val="231F20"/>
          <w:sz w:val="22"/>
        </w:rPr>
        <w:t>en Estados Unidos y en 2009 el número aumento a 5.3 millones (uno de cada</w:t>
      </w:r>
      <w:r>
        <w:rPr>
          <w:color w:val="231F20"/>
          <w:spacing w:val="-9"/>
          <w:sz w:val="22"/>
        </w:rPr>
        <w:t> </w:t>
      </w:r>
      <w:r>
        <w:rPr>
          <w:color w:val="231F20"/>
          <w:sz w:val="22"/>
        </w:rPr>
        <w:t>dos</w:t>
      </w:r>
      <w:r>
        <w:rPr>
          <w:color w:val="231F20"/>
          <w:spacing w:val="-9"/>
          <w:sz w:val="22"/>
        </w:rPr>
        <w:t> </w:t>
      </w:r>
      <w:r>
        <w:rPr>
          <w:color w:val="231F20"/>
          <w:sz w:val="22"/>
        </w:rPr>
        <w:t>mexicanos</w:t>
      </w:r>
      <w:r>
        <w:rPr>
          <w:color w:val="231F20"/>
          <w:spacing w:val="-9"/>
          <w:sz w:val="22"/>
        </w:rPr>
        <w:t> </w:t>
      </w:r>
      <w:r>
        <w:rPr>
          <w:color w:val="231F20"/>
          <w:sz w:val="22"/>
        </w:rPr>
        <w:t>residentes</w:t>
      </w:r>
      <w:r>
        <w:rPr>
          <w:color w:val="231F20"/>
          <w:spacing w:val="-9"/>
          <w:sz w:val="22"/>
        </w:rPr>
        <w:t> </w:t>
      </w:r>
      <w:r>
        <w:rPr>
          <w:color w:val="231F20"/>
          <w:sz w:val="22"/>
        </w:rPr>
        <w:t>en</w:t>
      </w:r>
      <w:r>
        <w:rPr>
          <w:color w:val="231F20"/>
          <w:spacing w:val="-9"/>
          <w:sz w:val="22"/>
        </w:rPr>
        <w:t> </w:t>
      </w:r>
      <w:r>
        <w:rPr>
          <w:color w:val="231F20"/>
          <w:sz w:val="22"/>
        </w:rPr>
        <w:t>Estados</w:t>
      </w:r>
      <w:r>
        <w:rPr>
          <w:color w:val="231F20"/>
          <w:spacing w:val="-9"/>
          <w:sz w:val="22"/>
        </w:rPr>
        <w:t> </w:t>
      </w:r>
      <w:r>
        <w:rPr>
          <w:color w:val="231F20"/>
          <w:sz w:val="22"/>
        </w:rPr>
        <w:t>Unidos</w:t>
      </w:r>
      <w:r>
        <w:rPr>
          <w:color w:val="231F20"/>
          <w:spacing w:val="-9"/>
          <w:sz w:val="22"/>
        </w:rPr>
        <w:t> </w:t>
      </w:r>
      <w:r>
        <w:rPr>
          <w:color w:val="231F20"/>
          <w:sz w:val="22"/>
        </w:rPr>
        <w:t>son</w:t>
      </w:r>
      <w:r>
        <w:rPr>
          <w:color w:val="231F20"/>
          <w:spacing w:val="-9"/>
          <w:sz w:val="22"/>
        </w:rPr>
        <w:t> </w:t>
      </w:r>
      <w:r>
        <w:rPr>
          <w:color w:val="231F20"/>
          <w:sz w:val="22"/>
        </w:rPr>
        <w:t>mujeres),</w:t>
      </w:r>
      <w:r>
        <w:rPr>
          <w:color w:val="231F20"/>
          <w:spacing w:val="-9"/>
          <w:sz w:val="22"/>
        </w:rPr>
        <w:t> </w:t>
      </w:r>
      <w:r>
        <w:rPr>
          <w:color w:val="231F20"/>
          <w:sz w:val="22"/>
        </w:rPr>
        <w:t>ya</w:t>
      </w:r>
      <w:r>
        <w:rPr>
          <w:color w:val="231F20"/>
          <w:spacing w:val="-9"/>
          <w:sz w:val="22"/>
        </w:rPr>
        <w:t> </w:t>
      </w:r>
      <w:r>
        <w:rPr>
          <w:color w:val="231F20"/>
          <w:sz w:val="22"/>
        </w:rPr>
        <w:t>sea que se movilicen solas, en compañía de familiares o a través de redes sociales de la</w:t>
      </w:r>
      <w:r>
        <w:rPr>
          <w:color w:val="231F20"/>
          <w:spacing w:val="-7"/>
          <w:sz w:val="22"/>
        </w:rPr>
        <w:t> </w:t>
      </w:r>
      <w:r>
        <w:rPr>
          <w:color w:val="231F20"/>
          <w:sz w:val="22"/>
        </w:rPr>
        <w:t>comunidad.</w:t>
      </w:r>
    </w:p>
    <w:p>
      <w:pPr>
        <w:pStyle w:val="ListParagraph"/>
        <w:numPr>
          <w:ilvl w:val="0"/>
          <w:numId w:val="8"/>
        </w:numPr>
        <w:tabs>
          <w:tab w:pos="478" w:val="left" w:leader="none"/>
        </w:tabs>
        <w:spacing w:line="247" w:lineRule="auto" w:before="0" w:after="0"/>
        <w:ind w:left="477" w:right="114" w:hanging="360"/>
        <w:jc w:val="both"/>
        <w:rPr>
          <w:sz w:val="22"/>
        </w:rPr>
      </w:pPr>
      <w:r>
        <w:rPr>
          <w:color w:val="231F20"/>
          <w:sz w:val="22"/>
        </w:rPr>
        <w:t>Una creciente diversificación en los lugares de origen y destino de los migrantes mexicanos. El origen geográfico de los migrantes se exten- dió más allá de las entidades y municipios tradicionales, pero el flujo no descendió, hay nuevas áreas expulsoras. Actualmente, se originan corrientes migratorias en entidades carentes de tradición migratoria, como Morelos, Puebla, Hidalgo, el Estado de México y Distrito Fe- deral. México es la entidad que ha concentrado el mayor número de mexicanos. La parte sudoeste, integrada por California; </w:t>
      </w:r>
      <w:r>
        <w:rPr>
          <w:color w:val="231F20"/>
          <w:spacing w:val="-3"/>
          <w:sz w:val="22"/>
        </w:rPr>
        <w:t>Texas, </w:t>
      </w:r>
      <w:r>
        <w:rPr>
          <w:color w:val="231F20"/>
          <w:sz w:val="22"/>
        </w:rPr>
        <w:t>Ari- zona y Nuevo México son los que ha concentrado el mayor número de mexicanos; pero ha disminuido relativamente su participación en las últimas décadas a favor de otras regiones. Por ejemplo, en 1970 esta región concentraba 85 por ciento de los inmigrantes mexicanos, proporción que disminuyó en 2005 a 65 por ciento, mientras que la región costa este (Carolina del Norte, Carolina del </w:t>
      </w:r>
      <w:r>
        <w:rPr>
          <w:color w:val="231F20"/>
          <w:spacing w:val="-3"/>
          <w:sz w:val="22"/>
        </w:rPr>
        <w:t>Sur, </w:t>
      </w:r>
      <w:r>
        <w:rPr>
          <w:color w:val="231F20"/>
          <w:sz w:val="22"/>
        </w:rPr>
        <w:t>Connecticut, Delaware, Distrito de Colombia, Florida, Georgia, Maryland, Nueva </w:t>
      </w:r>
      <w:r>
        <w:rPr>
          <w:color w:val="231F20"/>
          <w:spacing w:val="-3"/>
          <w:sz w:val="22"/>
        </w:rPr>
        <w:t>Jersey, </w:t>
      </w:r>
      <w:r>
        <w:rPr>
          <w:color w:val="231F20"/>
          <w:sz w:val="22"/>
        </w:rPr>
        <w:t>Nueva </w:t>
      </w:r>
      <w:r>
        <w:rPr>
          <w:color w:val="231F20"/>
          <w:spacing w:val="-5"/>
          <w:sz w:val="22"/>
        </w:rPr>
        <w:t>York, </w:t>
      </w:r>
      <w:r>
        <w:rPr>
          <w:color w:val="231F20"/>
          <w:sz w:val="22"/>
        </w:rPr>
        <w:t>Pennsylvania, Rhode Island y Virginia)</w:t>
      </w:r>
      <w:r>
        <w:rPr>
          <w:color w:val="231F20"/>
          <w:spacing w:val="46"/>
          <w:sz w:val="22"/>
        </w:rPr>
        <w:t> </w:t>
      </w:r>
      <w:r>
        <w:rPr>
          <w:color w:val="231F20"/>
          <w:sz w:val="22"/>
        </w:rPr>
        <w:t>aumentó</w:t>
      </w:r>
    </w:p>
    <w:p>
      <w:pPr>
        <w:spacing w:after="0" w:line="247" w:lineRule="auto"/>
        <w:jc w:val="both"/>
        <w:rPr>
          <w:sz w:val="22"/>
        </w:rPr>
        <w:sectPr>
          <w:pgSz w:w="9360" w:h="13040"/>
          <w:pgMar w:header="0" w:footer="496" w:top="800" w:bottom="680" w:left="1300" w:right="1300"/>
        </w:sectPr>
      </w:pPr>
    </w:p>
    <w:p>
      <w:pPr>
        <w:spacing w:before="45"/>
        <w:ind w:left="477" w:right="0" w:firstLine="305"/>
        <w:jc w:val="left"/>
        <w:rPr>
          <w:rFonts w:ascii="Arial" w:hAnsi="Arial"/>
          <w:i/>
          <w:sz w:val="20"/>
        </w:rPr>
      </w:pPr>
      <w:r>
        <w:rPr>
          <w:rFonts w:ascii="Arial" w:hAnsi="Arial"/>
          <w:color w:val="231F20"/>
          <w:w w:val="66"/>
          <w:sz w:val="20"/>
        </w:rPr>
        <w:t>La</w:t>
      </w:r>
      <w:r>
        <w:rPr>
          <w:rFonts w:ascii="Arial" w:hAnsi="Arial"/>
          <w:color w:val="231F20"/>
          <w:spacing w:val="-1"/>
          <w:sz w:val="20"/>
        </w:rPr>
        <w:t> </w:t>
      </w:r>
      <w:r>
        <w:rPr>
          <w:rFonts w:ascii="Arial" w:hAnsi="Arial"/>
          <w:color w:val="231F20"/>
          <w:w w:val="76"/>
          <w:sz w:val="20"/>
        </w:rPr>
        <w:t>participación</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3"/>
          <w:sz w:val="20"/>
        </w:rPr>
        <w:t>población</w:t>
      </w:r>
      <w:r>
        <w:rPr>
          <w:rFonts w:ascii="Arial" w:hAnsi="Arial"/>
          <w:color w:val="231F20"/>
          <w:spacing w:val="-1"/>
          <w:sz w:val="20"/>
        </w:rPr>
        <w:t> </w:t>
      </w:r>
      <w:r>
        <w:rPr>
          <w:rFonts w:ascii="Arial" w:hAnsi="Arial"/>
          <w:color w:val="231F20"/>
          <w:w w:val="72"/>
          <w:sz w:val="20"/>
        </w:rPr>
        <w:t>indígena</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8"/>
          <w:sz w:val="20"/>
        </w:rPr>
        <w:t>migración...</w:t>
      </w:r>
      <w:r>
        <w:rPr>
          <w:rFonts w:ascii="Arial" w:hAnsi="Arial"/>
          <w:color w:val="231F20"/>
          <w:spacing w:val="-1"/>
          <w:sz w:val="20"/>
        </w:rPr>
        <w:t> </w:t>
      </w:r>
      <w:r>
        <w:rPr>
          <w:rFonts w:ascii="Arial" w:hAnsi="Arial"/>
          <w:color w:val="231F20"/>
          <w:w w:val="99"/>
          <w:sz w:val="20"/>
        </w:rPr>
        <w:t>/</w:t>
      </w:r>
      <w:r>
        <w:rPr>
          <w:rFonts w:ascii="Arial" w:hAnsi="Arial"/>
          <w:color w:val="231F20"/>
          <w:w w:val="49"/>
          <w:sz w:val="20"/>
        </w:rPr>
        <w:t>Juan</w:t>
      </w:r>
      <w:r>
        <w:rPr>
          <w:rFonts w:ascii="Arial" w:hAnsi="Arial"/>
          <w:color w:val="231F20"/>
          <w:spacing w:val="-17"/>
          <w:sz w:val="20"/>
        </w:rPr>
        <w:t> </w:t>
      </w:r>
      <w:r>
        <w:rPr>
          <w:rFonts w:ascii="Arial" w:hAnsi="Arial"/>
          <w:color w:val="231F20"/>
          <w:w w:val="49"/>
          <w:sz w:val="20"/>
        </w:rPr>
        <w:t>Gabino</w:t>
      </w:r>
      <w:r>
        <w:rPr>
          <w:rFonts w:ascii="Arial" w:hAnsi="Arial"/>
          <w:color w:val="231F20"/>
          <w:spacing w:val="-17"/>
          <w:sz w:val="20"/>
        </w:rPr>
        <w:t> </w:t>
      </w:r>
      <w:r>
        <w:rPr>
          <w:rFonts w:ascii="Arial" w:hAnsi="Arial"/>
          <w:color w:val="231F20"/>
          <w:w w:val="52"/>
          <w:sz w:val="20"/>
        </w:rPr>
        <w:t>González-Becerril</w:t>
      </w:r>
      <w:r>
        <w:rPr>
          <w:rFonts w:ascii="Arial" w:hAnsi="Arial"/>
          <w:color w:val="231F20"/>
          <w:spacing w:val="-17"/>
          <w:sz w:val="20"/>
        </w:rPr>
        <w:t> </w:t>
      </w:r>
      <w:r>
        <w:rPr>
          <w:rFonts w:ascii="Arial" w:hAnsi="Arial"/>
          <w:i/>
          <w:color w:val="231F20"/>
          <w:w w:val="55"/>
          <w:sz w:val="20"/>
        </w:rPr>
        <w:t>et</w:t>
      </w:r>
      <w:r>
        <w:rPr>
          <w:rFonts w:ascii="Arial" w:hAnsi="Arial"/>
          <w:i/>
          <w:color w:val="231F20"/>
          <w:spacing w:val="-17"/>
          <w:sz w:val="20"/>
        </w:rPr>
        <w:t> </w:t>
      </w:r>
      <w:r>
        <w:rPr>
          <w:rFonts w:ascii="Arial" w:hAnsi="Arial"/>
          <w:i/>
          <w:color w:val="231F20"/>
          <w:w w:val="58"/>
          <w:sz w:val="20"/>
        </w:rPr>
        <w:t>al.</w:t>
      </w:r>
    </w:p>
    <w:p>
      <w:pPr>
        <w:pStyle w:val="BodyText"/>
        <w:spacing w:before="7"/>
        <w:rPr>
          <w:rFonts w:ascii="Arial"/>
          <w:i/>
          <w:sz w:val="28"/>
        </w:rPr>
      </w:pPr>
    </w:p>
    <w:p>
      <w:pPr>
        <w:pStyle w:val="BodyText"/>
        <w:spacing w:line="247" w:lineRule="auto"/>
        <w:ind w:left="477" w:right="117"/>
      </w:pPr>
      <w:r>
        <w:rPr>
          <w:color w:val="231F20"/>
        </w:rPr>
        <w:t>su participación aceleradamente de tres a 12 por ciento en el mismo periodo (BBV, 2011).</w:t>
      </w:r>
    </w:p>
    <w:p>
      <w:pPr>
        <w:pStyle w:val="ListParagraph"/>
        <w:numPr>
          <w:ilvl w:val="0"/>
          <w:numId w:val="8"/>
        </w:numPr>
        <w:tabs>
          <w:tab w:pos="478" w:val="left" w:leader="none"/>
        </w:tabs>
        <w:spacing w:line="247" w:lineRule="auto" w:before="0" w:after="0"/>
        <w:ind w:left="477" w:right="115" w:hanging="360"/>
        <w:jc w:val="both"/>
        <w:rPr>
          <w:sz w:val="22"/>
        </w:rPr>
      </w:pPr>
      <w:r>
        <w:rPr>
          <w:color w:val="231F20"/>
          <w:sz w:val="22"/>
        </w:rPr>
        <w:t>Una</w:t>
      </w:r>
      <w:r>
        <w:rPr>
          <w:color w:val="231F20"/>
          <w:spacing w:val="-6"/>
          <w:sz w:val="22"/>
        </w:rPr>
        <w:t> </w:t>
      </w:r>
      <w:r>
        <w:rPr>
          <w:color w:val="231F20"/>
          <w:sz w:val="22"/>
        </w:rPr>
        <w:t>presencia</w:t>
      </w:r>
      <w:r>
        <w:rPr>
          <w:color w:val="231F20"/>
          <w:spacing w:val="-6"/>
          <w:sz w:val="22"/>
        </w:rPr>
        <w:t> </w:t>
      </w:r>
      <w:r>
        <w:rPr>
          <w:color w:val="231F20"/>
          <w:sz w:val="22"/>
        </w:rPr>
        <w:t>cada</w:t>
      </w:r>
      <w:r>
        <w:rPr>
          <w:color w:val="231F20"/>
          <w:spacing w:val="-6"/>
          <w:sz w:val="22"/>
        </w:rPr>
        <w:t> </w:t>
      </w:r>
      <w:r>
        <w:rPr>
          <w:color w:val="231F20"/>
          <w:sz w:val="22"/>
        </w:rPr>
        <w:t>vez</w:t>
      </w:r>
      <w:r>
        <w:rPr>
          <w:color w:val="231F20"/>
          <w:spacing w:val="-6"/>
          <w:sz w:val="22"/>
        </w:rPr>
        <w:t> </w:t>
      </w:r>
      <w:r>
        <w:rPr>
          <w:color w:val="231F20"/>
          <w:sz w:val="22"/>
        </w:rPr>
        <w:t>más</w:t>
      </w:r>
      <w:r>
        <w:rPr>
          <w:color w:val="231F20"/>
          <w:spacing w:val="-6"/>
          <w:sz w:val="22"/>
        </w:rPr>
        <w:t> </w:t>
      </w:r>
      <w:r>
        <w:rPr>
          <w:color w:val="231F20"/>
          <w:sz w:val="22"/>
        </w:rPr>
        <w:t>notoria</w:t>
      </w:r>
      <w:r>
        <w:rPr>
          <w:color w:val="231F20"/>
          <w:spacing w:val="-6"/>
          <w:sz w:val="22"/>
        </w:rPr>
        <w:t> </w:t>
      </w:r>
      <w:r>
        <w:rPr>
          <w:color w:val="231F20"/>
          <w:sz w:val="22"/>
        </w:rPr>
        <w:t>de</w:t>
      </w:r>
      <w:r>
        <w:rPr>
          <w:color w:val="231F20"/>
          <w:spacing w:val="-6"/>
          <w:sz w:val="22"/>
        </w:rPr>
        <w:t> </w:t>
      </w:r>
      <w:r>
        <w:rPr>
          <w:color w:val="231F20"/>
          <w:sz w:val="22"/>
        </w:rPr>
        <w:t>emigrantes</w:t>
      </w:r>
      <w:r>
        <w:rPr>
          <w:color w:val="231F20"/>
          <w:spacing w:val="-7"/>
          <w:sz w:val="22"/>
        </w:rPr>
        <w:t> </w:t>
      </w:r>
      <w:r>
        <w:rPr>
          <w:color w:val="231F20"/>
          <w:sz w:val="22"/>
        </w:rPr>
        <w:t>procedentes</w:t>
      </w:r>
      <w:r>
        <w:rPr>
          <w:color w:val="231F20"/>
          <w:spacing w:val="-6"/>
          <w:sz w:val="22"/>
        </w:rPr>
        <w:t> </w:t>
      </w:r>
      <w:r>
        <w:rPr>
          <w:color w:val="231F20"/>
          <w:sz w:val="22"/>
        </w:rPr>
        <w:t>de</w:t>
      </w:r>
      <w:r>
        <w:rPr>
          <w:color w:val="231F20"/>
          <w:spacing w:val="-6"/>
          <w:sz w:val="22"/>
        </w:rPr>
        <w:t> </w:t>
      </w:r>
      <w:r>
        <w:rPr>
          <w:color w:val="231F20"/>
          <w:sz w:val="22"/>
        </w:rPr>
        <w:t>ciu- dades y centros urbanos; diversos autores reconocen una mayor pre- sencia</w:t>
      </w:r>
      <w:r>
        <w:rPr>
          <w:color w:val="231F20"/>
          <w:spacing w:val="-5"/>
          <w:sz w:val="22"/>
        </w:rPr>
        <w:t> </w:t>
      </w:r>
      <w:r>
        <w:rPr>
          <w:color w:val="231F20"/>
          <w:sz w:val="22"/>
        </w:rPr>
        <w:t>de</w:t>
      </w:r>
      <w:r>
        <w:rPr>
          <w:color w:val="231F20"/>
          <w:spacing w:val="-5"/>
          <w:sz w:val="22"/>
        </w:rPr>
        <w:t> </w:t>
      </w:r>
      <w:r>
        <w:rPr>
          <w:color w:val="231F20"/>
          <w:sz w:val="22"/>
        </w:rPr>
        <w:t>la</w:t>
      </w:r>
      <w:r>
        <w:rPr>
          <w:color w:val="231F20"/>
          <w:spacing w:val="-5"/>
          <w:sz w:val="22"/>
        </w:rPr>
        <w:t> </w:t>
      </w:r>
      <w:r>
        <w:rPr>
          <w:color w:val="231F20"/>
          <w:sz w:val="22"/>
        </w:rPr>
        <w:t>migración</w:t>
      </w:r>
      <w:r>
        <w:rPr>
          <w:color w:val="231F20"/>
          <w:spacing w:val="-5"/>
          <w:sz w:val="22"/>
        </w:rPr>
        <w:t> </w:t>
      </w:r>
      <w:r>
        <w:rPr>
          <w:color w:val="231F20"/>
          <w:sz w:val="22"/>
        </w:rPr>
        <w:t>urbana</w:t>
      </w:r>
      <w:r>
        <w:rPr>
          <w:color w:val="231F20"/>
          <w:spacing w:val="-5"/>
          <w:sz w:val="22"/>
        </w:rPr>
        <w:t> </w:t>
      </w:r>
      <w:r>
        <w:rPr>
          <w:color w:val="231F20"/>
          <w:sz w:val="22"/>
        </w:rPr>
        <w:t>(Zazueta</w:t>
      </w:r>
      <w:r>
        <w:rPr>
          <w:color w:val="231F20"/>
          <w:spacing w:val="-5"/>
          <w:sz w:val="22"/>
        </w:rPr>
        <w:t> </w:t>
      </w:r>
      <w:r>
        <w:rPr>
          <w:color w:val="231F20"/>
          <w:sz w:val="22"/>
        </w:rPr>
        <w:t>y</w:t>
      </w:r>
      <w:r>
        <w:rPr>
          <w:color w:val="231F20"/>
          <w:spacing w:val="-5"/>
          <w:sz w:val="22"/>
        </w:rPr>
        <w:t> </w:t>
      </w:r>
      <w:r>
        <w:rPr>
          <w:color w:val="231F20"/>
          <w:sz w:val="22"/>
        </w:rPr>
        <w:t>Griego,</w:t>
      </w:r>
      <w:r>
        <w:rPr>
          <w:color w:val="231F20"/>
          <w:spacing w:val="-5"/>
          <w:sz w:val="22"/>
        </w:rPr>
        <w:t> </w:t>
      </w:r>
      <w:r>
        <w:rPr>
          <w:color w:val="231F20"/>
          <w:sz w:val="22"/>
        </w:rPr>
        <w:t>1982;</w:t>
      </w:r>
      <w:r>
        <w:rPr>
          <w:color w:val="231F20"/>
          <w:spacing w:val="-5"/>
          <w:sz w:val="22"/>
        </w:rPr>
        <w:t> </w:t>
      </w:r>
      <w:r>
        <w:rPr>
          <w:color w:val="231F20"/>
          <w:sz w:val="22"/>
        </w:rPr>
        <w:t>Corona,</w:t>
      </w:r>
      <w:r>
        <w:rPr>
          <w:color w:val="231F20"/>
          <w:spacing w:val="-5"/>
          <w:sz w:val="22"/>
        </w:rPr>
        <w:t> </w:t>
      </w:r>
      <w:r>
        <w:rPr>
          <w:color w:val="231F20"/>
          <w:sz w:val="22"/>
        </w:rPr>
        <w:t>1998; Durand, Massey y Zenteno, 2000; Lozano, 2001, entre</w:t>
      </w:r>
      <w:r>
        <w:rPr>
          <w:color w:val="231F20"/>
          <w:spacing w:val="-14"/>
          <w:sz w:val="22"/>
        </w:rPr>
        <w:t> </w:t>
      </w:r>
      <w:r>
        <w:rPr>
          <w:color w:val="231F20"/>
          <w:sz w:val="22"/>
        </w:rPr>
        <w:t>otros).</w:t>
      </w:r>
    </w:p>
    <w:p>
      <w:pPr>
        <w:pStyle w:val="ListParagraph"/>
        <w:numPr>
          <w:ilvl w:val="0"/>
          <w:numId w:val="8"/>
        </w:numPr>
        <w:tabs>
          <w:tab w:pos="478" w:val="left" w:leader="none"/>
        </w:tabs>
        <w:spacing w:line="253" w:lineRule="exact" w:before="0" w:after="0"/>
        <w:ind w:left="477" w:right="0" w:hanging="360"/>
        <w:jc w:val="both"/>
        <w:rPr>
          <w:sz w:val="22"/>
        </w:rPr>
      </w:pPr>
      <w:r>
        <w:rPr>
          <w:color w:val="231F20"/>
          <w:sz w:val="22"/>
        </w:rPr>
        <w:t>Un</w:t>
      </w:r>
      <w:r>
        <w:rPr>
          <w:color w:val="231F20"/>
          <w:spacing w:val="-7"/>
          <w:sz w:val="22"/>
        </w:rPr>
        <w:t> </w:t>
      </w:r>
      <w:r>
        <w:rPr>
          <w:color w:val="231F20"/>
          <w:sz w:val="22"/>
        </w:rPr>
        <w:t>incremento</w:t>
      </w:r>
      <w:r>
        <w:rPr>
          <w:color w:val="231F20"/>
          <w:spacing w:val="-7"/>
          <w:sz w:val="22"/>
        </w:rPr>
        <w:t> </w:t>
      </w:r>
      <w:r>
        <w:rPr>
          <w:color w:val="231F20"/>
          <w:sz w:val="22"/>
        </w:rPr>
        <w:t>de</w:t>
      </w:r>
      <w:r>
        <w:rPr>
          <w:color w:val="231F20"/>
          <w:spacing w:val="-7"/>
          <w:sz w:val="22"/>
        </w:rPr>
        <w:t> </w:t>
      </w:r>
      <w:r>
        <w:rPr>
          <w:color w:val="231F20"/>
          <w:sz w:val="22"/>
        </w:rPr>
        <w:t>los</w:t>
      </w:r>
      <w:r>
        <w:rPr>
          <w:color w:val="231F20"/>
          <w:spacing w:val="-7"/>
          <w:sz w:val="22"/>
        </w:rPr>
        <w:t> </w:t>
      </w:r>
      <w:r>
        <w:rPr>
          <w:color w:val="231F20"/>
          <w:sz w:val="22"/>
        </w:rPr>
        <w:t>riesgos</w:t>
      </w:r>
      <w:r>
        <w:rPr>
          <w:color w:val="231F20"/>
          <w:spacing w:val="-7"/>
          <w:sz w:val="22"/>
        </w:rPr>
        <w:t> </w:t>
      </w:r>
      <w:r>
        <w:rPr>
          <w:color w:val="231F20"/>
          <w:sz w:val="22"/>
        </w:rPr>
        <w:t>y</w:t>
      </w:r>
      <w:r>
        <w:rPr>
          <w:color w:val="231F20"/>
          <w:spacing w:val="-7"/>
          <w:sz w:val="22"/>
        </w:rPr>
        <w:t> </w:t>
      </w:r>
      <w:r>
        <w:rPr>
          <w:color w:val="231F20"/>
          <w:sz w:val="22"/>
        </w:rPr>
        <w:t>costos</w:t>
      </w:r>
      <w:r>
        <w:rPr>
          <w:color w:val="231F20"/>
          <w:spacing w:val="-7"/>
          <w:sz w:val="22"/>
        </w:rPr>
        <w:t> </w:t>
      </w:r>
      <w:r>
        <w:rPr>
          <w:color w:val="231F20"/>
          <w:sz w:val="22"/>
        </w:rPr>
        <w:t>de</w:t>
      </w:r>
      <w:r>
        <w:rPr>
          <w:color w:val="231F20"/>
          <w:spacing w:val="-7"/>
          <w:sz w:val="22"/>
        </w:rPr>
        <w:t> </w:t>
      </w:r>
      <w:r>
        <w:rPr>
          <w:color w:val="231F20"/>
          <w:sz w:val="22"/>
        </w:rPr>
        <w:t>la</w:t>
      </w:r>
      <w:r>
        <w:rPr>
          <w:color w:val="231F20"/>
          <w:spacing w:val="-7"/>
          <w:sz w:val="22"/>
        </w:rPr>
        <w:t> </w:t>
      </w:r>
      <w:r>
        <w:rPr>
          <w:color w:val="231F20"/>
          <w:sz w:val="22"/>
        </w:rPr>
        <w:t>migración</w:t>
      </w:r>
      <w:r>
        <w:rPr>
          <w:color w:val="231F20"/>
          <w:spacing w:val="-7"/>
          <w:sz w:val="22"/>
        </w:rPr>
        <w:t> </w:t>
      </w:r>
      <w:r>
        <w:rPr>
          <w:color w:val="231F20"/>
          <w:sz w:val="22"/>
        </w:rPr>
        <w:t>indocumentada.</w:t>
      </w:r>
    </w:p>
    <w:p>
      <w:pPr>
        <w:pStyle w:val="ListParagraph"/>
        <w:numPr>
          <w:ilvl w:val="0"/>
          <w:numId w:val="8"/>
        </w:numPr>
        <w:tabs>
          <w:tab w:pos="478" w:val="left" w:leader="none"/>
        </w:tabs>
        <w:spacing w:line="247" w:lineRule="auto" w:before="7" w:after="0"/>
        <w:ind w:left="477" w:right="114" w:hanging="360"/>
        <w:jc w:val="both"/>
        <w:rPr>
          <w:sz w:val="22"/>
        </w:rPr>
      </w:pPr>
      <w:r>
        <w:rPr>
          <w:color w:val="231F20"/>
          <w:sz w:val="22"/>
        </w:rPr>
        <w:t>Un incremento en el volumen de la población nacida en México resi- dente en Estados Unidos; una propensión cada vez mayor de los mi- grantes mexicanos a prolongar su estancia en Estados Unidos o esta- blecer su residencia en ese país, con el consecuente desgaste de los mecanismos</w:t>
      </w:r>
      <w:r>
        <w:rPr>
          <w:color w:val="231F20"/>
          <w:spacing w:val="-10"/>
          <w:sz w:val="22"/>
        </w:rPr>
        <w:t> </w:t>
      </w:r>
      <w:r>
        <w:rPr>
          <w:color w:val="231F20"/>
          <w:sz w:val="22"/>
        </w:rPr>
        <w:t>de</w:t>
      </w:r>
      <w:r>
        <w:rPr>
          <w:color w:val="231F20"/>
          <w:spacing w:val="-9"/>
          <w:sz w:val="22"/>
        </w:rPr>
        <w:t> </w:t>
      </w:r>
      <w:r>
        <w:rPr>
          <w:color w:val="231F20"/>
          <w:sz w:val="22"/>
        </w:rPr>
        <w:t>circularidad;</w:t>
      </w:r>
      <w:r>
        <w:rPr>
          <w:color w:val="231F20"/>
          <w:spacing w:val="-10"/>
          <w:sz w:val="22"/>
        </w:rPr>
        <w:t> </w:t>
      </w:r>
      <w:r>
        <w:rPr>
          <w:color w:val="231F20"/>
          <w:sz w:val="22"/>
        </w:rPr>
        <w:t>el</w:t>
      </w:r>
      <w:r>
        <w:rPr>
          <w:color w:val="231F20"/>
          <w:spacing w:val="-9"/>
          <w:sz w:val="22"/>
        </w:rPr>
        <w:t> </w:t>
      </w:r>
      <w:r>
        <w:rPr>
          <w:color w:val="231F20"/>
          <w:sz w:val="22"/>
        </w:rPr>
        <w:t>carácter</w:t>
      </w:r>
      <w:r>
        <w:rPr>
          <w:color w:val="231F20"/>
          <w:spacing w:val="-10"/>
          <w:sz w:val="22"/>
        </w:rPr>
        <w:t> </w:t>
      </w:r>
      <w:r>
        <w:rPr>
          <w:color w:val="231F20"/>
          <w:sz w:val="22"/>
        </w:rPr>
        <w:t>más</w:t>
      </w:r>
      <w:r>
        <w:rPr>
          <w:color w:val="231F20"/>
          <w:spacing w:val="-9"/>
          <w:sz w:val="22"/>
        </w:rPr>
        <w:t> </w:t>
      </w:r>
      <w:r>
        <w:rPr>
          <w:color w:val="231F20"/>
          <w:sz w:val="22"/>
        </w:rPr>
        <w:t>familiar</w:t>
      </w:r>
      <w:r>
        <w:rPr>
          <w:color w:val="231F20"/>
          <w:spacing w:val="-9"/>
          <w:sz w:val="22"/>
        </w:rPr>
        <w:t> </w:t>
      </w:r>
      <w:r>
        <w:rPr>
          <w:color w:val="231F20"/>
          <w:sz w:val="22"/>
        </w:rPr>
        <w:t>de</w:t>
      </w:r>
      <w:r>
        <w:rPr>
          <w:color w:val="231F20"/>
          <w:spacing w:val="-9"/>
          <w:sz w:val="22"/>
        </w:rPr>
        <w:t> </w:t>
      </w:r>
      <w:r>
        <w:rPr>
          <w:color w:val="231F20"/>
          <w:sz w:val="22"/>
        </w:rPr>
        <w:t>la</w:t>
      </w:r>
      <w:r>
        <w:rPr>
          <w:color w:val="231F20"/>
          <w:spacing w:val="-9"/>
          <w:sz w:val="22"/>
        </w:rPr>
        <w:t> </w:t>
      </w:r>
      <w:r>
        <w:rPr>
          <w:color w:val="231F20"/>
          <w:sz w:val="22"/>
        </w:rPr>
        <w:t>inmigración mexicana en Estados</w:t>
      </w:r>
      <w:r>
        <w:rPr>
          <w:color w:val="231F20"/>
          <w:spacing w:val="-10"/>
          <w:sz w:val="22"/>
        </w:rPr>
        <w:t> </w:t>
      </w:r>
      <w:r>
        <w:rPr>
          <w:color w:val="231F20"/>
          <w:sz w:val="22"/>
        </w:rPr>
        <w:t>Unidos.</w:t>
      </w:r>
    </w:p>
    <w:p>
      <w:pPr>
        <w:pStyle w:val="ListParagraph"/>
        <w:numPr>
          <w:ilvl w:val="0"/>
          <w:numId w:val="8"/>
        </w:numPr>
        <w:tabs>
          <w:tab w:pos="478" w:val="left" w:leader="none"/>
        </w:tabs>
        <w:spacing w:line="247" w:lineRule="auto" w:before="0" w:after="0"/>
        <w:ind w:left="477" w:right="115" w:hanging="360"/>
        <w:jc w:val="both"/>
        <w:rPr>
          <w:sz w:val="22"/>
        </w:rPr>
      </w:pPr>
      <w:r>
        <w:rPr>
          <w:color w:val="231F20"/>
          <w:sz w:val="22"/>
        </w:rPr>
        <w:t>Una</w:t>
      </w:r>
      <w:r>
        <w:rPr>
          <w:color w:val="231F20"/>
          <w:spacing w:val="-6"/>
          <w:sz w:val="22"/>
        </w:rPr>
        <w:t> </w:t>
      </w:r>
      <w:r>
        <w:rPr>
          <w:color w:val="231F20"/>
          <w:sz w:val="22"/>
        </w:rPr>
        <w:t>creciente</w:t>
      </w:r>
      <w:r>
        <w:rPr>
          <w:color w:val="231F20"/>
          <w:spacing w:val="-6"/>
          <w:sz w:val="22"/>
        </w:rPr>
        <w:t> </w:t>
      </w:r>
      <w:r>
        <w:rPr>
          <w:color w:val="231F20"/>
          <w:sz w:val="22"/>
        </w:rPr>
        <w:t>diversificación</w:t>
      </w:r>
      <w:r>
        <w:rPr>
          <w:color w:val="231F20"/>
          <w:spacing w:val="-6"/>
          <w:sz w:val="22"/>
        </w:rPr>
        <w:t> </w:t>
      </w:r>
      <w:r>
        <w:rPr>
          <w:color w:val="231F20"/>
          <w:sz w:val="22"/>
        </w:rPr>
        <w:t>ocupacional</w:t>
      </w:r>
      <w:r>
        <w:rPr>
          <w:color w:val="231F20"/>
          <w:spacing w:val="-6"/>
          <w:sz w:val="22"/>
        </w:rPr>
        <w:t> </w:t>
      </w:r>
      <w:r>
        <w:rPr>
          <w:color w:val="231F20"/>
          <w:sz w:val="22"/>
        </w:rPr>
        <w:t>y</w:t>
      </w:r>
      <w:r>
        <w:rPr>
          <w:color w:val="231F20"/>
          <w:spacing w:val="-6"/>
          <w:sz w:val="22"/>
        </w:rPr>
        <w:t> </w:t>
      </w:r>
      <w:r>
        <w:rPr>
          <w:color w:val="231F20"/>
          <w:sz w:val="22"/>
        </w:rPr>
        <w:t>de</w:t>
      </w:r>
      <w:r>
        <w:rPr>
          <w:color w:val="231F20"/>
          <w:spacing w:val="-6"/>
          <w:sz w:val="22"/>
        </w:rPr>
        <w:t> </w:t>
      </w:r>
      <w:r>
        <w:rPr>
          <w:color w:val="231F20"/>
          <w:sz w:val="22"/>
        </w:rPr>
        <w:t>sector</w:t>
      </w:r>
      <w:r>
        <w:rPr>
          <w:color w:val="231F20"/>
          <w:spacing w:val="-6"/>
          <w:sz w:val="22"/>
        </w:rPr>
        <w:t> </w:t>
      </w:r>
      <w:r>
        <w:rPr>
          <w:color w:val="231F20"/>
          <w:sz w:val="22"/>
        </w:rPr>
        <w:t>de</w:t>
      </w:r>
      <w:r>
        <w:rPr>
          <w:color w:val="231F20"/>
          <w:spacing w:val="-6"/>
          <w:sz w:val="22"/>
        </w:rPr>
        <w:t> </w:t>
      </w:r>
      <w:r>
        <w:rPr>
          <w:color w:val="231F20"/>
          <w:sz w:val="22"/>
        </w:rPr>
        <w:t>los</w:t>
      </w:r>
      <w:r>
        <w:rPr>
          <w:color w:val="231F20"/>
          <w:spacing w:val="-6"/>
          <w:sz w:val="22"/>
        </w:rPr>
        <w:t> </w:t>
      </w:r>
      <w:r>
        <w:rPr>
          <w:color w:val="231F20"/>
          <w:sz w:val="22"/>
        </w:rPr>
        <w:t>inmigran- tes mexicanos en Estados</w:t>
      </w:r>
      <w:r>
        <w:rPr>
          <w:color w:val="231F20"/>
          <w:spacing w:val="-11"/>
          <w:sz w:val="22"/>
        </w:rPr>
        <w:t> </w:t>
      </w:r>
      <w:r>
        <w:rPr>
          <w:color w:val="231F20"/>
          <w:sz w:val="22"/>
        </w:rPr>
        <w:t>Unidos.</w:t>
      </w:r>
    </w:p>
    <w:p>
      <w:pPr>
        <w:pStyle w:val="ListParagraph"/>
        <w:numPr>
          <w:ilvl w:val="0"/>
          <w:numId w:val="8"/>
        </w:numPr>
        <w:tabs>
          <w:tab w:pos="478" w:val="left" w:leader="none"/>
        </w:tabs>
        <w:spacing w:line="247" w:lineRule="auto" w:before="0" w:after="0"/>
        <w:ind w:left="477" w:right="115" w:hanging="360"/>
        <w:jc w:val="both"/>
        <w:rPr>
          <w:sz w:val="22"/>
        </w:rPr>
      </w:pPr>
      <w:r>
        <w:rPr>
          <w:color w:val="231F20"/>
          <w:sz w:val="22"/>
        </w:rPr>
        <w:t>La presencia de la migración indígena. El Consejo Nacional de</w:t>
      </w:r>
      <w:r>
        <w:rPr>
          <w:color w:val="231F20"/>
          <w:spacing w:val="-32"/>
          <w:sz w:val="22"/>
        </w:rPr>
        <w:t> </w:t>
      </w:r>
      <w:r>
        <w:rPr>
          <w:color w:val="231F20"/>
          <w:sz w:val="22"/>
        </w:rPr>
        <w:t>Pobla- ción (Conapo, 2001) en el boletín denominado “Población indígena en la migración temporal a Estados Unidos”, reconoce la presencia de esta población en la migración México-Estados</w:t>
      </w:r>
      <w:r>
        <w:rPr>
          <w:color w:val="231F20"/>
          <w:spacing w:val="-22"/>
          <w:sz w:val="22"/>
        </w:rPr>
        <w:t> </w:t>
      </w:r>
      <w:r>
        <w:rPr>
          <w:color w:val="231F20"/>
          <w:sz w:val="22"/>
        </w:rPr>
        <w:t>Unidos.</w:t>
      </w:r>
    </w:p>
    <w:p>
      <w:pPr>
        <w:pStyle w:val="BodyText"/>
        <w:spacing w:line="247" w:lineRule="auto" w:before="169"/>
        <w:ind w:left="117" w:right="115" w:firstLine="283"/>
        <w:jc w:val="both"/>
      </w:pPr>
      <w:r>
        <w:rPr>
          <w:color w:val="231F20"/>
        </w:rPr>
        <w:t>Es en esta lógica en que se inscribe este trabajo, el cual busca expo- ner dos dimensiones de la migración indígena (población de cinco años    o más que habla alguna lengua indígena), migrantes procedentes del </w:t>
      </w:r>
      <w:r>
        <w:rPr>
          <w:color w:val="231F20"/>
          <w:spacing w:val="-3"/>
        </w:rPr>
        <w:t>Sur, </w:t>
      </w:r>
      <w:r>
        <w:rPr>
          <w:color w:val="231F20"/>
        </w:rPr>
        <w:t>específicamente</w:t>
      </w:r>
      <w:r>
        <w:rPr>
          <w:color w:val="231F20"/>
          <w:spacing w:val="-13"/>
        </w:rPr>
        <w:t> </w:t>
      </w:r>
      <w:r>
        <w:rPr>
          <w:color w:val="231F20"/>
        </w:rPr>
        <w:t>Estado</w:t>
      </w:r>
      <w:r>
        <w:rPr>
          <w:color w:val="231F20"/>
          <w:spacing w:val="-13"/>
        </w:rPr>
        <w:t> </w:t>
      </w:r>
      <w:r>
        <w:rPr>
          <w:color w:val="231F20"/>
        </w:rPr>
        <w:t>de</w:t>
      </w:r>
      <w:r>
        <w:rPr>
          <w:color w:val="231F20"/>
          <w:spacing w:val="-13"/>
        </w:rPr>
        <w:t> </w:t>
      </w:r>
      <w:r>
        <w:rPr>
          <w:color w:val="231F20"/>
        </w:rPr>
        <w:t>México</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migración</w:t>
      </w:r>
      <w:r>
        <w:rPr>
          <w:color w:val="231F20"/>
          <w:spacing w:val="-13"/>
        </w:rPr>
        <w:t> </w:t>
      </w:r>
      <w:r>
        <w:rPr>
          <w:color w:val="231F20"/>
        </w:rPr>
        <w:t>de</w:t>
      </w:r>
      <w:r>
        <w:rPr>
          <w:color w:val="231F20"/>
          <w:spacing w:val="-13"/>
        </w:rPr>
        <w:t> </w:t>
      </w:r>
      <w:r>
        <w:rPr>
          <w:color w:val="231F20"/>
        </w:rPr>
        <w:t>retorno</w:t>
      </w:r>
      <w:r>
        <w:rPr>
          <w:color w:val="231F20"/>
          <w:spacing w:val="-13"/>
        </w:rPr>
        <w:t> </w:t>
      </w:r>
      <w:r>
        <w:rPr>
          <w:color w:val="231F20"/>
        </w:rPr>
        <w:t>desde</w:t>
      </w:r>
      <w:r>
        <w:rPr>
          <w:color w:val="231F20"/>
          <w:spacing w:val="-13"/>
        </w:rPr>
        <w:t> </w:t>
      </w:r>
      <w:r>
        <w:rPr>
          <w:color w:val="231F20"/>
        </w:rPr>
        <w:t>Estados Unidos con base en la</w:t>
      </w:r>
      <w:r>
        <w:rPr>
          <w:color w:val="231F20"/>
          <w:spacing w:val="-5"/>
        </w:rPr>
        <w:t> </w:t>
      </w:r>
      <w:r>
        <w:rPr>
          <w:color w:val="231F20"/>
          <w:spacing w:val="-4"/>
        </w:rPr>
        <w:t>EMIF.</w:t>
      </w:r>
    </w:p>
    <w:p>
      <w:pPr>
        <w:pStyle w:val="Heading3"/>
        <w:spacing w:line="242" w:lineRule="auto"/>
        <w:ind w:right="1342"/>
        <w:jc w:val="left"/>
      </w:pPr>
      <w:r>
        <w:rPr>
          <w:color w:val="231F20"/>
        </w:rPr>
        <w:t>Migrantes temporales con destino a Estados Unidos (procedentes del Sur o Estado de México)</w:t>
      </w:r>
    </w:p>
    <w:p>
      <w:pPr>
        <w:pStyle w:val="BodyText"/>
        <w:spacing w:line="247" w:lineRule="auto" w:before="170"/>
        <w:ind w:left="117" w:right="114"/>
        <w:jc w:val="both"/>
      </w:pPr>
      <w:r>
        <w:rPr>
          <w:color w:val="231F20"/>
        </w:rPr>
        <w:t>Durante el periodo de 1999 a 2009, se puede afirmar que pasó de 20 mil   a 30 mil el número de indígenas del país que se dirigieron a la frontera norte de México con la intención de cruzar a Estados Unidos para trabajar o buscar trabajo. Los años en que hubo mayor presencia de esta</w:t>
      </w:r>
      <w:r>
        <w:rPr>
          <w:color w:val="231F20"/>
          <w:spacing w:val="-29"/>
        </w:rPr>
        <w:t> </w:t>
      </w:r>
      <w:r>
        <w:rPr>
          <w:color w:val="231F20"/>
        </w:rPr>
        <w:t>migración fueron 2006 y 2007, que rebasaron a 100 mil indígenas que buscaban in- gresar al vecino país del norte (véase Cuadro 1a).</w:t>
      </w:r>
    </w:p>
    <w:p>
      <w:pPr>
        <w:pStyle w:val="BodyText"/>
        <w:spacing w:line="247" w:lineRule="auto"/>
        <w:ind w:left="117" w:right="115" w:firstLine="283"/>
        <w:jc w:val="both"/>
      </w:pPr>
      <w:r>
        <w:rPr>
          <w:color w:val="231F20"/>
        </w:rPr>
        <w:t>Si observásemos los datos en dos puntos en el tiempo diríamos que se presentó</w:t>
      </w:r>
      <w:r>
        <w:rPr>
          <w:color w:val="231F20"/>
          <w:spacing w:val="-11"/>
        </w:rPr>
        <w:t> </w:t>
      </w:r>
      <w:r>
        <w:rPr>
          <w:color w:val="231F20"/>
        </w:rPr>
        <w:t>un</w:t>
      </w:r>
      <w:r>
        <w:rPr>
          <w:color w:val="231F20"/>
          <w:spacing w:val="-11"/>
        </w:rPr>
        <w:t> </w:t>
      </w:r>
      <w:r>
        <w:rPr>
          <w:color w:val="231F20"/>
        </w:rPr>
        <w:t>aumento</w:t>
      </w:r>
      <w:r>
        <w:rPr>
          <w:color w:val="231F20"/>
          <w:spacing w:val="-12"/>
        </w:rPr>
        <w:t> </w:t>
      </w:r>
      <w:r>
        <w:rPr>
          <w:color w:val="231F20"/>
        </w:rPr>
        <w:t>de</w:t>
      </w:r>
      <w:r>
        <w:rPr>
          <w:color w:val="231F20"/>
          <w:spacing w:val="-11"/>
        </w:rPr>
        <w:t> </w:t>
      </w:r>
      <w:r>
        <w:rPr>
          <w:color w:val="231F20"/>
        </w:rPr>
        <w:t>más</w:t>
      </w:r>
      <w:r>
        <w:rPr>
          <w:color w:val="231F20"/>
          <w:spacing w:val="-11"/>
        </w:rPr>
        <w:t> </w:t>
      </w:r>
      <w:r>
        <w:rPr>
          <w:color w:val="231F20"/>
        </w:rPr>
        <w:t>de</w:t>
      </w:r>
      <w:r>
        <w:rPr>
          <w:color w:val="231F20"/>
          <w:spacing w:val="-11"/>
        </w:rPr>
        <w:t> </w:t>
      </w:r>
      <w:r>
        <w:rPr>
          <w:color w:val="231F20"/>
        </w:rPr>
        <w:t>ocho</w:t>
      </w:r>
      <w:r>
        <w:rPr>
          <w:color w:val="231F20"/>
          <w:spacing w:val="-11"/>
        </w:rPr>
        <w:t> </w:t>
      </w:r>
      <w:r>
        <w:rPr>
          <w:color w:val="231F20"/>
        </w:rPr>
        <w:t>mil</w:t>
      </w:r>
      <w:r>
        <w:rPr>
          <w:color w:val="231F20"/>
          <w:spacing w:val="-11"/>
        </w:rPr>
        <w:t> </w:t>
      </w:r>
      <w:r>
        <w:rPr>
          <w:color w:val="231F20"/>
        </w:rPr>
        <w:t>personas,</w:t>
      </w:r>
      <w:r>
        <w:rPr>
          <w:color w:val="231F20"/>
          <w:spacing w:val="-11"/>
        </w:rPr>
        <w:t> </w:t>
      </w:r>
      <w:r>
        <w:rPr>
          <w:color w:val="231F20"/>
        </w:rPr>
        <w:t>pero</w:t>
      </w:r>
      <w:r>
        <w:rPr>
          <w:color w:val="231F20"/>
          <w:spacing w:val="-11"/>
        </w:rPr>
        <w:t> </w:t>
      </w:r>
      <w:r>
        <w:rPr>
          <w:color w:val="231F20"/>
        </w:rPr>
        <w:t>si</w:t>
      </w:r>
      <w:r>
        <w:rPr>
          <w:color w:val="231F20"/>
          <w:spacing w:val="-11"/>
        </w:rPr>
        <w:t> </w:t>
      </w:r>
      <w:r>
        <w:rPr>
          <w:color w:val="231F20"/>
        </w:rPr>
        <w:t>se</w:t>
      </w:r>
      <w:r>
        <w:rPr>
          <w:color w:val="231F20"/>
          <w:spacing w:val="-11"/>
        </w:rPr>
        <w:t> </w:t>
      </w:r>
      <w:r>
        <w:rPr>
          <w:color w:val="231F20"/>
        </w:rPr>
        <w:t>observa</w:t>
      </w:r>
      <w:r>
        <w:rPr>
          <w:color w:val="231F20"/>
          <w:spacing w:val="-11"/>
        </w:rPr>
        <w:t> </w:t>
      </w:r>
      <w:r>
        <w:rPr>
          <w:color w:val="231F20"/>
        </w:rPr>
        <w:t>como tendencia, vemos que la emigración indígena presenta un patrón similar</w:t>
      </w:r>
      <w:r>
        <w:rPr>
          <w:color w:val="231F20"/>
          <w:spacing w:val="-24"/>
        </w:rPr>
        <w:t> </w:t>
      </w:r>
      <w:r>
        <w:rPr>
          <w:color w:val="231F20"/>
        </w:rPr>
        <w:t>al nacional, el de una disminución en el tiempo. Explicada por efecto de   </w:t>
      </w:r>
      <w:r>
        <w:rPr>
          <w:color w:val="231F20"/>
          <w:spacing w:val="2"/>
        </w:rPr>
        <w:t> </w:t>
      </w:r>
      <w:r>
        <w:rPr>
          <w:color w:val="231F20"/>
        </w:rPr>
        <w:t>la</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5"/>
        <w:jc w:val="both"/>
      </w:pPr>
      <w:r>
        <w:rPr>
          <w:color w:val="231F20"/>
        </w:rPr>
        <w:t>crisis económica estadunidense y el mayor control fronterizo que recae en una población de mayor vulnerabilidad.</w:t>
      </w:r>
    </w:p>
    <w:p>
      <w:pPr>
        <w:pStyle w:val="BodyText"/>
        <w:spacing w:line="247" w:lineRule="auto"/>
        <w:ind w:left="117" w:right="114" w:firstLine="283"/>
        <w:jc w:val="both"/>
      </w:pPr>
      <w:r>
        <w:rPr>
          <w:color w:val="231F20"/>
        </w:rPr>
        <w:t>En</w:t>
      </w:r>
      <w:r>
        <w:rPr>
          <w:color w:val="231F20"/>
          <w:spacing w:val="-8"/>
        </w:rPr>
        <w:t> </w:t>
      </w:r>
      <w:r>
        <w:rPr>
          <w:color w:val="231F20"/>
        </w:rPr>
        <w:t>cuanto</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migrantes</w:t>
      </w:r>
      <w:r>
        <w:rPr>
          <w:color w:val="231F20"/>
          <w:spacing w:val="-8"/>
        </w:rPr>
        <w:t> </w:t>
      </w:r>
      <w:r>
        <w:rPr>
          <w:color w:val="231F20"/>
        </w:rPr>
        <w:t>indígenas</w:t>
      </w:r>
      <w:r>
        <w:rPr>
          <w:color w:val="231F20"/>
          <w:spacing w:val="-8"/>
        </w:rPr>
        <w:t> </w:t>
      </w:r>
      <w:r>
        <w:rPr>
          <w:color w:val="231F20"/>
        </w:rPr>
        <w:t>procedentes</w:t>
      </w:r>
      <w:r>
        <w:rPr>
          <w:color w:val="231F20"/>
          <w:spacing w:val="-8"/>
        </w:rPr>
        <w:t> </w:t>
      </w:r>
      <w:r>
        <w:rPr>
          <w:color w:val="231F20"/>
        </w:rPr>
        <w:t>del</w:t>
      </w:r>
      <w:r>
        <w:rPr>
          <w:color w:val="231F20"/>
          <w:spacing w:val="-8"/>
        </w:rPr>
        <w:t> </w:t>
      </w:r>
      <w:r>
        <w:rPr>
          <w:color w:val="231F20"/>
        </w:rPr>
        <w:t>Estado</w:t>
      </w:r>
      <w:r>
        <w:rPr>
          <w:color w:val="231F20"/>
          <w:spacing w:val="-8"/>
        </w:rPr>
        <w:t> </w:t>
      </w:r>
      <w:r>
        <w:rPr>
          <w:color w:val="231F20"/>
        </w:rPr>
        <w:t>de</w:t>
      </w:r>
      <w:r>
        <w:rPr>
          <w:color w:val="231F20"/>
          <w:spacing w:val="-8"/>
        </w:rPr>
        <w:t> </w:t>
      </w:r>
      <w:r>
        <w:rPr>
          <w:color w:val="231F20"/>
        </w:rPr>
        <w:t>México, hay un patrón ascendente, porque al haber 125 personas con la intención de</w:t>
      </w:r>
      <w:r>
        <w:rPr>
          <w:color w:val="231F20"/>
          <w:spacing w:val="-4"/>
        </w:rPr>
        <w:t> </w:t>
      </w:r>
      <w:r>
        <w:rPr>
          <w:color w:val="231F20"/>
        </w:rPr>
        <w:t>migrar</w:t>
      </w:r>
      <w:r>
        <w:rPr>
          <w:color w:val="231F20"/>
          <w:spacing w:val="-4"/>
        </w:rPr>
        <w:t> </w:t>
      </w:r>
      <w:r>
        <w:rPr>
          <w:color w:val="231F20"/>
        </w:rPr>
        <w:t>a</w:t>
      </w:r>
      <w:r>
        <w:rPr>
          <w:color w:val="231F20"/>
          <w:spacing w:val="-4"/>
        </w:rPr>
        <w:t> </w:t>
      </w:r>
      <w:r>
        <w:rPr>
          <w:color w:val="231F20"/>
        </w:rPr>
        <w:t>Estados</w:t>
      </w:r>
      <w:r>
        <w:rPr>
          <w:color w:val="231F20"/>
          <w:spacing w:val="-4"/>
        </w:rPr>
        <w:t> </w:t>
      </w:r>
      <w:r>
        <w:rPr>
          <w:color w:val="231F20"/>
        </w:rPr>
        <w:t>Unidos</w:t>
      </w:r>
      <w:r>
        <w:rPr>
          <w:color w:val="231F20"/>
          <w:spacing w:val="-4"/>
        </w:rPr>
        <w:t> </w:t>
      </w:r>
      <w:r>
        <w:rPr>
          <w:color w:val="231F20"/>
        </w:rPr>
        <w:t>en</w:t>
      </w:r>
      <w:r>
        <w:rPr>
          <w:color w:val="231F20"/>
          <w:spacing w:val="-4"/>
        </w:rPr>
        <w:t> </w:t>
      </w:r>
      <w:r>
        <w:rPr>
          <w:color w:val="231F20"/>
        </w:rPr>
        <w:t>2000</w:t>
      </w:r>
      <w:r>
        <w:rPr>
          <w:color w:val="231F20"/>
          <w:spacing w:val="-4"/>
        </w:rPr>
        <w:t> </w:t>
      </w:r>
      <w:r>
        <w:rPr>
          <w:color w:val="231F20"/>
        </w:rPr>
        <w:t>a</w:t>
      </w:r>
      <w:r>
        <w:rPr>
          <w:color w:val="231F20"/>
          <w:spacing w:val="-4"/>
        </w:rPr>
        <w:t> </w:t>
      </w:r>
      <w:r>
        <w:rPr>
          <w:color w:val="231F20"/>
        </w:rPr>
        <w:t>1</w:t>
      </w:r>
      <w:r>
        <w:rPr>
          <w:color w:val="231F20"/>
          <w:spacing w:val="-4"/>
        </w:rPr>
        <w:t> </w:t>
      </w:r>
      <w:r>
        <w:rPr>
          <w:color w:val="231F20"/>
        </w:rPr>
        <w:t>692</w:t>
      </w:r>
      <w:r>
        <w:rPr>
          <w:color w:val="231F20"/>
          <w:spacing w:val="-4"/>
        </w:rPr>
        <w:t> </w:t>
      </w:r>
      <w:r>
        <w:rPr>
          <w:color w:val="231F20"/>
        </w:rPr>
        <w:t>en</w:t>
      </w:r>
      <w:r>
        <w:rPr>
          <w:color w:val="231F20"/>
          <w:spacing w:val="-4"/>
        </w:rPr>
        <w:t> </w:t>
      </w:r>
      <w:r>
        <w:rPr>
          <w:color w:val="231F20"/>
        </w:rPr>
        <w:t>2009,</w:t>
      </w:r>
      <w:r>
        <w:rPr>
          <w:color w:val="231F20"/>
          <w:spacing w:val="-4"/>
        </w:rPr>
        <w:t> </w:t>
      </w:r>
      <w:r>
        <w:rPr>
          <w:color w:val="231F20"/>
        </w:rPr>
        <w:t>se</w:t>
      </w:r>
      <w:r>
        <w:rPr>
          <w:color w:val="231F20"/>
          <w:spacing w:val="-4"/>
        </w:rPr>
        <w:t> </w:t>
      </w:r>
      <w:r>
        <w:rPr>
          <w:color w:val="231F20"/>
        </w:rPr>
        <w:t>observa</w:t>
      </w:r>
      <w:r>
        <w:rPr>
          <w:color w:val="231F20"/>
          <w:spacing w:val="-4"/>
        </w:rPr>
        <w:t> </w:t>
      </w:r>
      <w:r>
        <w:rPr>
          <w:color w:val="231F20"/>
        </w:rPr>
        <w:t>que</w:t>
      </w:r>
      <w:r>
        <w:rPr>
          <w:color w:val="231F20"/>
          <w:spacing w:val="-4"/>
        </w:rPr>
        <w:t> </w:t>
      </w:r>
      <w:r>
        <w:rPr>
          <w:color w:val="231F20"/>
        </w:rPr>
        <w:t>crece más</w:t>
      </w:r>
      <w:r>
        <w:rPr>
          <w:color w:val="231F20"/>
          <w:spacing w:val="-10"/>
        </w:rPr>
        <w:t> </w:t>
      </w:r>
      <w:r>
        <w:rPr>
          <w:color w:val="231F20"/>
        </w:rPr>
        <w:t>de</w:t>
      </w:r>
      <w:r>
        <w:rPr>
          <w:color w:val="231F20"/>
          <w:spacing w:val="-10"/>
        </w:rPr>
        <w:t> </w:t>
      </w:r>
      <w:r>
        <w:rPr>
          <w:color w:val="231F20"/>
        </w:rPr>
        <w:t>12.5</w:t>
      </w:r>
      <w:r>
        <w:rPr>
          <w:color w:val="231F20"/>
          <w:spacing w:val="-10"/>
        </w:rPr>
        <w:t> </w:t>
      </w:r>
      <w:r>
        <w:rPr>
          <w:color w:val="231F20"/>
        </w:rPr>
        <w:t>veces,</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equivale</w:t>
      </w:r>
      <w:r>
        <w:rPr>
          <w:color w:val="231F20"/>
          <w:spacing w:val="-10"/>
        </w:rPr>
        <w:t> </w:t>
      </w:r>
      <w:r>
        <w:rPr>
          <w:color w:val="231F20"/>
        </w:rPr>
        <w:t>a</w:t>
      </w:r>
      <w:r>
        <w:rPr>
          <w:color w:val="231F20"/>
          <w:spacing w:val="-10"/>
        </w:rPr>
        <w:t> </w:t>
      </w:r>
      <w:r>
        <w:rPr>
          <w:color w:val="231F20"/>
        </w:rPr>
        <w:t>1</w:t>
      </w:r>
      <w:r>
        <w:rPr>
          <w:color w:val="231F20"/>
          <w:spacing w:val="-10"/>
        </w:rPr>
        <w:t> </w:t>
      </w:r>
      <w:r>
        <w:rPr>
          <w:color w:val="231F20"/>
        </w:rPr>
        <w:t>567</w:t>
      </w:r>
      <w:r>
        <w:rPr>
          <w:color w:val="231F20"/>
          <w:spacing w:val="-10"/>
        </w:rPr>
        <w:t> </w:t>
      </w:r>
      <w:r>
        <w:rPr>
          <w:color w:val="231F20"/>
        </w:rPr>
        <w:t>personas.</w:t>
      </w:r>
      <w:r>
        <w:rPr>
          <w:color w:val="231F20"/>
          <w:spacing w:val="-10"/>
        </w:rPr>
        <w:t> </w:t>
      </w:r>
      <w:r>
        <w:rPr>
          <w:color w:val="231F20"/>
        </w:rPr>
        <w:t>Incluso</w:t>
      </w:r>
      <w:r>
        <w:rPr>
          <w:color w:val="231F20"/>
          <w:spacing w:val="-10"/>
        </w:rPr>
        <w:t> </w:t>
      </w:r>
      <w:r>
        <w:rPr>
          <w:color w:val="231F20"/>
        </w:rPr>
        <w:t>si</w:t>
      </w:r>
      <w:r>
        <w:rPr>
          <w:color w:val="231F20"/>
          <w:spacing w:val="-10"/>
        </w:rPr>
        <w:t> </w:t>
      </w:r>
      <w:r>
        <w:rPr>
          <w:color w:val="231F20"/>
        </w:rPr>
        <w:t>la</w:t>
      </w:r>
      <w:r>
        <w:rPr>
          <w:color w:val="231F20"/>
          <w:spacing w:val="-10"/>
        </w:rPr>
        <w:t> </w:t>
      </w:r>
      <w:r>
        <w:rPr>
          <w:color w:val="231F20"/>
        </w:rPr>
        <w:t>lectura</w:t>
      </w:r>
      <w:r>
        <w:rPr>
          <w:color w:val="231F20"/>
          <w:spacing w:val="-10"/>
        </w:rPr>
        <w:t> </w:t>
      </w:r>
      <w:r>
        <w:rPr>
          <w:color w:val="231F20"/>
        </w:rPr>
        <w:t>se hiciera</w:t>
      </w:r>
      <w:r>
        <w:rPr>
          <w:color w:val="231F20"/>
          <w:spacing w:val="-5"/>
        </w:rPr>
        <w:t> </w:t>
      </w:r>
      <w:r>
        <w:rPr>
          <w:color w:val="231F20"/>
        </w:rPr>
        <w:t>con</w:t>
      </w:r>
      <w:r>
        <w:rPr>
          <w:color w:val="231F20"/>
          <w:spacing w:val="-5"/>
        </w:rPr>
        <w:t> </w:t>
      </w:r>
      <w:r>
        <w:rPr>
          <w:color w:val="231F20"/>
        </w:rPr>
        <w:t>base</w:t>
      </w:r>
      <w:r>
        <w:rPr>
          <w:color w:val="231F20"/>
          <w:spacing w:val="-5"/>
        </w:rPr>
        <w:t> </w:t>
      </w:r>
      <w:r>
        <w:rPr>
          <w:color w:val="231F20"/>
        </w:rPr>
        <w:t>en</w:t>
      </w:r>
      <w:r>
        <w:rPr>
          <w:color w:val="231F20"/>
          <w:spacing w:val="-5"/>
        </w:rPr>
        <w:t> </w:t>
      </w:r>
      <w:r>
        <w:rPr>
          <w:color w:val="231F20"/>
        </w:rPr>
        <w:t>porcentajes,</w:t>
      </w:r>
      <w:r>
        <w:rPr>
          <w:color w:val="231F20"/>
          <w:spacing w:val="-5"/>
        </w:rPr>
        <w:t> </w:t>
      </w:r>
      <w:r>
        <w:rPr>
          <w:color w:val="231F20"/>
        </w:rPr>
        <w:t>el</w:t>
      </w:r>
      <w:r>
        <w:rPr>
          <w:color w:val="231F20"/>
          <w:spacing w:val="-5"/>
        </w:rPr>
        <w:t> </w:t>
      </w:r>
      <w:r>
        <w:rPr>
          <w:color w:val="231F20"/>
        </w:rPr>
        <w:t>patrón</w:t>
      </w:r>
      <w:r>
        <w:rPr>
          <w:color w:val="231F20"/>
          <w:spacing w:val="-5"/>
        </w:rPr>
        <w:t> </w:t>
      </w:r>
      <w:r>
        <w:rPr>
          <w:color w:val="231F20"/>
        </w:rPr>
        <w:t>general</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migración</w:t>
      </w:r>
      <w:r>
        <w:rPr>
          <w:color w:val="231F20"/>
          <w:spacing w:val="-6"/>
        </w:rPr>
        <w:t> </w:t>
      </w:r>
      <w:r>
        <w:rPr>
          <w:color w:val="231F20"/>
        </w:rPr>
        <w:t>indígena mexiquense</w:t>
      </w:r>
      <w:r>
        <w:rPr>
          <w:color w:val="231F20"/>
          <w:spacing w:val="-7"/>
        </w:rPr>
        <w:t> </w:t>
      </w:r>
      <w:r>
        <w:rPr>
          <w:color w:val="231F20"/>
        </w:rPr>
        <w:t>es</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crecimiento</w:t>
      </w:r>
      <w:r>
        <w:rPr>
          <w:color w:val="231F20"/>
          <w:spacing w:val="-6"/>
        </w:rPr>
        <w:t> </w:t>
      </w:r>
      <w:r>
        <w:rPr>
          <w:color w:val="231F20"/>
        </w:rPr>
        <w:t>en</w:t>
      </w:r>
      <w:r>
        <w:rPr>
          <w:color w:val="231F20"/>
          <w:spacing w:val="-6"/>
        </w:rPr>
        <w:t> </w:t>
      </w:r>
      <w:r>
        <w:rPr>
          <w:color w:val="231F20"/>
        </w:rPr>
        <w:t>esta</w:t>
      </w:r>
      <w:r>
        <w:rPr>
          <w:color w:val="231F20"/>
          <w:spacing w:val="-7"/>
        </w:rPr>
        <w:t> </w:t>
      </w:r>
      <w:r>
        <w:rPr>
          <w:color w:val="231F20"/>
        </w:rPr>
        <w:t>primera</w:t>
      </w:r>
      <w:r>
        <w:rPr>
          <w:color w:val="231F20"/>
          <w:spacing w:val="-7"/>
        </w:rPr>
        <w:t> </w:t>
      </w:r>
      <w:r>
        <w:rPr>
          <w:color w:val="231F20"/>
        </w:rPr>
        <w:t>década</w:t>
      </w:r>
      <w:r>
        <w:rPr>
          <w:color w:val="231F20"/>
          <w:spacing w:val="-7"/>
        </w:rPr>
        <w:t> </w:t>
      </w:r>
      <w:r>
        <w:rPr>
          <w:color w:val="231F20"/>
        </w:rPr>
        <w:t>del</w:t>
      </w:r>
      <w:r>
        <w:rPr>
          <w:color w:val="231F20"/>
          <w:spacing w:val="-6"/>
        </w:rPr>
        <w:t> </w:t>
      </w:r>
      <w:r>
        <w:rPr>
          <w:color w:val="231F20"/>
        </w:rPr>
        <w:t>siglo</w:t>
      </w:r>
      <w:r>
        <w:rPr>
          <w:color w:val="231F20"/>
          <w:spacing w:val="-6"/>
        </w:rPr>
        <w:t> </w:t>
      </w:r>
      <w:r>
        <w:rPr>
          <w:color w:val="231F20"/>
        </w:rPr>
        <w:t>XXI.</w:t>
      </w:r>
      <w:r>
        <w:rPr>
          <w:color w:val="231F20"/>
          <w:spacing w:val="-6"/>
        </w:rPr>
        <w:t> </w:t>
      </w:r>
      <w:r>
        <w:rPr>
          <w:color w:val="231F20"/>
        </w:rPr>
        <w:t>En el año 2000, representaba 0.6 por ciento de la emigración estatal y en el año 2009 se ubicó en 5.2 por ciento. Esto explica lo contrario al nacional, que a pesar de la crisis económica y el control fronterizo los indígenas mexiquenses buscaron migrar a Estados</w:t>
      </w:r>
      <w:r>
        <w:rPr>
          <w:color w:val="231F20"/>
          <w:spacing w:val="-10"/>
        </w:rPr>
        <w:t> </w:t>
      </w:r>
      <w:r>
        <w:rPr>
          <w:color w:val="231F20"/>
        </w:rPr>
        <w:t>Unidos.</w:t>
      </w:r>
    </w:p>
    <w:p>
      <w:pPr>
        <w:pStyle w:val="BodyText"/>
        <w:spacing w:line="247" w:lineRule="auto"/>
        <w:ind w:left="117" w:right="115" w:firstLine="283"/>
        <w:jc w:val="both"/>
      </w:pPr>
      <w:r>
        <w:rPr>
          <w:color w:val="231F20"/>
        </w:rPr>
        <w:t>Lo que cabe aclarar es que el mayor tamaño absoluto y relativo de la migración México-Estados Unidos son los no indígenas tanto a nivel na- cional y estatal. Pero vale la pena expresar que la creciente participación de</w:t>
      </w:r>
      <w:r>
        <w:rPr>
          <w:color w:val="231F20"/>
          <w:spacing w:val="-11"/>
        </w:rPr>
        <w:t> </w:t>
      </w:r>
      <w:r>
        <w:rPr>
          <w:color w:val="231F20"/>
        </w:rPr>
        <w:t>los</w:t>
      </w:r>
      <w:r>
        <w:rPr>
          <w:color w:val="231F20"/>
          <w:spacing w:val="-11"/>
        </w:rPr>
        <w:t> </w:t>
      </w:r>
      <w:r>
        <w:rPr>
          <w:color w:val="231F20"/>
        </w:rPr>
        <w:t>indígenas</w:t>
      </w:r>
      <w:r>
        <w:rPr>
          <w:color w:val="231F20"/>
          <w:spacing w:val="-11"/>
        </w:rPr>
        <w:t> </w:t>
      </w:r>
      <w:r>
        <w:rPr>
          <w:color w:val="231F20"/>
        </w:rPr>
        <w:t>de</w:t>
      </w:r>
      <w:r>
        <w:rPr>
          <w:color w:val="231F20"/>
          <w:spacing w:val="-11"/>
        </w:rPr>
        <w:t> </w:t>
      </w:r>
      <w:r>
        <w:rPr>
          <w:color w:val="231F20"/>
        </w:rPr>
        <w:t>otras</w:t>
      </w:r>
      <w:r>
        <w:rPr>
          <w:color w:val="231F20"/>
          <w:spacing w:val="-11"/>
        </w:rPr>
        <w:t> </w:t>
      </w:r>
      <w:r>
        <w:rPr>
          <w:color w:val="231F20"/>
        </w:rPr>
        <w:t>entidades</w:t>
      </w:r>
      <w:r>
        <w:rPr>
          <w:color w:val="231F20"/>
          <w:spacing w:val="-11"/>
        </w:rPr>
        <w:t> </w:t>
      </w:r>
      <w:r>
        <w:rPr>
          <w:color w:val="231F20"/>
        </w:rPr>
        <w:t>y</w:t>
      </w:r>
      <w:r>
        <w:rPr>
          <w:color w:val="231F20"/>
          <w:spacing w:val="-11"/>
        </w:rPr>
        <w:t> </w:t>
      </w:r>
      <w:r>
        <w:rPr>
          <w:color w:val="231F20"/>
        </w:rPr>
        <w:t>municipios</w:t>
      </w:r>
      <w:r>
        <w:rPr>
          <w:color w:val="231F20"/>
          <w:spacing w:val="-11"/>
        </w:rPr>
        <w:t> </w:t>
      </w:r>
      <w:r>
        <w:rPr>
          <w:color w:val="231F20"/>
        </w:rPr>
        <w:t>es</w:t>
      </w:r>
      <w:r>
        <w:rPr>
          <w:color w:val="231F20"/>
          <w:spacing w:val="-11"/>
        </w:rPr>
        <w:t> </w:t>
      </w:r>
      <w:r>
        <w:rPr>
          <w:color w:val="231F20"/>
        </w:rPr>
        <w:t>cada</w:t>
      </w:r>
      <w:r>
        <w:rPr>
          <w:color w:val="231F20"/>
          <w:spacing w:val="-11"/>
        </w:rPr>
        <w:t> </w:t>
      </w:r>
      <w:r>
        <w:rPr>
          <w:color w:val="231F20"/>
        </w:rPr>
        <w:t>vez</w:t>
      </w:r>
      <w:r>
        <w:rPr>
          <w:color w:val="231F20"/>
          <w:spacing w:val="-11"/>
        </w:rPr>
        <w:t> </w:t>
      </w:r>
      <w:r>
        <w:rPr>
          <w:color w:val="231F20"/>
        </w:rPr>
        <w:t>más</w:t>
      </w:r>
      <w:r>
        <w:rPr>
          <w:color w:val="231F20"/>
          <w:spacing w:val="-11"/>
        </w:rPr>
        <w:t> </w:t>
      </w:r>
      <w:r>
        <w:rPr>
          <w:color w:val="231F20"/>
        </w:rPr>
        <w:t>frecuente.</w:t>
      </w:r>
    </w:p>
    <w:p>
      <w:pPr>
        <w:pStyle w:val="Heading3"/>
        <w:spacing w:line="242" w:lineRule="auto"/>
        <w:ind w:right="154"/>
      </w:pPr>
      <w:r>
        <w:rPr>
          <w:color w:val="231F20"/>
        </w:rPr>
        <w:t>Características sociodemográficas de los migrantes</w:t>
      </w:r>
      <w:r>
        <w:rPr>
          <w:color w:val="231F20"/>
          <w:spacing w:val="-18"/>
        </w:rPr>
        <w:t> </w:t>
      </w:r>
      <w:r>
        <w:rPr>
          <w:color w:val="231F20"/>
        </w:rPr>
        <w:t>procedentes del Estado de</w:t>
      </w:r>
      <w:r>
        <w:rPr>
          <w:color w:val="231F20"/>
          <w:spacing w:val="-4"/>
        </w:rPr>
        <w:t> </w:t>
      </w:r>
      <w:r>
        <w:rPr>
          <w:color w:val="231F20"/>
        </w:rPr>
        <w:t>México</w:t>
      </w:r>
    </w:p>
    <w:p>
      <w:pPr>
        <w:pStyle w:val="BodyText"/>
        <w:spacing w:line="247" w:lineRule="auto" w:before="170"/>
        <w:ind w:left="117" w:right="115"/>
        <w:jc w:val="both"/>
      </w:pPr>
      <w:r>
        <w:rPr>
          <w:color w:val="231F20"/>
        </w:rPr>
        <w:t>En este apartado nos interesa destacar las características sociodemográfi- cas de los migrantes indígenas mexiquenses, pues son por quienes hemos manifestado</w:t>
      </w:r>
      <w:r>
        <w:rPr>
          <w:color w:val="231F20"/>
          <w:spacing w:val="-11"/>
        </w:rPr>
        <w:t> </w:t>
      </w:r>
      <w:r>
        <w:rPr>
          <w:color w:val="231F20"/>
        </w:rPr>
        <w:t>nuestro</w:t>
      </w:r>
      <w:r>
        <w:rPr>
          <w:color w:val="231F20"/>
          <w:spacing w:val="-10"/>
        </w:rPr>
        <w:t> </w:t>
      </w:r>
      <w:r>
        <w:rPr>
          <w:color w:val="231F20"/>
        </w:rPr>
        <w:t>interés</w:t>
      </w:r>
      <w:r>
        <w:rPr>
          <w:color w:val="231F20"/>
          <w:spacing w:val="-10"/>
        </w:rPr>
        <w:t> </w:t>
      </w:r>
      <w:r>
        <w:rPr>
          <w:color w:val="231F20"/>
        </w:rPr>
        <w:t>por</w:t>
      </w:r>
      <w:r>
        <w:rPr>
          <w:color w:val="231F20"/>
          <w:spacing w:val="-10"/>
        </w:rPr>
        <w:t> </w:t>
      </w:r>
      <w:r>
        <w:rPr>
          <w:color w:val="231F20"/>
        </w:rPr>
        <w:t>conocer</w:t>
      </w:r>
      <w:r>
        <w:rPr>
          <w:color w:val="231F20"/>
          <w:spacing w:val="-10"/>
        </w:rPr>
        <w:t> </w:t>
      </w:r>
      <w:r>
        <w:rPr>
          <w:color w:val="231F20"/>
        </w:rPr>
        <w:t>las</w:t>
      </w:r>
      <w:r>
        <w:rPr>
          <w:color w:val="231F20"/>
          <w:spacing w:val="-10"/>
        </w:rPr>
        <w:t> </w:t>
      </w:r>
      <w:r>
        <w:rPr>
          <w:color w:val="231F20"/>
        </w:rPr>
        <w:t>citadas</w:t>
      </w:r>
      <w:r>
        <w:rPr>
          <w:color w:val="231F20"/>
          <w:spacing w:val="-10"/>
        </w:rPr>
        <w:t> </w:t>
      </w:r>
      <w:r>
        <w:rPr>
          <w:color w:val="231F20"/>
        </w:rPr>
        <w:t>características</w:t>
      </w:r>
      <w:r>
        <w:rPr>
          <w:color w:val="231F20"/>
          <w:spacing w:val="-11"/>
        </w:rPr>
        <w:t> </w:t>
      </w:r>
      <w:r>
        <w:rPr>
          <w:color w:val="231F20"/>
        </w:rPr>
        <w:t>con</w:t>
      </w:r>
      <w:r>
        <w:rPr>
          <w:color w:val="231F20"/>
          <w:spacing w:val="-10"/>
        </w:rPr>
        <w:t> </w:t>
      </w:r>
      <w:r>
        <w:rPr>
          <w:color w:val="231F20"/>
        </w:rPr>
        <w:t>base en la EMIF 2000-2009.</w:t>
      </w:r>
    </w:p>
    <w:p>
      <w:pPr>
        <w:pStyle w:val="BodyText"/>
        <w:spacing w:line="247" w:lineRule="auto"/>
        <w:ind w:left="117" w:right="114" w:firstLine="283"/>
        <w:jc w:val="both"/>
      </w:pPr>
      <w:r>
        <w:rPr>
          <w:color w:val="231F20"/>
        </w:rPr>
        <w:t>Los indígenas del país y de la entidad constituyen una de las poblacio- nes más vulnerables de la migración internacional. Con el fin de mostrar algunas de las desventajas más significativas, a continuación se comparan sus</w:t>
      </w:r>
      <w:r>
        <w:rPr>
          <w:color w:val="231F20"/>
          <w:spacing w:val="-8"/>
        </w:rPr>
        <w:t> </w:t>
      </w:r>
      <w:r>
        <w:rPr>
          <w:color w:val="231F20"/>
        </w:rPr>
        <w:t>características</w:t>
      </w:r>
      <w:r>
        <w:rPr>
          <w:color w:val="231F20"/>
          <w:spacing w:val="-9"/>
        </w:rPr>
        <w:t> </w:t>
      </w:r>
      <w:r>
        <w:rPr>
          <w:color w:val="231F20"/>
        </w:rPr>
        <w:t>con</w:t>
      </w:r>
      <w:r>
        <w:rPr>
          <w:color w:val="231F20"/>
          <w:spacing w:val="-8"/>
        </w:rPr>
        <w:t> </w:t>
      </w:r>
      <w:r>
        <w:rPr>
          <w:color w:val="231F20"/>
        </w:rPr>
        <w:t>el</w:t>
      </w:r>
      <w:r>
        <w:rPr>
          <w:color w:val="231F20"/>
          <w:spacing w:val="-8"/>
        </w:rPr>
        <w:t> </w:t>
      </w:r>
      <w:r>
        <w:rPr>
          <w:color w:val="231F20"/>
        </w:rPr>
        <w:t>resto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migrantes.</w:t>
      </w:r>
      <w:r>
        <w:rPr>
          <w:color w:val="231F20"/>
          <w:spacing w:val="-9"/>
        </w:rPr>
        <w:t> </w:t>
      </w:r>
      <w:r>
        <w:rPr>
          <w:color w:val="231F20"/>
        </w:rPr>
        <w:t>En</w:t>
      </w:r>
      <w:r>
        <w:rPr>
          <w:color w:val="231F20"/>
          <w:spacing w:val="-8"/>
        </w:rPr>
        <w:t> </w:t>
      </w:r>
      <w:r>
        <w:rPr>
          <w:color w:val="231F20"/>
        </w:rPr>
        <w:t>efecto,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Cuadro</w:t>
      </w:r>
      <w:r>
        <w:rPr>
          <w:color w:val="231F20"/>
          <w:spacing w:val="-8"/>
        </w:rPr>
        <w:t> </w:t>
      </w:r>
      <w:r>
        <w:rPr>
          <w:color w:val="231F20"/>
        </w:rPr>
        <w:t>1b se</w:t>
      </w:r>
      <w:r>
        <w:rPr>
          <w:color w:val="231F20"/>
          <w:spacing w:val="-5"/>
        </w:rPr>
        <w:t> </w:t>
      </w:r>
      <w:r>
        <w:rPr>
          <w:color w:val="231F20"/>
        </w:rPr>
        <w:t>puede</w:t>
      </w:r>
      <w:r>
        <w:rPr>
          <w:color w:val="231F20"/>
          <w:spacing w:val="-5"/>
        </w:rPr>
        <w:t> </w:t>
      </w:r>
      <w:r>
        <w:rPr>
          <w:color w:val="231F20"/>
        </w:rPr>
        <w:t>observar</w:t>
      </w:r>
      <w:r>
        <w:rPr>
          <w:color w:val="231F20"/>
          <w:spacing w:val="-5"/>
        </w:rPr>
        <w:t> </w:t>
      </w:r>
      <w:r>
        <w:rPr>
          <w:color w:val="231F20"/>
        </w:rPr>
        <w:t>que</w:t>
      </w:r>
      <w:r>
        <w:rPr>
          <w:color w:val="231F20"/>
          <w:spacing w:val="-5"/>
        </w:rPr>
        <w:t> </w:t>
      </w:r>
      <w:r>
        <w:rPr>
          <w:color w:val="231F20"/>
        </w:rPr>
        <w:t>entre</w:t>
      </w:r>
      <w:r>
        <w:rPr>
          <w:color w:val="231F20"/>
          <w:spacing w:val="-5"/>
        </w:rPr>
        <w:t> </w:t>
      </w:r>
      <w:r>
        <w:rPr>
          <w:color w:val="231F20"/>
        </w:rPr>
        <w:t>los</w:t>
      </w:r>
      <w:r>
        <w:rPr>
          <w:color w:val="231F20"/>
          <w:spacing w:val="-5"/>
        </w:rPr>
        <w:t> </w:t>
      </w:r>
      <w:r>
        <w:rPr>
          <w:color w:val="231F20"/>
        </w:rPr>
        <w:t>indígenas</w:t>
      </w:r>
      <w:r>
        <w:rPr>
          <w:color w:val="231F20"/>
          <w:spacing w:val="-5"/>
        </w:rPr>
        <w:t> </w:t>
      </w:r>
      <w:r>
        <w:rPr>
          <w:color w:val="231F20"/>
        </w:rPr>
        <w:t>migrantes</w:t>
      </w:r>
      <w:r>
        <w:rPr>
          <w:color w:val="231F20"/>
          <w:spacing w:val="-5"/>
        </w:rPr>
        <w:t> </w:t>
      </w:r>
      <w:r>
        <w:rPr>
          <w:color w:val="231F20"/>
        </w:rPr>
        <w:t>la</w:t>
      </w:r>
      <w:r>
        <w:rPr>
          <w:color w:val="231F20"/>
          <w:spacing w:val="-5"/>
        </w:rPr>
        <w:t> </w:t>
      </w:r>
      <w:r>
        <w:rPr>
          <w:color w:val="231F20"/>
        </w:rPr>
        <w:t>participación</w:t>
      </w:r>
      <w:r>
        <w:rPr>
          <w:color w:val="231F20"/>
          <w:spacing w:val="-5"/>
        </w:rPr>
        <w:t> </w:t>
      </w:r>
      <w:r>
        <w:rPr>
          <w:color w:val="231F20"/>
        </w:rPr>
        <w:t>de</w:t>
      </w:r>
      <w:r>
        <w:rPr>
          <w:color w:val="231F20"/>
          <w:spacing w:val="-5"/>
        </w:rPr>
        <w:t> </w:t>
      </w:r>
      <w:r>
        <w:rPr>
          <w:color w:val="231F20"/>
        </w:rPr>
        <w:t>las mujeres es ligeramente menor que entre los migrantes no indígenas (uno por ciento menos), así como el hecho de que ambos grupos de población presentan</w:t>
      </w:r>
      <w:r>
        <w:rPr>
          <w:color w:val="231F20"/>
          <w:spacing w:val="-3"/>
        </w:rPr>
        <w:t> </w:t>
      </w:r>
      <w:r>
        <w:rPr>
          <w:color w:val="231F20"/>
        </w:rPr>
        <w:t>una</w:t>
      </w:r>
      <w:r>
        <w:rPr>
          <w:color w:val="231F20"/>
          <w:spacing w:val="-3"/>
        </w:rPr>
        <w:t> </w:t>
      </w:r>
      <w:r>
        <w:rPr>
          <w:color w:val="231F20"/>
        </w:rPr>
        <w:t>edad</w:t>
      </w:r>
      <w:r>
        <w:rPr>
          <w:color w:val="231F20"/>
          <w:spacing w:val="-3"/>
        </w:rPr>
        <w:t> </w:t>
      </w:r>
      <w:r>
        <w:rPr>
          <w:color w:val="231F20"/>
        </w:rPr>
        <w:t>promedio</w:t>
      </w:r>
      <w:r>
        <w:rPr>
          <w:color w:val="231F20"/>
          <w:spacing w:val="-3"/>
        </w:rPr>
        <w:t> </w:t>
      </w:r>
      <w:r>
        <w:rPr>
          <w:color w:val="231F20"/>
        </w:rPr>
        <w:t>de</w:t>
      </w:r>
      <w:r>
        <w:rPr>
          <w:color w:val="231F20"/>
          <w:spacing w:val="-3"/>
        </w:rPr>
        <w:t> </w:t>
      </w:r>
      <w:r>
        <w:rPr>
          <w:color w:val="231F20"/>
        </w:rPr>
        <w:t>31</w:t>
      </w:r>
      <w:r>
        <w:rPr>
          <w:color w:val="231F20"/>
          <w:spacing w:val="-3"/>
        </w:rPr>
        <w:t> </w:t>
      </w:r>
      <w:r>
        <w:rPr>
          <w:color w:val="231F20"/>
        </w:rPr>
        <w:t>años</w:t>
      </w:r>
      <w:r>
        <w:rPr>
          <w:color w:val="231F20"/>
          <w:spacing w:val="-3"/>
        </w:rPr>
        <w:t> </w:t>
      </w:r>
      <w:r>
        <w:rPr>
          <w:color w:val="231F20"/>
        </w:rPr>
        <w:t>para</w:t>
      </w:r>
      <w:r>
        <w:rPr>
          <w:color w:val="231F20"/>
          <w:spacing w:val="-3"/>
        </w:rPr>
        <w:t> </w:t>
      </w:r>
      <w:r>
        <w:rPr>
          <w:color w:val="231F20"/>
        </w:rPr>
        <w:t>los</w:t>
      </w:r>
      <w:r>
        <w:rPr>
          <w:color w:val="231F20"/>
          <w:spacing w:val="-3"/>
        </w:rPr>
        <w:t> </w:t>
      </w:r>
      <w:r>
        <w:rPr>
          <w:color w:val="231F20"/>
        </w:rPr>
        <w:t>indígenas</w:t>
      </w:r>
      <w:r>
        <w:rPr>
          <w:color w:val="231F20"/>
          <w:spacing w:val="-4"/>
        </w:rPr>
        <w:t> </w:t>
      </w:r>
      <w:r>
        <w:rPr>
          <w:color w:val="231F20"/>
        </w:rPr>
        <w:t>y</w:t>
      </w:r>
      <w:r>
        <w:rPr>
          <w:color w:val="231F20"/>
          <w:spacing w:val="-3"/>
        </w:rPr>
        <w:t> </w:t>
      </w:r>
      <w:r>
        <w:rPr>
          <w:color w:val="231F20"/>
        </w:rPr>
        <w:t>32</w:t>
      </w:r>
      <w:r>
        <w:rPr>
          <w:color w:val="231F20"/>
          <w:spacing w:val="-3"/>
        </w:rPr>
        <w:t> </w:t>
      </w:r>
      <w:r>
        <w:rPr>
          <w:color w:val="231F20"/>
        </w:rPr>
        <w:t>años</w:t>
      </w:r>
      <w:r>
        <w:rPr>
          <w:color w:val="231F20"/>
          <w:spacing w:val="-4"/>
        </w:rPr>
        <w:t> </w:t>
      </w:r>
      <w:r>
        <w:rPr>
          <w:color w:val="231F20"/>
        </w:rPr>
        <w:t>para los no indígenas, lo cual es congruente con el carácter laboral de la migra- ción. Sin embargo, debe señalarse que la participación de población joven es</w:t>
      </w:r>
      <w:r>
        <w:rPr>
          <w:color w:val="231F20"/>
          <w:spacing w:val="-3"/>
        </w:rPr>
        <w:t> </w:t>
      </w:r>
      <w:r>
        <w:rPr>
          <w:color w:val="231F20"/>
        </w:rPr>
        <w:t>menor</w:t>
      </w:r>
      <w:r>
        <w:rPr>
          <w:color w:val="231F20"/>
          <w:spacing w:val="-3"/>
        </w:rPr>
        <w:t> </w:t>
      </w:r>
      <w:r>
        <w:rPr>
          <w:color w:val="231F20"/>
        </w:rPr>
        <w:t>entre</w:t>
      </w:r>
      <w:r>
        <w:rPr>
          <w:color w:val="231F20"/>
          <w:spacing w:val="-3"/>
        </w:rPr>
        <w:t> </w:t>
      </w:r>
      <w:r>
        <w:rPr>
          <w:color w:val="231F20"/>
        </w:rPr>
        <w:t>los</w:t>
      </w:r>
      <w:r>
        <w:rPr>
          <w:color w:val="231F20"/>
          <w:spacing w:val="-3"/>
        </w:rPr>
        <w:t> </w:t>
      </w:r>
      <w:r>
        <w:rPr>
          <w:color w:val="231F20"/>
        </w:rPr>
        <w:t>indígenas</w:t>
      </w:r>
      <w:r>
        <w:rPr>
          <w:color w:val="231F20"/>
          <w:spacing w:val="-3"/>
        </w:rPr>
        <w:t> </w:t>
      </w:r>
      <w:r>
        <w:rPr>
          <w:color w:val="231F20"/>
        </w:rPr>
        <w:t>mexiquenses,</w:t>
      </w:r>
      <w:r>
        <w:rPr>
          <w:color w:val="231F20"/>
          <w:spacing w:val="-4"/>
        </w:rPr>
        <w:t> </w:t>
      </w:r>
      <w:r>
        <w:rPr>
          <w:color w:val="231F20"/>
        </w:rPr>
        <w:t>donde</w:t>
      </w:r>
      <w:r>
        <w:rPr>
          <w:color w:val="231F20"/>
          <w:spacing w:val="-3"/>
        </w:rPr>
        <w:t> </w:t>
      </w:r>
      <w:r>
        <w:rPr>
          <w:color w:val="231F20"/>
        </w:rPr>
        <w:t>el</w:t>
      </w:r>
      <w:r>
        <w:rPr>
          <w:color w:val="231F20"/>
          <w:spacing w:val="-3"/>
        </w:rPr>
        <w:t> </w:t>
      </w:r>
      <w:r>
        <w:rPr>
          <w:color w:val="231F20"/>
        </w:rPr>
        <w:t>grupo</w:t>
      </w:r>
      <w:r>
        <w:rPr>
          <w:color w:val="231F20"/>
          <w:spacing w:val="-3"/>
        </w:rPr>
        <w:t> </w:t>
      </w:r>
      <w:r>
        <w:rPr>
          <w:color w:val="231F20"/>
        </w:rPr>
        <w:t>de</w:t>
      </w:r>
      <w:r>
        <w:rPr>
          <w:color w:val="231F20"/>
          <w:spacing w:val="-3"/>
        </w:rPr>
        <w:t> </w:t>
      </w:r>
      <w:r>
        <w:rPr>
          <w:color w:val="231F20"/>
        </w:rPr>
        <w:t>12</w:t>
      </w:r>
      <w:r>
        <w:rPr>
          <w:color w:val="231F20"/>
          <w:spacing w:val="-3"/>
        </w:rPr>
        <w:t> </w:t>
      </w:r>
      <w:r>
        <w:rPr>
          <w:color w:val="231F20"/>
        </w:rPr>
        <w:t>a</w:t>
      </w:r>
      <w:r>
        <w:rPr>
          <w:color w:val="231F20"/>
          <w:spacing w:val="-3"/>
        </w:rPr>
        <w:t> </w:t>
      </w:r>
      <w:r>
        <w:rPr>
          <w:color w:val="231F20"/>
        </w:rPr>
        <w:t>14</w:t>
      </w:r>
      <w:r>
        <w:rPr>
          <w:color w:val="231F20"/>
          <w:spacing w:val="-3"/>
        </w:rPr>
        <w:t> </w:t>
      </w:r>
      <w:r>
        <w:rPr>
          <w:color w:val="231F20"/>
        </w:rPr>
        <w:t>años de</w:t>
      </w:r>
      <w:r>
        <w:rPr>
          <w:color w:val="231F20"/>
          <w:spacing w:val="-11"/>
        </w:rPr>
        <w:t> </w:t>
      </w:r>
      <w:r>
        <w:rPr>
          <w:color w:val="231F20"/>
        </w:rPr>
        <w:t>edad</w:t>
      </w:r>
      <w:r>
        <w:rPr>
          <w:color w:val="231F20"/>
          <w:spacing w:val="-11"/>
        </w:rPr>
        <w:t> </w:t>
      </w:r>
      <w:r>
        <w:rPr>
          <w:color w:val="231F20"/>
        </w:rPr>
        <w:t>representa</w:t>
      </w:r>
      <w:r>
        <w:rPr>
          <w:color w:val="231F20"/>
          <w:spacing w:val="-11"/>
        </w:rPr>
        <w:t> </w:t>
      </w:r>
      <w:r>
        <w:rPr>
          <w:color w:val="231F20"/>
        </w:rPr>
        <w:t>cinco</w:t>
      </w:r>
      <w:r>
        <w:rPr>
          <w:color w:val="231F20"/>
          <w:spacing w:val="-11"/>
        </w:rPr>
        <w:t> </w:t>
      </w:r>
      <w:r>
        <w:rPr>
          <w:color w:val="231F20"/>
        </w:rPr>
        <w:t>y</w:t>
      </w:r>
      <w:r>
        <w:rPr>
          <w:color w:val="231F20"/>
          <w:spacing w:val="-11"/>
        </w:rPr>
        <w:t> </w:t>
      </w:r>
      <w:r>
        <w:rPr>
          <w:color w:val="231F20"/>
        </w:rPr>
        <w:t>10.5</w:t>
      </w:r>
      <w:r>
        <w:rPr>
          <w:color w:val="231F20"/>
          <w:spacing w:val="-11"/>
        </w:rPr>
        <w:t> </w:t>
      </w:r>
      <w:r>
        <w:rPr>
          <w:color w:val="231F20"/>
        </w:rPr>
        <w:t>por</w:t>
      </w:r>
      <w:r>
        <w:rPr>
          <w:color w:val="231F20"/>
          <w:spacing w:val="-11"/>
        </w:rPr>
        <w:t> </w:t>
      </w:r>
      <w:r>
        <w:rPr>
          <w:color w:val="231F20"/>
        </w:rPr>
        <w:t>ciento,</w:t>
      </w:r>
      <w:r>
        <w:rPr>
          <w:color w:val="231F20"/>
          <w:spacing w:val="-11"/>
        </w:rPr>
        <w:t> </w:t>
      </w:r>
      <w:r>
        <w:rPr>
          <w:color w:val="231F20"/>
        </w:rPr>
        <w:t>en</w:t>
      </w:r>
      <w:r>
        <w:rPr>
          <w:color w:val="231F20"/>
          <w:spacing w:val="-11"/>
        </w:rPr>
        <w:t> </w:t>
      </w:r>
      <w:r>
        <w:rPr>
          <w:color w:val="231F20"/>
        </w:rPr>
        <w:t>2000</w:t>
      </w:r>
      <w:r>
        <w:rPr>
          <w:color w:val="231F20"/>
          <w:spacing w:val="-11"/>
        </w:rPr>
        <w:t> </w:t>
      </w:r>
      <w:r>
        <w:rPr>
          <w:color w:val="231F20"/>
        </w:rPr>
        <w:t>y</w:t>
      </w:r>
      <w:r>
        <w:rPr>
          <w:color w:val="231F20"/>
          <w:spacing w:val="-11"/>
        </w:rPr>
        <w:t> </w:t>
      </w:r>
      <w:r>
        <w:rPr>
          <w:color w:val="231F20"/>
        </w:rPr>
        <w:t>2009,</w:t>
      </w:r>
      <w:r>
        <w:rPr>
          <w:color w:val="231F20"/>
          <w:spacing w:val="-11"/>
        </w:rPr>
        <w:t> </w:t>
      </w:r>
      <w:r>
        <w:rPr>
          <w:color w:val="231F20"/>
        </w:rPr>
        <w:t>respectivamen- te, frente a 15 y 24 por ciento en el resto de los migrantes temporales en</w:t>
      </w:r>
      <w:r>
        <w:rPr>
          <w:color w:val="231F20"/>
          <w:spacing w:val="-33"/>
        </w:rPr>
        <w:t> </w:t>
      </w:r>
      <w:r>
        <w:rPr>
          <w:color w:val="231F20"/>
        </w:rPr>
        <w:t>el mismo</w:t>
      </w:r>
      <w:r>
        <w:rPr>
          <w:color w:val="231F20"/>
          <w:spacing w:val="-1"/>
        </w:rPr>
        <w:t> </w:t>
      </w:r>
      <w:r>
        <w:rPr>
          <w:color w:val="231F20"/>
        </w:rPr>
        <w:t>periodo.</w:t>
      </w:r>
    </w:p>
    <w:p>
      <w:pPr>
        <w:spacing w:after="0" w:line="247" w:lineRule="auto"/>
        <w:jc w:val="both"/>
        <w:sectPr>
          <w:pgSz w:w="9360" w:h="13040"/>
          <w:pgMar w:header="0" w:footer="496" w:top="800" w:bottom="680" w:left="1300" w:right="1300"/>
        </w:sectPr>
      </w:pPr>
    </w:p>
    <w:p>
      <w:pPr>
        <w:spacing w:before="45"/>
        <w:ind w:left="782" w:right="0" w:firstLine="0"/>
        <w:jc w:val="left"/>
        <w:rPr>
          <w:rFonts w:ascii="Arial" w:hAnsi="Arial"/>
          <w:i/>
          <w:sz w:val="20"/>
        </w:rPr>
      </w:pPr>
      <w:r>
        <w:rPr>
          <w:rFonts w:ascii="Arial" w:hAnsi="Arial"/>
          <w:color w:val="231F20"/>
          <w:w w:val="66"/>
          <w:sz w:val="20"/>
        </w:rPr>
        <w:t>La</w:t>
      </w:r>
      <w:r>
        <w:rPr>
          <w:rFonts w:ascii="Arial" w:hAnsi="Arial"/>
          <w:color w:val="231F20"/>
          <w:spacing w:val="-1"/>
          <w:sz w:val="20"/>
        </w:rPr>
        <w:t> </w:t>
      </w:r>
      <w:r>
        <w:rPr>
          <w:rFonts w:ascii="Arial" w:hAnsi="Arial"/>
          <w:color w:val="231F20"/>
          <w:w w:val="76"/>
          <w:sz w:val="20"/>
        </w:rPr>
        <w:t>participación</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3"/>
          <w:sz w:val="20"/>
        </w:rPr>
        <w:t>población</w:t>
      </w:r>
      <w:r>
        <w:rPr>
          <w:rFonts w:ascii="Arial" w:hAnsi="Arial"/>
          <w:color w:val="231F20"/>
          <w:spacing w:val="-1"/>
          <w:sz w:val="20"/>
        </w:rPr>
        <w:t> </w:t>
      </w:r>
      <w:r>
        <w:rPr>
          <w:rFonts w:ascii="Arial" w:hAnsi="Arial"/>
          <w:color w:val="231F20"/>
          <w:w w:val="72"/>
          <w:sz w:val="20"/>
        </w:rPr>
        <w:t>indígena</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8"/>
          <w:sz w:val="20"/>
        </w:rPr>
        <w:t>migración...</w:t>
      </w:r>
      <w:r>
        <w:rPr>
          <w:rFonts w:ascii="Arial" w:hAnsi="Arial"/>
          <w:color w:val="231F20"/>
          <w:spacing w:val="-1"/>
          <w:sz w:val="20"/>
        </w:rPr>
        <w:t> </w:t>
      </w:r>
      <w:r>
        <w:rPr>
          <w:rFonts w:ascii="Arial" w:hAnsi="Arial"/>
          <w:color w:val="231F20"/>
          <w:w w:val="99"/>
          <w:sz w:val="20"/>
        </w:rPr>
        <w:t>/</w:t>
      </w:r>
      <w:r>
        <w:rPr>
          <w:rFonts w:ascii="Arial" w:hAnsi="Arial"/>
          <w:color w:val="231F20"/>
          <w:w w:val="49"/>
          <w:sz w:val="20"/>
        </w:rPr>
        <w:t>Juan</w:t>
      </w:r>
      <w:r>
        <w:rPr>
          <w:rFonts w:ascii="Arial" w:hAnsi="Arial"/>
          <w:color w:val="231F20"/>
          <w:spacing w:val="-17"/>
          <w:sz w:val="20"/>
        </w:rPr>
        <w:t> </w:t>
      </w:r>
      <w:r>
        <w:rPr>
          <w:rFonts w:ascii="Arial" w:hAnsi="Arial"/>
          <w:color w:val="231F20"/>
          <w:w w:val="49"/>
          <w:sz w:val="20"/>
        </w:rPr>
        <w:t>Gabino</w:t>
      </w:r>
      <w:r>
        <w:rPr>
          <w:rFonts w:ascii="Arial" w:hAnsi="Arial"/>
          <w:color w:val="231F20"/>
          <w:spacing w:val="-17"/>
          <w:sz w:val="20"/>
        </w:rPr>
        <w:t> </w:t>
      </w:r>
      <w:r>
        <w:rPr>
          <w:rFonts w:ascii="Arial" w:hAnsi="Arial"/>
          <w:color w:val="231F20"/>
          <w:w w:val="52"/>
          <w:sz w:val="20"/>
        </w:rPr>
        <w:t>González-Becerril</w:t>
      </w:r>
      <w:r>
        <w:rPr>
          <w:rFonts w:ascii="Arial" w:hAnsi="Arial"/>
          <w:color w:val="231F20"/>
          <w:spacing w:val="-17"/>
          <w:sz w:val="20"/>
        </w:rPr>
        <w:t> </w:t>
      </w:r>
      <w:r>
        <w:rPr>
          <w:rFonts w:ascii="Arial" w:hAnsi="Arial"/>
          <w:i/>
          <w:color w:val="231F20"/>
          <w:w w:val="55"/>
          <w:sz w:val="20"/>
        </w:rPr>
        <w:t>et</w:t>
      </w:r>
      <w:r>
        <w:rPr>
          <w:rFonts w:ascii="Arial" w:hAnsi="Arial"/>
          <w:i/>
          <w:color w:val="231F20"/>
          <w:spacing w:val="-17"/>
          <w:sz w:val="20"/>
        </w:rPr>
        <w:t> </w:t>
      </w:r>
      <w:r>
        <w:rPr>
          <w:rFonts w:ascii="Arial" w:hAnsi="Arial"/>
          <w:i/>
          <w:color w:val="231F20"/>
          <w:w w:val="58"/>
          <w:sz w:val="20"/>
        </w:rPr>
        <w:t>al.</w:t>
      </w:r>
    </w:p>
    <w:p>
      <w:pPr>
        <w:pStyle w:val="BodyText"/>
        <w:rPr>
          <w:rFonts w:ascii="Arial"/>
          <w:i/>
          <w:sz w:val="20"/>
        </w:rPr>
      </w:pPr>
    </w:p>
    <w:p>
      <w:pPr>
        <w:spacing w:line="254" w:lineRule="auto" w:before="161"/>
        <w:ind w:left="211" w:right="1715" w:firstLine="0"/>
        <w:jc w:val="left"/>
        <w:rPr>
          <w:sz w:val="17"/>
        </w:rPr>
      </w:pPr>
      <w:r>
        <w:rPr>
          <w:sz w:val="17"/>
        </w:rPr>
        <w:t>Cuadro 1a. Migrantes indígenas y no indígenas procedentes del Sur (México y Estado de México) con destino a Estados Unidos 1999-2009</w:t>
      </w:r>
    </w:p>
    <w:tbl>
      <w:tblPr>
        <w:tblW w:w="0" w:type="auto"/>
        <w:jc w:val="left"/>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2"/>
        <w:gridCol w:w="832"/>
        <w:gridCol w:w="737"/>
        <w:gridCol w:w="585"/>
        <w:gridCol w:w="702"/>
        <w:gridCol w:w="522"/>
        <w:gridCol w:w="764"/>
        <w:gridCol w:w="929"/>
        <w:gridCol w:w="360"/>
        <w:gridCol w:w="600"/>
      </w:tblGrid>
      <w:tr>
        <w:trPr>
          <w:trHeight w:val="948" w:hRule="exact"/>
        </w:trPr>
        <w:tc>
          <w:tcPr>
            <w:tcW w:w="462" w:type="dxa"/>
            <w:tcBorders>
              <w:left w:val="nil"/>
              <w:bottom w:val="double" w:sz="6" w:space="0" w:color="000000"/>
              <w:right w:val="nil"/>
            </w:tcBorders>
          </w:tcPr>
          <w:p>
            <w:pPr>
              <w:pStyle w:val="TableParagraph"/>
              <w:jc w:val="left"/>
              <w:rPr>
                <w:sz w:val="16"/>
              </w:rPr>
            </w:pPr>
          </w:p>
          <w:p>
            <w:pPr>
              <w:pStyle w:val="TableParagraph"/>
              <w:jc w:val="left"/>
              <w:rPr>
                <w:sz w:val="16"/>
              </w:rPr>
            </w:pPr>
          </w:p>
          <w:p>
            <w:pPr>
              <w:pStyle w:val="TableParagraph"/>
              <w:jc w:val="left"/>
              <w:rPr>
                <w:sz w:val="16"/>
              </w:rPr>
            </w:pPr>
          </w:p>
          <w:p>
            <w:pPr>
              <w:pStyle w:val="TableParagraph"/>
              <w:spacing w:before="4"/>
              <w:jc w:val="left"/>
              <w:rPr>
                <w:sz w:val="15"/>
              </w:rPr>
            </w:pPr>
          </w:p>
          <w:p>
            <w:pPr>
              <w:pStyle w:val="TableParagraph"/>
              <w:ind w:left="67"/>
              <w:jc w:val="left"/>
              <w:rPr>
                <w:sz w:val="16"/>
              </w:rPr>
            </w:pPr>
            <w:r>
              <w:rPr>
                <w:sz w:val="16"/>
              </w:rPr>
              <w:t>Año</w:t>
            </w:r>
          </w:p>
        </w:tc>
        <w:tc>
          <w:tcPr>
            <w:tcW w:w="1569" w:type="dxa"/>
            <w:gridSpan w:val="2"/>
            <w:tcBorders>
              <w:left w:val="nil"/>
              <w:bottom w:val="double" w:sz="6" w:space="0" w:color="000000"/>
              <w:right w:val="nil"/>
            </w:tcBorders>
          </w:tcPr>
          <w:p>
            <w:pPr>
              <w:pStyle w:val="TableParagraph"/>
              <w:spacing w:before="4"/>
              <w:jc w:val="left"/>
              <w:rPr>
                <w:sz w:val="15"/>
              </w:rPr>
            </w:pPr>
          </w:p>
          <w:p>
            <w:pPr>
              <w:pStyle w:val="TableParagraph"/>
              <w:ind w:left="503"/>
              <w:jc w:val="left"/>
              <w:rPr>
                <w:sz w:val="16"/>
              </w:rPr>
            </w:pPr>
            <w:r>
              <w:rPr>
                <w:sz w:val="16"/>
              </w:rPr>
              <w:t>Nacional</w:t>
            </w:r>
          </w:p>
          <w:p>
            <w:pPr>
              <w:pStyle w:val="TableParagraph"/>
              <w:spacing w:before="1"/>
              <w:jc w:val="left"/>
              <w:rPr>
                <w:sz w:val="16"/>
              </w:rPr>
            </w:pPr>
          </w:p>
          <w:p>
            <w:pPr>
              <w:pStyle w:val="TableParagraph"/>
              <w:tabs>
                <w:tab w:pos="900" w:val="left" w:leader="none"/>
              </w:tabs>
              <w:ind w:left="96" w:right="93" w:firstLine="1193"/>
              <w:jc w:val="left"/>
              <w:rPr>
                <w:sz w:val="16"/>
              </w:rPr>
            </w:pPr>
            <w:r>
              <w:rPr>
                <w:w w:val="90"/>
                <w:sz w:val="16"/>
              </w:rPr>
              <w:t>No </w:t>
            </w:r>
            <w:r>
              <w:rPr>
                <w:sz w:val="16"/>
              </w:rPr>
              <w:t>Indígenas</w:t>
              <w:tab/>
            </w:r>
            <w:r>
              <w:rPr>
                <w:w w:val="90"/>
                <w:sz w:val="16"/>
              </w:rPr>
              <w:t>indígenas</w:t>
            </w:r>
          </w:p>
        </w:tc>
        <w:tc>
          <w:tcPr>
            <w:tcW w:w="585" w:type="dxa"/>
            <w:tcBorders>
              <w:left w:val="nil"/>
              <w:bottom w:val="double" w:sz="6" w:space="0" w:color="000000"/>
              <w:right w:val="nil"/>
            </w:tcBorders>
          </w:tcPr>
          <w:p>
            <w:pPr>
              <w:pStyle w:val="TableParagraph"/>
              <w:jc w:val="left"/>
              <w:rPr>
                <w:sz w:val="16"/>
              </w:rPr>
            </w:pPr>
          </w:p>
          <w:p>
            <w:pPr>
              <w:pStyle w:val="TableParagraph"/>
              <w:jc w:val="left"/>
              <w:rPr>
                <w:sz w:val="16"/>
              </w:rPr>
            </w:pPr>
          </w:p>
          <w:p>
            <w:pPr>
              <w:pStyle w:val="TableParagraph"/>
              <w:jc w:val="left"/>
              <w:rPr>
                <w:sz w:val="16"/>
              </w:rPr>
            </w:pPr>
          </w:p>
          <w:p>
            <w:pPr>
              <w:pStyle w:val="TableParagraph"/>
              <w:spacing w:before="4"/>
              <w:jc w:val="left"/>
              <w:rPr>
                <w:sz w:val="15"/>
              </w:rPr>
            </w:pPr>
          </w:p>
          <w:p>
            <w:pPr>
              <w:pStyle w:val="TableParagraph"/>
              <w:ind w:left="179" w:right="100"/>
              <w:jc w:val="center"/>
              <w:rPr>
                <w:sz w:val="16"/>
              </w:rPr>
            </w:pPr>
            <w:r>
              <w:rPr>
                <w:sz w:val="16"/>
              </w:rPr>
              <w:t>NE</w:t>
            </w:r>
          </w:p>
        </w:tc>
        <w:tc>
          <w:tcPr>
            <w:tcW w:w="702" w:type="dxa"/>
            <w:tcBorders>
              <w:left w:val="nil"/>
              <w:bottom w:val="double" w:sz="6" w:space="0" w:color="000000"/>
              <w:right w:val="single" w:sz="4" w:space="0" w:color="000000"/>
            </w:tcBorders>
          </w:tcPr>
          <w:p>
            <w:pPr>
              <w:pStyle w:val="TableParagraph"/>
              <w:jc w:val="left"/>
              <w:rPr>
                <w:sz w:val="16"/>
              </w:rPr>
            </w:pPr>
          </w:p>
          <w:p>
            <w:pPr>
              <w:pStyle w:val="TableParagraph"/>
              <w:jc w:val="left"/>
              <w:rPr>
                <w:sz w:val="16"/>
              </w:rPr>
            </w:pPr>
          </w:p>
          <w:p>
            <w:pPr>
              <w:pStyle w:val="TableParagraph"/>
              <w:jc w:val="left"/>
              <w:rPr>
                <w:sz w:val="16"/>
              </w:rPr>
            </w:pPr>
          </w:p>
          <w:p>
            <w:pPr>
              <w:pStyle w:val="TableParagraph"/>
              <w:spacing w:before="4"/>
              <w:jc w:val="left"/>
              <w:rPr>
                <w:sz w:val="15"/>
              </w:rPr>
            </w:pPr>
          </w:p>
          <w:p>
            <w:pPr>
              <w:pStyle w:val="TableParagraph"/>
              <w:ind w:right="57"/>
              <w:rPr>
                <w:sz w:val="16"/>
              </w:rPr>
            </w:pPr>
            <w:r>
              <w:rPr>
                <w:w w:val="90"/>
                <w:sz w:val="16"/>
              </w:rPr>
              <w:t>Total</w:t>
            </w:r>
          </w:p>
        </w:tc>
        <w:tc>
          <w:tcPr>
            <w:tcW w:w="522" w:type="dxa"/>
            <w:tcBorders>
              <w:left w:val="single" w:sz="4" w:space="0" w:color="000000"/>
              <w:bottom w:val="double" w:sz="6" w:space="0" w:color="000000"/>
              <w:right w:val="nil"/>
            </w:tcBorders>
          </w:tcPr>
          <w:p>
            <w:pPr>
              <w:pStyle w:val="TableParagraph"/>
              <w:jc w:val="left"/>
              <w:rPr>
                <w:sz w:val="16"/>
              </w:rPr>
            </w:pPr>
          </w:p>
          <w:p>
            <w:pPr>
              <w:pStyle w:val="TableParagraph"/>
              <w:jc w:val="left"/>
              <w:rPr>
                <w:sz w:val="16"/>
              </w:rPr>
            </w:pPr>
          </w:p>
          <w:p>
            <w:pPr>
              <w:pStyle w:val="TableParagraph"/>
              <w:jc w:val="left"/>
              <w:rPr>
                <w:sz w:val="16"/>
              </w:rPr>
            </w:pPr>
          </w:p>
          <w:p>
            <w:pPr>
              <w:pStyle w:val="TableParagraph"/>
              <w:spacing w:before="4"/>
              <w:jc w:val="left"/>
              <w:rPr>
                <w:sz w:val="15"/>
              </w:rPr>
            </w:pPr>
          </w:p>
          <w:p>
            <w:pPr>
              <w:pStyle w:val="TableParagraph"/>
              <w:ind w:left="62"/>
              <w:jc w:val="left"/>
              <w:rPr>
                <w:sz w:val="16"/>
              </w:rPr>
            </w:pPr>
            <w:r>
              <w:rPr>
                <w:sz w:val="16"/>
              </w:rPr>
              <w:t>Año</w:t>
            </w:r>
          </w:p>
        </w:tc>
        <w:tc>
          <w:tcPr>
            <w:tcW w:w="764" w:type="dxa"/>
            <w:tcBorders>
              <w:left w:val="nil"/>
              <w:bottom w:val="double" w:sz="6" w:space="0" w:color="000000"/>
              <w:right w:val="nil"/>
            </w:tcBorders>
          </w:tcPr>
          <w:p>
            <w:pPr>
              <w:pStyle w:val="TableParagraph"/>
              <w:jc w:val="left"/>
              <w:rPr>
                <w:sz w:val="16"/>
              </w:rPr>
            </w:pPr>
          </w:p>
          <w:p>
            <w:pPr>
              <w:pStyle w:val="TableParagraph"/>
              <w:jc w:val="left"/>
              <w:rPr>
                <w:sz w:val="16"/>
              </w:rPr>
            </w:pPr>
          </w:p>
          <w:p>
            <w:pPr>
              <w:pStyle w:val="TableParagraph"/>
              <w:jc w:val="left"/>
              <w:rPr>
                <w:sz w:val="16"/>
              </w:rPr>
            </w:pPr>
          </w:p>
          <w:p>
            <w:pPr>
              <w:pStyle w:val="TableParagraph"/>
              <w:spacing w:before="4"/>
              <w:jc w:val="left"/>
              <w:rPr>
                <w:sz w:val="15"/>
              </w:rPr>
            </w:pPr>
          </w:p>
          <w:p>
            <w:pPr>
              <w:pStyle w:val="TableParagraph"/>
              <w:ind w:right="25"/>
              <w:rPr>
                <w:sz w:val="16"/>
              </w:rPr>
            </w:pPr>
            <w:r>
              <w:rPr>
                <w:w w:val="90"/>
                <w:sz w:val="16"/>
              </w:rPr>
              <w:t>Indígenas</w:t>
            </w:r>
          </w:p>
        </w:tc>
        <w:tc>
          <w:tcPr>
            <w:tcW w:w="1289" w:type="dxa"/>
            <w:gridSpan w:val="2"/>
            <w:tcBorders>
              <w:left w:val="nil"/>
              <w:bottom w:val="double" w:sz="6" w:space="0" w:color="000000"/>
              <w:right w:val="nil"/>
            </w:tcBorders>
          </w:tcPr>
          <w:p>
            <w:pPr>
              <w:pStyle w:val="TableParagraph"/>
              <w:spacing w:before="4"/>
              <w:jc w:val="left"/>
              <w:rPr>
                <w:sz w:val="15"/>
              </w:rPr>
            </w:pPr>
          </w:p>
          <w:p>
            <w:pPr>
              <w:pStyle w:val="TableParagraph"/>
              <w:ind w:left="27"/>
              <w:jc w:val="left"/>
              <w:rPr>
                <w:sz w:val="16"/>
              </w:rPr>
            </w:pPr>
            <w:r>
              <w:rPr>
                <w:w w:val="95"/>
                <w:sz w:val="16"/>
              </w:rPr>
              <w:t>Estado de México</w:t>
            </w:r>
          </w:p>
          <w:p>
            <w:pPr>
              <w:pStyle w:val="TableParagraph"/>
              <w:spacing w:before="1"/>
              <w:jc w:val="left"/>
              <w:rPr>
                <w:sz w:val="16"/>
              </w:rPr>
            </w:pPr>
          </w:p>
          <w:p>
            <w:pPr>
              <w:pStyle w:val="TableParagraph"/>
              <w:spacing w:line="183" w:lineRule="exact"/>
              <w:ind w:left="179" w:right="114"/>
              <w:jc w:val="center"/>
              <w:rPr>
                <w:sz w:val="16"/>
              </w:rPr>
            </w:pPr>
            <w:r>
              <w:rPr>
                <w:sz w:val="16"/>
              </w:rPr>
              <w:t>No</w:t>
            </w:r>
          </w:p>
          <w:p>
            <w:pPr>
              <w:pStyle w:val="TableParagraph"/>
              <w:spacing w:line="183" w:lineRule="exact"/>
              <w:ind w:left="187" w:right="114"/>
              <w:jc w:val="center"/>
              <w:rPr>
                <w:sz w:val="16"/>
              </w:rPr>
            </w:pPr>
            <w:r>
              <w:rPr>
                <w:sz w:val="16"/>
              </w:rPr>
              <w:t>indígenas   NE</w:t>
            </w:r>
          </w:p>
        </w:tc>
        <w:tc>
          <w:tcPr>
            <w:tcW w:w="600" w:type="dxa"/>
            <w:tcBorders>
              <w:left w:val="nil"/>
              <w:bottom w:val="double" w:sz="6" w:space="0" w:color="000000"/>
              <w:right w:val="nil"/>
            </w:tcBorders>
          </w:tcPr>
          <w:p>
            <w:pPr>
              <w:pStyle w:val="TableParagraph"/>
              <w:jc w:val="left"/>
              <w:rPr>
                <w:sz w:val="16"/>
              </w:rPr>
            </w:pPr>
          </w:p>
          <w:p>
            <w:pPr>
              <w:pStyle w:val="TableParagraph"/>
              <w:jc w:val="left"/>
              <w:rPr>
                <w:sz w:val="16"/>
              </w:rPr>
            </w:pPr>
          </w:p>
          <w:p>
            <w:pPr>
              <w:pStyle w:val="TableParagraph"/>
              <w:jc w:val="left"/>
              <w:rPr>
                <w:sz w:val="16"/>
              </w:rPr>
            </w:pPr>
          </w:p>
          <w:p>
            <w:pPr>
              <w:pStyle w:val="TableParagraph"/>
              <w:spacing w:before="4"/>
              <w:jc w:val="left"/>
              <w:rPr>
                <w:sz w:val="15"/>
              </w:rPr>
            </w:pPr>
          </w:p>
          <w:p>
            <w:pPr>
              <w:pStyle w:val="TableParagraph"/>
              <w:ind w:left="166" w:right="12"/>
              <w:jc w:val="center"/>
              <w:rPr>
                <w:sz w:val="16"/>
              </w:rPr>
            </w:pPr>
            <w:r>
              <w:rPr>
                <w:sz w:val="16"/>
              </w:rPr>
              <w:t>Total</w:t>
            </w:r>
          </w:p>
        </w:tc>
      </w:tr>
      <w:tr>
        <w:trPr>
          <w:trHeight w:val="338" w:hRule="exact"/>
        </w:trPr>
        <w:tc>
          <w:tcPr>
            <w:tcW w:w="462" w:type="dxa"/>
            <w:tcBorders>
              <w:top w:val="double" w:sz="6" w:space="0" w:color="000000"/>
              <w:left w:val="nil"/>
              <w:bottom w:val="nil"/>
              <w:right w:val="nil"/>
            </w:tcBorders>
          </w:tcPr>
          <w:p>
            <w:pPr>
              <w:pStyle w:val="TableParagraph"/>
              <w:spacing w:before="76"/>
              <w:ind w:left="67"/>
              <w:jc w:val="left"/>
              <w:rPr>
                <w:sz w:val="16"/>
              </w:rPr>
            </w:pPr>
            <w:r>
              <w:rPr>
                <w:sz w:val="16"/>
              </w:rPr>
              <w:t>1999</w:t>
            </w:r>
          </w:p>
        </w:tc>
        <w:tc>
          <w:tcPr>
            <w:tcW w:w="832" w:type="dxa"/>
            <w:tcBorders>
              <w:top w:val="double" w:sz="6" w:space="0" w:color="000000"/>
              <w:left w:val="nil"/>
              <w:bottom w:val="nil"/>
              <w:right w:val="nil"/>
            </w:tcBorders>
          </w:tcPr>
          <w:p>
            <w:pPr>
              <w:pStyle w:val="TableParagraph"/>
              <w:spacing w:before="76"/>
              <w:ind w:right="153"/>
              <w:rPr>
                <w:sz w:val="16"/>
              </w:rPr>
            </w:pPr>
            <w:r>
              <w:rPr>
                <w:w w:val="95"/>
                <w:sz w:val="16"/>
              </w:rPr>
              <w:t>22 090</w:t>
            </w:r>
          </w:p>
        </w:tc>
        <w:tc>
          <w:tcPr>
            <w:tcW w:w="737" w:type="dxa"/>
            <w:tcBorders>
              <w:top w:val="double" w:sz="6" w:space="0" w:color="000000"/>
              <w:left w:val="nil"/>
              <w:bottom w:val="nil"/>
              <w:right w:val="nil"/>
            </w:tcBorders>
          </w:tcPr>
          <w:p>
            <w:pPr>
              <w:pStyle w:val="TableParagraph"/>
              <w:spacing w:before="76"/>
              <w:ind w:right="95"/>
              <w:rPr>
                <w:sz w:val="16"/>
              </w:rPr>
            </w:pPr>
            <w:r>
              <w:rPr>
                <w:w w:val="95"/>
                <w:sz w:val="16"/>
              </w:rPr>
              <w:t>498 169</w:t>
            </w:r>
          </w:p>
        </w:tc>
        <w:tc>
          <w:tcPr>
            <w:tcW w:w="585" w:type="dxa"/>
            <w:tcBorders>
              <w:top w:val="double" w:sz="6" w:space="0" w:color="000000"/>
              <w:left w:val="nil"/>
              <w:bottom w:val="nil"/>
              <w:right w:val="nil"/>
            </w:tcBorders>
          </w:tcPr>
          <w:p>
            <w:pPr>
              <w:pStyle w:val="TableParagraph"/>
              <w:spacing w:before="76"/>
              <w:ind w:left="64" w:right="119"/>
              <w:jc w:val="center"/>
              <w:rPr>
                <w:sz w:val="16"/>
              </w:rPr>
            </w:pPr>
            <w:r>
              <w:rPr>
                <w:sz w:val="16"/>
              </w:rPr>
              <w:t>4 253</w:t>
            </w:r>
          </w:p>
        </w:tc>
        <w:tc>
          <w:tcPr>
            <w:tcW w:w="702" w:type="dxa"/>
            <w:tcBorders>
              <w:top w:val="double" w:sz="6" w:space="0" w:color="000000"/>
              <w:left w:val="nil"/>
              <w:bottom w:val="nil"/>
              <w:right w:val="single" w:sz="4" w:space="0" w:color="000000"/>
            </w:tcBorders>
          </w:tcPr>
          <w:p>
            <w:pPr>
              <w:pStyle w:val="TableParagraph"/>
              <w:spacing w:before="76"/>
              <w:ind w:right="56"/>
              <w:rPr>
                <w:sz w:val="16"/>
              </w:rPr>
            </w:pPr>
            <w:r>
              <w:rPr>
                <w:w w:val="95"/>
                <w:sz w:val="16"/>
              </w:rPr>
              <w:t>524 512</w:t>
            </w:r>
          </w:p>
        </w:tc>
        <w:tc>
          <w:tcPr>
            <w:tcW w:w="522" w:type="dxa"/>
            <w:tcBorders>
              <w:top w:val="double" w:sz="6" w:space="0" w:color="000000"/>
              <w:left w:val="single" w:sz="4" w:space="0" w:color="000000"/>
              <w:bottom w:val="nil"/>
              <w:right w:val="nil"/>
            </w:tcBorders>
          </w:tcPr>
          <w:p>
            <w:pPr>
              <w:pStyle w:val="TableParagraph"/>
              <w:spacing w:before="76"/>
              <w:ind w:left="62"/>
              <w:jc w:val="left"/>
              <w:rPr>
                <w:sz w:val="16"/>
              </w:rPr>
            </w:pPr>
            <w:r>
              <w:rPr>
                <w:sz w:val="16"/>
              </w:rPr>
              <w:t>1999</w:t>
            </w:r>
          </w:p>
        </w:tc>
        <w:tc>
          <w:tcPr>
            <w:tcW w:w="764" w:type="dxa"/>
            <w:tcBorders>
              <w:top w:val="double" w:sz="6" w:space="0" w:color="000000"/>
              <w:left w:val="nil"/>
              <w:bottom w:val="nil"/>
              <w:right w:val="nil"/>
            </w:tcBorders>
          </w:tcPr>
          <w:p>
            <w:pPr>
              <w:pStyle w:val="TableParagraph"/>
              <w:spacing w:before="76"/>
              <w:ind w:right="25"/>
              <w:rPr>
                <w:sz w:val="16"/>
              </w:rPr>
            </w:pPr>
            <w:r>
              <w:rPr>
                <w:w w:val="92"/>
                <w:sz w:val="16"/>
              </w:rPr>
              <w:t>0</w:t>
            </w:r>
          </w:p>
        </w:tc>
        <w:tc>
          <w:tcPr>
            <w:tcW w:w="929" w:type="dxa"/>
            <w:tcBorders>
              <w:top w:val="double" w:sz="6" w:space="0" w:color="000000"/>
              <w:left w:val="nil"/>
              <w:bottom w:val="nil"/>
              <w:right w:val="nil"/>
            </w:tcBorders>
          </w:tcPr>
          <w:p>
            <w:pPr>
              <w:pStyle w:val="TableParagraph"/>
              <w:spacing w:before="76"/>
              <w:ind w:right="158"/>
              <w:rPr>
                <w:sz w:val="16"/>
              </w:rPr>
            </w:pPr>
            <w:r>
              <w:rPr>
                <w:w w:val="95"/>
                <w:sz w:val="16"/>
              </w:rPr>
              <w:t>14 942</w:t>
            </w:r>
          </w:p>
        </w:tc>
        <w:tc>
          <w:tcPr>
            <w:tcW w:w="360" w:type="dxa"/>
            <w:tcBorders>
              <w:top w:val="double" w:sz="6" w:space="0" w:color="000000"/>
              <w:left w:val="nil"/>
              <w:bottom w:val="nil"/>
              <w:right w:val="nil"/>
            </w:tcBorders>
          </w:tcPr>
          <w:p>
            <w:pPr>
              <w:pStyle w:val="TableParagraph"/>
              <w:spacing w:before="76"/>
              <w:ind w:left="36"/>
              <w:jc w:val="center"/>
              <w:rPr>
                <w:sz w:val="16"/>
              </w:rPr>
            </w:pPr>
            <w:r>
              <w:rPr>
                <w:w w:val="92"/>
                <w:sz w:val="16"/>
              </w:rPr>
              <w:t>0</w:t>
            </w:r>
          </w:p>
        </w:tc>
        <w:tc>
          <w:tcPr>
            <w:tcW w:w="600" w:type="dxa"/>
            <w:tcBorders>
              <w:top w:val="double" w:sz="6" w:space="0" w:color="000000"/>
              <w:left w:val="nil"/>
              <w:bottom w:val="nil"/>
              <w:right w:val="nil"/>
            </w:tcBorders>
          </w:tcPr>
          <w:p>
            <w:pPr>
              <w:pStyle w:val="TableParagraph"/>
              <w:spacing w:before="76"/>
              <w:ind w:left="91" w:right="32"/>
              <w:jc w:val="center"/>
              <w:rPr>
                <w:sz w:val="16"/>
              </w:rPr>
            </w:pPr>
            <w:r>
              <w:rPr>
                <w:w w:val="95"/>
                <w:sz w:val="16"/>
              </w:rPr>
              <w:t>14 942</w:t>
            </w:r>
          </w:p>
        </w:tc>
      </w:tr>
      <w:tr>
        <w:trPr>
          <w:trHeight w:val="257" w:hRule="exact"/>
        </w:trPr>
        <w:tc>
          <w:tcPr>
            <w:tcW w:w="462" w:type="dxa"/>
            <w:tcBorders>
              <w:top w:val="nil"/>
              <w:left w:val="nil"/>
              <w:bottom w:val="nil"/>
              <w:right w:val="nil"/>
            </w:tcBorders>
          </w:tcPr>
          <w:p>
            <w:pPr>
              <w:pStyle w:val="TableParagraph"/>
              <w:spacing w:before="19"/>
              <w:ind w:left="67"/>
              <w:jc w:val="left"/>
              <w:rPr>
                <w:sz w:val="16"/>
              </w:rPr>
            </w:pPr>
            <w:r>
              <w:rPr>
                <w:sz w:val="16"/>
              </w:rPr>
              <w:t>2000</w:t>
            </w:r>
          </w:p>
        </w:tc>
        <w:tc>
          <w:tcPr>
            <w:tcW w:w="832" w:type="dxa"/>
            <w:tcBorders>
              <w:top w:val="nil"/>
              <w:left w:val="nil"/>
              <w:bottom w:val="nil"/>
              <w:right w:val="nil"/>
            </w:tcBorders>
          </w:tcPr>
          <w:p>
            <w:pPr>
              <w:pStyle w:val="TableParagraph"/>
              <w:spacing w:before="19"/>
              <w:ind w:right="153"/>
              <w:rPr>
                <w:sz w:val="16"/>
              </w:rPr>
            </w:pPr>
            <w:r>
              <w:rPr>
                <w:w w:val="95"/>
                <w:sz w:val="16"/>
              </w:rPr>
              <w:t>23 071</w:t>
            </w:r>
          </w:p>
        </w:tc>
        <w:tc>
          <w:tcPr>
            <w:tcW w:w="737" w:type="dxa"/>
            <w:tcBorders>
              <w:top w:val="nil"/>
              <w:left w:val="nil"/>
              <w:bottom w:val="nil"/>
              <w:right w:val="nil"/>
            </w:tcBorders>
          </w:tcPr>
          <w:p>
            <w:pPr>
              <w:pStyle w:val="TableParagraph"/>
              <w:spacing w:before="19"/>
              <w:ind w:right="95"/>
              <w:rPr>
                <w:sz w:val="16"/>
              </w:rPr>
            </w:pPr>
            <w:r>
              <w:rPr>
                <w:w w:val="95"/>
                <w:sz w:val="16"/>
              </w:rPr>
              <w:t>430 153</w:t>
            </w:r>
          </w:p>
        </w:tc>
        <w:tc>
          <w:tcPr>
            <w:tcW w:w="585" w:type="dxa"/>
            <w:tcBorders>
              <w:top w:val="nil"/>
              <w:left w:val="nil"/>
              <w:bottom w:val="nil"/>
              <w:right w:val="nil"/>
            </w:tcBorders>
          </w:tcPr>
          <w:p>
            <w:pPr>
              <w:pStyle w:val="TableParagraph"/>
              <w:spacing w:before="19"/>
              <w:ind w:left="64" w:right="119"/>
              <w:jc w:val="center"/>
              <w:rPr>
                <w:sz w:val="16"/>
              </w:rPr>
            </w:pPr>
            <w:r>
              <w:rPr>
                <w:sz w:val="16"/>
              </w:rPr>
              <w:t>1 488</w:t>
            </w:r>
          </w:p>
        </w:tc>
        <w:tc>
          <w:tcPr>
            <w:tcW w:w="702" w:type="dxa"/>
            <w:tcBorders>
              <w:top w:val="nil"/>
              <w:left w:val="nil"/>
              <w:bottom w:val="nil"/>
              <w:right w:val="single" w:sz="4" w:space="0" w:color="000000"/>
            </w:tcBorders>
          </w:tcPr>
          <w:p>
            <w:pPr>
              <w:pStyle w:val="TableParagraph"/>
              <w:spacing w:before="19"/>
              <w:ind w:right="56"/>
              <w:rPr>
                <w:sz w:val="16"/>
              </w:rPr>
            </w:pPr>
            <w:r>
              <w:rPr>
                <w:w w:val="95"/>
                <w:sz w:val="16"/>
              </w:rPr>
              <w:t>454 712</w:t>
            </w:r>
          </w:p>
        </w:tc>
        <w:tc>
          <w:tcPr>
            <w:tcW w:w="522" w:type="dxa"/>
            <w:tcBorders>
              <w:top w:val="nil"/>
              <w:left w:val="single" w:sz="4" w:space="0" w:color="000000"/>
              <w:bottom w:val="nil"/>
              <w:right w:val="nil"/>
            </w:tcBorders>
          </w:tcPr>
          <w:p>
            <w:pPr>
              <w:pStyle w:val="TableParagraph"/>
              <w:spacing w:before="19"/>
              <w:ind w:left="62"/>
              <w:jc w:val="left"/>
              <w:rPr>
                <w:sz w:val="16"/>
              </w:rPr>
            </w:pPr>
            <w:r>
              <w:rPr>
                <w:sz w:val="16"/>
              </w:rPr>
              <w:t>2000</w:t>
            </w:r>
          </w:p>
        </w:tc>
        <w:tc>
          <w:tcPr>
            <w:tcW w:w="764" w:type="dxa"/>
            <w:tcBorders>
              <w:top w:val="nil"/>
              <w:left w:val="nil"/>
              <w:bottom w:val="nil"/>
              <w:right w:val="nil"/>
            </w:tcBorders>
          </w:tcPr>
          <w:p>
            <w:pPr>
              <w:pStyle w:val="TableParagraph"/>
              <w:spacing w:before="19"/>
              <w:ind w:right="25"/>
              <w:rPr>
                <w:sz w:val="16"/>
              </w:rPr>
            </w:pPr>
            <w:r>
              <w:rPr>
                <w:w w:val="90"/>
                <w:sz w:val="16"/>
              </w:rPr>
              <w:t>125</w:t>
            </w:r>
          </w:p>
        </w:tc>
        <w:tc>
          <w:tcPr>
            <w:tcW w:w="929" w:type="dxa"/>
            <w:tcBorders>
              <w:top w:val="nil"/>
              <w:left w:val="nil"/>
              <w:bottom w:val="nil"/>
              <w:right w:val="nil"/>
            </w:tcBorders>
          </w:tcPr>
          <w:p>
            <w:pPr>
              <w:pStyle w:val="TableParagraph"/>
              <w:spacing w:before="19"/>
              <w:ind w:right="158"/>
              <w:rPr>
                <w:sz w:val="16"/>
              </w:rPr>
            </w:pPr>
            <w:r>
              <w:rPr>
                <w:w w:val="95"/>
                <w:sz w:val="16"/>
              </w:rPr>
              <w:t>20 094</w:t>
            </w:r>
          </w:p>
        </w:tc>
        <w:tc>
          <w:tcPr>
            <w:tcW w:w="360" w:type="dxa"/>
            <w:tcBorders>
              <w:top w:val="nil"/>
              <w:left w:val="nil"/>
              <w:bottom w:val="nil"/>
              <w:right w:val="nil"/>
            </w:tcBorders>
          </w:tcPr>
          <w:p>
            <w:pPr>
              <w:pStyle w:val="TableParagraph"/>
              <w:spacing w:before="19"/>
              <w:ind w:left="36"/>
              <w:jc w:val="center"/>
              <w:rPr>
                <w:sz w:val="16"/>
              </w:rPr>
            </w:pPr>
            <w:r>
              <w:rPr>
                <w:w w:val="92"/>
                <w:sz w:val="16"/>
              </w:rPr>
              <w:t>0</w:t>
            </w:r>
          </w:p>
        </w:tc>
        <w:tc>
          <w:tcPr>
            <w:tcW w:w="600" w:type="dxa"/>
            <w:tcBorders>
              <w:top w:val="nil"/>
              <w:left w:val="nil"/>
              <w:bottom w:val="nil"/>
              <w:right w:val="nil"/>
            </w:tcBorders>
          </w:tcPr>
          <w:p>
            <w:pPr>
              <w:pStyle w:val="TableParagraph"/>
              <w:spacing w:before="19"/>
              <w:ind w:left="91" w:right="32"/>
              <w:jc w:val="center"/>
              <w:rPr>
                <w:sz w:val="16"/>
              </w:rPr>
            </w:pPr>
            <w:r>
              <w:rPr>
                <w:w w:val="95"/>
                <w:sz w:val="16"/>
              </w:rPr>
              <w:t>20 219</w:t>
            </w:r>
          </w:p>
        </w:tc>
      </w:tr>
      <w:tr>
        <w:trPr>
          <w:trHeight w:val="254" w:hRule="exact"/>
        </w:trPr>
        <w:tc>
          <w:tcPr>
            <w:tcW w:w="462" w:type="dxa"/>
            <w:tcBorders>
              <w:top w:val="nil"/>
              <w:left w:val="nil"/>
              <w:bottom w:val="nil"/>
              <w:right w:val="nil"/>
            </w:tcBorders>
          </w:tcPr>
          <w:p>
            <w:pPr>
              <w:pStyle w:val="TableParagraph"/>
              <w:spacing w:before="16"/>
              <w:ind w:left="67"/>
              <w:jc w:val="left"/>
              <w:rPr>
                <w:sz w:val="16"/>
              </w:rPr>
            </w:pPr>
            <w:r>
              <w:rPr>
                <w:sz w:val="16"/>
              </w:rPr>
              <w:t>2001</w:t>
            </w:r>
          </w:p>
        </w:tc>
        <w:tc>
          <w:tcPr>
            <w:tcW w:w="832" w:type="dxa"/>
            <w:tcBorders>
              <w:top w:val="nil"/>
              <w:left w:val="nil"/>
              <w:bottom w:val="nil"/>
              <w:right w:val="nil"/>
            </w:tcBorders>
          </w:tcPr>
          <w:p>
            <w:pPr>
              <w:pStyle w:val="TableParagraph"/>
              <w:spacing w:before="16"/>
              <w:ind w:right="153"/>
              <w:rPr>
                <w:sz w:val="16"/>
              </w:rPr>
            </w:pPr>
            <w:r>
              <w:rPr>
                <w:w w:val="95"/>
                <w:sz w:val="16"/>
              </w:rPr>
              <w:t>11 401</w:t>
            </w:r>
          </w:p>
        </w:tc>
        <w:tc>
          <w:tcPr>
            <w:tcW w:w="737" w:type="dxa"/>
            <w:tcBorders>
              <w:top w:val="nil"/>
              <w:left w:val="nil"/>
              <w:bottom w:val="nil"/>
              <w:right w:val="nil"/>
            </w:tcBorders>
          </w:tcPr>
          <w:p>
            <w:pPr>
              <w:pStyle w:val="TableParagraph"/>
              <w:spacing w:before="16"/>
              <w:ind w:right="95"/>
              <w:rPr>
                <w:sz w:val="16"/>
              </w:rPr>
            </w:pPr>
            <w:r>
              <w:rPr>
                <w:w w:val="95"/>
                <w:sz w:val="16"/>
              </w:rPr>
              <w:t>394 408</w:t>
            </w:r>
          </w:p>
        </w:tc>
        <w:tc>
          <w:tcPr>
            <w:tcW w:w="585" w:type="dxa"/>
            <w:tcBorders>
              <w:top w:val="nil"/>
              <w:left w:val="nil"/>
              <w:bottom w:val="nil"/>
              <w:right w:val="nil"/>
            </w:tcBorders>
          </w:tcPr>
          <w:p>
            <w:pPr>
              <w:pStyle w:val="TableParagraph"/>
              <w:spacing w:before="16"/>
              <w:ind w:left="179" w:right="50"/>
              <w:jc w:val="center"/>
              <w:rPr>
                <w:sz w:val="16"/>
              </w:rPr>
            </w:pPr>
            <w:r>
              <w:rPr>
                <w:sz w:val="16"/>
              </w:rPr>
              <w:t>47</w:t>
            </w:r>
          </w:p>
        </w:tc>
        <w:tc>
          <w:tcPr>
            <w:tcW w:w="702" w:type="dxa"/>
            <w:tcBorders>
              <w:top w:val="nil"/>
              <w:left w:val="nil"/>
              <w:bottom w:val="nil"/>
              <w:right w:val="single" w:sz="4" w:space="0" w:color="000000"/>
            </w:tcBorders>
          </w:tcPr>
          <w:p>
            <w:pPr>
              <w:pStyle w:val="TableParagraph"/>
              <w:spacing w:before="16"/>
              <w:ind w:right="56"/>
              <w:rPr>
                <w:sz w:val="16"/>
              </w:rPr>
            </w:pPr>
            <w:r>
              <w:rPr>
                <w:w w:val="95"/>
                <w:sz w:val="16"/>
              </w:rPr>
              <w:t>405 856</w:t>
            </w:r>
          </w:p>
        </w:tc>
        <w:tc>
          <w:tcPr>
            <w:tcW w:w="522" w:type="dxa"/>
            <w:tcBorders>
              <w:top w:val="nil"/>
              <w:left w:val="single" w:sz="4" w:space="0" w:color="000000"/>
              <w:bottom w:val="nil"/>
              <w:right w:val="nil"/>
            </w:tcBorders>
          </w:tcPr>
          <w:p>
            <w:pPr>
              <w:pStyle w:val="TableParagraph"/>
              <w:spacing w:before="16"/>
              <w:ind w:left="62"/>
              <w:jc w:val="left"/>
              <w:rPr>
                <w:sz w:val="16"/>
              </w:rPr>
            </w:pPr>
            <w:r>
              <w:rPr>
                <w:sz w:val="16"/>
              </w:rPr>
              <w:t>2001</w:t>
            </w:r>
          </w:p>
        </w:tc>
        <w:tc>
          <w:tcPr>
            <w:tcW w:w="764" w:type="dxa"/>
            <w:tcBorders>
              <w:top w:val="nil"/>
              <w:left w:val="nil"/>
              <w:bottom w:val="nil"/>
              <w:right w:val="nil"/>
            </w:tcBorders>
          </w:tcPr>
          <w:p>
            <w:pPr>
              <w:pStyle w:val="TableParagraph"/>
              <w:spacing w:before="16"/>
              <w:ind w:right="25"/>
              <w:rPr>
                <w:sz w:val="16"/>
              </w:rPr>
            </w:pPr>
            <w:r>
              <w:rPr>
                <w:w w:val="92"/>
                <w:sz w:val="16"/>
              </w:rPr>
              <w:t>0</w:t>
            </w:r>
          </w:p>
        </w:tc>
        <w:tc>
          <w:tcPr>
            <w:tcW w:w="929" w:type="dxa"/>
            <w:tcBorders>
              <w:top w:val="nil"/>
              <w:left w:val="nil"/>
              <w:bottom w:val="nil"/>
              <w:right w:val="nil"/>
            </w:tcBorders>
          </w:tcPr>
          <w:p>
            <w:pPr>
              <w:pStyle w:val="TableParagraph"/>
              <w:spacing w:before="16"/>
              <w:ind w:right="158"/>
              <w:rPr>
                <w:sz w:val="16"/>
              </w:rPr>
            </w:pPr>
            <w:r>
              <w:rPr>
                <w:w w:val="90"/>
                <w:sz w:val="16"/>
              </w:rPr>
              <w:t>7401</w:t>
            </w:r>
          </w:p>
        </w:tc>
        <w:tc>
          <w:tcPr>
            <w:tcW w:w="360" w:type="dxa"/>
            <w:tcBorders>
              <w:top w:val="nil"/>
              <w:left w:val="nil"/>
              <w:bottom w:val="nil"/>
              <w:right w:val="nil"/>
            </w:tcBorders>
          </w:tcPr>
          <w:p>
            <w:pPr>
              <w:pStyle w:val="TableParagraph"/>
              <w:spacing w:before="16"/>
              <w:ind w:left="36"/>
              <w:jc w:val="center"/>
              <w:rPr>
                <w:sz w:val="16"/>
              </w:rPr>
            </w:pPr>
            <w:r>
              <w:rPr>
                <w:w w:val="92"/>
                <w:sz w:val="16"/>
              </w:rPr>
              <w:t>0</w:t>
            </w:r>
          </w:p>
        </w:tc>
        <w:tc>
          <w:tcPr>
            <w:tcW w:w="600" w:type="dxa"/>
            <w:tcBorders>
              <w:top w:val="nil"/>
              <w:left w:val="nil"/>
              <w:bottom w:val="nil"/>
              <w:right w:val="nil"/>
            </w:tcBorders>
          </w:tcPr>
          <w:p>
            <w:pPr>
              <w:pStyle w:val="TableParagraph"/>
              <w:spacing w:before="16"/>
              <w:ind w:left="166" w:right="32"/>
              <w:jc w:val="center"/>
              <w:rPr>
                <w:sz w:val="16"/>
              </w:rPr>
            </w:pPr>
            <w:r>
              <w:rPr>
                <w:sz w:val="16"/>
              </w:rPr>
              <w:t>7 401</w:t>
            </w:r>
          </w:p>
        </w:tc>
      </w:tr>
      <w:tr>
        <w:trPr>
          <w:trHeight w:val="209" w:hRule="exact"/>
        </w:trPr>
        <w:tc>
          <w:tcPr>
            <w:tcW w:w="462" w:type="dxa"/>
            <w:tcBorders>
              <w:top w:val="nil"/>
              <w:left w:val="nil"/>
              <w:bottom w:val="nil"/>
              <w:right w:val="nil"/>
            </w:tcBorders>
          </w:tcPr>
          <w:p>
            <w:pPr>
              <w:pStyle w:val="TableParagraph"/>
              <w:spacing w:before="16"/>
              <w:ind w:left="67"/>
              <w:jc w:val="left"/>
              <w:rPr>
                <w:sz w:val="16"/>
              </w:rPr>
            </w:pPr>
            <w:r>
              <w:rPr>
                <w:sz w:val="16"/>
              </w:rPr>
              <w:t>2002</w:t>
            </w:r>
          </w:p>
        </w:tc>
        <w:tc>
          <w:tcPr>
            <w:tcW w:w="832" w:type="dxa"/>
            <w:tcBorders>
              <w:top w:val="nil"/>
              <w:left w:val="nil"/>
              <w:bottom w:val="nil"/>
              <w:right w:val="nil"/>
            </w:tcBorders>
          </w:tcPr>
          <w:p>
            <w:pPr>
              <w:pStyle w:val="TableParagraph"/>
              <w:spacing w:before="16"/>
              <w:ind w:right="153"/>
              <w:rPr>
                <w:sz w:val="16"/>
              </w:rPr>
            </w:pPr>
            <w:r>
              <w:rPr>
                <w:w w:val="95"/>
                <w:sz w:val="16"/>
              </w:rPr>
              <w:t>17 404</w:t>
            </w:r>
          </w:p>
        </w:tc>
        <w:tc>
          <w:tcPr>
            <w:tcW w:w="737" w:type="dxa"/>
            <w:tcBorders>
              <w:top w:val="nil"/>
              <w:left w:val="nil"/>
              <w:bottom w:val="nil"/>
              <w:right w:val="nil"/>
            </w:tcBorders>
          </w:tcPr>
          <w:p>
            <w:pPr>
              <w:pStyle w:val="TableParagraph"/>
              <w:spacing w:before="16"/>
              <w:ind w:right="95"/>
              <w:rPr>
                <w:sz w:val="16"/>
              </w:rPr>
            </w:pPr>
            <w:r>
              <w:rPr>
                <w:w w:val="95"/>
                <w:sz w:val="16"/>
              </w:rPr>
              <w:t>713 945</w:t>
            </w:r>
          </w:p>
        </w:tc>
        <w:tc>
          <w:tcPr>
            <w:tcW w:w="585" w:type="dxa"/>
            <w:tcBorders>
              <w:top w:val="nil"/>
              <w:left w:val="nil"/>
              <w:bottom w:val="nil"/>
              <w:right w:val="nil"/>
            </w:tcBorders>
          </w:tcPr>
          <w:p>
            <w:pPr>
              <w:pStyle w:val="TableParagraph"/>
              <w:spacing w:before="16"/>
              <w:ind w:left="173" w:right="119"/>
              <w:jc w:val="center"/>
              <w:rPr>
                <w:sz w:val="16"/>
              </w:rPr>
            </w:pPr>
            <w:r>
              <w:rPr>
                <w:sz w:val="16"/>
              </w:rPr>
              <w:t>694</w:t>
            </w:r>
          </w:p>
        </w:tc>
        <w:tc>
          <w:tcPr>
            <w:tcW w:w="702" w:type="dxa"/>
            <w:tcBorders>
              <w:top w:val="nil"/>
              <w:left w:val="nil"/>
              <w:bottom w:val="nil"/>
              <w:right w:val="single" w:sz="4" w:space="0" w:color="000000"/>
            </w:tcBorders>
          </w:tcPr>
          <w:p>
            <w:pPr>
              <w:pStyle w:val="TableParagraph"/>
              <w:spacing w:before="16"/>
              <w:ind w:right="56"/>
              <w:rPr>
                <w:sz w:val="16"/>
              </w:rPr>
            </w:pPr>
            <w:r>
              <w:rPr>
                <w:w w:val="95"/>
                <w:sz w:val="16"/>
              </w:rPr>
              <w:t>732 043</w:t>
            </w:r>
          </w:p>
        </w:tc>
        <w:tc>
          <w:tcPr>
            <w:tcW w:w="522" w:type="dxa"/>
            <w:tcBorders>
              <w:top w:val="nil"/>
              <w:left w:val="single" w:sz="4" w:space="0" w:color="000000"/>
              <w:bottom w:val="nil"/>
              <w:right w:val="nil"/>
            </w:tcBorders>
          </w:tcPr>
          <w:p>
            <w:pPr>
              <w:pStyle w:val="TableParagraph"/>
              <w:spacing w:before="16"/>
              <w:ind w:left="62"/>
              <w:jc w:val="left"/>
              <w:rPr>
                <w:sz w:val="16"/>
              </w:rPr>
            </w:pPr>
            <w:r>
              <w:rPr>
                <w:sz w:val="16"/>
              </w:rPr>
              <w:t>2002</w:t>
            </w:r>
          </w:p>
        </w:tc>
        <w:tc>
          <w:tcPr>
            <w:tcW w:w="764" w:type="dxa"/>
            <w:tcBorders>
              <w:top w:val="nil"/>
              <w:left w:val="nil"/>
              <w:bottom w:val="nil"/>
              <w:right w:val="nil"/>
            </w:tcBorders>
          </w:tcPr>
          <w:p>
            <w:pPr>
              <w:pStyle w:val="TableParagraph"/>
              <w:spacing w:before="16"/>
              <w:ind w:right="25"/>
              <w:rPr>
                <w:sz w:val="16"/>
              </w:rPr>
            </w:pPr>
            <w:r>
              <w:rPr>
                <w:w w:val="90"/>
                <w:sz w:val="16"/>
              </w:rPr>
              <w:t>412</w:t>
            </w:r>
          </w:p>
        </w:tc>
        <w:tc>
          <w:tcPr>
            <w:tcW w:w="929" w:type="dxa"/>
            <w:tcBorders>
              <w:top w:val="nil"/>
              <w:left w:val="nil"/>
              <w:bottom w:val="nil"/>
              <w:right w:val="nil"/>
            </w:tcBorders>
          </w:tcPr>
          <w:p>
            <w:pPr>
              <w:pStyle w:val="TableParagraph"/>
              <w:spacing w:before="16"/>
              <w:ind w:right="158"/>
              <w:rPr>
                <w:sz w:val="16"/>
              </w:rPr>
            </w:pPr>
            <w:r>
              <w:rPr>
                <w:w w:val="95"/>
                <w:sz w:val="16"/>
              </w:rPr>
              <w:t>27 975</w:t>
            </w:r>
          </w:p>
        </w:tc>
        <w:tc>
          <w:tcPr>
            <w:tcW w:w="360" w:type="dxa"/>
            <w:tcBorders>
              <w:top w:val="nil"/>
              <w:left w:val="nil"/>
              <w:bottom w:val="nil"/>
              <w:right w:val="nil"/>
            </w:tcBorders>
          </w:tcPr>
          <w:p>
            <w:pPr>
              <w:pStyle w:val="TableParagraph"/>
              <w:spacing w:before="16"/>
              <w:ind w:left="36"/>
              <w:jc w:val="center"/>
              <w:rPr>
                <w:sz w:val="16"/>
              </w:rPr>
            </w:pPr>
            <w:r>
              <w:rPr>
                <w:w w:val="92"/>
                <w:sz w:val="16"/>
              </w:rPr>
              <w:t>0</w:t>
            </w:r>
          </w:p>
        </w:tc>
        <w:tc>
          <w:tcPr>
            <w:tcW w:w="600" w:type="dxa"/>
            <w:tcBorders>
              <w:top w:val="nil"/>
              <w:left w:val="nil"/>
              <w:bottom w:val="nil"/>
              <w:right w:val="nil"/>
            </w:tcBorders>
          </w:tcPr>
          <w:p>
            <w:pPr>
              <w:pStyle w:val="TableParagraph"/>
              <w:spacing w:before="16"/>
              <w:ind w:left="91" w:right="32"/>
              <w:jc w:val="center"/>
              <w:rPr>
                <w:sz w:val="16"/>
              </w:rPr>
            </w:pPr>
            <w:r>
              <w:rPr>
                <w:w w:val="95"/>
                <w:sz w:val="16"/>
              </w:rPr>
              <w:t>28 387</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spacing w:line="183" w:lineRule="exact" w:before="0"/>
        <w:ind w:left="211" w:right="0" w:firstLine="0"/>
        <w:jc w:val="left"/>
        <w:rPr>
          <w:sz w:val="16"/>
        </w:rPr>
      </w:pPr>
      <w:r>
        <w:rPr/>
        <w:pict>
          <v:shape style="position:absolute;margin-left:72.225174pt;margin-top:-92.704277pt;width:324.650pt;height:93.6pt;mso-position-horizontal-relative:page;mso-position-vertical-relative:paragraph;z-index:808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10"/>
                    <w:gridCol w:w="785"/>
                    <w:gridCol w:w="736"/>
                    <w:gridCol w:w="529"/>
                    <w:gridCol w:w="758"/>
                    <w:gridCol w:w="644"/>
                    <w:gridCol w:w="807"/>
                    <w:gridCol w:w="685"/>
                    <w:gridCol w:w="438"/>
                    <w:gridCol w:w="599"/>
                  </w:tblGrid>
                  <w:tr>
                    <w:trPr>
                      <w:trHeight w:val="261" w:hRule="exact"/>
                    </w:trPr>
                    <w:tc>
                      <w:tcPr>
                        <w:tcW w:w="510" w:type="dxa"/>
                      </w:tcPr>
                      <w:p>
                        <w:pPr>
                          <w:pStyle w:val="TableParagraph"/>
                          <w:spacing w:before="78"/>
                          <w:ind w:left="37" w:right="111"/>
                          <w:jc w:val="center"/>
                          <w:rPr>
                            <w:sz w:val="16"/>
                          </w:rPr>
                        </w:pPr>
                        <w:r>
                          <w:rPr>
                            <w:sz w:val="16"/>
                          </w:rPr>
                          <w:t>2003</w:t>
                        </w:r>
                      </w:p>
                    </w:tc>
                    <w:tc>
                      <w:tcPr>
                        <w:tcW w:w="785" w:type="dxa"/>
                      </w:tcPr>
                      <w:p>
                        <w:pPr>
                          <w:pStyle w:val="TableParagraph"/>
                          <w:spacing w:before="78"/>
                          <w:ind w:right="153"/>
                          <w:rPr>
                            <w:sz w:val="16"/>
                          </w:rPr>
                        </w:pPr>
                        <w:r>
                          <w:rPr>
                            <w:w w:val="90"/>
                            <w:sz w:val="16"/>
                          </w:rPr>
                          <w:t>S/D</w:t>
                        </w:r>
                      </w:p>
                    </w:tc>
                    <w:tc>
                      <w:tcPr>
                        <w:tcW w:w="736" w:type="dxa"/>
                      </w:tcPr>
                      <w:p>
                        <w:pPr>
                          <w:pStyle w:val="TableParagraph"/>
                          <w:spacing w:before="78"/>
                          <w:ind w:right="94"/>
                          <w:rPr>
                            <w:sz w:val="16"/>
                          </w:rPr>
                        </w:pPr>
                        <w:r>
                          <w:rPr>
                            <w:w w:val="90"/>
                            <w:sz w:val="16"/>
                          </w:rPr>
                          <w:t>S/D</w:t>
                        </w:r>
                      </w:p>
                    </w:tc>
                    <w:tc>
                      <w:tcPr>
                        <w:tcW w:w="529" w:type="dxa"/>
                      </w:tcPr>
                      <w:p>
                        <w:pPr>
                          <w:pStyle w:val="TableParagraph"/>
                          <w:spacing w:before="78"/>
                          <w:ind w:right="96"/>
                          <w:rPr>
                            <w:sz w:val="16"/>
                          </w:rPr>
                        </w:pPr>
                        <w:r>
                          <w:rPr>
                            <w:w w:val="90"/>
                            <w:sz w:val="16"/>
                          </w:rPr>
                          <w:t>S/D</w:t>
                        </w:r>
                      </w:p>
                    </w:tc>
                    <w:tc>
                      <w:tcPr>
                        <w:tcW w:w="758" w:type="dxa"/>
                      </w:tcPr>
                      <w:p>
                        <w:pPr>
                          <w:pStyle w:val="TableParagraph"/>
                          <w:spacing w:before="78"/>
                          <w:ind w:right="61"/>
                          <w:rPr>
                            <w:sz w:val="16"/>
                          </w:rPr>
                        </w:pPr>
                        <w:r>
                          <w:rPr>
                            <w:w w:val="90"/>
                            <w:sz w:val="16"/>
                          </w:rPr>
                          <w:t>S/D</w:t>
                        </w:r>
                      </w:p>
                    </w:tc>
                    <w:tc>
                      <w:tcPr>
                        <w:tcW w:w="644" w:type="dxa"/>
                      </w:tcPr>
                      <w:p>
                        <w:pPr>
                          <w:pStyle w:val="TableParagraph"/>
                          <w:spacing w:before="78"/>
                          <w:ind w:left="67"/>
                          <w:jc w:val="left"/>
                          <w:rPr>
                            <w:sz w:val="16"/>
                          </w:rPr>
                        </w:pPr>
                        <w:r>
                          <w:rPr>
                            <w:sz w:val="16"/>
                          </w:rPr>
                          <w:t>2003</w:t>
                        </w:r>
                      </w:p>
                    </w:tc>
                    <w:tc>
                      <w:tcPr>
                        <w:tcW w:w="807" w:type="dxa"/>
                      </w:tcPr>
                      <w:p>
                        <w:pPr>
                          <w:pStyle w:val="TableParagraph"/>
                          <w:spacing w:before="78"/>
                          <w:ind w:left="246" w:right="58"/>
                          <w:jc w:val="center"/>
                          <w:rPr>
                            <w:sz w:val="16"/>
                          </w:rPr>
                        </w:pPr>
                        <w:r>
                          <w:rPr>
                            <w:sz w:val="16"/>
                          </w:rPr>
                          <w:t>S/D</w:t>
                        </w:r>
                      </w:p>
                    </w:tc>
                    <w:tc>
                      <w:tcPr>
                        <w:tcW w:w="685" w:type="dxa"/>
                      </w:tcPr>
                      <w:p>
                        <w:pPr>
                          <w:pStyle w:val="TableParagraph"/>
                          <w:spacing w:before="78"/>
                          <w:ind w:right="80"/>
                          <w:rPr>
                            <w:sz w:val="16"/>
                          </w:rPr>
                        </w:pPr>
                        <w:r>
                          <w:rPr>
                            <w:w w:val="90"/>
                            <w:sz w:val="16"/>
                          </w:rPr>
                          <w:t>S/D</w:t>
                        </w:r>
                      </w:p>
                    </w:tc>
                    <w:tc>
                      <w:tcPr>
                        <w:tcW w:w="438" w:type="dxa"/>
                      </w:tcPr>
                      <w:p>
                        <w:pPr>
                          <w:pStyle w:val="TableParagraph"/>
                          <w:spacing w:before="78"/>
                          <w:ind w:right="122"/>
                          <w:rPr>
                            <w:sz w:val="16"/>
                          </w:rPr>
                        </w:pPr>
                        <w:r>
                          <w:rPr>
                            <w:w w:val="90"/>
                            <w:sz w:val="16"/>
                          </w:rPr>
                          <w:t>S/D</w:t>
                        </w:r>
                      </w:p>
                    </w:tc>
                    <w:tc>
                      <w:tcPr>
                        <w:tcW w:w="599" w:type="dxa"/>
                      </w:tcPr>
                      <w:p>
                        <w:pPr>
                          <w:pStyle w:val="TableParagraph"/>
                          <w:spacing w:before="78"/>
                          <w:ind w:right="63"/>
                          <w:rPr>
                            <w:sz w:val="16"/>
                          </w:rPr>
                        </w:pPr>
                        <w:r>
                          <w:rPr>
                            <w:w w:val="90"/>
                            <w:sz w:val="16"/>
                          </w:rPr>
                          <w:t>S/D</w:t>
                        </w:r>
                      </w:p>
                    </w:tc>
                  </w:tr>
                  <w:tr>
                    <w:trPr>
                      <w:trHeight w:val="300" w:hRule="exact"/>
                    </w:trPr>
                    <w:tc>
                      <w:tcPr>
                        <w:tcW w:w="510" w:type="dxa"/>
                      </w:tcPr>
                      <w:p>
                        <w:pPr>
                          <w:pStyle w:val="TableParagraph"/>
                          <w:spacing w:before="71"/>
                          <w:ind w:left="37" w:right="111"/>
                          <w:jc w:val="center"/>
                          <w:rPr>
                            <w:sz w:val="16"/>
                          </w:rPr>
                        </w:pPr>
                        <w:r>
                          <w:rPr>
                            <w:sz w:val="16"/>
                          </w:rPr>
                          <w:t>2004</w:t>
                        </w:r>
                      </w:p>
                    </w:tc>
                    <w:tc>
                      <w:tcPr>
                        <w:tcW w:w="785" w:type="dxa"/>
                      </w:tcPr>
                      <w:p>
                        <w:pPr>
                          <w:pStyle w:val="TableParagraph"/>
                          <w:spacing w:before="71"/>
                          <w:ind w:right="153"/>
                          <w:rPr>
                            <w:sz w:val="16"/>
                          </w:rPr>
                        </w:pPr>
                        <w:r>
                          <w:rPr>
                            <w:w w:val="95"/>
                            <w:sz w:val="16"/>
                          </w:rPr>
                          <w:t>32 030</w:t>
                        </w:r>
                      </w:p>
                    </w:tc>
                    <w:tc>
                      <w:tcPr>
                        <w:tcW w:w="736" w:type="dxa"/>
                      </w:tcPr>
                      <w:p>
                        <w:pPr>
                          <w:pStyle w:val="TableParagraph"/>
                          <w:spacing w:before="71"/>
                          <w:ind w:right="93"/>
                          <w:rPr>
                            <w:sz w:val="16"/>
                          </w:rPr>
                        </w:pPr>
                        <w:r>
                          <w:rPr>
                            <w:w w:val="95"/>
                            <w:sz w:val="16"/>
                          </w:rPr>
                          <w:t>507 065</w:t>
                        </w:r>
                      </w:p>
                    </w:tc>
                    <w:tc>
                      <w:tcPr>
                        <w:tcW w:w="529" w:type="dxa"/>
                      </w:tcPr>
                      <w:p>
                        <w:pPr>
                          <w:pStyle w:val="TableParagraph"/>
                          <w:spacing w:before="71"/>
                          <w:ind w:right="95"/>
                          <w:rPr>
                            <w:sz w:val="16"/>
                          </w:rPr>
                        </w:pPr>
                        <w:r>
                          <w:rPr>
                            <w:sz w:val="16"/>
                          </w:rPr>
                          <w:t>3 057</w:t>
                        </w:r>
                      </w:p>
                    </w:tc>
                    <w:tc>
                      <w:tcPr>
                        <w:tcW w:w="758" w:type="dxa"/>
                        <w:tcBorders>
                          <w:right w:val="single" w:sz="4" w:space="0" w:color="000000"/>
                        </w:tcBorders>
                      </w:tcPr>
                      <w:p>
                        <w:pPr>
                          <w:pStyle w:val="TableParagraph"/>
                          <w:spacing w:before="71"/>
                          <w:ind w:right="56"/>
                          <w:rPr>
                            <w:sz w:val="16"/>
                          </w:rPr>
                        </w:pPr>
                        <w:r>
                          <w:rPr>
                            <w:w w:val="95"/>
                            <w:sz w:val="16"/>
                          </w:rPr>
                          <w:t>542 152</w:t>
                        </w:r>
                      </w:p>
                    </w:tc>
                    <w:tc>
                      <w:tcPr>
                        <w:tcW w:w="644" w:type="dxa"/>
                        <w:tcBorders>
                          <w:left w:val="single" w:sz="4" w:space="0" w:color="000000"/>
                        </w:tcBorders>
                      </w:tcPr>
                      <w:p>
                        <w:pPr>
                          <w:pStyle w:val="TableParagraph"/>
                          <w:spacing w:before="71"/>
                          <w:ind w:left="62"/>
                          <w:jc w:val="left"/>
                          <w:rPr>
                            <w:sz w:val="16"/>
                          </w:rPr>
                        </w:pPr>
                        <w:r>
                          <w:rPr>
                            <w:sz w:val="16"/>
                          </w:rPr>
                          <w:t>2004</w:t>
                        </w:r>
                      </w:p>
                    </w:tc>
                    <w:tc>
                      <w:tcPr>
                        <w:tcW w:w="807" w:type="dxa"/>
                      </w:tcPr>
                      <w:p>
                        <w:pPr>
                          <w:pStyle w:val="TableParagraph"/>
                          <w:spacing w:before="71"/>
                          <w:ind w:left="246" w:right="161"/>
                          <w:jc w:val="center"/>
                          <w:rPr>
                            <w:sz w:val="16"/>
                          </w:rPr>
                        </w:pPr>
                        <w:r>
                          <w:rPr>
                            <w:sz w:val="16"/>
                          </w:rPr>
                          <w:t>4 442</w:t>
                        </w:r>
                      </w:p>
                    </w:tc>
                    <w:tc>
                      <w:tcPr>
                        <w:tcW w:w="685" w:type="dxa"/>
                      </w:tcPr>
                      <w:p>
                        <w:pPr>
                          <w:pStyle w:val="TableParagraph"/>
                          <w:spacing w:before="71"/>
                          <w:ind w:right="79"/>
                          <w:rPr>
                            <w:sz w:val="16"/>
                          </w:rPr>
                        </w:pPr>
                        <w:r>
                          <w:rPr>
                            <w:w w:val="95"/>
                            <w:sz w:val="16"/>
                          </w:rPr>
                          <w:t>17 747</w:t>
                        </w:r>
                      </w:p>
                    </w:tc>
                    <w:tc>
                      <w:tcPr>
                        <w:tcW w:w="438" w:type="dxa"/>
                      </w:tcPr>
                      <w:p>
                        <w:pPr>
                          <w:pStyle w:val="TableParagraph"/>
                          <w:spacing w:before="71"/>
                          <w:ind w:right="124"/>
                          <w:rPr>
                            <w:sz w:val="16"/>
                          </w:rPr>
                        </w:pPr>
                        <w:r>
                          <w:rPr>
                            <w:w w:val="92"/>
                            <w:sz w:val="16"/>
                          </w:rPr>
                          <w:t>0</w:t>
                        </w:r>
                      </w:p>
                    </w:tc>
                    <w:tc>
                      <w:tcPr>
                        <w:tcW w:w="599" w:type="dxa"/>
                      </w:tcPr>
                      <w:p>
                        <w:pPr>
                          <w:pStyle w:val="TableParagraph"/>
                          <w:spacing w:before="71"/>
                          <w:ind w:right="62"/>
                          <w:rPr>
                            <w:sz w:val="16"/>
                          </w:rPr>
                        </w:pPr>
                        <w:r>
                          <w:rPr>
                            <w:w w:val="95"/>
                            <w:sz w:val="16"/>
                          </w:rPr>
                          <w:t>22 189</w:t>
                        </w:r>
                      </w:p>
                    </w:tc>
                  </w:tr>
                  <w:tr>
                    <w:trPr>
                      <w:trHeight w:val="254" w:hRule="exact"/>
                    </w:trPr>
                    <w:tc>
                      <w:tcPr>
                        <w:tcW w:w="510" w:type="dxa"/>
                      </w:tcPr>
                      <w:p>
                        <w:pPr>
                          <w:pStyle w:val="TableParagraph"/>
                          <w:spacing w:before="26"/>
                          <w:ind w:left="37" w:right="111"/>
                          <w:jc w:val="center"/>
                          <w:rPr>
                            <w:sz w:val="16"/>
                          </w:rPr>
                        </w:pPr>
                        <w:r>
                          <w:rPr>
                            <w:sz w:val="16"/>
                          </w:rPr>
                          <w:t>2005</w:t>
                        </w:r>
                      </w:p>
                    </w:tc>
                    <w:tc>
                      <w:tcPr>
                        <w:tcW w:w="785" w:type="dxa"/>
                      </w:tcPr>
                      <w:p>
                        <w:pPr>
                          <w:pStyle w:val="TableParagraph"/>
                          <w:spacing w:before="26"/>
                          <w:ind w:right="153"/>
                          <w:rPr>
                            <w:sz w:val="16"/>
                          </w:rPr>
                        </w:pPr>
                        <w:r>
                          <w:rPr>
                            <w:w w:val="95"/>
                            <w:sz w:val="16"/>
                          </w:rPr>
                          <w:t>28 144</w:t>
                        </w:r>
                      </w:p>
                    </w:tc>
                    <w:tc>
                      <w:tcPr>
                        <w:tcW w:w="736" w:type="dxa"/>
                      </w:tcPr>
                      <w:p>
                        <w:pPr>
                          <w:pStyle w:val="TableParagraph"/>
                          <w:spacing w:before="26"/>
                          <w:ind w:right="93"/>
                          <w:rPr>
                            <w:sz w:val="16"/>
                          </w:rPr>
                        </w:pPr>
                        <w:r>
                          <w:rPr>
                            <w:w w:val="95"/>
                            <w:sz w:val="16"/>
                          </w:rPr>
                          <w:t>679 441</w:t>
                        </w:r>
                      </w:p>
                    </w:tc>
                    <w:tc>
                      <w:tcPr>
                        <w:tcW w:w="529" w:type="dxa"/>
                      </w:tcPr>
                      <w:p>
                        <w:pPr>
                          <w:pStyle w:val="TableParagraph"/>
                          <w:spacing w:before="26"/>
                          <w:ind w:right="95"/>
                          <w:rPr>
                            <w:sz w:val="16"/>
                          </w:rPr>
                        </w:pPr>
                        <w:r>
                          <w:rPr>
                            <w:sz w:val="16"/>
                          </w:rPr>
                          <w:t>1 346</w:t>
                        </w:r>
                      </w:p>
                    </w:tc>
                    <w:tc>
                      <w:tcPr>
                        <w:tcW w:w="758" w:type="dxa"/>
                        <w:tcBorders>
                          <w:right w:val="single" w:sz="4" w:space="0" w:color="000000"/>
                        </w:tcBorders>
                      </w:tcPr>
                      <w:p>
                        <w:pPr>
                          <w:pStyle w:val="TableParagraph"/>
                          <w:spacing w:before="26"/>
                          <w:ind w:right="56"/>
                          <w:rPr>
                            <w:sz w:val="16"/>
                          </w:rPr>
                        </w:pPr>
                        <w:r>
                          <w:rPr>
                            <w:w w:val="95"/>
                            <w:sz w:val="16"/>
                          </w:rPr>
                          <w:t>708 931</w:t>
                        </w:r>
                      </w:p>
                    </w:tc>
                    <w:tc>
                      <w:tcPr>
                        <w:tcW w:w="644" w:type="dxa"/>
                        <w:tcBorders>
                          <w:left w:val="single" w:sz="4" w:space="0" w:color="000000"/>
                        </w:tcBorders>
                      </w:tcPr>
                      <w:p>
                        <w:pPr>
                          <w:pStyle w:val="TableParagraph"/>
                          <w:spacing w:before="26"/>
                          <w:ind w:left="62"/>
                          <w:jc w:val="left"/>
                          <w:rPr>
                            <w:sz w:val="16"/>
                          </w:rPr>
                        </w:pPr>
                        <w:r>
                          <w:rPr>
                            <w:sz w:val="16"/>
                          </w:rPr>
                          <w:t>2005</w:t>
                        </w:r>
                      </w:p>
                    </w:tc>
                    <w:tc>
                      <w:tcPr>
                        <w:tcW w:w="807" w:type="dxa"/>
                      </w:tcPr>
                      <w:p>
                        <w:pPr>
                          <w:pStyle w:val="TableParagraph"/>
                          <w:spacing w:before="26"/>
                          <w:ind w:left="246" w:right="49"/>
                          <w:jc w:val="center"/>
                          <w:rPr>
                            <w:sz w:val="16"/>
                          </w:rPr>
                        </w:pPr>
                        <w:r>
                          <w:rPr>
                            <w:sz w:val="16"/>
                          </w:rPr>
                          <w:t>523</w:t>
                        </w:r>
                      </w:p>
                    </w:tc>
                    <w:tc>
                      <w:tcPr>
                        <w:tcW w:w="685" w:type="dxa"/>
                      </w:tcPr>
                      <w:p>
                        <w:pPr>
                          <w:pStyle w:val="TableParagraph"/>
                          <w:spacing w:before="26"/>
                          <w:ind w:right="79"/>
                          <w:rPr>
                            <w:sz w:val="16"/>
                          </w:rPr>
                        </w:pPr>
                        <w:r>
                          <w:rPr>
                            <w:w w:val="95"/>
                            <w:sz w:val="16"/>
                          </w:rPr>
                          <w:t>27 628</w:t>
                        </w:r>
                      </w:p>
                    </w:tc>
                    <w:tc>
                      <w:tcPr>
                        <w:tcW w:w="438" w:type="dxa"/>
                      </w:tcPr>
                      <w:p>
                        <w:pPr/>
                      </w:p>
                    </w:tc>
                    <w:tc>
                      <w:tcPr>
                        <w:tcW w:w="599" w:type="dxa"/>
                      </w:tcPr>
                      <w:p>
                        <w:pPr>
                          <w:pStyle w:val="TableParagraph"/>
                          <w:spacing w:before="26"/>
                          <w:ind w:right="62"/>
                          <w:rPr>
                            <w:sz w:val="16"/>
                          </w:rPr>
                        </w:pPr>
                        <w:r>
                          <w:rPr>
                            <w:w w:val="95"/>
                            <w:sz w:val="16"/>
                          </w:rPr>
                          <w:t>28 151</w:t>
                        </w:r>
                      </w:p>
                    </w:tc>
                  </w:tr>
                  <w:tr>
                    <w:trPr>
                      <w:trHeight w:val="254" w:hRule="exact"/>
                    </w:trPr>
                    <w:tc>
                      <w:tcPr>
                        <w:tcW w:w="510" w:type="dxa"/>
                      </w:tcPr>
                      <w:p>
                        <w:pPr>
                          <w:pStyle w:val="TableParagraph"/>
                          <w:spacing w:before="26"/>
                          <w:ind w:left="37" w:right="111"/>
                          <w:jc w:val="center"/>
                          <w:rPr>
                            <w:sz w:val="16"/>
                          </w:rPr>
                        </w:pPr>
                        <w:r>
                          <w:rPr>
                            <w:sz w:val="16"/>
                          </w:rPr>
                          <w:t>2006</w:t>
                        </w:r>
                      </w:p>
                    </w:tc>
                    <w:tc>
                      <w:tcPr>
                        <w:tcW w:w="785" w:type="dxa"/>
                      </w:tcPr>
                      <w:p>
                        <w:pPr>
                          <w:pStyle w:val="TableParagraph"/>
                          <w:spacing w:before="26"/>
                          <w:ind w:right="153"/>
                          <w:rPr>
                            <w:sz w:val="16"/>
                          </w:rPr>
                        </w:pPr>
                        <w:r>
                          <w:rPr>
                            <w:w w:val="95"/>
                            <w:sz w:val="16"/>
                          </w:rPr>
                          <w:t>107 016</w:t>
                        </w:r>
                      </w:p>
                    </w:tc>
                    <w:tc>
                      <w:tcPr>
                        <w:tcW w:w="736" w:type="dxa"/>
                      </w:tcPr>
                      <w:p>
                        <w:pPr>
                          <w:pStyle w:val="TableParagraph"/>
                          <w:spacing w:before="26"/>
                          <w:ind w:right="93"/>
                          <w:rPr>
                            <w:sz w:val="16"/>
                          </w:rPr>
                        </w:pPr>
                        <w:r>
                          <w:rPr>
                            <w:w w:val="95"/>
                            <w:sz w:val="16"/>
                          </w:rPr>
                          <w:t>707 744</w:t>
                        </w:r>
                      </w:p>
                    </w:tc>
                    <w:tc>
                      <w:tcPr>
                        <w:tcW w:w="529" w:type="dxa"/>
                      </w:tcPr>
                      <w:p>
                        <w:pPr>
                          <w:pStyle w:val="TableParagraph"/>
                          <w:spacing w:before="26"/>
                          <w:ind w:right="95"/>
                          <w:rPr>
                            <w:sz w:val="16"/>
                          </w:rPr>
                        </w:pPr>
                        <w:r>
                          <w:rPr>
                            <w:w w:val="90"/>
                            <w:sz w:val="16"/>
                          </w:rPr>
                          <w:t>808</w:t>
                        </w:r>
                      </w:p>
                    </w:tc>
                    <w:tc>
                      <w:tcPr>
                        <w:tcW w:w="758" w:type="dxa"/>
                        <w:tcBorders>
                          <w:right w:val="single" w:sz="4" w:space="0" w:color="000000"/>
                        </w:tcBorders>
                      </w:tcPr>
                      <w:p>
                        <w:pPr>
                          <w:pStyle w:val="TableParagraph"/>
                          <w:spacing w:before="26"/>
                          <w:ind w:right="56"/>
                          <w:rPr>
                            <w:sz w:val="16"/>
                          </w:rPr>
                        </w:pPr>
                        <w:r>
                          <w:rPr>
                            <w:w w:val="95"/>
                            <w:sz w:val="16"/>
                          </w:rPr>
                          <w:t>815 568</w:t>
                        </w:r>
                      </w:p>
                    </w:tc>
                    <w:tc>
                      <w:tcPr>
                        <w:tcW w:w="644" w:type="dxa"/>
                        <w:tcBorders>
                          <w:left w:val="single" w:sz="4" w:space="0" w:color="000000"/>
                        </w:tcBorders>
                      </w:tcPr>
                      <w:p>
                        <w:pPr>
                          <w:pStyle w:val="TableParagraph"/>
                          <w:spacing w:before="26"/>
                          <w:ind w:left="62"/>
                          <w:jc w:val="left"/>
                          <w:rPr>
                            <w:sz w:val="16"/>
                          </w:rPr>
                        </w:pPr>
                        <w:r>
                          <w:rPr>
                            <w:sz w:val="16"/>
                          </w:rPr>
                          <w:t>2006</w:t>
                        </w:r>
                      </w:p>
                    </w:tc>
                    <w:tc>
                      <w:tcPr>
                        <w:tcW w:w="807" w:type="dxa"/>
                      </w:tcPr>
                      <w:p>
                        <w:pPr>
                          <w:pStyle w:val="TableParagraph"/>
                          <w:spacing w:before="26"/>
                          <w:ind w:left="246" w:right="49"/>
                          <w:jc w:val="center"/>
                          <w:rPr>
                            <w:sz w:val="16"/>
                          </w:rPr>
                        </w:pPr>
                        <w:r>
                          <w:rPr>
                            <w:sz w:val="16"/>
                          </w:rPr>
                          <w:t>942</w:t>
                        </w:r>
                      </w:p>
                    </w:tc>
                    <w:tc>
                      <w:tcPr>
                        <w:tcW w:w="685" w:type="dxa"/>
                      </w:tcPr>
                      <w:p>
                        <w:pPr>
                          <w:pStyle w:val="TableParagraph"/>
                          <w:spacing w:before="26"/>
                          <w:ind w:right="79"/>
                          <w:rPr>
                            <w:sz w:val="16"/>
                          </w:rPr>
                        </w:pPr>
                        <w:r>
                          <w:rPr>
                            <w:w w:val="95"/>
                            <w:sz w:val="16"/>
                          </w:rPr>
                          <w:t>42 020</w:t>
                        </w:r>
                      </w:p>
                    </w:tc>
                    <w:tc>
                      <w:tcPr>
                        <w:tcW w:w="438" w:type="dxa"/>
                      </w:tcPr>
                      <w:p>
                        <w:pPr>
                          <w:pStyle w:val="TableParagraph"/>
                          <w:spacing w:before="26"/>
                          <w:ind w:right="124"/>
                          <w:rPr>
                            <w:sz w:val="16"/>
                          </w:rPr>
                        </w:pPr>
                        <w:r>
                          <w:rPr>
                            <w:w w:val="92"/>
                            <w:sz w:val="16"/>
                          </w:rPr>
                          <w:t>0</w:t>
                        </w:r>
                      </w:p>
                    </w:tc>
                    <w:tc>
                      <w:tcPr>
                        <w:tcW w:w="599" w:type="dxa"/>
                      </w:tcPr>
                      <w:p>
                        <w:pPr>
                          <w:pStyle w:val="TableParagraph"/>
                          <w:spacing w:before="26"/>
                          <w:ind w:right="62"/>
                          <w:rPr>
                            <w:sz w:val="16"/>
                          </w:rPr>
                        </w:pPr>
                        <w:r>
                          <w:rPr>
                            <w:w w:val="95"/>
                            <w:sz w:val="16"/>
                          </w:rPr>
                          <w:t>42 962</w:t>
                        </w:r>
                      </w:p>
                    </w:tc>
                  </w:tr>
                  <w:tr>
                    <w:trPr>
                      <w:trHeight w:val="257" w:hRule="exact"/>
                    </w:trPr>
                    <w:tc>
                      <w:tcPr>
                        <w:tcW w:w="510" w:type="dxa"/>
                      </w:tcPr>
                      <w:p>
                        <w:pPr>
                          <w:pStyle w:val="TableParagraph"/>
                          <w:spacing w:before="26"/>
                          <w:ind w:left="37" w:right="111"/>
                          <w:jc w:val="center"/>
                          <w:rPr>
                            <w:sz w:val="16"/>
                          </w:rPr>
                        </w:pPr>
                        <w:r>
                          <w:rPr>
                            <w:sz w:val="16"/>
                          </w:rPr>
                          <w:t>2007</w:t>
                        </w:r>
                      </w:p>
                    </w:tc>
                    <w:tc>
                      <w:tcPr>
                        <w:tcW w:w="785" w:type="dxa"/>
                      </w:tcPr>
                      <w:p>
                        <w:pPr>
                          <w:pStyle w:val="TableParagraph"/>
                          <w:spacing w:before="26"/>
                          <w:ind w:right="153"/>
                          <w:rPr>
                            <w:sz w:val="16"/>
                          </w:rPr>
                        </w:pPr>
                        <w:r>
                          <w:rPr>
                            <w:w w:val="95"/>
                            <w:sz w:val="16"/>
                          </w:rPr>
                          <w:t>100 828</w:t>
                        </w:r>
                      </w:p>
                    </w:tc>
                    <w:tc>
                      <w:tcPr>
                        <w:tcW w:w="736" w:type="dxa"/>
                      </w:tcPr>
                      <w:p>
                        <w:pPr>
                          <w:pStyle w:val="TableParagraph"/>
                          <w:spacing w:before="26"/>
                          <w:ind w:right="93"/>
                          <w:rPr>
                            <w:sz w:val="16"/>
                          </w:rPr>
                        </w:pPr>
                        <w:r>
                          <w:rPr>
                            <w:w w:val="95"/>
                            <w:sz w:val="16"/>
                          </w:rPr>
                          <w:t>950 628</w:t>
                        </w:r>
                      </w:p>
                    </w:tc>
                    <w:tc>
                      <w:tcPr>
                        <w:tcW w:w="529" w:type="dxa"/>
                      </w:tcPr>
                      <w:p>
                        <w:pPr>
                          <w:pStyle w:val="TableParagraph"/>
                          <w:spacing w:before="26"/>
                          <w:ind w:right="95"/>
                          <w:rPr>
                            <w:sz w:val="16"/>
                          </w:rPr>
                        </w:pPr>
                        <w:r>
                          <w:rPr>
                            <w:w w:val="90"/>
                            <w:sz w:val="16"/>
                          </w:rPr>
                          <w:t>246</w:t>
                        </w:r>
                      </w:p>
                    </w:tc>
                    <w:tc>
                      <w:tcPr>
                        <w:tcW w:w="758" w:type="dxa"/>
                        <w:tcBorders>
                          <w:right w:val="single" w:sz="4" w:space="0" w:color="000000"/>
                        </w:tcBorders>
                      </w:tcPr>
                      <w:p>
                        <w:pPr>
                          <w:pStyle w:val="TableParagraph"/>
                          <w:spacing w:before="26"/>
                          <w:ind w:right="56"/>
                          <w:rPr>
                            <w:sz w:val="16"/>
                          </w:rPr>
                        </w:pPr>
                        <w:r>
                          <w:rPr>
                            <w:sz w:val="16"/>
                          </w:rPr>
                          <w:t>1 051 702</w:t>
                        </w:r>
                      </w:p>
                    </w:tc>
                    <w:tc>
                      <w:tcPr>
                        <w:tcW w:w="644" w:type="dxa"/>
                        <w:tcBorders>
                          <w:left w:val="single" w:sz="4" w:space="0" w:color="000000"/>
                        </w:tcBorders>
                      </w:tcPr>
                      <w:p>
                        <w:pPr>
                          <w:pStyle w:val="TableParagraph"/>
                          <w:spacing w:before="26"/>
                          <w:ind w:left="62"/>
                          <w:jc w:val="left"/>
                          <w:rPr>
                            <w:sz w:val="16"/>
                          </w:rPr>
                        </w:pPr>
                        <w:r>
                          <w:rPr>
                            <w:sz w:val="16"/>
                          </w:rPr>
                          <w:t>2007</w:t>
                        </w:r>
                      </w:p>
                    </w:tc>
                    <w:tc>
                      <w:tcPr>
                        <w:tcW w:w="807" w:type="dxa"/>
                      </w:tcPr>
                      <w:p>
                        <w:pPr>
                          <w:pStyle w:val="TableParagraph"/>
                          <w:spacing w:before="26"/>
                          <w:ind w:left="246" w:right="49"/>
                          <w:jc w:val="center"/>
                          <w:rPr>
                            <w:sz w:val="16"/>
                          </w:rPr>
                        </w:pPr>
                        <w:r>
                          <w:rPr>
                            <w:sz w:val="16"/>
                          </w:rPr>
                          <w:t>776</w:t>
                        </w:r>
                      </w:p>
                    </w:tc>
                    <w:tc>
                      <w:tcPr>
                        <w:tcW w:w="685" w:type="dxa"/>
                      </w:tcPr>
                      <w:p>
                        <w:pPr>
                          <w:pStyle w:val="TableParagraph"/>
                          <w:spacing w:before="26"/>
                          <w:ind w:right="79"/>
                          <w:rPr>
                            <w:sz w:val="16"/>
                          </w:rPr>
                        </w:pPr>
                        <w:r>
                          <w:rPr>
                            <w:w w:val="95"/>
                            <w:sz w:val="16"/>
                          </w:rPr>
                          <w:t>41 923</w:t>
                        </w:r>
                      </w:p>
                    </w:tc>
                    <w:tc>
                      <w:tcPr>
                        <w:tcW w:w="438" w:type="dxa"/>
                      </w:tcPr>
                      <w:p>
                        <w:pPr>
                          <w:pStyle w:val="TableParagraph"/>
                          <w:spacing w:before="26"/>
                          <w:ind w:right="124"/>
                          <w:rPr>
                            <w:sz w:val="16"/>
                          </w:rPr>
                        </w:pPr>
                        <w:r>
                          <w:rPr>
                            <w:w w:val="92"/>
                            <w:sz w:val="16"/>
                          </w:rPr>
                          <w:t>0</w:t>
                        </w:r>
                      </w:p>
                    </w:tc>
                    <w:tc>
                      <w:tcPr>
                        <w:tcW w:w="599" w:type="dxa"/>
                      </w:tcPr>
                      <w:p>
                        <w:pPr>
                          <w:pStyle w:val="TableParagraph"/>
                          <w:spacing w:before="26"/>
                          <w:ind w:right="62"/>
                          <w:rPr>
                            <w:sz w:val="16"/>
                          </w:rPr>
                        </w:pPr>
                        <w:r>
                          <w:rPr>
                            <w:w w:val="95"/>
                            <w:sz w:val="16"/>
                          </w:rPr>
                          <w:t>42 699</w:t>
                        </w:r>
                      </w:p>
                    </w:tc>
                  </w:tr>
                  <w:tr>
                    <w:trPr>
                      <w:trHeight w:val="264" w:hRule="exact"/>
                    </w:trPr>
                    <w:tc>
                      <w:tcPr>
                        <w:tcW w:w="510" w:type="dxa"/>
                      </w:tcPr>
                      <w:p>
                        <w:pPr>
                          <w:pStyle w:val="TableParagraph"/>
                          <w:spacing w:before="28"/>
                          <w:ind w:left="37" w:right="111"/>
                          <w:jc w:val="center"/>
                          <w:rPr>
                            <w:sz w:val="16"/>
                          </w:rPr>
                        </w:pPr>
                        <w:r>
                          <w:rPr>
                            <w:sz w:val="16"/>
                          </w:rPr>
                          <w:t>2008</w:t>
                        </w:r>
                      </w:p>
                    </w:tc>
                    <w:tc>
                      <w:tcPr>
                        <w:tcW w:w="785" w:type="dxa"/>
                      </w:tcPr>
                      <w:p>
                        <w:pPr>
                          <w:pStyle w:val="TableParagraph"/>
                          <w:spacing w:before="28"/>
                          <w:ind w:right="153"/>
                          <w:rPr>
                            <w:sz w:val="16"/>
                          </w:rPr>
                        </w:pPr>
                        <w:r>
                          <w:rPr>
                            <w:w w:val="95"/>
                            <w:sz w:val="16"/>
                          </w:rPr>
                          <w:t>48 986</w:t>
                        </w:r>
                      </w:p>
                    </w:tc>
                    <w:tc>
                      <w:tcPr>
                        <w:tcW w:w="736" w:type="dxa"/>
                      </w:tcPr>
                      <w:p>
                        <w:pPr>
                          <w:pStyle w:val="TableParagraph"/>
                          <w:spacing w:before="28"/>
                          <w:ind w:right="93"/>
                          <w:rPr>
                            <w:sz w:val="16"/>
                          </w:rPr>
                        </w:pPr>
                        <w:r>
                          <w:rPr>
                            <w:w w:val="95"/>
                            <w:sz w:val="16"/>
                          </w:rPr>
                          <w:t>694 239</w:t>
                        </w:r>
                      </w:p>
                    </w:tc>
                    <w:tc>
                      <w:tcPr>
                        <w:tcW w:w="529" w:type="dxa"/>
                      </w:tcPr>
                      <w:p>
                        <w:pPr>
                          <w:pStyle w:val="TableParagraph"/>
                          <w:spacing w:before="28"/>
                          <w:ind w:right="95"/>
                          <w:rPr>
                            <w:sz w:val="16"/>
                          </w:rPr>
                        </w:pPr>
                        <w:r>
                          <w:rPr>
                            <w:sz w:val="16"/>
                          </w:rPr>
                          <w:t>5 163</w:t>
                        </w:r>
                      </w:p>
                    </w:tc>
                    <w:tc>
                      <w:tcPr>
                        <w:tcW w:w="758" w:type="dxa"/>
                        <w:tcBorders>
                          <w:right w:val="single" w:sz="4" w:space="0" w:color="000000"/>
                        </w:tcBorders>
                      </w:tcPr>
                      <w:p>
                        <w:pPr>
                          <w:pStyle w:val="TableParagraph"/>
                          <w:spacing w:before="28"/>
                          <w:ind w:right="56"/>
                          <w:rPr>
                            <w:sz w:val="16"/>
                          </w:rPr>
                        </w:pPr>
                        <w:r>
                          <w:rPr>
                            <w:w w:val="95"/>
                            <w:sz w:val="16"/>
                          </w:rPr>
                          <w:t>748 388</w:t>
                        </w:r>
                      </w:p>
                    </w:tc>
                    <w:tc>
                      <w:tcPr>
                        <w:tcW w:w="644" w:type="dxa"/>
                        <w:tcBorders>
                          <w:left w:val="single" w:sz="4" w:space="0" w:color="000000"/>
                        </w:tcBorders>
                      </w:tcPr>
                      <w:p>
                        <w:pPr>
                          <w:pStyle w:val="TableParagraph"/>
                          <w:spacing w:before="28"/>
                          <w:ind w:left="62"/>
                          <w:jc w:val="left"/>
                          <w:rPr>
                            <w:sz w:val="16"/>
                          </w:rPr>
                        </w:pPr>
                        <w:r>
                          <w:rPr>
                            <w:sz w:val="16"/>
                          </w:rPr>
                          <w:t>2008</w:t>
                        </w:r>
                      </w:p>
                    </w:tc>
                    <w:tc>
                      <w:tcPr>
                        <w:tcW w:w="807" w:type="dxa"/>
                      </w:tcPr>
                      <w:p>
                        <w:pPr>
                          <w:pStyle w:val="TableParagraph"/>
                          <w:spacing w:before="28"/>
                          <w:ind w:left="246" w:right="49"/>
                          <w:jc w:val="center"/>
                          <w:rPr>
                            <w:sz w:val="16"/>
                          </w:rPr>
                        </w:pPr>
                        <w:r>
                          <w:rPr>
                            <w:sz w:val="16"/>
                          </w:rPr>
                          <w:t>202</w:t>
                        </w:r>
                      </w:p>
                    </w:tc>
                    <w:tc>
                      <w:tcPr>
                        <w:tcW w:w="685" w:type="dxa"/>
                      </w:tcPr>
                      <w:p>
                        <w:pPr>
                          <w:pStyle w:val="TableParagraph"/>
                          <w:spacing w:before="28"/>
                          <w:ind w:right="79"/>
                          <w:rPr>
                            <w:sz w:val="16"/>
                          </w:rPr>
                        </w:pPr>
                        <w:r>
                          <w:rPr>
                            <w:w w:val="95"/>
                            <w:sz w:val="16"/>
                          </w:rPr>
                          <w:t>42 646</w:t>
                        </w:r>
                      </w:p>
                    </w:tc>
                    <w:tc>
                      <w:tcPr>
                        <w:tcW w:w="438" w:type="dxa"/>
                      </w:tcPr>
                      <w:p>
                        <w:pPr>
                          <w:pStyle w:val="TableParagraph"/>
                          <w:spacing w:before="28"/>
                          <w:ind w:right="122"/>
                          <w:rPr>
                            <w:sz w:val="16"/>
                          </w:rPr>
                        </w:pPr>
                        <w:r>
                          <w:rPr>
                            <w:w w:val="90"/>
                            <w:sz w:val="16"/>
                          </w:rPr>
                          <w:t>18</w:t>
                        </w:r>
                      </w:p>
                    </w:tc>
                    <w:tc>
                      <w:tcPr>
                        <w:tcW w:w="599" w:type="dxa"/>
                      </w:tcPr>
                      <w:p>
                        <w:pPr>
                          <w:pStyle w:val="TableParagraph"/>
                          <w:spacing w:before="28"/>
                          <w:ind w:right="62"/>
                          <w:rPr>
                            <w:sz w:val="16"/>
                          </w:rPr>
                        </w:pPr>
                        <w:r>
                          <w:rPr>
                            <w:w w:val="95"/>
                            <w:sz w:val="16"/>
                          </w:rPr>
                          <w:t>42 866</w:t>
                        </w:r>
                      </w:p>
                    </w:tc>
                  </w:tr>
                  <w:tr>
                    <w:trPr>
                      <w:trHeight w:val="238" w:hRule="exact"/>
                    </w:trPr>
                    <w:tc>
                      <w:tcPr>
                        <w:tcW w:w="510" w:type="dxa"/>
                        <w:tcBorders>
                          <w:bottom w:val="double" w:sz="6" w:space="0" w:color="000000"/>
                        </w:tcBorders>
                      </w:tcPr>
                      <w:p>
                        <w:pPr>
                          <w:pStyle w:val="TableParagraph"/>
                          <w:spacing w:before="33"/>
                          <w:ind w:left="37" w:right="111"/>
                          <w:jc w:val="center"/>
                          <w:rPr>
                            <w:sz w:val="16"/>
                          </w:rPr>
                        </w:pPr>
                        <w:r>
                          <w:rPr>
                            <w:sz w:val="16"/>
                          </w:rPr>
                          <w:t>2009</w:t>
                        </w:r>
                      </w:p>
                    </w:tc>
                    <w:tc>
                      <w:tcPr>
                        <w:tcW w:w="785" w:type="dxa"/>
                        <w:tcBorders>
                          <w:bottom w:val="double" w:sz="6" w:space="0" w:color="000000"/>
                        </w:tcBorders>
                      </w:tcPr>
                      <w:p>
                        <w:pPr>
                          <w:pStyle w:val="TableParagraph"/>
                          <w:spacing w:before="33"/>
                          <w:ind w:right="153"/>
                          <w:rPr>
                            <w:sz w:val="16"/>
                          </w:rPr>
                        </w:pPr>
                        <w:r>
                          <w:rPr>
                            <w:w w:val="95"/>
                            <w:sz w:val="16"/>
                          </w:rPr>
                          <w:t>30 726</w:t>
                        </w:r>
                      </w:p>
                    </w:tc>
                    <w:tc>
                      <w:tcPr>
                        <w:tcW w:w="736" w:type="dxa"/>
                        <w:tcBorders>
                          <w:bottom w:val="double" w:sz="6" w:space="0" w:color="000000"/>
                        </w:tcBorders>
                      </w:tcPr>
                      <w:p>
                        <w:pPr>
                          <w:pStyle w:val="TableParagraph"/>
                          <w:spacing w:before="33"/>
                          <w:ind w:right="93"/>
                          <w:rPr>
                            <w:sz w:val="16"/>
                          </w:rPr>
                        </w:pPr>
                        <w:r>
                          <w:rPr>
                            <w:w w:val="95"/>
                            <w:sz w:val="16"/>
                          </w:rPr>
                          <w:t>600 668</w:t>
                        </w:r>
                      </w:p>
                    </w:tc>
                    <w:tc>
                      <w:tcPr>
                        <w:tcW w:w="529" w:type="dxa"/>
                        <w:tcBorders>
                          <w:bottom w:val="double" w:sz="6" w:space="0" w:color="000000"/>
                        </w:tcBorders>
                      </w:tcPr>
                      <w:p>
                        <w:pPr>
                          <w:pStyle w:val="TableParagraph"/>
                          <w:spacing w:before="33"/>
                          <w:ind w:right="95"/>
                          <w:rPr>
                            <w:sz w:val="16"/>
                          </w:rPr>
                        </w:pPr>
                        <w:r>
                          <w:rPr>
                            <w:w w:val="90"/>
                            <w:sz w:val="16"/>
                          </w:rPr>
                          <w:t>344</w:t>
                        </w:r>
                      </w:p>
                    </w:tc>
                    <w:tc>
                      <w:tcPr>
                        <w:tcW w:w="758" w:type="dxa"/>
                        <w:tcBorders>
                          <w:bottom w:val="double" w:sz="6" w:space="0" w:color="000000"/>
                          <w:right w:val="single" w:sz="4" w:space="0" w:color="000000"/>
                        </w:tcBorders>
                      </w:tcPr>
                      <w:p>
                        <w:pPr>
                          <w:pStyle w:val="TableParagraph"/>
                          <w:spacing w:before="33"/>
                          <w:ind w:right="56"/>
                          <w:rPr>
                            <w:sz w:val="16"/>
                          </w:rPr>
                        </w:pPr>
                        <w:r>
                          <w:rPr>
                            <w:w w:val="95"/>
                            <w:sz w:val="16"/>
                          </w:rPr>
                          <w:t>631 738</w:t>
                        </w:r>
                      </w:p>
                    </w:tc>
                    <w:tc>
                      <w:tcPr>
                        <w:tcW w:w="644" w:type="dxa"/>
                        <w:tcBorders>
                          <w:left w:val="single" w:sz="4" w:space="0" w:color="000000"/>
                          <w:bottom w:val="double" w:sz="6" w:space="0" w:color="000000"/>
                        </w:tcBorders>
                      </w:tcPr>
                      <w:p>
                        <w:pPr>
                          <w:pStyle w:val="TableParagraph"/>
                          <w:spacing w:before="33"/>
                          <w:ind w:left="62"/>
                          <w:jc w:val="left"/>
                          <w:rPr>
                            <w:sz w:val="16"/>
                          </w:rPr>
                        </w:pPr>
                        <w:r>
                          <w:rPr>
                            <w:sz w:val="16"/>
                          </w:rPr>
                          <w:t>2009</w:t>
                        </w:r>
                      </w:p>
                    </w:tc>
                    <w:tc>
                      <w:tcPr>
                        <w:tcW w:w="807" w:type="dxa"/>
                        <w:tcBorders>
                          <w:bottom w:val="double" w:sz="6" w:space="0" w:color="000000"/>
                        </w:tcBorders>
                      </w:tcPr>
                      <w:p>
                        <w:pPr>
                          <w:pStyle w:val="TableParagraph"/>
                          <w:spacing w:before="33"/>
                          <w:ind w:left="246" w:right="161"/>
                          <w:jc w:val="center"/>
                          <w:rPr>
                            <w:sz w:val="16"/>
                          </w:rPr>
                        </w:pPr>
                        <w:r>
                          <w:rPr>
                            <w:sz w:val="16"/>
                          </w:rPr>
                          <w:t>1 692</w:t>
                        </w:r>
                      </w:p>
                    </w:tc>
                    <w:tc>
                      <w:tcPr>
                        <w:tcW w:w="685" w:type="dxa"/>
                        <w:tcBorders>
                          <w:bottom w:val="double" w:sz="6" w:space="0" w:color="000000"/>
                        </w:tcBorders>
                      </w:tcPr>
                      <w:p>
                        <w:pPr>
                          <w:pStyle w:val="TableParagraph"/>
                          <w:spacing w:before="33"/>
                          <w:ind w:right="79"/>
                          <w:rPr>
                            <w:sz w:val="16"/>
                          </w:rPr>
                        </w:pPr>
                        <w:r>
                          <w:rPr>
                            <w:w w:val="95"/>
                            <w:sz w:val="16"/>
                          </w:rPr>
                          <w:t>30 575</w:t>
                        </w:r>
                      </w:p>
                    </w:tc>
                    <w:tc>
                      <w:tcPr>
                        <w:tcW w:w="438" w:type="dxa"/>
                        <w:tcBorders>
                          <w:bottom w:val="double" w:sz="6" w:space="0" w:color="000000"/>
                        </w:tcBorders>
                      </w:tcPr>
                      <w:p>
                        <w:pPr>
                          <w:pStyle w:val="TableParagraph"/>
                          <w:spacing w:before="33"/>
                          <w:ind w:right="124"/>
                          <w:rPr>
                            <w:sz w:val="16"/>
                          </w:rPr>
                        </w:pPr>
                        <w:r>
                          <w:rPr>
                            <w:w w:val="92"/>
                            <w:sz w:val="16"/>
                          </w:rPr>
                          <w:t>0</w:t>
                        </w:r>
                      </w:p>
                    </w:tc>
                    <w:tc>
                      <w:tcPr>
                        <w:tcW w:w="599" w:type="dxa"/>
                        <w:tcBorders>
                          <w:bottom w:val="double" w:sz="6" w:space="0" w:color="000000"/>
                        </w:tcBorders>
                      </w:tcPr>
                      <w:p>
                        <w:pPr>
                          <w:pStyle w:val="TableParagraph"/>
                          <w:spacing w:before="33"/>
                          <w:ind w:right="62"/>
                          <w:rPr>
                            <w:sz w:val="16"/>
                          </w:rPr>
                        </w:pPr>
                        <w:r>
                          <w:rPr>
                            <w:w w:val="95"/>
                            <w:sz w:val="16"/>
                          </w:rPr>
                          <w:t>32 267</w:t>
                        </w:r>
                      </w:p>
                    </w:tc>
                  </w:tr>
                </w:tbl>
                <w:p>
                  <w:pPr>
                    <w:pStyle w:val="BodyText"/>
                  </w:pPr>
                </w:p>
              </w:txbxContent>
            </v:textbox>
            <w10:wrap type="none"/>
          </v:shape>
        </w:pict>
      </w:r>
      <w:r>
        <w:rPr>
          <w:w w:val="95"/>
          <w:sz w:val="16"/>
        </w:rPr>
        <w:t>Fuente: Encuesta sobre Migración en la Frontera Norte de México (EMIF, 1999-2009).</w:t>
      </w:r>
    </w:p>
    <w:p>
      <w:pPr>
        <w:spacing w:before="0"/>
        <w:ind w:left="211" w:right="194" w:firstLine="0"/>
        <w:jc w:val="left"/>
        <w:rPr>
          <w:sz w:val="16"/>
        </w:rPr>
      </w:pPr>
      <w:r>
        <w:rPr>
          <w:w w:val="95"/>
          <w:sz w:val="16"/>
        </w:rPr>
        <w:t>El</w:t>
      </w:r>
      <w:r>
        <w:rPr>
          <w:spacing w:val="-10"/>
          <w:w w:val="95"/>
          <w:sz w:val="16"/>
        </w:rPr>
        <w:t> </w:t>
      </w:r>
      <w:r>
        <w:rPr>
          <w:w w:val="95"/>
          <w:sz w:val="16"/>
        </w:rPr>
        <w:t>Colegio</w:t>
      </w:r>
      <w:r>
        <w:rPr>
          <w:spacing w:val="-10"/>
          <w:w w:val="95"/>
          <w:sz w:val="16"/>
        </w:rPr>
        <w:t> </w:t>
      </w:r>
      <w:r>
        <w:rPr>
          <w:w w:val="95"/>
          <w:sz w:val="16"/>
        </w:rPr>
        <w:t>de</w:t>
      </w:r>
      <w:r>
        <w:rPr>
          <w:spacing w:val="-10"/>
          <w:w w:val="95"/>
          <w:sz w:val="16"/>
        </w:rPr>
        <w:t> </w:t>
      </w:r>
      <w:r>
        <w:rPr>
          <w:w w:val="95"/>
          <w:sz w:val="16"/>
        </w:rPr>
        <w:t>la</w:t>
      </w:r>
      <w:r>
        <w:rPr>
          <w:spacing w:val="-10"/>
          <w:w w:val="95"/>
          <w:sz w:val="16"/>
        </w:rPr>
        <w:t> </w:t>
      </w:r>
      <w:r>
        <w:rPr>
          <w:w w:val="95"/>
          <w:sz w:val="16"/>
        </w:rPr>
        <w:t>Frontera</w:t>
      </w:r>
      <w:r>
        <w:rPr>
          <w:spacing w:val="-10"/>
          <w:w w:val="95"/>
          <w:sz w:val="16"/>
        </w:rPr>
        <w:t> </w:t>
      </w:r>
      <w:r>
        <w:rPr>
          <w:w w:val="95"/>
          <w:sz w:val="16"/>
        </w:rPr>
        <w:t>Norte,</w:t>
      </w:r>
      <w:r>
        <w:rPr>
          <w:spacing w:val="-10"/>
          <w:w w:val="95"/>
          <w:sz w:val="16"/>
        </w:rPr>
        <w:t> </w:t>
      </w:r>
      <w:r>
        <w:rPr>
          <w:w w:val="95"/>
          <w:sz w:val="16"/>
        </w:rPr>
        <w:t>Consejo</w:t>
      </w:r>
      <w:r>
        <w:rPr>
          <w:spacing w:val="-10"/>
          <w:w w:val="95"/>
          <w:sz w:val="16"/>
        </w:rPr>
        <w:t> </w:t>
      </w:r>
      <w:r>
        <w:rPr>
          <w:w w:val="95"/>
          <w:sz w:val="16"/>
        </w:rPr>
        <w:t>Nacional</w:t>
      </w:r>
      <w:r>
        <w:rPr>
          <w:spacing w:val="-10"/>
          <w:w w:val="95"/>
          <w:sz w:val="16"/>
        </w:rPr>
        <w:t> </w:t>
      </w:r>
      <w:r>
        <w:rPr>
          <w:w w:val="95"/>
          <w:sz w:val="16"/>
        </w:rPr>
        <w:t>de</w:t>
      </w:r>
      <w:r>
        <w:rPr>
          <w:spacing w:val="-10"/>
          <w:w w:val="95"/>
          <w:sz w:val="16"/>
        </w:rPr>
        <w:t> </w:t>
      </w:r>
      <w:r>
        <w:rPr>
          <w:w w:val="95"/>
          <w:sz w:val="16"/>
        </w:rPr>
        <w:t>Población</w:t>
      </w:r>
      <w:r>
        <w:rPr>
          <w:spacing w:val="-10"/>
          <w:w w:val="95"/>
          <w:sz w:val="16"/>
        </w:rPr>
        <w:t> </w:t>
      </w:r>
      <w:r>
        <w:rPr>
          <w:w w:val="95"/>
          <w:sz w:val="16"/>
        </w:rPr>
        <w:t>y</w:t>
      </w:r>
      <w:r>
        <w:rPr>
          <w:spacing w:val="-10"/>
          <w:w w:val="95"/>
          <w:sz w:val="16"/>
        </w:rPr>
        <w:t> </w:t>
      </w:r>
      <w:r>
        <w:rPr>
          <w:w w:val="95"/>
          <w:sz w:val="16"/>
        </w:rPr>
        <w:t>Secretaría</w:t>
      </w:r>
      <w:r>
        <w:rPr>
          <w:spacing w:val="-10"/>
          <w:w w:val="95"/>
          <w:sz w:val="16"/>
        </w:rPr>
        <w:t> </w:t>
      </w:r>
      <w:r>
        <w:rPr>
          <w:w w:val="95"/>
          <w:sz w:val="16"/>
        </w:rPr>
        <w:t>del</w:t>
      </w:r>
      <w:r>
        <w:rPr>
          <w:spacing w:val="-10"/>
          <w:w w:val="95"/>
          <w:sz w:val="16"/>
        </w:rPr>
        <w:t> </w:t>
      </w:r>
      <w:r>
        <w:rPr>
          <w:w w:val="95"/>
          <w:sz w:val="16"/>
        </w:rPr>
        <w:t>Trabajo</w:t>
      </w:r>
      <w:r>
        <w:rPr>
          <w:spacing w:val="-10"/>
          <w:w w:val="95"/>
          <w:sz w:val="16"/>
        </w:rPr>
        <w:t> </w:t>
      </w:r>
      <w:r>
        <w:rPr>
          <w:w w:val="95"/>
          <w:sz w:val="16"/>
        </w:rPr>
        <w:t>y</w:t>
      </w:r>
      <w:r>
        <w:rPr>
          <w:spacing w:val="-10"/>
          <w:w w:val="95"/>
          <w:sz w:val="16"/>
        </w:rPr>
        <w:t> </w:t>
      </w:r>
      <w:r>
        <w:rPr>
          <w:w w:val="95"/>
          <w:sz w:val="16"/>
        </w:rPr>
        <w:t>Previsión </w:t>
      </w:r>
      <w:r>
        <w:rPr>
          <w:sz w:val="16"/>
        </w:rPr>
        <w:t>Social.</w:t>
      </w:r>
    </w:p>
    <w:p>
      <w:pPr>
        <w:spacing w:before="3"/>
        <w:ind w:left="211" w:right="0" w:firstLine="0"/>
        <w:jc w:val="left"/>
        <w:rPr>
          <w:sz w:val="16"/>
        </w:rPr>
      </w:pPr>
      <w:r>
        <w:rPr>
          <w:w w:val="95"/>
          <w:sz w:val="16"/>
        </w:rPr>
        <w:t>Notas: NE, No especificado; S/D, Sin datos.</w:t>
      </w:r>
    </w:p>
    <w:p>
      <w:pPr>
        <w:pStyle w:val="BodyText"/>
        <w:spacing w:before="1"/>
        <w:rPr>
          <w:sz w:val="21"/>
        </w:rPr>
      </w:pPr>
    </w:p>
    <w:p>
      <w:pPr>
        <w:spacing w:line="254" w:lineRule="auto" w:before="84"/>
        <w:ind w:left="315" w:right="194" w:firstLine="0"/>
        <w:jc w:val="left"/>
        <w:rPr>
          <w:sz w:val="17"/>
        </w:rPr>
      </w:pPr>
      <w:r>
        <w:rPr>
          <w:w w:val="105"/>
          <w:sz w:val="17"/>
        </w:rPr>
        <w:t>Cuadro 1b. Migrantes indígenas y no indígenas procedentes del Sur (México y Estado de México) con destino a Estados Unidos 1999-2009 (porcentajes)</w:t>
      </w:r>
    </w:p>
    <w:tbl>
      <w:tblPr>
        <w:tblW w:w="0" w:type="auto"/>
        <w:jc w:val="left"/>
        <w:tblInd w:w="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5"/>
        <w:gridCol w:w="1012"/>
        <w:gridCol w:w="654"/>
        <w:gridCol w:w="451"/>
        <w:gridCol w:w="521"/>
        <w:gridCol w:w="559"/>
        <w:gridCol w:w="950"/>
        <w:gridCol w:w="782"/>
        <w:gridCol w:w="447"/>
        <w:gridCol w:w="521"/>
      </w:tblGrid>
      <w:tr>
        <w:trPr>
          <w:trHeight w:val="766" w:hRule="exact"/>
        </w:trPr>
        <w:tc>
          <w:tcPr>
            <w:tcW w:w="495" w:type="dxa"/>
            <w:tcBorders>
              <w:left w:val="nil"/>
              <w:bottom w:val="double" w:sz="6" w:space="0" w:color="000000"/>
              <w:right w:val="nil"/>
            </w:tcBorders>
          </w:tcPr>
          <w:p>
            <w:pPr>
              <w:pStyle w:val="TableParagraph"/>
              <w:jc w:val="left"/>
              <w:rPr>
                <w:sz w:val="16"/>
              </w:rPr>
            </w:pPr>
          </w:p>
          <w:p>
            <w:pPr>
              <w:pStyle w:val="TableParagraph"/>
              <w:jc w:val="left"/>
              <w:rPr>
                <w:sz w:val="16"/>
              </w:rPr>
            </w:pPr>
          </w:p>
          <w:p>
            <w:pPr>
              <w:pStyle w:val="TableParagraph"/>
              <w:spacing w:before="6"/>
              <w:jc w:val="left"/>
              <w:rPr>
                <w:sz w:val="15"/>
              </w:rPr>
            </w:pPr>
          </w:p>
          <w:p>
            <w:pPr>
              <w:pStyle w:val="TableParagraph"/>
              <w:ind w:left="8" w:right="82"/>
              <w:jc w:val="center"/>
              <w:rPr>
                <w:sz w:val="16"/>
              </w:rPr>
            </w:pPr>
            <w:r>
              <w:rPr>
                <w:sz w:val="16"/>
              </w:rPr>
              <w:t>Año</w:t>
            </w:r>
          </w:p>
        </w:tc>
        <w:tc>
          <w:tcPr>
            <w:tcW w:w="1667" w:type="dxa"/>
            <w:gridSpan w:val="2"/>
            <w:tcBorders>
              <w:left w:val="nil"/>
              <w:bottom w:val="double" w:sz="6" w:space="0" w:color="000000"/>
              <w:right w:val="nil"/>
            </w:tcBorders>
          </w:tcPr>
          <w:p>
            <w:pPr>
              <w:pStyle w:val="TableParagraph"/>
              <w:spacing w:before="85"/>
              <w:ind w:left="540" w:right="85"/>
              <w:jc w:val="left"/>
              <w:rPr>
                <w:sz w:val="16"/>
              </w:rPr>
            </w:pPr>
            <w:r>
              <w:rPr>
                <w:sz w:val="16"/>
              </w:rPr>
              <w:t>Nacional</w:t>
            </w:r>
          </w:p>
          <w:p>
            <w:pPr>
              <w:pStyle w:val="TableParagraph"/>
              <w:tabs>
                <w:tab w:pos="965" w:val="left" w:leader="none"/>
              </w:tabs>
              <w:spacing w:line="244" w:lineRule="auto" w:before="89"/>
              <w:ind w:left="103" w:right="85" w:firstLine="1279"/>
              <w:jc w:val="left"/>
              <w:rPr>
                <w:sz w:val="16"/>
              </w:rPr>
            </w:pPr>
            <w:r>
              <w:rPr>
                <w:sz w:val="16"/>
              </w:rPr>
              <w:t>No Indígenas</w:t>
              <w:tab/>
              <w:t>indígenas</w:t>
            </w:r>
          </w:p>
        </w:tc>
        <w:tc>
          <w:tcPr>
            <w:tcW w:w="451" w:type="dxa"/>
            <w:tcBorders>
              <w:left w:val="nil"/>
              <w:bottom w:val="double" w:sz="6" w:space="0" w:color="000000"/>
              <w:right w:val="nil"/>
            </w:tcBorders>
          </w:tcPr>
          <w:p>
            <w:pPr>
              <w:pStyle w:val="TableParagraph"/>
              <w:jc w:val="left"/>
              <w:rPr>
                <w:sz w:val="16"/>
              </w:rPr>
            </w:pPr>
          </w:p>
          <w:p>
            <w:pPr>
              <w:pStyle w:val="TableParagraph"/>
              <w:jc w:val="left"/>
              <w:rPr>
                <w:sz w:val="16"/>
              </w:rPr>
            </w:pPr>
          </w:p>
          <w:p>
            <w:pPr>
              <w:pStyle w:val="TableParagraph"/>
              <w:spacing w:before="6"/>
              <w:jc w:val="left"/>
              <w:rPr>
                <w:sz w:val="15"/>
              </w:rPr>
            </w:pPr>
          </w:p>
          <w:p>
            <w:pPr>
              <w:pStyle w:val="TableParagraph"/>
              <w:ind w:right="113"/>
              <w:rPr>
                <w:sz w:val="16"/>
              </w:rPr>
            </w:pPr>
            <w:r>
              <w:rPr>
                <w:w w:val="95"/>
                <w:sz w:val="16"/>
              </w:rPr>
              <w:t>NE</w:t>
            </w:r>
          </w:p>
        </w:tc>
        <w:tc>
          <w:tcPr>
            <w:tcW w:w="521" w:type="dxa"/>
            <w:tcBorders>
              <w:left w:val="nil"/>
              <w:bottom w:val="double" w:sz="6" w:space="0" w:color="000000"/>
            </w:tcBorders>
          </w:tcPr>
          <w:p>
            <w:pPr>
              <w:pStyle w:val="TableParagraph"/>
              <w:jc w:val="left"/>
              <w:rPr>
                <w:sz w:val="16"/>
              </w:rPr>
            </w:pPr>
          </w:p>
          <w:p>
            <w:pPr>
              <w:pStyle w:val="TableParagraph"/>
              <w:jc w:val="left"/>
              <w:rPr>
                <w:sz w:val="16"/>
              </w:rPr>
            </w:pPr>
          </w:p>
          <w:p>
            <w:pPr>
              <w:pStyle w:val="TableParagraph"/>
              <w:spacing w:before="6"/>
              <w:jc w:val="left"/>
              <w:rPr>
                <w:sz w:val="15"/>
              </w:rPr>
            </w:pPr>
          </w:p>
          <w:p>
            <w:pPr>
              <w:pStyle w:val="TableParagraph"/>
              <w:ind w:right="61"/>
              <w:rPr>
                <w:sz w:val="16"/>
              </w:rPr>
            </w:pPr>
            <w:r>
              <w:rPr>
                <w:w w:val="95"/>
                <w:sz w:val="16"/>
              </w:rPr>
              <w:t>Total</w:t>
            </w:r>
          </w:p>
        </w:tc>
        <w:tc>
          <w:tcPr>
            <w:tcW w:w="559" w:type="dxa"/>
            <w:tcBorders>
              <w:bottom w:val="double" w:sz="6" w:space="0" w:color="000000"/>
              <w:right w:val="nil"/>
            </w:tcBorders>
          </w:tcPr>
          <w:p>
            <w:pPr>
              <w:pStyle w:val="TableParagraph"/>
              <w:jc w:val="left"/>
              <w:rPr>
                <w:sz w:val="16"/>
              </w:rPr>
            </w:pPr>
          </w:p>
          <w:p>
            <w:pPr>
              <w:pStyle w:val="TableParagraph"/>
              <w:jc w:val="left"/>
              <w:rPr>
                <w:sz w:val="16"/>
              </w:rPr>
            </w:pPr>
          </w:p>
          <w:p>
            <w:pPr>
              <w:pStyle w:val="TableParagraph"/>
              <w:spacing w:before="6"/>
              <w:jc w:val="left"/>
              <w:rPr>
                <w:sz w:val="15"/>
              </w:rPr>
            </w:pPr>
          </w:p>
          <w:p>
            <w:pPr>
              <w:pStyle w:val="TableParagraph"/>
              <w:ind w:left="67"/>
              <w:jc w:val="left"/>
              <w:rPr>
                <w:sz w:val="16"/>
              </w:rPr>
            </w:pPr>
            <w:r>
              <w:rPr>
                <w:sz w:val="16"/>
              </w:rPr>
              <w:t>Año</w:t>
            </w:r>
          </w:p>
        </w:tc>
        <w:tc>
          <w:tcPr>
            <w:tcW w:w="950" w:type="dxa"/>
            <w:tcBorders>
              <w:left w:val="nil"/>
              <w:bottom w:val="double" w:sz="6" w:space="0" w:color="000000"/>
              <w:right w:val="nil"/>
            </w:tcBorders>
          </w:tcPr>
          <w:p>
            <w:pPr>
              <w:pStyle w:val="TableParagraph"/>
              <w:spacing w:line="179" w:lineRule="exact"/>
              <w:ind w:left="494"/>
              <w:jc w:val="left"/>
              <w:rPr>
                <w:sz w:val="16"/>
              </w:rPr>
            </w:pPr>
            <w:r>
              <w:rPr>
                <w:sz w:val="16"/>
              </w:rPr>
              <w:t>Estado</w:t>
            </w:r>
          </w:p>
          <w:p>
            <w:pPr>
              <w:pStyle w:val="TableParagraph"/>
              <w:jc w:val="left"/>
              <w:rPr>
                <w:sz w:val="16"/>
              </w:rPr>
            </w:pPr>
          </w:p>
          <w:p>
            <w:pPr>
              <w:pStyle w:val="TableParagraph"/>
              <w:jc w:val="left"/>
              <w:rPr>
                <w:sz w:val="16"/>
              </w:rPr>
            </w:pPr>
          </w:p>
          <w:p>
            <w:pPr>
              <w:pStyle w:val="TableParagraph"/>
              <w:ind w:left="167"/>
              <w:jc w:val="left"/>
              <w:rPr>
                <w:sz w:val="16"/>
              </w:rPr>
            </w:pPr>
            <w:r>
              <w:rPr>
                <w:sz w:val="16"/>
              </w:rPr>
              <w:t>Indígenas</w:t>
            </w:r>
          </w:p>
        </w:tc>
        <w:tc>
          <w:tcPr>
            <w:tcW w:w="782" w:type="dxa"/>
            <w:tcBorders>
              <w:left w:val="nil"/>
              <w:bottom w:val="double" w:sz="6" w:space="0" w:color="000000"/>
              <w:right w:val="nil"/>
            </w:tcBorders>
          </w:tcPr>
          <w:p>
            <w:pPr>
              <w:pStyle w:val="TableParagraph"/>
              <w:spacing w:line="179" w:lineRule="exact"/>
              <w:ind w:left="20"/>
              <w:jc w:val="left"/>
              <w:rPr>
                <w:sz w:val="16"/>
              </w:rPr>
            </w:pPr>
            <w:r>
              <w:rPr>
                <w:sz w:val="16"/>
              </w:rPr>
              <w:t>de México</w:t>
            </w:r>
          </w:p>
          <w:p>
            <w:pPr>
              <w:pStyle w:val="TableParagraph"/>
              <w:spacing w:before="8"/>
              <w:jc w:val="left"/>
              <w:rPr>
                <w:sz w:val="15"/>
              </w:rPr>
            </w:pPr>
          </w:p>
          <w:p>
            <w:pPr>
              <w:pStyle w:val="TableParagraph"/>
              <w:spacing w:line="244" w:lineRule="auto"/>
              <w:ind w:left="77" w:right="72" w:firstLine="417"/>
              <w:jc w:val="left"/>
              <w:rPr>
                <w:sz w:val="16"/>
              </w:rPr>
            </w:pPr>
            <w:r>
              <w:rPr>
                <w:sz w:val="16"/>
              </w:rPr>
              <w:t>No </w:t>
            </w:r>
            <w:r>
              <w:rPr>
                <w:w w:val="95"/>
                <w:sz w:val="16"/>
              </w:rPr>
              <w:t>indígenas</w:t>
            </w:r>
          </w:p>
        </w:tc>
        <w:tc>
          <w:tcPr>
            <w:tcW w:w="447" w:type="dxa"/>
            <w:tcBorders>
              <w:left w:val="nil"/>
              <w:bottom w:val="double" w:sz="6" w:space="0" w:color="000000"/>
              <w:right w:val="nil"/>
            </w:tcBorders>
          </w:tcPr>
          <w:p>
            <w:pPr>
              <w:pStyle w:val="TableParagraph"/>
              <w:jc w:val="left"/>
              <w:rPr>
                <w:sz w:val="16"/>
              </w:rPr>
            </w:pPr>
          </w:p>
          <w:p>
            <w:pPr>
              <w:pStyle w:val="TableParagraph"/>
              <w:jc w:val="left"/>
              <w:rPr>
                <w:sz w:val="16"/>
              </w:rPr>
            </w:pPr>
          </w:p>
          <w:p>
            <w:pPr>
              <w:pStyle w:val="TableParagraph"/>
              <w:spacing w:before="6"/>
              <w:jc w:val="left"/>
              <w:rPr>
                <w:sz w:val="15"/>
              </w:rPr>
            </w:pPr>
          </w:p>
          <w:p>
            <w:pPr>
              <w:pStyle w:val="TableParagraph"/>
              <w:ind w:right="113"/>
              <w:rPr>
                <w:sz w:val="16"/>
              </w:rPr>
            </w:pPr>
            <w:r>
              <w:rPr>
                <w:w w:val="95"/>
                <w:sz w:val="16"/>
              </w:rPr>
              <w:t>NE</w:t>
            </w:r>
          </w:p>
        </w:tc>
        <w:tc>
          <w:tcPr>
            <w:tcW w:w="521" w:type="dxa"/>
            <w:tcBorders>
              <w:left w:val="nil"/>
              <w:bottom w:val="double" w:sz="6" w:space="0" w:color="000000"/>
              <w:right w:val="nil"/>
            </w:tcBorders>
          </w:tcPr>
          <w:p>
            <w:pPr>
              <w:pStyle w:val="TableParagraph"/>
              <w:jc w:val="left"/>
              <w:rPr>
                <w:sz w:val="16"/>
              </w:rPr>
            </w:pPr>
          </w:p>
          <w:p>
            <w:pPr>
              <w:pStyle w:val="TableParagraph"/>
              <w:jc w:val="left"/>
              <w:rPr>
                <w:sz w:val="16"/>
              </w:rPr>
            </w:pPr>
          </w:p>
          <w:p>
            <w:pPr>
              <w:pStyle w:val="TableParagraph"/>
              <w:spacing w:before="6"/>
              <w:jc w:val="left"/>
              <w:rPr>
                <w:sz w:val="15"/>
              </w:rPr>
            </w:pPr>
          </w:p>
          <w:p>
            <w:pPr>
              <w:pStyle w:val="TableParagraph"/>
              <w:ind w:left="95" w:right="47"/>
              <w:jc w:val="center"/>
              <w:rPr>
                <w:sz w:val="16"/>
              </w:rPr>
            </w:pPr>
            <w:r>
              <w:rPr>
                <w:sz w:val="16"/>
              </w:rPr>
              <w:t>Total</w:t>
            </w:r>
          </w:p>
        </w:tc>
      </w:tr>
      <w:tr>
        <w:trPr>
          <w:trHeight w:val="336" w:hRule="exact"/>
        </w:trPr>
        <w:tc>
          <w:tcPr>
            <w:tcW w:w="495" w:type="dxa"/>
            <w:tcBorders>
              <w:top w:val="double" w:sz="6" w:space="0" w:color="000000"/>
              <w:left w:val="nil"/>
              <w:bottom w:val="nil"/>
              <w:right w:val="nil"/>
            </w:tcBorders>
          </w:tcPr>
          <w:p>
            <w:pPr>
              <w:pStyle w:val="TableParagraph"/>
              <w:spacing w:before="76"/>
              <w:ind w:left="52" w:right="81"/>
              <w:jc w:val="center"/>
              <w:rPr>
                <w:sz w:val="16"/>
              </w:rPr>
            </w:pPr>
            <w:r>
              <w:rPr>
                <w:sz w:val="16"/>
              </w:rPr>
              <w:t>1999</w:t>
            </w:r>
          </w:p>
        </w:tc>
        <w:tc>
          <w:tcPr>
            <w:tcW w:w="1012" w:type="dxa"/>
            <w:tcBorders>
              <w:top w:val="double" w:sz="6" w:space="0" w:color="000000"/>
              <w:left w:val="nil"/>
              <w:bottom w:val="nil"/>
              <w:right w:val="nil"/>
            </w:tcBorders>
          </w:tcPr>
          <w:p>
            <w:pPr>
              <w:pStyle w:val="TableParagraph"/>
              <w:spacing w:before="76"/>
              <w:ind w:right="284"/>
              <w:rPr>
                <w:sz w:val="16"/>
              </w:rPr>
            </w:pPr>
            <w:r>
              <w:rPr>
                <w:w w:val="95"/>
                <w:sz w:val="16"/>
              </w:rPr>
              <w:t>4.2</w:t>
            </w:r>
          </w:p>
        </w:tc>
        <w:tc>
          <w:tcPr>
            <w:tcW w:w="654" w:type="dxa"/>
            <w:tcBorders>
              <w:top w:val="double" w:sz="6" w:space="0" w:color="000000"/>
              <w:left w:val="nil"/>
              <w:bottom w:val="nil"/>
              <w:right w:val="nil"/>
            </w:tcBorders>
          </w:tcPr>
          <w:p>
            <w:pPr>
              <w:pStyle w:val="TableParagraph"/>
              <w:spacing w:before="76"/>
              <w:ind w:right="86"/>
              <w:rPr>
                <w:sz w:val="16"/>
              </w:rPr>
            </w:pPr>
            <w:r>
              <w:rPr>
                <w:w w:val="95"/>
                <w:sz w:val="16"/>
              </w:rPr>
              <w:t>95.9</w:t>
            </w:r>
          </w:p>
        </w:tc>
        <w:tc>
          <w:tcPr>
            <w:tcW w:w="451" w:type="dxa"/>
            <w:tcBorders>
              <w:top w:val="double" w:sz="6" w:space="0" w:color="000000"/>
              <w:left w:val="nil"/>
              <w:bottom w:val="nil"/>
              <w:right w:val="nil"/>
            </w:tcBorders>
          </w:tcPr>
          <w:p>
            <w:pPr>
              <w:pStyle w:val="TableParagraph"/>
              <w:spacing w:before="76"/>
              <w:ind w:right="113"/>
              <w:rPr>
                <w:sz w:val="16"/>
              </w:rPr>
            </w:pPr>
            <w:r>
              <w:rPr>
                <w:w w:val="95"/>
                <w:sz w:val="16"/>
              </w:rPr>
              <w:t>0.8</w:t>
            </w:r>
          </w:p>
        </w:tc>
        <w:tc>
          <w:tcPr>
            <w:tcW w:w="521" w:type="dxa"/>
            <w:tcBorders>
              <w:top w:val="double" w:sz="6" w:space="0" w:color="000000"/>
              <w:left w:val="nil"/>
              <w:bottom w:val="nil"/>
            </w:tcBorders>
          </w:tcPr>
          <w:p>
            <w:pPr>
              <w:pStyle w:val="TableParagraph"/>
              <w:spacing w:before="76"/>
              <w:ind w:right="60"/>
              <w:rPr>
                <w:sz w:val="16"/>
              </w:rPr>
            </w:pPr>
            <w:r>
              <w:rPr>
                <w:w w:val="95"/>
                <w:sz w:val="16"/>
              </w:rPr>
              <w:t>100</w:t>
            </w:r>
          </w:p>
        </w:tc>
        <w:tc>
          <w:tcPr>
            <w:tcW w:w="559" w:type="dxa"/>
            <w:tcBorders>
              <w:top w:val="double" w:sz="6" w:space="0" w:color="000000"/>
              <w:bottom w:val="nil"/>
              <w:right w:val="nil"/>
            </w:tcBorders>
          </w:tcPr>
          <w:p>
            <w:pPr>
              <w:pStyle w:val="TableParagraph"/>
              <w:spacing w:before="76"/>
              <w:ind w:left="67"/>
              <w:jc w:val="left"/>
              <w:rPr>
                <w:sz w:val="16"/>
              </w:rPr>
            </w:pPr>
            <w:r>
              <w:rPr>
                <w:sz w:val="16"/>
              </w:rPr>
              <w:t>1999</w:t>
            </w:r>
          </w:p>
        </w:tc>
        <w:tc>
          <w:tcPr>
            <w:tcW w:w="950" w:type="dxa"/>
            <w:tcBorders>
              <w:top w:val="double" w:sz="6" w:space="0" w:color="000000"/>
              <w:left w:val="nil"/>
              <w:bottom w:val="nil"/>
              <w:right w:val="nil"/>
            </w:tcBorders>
          </w:tcPr>
          <w:p>
            <w:pPr>
              <w:pStyle w:val="TableParagraph"/>
              <w:spacing w:before="76"/>
              <w:ind w:right="158"/>
              <w:rPr>
                <w:sz w:val="16"/>
              </w:rPr>
            </w:pPr>
            <w:r>
              <w:rPr>
                <w:w w:val="95"/>
                <w:sz w:val="16"/>
              </w:rPr>
              <w:t>0.0</w:t>
            </w:r>
          </w:p>
        </w:tc>
        <w:tc>
          <w:tcPr>
            <w:tcW w:w="782" w:type="dxa"/>
            <w:tcBorders>
              <w:top w:val="double" w:sz="6" w:space="0" w:color="000000"/>
              <w:left w:val="nil"/>
              <w:bottom w:val="nil"/>
              <w:right w:val="nil"/>
            </w:tcBorders>
          </w:tcPr>
          <w:p>
            <w:pPr>
              <w:pStyle w:val="TableParagraph"/>
              <w:spacing w:before="76"/>
              <w:ind w:right="89"/>
              <w:rPr>
                <w:sz w:val="16"/>
              </w:rPr>
            </w:pPr>
            <w:r>
              <w:rPr>
                <w:w w:val="95"/>
                <w:sz w:val="16"/>
              </w:rPr>
              <w:t>100</w:t>
            </w:r>
          </w:p>
        </w:tc>
        <w:tc>
          <w:tcPr>
            <w:tcW w:w="447" w:type="dxa"/>
            <w:tcBorders>
              <w:top w:val="double" w:sz="6" w:space="0" w:color="000000"/>
              <w:left w:val="nil"/>
              <w:bottom w:val="nil"/>
              <w:right w:val="nil"/>
            </w:tcBorders>
          </w:tcPr>
          <w:p>
            <w:pPr>
              <w:pStyle w:val="TableParagraph"/>
              <w:spacing w:before="76"/>
              <w:ind w:right="114"/>
              <w:rPr>
                <w:sz w:val="16"/>
              </w:rPr>
            </w:pPr>
            <w:r>
              <w:rPr>
                <w:w w:val="99"/>
                <w:sz w:val="16"/>
              </w:rPr>
              <w:t>0</w:t>
            </w:r>
          </w:p>
        </w:tc>
        <w:tc>
          <w:tcPr>
            <w:tcW w:w="521" w:type="dxa"/>
            <w:tcBorders>
              <w:top w:val="double" w:sz="6" w:space="0" w:color="000000"/>
              <w:left w:val="nil"/>
              <w:bottom w:val="nil"/>
              <w:right w:val="nil"/>
            </w:tcBorders>
          </w:tcPr>
          <w:p>
            <w:pPr>
              <w:pStyle w:val="TableParagraph"/>
              <w:spacing w:before="76"/>
              <w:ind w:left="193" w:right="47"/>
              <w:jc w:val="center"/>
              <w:rPr>
                <w:sz w:val="16"/>
              </w:rPr>
            </w:pPr>
            <w:r>
              <w:rPr>
                <w:sz w:val="16"/>
              </w:rPr>
              <w:t>100</w:t>
            </w:r>
          </w:p>
        </w:tc>
      </w:tr>
      <w:tr>
        <w:trPr>
          <w:trHeight w:val="254" w:hRule="exact"/>
        </w:trPr>
        <w:tc>
          <w:tcPr>
            <w:tcW w:w="495" w:type="dxa"/>
            <w:tcBorders>
              <w:top w:val="nil"/>
              <w:left w:val="nil"/>
              <w:bottom w:val="nil"/>
              <w:right w:val="nil"/>
            </w:tcBorders>
          </w:tcPr>
          <w:p>
            <w:pPr>
              <w:pStyle w:val="TableParagraph"/>
              <w:spacing w:before="16"/>
              <w:ind w:left="52" w:right="81"/>
              <w:jc w:val="center"/>
              <w:rPr>
                <w:sz w:val="16"/>
              </w:rPr>
            </w:pPr>
            <w:r>
              <w:rPr>
                <w:sz w:val="16"/>
              </w:rPr>
              <w:t>2000</w:t>
            </w:r>
          </w:p>
        </w:tc>
        <w:tc>
          <w:tcPr>
            <w:tcW w:w="1012" w:type="dxa"/>
            <w:tcBorders>
              <w:top w:val="nil"/>
              <w:left w:val="nil"/>
              <w:bottom w:val="nil"/>
              <w:right w:val="nil"/>
            </w:tcBorders>
          </w:tcPr>
          <w:p>
            <w:pPr>
              <w:pStyle w:val="TableParagraph"/>
              <w:spacing w:before="16"/>
              <w:ind w:right="284"/>
              <w:rPr>
                <w:sz w:val="16"/>
              </w:rPr>
            </w:pPr>
            <w:r>
              <w:rPr>
                <w:w w:val="95"/>
                <w:sz w:val="16"/>
              </w:rPr>
              <w:t>5.1</w:t>
            </w:r>
          </w:p>
        </w:tc>
        <w:tc>
          <w:tcPr>
            <w:tcW w:w="654" w:type="dxa"/>
            <w:tcBorders>
              <w:top w:val="nil"/>
              <w:left w:val="nil"/>
              <w:bottom w:val="nil"/>
              <w:right w:val="nil"/>
            </w:tcBorders>
          </w:tcPr>
          <w:p>
            <w:pPr>
              <w:pStyle w:val="TableParagraph"/>
              <w:spacing w:before="16"/>
              <w:ind w:right="86"/>
              <w:rPr>
                <w:sz w:val="16"/>
              </w:rPr>
            </w:pPr>
            <w:r>
              <w:rPr>
                <w:w w:val="95"/>
                <w:sz w:val="16"/>
              </w:rPr>
              <w:t>94.6</w:t>
            </w:r>
          </w:p>
        </w:tc>
        <w:tc>
          <w:tcPr>
            <w:tcW w:w="451" w:type="dxa"/>
            <w:tcBorders>
              <w:top w:val="nil"/>
              <w:left w:val="nil"/>
              <w:bottom w:val="nil"/>
              <w:right w:val="nil"/>
            </w:tcBorders>
          </w:tcPr>
          <w:p>
            <w:pPr>
              <w:pStyle w:val="TableParagraph"/>
              <w:spacing w:before="16"/>
              <w:ind w:right="113"/>
              <w:rPr>
                <w:sz w:val="16"/>
              </w:rPr>
            </w:pPr>
            <w:r>
              <w:rPr>
                <w:w w:val="95"/>
                <w:sz w:val="16"/>
              </w:rPr>
              <w:t>0.3</w:t>
            </w:r>
          </w:p>
        </w:tc>
        <w:tc>
          <w:tcPr>
            <w:tcW w:w="521" w:type="dxa"/>
            <w:tcBorders>
              <w:top w:val="nil"/>
              <w:left w:val="nil"/>
              <w:bottom w:val="nil"/>
            </w:tcBorders>
          </w:tcPr>
          <w:p>
            <w:pPr>
              <w:pStyle w:val="TableParagraph"/>
              <w:spacing w:before="16"/>
              <w:ind w:right="60"/>
              <w:rPr>
                <w:sz w:val="16"/>
              </w:rPr>
            </w:pPr>
            <w:r>
              <w:rPr>
                <w:w w:val="95"/>
                <w:sz w:val="16"/>
              </w:rPr>
              <w:t>100</w:t>
            </w:r>
          </w:p>
        </w:tc>
        <w:tc>
          <w:tcPr>
            <w:tcW w:w="559" w:type="dxa"/>
            <w:tcBorders>
              <w:top w:val="nil"/>
              <w:bottom w:val="nil"/>
              <w:right w:val="nil"/>
            </w:tcBorders>
          </w:tcPr>
          <w:p>
            <w:pPr>
              <w:pStyle w:val="TableParagraph"/>
              <w:spacing w:before="16"/>
              <w:ind w:left="67"/>
              <w:jc w:val="left"/>
              <w:rPr>
                <w:sz w:val="16"/>
              </w:rPr>
            </w:pPr>
            <w:r>
              <w:rPr>
                <w:sz w:val="16"/>
              </w:rPr>
              <w:t>2000</w:t>
            </w:r>
          </w:p>
        </w:tc>
        <w:tc>
          <w:tcPr>
            <w:tcW w:w="950" w:type="dxa"/>
            <w:tcBorders>
              <w:top w:val="nil"/>
              <w:left w:val="nil"/>
              <w:bottom w:val="nil"/>
              <w:right w:val="nil"/>
            </w:tcBorders>
          </w:tcPr>
          <w:p>
            <w:pPr>
              <w:pStyle w:val="TableParagraph"/>
              <w:spacing w:before="16"/>
              <w:ind w:right="158"/>
              <w:rPr>
                <w:sz w:val="16"/>
              </w:rPr>
            </w:pPr>
            <w:r>
              <w:rPr>
                <w:w w:val="95"/>
                <w:sz w:val="16"/>
              </w:rPr>
              <w:t>0.6</w:t>
            </w:r>
          </w:p>
        </w:tc>
        <w:tc>
          <w:tcPr>
            <w:tcW w:w="782" w:type="dxa"/>
            <w:tcBorders>
              <w:top w:val="nil"/>
              <w:left w:val="nil"/>
              <w:bottom w:val="nil"/>
              <w:right w:val="nil"/>
            </w:tcBorders>
          </w:tcPr>
          <w:p>
            <w:pPr>
              <w:pStyle w:val="TableParagraph"/>
              <w:spacing w:before="16"/>
              <w:ind w:right="90"/>
              <w:rPr>
                <w:sz w:val="16"/>
              </w:rPr>
            </w:pPr>
            <w:r>
              <w:rPr>
                <w:w w:val="95"/>
                <w:sz w:val="16"/>
              </w:rPr>
              <w:t>99.4</w:t>
            </w:r>
          </w:p>
        </w:tc>
        <w:tc>
          <w:tcPr>
            <w:tcW w:w="447" w:type="dxa"/>
            <w:tcBorders>
              <w:top w:val="nil"/>
              <w:left w:val="nil"/>
              <w:bottom w:val="nil"/>
              <w:right w:val="nil"/>
            </w:tcBorders>
          </w:tcPr>
          <w:p>
            <w:pPr>
              <w:pStyle w:val="TableParagraph"/>
              <w:spacing w:before="16"/>
              <w:ind w:right="114"/>
              <w:rPr>
                <w:sz w:val="16"/>
              </w:rPr>
            </w:pPr>
            <w:r>
              <w:rPr>
                <w:w w:val="99"/>
                <w:sz w:val="16"/>
              </w:rPr>
              <w:t>0</w:t>
            </w:r>
          </w:p>
        </w:tc>
        <w:tc>
          <w:tcPr>
            <w:tcW w:w="521" w:type="dxa"/>
            <w:tcBorders>
              <w:top w:val="nil"/>
              <w:left w:val="nil"/>
              <w:bottom w:val="nil"/>
              <w:right w:val="nil"/>
            </w:tcBorders>
          </w:tcPr>
          <w:p>
            <w:pPr>
              <w:pStyle w:val="TableParagraph"/>
              <w:spacing w:before="16"/>
              <w:ind w:left="193" w:right="47"/>
              <w:jc w:val="center"/>
              <w:rPr>
                <w:sz w:val="16"/>
              </w:rPr>
            </w:pPr>
            <w:r>
              <w:rPr>
                <w:sz w:val="16"/>
              </w:rPr>
              <w:t>100</w:t>
            </w:r>
          </w:p>
        </w:tc>
      </w:tr>
      <w:tr>
        <w:trPr>
          <w:trHeight w:val="257" w:hRule="exact"/>
        </w:trPr>
        <w:tc>
          <w:tcPr>
            <w:tcW w:w="495" w:type="dxa"/>
            <w:tcBorders>
              <w:top w:val="nil"/>
              <w:left w:val="nil"/>
              <w:bottom w:val="nil"/>
              <w:right w:val="nil"/>
            </w:tcBorders>
          </w:tcPr>
          <w:p>
            <w:pPr>
              <w:pStyle w:val="TableParagraph"/>
              <w:spacing w:before="16"/>
              <w:ind w:left="52" w:right="81"/>
              <w:jc w:val="center"/>
              <w:rPr>
                <w:sz w:val="16"/>
              </w:rPr>
            </w:pPr>
            <w:r>
              <w:rPr>
                <w:sz w:val="16"/>
              </w:rPr>
              <w:t>2001</w:t>
            </w:r>
          </w:p>
        </w:tc>
        <w:tc>
          <w:tcPr>
            <w:tcW w:w="1012" w:type="dxa"/>
            <w:tcBorders>
              <w:top w:val="nil"/>
              <w:left w:val="nil"/>
              <w:bottom w:val="nil"/>
              <w:right w:val="nil"/>
            </w:tcBorders>
          </w:tcPr>
          <w:p>
            <w:pPr>
              <w:pStyle w:val="TableParagraph"/>
              <w:spacing w:before="16"/>
              <w:ind w:right="284"/>
              <w:rPr>
                <w:sz w:val="16"/>
              </w:rPr>
            </w:pPr>
            <w:r>
              <w:rPr>
                <w:w w:val="95"/>
                <w:sz w:val="16"/>
              </w:rPr>
              <w:t>2.8</w:t>
            </w:r>
          </w:p>
        </w:tc>
        <w:tc>
          <w:tcPr>
            <w:tcW w:w="654" w:type="dxa"/>
            <w:tcBorders>
              <w:top w:val="nil"/>
              <w:left w:val="nil"/>
              <w:bottom w:val="nil"/>
              <w:right w:val="nil"/>
            </w:tcBorders>
          </w:tcPr>
          <w:p>
            <w:pPr>
              <w:pStyle w:val="TableParagraph"/>
              <w:spacing w:before="16"/>
              <w:ind w:right="86"/>
              <w:rPr>
                <w:sz w:val="16"/>
              </w:rPr>
            </w:pPr>
            <w:r>
              <w:rPr>
                <w:w w:val="95"/>
                <w:sz w:val="16"/>
              </w:rPr>
              <w:t>97.2</w:t>
            </w:r>
          </w:p>
        </w:tc>
        <w:tc>
          <w:tcPr>
            <w:tcW w:w="451" w:type="dxa"/>
            <w:tcBorders>
              <w:top w:val="nil"/>
              <w:left w:val="nil"/>
              <w:bottom w:val="nil"/>
              <w:right w:val="nil"/>
            </w:tcBorders>
          </w:tcPr>
          <w:p>
            <w:pPr>
              <w:pStyle w:val="TableParagraph"/>
              <w:spacing w:before="16"/>
              <w:ind w:right="114"/>
              <w:rPr>
                <w:sz w:val="16"/>
              </w:rPr>
            </w:pPr>
            <w:r>
              <w:rPr>
                <w:w w:val="99"/>
                <w:sz w:val="16"/>
              </w:rPr>
              <w:t>0</w:t>
            </w:r>
          </w:p>
        </w:tc>
        <w:tc>
          <w:tcPr>
            <w:tcW w:w="521" w:type="dxa"/>
            <w:tcBorders>
              <w:top w:val="nil"/>
              <w:left w:val="nil"/>
              <w:bottom w:val="nil"/>
            </w:tcBorders>
          </w:tcPr>
          <w:p>
            <w:pPr>
              <w:pStyle w:val="TableParagraph"/>
              <w:spacing w:before="16"/>
              <w:ind w:right="60"/>
              <w:rPr>
                <w:sz w:val="16"/>
              </w:rPr>
            </w:pPr>
            <w:r>
              <w:rPr>
                <w:w w:val="95"/>
                <w:sz w:val="16"/>
              </w:rPr>
              <w:t>100</w:t>
            </w:r>
          </w:p>
        </w:tc>
        <w:tc>
          <w:tcPr>
            <w:tcW w:w="559" w:type="dxa"/>
            <w:tcBorders>
              <w:top w:val="nil"/>
              <w:bottom w:val="nil"/>
              <w:right w:val="nil"/>
            </w:tcBorders>
          </w:tcPr>
          <w:p>
            <w:pPr>
              <w:pStyle w:val="TableParagraph"/>
              <w:spacing w:before="16"/>
              <w:ind w:left="67"/>
              <w:jc w:val="left"/>
              <w:rPr>
                <w:sz w:val="16"/>
              </w:rPr>
            </w:pPr>
            <w:r>
              <w:rPr>
                <w:sz w:val="16"/>
              </w:rPr>
              <w:t>2001</w:t>
            </w:r>
          </w:p>
        </w:tc>
        <w:tc>
          <w:tcPr>
            <w:tcW w:w="950" w:type="dxa"/>
            <w:tcBorders>
              <w:top w:val="nil"/>
              <w:left w:val="nil"/>
              <w:bottom w:val="nil"/>
              <w:right w:val="nil"/>
            </w:tcBorders>
          </w:tcPr>
          <w:p>
            <w:pPr>
              <w:pStyle w:val="TableParagraph"/>
              <w:spacing w:before="16"/>
              <w:ind w:right="158"/>
              <w:rPr>
                <w:sz w:val="16"/>
              </w:rPr>
            </w:pPr>
            <w:r>
              <w:rPr>
                <w:w w:val="95"/>
                <w:sz w:val="16"/>
              </w:rPr>
              <w:t>0.0</w:t>
            </w:r>
          </w:p>
        </w:tc>
        <w:tc>
          <w:tcPr>
            <w:tcW w:w="782" w:type="dxa"/>
            <w:tcBorders>
              <w:top w:val="nil"/>
              <w:left w:val="nil"/>
              <w:bottom w:val="nil"/>
              <w:right w:val="nil"/>
            </w:tcBorders>
          </w:tcPr>
          <w:p>
            <w:pPr>
              <w:pStyle w:val="TableParagraph"/>
              <w:spacing w:before="16"/>
              <w:ind w:right="89"/>
              <w:rPr>
                <w:sz w:val="16"/>
              </w:rPr>
            </w:pPr>
            <w:r>
              <w:rPr>
                <w:w w:val="95"/>
                <w:sz w:val="16"/>
              </w:rPr>
              <w:t>100</w:t>
            </w:r>
          </w:p>
        </w:tc>
        <w:tc>
          <w:tcPr>
            <w:tcW w:w="447" w:type="dxa"/>
            <w:tcBorders>
              <w:top w:val="nil"/>
              <w:left w:val="nil"/>
              <w:bottom w:val="nil"/>
              <w:right w:val="nil"/>
            </w:tcBorders>
          </w:tcPr>
          <w:p>
            <w:pPr>
              <w:pStyle w:val="TableParagraph"/>
              <w:spacing w:before="16"/>
              <w:ind w:right="114"/>
              <w:rPr>
                <w:sz w:val="16"/>
              </w:rPr>
            </w:pPr>
            <w:r>
              <w:rPr>
                <w:w w:val="99"/>
                <w:sz w:val="16"/>
              </w:rPr>
              <w:t>0</w:t>
            </w:r>
          </w:p>
        </w:tc>
        <w:tc>
          <w:tcPr>
            <w:tcW w:w="521" w:type="dxa"/>
            <w:tcBorders>
              <w:top w:val="nil"/>
              <w:left w:val="nil"/>
              <w:bottom w:val="nil"/>
              <w:right w:val="nil"/>
            </w:tcBorders>
          </w:tcPr>
          <w:p>
            <w:pPr>
              <w:pStyle w:val="TableParagraph"/>
              <w:spacing w:before="16"/>
              <w:ind w:left="193" w:right="47"/>
              <w:jc w:val="center"/>
              <w:rPr>
                <w:sz w:val="16"/>
              </w:rPr>
            </w:pPr>
            <w:r>
              <w:rPr>
                <w:sz w:val="16"/>
              </w:rPr>
              <w:t>100</w:t>
            </w:r>
          </w:p>
        </w:tc>
      </w:tr>
      <w:tr>
        <w:trPr>
          <w:trHeight w:val="257" w:hRule="exact"/>
        </w:trPr>
        <w:tc>
          <w:tcPr>
            <w:tcW w:w="495" w:type="dxa"/>
            <w:tcBorders>
              <w:top w:val="nil"/>
              <w:left w:val="nil"/>
              <w:bottom w:val="nil"/>
              <w:right w:val="nil"/>
            </w:tcBorders>
          </w:tcPr>
          <w:p>
            <w:pPr>
              <w:pStyle w:val="TableParagraph"/>
              <w:spacing w:before="19"/>
              <w:ind w:left="52" w:right="81"/>
              <w:jc w:val="center"/>
              <w:rPr>
                <w:sz w:val="16"/>
              </w:rPr>
            </w:pPr>
            <w:r>
              <w:rPr>
                <w:sz w:val="16"/>
              </w:rPr>
              <w:t>2002</w:t>
            </w:r>
          </w:p>
        </w:tc>
        <w:tc>
          <w:tcPr>
            <w:tcW w:w="1012" w:type="dxa"/>
            <w:tcBorders>
              <w:top w:val="nil"/>
              <w:left w:val="nil"/>
              <w:bottom w:val="nil"/>
              <w:right w:val="nil"/>
            </w:tcBorders>
          </w:tcPr>
          <w:p>
            <w:pPr>
              <w:pStyle w:val="TableParagraph"/>
              <w:spacing w:before="19"/>
              <w:ind w:right="284"/>
              <w:rPr>
                <w:sz w:val="16"/>
              </w:rPr>
            </w:pPr>
            <w:r>
              <w:rPr>
                <w:w w:val="95"/>
                <w:sz w:val="16"/>
              </w:rPr>
              <w:t>2.4</w:t>
            </w:r>
          </w:p>
        </w:tc>
        <w:tc>
          <w:tcPr>
            <w:tcW w:w="654" w:type="dxa"/>
            <w:tcBorders>
              <w:top w:val="nil"/>
              <w:left w:val="nil"/>
              <w:bottom w:val="nil"/>
              <w:right w:val="nil"/>
            </w:tcBorders>
          </w:tcPr>
          <w:p>
            <w:pPr>
              <w:pStyle w:val="TableParagraph"/>
              <w:spacing w:before="19"/>
              <w:ind w:right="86"/>
              <w:rPr>
                <w:sz w:val="16"/>
              </w:rPr>
            </w:pPr>
            <w:r>
              <w:rPr>
                <w:w w:val="95"/>
                <w:sz w:val="16"/>
              </w:rPr>
              <w:t>97.5</w:t>
            </w:r>
          </w:p>
        </w:tc>
        <w:tc>
          <w:tcPr>
            <w:tcW w:w="451" w:type="dxa"/>
            <w:tcBorders>
              <w:top w:val="nil"/>
              <w:left w:val="nil"/>
              <w:bottom w:val="nil"/>
              <w:right w:val="nil"/>
            </w:tcBorders>
          </w:tcPr>
          <w:p>
            <w:pPr>
              <w:pStyle w:val="TableParagraph"/>
              <w:spacing w:before="19"/>
              <w:ind w:right="113"/>
              <w:rPr>
                <w:sz w:val="16"/>
              </w:rPr>
            </w:pPr>
            <w:r>
              <w:rPr>
                <w:w w:val="95"/>
                <w:sz w:val="16"/>
              </w:rPr>
              <w:t>0.1</w:t>
            </w:r>
          </w:p>
        </w:tc>
        <w:tc>
          <w:tcPr>
            <w:tcW w:w="521" w:type="dxa"/>
            <w:tcBorders>
              <w:top w:val="nil"/>
              <w:left w:val="nil"/>
              <w:bottom w:val="nil"/>
            </w:tcBorders>
          </w:tcPr>
          <w:p>
            <w:pPr>
              <w:pStyle w:val="TableParagraph"/>
              <w:spacing w:before="19"/>
              <w:ind w:right="60"/>
              <w:rPr>
                <w:sz w:val="16"/>
              </w:rPr>
            </w:pPr>
            <w:r>
              <w:rPr>
                <w:w w:val="95"/>
                <w:sz w:val="16"/>
              </w:rPr>
              <w:t>100</w:t>
            </w:r>
          </w:p>
        </w:tc>
        <w:tc>
          <w:tcPr>
            <w:tcW w:w="559" w:type="dxa"/>
            <w:tcBorders>
              <w:top w:val="nil"/>
              <w:bottom w:val="nil"/>
              <w:right w:val="nil"/>
            </w:tcBorders>
          </w:tcPr>
          <w:p>
            <w:pPr>
              <w:pStyle w:val="TableParagraph"/>
              <w:spacing w:before="19"/>
              <w:ind w:left="67"/>
              <w:jc w:val="left"/>
              <w:rPr>
                <w:sz w:val="16"/>
              </w:rPr>
            </w:pPr>
            <w:r>
              <w:rPr>
                <w:sz w:val="16"/>
              </w:rPr>
              <w:t>2002</w:t>
            </w:r>
          </w:p>
        </w:tc>
        <w:tc>
          <w:tcPr>
            <w:tcW w:w="950" w:type="dxa"/>
            <w:tcBorders>
              <w:top w:val="nil"/>
              <w:left w:val="nil"/>
              <w:bottom w:val="nil"/>
              <w:right w:val="nil"/>
            </w:tcBorders>
          </w:tcPr>
          <w:p>
            <w:pPr>
              <w:pStyle w:val="TableParagraph"/>
              <w:spacing w:before="19"/>
              <w:ind w:right="159"/>
              <w:rPr>
                <w:sz w:val="16"/>
              </w:rPr>
            </w:pPr>
            <w:r>
              <w:rPr>
                <w:w w:val="95"/>
                <w:sz w:val="16"/>
              </w:rPr>
              <w:t>1.5</w:t>
            </w:r>
          </w:p>
        </w:tc>
        <w:tc>
          <w:tcPr>
            <w:tcW w:w="782" w:type="dxa"/>
            <w:tcBorders>
              <w:top w:val="nil"/>
              <w:left w:val="nil"/>
              <w:bottom w:val="nil"/>
              <w:right w:val="nil"/>
            </w:tcBorders>
          </w:tcPr>
          <w:p>
            <w:pPr>
              <w:pStyle w:val="TableParagraph"/>
              <w:spacing w:before="19"/>
              <w:ind w:right="90"/>
              <w:rPr>
                <w:sz w:val="16"/>
              </w:rPr>
            </w:pPr>
            <w:r>
              <w:rPr>
                <w:w w:val="95"/>
                <w:sz w:val="16"/>
              </w:rPr>
              <w:t>98.5</w:t>
            </w:r>
          </w:p>
        </w:tc>
        <w:tc>
          <w:tcPr>
            <w:tcW w:w="447" w:type="dxa"/>
            <w:tcBorders>
              <w:top w:val="nil"/>
              <w:left w:val="nil"/>
              <w:bottom w:val="nil"/>
              <w:right w:val="nil"/>
            </w:tcBorders>
          </w:tcPr>
          <w:p>
            <w:pPr>
              <w:pStyle w:val="TableParagraph"/>
              <w:spacing w:before="19"/>
              <w:ind w:right="114"/>
              <w:rPr>
                <w:sz w:val="16"/>
              </w:rPr>
            </w:pPr>
            <w:r>
              <w:rPr>
                <w:w w:val="98"/>
                <w:sz w:val="16"/>
              </w:rPr>
              <w:t>0</w:t>
            </w:r>
          </w:p>
        </w:tc>
        <w:tc>
          <w:tcPr>
            <w:tcW w:w="521" w:type="dxa"/>
            <w:tcBorders>
              <w:top w:val="nil"/>
              <w:left w:val="nil"/>
              <w:bottom w:val="nil"/>
              <w:right w:val="nil"/>
            </w:tcBorders>
          </w:tcPr>
          <w:p>
            <w:pPr>
              <w:pStyle w:val="TableParagraph"/>
              <w:spacing w:before="19"/>
              <w:ind w:left="193" w:right="47"/>
              <w:jc w:val="center"/>
              <w:rPr>
                <w:sz w:val="16"/>
              </w:rPr>
            </w:pPr>
            <w:r>
              <w:rPr>
                <w:sz w:val="16"/>
              </w:rPr>
              <w:t>100</w:t>
            </w:r>
          </w:p>
        </w:tc>
      </w:tr>
      <w:tr>
        <w:trPr>
          <w:trHeight w:val="254" w:hRule="exact"/>
        </w:trPr>
        <w:tc>
          <w:tcPr>
            <w:tcW w:w="495" w:type="dxa"/>
            <w:tcBorders>
              <w:top w:val="nil"/>
              <w:left w:val="nil"/>
              <w:bottom w:val="nil"/>
              <w:right w:val="nil"/>
            </w:tcBorders>
          </w:tcPr>
          <w:p>
            <w:pPr>
              <w:pStyle w:val="TableParagraph"/>
              <w:spacing w:before="16"/>
              <w:ind w:left="52" w:right="81"/>
              <w:jc w:val="center"/>
              <w:rPr>
                <w:sz w:val="16"/>
              </w:rPr>
            </w:pPr>
            <w:r>
              <w:rPr>
                <w:sz w:val="16"/>
              </w:rPr>
              <w:t>2003</w:t>
            </w:r>
          </w:p>
        </w:tc>
        <w:tc>
          <w:tcPr>
            <w:tcW w:w="1012" w:type="dxa"/>
            <w:tcBorders>
              <w:top w:val="nil"/>
              <w:left w:val="nil"/>
              <w:bottom w:val="nil"/>
              <w:right w:val="nil"/>
            </w:tcBorders>
          </w:tcPr>
          <w:p>
            <w:pPr>
              <w:pStyle w:val="TableParagraph"/>
              <w:spacing w:before="16"/>
              <w:ind w:right="284"/>
              <w:rPr>
                <w:sz w:val="16"/>
              </w:rPr>
            </w:pPr>
            <w:r>
              <w:rPr>
                <w:w w:val="95"/>
                <w:sz w:val="16"/>
              </w:rPr>
              <w:t>S/D</w:t>
            </w:r>
          </w:p>
        </w:tc>
        <w:tc>
          <w:tcPr>
            <w:tcW w:w="654" w:type="dxa"/>
            <w:tcBorders>
              <w:top w:val="nil"/>
              <w:left w:val="nil"/>
              <w:bottom w:val="nil"/>
              <w:right w:val="nil"/>
            </w:tcBorders>
          </w:tcPr>
          <w:p>
            <w:pPr>
              <w:pStyle w:val="TableParagraph"/>
              <w:spacing w:before="16"/>
              <w:ind w:right="86"/>
              <w:rPr>
                <w:sz w:val="16"/>
              </w:rPr>
            </w:pPr>
            <w:r>
              <w:rPr>
                <w:w w:val="95"/>
                <w:sz w:val="16"/>
              </w:rPr>
              <w:t>S/D</w:t>
            </w:r>
          </w:p>
        </w:tc>
        <w:tc>
          <w:tcPr>
            <w:tcW w:w="451" w:type="dxa"/>
            <w:tcBorders>
              <w:top w:val="nil"/>
              <w:left w:val="nil"/>
              <w:bottom w:val="nil"/>
              <w:right w:val="nil"/>
            </w:tcBorders>
          </w:tcPr>
          <w:p>
            <w:pPr>
              <w:pStyle w:val="TableParagraph"/>
              <w:spacing w:before="16"/>
              <w:ind w:right="113"/>
              <w:rPr>
                <w:sz w:val="16"/>
              </w:rPr>
            </w:pPr>
            <w:r>
              <w:rPr>
                <w:w w:val="95"/>
                <w:sz w:val="16"/>
              </w:rPr>
              <w:t>S/D</w:t>
            </w:r>
          </w:p>
        </w:tc>
        <w:tc>
          <w:tcPr>
            <w:tcW w:w="521" w:type="dxa"/>
            <w:tcBorders>
              <w:top w:val="nil"/>
              <w:left w:val="nil"/>
              <w:bottom w:val="nil"/>
            </w:tcBorders>
          </w:tcPr>
          <w:p>
            <w:pPr/>
          </w:p>
        </w:tc>
        <w:tc>
          <w:tcPr>
            <w:tcW w:w="559" w:type="dxa"/>
            <w:tcBorders>
              <w:top w:val="nil"/>
              <w:bottom w:val="nil"/>
              <w:right w:val="nil"/>
            </w:tcBorders>
          </w:tcPr>
          <w:p>
            <w:pPr>
              <w:pStyle w:val="TableParagraph"/>
              <w:spacing w:before="16"/>
              <w:ind w:left="67"/>
              <w:jc w:val="left"/>
              <w:rPr>
                <w:sz w:val="16"/>
              </w:rPr>
            </w:pPr>
            <w:r>
              <w:rPr>
                <w:sz w:val="16"/>
              </w:rPr>
              <w:t>2003</w:t>
            </w:r>
          </w:p>
        </w:tc>
        <w:tc>
          <w:tcPr>
            <w:tcW w:w="950" w:type="dxa"/>
            <w:tcBorders>
              <w:top w:val="nil"/>
              <w:left w:val="nil"/>
              <w:bottom w:val="nil"/>
              <w:right w:val="nil"/>
            </w:tcBorders>
          </w:tcPr>
          <w:p>
            <w:pPr>
              <w:pStyle w:val="TableParagraph"/>
              <w:spacing w:before="16"/>
              <w:ind w:right="158"/>
              <w:rPr>
                <w:sz w:val="16"/>
              </w:rPr>
            </w:pPr>
            <w:r>
              <w:rPr>
                <w:w w:val="95"/>
                <w:sz w:val="16"/>
              </w:rPr>
              <w:t>S/D</w:t>
            </w:r>
          </w:p>
        </w:tc>
        <w:tc>
          <w:tcPr>
            <w:tcW w:w="782" w:type="dxa"/>
            <w:tcBorders>
              <w:top w:val="nil"/>
              <w:left w:val="nil"/>
              <w:bottom w:val="nil"/>
              <w:right w:val="nil"/>
            </w:tcBorders>
          </w:tcPr>
          <w:p>
            <w:pPr>
              <w:pStyle w:val="TableParagraph"/>
              <w:spacing w:before="16"/>
              <w:ind w:right="90"/>
              <w:rPr>
                <w:sz w:val="16"/>
              </w:rPr>
            </w:pPr>
            <w:r>
              <w:rPr>
                <w:w w:val="95"/>
                <w:sz w:val="16"/>
              </w:rPr>
              <w:t>S/D</w:t>
            </w:r>
          </w:p>
        </w:tc>
        <w:tc>
          <w:tcPr>
            <w:tcW w:w="447" w:type="dxa"/>
            <w:tcBorders>
              <w:top w:val="nil"/>
              <w:left w:val="nil"/>
              <w:bottom w:val="nil"/>
              <w:right w:val="nil"/>
            </w:tcBorders>
          </w:tcPr>
          <w:p>
            <w:pPr>
              <w:pStyle w:val="TableParagraph"/>
              <w:spacing w:before="16"/>
              <w:ind w:right="113"/>
              <w:rPr>
                <w:sz w:val="16"/>
              </w:rPr>
            </w:pPr>
            <w:r>
              <w:rPr>
                <w:w w:val="95"/>
                <w:sz w:val="16"/>
              </w:rPr>
              <w:t>S/D</w:t>
            </w:r>
          </w:p>
        </w:tc>
        <w:tc>
          <w:tcPr>
            <w:tcW w:w="521" w:type="dxa"/>
            <w:tcBorders>
              <w:top w:val="nil"/>
              <w:left w:val="nil"/>
              <w:bottom w:val="nil"/>
              <w:right w:val="nil"/>
            </w:tcBorders>
          </w:tcPr>
          <w:p>
            <w:pPr/>
          </w:p>
        </w:tc>
      </w:tr>
      <w:tr>
        <w:trPr>
          <w:trHeight w:val="254" w:hRule="exact"/>
        </w:trPr>
        <w:tc>
          <w:tcPr>
            <w:tcW w:w="495" w:type="dxa"/>
            <w:tcBorders>
              <w:top w:val="nil"/>
              <w:left w:val="nil"/>
              <w:bottom w:val="nil"/>
              <w:right w:val="nil"/>
            </w:tcBorders>
          </w:tcPr>
          <w:p>
            <w:pPr>
              <w:pStyle w:val="TableParagraph"/>
              <w:spacing w:before="16"/>
              <w:ind w:left="52" w:right="81"/>
              <w:jc w:val="center"/>
              <w:rPr>
                <w:sz w:val="16"/>
              </w:rPr>
            </w:pPr>
            <w:r>
              <w:rPr>
                <w:sz w:val="16"/>
              </w:rPr>
              <w:t>2004</w:t>
            </w:r>
          </w:p>
        </w:tc>
        <w:tc>
          <w:tcPr>
            <w:tcW w:w="1012" w:type="dxa"/>
            <w:tcBorders>
              <w:top w:val="nil"/>
              <w:left w:val="nil"/>
              <w:bottom w:val="nil"/>
              <w:right w:val="nil"/>
            </w:tcBorders>
          </w:tcPr>
          <w:p>
            <w:pPr>
              <w:pStyle w:val="TableParagraph"/>
              <w:spacing w:before="16"/>
              <w:ind w:right="284"/>
              <w:rPr>
                <w:sz w:val="16"/>
              </w:rPr>
            </w:pPr>
            <w:r>
              <w:rPr>
                <w:w w:val="95"/>
                <w:sz w:val="16"/>
              </w:rPr>
              <w:t>5.9</w:t>
            </w:r>
          </w:p>
        </w:tc>
        <w:tc>
          <w:tcPr>
            <w:tcW w:w="654" w:type="dxa"/>
            <w:tcBorders>
              <w:top w:val="nil"/>
              <w:left w:val="nil"/>
              <w:bottom w:val="nil"/>
              <w:right w:val="nil"/>
            </w:tcBorders>
          </w:tcPr>
          <w:p>
            <w:pPr>
              <w:pStyle w:val="TableParagraph"/>
              <w:spacing w:before="16"/>
              <w:ind w:right="86"/>
              <w:rPr>
                <w:sz w:val="16"/>
              </w:rPr>
            </w:pPr>
            <w:r>
              <w:rPr>
                <w:w w:val="95"/>
                <w:sz w:val="16"/>
              </w:rPr>
              <w:t>93.5</w:t>
            </w:r>
          </w:p>
        </w:tc>
        <w:tc>
          <w:tcPr>
            <w:tcW w:w="451" w:type="dxa"/>
            <w:tcBorders>
              <w:top w:val="nil"/>
              <w:left w:val="nil"/>
              <w:bottom w:val="nil"/>
              <w:right w:val="nil"/>
            </w:tcBorders>
          </w:tcPr>
          <w:p>
            <w:pPr>
              <w:pStyle w:val="TableParagraph"/>
              <w:spacing w:before="16"/>
              <w:ind w:right="113"/>
              <w:rPr>
                <w:sz w:val="16"/>
              </w:rPr>
            </w:pPr>
            <w:r>
              <w:rPr>
                <w:w w:val="95"/>
                <w:sz w:val="16"/>
              </w:rPr>
              <w:t>0.6</w:t>
            </w:r>
          </w:p>
        </w:tc>
        <w:tc>
          <w:tcPr>
            <w:tcW w:w="521" w:type="dxa"/>
            <w:tcBorders>
              <w:top w:val="nil"/>
              <w:left w:val="nil"/>
              <w:bottom w:val="nil"/>
            </w:tcBorders>
          </w:tcPr>
          <w:p>
            <w:pPr>
              <w:pStyle w:val="TableParagraph"/>
              <w:spacing w:before="16"/>
              <w:ind w:right="60"/>
              <w:rPr>
                <w:sz w:val="16"/>
              </w:rPr>
            </w:pPr>
            <w:r>
              <w:rPr>
                <w:w w:val="95"/>
                <w:sz w:val="16"/>
              </w:rPr>
              <w:t>100</w:t>
            </w:r>
          </w:p>
        </w:tc>
        <w:tc>
          <w:tcPr>
            <w:tcW w:w="559" w:type="dxa"/>
            <w:tcBorders>
              <w:top w:val="nil"/>
              <w:bottom w:val="nil"/>
              <w:right w:val="nil"/>
            </w:tcBorders>
          </w:tcPr>
          <w:p>
            <w:pPr>
              <w:pStyle w:val="TableParagraph"/>
              <w:spacing w:before="16"/>
              <w:ind w:left="67"/>
              <w:jc w:val="left"/>
              <w:rPr>
                <w:sz w:val="16"/>
              </w:rPr>
            </w:pPr>
            <w:r>
              <w:rPr>
                <w:sz w:val="16"/>
              </w:rPr>
              <w:t>2004</w:t>
            </w:r>
          </w:p>
        </w:tc>
        <w:tc>
          <w:tcPr>
            <w:tcW w:w="950" w:type="dxa"/>
            <w:tcBorders>
              <w:top w:val="nil"/>
              <w:left w:val="nil"/>
              <w:bottom w:val="nil"/>
              <w:right w:val="nil"/>
            </w:tcBorders>
          </w:tcPr>
          <w:p>
            <w:pPr>
              <w:pStyle w:val="TableParagraph"/>
              <w:spacing w:before="16"/>
              <w:ind w:right="159"/>
              <w:rPr>
                <w:sz w:val="16"/>
              </w:rPr>
            </w:pPr>
            <w:r>
              <w:rPr>
                <w:w w:val="95"/>
                <w:sz w:val="16"/>
              </w:rPr>
              <w:t>20.0</w:t>
            </w:r>
          </w:p>
        </w:tc>
        <w:tc>
          <w:tcPr>
            <w:tcW w:w="782" w:type="dxa"/>
            <w:tcBorders>
              <w:top w:val="nil"/>
              <w:left w:val="nil"/>
              <w:bottom w:val="nil"/>
              <w:right w:val="nil"/>
            </w:tcBorders>
          </w:tcPr>
          <w:p>
            <w:pPr>
              <w:pStyle w:val="TableParagraph"/>
              <w:spacing w:before="16"/>
              <w:ind w:right="90"/>
              <w:rPr>
                <w:sz w:val="16"/>
              </w:rPr>
            </w:pPr>
            <w:r>
              <w:rPr>
                <w:w w:val="95"/>
                <w:sz w:val="16"/>
              </w:rPr>
              <w:t>78.0</w:t>
            </w:r>
          </w:p>
        </w:tc>
        <w:tc>
          <w:tcPr>
            <w:tcW w:w="447" w:type="dxa"/>
            <w:tcBorders>
              <w:top w:val="nil"/>
              <w:left w:val="nil"/>
              <w:bottom w:val="nil"/>
              <w:right w:val="nil"/>
            </w:tcBorders>
          </w:tcPr>
          <w:p>
            <w:pPr>
              <w:pStyle w:val="TableParagraph"/>
              <w:spacing w:before="16"/>
              <w:ind w:right="114"/>
              <w:rPr>
                <w:sz w:val="16"/>
              </w:rPr>
            </w:pPr>
            <w:r>
              <w:rPr>
                <w:w w:val="98"/>
                <w:sz w:val="16"/>
              </w:rPr>
              <w:t>0</w:t>
            </w:r>
          </w:p>
        </w:tc>
        <w:tc>
          <w:tcPr>
            <w:tcW w:w="521" w:type="dxa"/>
            <w:tcBorders>
              <w:top w:val="nil"/>
              <w:left w:val="nil"/>
              <w:bottom w:val="nil"/>
              <w:right w:val="nil"/>
            </w:tcBorders>
          </w:tcPr>
          <w:p>
            <w:pPr>
              <w:pStyle w:val="TableParagraph"/>
              <w:spacing w:before="16"/>
              <w:ind w:left="193" w:right="47"/>
              <w:jc w:val="center"/>
              <w:rPr>
                <w:sz w:val="16"/>
              </w:rPr>
            </w:pPr>
            <w:r>
              <w:rPr>
                <w:sz w:val="16"/>
              </w:rPr>
              <w:t>100</w:t>
            </w:r>
          </w:p>
        </w:tc>
      </w:tr>
      <w:tr>
        <w:trPr>
          <w:trHeight w:val="254" w:hRule="exact"/>
        </w:trPr>
        <w:tc>
          <w:tcPr>
            <w:tcW w:w="495" w:type="dxa"/>
            <w:tcBorders>
              <w:top w:val="nil"/>
              <w:left w:val="nil"/>
              <w:bottom w:val="nil"/>
              <w:right w:val="nil"/>
            </w:tcBorders>
          </w:tcPr>
          <w:p>
            <w:pPr>
              <w:pStyle w:val="TableParagraph"/>
              <w:spacing w:before="16"/>
              <w:ind w:left="52" w:right="81"/>
              <w:jc w:val="center"/>
              <w:rPr>
                <w:sz w:val="16"/>
              </w:rPr>
            </w:pPr>
            <w:r>
              <w:rPr>
                <w:sz w:val="16"/>
              </w:rPr>
              <w:t>2005</w:t>
            </w:r>
          </w:p>
        </w:tc>
        <w:tc>
          <w:tcPr>
            <w:tcW w:w="1012" w:type="dxa"/>
            <w:tcBorders>
              <w:top w:val="nil"/>
              <w:left w:val="nil"/>
              <w:bottom w:val="nil"/>
              <w:right w:val="nil"/>
            </w:tcBorders>
          </w:tcPr>
          <w:p>
            <w:pPr>
              <w:pStyle w:val="TableParagraph"/>
              <w:spacing w:before="16"/>
              <w:ind w:right="284"/>
              <w:rPr>
                <w:sz w:val="16"/>
              </w:rPr>
            </w:pPr>
            <w:r>
              <w:rPr>
                <w:w w:val="95"/>
                <w:sz w:val="16"/>
              </w:rPr>
              <w:t>4.9</w:t>
            </w:r>
          </w:p>
        </w:tc>
        <w:tc>
          <w:tcPr>
            <w:tcW w:w="654" w:type="dxa"/>
            <w:tcBorders>
              <w:top w:val="nil"/>
              <w:left w:val="nil"/>
              <w:bottom w:val="nil"/>
              <w:right w:val="nil"/>
            </w:tcBorders>
          </w:tcPr>
          <w:p>
            <w:pPr>
              <w:pStyle w:val="TableParagraph"/>
              <w:spacing w:before="16"/>
              <w:ind w:right="86"/>
              <w:rPr>
                <w:sz w:val="16"/>
              </w:rPr>
            </w:pPr>
            <w:r>
              <w:rPr>
                <w:w w:val="95"/>
                <w:sz w:val="16"/>
              </w:rPr>
              <w:t>95.8</w:t>
            </w:r>
          </w:p>
        </w:tc>
        <w:tc>
          <w:tcPr>
            <w:tcW w:w="451" w:type="dxa"/>
            <w:tcBorders>
              <w:top w:val="nil"/>
              <w:left w:val="nil"/>
              <w:bottom w:val="nil"/>
              <w:right w:val="nil"/>
            </w:tcBorders>
          </w:tcPr>
          <w:p>
            <w:pPr>
              <w:pStyle w:val="TableParagraph"/>
              <w:spacing w:before="16"/>
              <w:ind w:right="113"/>
              <w:rPr>
                <w:sz w:val="16"/>
              </w:rPr>
            </w:pPr>
            <w:r>
              <w:rPr>
                <w:w w:val="95"/>
                <w:sz w:val="16"/>
              </w:rPr>
              <w:t>0.2</w:t>
            </w:r>
          </w:p>
        </w:tc>
        <w:tc>
          <w:tcPr>
            <w:tcW w:w="521" w:type="dxa"/>
            <w:tcBorders>
              <w:top w:val="nil"/>
              <w:left w:val="nil"/>
              <w:bottom w:val="nil"/>
            </w:tcBorders>
          </w:tcPr>
          <w:p>
            <w:pPr>
              <w:pStyle w:val="TableParagraph"/>
              <w:spacing w:before="16"/>
              <w:ind w:right="60"/>
              <w:rPr>
                <w:sz w:val="16"/>
              </w:rPr>
            </w:pPr>
            <w:r>
              <w:rPr>
                <w:w w:val="95"/>
                <w:sz w:val="16"/>
              </w:rPr>
              <w:t>100</w:t>
            </w:r>
          </w:p>
        </w:tc>
        <w:tc>
          <w:tcPr>
            <w:tcW w:w="559" w:type="dxa"/>
            <w:tcBorders>
              <w:top w:val="nil"/>
              <w:bottom w:val="nil"/>
              <w:right w:val="nil"/>
            </w:tcBorders>
          </w:tcPr>
          <w:p>
            <w:pPr>
              <w:pStyle w:val="TableParagraph"/>
              <w:spacing w:before="16"/>
              <w:ind w:left="67"/>
              <w:jc w:val="left"/>
              <w:rPr>
                <w:sz w:val="16"/>
              </w:rPr>
            </w:pPr>
            <w:r>
              <w:rPr>
                <w:sz w:val="16"/>
              </w:rPr>
              <w:t>2005</w:t>
            </w:r>
          </w:p>
        </w:tc>
        <w:tc>
          <w:tcPr>
            <w:tcW w:w="950" w:type="dxa"/>
            <w:tcBorders>
              <w:top w:val="nil"/>
              <w:left w:val="nil"/>
              <w:bottom w:val="nil"/>
              <w:right w:val="nil"/>
            </w:tcBorders>
          </w:tcPr>
          <w:p>
            <w:pPr>
              <w:pStyle w:val="TableParagraph"/>
              <w:spacing w:before="16"/>
              <w:ind w:right="158"/>
              <w:rPr>
                <w:sz w:val="16"/>
              </w:rPr>
            </w:pPr>
            <w:r>
              <w:rPr>
                <w:w w:val="95"/>
                <w:sz w:val="16"/>
              </w:rPr>
              <w:t>1.9</w:t>
            </w:r>
          </w:p>
        </w:tc>
        <w:tc>
          <w:tcPr>
            <w:tcW w:w="782" w:type="dxa"/>
            <w:tcBorders>
              <w:top w:val="nil"/>
              <w:left w:val="nil"/>
              <w:bottom w:val="nil"/>
              <w:right w:val="nil"/>
            </w:tcBorders>
          </w:tcPr>
          <w:p>
            <w:pPr>
              <w:pStyle w:val="TableParagraph"/>
              <w:spacing w:before="16"/>
              <w:ind w:right="90"/>
              <w:rPr>
                <w:sz w:val="16"/>
              </w:rPr>
            </w:pPr>
            <w:r>
              <w:rPr>
                <w:w w:val="95"/>
                <w:sz w:val="16"/>
              </w:rPr>
              <w:t>98.1</w:t>
            </w:r>
          </w:p>
        </w:tc>
        <w:tc>
          <w:tcPr>
            <w:tcW w:w="447" w:type="dxa"/>
            <w:tcBorders>
              <w:top w:val="nil"/>
              <w:left w:val="nil"/>
              <w:bottom w:val="nil"/>
              <w:right w:val="nil"/>
            </w:tcBorders>
          </w:tcPr>
          <w:p>
            <w:pPr>
              <w:pStyle w:val="TableParagraph"/>
              <w:spacing w:before="16"/>
              <w:ind w:right="114"/>
              <w:rPr>
                <w:sz w:val="16"/>
              </w:rPr>
            </w:pPr>
            <w:r>
              <w:rPr>
                <w:w w:val="99"/>
                <w:sz w:val="16"/>
              </w:rPr>
              <w:t>0</w:t>
            </w:r>
          </w:p>
        </w:tc>
        <w:tc>
          <w:tcPr>
            <w:tcW w:w="521" w:type="dxa"/>
            <w:tcBorders>
              <w:top w:val="nil"/>
              <w:left w:val="nil"/>
              <w:bottom w:val="nil"/>
              <w:right w:val="nil"/>
            </w:tcBorders>
          </w:tcPr>
          <w:p>
            <w:pPr>
              <w:pStyle w:val="TableParagraph"/>
              <w:spacing w:before="16"/>
              <w:ind w:left="193" w:right="47"/>
              <w:jc w:val="center"/>
              <w:rPr>
                <w:sz w:val="16"/>
              </w:rPr>
            </w:pPr>
            <w:r>
              <w:rPr>
                <w:sz w:val="16"/>
              </w:rPr>
              <w:t>100</w:t>
            </w:r>
          </w:p>
        </w:tc>
      </w:tr>
      <w:tr>
        <w:trPr>
          <w:trHeight w:val="254" w:hRule="exact"/>
        </w:trPr>
        <w:tc>
          <w:tcPr>
            <w:tcW w:w="495" w:type="dxa"/>
            <w:tcBorders>
              <w:top w:val="nil"/>
              <w:left w:val="nil"/>
              <w:bottom w:val="nil"/>
              <w:right w:val="nil"/>
            </w:tcBorders>
          </w:tcPr>
          <w:p>
            <w:pPr>
              <w:pStyle w:val="TableParagraph"/>
              <w:spacing w:before="16"/>
              <w:ind w:left="52" w:right="81"/>
              <w:jc w:val="center"/>
              <w:rPr>
                <w:sz w:val="16"/>
              </w:rPr>
            </w:pPr>
            <w:r>
              <w:rPr>
                <w:sz w:val="16"/>
              </w:rPr>
              <w:t>2006</w:t>
            </w:r>
          </w:p>
        </w:tc>
        <w:tc>
          <w:tcPr>
            <w:tcW w:w="1012" w:type="dxa"/>
            <w:tcBorders>
              <w:top w:val="nil"/>
              <w:left w:val="nil"/>
              <w:bottom w:val="nil"/>
              <w:right w:val="nil"/>
            </w:tcBorders>
          </w:tcPr>
          <w:p>
            <w:pPr>
              <w:pStyle w:val="TableParagraph"/>
              <w:spacing w:before="16"/>
              <w:ind w:right="285"/>
              <w:rPr>
                <w:sz w:val="16"/>
              </w:rPr>
            </w:pPr>
            <w:r>
              <w:rPr>
                <w:w w:val="95"/>
                <w:sz w:val="16"/>
              </w:rPr>
              <w:t>13.1</w:t>
            </w:r>
          </w:p>
        </w:tc>
        <w:tc>
          <w:tcPr>
            <w:tcW w:w="654" w:type="dxa"/>
            <w:tcBorders>
              <w:top w:val="nil"/>
              <w:left w:val="nil"/>
              <w:bottom w:val="nil"/>
              <w:right w:val="nil"/>
            </w:tcBorders>
          </w:tcPr>
          <w:p>
            <w:pPr>
              <w:pStyle w:val="TableParagraph"/>
              <w:spacing w:before="16"/>
              <w:ind w:right="86"/>
              <w:rPr>
                <w:sz w:val="16"/>
              </w:rPr>
            </w:pPr>
            <w:r>
              <w:rPr>
                <w:w w:val="95"/>
                <w:sz w:val="16"/>
              </w:rPr>
              <w:t>86.8</w:t>
            </w:r>
          </w:p>
        </w:tc>
        <w:tc>
          <w:tcPr>
            <w:tcW w:w="451" w:type="dxa"/>
            <w:tcBorders>
              <w:top w:val="nil"/>
              <w:left w:val="nil"/>
              <w:bottom w:val="nil"/>
              <w:right w:val="nil"/>
            </w:tcBorders>
          </w:tcPr>
          <w:p>
            <w:pPr>
              <w:pStyle w:val="TableParagraph"/>
              <w:spacing w:before="16"/>
              <w:ind w:right="114"/>
              <w:rPr>
                <w:sz w:val="16"/>
              </w:rPr>
            </w:pPr>
            <w:r>
              <w:rPr>
                <w:w w:val="95"/>
                <w:sz w:val="16"/>
              </w:rPr>
              <w:t>0.1</w:t>
            </w:r>
          </w:p>
        </w:tc>
        <w:tc>
          <w:tcPr>
            <w:tcW w:w="521" w:type="dxa"/>
            <w:tcBorders>
              <w:top w:val="nil"/>
              <w:left w:val="nil"/>
              <w:bottom w:val="nil"/>
            </w:tcBorders>
          </w:tcPr>
          <w:p>
            <w:pPr>
              <w:pStyle w:val="TableParagraph"/>
              <w:spacing w:before="16"/>
              <w:ind w:right="60"/>
              <w:rPr>
                <w:sz w:val="16"/>
              </w:rPr>
            </w:pPr>
            <w:r>
              <w:rPr>
                <w:w w:val="95"/>
                <w:sz w:val="16"/>
              </w:rPr>
              <w:t>100</w:t>
            </w:r>
          </w:p>
        </w:tc>
        <w:tc>
          <w:tcPr>
            <w:tcW w:w="559" w:type="dxa"/>
            <w:tcBorders>
              <w:top w:val="nil"/>
              <w:bottom w:val="nil"/>
              <w:right w:val="nil"/>
            </w:tcBorders>
          </w:tcPr>
          <w:p>
            <w:pPr>
              <w:pStyle w:val="TableParagraph"/>
              <w:spacing w:before="16"/>
              <w:ind w:left="67"/>
              <w:jc w:val="left"/>
              <w:rPr>
                <w:sz w:val="16"/>
              </w:rPr>
            </w:pPr>
            <w:r>
              <w:rPr>
                <w:sz w:val="16"/>
              </w:rPr>
              <w:t>2006</w:t>
            </w:r>
          </w:p>
        </w:tc>
        <w:tc>
          <w:tcPr>
            <w:tcW w:w="950" w:type="dxa"/>
            <w:tcBorders>
              <w:top w:val="nil"/>
              <w:left w:val="nil"/>
              <w:bottom w:val="nil"/>
              <w:right w:val="nil"/>
            </w:tcBorders>
          </w:tcPr>
          <w:p>
            <w:pPr>
              <w:pStyle w:val="TableParagraph"/>
              <w:spacing w:before="16"/>
              <w:ind w:right="159"/>
              <w:rPr>
                <w:sz w:val="16"/>
              </w:rPr>
            </w:pPr>
            <w:r>
              <w:rPr>
                <w:w w:val="95"/>
                <w:sz w:val="16"/>
              </w:rPr>
              <w:t>2.2</w:t>
            </w:r>
          </w:p>
        </w:tc>
        <w:tc>
          <w:tcPr>
            <w:tcW w:w="782" w:type="dxa"/>
            <w:tcBorders>
              <w:top w:val="nil"/>
              <w:left w:val="nil"/>
              <w:bottom w:val="nil"/>
              <w:right w:val="nil"/>
            </w:tcBorders>
          </w:tcPr>
          <w:p>
            <w:pPr>
              <w:pStyle w:val="TableParagraph"/>
              <w:spacing w:before="16"/>
              <w:ind w:right="90"/>
              <w:rPr>
                <w:sz w:val="16"/>
              </w:rPr>
            </w:pPr>
            <w:r>
              <w:rPr>
                <w:w w:val="95"/>
                <w:sz w:val="16"/>
              </w:rPr>
              <w:t>97.8</w:t>
            </w:r>
          </w:p>
        </w:tc>
        <w:tc>
          <w:tcPr>
            <w:tcW w:w="447" w:type="dxa"/>
            <w:tcBorders>
              <w:top w:val="nil"/>
              <w:left w:val="nil"/>
              <w:bottom w:val="nil"/>
              <w:right w:val="nil"/>
            </w:tcBorders>
          </w:tcPr>
          <w:p>
            <w:pPr>
              <w:pStyle w:val="TableParagraph"/>
              <w:spacing w:before="16"/>
              <w:ind w:right="114"/>
              <w:rPr>
                <w:sz w:val="16"/>
              </w:rPr>
            </w:pPr>
            <w:r>
              <w:rPr>
                <w:w w:val="99"/>
                <w:sz w:val="16"/>
              </w:rPr>
              <w:t>0</w:t>
            </w:r>
          </w:p>
        </w:tc>
        <w:tc>
          <w:tcPr>
            <w:tcW w:w="521" w:type="dxa"/>
            <w:tcBorders>
              <w:top w:val="nil"/>
              <w:left w:val="nil"/>
              <w:bottom w:val="nil"/>
              <w:right w:val="nil"/>
            </w:tcBorders>
          </w:tcPr>
          <w:p>
            <w:pPr>
              <w:pStyle w:val="TableParagraph"/>
              <w:spacing w:before="16"/>
              <w:ind w:left="192" w:right="47"/>
              <w:jc w:val="center"/>
              <w:rPr>
                <w:sz w:val="16"/>
              </w:rPr>
            </w:pPr>
            <w:r>
              <w:rPr>
                <w:sz w:val="16"/>
              </w:rPr>
              <w:t>100</w:t>
            </w:r>
          </w:p>
        </w:tc>
      </w:tr>
      <w:tr>
        <w:trPr>
          <w:trHeight w:val="254" w:hRule="exact"/>
        </w:trPr>
        <w:tc>
          <w:tcPr>
            <w:tcW w:w="495" w:type="dxa"/>
            <w:tcBorders>
              <w:top w:val="nil"/>
              <w:left w:val="nil"/>
              <w:bottom w:val="nil"/>
              <w:right w:val="nil"/>
            </w:tcBorders>
          </w:tcPr>
          <w:p>
            <w:pPr>
              <w:pStyle w:val="TableParagraph"/>
              <w:spacing w:before="16"/>
              <w:ind w:left="52" w:right="81"/>
              <w:jc w:val="center"/>
              <w:rPr>
                <w:sz w:val="16"/>
              </w:rPr>
            </w:pPr>
            <w:r>
              <w:rPr>
                <w:sz w:val="16"/>
              </w:rPr>
              <w:t>2007</w:t>
            </w:r>
          </w:p>
        </w:tc>
        <w:tc>
          <w:tcPr>
            <w:tcW w:w="1012" w:type="dxa"/>
            <w:tcBorders>
              <w:top w:val="nil"/>
              <w:left w:val="nil"/>
              <w:bottom w:val="nil"/>
              <w:right w:val="nil"/>
            </w:tcBorders>
          </w:tcPr>
          <w:p>
            <w:pPr>
              <w:pStyle w:val="TableParagraph"/>
              <w:spacing w:before="16"/>
              <w:ind w:right="284"/>
              <w:rPr>
                <w:sz w:val="16"/>
              </w:rPr>
            </w:pPr>
            <w:r>
              <w:rPr>
                <w:w w:val="95"/>
                <w:sz w:val="16"/>
              </w:rPr>
              <w:t>9.6</w:t>
            </w:r>
          </w:p>
        </w:tc>
        <w:tc>
          <w:tcPr>
            <w:tcW w:w="654" w:type="dxa"/>
            <w:tcBorders>
              <w:top w:val="nil"/>
              <w:left w:val="nil"/>
              <w:bottom w:val="nil"/>
              <w:right w:val="nil"/>
            </w:tcBorders>
          </w:tcPr>
          <w:p>
            <w:pPr>
              <w:pStyle w:val="TableParagraph"/>
              <w:spacing w:before="16"/>
              <w:ind w:right="86"/>
              <w:rPr>
                <w:sz w:val="16"/>
              </w:rPr>
            </w:pPr>
            <w:r>
              <w:rPr>
                <w:w w:val="95"/>
                <w:sz w:val="16"/>
              </w:rPr>
              <w:t>90.4</w:t>
            </w:r>
          </w:p>
        </w:tc>
        <w:tc>
          <w:tcPr>
            <w:tcW w:w="451" w:type="dxa"/>
            <w:tcBorders>
              <w:top w:val="nil"/>
              <w:left w:val="nil"/>
              <w:bottom w:val="nil"/>
              <w:right w:val="nil"/>
            </w:tcBorders>
          </w:tcPr>
          <w:p>
            <w:pPr>
              <w:pStyle w:val="TableParagraph"/>
              <w:spacing w:before="16"/>
              <w:ind w:right="113"/>
              <w:rPr>
                <w:sz w:val="16"/>
              </w:rPr>
            </w:pPr>
            <w:r>
              <w:rPr>
                <w:w w:val="95"/>
                <w:sz w:val="16"/>
              </w:rPr>
              <w:t>0.1</w:t>
            </w:r>
          </w:p>
        </w:tc>
        <w:tc>
          <w:tcPr>
            <w:tcW w:w="521" w:type="dxa"/>
            <w:tcBorders>
              <w:top w:val="nil"/>
              <w:left w:val="nil"/>
              <w:bottom w:val="nil"/>
            </w:tcBorders>
          </w:tcPr>
          <w:p>
            <w:pPr>
              <w:pStyle w:val="TableParagraph"/>
              <w:spacing w:before="16"/>
              <w:ind w:right="60"/>
              <w:rPr>
                <w:sz w:val="16"/>
              </w:rPr>
            </w:pPr>
            <w:r>
              <w:rPr>
                <w:w w:val="95"/>
                <w:sz w:val="16"/>
              </w:rPr>
              <w:t>100</w:t>
            </w:r>
          </w:p>
        </w:tc>
        <w:tc>
          <w:tcPr>
            <w:tcW w:w="559" w:type="dxa"/>
            <w:tcBorders>
              <w:top w:val="nil"/>
              <w:bottom w:val="nil"/>
              <w:right w:val="nil"/>
            </w:tcBorders>
          </w:tcPr>
          <w:p>
            <w:pPr>
              <w:pStyle w:val="TableParagraph"/>
              <w:spacing w:before="16"/>
              <w:ind w:left="67"/>
              <w:jc w:val="left"/>
              <w:rPr>
                <w:sz w:val="16"/>
              </w:rPr>
            </w:pPr>
            <w:r>
              <w:rPr>
                <w:sz w:val="16"/>
              </w:rPr>
              <w:t>2007</w:t>
            </w:r>
          </w:p>
        </w:tc>
        <w:tc>
          <w:tcPr>
            <w:tcW w:w="950" w:type="dxa"/>
            <w:tcBorders>
              <w:top w:val="nil"/>
              <w:left w:val="nil"/>
              <w:bottom w:val="nil"/>
              <w:right w:val="nil"/>
            </w:tcBorders>
          </w:tcPr>
          <w:p>
            <w:pPr>
              <w:pStyle w:val="TableParagraph"/>
              <w:spacing w:before="16"/>
              <w:ind w:right="158"/>
              <w:rPr>
                <w:sz w:val="16"/>
              </w:rPr>
            </w:pPr>
            <w:r>
              <w:rPr>
                <w:w w:val="95"/>
                <w:sz w:val="16"/>
              </w:rPr>
              <w:t>1.8</w:t>
            </w:r>
          </w:p>
        </w:tc>
        <w:tc>
          <w:tcPr>
            <w:tcW w:w="782" w:type="dxa"/>
            <w:tcBorders>
              <w:top w:val="nil"/>
              <w:left w:val="nil"/>
              <w:bottom w:val="nil"/>
              <w:right w:val="nil"/>
            </w:tcBorders>
          </w:tcPr>
          <w:p>
            <w:pPr>
              <w:pStyle w:val="TableParagraph"/>
              <w:spacing w:before="16"/>
              <w:ind w:right="90"/>
              <w:rPr>
                <w:sz w:val="16"/>
              </w:rPr>
            </w:pPr>
            <w:r>
              <w:rPr>
                <w:w w:val="95"/>
                <w:sz w:val="16"/>
              </w:rPr>
              <w:t>98.2</w:t>
            </w:r>
          </w:p>
        </w:tc>
        <w:tc>
          <w:tcPr>
            <w:tcW w:w="447" w:type="dxa"/>
            <w:tcBorders>
              <w:top w:val="nil"/>
              <w:left w:val="nil"/>
              <w:bottom w:val="nil"/>
              <w:right w:val="nil"/>
            </w:tcBorders>
          </w:tcPr>
          <w:p>
            <w:pPr>
              <w:pStyle w:val="TableParagraph"/>
              <w:spacing w:before="16"/>
              <w:ind w:right="114"/>
              <w:rPr>
                <w:sz w:val="16"/>
              </w:rPr>
            </w:pPr>
            <w:r>
              <w:rPr>
                <w:w w:val="99"/>
                <w:sz w:val="16"/>
              </w:rPr>
              <w:t>0</w:t>
            </w:r>
          </w:p>
        </w:tc>
        <w:tc>
          <w:tcPr>
            <w:tcW w:w="521" w:type="dxa"/>
            <w:tcBorders>
              <w:top w:val="nil"/>
              <w:left w:val="nil"/>
              <w:bottom w:val="nil"/>
              <w:right w:val="nil"/>
            </w:tcBorders>
          </w:tcPr>
          <w:p>
            <w:pPr>
              <w:pStyle w:val="TableParagraph"/>
              <w:spacing w:before="16"/>
              <w:ind w:left="193" w:right="47"/>
              <w:jc w:val="center"/>
              <w:rPr>
                <w:sz w:val="16"/>
              </w:rPr>
            </w:pPr>
            <w:r>
              <w:rPr>
                <w:sz w:val="16"/>
              </w:rPr>
              <w:t>100</w:t>
            </w:r>
          </w:p>
        </w:tc>
      </w:tr>
      <w:tr>
        <w:trPr>
          <w:trHeight w:val="264" w:hRule="exact"/>
        </w:trPr>
        <w:tc>
          <w:tcPr>
            <w:tcW w:w="495" w:type="dxa"/>
            <w:tcBorders>
              <w:top w:val="nil"/>
              <w:left w:val="nil"/>
              <w:bottom w:val="nil"/>
              <w:right w:val="nil"/>
            </w:tcBorders>
          </w:tcPr>
          <w:p>
            <w:pPr>
              <w:pStyle w:val="TableParagraph"/>
              <w:spacing w:before="16"/>
              <w:ind w:left="52" w:right="81"/>
              <w:jc w:val="center"/>
              <w:rPr>
                <w:sz w:val="16"/>
              </w:rPr>
            </w:pPr>
            <w:r>
              <w:rPr>
                <w:sz w:val="16"/>
              </w:rPr>
              <w:t>2008</w:t>
            </w:r>
          </w:p>
        </w:tc>
        <w:tc>
          <w:tcPr>
            <w:tcW w:w="1012" w:type="dxa"/>
            <w:tcBorders>
              <w:top w:val="nil"/>
              <w:left w:val="nil"/>
              <w:bottom w:val="nil"/>
              <w:right w:val="nil"/>
            </w:tcBorders>
          </w:tcPr>
          <w:p>
            <w:pPr>
              <w:pStyle w:val="TableParagraph"/>
              <w:spacing w:before="16"/>
              <w:ind w:right="284"/>
              <w:rPr>
                <w:sz w:val="16"/>
              </w:rPr>
            </w:pPr>
            <w:r>
              <w:rPr>
                <w:w w:val="95"/>
                <w:sz w:val="16"/>
              </w:rPr>
              <w:t>6.6</w:t>
            </w:r>
          </w:p>
        </w:tc>
        <w:tc>
          <w:tcPr>
            <w:tcW w:w="654" w:type="dxa"/>
            <w:tcBorders>
              <w:top w:val="nil"/>
              <w:left w:val="nil"/>
              <w:bottom w:val="nil"/>
              <w:right w:val="nil"/>
            </w:tcBorders>
          </w:tcPr>
          <w:p>
            <w:pPr>
              <w:pStyle w:val="TableParagraph"/>
              <w:spacing w:before="16"/>
              <w:ind w:right="86"/>
              <w:rPr>
                <w:sz w:val="16"/>
              </w:rPr>
            </w:pPr>
            <w:r>
              <w:rPr>
                <w:w w:val="95"/>
                <w:sz w:val="16"/>
              </w:rPr>
              <w:t>92.8</w:t>
            </w:r>
          </w:p>
        </w:tc>
        <w:tc>
          <w:tcPr>
            <w:tcW w:w="451" w:type="dxa"/>
            <w:tcBorders>
              <w:top w:val="nil"/>
              <w:left w:val="nil"/>
              <w:bottom w:val="nil"/>
              <w:right w:val="nil"/>
            </w:tcBorders>
          </w:tcPr>
          <w:p>
            <w:pPr>
              <w:pStyle w:val="TableParagraph"/>
              <w:spacing w:before="16"/>
              <w:ind w:right="113"/>
              <w:rPr>
                <w:sz w:val="16"/>
              </w:rPr>
            </w:pPr>
            <w:r>
              <w:rPr>
                <w:w w:val="95"/>
                <w:sz w:val="16"/>
              </w:rPr>
              <w:t>0.7</w:t>
            </w:r>
          </w:p>
        </w:tc>
        <w:tc>
          <w:tcPr>
            <w:tcW w:w="521" w:type="dxa"/>
            <w:tcBorders>
              <w:top w:val="nil"/>
              <w:left w:val="nil"/>
              <w:bottom w:val="nil"/>
            </w:tcBorders>
          </w:tcPr>
          <w:p>
            <w:pPr>
              <w:pStyle w:val="TableParagraph"/>
              <w:spacing w:before="16"/>
              <w:ind w:right="60"/>
              <w:rPr>
                <w:sz w:val="16"/>
              </w:rPr>
            </w:pPr>
            <w:r>
              <w:rPr>
                <w:w w:val="95"/>
                <w:sz w:val="16"/>
              </w:rPr>
              <w:t>100</w:t>
            </w:r>
          </w:p>
        </w:tc>
        <w:tc>
          <w:tcPr>
            <w:tcW w:w="559" w:type="dxa"/>
            <w:tcBorders>
              <w:top w:val="nil"/>
              <w:bottom w:val="nil"/>
              <w:right w:val="nil"/>
            </w:tcBorders>
          </w:tcPr>
          <w:p>
            <w:pPr>
              <w:pStyle w:val="TableParagraph"/>
              <w:spacing w:before="16"/>
              <w:ind w:left="67"/>
              <w:jc w:val="left"/>
              <w:rPr>
                <w:sz w:val="16"/>
              </w:rPr>
            </w:pPr>
            <w:r>
              <w:rPr>
                <w:sz w:val="16"/>
              </w:rPr>
              <w:t>2008</w:t>
            </w:r>
          </w:p>
        </w:tc>
        <w:tc>
          <w:tcPr>
            <w:tcW w:w="950" w:type="dxa"/>
            <w:tcBorders>
              <w:top w:val="nil"/>
              <w:left w:val="nil"/>
              <w:bottom w:val="nil"/>
              <w:right w:val="nil"/>
            </w:tcBorders>
          </w:tcPr>
          <w:p>
            <w:pPr>
              <w:pStyle w:val="TableParagraph"/>
              <w:spacing w:before="16"/>
              <w:ind w:right="158"/>
              <w:rPr>
                <w:sz w:val="16"/>
              </w:rPr>
            </w:pPr>
            <w:r>
              <w:rPr>
                <w:w w:val="95"/>
                <w:sz w:val="16"/>
              </w:rPr>
              <w:t>0.5</w:t>
            </w:r>
          </w:p>
        </w:tc>
        <w:tc>
          <w:tcPr>
            <w:tcW w:w="782" w:type="dxa"/>
            <w:tcBorders>
              <w:top w:val="nil"/>
              <w:left w:val="nil"/>
              <w:bottom w:val="nil"/>
              <w:right w:val="nil"/>
            </w:tcBorders>
          </w:tcPr>
          <w:p>
            <w:pPr>
              <w:pStyle w:val="TableParagraph"/>
              <w:spacing w:before="16"/>
              <w:ind w:right="90"/>
              <w:rPr>
                <w:sz w:val="16"/>
              </w:rPr>
            </w:pPr>
            <w:r>
              <w:rPr>
                <w:w w:val="95"/>
                <w:sz w:val="16"/>
              </w:rPr>
              <w:t>99.5</w:t>
            </w:r>
          </w:p>
        </w:tc>
        <w:tc>
          <w:tcPr>
            <w:tcW w:w="447" w:type="dxa"/>
            <w:tcBorders>
              <w:top w:val="nil"/>
              <w:left w:val="nil"/>
              <w:bottom w:val="nil"/>
              <w:right w:val="nil"/>
            </w:tcBorders>
          </w:tcPr>
          <w:p>
            <w:pPr>
              <w:pStyle w:val="TableParagraph"/>
              <w:spacing w:before="16"/>
              <w:ind w:right="114"/>
              <w:rPr>
                <w:sz w:val="16"/>
              </w:rPr>
            </w:pPr>
            <w:r>
              <w:rPr>
                <w:w w:val="99"/>
                <w:sz w:val="16"/>
              </w:rPr>
              <w:t>0</w:t>
            </w:r>
          </w:p>
        </w:tc>
        <w:tc>
          <w:tcPr>
            <w:tcW w:w="521" w:type="dxa"/>
            <w:tcBorders>
              <w:top w:val="nil"/>
              <w:left w:val="nil"/>
              <w:bottom w:val="nil"/>
              <w:right w:val="nil"/>
            </w:tcBorders>
          </w:tcPr>
          <w:p>
            <w:pPr>
              <w:pStyle w:val="TableParagraph"/>
              <w:spacing w:before="16"/>
              <w:ind w:left="193" w:right="47"/>
              <w:jc w:val="center"/>
              <w:rPr>
                <w:sz w:val="16"/>
              </w:rPr>
            </w:pPr>
            <w:r>
              <w:rPr>
                <w:sz w:val="16"/>
              </w:rPr>
              <w:t>100</w:t>
            </w:r>
          </w:p>
        </w:tc>
      </w:tr>
      <w:tr>
        <w:trPr>
          <w:trHeight w:val="240" w:hRule="exact"/>
        </w:trPr>
        <w:tc>
          <w:tcPr>
            <w:tcW w:w="495" w:type="dxa"/>
            <w:tcBorders>
              <w:top w:val="nil"/>
              <w:left w:val="nil"/>
              <w:bottom w:val="double" w:sz="6" w:space="0" w:color="000000"/>
              <w:right w:val="nil"/>
            </w:tcBorders>
          </w:tcPr>
          <w:p>
            <w:pPr>
              <w:pStyle w:val="TableParagraph"/>
              <w:spacing w:before="26"/>
              <w:ind w:left="52" w:right="81"/>
              <w:jc w:val="center"/>
              <w:rPr>
                <w:sz w:val="16"/>
              </w:rPr>
            </w:pPr>
            <w:r>
              <w:rPr>
                <w:sz w:val="16"/>
              </w:rPr>
              <w:t>2009</w:t>
            </w:r>
          </w:p>
        </w:tc>
        <w:tc>
          <w:tcPr>
            <w:tcW w:w="1012" w:type="dxa"/>
            <w:tcBorders>
              <w:top w:val="nil"/>
              <w:left w:val="nil"/>
              <w:bottom w:val="double" w:sz="6" w:space="0" w:color="000000"/>
              <w:right w:val="nil"/>
            </w:tcBorders>
          </w:tcPr>
          <w:p>
            <w:pPr>
              <w:pStyle w:val="TableParagraph"/>
              <w:spacing w:before="26"/>
              <w:ind w:right="284"/>
              <w:rPr>
                <w:sz w:val="16"/>
              </w:rPr>
            </w:pPr>
            <w:r>
              <w:rPr>
                <w:w w:val="95"/>
                <w:sz w:val="16"/>
              </w:rPr>
              <w:t>4.9</w:t>
            </w:r>
          </w:p>
        </w:tc>
        <w:tc>
          <w:tcPr>
            <w:tcW w:w="654" w:type="dxa"/>
            <w:tcBorders>
              <w:top w:val="nil"/>
              <w:left w:val="nil"/>
              <w:bottom w:val="double" w:sz="6" w:space="0" w:color="000000"/>
              <w:right w:val="nil"/>
            </w:tcBorders>
          </w:tcPr>
          <w:p>
            <w:pPr>
              <w:pStyle w:val="TableParagraph"/>
              <w:spacing w:before="26"/>
              <w:ind w:right="86"/>
              <w:rPr>
                <w:sz w:val="16"/>
              </w:rPr>
            </w:pPr>
            <w:r>
              <w:rPr>
                <w:w w:val="95"/>
                <w:sz w:val="16"/>
              </w:rPr>
              <w:t>95.1</w:t>
            </w:r>
          </w:p>
        </w:tc>
        <w:tc>
          <w:tcPr>
            <w:tcW w:w="451" w:type="dxa"/>
            <w:tcBorders>
              <w:top w:val="nil"/>
              <w:left w:val="nil"/>
              <w:bottom w:val="double" w:sz="6" w:space="0" w:color="000000"/>
              <w:right w:val="nil"/>
            </w:tcBorders>
          </w:tcPr>
          <w:p>
            <w:pPr>
              <w:pStyle w:val="TableParagraph"/>
              <w:spacing w:before="26"/>
              <w:ind w:right="113"/>
              <w:rPr>
                <w:sz w:val="16"/>
              </w:rPr>
            </w:pPr>
            <w:r>
              <w:rPr>
                <w:w w:val="95"/>
                <w:sz w:val="16"/>
              </w:rPr>
              <w:t>0.1</w:t>
            </w:r>
          </w:p>
        </w:tc>
        <w:tc>
          <w:tcPr>
            <w:tcW w:w="521" w:type="dxa"/>
            <w:tcBorders>
              <w:top w:val="nil"/>
              <w:left w:val="nil"/>
              <w:bottom w:val="double" w:sz="6" w:space="0" w:color="000000"/>
            </w:tcBorders>
          </w:tcPr>
          <w:p>
            <w:pPr>
              <w:pStyle w:val="TableParagraph"/>
              <w:spacing w:before="26"/>
              <w:ind w:right="60"/>
              <w:rPr>
                <w:sz w:val="16"/>
              </w:rPr>
            </w:pPr>
            <w:r>
              <w:rPr>
                <w:w w:val="95"/>
                <w:sz w:val="16"/>
              </w:rPr>
              <w:t>100</w:t>
            </w:r>
          </w:p>
        </w:tc>
        <w:tc>
          <w:tcPr>
            <w:tcW w:w="559" w:type="dxa"/>
            <w:tcBorders>
              <w:top w:val="nil"/>
              <w:bottom w:val="double" w:sz="6" w:space="0" w:color="000000"/>
              <w:right w:val="nil"/>
            </w:tcBorders>
          </w:tcPr>
          <w:p>
            <w:pPr>
              <w:pStyle w:val="TableParagraph"/>
              <w:spacing w:before="26"/>
              <w:ind w:left="67"/>
              <w:jc w:val="left"/>
              <w:rPr>
                <w:sz w:val="16"/>
              </w:rPr>
            </w:pPr>
            <w:r>
              <w:rPr>
                <w:sz w:val="16"/>
              </w:rPr>
              <w:t>2009</w:t>
            </w:r>
          </w:p>
        </w:tc>
        <w:tc>
          <w:tcPr>
            <w:tcW w:w="950" w:type="dxa"/>
            <w:tcBorders>
              <w:top w:val="nil"/>
              <w:left w:val="nil"/>
              <w:bottom w:val="double" w:sz="6" w:space="0" w:color="000000"/>
              <w:right w:val="nil"/>
            </w:tcBorders>
          </w:tcPr>
          <w:p>
            <w:pPr>
              <w:pStyle w:val="TableParagraph"/>
              <w:spacing w:before="26"/>
              <w:ind w:right="159"/>
              <w:rPr>
                <w:sz w:val="16"/>
              </w:rPr>
            </w:pPr>
            <w:r>
              <w:rPr>
                <w:w w:val="95"/>
                <w:sz w:val="16"/>
              </w:rPr>
              <w:t>5.2</w:t>
            </w:r>
          </w:p>
        </w:tc>
        <w:tc>
          <w:tcPr>
            <w:tcW w:w="782" w:type="dxa"/>
            <w:tcBorders>
              <w:top w:val="nil"/>
              <w:left w:val="nil"/>
              <w:bottom w:val="double" w:sz="6" w:space="0" w:color="000000"/>
              <w:right w:val="nil"/>
            </w:tcBorders>
          </w:tcPr>
          <w:p>
            <w:pPr>
              <w:pStyle w:val="TableParagraph"/>
              <w:spacing w:before="26"/>
              <w:ind w:right="90"/>
              <w:rPr>
                <w:sz w:val="16"/>
              </w:rPr>
            </w:pPr>
            <w:r>
              <w:rPr>
                <w:w w:val="95"/>
                <w:sz w:val="16"/>
              </w:rPr>
              <w:t>94.8</w:t>
            </w:r>
          </w:p>
        </w:tc>
        <w:tc>
          <w:tcPr>
            <w:tcW w:w="447" w:type="dxa"/>
            <w:tcBorders>
              <w:top w:val="nil"/>
              <w:left w:val="nil"/>
              <w:bottom w:val="double" w:sz="6" w:space="0" w:color="000000"/>
              <w:right w:val="nil"/>
            </w:tcBorders>
          </w:tcPr>
          <w:p>
            <w:pPr>
              <w:pStyle w:val="TableParagraph"/>
              <w:spacing w:before="26"/>
              <w:ind w:right="114"/>
              <w:rPr>
                <w:sz w:val="16"/>
              </w:rPr>
            </w:pPr>
            <w:r>
              <w:rPr>
                <w:w w:val="99"/>
                <w:sz w:val="16"/>
              </w:rPr>
              <w:t>0</w:t>
            </w:r>
          </w:p>
        </w:tc>
        <w:tc>
          <w:tcPr>
            <w:tcW w:w="521" w:type="dxa"/>
            <w:tcBorders>
              <w:top w:val="nil"/>
              <w:left w:val="nil"/>
              <w:bottom w:val="double" w:sz="6" w:space="0" w:color="000000"/>
              <w:right w:val="nil"/>
            </w:tcBorders>
          </w:tcPr>
          <w:p>
            <w:pPr>
              <w:pStyle w:val="TableParagraph"/>
              <w:spacing w:before="26"/>
              <w:ind w:left="193" w:right="47"/>
              <w:jc w:val="center"/>
              <w:rPr>
                <w:sz w:val="16"/>
              </w:rPr>
            </w:pPr>
            <w:r>
              <w:rPr>
                <w:sz w:val="16"/>
              </w:rPr>
              <w:t>100</w:t>
            </w:r>
          </w:p>
        </w:tc>
      </w:tr>
    </w:tbl>
    <w:p>
      <w:pPr>
        <w:spacing w:line="174" w:lineRule="exact" w:before="0"/>
        <w:ind w:left="315" w:right="0" w:firstLine="0"/>
        <w:jc w:val="left"/>
        <w:rPr>
          <w:sz w:val="16"/>
        </w:rPr>
      </w:pPr>
      <w:r>
        <w:rPr>
          <w:sz w:val="16"/>
        </w:rPr>
        <w:t>Fuente: Encuesta sobre Migración en la Frontera Norte de México (EMIF, 1999-2009).</w:t>
      </w:r>
    </w:p>
    <w:p>
      <w:pPr>
        <w:spacing w:before="3"/>
        <w:ind w:left="315" w:right="657" w:firstLine="0"/>
        <w:jc w:val="left"/>
        <w:rPr>
          <w:sz w:val="16"/>
        </w:rPr>
      </w:pPr>
      <w:r>
        <w:rPr>
          <w:sz w:val="16"/>
        </w:rPr>
        <w:t>El Colegio de la Frontera Norte, Consejo Nacional de Población y Secretaría del Trabajo y Previsión Social.</w:t>
      </w:r>
    </w:p>
    <w:p>
      <w:pPr>
        <w:spacing w:line="182" w:lineRule="exact" w:before="0"/>
        <w:ind w:left="315" w:right="0" w:firstLine="0"/>
        <w:jc w:val="left"/>
        <w:rPr>
          <w:sz w:val="16"/>
        </w:rPr>
      </w:pPr>
      <w:r>
        <w:rPr>
          <w:sz w:val="16"/>
        </w:rPr>
        <w:t>Nota: NE, No especificado; S/D, Sin datos.</w:t>
      </w:r>
    </w:p>
    <w:p>
      <w:pPr>
        <w:spacing w:after="0" w:line="182" w:lineRule="exact"/>
        <w:jc w:val="left"/>
        <w:rPr>
          <w:sz w:val="16"/>
        </w:rPr>
        <w:sectPr>
          <w:pgSz w:w="9360" w:h="13040"/>
          <w:pgMar w:header="0" w:footer="496" w:top="740" w:bottom="680" w:left="1300" w:right="1260"/>
        </w:sectPr>
      </w:pPr>
    </w:p>
    <w:p>
      <w:pPr>
        <w:tabs>
          <w:tab w:pos="5430" w:val="left" w:leader="none"/>
        </w:tabs>
        <w:spacing w:before="48"/>
        <w:ind w:left="0" w:right="115" w:firstLine="0"/>
        <w:jc w:val="righ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115" w:firstLine="283"/>
        <w:jc w:val="both"/>
      </w:pPr>
      <w:r>
        <w:rPr>
          <w:color w:val="231F20"/>
        </w:rPr>
        <w:t>La escolaridad promedio tiene una diferencia de casi dos grados apro- bados, ya que entre los indígenas es de cuatro años, mientras que entre  los no indígenas asciende a 5.5. Aunque la mayoría haya declarado no ser analfabeta los hablantes de alguna lengua autóctona presentan una baja escolaridad. Esto se puede corroborar con el indicador de nivel de escola- ridad. Predominan aquellos que tienen primaria incompleta y secundaria (sus porcentajes, 100 por ciento con primaria en 2000 y rebasa 95 por ciento</w:t>
      </w:r>
      <w:r>
        <w:rPr>
          <w:color w:val="231F20"/>
          <w:spacing w:val="-8"/>
        </w:rPr>
        <w:t> </w:t>
      </w:r>
      <w:r>
        <w:rPr>
          <w:color w:val="231F20"/>
        </w:rPr>
        <w:t>en</w:t>
      </w:r>
      <w:r>
        <w:rPr>
          <w:color w:val="231F20"/>
          <w:spacing w:val="-8"/>
        </w:rPr>
        <w:t> </w:t>
      </w:r>
      <w:r>
        <w:rPr>
          <w:color w:val="231F20"/>
        </w:rPr>
        <w:t>2009</w:t>
      </w:r>
      <w:r>
        <w:rPr>
          <w:color w:val="231F20"/>
          <w:spacing w:val="-8"/>
        </w:rPr>
        <w:t> </w:t>
      </w:r>
      <w:r>
        <w:rPr>
          <w:color w:val="231F20"/>
        </w:rPr>
        <w:t>quienes</w:t>
      </w:r>
      <w:r>
        <w:rPr>
          <w:color w:val="231F20"/>
          <w:spacing w:val="-8"/>
        </w:rPr>
        <w:t> </w:t>
      </w:r>
      <w:r>
        <w:rPr>
          <w:color w:val="231F20"/>
        </w:rPr>
        <w:t>con</w:t>
      </w:r>
      <w:r>
        <w:rPr>
          <w:color w:val="231F20"/>
          <w:spacing w:val="-8"/>
        </w:rPr>
        <w:t> </w:t>
      </w:r>
      <w:r>
        <w:rPr>
          <w:color w:val="231F20"/>
        </w:rPr>
        <w:t>primaria</w:t>
      </w:r>
      <w:r>
        <w:rPr>
          <w:color w:val="231F20"/>
          <w:spacing w:val="-8"/>
        </w:rPr>
        <w:t> </w:t>
      </w:r>
      <w:r>
        <w:rPr>
          <w:color w:val="231F20"/>
        </w:rPr>
        <w:t>y</w:t>
      </w:r>
      <w:r>
        <w:rPr>
          <w:color w:val="231F20"/>
          <w:spacing w:val="-8"/>
        </w:rPr>
        <w:t> </w:t>
      </w:r>
      <w:r>
        <w:rPr>
          <w:color w:val="231F20"/>
        </w:rPr>
        <w:t>secundaria).</w:t>
      </w:r>
      <w:r>
        <w:rPr>
          <w:color w:val="231F20"/>
          <w:spacing w:val="-8"/>
        </w:rPr>
        <w:t> </w:t>
      </w:r>
      <w:r>
        <w:rPr>
          <w:color w:val="231F20"/>
        </w:rPr>
        <w:t>En</w:t>
      </w:r>
      <w:r>
        <w:rPr>
          <w:color w:val="231F20"/>
          <w:spacing w:val="-8"/>
        </w:rPr>
        <w:t> </w:t>
      </w:r>
      <w:r>
        <w:rPr>
          <w:color w:val="231F20"/>
        </w:rPr>
        <w:t>cambio,</w:t>
      </w:r>
      <w:r>
        <w:rPr>
          <w:color w:val="231F20"/>
          <w:spacing w:val="-8"/>
        </w:rPr>
        <w:t> </w:t>
      </w:r>
      <w:r>
        <w:rPr>
          <w:color w:val="231F20"/>
        </w:rPr>
        <w:t>la</w:t>
      </w:r>
      <w:r>
        <w:rPr>
          <w:color w:val="231F20"/>
          <w:spacing w:val="-8"/>
        </w:rPr>
        <w:t> </w:t>
      </w:r>
      <w:r>
        <w:rPr>
          <w:color w:val="231F20"/>
        </w:rPr>
        <w:t>situación es más favorable para los no indígenas, puesto que los que asistieron a la primaria</w:t>
      </w:r>
      <w:r>
        <w:rPr>
          <w:color w:val="231F20"/>
          <w:spacing w:val="-6"/>
        </w:rPr>
        <w:t> </w:t>
      </w:r>
      <w:r>
        <w:rPr>
          <w:color w:val="231F20"/>
        </w:rPr>
        <w:t>y</w:t>
      </w:r>
      <w:r>
        <w:rPr>
          <w:color w:val="231F20"/>
          <w:spacing w:val="-6"/>
        </w:rPr>
        <w:t> </w:t>
      </w:r>
      <w:r>
        <w:rPr>
          <w:color w:val="231F20"/>
        </w:rPr>
        <w:t>escuela</w:t>
      </w:r>
      <w:r>
        <w:rPr>
          <w:color w:val="231F20"/>
          <w:spacing w:val="-6"/>
        </w:rPr>
        <w:t> </w:t>
      </w:r>
      <w:r>
        <w:rPr>
          <w:color w:val="231F20"/>
        </w:rPr>
        <w:t>secundaria</w:t>
      </w:r>
      <w:r>
        <w:rPr>
          <w:color w:val="231F20"/>
          <w:spacing w:val="-6"/>
        </w:rPr>
        <w:t> </w:t>
      </w:r>
      <w:r>
        <w:rPr>
          <w:color w:val="231F20"/>
        </w:rPr>
        <w:t>son</w:t>
      </w:r>
      <w:r>
        <w:rPr>
          <w:color w:val="231F20"/>
          <w:spacing w:val="-6"/>
        </w:rPr>
        <w:t> </w:t>
      </w:r>
      <w:r>
        <w:rPr>
          <w:color w:val="231F20"/>
        </w:rPr>
        <w:t>más</w:t>
      </w:r>
      <w:r>
        <w:rPr>
          <w:color w:val="231F20"/>
          <w:spacing w:val="-6"/>
        </w:rPr>
        <w:t> </w:t>
      </w:r>
      <w:r>
        <w:rPr>
          <w:color w:val="231F20"/>
        </w:rPr>
        <w:t>de</w:t>
      </w:r>
      <w:r>
        <w:rPr>
          <w:color w:val="231F20"/>
          <w:spacing w:val="-6"/>
        </w:rPr>
        <w:t> </w:t>
      </w:r>
      <w:r>
        <w:rPr>
          <w:color w:val="231F20"/>
        </w:rPr>
        <w:t>50</w:t>
      </w:r>
      <w:r>
        <w:rPr>
          <w:color w:val="231F20"/>
          <w:spacing w:val="-6"/>
        </w:rPr>
        <w:t> </w:t>
      </w:r>
      <w:r>
        <w:rPr>
          <w:color w:val="231F20"/>
        </w:rPr>
        <w:t>por</w:t>
      </w:r>
      <w:r>
        <w:rPr>
          <w:color w:val="231F20"/>
          <w:spacing w:val="-6"/>
        </w:rPr>
        <w:t> </w:t>
      </w:r>
      <w:r>
        <w:rPr>
          <w:color w:val="231F20"/>
        </w:rPr>
        <w:t>ciento</w:t>
      </w:r>
      <w:r>
        <w:rPr>
          <w:color w:val="231F20"/>
          <w:spacing w:val="-6"/>
        </w:rPr>
        <w:t> </w:t>
      </w:r>
      <w:r>
        <w:rPr>
          <w:color w:val="231F20"/>
        </w:rPr>
        <w:t>(para</w:t>
      </w:r>
      <w:r>
        <w:rPr>
          <w:color w:val="231F20"/>
          <w:spacing w:val="-6"/>
        </w:rPr>
        <w:t> </w:t>
      </w:r>
      <w:r>
        <w:rPr>
          <w:color w:val="231F20"/>
        </w:rPr>
        <w:t>2000</w:t>
      </w:r>
      <w:r>
        <w:rPr>
          <w:color w:val="231F20"/>
          <w:spacing w:val="-6"/>
        </w:rPr>
        <w:t> </w:t>
      </w:r>
      <w:r>
        <w:rPr>
          <w:color w:val="231F20"/>
        </w:rPr>
        <w:t>y</w:t>
      </w:r>
      <w:r>
        <w:rPr>
          <w:color w:val="231F20"/>
          <w:spacing w:val="-6"/>
        </w:rPr>
        <w:t> </w:t>
      </w:r>
      <w:r>
        <w:rPr>
          <w:color w:val="231F20"/>
        </w:rPr>
        <w:t>2009) y</w:t>
      </w:r>
      <w:r>
        <w:rPr>
          <w:color w:val="231F20"/>
          <w:spacing w:val="-4"/>
        </w:rPr>
        <w:t> </w:t>
      </w:r>
      <w:r>
        <w:rPr>
          <w:color w:val="231F20"/>
        </w:rPr>
        <w:t>el</w:t>
      </w:r>
      <w:r>
        <w:rPr>
          <w:color w:val="231F20"/>
          <w:spacing w:val="-5"/>
        </w:rPr>
        <w:t> </w:t>
      </w:r>
      <w:r>
        <w:rPr>
          <w:color w:val="231F20"/>
        </w:rPr>
        <w:t>resto</w:t>
      </w:r>
      <w:r>
        <w:rPr>
          <w:color w:val="231F20"/>
          <w:spacing w:val="-4"/>
        </w:rPr>
        <w:t> </w:t>
      </w:r>
      <w:r>
        <w:rPr>
          <w:color w:val="231F20"/>
        </w:rPr>
        <w:t>fueron</w:t>
      </w:r>
      <w:r>
        <w:rPr>
          <w:color w:val="231F20"/>
          <w:spacing w:val="-4"/>
        </w:rPr>
        <w:t> </w:t>
      </w:r>
      <w:r>
        <w:rPr>
          <w:color w:val="231F20"/>
        </w:rPr>
        <w:t>a</w:t>
      </w:r>
      <w:r>
        <w:rPr>
          <w:color w:val="231F20"/>
          <w:spacing w:val="-4"/>
        </w:rPr>
        <w:t> </w:t>
      </w:r>
      <w:r>
        <w:rPr>
          <w:color w:val="231F20"/>
        </w:rPr>
        <w:t>escuelas</w:t>
      </w:r>
      <w:r>
        <w:rPr>
          <w:color w:val="231F20"/>
          <w:spacing w:val="-5"/>
        </w:rPr>
        <w:t> </w:t>
      </w:r>
      <w:r>
        <w:rPr>
          <w:color w:val="231F20"/>
        </w:rPr>
        <w:t>de</w:t>
      </w:r>
      <w:r>
        <w:rPr>
          <w:color w:val="231F20"/>
          <w:spacing w:val="-4"/>
        </w:rPr>
        <w:t> </w:t>
      </w:r>
      <w:r>
        <w:rPr>
          <w:color w:val="231F20"/>
        </w:rPr>
        <w:t>nivel</w:t>
      </w:r>
      <w:r>
        <w:rPr>
          <w:color w:val="231F20"/>
          <w:spacing w:val="-5"/>
        </w:rPr>
        <w:t> </w:t>
      </w:r>
      <w:r>
        <w:rPr>
          <w:color w:val="231F20"/>
        </w:rPr>
        <w:t>medio-superior</w:t>
      </w:r>
      <w:r>
        <w:rPr>
          <w:color w:val="231F20"/>
          <w:spacing w:val="-5"/>
        </w:rPr>
        <w:t> </w:t>
      </w:r>
      <w:r>
        <w:rPr>
          <w:color w:val="231F20"/>
        </w:rPr>
        <w:t>o</w:t>
      </w:r>
      <w:r>
        <w:rPr>
          <w:color w:val="231F20"/>
          <w:spacing w:val="-4"/>
        </w:rPr>
        <w:t> </w:t>
      </w:r>
      <w:r>
        <w:rPr>
          <w:color w:val="231F20"/>
          <w:spacing w:val="-3"/>
        </w:rPr>
        <w:t>superior.</w:t>
      </w:r>
      <w:r>
        <w:rPr>
          <w:color w:val="231F20"/>
          <w:spacing w:val="-4"/>
        </w:rPr>
        <w:t> </w:t>
      </w:r>
      <w:r>
        <w:rPr>
          <w:color w:val="231F20"/>
        </w:rPr>
        <w:t>Estos</w:t>
      </w:r>
      <w:r>
        <w:rPr>
          <w:color w:val="231F20"/>
          <w:spacing w:val="-5"/>
        </w:rPr>
        <w:t> </w:t>
      </w:r>
      <w:r>
        <w:rPr>
          <w:color w:val="231F20"/>
        </w:rPr>
        <w:t>datos muestran la secular exclusión de la población hablante de lengua indígena de los beneficios del desarrollo (Cuadro</w:t>
      </w:r>
      <w:r>
        <w:rPr>
          <w:color w:val="231F20"/>
          <w:spacing w:val="-12"/>
        </w:rPr>
        <w:t> </w:t>
      </w:r>
      <w:r>
        <w:rPr>
          <w:color w:val="231F20"/>
        </w:rPr>
        <w:t>2a).</w:t>
      </w:r>
    </w:p>
    <w:p>
      <w:pPr>
        <w:pStyle w:val="Heading3"/>
        <w:ind w:right="117"/>
        <w:jc w:val="left"/>
      </w:pPr>
      <w:r>
        <w:rPr>
          <w:color w:val="231F20"/>
        </w:rPr>
        <w:t>Origen, destino y condición de actividad</w:t>
      </w:r>
    </w:p>
    <w:p>
      <w:pPr>
        <w:pStyle w:val="BodyText"/>
        <w:spacing w:line="247" w:lineRule="auto" w:before="172"/>
        <w:ind w:left="71" w:right="115"/>
        <w:jc w:val="right"/>
      </w:pPr>
      <w:r>
        <w:rPr>
          <w:color w:val="231F20"/>
        </w:rPr>
        <w:t>En cuanto a los lugares de origen y destino de los</w:t>
      </w:r>
      <w:r>
        <w:rPr>
          <w:color w:val="231F20"/>
          <w:spacing w:val="10"/>
        </w:rPr>
        <w:t> </w:t>
      </w:r>
      <w:r>
        <w:rPr>
          <w:color w:val="231F20"/>
        </w:rPr>
        <w:t>trabajadores temporales indígenas y no indígenas que se trasladan a las localidades</w:t>
      </w:r>
      <w:r>
        <w:rPr>
          <w:color w:val="231F20"/>
          <w:spacing w:val="5"/>
        </w:rPr>
        <w:t> </w:t>
      </w:r>
      <w:r>
        <w:rPr>
          <w:color w:val="231F20"/>
        </w:rPr>
        <w:t>fronterizas con la intención de cruzar a Estados Unidos para trabajar o buscar</w:t>
      </w:r>
      <w:r>
        <w:rPr>
          <w:color w:val="231F20"/>
          <w:spacing w:val="14"/>
        </w:rPr>
        <w:t> </w:t>
      </w:r>
      <w:r>
        <w:rPr>
          <w:color w:val="231F20"/>
        </w:rPr>
        <w:t>trabajo,</w:t>
      </w:r>
      <w:r>
        <w:rPr>
          <w:color w:val="231F20"/>
          <w:spacing w:val="10"/>
        </w:rPr>
        <w:t> </w:t>
      </w:r>
      <w:r>
        <w:rPr>
          <w:color w:val="231F20"/>
        </w:rPr>
        <w:t>la información del Cuadro 2 destaca para el año 2000 los que proceden</w:t>
      </w:r>
      <w:r>
        <w:rPr>
          <w:color w:val="231F20"/>
          <w:spacing w:val="5"/>
        </w:rPr>
        <w:t> </w:t>
      </w:r>
      <w:r>
        <w:rPr>
          <w:color w:val="231F20"/>
        </w:rPr>
        <w:t>de</w:t>
      </w:r>
      <w:r>
        <w:rPr>
          <w:color w:val="231F20"/>
          <w:spacing w:val="1"/>
        </w:rPr>
        <w:t> </w:t>
      </w:r>
      <w:r>
        <w:rPr>
          <w:color w:val="231F20"/>
        </w:rPr>
        <w:t>la región </w:t>
      </w:r>
      <w:r>
        <w:rPr>
          <w:color w:val="231F20"/>
          <w:spacing w:val="-3"/>
        </w:rPr>
        <w:t>Toluca </w:t>
      </w:r>
      <w:r>
        <w:rPr>
          <w:color w:val="231F20"/>
        </w:rPr>
        <w:t>(94.4 por ciento) y Zumpango (5.6 por ciento) mientras que</w:t>
      </w:r>
      <w:r>
        <w:rPr>
          <w:color w:val="231F20"/>
          <w:w w:val="100"/>
        </w:rPr>
        <w:t> </w:t>
      </w:r>
      <w:r>
        <w:rPr>
          <w:color w:val="231F20"/>
        </w:rPr>
        <w:t>en</w:t>
      </w:r>
      <w:r>
        <w:rPr>
          <w:color w:val="231F20"/>
          <w:spacing w:val="-11"/>
        </w:rPr>
        <w:t> </w:t>
      </w:r>
      <w:r>
        <w:rPr>
          <w:color w:val="231F20"/>
        </w:rPr>
        <w:t>2009,</w:t>
      </w:r>
      <w:r>
        <w:rPr>
          <w:color w:val="231F20"/>
          <w:spacing w:val="-11"/>
        </w:rPr>
        <w:t> </w:t>
      </w:r>
      <w:r>
        <w:rPr>
          <w:color w:val="231F20"/>
        </w:rPr>
        <w:t>sobresalieron</w:t>
      </w:r>
      <w:r>
        <w:rPr>
          <w:color w:val="231F20"/>
          <w:spacing w:val="-11"/>
        </w:rPr>
        <w:t> </w:t>
      </w:r>
      <w:r>
        <w:rPr>
          <w:color w:val="231F20"/>
        </w:rPr>
        <w:t>los</w:t>
      </w:r>
      <w:r>
        <w:rPr>
          <w:color w:val="231F20"/>
          <w:spacing w:val="-11"/>
        </w:rPr>
        <w:t> </w:t>
      </w:r>
      <w:r>
        <w:rPr>
          <w:color w:val="231F20"/>
        </w:rPr>
        <w:t>que</w:t>
      </w:r>
      <w:r>
        <w:rPr>
          <w:color w:val="231F20"/>
          <w:spacing w:val="-11"/>
        </w:rPr>
        <w:t> </w:t>
      </w:r>
      <w:r>
        <w:rPr>
          <w:color w:val="231F20"/>
        </w:rPr>
        <w:t>proceden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regiones</w:t>
      </w:r>
      <w:r>
        <w:rPr>
          <w:color w:val="231F20"/>
          <w:spacing w:val="-11"/>
        </w:rPr>
        <w:t> </w:t>
      </w:r>
      <w:r>
        <w:rPr>
          <w:color w:val="231F20"/>
        </w:rPr>
        <w:t>de</w:t>
      </w:r>
      <w:r>
        <w:rPr>
          <w:color w:val="231F20"/>
          <w:spacing w:val="-15"/>
        </w:rPr>
        <w:t> </w:t>
      </w:r>
      <w:r>
        <w:rPr>
          <w:color w:val="231F20"/>
          <w:spacing w:val="-3"/>
        </w:rPr>
        <w:t>Texcoco</w:t>
      </w:r>
      <w:r>
        <w:rPr>
          <w:color w:val="231F20"/>
          <w:spacing w:val="-11"/>
        </w:rPr>
        <w:t> </w:t>
      </w:r>
      <w:r>
        <w:rPr>
          <w:color w:val="231F20"/>
        </w:rPr>
        <w:t>(67</w:t>
      </w:r>
      <w:r>
        <w:rPr>
          <w:color w:val="231F20"/>
          <w:spacing w:val="-11"/>
        </w:rPr>
        <w:t> </w:t>
      </w:r>
      <w:r>
        <w:rPr>
          <w:color w:val="231F20"/>
        </w:rPr>
        <w:t>por ciento) </w:t>
      </w:r>
      <w:r>
        <w:rPr>
          <w:color w:val="231F20"/>
          <w:spacing w:val="-3"/>
        </w:rPr>
        <w:t>Toluca </w:t>
      </w:r>
      <w:r>
        <w:rPr>
          <w:color w:val="231F20"/>
        </w:rPr>
        <w:t>(15.7 por ciento) y Atlacomulco (13.5 por ciento) y</w:t>
      </w:r>
      <w:r>
        <w:rPr>
          <w:color w:val="231F20"/>
          <w:spacing w:val="-24"/>
        </w:rPr>
        <w:t> </w:t>
      </w:r>
      <w:r>
        <w:rPr>
          <w:color w:val="231F20"/>
        </w:rPr>
        <w:t>el</w:t>
      </w:r>
      <w:r>
        <w:rPr>
          <w:color w:val="231F20"/>
          <w:spacing w:val="-1"/>
        </w:rPr>
        <w:t> </w:t>
      </w:r>
      <w:r>
        <w:rPr>
          <w:color w:val="231F20"/>
        </w:rPr>
        <w:t>resto de otras regiones de la entidad. Cabe mencionar que quienes salen</w:t>
      </w:r>
      <w:r>
        <w:rPr>
          <w:color w:val="231F20"/>
          <w:spacing w:val="5"/>
        </w:rPr>
        <w:t> </w:t>
      </w:r>
      <w:r>
        <w:rPr>
          <w:color w:val="231F20"/>
        </w:rPr>
        <w:t>de</w:t>
      </w:r>
      <w:r>
        <w:rPr>
          <w:color w:val="231F20"/>
          <w:spacing w:val="10"/>
        </w:rPr>
        <w:t> </w:t>
      </w:r>
      <w:r>
        <w:rPr>
          <w:color w:val="231F20"/>
        </w:rPr>
        <w:t>las regiones</w:t>
      </w:r>
      <w:r>
        <w:rPr>
          <w:color w:val="231F20"/>
          <w:spacing w:val="-4"/>
        </w:rPr>
        <w:t> </w:t>
      </w:r>
      <w:r>
        <w:rPr>
          <w:color w:val="231F20"/>
        </w:rPr>
        <w:t>metropolitanas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Ciudad</w:t>
      </w:r>
      <w:r>
        <w:rPr>
          <w:color w:val="231F20"/>
          <w:spacing w:val="-5"/>
        </w:rPr>
        <w:t> </w:t>
      </w:r>
      <w:r>
        <w:rPr>
          <w:color w:val="231F20"/>
        </w:rPr>
        <w:t>de</w:t>
      </w:r>
      <w:r>
        <w:rPr>
          <w:color w:val="231F20"/>
          <w:spacing w:val="-5"/>
        </w:rPr>
        <w:t> </w:t>
      </w:r>
      <w:r>
        <w:rPr>
          <w:color w:val="231F20"/>
        </w:rPr>
        <w:t>México</w:t>
      </w:r>
      <w:r>
        <w:rPr>
          <w:color w:val="231F20"/>
          <w:spacing w:val="-4"/>
        </w:rPr>
        <w:t> </w:t>
      </w:r>
      <w:r>
        <w:rPr>
          <w:color w:val="231F20"/>
        </w:rPr>
        <w:t>son</w:t>
      </w:r>
      <w:r>
        <w:rPr>
          <w:color w:val="231F20"/>
          <w:spacing w:val="-4"/>
        </w:rPr>
        <w:t> </w:t>
      </w:r>
      <w:r>
        <w:rPr>
          <w:color w:val="231F20"/>
        </w:rPr>
        <w:t>indígenas</w:t>
      </w:r>
      <w:r>
        <w:rPr>
          <w:color w:val="231F20"/>
          <w:spacing w:val="-5"/>
        </w:rPr>
        <w:t> </w:t>
      </w:r>
      <w:r>
        <w:rPr>
          <w:color w:val="231F20"/>
        </w:rPr>
        <w:t>no</w:t>
      </w:r>
      <w:r>
        <w:rPr>
          <w:color w:val="231F20"/>
          <w:spacing w:val="-5"/>
        </w:rPr>
        <w:t> </w:t>
      </w:r>
      <w:r>
        <w:rPr>
          <w:color w:val="231F20"/>
        </w:rPr>
        <w:t>origina- rios o de segunda y tercera generación de migrantes internos y</w:t>
      </w:r>
      <w:r>
        <w:rPr>
          <w:color w:val="231F20"/>
          <w:spacing w:val="5"/>
        </w:rPr>
        <w:t> </w:t>
      </w:r>
      <w:r>
        <w:rPr>
          <w:color w:val="231F20"/>
        </w:rPr>
        <w:t>caso</w:t>
      </w:r>
      <w:r>
        <w:rPr>
          <w:color w:val="231F20"/>
          <w:spacing w:val="10"/>
        </w:rPr>
        <w:t> </w:t>
      </w:r>
      <w:r>
        <w:rPr>
          <w:color w:val="231F20"/>
        </w:rPr>
        <w:t>con- trario sucede con los de Atlacomulco, los cuales son mazahuas</w:t>
      </w:r>
      <w:r>
        <w:rPr>
          <w:color w:val="231F20"/>
          <w:spacing w:val="-35"/>
        </w:rPr>
        <w:t> </w:t>
      </w:r>
      <w:r>
        <w:rPr>
          <w:color w:val="231F20"/>
        </w:rPr>
        <w:t>y</w:t>
      </w:r>
      <w:r>
        <w:rPr>
          <w:color w:val="231F20"/>
          <w:spacing w:val="-2"/>
        </w:rPr>
        <w:t> </w:t>
      </w:r>
      <w:r>
        <w:rPr>
          <w:color w:val="231F20"/>
        </w:rPr>
        <w:t>otomíes. Este comportamiento de la migración indígena es mucho</w:t>
      </w:r>
      <w:r>
        <w:rPr>
          <w:color w:val="231F20"/>
          <w:spacing w:val="12"/>
        </w:rPr>
        <w:t> </w:t>
      </w:r>
      <w:r>
        <w:rPr>
          <w:color w:val="231F20"/>
        </w:rPr>
        <w:t>más</w:t>
      </w:r>
      <w:r>
        <w:rPr>
          <w:color w:val="231F20"/>
          <w:spacing w:val="14"/>
        </w:rPr>
        <w:t> </w:t>
      </w:r>
      <w:r>
        <w:rPr>
          <w:color w:val="231F20"/>
        </w:rPr>
        <w:t>ilustra- tivo</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dato</w:t>
      </w:r>
      <w:r>
        <w:rPr>
          <w:color w:val="231F20"/>
          <w:spacing w:val="18"/>
        </w:rPr>
        <w:t> </w:t>
      </w:r>
      <w:r>
        <w:rPr>
          <w:color w:val="231F20"/>
        </w:rPr>
        <w:t>de</w:t>
      </w:r>
      <w:r>
        <w:rPr>
          <w:color w:val="231F20"/>
          <w:spacing w:val="18"/>
        </w:rPr>
        <w:t> </w:t>
      </w:r>
      <w:r>
        <w:rPr>
          <w:color w:val="231F20"/>
        </w:rPr>
        <w:t>2009,</w:t>
      </w:r>
      <w:r>
        <w:rPr>
          <w:color w:val="231F20"/>
          <w:spacing w:val="18"/>
        </w:rPr>
        <w:t> </w:t>
      </w:r>
      <w:r>
        <w:rPr>
          <w:color w:val="231F20"/>
        </w:rPr>
        <w:t>el</w:t>
      </w:r>
      <w:r>
        <w:rPr>
          <w:color w:val="231F20"/>
          <w:spacing w:val="18"/>
        </w:rPr>
        <w:t> </w:t>
      </w:r>
      <w:r>
        <w:rPr>
          <w:color w:val="231F20"/>
        </w:rPr>
        <w:t>cual</w:t>
      </w:r>
      <w:r>
        <w:rPr>
          <w:color w:val="231F20"/>
          <w:spacing w:val="18"/>
        </w:rPr>
        <w:t> </w:t>
      </w:r>
      <w:r>
        <w:rPr>
          <w:color w:val="231F20"/>
        </w:rPr>
        <w:t>asienta</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rPr>
        <w:t>mayoría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migración</w:t>
      </w:r>
    </w:p>
    <w:p>
      <w:pPr>
        <w:pStyle w:val="BodyText"/>
        <w:spacing w:line="253" w:lineRule="exact"/>
        <w:ind w:left="117" w:right="117"/>
      </w:pPr>
      <w:r>
        <w:rPr>
          <w:color w:val="231F20"/>
        </w:rPr>
        <w:t>indígena es de procedencia urbana (69 por ciento).</w:t>
      </w:r>
    </w:p>
    <w:p>
      <w:pPr>
        <w:pStyle w:val="BodyText"/>
        <w:spacing w:line="247" w:lineRule="auto" w:before="7"/>
        <w:ind w:left="117" w:right="114" w:firstLine="283"/>
        <w:jc w:val="both"/>
      </w:pPr>
      <w:r>
        <w:rPr>
          <w:color w:val="231F20"/>
        </w:rPr>
        <w:t>En</w:t>
      </w:r>
      <w:r>
        <w:rPr>
          <w:color w:val="231F20"/>
          <w:spacing w:val="-9"/>
        </w:rPr>
        <w:t> </w:t>
      </w:r>
      <w:r>
        <w:rPr>
          <w:color w:val="231F20"/>
        </w:rPr>
        <w:t>cuanto</w:t>
      </w:r>
      <w:r>
        <w:rPr>
          <w:color w:val="231F20"/>
          <w:spacing w:val="-9"/>
        </w:rPr>
        <w:t> </w:t>
      </w:r>
      <w:r>
        <w:rPr>
          <w:color w:val="231F20"/>
        </w:rPr>
        <w:t>al</w:t>
      </w:r>
      <w:r>
        <w:rPr>
          <w:color w:val="231F20"/>
          <w:spacing w:val="-9"/>
        </w:rPr>
        <w:t> </w:t>
      </w:r>
      <w:r>
        <w:rPr>
          <w:color w:val="231F20"/>
        </w:rPr>
        <w:t>destino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migrantes</w:t>
      </w:r>
      <w:r>
        <w:rPr>
          <w:color w:val="231F20"/>
          <w:spacing w:val="-9"/>
        </w:rPr>
        <w:t> </w:t>
      </w:r>
      <w:r>
        <w:rPr>
          <w:color w:val="231F20"/>
        </w:rPr>
        <w:t>indígenas,</w:t>
      </w:r>
      <w:r>
        <w:rPr>
          <w:color w:val="231F20"/>
          <w:spacing w:val="-9"/>
        </w:rPr>
        <w:t> </w:t>
      </w:r>
      <w:r>
        <w:rPr>
          <w:color w:val="231F20"/>
        </w:rPr>
        <w:t>es</w:t>
      </w:r>
      <w:r>
        <w:rPr>
          <w:color w:val="231F20"/>
          <w:spacing w:val="-9"/>
        </w:rPr>
        <w:t> </w:t>
      </w:r>
      <w:r>
        <w:rPr>
          <w:color w:val="231F20"/>
        </w:rPr>
        <w:t>menos</w:t>
      </w:r>
      <w:r>
        <w:rPr>
          <w:color w:val="231F20"/>
          <w:spacing w:val="-9"/>
        </w:rPr>
        <w:t> </w:t>
      </w:r>
      <w:r>
        <w:rPr>
          <w:color w:val="231F20"/>
        </w:rPr>
        <w:t>diversificado que su contraparte no indígena. En su mayoría se dirigen a la región sur (en su totalidad en 2000, 100 por ciento y 58 por ciento en 2009) y oeste (42.2</w:t>
      </w:r>
      <w:r>
        <w:rPr>
          <w:color w:val="231F20"/>
          <w:spacing w:val="-5"/>
        </w:rPr>
        <w:t> </w:t>
      </w:r>
      <w:r>
        <w:rPr>
          <w:color w:val="231F20"/>
        </w:rPr>
        <w:t>por</w:t>
      </w:r>
      <w:r>
        <w:rPr>
          <w:color w:val="231F20"/>
          <w:spacing w:val="-5"/>
        </w:rPr>
        <w:t> </w:t>
      </w:r>
      <w:r>
        <w:rPr>
          <w:color w:val="231F20"/>
        </w:rPr>
        <w:t>ciento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año</w:t>
      </w:r>
      <w:r>
        <w:rPr>
          <w:color w:val="231F20"/>
          <w:spacing w:val="-5"/>
        </w:rPr>
        <w:t> </w:t>
      </w:r>
      <w:r>
        <w:rPr>
          <w:color w:val="231F20"/>
        </w:rPr>
        <w:t>2009)</w:t>
      </w:r>
      <w:r>
        <w:rPr>
          <w:color w:val="231F20"/>
          <w:spacing w:val="-5"/>
        </w:rPr>
        <w:t> </w:t>
      </w:r>
      <w:r>
        <w:rPr>
          <w:color w:val="231F20"/>
        </w:rPr>
        <w:t>de</w:t>
      </w:r>
      <w:r>
        <w:rPr>
          <w:color w:val="231F20"/>
          <w:spacing w:val="-5"/>
        </w:rPr>
        <w:t> </w:t>
      </w:r>
      <w:r>
        <w:rPr>
          <w:color w:val="231F20"/>
        </w:rPr>
        <w:t>Estados</w:t>
      </w:r>
      <w:r>
        <w:rPr>
          <w:color w:val="231F20"/>
          <w:spacing w:val="-5"/>
        </w:rPr>
        <w:t> </w:t>
      </w:r>
      <w:r>
        <w:rPr>
          <w:color w:val="231F20"/>
        </w:rPr>
        <w:t>Unidos.</w:t>
      </w:r>
      <w:r>
        <w:rPr>
          <w:color w:val="231F20"/>
          <w:spacing w:val="-5"/>
        </w:rPr>
        <w:t> </w:t>
      </w:r>
      <w:r>
        <w:rPr>
          <w:color w:val="231F20"/>
        </w:rPr>
        <w:t>Caso</w:t>
      </w:r>
      <w:r>
        <w:rPr>
          <w:color w:val="231F20"/>
          <w:spacing w:val="-5"/>
        </w:rPr>
        <w:t> </w:t>
      </w:r>
      <w:r>
        <w:rPr>
          <w:color w:val="231F20"/>
        </w:rPr>
        <w:t>contrario</w:t>
      </w:r>
      <w:r>
        <w:rPr>
          <w:color w:val="231F20"/>
          <w:spacing w:val="-5"/>
        </w:rPr>
        <w:t> </w:t>
      </w:r>
      <w:r>
        <w:rPr>
          <w:color w:val="231F20"/>
        </w:rPr>
        <w:t>sucede con los no indígenas que diversifican sus destinos en el vecino país, pero que las regiones sur y oeste tienen una mayor presencia entre el año 2000 y 2009.</w:t>
      </w:r>
    </w:p>
    <w:p>
      <w:pPr>
        <w:spacing w:after="0" w:line="247" w:lineRule="auto"/>
        <w:jc w:val="both"/>
        <w:sectPr>
          <w:pgSz w:w="9360" w:h="13040"/>
          <w:pgMar w:header="0" w:footer="496" w:top="800" w:bottom="680" w:left="1300" w:right="1300"/>
        </w:sectPr>
      </w:pPr>
    </w:p>
    <w:p>
      <w:pPr>
        <w:spacing w:before="45"/>
        <w:ind w:left="782" w:right="0" w:firstLine="0"/>
        <w:jc w:val="left"/>
        <w:rPr>
          <w:rFonts w:ascii="Arial" w:hAnsi="Arial"/>
          <w:i/>
          <w:sz w:val="20"/>
        </w:rPr>
      </w:pPr>
      <w:r>
        <w:rPr>
          <w:rFonts w:ascii="Arial" w:hAnsi="Arial"/>
          <w:color w:val="231F20"/>
          <w:w w:val="66"/>
          <w:sz w:val="20"/>
        </w:rPr>
        <w:t>La</w:t>
      </w:r>
      <w:r>
        <w:rPr>
          <w:rFonts w:ascii="Arial" w:hAnsi="Arial"/>
          <w:color w:val="231F20"/>
          <w:spacing w:val="-1"/>
          <w:sz w:val="20"/>
        </w:rPr>
        <w:t> </w:t>
      </w:r>
      <w:r>
        <w:rPr>
          <w:rFonts w:ascii="Arial" w:hAnsi="Arial"/>
          <w:color w:val="231F20"/>
          <w:w w:val="76"/>
          <w:sz w:val="20"/>
        </w:rPr>
        <w:t>participación</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3"/>
          <w:sz w:val="20"/>
        </w:rPr>
        <w:t>población</w:t>
      </w:r>
      <w:r>
        <w:rPr>
          <w:rFonts w:ascii="Arial" w:hAnsi="Arial"/>
          <w:color w:val="231F20"/>
          <w:spacing w:val="-1"/>
          <w:sz w:val="20"/>
        </w:rPr>
        <w:t> </w:t>
      </w:r>
      <w:r>
        <w:rPr>
          <w:rFonts w:ascii="Arial" w:hAnsi="Arial"/>
          <w:color w:val="231F20"/>
          <w:w w:val="72"/>
          <w:sz w:val="20"/>
        </w:rPr>
        <w:t>indígena</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8"/>
          <w:sz w:val="20"/>
        </w:rPr>
        <w:t>migración...</w:t>
      </w:r>
      <w:r>
        <w:rPr>
          <w:rFonts w:ascii="Arial" w:hAnsi="Arial"/>
          <w:color w:val="231F20"/>
          <w:spacing w:val="-1"/>
          <w:sz w:val="20"/>
        </w:rPr>
        <w:t> </w:t>
      </w:r>
      <w:r>
        <w:rPr>
          <w:rFonts w:ascii="Arial" w:hAnsi="Arial"/>
          <w:color w:val="231F20"/>
          <w:w w:val="99"/>
          <w:sz w:val="20"/>
        </w:rPr>
        <w:t>/</w:t>
      </w:r>
      <w:r>
        <w:rPr>
          <w:rFonts w:ascii="Arial" w:hAnsi="Arial"/>
          <w:color w:val="231F20"/>
          <w:w w:val="49"/>
          <w:sz w:val="20"/>
        </w:rPr>
        <w:t>Juan</w:t>
      </w:r>
      <w:r>
        <w:rPr>
          <w:rFonts w:ascii="Arial" w:hAnsi="Arial"/>
          <w:color w:val="231F20"/>
          <w:spacing w:val="-17"/>
          <w:sz w:val="20"/>
        </w:rPr>
        <w:t> </w:t>
      </w:r>
      <w:r>
        <w:rPr>
          <w:rFonts w:ascii="Arial" w:hAnsi="Arial"/>
          <w:color w:val="231F20"/>
          <w:w w:val="49"/>
          <w:sz w:val="20"/>
        </w:rPr>
        <w:t>Gabino</w:t>
      </w:r>
      <w:r>
        <w:rPr>
          <w:rFonts w:ascii="Arial" w:hAnsi="Arial"/>
          <w:color w:val="231F20"/>
          <w:spacing w:val="-17"/>
          <w:sz w:val="20"/>
        </w:rPr>
        <w:t> </w:t>
      </w:r>
      <w:r>
        <w:rPr>
          <w:rFonts w:ascii="Arial" w:hAnsi="Arial"/>
          <w:color w:val="231F20"/>
          <w:w w:val="52"/>
          <w:sz w:val="20"/>
        </w:rPr>
        <w:t>González-Becerril</w:t>
      </w:r>
      <w:r>
        <w:rPr>
          <w:rFonts w:ascii="Arial" w:hAnsi="Arial"/>
          <w:color w:val="231F20"/>
          <w:spacing w:val="-17"/>
          <w:sz w:val="20"/>
        </w:rPr>
        <w:t> </w:t>
      </w:r>
      <w:r>
        <w:rPr>
          <w:rFonts w:ascii="Arial" w:hAnsi="Arial"/>
          <w:i/>
          <w:color w:val="231F20"/>
          <w:w w:val="55"/>
          <w:sz w:val="20"/>
        </w:rPr>
        <w:t>et</w:t>
      </w:r>
      <w:r>
        <w:rPr>
          <w:rFonts w:ascii="Arial" w:hAnsi="Arial"/>
          <w:i/>
          <w:color w:val="231F20"/>
          <w:spacing w:val="-17"/>
          <w:sz w:val="20"/>
        </w:rPr>
        <w:t> </w:t>
      </w:r>
      <w:r>
        <w:rPr>
          <w:rFonts w:ascii="Arial" w:hAnsi="Arial"/>
          <w:i/>
          <w:color w:val="231F20"/>
          <w:w w:val="58"/>
          <w:sz w:val="20"/>
        </w:rPr>
        <w:t>al.</w:t>
      </w:r>
    </w:p>
    <w:p>
      <w:pPr>
        <w:pStyle w:val="BodyText"/>
        <w:rPr>
          <w:rFonts w:ascii="Arial"/>
          <w:i/>
          <w:sz w:val="20"/>
        </w:rPr>
      </w:pPr>
    </w:p>
    <w:p>
      <w:pPr>
        <w:spacing w:line="244" w:lineRule="auto" w:before="153"/>
        <w:ind w:left="134" w:right="233" w:firstLine="0"/>
        <w:jc w:val="left"/>
        <w:rPr>
          <w:sz w:val="14"/>
        </w:rPr>
      </w:pPr>
      <w:r>
        <w:rPr/>
        <w:pict>
          <v:group style="position:absolute;margin-left:70.667496pt;margin-top:31.819935pt;width:326.4pt;height:10.9pt;mso-position-horizontal-relative:page;mso-position-vertical-relative:paragraph;z-index:-636496" coordorigin="1413,636" coordsize="6528,218">
            <v:shape style="position:absolute;left:1417;top:645;width:6520;height:2" coordorigin="1417,645" coordsize="6520,0" path="m1417,645l2984,645m2984,645l2994,645m2994,645l3655,645m3655,645l3664,645m3664,645l4190,645m4190,645l4199,645m4199,645l4720,645m4729,645l6197,645m6197,645l6206,645m6206,645l6868,645m6868,645l6877,645m6877,645l7402,645m7402,645l7411,645m7411,645l7937,645e" filled="false" stroked="true" strokeweight=".376538pt" strokecolor="#000000">
              <v:path arrowok="t"/>
            </v:shape>
            <v:line style="position:absolute" from="4724,641" to="4724,848" stroked="true" strokeweight=".453113pt" strokecolor="#000000"/>
            <w10:wrap type="none"/>
          </v:group>
        </w:pict>
      </w:r>
      <w:r>
        <w:rPr>
          <w:w w:val="120"/>
          <w:sz w:val="14"/>
        </w:rPr>
        <w:t>Cuadro 2a. Distribución porcentual de migrantes temporales que proceden del Sur (Estado de México) por diversas características sociodemográficas seleccionadas, según condición de habla de lengua indígena, 2000-2009</w:t>
      </w:r>
    </w:p>
    <w:p>
      <w:pPr>
        <w:tabs>
          <w:tab w:pos="5162" w:val="left" w:leader="none"/>
        </w:tabs>
        <w:spacing w:before="43"/>
        <w:ind w:left="2486" w:right="0" w:firstLine="0"/>
        <w:jc w:val="left"/>
        <w:rPr>
          <w:sz w:val="14"/>
        </w:rPr>
      </w:pPr>
      <w:r>
        <w:rPr>
          <w:w w:val="120"/>
          <w:sz w:val="14"/>
        </w:rPr>
        <w:t>2000</w:t>
        <w:tab/>
        <w:t>2009</w:t>
      </w:r>
    </w:p>
    <w:p>
      <w:pPr>
        <w:spacing w:after="0"/>
        <w:jc w:val="left"/>
        <w:rPr>
          <w:sz w:val="14"/>
        </w:rPr>
        <w:sectPr>
          <w:pgSz w:w="9360" w:h="13040"/>
          <w:pgMar w:header="0" w:footer="496" w:top="740" w:bottom="680" w:left="1300" w:right="1280"/>
        </w:sectPr>
      </w:pPr>
    </w:p>
    <w:p>
      <w:pPr>
        <w:pStyle w:val="BodyText"/>
        <w:spacing w:before="1"/>
        <w:rPr>
          <w:sz w:val="14"/>
        </w:rPr>
      </w:pPr>
    </w:p>
    <w:p>
      <w:pPr>
        <w:spacing w:before="1"/>
        <w:ind w:left="0" w:right="0" w:firstLine="0"/>
        <w:jc w:val="right"/>
        <w:rPr>
          <w:sz w:val="14"/>
        </w:rPr>
      </w:pPr>
      <w:r>
        <w:rPr>
          <w:w w:val="120"/>
          <w:sz w:val="14"/>
        </w:rPr>
        <w:t>Habla</w:t>
      </w:r>
    </w:p>
    <w:p>
      <w:pPr>
        <w:spacing w:before="1"/>
        <w:ind w:left="289" w:right="0" w:firstLine="0"/>
        <w:jc w:val="left"/>
        <w:rPr>
          <w:sz w:val="14"/>
        </w:rPr>
      </w:pPr>
      <w:r>
        <w:rPr/>
        <w:br w:type="column"/>
      </w:r>
      <w:r>
        <w:rPr>
          <w:w w:val="120"/>
          <w:sz w:val="14"/>
        </w:rPr>
        <w:t>No</w:t>
      </w:r>
    </w:p>
    <w:p>
      <w:pPr>
        <w:tabs>
          <w:tab w:pos="2766" w:val="left" w:leader="none"/>
        </w:tabs>
        <w:spacing w:before="1"/>
        <w:ind w:left="128" w:right="0" w:firstLine="0"/>
        <w:jc w:val="left"/>
        <w:rPr>
          <w:sz w:val="14"/>
        </w:rPr>
      </w:pPr>
      <w:r>
        <w:rPr>
          <w:w w:val="120"/>
          <w:sz w:val="14"/>
        </w:rPr>
        <w:t>habla   </w:t>
      </w:r>
      <w:r>
        <w:rPr>
          <w:spacing w:val="11"/>
          <w:w w:val="120"/>
          <w:sz w:val="14"/>
        </w:rPr>
        <w:t> </w:t>
      </w:r>
      <w:r>
        <w:rPr>
          <w:w w:val="120"/>
          <w:sz w:val="14"/>
        </w:rPr>
        <w:t>Total</w:t>
        <w:tab/>
        <w:t>Habla</w:t>
      </w:r>
    </w:p>
    <w:p>
      <w:pPr>
        <w:spacing w:before="1"/>
        <w:ind w:left="289" w:right="0" w:firstLine="0"/>
        <w:jc w:val="left"/>
        <w:rPr>
          <w:sz w:val="14"/>
        </w:rPr>
      </w:pPr>
      <w:r>
        <w:rPr/>
        <w:br w:type="column"/>
      </w:r>
      <w:r>
        <w:rPr>
          <w:w w:val="120"/>
          <w:sz w:val="14"/>
        </w:rPr>
        <w:t>No</w:t>
      </w:r>
    </w:p>
    <w:p>
      <w:pPr>
        <w:spacing w:before="1"/>
        <w:ind w:left="128" w:right="0" w:firstLine="0"/>
        <w:jc w:val="left"/>
        <w:rPr>
          <w:sz w:val="14"/>
        </w:rPr>
      </w:pPr>
      <w:r>
        <w:rPr>
          <w:w w:val="120"/>
          <w:sz w:val="14"/>
        </w:rPr>
        <w:t>habla    Total</w:t>
      </w:r>
    </w:p>
    <w:p>
      <w:pPr>
        <w:spacing w:after="0"/>
        <w:jc w:val="left"/>
        <w:rPr>
          <w:sz w:val="14"/>
        </w:rPr>
        <w:sectPr>
          <w:type w:val="continuous"/>
          <w:pgSz w:w="9360" w:h="13040"/>
          <w:pgMar w:top="0" w:bottom="0" w:left="1300" w:right="1280"/>
          <w:cols w:num="3" w:equalWidth="0">
            <w:col w:w="2290" w:space="40"/>
            <w:col w:w="3173" w:space="40"/>
            <w:col w:w="1237"/>
          </w:cols>
        </w:sectPr>
      </w:pPr>
    </w:p>
    <w:tbl>
      <w:tblPr>
        <w:tblW w:w="0" w:type="auto"/>
        <w:jc w:val="left"/>
        <w:tblInd w:w="106" w:type="dxa"/>
        <w:tblBorders>
          <w:top w:val="double" w:sz="3" w:space="0" w:color="000000"/>
          <w:left w:val="double" w:sz="3" w:space="0" w:color="000000"/>
          <w:bottom w:val="double" w:sz="3" w:space="0" w:color="000000"/>
          <w:right w:val="double" w:sz="3" w:space="0" w:color="000000"/>
          <w:insideH w:val="double" w:sz="3" w:space="0" w:color="000000"/>
          <w:insideV w:val="double" w:sz="3" w:space="0" w:color="000000"/>
        </w:tblBorders>
        <w:tblLayout w:type="fixed"/>
        <w:tblCellMar>
          <w:top w:w="0" w:type="dxa"/>
          <w:left w:w="0" w:type="dxa"/>
          <w:bottom w:w="0" w:type="dxa"/>
          <w:right w:w="0" w:type="dxa"/>
        </w:tblCellMar>
        <w:tblLook w:val="01E0"/>
      </w:tblPr>
      <w:tblGrid>
        <w:gridCol w:w="1626"/>
        <w:gridCol w:w="623"/>
        <w:gridCol w:w="536"/>
        <w:gridCol w:w="523"/>
        <w:gridCol w:w="1547"/>
        <w:gridCol w:w="608"/>
        <w:gridCol w:w="536"/>
        <w:gridCol w:w="523"/>
      </w:tblGrid>
      <w:tr>
        <w:trPr>
          <w:trHeight w:val="257" w:hRule="exact"/>
        </w:trPr>
        <w:tc>
          <w:tcPr>
            <w:tcW w:w="1626" w:type="dxa"/>
            <w:tcBorders>
              <w:left w:val="nil"/>
              <w:bottom w:val="nil"/>
              <w:right w:val="nil"/>
            </w:tcBorders>
          </w:tcPr>
          <w:p>
            <w:pPr>
              <w:pStyle w:val="TableParagraph"/>
              <w:spacing w:before="50"/>
              <w:ind w:left="17"/>
              <w:jc w:val="left"/>
              <w:rPr>
                <w:i/>
                <w:sz w:val="14"/>
              </w:rPr>
            </w:pPr>
            <w:r>
              <w:rPr>
                <w:i/>
                <w:w w:val="120"/>
                <w:sz w:val="14"/>
              </w:rPr>
              <w:t>Sexo</w:t>
            </w:r>
          </w:p>
        </w:tc>
        <w:tc>
          <w:tcPr>
            <w:tcW w:w="623" w:type="dxa"/>
            <w:tcBorders>
              <w:left w:val="nil"/>
              <w:bottom w:val="nil"/>
              <w:right w:val="nil"/>
            </w:tcBorders>
          </w:tcPr>
          <w:p>
            <w:pPr/>
          </w:p>
        </w:tc>
        <w:tc>
          <w:tcPr>
            <w:tcW w:w="536" w:type="dxa"/>
            <w:tcBorders>
              <w:left w:val="nil"/>
              <w:bottom w:val="nil"/>
              <w:right w:val="nil"/>
            </w:tcBorders>
          </w:tcPr>
          <w:p>
            <w:pPr/>
          </w:p>
        </w:tc>
        <w:tc>
          <w:tcPr>
            <w:tcW w:w="523" w:type="dxa"/>
            <w:tcBorders>
              <w:left w:val="nil"/>
              <w:bottom w:val="nil"/>
              <w:right w:val="single" w:sz="4" w:space="0" w:color="000000"/>
            </w:tcBorders>
          </w:tcPr>
          <w:p>
            <w:pPr/>
          </w:p>
        </w:tc>
        <w:tc>
          <w:tcPr>
            <w:tcW w:w="1547" w:type="dxa"/>
            <w:tcBorders>
              <w:left w:val="single" w:sz="4" w:space="0" w:color="000000"/>
              <w:bottom w:val="nil"/>
              <w:right w:val="nil"/>
            </w:tcBorders>
          </w:tcPr>
          <w:p>
            <w:pPr/>
          </w:p>
        </w:tc>
        <w:tc>
          <w:tcPr>
            <w:tcW w:w="608" w:type="dxa"/>
            <w:tcBorders>
              <w:left w:val="nil"/>
              <w:bottom w:val="nil"/>
              <w:right w:val="nil"/>
            </w:tcBorders>
          </w:tcPr>
          <w:p>
            <w:pPr/>
          </w:p>
        </w:tc>
        <w:tc>
          <w:tcPr>
            <w:tcW w:w="536" w:type="dxa"/>
            <w:tcBorders>
              <w:left w:val="nil"/>
              <w:bottom w:val="nil"/>
              <w:right w:val="nil"/>
            </w:tcBorders>
          </w:tcPr>
          <w:p>
            <w:pPr/>
          </w:p>
        </w:tc>
        <w:tc>
          <w:tcPr>
            <w:tcW w:w="523" w:type="dxa"/>
            <w:tcBorders>
              <w:left w:val="nil"/>
              <w:bottom w:val="nil"/>
              <w:right w:val="nil"/>
            </w:tcBorders>
          </w:tcPr>
          <w:p>
            <w:pPr/>
          </w:p>
        </w:tc>
      </w:tr>
      <w:tr>
        <w:trPr>
          <w:trHeight w:val="207" w:hRule="exact"/>
        </w:trPr>
        <w:tc>
          <w:tcPr>
            <w:tcW w:w="1626" w:type="dxa"/>
            <w:tcBorders>
              <w:top w:val="nil"/>
              <w:left w:val="nil"/>
              <w:bottom w:val="nil"/>
              <w:right w:val="nil"/>
            </w:tcBorders>
          </w:tcPr>
          <w:p>
            <w:pPr>
              <w:pStyle w:val="TableParagraph"/>
              <w:spacing w:before="19"/>
              <w:ind w:left="17"/>
              <w:jc w:val="left"/>
              <w:rPr>
                <w:sz w:val="14"/>
              </w:rPr>
            </w:pPr>
            <w:r>
              <w:rPr>
                <w:w w:val="120"/>
                <w:sz w:val="14"/>
              </w:rPr>
              <w:t>Masculino</w:t>
            </w:r>
          </w:p>
        </w:tc>
        <w:tc>
          <w:tcPr>
            <w:tcW w:w="623" w:type="dxa"/>
            <w:tcBorders>
              <w:top w:val="nil"/>
              <w:left w:val="nil"/>
              <w:bottom w:val="nil"/>
              <w:right w:val="nil"/>
            </w:tcBorders>
          </w:tcPr>
          <w:p>
            <w:pPr>
              <w:pStyle w:val="TableParagraph"/>
              <w:spacing w:before="19"/>
              <w:ind w:right="75"/>
              <w:rPr>
                <w:sz w:val="14"/>
              </w:rPr>
            </w:pPr>
            <w:r>
              <w:rPr>
                <w:w w:val="120"/>
                <w:sz w:val="14"/>
              </w:rPr>
              <w:t>100.0</w:t>
            </w:r>
          </w:p>
        </w:tc>
        <w:tc>
          <w:tcPr>
            <w:tcW w:w="536" w:type="dxa"/>
            <w:tcBorders>
              <w:top w:val="nil"/>
              <w:left w:val="nil"/>
              <w:bottom w:val="nil"/>
              <w:right w:val="nil"/>
            </w:tcBorders>
          </w:tcPr>
          <w:p>
            <w:pPr>
              <w:pStyle w:val="TableParagraph"/>
              <w:spacing w:before="19"/>
              <w:ind w:right="74"/>
              <w:rPr>
                <w:sz w:val="14"/>
              </w:rPr>
            </w:pPr>
            <w:r>
              <w:rPr>
                <w:w w:val="120"/>
                <w:sz w:val="14"/>
              </w:rPr>
              <w:t>86.2</w:t>
            </w:r>
          </w:p>
        </w:tc>
        <w:tc>
          <w:tcPr>
            <w:tcW w:w="523" w:type="dxa"/>
            <w:tcBorders>
              <w:top w:val="nil"/>
              <w:left w:val="nil"/>
              <w:bottom w:val="nil"/>
              <w:right w:val="single" w:sz="4" w:space="0" w:color="000000"/>
            </w:tcBorders>
          </w:tcPr>
          <w:p>
            <w:pPr>
              <w:pStyle w:val="TableParagraph"/>
              <w:spacing w:before="19"/>
              <w:ind w:right="58"/>
              <w:rPr>
                <w:sz w:val="14"/>
              </w:rPr>
            </w:pPr>
            <w:r>
              <w:rPr>
                <w:w w:val="120"/>
                <w:sz w:val="14"/>
              </w:rPr>
              <w:t>86.3</w:t>
            </w:r>
          </w:p>
        </w:tc>
        <w:tc>
          <w:tcPr>
            <w:tcW w:w="1547" w:type="dxa"/>
            <w:tcBorders>
              <w:top w:val="nil"/>
              <w:left w:val="single" w:sz="4" w:space="0" w:color="000000"/>
              <w:bottom w:val="nil"/>
              <w:right w:val="nil"/>
            </w:tcBorders>
          </w:tcPr>
          <w:p>
            <w:pPr>
              <w:pStyle w:val="TableParagraph"/>
              <w:spacing w:before="19"/>
              <w:ind w:left="63"/>
              <w:jc w:val="left"/>
              <w:rPr>
                <w:sz w:val="14"/>
              </w:rPr>
            </w:pPr>
            <w:r>
              <w:rPr>
                <w:w w:val="120"/>
                <w:sz w:val="14"/>
              </w:rPr>
              <w:t>Masculino</w:t>
            </w:r>
          </w:p>
        </w:tc>
        <w:tc>
          <w:tcPr>
            <w:tcW w:w="608" w:type="dxa"/>
            <w:tcBorders>
              <w:top w:val="nil"/>
              <w:left w:val="nil"/>
              <w:bottom w:val="nil"/>
              <w:right w:val="nil"/>
            </w:tcBorders>
          </w:tcPr>
          <w:p>
            <w:pPr>
              <w:pStyle w:val="TableParagraph"/>
              <w:spacing w:before="19"/>
              <w:ind w:right="75"/>
              <w:rPr>
                <w:sz w:val="14"/>
              </w:rPr>
            </w:pPr>
            <w:r>
              <w:rPr>
                <w:w w:val="120"/>
                <w:sz w:val="14"/>
              </w:rPr>
              <w:t>85.4</w:t>
            </w:r>
          </w:p>
        </w:tc>
        <w:tc>
          <w:tcPr>
            <w:tcW w:w="536" w:type="dxa"/>
            <w:tcBorders>
              <w:top w:val="nil"/>
              <w:left w:val="nil"/>
              <w:bottom w:val="nil"/>
              <w:right w:val="nil"/>
            </w:tcBorders>
          </w:tcPr>
          <w:p>
            <w:pPr>
              <w:pStyle w:val="TableParagraph"/>
              <w:spacing w:before="19"/>
              <w:ind w:right="74"/>
              <w:rPr>
                <w:sz w:val="14"/>
              </w:rPr>
            </w:pPr>
            <w:r>
              <w:rPr>
                <w:w w:val="120"/>
                <w:sz w:val="14"/>
              </w:rPr>
              <w:t>84.3</w:t>
            </w:r>
          </w:p>
        </w:tc>
        <w:tc>
          <w:tcPr>
            <w:tcW w:w="523" w:type="dxa"/>
            <w:tcBorders>
              <w:top w:val="nil"/>
              <w:left w:val="nil"/>
              <w:bottom w:val="nil"/>
              <w:right w:val="nil"/>
            </w:tcBorders>
          </w:tcPr>
          <w:p>
            <w:pPr>
              <w:pStyle w:val="TableParagraph"/>
              <w:spacing w:before="19"/>
              <w:ind w:right="62"/>
              <w:rPr>
                <w:sz w:val="14"/>
              </w:rPr>
            </w:pPr>
            <w:r>
              <w:rPr>
                <w:w w:val="120"/>
                <w:sz w:val="14"/>
              </w:rPr>
              <w:t>84.3</w:t>
            </w:r>
          </w:p>
        </w:tc>
      </w:tr>
      <w:tr>
        <w:trPr>
          <w:trHeight w:val="200" w:hRule="exact"/>
        </w:trPr>
        <w:tc>
          <w:tcPr>
            <w:tcW w:w="1626" w:type="dxa"/>
            <w:tcBorders>
              <w:top w:val="nil"/>
              <w:left w:val="nil"/>
              <w:bottom w:val="nil"/>
              <w:right w:val="nil"/>
            </w:tcBorders>
          </w:tcPr>
          <w:p>
            <w:pPr>
              <w:pStyle w:val="TableParagraph"/>
              <w:spacing w:before="11"/>
              <w:ind w:left="17"/>
              <w:jc w:val="left"/>
              <w:rPr>
                <w:sz w:val="14"/>
              </w:rPr>
            </w:pPr>
            <w:r>
              <w:rPr>
                <w:w w:val="120"/>
                <w:sz w:val="14"/>
              </w:rPr>
              <w:t>Femenino</w:t>
            </w:r>
          </w:p>
        </w:tc>
        <w:tc>
          <w:tcPr>
            <w:tcW w:w="623" w:type="dxa"/>
            <w:tcBorders>
              <w:top w:val="nil"/>
              <w:left w:val="nil"/>
              <w:bottom w:val="nil"/>
              <w:right w:val="nil"/>
            </w:tcBorders>
          </w:tcPr>
          <w:p>
            <w:pPr>
              <w:pStyle w:val="TableParagraph"/>
              <w:spacing w:before="11"/>
              <w:ind w:right="75"/>
              <w:rPr>
                <w:sz w:val="14"/>
              </w:rPr>
            </w:pPr>
            <w:r>
              <w:rPr>
                <w:w w:val="119"/>
                <w:sz w:val="14"/>
              </w:rPr>
              <w:t>0</w:t>
            </w:r>
          </w:p>
        </w:tc>
        <w:tc>
          <w:tcPr>
            <w:tcW w:w="536" w:type="dxa"/>
            <w:tcBorders>
              <w:top w:val="nil"/>
              <w:left w:val="nil"/>
              <w:bottom w:val="nil"/>
              <w:right w:val="nil"/>
            </w:tcBorders>
          </w:tcPr>
          <w:p>
            <w:pPr>
              <w:pStyle w:val="TableParagraph"/>
              <w:spacing w:before="11"/>
              <w:ind w:right="74"/>
              <w:rPr>
                <w:sz w:val="14"/>
              </w:rPr>
            </w:pPr>
            <w:r>
              <w:rPr>
                <w:w w:val="120"/>
                <w:sz w:val="14"/>
              </w:rPr>
              <w:t>13.8</w:t>
            </w:r>
          </w:p>
        </w:tc>
        <w:tc>
          <w:tcPr>
            <w:tcW w:w="523" w:type="dxa"/>
            <w:tcBorders>
              <w:top w:val="nil"/>
              <w:left w:val="nil"/>
              <w:bottom w:val="nil"/>
              <w:right w:val="single" w:sz="4" w:space="0" w:color="000000"/>
            </w:tcBorders>
          </w:tcPr>
          <w:p>
            <w:pPr>
              <w:pStyle w:val="TableParagraph"/>
              <w:spacing w:before="11"/>
              <w:ind w:right="58"/>
              <w:rPr>
                <w:sz w:val="14"/>
              </w:rPr>
            </w:pPr>
            <w:r>
              <w:rPr>
                <w:w w:val="120"/>
                <w:sz w:val="14"/>
              </w:rPr>
              <w:t>13.7</w:t>
            </w:r>
          </w:p>
        </w:tc>
        <w:tc>
          <w:tcPr>
            <w:tcW w:w="1547" w:type="dxa"/>
            <w:tcBorders>
              <w:top w:val="nil"/>
              <w:left w:val="single" w:sz="4" w:space="0" w:color="000000"/>
              <w:bottom w:val="nil"/>
              <w:right w:val="nil"/>
            </w:tcBorders>
          </w:tcPr>
          <w:p>
            <w:pPr>
              <w:pStyle w:val="TableParagraph"/>
              <w:spacing w:before="11"/>
              <w:ind w:left="63"/>
              <w:jc w:val="left"/>
              <w:rPr>
                <w:sz w:val="14"/>
              </w:rPr>
            </w:pPr>
            <w:r>
              <w:rPr>
                <w:w w:val="120"/>
                <w:sz w:val="14"/>
              </w:rPr>
              <w:t>Femenino</w:t>
            </w:r>
          </w:p>
        </w:tc>
        <w:tc>
          <w:tcPr>
            <w:tcW w:w="608" w:type="dxa"/>
            <w:tcBorders>
              <w:top w:val="nil"/>
              <w:left w:val="nil"/>
              <w:bottom w:val="nil"/>
              <w:right w:val="nil"/>
            </w:tcBorders>
          </w:tcPr>
          <w:p>
            <w:pPr>
              <w:pStyle w:val="TableParagraph"/>
              <w:spacing w:before="11"/>
              <w:ind w:right="75"/>
              <w:rPr>
                <w:sz w:val="14"/>
              </w:rPr>
            </w:pPr>
            <w:r>
              <w:rPr>
                <w:w w:val="120"/>
                <w:sz w:val="14"/>
              </w:rPr>
              <w:t>14.6</w:t>
            </w:r>
          </w:p>
        </w:tc>
        <w:tc>
          <w:tcPr>
            <w:tcW w:w="536" w:type="dxa"/>
            <w:tcBorders>
              <w:top w:val="nil"/>
              <w:left w:val="nil"/>
              <w:bottom w:val="nil"/>
              <w:right w:val="nil"/>
            </w:tcBorders>
          </w:tcPr>
          <w:p>
            <w:pPr>
              <w:pStyle w:val="TableParagraph"/>
              <w:spacing w:before="11"/>
              <w:ind w:right="74"/>
              <w:rPr>
                <w:sz w:val="14"/>
              </w:rPr>
            </w:pPr>
            <w:r>
              <w:rPr>
                <w:w w:val="120"/>
                <w:sz w:val="14"/>
              </w:rPr>
              <w:t>15.7</w:t>
            </w:r>
          </w:p>
        </w:tc>
        <w:tc>
          <w:tcPr>
            <w:tcW w:w="523" w:type="dxa"/>
            <w:tcBorders>
              <w:top w:val="nil"/>
              <w:left w:val="nil"/>
              <w:bottom w:val="nil"/>
              <w:right w:val="nil"/>
            </w:tcBorders>
          </w:tcPr>
          <w:p>
            <w:pPr>
              <w:pStyle w:val="TableParagraph"/>
              <w:spacing w:before="11"/>
              <w:ind w:right="62"/>
              <w:rPr>
                <w:sz w:val="14"/>
              </w:rPr>
            </w:pPr>
            <w:r>
              <w:rPr>
                <w:w w:val="120"/>
                <w:sz w:val="14"/>
              </w:rPr>
              <w:t>15.7</w:t>
            </w:r>
          </w:p>
        </w:tc>
      </w:tr>
      <w:tr>
        <w:trPr>
          <w:trHeight w:val="181" w:hRule="exact"/>
        </w:trPr>
        <w:tc>
          <w:tcPr>
            <w:tcW w:w="1626" w:type="dxa"/>
            <w:tcBorders>
              <w:top w:val="nil"/>
              <w:left w:val="nil"/>
              <w:bottom w:val="nil"/>
              <w:right w:val="nil"/>
            </w:tcBorders>
          </w:tcPr>
          <w:p>
            <w:pPr>
              <w:pStyle w:val="TableParagraph"/>
              <w:spacing w:before="11"/>
              <w:ind w:left="17"/>
              <w:jc w:val="left"/>
              <w:rPr>
                <w:sz w:val="14"/>
              </w:rPr>
            </w:pPr>
            <w:r>
              <w:rPr>
                <w:w w:val="120"/>
                <w:sz w:val="14"/>
              </w:rPr>
              <w:t>Total</w:t>
            </w:r>
          </w:p>
        </w:tc>
        <w:tc>
          <w:tcPr>
            <w:tcW w:w="623" w:type="dxa"/>
            <w:tcBorders>
              <w:top w:val="nil"/>
              <w:left w:val="nil"/>
              <w:bottom w:val="nil"/>
              <w:right w:val="nil"/>
            </w:tcBorders>
          </w:tcPr>
          <w:p>
            <w:pPr>
              <w:pStyle w:val="TableParagraph"/>
              <w:spacing w:before="11"/>
              <w:ind w:right="75"/>
              <w:rPr>
                <w:sz w:val="14"/>
              </w:rPr>
            </w:pPr>
            <w:r>
              <w:rPr>
                <w:w w:val="120"/>
                <w:sz w:val="14"/>
              </w:rPr>
              <w:t>100.0</w:t>
            </w:r>
          </w:p>
        </w:tc>
        <w:tc>
          <w:tcPr>
            <w:tcW w:w="536" w:type="dxa"/>
            <w:tcBorders>
              <w:top w:val="nil"/>
              <w:left w:val="nil"/>
              <w:bottom w:val="nil"/>
              <w:right w:val="nil"/>
            </w:tcBorders>
          </w:tcPr>
          <w:p>
            <w:pPr>
              <w:pStyle w:val="TableParagraph"/>
              <w:spacing w:before="11"/>
              <w:ind w:right="73"/>
              <w:rPr>
                <w:sz w:val="14"/>
              </w:rPr>
            </w:pPr>
            <w:r>
              <w:rPr>
                <w:w w:val="120"/>
                <w:sz w:val="14"/>
              </w:rPr>
              <w:t>100</w:t>
            </w:r>
          </w:p>
        </w:tc>
        <w:tc>
          <w:tcPr>
            <w:tcW w:w="523" w:type="dxa"/>
            <w:tcBorders>
              <w:top w:val="nil"/>
              <w:left w:val="nil"/>
              <w:bottom w:val="nil"/>
              <w:right w:val="single" w:sz="4" w:space="0" w:color="000000"/>
            </w:tcBorders>
          </w:tcPr>
          <w:p>
            <w:pPr>
              <w:pStyle w:val="TableParagraph"/>
              <w:spacing w:before="11"/>
              <w:ind w:right="59"/>
              <w:rPr>
                <w:sz w:val="14"/>
              </w:rPr>
            </w:pPr>
            <w:r>
              <w:rPr>
                <w:w w:val="120"/>
                <w:sz w:val="14"/>
              </w:rPr>
              <w:t>100.0</w:t>
            </w:r>
          </w:p>
        </w:tc>
        <w:tc>
          <w:tcPr>
            <w:tcW w:w="1547" w:type="dxa"/>
            <w:tcBorders>
              <w:top w:val="nil"/>
              <w:left w:val="single" w:sz="4" w:space="0" w:color="000000"/>
              <w:bottom w:val="nil"/>
              <w:right w:val="nil"/>
            </w:tcBorders>
          </w:tcPr>
          <w:p>
            <w:pPr/>
          </w:p>
        </w:tc>
        <w:tc>
          <w:tcPr>
            <w:tcW w:w="608" w:type="dxa"/>
            <w:tcBorders>
              <w:top w:val="nil"/>
              <w:left w:val="nil"/>
              <w:bottom w:val="nil"/>
              <w:right w:val="nil"/>
            </w:tcBorders>
          </w:tcPr>
          <w:p>
            <w:pPr>
              <w:pStyle w:val="TableParagraph"/>
              <w:spacing w:before="11"/>
              <w:ind w:right="75"/>
              <w:rPr>
                <w:sz w:val="14"/>
              </w:rPr>
            </w:pPr>
            <w:r>
              <w:rPr>
                <w:w w:val="120"/>
                <w:sz w:val="14"/>
              </w:rPr>
              <w:t>100.0</w:t>
            </w:r>
          </w:p>
        </w:tc>
        <w:tc>
          <w:tcPr>
            <w:tcW w:w="536" w:type="dxa"/>
            <w:tcBorders>
              <w:top w:val="nil"/>
              <w:left w:val="nil"/>
              <w:bottom w:val="nil"/>
              <w:right w:val="nil"/>
            </w:tcBorders>
          </w:tcPr>
          <w:p>
            <w:pPr>
              <w:pStyle w:val="TableParagraph"/>
              <w:spacing w:before="11"/>
              <w:ind w:right="74"/>
              <w:rPr>
                <w:sz w:val="14"/>
              </w:rPr>
            </w:pPr>
            <w:r>
              <w:rPr>
                <w:w w:val="120"/>
                <w:sz w:val="14"/>
              </w:rPr>
              <w:t>100.0</w:t>
            </w:r>
          </w:p>
        </w:tc>
        <w:tc>
          <w:tcPr>
            <w:tcW w:w="523" w:type="dxa"/>
            <w:tcBorders>
              <w:top w:val="nil"/>
              <w:left w:val="nil"/>
              <w:bottom w:val="nil"/>
              <w:right w:val="nil"/>
            </w:tcBorders>
          </w:tcPr>
          <w:p>
            <w:pPr>
              <w:pStyle w:val="TableParagraph"/>
              <w:spacing w:before="11"/>
              <w:ind w:right="62"/>
              <w:rPr>
                <w:sz w:val="14"/>
              </w:rPr>
            </w:pPr>
            <w:r>
              <w:rPr>
                <w:w w:val="120"/>
                <w:sz w:val="14"/>
              </w:rPr>
              <w:t>100.0</w:t>
            </w:r>
          </w:p>
        </w:tc>
      </w:tr>
      <w:tr>
        <w:trPr>
          <w:trHeight w:val="181" w:hRule="exact"/>
        </w:trPr>
        <w:tc>
          <w:tcPr>
            <w:tcW w:w="1626" w:type="dxa"/>
            <w:tcBorders>
              <w:top w:val="nil"/>
              <w:left w:val="nil"/>
              <w:bottom w:val="nil"/>
              <w:right w:val="nil"/>
            </w:tcBorders>
          </w:tcPr>
          <w:p>
            <w:pPr>
              <w:pStyle w:val="TableParagraph"/>
              <w:spacing w:line="154" w:lineRule="exact"/>
              <w:ind w:left="17"/>
              <w:jc w:val="left"/>
              <w:rPr>
                <w:i/>
                <w:sz w:val="14"/>
              </w:rPr>
            </w:pPr>
            <w:r>
              <w:rPr>
                <w:i/>
                <w:w w:val="120"/>
                <w:sz w:val="14"/>
              </w:rPr>
              <w:t>Edad</w:t>
            </w:r>
          </w:p>
        </w:tc>
        <w:tc>
          <w:tcPr>
            <w:tcW w:w="623"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single" w:sz="4" w:space="0" w:color="000000"/>
            </w:tcBorders>
          </w:tcPr>
          <w:p>
            <w:pPr/>
          </w:p>
        </w:tc>
        <w:tc>
          <w:tcPr>
            <w:tcW w:w="1547" w:type="dxa"/>
            <w:tcBorders>
              <w:top w:val="nil"/>
              <w:left w:val="single" w:sz="4" w:space="0" w:color="000000"/>
              <w:bottom w:val="nil"/>
              <w:right w:val="nil"/>
            </w:tcBorders>
          </w:tcPr>
          <w:p>
            <w:pPr/>
          </w:p>
        </w:tc>
        <w:tc>
          <w:tcPr>
            <w:tcW w:w="608"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nil"/>
            </w:tcBorders>
          </w:tcPr>
          <w:p>
            <w:pPr/>
          </w:p>
        </w:tc>
      </w:tr>
      <w:tr>
        <w:trPr>
          <w:trHeight w:val="200" w:hRule="exact"/>
        </w:trPr>
        <w:tc>
          <w:tcPr>
            <w:tcW w:w="1626" w:type="dxa"/>
            <w:tcBorders>
              <w:top w:val="nil"/>
              <w:left w:val="nil"/>
              <w:bottom w:val="nil"/>
              <w:right w:val="nil"/>
            </w:tcBorders>
          </w:tcPr>
          <w:p>
            <w:pPr>
              <w:pStyle w:val="TableParagraph"/>
              <w:spacing w:before="11"/>
              <w:ind w:left="17"/>
              <w:jc w:val="left"/>
              <w:rPr>
                <w:sz w:val="14"/>
              </w:rPr>
            </w:pPr>
            <w:r>
              <w:rPr>
                <w:w w:val="120"/>
                <w:sz w:val="14"/>
              </w:rPr>
              <w:t>12-24 años</w:t>
            </w:r>
          </w:p>
        </w:tc>
        <w:tc>
          <w:tcPr>
            <w:tcW w:w="623" w:type="dxa"/>
            <w:tcBorders>
              <w:top w:val="nil"/>
              <w:left w:val="nil"/>
              <w:bottom w:val="nil"/>
              <w:right w:val="nil"/>
            </w:tcBorders>
          </w:tcPr>
          <w:p>
            <w:pPr>
              <w:pStyle w:val="TableParagraph"/>
              <w:spacing w:before="11"/>
              <w:ind w:right="76"/>
              <w:rPr>
                <w:sz w:val="14"/>
              </w:rPr>
            </w:pPr>
            <w:r>
              <w:rPr>
                <w:w w:val="120"/>
                <w:sz w:val="14"/>
              </w:rPr>
              <w:t>5.6</w:t>
            </w:r>
          </w:p>
        </w:tc>
        <w:tc>
          <w:tcPr>
            <w:tcW w:w="536" w:type="dxa"/>
            <w:tcBorders>
              <w:top w:val="nil"/>
              <w:left w:val="nil"/>
              <w:bottom w:val="nil"/>
              <w:right w:val="nil"/>
            </w:tcBorders>
          </w:tcPr>
          <w:p>
            <w:pPr>
              <w:pStyle w:val="TableParagraph"/>
              <w:spacing w:before="11"/>
              <w:ind w:right="74"/>
              <w:rPr>
                <w:sz w:val="14"/>
              </w:rPr>
            </w:pPr>
            <w:r>
              <w:rPr>
                <w:w w:val="120"/>
                <w:sz w:val="14"/>
              </w:rPr>
              <w:t>14.8</w:t>
            </w:r>
          </w:p>
        </w:tc>
        <w:tc>
          <w:tcPr>
            <w:tcW w:w="523" w:type="dxa"/>
            <w:tcBorders>
              <w:top w:val="nil"/>
              <w:left w:val="nil"/>
              <w:bottom w:val="nil"/>
              <w:right w:val="single" w:sz="4" w:space="0" w:color="000000"/>
            </w:tcBorders>
          </w:tcPr>
          <w:p>
            <w:pPr>
              <w:pStyle w:val="TableParagraph"/>
              <w:spacing w:before="11"/>
              <w:ind w:right="58"/>
              <w:rPr>
                <w:sz w:val="14"/>
              </w:rPr>
            </w:pPr>
            <w:r>
              <w:rPr>
                <w:w w:val="120"/>
                <w:sz w:val="14"/>
              </w:rPr>
              <w:t>14.8</w:t>
            </w:r>
          </w:p>
        </w:tc>
        <w:tc>
          <w:tcPr>
            <w:tcW w:w="1547" w:type="dxa"/>
            <w:tcBorders>
              <w:top w:val="nil"/>
              <w:left w:val="single" w:sz="4" w:space="0" w:color="000000"/>
              <w:bottom w:val="nil"/>
              <w:right w:val="nil"/>
            </w:tcBorders>
          </w:tcPr>
          <w:p>
            <w:pPr>
              <w:pStyle w:val="TableParagraph"/>
              <w:spacing w:before="11"/>
              <w:ind w:left="63"/>
              <w:jc w:val="left"/>
              <w:rPr>
                <w:sz w:val="14"/>
              </w:rPr>
            </w:pPr>
            <w:r>
              <w:rPr>
                <w:w w:val="120"/>
                <w:sz w:val="14"/>
              </w:rPr>
              <w:t>12-24 años</w:t>
            </w:r>
          </w:p>
        </w:tc>
        <w:tc>
          <w:tcPr>
            <w:tcW w:w="608" w:type="dxa"/>
            <w:tcBorders>
              <w:top w:val="nil"/>
              <w:left w:val="nil"/>
              <w:bottom w:val="nil"/>
              <w:right w:val="nil"/>
            </w:tcBorders>
          </w:tcPr>
          <w:p>
            <w:pPr>
              <w:pStyle w:val="TableParagraph"/>
              <w:spacing w:before="11"/>
              <w:ind w:right="75"/>
              <w:rPr>
                <w:sz w:val="14"/>
              </w:rPr>
            </w:pPr>
            <w:r>
              <w:rPr>
                <w:w w:val="120"/>
                <w:sz w:val="14"/>
              </w:rPr>
              <w:t>10.5</w:t>
            </w:r>
          </w:p>
        </w:tc>
        <w:tc>
          <w:tcPr>
            <w:tcW w:w="536" w:type="dxa"/>
            <w:tcBorders>
              <w:top w:val="nil"/>
              <w:left w:val="nil"/>
              <w:bottom w:val="nil"/>
              <w:right w:val="nil"/>
            </w:tcBorders>
          </w:tcPr>
          <w:p>
            <w:pPr>
              <w:pStyle w:val="TableParagraph"/>
              <w:spacing w:before="11"/>
              <w:ind w:right="74"/>
              <w:rPr>
                <w:sz w:val="14"/>
              </w:rPr>
            </w:pPr>
            <w:r>
              <w:rPr>
                <w:w w:val="120"/>
                <w:sz w:val="14"/>
              </w:rPr>
              <w:t>23.7</w:t>
            </w:r>
          </w:p>
        </w:tc>
        <w:tc>
          <w:tcPr>
            <w:tcW w:w="523" w:type="dxa"/>
            <w:tcBorders>
              <w:top w:val="nil"/>
              <w:left w:val="nil"/>
              <w:bottom w:val="nil"/>
              <w:right w:val="nil"/>
            </w:tcBorders>
          </w:tcPr>
          <w:p>
            <w:pPr>
              <w:pStyle w:val="TableParagraph"/>
              <w:spacing w:before="11"/>
              <w:ind w:right="61"/>
              <w:rPr>
                <w:sz w:val="14"/>
              </w:rPr>
            </w:pPr>
            <w:r>
              <w:rPr>
                <w:w w:val="120"/>
                <w:sz w:val="14"/>
              </w:rPr>
              <w:t>23</w:t>
            </w:r>
          </w:p>
        </w:tc>
      </w:tr>
      <w:tr>
        <w:trPr>
          <w:trHeight w:val="200" w:hRule="exact"/>
        </w:trPr>
        <w:tc>
          <w:tcPr>
            <w:tcW w:w="1626" w:type="dxa"/>
            <w:tcBorders>
              <w:top w:val="nil"/>
              <w:left w:val="nil"/>
              <w:bottom w:val="nil"/>
              <w:right w:val="nil"/>
            </w:tcBorders>
          </w:tcPr>
          <w:p>
            <w:pPr>
              <w:pStyle w:val="TableParagraph"/>
              <w:spacing w:before="11"/>
              <w:ind w:left="17"/>
              <w:jc w:val="left"/>
              <w:rPr>
                <w:sz w:val="14"/>
              </w:rPr>
            </w:pPr>
            <w:r>
              <w:rPr>
                <w:w w:val="120"/>
                <w:sz w:val="14"/>
              </w:rPr>
              <w:t>25-34 años</w:t>
            </w:r>
          </w:p>
        </w:tc>
        <w:tc>
          <w:tcPr>
            <w:tcW w:w="623" w:type="dxa"/>
            <w:tcBorders>
              <w:top w:val="nil"/>
              <w:left w:val="nil"/>
              <w:bottom w:val="nil"/>
              <w:right w:val="nil"/>
            </w:tcBorders>
          </w:tcPr>
          <w:p>
            <w:pPr>
              <w:pStyle w:val="TableParagraph"/>
              <w:spacing w:before="11"/>
              <w:ind w:right="75"/>
              <w:rPr>
                <w:sz w:val="14"/>
              </w:rPr>
            </w:pPr>
            <w:r>
              <w:rPr>
                <w:w w:val="120"/>
                <w:sz w:val="14"/>
              </w:rPr>
              <w:t>94.4</w:t>
            </w:r>
          </w:p>
        </w:tc>
        <w:tc>
          <w:tcPr>
            <w:tcW w:w="536" w:type="dxa"/>
            <w:tcBorders>
              <w:top w:val="nil"/>
              <w:left w:val="nil"/>
              <w:bottom w:val="nil"/>
              <w:right w:val="nil"/>
            </w:tcBorders>
          </w:tcPr>
          <w:p>
            <w:pPr>
              <w:pStyle w:val="TableParagraph"/>
              <w:spacing w:before="11"/>
              <w:ind w:right="74"/>
              <w:rPr>
                <w:sz w:val="14"/>
              </w:rPr>
            </w:pPr>
            <w:r>
              <w:rPr>
                <w:w w:val="120"/>
                <w:sz w:val="14"/>
              </w:rPr>
              <w:t>44.1</w:t>
            </w:r>
          </w:p>
        </w:tc>
        <w:tc>
          <w:tcPr>
            <w:tcW w:w="523" w:type="dxa"/>
            <w:tcBorders>
              <w:top w:val="nil"/>
              <w:left w:val="nil"/>
              <w:bottom w:val="nil"/>
              <w:right w:val="single" w:sz="4" w:space="0" w:color="000000"/>
            </w:tcBorders>
          </w:tcPr>
          <w:p>
            <w:pPr>
              <w:pStyle w:val="TableParagraph"/>
              <w:spacing w:before="11"/>
              <w:ind w:right="58"/>
              <w:rPr>
                <w:sz w:val="14"/>
              </w:rPr>
            </w:pPr>
            <w:r>
              <w:rPr>
                <w:w w:val="120"/>
                <w:sz w:val="14"/>
              </w:rPr>
              <w:t>44.4</w:t>
            </w:r>
          </w:p>
        </w:tc>
        <w:tc>
          <w:tcPr>
            <w:tcW w:w="1547" w:type="dxa"/>
            <w:tcBorders>
              <w:top w:val="nil"/>
              <w:left w:val="single" w:sz="4" w:space="0" w:color="000000"/>
              <w:bottom w:val="nil"/>
              <w:right w:val="nil"/>
            </w:tcBorders>
          </w:tcPr>
          <w:p>
            <w:pPr>
              <w:pStyle w:val="TableParagraph"/>
              <w:spacing w:before="11"/>
              <w:ind w:left="63"/>
              <w:jc w:val="left"/>
              <w:rPr>
                <w:sz w:val="14"/>
              </w:rPr>
            </w:pPr>
            <w:r>
              <w:rPr>
                <w:w w:val="120"/>
                <w:sz w:val="14"/>
              </w:rPr>
              <w:t>25-34 años</w:t>
            </w:r>
          </w:p>
        </w:tc>
        <w:tc>
          <w:tcPr>
            <w:tcW w:w="608" w:type="dxa"/>
            <w:tcBorders>
              <w:top w:val="nil"/>
              <w:left w:val="nil"/>
              <w:bottom w:val="nil"/>
              <w:right w:val="nil"/>
            </w:tcBorders>
          </w:tcPr>
          <w:p>
            <w:pPr>
              <w:pStyle w:val="TableParagraph"/>
              <w:spacing w:before="11"/>
              <w:ind w:right="75"/>
              <w:rPr>
                <w:sz w:val="14"/>
              </w:rPr>
            </w:pPr>
            <w:r>
              <w:rPr>
                <w:w w:val="120"/>
                <w:sz w:val="14"/>
              </w:rPr>
              <w:t>55.7</w:t>
            </w:r>
          </w:p>
        </w:tc>
        <w:tc>
          <w:tcPr>
            <w:tcW w:w="536" w:type="dxa"/>
            <w:tcBorders>
              <w:top w:val="nil"/>
              <w:left w:val="nil"/>
              <w:bottom w:val="nil"/>
              <w:right w:val="nil"/>
            </w:tcBorders>
          </w:tcPr>
          <w:p>
            <w:pPr>
              <w:pStyle w:val="TableParagraph"/>
              <w:spacing w:before="11"/>
              <w:ind w:right="74"/>
              <w:rPr>
                <w:sz w:val="14"/>
              </w:rPr>
            </w:pPr>
            <w:r>
              <w:rPr>
                <w:w w:val="120"/>
                <w:sz w:val="14"/>
              </w:rPr>
              <w:t>38.2</w:t>
            </w:r>
          </w:p>
        </w:tc>
        <w:tc>
          <w:tcPr>
            <w:tcW w:w="523" w:type="dxa"/>
            <w:tcBorders>
              <w:top w:val="nil"/>
              <w:left w:val="nil"/>
              <w:bottom w:val="nil"/>
              <w:right w:val="nil"/>
            </w:tcBorders>
          </w:tcPr>
          <w:p>
            <w:pPr>
              <w:pStyle w:val="TableParagraph"/>
              <w:spacing w:before="11"/>
              <w:ind w:right="62"/>
              <w:rPr>
                <w:sz w:val="14"/>
              </w:rPr>
            </w:pPr>
            <w:r>
              <w:rPr>
                <w:w w:val="120"/>
                <w:sz w:val="14"/>
              </w:rPr>
              <w:t>39.1</w:t>
            </w:r>
          </w:p>
        </w:tc>
      </w:tr>
      <w:tr>
        <w:trPr>
          <w:trHeight w:val="201" w:hRule="exact"/>
        </w:trPr>
        <w:tc>
          <w:tcPr>
            <w:tcW w:w="1626" w:type="dxa"/>
            <w:tcBorders>
              <w:top w:val="nil"/>
              <w:left w:val="nil"/>
              <w:bottom w:val="nil"/>
              <w:right w:val="nil"/>
            </w:tcBorders>
          </w:tcPr>
          <w:p>
            <w:pPr>
              <w:pStyle w:val="TableParagraph"/>
              <w:spacing w:before="11"/>
              <w:ind w:left="17"/>
              <w:jc w:val="left"/>
              <w:rPr>
                <w:sz w:val="14"/>
              </w:rPr>
            </w:pPr>
            <w:r>
              <w:rPr>
                <w:w w:val="120"/>
                <w:sz w:val="14"/>
              </w:rPr>
              <w:t>35-44 años</w:t>
            </w:r>
          </w:p>
        </w:tc>
        <w:tc>
          <w:tcPr>
            <w:tcW w:w="623" w:type="dxa"/>
            <w:tcBorders>
              <w:top w:val="nil"/>
              <w:left w:val="nil"/>
              <w:bottom w:val="nil"/>
              <w:right w:val="nil"/>
            </w:tcBorders>
          </w:tcPr>
          <w:p>
            <w:pPr>
              <w:pStyle w:val="TableParagraph"/>
              <w:spacing w:before="11"/>
              <w:ind w:right="76"/>
              <w:rPr>
                <w:sz w:val="14"/>
              </w:rPr>
            </w:pPr>
            <w:r>
              <w:rPr>
                <w:w w:val="120"/>
                <w:sz w:val="14"/>
              </w:rPr>
              <w:t>0.0</w:t>
            </w:r>
          </w:p>
        </w:tc>
        <w:tc>
          <w:tcPr>
            <w:tcW w:w="536" w:type="dxa"/>
            <w:tcBorders>
              <w:top w:val="nil"/>
              <w:left w:val="nil"/>
              <w:bottom w:val="nil"/>
              <w:right w:val="nil"/>
            </w:tcBorders>
          </w:tcPr>
          <w:p>
            <w:pPr>
              <w:pStyle w:val="TableParagraph"/>
              <w:spacing w:before="11"/>
              <w:ind w:right="74"/>
              <w:rPr>
                <w:sz w:val="14"/>
              </w:rPr>
            </w:pPr>
            <w:r>
              <w:rPr>
                <w:w w:val="120"/>
                <w:sz w:val="14"/>
              </w:rPr>
              <w:t>39.6</w:t>
            </w:r>
          </w:p>
        </w:tc>
        <w:tc>
          <w:tcPr>
            <w:tcW w:w="523" w:type="dxa"/>
            <w:tcBorders>
              <w:top w:val="nil"/>
              <w:left w:val="nil"/>
              <w:bottom w:val="nil"/>
              <w:right w:val="single" w:sz="4" w:space="0" w:color="000000"/>
            </w:tcBorders>
          </w:tcPr>
          <w:p>
            <w:pPr>
              <w:pStyle w:val="TableParagraph"/>
              <w:spacing w:before="11"/>
              <w:ind w:right="58"/>
              <w:rPr>
                <w:sz w:val="14"/>
              </w:rPr>
            </w:pPr>
            <w:r>
              <w:rPr>
                <w:w w:val="120"/>
                <w:sz w:val="14"/>
              </w:rPr>
              <w:t>39.3</w:t>
            </w:r>
          </w:p>
        </w:tc>
        <w:tc>
          <w:tcPr>
            <w:tcW w:w="1547" w:type="dxa"/>
            <w:tcBorders>
              <w:top w:val="nil"/>
              <w:left w:val="single" w:sz="4" w:space="0" w:color="000000"/>
              <w:bottom w:val="nil"/>
              <w:right w:val="nil"/>
            </w:tcBorders>
          </w:tcPr>
          <w:p>
            <w:pPr>
              <w:pStyle w:val="TableParagraph"/>
              <w:spacing w:before="11"/>
              <w:ind w:left="63"/>
              <w:jc w:val="left"/>
              <w:rPr>
                <w:sz w:val="14"/>
              </w:rPr>
            </w:pPr>
            <w:r>
              <w:rPr>
                <w:w w:val="120"/>
                <w:sz w:val="14"/>
              </w:rPr>
              <w:t>35-44 años</w:t>
            </w:r>
          </w:p>
        </w:tc>
        <w:tc>
          <w:tcPr>
            <w:tcW w:w="608" w:type="dxa"/>
            <w:tcBorders>
              <w:top w:val="nil"/>
              <w:left w:val="nil"/>
              <w:bottom w:val="nil"/>
              <w:right w:val="nil"/>
            </w:tcBorders>
          </w:tcPr>
          <w:p>
            <w:pPr>
              <w:pStyle w:val="TableParagraph"/>
              <w:spacing w:before="11"/>
              <w:ind w:right="75"/>
              <w:rPr>
                <w:sz w:val="14"/>
              </w:rPr>
            </w:pPr>
            <w:r>
              <w:rPr>
                <w:w w:val="120"/>
                <w:sz w:val="14"/>
              </w:rPr>
              <w:t>29.1</w:t>
            </w:r>
          </w:p>
        </w:tc>
        <w:tc>
          <w:tcPr>
            <w:tcW w:w="536" w:type="dxa"/>
            <w:tcBorders>
              <w:top w:val="nil"/>
              <w:left w:val="nil"/>
              <w:bottom w:val="nil"/>
              <w:right w:val="nil"/>
            </w:tcBorders>
          </w:tcPr>
          <w:p>
            <w:pPr>
              <w:pStyle w:val="TableParagraph"/>
              <w:spacing w:before="11"/>
              <w:ind w:right="74"/>
              <w:rPr>
                <w:sz w:val="14"/>
              </w:rPr>
            </w:pPr>
            <w:r>
              <w:rPr>
                <w:w w:val="120"/>
                <w:sz w:val="14"/>
              </w:rPr>
              <w:t>26.3</w:t>
            </w:r>
          </w:p>
        </w:tc>
        <w:tc>
          <w:tcPr>
            <w:tcW w:w="523" w:type="dxa"/>
            <w:tcBorders>
              <w:top w:val="nil"/>
              <w:left w:val="nil"/>
              <w:bottom w:val="nil"/>
              <w:right w:val="nil"/>
            </w:tcBorders>
          </w:tcPr>
          <w:p>
            <w:pPr>
              <w:pStyle w:val="TableParagraph"/>
              <w:spacing w:before="11"/>
              <w:ind w:right="62"/>
              <w:rPr>
                <w:sz w:val="14"/>
              </w:rPr>
            </w:pPr>
            <w:r>
              <w:rPr>
                <w:w w:val="120"/>
                <w:sz w:val="14"/>
              </w:rPr>
              <w:t>26.4</w:t>
            </w:r>
          </w:p>
        </w:tc>
      </w:tr>
      <w:tr>
        <w:trPr>
          <w:trHeight w:val="201" w:hRule="exact"/>
        </w:trPr>
        <w:tc>
          <w:tcPr>
            <w:tcW w:w="1626" w:type="dxa"/>
            <w:tcBorders>
              <w:top w:val="nil"/>
              <w:left w:val="nil"/>
              <w:bottom w:val="nil"/>
              <w:right w:val="nil"/>
            </w:tcBorders>
          </w:tcPr>
          <w:p>
            <w:pPr>
              <w:pStyle w:val="TableParagraph"/>
              <w:spacing w:before="13"/>
              <w:ind w:left="17"/>
              <w:jc w:val="left"/>
              <w:rPr>
                <w:sz w:val="14"/>
              </w:rPr>
            </w:pPr>
            <w:r>
              <w:rPr>
                <w:w w:val="120"/>
                <w:sz w:val="14"/>
              </w:rPr>
              <w:t>45-54 años</w:t>
            </w:r>
          </w:p>
        </w:tc>
        <w:tc>
          <w:tcPr>
            <w:tcW w:w="623" w:type="dxa"/>
            <w:tcBorders>
              <w:top w:val="nil"/>
              <w:left w:val="nil"/>
              <w:bottom w:val="nil"/>
              <w:right w:val="nil"/>
            </w:tcBorders>
          </w:tcPr>
          <w:p>
            <w:pPr>
              <w:pStyle w:val="TableParagraph"/>
              <w:spacing w:before="13"/>
              <w:ind w:right="76"/>
              <w:rPr>
                <w:sz w:val="14"/>
              </w:rPr>
            </w:pPr>
            <w:r>
              <w:rPr>
                <w:w w:val="120"/>
                <w:sz w:val="14"/>
              </w:rPr>
              <w:t>0.0</w:t>
            </w:r>
          </w:p>
        </w:tc>
        <w:tc>
          <w:tcPr>
            <w:tcW w:w="536" w:type="dxa"/>
            <w:tcBorders>
              <w:top w:val="nil"/>
              <w:left w:val="nil"/>
              <w:bottom w:val="nil"/>
              <w:right w:val="nil"/>
            </w:tcBorders>
          </w:tcPr>
          <w:p>
            <w:pPr>
              <w:pStyle w:val="TableParagraph"/>
              <w:spacing w:before="13"/>
              <w:ind w:right="74"/>
              <w:rPr>
                <w:sz w:val="14"/>
              </w:rPr>
            </w:pPr>
            <w:r>
              <w:rPr>
                <w:w w:val="120"/>
                <w:sz w:val="14"/>
              </w:rPr>
              <w:t>1.4</w:t>
            </w:r>
          </w:p>
        </w:tc>
        <w:tc>
          <w:tcPr>
            <w:tcW w:w="523" w:type="dxa"/>
            <w:tcBorders>
              <w:top w:val="nil"/>
              <w:left w:val="nil"/>
              <w:bottom w:val="nil"/>
              <w:right w:val="single" w:sz="4" w:space="0" w:color="000000"/>
            </w:tcBorders>
          </w:tcPr>
          <w:p>
            <w:pPr>
              <w:pStyle w:val="TableParagraph"/>
              <w:spacing w:before="13"/>
              <w:ind w:right="57"/>
              <w:rPr>
                <w:sz w:val="14"/>
              </w:rPr>
            </w:pPr>
            <w:r>
              <w:rPr>
                <w:w w:val="120"/>
                <w:sz w:val="14"/>
              </w:rPr>
              <w:t>1.4</w:t>
            </w:r>
          </w:p>
        </w:tc>
        <w:tc>
          <w:tcPr>
            <w:tcW w:w="1547" w:type="dxa"/>
            <w:tcBorders>
              <w:top w:val="nil"/>
              <w:left w:val="single" w:sz="4" w:space="0" w:color="000000"/>
              <w:bottom w:val="nil"/>
              <w:right w:val="nil"/>
            </w:tcBorders>
          </w:tcPr>
          <w:p>
            <w:pPr>
              <w:pStyle w:val="TableParagraph"/>
              <w:spacing w:before="13"/>
              <w:ind w:left="63"/>
              <w:jc w:val="left"/>
              <w:rPr>
                <w:sz w:val="14"/>
              </w:rPr>
            </w:pPr>
            <w:r>
              <w:rPr>
                <w:w w:val="120"/>
                <w:sz w:val="14"/>
              </w:rPr>
              <w:t>45-54 años</w:t>
            </w:r>
          </w:p>
        </w:tc>
        <w:tc>
          <w:tcPr>
            <w:tcW w:w="608" w:type="dxa"/>
            <w:tcBorders>
              <w:top w:val="nil"/>
              <w:left w:val="nil"/>
              <w:bottom w:val="nil"/>
              <w:right w:val="nil"/>
            </w:tcBorders>
          </w:tcPr>
          <w:p>
            <w:pPr>
              <w:pStyle w:val="TableParagraph"/>
              <w:spacing w:before="13"/>
              <w:ind w:right="76"/>
              <w:rPr>
                <w:sz w:val="14"/>
              </w:rPr>
            </w:pPr>
            <w:r>
              <w:rPr>
                <w:w w:val="120"/>
                <w:sz w:val="14"/>
              </w:rPr>
              <w:t>4.7</w:t>
            </w:r>
          </w:p>
        </w:tc>
        <w:tc>
          <w:tcPr>
            <w:tcW w:w="536" w:type="dxa"/>
            <w:tcBorders>
              <w:top w:val="nil"/>
              <w:left w:val="nil"/>
              <w:bottom w:val="nil"/>
              <w:right w:val="nil"/>
            </w:tcBorders>
          </w:tcPr>
          <w:p>
            <w:pPr>
              <w:pStyle w:val="TableParagraph"/>
              <w:spacing w:before="13"/>
              <w:ind w:right="74"/>
              <w:rPr>
                <w:sz w:val="14"/>
              </w:rPr>
            </w:pPr>
            <w:r>
              <w:rPr>
                <w:w w:val="120"/>
                <w:sz w:val="14"/>
              </w:rPr>
              <w:t>6.4</w:t>
            </w:r>
          </w:p>
        </w:tc>
        <w:tc>
          <w:tcPr>
            <w:tcW w:w="523" w:type="dxa"/>
            <w:tcBorders>
              <w:top w:val="nil"/>
              <w:left w:val="nil"/>
              <w:bottom w:val="nil"/>
              <w:right w:val="nil"/>
            </w:tcBorders>
          </w:tcPr>
          <w:p>
            <w:pPr>
              <w:pStyle w:val="TableParagraph"/>
              <w:spacing w:before="13"/>
              <w:ind w:right="61"/>
              <w:rPr>
                <w:sz w:val="14"/>
              </w:rPr>
            </w:pPr>
            <w:r>
              <w:rPr>
                <w:w w:val="120"/>
                <w:sz w:val="14"/>
              </w:rPr>
              <w:t>6.3</w:t>
            </w:r>
          </w:p>
        </w:tc>
      </w:tr>
      <w:tr>
        <w:trPr>
          <w:trHeight w:val="200" w:hRule="exact"/>
        </w:trPr>
        <w:tc>
          <w:tcPr>
            <w:tcW w:w="1626" w:type="dxa"/>
            <w:tcBorders>
              <w:top w:val="nil"/>
              <w:left w:val="nil"/>
              <w:bottom w:val="nil"/>
              <w:right w:val="nil"/>
            </w:tcBorders>
          </w:tcPr>
          <w:p>
            <w:pPr>
              <w:pStyle w:val="TableParagraph"/>
              <w:spacing w:before="11"/>
              <w:ind w:left="17"/>
              <w:jc w:val="left"/>
              <w:rPr>
                <w:sz w:val="14"/>
              </w:rPr>
            </w:pPr>
            <w:r>
              <w:rPr>
                <w:w w:val="120"/>
                <w:sz w:val="14"/>
              </w:rPr>
              <w:t>55-64 años</w:t>
            </w:r>
          </w:p>
        </w:tc>
        <w:tc>
          <w:tcPr>
            <w:tcW w:w="623" w:type="dxa"/>
            <w:tcBorders>
              <w:top w:val="nil"/>
              <w:left w:val="nil"/>
              <w:bottom w:val="nil"/>
              <w:right w:val="nil"/>
            </w:tcBorders>
          </w:tcPr>
          <w:p>
            <w:pPr>
              <w:pStyle w:val="TableParagraph"/>
              <w:spacing w:before="11"/>
              <w:ind w:right="76"/>
              <w:rPr>
                <w:sz w:val="14"/>
              </w:rPr>
            </w:pPr>
            <w:r>
              <w:rPr>
                <w:w w:val="120"/>
                <w:sz w:val="14"/>
              </w:rPr>
              <w:t>0.0</w:t>
            </w:r>
          </w:p>
        </w:tc>
        <w:tc>
          <w:tcPr>
            <w:tcW w:w="536" w:type="dxa"/>
            <w:tcBorders>
              <w:top w:val="nil"/>
              <w:left w:val="nil"/>
              <w:bottom w:val="nil"/>
              <w:right w:val="nil"/>
            </w:tcBorders>
          </w:tcPr>
          <w:p>
            <w:pPr>
              <w:pStyle w:val="TableParagraph"/>
              <w:spacing w:before="11"/>
              <w:ind w:right="74"/>
              <w:rPr>
                <w:sz w:val="14"/>
              </w:rPr>
            </w:pPr>
            <w:r>
              <w:rPr>
                <w:w w:val="120"/>
                <w:sz w:val="14"/>
              </w:rPr>
              <w:t>0.1</w:t>
            </w:r>
          </w:p>
        </w:tc>
        <w:tc>
          <w:tcPr>
            <w:tcW w:w="523" w:type="dxa"/>
            <w:tcBorders>
              <w:top w:val="nil"/>
              <w:left w:val="nil"/>
              <w:bottom w:val="nil"/>
              <w:right w:val="single" w:sz="4" w:space="0" w:color="000000"/>
            </w:tcBorders>
          </w:tcPr>
          <w:p>
            <w:pPr>
              <w:pStyle w:val="TableParagraph"/>
              <w:spacing w:before="11"/>
              <w:ind w:right="57"/>
              <w:rPr>
                <w:sz w:val="14"/>
              </w:rPr>
            </w:pPr>
            <w:r>
              <w:rPr>
                <w:w w:val="120"/>
                <w:sz w:val="14"/>
              </w:rPr>
              <w:t>0.1</w:t>
            </w:r>
          </w:p>
        </w:tc>
        <w:tc>
          <w:tcPr>
            <w:tcW w:w="1547" w:type="dxa"/>
            <w:tcBorders>
              <w:top w:val="nil"/>
              <w:left w:val="single" w:sz="4" w:space="0" w:color="000000"/>
              <w:bottom w:val="nil"/>
              <w:right w:val="nil"/>
            </w:tcBorders>
          </w:tcPr>
          <w:p>
            <w:pPr>
              <w:pStyle w:val="TableParagraph"/>
              <w:spacing w:before="11"/>
              <w:ind w:left="63"/>
              <w:jc w:val="left"/>
              <w:rPr>
                <w:sz w:val="14"/>
              </w:rPr>
            </w:pPr>
            <w:r>
              <w:rPr>
                <w:w w:val="120"/>
                <w:sz w:val="14"/>
              </w:rPr>
              <w:t>55-64 años</w:t>
            </w:r>
          </w:p>
        </w:tc>
        <w:tc>
          <w:tcPr>
            <w:tcW w:w="608" w:type="dxa"/>
            <w:tcBorders>
              <w:top w:val="nil"/>
              <w:left w:val="nil"/>
              <w:bottom w:val="nil"/>
              <w:right w:val="nil"/>
            </w:tcBorders>
          </w:tcPr>
          <w:p>
            <w:pPr>
              <w:pStyle w:val="TableParagraph"/>
              <w:spacing w:before="11"/>
              <w:ind w:right="75"/>
              <w:rPr>
                <w:sz w:val="14"/>
              </w:rPr>
            </w:pPr>
            <w:r>
              <w:rPr>
                <w:w w:val="119"/>
                <w:sz w:val="14"/>
              </w:rPr>
              <w:t>0</w:t>
            </w:r>
          </w:p>
        </w:tc>
        <w:tc>
          <w:tcPr>
            <w:tcW w:w="536" w:type="dxa"/>
            <w:tcBorders>
              <w:top w:val="nil"/>
              <w:left w:val="nil"/>
              <w:bottom w:val="nil"/>
              <w:right w:val="nil"/>
            </w:tcBorders>
          </w:tcPr>
          <w:p>
            <w:pPr>
              <w:pStyle w:val="TableParagraph"/>
              <w:spacing w:before="11"/>
              <w:ind w:right="74"/>
              <w:rPr>
                <w:sz w:val="14"/>
              </w:rPr>
            </w:pPr>
            <w:r>
              <w:rPr>
                <w:w w:val="120"/>
                <w:sz w:val="14"/>
              </w:rPr>
              <w:t>3.5</w:t>
            </w:r>
          </w:p>
        </w:tc>
        <w:tc>
          <w:tcPr>
            <w:tcW w:w="523" w:type="dxa"/>
            <w:tcBorders>
              <w:top w:val="nil"/>
              <w:left w:val="nil"/>
              <w:bottom w:val="nil"/>
              <w:right w:val="nil"/>
            </w:tcBorders>
          </w:tcPr>
          <w:p>
            <w:pPr>
              <w:pStyle w:val="TableParagraph"/>
              <w:spacing w:before="11"/>
              <w:ind w:right="61"/>
              <w:rPr>
                <w:sz w:val="14"/>
              </w:rPr>
            </w:pPr>
            <w:r>
              <w:rPr>
                <w:w w:val="120"/>
                <w:sz w:val="14"/>
              </w:rPr>
              <w:t>3.7</w:t>
            </w:r>
          </w:p>
        </w:tc>
      </w:tr>
      <w:tr>
        <w:trPr>
          <w:trHeight w:val="200" w:hRule="exact"/>
        </w:trPr>
        <w:tc>
          <w:tcPr>
            <w:tcW w:w="1626" w:type="dxa"/>
            <w:tcBorders>
              <w:top w:val="nil"/>
              <w:left w:val="nil"/>
              <w:bottom w:val="nil"/>
              <w:right w:val="nil"/>
            </w:tcBorders>
          </w:tcPr>
          <w:p>
            <w:pPr/>
          </w:p>
        </w:tc>
        <w:tc>
          <w:tcPr>
            <w:tcW w:w="623"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single" w:sz="4" w:space="0" w:color="000000"/>
            </w:tcBorders>
          </w:tcPr>
          <w:p>
            <w:pPr/>
          </w:p>
        </w:tc>
        <w:tc>
          <w:tcPr>
            <w:tcW w:w="1547" w:type="dxa"/>
            <w:tcBorders>
              <w:top w:val="nil"/>
              <w:left w:val="single" w:sz="4" w:space="0" w:color="000000"/>
              <w:bottom w:val="nil"/>
              <w:right w:val="nil"/>
            </w:tcBorders>
          </w:tcPr>
          <w:p>
            <w:pPr>
              <w:pStyle w:val="TableParagraph"/>
              <w:spacing w:before="11"/>
              <w:ind w:left="63"/>
              <w:jc w:val="left"/>
              <w:rPr>
                <w:sz w:val="14"/>
              </w:rPr>
            </w:pPr>
            <w:r>
              <w:rPr>
                <w:w w:val="120"/>
                <w:sz w:val="14"/>
              </w:rPr>
              <w:t>65 años o más</w:t>
            </w:r>
          </w:p>
        </w:tc>
        <w:tc>
          <w:tcPr>
            <w:tcW w:w="608" w:type="dxa"/>
            <w:tcBorders>
              <w:top w:val="nil"/>
              <w:left w:val="nil"/>
              <w:bottom w:val="nil"/>
              <w:right w:val="nil"/>
            </w:tcBorders>
          </w:tcPr>
          <w:p>
            <w:pPr>
              <w:pStyle w:val="TableParagraph"/>
              <w:spacing w:before="11"/>
              <w:ind w:right="75"/>
              <w:rPr>
                <w:sz w:val="14"/>
              </w:rPr>
            </w:pPr>
            <w:r>
              <w:rPr>
                <w:w w:val="119"/>
                <w:sz w:val="14"/>
              </w:rPr>
              <w:t>0</w:t>
            </w:r>
          </w:p>
        </w:tc>
        <w:tc>
          <w:tcPr>
            <w:tcW w:w="536" w:type="dxa"/>
            <w:tcBorders>
              <w:top w:val="nil"/>
              <w:left w:val="nil"/>
              <w:bottom w:val="nil"/>
              <w:right w:val="nil"/>
            </w:tcBorders>
          </w:tcPr>
          <w:p>
            <w:pPr>
              <w:pStyle w:val="TableParagraph"/>
              <w:spacing w:before="11"/>
              <w:ind w:right="74"/>
              <w:rPr>
                <w:sz w:val="14"/>
              </w:rPr>
            </w:pPr>
            <w:r>
              <w:rPr>
                <w:w w:val="120"/>
                <w:sz w:val="14"/>
              </w:rPr>
              <w:t>2.0</w:t>
            </w:r>
          </w:p>
        </w:tc>
        <w:tc>
          <w:tcPr>
            <w:tcW w:w="523" w:type="dxa"/>
            <w:tcBorders>
              <w:top w:val="nil"/>
              <w:left w:val="nil"/>
              <w:bottom w:val="nil"/>
              <w:right w:val="nil"/>
            </w:tcBorders>
          </w:tcPr>
          <w:p>
            <w:pPr>
              <w:pStyle w:val="TableParagraph"/>
              <w:spacing w:before="11"/>
              <w:ind w:right="61"/>
              <w:rPr>
                <w:sz w:val="14"/>
              </w:rPr>
            </w:pPr>
            <w:r>
              <w:rPr>
                <w:w w:val="120"/>
                <w:sz w:val="14"/>
              </w:rPr>
              <w:t>1.9</w:t>
            </w:r>
          </w:p>
        </w:tc>
      </w:tr>
      <w:tr>
        <w:trPr>
          <w:trHeight w:val="200" w:hRule="exact"/>
        </w:trPr>
        <w:tc>
          <w:tcPr>
            <w:tcW w:w="1626" w:type="dxa"/>
            <w:tcBorders>
              <w:top w:val="nil"/>
              <w:left w:val="nil"/>
              <w:bottom w:val="nil"/>
              <w:right w:val="nil"/>
            </w:tcBorders>
          </w:tcPr>
          <w:p>
            <w:pPr>
              <w:pStyle w:val="TableParagraph"/>
              <w:spacing w:before="11"/>
              <w:ind w:left="17"/>
              <w:jc w:val="left"/>
              <w:rPr>
                <w:sz w:val="14"/>
              </w:rPr>
            </w:pPr>
            <w:r>
              <w:rPr>
                <w:w w:val="120"/>
                <w:sz w:val="14"/>
              </w:rPr>
              <w:t>Total</w:t>
            </w:r>
          </w:p>
        </w:tc>
        <w:tc>
          <w:tcPr>
            <w:tcW w:w="623" w:type="dxa"/>
            <w:tcBorders>
              <w:top w:val="nil"/>
              <w:left w:val="nil"/>
              <w:bottom w:val="nil"/>
              <w:right w:val="nil"/>
            </w:tcBorders>
          </w:tcPr>
          <w:p>
            <w:pPr>
              <w:pStyle w:val="TableParagraph"/>
              <w:spacing w:before="11"/>
              <w:ind w:right="75"/>
              <w:rPr>
                <w:sz w:val="14"/>
              </w:rPr>
            </w:pPr>
            <w:r>
              <w:rPr>
                <w:w w:val="120"/>
                <w:sz w:val="14"/>
              </w:rPr>
              <w:t>100.0</w:t>
            </w:r>
          </w:p>
        </w:tc>
        <w:tc>
          <w:tcPr>
            <w:tcW w:w="536" w:type="dxa"/>
            <w:tcBorders>
              <w:top w:val="nil"/>
              <w:left w:val="nil"/>
              <w:bottom w:val="nil"/>
              <w:right w:val="nil"/>
            </w:tcBorders>
          </w:tcPr>
          <w:p>
            <w:pPr>
              <w:pStyle w:val="TableParagraph"/>
              <w:spacing w:before="11"/>
              <w:ind w:right="74"/>
              <w:rPr>
                <w:sz w:val="14"/>
              </w:rPr>
            </w:pPr>
            <w:r>
              <w:rPr>
                <w:w w:val="120"/>
                <w:sz w:val="14"/>
              </w:rPr>
              <w:t>100.0</w:t>
            </w:r>
          </w:p>
        </w:tc>
        <w:tc>
          <w:tcPr>
            <w:tcW w:w="523" w:type="dxa"/>
            <w:tcBorders>
              <w:top w:val="nil"/>
              <w:left w:val="nil"/>
              <w:bottom w:val="nil"/>
              <w:right w:val="single" w:sz="4" w:space="0" w:color="000000"/>
            </w:tcBorders>
          </w:tcPr>
          <w:p>
            <w:pPr>
              <w:pStyle w:val="TableParagraph"/>
              <w:spacing w:before="11"/>
              <w:ind w:right="59"/>
              <w:rPr>
                <w:sz w:val="14"/>
              </w:rPr>
            </w:pPr>
            <w:r>
              <w:rPr>
                <w:w w:val="120"/>
                <w:sz w:val="14"/>
              </w:rPr>
              <w:t>100.0</w:t>
            </w:r>
          </w:p>
        </w:tc>
        <w:tc>
          <w:tcPr>
            <w:tcW w:w="1547" w:type="dxa"/>
            <w:tcBorders>
              <w:top w:val="nil"/>
              <w:left w:val="single" w:sz="4" w:space="0" w:color="000000"/>
              <w:bottom w:val="nil"/>
              <w:right w:val="nil"/>
            </w:tcBorders>
          </w:tcPr>
          <w:p>
            <w:pPr/>
          </w:p>
        </w:tc>
        <w:tc>
          <w:tcPr>
            <w:tcW w:w="608" w:type="dxa"/>
            <w:tcBorders>
              <w:top w:val="nil"/>
              <w:left w:val="nil"/>
              <w:bottom w:val="nil"/>
              <w:right w:val="nil"/>
            </w:tcBorders>
          </w:tcPr>
          <w:p>
            <w:pPr>
              <w:pStyle w:val="TableParagraph"/>
              <w:spacing w:before="11"/>
              <w:ind w:right="75"/>
              <w:rPr>
                <w:sz w:val="14"/>
              </w:rPr>
            </w:pPr>
            <w:r>
              <w:rPr>
                <w:w w:val="120"/>
                <w:sz w:val="14"/>
              </w:rPr>
              <w:t>100.0</w:t>
            </w:r>
          </w:p>
        </w:tc>
        <w:tc>
          <w:tcPr>
            <w:tcW w:w="536" w:type="dxa"/>
            <w:tcBorders>
              <w:top w:val="nil"/>
              <w:left w:val="nil"/>
              <w:bottom w:val="nil"/>
              <w:right w:val="nil"/>
            </w:tcBorders>
          </w:tcPr>
          <w:p>
            <w:pPr>
              <w:pStyle w:val="TableParagraph"/>
              <w:spacing w:before="11"/>
              <w:ind w:right="74"/>
              <w:rPr>
                <w:sz w:val="14"/>
              </w:rPr>
            </w:pPr>
            <w:r>
              <w:rPr>
                <w:w w:val="120"/>
                <w:sz w:val="14"/>
              </w:rPr>
              <w:t>100.0</w:t>
            </w:r>
          </w:p>
        </w:tc>
        <w:tc>
          <w:tcPr>
            <w:tcW w:w="523" w:type="dxa"/>
            <w:tcBorders>
              <w:top w:val="nil"/>
              <w:left w:val="nil"/>
              <w:bottom w:val="nil"/>
              <w:right w:val="nil"/>
            </w:tcBorders>
          </w:tcPr>
          <w:p>
            <w:pPr>
              <w:pStyle w:val="TableParagraph"/>
              <w:spacing w:before="11"/>
              <w:ind w:right="62"/>
              <w:rPr>
                <w:sz w:val="14"/>
              </w:rPr>
            </w:pPr>
            <w:r>
              <w:rPr>
                <w:w w:val="120"/>
                <w:sz w:val="14"/>
              </w:rPr>
              <w:t>100.0</w:t>
            </w:r>
          </w:p>
        </w:tc>
      </w:tr>
      <w:tr>
        <w:trPr>
          <w:trHeight w:val="200" w:hRule="exact"/>
        </w:trPr>
        <w:tc>
          <w:tcPr>
            <w:tcW w:w="1626" w:type="dxa"/>
            <w:tcBorders>
              <w:top w:val="nil"/>
              <w:left w:val="nil"/>
              <w:bottom w:val="nil"/>
              <w:right w:val="nil"/>
            </w:tcBorders>
          </w:tcPr>
          <w:p>
            <w:pPr>
              <w:pStyle w:val="TableParagraph"/>
              <w:spacing w:before="11"/>
              <w:ind w:left="17"/>
              <w:jc w:val="left"/>
              <w:rPr>
                <w:sz w:val="14"/>
              </w:rPr>
            </w:pPr>
            <w:r>
              <w:rPr>
                <w:w w:val="120"/>
                <w:sz w:val="14"/>
              </w:rPr>
              <w:t>Edad media</w:t>
            </w:r>
          </w:p>
        </w:tc>
        <w:tc>
          <w:tcPr>
            <w:tcW w:w="623" w:type="dxa"/>
            <w:tcBorders>
              <w:top w:val="nil"/>
              <w:left w:val="nil"/>
              <w:bottom w:val="nil"/>
              <w:right w:val="nil"/>
            </w:tcBorders>
          </w:tcPr>
          <w:p>
            <w:pPr>
              <w:pStyle w:val="TableParagraph"/>
              <w:spacing w:before="11"/>
              <w:ind w:right="75"/>
              <w:rPr>
                <w:sz w:val="14"/>
              </w:rPr>
            </w:pPr>
            <w:r>
              <w:rPr>
                <w:w w:val="120"/>
                <w:sz w:val="14"/>
              </w:rPr>
              <w:t>30.4</w:t>
            </w:r>
          </w:p>
        </w:tc>
        <w:tc>
          <w:tcPr>
            <w:tcW w:w="536" w:type="dxa"/>
            <w:tcBorders>
              <w:top w:val="nil"/>
              <w:left w:val="nil"/>
              <w:bottom w:val="nil"/>
              <w:right w:val="nil"/>
            </w:tcBorders>
          </w:tcPr>
          <w:p>
            <w:pPr>
              <w:pStyle w:val="TableParagraph"/>
              <w:spacing w:before="11"/>
              <w:ind w:right="74"/>
              <w:rPr>
                <w:sz w:val="14"/>
              </w:rPr>
            </w:pPr>
            <w:r>
              <w:rPr>
                <w:w w:val="120"/>
                <w:sz w:val="14"/>
              </w:rPr>
              <w:t>32.7</w:t>
            </w:r>
          </w:p>
        </w:tc>
        <w:tc>
          <w:tcPr>
            <w:tcW w:w="523" w:type="dxa"/>
            <w:tcBorders>
              <w:top w:val="nil"/>
              <w:left w:val="nil"/>
              <w:bottom w:val="nil"/>
              <w:right w:val="single" w:sz="4" w:space="0" w:color="000000"/>
            </w:tcBorders>
          </w:tcPr>
          <w:p>
            <w:pPr>
              <w:pStyle w:val="TableParagraph"/>
              <w:spacing w:before="11"/>
              <w:ind w:right="58"/>
              <w:rPr>
                <w:sz w:val="14"/>
              </w:rPr>
            </w:pPr>
            <w:r>
              <w:rPr>
                <w:w w:val="120"/>
                <w:sz w:val="14"/>
              </w:rPr>
              <w:t>32.7</w:t>
            </w:r>
          </w:p>
        </w:tc>
        <w:tc>
          <w:tcPr>
            <w:tcW w:w="1547" w:type="dxa"/>
            <w:tcBorders>
              <w:top w:val="nil"/>
              <w:left w:val="single" w:sz="4" w:space="0" w:color="000000"/>
              <w:bottom w:val="nil"/>
              <w:right w:val="nil"/>
            </w:tcBorders>
          </w:tcPr>
          <w:p>
            <w:pPr/>
          </w:p>
        </w:tc>
        <w:tc>
          <w:tcPr>
            <w:tcW w:w="608" w:type="dxa"/>
            <w:tcBorders>
              <w:top w:val="nil"/>
              <w:left w:val="nil"/>
              <w:bottom w:val="nil"/>
              <w:right w:val="nil"/>
            </w:tcBorders>
          </w:tcPr>
          <w:p>
            <w:pPr>
              <w:pStyle w:val="TableParagraph"/>
              <w:spacing w:before="11"/>
              <w:ind w:right="74"/>
              <w:rPr>
                <w:sz w:val="14"/>
              </w:rPr>
            </w:pPr>
            <w:r>
              <w:rPr>
                <w:w w:val="120"/>
                <w:sz w:val="14"/>
              </w:rPr>
              <w:t>31.69</w:t>
            </w:r>
          </w:p>
        </w:tc>
        <w:tc>
          <w:tcPr>
            <w:tcW w:w="536" w:type="dxa"/>
            <w:tcBorders>
              <w:top w:val="nil"/>
              <w:left w:val="nil"/>
              <w:bottom w:val="nil"/>
              <w:right w:val="nil"/>
            </w:tcBorders>
          </w:tcPr>
          <w:p>
            <w:pPr>
              <w:pStyle w:val="TableParagraph"/>
              <w:spacing w:before="11"/>
              <w:ind w:right="74"/>
              <w:rPr>
                <w:sz w:val="14"/>
              </w:rPr>
            </w:pPr>
            <w:r>
              <w:rPr>
                <w:w w:val="120"/>
                <w:sz w:val="14"/>
              </w:rPr>
              <w:t>33.7</w:t>
            </w:r>
          </w:p>
        </w:tc>
        <w:tc>
          <w:tcPr>
            <w:tcW w:w="523" w:type="dxa"/>
            <w:tcBorders>
              <w:top w:val="nil"/>
              <w:left w:val="nil"/>
              <w:bottom w:val="nil"/>
              <w:right w:val="nil"/>
            </w:tcBorders>
          </w:tcPr>
          <w:p>
            <w:pPr>
              <w:pStyle w:val="TableParagraph"/>
              <w:spacing w:before="11"/>
              <w:ind w:right="62"/>
              <w:rPr>
                <w:sz w:val="14"/>
              </w:rPr>
            </w:pPr>
            <w:r>
              <w:rPr>
                <w:w w:val="120"/>
                <w:sz w:val="14"/>
              </w:rPr>
              <w:t>33.1</w:t>
            </w:r>
          </w:p>
        </w:tc>
      </w:tr>
      <w:tr>
        <w:trPr>
          <w:trHeight w:val="200" w:hRule="exact"/>
        </w:trPr>
        <w:tc>
          <w:tcPr>
            <w:tcW w:w="1626" w:type="dxa"/>
            <w:tcBorders>
              <w:top w:val="nil"/>
              <w:left w:val="nil"/>
              <w:bottom w:val="nil"/>
              <w:right w:val="nil"/>
            </w:tcBorders>
          </w:tcPr>
          <w:p>
            <w:pPr>
              <w:pStyle w:val="TableParagraph"/>
              <w:spacing w:before="11"/>
              <w:ind w:left="17"/>
              <w:jc w:val="left"/>
              <w:rPr>
                <w:i/>
                <w:sz w:val="14"/>
              </w:rPr>
            </w:pPr>
            <w:r>
              <w:rPr>
                <w:i/>
                <w:w w:val="120"/>
                <w:sz w:val="14"/>
              </w:rPr>
              <w:t>Alfabetismo</w:t>
            </w:r>
          </w:p>
        </w:tc>
        <w:tc>
          <w:tcPr>
            <w:tcW w:w="623"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single" w:sz="4" w:space="0" w:color="000000"/>
            </w:tcBorders>
          </w:tcPr>
          <w:p>
            <w:pPr/>
          </w:p>
        </w:tc>
        <w:tc>
          <w:tcPr>
            <w:tcW w:w="1547" w:type="dxa"/>
            <w:tcBorders>
              <w:top w:val="nil"/>
              <w:left w:val="single" w:sz="4" w:space="0" w:color="000000"/>
              <w:bottom w:val="nil"/>
              <w:right w:val="nil"/>
            </w:tcBorders>
          </w:tcPr>
          <w:p>
            <w:pPr/>
          </w:p>
        </w:tc>
        <w:tc>
          <w:tcPr>
            <w:tcW w:w="608"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nil"/>
            </w:tcBorders>
          </w:tcPr>
          <w:p>
            <w:pPr/>
          </w:p>
        </w:tc>
      </w:tr>
      <w:tr>
        <w:trPr>
          <w:trHeight w:val="200" w:hRule="exact"/>
        </w:trPr>
        <w:tc>
          <w:tcPr>
            <w:tcW w:w="1626" w:type="dxa"/>
            <w:tcBorders>
              <w:top w:val="nil"/>
              <w:left w:val="nil"/>
              <w:bottom w:val="nil"/>
              <w:right w:val="nil"/>
            </w:tcBorders>
          </w:tcPr>
          <w:p>
            <w:pPr>
              <w:pStyle w:val="TableParagraph"/>
              <w:spacing w:before="11"/>
              <w:ind w:left="17"/>
              <w:jc w:val="left"/>
              <w:rPr>
                <w:sz w:val="14"/>
              </w:rPr>
            </w:pPr>
            <w:r>
              <w:rPr>
                <w:w w:val="120"/>
                <w:sz w:val="14"/>
              </w:rPr>
              <w:t>Sí</w:t>
            </w:r>
          </w:p>
        </w:tc>
        <w:tc>
          <w:tcPr>
            <w:tcW w:w="623" w:type="dxa"/>
            <w:tcBorders>
              <w:top w:val="nil"/>
              <w:left w:val="nil"/>
              <w:bottom w:val="nil"/>
              <w:right w:val="nil"/>
            </w:tcBorders>
          </w:tcPr>
          <w:p>
            <w:pPr>
              <w:pStyle w:val="TableParagraph"/>
              <w:spacing w:before="11"/>
              <w:ind w:right="75"/>
              <w:rPr>
                <w:sz w:val="14"/>
              </w:rPr>
            </w:pPr>
            <w:r>
              <w:rPr>
                <w:w w:val="120"/>
                <w:sz w:val="14"/>
              </w:rPr>
              <w:t>100.0</w:t>
            </w:r>
          </w:p>
        </w:tc>
        <w:tc>
          <w:tcPr>
            <w:tcW w:w="536" w:type="dxa"/>
            <w:tcBorders>
              <w:top w:val="nil"/>
              <w:left w:val="nil"/>
              <w:bottom w:val="nil"/>
              <w:right w:val="nil"/>
            </w:tcBorders>
          </w:tcPr>
          <w:p>
            <w:pPr>
              <w:pStyle w:val="TableParagraph"/>
              <w:spacing w:before="11"/>
              <w:ind w:right="74"/>
              <w:rPr>
                <w:sz w:val="14"/>
              </w:rPr>
            </w:pPr>
            <w:r>
              <w:rPr>
                <w:w w:val="120"/>
                <w:sz w:val="14"/>
              </w:rPr>
              <w:t>100.0</w:t>
            </w:r>
          </w:p>
        </w:tc>
        <w:tc>
          <w:tcPr>
            <w:tcW w:w="523" w:type="dxa"/>
            <w:tcBorders>
              <w:top w:val="nil"/>
              <w:left w:val="nil"/>
              <w:bottom w:val="nil"/>
              <w:right w:val="single" w:sz="4" w:space="0" w:color="000000"/>
            </w:tcBorders>
          </w:tcPr>
          <w:p>
            <w:pPr>
              <w:pStyle w:val="TableParagraph"/>
              <w:spacing w:before="11"/>
              <w:ind w:right="59"/>
              <w:rPr>
                <w:sz w:val="14"/>
              </w:rPr>
            </w:pPr>
            <w:r>
              <w:rPr>
                <w:w w:val="120"/>
                <w:sz w:val="14"/>
              </w:rPr>
              <w:t>100.0</w:t>
            </w:r>
          </w:p>
        </w:tc>
        <w:tc>
          <w:tcPr>
            <w:tcW w:w="1547" w:type="dxa"/>
            <w:tcBorders>
              <w:top w:val="nil"/>
              <w:left w:val="single" w:sz="4" w:space="0" w:color="000000"/>
              <w:bottom w:val="nil"/>
              <w:right w:val="nil"/>
            </w:tcBorders>
          </w:tcPr>
          <w:p>
            <w:pPr>
              <w:pStyle w:val="TableParagraph"/>
              <w:spacing w:before="11"/>
              <w:ind w:left="63"/>
              <w:jc w:val="left"/>
              <w:rPr>
                <w:sz w:val="14"/>
              </w:rPr>
            </w:pPr>
            <w:r>
              <w:rPr>
                <w:w w:val="120"/>
                <w:sz w:val="14"/>
              </w:rPr>
              <w:t>Sí</w:t>
            </w:r>
          </w:p>
        </w:tc>
        <w:tc>
          <w:tcPr>
            <w:tcW w:w="608" w:type="dxa"/>
            <w:tcBorders>
              <w:top w:val="nil"/>
              <w:left w:val="nil"/>
              <w:bottom w:val="nil"/>
              <w:right w:val="nil"/>
            </w:tcBorders>
          </w:tcPr>
          <w:p>
            <w:pPr>
              <w:pStyle w:val="TableParagraph"/>
              <w:spacing w:before="11"/>
              <w:ind w:right="74"/>
              <w:rPr>
                <w:sz w:val="14"/>
              </w:rPr>
            </w:pPr>
            <w:r>
              <w:rPr>
                <w:w w:val="120"/>
                <w:sz w:val="14"/>
              </w:rPr>
              <w:t>100</w:t>
            </w:r>
          </w:p>
        </w:tc>
        <w:tc>
          <w:tcPr>
            <w:tcW w:w="536" w:type="dxa"/>
            <w:tcBorders>
              <w:top w:val="nil"/>
              <w:left w:val="nil"/>
              <w:bottom w:val="nil"/>
              <w:right w:val="nil"/>
            </w:tcBorders>
          </w:tcPr>
          <w:p>
            <w:pPr>
              <w:pStyle w:val="TableParagraph"/>
              <w:spacing w:before="11"/>
              <w:ind w:right="74"/>
              <w:rPr>
                <w:sz w:val="14"/>
              </w:rPr>
            </w:pPr>
            <w:r>
              <w:rPr>
                <w:w w:val="120"/>
                <w:sz w:val="14"/>
              </w:rPr>
              <w:t>97.9</w:t>
            </w:r>
          </w:p>
        </w:tc>
        <w:tc>
          <w:tcPr>
            <w:tcW w:w="523" w:type="dxa"/>
            <w:tcBorders>
              <w:top w:val="nil"/>
              <w:left w:val="nil"/>
              <w:bottom w:val="nil"/>
              <w:right w:val="nil"/>
            </w:tcBorders>
          </w:tcPr>
          <w:p>
            <w:pPr>
              <w:pStyle w:val="TableParagraph"/>
              <w:spacing w:before="11"/>
              <w:ind w:right="62"/>
              <w:rPr>
                <w:sz w:val="14"/>
              </w:rPr>
            </w:pPr>
            <w:r>
              <w:rPr>
                <w:w w:val="120"/>
                <w:sz w:val="14"/>
              </w:rPr>
              <w:t>99.0</w:t>
            </w:r>
          </w:p>
        </w:tc>
      </w:tr>
      <w:tr>
        <w:trPr>
          <w:trHeight w:val="201" w:hRule="exact"/>
        </w:trPr>
        <w:tc>
          <w:tcPr>
            <w:tcW w:w="1626" w:type="dxa"/>
            <w:tcBorders>
              <w:top w:val="nil"/>
              <w:left w:val="nil"/>
              <w:bottom w:val="nil"/>
              <w:right w:val="nil"/>
            </w:tcBorders>
          </w:tcPr>
          <w:p>
            <w:pPr/>
          </w:p>
        </w:tc>
        <w:tc>
          <w:tcPr>
            <w:tcW w:w="623" w:type="dxa"/>
            <w:tcBorders>
              <w:top w:val="nil"/>
              <w:left w:val="nil"/>
              <w:bottom w:val="nil"/>
              <w:right w:val="nil"/>
            </w:tcBorders>
          </w:tcPr>
          <w:p>
            <w:pPr>
              <w:pStyle w:val="TableParagraph"/>
              <w:spacing w:before="11"/>
              <w:ind w:right="75"/>
              <w:rPr>
                <w:sz w:val="14"/>
              </w:rPr>
            </w:pPr>
            <w:r>
              <w:rPr>
                <w:w w:val="120"/>
                <w:sz w:val="14"/>
              </w:rPr>
              <w:t>100.0</w:t>
            </w:r>
          </w:p>
        </w:tc>
        <w:tc>
          <w:tcPr>
            <w:tcW w:w="536" w:type="dxa"/>
            <w:tcBorders>
              <w:top w:val="nil"/>
              <w:left w:val="nil"/>
              <w:bottom w:val="nil"/>
              <w:right w:val="nil"/>
            </w:tcBorders>
          </w:tcPr>
          <w:p>
            <w:pPr>
              <w:pStyle w:val="TableParagraph"/>
              <w:spacing w:before="11"/>
              <w:ind w:right="74"/>
              <w:rPr>
                <w:sz w:val="14"/>
              </w:rPr>
            </w:pPr>
            <w:r>
              <w:rPr>
                <w:w w:val="120"/>
                <w:sz w:val="14"/>
              </w:rPr>
              <w:t>100.0</w:t>
            </w:r>
          </w:p>
        </w:tc>
        <w:tc>
          <w:tcPr>
            <w:tcW w:w="523" w:type="dxa"/>
            <w:tcBorders>
              <w:top w:val="nil"/>
              <w:left w:val="nil"/>
              <w:bottom w:val="nil"/>
              <w:right w:val="single" w:sz="4" w:space="0" w:color="000000"/>
            </w:tcBorders>
          </w:tcPr>
          <w:p>
            <w:pPr>
              <w:pStyle w:val="TableParagraph"/>
              <w:spacing w:before="11"/>
              <w:ind w:right="59"/>
              <w:rPr>
                <w:sz w:val="14"/>
              </w:rPr>
            </w:pPr>
            <w:r>
              <w:rPr>
                <w:w w:val="120"/>
                <w:sz w:val="14"/>
              </w:rPr>
              <w:t>100.0</w:t>
            </w:r>
          </w:p>
        </w:tc>
        <w:tc>
          <w:tcPr>
            <w:tcW w:w="1547" w:type="dxa"/>
            <w:tcBorders>
              <w:top w:val="nil"/>
              <w:left w:val="single" w:sz="4" w:space="0" w:color="000000"/>
              <w:bottom w:val="nil"/>
              <w:right w:val="nil"/>
            </w:tcBorders>
          </w:tcPr>
          <w:p>
            <w:pPr>
              <w:pStyle w:val="TableParagraph"/>
              <w:spacing w:before="11"/>
              <w:ind w:left="63"/>
              <w:jc w:val="left"/>
              <w:rPr>
                <w:sz w:val="14"/>
              </w:rPr>
            </w:pPr>
            <w:r>
              <w:rPr>
                <w:w w:val="120"/>
                <w:sz w:val="14"/>
              </w:rPr>
              <w:t>No</w:t>
            </w:r>
          </w:p>
        </w:tc>
        <w:tc>
          <w:tcPr>
            <w:tcW w:w="608" w:type="dxa"/>
            <w:tcBorders>
              <w:top w:val="nil"/>
              <w:left w:val="nil"/>
              <w:bottom w:val="nil"/>
              <w:right w:val="nil"/>
            </w:tcBorders>
          </w:tcPr>
          <w:p>
            <w:pPr>
              <w:pStyle w:val="TableParagraph"/>
              <w:spacing w:before="11"/>
              <w:ind w:right="75"/>
              <w:rPr>
                <w:sz w:val="14"/>
              </w:rPr>
            </w:pPr>
            <w:r>
              <w:rPr>
                <w:w w:val="119"/>
                <w:sz w:val="14"/>
              </w:rPr>
              <w:t>0</w:t>
            </w:r>
          </w:p>
        </w:tc>
        <w:tc>
          <w:tcPr>
            <w:tcW w:w="536" w:type="dxa"/>
            <w:tcBorders>
              <w:top w:val="nil"/>
              <w:left w:val="nil"/>
              <w:bottom w:val="nil"/>
              <w:right w:val="nil"/>
            </w:tcBorders>
          </w:tcPr>
          <w:p>
            <w:pPr>
              <w:pStyle w:val="TableParagraph"/>
              <w:spacing w:before="11"/>
              <w:ind w:right="74"/>
              <w:rPr>
                <w:sz w:val="14"/>
              </w:rPr>
            </w:pPr>
            <w:r>
              <w:rPr>
                <w:w w:val="120"/>
                <w:sz w:val="14"/>
              </w:rPr>
              <w:t>1.9</w:t>
            </w:r>
          </w:p>
        </w:tc>
        <w:tc>
          <w:tcPr>
            <w:tcW w:w="523" w:type="dxa"/>
            <w:tcBorders>
              <w:top w:val="nil"/>
              <w:left w:val="nil"/>
              <w:bottom w:val="nil"/>
              <w:right w:val="nil"/>
            </w:tcBorders>
          </w:tcPr>
          <w:p>
            <w:pPr>
              <w:pStyle w:val="TableParagraph"/>
              <w:spacing w:before="11"/>
              <w:ind w:right="61"/>
              <w:rPr>
                <w:sz w:val="14"/>
              </w:rPr>
            </w:pPr>
            <w:r>
              <w:rPr>
                <w:w w:val="120"/>
                <w:sz w:val="14"/>
              </w:rPr>
              <w:t>1.8</w:t>
            </w:r>
          </w:p>
        </w:tc>
      </w:tr>
      <w:tr>
        <w:trPr>
          <w:trHeight w:val="201" w:hRule="exact"/>
        </w:trPr>
        <w:tc>
          <w:tcPr>
            <w:tcW w:w="1626" w:type="dxa"/>
            <w:tcBorders>
              <w:top w:val="nil"/>
              <w:left w:val="nil"/>
              <w:bottom w:val="nil"/>
              <w:right w:val="nil"/>
            </w:tcBorders>
          </w:tcPr>
          <w:p>
            <w:pPr/>
          </w:p>
        </w:tc>
        <w:tc>
          <w:tcPr>
            <w:tcW w:w="623"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single" w:sz="4" w:space="0" w:color="000000"/>
            </w:tcBorders>
          </w:tcPr>
          <w:p>
            <w:pPr/>
          </w:p>
        </w:tc>
        <w:tc>
          <w:tcPr>
            <w:tcW w:w="1547" w:type="dxa"/>
            <w:tcBorders>
              <w:top w:val="nil"/>
              <w:left w:val="single" w:sz="4" w:space="0" w:color="000000"/>
              <w:bottom w:val="nil"/>
              <w:right w:val="nil"/>
            </w:tcBorders>
          </w:tcPr>
          <w:p>
            <w:pPr>
              <w:pStyle w:val="TableParagraph"/>
              <w:spacing w:before="13"/>
              <w:ind w:left="63"/>
              <w:jc w:val="left"/>
              <w:rPr>
                <w:sz w:val="14"/>
              </w:rPr>
            </w:pPr>
            <w:r>
              <w:rPr>
                <w:w w:val="120"/>
                <w:sz w:val="14"/>
              </w:rPr>
              <w:t>NE</w:t>
            </w:r>
          </w:p>
        </w:tc>
        <w:tc>
          <w:tcPr>
            <w:tcW w:w="608" w:type="dxa"/>
            <w:tcBorders>
              <w:top w:val="nil"/>
              <w:left w:val="nil"/>
              <w:bottom w:val="nil"/>
              <w:right w:val="nil"/>
            </w:tcBorders>
          </w:tcPr>
          <w:p>
            <w:pPr>
              <w:pStyle w:val="TableParagraph"/>
              <w:spacing w:before="13"/>
              <w:ind w:right="75"/>
              <w:rPr>
                <w:sz w:val="14"/>
              </w:rPr>
            </w:pPr>
            <w:r>
              <w:rPr>
                <w:w w:val="119"/>
                <w:sz w:val="14"/>
              </w:rPr>
              <w:t>0</w:t>
            </w:r>
          </w:p>
        </w:tc>
        <w:tc>
          <w:tcPr>
            <w:tcW w:w="536" w:type="dxa"/>
            <w:tcBorders>
              <w:top w:val="nil"/>
              <w:left w:val="nil"/>
              <w:bottom w:val="nil"/>
              <w:right w:val="nil"/>
            </w:tcBorders>
          </w:tcPr>
          <w:p>
            <w:pPr>
              <w:pStyle w:val="TableParagraph"/>
              <w:spacing w:before="13"/>
              <w:ind w:right="74"/>
              <w:rPr>
                <w:sz w:val="14"/>
              </w:rPr>
            </w:pPr>
            <w:r>
              <w:rPr>
                <w:w w:val="120"/>
                <w:sz w:val="14"/>
              </w:rPr>
              <w:t>0.3</w:t>
            </w:r>
          </w:p>
        </w:tc>
        <w:tc>
          <w:tcPr>
            <w:tcW w:w="523" w:type="dxa"/>
            <w:tcBorders>
              <w:top w:val="nil"/>
              <w:left w:val="nil"/>
              <w:bottom w:val="nil"/>
              <w:right w:val="nil"/>
            </w:tcBorders>
          </w:tcPr>
          <w:p>
            <w:pPr>
              <w:pStyle w:val="TableParagraph"/>
              <w:spacing w:before="13"/>
              <w:ind w:right="61"/>
              <w:rPr>
                <w:sz w:val="14"/>
              </w:rPr>
            </w:pPr>
            <w:r>
              <w:rPr>
                <w:w w:val="120"/>
                <w:sz w:val="14"/>
              </w:rPr>
              <w:t>0.3</w:t>
            </w:r>
          </w:p>
        </w:tc>
      </w:tr>
      <w:tr>
        <w:trPr>
          <w:trHeight w:val="200" w:hRule="exact"/>
        </w:trPr>
        <w:tc>
          <w:tcPr>
            <w:tcW w:w="1626" w:type="dxa"/>
            <w:tcBorders>
              <w:top w:val="nil"/>
              <w:left w:val="nil"/>
              <w:bottom w:val="nil"/>
              <w:right w:val="nil"/>
            </w:tcBorders>
          </w:tcPr>
          <w:p>
            <w:pPr>
              <w:pStyle w:val="TableParagraph"/>
              <w:spacing w:before="11"/>
              <w:ind w:left="17"/>
              <w:jc w:val="left"/>
              <w:rPr>
                <w:sz w:val="14"/>
              </w:rPr>
            </w:pPr>
            <w:r>
              <w:rPr>
                <w:w w:val="120"/>
                <w:sz w:val="14"/>
              </w:rPr>
              <w:t>Total</w:t>
            </w:r>
          </w:p>
        </w:tc>
        <w:tc>
          <w:tcPr>
            <w:tcW w:w="623"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single" w:sz="4" w:space="0" w:color="000000"/>
            </w:tcBorders>
          </w:tcPr>
          <w:p>
            <w:pPr/>
          </w:p>
        </w:tc>
        <w:tc>
          <w:tcPr>
            <w:tcW w:w="1547" w:type="dxa"/>
            <w:tcBorders>
              <w:top w:val="nil"/>
              <w:left w:val="single" w:sz="4" w:space="0" w:color="000000"/>
              <w:bottom w:val="nil"/>
              <w:right w:val="nil"/>
            </w:tcBorders>
          </w:tcPr>
          <w:p>
            <w:pPr/>
          </w:p>
        </w:tc>
        <w:tc>
          <w:tcPr>
            <w:tcW w:w="608" w:type="dxa"/>
            <w:tcBorders>
              <w:top w:val="nil"/>
              <w:left w:val="nil"/>
              <w:bottom w:val="nil"/>
              <w:right w:val="nil"/>
            </w:tcBorders>
          </w:tcPr>
          <w:p>
            <w:pPr>
              <w:pStyle w:val="TableParagraph"/>
              <w:spacing w:before="11"/>
              <w:ind w:right="75"/>
              <w:rPr>
                <w:sz w:val="14"/>
              </w:rPr>
            </w:pPr>
            <w:r>
              <w:rPr>
                <w:w w:val="120"/>
                <w:sz w:val="14"/>
              </w:rPr>
              <w:t>100.0</w:t>
            </w:r>
          </w:p>
        </w:tc>
        <w:tc>
          <w:tcPr>
            <w:tcW w:w="536" w:type="dxa"/>
            <w:tcBorders>
              <w:top w:val="nil"/>
              <w:left w:val="nil"/>
              <w:bottom w:val="nil"/>
              <w:right w:val="nil"/>
            </w:tcBorders>
          </w:tcPr>
          <w:p>
            <w:pPr>
              <w:pStyle w:val="TableParagraph"/>
              <w:spacing w:before="11"/>
              <w:ind w:right="74"/>
              <w:rPr>
                <w:sz w:val="14"/>
              </w:rPr>
            </w:pPr>
            <w:r>
              <w:rPr>
                <w:w w:val="120"/>
                <w:sz w:val="14"/>
              </w:rPr>
              <w:t>100.0</w:t>
            </w:r>
          </w:p>
        </w:tc>
        <w:tc>
          <w:tcPr>
            <w:tcW w:w="523" w:type="dxa"/>
            <w:tcBorders>
              <w:top w:val="nil"/>
              <w:left w:val="nil"/>
              <w:bottom w:val="nil"/>
              <w:right w:val="nil"/>
            </w:tcBorders>
          </w:tcPr>
          <w:p>
            <w:pPr>
              <w:pStyle w:val="TableParagraph"/>
              <w:spacing w:before="11"/>
              <w:ind w:right="62"/>
              <w:rPr>
                <w:sz w:val="14"/>
              </w:rPr>
            </w:pPr>
            <w:r>
              <w:rPr>
                <w:w w:val="120"/>
                <w:sz w:val="14"/>
              </w:rPr>
              <w:t>100.0</w:t>
            </w:r>
          </w:p>
        </w:tc>
      </w:tr>
      <w:tr>
        <w:trPr>
          <w:trHeight w:val="200" w:hRule="exact"/>
        </w:trPr>
        <w:tc>
          <w:tcPr>
            <w:tcW w:w="1626" w:type="dxa"/>
            <w:tcBorders>
              <w:top w:val="nil"/>
              <w:left w:val="nil"/>
              <w:bottom w:val="nil"/>
              <w:right w:val="nil"/>
            </w:tcBorders>
          </w:tcPr>
          <w:p>
            <w:pPr>
              <w:pStyle w:val="TableParagraph"/>
              <w:spacing w:before="11"/>
              <w:ind w:left="17"/>
              <w:jc w:val="left"/>
              <w:rPr>
                <w:i/>
                <w:sz w:val="14"/>
              </w:rPr>
            </w:pPr>
            <w:r>
              <w:rPr>
                <w:i/>
                <w:w w:val="120"/>
                <w:sz w:val="14"/>
              </w:rPr>
              <w:t>Nivel de escolaridad</w:t>
            </w:r>
          </w:p>
        </w:tc>
        <w:tc>
          <w:tcPr>
            <w:tcW w:w="623"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single" w:sz="4" w:space="0" w:color="000000"/>
            </w:tcBorders>
          </w:tcPr>
          <w:p>
            <w:pPr/>
          </w:p>
        </w:tc>
        <w:tc>
          <w:tcPr>
            <w:tcW w:w="1547" w:type="dxa"/>
            <w:tcBorders>
              <w:top w:val="nil"/>
              <w:left w:val="single" w:sz="4" w:space="0" w:color="000000"/>
              <w:bottom w:val="nil"/>
              <w:right w:val="nil"/>
            </w:tcBorders>
          </w:tcPr>
          <w:p>
            <w:pPr/>
          </w:p>
        </w:tc>
        <w:tc>
          <w:tcPr>
            <w:tcW w:w="608"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nil"/>
            </w:tcBorders>
          </w:tcPr>
          <w:p>
            <w:pPr/>
          </w:p>
        </w:tc>
      </w:tr>
      <w:tr>
        <w:trPr>
          <w:trHeight w:val="200" w:hRule="exact"/>
        </w:trPr>
        <w:tc>
          <w:tcPr>
            <w:tcW w:w="1626" w:type="dxa"/>
            <w:tcBorders>
              <w:top w:val="nil"/>
              <w:left w:val="nil"/>
              <w:bottom w:val="nil"/>
              <w:right w:val="nil"/>
            </w:tcBorders>
          </w:tcPr>
          <w:p>
            <w:pPr>
              <w:pStyle w:val="TableParagraph"/>
              <w:spacing w:before="11"/>
              <w:ind w:left="17"/>
              <w:jc w:val="left"/>
              <w:rPr>
                <w:sz w:val="14"/>
              </w:rPr>
            </w:pPr>
            <w:r>
              <w:rPr>
                <w:w w:val="120"/>
                <w:sz w:val="14"/>
              </w:rPr>
              <w:t>Primaria</w:t>
            </w:r>
          </w:p>
        </w:tc>
        <w:tc>
          <w:tcPr>
            <w:tcW w:w="623" w:type="dxa"/>
            <w:tcBorders>
              <w:top w:val="nil"/>
              <w:left w:val="nil"/>
              <w:bottom w:val="nil"/>
              <w:right w:val="nil"/>
            </w:tcBorders>
          </w:tcPr>
          <w:p>
            <w:pPr>
              <w:pStyle w:val="TableParagraph"/>
              <w:spacing w:before="11"/>
              <w:ind w:right="75"/>
              <w:rPr>
                <w:sz w:val="14"/>
              </w:rPr>
            </w:pPr>
            <w:r>
              <w:rPr>
                <w:w w:val="120"/>
                <w:sz w:val="14"/>
              </w:rPr>
              <w:t>100.0</w:t>
            </w:r>
          </w:p>
        </w:tc>
        <w:tc>
          <w:tcPr>
            <w:tcW w:w="536" w:type="dxa"/>
            <w:tcBorders>
              <w:top w:val="nil"/>
              <w:left w:val="nil"/>
              <w:bottom w:val="nil"/>
              <w:right w:val="nil"/>
            </w:tcBorders>
          </w:tcPr>
          <w:p>
            <w:pPr>
              <w:pStyle w:val="TableParagraph"/>
              <w:spacing w:before="11"/>
              <w:ind w:right="74"/>
              <w:rPr>
                <w:sz w:val="14"/>
              </w:rPr>
            </w:pPr>
            <w:r>
              <w:rPr>
                <w:w w:val="120"/>
                <w:sz w:val="14"/>
              </w:rPr>
              <w:t>30.0</w:t>
            </w:r>
          </w:p>
        </w:tc>
        <w:tc>
          <w:tcPr>
            <w:tcW w:w="523" w:type="dxa"/>
            <w:tcBorders>
              <w:top w:val="nil"/>
              <w:left w:val="nil"/>
              <w:bottom w:val="nil"/>
              <w:right w:val="single" w:sz="4" w:space="0" w:color="000000"/>
            </w:tcBorders>
          </w:tcPr>
          <w:p>
            <w:pPr>
              <w:pStyle w:val="TableParagraph"/>
              <w:spacing w:before="11"/>
              <w:ind w:right="58"/>
              <w:rPr>
                <w:sz w:val="14"/>
              </w:rPr>
            </w:pPr>
            <w:r>
              <w:rPr>
                <w:w w:val="120"/>
                <w:sz w:val="14"/>
              </w:rPr>
              <w:t>30.4</w:t>
            </w:r>
          </w:p>
        </w:tc>
        <w:tc>
          <w:tcPr>
            <w:tcW w:w="1547" w:type="dxa"/>
            <w:tcBorders>
              <w:top w:val="nil"/>
              <w:left w:val="single" w:sz="4" w:space="0" w:color="000000"/>
              <w:bottom w:val="nil"/>
              <w:right w:val="nil"/>
            </w:tcBorders>
          </w:tcPr>
          <w:p>
            <w:pPr>
              <w:pStyle w:val="TableParagraph"/>
              <w:spacing w:before="11"/>
              <w:ind w:left="63"/>
              <w:jc w:val="left"/>
              <w:rPr>
                <w:sz w:val="14"/>
              </w:rPr>
            </w:pPr>
            <w:r>
              <w:rPr>
                <w:w w:val="120"/>
                <w:sz w:val="14"/>
              </w:rPr>
              <w:t>Ninguno</w:t>
            </w:r>
          </w:p>
        </w:tc>
        <w:tc>
          <w:tcPr>
            <w:tcW w:w="608" w:type="dxa"/>
            <w:tcBorders>
              <w:top w:val="nil"/>
              <w:left w:val="nil"/>
              <w:bottom w:val="nil"/>
              <w:right w:val="nil"/>
            </w:tcBorders>
          </w:tcPr>
          <w:p>
            <w:pPr>
              <w:pStyle w:val="TableParagraph"/>
              <w:spacing w:before="11"/>
              <w:ind w:right="75"/>
              <w:rPr>
                <w:sz w:val="14"/>
              </w:rPr>
            </w:pPr>
            <w:r>
              <w:rPr>
                <w:w w:val="119"/>
                <w:sz w:val="14"/>
              </w:rPr>
              <w:t>0</w:t>
            </w:r>
          </w:p>
        </w:tc>
        <w:tc>
          <w:tcPr>
            <w:tcW w:w="536" w:type="dxa"/>
            <w:tcBorders>
              <w:top w:val="nil"/>
              <w:left w:val="nil"/>
              <w:bottom w:val="nil"/>
              <w:right w:val="nil"/>
            </w:tcBorders>
          </w:tcPr>
          <w:p>
            <w:pPr>
              <w:pStyle w:val="TableParagraph"/>
              <w:spacing w:before="11"/>
              <w:ind w:right="74"/>
              <w:rPr>
                <w:sz w:val="14"/>
              </w:rPr>
            </w:pPr>
            <w:r>
              <w:rPr>
                <w:w w:val="120"/>
                <w:sz w:val="14"/>
              </w:rPr>
              <w:t>1.2</w:t>
            </w:r>
          </w:p>
        </w:tc>
        <w:tc>
          <w:tcPr>
            <w:tcW w:w="523" w:type="dxa"/>
            <w:tcBorders>
              <w:top w:val="nil"/>
              <w:left w:val="nil"/>
              <w:bottom w:val="nil"/>
              <w:right w:val="nil"/>
            </w:tcBorders>
          </w:tcPr>
          <w:p>
            <w:pPr>
              <w:pStyle w:val="TableParagraph"/>
              <w:spacing w:before="11"/>
              <w:ind w:right="61"/>
              <w:rPr>
                <w:sz w:val="14"/>
              </w:rPr>
            </w:pPr>
            <w:r>
              <w:rPr>
                <w:w w:val="120"/>
                <w:sz w:val="14"/>
              </w:rPr>
              <w:t>1.1</w:t>
            </w:r>
          </w:p>
        </w:tc>
      </w:tr>
      <w:tr>
        <w:trPr>
          <w:trHeight w:val="200" w:hRule="exact"/>
        </w:trPr>
        <w:tc>
          <w:tcPr>
            <w:tcW w:w="1626" w:type="dxa"/>
            <w:tcBorders>
              <w:top w:val="nil"/>
              <w:left w:val="nil"/>
              <w:bottom w:val="nil"/>
              <w:right w:val="nil"/>
            </w:tcBorders>
          </w:tcPr>
          <w:p>
            <w:pPr>
              <w:pStyle w:val="TableParagraph"/>
              <w:spacing w:before="11"/>
              <w:ind w:left="17"/>
              <w:jc w:val="left"/>
              <w:rPr>
                <w:sz w:val="14"/>
              </w:rPr>
            </w:pPr>
            <w:r>
              <w:rPr>
                <w:w w:val="120"/>
                <w:sz w:val="14"/>
              </w:rPr>
              <w:t>Secundaria</w:t>
            </w:r>
          </w:p>
        </w:tc>
        <w:tc>
          <w:tcPr>
            <w:tcW w:w="623" w:type="dxa"/>
            <w:tcBorders>
              <w:top w:val="nil"/>
              <w:left w:val="nil"/>
              <w:bottom w:val="nil"/>
              <w:right w:val="nil"/>
            </w:tcBorders>
          </w:tcPr>
          <w:p>
            <w:pPr>
              <w:pStyle w:val="TableParagraph"/>
              <w:spacing w:before="11"/>
              <w:ind w:right="75"/>
              <w:rPr>
                <w:sz w:val="14"/>
              </w:rPr>
            </w:pPr>
            <w:r>
              <w:rPr>
                <w:w w:val="119"/>
                <w:sz w:val="14"/>
              </w:rPr>
              <w:t>0</w:t>
            </w:r>
          </w:p>
        </w:tc>
        <w:tc>
          <w:tcPr>
            <w:tcW w:w="536" w:type="dxa"/>
            <w:tcBorders>
              <w:top w:val="nil"/>
              <w:left w:val="nil"/>
              <w:bottom w:val="nil"/>
              <w:right w:val="nil"/>
            </w:tcBorders>
          </w:tcPr>
          <w:p>
            <w:pPr>
              <w:pStyle w:val="TableParagraph"/>
              <w:spacing w:before="11"/>
              <w:ind w:right="74"/>
              <w:rPr>
                <w:sz w:val="14"/>
              </w:rPr>
            </w:pPr>
            <w:r>
              <w:rPr>
                <w:w w:val="120"/>
                <w:sz w:val="14"/>
              </w:rPr>
              <w:t>28.8</w:t>
            </w:r>
          </w:p>
        </w:tc>
        <w:tc>
          <w:tcPr>
            <w:tcW w:w="523" w:type="dxa"/>
            <w:tcBorders>
              <w:top w:val="nil"/>
              <w:left w:val="nil"/>
              <w:bottom w:val="nil"/>
              <w:right w:val="single" w:sz="4" w:space="0" w:color="000000"/>
            </w:tcBorders>
          </w:tcPr>
          <w:p>
            <w:pPr>
              <w:pStyle w:val="TableParagraph"/>
              <w:spacing w:before="11"/>
              <w:ind w:right="58"/>
              <w:rPr>
                <w:sz w:val="14"/>
              </w:rPr>
            </w:pPr>
            <w:r>
              <w:rPr>
                <w:w w:val="120"/>
                <w:sz w:val="14"/>
              </w:rPr>
              <w:t>28.6</w:t>
            </w:r>
          </w:p>
        </w:tc>
        <w:tc>
          <w:tcPr>
            <w:tcW w:w="1547" w:type="dxa"/>
            <w:tcBorders>
              <w:top w:val="nil"/>
              <w:left w:val="single" w:sz="4" w:space="0" w:color="000000"/>
              <w:bottom w:val="nil"/>
              <w:right w:val="nil"/>
            </w:tcBorders>
          </w:tcPr>
          <w:p>
            <w:pPr>
              <w:pStyle w:val="TableParagraph"/>
              <w:spacing w:before="11"/>
              <w:ind w:left="63"/>
              <w:jc w:val="left"/>
              <w:rPr>
                <w:sz w:val="14"/>
              </w:rPr>
            </w:pPr>
            <w:r>
              <w:rPr>
                <w:w w:val="120"/>
                <w:sz w:val="14"/>
              </w:rPr>
              <w:t>Primaria</w:t>
            </w:r>
          </w:p>
        </w:tc>
        <w:tc>
          <w:tcPr>
            <w:tcW w:w="608" w:type="dxa"/>
            <w:tcBorders>
              <w:top w:val="nil"/>
              <w:left w:val="nil"/>
              <w:bottom w:val="nil"/>
              <w:right w:val="nil"/>
            </w:tcBorders>
          </w:tcPr>
          <w:p>
            <w:pPr>
              <w:pStyle w:val="TableParagraph"/>
              <w:spacing w:before="11"/>
              <w:ind w:right="75"/>
              <w:rPr>
                <w:sz w:val="14"/>
              </w:rPr>
            </w:pPr>
            <w:r>
              <w:rPr>
                <w:w w:val="120"/>
                <w:sz w:val="14"/>
              </w:rPr>
              <w:t>50.1</w:t>
            </w:r>
          </w:p>
        </w:tc>
        <w:tc>
          <w:tcPr>
            <w:tcW w:w="536" w:type="dxa"/>
            <w:tcBorders>
              <w:top w:val="nil"/>
              <w:left w:val="nil"/>
              <w:bottom w:val="nil"/>
              <w:right w:val="nil"/>
            </w:tcBorders>
          </w:tcPr>
          <w:p>
            <w:pPr>
              <w:pStyle w:val="TableParagraph"/>
              <w:spacing w:before="11"/>
              <w:ind w:right="74"/>
              <w:rPr>
                <w:sz w:val="14"/>
              </w:rPr>
            </w:pPr>
            <w:r>
              <w:rPr>
                <w:w w:val="120"/>
                <w:sz w:val="14"/>
              </w:rPr>
              <w:t>38.3</w:t>
            </w:r>
          </w:p>
        </w:tc>
        <w:tc>
          <w:tcPr>
            <w:tcW w:w="523" w:type="dxa"/>
            <w:tcBorders>
              <w:top w:val="nil"/>
              <w:left w:val="nil"/>
              <w:bottom w:val="nil"/>
              <w:right w:val="nil"/>
            </w:tcBorders>
          </w:tcPr>
          <w:p>
            <w:pPr>
              <w:pStyle w:val="TableParagraph"/>
              <w:spacing w:before="11"/>
              <w:ind w:right="62"/>
              <w:rPr>
                <w:sz w:val="14"/>
              </w:rPr>
            </w:pPr>
            <w:r>
              <w:rPr>
                <w:w w:val="120"/>
                <w:sz w:val="14"/>
              </w:rPr>
              <w:t>38.9</w:t>
            </w:r>
          </w:p>
        </w:tc>
      </w:tr>
      <w:tr>
        <w:trPr>
          <w:trHeight w:val="181" w:hRule="exact"/>
        </w:trPr>
        <w:tc>
          <w:tcPr>
            <w:tcW w:w="1626" w:type="dxa"/>
            <w:tcBorders>
              <w:top w:val="nil"/>
              <w:left w:val="nil"/>
              <w:bottom w:val="nil"/>
              <w:right w:val="nil"/>
            </w:tcBorders>
          </w:tcPr>
          <w:p>
            <w:pPr>
              <w:pStyle w:val="TableParagraph"/>
              <w:spacing w:before="11"/>
              <w:ind w:left="17"/>
              <w:jc w:val="left"/>
              <w:rPr>
                <w:sz w:val="14"/>
              </w:rPr>
            </w:pPr>
            <w:r>
              <w:rPr>
                <w:w w:val="120"/>
                <w:sz w:val="14"/>
              </w:rPr>
              <w:t>Preparatoria</w:t>
            </w:r>
          </w:p>
        </w:tc>
        <w:tc>
          <w:tcPr>
            <w:tcW w:w="623" w:type="dxa"/>
            <w:tcBorders>
              <w:top w:val="nil"/>
              <w:left w:val="nil"/>
              <w:bottom w:val="nil"/>
              <w:right w:val="nil"/>
            </w:tcBorders>
          </w:tcPr>
          <w:p>
            <w:pPr>
              <w:pStyle w:val="TableParagraph"/>
              <w:spacing w:before="11"/>
              <w:ind w:right="75"/>
              <w:rPr>
                <w:sz w:val="14"/>
              </w:rPr>
            </w:pPr>
            <w:r>
              <w:rPr>
                <w:w w:val="119"/>
                <w:sz w:val="14"/>
              </w:rPr>
              <w:t>0</w:t>
            </w:r>
          </w:p>
        </w:tc>
        <w:tc>
          <w:tcPr>
            <w:tcW w:w="536" w:type="dxa"/>
            <w:tcBorders>
              <w:top w:val="nil"/>
              <w:left w:val="nil"/>
              <w:bottom w:val="nil"/>
              <w:right w:val="nil"/>
            </w:tcBorders>
          </w:tcPr>
          <w:p>
            <w:pPr>
              <w:pStyle w:val="TableParagraph"/>
              <w:spacing w:before="11"/>
              <w:ind w:right="74"/>
              <w:rPr>
                <w:sz w:val="14"/>
              </w:rPr>
            </w:pPr>
            <w:r>
              <w:rPr>
                <w:w w:val="120"/>
                <w:sz w:val="14"/>
              </w:rPr>
              <w:t>1.9</w:t>
            </w:r>
          </w:p>
        </w:tc>
        <w:tc>
          <w:tcPr>
            <w:tcW w:w="523" w:type="dxa"/>
            <w:tcBorders>
              <w:top w:val="nil"/>
              <w:left w:val="nil"/>
              <w:bottom w:val="nil"/>
              <w:right w:val="single" w:sz="4" w:space="0" w:color="000000"/>
            </w:tcBorders>
          </w:tcPr>
          <w:p>
            <w:pPr>
              <w:pStyle w:val="TableParagraph"/>
              <w:spacing w:before="11"/>
              <w:ind w:right="57"/>
              <w:rPr>
                <w:sz w:val="14"/>
              </w:rPr>
            </w:pPr>
            <w:r>
              <w:rPr>
                <w:w w:val="120"/>
                <w:sz w:val="14"/>
              </w:rPr>
              <w:t>1.8</w:t>
            </w:r>
          </w:p>
        </w:tc>
        <w:tc>
          <w:tcPr>
            <w:tcW w:w="1547" w:type="dxa"/>
            <w:tcBorders>
              <w:top w:val="nil"/>
              <w:left w:val="single" w:sz="4" w:space="0" w:color="000000"/>
              <w:bottom w:val="nil"/>
              <w:right w:val="nil"/>
            </w:tcBorders>
          </w:tcPr>
          <w:p>
            <w:pPr>
              <w:pStyle w:val="TableParagraph"/>
              <w:spacing w:before="11"/>
              <w:ind w:left="63"/>
              <w:jc w:val="left"/>
              <w:rPr>
                <w:sz w:val="14"/>
              </w:rPr>
            </w:pPr>
            <w:r>
              <w:rPr>
                <w:w w:val="120"/>
                <w:sz w:val="14"/>
              </w:rPr>
              <w:t>Secundaria</w:t>
            </w:r>
          </w:p>
        </w:tc>
        <w:tc>
          <w:tcPr>
            <w:tcW w:w="608" w:type="dxa"/>
            <w:tcBorders>
              <w:top w:val="nil"/>
              <w:left w:val="nil"/>
              <w:bottom w:val="nil"/>
              <w:right w:val="nil"/>
            </w:tcBorders>
          </w:tcPr>
          <w:p>
            <w:pPr>
              <w:pStyle w:val="TableParagraph"/>
              <w:spacing w:before="11"/>
              <w:ind w:right="75"/>
              <w:rPr>
                <w:sz w:val="14"/>
              </w:rPr>
            </w:pPr>
            <w:r>
              <w:rPr>
                <w:w w:val="120"/>
                <w:sz w:val="14"/>
              </w:rPr>
              <w:t>14.2</w:t>
            </w:r>
          </w:p>
        </w:tc>
        <w:tc>
          <w:tcPr>
            <w:tcW w:w="536" w:type="dxa"/>
            <w:tcBorders>
              <w:top w:val="nil"/>
              <w:left w:val="nil"/>
              <w:bottom w:val="nil"/>
              <w:right w:val="nil"/>
            </w:tcBorders>
          </w:tcPr>
          <w:p>
            <w:pPr>
              <w:pStyle w:val="TableParagraph"/>
              <w:spacing w:before="11"/>
              <w:ind w:right="74"/>
              <w:rPr>
                <w:sz w:val="14"/>
              </w:rPr>
            </w:pPr>
            <w:r>
              <w:rPr>
                <w:w w:val="120"/>
                <w:sz w:val="14"/>
              </w:rPr>
              <w:t>45.3</w:t>
            </w:r>
          </w:p>
        </w:tc>
        <w:tc>
          <w:tcPr>
            <w:tcW w:w="523" w:type="dxa"/>
            <w:tcBorders>
              <w:top w:val="nil"/>
              <w:left w:val="nil"/>
              <w:bottom w:val="nil"/>
              <w:right w:val="nil"/>
            </w:tcBorders>
          </w:tcPr>
          <w:p>
            <w:pPr>
              <w:pStyle w:val="TableParagraph"/>
              <w:spacing w:before="11"/>
              <w:ind w:right="62"/>
              <w:rPr>
                <w:sz w:val="14"/>
              </w:rPr>
            </w:pPr>
            <w:r>
              <w:rPr>
                <w:w w:val="120"/>
                <w:sz w:val="14"/>
              </w:rPr>
              <w:t>43.7</w:t>
            </w:r>
          </w:p>
        </w:tc>
      </w:tr>
      <w:tr>
        <w:trPr>
          <w:trHeight w:val="162" w:hRule="exact"/>
        </w:trPr>
        <w:tc>
          <w:tcPr>
            <w:tcW w:w="1626" w:type="dxa"/>
            <w:tcBorders>
              <w:top w:val="nil"/>
              <w:left w:val="nil"/>
              <w:bottom w:val="nil"/>
              <w:right w:val="nil"/>
            </w:tcBorders>
          </w:tcPr>
          <w:p>
            <w:pPr>
              <w:pStyle w:val="TableParagraph"/>
              <w:spacing w:line="154" w:lineRule="exact"/>
              <w:ind w:left="17"/>
              <w:jc w:val="left"/>
              <w:rPr>
                <w:sz w:val="14"/>
              </w:rPr>
            </w:pPr>
            <w:r>
              <w:rPr>
                <w:w w:val="120"/>
                <w:sz w:val="14"/>
              </w:rPr>
              <w:t>Técnico con</w:t>
            </w:r>
          </w:p>
        </w:tc>
        <w:tc>
          <w:tcPr>
            <w:tcW w:w="623"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single" w:sz="4" w:space="0" w:color="000000"/>
            </w:tcBorders>
          </w:tcPr>
          <w:p>
            <w:pPr/>
          </w:p>
        </w:tc>
        <w:tc>
          <w:tcPr>
            <w:tcW w:w="1547" w:type="dxa"/>
            <w:tcBorders>
              <w:top w:val="nil"/>
              <w:left w:val="single" w:sz="4" w:space="0" w:color="000000"/>
              <w:bottom w:val="nil"/>
              <w:right w:val="nil"/>
            </w:tcBorders>
          </w:tcPr>
          <w:p>
            <w:pPr>
              <w:pStyle w:val="TableParagraph"/>
              <w:spacing w:line="154" w:lineRule="exact"/>
              <w:ind w:left="63"/>
              <w:jc w:val="left"/>
              <w:rPr>
                <w:sz w:val="14"/>
              </w:rPr>
            </w:pPr>
            <w:r>
              <w:rPr>
                <w:w w:val="120"/>
                <w:sz w:val="14"/>
              </w:rPr>
              <w:t>Preparatoria o</w:t>
            </w:r>
          </w:p>
        </w:tc>
        <w:tc>
          <w:tcPr>
            <w:tcW w:w="608"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nil"/>
            </w:tcBorders>
          </w:tcPr>
          <w:p>
            <w:pPr/>
          </w:p>
        </w:tc>
      </w:tr>
      <w:tr>
        <w:trPr>
          <w:trHeight w:val="164" w:hRule="exact"/>
        </w:trPr>
        <w:tc>
          <w:tcPr>
            <w:tcW w:w="1626" w:type="dxa"/>
            <w:tcBorders>
              <w:top w:val="nil"/>
              <w:left w:val="nil"/>
              <w:bottom w:val="nil"/>
              <w:right w:val="nil"/>
            </w:tcBorders>
          </w:tcPr>
          <w:p>
            <w:pPr>
              <w:pStyle w:val="TableParagraph"/>
              <w:spacing w:line="154" w:lineRule="exact"/>
              <w:ind w:left="17"/>
              <w:jc w:val="left"/>
              <w:rPr>
                <w:sz w:val="14"/>
              </w:rPr>
            </w:pPr>
            <w:r>
              <w:rPr>
                <w:w w:val="120"/>
                <w:sz w:val="14"/>
              </w:rPr>
              <w:t>secundaria</w:t>
            </w:r>
          </w:p>
        </w:tc>
        <w:tc>
          <w:tcPr>
            <w:tcW w:w="623" w:type="dxa"/>
            <w:tcBorders>
              <w:top w:val="nil"/>
              <w:left w:val="nil"/>
              <w:bottom w:val="nil"/>
              <w:right w:val="nil"/>
            </w:tcBorders>
          </w:tcPr>
          <w:p>
            <w:pPr>
              <w:pStyle w:val="TableParagraph"/>
              <w:spacing w:line="154" w:lineRule="exact"/>
              <w:ind w:right="75"/>
              <w:rPr>
                <w:sz w:val="14"/>
              </w:rPr>
            </w:pPr>
            <w:r>
              <w:rPr>
                <w:w w:val="119"/>
                <w:sz w:val="14"/>
              </w:rPr>
              <w:t>0</w:t>
            </w:r>
          </w:p>
        </w:tc>
        <w:tc>
          <w:tcPr>
            <w:tcW w:w="536" w:type="dxa"/>
            <w:tcBorders>
              <w:top w:val="nil"/>
              <w:left w:val="nil"/>
              <w:bottom w:val="nil"/>
              <w:right w:val="nil"/>
            </w:tcBorders>
          </w:tcPr>
          <w:p>
            <w:pPr>
              <w:pStyle w:val="TableParagraph"/>
              <w:spacing w:line="154" w:lineRule="exact"/>
              <w:ind w:right="74"/>
              <w:rPr>
                <w:sz w:val="14"/>
              </w:rPr>
            </w:pPr>
            <w:r>
              <w:rPr>
                <w:w w:val="120"/>
                <w:sz w:val="14"/>
              </w:rPr>
              <w:t>4.0</w:t>
            </w:r>
          </w:p>
        </w:tc>
        <w:tc>
          <w:tcPr>
            <w:tcW w:w="523" w:type="dxa"/>
            <w:tcBorders>
              <w:top w:val="nil"/>
              <w:left w:val="nil"/>
              <w:bottom w:val="nil"/>
              <w:right w:val="single" w:sz="4" w:space="0" w:color="000000"/>
            </w:tcBorders>
          </w:tcPr>
          <w:p>
            <w:pPr>
              <w:pStyle w:val="TableParagraph"/>
              <w:spacing w:line="154" w:lineRule="exact"/>
              <w:ind w:right="57"/>
              <w:rPr>
                <w:sz w:val="14"/>
              </w:rPr>
            </w:pPr>
            <w:r>
              <w:rPr>
                <w:w w:val="120"/>
                <w:sz w:val="14"/>
              </w:rPr>
              <w:t>4.0</w:t>
            </w:r>
          </w:p>
        </w:tc>
        <w:tc>
          <w:tcPr>
            <w:tcW w:w="1547" w:type="dxa"/>
            <w:tcBorders>
              <w:top w:val="nil"/>
              <w:left w:val="single" w:sz="4" w:space="0" w:color="000000"/>
              <w:bottom w:val="nil"/>
              <w:right w:val="nil"/>
            </w:tcBorders>
          </w:tcPr>
          <w:p>
            <w:pPr>
              <w:pStyle w:val="TableParagraph"/>
              <w:spacing w:line="154" w:lineRule="exact"/>
              <w:ind w:left="63"/>
              <w:jc w:val="left"/>
              <w:rPr>
                <w:sz w:val="14"/>
              </w:rPr>
            </w:pPr>
            <w:r>
              <w:rPr>
                <w:w w:val="120"/>
                <w:sz w:val="14"/>
              </w:rPr>
              <w:t>bachillerato</w:t>
            </w:r>
          </w:p>
        </w:tc>
        <w:tc>
          <w:tcPr>
            <w:tcW w:w="608" w:type="dxa"/>
            <w:tcBorders>
              <w:top w:val="nil"/>
              <w:left w:val="nil"/>
              <w:bottom w:val="nil"/>
              <w:right w:val="nil"/>
            </w:tcBorders>
          </w:tcPr>
          <w:p>
            <w:pPr>
              <w:pStyle w:val="TableParagraph"/>
              <w:spacing w:line="154" w:lineRule="exact"/>
              <w:ind w:right="75"/>
              <w:rPr>
                <w:sz w:val="14"/>
              </w:rPr>
            </w:pPr>
            <w:r>
              <w:rPr>
                <w:w w:val="119"/>
                <w:sz w:val="14"/>
              </w:rPr>
              <w:t>0</w:t>
            </w:r>
          </w:p>
        </w:tc>
        <w:tc>
          <w:tcPr>
            <w:tcW w:w="536" w:type="dxa"/>
            <w:tcBorders>
              <w:top w:val="nil"/>
              <w:left w:val="nil"/>
              <w:bottom w:val="nil"/>
              <w:right w:val="nil"/>
            </w:tcBorders>
          </w:tcPr>
          <w:p>
            <w:pPr>
              <w:pStyle w:val="TableParagraph"/>
              <w:spacing w:line="154" w:lineRule="exact"/>
              <w:ind w:right="74"/>
              <w:rPr>
                <w:sz w:val="14"/>
              </w:rPr>
            </w:pPr>
            <w:r>
              <w:rPr>
                <w:w w:val="120"/>
                <w:sz w:val="14"/>
              </w:rPr>
              <w:t>8.4</w:t>
            </w:r>
          </w:p>
        </w:tc>
        <w:tc>
          <w:tcPr>
            <w:tcW w:w="523" w:type="dxa"/>
            <w:tcBorders>
              <w:top w:val="nil"/>
              <w:left w:val="nil"/>
              <w:bottom w:val="nil"/>
              <w:right w:val="nil"/>
            </w:tcBorders>
          </w:tcPr>
          <w:p>
            <w:pPr>
              <w:pStyle w:val="TableParagraph"/>
              <w:spacing w:line="154" w:lineRule="exact"/>
              <w:ind w:right="61"/>
              <w:rPr>
                <w:sz w:val="14"/>
              </w:rPr>
            </w:pPr>
            <w:r>
              <w:rPr>
                <w:w w:val="120"/>
                <w:sz w:val="14"/>
              </w:rPr>
              <w:t>7.97</w:t>
            </w:r>
          </w:p>
        </w:tc>
      </w:tr>
      <w:tr>
        <w:trPr>
          <w:trHeight w:val="164" w:hRule="exact"/>
        </w:trPr>
        <w:tc>
          <w:tcPr>
            <w:tcW w:w="1626" w:type="dxa"/>
            <w:tcBorders>
              <w:top w:val="nil"/>
              <w:left w:val="nil"/>
              <w:bottom w:val="nil"/>
              <w:right w:val="nil"/>
            </w:tcBorders>
          </w:tcPr>
          <w:p>
            <w:pPr/>
          </w:p>
        </w:tc>
        <w:tc>
          <w:tcPr>
            <w:tcW w:w="623"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single" w:sz="4" w:space="0" w:color="000000"/>
            </w:tcBorders>
          </w:tcPr>
          <w:p>
            <w:pPr/>
          </w:p>
        </w:tc>
        <w:tc>
          <w:tcPr>
            <w:tcW w:w="1547" w:type="dxa"/>
            <w:tcBorders>
              <w:top w:val="nil"/>
              <w:left w:val="single" w:sz="4" w:space="0" w:color="000000"/>
              <w:bottom w:val="nil"/>
              <w:right w:val="nil"/>
            </w:tcBorders>
          </w:tcPr>
          <w:p>
            <w:pPr>
              <w:pStyle w:val="TableParagraph"/>
              <w:spacing w:line="156" w:lineRule="exact"/>
              <w:ind w:left="63"/>
              <w:jc w:val="left"/>
              <w:rPr>
                <w:sz w:val="14"/>
              </w:rPr>
            </w:pPr>
            <w:r>
              <w:rPr>
                <w:w w:val="120"/>
                <w:sz w:val="14"/>
              </w:rPr>
              <w:t>Estudios técnicos</w:t>
            </w:r>
          </w:p>
        </w:tc>
        <w:tc>
          <w:tcPr>
            <w:tcW w:w="608"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nil"/>
            </w:tcBorders>
          </w:tcPr>
          <w:p>
            <w:pPr/>
          </w:p>
        </w:tc>
      </w:tr>
      <w:tr>
        <w:trPr>
          <w:trHeight w:val="181" w:hRule="exact"/>
        </w:trPr>
        <w:tc>
          <w:tcPr>
            <w:tcW w:w="1626" w:type="dxa"/>
            <w:tcBorders>
              <w:top w:val="nil"/>
              <w:left w:val="nil"/>
              <w:bottom w:val="nil"/>
              <w:right w:val="nil"/>
            </w:tcBorders>
          </w:tcPr>
          <w:p>
            <w:pPr>
              <w:pStyle w:val="TableParagraph"/>
              <w:spacing w:line="154" w:lineRule="exact"/>
              <w:ind w:left="17"/>
              <w:jc w:val="left"/>
              <w:rPr>
                <w:sz w:val="14"/>
              </w:rPr>
            </w:pPr>
            <w:r>
              <w:rPr>
                <w:w w:val="120"/>
                <w:sz w:val="14"/>
              </w:rPr>
              <w:t>Profesional/posgrado</w:t>
            </w:r>
          </w:p>
        </w:tc>
        <w:tc>
          <w:tcPr>
            <w:tcW w:w="623" w:type="dxa"/>
            <w:tcBorders>
              <w:top w:val="nil"/>
              <w:left w:val="nil"/>
              <w:bottom w:val="nil"/>
              <w:right w:val="nil"/>
            </w:tcBorders>
          </w:tcPr>
          <w:p>
            <w:pPr>
              <w:pStyle w:val="TableParagraph"/>
              <w:spacing w:line="154" w:lineRule="exact"/>
              <w:ind w:right="75"/>
              <w:rPr>
                <w:sz w:val="14"/>
              </w:rPr>
            </w:pPr>
            <w:r>
              <w:rPr>
                <w:w w:val="119"/>
                <w:sz w:val="14"/>
              </w:rPr>
              <w:t>0</w:t>
            </w:r>
          </w:p>
        </w:tc>
        <w:tc>
          <w:tcPr>
            <w:tcW w:w="536" w:type="dxa"/>
            <w:tcBorders>
              <w:top w:val="nil"/>
              <w:left w:val="nil"/>
              <w:bottom w:val="nil"/>
              <w:right w:val="nil"/>
            </w:tcBorders>
          </w:tcPr>
          <w:p>
            <w:pPr>
              <w:pStyle w:val="TableParagraph"/>
              <w:spacing w:line="154" w:lineRule="exact"/>
              <w:ind w:right="74"/>
              <w:rPr>
                <w:sz w:val="14"/>
              </w:rPr>
            </w:pPr>
            <w:r>
              <w:rPr>
                <w:w w:val="120"/>
                <w:sz w:val="14"/>
              </w:rPr>
              <w:t>35.4</w:t>
            </w:r>
          </w:p>
        </w:tc>
        <w:tc>
          <w:tcPr>
            <w:tcW w:w="523" w:type="dxa"/>
            <w:tcBorders>
              <w:top w:val="nil"/>
              <w:left w:val="nil"/>
              <w:bottom w:val="nil"/>
              <w:right w:val="single" w:sz="4" w:space="0" w:color="000000"/>
            </w:tcBorders>
          </w:tcPr>
          <w:p>
            <w:pPr>
              <w:pStyle w:val="TableParagraph"/>
              <w:spacing w:line="154" w:lineRule="exact"/>
              <w:ind w:right="58"/>
              <w:rPr>
                <w:sz w:val="14"/>
              </w:rPr>
            </w:pPr>
            <w:r>
              <w:rPr>
                <w:w w:val="120"/>
                <w:sz w:val="14"/>
              </w:rPr>
              <w:t>35.2</w:t>
            </w:r>
          </w:p>
        </w:tc>
        <w:tc>
          <w:tcPr>
            <w:tcW w:w="1547" w:type="dxa"/>
            <w:tcBorders>
              <w:top w:val="nil"/>
              <w:left w:val="single" w:sz="4" w:space="0" w:color="000000"/>
              <w:bottom w:val="nil"/>
              <w:right w:val="nil"/>
            </w:tcBorders>
          </w:tcPr>
          <w:p>
            <w:pPr>
              <w:pStyle w:val="TableParagraph"/>
              <w:spacing w:line="154" w:lineRule="exact"/>
              <w:ind w:left="63"/>
              <w:jc w:val="left"/>
              <w:rPr>
                <w:sz w:val="14"/>
              </w:rPr>
            </w:pPr>
            <w:r>
              <w:rPr>
                <w:w w:val="120"/>
                <w:sz w:val="14"/>
              </w:rPr>
              <w:t>con secundaria</w:t>
            </w:r>
          </w:p>
        </w:tc>
        <w:tc>
          <w:tcPr>
            <w:tcW w:w="608" w:type="dxa"/>
            <w:tcBorders>
              <w:top w:val="nil"/>
              <w:left w:val="nil"/>
              <w:bottom w:val="nil"/>
              <w:right w:val="nil"/>
            </w:tcBorders>
          </w:tcPr>
          <w:p>
            <w:pPr>
              <w:pStyle w:val="TableParagraph"/>
              <w:spacing w:line="154" w:lineRule="exact"/>
              <w:ind w:right="75"/>
              <w:rPr>
                <w:sz w:val="14"/>
              </w:rPr>
            </w:pPr>
            <w:r>
              <w:rPr>
                <w:w w:val="119"/>
                <w:sz w:val="14"/>
              </w:rPr>
              <w:t>0</w:t>
            </w:r>
          </w:p>
        </w:tc>
        <w:tc>
          <w:tcPr>
            <w:tcW w:w="536" w:type="dxa"/>
            <w:tcBorders>
              <w:top w:val="nil"/>
              <w:left w:val="nil"/>
              <w:bottom w:val="nil"/>
              <w:right w:val="nil"/>
            </w:tcBorders>
          </w:tcPr>
          <w:p>
            <w:pPr>
              <w:pStyle w:val="TableParagraph"/>
              <w:spacing w:line="154" w:lineRule="exact"/>
              <w:ind w:right="74"/>
              <w:rPr>
                <w:sz w:val="14"/>
              </w:rPr>
            </w:pPr>
            <w:r>
              <w:rPr>
                <w:w w:val="120"/>
                <w:sz w:val="14"/>
              </w:rPr>
              <w:t>1.1</w:t>
            </w:r>
          </w:p>
        </w:tc>
        <w:tc>
          <w:tcPr>
            <w:tcW w:w="523" w:type="dxa"/>
            <w:tcBorders>
              <w:top w:val="nil"/>
              <w:left w:val="nil"/>
              <w:bottom w:val="nil"/>
              <w:right w:val="nil"/>
            </w:tcBorders>
          </w:tcPr>
          <w:p>
            <w:pPr>
              <w:pStyle w:val="TableParagraph"/>
              <w:spacing w:line="154" w:lineRule="exact"/>
              <w:ind w:right="61"/>
              <w:rPr>
                <w:sz w:val="14"/>
              </w:rPr>
            </w:pPr>
            <w:r>
              <w:rPr>
                <w:w w:val="120"/>
                <w:sz w:val="14"/>
              </w:rPr>
              <w:t>1.1</w:t>
            </w:r>
          </w:p>
        </w:tc>
      </w:tr>
      <w:tr>
        <w:trPr>
          <w:trHeight w:val="181" w:hRule="exact"/>
        </w:trPr>
        <w:tc>
          <w:tcPr>
            <w:tcW w:w="1626" w:type="dxa"/>
            <w:tcBorders>
              <w:top w:val="nil"/>
              <w:left w:val="nil"/>
              <w:bottom w:val="nil"/>
              <w:right w:val="nil"/>
            </w:tcBorders>
          </w:tcPr>
          <w:p>
            <w:pPr/>
          </w:p>
        </w:tc>
        <w:tc>
          <w:tcPr>
            <w:tcW w:w="623"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single" w:sz="4" w:space="0" w:color="000000"/>
            </w:tcBorders>
          </w:tcPr>
          <w:p>
            <w:pPr/>
          </w:p>
        </w:tc>
        <w:tc>
          <w:tcPr>
            <w:tcW w:w="1547" w:type="dxa"/>
            <w:tcBorders>
              <w:top w:val="nil"/>
              <w:left w:val="single" w:sz="4" w:space="0" w:color="000000"/>
              <w:bottom w:val="nil"/>
              <w:right w:val="nil"/>
            </w:tcBorders>
          </w:tcPr>
          <w:p>
            <w:pPr>
              <w:pStyle w:val="TableParagraph"/>
              <w:spacing w:before="11"/>
              <w:ind w:left="63"/>
              <w:jc w:val="left"/>
              <w:rPr>
                <w:sz w:val="14"/>
              </w:rPr>
            </w:pPr>
            <w:r>
              <w:rPr>
                <w:w w:val="120"/>
                <w:sz w:val="14"/>
              </w:rPr>
              <w:t>Normal</w:t>
            </w:r>
          </w:p>
        </w:tc>
        <w:tc>
          <w:tcPr>
            <w:tcW w:w="608" w:type="dxa"/>
            <w:tcBorders>
              <w:top w:val="nil"/>
              <w:left w:val="nil"/>
              <w:bottom w:val="nil"/>
              <w:right w:val="nil"/>
            </w:tcBorders>
          </w:tcPr>
          <w:p>
            <w:pPr>
              <w:pStyle w:val="TableParagraph"/>
              <w:spacing w:before="11"/>
              <w:ind w:right="75"/>
              <w:rPr>
                <w:sz w:val="14"/>
              </w:rPr>
            </w:pPr>
            <w:r>
              <w:rPr>
                <w:w w:val="119"/>
                <w:sz w:val="14"/>
              </w:rPr>
              <w:t>0</w:t>
            </w:r>
          </w:p>
        </w:tc>
        <w:tc>
          <w:tcPr>
            <w:tcW w:w="536" w:type="dxa"/>
            <w:tcBorders>
              <w:top w:val="nil"/>
              <w:left w:val="nil"/>
              <w:bottom w:val="nil"/>
              <w:right w:val="nil"/>
            </w:tcBorders>
          </w:tcPr>
          <w:p>
            <w:pPr>
              <w:pStyle w:val="TableParagraph"/>
              <w:spacing w:before="11"/>
              <w:ind w:right="74"/>
              <w:rPr>
                <w:sz w:val="14"/>
              </w:rPr>
            </w:pPr>
            <w:r>
              <w:rPr>
                <w:w w:val="120"/>
                <w:sz w:val="14"/>
              </w:rPr>
              <w:t>0.5</w:t>
            </w:r>
          </w:p>
        </w:tc>
        <w:tc>
          <w:tcPr>
            <w:tcW w:w="523" w:type="dxa"/>
            <w:tcBorders>
              <w:top w:val="nil"/>
              <w:left w:val="nil"/>
              <w:bottom w:val="nil"/>
              <w:right w:val="nil"/>
            </w:tcBorders>
          </w:tcPr>
          <w:p>
            <w:pPr>
              <w:pStyle w:val="TableParagraph"/>
              <w:spacing w:before="11"/>
              <w:ind w:right="61"/>
              <w:rPr>
                <w:sz w:val="14"/>
              </w:rPr>
            </w:pPr>
            <w:r>
              <w:rPr>
                <w:w w:val="120"/>
                <w:sz w:val="14"/>
              </w:rPr>
              <w:t>0.5</w:t>
            </w:r>
          </w:p>
        </w:tc>
      </w:tr>
      <w:tr>
        <w:trPr>
          <w:trHeight w:val="162" w:hRule="exact"/>
        </w:trPr>
        <w:tc>
          <w:tcPr>
            <w:tcW w:w="1626" w:type="dxa"/>
            <w:tcBorders>
              <w:top w:val="nil"/>
              <w:left w:val="nil"/>
              <w:bottom w:val="nil"/>
              <w:right w:val="nil"/>
            </w:tcBorders>
          </w:tcPr>
          <w:p>
            <w:pPr/>
          </w:p>
        </w:tc>
        <w:tc>
          <w:tcPr>
            <w:tcW w:w="623"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single" w:sz="4" w:space="0" w:color="000000"/>
            </w:tcBorders>
          </w:tcPr>
          <w:p>
            <w:pPr/>
          </w:p>
        </w:tc>
        <w:tc>
          <w:tcPr>
            <w:tcW w:w="1547" w:type="dxa"/>
            <w:tcBorders>
              <w:top w:val="nil"/>
              <w:left w:val="single" w:sz="4" w:space="0" w:color="000000"/>
              <w:bottom w:val="nil"/>
              <w:right w:val="nil"/>
            </w:tcBorders>
          </w:tcPr>
          <w:p>
            <w:pPr>
              <w:pStyle w:val="TableParagraph"/>
              <w:spacing w:line="154" w:lineRule="exact"/>
              <w:ind w:left="63"/>
              <w:jc w:val="left"/>
              <w:rPr>
                <w:sz w:val="14"/>
              </w:rPr>
            </w:pPr>
            <w:r>
              <w:rPr>
                <w:w w:val="120"/>
                <w:sz w:val="14"/>
              </w:rPr>
              <w:t>Profesional o</w:t>
            </w:r>
          </w:p>
        </w:tc>
        <w:tc>
          <w:tcPr>
            <w:tcW w:w="608"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nil"/>
            </w:tcBorders>
          </w:tcPr>
          <w:p>
            <w:pPr/>
          </w:p>
        </w:tc>
      </w:tr>
      <w:tr>
        <w:trPr>
          <w:trHeight w:val="181" w:hRule="exact"/>
        </w:trPr>
        <w:tc>
          <w:tcPr>
            <w:tcW w:w="1626" w:type="dxa"/>
            <w:tcBorders>
              <w:top w:val="nil"/>
              <w:left w:val="nil"/>
              <w:bottom w:val="nil"/>
              <w:right w:val="nil"/>
            </w:tcBorders>
          </w:tcPr>
          <w:p>
            <w:pPr/>
          </w:p>
        </w:tc>
        <w:tc>
          <w:tcPr>
            <w:tcW w:w="623"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single" w:sz="4" w:space="0" w:color="000000"/>
            </w:tcBorders>
          </w:tcPr>
          <w:p>
            <w:pPr/>
          </w:p>
        </w:tc>
        <w:tc>
          <w:tcPr>
            <w:tcW w:w="1547" w:type="dxa"/>
            <w:tcBorders>
              <w:top w:val="nil"/>
              <w:left w:val="single" w:sz="4" w:space="0" w:color="000000"/>
              <w:bottom w:val="nil"/>
              <w:right w:val="nil"/>
            </w:tcBorders>
          </w:tcPr>
          <w:p>
            <w:pPr>
              <w:pStyle w:val="TableParagraph"/>
              <w:spacing w:line="154" w:lineRule="exact"/>
              <w:ind w:left="63"/>
              <w:jc w:val="left"/>
              <w:rPr>
                <w:sz w:val="14"/>
              </w:rPr>
            </w:pPr>
            <w:r>
              <w:rPr>
                <w:w w:val="120"/>
                <w:sz w:val="14"/>
              </w:rPr>
              <w:t>postrado</w:t>
            </w:r>
          </w:p>
        </w:tc>
        <w:tc>
          <w:tcPr>
            <w:tcW w:w="608" w:type="dxa"/>
            <w:tcBorders>
              <w:top w:val="nil"/>
              <w:left w:val="nil"/>
              <w:bottom w:val="nil"/>
              <w:right w:val="nil"/>
            </w:tcBorders>
          </w:tcPr>
          <w:p>
            <w:pPr>
              <w:pStyle w:val="TableParagraph"/>
              <w:spacing w:line="154" w:lineRule="exact"/>
              <w:ind w:right="75"/>
              <w:rPr>
                <w:sz w:val="14"/>
              </w:rPr>
            </w:pPr>
            <w:r>
              <w:rPr>
                <w:w w:val="120"/>
                <w:sz w:val="14"/>
              </w:rPr>
              <w:t>35.7</w:t>
            </w:r>
          </w:p>
        </w:tc>
        <w:tc>
          <w:tcPr>
            <w:tcW w:w="536" w:type="dxa"/>
            <w:tcBorders>
              <w:top w:val="nil"/>
              <w:left w:val="nil"/>
              <w:bottom w:val="nil"/>
              <w:right w:val="nil"/>
            </w:tcBorders>
          </w:tcPr>
          <w:p>
            <w:pPr>
              <w:pStyle w:val="TableParagraph"/>
              <w:spacing w:line="154" w:lineRule="exact"/>
              <w:ind w:right="74"/>
              <w:rPr>
                <w:sz w:val="14"/>
              </w:rPr>
            </w:pPr>
            <w:r>
              <w:rPr>
                <w:w w:val="120"/>
                <w:sz w:val="14"/>
              </w:rPr>
              <w:t>5.1</w:t>
            </w:r>
          </w:p>
        </w:tc>
        <w:tc>
          <w:tcPr>
            <w:tcW w:w="523" w:type="dxa"/>
            <w:tcBorders>
              <w:top w:val="nil"/>
              <w:left w:val="nil"/>
              <w:bottom w:val="nil"/>
              <w:right w:val="nil"/>
            </w:tcBorders>
          </w:tcPr>
          <w:p>
            <w:pPr>
              <w:pStyle w:val="TableParagraph"/>
              <w:spacing w:line="154" w:lineRule="exact"/>
              <w:ind w:right="61"/>
              <w:rPr>
                <w:sz w:val="14"/>
              </w:rPr>
            </w:pPr>
            <w:r>
              <w:rPr>
                <w:w w:val="120"/>
                <w:sz w:val="14"/>
              </w:rPr>
              <w:t>6.7</w:t>
            </w:r>
          </w:p>
        </w:tc>
      </w:tr>
      <w:tr>
        <w:trPr>
          <w:trHeight w:val="181" w:hRule="exact"/>
        </w:trPr>
        <w:tc>
          <w:tcPr>
            <w:tcW w:w="1626" w:type="dxa"/>
            <w:tcBorders>
              <w:top w:val="nil"/>
              <w:left w:val="nil"/>
              <w:bottom w:val="nil"/>
              <w:right w:val="nil"/>
            </w:tcBorders>
          </w:tcPr>
          <w:p>
            <w:pPr>
              <w:pStyle w:val="TableParagraph"/>
              <w:spacing w:before="11"/>
              <w:ind w:left="17"/>
              <w:jc w:val="left"/>
              <w:rPr>
                <w:sz w:val="14"/>
              </w:rPr>
            </w:pPr>
            <w:r>
              <w:rPr>
                <w:w w:val="120"/>
                <w:sz w:val="14"/>
              </w:rPr>
              <w:t>Total</w:t>
            </w:r>
          </w:p>
        </w:tc>
        <w:tc>
          <w:tcPr>
            <w:tcW w:w="623" w:type="dxa"/>
            <w:tcBorders>
              <w:top w:val="nil"/>
              <w:left w:val="nil"/>
              <w:bottom w:val="nil"/>
              <w:right w:val="nil"/>
            </w:tcBorders>
          </w:tcPr>
          <w:p>
            <w:pPr>
              <w:pStyle w:val="TableParagraph"/>
              <w:spacing w:before="11"/>
              <w:ind w:right="75"/>
              <w:rPr>
                <w:sz w:val="14"/>
              </w:rPr>
            </w:pPr>
            <w:r>
              <w:rPr>
                <w:w w:val="120"/>
                <w:sz w:val="14"/>
              </w:rPr>
              <w:t>100.0</w:t>
            </w:r>
          </w:p>
        </w:tc>
        <w:tc>
          <w:tcPr>
            <w:tcW w:w="536" w:type="dxa"/>
            <w:tcBorders>
              <w:top w:val="nil"/>
              <w:left w:val="nil"/>
              <w:bottom w:val="nil"/>
              <w:right w:val="nil"/>
            </w:tcBorders>
          </w:tcPr>
          <w:p>
            <w:pPr>
              <w:pStyle w:val="TableParagraph"/>
              <w:spacing w:before="11"/>
              <w:ind w:right="74"/>
              <w:rPr>
                <w:sz w:val="14"/>
              </w:rPr>
            </w:pPr>
            <w:r>
              <w:rPr>
                <w:w w:val="120"/>
                <w:sz w:val="14"/>
              </w:rPr>
              <w:t>100.0</w:t>
            </w:r>
          </w:p>
        </w:tc>
        <w:tc>
          <w:tcPr>
            <w:tcW w:w="523" w:type="dxa"/>
            <w:tcBorders>
              <w:top w:val="nil"/>
              <w:left w:val="nil"/>
              <w:bottom w:val="nil"/>
              <w:right w:val="single" w:sz="4" w:space="0" w:color="000000"/>
            </w:tcBorders>
          </w:tcPr>
          <w:p>
            <w:pPr>
              <w:pStyle w:val="TableParagraph"/>
              <w:spacing w:before="11"/>
              <w:ind w:right="59"/>
              <w:rPr>
                <w:sz w:val="14"/>
              </w:rPr>
            </w:pPr>
            <w:r>
              <w:rPr>
                <w:w w:val="120"/>
                <w:sz w:val="14"/>
              </w:rPr>
              <w:t>100.0</w:t>
            </w:r>
          </w:p>
        </w:tc>
        <w:tc>
          <w:tcPr>
            <w:tcW w:w="1547" w:type="dxa"/>
            <w:tcBorders>
              <w:top w:val="nil"/>
              <w:left w:val="single" w:sz="4" w:space="0" w:color="000000"/>
              <w:bottom w:val="nil"/>
              <w:right w:val="nil"/>
            </w:tcBorders>
          </w:tcPr>
          <w:p>
            <w:pPr/>
          </w:p>
        </w:tc>
        <w:tc>
          <w:tcPr>
            <w:tcW w:w="608" w:type="dxa"/>
            <w:tcBorders>
              <w:top w:val="nil"/>
              <w:left w:val="nil"/>
              <w:bottom w:val="nil"/>
              <w:right w:val="nil"/>
            </w:tcBorders>
          </w:tcPr>
          <w:p>
            <w:pPr>
              <w:pStyle w:val="TableParagraph"/>
              <w:spacing w:before="11"/>
              <w:ind w:right="75"/>
              <w:rPr>
                <w:sz w:val="14"/>
              </w:rPr>
            </w:pPr>
            <w:r>
              <w:rPr>
                <w:w w:val="120"/>
                <w:sz w:val="14"/>
              </w:rPr>
              <w:t>100.0</w:t>
            </w:r>
          </w:p>
        </w:tc>
        <w:tc>
          <w:tcPr>
            <w:tcW w:w="536" w:type="dxa"/>
            <w:tcBorders>
              <w:top w:val="nil"/>
              <w:left w:val="nil"/>
              <w:bottom w:val="nil"/>
              <w:right w:val="nil"/>
            </w:tcBorders>
          </w:tcPr>
          <w:p>
            <w:pPr>
              <w:pStyle w:val="TableParagraph"/>
              <w:spacing w:before="11"/>
              <w:ind w:right="74"/>
              <w:rPr>
                <w:sz w:val="14"/>
              </w:rPr>
            </w:pPr>
            <w:r>
              <w:rPr>
                <w:w w:val="120"/>
                <w:sz w:val="14"/>
              </w:rPr>
              <w:t>100.0</w:t>
            </w:r>
          </w:p>
        </w:tc>
        <w:tc>
          <w:tcPr>
            <w:tcW w:w="523" w:type="dxa"/>
            <w:tcBorders>
              <w:top w:val="nil"/>
              <w:left w:val="nil"/>
              <w:bottom w:val="nil"/>
              <w:right w:val="nil"/>
            </w:tcBorders>
          </w:tcPr>
          <w:p>
            <w:pPr>
              <w:pStyle w:val="TableParagraph"/>
              <w:spacing w:before="11"/>
              <w:ind w:right="62"/>
              <w:rPr>
                <w:sz w:val="14"/>
              </w:rPr>
            </w:pPr>
            <w:r>
              <w:rPr>
                <w:w w:val="120"/>
                <w:sz w:val="14"/>
              </w:rPr>
              <w:t>100.0</w:t>
            </w:r>
          </w:p>
        </w:tc>
      </w:tr>
      <w:tr>
        <w:trPr>
          <w:trHeight w:val="162" w:hRule="exact"/>
        </w:trPr>
        <w:tc>
          <w:tcPr>
            <w:tcW w:w="1626" w:type="dxa"/>
            <w:tcBorders>
              <w:top w:val="nil"/>
              <w:left w:val="nil"/>
              <w:bottom w:val="nil"/>
              <w:right w:val="nil"/>
            </w:tcBorders>
          </w:tcPr>
          <w:p>
            <w:pPr>
              <w:pStyle w:val="TableParagraph"/>
              <w:spacing w:line="154" w:lineRule="exact"/>
              <w:ind w:left="17"/>
              <w:jc w:val="left"/>
              <w:rPr>
                <w:i/>
                <w:sz w:val="14"/>
              </w:rPr>
            </w:pPr>
            <w:r>
              <w:rPr>
                <w:i/>
                <w:w w:val="120"/>
                <w:sz w:val="14"/>
              </w:rPr>
              <w:t>Escolaridad</w:t>
            </w:r>
          </w:p>
        </w:tc>
        <w:tc>
          <w:tcPr>
            <w:tcW w:w="623"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single" w:sz="4" w:space="0" w:color="000000"/>
            </w:tcBorders>
          </w:tcPr>
          <w:p>
            <w:pPr/>
          </w:p>
        </w:tc>
        <w:tc>
          <w:tcPr>
            <w:tcW w:w="1547" w:type="dxa"/>
            <w:tcBorders>
              <w:top w:val="nil"/>
              <w:left w:val="single" w:sz="4" w:space="0" w:color="000000"/>
              <w:bottom w:val="nil"/>
              <w:right w:val="nil"/>
            </w:tcBorders>
          </w:tcPr>
          <w:p>
            <w:pPr/>
          </w:p>
        </w:tc>
        <w:tc>
          <w:tcPr>
            <w:tcW w:w="608"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nil"/>
            </w:tcBorders>
          </w:tcPr>
          <w:p>
            <w:pPr/>
          </w:p>
        </w:tc>
      </w:tr>
      <w:tr>
        <w:trPr>
          <w:trHeight w:val="183" w:hRule="exact"/>
        </w:trPr>
        <w:tc>
          <w:tcPr>
            <w:tcW w:w="1626" w:type="dxa"/>
            <w:tcBorders>
              <w:top w:val="nil"/>
              <w:left w:val="nil"/>
              <w:bottom w:val="nil"/>
              <w:right w:val="nil"/>
            </w:tcBorders>
          </w:tcPr>
          <w:p>
            <w:pPr>
              <w:pStyle w:val="TableParagraph"/>
              <w:spacing w:line="154" w:lineRule="exact"/>
              <w:ind w:left="17"/>
              <w:jc w:val="left"/>
              <w:rPr>
                <w:i/>
                <w:sz w:val="14"/>
              </w:rPr>
            </w:pPr>
            <w:r>
              <w:rPr>
                <w:i/>
                <w:w w:val="120"/>
                <w:sz w:val="14"/>
              </w:rPr>
              <w:t>Promedio</w:t>
            </w:r>
          </w:p>
        </w:tc>
        <w:tc>
          <w:tcPr>
            <w:tcW w:w="623" w:type="dxa"/>
            <w:tcBorders>
              <w:top w:val="nil"/>
              <w:left w:val="nil"/>
              <w:bottom w:val="nil"/>
              <w:right w:val="nil"/>
            </w:tcBorders>
          </w:tcPr>
          <w:p>
            <w:pPr>
              <w:pStyle w:val="TableParagraph"/>
              <w:spacing w:line="154" w:lineRule="exact"/>
              <w:ind w:right="76"/>
              <w:rPr>
                <w:sz w:val="14"/>
              </w:rPr>
            </w:pPr>
            <w:r>
              <w:rPr>
                <w:w w:val="120"/>
                <w:sz w:val="14"/>
              </w:rPr>
              <w:t>3.9</w:t>
            </w:r>
          </w:p>
        </w:tc>
        <w:tc>
          <w:tcPr>
            <w:tcW w:w="536" w:type="dxa"/>
            <w:tcBorders>
              <w:top w:val="nil"/>
              <w:left w:val="nil"/>
              <w:bottom w:val="nil"/>
              <w:right w:val="nil"/>
            </w:tcBorders>
          </w:tcPr>
          <w:p>
            <w:pPr>
              <w:pStyle w:val="TableParagraph"/>
              <w:spacing w:line="154" w:lineRule="exact"/>
              <w:ind w:right="74"/>
              <w:rPr>
                <w:sz w:val="14"/>
              </w:rPr>
            </w:pPr>
            <w:r>
              <w:rPr>
                <w:w w:val="120"/>
                <w:sz w:val="14"/>
              </w:rPr>
              <w:t>6.0</w:t>
            </w:r>
          </w:p>
        </w:tc>
        <w:tc>
          <w:tcPr>
            <w:tcW w:w="523" w:type="dxa"/>
            <w:tcBorders>
              <w:top w:val="nil"/>
              <w:left w:val="nil"/>
              <w:bottom w:val="nil"/>
              <w:right w:val="single" w:sz="4" w:space="0" w:color="000000"/>
            </w:tcBorders>
          </w:tcPr>
          <w:p>
            <w:pPr>
              <w:pStyle w:val="TableParagraph"/>
              <w:spacing w:line="154" w:lineRule="exact"/>
              <w:ind w:right="57"/>
              <w:rPr>
                <w:sz w:val="14"/>
              </w:rPr>
            </w:pPr>
            <w:r>
              <w:rPr>
                <w:w w:val="120"/>
                <w:sz w:val="14"/>
              </w:rPr>
              <w:t>5.0</w:t>
            </w:r>
          </w:p>
        </w:tc>
        <w:tc>
          <w:tcPr>
            <w:tcW w:w="1547" w:type="dxa"/>
            <w:tcBorders>
              <w:top w:val="nil"/>
              <w:left w:val="single" w:sz="4" w:space="0" w:color="000000"/>
              <w:bottom w:val="nil"/>
              <w:right w:val="nil"/>
            </w:tcBorders>
          </w:tcPr>
          <w:p>
            <w:pPr/>
          </w:p>
        </w:tc>
        <w:tc>
          <w:tcPr>
            <w:tcW w:w="608" w:type="dxa"/>
            <w:tcBorders>
              <w:top w:val="nil"/>
              <w:left w:val="nil"/>
              <w:bottom w:val="nil"/>
              <w:right w:val="nil"/>
            </w:tcBorders>
          </w:tcPr>
          <w:p>
            <w:pPr>
              <w:pStyle w:val="TableParagraph"/>
              <w:spacing w:line="154" w:lineRule="exact"/>
              <w:ind w:right="76"/>
              <w:rPr>
                <w:sz w:val="14"/>
              </w:rPr>
            </w:pPr>
            <w:r>
              <w:rPr>
                <w:w w:val="120"/>
                <w:sz w:val="14"/>
              </w:rPr>
              <w:t>3.8</w:t>
            </w:r>
          </w:p>
        </w:tc>
        <w:tc>
          <w:tcPr>
            <w:tcW w:w="536" w:type="dxa"/>
            <w:tcBorders>
              <w:top w:val="nil"/>
              <w:left w:val="nil"/>
              <w:bottom w:val="nil"/>
              <w:right w:val="nil"/>
            </w:tcBorders>
          </w:tcPr>
          <w:p>
            <w:pPr>
              <w:pStyle w:val="TableParagraph"/>
              <w:spacing w:line="154" w:lineRule="exact"/>
              <w:ind w:right="73"/>
              <w:rPr>
                <w:sz w:val="14"/>
              </w:rPr>
            </w:pPr>
            <w:r>
              <w:rPr>
                <w:w w:val="120"/>
                <w:sz w:val="14"/>
              </w:rPr>
              <w:t>5.00</w:t>
            </w:r>
          </w:p>
        </w:tc>
        <w:tc>
          <w:tcPr>
            <w:tcW w:w="523" w:type="dxa"/>
            <w:tcBorders>
              <w:top w:val="nil"/>
              <w:left w:val="nil"/>
              <w:bottom w:val="nil"/>
              <w:right w:val="nil"/>
            </w:tcBorders>
          </w:tcPr>
          <w:p>
            <w:pPr>
              <w:pStyle w:val="TableParagraph"/>
              <w:spacing w:line="154" w:lineRule="exact"/>
              <w:ind w:right="61"/>
              <w:rPr>
                <w:sz w:val="14"/>
              </w:rPr>
            </w:pPr>
            <w:r>
              <w:rPr>
                <w:w w:val="120"/>
                <w:sz w:val="14"/>
              </w:rPr>
              <w:t>6.00</w:t>
            </w:r>
          </w:p>
        </w:tc>
      </w:tr>
      <w:tr>
        <w:trPr>
          <w:trHeight w:val="201" w:hRule="exact"/>
        </w:trPr>
        <w:tc>
          <w:tcPr>
            <w:tcW w:w="1626" w:type="dxa"/>
            <w:tcBorders>
              <w:top w:val="nil"/>
              <w:left w:val="nil"/>
              <w:bottom w:val="nil"/>
              <w:right w:val="nil"/>
            </w:tcBorders>
          </w:tcPr>
          <w:p>
            <w:pPr>
              <w:pStyle w:val="TableParagraph"/>
              <w:spacing w:before="13"/>
              <w:ind w:left="17"/>
              <w:jc w:val="left"/>
              <w:rPr>
                <w:i/>
                <w:sz w:val="14"/>
              </w:rPr>
            </w:pPr>
            <w:r>
              <w:rPr>
                <w:i/>
                <w:w w:val="120"/>
                <w:sz w:val="14"/>
              </w:rPr>
              <w:t>Región de origen</w:t>
            </w:r>
          </w:p>
        </w:tc>
        <w:tc>
          <w:tcPr>
            <w:tcW w:w="623"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single" w:sz="4" w:space="0" w:color="000000"/>
            </w:tcBorders>
          </w:tcPr>
          <w:p>
            <w:pPr/>
          </w:p>
        </w:tc>
        <w:tc>
          <w:tcPr>
            <w:tcW w:w="1547" w:type="dxa"/>
            <w:tcBorders>
              <w:top w:val="nil"/>
              <w:left w:val="single" w:sz="4" w:space="0" w:color="000000"/>
              <w:bottom w:val="nil"/>
              <w:right w:val="nil"/>
            </w:tcBorders>
          </w:tcPr>
          <w:p>
            <w:pPr/>
          </w:p>
        </w:tc>
        <w:tc>
          <w:tcPr>
            <w:tcW w:w="608"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nil"/>
            </w:tcBorders>
          </w:tcPr>
          <w:p>
            <w:pPr/>
          </w:p>
        </w:tc>
      </w:tr>
      <w:tr>
        <w:trPr>
          <w:trHeight w:val="200" w:hRule="exact"/>
        </w:trPr>
        <w:tc>
          <w:tcPr>
            <w:tcW w:w="1626" w:type="dxa"/>
            <w:tcBorders>
              <w:top w:val="nil"/>
              <w:left w:val="nil"/>
              <w:bottom w:val="nil"/>
              <w:right w:val="nil"/>
            </w:tcBorders>
          </w:tcPr>
          <w:p>
            <w:pPr>
              <w:pStyle w:val="TableParagraph"/>
              <w:spacing w:before="11"/>
              <w:ind w:left="17"/>
              <w:jc w:val="left"/>
              <w:rPr>
                <w:sz w:val="14"/>
              </w:rPr>
            </w:pPr>
            <w:r>
              <w:rPr>
                <w:w w:val="120"/>
                <w:sz w:val="14"/>
              </w:rPr>
              <w:t>1 Toluca</w:t>
            </w:r>
          </w:p>
        </w:tc>
        <w:tc>
          <w:tcPr>
            <w:tcW w:w="623" w:type="dxa"/>
            <w:tcBorders>
              <w:top w:val="nil"/>
              <w:left w:val="nil"/>
              <w:bottom w:val="nil"/>
              <w:right w:val="nil"/>
            </w:tcBorders>
          </w:tcPr>
          <w:p>
            <w:pPr>
              <w:pStyle w:val="TableParagraph"/>
              <w:spacing w:before="11"/>
              <w:ind w:right="75"/>
              <w:rPr>
                <w:sz w:val="14"/>
              </w:rPr>
            </w:pPr>
            <w:r>
              <w:rPr>
                <w:w w:val="120"/>
                <w:sz w:val="14"/>
              </w:rPr>
              <w:t>94.4</w:t>
            </w:r>
          </w:p>
        </w:tc>
        <w:tc>
          <w:tcPr>
            <w:tcW w:w="536" w:type="dxa"/>
            <w:tcBorders>
              <w:top w:val="nil"/>
              <w:left w:val="nil"/>
              <w:bottom w:val="nil"/>
              <w:right w:val="nil"/>
            </w:tcBorders>
          </w:tcPr>
          <w:p>
            <w:pPr>
              <w:pStyle w:val="TableParagraph"/>
              <w:spacing w:before="11"/>
              <w:ind w:right="74"/>
              <w:rPr>
                <w:sz w:val="14"/>
              </w:rPr>
            </w:pPr>
            <w:r>
              <w:rPr>
                <w:w w:val="120"/>
                <w:sz w:val="14"/>
              </w:rPr>
              <w:t>30.4</w:t>
            </w:r>
          </w:p>
        </w:tc>
        <w:tc>
          <w:tcPr>
            <w:tcW w:w="523" w:type="dxa"/>
            <w:tcBorders>
              <w:top w:val="nil"/>
              <w:left w:val="nil"/>
              <w:bottom w:val="nil"/>
              <w:right w:val="single" w:sz="4" w:space="0" w:color="000000"/>
            </w:tcBorders>
          </w:tcPr>
          <w:p>
            <w:pPr>
              <w:pStyle w:val="TableParagraph"/>
              <w:spacing w:before="11"/>
              <w:ind w:right="58"/>
              <w:rPr>
                <w:sz w:val="14"/>
              </w:rPr>
            </w:pPr>
            <w:r>
              <w:rPr>
                <w:w w:val="120"/>
                <w:sz w:val="14"/>
              </w:rPr>
              <w:t>30.8</w:t>
            </w:r>
          </w:p>
        </w:tc>
        <w:tc>
          <w:tcPr>
            <w:tcW w:w="1547" w:type="dxa"/>
            <w:tcBorders>
              <w:top w:val="nil"/>
              <w:left w:val="single" w:sz="4" w:space="0" w:color="000000"/>
              <w:bottom w:val="nil"/>
              <w:right w:val="nil"/>
            </w:tcBorders>
          </w:tcPr>
          <w:p>
            <w:pPr>
              <w:pStyle w:val="TableParagraph"/>
              <w:spacing w:before="11"/>
              <w:ind w:left="63"/>
              <w:jc w:val="left"/>
              <w:rPr>
                <w:sz w:val="14"/>
              </w:rPr>
            </w:pPr>
            <w:r>
              <w:rPr>
                <w:w w:val="120"/>
                <w:sz w:val="14"/>
              </w:rPr>
              <w:t>1 Toluca</w:t>
            </w:r>
          </w:p>
        </w:tc>
        <w:tc>
          <w:tcPr>
            <w:tcW w:w="608" w:type="dxa"/>
            <w:tcBorders>
              <w:top w:val="nil"/>
              <w:left w:val="nil"/>
              <w:bottom w:val="nil"/>
              <w:right w:val="nil"/>
            </w:tcBorders>
          </w:tcPr>
          <w:p>
            <w:pPr>
              <w:pStyle w:val="TableParagraph"/>
              <w:spacing w:before="11"/>
              <w:ind w:right="75"/>
              <w:rPr>
                <w:sz w:val="14"/>
              </w:rPr>
            </w:pPr>
            <w:r>
              <w:rPr>
                <w:w w:val="120"/>
                <w:sz w:val="14"/>
              </w:rPr>
              <w:t>15.8</w:t>
            </w:r>
          </w:p>
        </w:tc>
        <w:tc>
          <w:tcPr>
            <w:tcW w:w="536" w:type="dxa"/>
            <w:tcBorders>
              <w:top w:val="nil"/>
              <w:left w:val="nil"/>
              <w:bottom w:val="nil"/>
              <w:right w:val="nil"/>
            </w:tcBorders>
          </w:tcPr>
          <w:p>
            <w:pPr>
              <w:pStyle w:val="TableParagraph"/>
              <w:spacing w:before="11"/>
              <w:ind w:right="74"/>
              <w:rPr>
                <w:sz w:val="14"/>
              </w:rPr>
            </w:pPr>
            <w:r>
              <w:rPr>
                <w:w w:val="120"/>
                <w:sz w:val="14"/>
              </w:rPr>
              <w:t>24.5</w:t>
            </w:r>
          </w:p>
        </w:tc>
        <w:tc>
          <w:tcPr>
            <w:tcW w:w="523" w:type="dxa"/>
            <w:tcBorders>
              <w:top w:val="nil"/>
              <w:left w:val="nil"/>
              <w:bottom w:val="nil"/>
              <w:right w:val="nil"/>
            </w:tcBorders>
          </w:tcPr>
          <w:p>
            <w:pPr>
              <w:pStyle w:val="TableParagraph"/>
              <w:spacing w:before="11"/>
              <w:ind w:right="62"/>
              <w:rPr>
                <w:sz w:val="14"/>
              </w:rPr>
            </w:pPr>
            <w:r>
              <w:rPr>
                <w:w w:val="120"/>
                <w:sz w:val="14"/>
              </w:rPr>
              <w:t>24.0</w:t>
            </w:r>
          </w:p>
        </w:tc>
      </w:tr>
      <w:tr>
        <w:trPr>
          <w:trHeight w:val="200" w:hRule="exact"/>
        </w:trPr>
        <w:tc>
          <w:tcPr>
            <w:tcW w:w="1626" w:type="dxa"/>
            <w:tcBorders>
              <w:top w:val="nil"/>
              <w:left w:val="nil"/>
              <w:bottom w:val="nil"/>
              <w:right w:val="nil"/>
            </w:tcBorders>
          </w:tcPr>
          <w:p>
            <w:pPr>
              <w:pStyle w:val="TableParagraph"/>
              <w:spacing w:before="11"/>
              <w:ind w:left="17"/>
              <w:jc w:val="left"/>
              <w:rPr>
                <w:sz w:val="14"/>
              </w:rPr>
            </w:pPr>
            <w:r>
              <w:rPr>
                <w:w w:val="120"/>
                <w:sz w:val="14"/>
              </w:rPr>
              <w:t>2 Zumpango</w:t>
            </w:r>
          </w:p>
        </w:tc>
        <w:tc>
          <w:tcPr>
            <w:tcW w:w="623" w:type="dxa"/>
            <w:tcBorders>
              <w:top w:val="nil"/>
              <w:left w:val="nil"/>
              <w:bottom w:val="nil"/>
              <w:right w:val="nil"/>
            </w:tcBorders>
          </w:tcPr>
          <w:p>
            <w:pPr>
              <w:pStyle w:val="TableParagraph"/>
              <w:spacing w:before="11"/>
              <w:ind w:right="76"/>
              <w:rPr>
                <w:sz w:val="14"/>
              </w:rPr>
            </w:pPr>
            <w:r>
              <w:rPr>
                <w:w w:val="120"/>
                <w:sz w:val="14"/>
              </w:rPr>
              <w:t>5.6</w:t>
            </w:r>
          </w:p>
        </w:tc>
        <w:tc>
          <w:tcPr>
            <w:tcW w:w="536" w:type="dxa"/>
            <w:tcBorders>
              <w:top w:val="nil"/>
              <w:left w:val="nil"/>
              <w:bottom w:val="nil"/>
              <w:right w:val="nil"/>
            </w:tcBorders>
          </w:tcPr>
          <w:p>
            <w:pPr>
              <w:pStyle w:val="TableParagraph"/>
              <w:spacing w:before="11"/>
              <w:ind w:right="74"/>
              <w:rPr>
                <w:sz w:val="14"/>
              </w:rPr>
            </w:pPr>
            <w:r>
              <w:rPr>
                <w:w w:val="120"/>
                <w:sz w:val="14"/>
              </w:rPr>
              <w:t>12.0</w:t>
            </w:r>
          </w:p>
        </w:tc>
        <w:tc>
          <w:tcPr>
            <w:tcW w:w="523" w:type="dxa"/>
            <w:tcBorders>
              <w:top w:val="nil"/>
              <w:left w:val="nil"/>
              <w:bottom w:val="nil"/>
              <w:right w:val="single" w:sz="4" w:space="0" w:color="000000"/>
            </w:tcBorders>
          </w:tcPr>
          <w:p>
            <w:pPr>
              <w:pStyle w:val="TableParagraph"/>
              <w:spacing w:before="11"/>
              <w:ind w:right="58"/>
              <w:rPr>
                <w:sz w:val="14"/>
              </w:rPr>
            </w:pPr>
            <w:r>
              <w:rPr>
                <w:w w:val="120"/>
                <w:sz w:val="14"/>
              </w:rPr>
              <w:t>12.0</w:t>
            </w:r>
          </w:p>
        </w:tc>
        <w:tc>
          <w:tcPr>
            <w:tcW w:w="1547" w:type="dxa"/>
            <w:tcBorders>
              <w:top w:val="nil"/>
              <w:left w:val="single" w:sz="4" w:space="0" w:color="000000"/>
              <w:bottom w:val="nil"/>
              <w:right w:val="nil"/>
            </w:tcBorders>
          </w:tcPr>
          <w:p>
            <w:pPr>
              <w:pStyle w:val="TableParagraph"/>
              <w:spacing w:before="11"/>
              <w:ind w:left="63"/>
              <w:jc w:val="left"/>
              <w:rPr>
                <w:sz w:val="14"/>
              </w:rPr>
            </w:pPr>
            <w:r>
              <w:rPr>
                <w:w w:val="120"/>
                <w:sz w:val="14"/>
              </w:rPr>
              <w:t>2 Zumpango</w:t>
            </w:r>
          </w:p>
        </w:tc>
        <w:tc>
          <w:tcPr>
            <w:tcW w:w="608" w:type="dxa"/>
            <w:tcBorders>
              <w:top w:val="nil"/>
              <w:left w:val="nil"/>
              <w:bottom w:val="nil"/>
              <w:right w:val="nil"/>
            </w:tcBorders>
          </w:tcPr>
          <w:p>
            <w:pPr>
              <w:pStyle w:val="TableParagraph"/>
              <w:spacing w:before="11"/>
              <w:ind w:right="76"/>
              <w:rPr>
                <w:sz w:val="14"/>
              </w:rPr>
            </w:pPr>
            <w:r>
              <w:rPr>
                <w:w w:val="120"/>
                <w:sz w:val="14"/>
              </w:rPr>
              <w:t>2.0</w:t>
            </w:r>
          </w:p>
        </w:tc>
        <w:tc>
          <w:tcPr>
            <w:tcW w:w="536" w:type="dxa"/>
            <w:tcBorders>
              <w:top w:val="nil"/>
              <w:left w:val="nil"/>
              <w:bottom w:val="nil"/>
              <w:right w:val="nil"/>
            </w:tcBorders>
          </w:tcPr>
          <w:p>
            <w:pPr>
              <w:pStyle w:val="TableParagraph"/>
              <w:spacing w:before="11"/>
              <w:ind w:right="74"/>
              <w:rPr>
                <w:sz w:val="14"/>
              </w:rPr>
            </w:pPr>
            <w:r>
              <w:rPr>
                <w:w w:val="120"/>
                <w:sz w:val="14"/>
              </w:rPr>
              <w:t>17.4</w:t>
            </w:r>
          </w:p>
        </w:tc>
        <w:tc>
          <w:tcPr>
            <w:tcW w:w="523" w:type="dxa"/>
            <w:tcBorders>
              <w:top w:val="nil"/>
              <w:left w:val="nil"/>
              <w:bottom w:val="nil"/>
              <w:right w:val="nil"/>
            </w:tcBorders>
          </w:tcPr>
          <w:p>
            <w:pPr>
              <w:pStyle w:val="TableParagraph"/>
              <w:spacing w:before="11"/>
              <w:ind w:right="62"/>
              <w:rPr>
                <w:sz w:val="14"/>
              </w:rPr>
            </w:pPr>
            <w:r>
              <w:rPr>
                <w:w w:val="120"/>
                <w:sz w:val="14"/>
              </w:rPr>
              <w:t>16.6</w:t>
            </w:r>
          </w:p>
        </w:tc>
      </w:tr>
      <w:tr>
        <w:trPr>
          <w:trHeight w:val="200" w:hRule="exact"/>
        </w:trPr>
        <w:tc>
          <w:tcPr>
            <w:tcW w:w="1626" w:type="dxa"/>
            <w:tcBorders>
              <w:top w:val="nil"/>
              <w:left w:val="nil"/>
              <w:bottom w:val="nil"/>
              <w:right w:val="nil"/>
            </w:tcBorders>
          </w:tcPr>
          <w:p>
            <w:pPr>
              <w:pStyle w:val="TableParagraph"/>
              <w:spacing w:before="11"/>
              <w:ind w:left="17"/>
              <w:jc w:val="left"/>
              <w:rPr>
                <w:sz w:val="14"/>
              </w:rPr>
            </w:pPr>
            <w:r>
              <w:rPr>
                <w:w w:val="120"/>
                <w:sz w:val="14"/>
              </w:rPr>
              <w:t>3 Texcoco</w:t>
            </w:r>
          </w:p>
        </w:tc>
        <w:tc>
          <w:tcPr>
            <w:tcW w:w="623" w:type="dxa"/>
            <w:tcBorders>
              <w:top w:val="nil"/>
              <w:left w:val="nil"/>
              <w:bottom w:val="nil"/>
              <w:right w:val="nil"/>
            </w:tcBorders>
          </w:tcPr>
          <w:p>
            <w:pPr>
              <w:pStyle w:val="TableParagraph"/>
              <w:spacing w:before="11"/>
              <w:ind w:right="75"/>
              <w:rPr>
                <w:sz w:val="14"/>
              </w:rPr>
            </w:pPr>
            <w:r>
              <w:rPr>
                <w:w w:val="119"/>
                <w:sz w:val="14"/>
              </w:rPr>
              <w:t>0</w:t>
            </w:r>
          </w:p>
        </w:tc>
        <w:tc>
          <w:tcPr>
            <w:tcW w:w="536" w:type="dxa"/>
            <w:tcBorders>
              <w:top w:val="nil"/>
              <w:left w:val="nil"/>
              <w:bottom w:val="nil"/>
              <w:right w:val="nil"/>
            </w:tcBorders>
          </w:tcPr>
          <w:p>
            <w:pPr>
              <w:pStyle w:val="TableParagraph"/>
              <w:spacing w:before="11"/>
              <w:ind w:right="74"/>
              <w:rPr>
                <w:sz w:val="14"/>
              </w:rPr>
            </w:pPr>
            <w:r>
              <w:rPr>
                <w:w w:val="120"/>
                <w:sz w:val="14"/>
              </w:rPr>
              <w:t>40.6</w:t>
            </w:r>
          </w:p>
        </w:tc>
        <w:tc>
          <w:tcPr>
            <w:tcW w:w="523" w:type="dxa"/>
            <w:tcBorders>
              <w:top w:val="nil"/>
              <w:left w:val="nil"/>
              <w:bottom w:val="nil"/>
              <w:right w:val="single" w:sz="4" w:space="0" w:color="000000"/>
            </w:tcBorders>
          </w:tcPr>
          <w:p>
            <w:pPr>
              <w:pStyle w:val="TableParagraph"/>
              <w:spacing w:before="11"/>
              <w:ind w:right="58"/>
              <w:rPr>
                <w:sz w:val="14"/>
              </w:rPr>
            </w:pPr>
            <w:r>
              <w:rPr>
                <w:w w:val="120"/>
                <w:sz w:val="14"/>
              </w:rPr>
              <w:t>40.4</w:t>
            </w:r>
          </w:p>
        </w:tc>
        <w:tc>
          <w:tcPr>
            <w:tcW w:w="1547" w:type="dxa"/>
            <w:tcBorders>
              <w:top w:val="nil"/>
              <w:left w:val="single" w:sz="4" w:space="0" w:color="000000"/>
              <w:bottom w:val="nil"/>
              <w:right w:val="nil"/>
            </w:tcBorders>
          </w:tcPr>
          <w:p>
            <w:pPr>
              <w:pStyle w:val="TableParagraph"/>
              <w:spacing w:before="11"/>
              <w:ind w:left="63"/>
              <w:jc w:val="left"/>
              <w:rPr>
                <w:sz w:val="14"/>
              </w:rPr>
            </w:pPr>
            <w:r>
              <w:rPr>
                <w:w w:val="120"/>
                <w:sz w:val="14"/>
              </w:rPr>
              <w:t>3 Texcoco</w:t>
            </w:r>
          </w:p>
        </w:tc>
        <w:tc>
          <w:tcPr>
            <w:tcW w:w="608" w:type="dxa"/>
            <w:tcBorders>
              <w:top w:val="nil"/>
              <w:left w:val="nil"/>
              <w:bottom w:val="nil"/>
              <w:right w:val="nil"/>
            </w:tcBorders>
          </w:tcPr>
          <w:p>
            <w:pPr>
              <w:pStyle w:val="TableParagraph"/>
              <w:spacing w:before="11"/>
              <w:ind w:right="75"/>
              <w:rPr>
                <w:sz w:val="14"/>
              </w:rPr>
            </w:pPr>
            <w:r>
              <w:rPr>
                <w:w w:val="120"/>
                <w:sz w:val="14"/>
              </w:rPr>
              <w:t>67.1</w:t>
            </w:r>
          </w:p>
        </w:tc>
        <w:tc>
          <w:tcPr>
            <w:tcW w:w="536" w:type="dxa"/>
            <w:tcBorders>
              <w:top w:val="nil"/>
              <w:left w:val="nil"/>
              <w:bottom w:val="nil"/>
              <w:right w:val="nil"/>
            </w:tcBorders>
          </w:tcPr>
          <w:p>
            <w:pPr>
              <w:pStyle w:val="TableParagraph"/>
              <w:spacing w:before="11"/>
              <w:ind w:right="74"/>
              <w:rPr>
                <w:sz w:val="14"/>
              </w:rPr>
            </w:pPr>
            <w:r>
              <w:rPr>
                <w:w w:val="120"/>
                <w:sz w:val="14"/>
              </w:rPr>
              <w:t>28.6</w:t>
            </w:r>
          </w:p>
        </w:tc>
        <w:tc>
          <w:tcPr>
            <w:tcW w:w="523" w:type="dxa"/>
            <w:tcBorders>
              <w:top w:val="nil"/>
              <w:left w:val="nil"/>
              <w:bottom w:val="nil"/>
              <w:right w:val="nil"/>
            </w:tcBorders>
          </w:tcPr>
          <w:p>
            <w:pPr>
              <w:pStyle w:val="TableParagraph"/>
              <w:spacing w:before="11"/>
              <w:ind w:right="62"/>
              <w:rPr>
                <w:sz w:val="14"/>
              </w:rPr>
            </w:pPr>
            <w:r>
              <w:rPr>
                <w:w w:val="120"/>
                <w:sz w:val="14"/>
              </w:rPr>
              <w:t>30.6</w:t>
            </w:r>
          </w:p>
        </w:tc>
      </w:tr>
      <w:tr>
        <w:trPr>
          <w:trHeight w:val="200" w:hRule="exact"/>
        </w:trPr>
        <w:tc>
          <w:tcPr>
            <w:tcW w:w="1626" w:type="dxa"/>
            <w:tcBorders>
              <w:top w:val="nil"/>
              <w:left w:val="nil"/>
              <w:bottom w:val="nil"/>
              <w:right w:val="nil"/>
            </w:tcBorders>
          </w:tcPr>
          <w:p>
            <w:pPr>
              <w:pStyle w:val="TableParagraph"/>
              <w:spacing w:before="11"/>
              <w:ind w:left="17"/>
              <w:jc w:val="left"/>
              <w:rPr>
                <w:sz w:val="14"/>
              </w:rPr>
            </w:pPr>
            <w:r>
              <w:rPr>
                <w:w w:val="120"/>
                <w:sz w:val="14"/>
              </w:rPr>
              <w:t>4 Tejupilco</w:t>
            </w:r>
          </w:p>
        </w:tc>
        <w:tc>
          <w:tcPr>
            <w:tcW w:w="623" w:type="dxa"/>
            <w:tcBorders>
              <w:top w:val="nil"/>
              <w:left w:val="nil"/>
              <w:bottom w:val="nil"/>
              <w:right w:val="nil"/>
            </w:tcBorders>
          </w:tcPr>
          <w:p>
            <w:pPr>
              <w:pStyle w:val="TableParagraph"/>
              <w:spacing w:before="11"/>
              <w:ind w:right="75"/>
              <w:rPr>
                <w:sz w:val="14"/>
              </w:rPr>
            </w:pPr>
            <w:r>
              <w:rPr>
                <w:w w:val="119"/>
                <w:sz w:val="14"/>
              </w:rPr>
              <w:t>0</w:t>
            </w:r>
          </w:p>
        </w:tc>
        <w:tc>
          <w:tcPr>
            <w:tcW w:w="536" w:type="dxa"/>
            <w:tcBorders>
              <w:top w:val="nil"/>
              <w:left w:val="nil"/>
              <w:bottom w:val="nil"/>
              <w:right w:val="nil"/>
            </w:tcBorders>
          </w:tcPr>
          <w:p>
            <w:pPr>
              <w:pStyle w:val="TableParagraph"/>
              <w:spacing w:before="11"/>
              <w:ind w:right="74"/>
              <w:rPr>
                <w:sz w:val="14"/>
              </w:rPr>
            </w:pPr>
            <w:r>
              <w:rPr>
                <w:w w:val="120"/>
                <w:sz w:val="14"/>
              </w:rPr>
              <w:t>5.2</w:t>
            </w:r>
          </w:p>
        </w:tc>
        <w:tc>
          <w:tcPr>
            <w:tcW w:w="523" w:type="dxa"/>
            <w:tcBorders>
              <w:top w:val="nil"/>
              <w:left w:val="nil"/>
              <w:bottom w:val="nil"/>
              <w:right w:val="single" w:sz="4" w:space="0" w:color="000000"/>
            </w:tcBorders>
          </w:tcPr>
          <w:p>
            <w:pPr>
              <w:pStyle w:val="TableParagraph"/>
              <w:spacing w:before="11"/>
              <w:ind w:right="57"/>
              <w:rPr>
                <w:sz w:val="14"/>
              </w:rPr>
            </w:pPr>
            <w:r>
              <w:rPr>
                <w:w w:val="120"/>
                <w:sz w:val="14"/>
              </w:rPr>
              <w:t>5.2</w:t>
            </w:r>
          </w:p>
        </w:tc>
        <w:tc>
          <w:tcPr>
            <w:tcW w:w="1547" w:type="dxa"/>
            <w:tcBorders>
              <w:top w:val="nil"/>
              <w:left w:val="single" w:sz="4" w:space="0" w:color="000000"/>
              <w:bottom w:val="nil"/>
              <w:right w:val="nil"/>
            </w:tcBorders>
          </w:tcPr>
          <w:p>
            <w:pPr>
              <w:pStyle w:val="TableParagraph"/>
              <w:spacing w:before="11"/>
              <w:ind w:left="63"/>
              <w:jc w:val="left"/>
              <w:rPr>
                <w:sz w:val="14"/>
              </w:rPr>
            </w:pPr>
            <w:r>
              <w:rPr>
                <w:w w:val="120"/>
                <w:sz w:val="14"/>
              </w:rPr>
              <w:t>4 Tejupilco</w:t>
            </w:r>
          </w:p>
        </w:tc>
        <w:tc>
          <w:tcPr>
            <w:tcW w:w="608" w:type="dxa"/>
            <w:tcBorders>
              <w:top w:val="nil"/>
              <w:left w:val="nil"/>
              <w:bottom w:val="nil"/>
              <w:right w:val="nil"/>
            </w:tcBorders>
          </w:tcPr>
          <w:p>
            <w:pPr>
              <w:pStyle w:val="TableParagraph"/>
              <w:spacing w:before="11"/>
              <w:ind w:right="76"/>
              <w:rPr>
                <w:sz w:val="14"/>
              </w:rPr>
            </w:pPr>
            <w:r>
              <w:rPr>
                <w:w w:val="120"/>
                <w:sz w:val="14"/>
              </w:rPr>
              <w:t>0.0</w:t>
            </w:r>
          </w:p>
        </w:tc>
        <w:tc>
          <w:tcPr>
            <w:tcW w:w="536" w:type="dxa"/>
            <w:tcBorders>
              <w:top w:val="nil"/>
              <w:left w:val="nil"/>
              <w:bottom w:val="nil"/>
              <w:right w:val="nil"/>
            </w:tcBorders>
          </w:tcPr>
          <w:p>
            <w:pPr>
              <w:pStyle w:val="TableParagraph"/>
              <w:spacing w:before="11"/>
              <w:ind w:right="74"/>
              <w:rPr>
                <w:sz w:val="14"/>
              </w:rPr>
            </w:pPr>
            <w:r>
              <w:rPr>
                <w:w w:val="120"/>
                <w:sz w:val="14"/>
              </w:rPr>
              <w:t>9.6</w:t>
            </w:r>
          </w:p>
        </w:tc>
        <w:tc>
          <w:tcPr>
            <w:tcW w:w="523" w:type="dxa"/>
            <w:tcBorders>
              <w:top w:val="nil"/>
              <w:left w:val="nil"/>
              <w:bottom w:val="nil"/>
              <w:right w:val="nil"/>
            </w:tcBorders>
          </w:tcPr>
          <w:p>
            <w:pPr>
              <w:pStyle w:val="TableParagraph"/>
              <w:spacing w:before="11"/>
              <w:ind w:right="61"/>
              <w:rPr>
                <w:sz w:val="14"/>
              </w:rPr>
            </w:pPr>
            <w:r>
              <w:rPr>
                <w:w w:val="120"/>
                <w:sz w:val="14"/>
              </w:rPr>
              <w:t>9.1</w:t>
            </w:r>
          </w:p>
        </w:tc>
      </w:tr>
      <w:tr>
        <w:trPr>
          <w:trHeight w:val="200" w:hRule="exact"/>
        </w:trPr>
        <w:tc>
          <w:tcPr>
            <w:tcW w:w="1626" w:type="dxa"/>
            <w:tcBorders>
              <w:top w:val="nil"/>
              <w:left w:val="nil"/>
              <w:bottom w:val="nil"/>
              <w:right w:val="nil"/>
            </w:tcBorders>
          </w:tcPr>
          <w:p>
            <w:pPr>
              <w:pStyle w:val="TableParagraph"/>
              <w:spacing w:before="11"/>
              <w:ind w:left="17"/>
              <w:jc w:val="left"/>
              <w:rPr>
                <w:sz w:val="14"/>
              </w:rPr>
            </w:pPr>
            <w:r>
              <w:rPr>
                <w:w w:val="120"/>
                <w:sz w:val="14"/>
              </w:rPr>
              <w:t>5 Atlacomulco</w:t>
            </w:r>
          </w:p>
        </w:tc>
        <w:tc>
          <w:tcPr>
            <w:tcW w:w="623" w:type="dxa"/>
            <w:tcBorders>
              <w:top w:val="nil"/>
              <w:left w:val="nil"/>
              <w:bottom w:val="nil"/>
              <w:right w:val="nil"/>
            </w:tcBorders>
          </w:tcPr>
          <w:p>
            <w:pPr>
              <w:pStyle w:val="TableParagraph"/>
              <w:spacing w:before="11"/>
              <w:ind w:right="75"/>
              <w:rPr>
                <w:sz w:val="14"/>
              </w:rPr>
            </w:pPr>
            <w:r>
              <w:rPr>
                <w:w w:val="119"/>
                <w:sz w:val="14"/>
              </w:rPr>
              <w:t>0</w:t>
            </w:r>
          </w:p>
        </w:tc>
        <w:tc>
          <w:tcPr>
            <w:tcW w:w="536" w:type="dxa"/>
            <w:tcBorders>
              <w:top w:val="nil"/>
              <w:left w:val="nil"/>
              <w:bottom w:val="nil"/>
              <w:right w:val="nil"/>
            </w:tcBorders>
          </w:tcPr>
          <w:p>
            <w:pPr>
              <w:pStyle w:val="TableParagraph"/>
              <w:spacing w:before="11"/>
              <w:ind w:right="74"/>
              <w:rPr>
                <w:sz w:val="14"/>
              </w:rPr>
            </w:pPr>
            <w:r>
              <w:rPr>
                <w:w w:val="120"/>
                <w:sz w:val="14"/>
              </w:rPr>
              <w:t>5.0</w:t>
            </w:r>
          </w:p>
        </w:tc>
        <w:tc>
          <w:tcPr>
            <w:tcW w:w="523" w:type="dxa"/>
            <w:tcBorders>
              <w:top w:val="nil"/>
              <w:left w:val="nil"/>
              <w:bottom w:val="nil"/>
              <w:right w:val="single" w:sz="4" w:space="0" w:color="000000"/>
            </w:tcBorders>
          </w:tcPr>
          <w:p>
            <w:pPr>
              <w:pStyle w:val="TableParagraph"/>
              <w:spacing w:before="11"/>
              <w:ind w:right="57"/>
              <w:rPr>
                <w:sz w:val="14"/>
              </w:rPr>
            </w:pPr>
            <w:r>
              <w:rPr>
                <w:w w:val="120"/>
                <w:sz w:val="14"/>
              </w:rPr>
              <w:t>5.0</w:t>
            </w:r>
          </w:p>
        </w:tc>
        <w:tc>
          <w:tcPr>
            <w:tcW w:w="1547" w:type="dxa"/>
            <w:tcBorders>
              <w:top w:val="nil"/>
              <w:left w:val="single" w:sz="4" w:space="0" w:color="000000"/>
              <w:bottom w:val="nil"/>
              <w:right w:val="nil"/>
            </w:tcBorders>
          </w:tcPr>
          <w:p>
            <w:pPr>
              <w:pStyle w:val="TableParagraph"/>
              <w:spacing w:before="11"/>
              <w:ind w:left="63"/>
              <w:jc w:val="left"/>
              <w:rPr>
                <w:sz w:val="14"/>
              </w:rPr>
            </w:pPr>
            <w:r>
              <w:rPr>
                <w:w w:val="120"/>
                <w:sz w:val="14"/>
              </w:rPr>
              <w:t>5 Atlacomulco</w:t>
            </w:r>
          </w:p>
        </w:tc>
        <w:tc>
          <w:tcPr>
            <w:tcW w:w="608" w:type="dxa"/>
            <w:tcBorders>
              <w:top w:val="nil"/>
              <w:left w:val="nil"/>
              <w:bottom w:val="nil"/>
              <w:right w:val="nil"/>
            </w:tcBorders>
          </w:tcPr>
          <w:p>
            <w:pPr>
              <w:pStyle w:val="TableParagraph"/>
              <w:spacing w:before="11"/>
              <w:ind w:right="75"/>
              <w:rPr>
                <w:sz w:val="14"/>
              </w:rPr>
            </w:pPr>
            <w:r>
              <w:rPr>
                <w:w w:val="120"/>
                <w:sz w:val="14"/>
              </w:rPr>
              <w:t>13.5</w:t>
            </w:r>
          </w:p>
        </w:tc>
        <w:tc>
          <w:tcPr>
            <w:tcW w:w="536" w:type="dxa"/>
            <w:tcBorders>
              <w:top w:val="nil"/>
              <w:left w:val="nil"/>
              <w:bottom w:val="nil"/>
              <w:right w:val="nil"/>
            </w:tcBorders>
          </w:tcPr>
          <w:p>
            <w:pPr>
              <w:pStyle w:val="TableParagraph"/>
              <w:spacing w:before="11"/>
              <w:ind w:right="74"/>
              <w:rPr>
                <w:sz w:val="14"/>
              </w:rPr>
            </w:pPr>
            <w:r>
              <w:rPr>
                <w:w w:val="120"/>
                <w:sz w:val="14"/>
              </w:rPr>
              <w:t>6.7</w:t>
            </w:r>
          </w:p>
        </w:tc>
        <w:tc>
          <w:tcPr>
            <w:tcW w:w="523" w:type="dxa"/>
            <w:tcBorders>
              <w:top w:val="nil"/>
              <w:left w:val="nil"/>
              <w:bottom w:val="nil"/>
              <w:right w:val="nil"/>
            </w:tcBorders>
          </w:tcPr>
          <w:p>
            <w:pPr>
              <w:pStyle w:val="TableParagraph"/>
              <w:spacing w:before="11"/>
              <w:ind w:right="61"/>
              <w:rPr>
                <w:sz w:val="14"/>
              </w:rPr>
            </w:pPr>
            <w:r>
              <w:rPr>
                <w:w w:val="120"/>
                <w:sz w:val="14"/>
              </w:rPr>
              <w:t>7.1</w:t>
            </w:r>
          </w:p>
        </w:tc>
      </w:tr>
      <w:tr>
        <w:trPr>
          <w:trHeight w:val="200" w:hRule="exact"/>
        </w:trPr>
        <w:tc>
          <w:tcPr>
            <w:tcW w:w="1626" w:type="dxa"/>
            <w:tcBorders>
              <w:top w:val="nil"/>
              <w:left w:val="nil"/>
              <w:bottom w:val="nil"/>
              <w:right w:val="nil"/>
            </w:tcBorders>
          </w:tcPr>
          <w:p>
            <w:pPr>
              <w:pStyle w:val="TableParagraph"/>
              <w:spacing w:before="11"/>
              <w:ind w:left="17"/>
              <w:jc w:val="left"/>
              <w:rPr>
                <w:sz w:val="14"/>
              </w:rPr>
            </w:pPr>
            <w:r>
              <w:rPr>
                <w:w w:val="120"/>
                <w:sz w:val="14"/>
              </w:rPr>
              <w:t>6 Coatapec Harinas</w:t>
            </w:r>
          </w:p>
        </w:tc>
        <w:tc>
          <w:tcPr>
            <w:tcW w:w="623" w:type="dxa"/>
            <w:tcBorders>
              <w:top w:val="nil"/>
              <w:left w:val="nil"/>
              <w:bottom w:val="nil"/>
              <w:right w:val="nil"/>
            </w:tcBorders>
          </w:tcPr>
          <w:p>
            <w:pPr>
              <w:pStyle w:val="TableParagraph"/>
              <w:spacing w:before="11"/>
              <w:ind w:right="75"/>
              <w:rPr>
                <w:sz w:val="14"/>
              </w:rPr>
            </w:pPr>
            <w:r>
              <w:rPr>
                <w:w w:val="119"/>
                <w:sz w:val="14"/>
              </w:rPr>
              <w:t>0</w:t>
            </w:r>
          </w:p>
        </w:tc>
        <w:tc>
          <w:tcPr>
            <w:tcW w:w="536" w:type="dxa"/>
            <w:tcBorders>
              <w:top w:val="nil"/>
              <w:left w:val="nil"/>
              <w:bottom w:val="nil"/>
              <w:right w:val="nil"/>
            </w:tcBorders>
          </w:tcPr>
          <w:p>
            <w:pPr>
              <w:pStyle w:val="TableParagraph"/>
              <w:spacing w:before="11"/>
              <w:ind w:right="74"/>
              <w:rPr>
                <w:sz w:val="14"/>
              </w:rPr>
            </w:pPr>
            <w:r>
              <w:rPr>
                <w:w w:val="120"/>
                <w:sz w:val="14"/>
              </w:rPr>
              <w:t>5.4</w:t>
            </w:r>
          </w:p>
        </w:tc>
        <w:tc>
          <w:tcPr>
            <w:tcW w:w="523" w:type="dxa"/>
            <w:tcBorders>
              <w:top w:val="nil"/>
              <w:left w:val="nil"/>
              <w:bottom w:val="nil"/>
              <w:right w:val="single" w:sz="4" w:space="0" w:color="000000"/>
            </w:tcBorders>
          </w:tcPr>
          <w:p>
            <w:pPr>
              <w:pStyle w:val="TableParagraph"/>
              <w:spacing w:before="11"/>
              <w:ind w:right="57"/>
              <w:rPr>
                <w:sz w:val="14"/>
              </w:rPr>
            </w:pPr>
            <w:r>
              <w:rPr>
                <w:w w:val="120"/>
                <w:sz w:val="14"/>
              </w:rPr>
              <w:t>5.4</w:t>
            </w:r>
          </w:p>
        </w:tc>
        <w:tc>
          <w:tcPr>
            <w:tcW w:w="1547" w:type="dxa"/>
            <w:tcBorders>
              <w:top w:val="nil"/>
              <w:left w:val="single" w:sz="4" w:space="0" w:color="000000"/>
              <w:bottom w:val="nil"/>
              <w:right w:val="nil"/>
            </w:tcBorders>
          </w:tcPr>
          <w:p>
            <w:pPr>
              <w:pStyle w:val="TableParagraph"/>
              <w:spacing w:before="11"/>
              <w:ind w:left="63"/>
              <w:jc w:val="left"/>
              <w:rPr>
                <w:sz w:val="14"/>
              </w:rPr>
            </w:pPr>
            <w:r>
              <w:rPr>
                <w:w w:val="120"/>
                <w:sz w:val="14"/>
              </w:rPr>
              <w:t>6 Coatapec Harinas</w:t>
            </w:r>
          </w:p>
        </w:tc>
        <w:tc>
          <w:tcPr>
            <w:tcW w:w="608" w:type="dxa"/>
            <w:tcBorders>
              <w:top w:val="nil"/>
              <w:left w:val="nil"/>
              <w:bottom w:val="nil"/>
              <w:right w:val="nil"/>
            </w:tcBorders>
          </w:tcPr>
          <w:p>
            <w:pPr>
              <w:pStyle w:val="TableParagraph"/>
              <w:spacing w:before="11"/>
              <w:ind w:right="76"/>
              <w:rPr>
                <w:sz w:val="14"/>
              </w:rPr>
            </w:pPr>
            <w:r>
              <w:rPr>
                <w:w w:val="120"/>
                <w:sz w:val="14"/>
              </w:rPr>
              <w:t>1.7</w:t>
            </w:r>
          </w:p>
        </w:tc>
        <w:tc>
          <w:tcPr>
            <w:tcW w:w="536" w:type="dxa"/>
            <w:tcBorders>
              <w:top w:val="nil"/>
              <w:left w:val="nil"/>
              <w:bottom w:val="nil"/>
              <w:right w:val="nil"/>
            </w:tcBorders>
          </w:tcPr>
          <w:p>
            <w:pPr>
              <w:pStyle w:val="TableParagraph"/>
              <w:spacing w:before="11"/>
              <w:ind w:right="74"/>
              <w:rPr>
                <w:sz w:val="14"/>
              </w:rPr>
            </w:pPr>
            <w:r>
              <w:rPr>
                <w:w w:val="120"/>
                <w:sz w:val="14"/>
              </w:rPr>
              <w:t>10.7</w:t>
            </w:r>
          </w:p>
        </w:tc>
        <w:tc>
          <w:tcPr>
            <w:tcW w:w="523" w:type="dxa"/>
            <w:tcBorders>
              <w:top w:val="nil"/>
              <w:left w:val="nil"/>
              <w:bottom w:val="nil"/>
              <w:right w:val="nil"/>
            </w:tcBorders>
          </w:tcPr>
          <w:p>
            <w:pPr>
              <w:pStyle w:val="TableParagraph"/>
              <w:spacing w:before="11"/>
              <w:ind w:right="62"/>
              <w:rPr>
                <w:sz w:val="14"/>
              </w:rPr>
            </w:pPr>
            <w:r>
              <w:rPr>
                <w:w w:val="120"/>
                <w:sz w:val="14"/>
              </w:rPr>
              <w:t>10.2</w:t>
            </w:r>
          </w:p>
        </w:tc>
      </w:tr>
      <w:tr>
        <w:trPr>
          <w:trHeight w:val="201" w:hRule="exact"/>
        </w:trPr>
        <w:tc>
          <w:tcPr>
            <w:tcW w:w="1626" w:type="dxa"/>
            <w:tcBorders>
              <w:top w:val="nil"/>
              <w:left w:val="nil"/>
              <w:bottom w:val="nil"/>
              <w:right w:val="nil"/>
            </w:tcBorders>
          </w:tcPr>
          <w:p>
            <w:pPr>
              <w:pStyle w:val="TableParagraph"/>
              <w:spacing w:before="11"/>
              <w:ind w:left="17"/>
              <w:jc w:val="left"/>
              <w:rPr>
                <w:sz w:val="14"/>
              </w:rPr>
            </w:pPr>
            <w:r>
              <w:rPr>
                <w:w w:val="120"/>
                <w:sz w:val="14"/>
              </w:rPr>
              <w:t>7 Valle de Bravo</w:t>
            </w:r>
          </w:p>
        </w:tc>
        <w:tc>
          <w:tcPr>
            <w:tcW w:w="623" w:type="dxa"/>
            <w:tcBorders>
              <w:top w:val="nil"/>
              <w:left w:val="nil"/>
              <w:bottom w:val="nil"/>
              <w:right w:val="nil"/>
            </w:tcBorders>
          </w:tcPr>
          <w:p>
            <w:pPr>
              <w:pStyle w:val="TableParagraph"/>
              <w:spacing w:before="11"/>
              <w:ind w:right="75"/>
              <w:rPr>
                <w:sz w:val="14"/>
              </w:rPr>
            </w:pPr>
            <w:r>
              <w:rPr>
                <w:w w:val="119"/>
                <w:sz w:val="14"/>
              </w:rPr>
              <w:t>0</w:t>
            </w:r>
          </w:p>
        </w:tc>
        <w:tc>
          <w:tcPr>
            <w:tcW w:w="536" w:type="dxa"/>
            <w:tcBorders>
              <w:top w:val="nil"/>
              <w:left w:val="nil"/>
              <w:bottom w:val="nil"/>
              <w:right w:val="nil"/>
            </w:tcBorders>
          </w:tcPr>
          <w:p>
            <w:pPr>
              <w:pStyle w:val="TableParagraph"/>
              <w:spacing w:before="11"/>
              <w:ind w:right="74"/>
              <w:rPr>
                <w:sz w:val="14"/>
              </w:rPr>
            </w:pPr>
            <w:r>
              <w:rPr>
                <w:w w:val="120"/>
                <w:sz w:val="14"/>
              </w:rPr>
              <w:t>1.2</w:t>
            </w:r>
          </w:p>
        </w:tc>
        <w:tc>
          <w:tcPr>
            <w:tcW w:w="523" w:type="dxa"/>
            <w:tcBorders>
              <w:top w:val="nil"/>
              <w:left w:val="nil"/>
              <w:bottom w:val="nil"/>
              <w:right w:val="single" w:sz="4" w:space="0" w:color="000000"/>
            </w:tcBorders>
          </w:tcPr>
          <w:p>
            <w:pPr>
              <w:pStyle w:val="TableParagraph"/>
              <w:spacing w:before="11"/>
              <w:ind w:right="57"/>
              <w:rPr>
                <w:sz w:val="14"/>
              </w:rPr>
            </w:pPr>
            <w:r>
              <w:rPr>
                <w:w w:val="120"/>
                <w:sz w:val="14"/>
              </w:rPr>
              <w:t>1.2</w:t>
            </w:r>
          </w:p>
        </w:tc>
        <w:tc>
          <w:tcPr>
            <w:tcW w:w="1547" w:type="dxa"/>
            <w:tcBorders>
              <w:top w:val="nil"/>
              <w:left w:val="single" w:sz="4" w:space="0" w:color="000000"/>
              <w:bottom w:val="nil"/>
              <w:right w:val="nil"/>
            </w:tcBorders>
          </w:tcPr>
          <w:p>
            <w:pPr>
              <w:pStyle w:val="TableParagraph"/>
              <w:spacing w:before="11"/>
              <w:ind w:left="63"/>
              <w:jc w:val="left"/>
              <w:rPr>
                <w:sz w:val="14"/>
              </w:rPr>
            </w:pPr>
            <w:r>
              <w:rPr>
                <w:w w:val="120"/>
                <w:sz w:val="14"/>
              </w:rPr>
              <w:t>7 Valle de Bravo</w:t>
            </w:r>
          </w:p>
        </w:tc>
        <w:tc>
          <w:tcPr>
            <w:tcW w:w="608" w:type="dxa"/>
            <w:tcBorders>
              <w:top w:val="nil"/>
              <w:left w:val="nil"/>
              <w:bottom w:val="nil"/>
              <w:right w:val="nil"/>
            </w:tcBorders>
          </w:tcPr>
          <w:p>
            <w:pPr>
              <w:pStyle w:val="TableParagraph"/>
              <w:spacing w:before="11"/>
              <w:ind w:right="75"/>
              <w:rPr>
                <w:sz w:val="14"/>
              </w:rPr>
            </w:pPr>
            <w:r>
              <w:rPr>
                <w:w w:val="119"/>
                <w:sz w:val="14"/>
              </w:rPr>
              <w:t>0</w:t>
            </w:r>
          </w:p>
        </w:tc>
        <w:tc>
          <w:tcPr>
            <w:tcW w:w="536" w:type="dxa"/>
            <w:tcBorders>
              <w:top w:val="nil"/>
              <w:left w:val="nil"/>
              <w:bottom w:val="nil"/>
              <w:right w:val="nil"/>
            </w:tcBorders>
          </w:tcPr>
          <w:p>
            <w:pPr>
              <w:pStyle w:val="TableParagraph"/>
              <w:spacing w:before="11"/>
              <w:ind w:right="74"/>
              <w:rPr>
                <w:sz w:val="14"/>
              </w:rPr>
            </w:pPr>
            <w:r>
              <w:rPr>
                <w:w w:val="120"/>
                <w:sz w:val="14"/>
              </w:rPr>
              <w:t>1.8</w:t>
            </w:r>
          </w:p>
        </w:tc>
        <w:tc>
          <w:tcPr>
            <w:tcW w:w="523" w:type="dxa"/>
            <w:tcBorders>
              <w:top w:val="nil"/>
              <w:left w:val="nil"/>
              <w:bottom w:val="nil"/>
              <w:right w:val="nil"/>
            </w:tcBorders>
          </w:tcPr>
          <w:p>
            <w:pPr>
              <w:pStyle w:val="TableParagraph"/>
              <w:spacing w:before="11"/>
              <w:ind w:right="61"/>
              <w:rPr>
                <w:sz w:val="14"/>
              </w:rPr>
            </w:pPr>
            <w:r>
              <w:rPr>
                <w:w w:val="120"/>
                <w:sz w:val="14"/>
              </w:rPr>
              <w:t>1.7</w:t>
            </w:r>
          </w:p>
        </w:tc>
      </w:tr>
      <w:tr>
        <w:trPr>
          <w:trHeight w:val="201" w:hRule="exact"/>
        </w:trPr>
        <w:tc>
          <w:tcPr>
            <w:tcW w:w="1626" w:type="dxa"/>
            <w:tcBorders>
              <w:top w:val="nil"/>
              <w:left w:val="nil"/>
              <w:bottom w:val="nil"/>
              <w:right w:val="nil"/>
            </w:tcBorders>
          </w:tcPr>
          <w:p>
            <w:pPr>
              <w:pStyle w:val="TableParagraph"/>
              <w:spacing w:before="13"/>
              <w:ind w:left="17"/>
              <w:jc w:val="left"/>
              <w:rPr>
                <w:sz w:val="14"/>
              </w:rPr>
            </w:pPr>
            <w:r>
              <w:rPr>
                <w:w w:val="120"/>
                <w:sz w:val="14"/>
              </w:rPr>
              <w:t>8 Jilotepec</w:t>
            </w:r>
          </w:p>
        </w:tc>
        <w:tc>
          <w:tcPr>
            <w:tcW w:w="623" w:type="dxa"/>
            <w:tcBorders>
              <w:top w:val="nil"/>
              <w:left w:val="nil"/>
              <w:bottom w:val="nil"/>
              <w:right w:val="nil"/>
            </w:tcBorders>
          </w:tcPr>
          <w:p>
            <w:pPr>
              <w:pStyle w:val="TableParagraph"/>
              <w:spacing w:before="13"/>
              <w:ind w:right="75"/>
              <w:rPr>
                <w:sz w:val="14"/>
              </w:rPr>
            </w:pPr>
            <w:r>
              <w:rPr>
                <w:w w:val="119"/>
                <w:sz w:val="14"/>
              </w:rPr>
              <w:t>0</w:t>
            </w:r>
          </w:p>
        </w:tc>
        <w:tc>
          <w:tcPr>
            <w:tcW w:w="536" w:type="dxa"/>
            <w:tcBorders>
              <w:top w:val="nil"/>
              <w:left w:val="nil"/>
              <w:bottom w:val="nil"/>
              <w:right w:val="nil"/>
            </w:tcBorders>
          </w:tcPr>
          <w:p>
            <w:pPr>
              <w:pStyle w:val="TableParagraph"/>
              <w:spacing w:before="13"/>
              <w:ind w:right="74"/>
              <w:rPr>
                <w:sz w:val="14"/>
              </w:rPr>
            </w:pPr>
            <w:r>
              <w:rPr>
                <w:w w:val="120"/>
                <w:sz w:val="14"/>
              </w:rPr>
              <w:t>0.1</w:t>
            </w:r>
          </w:p>
        </w:tc>
        <w:tc>
          <w:tcPr>
            <w:tcW w:w="523" w:type="dxa"/>
            <w:tcBorders>
              <w:top w:val="nil"/>
              <w:left w:val="nil"/>
              <w:bottom w:val="nil"/>
              <w:right w:val="single" w:sz="4" w:space="0" w:color="000000"/>
            </w:tcBorders>
          </w:tcPr>
          <w:p>
            <w:pPr>
              <w:pStyle w:val="TableParagraph"/>
              <w:spacing w:before="13"/>
              <w:ind w:right="57"/>
              <w:rPr>
                <w:sz w:val="14"/>
              </w:rPr>
            </w:pPr>
            <w:r>
              <w:rPr>
                <w:w w:val="120"/>
                <w:sz w:val="14"/>
              </w:rPr>
              <w:t>0.1</w:t>
            </w:r>
          </w:p>
        </w:tc>
        <w:tc>
          <w:tcPr>
            <w:tcW w:w="1547" w:type="dxa"/>
            <w:tcBorders>
              <w:top w:val="nil"/>
              <w:left w:val="single" w:sz="4" w:space="0" w:color="000000"/>
              <w:bottom w:val="nil"/>
              <w:right w:val="nil"/>
            </w:tcBorders>
          </w:tcPr>
          <w:p>
            <w:pPr>
              <w:pStyle w:val="TableParagraph"/>
              <w:spacing w:before="13"/>
              <w:ind w:left="63"/>
              <w:jc w:val="left"/>
              <w:rPr>
                <w:sz w:val="14"/>
              </w:rPr>
            </w:pPr>
            <w:r>
              <w:rPr>
                <w:w w:val="120"/>
                <w:sz w:val="14"/>
              </w:rPr>
              <w:t>Región 8 Jilotepec</w:t>
            </w:r>
          </w:p>
        </w:tc>
        <w:tc>
          <w:tcPr>
            <w:tcW w:w="608" w:type="dxa"/>
            <w:tcBorders>
              <w:top w:val="nil"/>
              <w:left w:val="nil"/>
              <w:bottom w:val="nil"/>
              <w:right w:val="nil"/>
            </w:tcBorders>
          </w:tcPr>
          <w:p>
            <w:pPr>
              <w:pStyle w:val="TableParagraph"/>
              <w:spacing w:before="13"/>
              <w:ind w:right="74"/>
              <w:rPr>
                <w:sz w:val="14"/>
              </w:rPr>
            </w:pPr>
            <w:r>
              <w:rPr>
                <w:w w:val="120"/>
                <w:sz w:val="14"/>
              </w:rPr>
              <w:t>0.00</w:t>
            </w:r>
          </w:p>
        </w:tc>
        <w:tc>
          <w:tcPr>
            <w:tcW w:w="536" w:type="dxa"/>
            <w:tcBorders>
              <w:top w:val="nil"/>
              <w:left w:val="nil"/>
              <w:bottom w:val="nil"/>
              <w:right w:val="nil"/>
            </w:tcBorders>
          </w:tcPr>
          <w:p>
            <w:pPr>
              <w:pStyle w:val="TableParagraph"/>
              <w:spacing w:before="13"/>
              <w:ind w:right="74"/>
              <w:rPr>
                <w:sz w:val="14"/>
              </w:rPr>
            </w:pPr>
            <w:r>
              <w:rPr>
                <w:w w:val="120"/>
                <w:sz w:val="14"/>
              </w:rPr>
              <w:t>0.7</w:t>
            </w:r>
          </w:p>
        </w:tc>
        <w:tc>
          <w:tcPr>
            <w:tcW w:w="523" w:type="dxa"/>
            <w:tcBorders>
              <w:top w:val="nil"/>
              <w:left w:val="nil"/>
              <w:bottom w:val="nil"/>
              <w:right w:val="nil"/>
            </w:tcBorders>
          </w:tcPr>
          <w:p>
            <w:pPr>
              <w:pStyle w:val="TableParagraph"/>
              <w:spacing w:before="13"/>
              <w:ind w:right="61"/>
              <w:rPr>
                <w:sz w:val="14"/>
              </w:rPr>
            </w:pPr>
            <w:r>
              <w:rPr>
                <w:w w:val="120"/>
                <w:sz w:val="14"/>
              </w:rPr>
              <w:t>0.7</w:t>
            </w:r>
          </w:p>
        </w:tc>
      </w:tr>
      <w:tr>
        <w:trPr>
          <w:trHeight w:val="181" w:hRule="exact"/>
        </w:trPr>
        <w:tc>
          <w:tcPr>
            <w:tcW w:w="1626" w:type="dxa"/>
            <w:tcBorders>
              <w:top w:val="nil"/>
              <w:left w:val="nil"/>
              <w:bottom w:val="nil"/>
              <w:right w:val="nil"/>
            </w:tcBorders>
          </w:tcPr>
          <w:p>
            <w:pPr>
              <w:pStyle w:val="TableParagraph"/>
              <w:spacing w:before="11"/>
              <w:ind w:left="17"/>
              <w:jc w:val="left"/>
              <w:rPr>
                <w:sz w:val="14"/>
              </w:rPr>
            </w:pPr>
            <w:r>
              <w:rPr>
                <w:w w:val="120"/>
                <w:sz w:val="14"/>
              </w:rPr>
              <w:t>Total</w:t>
            </w:r>
          </w:p>
        </w:tc>
        <w:tc>
          <w:tcPr>
            <w:tcW w:w="623" w:type="dxa"/>
            <w:tcBorders>
              <w:top w:val="nil"/>
              <w:left w:val="nil"/>
              <w:bottom w:val="nil"/>
              <w:right w:val="nil"/>
            </w:tcBorders>
          </w:tcPr>
          <w:p>
            <w:pPr>
              <w:pStyle w:val="TableParagraph"/>
              <w:spacing w:before="11"/>
              <w:ind w:right="75"/>
              <w:rPr>
                <w:sz w:val="14"/>
              </w:rPr>
            </w:pPr>
            <w:r>
              <w:rPr>
                <w:w w:val="120"/>
                <w:sz w:val="14"/>
              </w:rPr>
              <w:t>100.0</w:t>
            </w:r>
          </w:p>
        </w:tc>
        <w:tc>
          <w:tcPr>
            <w:tcW w:w="536" w:type="dxa"/>
            <w:tcBorders>
              <w:top w:val="nil"/>
              <w:left w:val="nil"/>
              <w:bottom w:val="nil"/>
              <w:right w:val="nil"/>
            </w:tcBorders>
          </w:tcPr>
          <w:p>
            <w:pPr>
              <w:pStyle w:val="TableParagraph"/>
              <w:spacing w:before="11"/>
              <w:ind w:right="74"/>
              <w:rPr>
                <w:sz w:val="14"/>
              </w:rPr>
            </w:pPr>
            <w:r>
              <w:rPr>
                <w:w w:val="120"/>
                <w:sz w:val="14"/>
              </w:rPr>
              <w:t>100.0</w:t>
            </w:r>
          </w:p>
        </w:tc>
        <w:tc>
          <w:tcPr>
            <w:tcW w:w="523" w:type="dxa"/>
            <w:tcBorders>
              <w:top w:val="nil"/>
              <w:left w:val="nil"/>
              <w:bottom w:val="nil"/>
              <w:right w:val="single" w:sz="4" w:space="0" w:color="000000"/>
            </w:tcBorders>
          </w:tcPr>
          <w:p>
            <w:pPr>
              <w:pStyle w:val="TableParagraph"/>
              <w:spacing w:before="11"/>
              <w:ind w:right="56"/>
              <w:rPr>
                <w:sz w:val="14"/>
              </w:rPr>
            </w:pPr>
            <w:r>
              <w:rPr>
                <w:w w:val="120"/>
                <w:sz w:val="14"/>
              </w:rPr>
              <w:t>100</w:t>
            </w:r>
          </w:p>
        </w:tc>
        <w:tc>
          <w:tcPr>
            <w:tcW w:w="1547" w:type="dxa"/>
            <w:tcBorders>
              <w:top w:val="nil"/>
              <w:left w:val="single" w:sz="4" w:space="0" w:color="000000"/>
              <w:bottom w:val="nil"/>
              <w:right w:val="nil"/>
            </w:tcBorders>
          </w:tcPr>
          <w:p>
            <w:pPr>
              <w:pStyle w:val="TableParagraph"/>
              <w:spacing w:before="11"/>
              <w:ind w:left="63"/>
              <w:jc w:val="left"/>
              <w:rPr>
                <w:sz w:val="14"/>
              </w:rPr>
            </w:pPr>
            <w:r>
              <w:rPr>
                <w:w w:val="120"/>
                <w:sz w:val="14"/>
              </w:rPr>
              <w:t>Total</w:t>
            </w:r>
          </w:p>
        </w:tc>
        <w:tc>
          <w:tcPr>
            <w:tcW w:w="608" w:type="dxa"/>
            <w:tcBorders>
              <w:top w:val="nil"/>
              <w:left w:val="nil"/>
              <w:bottom w:val="nil"/>
              <w:right w:val="nil"/>
            </w:tcBorders>
          </w:tcPr>
          <w:p>
            <w:pPr>
              <w:pStyle w:val="TableParagraph"/>
              <w:spacing w:before="11"/>
              <w:ind w:right="75"/>
              <w:rPr>
                <w:sz w:val="14"/>
              </w:rPr>
            </w:pPr>
            <w:r>
              <w:rPr>
                <w:w w:val="120"/>
                <w:sz w:val="14"/>
              </w:rPr>
              <w:t>100.0</w:t>
            </w:r>
          </w:p>
        </w:tc>
        <w:tc>
          <w:tcPr>
            <w:tcW w:w="536" w:type="dxa"/>
            <w:tcBorders>
              <w:top w:val="nil"/>
              <w:left w:val="nil"/>
              <w:bottom w:val="nil"/>
              <w:right w:val="nil"/>
            </w:tcBorders>
          </w:tcPr>
          <w:p>
            <w:pPr>
              <w:pStyle w:val="TableParagraph"/>
              <w:spacing w:before="11"/>
              <w:ind w:right="74"/>
              <w:rPr>
                <w:sz w:val="14"/>
              </w:rPr>
            </w:pPr>
            <w:r>
              <w:rPr>
                <w:w w:val="120"/>
                <w:sz w:val="14"/>
              </w:rPr>
              <w:t>100.0</w:t>
            </w:r>
          </w:p>
        </w:tc>
        <w:tc>
          <w:tcPr>
            <w:tcW w:w="523" w:type="dxa"/>
            <w:tcBorders>
              <w:top w:val="nil"/>
              <w:left w:val="nil"/>
              <w:bottom w:val="nil"/>
              <w:right w:val="nil"/>
            </w:tcBorders>
          </w:tcPr>
          <w:p>
            <w:pPr>
              <w:pStyle w:val="TableParagraph"/>
              <w:spacing w:before="11"/>
              <w:ind w:right="62"/>
              <w:rPr>
                <w:sz w:val="14"/>
              </w:rPr>
            </w:pPr>
            <w:r>
              <w:rPr>
                <w:w w:val="120"/>
                <w:sz w:val="14"/>
              </w:rPr>
              <w:t>100.0</w:t>
            </w:r>
          </w:p>
        </w:tc>
      </w:tr>
      <w:tr>
        <w:trPr>
          <w:trHeight w:val="181" w:hRule="exact"/>
        </w:trPr>
        <w:tc>
          <w:tcPr>
            <w:tcW w:w="1626" w:type="dxa"/>
            <w:tcBorders>
              <w:top w:val="nil"/>
              <w:left w:val="nil"/>
              <w:bottom w:val="nil"/>
              <w:right w:val="nil"/>
            </w:tcBorders>
          </w:tcPr>
          <w:p>
            <w:pPr>
              <w:pStyle w:val="TableParagraph"/>
              <w:spacing w:line="154" w:lineRule="exact"/>
              <w:ind w:left="17"/>
              <w:jc w:val="left"/>
              <w:rPr>
                <w:i/>
                <w:sz w:val="14"/>
              </w:rPr>
            </w:pPr>
            <w:r>
              <w:rPr>
                <w:i/>
                <w:w w:val="120"/>
                <w:sz w:val="14"/>
              </w:rPr>
              <w:t>Localidad</w:t>
            </w:r>
          </w:p>
        </w:tc>
        <w:tc>
          <w:tcPr>
            <w:tcW w:w="623"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single" w:sz="4" w:space="0" w:color="000000"/>
            </w:tcBorders>
          </w:tcPr>
          <w:p>
            <w:pPr/>
          </w:p>
        </w:tc>
        <w:tc>
          <w:tcPr>
            <w:tcW w:w="1547" w:type="dxa"/>
            <w:tcBorders>
              <w:top w:val="nil"/>
              <w:left w:val="single" w:sz="4" w:space="0" w:color="000000"/>
              <w:bottom w:val="nil"/>
              <w:right w:val="nil"/>
            </w:tcBorders>
          </w:tcPr>
          <w:p>
            <w:pPr/>
          </w:p>
        </w:tc>
        <w:tc>
          <w:tcPr>
            <w:tcW w:w="608" w:type="dxa"/>
            <w:tcBorders>
              <w:top w:val="nil"/>
              <w:left w:val="nil"/>
              <w:bottom w:val="nil"/>
              <w:right w:val="nil"/>
            </w:tcBorders>
          </w:tcPr>
          <w:p>
            <w:pPr/>
          </w:p>
        </w:tc>
        <w:tc>
          <w:tcPr>
            <w:tcW w:w="536" w:type="dxa"/>
            <w:tcBorders>
              <w:top w:val="nil"/>
              <w:left w:val="nil"/>
              <w:bottom w:val="nil"/>
              <w:right w:val="nil"/>
            </w:tcBorders>
          </w:tcPr>
          <w:p>
            <w:pPr/>
          </w:p>
        </w:tc>
        <w:tc>
          <w:tcPr>
            <w:tcW w:w="523" w:type="dxa"/>
            <w:tcBorders>
              <w:top w:val="nil"/>
              <w:left w:val="nil"/>
              <w:bottom w:val="nil"/>
              <w:right w:val="nil"/>
            </w:tcBorders>
          </w:tcPr>
          <w:p>
            <w:pPr/>
          </w:p>
        </w:tc>
      </w:tr>
      <w:tr>
        <w:trPr>
          <w:trHeight w:val="200" w:hRule="exact"/>
        </w:trPr>
        <w:tc>
          <w:tcPr>
            <w:tcW w:w="1626" w:type="dxa"/>
            <w:tcBorders>
              <w:top w:val="nil"/>
              <w:left w:val="nil"/>
              <w:bottom w:val="nil"/>
              <w:right w:val="nil"/>
            </w:tcBorders>
          </w:tcPr>
          <w:p>
            <w:pPr>
              <w:pStyle w:val="TableParagraph"/>
              <w:spacing w:before="11"/>
              <w:ind w:left="17"/>
              <w:jc w:val="left"/>
              <w:rPr>
                <w:sz w:val="14"/>
              </w:rPr>
            </w:pPr>
            <w:r>
              <w:rPr>
                <w:w w:val="120"/>
                <w:sz w:val="14"/>
              </w:rPr>
              <w:t>No urbana</w:t>
            </w:r>
          </w:p>
        </w:tc>
        <w:tc>
          <w:tcPr>
            <w:tcW w:w="623" w:type="dxa"/>
            <w:tcBorders>
              <w:top w:val="nil"/>
              <w:left w:val="nil"/>
              <w:bottom w:val="nil"/>
              <w:right w:val="nil"/>
            </w:tcBorders>
          </w:tcPr>
          <w:p>
            <w:pPr>
              <w:pStyle w:val="TableParagraph"/>
              <w:spacing w:before="11"/>
              <w:ind w:right="75"/>
              <w:rPr>
                <w:sz w:val="14"/>
              </w:rPr>
            </w:pPr>
            <w:r>
              <w:rPr>
                <w:w w:val="120"/>
                <w:sz w:val="14"/>
              </w:rPr>
              <w:t>100.0</w:t>
            </w:r>
          </w:p>
        </w:tc>
        <w:tc>
          <w:tcPr>
            <w:tcW w:w="536" w:type="dxa"/>
            <w:tcBorders>
              <w:top w:val="nil"/>
              <w:left w:val="nil"/>
              <w:bottom w:val="nil"/>
              <w:right w:val="nil"/>
            </w:tcBorders>
          </w:tcPr>
          <w:p>
            <w:pPr>
              <w:pStyle w:val="TableParagraph"/>
              <w:spacing w:before="11"/>
              <w:ind w:right="74"/>
              <w:rPr>
                <w:sz w:val="14"/>
              </w:rPr>
            </w:pPr>
            <w:r>
              <w:rPr>
                <w:w w:val="120"/>
                <w:sz w:val="14"/>
              </w:rPr>
              <w:t>87.4</w:t>
            </w:r>
          </w:p>
        </w:tc>
        <w:tc>
          <w:tcPr>
            <w:tcW w:w="523" w:type="dxa"/>
            <w:tcBorders>
              <w:top w:val="nil"/>
              <w:left w:val="nil"/>
              <w:bottom w:val="nil"/>
              <w:right w:val="single" w:sz="4" w:space="0" w:color="000000"/>
            </w:tcBorders>
          </w:tcPr>
          <w:p>
            <w:pPr>
              <w:pStyle w:val="TableParagraph"/>
              <w:spacing w:before="11"/>
              <w:ind w:right="58"/>
              <w:rPr>
                <w:sz w:val="14"/>
              </w:rPr>
            </w:pPr>
            <w:r>
              <w:rPr>
                <w:w w:val="120"/>
                <w:sz w:val="14"/>
              </w:rPr>
              <w:t>87.5</w:t>
            </w:r>
          </w:p>
        </w:tc>
        <w:tc>
          <w:tcPr>
            <w:tcW w:w="1547" w:type="dxa"/>
            <w:tcBorders>
              <w:top w:val="nil"/>
              <w:left w:val="single" w:sz="4" w:space="0" w:color="000000"/>
              <w:bottom w:val="nil"/>
              <w:right w:val="nil"/>
            </w:tcBorders>
          </w:tcPr>
          <w:p>
            <w:pPr>
              <w:pStyle w:val="TableParagraph"/>
              <w:spacing w:before="11"/>
              <w:ind w:left="63"/>
              <w:jc w:val="left"/>
              <w:rPr>
                <w:sz w:val="14"/>
              </w:rPr>
            </w:pPr>
            <w:r>
              <w:rPr>
                <w:w w:val="120"/>
                <w:sz w:val="14"/>
              </w:rPr>
              <w:t>No urbana</w:t>
            </w:r>
          </w:p>
        </w:tc>
        <w:tc>
          <w:tcPr>
            <w:tcW w:w="608" w:type="dxa"/>
            <w:tcBorders>
              <w:top w:val="nil"/>
              <w:left w:val="nil"/>
              <w:bottom w:val="nil"/>
              <w:right w:val="nil"/>
            </w:tcBorders>
          </w:tcPr>
          <w:p>
            <w:pPr>
              <w:pStyle w:val="TableParagraph"/>
              <w:spacing w:before="11"/>
              <w:ind w:right="75"/>
              <w:rPr>
                <w:sz w:val="14"/>
              </w:rPr>
            </w:pPr>
            <w:r>
              <w:rPr>
                <w:w w:val="120"/>
                <w:sz w:val="14"/>
              </w:rPr>
              <w:t>31.3</w:t>
            </w:r>
          </w:p>
        </w:tc>
        <w:tc>
          <w:tcPr>
            <w:tcW w:w="536" w:type="dxa"/>
            <w:tcBorders>
              <w:top w:val="nil"/>
              <w:left w:val="nil"/>
              <w:bottom w:val="nil"/>
              <w:right w:val="nil"/>
            </w:tcBorders>
          </w:tcPr>
          <w:p>
            <w:pPr>
              <w:pStyle w:val="TableParagraph"/>
              <w:spacing w:before="11"/>
              <w:ind w:right="74"/>
              <w:rPr>
                <w:sz w:val="14"/>
              </w:rPr>
            </w:pPr>
            <w:r>
              <w:rPr>
                <w:w w:val="120"/>
                <w:sz w:val="14"/>
              </w:rPr>
              <w:t>65.0</w:t>
            </w:r>
          </w:p>
        </w:tc>
        <w:tc>
          <w:tcPr>
            <w:tcW w:w="523" w:type="dxa"/>
            <w:tcBorders>
              <w:top w:val="nil"/>
              <w:left w:val="nil"/>
              <w:bottom w:val="nil"/>
              <w:right w:val="nil"/>
            </w:tcBorders>
          </w:tcPr>
          <w:p>
            <w:pPr>
              <w:pStyle w:val="TableParagraph"/>
              <w:spacing w:before="11"/>
              <w:ind w:right="62"/>
              <w:rPr>
                <w:sz w:val="14"/>
              </w:rPr>
            </w:pPr>
            <w:r>
              <w:rPr>
                <w:w w:val="120"/>
                <w:sz w:val="14"/>
              </w:rPr>
              <w:t>63.2</w:t>
            </w:r>
          </w:p>
        </w:tc>
      </w:tr>
      <w:tr>
        <w:trPr>
          <w:trHeight w:val="200" w:hRule="exact"/>
        </w:trPr>
        <w:tc>
          <w:tcPr>
            <w:tcW w:w="1626" w:type="dxa"/>
            <w:tcBorders>
              <w:top w:val="nil"/>
              <w:left w:val="nil"/>
              <w:bottom w:val="nil"/>
              <w:right w:val="nil"/>
            </w:tcBorders>
          </w:tcPr>
          <w:p>
            <w:pPr>
              <w:pStyle w:val="TableParagraph"/>
              <w:spacing w:before="11"/>
              <w:ind w:left="17"/>
              <w:jc w:val="left"/>
              <w:rPr>
                <w:sz w:val="14"/>
              </w:rPr>
            </w:pPr>
            <w:r>
              <w:rPr>
                <w:w w:val="120"/>
                <w:sz w:val="14"/>
              </w:rPr>
              <w:t>Urbana</w:t>
            </w:r>
          </w:p>
        </w:tc>
        <w:tc>
          <w:tcPr>
            <w:tcW w:w="623" w:type="dxa"/>
            <w:tcBorders>
              <w:top w:val="nil"/>
              <w:left w:val="nil"/>
              <w:bottom w:val="nil"/>
              <w:right w:val="nil"/>
            </w:tcBorders>
          </w:tcPr>
          <w:p>
            <w:pPr>
              <w:pStyle w:val="TableParagraph"/>
              <w:spacing w:before="11"/>
              <w:ind w:right="75"/>
              <w:rPr>
                <w:sz w:val="14"/>
              </w:rPr>
            </w:pPr>
            <w:r>
              <w:rPr>
                <w:w w:val="119"/>
                <w:sz w:val="14"/>
              </w:rPr>
              <w:t>0</w:t>
            </w:r>
          </w:p>
        </w:tc>
        <w:tc>
          <w:tcPr>
            <w:tcW w:w="536" w:type="dxa"/>
            <w:tcBorders>
              <w:top w:val="nil"/>
              <w:left w:val="nil"/>
              <w:bottom w:val="nil"/>
              <w:right w:val="nil"/>
            </w:tcBorders>
          </w:tcPr>
          <w:p>
            <w:pPr>
              <w:pStyle w:val="TableParagraph"/>
              <w:spacing w:before="11"/>
              <w:ind w:right="74"/>
              <w:rPr>
                <w:sz w:val="14"/>
              </w:rPr>
            </w:pPr>
            <w:r>
              <w:rPr>
                <w:w w:val="120"/>
                <w:sz w:val="14"/>
              </w:rPr>
              <w:t>12.6</w:t>
            </w:r>
          </w:p>
        </w:tc>
        <w:tc>
          <w:tcPr>
            <w:tcW w:w="523" w:type="dxa"/>
            <w:tcBorders>
              <w:top w:val="nil"/>
              <w:left w:val="nil"/>
              <w:bottom w:val="nil"/>
              <w:right w:val="single" w:sz="4" w:space="0" w:color="000000"/>
            </w:tcBorders>
          </w:tcPr>
          <w:p>
            <w:pPr>
              <w:pStyle w:val="TableParagraph"/>
              <w:spacing w:before="11"/>
              <w:ind w:right="58"/>
              <w:rPr>
                <w:sz w:val="14"/>
              </w:rPr>
            </w:pPr>
            <w:r>
              <w:rPr>
                <w:w w:val="120"/>
                <w:sz w:val="14"/>
              </w:rPr>
              <w:t>12.5</w:t>
            </w:r>
          </w:p>
        </w:tc>
        <w:tc>
          <w:tcPr>
            <w:tcW w:w="1547" w:type="dxa"/>
            <w:tcBorders>
              <w:top w:val="nil"/>
              <w:left w:val="single" w:sz="4" w:space="0" w:color="000000"/>
              <w:bottom w:val="nil"/>
              <w:right w:val="nil"/>
            </w:tcBorders>
          </w:tcPr>
          <w:p>
            <w:pPr>
              <w:pStyle w:val="TableParagraph"/>
              <w:spacing w:before="11"/>
              <w:ind w:left="63"/>
              <w:jc w:val="left"/>
              <w:rPr>
                <w:sz w:val="14"/>
              </w:rPr>
            </w:pPr>
            <w:r>
              <w:rPr>
                <w:w w:val="120"/>
                <w:sz w:val="14"/>
              </w:rPr>
              <w:t>Urbana</w:t>
            </w:r>
          </w:p>
        </w:tc>
        <w:tc>
          <w:tcPr>
            <w:tcW w:w="608" w:type="dxa"/>
            <w:tcBorders>
              <w:top w:val="nil"/>
              <w:left w:val="nil"/>
              <w:bottom w:val="nil"/>
              <w:right w:val="nil"/>
            </w:tcBorders>
          </w:tcPr>
          <w:p>
            <w:pPr>
              <w:pStyle w:val="TableParagraph"/>
              <w:spacing w:before="11"/>
              <w:ind w:right="75"/>
              <w:rPr>
                <w:sz w:val="14"/>
              </w:rPr>
            </w:pPr>
            <w:r>
              <w:rPr>
                <w:w w:val="120"/>
                <w:sz w:val="14"/>
              </w:rPr>
              <w:t>68.7</w:t>
            </w:r>
          </w:p>
        </w:tc>
        <w:tc>
          <w:tcPr>
            <w:tcW w:w="536" w:type="dxa"/>
            <w:tcBorders>
              <w:top w:val="nil"/>
              <w:left w:val="nil"/>
              <w:bottom w:val="nil"/>
              <w:right w:val="nil"/>
            </w:tcBorders>
          </w:tcPr>
          <w:p>
            <w:pPr>
              <w:pStyle w:val="TableParagraph"/>
              <w:spacing w:before="11"/>
              <w:ind w:right="74"/>
              <w:rPr>
                <w:sz w:val="14"/>
              </w:rPr>
            </w:pPr>
            <w:r>
              <w:rPr>
                <w:w w:val="120"/>
                <w:sz w:val="14"/>
              </w:rPr>
              <w:t>35.0</w:t>
            </w:r>
          </w:p>
        </w:tc>
        <w:tc>
          <w:tcPr>
            <w:tcW w:w="523" w:type="dxa"/>
            <w:tcBorders>
              <w:top w:val="nil"/>
              <w:left w:val="nil"/>
              <w:bottom w:val="nil"/>
              <w:right w:val="nil"/>
            </w:tcBorders>
          </w:tcPr>
          <w:p>
            <w:pPr>
              <w:pStyle w:val="TableParagraph"/>
              <w:spacing w:before="11"/>
              <w:ind w:right="62"/>
              <w:rPr>
                <w:sz w:val="14"/>
              </w:rPr>
            </w:pPr>
            <w:r>
              <w:rPr>
                <w:w w:val="120"/>
                <w:sz w:val="14"/>
              </w:rPr>
              <w:t>36.8</w:t>
            </w:r>
          </w:p>
        </w:tc>
      </w:tr>
      <w:tr>
        <w:trPr>
          <w:trHeight w:val="184" w:hRule="exact"/>
        </w:trPr>
        <w:tc>
          <w:tcPr>
            <w:tcW w:w="1626" w:type="dxa"/>
            <w:tcBorders>
              <w:top w:val="nil"/>
              <w:left w:val="nil"/>
              <w:right w:val="nil"/>
            </w:tcBorders>
          </w:tcPr>
          <w:p>
            <w:pPr>
              <w:pStyle w:val="TableParagraph"/>
              <w:spacing w:before="11"/>
              <w:ind w:left="17"/>
              <w:jc w:val="left"/>
              <w:rPr>
                <w:sz w:val="14"/>
              </w:rPr>
            </w:pPr>
            <w:r>
              <w:rPr>
                <w:w w:val="120"/>
                <w:sz w:val="14"/>
              </w:rPr>
              <w:t>Total</w:t>
            </w:r>
          </w:p>
        </w:tc>
        <w:tc>
          <w:tcPr>
            <w:tcW w:w="623" w:type="dxa"/>
            <w:tcBorders>
              <w:top w:val="nil"/>
              <w:left w:val="nil"/>
              <w:right w:val="nil"/>
            </w:tcBorders>
          </w:tcPr>
          <w:p>
            <w:pPr>
              <w:pStyle w:val="TableParagraph"/>
              <w:spacing w:before="11"/>
              <w:ind w:right="75"/>
              <w:rPr>
                <w:sz w:val="14"/>
              </w:rPr>
            </w:pPr>
            <w:r>
              <w:rPr>
                <w:w w:val="120"/>
                <w:sz w:val="14"/>
              </w:rPr>
              <w:t>100.0</w:t>
            </w:r>
          </w:p>
        </w:tc>
        <w:tc>
          <w:tcPr>
            <w:tcW w:w="536" w:type="dxa"/>
            <w:tcBorders>
              <w:top w:val="nil"/>
              <w:left w:val="nil"/>
              <w:right w:val="nil"/>
            </w:tcBorders>
          </w:tcPr>
          <w:p>
            <w:pPr>
              <w:pStyle w:val="TableParagraph"/>
              <w:spacing w:before="11"/>
              <w:ind w:right="74"/>
              <w:rPr>
                <w:sz w:val="14"/>
              </w:rPr>
            </w:pPr>
            <w:r>
              <w:rPr>
                <w:w w:val="120"/>
                <w:sz w:val="14"/>
              </w:rPr>
              <w:t>100.0</w:t>
            </w:r>
          </w:p>
        </w:tc>
        <w:tc>
          <w:tcPr>
            <w:tcW w:w="523" w:type="dxa"/>
            <w:tcBorders>
              <w:top w:val="nil"/>
              <w:left w:val="nil"/>
              <w:right w:val="single" w:sz="4" w:space="0" w:color="000000"/>
            </w:tcBorders>
          </w:tcPr>
          <w:p>
            <w:pPr>
              <w:pStyle w:val="TableParagraph"/>
              <w:spacing w:before="11"/>
              <w:ind w:right="56"/>
              <w:rPr>
                <w:sz w:val="14"/>
              </w:rPr>
            </w:pPr>
            <w:r>
              <w:rPr>
                <w:w w:val="120"/>
                <w:sz w:val="14"/>
              </w:rPr>
              <w:t>100</w:t>
            </w:r>
          </w:p>
        </w:tc>
        <w:tc>
          <w:tcPr>
            <w:tcW w:w="1547" w:type="dxa"/>
            <w:tcBorders>
              <w:top w:val="nil"/>
              <w:left w:val="single" w:sz="4" w:space="0" w:color="000000"/>
              <w:right w:val="nil"/>
            </w:tcBorders>
          </w:tcPr>
          <w:p>
            <w:pPr>
              <w:pStyle w:val="TableParagraph"/>
              <w:spacing w:before="11"/>
              <w:ind w:left="63"/>
              <w:jc w:val="left"/>
              <w:rPr>
                <w:sz w:val="14"/>
              </w:rPr>
            </w:pPr>
            <w:r>
              <w:rPr>
                <w:w w:val="120"/>
                <w:sz w:val="14"/>
              </w:rPr>
              <w:t>Total</w:t>
            </w:r>
          </w:p>
        </w:tc>
        <w:tc>
          <w:tcPr>
            <w:tcW w:w="608" w:type="dxa"/>
            <w:tcBorders>
              <w:top w:val="nil"/>
              <w:left w:val="nil"/>
              <w:right w:val="nil"/>
            </w:tcBorders>
          </w:tcPr>
          <w:p>
            <w:pPr>
              <w:pStyle w:val="TableParagraph"/>
              <w:spacing w:before="11"/>
              <w:ind w:right="75"/>
              <w:rPr>
                <w:sz w:val="14"/>
              </w:rPr>
            </w:pPr>
            <w:r>
              <w:rPr>
                <w:w w:val="120"/>
                <w:sz w:val="14"/>
              </w:rPr>
              <w:t>100.0</w:t>
            </w:r>
          </w:p>
        </w:tc>
        <w:tc>
          <w:tcPr>
            <w:tcW w:w="536" w:type="dxa"/>
            <w:tcBorders>
              <w:top w:val="nil"/>
              <w:left w:val="nil"/>
              <w:right w:val="nil"/>
            </w:tcBorders>
          </w:tcPr>
          <w:p>
            <w:pPr>
              <w:pStyle w:val="TableParagraph"/>
              <w:spacing w:before="11"/>
              <w:ind w:right="74"/>
              <w:rPr>
                <w:sz w:val="14"/>
              </w:rPr>
            </w:pPr>
            <w:r>
              <w:rPr>
                <w:w w:val="120"/>
                <w:sz w:val="14"/>
              </w:rPr>
              <w:t>100.0</w:t>
            </w:r>
          </w:p>
        </w:tc>
        <w:tc>
          <w:tcPr>
            <w:tcW w:w="523" w:type="dxa"/>
            <w:tcBorders>
              <w:top w:val="nil"/>
              <w:left w:val="nil"/>
              <w:right w:val="nil"/>
            </w:tcBorders>
          </w:tcPr>
          <w:p>
            <w:pPr>
              <w:pStyle w:val="TableParagraph"/>
              <w:spacing w:before="11"/>
              <w:ind w:right="62"/>
              <w:rPr>
                <w:sz w:val="14"/>
              </w:rPr>
            </w:pPr>
            <w:r>
              <w:rPr>
                <w:w w:val="120"/>
                <w:sz w:val="14"/>
              </w:rPr>
              <w:t>100.0</w:t>
            </w:r>
          </w:p>
        </w:tc>
      </w:tr>
    </w:tbl>
    <w:p>
      <w:pPr>
        <w:spacing w:line="249" w:lineRule="auto" w:before="8"/>
        <w:ind w:left="134" w:right="233" w:hanging="1"/>
        <w:jc w:val="left"/>
        <w:rPr>
          <w:sz w:val="12"/>
        </w:rPr>
      </w:pPr>
      <w:r>
        <w:rPr>
          <w:w w:val="125"/>
          <w:sz w:val="12"/>
        </w:rPr>
        <w:t>Fuente: Encuesta sobre Migración en la Frontera Norte de México, El Colegio de la Frontera Norte, Consejo Nacional de Población y la Secretaría del Trabajo y de la Previsión Social.</w:t>
      </w:r>
    </w:p>
    <w:p>
      <w:pPr>
        <w:spacing w:after="0" w:line="249" w:lineRule="auto"/>
        <w:jc w:val="left"/>
        <w:rPr>
          <w:sz w:val="12"/>
        </w:rPr>
        <w:sectPr>
          <w:type w:val="continuous"/>
          <w:pgSz w:w="9360" w:h="13040"/>
          <w:pgMar w:top="0" w:bottom="0" w:left="1300" w:right="1280"/>
        </w:sectPr>
      </w:pPr>
    </w:p>
    <w:p>
      <w:pPr>
        <w:tabs>
          <w:tab w:pos="5536" w:val="left" w:leader="none"/>
        </w:tabs>
        <w:spacing w:before="48"/>
        <w:ind w:left="105" w:right="117" w:firstLine="0"/>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rPr>
          <w:sz w:val="20"/>
        </w:rPr>
      </w:pPr>
    </w:p>
    <w:p>
      <w:pPr>
        <w:spacing w:line="254" w:lineRule="auto" w:before="118"/>
        <w:ind w:left="127" w:right="117" w:firstLine="0"/>
        <w:jc w:val="left"/>
        <w:rPr>
          <w:sz w:val="17"/>
        </w:rPr>
      </w:pPr>
      <w:r>
        <w:rPr>
          <w:w w:val="90"/>
          <w:sz w:val="17"/>
        </w:rPr>
        <w:t>Cuadro</w:t>
      </w:r>
      <w:r>
        <w:rPr>
          <w:spacing w:val="-24"/>
          <w:w w:val="90"/>
          <w:sz w:val="17"/>
        </w:rPr>
        <w:t> </w:t>
      </w:r>
      <w:r>
        <w:rPr>
          <w:w w:val="90"/>
          <w:sz w:val="17"/>
        </w:rPr>
        <w:t>2b.</w:t>
      </w:r>
      <w:r>
        <w:rPr>
          <w:spacing w:val="-24"/>
          <w:w w:val="90"/>
          <w:sz w:val="17"/>
        </w:rPr>
        <w:t> </w:t>
      </w:r>
      <w:r>
        <w:rPr>
          <w:w w:val="90"/>
          <w:sz w:val="17"/>
        </w:rPr>
        <w:t>Distribución</w:t>
      </w:r>
      <w:r>
        <w:rPr>
          <w:spacing w:val="-24"/>
          <w:w w:val="90"/>
          <w:sz w:val="17"/>
        </w:rPr>
        <w:t> </w:t>
      </w:r>
      <w:r>
        <w:rPr>
          <w:w w:val="90"/>
          <w:sz w:val="17"/>
        </w:rPr>
        <w:t>porcentual</w:t>
      </w:r>
      <w:r>
        <w:rPr>
          <w:spacing w:val="-24"/>
          <w:w w:val="90"/>
          <w:sz w:val="17"/>
        </w:rPr>
        <w:t> </w:t>
      </w:r>
      <w:r>
        <w:rPr>
          <w:w w:val="90"/>
          <w:sz w:val="17"/>
        </w:rPr>
        <w:t>de</w:t>
      </w:r>
      <w:r>
        <w:rPr>
          <w:spacing w:val="-24"/>
          <w:w w:val="90"/>
          <w:sz w:val="17"/>
        </w:rPr>
        <w:t> </w:t>
      </w:r>
      <w:r>
        <w:rPr>
          <w:w w:val="90"/>
          <w:sz w:val="17"/>
        </w:rPr>
        <w:t>migrantes</w:t>
      </w:r>
      <w:r>
        <w:rPr>
          <w:spacing w:val="-24"/>
          <w:w w:val="90"/>
          <w:sz w:val="17"/>
        </w:rPr>
        <w:t> </w:t>
      </w:r>
      <w:r>
        <w:rPr>
          <w:w w:val="90"/>
          <w:sz w:val="17"/>
        </w:rPr>
        <w:t>temporales</w:t>
      </w:r>
      <w:r>
        <w:rPr>
          <w:spacing w:val="-24"/>
          <w:w w:val="90"/>
          <w:sz w:val="17"/>
        </w:rPr>
        <w:t> </w:t>
      </w:r>
      <w:r>
        <w:rPr>
          <w:w w:val="90"/>
          <w:sz w:val="17"/>
        </w:rPr>
        <w:t>que</w:t>
      </w:r>
      <w:r>
        <w:rPr>
          <w:spacing w:val="-21"/>
          <w:w w:val="90"/>
          <w:sz w:val="17"/>
        </w:rPr>
        <w:t> </w:t>
      </w:r>
      <w:r>
        <w:rPr>
          <w:w w:val="90"/>
          <w:sz w:val="17"/>
        </w:rPr>
        <w:t>proceden</w:t>
      </w:r>
      <w:r>
        <w:rPr>
          <w:spacing w:val="-24"/>
          <w:w w:val="90"/>
          <w:sz w:val="17"/>
        </w:rPr>
        <w:t> </w:t>
      </w:r>
      <w:r>
        <w:rPr>
          <w:w w:val="90"/>
          <w:sz w:val="17"/>
        </w:rPr>
        <w:t>del</w:t>
      </w:r>
      <w:r>
        <w:rPr>
          <w:spacing w:val="-24"/>
          <w:w w:val="90"/>
          <w:sz w:val="17"/>
        </w:rPr>
        <w:t> </w:t>
      </w:r>
      <w:r>
        <w:rPr>
          <w:w w:val="90"/>
          <w:sz w:val="17"/>
        </w:rPr>
        <w:t>Sur</w:t>
      </w:r>
      <w:r>
        <w:rPr>
          <w:spacing w:val="-24"/>
          <w:w w:val="90"/>
          <w:sz w:val="17"/>
        </w:rPr>
        <w:t> </w:t>
      </w:r>
      <w:r>
        <w:rPr>
          <w:w w:val="90"/>
          <w:sz w:val="17"/>
        </w:rPr>
        <w:t>(Edoméx)</w:t>
      </w:r>
      <w:r>
        <w:rPr>
          <w:spacing w:val="-24"/>
          <w:w w:val="90"/>
          <w:sz w:val="17"/>
        </w:rPr>
        <w:t> </w:t>
      </w:r>
      <w:r>
        <w:rPr>
          <w:w w:val="90"/>
          <w:sz w:val="17"/>
        </w:rPr>
        <w:t>por</w:t>
      </w:r>
      <w:r>
        <w:rPr>
          <w:spacing w:val="-24"/>
          <w:w w:val="90"/>
          <w:sz w:val="17"/>
        </w:rPr>
        <w:t> </w:t>
      </w:r>
      <w:r>
        <w:rPr>
          <w:w w:val="90"/>
          <w:sz w:val="17"/>
        </w:rPr>
        <w:t>diversas </w:t>
      </w:r>
      <w:r>
        <w:rPr>
          <w:w w:val="85"/>
          <w:sz w:val="17"/>
        </w:rPr>
        <w:t>características sociodemográficas seleccionadas, según condición de habla de lengua indígena,</w:t>
      </w:r>
      <w:r>
        <w:rPr>
          <w:spacing w:val="16"/>
          <w:w w:val="85"/>
          <w:sz w:val="17"/>
        </w:rPr>
        <w:t> </w:t>
      </w:r>
      <w:r>
        <w:rPr>
          <w:w w:val="85"/>
          <w:sz w:val="17"/>
        </w:rPr>
        <w:t>2000-2009</w:t>
      </w:r>
    </w:p>
    <w:p>
      <w:pPr>
        <w:pStyle w:val="BodyText"/>
        <w:spacing w:before="7"/>
        <w:rPr>
          <w:sz w:val="6"/>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16"/>
        <w:gridCol w:w="461"/>
        <w:gridCol w:w="574"/>
        <w:gridCol w:w="544"/>
        <w:gridCol w:w="1818"/>
        <w:gridCol w:w="510"/>
        <w:gridCol w:w="554"/>
        <w:gridCol w:w="449"/>
      </w:tblGrid>
      <w:tr>
        <w:trPr>
          <w:trHeight w:val="686" w:hRule="exact"/>
        </w:trPr>
        <w:tc>
          <w:tcPr>
            <w:tcW w:w="1616" w:type="dxa"/>
            <w:tcBorders>
              <w:left w:val="nil"/>
              <w:bottom w:val="double" w:sz="4" w:space="0" w:color="000000"/>
              <w:right w:val="nil"/>
            </w:tcBorders>
          </w:tcPr>
          <w:p>
            <w:pPr/>
          </w:p>
        </w:tc>
        <w:tc>
          <w:tcPr>
            <w:tcW w:w="461" w:type="dxa"/>
            <w:tcBorders>
              <w:left w:val="nil"/>
              <w:bottom w:val="double" w:sz="4" w:space="0" w:color="000000"/>
              <w:right w:val="nil"/>
            </w:tcBorders>
          </w:tcPr>
          <w:p>
            <w:pPr>
              <w:pStyle w:val="TableParagraph"/>
              <w:jc w:val="left"/>
              <w:rPr>
                <w:sz w:val="18"/>
              </w:rPr>
            </w:pPr>
          </w:p>
          <w:p>
            <w:pPr>
              <w:pStyle w:val="TableParagraph"/>
              <w:spacing w:before="10"/>
              <w:jc w:val="left"/>
              <w:rPr>
                <w:sz w:val="22"/>
              </w:rPr>
            </w:pPr>
          </w:p>
          <w:p>
            <w:pPr>
              <w:pStyle w:val="TableParagraph"/>
              <w:ind w:right="85"/>
              <w:rPr>
                <w:sz w:val="17"/>
              </w:rPr>
            </w:pPr>
            <w:r>
              <w:rPr>
                <w:w w:val="85"/>
                <w:sz w:val="17"/>
              </w:rPr>
              <w:t>Habla</w:t>
            </w:r>
          </w:p>
        </w:tc>
        <w:tc>
          <w:tcPr>
            <w:tcW w:w="574" w:type="dxa"/>
            <w:tcBorders>
              <w:left w:val="nil"/>
              <w:bottom w:val="double" w:sz="4" w:space="0" w:color="000000"/>
              <w:right w:val="nil"/>
            </w:tcBorders>
          </w:tcPr>
          <w:p>
            <w:pPr>
              <w:pStyle w:val="TableParagraph"/>
              <w:spacing w:before="57"/>
              <w:ind w:left="196"/>
              <w:jc w:val="left"/>
              <w:rPr>
                <w:sz w:val="17"/>
              </w:rPr>
            </w:pPr>
            <w:r>
              <w:rPr>
                <w:w w:val="95"/>
                <w:sz w:val="17"/>
              </w:rPr>
              <w:t>2000</w:t>
            </w:r>
          </w:p>
          <w:p>
            <w:pPr>
              <w:pStyle w:val="TableParagraph"/>
              <w:spacing w:line="254" w:lineRule="auto" w:before="11"/>
              <w:ind w:left="172" w:right="68" w:firstLine="137"/>
              <w:jc w:val="left"/>
              <w:rPr>
                <w:sz w:val="17"/>
              </w:rPr>
            </w:pPr>
            <w:r>
              <w:rPr>
                <w:w w:val="85"/>
                <w:sz w:val="17"/>
              </w:rPr>
              <w:t>No habla</w:t>
            </w:r>
          </w:p>
        </w:tc>
        <w:tc>
          <w:tcPr>
            <w:tcW w:w="544" w:type="dxa"/>
            <w:tcBorders>
              <w:left w:val="nil"/>
              <w:bottom w:val="double" w:sz="4" w:space="0" w:color="000000"/>
              <w:right w:val="nil"/>
            </w:tcBorders>
          </w:tcPr>
          <w:p>
            <w:pPr>
              <w:pStyle w:val="TableParagraph"/>
              <w:jc w:val="left"/>
              <w:rPr>
                <w:sz w:val="18"/>
              </w:rPr>
            </w:pPr>
          </w:p>
          <w:p>
            <w:pPr>
              <w:pStyle w:val="TableParagraph"/>
              <w:spacing w:before="10"/>
              <w:jc w:val="left"/>
              <w:rPr>
                <w:sz w:val="22"/>
              </w:rPr>
            </w:pPr>
          </w:p>
          <w:p>
            <w:pPr>
              <w:pStyle w:val="TableParagraph"/>
              <w:ind w:right="56"/>
              <w:rPr>
                <w:sz w:val="17"/>
              </w:rPr>
            </w:pPr>
            <w:r>
              <w:rPr>
                <w:w w:val="85"/>
                <w:sz w:val="17"/>
              </w:rPr>
              <w:t>Total</w:t>
            </w:r>
          </w:p>
        </w:tc>
        <w:tc>
          <w:tcPr>
            <w:tcW w:w="1818" w:type="dxa"/>
            <w:tcBorders>
              <w:left w:val="nil"/>
              <w:bottom w:val="double" w:sz="4" w:space="0" w:color="000000"/>
              <w:right w:val="nil"/>
            </w:tcBorders>
          </w:tcPr>
          <w:p>
            <w:pPr/>
          </w:p>
        </w:tc>
        <w:tc>
          <w:tcPr>
            <w:tcW w:w="510" w:type="dxa"/>
            <w:tcBorders>
              <w:left w:val="nil"/>
              <w:bottom w:val="double" w:sz="4" w:space="0" w:color="000000"/>
              <w:right w:val="nil"/>
            </w:tcBorders>
          </w:tcPr>
          <w:p>
            <w:pPr>
              <w:pStyle w:val="TableParagraph"/>
              <w:spacing w:before="57"/>
              <w:ind w:right="84"/>
              <w:rPr>
                <w:sz w:val="17"/>
              </w:rPr>
            </w:pPr>
            <w:r>
              <w:rPr>
                <w:w w:val="85"/>
                <w:sz w:val="17"/>
              </w:rPr>
              <w:t>2009</w:t>
            </w:r>
          </w:p>
          <w:p>
            <w:pPr>
              <w:pStyle w:val="TableParagraph"/>
              <w:spacing w:before="11"/>
              <w:ind w:right="85"/>
              <w:rPr>
                <w:sz w:val="17"/>
              </w:rPr>
            </w:pPr>
            <w:r>
              <w:rPr>
                <w:w w:val="85"/>
                <w:sz w:val="17"/>
              </w:rPr>
              <w:t>Habl</w:t>
            </w:r>
          </w:p>
          <w:p>
            <w:pPr>
              <w:pStyle w:val="TableParagraph"/>
              <w:spacing w:before="11"/>
              <w:ind w:right="85"/>
              <w:rPr>
                <w:sz w:val="17"/>
              </w:rPr>
            </w:pPr>
            <w:r>
              <w:rPr>
                <w:w w:val="84"/>
                <w:sz w:val="17"/>
              </w:rPr>
              <w:t>a</w:t>
            </w:r>
          </w:p>
        </w:tc>
        <w:tc>
          <w:tcPr>
            <w:tcW w:w="554" w:type="dxa"/>
            <w:tcBorders>
              <w:left w:val="nil"/>
              <w:bottom w:val="double" w:sz="4" w:space="0" w:color="000000"/>
              <w:right w:val="nil"/>
            </w:tcBorders>
          </w:tcPr>
          <w:p>
            <w:pPr>
              <w:pStyle w:val="TableParagraph"/>
              <w:spacing w:before="10"/>
              <w:jc w:val="left"/>
              <w:rPr>
                <w:sz w:val="22"/>
              </w:rPr>
            </w:pPr>
          </w:p>
          <w:p>
            <w:pPr>
              <w:pStyle w:val="TableParagraph"/>
              <w:spacing w:line="254" w:lineRule="auto"/>
              <w:ind w:left="171" w:right="49" w:firstLine="137"/>
              <w:jc w:val="left"/>
              <w:rPr>
                <w:sz w:val="17"/>
              </w:rPr>
            </w:pPr>
            <w:r>
              <w:rPr>
                <w:w w:val="85"/>
                <w:sz w:val="17"/>
              </w:rPr>
              <w:t>No habla</w:t>
            </w:r>
          </w:p>
        </w:tc>
        <w:tc>
          <w:tcPr>
            <w:tcW w:w="449" w:type="dxa"/>
            <w:tcBorders>
              <w:left w:val="nil"/>
              <w:bottom w:val="double" w:sz="4" w:space="0" w:color="000000"/>
              <w:right w:val="nil"/>
            </w:tcBorders>
          </w:tcPr>
          <w:p>
            <w:pPr>
              <w:pStyle w:val="TableParagraph"/>
              <w:jc w:val="left"/>
              <w:rPr>
                <w:sz w:val="18"/>
              </w:rPr>
            </w:pPr>
          </w:p>
          <w:p>
            <w:pPr>
              <w:pStyle w:val="TableParagraph"/>
              <w:spacing w:before="10"/>
              <w:jc w:val="left"/>
              <w:rPr>
                <w:sz w:val="22"/>
              </w:rPr>
            </w:pPr>
          </w:p>
          <w:p>
            <w:pPr>
              <w:pStyle w:val="TableParagraph"/>
              <w:ind w:right="53"/>
              <w:rPr>
                <w:sz w:val="17"/>
              </w:rPr>
            </w:pPr>
            <w:r>
              <w:rPr>
                <w:w w:val="85"/>
                <w:sz w:val="17"/>
              </w:rPr>
              <w:t>Total</w:t>
            </w:r>
          </w:p>
        </w:tc>
      </w:tr>
      <w:tr>
        <w:trPr>
          <w:trHeight w:val="303" w:hRule="exact"/>
        </w:trPr>
        <w:tc>
          <w:tcPr>
            <w:tcW w:w="1616" w:type="dxa"/>
            <w:tcBorders>
              <w:top w:val="double" w:sz="4" w:space="0" w:color="000000"/>
              <w:left w:val="nil"/>
              <w:bottom w:val="nil"/>
              <w:right w:val="nil"/>
            </w:tcBorders>
          </w:tcPr>
          <w:p>
            <w:pPr>
              <w:pStyle w:val="TableParagraph"/>
              <w:spacing w:before="57"/>
              <w:ind w:left="21" w:right="151"/>
              <w:jc w:val="left"/>
              <w:rPr>
                <w:i/>
                <w:sz w:val="17"/>
              </w:rPr>
            </w:pPr>
            <w:r>
              <w:rPr>
                <w:i/>
                <w:w w:val="85"/>
                <w:sz w:val="17"/>
              </w:rPr>
              <w:t>Trabaja donde vive</w:t>
            </w:r>
          </w:p>
        </w:tc>
        <w:tc>
          <w:tcPr>
            <w:tcW w:w="461" w:type="dxa"/>
            <w:tcBorders>
              <w:top w:val="double" w:sz="4" w:space="0" w:color="000000"/>
              <w:left w:val="nil"/>
              <w:bottom w:val="nil"/>
              <w:right w:val="nil"/>
            </w:tcBorders>
          </w:tcPr>
          <w:p>
            <w:pPr/>
          </w:p>
        </w:tc>
        <w:tc>
          <w:tcPr>
            <w:tcW w:w="574" w:type="dxa"/>
            <w:tcBorders>
              <w:top w:val="double" w:sz="4" w:space="0" w:color="000000"/>
              <w:left w:val="nil"/>
              <w:bottom w:val="nil"/>
              <w:right w:val="nil"/>
            </w:tcBorders>
          </w:tcPr>
          <w:p>
            <w:pPr/>
          </w:p>
        </w:tc>
        <w:tc>
          <w:tcPr>
            <w:tcW w:w="544" w:type="dxa"/>
            <w:tcBorders>
              <w:top w:val="double" w:sz="4" w:space="0" w:color="000000"/>
              <w:left w:val="nil"/>
              <w:bottom w:val="nil"/>
              <w:right w:val="nil"/>
            </w:tcBorders>
          </w:tcPr>
          <w:p>
            <w:pPr/>
          </w:p>
        </w:tc>
        <w:tc>
          <w:tcPr>
            <w:tcW w:w="1818" w:type="dxa"/>
            <w:tcBorders>
              <w:top w:val="double" w:sz="4" w:space="0" w:color="000000"/>
              <w:left w:val="nil"/>
              <w:bottom w:val="nil"/>
              <w:right w:val="nil"/>
            </w:tcBorders>
          </w:tcPr>
          <w:p>
            <w:pPr/>
          </w:p>
        </w:tc>
        <w:tc>
          <w:tcPr>
            <w:tcW w:w="510" w:type="dxa"/>
            <w:tcBorders>
              <w:top w:val="double" w:sz="4" w:space="0" w:color="000000"/>
              <w:left w:val="nil"/>
              <w:bottom w:val="nil"/>
              <w:right w:val="nil"/>
            </w:tcBorders>
          </w:tcPr>
          <w:p>
            <w:pPr/>
          </w:p>
        </w:tc>
        <w:tc>
          <w:tcPr>
            <w:tcW w:w="554" w:type="dxa"/>
            <w:tcBorders>
              <w:top w:val="double" w:sz="4" w:space="0" w:color="000000"/>
              <w:left w:val="nil"/>
              <w:bottom w:val="nil"/>
              <w:right w:val="nil"/>
            </w:tcBorders>
          </w:tcPr>
          <w:p>
            <w:pPr/>
          </w:p>
        </w:tc>
        <w:tc>
          <w:tcPr>
            <w:tcW w:w="449" w:type="dxa"/>
            <w:tcBorders>
              <w:top w:val="double" w:sz="4" w:space="0" w:color="000000"/>
              <w:left w:val="nil"/>
              <w:bottom w:val="nil"/>
              <w:right w:val="nil"/>
            </w:tcBorders>
          </w:tcPr>
          <w:p>
            <w:pPr/>
          </w:p>
        </w:tc>
      </w:tr>
      <w:tr>
        <w:trPr>
          <w:trHeight w:val="254" w:hRule="exact"/>
        </w:trPr>
        <w:tc>
          <w:tcPr>
            <w:tcW w:w="1616" w:type="dxa"/>
            <w:tcBorders>
              <w:top w:val="nil"/>
              <w:left w:val="nil"/>
              <w:bottom w:val="nil"/>
              <w:right w:val="nil"/>
            </w:tcBorders>
          </w:tcPr>
          <w:p>
            <w:pPr>
              <w:pStyle w:val="TableParagraph"/>
              <w:spacing w:before="22"/>
              <w:ind w:left="21" w:right="151"/>
              <w:jc w:val="left"/>
              <w:rPr>
                <w:sz w:val="17"/>
              </w:rPr>
            </w:pPr>
            <w:r>
              <w:rPr>
                <w:w w:val="95"/>
                <w:sz w:val="17"/>
              </w:rPr>
              <w:t>Sí</w:t>
            </w:r>
          </w:p>
        </w:tc>
        <w:tc>
          <w:tcPr>
            <w:tcW w:w="461" w:type="dxa"/>
            <w:tcBorders>
              <w:top w:val="nil"/>
              <w:left w:val="nil"/>
              <w:bottom w:val="nil"/>
              <w:right w:val="nil"/>
            </w:tcBorders>
          </w:tcPr>
          <w:p>
            <w:pPr>
              <w:pStyle w:val="TableParagraph"/>
              <w:spacing w:before="22"/>
              <w:ind w:right="85"/>
              <w:rPr>
                <w:sz w:val="17"/>
              </w:rPr>
            </w:pPr>
            <w:r>
              <w:rPr>
                <w:w w:val="85"/>
                <w:sz w:val="17"/>
              </w:rPr>
              <w:t>100</w:t>
            </w:r>
          </w:p>
        </w:tc>
        <w:tc>
          <w:tcPr>
            <w:tcW w:w="574" w:type="dxa"/>
            <w:tcBorders>
              <w:top w:val="nil"/>
              <w:left w:val="nil"/>
              <w:bottom w:val="nil"/>
              <w:right w:val="nil"/>
            </w:tcBorders>
          </w:tcPr>
          <w:p>
            <w:pPr>
              <w:pStyle w:val="TableParagraph"/>
              <w:spacing w:before="22"/>
              <w:ind w:right="83"/>
              <w:rPr>
                <w:sz w:val="17"/>
              </w:rPr>
            </w:pPr>
            <w:r>
              <w:rPr>
                <w:w w:val="85"/>
                <w:sz w:val="17"/>
              </w:rPr>
              <w:t>90.6</w:t>
            </w:r>
          </w:p>
        </w:tc>
        <w:tc>
          <w:tcPr>
            <w:tcW w:w="544" w:type="dxa"/>
            <w:tcBorders>
              <w:top w:val="nil"/>
              <w:left w:val="nil"/>
              <w:bottom w:val="nil"/>
              <w:right w:val="nil"/>
            </w:tcBorders>
          </w:tcPr>
          <w:p>
            <w:pPr>
              <w:pStyle w:val="TableParagraph"/>
              <w:spacing w:before="22"/>
              <w:ind w:right="56"/>
              <w:rPr>
                <w:sz w:val="17"/>
              </w:rPr>
            </w:pPr>
            <w:r>
              <w:rPr>
                <w:w w:val="85"/>
                <w:sz w:val="17"/>
              </w:rPr>
              <w:t>90.7</w:t>
            </w:r>
          </w:p>
        </w:tc>
        <w:tc>
          <w:tcPr>
            <w:tcW w:w="1818" w:type="dxa"/>
            <w:tcBorders>
              <w:top w:val="nil"/>
              <w:left w:val="nil"/>
              <w:bottom w:val="nil"/>
              <w:right w:val="nil"/>
            </w:tcBorders>
          </w:tcPr>
          <w:p>
            <w:pPr>
              <w:pStyle w:val="TableParagraph"/>
              <w:spacing w:before="22"/>
              <w:ind w:left="57" w:right="198"/>
              <w:jc w:val="left"/>
              <w:rPr>
                <w:sz w:val="17"/>
              </w:rPr>
            </w:pPr>
            <w:r>
              <w:rPr>
                <w:w w:val="95"/>
                <w:sz w:val="17"/>
              </w:rPr>
              <w:t>SI</w:t>
            </w:r>
          </w:p>
        </w:tc>
        <w:tc>
          <w:tcPr>
            <w:tcW w:w="510" w:type="dxa"/>
            <w:tcBorders>
              <w:top w:val="nil"/>
              <w:left w:val="nil"/>
              <w:bottom w:val="nil"/>
              <w:right w:val="nil"/>
            </w:tcBorders>
          </w:tcPr>
          <w:p>
            <w:pPr>
              <w:pStyle w:val="TableParagraph"/>
              <w:spacing w:before="22"/>
              <w:ind w:right="84"/>
              <w:rPr>
                <w:sz w:val="17"/>
              </w:rPr>
            </w:pPr>
            <w:r>
              <w:rPr>
                <w:w w:val="85"/>
                <w:sz w:val="17"/>
              </w:rPr>
              <w:t>100</w:t>
            </w:r>
          </w:p>
        </w:tc>
        <w:tc>
          <w:tcPr>
            <w:tcW w:w="554" w:type="dxa"/>
            <w:tcBorders>
              <w:top w:val="nil"/>
              <w:left w:val="nil"/>
              <w:bottom w:val="nil"/>
              <w:right w:val="nil"/>
            </w:tcBorders>
          </w:tcPr>
          <w:p>
            <w:pPr>
              <w:pStyle w:val="TableParagraph"/>
              <w:spacing w:before="22"/>
              <w:ind w:right="65"/>
              <w:rPr>
                <w:sz w:val="17"/>
              </w:rPr>
            </w:pPr>
            <w:r>
              <w:rPr>
                <w:w w:val="85"/>
                <w:sz w:val="17"/>
              </w:rPr>
              <w:t>92.9</w:t>
            </w:r>
          </w:p>
        </w:tc>
        <w:tc>
          <w:tcPr>
            <w:tcW w:w="449" w:type="dxa"/>
            <w:tcBorders>
              <w:top w:val="nil"/>
              <w:left w:val="nil"/>
              <w:bottom w:val="nil"/>
              <w:right w:val="nil"/>
            </w:tcBorders>
          </w:tcPr>
          <w:p>
            <w:pPr>
              <w:pStyle w:val="TableParagraph"/>
              <w:spacing w:before="22"/>
              <w:ind w:right="53"/>
              <w:rPr>
                <w:sz w:val="17"/>
              </w:rPr>
            </w:pPr>
            <w:r>
              <w:rPr>
                <w:w w:val="85"/>
                <w:sz w:val="17"/>
              </w:rPr>
              <w:t>93.3</w:t>
            </w:r>
          </w:p>
        </w:tc>
      </w:tr>
      <w:tr>
        <w:trPr>
          <w:trHeight w:val="257" w:hRule="exact"/>
        </w:trPr>
        <w:tc>
          <w:tcPr>
            <w:tcW w:w="1616" w:type="dxa"/>
            <w:tcBorders>
              <w:top w:val="nil"/>
              <w:left w:val="nil"/>
              <w:bottom w:val="nil"/>
              <w:right w:val="nil"/>
            </w:tcBorders>
          </w:tcPr>
          <w:p>
            <w:pPr>
              <w:pStyle w:val="TableParagraph"/>
              <w:spacing w:before="22"/>
              <w:ind w:left="21" w:right="151"/>
              <w:jc w:val="left"/>
              <w:rPr>
                <w:sz w:val="17"/>
              </w:rPr>
            </w:pPr>
            <w:r>
              <w:rPr>
                <w:w w:val="95"/>
                <w:sz w:val="17"/>
              </w:rPr>
              <w:t>No</w:t>
            </w:r>
          </w:p>
        </w:tc>
        <w:tc>
          <w:tcPr>
            <w:tcW w:w="461" w:type="dxa"/>
            <w:tcBorders>
              <w:top w:val="nil"/>
              <w:left w:val="nil"/>
              <w:bottom w:val="nil"/>
              <w:right w:val="nil"/>
            </w:tcBorders>
          </w:tcPr>
          <w:p>
            <w:pPr>
              <w:pStyle w:val="TableParagraph"/>
              <w:spacing w:before="22"/>
              <w:ind w:right="86"/>
              <w:rPr>
                <w:sz w:val="17"/>
              </w:rPr>
            </w:pPr>
            <w:r>
              <w:rPr>
                <w:w w:val="84"/>
                <w:sz w:val="17"/>
              </w:rPr>
              <w:t>0</w:t>
            </w:r>
          </w:p>
        </w:tc>
        <w:tc>
          <w:tcPr>
            <w:tcW w:w="574" w:type="dxa"/>
            <w:tcBorders>
              <w:top w:val="nil"/>
              <w:left w:val="nil"/>
              <w:bottom w:val="nil"/>
              <w:right w:val="nil"/>
            </w:tcBorders>
          </w:tcPr>
          <w:p>
            <w:pPr>
              <w:pStyle w:val="TableParagraph"/>
              <w:spacing w:before="22"/>
              <w:ind w:right="83"/>
              <w:rPr>
                <w:sz w:val="17"/>
              </w:rPr>
            </w:pPr>
            <w:r>
              <w:rPr>
                <w:w w:val="85"/>
                <w:sz w:val="17"/>
              </w:rPr>
              <w:t>9.4</w:t>
            </w:r>
          </w:p>
        </w:tc>
        <w:tc>
          <w:tcPr>
            <w:tcW w:w="544" w:type="dxa"/>
            <w:tcBorders>
              <w:top w:val="nil"/>
              <w:left w:val="nil"/>
              <w:bottom w:val="nil"/>
              <w:right w:val="nil"/>
            </w:tcBorders>
          </w:tcPr>
          <w:p>
            <w:pPr>
              <w:pStyle w:val="TableParagraph"/>
              <w:spacing w:before="22"/>
              <w:ind w:right="56"/>
              <w:rPr>
                <w:sz w:val="17"/>
              </w:rPr>
            </w:pPr>
            <w:r>
              <w:rPr>
                <w:w w:val="85"/>
                <w:sz w:val="17"/>
              </w:rPr>
              <w:t>9.3</w:t>
            </w:r>
          </w:p>
        </w:tc>
        <w:tc>
          <w:tcPr>
            <w:tcW w:w="1818" w:type="dxa"/>
            <w:tcBorders>
              <w:top w:val="nil"/>
              <w:left w:val="nil"/>
              <w:bottom w:val="nil"/>
              <w:right w:val="nil"/>
            </w:tcBorders>
          </w:tcPr>
          <w:p>
            <w:pPr>
              <w:pStyle w:val="TableParagraph"/>
              <w:spacing w:before="22"/>
              <w:ind w:left="57" w:right="198"/>
              <w:jc w:val="left"/>
              <w:rPr>
                <w:sz w:val="17"/>
              </w:rPr>
            </w:pPr>
            <w:r>
              <w:rPr>
                <w:w w:val="95"/>
                <w:sz w:val="17"/>
              </w:rPr>
              <w:t>NO</w:t>
            </w:r>
          </w:p>
        </w:tc>
        <w:tc>
          <w:tcPr>
            <w:tcW w:w="510" w:type="dxa"/>
            <w:tcBorders>
              <w:top w:val="nil"/>
              <w:left w:val="nil"/>
              <w:bottom w:val="nil"/>
              <w:right w:val="nil"/>
            </w:tcBorders>
          </w:tcPr>
          <w:p>
            <w:pPr>
              <w:pStyle w:val="TableParagraph"/>
              <w:spacing w:before="22"/>
              <w:ind w:right="84"/>
              <w:rPr>
                <w:sz w:val="17"/>
              </w:rPr>
            </w:pPr>
            <w:r>
              <w:rPr>
                <w:w w:val="85"/>
                <w:sz w:val="17"/>
              </w:rPr>
              <w:t>0.0</w:t>
            </w:r>
          </w:p>
        </w:tc>
        <w:tc>
          <w:tcPr>
            <w:tcW w:w="554" w:type="dxa"/>
            <w:tcBorders>
              <w:top w:val="nil"/>
              <w:left w:val="nil"/>
              <w:bottom w:val="nil"/>
              <w:right w:val="nil"/>
            </w:tcBorders>
          </w:tcPr>
          <w:p>
            <w:pPr>
              <w:pStyle w:val="TableParagraph"/>
              <w:spacing w:before="22"/>
              <w:ind w:right="64"/>
              <w:rPr>
                <w:sz w:val="17"/>
              </w:rPr>
            </w:pPr>
            <w:r>
              <w:rPr>
                <w:w w:val="85"/>
                <w:sz w:val="17"/>
              </w:rPr>
              <w:t>7.1</w:t>
            </w:r>
          </w:p>
        </w:tc>
        <w:tc>
          <w:tcPr>
            <w:tcW w:w="449" w:type="dxa"/>
            <w:tcBorders>
              <w:top w:val="nil"/>
              <w:left w:val="nil"/>
              <w:bottom w:val="nil"/>
              <w:right w:val="nil"/>
            </w:tcBorders>
          </w:tcPr>
          <w:p>
            <w:pPr>
              <w:pStyle w:val="TableParagraph"/>
              <w:spacing w:before="22"/>
              <w:ind w:right="52"/>
              <w:rPr>
                <w:sz w:val="17"/>
              </w:rPr>
            </w:pPr>
            <w:r>
              <w:rPr>
                <w:w w:val="85"/>
                <w:sz w:val="17"/>
              </w:rPr>
              <w:t>6.7</w:t>
            </w:r>
          </w:p>
        </w:tc>
      </w:tr>
      <w:tr>
        <w:trPr>
          <w:trHeight w:val="1082" w:hRule="exact"/>
        </w:trPr>
        <w:tc>
          <w:tcPr>
            <w:tcW w:w="1616" w:type="dxa"/>
            <w:tcBorders>
              <w:top w:val="nil"/>
              <w:left w:val="nil"/>
              <w:bottom w:val="nil"/>
              <w:right w:val="nil"/>
            </w:tcBorders>
          </w:tcPr>
          <w:p>
            <w:pPr>
              <w:pStyle w:val="TableParagraph"/>
              <w:spacing w:line="254" w:lineRule="auto" w:before="25"/>
              <w:ind w:left="21" w:right="719"/>
              <w:jc w:val="left"/>
              <w:rPr>
                <w:i/>
                <w:sz w:val="17"/>
              </w:rPr>
            </w:pPr>
            <w:r>
              <w:rPr>
                <w:w w:val="95"/>
                <w:sz w:val="17"/>
              </w:rPr>
              <w:t>Total </w:t>
            </w:r>
            <w:r>
              <w:rPr>
                <w:i/>
                <w:w w:val="90"/>
                <w:sz w:val="17"/>
              </w:rPr>
              <w:t>Posición en el </w:t>
            </w:r>
            <w:r>
              <w:rPr>
                <w:i/>
                <w:w w:val="95"/>
                <w:sz w:val="17"/>
              </w:rPr>
              <w:t>Trabajo</w:t>
            </w:r>
          </w:p>
          <w:p>
            <w:pPr>
              <w:pStyle w:val="TableParagraph"/>
              <w:spacing w:line="254" w:lineRule="auto"/>
              <w:ind w:left="21" w:right="151"/>
              <w:jc w:val="left"/>
              <w:rPr>
                <w:sz w:val="17"/>
              </w:rPr>
            </w:pPr>
            <w:r>
              <w:rPr>
                <w:w w:val="90"/>
                <w:sz w:val="17"/>
              </w:rPr>
              <w:t>No Traba. p./buscó </w:t>
            </w:r>
            <w:r>
              <w:rPr>
                <w:w w:val="95"/>
                <w:sz w:val="17"/>
              </w:rPr>
              <w:t>trab.</w:t>
            </w:r>
          </w:p>
        </w:tc>
        <w:tc>
          <w:tcPr>
            <w:tcW w:w="461" w:type="dxa"/>
            <w:tcBorders>
              <w:top w:val="nil"/>
              <w:left w:val="nil"/>
              <w:bottom w:val="nil"/>
              <w:right w:val="nil"/>
            </w:tcBorders>
          </w:tcPr>
          <w:p>
            <w:pPr>
              <w:pStyle w:val="TableParagraph"/>
              <w:spacing w:before="25"/>
              <w:ind w:left="122" w:right="55"/>
              <w:jc w:val="center"/>
              <w:rPr>
                <w:sz w:val="17"/>
              </w:rPr>
            </w:pPr>
            <w:r>
              <w:rPr>
                <w:w w:val="95"/>
                <w:sz w:val="17"/>
              </w:rPr>
              <w:t>100</w:t>
            </w:r>
          </w:p>
          <w:p>
            <w:pPr>
              <w:pStyle w:val="TableParagraph"/>
              <w:jc w:val="left"/>
              <w:rPr>
                <w:sz w:val="18"/>
              </w:rPr>
            </w:pPr>
          </w:p>
          <w:p>
            <w:pPr>
              <w:pStyle w:val="TableParagraph"/>
              <w:jc w:val="left"/>
              <w:rPr>
                <w:sz w:val="18"/>
              </w:rPr>
            </w:pPr>
          </w:p>
          <w:p>
            <w:pPr>
              <w:pStyle w:val="TableParagraph"/>
              <w:spacing w:before="9"/>
              <w:jc w:val="left"/>
              <w:rPr>
                <w:sz w:val="18"/>
              </w:rPr>
            </w:pPr>
          </w:p>
          <w:p>
            <w:pPr>
              <w:pStyle w:val="TableParagraph"/>
              <w:ind w:left="212"/>
              <w:jc w:val="center"/>
              <w:rPr>
                <w:sz w:val="17"/>
              </w:rPr>
            </w:pPr>
            <w:r>
              <w:rPr>
                <w:w w:val="84"/>
                <w:sz w:val="17"/>
              </w:rPr>
              <w:t>0</w:t>
            </w:r>
          </w:p>
        </w:tc>
        <w:tc>
          <w:tcPr>
            <w:tcW w:w="574" w:type="dxa"/>
            <w:tcBorders>
              <w:top w:val="nil"/>
              <w:left w:val="nil"/>
              <w:bottom w:val="nil"/>
              <w:right w:val="nil"/>
            </w:tcBorders>
          </w:tcPr>
          <w:p>
            <w:pPr>
              <w:pStyle w:val="TableParagraph"/>
              <w:spacing w:before="25"/>
              <w:ind w:left="269"/>
              <w:jc w:val="left"/>
              <w:rPr>
                <w:sz w:val="17"/>
              </w:rPr>
            </w:pPr>
            <w:r>
              <w:rPr>
                <w:w w:val="95"/>
                <w:sz w:val="17"/>
              </w:rPr>
              <w:t>100</w:t>
            </w:r>
          </w:p>
          <w:p>
            <w:pPr>
              <w:pStyle w:val="TableParagraph"/>
              <w:jc w:val="left"/>
              <w:rPr>
                <w:sz w:val="18"/>
              </w:rPr>
            </w:pPr>
          </w:p>
          <w:p>
            <w:pPr>
              <w:pStyle w:val="TableParagraph"/>
              <w:jc w:val="left"/>
              <w:rPr>
                <w:sz w:val="18"/>
              </w:rPr>
            </w:pPr>
          </w:p>
          <w:p>
            <w:pPr>
              <w:pStyle w:val="TableParagraph"/>
              <w:spacing w:before="9"/>
              <w:jc w:val="left"/>
              <w:rPr>
                <w:sz w:val="18"/>
              </w:rPr>
            </w:pPr>
          </w:p>
          <w:p>
            <w:pPr>
              <w:pStyle w:val="TableParagraph"/>
              <w:ind w:left="306"/>
              <w:jc w:val="left"/>
              <w:rPr>
                <w:sz w:val="17"/>
              </w:rPr>
            </w:pPr>
            <w:r>
              <w:rPr>
                <w:w w:val="95"/>
                <w:sz w:val="17"/>
              </w:rPr>
              <w:t>9.9</w:t>
            </w:r>
          </w:p>
        </w:tc>
        <w:tc>
          <w:tcPr>
            <w:tcW w:w="544" w:type="dxa"/>
            <w:tcBorders>
              <w:top w:val="nil"/>
              <w:left w:val="nil"/>
              <w:bottom w:val="nil"/>
              <w:right w:val="nil"/>
            </w:tcBorders>
          </w:tcPr>
          <w:p>
            <w:pPr>
              <w:pStyle w:val="TableParagraph"/>
              <w:spacing w:before="25"/>
              <w:ind w:left="267"/>
              <w:jc w:val="left"/>
              <w:rPr>
                <w:sz w:val="17"/>
              </w:rPr>
            </w:pPr>
            <w:r>
              <w:rPr>
                <w:w w:val="95"/>
                <w:sz w:val="17"/>
              </w:rPr>
              <w:t>100</w:t>
            </w:r>
          </w:p>
          <w:p>
            <w:pPr>
              <w:pStyle w:val="TableParagraph"/>
              <w:jc w:val="left"/>
              <w:rPr>
                <w:sz w:val="18"/>
              </w:rPr>
            </w:pPr>
          </w:p>
          <w:p>
            <w:pPr>
              <w:pStyle w:val="TableParagraph"/>
              <w:jc w:val="left"/>
              <w:rPr>
                <w:sz w:val="18"/>
              </w:rPr>
            </w:pPr>
          </w:p>
          <w:p>
            <w:pPr>
              <w:pStyle w:val="TableParagraph"/>
              <w:spacing w:before="9"/>
              <w:jc w:val="left"/>
              <w:rPr>
                <w:sz w:val="18"/>
              </w:rPr>
            </w:pPr>
          </w:p>
          <w:p>
            <w:pPr>
              <w:pStyle w:val="TableParagraph"/>
              <w:ind w:left="303"/>
              <w:jc w:val="left"/>
              <w:rPr>
                <w:sz w:val="17"/>
              </w:rPr>
            </w:pPr>
            <w:r>
              <w:rPr>
                <w:w w:val="95"/>
                <w:sz w:val="17"/>
              </w:rPr>
              <w:t>9.9</w:t>
            </w:r>
          </w:p>
        </w:tc>
        <w:tc>
          <w:tcPr>
            <w:tcW w:w="1818" w:type="dxa"/>
            <w:tcBorders>
              <w:top w:val="nil"/>
              <w:left w:val="nil"/>
              <w:bottom w:val="nil"/>
              <w:right w:val="nil"/>
            </w:tcBorders>
          </w:tcPr>
          <w:p>
            <w:pPr>
              <w:pStyle w:val="TableParagraph"/>
              <w:spacing w:before="25"/>
              <w:ind w:left="57" w:right="198"/>
              <w:jc w:val="left"/>
              <w:rPr>
                <w:sz w:val="17"/>
              </w:rPr>
            </w:pPr>
            <w:r>
              <w:rPr>
                <w:w w:val="95"/>
                <w:sz w:val="17"/>
              </w:rPr>
              <w:t>Total</w:t>
            </w:r>
          </w:p>
          <w:p>
            <w:pPr>
              <w:pStyle w:val="TableParagraph"/>
              <w:spacing w:line="410" w:lineRule="atLeast" w:before="2"/>
              <w:ind w:left="57" w:right="198"/>
              <w:jc w:val="left"/>
              <w:rPr>
                <w:sz w:val="17"/>
              </w:rPr>
            </w:pPr>
            <w:r>
              <w:rPr>
                <w:w w:val="95"/>
                <w:sz w:val="17"/>
              </w:rPr>
              <w:t>Posición en el trabajo </w:t>
            </w:r>
            <w:r>
              <w:rPr>
                <w:w w:val="90"/>
                <w:sz w:val="17"/>
              </w:rPr>
              <w:t>No Traba. p./buscó trab.</w:t>
            </w:r>
          </w:p>
        </w:tc>
        <w:tc>
          <w:tcPr>
            <w:tcW w:w="510" w:type="dxa"/>
            <w:tcBorders>
              <w:top w:val="nil"/>
              <w:left w:val="nil"/>
              <w:bottom w:val="nil"/>
              <w:right w:val="nil"/>
            </w:tcBorders>
          </w:tcPr>
          <w:p>
            <w:pPr>
              <w:pStyle w:val="TableParagraph"/>
              <w:spacing w:before="25"/>
              <w:ind w:left="204"/>
              <w:jc w:val="left"/>
              <w:rPr>
                <w:sz w:val="17"/>
              </w:rPr>
            </w:pPr>
            <w:r>
              <w:rPr>
                <w:w w:val="95"/>
                <w:sz w:val="17"/>
              </w:rPr>
              <w:t>100</w:t>
            </w:r>
          </w:p>
          <w:p>
            <w:pPr>
              <w:pStyle w:val="TableParagraph"/>
              <w:jc w:val="left"/>
              <w:rPr>
                <w:sz w:val="18"/>
              </w:rPr>
            </w:pPr>
          </w:p>
          <w:p>
            <w:pPr>
              <w:pStyle w:val="TableParagraph"/>
              <w:jc w:val="left"/>
              <w:rPr>
                <w:sz w:val="18"/>
              </w:rPr>
            </w:pPr>
          </w:p>
          <w:p>
            <w:pPr>
              <w:pStyle w:val="TableParagraph"/>
              <w:spacing w:before="9"/>
              <w:jc w:val="left"/>
              <w:rPr>
                <w:sz w:val="18"/>
              </w:rPr>
            </w:pPr>
          </w:p>
          <w:p>
            <w:pPr>
              <w:pStyle w:val="TableParagraph"/>
              <w:ind w:left="168"/>
              <w:jc w:val="left"/>
              <w:rPr>
                <w:sz w:val="17"/>
              </w:rPr>
            </w:pPr>
            <w:r>
              <w:rPr>
                <w:w w:val="95"/>
                <w:sz w:val="17"/>
              </w:rPr>
              <w:t>24.2</w:t>
            </w:r>
          </w:p>
        </w:tc>
        <w:tc>
          <w:tcPr>
            <w:tcW w:w="554" w:type="dxa"/>
            <w:tcBorders>
              <w:top w:val="nil"/>
              <w:left w:val="nil"/>
              <w:bottom w:val="nil"/>
              <w:right w:val="nil"/>
            </w:tcBorders>
          </w:tcPr>
          <w:p>
            <w:pPr>
              <w:pStyle w:val="TableParagraph"/>
              <w:spacing w:before="25"/>
              <w:ind w:left="268"/>
              <w:jc w:val="left"/>
              <w:rPr>
                <w:sz w:val="17"/>
              </w:rPr>
            </w:pPr>
            <w:r>
              <w:rPr>
                <w:w w:val="95"/>
                <w:sz w:val="17"/>
              </w:rPr>
              <w:t>100</w:t>
            </w:r>
          </w:p>
          <w:p>
            <w:pPr>
              <w:pStyle w:val="TableParagraph"/>
              <w:jc w:val="left"/>
              <w:rPr>
                <w:sz w:val="18"/>
              </w:rPr>
            </w:pPr>
          </w:p>
          <w:p>
            <w:pPr>
              <w:pStyle w:val="TableParagraph"/>
              <w:jc w:val="left"/>
              <w:rPr>
                <w:sz w:val="18"/>
              </w:rPr>
            </w:pPr>
          </w:p>
          <w:p>
            <w:pPr>
              <w:pStyle w:val="TableParagraph"/>
              <w:spacing w:before="9"/>
              <w:jc w:val="left"/>
              <w:rPr>
                <w:sz w:val="18"/>
              </w:rPr>
            </w:pPr>
          </w:p>
          <w:p>
            <w:pPr>
              <w:pStyle w:val="TableParagraph"/>
              <w:ind w:left="305"/>
              <w:jc w:val="left"/>
              <w:rPr>
                <w:sz w:val="17"/>
              </w:rPr>
            </w:pPr>
            <w:r>
              <w:rPr>
                <w:w w:val="95"/>
                <w:sz w:val="17"/>
              </w:rPr>
              <w:t>5.9</w:t>
            </w:r>
          </w:p>
        </w:tc>
        <w:tc>
          <w:tcPr>
            <w:tcW w:w="449" w:type="dxa"/>
            <w:tcBorders>
              <w:top w:val="nil"/>
              <w:left w:val="nil"/>
              <w:bottom w:val="nil"/>
              <w:right w:val="nil"/>
            </w:tcBorders>
          </w:tcPr>
          <w:p>
            <w:pPr>
              <w:pStyle w:val="TableParagraph"/>
              <w:spacing w:before="25"/>
              <w:ind w:left="175"/>
              <w:jc w:val="left"/>
              <w:rPr>
                <w:sz w:val="17"/>
              </w:rPr>
            </w:pPr>
            <w:r>
              <w:rPr>
                <w:w w:val="95"/>
                <w:sz w:val="17"/>
              </w:rPr>
              <w:t>100</w:t>
            </w:r>
          </w:p>
          <w:p>
            <w:pPr>
              <w:pStyle w:val="TableParagraph"/>
              <w:jc w:val="left"/>
              <w:rPr>
                <w:sz w:val="18"/>
              </w:rPr>
            </w:pPr>
          </w:p>
          <w:p>
            <w:pPr>
              <w:pStyle w:val="TableParagraph"/>
              <w:jc w:val="left"/>
              <w:rPr>
                <w:sz w:val="18"/>
              </w:rPr>
            </w:pPr>
          </w:p>
          <w:p>
            <w:pPr>
              <w:pStyle w:val="TableParagraph"/>
              <w:spacing w:before="9"/>
              <w:jc w:val="left"/>
              <w:rPr>
                <w:sz w:val="18"/>
              </w:rPr>
            </w:pPr>
          </w:p>
          <w:p>
            <w:pPr>
              <w:pStyle w:val="TableParagraph"/>
              <w:ind w:left="212"/>
              <w:jc w:val="left"/>
              <w:rPr>
                <w:sz w:val="17"/>
              </w:rPr>
            </w:pPr>
            <w:r>
              <w:rPr>
                <w:w w:val="95"/>
                <w:sz w:val="17"/>
              </w:rPr>
              <w:t>6.9</w:t>
            </w:r>
          </w:p>
        </w:tc>
      </w:tr>
      <w:tr>
        <w:trPr>
          <w:trHeight w:val="254" w:hRule="exact"/>
        </w:trPr>
        <w:tc>
          <w:tcPr>
            <w:tcW w:w="1616" w:type="dxa"/>
            <w:tcBorders>
              <w:top w:val="nil"/>
              <w:left w:val="nil"/>
              <w:bottom w:val="nil"/>
              <w:right w:val="nil"/>
            </w:tcBorders>
          </w:tcPr>
          <w:p>
            <w:pPr>
              <w:pStyle w:val="TableParagraph"/>
              <w:spacing w:before="22"/>
              <w:ind w:left="21" w:right="151"/>
              <w:jc w:val="left"/>
              <w:rPr>
                <w:sz w:val="17"/>
              </w:rPr>
            </w:pPr>
            <w:r>
              <w:rPr>
                <w:w w:val="85"/>
                <w:sz w:val="17"/>
              </w:rPr>
              <w:t>est./ama casa/jubilado</w:t>
            </w:r>
          </w:p>
        </w:tc>
        <w:tc>
          <w:tcPr>
            <w:tcW w:w="461" w:type="dxa"/>
            <w:tcBorders>
              <w:top w:val="nil"/>
              <w:left w:val="nil"/>
              <w:bottom w:val="nil"/>
              <w:right w:val="nil"/>
            </w:tcBorders>
          </w:tcPr>
          <w:p>
            <w:pPr>
              <w:pStyle w:val="TableParagraph"/>
              <w:spacing w:before="22"/>
              <w:ind w:right="86"/>
              <w:rPr>
                <w:sz w:val="17"/>
              </w:rPr>
            </w:pPr>
            <w:r>
              <w:rPr>
                <w:w w:val="84"/>
                <w:sz w:val="17"/>
              </w:rPr>
              <w:t>0</w:t>
            </w:r>
          </w:p>
        </w:tc>
        <w:tc>
          <w:tcPr>
            <w:tcW w:w="574" w:type="dxa"/>
            <w:tcBorders>
              <w:top w:val="nil"/>
              <w:left w:val="nil"/>
              <w:bottom w:val="nil"/>
              <w:right w:val="nil"/>
            </w:tcBorders>
          </w:tcPr>
          <w:p>
            <w:pPr>
              <w:pStyle w:val="TableParagraph"/>
              <w:spacing w:before="22"/>
              <w:ind w:right="83"/>
              <w:rPr>
                <w:sz w:val="17"/>
              </w:rPr>
            </w:pPr>
            <w:r>
              <w:rPr>
                <w:w w:val="85"/>
                <w:sz w:val="17"/>
              </w:rPr>
              <w:t>2.0</w:t>
            </w:r>
          </w:p>
        </w:tc>
        <w:tc>
          <w:tcPr>
            <w:tcW w:w="544" w:type="dxa"/>
            <w:tcBorders>
              <w:top w:val="nil"/>
              <w:left w:val="nil"/>
              <w:bottom w:val="nil"/>
              <w:right w:val="nil"/>
            </w:tcBorders>
          </w:tcPr>
          <w:p>
            <w:pPr>
              <w:pStyle w:val="TableParagraph"/>
              <w:spacing w:before="22"/>
              <w:ind w:right="56"/>
              <w:rPr>
                <w:sz w:val="17"/>
              </w:rPr>
            </w:pPr>
            <w:r>
              <w:rPr>
                <w:w w:val="85"/>
                <w:sz w:val="17"/>
              </w:rPr>
              <w:t>1.9</w:t>
            </w:r>
          </w:p>
        </w:tc>
        <w:tc>
          <w:tcPr>
            <w:tcW w:w="1818" w:type="dxa"/>
            <w:tcBorders>
              <w:top w:val="nil"/>
              <w:left w:val="nil"/>
              <w:bottom w:val="nil"/>
              <w:right w:val="nil"/>
            </w:tcBorders>
          </w:tcPr>
          <w:p>
            <w:pPr>
              <w:pStyle w:val="TableParagraph"/>
              <w:spacing w:before="22"/>
              <w:ind w:left="57" w:right="198"/>
              <w:jc w:val="left"/>
              <w:rPr>
                <w:sz w:val="17"/>
              </w:rPr>
            </w:pPr>
            <w:r>
              <w:rPr>
                <w:w w:val="85"/>
                <w:sz w:val="17"/>
              </w:rPr>
              <w:t>Est./ama casa/jubilado</w:t>
            </w:r>
          </w:p>
        </w:tc>
        <w:tc>
          <w:tcPr>
            <w:tcW w:w="510" w:type="dxa"/>
            <w:tcBorders>
              <w:top w:val="nil"/>
              <w:left w:val="nil"/>
              <w:bottom w:val="nil"/>
              <w:right w:val="nil"/>
            </w:tcBorders>
          </w:tcPr>
          <w:p>
            <w:pPr>
              <w:pStyle w:val="TableParagraph"/>
              <w:spacing w:before="22"/>
              <w:ind w:right="85"/>
              <w:rPr>
                <w:sz w:val="17"/>
              </w:rPr>
            </w:pPr>
            <w:r>
              <w:rPr>
                <w:w w:val="85"/>
                <w:sz w:val="17"/>
              </w:rPr>
              <w:t>41.8</w:t>
            </w:r>
          </w:p>
        </w:tc>
        <w:tc>
          <w:tcPr>
            <w:tcW w:w="554" w:type="dxa"/>
            <w:tcBorders>
              <w:top w:val="nil"/>
              <w:left w:val="nil"/>
              <w:bottom w:val="nil"/>
              <w:right w:val="nil"/>
            </w:tcBorders>
          </w:tcPr>
          <w:p>
            <w:pPr>
              <w:pStyle w:val="TableParagraph"/>
              <w:spacing w:before="22"/>
              <w:ind w:right="65"/>
              <w:rPr>
                <w:sz w:val="17"/>
              </w:rPr>
            </w:pPr>
            <w:r>
              <w:rPr>
                <w:w w:val="85"/>
                <w:sz w:val="17"/>
              </w:rPr>
              <w:t>15.4</w:t>
            </w:r>
          </w:p>
        </w:tc>
        <w:tc>
          <w:tcPr>
            <w:tcW w:w="449" w:type="dxa"/>
            <w:tcBorders>
              <w:top w:val="nil"/>
              <w:left w:val="nil"/>
              <w:bottom w:val="nil"/>
              <w:right w:val="nil"/>
            </w:tcBorders>
          </w:tcPr>
          <w:p>
            <w:pPr>
              <w:pStyle w:val="TableParagraph"/>
              <w:spacing w:before="22"/>
              <w:ind w:right="53"/>
              <w:rPr>
                <w:sz w:val="17"/>
              </w:rPr>
            </w:pPr>
            <w:r>
              <w:rPr>
                <w:w w:val="85"/>
                <w:sz w:val="17"/>
              </w:rPr>
              <w:t>16.8</w:t>
            </w:r>
          </w:p>
        </w:tc>
      </w:tr>
      <w:tr>
        <w:trPr>
          <w:trHeight w:val="254" w:hRule="exact"/>
        </w:trPr>
        <w:tc>
          <w:tcPr>
            <w:tcW w:w="1616" w:type="dxa"/>
            <w:tcBorders>
              <w:top w:val="nil"/>
              <w:left w:val="nil"/>
              <w:bottom w:val="nil"/>
              <w:right w:val="nil"/>
            </w:tcBorders>
          </w:tcPr>
          <w:p>
            <w:pPr>
              <w:pStyle w:val="TableParagraph"/>
              <w:spacing w:before="22"/>
              <w:ind w:left="21" w:right="151"/>
              <w:jc w:val="left"/>
              <w:rPr>
                <w:sz w:val="17"/>
              </w:rPr>
            </w:pPr>
            <w:r>
              <w:rPr>
                <w:w w:val="85"/>
                <w:sz w:val="17"/>
              </w:rPr>
              <w:t>no trabajo/vive</w:t>
            </w:r>
          </w:p>
        </w:tc>
        <w:tc>
          <w:tcPr>
            <w:tcW w:w="461" w:type="dxa"/>
            <w:tcBorders>
              <w:top w:val="nil"/>
              <w:left w:val="nil"/>
              <w:bottom w:val="nil"/>
              <w:right w:val="nil"/>
            </w:tcBorders>
          </w:tcPr>
          <w:p>
            <w:pPr>
              <w:pStyle w:val="TableParagraph"/>
              <w:spacing w:before="22"/>
              <w:ind w:right="86"/>
              <w:rPr>
                <w:sz w:val="17"/>
              </w:rPr>
            </w:pPr>
            <w:r>
              <w:rPr>
                <w:w w:val="84"/>
                <w:sz w:val="17"/>
              </w:rPr>
              <w:t>0</w:t>
            </w:r>
          </w:p>
        </w:tc>
        <w:tc>
          <w:tcPr>
            <w:tcW w:w="574" w:type="dxa"/>
            <w:tcBorders>
              <w:top w:val="nil"/>
              <w:left w:val="nil"/>
              <w:bottom w:val="nil"/>
              <w:right w:val="nil"/>
            </w:tcBorders>
          </w:tcPr>
          <w:p>
            <w:pPr>
              <w:pStyle w:val="TableParagraph"/>
              <w:spacing w:before="22"/>
              <w:ind w:right="83"/>
              <w:rPr>
                <w:sz w:val="17"/>
              </w:rPr>
            </w:pPr>
            <w:r>
              <w:rPr>
                <w:w w:val="85"/>
                <w:sz w:val="17"/>
              </w:rPr>
              <w:t>9.4</w:t>
            </w:r>
          </w:p>
        </w:tc>
        <w:tc>
          <w:tcPr>
            <w:tcW w:w="544" w:type="dxa"/>
            <w:tcBorders>
              <w:top w:val="nil"/>
              <w:left w:val="nil"/>
              <w:bottom w:val="nil"/>
              <w:right w:val="nil"/>
            </w:tcBorders>
          </w:tcPr>
          <w:p>
            <w:pPr>
              <w:pStyle w:val="TableParagraph"/>
              <w:spacing w:before="22"/>
              <w:ind w:right="56"/>
              <w:rPr>
                <w:sz w:val="17"/>
              </w:rPr>
            </w:pPr>
            <w:r>
              <w:rPr>
                <w:w w:val="85"/>
                <w:sz w:val="17"/>
              </w:rPr>
              <w:t>9.3</w:t>
            </w:r>
          </w:p>
        </w:tc>
        <w:tc>
          <w:tcPr>
            <w:tcW w:w="1818" w:type="dxa"/>
            <w:tcBorders>
              <w:top w:val="nil"/>
              <w:left w:val="nil"/>
              <w:bottom w:val="nil"/>
              <w:right w:val="nil"/>
            </w:tcBorders>
          </w:tcPr>
          <w:p>
            <w:pPr>
              <w:pStyle w:val="TableParagraph"/>
              <w:spacing w:before="22"/>
              <w:ind w:left="57" w:right="198"/>
              <w:jc w:val="left"/>
              <w:rPr>
                <w:sz w:val="17"/>
              </w:rPr>
            </w:pPr>
            <w:r>
              <w:rPr>
                <w:w w:val="85"/>
                <w:sz w:val="17"/>
              </w:rPr>
              <w:t>No trabajo/vive</w:t>
            </w:r>
          </w:p>
        </w:tc>
        <w:tc>
          <w:tcPr>
            <w:tcW w:w="510" w:type="dxa"/>
            <w:tcBorders>
              <w:top w:val="nil"/>
              <w:left w:val="nil"/>
              <w:bottom w:val="nil"/>
              <w:right w:val="nil"/>
            </w:tcBorders>
          </w:tcPr>
          <w:p>
            <w:pPr>
              <w:pStyle w:val="TableParagraph"/>
              <w:spacing w:before="22"/>
              <w:ind w:right="85"/>
              <w:rPr>
                <w:sz w:val="17"/>
              </w:rPr>
            </w:pPr>
            <w:r>
              <w:rPr>
                <w:w w:val="84"/>
                <w:sz w:val="17"/>
              </w:rPr>
              <w:t>0</w:t>
            </w:r>
          </w:p>
        </w:tc>
        <w:tc>
          <w:tcPr>
            <w:tcW w:w="554" w:type="dxa"/>
            <w:tcBorders>
              <w:top w:val="nil"/>
              <w:left w:val="nil"/>
              <w:bottom w:val="nil"/>
              <w:right w:val="nil"/>
            </w:tcBorders>
          </w:tcPr>
          <w:p>
            <w:pPr>
              <w:pStyle w:val="TableParagraph"/>
              <w:spacing w:before="22"/>
              <w:ind w:right="64"/>
              <w:rPr>
                <w:sz w:val="17"/>
              </w:rPr>
            </w:pPr>
            <w:r>
              <w:rPr>
                <w:w w:val="85"/>
                <w:sz w:val="17"/>
              </w:rPr>
              <w:t>7.1</w:t>
            </w:r>
          </w:p>
        </w:tc>
        <w:tc>
          <w:tcPr>
            <w:tcW w:w="449" w:type="dxa"/>
            <w:tcBorders>
              <w:top w:val="nil"/>
              <w:left w:val="nil"/>
              <w:bottom w:val="nil"/>
              <w:right w:val="nil"/>
            </w:tcBorders>
          </w:tcPr>
          <w:p>
            <w:pPr>
              <w:pStyle w:val="TableParagraph"/>
              <w:spacing w:before="22"/>
              <w:ind w:right="52"/>
              <w:rPr>
                <w:sz w:val="17"/>
              </w:rPr>
            </w:pPr>
            <w:r>
              <w:rPr>
                <w:w w:val="85"/>
                <w:sz w:val="17"/>
              </w:rPr>
              <w:t>6.7</w:t>
            </w:r>
          </w:p>
        </w:tc>
      </w:tr>
      <w:tr>
        <w:trPr>
          <w:trHeight w:val="257" w:hRule="exact"/>
        </w:trPr>
        <w:tc>
          <w:tcPr>
            <w:tcW w:w="1616" w:type="dxa"/>
            <w:tcBorders>
              <w:top w:val="nil"/>
              <w:left w:val="nil"/>
              <w:bottom w:val="nil"/>
              <w:right w:val="nil"/>
            </w:tcBorders>
          </w:tcPr>
          <w:p>
            <w:pPr>
              <w:pStyle w:val="TableParagraph"/>
              <w:spacing w:before="22"/>
              <w:ind w:left="58" w:right="151"/>
              <w:jc w:val="left"/>
              <w:rPr>
                <w:sz w:val="17"/>
              </w:rPr>
            </w:pPr>
            <w:r>
              <w:rPr>
                <w:w w:val="90"/>
                <w:sz w:val="17"/>
              </w:rPr>
              <w:t>t. sueldo fijo</w:t>
            </w:r>
          </w:p>
        </w:tc>
        <w:tc>
          <w:tcPr>
            <w:tcW w:w="461" w:type="dxa"/>
            <w:tcBorders>
              <w:top w:val="nil"/>
              <w:left w:val="nil"/>
              <w:bottom w:val="nil"/>
              <w:right w:val="nil"/>
            </w:tcBorders>
          </w:tcPr>
          <w:p>
            <w:pPr>
              <w:pStyle w:val="TableParagraph"/>
              <w:spacing w:before="22"/>
              <w:ind w:right="85"/>
              <w:rPr>
                <w:sz w:val="17"/>
              </w:rPr>
            </w:pPr>
            <w:r>
              <w:rPr>
                <w:w w:val="85"/>
                <w:sz w:val="17"/>
              </w:rPr>
              <w:t>5.6</w:t>
            </w:r>
          </w:p>
        </w:tc>
        <w:tc>
          <w:tcPr>
            <w:tcW w:w="574" w:type="dxa"/>
            <w:tcBorders>
              <w:top w:val="nil"/>
              <w:left w:val="nil"/>
              <w:bottom w:val="nil"/>
              <w:right w:val="nil"/>
            </w:tcBorders>
          </w:tcPr>
          <w:p>
            <w:pPr>
              <w:pStyle w:val="TableParagraph"/>
              <w:spacing w:before="22"/>
              <w:ind w:right="83"/>
              <w:rPr>
                <w:sz w:val="17"/>
              </w:rPr>
            </w:pPr>
            <w:r>
              <w:rPr>
                <w:w w:val="85"/>
                <w:sz w:val="17"/>
              </w:rPr>
              <w:t>53.7</w:t>
            </w:r>
          </w:p>
        </w:tc>
        <w:tc>
          <w:tcPr>
            <w:tcW w:w="544" w:type="dxa"/>
            <w:tcBorders>
              <w:top w:val="nil"/>
              <w:left w:val="nil"/>
              <w:bottom w:val="nil"/>
              <w:right w:val="nil"/>
            </w:tcBorders>
          </w:tcPr>
          <w:p>
            <w:pPr>
              <w:pStyle w:val="TableParagraph"/>
              <w:spacing w:before="22"/>
              <w:ind w:right="56"/>
              <w:rPr>
                <w:sz w:val="17"/>
              </w:rPr>
            </w:pPr>
            <w:r>
              <w:rPr>
                <w:w w:val="85"/>
                <w:sz w:val="17"/>
              </w:rPr>
              <w:t>53.4</w:t>
            </w:r>
          </w:p>
        </w:tc>
        <w:tc>
          <w:tcPr>
            <w:tcW w:w="1818" w:type="dxa"/>
            <w:tcBorders>
              <w:top w:val="nil"/>
              <w:left w:val="nil"/>
              <w:bottom w:val="nil"/>
              <w:right w:val="nil"/>
            </w:tcBorders>
          </w:tcPr>
          <w:p>
            <w:pPr>
              <w:pStyle w:val="TableParagraph"/>
              <w:spacing w:before="22"/>
              <w:ind w:left="94" w:right="198"/>
              <w:jc w:val="left"/>
              <w:rPr>
                <w:sz w:val="17"/>
              </w:rPr>
            </w:pPr>
            <w:r>
              <w:rPr>
                <w:w w:val="90"/>
                <w:sz w:val="17"/>
              </w:rPr>
              <w:t>T. sueldo fijo</w:t>
            </w:r>
          </w:p>
        </w:tc>
        <w:tc>
          <w:tcPr>
            <w:tcW w:w="510" w:type="dxa"/>
            <w:tcBorders>
              <w:top w:val="nil"/>
              <w:left w:val="nil"/>
              <w:bottom w:val="nil"/>
              <w:right w:val="nil"/>
            </w:tcBorders>
          </w:tcPr>
          <w:p>
            <w:pPr>
              <w:pStyle w:val="TableParagraph"/>
              <w:spacing w:before="22"/>
              <w:ind w:right="85"/>
              <w:rPr>
                <w:sz w:val="17"/>
              </w:rPr>
            </w:pPr>
            <w:r>
              <w:rPr>
                <w:w w:val="85"/>
                <w:sz w:val="17"/>
              </w:rPr>
              <w:t>26.7</w:t>
            </w:r>
          </w:p>
        </w:tc>
        <w:tc>
          <w:tcPr>
            <w:tcW w:w="554" w:type="dxa"/>
            <w:tcBorders>
              <w:top w:val="nil"/>
              <w:left w:val="nil"/>
              <w:bottom w:val="nil"/>
              <w:right w:val="nil"/>
            </w:tcBorders>
          </w:tcPr>
          <w:p>
            <w:pPr>
              <w:pStyle w:val="TableParagraph"/>
              <w:spacing w:before="22"/>
              <w:ind w:right="65"/>
              <w:rPr>
                <w:sz w:val="17"/>
              </w:rPr>
            </w:pPr>
            <w:r>
              <w:rPr>
                <w:w w:val="85"/>
                <w:sz w:val="17"/>
              </w:rPr>
              <w:t>51.1</w:t>
            </w:r>
          </w:p>
        </w:tc>
        <w:tc>
          <w:tcPr>
            <w:tcW w:w="449" w:type="dxa"/>
            <w:tcBorders>
              <w:top w:val="nil"/>
              <w:left w:val="nil"/>
              <w:bottom w:val="nil"/>
              <w:right w:val="nil"/>
            </w:tcBorders>
          </w:tcPr>
          <w:p>
            <w:pPr>
              <w:pStyle w:val="TableParagraph"/>
              <w:spacing w:before="22"/>
              <w:ind w:right="53"/>
              <w:rPr>
                <w:sz w:val="17"/>
              </w:rPr>
            </w:pPr>
            <w:r>
              <w:rPr>
                <w:w w:val="85"/>
                <w:sz w:val="17"/>
              </w:rPr>
              <w:t>49.8</w:t>
            </w:r>
          </w:p>
        </w:tc>
      </w:tr>
      <w:tr>
        <w:trPr>
          <w:trHeight w:val="257" w:hRule="exact"/>
        </w:trPr>
        <w:tc>
          <w:tcPr>
            <w:tcW w:w="1616" w:type="dxa"/>
            <w:tcBorders>
              <w:top w:val="nil"/>
              <w:left w:val="nil"/>
              <w:bottom w:val="nil"/>
              <w:right w:val="nil"/>
            </w:tcBorders>
          </w:tcPr>
          <w:p>
            <w:pPr>
              <w:pStyle w:val="TableParagraph"/>
              <w:spacing w:before="25"/>
              <w:ind w:left="58" w:right="151"/>
              <w:jc w:val="left"/>
              <w:rPr>
                <w:sz w:val="17"/>
              </w:rPr>
            </w:pPr>
            <w:r>
              <w:rPr>
                <w:w w:val="85"/>
                <w:sz w:val="17"/>
              </w:rPr>
              <w:t>t. a destajo-obra</w:t>
            </w:r>
          </w:p>
        </w:tc>
        <w:tc>
          <w:tcPr>
            <w:tcW w:w="461" w:type="dxa"/>
            <w:tcBorders>
              <w:top w:val="nil"/>
              <w:left w:val="nil"/>
              <w:bottom w:val="nil"/>
              <w:right w:val="nil"/>
            </w:tcBorders>
          </w:tcPr>
          <w:p>
            <w:pPr>
              <w:pStyle w:val="TableParagraph"/>
              <w:spacing w:before="25"/>
              <w:ind w:right="86"/>
              <w:rPr>
                <w:sz w:val="17"/>
              </w:rPr>
            </w:pPr>
            <w:r>
              <w:rPr>
                <w:w w:val="85"/>
                <w:sz w:val="17"/>
              </w:rPr>
              <w:t>94.4</w:t>
            </w:r>
          </w:p>
        </w:tc>
        <w:tc>
          <w:tcPr>
            <w:tcW w:w="574" w:type="dxa"/>
            <w:tcBorders>
              <w:top w:val="nil"/>
              <w:left w:val="nil"/>
              <w:bottom w:val="nil"/>
              <w:right w:val="nil"/>
            </w:tcBorders>
          </w:tcPr>
          <w:p>
            <w:pPr>
              <w:pStyle w:val="TableParagraph"/>
              <w:spacing w:before="25"/>
              <w:ind w:right="83"/>
              <w:rPr>
                <w:sz w:val="17"/>
              </w:rPr>
            </w:pPr>
            <w:r>
              <w:rPr>
                <w:w w:val="85"/>
                <w:sz w:val="17"/>
              </w:rPr>
              <w:t>19.7</w:t>
            </w:r>
          </w:p>
        </w:tc>
        <w:tc>
          <w:tcPr>
            <w:tcW w:w="544" w:type="dxa"/>
            <w:tcBorders>
              <w:top w:val="nil"/>
              <w:left w:val="nil"/>
              <w:bottom w:val="nil"/>
              <w:right w:val="nil"/>
            </w:tcBorders>
          </w:tcPr>
          <w:p>
            <w:pPr>
              <w:pStyle w:val="TableParagraph"/>
              <w:spacing w:before="25"/>
              <w:ind w:right="56"/>
              <w:rPr>
                <w:sz w:val="17"/>
              </w:rPr>
            </w:pPr>
            <w:r>
              <w:rPr>
                <w:w w:val="85"/>
                <w:sz w:val="17"/>
              </w:rPr>
              <w:t>20.2</w:t>
            </w:r>
          </w:p>
        </w:tc>
        <w:tc>
          <w:tcPr>
            <w:tcW w:w="1818" w:type="dxa"/>
            <w:tcBorders>
              <w:top w:val="nil"/>
              <w:left w:val="nil"/>
              <w:bottom w:val="nil"/>
              <w:right w:val="nil"/>
            </w:tcBorders>
          </w:tcPr>
          <w:p>
            <w:pPr>
              <w:pStyle w:val="TableParagraph"/>
              <w:spacing w:before="25"/>
              <w:ind w:left="94" w:right="198"/>
              <w:jc w:val="left"/>
              <w:rPr>
                <w:sz w:val="17"/>
              </w:rPr>
            </w:pPr>
            <w:r>
              <w:rPr>
                <w:w w:val="85"/>
                <w:sz w:val="17"/>
              </w:rPr>
              <w:t>T. a destajo-obra</w:t>
            </w:r>
          </w:p>
        </w:tc>
        <w:tc>
          <w:tcPr>
            <w:tcW w:w="510" w:type="dxa"/>
            <w:tcBorders>
              <w:top w:val="nil"/>
              <w:left w:val="nil"/>
              <w:bottom w:val="nil"/>
              <w:right w:val="nil"/>
            </w:tcBorders>
          </w:tcPr>
          <w:p>
            <w:pPr>
              <w:pStyle w:val="TableParagraph"/>
              <w:spacing w:before="25"/>
              <w:ind w:right="85"/>
              <w:rPr>
                <w:sz w:val="17"/>
              </w:rPr>
            </w:pPr>
            <w:r>
              <w:rPr>
                <w:w w:val="84"/>
                <w:sz w:val="17"/>
              </w:rPr>
              <w:t>0</w:t>
            </w:r>
          </w:p>
        </w:tc>
        <w:tc>
          <w:tcPr>
            <w:tcW w:w="554" w:type="dxa"/>
            <w:tcBorders>
              <w:top w:val="nil"/>
              <w:left w:val="nil"/>
              <w:bottom w:val="nil"/>
              <w:right w:val="nil"/>
            </w:tcBorders>
          </w:tcPr>
          <w:p>
            <w:pPr>
              <w:pStyle w:val="TableParagraph"/>
              <w:spacing w:before="25"/>
              <w:ind w:right="64"/>
              <w:rPr>
                <w:sz w:val="17"/>
              </w:rPr>
            </w:pPr>
            <w:r>
              <w:rPr>
                <w:w w:val="85"/>
                <w:sz w:val="17"/>
              </w:rPr>
              <w:t>9.7</w:t>
            </w:r>
          </w:p>
        </w:tc>
        <w:tc>
          <w:tcPr>
            <w:tcW w:w="449" w:type="dxa"/>
            <w:tcBorders>
              <w:top w:val="nil"/>
              <w:left w:val="nil"/>
              <w:bottom w:val="nil"/>
              <w:right w:val="nil"/>
            </w:tcBorders>
          </w:tcPr>
          <w:p>
            <w:pPr>
              <w:pStyle w:val="TableParagraph"/>
              <w:spacing w:before="25"/>
              <w:ind w:right="52"/>
              <w:rPr>
                <w:sz w:val="17"/>
              </w:rPr>
            </w:pPr>
            <w:r>
              <w:rPr>
                <w:w w:val="85"/>
                <w:sz w:val="17"/>
              </w:rPr>
              <w:t>9.2</w:t>
            </w:r>
          </w:p>
        </w:tc>
      </w:tr>
      <w:tr>
        <w:trPr>
          <w:trHeight w:val="254" w:hRule="exact"/>
        </w:trPr>
        <w:tc>
          <w:tcPr>
            <w:tcW w:w="1616" w:type="dxa"/>
            <w:tcBorders>
              <w:top w:val="nil"/>
              <w:left w:val="nil"/>
              <w:bottom w:val="nil"/>
              <w:right w:val="nil"/>
            </w:tcBorders>
          </w:tcPr>
          <w:p>
            <w:pPr>
              <w:pStyle w:val="TableParagraph"/>
              <w:spacing w:before="22"/>
              <w:ind w:left="58" w:right="151"/>
              <w:jc w:val="left"/>
              <w:rPr>
                <w:sz w:val="17"/>
              </w:rPr>
            </w:pPr>
            <w:r>
              <w:rPr>
                <w:w w:val="90"/>
                <w:sz w:val="17"/>
              </w:rPr>
              <w:t>t. por su cuenta</w:t>
            </w:r>
          </w:p>
        </w:tc>
        <w:tc>
          <w:tcPr>
            <w:tcW w:w="461" w:type="dxa"/>
            <w:tcBorders>
              <w:top w:val="nil"/>
              <w:left w:val="nil"/>
              <w:bottom w:val="nil"/>
              <w:right w:val="nil"/>
            </w:tcBorders>
          </w:tcPr>
          <w:p>
            <w:pPr>
              <w:pStyle w:val="TableParagraph"/>
              <w:spacing w:before="22"/>
              <w:ind w:right="86"/>
              <w:rPr>
                <w:sz w:val="17"/>
              </w:rPr>
            </w:pPr>
            <w:r>
              <w:rPr>
                <w:w w:val="84"/>
                <w:sz w:val="17"/>
              </w:rPr>
              <w:t>0</w:t>
            </w:r>
          </w:p>
        </w:tc>
        <w:tc>
          <w:tcPr>
            <w:tcW w:w="574" w:type="dxa"/>
            <w:tcBorders>
              <w:top w:val="nil"/>
              <w:left w:val="nil"/>
              <w:bottom w:val="nil"/>
              <w:right w:val="nil"/>
            </w:tcBorders>
          </w:tcPr>
          <w:p>
            <w:pPr>
              <w:pStyle w:val="TableParagraph"/>
              <w:spacing w:before="22"/>
              <w:ind w:right="83"/>
              <w:rPr>
                <w:sz w:val="17"/>
              </w:rPr>
            </w:pPr>
            <w:r>
              <w:rPr>
                <w:w w:val="85"/>
                <w:sz w:val="17"/>
              </w:rPr>
              <w:t>5.1</w:t>
            </w:r>
          </w:p>
        </w:tc>
        <w:tc>
          <w:tcPr>
            <w:tcW w:w="544" w:type="dxa"/>
            <w:tcBorders>
              <w:top w:val="nil"/>
              <w:left w:val="nil"/>
              <w:bottom w:val="nil"/>
              <w:right w:val="nil"/>
            </w:tcBorders>
          </w:tcPr>
          <w:p>
            <w:pPr>
              <w:pStyle w:val="TableParagraph"/>
              <w:spacing w:before="22"/>
              <w:ind w:right="56"/>
              <w:rPr>
                <w:sz w:val="17"/>
              </w:rPr>
            </w:pPr>
            <w:r>
              <w:rPr>
                <w:w w:val="85"/>
                <w:sz w:val="17"/>
              </w:rPr>
              <w:t>5.0</w:t>
            </w:r>
          </w:p>
        </w:tc>
        <w:tc>
          <w:tcPr>
            <w:tcW w:w="1818" w:type="dxa"/>
            <w:tcBorders>
              <w:top w:val="nil"/>
              <w:left w:val="nil"/>
              <w:bottom w:val="nil"/>
              <w:right w:val="nil"/>
            </w:tcBorders>
          </w:tcPr>
          <w:p>
            <w:pPr>
              <w:pStyle w:val="TableParagraph"/>
              <w:spacing w:before="22"/>
              <w:ind w:left="57"/>
              <w:jc w:val="left"/>
              <w:rPr>
                <w:sz w:val="17"/>
              </w:rPr>
            </w:pPr>
            <w:r>
              <w:rPr>
                <w:w w:val="85"/>
                <w:sz w:val="17"/>
              </w:rPr>
              <w:t>Trabajador familiar sin pago</w:t>
            </w:r>
          </w:p>
        </w:tc>
        <w:tc>
          <w:tcPr>
            <w:tcW w:w="510" w:type="dxa"/>
            <w:tcBorders>
              <w:top w:val="nil"/>
              <w:left w:val="nil"/>
              <w:bottom w:val="nil"/>
              <w:right w:val="nil"/>
            </w:tcBorders>
          </w:tcPr>
          <w:p>
            <w:pPr>
              <w:pStyle w:val="TableParagraph"/>
              <w:spacing w:before="22"/>
              <w:ind w:right="85"/>
              <w:rPr>
                <w:sz w:val="17"/>
              </w:rPr>
            </w:pPr>
            <w:r>
              <w:rPr>
                <w:w w:val="84"/>
                <w:sz w:val="17"/>
              </w:rPr>
              <w:t>0</w:t>
            </w:r>
          </w:p>
        </w:tc>
        <w:tc>
          <w:tcPr>
            <w:tcW w:w="554" w:type="dxa"/>
            <w:tcBorders>
              <w:top w:val="nil"/>
              <w:left w:val="nil"/>
              <w:bottom w:val="nil"/>
              <w:right w:val="nil"/>
            </w:tcBorders>
          </w:tcPr>
          <w:p>
            <w:pPr>
              <w:pStyle w:val="TableParagraph"/>
              <w:spacing w:before="22"/>
              <w:ind w:right="64"/>
              <w:rPr>
                <w:sz w:val="17"/>
              </w:rPr>
            </w:pPr>
            <w:r>
              <w:rPr>
                <w:w w:val="85"/>
                <w:sz w:val="17"/>
              </w:rPr>
              <w:t>0.1</w:t>
            </w:r>
          </w:p>
        </w:tc>
        <w:tc>
          <w:tcPr>
            <w:tcW w:w="449" w:type="dxa"/>
            <w:tcBorders>
              <w:top w:val="nil"/>
              <w:left w:val="nil"/>
              <w:bottom w:val="nil"/>
              <w:right w:val="nil"/>
            </w:tcBorders>
          </w:tcPr>
          <w:p>
            <w:pPr>
              <w:pStyle w:val="TableParagraph"/>
              <w:spacing w:before="22"/>
              <w:ind w:right="52"/>
              <w:rPr>
                <w:sz w:val="17"/>
              </w:rPr>
            </w:pPr>
            <w:r>
              <w:rPr>
                <w:w w:val="85"/>
                <w:sz w:val="17"/>
              </w:rPr>
              <w:t>0.1</w:t>
            </w:r>
          </w:p>
        </w:tc>
      </w:tr>
      <w:tr>
        <w:trPr>
          <w:trHeight w:val="254" w:hRule="exact"/>
        </w:trPr>
        <w:tc>
          <w:tcPr>
            <w:tcW w:w="1616" w:type="dxa"/>
            <w:tcBorders>
              <w:top w:val="nil"/>
              <w:left w:val="nil"/>
              <w:bottom w:val="nil"/>
              <w:right w:val="nil"/>
            </w:tcBorders>
          </w:tcPr>
          <w:p>
            <w:pPr>
              <w:pStyle w:val="TableParagraph"/>
              <w:spacing w:before="22"/>
              <w:ind w:left="58" w:right="151"/>
              <w:jc w:val="left"/>
              <w:rPr>
                <w:sz w:val="17"/>
              </w:rPr>
            </w:pPr>
            <w:r>
              <w:rPr>
                <w:w w:val="95"/>
                <w:sz w:val="17"/>
              </w:rPr>
              <w:t>OTRO</w:t>
            </w:r>
          </w:p>
        </w:tc>
        <w:tc>
          <w:tcPr>
            <w:tcW w:w="461" w:type="dxa"/>
            <w:tcBorders>
              <w:top w:val="nil"/>
              <w:left w:val="nil"/>
              <w:bottom w:val="nil"/>
              <w:right w:val="nil"/>
            </w:tcBorders>
          </w:tcPr>
          <w:p>
            <w:pPr>
              <w:pStyle w:val="TableParagraph"/>
              <w:spacing w:before="22"/>
              <w:ind w:right="86"/>
              <w:rPr>
                <w:sz w:val="17"/>
              </w:rPr>
            </w:pPr>
            <w:r>
              <w:rPr>
                <w:w w:val="84"/>
                <w:sz w:val="17"/>
              </w:rPr>
              <w:t>0</w:t>
            </w:r>
          </w:p>
        </w:tc>
        <w:tc>
          <w:tcPr>
            <w:tcW w:w="574" w:type="dxa"/>
            <w:tcBorders>
              <w:top w:val="nil"/>
              <w:left w:val="nil"/>
              <w:bottom w:val="nil"/>
              <w:right w:val="nil"/>
            </w:tcBorders>
          </w:tcPr>
          <w:p>
            <w:pPr>
              <w:pStyle w:val="TableParagraph"/>
              <w:spacing w:before="22"/>
              <w:ind w:right="83"/>
              <w:rPr>
                <w:sz w:val="17"/>
              </w:rPr>
            </w:pPr>
            <w:r>
              <w:rPr>
                <w:w w:val="85"/>
                <w:sz w:val="17"/>
              </w:rPr>
              <w:t>0.1</w:t>
            </w:r>
          </w:p>
        </w:tc>
        <w:tc>
          <w:tcPr>
            <w:tcW w:w="544" w:type="dxa"/>
            <w:tcBorders>
              <w:top w:val="nil"/>
              <w:left w:val="nil"/>
              <w:bottom w:val="nil"/>
              <w:right w:val="nil"/>
            </w:tcBorders>
          </w:tcPr>
          <w:p>
            <w:pPr>
              <w:pStyle w:val="TableParagraph"/>
              <w:spacing w:before="22"/>
              <w:ind w:right="56"/>
              <w:rPr>
                <w:sz w:val="17"/>
              </w:rPr>
            </w:pPr>
            <w:r>
              <w:rPr>
                <w:w w:val="85"/>
                <w:sz w:val="17"/>
              </w:rPr>
              <w:t>0.2</w:t>
            </w:r>
          </w:p>
        </w:tc>
        <w:tc>
          <w:tcPr>
            <w:tcW w:w="1818" w:type="dxa"/>
            <w:tcBorders>
              <w:top w:val="nil"/>
              <w:left w:val="nil"/>
              <w:bottom w:val="nil"/>
              <w:right w:val="nil"/>
            </w:tcBorders>
          </w:tcPr>
          <w:p>
            <w:pPr>
              <w:pStyle w:val="TableParagraph"/>
              <w:spacing w:before="22"/>
              <w:ind w:left="57" w:right="198"/>
              <w:jc w:val="left"/>
              <w:rPr>
                <w:sz w:val="17"/>
              </w:rPr>
            </w:pPr>
            <w:r>
              <w:rPr>
                <w:w w:val="95"/>
                <w:sz w:val="17"/>
              </w:rPr>
              <w:t>Patrón</w:t>
            </w:r>
          </w:p>
        </w:tc>
        <w:tc>
          <w:tcPr>
            <w:tcW w:w="510" w:type="dxa"/>
            <w:tcBorders>
              <w:top w:val="nil"/>
              <w:left w:val="nil"/>
              <w:bottom w:val="nil"/>
              <w:right w:val="nil"/>
            </w:tcBorders>
          </w:tcPr>
          <w:p>
            <w:pPr>
              <w:pStyle w:val="TableParagraph"/>
              <w:spacing w:before="22"/>
              <w:ind w:right="84"/>
              <w:rPr>
                <w:sz w:val="17"/>
              </w:rPr>
            </w:pPr>
            <w:r>
              <w:rPr>
                <w:w w:val="85"/>
                <w:sz w:val="17"/>
              </w:rPr>
              <w:t>5.5</w:t>
            </w:r>
          </w:p>
        </w:tc>
        <w:tc>
          <w:tcPr>
            <w:tcW w:w="554" w:type="dxa"/>
            <w:tcBorders>
              <w:top w:val="nil"/>
              <w:left w:val="nil"/>
              <w:bottom w:val="nil"/>
              <w:right w:val="nil"/>
            </w:tcBorders>
          </w:tcPr>
          <w:p>
            <w:pPr>
              <w:pStyle w:val="TableParagraph"/>
              <w:spacing w:before="22"/>
              <w:ind w:right="64"/>
              <w:rPr>
                <w:sz w:val="17"/>
              </w:rPr>
            </w:pPr>
            <w:r>
              <w:rPr>
                <w:w w:val="85"/>
                <w:sz w:val="17"/>
              </w:rPr>
              <w:t>2.4</w:t>
            </w:r>
          </w:p>
        </w:tc>
        <w:tc>
          <w:tcPr>
            <w:tcW w:w="449" w:type="dxa"/>
            <w:tcBorders>
              <w:top w:val="nil"/>
              <w:left w:val="nil"/>
              <w:bottom w:val="nil"/>
              <w:right w:val="nil"/>
            </w:tcBorders>
          </w:tcPr>
          <w:p>
            <w:pPr>
              <w:pStyle w:val="TableParagraph"/>
              <w:spacing w:before="22"/>
              <w:ind w:right="52"/>
              <w:rPr>
                <w:sz w:val="17"/>
              </w:rPr>
            </w:pPr>
            <w:r>
              <w:rPr>
                <w:w w:val="85"/>
                <w:sz w:val="17"/>
              </w:rPr>
              <w:t>2.5</w:t>
            </w:r>
          </w:p>
        </w:tc>
      </w:tr>
      <w:tr>
        <w:trPr>
          <w:trHeight w:val="254" w:hRule="exact"/>
        </w:trPr>
        <w:tc>
          <w:tcPr>
            <w:tcW w:w="1616" w:type="dxa"/>
            <w:tcBorders>
              <w:top w:val="nil"/>
              <w:left w:val="nil"/>
              <w:bottom w:val="nil"/>
              <w:right w:val="nil"/>
            </w:tcBorders>
          </w:tcPr>
          <w:p>
            <w:pPr/>
          </w:p>
        </w:tc>
        <w:tc>
          <w:tcPr>
            <w:tcW w:w="461" w:type="dxa"/>
            <w:tcBorders>
              <w:top w:val="nil"/>
              <w:left w:val="nil"/>
              <w:bottom w:val="nil"/>
              <w:right w:val="nil"/>
            </w:tcBorders>
          </w:tcPr>
          <w:p>
            <w:pPr/>
          </w:p>
        </w:tc>
        <w:tc>
          <w:tcPr>
            <w:tcW w:w="574" w:type="dxa"/>
            <w:tcBorders>
              <w:top w:val="nil"/>
              <w:left w:val="nil"/>
              <w:bottom w:val="nil"/>
              <w:right w:val="nil"/>
            </w:tcBorders>
          </w:tcPr>
          <w:p>
            <w:pPr/>
          </w:p>
        </w:tc>
        <w:tc>
          <w:tcPr>
            <w:tcW w:w="544" w:type="dxa"/>
            <w:tcBorders>
              <w:top w:val="nil"/>
              <w:left w:val="nil"/>
              <w:bottom w:val="nil"/>
              <w:right w:val="nil"/>
            </w:tcBorders>
          </w:tcPr>
          <w:p>
            <w:pPr/>
          </w:p>
        </w:tc>
        <w:tc>
          <w:tcPr>
            <w:tcW w:w="1818" w:type="dxa"/>
            <w:tcBorders>
              <w:top w:val="nil"/>
              <w:left w:val="nil"/>
              <w:bottom w:val="nil"/>
              <w:right w:val="nil"/>
            </w:tcBorders>
          </w:tcPr>
          <w:p>
            <w:pPr>
              <w:pStyle w:val="TableParagraph"/>
              <w:spacing w:before="22"/>
              <w:ind w:left="57" w:right="198"/>
              <w:jc w:val="left"/>
              <w:rPr>
                <w:sz w:val="17"/>
              </w:rPr>
            </w:pPr>
            <w:r>
              <w:rPr>
                <w:w w:val="85"/>
                <w:sz w:val="17"/>
              </w:rPr>
              <w:t>Trabajador por su cuenta</w:t>
            </w:r>
          </w:p>
        </w:tc>
        <w:tc>
          <w:tcPr>
            <w:tcW w:w="510" w:type="dxa"/>
            <w:tcBorders>
              <w:top w:val="nil"/>
              <w:left w:val="nil"/>
              <w:bottom w:val="nil"/>
              <w:right w:val="nil"/>
            </w:tcBorders>
          </w:tcPr>
          <w:p>
            <w:pPr>
              <w:pStyle w:val="TableParagraph"/>
              <w:spacing w:before="22"/>
              <w:ind w:right="84"/>
              <w:rPr>
                <w:sz w:val="17"/>
              </w:rPr>
            </w:pPr>
            <w:r>
              <w:rPr>
                <w:w w:val="85"/>
                <w:sz w:val="17"/>
              </w:rPr>
              <w:t>1.8</w:t>
            </w:r>
          </w:p>
        </w:tc>
        <w:tc>
          <w:tcPr>
            <w:tcW w:w="554" w:type="dxa"/>
            <w:tcBorders>
              <w:top w:val="nil"/>
              <w:left w:val="nil"/>
              <w:bottom w:val="nil"/>
              <w:right w:val="nil"/>
            </w:tcBorders>
          </w:tcPr>
          <w:p>
            <w:pPr>
              <w:pStyle w:val="TableParagraph"/>
              <w:spacing w:before="22"/>
              <w:ind w:right="64"/>
              <w:rPr>
                <w:sz w:val="17"/>
              </w:rPr>
            </w:pPr>
            <w:r>
              <w:rPr>
                <w:w w:val="85"/>
                <w:sz w:val="17"/>
              </w:rPr>
              <w:t>8.3</w:t>
            </w:r>
          </w:p>
        </w:tc>
        <w:tc>
          <w:tcPr>
            <w:tcW w:w="449" w:type="dxa"/>
            <w:tcBorders>
              <w:top w:val="nil"/>
              <w:left w:val="nil"/>
              <w:bottom w:val="nil"/>
              <w:right w:val="nil"/>
            </w:tcBorders>
          </w:tcPr>
          <w:p>
            <w:pPr>
              <w:pStyle w:val="TableParagraph"/>
              <w:spacing w:before="22"/>
              <w:ind w:right="52"/>
              <w:rPr>
                <w:sz w:val="17"/>
              </w:rPr>
            </w:pPr>
            <w:r>
              <w:rPr>
                <w:w w:val="85"/>
                <w:sz w:val="17"/>
              </w:rPr>
              <w:t>8.0</w:t>
            </w:r>
          </w:p>
        </w:tc>
      </w:tr>
      <w:tr>
        <w:trPr>
          <w:trHeight w:val="254" w:hRule="exact"/>
        </w:trPr>
        <w:tc>
          <w:tcPr>
            <w:tcW w:w="1616" w:type="dxa"/>
            <w:tcBorders>
              <w:top w:val="nil"/>
              <w:left w:val="nil"/>
              <w:bottom w:val="nil"/>
              <w:right w:val="nil"/>
            </w:tcBorders>
          </w:tcPr>
          <w:p>
            <w:pPr>
              <w:pStyle w:val="TableParagraph"/>
              <w:spacing w:before="22"/>
              <w:ind w:left="21" w:right="151"/>
              <w:jc w:val="left"/>
              <w:rPr>
                <w:sz w:val="17"/>
              </w:rPr>
            </w:pPr>
            <w:r>
              <w:rPr>
                <w:w w:val="95"/>
                <w:sz w:val="17"/>
              </w:rPr>
              <w:t>Total</w:t>
            </w:r>
          </w:p>
        </w:tc>
        <w:tc>
          <w:tcPr>
            <w:tcW w:w="461" w:type="dxa"/>
            <w:tcBorders>
              <w:top w:val="nil"/>
              <w:left w:val="nil"/>
              <w:bottom w:val="nil"/>
              <w:right w:val="nil"/>
            </w:tcBorders>
          </w:tcPr>
          <w:p>
            <w:pPr>
              <w:pStyle w:val="TableParagraph"/>
              <w:spacing w:before="22"/>
              <w:ind w:right="85"/>
              <w:rPr>
                <w:sz w:val="17"/>
              </w:rPr>
            </w:pPr>
            <w:r>
              <w:rPr>
                <w:w w:val="85"/>
                <w:sz w:val="17"/>
              </w:rPr>
              <w:t>100</w:t>
            </w:r>
          </w:p>
        </w:tc>
        <w:tc>
          <w:tcPr>
            <w:tcW w:w="574" w:type="dxa"/>
            <w:tcBorders>
              <w:top w:val="nil"/>
              <w:left w:val="nil"/>
              <w:bottom w:val="nil"/>
              <w:right w:val="nil"/>
            </w:tcBorders>
          </w:tcPr>
          <w:p>
            <w:pPr>
              <w:pStyle w:val="TableParagraph"/>
              <w:spacing w:before="22"/>
              <w:ind w:right="82"/>
              <w:rPr>
                <w:sz w:val="17"/>
              </w:rPr>
            </w:pPr>
            <w:r>
              <w:rPr>
                <w:w w:val="85"/>
                <w:sz w:val="17"/>
              </w:rPr>
              <w:t>100</w:t>
            </w:r>
          </w:p>
        </w:tc>
        <w:tc>
          <w:tcPr>
            <w:tcW w:w="544" w:type="dxa"/>
            <w:tcBorders>
              <w:top w:val="nil"/>
              <w:left w:val="nil"/>
              <w:bottom w:val="nil"/>
              <w:right w:val="nil"/>
            </w:tcBorders>
          </w:tcPr>
          <w:p>
            <w:pPr>
              <w:pStyle w:val="TableParagraph"/>
              <w:spacing w:before="22"/>
              <w:ind w:right="55"/>
              <w:rPr>
                <w:sz w:val="17"/>
              </w:rPr>
            </w:pPr>
            <w:r>
              <w:rPr>
                <w:w w:val="85"/>
                <w:sz w:val="17"/>
              </w:rPr>
              <w:t>100</w:t>
            </w:r>
          </w:p>
        </w:tc>
        <w:tc>
          <w:tcPr>
            <w:tcW w:w="1818" w:type="dxa"/>
            <w:tcBorders>
              <w:top w:val="nil"/>
              <w:left w:val="nil"/>
              <w:bottom w:val="nil"/>
              <w:right w:val="nil"/>
            </w:tcBorders>
          </w:tcPr>
          <w:p>
            <w:pPr>
              <w:pStyle w:val="TableParagraph"/>
              <w:spacing w:before="22"/>
              <w:ind w:left="57" w:right="198"/>
              <w:jc w:val="left"/>
              <w:rPr>
                <w:sz w:val="17"/>
              </w:rPr>
            </w:pPr>
            <w:r>
              <w:rPr>
                <w:w w:val="95"/>
                <w:sz w:val="17"/>
              </w:rPr>
              <w:t>Total</w:t>
            </w:r>
          </w:p>
        </w:tc>
        <w:tc>
          <w:tcPr>
            <w:tcW w:w="510" w:type="dxa"/>
            <w:tcBorders>
              <w:top w:val="nil"/>
              <w:left w:val="nil"/>
              <w:bottom w:val="nil"/>
              <w:right w:val="nil"/>
            </w:tcBorders>
          </w:tcPr>
          <w:p>
            <w:pPr>
              <w:pStyle w:val="TableParagraph"/>
              <w:spacing w:before="22"/>
              <w:ind w:right="84"/>
              <w:rPr>
                <w:sz w:val="17"/>
              </w:rPr>
            </w:pPr>
            <w:r>
              <w:rPr>
                <w:w w:val="85"/>
                <w:sz w:val="17"/>
              </w:rPr>
              <w:t>100</w:t>
            </w:r>
          </w:p>
        </w:tc>
        <w:tc>
          <w:tcPr>
            <w:tcW w:w="554" w:type="dxa"/>
            <w:tcBorders>
              <w:top w:val="nil"/>
              <w:left w:val="nil"/>
              <w:bottom w:val="nil"/>
              <w:right w:val="nil"/>
            </w:tcBorders>
          </w:tcPr>
          <w:p>
            <w:pPr>
              <w:pStyle w:val="TableParagraph"/>
              <w:spacing w:before="22"/>
              <w:ind w:right="64"/>
              <w:rPr>
                <w:sz w:val="17"/>
              </w:rPr>
            </w:pPr>
            <w:r>
              <w:rPr>
                <w:w w:val="85"/>
                <w:sz w:val="17"/>
              </w:rPr>
              <w:t>100</w:t>
            </w:r>
          </w:p>
        </w:tc>
        <w:tc>
          <w:tcPr>
            <w:tcW w:w="449" w:type="dxa"/>
            <w:tcBorders>
              <w:top w:val="nil"/>
              <w:left w:val="nil"/>
              <w:bottom w:val="nil"/>
              <w:right w:val="nil"/>
            </w:tcBorders>
          </w:tcPr>
          <w:p>
            <w:pPr>
              <w:pStyle w:val="TableParagraph"/>
              <w:spacing w:before="22"/>
              <w:ind w:right="52"/>
              <w:rPr>
                <w:sz w:val="17"/>
              </w:rPr>
            </w:pPr>
            <w:r>
              <w:rPr>
                <w:w w:val="85"/>
                <w:sz w:val="17"/>
              </w:rPr>
              <w:t>100</w:t>
            </w:r>
          </w:p>
        </w:tc>
      </w:tr>
      <w:tr>
        <w:trPr>
          <w:trHeight w:val="254" w:hRule="exact"/>
        </w:trPr>
        <w:tc>
          <w:tcPr>
            <w:tcW w:w="1616" w:type="dxa"/>
            <w:tcBorders>
              <w:top w:val="nil"/>
              <w:left w:val="nil"/>
              <w:bottom w:val="nil"/>
              <w:right w:val="nil"/>
            </w:tcBorders>
          </w:tcPr>
          <w:p>
            <w:pPr>
              <w:pStyle w:val="TableParagraph"/>
              <w:spacing w:before="22"/>
              <w:ind w:left="21" w:right="151"/>
              <w:jc w:val="left"/>
              <w:rPr>
                <w:i/>
                <w:sz w:val="17"/>
              </w:rPr>
            </w:pPr>
            <w:r>
              <w:rPr>
                <w:i/>
                <w:w w:val="90"/>
                <w:sz w:val="17"/>
              </w:rPr>
              <w:t>No trab. p./busco trab.</w:t>
            </w:r>
          </w:p>
        </w:tc>
        <w:tc>
          <w:tcPr>
            <w:tcW w:w="461" w:type="dxa"/>
            <w:tcBorders>
              <w:top w:val="nil"/>
              <w:left w:val="nil"/>
              <w:bottom w:val="nil"/>
              <w:right w:val="nil"/>
            </w:tcBorders>
          </w:tcPr>
          <w:p>
            <w:pPr>
              <w:pStyle w:val="TableParagraph"/>
              <w:spacing w:before="22"/>
              <w:ind w:right="86"/>
              <w:rPr>
                <w:sz w:val="17"/>
              </w:rPr>
            </w:pPr>
            <w:r>
              <w:rPr>
                <w:w w:val="84"/>
                <w:sz w:val="17"/>
              </w:rPr>
              <w:t>0</w:t>
            </w:r>
          </w:p>
        </w:tc>
        <w:tc>
          <w:tcPr>
            <w:tcW w:w="574" w:type="dxa"/>
            <w:tcBorders>
              <w:top w:val="nil"/>
              <w:left w:val="nil"/>
              <w:bottom w:val="nil"/>
              <w:right w:val="nil"/>
            </w:tcBorders>
          </w:tcPr>
          <w:p>
            <w:pPr>
              <w:pStyle w:val="TableParagraph"/>
              <w:spacing w:before="22"/>
              <w:ind w:right="83"/>
              <w:rPr>
                <w:sz w:val="17"/>
              </w:rPr>
            </w:pPr>
            <w:r>
              <w:rPr>
                <w:w w:val="85"/>
                <w:sz w:val="17"/>
              </w:rPr>
              <w:t>9.9</w:t>
            </w:r>
          </w:p>
        </w:tc>
        <w:tc>
          <w:tcPr>
            <w:tcW w:w="544" w:type="dxa"/>
            <w:tcBorders>
              <w:top w:val="nil"/>
              <w:left w:val="nil"/>
              <w:bottom w:val="nil"/>
              <w:right w:val="nil"/>
            </w:tcBorders>
          </w:tcPr>
          <w:p>
            <w:pPr>
              <w:pStyle w:val="TableParagraph"/>
              <w:spacing w:before="22"/>
              <w:ind w:right="56"/>
              <w:rPr>
                <w:sz w:val="17"/>
              </w:rPr>
            </w:pPr>
            <w:r>
              <w:rPr>
                <w:w w:val="85"/>
                <w:sz w:val="17"/>
              </w:rPr>
              <w:t>9.9</w:t>
            </w:r>
          </w:p>
        </w:tc>
        <w:tc>
          <w:tcPr>
            <w:tcW w:w="1818" w:type="dxa"/>
            <w:tcBorders>
              <w:top w:val="nil"/>
              <w:left w:val="nil"/>
              <w:bottom w:val="nil"/>
              <w:right w:val="nil"/>
            </w:tcBorders>
          </w:tcPr>
          <w:p>
            <w:pPr>
              <w:pStyle w:val="TableParagraph"/>
              <w:spacing w:before="22"/>
              <w:ind w:left="57" w:right="198"/>
              <w:jc w:val="left"/>
              <w:rPr>
                <w:i/>
                <w:sz w:val="17"/>
              </w:rPr>
            </w:pPr>
            <w:r>
              <w:rPr>
                <w:i/>
                <w:w w:val="90"/>
                <w:sz w:val="17"/>
              </w:rPr>
              <w:t>No trab. p./busco trab.</w:t>
            </w:r>
          </w:p>
        </w:tc>
        <w:tc>
          <w:tcPr>
            <w:tcW w:w="510" w:type="dxa"/>
            <w:tcBorders>
              <w:top w:val="nil"/>
              <w:left w:val="nil"/>
              <w:bottom w:val="nil"/>
              <w:right w:val="nil"/>
            </w:tcBorders>
          </w:tcPr>
          <w:p>
            <w:pPr>
              <w:pStyle w:val="TableParagraph"/>
              <w:spacing w:before="22"/>
              <w:ind w:right="85"/>
              <w:rPr>
                <w:sz w:val="17"/>
              </w:rPr>
            </w:pPr>
            <w:r>
              <w:rPr>
                <w:w w:val="85"/>
                <w:sz w:val="17"/>
              </w:rPr>
              <w:t>24.2</w:t>
            </w:r>
          </w:p>
        </w:tc>
        <w:tc>
          <w:tcPr>
            <w:tcW w:w="554" w:type="dxa"/>
            <w:tcBorders>
              <w:top w:val="nil"/>
              <w:left w:val="nil"/>
              <w:bottom w:val="nil"/>
              <w:right w:val="nil"/>
            </w:tcBorders>
          </w:tcPr>
          <w:p>
            <w:pPr>
              <w:pStyle w:val="TableParagraph"/>
              <w:spacing w:before="22"/>
              <w:ind w:right="64"/>
              <w:rPr>
                <w:sz w:val="17"/>
              </w:rPr>
            </w:pPr>
            <w:r>
              <w:rPr>
                <w:w w:val="85"/>
                <w:sz w:val="17"/>
              </w:rPr>
              <w:t>5.9</w:t>
            </w:r>
          </w:p>
        </w:tc>
        <w:tc>
          <w:tcPr>
            <w:tcW w:w="449" w:type="dxa"/>
            <w:tcBorders>
              <w:top w:val="nil"/>
              <w:left w:val="nil"/>
              <w:bottom w:val="nil"/>
              <w:right w:val="nil"/>
            </w:tcBorders>
          </w:tcPr>
          <w:p>
            <w:pPr>
              <w:pStyle w:val="TableParagraph"/>
              <w:spacing w:before="22"/>
              <w:ind w:right="52"/>
              <w:rPr>
                <w:sz w:val="17"/>
              </w:rPr>
            </w:pPr>
            <w:r>
              <w:rPr>
                <w:w w:val="85"/>
                <w:sz w:val="17"/>
              </w:rPr>
              <w:t>6.9</w:t>
            </w:r>
          </w:p>
        </w:tc>
      </w:tr>
      <w:tr>
        <w:trPr>
          <w:trHeight w:val="254" w:hRule="exact"/>
        </w:trPr>
        <w:tc>
          <w:tcPr>
            <w:tcW w:w="1616" w:type="dxa"/>
            <w:tcBorders>
              <w:top w:val="nil"/>
              <w:left w:val="nil"/>
              <w:bottom w:val="nil"/>
              <w:right w:val="nil"/>
            </w:tcBorders>
          </w:tcPr>
          <w:p>
            <w:pPr>
              <w:pStyle w:val="TableParagraph"/>
              <w:spacing w:before="22"/>
              <w:ind w:left="21" w:right="151"/>
              <w:jc w:val="left"/>
              <w:rPr>
                <w:sz w:val="17"/>
              </w:rPr>
            </w:pPr>
            <w:r>
              <w:rPr>
                <w:w w:val="85"/>
                <w:sz w:val="17"/>
              </w:rPr>
              <w:t>Es/ama casa/jubilado</w:t>
            </w:r>
          </w:p>
        </w:tc>
        <w:tc>
          <w:tcPr>
            <w:tcW w:w="461" w:type="dxa"/>
            <w:tcBorders>
              <w:top w:val="nil"/>
              <w:left w:val="nil"/>
              <w:bottom w:val="nil"/>
              <w:right w:val="nil"/>
            </w:tcBorders>
          </w:tcPr>
          <w:p>
            <w:pPr>
              <w:pStyle w:val="TableParagraph"/>
              <w:spacing w:before="22"/>
              <w:ind w:right="86"/>
              <w:rPr>
                <w:sz w:val="17"/>
              </w:rPr>
            </w:pPr>
            <w:r>
              <w:rPr>
                <w:w w:val="84"/>
                <w:sz w:val="17"/>
              </w:rPr>
              <w:t>0</w:t>
            </w:r>
          </w:p>
        </w:tc>
        <w:tc>
          <w:tcPr>
            <w:tcW w:w="574" w:type="dxa"/>
            <w:tcBorders>
              <w:top w:val="nil"/>
              <w:left w:val="nil"/>
              <w:bottom w:val="nil"/>
              <w:right w:val="nil"/>
            </w:tcBorders>
          </w:tcPr>
          <w:p>
            <w:pPr>
              <w:pStyle w:val="TableParagraph"/>
              <w:spacing w:before="22"/>
              <w:ind w:right="83"/>
              <w:rPr>
                <w:sz w:val="17"/>
              </w:rPr>
            </w:pPr>
            <w:r>
              <w:rPr>
                <w:w w:val="85"/>
                <w:sz w:val="17"/>
              </w:rPr>
              <w:t>2.0</w:t>
            </w:r>
          </w:p>
        </w:tc>
        <w:tc>
          <w:tcPr>
            <w:tcW w:w="544" w:type="dxa"/>
            <w:tcBorders>
              <w:top w:val="nil"/>
              <w:left w:val="nil"/>
              <w:bottom w:val="nil"/>
              <w:right w:val="nil"/>
            </w:tcBorders>
          </w:tcPr>
          <w:p>
            <w:pPr>
              <w:pStyle w:val="TableParagraph"/>
              <w:spacing w:before="22"/>
              <w:ind w:right="56"/>
              <w:rPr>
                <w:sz w:val="17"/>
              </w:rPr>
            </w:pPr>
            <w:r>
              <w:rPr>
                <w:w w:val="85"/>
                <w:sz w:val="17"/>
              </w:rPr>
              <w:t>2.0</w:t>
            </w:r>
          </w:p>
        </w:tc>
        <w:tc>
          <w:tcPr>
            <w:tcW w:w="1818" w:type="dxa"/>
            <w:tcBorders>
              <w:top w:val="nil"/>
              <w:left w:val="nil"/>
              <w:bottom w:val="nil"/>
              <w:right w:val="nil"/>
            </w:tcBorders>
          </w:tcPr>
          <w:p>
            <w:pPr>
              <w:pStyle w:val="TableParagraph"/>
              <w:spacing w:before="22"/>
              <w:ind w:left="57" w:right="198"/>
              <w:jc w:val="left"/>
              <w:rPr>
                <w:sz w:val="17"/>
              </w:rPr>
            </w:pPr>
            <w:r>
              <w:rPr>
                <w:w w:val="85"/>
                <w:sz w:val="17"/>
              </w:rPr>
              <w:t>Es/ama casa/jubilado</w:t>
            </w:r>
          </w:p>
        </w:tc>
        <w:tc>
          <w:tcPr>
            <w:tcW w:w="510" w:type="dxa"/>
            <w:tcBorders>
              <w:top w:val="nil"/>
              <w:left w:val="nil"/>
              <w:bottom w:val="nil"/>
              <w:right w:val="nil"/>
            </w:tcBorders>
          </w:tcPr>
          <w:p>
            <w:pPr>
              <w:pStyle w:val="TableParagraph"/>
              <w:spacing w:before="22"/>
              <w:ind w:right="85"/>
              <w:rPr>
                <w:sz w:val="17"/>
              </w:rPr>
            </w:pPr>
            <w:r>
              <w:rPr>
                <w:w w:val="85"/>
                <w:sz w:val="17"/>
              </w:rPr>
              <w:t>41.8</w:t>
            </w:r>
          </w:p>
        </w:tc>
        <w:tc>
          <w:tcPr>
            <w:tcW w:w="554" w:type="dxa"/>
            <w:tcBorders>
              <w:top w:val="nil"/>
              <w:left w:val="nil"/>
              <w:bottom w:val="nil"/>
              <w:right w:val="nil"/>
            </w:tcBorders>
          </w:tcPr>
          <w:p>
            <w:pPr>
              <w:pStyle w:val="TableParagraph"/>
              <w:spacing w:before="22"/>
              <w:ind w:right="65"/>
              <w:rPr>
                <w:sz w:val="17"/>
              </w:rPr>
            </w:pPr>
            <w:r>
              <w:rPr>
                <w:w w:val="85"/>
                <w:sz w:val="17"/>
              </w:rPr>
              <w:t>15.4</w:t>
            </w:r>
          </w:p>
        </w:tc>
        <w:tc>
          <w:tcPr>
            <w:tcW w:w="449" w:type="dxa"/>
            <w:tcBorders>
              <w:top w:val="nil"/>
              <w:left w:val="nil"/>
              <w:bottom w:val="nil"/>
              <w:right w:val="nil"/>
            </w:tcBorders>
          </w:tcPr>
          <w:p>
            <w:pPr>
              <w:pStyle w:val="TableParagraph"/>
              <w:spacing w:before="22"/>
              <w:ind w:right="53"/>
              <w:rPr>
                <w:sz w:val="17"/>
              </w:rPr>
            </w:pPr>
            <w:r>
              <w:rPr>
                <w:w w:val="85"/>
                <w:sz w:val="17"/>
              </w:rPr>
              <w:t>16.8</w:t>
            </w:r>
          </w:p>
        </w:tc>
      </w:tr>
      <w:tr>
        <w:trPr>
          <w:trHeight w:val="257" w:hRule="exact"/>
        </w:trPr>
        <w:tc>
          <w:tcPr>
            <w:tcW w:w="1616" w:type="dxa"/>
            <w:tcBorders>
              <w:top w:val="nil"/>
              <w:left w:val="nil"/>
              <w:bottom w:val="nil"/>
              <w:right w:val="nil"/>
            </w:tcBorders>
          </w:tcPr>
          <w:p>
            <w:pPr>
              <w:pStyle w:val="TableParagraph"/>
              <w:spacing w:before="22"/>
              <w:ind w:left="21" w:right="151"/>
              <w:jc w:val="left"/>
              <w:rPr>
                <w:sz w:val="17"/>
              </w:rPr>
            </w:pPr>
            <w:r>
              <w:rPr>
                <w:w w:val="85"/>
                <w:sz w:val="17"/>
              </w:rPr>
              <w:t>no trabajo/vive</w:t>
            </w:r>
          </w:p>
        </w:tc>
        <w:tc>
          <w:tcPr>
            <w:tcW w:w="461" w:type="dxa"/>
            <w:tcBorders>
              <w:top w:val="nil"/>
              <w:left w:val="nil"/>
              <w:bottom w:val="nil"/>
              <w:right w:val="nil"/>
            </w:tcBorders>
          </w:tcPr>
          <w:p>
            <w:pPr>
              <w:pStyle w:val="TableParagraph"/>
              <w:spacing w:before="22"/>
              <w:ind w:right="86"/>
              <w:rPr>
                <w:sz w:val="17"/>
              </w:rPr>
            </w:pPr>
            <w:r>
              <w:rPr>
                <w:w w:val="84"/>
                <w:sz w:val="17"/>
              </w:rPr>
              <w:t>0</w:t>
            </w:r>
          </w:p>
        </w:tc>
        <w:tc>
          <w:tcPr>
            <w:tcW w:w="574" w:type="dxa"/>
            <w:tcBorders>
              <w:top w:val="nil"/>
              <w:left w:val="nil"/>
              <w:bottom w:val="nil"/>
              <w:right w:val="nil"/>
            </w:tcBorders>
          </w:tcPr>
          <w:p>
            <w:pPr>
              <w:pStyle w:val="TableParagraph"/>
              <w:spacing w:before="22"/>
              <w:ind w:right="83"/>
              <w:rPr>
                <w:sz w:val="17"/>
              </w:rPr>
            </w:pPr>
            <w:r>
              <w:rPr>
                <w:w w:val="85"/>
                <w:sz w:val="17"/>
              </w:rPr>
              <w:t>9.4</w:t>
            </w:r>
          </w:p>
        </w:tc>
        <w:tc>
          <w:tcPr>
            <w:tcW w:w="544" w:type="dxa"/>
            <w:tcBorders>
              <w:top w:val="nil"/>
              <w:left w:val="nil"/>
              <w:bottom w:val="nil"/>
              <w:right w:val="nil"/>
            </w:tcBorders>
          </w:tcPr>
          <w:p>
            <w:pPr>
              <w:pStyle w:val="TableParagraph"/>
              <w:spacing w:before="22"/>
              <w:ind w:right="56"/>
              <w:rPr>
                <w:sz w:val="17"/>
              </w:rPr>
            </w:pPr>
            <w:r>
              <w:rPr>
                <w:w w:val="85"/>
                <w:sz w:val="17"/>
              </w:rPr>
              <w:t>9.4</w:t>
            </w:r>
          </w:p>
        </w:tc>
        <w:tc>
          <w:tcPr>
            <w:tcW w:w="1818" w:type="dxa"/>
            <w:tcBorders>
              <w:top w:val="nil"/>
              <w:left w:val="nil"/>
              <w:bottom w:val="nil"/>
              <w:right w:val="nil"/>
            </w:tcBorders>
          </w:tcPr>
          <w:p>
            <w:pPr>
              <w:pStyle w:val="TableParagraph"/>
              <w:spacing w:before="22"/>
              <w:ind w:left="57" w:right="198"/>
              <w:jc w:val="left"/>
              <w:rPr>
                <w:sz w:val="17"/>
              </w:rPr>
            </w:pPr>
            <w:r>
              <w:rPr>
                <w:w w:val="85"/>
                <w:sz w:val="17"/>
              </w:rPr>
              <w:t>no trabajo/vive</w:t>
            </w:r>
          </w:p>
        </w:tc>
        <w:tc>
          <w:tcPr>
            <w:tcW w:w="510" w:type="dxa"/>
            <w:tcBorders>
              <w:top w:val="nil"/>
              <w:left w:val="nil"/>
              <w:bottom w:val="nil"/>
              <w:right w:val="nil"/>
            </w:tcBorders>
          </w:tcPr>
          <w:p>
            <w:pPr>
              <w:pStyle w:val="TableParagraph"/>
              <w:spacing w:before="22"/>
              <w:ind w:right="85"/>
              <w:rPr>
                <w:sz w:val="17"/>
              </w:rPr>
            </w:pPr>
            <w:r>
              <w:rPr>
                <w:w w:val="84"/>
                <w:sz w:val="17"/>
              </w:rPr>
              <w:t>0</w:t>
            </w:r>
          </w:p>
        </w:tc>
        <w:tc>
          <w:tcPr>
            <w:tcW w:w="554" w:type="dxa"/>
            <w:tcBorders>
              <w:top w:val="nil"/>
              <w:left w:val="nil"/>
              <w:bottom w:val="nil"/>
              <w:right w:val="nil"/>
            </w:tcBorders>
          </w:tcPr>
          <w:p>
            <w:pPr>
              <w:pStyle w:val="TableParagraph"/>
              <w:spacing w:before="22"/>
              <w:ind w:right="64"/>
              <w:rPr>
                <w:sz w:val="17"/>
              </w:rPr>
            </w:pPr>
            <w:r>
              <w:rPr>
                <w:w w:val="85"/>
                <w:sz w:val="17"/>
              </w:rPr>
              <w:t>7.5</w:t>
            </w:r>
          </w:p>
        </w:tc>
        <w:tc>
          <w:tcPr>
            <w:tcW w:w="449" w:type="dxa"/>
            <w:tcBorders>
              <w:top w:val="nil"/>
              <w:left w:val="nil"/>
              <w:bottom w:val="nil"/>
              <w:right w:val="nil"/>
            </w:tcBorders>
          </w:tcPr>
          <w:p>
            <w:pPr>
              <w:pStyle w:val="TableParagraph"/>
              <w:spacing w:before="22"/>
              <w:ind w:right="52"/>
              <w:rPr>
                <w:sz w:val="17"/>
              </w:rPr>
            </w:pPr>
            <w:r>
              <w:rPr>
                <w:w w:val="85"/>
                <w:sz w:val="17"/>
              </w:rPr>
              <w:t>6.7</w:t>
            </w:r>
          </w:p>
        </w:tc>
      </w:tr>
      <w:tr>
        <w:trPr>
          <w:trHeight w:val="257" w:hRule="exact"/>
        </w:trPr>
        <w:tc>
          <w:tcPr>
            <w:tcW w:w="1616" w:type="dxa"/>
            <w:tcBorders>
              <w:top w:val="nil"/>
              <w:left w:val="nil"/>
              <w:bottom w:val="nil"/>
              <w:right w:val="nil"/>
            </w:tcBorders>
          </w:tcPr>
          <w:p>
            <w:pPr>
              <w:pStyle w:val="TableParagraph"/>
              <w:spacing w:before="25"/>
              <w:ind w:left="58" w:right="151"/>
              <w:jc w:val="left"/>
              <w:rPr>
                <w:sz w:val="17"/>
              </w:rPr>
            </w:pPr>
            <w:r>
              <w:rPr>
                <w:w w:val="95"/>
                <w:sz w:val="17"/>
              </w:rPr>
              <w:t>Sí</w:t>
            </w:r>
          </w:p>
        </w:tc>
        <w:tc>
          <w:tcPr>
            <w:tcW w:w="461" w:type="dxa"/>
            <w:tcBorders>
              <w:top w:val="nil"/>
              <w:left w:val="nil"/>
              <w:bottom w:val="nil"/>
              <w:right w:val="nil"/>
            </w:tcBorders>
          </w:tcPr>
          <w:p>
            <w:pPr>
              <w:pStyle w:val="TableParagraph"/>
              <w:spacing w:before="25"/>
              <w:ind w:right="85"/>
              <w:rPr>
                <w:sz w:val="17"/>
              </w:rPr>
            </w:pPr>
            <w:r>
              <w:rPr>
                <w:w w:val="85"/>
                <w:sz w:val="17"/>
              </w:rPr>
              <w:t>5.6</w:t>
            </w:r>
          </w:p>
        </w:tc>
        <w:tc>
          <w:tcPr>
            <w:tcW w:w="574" w:type="dxa"/>
            <w:tcBorders>
              <w:top w:val="nil"/>
              <w:left w:val="nil"/>
              <w:bottom w:val="nil"/>
              <w:right w:val="nil"/>
            </w:tcBorders>
          </w:tcPr>
          <w:p>
            <w:pPr>
              <w:pStyle w:val="TableParagraph"/>
              <w:spacing w:before="25"/>
              <w:ind w:right="83"/>
              <w:rPr>
                <w:sz w:val="17"/>
              </w:rPr>
            </w:pPr>
            <w:r>
              <w:rPr>
                <w:w w:val="85"/>
                <w:sz w:val="17"/>
              </w:rPr>
              <w:t>24.9</w:t>
            </w:r>
          </w:p>
        </w:tc>
        <w:tc>
          <w:tcPr>
            <w:tcW w:w="544" w:type="dxa"/>
            <w:tcBorders>
              <w:top w:val="nil"/>
              <w:left w:val="nil"/>
              <w:bottom w:val="nil"/>
              <w:right w:val="nil"/>
            </w:tcBorders>
          </w:tcPr>
          <w:p>
            <w:pPr>
              <w:pStyle w:val="TableParagraph"/>
              <w:spacing w:before="25"/>
              <w:ind w:right="56"/>
              <w:rPr>
                <w:sz w:val="17"/>
              </w:rPr>
            </w:pPr>
            <w:r>
              <w:rPr>
                <w:w w:val="85"/>
                <w:sz w:val="17"/>
              </w:rPr>
              <w:t>24.8</w:t>
            </w:r>
          </w:p>
        </w:tc>
        <w:tc>
          <w:tcPr>
            <w:tcW w:w="1818" w:type="dxa"/>
            <w:tcBorders>
              <w:top w:val="nil"/>
              <w:left w:val="nil"/>
              <w:bottom w:val="nil"/>
              <w:right w:val="nil"/>
            </w:tcBorders>
          </w:tcPr>
          <w:p>
            <w:pPr>
              <w:pStyle w:val="TableParagraph"/>
              <w:spacing w:before="25"/>
              <w:ind w:left="94" w:right="198"/>
              <w:jc w:val="left"/>
              <w:rPr>
                <w:sz w:val="17"/>
              </w:rPr>
            </w:pPr>
            <w:r>
              <w:rPr>
                <w:w w:val="95"/>
                <w:sz w:val="17"/>
              </w:rPr>
              <w:t>So</w:t>
            </w:r>
          </w:p>
        </w:tc>
        <w:tc>
          <w:tcPr>
            <w:tcW w:w="510" w:type="dxa"/>
            <w:tcBorders>
              <w:top w:val="nil"/>
              <w:left w:val="nil"/>
              <w:bottom w:val="nil"/>
              <w:right w:val="nil"/>
            </w:tcBorders>
          </w:tcPr>
          <w:p>
            <w:pPr>
              <w:pStyle w:val="TableParagraph"/>
              <w:spacing w:before="25"/>
              <w:ind w:right="85"/>
              <w:rPr>
                <w:sz w:val="17"/>
              </w:rPr>
            </w:pPr>
            <w:r>
              <w:rPr>
                <w:w w:val="84"/>
                <w:sz w:val="17"/>
              </w:rPr>
              <w:t>0</w:t>
            </w:r>
          </w:p>
        </w:tc>
        <w:tc>
          <w:tcPr>
            <w:tcW w:w="554" w:type="dxa"/>
            <w:tcBorders>
              <w:top w:val="nil"/>
              <w:left w:val="nil"/>
              <w:bottom w:val="nil"/>
              <w:right w:val="nil"/>
            </w:tcBorders>
          </w:tcPr>
          <w:p>
            <w:pPr>
              <w:pStyle w:val="TableParagraph"/>
              <w:spacing w:before="25"/>
              <w:ind w:right="64"/>
              <w:rPr>
                <w:sz w:val="17"/>
              </w:rPr>
            </w:pPr>
            <w:r>
              <w:rPr>
                <w:w w:val="85"/>
                <w:sz w:val="17"/>
              </w:rPr>
              <w:t>9.5</w:t>
            </w:r>
          </w:p>
        </w:tc>
        <w:tc>
          <w:tcPr>
            <w:tcW w:w="449" w:type="dxa"/>
            <w:tcBorders>
              <w:top w:val="nil"/>
              <w:left w:val="nil"/>
              <w:bottom w:val="nil"/>
              <w:right w:val="nil"/>
            </w:tcBorders>
          </w:tcPr>
          <w:p>
            <w:pPr>
              <w:pStyle w:val="TableParagraph"/>
              <w:spacing w:before="25"/>
              <w:ind w:right="52"/>
              <w:rPr>
                <w:sz w:val="17"/>
              </w:rPr>
            </w:pPr>
            <w:r>
              <w:rPr>
                <w:w w:val="85"/>
                <w:sz w:val="17"/>
              </w:rPr>
              <w:t>8.9</w:t>
            </w:r>
          </w:p>
        </w:tc>
      </w:tr>
      <w:tr>
        <w:trPr>
          <w:trHeight w:val="254" w:hRule="exact"/>
        </w:trPr>
        <w:tc>
          <w:tcPr>
            <w:tcW w:w="1616" w:type="dxa"/>
            <w:tcBorders>
              <w:top w:val="nil"/>
              <w:left w:val="nil"/>
              <w:bottom w:val="nil"/>
              <w:right w:val="nil"/>
            </w:tcBorders>
          </w:tcPr>
          <w:p>
            <w:pPr>
              <w:pStyle w:val="TableParagraph"/>
              <w:spacing w:before="22"/>
              <w:ind w:left="58" w:right="151"/>
              <w:jc w:val="left"/>
              <w:rPr>
                <w:sz w:val="17"/>
              </w:rPr>
            </w:pPr>
            <w:r>
              <w:rPr>
                <w:w w:val="95"/>
                <w:sz w:val="17"/>
              </w:rPr>
              <w:t>No</w:t>
            </w:r>
          </w:p>
        </w:tc>
        <w:tc>
          <w:tcPr>
            <w:tcW w:w="461" w:type="dxa"/>
            <w:tcBorders>
              <w:top w:val="nil"/>
              <w:left w:val="nil"/>
              <w:bottom w:val="nil"/>
              <w:right w:val="nil"/>
            </w:tcBorders>
          </w:tcPr>
          <w:p>
            <w:pPr>
              <w:pStyle w:val="TableParagraph"/>
              <w:spacing w:before="22"/>
              <w:ind w:right="86"/>
              <w:rPr>
                <w:sz w:val="17"/>
              </w:rPr>
            </w:pPr>
            <w:r>
              <w:rPr>
                <w:w w:val="85"/>
                <w:sz w:val="17"/>
              </w:rPr>
              <w:t>94.4</w:t>
            </w:r>
          </w:p>
        </w:tc>
        <w:tc>
          <w:tcPr>
            <w:tcW w:w="574" w:type="dxa"/>
            <w:tcBorders>
              <w:top w:val="nil"/>
              <w:left w:val="nil"/>
              <w:bottom w:val="nil"/>
              <w:right w:val="nil"/>
            </w:tcBorders>
          </w:tcPr>
          <w:p>
            <w:pPr>
              <w:pStyle w:val="TableParagraph"/>
              <w:spacing w:before="22"/>
              <w:ind w:right="83"/>
              <w:rPr>
                <w:sz w:val="17"/>
              </w:rPr>
            </w:pPr>
            <w:r>
              <w:rPr>
                <w:w w:val="85"/>
                <w:sz w:val="17"/>
              </w:rPr>
              <w:t>53.8</w:t>
            </w:r>
          </w:p>
        </w:tc>
        <w:tc>
          <w:tcPr>
            <w:tcW w:w="544" w:type="dxa"/>
            <w:tcBorders>
              <w:top w:val="nil"/>
              <w:left w:val="nil"/>
              <w:bottom w:val="nil"/>
              <w:right w:val="nil"/>
            </w:tcBorders>
          </w:tcPr>
          <w:p>
            <w:pPr>
              <w:pStyle w:val="TableParagraph"/>
              <w:spacing w:before="22"/>
              <w:ind w:right="56"/>
              <w:rPr>
                <w:sz w:val="17"/>
              </w:rPr>
            </w:pPr>
            <w:r>
              <w:rPr>
                <w:w w:val="85"/>
                <w:sz w:val="17"/>
              </w:rPr>
              <w:t>54.1</w:t>
            </w:r>
          </w:p>
        </w:tc>
        <w:tc>
          <w:tcPr>
            <w:tcW w:w="1818" w:type="dxa"/>
            <w:tcBorders>
              <w:top w:val="nil"/>
              <w:left w:val="nil"/>
              <w:bottom w:val="nil"/>
              <w:right w:val="nil"/>
            </w:tcBorders>
          </w:tcPr>
          <w:p>
            <w:pPr>
              <w:pStyle w:val="TableParagraph"/>
              <w:spacing w:before="22"/>
              <w:ind w:left="94" w:right="198"/>
              <w:jc w:val="left"/>
              <w:rPr>
                <w:sz w:val="17"/>
              </w:rPr>
            </w:pPr>
            <w:r>
              <w:rPr>
                <w:w w:val="95"/>
                <w:sz w:val="17"/>
              </w:rPr>
              <w:t>No</w:t>
            </w:r>
          </w:p>
        </w:tc>
        <w:tc>
          <w:tcPr>
            <w:tcW w:w="510" w:type="dxa"/>
            <w:tcBorders>
              <w:top w:val="nil"/>
              <w:left w:val="nil"/>
              <w:bottom w:val="nil"/>
              <w:right w:val="nil"/>
            </w:tcBorders>
          </w:tcPr>
          <w:p>
            <w:pPr>
              <w:pStyle w:val="TableParagraph"/>
              <w:spacing w:before="22"/>
              <w:ind w:right="85"/>
              <w:rPr>
                <w:sz w:val="17"/>
              </w:rPr>
            </w:pPr>
            <w:r>
              <w:rPr>
                <w:w w:val="85"/>
                <w:sz w:val="17"/>
              </w:rPr>
              <w:t>33.9</w:t>
            </w:r>
          </w:p>
        </w:tc>
        <w:tc>
          <w:tcPr>
            <w:tcW w:w="554" w:type="dxa"/>
            <w:tcBorders>
              <w:top w:val="nil"/>
              <w:left w:val="nil"/>
              <w:bottom w:val="nil"/>
              <w:right w:val="nil"/>
            </w:tcBorders>
          </w:tcPr>
          <w:p>
            <w:pPr>
              <w:pStyle w:val="TableParagraph"/>
              <w:spacing w:before="22"/>
              <w:ind w:right="65"/>
              <w:rPr>
                <w:sz w:val="17"/>
              </w:rPr>
            </w:pPr>
            <w:r>
              <w:rPr>
                <w:w w:val="85"/>
                <w:sz w:val="17"/>
              </w:rPr>
              <w:t>62.1</w:t>
            </w:r>
          </w:p>
        </w:tc>
        <w:tc>
          <w:tcPr>
            <w:tcW w:w="449" w:type="dxa"/>
            <w:tcBorders>
              <w:top w:val="nil"/>
              <w:left w:val="nil"/>
              <w:bottom w:val="nil"/>
              <w:right w:val="nil"/>
            </w:tcBorders>
          </w:tcPr>
          <w:p>
            <w:pPr>
              <w:pStyle w:val="TableParagraph"/>
              <w:spacing w:before="22"/>
              <w:ind w:right="53"/>
              <w:rPr>
                <w:sz w:val="17"/>
              </w:rPr>
            </w:pPr>
            <w:r>
              <w:rPr>
                <w:w w:val="85"/>
                <w:sz w:val="17"/>
              </w:rPr>
              <w:t>60.7</w:t>
            </w:r>
          </w:p>
        </w:tc>
      </w:tr>
      <w:tr>
        <w:trPr>
          <w:trHeight w:val="216" w:hRule="exact"/>
        </w:trPr>
        <w:tc>
          <w:tcPr>
            <w:tcW w:w="1616" w:type="dxa"/>
            <w:tcBorders>
              <w:top w:val="nil"/>
              <w:left w:val="nil"/>
              <w:bottom w:val="nil"/>
              <w:right w:val="nil"/>
            </w:tcBorders>
          </w:tcPr>
          <w:p>
            <w:pPr>
              <w:pStyle w:val="TableParagraph"/>
              <w:spacing w:before="22"/>
              <w:ind w:left="21" w:right="151"/>
              <w:jc w:val="left"/>
              <w:rPr>
                <w:sz w:val="17"/>
              </w:rPr>
            </w:pPr>
            <w:r>
              <w:rPr>
                <w:w w:val="95"/>
                <w:sz w:val="17"/>
              </w:rPr>
              <w:t>Total</w:t>
            </w:r>
          </w:p>
        </w:tc>
        <w:tc>
          <w:tcPr>
            <w:tcW w:w="461" w:type="dxa"/>
            <w:tcBorders>
              <w:top w:val="nil"/>
              <w:left w:val="nil"/>
              <w:bottom w:val="nil"/>
              <w:right w:val="nil"/>
            </w:tcBorders>
          </w:tcPr>
          <w:p>
            <w:pPr>
              <w:pStyle w:val="TableParagraph"/>
              <w:spacing w:before="22"/>
              <w:ind w:right="85"/>
              <w:rPr>
                <w:sz w:val="17"/>
              </w:rPr>
            </w:pPr>
            <w:r>
              <w:rPr>
                <w:w w:val="85"/>
                <w:sz w:val="17"/>
              </w:rPr>
              <w:t>100</w:t>
            </w:r>
          </w:p>
        </w:tc>
        <w:tc>
          <w:tcPr>
            <w:tcW w:w="574" w:type="dxa"/>
            <w:tcBorders>
              <w:top w:val="nil"/>
              <w:left w:val="nil"/>
              <w:bottom w:val="nil"/>
              <w:right w:val="nil"/>
            </w:tcBorders>
          </w:tcPr>
          <w:p>
            <w:pPr>
              <w:pStyle w:val="TableParagraph"/>
              <w:spacing w:before="22"/>
              <w:ind w:right="82"/>
              <w:rPr>
                <w:sz w:val="17"/>
              </w:rPr>
            </w:pPr>
            <w:r>
              <w:rPr>
                <w:w w:val="85"/>
                <w:sz w:val="17"/>
              </w:rPr>
              <w:t>100</w:t>
            </w:r>
          </w:p>
        </w:tc>
        <w:tc>
          <w:tcPr>
            <w:tcW w:w="544" w:type="dxa"/>
            <w:tcBorders>
              <w:top w:val="nil"/>
              <w:left w:val="nil"/>
              <w:bottom w:val="nil"/>
              <w:right w:val="nil"/>
            </w:tcBorders>
          </w:tcPr>
          <w:p>
            <w:pPr>
              <w:pStyle w:val="TableParagraph"/>
              <w:spacing w:before="22"/>
              <w:ind w:right="55"/>
              <w:rPr>
                <w:sz w:val="17"/>
              </w:rPr>
            </w:pPr>
            <w:r>
              <w:rPr>
                <w:w w:val="85"/>
                <w:sz w:val="17"/>
              </w:rPr>
              <w:t>100</w:t>
            </w:r>
          </w:p>
        </w:tc>
        <w:tc>
          <w:tcPr>
            <w:tcW w:w="1818" w:type="dxa"/>
            <w:tcBorders>
              <w:top w:val="nil"/>
              <w:left w:val="nil"/>
              <w:bottom w:val="nil"/>
              <w:right w:val="nil"/>
            </w:tcBorders>
          </w:tcPr>
          <w:p>
            <w:pPr>
              <w:pStyle w:val="TableParagraph"/>
              <w:spacing w:before="22"/>
              <w:ind w:left="57" w:right="198"/>
              <w:jc w:val="left"/>
              <w:rPr>
                <w:sz w:val="17"/>
              </w:rPr>
            </w:pPr>
            <w:r>
              <w:rPr>
                <w:w w:val="95"/>
                <w:sz w:val="17"/>
              </w:rPr>
              <w:t>Total</w:t>
            </w:r>
          </w:p>
        </w:tc>
        <w:tc>
          <w:tcPr>
            <w:tcW w:w="510" w:type="dxa"/>
            <w:tcBorders>
              <w:top w:val="nil"/>
              <w:left w:val="nil"/>
              <w:bottom w:val="nil"/>
              <w:right w:val="nil"/>
            </w:tcBorders>
          </w:tcPr>
          <w:p>
            <w:pPr>
              <w:pStyle w:val="TableParagraph"/>
              <w:spacing w:before="22"/>
              <w:ind w:right="84"/>
              <w:rPr>
                <w:sz w:val="17"/>
              </w:rPr>
            </w:pPr>
            <w:r>
              <w:rPr>
                <w:w w:val="85"/>
                <w:sz w:val="17"/>
              </w:rPr>
              <w:t>100</w:t>
            </w:r>
          </w:p>
        </w:tc>
        <w:tc>
          <w:tcPr>
            <w:tcW w:w="554" w:type="dxa"/>
            <w:tcBorders>
              <w:top w:val="nil"/>
              <w:left w:val="nil"/>
              <w:bottom w:val="nil"/>
              <w:right w:val="nil"/>
            </w:tcBorders>
          </w:tcPr>
          <w:p>
            <w:pPr>
              <w:pStyle w:val="TableParagraph"/>
              <w:spacing w:before="22"/>
              <w:ind w:right="64"/>
              <w:rPr>
                <w:sz w:val="17"/>
              </w:rPr>
            </w:pPr>
            <w:r>
              <w:rPr>
                <w:w w:val="85"/>
                <w:sz w:val="17"/>
              </w:rPr>
              <w:t>100</w:t>
            </w:r>
          </w:p>
        </w:tc>
        <w:tc>
          <w:tcPr>
            <w:tcW w:w="449" w:type="dxa"/>
            <w:tcBorders>
              <w:top w:val="nil"/>
              <w:left w:val="nil"/>
              <w:bottom w:val="nil"/>
              <w:right w:val="nil"/>
            </w:tcBorders>
          </w:tcPr>
          <w:p>
            <w:pPr>
              <w:pStyle w:val="TableParagraph"/>
              <w:spacing w:before="22"/>
              <w:ind w:right="52"/>
              <w:rPr>
                <w:sz w:val="17"/>
              </w:rPr>
            </w:pPr>
            <w:r>
              <w:rPr>
                <w:w w:val="85"/>
                <w:sz w:val="17"/>
              </w:rPr>
              <w:t>100</w:t>
            </w:r>
          </w:p>
        </w:tc>
      </w:tr>
      <w:tr>
        <w:trPr>
          <w:trHeight w:val="245" w:hRule="exact"/>
        </w:trPr>
        <w:tc>
          <w:tcPr>
            <w:tcW w:w="6527" w:type="dxa"/>
            <w:gridSpan w:val="8"/>
            <w:tcBorders>
              <w:top w:val="nil"/>
              <w:left w:val="nil"/>
              <w:bottom w:val="nil"/>
              <w:right w:val="nil"/>
            </w:tcBorders>
          </w:tcPr>
          <w:p>
            <w:pPr>
              <w:pStyle w:val="TableParagraph"/>
              <w:spacing w:before="13"/>
              <w:ind w:left="21"/>
              <w:jc w:val="left"/>
              <w:rPr>
                <w:i/>
                <w:sz w:val="17"/>
              </w:rPr>
            </w:pPr>
            <w:r>
              <w:rPr>
                <w:i/>
                <w:w w:val="90"/>
                <w:sz w:val="17"/>
              </w:rPr>
              <w:t>Cuanto ganaba en ese trabajo</w:t>
            </w:r>
          </w:p>
        </w:tc>
      </w:tr>
      <w:tr>
        <w:trPr>
          <w:trHeight w:val="334" w:hRule="exact"/>
        </w:trPr>
        <w:tc>
          <w:tcPr>
            <w:tcW w:w="2077" w:type="dxa"/>
            <w:gridSpan w:val="2"/>
            <w:tcBorders>
              <w:top w:val="nil"/>
              <w:left w:val="nil"/>
              <w:bottom w:val="nil"/>
              <w:right w:val="nil"/>
            </w:tcBorders>
          </w:tcPr>
          <w:p>
            <w:pPr>
              <w:pStyle w:val="TableParagraph"/>
              <w:spacing w:before="22"/>
              <w:ind w:right="86"/>
              <w:rPr>
                <w:sz w:val="17"/>
              </w:rPr>
            </w:pPr>
            <w:r>
              <w:rPr>
                <w:w w:val="85"/>
                <w:sz w:val="17"/>
              </w:rPr>
              <w:t>435.2</w:t>
            </w:r>
          </w:p>
        </w:tc>
        <w:tc>
          <w:tcPr>
            <w:tcW w:w="574" w:type="dxa"/>
            <w:tcBorders>
              <w:top w:val="nil"/>
              <w:left w:val="nil"/>
              <w:bottom w:val="nil"/>
              <w:right w:val="nil"/>
            </w:tcBorders>
          </w:tcPr>
          <w:p>
            <w:pPr>
              <w:pStyle w:val="TableParagraph"/>
              <w:spacing w:before="22"/>
              <w:ind w:right="83"/>
              <w:rPr>
                <w:sz w:val="17"/>
              </w:rPr>
            </w:pPr>
            <w:r>
              <w:rPr>
                <w:w w:val="85"/>
                <w:sz w:val="17"/>
              </w:rPr>
              <w:t>4381.4</w:t>
            </w:r>
          </w:p>
        </w:tc>
        <w:tc>
          <w:tcPr>
            <w:tcW w:w="544" w:type="dxa"/>
            <w:tcBorders>
              <w:top w:val="nil"/>
              <w:left w:val="nil"/>
              <w:bottom w:val="nil"/>
              <w:right w:val="nil"/>
            </w:tcBorders>
          </w:tcPr>
          <w:p>
            <w:pPr>
              <w:pStyle w:val="TableParagraph"/>
              <w:spacing w:before="22"/>
              <w:ind w:right="56"/>
              <w:rPr>
                <w:sz w:val="17"/>
              </w:rPr>
            </w:pPr>
            <w:r>
              <w:rPr>
                <w:w w:val="85"/>
                <w:sz w:val="17"/>
              </w:rPr>
              <w:t>4356.5</w:t>
            </w:r>
          </w:p>
        </w:tc>
        <w:tc>
          <w:tcPr>
            <w:tcW w:w="2328" w:type="dxa"/>
            <w:gridSpan w:val="2"/>
            <w:tcBorders>
              <w:top w:val="nil"/>
              <w:left w:val="nil"/>
              <w:bottom w:val="nil"/>
              <w:right w:val="nil"/>
            </w:tcBorders>
          </w:tcPr>
          <w:p>
            <w:pPr>
              <w:pStyle w:val="TableParagraph"/>
              <w:spacing w:before="22"/>
              <w:ind w:right="85"/>
              <w:rPr>
                <w:sz w:val="17"/>
              </w:rPr>
            </w:pPr>
            <w:r>
              <w:rPr>
                <w:w w:val="85"/>
                <w:sz w:val="17"/>
              </w:rPr>
              <w:t>234.2</w:t>
            </w:r>
          </w:p>
        </w:tc>
        <w:tc>
          <w:tcPr>
            <w:tcW w:w="554" w:type="dxa"/>
            <w:tcBorders>
              <w:top w:val="nil"/>
              <w:left w:val="nil"/>
              <w:bottom w:val="nil"/>
              <w:right w:val="nil"/>
            </w:tcBorders>
          </w:tcPr>
          <w:p>
            <w:pPr>
              <w:pStyle w:val="TableParagraph"/>
              <w:spacing w:before="22"/>
              <w:ind w:right="65"/>
              <w:rPr>
                <w:sz w:val="17"/>
              </w:rPr>
            </w:pPr>
            <w:r>
              <w:rPr>
                <w:w w:val="85"/>
                <w:sz w:val="17"/>
              </w:rPr>
              <w:t>1003.4</w:t>
            </w:r>
          </w:p>
        </w:tc>
        <w:tc>
          <w:tcPr>
            <w:tcW w:w="449" w:type="dxa"/>
            <w:tcBorders>
              <w:top w:val="nil"/>
              <w:left w:val="nil"/>
              <w:bottom w:val="nil"/>
              <w:right w:val="nil"/>
            </w:tcBorders>
          </w:tcPr>
          <w:p>
            <w:pPr>
              <w:pStyle w:val="TableParagraph"/>
              <w:spacing w:before="22"/>
              <w:ind w:right="53"/>
              <w:rPr>
                <w:sz w:val="17"/>
              </w:rPr>
            </w:pPr>
            <w:r>
              <w:rPr>
                <w:w w:val="85"/>
                <w:sz w:val="17"/>
              </w:rPr>
              <w:t>964.1</w:t>
            </w:r>
          </w:p>
        </w:tc>
      </w:tr>
      <w:tr>
        <w:trPr>
          <w:trHeight w:val="542" w:hRule="exact"/>
        </w:trPr>
        <w:tc>
          <w:tcPr>
            <w:tcW w:w="1616" w:type="dxa"/>
            <w:tcBorders>
              <w:top w:val="nil"/>
              <w:left w:val="nil"/>
              <w:bottom w:val="nil"/>
              <w:right w:val="nil"/>
            </w:tcBorders>
          </w:tcPr>
          <w:p>
            <w:pPr>
              <w:pStyle w:val="TableParagraph"/>
              <w:spacing w:line="254" w:lineRule="auto" w:before="101"/>
              <w:ind w:left="21" w:right="800"/>
              <w:jc w:val="left"/>
              <w:rPr>
                <w:sz w:val="17"/>
              </w:rPr>
            </w:pPr>
            <w:r>
              <w:rPr>
                <w:w w:val="85"/>
                <w:sz w:val="17"/>
                <w:u w:val="single"/>
              </w:rPr>
              <w:t>Condición de </w:t>
            </w:r>
            <w:r>
              <w:rPr>
                <w:w w:val="95"/>
                <w:sz w:val="17"/>
                <w:u w:val="single"/>
              </w:rPr>
              <w:t>Compañía</w:t>
            </w:r>
          </w:p>
        </w:tc>
        <w:tc>
          <w:tcPr>
            <w:tcW w:w="461" w:type="dxa"/>
            <w:tcBorders>
              <w:top w:val="nil"/>
              <w:left w:val="nil"/>
              <w:bottom w:val="nil"/>
              <w:right w:val="nil"/>
            </w:tcBorders>
          </w:tcPr>
          <w:p>
            <w:pPr/>
          </w:p>
        </w:tc>
        <w:tc>
          <w:tcPr>
            <w:tcW w:w="574" w:type="dxa"/>
            <w:tcBorders>
              <w:top w:val="nil"/>
              <w:left w:val="nil"/>
              <w:bottom w:val="nil"/>
              <w:right w:val="nil"/>
            </w:tcBorders>
          </w:tcPr>
          <w:p>
            <w:pPr/>
          </w:p>
        </w:tc>
        <w:tc>
          <w:tcPr>
            <w:tcW w:w="544" w:type="dxa"/>
            <w:tcBorders>
              <w:top w:val="nil"/>
              <w:left w:val="nil"/>
              <w:bottom w:val="nil"/>
              <w:right w:val="nil"/>
            </w:tcBorders>
          </w:tcPr>
          <w:p>
            <w:pPr/>
          </w:p>
        </w:tc>
        <w:tc>
          <w:tcPr>
            <w:tcW w:w="1818" w:type="dxa"/>
            <w:tcBorders>
              <w:top w:val="nil"/>
              <w:left w:val="nil"/>
              <w:bottom w:val="nil"/>
              <w:right w:val="nil"/>
            </w:tcBorders>
          </w:tcPr>
          <w:p>
            <w:pPr>
              <w:pStyle w:val="TableParagraph"/>
              <w:spacing w:before="9"/>
              <w:jc w:val="left"/>
              <w:rPr>
                <w:sz w:val="26"/>
              </w:rPr>
            </w:pPr>
          </w:p>
          <w:p>
            <w:pPr>
              <w:pStyle w:val="TableParagraph"/>
              <w:ind w:left="57" w:right="198"/>
              <w:jc w:val="left"/>
              <w:rPr>
                <w:sz w:val="17"/>
              </w:rPr>
            </w:pPr>
            <w:r>
              <w:rPr>
                <w:w w:val="85"/>
                <w:sz w:val="17"/>
              </w:rPr>
              <w:t>Condición de compañía</w:t>
            </w:r>
          </w:p>
        </w:tc>
        <w:tc>
          <w:tcPr>
            <w:tcW w:w="510" w:type="dxa"/>
            <w:tcBorders>
              <w:top w:val="nil"/>
              <w:left w:val="nil"/>
              <w:bottom w:val="nil"/>
              <w:right w:val="nil"/>
            </w:tcBorders>
          </w:tcPr>
          <w:p>
            <w:pPr/>
          </w:p>
        </w:tc>
        <w:tc>
          <w:tcPr>
            <w:tcW w:w="554" w:type="dxa"/>
            <w:tcBorders>
              <w:top w:val="nil"/>
              <w:left w:val="nil"/>
              <w:bottom w:val="nil"/>
              <w:right w:val="nil"/>
            </w:tcBorders>
          </w:tcPr>
          <w:p>
            <w:pPr/>
          </w:p>
        </w:tc>
        <w:tc>
          <w:tcPr>
            <w:tcW w:w="449" w:type="dxa"/>
            <w:tcBorders>
              <w:top w:val="nil"/>
              <w:left w:val="nil"/>
              <w:bottom w:val="nil"/>
              <w:right w:val="nil"/>
            </w:tcBorders>
          </w:tcPr>
          <w:p>
            <w:pPr/>
          </w:p>
        </w:tc>
      </w:tr>
      <w:tr>
        <w:trPr>
          <w:trHeight w:val="257" w:hRule="exact"/>
        </w:trPr>
        <w:tc>
          <w:tcPr>
            <w:tcW w:w="1616" w:type="dxa"/>
            <w:tcBorders>
              <w:top w:val="nil"/>
              <w:left w:val="nil"/>
              <w:bottom w:val="nil"/>
              <w:right w:val="nil"/>
            </w:tcBorders>
          </w:tcPr>
          <w:p>
            <w:pPr>
              <w:pStyle w:val="TableParagraph"/>
              <w:spacing w:before="25"/>
              <w:ind w:left="21" w:right="151"/>
              <w:jc w:val="left"/>
              <w:rPr>
                <w:sz w:val="17"/>
              </w:rPr>
            </w:pPr>
            <w:r>
              <w:rPr>
                <w:w w:val="95"/>
                <w:sz w:val="17"/>
              </w:rPr>
              <w:t>solo</w:t>
            </w:r>
          </w:p>
        </w:tc>
        <w:tc>
          <w:tcPr>
            <w:tcW w:w="461" w:type="dxa"/>
            <w:tcBorders>
              <w:top w:val="nil"/>
              <w:left w:val="nil"/>
              <w:bottom w:val="nil"/>
              <w:right w:val="nil"/>
            </w:tcBorders>
          </w:tcPr>
          <w:p>
            <w:pPr>
              <w:pStyle w:val="TableParagraph"/>
              <w:spacing w:before="25"/>
              <w:ind w:right="86"/>
              <w:rPr>
                <w:sz w:val="17"/>
              </w:rPr>
            </w:pPr>
            <w:r>
              <w:rPr>
                <w:w w:val="85"/>
                <w:sz w:val="17"/>
              </w:rPr>
              <w:t>95.6</w:t>
            </w:r>
          </w:p>
        </w:tc>
        <w:tc>
          <w:tcPr>
            <w:tcW w:w="574" w:type="dxa"/>
            <w:tcBorders>
              <w:top w:val="nil"/>
              <w:left w:val="nil"/>
              <w:bottom w:val="nil"/>
              <w:right w:val="nil"/>
            </w:tcBorders>
          </w:tcPr>
          <w:p>
            <w:pPr>
              <w:pStyle w:val="TableParagraph"/>
              <w:spacing w:before="25"/>
              <w:ind w:right="83"/>
              <w:rPr>
                <w:sz w:val="17"/>
              </w:rPr>
            </w:pPr>
            <w:r>
              <w:rPr>
                <w:w w:val="85"/>
                <w:sz w:val="17"/>
              </w:rPr>
              <w:t>42.5</w:t>
            </w:r>
          </w:p>
        </w:tc>
        <w:tc>
          <w:tcPr>
            <w:tcW w:w="544" w:type="dxa"/>
            <w:tcBorders>
              <w:top w:val="nil"/>
              <w:left w:val="nil"/>
              <w:bottom w:val="nil"/>
              <w:right w:val="nil"/>
            </w:tcBorders>
          </w:tcPr>
          <w:p>
            <w:pPr>
              <w:pStyle w:val="TableParagraph"/>
              <w:spacing w:before="25"/>
              <w:ind w:right="55"/>
              <w:rPr>
                <w:sz w:val="17"/>
              </w:rPr>
            </w:pPr>
            <w:r>
              <w:rPr>
                <w:w w:val="85"/>
                <w:sz w:val="17"/>
              </w:rPr>
              <w:t>42.28</w:t>
            </w:r>
          </w:p>
        </w:tc>
        <w:tc>
          <w:tcPr>
            <w:tcW w:w="1818" w:type="dxa"/>
            <w:tcBorders>
              <w:top w:val="nil"/>
              <w:left w:val="nil"/>
              <w:bottom w:val="nil"/>
              <w:right w:val="nil"/>
            </w:tcBorders>
          </w:tcPr>
          <w:p>
            <w:pPr>
              <w:pStyle w:val="TableParagraph"/>
              <w:spacing w:before="25"/>
              <w:ind w:left="57" w:right="198"/>
              <w:jc w:val="left"/>
              <w:rPr>
                <w:sz w:val="17"/>
              </w:rPr>
            </w:pPr>
            <w:r>
              <w:rPr>
                <w:w w:val="95"/>
                <w:sz w:val="17"/>
              </w:rPr>
              <w:t>solo</w:t>
            </w:r>
          </w:p>
        </w:tc>
        <w:tc>
          <w:tcPr>
            <w:tcW w:w="510" w:type="dxa"/>
            <w:tcBorders>
              <w:top w:val="nil"/>
              <w:left w:val="nil"/>
              <w:bottom w:val="nil"/>
              <w:right w:val="nil"/>
            </w:tcBorders>
          </w:tcPr>
          <w:p>
            <w:pPr>
              <w:pStyle w:val="TableParagraph"/>
              <w:spacing w:before="25"/>
              <w:ind w:right="85"/>
              <w:rPr>
                <w:sz w:val="17"/>
              </w:rPr>
            </w:pPr>
            <w:r>
              <w:rPr>
                <w:w w:val="85"/>
                <w:sz w:val="17"/>
              </w:rPr>
              <w:t>90.8</w:t>
            </w:r>
          </w:p>
        </w:tc>
        <w:tc>
          <w:tcPr>
            <w:tcW w:w="554" w:type="dxa"/>
            <w:tcBorders>
              <w:top w:val="nil"/>
              <w:left w:val="nil"/>
              <w:bottom w:val="nil"/>
              <w:right w:val="nil"/>
            </w:tcBorders>
          </w:tcPr>
          <w:p>
            <w:pPr>
              <w:pStyle w:val="TableParagraph"/>
              <w:spacing w:before="25"/>
              <w:ind w:right="65"/>
              <w:rPr>
                <w:sz w:val="17"/>
              </w:rPr>
            </w:pPr>
            <w:r>
              <w:rPr>
                <w:w w:val="85"/>
                <w:sz w:val="17"/>
              </w:rPr>
              <w:t>60.9</w:t>
            </w:r>
          </w:p>
        </w:tc>
        <w:tc>
          <w:tcPr>
            <w:tcW w:w="449" w:type="dxa"/>
            <w:tcBorders>
              <w:top w:val="nil"/>
              <w:left w:val="nil"/>
              <w:bottom w:val="nil"/>
              <w:right w:val="nil"/>
            </w:tcBorders>
          </w:tcPr>
          <w:p>
            <w:pPr>
              <w:pStyle w:val="TableParagraph"/>
              <w:spacing w:before="25"/>
              <w:ind w:right="53"/>
              <w:rPr>
                <w:sz w:val="17"/>
              </w:rPr>
            </w:pPr>
            <w:r>
              <w:rPr>
                <w:w w:val="85"/>
                <w:sz w:val="17"/>
              </w:rPr>
              <w:t>62.5</w:t>
            </w:r>
          </w:p>
        </w:tc>
      </w:tr>
      <w:tr>
        <w:trPr>
          <w:trHeight w:val="254" w:hRule="exact"/>
        </w:trPr>
        <w:tc>
          <w:tcPr>
            <w:tcW w:w="1616" w:type="dxa"/>
            <w:tcBorders>
              <w:top w:val="nil"/>
              <w:left w:val="nil"/>
              <w:bottom w:val="nil"/>
              <w:right w:val="nil"/>
            </w:tcBorders>
          </w:tcPr>
          <w:p>
            <w:pPr>
              <w:pStyle w:val="TableParagraph"/>
              <w:spacing w:before="22"/>
              <w:ind w:left="21" w:right="151"/>
              <w:jc w:val="left"/>
              <w:rPr>
                <w:sz w:val="17"/>
              </w:rPr>
            </w:pPr>
            <w:r>
              <w:rPr>
                <w:w w:val="95"/>
                <w:sz w:val="17"/>
              </w:rPr>
              <w:t>acompañado</w:t>
            </w:r>
          </w:p>
        </w:tc>
        <w:tc>
          <w:tcPr>
            <w:tcW w:w="461" w:type="dxa"/>
            <w:tcBorders>
              <w:top w:val="nil"/>
              <w:left w:val="nil"/>
              <w:bottom w:val="nil"/>
              <w:right w:val="nil"/>
            </w:tcBorders>
          </w:tcPr>
          <w:p>
            <w:pPr>
              <w:pStyle w:val="TableParagraph"/>
              <w:spacing w:before="22"/>
              <w:ind w:right="85"/>
              <w:rPr>
                <w:sz w:val="17"/>
              </w:rPr>
            </w:pPr>
            <w:r>
              <w:rPr>
                <w:w w:val="85"/>
                <w:sz w:val="17"/>
              </w:rPr>
              <w:t>4.4</w:t>
            </w:r>
          </w:p>
        </w:tc>
        <w:tc>
          <w:tcPr>
            <w:tcW w:w="574" w:type="dxa"/>
            <w:tcBorders>
              <w:top w:val="nil"/>
              <w:left w:val="nil"/>
              <w:bottom w:val="nil"/>
              <w:right w:val="nil"/>
            </w:tcBorders>
          </w:tcPr>
          <w:p>
            <w:pPr>
              <w:pStyle w:val="TableParagraph"/>
              <w:spacing w:before="22"/>
              <w:ind w:right="83"/>
              <w:rPr>
                <w:sz w:val="17"/>
              </w:rPr>
            </w:pPr>
            <w:r>
              <w:rPr>
                <w:w w:val="85"/>
                <w:sz w:val="17"/>
              </w:rPr>
              <w:t>57.5</w:t>
            </w:r>
          </w:p>
        </w:tc>
        <w:tc>
          <w:tcPr>
            <w:tcW w:w="544" w:type="dxa"/>
            <w:tcBorders>
              <w:top w:val="nil"/>
              <w:left w:val="nil"/>
              <w:bottom w:val="nil"/>
              <w:right w:val="nil"/>
            </w:tcBorders>
          </w:tcPr>
          <w:p>
            <w:pPr>
              <w:pStyle w:val="TableParagraph"/>
              <w:spacing w:before="22"/>
              <w:ind w:right="55"/>
              <w:rPr>
                <w:sz w:val="17"/>
              </w:rPr>
            </w:pPr>
            <w:r>
              <w:rPr>
                <w:w w:val="85"/>
                <w:sz w:val="17"/>
              </w:rPr>
              <w:t>57.72</w:t>
            </w:r>
          </w:p>
        </w:tc>
        <w:tc>
          <w:tcPr>
            <w:tcW w:w="1818" w:type="dxa"/>
            <w:tcBorders>
              <w:top w:val="nil"/>
              <w:left w:val="nil"/>
              <w:bottom w:val="nil"/>
              <w:right w:val="nil"/>
            </w:tcBorders>
          </w:tcPr>
          <w:p>
            <w:pPr>
              <w:pStyle w:val="TableParagraph"/>
              <w:spacing w:before="22"/>
              <w:ind w:left="57" w:right="198"/>
              <w:jc w:val="left"/>
              <w:rPr>
                <w:sz w:val="17"/>
              </w:rPr>
            </w:pPr>
            <w:r>
              <w:rPr>
                <w:w w:val="95"/>
                <w:sz w:val="17"/>
              </w:rPr>
              <w:t>acompañado</w:t>
            </w:r>
          </w:p>
        </w:tc>
        <w:tc>
          <w:tcPr>
            <w:tcW w:w="510" w:type="dxa"/>
            <w:tcBorders>
              <w:top w:val="nil"/>
              <w:left w:val="nil"/>
              <w:bottom w:val="nil"/>
              <w:right w:val="nil"/>
            </w:tcBorders>
          </w:tcPr>
          <w:p>
            <w:pPr>
              <w:pStyle w:val="TableParagraph"/>
              <w:spacing w:before="22"/>
              <w:ind w:right="84"/>
              <w:rPr>
                <w:sz w:val="17"/>
              </w:rPr>
            </w:pPr>
            <w:r>
              <w:rPr>
                <w:w w:val="85"/>
                <w:sz w:val="17"/>
              </w:rPr>
              <w:t>9.2</w:t>
            </w:r>
          </w:p>
        </w:tc>
        <w:tc>
          <w:tcPr>
            <w:tcW w:w="554" w:type="dxa"/>
            <w:tcBorders>
              <w:top w:val="nil"/>
              <w:left w:val="nil"/>
              <w:bottom w:val="nil"/>
              <w:right w:val="nil"/>
            </w:tcBorders>
          </w:tcPr>
          <w:p>
            <w:pPr>
              <w:pStyle w:val="TableParagraph"/>
              <w:spacing w:before="22"/>
              <w:ind w:right="65"/>
              <w:rPr>
                <w:sz w:val="17"/>
              </w:rPr>
            </w:pPr>
            <w:r>
              <w:rPr>
                <w:w w:val="85"/>
                <w:sz w:val="17"/>
              </w:rPr>
              <w:t>39.1</w:t>
            </w:r>
          </w:p>
        </w:tc>
        <w:tc>
          <w:tcPr>
            <w:tcW w:w="449" w:type="dxa"/>
            <w:tcBorders>
              <w:top w:val="nil"/>
              <w:left w:val="nil"/>
              <w:bottom w:val="nil"/>
              <w:right w:val="nil"/>
            </w:tcBorders>
          </w:tcPr>
          <w:p>
            <w:pPr>
              <w:pStyle w:val="TableParagraph"/>
              <w:spacing w:before="22"/>
              <w:ind w:right="53"/>
              <w:rPr>
                <w:sz w:val="17"/>
              </w:rPr>
            </w:pPr>
            <w:r>
              <w:rPr>
                <w:w w:val="85"/>
                <w:sz w:val="17"/>
              </w:rPr>
              <w:t>37.5</w:t>
            </w:r>
          </w:p>
        </w:tc>
      </w:tr>
      <w:tr>
        <w:trPr>
          <w:trHeight w:val="647" w:hRule="exact"/>
        </w:trPr>
        <w:tc>
          <w:tcPr>
            <w:tcW w:w="1616" w:type="dxa"/>
            <w:tcBorders>
              <w:top w:val="nil"/>
              <w:left w:val="nil"/>
              <w:bottom w:val="double" w:sz="4" w:space="0" w:color="000000"/>
              <w:right w:val="nil"/>
            </w:tcBorders>
          </w:tcPr>
          <w:p>
            <w:pPr>
              <w:pStyle w:val="TableParagraph"/>
              <w:spacing w:before="22"/>
              <w:ind w:left="21" w:right="151"/>
              <w:jc w:val="left"/>
              <w:rPr>
                <w:sz w:val="17"/>
              </w:rPr>
            </w:pPr>
            <w:r>
              <w:rPr>
                <w:w w:val="95"/>
                <w:sz w:val="17"/>
              </w:rPr>
              <w:t>Total</w:t>
            </w:r>
          </w:p>
          <w:p>
            <w:pPr>
              <w:pStyle w:val="TableParagraph"/>
              <w:spacing w:line="254" w:lineRule="auto" w:before="11"/>
              <w:ind w:left="21" w:right="589"/>
              <w:jc w:val="left"/>
              <w:rPr>
                <w:sz w:val="17"/>
              </w:rPr>
            </w:pPr>
            <w:r>
              <w:rPr>
                <w:w w:val="90"/>
                <w:sz w:val="17"/>
              </w:rPr>
              <w:t>En compañía de </w:t>
            </w:r>
            <w:r>
              <w:rPr>
                <w:w w:val="95"/>
                <w:sz w:val="17"/>
              </w:rPr>
              <w:t>Familiares</w:t>
            </w:r>
          </w:p>
        </w:tc>
        <w:tc>
          <w:tcPr>
            <w:tcW w:w="461" w:type="dxa"/>
            <w:tcBorders>
              <w:top w:val="nil"/>
              <w:left w:val="nil"/>
              <w:bottom w:val="double" w:sz="4" w:space="0" w:color="000000"/>
              <w:right w:val="nil"/>
            </w:tcBorders>
          </w:tcPr>
          <w:p>
            <w:pPr>
              <w:pStyle w:val="TableParagraph"/>
              <w:spacing w:before="22"/>
              <w:ind w:right="85"/>
              <w:rPr>
                <w:sz w:val="17"/>
              </w:rPr>
            </w:pPr>
            <w:r>
              <w:rPr>
                <w:w w:val="85"/>
                <w:sz w:val="17"/>
              </w:rPr>
              <w:t>100</w:t>
            </w:r>
          </w:p>
        </w:tc>
        <w:tc>
          <w:tcPr>
            <w:tcW w:w="574" w:type="dxa"/>
            <w:tcBorders>
              <w:top w:val="nil"/>
              <w:left w:val="nil"/>
              <w:bottom w:val="double" w:sz="4" w:space="0" w:color="000000"/>
              <w:right w:val="nil"/>
            </w:tcBorders>
          </w:tcPr>
          <w:p>
            <w:pPr>
              <w:pStyle w:val="TableParagraph"/>
              <w:spacing w:before="22"/>
              <w:ind w:right="82"/>
              <w:rPr>
                <w:sz w:val="17"/>
              </w:rPr>
            </w:pPr>
            <w:r>
              <w:rPr>
                <w:w w:val="85"/>
                <w:sz w:val="17"/>
              </w:rPr>
              <w:t>100</w:t>
            </w:r>
          </w:p>
        </w:tc>
        <w:tc>
          <w:tcPr>
            <w:tcW w:w="544" w:type="dxa"/>
            <w:tcBorders>
              <w:top w:val="nil"/>
              <w:left w:val="nil"/>
              <w:bottom w:val="double" w:sz="4" w:space="0" w:color="000000"/>
              <w:right w:val="nil"/>
            </w:tcBorders>
          </w:tcPr>
          <w:p>
            <w:pPr>
              <w:pStyle w:val="TableParagraph"/>
              <w:spacing w:before="22"/>
              <w:ind w:right="55"/>
              <w:rPr>
                <w:sz w:val="17"/>
              </w:rPr>
            </w:pPr>
            <w:r>
              <w:rPr>
                <w:w w:val="85"/>
                <w:sz w:val="17"/>
              </w:rPr>
              <w:t>100</w:t>
            </w:r>
          </w:p>
        </w:tc>
        <w:tc>
          <w:tcPr>
            <w:tcW w:w="1818" w:type="dxa"/>
            <w:tcBorders>
              <w:top w:val="nil"/>
              <w:left w:val="nil"/>
              <w:bottom w:val="double" w:sz="4" w:space="0" w:color="000000"/>
              <w:right w:val="nil"/>
            </w:tcBorders>
          </w:tcPr>
          <w:p>
            <w:pPr>
              <w:pStyle w:val="TableParagraph"/>
              <w:spacing w:before="22"/>
              <w:ind w:left="57" w:right="198"/>
              <w:jc w:val="left"/>
              <w:rPr>
                <w:sz w:val="17"/>
              </w:rPr>
            </w:pPr>
            <w:r>
              <w:rPr>
                <w:w w:val="95"/>
                <w:sz w:val="17"/>
              </w:rPr>
              <w:t>Total</w:t>
            </w:r>
          </w:p>
          <w:p>
            <w:pPr>
              <w:pStyle w:val="TableParagraph"/>
              <w:spacing w:before="10"/>
              <w:jc w:val="left"/>
              <w:rPr>
                <w:sz w:val="18"/>
              </w:rPr>
            </w:pPr>
          </w:p>
          <w:p>
            <w:pPr>
              <w:pStyle w:val="TableParagraph"/>
              <w:ind w:left="57"/>
              <w:jc w:val="left"/>
              <w:rPr>
                <w:sz w:val="17"/>
              </w:rPr>
            </w:pPr>
            <w:r>
              <w:rPr>
                <w:w w:val="85"/>
                <w:sz w:val="17"/>
              </w:rPr>
              <w:t>En compañía de familiares</w:t>
            </w:r>
          </w:p>
        </w:tc>
        <w:tc>
          <w:tcPr>
            <w:tcW w:w="510" w:type="dxa"/>
            <w:tcBorders>
              <w:top w:val="nil"/>
              <w:left w:val="nil"/>
              <w:bottom w:val="double" w:sz="4" w:space="0" w:color="000000"/>
              <w:right w:val="nil"/>
            </w:tcBorders>
          </w:tcPr>
          <w:p>
            <w:pPr>
              <w:pStyle w:val="TableParagraph"/>
              <w:spacing w:before="22"/>
              <w:ind w:right="84"/>
              <w:rPr>
                <w:sz w:val="17"/>
              </w:rPr>
            </w:pPr>
            <w:r>
              <w:rPr>
                <w:w w:val="85"/>
                <w:sz w:val="17"/>
              </w:rPr>
              <w:t>100</w:t>
            </w:r>
          </w:p>
        </w:tc>
        <w:tc>
          <w:tcPr>
            <w:tcW w:w="554" w:type="dxa"/>
            <w:tcBorders>
              <w:top w:val="nil"/>
              <w:left w:val="nil"/>
              <w:bottom w:val="double" w:sz="4" w:space="0" w:color="000000"/>
              <w:right w:val="nil"/>
            </w:tcBorders>
          </w:tcPr>
          <w:p>
            <w:pPr>
              <w:pStyle w:val="TableParagraph"/>
              <w:spacing w:before="22"/>
              <w:ind w:right="64"/>
              <w:rPr>
                <w:sz w:val="17"/>
              </w:rPr>
            </w:pPr>
            <w:r>
              <w:rPr>
                <w:w w:val="85"/>
                <w:sz w:val="17"/>
              </w:rPr>
              <w:t>100</w:t>
            </w:r>
          </w:p>
        </w:tc>
        <w:tc>
          <w:tcPr>
            <w:tcW w:w="449" w:type="dxa"/>
            <w:tcBorders>
              <w:top w:val="nil"/>
              <w:left w:val="nil"/>
              <w:bottom w:val="double" w:sz="4" w:space="0" w:color="000000"/>
              <w:right w:val="nil"/>
            </w:tcBorders>
          </w:tcPr>
          <w:p>
            <w:pPr>
              <w:pStyle w:val="TableParagraph"/>
              <w:spacing w:before="22"/>
              <w:ind w:right="52"/>
              <w:rPr>
                <w:sz w:val="17"/>
              </w:rPr>
            </w:pPr>
            <w:r>
              <w:rPr>
                <w:w w:val="85"/>
                <w:sz w:val="17"/>
              </w:rPr>
              <w:t>100</w:t>
            </w:r>
          </w:p>
        </w:tc>
      </w:tr>
    </w:tbl>
    <w:p>
      <w:pPr>
        <w:spacing w:line="170" w:lineRule="exact" w:before="0"/>
        <w:ind w:left="127" w:right="0" w:firstLine="0"/>
        <w:jc w:val="left"/>
        <w:rPr>
          <w:sz w:val="16"/>
        </w:rPr>
      </w:pPr>
      <w:r>
        <w:rPr>
          <w:w w:val="85"/>
          <w:sz w:val="16"/>
        </w:rPr>
        <w:t>Fuente: Encuesta sobre Migración en la Frontera Norte de México, El Colegio de la Frontera Norte, Consejo Nacional de</w:t>
      </w:r>
    </w:p>
    <w:p>
      <w:pPr>
        <w:spacing w:before="3"/>
        <w:ind w:left="127" w:right="117" w:firstLine="0"/>
        <w:jc w:val="left"/>
        <w:rPr>
          <w:sz w:val="16"/>
        </w:rPr>
      </w:pPr>
      <w:r>
        <w:rPr>
          <w:w w:val="85"/>
          <w:sz w:val="16"/>
        </w:rPr>
        <w:t>Población y la Secretaría del Trabajo y de la Previsión Social.</w:t>
      </w:r>
    </w:p>
    <w:p>
      <w:pPr>
        <w:spacing w:after="0"/>
        <w:jc w:val="left"/>
        <w:rPr>
          <w:sz w:val="16"/>
        </w:rPr>
        <w:sectPr>
          <w:footerReference w:type="default" r:id="rId228"/>
          <w:pgSz w:w="9360" w:h="13040"/>
          <w:pgMar w:footer="496" w:header="0" w:top="800" w:bottom="680" w:left="1300" w:right="1300"/>
        </w:sectPr>
      </w:pPr>
    </w:p>
    <w:p>
      <w:pPr>
        <w:spacing w:before="45"/>
        <w:ind w:left="782" w:right="0" w:firstLine="0"/>
        <w:jc w:val="left"/>
        <w:rPr>
          <w:rFonts w:ascii="Arial" w:hAnsi="Arial"/>
          <w:i/>
          <w:sz w:val="20"/>
        </w:rPr>
      </w:pPr>
      <w:r>
        <w:rPr>
          <w:rFonts w:ascii="Arial" w:hAnsi="Arial"/>
          <w:color w:val="231F20"/>
          <w:w w:val="66"/>
          <w:sz w:val="20"/>
        </w:rPr>
        <w:t>La</w:t>
      </w:r>
      <w:r>
        <w:rPr>
          <w:rFonts w:ascii="Arial" w:hAnsi="Arial"/>
          <w:color w:val="231F20"/>
          <w:spacing w:val="-1"/>
          <w:sz w:val="20"/>
        </w:rPr>
        <w:t> </w:t>
      </w:r>
      <w:r>
        <w:rPr>
          <w:rFonts w:ascii="Arial" w:hAnsi="Arial"/>
          <w:color w:val="231F20"/>
          <w:w w:val="76"/>
          <w:sz w:val="20"/>
        </w:rPr>
        <w:t>participación</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3"/>
          <w:sz w:val="20"/>
        </w:rPr>
        <w:t>población</w:t>
      </w:r>
      <w:r>
        <w:rPr>
          <w:rFonts w:ascii="Arial" w:hAnsi="Arial"/>
          <w:color w:val="231F20"/>
          <w:spacing w:val="-1"/>
          <w:sz w:val="20"/>
        </w:rPr>
        <w:t> </w:t>
      </w:r>
      <w:r>
        <w:rPr>
          <w:rFonts w:ascii="Arial" w:hAnsi="Arial"/>
          <w:color w:val="231F20"/>
          <w:w w:val="72"/>
          <w:sz w:val="20"/>
        </w:rPr>
        <w:t>indígena</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8"/>
          <w:sz w:val="20"/>
        </w:rPr>
        <w:t>migración...</w:t>
      </w:r>
      <w:r>
        <w:rPr>
          <w:rFonts w:ascii="Arial" w:hAnsi="Arial"/>
          <w:color w:val="231F20"/>
          <w:spacing w:val="-1"/>
          <w:sz w:val="20"/>
        </w:rPr>
        <w:t> </w:t>
      </w:r>
      <w:r>
        <w:rPr>
          <w:rFonts w:ascii="Arial" w:hAnsi="Arial"/>
          <w:color w:val="231F20"/>
          <w:w w:val="99"/>
          <w:sz w:val="20"/>
        </w:rPr>
        <w:t>/</w:t>
      </w:r>
      <w:r>
        <w:rPr>
          <w:rFonts w:ascii="Arial" w:hAnsi="Arial"/>
          <w:color w:val="231F20"/>
          <w:w w:val="49"/>
          <w:sz w:val="20"/>
        </w:rPr>
        <w:t>Juan</w:t>
      </w:r>
      <w:r>
        <w:rPr>
          <w:rFonts w:ascii="Arial" w:hAnsi="Arial"/>
          <w:color w:val="231F20"/>
          <w:spacing w:val="-17"/>
          <w:sz w:val="20"/>
        </w:rPr>
        <w:t> </w:t>
      </w:r>
      <w:r>
        <w:rPr>
          <w:rFonts w:ascii="Arial" w:hAnsi="Arial"/>
          <w:color w:val="231F20"/>
          <w:w w:val="49"/>
          <w:sz w:val="20"/>
        </w:rPr>
        <w:t>Gabino</w:t>
      </w:r>
      <w:r>
        <w:rPr>
          <w:rFonts w:ascii="Arial" w:hAnsi="Arial"/>
          <w:color w:val="231F20"/>
          <w:spacing w:val="-17"/>
          <w:sz w:val="20"/>
        </w:rPr>
        <w:t> </w:t>
      </w:r>
      <w:r>
        <w:rPr>
          <w:rFonts w:ascii="Arial" w:hAnsi="Arial"/>
          <w:color w:val="231F20"/>
          <w:w w:val="52"/>
          <w:sz w:val="20"/>
        </w:rPr>
        <w:t>González-Becerril</w:t>
      </w:r>
      <w:r>
        <w:rPr>
          <w:rFonts w:ascii="Arial" w:hAnsi="Arial"/>
          <w:color w:val="231F20"/>
          <w:spacing w:val="-17"/>
          <w:sz w:val="20"/>
        </w:rPr>
        <w:t> </w:t>
      </w:r>
      <w:r>
        <w:rPr>
          <w:rFonts w:ascii="Arial" w:hAnsi="Arial"/>
          <w:i/>
          <w:color w:val="231F20"/>
          <w:w w:val="55"/>
          <w:sz w:val="20"/>
        </w:rPr>
        <w:t>et</w:t>
      </w:r>
      <w:r>
        <w:rPr>
          <w:rFonts w:ascii="Arial" w:hAnsi="Arial"/>
          <w:i/>
          <w:color w:val="231F20"/>
          <w:spacing w:val="-17"/>
          <w:sz w:val="20"/>
        </w:rPr>
        <w:t> </w:t>
      </w:r>
      <w:r>
        <w:rPr>
          <w:rFonts w:ascii="Arial" w:hAnsi="Arial"/>
          <w:i/>
          <w:color w:val="231F20"/>
          <w:w w:val="58"/>
          <w:sz w:val="20"/>
        </w:rPr>
        <w:t>al.</w:t>
      </w:r>
    </w:p>
    <w:p>
      <w:pPr>
        <w:pStyle w:val="BodyText"/>
        <w:spacing w:before="8"/>
        <w:rPr>
          <w:rFonts w:ascii="Arial"/>
          <w:i/>
          <w:sz w:val="26"/>
        </w:rPr>
      </w:pPr>
    </w:p>
    <w:p>
      <w:pPr>
        <w:spacing w:line="254" w:lineRule="auto" w:before="84"/>
        <w:ind w:left="185" w:right="117" w:firstLine="0"/>
        <w:jc w:val="left"/>
        <w:rPr>
          <w:sz w:val="17"/>
        </w:rPr>
      </w:pPr>
      <w:r>
        <w:rPr>
          <w:sz w:val="17"/>
        </w:rPr>
        <w:t>Cuadro</w:t>
      </w:r>
      <w:r>
        <w:rPr>
          <w:spacing w:val="-18"/>
          <w:sz w:val="17"/>
        </w:rPr>
        <w:t> </w:t>
      </w:r>
      <w:r>
        <w:rPr>
          <w:sz w:val="17"/>
        </w:rPr>
        <w:t>2c.</w:t>
      </w:r>
      <w:r>
        <w:rPr>
          <w:spacing w:val="-18"/>
          <w:sz w:val="17"/>
        </w:rPr>
        <w:t> </w:t>
      </w:r>
      <w:r>
        <w:rPr>
          <w:sz w:val="17"/>
        </w:rPr>
        <w:t>Distribución</w:t>
      </w:r>
      <w:r>
        <w:rPr>
          <w:spacing w:val="-17"/>
          <w:sz w:val="17"/>
        </w:rPr>
        <w:t> </w:t>
      </w:r>
      <w:r>
        <w:rPr>
          <w:sz w:val="17"/>
        </w:rPr>
        <w:t>porcentual</w:t>
      </w:r>
      <w:r>
        <w:rPr>
          <w:spacing w:val="-18"/>
          <w:sz w:val="17"/>
        </w:rPr>
        <w:t> </w:t>
      </w:r>
      <w:r>
        <w:rPr>
          <w:sz w:val="17"/>
        </w:rPr>
        <w:t>de</w:t>
      </w:r>
      <w:r>
        <w:rPr>
          <w:spacing w:val="-18"/>
          <w:sz w:val="17"/>
        </w:rPr>
        <w:t> </w:t>
      </w:r>
      <w:r>
        <w:rPr>
          <w:sz w:val="17"/>
        </w:rPr>
        <w:t>migrantes</w:t>
      </w:r>
      <w:r>
        <w:rPr>
          <w:spacing w:val="-18"/>
          <w:sz w:val="17"/>
        </w:rPr>
        <w:t> </w:t>
      </w:r>
      <w:r>
        <w:rPr>
          <w:sz w:val="17"/>
        </w:rPr>
        <w:t>temporales</w:t>
      </w:r>
      <w:r>
        <w:rPr>
          <w:spacing w:val="-18"/>
          <w:sz w:val="17"/>
        </w:rPr>
        <w:t> </w:t>
      </w:r>
      <w:r>
        <w:rPr>
          <w:sz w:val="17"/>
        </w:rPr>
        <w:t>que</w:t>
      </w:r>
      <w:r>
        <w:rPr>
          <w:spacing w:val="-18"/>
          <w:sz w:val="17"/>
        </w:rPr>
        <w:t> </w:t>
      </w:r>
      <w:r>
        <w:rPr>
          <w:sz w:val="17"/>
        </w:rPr>
        <w:t>proceden</w:t>
      </w:r>
      <w:r>
        <w:rPr>
          <w:spacing w:val="-16"/>
          <w:sz w:val="17"/>
        </w:rPr>
        <w:t> </w:t>
      </w:r>
      <w:r>
        <w:rPr>
          <w:sz w:val="17"/>
        </w:rPr>
        <w:t>del</w:t>
      </w:r>
      <w:r>
        <w:rPr>
          <w:spacing w:val="-18"/>
          <w:sz w:val="17"/>
        </w:rPr>
        <w:t> </w:t>
      </w:r>
      <w:r>
        <w:rPr>
          <w:sz w:val="17"/>
        </w:rPr>
        <w:t>Sur</w:t>
      </w:r>
      <w:r>
        <w:rPr>
          <w:spacing w:val="-18"/>
          <w:sz w:val="17"/>
        </w:rPr>
        <w:t> </w:t>
      </w:r>
      <w:r>
        <w:rPr>
          <w:sz w:val="17"/>
        </w:rPr>
        <w:t>(Edoméx)</w:t>
      </w:r>
      <w:r>
        <w:rPr>
          <w:spacing w:val="-19"/>
          <w:sz w:val="17"/>
        </w:rPr>
        <w:t> </w:t>
      </w:r>
      <w:r>
        <w:rPr>
          <w:sz w:val="17"/>
        </w:rPr>
        <w:t>por diversas</w:t>
      </w:r>
      <w:r>
        <w:rPr>
          <w:spacing w:val="-24"/>
          <w:sz w:val="17"/>
        </w:rPr>
        <w:t> </w:t>
      </w:r>
      <w:r>
        <w:rPr>
          <w:sz w:val="17"/>
        </w:rPr>
        <w:t>características</w:t>
      </w:r>
      <w:r>
        <w:rPr>
          <w:spacing w:val="-24"/>
          <w:sz w:val="17"/>
        </w:rPr>
        <w:t> </w:t>
      </w:r>
      <w:r>
        <w:rPr>
          <w:sz w:val="17"/>
        </w:rPr>
        <w:t>sociodemográficas</w:t>
      </w:r>
      <w:r>
        <w:rPr>
          <w:spacing w:val="-24"/>
          <w:sz w:val="17"/>
        </w:rPr>
        <w:t> </w:t>
      </w:r>
      <w:r>
        <w:rPr>
          <w:sz w:val="17"/>
        </w:rPr>
        <w:t>seleccionadas,</w:t>
      </w:r>
      <w:r>
        <w:rPr>
          <w:spacing w:val="-24"/>
          <w:sz w:val="17"/>
        </w:rPr>
        <w:t> </w:t>
      </w:r>
      <w:r>
        <w:rPr>
          <w:sz w:val="17"/>
        </w:rPr>
        <w:t>según</w:t>
      </w:r>
      <w:r>
        <w:rPr>
          <w:spacing w:val="-23"/>
          <w:sz w:val="17"/>
        </w:rPr>
        <w:t> </w:t>
      </w:r>
      <w:r>
        <w:rPr>
          <w:sz w:val="17"/>
        </w:rPr>
        <w:t>condición</w:t>
      </w:r>
      <w:r>
        <w:rPr>
          <w:spacing w:val="-26"/>
          <w:sz w:val="17"/>
        </w:rPr>
        <w:t> </w:t>
      </w:r>
      <w:r>
        <w:rPr>
          <w:sz w:val="17"/>
        </w:rPr>
        <w:t>de</w:t>
      </w:r>
      <w:r>
        <w:rPr>
          <w:spacing w:val="-24"/>
          <w:sz w:val="17"/>
        </w:rPr>
        <w:t> </w:t>
      </w:r>
      <w:r>
        <w:rPr>
          <w:sz w:val="17"/>
        </w:rPr>
        <w:t>habla</w:t>
      </w:r>
      <w:r>
        <w:rPr>
          <w:spacing w:val="-24"/>
          <w:sz w:val="17"/>
        </w:rPr>
        <w:t> </w:t>
      </w:r>
      <w:r>
        <w:rPr>
          <w:sz w:val="17"/>
        </w:rPr>
        <w:t>de</w:t>
      </w:r>
      <w:r>
        <w:rPr>
          <w:spacing w:val="-24"/>
          <w:sz w:val="17"/>
        </w:rPr>
        <w:t> </w:t>
      </w:r>
      <w:r>
        <w:rPr>
          <w:sz w:val="17"/>
        </w:rPr>
        <w:t>lengua</w:t>
      </w:r>
    </w:p>
    <w:p>
      <w:pPr>
        <w:tabs>
          <w:tab w:pos="6636" w:val="left" w:leader="none"/>
        </w:tabs>
        <w:spacing w:line="195" w:lineRule="exact" w:before="0" w:after="26"/>
        <w:ind w:left="119" w:right="0" w:firstLine="0"/>
        <w:jc w:val="left"/>
        <w:rPr>
          <w:sz w:val="17"/>
        </w:rPr>
      </w:pPr>
      <w:r>
        <w:rPr>
          <w:w w:val="95"/>
          <w:sz w:val="17"/>
          <w:u w:val="single"/>
        </w:rPr>
        <w:t> </w:t>
      </w:r>
      <w:r>
        <w:rPr>
          <w:spacing w:val="-18"/>
          <w:sz w:val="17"/>
          <w:u w:val="single"/>
        </w:rPr>
        <w:t> </w:t>
      </w:r>
      <w:r>
        <w:rPr>
          <w:w w:val="95"/>
          <w:sz w:val="17"/>
          <w:u w:val="single"/>
        </w:rPr>
        <w:t>indígena,</w:t>
      </w:r>
      <w:r>
        <w:rPr>
          <w:spacing w:val="24"/>
          <w:w w:val="95"/>
          <w:sz w:val="17"/>
          <w:u w:val="single"/>
        </w:rPr>
        <w:t> </w:t>
      </w:r>
      <w:r>
        <w:rPr>
          <w:w w:val="95"/>
          <w:sz w:val="17"/>
          <w:u w:val="single"/>
        </w:rPr>
        <w:t>2000-2009</w:t>
      </w:r>
      <w:r>
        <w:rPr>
          <w:sz w:val="17"/>
          <w:u w:val="single"/>
        </w:rPr>
        <w:tab/>
      </w: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15"/>
        <w:gridCol w:w="610"/>
        <w:gridCol w:w="531"/>
        <w:gridCol w:w="509"/>
        <w:gridCol w:w="1593"/>
        <w:gridCol w:w="619"/>
        <w:gridCol w:w="531"/>
        <w:gridCol w:w="510"/>
      </w:tblGrid>
      <w:tr>
        <w:trPr>
          <w:trHeight w:val="672" w:hRule="exact"/>
        </w:trPr>
        <w:tc>
          <w:tcPr>
            <w:tcW w:w="1615" w:type="dxa"/>
            <w:tcBorders>
              <w:bottom w:val="double" w:sz="4" w:space="0" w:color="000000"/>
            </w:tcBorders>
          </w:tcPr>
          <w:p>
            <w:pPr/>
          </w:p>
        </w:tc>
        <w:tc>
          <w:tcPr>
            <w:tcW w:w="610" w:type="dxa"/>
            <w:tcBorders>
              <w:bottom w:val="double" w:sz="4" w:space="0" w:color="000000"/>
            </w:tcBorders>
          </w:tcPr>
          <w:p>
            <w:pPr>
              <w:pStyle w:val="TableParagraph"/>
              <w:jc w:val="left"/>
              <w:rPr>
                <w:sz w:val="18"/>
              </w:rPr>
            </w:pPr>
          </w:p>
          <w:p>
            <w:pPr>
              <w:pStyle w:val="TableParagraph"/>
              <w:jc w:val="left"/>
              <w:rPr>
                <w:sz w:val="22"/>
              </w:rPr>
            </w:pPr>
          </w:p>
          <w:p>
            <w:pPr>
              <w:pStyle w:val="TableParagraph"/>
              <w:ind w:right="62"/>
              <w:rPr>
                <w:sz w:val="17"/>
              </w:rPr>
            </w:pPr>
            <w:r>
              <w:rPr>
                <w:w w:val="95"/>
                <w:sz w:val="17"/>
              </w:rPr>
              <w:t>Habla</w:t>
            </w:r>
          </w:p>
        </w:tc>
        <w:tc>
          <w:tcPr>
            <w:tcW w:w="531" w:type="dxa"/>
            <w:tcBorders>
              <w:bottom w:val="double" w:sz="4" w:space="0" w:color="000000"/>
            </w:tcBorders>
          </w:tcPr>
          <w:p>
            <w:pPr>
              <w:pStyle w:val="TableParagraph"/>
              <w:spacing w:before="47"/>
              <w:ind w:left="64" w:right="59"/>
              <w:jc w:val="left"/>
              <w:rPr>
                <w:sz w:val="17"/>
              </w:rPr>
            </w:pPr>
            <w:r>
              <w:rPr>
                <w:sz w:val="17"/>
              </w:rPr>
              <w:t>2000</w:t>
            </w:r>
          </w:p>
          <w:p>
            <w:pPr>
              <w:pStyle w:val="TableParagraph"/>
              <w:spacing w:line="254" w:lineRule="auto" w:before="11"/>
              <w:ind w:left="99" w:right="59" w:firstLine="155"/>
              <w:jc w:val="left"/>
              <w:rPr>
                <w:sz w:val="17"/>
              </w:rPr>
            </w:pPr>
            <w:r>
              <w:rPr>
                <w:w w:val="95"/>
                <w:sz w:val="17"/>
              </w:rPr>
              <w:t>No habla</w:t>
            </w:r>
          </w:p>
        </w:tc>
        <w:tc>
          <w:tcPr>
            <w:tcW w:w="509" w:type="dxa"/>
            <w:tcBorders>
              <w:bottom w:val="double" w:sz="4" w:space="0" w:color="000000"/>
            </w:tcBorders>
          </w:tcPr>
          <w:p>
            <w:pPr>
              <w:pStyle w:val="TableParagraph"/>
              <w:jc w:val="left"/>
              <w:rPr>
                <w:sz w:val="18"/>
              </w:rPr>
            </w:pPr>
          </w:p>
          <w:p>
            <w:pPr>
              <w:pStyle w:val="TableParagraph"/>
              <w:jc w:val="left"/>
              <w:rPr>
                <w:sz w:val="22"/>
              </w:rPr>
            </w:pPr>
          </w:p>
          <w:p>
            <w:pPr>
              <w:pStyle w:val="TableParagraph"/>
              <w:ind w:right="62"/>
              <w:rPr>
                <w:sz w:val="17"/>
              </w:rPr>
            </w:pPr>
            <w:r>
              <w:rPr>
                <w:w w:val="95"/>
                <w:sz w:val="17"/>
              </w:rPr>
              <w:t>Total</w:t>
            </w:r>
          </w:p>
        </w:tc>
        <w:tc>
          <w:tcPr>
            <w:tcW w:w="1593" w:type="dxa"/>
            <w:tcBorders>
              <w:bottom w:val="double" w:sz="4" w:space="0" w:color="000000"/>
            </w:tcBorders>
          </w:tcPr>
          <w:p>
            <w:pPr/>
          </w:p>
        </w:tc>
        <w:tc>
          <w:tcPr>
            <w:tcW w:w="619" w:type="dxa"/>
            <w:tcBorders>
              <w:bottom w:val="double" w:sz="4" w:space="0" w:color="000000"/>
            </w:tcBorders>
          </w:tcPr>
          <w:p>
            <w:pPr>
              <w:pStyle w:val="TableParagraph"/>
              <w:jc w:val="left"/>
              <w:rPr>
                <w:sz w:val="18"/>
              </w:rPr>
            </w:pPr>
          </w:p>
          <w:p>
            <w:pPr>
              <w:pStyle w:val="TableParagraph"/>
              <w:jc w:val="left"/>
              <w:rPr>
                <w:sz w:val="22"/>
              </w:rPr>
            </w:pPr>
          </w:p>
          <w:p>
            <w:pPr>
              <w:pStyle w:val="TableParagraph"/>
              <w:ind w:right="60"/>
              <w:rPr>
                <w:sz w:val="17"/>
              </w:rPr>
            </w:pPr>
            <w:r>
              <w:rPr>
                <w:w w:val="95"/>
                <w:sz w:val="17"/>
              </w:rPr>
              <w:t>Habla</w:t>
            </w:r>
          </w:p>
        </w:tc>
        <w:tc>
          <w:tcPr>
            <w:tcW w:w="531" w:type="dxa"/>
            <w:tcBorders>
              <w:bottom w:val="double" w:sz="4" w:space="0" w:color="000000"/>
            </w:tcBorders>
          </w:tcPr>
          <w:p>
            <w:pPr>
              <w:pStyle w:val="TableParagraph"/>
              <w:spacing w:before="47"/>
              <w:ind w:left="62" w:right="62"/>
              <w:jc w:val="left"/>
              <w:rPr>
                <w:sz w:val="17"/>
              </w:rPr>
            </w:pPr>
            <w:r>
              <w:rPr>
                <w:sz w:val="17"/>
              </w:rPr>
              <w:t>2009</w:t>
            </w:r>
          </w:p>
          <w:p>
            <w:pPr>
              <w:pStyle w:val="TableParagraph"/>
              <w:spacing w:line="254" w:lineRule="auto" w:before="11"/>
              <w:ind w:left="96" w:right="62" w:firstLine="155"/>
              <w:jc w:val="left"/>
              <w:rPr>
                <w:sz w:val="17"/>
              </w:rPr>
            </w:pPr>
            <w:r>
              <w:rPr>
                <w:w w:val="95"/>
                <w:sz w:val="17"/>
              </w:rPr>
              <w:t>No habla</w:t>
            </w:r>
          </w:p>
        </w:tc>
        <w:tc>
          <w:tcPr>
            <w:tcW w:w="510" w:type="dxa"/>
            <w:tcBorders>
              <w:bottom w:val="double" w:sz="4" w:space="0" w:color="000000"/>
            </w:tcBorders>
          </w:tcPr>
          <w:p>
            <w:pPr>
              <w:pStyle w:val="TableParagraph"/>
              <w:jc w:val="left"/>
              <w:rPr>
                <w:sz w:val="18"/>
              </w:rPr>
            </w:pPr>
          </w:p>
          <w:p>
            <w:pPr>
              <w:pStyle w:val="TableParagraph"/>
              <w:jc w:val="left"/>
              <w:rPr>
                <w:sz w:val="22"/>
              </w:rPr>
            </w:pPr>
          </w:p>
          <w:p>
            <w:pPr>
              <w:pStyle w:val="TableParagraph"/>
              <w:ind w:right="60"/>
              <w:rPr>
                <w:sz w:val="17"/>
              </w:rPr>
            </w:pPr>
            <w:r>
              <w:rPr>
                <w:w w:val="95"/>
                <w:sz w:val="17"/>
              </w:rPr>
              <w:t>Total</w:t>
            </w:r>
          </w:p>
        </w:tc>
      </w:tr>
      <w:tr>
        <w:trPr>
          <w:trHeight w:val="464" w:hRule="exact"/>
        </w:trPr>
        <w:tc>
          <w:tcPr>
            <w:tcW w:w="1615" w:type="dxa"/>
            <w:tcBorders>
              <w:top w:val="double" w:sz="4" w:space="0" w:color="000000"/>
            </w:tcBorders>
          </w:tcPr>
          <w:p>
            <w:pPr>
              <w:pStyle w:val="TableParagraph"/>
              <w:spacing w:line="254" w:lineRule="auto" w:before="9"/>
              <w:ind w:left="66" w:right="190"/>
              <w:jc w:val="left"/>
              <w:rPr>
                <w:i/>
                <w:sz w:val="17"/>
              </w:rPr>
            </w:pPr>
            <w:r>
              <w:rPr>
                <w:i/>
                <w:sz w:val="17"/>
              </w:rPr>
              <w:t>Región de destino </w:t>
            </w:r>
            <w:r>
              <w:rPr>
                <w:i/>
                <w:sz w:val="17"/>
              </w:rPr>
              <w:t>en USA</w:t>
            </w:r>
          </w:p>
        </w:tc>
        <w:tc>
          <w:tcPr>
            <w:tcW w:w="610" w:type="dxa"/>
            <w:tcBorders>
              <w:top w:val="double" w:sz="4" w:space="0" w:color="000000"/>
            </w:tcBorders>
          </w:tcPr>
          <w:p>
            <w:pPr/>
          </w:p>
        </w:tc>
        <w:tc>
          <w:tcPr>
            <w:tcW w:w="531" w:type="dxa"/>
            <w:tcBorders>
              <w:top w:val="double" w:sz="4" w:space="0" w:color="000000"/>
            </w:tcBorders>
          </w:tcPr>
          <w:p>
            <w:pPr/>
          </w:p>
        </w:tc>
        <w:tc>
          <w:tcPr>
            <w:tcW w:w="509" w:type="dxa"/>
            <w:tcBorders>
              <w:top w:val="double" w:sz="4" w:space="0" w:color="000000"/>
            </w:tcBorders>
          </w:tcPr>
          <w:p>
            <w:pPr/>
          </w:p>
        </w:tc>
        <w:tc>
          <w:tcPr>
            <w:tcW w:w="1593" w:type="dxa"/>
            <w:tcBorders>
              <w:top w:val="double" w:sz="4" w:space="0" w:color="000000"/>
            </w:tcBorders>
          </w:tcPr>
          <w:p>
            <w:pPr/>
          </w:p>
        </w:tc>
        <w:tc>
          <w:tcPr>
            <w:tcW w:w="619" w:type="dxa"/>
            <w:tcBorders>
              <w:top w:val="double" w:sz="4" w:space="0" w:color="000000"/>
            </w:tcBorders>
          </w:tcPr>
          <w:p>
            <w:pPr/>
          </w:p>
        </w:tc>
        <w:tc>
          <w:tcPr>
            <w:tcW w:w="531" w:type="dxa"/>
            <w:tcBorders>
              <w:top w:val="double" w:sz="4" w:space="0" w:color="000000"/>
            </w:tcBorders>
          </w:tcPr>
          <w:p>
            <w:pPr/>
          </w:p>
        </w:tc>
        <w:tc>
          <w:tcPr>
            <w:tcW w:w="510" w:type="dxa"/>
            <w:tcBorders>
              <w:top w:val="double" w:sz="4" w:space="0" w:color="000000"/>
            </w:tcBorders>
          </w:tcPr>
          <w:p>
            <w:pPr/>
          </w:p>
        </w:tc>
      </w:tr>
      <w:tr>
        <w:trPr>
          <w:trHeight w:val="257" w:hRule="exact"/>
        </w:trPr>
        <w:tc>
          <w:tcPr>
            <w:tcW w:w="1615" w:type="dxa"/>
          </w:tcPr>
          <w:p>
            <w:pPr>
              <w:pStyle w:val="TableParagraph"/>
              <w:spacing w:before="25"/>
              <w:ind w:left="66" w:right="190"/>
              <w:jc w:val="left"/>
              <w:rPr>
                <w:sz w:val="17"/>
              </w:rPr>
            </w:pPr>
            <w:r>
              <w:rPr>
                <w:w w:val="95"/>
                <w:sz w:val="17"/>
              </w:rPr>
              <w:t>Región Noreste</w:t>
            </w:r>
          </w:p>
        </w:tc>
        <w:tc>
          <w:tcPr>
            <w:tcW w:w="610" w:type="dxa"/>
          </w:tcPr>
          <w:p>
            <w:pPr>
              <w:pStyle w:val="TableParagraph"/>
              <w:spacing w:before="25"/>
              <w:ind w:right="63"/>
              <w:rPr>
                <w:sz w:val="17"/>
              </w:rPr>
            </w:pPr>
            <w:r>
              <w:rPr>
                <w:w w:val="95"/>
                <w:sz w:val="17"/>
              </w:rPr>
              <w:t>0</w:t>
            </w:r>
          </w:p>
        </w:tc>
        <w:tc>
          <w:tcPr>
            <w:tcW w:w="531" w:type="dxa"/>
          </w:tcPr>
          <w:p>
            <w:pPr>
              <w:pStyle w:val="TableParagraph"/>
              <w:spacing w:before="25"/>
              <w:ind w:right="72"/>
              <w:rPr>
                <w:sz w:val="17"/>
              </w:rPr>
            </w:pPr>
            <w:r>
              <w:rPr>
                <w:w w:val="95"/>
                <w:sz w:val="17"/>
              </w:rPr>
              <w:t>5.0</w:t>
            </w:r>
          </w:p>
        </w:tc>
        <w:tc>
          <w:tcPr>
            <w:tcW w:w="509" w:type="dxa"/>
          </w:tcPr>
          <w:p>
            <w:pPr>
              <w:pStyle w:val="TableParagraph"/>
              <w:spacing w:before="25"/>
              <w:ind w:right="62"/>
              <w:rPr>
                <w:sz w:val="17"/>
              </w:rPr>
            </w:pPr>
            <w:r>
              <w:rPr>
                <w:w w:val="95"/>
                <w:sz w:val="17"/>
              </w:rPr>
              <w:t>5</w:t>
            </w:r>
          </w:p>
        </w:tc>
        <w:tc>
          <w:tcPr>
            <w:tcW w:w="1593" w:type="dxa"/>
          </w:tcPr>
          <w:p>
            <w:pPr>
              <w:pStyle w:val="TableParagraph"/>
              <w:spacing w:before="25"/>
              <w:ind w:left="64"/>
              <w:jc w:val="left"/>
              <w:rPr>
                <w:sz w:val="17"/>
              </w:rPr>
            </w:pPr>
            <w:r>
              <w:rPr>
                <w:w w:val="95"/>
                <w:sz w:val="17"/>
              </w:rPr>
              <w:t>Región Noreste</w:t>
            </w:r>
          </w:p>
        </w:tc>
        <w:tc>
          <w:tcPr>
            <w:tcW w:w="619" w:type="dxa"/>
          </w:tcPr>
          <w:p>
            <w:pPr>
              <w:pStyle w:val="TableParagraph"/>
              <w:spacing w:before="25"/>
              <w:ind w:right="61"/>
              <w:rPr>
                <w:sz w:val="17"/>
              </w:rPr>
            </w:pPr>
            <w:r>
              <w:rPr>
                <w:w w:val="95"/>
                <w:sz w:val="17"/>
              </w:rPr>
              <w:t>0</w:t>
            </w:r>
          </w:p>
        </w:tc>
        <w:tc>
          <w:tcPr>
            <w:tcW w:w="531" w:type="dxa"/>
          </w:tcPr>
          <w:p>
            <w:pPr>
              <w:pStyle w:val="TableParagraph"/>
              <w:spacing w:before="25"/>
              <w:ind w:left="222" w:right="51"/>
              <w:jc w:val="center"/>
              <w:rPr>
                <w:sz w:val="17"/>
              </w:rPr>
            </w:pPr>
            <w:r>
              <w:rPr>
                <w:sz w:val="17"/>
              </w:rPr>
              <w:t>3.0</w:t>
            </w:r>
          </w:p>
        </w:tc>
        <w:tc>
          <w:tcPr>
            <w:tcW w:w="510" w:type="dxa"/>
          </w:tcPr>
          <w:p>
            <w:pPr>
              <w:pStyle w:val="TableParagraph"/>
              <w:spacing w:before="25"/>
              <w:ind w:right="60"/>
              <w:rPr>
                <w:sz w:val="17"/>
              </w:rPr>
            </w:pPr>
            <w:r>
              <w:rPr>
                <w:w w:val="95"/>
                <w:sz w:val="17"/>
              </w:rPr>
              <w:t>2.8</w:t>
            </w:r>
          </w:p>
        </w:tc>
      </w:tr>
      <w:tr>
        <w:trPr>
          <w:trHeight w:val="254" w:hRule="exact"/>
        </w:trPr>
        <w:tc>
          <w:tcPr>
            <w:tcW w:w="1615" w:type="dxa"/>
          </w:tcPr>
          <w:p>
            <w:pPr>
              <w:pStyle w:val="TableParagraph"/>
              <w:spacing w:before="22"/>
              <w:ind w:left="66"/>
              <w:jc w:val="left"/>
              <w:rPr>
                <w:sz w:val="17"/>
              </w:rPr>
            </w:pPr>
            <w:r>
              <w:rPr>
                <w:sz w:val="17"/>
              </w:rPr>
              <w:t>Región Medio Oeste</w:t>
            </w:r>
          </w:p>
        </w:tc>
        <w:tc>
          <w:tcPr>
            <w:tcW w:w="610" w:type="dxa"/>
          </w:tcPr>
          <w:p>
            <w:pPr>
              <w:pStyle w:val="TableParagraph"/>
              <w:spacing w:before="22"/>
              <w:ind w:right="63"/>
              <w:rPr>
                <w:sz w:val="17"/>
              </w:rPr>
            </w:pPr>
            <w:r>
              <w:rPr>
                <w:w w:val="95"/>
                <w:sz w:val="17"/>
              </w:rPr>
              <w:t>0</w:t>
            </w:r>
          </w:p>
        </w:tc>
        <w:tc>
          <w:tcPr>
            <w:tcW w:w="531" w:type="dxa"/>
          </w:tcPr>
          <w:p>
            <w:pPr>
              <w:pStyle w:val="TableParagraph"/>
              <w:spacing w:before="22"/>
              <w:ind w:right="71"/>
              <w:rPr>
                <w:sz w:val="17"/>
              </w:rPr>
            </w:pPr>
            <w:r>
              <w:rPr>
                <w:w w:val="95"/>
                <w:sz w:val="17"/>
              </w:rPr>
              <w:t>0.</w:t>
            </w:r>
          </w:p>
        </w:tc>
        <w:tc>
          <w:tcPr>
            <w:tcW w:w="509" w:type="dxa"/>
          </w:tcPr>
          <w:p>
            <w:pPr>
              <w:pStyle w:val="TableParagraph"/>
              <w:spacing w:before="22"/>
              <w:ind w:right="62"/>
              <w:rPr>
                <w:sz w:val="17"/>
              </w:rPr>
            </w:pPr>
            <w:r>
              <w:rPr>
                <w:w w:val="95"/>
                <w:sz w:val="17"/>
              </w:rPr>
              <w:t>0.3</w:t>
            </w:r>
          </w:p>
        </w:tc>
        <w:tc>
          <w:tcPr>
            <w:tcW w:w="1593" w:type="dxa"/>
          </w:tcPr>
          <w:p>
            <w:pPr>
              <w:pStyle w:val="TableParagraph"/>
              <w:spacing w:before="22"/>
              <w:ind w:left="64"/>
              <w:jc w:val="left"/>
              <w:rPr>
                <w:sz w:val="17"/>
              </w:rPr>
            </w:pPr>
            <w:r>
              <w:rPr>
                <w:sz w:val="17"/>
              </w:rPr>
              <w:t>Región Medio Oeste</w:t>
            </w:r>
          </w:p>
        </w:tc>
        <w:tc>
          <w:tcPr>
            <w:tcW w:w="619" w:type="dxa"/>
          </w:tcPr>
          <w:p>
            <w:pPr>
              <w:pStyle w:val="TableParagraph"/>
              <w:spacing w:before="22"/>
              <w:ind w:right="61"/>
              <w:rPr>
                <w:sz w:val="17"/>
              </w:rPr>
            </w:pPr>
            <w:r>
              <w:rPr>
                <w:w w:val="95"/>
                <w:sz w:val="17"/>
              </w:rPr>
              <w:t>0</w:t>
            </w:r>
          </w:p>
        </w:tc>
        <w:tc>
          <w:tcPr>
            <w:tcW w:w="531" w:type="dxa"/>
          </w:tcPr>
          <w:p>
            <w:pPr>
              <w:pStyle w:val="TableParagraph"/>
              <w:spacing w:before="22"/>
              <w:ind w:left="222" w:right="51"/>
              <w:jc w:val="center"/>
              <w:rPr>
                <w:sz w:val="17"/>
              </w:rPr>
            </w:pPr>
            <w:r>
              <w:rPr>
                <w:sz w:val="17"/>
              </w:rPr>
              <w:t>6.6</w:t>
            </w:r>
          </w:p>
        </w:tc>
        <w:tc>
          <w:tcPr>
            <w:tcW w:w="510" w:type="dxa"/>
          </w:tcPr>
          <w:p>
            <w:pPr>
              <w:pStyle w:val="TableParagraph"/>
              <w:spacing w:before="22"/>
              <w:ind w:right="60"/>
              <w:rPr>
                <w:sz w:val="17"/>
              </w:rPr>
            </w:pPr>
            <w:r>
              <w:rPr>
                <w:w w:val="95"/>
                <w:sz w:val="17"/>
              </w:rPr>
              <w:t>6.2</w:t>
            </w:r>
          </w:p>
        </w:tc>
      </w:tr>
      <w:tr>
        <w:trPr>
          <w:trHeight w:val="254" w:hRule="exact"/>
        </w:trPr>
        <w:tc>
          <w:tcPr>
            <w:tcW w:w="1615" w:type="dxa"/>
          </w:tcPr>
          <w:p>
            <w:pPr>
              <w:pStyle w:val="TableParagraph"/>
              <w:spacing w:before="22"/>
              <w:ind w:left="66" w:right="190"/>
              <w:jc w:val="left"/>
              <w:rPr>
                <w:sz w:val="17"/>
              </w:rPr>
            </w:pPr>
            <w:r>
              <w:rPr>
                <w:sz w:val="17"/>
              </w:rPr>
              <w:t>Región Sur</w:t>
            </w:r>
          </w:p>
        </w:tc>
        <w:tc>
          <w:tcPr>
            <w:tcW w:w="610" w:type="dxa"/>
          </w:tcPr>
          <w:p>
            <w:pPr>
              <w:pStyle w:val="TableParagraph"/>
              <w:spacing w:before="22"/>
              <w:ind w:right="63"/>
              <w:rPr>
                <w:sz w:val="17"/>
              </w:rPr>
            </w:pPr>
            <w:r>
              <w:rPr>
                <w:w w:val="95"/>
                <w:sz w:val="17"/>
              </w:rPr>
              <w:t>100.0</w:t>
            </w:r>
          </w:p>
        </w:tc>
        <w:tc>
          <w:tcPr>
            <w:tcW w:w="531" w:type="dxa"/>
          </w:tcPr>
          <w:p>
            <w:pPr>
              <w:pStyle w:val="TableParagraph"/>
              <w:spacing w:before="22"/>
              <w:ind w:right="73"/>
              <w:rPr>
                <w:sz w:val="17"/>
              </w:rPr>
            </w:pPr>
            <w:r>
              <w:rPr>
                <w:w w:val="95"/>
                <w:sz w:val="17"/>
              </w:rPr>
              <w:t>47.8</w:t>
            </w:r>
          </w:p>
        </w:tc>
        <w:tc>
          <w:tcPr>
            <w:tcW w:w="509" w:type="dxa"/>
          </w:tcPr>
          <w:p>
            <w:pPr>
              <w:pStyle w:val="TableParagraph"/>
              <w:spacing w:before="22"/>
              <w:ind w:right="62"/>
              <w:rPr>
                <w:sz w:val="17"/>
              </w:rPr>
            </w:pPr>
            <w:r>
              <w:rPr>
                <w:w w:val="95"/>
                <w:sz w:val="17"/>
              </w:rPr>
              <w:t>48.2</w:t>
            </w:r>
          </w:p>
        </w:tc>
        <w:tc>
          <w:tcPr>
            <w:tcW w:w="1593" w:type="dxa"/>
          </w:tcPr>
          <w:p>
            <w:pPr>
              <w:pStyle w:val="TableParagraph"/>
              <w:spacing w:before="22"/>
              <w:ind w:left="64"/>
              <w:jc w:val="left"/>
              <w:rPr>
                <w:sz w:val="17"/>
              </w:rPr>
            </w:pPr>
            <w:r>
              <w:rPr>
                <w:sz w:val="17"/>
              </w:rPr>
              <w:t>Región Sur</w:t>
            </w:r>
          </w:p>
        </w:tc>
        <w:tc>
          <w:tcPr>
            <w:tcW w:w="619" w:type="dxa"/>
          </w:tcPr>
          <w:p>
            <w:pPr>
              <w:pStyle w:val="TableParagraph"/>
              <w:spacing w:before="22"/>
              <w:ind w:right="61"/>
              <w:rPr>
                <w:sz w:val="17"/>
              </w:rPr>
            </w:pPr>
            <w:r>
              <w:rPr>
                <w:w w:val="95"/>
                <w:sz w:val="17"/>
              </w:rPr>
              <w:t>57.7</w:t>
            </w:r>
          </w:p>
        </w:tc>
        <w:tc>
          <w:tcPr>
            <w:tcW w:w="531" w:type="dxa"/>
          </w:tcPr>
          <w:p>
            <w:pPr>
              <w:pStyle w:val="TableParagraph"/>
              <w:spacing w:before="22"/>
              <w:ind w:left="139" w:right="51"/>
              <w:jc w:val="center"/>
              <w:rPr>
                <w:sz w:val="17"/>
              </w:rPr>
            </w:pPr>
            <w:r>
              <w:rPr>
                <w:sz w:val="17"/>
              </w:rPr>
              <w:t>31.6</w:t>
            </w:r>
          </w:p>
        </w:tc>
        <w:tc>
          <w:tcPr>
            <w:tcW w:w="510" w:type="dxa"/>
          </w:tcPr>
          <w:p>
            <w:pPr>
              <w:pStyle w:val="TableParagraph"/>
              <w:spacing w:before="22"/>
              <w:ind w:right="60"/>
              <w:rPr>
                <w:sz w:val="17"/>
              </w:rPr>
            </w:pPr>
            <w:r>
              <w:rPr>
                <w:w w:val="95"/>
                <w:sz w:val="17"/>
              </w:rPr>
              <w:t>33.2</w:t>
            </w:r>
          </w:p>
        </w:tc>
      </w:tr>
      <w:tr>
        <w:trPr>
          <w:trHeight w:val="254" w:hRule="exact"/>
        </w:trPr>
        <w:tc>
          <w:tcPr>
            <w:tcW w:w="1615" w:type="dxa"/>
          </w:tcPr>
          <w:p>
            <w:pPr>
              <w:pStyle w:val="TableParagraph"/>
              <w:spacing w:before="22"/>
              <w:ind w:left="66" w:right="190"/>
              <w:jc w:val="left"/>
              <w:rPr>
                <w:sz w:val="17"/>
              </w:rPr>
            </w:pPr>
            <w:r>
              <w:rPr>
                <w:w w:val="95"/>
                <w:sz w:val="17"/>
              </w:rPr>
              <w:t>Región Oeste</w:t>
            </w:r>
          </w:p>
        </w:tc>
        <w:tc>
          <w:tcPr>
            <w:tcW w:w="610" w:type="dxa"/>
          </w:tcPr>
          <w:p>
            <w:pPr>
              <w:pStyle w:val="TableParagraph"/>
              <w:spacing w:before="22"/>
              <w:ind w:right="63"/>
              <w:rPr>
                <w:sz w:val="17"/>
              </w:rPr>
            </w:pPr>
            <w:r>
              <w:rPr>
                <w:w w:val="95"/>
                <w:sz w:val="17"/>
              </w:rPr>
              <w:t>0</w:t>
            </w:r>
          </w:p>
        </w:tc>
        <w:tc>
          <w:tcPr>
            <w:tcW w:w="531" w:type="dxa"/>
          </w:tcPr>
          <w:p>
            <w:pPr>
              <w:pStyle w:val="TableParagraph"/>
              <w:spacing w:before="22"/>
              <w:ind w:right="73"/>
              <w:rPr>
                <w:sz w:val="17"/>
              </w:rPr>
            </w:pPr>
            <w:r>
              <w:rPr>
                <w:w w:val="95"/>
                <w:sz w:val="17"/>
              </w:rPr>
              <w:t>46.8</w:t>
            </w:r>
          </w:p>
        </w:tc>
        <w:tc>
          <w:tcPr>
            <w:tcW w:w="509" w:type="dxa"/>
          </w:tcPr>
          <w:p>
            <w:pPr>
              <w:pStyle w:val="TableParagraph"/>
              <w:spacing w:before="22"/>
              <w:ind w:right="62"/>
              <w:rPr>
                <w:sz w:val="17"/>
              </w:rPr>
            </w:pPr>
            <w:r>
              <w:rPr>
                <w:w w:val="95"/>
                <w:sz w:val="17"/>
              </w:rPr>
              <w:t>46.5</w:t>
            </w:r>
          </w:p>
        </w:tc>
        <w:tc>
          <w:tcPr>
            <w:tcW w:w="1593" w:type="dxa"/>
          </w:tcPr>
          <w:p>
            <w:pPr>
              <w:pStyle w:val="TableParagraph"/>
              <w:spacing w:before="22"/>
              <w:ind w:left="64"/>
              <w:jc w:val="left"/>
              <w:rPr>
                <w:sz w:val="17"/>
              </w:rPr>
            </w:pPr>
            <w:r>
              <w:rPr>
                <w:w w:val="95"/>
                <w:sz w:val="17"/>
              </w:rPr>
              <w:t>Región Oeste</w:t>
            </w:r>
          </w:p>
        </w:tc>
        <w:tc>
          <w:tcPr>
            <w:tcW w:w="619" w:type="dxa"/>
          </w:tcPr>
          <w:p>
            <w:pPr>
              <w:pStyle w:val="TableParagraph"/>
              <w:spacing w:before="22"/>
              <w:ind w:right="61"/>
              <w:rPr>
                <w:sz w:val="17"/>
              </w:rPr>
            </w:pPr>
            <w:r>
              <w:rPr>
                <w:w w:val="95"/>
                <w:sz w:val="17"/>
              </w:rPr>
              <w:t>42.3</w:t>
            </w:r>
          </w:p>
        </w:tc>
        <w:tc>
          <w:tcPr>
            <w:tcW w:w="531" w:type="dxa"/>
          </w:tcPr>
          <w:p>
            <w:pPr>
              <w:pStyle w:val="TableParagraph"/>
              <w:spacing w:before="22"/>
              <w:ind w:left="139" w:right="51"/>
              <w:jc w:val="center"/>
              <w:rPr>
                <w:sz w:val="17"/>
              </w:rPr>
            </w:pPr>
            <w:r>
              <w:rPr>
                <w:sz w:val="17"/>
              </w:rPr>
              <w:t>58.8</w:t>
            </w:r>
          </w:p>
        </w:tc>
        <w:tc>
          <w:tcPr>
            <w:tcW w:w="510" w:type="dxa"/>
          </w:tcPr>
          <w:p>
            <w:pPr>
              <w:pStyle w:val="TableParagraph"/>
              <w:spacing w:before="22"/>
              <w:ind w:right="60"/>
              <w:rPr>
                <w:sz w:val="17"/>
              </w:rPr>
            </w:pPr>
            <w:r>
              <w:rPr>
                <w:w w:val="95"/>
                <w:sz w:val="17"/>
              </w:rPr>
              <w:t>57.8</w:t>
            </w:r>
          </w:p>
        </w:tc>
      </w:tr>
      <w:tr>
        <w:trPr>
          <w:trHeight w:val="667" w:hRule="exact"/>
        </w:trPr>
        <w:tc>
          <w:tcPr>
            <w:tcW w:w="1615" w:type="dxa"/>
          </w:tcPr>
          <w:p>
            <w:pPr>
              <w:pStyle w:val="TableParagraph"/>
              <w:spacing w:line="254" w:lineRule="auto" w:before="22"/>
              <w:ind w:left="66" w:right="148"/>
              <w:jc w:val="left"/>
              <w:rPr>
                <w:i/>
                <w:sz w:val="17"/>
              </w:rPr>
            </w:pPr>
            <w:r>
              <w:rPr>
                <w:sz w:val="17"/>
              </w:rPr>
              <w:t>Total </w:t>
            </w:r>
            <w:r>
              <w:rPr>
                <w:i/>
                <w:w w:val="95"/>
                <w:sz w:val="17"/>
              </w:rPr>
              <w:t>Documentación para </w:t>
            </w:r>
            <w:r>
              <w:rPr>
                <w:i/>
                <w:sz w:val="17"/>
              </w:rPr>
              <w:t>Cruzar</w:t>
            </w:r>
          </w:p>
        </w:tc>
        <w:tc>
          <w:tcPr>
            <w:tcW w:w="610" w:type="dxa"/>
          </w:tcPr>
          <w:p>
            <w:pPr>
              <w:pStyle w:val="TableParagraph"/>
              <w:spacing w:before="22"/>
              <w:ind w:right="63"/>
              <w:rPr>
                <w:sz w:val="17"/>
              </w:rPr>
            </w:pPr>
            <w:r>
              <w:rPr>
                <w:w w:val="95"/>
                <w:sz w:val="17"/>
              </w:rPr>
              <w:t>100.0</w:t>
            </w:r>
          </w:p>
        </w:tc>
        <w:tc>
          <w:tcPr>
            <w:tcW w:w="531" w:type="dxa"/>
          </w:tcPr>
          <w:p>
            <w:pPr>
              <w:pStyle w:val="TableParagraph"/>
              <w:spacing w:before="22"/>
              <w:ind w:right="73"/>
              <w:rPr>
                <w:sz w:val="17"/>
              </w:rPr>
            </w:pPr>
            <w:r>
              <w:rPr>
                <w:w w:val="95"/>
                <w:sz w:val="17"/>
              </w:rPr>
              <w:t>100.0</w:t>
            </w:r>
          </w:p>
        </w:tc>
        <w:tc>
          <w:tcPr>
            <w:tcW w:w="509" w:type="dxa"/>
          </w:tcPr>
          <w:p>
            <w:pPr>
              <w:pStyle w:val="TableParagraph"/>
              <w:spacing w:before="22"/>
              <w:ind w:right="62"/>
              <w:rPr>
                <w:sz w:val="17"/>
              </w:rPr>
            </w:pPr>
            <w:r>
              <w:rPr>
                <w:w w:val="95"/>
                <w:sz w:val="17"/>
              </w:rPr>
              <w:t>100.0</w:t>
            </w:r>
          </w:p>
        </w:tc>
        <w:tc>
          <w:tcPr>
            <w:tcW w:w="1593" w:type="dxa"/>
          </w:tcPr>
          <w:p>
            <w:pPr>
              <w:pStyle w:val="TableParagraph"/>
              <w:spacing w:before="22"/>
              <w:ind w:left="64"/>
              <w:jc w:val="left"/>
              <w:rPr>
                <w:sz w:val="17"/>
              </w:rPr>
            </w:pPr>
            <w:r>
              <w:rPr>
                <w:sz w:val="17"/>
              </w:rPr>
              <w:t>Total</w:t>
            </w:r>
          </w:p>
        </w:tc>
        <w:tc>
          <w:tcPr>
            <w:tcW w:w="619" w:type="dxa"/>
          </w:tcPr>
          <w:p>
            <w:pPr>
              <w:pStyle w:val="TableParagraph"/>
              <w:spacing w:before="22"/>
              <w:ind w:right="61"/>
              <w:rPr>
                <w:sz w:val="17"/>
              </w:rPr>
            </w:pPr>
            <w:r>
              <w:rPr>
                <w:w w:val="95"/>
                <w:sz w:val="17"/>
              </w:rPr>
              <w:t>100.0</w:t>
            </w:r>
          </w:p>
        </w:tc>
        <w:tc>
          <w:tcPr>
            <w:tcW w:w="531" w:type="dxa"/>
          </w:tcPr>
          <w:p>
            <w:pPr>
              <w:pStyle w:val="TableParagraph"/>
              <w:spacing w:before="22"/>
              <w:ind w:left="56" w:right="51"/>
              <w:jc w:val="center"/>
              <w:rPr>
                <w:sz w:val="17"/>
              </w:rPr>
            </w:pPr>
            <w:r>
              <w:rPr>
                <w:sz w:val="17"/>
              </w:rPr>
              <w:t>100.0</w:t>
            </w:r>
          </w:p>
        </w:tc>
        <w:tc>
          <w:tcPr>
            <w:tcW w:w="510" w:type="dxa"/>
          </w:tcPr>
          <w:p>
            <w:pPr>
              <w:pStyle w:val="TableParagraph"/>
              <w:spacing w:before="22"/>
              <w:ind w:right="60"/>
              <w:rPr>
                <w:sz w:val="17"/>
              </w:rPr>
            </w:pPr>
            <w:r>
              <w:rPr>
                <w:w w:val="95"/>
                <w:sz w:val="17"/>
              </w:rPr>
              <w:t>100.0</w:t>
            </w:r>
          </w:p>
        </w:tc>
      </w:tr>
      <w:tr>
        <w:trPr>
          <w:trHeight w:val="257" w:hRule="exact"/>
        </w:trPr>
        <w:tc>
          <w:tcPr>
            <w:tcW w:w="1615" w:type="dxa"/>
          </w:tcPr>
          <w:p>
            <w:pPr>
              <w:pStyle w:val="TableParagraph"/>
              <w:spacing w:before="22"/>
              <w:ind w:left="107" w:right="190"/>
              <w:jc w:val="left"/>
              <w:rPr>
                <w:sz w:val="17"/>
              </w:rPr>
            </w:pPr>
            <w:r>
              <w:rPr>
                <w:sz w:val="17"/>
              </w:rPr>
              <w:t>Sí</w:t>
            </w:r>
          </w:p>
        </w:tc>
        <w:tc>
          <w:tcPr>
            <w:tcW w:w="610" w:type="dxa"/>
          </w:tcPr>
          <w:p>
            <w:pPr>
              <w:pStyle w:val="TableParagraph"/>
              <w:spacing w:before="22"/>
              <w:ind w:right="63"/>
              <w:rPr>
                <w:sz w:val="17"/>
              </w:rPr>
            </w:pPr>
            <w:r>
              <w:rPr>
                <w:w w:val="95"/>
                <w:sz w:val="17"/>
              </w:rPr>
              <w:t>5.6</w:t>
            </w:r>
          </w:p>
        </w:tc>
        <w:tc>
          <w:tcPr>
            <w:tcW w:w="531" w:type="dxa"/>
          </w:tcPr>
          <w:p>
            <w:pPr>
              <w:pStyle w:val="TableParagraph"/>
              <w:spacing w:before="22"/>
              <w:ind w:right="73"/>
              <w:rPr>
                <w:sz w:val="17"/>
              </w:rPr>
            </w:pPr>
            <w:r>
              <w:rPr>
                <w:w w:val="95"/>
                <w:sz w:val="17"/>
              </w:rPr>
              <w:t>49.4</w:t>
            </w:r>
          </w:p>
        </w:tc>
        <w:tc>
          <w:tcPr>
            <w:tcW w:w="509" w:type="dxa"/>
          </w:tcPr>
          <w:p>
            <w:pPr>
              <w:pStyle w:val="TableParagraph"/>
              <w:spacing w:before="22"/>
              <w:ind w:right="62"/>
              <w:rPr>
                <w:sz w:val="17"/>
              </w:rPr>
            </w:pPr>
            <w:r>
              <w:rPr>
                <w:w w:val="95"/>
                <w:sz w:val="17"/>
              </w:rPr>
              <w:t>49.2</w:t>
            </w:r>
          </w:p>
        </w:tc>
        <w:tc>
          <w:tcPr>
            <w:tcW w:w="1593" w:type="dxa"/>
          </w:tcPr>
          <w:p>
            <w:pPr>
              <w:pStyle w:val="TableParagraph"/>
              <w:spacing w:before="22"/>
              <w:ind w:left="105"/>
              <w:jc w:val="left"/>
              <w:rPr>
                <w:sz w:val="17"/>
              </w:rPr>
            </w:pPr>
            <w:r>
              <w:rPr>
                <w:sz w:val="17"/>
              </w:rPr>
              <w:t>Sí</w:t>
            </w:r>
          </w:p>
        </w:tc>
        <w:tc>
          <w:tcPr>
            <w:tcW w:w="619" w:type="dxa"/>
          </w:tcPr>
          <w:p>
            <w:pPr>
              <w:pStyle w:val="TableParagraph"/>
              <w:spacing w:before="22"/>
              <w:ind w:right="61"/>
              <w:rPr>
                <w:sz w:val="17"/>
              </w:rPr>
            </w:pPr>
            <w:r>
              <w:rPr>
                <w:w w:val="95"/>
                <w:sz w:val="17"/>
              </w:rPr>
              <w:t>37.5</w:t>
            </w:r>
          </w:p>
        </w:tc>
        <w:tc>
          <w:tcPr>
            <w:tcW w:w="531" w:type="dxa"/>
          </w:tcPr>
          <w:p>
            <w:pPr>
              <w:pStyle w:val="TableParagraph"/>
              <w:spacing w:before="22"/>
              <w:ind w:left="139" w:right="51"/>
              <w:jc w:val="center"/>
              <w:rPr>
                <w:sz w:val="17"/>
              </w:rPr>
            </w:pPr>
            <w:r>
              <w:rPr>
                <w:sz w:val="17"/>
              </w:rPr>
              <w:t>29.3</w:t>
            </w:r>
          </w:p>
        </w:tc>
        <w:tc>
          <w:tcPr>
            <w:tcW w:w="510" w:type="dxa"/>
          </w:tcPr>
          <w:p>
            <w:pPr>
              <w:pStyle w:val="TableParagraph"/>
              <w:spacing w:before="22"/>
              <w:ind w:right="60"/>
              <w:rPr>
                <w:sz w:val="17"/>
              </w:rPr>
            </w:pPr>
            <w:r>
              <w:rPr>
                <w:w w:val="95"/>
                <w:sz w:val="17"/>
              </w:rPr>
              <w:t>29.7</w:t>
            </w:r>
          </w:p>
        </w:tc>
      </w:tr>
      <w:tr>
        <w:trPr>
          <w:trHeight w:val="257" w:hRule="exact"/>
        </w:trPr>
        <w:tc>
          <w:tcPr>
            <w:tcW w:w="1615" w:type="dxa"/>
          </w:tcPr>
          <w:p>
            <w:pPr>
              <w:pStyle w:val="TableParagraph"/>
              <w:spacing w:before="25"/>
              <w:ind w:left="107" w:right="190"/>
              <w:jc w:val="left"/>
              <w:rPr>
                <w:sz w:val="17"/>
              </w:rPr>
            </w:pPr>
            <w:r>
              <w:rPr>
                <w:sz w:val="17"/>
              </w:rPr>
              <w:t>No</w:t>
            </w:r>
          </w:p>
        </w:tc>
        <w:tc>
          <w:tcPr>
            <w:tcW w:w="610" w:type="dxa"/>
          </w:tcPr>
          <w:p>
            <w:pPr>
              <w:pStyle w:val="TableParagraph"/>
              <w:spacing w:before="25"/>
              <w:ind w:right="63"/>
              <w:rPr>
                <w:sz w:val="17"/>
              </w:rPr>
            </w:pPr>
            <w:r>
              <w:rPr>
                <w:w w:val="95"/>
                <w:sz w:val="17"/>
              </w:rPr>
              <w:t>94.4</w:t>
            </w:r>
          </w:p>
        </w:tc>
        <w:tc>
          <w:tcPr>
            <w:tcW w:w="531" w:type="dxa"/>
          </w:tcPr>
          <w:p>
            <w:pPr>
              <w:pStyle w:val="TableParagraph"/>
              <w:spacing w:before="25"/>
              <w:ind w:right="73"/>
              <w:rPr>
                <w:sz w:val="17"/>
              </w:rPr>
            </w:pPr>
            <w:r>
              <w:rPr>
                <w:w w:val="95"/>
                <w:sz w:val="17"/>
              </w:rPr>
              <w:t>50.6</w:t>
            </w:r>
          </w:p>
        </w:tc>
        <w:tc>
          <w:tcPr>
            <w:tcW w:w="509" w:type="dxa"/>
          </w:tcPr>
          <w:p>
            <w:pPr>
              <w:pStyle w:val="TableParagraph"/>
              <w:spacing w:before="25"/>
              <w:ind w:right="62"/>
              <w:rPr>
                <w:sz w:val="17"/>
              </w:rPr>
            </w:pPr>
            <w:r>
              <w:rPr>
                <w:w w:val="95"/>
                <w:sz w:val="17"/>
              </w:rPr>
              <w:t>50.8</w:t>
            </w:r>
          </w:p>
        </w:tc>
        <w:tc>
          <w:tcPr>
            <w:tcW w:w="1593" w:type="dxa"/>
          </w:tcPr>
          <w:p>
            <w:pPr>
              <w:pStyle w:val="TableParagraph"/>
              <w:spacing w:before="25"/>
              <w:ind w:left="105"/>
              <w:jc w:val="left"/>
              <w:rPr>
                <w:sz w:val="17"/>
              </w:rPr>
            </w:pPr>
            <w:r>
              <w:rPr>
                <w:sz w:val="17"/>
              </w:rPr>
              <w:t>No</w:t>
            </w:r>
          </w:p>
        </w:tc>
        <w:tc>
          <w:tcPr>
            <w:tcW w:w="619" w:type="dxa"/>
          </w:tcPr>
          <w:p>
            <w:pPr>
              <w:pStyle w:val="TableParagraph"/>
              <w:spacing w:before="25"/>
              <w:ind w:right="61"/>
              <w:rPr>
                <w:sz w:val="17"/>
              </w:rPr>
            </w:pPr>
            <w:r>
              <w:rPr>
                <w:w w:val="95"/>
                <w:sz w:val="17"/>
              </w:rPr>
              <w:t>62.5</w:t>
            </w:r>
          </w:p>
        </w:tc>
        <w:tc>
          <w:tcPr>
            <w:tcW w:w="531" w:type="dxa"/>
          </w:tcPr>
          <w:p>
            <w:pPr>
              <w:pStyle w:val="TableParagraph"/>
              <w:spacing w:before="25"/>
              <w:ind w:left="139" w:right="51"/>
              <w:jc w:val="center"/>
              <w:rPr>
                <w:sz w:val="17"/>
              </w:rPr>
            </w:pPr>
            <w:r>
              <w:rPr>
                <w:sz w:val="17"/>
              </w:rPr>
              <w:t>70.7</w:t>
            </w:r>
          </w:p>
        </w:tc>
        <w:tc>
          <w:tcPr>
            <w:tcW w:w="510" w:type="dxa"/>
          </w:tcPr>
          <w:p>
            <w:pPr>
              <w:pStyle w:val="TableParagraph"/>
              <w:spacing w:before="25"/>
              <w:ind w:right="60"/>
              <w:rPr>
                <w:sz w:val="17"/>
              </w:rPr>
            </w:pPr>
            <w:r>
              <w:rPr>
                <w:w w:val="95"/>
                <w:sz w:val="17"/>
              </w:rPr>
              <w:t>70.3</w:t>
            </w:r>
          </w:p>
        </w:tc>
      </w:tr>
      <w:tr>
        <w:trPr>
          <w:trHeight w:val="667" w:hRule="exact"/>
        </w:trPr>
        <w:tc>
          <w:tcPr>
            <w:tcW w:w="1615" w:type="dxa"/>
          </w:tcPr>
          <w:p>
            <w:pPr>
              <w:pStyle w:val="TableParagraph"/>
              <w:spacing w:line="254" w:lineRule="auto" w:before="22"/>
              <w:ind w:left="66" w:right="148"/>
              <w:jc w:val="left"/>
              <w:rPr>
                <w:i/>
                <w:sz w:val="17"/>
              </w:rPr>
            </w:pPr>
            <w:r>
              <w:rPr>
                <w:sz w:val="17"/>
              </w:rPr>
              <w:t>Total </w:t>
            </w:r>
            <w:r>
              <w:rPr>
                <w:i/>
                <w:w w:val="95"/>
                <w:sz w:val="17"/>
              </w:rPr>
              <w:t>Documentación para </w:t>
            </w:r>
            <w:r>
              <w:rPr>
                <w:i/>
                <w:sz w:val="17"/>
              </w:rPr>
              <w:t>trabajar</w:t>
            </w:r>
          </w:p>
        </w:tc>
        <w:tc>
          <w:tcPr>
            <w:tcW w:w="610" w:type="dxa"/>
          </w:tcPr>
          <w:p>
            <w:pPr>
              <w:pStyle w:val="TableParagraph"/>
              <w:spacing w:before="22"/>
              <w:ind w:right="63"/>
              <w:rPr>
                <w:sz w:val="17"/>
              </w:rPr>
            </w:pPr>
            <w:r>
              <w:rPr>
                <w:w w:val="95"/>
                <w:sz w:val="17"/>
              </w:rPr>
              <w:t>100.0</w:t>
            </w:r>
          </w:p>
        </w:tc>
        <w:tc>
          <w:tcPr>
            <w:tcW w:w="531" w:type="dxa"/>
          </w:tcPr>
          <w:p>
            <w:pPr>
              <w:pStyle w:val="TableParagraph"/>
              <w:spacing w:before="22"/>
              <w:ind w:right="73"/>
              <w:rPr>
                <w:sz w:val="17"/>
              </w:rPr>
            </w:pPr>
            <w:r>
              <w:rPr>
                <w:w w:val="95"/>
                <w:sz w:val="17"/>
              </w:rPr>
              <w:t>100.0</w:t>
            </w:r>
          </w:p>
        </w:tc>
        <w:tc>
          <w:tcPr>
            <w:tcW w:w="509" w:type="dxa"/>
          </w:tcPr>
          <w:p>
            <w:pPr>
              <w:pStyle w:val="TableParagraph"/>
              <w:spacing w:before="22"/>
              <w:ind w:right="62"/>
              <w:rPr>
                <w:sz w:val="17"/>
              </w:rPr>
            </w:pPr>
            <w:r>
              <w:rPr>
                <w:w w:val="95"/>
                <w:sz w:val="17"/>
              </w:rPr>
              <w:t>100.0</w:t>
            </w:r>
          </w:p>
        </w:tc>
        <w:tc>
          <w:tcPr>
            <w:tcW w:w="1593" w:type="dxa"/>
          </w:tcPr>
          <w:p>
            <w:pPr>
              <w:pStyle w:val="TableParagraph"/>
              <w:spacing w:before="22"/>
              <w:ind w:left="64"/>
              <w:jc w:val="left"/>
              <w:rPr>
                <w:sz w:val="17"/>
              </w:rPr>
            </w:pPr>
            <w:r>
              <w:rPr>
                <w:sz w:val="17"/>
              </w:rPr>
              <w:t>Total</w:t>
            </w:r>
          </w:p>
        </w:tc>
        <w:tc>
          <w:tcPr>
            <w:tcW w:w="619" w:type="dxa"/>
          </w:tcPr>
          <w:p>
            <w:pPr>
              <w:pStyle w:val="TableParagraph"/>
              <w:spacing w:before="22"/>
              <w:ind w:right="61"/>
              <w:rPr>
                <w:sz w:val="17"/>
              </w:rPr>
            </w:pPr>
            <w:r>
              <w:rPr>
                <w:w w:val="95"/>
                <w:sz w:val="17"/>
              </w:rPr>
              <w:t>100.0</w:t>
            </w:r>
          </w:p>
        </w:tc>
        <w:tc>
          <w:tcPr>
            <w:tcW w:w="531" w:type="dxa"/>
          </w:tcPr>
          <w:p>
            <w:pPr>
              <w:pStyle w:val="TableParagraph"/>
              <w:spacing w:before="22"/>
              <w:ind w:left="56" w:right="51"/>
              <w:jc w:val="center"/>
              <w:rPr>
                <w:sz w:val="17"/>
              </w:rPr>
            </w:pPr>
            <w:r>
              <w:rPr>
                <w:sz w:val="17"/>
              </w:rPr>
              <w:t>100.0</w:t>
            </w:r>
          </w:p>
        </w:tc>
        <w:tc>
          <w:tcPr>
            <w:tcW w:w="510" w:type="dxa"/>
          </w:tcPr>
          <w:p>
            <w:pPr>
              <w:pStyle w:val="TableParagraph"/>
              <w:spacing w:before="22"/>
              <w:ind w:right="60"/>
              <w:rPr>
                <w:sz w:val="17"/>
              </w:rPr>
            </w:pPr>
            <w:r>
              <w:rPr>
                <w:w w:val="95"/>
                <w:sz w:val="17"/>
              </w:rPr>
              <w:t>100.0</w:t>
            </w:r>
          </w:p>
        </w:tc>
      </w:tr>
      <w:tr>
        <w:trPr>
          <w:trHeight w:val="254" w:hRule="exact"/>
        </w:trPr>
        <w:tc>
          <w:tcPr>
            <w:tcW w:w="1615" w:type="dxa"/>
          </w:tcPr>
          <w:p>
            <w:pPr>
              <w:pStyle w:val="TableParagraph"/>
              <w:spacing w:before="22"/>
              <w:ind w:left="66" w:right="190"/>
              <w:jc w:val="left"/>
              <w:rPr>
                <w:sz w:val="17"/>
              </w:rPr>
            </w:pPr>
            <w:r>
              <w:rPr>
                <w:sz w:val="17"/>
              </w:rPr>
              <w:t>Sí</w:t>
            </w:r>
          </w:p>
        </w:tc>
        <w:tc>
          <w:tcPr>
            <w:tcW w:w="610" w:type="dxa"/>
          </w:tcPr>
          <w:p>
            <w:pPr>
              <w:pStyle w:val="TableParagraph"/>
              <w:spacing w:before="22"/>
              <w:ind w:right="63"/>
              <w:rPr>
                <w:sz w:val="17"/>
              </w:rPr>
            </w:pPr>
            <w:r>
              <w:rPr>
                <w:w w:val="95"/>
                <w:sz w:val="17"/>
              </w:rPr>
              <w:t>94.4</w:t>
            </w:r>
          </w:p>
        </w:tc>
        <w:tc>
          <w:tcPr>
            <w:tcW w:w="531" w:type="dxa"/>
          </w:tcPr>
          <w:p>
            <w:pPr>
              <w:pStyle w:val="TableParagraph"/>
              <w:spacing w:before="22"/>
              <w:ind w:right="73"/>
              <w:rPr>
                <w:sz w:val="17"/>
              </w:rPr>
            </w:pPr>
            <w:r>
              <w:rPr>
                <w:w w:val="95"/>
                <w:sz w:val="17"/>
              </w:rPr>
              <w:t>16.8</w:t>
            </w:r>
          </w:p>
        </w:tc>
        <w:tc>
          <w:tcPr>
            <w:tcW w:w="509" w:type="dxa"/>
          </w:tcPr>
          <w:p>
            <w:pPr>
              <w:pStyle w:val="TableParagraph"/>
              <w:spacing w:before="22"/>
              <w:ind w:right="62"/>
              <w:rPr>
                <w:sz w:val="17"/>
              </w:rPr>
            </w:pPr>
            <w:r>
              <w:rPr>
                <w:w w:val="95"/>
                <w:sz w:val="17"/>
              </w:rPr>
              <w:t>17.2</w:t>
            </w:r>
          </w:p>
        </w:tc>
        <w:tc>
          <w:tcPr>
            <w:tcW w:w="1593" w:type="dxa"/>
          </w:tcPr>
          <w:p>
            <w:pPr>
              <w:pStyle w:val="TableParagraph"/>
              <w:spacing w:before="22"/>
              <w:ind w:left="64"/>
              <w:jc w:val="left"/>
              <w:rPr>
                <w:sz w:val="17"/>
              </w:rPr>
            </w:pPr>
            <w:r>
              <w:rPr>
                <w:sz w:val="17"/>
              </w:rPr>
              <w:t>SI</w:t>
            </w:r>
          </w:p>
        </w:tc>
        <w:tc>
          <w:tcPr>
            <w:tcW w:w="619" w:type="dxa"/>
          </w:tcPr>
          <w:p>
            <w:pPr>
              <w:pStyle w:val="TableParagraph"/>
              <w:spacing w:before="22"/>
              <w:ind w:right="61"/>
              <w:rPr>
                <w:sz w:val="17"/>
              </w:rPr>
            </w:pPr>
            <w:r>
              <w:rPr>
                <w:w w:val="95"/>
                <w:sz w:val="17"/>
              </w:rPr>
              <w:t>0</w:t>
            </w:r>
          </w:p>
        </w:tc>
        <w:tc>
          <w:tcPr>
            <w:tcW w:w="531" w:type="dxa"/>
          </w:tcPr>
          <w:p>
            <w:pPr>
              <w:pStyle w:val="TableParagraph"/>
              <w:spacing w:before="22"/>
              <w:ind w:left="139" w:right="51"/>
              <w:jc w:val="center"/>
              <w:rPr>
                <w:sz w:val="17"/>
              </w:rPr>
            </w:pPr>
            <w:r>
              <w:rPr>
                <w:sz w:val="17"/>
              </w:rPr>
              <w:t>12.1</w:t>
            </w:r>
          </w:p>
        </w:tc>
        <w:tc>
          <w:tcPr>
            <w:tcW w:w="510" w:type="dxa"/>
          </w:tcPr>
          <w:p>
            <w:pPr>
              <w:pStyle w:val="TableParagraph"/>
              <w:spacing w:before="22"/>
              <w:ind w:right="60"/>
              <w:rPr>
                <w:sz w:val="17"/>
              </w:rPr>
            </w:pPr>
            <w:r>
              <w:rPr>
                <w:w w:val="95"/>
                <w:sz w:val="17"/>
              </w:rPr>
              <w:t>11.4</w:t>
            </w:r>
          </w:p>
        </w:tc>
      </w:tr>
      <w:tr>
        <w:trPr>
          <w:trHeight w:val="262" w:hRule="exact"/>
        </w:trPr>
        <w:tc>
          <w:tcPr>
            <w:tcW w:w="1615" w:type="dxa"/>
          </w:tcPr>
          <w:p>
            <w:pPr>
              <w:pStyle w:val="TableParagraph"/>
              <w:spacing w:before="22"/>
              <w:ind w:left="66" w:right="190"/>
              <w:jc w:val="left"/>
              <w:rPr>
                <w:sz w:val="17"/>
              </w:rPr>
            </w:pPr>
            <w:r>
              <w:rPr>
                <w:sz w:val="17"/>
              </w:rPr>
              <w:t>No</w:t>
            </w:r>
          </w:p>
        </w:tc>
        <w:tc>
          <w:tcPr>
            <w:tcW w:w="610" w:type="dxa"/>
          </w:tcPr>
          <w:p>
            <w:pPr>
              <w:pStyle w:val="TableParagraph"/>
              <w:spacing w:before="22"/>
              <w:ind w:right="63"/>
              <w:rPr>
                <w:sz w:val="17"/>
              </w:rPr>
            </w:pPr>
            <w:r>
              <w:rPr>
                <w:w w:val="95"/>
                <w:sz w:val="17"/>
              </w:rPr>
              <w:t>5.6</w:t>
            </w:r>
          </w:p>
        </w:tc>
        <w:tc>
          <w:tcPr>
            <w:tcW w:w="531" w:type="dxa"/>
          </w:tcPr>
          <w:p>
            <w:pPr>
              <w:pStyle w:val="TableParagraph"/>
              <w:spacing w:before="22"/>
              <w:ind w:right="73"/>
              <w:rPr>
                <w:sz w:val="17"/>
              </w:rPr>
            </w:pPr>
            <w:r>
              <w:rPr>
                <w:w w:val="95"/>
                <w:sz w:val="17"/>
              </w:rPr>
              <w:t>83.2</w:t>
            </w:r>
          </w:p>
        </w:tc>
        <w:tc>
          <w:tcPr>
            <w:tcW w:w="509" w:type="dxa"/>
          </w:tcPr>
          <w:p>
            <w:pPr>
              <w:pStyle w:val="TableParagraph"/>
              <w:spacing w:before="22"/>
              <w:ind w:right="62"/>
              <w:rPr>
                <w:sz w:val="17"/>
              </w:rPr>
            </w:pPr>
            <w:r>
              <w:rPr>
                <w:w w:val="95"/>
                <w:sz w:val="17"/>
              </w:rPr>
              <w:t>82.8</w:t>
            </w:r>
          </w:p>
        </w:tc>
        <w:tc>
          <w:tcPr>
            <w:tcW w:w="1593" w:type="dxa"/>
          </w:tcPr>
          <w:p>
            <w:pPr>
              <w:pStyle w:val="TableParagraph"/>
              <w:spacing w:before="22"/>
              <w:ind w:left="64"/>
              <w:jc w:val="left"/>
              <w:rPr>
                <w:sz w:val="17"/>
              </w:rPr>
            </w:pPr>
            <w:r>
              <w:rPr>
                <w:sz w:val="17"/>
              </w:rPr>
              <w:t>NO</w:t>
            </w:r>
          </w:p>
        </w:tc>
        <w:tc>
          <w:tcPr>
            <w:tcW w:w="619" w:type="dxa"/>
          </w:tcPr>
          <w:p>
            <w:pPr>
              <w:pStyle w:val="TableParagraph"/>
              <w:spacing w:before="22"/>
              <w:ind w:right="61"/>
              <w:rPr>
                <w:sz w:val="17"/>
              </w:rPr>
            </w:pPr>
            <w:r>
              <w:rPr>
                <w:w w:val="95"/>
                <w:sz w:val="17"/>
              </w:rPr>
              <w:t>100.0</w:t>
            </w:r>
          </w:p>
        </w:tc>
        <w:tc>
          <w:tcPr>
            <w:tcW w:w="531" w:type="dxa"/>
          </w:tcPr>
          <w:p>
            <w:pPr>
              <w:pStyle w:val="TableParagraph"/>
              <w:spacing w:before="22"/>
              <w:ind w:left="139" w:right="51"/>
              <w:jc w:val="center"/>
              <w:rPr>
                <w:sz w:val="17"/>
              </w:rPr>
            </w:pPr>
            <w:r>
              <w:rPr>
                <w:sz w:val="17"/>
              </w:rPr>
              <w:t>87.9</w:t>
            </w:r>
          </w:p>
        </w:tc>
        <w:tc>
          <w:tcPr>
            <w:tcW w:w="510" w:type="dxa"/>
          </w:tcPr>
          <w:p>
            <w:pPr>
              <w:pStyle w:val="TableParagraph"/>
              <w:spacing w:before="22"/>
              <w:ind w:right="60"/>
              <w:rPr>
                <w:sz w:val="17"/>
              </w:rPr>
            </w:pPr>
            <w:r>
              <w:rPr>
                <w:w w:val="95"/>
                <w:sz w:val="17"/>
              </w:rPr>
              <w:t>88.6</w:t>
            </w:r>
          </w:p>
        </w:tc>
      </w:tr>
      <w:tr>
        <w:trPr>
          <w:trHeight w:val="246" w:hRule="exact"/>
        </w:trPr>
        <w:tc>
          <w:tcPr>
            <w:tcW w:w="1615" w:type="dxa"/>
            <w:tcBorders>
              <w:bottom w:val="double" w:sz="4" w:space="0" w:color="000000"/>
            </w:tcBorders>
          </w:tcPr>
          <w:p>
            <w:pPr>
              <w:pStyle w:val="TableParagraph"/>
              <w:spacing w:before="30"/>
              <w:ind w:left="66" w:right="190"/>
              <w:jc w:val="left"/>
              <w:rPr>
                <w:sz w:val="17"/>
              </w:rPr>
            </w:pPr>
            <w:r>
              <w:rPr>
                <w:sz w:val="17"/>
              </w:rPr>
              <w:t>Total</w:t>
            </w:r>
          </w:p>
        </w:tc>
        <w:tc>
          <w:tcPr>
            <w:tcW w:w="610" w:type="dxa"/>
            <w:tcBorders>
              <w:bottom w:val="double" w:sz="4" w:space="0" w:color="000000"/>
            </w:tcBorders>
          </w:tcPr>
          <w:p>
            <w:pPr>
              <w:pStyle w:val="TableParagraph"/>
              <w:spacing w:before="30"/>
              <w:ind w:right="63"/>
              <w:rPr>
                <w:sz w:val="17"/>
              </w:rPr>
            </w:pPr>
            <w:r>
              <w:rPr>
                <w:w w:val="95"/>
                <w:sz w:val="17"/>
              </w:rPr>
              <w:t>100.0</w:t>
            </w:r>
          </w:p>
        </w:tc>
        <w:tc>
          <w:tcPr>
            <w:tcW w:w="531" w:type="dxa"/>
            <w:tcBorders>
              <w:bottom w:val="double" w:sz="4" w:space="0" w:color="000000"/>
            </w:tcBorders>
          </w:tcPr>
          <w:p>
            <w:pPr>
              <w:pStyle w:val="TableParagraph"/>
              <w:spacing w:before="30"/>
              <w:ind w:right="73"/>
              <w:rPr>
                <w:sz w:val="17"/>
              </w:rPr>
            </w:pPr>
            <w:r>
              <w:rPr>
                <w:w w:val="95"/>
                <w:sz w:val="17"/>
              </w:rPr>
              <w:t>100.0</w:t>
            </w:r>
          </w:p>
        </w:tc>
        <w:tc>
          <w:tcPr>
            <w:tcW w:w="509" w:type="dxa"/>
            <w:tcBorders>
              <w:bottom w:val="double" w:sz="4" w:space="0" w:color="000000"/>
            </w:tcBorders>
          </w:tcPr>
          <w:p>
            <w:pPr>
              <w:pStyle w:val="TableParagraph"/>
              <w:spacing w:before="30"/>
              <w:ind w:right="62"/>
              <w:rPr>
                <w:sz w:val="17"/>
              </w:rPr>
            </w:pPr>
            <w:r>
              <w:rPr>
                <w:w w:val="95"/>
                <w:sz w:val="17"/>
              </w:rPr>
              <w:t>100.0</w:t>
            </w:r>
          </w:p>
        </w:tc>
        <w:tc>
          <w:tcPr>
            <w:tcW w:w="1593" w:type="dxa"/>
            <w:tcBorders>
              <w:bottom w:val="double" w:sz="4" w:space="0" w:color="000000"/>
            </w:tcBorders>
          </w:tcPr>
          <w:p>
            <w:pPr>
              <w:pStyle w:val="TableParagraph"/>
              <w:spacing w:before="30"/>
              <w:ind w:left="64"/>
              <w:jc w:val="left"/>
              <w:rPr>
                <w:sz w:val="17"/>
              </w:rPr>
            </w:pPr>
            <w:r>
              <w:rPr>
                <w:sz w:val="17"/>
              </w:rPr>
              <w:t>Total</w:t>
            </w:r>
          </w:p>
        </w:tc>
        <w:tc>
          <w:tcPr>
            <w:tcW w:w="619" w:type="dxa"/>
            <w:tcBorders>
              <w:bottom w:val="double" w:sz="4" w:space="0" w:color="000000"/>
            </w:tcBorders>
          </w:tcPr>
          <w:p>
            <w:pPr>
              <w:pStyle w:val="TableParagraph"/>
              <w:spacing w:before="30"/>
              <w:ind w:right="61"/>
              <w:rPr>
                <w:sz w:val="17"/>
              </w:rPr>
            </w:pPr>
            <w:r>
              <w:rPr>
                <w:w w:val="95"/>
                <w:sz w:val="17"/>
              </w:rPr>
              <w:t>100.0</w:t>
            </w:r>
          </w:p>
        </w:tc>
        <w:tc>
          <w:tcPr>
            <w:tcW w:w="531" w:type="dxa"/>
            <w:tcBorders>
              <w:bottom w:val="double" w:sz="4" w:space="0" w:color="000000"/>
            </w:tcBorders>
          </w:tcPr>
          <w:p>
            <w:pPr>
              <w:pStyle w:val="TableParagraph"/>
              <w:spacing w:before="30"/>
              <w:ind w:left="56" w:right="51"/>
              <w:jc w:val="center"/>
              <w:rPr>
                <w:sz w:val="17"/>
              </w:rPr>
            </w:pPr>
            <w:r>
              <w:rPr>
                <w:sz w:val="17"/>
              </w:rPr>
              <w:t>100.0</w:t>
            </w:r>
          </w:p>
        </w:tc>
        <w:tc>
          <w:tcPr>
            <w:tcW w:w="510" w:type="dxa"/>
            <w:tcBorders>
              <w:bottom w:val="double" w:sz="4" w:space="0" w:color="000000"/>
            </w:tcBorders>
          </w:tcPr>
          <w:p>
            <w:pPr>
              <w:pStyle w:val="TableParagraph"/>
              <w:spacing w:before="30"/>
              <w:ind w:right="60"/>
              <w:rPr>
                <w:sz w:val="17"/>
              </w:rPr>
            </w:pPr>
            <w:r>
              <w:rPr>
                <w:w w:val="95"/>
                <w:sz w:val="17"/>
              </w:rPr>
              <w:t>100.0</w:t>
            </w:r>
          </w:p>
        </w:tc>
      </w:tr>
    </w:tbl>
    <w:p>
      <w:pPr>
        <w:spacing w:line="168" w:lineRule="exact" w:before="0"/>
        <w:ind w:left="185" w:right="117" w:firstLine="0"/>
        <w:jc w:val="left"/>
        <w:rPr>
          <w:sz w:val="16"/>
        </w:rPr>
      </w:pPr>
      <w:r>
        <w:rPr>
          <w:w w:val="95"/>
          <w:sz w:val="16"/>
        </w:rPr>
        <w:t>Fuente:</w:t>
      </w:r>
      <w:r>
        <w:rPr>
          <w:spacing w:val="-18"/>
          <w:w w:val="95"/>
          <w:sz w:val="16"/>
        </w:rPr>
        <w:t> </w:t>
      </w:r>
      <w:r>
        <w:rPr>
          <w:w w:val="95"/>
          <w:sz w:val="16"/>
        </w:rPr>
        <w:t>Encuesta</w:t>
      </w:r>
      <w:r>
        <w:rPr>
          <w:spacing w:val="-18"/>
          <w:w w:val="95"/>
          <w:sz w:val="16"/>
        </w:rPr>
        <w:t> </w:t>
      </w:r>
      <w:r>
        <w:rPr>
          <w:w w:val="95"/>
          <w:sz w:val="16"/>
        </w:rPr>
        <w:t>sobre</w:t>
      </w:r>
      <w:r>
        <w:rPr>
          <w:spacing w:val="-18"/>
          <w:w w:val="95"/>
          <w:sz w:val="16"/>
        </w:rPr>
        <w:t> </w:t>
      </w:r>
      <w:r>
        <w:rPr>
          <w:w w:val="95"/>
          <w:sz w:val="16"/>
        </w:rPr>
        <w:t>Migración</w:t>
      </w:r>
      <w:r>
        <w:rPr>
          <w:spacing w:val="-18"/>
          <w:w w:val="95"/>
          <w:sz w:val="16"/>
        </w:rPr>
        <w:t> </w:t>
      </w:r>
      <w:r>
        <w:rPr>
          <w:w w:val="95"/>
          <w:sz w:val="16"/>
        </w:rPr>
        <w:t>en</w:t>
      </w:r>
      <w:r>
        <w:rPr>
          <w:spacing w:val="-18"/>
          <w:w w:val="95"/>
          <w:sz w:val="16"/>
        </w:rPr>
        <w:t> </w:t>
      </w:r>
      <w:r>
        <w:rPr>
          <w:w w:val="95"/>
          <w:sz w:val="16"/>
        </w:rPr>
        <w:t>la</w:t>
      </w:r>
      <w:r>
        <w:rPr>
          <w:spacing w:val="-18"/>
          <w:w w:val="95"/>
          <w:sz w:val="16"/>
        </w:rPr>
        <w:t> </w:t>
      </w:r>
      <w:r>
        <w:rPr>
          <w:w w:val="95"/>
          <w:sz w:val="16"/>
        </w:rPr>
        <w:t>Frontera</w:t>
      </w:r>
      <w:r>
        <w:rPr>
          <w:spacing w:val="-18"/>
          <w:w w:val="95"/>
          <w:sz w:val="16"/>
        </w:rPr>
        <w:t> </w:t>
      </w:r>
      <w:r>
        <w:rPr>
          <w:w w:val="95"/>
          <w:sz w:val="16"/>
        </w:rPr>
        <w:t>Norte</w:t>
      </w:r>
      <w:r>
        <w:rPr>
          <w:spacing w:val="-18"/>
          <w:w w:val="95"/>
          <w:sz w:val="16"/>
        </w:rPr>
        <w:t> </w:t>
      </w:r>
      <w:r>
        <w:rPr>
          <w:w w:val="95"/>
          <w:sz w:val="16"/>
        </w:rPr>
        <w:t>de</w:t>
      </w:r>
      <w:r>
        <w:rPr>
          <w:spacing w:val="-18"/>
          <w:w w:val="95"/>
          <w:sz w:val="16"/>
        </w:rPr>
        <w:t> </w:t>
      </w:r>
      <w:r>
        <w:rPr>
          <w:w w:val="95"/>
          <w:sz w:val="16"/>
        </w:rPr>
        <w:t>México,</w:t>
      </w:r>
      <w:r>
        <w:rPr>
          <w:spacing w:val="-18"/>
          <w:w w:val="95"/>
          <w:sz w:val="16"/>
        </w:rPr>
        <w:t> </w:t>
      </w:r>
      <w:r>
        <w:rPr>
          <w:w w:val="95"/>
          <w:sz w:val="16"/>
        </w:rPr>
        <w:t>El</w:t>
      </w:r>
      <w:r>
        <w:rPr>
          <w:spacing w:val="-18"/>
          <w:w w:val="95"/>
          <w:sz w:val="16"/>
        </w:rPr>
        <w:t> </w:t>
      </w:r>
      <w:r>
        <w:rPr>
          <w:w w:val="95"/>
          <w:sz w:val="16"/>
        </w:rPr>
        <w:t>Colegio</w:t>
      </w:r>
      <w:r>
        <w:rPr>
          <w:spacing w:val="-18"/>
          <w:w w:val="95"/>
          <w:sz w:val="16"/>
        </w:rPr>
        <w:t> </w:t>
      </w:r>
      <w:r>
        <w:rPr>
          <w:w w:val="95"/>
          <w:sz w:val="16"/>
        </w:rPr>
        <w:t>de</w:t>
      </w:r>
      <w:r>
        <w:rPr>
          <w:spacing w:val="-18"/>
          <w:w w:val="95"/>
          <w:sz w:val="16"/>
        </w:rPr>
        <w:t> </w:t>
      </w:r>
      <w:r>
        <w:rPr>
          <w:w w:val="95"/>
          <w:sz w:val="16"/>
        </w:rPr>
        <w:t>la</w:t>
      </w:r>
      <w:r>
        <w:rPr>
          <w:spacing w:val="-18"/>
          <w:w w:val="95"/>
          <w:sz w:val="16"/>
        </w:rPr>
        <w:t> </w:t>
      </w:r>
      <w:r>
        <w:rPr>
          <w:w w:val="95"/>
          <w:sz w:val="16"/>
        </w:rPr>
        <w:t>Frontera</w:t>
      </w:r>
      <w:r>
        <w:rPr>
          <w:spacing w:val="-18"/>
          <w:w w:val="95"/>
          <w:sz w:val="16"/>
        </w:rPr>
        <w:t> </w:t>
      </w:r>
      <w:r>
        <w:rPr>
          <w:w w:val="95"/>
          <w:sz w:val="16"/>
        </w:rPr>
        <w:t>Norte,</w:t>
      </w:r>
      <w:r>
        <w:rPr>
          <w:spacing w:val="-18"/>
          <w:w w:val="95"/>
          <w:sz w:val="16"/>
        </w:rPr>
        <w:t> </w:t>
      </w:r>
      <w:r>
        <w:rPr>
          <w:w w:val="95"/>
          <w:sz w:val="16"/>
        </w:rPr>
        <w:t>Consejo</w:t>
      </w:r>
    </w:p>
    <w:p>
      <w:pPr>
        <w:spacing w:line="183" w:lineRule="exact" w:before="0"/>
        <w:ind w:left="185" w:right="117" w:firstLine="0"/>
        <w:jc w:val="left"/>
        <w:rPr>
          <w:sz w:val="16"/>
        </w:rPr>
      </w:pPr>
      <w:r>
        <w:rPr>
          <w:w w:val="95"/>
          <w:sz w:val="16"/>
        </w:rPr>
        <w:t>Nacional de Población y la Secretaría del Trabajo y de la Previsión Social.</w:t>
      </w:r>
    </w:p>
    <w:p>
      <w:pPr>
        <w:pStyle w:val="BodyText"/>
        <w:spacing w:before="6"/>
        <w:rPr>
          <w:sz w:val="14"/>
        </w:rPr>
      </w:pPr>
    </w:p>
    <w:p>
      <w:pPr>
        <w:pStyle w:val="BodyText"/>
        <w:spacing w:line="247" w:lineRule="auto"/>
        <w:ind w:left="117" w:right="115" w:firstLine="283"/>
        <w:jc w:val="both"/>
      </w:pPr>
      <w:r>
        <w:rPr>
          <w:color w:val="231F20"/>
        </w:rPr>
        <w:t>En cuanto a su condición de actividad, la mayoría de los migrantes indígenas tenían trabajo antes de partir (100 por ciento en ambos años) y para los no indígenas (91 y 93 por ciento para el año 2000 y 2009, respec- tivamente).</w:t>
      </w:r>
    </w:p>
    <w:p>
      <w:pPr>
        <w:pStyle w:val="BodyText"/>
        <w:spacing w:line="247" w:lineRule="auto"/>
        <w:ind w:left="117" w:right="114" w:firstLine="283"/>
        <w:jc w:val="both"/>
      </w:pPr>
      <w:r>
        <w:rPr>
          <w:color w:val="231F20"/>
        </w:rPr>
        <w:t>A pesar de tener un trabajo los migrantes indígenas y no indígenas no ganaban suficiente para mantener a sus familias o tenían empleos de baja calidad, lo cual se puede constatar con la prestación social a la cual tenían acceso. Por parte de los indígenas, 100 por ciento no contaba con alguna prestación social en 2000 y en 2009, esta cifra se ubicó en 34 por ciento. Esto es porque 24 por ciento no tenía trabajo o buscó trabajo o estaba en otra condición. Esto también podría ser un reflejo de la crisis económica que</w:t>
      </w:r>
      <w:r>
        <w:rPr>
          <w:color w:val="231F20"/>
          <w:spacing w:val="-6"/>
        </w:rPr>
        <w:t> </w:t>
      </w:r>
      <w:r>
        <w:rPr>
          <w:color w:val="231F20"/>
        </w:rPr>
        <w:t>impactó</w:t>
      </w:r>
      <w:r>
        <w:rPr>
          <w:color w:val="231F20"/>
          <w:spacing w:val="-7"/>
        </w:rPr>
        <w:t> </w:t>
      </w:r>
      <w:r>
        <w:rPr>
          <w:color w:val="231F20"/>
        </w:rPr>
        <w:t>en</w:t>
      </w:r>
      <w:r>
        <w:rPr>
          <w:color w:val="231F20"/>
          <w:spacing w:val="-6"/>
        </w:rPr>
        <w:t> </w:t>
      </w:r>
      <w:r>
        <w:rPr>
          <w:color w:val="231F20"/>
        </w:rPr>
        <w:t>los</w:t>
      </w:r>
      <w:r>
        <w:rPr>
          <w:color w:val="231F20"/>
          <w:spacing w:val="-6"/>
        </w:rPr>
        <w:t> </w:t>
      </w:r>
      <w:r>
        <w:rPr>
          <w:color w:val="231F20"/>
        </w:rPr>
        <w:t>indígenas</w:t>
      </w:r>
      <w:r>
        <w:rPr>
          <w:color w:val="231F20"/>
          <w:spacing w:val="-7"/>
        </w:rPr>
        <w:t> </w:t>
      </w:r>
      <w:r>
        <w:rPr>
          <w:color w:val="231F20"/>
        </w:rPr>
        <w:t>y</w:t>
      </w:r>
      <w:r>
        <w:rPr>
          <w:color w:val="231F20"/>
          <w:spacing w:val="-6"/>
        </w:rPr>
        <w:t> </w:t>
      </w:r>
      <w:r>
        <w:rPr>
          <w:color w:val="231F20"/>
        </w:rPr>
        <w:t>no</w:t>
      </w:r>
      <w:r>
        <w:rPr>
          <w:color w:val="231F20"/>
          <w:spacing w:val="-6"/>
        </w:rPr>
        <w:t> </w:t>
      </w:r>
      <w:r>
        <w:rPr>
          <w:color w:val="231F20"/>
        </w:rPr>
        <w:t>indígenas</w:t>
      </w:r>
      <w:r>
        <w:rPr>
          <w:color w:val="231F20"/>
          <w:spacing w:val="-7"/>
        </w:rPr>
        <w:t> </w:t>
      </w:r>
      <w:r>
        <w:rPr>
          <w:color w:val="231F20"/>
        </w:rPr>
        <w:t>de</w:t>
      </w:r>
      <w:r>
        <w:rPr>
          <w:color w:val="231F20"/>
          <w:spacing w:val="-6"/>
        </w:rPr>
        <w:t> </w:t>
      </w:r>
      <w:r>
        <w:rPr>
          <w:color w:val="231F20"/>
        </w:rPr>
        <w:t>manera</w:t>
      </w:r>
      <w:r>
        <w:rPr>
          <w:color w:val="231F20"/>
          <w:spacing w:val="-7"/>
        </w:rPr>
        <w:t> </w:t>
      </w:r>
      <w:r>
        <w:rPr>
          <w:color w:val="231F20"/>
        </w:rPr>
        <w:t>diferencial,</w:t>
      </w:r>
      <w:r>
        <w:rPr>
          <w:color w:val="231F20"/>
          <w:spacing w:val="-6"/>
        </w:rPr>
        <w:t> </w:t>
      </w:r>
      <w:r>
        <w:rPr>
          <w:color w:val="231F20"/>
        </w:rPr>
        <w:t>impac- to que puede verse también reflejado en el ingreso promedio (que es diez veces</w:t>
      </w:r>
      <w:r>
        <w:rPr>
          <w:color w:val="231F20"/>
          <w:spacing w:val="-5"/>
        </w:rPr>
        <w:t> </w:t>
      </w:r>
      <w:r>
        <w:rPr>
          <w:color w:val="231F20"/>
        </w:rPr>
        <w:t>menor</w:t>
      </w:r>
      <w:r>
        <w:rPr>
          <w:color w:val="231F20"/>
          <w:spacing w:val="-5"/>
        </w:rPr>
        <w:t> </w:t>
      </w:r>
      <w:r>
        <w:rPr>
          <w:color w:val="231F20"/>
        </w:rPr>
        <w:t>al</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no</w:t>
      </w:r>
      <w:r>
        <w:rPr>
          <w:color w:val="231F20"/>
          <w:spacing w:val="-5"/>
        </w:rPr>
        <w:t> </w:t>
      </w:r>
      <w:r>
        <w:rPr>
          <w:color w:val="231F20"/>
        </w:rPr>
        <w:t>indígenas</w:t>
      </w:r>
      <w:r>
        <w:rPr>
          <w:color w:val="231F20"/>
          <w:spacing w:val="-5"/>
        </w:rPr>
        <w:t> </w:t>
      </w:r>
      <w:r>
        <w:rPr>
          <w:color w:val="231F20"/>
        </w:rPr>
        <w:t>en</w:t>
      </w:r>
      <w:r>
        <w:rPr>
          <w:color w:val="231F20"/>
          <w:spacing w:val="-5"/>
        </w:rPr>
        <w:t> </w:t>
      </w:r>
      <w:r>
        <w:rPr>
          <w:color w:val="231F20"/>
        </w:rPr>
        <w:t>2000</w:t>
      </w:r>
      <w:r>
        <w:rPr>
          <w:color w:val="231F20"/>
          <w:spacing w:val="-5"/>
        </w:rPr>
        <w:t> </w:t>
      </w:r>
      <w:r>
        <w:rPr>
          <w:color w:val="231F20"/>
        </w:rPr>
        <w:t>y</w:t>
      </w:r>
      <w:r>
        <w:rPr>
          <w:color w:val="231F20"/>
          <w:spacing w:val="-5"/>
        </w:rPr>
        <w:t> </w:t>
      </w:r>
      <w:r>
        <w:rPr>
          <w:color w:val="231F20"/>
        </w:rPr>
        <w:t>cuatro</w:t>
      </w:r>
      <w:r>
        <w:rPr>
          <w:color w:val="231F20"/>
          <w:spacing w:val="-5"/>
        </w:rPr>
        <w:t> </w:t>
      </w:r>
      <w:r>
        <w:rPr>
          <w:color w:val="231F20"/>
        </w:rPr>
        <w:t>veces</w:t>
      </w:r>
      <w:r>
        <w:rPr>
          <w:color w:val="231F20"/>
          <w:spacing w:val="-5"/>
        </w:rPr>
        <w:t> </w:t>
      </w:r>
      <w:r>
        <w:rPr>
          <w:color w:val="231F20"/>
        </w:rPr>
        <w:t>menor</w:t>
      </w:r>
      <w:r>
        <w:rPr>
          <w:color w:val="231F20"/>
          <w:spacing w:val="-5"/>
        </w:rPr>
        <w:t> </w:t>
      </w:r>
      <w:r>
        <w:rPr>
          <w:color w:val="231F20"/>
        </w:rPr>
        <w:t>en</w:t>
      </w:r>
      <w:r>
        <w:rPr>
          <w:color w:val="231F20"/>
          <w:spacing w:val="-5"/>
        </w:rPr>
        <w:t> </w:t>
      </w:r>
      <w:r>
        <w:rPr>
          <w:color w:val="231F20"/>
        </w:rPr>
        <w:t>2009) y que podemos apreciar que el de los indígenas es varias veces menor que el de los no indígenas, expresión de la vulnerabilidad manifiesta de los indígenas desde antes de</w:t>
      </w:r>
      <w:r>
        <w:rPr>
          <w:color w:val="231F20"/>
          <w:spacing w:val="-15"/>
        </w:rPr>
        <w:t> </w:t>
      </w:r>
      <w:r>
        <w:rPr>
          <w:color w:val="231F20"/>
        </w:rPr>
        <w:t>migrar.</w:t>
      </w:r>
    </w:p>
    <w:p>
      <w:pPr>
        <w:spacing w:after="0" w:line="247" w:lineRule="auto"/>
        <w:jc w:val="both"/>
        <w:sectPr>
          <w:footerReference w:type="default" r:id="rId229"/>
          <w:pgSz w:w="9360" w:h="13040"/>
          <w:pgMar w:footer="496" w:header="0" w:top="740" w:bottom="680" w:left="1300" w:right="1300"/>
          <w:pgNumType w:start="321"/>
        </w:sectPr>
      </w:pPr>
    </w:p>
    <w:p>
      <w:pPr>
        <w:tabs>
          <w:tab w:pos="5536" w:val="left" w:leader="none"/>
        </w:tabs>
        <w:spacing w:before="48"/>
        <w:ind w:left="105" w:right="0" w:firstLine="0"/>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8"/>
        <w:rPr>
          <w:sz w:val="18"/>
        </w:rPr>
      </w:pPr>
    </w:p>
    <w:p>
      <w:pPr>
        <w:pStyle w:val="Heading3"/>
        <w:spacing w:before="0"/>
      </w:pPr>
      <w:r>
        <w:rPr>
          <w:color w:val="231F20"/>
        </w:rPr>
        <w:t>Condición de compañía y documentación</w:t>
      </w:r>
    </w:p>
    <w:p>
      <w:pPr>
        <w:pStyle w:val="BodyText"/>
        <w:spacing w:line="247" w:lineRule="auto" w:before="172"/>
        <w:ind w:left="117" w:right="114"/>
        <w:jc w:val="both"/>
      </w:pPr>
      <w:r>
        <w:rPr>
          <w:color w:val="231F20"/>
        </w:rPr>
        <w:t>La migración laboral temporal continúa siendo una empresa que expone a los migrantes a riesgos y vulnerabilidades debido a la falta de un acuerdo binacional</w:t>
      </w:r>
      <w:r>
        <w:rPr>
          <w:color w:val="231F20"/>
          <w:spacing w:val="-11"/>
        </w:rPr>
        <w:t> </w:t>
      </w:r>
      <w:r>
        <w:rPr>
          <w:color w:val="231F20"/>
        </w:rPr>
        <w:t>que</w:t>
      </w:r>
      <w:r>
        <w:rPr>
          <w:color w:val="231F20"/>
          <w:spacing w:val="-10"/>
        </w:rPr>
        <w:t> </w:t>
      </w:r>
      <w:r>
        <w:rPr>
          <w:color w:val="231F20"/>
        </w:rPr>
        <w:t>haga</w:t>
      </w:r>
      <w:r>
        <w:rPr>
          <w:color w:val="231F20"/>
          <w:spacing w:val="-10"/>
        </w:rPr>
        <w:t> </w:t>
      </w:r>
      <w:r>
        <w:rPr>
          <w:color w:val="231F20"/>
        </w:rPr>
        <w:t>posible</w:t>
      </w:r>
      <w:r>
        <w:rPr>
          <w:color w:val="231F20"/>
          <w:spacing w:val="-10"/>
        </w:rPr>
        <w:t> </w:t>
      </w:r>
      <w:r>
        <w:rPr>
          <w:color w:val="231F20"/>
        </w:rPr>
        <w:t>una</w:t>
      </w:r>
      <w:r>
        <w:rPr>
          <w:color w:val="231F20"/>
          <w:spacing w:val="-10"/>
        </w:rPr>
        <w:t> </w:t>
      </w:r>
      <w:r>
        <w:rPr>
          <w:color w:val="231F20"/>
        </w:rPr>
        <w:t>migración</w:t>
      </w:r>
      <w:r>
        <w:rPr>
          <w:color w:val="231F20"/>
          <w:spacing w:val="-11"/>
        </w:rPr>
        <w:t> </w:t>
      </w:r>
      <w:r>
        <w:rPr>
          <w:color w:val="231F20"/>
        </w:rPr>
        <w:t>legal,</w:t>
      </w:r>
      <w:r>
        <w:rPr>
          <w:color w:val="231F20"/>
          <w:spacing w:val="-11"/>
        </w:rPr>
        <w:t> </w:t>
      </w:r>
      <w:r>
        <w:rPr>
          <w:color w:val="231F20"/>
        </w:rPr>
        <w:t>segura</w:t>
      </w:r>
      <w:r>
        <w:rPr>
          <w:color w:val="231F20"/>
          <w:spacing w:val="-10"/>
        </w:rPr>
        <w:t> </w:t>
      </w:r>
      <w:r>
        <w:rPr>
          <w:color w:val="231F20"/>
        </w:rPr>
        <w:t>y</w:t>
      </w:r>
      <w:r>
        <w:rPr>
          <w:color w:val="231F20"/>
          <w:spacing w:val="-11"/>
        </w:rPr>
        <w:t> </w:t>
      </w:r>
      <w:r>
        <w:rPr>
          <w:color w:val="231F20"/>
        </w:rPr>
        <w:t>ordenada.</w:t>
      </w:r>
      <w:r>
        <w:rPr>
          <w:color w:val="231F20"/>
          <w:spacing w:val="-11"/>
        </w:rPr>
        <w:t> </w:t>
      </w:r>
      <w:r>
        <w:rPr>
          <w:color w:val="231F20"/>
        </w:rPr>
        <w:t>Como una estrategia de protección y seguridad, una proporción significativa de los</w:t>
      </w:r>
      <w:r>
        <w:rPr>
          <w:color w:val="231F20"/>
          <w:spacing w:val="-4"/>
        </w:rPr>
        <w:t> </w:t>
      </w:r>
      <w:r>
        <w:rPr>
          <w:color w:val="231F20"/>
        </w:rPr>
        <w:t>migrantes</w:t>
      </w:r>
      <w:r>
        <w:rPr>
          <w:color w:val="231F20"/>
          <w:spacing w:val="-4"/>
        </w:rPr>
        <w:t> </w:t>
      </w:r>
      <w:r>
        <w:rPr>
          <w:color w:val="231F20"/>
        </w:rPr>
        <w:t>suele</w:t>
      </w:r>
      <w:r>
        <w:rPr>
          <w:color w:val="231F20"/>
          <w:spacing w:val="-4"/>
        </w:rPr>
        <w:t> </w:t>
      </w:r>
      <w:r>
        <w:rPr>
          <w:color w:val="231F20"/>
        </w:rPr>
        <w:t>acompañarse</w:t>
      </w:r>
      <w:r>
        <w:rPr>
          <w:color w:val="231F20"/>
          <w:spacing w:val="-5"/>
        </w:rPr>
        <w:t> </w:t>
      </w:r>
      <w:r>
        <w:rPr>
          <w:color w:val="231F20"/>
        </w:rPr>
        <w:t>de</w:t>
      </w:r>
      <w:r>
        <w:rPr>
          <w:color w:val="231F20"/>
          <w:spacing w:val="-4"/>
        </w:rPr>
        <w:t> </w:t>
      </w:r>
      <w:r>
        <w:rPr>
          <w:color w:val="231F20"/>
        </w:rPr>
        <w:t>familiares</w:t>
      </w:r>
      <w:r>
        <w:rPr>
          <w:color w:val="231F20"/>
          <w:spacing w:val="-4"/>
        </w:rPr>
        <w:t> </w:t>
      </w:r>
      <w:r>
        <w:rPr>
          <w:color w:val="231F20"/>
        </w:rPr>
        <w:t>y</w:t>
      </w:r>
      <w:r>
        <w:rPr>
          <w:color w:val="231F20"/>
          <w:spacing w:val="-4"/>
        </w:rPr>
        <w:t> </w:t>
      </w:r>
      <w:r>
        <w:rPr>
          <w:color w:val="231F20"/>
        </w:rPr>
        <w:t>amigos</w:t>
      </w:r>
      <w:r>
        <w:rPr>
          <w:color w:val="231F20"/>
          <w:spacing w:val="-4"/>
        </w:rPr>
        <w:t> </w:t>
      </w:r>
      <w:r>
        <w:rPr>
          <w:color w:val="231F20"/>
        </w:rPr>
        <w:t>tanto</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viaje</w:t>
      </w:r>
      <w:r>
        <w:rPr>
          <w:color w:val="231F20"/>
          <w:spacing w:val="-4"/>
        </w:rPr>
        <w:t> </w:t>
      </w:r>
      <w:r>
        <w:rPr>
          <w:color w:val="231F20"/>
        </w:rPr>
        <w:t>a las localidades fronterizas, como en el cruce a Estados Unidos, sobre todo aquellos que carecen de la documentación requerida por la autoridad mi- gratoria de Estados Unidos (Conapo, 2001). Así, información de la EMIF pone</w:t>
      </w:r>
      <w:r>
        <w:rPr>
          <w:color w:val="231F20"/>
          <w:spacing w:val="-10"/>
        </w:rPr>
        <w:t> </w:t>
      </w:r>
      <w:r>
        <w:rPr>
          <w:color w:val="231F20"/>
        </w:rPr>
        <w:t>de</w:t>
      </w:r>
      <w:r>
        <w:rPr>
          <w:color w:val="231F20"/>
          <w:spacing w:val="-10"/>
        </w:rPr>
        <w:t> </w:t>
      </w:r>
      <w:r>
        <w:rPr>
          <w:color w:val="231F20"/>
        </w:rPr>
        <w:t>manifiesto</w:t>
      </w:r>
      <w:r>
        <w:rPr>
          <w:color w:val="231F20"/>
          <w:spacing w:val="-10"/>
        </w:rPr>
        <w:t> </w:t>
      </w:r>
      <w:r>
        <w:rPr>
          <w:color w:val="231F20"/>
        </w:rPr>
        <w:t>que</w:t>
      </w:r>
      <w:r>
        <w:rPr>
          <w:color w:val="231F20"/>
          <w:spacing w:val="-10"/>
        </w:rPr>
        <w:t> </w:t>
      </w:r>
      <w:r>
        <w:rPr>
          <w:color w:val="231F20"/>
        </w:rPr>
        <w:t>entre</w:t>
      </w:r>
      <w:r>
        <w:rPr>
          <w:color w:val="231F20"/>
          <w:spacing w:val="-10"/>
        </w:rPr>
        <w:t> </w:t>
      </w:r>
      <w:r>
        <w:rPr>
          <w:color w:val="231F20"/>
        </w:rPr>
        <w:t>42</w:t>
      </w:r>
      <w:r>
        <w:rPr>
          <w:color w:val="231F20"/>
          <w:spacing w:val="-10"/>
        </w:rPr>
        <w:t> </w:t>
      </w:r>
      <w:r>
        <w:rPr>
          <w:color w:val="231F20"/>
        </w:rPr>
        <w:t>y</w:t>
      </w:r>
      <w:r>
        <w:rPr>
          <w:color w:val="231F20"/>
          <w:spacing w:val="-10"/>
        </w:rPr>
        <w:t> </w:t>
      </w:r>
      <w:r>
        <w:rPr>
          <w:color w:val="231F20"/>
        </w:rPr>
        <w:t>62</w:t>
      </w:r>
      <w:r>
        <w:rPr>
          <w:color w:val="231F20"/>
          <w:spacing w:val="-10"/>
        </w:rPr>
        <w:t> </w:t>
      </w:r>
      <w:r>
        <w:rPr>
          <w:color w:val="231F20"/>
        </w:rPr>
        <w:t>por</w:t>
      </w:r>
      <w:r>
        <w:rPr>
          <w:color w:val="231F20"/>
          <w:spacing w:val="-10"/>
        </w:rPr>
        <w:t> </w:t>
      </w:r>
      <w:r>
        <w:rPr>
          <w:color w:val="231F20"/>
        </w:rPr>
        <w:t>ciento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migrantes</w:t>
      </w:r>
      <w:r>
        <w:rPr>
          <w:color w:val="231F20"/>
          <w:spacing w:val="-10"/>
        </w:rPr>
        <w:t> </w:t>
      </w:r>
      <w:r>
        <w:rPr>
          <w:color w:val="231F20"/>
        </w:rPr>
        <w:t>no</w:t>
      </w:r>
      <w:r>
        <w:rPr>
          <w:color w:val="231F20"/>
          <w:spacing w:val="-10"/>
        </w:rPr>
        <w:t> </w:t>
      </w:r>
      <w:r>
        <w:rPr>
          <w:color w:val="231F20"/>
        </w:rPr>
        <w:t>indíge- nas viajaba solo; entre los indígenas la proporción se eleva a alrededor de 90</w:t>
      </w:r>
      <w:r>
        <w:rPr>
          <w:color w:val="231F20"/>
          <w:spacing w:val="-4"/>
        </w:rPr>
        <w:t> </w:t>
      </w:r>
      <w:r>
        <w:rPr>
          <w:color w:val="231F20"/>
        </w:rPr>
        <w:t>por</w:t>
      </w:r>
      <w:r>
        <w:rPr>
          <w:color w:val="231F20"/>
          <w:spacing w:val="-4"/>
        </w:rPr>
        <w:t> </w:t>
      </w:r>
      <w:r>
        <w:rPr>
          <w:color w:val="231F20"/>
        </w:rPr>
        <w:t>ciento;</w:t>
      </w:r>
      <w:r>
        <w:rPr>
          <w:color w:val="231F20"/>
          <w:spacing w:val="-5"/>
        </w:rPr>
        <w:t> </w:t>
      </w:r>
      <w:r>
        <w:rPr>
          <w:color w:val="231F20"/>
        </w:rPr>
        <w:t>además,</w:t>
      </w:r>
      <w:r>
        <w:rPr>
          <w:color w:val="231F20"/>
          <w:spacing w:val="-5"/>
        </w:rPr>
        <w:t> </w:t>
      </w:r>
      <w:r>
        <w:rPr>
          <w:color w:val="231F20"/>
        </w:rPr>
        <w:t>se</w:t>
      </w:r>
      <w:r>
        <w:rPr>
          <w:color w:val="231F20"/>
          <w:spacing w:val="-4"/>
        </w:rPr>
        <w:t> </w:t>
      </w:r>
      <w:r>
        <w:rPr>
          <w:color w:val="231F20"/>
        </w:rPr>
        <w:t>advierte</w:t>
      </w:r>
      <w:r>
        <w:rPr>
          <w:color w:val="231F20"/>
          <w:spacing w:val="-5"/>
        </w:rPr>
        <w:t> </w:t>
      </w:r>
      <w:r>
        <w:rPr>
          <w:color w:val="231F20"/>
        </w:rPr>
        <w:t>que</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migrantes</w:t>
      </w:r>
      <w:r>
        <w:rPr>
          <w:color w:val="231F20"/>
          <w:spacing w:val="-5"/>
        </w:rPr>
        <w:t> </w:t>
      </w:r>
      <w:r>
        <w:rPr>
          <w:color w:val="231F20"/>
        </w:rPr>
        <w:t>indígenas</w:t>
      </w:r>
      <w:r>
        <w:rPr>
          <w:color w:val="231F20"/>
          <w:spacing w:val="-5"/>
        </w:rPr>
        <w:t> </w:t>
      </w:r>
      <w:r>
        <w:rPr>
          <w:color w:val="231F20"/>
        </w:rPr>
        <w:t>son</w:t>
      </w:r>
      <w:r>
        <w:rPr>
          <w:color w:val="231F20"/>
          <w:spacing w:val="-4"/>
        </w:rPr>
        <w:t> </w:t>
      </w:r>
      <w:r>
        <w:rPr>
          <w:color w:val="231F20"/>
        </w:rPr>
        <w:t>muy pocos quienes viajan en compañía de familiares, dicho indicador se ubicó entre cuatro y nueve por ciento y alrededor de 22 por ciento en promedio de los no indígenas estaban en esta</w:t>
      </w:r>
      <w:r>
        <w:rPr>
          <w:color w:val="231F20"/>
          <w:spacing w:val="-5"/>
        </w:rPr>
        <w:t> </w:t>
      </w:r>
      <w:r>
        <w:rPr>
          <w:color w:val="231F20"/>
        </w:rPr>
        <w:t>condición.</w:t>
      </w:r>
    </w:p>
    <w:p>
      <w:pPr>
        <w:pStyle w:val="BodyText"/>
        <w:spacing w:line="247" w:lineRule="auto"/>
        <w:ind w:left="117" w:right="114" w:firstLine="283"/>
        <w:jc w:val="both"/>
      </w:pPr>
      <w:r>
        <w:rPr>
          <w:color w:val="231F20"/>
        </w:rPr>
        <w:t>Sin duda, la experiencia del desplazamiento migratorio es un factor re- levante</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proceso</w:t>
      </w:r>
      <w:r>
        <w:rPr>
          <w:color w:val="231F20"/>
          <w:spacing w:val="-7"/>
        </w:rPr>
        <w:t> </w:t>
      </w:r>
      <w:r>
        <w:rPr>
          <w:color w:val="231F20"/>
        </w:rPr>
        <w:t>de</w:t>
      </w:r>
      <w:r>
        <w:rPr>
          <w:color w:val="231F20"/>
          <w:spacing w:val="-7"/>
        </w:rPr>
        <w:t> </w:t>
      </w:r>
      <w:r>
        <w:rPr>
          <w:color w:val="231F20"/>
        </w:rPr>
        <w:t>la</w:t>
      </w:r>
      <w:r>
        <w:rPr>
          <w:color w:val="231F20"/>
          <w:spacing w:val="-8"/>
        </w:rPr>
        <w:t> </w:t>
      </w:r>
      <w:r>
        <w:rPr>
          <w:color w:val="231F20"/>
        </w:rPr>
        <w:t>migración,</w:t>
      </w:r>
      <w:r>
        <w:rPr>
          <w:color w:val="231F20"/>
          <w:spacing w:val="-8"/>
        </w:rPr>
        <w:t> </w:t>
      </w:r>
      <w:r>
        <w:rPr>
          <w:color w:val="231F20"/>
        </w:rPr>
        <w:t>pues</w:t>
      </w:r>
      <w:r>
        <w:rPr>
          <w:color w:val="231F20"/>
          <w:spacing w:val="-8"/>
        </w:rPr>
        <w:t> </w:t>
      </w:r>
      <w:r>
        <w:rPr>
          <w:color w:val="231F20"/>
        </w:rPr>
        <w:t>permite</w:t>
      </w:r>
      <w:r>
        <w:rPr>
          <w:color w:val="231F20"/>
          <w:spacing w:val="-7"/>
        </w:rPr>
        <w:t> </w:t>
      </w:r>
      <w:r>
        <w:rPr>
          <w:color w:val="231F20"/>
        </w:rPr>
        <w:t>a</w:t>
      </w:r>
      <w:r>
        <w:rPr>
          <w:color w:val="231F20"/>
          <w:spacing w:val="-7"/>
        </w:rPr>
        <w:t> </w:t>
      </w:r>
      <w:r>
        <w:rPr>
          <w:color w:val="231F20"/>
        </w:rPr>
        <w:t>los</w:t>
      </w:r>
      <w:r>
        <w:rPr>
          <w:color w:val="231F20"/>
          <w:spacing w:val="-8"/>
        </w:rPr>
        <w:t> </w:t>
      </w:r>
      <w:r>
        <w:rPr>
          <w:color w:val="231F20"/>
        </w:rPr>
        <w:t>trabajadores</w:t>
      </w:r>
      <w:r>
        <w:rPr>
          <w:color w:val="231F20"/>
          <w:spacing w:val="-8"/>
        </w:rPr>
        <w:t> </w:t>
      </w:r>
      <w:r>
        <w:rPr>
          <w:color w:val="231F20"/>
        </w:rPr>
        <w:t>crear y recrear sus redes sociales y familiares, así como conocer la dinámica  del fenómeno migratorio en la franja fronteriza, el funcionamiento de las estrategias aplicadas por las autoridades migratorias de Estados Unidos y el funcionamiento de los mercados de trabajo en el país vecino (Conapo, 2001). En ese sentido, debe mencionarse que de acuerdo con los datos recabados por la </w:t>
      </w:r>
      <w:r>
        <w:rPr>
          <w:color w:val="231F20"/>
          <w:spacing w:val="-4"/>
        </w:rPr>
        <w:t>EMIF, </w:t>
      </w:r>
      <w:r>
        <w:rPr>
          <w:color w:val="231F20"/>
        </w:rPr>
        <w:t>es poca la experiencia que tienen para migrar los indígenas mexiquenses en relación a los indígenas a nivel nacional, y ello implica</w:t>
      </w:r>
      <w:r>
        <w:rPr>
          <w:color w:val="231F20"/>
          <w:spacing w:val="-12"/>
        </w:rPr>
        <w:t> </w:t>
      </w:r>
      <w:r>
        <w:rPr>
          <w:color w:val="231F20"/>
        </w:rPr>
        <w:t>mayor</w:t>
      </w:r>
      <w:r>
        <w:rPr>
          <w:color w:val="231F20"/>
          <w:spacing w:val="-12"/>
        </w:rPr>
        <w:t> </w:t>
      </w:r>
      <w:r>
        <w:rPr>
          <w:color w:val="231F20"/>
        </w:rPr>
        <w:t>vulnerabilidad</w:t>
      </w:r>
      <w:r>
        <w:rPr>
          <w:color w:val="231F20"/>
          <w:spacing w:val="-12"/>
        </w:rPr>
        <w:t> </w:t>
      </w:r>
      <w:r>
        <w:rPr>
          <w:color w:val="231F20"/>
        </w:rPr>
        <w:t>en</w:t>
      </w:r>
      <w:r>
        <w:rPr>
          <w:color w:val="231F20"/>
          <w:spacing w:val="-12"/>
        </w:rPr>
        <w:t> </w:t>
      </w:r>
      <w:r>
        <w:rPr>
          <w:color w:val="231F20"/>
        </w:rPr>
        <w:t>su</w:t>
      </w:r>
      <w:r>
        <w:rPr>
          <w:color w:val="231F20"/>
          <w:spacing w:val="-12"/>
        </w:rPr>
        <w:t> </w:t>
      </w:r>
      <w:r>
        <w:rPr>
          <w:color w:val="231F20"/>
        </w:rPr>
        <w:t>recorrido</w:t>
      </w:r>
      <w:r>
        <w:rPr>
          <w:color w:val="231F20"/>
          <w:spacing w:val="-12"/>
        </w:rPr>
        <w:t> </w:t>
      </w:r>
      <w:r>
        <w:rPr>
          <w:color w:val="231F20"/>
        </w:rPr>
        <w:t>al</w:t>
      </w:r>
      <w:r>
        <w:rPr>
          <w:color w:val="231F20"/>
          <w:spacing w:val="-12"/>
        </w:rPr>
        <w:t> </w:t>
      </w:r>
      <w:r>
        <w:rPr>
          <w:color w:val="231F20"/>
        </w:rPr>
        <w:t>norte,</w:t>
      </w:r>
      <w:r>
        <w:rPr>
          <w:color w:val="231F20"/>
          <w:spacing w:val="-12"/>
        </w:rPr>
        <w:t> </w:t>
      </w:r>
      <w:r>
        <w:rPr>
          <w:color w:val="231F20"/>
        </w:rPr>
        <w:t>máxime</w:t>
      </w:r>
      <w:r>
        <w:rPr>
          <w:color w:val="231F20"/>
          <w:spacing w:val="-12"/>
        </w:rPr>
        <w:t> </w:t>
      </w:r>
      <w:r>
        <w:rPr>
          <w:color w:val="231F20"/>
        </w:rPr>
        <w:t>si</w:t>
      </w:r>
      <w:r>
        <w:rPr>
          <w:color w:val="231F20"/>
          <w:spacing w:val="-12"/>
        </w:rPr>
        <w:t> </w:t>
      </w:r>
      <w:r>
        <w:rPr>
          <w:color w:val="231F20"/>
        </w:rPr>
        <w:t>su</w:t>
      </w:r>
      <w:r>
        <w:rPr>
          <w:color w:val="231F20"/>
          <w:spacing w:val="-12"/>
        </w:rPr>
        <w:t> </w:t>
      </w:r>
      <w:r>
        <w:rPr>
          <w:color w:val="231F20"/>
        </w:rPr>
        <w:t>carrera migratoria incipiente no se acompaña con la tenencia de algún documento para trabajar o para cruzar la frontera norte en donde en promedio 78 por ciento de los indígenas no contaban con ella. En contraste 60 por cien-    to entre los no indígenas carecían de documentos para ingresar a Estados Unidos.</w:t>
      </w:r>
    </w:p>
    <w:p>
      <w:pPr>
        <w:pStyle w:val="Heading3"/>
        <w:rPr>
          <w:sz w:val="14"/>
        </w:rPr>
      </w:pPr>
      <w:r>
        <w:rPr>
          <w:color w:val="231F20"/>
        </w:rPr>
        <w:t>Migrantes indígenas temporales de retorno</w:t>
      </w:r>
      <w:r>
        <w:rPr>
          <w:color w:val="231F20"/>
          <w:position w:val="8"/>
          <w:sz w:val="14"/>
        </w:rPr>
        <w:t>1</w:t>
      </w:r>
    </w:p>
    <w:p>
      <w:pPr>
        <w:pStyle w:val="BodyText"/>
        <w:spacing w:line="247" w:lineRule="auto" w:before="172"/>
        <w:ind w:left="117" w:right="115"/>
        <w:jc w:val="both"/>
      </w:pPr>
      <w:r>
        <w:rPr/>
        <w:pict>
          <v:line style="position:absolute;mso-position-horizontal-relative:page;mso-position-vertical-relative:paragraph;z-index:8128;mso-wrap-distance-left:0;mso-wrap-distance-right:0" from="70.866096pt,66.802628pt" to="142.866096pt,66.802628pt" stroked="true" strokeweight=".75pt" strokecolor="#231f20">
            <w10:wrap type="topAndBottom"/>
          </v:line>
        </w:pict>
      </w:r>
      <w:r>
        <w:rPr>
          <w:color w:val="231F20"/>
        </w:rPr>
        <w:t>Los trabajadores temporales procedentes de Estados Unidos que regresa- ron a México entre 1999 y 2009 asciende de 1 328 218 y 1 206 </w:t>
      </w:r>
      <w:r>
        <w:rPr>
          <w:color w:val="231F20"/>
          <w:spacing w:val="-3"/>
        </w:rPr>
        <w:t>113 </w:t>
      </w:r>
      <w:r>
        <w:rPr>
          <w:color w:val="231F20"/>
        </w:rPr>
        <w:t>per- sonas (marcando una reducción de 122 105 personas en retorno). Con una participación en promedio de cuatro por ciento, esta cifra representa a  </w:t>
      </w:r>
      <w:r>
        <w:rPr>
          <w:color w:val="231F20"/>
          <w:spacing w:val="51"/>
        </w:rPr>
        <w:t> </w:t>
      </w:r>
      <w:r>
        <w:rPr>
          <w:color w:val="231F20"/>
        </w:rPr>
        <w:t>la</w:t>
      </w:r>
    </w:p>
    <w:p>
      <w:pPr>
        <w:spacing w:line="170" w:lineRule="exact" w:before="0"/>
        <w:ind w:left="117" w:right="115" w:firstLine="0"/>
        <w:jc w:val="both"/>
        <w:rPr>
          <w:sz w:val="17"/>
        </w:rPr>
      </w:pPr>
      <w:r>
        <w:rPr>
          <w:color w:val="231F20"/>
          <w:position w:val="6"/>
          <w:sz w:val="10"/>
        </w:rPr>
        <w:t>1 </w:t>
      </w:r>
      <w:r>
        <w:rPr>
          <w:color w:val="231F20"/>
          <w:sz w:val="17"/>
        </w:rPr>
        <w:t>El término retorno se refiere ampliamente a la acción de regresar de un país (ya sea de tránsito o de destino) al país de previo tránsito u origen (OIM, disponible en </w:t>
      </w:r>
      <w:hyperlink r:id="rId230">
        <w:r>
          <w:rPr>
            <w:color w:val="231F20"/>
            <w:sz w:val="17"/>
          </w:rPr>
          <w:t>http://www.iom.int/jahia/</w:t>
        </w:r>
      </w:hyperlink>
      <w:r>
        <w:rPr>
          <w:color w:val="231F20"/>
          <w:sz w:val="17"/>
        </w:rPr>
        <w:t> Jahia/about-migration/managing-migration/managing-migration-return-migration/lang/es).</w:t>
      </w:r>
    </w:p>
    <w:p>
      <w:pPr>
        <w:spacing w:after="0" w:line="170" w:lineRule="exact"/>
        <w:jc w:val="both"/>
        <w:rPr>
          <w:sz w:val="17"/>
        </w:rPr>
        <w:sectPr>
          <w:pgSz w:w="9360" w:h="13040"/>
          <w:pgMar w:header="0" w:footer="496" w:top="800" w:bottom="680" w:left="1300" w:right="1300"/>
        </w:sectPr>
      </w:pPr>
    </w:p>
    <w:p>
      <w:pPr>
        <w:spacing w:before="45"/>
        <w:ind w:left="117" w:right="0" w:firstLine="665"/>
        <w:jc w:val="left"/>
        <w:rPr>
          <w:rFonts w:ascii="Arial" w:hAnsi="Arial"/>
          <w:i/>
          <w:sz w:val="20"/>
        </w:rPr>
      </w:pPr>
      <w:r>
        <w:rPr>
          <w:rFonts w:ascii="Arial" w:hAnsi="Arial"/>
          <w:color w:val="231F20"/>
          <w:w w:val="66"/>
          <w:sz w:val="20"/>
        </w:rPr>
        <w:t>La</w:t>
      </w:r>
      <w:r>
        <w:rPr>
          <w:rFonts w:ascii="Arial" w:hAnsi="Arial"/>
          <w:color w:val="231F20"/>
          <w:spacing w:val="-1"/>
          <w:sz w:val="20"/>
        </w:rPr>
        <w:t> </w:t>
      </w:r>
      <w:r>
        <w:rPr>
          <w:rFonts w:ascii="Arial" w:hAnsi="Arial"/>
          <w:color w:val="231F20"/>
          <w:w w:val="76"/>
          <w:sz w:val="20"/>
        </w:rPr>
        <w:t>participación</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3"/>
          <w:sz w:val="20"/>
        </w:rPr>
        <w:t>población</w:t>
      </w:r>
      <w:r>
        <w:rPr>
          <w:rFonts w:ascii="Arial" w:hAnsi="Arial"/>
          <w:color w:val="231F20"/>
          <w:spacing w:val="-1"/>
          <w:sz w:val="20"/>
        </w:rPr>
        <w:t> </w:t>
      </w:r>
      <w:r>
        <w:rPr>
          <w:rFonts w:ascii="Arial" w:hAnsi="Arial"/>
          <w:color w:val="231F20"/>
          <w:w w:val="72"/>
          <w:sz w:val="20"/>
        </w:rPr>
        <w:t>indígena</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8"/>
          <w:sz w:val="20"/>
        </w:rPr>
        <w:t>migración...</w:t>
      </w:r>
      <w:r>
        <w:rPr>
          <w:rFonts w:ascii="Arial" w:hAnsi="Arial"/>
          <w:color w:val="231F20"/>
          <w:spacing w:val="-1"/>
          <w:sz w:val="20"/>
        </w:rPr>
        <w:t> </w:t>
      </w:r>
      <w:r>
        <w:rPr>
          <w:rFonts w:ascii="Arial" w:hAnsi="Arial"/>
          <w:color w:val="231F20"/>
          <w:w w:val="99"/>
          <w:sz w:val="20"/>
        </w:rPr>
        <w:t>/</w:t>
      </w:r>
      <w:r>
        <w:rPr>
          <w:rFonts w:ascii="Arial" w:hAnsi="Arial"/>
          <w:color w:val="231F20"/>
          <w:w w:val="49"/>
          <w:sz w:val="20"/>
        </w:rPr>
        <w:t>Juan</w:t>
      </w:r>
      <w:r>
        <w:rPr>
          <w:rFonts w:ascii="Arial" w:hAnsi="Arial"/>
          <w:color w:val="231F20"/>
          <w:spacing w:val="-17"/>
          <w:sz w:val="20"/>
        </w:rPr>
        <w:t> </w:t>
      </w:r>
      <w:r>
        <w:rPr>
          <w:rFonts w:ascii="Arial" w:hAnsi="Arial"/>
          <w:color w:val="231F20"/>
          <w:w w:val="49"/>
          <w:sz w:val="20"/>
        </w:rPr>
        <w:t>Gabino</w:t>
      </w:r>
      <w:r>
        <w:rPr>
          <w:rFonts w:ascii="Arial" w:hAnsi="Arial"/>
          <w:color w:val="231F20"/>
          <w:spacing w:val="-17"/>
          <w:sz w:val="20"/>
        </w:rPr>
        <w:t> </w:t>
      </w:r>
      <w:r>
        <w:rPr>
          <w:rFonts w:ascii="Arial" w:hAnsi="Arial"/>
          <w:color w:val="231F20"/>
          <w:w w:val="52"/>
          <w:sz w:val="20"/>
        </w:rPr>
        <w:t>González-Becerril</w:t>
      </w:r>
      <w:r>
        <w:rPr>
          <w:rFonts w:ascii="Arial" w:hAnsi="Arial"/>
          <w:color w:val="231F20"/>
          <w:spacing w:val="-17"/>
          <w:sz w:val="20"/>
        </w:rPr>
        <w:t> </w:t>
      </w:r>
      <w:r>
        <w:rPr>
          <w:rFonts w:ascii="Arial" w:hAnsi="Arial"/>
          <w:i/>
          <w:color w:val="231F20"/>
          <w:w w:val="55"/>
          <w:sz w:val="20"/>
        </w:rPr>
        <w:t>et</w:t>
      </w:r>
      <w:r>
        <w:rPr>
          <w:rFonts w:ascii="Arial" w:hAnsi="Arial"/>
          <w:i/>
          <w:color w:val="231F20"/>
          <w:spacing w:val="-17"/>
          <w:sz w:val="20"/>
        </w:rPr>
        <w:t> </w:t>
      </w:r>
      <w:r>
        <w:rPr>
          <w:rFonts w:ascii="Arial" w:hAnsi="Arial"/>
          <w:i/>
          <w:color w:val="231F20"/>
          <w:w w:val="58"/>
          <w:sz w:val="20"/>
        </w:rPr>
        <w:t>al.</w:t>
      </w:r>
    </w:p>
    <w:p>
      <w:pPr>
        <w:pStyle w:val="BodyText"/>
        <w:spacing w:before="2"/>
        <w:rPr>
          <w:rFonts w:ascii="Arial"/>
          <w:i/>
          <w:sz w:val="27"/>
        </w:rPr>
      </w:pPr>
    </w:p>
    <w:p>
      <w:pPr>
        <w:pStyle w:val="BodyText"/>
        <w:spacing w:line="247" w:lineRule="auto"/>
        <w:ind w:left="117" w:right="114"/>
        <w:jc w:val="both"/>
      </w:pPr>
      <w:r>
        <w:rPr>
          <w:color w:val="231F20"/>
        </w:rPr>
        <w:t>población indígena migrante en el total de los retornos en la década de re- ferencia.</w:t>
      </w:r>
      <w:r>
        <w:rPr>
          <w:color w:val="231F20"/>
          <w:spacing w:val="-6"/>
        </w:rPr>
        <w:t> </w:t>
      </w:r>
      <w:r>
        <w:rPr>
          <w:color w:val="231F20"/>
        </w:rPr>
        <w:t>Con</w:t>
      </w:r>
      <w:r>
        <w:rPr>
          <w:color w:val="231F20"/>
          <w:spacing w:val="-6"/>
        </w:rPr>
        <w:t> </w:t>
      </w:r>
      <w:r>
        <w:rPr>
          <w:color w:val="231F20"/>
        </w:rPr>
        <w:t>base</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indicador</w:t>
      </w:r>
      <w:r>
        <w:rPr>
          <w:color w:val="231F20"/>
          <w:spacing w:val="-6"/>
        </w:rPr>
        <w:t> </w:t>
      </w:r>
      <w:r>
        <w:rPr>
          <w:color w:val="231F20"/>
        </w:rPr>
        <w:t>de</w:t>
      </w:r>
      <w:r>
        <w:rPr>
          <w:color w:val="231F20"/>
          <w:spacing w:val="-6"/>
        </w:rPr>
        <w:t> </w:t>
      </w:r>
      <w:r>
        <w:rPr>
          <w:color w:val="231F20"/>
        </w:rPr>
        <w:t>migración</w:t>
      </w:r>
      <w:r>
        <w:rPr>
          <w:color w:val="231F20"/>
          <w:spacing w:val="-6"/>
        </w:rPr>
        <w:t> </w:t>
      </w:r>
      <w:r>
        <w:rPr>
          <w:color w:val="231F20"/>
        </w:rPr>
        <w:t>indígena,</w:t>
      </w:r>
      <w:r>
        <w:rPr>
          <w:color w:val="231F20"/>
          <w:spacing w:val="-6"/>
        </w:rPr>
        <w:t> </w:t>
      </w:r>
      <w:r>
        <w:rPr>
          <w:color w:val="231F20"/>
        </w:rPr>
        <w:t>se</w:t>
      </w:r>
      <w:r>
        <w:rPr>
          <w:color w:val="231F20"/>
          <w:spacing w:val="-6"/>
        </w:rPr>
        <w:t> </w:t>
      </w:r>
      <w:r>
        <w:rPr>
          <w:color w:val="231F20"/>
        </w:rPr>
        <w:t>puede</w:t>
      </w:r>
      <w:r>
        <w:rPr>
          <w:color w:val="231F20"/>
          <w:spacing w:val="-6"/>
        </w:rPr>
        <w:t> </w:t>
      </w:r>
      <w:r>
        <w:rPr>
          <w:color w:val="231F20"/>
        </w:rPr>
        <w:t>decir que a nivel nacional se mantuvo contante. Por el contrario, los retornos, en general de los mexiquenses, aumentaron de 26 mil en 1990, a 43 mil 700</w:t>
      </w:r>
      <w:r>
        <w:rPr>
          <w:color w:val="231F20"/>
          <w:spacing w:val="-6"/>
        </w:rPr>
        <w:t> </w:t>
      </w:r>
      <w:r>
        <w:rPr>
          <w:color w:val="231F20"/>
        </w:rPr>
        <w:t>en</w:t>
      </w:r>
      <w:r>
        <w:rPr>
          <w:color w:val="231F20"/>
          <w:spacing w:val="-6"/>
        </w:rPr>
        <w:t> </w:t>
      </w:r>
      <w:r>
        <w:rPr>
          <w:color w:val="231F20"/>
        </w:rPr>
        <w:t>2009.</w:t>
      </w:r>
      <w:r>
        <w:rPr>
          <w:color w:val="231F20"/>
          <w:spacing w:val="-6"/>
        </w:rPr>
        <w:t> </w:t>
      </w:r>
      <w:r>
        <w:rPr>
          <w:color w:val="231F20"/>
        </w:rPr>
        <w:t>Esto</w:t>
      </w:r>
      <w:r>
        <w:rPr>
          <w:color w:val="231F20"/>
          <w:spacing w:val="-6"/>
        </w:rPr>
        <w:t> </w:t>
      </w:r>
      <w:r>
        <w:rPr>
          <w:color w:val="231F20"/>
        </w:rPr>
        <w:t>expresa</w:t>
      </w:r>
      <w:r>
        <w:rPr>
          <w:color w:val="231F20"/>
          <w:spacing w:val="-6"/>
        </w:rPr>
        <w:t> </w:t>
      </w:r>
      <w:r>
        <w:rPr>
          <w:color w:val="231F20"/>
        </w:rPr>
        <w:t>un</w:t>
      </w:r>
      <w:r>
        <w:rPr>
          <w:color w:val="231F20"/>
          <w:spacing w:val="-6"/>
        </w:rPr>
        <w:t> </w:t>
      </w:r>
      <w:r>
        <w:rPr>
          <w:color w:val="231F20"/>
        </w:rPr>
        <w:t>incremento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retornos</w:t>
      </w:r>
      <w:r>
        <w:rPr>
          <w:color w:val="231F20"/>
          <w:spacing w:val="-6"/>
        </w:rPr>
        <w:t> </w:t>
      </w:r>
      <w:r>
        <w:rPr>
          <w:color w:val="231F20"/>
        </w:rPr>
        <w:t>a</w:t>
      </w:r>
      <w:r>
        <w:rPr>
          <w:color w:val="231F20"/>
          <w:spacing w:val="-6"/>
        </w:rPr>
        <w:t> </w:t>
      </w:r>
      <w:r>
        <w:rPr>
          <w:color w:val="231F20"/>
        </w:rPr>
        <w:t>nuestra</w:t>
      </w:r>
      <w:r>
        <w:rPr>
          <w:color w:val="231F20"/>
          <w:spacing w:val="-6"/>
        </w:rPr>
        <w:t> </w:t>
      </w:r>
      <w:r>
        <w:rPr>
          <w:color w:val="231F20"/>
        </w:rPr>
        <w:t>entidad, equivalente a casi dos veces lo que sucedía a finales de los noventa del siglo</w:t>
      </w:r>
      <w:r>
        <w:rPr>
          <w:color w:val="231F20"/>
          <w:spacing w:val="-4"/>
        </w:rPr>
        <w:t> </w:t>
      </w:r>
      <w:r>
        <w:rPr>
          <w:color w:val="231F20"/>
        </w:rPr>
        <w:t>pasado.</w:t>
      </w:r>
      <w:r>
        <w:rPr>
          <w:color w:val="231F20"/>
          <w:spacing w:val="-4"/>
        </w:rPr>
        <w:t> </w:t>
      </w:r>
      <w:r>
        <w:rPr>
          <w:color w:val="231F20"/>
        </w:rPr>
        <w:t>Por</w:t>
      </w:r>
      <w:r>
        <w:rPr>
          <w:color w:val="231F20"/>
          <w:spacing w:val="-4"/>
        </w:rPr>
        <w:t> </w:t>
      </w:r>
      <w:r>
        <w:rPr>
          <w:color w:val="231F20"/>
        </w:rPr>
        <w:t>el</w:t>
      </w:r>
      <w:r>
        <w:rPr>
          <w:color w:val="231F20"/>
          <w:spacing w:val="-4"/>
        </w:rPr>
        <w:t> </w:t>
      </w:r>
      <w:r>
        <w:rPr>
          <w:color w:val="231F20"/>
        </w:rPr>
        <w:t>contrario</w:t>
      </w:r>
      <w:r>
        <w:rPr>
          <w:color w:val="231F20"/>
          <w:spacing w:val="-5"/>
        </w:rPr>
        <w:t> </w:t>
      </w:r>
      <w:r>
        <w:rPr>
          <w:color w:val="231F20"/>
        </w:rPr>
        <w:t>sucede</w:t>
      </w:r>
      <w:r>
        <w:rPr>
          <w:color w:val="231F20"/>
          <w:spacing w:val="-4"/>
        </w:rPr>
        <w:t> </w:t>
      </w:r>
      <w:r>
        <w:rPr>
          <w:color w:val="231F20"/>
        </w:rPr>
        <w:t>con</w:t>
      </w:r>
      <w:r>
        <w:rPr>
          <w:color w:val="231F20"/>
          <w:spacing w:val="-5"/>
        </w:rPr>
        <w:t> </w:t>
      </w:r>
      <w:r>
        <w:rPr>
          <w:color w:val="231F20"/>
        </w:rPr>
        <w:t>los</w:t>
      </w:r>
      <w:r>
        <w:rPr>
          <w:color w:val="231F20"/>
          <w:spacing w:val="-5"/>
        </w:rPr>
        <w:t> </w:t>
      </w:r>
      <w:r>
        <w:rPr>
          <w:color w:val="231F20"/>
        </w:rPr>
        <w:t>indígenas</w:t>
      </w:r>
      <w:r>
        <w:rPr>
          <w:color w:val="231F20"/>
          <w:spacing w:val="-5"/>
        </w:rPr>
        <w:t> </w:t>
      </w:r>
      <w:r>
        <w:rPr>
          <w:color w:val="231F20"/>
        </w:rPr>
        <w:t>mexiquenses</w:t>
      </w:r>
      <w:r>
        <w:rPr>
          <w:color w:val="231F20"/>
          <w:spacing w:val="-5"/>
        </w:rPr>
        <w:t> </w:t>
      </w:r>
      <w:r>
        <w:rPr>
          <w:color w:val="231F20"/>
        </w:rPr>
        <w:t>retor- nados, que tan sólo varió en 0.70</w:t>
      </w:r>
      <w:r>
        <w:rPr>
          <w:color w:val="231F20"/>
          <w:spacing w:val="-5"/>
        </w:rPr>
        <w:t> </w:t>
      </w:r>
      <w:r>
        <w:rPr>
          <w:color w:val="231F20"/>
        </w:rPr>
        <w:t>veces.</w:t>
      </w:r>
    </w:p>
    <w:p>
      <w:pPr>
        <w:pStyle w:val="BodyText"/>
        <w:spacing w:line="247" w:lineRule="auto"/>
        <w:ind w:left="117" w:right="114" w:firstLine="283"/>
        <w:jc w:val="both"/>
      </w:pPr>
      <w:r>
        <w:rPr>
          <w:color w:val="231F20"/>
        </w:rPr>
        <w:t>Este</w:t>
      </w:r>
      <w:r>
        <w:rPr>
          <w:color w:val="231F20"/>
          <w:spacing w:val="-12"/>
        </w:rPr>
        <w:t> </w:t>
      </w:r>
      <w:r>
        <w:rPr>
          <w:color w:val="231F20"/>
        </w:rPr>
        <w:t>comportamiento</w:t>
      </w:r>
      <w:r>
        <w:rPr>
          <w:color w:val="231F20"/>
          <w:spacing w:val="-12"/>
        </w:rPr>
        <w:t> </w:t>
      </w:r>
      <w:r>
        <w:rPr>
          <w:color w:val="231F20"/>
        </w:rPr>
        <w:t>podría</w:t>
      </w:r>
      <w:r>
        <w:rPr>
          <w:color w:val="231F20"/>
          <w:spacing w:val="-11"/>
        </w:rPr>
        <w:t> </w:t>
      </w:r>
      <w:r>
        <w:rPr>
          <w:color w:val="231F20"/>
        </w:rPr>
        <w:t>estar</w:t>
      </w:r>
      <w:r>
        <w:rPr>
          <w:color w:val="231F20"/>
          <w:spacing w:val="-12"/>
        </w:rPr>
        <w:t> </w:t>
      </w:r>
      <w:r>
        <w:rPr>
          <w:color w:val="231F20"/>
        </w:rPr>
        <w:t>explicado</w:t>
      </w:r>
      <w:r>
        <w:rPr>
          <w:color w:val="231F20"/>
          <w:spacing w:val="-12"/>
        </w:rPr>
        <w:t> </w:t>
      </w:r>
      <w:r>
        <w:rPr>
          <w:color w:val="231F20"/>
        </w:rPr>
        <w:t>por</w:t>
      </w:r>
      <w:r>
        <w:rPr>
          <w:color w:val="231F20"/>
          <w:spacing w:val="-11"/>
        </w:rPr>
        <w:t> </w:t>
      </w:r>
      <w:r>
        <w:rPr>
          <w:color w:val="231F20"/>
        </w:rPr>
        <w:t>la</w:t>
      </w:r>
      <w:r>
        <w:rPr>
          <w:color w:val="231F20"/>
          <w:spacing w:val="-11"/>
        </w:rPr>
        <w:t> </w:t>
      </w:r>
      <w:r>
        <w:rPr>
          <w:color w:val="231F20"/>
        </w:rPr>
        <w:t>crisis</w:t>
      </w:r>
      <w:r>
        <w:rPr>
          <w:color w:val="231F20"/>
          <w:spacing w:val="-12"/>
        </w:rPr>
        <w:t> </w:t>
      </w:r>
      <w:r>
        <w:rPr>
          <w:color w:val="231F20"/>
        </w:rPr>
        <w:t>económica</w:t>
      </w:r>
      <w:r>
        <w:rPr>
          <w:color w:val="231F20"/>
          <w:spacing w:val="-12"/>
        </w:rPr>
        <w:t> </w:t>
      </w:r>
      <w:r>
        <w:rPr>
          <w:color w:val="231F20"/>
        </w:rPr>
        <w:t>que ocasionó que cerca de 500 mil migrantes mexicanos perdieran su empleo entre 2007 y 2009, a la promulgación de leyes antiinmigrantes (por ejem- plo, “Ley Arizona”) y a un mayor control de la frontera por la patrulla fronteriza (Mendoza, 2011; </w:t>
      </w:r>
      <w:r>
        <w:rPr>
          <w:color w:val="231F20"/>
          <w:spacing w:val="-6"/>
        </w:rPr>
        <w:t>BBVA,</w:t>
      </w:r>
      <w:r>
        <w:rPr>
          <w:color w:val="231F20"/>
          <w:spacing w:val="-9"/>
        </w:rPr>
        <w:t> </w:t>
      </w:r>
      <w:r>
        <w:rPr>
          <w:color w:val="231F20"/>
        </w:rPr>
        <w:t>2012).</w:t>
      </w:r>
    </w:p>
    <w:p>
      <w:pPr>
        <w:pStyle w:val="BodyText"/>
        <w:spacing w:line="247" w:lineRule="auto"/>
        <w:ind w:left="117" w:right="115" w:firstLine="283"/>
        <w:jc w:val="both"/>
      </w:pPr>
      <w:r>
        <w:rPr>
          <w:color w:val="231F20"/>
        </w:rPr>
        <w:t>El Cuadro 3 resume la información que confirma que los indígenas constituyen una de las poblaciones presentes entre los diversos conjuntos que conforman la migración de mexicanos a Estados Unidos. </w:t>
      </w:r>
      <w:r>
        <w:rPr>
          <w:color w:val="231F20"/>
          <w:spacing w:val="-3"/>
        </w:rPr>
        <w:t>También </w:t>
      </w:r>
      <w:r>
        <w:rPr>
          <w:color w:val="231F20"/>
        </w:rPr>
        <w:t>in- dica</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indígenas</w:t>
      </w:r>
      <w:r>
        <w:rPr>
          <w:color w:val="231F20"/>
          <w:spacing w:val="-11"/>
        </w:rPr>
        <w:t> </w:t>
      </w:r>
      <w:r>
        <w:rPr>
          <w:color w:val="231F20"/>
        </w:rPr>
        <w:t>de</w:t>
      </w:r>
      <w:r>
        <w:rPr>
          <w:color w:val="231F20"/>
          <w:spacing w:val="-10"/>
        </w:rPr>
        <w:t> </w:t>
      </w:r>
      <w:r>
        <w:rPr>
          <w:color w:val="231F20"/>
        </w:rPr>
        <w:t>mayor</w:t>
      </w:r>
      <w:r>
        <w:rPr>
          <w:color w:val="231F20"/>
          <w:spacing w:val="-10"/>
        </w:rPr>
        <w:t> </w:t>
      </w:r>
      <w:r>
        <w:rPr>
          <w:color w:val="231F20"/>
        </w:rPr>
        <w:t>presencia</w:t>
      </w:r>
      <w:r>
        <w:rPr>
          <w:color w:val="231F20"/>
          <w:spacing w:val="-10"/>
        </w:rPr>
        <w:t> </w:t>
      </w:r>
      <w:r>
        <w:rPr>
          <w:color w:val="231F20"/>
        </w:rPr>
        <w:t>son</w:t>
      </w:r>
      <w:r>
        <w:rPr>
          <w:color w:val="231F20"/>
          <w:spacing w:val="-10"/>
        </w:rPr>
        <w:t> </w:t>
      </w:r>
      <w:r>
        <w:rPr>
          <w:color w:val="231F20"/>
        </w:rPr>
        <w:t>aquellos</w:t>
      </w:r>
      <w:r>
        <w:rPr>
          <w:color w:val="231F20"/>
          <w:spacing w:val="-10"/>
        </w:rPr>
        <w:t> </w:t>
      </w:r>
      <w:r>
        <w:rPr>
          <w:color w:val="231F20"/>
        </w:rPr>
        <w:t>que</w:t>
      </w:r>
      <w:r>
        <w:rPr>
          <w:color w:val="231F20"/>
          <w:spacing w:val="-10"/>
        </w:rPr>
        <w:t> </w:t>
      </w:r>
      <w:r>
        <w:rPr>
          <w:color w:val="231F20"/>
        </w:rPr>
        <w:t>nacieron</w:t>
      </w:r>
      <w:r>
        <w:rPr>
          <w:color w:val="231F20"/>
          <w:spacing w:val="-10"/>
        </w:rPr>
        <w:t> </w:t>
      </w:r>
      <w:r>
        <w:rPr>
          <w:color w:val="231F20"/>
        </w:rPr>
        <w:t>en</w:t>
      </w:r>
      <w:r>
        <w:rPr>
          <w:color w:val="231F20"/>
          <w:spacing w:val="-10"/>
        </w:rPr>
        <w:t> </w:t>
      </w:r>
      <w:r>
        <w:rPr>
          <w:color w:val="231F20"/>
        </w:rPr>
        <w:t>los estados de Oaxaca, Michoacán, Sonora, Guerrero, Sinaloa y Chiapas, que cambia su posición en los dos puntos en el tiempo (2000 y 2009). Para el caso de los indígenas del Estado de México, tenemos que en el año 2000 ocupan el cuarto lugar de los migrantes indígenas procedentes de Estados Unidos</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año</w:t>
      </w:r>
      <w:r>
        <w:rPr>
          <w:color w:val="231F20"/>
          <w:spacing w:val="-4"/>
        </w:rPr>
        <w:t> </w:t>
      </w:r>
      <w:r>
        <w:rPr>
          <w:color w:val="231F20"/>
        </w:rPr>
        <w:t>2009</w:t>
      </w:r>
      <w:r>
        <w:rPr>
          <w:color w:val="231F20"/>
          <w:spacing w:val="-4"/>
        </w:rPr>
        <w:t> </w:t>
      </w:r>
      <w:r>
        <w:rPr>
          <w:color w:val="231F20"/>
        </w:rPr>
        <w:t>redujeran</w:t>
      </w:r>
      <w:r>
        <w:rPr>
          <w:color w:val="231F20"/>
          <w:spacing w:val="-4"/>
        </w:rPr>
        <w:t> </w:t>
      </w:r>
      <w:r>
        <w:rPr>
          <w:color w:val="231F20"/>
        </w:rPr>
        <w:t>su</w:t>
      </w:r>
      <w:r>
        <w:rPr>
          <w:color w:val="231F20"/>
          <w:spacing w:val="-4"/>
        </w:rPr>
        <w:t> </w:t>
      </w:r>
      <w:r>
        <w:rPr>
          <w:color w:val="231F20"/>
        </w:rPr>
        <w:t>participación</w:t>
      </w:r>
      <w:r>
        <w:rPr>
          <w:color w:val="231F20"/>
          <w:spacing w:val="-4"/>
        </w:rPr>
        <w:t> </w:t>
      </w:r>
      <w:r>
        <w:rPr>
          <w:color w:val="231F20"/>
        </w:rPr>
        <w:t>a</w:t>
      </w:r>
      <w:r>
        <w:rPr>
          <w:color w:val="231F20"/>
          <w:spacing w:val="-4"/>
        </w:rPr>
        <w:t> </w:t>
      </w:r>
      <w:r>
        <w:rPr>
          <w:color w:val="231F20"/>
        </w:rPr>
        <w:t>casi</w:t>
      </w:r>
      <w:r>
        <w:rPr>
          <w:color w:val="231F20"/>
          <w:spacing w:val="-4"/>
        </w:rPr>
        <w:t> </w:t>
      </w:r>
      <w:r>
        <w:rPr>
          <w:color w:val="231F20"/>
        </w:rPr>
        <w:t>la</w:t>
      </w:r>
      <w:r>
        <w:rPr>
          <w:color w:val="231F20"/>
          <w:spacing w:val="-4"/>
        </w:rPr>
        <w:t> </w:t>
      </w:r>
      <w:r>
        <w:rPr>
          <w:color w:val="231F20"/>
        </w:rPr>
        <w:t>mitad</w:t>
      </w:r>
      <w:r>
        <w:rPr>
          <w:color w:val="231F20"/>
          <w:spacing w:val="-4"/>
        </w:rPr>
        <w:t> </w:t>
      </w:r>
      <w:r>
        <w:rPr>
          <w:color w:val="231F20"/>
        </w:rPr>
        <w:t>en</w:t>
      </w:r>
      <w:r>
        <w:rPr>
          <w:color w:val="231F20"/>
          <w:spacing w:val="-4"/>
        </w:rPr>
        <w:t> </w:t>
      </w:r>
      <w:r>
        <w:rPr>
          <w:color w:val="231F20"/>
        </w:rPr>
        <w:t>relación al año 2000 ubicadas en el lugar 13 (véase Cuadro</w:t>
      </w:r>
      <w:r>
        <w:rPr>
          <w:color w:val="231F20"/>
          <w:spacing w:val="-3"/>
        </w:rPr>
        <w:t> </w:t>
      </w:r>
      <w:r>
        <w:rPr>
          <w:color w:val="231F20"/>
        </w:rPr>
        <w:t>3).</w:t>
      </w:r>
    </w:p>
    <w:p>
      <w:pPr>
        <w:pStyle w:val="BodyText"/>
        <w:spacing w:line="247" w:lineRule="auto"/>
        <w:ind w:left="117" w:right="116" w:firstLine="283"/>
        <w:jc w:val="both"/>
      </w:pPr>
      <w:r>
        <w:rPr>
          <w:color w:val="231F20"/>
        </w:rPr>
        <w:t>Conviene mencionar que los migrantes de retorno son migrantes labo- rales, y la manifestación de sus desplazamientos al norte son motivados fundamentalmente</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existencia</w:t>
      </w:r>
      <w:r>
        <w:rPr>
          <w:color w:val="231F20"/>
          <w:spacing w:val="-7"/>
        </w:rPr>
        <w:t> </w:t>
      </w:r>
      <w:r>
        <w:rPr>
          <w:color w:val="231F20"/>
        </w:rPr>
        <w:t>de</w:t>
      </w:r>
      <w:r>
        <w:rPr>
          <w:color w:val="231F20"/>
          <w:spacing w:val="-7"/>
        </w:rPr>
        <w:t> </w:t>
      </w:r>
      <w:r>
        <w:rPr>
          <w:color w:val="231F20"/>
        </w:rPr>
        <w:t>oferta</w:t>
      </w:r>
      <w:r>
        <w:rPr>
          <w:color w:val="231F20"/>
          <w:spacing w:val="-7"/>
        </w:rPr>
        <w:t> </w:t>
      </w:r>
      <w:r>
        <w:rPr>
          <w:color w:val="231F20"/>
        </w:rPr>
        <w:t>de</w:t>
      </w:r>
      <w:r>
        <w:rPr>
          <w:color w:val="231F20"/>
          <w:spacing w:val="-7"/>
        </w:rPr>
        <w:t> </w:t>
      </w:r>
      <w:r>
        <w:rPr>
          <w:color w:val="231F20"/>
        </w:rPr>
        <w:t>empleos</w:t>
      </w:r>
      <w:r>
        <w:rPr>
          <w:color w:val="231F20"/>
          <w:spacing w:val="-7"/>
        </w:rPr>
        <w:t> </w:t>
      </w:r>
      <w:r>
        <w:rPr>
          <w:color w:val="231F20"/>
        </w:rPr>
        <w:t>y</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demanda insatisfecha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mismos</w:t>
      </w:r>
      <w:r>
        <w:rPr>
          <w:color w:val="231F20"/>
          <w:spacing w:val="-8"/>
        </w:rPr>
        <w:t> </w:t>
      </w:r>
      <w:r>
        <w:rPr>
          <w:color w:val="231F20"/>
        </w:rPr>
        <w:t>en</w:t>
      </w:r>
      <w:r>
        <w:rPr>
          <w:color w:val="231F20"/>
          <w:spacing w:val="-8"/>
        </w:rPr>
        <w:t> </w:t>
      </w:r>
      <w:r>
        <w:rPr>
          <w:color w:val="231F20"/>
        </w:rPr>
        <w:t>México;</w:t>
      </w:r>
      <w:r>
        <w:rPr>
          <w:color w:val="231F20"/>
          <w:spacing w:val="-7"/>
        </w:rPr>
        <w:t> </w:t>
      </w:r>
      <w:r>
        <w:rPr>
          <w:color w:val="231F20"/>
        </w:rPr>
        <w:t>es</w:t>
      </w:r>
      <w:r>
        <w:rPr>
          <w:color w:val="231F20"/>
          <w:spacing w:val="-8"/>
        </w:rPr>
        <w:t> </w:t>
      </w:r>
      <w:r>
        <w:rPr>
          <w:color w:val="231F20"/>
        </w:rPr>
        <w:t>decir,</w:t>
      </w:r>
      <w:r>
        <w:rPr>
          <w:color w:val="231F20"/>
          <w:spacing w:val="-8"/>
        </w:rPr>
        <w:t> </w:t>
      </w:r>
      <w:r>
        <w:rPr>
          <w:color w:val="231F20"/>
        </w:rPr>
        <w:t>la</w:t>
      </w:r>
      <w:r>
        <w:rPr>
          <w:color w:val="231F20"/>
          <w:spacing w:val="-8"/>
        </w:rPr>
        <w:t> </w:t>
      </w:r>
      <w:r>
        <w:rPr>
          <w:color w:val="231F20"/>
        </w:rPr>
        <w:t>permanencia</w:t>
      </w:r>
      <w:r>
        <w:rPr>
          <w:color w:val="231F20"/>
          <w:spacing w:val="-8"/>
        </w:rPr>
        <w:t> </w:t>
      </w:r>
      <w:r>
        <w:rPr>
          <w:color w:val="231F20"/>
        </w:rPr>
        <w:t>en</w:t>
      </w:r>
      <w:r>
        <w:rPr>
          <w:color w:val="231F20"/>
          <w:spacing w:val="-8"/>
        </w:rPr>
        <w:t> </w:t>
      </w:r>
      <w:r>
        <w:rPr>
          <w:color w:val="231F20"/>
        </w:rPr>
        <w:t>Estados Unidos marca una tendencia prolongada que en buena medida responde al tiempo en que los mexicanos trabajan en ese país y a los mayores contro- les de su entrada. En algunas investigaciones se ha sostenido (Santibañez, 2000) que la prologada permanencia en Estados Unidos, principalmente, recae en la mujer, porque para ellas no es fácil ir y regresar cuantas veces sea posible, por la dificultad del cruce y en lo que se aprecia en relación a los indígenas del país sucede lo</w:t>
      </w:r>
      <w:r>
        <w:rPr>
          <w:color w:val="231F20"/>
          <w:spacing w:val="-8"/>
        </w:rPr>
        <w:t> </w:t>
      </w:r>
      <w:r>
        <w:rPr>
          <w:color w:val="231F20"/>
        </w:rPr>
        <w:t>mismo.</w:t>
      </w:r>
    </w:p>
    <w:p>
      <w:pPr>
        <w:spacing w:after="0" w:line="247" w:lineRule="auto"/>
        <w:jc w:val="both"/>
        <w:sectPr>
          <w:pgSz w:w="9360" w:h="13040"/>
          <w:pgMar w:header="0" w:footer="496" w:top="740" w:bottom="680" w:left="1300" w:right="1300"/>
        </w:sectPr>
      </w:pPr>
    </w:p>
    <w:p>
      <w:pPr>
        <w:tabs>
          <w:tab w:pos="5536" w:val="left" w:leader="none"/>
        </w:tabs>
        <w:spacing w:before="48"/>
        <w:ind w:left="105" w:right="117" w:firstLine="0"/>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18"/>
        </w:rPr>
      </w:pPr>
    </w:p>
    <w:p>
      <w:pPr>
        <w:spacing w:before="81"/>
        <w:ind w:left="454" w:right="117" w:firstLine="0"/>
        <w:jc w:val="left"/>
        <w:rPr>
          <w:sz w:val="19"/>
        </w:rPr>
      </w:pPr>
      <w:r>
        <w:rPr>
          <w:w w:val="105"/>
          <w:sz w:val="19"/>
        </w:rPr>
        <w:t>Cuadro 3. Migrantes indígenas procedentes de Estados Unidos nacidos en</w:t>
      </w:r>
    </w:p>
    <w:p>
      <w:pPr>
        <w:tabs>
          <w:tab w:pos="4001" w:val="left" w:leader="none"/>
          <w:tab w:pos="6632" w:val="left" w:leader="none"/>
        </w:tabs>
        <w:spacing w:line="290" w:lineRule="auto" w:before="12"/>
        <w:ind w:left="2021" w:right="120" w:hanging="1640"/>
        <w:jc w:val="left"/>
        <w:rPr>
          <w:sz w:val="19"/>
        </w:rPr>
      </w:pPr>
      <w:r>
        <w:rPr>
          <w:spacing w:val="22"/>
          <w:w w:val="103"/>
          <w:sz w:val="19"/>
          <w:u w:val="single"/>
        </w:rPr>
        <w:t> </w:t>
      </w:r>
      <w:r>
        <w:rPr>
          <w:w w:val="105"/>
          <w:sz w:val="19"/>
          <w:u w:val="single"/>
        </w:rPr>
        <w:t>México y el Estado de</w:t>
      </w:r>
      <w:r>
        <w:rPr>
          <w:spacing w:val="-6"/>
          <w:w w:val="105"/>
          <w:sz w:val="19"/>
          <w:u w:val="single"/>
        </w:rPr>
        <w:t> </w:t>
      </w:r>
      <w:r>
        <w:rPr>
          <w:w w:val="105"/>
          <w:sz w:val="19"/>
          <w:u w:val="single"/>
        </w:rPr>
        <w:t>México</w:t>
      </w:r>
      <w:r>
        <w:rPr>
          <w:spacing w:val="-1"/>
          <w:w w:val="105"/>
          <w:sz w:val="19"/>
          <w:u w:val="single"/>
        </w:rPr>
        <w:t> </w:t>
      </w:r>
      <w:r>
        <w:rPr>
          <w:w w:val="105"/>
          <w:sz w:val="19"/>
          <w:u w:val="single"/>
        </w:rPr>
        <w:t>1999-2009</w:t>
      </w:r>
      <w:r>
        <w:rPr>
          <w:sz w:val="19"/>
          <w:u w:val="single"/>
        </w:rPr>
        <w:tab/>
        <w:tab/>
      </w:r>
      <w:r>
        <w:rPr>
          <w:sz w:val="19"/>
        </w:rPr>
        <w:t> </w:t>
      </w:r>
      <w:r>
        <w:rPr>
          <w:w w:val="105"/>
          <w:sz w:val="19"/>
        </w:rPr>
        <w:t>Nacional</w:t>
        <w:tab/>
        <w:t>Estado de</w:t>
      </w:r>
      <w:r>
        <w:rPr>
          <w:spacing w:val="-3"/>
          <w:w w:val="105"/>
          <w:sz w:val="19"/>
        </w:rPr>
        <w:t> </w:t>
      </w:r>
      <w:r>
        <w:rPr>
          <w:w w:val="105"/>
          <w:sz w:val="19"/>
        </w:rPr>
        <w:t>México</w:t>
      </w:r>
    </w:p>
    <w:p>
      <w:pPr>
        <w:tabs>
          <w:tab w:pos="5096" w:val="left" w:leader="none"/>
        </w:tabs>
        <w:spacing w:line="186" w:lineRule="exact" w:before="0" w:after="25"/>
        <w:ind w:left="2261" w:right="117" w:firstLine="0"/>
        <w:jc w:val="left"/>
        <w:rPr>
          <w:sz w:val="19"/>
        </w:rPr>
      </w:pPr>
      <w:r>
        <w:rPr>
          <w:w w:val="105"/>
          <w:sz w:val="19"/>
        </w:rPr>
        <w:t>Habla</w:t>
        <w:tab/>
        <w:t>Habla</w:t>
      </w:r>
    </w:p>
    <w:tbl>
      <w:tblPr>
        <w:tblW w:w="0" w:type="auto"/>
        <w:jc w:val="left"/>
        <w:tblInd w:w="38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89"/>
        <w:gridCol w:w="998"/>
        <w:gridCol w:w="843"/>
        <w:gridCol w:w="1005"/>
        <w:gridCol w:w="916"/>
        <w:gridCol w:w="914"/>
        <w:gridCol w:w="984"/>
      </w:tblGrid>
      <w:tr>
        <w:trPr>
          <w:trHeight w:val="457" w:hRule="exact"/>
        </w:trPr>
        <w:tc>
          <w:tcPr>
            <w:tcW w:w="589" w:type="dxa"/>
            <w:tcBorders>
              <w:bottom w:val="double" w:sz="4" w:space="0" w:color="000000"/>
            </w:tcBorders>
          </w:tcPr>
          <w:p>
            <w:pPr>
              <w:pStyle w:val="TableParagraph"/>
              <w:spacing w:before="10"/>
              <w:jc w:val="left"/>
              <w:rPr>
                <w:sz w:val="18"/>
              </w:rPr>
            </w:pPr>
          </w:p>
          <w:p>
            <w:pPr>
              <w:pStyle w:val="TableParagraph"/>
              <w:ind w:left="72"/>
              <w:jc w:val="left"/>
              <w:rPr>
                <w:sz w:val="19"/>
              </w:rPr>
            </w:pPr>
            <w:r>
              <w:rPr>
                <w:w w:val="105"/>
                <w:sz w:val="19"/>
              </w:rPr>
              <w:t>Año</w:t>
            </w:r>
          </w:p>
        </w:tc>
        <w:tc>
          <w:tcPr>
            <w:tcW w:w="998" w:type="dxa"/>
            <w:tcBorders>
              <w:bottom w:val="double" w:sz="4" w:space="0" w:color="000000"/>
            </w:tcBorders>
          </w:tcPr>
          <w:p>
            <w:pPr>
              <w:pStyle w:val="TableParagraph"/>
              <w:spacing w:line="205" w:lineRule="exact"/>
              <w:ind w:left="239" w:firstLine="255"/>
              <w:jc w:val="left"/>
              <w:rPr>
                <w:sz w:val="19"/>
              </w:rPr>
            </w:pPr>
            <w:r>
              <w:rPr>
                <w:w w:val="105"/>
                <w:sz w:val="19"/>
              </w:rPr>
              <w:t>Total</w:t>
            </w:r>
          </w:p>
          <w:p>
            <w:pPr>
              <w:pStyle w:val="TableParagraph"/>
              <w:spacing w:before="12"/>
              <w:ind w:left="239"/>
              <w:jc w:val="left"/>
              <w:rPr>
                <w:sz w:val="19"/>
              </w:rPr>
            </w:pPr>
            <w:r>
              <w:rPr>
                <w:w w:val="105"/>
                <w:sz w:val="19"/>
              </w:rPr>
              <w:t>absoluto</w:t>
            </w:r>
          </w:p>
        </w:tc>
        <w:tc>
          <w:tcPr>
            <w:tcW w:w="843" w:type="dxa"/>
            <w:tcBorders>
              <w:bottom w:val="double" w:sz="4" w:space="0" w:color="000000"/>
            </w:tcBorders>
          </w:tcPr>
          <w:p>
            <w:pPr>
              <w:pStyle w:val="TableParagraph"/>
              <w:spacing w:line="205" w:lineRule="exact"/>
              <w:ind w:left="81" w:firstLine="155"/>
              <w:jc w:val="left"/>
              <w:rPr>
                <w:sz w:val="19"/>
              </w:rPr>
            </w:pPr>
            <w:r>
              <w:rPr>
                <w:w w:val="105"/>
                <w:sz w:val="19"/>
              </w:rPr>
              <w:t>lengua</w:t>
            </w:r>
          </w:p>
          <w:p>
            <w:pPr>
              <w:pStyle w:val="TableParagraph"/>
              <w:spacing w:before="12"/>
              <w:ind w:left="81"/>
              <w:jc w:val="left"/>
              <w:rPr>
                <w:sz w:val="19"/>
              </w:rPr>
            </w:pPr>
            <w:r>
              <w:rPr>
                <w:w w:val="105"/>
                <w:sz w:val="19"/>
              </w:rPr>
              <w:t>indígena</w:t>
            </w:r>
          </w:p>
        </w:tc>
        <w:tc>
          <w:tcPr>
            <w:tcW w:w="1005" w:type="dxa"/>
            <w:tcBorders>
              <w:bottom w:val="double" w:sz="4" w:space="0" w:color="000000"/>
            </w:tcBorders>
          </w:tcPr>
          <w:p>
            <w:pPr>
              <w:pStyle w:val="TableParagraph"/>
              <w:spacing w:before="10"/>
              <w:jc w:val="left"/>
              <w:rPr>
                <w:sz w:val="18"/>
              </w:rPr>
            </w:pPr>
          </w:p>
          <w:p>
            <w:pPr>
              <w:pStyle w:val="TableParagraph"/>
              <w:ind w:right="86"/>
              <w:rPr>
                <w:sz w:val="19"/>
              </w:rPr>
            </w:pPr>
            <w:r>
              <w:rPr>
                <w:sz w:val="19"/>
              </w:rPr>
              <w:t>Porcentaje</w:t>
            </w:r>
          </w:p>
        </w:tc>
        <w:tc>
          <w:tcPr>
            <w:tcW w:w="916" w:type="dxa"/>
            <w:tcBorders>
              <w:bottom w:val="double" w:sz="4" w:space="0" w:color="000000"/>
            </w:tcBorders>
          </w:tcPr>
          <w:p>
            <w:pPr>
              <w:pStyle w:val="TableParagraph"/>
              <w:spacing w:line="205" w:lineRule="exact"/>
              <w:ind w:left="87" w:firstLine="255"/>
              <w:jc w:val="left"/>
              <w:rPr>
                <w:sz w:val="19"/>
              </w:rPr>
            </w:pPr>
            <w:r>
              <w:rPr>
                <w:w w:val="105"/>
                <w:sz w:val="19"/>
              </w:rPr>
              <w:t>Total</w:t>
            </w:r>
          </w:p>
          <w:p>
            <w:pPr>
              <w:pStyle w:val="TableParagraph"/>
              <w:spacing w:before="12"/>
              <w:ind w:left="87"/>
              <w:jc w:val="left"/>
              <w:rPr>
                <w:sz w:val="19"/>
              </w:rPr>
            </w:pPr>
            <w:r>
              <w:rPr>
                <w:w w:val="105"/>
                <w:sz w:val="19"/>
              </w:rPr>
              <w:t>absoluto</w:t>
            </w:r>
          </w:p>
        </w:tc>
        <w:tc>
          <w:tcPr>
            <w:tcW w:w="914" w:type="dxa"/>
            <w:tcBorders>
              <w:bottom w:val="double" w:sz="4" w:space="0" w:color="000000"/>
            </w:tcBorders>
          </w:tcPr>
          <w:p>
            <w:pPr>
              <w:pStyle w:val="TableParagraph"/>
              <w:spacing w:line="205" w:lineRule="exact"/>
              <w:ind w:left="151" w:firstLine="155"/>
              <w:jc w:val="left"/>
              <w:rPr>
                <w:sz w:val="19"/>
              </w:rPr>
            </w:pPr>
            <w:r>
              <w:rPr>
                <w:w w:val="105"/>
                <w:sz w:val="19"/>
              </w:rPr>
              <w:t>lengua</w:t>
            </w:r>
          </w:p>
          <w:p>
            <w:pPr>
              <w:pStyle w:val="TableParagraph"/>
              <w:spacing w:before="12"/>
              <w:ind w:left="151"/>
              <w:jc w:val="left"/>
              <w:rPr>
                <w:sz w:val="19"/>
              </w:rPr>
            </w:pPr>
            <w:r>
              <w:rPr>
                <w:w w:val="105"/>
                <w:sz w:val="19"/>
              </w:rPr>
              <w:t>indígena</w:t>
            </w:r>
          </w:p>
        </w:tc>
        <w:tc>
          <w:tcPr>
            <w:tcW w:w="984" w:type="dxa"/>
            <w:tcBorders>
              <w:bottom w:val="double" w:sz="4" w:space="0" w:color="000000"/>
            </w:tcBorders>
          </w:tcPr>
          <w:p>
            <w:pPr>
              <w:pStyle w:val="TableParagraph"/>
              <w:spacing w:before="10"/>
              <w:jc w:val="left"/>
              <w:rPr>
                <w:sz w:val="18"/>
              </w:rPr>
            </w:pPr>
          </w:p>
          <w:p>
            <w:pPr>
              <w:pStyle w:val="TableParagraph"/>
              <w:ind w:right="64"/>
              <w:rPr>
                <w:sz w:val="19"/>
              </w:rPr>
            </w:pPr>
            <w:r>
              <w:rPr>
                <w:sz w:val="19"/>
              </w:rPr>
              <w:t>Porcentaje</w:t>
            </w:r>
          </w:p>
        </w:tc>
      </w:tr>
      <w:tr>
        <w:trPr>
          <w:trHeight w:val="307" w:hRule="exact"/>
        </w:trPr>
        <w:tc>
          <w:tcPr>
            <w:tcW w:w="589" w:type="dxa"/>
            <w:tcBorders>
              <w:top w:val="double" w:sz="4" w:space="0" w:color="000000"/>
            </w:tcBorders>
          </w:tcPr>
          <w:p>
            <w:pPr>
              <w:pStyle w:val="TableParagraph"/>
              <w:spacing w:before="48"/>
              <w:ind w:left="72"/>
              <w:jc w:val="left"/>
              <w:rPr>
                <w:sz w:val="19"/>
              </w:rPr>
            </w:pPr>
            <w:r>
              <w:rPr>
                <w:w w:val="105"/>
                <w:sz w:val="19"/>
              </w:rPr>
              <w:t>1999</w:t>
            </w:r>
          </w:p>
        </w:tc>
        <w:tc>
          <w:tcPr>
            <w:tcW w:w="998" w:type="dxa"/>
            <w:tcBorders>
              <w:top w:val="double" w:sz="4" w:space="0" w:color="000000"/>
            </w:tcBorders>
          </w:tcPr>
          <w:p>
            <w:pPr>
              <w:pStyle w:val="TableParagraph"/>
              <w:spacing w:before="48"/>
              <w:ind w:right="79"/>
              <w:rPr>
                <w:sz w:val="19"/>
              </w:rPr>
            </w:pPr>
            <w:r>
              <w:rPr>
                <w:w w:val="105"/>
                <w:sz w:val="19"/>
              </w:rPr>
              <w:t>1 328 218</w:t>
            </w:r>
          </w:p>
        </w:tc>
        <w:tc>
          <w:tcPr>
            <w:tcW w:w="843" w:type="dxa"/>
            <w:tcBorders>
              <w:top w:val="double" w:sz="4" w:space="0" w:color="000000"/>
            </w:tcBorders>
          </w:tcPr>
          <w:p>
            <w:pPr>
              <w:pStyle w:val="TableParagraph"/>
              <w:spacing w:before="48"/>
              <w:ind w:right="71"/>
              <w:rPr>
                <w:sz w:val="19"/>
              </w:rPr>
            </w:pPr>
            <w:r>
              <w:rPr>
                <w:w w:val="105"/>
                <w:sz w:val="19"/>
              </w:rPr>
              <w:t>58 059</w:t>
            </w:r>
          </w:p>
        </w:tc>
        <w:tc>
          <w:tcPr>
            <w:tcW w:w="1005" w:type="dxa"/>
            <w:tcBorders>
              <w:top w:val="double" w:sz="4" w:space="0" w:color="000000"/>
            </w:tcBorders>
          </w:tcPr>
          <w:p>
            <w:pPr>
              <w:pStyle w:val="TableParagraph"/>
              <w:spacing w:before="48"/>
              <w:ind w:right="85"/>
              <w:rPr>
                <w:sz w:val="19"/>
              </w:rPr>
            </w:pPr>
            <w:r>
              <w:rPr>
                <w:sz w:val="19"/>
              </w:rPr>
              <w:t>4.4</w:t>
            </w:r>
          </w:p>
        </w:tc>
        <w:tc>
          <w:tcPr>
            <w:tcW w:w="916" w:type="dxa"/>
            <w:tcBorders>
              <w:top w:val="double" w:sz="4" w:space="0" w:color="000000"/>
            </w:tcBorders>
          </w:tcPr>
          <w:p>
            <w:pPr>
              <w:pStyle w:val="TableParagraph"/>
              <w:spacing w:before="48"/>
              <w:ind w:right="149"/>
              <w:rPr>
                <w:sz w:val="19"/>
              </w:rPr>
            </w:pPr>
            <w:r>
              <w:rPr>
                <w:w w:val="105"/>
                <w:sz w:val="19"/>
              </w:rPr>
              <w:t>26 390</w:t>
            </w:r>
          </w:p>
        </w:tc>
        <w:tc>
          <w:tcPr>
            <w:tcW w:w="914" w:type="dxa"/>
            <w:tcBorders>
              <w:top w:val="double" w:sz="4" w:space="0" w:color="000000"/>
            </w:tcBorders>
          </w:tcPr>
          <w:p>
            <w:pPr>
              <w:pStyle w:val="TableParagraph"/>
              <w:spacing w:before="48"/>
              <w:ind w:right="72"/>
              <w:rPr>
                <w:sz w:val="19"/>
              </w:rPr>
            </w:pPr>
            <w:r>
              <w:rPr>
                <w:w w:val="105"/>
                <w:sz w:val="19"/>
              </w:rPr>
              <w:t>1 557</w:t>
            </w:r>
          </w:p>
        </w:tc>
        <w:tc>
          <w:tcPr>
            <w:tcW w:w="984" w:type="dxa"/>
            <w:tcBorders>
              <w:top w:val="double" w:sz="4" w:space="0" w:color="000000"/>
            </w:tcBorders>
          </w:tcPr>
          <w:p>
            <w:pPr>
              <w:pStyle w:val="TableParagraph"/>
              <w:spacing w:before="48"/>
              <w:ind w:right="63"/>
              <w:rPr>
                <w:sz w:val="19"/>
              </w:rPr>
            </w:pPr>
            <w:r>
              <w:rPr>
                <w:sz w:val="19"/>
              </w:rPr>
              <w:t>5.9</w:t>
            </w:r>
          </w:p>
        </w:tc>
      </w:tr>
      <w:tr>
        <w:trPr>
          <w:trHeight w:val="254" w:hRule="exact"/>
        </w:trPr>
        <w:tc>
          <w:tcPr>
            <w:tcW w:w="589" w:type="dxa"/>
          </w:tcPr>
          <w:p>
            <w:pPr>
              <w:pStyle w:val="TableParagraph"/>
              <w:spacing w:before="9"/>
              <w:ind w:left="72"/>
              <w:jc w:val="left"/>
              <w:rPr>
                <w:sz w:val="19"/>
              </w:rPr>
            </w:pPr>
            <w:r>
              <w:rPr>
                <w:w w:val="105"/>
                <w:sz w:val="19"/>
              </w:rPr>
              <w:t>2000</w:t>
            </w:r>
          </w:p>
        </w:tc>
        <w:tc>
          <w:tcPr>
            <w:tcW w:w="998" w:type="dxa"/>
          </w:tcPr>
          <w:p>
            <w:pPr>
              <w:pStyle w:val="TableParagraph"/>
              <w:spacing w:before="9"/>
              <w:ind w:right="79"/>
              <w:rPr>
                <w:sz w:val="19"/>
              </w:rPr>
            </w:pPr>
            <w:r>
              <w:rPr>
                <w:w w:val="105"/>
                <w:sz w:val="19"/>
              </w:rPr>
              <w:t>1 321 762</w:t>
            </w:r>
          </w:p>
        </w:tc>
        <w:tc>
          <w:tcPr>
            <w:tcW w:w="843" w:type="dxa"/>
          </w:tcPr>
          <w:p>
            <w:pPr>
              <w:pStyle w:val="TableParagraph"/>
              <w:spacing w:before="9"/>
              <w:ind w:right="71"/>
              <w:rPr>
                <w:sz w:val="19"/>
              </w:rPr>
            </w:pPr>
            <w:r>
              <w:rPr>
                <w:w w:val="105"/>
                <w:sz w:val="19"/>
              </w:rPr>
              <w:t>31 507</w:t>
            </w:r>
          </w:p>
        </w:tc>
        <w:tc>
          <w:tcPr>
            <w:tcW w:w="1005" w:type="dxa"/>
          </w:tcPr>
          <w:p>
            <w:pPr>
              <w:pStyle w:val="TableParagraph"/>
              <w:spacing w:before="9"/>
              <w:ind w:right="85"/>
              <w:rPr>
                <w:sz w:val="19"/>
              </w:rPr>
            </w:pPr>
            <w:r>
              <w:rPr>
                <w:sz w:val="19"/>
              </w:rPr>
              <w:t>2.4</w:t>
            </w:r>
          </w:p>
        </w:tc>
        <w:tc>
          <w:tcPr>
            <w:tcW w:w="916" w:type="dxa"/>
          </w:tcPr>
          <w:p>
            <w:pPr>
              <w:pStyle w:val="TableParagraph"/>
              <w:spacing w:before="9"/>
              <w:ind w:right="149"/>
              <w:rPr>
                <w:sz w:val="19"/>
              </w:rPr>
            </w:pPr>
            <w:r>
              <w:rPr>
                <w:w w:val="105"/>
                <w:sz w:val="19"/>
              </w:rPr>
              <w:t>19 354</w:t>
            </w:r>
          </w:p>
        </w:tc>
        <w:tc>
          <w:tcPr>
            <w:tcW w:w="914" w:type="dxa"/>
          </w:tcPr>
          <w:p>
            <w:pPr>
              <w:pStyle w:val="TableParagraph"/>
              <w:spacing w:before="9"/>
              <w:ind w:right="72"/>
              <w:rPr>
                <w:sz w:val="19"/>
              </w:rPr>
            </w:pPr>
            <w:r>
              <w:rPr>
                <w:w w:val="105"/>
                <w:sz w:val="19"/>
              </w:rPr>
              <w:t>1 619</w:t>
            </w:r>
          </w:p>
        </w:tc>
        <w:tc>
          <w:tcPr>
            <w:tcW w:w="984" w:type="dxa"/>
          </w:tcPr>
          <w:p>
            <w:pPr>
              <w:pStyle w:val="TableParagraph"/>
              <w:spacing w:before="9"/>
              <w:ind w:right="63"/>
              <w:rPr>
                <w:sz w:val="19"/>
              </w:rPr>
            </w:pPr>
            <w:r>
              <w:rPr>
                <w:sz w:val="19"/>
              </w:rPr>
              <w:t>8.4</w:t>
            </w:r>
          </w:p>
        </w:tc>
      </w:tr>
      <w:tr>
        <w:trPr>
          <w:trHeight w:val="254" w:hRule="exact"/>
        </w:trPr>
        <w:tc>
          <w:tcPr>
            <w:tcW w:w="589" w:type="dxa"/>
          </w:tcPr>
          <w:p>
            <w:pPr>
              <w:pStyle w:val="TableParagraph"/>
              <w:spacing w:before="9"/>
              <w:ind w:left="72"/>
              <w:jc w:val="left"/>
              <w:rPr>
                <w:sz w:val="19"/>
              </w:rPr>
            </w:pPr>
            <w:r>
              <w:rPr>
                <w:w w:val="105"/>
                <w:sz w:val="19"/>
              </w:rPr>
              <w:t>2001</w:t>
            </w:r>
          </w:p>
        </w:tc>
        <w:tc>
          <w:tcPr>
            <w:tcW w:w="998" w:type="dxa"/>
          </w:tcPr>
          <w:p>
            <w:pPr>
              <w:pStyle w:val="TableParagraph"/>
              <w:spacing w:before="9"/>
              <w:ind w:right="79"/>
              <w:rPr>
                <w:sz w:val="19"/>
              </w:rPr>
            </w:pPr>
            <w:r>
              <w:rPr>
                <w:w w:val="105"/>
                <w:sz w:val="19"/>
              </w:rPr>
              <w:t>1 685 860</w:t>
            </w:r>
          </w:p>
        </w:tc>
        <w:tc>
          <w:tcPr>
            <w:tcW w:w="843" w:type="dxa"/>
          </w:tcPr>
          <w:p>
            <w:pPr>
              <w:pStyle w:val="TableParagraph"/>
              <w:spacing w:before="9"/>
              <w:ind w:right="71"/>
              <w:rPr>
                <w:sz w:val="19"/>
              </w:rPr>
            </w:pPr>
            <w:r>
              <w:rPr>
                <w:w w:val="105"/>
                <w:sz w:val="19"/>
              </w:rPr>
              <w:t>81 844</w:t>
            </w:r>
          </w:p>
        </w:tc>
        <w:tc>
          <w:tcPr>
            <w:tcW w:w="1005" w:type="dxa"/>
          </w:tcPr>
          <w:p>
            <w:pPr>
              <w:pStyle w:val="TableParagraph"/>
              <w:spacing w:before="9"/>
              <w:ind w:right="85"/>
              <w:rPr>
                <w:sz w:val="19"/>
              </w:rPr>
            </w:pPr>
            <w:r>
              <w:rPr>
                <w:sz w:val="19"/>
              </w:rPr>
              <w:t>4.9</w:t>
            </w:r>
          </w:p>
        </w:tc>
        <w:tc>
          <w:tcPr>
            <w:tcW w:w="916" w:type="dxa"/>
          </w:tcPr>
          <w:p>
            <w:pPr>
              <w:pStyle w:val="TableParagraph"/>
              <w:spacing w:before="9"/>
              <w:ind w:right="149"/>
              <w:rPr>
                <w:sz w:val="19"/>
              </w:rPr>
            </w:pPr>
            <w:r>
              <w:rPr>
                <w:w w:val="105"/>
                <w:sz w:val="19"/>
              </w:rPr>
              <w:t>27 779</w:t>
            </w:r>
          </w:p>
        </w:tc>
        <w:tc>
          <w:tcPr>
            <w:tcW w:w="914" w:type="dxa"/>
          </w:tcPr>
          <w:p>
            <w:pPr/>
          </w:p>
        </w:tc>
        <w:tc>
          <w:tcPr>
            <w:tcW w:w="984" w:type="dxa"/>
          </w:tcPr>
          <w:p>
            <w:pPr>
              <w:pStyle w:val="TableParagraph"/>
              <w:spacing w:before="9"/>
              <w:ind w:right="63"/>
              <w:rPr>
                <w:sz w:val="19"/>
              </w:rPr>
            </w:pPr>
            <w:r>
              <w:rPr>
                <w:sz w:val="19"/>
              </w:rPr>
              <w:t>0.0</w:t>
            </w:r>
          </w:p>
        </w:tc>
      </w:tr>
      <w:tr>
        <w:trPr>
          <w:trHeight w:val="254" w:hRule="exact"/>
        </w:trPr>
        <w:tc>
          <w:tcPr>
            <w:tcW w:w="589" w:type="dxa"/>
          </w:tcPr>
          <w:p>
            <w:pPr>
              <w:pStyle w:val="TableParagraph"/>
              <w:spacing w:before="9"/>
              <w:ind w:left="72"/>
              <w:jc w:val="left"/>
              <w:rPr>
                <w:sz w:val="19"/>
              </w:rPr>
            </w:pPr>
            <w:r>
              <w:rPr>
                <w:w w:val="105"/>
                <w:sz w:val="19"/>
              </w:rPr>
              <w:t>2002</w:t>
            </w:r>
          </w:p>
        </w:tc>
        <w:tc>
          <w:tcPr>
            <w:tcW w:w="998" w:type="dxa"/>
          </w:tcPr>
          <w:p>
            <w:pPr>
              <w:pStyle w:val="TableParagraph"/>
              <w:spacing w:before="9"/>
              <w:ind w:right="79"/>
              <w:rPr>
                <w:sz w:val="19"/>
              </w:rPr>
            </w:pPr>
            <w:r>
              <w:rPr>
                <w:w w:val="105"/>
                <w:sz w:val="19"/>
              </w:rPr>
              <w:t>1 391 319</w:t>
            </w:r>
          </w:p>
        </w:tc>
        <w:tc>
          <w:tcPr>
            <w:tcW w:w="843" w:type="dxa"/>
          </w:tcPr>
          <w:p>
            <w:pPr>
              <w:pStyle w:val="TableParagraph"/>
              <w:spacing w:before="9"/>
              <w:ind w:right="71"/>
              <w:rPr>
                <w:sz w:val="19"/>
              </w:rPr>
            </w:pPr>
            <w:r>
              <w:rPr>
                <w:w w:val="105"/>
                <w:sz w:val="19"/>
              </w:rPr>
              <w:t>58 230</w:t>
            </w:r>
          </w:p>
        </w:tc>
        <w:tc>
          <w:tcPr>
            <w:tcW w:w="1005" w:type="dxa"/>
          </w:tcPr>
          <w:p>
            <w:pPr>
              <w:pStyle w:val="TableParagraph"/>
              <w:spacing w:before="9"/>
              <w:ind w:right="85"/>
              <w:rPr>
                <w:sz w:val="19"/>
              </w:rPr>
            </w:pPr>
            <w:r>
              <w:rPr>
                <w:sz w:val="19"/>
              </w:rPr>
              <w:t>4.2</w:t>
            </w:r>
          </w:p>
        </w:tc>
        <w:tc>
          <w:tcPr>
            <w:tcW w:w="916" w:type="dxa"/>
          </w:tcPr>
          <w:p>
            <w:pPr>
              <w:pStyle w:val="TableParagraph"/>
              <w:spacing w:before="9"/>
              <w:ind w:right="149"/>
              <w:rPr>
                <w:sz w:val="19"/>
              </w:rPr>
            </w:pPr>
            <w:r>
              <w:rPr>
                <w:w w:val="105"/>
                <w:sz w:val="19"/>
              </w:rPr>
              <w:t>20 012</w:t>
            </w:r>
          </w:p>
        </w:tc>
        <w:tc>
          <w:tcPr>
            <w:tcW w:w="914" w:type="dxa"/>
          </w:tcPr>
          <w:p>
            <w:pPr>
              <w:pStyle w:val="TableParagraph"/>
              <w:spacing w:before="9"/>
              <w:ind w:right="72"/>
              <w:rPr>
                <w:sz w:val="19"/>
              </w:rPr>
            </w:pPr>
            <w:r>
              <w:rPr>
                <w:w w:val="105"/>
                <w:sz w:val="19"/>
              </w:rPr>
              <w:t>1 265</w:t>
            </w:r>
          </w:p>
        </w:tc>
        <w:tc>
          <w:tcPr>
            <w:tcW w:w="984" w:type="dxa"/>
          </w:tcPr>
          <w:p>
            <w:pPr>
              <w:pStyle w:val="TableParagraph"/>
              <w:spacing w:before="9"/>
              <w:ind w:right="63"/>
              <w:rPr>
                <w:sz w:val="19"/>
              </w:rPr>
            </w:pPr>
            <w:r>
              <w:rPr>
                <w:sz w:val="19"/>
              </w:rPr>
              <w:t>6.3</w:t>
            </w:r>
          </w:p>
        </w:tc>
      </w:tr>
      <w:tr>
        <w:trPr>
          <w:trHeight w:val="254" w:hRule="exact"/>
        </w:trPr>
        <w:tc>
          <w:tcPr>
            <w:tcW w:w="589" w:type="dxa"/>
          </w:tcPr>
          <w:p>
            <w:pPr>
              <w:pStyle w:val="TableParagraph"/>
              <w:spacing w:before="9"/>
              <w:ind w:left="72"/>
              <w:jc w:val="left"/>
              <w:rPr>
                <w:sz w:val="19"/>
              </w:rPr>
            </w:pPr>
            <w:r>
              <w:rPr>
                <w:w w:val="105"/>
                <w:sz w:val="19"/>
              </w:rPr>
              <w:t>2003</w:t>
            </w:r>
          </w:p>
        </w:tc>
        <w:tc>
          <w:tcPr>
            <w:tcW w:w="998" w:type="dxa"/>
          </w:tcPr>
          <w:p>
            <w:pPr>
              <w:pStyle w:val="TableParagraph"/>
              <w:spacing w:before="9"/>
              <w:ind w:right="79"/>
              <w:rPr>
                <w:sz w:val="19"/>
              </w:rPr>
            </w:pPr>
            <w:r>
              <w:rPr>
                <w:w w:val="105"/>
                <w:sz w:val="19"/>
              </w:rPr>
              <w:t>1 025 996</w:t>
            </w:r>
          </w:p>
        </w:tc>
        <w:tc>
          <w:tcPr>
            <w:tcW w:w="843" w:type="dxa"/>
          </w:tcPr>
          <w:p>
            <w:pPr>
              <w:pStyle w:val="TableParagraph"/>
              <w:spacing w:before="9"/>
              <w:ind w:right="71"/>
              <w:rPr>
                <w:sz w:val="19"/>
              </w:rPr>
            </w:pPr>
            <w:r>
              <w:rPr>
                <w:w w:val="105"/>
                <w:sz w:val="19"/>
              </w:rPr>
              <w:t>39 207</w:t>
            </w:r>
          </w:p>
        </w:tc>
        <w:tc>
          <w:tcPr>
            <w:tcW w:w="1005" w:type="dxa"/>
          </w:tcPr>
          <w:p>
            <w:pPr>
              <w:pStyle w:val="TableParagraph"/>
              <w:spacing w:before="9"/>
              <w:ind w:right="85"/>
              <w:rPr>
                <w:sz w:val="19"/>
              </w:rPr>
            </w:pPr>
            <w:r>
              <w:rPr>
                <w:sz w:val="19"/>
              </w:rPr>
              <w:t>3.8</w:t>
            </w:r>
          </w:p>
        </w:tc>
        <w:tc>
          <w:tcPr>
            <w:tcW w:w="916" w:type="dxa"/>
          </w:tcPr>
          <w:p>
            <w:pPr>
              <w:pStyle w:val="TableParagraph"/>
              <w:spacing w:before="9"/>
              <w:ind w:right="149"/>
              <w:rPr>
                <w:sz w:val="19"/>
              </w:rPr>
            </w:pPr>
            <w:r>
              <w:rPr>
                <w:w w:val="105"/>
                <w:sz w:val="19"/>
              </w:rPr>
              <w:t>20 219</w:t>
            </w:r>
          </w:p>
        </w:tc>
        <w:tc>
          <w:tcPr>
            <w:tcW w:w="914" w:type="dxa"/>
          </w:tcPr>
          <w:p>
            <w:pPr>
              <w:pStyle w:val="TableParagraph"/>
              <w:spacing w:before="9"/>
              <w:ind w:right="72"/>
              <w:rPr>
                <w:sz w:val="19"/>
              </w:rPr>
            </w:pPr>
            <w:r>
              <w:rPr>
                <w:sz w:val="19"/>
              </w:rPr>
              <w:t>790</w:t>
            </w:r>
          </w:p>
        </w:tc>
        <w:tc>
          <w:tcPr>
            <w:tcW w:w="984" w:type="dxa"/>
          </w:tcPr>
          <w:p>
            <w:pPr>
              <w:pStyle w:val="TableParagraph"/>
              <w:spacing w:before="9"/>
              <w:ind w:right="63"/>
              <w:rPr>
                <w:sz w:val="19"/>
              </w:rPr>
            </w:pPr>
            <w:r>
              <w:rPr>
                <w:sz w:val="19"/>
              </w:rPr>
              <w:t>3.9</w:t>
            </w:r>
          </w:p>
        </w:tc>
      </w:tr>
      <w:tr>
        <w:trPr>
          <w:trHeight w:val="254" w:hRule="exact"/>
        </w:trPr>
        <w:tc>
          <w:tcPr>
            <w:tcW w:w="589" w:type="dxa"/>
          </w:tcPr>
          <w:p>
            <w:pPr>
              <w:pStyle w:val="TableParagraph"/>
              <w:spacing w:before="9"/>
              <w:ind w:left="72"/>
              <w:jc w:val="left"/>
              <w:rPr>
                <w:sz w:val="19"/>
              </w:rPr>
            </w:pPr>
            <w:r>
              <w:rPr>
                <w:w w:val="105"/>
                <w:sz w:val="19"/>
              </w:rPr>
              <w:t>2004</w:t>
            </w:r>
          </w:p>
        </w:tc>
        <w:tc>
          <w:tcPr>
            <w:tcW w:w="998" w:type="dxa"/>
          </w:tcPr>
          <w:p>
            <w:pPr>
              <w:pStyle w:val="TableParagraph"/>
              <w:spacing w:before="9"/>
              <w:ind w:right="79"/>
              <w:rPr>
                <w:sz w:val="19"/>
              </w:rPr>
            </w:pPr>
            <w:r>
              <w:rPr>
                <w:w w:val="105"/>
                <w:sz w:val="19"/>
              </w:rPr>
              <w:t>833 619</w:t>
            </w:r>
          </w:p>
        </w:tc>
        <w:tc>
          <w:tcPr>
            <w:tcW w:w="843" w:type="dxa"/>
          </w:tcPr>
          <w:p>
            <w:pPr>
              <w:pStyle w:val="TableParagraph"/>
              <w:spacing w:before="9"/>
              <w:ind w:right="71"/>
              <w:rPr>
                <w:sz w:val="19"/>
              </w:rPr>
            </w:pPr>
            <w:r>
              <w:rPr>
                <w:w w:val="105"/>
                <w:sz w:val="19"/>
              </w:rPr>
              <w:t>27 284</w:t>
            </w:r>
          </w:p>
        </w:tc>
        <w:tc>
          <w:tcPr>
            <w:tcW w:w="1005" w:type="dxa"/>
          </w:tcPr>
          <w:p>
            <w:pPr>
              <w:pStyle w:val="TableParagraph"/>
              <w:spacing w:before="9"/>
              <w:ind w:right="85"/>
              <w:rPr>
                <w:sz w:val="19"/>
              </w:rPr>
            </w:pPr>
            <w:r>
              <w:rPr>
                <w:sz w:val="19"/>
              </w:rPr>
              <w:t>3.3</w:t>
            </w:r>
          </w:p>
        </w:tc>
        <w:tc>
          <w:tcPr>
            <w:tcW w:w="916" w:type="dxa"/>
          </w:tcPr>
          <w:p>
            <w:pPr>
              <w:pStyle w:val="TableParagraph"/>
              <w:spacing w:before="9"/>
              <w:ind w:right="149"/>
              <w:rPr>
                <w:sz w:val="19"/>
              </w:rPr>
            </w:pPr>
            <w:r>
              <w:rPr>
                <w:w w:val="105"/>
                <w:sz w:val="19"/>
              </w:rPr>
              <w:t>16 038</w:t>
            </w:r>
          </w:p>
        </w:tc>
        <w:tc>
          <w:tcPr>
            <w:tcW w:w="914" w:type="dxa"/>
          </w:tcPr>
          <w:p>
            <w:pPr>
              <w:pStyle w:val="TableParagraph"/>
              <w:spacing w:before="9"/>
              <w:ind w:right="72"/>
              <w:rPr>
                <w:sz w:val="19"/>
              </w:rPr>
            </w:pPr>
            <w:r>
              <w:rPr>
                <w:sz w:val="19"/>
              </w:rPr>
              <w:t>160</w:t>
            </w:r>
          </w:p>
        </w:tc>
        <w:tc>
          <w:tcPr>
            <w:tcW w:w="984" w:type="dxa"/>
          </w:tcPr>
          <w:p>
            <w:pPr>
              <w:pStyle w:val="TableParagraph"/>
              <w:spacing w:before="9"/>
              <w:ind w:right="63"/>
              <w:rPr>
                <w:sz w:val="19"/>
              </w:rPr>
            </w:pPr>
            <w:r>
              <w:rPr>
                <w:sz w:val="19"/>
              </w:rPr>
              <w:t>1.0</w:t>
            </w:r>
          </w:p>
        </w:tc>
      </w:tr>
      <w:tr>
        <w:trPr>
          <w:trHeight w:val="254" w:hRule="exact"/>
        </w:trPr>
        <w:tc>
          <w:tcPr>
            <w:tcW w:w="589" w:type="dxa"/>
          </w:tcPr>
          <w:p>
            <w:pPr>
              <w:pStyle w:val="TableParagraph"/>
              <w:spacing w:before="9"/>
              <w:ind w:left="72"/>
              <w:jc w:val="left"/>
              <w:rPr>
                <w:sz w:val="19"/>
              </w:rPr>
            </w:pPr>
            <w:r>
              <w:rPr>
                <w:w w:val="105"/>
                <w:sz w:val="19"/>
              </w:rPr>
              <w:t>2005</w:t>
            </w:r>
          </w:p>
        </w:tc>
        <w:tc>
          <w:tcPr>
            <w:tcW w:w="998" w:type="dxa"/>
          </w:tcPr>
          <w:p>
            <w:pPr>
              <w:pStyle w:val="TableParagraph"/>
              <w:spacing w:before="9"/>
              <w:ind w:right="79"/>
              <w:rPr>
                <w:sz w:val="19"/>
              </w:rPr>
            </w:pPr>
            <w:r>
              <w:rPr>
                <w:w w:val="105"/>
                <w:sz w:val="19"/>
              </w:rPr>
              <w:t>824 899</w:t>
            </w:r>
          </w:p>
        </w:tc>
        <w:tc>
          <w:tcPr>
            <w:tcW w:w="843" w:type="dxa"/>
          </w:tcPr>
          <w:p>
            <w:pPr>
              <w:pStyle w:val="TableParagraph"/>
              <w:spacing w:before="9"/>
              <w:ind w:right="71"/>
              <w:rPr>
                <w:sz w:val="19"/>
              </w:rPr>
            </w:pPr>
            <w:r>
              <w:rPr>
                <w:w w:val="105"/>
                <w:sz w:val="19"/>
              </w:rPr>
              <w:t>29 302</w:t>
            </w:r>
          </w:p>
        </w:tc>
        <w:tc>
          <w:tcPr>
            <w:tcW w:w="1005" w:type="dxa"/>
          </w:tcPr>
          <w:p>
            <w:pPr>
              <w:pStyle w:val="TableParagraph"/>
              <w:spacing w:before="9"/>
              <w:ind w:right="85"/>
              <w:rPr>
                <w:sz w:val="19"/>
              </w:rPr>
            </w:pPr>
            <w:r>
              <w:rPr>
                <w:sz w:val="19"/>
              </w:rPr>
              <w:t>3.5</w:t>
            </w:r>
          </w:p>
        </w:tc>
        <w:tc>
          <w:tcPr>
            <w:tcW w:w="916" w:type="dxa"/>
          </w:tcPr>
          <w:p>
            <w:pPr>
              <w:pStyle w:val="TableParagraph"/>
              <w:spacing w:before="9"/>
              <w:ind w:right="149"/>
              <w:rPr>
                <w:sz w:val="19"/>
              </w:rPr>
            </w:pPr>
            <w:r>
              <w:rPr>
                <w:w w:val="105"/>
                <w:sz w:val="19"/>
              </w:rPr>
              <w:t>22 005</w:t>
            </w:r>
          </w:p>
        </w:tc>
        <w:tc>
          <w:tcPr>
            <w:tcW w:w="914" w:type="dxa"/>
          </w:tcPr>
          <w:p>
            <w:pPr>
              <w:pStyle w:val="TableParagraph"/>
              <w:spacing w:before="9"/>
              <w:ind w:right="72"/>
              <w:rPr>
                <w:sz w:val="19"/>
              </w:rPr>
            </w:pPr>
            <w:r>
              <w:rPr>
                <w:sz w:val="19"/>
              </w:rPr>
              <w:t>329</w:t>
            </w:r>
          </w:p>
        </w:tc>
        <w:tc>
          <w:tcPr>
            <w:tcW w:w="984" w:type="dxa"/>
          </w:tcPr>
          <w:p>
            <w:pPr>
              <w:pStyle w:val="TableParagraph"/>
              <w:spacing w:before="9"/>
              <w:ind w:right="63"/>
              <w:rPr>
                <w:sz w:val="19"/>
              </w:rPr>
            </w:pPr>
            <w:r>
              <w:rPr>
                <w:sz w:val="19"/>
              </w:rPr>
              <w:t>1.5</w:t>
            </w:r>
          </w:p>
        </w:tc>
      </w:tr>
      <w:tr>
        <w:trPr>
          <w:trHeight w:val="257" w:hRule="exact"/>
        </w:trPr>
        <w:tc>
          <w:tcPr>
            <w:tcW w:w="589" w:type="dxa"/>
          </w:tcPr>
          <w:p>
            <w:pPr>
              <w:pStyle w:val="TableParagraph"/>
              <w:spacing w:before="9"/>
              <w:ind w:left="72"/>
              <w:jc w:val="left"/>
              <w:rPr>
                <w:sz w:val="19"/>
              </w:rPr>
            </w:pPr>
            <w:r>
              <w:rPr>
                <w:w w:val="105"/>
                <w:sz w:val="19"/>
              </w:rPr>
              <w:t>2006</w:t>
            </w:r>
          </w:p>
        </w:tc>
        <w:tc>
          <w:tcPr>
            <w:tcW w:w="998" w:type="dxa"/>
          </w:tcPr>
          <w:p>
            <w:pPr>
              <w:pStyle w:val="TableParagraph"/>
              <w:spacing w:before="9"/>
              <w:ind w:right="79"/>
              <w:rPr>
                <w:sz w:val="19"/>
              </w:rPr>
            </w:pPr>
            <w:r>
              <w:rPr>
                <w:w w:val="105"/>
                <w:sz w:val="19"/>
              </w:rPr>
              <w:t>890 832</w:t>
            </w:r>
          </w:p>
        </w:tc>
        <w:tc>
          <w:tcPr>
            <w:tcW w:w="843" w:type="dxa"/>
          </w:tcPr>
          <w:p>
            <w:pPr>
              <w:pStyle w:val="TableParagraph"/>
              <w:spacing w:before="9"/>
              <w:ind w:right="71"/>
              <w:rPr>
                <w:sz w:val="19"/>
              </w:rPr>
            </w:pPr>
            <w:r>
              <w:rPr>
                <w:w w:val="105"/>
                <w:sz w:val="19"/>
              </w:rPr>
              <w:t>32 735</w:t>
            </w:r>
          </w:p>
        </w:tc>
        <w:tc>
          <w:tcPr>
            <w:tcW w:w="1005" w:type="dxa"/>
          </w:tcPr>
          <w:p>
            <w:pPr>
              <w:pStyle w:val="TableParagraph"/>
              <w:spacing w:before="9"/>
              <w:ind w:right="85"/>
              <w:rPr>
                <w:sz w:val="19"/>
              </w:rPr>
            </w:pPr>
            <w:r>
              <w:rPr>
                <w:sz w:val="19"/>
              </w:rPr>
              <w:t>3.7</w:t>
            </w:r>
          </w:p>
        </w:tc>
        <w:tc>
          <w:tcPr>
            <w:tcW w:w="916" w:type="dxa"/>
          </w:tcPr>
          <w:p>
            <w:pPr>
              <w:pStyle w:val="TableParagraph"/>
              <w:spacing w:before="9"/>
              <w:ind w:right="149"/>
              <w:rPr>
                <w:sz w:val="19"/>
              </w:rPr>
            </w:pPr>
            <w:r>
              <w:rPr>
                <w:w w:val="105"/>
                <w:sz w:val="19"/>
              </w:rPr>
              <w:t>23 330</w:t>
            </w:r>
          </w:p>
        </w:tc>
        <w:tc>
          <w:tcPr>
            <w:tcW w:w="914" w:type="dxa"/>
          </w:tcPr>
          <w:p>
            <w:pPr>
              <w:pStyle w:val="TableParagraph"/>
              <w:spacing w:before="9"/>
              <w:ind w:right="72"/>
              <w:rPr>
                <w:sz w:val="19"/>
              </w:rPr>
            </w:pPr>
            <w:r>
              <w:rPr>
                <w:sz w:val="19"/>
              </w:rPr>
              <w:t>75</w:t>
            </w:r>
          </w:p>
        </w:tc>
        <w:tc>
          <w:tcPr>
            <w:tcW w:w="984" w:type="dxa"/>
          </w:tcPr>
          <w:p>
            <w:pPr>
              <w:pStyle w:val="TableParagraph"/>
              <w:spacing w:before="9"/>
              <w:ind w:right="63"/>
              <w:rPr>
                <w:sz w:val="19"/>
              </w:rPr>
            </w:pPr>
            <w:r>
              <w:rPr>
                <w:sz w:val="19"/>
              </w:rPr>
              <w:t>0.3</w:t>
            </w:r>
          </w:p>
        </w:tc>
      </w:tr>
      <w:tr>
        <w:trPr>
          <w:trHeight w:val="257" w:hRule="exact"/>
        </w:trPr>
        <w:tc>
          <w:tcPr>
            <w:tcW w:w="589" w:type="dxa"/>
          </w:tcPr>
          <w:p>
            <w:pPr>
              <w:pStyle w:val="TableParagraph"/>
              <w:spacing w:before="12"/>
              <w:ind w:left="72"/>
              <w:jc w:val="left"/>
              <w:rPr>
                <w:sz w:val="19"/>
              </w:rPr>
            </w:pPr>
            <w:r>
              <w:rPr>
                <w:w w:val="105"/>
                <w:sz w:val="19"/>
              </w:rPr>
              <w:t>2007</w:t>
            </w:r>
          </w:p>
        </w:tc>
        <w:tc>
          <w:tcPr>
            <w:tcW w:w="998" w:type="dxa"/>
          </w:tcPr>
          <w:p>
            <w:pPr>
              <w:pStyle w:val="TableParagraph"/>
              <w:spacing w:before="12"/>
              <w:ind w:right="79"/>
              <w:rPr>
                <w:sz w:val="19"/>
              </w:rPr>
            </w:pPr>
            <w:r>
              <w:rPr>
                <w:w w:val="105"/>
                <w:sz w:val="19"/>
              </w:rPr>
              <w:t>1 064 804</w:t>
            </w:r>
          </w:p>
        </w:tc>
        <w:tc>
          <w:tcPr>
            <w:tcW w:w="843" w:type="dxa"/>
          </w:tcPr>
          <w:p>
            <w:pPr>
              <w:pStyle w:val="TableParagraph"/>
              <w:spacing w:before="12"/>
              <w:ind w:right="71"/>
              <w:rPr>
                <w:sz w:val="19"/>
              </w:rPr>
            </w:pPr>
            <w:r>
              <w:rPr>
                <w:w w:val="105"/>
                <w:sz w:val="19"/>
              </w:rPr>
              <w:t>41 819</w:t>
            </w:r>
          </w:p>
        </w:tc>
        <w:tc>
          <w:tcPr>
            <w:tcW w:w="1005" w:type="dxa"/>
          </w:tcPr>
          <w:p>
            <w:pPr>
              <w:pStyle w:val="TableParagraph"/>
              <w:spacing w:before="12"/>
              <w:ind w:right="85"/>
              <w:rPr>
                <w:sz w:val="19"/>
              </w:rPr>
            </w:pPr>
            <w:r>
              <w:rPr>
                <w:sz w:val="19"/>
              </w:rPr>
              <w:t>4.0</w:t>
            </w:r>
          </w:p>
        </w:tc>
        <w:tc>
          <w:tcPr>
            <w:tcW w:w="916" w:type="dxa"/>
          </w:tcPr>
          <w:p>
            <w:pPr>
              <w:pStyle w:val="TableParagraph"/>
              <w:spacing w:before="12"/>
              <w:ind w:right="149"/>
              <w:rPr>
                <w:sz w:val="19"/>
              </w:rPr>
            </w:pPr>
            <w:r>
              <w:rPr>
                <w:w w:val="105"/>
                <w:sz w:val="19"/>
              </w:rPr>
              <w:t>25 537</w:t>
            </w:r>
          </w:p>
        </w:tc>
        <w:tc>
          <w:tcPr>
            <w:tcW w:w="914" w:type="dxa"/>
          </w:tcPr>
          <w:p>
            <w:pPr>
              <w:pStyle w:val="TableParagraph"/>
              <w:spacing w:before="12"/>
              <w:ind w:right="72"/>
              <w:rPr>
                <w:sz w:val="19"/>
              </w:rPr>
            </w:pPr>
            <w:r>
              <w:rPr>
                <w:sz w:val="19"/>
              </w:rPr>
              <w:t>288</w:t>
            </w:r>
          </w:p>
        </w:tc>
        <w:tc>
          <w:tcPr>
            <w:tcW w:w="984" w:type="dxa"/>
          </w:tcPr>
          <w:p>
            <w:pPr>
              <w:pStyle w:val="TableParagraph"/>
              <w:spacing w:before="12"/>
              <w:ind w:right="63"/>
              <w:rPr>
                <w:sz w:val="19"/>
              </w:rPr>
            </w:pPr>
            <w:r>
              <w:rPr>
                <w:sz w:val="19"/>
              </w:rPr>
              <w:t>1.1</w:t>
            </w:r>
          </w:p>
        </w:tc>
      </w:tr>
      <w:tr>
        <w:trPr>
          <w:trHeight w:val="262" w:hRule="exact"/>
        </w:trPr>
        <w:tc>
          <w:tcPr>
            <w:tcW w:w="589" w:type="dxa"/>
          </w:tcPr>
          <w:p>
            <w:pPr>
              <w:pStyle w:val="TableParagraph"/>
              <w:spacing w:before="9"/>
              <w:ind w:left="72"/>
              <w:jc w:val="left"/>
              <w:rPr>
                <w:sz w:val="19"/>
              </w:rPr>
            </w:pPr>
            <w:r>
              <w:rPr>
                <w:w w:val="105"/>
                <w:sz w:val="19"/>
              </w:rPr>
              <w:t>2008</w:t>
            </w:r>
          </w:p>
        </w:tc>
        <w:tc>
          <w:tcPr>
            <w:tcW w:w="998" w:type="dxa"/>
          </w:tcPr>
          <w:p>
            <w:pPr>
              <w:pStyle w:val="TableParagraph"/>
              <w:spacing w:before="9"/>
              <w:ind w:right="79"/>
              <w:rPr>
                <w:sz w:val="19"/>
              </w:rPr>
            </w:pPr>
            <w:r>
              <w:rPr>
                <w:w w:val="105"/>
                <w:sz w:val="19"/>
              </w:rPr>
              <w:t>1 155 902</w:t>
            </w:r>
          </w:p>
        </w:tc>
        <w:tc>
          <w:tcPr>
            <w:tcW w:w="843" w:type="dxa"/>
          </w:tcPr>
          <w:p>
            <w:pPr>
              <w:pStyle w:val="TableParagraph"/>
              <w:spacing w:before="9"/>
              <w:ind w:right="71"/>
              <w:rPr>
                <w:sz w:val="19"/>
              </w:rPr>
            </w:pPr>
            <w:r>
              <w:rPr>
                <w:w w:val="105"/>
                <w:sz w:val="19"/>
              </w:rPr>
              <w:t>43 506</w:t>
            </w:r>
          </w:p>
        </w:tc>
        <w:tc>
          <w:tcPr>
            <w:tcW w:w="1005" w:type="dxa"/>
          </w:tcPr>
          <w:p>
            <w:pPr>
              <w:pStyle w:val="TableParagraph"/>
              <w:spacing w:before="9"/>
              <w:ind w:right="85"/>
              <w:rPr>
                <w:sz w:val="19"/>
              </w:rPr>
            </w:pPr>
            <w:r>
              <w:rPr>
                <w:sz w:val="19"/>
              </w:rPr>
              <w:t>3.8</w:t>
            </w:r>
          </w:p>
        </w:tc>
        <w:tc>
          <w:tcPr>
            <w:tcW w:w="916" w:type="dxa"/>
          </w:tcPr>
          <w:p>
            <w:pPr>
              <w:pStyle w:val="TableParagraph"/>
              <w:spacing w:before="9"/>
              <w:ind w:right="149"/>
              <w:rPr>
                <w:sz w:val="19"/>
              </w:rPr>
            </w:pPr>
            <w:r>
              <w:rPr>
                <w:w w:val="105"/>
                <w:sz w:val="19"/>
              </w:rPr>
              <w:t>37 556</w:t>
            </w:r>
          </w:p>
        </w:tc>
        <w:tc>
          <w:tcPr>
            <w:tcW w:w="914" w:type="dxa"/>
          </w:tcPr>
          <w:p>
            <w:pPr>
              <w:pStyle w:val="TableParagraph"/>
              <w:spacing w:before="9"/>
              <w:ind w:right="72"/>
              <w:rPr>
                <w:sz w:val="19"/>
              </w:rPr>
            </w:pPr>
            <w:r>
              <w:rPr>
                <w:sz w:val="19"/>
              </w:rPr>
              <w:t>788</w:t>
            </w:r>
          </w:p>
        </w:tc>
        <w:tc>
          <w:tcPr>
            <w:tcW w:w="984" w:type="dxa"/>
          </w:tcPr>
          <w:p>
            <w:pPr>
              <w:pStyle w:val="TableParagraph"/>
              <w:spacing w:before="9"/>
              <w:ind w:right="63"/>
              <w:rPr>
                <w:sz w:val="19"/>
              </w:rPr>
            </w:pPr>
            <w:r>
              <w:rPr>
                <w:sz w:val="19"/>
              </w:rPr>
              <w:t>2.1</w:t>
            </w:r>
          </w:p>
        </w:tc>
      </w:tr>
      <w:tr>
        <w:trPr>
          <w:trHeight w:val="264" w:hRule="exact"/>
        </w:trPr>
        <w:tc>
          <w:tcPr>
            <w:tcW w:w="589" w:type="dxa"/>
            <w:tcBorders>
              <w:bottom w:val="double" w:sz="6" w:space="0" w:color="000000"/>
            </w:tcBorders>
          </w:tcPr>
          <w:p>
            <w:pPr>
              <w:pStyle w:val="TableParagraph"/>
              <w:spacing w:before="17"/>
              <w:ind w:left="72"/>
              <w:jc w:val="left"/>
              <w:rPr>
                <w:sz w:val="19"/>
              </w:rPr>
            </w:pPr>
            <w:r>
              <w:rPr>
                <w:w w:val="105"/>
                <w:sz w:val="19"/>
              </w:rPr>
              <w:t>2009</w:t>
            </w:r>
          </w:p>
        </w:tc>
        <w:tc>
          <w:tcPr>
            <w:tcW w:w="998" w:type="dxa"/>
            <w:tcBorders>
              <w:bottom w:val="double" w:sz="6" w:space="0" w:color="000000"/>
            </w:tcBorders>
          </w:tcPr>
          <w:p>
            <w:pPr>
              <w:pStyle w:val="TableParagraph"/>
              <w:spacing w:before="17"/>
              <w:ind w:right="79"/>
              <w:rPr>
                <w:sz w:val="19"/>
              </w:rPr>
            </w:pPr>
            <w:r>
              <w:rPr>
                <w:w w:val="105"/>
                <w:sz w:val="19"/>
              </w:rPr>
              <w:t>1 206 113</w:t>
            </w:r>
          </w:p>
        </w:tc>
        <w:tc>
          <w:tcPr>
            <w:tcW w:w="843" w:type="dxa"/>
            <w:tcBorders>
              <w:bottom w:val="double" w:sz="6" w:space="0" w:color="000000"/>
            </w:tcBorders>
          </w:tcPr>
          <w:p>
            <w:pPr>
              <w:pStyle w:val="TableParagraph"/>
              <w:spacing w:before="17"/>
              <w:ind w:right="71"/>
              <w:rPr>
                <w:sz w:val="19"/>
              </w:rPr>
            </w:pPr>
            <w:r>
              <w:rPr>
                <w:w w:val="105"/>
                <w:sz w:val="19"/>
              </w:rPr>
              <w:t>42 237</w:t>
            </w:r>
          </w:p>
        </w:tc>
        <w:tc>
          <w:tcPr>
            <w:tcW w:w="1005" w:type="dxa"/>
            <w:tcBorders>
              <w:bottom w:val="double" w:sz="6" w:space="0" w:color="000000"/>
            </w:tcBorders>
          </w:tcPr>
          <w:p>
            <w:pPr>
              <w:pStyle w:val="TableParagraph"/>
              <w:spacing w:before="17"/>
              <w:ind w:right="85"/>
              <w:rPr>
                <w:sz w:val="19"/>
              </w:rPr>
            </w:pPr>
            <w:r>
              <w:rPr>
                <w:sz w:val="19"/>
              </w:rPr>
              <w:t>3.5</w:t>
            </w:r>
          </w:p>
        </w:tc>
        <w:tc>
          <w:tcPr>
            <w:tcW w:w="916" w:type="dxa"/>
            <w:tcBorders>
              <w:bottom w:val="double" w:sz="6" w:space="0" w:color="000000"/>
            </w:tcBorders>
          </w:tcPr>
          <w:p>
            <w:pPr>
              <w:pStyle w:val="TableParagraph"/>
              <w:spacing w:before="17"/>
              <w:ind w:right="149"/>
              <w:rPr>
                <w:sz w:val="19"/>
              </w:rPr>
            </w:pPr>
            <w:r>
              <w:rPr>
                <w:w w:val="105"/>
                <w:sz w:val="19"/>
              </w:rPr>
              <w:t>43 730</w:t>
            </w:r>
          </w:p>
        </w:tc>
        <w:tc>
          <w:tcPr>
            <w:tcW w:w="914" w:type="dxa"/>
            <w:tcBorders>
              <w:bottom w:val="double" w:sz="6" w:space="0" w:color="000000"/>
            </w:tcBorders>
          </w:tcPr>
          <w:p>
            <w:pPr>
              <w:pStyle w:val="TableParagraph"/>
              <w:spacing w:before="17"/>
              <w:ind w:right="72"/>
              <w:rPr>
                <w:sz w:val="19"/>
              </w:rPr>
            </w:pPr>
            <w:r>
              <w:rPr>
                <w:w w:val="105"/>
                <w:sz w:val="19"/>
              </w:rPr>
              <w:t>1 086</w:t>
            </w:r>
          </w:p>
        </w:tc>
        <w:tc>
          <w:tcPr>
            <w:tcW w:w="984" w:type="dxa"/>
            <w:tcBorders>
              <w:bottom w:val="double" w:sz="6" w:space="0" w:color="000000"/>
            </w:tcBorders>
          </w:tcPr>
          <w:p>
            <w:pPr>
              <w:pStyle w:val="TableParagraph"/>
              <w:spacing w:before="17"/>
              <w:ind w:right="63"/>
              <w:rPr>
                <w:sz w:val="19"/>
              </w:rPr>
            </w:pPr>
            <w:r>
              <w:rPr>
                <w:sz w:val="19"/>
              </w:rPr>
              <w:t>2.5</w:t>
            </w:r>
          </w:p>
        </w:tc>
      </w:tr>
    </w:tbl>
    <w:p>
      <w:pPr>
        <w:spacing w:line="162" w:lineRule="exact" w:before="0"/>
        <w:ind w:left="454" w:right="117" w:firstLine="0"/>
        <w:jc w:val="left"/>
        <w:rPr>
          <w:sz w:val="16"/>
        </w:rPr>
      </w:pPr>
      <w:r>
        <w:rPr>
          <w:sz w:val="16"/>
        </w:rPr>
        <w:t>Fuente: Encuesta sobre Migración en la Frontera Norte de México, El Colegio de la Frontera</w:t>
      </w:r>
    </w:p>
    <w:p>
      <w:pPr>
        <w:spacing w:before="3"/>
        <w:ind w:left="454" w:right="117" w:firstLine="0"/>
        <w:jc w:val="left"/>
        <w:rPr>
          <w:sz w:val="16"/>
        </w:rPr>
      </w:pPr>
      <w:r>
        <w:rPr>
          <w:sz w:val="16"/>
        </w:rPr>
        <w:t>Norte, Consejo Nacional de Población y la Secretaría del Trabajo y de la Previsión Social.</w:t>
      </w:r>
    </w:p>
    <w:p>
      <w:pPr>
        <w:pStyle w:val="BodyText"/>
        <w:rPr>
          <w:sz w:val="20"/>
        </w:rPr>
      </w:pPr>
    </w:p>
    <w:p>
      <w:pPr>
        <w:pStyle w:val="Heading3"/>
        <w:spacing w:line="242" w:lineRule="auto" w:before="197"/>
        <w:ind w:right="117"/>
        <w:jc w:val="left"/>
      </w:pPr>
      <w:r>
        <w:rPr>
          <w:color w:val="231F20"/>
        </w:rPr>
        <w:t>Características sociodemográficas de los migrantes indígenas mexiquenses de retorno</w:t>
      </w:r>
    </w:p>
    <w:p>
      <w:pPr>
        <w:pStyle w:val="BodyText"/>
        <w:spacing w:line="247" w:lineRule="auto" w:before="170"/>
        <w:ind w:left="117" w:right="115"/>
        <w:jc w:val="both"/>
      </w:pPr>
      <w:r>
        <w:rPr>
          <w:color w:val="231F20"/>
        </w:rPr>
        <w:t>Los trabajadores indígenas temporales mexiquenses en Estados Unidos que regresaron a México entre 2000 y 2009 ascienden a 1 681 y 1 086 personas.</w:t>
      </w:r>
    </w:p>
    <w:p>
      <w:pPr>
        <w:pStyle w:val="BodyText"/>
        <w:spacing w:line="247" w:lineRule="auto"/>
        <w:ind w:left="117" w:right="114" w:firstLine="283"/>
        <w:jc w:val="both"/>
      </w:pPr>
      <w:r>
        <w:rPr>
          <w:color w:val="231F20"/>
        </w:rPr>
        <w:t>Los migrantes indígenas temporales de retorno comparten caracterís- ticas con quienes se dirigen hacia el país vecino. Entre algunas de esas semejanzas se encuentra que en su mayoría son varones, muy jóvenes (de entre</w:t>
      </w:r>
      <w:r>
        <w:rPr>
          <w:color w:val="231F20"/>
          <w:spacing w:val="-8"/>
        </w:rPr>
        <w:t> </w:t>
      </w:r>
      <w:r>
        <w:rPr>
          <w:color w:val="231F20"/>
        </w:rPr>
        <w:t>12</w:t>
      </w:r>
      <w:r>
        <w:rPr>
          <w:color w:val="231F20"/>
          <w:spacing w:val="-8"/>
        </w:rPr>
        <w:t> </w:t>
      </w:r>
      <w:r>
        <w:rPr>
          <w:color w:val="231F20"/>
        </w:rPr>
        <w:t>y</w:t>
      </w:r>
      <w:r>
        <w:rPr>
          <w:color w:val="231F20"/>
          <w:spacing w:val="-8"/>
        </w:rPr>
        <w:t> </w:t>
      </w:r>
      <w:r>
        <w:rPr>
          <w:color w:val="231F20"/>
        </w:rPr>
        <w:t>34</w:t>
      </w:r>
      <w:r>
        <w:rPr>
          <w:color w:val="231F20"/>
          <w:spacing w:val="-8"/>
        </w:rPr>
        <w:t> </w:t>
      </w:r>
      <w:r>
        <w:rPr>
          <w:color w:val="231F20"/>
        </w:rPr>
        <w:t>años</w:t>
      </w:r>
      <w:r>
        <w:rPr>
          <w:color w:val="231F20"/>
          <w:spacing w:val="-8"/>
        </w:rPr>
        <w:t> </w:t>
      </w:r>
      <w:r>
        <w:rPr>
          <w:color w:val="231F20"/>
        </w:rPr>
        <w:t>de</w:t>
      </w:r>
      <w:r>
        <w:rPr>
          <w:color w:val="231F20"/>
          <w:spacing w:val="-8"/>
        </w:rPr>
        <w:t> </w:t>
      </w:r>
      <w:r>
        <w:rPr>
          <w:color w:val="231F20"/>
        </w:rPr>
        <w:t>edad),</w:t>
      </w:r>
      <w:r>
        <w:rPr>
          <w:color w:val="231F20"/>
          <w:spacing w:val="-8"/>
        </w:rPr>
        <w:t> </w:t>
      </w:r>
      <w:r>
        <w:rPr>
          <w:color w:val="231F20"/>
        </w:rPr>
        <w:t>la</w:t>
      </w:r>
      <w:r>
        <w:rPr>
          <w:color w:val="231F20"/>
          <w:spacing w:val="-8"/>
        </w:rPr>
        <w:t> </w:t>
      </w:r>
      <w:r>
        <w:rPr>
          <w:color w:val="231F20"/>
        </w:rPr>
        <w:t>mayoría</w:t>
      </w:r>
      <w:r>
        <w:rPr>
          <w:color w:val="231F20"/>
          <w:spacing w:val="-9"/>
        </w:rPr>
        <w:t> </w:t>
      </w:r>
      <w:r>
        <w:rPr>
          <w:color w:val="231F20"/>
        </w:rPr>
        <w:t>sabe</w:t>
      </w:r>
      <w:r>
        <w:rPr>
          <w:color w:val="231F20"/>
          <w:spacing w:val="-8"/>
        </w:rPr>
        <w:t> </w:t>
      </w:r>
      <w:r>
        <w:rPr>
          <w:color w:val="231F20"/>
        </w:rPr>
        <w:t>leer</w:t>
      </w:r>
      <w:r>
        <w:rPr>
          <w:color w:val="231F20"/>
          <w:spacing w:val="-8"/>
        </w:rPr>
        <w:t> </w:t>
      </w:r>
      <w:r>
        <w:rPr>
          <w:color w:val="231F20"/>
        </w:rPr>
        <w:t>y</w:t>
      </w:r>
      <w:r>
        <w:rPr>
          <w:color w:val="231F20"/>
          <w:spacing w:val="-8"/>
        </w:rPr>
        <w:t> </w:t>
      </w:r>
      <w:r>
        <w:rPr>
          <w:color w:val="231F20"/>
        </w:rPr>
        <w:t>escribir,</w:t>
      </w:r>
      <w:r>
        <w:rPr>
          <w:color w:val="231F20"/>
          <w:spacing w:val="-8"/>
        </w:rPr>
        <w:t> </w:t>
      </w:r>
      <w:r>
        <w:rPr>
          <w:color w:val="231F20"/>
        </w:rPr>
        <w:t>pero</w:t>
      </w:r>
      <w:r>
        <w:rPr>
          <w:color w:val="231F20"/>
          <w:spacing w:val="-8"/>
        </w:rPr>
        <w:t> </w:t>
      </w:r>
      <w:r>
        <w:rPr>
          <w:color w:val="231F20"/>
        </w:rPr>
        <w:t>destaca</w:t>
      </w:r>
      <w:r>
        <w:rPr>
          <w:color w:val="231F20"/>
          <w:spacing w:val="-8"/>
        </w:rPr>
        <w:t> </w:t>
      </w:r>
      <w:r>
        <w:rPr>
          <w:color w:val="231F20"/>
        </w:rPr>
        <w:t>su desventaja al observar el nivel de escolaridad de los migrantes indígenas en relación a los</w:t>
      </w:r>
      <w:r>
        <w:rPr>
          <w:color w:val="231F20"/>
          <w:spacing w:val="-2"/>
        </w:rPr>
        <w:t> </w:t>
      </w:r>
      <w:r>
        <w:rPr>
          <w:color w:val="231F20"/>
        </w:rPr>
        <w:t>otros.</w:t>
      </w:r>
    </w:p>
    <w:p>
      <w:pPr>
        <w:pStyle w:val="Heading3"/>
      </w:pPr>
      <w:r>
        <w:rPr>
          <w:color w:val="231F20"/>
        </w:rPr>
        <w:t>Origen y destino de la migración</w:t>
      </w:r>
    </w:p>
    <w:p>
      <w:pPr>
        <w:pStyle w:val="BodyText"/>
        <w:spacing w:line="247" w:lineRule="auto" w:before="172"/>
        <w:ind w:left="117" w:right="115"/>
        <w:jc w:val="both"/>
      </w:pPr>
      <w:r>
        <w:rPr>
          <w:color w:val="231F20"/>
        </w:rPr>
        <w:t>De</w:t>
      </w:r>
      <w:r>
        <w:rPr>
          <w:color w:val="231F20"/>
          <w:spacing w:val="-4"/>
        </w:rPr>
        <w:t> </w:t>
      </w:r>
      <w:r>
        <w:rPr>
          <w:color w:val="231F20"/>
        </w:rPr>
        <w:t>acuerdo</w:t>
      </w:r>
      <w:r>
        <w:rPr>
          <w:color w:val="231F20"/>
          <w:spacing w:val="-4"/>
        </w:rPr>
        <w:t> </w:t>
      </w:r>
      <w:r>
        <w:rPr>
          <w:color w:val="231F20"/>
        </w:rPr>
        <w:t>con</w:t>
      </w:r>
      <w:r>
        <w:rPr>
          <w:color w:val="231F20"/>
          <w:spacing w:val="-4"/>
        </w:rPr>
        <w:t> </w:t>
      </w:r>
      <w:r>
        <w:rPr>
          <w:color w:val="231F20"/>
        </w:rPr>
        <w:t>las</w:t>
      </w:r>
      <w:r>
        <w:rPr>
          <w:color w:val="231F20"/>
          <w:spacing w:val="-4"/>
        </w:rPr>
        <w:t> </w:t>
      </w:r>
      <w:r>
        <w:rPr>
          <w:color w:val="231F20"/>
        </w:rPr>
        <w:t>cifras</w:t>
      </w:r>
      <w:r>
        <w:rPr>
          <w:color w:val="231F20"/>
          <w:spacing w:val="-4"/>
        </w:rPr>
        <w:t> </w:t>
      </w:r>
      <w:r>
        <w:rPr>
          <w:color w:val="231F20"/>
        </w:rPr>
        <w:t>de</w:t>
      </w:r>
      <w:r>
        <w:rPr>
          <w:color w:val="231F20"/>
          <w:spacing w:val="-4"/>
        </w:rPr>
        <w:t> </w:t>
      </w:r>
      <w:r>
        <w:rPr>
          <w:color w:val="231F20"/>
        </w:rPr>
        <w:t>la</w:t>
      </w:r>
      <w:r>
        <w:rPr>
          <w:color w:val="231F20"/>
          <w:spacing w:val="-4"/>
        </w:rPr>
        <w:t> EMIF, </w:t>
      </w:r>
      <w:r>
        <w:rPr>
          <w:color w:val="231F20"/>
        </w:rPr>
        <w:t>en</w:t>
      </w:r>
      <w:r>
        <w:rPr>
          <w:color w:val="231F20"/>
          <w:spacing w:val="-4"/>
        </w:rPr>
        <w:t> </w:t>
      </w:r>
      <w:r>
        <w:rPr>
          <w:color w:val="231F20"/>
        </w:rPr>
        <w:t>2000</w:t>
      </w:r>
      <w:r>
        <w:rPr>
          <w:color w:val="231F20"/>
          <w:spacing w:val="-4"/>
        </w:rPr>
        <w:t> </w:t>
      </w:r>
      <w:r>
        <w:rPr>
          <w:color w:val="231F20"/>
        </w:rPr>
        <w:t>casi</w:t>
      </w:r>
      <w:r>
        <w:rPr>
          <w:color w:val="231F20"/>
          <w:spacing w:val="-4"/>
        </w:rPr>
        <w:t> </w:t>
      </w:r>
      <w:r>
        <w:rPr>
          <w:color w:val="231F20"/>
        </w:rPr>
        <w:t>la</w:t>
      </w:r>
      <w:r>
        <w:rPr>
          <w:color w:val="231F20"/>
          <w:spacing w:val="-4"/>
        </w:rPr>
        <w:t> </w:t>
      </w:r>
      <w:r>
        <w:rPr>
          <w:color w:val="231F20"/>
        </w:rPr>
        <w:t>mitad</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migran- tes</w:t>
      </w:r>
      <w:r>
        <w:rPr>
          <w:color w:val="231F20"/>
          <w:spacing w:val="-4"/>
        </w:rPr>
        <w:t> </w:t>
      </w:r>
      <w:r>
        <w:rPr>
          <w:color w:val="231F20"/>
        </w:rPr>
        <w:t>laborales</w:t>
      </w:r>
      <w:r>
        <w:rPr>
          <w:color w:val="231F20"/>
          <w:spacing w:val="-5"/>
        </w:rPr>
        <w:t> </w:t>
      </w:r>
      <w:r>
        <w:rPr>
          <w:color w:val="231F20"/>
        </w:rPr>
        <w:t>indígenas</w:t>
      </w:r>
      <w:r>
        <w:rPr>
          <w:color w:val="231F20"/>
          <w:spacing w:val="-5"/>
        </w:rPr>
        <w:t> </w:t>
      </w:r>
      <w:r>
        <w:rPr>
          <w:color w:val="231F20"/>
        </w:rPr>
        <w:t>de</w:t>
      </w:r>
      <w:r>
        <w:rPr>
          <w:color w:val="231F20"/>
          <w:spacing w:val="-4"/>
        </w:rPr>
        <w:t> </w:t>
      </w:r>
      <w:r>
        <w:rPr>
          <w:color w:val="231F20"/>
        </w:rPr>
        <w:t>retorno</w:t>
      </w:r>
      <w:r>
        <w:rPr>
          <w:color w:val="231F20"/>
          <w:spacing w:val="-4"/>
        </w:rPr>
        <w:t> </w:t>
      </w:r>
      <w:r>
        <w:rPr>
          <w:color w:val="231F20"/>
        </w:rPr>
        <w:t>procedía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región</w:t>
      </w:r>
      <w:r>
        <w:rPr>
          <w:color w:val="231F20"/>
          <w:spacing w:val="-8"/>
        </w:rPr>
        <w:t> </w:t>
      </w:r>
      <w:r>
        <w:rPr>
          <w:color w:val="231F20"/>
          <w:spacing w:val="-3"/>
        </w:rPr>
        <w:t>Texcoco</w:t>
      </w:r>
      <w:r>
        <w:rPr>
          <w:color w:val="231F20"/>
          <w:spacing w:val="-4"/>
        </w:rPr>
        <w:t> </w:t>
      </w:r>
      <w:r>
        <w:rPr>
          <w:color w:val="231F20"/>
        </w:rPr>
        <w:t>(por</w:t>
      </w:r>
      <w:r>
        <w:rPr>
          <w:color w:val="231F20"/>
          <w:spacing w:val="-4"/>
        </w:rPr>
        <w:t> </w:t>
      </w:r>
      <w:r>
        <w:rPr>
          <w:color w:val="231F20"/>
        </w:rPr>
        <w:t>tanto son indígenas urbanos) y otro 51 por ciento de la región de Jilotepec; en cambio,</w:t>
      </w:r>
      <w:r>
        <w:rPr>
          <w:color w:val="231F20"/>
          <w:spacing w:val="-6"/>
        </w:rPr>
        <w:t> </w:t>
      </w:r>
      <w:r>
        <w:rPr>
          <w:color w:val="231F20"/>
        </w:rPr>
        <w:t>en</w:t>
      </w:r>
      <w:r>
        <w:rPr>
          <w:color w:val="231F20"/>
          <w:spacing w:val="-5"/>
        </w:rPr>
        <w:t> </w:t>
      </w:r>
      <w:r>
        <w:rPr>
          <w:color w:val="231F20"/>
        </w:rPr>
        <w:t>2009,</w:t>
      </w:r>
      <w:r>
        <w:rPr>
          <w:color w:val="231F20"/>
          <w:spacing w:val="-5"/>
        </w:rPr>
        <w:t> </w:t>
      </w:r>
      <w:r>
        <w:rPr>
          <w:color w:val="231F20"/>
        </w:rPr>
        <w:t>los</w:t>
      </w:r>
      <w:r>
        <w:rPr>
          <w:color w:val="231F20"/>
          <w:spacing w:val="-5"/>
        </w:rPr>
        <w:t> </w:t>
      </w:r>
      <w:r>
        <w:rPr>
          <w:color w:val="231F20"/>
        </w:rPr>
        <w:t>indígenas</w:t>
      </w:r>
      <w:r>
        <w:rPr>
          <w:color w:val="231F20"/>
          <w:spacing w:val="-6"/>
        </w:rPr>
        <w:t> </w:t>
      </w:r>
      <w:r>
        <w:rPr>
          <w:color w:val="231F20"/>
        </w:rPr>
        <w:t>provinieron</w:t>
      </w:r>
      <w:r>
        <w:rPr>
          <w:color w:val="231F20"/>
          <w:spacing w:val="-5"/>
        </w:rPr>
        <w:t> </w:t>
      </w:r>
      <w:r>
        <w:rPr>
          <w:color w:val="231F20"/>
        </w:rPr>
        <w:t>mayoritariamente</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regio- nes de </w:t>
      </w:r>
      <w:r>
        <w:rPr>
          <w:color w:val="231F20"/>
          <w:spacing w:val="-3"/>
        </w:rPr>
        <w:t>Toluca </w:t>
      </w:r>
      <w:r>
        <w:rPr>
          <w:color w:val="231F20"/>
        </w:rPr>
        <w:t>y Texcoco, siendo la de </w:t>
      </w:r>
      <w:r>
        <w:rPr>
          <w:color w:val="231F20"/>
          <w:spacing w:val="-3"/>
        </w:rPr>
        <w:t>Toluca </w:t>
      </w:r>
      <w:r>
        <w:rPr>
          <w:color w:val="231F20"/>
        </w:rPr>
        <w:t>la de mayor</w:t>
      </w:r>
      <w:r>
        <w:rPr>
          <w:color w:val="231F20"/>
          <w:spacing w:val="-27"/>
        </w:rPr>
        <w:t> </w:t>
      </w:r>
      <w:r>
        <w:rPr>
          <w:color w:val="231F20"/>
        </w:rPr>
        <w:t>aporte.</w:t>
      </w:r>
    </w:p>
    <w:p>
      <w:pPr>
        <w:spacing w:after="0" w:line="247" w:lineRule="auto"/>
        <w:jc w:val="both"/>
        <w:sectPr>
          <w:pgSz w:w="9360" w:h="13040"/>
          <w:pgMar w:header="0" w:footer="496" w:top="800" w:bottom="680" w:left="1300" w:right="1300"/>
        </w:sectPr>
      </w:pPr>
    </w:p>
    <w:p>
      <w:pPr>
        <w:spacing w:before="45"/>
        <w:ind w:left="782" w:right="0" w:firstLine="0"/>
        <w:jc w:val="left"/>
        <w:rPr>
          <w:rFonts w:ascii="Arial" w:hAnsi="Arial"/>
          <w:i/>
          <w:sz w:val="20"/>
        </w:rPr>
      </w:pPr>
      <w:r>
        <w:rPr>
          <w:rFonts w:ascii="Arial" w:hAnsi="Arial"/>
          <w:color w:val="231F20"/>
          <w:w w:val="66"/>
          <w:sz w:val="20"/>
        </w:rPr>
        <w:t>La</w:t>
      </w:r>
      <w:r>
        <w:rPr>
          <w:rFonts w:ascii="Arial" w:hAnsi="Arial"/>
          <w:color w:val="231F20"/>
          <w:spacing w:val="-1"/>
          <w:sz w:val="20"/>
        </w:rPr>
        <w:t> </w:t>
      </w:r>
      <w:r>
        <w:rPr>
          <w:rFonts w:ascii="Arial" w:hAnsi="Arial"/>
          <w:color w:val="231F20"/>
          <w:w w:val="76"/>
          <w:sz w:val="20"/>
        </w:rPr>
        <w:t>participación</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3"/>
          <w:sz w:val="20"/>
        </w:rPr>
        <w:t>población</w:t>
      </w:r>
      <w:r>
        <w:rPr>
          <w:rFonts w:ascii="Arial" w:hAnsi="Arial"/>
          <w:color w:val="231F20"/>
          <w:spacing w:val="-1"/>
          <w:sz w:val="20"/>
        </w:rPr>
        <w:t> </w:t>
      </w:r>
      <w:r>
        <w:rPr>
          <w:rFonts w:ascii="Arial" w:hAnsi="Arial"/>
          <w:color w:val="231F20"/>
          <w:w w:val="72"/>
          <w:sz w:val="20"/>
        </w:rPr>
        <w:t>indígena</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8"/>
          <w:sz w:val="20"/>
        </w:rPr>
        <w:t>migración...</w:t>
      </w:r>
      <w:r>
        <w:rPr>
          <w:rFonts w:ascii="Arial" w:hAnsi="Arial"/>
          <w:color w:val="231F20"/>
          <w:spacing w:val="-1"/>
          <w:sz w:val="20"/>
        </w:rPr>
        <w:t> </w:t>
      </w:r>
      <w:r>
        <w:rPr>
          <w:rFonts w:ascii="Arial" w:hAnsi="Arial"/>
          <w:color w:val="231F20"/>
          <w:w w:val="99"/>
          <w:sz w:val="20"/>
        </w:rPr>
        <w:t>/</w:t>
      </w:r>
      <w:r>
        <w:rPr>
          <w:rFonts w:ascii="Arial" w:hAnsi="Arial"/>
          <w:color w:val="231F20"/>
          <w:w w:val="49"/>
          <w:sz w:val="20"/>
        </w:rPr>
        <w:t>Juan</w:t>
      </w:r>
      <w:r>
        <w:rPr>
          <w:rFonts w:ascii="Arial" w:hAnsi="Arial"/>
          <w:color w:val="231F20"/>
          <w:spacing w:val="-17"/>
          <w:sz w:val="20"/>
        </w:rPr>
        <w:t> </w:t>
      </w:r>
      <w:r>
        <w:rPr>
          <w:rFonts w:ascii="Arial" w:hAnsi="Arial"/>
          <w:color w:val="231F20"/>
          <w:w w:val="49"/>
          <w:sz w:val="20"/>
        </w:rPr>
        <w:t>Gabino</w:t>
      </w:r>
      <w:r>
        <w:rPr>
          <w:rFonts w:ascii="Arial" w:hAnsi="Arial"/>
          <w:color w:val="231F20"/>
          <w:spacing w:val="-17"/>
          <w:sz w:val="20"/>
        </w:rPr>
        <w:t> </w:t>
      </w:r>
      <w:r>
        <w:rPr>
          <w:rFonts w:ascii="Arial" w:hAnsi="Arial"/>
          <w:color w:val="231F20"/>
          <w:w w:val="52"/>
          <w:sz w:val="20"/>
        </w:rPr>
        <w:t>González-Becerril</w:t>
      </w:r>
      <w:r>
        <w:rPr>
          <w:rFonts w:ascii="Arial" w:hAnsi="Arial"/>
          <w:color w:val="231F20"/>
          <w:spacing w:val="-17"/>
          <w:sz w:val="20"/>
        </w:rPr>
        <w:t> </w:t>
      </w:r>
      <w:r>
        <w:rPr>
          <w:rFonts w:ascii="Arial" w:hAnsi="Arial"/>
          <w:i/>
          <w:color w:val="231F20"/>
          <w:w w:val="55"/>
          <w:sz w:val="20"/>
        </w:rPr>
        <w:t>et</w:t>
      </w:r>
      <w:r>
        <w:rPr>
          <w:rFonts w:ascii="Arial" w:hAnsi="Arial"/>
          <w:i/>
          <w:color w:val="231F20"/>
          <w:spacing w:val="-17"/>
          <w:sz w:val="20"/>
        </w:rPr>
        <w:t> </w:t>
      </w:r>
      <w:r>
        <w:rPr>
          <w:rFonts w:ascii="Arial" w:hAnsi="Arial"/>
          <w:i/>
          <w:color w:val="231F20"/>
          <w:w w:val="58"/>
          <w:sz w:val="20"/>
        </w:rPr>
        <w:t>al.</w:t>
      </w:r>
    </w:p>
    <w:p>
      <w:pPr>
        <w:pStyle w:val="BodyText"/>
        <w:rPr>
          <w:rFonts w:ascii="Arial"/>
          <w:i/>
          <w:sz w:val="20"/>
        </w:rPr>
      </w:pPr>
    </w:p>
    <w:p>
      <w:pPr>
        <w:pStyle w:val="BodyText"/>
        <w:spacing w:before="3"/>
        <w:rPr>
          <w:rFonts w:ascii="Arial"/>
          <w:i/>
          <w:sz w:val="20"/>
        </w:rPr>
      </w:pPr>
    </w:p>
    <w:p>
      <w:pPr>
        <w:spacing w:before="0"/>
        <w:ind w:left="160" w:right="117" w:firstLine="0"/>
        <w:jc w:val="left"/>
        <w:rPr>
          <w:sz w:val="19"/>
        </w:rPr>
      </w:pPr>
      <w:r>
        <w:rPr>
          <w:sz w:val="19"/>
        </w:rPr>
        <w:t>Cuadro 4. Migrantes indígenas procedentes de Estados Unidos nacidos en México</w:t>
      </w:r>
    </w:p>
    <w:p>
      <w:pPr>
        <w:tabs>
          <w:tab w:pos="6636" w:val="left" w:leader="none"/>
        </w:tabs>
        <w:spacing w:before="12" w:after="25"/>
        <w:ind w:left="117" w:right="0" w:firstLine="0"/>
        <w:jc w:val="left"/>
        <w:rPr>
          <w:sz w:val="19"/>
        </w:rPr>
      </w:pPr>
      <w:r>
        <w:rPr>
          <w:spacing w:val="-4"/>
          <w:w w:val="99"/>
          <w:sz w:val="19"/>
          <w:u w:val="single"/>
        </w:rPr>
        <w:t> </w:t>
      </w:r>
      <w:r>
        <w:rPr>
          <w:sz w:val="19"/>
          <w:u w:val="single"/>
        </w:rPr>
        <w:t>Según entidad federativa</w:t>
      </w:r>
      <w:r>
        <w:rPr>
          <w:spacing w:val="9"/>
          <w:sz w:val="19"/>
          <w:u w:val="single"/>
        </w:rPr>
        <w:t> </w:t>
      </w:r>
      <w:r>
        <w:rPr>
          <w:sz w:val="19"/>
          <w:u w:val="single"/>
        </w:rPr>
        <w:t>2000-2009</w:t>
        <w:tab/>
      </w: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91"/>
        <w:gridCol w:w="914"/>
        <w:gridCol w:w="950"/>
        <w:gridCol w:w="1409"/>
        <w:gridCol w:w="907"/>
        <w:gridCol w:w="949"/>
      </w:tblGrid>
      <w:tr>
        <w:trPr>
          <w:trHeight w:val="536" w:hRule="exact"/>
        </w:trPr>
        <w:tc>
          <w:tcPr>
            <w:tcW w:w="1391" w:type="dxa"/>
            <w:tcBorders>
              <w:bottom w:val="double" w:sz="6" w:space="0" w:color="000000"/>
            </w:tcBorders>
          </w:tcPr>
          <w:p>
            <w:pPr>
              <w:pStyle w:val="TableParagraph"/>
              <w:spacing w:before="6"/>
              <w:jc w:val="left"/>
              <w:rPr>
                <w:sz w:val="25"/>
              </w:rPr>
            </w:pPr>
          </w:p>
          <w:p>
            <w:pPr>
              <w:pStyle w:val="TableParagraph"/>
              <w:ind w:left="43"/>
              <w:jc w:val="left"/>
              <w:rPr>
                <w:sz w:val="19"/>
              </w:rPr>
            </w:pPr>
            <w:r>
              <w:rPr>
                <w:sz w:val="19"/>
              </w:rPr>
              <w:t>Entidad</w:t>
            </w:r>
          </w:p>
        </w:tc>
        <w:tc>
          <w:tcPr>
            <w:tcW w:w="914" w:type="dxa"/>
            <w:tcBorders>
              <w:bottom w:val="double" w:sz="6" w:space="0" w:color="000000"/>
            </w:tcBorders>
          </w:tcPr>
          <w:p>
            <w:pPr>
              <w:pStyle w:val="TableParagraph"/>
              <w:spacing w:before="20"/>
              <w:ind w:left="458"/>
              <w:jc w:val="left"/>
              <w:rPr>
                <w:sz w:val="19"/>
              </w:rPr>
            </w:pPr>
            <w:r>
              <w:rPr>
                <w:sz w:val="19"/>
              </w:rPr>
              <w:t>2000</w:t>
            </w:r>
          </w:p>
          <w:p>
            <w:pPr>
              <w:pStyle w:val="TableParagraph"/>
              <w:spacing w:before="55"/>
              <w:ind w:left="138"/>
              <w:jc w:val="left"/>
              <w:rPr>
                <w:sz w:val="19"/>
              </w:rPr>
            </w:pPr>
            <w:r>
              <w:rPr>
                <w:sz w:val="19"/>
              </w:rPr>
              <w:t>Absoluto</w:t>
            </w:r>
          </w:p>
        </w:tc>
        <w:tc>
          <w:tcPr>
            <w:tcW w:w="950" w:type="dxa"/>
            <w:tcBorders>
              <w:bottom w:val="double" w:sz="6" w:space="0" w:color="000000"/>
            </w:tcBorders>
          </w:tcPr>
          <w:p>
            <w:pPr>
              <w:pStyle w:val="TableParagraph"/>
              <w:spacing w:before="6"/>
              <w:jc w:val="left"/>
              <w:rPr>
                <w:sz w:val="25"/>
              </w:rPr>
            </w:pPr>
          </w:p>
          <w:p>
            <w:pPr>
              <w:pStyle w:val="TableParagraph"/>
              <w:ind w:right="67"/>
              <w:rPr>
                <w:sz w:val="19"/>
              </w:rPr>
            </w:pPr>
            <w:r>
              <w:rPr>
                <w:sz w:val="19"/>
              </w:rPr>
              <w:t>Porcentaje</w:t>
            </w:r>
          </w:p>
        </w:tc>
        <w:tc>
          <w:tcPr>
            <w:tcW w:w="1409" w:type="dxa"/>
            <w:tcBorders>
              <w:bottom w:val="double" w:sz="6" w:space="0" w:color="000000"/>
            </w:tcBorders>
          </w:tcPr>
          <w:p>
            <w:pPr>
              <w:pStyle w:val="TableParagraph"/>
              <w:spacing w:before="6"/>
              <w:jc w:val="left"/>
              <w:rPr>
                <w:sz w:val="25"/>
              </w:rPr>
            </w:pPr>
          </w:p>
          <w:p>
            <w:pPr>
              <w:pStyle w:val="TableParagraph"/>
              <w:ind w:left="67"/>
              <w:jc w:val="left"/>
              <w:rPr>
                <w:sz w:val="19"/>
              </w:rPr>
            </w:pPr>
            <w:r>
              <w:rPr>
                <w:sz w:val="19"/>
              </w:rPr>
              <w:t>Entidad</w:t>
            </w:r>
          </w:p>
        </w:tc>
        <w:tc>
          <w:tcPr>
            <w:tcW w:w="907" w:type="dxa"/>
            <w:tcBorders>
              <w:bottom w:val="double" w:sz="6" w:space="0" w:color="000000"/>
            </w:tcBorders>
          </w:tcPr>
          <w:p>
            <w:pPr>
              <w:pStyle w:val="TableParagraph"/>
              <w:spacing w:before="20"/>
              <w:ind w:left="451"/>
              <w:jc w:val="left"/>
              <w:rPr>
                <w:sz w:val="19"/>
              </w:rPr>
            </w:pPr>
            <w:r>
              <w:rPr>
                <w:sz w:val="19"/>
              </w:rPr>
              <w:t>2009</w:t>
            </w:r>
          </w:p>
          <w:p>
            <w:pPr>
              <w:pStyle w:val="TableParagraph"/>
              <w:spacing w:before="55"/>
              <w:ind w:left="131"/>
              <w:jc w:val="left"/>
              <w:rPr>
                <w:sz w:val="19"/>
              </w:rPr>
            </w:pPr>
            <w:r>
              <w:rPr>
                <w:sz w:val="19"/>
              </w:rPr>
              <w:t>Absoluto</w:t>
            </w:r>
          </w:p>
        </w:tc>
        <w:tc>
          <w:tcPr>
            <w:tcW w:w="949" w:type="dxa"/>
            <w:tcBorders>
              <w:bottom w:val="double" w:sz="6" w:space="0" w:color="000000"/>
            </w:tcBorders>
          </w:tcPr>
          <w:p>
            <w:pPr>
              <w:pStyle w:val="TableParagraph"/>
              <w:spacing w:before="6"/>
              <w:jc w:val="left"/>
              <w:rPr>
                <w:sz w:val="25"/>
              </w:rPr>
            </w:pPr>
          </w:p>
          <w:p>
            <w:pPr>
              <w:pStyle w:val="TableParagraph"/>
              <w:ind w:right="66"/>
              <w:rPr>
                <w:sz w:val="19"/>
              </w:rPr>
            </w:pPr>
            <w:r>
              <w:rPr>
                <w:sz w:val="19"/>
              </w:rPr>
              <w:t>Porcentaje</w:t>
            </w:r>
          </w:p>
        </w:tc>
      </w:tr>
      <w:tr>
        <w:trPr>
          <w:trHeight w:val="314" w:hRule="exact"/>
        </w:trPr>
        <w:tc>
          <w:tcPr>
            <w:tcW w:w="1391" w:type="dxa"/>
            <w:tcBorders>
              <w:top w:val="double" w:sz="6" w:space="0" w:color="000000"/>
            </w:tcBorders>
          </w:tcPr>
          <w:p>
            <w:pPr>
              <w:pStyle w:val="TableParagraph"/>
              <w:spacing w:before="48"/>
              <w:ind w:left="43"/>
              <w:jc w:val="left"/>
              <w:rPr>
                <w:sz w:val="19"/>
              </w:rPr>
            </w:pPr>
            <w:r>
              <w:rPr>
                <w:sz w:val="19"/>
              </w:rPr>
              <w:t>Oaxaca</w:t>
            </w:r>
          </w:p>
        </w:tc>
        <w:tc>
          <w:tcPr>
            <w:tcW w:w="914" w:type="dxa"/>
            <w:tcBorders>
              <w:top w:val="double" w:sz="6" w:space="0" w:color="000000"/>
            </w:tcBorders>
          </w:tcPr>
          <w:p>
            <w:pPr>
              <w:pStyle w:val="TableParagraph"/>
              <w:spacing w:before="48"/>
              <w:ind w:right="69"/>
              <w:rPr>
                <w:sz w:val="19"/>
              </w:rPr>
            </w:pPr>
            <w:r>
              <w:rPr>
                <w:sz w:val="19"/>
              </w:rPr>
              <w:t>13 971</w:t>
            </w:r>
          </w:p>
        </w:tc>
        <w:tc>
          <w:tcPr>
            <w:tcW w:w="950" w:type="dxa"/>
            <w:tcBorders>
              <w:top w:val="double" w:sz="6" w:space="0" w:color="000000"/>
            </w:tcBorders>
          </w:tcPr>
          <w:p>
            <w:pPr>
              <w:pStyle w:val="TableParagraph"/>
              <w:spacing w:before="48"/>
              <w:ind w:right="66"/>
              <w:rPr>
                <w:sz w:val="19"/>
              </w:rPr>
            </w:pPr>
            <w:r>
              <w:rPr>
                <w:sz w:val="19"/>
              </w:rPr>
              <w:t>44.34</w:t>
            </w:r>
          </w:p>
        </w:tc>
        <w:tc>
          <w:tcPr>
            <w:tcW w:w="1409" w:type="dxa"/>
            <w:tcBorders>
              <w:top w:val="double" w:sz="6" w:space="0" w:color="000000"/>
            </w:tcBorders>
          </w:tcPr>
          <w:p>
            <w:pPr>
              <w:pStyle w:val="TableParagraph"/>
              <w:spacing w:before="48"/>
              <w:ind w:left="67"/>
              <w:jc w:val="left"/>
              <w:rPr>
                <w:sz w:val="19"/>
              </w:rPr>
            </w:pPr>
            <w:r>
              <w:rPr>
                <w:sz w:val="19"/>
              </w:rPr>
              <w:t>Oaxaca</w:t>
            </w:r>
          </w:p>
        </w:tc>
        <w:tc>
          <w:tcPr>
            <w:tcW w:w="907" w:type="dxa"/>
            <w:tcBorders>
              <w:top w:val="double" w:sz="6" w:space="0" w:color="000000"/>
            </w:tcBorders>
          </w:tcPr>
          <w:p>
            <w:pPr>
              <w:pStyle w:val="TableParagraph"/>
              <w:spacing w:before="48"/>
              <w:ind w:right="69"/>
              <w:rPr>
                <w:sz w:val="19"/>
              </w:rPr>
            </w:pPr>
            <w:r>
              <w:rPr>
                <w:sz w:val="19"/>
              </w:rPr>
              <w:t>10 908</w:t>
            </w:r>
          </w:p>
        </w:tc>
        <w:tc>
          <w:tcPr>
            <w:tcW w:w="949" w:type="dxa"/>
            <w:tcBorders>
              <w:top w:val="double" w:sz="6" w:space="0" w:color="000000"/>
            </w:tcBorders>
          </w:tcPr>
          <w:p>
            <w:pPr>
              <w:pStyle w:val="TableParagraph"/>
              <w:spacing w:before="48"/>
              <w:ind w:right="64"/>
              <w:rPr>
                <w:sz w:val="19"/>
              </w:rPr>
            </w:pPr>
            <w:r>
              <w:rPr>
                <w:sz w:val="19"/>
              </w:rPr>
              <w:t>25.83</w:t>
            </w:r>
          </w:p>
        </w:tc>
      </w:tr>
      <w:tr>
        <w:trPr>
          <w:trHeight w:val="254" w:hRule="exact"/>
        </w:trPr>
        <w:tc>
          <w:tcPr>
            <w:tcW w:w="1391" w:type="dxa"/>
          </w:tcPr>
          <w:p>
            <w:pPr>
              <w:pStyle w:val="TableParagraph"/>
              <w:spacing w:before="9"/>
              <w:ind w:left="43"/>
              <w:jc w:val="left"/>
              <w:rPr>
                <w:sz w:val="19"/>
              </w:rPr>
            </w:pPr>
            <w:r>
              <w:rPr>
                <w:sz w:val="19"/>
              </w:rPr>
              <w:t>Michoacán</w:t>
            </w:r>
          </w:p>
        </w:tc>
        <w:tc>
          <w:tcPr>
            <w:tcW w:w="914" w:type="dxa"/>
          </w:tcPr>
          <w:p>
            <w:pPr>
              <w:pStyle w:val="TableParagraph"/>
              <w:spacing w:before="9"/>
              <w:ind w:right="69"/>
              <w:rPr>
                <w:sz w:val="19"/>
              </w:rPr>
            </w:pPr>
            <w:r>
              <w:rPr>
                <w:sz w:val="19"/>
              </w:rPr>
              <w:t>4 635</w:t>
            </w:r>
          </w:p>
        </w:tc>
        <w:tc>
          <w:tcPr>
            <w:tcW w:w="950" w:type="dxa"/>
          </w:tcPr>
          <w:p>
            <w:pPr>
              <w:pStyle w:val="TableParagraph"/>
              <w:spacing w:before="9"/>
              <w:ind w:right="66"/>
              <w:rPr>
                <w:sz w:val="19"/>
              </w:rPr>
            </w:pPr>
            <w:r>
              <w:rPr>
                <w:sz w:val="19"/>
              </w:rPr>
              <w:t>14.71</w:t>
            </w:r>
          </w:p>
        </w:tc>
        <w:tc>
          <w:tcPr>
            <w:tcW w:w="1409" w:type="dxa"/>
          </w:tcPr>
          <w:p>
            <w:pPr>
              <w:pStyle w:val="TableParagraph"/>
              <w:spacing w:before="9"/>
              <w:ind w:left="67"/>
              <w:jc w:val="left"/>
              <w:rPr>
                <w:sz w:val="19"/>
              </w:rPr>
            </w:pPr>
            <w:r>
              <w:rPr>
                <w:sz w:val="19"/>
              </w:rPr>
              <w:t>Guerrero</w:t>
            </w:r>
          </w:p>
        </w:tc>
        <w:tc>
          <w:tcPr>
            <w:tcW w:w="907" w:type="dxa"/>
          </w:tcPr>
          <w:p>
            <w:pPr>
              <w:pStyle w:val="TableParagraph"/>
              <w:spacing w:before="9"/>
              <w:ind w:right="69"/>
              <w:rPr>
                <w:sz w:val="19"/>
              </w:rPr>
            </w:pPr>
            <w:r>
              <w:rPr>
                <w:sz w:val="19"/>
              </w:rPr>
              <w:t>3 896</w:t>
            </w:r>
          </w:p>
        </w:tc>
        <w:tc>
          <w:tcPr>
            <w:tcW w:w="949" w:type="dxa"/>
          </w:tcPr>
          <w:p>
            <w:pPr>
              <w:pStyle w:val="TableParagraph"/>
              <w:spacing w:before="9"/>
              <w:ind w:right="64"/>
              <w:rPr>
                <w:sz w:val="19"/>
              </w:rPr>
            </w:pPr>
            <w:r>
              <w:rPr>
                <w:sz w:val="19"/>
              </w:rPr>
              <w:t>9.22</w:t>
            </w:r>
          </w:p>
        </w:tc>
      </w:tr>
      <w:tr>
        <w:trPr>
          <w:trHeight w:val="257" w:hRule="exact"/>
        </w:trPr>
        <w:tc>
          <w:tcPr>
            <w:tcW w:w="1391" w:type="dxa"/>
          </w:tcPr>
          <w:p>
            <w:pPr>
              <w:pStyle w:val="TableParagraph"/>
              <w:spacing w:before="9"/>
              <w:ind w:left="43"/>
              <w:jc w:val="left"/>
              <w:rPr>
                <w:sz w:val="19"/>
              </w:rPr>
            </w:pPr>
            <w:r>
              <w:rPr>
                <w:sz w:val="19"/>
              </w:rPr>
              <w:t>Sonora</w:t>
            </w:r>
          </w:p>
        </w:tc>
        <w:tc>
          <w:tcPr>
            <w:tcW w:w="914" w:type="dxa"/>
          </w:tcPr>
          <w:p>
            <w:pPr>
              <w:pStyle w:val="TableParagraph"/>
              <w:spacing w:before="9"/>
              <w:ind w:right="69"/>
              <w:rPr>
                <w:sz w:val="19"/>
              </w:rPr>
            </w:pPr>
            <w:r>
              <w:rPr>
                <w:sz w:val="19"/>
              </w:rPr>
              <w:t>1 679</w:t>
            </w:r>
          </w:p>
        </w:tc>
        <w:tc>
          <w:tcPr>
            <w:tcW w:w="950" w:type="dxa"/>
          </w:tcPr>
          <w:p>
            <w:pPr>
              <w:pStyle w:val="TableParagraph"/>
              <w:spacing w:before="9"/>
              <w:ind w:right="67"/>
              <w:rPr>
                <w:sz w:val="19"/>
              </w:rPr>
            </w:pPr>
            <w:r>
              <w:rPr>
                <w:sz w:val="19"/>
              </w:rPr>
              <w:t>5.33</w:t>
            </w:r>
          </w:p>
        </w:tc>
        <w:tc>
          <w:tcPr>
            <w:tcW w:w="1409" w:type="dxa"/>
          </w:tcPr>
          <w:p>
            <w:pPr>
              <w:pStyle w:val="TableParagraph"/>
              <w:spacing w:before="9"/>
              <w:ind w:left="67"/>
              <w:jc w:val="left"/>
              <w:rPr>
                <w:sz w:val="19"/>
              </w:rPr>
            </w:pPr>
            <w:r>
              <w:rPr>
                <w:sz w:val="19"/>
              </w:rPr>
              <w:t>Jalisco</w:t>
            </w:r>
          </w:p>
        </w:tc>
        <w:tc>
          <w:tcPr>
            <w:tcW w:w="907" w:type="dxa"/>
          </w:tcPr>
          <w:p>
            <w:pPr>
              <w:pStyle w:val="TableParagraph"/>
              <w:spacing w:before="9"/>
              <w:ind w:right="69"/>
              <w:rPr>
                <w:sz w:val="19"/>
              </w:rPr>
            </w:pPr>
            <w:r>
              <w:rPr>
                <w:sz w:val="19"/>
              </w:rPr>
              <w:t>3 217</w:t>
            </w:r>
          </w:p>
        </w:tc>
        <w:tc>
          <w:tcPr>
            <w:tcW w:w="949" w:type="dxa"/>
          </w:tcPr>
          <w:p>
            <w:pPr>
              <w:pStyle w:val="TableParagraph"/>
              <w:spacing w:before="9"/>
              <w:ind w:right="64"/>
              <w:rPr>
                <w:sz w:val="19"/>
              </w:rPr>
            </w:pPr>
            <w:r>
              <w:rPr>
                <w:sz w:val="19"/>
              </w:rPr>
              <w:t>7.62</w:t>
            </w:r>
          </w:p>
        </w:tc>
      </w:tr>
      <w:tr>
        <w:trPr>
          <w:trHeight w:val="257" w:hRule="exact"/>
        </w:trPr>
        <w:tc>
          <w:tcPr>
            <w:tcW w:w="1391" w:type="dxa"/>
          </w:tcPr>
          <w:p>
            <w:pPr>
              <w:pStyle w:val="TableParagraph"/>
              <w:spacing w:before="12"/>
              <w:ind w:left="43"/>
              <w:jc w:val="left"/>
              <w:rPr>
                <w:sz w:val="19"/>
              </w:rPr>
            </w:pPr>
            <w:r>
              <w:rPr>
                <w:sz w:val="19"/>
              </w:rPr>
              <w:t>México</w:t>
            </w:r>
          </w:p>
        </w:tc>
        <w:tc>
          <w:tcPr>
            <w:tcW w:w="914" w:type="dxa"/>
          </w:tcPr>
          <w:p>
            <w:pPr>
              <w:pStyle w:val="TableParagraph"/>
              <w:spacing w:before="12"/>
              <w:ind w:right="69"/>
              <w:rPr>
                <w:sz w:val="19"/>
              </w:rPr>
            </w:pPr>
            <w:r>
              <w:rPr>
                <w:sz w:val="19"/>
              </w:rPr>
              <w:t>1 619</w:t>
            </w:r>
          </w:p>
        </w:tc>
        <w:tc>
          <w:tcPr>
            <w:tcW w:w="950" w:type="dxa"/>
          </w:tcPr>
          <w:p>
            <w:pPr>
              <w:pStyle w:val="TableParagraph"/>
              <w:spacing w:before="12"/>
              <w:ind w:right="67"/>
              <w:rPr>
                <w:sz w:val="19"/>
              </w:rPr>
            </w:pPr>
            <w:r>
              <w:rPr>
                <w:sz w:val="19"/>
              </w:rPr>
              <w:t>5.14</w:t>
            </w:r>
          </w:p>
        </w:tc>
        <w:tc>
          <w:tcPr>
            <w:tcW w:w="1409" w:type="dxa"/>
          </w:tcPr>
          <w:p>
            <w:pPr>
              <w:pStyle w:val="TableParagraph"/>
              <w:spacing w:before="12"/>
              <w:ind w:left="67"/>
              <w:jc w:val="left"/>
              <w:rPr>
                <w:sz w:val="19"/>
              </w:rPr>
            </w:pPr>
            <w:r>
              <w:rPr>
                <w:sz w:val="19"/>
              </w:rPr>
              <w:t>Coahuila</w:t>
            </w:r>
          </w:p>
        </w:tc>
        <w:tc>
          <w:tcPr>
            <w:tcW w:w="907" w:type="dxa"/>
          </w:tcPr>
          <w:p>
            <w:pPr>
              <w:pStyle w:val="TableParagraph"/>
              <w:spacing w:before="12"/>
              <w:ind w:right="69"/>
              <w:rPr>
                <w:sz w:val="19"/>
              </w:rPr>
            </w:pPr>
            <w:r>
              <w:rPr>
                <w:sz w:val="19"/>
              </w:rPr>
              <w:t>3 014</w:t>
            </w:r>
          </w:p>
        </w:tc>
        <w:tc>
          <w:tcPr>
            <w:tcW w:w="949" w:type="dxa"/>
          </w:tcPr>
          <w:p>
            <w:pPr>
              <w:pStyle w:val="TableParagraph"/>
              <w:spacing w:before="12"/>
              <w:ind w:right="64"/>
              <w:rPr>
                <w:sz w:val="19"/>
              </w:rPr>
            </w:pPr>
            <w:r>
              <w:rPr>
                <w:sz w:val="19"/>
              </w:rPr>
              <w:t>7.14</w:t>
            </w:r>
          </w:p>
        </w:tc>
      </w:tr>
      <w:tr>
        <w:trPr>
          <w:trHeight w:val="254" w:hRule="exact"/>
        </w:trPr>
        <w:tc>
          <w:tcPr>
            <w:tcW w:w="1391" w:type="dxa"/>
          </w:tcPr>
          <w:p>
            <w:pPr>
              <w:pStyle w:val="TableParagraph"/>
              <w:spacing w:before="9"/>
              <w:ind w:left="43"/>
              <w:jc w:val="left"/>
              <w:rPr>
                <w:sz w:val="19"/>
              </w:rPr>
            </w:pPr>
            <w:r>
              <w:rPr>
                <w:sz w:val="19"/>
              </w:rPr>
              <w:t>Guerrero</w:t>
            </w:r>
          </w:p>
        </w:tc>
        <w:tc>
          <w:tcPr>
            <w:tcW w:w="914" w:type="dxa"/>
          </w:tcPr>
          <w:p>
            <w:pPr>
              <w:pStyle w:val="TableParagraph"/>
              <w:spacing w:before="9"/>
              <w:ind w:right="69"/>
              <w:rPr>
                <w:sz w:val="19"/>
              </w:rPr>
            </w:pPr>
            <w:r>
              <w:rPr>
                <w:sz w:val="19"/>
              </w:rPr>
              <w:t>1 537</w:t>
            </w:r>
          </w:p>
        </w:tc>
        <w:tc>
          <w:tcPr>
            <w:tcW w:w="950" w:type="dxa"/>
          </w:tcPr>
          <w:p>
            <w:pPr>
              <w:pStyle w:val="TableParagraph"/>
              <w:spacing w:before="9"/>
              <w:ind w:right="67"/>
              <w:rPr>
                <w:sz w:val="19"/>
              </w:rPr>
            </w:pPr>
            <w:r>
              <w:rPr>
                <w:sz w:val="19"/>
              </w:rPr>
              <w:t>4.88</w:t>
            </w:r>
          </w:p>
        </w:tc>
        <w:tc>
          <w:tcPr>
            <w:tcW w:w="1409" w:type="dxa"/>
          </w:tcPr>
          <w:p>
            <w:pPr>
              <w:pStyle w:val="TableParagraph"/>
              <w:spacing w:before="9"/>
              <w:ind w:left="67"/>
              <w:jc w:val="left"/>
              <w:rPr>
                <w:sz w:val="19"/>
              </w:rPr>
            </w:pPr>
            <w:r>
              <w:rPr>
                <w:sz w:val="19"/>
              </w:rPr>
              <w:t>Chiapas</w:t>
            </w:r>
          </w:p>
        </w:tc>
        <w:tc>
          <w:tcPr>
            <w:tcW w:w="907" w:type="dxa"/>
          </w:tcPr>
          <w:p>
            <w:pPr>
              <w:pStyle w:val="TableParagraph"/>
              <w:spacing w:before="9"/>
              <w:ind w:right="69"/>
              <w:rPr>
                <w:sz w:val="19"/>
              </w:rPr>
            </w:pPr>
            <w:r>
              <w:rPr>
                <w:sz w:val="19"/>
              </w:rPr>
              <w:t>2 677</w:t>
            </w:r>
          </w:p>
        </w:tc>
        <w:tc>
          <w:tcPr>
            <w:tcW w:w="949" w:type="dxa"/>
          </w:tcPr>
          <w:p>
            <w:pPr>
              <w:pStyle w:val="TableParagraph"/>
              <w:spacing w:before="9"/>
              <w:ind w:right="64"/>
              <w:rPr>
                <w:sz w:val="19"/>
              </w:rPr>
            </w:pPr>
            <w:r>
              <w:rPr>
                <w:sz w:val="19"/>
              </w:rPr>
              <w:t>6.34</w:t>
            </w:r>
          </w:p>
        </w:tc>
      </w:tr>
      <w:tr>
        <w:trPr>
          <w:trHeight w:val="254" w:hRule="exact"/>
        </w:trPr>
        <w:tc>
          <w:tcPr>
            <w:tcW w:w="1391" w:type="dxa"/>
          </w:tcPr>
          <w:p>
            <w:pPr>
              <w:pStyle w:val="TableParagraph"/>
              <w:spacing w:before="9"/>
              <w:ind w:left="43"/>
              <w:jc w:val="left"/>
              <w:rPr>
                <w:sz w:val="19"/>
              </w:rPr>
            </w:pPr>
            <w:r>
              <w:rPr>
                <w:sz w:val="19"/>
              </w:rPr>
              <w:t>Sinaloa</w:t>
            </w:r>
          </w:p>
        </w:tc>
        <w:tc>
          <w:tcPr>
            <w:tcW w:w="914" w:type="dxa"/>
          </w:tcPr>
          <w:p>
            <w:pPr>
              <w:pStyle w:val="TableParagraph"/>
              <w:spacing w:before="9"/>
              <w:ind w:right="69"/>
              <w:rPr>
                <w:sz w:val="19"/>
              </w:rPr>
            </w:pPr>
            <w:r>
              <w:rPr>
                <w:sz w:val="19"/>
              </w:rPr>
              <w:t>1 295</w:t>
            </w:r>
          </w:p>
        </w:tc>
        <w:tc>
          <w:tcPr>
            <w:tcW w:w="950" w:type="dxa"/>
          </w:tcPr>
          <w:p>
            <w:pPr>
              <w:pStyle w:val="TableParagraph"/>
              <w:spacing w:before="9"/>
              <w:ind w:right="67"/>
              <w:rPr>
                <w:sz w:val="19"/>
              </w:rPr>
            </w:pPr>
            <w:r>
              <w:rPr>
                <w:sz w:val="19"/>
              </w:rPr>
              <w:t>4.11</w:t>
            </w:r>
          </w:p>
        </w:tc>
        <w:tc>
          <w:tcPr>
            <w:tcW w:w="1409" w:type="dxa"/>
          </w:tcPr>
          <w:p>
            <w:pPr>
              <w:pStyle w:val="TableParagraph"/>
              <w:spacing w:before="9"/>
              <w:ind w:left="67"/>
              <w:jc w:val="left"/>
              <w:rPr>
                <w:sz w:val="19"/>
              </w:rPr>
            </w:pPr>
            <w:r>
              <w:rPr>
                <w:sz w:val="19"/>
              </w:rPr>
              <w:t>Michoacán</w:t>
            </w:r>
          </w:p>
        </w:tc>
        <w:tc>
          <w:tcPr>
            <w:tcW w:w="907" w:type="dxa"/>
          </w:tcPr>
          <w:p>
            <w:pPr>
              <w:pStyle w:val="TableParagraph"/>
              <w:spacing w:before="9"/>
              <w:ind w:right="69"/>
              <w:rPr>
                <w:sz w:val="19"/>
              </w:rPr>
            </w:pPr>
            <w:r>
              <w:rPr>
                <w:sz w:val="19"/>
              </w:rPr>
              <w:t>2 301</w:t>
            </w:r>
          </w:p>
        </w:tc>
        <w:tc>
          <w:tcPr>
            <w:tcW w:w="949" w:type="dxa"/>
          </w:tcPr>
          <w:p>
            <w:pPr>
              <w:pStyle w:val="TableParagraph"/>
              <w:spacing w:before="9"/>
              <w:ind w:right="64"/>
              <w:rPr>
                <w:sz w:val="19"/>
              </w:rPr>
            </w:pPr>
            <w:r>
              <w:rPr>
                <w:sz w:val="19"/>
              </w:rPr>
              <w:t>5.45</w:t>
            </w:r>
          </w:p>
        </w:tc>
      </w:tr>
      <w:tr>
        <w:trPr>
          <w:trHeight w:val="254" w:hRule="exact"/>
        </w:trPr>
        <w:tc>
          <w:tcPr>
            <w:tcW w:w="1391" w:type="dxa"/>
          </w:tcPr>
          <w:p>
            <w:pPr>
              <w:pStyle w:val="TableParagraph"/>
              <w:spacing w:before="9"/>
              <w:ind w:left="43"/>
              <w:jc w:val="left"/>
              <w:rPr>
                <w:sz w:val="19"/>
              </w:rPr>
            </w:pPr>
            <w:r>
              <w:rPr>
                <w:sz w:val="19"/>
              </w:rPr>
              <w:t>Nayarit</w:t>
            </w:r>
          </w:p>
        </w:tc>
        <w:tc>
          <w:tcPr>
            <w:tcW w:w="914" w:type="dxa"/>
          </w:tcPr>
          <w:p>
            <w:pPr>
              <w:pStyle w:val="TableParagraph"/>
              <w:spacing w:before="9"/>
              <w:ind w:right="69"/>
              <w:rPr>
                <w:sz w:val="19"/>
              </w:rPr>
            </w:pPr>
            <w:r>
              <w:rPr>
                <w:sz w:val="19"/>
              </w:rPr>
              <w:t>1 205</w:t>
            </w:r>
          </w:p>
        </w:tc>
        <w:tc>
          <w:tcPr>
            <w:tcW w:w="950" w:type="dxa"/>
          </w:tcPr>
          <w:p>
            <w:pPr>
              <w:pStyle w:val="TableParagraph"/>
              <w:spacing w:before="9"/>
              <w:ind w:right="67"/>
              <w:rPr>
                <w:sz w:val="19"/>
              </w:rPr>
            </w:pPr>
            <w:r>
              <w:rPr>
                <w:sz w:val="19"/>
              </w:rPr>
              <w:t>3.82</w:t>
            </w:r>
          </w:p>
        </w:tc>
        <w:tc>
          <w:tcPr>
            <w:tcW w:w="1409" w:type="dxa"/>
          </w:tcPr>
          <w:p>
            <w:pPr>
              <w:pStyle w:val="TableParagraph"/>
              <w:spacing w:before="9"/>
              <w:ind w:left="67"/>
              <w:jc w:val="left"/>
              <w:rPr>
                <w:sz w:val="19"/>
              </w:rPr>
            </w:pPr>
            <w:r>
              <w:rPr>
                <w:sz w:val="19"/>
              </w:rPr>
              <w:t>Baja California</w:t>
            </w:r>
          </w:p>
        </w:tc>
        <w:tc>
          <w:tcPr>
            <w:tcW w:w="907" w:type="dxa"/>
          </w:tcPr>
          <w:p>
            <w:pPr>
              <w:pStyle w:val="TableParagraph"/>
              <w:spacing w:before="9"/>
              <w:ind w:right="69"/>
              <w:rPr>
                <w:sz w:val="19"/>
              </w:rPr>
            </w:pPr>
            <w:r>
              <w:rPr>
                <w:sz w:val="19"/>
              </w:rPr>
              <w:t>1 821</w:t>
            </w:r>
          </w:p>
        </w:tc>
        <w:tc>
          <w:tcPr>
            <w:tcW w:w="949" w:type="dxa"/>
          </w:tcPr>
          <w:p>
            <w:pPr>
              <w:pStyle w:val="TableParagraph"/>
              <w:spacing w:before="9"/>
              <w:ind w:right="64"/>
              <w:rPr>
                <w:sz w:val="19"/>
              </w:rPr>
            </w:pPr>
            <w:r>
              <w:rPr>
                <w:sz w:val="19"/>
              </w:rPr>
              <w:t>4.31</w:t>
            </w:r>
          </w:p>
        </w:tc>
      </w:tr>
      <w:tr>
        <w:trPr>
          <w:trHeight w:val="254" w:hRule="exact"/>
        </w:trPr>
        <w:tc>
          <w:tcPr>
            <w:tcW w:w="1391" w:type="dxa"/>
          </w:tcPr>
          <w:p>
            <w:pPr>
              <w:pStyle w:val="TableParagraph"/>
              <w:spacing w:before="9"/>
              <w:ind w:left="43"/>
              <w:jc w:val="left"/>
              <w:rPr>
                <w:sz w:val="19"/>
              </w:rPr>
            </w:pPr>
            <w:r>
              <w:rPr>
                <w:sz w:val="19"/>
              </w:rPr>
              <w:t>Chiapas</w:t>
            </w:r>
          </w:p>
        </w:tc>
        <w:tc>
          <w:tcPr>
            <w:tcW w:w="914" w:type="dxa"/>
          </w:tcPr>
          <w:p>
            <w:pPr>
              <w:pStyle w:val="TableParagraph"/>
              <w:spacing w:before="9"/>
              <w:ind w:right="69"/>
              <w:rPr>
                <w:sz w:val="19"/>
              </w:rPr>
            </w:pPr>
            <w:r>
              <w:rPr>
                <w:sz w:val="19"/>
              </w:rPr>
              <w:t>855</w:t>
            </w:r>
          </w:p>
        </w:tc>
        <w:tc>
          <w:tcPr>
            <w:tcW w:w="950" w:type="dxa"/>
          </w:tcPr>
          <w:p>
            <w:pPr>
              <w:pStyle w:val="TableParagraph"/>
              <w:spacing w:before="9"/>
              <w:ind w:right="67"/>
              <w:rPr>
                <w:sz w:val="19"/>
              </w:rPr>
            </w:pPr>
            <w:r>
              <w:rPr>
                <w:sz w:val="19"/>
              </w:rPr>
              <w:t>2.71</w:t>
            </w:r>
          </w:p>
        </w:tc>
        <w:tc>
          <w:tcPr>
            <w:tcW w:w="1409" w:type="dxa"/>
          </w:tcPr>
          <w:p>
            <w:pPr>
              <w:pStyle w:val="TableParagraph"/>
              <w:spacing w:before="9"/>
              <w:ind w:left="67"/>
              <w:jc w:val="left"/>
              <w:rPr>
                <w:sz w:val="19"/>
              </w:rPr>
            </w:pPr>
            <w:r>
              <w:rPr>
                <w:sz w:val="19"/>
              </w:rPr>
              <w:t>Puebla</w:t>
            </w:r>
          </w:p>
        </w:tc>
        <w:tc>
          <w:tcPr>
            <w:tcW w:w="907" w:type="dxa"/>
          </w:tcPr>
          <w:p>
            <w:pPr>
              <w:pStyle w:val="TableParagraph"/>
              <w:spacing w:before="9"/>
              <w:ind w:right="69"/>
              <w:rPr>
                <w:sz w:val="19"/>
              </w:rPr>
            </w:pPr>
            <w:r>
              <w:rPr>
                <w:sz w:val="19"/>
              </w:rPr>
              <w:t>1 714</w:t>
            </w:r>
          </w:p>
        </w:tc>
        <w:tc>
          <w:tcPr>
            <w:tcW w:w="949" w:type="dxa"/>
          </w:tcPr>
          <w:p>
            <w:pPr>
              <w:pStyle w:val="TableParagraph"/>
              <w:spacing w:before="9"/>
              <w:ind w:right="64"/>
              <w:rPr>
                <w:sz w:val="19"/>
              </w:rPr>
            </w:pPr>
            <w:r>
              <w:rPr>
                <w:sz w:val="19"/>
              </w:rPr>
              <w:t>4.06</w:t>
            </w:r>
          </w:p>
        </w:tc>
      </w:tr>
      <w:tr>
        <w:trPr>
          <w:trHeight w:val="254" w:hRule="exact"/>
        </w:trPr>
        <w:tc>
          <w:tcPr>
            <w:tcW w:w="1391" w:type="dxa"/>
          </w:tcPr>
          <w:p>
            <w:pPr>
              <w:pStyle w:val="TableParagraph"/>
              <w:spacing w:before="9"/>
              <w:ind w:left="43"/>
              <w:jc w:val="left"/>
              <w:rPr>
                <w:sz w:val="19"/>
              </w:rPr>
            </w:pPr>
            <w:r>
              <w:rPr>
                <w:sz w:val="19"/>
              </w:rPr>
              <w:t>Jalisco</w:t>
            </w:r>
          </w:p>
        </w:tc>
        <w:tc>
          <w:tcPr>
            <w:tcW w:w="914" w:type="dxa"/>
          </w:tcPr>
          <w:p>
            <w:pPr>
              <w:pStyle w:val="TableParagraph"/>
              <w:spacing w:before="9"/>
              <w:ind w:right="69"/>
              <w:rPr>
                <w:sz w:val="19"/>
              </w:rPr>
            </w:pPr>
            <w:r>
              <w:rPr>
                <w:sz w:val="19"/>
              </w:rPr>
              <w:t>825</w:t>
            </w:r>
          </w:p>
        </w:tc>
        <w:tc>
          <w:tcPr>
            <w:tcW w:w="950" w:type="dxa"/>
          </w:tcPr>
          <w:p>
            <w:pPr>
              <w:pStyle w:val="TableParagraph"/>
              <w:spacing w:before="9"/>
              <w:ind w:right="67"/>
              <w:rPr>
                <w:sz w:val="19"/>
              </w:rPr>
            </w:pPr>
            <w:r>
              <w:rPr>
                <w:sz w:val="19"/>
              </w:rPr>
              <w:t>2.62</w:t>
            </w:r>
          </w:p>
        </w:tc>
        <w:tc>
          <w:tcPr>
            <w:tcW w:w="1409" w:type="dxa"/>
          </w:tcPr>
          <w:p>
            <w:pPr>
              <w:pStyle w:val="TableParagraph"/>
              <w:spacing w:before="9"/>
              <w:ind w:left="67"/>
              <w:jc w:val="left"/>
              <w:rPr>
                <w:sz w:val="19"/>
              </w:rPr>
            </w:pPr>
            <w:r>
              <w:rPr>
                <w:sz w:val="19"/>
              </w:rPr>
              <w:t>Veracruz</w:t>
            </w:r>
          </w:p>
        </w:tc>
        <w:tc>
          <w:tcPr>
            <w:tcW w:w="907" w:type="dxa"/>
          </w:tcPr>
          <w:p>
            <w:pPr>
              <w:pStyle w:val="TableParagraph"/>
              <w:spacing w:before="9"/>
              <w:ind w:right="69"/>
              <w:rPr>
                <w:sz w:val="19"/>
              </w:rPr>
            </w:pPr>
            <w:r>
              <w:rPr>
                <w:sz w:val="19"/>
              </w:rPr>
              <w:t>1 395</w:t>
            </w:r>
          </w:p>
        </w:tc>
        <w:tc>
          <w:tcPr>
            <w:tcW w:w="949" w:type="dxa"/>
          </w:tcPr>
          <w:p>
            <w:pPr>
              <w:pStyle w:val="TableParagraph"/>
              <w:spacing w:before="9"/>
              <w:ind w:right="64"/>
              <w:rPr>
                <w:sz w:val="19"/>
              </w:rPr>
            </w:pPr>
            <w:r>
              <w:rPr>
                <w:sz w:val="19"/>
              </w:rPr>
              <w:t>3.30</w:t>
            </w:r>
          </w:p>
        </w:tc>
      </w:tr>
      <w:tr>
        <w:trPr>
          <w:trHeight w:val="254" w:hRule="exact"/>
        </w:trPr>
        <w:tc>
          <w:tcPr>
            <w:tcW w:w="1391" w:type="dxa"/>
          </w:tcPr>
          <w:p>
            <w:pPr>
              <w:pStyle w:val="TableParagraph"/>
              <w:spacing w:before="9"/>
              <w:ind w:left="43"/>
              <w:jc w:val="left"/>
              <w:rPr>
                <w:sz w:val="19"/>
              </w:rPr>
            </w:pPr>
            <w:r>
              <w:rPr>
                <w:sz w:val="19"/>
              </w:rPr>
              <w:t>Chihuahua</w:t>
            </w:r>
          </w:p>
        </w:tc>
        <w:tc>
          <w:tcPr>
            <w:tcW w:w="914" w:type="dxa"/>
          </w:tcPr>
          <w:p>
            <w:pPr>
              <w:pStyle w:val="TableParagraph"/>
              <w:spacing w:before="9"/>
              <w:ind w:right="69"/>
              <w:rPr>
                <w:sz w:val="19"/>
              </w:rPr>
            </w:pPr>
            <w:r>
              <w:rPr>
                <w:sz w:val="19"/>
              </w:rPr>
              <w:t>616</w:t>
            </w:r>
          </w:p>
        </w:tc>
        <w:tc>
          <w:tcPr>
            <w:tcW w:w="950" w:type="dxa"/>
          </w:tcPr>
          <w:p>
            <w:pPr>
              <w:pStyle w:val="TableParagraph"/>
              <w:spacing w:before="9"/>
              <w:ind w:right="67"/>
              <w:rPr>
                <w:sz w:val="19"/>
              </w:rPr>
            </w:pPr>
            <w:r>
              <w:rPr>
                <w:sz w:val="19"/>
              </w:rPr>
              <w:t>1.96</w:t>
            </w:r>
          </w:p>
        </w:tc>
        <w:tc>
          <w:tcPr>
            <w:tcW w:w="1409" w:type="dxa"/>
          </w:tcPr>
          <w:p>
            <w:pPr>
              <w:pStyle w:val="TableParagraph"/>
              <w:spacing w:before="9"/>
              <w:ind w:left="67"/>
              <w:jc w:val="left"/>
              <w:rPr>
                <w:sz w:val="19"/>
              </w:rPr>
            </w:pPr>
            <w:r>
              <w:rPr>
                <w:sz w:val="19"/>
              </w:rPr>
              <w:t>Guanajuato</w:t>
            </w:r>
          </w:p>
        </w:tc>
        <w:tc>
          <w:tcPr>
            <w:tcW w:w="907" w:type="dxa"/>
          </w:tcPr>
          <w:p>
            <w:pPr>
              <w:pStyle w:val="TableParagraph"/>
              <w:spacing w:before="9"/>
              <w:ind w:right="69"/>
              <w:rPr>
                <w:sz w:val="19"/>
              </w:rPr>
            </w:pPr>
            <w:r>
              <w:rPr>
                <w:sz w:val="19"/>
              </w:rPr>
              <w:t>1 326</w:t>
            </w:r>
          </w:p>
        </w:tc>
        <w:tc>
          <w:tcPr>
            <w:tcW w:w="949" w:type="dxa"/>
          </w:tcPr>
          <w:p>
            <w:pPr>
              <w:pStyle w:val="TableParagraph"/>
              <w:spacing w:before="9"/>
              <w:ind w:right="64"/>
              <w:rPr>
                <w:sz w:val="19"/>
              </w:rPr>
            </w:pPr>
            <w:r>
              <w:rPr>
                <w:sz w:val="19"/>
              </w:rPr>
              <w:t>3.14</w:t>
            </w:r>
          </w:p>
        </w:tc>
      </w:tr>
      <w:tr>
        <w:trPr>
          <w:trHeight w:val="257" w:hRule="exact"/>
        </w:trPr>
        <w:tc>
          <w:tcPr>
            <w:tcW w:w="1391" w:type="dxa"/>
          </w:tcPr>
          <w:p>
            <w:pPr>
              <w:pStyle w:val="TableParagraph"/>
              <w:spacing w:before="9"/>
              <w:ind w:left="43"/>
              <w:jc w:val="left"/>
              <w:rPr>
                <w:sz w:val="19"/>
              </w:rPr>
            </w:pPr>
            <w:r>
              <w:rPr>
                <w:sz w:val="19"/>
              </w:rPr>
              <w:t>Puebla</w:t>
            </w:r>
          </w:p>
        </w:tc>
        <w:tc>
          <w:tcPr>
            <w:tcW w:w="914" w:type="dxa"/>
          </w:tcPr>
          <w:p>
            <w:pPr>
              <w:pStyle w:val="TableParagraph"/>
              <w:spacing w:before="9"/>
              <w:ind w:right="69"/>
              <w:rPr>
                <w:sz w:val="19"/>
              </w:rPr>
            </w:pPr>
            <w:r>
              <w:rPr>
                <w:sz w:val="19"/>
              </w:rPr>
              <w:t>529</w:t>
            </w:r>
          </w:p>
        </w:tc>
        <w:tc>
          <w:tcPr>
            <w:tcW w:w="950" w:type="dxa"/>
          </w:tcPr>
          <w:p>
            <w:pPr>
              <w:pStyle w:val="TableParagraph"/>
              <w:spacing w:before="9"/>
              <w:ind w:right="67"/>
              <w:rPr>
                <w:sz w:val="19"/>
              </w:rPr>
            </w:pPr>
            <w:r>
              <w:rPr>
                <w:sz w:val="19"/>
              </w:rPr>
              <w:t>1.68</w:t>
            </w:r>
          </w:p>
        </w:tc>
        <w:tc>
          <w:tcPr>
            <w:tcW w:w="1409" w:type="dxa"/>
          </w:tcPr>
          <w:p>
            <w:pPr>
              <w:pStyle w:val="TableParagraph"/>
              <w:spacing w:before="9"/>
              <w:ind w:left="67"/>
              <w:jc w:val="left"/>
              <w:rPr>
                <w:sz w:val="19"/>
              </w:rPr>
            </w:pPr>
            <w:r>
              <w:rPr>
                <w:sz w:val="19"/>
              </w:rPr>
              <w:t>Yucatán</w:t>
            </w:r>
          </w:p>
        </w:tc>
        <w:tc>
          <w:tcPr>
            <w:tcW w:w="907" w:type="dxa"/>
          </w:tcPr>
          <w:p>
            <w:pPr>
              <w:pStyle w:val="TableParagraph"/>
              <w:spacing w:before="9"/>
              <w:ind w:right="69"/>
              <w:rPr>
                <w:sz w:val="19"/>
              </w:rPr>
            </w:pPr>
            <w:r>
              <w:rPr>
                <w:sz w:val="19"/>
              </w:rPr>
              <w:t>1 299</w:t>
            </w:r>
          </w:p>
        </w:tc>
        <w:tc>
          <w:tcPr>
            <w:tcW w:w="949" w:type="dxa"/>
          </w:tcPr>
          <w:p>
            <w:pPr>
              <w:pStyle w:val="TableParagraph"/>
              <w:spacing w:before="9"/>
              <w:ind w:right="64"/>
              <w:rPr>
                <w:sz w:val="19"/>
              </w:rPr>
            </w:pPr>
            <w:r>
              <w:rPr>
                <w:sz w:val="19"/>
              </w:rPr>
              <w:t>3.08</w:t>
            </w:r>
          </w:p>
        </w:tc>
      </w:tr>
      <w:tr>
        <w:trPr>
          <w:trHeight w:val="257" w:hRule="exact"/>
        </w:trPr>
        <w:tc>
          <w:tcPr>
            <w:tcW w:w="1391" w:type="dxa"/>
          </w:tcPr>
          <w:p>
            <w:pPr>
              <w:pStyle w:val="TableParagraph"/>
              <w:spacing w:before="12"/>
              <w:ind w:left="43"/>
              <w:jc w:val="left"/>
              <w:rPr>
                <w:sz w:val="19"/>
              </w:rPr>
            </w:pPr>
            <w:r>
              <w:rPr>
                <w:sz w:val="19"/>
              </w:rPr>
              <w:t>Querétaro</w:t>
            </w:r>
          </w:p>
        </w:tc>
        <w:tc>
          <w:tcPr>
            <w:tcW w:w="914" w:type="dxa"/>
          </w:tcPr>
          <w:p>
            <w:pPr>
              <w:pStyle w:val="TableParagraph"/>
              <w:spacing w:before="12"/>
              <w:ind w:right="69"/>
              <w:rPr>
                <w:sz w:val="19"/>
              </w:rPr>
            </w:pPr>
            <w:r>
              <w:rPr>
                <w:sz w:val="19"/>
              </w:rPr>
              <w:t>404</w:t>
            </w:r>
          </w:p>
        </w:tc>
        <w:tc>
          <w:tcPr>
            <w:tcW w:w="950" w:type="dxa"/>
          </w:tcPr>
          <w:p>
            <w:pPr>
              <w:pStyle w:val="TableParagraph"/>
              <w:spacing w:before="12"/>
              <w:ind w:right="67"/>
              <w:rPr>
                <w:sz w:val="19"/>
              </w:rPr>
            </w:pPr>
            <w:r>
              <w:rPr>
                <w:sz w:val="19"/>
              </w:rPr>
              <w:t>1.28</w:t>
            </w:r>
          </w:p>
        </w:tc>
        <w:tc>
          <w:tcPr>
            <w:tcW w:w="1409" w:type="dxa"/>
          </w:tcPr>
          <w:p>
            <w:pPr>
              <w:pStyle w:val="TableParagraph"/>
              <w:spacing w:before="12"/>
              <w:ind w:left="67"/>
              <w:jc w:val="left"/>
              <w:rPr>
                <w:sz w:val="19"/>
              </w:rPr>
            </w:pPr>
            <w:r>
              <w:rPr>
                <w:sz w:val="19"/>
              </w:rPr>
              <w:t>Distrito Federal</w:t>
            </w:r>
          </w:p>
        </w:tc>
        <w:tc>
          <w:tcPr>
            <w:tcW w:w="907" w:type="dxa"/>
          </w:tcPr>
          <w:p>
            <w:pPr>
              <w:pStyle w:val="TableParagraph"/>
              <w:spacing w:before="12"/>
              <w:ind w:right="69"/>
              <w:rPr>
                <w:sz w:val="19"/>
              </w:rPr>
            </w:pPr>
            <w:r>
              <w:rPr>
                <w:sz w:val="19"/>
              </w:rPr>
              <w:t>1 181</w:t>
            </w:r>
          </w:p>
        </w:tc>
        <w:tc>
          <w:tcPr>
            <w:tcW w:w="949" w:type="dxa"/>
          </w:tcPr>
          <w:p>
            <w:pPr>
              <w:pStyle w:val="TableParagraph"/>
              <w:spacing w:before="12"/>
              <w:ind w:right="64"/>
              <w:rPr>
                <w:sz w:val="19"/>
              </w:rPr>
            </w:pPr>
            <w:r>
              <w:rPr>
                <w:sz w:val="19"/>
              </w:rPr>
              <w:t>2.80</w:t>
            </w:r>
          </w:p>
        </w:tc>
      </w:tr>
      <w:tr>
        <w:trPr>
          <w:trHeight w:val="254" w:hRule="exact"/>
        </w:trPr>
        <w:tc>
          <w:tcPr>
            <w:tcW w:w="1391" w:type="dxa"/>
          </w:tcPr>
          <w:p>
            <w:pPr>
              <w:pStyle w:val="TableParagraph"/>
              <w:spacing w:before="9"/>
              <w:ind w:left="43"/>
              <w:jc w:val="left"/>
              <w:rPr>
                <w:sz w:val="19"/>
              </w:rPr>
            </w:pPr>
            <w:r>
              <w:rPr>
                <w:sz w:val="19"/>
              </w:rPr>
              <w:t>Baja California</w:t>
            </w:r>
          </w:p>
        </w:tc>
        <w:tc>
          <w:tcPr>
            <w:tcW w:w="914" w:type="dxa"/>
          </w:tcPr>
          <w:p>
            <w:pPr>
              <w:pStyle w:val="TableParagraph"/>
              <w:spacing w:before="9"/>
              <w:ind w:right="69"/>
              <w:rPr>
                <w:sz w:val="19"/>
              </w:rPr>
            </w:pPr>
            <w:r>
              <w:rPr>
                <w:sz w:val="19"/>
              </w:rPr>
              <w:t>390</w:t>
            </w:r>
          </w:p>
        </w:tc>
        <w:tc>
          <w:tcPr>
            <w:tcW w:w="950" w:type="dxa"/>
          </w:tcPr>
          <w:p>
            <w:pPr>
              <w:pStyle w:val="TableParagraph"/>
              <w:spacing w:before="9"/>
              <w:ind w:right="67"/>
              <w:rPr>
                <w:sz w:val="19"/>
              </w:rPr>
            </w:pPr>
            <w:r>
              <w:rPr>
                <w:sz w:val="19"/>
              </w:rPr>
              <w:t>1.24</w:t>
            </w:r>
          </w:p>
        </w:tc>
        <w:tc>
          <w:tcPr>
            <w:tcW w:w="1409" w:type="dxa"/>
          </w:tcPr>
          <w:p>
            <w:pPr>
              <w:pStyle w:val="TableParagraph"/>
              <w:spacing w:before="9"/>
              <w:ind w:left="67"/>
              <w:jc w:val="left"/>
              <w:rPr>
                <w:sz w:val="19"/>
              </w:rPr>
            </w:pPr>
            <w:r>
              <w:rPr>
                <w:sz w:val="19"/>
              </w:rPr>
              <w:t>México</w:t>
            </w:r>
          </w:p>
        </w:tc>
        <w:tc>
          <w:tcPr>
            <w:tcW w:w="907" w:type="dxa"/>
          </w:tcPr>
          <w:p>
            <w:pPr>
              <w:pStyle w:val="TableParagraph"/>
              <w:spacing w:before="9"/>
              <w:ind w:right="69"/>
              <w:rPr>
                <w:sz w:val="19"/>
              </w:rPr>
            </w:pPr>
            <w:r>
              <w:rPr>
                <w:sz w:val="19"/>
              </w:rPr>
              <w:t>1 086</w:t>
            </w:r>
          </w:p>
        </w:tc>
        <w:tc>
          <w:tcPr>
            <w:tcW w:w="949" w:type="dxa"/>
          </w:tcPr>
          <w:p>
            <w:pPr>
              <w:pStyle w:val="TableParagraph"/>
              <w:spacing w:before="9"/>
              <w:ind w:right="64"/>
              <w:rPr>
                <w:sz w:val="19"/>
              </w:rPr>
            </w:pPr>
            <w:r>
              <w:rPr>
                <w:sz w:val="19"/>
              </w:rPr>
              <w:t>2.57</w:t>
            </w:r>
          </w:p>
        </w:tc>
      </w:tr>
      <w:tr>
        <w:trPr>
          <w:trHeight w:val="254" w:hRule="exact"/>
        </w:trPr>
        <w:tc>
          <w:tcPr>
            <w:tcW w:w="1391" w:type="dxa"/>
          </w:tcPr>
          <w:p>
            <w:pPr>
              <w:pStyle w:val="TableParagraph"/>
              <w:spacing w:before="9"/>
              <w:ind w:left="43"/>
              <w:jc w:val="left"/>
              <w:rPr>
                <w:sz w:val="19"/>
              </w:rPr>
            </w:pPr>
            <w:r>
              <w:rPr>
                <w:sz w:val="19"/>
              </w:rPr>
              <w:t>Hidalgo</w:t>
            </w:r>
          </w:p>
        </w:tc>
        <w:tc>
          <w:tcPr>
            <w:tcW w:w="914" w:type="dxa"/>
          </w:tcPr>
          <w:p>
            <w:pPr>
              <w:pStyle w:val="TableParagraph"/>
              <w:spacing w:before="9"/>
              <w:ind w:right="69"/>
              <w:rPr>
                <w:sz w:val="19"/>
              </w:rPr>
            </w:pPr>
            <w:r>
              <w:rPr>
                <w:sz w:val="19"/>
              </w:rPr>
              <w:t>316</w:t>
            </w:r>
          </w:p>
        </w:tc>
        <w:tc>
          <w:tcPr>
            <w:tcW w:w="950" w:type="dxa"/>
          </w:tcPr>
          <w:p>
            <w:pPr>
              <w:pStyle w:val="TableParagraph"/>
              <w:spacing w:before="9"/>
              <w:ind w:right="67"/>
              <w:rPr>
                <w:sz w:val="19"/>
              </w:rPr>
            </w:pPr>
            <w:r>
              <w:rPr>
                <w:sz w:val="19"/>
              </w:rPr>
              <w:t>1.00</w:t>
            </w:r>
          </w:p>
        </w:tc>
        <w:tc>
          <w:tcPr>
            <w:tcW w:w="1409" w:type="dxa"/>
          </w:tcPr>
          <w:p>
            <w:pPr>
              <w:pStyle w:val="TableParagraph"/>
              <w:spacing w:before="9"/>
              <w:ind w:left="67"/>
              <w:jc w:val="left"/>
              <w:rPr>
                <w:sz w:val="19"/>
              </w:rPr>
            </w:pPr>
            <w:r>
              <w:rPr>
                <w:sz w:val="19"/>
              </w:rPr>
              <w:t>Nuevo León</w:t>
            </w:r>
          </w:p>
        </w:tc>
        <w:tc>
          <w:tcPr>
            <w:tcW w:w="907" w:type="dxa"/>
          </w:tcPr>
          <w:p>
            <w:pPr>
              <w:pStyle w:val="TableParagraph"/>
              <w:spacing w:before="9"/>
              <w:ind w:right="69"/>
              <w:rPr>
                <w:sz w:val="19"/>
              </w:rPr>
            </w:pPr>
            <w:r>
              <w:rPr>
                <w:sz w:val="19"/>
              </w:rPr>
              <w:t>879</w:t>
            </w:r>
          </w:p>
        </w:tc>
        <w:tc>
          <w:tcPr>
            <w:tcW w:w="949" w:type="dxa"/>
          </w:tcPr>
          <w:p>
            <w:pPr>
              <w:pStyle w:val="TableParagraph"/>
              <w:spacing w:before="9"/>
              <w:ind w:right="64"/>
              <w:rPr>
                <w:sz w:val="19"/>
              </w:rPr>
            </w:pPr>
            <w:r>
              <w:rPr>
                <w:sz w:val="19"/>
              </w:rPr>
              <w:t>2.08</w:t>
            </w:r>
          </w:p>
        </w:tc>
      </w:tr>
      <w:tr>
        <w:trPr>
          <w:trHeight w:val="254" w:hRule="exact"/>
        </w:trPr>
        <w:tc>
          <w:tcPr>
            <w:tcW w:w="1391" w:type="dxa"/>
          </w:tcPr>
          <w:p>
            <w:pPr>
              <w:pStyle w:val="TableParagraph"/>
              <w:spacing w:before="9"/>
              <w:ind w:left="43"/>
              <w:jc w:val="left"/>
              <w:rPr>
                <w:sz w:val="19"/>
              </w:rPr>
            </w:pPr>
            <w:r>
              <w:rPr>
                <w:sz w:val="19"/>
              </w:rPr>
              <w:t>Morelos</w:t>
            </w:r>
          </w:p>
        </w:tc>
        <w:tc>
          <w:tcPr>
            <w:tcW w:w="914" w:type="dxa"/>
          </w:tcPr>
          <w:p>
            <w:pPr>
              <w:pStyle w:val="TableParagraph"/>
              <w:spacing w:before="9"/>
              <w:ind w:right="69"/>
              <w:rPr>
                <w:sz w:val="19"/>
              </w:rPr>
            </w:pPr>
            <w:r>
              <w:rPr>
                <w:sz w:val="19"/>
              </w:rPr>
              <w:t>305</w:t>
            </w:r>
          </w:p>
        </w:tc>
        <w:tc>
          <w:tcPr>
            <w:tcW w:w="950" w:type="dxa"/>
          </w:tcPr>
          <w:p>
            <w:pPr>
              <w:pStyle w:val="TableParagraph"/>
              <w:spacing w:before="9"/>
              <w:ind w:right="67"/>
              <w:rPr>
                <w:sz w:val="19"/>
              </w:rPr>
            </w:pPr>
            <w:r>
              <w:rPr>
                <w:sz w:val="19"/>
              </w:rPr>
              <w:t>0.97</w:t>
            </w:r>
          </w:p>
        </w:tc>
        <w:tc>
          <w:tcPr>
            <w:tcW w:w="1409" w:type="dxa"/>
          </w:tcPr>
          <w:p>
            <w:pPr>
              <w:pStyle w:val="TableParagraph"/>
              <w:spacing w:before="9"/>
              <w:ind w:left="67"/>
              <w:jc w:val="left"/>
              <w:rPr>
                <w:sz w:val="19"/>
              </w:rPr>
            </w:pPr>
            <w:r>
              <w:rPr>
                <w:sz w:val="19"/>
              </w:rPr>
              <w:t>Tabasco</w:t>
            </w:r>
          </w:p>
        </w:tc>
        <w:tc>
          <w:tcPr>
            <w:tcW w:w="907" w:type="dxa"/>
          </w:tcPr>
          <w:p>
            <w:pPr>
              <w:pStyle w:val="TableParagraph"/>
              <w:spacing w:before="9"/>
              <w:ind w:right="69"/>
              <w:rPr>
                <w:sz w:val="19"/>
              </w:rPr>
            </w:pPr>
            <w:r>
              <w:rPr>
                <w:sz w:val="19"/>
              </w:rPr>
              <w:t>857</w:t>
            </w:r>
          </w:p>
        </w:tc>
        <w:tc>
          <w:tcPr>
            <w:tcW w:w="949" w:type="dxa"/>
          </w:tcPr>
          <w:p>
            <w:pPr>
              <w:pStyle w:val="TableParagraph"/>
              <w:spacing w:before="9"/>
              <w:ind w:right="64"/>
              <w:rPr>
                <w:sz w:val="19"/>
              </w:rPr>
            </w:pPr>
            <w:r>
              <w:rPr>
                <w:sz w:val="19"/>
              </w:rPr>
              <w:t>2.03</w:t>
            </w:r>
          </w:p>
        </w:tc>
      </w:tr>
      <w:tr>
        <w:trPr>
          <w:trHeight w:val="254" w:hRule="exact"/>
        </w:trPr>
        <w:tc>
          <w:tcPr>
            <w:tcW w:w="1391" w:type="dxa"/>
          </w:tcPr>
          <w:p>
            <w:pPr>
              <w:pStyle w:val="TableParagraph"/>
              <w:spacing w:before="9"/>
              <w:ind w:left="43"/>
              <w:jc w:val="left"/>
              <w:rPr>
                <w:sz w:val="19"/>
              </w:rPr>
            </w:pPr>
            <w:r>
              <w:rPr>
                <w:sz w:val="19"/>
              </w:rPr>
              <w:t>Guanajuato</w:t>
            </w:r>
          </w:p>
        </w:tc>
        <w:tc>
          <w:tcPr>
            <w:tcW w:w="914" w:type="dxa"/>
          </w:tcPr>
          <w:p>
            <w:pPr>
              <w:pStyle w:val="TableParagraph"/>
              <w:spacing w:before="9"/>
              <w:ind w:right="69"/>
              <w:rPr>
                <w:sz w:val="19"/>
              </w:rPr>
            </w:pPr>
            <w:r>
              <w:rPr>
                <w:sz w:val="19"/>
              </w:rPr>
              <w:t>293</w:t>
            </w:r>
          </w:p>
        </w:tc>
        <w:tc>
          <w:tcPr>
            <w:tcW w:w="950" w:type="dxa"/>
          </w:tcPr>
          <w:p>
            <w:pPr>
              <w:pStyle w:val="TableParagraph"/>
              <w:spacing w:before="9"/>
              <w:ind w:right="67"/>
              <w:rPr>
                <w:sz w:val="19"/>
              </w:rPr>
            </w:pPr>
            <w:r>
              <w:rPr>
                <w:sz w:val="19"/>
              </w:rPr>
              <w:t>0.93</w:t>
            </w:r>
          </w:p>
        </w:tc>
        <w:tc>
          <w:tcPr>
            <w:tcW w:w="1409" w:type="dxa"/>
          </w:tcPr>
          <w:p>
            <w:pPr>
              <w:pStyle w:val="TableParagraph"/>
              <w:spacing w:before="9"/>
              <w:ind w:left="67"/>
              <w:jc w:val="left"/>
              <w:rPr>
                <w:sz w:val="19"/>
              </w:rPr>
            </w:pPr>
            <w:r>
              <w:rPr>
                <w:sz w:val="19"/>
              </w:rPr>
              <w:t>Sinaloa</w:t>
            </w:r>
          </w:p>
        </w:tc>
        <w:tc>
          <w:tcPr>
            <w:tcW w:w="907" w:type="dxa"/>
          </w:tcPr>
          <w:p>
            <w:pPr>
              <w:pStyle w:val="TableParagraph"/>
              <w:spacing w:before="9"/>
              <w:ind w:right="69"/>
              <w:rPr>
                <w:sz w:val="19"/>
              </w:rPr>
            </w:pPr>
            <w:r>
              <w:rPr>
                <w:sz w:val="19"/>
              </w:rPr>
              <w:t>786</w:t>
            </w:r>
          </w:p>
        </w:tc>
        <w:tc>
          <w:tcPr>
            <w:tcW w:w="949" w:type="dxa"/>
          </w:tcPr>
          <w:p>
            <w:pPr>
              <w:pStyle w:val="TableParagraph"/>
              <w:spacing w:before="9"/>
              <w:ind w:right="64"/>
              <w:rPr>
                <w:sz w:val="19"/>
              </w:rPr>
            </w:pPr>
            <w:r>
              <w:rPr>
                <w:sz w:val="19"/>
              </w:rPr>
              <w:t>1.86</w:t>
            </w:r>
          </w:p>
        </w:tc>
      </w:tr>
      <w:tr>
        <w:trPr>
          <w:trHeight w:val="254" w:hRule="exact"/>
        </w:trPr>
        <w:tc>
          <w:tcPr>
            <w:tcW w:w="1391" w:type="dxa"/>
          </w:tcPr>
          <w:p>
            <w:pPr>
              <w:pStyle w:val="TableParagraph"/>
              <w:spacing w:before="9"/>
              <w:ind w:left="43"/>
              <w:jc w:val="left"/>
              <w:rPr>
                <w:sz w:val="19"/>
              </w:rPr>
            </w:pPr>
            <w:r>
              <w:rPr>
                <w:sz w:val="19"/>
              </w:rPr>
              <w:t>Yucatán</w:t>
            </w:r>
          </w:p>
        </w:tc>
        <w:tc>
          <w:tcPr>
            <w:tcW w:w="914" w:type="dxa"/>
          </w:tcPr>
          <w:p>
            <w:pPr>
              <w:pStyle w:val="TableParagraph"/>
              <w:spacing w:before="9"/>
              <w:ind w:right="69"/>
              <w:rPr>
                <w:sz w:val="19"/>
              </w:rPr>
            </w:pPr>
            <w:r>
              <w:rPr>
                <w:sz w:val="19"/>
              </w:rPr>
              <w:t>272</w:t>
            </w:r>
          </w:p>
        </w:tc>
        <w:tc>
          <w:tcPr>
            <w:tcW w:w="950" w:type="dxa"/>
          </w:tcPr>
          <w:p>
            <w:pPr>
              <w:pStyle w:val="TableParagraph"/>
              <w:spacing w:before="9"/>
              <w:ind w:right="67"/>
              <w:rPr>
                <w:sz w:val="19"/>
              </w:rPr>
            </w:pPr>
            <w:r>
              <w:rPr>
                <w:sz w:val="19"/>
              </w:rPr>
              <w:t>0.86</w:t>
            </w:r>
          </w:p>
        </w:tc>
        <w:tc>
          <w:tcPr>
            <w:tcW w:w="1409" w:type="dxa"/>
          </w:tcPr>
          <w:p>
            <w:pPr>
              <w:pStyle w:val="TableParagraph"/>
              <w:spacing w:before="9"/>
              <w:ind w:left="67"/>
              <w:jc w:val="left"/>
              <w:rPr>
                <w:sz w:val="19"/>
              </w:rPr>
            </w:pPr>
            <w:r>
              <w:rPr>
                <w:sz w:val="19"/>
              </w:rPr>
              <w:t>Hidalgo</w:t>
            </w:r>
          </w:p>
        </w:tc>
        <w:tc>
          <w:tcPr>
            <w:tcW w:w="907" w:type="dxa"/>
          </w:tcPr>
          <w:p>
            <w:pPr>
              <w:pStyle w:val="TableParagraph"/>
              <w:spacing w:before="9"/>
              <w:ind w:right="69"/>
              <w:rPr>
                <w:sz w:val="19"/>
              </w:rPr>
            </w:pPr>
            <w:r>
              <w:rPr>
                <w:sz w:val="19"/>
              </w:rPr>
              <w:t>690</w:t>
            </w:r>
          </w:p>
        </w:tc>
        <w:tc>
          <w:tcPr>
            <w:tcW w:w="949" w:type="dxa"/>
          </w:tcPr>
          <w:p>
            <w:pPr>
              <w:pStyle w:val="TableParagraph"/>
              <w:spacing w:before="9"/>
              <w:ind w:right="64"/>
              <w:rPr>
                <w:sz w:val="19"/>
              </w:rPr>
            </w:pPr>
            <w:r>
              <w:rPr>
                <w:sz w:val="19"/>
              </w:rPr>
              <w:t>1.63</w:t>
            </w:r>
          </w:p>
        </w:tc>
      </w:tr>
      <w:tr>
        <w:trPr>
          <w:trHeight w:val="254" w:hRule="exact"/>
        </w:trPr>
        <w:tc>
          <w:tcPr>
            <w:tcW w:w="1391" w:type="dxa"/>
          </w:tcPr>
          <w:p>
            <w:pPr>
              <w:pStyle w:val="TableParagraph"/>
              <w:spacing w:before="9"/>
              <w:ind w:left="43"/>
              <w:jc w:val="left"/>
              <w:rPr>
                <w:sz w:val="19"/>
              </w:rPr>
            </w:pPr>
            <w:r>
              <w:rPr>
                <w:sz w:val="19"/>
              </w:rPr>
              <w:t>San Luis Potosí</w:t>
            </w:r>
          </w:p>
        </w:tc>
        <w:tc>
          <w:tcPr>
            <w:tcW w:w="914" w:type="dxa"/>
          </w:tcPr>
          <w:p>
            <w:pPr>
              <w:pStyle w:val="TableParagraph"/>
              <w:spacing w:before="9"/>
              <w:ind w:right="69"/>
              <w:rPr>
                <w:sz w:val="19"/>
              </w:rPr>
            </w:pPr>
            <w:r>
              <w:rPr>
                <w:sz w:val="19"/>
              </w:rPr>
              <w:t>133</w:t>
            </w:r>
          </w:p>
        </w:tc>
        <w:tc>
          <w:tcPr>
            <w:tcW w:w="950" w:type="dxa"/>
          </w:tcPr>
          <w:p>
            <w:pPr>
              <w:pStyle w:val="TableParagraph"/>
              <w:spacing w:before="9"/>
              <w:ind w:right="67"/>
              <w:rPr>
                <w:sz w:val="19"/>
              </w:rPr>
            </w:pPr>
            <w:r>
              <w:rPr>
                <w:sz w:val="19"/>
              </w:rPr>
              <w:t>0.42</w:t>
            </w:r>
          </w:p>
        </w:tc>
        <w:tc>
          <w:tcPr>
            <w:tcW w:w="1409" w:type="dxa"/>
          </w:tcPr>
          <w:p>
            <w:pPr>
              <w:pStyle w:val="TableParagraph"/>
              <w:spacing w:before="9"/>
              <w:ind w:left="67"/>
              <w:jc w:val="left"/>
              <w:rPr>
                <w:sz w:val="19"/>
              </w:rPr>
            </w:pPr>
            <w:r>
              <w:rPr>
                <w:sz w:val="19"/>
              </w:rPr>
              <w:t>Sonora</w:t>
            </w:r>
          </w:p>
        </w:tc>
        <w:tc>
          <w:tcPr>
            <w:tcW w:w="907" w:type="dxa"/>
          </w:tcPr>
          <w:p>
            <w:pPr>
              <w:pStyle w:val="TableParagraph"/>
              <w:spacing w:before="9"/>
              <w:ind w:right="69"/>
              <w:rPr>
                <w:sz w:val="19"/>
              </w:rPr>
            </w:pPr>
            <w:r>
              <w:rPr>
                <w:sz w:val="19"/>
              </w:rPr>
              <w:t>682</w:t>
            </w:r>
          </w:p>
        </w:tc>
        <w:tc>
          <w:tcPr>
            <w:tcW w:w="949" w:type="dxa"/>
          </w:tcPr>
          <w:p>
            <w:pPr>
              <w:pStyle w:val="TableParagraph"/>
              <w:spacing w:before="9"/>
              <w:ind w:right="64"/>
              <w:rPr>
                <w:sz w:val="19"/>
              </w:rPr>
            </w:pPr>
            <w:r>
              <w:rPr>
                <w:sz w:val="19"/>
              </w:rPr>
              <w:t>1.61</w:t>
            </w:r>
          </w:p>
        </w:tc>
      </w:tr>
      <w:tr>
        <w:trPr>
          <w:trHeight w:val="257" w:hRule="exact"/>
        </w:trPr>
        <w:tc>
          <w:tcPr>
            <w:tcW w:w="1391" w:type="dxa"/>
          </w:tcPr>
          <w:p>
            <w:pPr>
              <w:pStyle w:val="TableParagraph"/>
              <w:spacing w:before="9"/>
              <w:ind w:left="43"/>
              <w:jc w:val="left"/>
              <w:rPr>
                <w:sz w:val="19"/>
              </w:rPr>
            </w:pPr>
            <w:r>
              <w:rPr>
                <w:sz w:val="19"/>
              </w:rPr>
              <w:t>Coahuila</w:t>
            </w:r>
          </w:p>
        </w:tc>
        <w:tc>
          <w:tcPr>
            <w:tcW w:w="914" w:type="dxa"/>
          </w:tcPr>
          <w:p>
            <w:pPr>
              <w:pStyle w:val="TableParagraph"/>
              <w:spacing w:before="9"/>
              <w:ind w:right="69"/>
              <w:rPr>
                <w:sz w:val="19"/>
              </w:rPr>
            </w:pPr>
            <w:r>
              <w:rPr>
                <w:sz w:val="19"/>
              </w:rPr>
              <w:t>129</w:t>
            </w:r>
          </w:p>
        </w:tc>
        <w:tc>
          <w:tcPr>
            <w:tcW w:w="950" w:type="dxa"/>
          </w:tcPr>
          <w:p>
            <w:pPr>
              <w:pStyle w:val="TableParagraph"/>
              <w:spacing w:before="9"/>
              <w:ind w:right="67"/>
              <w:rPr>
                <w:sz w:val="19"/>
              </w:rPr>
            </w:pPr>
            <w:r>
              <w:rPr>
                <w:sz w:val="19"/>
              </w:rPr>
              <w:t>0.41</w:t>
            </w:r>
          </w:p>
        </w:tc>
        <w:tc>
          <w:tcPr>
            <w:tcW w:w="1409" w:type="dxa"/>
          </w:tcPr>
          <w:p>
            <w:pPr>
              <w:pStyle w:val="TableParagraph"/>
              <w:spacing w:before="9"/>
              <w:ind w:left="67"/>
              <w:jc w:val="left"/>
              <w:rPr>
                <w:sz w:val="19"/>
              </w:rPr>
            </w:pPr>
            <w:r>
              <w:rPr>
                <w:sz w:val="19"/>
              </w:rPr>
              <w:t>Zacatecas</w:t>
            </w:r>
          </w:p>
        </w:tc>
        <w:tc>
          <w:tcPr>
            <w:tcW w:w="907" w:type="dxa"/>
          </w:tcPr>
          <w:p>
            <w:pPr>
              <w:pStyle w:val="TableParagraph"/>
              <w:spacing w:before="9"/>
              <w:ind w:right="69"/>
              <w:rPr>
                <w:sz w:val="19"/>
              </w:rPr>
            </w:pPr>
            <w:r>
              <w:rPr>
                <w:sz w:val="19"/>
              </w:rPr>
              <w:t>566</w:t>
            </w:r>
          </w:p>
        </w:tc>
        <w:tc>
          <w:tcPr>
            <w:tcW w:w="949" w:type="dxa"/>
          </w:tcPr>
          <w:p>
            <w:pPr>
              <w:pStyle w:val="TableParagraph"/>
              <w:spacing w:before="9"/>
              <w:ind w:right="64"/>
              <w:rPr>
                <w:sz w:val="19"/>
              </w:rPr>
            </w:pPr>
            <w:r>
              <w:rPr>
                <w:sz w:val="19"/>
              </w:rPr>
              <w:t>1.34</w:t>
            </w:r>
          </w:p>
        </w:tc>
      </w:tr>
      <w:tr>
        <w:trPr>
          <w:trHeight w:val="257" w:hRule="exact"/>
        </w:trPr>
        <w:tc>
          <w:tcPr>
            <w:tcW w:w="1391" w:type="dxa"/>
          </w:tcPr>
          <w:p>
            <w:pPr>
              <w:pStyle w:val="TableParagraph"/>
              <w:spacing w:before="12"/>
              <w:ind w:left="43"/>
              <w:jc w:val="left"/>
              <w:rPr>
                <w:sz w:val="19"/>
              </w:rPr>
            </w:pPr>
            <w:r>
              <w:rPr>
                <w:sz w:val="19"/>
              </w:rPr>
              <w:t>Veracruz</w:t>
            </w:r>
          </w:p>
        </w:tc>
        <w:tc>
          <w:tcPr>
            <w:tcW w:w="914" w:type="dxa"/>
          </w:tcPr>
          <w:p>
            <w:pPr>
              <w:pStyle w:val="TableParagraph"/>
              <w:spacing w:before="12"/>
              <w:ind w:right="69"/>
              <w:rPr>
                <w:sz w:val="19"/>
              </w:rPr>
            </w:pPr>
            <w:r>
              <w:rPr>
                <w:sz w:val="19"/>
              </w:rPr>
              <w:t>113</w:t>
            </w:r>
          </w:p>
        </w:tc>
        <w:tc>
          <w:tcPr>
            <w:tcW w:w="950" w:type="dxa"/>
          </w:tcPr>
          <w:p>
            <w:pPr>
              <w:pStyle w:val="TableParagraph"/>
              <w:spacing w:before="12"/>
              <w:ind w:right="67"/>
              <w:rPr>
                <w:sz w:val="19"/>
              </w:rPr>
            </w:pPr>
            <w:r>
              <w:rPr>
                <w:sz w:val="19"/>
              </w:rPr>
              <w:t>0.36</w:t>
            </w:r>
          </w:p>
        </w:tc>
        <w:tc>
          <w:tcPr>
            <w:tcW w:w="1409" w:type="dxa"/>
          </w:tcPr>
          <w:p>
            <w:pPr>
              <w:pStyle w:val="TableParagraph"/>
              <w:spacing w:before="12"/>
              <w:ind w:left="67"/>
              <w:jc w:val="left"/>
              <w:rPr>
                <w:sz w:val="19"/>
              </w:rPr>
            </w:pPr>
            <w:r>
              <w:rPr>
                <w:sz w:val="19"/>
              </w:rPr>
              <w:t>San Luis Potosí</w:t>
            </w:r>
          </w:p>
        </w:tc>
        <w:tc>
          <w:tcPr>
            <w:tcW w:w="907" w:type="dxa"/>
          </w:tcPr>
          <w:p>
            <w:pPr>
              <w:pStyle w:val="TableParagraph"/>
              <w:spacing w:before="12"/>
              <w:ind w:right="69"/>
              <w:rPr>
                <w:sz w:val="19"/>
              </w:rPr>
            </w:pPr>
            <w:r>
              <w:rPr>
                <w:sz w:val="19"/>
              </w:rPr>
              <w:t>457</w:t>
            </w:r>
          </w:p>
        </w:tc>
        <w:tc>
          <w:tcPr>
            <w:tcW w:w="949" w:type="dxa"/>
          </w:tcPr>
          <w:p>
            <w:pPr>
              <w:pStyle w:val="TableParagraph"/>
              <w:spacing w:before="12"/>
              <w:ind w:right="64"/>
              <w:rPr>
                <w:sz w:val="19"/>
              </w:rPr>
            </w:pPr>
            <w:r>
              <w:rPr>
                <w:sz w:val="19"/>
              </w:rPr>
              <w:t>1.08</w:t>
            </w:r>
          </w:p>
        </w:tc>
      </w:tr>
      <w:tr>
        <w:trPr>
          <w:trHeight w:val="254" w:hRule="exact"/>
        </w:trPr>
        <w:tc>
          <w:tcPr>
            <w:tcW w:w="1391" w:type="dxa"/>
          </w:tcPr>
          <w:p>
            <w:pPr>
              <w:pStyle w:val="TableParagraph"/>
              <w:spacing w:before="9"/>
              <w:ind w:left="43"/>
              <w:jc w:val="left"/>
              <w:rPr>
                <w:sz w:val="19"/>
              </w:rPr>
            </w:pPr>
            <w:r>
              <w:rPr>
                <w:sz w:val="19"/>
              </w:rPr>
              <w:t>Zacatecas</w:t>
            </w:r>
          </w:p>
        </w:tc>
        <w:tc>
          <w:tcPr>
            <w:tcW w:w="914" w:type="dxa"/>
          </w:tcPr>
          <w:p>
            <w:pPr>
              <w:pStyle w:val="TableParagraph"/>
              <w:spacing w:before="9"/>
              <w:ind w:right="69"/>
              <w:rPr>
                <w:sz w:val="19"/>
              </w:rPr>
            </w:pPr>
            <w:r>
              <w:rPr>
                <w:sz w:val="19"/>
              </w:rPr>
              <w:t>112</w:t>
            </w:r>
          </w:p>
        </w:tc>
        <w:tc>
          <w:tcPr>
            <w:tcW w:w="950" w:type="dxa"/>
          </w:tcPr>
          <w:p>
            <w:pPr>
              <w:pStyle w:val="TableParagraph"/>
              <w:spacing w:before="9"/>
              <w:ind w:right="67"/>
              <w:rPr>
                <w:sz w:val="19"/>
              </w:rPr>
            </w:pPr>
            <w:r>
              <w:rPr>
                <w:sz w:val="19"/>
              </w:rPr>
              <w:t>0.36</w:t>
            </w:r>
          </w:p>
        </w:tc>
        <w:tc>
          <w:tcPr>
            <w:tcW w:w="1409" w:type="dxa"/>
          </w:tcPr>
          <w:p>
            <w:pPr>
              <w:pStyle w:val="TableParagraph"/>
              <w:spacing w:before="9"/>
              <w:ind w:left="67"/>
              <w:jc w:val="left"/>
              <w:rPr>
                <w:sz w:val="19"/>
              </w:rPr>
            </w:pPr>
            <w:r>
              <w:rPr>
                <w:sz w:val="19"/>
              </w:rPr>
              <w:t>Tamaulipas</w:t>
            </w:r>
          </w:p>
        </w:tc>
        <w:tc>
          <w:tcPr>
            <w:tcW w:w="907" w:type="dxa"/>
          </w:tcPr>
          <w:p>
            <w:pPr>
              <w:pStyle w:val="TableParagraph"/>
              <w:spacing w:before="9"/>
              <w:ind w:right="69"/>
              <w:rPr>
                <w:sz w:val="19"/>
              </w:rPr>
            </w:pPr>
            <w:r>
              <w:rPr>
                <w:sz w:val="19"/>
              </w:rPr>
              <w:t>378</w:t>
            </w:r>
          </w:p>
        </w:tc>
        <w:tc>
          <w:tcPr>
            <w:tcW w:w="949" w:type="dxa"/>
          </w:tcPr>
          <w:p>
            <w:pPr>
              <w:pStyle w:val="TableParagraph"/>
              <w:spacing w:before="9"/>
              <w:ind w:right="64"/>
              <w:rPr>
                <w:sz w:val="19"/>
              </w:rPr>
            </w:pPr>
            <w:r>
              <w:rPr>
                <w:sz w:val="19"/>
              </w:rPr>
              <w:t>0.89</w:t>
            </w:r>
          </w:p>
        </w:tc>
      </w:tr>
      <w:tr>
        <w:trPr>
          <w:trHeight w:val="254" w:hRule="exact"/>
        </w:trPr>
        <w:tc>
          <w:tcPr>
            <w:tcW w:w="1391" w:type="dxa"/>
          </w:tcPr>
          <w:p>
            <w:pPr>
              <w:pStyle w:val="TableParagraph"/>
              <w:spacing w:before="9"/>
              <w:ind w:left="43"/>
              <w:jc w:val="left"/>
              <w:rPr>
                <w:sz w:val="19"/>
              </w:rPr>
            </w:pPr>
            <w:r>
              <w:rPr>
                <w:sz w:val="19"/>
              </w:rPr>
              <w:t>Nuevo León</w:t>
            </w:r>
          </w:p>
        </w:tc>
        <w:tc>
          <w:tcPr>
            <w:tcW w:w="914" w:type="dxa"/>
          </w:tcPr>
          <w:p>
            <w:pPr>
              <w:pStyle w:val="TableParagraph"/>
              <w:spacing w:before="9"/>
              <w:ind w:right="69"/>
              <w:rPr>
                <w:sz w:val="19"/>
              </w:rPr>
            </w:pPr>
            <w:r>
              <w:rPr>
                <w:sz w:val="19"/>
              </w:rPr>
              <w:t>68</w:t>
            </w:r>
          </w:p>
        </w:tc>
        <w:tc>
          <w:tcPr>
            <w:tcW w:w="950" w:type="dxa"/>
          </w:tcPr>
          <w:p>
            <w:pPr>
              <w:pStyle w:val="TableParagraph"/>
              <w:spacing w:before="9"/>
              <w:ind w:right="67"/>
              <w:rPr>
                <w:sz w:val="19"/>
              </w:rPr>
            </w:pPr>
            <w:r>
              <w:rPr>
                <w:sz w:val="19"/>
              </w:rPr>
              <w:t>0.22</w:t>
            </w:r>
          </w:p>
        </w:tc>
        <w:tc>
          <w:tcPr>
            <w:tcW w:w="1409" w:type="dxa"/>
          </w:tcPr>
          <w:p>
            <w:pPr>
              <w:pStyle w:val="TableParagraph"/>
              <w:spacing w:before="9"/>
              <w:ind w:left="67"/>
              <w:jc w:val="left"/>
              <w:rPr>
                <w:sz w:val="19"/>
              </w:rPr>
            </w:pPr>
            <w:r>
              <w:rPr>
                <w:sz w:val="19"/>
              </w:rPr>
              <w:t>Nayarit</w:t>
            </w:r>
          </w:p>
        </w:tc>
        <w:tc>
          <w:tcPr>
            <w:tcW w:w="907" w:type="dxa"/>
          </w:tcPr>
          <w:p>
            <w:pPr>
              <w:pStyle w:val="TableParagraph"/>
              <w:spacing w:before="9"/>
              <w:ind w:right="69"/>
              <w:rPr>
                <w:sz w:val="19"/>
              </w:rPr>
            </w:pPr>
            <w:r>
              <w:rPr>
                <w:sz w:val="19"/>
              </w:rPr>
              <w:t>376</w:t>
            </w:r>
          </w:p>
        </w:tc>
        <w:tc>
          <w:tcPr>
            <w:tcW w:w="949" w:type="dxa"/>
          </w:tcPr>
          <w:p>
            <w:pPr>
              <w:pStyle w:val="TableParagraph"/>
              <w:spacing w:before="9"/>
              <w:ind w:right="64"/>
              <w:rPr>
                <w:sz w:val="19"/>
              </w:rPr>
            </w:pPr>
            <w:r>
              <w:rPr>
                <w:sz w:val="19"/>
              </w:rPr>
              <w:t>0.89</w:t>
            </w:r>
          </w:p>
        </w:tc>
      </w:tr>
      <w:tr>
        <w:trPr>
          <w:trHeight w:val="254" w:hRule="exact"/>
        </w:trPr>
        <w:tc>
          <w:tcPr>
            <w:tcW w:w="1391" w:type="dxa"/>
          </w:tcPr>
          <w:p>
            <w:pPr>
              <w:pStyle w:val="TableParagraph"/>
              <w:spacing w:before="9"/>
              <w:ind w:left="43"/>
              <w:jc w:val="left"/>
              <w:rPr>
                <w:sz w:val="19"/>
              </w:rPr>
            </w:pPr>
            <w:r>
              <w:rPr>
                <w:sz w:val="19"/>
              </w:rPr>
              <w:t>Distrito Federal</w:t>
            </w:r>
          </w:p>
        </w:tc>
        <w:tc>
          <w:tcPr>
            <w:tcW w:w="914" w:type="dxa"/>
          </w:tcPr>
          <w:p>
            <w:pPr>
              <w:pStyle w:val="TableParagraph"/>
              <w:spacing w:before="9"/>
              <w:ind w:right="69"/>
              <w:rPr>
                <w:sz w:val="19"/>
              </w:rPr>
            </w:pPr>
            <w:r>
              <w:rPr>
                <w:sz w:val="19"/>
              </w:rPr>
              <w:t>63</w:t>
            </w:r>
          </w:p>
        </w:tc>
        <w:tc>
          <w:tcPr>
            <w:tcW w:w="950" w:type="dxa"/>
          </w:tcPr>
          <w:p>
            <w:pPr>
              <w:pStyle w:val="TableParagraph"/>
              <w:spacing w:before="9"/>
              <w:ind w:right="67"/>
              <w:rPr>
                <w:sz w:val="19"/>
              </w:rPr>
            </w:pPr>
            <w:r>
              <w:rPr>
                <w:sz w:val="19"/>
              </w:rPr>
              <w:t>0.20</w:t>
            </w:r>
          </w:p>
        </w:tc>
        <w:tc>
          <w:tcPr>
            <w:tcW w:w="1409" w:type="dxa"/>
          </w:tcPr>
          <w:p>
            <w:pPr>
              <w:pStyle w:val="TableParagraph"/>
              <w:spacing w:before="9"/>
              <w:ind w:left="67"/>
              <w:jc w:val="left"/>
              <w:rPr>
                <w:sz w:val="19"/>
              </w:rPr>
            </w:pPr>
            <w:r>
              <w:rPr>
                <w:sz w:val="19"/>
              </w:rPr>
              <w:t>Durango</w:t>
            </w:r>
          </w:p>
        </w:tc>
        <w:tc>
          <w:tcPr>
            <w:tcW w:w="907" w:type="dxa"/>
          </w:tcPr>
          <w:p>
            <w:pPr>
              <w:pStyle w:val="TableParagraph"/>
              <w:spacing w:before="9"/>
              <w:ind w:right="69"/>
              <w:rPr>
                <w:sz w:val="19"/>
              </w:rPr>
            </w:pPr>
            <w:r>
              <w:rPr>
                <w:sz w:val="19"/>
              </w:rPr>
              <w:t>211</w:t>
            </w:r>
          </w:p>
        </w:tc>
        <w:tc>
          <w:tcPr>
            <w:tcW w:w="949" w:type="dxa"/>
          </w:tcPr>
          <w:p>
            <w:pPr>
              <w:pStyle w:val="TableParagraph"/>
              <w:spacing w:before="9"/>
              <w:ind w:right="64"/>
              <w:rPr>
                <w:sz w:val="19"/>
              </w:rPr>
            </w:pPr>
            <w:r>
              <w:rPr>
                <w:sz w:val="19"/>
              </w:rPr>
              <w:t>0.50</w:t>
            </w:r>
          </w:p>
        </w:tc>
      </w:tr>
      <w:tr>
        <w:trPr>
          <w:trHeight w:val="254" w:hRule="exact"/>
        </w:trPr>
        <w:tc>
          <w:tcPr>
            <w:tcW w:w="1391" w:type="dxa"/>
          </w:tcPr>
          <w:p>
            <w:pPr>
              <w:pStyle w:val="TableParagraph"/>
              <w:spacing w:before="9"/>
              <w:ind w:left="43"/>
              <w:jc w:val="left"/>
              <w:rPr>
                <w:sz w:val="19"/>
              </w:rPr>
            </w:pPr>
            <w:r>
              <w:rPr>
                <w:sz w:val="19"/>
              </w:rPr>
              <w:t>Tamaulipas</w:t>
            </w:r>
          </w:p>
        </w:tc>
        <w:tc>
          <w:tcPr>
            <w:tcW w:w="914" w:type="dxa"/>
          </w:tcPr>
          <w:p>
            <w:pPr>
              <w:pStyle w:val="TableParagraph"/>
              <w:spacing w:before="9"/>
              <w:ind w:right="69"/>
              <w:rPr>
                <w:sz w:val="19"/>
              </w:rPr>
            </w:pPr>
            <w:r>
              <w:rPr>
                <w:sz w:val="19"/>
              </w:rPr>
              <w:t>60</w:t>
            </w:r>
          </w:p>
        </w:tc>
        <w:tc>
          <w:tcPr>
            <w:tcW w:w="950" w:type="dxa"/>
          </w:tcPr>
          <w:p>
            <w:pPr>
              <w:pStyle w:val="TableParagraph"/>
              <w:spacing w:before="9"/>
              <w:ind w:right="67"/>
              <w:rPr>
                <w:sz w:val="19"/>
              </w:rPr>
            </w:pPr>
            <w:r>
              <w:rPr>
                <w:sz w:val="19"/>
              </w:rPr>
              <w:t>0.19</w:t>
            </w:r>
          </w:p>
        </w:tc>
        <w:tc>
          <w:tcPr>
            <w:tcW w:w="1409" w:type="dxa"/>
          </w:tcPr>
          <w:p>
            <w:pPr>
              <w:pStyle w:val="TableParagraph"/>
              <w:spacing w:before="9"/>
              <w:ind w:left="67"/>
              <w:jc w:val="left"/>
              <w:rPr>
                <w:sz w:val="19"/>
              </w:rPr>
            </w:pPr>
            <w:r>
              <w:rPr>
                <w:sz w:val="19"/>
              </w:rPr>
              <w:t>Chihuahua</w:t>
            </w:r>
          </w:p>
        </w:tc>
        <w:tc>
          <w:tcPr>
            <w:tcW w:w="907" w:type="dxa"/>
          </w:tcPr>
          <w:p>
            <w:pPr>
              <w:pStyle w:val="TableParagraph"/>
              <w:spacing w:before="9"/>
              <w:ind w:right="69"/>
              <w:rPr>
                <w:sz w:val="19"/>
              </w:rPr>
            </w:pPr>
            <w:r>
              <w:rPr>
                <w:sz w:val="19"/>
              </w:rPr>
              <w:t>160</w:t>
            </w:r>
          </w:p>
        </w:tc>
        <w:tc>
          <w:tcPr>
            <w:tcW w:w="949" w:type="dxa"/>
          </w:tcPr>
          <w:p>
            <w:pPr>
              <w:pStyle w:val="TableParagraph"/>
              <w:spacing w:before="9"/>
              <w:ind w:right="64"/>
              <w:rPr>
                <w:sz w:val="19"/>
              </w:rPr>
            </w:pPr>
            <w:r>
              <w:rPr>
                <w:sz w:val="19"/>
              </w:rPr>
              <w:t>0.38</w:t>
            </w:r>
          </w:p>
        </w:tc>
      </w:tr>
      <w:tr>
        <w:trPr>
          <w:trHeight w:val="254" w:hRule="exact"/>
        </w:trPr>
        <w:tc>
          <w:tcPr>
            <w:tcW w:w="1391" w:type="dxa"/>
          </w:tcPr>
          <w:p>
            <w:pPr>
              <w:pStyle w:val="TableParagraph"/>
              <w:spacing w:before="9"/>
              <w:ind w:left="43"/>
              <w:jc w:val="left"/>
              <w:rPr>
                <w:sz w:val="19"/>
              </w:rPr>
            </w:pPr>
            <w:r>
              <w:rPr>
                <w:sz w:val="19"/>
              </w:rPr>
              <w:t>Aguascalientes</w:t>
            </w:r>
          </w:p>
        </w:tc>
        <w:tc>
          <w:tcPr>
            <w:tcW w:w="914" w:type="dxa"/>
          </w:tcPr>
          <w:p>
            <w:pPr>
              <w:pStyle w:val="TableParagraph"/>
              <w:spacing w:before="9"/>
              <w:ind w:right="69"/>
              <w:rPr>
                <w:sz w:val="19"/>
              </w:rPr>
            </w:pPr>
            <w:r>
              <w:rPr>
                <w:sz w:val="19"/>
              </w:rPr>
              <w:t>57</w:t>
            </w:r>
          </w:p>
        </w:tc>
        <w:tc>
          <w:tcPr>
            <w:tcW w:w="950" w:type="dxa"/>
          </w:tcPr>
          <w:p>
            <w:pPr>
              <w:pStyle w:val="TableParagraph"/>
              <w:spacing w:before="9"/>
              <w:ind w:right="67"/>
              <w:rPr>
                <w:sz w:val="19"/>
              </w:rPr>
            </w:pPr>
            <w:r>
              <w:rPr>
                <w:sz w:val="19"/>
              </w:rPr>
              <w:t>0.18</w:t>
            </w:r>
          </w:p>
        </w:tc>
        <w:tc>
          <w:tcPr>
            <w:tcW w:w="1409" w:type="dxa"/>
          </w:tcPr>
          <w:p>
            <w:pPr>
              <w:pStyle w:val="TableParagraph"/>
              <w:spacing w:before="9"/>
              <w:ind w:left="67"/>
              <w:jc w:val="left"/>
              <w:rPr>
                <w:sz w:val="19"/>
              </w:rPr>
            </w:pPr>
            <w:r>
              <w:rPr>
                <w:sz w:val="19"/>
              </w:rPr>
              <w:t>Tlaxcala</w:t>
            </w:r>
          </w:p>
        </w:tc>
        <w:tc>
          <w:tcPr>
            <w:tcW w:w="907" w:type="dxa"/>
          </w:tcPr>
          <w:p>
            <w:pPr>
              <w:pStyle w:val="TableParagraph"/>
              <w:spacing w:before="9"/>
              <w:ind w:right="69"/>
              <w:rPr>
                <w:sz w:val="19"/>
              </w:rPr>
            </w:pPr>
            <w:r>
              <w:rPr>
                <w:sz w:val="19"/>
              </w:rPr>
              <w:t>103</w:t>
            </w:r>
          </w:p>
        </w:tc>
        <w:tc>
          <w:tcPr>
            <w:tcW w:w="949" w:type="dxa"/>
          </w:tcPr>
          <w:p>
            <w:pPr>
              <w:pStyle w:val="TableParagraph"/>
              <w:spacing w:before="9"/>
              <w:ind w:right="64"/>
              <w:rPr>
                <w:sz w:val="19"/>
              </w:rPr>
            </w:pPr>
            <w:r>
              <w:rPr>
                <w:sz w:val="19"/>
              </w:rPr>
              <w:t>0.24</w:t>
            </w:r>
          </w:p>
        </w:tc>
      </w:tr>
      <w:tr>
        <w:trPr>
          <w:trHeight w:val="254" w:hRule="exact"/>
        </w:trPr>
        <w:tc>
          <w:tcPr>
            <w:tcW w:w="1391" w:type="dxa"/>
          </w:tcPr>
          <w:p>
            <w:pPr>
              <w:pStyle w:val="TableParagraph"/>
              <w:spacing w:before="9"/>
              <w:ind w:left="43"/>
              <w:jc w:val="left"/>
              <w:rPr>
                <w:sz w:val="19"/>
              </w:rPr>
            </w:pPr>
            <w:r>
              <w:rPr>
                <w:sz w:val="19"/>
              </w:rPr>
              <w:t>Durango</w:t>
            </w:r>
          </w:p>
        </w:tc>
        <w:tc>
          <w:tcPr>
            <w:tcW w:w="914" w:type="dxa"/>
          </w:tcPr>
          <w:p>
            <w:pPr>
              <w:pStyle w:val="TableParagraph"/>
              <w:spacing w:before="9"/>
              <w:ind w:right="69"/>
              <w:rPr>
                <w:sz w:val="19"/>
              </w:rPr>
            </w:pPr>
            <w:r>
              <w:rPr>
                <w:sz w:val="19"/>
              </w:rPr>
              <w:t>26</w:t>
            </w:r>
          </w:p>
        </w:tc>
        <w:tc>
          <w:tcPr>
            <w:tcW w:w="950" w:type="dxa"/>
          </w:tcPr>
          <w:p>
            <w:pPr>
              <w:pStyle w:val="TableParagraph"/>
              <w:spacing w:before="9"/>
              <w:ind w:right="67"/>
              <w:rPr>
                <w:sz w:val="19"/>
              </w:rPr>
            </w:pPr>
            <w:r>
              <w:rPr>
                <w:sz w:val="19"/>
              </w:rPr>
              <w:t>0.08</w:t>
            </w:r>
          </w:p>
        </w:tc>
        <w:tc>
          <w:tcPr>
            <w:tcW w:w="1409" w:type="dxa"/>
          </w:tcPr>
          <w:p>
            <w:pPr>
              <w:pStyle w:val="TableParagraph"/>
              <w:spacing w:before="9"/>
              <w:ind w:left="67"/>
              <w:jc w:val="left"/>
              <w:rPr>
                <w:sz w:val="19"/>
              </w:rPr>
            </w:pPr>
            <w:r>
              <w:rPr>
                <w:sz w:val="19"/>
              </w:rPr>
              <w:t>Colima</w:t>
            </w:r>
          </w:p>
        </w:tc>
        <w:tc>
          <w:tcPr>
            <w:tcW w:w="907" w:type="dxa"/>
          </w:tcPr>
          <w:p>
            <w:pPr>
              <w:pStyle w:val="TableParagraph"/>
              <w:spacing w:before="9"/>
              <w:ind w:right="69"/>
              <w:rPr>
                <w:sz w:val="19"/>
              </w:rPr>
            </w:pPr>
            <w:r>
              <w:rPr>
                <w:sz w:val="19"/>
              </w:rPr>
              <w:t>99</w:t>
            </w:r>
          </w:p>
        </w:tc>
        <w:tc>
          <w:tcPr>
            <w:tcW w:w="949" w:type="dxa"/>
          </w:tcPr>
          <w:p>
            <w:pPr>
              <w:pStyle w:val="TableParagraph"/>
              <w:spacing w:before="9"/>
              <w:ind w:right="64"/>
              <w:rPr>
                <w:sz w:val="19"/>
              </w:rPr>
            </w:pPr>
            <w:r>
              <w:rPr>
                <w:sz w:val="19"/>
              </w:rPr>
              <w:t>0.23</w:t>
            </w:r>
          </w:p>
        </w:tc>
      </w:tr>
      <w:tr>
        <w:trPr>
          <w:trHeight w:val="257" w:hRule="exact"/>
        </w:trPr>
        <w:tc>
          <w:tcPr>
            <w:tcW w:w="1391" w:type="dxa"/>
          </w:tcPr>
          <w:p>
            <w:pPr>
              <w:pStyle w:val="TableParagraph"/>
              <w:spacing w:before="9"/>
              <w:ind w:left="43"/>
              <w:jc w:val="left"/>
              <w:rPr>
                <w:sz w:val="19"/>
              </w:rPr>
            </w:pPr>
            <w:r>
              <w:rPr>
                <w:sz w:val="19"/>
              </w:rPr>
              <w:t>Baja Cal. Sur</w:t>
            </w:r>
          </w:p>
        </w:tc>
        <w:tc>
          <w:tcPr>
            <w:tcW w:w="914" w:type="dxa"/>
          </w:tcPr>
          <w:p>
            <w:pPr>
              <w:pStyle w:val="TableParagraph"/>
              <w:spacing w:before="9"/>
              <w:ind w:right="71"/>
              <w:rPr>
                <w:sz w:val="19"/>
              </w:rPr>
            </w:pPr>
            <w:r>
              <w:rPr>
                <w:w w:val="99"/>
                <w:sz w:val="19"/>
              </w:rPr>
              <w:t>0</w:t>
            </w:r>
          </w:p>
        </w:tc>
        <w:tc>
          <w:tcPr>
            <w:tcW w:w="950" w:type="dxa"/>
          </w:tcPr>
          <w:p>
            <w:pPr>
              <w:pStyle w:val="TableParagraph"/>
              <w:spacing w:before="9"/>
              <w:ind w:right="67"/>
              <w:rPr>
                <w:sz w:val="19"/>
              </w:rPr>
            </w:pPr>
            <w:r>
              <w:rPr>
                <w:sz w:val="19"/>
              </w:rPr>
              <w:t>0.00</w:t>
            </w:r>
          </w:p>
        </w:tc>
        <w:tc>
          <w:tcPr>
            <w:tcW w:w="1409" w:type="dxa"/>
          </w:tcPr>
          <w:p>
            <w:pPr>
              <w:pStyle w:val="TableParagraph"/>
              <w:spacing w:before="9"/>
              <w:ind w:left="67"/>
              <w:jc w:val="left"/>
              <w:rPr>
                <w:sz w:val="19"/>
              </w:rPr>
            </w:pPr>
            <w:r>
              <w:rPr>
                <w:sz w:val="19"/>
              </w:rPr>
              <w:t>Morelos</w:t>
            </w:r>
          </w:p>
        </w:tc>
        <w:tc>
          <w:tcPr>
            <w:tcW w:w="907" w:type="dxa"/>
          </w:tcPr>
          <w:p>
            <w:pPr>
              <w:pStyle w:val="TableParagraph"/>
              <w:spacing w:before="9"/>
              <w:ind w:right="69"/>
              <w:rPr>
                <w:sz w:val="19"/>
              </w:rPr>
            </w:pPr>
            <w:r>
              <w:rPr>
                <w:sz w:val="19"/>
              </w:rPr>
              <w:t>69</w:t>
            </w:r>
          </w:p>
        </w:tc>
        <w:tc>
          <w:tcPr>
            <w:tcW w:w="949" w:type="dxa"/>
          </w:tcPr>
          <w:p>
            <w:pPr>
              <w:pStyle w:val="TableParagraph"/>
              <w:spacing w:before="9"/>
              <w:ind w:right="64"/>
              <w:rPr>
                <w:sz w:val="19"/>
              </w:rPr>
            </w:pPr>
            <w:r>
              <w:rPr>
                <w:sz w:val="19"/>
              </w:rPr>
              <w:t>0.16</w:t>
            </w:r>
          </w:p>
        </w:tc>
      </w:tr>
      <w:tr>
        <w:trPr>
          <w:trHeight w:val="257" w:hRule="exact"/>
        </w:trPr>
        <w:tc>
          <w:tcPr>
            <w:tcW w:w="1391" w:type="dxa"/>
          </w:tcPr>
          <w:p>
            <w:pPr>
              <w:pStyle w:val="TableParagraph"/>
              <w:spacing w:before="12"/>
              <w:ind w:left="43"/>
              <w:jc w:val="left"/>
              <w:rPr>
                <w:sz w:val="19"/>
              </w:rPr>
            </w:pPr>
            <w:r>
              <w:rPr>
                <w:sz w:val="19"/>
              </w:rPr>
              <w:t>Campeche</w:t>
            </w:r>
          </w:p>
        </w:tc>
        <w:tc>
          <w:tcPr>
            <w:tcW w:w="914" w:type="dxa"/>
          </w:tcPr>
          <w:p>
            <w:pPr>
              <w:pStyle w:val="TableParagraph"/>
              <w:spacing w:before="12"/>
              <w:ind w:right="71"/>
              <w:rPr>
                <w:sz w:val="19"/>
              </w:rPr>
            </w:pPr>
            <w:r>
              <w:rPr>
                <w:w w:val="99"/>
                <w:sz w:val="19"/>
              </w:rPr>
              <w:t>0</w:t>
            </w:r>
          </w:p>
        </w:tc>
        <w:tc>
          <w:tcPr>
            <w:tcW w:w="950" w:type="dxa"/>
          </w:tcPr>
          <w:p>
            <w:pPr>
              <w:pStyle w:val="TableParagraph"/>
              <w:spacing w:before="12"/>
              <w:ind w:right="67"/>
              <w:rPr>
                <w:sz w:val="19"/>
              </w:rPr>
            </w:pPr>
            <w:r>
              <w:rPr>
                <w:sz w:val="19"/>
              </w:rPr>
              <w:t>0.00</w:t>
            </w:r>
          </w:p>
        </w:tc>
        <w:tc>
          <w:tcPr>
            <w:tcW w:w="1409" w:type="dxa"/>
          </w:tcPr>
          <w:p>
            <w:pPr>
              <w:pStyle w:val="TableParagraph"/>
              <w:spacing w:before="12"/>
              <w:ind w:left="67"/>
              <w:jc w:val="left"/>
              <w:rPr>
                <w:sz w:val="19"/>
              </w:rPr>
            </w:pPr>
            <w:r>
              <w:rPr>
                <w:sz w:val="19"/>
              </w:rPr>
              <w:t>Querétaro</w:t>
            </w:r>
          </w:p>
        </w:tc>
        <w:tc>
          <w:tcPr>
            <w:tcW w:w="907" w:type="dxa"/>
          </w:tcPr>
          <w:p>
            <w:pPr>
              <w:pStyle w:val="TableParagraph"/>
              <w:spacing w:before="12"/>
              <w:ind w:right="69"/>
              <w:rPr>
                <w:sz w:val="19"/>
              </w:rPr>
            </w:pPr>
            <w:r>
              <w:rPr>
                <w:sz w:val="19"/>
              </w:rPr>
              <w:t>47</w:t>
            </w:r>
          </w:p>
        </w:tc>
        <w:tc>
          <w:tcPr>
            <w:tcW w:w="949" w:type="dxa"/>
          </w:tcPr>
          <w:p>
            <w:pPr>
              <w:pStyle w:val="TableParagraph"/>
              <w:spacing w:before="12"/>
              <w:ind w:right="64"/>
              <w:rPr>
                <w:sz w:val="19"/>
              </w:rPr>
            </w:pPr>
            <w:r>
              <w:rPr>
                <w:sz w:val="19"/>
              </w:rPr>
              <w:t>0.11</w:t>
            </w:r>
          </w:p>
        </w:tc>
      </w:tr>
      <w:tr>
        <w:trPr>
          <w:trHeight w:val="254" w:hRule="exact"/>
        </w:trPr>
        <w:tc>
          <w:tcPr>
            <w:tcW w:w="1391" w:type="dxa"/>
          </w:tcPr>
          <w:p>
            <w:pPr>
              <w:pStyle w:val="TableParagraph"/>
              <w:spacing w:before="9"/>
              <w:ind w:left="43"/>
              <w:jc w:val="left"/>
              <w:rPr>
                <w:sz w:val="19"/>
              </w:rPr>
            </w:pPr>
            <w:r>
              <w:rPr>
                <w:sz w:val="19"/>
              </w:rPr>
              <w:t>Colima</w:t>
            </w:r>
          </w:p>
        </w:tc>
        <w:tc>
          <w:tcPr>
            <w:tcW w:w="914" w:type="dxa"/>
          </w:tcPr>
          <w:p>
            <w:pPr>
              <w:pStyle w:val="TableParagraph"/>
              <w:spacing w:before="9"/>
              <w:ind w:right="71"/>
              <w:rPr>
                <w:sz w:val="19"/>
              </w:rPr>
            </w:pPr>
            <w:r>
              <w:rPr>
                <w:w w:val="99"/>
                <w:sz w:val="19"/>
              </w:rPr>
              <w:t>0</w:t>
            </w:r>
          </w:p>
        </w:tc>
        <w:tc>
          <w:tcPr>
            <w:tcW w:w="950" w:type="dxa"/>
          </w:tcPr>
          <w:p>
            <w:pPr>
              <w:pStyle w:val="TableParagraph"/>
              <w:spacing w:before="9"/>
              <w:ind w:right="67"/>
              <w:rPr>
                <w:sz w:val="19"/>
              </w:rPr>
            </w:pPr>
            <w:r>
              <w:rPr>
                <w:sz w:val="19"/>
              </w:rPr>
              <w:t>0.00</w:t>
            </w:r>
          </w:p>
        </w:tc>
        <w:tc>
          <w:tcPr>
            <w:tcW w:w="1409" w:type="dxa"/>
          </w:tcPr>
          <w:p>
            <w:pPr>
              <w:pStyle w:val="TableParagraph"/>
              <w:spacing w:before="9"/>
              <w:ind w:left="67"/>
              <w:jc w:val="left"/>
              <w:rPr>
                <w:sz w:val="19"/>
              </w:rPr>
            </w:pPr>
            <w:r>
              <w:rPr>
                <w:sz w:val="19"/>
              </w:rPr>
              <w:t>Aguascalientes</w:t>
            </w:r>
          </w:p>
        </w:tc>
        <w:tc>
          <w:tcPr>
            <w:tcW w:w="907" w:type="dxa"/>
          </w:tcPr>
          <w:p>
            <w:pPr>
              <w:pStyle w:val="TableParagraph"/>
              <w:spacing w:before="9"/>
              <w:ind w:right="69"/>
              <w:rPr>
                <w:sz w:val="19"/>
              </w:rPr>
            </w:pPr>
            <w:r>
              <w:rPr>
                <w:sz w:val="19"/>
              </w:rPr>
              <w:t>29</w:t>
            </w:r>
          </w:p>
        </w:tc>
        <w:tc>
          <w:tcPr>
            <w:tcW w:w="949" w:type="dxa"/>
          </w:tcPr>
          <w:p>
            <w:pPr>
              <w:pStyle w:val="TableParagraph"/>
              <w:spacing w:before="9"/>
              <w:ind w:right="64"/>
              <w:rPr>
                <w:sz w:val="19"/>
              </w:rPr>
            </w:pPr>
            <w:r>
              <w:rPr>
                <w:sz w:val="19"/>
              </w:rPr>
              <w:t>0.07</w:t>
            </w:r>
          </w:p>
        </w:tc>
      </w:tr>
      <w:tr>
        <w:trPr>
          <w:trHeight w:val="254" w:hRule="exact"/>
        </w:trPr>
        <w:tc>
          <w:tcPr>
            <w:tcW w:w="1391" w:type="dxa"/>
          </w:tcPr>
          <w:p>
            <w:pPr>
              <w:pStyle w:val="TableParagraph"/>
              <w:spacing w:before="9"/>
              <w:ind w:left="43"/>
              <w:jc w:val="left"/>
              <w:rPr>
                <w:sz w:val="19"/>
              </w:rPr>
            </w:pPr>
            <w:r>
              <w:rPr>
                <w:sz w:val="19"/>
              </w:rPr>
              <w:t>Quintana Roo</w:t>
            </w:r>
          </w:p>
        </w:tc>
        <w:tc>
          <w:tcPr>
            <w:tcW w:w="914" w:type="dxa"/>
          </w:tcPr>
          <w:p>
            <w:pPr>
              <w:pStyle w:val="TableParagraph"/>
              <w:spacing w:before="9"/>
              <w:ind w:right="71"/>
              <w:rPr>
                <w:sz w:val="19"/>
              </w:rPr>
            </w:pPr>
            <w:r>
              <w:rPr>
                <w:w w:val="99"/>
                <w:sz w:val="19"/>
              </w:rPr>
              <w:t>0</w:t>
            </w:r>
          </w:p>
        </w:tc>
        <w:tc>
          <w:tcPr>
            <w:tcW w:w="950" w:type="dxa"/>
          </w:tcPr>
          <w:p>
            <w:pPr>
              <w:pStyle w:val="TableParagraph"/>
              <w:spacing w:before="9"/>
              <w:ind w:right="67"/>
              <w:rPr>
                <w:sz w:val="19"/>
              </w:rPr>
            </w:pPr>
            <w:r>
              <w:rPr>
                <w:sz w:val="19"/>
              </w:rPr>
              <w:t>0.00</w:t>
            </w:r>
          </w:p>
        </w:tc>
        <w:tc>
          <w:tcPr>
            <w:tcW w:w="1409" w:type="dxa"/>
          </w:tcPr>
          <w:p>
            <w:pPr>
              <w:pStyle w:val="TableParagraph"/>
              <w:spacing w:before="9"/>
              <w:ind w:left="67"/>
              <w:jc w:val="left"/>
              <w:rPr>
                <w:sz w:val="19"/>
              </w:rPr>
            </w:pPr>
            <w:r>
              <w:rPr>
                <w:sz w:val="19"/>
              </w:rPr>
              <w:t>Quintana Roo</w:t>
            </w:r>
          </w:p>
        </w:tc>
        <w:tc>
          <w:tcPr>
            <w:tcW w:w="907" w:type="dxa"/>
          </w:tcPr>
          <w:p>
            <w:pPr>
              <w:pStyle w:val="TableParagraph"/>
              <w:spacing w:before="9"/>
              <w:ind w:right="69"/>
              <w:rPr>
                <w:sz w:val="19"/>
              </w:rPr>
            </w:pPr>
            <w:r>
              <w:rPr>
                <w:sz w:val="19"/>
              </w:rPr>
              <w:t>13</w:t>
            </w:r>
          </w:p>
        </w:tc>
        <w:tc>
          <w:tcPr>
            <w:tcW w:w="949" w:type="dxa"/>
          </w:tcPr>
          <w:p>
            <w:pPr>
              <w:pStyle w:val="TableParagraph"/>
              <w:spacing w:before="9"/>
              <w:ind w:right="64"/>
              <w:rPr>
                <w:sz w:val="19"/>
              </w:rPr>
            </w:pPr>
            <w:r>
              <w:rPr>
                <w:sz w:val="19"/>
              </w:rPr>
              <w:t>0.03</w:t>
            </w:r>
          </w:p>
        </w:tc>
      </w:tr>
      <w:tr>
        <w:trPr>
          <w:trHeight w:val="254" w:hRule="exact"/>
        </w:trPr>
        <w:tc>
          <w:tcPr>
            <w:tcW w:w="1391" w:type="dxa"/>
          </w:tcPr>
          <w:p>
            <w:pPr>
              <w:pStyle w:val="TableParagraph"/>
              <w:spacing w:before="9"/>
              <w:ind w:left="43"/>
              <w:jc w:val="left"/>
              <w:rPr>
                <w:sz w:val="19"/>
              </w:rPr>
            </w:pPr>
            <w:r>
              <w:rPr>
                <w:sz w:val="19"/>
              </w:rPr>
              <w:t>Tabasco</w:t>
            </w:r>
          </w:p>
        </w:tc>
        <w:tc>
          <w:tcPr>
            <w:tcW w:w="914" w:type="dxa"/>
          </w:tcPr>
          <w:p>
            <w:pPr>
              <w:pStyle w:val="TableParagraph"/>
              <w:spacing w:before="9"/>
              <w:ind w:right="71"/>
              <w:rPr>
                <w:sz w:val="19"/>
              </w:rPr>
            </w:pPr>
            <w:r>
              <w:rPr>
                <w:w w:val="99"/>
                <w:sz w:val="19"/>
              </w:rPr>
              <w:t>0</w:t>
            </w:r>
          </w:p>
        </w:tc>
        <w:tc>
          <w:tcPr>
            <w:tcW w:w="950" w:type="dxa"/>
          </w:tcPr>
          <w:p>
            <w:pPr>
              <w:pStyle w:val="TableParagraph"/>
              <w:spacing w:before="9"/>
              <w:ind w:right="67"/>
              <w:rPr>
                <w:sz w:val="19"/>
              </w:rPr>
            </w:pPr>
            <w:r>
              <w:rPr>
                <w:sz w:val="19"/>
              </w:rPr>
              <w:t>0.00</w:t>
            </w:r>
          </w:p>
        </w:tc>
        <w:tc>
          <w:tcPr>
            <w:tcW w:w="1409" w:type="dxa"/>
          </w:tcPr>
          <w:p>
            <w:pPr>
              <w:pStyle w:val="TableParagraph"/>
              <w:spacing w:before="9"/>
              <w:ind w:left="67"/>
              <w:jc w:val="left"/>
              <w:rPr>
                <w:sz w:val="19"/>
              </w:rPr>
            </w:pPr>
            <w:r>
              <w:rPr>
                <w:sz w:val="19"/>
              </w:rPr>
              <w:t>Baja Cal. Sur</w:t>
            </w:r>
          </w:p>
        </w:tc>
        <w:tc>
          <w:tcPr>
            <w:tcW w:w="907" w:type="dxa"/>
          </w:tcPr>
          <w:p>
            <w:pPr>
              <w:pStyle w:val="TableParagraph"/>
              <w:spacing w:before="9"/>
              <w:ind w:right="71"/>
              <w:rPr>
                <w:sz w:val="19"/>
              </w:rPr>
            </w:pPr>
            <w:r>
              <w:rPr>
                <w:w w:val="99"/>
                <w:sz w:val="19"/>
              </w:rPr>
              <w:t>0</w:t>
            </w:r>
          </w:p>
        </w:tc>
        <w:tc>
          <w:tcPr>
            <w:tcW w:w="949" w:type="dxa"/>
          </w:tcPr>
          <w:p>
            <w:pPr>
              <w:pStyle w:val="TableParagraph"/>
              <w:spacing w:before="9"/>
              <w:ind w:right="64"/>
              <w:rPr>
                <w:sz w:val="19"/>
              </w:rPr>
            </w:pPr>
            <w:r>
              <w:rPr>
                <w:sz w:val="19"/>
              </w:rPr>
              <w:t>0.00</w:t>
            </w:r>
          </w:p>
        </w:tc>
      </w:tr>
      <w:tr>
        <w:trPr>
          <w:trHeight w:val="262" w:hRule="exact"/>
        </w:trPr>
        <w:tc>
          <w:tcPr>
            <w:tcW w:w="1391" w:type="dxa"/>
          </w:tcPr>
          <w:p>
            <w:pPr>
              <w:pStyle w:val="TableParagraph"/>
              <w:spacing w:before="9"/>
              <w:ind w:left="43"/>
              <w:jc w:val="left"/>
              <w:rPr>
                <w:sz w:val="19"/>
              </w:rPr>
            </w:pPr>
            <w:r>
              <w:rPr>
                <w:sz w:val="19"/>
              </w:rPr>
              <w:t>Tlaxcala</w:t>
            </w:r>
          </w:p>
        </w:tc>
        <w:tc>
          <w:tcPr>
            <w:tcW w:w="914" w:type="dxa"/>
          </w:tcPr>
          <w:p>
            <w:pPr>
              <w:pStyle w:val="TableParagraph"/>
              <w:spacing w:before="9"/>
              <w:ind w:right="71"/>
              <w:rPr>
                <w:sz w:val="19"/>
              </w:rPr>
            </w:pPr>
            <w:r>
              <w:rPr>
                <w:w w:val="99"/>
                <w:sz w:val="19"/>
              </w:rPr>
              <w:t>0</w:t>
            </w:r>
          </w:p>
        </w:tc>
        <w:tc>
          <w:tcPr>
            <w:tcW w:w="950" w:type="dxa"/>
          </w:tcPr>
          <w:p>
            <w:pPr>
              <w:pStyle w:val="TableParagraph"/>
              <w:spacing w:before="9"/>
              <w:ind w:right="67"/>
              <w:rPr>
                <w:sz w:val="19"/>
              </w:rPr>
            </w:pPr>
            <w:r>
              <w:rPr>
                <w:sz w:val="19"/>
              </w:rPr>
              <w:t>0.00</w:t>
            </w:r>
          </w:p>
        </w:tc>
        <w:tc>
          <w:tcPr>
            <w:tcW w:w="1409" w:type="dxa"/>
          </w:tcPr>
          <w:p>
            <w:pPr>
              <w:pStyle w:val="TableParagraph"/>
              <w:spacing w:before="9"/>
              <w:ind w:left="67"/>
              <w:jc w:val="left"/>
              <w:rPr>
                <w:sz w:val="19"/>
              </w:rPr>
            </w:pPr>
            <w:r>
              <w:rPr>
                <w:sz w:val="19"/>
              </w:rPr>
              <w:t>Campeche</w:t>
            </w:r>
          </w:p>
        </w:tc>
        <w:tc>
          <w:tcPr>
            <w:tcW w:w="907" w:type="dxa"/>
          </w:tcPr>
          <w:p>
            <w:pPr>
              <w:pStyle w:val="TableParagraph"/>
              <w:spacing w:before="9"/>
              <w:ind w:right="71"/>
              <w:rPr>
                <w:sz w:val="19"/>
              </w:rPr>
            </w:pPr>
            <w:r>
              <w:rPr>
                <w:w w:val="99"/>
                <w:sz w:val="19"/>
              </w:rPr>
              <w:t>0</w:t>
            </w:r>
          </w:p>
        </w:tc>
        <w:tc>
          <w:tcPr>
            <w:tcW w:w="949" w:type="dxa"/>
          </w:tcPr>
          <w:p>
            <w:pPr>
              <w:pStyle w:val="TableParagraph"/>
              <w:spacing w:before="9"/>
              <w:ind w:right="64"/>
              <w:rPr>
                <w:sz w:val="19"/>
              </w:rPr>
            </w:pPr>
            <w:r>
              <w:rPr>
                <w:sz w:val="19"/>
              </w:rPr>
              <w:t>0.00</w:t>
            </w:r>
          </w:p>
        </w:tc>
      </w:tr>
      <w:tr>
        <w:trPr>
          <w:trHeight w:val="264" w:hRule="exact"/>
        </w:trPr>
        <w:tc>
          <w:tcPr>
            <w:tcW w:w="1391" w:type="dxa"/>
            <w:tcBorders>
              <w:bottom w:val="double" w:sz="6" w:space="0" w:color="000000"/>
            </w:tcBorders>
          </w:tcPr>
          <w:p>
            <w:pPr>
              <w:pStyle w:val="TableParagraph"/>
              <w:spacing w:before="17"/>
              <w:ind w:left="43"/>
              <w:jc w:val="left"/>
              <w:rPr>
                <w:sz w:val="19"/>
              </w:rPr>
            </w:pPr>
            <w:r>
              <w:rPr>
                <w:sz w:val="19"/>
              </w:rPr>
              <w:t>Total</w:t>
            </w:r>
          </w:p>
        </w:tc>
        <w:tc>
          <w:tcPr>
            <w:tcW w:w="914" w:type="dxa"/>
            <w:tcBorders>
              <w:bottom w:val="double" w:sz="6" w:space="0" w:color="000000"/>
            </w:tcBorders>
          </w:tcPr>
          <w:p>
            <w:pPr>
              <w:pStyle w:val="TableParagraph"/>
              <w:spacing w:before="17"/>
              <w:ind w:right="69"/>
              <w:rPr>
                <w:sz w:val="19"/>
              </w:rPr>
            </w:pPr>
            <w:r>
              <w:rPr>
                <w:sz w:val="19"/>
              </w:rPr>
              <w:t>31 507</w:t>
            </w:r>
          </w:p>
        </w:tc>
        <w:tc>
          <w:tcPr>
            <w:tcW w:w="950" w:type="dxa"/>
            <w:tcBorders>
              <w:bottom w:val="double" w:sz="6" w:space="0" w:color="000000"/>
            </w:tcBorders>
          </w:tcPr>
          <w:p>
            <w:pPr>
              <w:pStyle w:val="TableParagraph"/>
              <w:spacing w:before="17"/>
              <w:ind w:right="66"/>
              <w:rPr>
                <w:sz w:val="19"/>
              </w:rPr>
            </w:pPr>
            <w:r>
              <w:rPr>
                <w:sz w:val="19"/>
              </w:rPr>
              <w:t>100.00</w:t>
            </w:r>
          </w:p>
        </w:tc>
        <w:tc>
          <w:tcPr>
            <w:tcW w:w="1409" w:type="dxa"/>
            <w:tcBorders>
              <w:bottom w:val="double" w:sz="6" w:space="0" w:color="000000"/>
            </w:tcBorders>
          </w:tcPr>
          <w:p>
            <w:pPr/>
          </w:p>
        </w:tc>
        <w:tc>
          <w:tcPr>
            <w:tcW w:w="907" w:type="dxa"/>
            <w:tcBorders>
              <w:bottom w:val="double" w:sz="6" w:space="0" w:color="000000"/>
            </w:tcBorders>
          </w:tcPr>
          <w:p>
            <w:pPr>
              <w:pStyle w:val="TableParagraph"/>
              <w:spacing w:before="17"/>
              <w:ind w:right="69"/>
              <w:rPr>
                <w:sz w:val="19"/>
              </w:rPr>
            </w:pPr>
            <w:r>
              <w:rPr>
                <w:sz w:val="19"/>
              </w:rPr>
              <w:t>42 237</w:t>
            </w:r>
          </w:p>
        </w:tc>
        <w:tc>
          <w:tcPr>
            <w:tcW w:w="949" w:type="dxa"/>
            <w:tcBorders>
              <w:bottom w:val="double" w:sz="6" w:space="0" w:color="000000"/>
            </w:tcBorders>
          </w:tcPr>
          <w:p>
            <w:pPr>
              <w:pStyle w:val="TableParagraph"/>
              <w:spacing w:before="17"/>
              <w:ind w:right="64"/>
              <w:rPr>
                <w:sz w:val="19"/>
              </w:rPr>
            </w:pPr>
            <w:r>
              <w:rPr>
                <w:sz w:val="19"/>
              </w:rPr>
              <w:t>100.00</w:t>
            </w:r>
          </w:p>
        </w:tc>
      </w:tr>
    </w:tbl>
    <w:p>
      <w:pPr>
        <w:spacing w:line="166" w:lineRule="exact" w:before="0"/>
        <w:ind w:left="160" w:right="117" w:firstLine="0"/>
        <w:jc w:val="left"/>
        <w:rPr>
          <w:sz w:val="16"/>
        </w:rPr>
      </w:pPr>
      <w:r>
        <w:rPr>
          <w:sz w:val="16"/>
        </w:rPr>
        <w:t>Fuente: Encuesta sobre Migración en la Frontera Norte de México, 2000-2009, El Colegio de la</w:t>
      </w:r>
    </w:p>
    <w:p>
      <w:pPr>
        <w:spacing w:line="183" w:lineRule="exact" w:before="0"/>
        <w:ind w:left="160" w:right="0" w:firstLine="0"/>
        <w:jc w:val="left"/>
        <w:rPr>
          <w:sz w:val="16"/>
        </w:rPr>
      </w:pPr>
      <w:r>
        <w:rPr>
          <w:sz w:val="16"/>
        </w:rPr>
        <w:t>Frontera Norte, El Consejo Nacional de Población y la Secretaría del Trabajo y de la Previsión Social.</w:t>
      </w:r>
    </w:p>
    <w:p>
      <w:pPr>
        <w:spacing w:after="0" w:line="183" w:lineRule="exact"/>
        <w:jc w:val="left"/>
        <w:rPr>
          <w:sz w:val="16"/>
        </w:rPr>
        <w:sectPr>
          <w:pgSz w:w="9360" w:h="13040"/>
          <w:pgMar w:header="0" w:footer="496" w:top="740" w:bottom="680" w:left="1300" w:right="1300"/>
        </w:sectPr>
      </w:pPr>
    </w:p>
    <w:p>
      <w:pPr>
        <w:tabs>
          <w:tab w:pos="5536" w:val="left" w:leader="none"/>
        </w:tabs>
        <w:spacing w:before="48"/>
        <w:ind w:left="400" w:right="117" w:hanging="295"/>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firstLine="283"/>
        <w:jc w:val="both"/>
      </w:pPr>
      <w:r>
        <w:rPr>
          <w:color w:val="231F20"/>
        </w:rPr>
        <w:t>Zumpango también aparece como proveedor de migrantes a la Unión Americana,</w:t>
      </w:r>
      <w:r>
        <w:rPr>
          <w:color w:val="231F20"/>
          <w:spacing w:val="-9"/>
        </w:rPr>
        <w:t> </w:t>
      </w:r>
      <w:r>
        <w:rPr>
          <w:color w:val="231F20"/>
        </w:rPr>
        <w:t>en</w:t>
      </w:r>
      <w:r>
        <w:rPr>
          <w:color w:val="231F20"/>
          <w:spacing w:val="-10"/>
        </w:rPr>
        <w:t> </w:t>
      </w:r>
      <w:r>
        <w:rPr>
          <w:color w:val="231F20"/>
        </w:rPr>
        <w:t>tanto</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no</w:t>
      </w:r>
      <w:r>
        <w:rPr>
          <w:color w:val="231F20"/>
          <w:spacing w:val="-10"/>
        </w:rPr>
        <w:t> </w:t>
      </w:r>
      <w:r>
        <w:rPr>
          <w:color w:val="231F20"/>
        </w:rPr>
        <w:t>indígenas</w:t>
      </w:r>
      <w:r>
        <w:rPr>
          <w:color w:val="231F20"/>
          <w:spacing w:val="-11"/>
        </w:rPr>
        <w:t> </w:t>
      </w:r>
      <w:r>
        <w:rPr>
          <w:color w:val="231F20"/>
        </w:rPr>
        <w:t>destacan</w:t>
      </w:r>
      <w:r>
        <w:rPr>
          <w:color w:val="231F20"/>
          <w:spacing w:val="-10"/>
        </w:rPr>
        <w:t> </w:t>
      </w:r>
      <w:r>
        <w:rPr>
          <w:color w:val="231F20"/>
        </w:rPr>
        <w:t>las</w:t>
      </w:r>
      <w:r>
        <w:rPr>
          <w:color w:val="231F20"/>
          <w:spacing w:val="-10"/>
        </w:rPr>
        <w:t> </w:t>
      </w:r>
      <w:r>
        <w:rPr>
          <w:color w:val="231F20"/>
        </w:rPr>
        <w:t>regiones</w:t>
      </w:r>
      <w:r>
        <w:rPr>
          <w:color w:val="231F20"/>
          <w:spacing w:val="-10"/>
        </w:rPr>
        <w:t> </w:t>
      </w:r>
      <w:r>
        <w:rPr>
          <w:color w:val="231F20"/>
        </w:rPr>
        <w:t>conurbadas a</w:t>
      </w:r>
      <w:r>
        <w:rPr>
          <w:color w:val="231F20"/>
          <w:spacing w:val="-3"/>
        </w:rPr>
        <w:t> </w:t>
      </w:r>
      <w:r>
        <w:rPr>
          <w:color w:val="231F20"/>
        </w:rPr>
        <w:t>la</w:t>
      </w:r>
      <w:r>
        <w:rPr>
          <w:color w:val="231F20"/>
          <w:spacing w:val="-3"/>
        </w:rPr>
        <w:t> </w:t>
      </w:r>
      <w:r>
        <w:rPr>
          <w:color w:val="231F20"/>
        </w:rPr>
        <w:t>Ciudad</w:t>
      </w:r>
      <w:r>
        <w:rPr>
          <w:color w:val="231F20"/>
          <w:spacing w:val="-3"/>
        </w:rPr>
        <w:t> </w:t>
      </w:r>
      <w:r>
        <w:rPr>
          <w:color w:val="231F20"/>
        </w:rPr>
        <w:t>de</w:t>
      </w:r>
      <w:r>
        <w:rPr>
          <w:color w:val="231F20"/>
          <w:spacing w:val="-3"/>
        </w:rPr>
        <w:t> </w:t>
      </w:r>
      <w:r>
        <w:rPr>
          <w:color w:val="231F20"/>
        </w:rPr>
        <w:t>México</w:t>
      </w:r>
      <w:r>
        <w:rPr>
          <w:color w:val="231F20"/>
          <w:spacing w:val="-3"/>
        </w:rPr>
        <w:t> </w:t>
      </w:r>
      <w:r>
        <w:rPr>
          <w:color w:val="231F20"/>
        </w:rPr>
        <w:t>y</w:t>
      </w:r>
      <w:r>
        <w:rPr>
          <w:color w:val="231F20"/>
          <w:spacing w:val="-7"/>
        </w:rPr>
        <w:t> </w:t>
      </w:r>
      <w:r>
        <w:rPr>
          <w:color w:val="231F20"/>
          <w:spacing w:val="-3"/>
        </w:rPr>
        <w:t>Toluca. </w:t>
      </w:r>
      <w:r>
        <w:rPr>
          <w:color w:val="231F20"/>
        </w:rPr>
        <w:t>En</w:t>
      </w:r>
      <w:r>
        <w:rPr>
          <w:color w:val="231F20"/>
          <w:spacing w:val="-3"/>
        </w:rPr>
        <w:t> </w:t>
      </w:r>
      <w:r>
        <w:rPr>
          <w:color w:val="231F20"/>
        </w:rPr>
        <w:t>tanto</w:t>
      </w:r>
      <w:r>
        <w:rPr>
          <w:color w:val="231F20"/>
          <w:spacing w:val="-4"/>
        </w:rPr>
        <w:t> </w:t>
      </w:r>
      <w:r>
        <w:rPr>
          <w:color w:val="231F20"/>
        </w:rPr>
        <w:t>que</w:t>
      </w:r>
      <w:r>
        <w:rPr>
          <w:color w:val="231F20"/>
          <w:spacing w:val="-3"/>
        </w:rPr>
        <w:t> </w:t>
      </w:r>
      <w:r>
        <w:rPr>
          <w:color w:val="231F20"/>
        </w:rPr>
        <w:t>las</w:t>
      </w:r>
      <w:r>
        <w:rPr>
          <w:color w:val="231F20"/>
          <w:spacing w:val="-3"/>
        </w:rPr>
        <w:t> </w:t>
      </w:r>
      <w:r>
        <w:rPr>
          <w:color w:val="231F20"/>
        </w:rPr>
        <w:t>otras</w:t>
      </w:r>
      <w:r>
        <w:rPr>
          <w:color w:val="231F20"/>
          <w:spacing w:val="-3"/>
        </w:rPr>
        <w:t> </w:t>
      </w:r>
      <w:r>
        <w:rPr>
          <w:color w:val="231F20"/>
        </w:rPr>
        <w:t>regiones</w:t>
      </w:r>
      <w:r>
        <w:rPr>
          <w:color w:val="231F20"/>
          <w:spacing w:val="-3"/>
        </w:rPr>
        <w:t> </w:t>
      </w:r>
      <w:r>
        <w:rPr>
          <w:color w:val="231F20"/>
        </w:rPr>
        <w:t>recibieron 15</w:t>
      </w:r>
      <w:r>
        <w:rPr>
          <w:color w:val="231F20"/>
          <w:spacing w:val="-6"/>
        </w:rPr>
        <w:t> </w:t>
      </w:r>
      <w:r>
        <w:rPr>
          <w:color w:val="231F20"/>
        </w:rPr>
        <w:t>por</w:t>
      </w:r>
      <w:r>
        <w:rPr>
          <w:color w:val="231F20"/>
          <w:spacing w:val="-6"/>
        </w:rPr>
        <w:t> </w:t>
      </w:r>
      <w:r>
        <w:rPr>
          <w:color w:val="231F20"/>
        </w:rPr>
        <w:t>ciento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retornados</w:t>
      </w:r>
      <w:r>
        <w:rPr>
          <w:color w:val="231F20"/>
          <w:spacing w:val="-5"/>
        </w:rPr>
        <w:t> </w:t>
      </w:r>
      <w:r>
        <w:rPr>
          <w:color w:val="231F20"/>
        </w:rPr>
        <w:t>no</w:t>
      </w:r>
      <w:r>
        <w:rPr>
          <w:color w:val="231F20"/>
          <w:spacing w:val="-6"/>
        </w:rPr>
        <w:t> </w:t>
      </w:r>
      <w:r>
        <w:rPr>
          <w:color w:val="231F20"/>
        </w:rPr>
        <w:t>indígenas</w:t>
      </w:r>
      <w:r>
        <w:rPr>
          <w:color w:val="231F20"/>
          <w:spacing w:val="-6"/>
        </w:rPr>
        <w:t> </w:t>
      </w:r>
      <w:r>
        <w:rPr>
          <w:color w:val="231F20"/>
        </w:rPr>
        <w:t>(véase</w:t>
      </w:r>
      <w:r>
        <w:rPr>
          <w:color w:val="231F20"/>
          <w:spacing w:val="-5"/>
        </w:rPr>
        <w:t> </w:t>
      </w:r>
      <w:r>
        <w:rPr>
          <w:color w:val="231F20"/>
        </w:rPr>
        <w:t>Cuadro</w:t>
      </w:r>
      <w:r>
        <w:rPr>
          <w:color w:val="231F20"/>
          <w:spacing w:val="-6"/>
        </w:rPr>
        <w:t> </w:t>
      </w:r>
      <w:r>
        <w:rPr>
          <w:color w:val="231F20"/>
        </w:rPr>
        <w:t>5).</w:t>
      </w:r>
      <w:r>
        <w:rPr>
          <w:color w:val="231F20"/>
          <w:spacing w:val="-6"/>
        </w:rPr>
        <w:t> </w:t>
      </w:r>
      <w:r>
        <w:rPr>
          <w:color w:val="231F20"/>
        </w:rPr>
        <w:t>Esto</w:t>
      </w:r>
      <w:r>
        <w:rPr>
          <w:color w:val="231F20"/>
          <w:spacing w:val="-6"/>
        </w:rPr>
        <w:t> </w:t>
      </w:r>
      <w:r>
        <w:rPr>
          <w:color w:val="231F20"/>
        </w:rPr>
        <w:t>parece ser coincidente porque en el año 2000 hay una mayor presencia de indíge- nas cuya localidad es urbana y para 2009, ésta se niveló a la mitad con la de procedencia rural y la otra urbana.</w:t>
      </w:r>
    </w:p>
    <w:p>
      <w:pPr>
        <w:pStyle w:val="BodyText"/>
        <w:spacing w:line="247" w:lineRule="auto"/>
        <w:ind w:left="117" w:right="114" w:firstLine="283"/>
        <w:jc w:val="both"/>
      </w:pPr>
      <w:r>
        <w:rPr>
          <w:color w:val="231F20"/>
        </w:rPr>
        <w:t>Por otra parte, cabe destacar que en relación a los lugares de destino</w:t>
      </w:r>
      <w:r>
        <w:rPr>
          <w:color w:val="231F20"/>
          <w:spacing w:val="-28"/>
        </w:rPr>
        <w:t> </w:t>
      </w:r>
      <w:r>
        <w:rPr>
          <w:color w:val="231F20"/>
        </w:rPr>
        <w:t>de los migrantes indígenas laborales en Estados Unidos, se observa en 2000 un patrón concentrado hacia los estados del Oeste y en 2009 se diversifi- can sus destinos, tanto para indígenas como para no indígenas migrantes temporales.</w:t>
      </w:r>
      <w:r>
        <w:rPr>
          <w:color w:val="231F20"/>
          <w:spacing w:val="-6"/>
        </w:rPr>
        <w:t> </w:t>
      </w:r>
      <w:r>
        <w:rPr>
          <w:color w:val="231F20"/>
        </w:rPr>
        <w:t>Destacan</w:t>
      </w:r>
      <w:r>
        <w:rPr>
          <w:color w:val="231F20"/>
          <w:spacing w:val="-5"/>
        </w:rPr>
        <w:t> </w:t>
      </w:r>
      <w:r>
        <w:rPr>
          <w:color w:val="231F20"/>
        </w:rPr>
        <w:t>las</w:t>
      </w:r>
      <w:r>
        <w:rPr>
          <w:color w:val="231F20"/>
          <w:spacing w:val="-6"/>
        </w:rPr>
        <w:t> </w:t>
      </w:r>
      <w:r>
        <w:rPr>
          <w:color w:val="231F20"/>
        </w:rPr>
        <w:t>regiones</w:t>
      </w:r>
      <w:r>
        <w:rPr>
          <w:color w:val="231F20"/>
          <w:spacing w:val="-5"/>
        </w:rPr>
        <w:t> </w:t>
      </w:r>
      <w:r>
        <w:rPr>
          <w:color w:val="231F20"/>
        </w:rPr>
        <w:t>del</w:t>
      </w:r>
      <w:r>
        <w:rPr>
          <w:color w:val="231F20"/>
          <w:spacing w:val="-5"/>
        </w:rPr>
        <w:t> </w:t>
      </w:r>
      <w:r>
        <w:rPr>
          <w:color w:val="231F20"/>
          <w:spacing w:val="-3"/>
        </w:rPr>
        <w:t>Sur,</w:t>
      </w:r>
      <w:r>
        <w:rPr>
          <w:color w:val="231F20"/>
          <w:spacing w:val="-6"/>
        </w:rPr>
        <w:t> </w:t>
      </w:r>
      <w:r>
        <w:rPr>
          <w:color w:val="231F20"/>
        </w:rPr>
        <w:t>Medio</w:t>
      </w:r>
      <w:r>
        <w:rPr>
          <w:color w:val="231F20"/>
          <w:spacing w:val="-5"/>
        </w:rPr>
        <w:t> </w:t>
      </w:r>
      <w:r>
        <w:rPr>
          <w:color w:val="231F20"/>
        </w:rPr>
        <w:t>Oeste,</w:t>
      </w:r>
      <w:r>
        <w:rPr>
          <w:color w:val="231F20"/>
          <w:spacing w:val="-5"/>
        </w:rPr>
        <w:t> </w:t>
      </w:r>
      <w:r>
        <w:rPr>
          <w:color w:val="231F20"/>
        </w:rPr>
        <w:t>Oeste</w:t>
      </w:r>
      <w:r>
        <w:rPr>
          <w:color w:val="231F20"/>
          <w:spacing w:val="-5"/>
        </w:rPr>
        <w:t> </w:t>
      </w:r>
      <w:r>
        <w:rPr>
          <w:color w:val="231F20"/>
        </w:rPr>
        <w:t>y</w:t>
      </w:r>
      <w:r>
        <w:rPr>
          <w:color w:val="231F20"/>
          <w:spacing w:val="-6"/>
        </w:rPr>
        <w:t> </w:t>
      </w:r>
      <w:r>
        <w:rPr>
          <w:color w:val="231F20"/>
        </w:rPr>
        <w:t>en</w:t>
      </w:r>
      <w:r>
        <w:rPr>
          <w:color w:val="231F20"/>
          <w:spacing w:val="-6"/>
        </w:rPr>
        <w:t> </w:t>
      </w:r>
      <w:r>
        <w:rPr>
          <w:color w:val="231F20"/>
        </w:rPr>
        <w:t>menor medida la región este (véase Cuadro</w:t>
      </w:r>
      <w:r>
        <w:rPr>
          <w:color w:val="231F20"/>
          <w:spacing w:val="-2"/>
        </w:rPr>
        <w:t> </w:t>
      </w:r>
      <w:r>
        <w:rPr>
          <w:color w:val="231F20"/>
        </w:rPr>
        <w:t>5).</w:t>
      </w:r>
    </w:p>
    <w:p>
      <w:pPr>
        <w:pStyle w:val="Heading3"/>
      </w:pPr>
      <w:r>
        <w:rPr>
          <w:color w:val="231F20"/>
        </w:rPr>
        <w:t>Empleo en Estados Unidos y remesas</w:t>
      </w:r>
    </w:p>
    <w:p>
      <w:pPr>
        <w:pStyle w:val="BodyText"/>
        <w:spacing w:line="247" w:lineRule="auto" w:before="172"/>
        <w:ind w:left="117" w:right="113"/>
        <w:jc w:val="both"/>
      </w:pPr>
      <w:r>
        <w:rPr>
          <w:color w:val="231F20"/>
        </w:rPr>
        <w:t>En el Cuadro 4, se presenta información de la EMIF relativa a las caracte- rísticas del empleo en Estados Unidos. Destaca una mayor incorporación al mercado laboral de los migrantes indígenas en 2000 (100 por ciento), pues mientras la gran mayoría encontró empleo, la proporción entre los migrantes no indígenas es menor, porque permaneció en Estados Unidos  o trabajó. Para 2009, de los indígenas que declararon trabajar en Estados Unidos se redujo a 27 por ciento y los no indígenas fue de 53 por ciento. Esto expresa un mayor desempleo de los migrantes indígenas producto de la crisis económica de 2008 y es una expresión de su vulnerabilidad en el mercado de trabajo norteamericano, situación que puede ser apuntalada cuando revisamos la posición en la ocupación. En el primer año, 100 por ciento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indígenas</w:t>
      </w:r>
      <w:r>
        <w:rPr>
          <w:color w:val="231F20"/>
          <w:spacing w:val="-13"/>
        </w:rPr>
        <w:t> </w:t>
      </w:r>
      <w:r>
        <w:rPr>
          <w:color w:val="231F20"/>
        </w:rPr>
        <w:t>trabajaban</w:t>
      </w:r>
      <w:r>
        <w:rPr>
          <w:color w:val="231F20"/>
          <w:spacing w:val="-12"/>
        </w:rPr>
        <w:t> </w:t>
      </w:r>
      <w:r>
        <w:rPr>
          <w:color w:val="231F20"/>
        </w:rPr>
        <w:t>y</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segundo,</w:t>
      </w:r>
      <w:r>
        <w:rPr>
          <w:color w:val="231F20"/>
          <w:spacing w:val="-12"/>
        </w:rPr>
        <w:t> </w:t>
      </w:r>
      <w:r>
        <w:rPr>
          <w:color w:val="231F20"/>
        </w:rPr>
        <w:t>un</w:t>
      </w:r>
      <w:r>
        <w:rPr>
          <w:color w:val="231F20"/>
          <w:spacing w:val="-12"/>
        </w:rPr>
        <w:t> </w:t>
      </w:r>
      <w:r>
        <w:rPr>
          <w:color w:val="231F20"/>
        </w:rPr>
        <w:t>porcentaje</w:t>
      </w:r>
      <w:r>
        <w:rPr>
          <w:color w:val="231F20"/>
          <w:spacing w:val="-12"/>
        </w:rPr>
        <w:t> </w:t>
      </w:r>
      <w:r>
        <w:rPr>
          <w:color w:val="231F20"/>
        </w:rPr>
        <w:t>importan- te declaró permanecer en Estados Unidos o no</w:t>
      </w:r>
      <w:r>
        <w:rPr>
          <w:color w:val="231F20"/>
          <w:spacing w:val="-7"/>
        </w:rPr>
        <w:t> </w:t>
      </w:r>
      <w:r>
        <w:rPr>
          <w:color w:val="231F20"/>
        </w:rPr>
        <w:t>trabajó.</w:t>
      </w:r>
    </w:p>
    <w:p>
      <w:pPr>
        <w:pStyle w:val="BodyText"/>
        <w:spacing w:line="247" w:lineRule="auto"/>
        <w:ind w:left="117" w:right="114" w:firstLine="283"/>
        <w:jc w:val="both"/>
      </w:pPr>
      <w:r>
        <w:rPr>
          <w:color w:val="231F20"/>
        </w:rPr>
        <w:t>Asimismo, la inserción laboral de los no indígenas se diversifica en</w:t>
      </w:r>
      <w:r>
        <w:rPr>
          <w:color w:val="231F20"/>
          <w:spacing w:val="-12"/>
        </w:rPr>
        <w:t> </w:t>
      </w:r>
      <w:r>
        <w:rPr>
          <w:color w:val="231F20"/>
        </w:rPr>
        <w:t>los tres sectores de la economía estadunidense, en el caso de los indígenas se concentra en el sector agrícola o de servicios, principalmente en trabajos manuales que no requieren una mayor calificación formal. Esto expresa que</w:t>
      </w:r>
      <w:r>
        <w:rPr>
          <w:color w:val="231F20"/>
          <w:spacing w:val="-7"/>
        </w:rPr>
        <w:t> </w:t>
      </w:r>
      <w:r>
        <w:rPr>
          <w:color w:val="231F20"/>
        </w:rPr>
        <w:t>la</w:t>
      </w:r>
      <w:r>
        <w:rPr>
          <w:color w:val="231F20"/>
          <w:spacing w:val="-7"/>
        </w:rPr>
        <w:t> </w:t>
      </w:r>
      <w:r>
        <w:rPr>
          <w:color w:val="231F20"/>
        </w:rPr>
        <w:t>actividad</w:t>
      </w:r>
      <w:r>
        <w:rPr>
          <w:color w:val="231F20"/>
          <w:spacing w:val="-7"/>
        </w:rPr>
        <w:t> </w:t>
      </w:r>
      <w:r>
        <w:rPr>
          <w:color w:val="231F20"/>
        </w:rPr>
        <w:t>económica</w:t>
      </w:r>
      <w:r>
        <w:rPr>
          <w:color w:val="231F20"/>
          <w:spacing w:val="-7"/>
        </w:rPr>
        <w:t> </w:t>
      </w:r>
      <w:r>
        <w:rPr>
          <w:color w:val="231F20"/>
        </w:rPr>
        <w:t>que</w:t>
      </w:r>
      <w:r>
        <w:rPr>
          <w:color w:val="231F20"/>
          <w:spacing w:val="-7"/>
        </w:rPr>
        <w:t> </w:t>
      </w:r>
      <w:r>
        <w:rPr>
          <w:color w:val="231F20"/>
        </w:rPr>
        <w:t>realizan</w:t>
      </w:r>
      <w:r>
        <w:rPr>
          <w:color w:val="231F20"/>
          <w:spacing w:val="-7"/>
        </w:rPr>
        <w:t> </w:t>
      </w:r>
      <w:r>
        <w:rPr>
          <w:color w:val="231F20"/>
        </w:rPr>
        <w:t>en</w:t>
      </w:r>
      <w:r>
        <w:rPr>
          <w:color w:val="231F20"/>
          <w:spacing w:val="-7"/>
        </w:rPr>
        <w:t> </w:t>
      </w:r>
      <w:r>
        <w:rPr>
          <w:color w:val="231F20"/>
        </w:rPr>
        <w:t>Estados</w:t>
      </w:r>
      <w:r>
        <w:rPr>
          <w:color w:val="231F20"/>
          <w:spacing w:val="-7"/>
        </w:rPr>
        <w:t> </w:t>
      </w:r>
      <w:r>
        <w:rPr>
          <w:color w:val="231F20"/>
        </w:rPr>
        <w:t>Unidos</w:t>
      </w:r>
      <w:r>
        <w:rPr>
          <w:color w:val="231F20"/>
          <w:spacing w:val="-6"/>
        </w:rPr>
        <w:t> </w:t>
      </w:r>
      <w:r>
        <w:rPr>
          <w:color w:val="231F20"/>
        </w:rPr>
        <w:t>es</w:t>
      </w:r>
      <w:r>
        <w:rPr>
          <w:color w:val="231F20"/>
          <w:spacing w:val="-7"/>
        </w:rPr>
        <w:t> </w:t>
      </w:r>
      <w:r>
        <w:rPr>
          <w:color w:val="231F20"/>
        </w:rPr>
        <w:t>concentrada y faltan por abrirse nuevos nichos de trabajo en ese país y también es una expresión de su vulnerabilidad como trabajadores internacionales (véase Cuadro 4).</w:t>
      </w:r>
    </w:p>
    <w:p>
      <w:pPr>
        <w:spacing w:after="0" w:line="247" w:lineRule="auto"/>
        <w:jc w:val="both"/>
        <w:sectPr>
          <w:pgSz w:w="9360" w:h="13040"/>
          <w:pgMar w:header="0" w:footer="496" w:top="800" w:bottom="680" w:left="1300" w:right="1300"/>
        </w:sectPr>
      </w:pPr>
    </w:p>
    <w:p>
      <w:pPr>
        <w:spacing w:before="45"/>
        <w:ind w:left="782" w:right="0" w:firstLine="0"/>
        <w:jc w:val="left"/>
        <w:rPr>
          <w:rFonts w:ascii="Arial" w:hAnsi="Arial"/>
          <w:i/>
          <w:sz w:val="20"/>
        </w:rPr>
      </w:pPr>
      <w:r>
        <w:rPr>
          <w:rFonts w:ascii="Arial" w:hAnsi="Arial"/>
          <w:color w:val="231F20"/>
          <w:w w:val="66"/>
          <w:sz w:val="20"/>
        </w:rPr>
        <w:t>La</w:t>
      </w:r>
      <w:r>
        <w:rPr>
          <w:rFonts w:ascii="Arial" w:hAnsi="Arial"/>
          <w:color w:val="231F20"/>
          <w:spacing w:val="-1"/>
          <w:sz w:val="20"/>
        </w:rPr>
        <w:t> </w:t>
      </w:r>
      <w:r>
        <w:rPr>
          <w:rFonts w:ascii="Arial" w:hAnsi="Arial"/>
          <w:color w:val="231F20"/>
          <w:w w:val="76"/>
          <w:sz w:val="20"/>
        </w:rPr>
        <w:t>participación</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3"/>
          <w:sz w:val="20"/>
        </w:rPr>
        <w:t>población</w:t>
      </w:r>
      <w:r>
        <w:rPr>
          <w:rFonts w:ascii="Arial" w:hAnsi="Arial"/>
          <w:color w:val="231F20"/>
          <w:spacing w:val="-1"/>
          <w:sz w:val="20"/>
        </w:rPr>
        <w:t> </w:t>
      </w:r>
      <w:r>
        <w:rPr>
          <w:rFonts w:ascii="Arial" w:hAnsi="Arial"/>
          <w:color w:val="231F20"/>
          <w:w w:val="72"/>
          <w:sz w:val="20"/>
        </w:rPr>
        <w:t>indígena</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8"/>
          <w:sz w:val="20"/>
        </w:rPr>
        <w:t>migración...</w:t>
      </w:r>
      <w:r>
        <w:rPr>
          <w:rFonts w:ascii="Arial" w:hAnsi="Arial"/>
          <w:color w:val="231F20"/>
          <w:spacing w:val="-1"/>
          <w:sz w:val="20"/>
        </w:rPr>
        <w:t> </w:t>
      </w:r>
      <w:r>
        <w:rPr>
          <w:rFonts w:ascii="Arial" w:hAnsi="Arial"/>
          <w:color w:val="231F20"/>
          <w:w w:val="99"/>
          <w:sz w:val="20"/>
        </w:rPr>
        <w:t>/</w:t>
      </w:r>
      <w:r>
        <w:rPr>
          <w:rFonts w:ascii="Arial" w:hAnsi="Arial"/>
          <w:color w:val="231F20"/>
          <w:w w:val="49"/>
          <w:sz w:val="20"/>
        </w:rPr>
        <w:t>Juan</w:t>
      </w:r>
      <w:r>
        <w:rPr>
          <w:rFonts w:ascii="Arial" w:hAnsi="Arial"/>
          <w:color w:val="231F20"/>
          <w:spacing w:val="-17"/>
          <w:sz w:val="20"/>
        </w:rPr>
        <w:t> </w:t>
      </w:r>
      <w:r>
        <w:rPr>
          <w:rFonts w:ascii="Arial" w:hAnsi="Arial"/>
          <w:color w:val="231F20"/>
          <w:w w:val="49"/>
          <w:sz w:val="20"/>
        </w:rPr>
        <w:t>Gabino</w:t>
      </w:r>
      <w:r>
        <w:rPr>
          <w:rFonts w:ascii="Arial" w:hAnsi="Arial"/>
          <w:color w:val="231F20"/>
          <w:spacing w:val="-17"/>
          <w:sz w:val="20"/>
        </w:rPr>
        <w:t> </w:t>
      </w:r>
      <w:r>
        <w:rPr>
          <w:rFonts w:ascii="Arial" w:hAnsi="Arial"/>
          <w:color w:val="231F20"/>
          <w:w w:val="52"/>
          <w:sz w:val="20"/>
        </w:rPr>
        <w:t>González-Becerril</w:t>
      </w:r>
      <w:r>
        <w:rPr>
          <w:rFonts w:ascii="Arial" w:hAnsi="Arial"/>
          <w:color w:val="231F20"/>
          <w:spacing w:val="-17"/>
          <w:sz w:val="20"/>
        </w:rPr>
        <w:t> </w:t>
      </w:r>
      <w:r>
        <w:rPr>
          <w:rFonts w:ascii="Arial" w:hAnsi="Arial"/>
          <w:i/>
          <w:color w:val="231F20"/>
          <w:w w:val="55"/>
          <w:sz w:val="20"/>
        </w:rPr>
        <w:t>et</w:t>
      </w:r>
      <w:r>
        <w:rPr>
          <w:rFonts w:ascii="Arial" w:hAnsi="Arial"/>
          <w:i/>
          <w:color w:val="231F20"/>
          <w:spacing w:val="-17"/>
          <w:sz w:val="20"/>
        </w:rPr>
        <w:t> </w:t>
      </w:r>
      <w:r>
        <w:rPr>
          <w:rFonts w:ascii="Arial" w:hAnsi="Arial"/>
          <w:i/>
          <w:color w:val="231F20"/>
          <w:w w:val="58"/>
          <w:sz w:val="20"/>
        </w:rPr>
        <w:t>al.</w:t>
      </w:r>
    </w:p>
    <w:p>
      <w:pPr>
        <w:pStyle w:val="BodyText"/>
        <w:rPr>
          <w:rFonts w:ascii="Arial"/>
          <w:i/>
          <w:sz w:val="20"/>
        </w:rPr>
      </w:pPr>
    </w:p>
    <w:p>
      <w:pPr>
        <w:tabs>
          <w:tab w:pos="6636" w:val="left" w:leader="none"/>
        </w:tabs>
        <w:spacing w:line="247" w:lineRule="auto" w:before="156" w:after="21"/>
        <w:ind w:left="121" w:right="115" w:firstLine="0"/>
        <w:jc w:val="left"/>
        <w:rPr>
          <w:sz w:val="14"/>
        </w:rPr>
      </w:pPr>
      <w:r>
        <w:rPr>
          <w:sz w:val="14"/>
        </w:rPr>
        <w:t>Cuadro 5a. Distribución porcentual de migrantes temporales que procede de Estados Unidos por diversas </w:t>
      </w:r>
      <w:r>
        <w:rPr>
          <w:sz w:val="14"/>
          <w:u w:val="single"/>
        </w:rPr>
        <w:t>características sociodemográficas seleccionadas, según condición de habla de lengua indígena,</w:t>
      </w:r>
      <w:r>
        <w:rPr>
          <w:spacing w:val="-24"/>
          <w:sz w:val="14"/>
          <w:u w:val="single"/>
        </w:rPr>
        <w:t> </w:t>
      </w:r>
      <w:r>
        <w:rPr>
          <w:sz w:val="14"/>
          <w:u w:val="single"/>
        </w:rPr>
        <w:t>2000-2009</w:t>
        <w:tab/>
      </w: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15"/>
        <w:gridCol w:w="647"/>
        <w:gridCol w:w="807"/>
        <w:gridCol w:w="526"/>
        <w:gridCol w:w="1310"/>
        <w:gridCol w:w="690"/>
        <w:gridCol w:w="697"/>
        <w:gridCol w:w="528"/>
      </w:tblGrid>
      <w:tr>
        <w:trPr>
          <w:trHeight w:val="697" w:hRule="exact"/>
        </w:trPr>
        <w:tc>
          <w:tcPr>
            <w:tcW w:w="1315" w:type="dxa"/>
            <w:tcBorders>
              <w:bottom w:val="double" w:sz="3" w:space="0" w:color="000000"/>
            </w:tcBorders>
          </w:tcPr>
          <w:p>
            <w:pPr/>
          </w:p>
        </w:tc>
        <w:tc>
          <w:tcPr>
            <w:tcW w:w="647" w:type="dxa"/>
            <w:tcBorders>
              <w:bottom w:val="double" w:sz="3" w:space="0" w:color="000000"/>
            </w:tcBorders>
          </w:tcPr>
          <w:p>
            <w:pPr>
              <w:pStyle w:val="TableParagraph"/>
              <w:spacing w:before="9"/>
              <w:jc w:val="left"/>
              <w:rPr>
                <w:sz w:val="16"/>
              </w:rPr>
            </w:pPr>
          </w:p>
          <w:p>
            <w:pPr>
              <w:pStyle w:val="TableParagraph"/>
              <w:spacing w:line="247" w:lineRule="auto" w:before="1"/>
              <w:ind w:left="104" w:right="54" w:firstLine="149"/>
              <w:rPr>
                <w:sz w:val="14"/>
              </w:rPr>
            </w:pPr>
            <w:r>
              <w:rPr>
                <w:w w:val="95"/>
                <w:sz w:val="14"/>
              </w:rPr>
              <w:t>Habla lengua indígena</w:t>
            </w:r>
          </w:p>
        </w:tc>
        <w:tc>
          <w:tcPr>
            <w:tcW w:w="807" w:type="dxa"/>
            <w:tcBorders>
              <w:bottom w:val="double" w:sz="3" w:space="0" w:color="000000"/>
            </w:tcBorders>
          </w:tcPr>
          <w:p>
            <w:pPr>
              <w:pStyle w:val="TableParagraph"/>
              <w:spacing w:before="29"/>
              <w:ind w:left="56"/>
              <w:jc w:val="left"/>
              <w:rPr>
                <w:sz w:val="14"/>
              </w:rPr>
            </w:pPr>
            <w:r>
              <w:rPr>
                <w:sz w:val="14"/>
              </w:rPr>
              <w:t>2000</w:t>
            </w:r>
          </w:p>
          <w:p>
            <w:pPr>
              <w:pStyle w:val="TableParagraph"/>
              <w:spacing w:line="247" w:lineRule="auto" w:before="4"/>
              <w:ind w:left="238" w:right="80" w:hanging="28"/>
              <w:rPr>
                <w:sz w:val="14"/>
              </w:rPr>
            </w:pPr>
            <w:r>
              <w:rPr>
                <w:sz w:val="14"/>
              </w:rPr>
              <w:t>No habla</w:t>
            </w:r>
            <w:r>
              <w:rPr>
                <w:w w:val="99"/>
                <w:sz w:val="14"/>
              </w:rPr>
              <w:t> </w:t>
            </w:r>
            <w:r>
              <w:rPr>
                <w:w w:val="95"/>
                <w:sz w:val="14"/>
              </w:rPr>
              <w:t>lengua indígena</w:t>
            </w:r>
          </w:p>
        </w:tc>
        <w:tc>
          <w:tcPr>
            <w:tcW w:w="526" w:type="dxa"/>
            <w:tcBorders>
              <w:bottom w:val="double" w:sz="3" w:space="0" w:color="000000"/>
            </w:tcBorders>
          </w:tcPr>
          <w:p>
            <w:pPr>
              <w:pStyle w:val="TableParagraph"/>
              <w:jc w:val="left"/>
              <w:rPr>
                <w:sz w:val="14"/>
              </w:rPr>
            </w:pPr>
          </w:p>
          <w:p>
            <w:pPr>
              <w:pStyle w:val="TableParagraph"/>
              <w:jc w:val="left"/>
              <w:rPr>
                <w:sz w:val="14"/>
              </w:rPr>
            </w:pPr>
          </w:p>
          <w:p>
            <w:pPr>
              <w:pStyle w:val="TableParagraph"/>
              <w:spacing w:before="6"/>
              <w:jc w:val="left"/>
              <w:rPr>
                <w:sz w:val="17"/>
              </w:rPr>
            </w:pPr>
          </w:p>
          <w:p>
            <w:pPr>
              <w:pStyle w:val="TableParagraph"/>
              <w:ind w:left="82" w:right="36"/>
              <w:jc w:val="center"/>
              <w:rPr>
                <w:sz w:val="14"/>
              </w:rPr>
            </w:pPr>
            <w:r>
              <w:rPr>
                <w:sz w:val="14"/>
              </w:rPr>
              <w:t>Total</w:t>
            </w:r>
          </w:p>
        </w:tc>
        <w:tc>
          <w:tcPr>
            <w:tcW w:w="1310" w:type="dxa"/>
            <w:tcBorders>
              <w:bottom w:val="double" w:sz="3" w:space="0" w:color="000000"/>
            </w:tcBorders>
          </w:tcPr>
          <w:p>
            <w:pPr/>
          </w:p>
        </w:tc>
        <w:tc>
          <w:tcPr>
            <w:tcW w:w="690" w:type="dxa"/>
            <w:tcBorders>
              <w:bottom w:val="double" w:sz="3" w:space="0" w:color="000000"/>
            </w:tcBorders>
          </w:tcPr>
          <w:p>
            <w:pPr>
              <w:pStyle w:val="TableParagraph"/>
              <w:spacing w:before="9"/>
              <w:jc w:val="left"/>
              <w:rPr>
                <w:sz w:val="16"/>
              </w:rPr>
            </w:pPr>
          </w:p>
          <w:p>
            <w:pPr>
              <w:pStyle w:val="TableParagraph"/>
              <w:spacing w:line="247" w:lineRule="auto" w:before="1"/>
              <w:ind w:left="148" w:right="52" w:firstLine="149"/>
              <w:rPr>
                <w:sz w:val="14"/>
              </w:rPr>
            </w:pPr>
            <w:r>
              <w:rPr>
                <w:w w:val="95"/>
                <w:sz w:val="14"/>
              </w:rPr>
              <w:t>Habla lengua indígena</w:t>
            </w:r>
          </w:p>
        </w:tc>
        <w:tc>
          <w:tcPr>
            <w:tcW w:w="697" w:type="dxa"/>
            <w:tcBorders>
              <w:bottom w:val="double" w:sz="3" w:space="0" w:color="000000"/>
            </w:tcBorders>
          </w:tcPr>
          <w:p>
            <w:pPr>
              <w:pStyle w:val="TableParagraph"/>
              <w:spacing w:before="29"/>
              <w:ind w:left="54"/>
              <w:jc w:val="left"/>
              <w:rPr>
                <w:sz w:val="14"/>
              </w:rPr>
            </w:pPr>
            <w:r>
              <w:rPr>
                <w:sz w:val="14"/>
              </w:rPr>
              <w:t>2009</w:t>
            </w:r>
          </w:p>
          <w:p>
            <w:pPr>
              <w:pStyle w:val="TableParagraph"/>
              <w:spacing w:line="247" w:lineRule="auto" w:before="4"/>
              <w:ind w:left="126" w:right="83" w:hanging="28"/>
              <w:rPr>
                <w:sz w:val="14"/>
              </w:rPr>
            </w:pPr>
            <w:r>
              <w:rPr>
                <w:sz w:val="14"/>
              </w:rPr>
              <w:t>No habla</w:t>
            </w:r>
            <w:r>
              <w:rPr>
                <w:w w:val="99"/>
                <w:sz w:val="14"/>
              </w:rPr>
              <w:t> </w:t>
            </w:r>
            <w:r>
              <w:rPr>
                <w:w w:val="95"/>
                <w:sz w:val="14"/>
              </w:rPr>
              <w:t>lengua indígena</w:t>
            </w:r>
          </w:p>
        </w:tc>
        <w:tc>
          <w:tcPr>
            <w:tcW w:w="528" w:type="dxa"/>
            <w:tcBorders>
              <w:bottom w:val="double" w:sz="3" w:space="0" w:color="000000"/>
            </w:tcBorders>
          </w:tcPr>
          <w:p>
            <w:pPr>
              <w:pStyle w:val="TableParagraph"/>
              <w:jc w:val="left"/>
              <w:rPr>
                <w:sz w:val="14"/>
              </w:rPr>
            </w:pPr>
          </w:p>
          <w:p>
            <w:pPr>
              <w:pStyle w:val="TableParagraph"/>
              <w:jc w:val="left"/>
              <w:rPr>
                <w:sz w:val="14"/>
              </w:rPr>
            </w:pPr>
          </w:p>
          <w:p>
            <w:pPr>
              <w:pStyle w:val="TableParagraph"/>
              <w:spacing w:before="6"/>
              <w:jc w:val="left"/>
              <w:rPr>
                <w:sz w:val="17"/>
              </w:rPr>
            </w:pPr>
          </w:p>
          <w:p>
            <w:pPr>
              <w:pStyle w:val="TableParagraph"/>
              <w:ind w:right="88"/>
              <w:rPr>
                <w:sz w:val="14"/>
              </w:rPr>
            </w:pPr>
            <w:r>
              <w:rPr>
                <w:w w:val="95"/>
                <w:sz w:val="14"/>
              </w:rPr>
              <w:t>Total</w:t>
            </w:r>
          </w:p>
        </w:tc>
      </w:tr>
      <w:tr>
        <w:trPr>
          <w:trHeight w:val="262" w:hRule="exact"/>
        </w:trPr>
        <w:tc>
          <w:tcPr>
            <w:tcW w:w="1315" w:type="dxa"/>
            <w:tcBorders>
              <w:top w:val="double" w:sz="3" w:space="0" w:color="000000"/>
            </w:tcBorders>
          </w:tcPr>
          <w:p>
            <w:pPr>
              <w:pStyle w:val="TableParagraph"/>
              <w:spacing w:before="53"/>
              <w:ind w:left="4"/>
              <w:jc w:val="left"/>
              <w:rPr>
                <w:i/>
                <w:sz w:val="14"/>
              </w:rPr>
            </w:pPr>
            <w:r>
              <w:rPr>
                <w:i/>
                <w:sz w:val="14"/>
              </w:rPr>
              <w:t>Sexo</w:t>
            </w:r>
          </w:p>
        </w:tc>
        <w:tc>
          <w:tcPr>
            <w:tcW w:w="647" w:type="dxa"/>
            <w:tcBorders>
              <w:top w:val="double" w:sz="3" w:space="0" w:color="000000"/>
            </w:tcBorders>
          </w:tcPr>
          <w:p>
            <w:pPr/>
          </w:p>
        </w:tc>
        <w:tc>
          <w:tcPr>
            <w:tcW w:w="807" w:type="dxa"/>
            <w:tcBorders>
              <w:top w:val="double" w:sz="3" w:space="0" w:color="000000"/>
            </w:tcBorders>
          </w:tcPr>
          <w:p>
            <w:pPr/>
          </w:p>
        </w:tc>
        <w:tc>
          <w:tcPr>
            <w:tcW w:w="526" w:type="dxa"/>
            <w:tcBorders>
              <w:top w:val="double" w:sz="3" w:space="0" w:color="000000"/>
            </w:tcBorders>
          </w:tcPr>
          <w:p>
            <w:pPr/>
          </w:p>
        </w:tc>
        <w:tc>
          <w:tcPr>
            <w:tcW w:w="1310" w:type="dxa"/>
            <w:tcBorders>
              <w:top w:val="double" w:sz="3" w:space="0" w:color="000000"/>
            </w:tcBorders>
          </w:tcPr>
          <w:p>
            <w:pPr/>
          </w:p>
        </w:tc>
        <w:tc>
          <w:tcPr>
            <w:tcW w:w="690" w:type="dxa"/>
            <w:tcBorders>
              <w:top w:val="double" w:sz="3" w:space="0" w:color="000000"/>
            </w:tcBorders>
          </w:tcPr>
          <w:p>
            <w:pPr/>
          </w:p>
        </w:tc>
        <w:tc>
          <w:tcPr>
            <w:tcW w:w="697" w:type="dxa"/>
            <w:tcBorders>
              <w:top w:val="double" w:sz="3" w:space="0" w:color="000000"/>
            </w:tcBorders>
          </w:tcPr>
          <w:p>
            <w:pPr/>
          </w:p>
        </w:tc>
        <w:tc>
          <w:tcPr>
            <w:tcW w:w="528" w:type="dxa"/>
            <w:tcBorders>
              <w:top w:val="double" w:sz="3" w:space="0" w:color="000000"/>
            </w:tcBorders>
          </w:tcPr>
          <w:p>
            <w:pPr/>
          </w:p>
        </w:tc>
      </w:tr>
      <w:tr>
        <w:trPr>
          <w:trHeight w:val="211" w:hRule="exact"/>
        </w:trPr>
        <w:tc>
          <w:tcPr>
            <w:tcW w:w="1315" w:type="dxa"/>
          </w:tcPr>
          <w:p>
            <w:pPr>
              <w:pStyle w:val="TableParagraph"/>
              <w:spacing w:before="22"/>
              <w:ind w:left="4"/>
              <w:jc w:val="left"/>
              <w:rPr>
                <w:sz w:val="14"/>
              </w:rPr>
            </w:pPr>
            <w:r>
              <w:rPr>
                <w:sz w:val="14"/>
              </w:rPr>
              <w:t>Hombre</w:t>
            </w:r>
          </w:p>
        </w:tc>
        <w:tc>
          <w:tcPr>
            <w:tcW w:w="647" w:type="dxa"/>
          </w:tcPr>
          <w:p>
            <w:pPr>
              <w:pStyle w:val="TableParagraph"/>
              <w:spacing w:before="22"/>
              <w:ind w:right="54"/>
              <w:rPr>
                <w:sz w:val="14"/>
              </w:rPr>
            </w:pPr>
            <w:r>
              <w:rPr>
                <w:w w:val="95"/>
                <w:sz w:val="14"/>
              </w:rPr>
              <w:t>100</w:t>
            </w:r>
          </w:p>
        </w:tc>
        <w:tc>
          <w:tcPr>
            <w:tcW w:w="807" w:type="dxa"/>
          </w:tcPr>
          <w:p>
            <w:pPr>
              <w:pStyle w:val="TableParagraph"/>
              <w:spacing w:before="22"/>
              <w:ind w:right="81"/>
              <w:rPr>
                <w:sz w:val="14"/>
              </w:rPr>
            </w:pPr>
            <w:r>
              <w:rPr>
                <w:sz w:val="14"/>
              </w:rPr>
              <w:t>72.4</w:t>
            </w:r>
          </w:p>
        </w:tc>
        <w:tc>
          <w:tcPr>
            <w:tcW w:w="526" w:type="dxa"/>
          </w:tcPr>
          <w:p>
            <w:pPr>
              <w:pStyle w:val="TableParagraph"/>
              <w:spacing w:before="22"/>
              <w:ind w:left="203" w:right="36"/>
              <w:jc w:val="center"/>
              <w:rPr>
                <w:sz w:val="14"/>
              </w:rPr>
            </w:pPr>
            <w:r>
              <w:rPr>
                <w:sz w:val="14"/>
              </w:rPr>
              <w:t>74.1</w:t>
            </w:r>
          </w:p>
        </w:tc>
        <w:tc>
          <w:tcPr>
            <w:tcW w:w="1310" w:type="dxa"/>
          </w:tcPr>
          <w:p>
            <w:pPr>
              <w:pStyle w:val="TableParagraph"/>
              <w:spacing w:before="22"/>
              <w:ind w:left="55"/>
              <w:jc w:val="left"/>
              <w:rPr>
                <w:sz w:val="14"/>
              </w:rPr>
            </w:pPr>
            <w:r>
              <w:rPr>
                <w:sz w:val="14"/>
              </w:rPr>
              <w:t>Hombre</w:t>
            </w:r>
          </w:p>
        </w:tc>
        <w:tc>
          <w:tcPr>
            <w:tcW w:w="690" w:type="dxa"/>
          </w:tcPr>
          <w:p>
            <w:pPr>
              <w:pStyle w:val="TableParagraph"/>
              <w:spacing w:before="22"/>
              <w:ind w:right="53"/>
              <w:rPr>
                <w:sz w:val="14"/>
              </w:rPr>
            </w:pPr>
            <w:r>
              <w:rPr>
                <w:sz w:val="14"/>
              </w:rPr>
              <w:t>90.8</w:t>
            </w:r>
          </w:p>
        </w:tc>
        <w:tc>
          <w:tcPr>
            <w:tcW w:w="697" w:type="dxa"/>
          </w:tcPr>
          <w:p>
            <w:pPr>
              <w:pStyle w:val="TableParagraph"/>
              <w:spacing w:before="22"/>
              <w:ind w:right="84"/>
              <w:rPr>
                <w:sz w:val="14"/>
              </w:rPr>
            </w:pPr>
            <w:r>
              <w:rPr>
                <w:w w:val="95"/>
                <w:sz w:val="14"/>
              </w:rPr>
              <w:t>87.6</w:t>
            </w:r>
          </w:p>
        </w:tc>
        <w:tc>
          <w:tcPr>
            <w:tcW w:w="528" w:type="dxa"/>
          </w:tcPr>
          <w:p>
            <w:pPr>
              <w:pStyle w:val="TableParagraph"/>
              <w:spacing w:before="22"/>
              <w:ind w:right="53"/>
              <w:rPr>
                <w:sz w:val="14"/>
              </w:rPr>
            </w:pPr>
            <w:r>
              <w:rPr>
                <w:sz w:val="14"/>
              </w:rPr>
              <w:t>87.7</w:t>
            </w:r>
          </w:p>
        </w:tc>
      </w:tr>
      <w:tr>
        <w:trPr>
          <w:trHeight w:val="204" w:hRule="exact"/>
        </w:trPr>
        <w:tc>
          <w:tcPr>
            <w:tcW w:w="1315" w:type="dxa"/>
          </w:tcPr>
          <w:p>
            <w:pPr>
              <w:pStyle w:val="TableParagraph"/>
              <w:spacing w:before="14"/>
              <w:ind w:left="4"/>
              <w:jc w:val="left"/>
              <w:rPr>
                <w:sz w:val="14"/>
              </w:rPr>
            </w:pPr>
            <w:r>
              <w:rPr>
                <w:sz w:val="14"/>
              </w:rPr>
              <w:t>Mujer</w:t>
            </w:r>
          </w:p>
        </w:tc>
        <w:tc>
          <w:tcPr>
            <w:tcW w:w="647" w:type="dxa"/>
          </w:tcPr>
          <w:p>
            <w:pPr>
              <w:pStyle w:val="TableParagraph"/>
              <w:spacing w:before="14"/>
              <w:ind w:right="55"/>
              <w:rPr>
                <w:sz w:val="14"/>
              </w:rPr>
            </w:pPr>
            <w:r>
              <w:rPr>
                <w:w w:val="99"/>
                <w:sz w:val="14"/>
              </w:rPr>
              <w:t>0</w:t>
            </w:r>
          </w:p>
        </w:tc>
        <w:tc>
          <w:tcPr>
            <w:tcW w:w="807" w:type="dxa"/>
          </w:tcPr>
          <w:p>
            <w:pPr>
              <w:pStyle w:val="TableParagraph"/>
              <w:spacing w:before="14"/>
              <w:ind w:right="81"/>
              <w:rPr>
                <w:sz w:val="14"/>
              </w:rPr>
            </w:pPr>
            <w:r>
              <w:rPr>
                <w:sz w:val="14"/>
              </w:rPr>
              <w:t>27.6</w:t>
            </w:r>
          </w:p>
        </w:tc>
        <w:tc>
          <w:tcPr>
            <w:tcW w:w="526" w:type="dxa"/>
          </w:tcPr>
          <w:p>
            <w:pPr>
              <w:pStyle w:val="TableParagraph"/>
              <w:spacing w:before="14"/>
              <w:ind w:left="203" w:right="36"/>
              <w:jc w:val="center"/>
              <w:rPr>
                <w:sz w:val="14"/>
              </w:rPr>
            </w:pPr>
            <w:r>
              <w:rPr>
                <w:sz w:val="14"/>
              </w:rPr>
              <w:t>25.9</w:t>
            </w:r>
          </w:p>
        </w:tc>
        <w:tc>
          <w:tcPr>
            <w:tcW w:w="1310" w:type="dxa"/>
          </w:tcPr>
          <w:p>
            <w:pPr>
              <w:pStyle w:val="TableParagraph"/>
              <w:spacing w:before="14"/>
              <w:ind w:left="55"/>
              <w:jc w:val="left"/>
              <w:rPr>
                <w:sz w:val="14"/>
              </w:rPr>
            </w:pPr>
            <w:r>
              <w:rPr>
                <w:sz w:val="14"/>
              </w:rPr>
              <w:t>Mujer</w:t>
            </w:r>
          </w:p>
        </w:tc>
        <w:tc>
          <w:tcPr>
            <w:tcW w:w="690" w:type="dxa"/>
          </w:tcPr>
          <w:p>
            <w:pPr>
              <w:pStyle w:val="TableParagraph"/>
              <w:spacing w:before="14"/>
              <w:ind w:right="53"/>
              <w:rPr>
                <w:sz w:val="14"/>
              </w:rPr>
            </w:pPr>
            <w:r>
              <w:rPr>
                <w:w w:val="95"/>
                <w:sz w:val="14"/>
              </w:rPr>
              <w:t>9.2</w:t>
            </w:r>
          </w:p>
        </w:tc>
        <w:tc>
          <w:tcPr>
            <w:tcW w:w="697" w:type="dxa"/>
          </w:tcPr>
          <w:p>
            <w:pPr>
              <w:pStyle w:val="TableParagraph"/>
              <w:spacing w:before="14"/>
              <w:ind w:right="84"/>
              <w:rPr>
                <w:sz w:val="14"/>
              </w:rPr>
            </w:pPr>
            <w:r>
              <w:rPr>
                <w:w w:val="95"/>
                <w:sz w:val="14"/>
              </w:rPr>
              <w:t>12.4</w:t>
            </w:r>
          </w:p>
        </w:tc>
        <w:tc>
          <w:tcPr>
            <w:tcW w:w="528" w:type="dxa"/>
          </w:tcPr>
          <w:p>
            <w:pPr>
              <w:pStyle w:val="TableParagraph"/>
              <w:spacing w:before="14"/>
              <w:ind w:right="53"/>
              <w:rPr>
                <w:sz w:val="14"/>
              </w:rPr>
            </w:pPr>
            <w:r>
              <w:rPr>
                <w:sz w:val="14"/>
              </w:rPr>
              <w:t>12.3</w:t>
            </w:r>
          </w:p>
        </w:tc>
      </w:tr>
      <w:tr>
        <w:trPr>
          <w:trHeight w:val="369" w:hRule="exact"/>
        </w:trPr>
        <w:tc>
          <w:tcPr>
            <w:tcW w:w="1315" w:type="dxa"/>
          </w:tcPr>
          <w:p>
            <w:pPr>
              <w:pStyle w:val="TableParagraph"/>
              <w:spacing w:before="14"/>
              <w:ind w:left="4"/>
              <w:jc w:val="left"/>
              <w:rPr>
                <w:sz w:val="14"/>
              </w:rPr>
            </w:pPr>
            <w:r>
              <w:rPr>
                <w:sz w:val="14"/>
              </w:rPr>
              <w:t>Total</w:t>
            </w:r>
          </w:p>
          <w:p>
            <w:pPr>
              <w:pStyle w:val="TableParagraph"/>
              <w:spacing w:before="4"/>
              <w:ind w:left="4"/>
              <w:jc w:val="left"/>
              <w:rPr>
                <w:i/>
                <w:sz w:val="14"/>
              </w:rPr>
            </w:pPr>
            <w:r>
              <w:rPr>
                <w:i/>
                <w:sz w:val="14"/>
              </w:rPr>
              <w:t>Edad</w:t>
            </w:r>
          </w:p>
        </w:tc>
        <w:tc>
          <w:tcPr>
            <w:tcW w:w="647" w:type="dxa"/>
          </w:tcPr>
          <w:p>
            <w:pPr>
              <w:pStyle w:val="TableParagraph"/>
              <w:spacing w:before="14"/>
              <w:ind w:right="54"/>
              <w:rPr>
                <w:sz w:val="14"/>
              </w:rPr>
            </w:pPr>
            <w:r>
              <w:rPr>
                <w:w w:val="95"/>
                <w:sz w:val="14"/>
              </w:rPr>
              <w:t>100</w:t>
            </w:r>
          </w:p>
        </w:tc>
        <w:tc>
          <w:tcPr>
            <w:tcW w:w="807" w:type="dxa"/>
          </w:tcPr>
          <w:p>
            <w:pPr>
              <w:pStyle w:val="TableParagraph"/>
              <w:spacing w:before="14"/>
              <w:ind w:right="80"/>
              <w:rPr>
                <w:sz w:val="14"/>
              </w:rPr>
            </w:pPr>
            <w:r>
              <w:rPr>
                <w:w w:val="95"/>
                <w:sz w:val="14"/>
              </w:rPr>
              <w:t>100</w:t>
            </w:r>
          </w:p>
        </w:tc>
        <w:tc>
          <w:tcPr>
            <w:tcW w:w="526" w:type="dxa"/>
          </w:tcPr>
          <w:p>
            <w:pPr>
              <w:pStyle w:val="TableParagraph"/>
              <w:spacing w:before="14"/>
              <w:ind w:left="118" w:right="22"/>
              <w:jc w:val="center"/>
              <w:rPr>
                <w:sz w:val="14"/>
              </w:rPr>
            </w:pPr>
            <w:r>
              <w:rPr>
                <w:sz w:val="14"/>
              </w:rPr>
              <w:t>100.0</w:t>
            </w:r>
          </w:p>
        </w:tc>
        <w:tc>
          <w:tcPr>
            <w:tcW w:w="1310" w:type="dxa"/>
          </w:tcPr>
          <w:p>
            <w:pPr>
              <w:pStyle w:val="TableParagraph"/>
              <w:spacing w:before="14"/>
              <w:ind w:left="55"/>
              <w:jc w:val="left"/>
              <w:rPr>
                <w:sz w:val="14"/>
              </w:rPr>
            </w:pPr>
            <w:r>
              <w:rPr>
                <w:sz w:val="14"/>
              </w:rPr>
              <w:t>Total</w:t>
            </w:r>
          </w:p>
        </w:tc>
        <w:tc>
          <w:tcPr>
            <w:tcW w:w="690" w:type="dxa"/>
          </w:tcPr>
          <w:p>
            <w:pPr>
              <w:pStyle w:val="TableParagraph"/>
              <w:spacing w:before="14"/>
              <w:ind w:right="53"/>
              <w:rPr>
                <w:sz w:val="14"/>
              </w:rPr>
            </w:pPr>
            <w:r>
              <w:rPr>
                <w:sz w:val="14"/>
              </w:rPr>
              <w:t>100.0</w:t>
            </w:r>
          </w:p>
        </w:tc>
        <w:tc>
          <w:tcPr>
            <w:tcW w:w="697" w:type="dxa"/>
          </w:tcPr>
          <w:p>
            <w:pPr>
              <w:pStyle w:val="TableParagraph"/>
              <w:spacing w:before="14"/>
              <w:ind w:right="83"/>
              <w:rPr>
                <w:sz w:val="14"/>
              </w:rPr>
            </w:pPr>
            <w:r>
              <w:rPr>
                <w:w w:val="95"/>
                <w:sz w:val="14"/>
              </w:rPr>
              <w:t>100.0</w:t>
            </w:r>
          </w:p>
        </w:tc>
        <w:tc>
          <w:tcPr>
            <w:tcW w:w="528" w:type="dxa"/>
          </w:tcPr>
          <w:p>
            <w:pPr>
              <w:pStyle w:val="TableParagraph"/>
              <w:spacing w:before="14"/>
              <w:ind w:right="52"/>
              <w:rPr>
                <w:sz w:val="14"/>
              </w:rPr>
            </w:pPr>
            <w:r>
              <w:rPr>
                <w:w w:val="95"/>
                <w:sz w:val="14"/>
              </w:rPr>
              <w:t>100.0</w:t>
            </w:r>
          </w:p>
        </w:tc>
      </w:tr>
      <w:tr>
        <w:trPr>
          <w:trHeight w:val="204" w:hRule="exact"/>
        </w:trPr>
        <w:tc>
          <w:tcPr>
            <w:tcW w:w="1315" w:type="dxa"/>
          </w:tcPr>
          <w:p>
            <w:pPr>
              <w:pStyle w:val="TableParagraph"/>
              <w:spacing w:before="14"/>
              <w:ind w:left="4"/>
              <w:jc w:val="left"/>
              <w:rPr>
                <w:sz w:val="14"/>
              </w:rPr>
            </w:pPr>
            <w:r>
              <w:rPr>
                <w:sz w:val="14"/>
              </w:rPr>
              <w:t>12-24 años</w:t>
            </w:r>
          </w:p>
        </w:tc>
        <w:tc>
          <w:tcPr>
            <w:tcW w:w="647" w:type="dxa"/>
          </w:tcPr>
          <w:p>
            <w:pPr>
              <w:pStyle w:val="TableParagraph"/>
              <w:spacing w:before="14"/>
              <w:ind w:right="54"/>
              <w:rPr>
                <w:sz w:val="14"/>
              </w:rPr>
            </w:pPr>
            <w:r>
              <w:rPr>
                <w:sz w:val="14"/>
              </w:rPr>
              <w:t>48.63</w:t>
            </w:r>
          </w:p>
        </w:tc>
        <w:tc>
          <w:tcPr>
            <w:tcW w:w="807" w:type="dxa"/>
          </w:tcPr>
          <w:p>
            <w:pPr>
              <w:pStyle w:val="TableParagraph"/>
              <w:spacing w:before="14"/>
              <w:ind w:right="80"/>
              <w:rPr>
                <w:sz w:val="14"/>
              </w:rPr>
            </w:pPr>
            <w:r>
              <w:rPr>
                <w:sz w:val="14"/>
              </w:rPr>
              <w:t>24.73</w:t>
            </w:r>
          </w:p>
        </w:tc>
        <w:tc>
          <w:tcPr>
            <w:tcW w:w="526" w:type="dxa"/>
          </w:tcPr>
          <w:p>
            <w:pPr>
              <w:pStyle w:val="TableParagraph"/>
              <w:spacing w:before="14"/>
              <w:ind w:left="118" w:right="21"/>
              <w:jc w:val="center"/>
              <w:rPr>
                <w:sz w:val="14"/>
              </w:rPr>
            </w:pPr>
            <w:r>
              <w:rPr>
                <w:sz w:val="14"/>
              </w:rPr>
              <w:t>26.20</w:t>
            </w:r>
          </w:p>
        </w:tc>
        <w:tc>
          <w:tcPr>
            <w:tcW w:w="1310" w:type="dxa"/>
          </w:tcPr>
          <w:p>
            <w:pPr>
              <w:pStyle w:val="TableParagraph"/>
              <w:spacing w:before="14"/>
              <w:ind w:left="55"/>
              <w:jc w:val="left"/>
              <w:rPr>
                <w:sz w:val="14"/>
              </w:rPr>
            </w:pPr>
            <w:r>
              <w:rPr>
                <w:sz w:val="14"/>
              </w:rPr>
              <w:t>12-24 años</w:t>
            </w:r>
          </w:p>
        </w:tc>
        <w:tc>
          <w:tcPr>
            <w:tcW w:w="690" w:type="dxa"/>
          </w:tcPr>
          <w:p>
            <w:pPr>
              <w:pStyle w:val="TableParagraph"/>
              <w:spacing w:before="14"/>
              <w:ind w:right="52"/>
              <w:rPr>
                <w:sz w:val="14"/>
              </w:rPr>
            </w:pPr>
            <w:r>
              <w:rPr>
                <w:sz w:val="14"/>
              </w:rPr>
              <w:t>13.20</w:t>
            </w:r>
          </w:p>
        </w:tc>
        <w:tc>
          <w:tcPr>
            <w:tcW w:w="697" w:type="dxa"/>
          </w:tcPr>
          <w:p>
            <w:pPr>
              <w:pStyle w:val="TableParagraph"/>
              <w:spacing w:before="14"/>
              <w:ind w:right="83"/>
              <w:rPr>
                <w:sz w:val="14"/>
              </w:rPr>
            </w:pPr>
            <w:r>
              <w:rPr>
                <w:sz w:val="14"/>
              </w:rPr>
              <w:t>23.07</w:t>
            </w:r>
          </w:p>
        </w:tc>
        <w:tc>
          <w:tcPr>
            <w:tcW w:w="528" w:type="dxa"/>
          </w:tcPr>
          <w:p>
            <w:pPr>
              <w:pStyle w:val="TableParagraph"/>
              <w:spacing w:before="14"/>
              <w:ind w:right="52"/>
              <w:rPr>
                <w:sz w:val="14"/>
              </w:rPr>
            </w:pPr>
            <w:r>
              <w:rPr>
                <w:sz w:val="14"/>
              </w:rPr>
              <w:t>22.79</w:t>
            </w:r>
          </w:p>
        </w:tc>
      </w:tr>
      <w:tr>
        <w:trPr>
          <w:trHeight w:val="204" w:hRule="exact"/>
        </w:trPr>
        <w:tc>
          <w:tcPr>
            <w:tcW w:w="1315" w:type="dxa"/>
          </w:tcPr>
          <w:p>
            <w:pPr>
              <w:pStyle w:val="TableParagraph"/>
              <w:spacing w:before="14"/>
              <w:ind w:left="4"/>
              <w:jc w:val="left"/>
              <w:rPr>
                <w:sz w:val="14"/>
              </w:rPr>
            </w:pPr>
            <w:r>
              <w:rPr>
                <w:sz w:val="14"/>
              </w:rPr>
              <w:t>25-34 años</w:t>
            </w:r>
          </w:p>
        </w:tc>
        <w:tc>
          <w:tcPr>
            <w:tcW w:w="647" w:type="dxa"/>
          </w:tcPr>
          <w:p>
            <w:pPr>
              <w:pStyle w:val="TableParagraph"/>
              <w:spacing w:before="14"/>
              <w:ind w:right="54"/>
              <w:rPr>
                <w:sz w:val="14"/>
              </w:rPr>
            </w:pPr>
            <w:r>
              <w:rPr>
                <w:sz w:val="14"/>
              </w:rPr>
              <w:t>51.37</w:t>
            </w:r>
          </w:p>
        </w:tc>
        <w:tc>
          <w:tcPr>
            <w:tcW w:w="807" w:type="dxa"/>
          </w:tcPr>
          <w:p>
            <w:pPr>
              <w:pStyle w:val="TableParagraph"/>
              <w:spacing w:before="14"/>
              <w:ind w:right="80"/>
              <w:rPr>
                <w:sz w:val="14"/>
              </w:rPr>
            </w:pPr>
            <w:r>
              <w:rPr>
                <w:sz w:val="14"/>
              </w:rPr>
              <w:t>28.72</w:t>
            </w:r>
          </w:p>
        </w:tc>
        <w:tc>
          <w:tcPr>
            <w:tcW w:w="526" w:type="dxa"/>
          </w:tcPr>
          <w:p>
            <w:pPr>
              <w:pStyle w:val="TableParagraph"/>
              <w:spacing w:before="14"/>
              <w:ind w:left="118" w:right="21"/>
              <w:jc w:val="center"/>
              <w:rPr>
                <w:sz w:val="14"/>
              </w:rPr>
            </w:pPr>
            <w:r>
              <w:rPr>
                <w:sz w:val="14"/>
              </w:rPr>
              <w:t>30.11</w:t>
            </w:r>
          </w:p>
        </w:tc>
        <w:tc>
          <w:tcPr>
            <w:tcW w:w="1310" w:type="dxa"/>
          </w:tcPr>
          <w:p>
            <w:pPr>
              <w:pStyle w:val="TableParagraph"/>
              <w:spacing w:before="14"/>
              <w:ind w:left="55"/>
              <w:jc w:val="left"/>
              <w:rPr>
                <w:sz w:val="14"/>
              </w:rPr>
            </w:pPr>
            <w:r>
              <w:rPr>
                <w:sz w:val="14"/>
              </w:rPr>
              <w:t>25-34 años</w:t>
            </w:r>
          </w:p>
        </w:tc>
        <w:tc>
          <w:tcPr>
            <w:tcW w:w="690" w:type="dxa"/>
          </w:tcPr>
          <w:p>
            <w:pPr>
              <w:pStyle w:val="TableParagraph"/>
              <w:spacing w:before="14"/>
              <w:ind w:right="52"/>
              <w:rPr>
                <w:sz w:val="14"/>
              </w:rPr>
            </w:pPr>
            <w:r>
              <w:rPr>
                <w:sz w:val="14"/>
              </w:rPr>
              <w:t>67.25</w:t>
            </w:r>
          </w:p>
        </w:tc>
        <w:tc>
          <w:tcPr>
            <w:tcW w:w="697" w:type="dxa"/>
          </w:tcPr>
          <w:p>
            <w:pPr>
              <w:pStyle w:val="TableParagraph"/>
              <w:spacing w:before="14"/>
              <w:ind w:right="83"/>
              <w:rPr>
                <w:sz w:val="14"/>
              </w:rPr>
            </w:pPr>
            <w:r>
              <w:rPr>
                <w:sz w:val="14"/>
              </w:rPr>
              <w:t>33.98</w:t>
            </w:r>
          </w:p>
        </w:tc>
        <w:tc>
          <w:tcPr>
            <w:tcW w:w="528" w:type="dxa"/>
          </w:tcPr>
          <w:p>
            <w:pPr>
              <w:pStyle w:val="TableParagraph"/>
              <w:spacing w:before="14"/>
              <w:ind w:right="52"/>
              <w:rPr>
                <w:sz w:val="14"/>
              </w:rPr>
            </w:pPr>
            <w:r>
              <w:rPr>
                <w:sz w:val="14"/>
              </w:rPr>
              <w:t>34.92</w:t>
            </w:r>
          </w:p>
        </w:tc>
      </w:tr>
      <w:tr>
        <w:trPr>
          <w:trHeight w:val="205" w:hRule="exact"/>
        </w:trPr>
        <w:tc>
          <w:tcPr>
            <w:tcW w:w="1315" w:type="dxa"/>
          </w:tcPr>
          <w:p>
            <w:pPr>
              <w:pStyle w:val="TableParagraph"/>
              <w:spacing w:before="14"/>
              <w:ind w:left="4"/>
              <w:jc w:val="left"/>
              <w:rPr>
                <w:sz w:val="14"/>
              </w:rPr>
            </w:pPr>
            <w:r>
              <w:rPr>
                <w:sz w:val="14"/>
              </w:rPr>
              <w:t>35-44 años</w:t>
            </w:r>
          </w:p>
        </w:tc>
        <w:tc>
          <w:tcPr>
            <w:tcW w:w="647" w:type="dxa"/>
          </w:tcPr>
          <w:p>
            <w:pPr>
              <w:pStyle w:val="TableParagraph"/>
              <w:spacing w:before="14"/>
              <w:ind w:right="54"/>
              <w:rPr>
                <w:sz w:val="14"/>
              </w:rPr>
            </w:pPr>
            <w:r>
              <w:rPr>
                <w:w w:val="95"/>
                <w:sz w:val="14"/>
              </w:rPr>
              <w:t>0.00</w:t>
            </w:r>
          </w:p>
        </w:tc>
        <w:tc>
          <w:tcPr>
            <w:tcW w:w="807" w:type="dxa"/>
          </w:tcPr>
          <w:p>
            <w:pPr>
              <w:pStyle w:val="TableParagraph"/>
              <w:spacing w:before="14"/>
              <w:ind w:right="80"/>
              <w:rPr>
                <w:sz w:val="14"/>
              </w:rPr>
            </w:pPr>
            <w:r>
              <w:rPr>
                <w:sz w:val="14"/>
              </w:rPr>
              <w:t>7.64</w:t>
            </w:r>
          </w:p>
        </w:tc>
        <w:tc>
          <w:tcPr>
            <w:tcW w:w="526" w:type="dxa"/>
          </w:tcPr>
          <w:p>
            <w:pPr>
              <w:pStyle w:val="TableParagraph"/>
              <w:spacing w:before="14"/>
              <w:ind w:left="204" w:right="36"/>
              <w:jc w:val="center"/>
              <w:rPr>
                <w:sz w:val="14"/>
              </w:rPr>
            </w:pPr>
            <w:r>
              <w:rPr>
                <w:sz w:val="14"/>
              </w:rPr>
              <w:t>7.17</w:t>
            </w:r>
          </w:p>
        </w:tc>
        <w:tc>
          <w:tcPr>
            <w:tcW w:w="1310" w:type="dxa"/>
          </w:tcPr>
          <w:p>
            <w:pPr>
              <w:pStyle w:val="TableParagraph"/>
              <w:spacing w:before="14"/>
              <w:ind w:left="55"/>
              <w:jc w:val="left"/>
              <w:rPr>
                <w:sz w:val="14"/>
              </w:rPr>
            </w:pPr>
            <w:r>
              <w:rPr>
                <w:sz w:val="14"/>
              </w:rPr>
              <w:t>35-44 años</w:t>
            </w:r>
          </w:p>
        </w:tc>
        <w:tc>
          <w:tcPr>
            <w:tcW w:w="690" w:type="dxa"/>
          </w:tcPr>
          <w:p>
            <w:pPr>
              <w:pStyle w:val="TableParagraph"/>
              <w:spacing w:before="14"/>
              <w:ind w:right="52"/>
              <w:rPr>
                <w:sz w:val="14"/>
              </w:rPr>
            </w:pPr>
            <w:r>
              <w:rPr>
                <w:sz w:val="14"/>
              </w:rPr>
              <w:t>19.55</w:t>
            </w:r>
          </w:p>
        </w:tc>
        <w:tc>
          <w:tcPr>
            <w:tcW w:w="697" w:type="dxa"/>
          </w:tcPr>
          <w:p>
            <w:pPr>
              <w:pStyle w:val="TableParagraph"/>
              <w:spacing w:before="14"/>
              <w:ind w:right="83"/>
              <w:rPr>
                <w:sz w:val="14"/>
              </w:rPr>
            </w:pPr>
            <w:r>
              <w:rPr>
                <w:sz w:val="14"/>
              </w:rPr>
              <w:t>24.43</w:t>
            </w:r>
          </w:p>
        </w:tc>
        <w:tc>
          <w:tcPr>
            <w:tcW w:w="528" w:type="dxa"/>
          </w:tcPr>
          <w:p>
            <w:pPr>
              <w:pStyle w:val="TableParagraph"/>
              <w:spacing w:before="14"/>
              <w:ind w:right="52"/>
              <w:rPr>
                <w:sz w:val="14"/>
              </w:rPr>
            </w:pPr>
            <w:r>
              <w:rPr>
                <w:sz w:val="14"/>
              </w:rPr>
              <w:t>24.29</w:t>
            </w:r>
          </w:p>
        </w:tc>
      </w:tr>
      <w:tr>
        <w:trPr>
          <w:trHeight w:val="205" w:hRule="exact"/>
        </w:trPr>
        <w:tc>
          <w:tcPr>
            <w:tcW w:w="1315" w:type="dxa"/>
          </w:tcPr>
          <w:p>
            <w:pPr>
              <w:pStyle w:val="TableParagraph"/>
              <w:spacing w:before="16"/>
              <w:ind w:left="4"/>
              <w:jc w:val="left"/>
              <w:rPr>
                <w:sz w:val="14"/>
              </w:rPr>
            </w:pPr>
            <w:r>
              <w:rPr>
                <w:sz w:val="14"/>
              </w:rPr>
              <w:t>45-54 años</w:t>
            </w:r>
          </w:p>
        </w:tc>
        <w:tc>
          <w:tcPr>
            <w:tcW w:w="647" w:type="dxa"/>
          </w:tcPr>
          <w:p>
            <w:pPr>
              <w:pStyle w:val="TableParagraph"/>
              <w:spacing w:before="16"/>
              <w:ind w:right="54"/>
              <w:rPr>
                <w:sz w:val="14"/>
              </w:rPr>
            </w:pPr>
            <w:r>
              <w:rPr>
                <w:w w:val="95"/>
                <w:sz w:val="14"/>
              </w:rPr>
              <w:t>0.00</w:t>
            </w:r>
          </w:p>
        </w:tc>
        <w:tc>
          <w:tcPr>
            <w:tcW w:w="807" w:type="dxa"/>
          </w:tcPr>
          <w:p>
            <w:pPr>
              <w:pStyle w:val="TableParagraph"/>
              <w:spacing w:before="16"/>
              <w:ind w:right="80"/>
              <w:rPr>
                <w:sz w:val="14"/>
              </w:rPr>
            </w:pPr>
            <w:r>
              <w:rPr>
                <w:sz w:val="14"/>
              </w:rPr>
              <w:t>21.14</w:t>
            </w:r>
          </w:p>
        </w:tc>
        <w:tc>
          <w:tcPr>
            <w:tcW w:w="526" w:type="dxa"/>
          </w:tcPr>
          <w:p>
            <w:pPr>
              <w:pStyle w:val="TableParagraph"/>
              <w:spacing w:before="16"/>
              <w:ind w:left="118" w:right="21"/>
              <w:jc w:val="center"/>
              <w:rPr>
                <w:sz w:val="14"/>
              </w:rPr>
            </w:pPr>
            <w:r>
              <w:rPr>
                <w:sz w:val="14"/>
              </w:rPr>
              <w:t>19.84</w:t>
            </w:r>
          </w:p>
        </w:tc>
        <w:tc>
          <w:tcPr>
            <w:tcW w:w="1310" w:type="dxa"/>
          </w:tcPr>
          <w:p>
            <w:pPr>
              <w:pStyle w:val="TableParagraph"/>
              <w:spacing w:before="16"/>
              <w:ind w:left="55"/>
              <w:jc w:val="left"/>
              <w:rPr>
                <w:sz w:val="14"/>
              </w:rPr>
            </w:pPr>
            <w:r>
              <w:rPr>
                <w:sz w:val="14"/>
              </w:rPr>
              <w:t>45-54 años</w:t>
            </w:r>
          </w:p>
        </w:tc>
        <w:tc>
          <w:tcPr>
            <w:tcW w:w="690" w:type="dxa"/>
          </w:tcPr>
          <w:p>
            <w:pPr>
              <w:pStyle w:val="TableParagraph"/>
              <w:spacing w:before="16"/>
              <w:ind w:right="52"/>
              <w:rPr>
                <w:sz w:val="14"/>
              </w:rPr>
            </w:pPr>
            <w:r>
              <w:rPr>
                <w:sz w:val="14"/>
              </w:rPr>
              <w:t>0.00</w:t>
            </w:r>
          </w:p>
        </w:tc>
        <w:tc>
          <w:tcPr>
            <w:tcW w:w="697" w:type="dxa"/>
          </w:tcPr>
          <w:p>
            <w:pPr>
              <w:pStyle w:val="TableParagraph"/>
              <w:spacing w:before="16"/>
              <w:ind w:right="83"/>
              <w:rPr>
                <w:sz w:val="14"/>
              </w:rPr>
            </w:pPr>
            <w:r>
              <w:rPr>
                <w:sz w:val="14"/>
              </w:rPr>
              <w:t>9.04</w:t>
            </w:r>
          </w:p>
        </w:tc>
        <w:tc>
          <w:tcPr>
            <w:tcW w:w="528" w:type="dxa"/>
          </w:tcPr>
          <w:p>
            <w:pPr>
              <w:pStyle w:val="TableParagraph"/>
              <w:spacing w:before="16"/>
              <w:ind w:right="52"/>
              <w:rPr>
                <w:sz w:val="14"/>
              </w:rPr>
            </w:pPr>
            <w:r>
              <w:rPr>
                <w:sz w:val="14"/>
              </w:rPr>
              <w:t>8.78</w:t>
            </w:r>
          </w:p>
        </w:tc>
      </w:tr>
      <w:tr>
        <w:trPr>
          <w:trHeight w:val="204" w:hRule="exact"/>
        </w:trPr>
        <w:tc>
          <w:tcPr>
            <w:tcW w:w="1315" w:type="dxa"/>
          </w:tcPr>
          <w:p>
            <w:pPr>
              <w:pStyle w:val="TableParagraph"/>
              <w:spacing w:before="14"/>
              <w:ind w:left="4"/>
              <w:jc w:val="left"/>
              <w:rPr>
                <w:sz w:val="14"/>
              </w:rPr>
            </w:pPr>
            <w:r>
              <w:rPr>
                <w:sz w:val="14"/>
              </w:rPr>
              <w:t>55-64 años</w:t>
            </w:r>
          </w:p>
        </w:tc>
        <w:tc>
          <w:tcPr>
            <w:tcW w:w="647" w:type="dxa"/>
          </w:tcPr>
          <w:p>
            <w:pPr>
              <w:pStyle w:val="TableParagraph"/>
              <w:spacing w:before="14"/>
              <w:ind w:right="54"/>
              <w:rPr>
                <w:sz w:val="14"/>
              </w:rPr>
            </w:pPr>
            <w:r>
              <w:rPr>
                <w:w w:val="95"/>
                <w:sz w:val="14"/>
              </w:rPr>
              <w:t>0.00</w:t>
            </w:r>
          </w:p>
        </w:tc>
        <w:tc>
          <w:tcPr>
            <w:tcW w:w="807" w:type="dxa"/>
          </w:tcPr>
          <w:p>
            <w:pPr>
              <w:pStyle w:val="TableParagraph"/>
              <w:spacing w:before="14"/>
              <w:ind w:right="80"/>
              <w:rPr>
                <w:sz w:val="14"/>
              </w:rPr>
            </w:pPr>
            <w:r>
              <w:rPr>
                <w:sz w:val="14"/>
              </w:rPr>
              <w:t>6.06</w:t>
            </w:r>
          </w:p>
        </w:tc>
        <w:tc>
          <w:tcPr>
            <w:tcW w:w="526" w:type="dxa"/>
          </w:tcPr>
          <w:p>
            <w:pPr>
              <w:pStyle w:val="TableParagraph"/>
              <w:spacing w:before="14"/>
              <w:ind w:left="204" w:right="36"/>
              <w:jc w:val="center"/>
              <w:rPr>
                <w:sz w:val="14"/>
              </w:rPr>
            </w:pPr>
            <w:r>
              <w:rPr>
                <w:sz w:val="14"/>
              </w:rPr>
              <w:t>5.69</w:t>
            </w:r>
          </w:p>
        </w:tc>
        <w:tc>
          <w:tcPr>
            <w:tcW w:w="1310" w:type="dxa"/>
          </w:tcPr>
          <w:p>
            <w:pPr>
              <w:pStyle w:val="TableParagraph"/>
              <w:spacing w:before="14"/>
              <w:ind w:left="55"/>
              <w:jc w:val="left"/>
              <w:rPr>
                <w:sz w:val="14"/>
              </w:rPr>
            </w:pPr>
            <w:r>
              <w:rPr>
                <w:sz w:val="14"/>
              </w:rPr>
              <w:t>55-64 años</w:t>
            </w:r>
          </w:p>
        </w:tc>
        <w:tc>
          <w:tcPr>
            <w:tcW w:w="690" w:type="dxa"/>
          </w:tcPr>
          <w:p>
            <w:pPr>
              <w:pStyle w:val="TableParagraph"/>
              <w:spacing w:before="14"/>
              <w:ind w:right="52"/>
              <w:rPr>
                <w:sz w:val="14"/>
              </w:rPr>
            </w:pPr>
            <w:r>
              <w:rPr>
                <w:sz w:val="14"/>
              </w:rPr>
              <w:t>0.00</w:t>
            </w:r>
          </w:p>
        </w:tc>
        <w:tc>
          <w:tcPr>
            <w:tcW w:w="697" w:type="dxa"/>
          </w:tcPr>
          <w:p>
            <w:pPr>
              <w:pStyle w:val="TableParagraph"/>
              <w:spacing w:before="14"/>
              <w:ind w:right="83"/>
              <w:rPr>
                <w:sz w:val="14"/>
              </w:rPr>
            </w:pPr>
            <w:r>
              <w:rPr>
                <w:sz w:val="14"/>
              </w:rPr>
              <w:t>9.29</w:t>
            </w:r>
          </w:p>
        </w:tc>
        <w:tc>
          <w:tcPr>
            <w:tcW w:w="528" w:type="dxa"/>
          </w:tcPr>
          <w:p>
            <w:pPr>
              <w:pStyle w:val="TableParagraph"/>
              <w:spacing w:before="14"/>
              <w:ind w:right="52"/>
              <w:rPr>
                <w:sz w:val="14"/>
              </w:rPr>
            </w:pPr>
            <w:r>
              <w:rPr>
                <w:sz w:val="14"/>
              </w:rPr>
              <w:t>9.03</w:t>
            </w:r>
          </w:p>
        </w:tc>
      </w:tr>
      <w:tr>
        <w:trPr>
          <w:trHeight w:val="204" w:hRule="exact"/>
        </w:trPr>
        <w:tc>
          <w:tcPr>
            <w:tcW w:w="1315" w:type="dxa"/>
          </w:tcPr>
          <w:p>
            <w:pPr>
              <w:pStyle w:val="TableParagraph"/>
              <w:spacing w:before="14"/>
              <w:ind w:left="4"/>
              <w:jc w:val="left"/>
              <w:rPr>
                <w:sz w:val="14"/>
              </w:rPr>
            </w:pPr>
            <w:r>
              <w:rPr>
                <w:sz w:val="14"/>
              </w:rPr>
              <w:t>65 o más años</w:t>
            </w:r>
          </w:p>
        </w:tc>
        <w:tc>
          <w:tcPr>
            <w:tcW w:w="647" w:type="dxa"/>
          </w:tcPr>
          <w:p>
            <w:pPr>
              <w:pStyle w:val="TableParagraph"/>
              <w:spacing w:before="14"/>
              <w:ind w:right="54"/>
              <w:rPr>
                <w:sz w:val="14"/>
              </w:rPr>
            </w:pPr>
            <w:r>
              <w:rPr>
                <w:w w:val="95"/>
                <w:sz w:val="14"/>
              </w:rPr>
              <w:t>0.00</w:t>
            </w:r>
          </w:p>
        </w:tc>
        <w:tc>
          <w:tcPr>
            <w:tcW w:w="807" w:type="dxa"/>
          </w:tcPr>
          <w:p>
            <w:pPr>
              <w:pStyle w:val="TableParagraph"/>
              <w:spacing w:before="14"/>
              <w:ind w:right="80"/>
              <w:rPr>
                <w:sz w:val="14"/>
              </w:rPr>
            </w:pPr>
            <w:r>
              <w:rPr>
                <w:sz w:val="14"/>
              </w:rPr>
              <w:t>11.71</w:t>
            </w:r>
          </w:p>
        </w:tc>
        <w:tc>
          <w:tcPr>
            <w:tcW w:w="526" w:type="dxa"/>
          </w:tcPr>
          <w:p>
            <w:pPr>
              <w:pStyle w:val="TableParagraph"/>
              <w:spacing w:before="14"/>
              <w:ind w:left="118" w:right="21"/>
              <w:jc w:val="center"/>
              <w:rPr>
                <w:sz w:val="14"/>
              </w:rPr>
            </w:pPr>
            <w:r>
              <w:rPr>
                <w:sz w:val="14"/>
              </w:rPr>
              <w:t>10.99</w:t>
            </w:r>
          </w:p>
        </w:tc>
        <w:tc>
          <w:tcPr>
            <w:tcW w:w="1310" w:type="dxa"/>
          </w:tcPr>
          <w:p>
            <w:pPr>
              <w:pStyle w:val="TableParagraph"/>
              <w:spacing w:before="14"/>
              <w:ind w:left="55"/>
              <w:jc w:val="left"/>
              <w:rPr>
                <w:sz w:val="14"/>
              </w:rPr>
            </w:pPr>
            <w:r>
              <w:rPr>
                <w:sz w:val="14"/>
              </w:rPr>
              <w:t>65 o más años</w:t>
            </w:r>
          </w:p>
        </w:tc>
        <w:tc>
          <w:tcPr>
            <w:tcW w:w="690" w:type="dxa"/>
          </w:tcPr>
          <w:p>
            <w:pPr>
              <w:pStyle w:val="TableParagraph"/>
              <w:spacing w:before="14"/>
              <w:ind w:right="52"/>
              <w:rPr>
                <w:sz w:val="14"/>
              </w:rPr>
            </w:pPr>
            <w:r>
              <w:rPr>
                <w:sz w:val="14"/>
              </w:rPr>
              <w:t>0.00</w:t>
            </w:r>
          </w:p>
        </w:tc>
        <w:tc>
          <w:tcPr>
            <w:tcW w:w="697" w:type="dxa"/>
          </w:tcPr>
          <w:p>
            <w:pPr>
              <w:pStyle w:val="TableParagraph"/>
              <w:spacing w:before="14"/>
              <w:ind w:right="83"/>
              <w:rPr>
                <w:sz w:val="14"/>
              </w:rPr>
            </w:pPr>
            <w:r>
              <w:rPr>
                <w:sz w:val="14"/>
              </w:rPr>
              <w:t>0.19</w:t>
            </w:r>
          </w:p>
        </w:tc>
        <w:tc>
          <w:tcPr>
            <w:tcW w:w="528" w:type="dxa"/>
          </w:tcPr>
          <w:p>
            <w:pPr>
              <w:pStyle w:val="TableParagraph"/>
              <w:spacing w:before="14"/>
              <w:ind w:right="52"/>
              <w:rPr>
                <w:sz w:val="14"/>
              </w:rPr>
            </w:pPr>
            <w:r>
              <w:rPr>
                <w:sz w:val="14"/>
              </w:rPr>
              <w:t>0.19</w:t>
            </w:r>
          </w:p>
        </w:tc>
      </w:tr>
      <w:tr>
        <w:trPr>
          <w:trHeight w:val="204" w:hRule="exact"/>
        </w:trPr>
        <w:tc>
          <w:tcPr>
            <w:tcW w:w="1315" w:type="dxa"/>
          </w:tcPr>
          <w:p>
            <w:pPr>
              <w:pStyle w:val="TableParagraph"/>
              <w:spacing w:before="14"/>
              <w:ind w:left="4"/>
              <w:jc w:val="left"/>
              <w:rPr>
                <w:sz w:val="14"/>
              </w:rPr>
            </w:pPr>
            <w:r>
              <w:rPr>
                <w:sz w:val="14"/>
              </w:rPr>
              <w:t>Total</w:t>
            </w:r>
          </w:p>
        </w:tc>
        <w:tc>
          <w:tcPr>
            <w:tcW w:w="647" w:type="dxa"/>
          </w:tcPr>
          <w:p>
            <w:pPr>
              <w:pStyle w:val="TableParagraph"/>
              <w:spacing w:before="14"/>
              <w:ind w:right="54"/>
              <w:rPr>
                <w:sz w:val="14"/>
              </w:rPr>
            </w:pPr>
            <w:r>
              <w:rPr>
                <w:w w:val="95"/>
                <w:sz w:val="14"/>
              </w:rPr>
              <w:t>100.00</w:t>
            </w:r>
          </w:p>
        </w:tc>
        <w:tc>
          <w:tcPr>
            <w:tcW w:w="807" w:type="dxa"/>
          </w:tcPr>
          <w:p>
            <w:pPr>
              <w:pStyle w:val="TableParagraph"/>
              <w:spacing w:before="14"/>
              <w:ind w:right="81"/>
              <w:rPr>
                <w:sz w:val="14"/>
              </w:rPr>
            </w:pPr>
            <w:r>
              <w:rPr>
                <w:w w:val="95"/>
                <w:sz w:val="14"/>
              </w:rPr>
              <w:t>100.00</w:t>
            </w:r>
          </w:p>
        </w:tc>
        <w:tc>
          <w:tcPr>
            <w:tcW w:w="526" w:type="dxa"/>
          </w:tcPr>
          <w:p>
            <w:pPr>
              <w:pStyle w:val="TableParagraph"/>
              <w:spacing w:before="14"/>
              <w:ind w:left="61" w:right="36"/>
              <w:jc w:val="center"/>
              <w:rPr>
                <w:sz w:val="14"/>
              </w:rPr>
            </w:pPr>
            <w:r>
              <w:rPr>
                <w:sz w:val="14"/>
              </w:rPr>
              <w:t>100.00</w:t>
            </w:r>
          </w:p>
        </w:tc>
        <w:tc>
          <w:tcPr>
            <w:tcW w:w="1310" w:type="dxa"/>
          </w:tcPr>
          <w:p>
            <w:pPr>
              <w:pStyle w:val="TableParagraph"/>
              <w:spacing w:before="14"/>
              <w:ind w:left="55"/>
              <w:jc w:val="left"/>
              <w:rPr>
                <w:sz w:val="14"/>
              </w:rPr>
            </w:pPr>
            <w:r>
              <w:rPr>
                <w:sz w:val="14"/>
              </w:rPr>
              <w:t>Total</w:t>
            </w:r>
          </w:p>
        </w:tc>
        <w:tc>
          <w:tcPr>
            <w:tcW w:w="690" w:type="dxa"/>
          </w:tcPr>
          <w:p>
            <w:pPr>
              <w:pStyle w:val="TableParagraph"/>
              <w:spacing w:before="14"/>
              <w:ind w:right="53"/>
              <w:rPr>
                <w:sz w:val="14"/>
              </w:rPr>
            </w:pPr>
            <w:r>
              <w:rPr>
                <w:w w:val="95"/>
                <w:sz w:val="14"/>
              </w:rPr>
              <w:t>100.00</w:t>
            </w:r>
          </w:p>
        </w:tc>
        <w:tc>
          <w:tcPr>
            <w:tcW w:w="697" w:type="dxa"/>
          </w:tcPr>
          <w:p>
            <w:pPr>
              <w:pStyle w:val="TableParagraph"/>
              <w:spacing w:before="14"/>
              <w:ind w:right="84"/>
              <w:rPr>
                <w:sz w:val="14"/>
              </w:rPr>
            </w:pPr>
            <w:r>
              <w:rPr>
                <w:w w:val="95"/>
                <w:sz w:val="14"/>
              </w:rPr>
              <w:t>100.00</w:t>
            </w:r>
          </w:p>
        </w:tc>
        <w:tc>
          <w:tcPr>
            <w:tcW w:w="528" w:type="dxa"/>
          </w:tcPr>
          <w:p>
            <w:pPr>
              <w:pStyle w:val="TableParagraph"/>
              <w:spacing w:before="14"/>
              <w:ind w:right="53"/>
              <w:rPr>
                <w:sz w:val="14"/>
              </w:rPr>
            </w:pPr>
            <w:r>
              <w:rPr>
                <w:w w:val="95"/>
                <w:sz w:val="14"/>
              </w:rPr>
              <w:t>100.00</w:t>
            </w:r>
          </w:p>
        </w:tc>
      </w:tr>
      <w:tr>
        <w:trPr>
          <w:trHeight w:val="204" w:hRule="exact"/>
        </w:trPr>
        <w:tc>
          <w:tcPr>
            <w:tcW w:w="1315" w:type="dxa"/>
          </w:tcPr>
          <w:p>
            <w:pPr>
              <w:pStyle w:val="TableParagraph"/>
              <w:spacing w:before="14"/>
              <w:ind w:left="4"/>
              <w:jc w:val="left"/>
              <w:rPr>
                <w:i/>
                <w:sz w:val="14"/>
              </w:rPr>
            </w:pPr>
            <w:r>
              <w:rPr>
                <w:i/>
                <w:sz w:val="14"/>
              </w:rPr>
              <w:t>Alfabetismo</w:t>
            </w:r>
          </w:p>
        </w:tc>
        <w:tc>
          <w:tcPr>
            <w:tcW w:w="647" w:type="dxa"/>
          </w:tcPr>
          <w:p>
            <w:pPr/>
          </w:p>
        </w:tc>
        <w:tc>
          <w:tcPr>
            <w:tcW w:w="807" w:type="dxa"/>
          </w:tcPr>
          <w:p>
            <w:pPr/>
          </w:p>
        </w:tc>
        <w:tc>
          <w:tcPr>
            <w:tcW w:w="526" w:type="dxa"/>
          </w:tcPr>
          <w:p>
            <w:pPr/>
          </w:p>
        </w:tc>
        <w:tc>
          <w:tcPr>
            <w:tcW w:w="1310" w:type="dxa"/>
          </w:tcPr>
          <w:p>
            <w:pPr/>
          </w:p>
        </w:tc>
        <w:tc>
          <w:tcPr>
            <w:tcW w:w="690" w:type="dxa"/>
          </w:tcPr>
          <w:p>
            <w:pPr/>
          </w:p>
        </w:tc>
        <w:tc>
          <w:tcPr>
            <w:tcW w:w="697" w:type="dxa"/>
          </w:tcPr>
          <w:p>
            <w:pPr/>
          </w:p>
        </w:tc>
        <w:tc>
          <w:tcPr>
            <w:tcW w:w="528" w:type="dxa"/>
          </w:tcPr>
          <w:p>
            <w:pPr/>
          </w:p>
        </w:tc>
      </w:tr>
      <w:tr>
        <w:trPr>
          <w:trHeight w:val="204" w:hRule="exact"/>
        </w:trPr>
        <w:tc>
          <w:tcPr>
            <w:tcW w:w="1315" w:type="dxa"/>
          </w:tcPr>
          <w:p>
            <w:pPr>
              <w:pStyle w:val="TableParagraph"/>
              <w:spacing w:before="14"/>
              <w:ind w:left="4"/>
              <w:jc w:val="left"/>
              <w:rPr>
                <w:sz w:val="14"/>
              </w:rPr>
            </w:pPr>
            <w:r>
              <w:rPr>
                <w:sz w:val="14"/>
              </w:rPr>
              <w:t>Sabe leer</w:t>
            </w:r>
          </w:p>
        </w:tc>
        <w:tc>
          <w:tcPr>
            <w:tcW w:w="647" w:type="dxa"/>
          </w:tcPr>
          <w:p>
            <w:pPr>
              <w:pStyle w:val="TableParagraph"/>
              <w:spacing w:before="14"/>
              <w:ind w:right="54"/>
              <w:rPr>
                <w:sz w:val="14"/>
              </w:rPr>
            </w:pPr>
            <w:r>
              <w:rPr>
                <w:w w:val="95"/>
                <w:sz w:val="14"/>
              </w:rPr>
              <w:t>100.00</w:t>
            </w:r>
          </w:p>
        </w:tc>
        <w:tc>
          <w:tcPr>
            <w:tcW w:w="807" w:type="dxa"/>
          </w:tcPr>
          <w:p>
            <w:pPr>
              <w:pStyle w:val="TableParagraph"/>
              <w:spacing w:before="14"/>
              <w:ind w:right="80"/>
              <w:rPr>
                <w:sz w:val="14"/>
              </w:rPr>
            </w:pPr>
            <w:r>
              <w:rPr>
                <w:sz w:val="14"/>
              </w:rPr>
              <w:t>99.00</w:t>
            </w:r>
          </w:p>
        </w:tc>
        <w:tc>
          <w:tcPr>
            <w:tcW w:w="526" w:type="dxa"/>
          </w:tcPr>
          <w:p>
            <w:pPr>
              <w:pStyle w:val="TableParagraph"/>
              <w:spacing w:before="14"/>
              <w:ind w:left="118" w:right="21"/>
              <w:jc w:val="center"/>
              <w:rPr>
                <w:sz w:val="14"/>
              </w:rPr>
            </w:pPr>
            <w:r>
              <w:rPr>
                <w:sz w:val="14"/>
              </w:rPr>
              <w:t>99.06</w:t>
            </w:r>
          </w:p>
        </w:tc>
        <w:tc>
          <w:tcPr>
            <w:tcW w:w="1310" w:type="dxa"/>
          </w:tcPr>
          <w:p>
            <w:pPr>
              <w:pStyle w:val="TableParagraph"/>
              <w:spacing w:before="14"/>
              <w:ind w:left="55"/>
              <w:jc w:val="left"/>
              <w:rPr>
                <w:sz w:val="14"/>
              </w:rPr>
            </w:pPr>
            <w:r>
              <w:rPr>
                <w:sz w:val="14"/>
              </w:rPr>
              <w:t>Sabe leer</w:t>
            </w:r>
          </w:p>
        </w:tc>
        <w:tc>
          <w:tcPr>
            <w:tcW w:w="690" w:type="dxa"/>
          </w:tcPr>
          <w:p>
            <w:pPr>
              <w:pStyle w:val="TableParagraph"/>
              <w:spacing w:before="14"/>
              <w:ind w:right="52"/>
              <w:rPr>
                <w:sz w:val="14"/>
              </w:rPr>
            </w:pPr>
            <w:r>
              <w:rPr>
                <w:w w:val="95"/>
                <w:sz w:val="14"/>
              </w:rPr>
              <w:t>100</w:t>
            </w:r>
          </w:p>
        </w:tc>
        <w:tc>
          <w:tcPr>
            <w:tcW w:w="697" w:type="dxa"/>
          </w:tcPr>
          <w:p>
            <w:pPr>
              <w:pStyle w:val="TableParagraph"/>
              <w:spacing w:before="14"/>
              <w:ind w:right="84"/>
              <w:rPr>
                <w:sz w:val="14"/>
              </w:rPr>
            </w:pPr>
            <w:r>
              <w:rPr>
                <w:w w:val="95"/>
                <w:sz w:val="14"/>
              </w:rPr>
              <w:t>98.8</w:t>
            </w:r>
          </w:p>
        </w:tc>
        <w:tc>
          <w:tcPr>
            <w:tcW w:w="528" w:type="dxa"/>
          </w:tcPr>
          <w:p>
            <w:pPr>
              <w:pStyle w:val="TableParagraph"/>
              <w:spacing w:before="14"/>
              <w:ind w:right="53"/>
              <w:rPr>
                <w:sz w:val="14"/>
              </w:rPr>
            </w:pPr>
            <w:r>
              <w:rPr>
                <w:sz w:val="14"/>
              </w:rPr>
              <w:t>98.8</w:t>
            </w:r>
          </w:p>
        </w:tc>
      </w:tr>
      <w:tr>
        <w:trPr>
          <w:trHeight w:val="204" w:hRule="exact"/>
        </w:trPr>
        <w:tc>
          <w:tcPr>
            <w:tcW w:w="1315" w:type="dxa"/>
          </w:tcPr>
          <w:p>
            <w:pPr>
              <w:pStyle w:val="TableParagraph"/>
              <w:spacing w:before="14"/>
              <w:ind w:left="4"/>
              <w:jc w:val="left"/>
              <w:rPr>
                <w:sz w:val="14"/>
              </w:rPr>
            </w:pPr>
            <w:r>
              <w:rPr>
                <w:sz w:val="14"/>
              </w:rPr>
              <w:t>No sabe leer</w:t>
            </w:r>
          </w:p>
        </w:tc>
        <w:tc>
          <w:tcPr>
            <w:tcW w:w="647" w:type="dxa"/>
          </w:tcPr>
          <w:p>
            <w:pPr>
              <w:pStyle w:val="TableParagraph"/>
              <w:spacing w:before="14"/>
              <w:ind w:right="54"/>
              <w:rPr>
                <w:sz w:val="14"/>
              </w:rPr>
            </w:pPr>
            <w:r>
              <w:rPr>
                <w:w w:val="95"/>
                <w:sz w:val="14"/>
              </w:rPr>
              <w:t>0.00</w:t>
            </w:r>
          </w:p>
        </w:tc>
        <w:tc>
          <w:tcPr>
            <w:tcW w:w="807" w:type="dxa"/>
          </w:tcPr>
          <w:p>
            <w:pPr>
              <w:pStyle w:val="TableParagraph"/>
              <w:spacing w:before="14"/>
              <w:ind w:right="80"/>
              <w:rPr>
                <w:sz w:val="14"/>
              </w:rPr>
            </w:pPr>
            <w:r>
              <w:rPr>
                <w:sz w:val="14"/>
              </w:rPr>
              <w:t>0.55</w:t>
            </w:r>
          </w:p>
        </w:tc>
        <w:tc>
          <w:tcPr>
            <w:tcW w:w="526" w:type="dxa"/>
          </w:tcPr>
          <w:p>
            <w:pPr>
              <w:pStyle w:val="TableParagraph"/>
              <w:spacing w:before="14"/>
              <w:ind w:left="204" w:right="36"/>
              <w:jc w:val="center"/>
              <w:rPr>
                <w:sz w:val="14"/>
              </w:rPr>
            </w:pPr>
            <w:r>
              <w:rPr>
                <w:sz w:val="14"/>
              </w:rPr>
              <w:t>0.52</w:t>
            </w:r>
          </w:p>
        </w:tc>
        <w:tc>
          <w:tcPr>
            <w:tcW w:w="1310" w:type="dxa"/>
          </w:tcPr>
          <w:p>
            <w:pPr>
              <w:pStyle w:val="TableParagraph"/>
              <w:spacing w:before="14"/>
              <w:ind w:left="55"/>
              <w:jc w:val="left"/>
              <w:rPr>
                <w:sz w:val="14"/>
              </w:rPr>
            </w:pPr>
            <w:r>
              <w:rPr>
                <w:sz w:val="14"/>
              </w:rPr>
              <w:t>No sabe leer</w:t>
            </w:r>
          </w:p>
        </w:tc>
        <w:tc>
          <w:tcPr>
            <w:tcW w:w="690" w:type="dxa"/>
          </w:tcPr>
          <w:p>
            <w:pPr>
              <w:pStyle w:val="TableParagraph"/>
              <w:spacing w:before="14"/>
              <w:ind w:right="53"/>
              <w:rPr>
                <w:sz w:val="14"/>
              </w:rPr>
            </w:pPr>
            <w:r>
              <w:rPr>
                <w:w w:val="99"/>
                <w:sz w:val="14"/>
              </w:rPr>
              <w:t>0</w:t>
            </w:r>
          </w:p>
        </w:tc>
        <w:tc>
          <w:tcPr>
            <w:tcW w:w="697" w:type="dxa"/>
          </w:tcPr>
          <w:p>
            <w:pPr>
              <w:pStyle w:val="TableParagraph"/>
              <w:spacing w:before="14"/>
              <w:ind w:right="83"/>
              <w:rPr>
                <w:sz w:val="14"/>
              </w:rPr>
            </w:pPr>
            <w:r>
              <w:rPr>
                <w:w w:val="95"/>
                <w:sz w:val="14"/>
              </w:rPr>
              <w:t>1.2</w:t>
            </w:r>
          </w:p>
        </w:tc>
        <w:tc>
          <w:tcPr>
            <w:tcW w:w="528" w:type="dxa"/>
          </w:tcPr>
          <w:p>
            <w:pPr>
              <w:pStyle w:val="TableParagraph"/>
              <w:spacing w:before="14"/>
              <w:ind w:right="52"/>
              <w:rPr>
                <w:sz w:val="14"/>
              </w:rPr>
            </w:pPr>
            <w:r>
              <w:rPr>
                <w:w w:val="95"/>
                <w:sz w:val="14"/>
              </w:rPr>
              <w:t>1.2</w:t>
            </w:r>
          </w:p>
        </w:tc>
      </w:tr>
      <w:tr>
        <w:trPr>
          <w:trHeight w:val="205" w:hRule="exact"/>
        </w:trPr>
        <w:tc>
          <w:tcPr>
            <w:tcW w:w="1315" w:type="dxa"/>
          </w:tcPr>
          <w:p>
            <w:pPr>
              <w:pStyle w:val="TableParagraph"/>
              <w:spacing w:before="14"/>
              <w:ind w:left="4"/>
              <w:jc w:val="left"/>
              <w:rPr>
                <w:sz w:val="14"/>
              </w:rPr>
            </w:pPr>
            <w:r>
              <w:rPr>
                <w:sz w:val="14"/>
              </w:rPr>
              <w:t>NE</w:t>
            </w:r>
          </w:p>
        </w:tc>
        <w:tc>
          <w:tcPr>
            <w:tcW w:w="647" w:type="dxa"/>
          </w:tcPr>
          <w:p>
            <w:pPr>
              <w:pStyle w:val="TableParagraph"/>
              <w:spacing w:before="14"/>
              <w:ind w:right="54"/>
              <w:rPr>
                <w:sz w:val="14"/>
              </w:rPr>
            </w:pPr>
            <w:r>
              <w:rPr>
                <w:w w:val="95"/>
                <w:sz w:val="14"/>
              </w:rPr>
              <w:t>0.00</w:t>
            </w:r>
          </w:p>
        </w:tc>
        <w:tc>
          <w:tcPr>
            <w:tcW w:w="807" w:type="dxa"/>
          </w:tcPr>
          <w:p>
            <w:pPr>
              <w:pStyle w:val="TableParagraph"/>
              <w:spacing w:before="14"/>
              <w:ind w:right="80"/>
              <w:rPr>
                <w:sz w:val="14"/>
              </w:rPr>
            </w:pPr>
            <w:r>
              <w:rPr>
                <w:sz w:val="14"/>
              </w:rPr>
              <w:t>0.45</w:t>
            </w:r>
          </w:p>
        </w:tc>
        <w:tc>
          <w:tcPr>
            <w:tcW w:w="526" w:type="dxa"/>
          </w:tcPr>
          <w:p>
            <w:pPr>
              <w:pStyle w:val="TableParagraph"/>
              <w:spacing w:before="14"/>
              <w:ind w:left="204" w:right="36"/>
              <w:jc w:val="center"/>
              <w:rPr>
                <w:sz w:val="14"/>
              </w:rPr>
            </w:pPr>
            <w:r>
              <w:rPr>
                <w:sz w:val="14"/>
              </w:rPr>
              <w:t>0.42</w:t>
            </w:r>
          </w:p>
        </w:tc>
        <w:tc>
          <w:tcPr>
            <w:tcW w:w="1310" w:type="dxa"/>
          </w:tcPr>
          <w:p>
            <w:pPr>
              <w:pStyle w:val="TableParagraph"/>
              <w:spacing w:before="14"/>
              <w:ind w:left="55"/>
              <w:jc w:val="left"/>
              <w:rPr>
                <w:sz w:val="14"/>
              </w:rPr>
            </w:pPr>
            <w:r>
              <w:rPr>
                <w:sz w:val="14"/>
              </w:rPr>
              <w:t>Total</w:t>
            </w:r>
          </w:p>
        </w:tc>
        <w:tc>
          <w:tcPr>
            <w:tcW w:w="690" w:type="dxa"/>
          </w:tcPr>
          <w:p>
            <w:pPr>
              <w:pStyle w:val="TableParagraph"/>
              <w:spacing w:before="14"/>
              <w:ind w:right="52"/>
              <w:rPr>
                <w:sz w:val="14"/>
              </w:rPr>
            </w:pPr>
            <w:r>
              <w:rPr>
                <w:w w:val="95"/>
                <w:sz w:val="14"/>
              </w:rPr>
              <w:t>100</w:t>
            </w:r>
          </w:p>
        </w:tc>
        <w:tc>
          <w:tcPr>
            <w:tcW w:w="697" w:type="dxa"/>
          </w:tcPr>
          <w:p>
            <w:pPr>
              <w:pStyle w:val="TableParagraph"/>
              <w:spacing w:before="14"/>
              <w:ind w:right="83"/>
              <w:rPr>
                <w:sz w:val="14"/>
              </w:rPr>
            </w:pPr>
            <w:r>
              <w:rPr>
                <w:w w:val="95"/>
                <w:sz w:val="14"/>
              </w:rPr>
              <w:t>100.0</w:t>
            </w:r>
          </w:p>
        </w:tc>
        <w:tc>
          <w:tcPr>
            <w:tcW w:w="528" w:type="dxa"/>
          </w:tcPr>
          <w:p>
            <w:pPr>
              <w:pStyle w:val="TableParagraph"/>
              <w:spacing w:before="14"/>
              <w:ind w:right="52"/>
              <w:rPr>
                <w:sz w:val="14"/>
              </w:rPr>
            </w:pPr>
            <w:r>
              <w:rPr>
                <w:w w:val="95"/>
                <w:sz w:val="14"/>
              </w:rPr>
              <w:t>100.0</w:t>
            </w:r>
          </w:p>
        </w:tc>
      </w:tr>
      <w:tr>
        <w:trPr>
          <w:trHeight w:val="205" w:hRule="exact"/>
        </w:trPr>
        <w:tc>
          <w:tcPr>
            <w:tcW w:w="1315" w:type="dxa"/>
          </w:tcPr>
          <w:p>
            <w:pPr>
              <w:pStyle w:val="TableParagraph"/>
              <w:spacing w:before="16"/>
              <w:ind w:left="4"/>
              <w:jc w:val="left"/>
              <w:rPr>
                <w:sz w:val="14"/>
              </w:rPr>
            </w:pPr>
            <w:r>
              <w:rPr>
                <w:sz w:val="14"/>
              </w:rPr>
              <w:t>Total</w:t>
            </w:r>
          </w:p>
        </w:tc>
        <w:tc>
          <w:tcPr>
            <w:tcW w:w="647" w:type="dxa"/>
          </w:tcPr>
          <w:p>
            <w:pPr>
              <w:pStyle w:val="TableParagraph"/>
              <w:spacing w:before="16"/>
              <w:ind w:right="54"/>
              <w:rPr>
                <w:sz w:val="14"/>
              </w:rPr>
            </w:pPr>
            <w:r>
              <w:rPr>
                <w:w w:val="95"/>
                <w:sz w:val="14"/>
              </w:rPr>
              <w:t>100.00</w:t>
            </w:r>
          </w:p>
        </w:tc>
        <w:tc>
          <w:tcPr>
            <w:tcW w:w="807" w:type="dxa"/>
          </w:tcPr>
          <w:p>
            <w:pPr>
              <w:pStyle w:val="TableParagraph"/>
              <w:spacing w:before="16"/>
              <w:ind w:right="80"/>
              <w:rPr>
                <w:sz w:val="14"/>
              </w:rPr>
            </w:pPr>
            <w:r>
              <w:rPr>
                <w:w w:val="95"/>
                <w:sz w:val="14"/>
              </w:rPr>
              <w:t>100.00</w:t>
            </w:r>
          </w:p>
        </w:tc>
        <w:tc>
          <w:tcPr>
            <w:tcW w:w="526" w:type="dxa"/>
          </w:tcPr>
          <w:p>
            <w:pPr>
              <w:pStyle w:val="TableParagraph"/>
              <w:spacing w:before="16"/>
              <w:ind w:left="63" w:right="36"/>
              <w:jc w:val="center"/>
              <w:rPr>
                <w:sz w:val="14"/>
              </w:rPr>
            </w:pPr>
            <w:r>
              <w:rPr>
                <w:sz w:val="14"/>
              </w:rPr>
              <w:t>100.00</w:t>
            </w:r>
          </w:p>
        </w:tc>
        <w:tc>
          <w:tcPr>
            <w:tcW w:w="1310" w:type="dxa"/>
          </w:tcPr>
          <w:p>
            <w:pPr/>
          </w:p>
        </w:tc>
        <w:tc>
          <w:tcPr>
            <w:tcW w:w="690" w:type="dxa"/>
          </w:tcPr>
          <w:p>
            <w:pPr/>
          </w:p>
        </w:tc>
        <w:tc>
          <w:tcPr>
            <w:tcW w:w="697" w:type="dxa"/>
          </w:tcPr>
          <w:p>
            <w:pPr/>
          </w:p>
        </w:tc>
        <w:tc>
          <w:tcPr>
            <w:tcW w:w="528" w:type="dxa"/>
          </w:tcPr>
          <w:p>
            <w:pPr/>
          </w:p>
        </w:tc>
      </w:tr>
      <w:tr>
        <w:trPr>
          <w:trHeight w:val="204" w:hRule="exact"/>
        </w:trPr>
        <w:tc>
          <w:tcPr>
            <w:tcW w:w="1315" w:type="dxa"/>
          </w:tcPr>
          <w:p>
            <w:pPr>
              <w:pStyle w:val="TableParagraph"/>
              <w:spacing w:before="14"/>
              <w:ind w:left="4"/>
              <w:jc w:val="left"/>
              <w:rPr>
                <w:i/>
                <w:sz w:val="14"/>
              </w:rPr>
            </w:pPr>
            <w:r>
              <w:rPr>
                <w:i/>
                <w:sz w:val="14"/>
              </w:rPr>
              <w:t>Nivel de escolaridad</w:t>
            </w:r>
          </w:p>
        </w:tc>
        <w:tc>
          <w:tcPr>
            <w:tcW w:w="647" w:type="dxa"/>
          </w:tcPr>
          <w:p>
            <w:pPr/>
          </w:p>
        </w:tc>
        <w:tc>
          <w:tcPr>
            <w:tcW w:w="807" w:type="dxa"/>
          </w:tcPr>
          <w:p>
            <w:pPr/>
          </w:p>
        </w:tc>
        <w:tc>
          <w:tcPr>
            <w:tcW w:w="526" w:type="dxa"/>
          </w:tcPr>
          <w:p>
            <w:pPr/>
          </w:p>
        </w:tc>
        <w:tc>
          <w:tcPr>
            <w:tcW w:w="1310" w:type="dxa"/>
          </w:tcPr>
          <w:p>
            <w:pPr/>
          </w:p>
        </w:tc>
        <w:tc>
          <w:tcPr>
            <w:tcW w:w="690" w:type="dxa"/>
          </w:tcPr>
          <w:p>
            <w:pPr/>
          </w:p>
        </w:tc>
        <w:tc>
          <w:tcPr>
            <w:tcW w:w="697" w:type="dxa"/>
          </w:tcPr>
          <w:p>
            <w:pPr/>
          </w:p>
        </w:tc>
        <w:tc>
          <w:tcPr>
            <w:tcW w:w="528" w:type="dxa"/>
          </w:tcPr>
          <w:p>
            <w:pPr/>
          </w:p>
        </w:tc>
      </w:tr>
      <w:tr>
        <w:trPr>
          <w:trHeight w:val="204" w:hRule="exact"/>
        </w:trPr>
        <w:tc>
          <w:tcPr>
            <w:tcW w:w="1315" w:type="dxa"/>
          </w:tcPr>
          <w:p>
            <w:pPr>
              <w:pStyle w:val="TableParagraph"/>
              <w:spacing w:before="14"/>
              <w:ind w:left="4"/>
              <w:jc w:val="left"/>
              <w:rPr>
                <w:sz w:val="14"/>
              </w:rPr>
            </w:pPr>
            <w:r>
              <w:rPr>
                <w:sz w:val="14"/>
              </w:rPr>
              <w:t>Ninguno</w:t>
            </w:r>
          </w:p>
        </w:tc>
        <w:tc>
          <w:tcPr>
            <w:tcW w:w="647" w:type="dxa"/>
          </w:tcPr>
          <w:p>
            <w:pPr>
              <w:pStyle w:val="TableParagraph"/>
              <w:spacing w:before="14"/>
              <w:ind w:right="54"/>
              <w:rPr>
                <w:sz w:val="14"/>
              </w:rPr>
            </w:pPr>
            <w:r>
              <w:rPr>
                <w:w w:val="95"/>
                <w:sz w:val="14"/>
              </w:rPr>
              <w:t>0.00</w:t>
            </w:r>
          </w:p>
        </w:tc>
        <w:tc>
          <w:tcPr>
            <w:tcW w:w="807" w:type="dxa"/>
          </w:tcPr>
          <w:p>
            <w:pPr>
              <w:pStyle w:val="TableParagraph"/>
              <w:spacing w:before="14"/>
              <w:ind w:right="80"/>
              <w:rPr>
                <w:sz w:val="14"/>
              </w:rPr>
            </w:pPr>
            <w:r>
              <w:rPr>
                <w:sz w:val="14"/>
              </w:rPr>
              <w:t>17.73</w:t>
            </w:r>
          </w:p>
        </w:tc>
        <w:tc>
          <w:tcPr>
            <w:tcW w:w="526" w:type="dxa"/>
          </w:tcPr>
          <w:p>
            <w:pPr>
              <w:pStyle w:val="TableParagraph"/>
              <w:spacing w:before="14"/>
              <w:ind w:left="118" w:right="21"/>
              <w:jc w:val="center"/>
              <w:rPr>
                <w:sz w:val="14"/>
              </w:rPr>
            </w:pPr>
            <w:r>
              <w:rPr>
                <w:sz w:val="14"/>
              </w:rPr>
              <w:t>16.64</w:t>
            </w:r>
          </w:p>
        </w:tc>
        <w:tc>
          <w:tcPr>
            <w:tcW w:w="1310" w:type="dxa"/>
          </w:tcPr>
          <w:p>
            <w:pPr>
              <w:pStyle w:val="TableParagraph"/>
              <w:spacing w:before="14"/>
              <w:ind w:left="55"/>
              <w:jc w:val="left"/>
              <w:rPr>
                <w:sz w:val="14"/>
              </w:rPr>
            </w:pPr>
            <w:r>
              <w:rPr>
                <w:sz w:val="14"/>
              </w:rPr>
              <w:t>Ninguno</w:t>
            </w:r>
          </w:p>
        </w:tc>
        <w:tc>
          <w:tcPr>
            <w:tcW w:w="690" w:type="dxa"/>
          </w:tcPr>
          <w:p>
            <w:pPr>
              <w:pStyle w:val="TableParagraph"/>
              <w:spacing w:before="14"/>
              <w:ind w:right="53"/>
              <w:rPr>
                <w:sz w:val="14"/>
              </w:rPr>
            </w:pPr>
            <w:r>
              <w:rPr>
                <w:w w:val="99"/>
                <w:sz w:val="14"/>
              </w:rPr>
              <w:t>0</w:t>
            </w:r>
          </w:p>
        </w:tc>
        <w:tc>
          <w:tcPr>
            <w:tcW w:w="697" w:type="dxa"/>
          </w:tcPr>
          <w:p>
            <w:pPr>
              <w:pStyle w:val="TableParagraph"/>
              <w:spacing w:before="14"/>
              <w:ind w:right="83"/>
              <w:rPr>
                <w:sz w:val="14"/>
              </w:rPr>
            </w:pPr>
            <w:r>
              <w:rPr>
                <w:sz w:val="14"/>
              </w:rPr>
              <w:t>1.42</w:t>
            </w:r>
          </w:p>
        </w:tc>
        <w:tc>
          <w:tcPr>
            <w:tcW w:w="528" w:type="dxa"/>
          </w:tcPr>
          <w:p>
            <w:pPr>
              <w:pStyle w:val="TableParagraph"/>
              <w:spacing w:before="14"/>
              <w:ind w:right="52"/>
              <w:rPr>
                <w:sz w:val="14"/>
              </w:rPr>
            </w:pPr>
            <w:r>
              <w:rPr>
                <w:w w:val="95"/>
                <w:sz w:val="14"/>
              </w:rPr>
              <w:t>1.4</w:t>
            </w:r>
          </w:p>
        </w:tc>
      </w:tr>
      <w:tr>
        <w:trPr>
          <w:trHeight w:val="204" w:hRule="exact"/>
        </w:trPr>
        <w:tc>
          <w:tcPr>
            <w:tcW w:w="1315" w:type="dxa"/>
          </w:tcPr>
          <w:p>
            <w:pPr>
              <w:pStyle w:val="TableParagraph"/>
              <w:spacing w:before="14"/>
              <w:ind w:left="4"/>
              <w:jc w:val="left"/>
              <w:rPr>
                <w:sz w:val="14"/>
              </w:rPr>
            </w:pPr>
            <w:r>
              <w:rPr>
                <w:sz w:val="14"/>
              </w:rPr>
              <w:t>Primaria</w:t>
            </w:r>
          </w:p>
        </w:tc>
        <w:tc>
          <w:tcPr>
            <w:tcW w:w="647" w:type="dxa"/>
          </w:tcPr>
          <w:p>
            <w:pPr>
              <w:pStyle w:val="TableParagraph"/>
              <w:spacing w:before="14"/>
              <w:ind w:right="54"/>
              <w:rPr>
                <w:sz w:val="14"/>
              </w:rPr>
            </w:pPr>
            <w:r>
              <w:rPr>
                <w:sz w:val="14"/>
              </w:rPr>
              <w:t>51.37</w:t>
            </w:r>
          </w:p>
        </w:tc>
        <w:tc>
          <w:tcPr>
            <w:tcW w:w="807" w:type="dxa"/>
          </w:tcPr>
          <w:p>
            <w:pPr>
              <w:pStyle w:val="TableParagraph"/>
              <w:spacing w:before="14"/>
              <w:ind w:right="80"/>
              <w:rPr>
                <w:sz w:val="14"/>
              </w:rPr>
            </w:pPr>
            <w:r>
              <w:rPr>
                <w:sz w:val="14"/>
              </w:rPr>
              <w:t>41.00</w:t>
            </w:r>
          </w:p>
        </w:tc>
        <w:tc>
          <w:tcPr>
            <w:tcW w:w="526" w:type="dxa"/>
          </w:tcPr>
          <w:p>
            <w:pPr>
              <w:pStyle w:val="TableParagraph"/>
              <w:spacing w:before="14"/>
              <w:ind w:left="118" w:right="21"/>
              <w:jc w:val="center"/>
              <w:rPr>
                <w:sz w:val="14"/>
              </w:rPr>
            </w:pPr>
            <w:r>
              <w:rPr>
                <w:sz w:val="14"/>
              </w:rPr>
              <w:t>41.64</w:t>
            </w:r>
          </w:p>
        </w:tc>
        <w:tc>
          <w:tcPr>
            <w:tcW w:w="1310" w:type="dxa"/>
          </w:tcPr>
          <w:p>
            <w:pPr>
              <w:pStyle w:val="TableParagraph"/>
              <w:spacing w:before="14"/>
              <w:ind w:left="55"/>
              <w:jc w:val="left"/>
              <w:rPr>
                <w:sz w:val="14"/>
              </w:rPr>
            </w:pPr>
            <w:r>
              <w:rPr>
                <w:sz w:val="14"/>
              </w:rPr>
              <w:t>Primaria</w:t>
            </w:r>
          </w:p>
        </w:tc>
        <w:tc>
          <w:tcPr>
            <w:tcW w:w="690" w:type="dxa"/>
          </w:tcPr>
          <w:p>
            <w:pPr>
              <w:pStyle w:val="TableParagraph"/>
              <w:spacing w:before="14"/>
              <w:ind w:right="53"/>
              <w:rPr>
                <w:sz w:val="14"/>
              </w:rPr>
            </w:pPr>
            <w:r>
              <w:rPr>
                <w:sz w:val="14"/>
              </w:rPr>
              <w:t>38.7</w:t>
            </w:r>
          </w:p>
        </w:tc>
        <w:tc>
          <w:tcPr>
            <w:tcW w:w="697" w:type="dxa"/>
          </w:tcPr>
          <w:p>
            <w:pPr>
              <w:pStyle w:val="TableParagraph"/>
              <w:spacing w:before="14"/>
              <w:ind w:right="83"/>
              <w:rPr>
                <w:sz w:val="14"/>
              </w:rPr>
            </w:pPr>
            <w:r>
              <w:rPr>
                <w:sz w:val="14"/>
              </w:rPr>
              <w:t>25.95</w:t>
            </w:r>
          </w:p>
        </w:tc>
        <w:tc>
          <w:tcPr>
            <w:tcW w:w="528" w:type="dxa"/>
          </w:tcPr>
          <w:p>
            <w:pPr>
              <w:pStyle w:val="TableParagraph"/>
              <w:spacing w:before="14"/>
              <w:ind w:right="53"/>
              <w:rPr>
                <w:sz w:val="14"/>
              </w:rPr>
            </w:pPr>
            <w:r>
              <w:rPr>
                <w:sz w:val="14"/>
              </w:rPr>
              <w:t>26.3</w:t>
            </w:r>
          </w:p>
        </w:tc>
      </w:tr>
      <w:tr>
        <w:trPr>
          <w:trHeight w:val="515" w:hRule="exact"/>
        </w:trPr>
        <w:tc>
          <w:tcPr>
            <w:tcW w:w="1315" w:type="dxa"/>
          </w:tcPr>
          <w:p>
            <w:pPr>
              <w:pStyle w:val="TableParagraph"/>
              <w:spacing w:before="14"/>
              <w:ind w:left="4"/>
              <w:jc w:val="left"/>
              <w:rPr>
                <w:sz w:val="14"/>
              </w:rPr>
            </w:pPr>
            <w:r>
              <w:rPr>
                <w:sz w:val="14"/>
              </w:rPr>
              <w:t>Secundaria</w:t>
            </w:r>
          </w:p>
          <w:p>
            <w:pPr>
              <w:pStyle w:val="TableParagraph"/>
              <w:spacing w:before="8"/>
              <w:jc w:val="left"/>
              <w:rPr>
                <w:sz w:val="14"/>
              </w:rPr>
            </w:pPr>
          </w:p>
          <w:p>
            <w:pPr>
              <w:pStyle w:val="TableParagraph"/>
              <w:ind w:left="4"/>
              <w:jc w:val="left"/>
              <w:rPr>
                <w:sz w:val="14"/>
              </w:rPr>
            </w:pPr>
            <w:r>
              <w:rPr>
                <w:sz w:val="14"/>
              </w:rPr>
              <w:t>Preparatoria</w:t>
            </w:r>
          </w:p>
        </w:tc>
        <w:tc>
          <w:tcPr>
            <w:tcW w:w="647" w:type="dxa"/>
          </w:tcPr>
          <w:p>
            <w:pPr>
              <w:pStyle w:val="TableParagraph"/>
              <w:spacing w:before="14"/>
              <w:ind w:left="273"/>
              <w:jc w:val="left"/>
              <w:rPr>
                <w:sz w:val="14"/>
              </w:rPr>
            </w:pPr>
            <w:r>
              <w:rPr>
                <w:sz w:val="14"/>
              </w:rPr>
              <w:t>48.63</w:t>
            </w:r>
          </w:p>
          <w:p>
            <w:pPr>
              <w:pStyle w:val="TableParagraph"/>
              <w:spacing w:before="8"/>
              <w:jc w:val="left"/>
              <w:rPr>
                <w:sz w:val="14"/>
              </w:rPr>
            </w:pPr>
          </w:p>
          <w:p>
            <w:pPr>
              <w:pStyle w:val="TableParagraph"/>
              <w:ind w:left="343"/>
              <w:jc w:val="left"/>
              <w:rPr>
                <w:sz w:val="14"/>
              </w:rPr>
            </w:pPr>
            <w:r>
              <w:rPr>
                <w:sz w:val="14"/>
              </w:rPr>
              <w:t>0.00</w:t>
            </w:r>
          </w:p>
        </w:tc>
        <w:tc>
          <w:tcPr>
            <w:tcW w:w="807" w:type="dxa"/>
          </w:tcPr>
          <w:p>
            <w:pPr>
              <w:pStyle w:val="TableParagraph"/>
              <w:spacing w:before="14"/>
              <w:ind w:left="406"/>
              <w:jc w:val="left"/>
              <w:rPr>
                <w:sz w:val="14"/>
              </w:rPr>
            </w:pPr>
            <w:r>
              <w:rPr>
                <w:sz w:val="14"/>
              </w:rPr>
              <w:t>33.02</w:t>
            </w:r>
          </w:p>
          <w:p>
            <w:pPr>
              <w:pStyle w:val="TableParagraph"/>
              <w:spacing w:before="8"/>
              <w:jc w:val="left"/>
              <w:rPr>
                <w:sz w:val="14"/>
              </w:rPr>
            </w:pPr>
          </w:p>
          <w:p>
            <w:pPr>
              <w:pStyle w:val="TableParagraph"/>
              <w:ind w:left="477"/>
              <w:jc w:val="left"/>
              <w:rPr>
                <w:sz w:val="14"/>
              </w:rPr>
            </w:pPr>
            <w:r>
              <w:rPr>
                <w:sz w:val="14"/>
              </w:rPr>
              <w:t>6.38</w:t>
            </w:r>
          </w:p>
        </w:tc>
        <w:tc>
          <w:tcPr>
            <w:tcW w:w="526" w:type="dxa"/>
          </w:tcPr>
          <w:p>
            <w:pPr>
              <w:pStyle w:val="TableParagraph"/>
              <w:spacing w:before="14"/>
              <w:ind w:left="153"/>
              <w:jc w:val="left"/>
              <w:rPr>
                <w:sz w:val="14"/>
              </w:rPr>
            </w:pPr>
            <w:r>
              <w:rPr>
                <w:sz w:val="14"/>
              </w:rPr>
              <w:t>33.98</w:t>
            </w:r>
          </w:p>
          <w:p>
            <w:pPr>
              <w:pStyle w:val="TableParagraph"/>
              <w:spacing w:before="8"/>
              <w:jc w:val="left"/>
              <w:rPr>
                <w:sz w:val="14"/>
              </w:rPr>
            </w:pPr>
          </w:p>
          <w:p>
            <w:pPr>
              <w:pStyle w:val="TableParagraph"/>
              <w:ind w:left="223"/>
              <w:jc w:val="left"/>
              <w:rPr>
                <w:sz w:val="14"/>
              </w:rPr>
            </w:pPr>
            <w:r>
              <w:rPr>
                <w:sz w:val="14"/>
              </w:rPr>
              <w:t>5.99</w:t>
            </w:r>
          </w:p>
        </w:tc>
        <w:tc>
          <w:tcPr>
            <w:tcW w:w="1310" w:type="dxa"/>
          </w:tcPr>
          <w:p>
            <w:pPr>
              <w:pStyle w:val="TableParagraph"/>
              <w:spacing w:line="247" w:lineRule="auto" w:before="14"/>
              <w:ind w:left="55" w:right="445"/>
              <w:jc w:val="left"/>
              <w:rPr>
                <w:sz w:val="14"/>
              </w:rPr>
            </w:pPr>
            <w:r>
              <w:rPr>
                <w:sz w:val="14"/>
              </w:rPr>
              <w:t>Secundaria Preparatoria o bachillerato</w:t>
            </w:r>
          </w:p>
        </w:tc>
        <w:tc>
          <w:tcPr>
            <w:tcW w:w="690" w:type="dxa"/>
          </w:tcPr>
          <w:p>
            <w:pPr>
              <w:pStyle w:val="TableParagraph"/>
              <w:spacing w:before="14"/>
              <w:ind w:left="387"/>
              <w:jc w:val="left"/>
              <w:rPr>
                <w:sz w:val="14"/>
              </w:rPr>
            </w:pPr>
            <w:r>
              <w:rPr>
                <w:sz w:val="14"/>
              </w:rPr>
              <w:t>58.1</w:t>
            </w:r>
          </w:p>
          <w:p>
            <w:pPr>
              <w:pStyle w:val="TableParagraph"/>
              <w:spacing w:before="8"/>
              <w:jc w:val="left"/>
              <w:rPr>
                <w:sz w:val="14"/>
              </w:rPr>
            </w:pPr>
          </w:p>
          <w:p>
            <w:pPr>
              <w:pStyle w:val="TableParagraph"/>
              <w:ind w:left="458"/>
              <w:jc w:val="left"/>
              <w:rPr>
                <w:sz w:val="14"/>
              </w:rPr>
            </w:pPr>
            <w:r>
              <w:rPr>
                <w:sz w:val="14"/>
              </w:rPr>
              <w:t>3.9</w:t>
            </w:r>
          </w:p>
        </w:tc>
        <w:tc>
          <w:tcPr>
            <w:tcW w:w="697" w:type="dxa"/>
          </w:tcPr>
          <w:p>
            <w:pPr>
              <w:pStyle w:val="TableParagraph"/>
              <w:spacing w:before="14"/>
              <w:ind w:left="294"/>
              <w:jc w:val="left"/>
              <w:rPr>
                <w:sz w:val="14"/>
              </w:rPr>
            </w:pPr>
            <w:r>
              <w:rPr>
                <w:sz w:val="14"/>
              </w:rPr>
              <w:t>45.01</w:t>
            </w:r>
          </w:p>
          <w:p>
            <w:pPr>
              <w:pStyle w:val="TableParagraph"/>
              <w:spacing w:before="8"/>
              <w:jc w:val="left"/>
              <w:rPr>
                <w:sz w:val="14"/>
              </w:rPr>
            </w:pPr>
          </w:p>
          <w:p>
            <w:pPr>
              <w:pStyle w:val="TableParagraph"/>
              <w:ind w:left="294"/>
              <w:jc w:val="left"/>
              <w:rPr>
                <w:sz w:val="14"/>
              </w:rPr>
            </w:pPr>
            <w:r>
              <w:rPr>
                <w:sz w:val="14"/>
              </w:rPr>
              <w:t>18.55</w:t>
            </w:r>
          </w:p>
        </w:tc>
        <w:tc>
          <w:tcPr>
            <w:tcW w:w="528" w:type="dxa"/>
          </w:tcPr>
          <w:p>
            <w:pPr>
              <w:pStyle w:val="TableParagraph"/>
              <w:spacing w:before="14"/>
              <w:ind w:left="226"/>
              <w:jc w:val="left"/>
              <w:rPr>
                <w:sz w:val="14"/>
              </w:rPr>
            </w:pPr>
            <w:r>
              <w:rPr>
                <w:sz w:val="14"/>
              </w:rPr>
              <w:t>45.4</w:t>
            </w:r>
          </w:p>
          <w:p>
            <w:pPr>
              <w:pStyle w:val="TableParagraph"/>
              <w:spacing w:before="8"/>
              <w:jc w:val="left"/>
              <w:rPr>
                <w:sz w:val="14"/>
              </w:rPr>
            </w:pPr>
          </w:p>
          <w:p>
            <w:pPr>
              <w:pStyle w:val="TableParagraph"/>
              <w:ind w:left="226"/>
              <w:jc w:val="left"/>
              <w:rPr>
                <w:sz w:val="14"/>
              </w:rPr>
            </w:pPr>
            <w:r>
              <w:rPr>
                <w:sz w:val="14"/>
              </w:rPr>
              <w:t>18.1</w:t>
            </w:r>
          </w:p>
        </w:tc>
      </w:tr>
      <w:tr>
        <w:trPr>
          <w:trHeight w:val="167" w:hRule="exact"/>
        </w:trPr>
        <w:tc>
          <w:tcPr>
            <w:tcW w:w="1315" w:type="dxa"/>
          </w:tcPr>
          <w:p>
            <w:pPr/>
          </w:p>
        </w:tc>
        <w:tc>
          <w:tcPr>
            <w:tcW w:w="647" w:type="dxa"/>
          </w:tcPr>
          <w:p>
            <w:pPr/>
          </w:p>
        </w:tc>
        <w:tc>
          <w:tcPr>
            <w:tcW w:w="807" w:type="dxa"/>
          </w:tcPr>
          <w:p>
            <w:pPr/>
          </w:p>
        </w:tc>
        <w:tc>
          <w:tcPr>
            <w:tcW w:w="526" w:type="dxa"/>
          </w:tcPr>
          <w:p>
            <w:pPr/>
          </w:p>
        </w:tc>
        <w:tc>
          <w:tcPr>
            <w:tcW w:w="1310" w:type="dxa"/>
          </w:tcPr>
          <w:p>
            <w:pPr>
              <w:pStyle w:val="TableParagraph"/>
              <w:spacing w:line="156" w:lineRule="exact"/>
              <w:ind w:left="55"/>
              <w:jc w:val="left"/>
              <w:rPr>
                <w:sz w:val="14"/>
              </w:rPr>
            </w:pPr>
            <w:r>
              <w:rPr>
                <w:sz w:val="14"/>
              </w:rPr>
              <w:t>Estudios técnicos</w:t>
            </w:r>
          </w:p>
        </w:tc>
        <w:tc>
          <w:tcPr>
            <w:tcW w:w="690" w:type="dxa"/>
          </w:tcPr>
          <w:p>
            <w:pPr/>
          </w:p>
        </w:tc>
        <w:tc>
          <w:tcPr>
            <w:tcW w:w="697" w:type="dxa"/>
          </w:tcPr>
          <w:p>
            <w:pPr/>
          </w:p>
        </w:tc>
        <w:tc>
          <w:tcPr>
            <w:tcW w:w="528" w:type="dxa"/>
          </w:tcPr>
          <w:p>
            <w:pPr/>
          </w:p>
        </w:tc>
      </w:tr>
      <w:tr>
        <w:trPr>
          <w:trHeight w:val="497" w:hRule="exact"/>
        </w:trPr>
        <w:tc>
          <w:tcPr>
            <w:tcW w:w="1315" w:type="dxa"/>
          </w:tcPr>
          <w:p>
            <w:pPr>
              <w:pStyle w:val="TableParagraph"/>
              <w:spacing w:line="158" w:lineRule="exact"/>
              <w:ind w:left="4"/>
              <w:jc w:val="left"/>
              <w:rPr>
                <w:sz w:val="14"/>
              </w:rPr>
            </w:pPr>
            <w:r>
              <w:rPr>
                <w:sz w:val="14"/>
              </w:rPr>
              <w:t>Técnico con primaria</w:t>
            </w:r>
          </w:p>
          <w:p>
            <w:pPr>
              <w:pStyle w:val="TableParagraph"/>
              <w:spacing w:before="8"/>
              <w:jc w:val="left"/>
              <w:rPr>
                <w:sz w:val="14"/>
              </w:rPr>
            </w:pPr>
          </w:p>
          <w:p>
            <w:pPr>
              <w:pStyle w:val="TableParagraph"/>
              <w:ind w:left="4"/>
              <w:jc w:val="left"/>
              <w:rPr>
                <w:sz w:val="14"/>
              </w:rPr>
            </w:pPr>
            <w:r>
              <w:rPr>
                <w:sz w:val="14"/>
              </w:rPr>
              <w:t>Total</w:t>
            </w:r>
          </w:p>
        </w:tc>
        <w:tc>
          <w:tcPr>
            <w:tcW w:w="647" w:type="dxa"/>
          </w:tcPr>
          <w:p>
            <w:pPr>
              <w:pStyle w:val="TableParagraph"/>
              <w:spacing w:line="158" w:lineRule="exact"/>
              <w:ind w:left="324" w:right="37"/>
              <w:jc w:val="center"/>
              <w:rPr>
                <w:sz w:val="14"/>
              </w:rPr>
            </w:pPr>
            <w:r>
              <w:rPr>
                <w:sz w:val="14"/>
              </w:rPr>
              <w:t>0.00</w:t>
            </w:r>
          </w:p>
          <w:p>
            <w:pPr>
              <w:pStyle w:val="TableParagraph"/>
              <w:spacing w:before="8"/>
              <w:jc w:val="left"/>
              <w:rPr>
                <w:sz w:val="14"/>
              </w:rPr>
            </w:pPr>
          </w:p>
          <w:p>
            <w:pPr>
              <w:pStyle w:val="TableParagraph"/>
              <w:ind w:left="183" w:right="37"/>
              <w:jc w:val="center"/>
              <w:rPr>
                <w:sz w:val="14"/>
              </w:rPr>
            </w:pPr>
            <w:r>
              <w:rPr>
                <w:sz w:val="14"/>
              </w:rPr>
              <w:t>100.00</w:t>
            </w:r>
          </w:p>
        </w:tc>
        <w:tc>
          <w:tcPr>
            <w:tcW w:w="807" w:type="dxa"/>
          </w:tcPr>
          <w:p>
            <w:pPr>
              <w:pStyle w:val="TableParagraph"/>
              <w:spacing w:line="158" w:lineRule="exact"/>
              <w:ind w:left="457" w:right="63"/>
              <w:jc w:val="center"/>
              <w:rPr>
                <w:sz w:val="14"/>
              </w:rPr>
            </w:pPr>
            <w:r>
              <w:rPr>
                <w:sz w:val="14"/>
              </w:rPr>
              <w:t>1.87</w:t>
            </w:r>
          </w:p>
          <w:p>
            <w:pPr>
              <w:pStyle w:val="TableParagraph"/>
              <w:spacing w:before="8"/>
              <w:jc w:val="left"/>
              <w:rPr>
                <w:sz w:val="14"/>
              </w:rPr>
            </w:pPr>
          </w:p>
          <w:p>
            <w:pPr>
              <w:pStyle w:val="TableParagraph"/>
              <w:ind w:left="316" w:right="63"/>
              <w:jc w:val="center"/>
              <w:rPr>
                <w:sz w:val="14"/>
              </w:rPr>
            </w:pPr>
            <w:r>
              <w:rPr>
                <w:sz w:val="14"/>
              </w:rPr>
              <w:t>100.00</w:t>
            </w:r>
          </w:p>
        </w:tc>
        <w:tc>
          <w:tcPr>
            <w:tcW w:w="526" w:type="dxa"/>
          </w:tcPr>
          <w:p>
            <w:pPr>
              <w:pStyle w:val="TableParagraph"/>
              <w:spacing w:line="158" w:lineRule="exact"/>
              <w:ind w:left="204" w:right="36"/>
              <w:jc w:val="center"/>
              <w:rPr>
                <w:sz w:val="14"/>
              </w:rPr>
            </w:pPr>
            <w:r>
              <w:rPr>
                <w:sz w:val="14"/>
              </w:rPr>
              <w:t>1.76</w:t>
            </w:r>
          </w:p>
          <w:p>
            <w:pPr>
              <w:pStyle w:val="TableParagraph"/>
              <w:spacing w:before="8"/>
              <w:jc w:val="left"/>
              <w:rPr>
                <w:sz w:val="14"/>
              </w:rPr>
            </w:pPr>
          </w:p>
          <w:p>
            <w:pPr>
              <w:pStyle w:val="TableParagraph"/>
              <w:ind w:left="63" w:right="36"/>
              <w:jc w:val="center"/>
              <w:rPr>
                <w:sz w:val="14"/>
              </w:rPr>
            </w:pPr>
            <w:r>
              <w:rPr>
                <w:sz w:val="14"/>
              </w:rPr>
              <w:t>100.00</w:t>
            </w:r>
          </w:p>
        </w:tc>
        <w:tc>
          <w:tcPr>
            <w:tcW w:w="1310" w:type="dxa"/>
          </w:tcPr>
          <w:p>
            <w:pPr>
              <w:pStyle w:val="TableParagraph"/>
              <w:spacing w:line="247" w:lineRule="auto"/>
              <w:ind w:left="55" w:right="258"/>
              <w:jc w:val="left"/>
              <w:rPr>
                <w:sz w:val="14"/>
              </w:rPr>
            </w:pPr>
            <w:r>
              <w:rPr>
                <w:sz w:val="14"/>
              </w:rPr>
              <w:t>con primaria Estudios técnicos con secundaria</w:t>
            </w:r>
          </w:p>
        </w:tc>
        <w:tc>
          <w:tcPr>
            <w:tcW w:w="690" w:type="dxa"/>
          </w:tcPr>
          <w:p>
            <w:pPr>
              <w:pStyle w:val="TableParagraph"/>
              <w:spacing w:line="158" w:lineRule="exact"/>
              <w:ind w:right="53"/>
              <w:rPr>
                <w:sz w:val="14"/>
              </w:rPr>
            </w:pPr>
            <w:r>
              <w:rPr>
                <w:w w:val="99"/>
                <w:sz w:val="14"/>
              </w:rPr>
              <w:t>0</w:t>
            </w:r>
          </w:p>
          <w:p>
            <w:pPr>
              <w:pStyle w:val="TableParagraph"/>
              <w:spacing w:before="8"/>
              <w:jc w:val="left"/>
              <w:rPr>
                <w:sz w:val="14"/>
              </w:rPr>
            </w:pPr>
          </w:p>
          <w:p>
            <w:pPr>
              <w:pStyle w:val="TableParagraph"/>
              <w:ind w:right="53"/>
              <w:rPr>
                <w:sz w:val="14"/>
              </w:rPr>
            </w:pPr>
            <w:r>
              <w:rPr>
                <w:w w:val="99"/>
                <w:sz w:val="14"/>
              </w:rPr>
              <w:t>0</w:t>
            </w:r>
          </w:p>
        </w:tc>
        <w:tc>
          <w:tcPr>
            <w:tcW w:w="697" w:type="dxa"/>
          </w:tcPr>
          <w:p>
            <w:pPr>
              <w:pStyle w:val="TableParagraph"/>
              <w:spacing w:line="158" w:lineRule="exact"/>
              <w:ind w:left="365"/>
              <w:jc w:val="left"/>
              <w:rPr>
                <w:sz w:val="14"/>
              </w:rPr>
            </w:pPr>
            <w:r>
              <w:rPr>
                <w:sz w:val="14"/>
              </w:rPr>
              <w:t>0.72</w:t>
            </w:r>
          </w:p>
          <w:p>
            <w:pPr>
              <w:pStyle w:val="TableParagraph"/>
              <w:spacing w:before="8"/>
              <w:jc w:val="left"/>
              <w:rPr>
                <w:sz w:val="14"/>
              </w:rPr>
            </w:pPr>
          </w:p>
          <w:p>
            <w:pPr>
              <w:pStyle w:val="TableParagraph"/>
              <w:ind w:left="365"/>
              <w:jc w:val="left"/>
              <w:rPr>
                <w:sz w:val="14"/>
              </w:rPr>
            </w:pPr>
            <w:r>
              <w:rPr>
                <w:sz w:val="14"/>
              </w:rPr>
              <w:t>0.07</w:t>
            </w:r>
          </w:p>
        </w:tc>
        <w:tc>
          <w:tcPr>
            <w:tcW w:w="528" w:type="dxa"/>
          </w:tcPr>
          <w:p>
            <w:pPr>
              <w:pStyle w:val="TableParagraph"/>
              <w:spacing w:line="158" w:lineRule="exact"/>
              <w:ind w:left="296"/>
              <w:jc w:val="left"/>
              <w:rPr>
                <w:sz w:val="14"/>
              </w:rPr>
            </w:pPr>
            <w:r>
              <w:rPr>
                <w:sz w:val="14"/>
              </w:rPr>
              <w:t>0.7</w:t>
            </w:r>
          </w:p>
          <w:p>
            <w:pPr>
              <w:pStyle w:val="TableParagraph"/>
              <w:spacing w:before="8"/>
              <w:jc w:val="left"/>
              <w:rPr>
                <w:sz w:val="14"/>
              </w:rPr>
            </w:pPr>
          </w:p>
          <w:p>
            <w:pPr>
              <w:pStyle w:val="TableParagraph"/>
              <w:ind w:left="296"/>
              <w:jc w:val="left"/>
              <w:rPr>
                <w:sz w:val="14"/>
              </w:rPr>
            </w:pPr>
            <w:r>
              <w:rPr>
                <w:sz w:val="14"/>
              </w:rPr>
              <w:t>0.1</w:t>
            </w:r>
          </w:p>
        </w:tc>
      </w:tr>
      <w:tr>
        <w:trPr>
          <w:trHeight w:val="349" w:hRule="exact"/>
        </w:trPr>
        <w:tc>
          <w:tcPr>
            <w:tcW w:w="1315" w:type="dxa"/>
          </w:tcPr>
          <w:p>
            <w:pPr/>
          </w:p>
        </w:tc>
        <w:tc>
          <w:tcPr>
            <w:tcW w:w="647" w:type="dxa"/>
          </w:tcPr>
          <w:p>
            <w:pPr/>
          </w:p>
        </w:tc>
        <w:tc>
          <w:tcPr>
            <w:tcW w:w="807" w:type="dxa"/>
          </w:tcPr>
          <w:p>
            <w:pPr/>
          </w:p>
        </w:tc>
        <w:tc>
          <w:tcPr>
            <w:tcW w:w="526" w:type="dxa"/>
          </w:tcPr>
          <w:p>
            <w:pPr/>
          </w:p>
        </w:tc>
        <w:tc>
          <w:tcPr>
            <w:tcW w:w="1310" w:type="dxa"/>
          </w:tcPr>
          <w:p>
            <w:pPr>
              <w:pStyle w:val="TableParagraph"/>
              <w:spacing w:line="247" w:lineRule="auto"/>
              <w:ind w:left="55" w:right="492"/>
              <w:jc w:val="left"/>
              <w:rPr>
                <w:sz w:val="14"/>
              </w:rPr>
            </w:pPr>
            <w:r>
              <w:rPr>
                <w:sz w:val="14"/>
              </w:rPr>
              <w:t>Profesional o posgrado</w:t>
            </w:r>
          </w:p>
        </w:tc>
        <w:tc>
          <w:tcPr>
            <w:tcW w:w="690" w:type="dxa"/>
          </w:tcPr>
          <w:p>
            <w:pPr>
              <w:pStyle w:val="TableParagraph"/>
              <w:spacing w:before="10"/>
              <w:jc w:val="left"/>
              <w:rPr>
                <w:sz w:val="13"/>
              </w:rPr>
            </w:pPr>
          </w:p>
          <w:p>
            <w:pPr>
              <w:pStyle w:val="TableParagraph"/>
              <w:ind w:right="53"/>
              <w:rPr>
                <w:sz w:val="14"/>
              </w:rPr>
            </w:pPr>
            <w:r>
              <w:rPr>
                <w:w w:val="99"/>
                <w:sz w:val="14"/>
              </w:rPr>
              <w:t>0</w:t>
            </w:r>
          </w:p>
        </w:tc>
        <w:tc>
          <w:tcPr>
            <w:tcW w:w="697" w:type="dxa"/>
          </w:tcPr>
          <w:p>
            <w:pPr>
              <w:pStyle w:val="TableParagraph"/>
              <w:spacing w:before="10"/>
              <w:jc w:val="left"/>
              <w:rPr>
                <w:sz w:val="13"/>
              </w:rPr>
            </w:pPr>
          </w:p>
          <w:p>
            <w:pPr>
              <w:pStyle w:val="TableParagraph"/>
              <w:ind w:right="83"/>
              <w:rPr>
                <w:sz w:val="14"/>
              </w:rPr>
            </w:pPr>
            <w:r>
              <w:rPr>
                <w:sz w:val="14"/>
              </w:rPr>
              <w:t>8.29</w:t>
            </w:r>
          </w:p>
        </w:tc>
        <w:tc>
          <w:tcPr>
            <w:tcW w:w="528" w:type="dxa"/>
          </w:tcPr>
          <w:p>
            <w:pPr>
              <w:pStyle w:val="TableParagraph"/>
              <w:spacing w:before="10"/>
              <w:jc w:val="left"/>
              <w:rPr>
                <w:sz w:val="13"/>
              </w:rPr>
            </w:pPr>
          </w:p>
          <w:p>
            <w:pPr>
              <w:pStyle w:val="TableParagraph"/>
              <w:ind w:right="52"/>
              <w:rPr>
                <w:sz w:val="14"/>
              </w:rPr>
            </w:pPr>
            <w:r>
              <w:rPr>
                <w:w w:val="95"/>
                <w:sz w:val="14"/>
              </w:rPr>
              <w:t>8.1</w:t>
            </w:r>
          </w:p>
        </w:tc>
      </w:tr>
      <w:tr>
        <w:trPr>
          <w:trHeight w:val="204" w:hRule="exact"/>
        </w:trPr>
        <w:tc>
          <w:tcPr>
            <w:tcW w:w="1315" w:type="dxa"/>
          </w:tcPr>
          <w:p>
            <w:pPr/>
          </w:p>
        </w:tc>
        <w:tc>
          <w:tcPr>
            <w:tcW w:w="647" w:type="dxa"/>
          </w:tcPr>
          <w:p>
            <w:pPr/>
          </w:p>
        </w:tc>
        <w:tc>
          <w:tcPr>
            <w:tcW w:w="807" w:type="dxa"/>
          </w:tcPr>
          <w:p>
            <w:pPr/>
          </w:p>
        </w:tc>
        <w:tc>
          <w:tcPr>
            <w:tcW w:w="526" w:type="dxa"/>
          </w:tcPr>
          <w:p>
            <w:pPr/>
          </w:p>
        </w:tc>
        <w:tc>
          <w:tcPr>
            <w:tcW w:w="1310" w:type="dxa"/>
          </w:tcPr>
          <w:p>
            <w:pPr>
              <w:pStyle w:val="TableParagraph"/>
              <w:spacing w:before="14"/>
              <w:ind w:left="55"/>
              <w:jc w:val="left"/>
              <w:rPr>
                <w:sz w:val="14"/>
              </w:rPr>
            </w:pPr>
            <w:r>
              <w:rPr>
                <w:sz w:val="14"/>
              </w:rPr>
              <w:t>Total</w:t>
            </w:r>
          </w:p>
        </w:tc>
        <w:tc>
          <w:tcPr>
            <w:tcW w:w="690" w:type="dxa"/>
          </w:tcPr>
          <w:p>
            <w:pPr>
              <w:pStyle w:val="TableParagraph"/>
              <w:spacing w:before="14"/>
              <w:ind w:right="52"/>
              <w:rPr>
                <w:sz w:val="14"/>
              </w:rPr>
            </w:pPr>
            <w:r>
              <w:rPr>
                <w:w w:val="95"/>
                <w:sz w:val="14"/>
              </w:rPr>
              <w:t>100</w:t>
            </w:r>
          </w:p>
        </w:tc>
        <w:tc>
          <w:tcPr>
            <w:tcW w:w="697" w:type="dxa"/>
          </w:tcPr>
          <w:p>
            <w:pPr>
              <w:pStyle w:val="TableParagraph"/>
              <w:spacing w:before="14"/>
              <w:ind w:right="83"/>
              <w:rPr>
                <w:sz w:val="14"/>
              </w:rPr>
            </w:pPr>
            <w:r>
              <w:rPr>
                <w:w w:val="95"/>
                <w:sz w:val="14"/>
              </w:rPr>
              <w:t>100.00</w:t>
            </w:r>
          </w:p>
        </w:tc>
        <w:tc>
          <w:tcPr>
            <w:tcW w:w="528" w:type="dxa"/>
          </w:tcPr>
          <w:p>
            <w:pPr>
              <w:pStyle w:val="TableParagraph"/>
              <w:spacing w:before="14"/>
              <w:ind w:right="52"/>
              <w:rPr>
                <w:sz w:val="14"/>
              </w:rPr>
            </w:pPr>
            <w:r>
              <w:rPr>
                <w:w w:val="95"/>
                <w:sz w:val="14"/>
              </w:rPr>
              <w:t>100.0</w:t>
            </w:r>
          </w:p>
        </w:tc>
      </w:tr>
      <w:tr>
        <w:trPr>
          <w:trHeight w:val="204" w:hRule="exact"/>
        </w:trPr>
        <w:tc>
          <w:tcPr>
            <w:tcW w:w="1315" w:type="dxa"/>
          </w:tcPr>
          <w:p>
            <w:pPr>
              <w:pStyle w:val="TableParagraph"/>
              <w:spacing w:before="14"/>
              <w:ind w:left="4"/>
              <w:jc w:val="left"/>
              <w:rPr>
                <w:i/>
                <w:sz w:val="14"/>
              </w:rPr>
            </w:pPr>
            <w:r>
              <w:rPr>
                <w:i/>
                <w:sz w:val="14"/>
              </w:rPr>
              <w:t>Origen (región)</w:t>
            </w:r>
          </w:p>
        </w:tc>
        <w:tc>
          <w:tcPr>
            <w:tcW w:w="647" w:type="dxa"/>
          </w:tcPr>
          <w:p>
            <w:pPr/>
          </w:p>
        </w:tc>
        <w:tc>
          <w:tcPr>
            <w:tcW w:w="807" w:type="dxa"/>
          </w:tcPr>
          <w:p>
            <w:pPr/>
          </w:p>
        </w:tc>
        <w:tc>
          <w:tcPr>
            <w:tcW w:w="526" w:type="dxa"/>
          </w:tcPr>
          <w:p>
            <w:pPr/>
          </w:p>
        </w:tc>
        <w:tc>
          <w:tcPr>
            <w:tcW w:w="1310" w:type="dxa"/>
          </w:tcPr>
          <w:p>
            <w:pPr/>
          </w:p>
        </w:tc>
        <w:tc>
          <w:tcPr>
            <w:tcW w:w="690" w:type="dxa"/>
          </w:tcPr>
          <w:p>
            <w:pPr/>
          </w:p>
        </w:tc>
        <w:tc>
          <w:tcPr>
            <w:tcW w:w="697" w:type="dxa"/>
          </w:tcPr>
          <w:p>
            <w:pPr/>
          </w:p>
        </w:tc>
        <w:tc>
          <w:tcPr>
            <w:tcW w:w="528" w:type="dxa"/>
          </w:tcPr>
          <w:p>
            <w:pPr/>
          </w:p>
        </w:tc>
      </w:tr>
      <w:tr>
        <w:trPr>
          <w:trHeight w:val="204" w:hRule="exact"/>
        </w:trPr>
        <w:tc>
          <w:tcPr>
            <w:tcW w:w="1315" w:type="dxa"/>
          </w:tcPr>
          <w:p>
            <w:pPr>
              <w:pStyle w:val="TableParagraph"/>
              <w:spacing w:before="14"/>
              <w:ind w:left="4"/>
              <w:jc w:val="left"/>
              <w:rPr>
                <w:sz w:val="14"/>
              </w:rPr>
            </w:pPr>
            <w:r>
              <w:rPr>
                <w:sz w:val="14"/>
              </w:rPr>
              <w:t>1 Toluca</w:t>
            </w:r>
          </w:p>
        </w:tc>
        <w:tc>
          <w:tcPr>
            <w:tcW w:w="647" w:type="dxa"/>
          </w:tcPr>
          <w:p>
            <w:pPr>
              <w:pStyle w:val="TableParagraph"/>
              <w:spacing w:before="14"/>
              <w:ind w:right="54"/>
              <w:rPr>
                <w:sz w:val="14"/>
              </w:rPr>
            </w:pPr>
            <w:r>
              <w:rPr>
                <w:w w:val="95"/>
                <w:sz w:val="14"/>
              </w:rPr>
              <w:t>0.00</w:t>
            </w:r>
          </w:p>
        </w:tc>
        <w:tc>
          <w:tcPr>
            <w:tcW w:w="807" w:type="dxa"/>
          </w:tcPr>
          <w:p>
            <w:pPr>
              <w:pStyle w:val="TableParagraph"/>
              <w:spacing w:before="14"/>
              <w:ind w:right="80"/>
              <w:rPr>
                <w:sz w:val="14"/>
              </w:rPr>
            </w:pPr>
            <w:r>
              <w:rPr>
                <w:sz w:val="14"/>
              </w:rPr>
              <w:t>11.55</w:t>
            </w:r>
          </w:p>
        </w:tc>
        <w:tc>
          <w:tcPr>
            <w:tcW w:w="526" w:type="dxa"/>
          </w:tcPr>
          <w:p>
            <w:pPr>
              <w:pStyle w:val="TableParagraph"/>
              <w:spacing w:before="14"/>
              <w:ind w:left="118" w:right="21"/>
              <w:jc w:val="center"/>
              <w:rPr>
                <w:sz w:val="14"/>
              </w:rPr>
            </w:pPr>
            <w:r>
              <w:rPr>
                <w:sz w:val="14"/>
              </w:rPr>
              <w:t>10.82</w:t>
            </w:r>
          </w:p>
        </w:tc>
        <w:tc>
          <w:tcPr>
            <w:tcW w:w="1310" w:type="dxa"/>
          </w:tcPr>
          <w:p>
            <w:pPr>
              <w:pStyle w:val="TableParagraph"/>
              <w:spacing w:before="14"/>
              <w:ind w:left="55"/>
              <w:jc w:val="left"/>
              <w:rPr>
                <w:sz w:val="14"/>
              </w:rPr>
            </w:pPr>
            <w:r>
              <w:rPr>
                <w:sz w:val="14"/>
              </w:rPr>
              <w:t>1 Toluca</w:t>
            </w:r>
          </w:p>
        </w:tc>
        <w:tc>
          <w:tcPr>
            <w:tcW w:w="690" w:type="dxa"/>
          </w:tcPr>
          <w:p>
            <w:pPr>
              <w:pStyle w:val="TableParagraph"/>
              <w:spacing w:before="14"/>
              <w:ind w:right="53"/>
              <w:rPr>
                <w:sz w:val="14"/>
              </w:rPr>
            </w:pPr>
            <w:r>
              <w:rPr>
                <w:sz w:val="14"/>
              </w:rPr>
              <w:t>54.5</w:t>
            </w:r>
          </w:p>
        </w:tc>
        <w:tc>
          <w:tcPr>
            <w:tcW w:w="697" w:type="dxa"/>
          </w:tcPr>
          <w:p>
            <w:pPr>
              <w:pStyle w:val="TableParagraph"/>
              <w:spacing w:before="14"/>
              <w:ind w:right="84"/>
              <w:rPr>
                <w:sz w:val="14"/>
              </w:rPr>
            </w:pPr>
            <w:r>
              <w:rPr>
                <w:w w:val="95"/>
                <w:sz w:val="14"/>
              </w:rPr>
              <w:t>41.3</w:t>
            </w:r>
          </w:p>
        </w:tc>
        <w:tc>
          <w:tcPr>
            <w:tcW w:w="528" w:type="dxa"/>
          </w:tcPr>
          <w:p>
            <w:pPr>
              <w:pStyle w:val="TableParagraph"/>
              <w:spacing w:before="14"/>
              <w:ind w:right="53"/>
              <w:rPr>
                <w:sz w:val="14"/>
              </w:rPr>
            </w:pPr>
            <w:r>
              <w:rPr>
                <w:sz w:val="14"/>
              </w:rPr>
              <w:t>41.7</w:t>
            </w:r>
          </w:p>
        </w:tc>
      </w:tr>
      <w:tr>
        <w:trPr>
          <w:trHeight w:val="205" w:hRule="exact"/>
        </w:trPr>
        <w:tc>
          <w:tcPr>
            <w:tcW w:w="1315" w:type="dxa"/>
          </w:tcPr>
          <w:p>
            <w:pPr>
              <w:pStyle w:val="TableParagraph"/>
              <w:spacing w:before="14"/>
              <w:ind w:left="4"/>
              <w:jc w:val="left"/>
              <w:rPr>
                <w:sz w:val="14"/>
              </w:rPr>
            </w:pPr>
            <w:r>
              <w:rPr>
                <w:sz w:val="14"/>
              </w:rPr>
              <w:t>2 Zumpango</w:t>
            </w:r>
          </w:p>
        </w:tc>
        <w:tc>
          <w:tcPr>
            <w:tcW w:w="647" w:type="dxa"/>
          </w:tcPr>
          <w:p>
            <w:pPr>
              <w:pStyle w:val="TableParagraph"/>
              <w:spacing w:before="14"/>
              <w:ind w:right="54"/>
              <w:rPr>
                <w:sz w:val="14"/>
              </w:rPr>
            </w:pPr>
            <w:r>
              <w:rPr>
                <w:w w:val="95"/>
                <w:sz w:val="14"/>
              </w:rPr>
              <w:t>0.00</w:t>
            </w:r>
          </w:p>
        </w:tc>
        <w:tc>
          <w:tcPr>
            <w:tcW w:w="807" w:type="dxa"/>
          </w:tcPr>
          <w:p>
            <w:pPr>
              <w:pStyle w:val="TableParagraph"/>
              <w:spacing w:before="14"/>
              <w:ind w:right="80"/>
              <w:rPr>
                <w:sz w:val="14"/>
              </w:rPr>
            </w:pPr>
            <w:r>
              <w:rPr>
                <w:sz w:val="14"/>
              </w:rPr>
              <w:t>42.51</w:t>
            </w:r>
          </w:p>
        </w:tc>
        <w:tc>
          <w:tcPr>
            <w:tcW w:w="526" w:type="dxa"/>
          </w:tcPr>
          <w:p>
            <w:pPr>
              <w:pStyle w:val="TableParagraph"/>
              <w:spacing w:before="14"/>
              <w:ind w:left="118" w:right="21"/>
              <w:jc w:val="center"/>
              <w:rPr>
                <w:sz w:val="14"/>
              </w:rPr>
            </w:pPr>
            <w:r>
              <w:rPr>
                <w:sz w:val="14"/>
              </w:rPr>
              <w:t>39.80</w:t>
            </w:r>
          </w:p>
        </w:tc>
        <w:tc>
          <w:tcPr>
            <w:tcW w:w="1310" w:type="dxa"/>
          </w:tcPr>
          <w:p>
            <w:pPr>
              <w:pStyle w:val="TableParagraph"/>
              <w:spacing w:before="14"/>
              <w:ind w:left="55"/>
              <w:jc w:val="left"/>
              <w:rPr>
                <w:sz w:val="14"/>
              </w:rPr>
            </w:pPr>
            <w:r>
              <w:rPr>
                <w:sz w:val="14"/>
              </w:rPr>
              <w:t>2 Zumpango</w:t>
            </w:r>
          </w:p>
        </w:tc>
        <w:tc>
          <w:tcPr>
            <w:tcW w:w="690" w:type="dxa"/>
          </w:tcPr>
          <w:p>
            <w:pPr>
              <w:pStyle w:val="TableParagraph"/>
              <w:spacing w:before="14"/>
              <w:ind w:right="53"/>
              <w:rPr>
                <w:sz w:val="14"/>
              </w:rPr>
            </w:pPr>
            <w:r>
              <w:rPr>
                <w:w w:val="95"/>
                <w:sz w:val="14"/>
              </w:rPr>
              <w:t>3.2</w:t>
            </w:r>
          </w:p>
        </w:tc>
        <w:tc>
          <w:tcPr>
            <w:tcW w:w="697" w:type="dxa"/>
          </w:tcPr>
          <w:p>
            <w:pPr>
              <w:pStyle w:val="TableParagraph"/>
              <w:spacing w:before="14"/>
              <w:ind w:right="84"/>
              <w:rPr>
                <w:sz w:val="14"/>
              </w:rPr>
            </w:pPr>
            <w:r>
              <w:rPr>
                <w:w w:val="95"/>
                <w:sz w:val="14"/>
              </w:rPr>
              <w:t>17.1</w:t>
            </w:r>
          </w:p>
        </w:tc>
        <w:tc>
          <w:tcPr>
            <w:tcW w:w="528" w:type="dxa"/>
          </w:tcPr>
          <w:p>
            <w:pPr>
              <w:pStyle w:val="TableParagraph"/>
              <w:spacing w:before="14"/>
              <w:ind w:right="53"/>
              <w:rPr>
                <w:sz w:val="14"/>
              </w:rPr>
            </w:pPr>
            <w:r>
              <w:rPr>
                <w:sz w:val="14"/>
              </w:rPr>
              <w:t>16.7</w:t>
            </w:r>
          </w:p>
        </w:tc>
      </w:tr>
      <w:tr>
        <w:trPr>
          <w:trHeight w:val="205" w:hRule="exact"/>
        </w:trPr>
        <w:tc>
          <w:tcPr>
            <w:tcW w:w="1315" w:type="dxa"/>
          </w:tcPr>
          <w:p>
            <w:pPr>
              <w:pStyle w:val="TableParagraph"/>
              <w:spacing w:before="16"/>
              <w:ind w:left="4"/>
              <w:jc w:val="left"/>
              <w:rPr>
                <w:sz w:val="14"/>
              </w:rPr>
            </w:pPr>
            <w:r>
              <w:rPr>
                <w:sz w:val="14"/>
              </w:rPr>
              <w:t>3 Texcoco</w:t>
            </w:r>
          </w:p>
        </w:tc>
        <w:tc>
          <w:tcPr>
            <w:tcW w:w="647" w:type="dxa"/>
          </w:tcPr>
          <w:p>
            <w:pPr>
              <w:pStyle w:val="TableParagraph"/>
              <w:spacing w:before="16"/>
              <w:ind w:right="54"/>
              <w:rPr>
                <w:sz w:val="14"/>
              </w:rPr>
            </w:pPr>
            <w:r>
              <w:rPr>
                <w:sz w:val="14"/>
              </w:rPr>
              <w:t>48.63</w:t>
            </w:r>
          </w:p>
        </w:tc>
        <w:tc>
          <w:tcPr>
            <w:tcW w:w="807" w:type="dxa"/>
          </w:tcPr>
          <w:p>
            <w:pPr>
              <w:pStyle w:val="TableParagraph"/>
              <w:spacing w:before="16"/>
              <w:ind w:right="80"/>
              <w:rPr>
                <w:sz w:val="14"/>
              </w:rPr>
            </w:pPr>
            <w:r>
              <w:rPr>
                <w:sz w:val="14"/>
              </w:rPr>
              <w:t>32.38</w:t>
            </w:r>
          </w:p>
        </w:tc>
        <w:tc>
          <w:tcPr>
            <w:tcW w:w="526" w:type="dxa"/>
          </w:tcPr>
          <w:p>
            <w:pPr>
              <w:pStyle w:val="TableParagraph"/>
              <w:spacing w:before="16"/>
              <w:ind w:left="118" w:right="21"/>
              <w:jc w:val="center"/>
              <w:rPr>
                <w:sz w:val="14"/>
              </w:rPr>
            </w:pPr>
            <w:r>
              <w:rPr>
                <w:sz w:val="14"/>
              </w:rPr>
              <w:t>33.42</w:t>
            </w:r>
          </w:p>
        </w:tc>
        <w:tc>
          <w:tcPr>
            <w:tcW w:w="1310" w:type="dxa"/>
          </w:tcPr>
          <w:p>
            <w:pPr>
              <w:pStyle w:val="TableParagraph"/>
              <w:spacing w:before="16"/>
              <w:ind w:left="55"/>
              <w:jc w:val="left"/>
              <w:rPr>
                <w:sz w:val="14"/>
              </w:rPr>
            </w:pPr>
            <w:r>
              <w:rPr>
                <w:sz w:val="14"/>
              </w:rPr>
              <w:t>3 Texcoco</w:t>
            </w:r>
          </w:p>
        </w:tc>
        <w:tc>
          <w:tcPr>
            <w:tcW w:w="690" w:type="dxa"/>
          </w:tcPr>
          <w:p>
            <w:pPr>
              <w:pStyle w:val="TableParagraph"/>
              <w:spacing w:before="16"/>
              <w:ind w:right="53"/>
              <w:rPr>
                <w:sz w:val="14"/>
              </w:rPr>
            </w:pPr>
            <w:r>
              <w:rPr>
                <w:sz w:val="14"/>
              </w:rPr>
              <w:t>30.8</w:t>
            </w:r>
          </w:p>
        </w:tc>
        <w:tc>
          <w:tcPr>
            <w:tcW w:w="697" w:type="dxa"/>
          </w:tcPr>
          <w:p>
            <w:pPr>
              <w:pStyle w:val="TableParagraph"/>
              <w:spacing w:before="16"/>
              <w:ind w:right="84"/>
              <w:rPr>
                <w:sz w:val="14"/>
              </w:rPr>
            </w:pPr>
            <w:r>
              <w:rPr>
                <w:w w:val="95"/>
                <w:sz w:val="14"/>
              </w:rPr>
              <w:t>26.2</w:t>
            </w:r>
          </w:p>
        </w:tc>
        <w:tc>
          <w:tcPr>
            <w:tcW w:w="528" w:type="dxa"/>
          </w:tcPr>
          <w:p>
            <w:pPr>
              <w:pStyle w:val="TableParagraph"/>
              <w:spacing w:before="16"/>
              <w:ind w:right="53"/>
              <w:rPr>
                <w:sz w:val="14"/>
              </w:rPr>
            </w:pPr>
            <w:r>
              <w:rPr>
                <w:sz w:val="14"/>
              </w:rPr>
              <w:t>26.4</w:t>
            </w:r>
          </w:p>
        </w:tc>
      </w:tr>
      <w:tr>
        <w:trPr>
          <w:trHeight w:val="204" w:hRule="exact"/>
        </w:trPr>
        <w:tc>
          <w:tcPr>
            <w:tcW w:w="1315" w:type="dxa"/>
          </w:tcPr>
          <w:p>
            <w:pPr>
              <w:pStyle w:val="TableParagraph"/>
              <w:spacing w:before="14"/>
              <w:ind w:left="4"/>
              <w:jc w:val="left"/>
              <w:rPr>
                <w:sz w:val="14"/>
              </w:rPr>
            </w:pPr>
            <w:r>
              <w:rPr>
                <w:sz w:val="14"/>
              </w:rPr>
              <w:t>4 Tejupilco</w:t>
            </w:r>
          </w:p>
        </w:tc>
        <w:tc>
          <w:tcPr>
            <w:tcW w:w="647" w:type="dxa"/>
          </w:tcPr>
          <w:p>
            <w:pPr>
              <w:pStyle w:val="TableParagraph"/>
              <w:spacing w:before="14"/>
              <w:ind w:right="54"/>
              <w:rPr>
                <w:sz w:val="14"/>
              </w:rPr>
            </w:pPr>
            <w:r>
              <w:rPr>
                <w:w w:val="95"/>
                <w:sz w:val="14"/>
              </w:rPr>
              <w:t>0.00</w:t>
            </w:r>
          </w:p>
        </w:tc>
        <w:tc>
          <w:tcPr>
            <w:tcW w:w="807" w:type="dxa"/>
          </w:tcPr>
          <w:p>
            <w:pPr>
              <w:pStyle w:val="TableParagraph"/>
              <w:spacing w:before="14"/>
              <w:ind w:right="80"/>
              <w:rPr>
                <w:sz w:val="14"/>
              </w:rPr>
            </w:pPr>
            <w:r>
              <w:rPr>
                <w:sz w:val="14"/>
              </w:rPr>
              <w:t>0.31</w:t>
            </w:r>
          </w:p>
        </w:tc>
        <w:tc>
          <w:tcPr>
            <w:tcW w:w="526" w:type="dxa"/>
          </w:tcPr>
          <w:p>
            <w:pPr>
              <w:pStyle w:val="TableParagraph"/>
              <w:spacing w:before="14"/>
              <w:ind w:left="204" w:right="36"/>
              <w:jc w:val="center"/>
              <w:rPr>
                <w:sz w:val="14"/>
              </w:rPr>
            </w:pPr>
            <w:r>
              <w:rPr>
                <w:sz w:val="14"/>
              </w:rPr>
              <w:t>0.29</w:t>
            </w:r>
          </w:p>
        </w:tc>
        <w:tc>
          <w:tcPr>
            <w:tcW w:w="1310" w:type="dxa"/>
          </w:tcPr>
          <w:p>
            <w:pPr>
              <w:pStyle w:val="TableParagraph"/>
              <w:spacing w:before="14"/>
              <w:ind w:left="55"/>
              <w:jc w:val="left"/>
              <w:rPr>
                <w:sz w:val="14"/>
              </w:rPr>
            </w:pPr>
            <w:r>
              <w:rPr>
                <w:sz w:val="14"/>
              </w:rPr>
              <w:t>4 Tejupilco</w:t>
            </w:r>
          </w:p>
        </w:tc>
        <w:tc>
          <w:tcPr>
            <w:tcW w:w="690" w:type="dxa"/>
          </w:tcPr>
          <w:p>
            <w:pPr>
              <w:pStyle w:val="TableParagraph"/>
              <w:spacing w:before="14"/>
              <w:ind w:right="53"/>
              <w:rPr>
                <w:sz w:val="14"/>
              </w:rPr>
            </w:pPr>
            <w:r>
              <w:rPr>
                <w:w w:val="99"/>
                <w:sz w:val="14"/>
              </w:rPr>
              <w:t>0</w:t>
            </w:r>
          </w:p>
        </w:tc>
        <w:tc>
          <w:tcPr>
            <w:tcW w:w="697" w:type="dxa"/>
          </w:tcPr>
          <w:p>
            <w:pPr>
              <w:pStyle w:val="TableParagraph"/>
              <w:spacing w:before="14"/>
              <w:ind w:right="83"/>
              <w:rPr>
                <w:sz w:val="14"/>
              </w:rPr>
            </w:pPr>
            <w:r>
              <w:rPr>
                <w:w w:val="95"/>
                <w:sz w:val="14"/>
              </w:rPr>
              <w:t>2.4</w:t>
            </w:r>
          </w:p>
        </w:tc>
        <w:tc>
          <w:tcPr>
            <w:tcW w:w="528" w:type="dxa"/>
          </w:tcPr>
          <w:p>
            <w:pPr>
              <w:pStyle w:val="TableParagraph"/>
              <w:spacing w:before="14"/>
              <w:ind w:right="52"/>
              <w:rPr>
                <w:sz w:val="14"/>
              </w:rPr>
            </w:pPr>
            <w:r>
              <w:rPr>
                <w:w w:val="95"/>
                <w:sz w:val="14"/>
              </w:rPr>
              <w:t>2.3</w:t>
            </w:r>
          </w:p>
        </w:tc>
      </w:tr>
      <w:tr>
        <w:trPr>
          <w:trHeight w:val="204" w:hRule="exact"/>
        </w:trPr>
        <w:tc>
          <w:tcPr>
            <w:tcW w:w="1315" w:type="dxa"/>
          </w:tcPr>
          <w:p>
            <w:pPr>
              <w:pStyle w:val="TableParagraph"/>
              <w:spacing w:before="14"/>
              <w:ind w:left="4"/>
              <w:jc w:val="left"/>
              <w:rPr>
                <w:sz w:val="14"/>
              </w:rPr>
            </w:pPr>
            <w:r>
              <w:rPr>
                <w:sz w:val="14"/>
              </w:rPr>
              <w:t>5 Atlacomulco</w:t>
            </w:r>
          </w:p>
        </w:tc>
        <w:tc>
          <w:tcPr>
            <w:tcW w:w="647" w:type="dxa"/>
          </w:tcPr>
          <w:p>
            <w:pPr>
              <w:pStyle w:val="TableParagraph"/>
              <w:spacing w:before="14"/>
              <w:ind w:right="54"/>
              <w:rPr>
                <w:sz w:val="14"/>
              </w:rPr>
            </w:pPr>
            <w:r>
              <w:rPr>
                <w:w w:val="95"/>
                <w:sz w:val="14"/>
              </w:rPr>
              <w:t>0.00</w:t>
            </w:r>
          </w:p>
        </w:tc>
        <w:tc>
          <w:tcPr>
            <w:tcW w:w="807" w:type="dxa"/>
          </w:tcPr>
          <w:p>
            <w:pPr>
              <w:pStyle w:val="TableParagraph"/>
              <w:spacing w:before="14"/>
              <w:ind w:right="80"/>
              <w:rPr>
                <w:sz w:val="14"/>
              </w:rPr>
            </w:pPr>
            <w:r>
              <w:rPr>
                <w:sz w:val="14"/>
              </w:rPr>
              <w:t>6.98</w:t>
            </w:r>
          </w:p>
        </w:tc>
        <w:tc>
          <w:tcPr>
            <w:tcW w:w="526" w:type="dxa"/>
          </w:tcPr>
          <w:p>
            <w:pPr>
              <w:pStyle w:val="TableParagraph"/>
              <w:spacing w:before="14"/>
              <w:ind w:left="204" w:right="36"/>
              <w:jc w:val="center"/>
              <w:rPr>
                <w:sz w:val="14"/>
              </w:rPr>
            </w:pPr>
            <w:r>
              <w:rPr>
                <w:sz w:val="14"/>
              </w:rPr>
              <w:t>6.54</w:t>
            </w:r>
          </w:p>
        </w:tc>
        <w:tc>
          <w:tcPr>
            <w:tcW w:w="1310" w:type="dxa"/>
          </w:tcPr>
          <w:p>
            <w:pPr>
              <w:pStyle w:val="TableParagraph"/>
              <w:spacing w:before="14"/>
              <w:ind w:left="55"/>
              <w:jc w:val="left"/>
              <w:rPr>
                <w:sz w:val="14"/>
              </w:rPr>
            </w:pPr>
            <w:r>
              <w:rPr>
                <w:sz w:val="14"/>
              </w:rPr>
              <w:t>5 Atlacomulco</w:t>
            </w:r>
          </w:p>
        </w:tc>
        <w:tc>
          <w:tcPr>
            <w:tcW w:w="690" w:type="dxa"/>
          </w:tcPr>
          <w:p>
            <w:pPr>
              <w:pStyle w:val="TableParagraph"/>
              <w:spacing w:before="14"/>
              <w:ind w:right="53"/>
              <w:rPr>
                <w:sz w:val="14"/>
              </w:rPr>
            </w:pPr>
            <w:r>
              <w:rPr>
                <w:sz w:val="14"/>
              </w:rPr>
              <w:t>11.5</w:t>
            </w:r>
          </w:p>
        </w:tc>
        <w:tc>
          <w:tcPr>
            <w:tcW w:w="697" w:type="dxa"/>
          </w:tcPr>
          <w:p>
            <w:pPr>
              <w:pStyle w:val="TableParagraph"/>
              <w:spacing w:before="14"/>
              <w:ind w:right="83"/>
              <w:rPr>
                <w:sz w:val="14"/>
              </w:rPr>
            </w:pPr>
            <w:r>
              <w:rPr>
                <w:w w:val="95"/>
                <w:sz w:val="14"/>
              </w:rPr>
              <w:t>5.5</w:t>
            </w:r>
          </w:p>
        </w:tc>
        <w:tc>
          <w:tcPr>
            <w:tcW w:w="528" w:type="dxa"/>
          </w:tcPr>
          <w:p>
            <w:pPr>
              <w:pStyle w:val="TableParagraph"/>
              <w:spacing w:before="14"/>
              <w:ind w:right="52"/>
              <w:rPr>
                <w:sz w:val="14"/>
              </w:rPr>
            </w:pPr>
            <w:r>
              <w:rPr>
                <w:w w:val="95"/>
                <w:sz w:val="14"/>
              </w:rPr>
              <w:t>5.7</w:t>
            </w:r>
          </w:p>
        </w:tc>
      </w:tr>
      <w:tr>
        <w:trPr>
          <w:trHeight w:val="204" w:hRule="exact"/>
        </w:trPr>
        <w:tc>
          <w:tcPr>
            <w:tcW w:w="1315" w:type="dxa"/>
          </w:tcPr>
          <w:p>
            <w:pPr>
              <w:pStyle w:val="TableParagraph"/>
              <w:spacing w:before="14"/>
              <w:ind w:left="4"/>
              <w:jc w:val="left"/>
              <w:rPr>
                <w:sz w:val="14"/>
              </w:rPr>
            </w:pPr>
            <w:r>
              <w:rPr>
                <w:sz w:val="14"/>
              </w:rPr>
              <w:t>6 Coatapec Harinas</w:t>
            </w:r>
          </w:p>
        </w:tc>
        <w:tc>
          <w:tcPr>
            <w:tcW w:w="647" w:type="dxa"/>
          </w:tcPr>
          <w:p>
            <w:pPr>
              <w:pStyle w:val="TableParagraph"/>
              <w:spacing w:before="14"/>
              <w:ind w:right="54"/>
              <w:rPr>
                <w:sz w:val="14"/>
              </w:rPr>
            </w:pPr>
            <w:r>
              <w:rPr>
                <w:w w:val="95"/>
                <w:sz w:val="14"/>
              </w:rPr>
              <w:t>0.00</w:t>
            </w:r>
          </w:p>
        </w:tc>
        <w:tc>
          <w:tcPr>
            <w:tcW w:w="807" w:type="dxa"/>
          </w:tcPr>
          <w:p>
            <w:pPr>
              <w:pStyle w:val="TableParagraph"/>
              <w:spacing w:before="14"/>
              <w:ind w:right="80"/>
              <w:rPr>
                <w:sz w:val="14"/>
              </w:rPr>
            </w:pPr>
            <w:r>
              <w:rPr>
                <w:sz w:val="14"/>
              </w:rPr>
              <w:t>2.19</w:t>
            </w:r>
          </w:p>
        </w:tc>
        <w:tc>
          <w:tcPr>
            <w:tcW w:w="526" w:type="dxa"/>
          </w:tcPr>
          <w:p>
            <w:pPr>
              <w:pStyle w:val="TableParagraph"/>
              <w:spacing w:before="14"/>
              <w:ind w:left="204" w:right="36"/>
              <w:jc w:val="center"/>
              <w:rPr>
                <w:sz w:val="14"/>
              </w:rPr>
            </w:pPr>
            <w:r>
              <w:rPr>
                <w:sz w:val="14"/>
              </w:rPr>
              <w:t>2.05</w:t>
            </w:r>
          </w:p>
        </w:tc>
        <w:tc>
          <w:tcPr>
            <w:tcW w:w="1310" w:type="dxa"/>
          </w:tcPr>
          <w:p>
            <w:pPr>
              <w:pStyle w:val="TableParagraph"/>
              <w:spacing w:before="14"/>
              <w:ind w:left="55"/>
              <w:jc w:val="left"/>
              <w:rPr>
                <w:sz w:val="14"/>
              </w:rPr>
            </w:pPr>
            <w:r>
              <w:rPr>
                <w:sz w:val="14"/>
              </w:rPr>
              <w:t>6 Coatapec Harinas</w:t>
            </w:r>
          </w:p>
        </w:tc>
        <w:tc>
          <w:tcPr>
            <w:tcW w:w="690" w:type="dxa"/>
          </w:tcPr>
          <w:p>
            <w:pPr>
              <w:pStyle w:val="TableParagraph"/>
              <w:spacing w:before="14"/>
              <w:ind w:right="53"/>
              <w:rPr>
                <w:sz w:val="14"/>
              </w:rPr>
            </w:pPr>
            <w:r>
              <w:rPr>
                <w:w w:val="99"/>
                <w:sz w:val="14"/>
              </w:rPr>
              <w:t>0</w:t>
            </w:r>
          </w:p>
        </w:tc>
        <w:tc>
          <w:tcPr>
            <w:tcW w:w="697" w:type="dxa"/>
          </w:tcPr>
          <w:p>
            <w:pPr>
              <w:pStyle w:val="TableParagraph"/>
              <w:spacing w:before="14"/>
              <w:ind w:right="83"/>
              <w:rPr>
                <w:sz w:val="14"/>
              </w:rPr>
            </w:pPr>
            <w:r>
              <w:rPr>
                <w:w w:val="95"/>
                <w:sz w:val="14"/>
              </w:rPr>
              <w:t>2.7</w:t>
            </w:r>
          </w:p>
        </w:tc>
        <w:tc>
          <w:tcPr>
            <w:tcW w:w="528" w:type="dxa"/>
          </w:tcPr>
          <w:p>
            <w:pPr>
              <w:pStyle w:val="TableParagraph"/>
              <w:spacing w:before="14"/>
              <w:ind w:right="52"/>
              <w:rPr>
                <w:sz w:val="14"/>
              </w:rPr>
            </w:pPr>
            <w:r>
              <w:rPr>
                <w:w w:val="95"/>
                <w:sz w:val="14"/>
              </w:rPr>
              <w:t>2.6</w:t>
            </w:r>
          </w:p>
        </w:tc>
      </w:tr>
      <w:tr>
        <w:trPr>
          <w:trHeight w:val="204" w:hRule="exact"/>
        </w:trPr>
        <w:tc>
          <w:tcPr>
            <w:tcW w:w="1315" w:type="dxa"/>
          </w:tcPr>
          <w:p>
            <w:pPr>
              <w:pStyle w:val="TableParagraph"/>
              <w:spacing w:before="14"/>
              <w:ind w:left="4"/>
              <w:jc w:val="left"/>
              <w:rPr>
                <w:sz w:val="14"/>
              </w:rPr>
            </w:pPr>
            <w:r>
              <w:rPr>
                <w:sz w:val="14"/>
              </w:rPr>
              <w:t>7 Valle de Bravo</w:t>
            </w:r>
          </w:p>
        </w:tc>
        <w:tc>
          <w:tcPr>
            <w:tcW w:w="647" w:type="dxa"/>
          </w:tcPr>
          <w:p>
            <w:pPr>
              <w:pStyle w:val="TableParagraph"/>
              <w:spacing w:before="14"/>
              <w:ind w:right="54"/>
              <w:rPr>
                <w:sz w:val="14"/>
              </w:rPr>
            </w:pPr>
            <w:r>
              <w:rPr>
                <w:w w:val="95"/>
                <w:sz w:val="14"/>
              </w:rPr>
              <w:t>0.00</w:t>
            </w:r>
          </w:p>
        </w:tc>
        <w:tc>
          <w:tcPr>
            <w:tcW w:w="807" w:type="dxa"/>
          </w:tcPr>
          <w:p>
            <w:pPr>
              <w:pStyle w:val="TableParagraph"/>
              <w:spacing w:before="14"/>
              <w:ind w:right="80"/>
              <w:rPr>
                <w:sz w:val="14"/>
              </w:rPr>
            </w:pPr>
            <w:r>
              <w:rPr>
                <w:sz w:val="14"/>
              </w:rPr>
              <w:t>4.07</w:t>
            </w:r>
          </w:p>
        </w:tc>
        <w:tc>
          <w:tcPr>
            <w:tcW w:w="526" w:type="dxa"/>
          </w:tcPr>
          <w:p>
            <w:pPr>
              <w:pStyle w:val="TableParagraph"/>
              <w:spacing w:before="14"/>
              <w:ind w:left="204" w:right="36"/>
              <w:jc w:val="center"/>
              <w:rPr>
                <w:sz w:val="14"/>
              </w:rPr>
            </w:pPr>
            <w:r>
              <w:rPr>
                <w:sz w:val="14"/>
              </w:rPr>
              <w:t>3.81</w:t>
            </w:r>
          </w:p>
        </w:tc>
        <w:tc>
          <w:tcPr>
            <w:tcW w:w="1310" w:type="dxa"/>
          </w:tcPr>
          <w:p>
            <w:pPr>
              <w:pStyle w:val="TableParagraph"/>
              <w:spacing w:before="14"/>
              <w:ind w:left="55"/>
              <w:jc w:val="left"/>
              <w:rPr>
                <w:sz w:val="14"/>
              </w:rPr>
            </w:pPr>
            <w:r>
              <w:rPr>
                <w:sz w:val="14"/>
              </w:rPr>
              <w:t>7 Valle de Bravo</w:t>
            </w:r>
          </w:p>
        </w:tc>
        <w:tc>
          <w:tcPr>
            <w:tcW w:w="690" w:type="dxa"/>
          </w:tcPr>
          <w:p>
            <w:pPr>
              <w:pStyle w:val="TableParagraph"/>
              <w:spacing w:before="14"/>
              <w:ind w:right="53"/>
              <w:rPr>
                <w:sz w:val="14"/>
              </w:rPr>
            </w:pPr>
            <w:r>
              <w:rPr>
                <w:w w:val="99"/>
                <w:sz w:val="14"/>
              </w:rPr>
              <w:t>0</w:t>
            </w:r>
          </w:p>
        </w:tc>
        <w:tc>
          <w:tcPr>
            <w:tcW w:w="697" w:type="dxa"/>
          </w:tcPr>
          <w:p>
            <w:pPr>
              <w:pStyle w:val="TableParagraph"/>
              <w:spacing w:before="14"/>
              <w:ind w:right="83"/>
              <w:rPr>
                <w:sz w:val="14"/>
              </w:rPr>
            </w:pPr>
            <w:r>
              <w:rPr>
                <w:w w:val="95"/>
                <w:sz w:val="14"/>
              </w:rPr>
              <w:t>4.7</w:t>
            </w:r>
          </w:p>
        </w:tc>
        <w:tc>
          <w:tcPr>
            <w:tcW w:w="528" w:type="dxa"/>
          </w:tcPr>
          <w:p>
            <w:pPr>
              <w:pStyle w:val="TableParagraph"/>
              <w:spacing w:before="14"/>
              <w:ind w:right="52"/>
              <w:rPr>
                <w:sz w:val="14"/>
              </w:rPr>
            </w:pPr>
            <w:r>
              <w:rPr>
                <w:w w:val="95"/>
                <w:sz w:val="14"/>
              </w:rPr>
              <w:t>4.7</w:t>
            </w:r>
          </w:p>
        </w:tc>
      </w:tr>
      <w:tr>
        <w:trPr>
          <w:trHeight w:val="204" w:hRule="exact"/>
        </w:trPr>
        <w:tc>
          <w:tcPr>
            <w:tcW w:w="1315" w:type="dxa"/>
          </w:tcPr>
          <w:p>
            <w:pPr>
              <w:pStyle w:val="TableParagraph"/>
              <w:spacing w:before="14"/>
              <w:ind w:left="4"/>
              <w:jc w:val="left"/>
              <w:rPr>
                <w:sz w:val="14"/>
              </w:rPr>
            </w:pPr>
            <w:r>
              <w:rPr>
                <w:sz w:val="14"/>
              </w:rPr>
              <w:t>8 Jilotepec</w:t>
            </w:r>
          </w:p>
        </w:tc>
        <w:tc>
          <w:tcPr>
            <w:tcW w:w="647" w:type="dxa"/>
          </w:tcPr>
          <w:p>
            <w:pPr>
              <w:pStyle w:val="TableParagraph"/>
              <w:spacing w:before="14"/>
              <w:ind w:right="54"/>
              <w:rPr>
                <w:sz w:val="14"/>
              </w:rPr>
            </w:pPr>
            <w:r>
              <w:rPr>
                <w:sz w:val="14"/>
              </w:rPr>
              <w:t>51.37</w:t>
            </w:r>
          </w:p>
        </w:tc>
        <w:tc>
          <w:tcPr>
            <w:tcW w:w="807" w:type="dxa"/>
          </w:tcPr>
          <w:p>
            <w:pPr>
              <w:pStyle w:val="TableParagraph"/>
              <w:spacing w:before="14"/>
              <w:ind w:right="80"/>
              <w:rPr>
                <w:sz w:val="14"/>
              </w:rPr>
            </w:pPr>
            <w:r>
              <w:rPr>
                <w:sz w:val="14"/>
              </w:rPr>
              <w:t>0.00</w:t>
            </w:r>
          </w:p>
        </w:tc>
        <w:tc>
          <w:tcPr>
            <w:tcW w:w="526" w:type="dxa"/>
          </w:tcPr>
          <w:p>
            <w:pPr>
              <w:pStyle w:val="TableParagraph"/>
              <w:spacing w:before="14"/>
              <w:ind w:left="204" w:right="36"/>
              <w:jc w:val="center"/>
              <w:rPr>
                <w:sz w:val="14"/>
              </w:rPr>
            </w:pPr>
            <w:r>
              <w:rPr>
                <w:sz w:val="14"/>
              </w:rPr>
              <w:t>3.28</w:t>
            </w:r>
          </w:p>
        </w:tc>
        <w:tc>
          <w:tcPr>
            <w:tcW w:w="1310" w:type="dxa"/>
          </w:tcPr>
          <w:p>
            <w:pPr>
              <w:pStyle w:val="TableParagraph"/>
              <w:spacing w:before="14"/>
              <w:ind w:left="55"/>
              <w:jc w:val="left"/>
              <w:rPr>
                <w:sz w:val="14"/>
              </w:rPr>
            </w:pPr>
            <w:r>
              <w:rPr>
                <w:sz w:val="14"/>
              </w:rPr>
              <w:t>8 Jilotepec</w:t>
            </w:r>
          </w:p>
        </w:tc>
        <w:tc>
          <w:tcPr>
            <w:tcW w:w="690" w:type="dxa"/>
          </w:tcPr>
          <w:p>
            <w:pPr>
              <w:pStyle w:val="TableParagraph"/>
              <w:spacing w:before="14"/>
              <w:ind w:right="53"/>
              <w:rPr>
                <w:sz w:val="14"/>
              </w:rPr>
            </w:pPr>
            <w:r>
              <w:rPr>
                <w:w w:val="99"/>
                <w:sz w:val="14"/>
              </w:rPr>
              <w:t>0</w:t>
            </w:r>
          </w:p>
        </w:tc>
        <w:tc>
          <w:tcPr>
            <w:tcW w:w="697" w:type="dxa"/>
          </w:tcPr>
          <w:p>
            <w:pPr>
              <w:pStyle w:val="TableParagraph"/>
              <w:spacing w:before="14"/>
              <w:ind w:right="83"/>
              <w:rPr>
                <w:sz w:val="14"/>
              </w:rPr>
            </w:pPr>
            <w:r>
              <w:rPr>
                <w:w w:val="95"/>
                <w:sz w:val="14"/>
              </w:rPr>
              <w:t>0.1</w:t>
            </w:r>
          </w:p>
        </w:tc>
        <w:tc>
          <w:tcPr>
            <w:tcW w:w="528" w:type="dxa"/>
          </w:tcPr>
          <w:p>
            <w:pPr>
              <w:pStyle w:val="TableParagraph"/>
              <w:spacing w:before="14"/>
              <w:ind w:right="52"/>
              <w:rPr>
                <w:sz w:val="14"/>
              </w:rPr>
            </w:pPr>
            <w:r>
              <w:rPr>
                <w:w w:val="95"/>
                <w:sz w:val="14"/>
              </w:rPr>
              <w:t>0.1</w:t>
            </w:r>
          </w:p>
        </w:tc>
      </w:tr>
      <w:tr>
        <w:trPr>
          <w:trHeight w:val="204" w:hRule="exact"/>
        </w:trPr>
        <w:tc>
          <w:tcPr>
            <w:tcW w:w="1315" w:type="dxa"/>
          </w:tcPr>
          <w:p>
            <w:pPr>
              <w:pStyle w:val="TableParagraph"/>
              <w:spacing w:before="14"/>
              <w:ind w:left="4"/>
              <w:jc w:val="left"/>
              <w:rPr>
                <w:sz w:val="14"/>
              </w:rPr>
            </w:pPr>
            <w:r>
              <w:rPr>
                <w:sz w:val="14"/>
              </w:rPr>
              <w:t>Total</w:t>
            </w:r>
          </w:p>
        </w:tc>
        <w:tc>
          <w:tcPr>
            <w:tcW w:w="647" w:type="dxa"/>
          </w:tcPr>
          <w:p>
            <w:pPr>
              <w:pStyle w:val="TableParagraph"/>
              <w:spacing w:before="14"/>
              <w:ind w:right="54"/>
              <w:rPr>
                <w:sz w:val="14"/>
              </w:rPr>
            </w:pPr>
            <w:r>
              <w:rPr>
                <w:w w:val="95"/>
                <w:sz w:val="14"/>
              </w:rPr>
              <w:t>100.00</w:t>
            </w:r>
          </w:p>
        </w:tc>
        <w:tc>
          <w:tcPr>
            <w:tcW w:w="807" w:type="dxa"/>
          </w:tcPr>
          <w:p>
            <w:pPr>
              <w:pStyle w:val="TableParagraph"/>
              <w:spacing w:before="14"/>
              <w:ind w:right="80"/>
              <w:rPr>
                <w:sz w:val="14"/>
              </w:rPr>
            </w:pPr>
            <w:r>
              <w:rPr>
                <w:w w:val="95"/>
                <w:sz w:val="14"/>
              </w:rPr>
              <w:t>100.00</w:t>
            </w:r>
          </w:p>
        </w:tc>
        <w:tc>
          <w:tcPr>
            <w:tcW w:w="526" w:type="dxa"/>
          </w:tcPr>
          <w:p>
            <w:pPr>
              <w:pStyle w:val="TableParagraph"/>
              <w:spacing w:before="14"/>
              <w:ind w:left="63" w:right="36"/>
              <w:jc w:val="center"/>
              <w:rPr>
                <w:sz w:val="14"/>
              </w:rPr>
            </w:pPr>
            <w:r>
              <w:rPr>
                <w:sz w:val="14"/>
              </w:rPr>
              <w:t>100.00</w:t>
            </w:r>
          </w:p>
        </w:tc>
        <w:tc>
          <w:tcPr>
            <w:tcW w:w="1310" w:type="dxa"/>
          </w:tcPr>
          <w:p>
            <w:pPr>
              <w:pStyle w:val="TableParagraph"/>
              <w:spacing w:before="14"/>
              <w:ind w:left="55"/>
              <w:jc w:val="left"/>
              <w:rPr>
                <w:sz w:val="14"/>
              </w:rPr>
            </w:pPr>
            <w:r>
              <w:rPr>
                <w:sz w:val="14"/>
              </w:rPr>
              <w:t>Total</w:t>
            </w:r>
          </w:p>
        </w:tc>
        <w:tc>
          <w:tcPr>
            <w:tcW w:w="690" w:type="dxa"/>
          </w:tcPr>
          <w:p>
            <w:pPr>
              <w:pStyle w:val="TableParagraph"/>
              <w:spacing w:before="14"/>
              <w:ind w:right="53"/>
              <w:rPr>
                <w:sz w:val="14"/>
              </w:rPr>
            </w:pPr>
            <w:r>
              <w:rPr>
                <w:sz w:val="14"/>
              </w:rPr>
              <w:t>100.0</w:t>
            </w:r>
          </w:p>
        </w:tc>
        <w:tc>
          <w:tcPr>
            <w:tcW w:w="697" w:type="dxa"/>
          </w:tcPr>
          <w:p>
            <w:pPr>
              <w:pStyle w:val="TableParagraph"/>
              <w:spacing w:before="14"/>
              <w:ind w:right="83"/>
              <w:rPr>
                <w:sz w:val="14"/>
              </w:rPr>
            </w:pPr>
            <w:r>
              <w:rPr>
                <w:w w:val="95"/>
                <w:sz w:val="14"/>
              </w:rPr>
              <w:t>100.0</w:t>
            </w:r>
          </w:p>
        </w:tc>
        <w:tc>
          <w:tcPr>
            <w:tcW w:w="528" w:type="dxa"/>
          </w:tcPr>
          <w:p>
            <w:pPr>
              <w:pStyle w:val="TableParagraph"/>
              <w:spacing w:before="14"/>
              <w:ind w:right="52"/>
              <w:rPr>
                <w:sz w:val="14"/>
              </w:rPr>
            </w:pPr>
            <w:r>
              <w:rPr>
                <w:w w:val="95"/>
                <w:sz w:val="14"/>
              </w:rPr>
              <w:t>100.0</w:t>
            </w:r>
          </w:p>
        </w:tc>
      </w:tr>
      <w:tr>
        <w:trPr>
          <w:trHeight w:val="205" w:hRule="exact"/>
        </w:trPr>
        <w:tc>
          <w:tcPr>
            <w:tcW w:w="1315" w:type="dxa"/>
          </w:tcPr>
          <w:p>
            <w:pPr>
              <w:pStyle w:val="TableParagraph"/>
              <w:spacing w:before="14"/>
              <w:ind w:left="4"/>
              <w:jc w:val="left"/>
              <w:rPr>
                <w:i/>
                <w:sz w:val="14"/>
              </w:rPr>
            </w:pPr>
            <w:r>
              <w:rPr>
                <w:i/>
                <w:sz w:val="14"/>
              </w:rPr>
              <w:t>Localidad</w:t>
            </w:r>
          </w:p>
        </w:tc>
        <w:tc>
          <w:tcPr>
            <w:tcW w:w="647" w:type="dxa"/>
          </w:tcPr>
          <w:p>
            <w:pPr/>
          </w:p>
        </w:tc>
        <w:tc>
          <w:tcPr>
            <w:tcW w:w="807" w:type="dxa"/>
          </w:tcPr>
          <w:p>
            <w:pPr/>
          </w:p>
        </w:tc>
        <w:tc>
          <w:tcPr>
            <w:tcW w:w="526" w:type="dxa"/>
          </w:tcPr>
          <w:p>
            <w:pPr/>
          </w:p>
        </w:tc>
        <w:tc>
          <w:tcPr>
            <w:tcW w:w="1310" w:type="dxa"/>
          </w:tcPr>
          <w:p>
            <w:pPr/>
          </w:p>
        </w:tc>
        <w:tc>
          <w:tcPr>
            <w:tcW w:w="690" w:type="dxa"/>
          </w:tcPr>
          <w:p>
            <w:pPr/>
          </w:p>
        </w:tc>
        <w:tc>
          <w:tcPr>
            <w:tcW w:w="697" w:type="dxa"/>
          </w:tcPr>
          <w:p>
            <w:pPr/>
          </w:p>
        </w:tc>
        <w:tc>
          <w:tcPr>
            <w:tcW w:w="528" w:type="dxa"/>
          </w:tcPr>
          <w:p>
            <w:pPr/>
          </w:p>
        </w:tc>
      </w:tr>
      <w:tr>
        <w:trPr>
          <w:trHeight w:val="205" w:hRule="exact"/>
        </w:trPr>
        <w:tc>
          <w:tcPr>
            <w:tcW w:w="1315" w:type="dxa"/>
          </w:tcPr>
          <w:p>
            <w:pPr>
              <w:pStyle w:val="TableParagraph"/>
              <w:spacing w:before="16"/>
              <w:ind w:left="4"/>
              <w:jc w:val="left"/>
              <w:rPr>
                <w:sz w:val="14"/>
              </w:rPr>
            </w:pPr>
            <w:r>
              <w:rPr>
                <w:sz w:val="14"/>
              </w:rPr>
              <w:t>No urbano</w:t>
            </w:r>
          </w:p>
        </w:tc>
        <w:tc>
          <w:tcPr>
            <w:tcW w:w="647" w:type="dxa"/>
          </w:tcPr>
          <w:p>
            <w:pPr>
              <w:pStyle w:val="TableParagraph"/>
              <w:spacing w:before="16"/>
              <w:ind w:right="54"/>
              <w:rPr>
                <w:sz w:val="14"/>
              </w:rPr>
            </w:pPr>
            <w:r>
              <w:rPr>
                <w:w w:val="95"/>
                <w:sz w:val="14"/>
              </w:rPr>
              <w:t>0.00</w:t>
            </w:r>
          </w:p>
        </w:tc>
        <w:tc>
          <w:tcPr>
            <w:tcW w:w="807" w:type="dxa"/>
          </w:tcPr>
          <w:p>
            <w:pPr>
              <w:pStyle w:val="TableParagraph"/>
              <w:spacing w:before="16"/>
              <w:ind w:right="80"/>
              <w:rPr>
                <w:sz w:val="14"/>
              </w:rPr>
            </w:pPr>
            <w:r>
              <w:rPr>
                <w:sz w:val="14"/>
              </w:rPr>
              <w:t>69.06</w:t>
            </w:r>
          </w:p>
        </w:tc>
        <w:tc>
          <w:tcPr>
            <w:tcW w:w="526" w:type="dxa"/>
          </w:tcPr>
          <w:p>
            <w:pPr>
              <w:pStyle w:val="TableParagraph"/>
              <w:spacing w:before="16"/>
              <w:ind w:left="118" w:right="21"/>
              <w:jc w:val="center"/>
              <w:rPr>
                <w:sz w:val="14"/>
              </w:rPr>
            </w:pPr>
            <w:r>
              <w:rPr>
                <w:sz w:val="14"/>
              </w:rPr>
              <w:t>70.97</w:t>
            </w:r>
          </w:p>
        </w:tc>
        <w:tc>
          <w:tcPr>
            <w:tcW w:w="1310" w:type="dxa"/>
          </w:tcPr>
          <w:p>
            <w:pPr>
              <w:pStyle w:val="TableParagraph"/>
              <w:spacing w:before="16"/>
              <w:ind w:left="55"/>
              <w:jc w:val="left"/>
              <w:rPr>
                <w:sz w:val="14"/>
              </w:rPr>
            </w:pPr>
            <w:r>
              <w:rPr>
                <w:sz w:val="14"/>
              </w:rPr>
              <w:t>No urbano</w:t>
            </w:r>
          </w:p>
        </w:tc>
        <w:tc>
          <w:tcPr>
            <w:tcW w:w="690" w:type="dxa"/>
          </w:tcPr>
          <w:p>
            <w:pPr>
              <w:pStyle w:val="TableParagraph"/>
              <w:spacing w:before="16"/>
              <w:ind w:right="52"/>
              <w:rPr>
                <w:sz w:val="14"/>
              </w:rPr>
            </w:pPr>
            <w:r>
              <w:rPr>
                <w:sz w:val="14"/>
              </w:rPr>
              <w:t>50</w:t>
            </w:r>
          </w:p>
        </w:tc>
        <w:tc>
          <w:tcPr>
            <w:tcW w:w="697" w:type="dxa"/>
          </w:tcPr>
          <w:p>
            <w:pPr>
              <w:pStyle w:val="TableParagraph"/>
              <w:spacing w:before="16"/>
              <w:ind w:right="84"/>
              <w:rPr>
                <w:sz w:val="14"/>
              </w:rPr>
            </w:pPr>
            <w:r>
              <w:rPr>
                <w:w w:val="95"/>
                <w:sz w:val="14"/>
              </w:rPr>
              <w:t>61.7</w:t>
            </w:r>
          </w:p>
        </w:tc>
        <w:tc>
          <w:tcPr>
            <w:tcW w:w="528" w:type="dxa"/>
          </w:tcPr>
          <w:p>
            <w:pPr>
              <w:pStyle w:val="TableParagraph"/>
              <w:spacing w:before="16"/>
              <w:ind w:right="53"/>
              <w:rPr>
                <w:sz w:val="14"/>
              </w:rPr>
            </w:pPr>
            <w:r>
              <w:rPr>
                <w:sz w:val="14"/>
              </w:rPr>
              <w:t>61.4</w:t>
            </w:r>
          </w:p>
        </w:tc>
      </w:tr>
      <w:tr>
        <w:trPr>
          <w:trHeight w:val="204" w:hRule="exact"/>
        </w:trPr>
        <w:tc>
          <w:tcPr>
            <w:tcW w:w="1315" w:type="dxa"/>
          </w:tcPr>
          <w:p>
            <w:pPr>
              <w:pStyle w:val="TableParagraph"/>
              <w:spacing w:before="14"/>
              <w:ind w:left="4"/>
              <w:jc w:val="left"/>
              <w:rPr>
                <w:sz w:val="14"/>
              </w:rPr>
            </w:pPr>
            <w:r>
              <w:rPr>
                <w:sz w:val="14"/>
              </w:rPr>
              <w:t>Urbano</w:t>
            </w:r>
          </w:p>
        </w:tc>
        <w:tc>
          <w:tcPr>
            <w:tcW w:w="647" w:type="dxa"/>
          </w:tcPr>
          <w:p>
            <w:pPr>
              <w:pStyle w:val="TableParagraph"/>
              <w:spacing w:before="14"/>
              <w:ind w:right="54"/>
              <w:rPr>
                <w:sz w:val="14"/>
              </w:rPr>
            </w:pPr>
            <w:r>
              <w:rPr>
                <w:w w:val="95"/>
                <w:sz w:val="14"/>
              </w:rPr>
              <w:t>100.00</w:t>
            </w:r>
          </w:p>
        </w:tc>
        <w:tc>
          <w:tcPr>
            <w:tcW w:w="807" w:type="dxa"/>
          </w:tcPr>
          <w:p>
            <w:pPr>
              <w:pStyle w:val="TableParagraph"/>
              <w:spacing w:before="14"/>
              <w:ind w:right="80"/>
              <w:rPr>
                <w:sz w:val="14"/>
              </w:rPr>
            </w:pPr>
            <w:r>
              <w:rPr>
                <w:sz w:val="14"/>
              </w:rPr>
              <w:t>27.91</w:t>
            </w:r>
          </w:p>
        </w:tc>
        <w:tc>
          <w:tcPr>
            <w:tcW w:w="526" w:type="dxa"/>
          </w:tcPr>
          <w:p>
            <w:pPr>
              <w:pStyle w:val="TableParagraph"/>
              <w:spacing w:before="14"/>
              <w:ind w:left="118" w:right="21"/>
              <w:jc w:val="center"/>
              <w:rPr>
                <w:sz w:val="14"/>
              </w:rPr>
            </w:pPr>
            <w:r>
              <w:rPr>
                <w:sz w:val="14"/>
              </w:rPr>
              <w:t>26.19</w:t>
            </w:r>
          </w:p>
        </w:tc>
        <w:tc>
          <w:tcPr>
            <w:tcW w:w="1310" w:type="dxa"/>
          </w:tcPr>
          <w:p>
            <w:pPr>
              <w:pStyle w:val="TableParagraph"/>
              <w:spacing w:before="14"/>
              <w:ind w:left="55"/>
              <w:jc w:val="left"/>
              <w:rPr>
                <w:sz w:val="14"/>
              </w:rPr>
            </w:pPr>
            <w:r>
              <w:rPr>
                <w:sz w:val="14"/>
              </w:rPr>
              <w:t>Urbano</w:t>
            </w:r>
          </w:p>
        </w:tc>
        <w:tc>
          <w:tcPr>
            <w:tcW w:w="690" w:type="dxa"/>
          </w:tcPr>
          <w:p>
            <w:pPr>
              <w:pStyle w:val="TableParagraph"/>
              <w:spacing w:before="14"/>
              <w:ind w:right="52"/>
              <w:rPr>
                <w:sz w:val="14"/>
              </w:rPr>
            </w:pPr>
            <w:r>
              <w:rPr>
                <w:sz w:val="14"/>
              </w:rPr>
              <w:t>50</w:t>
            </w:r>
          </w:p>
        </w:tc>
        <w:tc>
          <w:tcPr>
            <w:tcW w:w="697" w:type="dxa"/>
          </w:tcPr>
          <w:p>
            <w:pPr>
              <w:pStyle w:val="TableParagraph"/>
              <w:spacing w:before="14"/>
              <w:ind w:right="84"/>
              <w:rPr>
                <w:sz w:val="14"/>
              </w:rPr>
            </w:pPr>
            <w:r>
              <w:rPr>
                <w:w w:val="95"/>
                <w:sz w:val="14"/>
              </w:rPr>
              <w:t>38.2</w:t>
            </w:r>
          </w:p>
        </w:tc>
        <w:tc>
          <w:tcPr>
            <w:tcW w:w="528" w:type="dxa"/>
          </w:tcPr>
          <w:p>
            <w:pPr>
              <w:pStyle w:val="TableParagraph"/>
              <w:spacing w:before="14"/>
              <w:ind w:right="53"/>
              <w:rPr>
                <w:sz w:val="14"/>
              </w:rPr>
            </w:pPr>
            <w:r>
              <w:rPr>
                <w:sz w:val="14"/>
              </w:rPr>
              <w:t>38.5</w:t>
            </w:r>
          </w:p>
        </w:tc>
      </w:tr>
      <w:tr>
        <w:trPr>
          <w:trHeight w:val="204" w:hRule="exact"/>
        </w:trPr>
        <w:tc>
          <w:tcPr>
            <w:tcW w:w="1315" w:type="dxa"/>
          </w:tcPr>
          <w:p>
            <w:pPr>
              <w:pStyle w:val="TableParagraph"/>
              <w:spacing w:before="14"/>
              <w:ind w:left="4"/>
              <w:jc w:val="left"/>
              <w:rPr>
                <w:sz w:val="14"/>
              </w:rPr>
            </w:pPr>
            <w:r>
              <w:rPr>
                <w:sz w:val="14"/>
              </w:rPr>
              <w:t>NE</w:t>
            </w:r>
          </w:p>
        </w:tc>
        <w:tc>
          <w:tcPr>
            <w:tcW w:w="647" w:type="dxa"/>
          </w:tcPr>
          <w:p>
            <w:pPr>
              <w:pStyle w:val="TableParagraph"/>
              <w:spacing w:before="14"/>
              <w:ind w:right="54"/>
              <w:rPr>
                <w:sz w:val="14"/>
              </w:rPr>
            </w:pPr>
            <w:r>
              <w:rPr>
                <w:w w:val="95"/>
                <w:sz w:val="14"/>
              </w:rPr>
              <w:t>0.00</w:t>
            </w:r>
          </w:p>
        </w:tc>
        <w:tc>
          <w:tcPr>
            <w:tcW w:w="807" w:type="dxa"/>
          </w:tcPr>
          <w:p>
            <w:pPr>
              <w:pStyle w:val="TableParagraph"/>
              <w:spacing w:before="14"/>
              <w:ind w:right="80"/>
              <w:rPr>
                <w:sz w:val="14"/>
              </w:rPr>
            </w:pPr>
            <w:r>
              <w:rPr>
                <w:sz w:val="14"/>
              </w:rPr>
              <w:t>3.02</w:t>
            </w:r>
          </w:p>
        </w:tc>
        <w:tc>
          <w:tcPr>
            <w:tcW w:w="526" w:type="dxa"/>
          </w:tcPr>
          <w:p>
            <w:pPr>
              <w:pStyle w:val="TableParagraph"/>
              <w:spacing w:before="14"/>
              <w:ind w:left="204" w:right="36"/>
              <w:jc w:val="center"/>
              <w:rPr>
                <w:sz w:val="14"/>
              </w:rPr>
            </w:pPr>
            <w:r>
              <w:rPr>
                <w:sz w:val="14"/>
              </w:rPr>
              <w:t>2.84</w:t>
            </w:r>
          </w:p>
        </w:tc>
        <w:tc>
          <w:tcPr>
            <w:tcW w:w="1310" w:type="dxa"/>
          </w:tcPr>
          <w:p>
            <w:pPr>
              <w:pStyle w:val="TableParagraph"/>
              <w:spacing w:before="14"/>
              <w:ind w:left="55"/>
              <w:jc w:val="left"/>
              <w:rPr>
                <w:sz w:val="14"/>
              </w:rPr>
            </w:pPr>
            <w:r>
              <w:rPr>
                <w:sz w:val="14"/>
              </w:rPr>
              <w:t>No responde</w:t>
            </w:r>
          </w:p>
        </w:tc>
        <w:tc>
          <w:tcPr>
            <w:tcW w:w="690" w:type="dxa"/>
          </w:tcPr>
          <w:p>
            <w:pPr>
              <w:pStyle w:val="TableParagraph"/>
              <w:spacing w:before="14"/>
              <w:ind w:right="53"/>
              <w:rPr>
                <w:sz w:val="14"/>
              </w:rPr>
            </w:pPr>
            <w:r>
              <w:rPr>
                <w:w w:val="99"/>
                <w:sz w:val="14"/>
              </w:rPr>
              <w:t>0</w:t>
            </w:r>
          </w:p>
        </w:tc>
        <w:tc>
          <w:tcPr>
            <w:tcW w:w="697" w:type="dxa"/>
          </w:tcPr>
          <w:p>
            <w:pPr>
              <w:pStyle w:val="TableParagraph"/>
              <w:spacing w:before="14"/>
              <w:ind w:right="83"/>
              <w:rPr>
                <w:sz w:val="14"/>
              </w:rPr>
            </w:pPr>
            <w:r>
              <w:rPr>
                <w:w w:val="95"/>
                <w:sz w:val="14"/>
              </w:rPr>
              <w:t>0.1</w:t>
            </w:r>
          </w:p>
        </w:tc>
        <w:tc>
          <w:tcPr>
            <w:tcW w:w="528" w:type="dxa"/>
          </w:tcPr>
          <w:p>
            <w:pPr>
              <w:pStyle w:val="TableParagraph"/>
              <w:spacing w:before="14"/>
              <w:ind w:right="52"/>
              <w:rPr>
                <w:sz w:val="14"/>
              </w:rPr>
            </w:pPr>
            <w:r>
              <w:rPr>
                <w:w w:val="95"/>
                <w:sz w:val="14"/>
              </w:rPr>
              <w:t>0.1</w:t>
            </w:r>
          </w:p>
        </w:tc>
      </w:tr>
      <w:tr>
        <w:trPr>
          <w:trHeight w:val="204" w:hRule="exact"/>
        </w:trPr>
        <w:tc>
          <w:tcPr>
            <w:tcW w:w="1315" w:type="dxa"/>
          </w:tcPr>
          <w:p>
            <w:pPr>
              <w:pStyle w:val="TableParagraph"/>
              <w:spacing w:before="14"/>
              <w:ind w:left="4"/>
              <w:jc w:val="left"/>
              <w:rPr>
                <w:sz w:val="14"/>
              </w:rPr>
            </w:pPr>
            <w:r>
              <w:rPr>
                <w:sz w:val="14"/>
              </w:rPr>
              <w:t>Total</w:t>
            </w:r>
          </w:p>
        </w:tc>
        <w:tc>
          <w:tcPr>
            <w:tcW w:w="647" w:type="dxa"/>
          </w:tcPr>
          <w:p>
            <w:pPr>
              <w:pStyle w:val="TableParagraph"/>
              <w:spacing w:before="14"/>
              <w:ind w:right="54"/>
              <w:rPr>
                <w:sz w:val="14"/>
              </w:rPr>
            </w:pPr>
            <w:r>
              <w:rPr>
                <w:w w:val="95"/>
                <w:sz w:val="14"/>
              </w:rPr>
              <w:t>100.00</w:t>
            </w:r>
          </w:p>
        </w:tc>
        <w:tc>
          <w:tcPr>
            <w:tcW w:w="807" w:type="dxa"/>
          </w:tcPr>
          <w:p>
            <w:pPr>
              <w:pStyle w:val="TableParagraph"/>
              <w:spacing w:before="14"/>
              <w:ind w:right="80"/>
              <w:rPr>
                <w:sz w:val="14"/>
              </w:rPr>
            </w:pPr>
            <w:r>
              <w:rPr>
                <w:w w:val="95"/>
                <w:sz w:val="14"/>
              </w:rPr>
              <w:t>100.00</w:t>
            </w:r>
          </w:p>
        </w:tc>
        <w:tc>
          <w:tcPr>
            <w:tcW w:w="526" w:type="dxa"/>
          </w:tcPr>
          <w:p>
            <w:pPr>
              <w:pStyle w:val="TableParagraph"/>
              <w:spacing w:before="14"/>
              <w:ind w:left="63" w:right="36"/>
              <w:jc w:val="center"/>
              <w:rPr>
                <w:sz w:val="14"/>
              </w:rPr>
            </w:pPr>
            <w:r>
              <w:rPr>
                <w:sz w:val="14"/>
              </w:rPr>
              <w:t>100.00</w:t>
            </w:r>
          </w:p>
        </w:tc>
        <w:tc>
          <w:tcPr>
            <w:tcW w:w="1310" w:type="dxa"/>
          </w:tcPr>
          <w:p>
            <w:pPr>
              <w:pStyle w:val="TableParagraph"/>
              <w:spacing w:before="14"/>
              <w:ind w:left="55"/>
              <w:jc w:val="left"/>
              <w:rPr>
                <w:sz w:val="14"/>
              </w:rPr>
            </w:pPr>
            <w:r>
              <w:rPr>
                <w:sz w:val="14"/>
              </w:rPr>
              <w:t>NE</w:t>
            </w:r>
          </w:p>
        </w:tc>
        <w:tc>
          <w:tcPr>
            <w:tcW w:w="690" w:type="dxa"/>
          </w:tcPr>
          <w:p>
            <w:pPr>
              <w:pStyle w:val="TableParagraph"/>
              <w:spacing w:before="14"/>
              <w:ind w:right="53"/>
              <w:rPr>
                <w:sz w:val="14"/>
              </w:rPr>
            </w:pPr>
            <w:r>
              <w:rPr>
                <w:w w:val="99"/>
                <w:sz w:val="14"/>
              </w:rPr>
              <w:t>0</w:t>
            </w:r>
          </w:p>
        </w:tc>
        <w:tc>
          <w:tcPr>
            <w:tcW w:w="697" w:type="dxa"/>
          </w:tcPr>
          <w:p>
            <w:pPr>
              <w:pStyle w:val="TableParagraph"/>
              <w:spacing w:before="14"/>
              <w:ind w:right="83"/>
              <w:rPr>
                <w:sz w:val="14"/>
              </w:rPr>
            </w:pPr>
            <w:r>
              <w:rPr>
                <w:w w:val="95"/>
                <w:sz w:val="14"/>
              </w:rPr>
              <w:t>0.1</w:t>
            </w:r>
          </w:p>
        </w:tc>
        <w:tc>
          <w:tcPr>
            <w:tcW w:w="528" w:type="dxa"/>
          </w:tcPr>
          <w:p>
            <w:pPr>
              <w:pStyle w:val="TableParagraph"/>
              <w:spacing w:before="14"/>
              <w:ind w:right="52"/>
              <w:rPr>
                <w:sz w:val="14"/>
              </w:rPr>
            </w:pPr>
            <w:r>
              <w:rPr>
                <w:w w:val="95"/>
                <w:sz w:val="14"/>
              </w:rPr>
              <w:t>0.1</w:t>
            </w:r>
          </w:p>
        </w:tc>
      </w:tr>
      <w:tr>
        <w:trPr>
          <w:trHeight w:val="187" w:hRule="exact"/>
        </w:trPr>
        <w:tc>
          <w:tcPr>
            <w:tcW w:w="1315" w:type="dxa"/>
            <w:tcBorders>
              <w:bottom w:val="double" w:sz="3" w:space="0" w:color="000000"/>
            </w:tcBorders>
          </w:tcPr>
          <w:p>
            <w:pPr/>
          </w:p>
        </w:tc>
        <w:tc>
          <w:tcPr>
            <w:tcW w:w="647" w:type="dxa"/>
            <w:tcBorders>
              <w:bottom w:val="double" w:sz="3" w:space="0" w:color="000000"/>
            </w:tcBorders>
          </w:tcPr>
          <w:p>
            <w:pPr/>
          </w:p>
        </w:tc>
        <w:tc>
          <w:tcPr>
            <w:tcW w:w="807" w:type="dxa"/>
            <w:tcBorders>
              <w:bottom w:val="double" w:sz="3" w:space="0" w:color="000000"/>
            </w:tcBorders>
          </w:tcPr>
          <w:p>
            <w:pPr/>
          </w:p>
        </w:tc>
        <w:tc>
          <w:tcPr>
            <w:tcW w:w="526" w:type="dxa"/>
            <w:tcBorders>
              <w:bottom w:val="double" w:sz="3" w:space="0" w:color="000000"/>
            </w:tcBorders>
          </w:tcPr>
          <w:p>
            <w:pPr/>
          </w:p>
        </w:tc>
        <w:tc>
          <w:tcPr>
            <w:tcW w:w="1310" w:type="dxa"/>
            <w:tcBorders>
              <w:bottom w:val="double" w:sz="3" w:space="0" w:color="000000"/>
            </w:tcBorders>
          </w:tcPr>
          <w:p>
            <w:pPr>
              <w:pStyle w:val="TableParagraph"/>
              <w:spacing w:before="14"/>
              <w:ind w:left="55"/>
              <w:jc w:val="left"/>
              <w:rPr>
                <w:sz w:val="14"/>
              </w:rPr>
            </w:pPr>
            <w:r>
              <w:rPr>
                <w:sz w:val="14"/>
              </w:rPr>
              <w:t>Total</w:t>
            </w:r>
          </w:p>
        </w:tc>
        <w:tc>
          <w:tcPr>
            <w:tcW w:w="690" w:type="dxa"/>
            <w:tcBorders>
              <w:bottom w:val="double" w:sz="3" w:space="0" w:color="000000"/>
            </w:tcBorders>
          </w:tcPr>
          <w:p>
            <w:pPr>
              <w:pStyle w:val="TableParagraph"/>
              <w:spacing w:before="14"/>
              <w:ind w:right="52"/>
              <w:rPr>
                <w:sz w:val="14"/>
              </w:rPr>
            </w:pPr>
            <w:r>
              <w:rPr>
                <w:w w:val="95"/>
                <w:sz w:val="14"/>
              </w:rPr>
              <w:t>100.00</w:t>
            </w:r>
          </w:p>
        </w:tc>
        <w:tc>
          <w:tcPr>
            <w:tcW w:w="697" w:type="dxa"/>
            <w:tcBorders>
              <w:bottom w:val="double" w:sz="3" w:space="0" w:color="000000"/>
            </w:tcBorders>
          </w:tcPr>
          <w:p>
            <w:pPr>
              <w:pStyle w:val="TableParagraph"/>
              <w:spacing w:before="14"/>
              <w:ind w:right="83"/>
              <w:rPr>
                <w:sz w:val="14"/>
              </w:rPr>
            </w:pPr>
            <w:r>
              <w:rPr>
                <w:w w:val="95"/>
                <w:sz w:val="14"/>
              </w:rPr>
              <w:t>100.00</w:t>
            </w:r>
          </w:p>
        </w:tc>
        <w:tc>
          <w:tcPr>
            <w:tcW w:w="528" w:type="dxa"/>
            <w:tcBorders>
              <w:bottom w:val="double" w:sz="3" w:space="0" w:color="000000"/>
            </w:tcBorders>
          </w:tcPr>
          <w:p>
            <w:pPr>
              <w:pStyle w:val="TableParagraph"/>
              <w:spacing w:before="14"/>
              <w:ind w:right="52"/>
              <w:rPr>
                <w:sz w:val="14"/>
              </w:rPr>
            </w:pPr>
            <w:r>
              <w:rPr>
                <w:w w:val="95"/>
                <w:sz w:val="14"/>
              </w:rPr>
              <w:t>100.00</w:t>
            </w:r>
          </w:p>
        </w:tc>
      </w:tr>
    </w:tbl>
    <w:p>
      <w:pPr>
        <w:spacing w:after="0"/>
        <w:rPr>
          <w:sz w:val="14"/>
        </w:rPr>
        <w:sectPr>
          <w:pgSz w:w="9360" w:h="13040"/>
          <w:pgMar w:header="0" w:footer="496" w:top="740" w:bottom="680" w:left="1300" w:right="1300"/>
        </w:sectPr>
      </w:pPr>
    </w:p>
    <w:p>
      <w:pPr>
        <w:tabs>
          <w:tab w:pos="5536" w:val="left" w:leader="none"/>
        </w:tabs>
        <w:spacing w:before="48"/>
        <w:ind w:left="159" w:right="117" w:hanging="54"/>
        <w:jc w:val="left"/>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3"/>
        <w:rPr>
          <w:sz w:val="26"/>
        </w:rPr>
      </w:pPr>
    </w:p>
    <w:p>
      <w:pPr>
        <w:spacing w:line="254" w:lineRule="auto" w:before="0"/>
        <w:ind w:left="159" w:right="117" w:firstLine="0"/>
        <w:jc w:val="left"/>
        <w:rPr>
          <w:sz w:val="17"/>
        </w:rPr>
      </w:pPr>
      <w:r>
        <w:rPr>
          <w:sz w:val="17"/>
        </w:rPr>
        <w:t>Cuadro</w:t>
      </w:r>
      <w:r>
        <w:rPr>
          <w:spacing w:val="-27"/>
          <w:sz w:val="17"/>
        </w:rPr>
        <w:t> </w:t>
      </w:r>
      <w:r>
        <w:rPr>
          <w:sz w:val="17"/>
        </w:rPr>
        <w:t>5b.</w:t>
      </w:r>
      <w:r>
        <w:rPr>
          <w:spacing w:val="-27"/>
          <w:sz w:val="17"/>
        </w:rPr>
        <w:t> </w:t>
      </w:r>
      <w:r>
        <w:rPr>
          <w:sz w:val="17"/>
        </w:rPr>
        <w:t>Distribución</w:t>
      </w:r>
      <w:r>
        <w:rPr>
          <w:spacing w:val="-27"/>
          <w:sz w:val="17"/>
        </w:rPr>
        <w:t> </w:t>
      </w:r>
      <w:r>
        <w:rPr>
          <w:sz w:val="17"/>
        </w:rPr>
        <w:t>porcentual</w:t>
      </w:r>
      <w:r>
        <w:rPr>
          <w:spacing w:val="-27"/>
          <w:sz w:val="17"/>
        </w:rPr>
        <w:t> </w:t>
      </w:r>
      <w:r>
        <w:rPr>
          <w:sz w:val="17"/>
        </w:rPr>
        <w:t>de</w:t>
      </w:r>
      <w:r>
        <w:rPr>
          <w:spacing w:val="-27"/>
          <w:sz w:val="17"/>
        </w:rPr>
        <w:t> </w:t>
      </w:r>
      <w:r>
        <w:rPr>
          <w:sz w:val="17"/>
        </w:rPr>
        <w:t>migrantes</w:t>
      </w:r>
      <w:r>
        <w:rPr>
          <w:spacing w:val="-27"/>
          <w:sz w:val="17"/>
        </w:rPr>
        <w:t> </w:t>
      </w:r>
      <w:r>
        <w:rPr>
          <w:sz w:val="17"/>
        </w:rPr>
        <w:t>temporales</w:t>
      </w:r>
      <w:r>
        <w:rPr>
          <w:spacing w:val="-27"/>
          <w:sz w:val="17"/>
        </w:rPr>
        <w:t> </w:t>
      </w:r>
      <w:r>
        <w:rPr>
          <w:sz w:val="17"/>
        </w:rPr>
        <w:t>que</w:t>
      </w:r>
      <w:r>
        <w:rPr>
          <w:spacing w:val="-27"/>
          <w:sz w:val="17"/>
        </w:rPr>
        <w:t> </w:t>
      </w:r>
      <w:r>
        <w:rPr>
          <w:sz w:val="17"/>
        </w:rPr>
        <w:t>proceden</w:t>
      </w:r>
      <w:r>
        <w:rPr>
          <w:spacing w:val="-27"/>
          <w:sz w:val="17"/>
        </w:rPr>
        <w:t> </w:t>
      </w:r>
      <w:r>
        <w:rPr>
          <w:sz w:val="17"/>
        </w:rPr>
        <w:t>de</w:t>
      </w:r>
      <w:r>
        <w:rPr>
          <w:spacing w:val="-27"/>
          <w:sz w:val="17"/>
        </w:rPr>
        <w:t> </w:t>
      </w:r>
      <w:r>
        <w:rPr>
          <w:sz w:val="17"/>
        </w:rPr>
        <w:t>Estados</w:t>
      </w:r>
      <w:r>
        <w:rPr>
          <w:spacing w:val="-27"/>
          <w:sz w:val="17"/>
        </w:rPr>
        <w:t> </w:t>
      </w:r>
      <w:r>
        <w:rPr>
          <w:sz w:val="17"/>
        </w:rPr>
        <w:t>Unidos</w:t>
      </w:r>
      <w:r>
        <w:rPr>
          <w:spacing w:val="-27"/>
          <w:sz w:val="17"/>
        </w:rPr>
        <w:t> </w:t>
      </w:r>
      <w:r>
        <w:rPr>
          <w:sz w:val="17"/>
        </w:rPr>
        <w:t>por diversas</w:t>
      </w:r>
      <w:r>
        <w:rPr>
          <w:spacing w:val="-20"/>
          <w:sz w:val="17"/>
        </w:rPr>
        <w:t> </w:t>
      </w:r>
      <w:r>
        <w:rPr>
          <w:sz w:val="17"/>
        </w:rPr>
        <w:t>características</w:t>
      </w:r>
      <w:r>
        <w:rPr>
          <w:spacing w:val="-20"/>
          <w:sz w:val="17"/>
        </w:rPr>
        <w:t> </w:t>
      </w:r>
      <w:r>
        <w:rPr>
          <w:sz w:val="17"/>
        </w:rPr>
        <w:t>sociodemográficas</w:t>
      </w:r>
      <w:r>
        <w:rPr>
          <w:spacing w:val="-20"/>
          <w:sz w:val="17"/>
        </w:rPr>
        <w:t> </w:t>
      </w:r>
      <w:r>
        <w:rPr>
          <w:sz w:val="17"/>
        </w:rPr>
        <w:t>seleccionadas,</w:t>
      </w:r>
      <w:r>
        <w:rPr>
          <w:spacing w:val="-20"/>
          <w:sz w:val="17"/>
        </w:rPr>
        <w:t> </w:t>
      </w:r>
      <w:r>
        <w:rPr>
          <w:sz w:val="17"/>
        </w:rPr>
        <w:t>según</w:t>
      </w:r>
      <w:r>
        <w:rPr>
          <w:spacing w:val="-20"/>
          <w:sz w:val="17"/>
        </w:rPr>
        <w:t> </w:t>
      </w:r>
      <w:r>
        <w:rPr>
          <w:sz w:val="17"/>
        </w:rPr>
        <w:t>condición</w:t>
      </w:r>
      <w:r>
        <w:rPr>
          <w:spacing w:val="-20"/>
          <w:sz w:val="17"/>
        </w:rPr>
        <w:t> </w:t>
      </w:r>
      <w:r>
        <w:rPr>
          <w:sz w:val="17"/>
        </w:rPr>
        <w:t>de</w:t>
      </w:r>
      <w:r>
        <w:rPr>
          <w:spacing w:val="-20"/>
          <w:sz w:val="17"/>
        </w:rPr>
        <w:t> </w:t>
      </w:r>
      <w:r>
        <w:rPr>
          <w:sz w:val="17"/>
        </w:rPr>
        <w:t>habla</w:t>
      </w:r>
      <w:r>
        <w:rPr>
          <w:spacing w:val="-20"/>
          <w:sz w:val="17"/>
        </w:rPr>
        <w:t> </w:t>
      </w:r>
      <w:r>
        <w:rPr>
          <w:sz w:val="17"/>
        </w:rPr>
        <w:t>de</w:t>
      </w:r>
      <w:r>
        <w:rPr>
          <w:spacing w:val="-20"/>
          <w:sz w:val="17"/>
        </w:rPr>
        <w:t> </w:t>
      </w:r>
      <w:r>
        <w:rPr>
          <w:sz w:val="17"/>
        </w:rPr>
        <w:t>lengua </w:t>
      </w:r>
      <w:r>
        <w:rPr>
          <w:w w:val="95"/>
          <w:sz w:val="17"/>
        </w:rPr>
        <w:t>indígena,</w:t>
      </w:r>
      <w:r>
        <w:rPr>
          <w:spacing w:val="3"/>
          <w:w w:val="95"/>
          <w:sz w:val="17"/>
        </w:rPr>
        <w:t> </w:t>
      </w:r>
      <w:r>
        <w:rPr>
          <w:w w:val="95"/>
          <w:sz w:val="17"/>
        </w:rPr>
        <w:t>2000-2009</w:t>
      </w: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10"/>
        <w:gridCol w:w="764"/>
        <w:gridCol w:w="778"/>
        <w:gridCol w:w="606"/>
        <w:gridCol w:w="934"/>
        <w:gridCol w:w="754"/>
        <w:gridCol w:w="778"/>
        <w:gridCol w:w="603"/>
      </w:tblGrid>
      <w:tr>
        <w:trPr>
          <w:trHeight w:val="638" w:hRule="exact"/>
        </w:trPr>
        <w:tc>
          <w:tcPr>
            <w:tcW w:w="1310" w:type="dxa"/>
            <w:tcBorders>
              <w:left w:val="nil"/>
              <w:bottom w:val="double" w:sz="4" w:space="0" w:color="000000"/>
              <w:right w:val="nil"/>
            </w:tcBorders>
          </w:tcPr>
          <w:p>
            <w:pPr/>
          </w:p>
        </w:tc>
        <w:tc>
          <w:tcPr>
            <w:tcW w:w="764" w:type="dxa"/>
            <w:tcBorders>
              <w:left w:val="nil"/>
              <w:bottom w:val="double" w:sz="4" w:space="0" w:color="000000"/>
              <w:right w:val="nil"/>
            </w:tcBorders>
          </w:tcPr>
          <w:p>
            <w:pPr>
              <w:pStyle w:val="TableParagraph"/>
              <w:spacing w:line="254" w:lineRule="auto" w:before="9"/>
              <w:ind w:left="116" w:right="86" w:firstLine="171"/>
              <w:rPr>
                <w:sz w:val="17"/>
              </w:rPr>
            </w:pPr>
            <w:r>
              <w:rPr>
                <w:w w:val="95"/>
                <w:sz w:val="17"/>
              </w:rPr>
              <w:t>Habla</w:t>
            </w:r>
            <w:r>
              <w:rPr>
                <w:w w:val="94"/>
                <w:sz w:val="17"/>
              </w:rPr>
              <w:t> </w:t>
            </w:r>
            <w:r>
              <w:rPr>
                <w:w w:val="95"/>
                <w:sz w:val="17"/>
              </w:rPr>
              <w:t>lengua</w:t>
            </w:r>
            <w:r>
              <w:rPr>
                <w:w w:val="94"/>
                <w:sz w:val="17"/>
              </w:rPr>
              <w:t> </w:t>
            </w:r>
            <w:r>
              <w:rPr>
                <w:w w:val="95"/>
                <w:sz w:val="17"/>
              </w:rPr>
              <w:t>indígena</w:t>
            </w:r>
          </w:p>
        </w:tc>
        <w:tc>
          <w:tcPr>
            <w:tcW w:w="778" w:type="dxa"/>
            <w:tcBorders>
              <w:left w:val="nil"/>
              <w:bottom w:val="double" w:sz="4" w:space="0" w:color="000000"/>
              <w:right w:val="nil"/>
            </w:tcBorders>
          </w:tcPr>
          <w:p>
            <w:pPr>
              <w:pStyle w:val="TableParagraph"/>
              <w:spacing w:line="254" w:lineRule="auto" w:before="9"/>
              <w:ind w:left="119" w:right="95" w:hanging="32"/>
              <w:rPr>
                <w:sz w:val="17"/>
              </w:rPr>
            </w:pPr>
            <w:r>
              <w:rPr>
                <w:w w:val="95"/>
                <w:sz w:val="17"/>
              </w:rPr>
              <w:t>No habla</w:t>
            </w:r>
            <w:r>
              <w:rPr>
                <w:w w:val="94"/>
                <w:sz w:val="17"/>
              </w:rPr>
              <w:t> </w:t>
            </w:r>
            <w:r>
              <w:rPr>
                <w:w w:val="95"/>
                <w:sz w:val="17"/>
              </w:rPr>
              <w:t>lengua</w:t>
            </w:r>
            <w:r>
              <w:rPr>
                <w:w w:val="94"/>
                <w:sz w:val="17"/>
              </w:rPr>
              <w:t> </w:t>
            </w:r>
            <w:r>
              <w:rPr>
                <w:w w:val="95"/>
                <w:sz w:val="17"/>
              </w:rPr>
              <w:t>indígena</w:t>
            </w:r>
          </w:p>
        </w:tc>
        <w:tc>
          <w:tcPr>
            <w:tcW w:w="606" w:type="dxa"/>
            <w:tcBorders>
              <w:left w:val="nil"/>
              <w:bottom w:val="double" w:sz="4" w:space="0" w:color="000000"/>
              <w:right w:val="nil"/>
            </w:tcBorders>
          </w:tcPr>
          <w:p>
            <w:pPr>
              <w:pStyle w:val="TableParagraph"/>
              <w:jc w:val="left"/>
              <w:rPr>
                <w:sz w:val="18"/>
              </w:rPr>
            </w:pPr>
          </w:p>
          <w:p>
            <w:pPr>
              <w:pStyle w:val="TableParagraph"/>
              <w:spacing w:before="8"/>
              <w:jc w:val="left"/>
              <w:rPr>
                <w:sz w:val="18"/>
              </w:rPr>
            </w:pPr>
          </w:p>
          <w:p>
            <w:pPr>
              <w:pStyle w:val="TableParagraph"/>
              <w:ind w:left="89" w:right="31"/>
              <w:jc w:val="center"/>
              <w:rPr>
                <w:sz w:val="17"/>
              </w:rPr>
            </w:pPr>
            <w:r>
              <w:rPr>
                <w:sz w:val="17"/>
              </w:rPr>
              <w:t>Total</w:t>
            </w:r>
          </w:p>
        </w:tc>
        <w:tc>
          <w:tcPr>
            <w:tcW w:w="934" w:type="dxa"/>
            <w:tcBorders>
              <w:left w:val="nil"/>
              <w:bottom w:val="double" w:sz="4" w:space="0" w:color="000000"/>
              <w:right w:val="nil"/>
            </w:tcBorders>
          </w:tcPr>
          <w:p>
            <w:pPr/>
          </w:p>
        </w:tc>
        <w:tc>
          <w:tcPr>
            <w:tcW w:w="754" w:type="dxa"/>
            <w:tcBorders>
              <w:left w:val="nil"/>
              <w:bottom w:val="double" w:sz="4" w:space="0" w:color="000000"/>
              <w:right w:val="nil"/>
            </w:tcBorders>
          </w:tcPr>
          <w:p>
            <w:pPr>
              <w:pStyle w:val="TableParagraph"/>
              <w:spacing w:line="254" w:lineRule="auto" w:before="9"/>
              <w:ind w:left="105" w:right="86" w:firstLine="171"/>
              <w:rPr>
                <w:sz w:val="17"/>
              </w:rPr>
            </w:pPr>
            <w:r>
              <w:rPr>
                <w:w w:val="95"/>
                <w:sz w:val="17"/>
              </w:rPr>
              <w:t>Habla</w:t>
            </w:r>
            <w:r>
              <w:rPr>
                <w:w w:val="94"/>
                <w:sz w:val="17"/>
              </w:rPr>
              <w:t> </w:t>
            </w:r>
            <w:r>
              <w:rPr>
                <w:w w:val="95"/>
                <w:sz w:val="17"/>
              </w:rPr>
              <w:t>lengua</w:t>
            </w:r>
            <w:r>
              <w:rPr>
                <w:w w:val="94"/>
                <w:sz w:val="17"/>
              </w:rPr>
              <w:t> </w:t>
            </w:r>
            <w:r>
              <w:rPr>
                <w:w w:val="95"/>
                <w:sz w:val="17"/>
              </w:rPr>
              <w:t>indígena</w:t>
            </w:r>
          </w:p>
        </w:tc>
        <w:tc>
          <w:tcPr>
            <w:tcW w:w="778" w:type="dxa"/>
            <w:tcBorders>
              <w:left w:val="nil"/>
              <w:bottom w:val="double" w:sz="4" w:space="0" w:color="000000"/>
              <w:right w:val="nil"/>
            </w:tcBorders>
          </w:tcPr>
          <w:p>
            <w:pPr>
              <w:pStyle w:val="TableParagraph"/>
              <w:spacing w:line="254" w:lineRule="auto" w:before="9"/>
              <w:ind w:left="119" w:right="95" w:hanging="32"/>
              <w:rPr>
                <w:sz w:val="17"/>
              </w:rPr>
            </w:pPr>
            <w:r>
              <w:rPr>
                <w:w w:val="95"/>
                <w:sz w:val="17"/>
              </w:rPr>
              <w:t>No habla</w:t>
            </w:r>
            <w:r>
              <w:rPr>
                <w:w w:val="94"/>
                <w:sz w:val="17"/>
              </w:rPr>
              <w:t> </w:t>
            </w:r>
            <w:r>
              <w:rPr>
                <w:w w:val="95"/>
                <w:sz w:val="17"/>
              </w:rPr>
              <w:t>lengua</w:t>
            </w:r>
            <w:r>
              <w:rPr>
                <w:w w:val="94"/>
                <w:sz w:val="17"/>
              </w:rPr>
              <w:t> </w:t>
            </w:r>
            <w:r>
              <w:rPr>
                <w:w w:val="95"/>
                <w:sz w:val="17"/>
              </w:rPr>
              <w:t>indígena</w:t>
            </w:r>
          </w:p>
        </w:tc>
        <w:tc>
          <w:tcPr>
            <w:tcW w:w="603" w:type="dxa"/>
            <w:tcBorders>
              <w:left w:val="nil"/>
              <w:bottom w:val="double" w:sz="4" w:space="0" w:color="000000"/>
              <w:right w:val="nil"/>
            </w:tcBorders>
          </w:tcPr>
          <w:p>
            <w:pPr>
              <w:pStyle w:val="TableParagraph"/>
              <w:jc w:val="left"/>
              <w:rPr>
                <w:sz w:val="18"/>
              </w:rPr>
            </w:pPr>
          </w:p>
          <w:p>
            <w:pPr>
              <w:pStyle w:val="TableParagraph"/>
              <w:spacing w:before="8"/>
              <w:jc w:val="left"/>
              <w:rPr>
                <w:sz w:val="18"/>
              </w:rPr>
            </w:pPr>
          </w:p>
          <w:p>
            <w:pPr>
              <w:pStyle w:val="TableParagraph"/>
              <w:ind w:left="89" w:right="28"/>
              <w:jc w:val="center"/>
              <w:rPr>
                <w:sz w:val="17"/>
              </w:rPr>
            </w:pPr>
            <w:r>
              <w:rPr>
                <w:sz w:val="17"/>
              </w:rPr>
              <w:t>Total</w:t>
            </w:r>
          </w:p>
        </w:tc>
      </w:tr>
      <w:tr>
        <w:trPr>
          <w:trHeight w:val="656" w:hRule="exact"/>
        </w:trPr>
        <w:tc>
          <w:tcPr>
            <w:tcW w:w="1310" w:type="dxa"/>
            <w:tcBorders>
              <w:top w:val="double" w:sz="4" w:space="0" w:color="000000"/>
              <w:left w:val="nil"/>
              <w:bottom w:val="nil"/>
              <w:right w:val="nil"/>
            </w:tcBorders>
          </w:tcPr>
          <w:p>
            <w:pPr>
              <w:pStyle w:val="TableParagraph"/>
              <w:spacing w:line="254" w:lineRule="auto" w:before="19"/>
              <w:ind w:left="53" w:right="218"/>
              <w:jc w:val="left"/>
              <w:rPr>
                <w:sz w:val="17"/>
              </w:rPr>
            </w:pPr>
            <w:r>
              <w:rPr>
                <w:i/>
                <w:sz w:val="17"/>
              </w:rPr>
              <w:t>Trabajo en </w:t>
            </w:r>
            <w:r>
              <w:rPr>
                <w:i/>
                <w:w w:val="95"/>
                <w:sz w:val="17"/>
              </w:rPr>
              <w:t>Estados Unidos </w:t>
            </w:r>
            <w:r>
              <w:rPr>
                <w:w w:val="95"/>
                <w:sz w:val="17"/>
              </w:rPr>
              <w:t>Permaneció hrs</w:t>
            </w:r>
          </w:p>
        </w:tc>
        <w:tc>
          <w:tcPr>
            <w:tcW w:w="764" w:type="dxa"/>
            <w:tcBorders>
              <w:top w:val="double" w:sz="4" w:space="0" w:color="000000"/>
              <w:left w:val="nil"/>
              <w:bottom w:val="nil"/>
              <w:right w:val="nil"/>
            </w:tcBorders>
          </w:tcPr>
          <w:p>
            <w:pPr/>
          </w:p>
        </w:tc>
        <w:tc>
          <w:tcPr>
            <w:tcW w:w="778" w:type="dxa"/>
            <w:tcBorders>
              <w:top w:val="double" w:sz="4" w:space="0" w:color="000000"/>
              <w:left w:val="nil"/>
              <w:bottom w:val="nil"/>
              <w:right w:val="nil"/>
            </w:tcBorders>
          </w:tcPr>
          <w:p>
            <w:pPr/>
          </w:p>
        </w:tc>
        <w:tc>
          <w:tcPr>
            <w:tcW w:w="606" w:type="dxa"/>
            <w:tcBorders>
              <w:top w:val="double" w:sz="4" w:space="0" w:color="000000"/>
              <w:left w:val="nil"/>
              <w:bottom w:val="nil"/>
              <w:right w:val="nil"/>
            </w:tcBorders>
          </w:tcPr>
          <w:p>
            <w:pPr/>
          </w:p>
        </w:tc>
        <w:tc>
          <w:tcPr>
            <w:tcW w:w="934" w:type="dxa"/>
            <w:tcBorders>
              <w:top w:val="double" w:sz="4" w:space="0" w:color="000000"/>
              <w:left w:val="nil"/>
              <w:bottom w:val="nil"/>
              <w:right w:val="nil"/>
            </w:tcBorders>
          </w:tcPr>
          <w:p>
            <w:pPr>
              <w:pStyle w:val="TableParagraph"/>
              <w:jc w:val="left"/>
              <w:rPr>
                <w:sz w:val="18"/>
              </w:rPr>
            </w:pPr>
          </w:p>
          <w:p>
            <w:pPr>
              <w:pStyle w:val="TableParagraph"/>
              <w:spacing w:before="6"/>
              <w:jc w:val="left"/>
              <w:rPr>
                <w:sz w:val="19"/>
              </w:rPr>
            </w:pPr>
          </w:p>
          <w:p>
            <w:pPr>
              <w:pStyle w:val="TableParagraph"/>
              <w:ind w:left="61"/>
              <w:jc w:val="left"/>
              <w:rPr>
                <w:sz w:val="17"/>
              </w:rPr>
            </w:pPr>
            <w:r>
              <w:rPr>
                <w:sz w:val="17"/>
              </w:rPr>
              <w:t>Permaneció</w:t>
            </w:r>
          </w:p>
        </w:tc>
        <w:tc>
          <w:tcPr>
            <w:tcW w:w="754" w:type="dxa"/>
            <w:tcBorders>
              <w:top w:val="double" w:sz="4" w:space="0" w:color="000000"/>
              <w:left w:val="nil"/>
              <w:bottom w:val="nil"/>
              <w:right w:val="nil"/>
            </w:tcBorders>
          </w:tcPr>
          <w:p>
            <w:pPr/>
          </w:p>
        </w:tc>
        <w:tc>
          <w:tcPr>
            <w:tcW w:w="778" w:type="dxa"/>
            <w:tcBorders>
              <w:top w:val="double" w:sz="4" w:space="0" w:color="000000"/>
              <w:left w:val="nil"/>
              <w:bottom w:val="nil"/>
              <w:right w:val="nil"/>
            </w:tcBorders>
          </w:tcPr>
          <w:p>
            <w:pPr/>
          </w:p>
        </w:tc>
        <w:tc>
          <w:tcPr>
            <w:tcW w:w="603" w:type="dxa"/>
            <w:tcBorders>
              <w:top w:val="double" w:sz="4" w:space="0" w:color="000000"/>
              <w:left w:val="nil"/>
              <w:bottom w:val="nil"/>
              <w:right w:val="nil"/>
            </w:tcBorders>
          </w:tcPr>
          <w:p>
            <w:pPr/>
          </w:p>
        </w:tc>
      </w:tr>
      <w:tr>
        <w:trPr>
          <w:trHeight w:val="233" w:hRule="exact"/>
        </w:trPr>
        <w:tc>
          <w:tcPr>
            <w:tcW w:w="1310" w:type="dxa"/>
            <w:tcBorders>
              <w:top w:val="nil"/>
              <w:left w:val="nil"/>
              <w:bottom w:val="nil"/>
              <w:right w:val="nil"/>
            </w:tcBorders>
          </w:tcPr>
          <w:p>
            <w:pPr>
              <w:pStyle w:val="TableParagraph"/>
              <w:spacing w:before="1"/>
              <w:ind w:left="53" w:right="218"/>
              <w:jc w:val="left"/>
              <w:rPr>
                <w:sz w:val="17"/>
              </w:rPr>
            </w:pPr>
            <w:r>
              <w:rPr>
                <w:sz w:val="17"/>
              </w:rPr>
              <w:t>en EU</w:t>
            </w:r>
          </w:p>
        </w:tc>
        <w:tc>
          <w:tcPr>
            <w:tcW w:w="764" w:type="dxa"/>
            <w:tcBorders>
              <w:top w:val="nil"/>
              <w:left w:val="nil"/>
              <w:bottom w:val="nil"/>
              <w:right w:val="nil"/>
            </w:tcBorders>
          </w:tcPr>
          <w:p>
            <w:pPr>
              <w:pStyle w:val="TableParagraph"/>
              <w:spacing w:before="1"/>
              <w:ind w:right="86"/>
              <w:rPr>
                <w:sz w:val="17"/>
              </w:rPr>
            </w:pPr>
            <w:r>
              <w:rPr>
                <w:w w:val="95"/>
                <w:sz w:val="17"/>
              </w:rPr>
              <w:t>0.00</w:t>
            </w:r>
          </w:p>
        </w:tc>
        <w:tc>
          <w:tcPr>
            <w:tcW w:w="778" w:type="dxa"/>
            <w:tcBorders>
              <w:top w:val="nil"/>
              <w:left w:val="nil"/>
              <w:bottom w:val="nil"/>
              <w:right w:val="nil"/>
            </w:tcBorders>
          </w:tcPr>
          <w:p>
            <w:pPr>
              <w:pStyle w:val="TableParagraph"/>
              <w:spacing w:before="1"/>
              <w:ind w:right="96"/>
              <w:rPr>
                <w:sz w:val="17"/>
              </w:rPr>
            </w:pPr>
            <w:r>
              <w:rPr>
                <w:w w:val="95"/>
                <w:sz w:val="17"/>
              </w:rPr>
              <w:t>16.11</w:t>
            </w:r>
          </w:p>
        </w:tc>
        <w:tc>
          <w:tcPr>
            <w:tcW w:w="606" w:type="dxa"/>
            <w:tcBorders>
              <w:top w:val="nil"/>
              <w:left w:val="nil"/>
              <w:bottom w:val="nil"/>
              <w:right w:val="nil"/>
            </w:tcBorders>
          </w:tcPr>
          <w:p>
            <w:pPr>
              <w:pStyle w:val="TableParagraph"/>
              <w:spacing w:before="1"/>
              <w:ind w:left="132" w:right="15"/>
              <w:jc w:val="center"/>
              <w:rPr>
                <w:sz w:val="17"/>
              </w:rPr>
            </w:pPr>
            <w:r>
              <w:rPr>
                <w:sz w:val="17"/>
              </w:rPr>
              <w:t>15.12</w:t>
            </w:r>
          </w:p>
        </w:tc>
        <w:tc>
          <w:tcPr>
            <w:tcW w:w="934" w:type="dxa"/>
            <w:tcBorders>
              <w:top w:val="nil"/>
              <w:left w:val="nil"/>
              <w:bottom w:val="nil"/>
              <w:right w:val="nil"/>
            </w:tcBorders>
          </w:tcPr>
          <w:p>
            <w:pPr>
              <w:pStyle w:val="TableParagraph"/>
              <w:spacing w:before="1"/>
              <w:ind w:left="61"/>
              <w:jc w:val="left"/>
              <w:rPr>
                <w:sz w:val="17"/>
              </w:rPr>
            </w:pPr>
            <w:r>
              <w:rPr>
                <w:sz w:val="17"/>
              </w:rPr>
              <w:t>hrs en EU</w:t>
            </w:r>
          </w:p>
        </w:tc>
        <w:tc>
          <w:tcPr>
            <w:tcW w:w="754" w:type="dxa"/>
            <w:tcBorders>
              <w:top w:val="nil"/>
              <w:left w:val="nil"/>
              <w:bottom w:val="nil"/>
              <w:right w:val="nil"/>
            </w:tcBorders>
          </w:tcPr>
          <w:p>
            <w:pPr>
              <w:pStyle w:val="TableParagraph"/>
              <w:spacing w:before="1"/>
              <w:ind w:right="86"/>
              <w:rPr>
                <w:sz w:val="17"/>
              </w:rPr>
            </w:pPr>
            <w:r>
              <w:rPr>
                <w:w w:val="95"/>
                <w:sz w:val="17"/>
              </w:rPr>
              <w:t>34.34</w:t>
            </w:r>
          </w:p>
        </w:tc>
        <w:tc>
          <w:tcPr>
            <w:tcW w:w="778" w:type="dxa"/>
            <w:tcBorders>
              <w:top w:val="nil"/>
              <w:left w:val="nil"/>
              <w:bottom w:val="nil"/>
              <w:right w:val="nil"/>
            </w:tcBorders>
          </w:tcPr>
          <w:p>
            <w:pPr>
              <w:pStyle w:val="TableParagraph"/>
              <w:spacing w:before="1"/>
              <w:ind w:right="96"/>
              <w:rPr>
                <w:sz w:val="17"/>
              </w:rPr>
            </w:pPr>
            <w:r>
              <w:rPr>
                <w:w w:val="95"/>
                <w:sz w:val="17"/>
              </w:rPr>
              <w:t>8.67</w:t>
            </w:r>
          </w:p>
        </w:tc>
        <w:tc>
          <w:tcPr>
            <w:tcW w:w="603" w:type="dxa"/>
            <w:tcBorders>
              <w:top w:val="nil"/>
              <w:left w:val="nil"/>
              <w:bottom w:val="nil"/>
              <w:right w:val="nil"/>
            </w:tcBorders>
          </w:tcPr>
          <w:p>
            <w:pPr>
              <w:pStyle w:val="TableParagraph"/>
              <w:spacing w:before="1"/>
              <w:ind w:left="230" w:right="28"/>
              <w:jc w:val="center"/>
              <w:rPr>
                <w:sz w:val="17"/>
              </w:rPr>
            </w:pPr>
            <w:r>
              <w:rPr>
                <w:sz w:val="17"/>
              </w:rPr>
              <w:t>9.40</w:t>
            </w:r>
          </w:p>
        </w:tc>
      </w:tr>
      <w:tr>
        <w:trPr>
          <w:trHeight w:val="254" w:hRule="exact"/>
        </w:trPr>
        <w:tc>
          <w:tcPr>
            <w:tcW w:w="1310" w:type="dxa"/>
            <w:tcBorders>
              <w:top w:val="nil"/>
              <w:left w:val="nil"/>
              <w:bottom w:val="nil"/>
              <w:right w:val="nil"/>
            </w:tcBorders>
          </w:tcPr>
          <w:p>
            <w:pPr>
              <w:pStyle w:val="TableParagraph"/>
              <w:spacing w:before="22"/>
              <w:ind w:left="53" w:right="218"/>
              <w:jc w:val="left"/>
              <w:rPr>
                <w:sz w:val="17"/>
              </w:rPr>
            </w:pPr>
            <w:r>
              <w:rPr>
                <w:sz w:val="17"/>
              </w:rPr>
              <w:t>Sí</w:t>
            </w:r>
          </w:p>
        </w:tc>
        <w:tc>
          <w:tcPr>
            <w:tcW w:w="764" w:type="dxa"/>
            <w:tcBorders>
              <w:top w:val="nil"/>
              <w:left w:val="nil"/>
              <w:bottom w:val="nil"/>
              <w:right w:val="nil"/>
            </w:tcBorders>
          </w:tcPr>
          <w:p>
            <w:pPr>
              <w:pStyle w:val="TableParagraph"/>
              <w:spacing w:before="22"/>
              <w:ind w:right="86"/>
              <w:rPr>
                <w:sz w:val="17"/>
              </w:rPr>
            </w:pPr>
            <w:r>
              <w:rPr>
                <w:w w:val="95"/>
                <w:sz w:val="17"/>
              </w:rPr>
              <w:t>100.00</w:t>
            </w:r>
          </w:p>
        </w:tc>
        <w:tc>
          <w:tcPr>
            <w:tcW w:w="778" w:type="dxa"/>
            <w:tcBorders>
              <w:top w:val="nil"/>
              <w:left w:val="nil"/>
              <w:bottom w:val="nil"/>
              <w:right w:val="nil"/>
            </w:tcBorders>
          </w:tcPr>
          <w:p>
            <w:pPr>
              <w:pStyle w:val="TableParagraph"/>
              <w:spacing w:before="22"/>
              <w:ind w:right="96"/>
              <w:rPr>
                <w:sz w:val="17"/>
              </w:rPr>
            </w:pPr>
            <w:r>
              <w:rPr>
                <w:w w:val="95"/>
                <w:sz w:val="17"/>
              </w:rPr>
              <w:t>40.31</w:t>
            </w:r>
          </w:p>
        </w:tc>
        <w:tc>
          <w:tcPr>
            <w:tcW w:w="606" w:type="dxa"/>
            <w:tcBorders>
              <w:top w:val="nil"/>
              <w:left w:val="nil"/>
              <w:bottom w:val="nil"/>
              <w:right w:val="nil"/>
            </w:tcBorders>
          </w:tcPr>
          <w:p>
            <w:pPr>
              <w:pStyle w:val="TableParagraph"/>
              <w:spacing w:before="22"/>
              <w:ind w:left="132" w:right="15"/>
              <w:jc w:val="center"/>
              <w:rPr>
                <w:sz w:val="17"/>
              </w:rPr>
            </w:pPr>
            <w:r>
              <w:rPr>
                <w:sz w:val="17"/>
              </w:rPr>
              <w:t>43.99</w:t>
            </w:r>
          </w:p>
        </w:tc>
        <w:tc>
          <w:tcPr>
            <w:tcW w:w="934" w:type="dxa"/>
            <w:tcBorders>
              <w:top w:val="nil"/>
              <w:left w:val="nil"/>
              <w:bottom w:val="nil"/>
              <w:right w:val="nil"/>
            </w:tcBorders>
          </w:tcPr>
          <w:p>
            <w:pPr>
              <w:pStyle w:val="TableParagraph"/>
              <w:spacing w:before="22"/>
              <w:ind w:left="61"/>
              <w:jc w:val="left"/>
              <w:rPr>
                <w:sz w:val="17"/>
              </w:rPr>
            </w:pPr>
            <w:r>
              <w:rPr>
                <w:sz w:val="17"/>
              </w:rPr>
              <w:t>Sí</w:t>
            </w:r>
          </w:p>
        </w:tc>
        <w:tc>
          <w:tcPr>
            <w:tcW w:w="754" w:type="dxa"/>
            <w:tcBorders>
              <w:top w:val="nil"/>
              <w:left w:val="nil"/>
              <w:bottom w:val="nil"/>
              <w:right w:val="nil"/>
            </w:tcBorders>
          </w:tcPr>
          <w:p>
            <w:pPr>
              <w:pStyle w:val="TableParagraph"/>
              <w:spacing w:before="22"/>
              <w:ind w:right="86"/>
              <w:rPr>
                <w:sz w:val="17"/>
              </w:rPr>
            </w:pPr>
            <w:r>
              <w:rPr>
                <w:w w:val="95"/>
                <w:sz w:val="17"/>
              </w:rPr>
              <w:t>27.34</w:t>
            </w:r>
          </w:p>
        </w:tc>
        <w:tc>
          <w:tcPr>
            <w:tcW w:w="778" w:type="dxa"/>
            <w:tcBorders>
              <w:top w:val="nil"/>
              <w:left w:val="nil"/>
              <w:bottom w:val="nil"/>
              <w:right w:val="nil"/>
            </w:tcBorders>
          </w:tcPr>
          <w:p>
            <w:pPr>
              <w:pStyle w:val="TableParagraph"/>
              <w:spacing w:before="22"/>
              <w:ind w:right="96"/>
              <w:rPr>
                <w:sz w:val="17"/>
              </w:rPr>
            </w:pPr>
            <w:r>
              <w:rPr>
                <w:w w:val="95"/>
                <w:sz w:val="17"/>
              </w:rPr>
              <w:t>53.02</w:t>
            </w:r>
          </w:p>
        </w:tc>
        <w:tc>
          <w:tcPr>
            <w:tcW w:w="603" w:type="dxa"/>
            <w:tcBorders>
              <w:top w:val="nil"/>
              <w:left w:val="nil"/>
              <w:bottom w:val="nil"/>
              <w:right w:val="nil"/>
            </w:tcBorders>
          </w:tcPr>
          <w:p>
            <w:pPr>
              <w:pStyle w:val="TableParagraph"/>
              <w:spacing w:before="22"/>
              <w:ind w:left="132" w:right="11"/>
              <w:jc w:val="center"/>
              <w:rPr>
                <w:sz w:val="17"/>
              </w:rPr>
            </w:pPr>
            <w:r>
              <w:rPr>
                <w:sz w:val="17"/>
              </w:rPr>
              <w:t>52.29</w:t>
            </w:r>
          </w:p>
        </w:tc>
      </w:tr>
      <w:tr>
        <w:trPr>
          <w:trHeight w:val="254" w:hRule="exact"/>
        </w:trPr>
        <w:tc>
          <w:tcPr>
            <w:tcW w:w="1310" w:type="dxa"/>
            <w:tcBorders>
              <w:top w:val="nil"/>
              <w:left w:val="nil"/>
              <w:bottom w:val="nil"/>
              <w:right w:val="nil"/>
            </w:tcBorders>
          </w:tcPr>
          <w:p>
            <w:pPr>
              <w:pStyle w:val="TableParagraph"/>
              <w:spacing w:before="22"/>
              <w:ind w:left="53" w:right="218"/>
              <w:jc w:val="left"/>
              <w:rPr>
                <w:sz w:val="17"/>
              </w:rPr>
            </w:pPr>
            <w:r>
              <w:rPr>
                <w:sz w:val="17"/>
              </w:rPr>
              <w:t>No</w:t>
            </w:r>
          </w:p>
        </w:tc>
        <w:tc>
          <w:tcPr>
            <w:tcW w:w="764" w:type="dxa"/>
            <w:tcBorders>
              <w:top w:val="nil"/>
              <w:left w:val="nil"/>
              <w:bottom w:val="nil"/>
              <w:right w:val="nil"/>
            </w:tcBorders>
          </w:tcPr>
          <w:p>
            <w:pPr>
              <w:pStyle w:val="TableParagraph"/>
              <w:spacing w:before="22"/>
              <w:ind w:right="86"/>
              <w:rPr>
                <w:sz w:val="17"/>
              </w:rPr>
            </w:pPr>
            <w:r>
              <w:rPr>
                <w:w w:val="95"/>
                <w:sz w:val="17"/>
              </w:rPr>
              <w:t>0.00</w:t>
            </w:r>
          </w:p>
        </w:tc>
        <w:tc>
          <w:tcPr>
            <w:tcW w:w="778" w:type="dxa"/>
            <w:tcBorders>
              <w:top w:val="nil"/>
              <w:left w:val="nil"/>
              <w:bottom w:val="nil"/>
              <w:right w:val="nil"/>
            </w:tcBorders>
          </w:tcPr>
          <w:p>
            <w:pPr>
              <w:pStyle w:val="TableParagraph"/>
              <w:spacing w:before="22"/>
              <w:ind w:right="96"/>
              <w:rPr>
                <w:sz w:val="17"/>
              </w:rPr>
            </w:pPr>
            <w:r>
              <w:rPr>
                <w:w w:val="95"/>
                <w:sz w:val="17"/>
              </w:rPr>
              <w:t>43.58</w:t>
            </w:r>
          </w:p>
        </w:tc>
        <w:tc>
          <w:tcPr>
            <w:tcW w:w="606" w:type="dxa"/>
            <w:tcBorders>
              <w:top w:val="nil"/>
              <w:left w:val="nil"/>
              <w:bottom w:val="nil"/>
              <w:right w:val="nil"/>
            </w:tcBorders>
          </w:tcPr>
          <w:p>
            <w:pPr>
              <w:pStyle w:val="TableParagraph"/>
              <w:spacing w:before="22"/>
              <w:ind w:left="132" w:right="15"/>
              <w:jc w:val="center"/>
              <w:rPr>
                <w:sz w:val="17"/>
              </w:rPr>
            </w:pPr>
            <w:r>
              <w:rPr>
                <w:sz w:val="17"/>
              </w:rPr>
              <w:t>40.89</w:t>
            </w:r>
          </w:p>
        </w:tc>
        <w:tc>
          <w:tcPr>
            <w:tcW w:w="934" w:type="dxa"/>
            <w:tcBorders>
              <w:top w:val="nil"/>
              <w:left w:val="nil"/>
              <w:bottom w:val="nil"/>
              <w:right w:val="nil"/>
            </w:tcBorders>
          </w:tcPr>
          <w:p>
            <w:pPr>
              <w:pStyle w:val="TableParagraph"/>
              <w:spacing w:before="22"/>
              <w:ind w:left="61"/>
              <w:jc w:val="left"/>
              <w:rPr>
                <w:sz w:val="17"/>
              </w:rPr>
            </w:pPr>
            <w:r>
              <w:rPr>
                <w:sz w:val="17"/>
              </w:rPr>
              <w:t>No</w:t>
            </w:r>
          </w:p>
        </w:tc>
        <w:tc>
          <w:tcPr>
            <w:tcW w:w="754" w:type="dxa"/>
            <w:tcBorders>
              <w:top w:val="nil"/>
              <w:left w:val="nil"/>
              <w:bottom w:val="nil"/>
              <w:right w:val="nil"/>
            </w:tcBorders>
          </w:tcPr>
          <w:p>
            <w:pPr>
              <w:pStyle w:val="TableParagraph"/>
              <w:spacing w:before="22"/>
              <w:ind w:right="86"/>
              <w:rPr>
                <w:sz w:val="17"/>
              </w:rPr>
            </w:pPr>
            <w:r>
              <w:rPr>
                <w:w w:val="95"/>
                <w:sz w:val="17"/>
              </w:rPr>
              <w:t>38.31</w:t>
            </w:r>
          </w:p>
        </w:tc>
        <w:tc>
          <w:tcPr>
            <w:tcW w:w="778" w:type="dxa"/>
            <w:tcBorders>
              <w:top w:val="nil"/>
              <w:left w:val="nil"/>
              <w:bottom w:val="nil"/>
              <w:right w:val="nil"/>
            </w:tcBorders>
          </w:tcPr>
          <w:p>
            <w:pPr>
              <w:pStyle w:val="TableParagraph"/>
              <w:spacing w:before="22"/>
              <w:ind w:right="96"/>
              <w:rPr>
                <w:sz w:val="17"/>
              </w:rPr>
            </w:pPr>
            <w:r>
              <w:rPr>
                <w:w w:val="95"/>
                <w:sz w:val="17"/>
              </w:rPr>
              <w:t>38.31</w:t>
            </w:r>
          </w:p>
        </w:tc>
        <w:tc>
          <w:tcPr>
            <w:tcW w:w="603" w:type="dxa"/>
            <w:tcBorders>
              <w:top w:val="nil"/>
              <w:left w:val="nil"/>
              <w:bottom w:val="nil"/>
              <w:right w:val="nil"/>
            </w:tcBorders>
          </w:tcPr>
          <w:p>
            <w:pPr>
              <w:pStyle w:val="TableParagraph"/>
              <w:spacing w:before="22"/>
              <w:ind w:left="132" w:right="11"/>
              <w:jc w:val="center"/>
              <w:rPr>
                <w:sz w:val="17"/>
              </w:rPr>
            </w:pPr>
            <w:r>
              <w:rPr>
                <w:sz w:val="17"/>
              </w:rPr>
              <w:t>38.31</w:t>
            </w:r>
          </w:p>
        </w:tc>
      </w:tr>
      <w:tr>
        <w:trPr>
          <w:trHeight w:val="850" w:hRule="exact"/>
        </w:trPr>
        <w:tc>
          <w:tcPr>
            <w:tcW w:w="1310" w:type="dxa"/>
            <w:tcBorders>
              <w:top w:val="nil"/>
              <w:left w:val="nil"/>
              <w:bottom w:val="nil"/>
              <w:right w:val="nil"/>
            </w:tcBorders>
          </w:tcPr>
          <w:p>
            <w:pPr>
              <w:pStyle w:val="TableParagraph"/>
              <w:spacing w:line="254" w:lineRule="auto" w:before="22"/>
              <w:ind w:left="53" w:right="483"/>
              <w:jc w:val="left"/>
              <w:rPr>
                <w:i/>
                <w:sz w:val="17"/>
              </w:rPr>
            </w:pPr>
            <w:r>
              <w:rPr>
                <w:sz w:val="17"/>
              </w:rPr>
              <w:t>Total </w:t>
            </w:r>
            <w:r>
              <w:rPr>
                <w:i/>
                <w:sz w:val="17"/>
              </w:rPr>
              <w:t>Sector de</w:t>
            </w:r>
            <w:r>
              <w:rPr>
                <w:i/>
                <w:w w:val="94"/>
                <w:sz w:val="17"/>
              </w:rPr>
              <w:t> </w:t>
            </w:r>
            <w:r>
              <w:rPr>
                <w:i/>
                <w:w w:val="95"/>
                <w:sz w:val="17"/>
              </w:rPr>
              <w:t>actividad</w:t>
            </w:r>
          </w:p>
        </w:tc>
        <w:tc>
          <w:tcPr>
            <w:tcW w:w="764" w:type="dxa"/>
            <w:tcBorders>
              <w:top w:val="nil"/>
              <w:left w:val="nil"/>
              <w:bottom w:val="nil"/>
              <w:right w:val="nil"/>
            </w:tcBorders>
          </w:tcPr>
          <w:p>
            <w:pPr>
              <w:pStyle w:val="TableParagraph"/>
              <w:spacing w:before="22"/>
              <w:ind w:right="86"/>
              <w:rPr>
                <w:sz w:val="17"/>
              </w:rPr>
            </w:pPr>
            <w:r>
              <w:rPr>
                <w:w w:val="95"/>
                <w:sz w:val="17"/>
              </w:rPr>
              <w:t>100.00</w:t>
            </w:r>
          </w:p>
        </w:tc>
        <w:tc>
          <w:tcPr>
            <w:tcW w:w="778" w:type="dxa"/>
            <w:tcBorders>
              <w:top w:val="nil"/>
              <w:left w:val="nil"/>
              <w:bottom w:val="nil"/>
              <w:right w:val="nil"/>
            </w:tcBorders>
          </w:tcPr>
          <w:p>
            <w:pPr>
              <w:pStyle w:val="TableParagraph"/>
              <w:spacing w:before="22"/>
              <w:ind w:right="96"/>
              <w:rPr>
                <w:sz w:val="17"/>
              </w:rPr>
            </w:pPr>
            <w:r>
              <w:rPr>
                <w:w w:val="95"/>
                <w:sz w:val="17"/>
              </w:rPr>
              <w:t>100.00</w:t>
            </w:r>
          </w:p>
        </w:tc>
        <w:tc>
          <w:tcPr>
            <w:tcW w:w="606" w:type="dxa"/>
            <w:tcBorders>
              <w:top w:val="nil"/>
              <w:left w:val="nil"/>
              <w:bottom w:val="nil"/>
              <w:right w:val="nil"/>
            </w:tcBorders>
          </w:tcPr>
          <w:p>
            <w:pPr>
              <w:pStyle w:val="TableParagraph"/>
              <w:spacing w:before="22"/>
              <w:ind w:left="67" w:right="31"/>
              <w:jc w:val="center"/>
              <w:rPr>
                <w:sz w:val="17"/>
              </w:rPr>
            </w:pPr>
            <w:r>
              <w:rPr>
                <w:sz w:val="17"/>
              </w:rPr>
              <w:t>100.00</w:t>
            </w:r>
          </w:p>
        </w:tc>
        <w:tc>
          <w:tcPr>
            <w:tcW w:w="934" w:type="dxa"/>
            <w:tcBorders>
              <w:top w:val="nil"/>
              <w:left w:val="nil"/>
              <w:bottom w:val="nil"/>
              <w:right w:val="nil"/>
            </w:tcBorders>
          </w:tcPr>
          <w:p>
            <w:pPr>
              <w:pStyle w:val="TableParagraph"/>
              <w:spacing w:before="22"/>
              <w:ind w:left="61"/>
              <w:jc w:val="left"/>
              <w:rPr>
                <w:sz w:val="17"/>
              </w:rPr>
            </w:pPr>
            <w:r>
              <w:rPr>
                <w:sz w:val="17"/>
              </w:rPr>
              <w:t>Total</w:t>
            </w:r>
          </w:p>
          <w:p>
            <w:pPr>
              <w:pStyle w:val="TableParagraph"/>
              <w:jc w:val="left"/>
              <w:rPr>
                <w:sz w:val="18"/>
              </w:rPr>
            </w:pPr>
          </w:p>
          <w:p>
            <w:pPr>
              <w:pStyle w:val="TableParagraph"/>
              <w:spacing w:before="9"/>
              <w:jc w:val="left"/>
              <w:rPr>
                <w:sz w:val="18"/>
              </w:rPr>
            </w:pPr>
          </w:p>
          <w:p>
            <w:pPr>
              <w:pStyle w:val="TableParagraph"/>
              <w:ind w:left="61"/>
              <w:jc w:val="left"/>
              <w:rPr>
                <w:sz w:val="17"/>
              </w:rPr>
            </w:pPr>
            <w:r>
              <w:rPr>
                <w:sz w:val="17"/>
              </w:rPr>
              <w:t>Sector</w:t>
            </w:r>
          </w:p>
        </w:tc>
        <w:tc>
          <w:tcPr>
            <w:tcW w:w="754" w:type="dxa"/>
            <w:tcBorders>
              <w:top w:val="nil"/>
              <w:left w:val="nil"/>
              <w:bottom w:val="nil"/>
              <w:right w:val="nil"/>
            </w:tcBorders>
          </w:tcPr>
          <w:p>
            <w:pPr>
              <w:pStyle w:val="TableParagraph"/>
              <w:spacing w:before="22"/>
              <w:ind w:right="86"/>
              <w:rPr>
                <w:sz w:val="17"/>
              </w:rPr>
            </w:pPr>
            <w:r>
              <w:rPr>
                <w:w w:val="95"/>
                <w:sz w:val="17"/>
              </w:rPr>
              <w:t>100.00</w:t>
            </w:r>
          </w:p>
        </w:tc>
        <w:tc>
          <w:tcPr>
            <w:tcW w:w="778" w:type="dxa"/>
            <w:tcBorders>
              <w:top w:val="nil"/>
              <w:left w:val="nil"/>
              <w:bottom w:val="nil"/>
              <w:right w:val="nil"/>
            </w:tcBorders>
          </w:tcPr>
          <w:p>
            <w:pPr>
              <w:pStyle w:val="TableParagraph"/>
              <w:spacing w:before="22"/>
              <w:ind w:right="96"/>
              <w:rPr>
                <w:sz w:val="17"/>
              </w:rPr>
            </w:pPr>
            <w:r>
              <w:rPr>
                <w:w w:val="95"/>
                <w:sz w:val="17"/>
              </w:rPr>
              <w:t>100.00</w:t>
            </w:r>
          </w:p>
        </w:tc>
        <w:tc>
          <w:tcPr>
            <w:tcW w:w="603" w:type="dxa"/>
            <w:tcBorders>
              <w:top w:val="nil"/>
              <w:left w:val="nil"/>
              <w:bottom w:val="nil"/>
              <w:right w:val="nil"/>
            </w:tcBorders>
          </w:tcPr>
          <w:p>
            <w:pPr>
              <w:pStyle w:val="TableParagraph"/>
              <w:spacing w:before="22"/>
              <w:ind w:left="67" w:right="28"/>
              <w:jc w:val="center"/>
              <w:rPr>
                <w:sz w:val="17"/>
              </w:rPr>
            </w:pPr>
            <w:r>
              <w:rPr>
                <w:sz w:val="17"/>
              </w:rPr>
              <w:t>100.00</w:t>
            </w:r>
          </w:p>
        </w:tc>
      </w:tr>
      <w:tr>
        <w:trPr>
          <w:trHeight w:val="624" w:hRule="exact"/>
        </w:trPr>
        <w:tc>
          <w:tcPr>
            <w:tcW w:w="1310" w:type="dxa"/>
            <w:tcBorders>
              <w:top w:val="nil"/>
              <w:left w:val="nil"/>
              <w:bottom w:val="nil"/>
              <w:right w:val="nil"/>
            </w:tcBorders>
          </w:tcPr>
          <w:p>
            <w:pPr>
              <w:pStyle w:val="TableParagraph"/>
              <w:spacing w:line="194" w:lineRule="exact"/>
              <w:ind w:left="53" w:right="218"/>
              <w:jc w:val="left"/>
              <w:rPr>
                <w:sz w:val="17"/>
              </w:rPr>
            </w:pPr>
            <w:r>
              <w:rPr>
                <w:sz w:val="17"/>
              </w:rPr>
              <w:t>Primario</w:t>
            </w:r>
          </w:p>
          <w:p>
            <w:pPr>
              <w:pStyle w:val="TableParagraph"/>
              <w:spacing w:before="3"/>
              <w:jc w:val="left"/>
              <w:rPr>
                <w:sz w:val="19"/>
              </w:rPr>
            </w:pPr>
          </w:p>
          <w:p>
            <w:pPr>
              <w:pStyle w:val="TableParagraph"/>
              <w:ind w:left="53" w:right="218"/>
              <w:jc w:val="left"/>
              <w:rPr>
                <w:sz w:val="17"/>
              </w:rPr>
            </w:pPr>
            <w:r>
              <w:rPr>
                <w:sz w:val="17"/>
              </w:rPr>
              <w:t>Secundario</w:t>
            </w:r>
          </w:p>
        </w:tc>
        <w:tc>
          <w:tcPr>
            <w:tcW w:w="764" w:type="dxa"/>
            <w:tcBorders>
              <w:top w:val="nil"/>
              <w:left w:val="nil"/>
              <w:bottom w:val="nil"/>
              <w:right w:val="nil"/>
            </w:tcBorders>
          </w:tcPr>
          <w:p>
            <w:pPr>
              <w:pStyle w:val="TableParagraph"/>
              <w:spacing w:line="194" w:lineRule="exact"/>
              <w:ind w:left="310"/>
              <w:jc w:val="left"/>
              <w:rPr>
                <w:sz w:val="17"/>
              </w:rPr>
            </w:pPr>
            <w:r>
              <w:rPr>
                <w:sz w:val="17"/>
              </w:rPr>
              <w:t>51.37</w:t>
            </w:r>
          </w:p>
          <w:p>
            <w:pPr>
              <w:pStyle w:val="TableParagraph"/>
              <w:spacing w:before="3"/>
              <w:jc w:val="left"/>
              <w:rPr>
                <w:sz w:val="19"/>
              </w:rPr>
            </w:pPr>
          </w:p>
          <w:p>
            <w:pPr>
              <w:pStyle w:val="TableParagraph"/>
              <w:ind w:left="391"/>
              <w:jc w:val="left"/>
              <w:rPr>
                <w:sz w:val="17"/>
              </w:rPr>
            </w:pPr>
            <w:r>
              <w:rPr>
                <w:sz w:val="17"/>
              </w:rPr>
              <w:t>0.00</w:t>
            </w:r>
          </w:p>
        </w:tc>
        <w:tc>
          <w:tcPr>
            <w:tcW w:w="778" w:type="dxa"/>
            <w:tcBorders>
              <w:top w:val="nil"/>
              <w:left w:val="nil"/>
              <w:bottom w:val="nil"/>
              <w:right w:val="nil"/>
            </w:tcBorders>
          </w:tcPr>
          <w:p>
            <w:pPr>
              <w:pStyle w:val="TableParagraph"/>
              <w:spacing w:line="194" w:lineRule="exact"/>
              <w:ind w:left="313"/>
              <w:jc w:val="left"/>
              <w:rPr>
                <w:sz w:val="17"/>
              </w:rPr>
            </w:pPr>
            <w:r>
              <w:rPr>
                <w:sz w:val="17"/>
              </w:rPr>
              <w:t>18.83</w:t>
            </w:r>
          </w:p>
          <w:p>
            <w:pPr>
              <w:pStyle w:val="TableParagraph"/>
              <w:spacing w:before="3"/>
              <w:jc w:val="left"/>
              <w:rPr>
                <w:sz w:val="19"/>
              </w:rPr>
            </w:pPr>
          </w:p>
          <w:p>
            <w:pPr>
              <w:pStyle w:val="TableParagraph"/>
              <w:ind w:left="313"/>
              <w:jc w:val="left"/>
              <w:rPr>
                <w:sz w:val="17"/>
              </w:rPr>
            </w:pPr>
            <w:r>
              <w:rPr>
                <w:sz w:val="17"/>
              </w:rPr>
              <w:t>28.38</w:t>
            </w:r>
          </w:p>
        </w:tc>
        <w:tc>
          <w:tcPr>
            <w:tcW w:w="606" w:type="dxa"/>
            <w:tcBorders>
              <w:top w:val="nil"/>
              <w:left w:val="nil"/>
              <w:bottom w:val="nil"/>
              <w:right w:val="nil"/>
            </w:tcBorders>
          </w:tcPr>
          <w:p>
            <w:pPr>
              <w:pStyle w:val="TableParagraph"/>
              <w:spacing w:line="194" w:lineRule="exact"/>
              <w:ind w:left="179"/>
              <w:jc w:val="left"/>
              <w:rPr>
                <w:sz w:val="17"/>
              </w:rPr>
            </w:pPr>
            <w:r>
              <w:rPr>
                <w:sz w:val="17"/>
              </w:rPr>
              <w:t>23.39</w:t>
            </w:r>
          </w:p>
          <w:p>
            <w:pPr>
              <w:pStyle w:val="TableParagraph"/>
              <w:spacing w:before="3"/>
              <w:jc w:val="left"/>
              <w:rPr>
                <w:sz w:val="19"/>
              </w:rPr>
            </w:pPr>
          </w:p>
          <w:p>
            <w:pPr>
              <w:pStyle w:val="TableParagraph"/>
              <w:ind w:left="179"/>
              <w:jc w:val="left"/>
              <w:rPr>
                <w:sz w:val="17"/>
              </w:rPr>
            </w:pPr>
            <w:r>
              <w:rPr>
                <w:sz w:val="17"/>
              </w:rPr>
              <w:t>24.41</w:t>
            </w:r>
          </w:p>
        </w:tc>
        <w:tc>
          <w:tcPr>
            <w:tcW w:w="934" w:type="dxa"/>
            <w:tcBorders>
              <w:top w:val="nil"/>
              <w:left w:val="nil"/>
              <w:bottom w:val="nil"/>
              <w:right w:val="nil"/>
            </w:tcBorders>
          </w:tcPr>
          <w:p>
            <w:pPr>
              <w:pStyle w:val="TableParagraph"/>
              <w:spacing w:line="256" w:lineRule="auto"/>
              <w:ind w:left="61" w:right="153"/>
              <w:jc w:val="left"/>
              <w:rPr>
                <w:sz w:val="17"/>
              </w:rPr>
            </w:pPr>
            <w:r>
              <w:rPr>
                <w:sz w:val="17"/>
              </w:rPr>
              <w:t>primario Sector </w:t>
            </w:r>
            <w:r>
              <w:rPr>
                <w:w w:val="95"/>
                <w:sz w:val="17"/>
              </w:rPr>
              <w:t>secundario</w:t>
            </w:r>
          </w:p>
        </w:tc>
        <w:tc>
          <w:tcPr>
            <w:tcW w:w="754" w:type="dxa"/>
            <w:tcBorders>
              <w:top w:val="nil"/>
              <w:left w:val="nil"/>
              <w:bottom w:val="nil"/>
              <w:right w:val="nil"/>
            </w:tcBorders>
          </w:tcPr>
          <w:p>
            <w:pPr>
              <w:pStyle w:val="TableParagraph"/>
              <w:spacing w:line="194" w:lineRule="exact"/>
              <w:ind w:left="381"/>
              <w:jc w:val="left"/>
              <w:rPr>
                <w:sz w:val="17"/>
              </w:rPr>
            </w:pPr>
            <w:r>
              <w:rPr>
                <w:sz w:val="17"/>
              </w:rPr>
              <w:t>0.00</w:t>
            </w:r>
          </w:p>
          <w:p>
            <w:pPr>
              <w:pStyle w:val="TableParagraph"/>
              <w:spacing w:before="3"/>
              <w:jc w:val="left"/>
              <w:rPr>
                <w:sz w:val="19"/>
              </w:rPr>
            </w:pPr>
          </w:p>
          <w:p>
            <w:pPr>
              <w:pStyle w:val="TableParagraph"/>
              <w:ind w:left="381"/>
              <w:jc w:val="left"/>
              <w:rPr>
                <w:sz w:val="17"/>
              </w:rPr>
            </w:pPr>
            <w:r>
              <w:rPr>
                <w:sz w:val="17"/>
              </w:rPr>
              <w:t>0.00</w:t>
            </w:r>
          </w:p>
        </w:tc>
        <w:tc>
          <w:tcPr>
            <w:tcW w:w="778" w:type="dxa"/>
            <w:tcBorders>
              <w:top w:val="nil"/>
              <w:left w:val="nil"/>
              <w:bottom w:val="nil"/>
              <w:right w:val="nil"/>
            </w:tcBorders>
          </w:tcPr>
          <w:p>
            <w:pPr>
              <w:pStyle w:val="TableParagraph"/>
              <w:spacing w:line="194" w:lineRule="exact"/>
              <w:ind w:left="313"/>
              <w:jc w:val="left"/>
              <w:rPr>
                <w:sz w:val="17"/>
              </w:rPr>
            </w:pPr>
            <w:r>
              <w:rPr>
                <w:sz w:val="17"/>
              </w:rPr>
              <w:t>10.67</w:t>
            </w:r>
          </w:p>
          <w:p>
            <w:pPr>
              <w:pStyle w:val="TableParagraph"/>
              <w:spacing w:before="3"/>
              <w:jc w:val="left"/>
              <w:rPr>
                <w:sz w:val="19"/>
              </w:rPr>
            </w:pPr>
          </w:p>
          <w:p>
            <w:pPr>
              <w:pStyle w:val="TableParagraph"/>
              <w:ind w:left="313"/>
              <w:jc w:val="left"/>
              <w:rPr>
                <w:sz w:val="17"/>
              </w:rPr>
            </w:pPr>
            <w:r>
              <w:rPr>
                <w:sz w:val="17"/>
              </w:rPr>
              <w:t>34.95</w:t>
            </w:r>
          </w:p>
        </w:tc>
        <w:tc>
          <w:tcPr>
            <w:tcW w:w="603" w:type="dxa"/>
            <w:tcBorders>
              <w:top w:val="nil"/>
              <w:left w:val="nil"/>
              <w:bottom w:val="nil"/>
              <w:right w:val="nil"/>
            </w:tcBorders>
          </w:tcPr>
          <w:p>
            <w:pPr>
              <w:pStyle w:val="TableParagraph"/>
              <w:spacing w:line="194" w:lineRule="exact"/>
              <w:ind w:left="179"/>
              <w:jc w:val="left"/>
              <w:rPr>
                <w:sz w:val="17"/>
              </w:rPr>
            </w:pPr>
            <w:r>
              <w:rPr>
                <w:sz w:val="17"/>
              </w:rPr>
              <w:t>10.51</w:t>
            </w:r>
          </w:p>
          <w:p>
            <w:pPr>
              <w:pStyle w:val="TableParagraph"/>
              <w:spacing w:before="3"/>
              <w:jc w:val="left"/>
              <w:rPr>
                <w:sz w:val="19"/>
              </w:rPr>
            </w:pPr>
          </w:p>
          <w:p>
            <w:pPr>
              <w:pStyle w:val="TableParagraph"/>
              <w:ind w:left="179"/>
              <w:jc w:val="left"/>
              <w:rPr>
                <w:sz w:val="17"/>
              </w:rPr>
            </w:pPr>
            <w:r>
              <w:rPr>
                <w:sz w:val="17"/>
              </w:rPr>
              <w:t>34.43</w:t>
            </w:r>
          </w:p>
        </w:tc>
      </w:tr>
      <w:tr>
        <w:trPr>
          <w:trHeight w:val="437" w:hRule="exact"/>
        </w:trPr>
        <w:tc>
          <w:tcPr>
            <w:tcW w:w="1310" w:type="dxa"/>
            <w:tcBorders>
              <w:top w:val="nil"/>
              <w:left w:val="nil"/>
              <w:bottom w:val="nil"/>
              <w:right w:val="nil"/>
            </w:tcBorders>
          </w:tcPr>
          <w:p>
            <w:pPr>
              <w:pStyle w:val="TableParagraph"/>
              <w:spacing w:before="9"/>
              <w:jc w:val="left"/>
              <w:rPr>
                <w:sz w:val="17"/>
              </w:rPr>
            </w:pPr>
          </w:p>
          <w:p>
            <w:pPr>
              <w:pStyle w:val="TableParagraph"/>
              <w:ind w:left="53" w:right="218"/>
              <w:jc w:val="left"/>
              <w:rPr>
                <w:sz w:val="17"/>
              </w:rPr>
            </w:pPr>
            <w:r>
              <w:rPr>
                <w:sz w:val="17"/>
              </w:rPr>
              <w:t>Terciario</w:t>
            </w:r>
          </w:p>
        </w:tc>
        <w:tc>
          <w:tcPr>
            <w:tcW w:w="764" w:type="dxa"/>
            <w:tcBorders>
              <w:top w:val="nil"/>
              <w:left w:val="nil"/>
              <w:bottom w:val="nil"/>
              <w:right w:val="nil"/>
            </w:tcBorders>
          </w:tcPr>
          <w:p>
            <w:pPr>
              <w:pStyle w:val="TableParagraph"/>
              <w:spacing w:before="9"/>
              <w:jc w:val="left"/>
              <w:rPr>
                <w:sz w:val="17"/>
              </w:rPr>
            </w:pPr>
          </w:p>
          <w:p>
            <w:pPr>
              <w:pStyle w:val="TableParagraph"/>
              <w:ind w:right="86"/>
              <w:rPr>
                <w:sz w:val="17"/>
              </w:rPr>
            </w:pPr>
            <w:r>
              <w:rPr>
                <w:w w:val="95"/>
                <w:sz w:val="17"/>
              </w:rPr>
              <w:t>48.63</w:t>
            </w:r>
          </w:p>
        </w:tc>
        <w:tc>
          <w:tcPr>
            <w:tcW w:w="778" w:type="dxa"/>
            <w:tcBorders>
              <w:top w:val="nil"/>
              <w:left w:val="nil"/>
              <w:bottom w:val="nil"/>
              <w:right w:val="nil"/>
            </w:tcBorders>
          </w:tcPr>
          <w:p>
            <w:pPr>
              <w:pStyle w:val="TableParagraph"/>
              <w:spacing w:before="9"/>
              <w:jc w:val="left"/>
              <w:rPr>
                <w:sz w:val="17"/>
              </w:rPr>
            </w:pPr>
          </w:p>
          <w:p>
            <w:pPr>
              <w:pStyle w:val="TableParagraph"/>
              <w:ind w:right="96"/>
              <w:rPr>
                <w:sz w:val="17"/>
              </w:rPr>
            </w:pPr>
            <w:r>
              <w:rPr>
                <w:w w:val="95"/>
                <w:sz w:val="17"/>
              </w:rPr>
              <w:t>52.79</w:t>
            </w:r>
          </w:p>
        </w:tc>
        <w:tc>
          <w:tcPr>
            <w:tcW w:w="606" w:type="dxa"/>
            <w:tcBorders>
              <w:top w:val="nil"/>
              <w:left w:val="nil"/>
              <w:bottom w:val="nil"/>
              <w:right w:val="nil"/>
            </w:tcBorders>
          </w:tcPr>
          <w:p>
            <w:pPr>
              <w:pStyle w:val="TableParagraph"/>
              <w:spacing w:before="9"/>
              <w:jc w:val="left"/>
              <w:rPr>
                <w:sz w:val="17"/>
              </w:rPr>
            </w:pPr>
          </w:p>
          <w:p>
            <w:pPr>
              <w:pStyle w:val="TableParagraph"/>
              <w:ind w:left="132" w:right="15"/>
              <w:jc w:val="center"/>
              <w:rPr>
                <w:sz w:val="17"/>
              </w:rPr>
            </w:pPr>
            <w:r>
              <w:rPr>
                <w:sz w:val="17"/>
              </w:rPr>
              <w:t>52.20</w:t>
            </w:r>
          </w:p>
        </w:tc>
        <w:tc>
          <w:tcPr>
            <w:tcW w:w="934" w:type="dxa"/>
            <w:tcBorders>
              <w:top w:val="nil"/>
              <w:left w:val="nil"/>
              <w:bottom w:val="nil"/>
              <w:right w:val="nil"/>
            </w:tcBorders>
          </w:tcPr>
          <w:p>
            <w:pPr>
              <w:pStyle w:val="TableParagraph"/>
              <w:spacing w:line="254" w:lineRule="auto"/>
              <w:ind w:left="61" w:right="314"/>
              <w:jc w:val="left"/>
              <w:rPr>
                <w:sz w:val="17"/>
              </w:rPr>
            </w:pPr>
            <w:r>
              <w:rPr>
                <w:sz w:val="17"/>
              </w:rPr>
              <w:t>Sector </w:t>
            </w:r>
            <w:r>
              <w:rPr>
                <w:w w:val="95"/>
                <w:sz w:val="17"/>
              </w:rPr>
              <w:t>terciario</w:t>
            </w:r>
          </w:p>
        </w:tc>
        <w:tc>
          <w:tcPr>
            <w:tcW w:w="754" w:type="dxa"/>
            <w:tcBorders>
              <w:top w:val="nil"/>
              <w:left w:val="nil"/>
              <w:bottom w:val="nil"/>
              <w:right w:val="nil"/>
            </w:tcBorders>
          </w:tcPr>
          <w:p>
            <w:pPr>
              <w:pStyle w:val="TableParagraph"/>
              <w:spacing w:before="9"/>
              <w:jc w:val="left"/>
              <w:rPr>
                <w:sz w:val="17"/>
              </w:rPr>
            </w:pPr>
          </w:p>
          <w:p>
            <w:pPr>
              <w:pStyle w:val="TableParagraph"/>
              <w:ind w:right="86"/>
              <w:rPr>
                <w:sz w:val="17"/>
              </w:rPr>
            </w:pPr>
            <w:r>
              <w:rPr>
                <w:w w:val="95"/>
                <w:sz w:val="17"/>
              </w:rPr>
              <w:t>100.00</w:t>
            </w:r>
          </w:p>
        </w:tc>
        <w:tc>
          <w:tcPr>
            <w:tcW w:w="778" w:type="dxa"/>
            <w:tcBorders>
              <w:top w:val="nil"/>
              <w:left w:val="nil"/>
              <w:bottom w:val="nil"/>
              <w:right w:val="nil"/>
            </w:tcBorders>
          </w:tcPr>
          <w:p>
            <w:pPr>
              <w:pStyle w:val="TableParagraph"/>
              <w:spacing w:before="9"/>
              <w:jc w:val="left"/>
              <w:rPr>
                <w:sz w:val="17"/>
              </w:rPr>
            </w:pPr>
          </w:p>
          <w:p>
            <w:pPr>
              <w:pStyle w:val="TableParagraph"/>
              <w:ind w:right="96"/>
              <w:rPr>
                <w:sz w:val="17"/>
              </w:rPr>
            </w:pPr>
            <w:r>
              <w:rPr>
                <w:w w:val="95"/>
                <w:sz w:val="17"/>
              </w:rPr>
              <w:t>54.38</w:t>
            </w:r>
          </w:p>
        </w:tc>
        <w:tc>
          <w:tcPr>
            <w:tcW w:w="603" w:type="dxa"/>
            <w:tcBorders>
              <w:top w:val="nil"/>
              <w:left w:val="nil"/>
              <w:bottom w:val="nil"/>
              <w:right w:val="nil"/>
            </w:tcBorders>
          </w:tcPr>
          <w:p>
            <w:pPr>
              <w:pStyle w:val="TableParagraph"/>
              <w:spacing w:before="9"/>
              <w:jc w:val="left"/>
              <w:rPr>
                <w:sz w:val="17"/>
              </w:rPr>
            </w:pPr>
          </w:p>
          <w:p>
            <w:pPr>
              <w:pStyle w:val="TableParagraph"/>
              <w:ind w:left="132" w:right="11"/>
              <w:jc w:val="center"/>
              <w:rPr>
                <w:sz w:val="17"/>
              </w:rPr>
            </w:pPr>
            <w:r>
              <w:rPr>
                <w:sz w:val="17"/>
              </w:rPr>
              <w:t>55.06</w:t>
            </w:r>
          </w:p>
        </w:tc>
      </w:tr>
      <w:tr>
        <w:trPr>
          <w:trHeight w:val="850" w:hRule="exact"/>
        </w:trPr>
        <w:tc>
          <w:tcPr>
            <w:tcW w:w="1310" w:type="dxa"/>
            <w:tcBorders>
              <w:top w:val="nil"/>
              <w:left w:val="nil"/>
              <w:bottom w:val="nil"/>
              <w:right w:val="nil"/>
            </w:tcBorders>
          </w:tcPr>
          <w:p>
            <w:pPr>
              <w:pStyle w:val="TableParagraph"/>
              <w:spacing w:before="22"/>
              <w:ind w:left="53" w:right="218"/>
              <w:jc w:val="left"/>
              <w:rPr>
                <w:sz w:val="17"/>
              </w:rPr>
            </w:pPr>
            <w:r>
              <w:rPr>
                <w:sz w:val="17"/>
              </w:rPr>
              <w:t>Total</w:t>
            </w:r>
          </w:p>
          <w:p>
            <w:pPr>
              <w:pStyle w:val="TableParagraph"/>
              <w:spacing w:before="11"/>
              <w:ind w:left="53" w:right="218"/>
              <w:jc w:val="left"/>
              <w:rPr>
                <w:i/>
                <w:sz w:val="17"/>
              </w:rPr>
            </w:pPr>
            <w:r>
              <w:rPr>
                <w:i/>
                <w:sz w:val="17"/>
              </w:rPr>
              <w:t>Posición</w:t>
            </w:r>
          </w:p>
          <w:p>
            <w:pPr>
              <w:pStyle w:val="TableParagraph"/>
              <w:spacing w:before="11"/>
              <w:ind w:left="53" w:right="218"/>
              <w:jc w:val="left"/>
              <w:rPr>
                <w:i/>
                <w:sz w:val="17"/>
              </w:rPr>
            </w:pPr>
            <w:r>
              <w:rPr>
                <w:i/>
                <w:sz w:val="17"/>
              </w:rPr>
              <w:t>en el trabajo</w:t>
            </w:r>
          </w:p>
        </w:tc>
        <w:tc>
          <w:tcPr>
            <w:tcW w:w="764" w:type="dxa"/>
            <w:tcBorders>
              <w:top w:val="nil"/>
              <w:left w:val="nil"/>
              <w:bottom w:val="nil"/>
              <w:right w:val="nil"/>
            </w:tcBorders>
          </w:tcPr>
          <w:p>
            <w:pPr>
              <w:pStyle w:val="TableParagraph"/>
              <w:spacing w:before="22"/>
              <w:ind w:right="86"/>
              <w:rPr>
                <w:sz w:val="17"/>
              </w:rPr>
            </w:pPr>
            <w:r>
              <w:rPr>
                <w:w w:val="95"/>
                <w:sz w:val="17"/>
              </w:rPr>
              <w:t>100.00</w:t>
            </w:r>
          </w:p>
        </w:tc>
        <w:tc>
          <w:tcPr>
            <w:tcW w:w="778" w:type="dxa"/>
            <w:tcBorders>
              <w:top w:val="nil"/>
              <w:left w:val="nil"/>
              <w:bottom w:val="nil"/>
              <w:right w:val="nil"/>
            </w:tcBorders>
          </w:tcPr>
          <w:p>
            <w:pPr>
              <w:pStyle w:val="TableParagraph"/>
              <w:spacing w:before="22"/>
              <w:ind w:right="96"/>
              <w:rPr>
                <w:sz w:val="17"/>
              </w:rPr>
            </w:pPr>
            <w:r>
              <w:rPr>
                <w:w w:val="95"/>
                <w:sz w:val="17"/>
              </w:rPr>
              <w:t>100.00</w:t>
            </w:r>
          </w:p>
        </w:tc>
        <w:tc>
          <w:tcPr>
            <w:tcW w:w="606" w:type="dxa"/>
            <w:tcBorders>
              <w:top w:val="nil"/>
              <w:left w:val="nil"/>
              <w:bottom w:val="nil"/>
              <w:right w:val="nil"/>
            </w:tcBorders>
          </w:tcPr>
          <w:p>
            <w:pPr>
              <w:pStyle w:val="TableParagraph"/>
              <w:spacing w:before="22"/>
              <w:ind w:left="67" w:right="31"/>
              <w:jc w:val="center"/>
              <w:rPr>
                <w:sz w:val="17"/>
              </w:rPr>
            </w:pPr>
            <w:r>
              <w:rPr>
                <w:sz w:val="17"/>
              </w:rPr>
              <w:t>100.00</w:t>
            </w:r>
          </w:p>
        </w:tc>
        <w:tc>
          <w:tcPr>
            <w:tcW w:w="934" w:type="dxa"/>
            <w:tcBorders>
              <w:top w:val="nil"/>
              <w:left w:val="nil"/>
              <w:bottom w:val="nil"/>
              <w:right w:val="nil"/>
            </w:tcBorders>
          </w:tcPr>
          <w:p>
            <w:pPr>
              <w:pStyle w:val="TableParagraph"/>
              <w:spacing w:before="22"/>
              <w:ind w:left="61"/>
              <w:jc w:val="left"/>
              <w:rPr>
                <w:sz w:val="17"/>
              </w:rPr>
            </w:pPr>
            <w:r>
              <w:rPr>
                <w:sz w:val="17"/>
              </w:rPr>
              <w:t>Total</w:t>
            </w:r>
          </w:p>
          <w:p>
            <w:pPr>
              <w:pStyle w:val="TableParagraph"/>
              <w:jc w:val="left"/>
              <w:rPr>
                <w:sz w:val="18"/>
              </w:rPr>
            </w:pPr>
          </w:p>
          <w:p>
            <w:pPr>
              <w:pStyle w:val="TableParagraph"/>
              <w:spacing w:before="9"/>
              <w:jc w:val="left"/>
              <w:rPr>
                <w:sz w:val="18"/>
              </w:rPr>
            </w:pPr>
          </w:p>
          <w:p>
            <w:pPr>
              <w:pStyle w:val="TableParagraph"/>
              <w:ind w:left="61"/>
              <w:jc w:val="left"/>
              <w:rPr>
                <w:sz w:val="17"/>
              </w:rPr>
            </w:pPr>
            <w:r>
              <w:rPr>
                <w:w w:val="95"/>
                <w:sz w:val="17"/>
              </w:rPr>
              <w:t>No trabajó</w:t>
            </w:r>
          </w:p>
        </w:tc>
        <w:tc>
          <w:tcPr>
            <w:tcW w:w="754" w:type="dxa"/>
            <w:tcBorders>
              <w:top w:val="nil"/>
              <w:left w:val="nil"/>
              <w:bottom w:val="nil"/>
              <w:right w:val="nil"/>
            </w:tcBorders>
          </w:tcPr>
          <w:p>
            <w:pPr>
              <w:pStyle w:val="TableParagraph"/>
              <w:spacing w:before="22"/>
              <w:ind w:right="86"/>
              <w:rPr>
                <w:sz w:val="17"/>
              </w:rPr>
            </w:pPr>
            <w:r>
              <w:rPr>
                <w:w w:val="95"/>
                <w:sz w:val="17"/>
              </w:rPr>
              <w:t>100.00</w:t>
            </w:r>
          </w:p>
        </w:tc>
        <w:tc>
          <w:tcPr>
            <w:tcW w:w="778" w:type="dxa"/>
            <w:tcBorders>
              <w:top w:val="nil"/>
              <w:left w:val="nil"/>
              <w:bottom w:val="nil"/>
              <w:right w:val="nil"/>
            </w:tcBorders>
          </w:tcPr>
          <w:p>
            <w:pPr>
              <w:pStyle w:val="TableParagraph"/>
              <w:spacing w:before="22"/>
              <w:ind w:right="96"/>
              <w:rPr>
                <w:sz w:val="17"/>
              </w:rPr>
            </w:pPr>
            <w:r>
              <w:rPr>
                <w:w w:val="95"/>
                <w:sz w:val="17"/>
              </w:rPr>
              <w:t>100.00</w:t>
            </w:r>
          </w:p>
        </w:tc>
        <w:tc>
          <w:tcPr>
            <w:tcW w:w="603" w:type="dxa"/>
            <w:tcBorders>
              <w:top w:val="nil"/>
              <w:left w:val="nil"/>
              <w:bottom w:val="nil"/>
              <w:right w:val="nil"/>
            </w:tcBorders>
          </w:tcPr>
          <w:p>
            <w:pPr>
              <w:pStyle w:val="TableParagraph"/>
              <w:spacing w:before="22"/>
              <w:ind w:left="67" w:right="28"/>
              <w:jc w:val="center"/>
              <w:rPr>
                <w:sz w:val="17"/>
              </w:rPr>
            </w:pPr>
            <w:r>
              <w:rPr>
                <w:sz w:val="17"/>
              </w:rPr>
              <w:t>100.00</w:t>
            </w:r>
          </w:p>
        </w:tc>
      </w:tr>
      <w:tr>
        <w:trPr>
          <w:trHeight w:val="624" w:hRule="exact"/>
        </w:trPr>
        <w:tc>
          <w:tcPr>
            <w:tcW w:w="1310" w:type="dxa"/>
            <w:tcBorders>
              <w:top w:val="nil"/>
              <w:left w:val="nil"/>
              <w:bottom w:val="nil"/>
              <w:right w:val="nil"/>
            </w:tcBorders>
          </w:tcPr>
          <w:p>
            <w:pPr>
              <w:pStyle w:val="TableParagraph"/>
              <w:spacing w:line="194" w:lineRule="exact"/>
              <w:ind w:left="53"/>
              <w:jc w:val="left"/>
              <w:rPr>
                <w:sz w:val="17"/>
              </w:rPr>
            </w:pPr>
            <w:r>
              <w:rPr>
                <w:sz w:val="17"/>
              </w:rPr>
              <w:t>No trabajó en EU</w:t>
            </w:r>
          </w:p>
          <w:p>
            <w:pPr>
              <w:pStyle w:val="TableParagraph"/>
              <w:spacing w:before="3"/>
              <w:jc w:val="left"/>
              <w:rPr>
                <w:sz w:val="19"/>
              </w:rPr>
            </w:pPr>
          </w:p>
          <w:p>
            <w:pPr>
              <w:pStyle w:val="TableParagraph"/>
              <w:ind w:left="53"/>
              <w:jc w:val="left"/>
              <w:rPr>
                <w:sz w:val="17"/>
              </w:rPr>
            </w:pPr>
            <w:r>
              <w:rPr>
                <w:w w:val="95"/>
                <w:sz w:val="17"/>
              </w:rPr>
              <w:t>Permaneció hrs</w:t>
            </w:r>
          </w:p>
        </w:tc>
        <w:tc>
          <w:tcPr>
            <w:tcW w:w="764" w:type="dxa"/>
            <w:tcBorders>
              <w:top w:val="nil"/>
              <w:left w:val="nil"/>
              <w:bottom w:val="nil"/>
              <w:right w:val="nil"/>
            </w:tcBorders>
          </w:tcPr>
          <w:p>
            <w:pPr>
              <w:pStyle w:val="TableParagraph"/>
              <w:spacing w:line="194" w:lineRule="exact"/>
              <w:ind w:right="86"/>
              <w:rPr>
                <w:sz w:val="17"/>
              </w:rPr>
            </w:pPr>
            <w:r>
              <w:rPr>
                <w:w w:val="95"/>
                <w:sz w:val="17"/>
              </w:rPr>
              <w:t>0.00</w:t>
            </w:r>
          </w:p>
        </w:tc>
        <w:tc>
          <w:tcPr>
            <w:tcW w:w="778" w:type="dxa"/>
            <w:tcBorders>
              <w:top w:val="nil"/>
              <w:left w:val="nil"/>
              <w:bottom w:val="nil"/>
              <w:right w:val="nil"/>
            </w:tcBorders>
          </w:tcPr>
          <w:p>
            <w:pPr>
              <w:pStyle w:val="TableParagraph"/>
              <w:spacing w:line="194" w:lineRule="exact"/>
              <w:ind w:right="96"/>
              <w:rPr>
                <w:sz w:val="17"/>
              </w:rPr>
            </w:pPr>
            <w:r>
              <w:rPr>
                <w:w w:val="95"/>
                <w:sz w:val="17"/>
              </w:rPr>
              <w:t>43.58</w:t>
            </w:r>
          </w:p>
        </w:tc>
        <w:tc>
          <w:tcPr>
            <w:tcW w:w="606" w:type="dxa"/>
            <w:tcBorders>
              <w:top w:val="nil"/>
              <w:left w:val="nil"/>
              <w:bottom w:val="nil"/>
              <w:right w:val="nil"/>
            </w:tcBorders>
          </w:tcPr>
          <w:p>
            <w:pPr>
              <w:pStyle w:val="TableParagraph"/>
              <w:spacing w:line="194" w:lineRule="exact"/>
              <w:ind w:left="132" w:right="15"/>
              <w:jc w:val="center"/>
              <w:rPr>
                <w:sz w:val="17"/>
              </w:rPr>
            </w:pPr>
            <w:r>
              <w:rPr>
                <w:sz w:val="17"/>
              </w:rPr>
              <w:t>40.89</w:t>
            </w:r>
          </w:p>
        </w:tc>
        <w:tc>
          <w:tcPr>
            <w:tcW w:w="934" w:type="dxa"/>
            <w:tcBorders>
              <w:top w:val="nil"/>
              <w:left w:val="nil"/>
              <w:bottom w:val="nil"/>
              <w:right w:val="nil"/>
            </w:tcBorders>
          </w:tcPr>
          <w:p>
            <w:pPr>
              <w:pStyle w:val="TableParagraph"/>
              <w:spacing w:line="256" w:lineRule="auto"/>
              <w:ind w:left="61" w:right="90"/>
              <w:jc w:val="left"/>
              <w:rPr>
                <w:sz w:val="17"/>
              </w:rPr>
            </w:pPr>
            <w:r>
              <w:rPr>
                <w:sz w:val="17"/>
              </w:rPr>
              <w:t>en E.U. </w:t>
            </w:r>
            <w:r>
              <w:rPr>
                <w:w w:val="95"/>
                <w:sz w:val="17"/>
              </w:rPr>
              <w:t>Permaneció </w:t>
            </w:r>
            <w:r>
              <w:rPr>
                <w:sz w:val="17"/>
              </w:rPr>
              <w:t>horas en</w:t>
            </w:r>
          </w:p>
        </w:tc>
        <w:tc>
          <w:tcPr>
            <w:tcW w:w="754" w:type="dxa"/>
            <w:tcBorders>
              <w:top w:val="nil"/>
              <w:left w:val="nil"/>
              <w:bottom w:val="nil"/>
              <w:right w:val="nil"/>
            </w:tcBorders>
          </w:tcPr>
          <w:p>
            <w:pPr>
              <w:pStyle w:val="TableParagraph"/>
              <w:spacing w:line="194" w:lineRule="exact"/>
              <w:ind w:right="86"/>
              <w:rPr>
                <w:sz w:val="17"/>
              </w:rPr>
            </w:pPr>
            <w:r>
              <w:rPr>
                <w:w w:val="95"/>
                <w:sz w:val="17"/>
              </w:rPr>
              <w:t>38.31</w:t>
            </w:r>
          </w:p>
        </w:tc>
        <w:tc>
          <w:tcPr>
            <w:tcW w:w="778" w:type="dxa"/>
            <w:tcBorders>
              <w:top w:val="nil"/>
              <w:left w:val="nil"/>
              <w:bottom w:val="nil"/>
              <w:right w:val="nil"/>
            </w:tcBorders>
          </w:tcPr>
          <w:p>
            <w:pPr>
              <w:pStyle w:val="TableParagraph"/>
              <w:spacing w:line="194" w:lineRule="exact"/>
              <w:ind w:right="96"/>
              <w:rPr>
                <w:sz w:val="17"/>
              </w:rPr>
            </w:pPr>
            <w:r>
              <w:rPr>
                <w:w w:val="95"/>
                <w:sz w:val="17"/>
              </w:rPr>
              <w:t>38.31</w:t>
            </w:r>
          </w:p>
        </w:tc>
        <w:tc>
          <w:tcPr>
            <w:tcW w:w="603" w:type="dxa"/>
            <w:tcBorders>
              <w:top w:val="nil"/>
              <w:left w:val="nil"/>
              <w:bottom w:val="nil"/>
              <w:right w:val="nil"/>
            </w:tcBorders>
          </w:tcPr>
          <w:p>
            <w:pPr>
              <w:pStyle w:val="TableParagraph"/>
              <w:spacing w:line="194" w:lineRule="exact"/>
              <w:ind w:left="132" w:right="11"/>
              <w:jc w:val="center"/>
              <w:rPr>
                <w:sz w:val="17"/>
              </w:rPr>
            </w:pPr>
            <w:r>
              <w:rPr>
                <w:sz w:val="17"/>
              </w:rPr>
              <w:t>38.31</w:t>
            </w:r>
          </w:p>
        </w:tc>
      </w:tr>
      <w:tr>
        <w:trPr>
          <w:trHeight w:val="619" w:hRule="exact"/>
        </w:trPr>
        <w:tc>
          <w:tcPr>
            <w:tcW w:w="1310" w:type="dxa"/>
            <w:tcBorders>
              <w:top w:val="nil"/>
              <w:left w:val="nil"/>
              <w:bottom w:val="nil"/>
              <w:right w:val="nil"/>
            </w:tcBorders>
          </w:tcPr>
          <w:p>
            <w:pPr>
              <w:pStyle w:val="TableParagraph"/>
              <w:spacing w:line="194" w:lineRule="exact"/>
              <w:ind w:left="53" w:right="218"/>
              <w:jc w:val="left"/>
              <w:rPr>
                <w:sz w:val="17"/>
              </w:rPr>
            </w:pPr>
            <w:r>
              <w:rPr>
                <w:sz w:val="17"/>
              </w:rPr>
              <w:t>en EU</w:t>
            </w:r>
          </w:p>
          <w:p>
            <w:pPr>
              <w:pStyle w:val="TableParagraph"/>
              <w:spacing w:before="10"/>
              <w:jc w:val="left"/>
              <w:rPr>
                <w:sz w:val="18"/>
              </w:rPr>
            </w:pPr>
          </w:p>
          <w:p>
            <w:pPr>
              <w:pStyle w:val="TableParagraph"/>
              <w:ind w:left="53" w:right="218"/>
              <w:jc w:val="left"/>
              <w:rPr>
                <w:sz w:val="17"/>
              </w:rPr>
            </w:pPr>
            <w:r>
              <w:rPr>
                <w:w w:val="95"/>
                <w:sz w:val="17"/>
              </w:rPr>
              <w:t>Trabajó por</w:t>
            </w:r>
          </w:p>
        </w:tc>
        <w:tc>
          <w:tcPr>
            <w:tcW w:w="764" w:type="dxa"/>
            <w:tcBorders>
              <w:top w:val="nil"/>
              <w:left w:val="nil"/>
              <w:bottom w:val="nil"/>
              <w:right w:val="nil"/>
            </w:tcBorders>
          </w:tcPr>
          <w:p>
            <w:pPr>
              <w:pStyle w:val="TableParagraph"/>
              <w:spacing w:line="194" w:lineRule="exact"/>
              <w:ind w:right="86"/>
              <w:rPr>
                <w:sz w:val="17"/>
              </w:rPr>
            </w:pPr>
            <w:r>
              <w:rPr>
                <w:w w:val="95"/>
                <w:sz w:val="17"/>
              </w:rPr>
              <w:t>0.00</w:t>
            </w:r>
          </w:p>
        </w:tc>
        <w:tc>
          <w:tcPr>
            <w:tcW w:w="778" w:type="dxa"/>
            <w:tcBorders>
              <w:top w:val="nil"/>
              <w:left w:val="nil"/>
              <w:bottom w:val="nil"/>
              <w:right w:val="nil"/>
            </w:tcBorders>
          </w:tcPr>
          <w:p>
            <w:pPr>
              <w:pStyle w:val="TableParagraph"/>
              <w:spacing w:line="194" w:lineRule="exact"/>
              <w:ind w:right="96"/>
              <w:rPr>
                <w:sz w:val="17"/>
              </w:rPr>
            </w:pPr>
            <w:r>
              <w:rPr>
                <w:w w:val="95"/>
                <w:sz w:val="17"/>
              </w:rPr>
              <w:t>16.11</w:t>
            </w:r>
          </w:p>
        </w:tc>
        <w:tc>
          <w:tcPr>
            <w:tcW w:w="606" w:type="dxa"/>
            <w:tcBorders>
              <w:top w:val="nil"/>
              <w:left w:val="nil"/>
              <w:bottom w:val="nil"/>
              <w:right w:val="nil"/>
            </w:tcBorders>
          </w:tcPr>
          <w:p>
            <w:pPr>
              <w:pStyle w:val="TableParagraph"/>
              <w:spacing w:line="194" w:lineRule="exact"/>
              <w:ind w:left="132" w:right="15"/>
              <w:jc w:val="center"/>
              <w:rPr>
                <w:sz w:val="17"/>
              </w:rPr>
            </w:pPr>
            <w:r>
              <w:rPr>
                <w:sz w:val="17"/>
              </w:rPr>
              <w:t>15.12</w:t>
            </w:r>
          </w:p>
        </w:tc>
        <w:tc>
          <w:tcPr>
            <w:tcW w:w="934" w:type="dxa"/>
            <w:tcBorders>
              <w:top w:val="nil"/>
              <w:left w:val="nil"/>
              <w:bottom w:val="nil"/>
              <w:right w:val="nil"/>
            </w:tcBorders>
          </w:tcPr>
          <w:p>
            <w:pPr>
              <w:pStyle w:val="TableParagraph"/>
              <w:spacing w:line="194" w:lineRule="exact"/>
              <w:ind w:left="61"/>
              <w:jc w:val="left"/>
              <w:rPr>
                <w:sz w:val="17"/>
              </w:rPr>
            </w:pPr>
            <w:r>
              <w:rPr>
                <w:sz w:val="17"/>
              </w:rPr>
              <w:t>E.U.</w:t>
            </w:r>
          </w:p>
          <w:p>
            <w:pPr>
              <w:pStyle w:val="TableParagraph"/>
              <w:spacing w:line="254" w:lineRule="auto" w:before="11"/>
              <w:ind w:left="61" w:right="144"/>
              <w:jc w:val="left"/>
              <w:rPr>
                <w:sz w:val="17"/>
              </w:rPr>
            </w:pPr>
            <w:r>
              <w:rPr>
                <w:w w:val="95"/>
                <w:sz w:val="17"/>
              </w:rPr>
              <w:t>Trabajador </w:t>
            </w:r>
            <w:r>
              <w:rPr>
                <w:sz w:val="17"/>
              </w:rPr>
              <w:t>a sueldo</w:t>
            </w:r>
          </w:p>
        </w:tc>
        <w:tc>
          <w:tcPr>
            <w:tcW w:w="754" w:type="dxa"/>
            <w:tcBorders>
              <w:top w:val="nil"/>
              <w:left w:val="nil"/>
              <w:bottom w:val="nil"/>
              <w:right w:val="nil"/>
            </w:tcBorders>
          </w:tcPr>
          <w:p>
            <w:pPr>
              <w:pStyle w:val="TableParagraph"/>
              <w:spacing w:line="194" w:lineRule="exact"/>
              <w:ind w:right="86"/>
              <w:rPr>
                <w:sz w:val="17"/>
              </w:rPr>
            </w:pPr>
            <w:r>
              <w:rPr>
                <w:w w:val="95"/>
                <w:sz w:val="17"/>
              </w:rPr>
              <w:t>34.34</w:t>
            </w:r>
          </w:p>
        </w:tc>
        <w:tc>
          <w:tcPr>
            <w:tcW w:w="778" w:type="dxa"/>
            <w:tcBorders>
              <w:top w:val="nil"/>
              <w:left w:val="nil"/>
              <w:bottom w:val="nil"/>
              <w:right w:val="nil"/>
            </w:tcBorders>
          </w:tcPr>
          <w:p>
            <w:pPr>
              <w:pStyle w:val="TableParagraph"/>
              <w:spacing w:line="194" w:lineRule="exact"/>
              <w:ind w:right="96"/>
              <w:rPr>
                <w:sz w:val="17"/>
              </w:rPr>
            </w:pPr>
            <w:r>
              <w:rPr>
                <w:w w:val="95"/>
                <w:sz w:val="17"/>
              </w:rPr>
              <w:t>8.67</w:t>
            </w:r>
          </w:p>
        </w:tc>
        <w:tc>
          <w:tcPr>
            <w:tcW w:w="603" w:type="dxa"/>
            <w:tcBorders>
              <w:top w:val="nil"/>
              <w:left w:val="nil"/>
              <w:bottom w:val="nil"/>
              <w:right w:val="nil"/>
            </w:tcBorders>
          </w:tcPr>
          <w:p>
            <w:pPr>
              <w:pStyle w:val="TableParagraph"/>
              <w:spacing w:line="194" w:lineRule="exact"/>
              <w:ind w:left="230" w:right="28"/>
              <w:jc w:val="center"/>
              <w:rPr>
                <w:sz w:val="17"/>
              </w:rPr>
            </w:pPr>
            <w:r>
              <w:rPr>
                <w:sz w:val="17"/>
              </w:rPr>
              <w:t>9.40</w:t>
            </w:r>
          </w:p>
        </w:tc>
      </w:tr>
      <w:tr>
        <w:trPr>
          <w:trHeight w:val="622" w:hRule="exact"/>
        </w:trPr>
        <w:tc>
          <w:tcPr>
            <w:tcW w:w="1310" w:type="dxa"/>
            <w:tcBorders>
              <w:top w:val="nil"/>
              <w:left w:val="nil"/>
              <w:bottom w:val="nil"/>
              <w:right w:val="nil"/>
            </w:tcBorders>
          </w:tcPr>
          <w:p>
            <w:pPr>
              <w:pStyle w:val="TableParagraph"/>
              <w:spacing w:line="194" w:lineRule="exact"/>
              <w:ind w:left="53" w:right="218"/>
              <w:jc w:val="left"/>
              <w:rPr>
                <w:sz w:val="17"/>
              </w:rPr>
            </w:pPr>
            <w:r>
              <w:rPr>
                <w:w w:val="95"/>
                <w:sz w:val="17"/>
              </w:rPr>
              <w:t>sueldo fijo</w:t>
            </w:r>
          </w:p>
          <w:p>
            <w:pPr>
              <w:pStyle w:val="TableParagraph"/>
              <w:spacing w:before="10"/>
              <w:jc w:val="left"/>
              <w:rPr>
                <w:sz w:val="18"/>
              </w:rPr>
            </w:pPr>
          </w:p>
          <w:p>
            <w:pPr>
              <w:pStyle w:val="TableParagraph"/>
              <w:ind w:left="53" w:right="218"/>
              <w:jc w:val="left"/>
              <w:rPr>
                <w:sz w:val="17"/>
              </w:rPr>
            </w:pPr>
            <w:r>
              <w:rPr>
                <w:w w:val="95"/>
                <w:sz w:val="17"/>
              </w:rPr>
              <w:t>Trabajo por</w:t>
            </w:r>
          </w:p>
        </w:tc>
        <w:tc>
          <w:tcPr>
            <w:tcW w:w="764" w:type="dxa"/>
            <w:tcBorders>
              <w:top w:val="nil"/>
              <w:left w:val="nil"/>
              <w:bottom w:val="nil"/>
              <w:right w:val="nil"/>
            </w:tcBorders>
          </w:tcPr>
          <w:p>
            <w:pPr>
              <w:pStyle w:val="TableParagraph"/>
              <w:spacing w:line="194" w:lineRule="exact"/>
              <w:ind w:right="86"/>
              <w:rPr>
                <w:sz w:val="17"/>
              </w:rPr>
            </w:pPr>
            <w:r>
              <w:rPr>
                <w:w w:val="95"/>
                <w:sz w:val="17"/>
              </w:rPr>
              <w:t>100.00</w:t>
            </w:r>
          </w:p>
        </w:tc>
        <w:tc>
          <w:tcPr>
            <w:tcW w:w="778" w:type="dxa"/>
            <w:tcBorders>
              <w:top w:val="nil"/>
              <w:left w:val="nil"/>
              <w:bottom w:val="nil"/>
              <w:right w:val="nil"/>
            </w:tcBorders>
          </w:tcPr>
          <w:p>
            <w:pPr>
              <w:pStyle w:val="TableParagraph"/>
              <w:spacing w:line="194" w:lineRule="exact"/>
              <w:ind w:right="96"/>
              <w:rPr>
                <w:sz w:val="17"/>
              </w:rPr>
            </w:pPr>
            <w:r>
              <w:rPr>
                <w:w w:val="95"/>
                <w:sz w:val="17"/>
              </w:rPr>
              <w:t>30.79</w:t>
            </w:r>
          </w:p>
        </w:tc>
        <w:tc>
          <w:tcPr>
            <w:tcW w:w="606" w:type="dxa"/>
            <w:tcBorders>
              <w:top w:val="nil"/>
              <w:left w:val="nil"/>
              <w:bottom w:val="nil"/>
              <w:right w:val="nil"/>
            </w:tcBorders>
          </w:tcPr>
          <w:p>
            <w:pPr>
              <w:pStyle w:val="TableParagraph"/>
              <w:spacing w:line="194" w:lineRule="exact"/>
              <w:ind w:left="132" w:right="15"/>
              <w:jc w:val="center"/>
              <w:rPr>
                <w:sz w:val="17"/>
              </w:rPr>
            </w:pPr>
            <w:r>
              <w:rPr>
                <w:sz w:val="17"/>
              </w:rPr>
              <w:t>35.05</w:t>
            </w:r>
          </w:p>
        </w:tc>
        <w:tc>
          <w:tcPr>
            <w:tcW w:w="934" w:type="dxa"/>
            <w:tcBorders>
              <w:top w:val="nil"/>
              <w:left w:val="nil"/>
              <w:bottom w:val="nil"/>
              <w:right w:val="nil"/>
            </w:tcBorders>
          </w:tcPr>
          <w:p>
            <w:pPr>
              <w:pStyle w:val="TableParagraph"/>
              <w:spacing w:line="254" w:lineRule="auto"/>
              <w:ind w:left="61" w:right="112"/>
              <w:jc w:val="left"/>
              <w:rPr>
                <w:sz w:val="17"/>
              </w:rPr>
            </w:pPr>
            <w:r>
              <w:rPr>
                <w:sz w:val="17"/>
              </w:rPr>
              <w:t>fijo </w:t>
            </w:r>
            <w:r>
              <w:rPr>
                <w:w w:val="95"/>
                <w:sz w:val="17"/>
              </w:rPr>
              <w:t>Trabajador </w:t>
            </w:r>
            <w:r>
              <w:rPr>
                <w:sz w:val="17"/>
              </w:rPr>
              <w:t>a destajo o</w:t>
            </w:r>
          </w:p>
        </w:tc>
        <w:tc>
          <w:tcPr>
            <w:tcW w:w="754" w:type="dxa"/>
            <w:tcBorders>
              <w:top w:val="nil"/>
              <w:left w:val="nil"/>
              <w:bottom w:val="nil"/>
              <w:right w:val="nil"/>
            </w:tcBorders>
          </w:tcPr>
          <w:p>
            <w:pPr>
              <w:pStyle w:val="TableParagraph"/>
              <w:spacing w:line="194" w:lineRule="exact"/>
              <w:ind w:right="86"/>
              <w:rPr>
                <w:sz w:val="17"/>
              </w:rPr>
            </w:pPr>
            <w:r>
              <w:rPr>
                <w:w w:val="95"/>
                <w:sz w:val="17"/>
              </w:rPr>
              <w:t>27.34</w:t>
            </w:r>
          </w:p>
        </w:tc>
        <w:tc>
          <w:tcPr>
            <w:tcW w:w="778" w:type="dxa"/>
            <w:tcBorders>
              <w:top w:val="nil"/>
              <w:left w:val="nil"/>
              <w:bottom w:val="nil"/>
              <w:right w:val="nil"/>
            </w:tcBorders>
          </w:tcPr>
          <w:p>
            <w:pPr>
              <w:pStyle w:val="TableParagraph"/>
              <w:spacing w:line="194" w:lineRule="exact"/>
              <w:ind w:right="96"/>
              <w:rPr>
                <w:sz w:val="17"/>
              </w:rPr>
            </w:pPr>
            <w:r>
              <w:rPr>
                <w:w w:val="95"/>
                <w:sz w:val="17"/>
              </w:rPr>
              <w:t>34.52</w:t>
            </w:r>
          </w:p>
        </w:tc>
        <w:tc>
          <w:tcPr>
            <w:tcW w:w="603" w:type="dxa"/>
            <w:tcBorders>
              <w:top w:val="nil"/>
              <w:left w:val="nil"/>
              <w:bottom w:val="nil"/>
              <w:right w:val="nil"/>
            </w:tcBorders>
          </w:tcPr>
          <w:p>
            <w:pPr>
              <w:pStyle w:val="TableParagraph"/>
              <w:spacing w:line="194" w:lineRule="exact"/>
              <w:ind w:left="132" w:right="11"/>
              <w:jc w:val="center"/>
              <w:rPr>
                <w:sz w:val="17"/>
              </w:rPr>
            </w:pPr>
            <w:r>
              <w:rPr>
                <w:sz w:val="17"/>
              </w:rPr>
              <w:t>34.32</w:t>
            </w:r>
          </w:p>
        </w:tc>
      </w:tr>
      <w:tr>
        <w:trPr>
          <w:trHeight w:val="828" w:hRule="exact"/>
        </w:trPr>
        <w:tc>
          <w:tcPr>
            <w:tcW w:w="1310" w:type="dxa"/>
            <w:tcBorders>
              <w:top w:val="nil"/>
              <w:left w:val="nil"/>
              <w:bottom w:val="nil"/>
              <w:right w:val="nil"/>
            </w:tcBorders>
          </w:tcPr>
          <w:p>
            <w:pPr>
              <w:pStyle w:val="TableParagraph"/>
              <w:spacing w:before="1"/>
              <w:ind w:left="53" w:right="218"/>
              <w:jc w:val="left"/>
              <w:rPr>
                <w:sz w:val="17"/>
              </w:rPr>
            </w:pPr>
            <w:r>
              <w:rPr>
                <w:sz w:val="17"/>
              </w:rPr>
              <w:t>destajo-obra</w:t>
            </w:r>
          </w:p>
          <w:p>
            <w:pPr>
              <w:pStyle w:val="TableParagraph"/>
              <w:jc w:val="left"/>
              <w:rPr>
                <w:sz w:val="18"/>
              </w:rPr>
            </w:pPr>
          </w:p>
          <w:p>
            <w:pPr>
              <w:pStyle w:val="TableParagraph"/>
              <w:spacing w:before="9"/>
              <w:jc w:val="left"/>
              <w:rPr>
                <w:sz w:val="18"/>
              </w:rPr>
            </w:pPr>
          </w:p>
          <w:p>
            <w:pPr>
              <w:pStyle w:val="TableParagraph"/>
              <w:ind w:left="53" w:right="218"/>
              <w:jc w:val="left"/>
              <w:rPr>
                <w:sz w:val="17"/>
              </w:rPr>
            </w:pPr>
            <w:r>
              <w:rPr>
                <w:sz w:val="17"/>
              </w:rPr>
              <w:t>Total</w:t>
            </w:r>
          </w:p>
        </w:tc>
        <w:tc>
          <w:tcPr>
            <w:tcW w:w="764" w:type="dxa"/>
            <w:tcBorders>
              <w:top w:val="nil"/>
              <w:left w:val="nil"/>
              <w:bottom w:val="nil"/>
              <w:right w:val="nil"/>
            </w:tcBorders>
          </w:tcPr>
          <w:p>
            <w:pPr>
              <w:pStyle w:val="TableParagraph"/>
              <w:spacing w:before="1"/>
              <w:ind w:left="361" w:right="58"/>
              <w:jc w:val="center"/>
              <w:rPr>
                <w:sz w:val="17"/>
              </w:rPr>
            </w:pPr>
            <w:r>
              <w:rPr>
                <w:sz w:val="17"/>
              </w:rPr>
              <w:t>0.00</w:t>
            </w:r>
          </w:p>
          <w:p>
            <w:pPr>
              <w:pStyle w:val="TableParagraph"/>
              <w:jc w:val="left"/>
              <w:rPr>
                <w:sz w:val="18"/>
              </w:rPr>
            </w:pPr>
          </w:p>
          <w:p>
            <w:pPr>
              <w:pStyle w:val="TableParagraph"/>
              <w:spacing w:before="9"/>
              <w:jc w:val="left"/>
              <w:rPr>
                <w:sz w:val="18"/>
              </w:rPr>
            </w:pPr>
          </w:p>
          <w:p>
            <w:pPr>
              <w:pStyle w:val="TableParagraph"/>
              <w:ind w:left="198" w:right="58"/>
              <w:jc w:val="center"/>
              <w:rPr>
                <w:sz w:val="17"/>
              </w:rPr>
            </w:pPr>
            <w:r>
              <w:rPr>
                <w:sz w:val="17"/>
              </w:rPr>
              <w:t>100.00</w:t>
            </w:r>
          </w:p>
        </w:tc>
        <w:tc>
          <w:tcPr>
            <w:tcW w:w="778" w:type="dxa"/>
            <w:tcBorders>
              <w:top w:val="nil"/>
              <w:left w:val="nil"/>
              <w:bottom w:val="nil"/>
              <w:right w:val="nil"/>
            </w:tcBorders>
          </w:tcPr>
          <w:p>
            <w:pPr>
              <w:pStyle w:val="TableParagraph"/>
              <w:spacing w:before="1"/>
              <w:ind w:left="364" w:right="68"/>
              <w:jc w:val="center"/>
              <w:rPr>
                <w:sz w:val="17"/>
              </w:rPr>
            </w:pPr>
            <w:r>
              <w:rPr>
                <w:sz w:val="17"/>
              </w:rPr>
              <w:t>9.52</w:t>
            </w:r>
          </w:p>
          <w:p>
            <w:pPr>
              <w:pStyle w:val="TableParagraph"/>
              <w:jc w:val="left"/>
              <w:rPr>
                <w:sz w:val="18"/>
              </w:rPr>
            </w:pPr>
          </w:p>
          <w:p>
            <w:pPr>
              <w:pStyle w:val="TableParagraph"/>
              <w:spacing w:before="9"/>
              <w:jc w:val="left"/>
              <w:rPr>
                <w:sz w:val="18"/>
              </w:rPr>
            </w:pPr>
          </w:p>
          <w:p>
            <w:pPr>
              <w:pStyle w:val="TableParagraph"/>
              <w:ind w:left="202" w:right="68"/>
              <w:jc w:val="center"/>
              <w:rPr>
                <w:sz w:val="17"/>
              </w:rPr>
            </w:pPr>
            <w:r>
              <w:rPr>
                <w:sz w:val="17"/>
              </w:rPr>
              <w:t>100.00</w:t>
            </w:r>
          </w:p>
        </w:tc>
        <w:tc>
          <w:tcPr>
            <w:tcW w:w="606" w:type="dxa"/>
            <w:tcBorders>
              <w:top w:val="nil"/>
              <w:left w:val="nil"/>
              <w:bottom w:val="nil"/>
              <w:right w:val="nil"/>
            </w:tcBorders>
          </w:tcPr>
          <w:p>
            <w:pPr>
              <w:pStyle w:val="TableParagraph"/>
              <w:spacing w:before="1"/>
              <w:ind w:left="229" w:right="31"/>
              <w:jc w:val="center"/>
              <w:rPr>
                <w:sz w:val="17"/>
              </w:rPr>
            </w:pPr>
            <w:r>
              <w:rPr>
                <w:sz w:val="17"/>
              </w:rPr>
              <w:t>8.94</w:t>
            </w:r>
          </w:p>
          <w:p>
            <w:pPr>
              <w:pStyle w:val="TableParagraph"/>
              <w:jc w:val="left"/>
              <w:rPr>
                <w:sz w:val="18"/>
              </w:rPr>
            </w:pPr>
          </w:p>
          <w:p>
            <w:pPr>
              <w:pStyle w:val="TableParagraph"/>
              <w:spacing w:before="9"/>
              <w:jc w:val="left"/>
              <w:rPr>
                <w:sz w:val="18"/>
              </w:rPr>
            </w:pPr>
          </w:p>
          <w:p>
            <w:pPr>
              <w:pStyle w:val="TableParagraph"/>
              <w:ind w:left="67" w:right="31"/>
              <w:jc w:val="center"/>
              <w:rPr>
                <w:sz w:val="17"/>
              </w:rPr>
            </w:pPr>
            <w:r>
              <w:rPr>
                <w:sz w:val="17"/>
              </w:rPr>
              <w:t>100.00</w:t>
            </w:r>
          </w:p>
        </w:tc>
        <w:tc>
          <w:tcPr>
            <w:tcW w:w="934" w:type="dxa"/>
            <w:tcBorders>
              <w:top w:val="nil"/>
              <w:left w:val="nil"/>
              <w:bottom w:val="nil"/>
              <w:right w:val="nil"/>
            </w:tcBorders>
          </w:tcPr>
          <w:p>
            <w:pPr>
              <w:pStyle w:val="TableParagraph"/>
              <w:spacing w:line="254" w:lineRule="auto" w:before="1"/>
              <w:ind w:left="61" w:right="112"/>
              <w:jc w:val="left"/>
              <w:rPr>
                <w:sz w:val="17"/>
              </w:rPr>
            </w:pPr>
            <w:r>
              <w:rPr>
                <w:sz w:val="17"/>
              </w:rPr>
              <w:t>por obra </w:t>
            </w:r>
            <w:r>
              <w:rPr>
                <w:w w:val="95"/>
                <w:sz w:val="17"/>
              </w:rPr>
              <w:t>Trabajador familiar sin </w:t>
            </w:r>
            <w:r>
              <w:rPr>
                <w:sz w:val="17"/>
              </w:rPr>
              <w:t>pago</w:t>
            </w:r>
          </w:p>
        </w:tc>
        <w:tc>
          <w:tcPr>
            <w:tcW w:w="754" w:type="dxa"/>
            <w:tcBorders>
              <w:top w:val="nil"/>
              <w:left w:val="nil"/>
              <w:bottom w:val="nil"/>
              <w:right w:val="nil"/>
            </w:tcBorders>
          </w:tcPr>
          <w:p>
            <w:pPr>
              <w:pStyle w:val="TableParagraph"/>
              <w:spacing w:before="1"/>
              <w:ind w:left="381"/>
              <w:jc w:val="left"/>
              <w:rPr>
                <w:sz w:val="17"/>
              </w:rPr>
            </w:pPr>
            <w:r>
              <w:rPr>
                <w:sz w:val="17"/>
              </w:rPr>
              <w:t>0.00</w:t>
            </w:r>
          </w:p>
          <w:p>
            <w:pPr>
              <w:pStyle w:val="TableParagraph"/>
              <w:jc w:val="left"/>
              <w:rPr>
                <w:sz w:val="18"/>
              </w:rPr>
            </w:pPr>
          </w:p>
          <w:p>
            <w:pPr>
              <w:pStyle w:val="TableParagraph"/>
              <w:spacing w:before="9"/>
              <w:jc w:val="left"/>
              <w:rPr>
                <w:sz w:val="18"/>
              </w:rPr>
            </w:pPr>
          </w:p>
          <w:p>
            <w:pPr>
              <w:pStyle w:val="TableParagraph"/>
              <w:ind w:left="381"/>
              <w:jc w:val="left"/>
              <w:rPr>
                <w:sz w:val="17"/>
              </w:rPr>
            </w:pPr>
            <w:r>
              <w:rPr>
                <w:sz w:val="17"/>
              </w:rPr>
              <w:t>0.00</w:t>
            </w:r>
          </w:p>
        </w:tc>
        <w:tc>
          <w:tcPr>
            <w:tcW w:w="778" w:type="dxa"/>
            <w:tcBorders>
              <w:top w:val="nil"/>
              <w:left w:val="nil"/>
              <w:bottom w:val="nil"/>
              <w:right w:val="nil"/>
            </w:tcBorders>
          </w:tcPr>
          <w:p>
            <w:pPr>
              <w:pStyle w:val="TableParagraph"/>
              <w:spacing w:before="1"/>
              <w:ind w:left="313"/>
              <w:jc w:val="left"/>
              <w:rPr>
                <w:sz w:val="17"/>
              </w:rPr>
            </w:pPr>
            <w:r>
              <w:rPr>
                <w:sz w:val="17"/>
              </w:rPr>
              <w:t>17.43</w:t>
            </w:r>
          </w:p>
          <w:p>
            <w:pPr>
              <w:pStyle w:val="TableParagraph"/>
              <w:jc w:val="left"/>
              <w:rPr>
                <w:sz w:val="18"/>
              </w:rPr>
            </w:pPr>
          </w:p>
          <w:p>
            <w:pPr>
              <w:pStyle w:val="TableParagraph"/>
              <w:spacing w:before="9"/>
              <w:jc w:val="left"/>
              <w:rPr>
                <w:sz w:val="18"/>
              </w:rPr>
            </w:pPr>
          </w:p>
          <w:p>
            <w:pPr>
              <w:pStyle w:val="TableParagraph"/>
              <w:ind w:left="394"/>
              <w:jc w:val="left"/>
              <w:rPr>
                <w:sz w:val="17"/>
              </w:rPr>
            </w:pPr>
            <w:r>
              <w:rPr>
                <w:sz w:val="17"/>
              </w:rPr>
              <w:t>0.56</w:t>
            </w:r>
          </w:p>
        </w:tc>
        <w:tc>
          <w:tcPr>
            <w:tcW w:w="603" w:type="dxa"/>
            <w:tcBorders>
              <w:top w:val="nil"/>
              <w:left w:val="nil"/>
              <w:bottom w:val="nil"/>
              <w:right w:val="nil"/>
            </w:tcBorders>
          </w:tcPr>
          <w:p>
            <w:pPr>
              <w:pStyle w:val="TableParagraph"/>
              <w:spacing w:before="1"/>
              <w:ind w:left="179"/>
              <w:jc w:val="left"/>
              <w:rPr>
                <w:sz w:val="17"/>
              </w:rPr>
            </w:pPr>
            <w:r>
              <w:rPr>
                <w:sz w:val="17"/>
              </w:rPr>
              <w:t>16.94</w:t>
            </w:r>
          </w:p>
          <w:p>
            <w:pPr>
              <w:pStyle w:val="TableParagraph"/>
              <w:jc w:val="left"/>
              <w:rPr>
                <w:sz w:val="18"/>
              </w:rPr>
            </w:pPr>
          </w:p>
          <w:p>
            <w:pPr>
              <w:pStyle w:val="TableParagraph"/>
              <w:spacing w:before="9"/>
              <w:jc w:val="left"/>
              <w:rPr>
                <w:sz w:val="18"/>
              </w:rPr>
            </w:pPr>
          </w:p>
          <w:p>
            <w:pPr>
              <w:pStyle w:val="TableParagraph"/>
              <w:ind w:left="260"/>
              <w:jc w:val="left"/>
              <w:rPr>
                <w:sz w:val="17"/>
              </w:rPr>
            </w:pPr>
            <w:r>
              <w:rPr>
                <w:sz w:val="17"/>
              </w:rPr>
              <w:t>0.55</w:t>
            </w:r>
          </w:p>
        </w:tc>
      </w:tr>
      <w:tr>
        <w:trPr>
          <w:trHeight w:val="643" w:hRule="exact"/>
        </w:trPr>
        <w:tc>
          <w:tcPr>
            <w:tcW w:w="1310" w:type="dxa"/>
            <w:tcBorders>
              <w:top w:val="nil"/>
              <w:left w:val="nil"/>
              <w:bottom w:val="nil"/>
              <w:right w:val="nil"/>
            </w:tcBorders>
          </w:tcPr>
          <w:p>
            <w:pPr/>
          </w:p>
        </w:tc>
        <w:tc>
          <w:tcPr>
            <w:tcW w:w="764" w:type="dxa"/>
            <w:tcBorders>
              <w:top w:val="nil"/>
              <w:left w:val="nil"/>
              <w:bottom w:val="nil"/>
              <w:right w:val="nil"/>
            </w:tcBorders>
          </w:tcPr>
          <w:p>
            <w:pPr/>
          </w:p>
        </w:tc>
        <w:tc>
          <w:tcPr>
            <w:tcW w:w="778" w:type="dxa"/>
            <w:tcBorders>
              <w:top w:val="nil"/>
              <w:left w:val="nil"/>
              <w:bottom w:val="nil"/>
              <w:right w:val="nil"/>
            </w:tcBorders>
          </w:tcPr>
          <w:p>
            <w:pPr/>
          </w:p>
        </w:tc>
        <w:tc>
          <w:tcPr>
            <w:tcW w:w="606" w:type="dxa"/>
            <w:tcBorders>
              <w:top w:val="nil"/>
              <w:left w:val="nil"/>
              <w:bottom w:val="nil"/>
              <w:right w:val="nil"/>
            </w:tcBorders>
          </w:tcPr>
          <w:p>
            <w:pPr/>
          </w:p>
        </w:tc>
        <w:tc>
          <w:tcPr>
            <w:tcW w:w="934" w:type="dxa"/>
            <w:tcBorders>
              <w:top w:val="nil"/>
              <w:left w:val="nil"/>
              <w:bottom w:val="nil"/>
              <w:right w:val="nil"/>
            </w:tcBorders>
          </w:tcPr>
          <w:p>
            <w:pPr>
              <w:pStyle w:val="TableParagraph"/>
              <w:spacing w:line="254" w:lineRule="auto"/>
              <w:ind w:left="61" w:right="144"/>
              <w:jc w:val="left"/>
              <w:rPr>
                <w:sz w:val="17"/>
              </w:rPr>
            </w:pPr>
            <w:r>
              <w:rPr>
                <w:w w:val="95"/>
                <w:sz w:val="17"/>
              </w:rPr>
              <w:t>Trabajador </w:t>
            </w:r>
            <w:r>
              <w:rPr>
                <w:sz w:val="17"/>
              </w:rPr>
              <w:t>por su cuenta</w:t>
            </w:r>
          </w:p>
        </w:tc>
        <w:tc>
          <w:tcPr>
            <w:tcW w:w="754" w:type="dxa"/>
            <w:tcBorders>
              <w:top w:val="nil"/>
              <w:left w:val="nil"/>
              <w:bottom w:val="nil"/>
              <w:right w:val="nil"/>
            </w:tcBorders>
          </w:tcPr>
          <w:p>
            <w:pPr>
              <w:pStyle w:val="TableParagraph"/>
              <w:jc w:val="left"/>
              <w:rPr>
                <w:sz w:val="18"/>
              </w:rPr>
            </w:pPr>
          </w:p>
          <w:p>
            <w:pPr>
              <w:pStyle w:val="TableParagraph"/>
              <w:spacing w:before="8"/>
              <w:jc w:val="left"/>
              <w:rPr>
                <w:sz w:val="17"/>
              </w:rPr>
            </w:pPr>
          </w:p>
          <w:p>
            <w:pPr>
              <w:pStyle w:val="TableParagraph"/>
              <w:spacing w:before="1"/>
              <w:ind w:right="86"/>
              <w:rPr>
                <w:sz w:val="17"/>
              </w:rPr>
            </w:pPr>
            <w:r>
              <w:rPr>
                <w:w w:val="95"/>
                <w:sz w:val="17"/>
              </w:rPr>
              <w:t>0.00</w:t>
            </w:r>
          </w:p>
        </w:tc>
        <w:tc>
          <w:tcPr>
            <w:tcW w:w="778" w:type="dxa"/>
            <w:tcBorders>
              <w:top w:val="nil"/>
              <w:left w:val="nil"/>
              <w:bottom w:val="nil"/>
              <w:right w:val="nil"/>
            </w:tcBorders>
          </w:tcPr>
          <w:p>
            <w:pPr>
              <w:pStyle w:val="TableParagraph"/>
              <w:jc w:val="left"/>
              <w:rPr>
                <w:sz w:val="18"/>
              </w:rPr>
            </w:pPr>
          </w:p>
          <w:p>
            <w:pPr>
              <w:pStyle w:val="TableParagraph"/>
              <w:spacing w:before="8"/>
              <w:jc w:val="left"/>
              <w:rPr>
                <w:sz w:val="17"/>
              </w:rPr>
            </w:pPr>
          </w:p>
          <w:p>
            <w:pPr>
              <w:pStyle w:val="TableParagraph"/>
              <w:spacing w:before="1"/>
              <w:ind w:right="96"/>
              <w:rPr>
                <w:sz w:val="17"/>
              </w:rPr>
            </w:pPr>
            <w:r>
              <w:rPr>
                <w:w w:val="95"/>
                <w:sz w:val="17"/>
              </w:rPr>
              <w:t>0.50</w:t>
            </w:r>
          </w:p>
        </w:tc>
        <w:tc>
          <w:tcPr>
            <w:tcW w:w="603" w:type="dxa"/>
            <w:tcBorders>
              <w:top w:val="nil"/>
              <w:left w:val="nil"/>
              <w:bottom w:val="nil"/>
              <w:right w:val="nil"/>
            </w:tcBorders>
          </w:tcPr>
          <w:p>
            <w:pPr>
              <w:pStyle w:val="TableParagraph"/>
              <w:jc w:val="left"/>
              <w:rPr>
                <w:sz w:val="18"/>
              </w:rPr>
            </w:pPr>
          </w:p>
          <w:p>
            <w:pPr>
              <w:pStyle w:val="TableParagraph"/>
              <w:spacing w:before="8"/>
              <w:jc w:val="left"/>
              <w:rPr>
                <w:sz w:val="17"/>
              </w:rPr>
            </w:pPr>
          </w:p>
          <w:p>
            <w:pPr>
              <w:pStyle w:val="TableParagraph"/>
              <w:spacing w:before="1"/>
              <w:ind w:left="230" w:right="28"/>
              <w:jc w:val="center"/>
              <w:rPr>
                <w:sz w:val="17"/>
              </w:rPr>
            </w:pPr>
            <w:r>
              <w:rPr>
                <w:sz w:val="17"/>
              </w:rPr>
              <w:t>0.48</w:t>
            </w:r>
          </w:p>
        </w:tc>
      </w:tr>
      <w:tr>
        <w:trPr>
          <w:trHeight w:val="239" w:hRule="exact"/>
        </w:trPr>
        <w:tc>
          <w:tcPr>
            <w:tcW w:w="1310" w:type="dxa"/>
            <w:tcBorders>
              <w:top w:val="nil"/>
              <w:left w:val="nil"/>
              <w:bottom w:val="double" w:sz="4" w:space="0" w:color="000000"/>
              <w:right w:val="nil"/>
            </w:tcBorders>
          </w:tcPr>
          <w:p>
            <w:pPr/>
          </w:p>
        </w:tc>
        <w:tc>
          <w:tcPr>
            <w:tcW w:w="764" w:type="dxa"/>
            <w:tcBorders>
              <w:top w:val="nil"/>
              <w:left w:val="nil"/>
              <w:bottom w:val="double" w:sz="4" w:space="0" w:color="000000"/>
              <w:right w:val="nil"/>
            </w:tcBorders>
          </w:tcPr>
          <w:p>
            <w:pPr/>
          </w:p>
        </w:tc>
        <w:tc>
          <w:tcPr>
            <w:tcW w:w="778" w:type="dxa"/>
            <w:tcBorders>
              <w:top w:val="nil"/>
              <w:left w:val="nil"/>
              <w:bottom w:val="double" w:sz="4" w:space="0" w:color="000000"/>
              <w:right w:val="nil"/>
            </w:tcBorders>
          </w:tcPr>
          <w:p>
            <w:pPr/>
          </w:p>
        </w:tc>
        <w:tc>
          <w:tcPr>
            <w:tcW w:w="606" w:type="dxa"/>
            <w:tcBorders>
              <w:top w:val="nil"/>
              <w:left w:val="nil"/>
              <w:bottom w:val="double" w:sz="4" w:space="0" w:color="000000"/>
              <w:right w:val="nil"/>
            </w:tcBorders>
          </w:tcPr>
          <w:p>
            <w:pPr/>
          </w:p>
        </w:tc>
        <w:tc>
          <w:tcPr>
            <w:tcW w:w="934" w:type="dxa"/>
            <w:tcBorders>
              <w:top w:val="nil"/>
              <w:left w:val="nil"/>
              <w:bottom w:val="double" w:sz="4" w:space="0" w:color="000000"/>
              <w:right w:val="nil"/>
            </w:tcBorders>
          </w:tcPr>
          <w:p>
            <w:pPr>
              <w:pStyle w:val="TableParagraph"/>
              <w:spacing w:before="22"/>
              <w:ind w:left="61"/>
              <w:jc w:val="left"/>
              <w:rPr>
                <w:sz w:val="17"/>
              </w:rPr>
            </w:pPr>
            <w:r>
              <w:rPr>
                <w:sz w:val="17"/>
              </w:rPr>
              <w:t>Total</w:t>
            </w:r>
          </w:p>
        </w:tc>
        <w:tc>
          <w:tcPr>
            <w:tcW w:w="754" w:type="dxa"/>
            <w:tcBorders>
              <w:top w:val="nil"/>
              <w:left w:val="nil"/>
              <w:bottom w:val="double" w:sz="4" w:space="0" w:color="000000"/>
              <w:right w:val="nil"/>
            </w:tcBorders>
          </w:tcPr>
          <w:p>
            <w:pPr>
              <w:pStyle w:val="TableParagraph"/>
              <w:spacing w:before="22"/>
              <w:ind w:right="86"/>
              <w:rPr>
                <w:sz w:val="17"/>
              </w:rPr>
            </w:pPr>
            <w:r>
              <w:rPr>
                <w:w w:val="95"/>
                <w:sz w:val="17"/>
              </w:rPr>
              <w:t>100.00</w:t>
            </w:r>
          </w:p>
        </w:tc>
        <w:tc>
          <w:tcPr>
            <w:tcW w:w="778" w:type="dxa"/>
            <w:tcBorders>
              <w:top w:val="nil"/>
              <w:left w:val="nil"/>
              <w:bottom w:val="double" w:sz="4" w:space="0" w:color="000000"/>
              <w:right w:val="nil"/>
            </w:tcBorders>
          </w:tcPr>
          <w:p>
            <w:pPr>
              <w:pStyle w:val="TableParagraph"/>
              <w:spacing w:before="22"/>
              <w:ind w:right="96"/>
              <w:rPr>
                <w:sz w:val="17"/>
              </w:rPr>
            </w:pPr>
            <w:r>
              <w:rPr>
                <w:w w:val="95"/>
                <w:sz w:val="17"/>
              </w:rPr>
              <w:t>100.00</w:t>
            </w:r>
          </w:p>
        </w:tc>
        <w:tc>
          <w:tcPr>
            <w:tcW w:w="603" w:type="dxa"/>
            <w:tcBorders>
              <w:top w:val="nil"/>
              <w:left w:val="nil"/>
              <w:bottom w:val="double" w:sz="4" w:space="0" w:color="000000"/>
              <w:right w:val="nil"/>
            </w:tcBorders>
          </w:tcPr>
          <w:p>
            <w:pPr>
              <w:pStyle w:val="TableParagraph"/>
              <w:spacing w:before="22"/>
              <w:ind w:left="67" w:right="28"/>
              <w:jc w:val="center"/>
              <w:rPr>
                <w:sz w:val="17"/>
              </w:rPr>
            </w:pPr>
            <w:r>
              <w:rPr>
                <w:sz w:val="17"/>
              </w:rPr>
              <w:t>100.00</w:t>
            </w:r>
          </w:p>
        </w:tc>
      </w:tr>
    </w:tbl>
    <w:p>
      <w:pPr>
        <w:spacing w:line="168" w:lineRule="exact" w:before="0"/>
        <w:ind w:left="159" w:right="117" w:firstLine="0"/>
        <w:jc w:val="left"/>
        <w:rPr>
          <w:sz w:val="16"/>
        </w:rPr>
      </w:pPr>
      <w:r>
        <w:rPr>
          <w:w w:val="95"/>
          <w:sz w:val="16"/>
        </w:rPr>
        <w:t>Fuente:</w:t>
      </w:r>
      <w:r>
        <w:rPr>
          <w:spacing w:val="-24"/>
          <w:w w:val="95"/>
          <w:sz w:val="16"/>
        </w:rPr>
        <w:t> </w:t>
      </w:r>
      <w:r>
        <w:rPr>
          <w:w w:val="95"/>
          <w:sz w:val="16"/>
        </w:rPr>
        <w:t>Encuesta</w:t>
      </w:r>
      <w:r>
        <w:rPr>
          <w:spacing w:val="-24"/>
          <w:w w:val="95"/>
          <w:sz w:val="16"/>
        </w:rPr>
        <w:t> </w:t>
      </w:r>
      <w:r>
        <w:rPr>
          <w:w w:val="95"/>
          <w:sz w:val="16"/>
        </w:rPr>
        <w:t>sobre</w:t>
      </w:r>
      <w:r>
        <w:rPr>
          <w:spacing w:val="-24"/>
          <w:w w:val="95"/>
          <w:sz w:val="16"/>
        </w:rPr>
        <w:t> </w:t>
      </w:r>
      <w:r>
        <w:rPr>
          <w:w w:val="95"/>
          <w:sz w:val="16"/>
        </w:rPr>
        <w:t>Migración</w:t>
      </w:r>
      <w:r>
        <w:rPr>
          <w:spacing w:val="-24"/>
          <w:w w:val="95"/>
          <w:sz w:val="16"/>
        </w:rPr>
        <w:t> </w:t>
      </w:r>
      <w:r>
        <w:rPr>
          <w:w w:val="95"/>
          <w:sz w:val="16"/>
        </w:rPr>
        <w:t>en</w:t>
      </w:r>
      <w:r>
        <w:rPr>
          <w:spacing w:val="-24"/>
          <w:w w:val="95"/>
          <w:sz w:val="16"/>
        </w:rPr>
        <w:t> </w:t>
      </w:r>
      <w:r>
        <w:rPr>
          <w:w w:val="95"/>
          <w:sz w:val="16"/>
        </w:rPr>
        <w:t>la</w:t>
      </w:r>
      <w:r>
        <w:rPr>
          <w:spacing w:val="-24"/>
          <w:w w:val="95"/>
          <w:sz w:val="16"/>
        </w:rPr>
        <w:t> </w:t>
      </w:r>
      <w:r>
        <w:rPr>
          <w:w w:val="95"/>
          <w:sz w:val="16"/>
        </w:rPr>
        <w:t>Frontera</w:t>
      </w:r>
      <w:r>
        <w:rPr>
          <w:spacing w:val="-24"/>
          <w:w w:val="95"/>
          <w:sz w:val="16"/>
        </w:rPr>
        <w:t> </w:t>
      </w:r>
      <w:r>
        <w:rPr>
          <w:w w:val="95"/>
          <w:sz w:val="16"/>
        </w:rPr>
        <w:t>Norte</w:t>
      </w:r>
      <w:r>
        <w:rPr>
          <w:spacing w:val="-24"/>
          <w:w w:val="95"/>
          <w:sz w:val="16"/>
        </w:rPr>
        <w:t> </w:t>
      </w:r>
      <w:r>
        <w:rPr>
          <w:w w:val="95"/>
          <w:sz w:val="16"/>
        </w:rPr>
        <w:t>de</w:t>
      </w:r>
      <w:r>
        <w:rPr>
          <w:spacing w:val="-25"/>
          <w:w w:val="95"/>
          <w:sz w:val="16"/>
        </w:rPr>
        <w:t> </w:t>
      </w:r>
      <w:r>
        <w:rPr>
          <w:w w:val="95"/>
          <w:sz w:val="16"/>
        </w:rPr>
        <w:t>México,</w:t>
      </w:r>
      <w:r>
        <w:rPr>
          <w:spacing w:val="-24"/>
          <w:w w:val="95"/>
          <w:sz w:val="16"/>
        </w:rPr>
        <w:t> </w:t>
      </w:r>
      <w:r>
        <w:rPr>
          <w:w w:val="95"/>
          <w:sz w:val="16"/>
        </w:rPr>
        <w:t>El</w:t>
      </w:r>
      <w:r>
        <w:rPr>
          <w:spacing w:val="-24"/>
          <w:w w:val="95"/>
          <w:sz w:val="16"/>
        </w:rPr>
        <w:t> </w:t>
      </w:r>
      <w:r>
        <w:rPr>
          <w:w w:val="95"/>
          <w:sz w:val="16"/>
        </w:rPr>
        <w:t>Colegio</w:t>
      </w:r>
      <w:r>
        <w:rPr>
          <w:spacing w:val="-24"/>
          <w:w w:val="95"/>
          <w:sz w:val="16"/>
        </w:rPr>
        <w:t> </w:t>
      </w:r>
      <w:r>
        <w:rPr>
          <w:w w:val="95"/>
          <w:sz w:val="16"/>
        </w:rPr>
        <w:t>de</w:t>
      </w:r>
      <w:r>
        <w:rPr>
          <w:spacing w:val="-24"/>
          <w:w w:val="95"/>
          <w:sz w:val="16"/>
        </w:rPr>
        <w:t> </w:t>
      </w:r>
      <w:r>
        <w:rPr>
          <w:w w:val="95"/>
          <w:sz w:val="16"/>
        </w:rPr>
        <w:t>la</w:t>
      </w:r>
      <w:r>
        <w:rPr>
          <w:spacing w:val="-24"/>
          <w:w w:val="95"/>
          <w:sz w:val="16"/>
        </w:rPr>
        <w:t> </w:t>
      </w:r>
      <w:r>
        <w:rPr>
          <w:w w:val="95"/>
          <w:sz w:val="16"/>
        </w:rPr>
        <w:t>Frontera</w:t>
      </w:r>
      <w:r>
        <w:rPr>
          <w:spacing w:val="-24"/>
          <w:w w:val="95"/>
          <w:sz w:val="16"/>
        </w:rPr>
        <w:t> </w:t>
      </w:r>
      <w:r>
        <w:rPr>
          <w:w w:val="95"/>
          <w:sz w:val="16"/>
        </w:rPr>
        <w:t>Norte,</w:t>
      </w:r>
      <w:r>
        <w:rPr>
          <w:spacing w:val="-24"/>
          <w:w w:val="95"/>
          <w:sz w:val="16"/>
        </w:rPr>
        <w:t> </w:t>
      </w:r>
      <w:r>
        <w:rPr>
          <w:w w:val="95"/>
          <w:sz w:val="16"/>
        </w:rPr>
        <w:t>Consejo</w:t>
      </w:r>
    </w:p>
    <w:p>
      <w:pPr>
        <w:spacing w:line="183" w:lineRule="exact" w:before="0"/>
        <w:ind w:left="159" w:right="117" w:firstLine="0"/>
        <w:jc w:val="left"/>
        <w:rPr>
          <w:sz w:val="16"/>
        </w:rPr>
      </w:pPr>
      <w:r>
        <w:rPr>
          <w:w w:val="95"/>
          <w:sz w:val="16"/>
        </w:rPr>
        <w:t>Nacional de Población y la Secretaría del Trabajo y de la Previsión Social.</w:t>
      </w:r>
    </w:p>
    <w:p>
      <w:pPr>
        <w:spacing w:after="0" w:line="183" w:lineRule="exact"/>
        <w:jc w:val="left"/>
        <w:rPr>
          <w:sz w:val="16"/>
        </w:rPr>
        <w:sectPr>
          <w:pgSz w:w="9360" w:h="13040"/>
          <w:pgMar w:header="0" w:footer="496" w:top="800" w:bottom="680" w:left="1300" w:right="1300"/>
        </w:sectPr>
      </w:pPr>
    </w:p>
    <w:p>
      <w:pPr>
        <w:spacing w:before="45"/>
        <w:ind w:left="782" w:right="0" w:firstLine="0"/>
        <w:jc w:val="left"/>
        <w:rPr>
          <w:rFonts w:ascii="Arial" w:hAnsi="Arial"/>
          <w:i/>
          <w:sz w:val="20"/>
        </w:rPr>
      </w:pPr>
      <w:r>
        <w:rPr>
          <w:rFonts w:ascii="Arial" w:hAnsi="Arial"/>
          <w:color w:val="231F20"/>
          <w:w w:val="66"/>
          <w:sz w:val="20"/>
        </w:rPr>
        <w:t>La</w:t>
      </w:r>
      <w:r>
        <w:rPr>
          <w:rFonts w:ascii="Arial" w:hAnsi="Arial"/>
          <w:color w:val="231F20"/>
          <w:spacing w:val="-1"/>
          <w:sz w:val="20"/>
        </w:rPr>
        <w:t> </w:t>
      </w:r>
      <w:r>
        <w:rPr>
          <w:rFonts w:ascii="Arial" w:hAnsi="Arial"/>
          <w:color w:val="231F20"/>
          <w:w w:val="76"/>
          <w:sz w:val="20"/>
        </w:rPr>
        <w:t>participación</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3"/>
          <w:sz w:val="20"/>
        </w:rPr>
        <w:t>población</w:t>
      </w:r>
      <w:r>
        <w:rPr>
          <w:rFonts w:ascii="Arial" w:hAnsi="Arial"/>
          <w:color w:val="231F20"/>
          <w:spacing w:val="-1"/>
          <w:sz w:val="20"/>
        </w:rPr>
        <w:t> </w:t>
      </w:r>
      <w:r>
        <w:rPr>
          <w:rFonts w:ascii="Arial" w:hAnsi="Arial"/>
          <w:color w:val="231F20"/>
          <w:w w:val="72"/>
          <w:sz w:val="20"/>
        </w:rPr>
        <w:t>indígena</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8"/>
          <w:sz w:val="20"/>
        </w:rPr>
        <w:t>migración...</w:t>
      </w:r>
      <w:r>
        <w:rPr>
          <w:rFonts w:ascii="Arial" w:hAnsi="Arial"/>
          <w:color w:val="231F20"/>
          <w:spacing w:val="-1"/>
          <w:sz w:val="20"/>
        </w:rPr>
        <w:t> </w:t>
      </w:r>
      <w:r>
        <w:rPr>
          <w:rFonts w:ascii="Arial" w:hAnsi="Arial"/>
          <w:color w:val="231F20"/>
          <w:w w:val="99"/>
          <w:sz w:val="20"/>
        </w:rPr>
        <w:t>/</w:t>
      </w:r>
      <w:r>
        <w:rPr>
          <w:rFonts w:ascii="Arial" w:hAnsi="Arial"/>
          <w:color w:val="231F20"/>
          <w:w w:val="49"/>
          <w:sz w:val="20"/>
        </w:rPr>
        <w:t>Juan</w:t>
      </w:r>
      <w:r>
        <w:rPr>
          <w:rFonts w:ascii="Arial" w:hAnsi="Arial"/>
          <w:color w:val="231F20"/>
          <w:spacing w:val="-17"/>
          <w:sz w:val="20"/>
        </w:rPr>
        <w:t> </w:t>
      </w:r>
      <w:r>
        <w:rPr>
          <w:rFonts w:ascii="Arial" w:hAnsi="Arial"/>
          <w:color w:val="231F20"/>
          <w:w w:val="49"/>
          <w:sz w:val="20"/>
        </w:rPr>
        <w:t>Gabino</w:t>
      </w:r>
      <w:r>
        <w:rPr>
          <w:rFonts w:ascii="Arial" w:hAnsi="Arial"/>
          <w:color w:val="231F20"/>
          <w:spacing w:val="-17"/>
          <w:sz w:val="20"/>
        </w:rPr>
        <w:t> </w:t>
      </w:r>
      <w:r>
        <w:rPr>
          <w:rFonts w:ascii="Arial" w:hAnsi="Arial"/>
          <w:color w:val="231F20"/>
          <w:w w:val="52"/>
          <w:sz w:val="20"/>
        </w:rPr>
        <w:t>González-Becerril</w:t>
      </w:r>
      <w:r>
        <w:rPr>
          <w:rFonts w:ascii="Arial" w:hAnsi="Arial"/>
          <w:color w:val="231F20"/>
          <w:spacing w:val="-17"/>
          <w:sz w:val="20"/>
        </w:rPr>
        <w:t> </w:t>
      </w:r>
      <w:r>
        <w:rPr>
          <w:rFonts w:ascii="Arial" w:hAnsi="Arial"/>
          <w:i/>
          <w:color w:val="231F20"/>
          <w:w w:val="55"/>
          <w:sz w:val="20"/>
        </w:rPr>
        <w:t>et</w:t>
      </w:r>
      <w:r>
        <w:rPr>
          <w:rFonts w:ascii="Arial" w:hAnsi="Arial"/>
          <w:i/>
          <w:color w:val="231F20"/>
          <w:spacing w:val="-17"/>
          <w:sz w:val="20"/>
        </w:rPr>
        <w:t> </w:t>
      </w:r>
      <w:r>
        <w:rPr>
          <w:rFonts w:ascii="Arial" w:hAnsi="Arial"/>
          <w:i/>
          <w:color w:val="231F20"/>
          <w:w w:val="58"/>
          <w:sz w:val="20"/>
        </w:rPr>
        <w:t>al.</w:t>
      </w:r>
    </w:p>
    <w:p>
      <w:pPr>
        <w:pStyle w:val="BodyText"/>
        <w:rPr>
          <w:rFonts w:ascii="Arial"/>
          <w:i/>
          <w:sz w:val="20"/>
        </w:rPr>
      </w:pPr>
    </w:p>
    <w:p>
      <w:pPr>
        <w:spacing w:line="254" w:lineRule="auto" w:before="161"/>
        <w:ind w:left="144" w:right="117" w:firstLine="0"/>
        <w:jc w:val="left"/>
        <w:rPr>
          <w:sz w:val="17"/>
        </w:rPr>
      </w:pPr>
      <w:r>
        <w:rPr>
          <w:w w:val="95"/>
          <w:sz w:val="17"/>
        </w:rPr>
        <w:t>Cuadro</w:t>
      </w:r>
      <w:r>
        <w:rPr>
          <w:spacing w:val="-10"/>
          <w:w w:val="95"/>
          <w:sz w:val="17"/>
        </w:rPr>
        <w:t> </w:t>
      </w:r>
      <w:r>
        <w:rPr>
          <w:w w:val="95"/>
          <w:sz w:val="17"/>
        </w:rPr>
        <w:t>5c.</w:t>
      </w:r>
      <w:r>
        <w:rPr>
          <w:spacing w:val="-11"/>
          <w:w w:val="95"/>
          <w:sz w:val="17"/>
        </w:rPr>
        <w:t> </w:t>
      </w:r>
      <w:r>
        <w:rPr>
          <w:w w:val="95"/>
          <w:sz w:val="17"/>
        </w:rPr>
        <w:t>Distribución</w:t>
      </w:r>
      <w:r>
        <w:rPr>
          <w:spacing w:val="-10"/>
          <w:w w:val="95"/>
          <w:sz w:val="17"/>
        </w:rPr>
        <w:t> </w:t>
      </w:r>
      <w:r>
        <w:rPr>
          <w:w w:val="95"/>
          <w:sz w:val="17"/>
        </w:rPr>
        <w:t>porcentual</w:t>
      </w:r>
      <w:r>
        <w:rPr>
          <w:spacing w:val="-11"/>
          <w:w w:val="95"/>
          <w:sz w:val="17"/>
        </w:rPr>
        <w:t> </w:t>
      </w:r>
      <w:r>
        <w:rPr>
          <w:w w:val="95"/>
          <w:sz w:val="17"/>
        </w:rPr>
        <w:t>de</w:t>
      </w:r>
      <w:r>
        <w:rPr>
          <w:spacing w:val="-10"/>
          <w:w w:val="95"/>
          <w:sz w:val="17"/>
        </w:rPr>
        <w:t> </w:t>
      </w:r>
      <w:r>
        <w:rPr>
          <w:w w:val="95"/>
          <w:sz w:val="17"/>
        </w:rPr>
        <w:t>migrantes</w:t>
      </w:r>
      <w:r>
        <w:rPr>
          <w:spacing w:val="-10"/>
          <w:w w:val="95"/>
          <w:sz w:val="17"/>
        </w:rPr>
        <w:t> </w:t>
      </w:r>
      <w:r>
        <w:rPr>
          <w:w w:val="95"/>
          <w:sz w:val="17"/>
        </w:rPr>
        <w:t>temporales</w:t>
      </w:r>
      <w:r>
        <w:rPr>
          <w:spacing w:val="-10"/>
          <w:w w:val="95"/>
          <w:sz w:val="17"/>
        </w:rPr>
        <w:t> </w:t>
      </w:r>
      <w:r>
        <w:rPr>
          <w:w w:val="95"/>
          <w:sz w:val="17"/>
        </w:rPr>
        <w:t>que</w:t>
      </w:r>
      <w:r>
        <w:rPr>
          <w:spacing w:val="-10"/>
          <w:w w:val="95"/>
          <w:sz w:val="17"/>
        </w:rPr>
        <w:t> </w:t>
      </w:r>
      <w:r>
        <w:rPr>
          <w:w w:val="95"/>
          <w:sz w:val="17"/>
        </w:rPr>
        <w:t>proceden</w:t>
      </w:r>
      <w:r>
        <w:rPr>
          <w:spacing w:val="-10"/>
          <w:w w:val="95"/>
          <w:sz w:val="17"/>
        </w:rPr>
        <w:t> </w:t>
      </w:r>
      <w:r>
        <w:rPr>
          <w:w w:val="95"/>
          <w:sz w:val="17"/>
        </w:rPr>
        <w:t>de</w:t>
      </w:r>
      <w:r>
        <w:rPr>
          <w:spacing w:val="-10"/>
          <w:w w:val="95"/>
          <w:sz w:val="17"/>
        </w:rPr>
        <w:t> </w:t>
      </w:r>
      <w:r>
        <w:rPr>
          <w:w w:val="95"/>
          <w:sz w:val="17"/>
        </w:rPr>
        <w:t>Estados</w:t>
      </w:r>
      <w:r>
        <w:rPr>
          <w:spacing w:val="-10"/>
          <w:w w:val="95"/>
          <w:sz w:val="17"/>
        </w:rPr>
        <w:t> </w:t>
      </w:r>
      <w:r>
        <w:rPr>
          <w:w w:val="95"/>
          <w:sz w:val="17"/>
        </w:rPr>
        <w:t>Unidos</w:t>
      </w:r>
      <w:r>
        <w:rPr>
          <w:spacing w:val="-10"/>
          <w:w w:val="95"/>
          <w:sz w:val="17"/>
        </w:rPr>
        <w:t> </w:t>
      </w:r>
      <w:r>
        <w:rPr>
          <w:w w:val="95"/>
          <w:sz w:val="17"/>
        </w:rPr>
        <w:t>por </w:t>
      </w:r>
      <w:r>
        <w:rPr>
          <w:sz w:val="17"/>
        </w:rPr>
        <w:t>diversas</w:t>
      </w:r>
      <w:r>
        <w:rPr>
          <w:spacing w:val="-27"/>
          <w:sz w:val="17"/>
        </w:rPr>
        <w:t> </w:t>
      </w:r>
      <w:r>
        <w:rPr>
          <w:sz w:val="17"/>
        </w:rPr>
        <w:t>características</w:t>
      </w:r>
      <w:r>
        <w:rPr>
          <w:spacing w:val="-27"/>
          <w:sz w:val="17"/>
        </w:rPr>
        <w:t> </w:t>
      </w:r>
      <w:r>
        <w:rPr>
          <w:sz w:val="17"/>
        </w:rPr>
        <w:t>sociodemográficas</w:t>
      </w:r>
      <w:r>
        <w:rPr>
          <w:spacing w:val="-27"/>
          <w:sz w:val="17"/>
        </w:rPr>
        <w:t> </w:t>
      </w:r>
      <w:r>
        <w:rPr>
          <w:sz w:val="17"/>
        </w:rPr>
        <w:t>seleccionadas,</w:t>
      </w:r>
      <w:r>
        <w:rPr>
          <w:spacing w:val="-27"/>
          <w:sz w:val="17"/>
        </w:rPr>
        <w:t> </w:t>
      </w:r>
      <w:r>
        <w:rPr>
          <w:sz w:val="17"/>
        </w:rPr>
        <w:t>según</w:t>
      </w:r>
      <w:r>
        <w:rPr>
          <w:spacing w:val="-27"/>
          <w:sz w:val="17"/>
        </w:rPr>
        <w:t> </w:t>
      </w:r>
      <w:r>
        <w:rPr>
          <w:sz w:val="17"/>
        </w:rPr>
        <w:t>condición</w:t>
      </w:r>
      <w:r>
        <w:rPr>
          <w:spacing w:val="-27"/>
          <w:sz w:val="17"/>
        </w:rPr>
        <w:t> </w:t>
      </w:r>
      <w:r>
        <w:rPr>
          <w:sz w:val="17"/>
        </w:rPr>
        <w:t>de</w:t>
      </w:r>
      <w:r>
        <w:rPr>
          <w:spacing w:val="-27"/>
          <w:sz w:val="17"/>
        </w:rPr>
        <w:t> </w:t>
      </w:r>
      <w:r>
        <w:rPr>
          <w:sz w:val="17"/>
        </w:rPr>
        <w:t>habla</w:t>
      </w:r>
      <w:r>
        <w:rPr>
          <w:spacing w:val="-27"/>
          <w:sz w:val="17"/>
        </w:rPr>
        <w:t> </w:t>
      </w:r>
      <w:r>
        <w:rPr>
          <w:sz w:val="17"/>
        </w:rPr>
        <w:t>de</w:t>
      </w:r>
      <w:r>
        <w:rPr>
          <w:spacing w:val="-27"/>
          <w:sz w:val="17"/>
        </w:rPr>
        <w:t> </w:t>
      </w:r>
      <w:r>
        <w:rPr>
          <w:sz w:val="17"/>
        </w:rPr>
        <w:t>lengua </w:t>
      </w:r>
      <w:r>
        <w:rPr>
          <w:w w:val="95"/>
          <w:sz w:val="17"/>
        </w:rPr>
        <w:t>indígena,</w:t>
      </w:r>
      <w:r>
        <w:rPr>
          <w:spacing w:val="-21"/>
          <w:w w:val="95"/>
          <w:sz w:val="17"/>
        </w:rPr>
        <w:t> </w:t>
      </w:r>
      <w:r>
        <w:rPr>
          <w:w w:val="95"/>
          <w:sz w:val="17"/>
        </w:rPr>
        <w:t>2000-2009</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24"/>
        <w:gridCol w:w="766"/>
        <w:gridCol w:w="757"/>
        <w:gridCol w:w="629"/>
        <w:gridCol w:w="871"/>
        <w:gridCol w:w="763"/>
        <w:gridCol w:w="757"/>
        <w:gridCol w:w="754"/>
      </w:tblGrid>
      <w:tr>
        <w:trPr>
          <w:trHeight w:val="638" w:hRule="exact"/>
        </w:trPr>
        <w:tc>
          <w:tcPr>
            <w:tcW w:w="1224" w:type="dxa"/>
            <w:tcBorders>
              <w:left w:val="nil"/>
              <w:bottom w:val="double" w:sz="4" w:space="0" w:color="000000"/>
              <w:right w:val="nil"/>
            </w:tcBorders>
          </w:tcPr>
          <w:p>
            <w:pPr/>
          </w:p>
        </w:tc>
        <w:tc>
          <w:tcPr>
            <w:tcW w:w="766" w:type="dxa"/>
            <w:tcBorders>
              <w:left w:val="nil"/>
              <w:bottom w:val="double" w:sz="4" w:space="0" w:color="000000"/>
              <w:right w:val="nil"/>
            </w:tcBorders>
          </w:tcPr>
          <w:p>
            <w:pPr>
              <w:pStyle w:val="TableParagraph"/>
              <w:spacing w:line="254" w:lineRule="auto" w:before="9"/>
              <w:ind w:left="153" w:right="59" w:firstLine="168"/>
              <w:rPr>
                <w:sz w:val="17"/>
              </w:rPr>
            </w:pPr>
            <w:r>
              <w:rPr>
                <w:w w:val="90"/>
                <w:sz w:val="17"/>
              </w:rPr>
              <w:t>Habla lengua indígena</w:t>
            </w:r>
          </w:p>
        </w:tc>
        <w:tc>
          <w:tcPr>
            <w:tcW w:w="757" w:type="dxa"/>
            <w:tcBorders>
              <w:left w:val="nil"/>
              <w:bottom w:val="double" w:sz="4" w:space="0" w:color="000000"/>
              <w:right w:val="nil"/>
            </w:tcBorders>
          </w:tcPr>
          <w:p>
            <w:pPr>
              <w:pStyle w:val="TableParagraph"/>
              <w:spacing w:line="254" w:lineRule="auto" w:before="9"/>
              <w:ind w:left="101" w:right="61" w:hanging="32"/>
              <w:rPr>
                <w:sz w:val="17"/>
              </w:rPr>
            </w:pPr>
            <w:r>
              <w:rPr>
                <w:w w:val="95"/>
                <w:sz w:val="17"/>
              </w:rPr>
              <w:t>No habla</w:t>
            </w:r>
            <w:r>
              <w:rPr>
                <w:w w:val="92"/>
                <w:sz w:val="17"/>
              </w:rPr>
              <w:t> </w:t>
            </w:r>
            <w:r>
              <w:rPr>
                <w:w w:val="90"/>
                <w:sz w:val="17"/>
              </w:rPr>
              <w:t>lengua indígena</w:t>
            </w:r>
          </w:p>
        </w:tc>
        <w:tc>
          <w:tcPr>
            <w:tcW w:w="629" w:type="dxa"/>
            <w:tcBorders>
              <w:left w:val="nil"/>
              <w:bottom w:val="double" w:sz="4" w:space="0" w:color="000000"/>
              <w:right w:val="nil"/>
            </w:tcBorders>
          </w:tcPr>
          <w:p>
            <w:pPr>
              <w:pStyle w:val="TableParagraph"/>
              <w:jc w:val="left"/>
              <w:rPr>
                <w:sz w:val="18"/>
              </w:rPr>
            </w:pPr>
          </w:p>
          <w:p>
            <w:pPr>
              <w:pStyle w:val="TableParagraph"/>
              <w:spacing w:before="8"/>
              <w:jc w:val="left"/>
              <w:rPr>
                <w:sz w:val="18"/>
              </w:rPr>
            </w:pPr>
          </w:p>
          <w:p>
            <w:pPr>
              <w:pStyle w:val="TableParagraph"/>
              <w:ind w:right="99"/>
              <w:rPr>
                <w:sz w:val="17"/>
              </w:rPr>
            </w:pPr>
            <w:r>
              <w:rPr>
                <w:w w:val="90"/>
                <w:sz w:val="17"/>
              </w:rPr>
              <w:t>Total</w:t>
            </w:r>
          </w:p>
        </w:tc>
        <w:tc>
          <w:tcPr>
            <w:tcW w:w="871" w:type="dxa"/>
            <w:tcBorders>
              <w:left w:val="nil"/>
              <w:bottom w:val="double" w:sz="4" w:space="0" w:color="000000"/>
              <w:right w:val="nil"/>
            </w:tcBorders>
          </w:tcPr>
          <w:p>
            <w:pPr/>
          </w:p>
        </w:tc>
        <w:tc>
          <w:tcPr>
            <w:tcW w:w="763" w:type="dxa"/>
            <w:tcBorders>
              <w:left w:val="nil"/>
              <w:bottom w:val="double" w:sz="4" w:space="0" w:color="000000"/>
              <w:right w:val="nil"/>
            </w:tcBorders>
          </w:tcPr>
          <w:p>
            <w:pPr>
              <w:pStyle w:val="TableParagraph"/>
              <w:spacing w:line="254" w:lineRule="auto" w:before="9"/>
              <w:ind w:left="150" w:right="59" w:firstLine="168"/>
              <w:rPr>
                <w:sz w:val="17"/>
              </w:rPr>
            </w:pPr>
            <w:r>
              <w:rPr>
                <w:w w:val="90"/>
                <w:sz w:val="17"/>
              </w:rPr>
              <w:t>Habla lengua indígena</w:t>
            </w:r>
          </w:p>
        </w:tc>
        <w:tc>
          <w:tcPr>
            <w:tcW w:w="757" w:type="dxa"/>
            <w:tcBorders>
              <w:left w:val="nil"/>
              <w:bottom w:val="double" w:sz="4" w:space="0" w:color="000000"/>
              <w:right w:val="nil"/>
            </w:tcBorders>
          </w:tcPr>
          <w:p>
            <w:pPr>
              <w:pStyle w:val="TableParagraph"/>
              <w:spacing w:line="254" w:lineRule="auto" w:before="9"/>
              <w:ind w:left="101" w:right="61" w:hanging="32"/>
              <w:rPr>
                <w:sz w:val="17"/>
              </w:rPr>
            </w:pPr>
            <w:r>
              <w:rPr>
                <w:w w:val="95"/>
                <w:sz w:val="17"/>
              </w:rPr>
              <w:t>No habla</w:t>
            </w:r>
            <w:r>
              <w:rPr>
                <w:w w:val="92"/>
                <w:sz w:val="17"/>
              </w:rPr>
              <w:t> </w:t>
            </w:r>
            <w:r>
              <w:rPr>
                <w:w w:val="90"/>
                <w:sz w:val="17"/>
              </w:rPr>
              <w:t>lengua indígena</w:t>
            </w:r>
          </w:p>
        </w:tc>
        <w:tc>
          <w:tcPr>
            <w:tcW w:w="754" w:type="dxa"/>
            <w:tcBorders>
              <w:left w:val="nil"/>
              <w:bottom w:val="double" w:sz="4" w:space="0" w:color="000000"/>
              <w:right w:val="nil"/>
            </w:tcBorders>
          </w:tcPr>
          <w:p>
            <w:pPr>
              <w:pStyle w:val="TableParagraph"/>
              <w:jc w:val="left"/>
              <w:rPr>
                <w:sz w:val="18"/>
              </w:rPr>
            </w:pPr>
          </w:p>
          <w:p>
            <w:pPr>
              <w:pStyle w:val="TableParagraph"/>
              <w:spacing w:before="8"/>
              <w:jc w:val="left"/>
              <w:rPr>
                <w:sz w:val="18"/>
              </w:rPr>
            </w:pPr>
          </w:p>
          <w:p>
            <w:pPr>
              <w:pStyle w:val="TableParagraph"/>
              <w:ind w:right="98"/>
              <w:rPr>
                <w:sz w:val="17"/>
              </w:rPr>
            </w:pPr>
            <w:r>
              <w:rPr>
                <w:w w:val="90"/>
                <w:sz w:val="17"/>
              </w:rPr>
              <w:t>Total</w:t>
            </w:r>
          </w:p>
        </w:tc>
      </w:tr>
      <w:tr>
        <w:trPr>
          <w:trHeight w:val="464" w:hRule="exact"/>
        </w:trPr>
        <w:tc>
          <w:tcPr>
            <w:tcW w:w="1224" w:type="dxa"/>
            <w:tcBorders>
              <w:top w:val="double" w:sz="4" w:space="0" w:color="000000"/>
              <w:left w:val="nil"/>
              <w:bottom w:val="nil"/>
              <w:right w:val="nil"/>
            </w:tcBorders>
          </w:tcPr>
          <w:p>
            <w:pPr>
              <w:pStyle w:val="TableParagraph"/>
              <w:spacing w:line="254" w:lineRule="auto" w:before="9"/>
              <w:ind w:left="27" w:right="10"/>
              <w:jc w:val="left"/>
              <w:rPr>
                <w:i/>
                <w:sz w:val="17"/>
              </w:rPr>
            </w:pPr>
            <w:r>
              <w:rPr>
                <w:i/>
                <w:sz w:val="17"/>
              </w:rPr>
              <w:t>Prestación o </w:t>
            </w:r>
            <w:r>
              <w:rPr>
                <w:i/>
                <w:w w:val="95"/>
                <w:sz w:val="17"/>
              </w:rPr>
              <w:t>beneficio social</w:t>
            </w:r>
          </w:p>
        </w:tc>
        <w:tc>
          <w:tcPr>
            <w:tcW w:w="766" w:type="dxa"/>
            <w:tcBorders>
              <w:top w:val="double" w:sz="4" w:space="0" w:color="000000"/>
              <w:left w:val="nil"/>
              <w:bottom w:val="nil"/>
              <w:right w:val="nil"/>
            </w:tcBorders>
          </w:tcPr>
          <w:p>
            <w:pPr/>
          </w:p>
        </w:tc>
        <w:tc>
          <w:tcPr>
            <w:tcW w:w="757" w:type="dxa"/>
            <w:tcBorders>
              <w:top w:val="double" w:sz="4" w:space="0" w:color="000000"/>
              <w:left w:val="nil"/>
              <w:bottom w:val="nil"/>
              <w:right w:val="nil"/>
            </w:tcBorders>
          </w:tcPr>
          <w:p>
            <w:pPr/>
          </w:p>
        </w:tc>
        <w:tc>
          <w:tcPr>
            <w:tcW w:w="629" w:type="dxa"/>
            <w:tcBorders>
              <w:top w:val="double" w:sz="4" w:space="0" w:color="000000"/>
              <w:left w:val="nil"/>
              <w:bottom w:val="nil"/>
              <w:right w:val="nil"/>
            </w:tcBorders>
          </w:tcPr>
          <w:p>
            <w:pPr/>
          </w:p>
        </w:tc>
        <w:tc>
          <w:tcPr>
            <w:tcW w:w="871" w:type="dxa"/>
            <w:tcBorders>
              <w:top w:val="double" w:sz="4" w:space="0" w:color="000000"/>
              <w:left w:val="nil"/>
              <w:bottom w:val="nil"/>
              <w:right w:val="nil"/>
            </w:tcBorders>
          </w:tcPr>
          <w:p>
            <w:pPr/>
          </w:p>
        </w:tc>
        <w:tc>
          <w:tcPr>
            <w:tcW w:w="763" w:type="dxa"/>
            <w:tcBorders>
              <w:top w:val="double" w:sz="4" w:space="0" w:color="000000"/>
              <w:left w:val="nil"/>
              <w:bottom w:val="nil"/>
              <w:right w:val="nil"/>
            </w:tcBorders>
          </w:tcPr>
          <w:p>
            <w:pPr/>
          </w:p>
        </w:tc>
        <w:tc>
          <w:tcPr>
            <w:tcW w:w="757" w:type="dxa"/>
            <w:tcBorders>
              <w:top w:val="double" w:sz="4" w:space="0" w:color="000000"/>
              <w:left w:val="nil"/>
              <w:bottom w:val="nil"/>
              <w:right w:val="nil"/>
            </w:tcBorders>
          </w:tcPr>
          <w:p>
            <w:pPr/>
          </w:p>
        </w:tc>
        <w:tc>
          <w:tcPr>
            <w:tcW w:w="754" w:type="dxa"/>
            <w:tcBorders>
              <w:top w:val="double" w:sz="4" w:space="0" w:color="000000"/>
              <w:left w:val="nil"/>
              <w:bottom w:val="nil"/>
              <w:right w:val="nil"/>
            </w:tcBorders>
          </w:tcPr>
          <w:p>
            <w:pPr/>
          </w:p>
        </w:tc>
      </w:tr>
      <w:tr>
        <w:trPr>
          <w:trHeight w:val="257" w:hRule="exact"/>
        </w:trPr>
        <w:tc>
          <w:tcPr>
            <w:tcW w:w="1224" w:type="dxa"/>
            <w:tcBorders>
              <w:top w:val="nil"/>
              <w:left w:val="nil"/>
              <w:bottom w:val="nil"/>
              <w:right w:val="nil"/>
            </w:tcBorders>
          </w:tcPr>
          <w:p>
            <w:pPr>
              <w:pStyle w:val="TableParagraph"/>
              <w:spacing w:before="25"/>
              <w:ind w:left="27" w:right="10"/>
              <w:jc w:val="left"/>
              <w:rPr>
                <w:sz w:val="17"/>
              </w:rPr>
            </w:pPr>
            <w:r>
              <w:rPr>
                <w:sz w:val="17"/>
              </w:rPr>
              <w:t>Sí</w:t>
            </w:r>
          </w:p>
        </w:tc>
        <w:tc>
          <w:tcPr>
            <w:tcW w:w="766" w:type="dxa"/>
            <w:tcBorders>
              <w:top w:val="nil"/>
              <w:left w:val="nil"/>
              <w:bottom w:val="nil"/>
              <w:right w:val="nil"/>
            </w:tcBorders>
          </w:tcPr>
          <w:p>
            <w:pPr>
              <w:pStyle w:val="TableParagraph"/>
              <w:spacing w:before="25"/>
              <w:ind w:right="59"/>
              <w:rPr>
                <w:sz w:val="17"/>
              </w:rPr>
            </w:pPr>
            <w:r>
              <w:rPr>
                <w:w w:val="90"/>
                <w:sz w:val="17"/>
              </w:rPr>
              <w:t>0.00</w:t>
            </w:r>
          </w:p>
        </w:tc>
        <w:tc>
          <w:tcPr>
            <w:tcW w:w="757" w:type="dxa"/>
            <w:tcBorders>
              <w:top w:val="nil"/>
              <w:left w:val="nil"/>
              <w:bottom w:val="nil"/>
              <w:right w:val="nil"/>
            </w:tcBorders>
          </w:tcPr>
          <w:p>
            <w:pPr>
              <w:pStyle w:val="TableParagraph"/>
              <w:spacing w:before="25"/>
              <w:ind w:right="61"/>
              <w:rPr>
                <w:sz w:val="17"/>
              </w:rPr>
            </w:pPr>
            <w:r>
              <w:rPr>
                <w:w w:val="90"/>
                <w:sz w:val="17"/>
              </w:rPr>
              <w:t>9.63</w:t>
            </w:r>
          </w:p>
        </w:tc>
        <w:tc>
          <w:tcPr>
            <w:tcW w:w="629" w:type="dxa"/>
            <w:tcBorders>
              <w:top w:val="nil"/>
              <w:left w:val="nil"/>
              <w:bottom w:val="nil"/>
              <w:right w:val="nil"/>
            </w:tcBorders>
          </w:tcPr>
          <w:p>
            <w:pPr>
              <w:pStyle w:val="TableParagraph"/>
              <w:spacing w:before="25"/>
              <w:ind w:right="58"/>
              <w:rPr>
                <w:sz w:val="17"/>
              </w:rPr>
            </w:pPr>
            <w:r>
              <w:rPr>
                <w:w w:val="90"/>
                <w:sz w:val="17"/>
              </w:rPr>
              <w:t>12.20</w:t>
            </w:r>
          </w:p>
        </w:tc>
        <w:tc>
          <w:tcPr>
            <w:tcW w:w="871" w:type="dxa"/>
            <w:tcBorders>
              <w:top w:val="nil"/>
              <w:left w:val="nil"/>
              <w:bottom w:val="nil"/>
              <w:right w:val="nil"/>
            </w:tcBorders>
          </w:tcPr>
          <w:p>
            <w:pPr>
              <w:pStyle w:val="TableParagraph"/>
              <w:spacing w:before="25"/>
              <w:ind w:left="60" w:right="17"/>
              <w:jc w:val="left"/>
              <w:rPr>
                <w:sz w:val="17"/>
              </w:rPr>
            </w:pPr>
            <w:r>
              <w:rPr>
                <w:sz w:val="17"/>
              </w:rPr>
              <w:t>Sí</w:t>
            </w:r>
          </w:p>
        </w:tc>
        <w:tc>
          <w:tcPr>
            <w:tcW w:w="763" w:type="dxa"/>
            <w:tcBorders>
              <w:top w:val="nil"/>
              <w:left w:val="nil"/>
              <w:bottom w:val="nil"/>
              <w:right w:val="nil"/>
            </w:tcBorders>
          </w:tcPr>
          <w:p>
            <w:pPr>
              <w:pStyle w:val="TableParagraph"/>
              <w:spacing w:before="25"/>
              <w:ind w:right="59"/>
              <w:rPr>
                <w:sz w:val="17"/>
              </w:rPr>
            </w:pPr>
            <w:r>
              <w:rPr>
                <w:w w:val="90"/>
                <w:sz w:val="17"/>
              </w:rPr>
              <w:t>7.32</w:t>
            </w:r>
          </w:p>
        </w:tc>
        <w:tc>
          <w:tcPr>
            <w:tcW w:w="757" w:type="dxa"/>
            <w:tcBorders>
              <w:top w:val="nil"/>
              <w:left w:val="nil"/>
              <w:bottom w:val="nil"/>
              <w:right w:val="nil"/>
            </w:tcBorders>
          </w:tcPr>
          <w:p>
            <w:pPr>
              <w:pStyle w:val="TableParagraph"/>
              <w:spacing w:before="25"/>
              <w:ind w:right="61"/>
              <w:rPr>
                <w:sz w:val="17"/>
              </w:rPr>
            </w:pPr>
            <w:r>
              <w:rPr>
                <w:w w:val="90"/>
                <w:sz w:val="17"/>
              </w:rPr>
              <w:t>27.34</w:t>
            </w:r>
          </w:p>
        </w:tc>
        <w:tc>
          <w:tcPr>
            <w:tcW w:w="754" w:type="dxa"/>
            <w:tcBorders>
              <w:top w:val="nil"/>
              <w:left w:val="nil"/>
              <w:bottom w:val="nil"/>
              <w:right w:val="nil"/>
            </w:tcBorders>
          </w:tcPr>
          <w:p>
            <w:pPr>
              <w:pStyle w:val="TableParagraph"/>
              <w:spacing w:before="25"/>
              <w:ind w:right="57"/>
              <w:rPr>
                <w:sz w:val="17"/>
              </w:rPr>
            </w:pPr>
            <w:r>
              <w:rPr>
                <w:w w:val="90"/>
                <w:sz w:val="17"/>
              </w:rPr>
              <w:t>7.12</w:t>
            </w:r>
          </w:p>
        </w:tc>
      </w:tr>
      <w:tr>
        <w:trPr>
          <w:trHeight w:val="254" w:hRule="exact"/>
        </w:trPr>
        <w:tc>
          <w:tcPr>
            <w:tcW w:w="1224" w:type="dxa"/>
            <w:tcBorders>
              <w:top w:val="nil"/>
              <w:left w:val="nil"/>
              <w:bottom w:val="nil"/>
              <w:right w:val="nil"/>
            </w:tcBorders>
          </w:tcPr>
          <w:p>
            <w:pPr>
              <w:pStyle w:val="TableParagraph"/>
              <w:spacing w:before="22"/>
              <w:ind w:left="27" w:right="10"/>
              <w:jc w:val="left"/>
              <w:rPr>
                <w:sz w:val="17"/>
              </w:rPr>
            </w:pPr>
            <w:r>
              <w:rPr>
                <w:sz w:val="17"/>
              </w:rPr>
              <w:t>No</w:t>
            </w:r>
          </w:p>
        </w:tc>
        <w:tc>
          <w:tcPr>
            <w:tcW w:w="766" w:type="dxa"/>
            <w:tcBorders>
              <w:top w:val="nil"/>
              <w:left w:val="nil"/>
              <w:bottom w:val="nil"/>
              <w:right w:val="nil"/>
            </w:tcBorders>
          </w:tcPr>
          <w:p>
            <w:pPr>
              <w:pStyle w:val="TableParagraph"/>
              <w:spacing w:before="22"/>
              <w:ind w:right="59"/>
              <w:rPr>
                <w:sz w:val="17"/>
              </w:rPr>
            </w:pPr>
            <w:r>
              <w:rPr>
                <w:w w:val="90"/>
                <w:sz w:val="17"/>
              </w:rPr>
              <w:t>100.00</w:t>
            </w:r>
          </w:p>
        </w:tc>
        <w:tc>
          <w:tcPr>
            <w:tcW w:w="757" w:type="dxa"/>
            <w:tcBorders>
              <w:top w:val="nil"/>
              <w:left w:val="nil"/>
              <w:bottom w:val="nil"/>
              <w:right w:val="nil"/>
            </w:tcBorders>
          </w:tcPr>
          <w:p>
            <w:pPr>
              <w:pStyle w:val="TableParagraph"/>
              <w:spacing w:before="22"/>
              <w:ind w:right="61"/>
              <w:rPr>
                <w:sz w:val="17"/>
              </w:rPr>
            </w:pPr>
            <w:r>
              <w:rPr>
                <w:w w:val="90"/>
                <w:sz w:val="17"/>
              </w:rPr>
              <w:t>90.37</w:t>
            </w:r>
          </w:p>
        </w:tc>
        <w:tc>
          <w:tcPr>
            <w:tcW w:w="629" w:type="dxa"/>
            <w:tcBorders>
              <w:top w:val="nil"/>
              <w:left w:val="nil"/>
              <w:bottom w:val="nil"/>
              <w:right w:val="nil"/>
            </w:tcBorders>
          </w:tcPr>
          <w:p>
            <w:pPr>
              <w:pStyle w:val="TableParagraph"/>
              <w:spacing w:before="22"/>
              <w:ind w:right="58"/>
              <w:rPr>
                <w:sz w:val="17"/>
              </w:rPr>
            </w:pPr>
            <w:r>
              <w:rPr>
                <w:w w:val="90"/>
                <w:sz w:val="17"/>
              </w:rPr>
              <w:t>87.80</w:t>
            </w:r>
          </w:p>
        </w:tc>
        <w:tc>
          <w:tcPr>
            <w:tcW w:w="871" w:type="dxa"/>
            <w:tcBorders>
              <w:top w:val="nil"/>
              <w:left w:val="nil"/>
              <w:bottom w:val="nil"/>
              <w:right w:val="nil"/>
            </w:tcBorders>
          </w:tcPr>
          <w:p>
            <w:pPr>
              <w:pStyle w:val="TableParagraph"/>
              <w:spacing w:before="22"/>
              <w:ind w:left="60" w:right="17"/>
              <w:jc w:val="left"/>
              <w:rPr>
                <w:sz w:val="17"/>
              </w:rPr>
            </w:pPr>
            <w:r>
              <w:rPr>
                <w:sz w:val="17"/>
              </w:rPr>
              <w:t>No</w:t>
            </w:r>
          </w:p>
        </w:tc>
        <w:tc>
          <w:tcPr>
            <w:tcW w:w="763" w:type="dxa"/>
            <w:tcBorders>
              <w:top w:val="nil"/>
              <w:left w:val="nil"/>
              <w:bottom w:val="nil"/>
              <w:right w:val="nil"/>
            </w:tcBorders>
          </w:tcPr>
          <w:p>
            <w:pPr>
              <w:pStyle w:val="TableParagraph"/>
              <w:spacing w:before="22"/>
              <w:ind w:right="59"/>
              <w:rPr>
                <w:sz w:val="17"/>
              </w:rPr>
            </w:pPr>
            <w:r>
              <w:rPr>
                <w:w w:val="90"/>
                <w:sz w:val="17"/>
              </w:rPr>
              <w:t>92.68</w:t>
            </w:r>
          </w:p>
        </w:tc>
        <w:tc>
          <w:tcPr>
            <w:tcW w:w="757" w:type="dxa"/>
            <w:tcBorders>
              <w:top w:val="nil"/>
              <w:left w:val="nil"/>
              <w:bottom w:val="nil"/>
              <w:right w:val="nil"/>
            </w:tcBorders>
          </w:tcPr>
          <w:p>
            <w:pPr>
              <w:pStyle w:val="TableParagraph"/>
              <w:spacing w:before="22"/>
              <w:ind w:right="61"/>
              <w:rPr>
                <w:sz w:val="17"/>
              </w:rPr>
            </w:pPr>
            <w:r>
              <w:rPr>
                <w:w w:val="90"/>
                <w:sz w:val="17"/>
              </w:rPr>
              <w:t>72.66</w:t>
            </w:r>
          </w:p>
        </w:tc>
        <w:tc>
          <w:tcPr>
            <w:tcW w:w="754" w:type="dxa"/>
            <w:tcBorders>
              <w:top w:val="nil"/>
              <w:left w:val="nil"/>
              <w:bottom w:val="nil"/>
              <w:right w:val="nil"/>
            </w:tcBorders>
          </w:tcPr>
          <w:p>
            <w:pPr>
              <w:pStyle w:val="TableParagraph"/>
              <w:spacing w:before="22"/>
              <w:ind w:right="57"/>
              <w:rPr>
                <w:sz w:val="17"/>
              </w:rPr>
            </w:pPr>
            <w:r>
              <w:rPr>
                <w:w w:val="90"/>
                <w:sz w:val="17"/>
              </w:rPr>
              <w:t>92.88</w:t>
            </w:r>
          </w:p>
        </w:tc>
      </w:tr>
      <w:tr>
        <w:trPr>
          <w:trHeight w:val="643" w:hRule="exact"/>
        </w:trPr>
        <w:tc>
          <w:tcPr>
            <w:tcW w:w="1224" w:type="dxa"/>
            <w:tcBorders>
              <w:top w:val="nil"/>
              <w:left w:val="nil"/>
              <w:bottom w:val="nil"/>
              <w:right w:val="nil"/>
            </w:tcBorders>
          </w:tcPr>
          <w:p>
            <w:pPr>
              <w:pStyle w:val="TableParagraph"/>
              <w:spacing w:before="22"/>
              <w:ind w:left="27" w:right="10"/>
              <w:jc w:val="left"/>
              <w:rPr>
                <w:sz w:val="17"/>
              </w:rPr>
            </w:pPr>
            <w:r>
              <w:rPr>
                <w:sz w:val="17"/>
              </w:rPr>
              <w:t>Total</w:t>
            </w:r>
          </w:p>
          <w:p>
            <w:pPr>
              <w:pStyle w:val="TableParagraph"/>
              <w:spacing w:before="10"/>
              <w:jc w:val="left"/>
              <w:rPr>
                <w:sz w:val="18"/>
              </w:rPr>
            </w:pPr>
          </w:p>
          <w:p>
            <w:pPr>
              <w:pStyle w:val="TableParagraph"/>
              <w:ind w:left="27" w:right="10"/>
              <w:jc w:val="left"/>
              <w:rPr>
                <w:i/>
                <w:sz w:val="17"/>
              </w:rPr>
            </w:pPr>
            <w:r>
              <w:rPr>
                <w:i/>
                <w:w w:val="95"/>
                <w:sz w:val="17"/>
              </w:rPr>
              <w:t>Ingreso mensual</w:t>
            </w:r>
          </w:p>
        </w:tc>
        <w:tc>
          <w:tcPr>
            <w:tcW w:w="766" w:type="dxa"/>
            <w:tcBorders>
              <w:top w:val="nil"/>
              <w:left w:val="nil"/>
              <w:bottom w:val="nil"/>
              <w:right w:val="nil"/>
            </w:tcBorders>
          </w:tcPr>
          <w:p>
            <w:pPr>
              <w:pStyle w:val="TableParagraph"/>
              <w:spacing w:before="22"/>
              <w:ind w:right="59"/>
              <w:rPr>
                <w:sz w:val="17"/>
              </w:rPr>
            </w:pPr>
            <w:r>
              <w:rPr>
                <w:w w:val="90"/>
                <w:sz w:val="17"/>
              </w:rPr>
              <w:t>100.00</w:t>
            </w:r>
          </w:p>
        </w:tc>
        <w:tc>
          <w:tcPr>
            <w:tcW w:w="757" w:type="dxa"/>
            <w:tcBorders>
              <w:top w:val="nil"/>
              <w:left w:val="nil"/>
              <w:bottom w:val="nil"/>
              <w:right w:val="nil"/>
            </w:tcBorders>
          </w:tcPr>
          <w:p>
            <w:pPr>
              <w:pStyle w:val="TableParagraph"/>
              <w:spacing w:before="22"/>
              <w:ind w:right="61"/>
              <w:rPr>
                <w:sz w:val="17"/>
              </w:rPr>
            </w:pPr>
            <w:r>
              <w:rPr>
                <w:w w:val="90"/>
                <w:sz w:val="17"/>
              </w:rPr>
              <w:t>100.00</w:t>
            </w:r>
          </w:p>
        </w:tc>
        <w:tc>
          <w:tcPr>
            <w:tcW w:w="629" w:type="dxa"/>
            <w:tcBorders>
              <w:top w:val="nil"/>
              <w:left w:val="nil"/>
              <w:bottom w:val="nil"/>
              <w:right w:val="nil"/>
            </w:tcBorders>
          </w:tcPr>
          <w:p>
            <w:pPr>
              <w:pStyle w:val="TableParagraph"/>
              <w:spacing w:before="22"/>
              <w:ind w:right="58"/>
              <w:rPr>
                <w:sz w:val="17"/>
              </w:rPr>
            </w:pPr>
            <w:r>
              <w:rPr>
                <w:w w:val="90"/>
                <w:sz w:val="17"/>
              </w:rPr>
              <w:t>100.00</w:t>
            </w:r>
          </w:p>
        </w:tc>
        <w:tc>
          <w:tcPr>
            <w:tcW w:w="871" w:type="dxa"/>
            <w:tcBorders>
              <w:top w:val="nil"/>
              <w:left w:val="nil"/>
              <w:bottom w:val="nil"/>
              <w:right w:val="nil"/>
            </w:tcBorders>
          </w:tcPr>
          <w:p>
            <w:pPr>
              <w:pStyle w:val="TableParagraph"/>
              <w:spacing w:line="254" w:lineRule="auto" w:before="22"/>
              <w:ind w:left="60" w:right="17"/>
              <w:jc w:val="left"/>
              <w:rPr>
                <w:sz w:val="17"/>
              </w:rPr>
            </w:pPr>
            <w:r>
              <w:rPr>
                <w:sz w:val="17"/>
              </w:rPr>
              <w:t>Total Ingreso </w:t>
            </w:r>
            <w:r>
              <w:rPr>
                <w:w w:val="95"/>
                <w:sz w:val="17"/>
              </w:rPr>
              <w:t>mensual en</w:t>
            </w:r>
          </w:p>
        </w:tc>
        <w:tc>
          <w:tcPr>
            <w:tcW w:w="763" w:type="dxa"/>
            <w:tcBorders>
              <w:top w:val="nil"/>
              <w:left w:val="nil"/>
              <w:bottom w:val="nil"/>
              <w:right w:val="nil"/>
            </w:tcBorders>
          </w:tcPr>
          <w:p>
            <w:pPr>
              <w:pStyle w:val="TableParagraph"/>
              <w:spacing w:before="22"/>
              <w:ind w:right="59"/>
              <w:rPr>
                <w:sz w:val="17"/>
              </w:rPr>
            </w:pPr>
            <w:r>
              <w:rPr>
                <w:w w:val="90"/>
                <w:sz w:val="17"/>
              </w:rPr>
              <w:t>100.00</w:t>
            </w:r>
          </w:p>
        </w:tc>
        <w:tc>
          <w:tcPr>
            <w:tcW w:w="757" w:type="dxa"/>
            <w:tcBorders>
              <w:top w:val="nil"/>
              <w:left w:val="nil"/>
              <w:bottom w:val="nil"/>
              <w:right w:val="nil"/>
            </w:tcBorders>
          </w:tcPr>
          <w:p>
            <w:pPr>
              <w:pStyle w:val="TableParagraph"/>
              <w:spacing w:before="22"/>
              <w:ind w:right="61"/>
              <w:rPr>
                <w:sz w:val="17"/>
              </w:rPr>
            </w:pPr>
            <w:r>
              <w:rPr>
                <w:w w:val="90"/>
                <w:sz w:val="17"/>
              </w:rPr>
              <w:t>100.00</w:t>
            </w:r>
          </w:p>
        </w:tc>
        <w:tc>
          <w:tcPr>
            <w:tcW w:w="754" w:type="dxa"/>
            <w:tcBorders>
              <w:top w:val="nil"/>
              <w:left w:val="nil"/>
              <w:bottom w:val="nil"/>
              <w:right w:val="nil"/>
            </w:tcBorders>
          </w:tcPr>
          <w:p>
            <w:pPr>
              <w:pStyle w:val="TableParagraph"/>
              <w:spacing w:before="22"/>
              <w:ind w:right="57"/>
              <w:rPr>
                <w:sz w:val="17"/>
              </w:rPr>
            </w:pPr>
            <w:r>
              <w:rPr>
                <w:w w:val="90"/>
                <w:sz w:val="17"/>
              </w:rPr>
              <w:t>100.00</w:t>
            </w:r>
          </w:p>
        </w:tc>
      </w:tr>
      <w:tr>
        <w:trPr>
          <w:trHeight w:val="413" w:hRule="exact"/>
        </w:trPr>
        <w:tc>
          <w:tcPr>
            <w:tcW w:w="1224" w:type="dxa"/>
            <w:tcBorders>
              <w:top w:val="nil"/>
              <w:left w:val="nil"/>
              <w:bottom w:val="nil"/>
              <w:right w:val="nil"/>
            </w:tcBorders>
          </w:tcPr>
          <w:p>
            <w:pPr>
              <w:pStyle w:val="TableParagraph"/>
              <w:spacing w:line="254" w:lineRule="auto"/>
              <w:ind w:left="27" w:right="10"/>
              <w:jc w:val="left"/>
              <w:rPr>
                <w:i/>
                <w:sz w:val="17"/>
              </w:rPr>
            </w:pPr>
            <w:r>
              <w:rPr>
                <w:i/>
                <w:w w:val="95"/>
                <w:sz w:val="17"/>
              </w:rPr>
              <w:t>en dólares </w:t>
            </w:r>
            <w:r>
              <w:rPr>
                <w:i/>
                <w:sz w:val="17"/>
              </w:rPr>
              <w:t>(media)</w:t>
            </w:r>
          </w:p>
        </w:tc>
        <w:tc>
          <w:tcPr>
            <w:tcW w:w="766" w:type="dxa"/>
            <w:tcBorders>
              <w:top w:val="nil"/>
              <w:left w:val="nil"/>
              <w:bottom w:val="nil"/>
              <w:right w:val="nil"/>
            </w:tcBorders>
          </w:tcPr>
          <w:p>
            <w:pPr>
              <w:pStyle w:val="TableParagraph"/>
              <w:spacing w:before="9"/>
              <w:jc w:val="left"/>
              <w:rPr>
                <w:sz w:val="17"/>
              </w:rPr>
            </w:pPr>
          </w:p>
          <w:p>
            <w:pPr>
              <w:pStyle w:val="TableParagraph"/>
              <w:ind w:right="59"/>
              <w:rPr>
                <w:sz w:val="17"/>
              </w:rPr>
            </w:pPr>
            <w:r>
              <w:rPr>
                <w:w w:val="90"/>
                <w:sz w:val="17"/>
              </w:rPr>
              <w:t>536.07</w:t>
            </w:r>
          </w:p>
        </w:tc>
        <w:tc>
          <w:tcPr>
            <w:tcW w:w="757" w:type="dxa"/>
            <w:tcBorders>
              <w:top w:val="nil"/>
              <w:left w:val="nil"/>
              <w:bottom w:val="nil"/>
              <w:right w:val="nil"/>
            </w:tcBorders>
          </w:tcPr>
          <w:p>
            <w:pPr>
              <w:pStyle w:val="TableParagraph"/>
              <w:spacing w:before="9"/>
              <w:jc w:val="left"/>
              <w:rPr>
                <w:sz w:val="17"/>
              </w:rPr>
            </w:pPr>
          </w:p>
          <w:p>
            <w:pPr>
              <w:pStyle w:val="TableParagraph"/>
              <w:ind w:right="61"/>
              <w:rPr>
                <w:sz w:val="17"/>
              </w:rPr>
            </w:pPr>
            <w:r>
              <w:rPr>
                <w:w w:val="90"/>
                <w:sz w:val="17"/>
              </w:rPr>
              <w:t>2035.57</w:t>
            </w:r>
          </w:p>
        </w:tc>
        <w:tc>
          <w:tcPr>
            <w:tcW w:w="629" w:type="dxa"/>
            <w:tcBorders>
              <w:top w:val="nil"/>
              <w:left w:val="nil"/>
              <w:bottom w:val="nil"/>
              <w:right w:val="nil"/>
            </w:tcBorders>
          </w:tcPr>
          <w:p>
            <w:pPr>
              <w:pStyle w:val="TableParagraph"/>
              <w:spacing w:before="9"/>
              <w:jc w:val="left"/>
              <w:rPr>
                <w:sz w:val="17"/>
              </w:rPr>
            </w:pPr>
          </w:p>
          <w:p>
            <w:pPr>
              <w:pStyle w:val="TableParagraph"/>
              <w:ind w:right="58"/>
              <w:rPr>
                <w:sz w:val="17"/>
              </w:rPr>
            </w:pPr>
            <w:r>
              <w:rPr>
                <w:w w:val="90"/>
                <w:sz w:val="17"/>
              </w:rPr>
              <w:t>628.40</w:t>
            </w:r>
          </w:p>
        </w:tc>
        <w:tc>
          <w:tcPr>
            <w:tcW w:w="871" w:type="dxa"/>
            <w:tcBorders>
              <w:top w:val="nil"/>
              <w:left w:val="nil"/>
              <w:bottom w:val="nil"/>
              <w:right w:val="nil"/>
            </w:tcBorders>
          </w:tcPr>
          <w:p>
            <w:pPr>
              <w:pStyle w:val="TableParagraph"/>
              <w:spacing w:line="254" w:lineRule="auto"/>
              <w:ind w:left="60" w:right="17"/>
              <w:jc w:val="left"/>
              <w:rPr>
                <w:sz w:val="17"/>
              </w:rPr>
            </w:pPr>
            <w:r>
              <w:rPr>
                <w:w w:val="95"/>
                <w:sz w:val="17"/>
              </w:rPr>
              <w:t>dólares </w:t>
            </w:r>
            <w:r>
              <w:rPr>
                <w:w w:val="90"/>
                <w:sz w:val="17"/>
              </w:rPr>
              <w:t>(media)</w:t>
            </w:r>
          </w:p>
        </w:tc>
        <w:tc>
          <w:tcPr>
            <w:tcW w:w="763" w:type="dxa"/>
            <w:tcBorders>
              <w:top w:val="nil"/>
              <w:left w:val="nil"/>
              <w:bottom w:val="nil"/>
              <w:right w:val="nil"/>
            </w:tcBorders>
          </w:tcPr>
          <w:p>
            <w:pPr>
              <w:pStyle w:val="TableParagraph"/>
              <w:spacing w:before="9"/>
              <w:jc w:val="left"/>
              <w:rPr>
                <w:sz w:val="17"/>
              </w:rPr>
            </w:pPr>
          </w:p>
          <w:p>
            <w:pPr>
              <w:pStyle w:val="TableParagraph"/>
              <w:ind w:right="59"/>
              <w:rPr>
                <w:sz w:val="17"/>
              </w:rPr>
            </w:pPr>
            <w:r>
              <w:rPr>
                <w:w w:val="90"/>
                <w:sz w:val="17"/>
              </w:rPr>
              <w:t>326.24</w:t>
            </w:r>
          </w:p>
        </w:tc>
        <w:tc>
          <w:tcPr>
            <w:tcW w:w="757" w:type="dxa"/>
            <w:tcBorders>
              <w:top w:val="nil"/>
              <w:left w:val="nil"/>
              <w:bottom w:val="nil"/>
              <w:right w:val="nil"/>
            </w:tcBorders>
          </w:tcPr>
          <w:p>
            <w:pPr>
              <w:pStyle w:val="TableParagraph"/>
              <w:spacing w:before="9"/>
              <w:jc w:val="left"/>
              <w:rPr>
                <w:sz w:val="17"/>
              </w:rPr>
            </w:pPr>
          </w:p>
          <w:p>
            <w:pPr>
              <w:pStyle w:val="TableParagraph"/>
              <w:ind w:right="61"/>
              <w:rPr>
                <w:sz w:val="17"/>
              </w:rPr>
            </w:pPr>
            <w:r>
              <w:rPr>
                <w:w w:val="90"/>
                <w:sz w:val="17"/>
              </w:rPr>
              <w:t>765.32</w:t>
            </w:r>
          </w:p>
        </w:tc>
        <w:tc>
          <w:tcPr>
            <w:tcW w:w="754" w:type="dxa"/>
            <w:tcBorders>
              <w:top w:val="nil"/>
              <w:left w:val="nil"/>
              <w:bottom w:val="nil"/>
              <w:right w:val="nil"/>
            </w:tcBorders>
          </w:tcPr>
          <w:p>
            <w:pPr>
              <w:pStyle w:val="TableParagraph"/>
              <w:spacing w:before="9"/>
              <w:jc w:val="left"/>
              <w:rPr>
                <w:sz w:val="17"/>
              </w:rPr>
            </w:pPr>
          </w:p>
          <w:p>
            <w:pPr>
              <w:pStyle w:val="TableParagraph"/>
              <w:ind w:right="57"/>
              <w:rPr>
                <w:sz w:val="17"/>
              </w:rPr>
            </w:pPr>
            <w:r>
              <w:rPr>
                <w:w w:val="90"/>
                <w:sz w:val="17"/>
              </w:rPr>
              <w:t>752.85</w:t>
            </w:r>
          </w:p>
        </w:tc>
      </w:tr>
      <w:tr>
        <w:trPr>
          <w:trHeight w:val="624" w:hRule="exact"/>
        </w:trPr>
        <w:tc>
          <w:tcPr>
            <w:tcW w:w="1224" w:type="dxa"/>
            <w:tcBorders>
              <w:top w:val="nil"/>
              <w:left w:val="nil"/>
              <w:bottom w:val="nil"/>
              <w:right w:val="nil"/>
            </w:tcBorders>
          </w:tcPr>
          <w:p>
            <w:pPr>
              <w:pStyle w:val="TableParagraph"/>
              <w:jc w:val="left"/>
              <w:rPr>
                <w:sz w:val="18"/>
              </w:rPr>
            </w:pPr>
          </w:p>
          <w:p>
            <w:pPr>
              <w:pStyle w:val="TableParagraph"/>
              <w:spacing w:before="2"/>
              <w:jc w:val="left"/>
              <w:rPr>
                <w:sz w:val="18"/>
              </w:rPr>
            </w:pPr>
          </w:p>
          <w:p>
            <w:pPr>
              <w:pStyle w:val="TableParagraph"/>
              <w:ind w:left="27" w:right="10"/>
              <w:jc w:val="left"/>
              <w:rPr>
                <w:i/>
                <w:sz w:val="17"/>
              </w:rPr>
            </w:pPr>
            <w:r>
              <w:rPr>
                <w:i/>
                <w:w w:val="95"/>
                <w:sz w:val="17"/>
              </w:rPr>
              <w:t>Dólares enviados</w:t>
            </w:r>
          </w:p>
        </w:tc>
        <w:tc>
          <w:tcPr>
            <w:tcW w:w="766" w:type="dxa"/>
            <w:tcBorders>
              <w:top w:val="nil"/>
              <w:left w:val="nil"/>
              <w:bottom w:val="nil"/>
              <w:right w:val="nil"/>
            </w:tcBorders>
          </w:tcPr>
          <w:p>
            <w:pPr/>
          </w:p>
        </w:tc>
        <w:tc>
          <w:tcPr>
            <w:tcW w:w="757" w:type="dxa"/>
            <w:tcBorders>
              <w:top w:val="nil"/>
              <w:left w:val="nil"/>
              <w:bottom w:val="nil"/>
              <w:right w:val="nil"/>
            </w:tcBorders>
          </w:tcPr>
          <w:p>
            <w:pPr/>
          </w:p>
        </w:tc>
        <w:tc>
          <w:tcPr>
            <w:tcW w:w="629" w:type="dxa"/>
            <w:tcBorders>
              <w:top w:val="nil"/>
              <w:left w:val="nil"/>
              <w:bottom w:val="nil"/>
              <w:right w:val="nil"/>
            </w:tcBorders>
          </w:tcPr>
          <w:p>
            <w:pPr/>
          </w:p>
        </w:tc>
        <w:tc>
          <w:tcPr>
            <w:tcW w:w="871" w:type="dxa"/>
            <w:tcBorders>
              <w:top w:val="nil"/>
              <w:left w:val="nil"/>
              <w:bottom w:val="nil"/>
              <w:right w:val="nil"/>
            </w:tcBorders>
          </w:tcPr>
          <w:p>
            <w:pPr>
              <w:pStyle w:val="TableParagraph"/>
              <w:spacing w:line="256" w:lineRule="auto"/>
              <w:ind w:left="60" w:right="17"/>
              <w:jc w:val="left"/>
              <w:rPr>
                <w:sz w:val="17"/>
              </w:rPr>
            </w:pPr>
            <w:r>
              <w:rPr>
                <w:sz w:val="17"/>
              </w:rPr>
              <w:t>Dólares </w:t>
            </w:r>
            <w:r>
              <w:rPr>
                <w:w w:val="95"/>
                <w:sz w:val="17"/>
              </w:rPr>
              <w:t>enviados a su país</w:t>
            </w:r>
          </w:p>
        </w:tc>
        <w:tc>
          <w:tcPr>
            <w:tcW w:w="763" w:type="dxa"/>
            <w:tcBorders>
              <w:top w:val="nil"/>
              <w:left w:val="nil"/>
              <w:bottom w:val="nil"/>
              <w:right w:val="nil"/>
            </w:tcBorders>
          </w:tcPr>
          <w:p>
            <w:pPr/>
          </w:p>
        </w:tc>
        <w:tc>
          <w:tcPr>
            <w:tcW w:w="757" w:type="dxa"/>
            <w:tcBorders>
              <w:top w:val="nil"/>
              <w:left w:val="nil"/>
              <w:bottom w:val="nil"/>
              <w:right w:val="nil"/>
            </w:tcBorders>
          </w:tcPr>
          <w:p>
            <w:pPr/>
          </w:p>
        </w:tc>
        <w:tc>
          <w:tcPr>
            <w:tcW w:w="754" w:type="dxa"/>
            <w:tcBorders>
              <w:top w:val="nil"/>
              <w:left w:val="nil"/>
              <w:bottom w:val="nil"/>
              <w:right w:val="nil"/>
            </w:tcBorders>
          </w:tcPr>
          <w:p>
            <w:pPr/>
          </w:p>
        </w:tc>
      </w:tr>
      <w:tr>
        <w:trPr>
          <w:trHeight w:val="413" w:hRule="exact"/>
        </w:trPr>
        <w:tc>
          <w:tcPr>
            <w:tcW w:w="1224" w:type="dxa"/>
            <w:tcBorders>
              <w:top w:val="nil"/>
              <w:left w:val="nil"/>
              <w:bottom w:val="nil"/>
              <w:right w:val="nil"/>
            </w:tcBorders>
          </w:tcPr>
          <w:p>
            <w:pPr>
              <w:pStyle w:val="TableParagraph"/>
              <w:spacing w:line="254" w:lineRule="auto"/>
              <w:ind w:left="27" w:right="38"/>
              <w:jc w:val="left"/>
              <w:rPr>
                <w:i/>
                <w:sz w:val="17"/>
              </w:rPr>
            </w:pPr>
            <w:r>
              <w:rPr>
                <w:i/>
                <w:sz w:val="17"/>
              </w:rPr>
              <w:t>a su país (último </w:t>
            </w:r>
            <w:r>
              <w:rPr>
                <w:i/>
                <w:sz w:val="17"/>
              </w:rPr>
              <w:t>mes)</w:t>
            </w:r>
          </w:p>
        </w:tc>
        <w:tc>
          <w:tcPr>
            <w:tcW w:w="766" w:type="dxa"/>
            <w:tcBorders>
              <w:top w:val="nil"/>
              <w:left w:val="nil"/>
              <w:bottom w:val="nil"/>
              <w:right w:val="nil"/>
            </w:tcBorders>
          </w:tcPr>
          <w:p>
            <w:pPr>
              <w:pStyle w:val="TableParagraph"/>
              <w:spacing w:before="9"/>
              <w:jc w:val="left"/>
              <w:rPr>
                <w:sz w:val="17"/>
              </w:rPr>
            </w:pPr>
          </w:p>
          <w:p>
            <w:pPr>
              <w:pStyle w:val="TableParagraph"/>
              <w:ind w:right="59"/>
              <w:rPr>
                <w:sz w:val="17"/>
              </w:rPr>
            </w:pPr>
            <w:r>
              <w:rPr>
                <w:w w:val="90"/>
                <w:sz w:val="17"/>
              </w:rPr>
              <w:t>176.97</w:t>
            </w:r>
          </w:p>
        </w:tc>
        <w:tc>
          <w:tcPr>
            <w:tcW w:w="757" w:type="dxa"/>
            <w:tcBorders>
              <w:top w:val="nil"/>
              <w:left w:val="nil"/>
              <w:bottom w:val="nil"/>
              <w:right w:val="nil"/>
            </w:tcBorders>
          </w:tcPr>
          <w:p>
            <w:pPr>
              <w:pStyle w:val="TableParagraph"/>
              <w:spacing w:before="9"/>
              <w:jc w:val="left"/>
              <w:rPr>
                <w:sz w:val="17"/>
              </w:rPr>
            </w:pPr>
          </w:p>
          <w:p>
            <w:pPr>
              <w:pStyle w:val="TableParagraph"/>
              <w:ind w:right="61"/>
              <w:rPr>
                <w:sz w:val="17"/>
              </w:rPr>
            </w:pPr>
            <w:r>
              <w:rPr>
                <w:w w:val="90"/>
                <w:sz w:val="17"/>
              </w:rPr>
              <w:t>513.12</w:t>
            </w:r>
          </w:p>
        </w:tc>
        <w:tc>
          <w:tcPr>
            <w:tcW w:w="629" w:type="dxa"/>
            <w:tcBorders>
              <w:top w:val="nil"/>
              <w:left w:val="nil"/>
              <w:bottom w:val="nil"/>
              <w:right w:val="nil"/>
            </w:tcBorders>
          </w:tcPr>
          <w:p>
            <w:pPr>
              <w:pStyle w:val="TableParagraph"/>
              <w:spacing w:before="9"/>
              <w:jc w:val="left"/>
              <w:rPr>
                <w:sz w:val="17"/>
              </w:rPr>
            </w:pPr>
          </w:p>
          <w:p>
            <w:pPr>
              <w:pStyle w:val="TableParagraph"/>
              <w:ind w:right="58"/>
              <w:rPr>
                <w:sz w:val="17"/>
              </w:rPr>
            </w:pPr>
            <w:r>
              <w:rPr>
                <w:w w:val="90"/>
                <w:sz w:val="17"/>
              </w:rPr>
              <w:t>197.67</w:t>
            </w:r>
          </w:p>
        </w:tc>
        <w:tc>
          <w:tcPr>
            <w:tcW w:w="871" w:type="dxa"/>
            <w:tcBorders>
              <w:top w:val="nil"/>
              <w:left w:val="nil"/>
              <w:bottom w:val="nil"/>
              <w:right w:val="nil"/>
            </w:tcBorders>
          </w:tcPr>
          <w:p>
            <w:pPr>
              <w:pStyle w:val="TableParagraph"/>
              <w:spacing w:line="254" w:lineRule="auto"/>
              <w:ind w:left="60" w:right="50"/>
              <w:jc w:val="left"/>
              <w:rPr>
                <w:sz w:val="17"/>
              </w:rPr>
            </w:pPr>
            <w:r>
              <w:rPr>
                <w:w w:val="90"/>
                <w:sz w:val="17"/>
              </w:rPr>
              <w:t>(último </w:t>
            </w:r>
            <w:r>
              <w:rPr>
                <w:sz w:val="17"/>
              </w:rPr>
              <w:t>mes)</w:t>
            </w:r>
          </w:p>
        </w:tc>
        <w:tc>
          <w:tcPr>
            <w:tcW w:w="763" w:type="dxa"/>
            <w:tcBorders>
              <w:top w:val="nil"/>
              <w:left w:val="nil"/>
              <w:bottom w:val="nil"/>
              <w:right w:val="nil"/>
            </w:tcBorders>
          </w:tcPr>
          <w:p>
            <w:pPr>
              <w:pStyle w:val="TableParagraph"/>
              <w:spacing w:before="9"/>
              <w:jc w:val="left"/>
              <w:rPr>
                <w:sz w:val="17"/>
              </w:rPr>
            </w:pPr>
          </w:p>
          <w:p>
            <w:pPr>
              <w:pStyle w:val="TableParagraph"/>
              <w:ind w:right="59"/>
              <w:rPr>
                <w:sz w:val="17"/>
              </w:rPr>
            </w:pPr>
            <w:r>
              <w:rPr>
                <w:w w:val="90"/>
                <w:sz w:val="17"/>
              </w:rPr>
              <w:t>2181.24</w:t>
            </w:r>
          </w:p>
        </w:tc>
        <w:tc>
          <w:tcPr>
            <w:tcW w:w="757" w:type="dxa"/>
            <w:tcBorders>
              <w:top w:val="nil"/>
              <w:left w:val="nil"/>
              <w:bottom w:val="nil"/>
              <w:right w:val="nil"/>
            </w:tcBorders>
          </w:tcPr>
          <w:p>
            <w:pPr>
              <w:pStyle w:val="TableParagraph"/>
              <w:spacing w:before="9"/>
              <w:jc w:val="left"/>
              <w:rPr>
                <w:sz w:val="17"/>
              </w:rPr>
            </w:pPr>
          </w:p>
          <w:p>
            <w:pPr>
              <w:pStyle w:val="TableParagraph"/>
              <w:ind w:right="61"/>
              <w:rPr>
                <w:sz w:val="17"/>
              </w:rPr>
            </w:pPr>
            <w:r>
              <w:rPr>
                <w:w w:val="90"/>
                <w:sz w:val="17"/>
              </w:rPr>
              <w:t>2774.59</w:t>
            </w:r>
          </w:p>
        </w:tc>
        <w:tc>
          <w:tcPr>
            <w:tcW w:w="754" w:type="dxa"/>
            <w:tcBorders>
              <w:top w:val="nil"/>
              <w:left w:val="nil"/>
              <w:bottom w:val="nil"/>
              <w:right w:val="nil"/>
            </w:tcBorders>
          </w:tcPr>
          <w:p>
            <w:pPr>
              <w:pStyle w:val="TableParagraph"/>
              <w:spacing w:before="9"/>
              <w:jc w:val="left"/>
              <w:rPr>
                <w:sz w:val="17"/>
              </w:rPr>
            </w:pPr>
          </w:p>
          <w:p>
            <w:pPr>
              <w:pStyle w:val="TableParagraph"/>
              <w:ind w:right="57"/>
              <w:rPr>
                <w:sz w:val="17"/>
              </w:rPr>
            </w:pPr>
            <w:r>
              <w:rPr>
                <w:w w:val="90"/>
                <w:sz w:val="17"/>
              </w:rPr>
              <w:t>2756.82</w:t>
            </w:r>
          </w:p>
        </w:tc>
      </w:tr>
      <w:tr>
        <w:trPr>
          <w:trHeight w:val="826" w:hRule="exact"/>
        </w:trPr>
        <w:tc>
          <w:tcPr>
            <w:tcW w:w="1224" w:type="dxa"/>
            <w:tcBorders>
              <w:top w:val="nil"/>
              <w:left w:val="nil"/>
              <w:bottom w:val="nil"/>
              <w:right w:val="nil"/>
            </w:tcBorders>
          </w:tcPr>
          <w:p>
            <w:pPr>
              <w:pStyle w:val="TableParagraph"/>
              <w:spacing w:line="254" w:lineRule="auto"/>
              <w:ind w:left="27" w:right="10"/>
              <w:jc w:val="left"/>
              <w:rPr>
                <w:i/>
                <w:sz w:val="17"/>
              </w:rPr>
            </w:pPr>
            <w:r>
              <w:rPr>
                <w:i/>
                <w:w w:val="95"/>
                <w:sz w:val="17"/>
              </w:rPr>
              <w:t>Motivos de </w:t>
            </w:r>
            <w:r>
              <w:rPr>
                <w:i/>
                <w:sz w:val="17"/>
              </w:rPr>
              <w:t>regreso</w:t>
            </w:r>
          </w:p>
          <w:p>
            <w:pPr>
              <w:pStyle w:val="TableParagraph"/>
              <w:spacing w:line="254" w:lineRule="auto"/>
              <w:ind w:left="27" w:right="402"/>
              <w:jc w:val="left"/>
              <w:rPr>
                <w:sz w:val="17"/>
              </w:rPr>
            </w:pPr>
            <w:r>
              <w:rPr>
                <w:sz w:val="17"/>
              </w:rPr>
              <w:t>Se acabó el trabajo</w:t>
            </w:r>
          </w:p>
        </w:tc>
        <w:tc>
          <w:tcPr>
            <w:tcW w:w="766" w:type="dxa"/>
            <w:tcBorders>
              <w:top w:val="nil"/>
              <w:left w:val="nil"/>
              <w:bottom w:val="nil"/>
              <w:right w:val="nil"/>
            </w:tcBorders>
          </w:tcPr>
          <w:p>
            <w:pPr>
              <w:pStyle w:val="TableParagraph"/>
              <w:spacing w:before="9"/>
              <w:jc w:val="left"/>
              <w:rPr>
                <w:sz w:val="17"/>
              </w:rPr>
            </w:pPr>
          </w:p>
          <w:p>
            <w:pPr>
              <w:pStyle w:val="TableParagraph"/>
              <w:ind w:left="73"/>
              <w:jc w:val="left"/>
              <w:rPr>
                <w:sz w:val="17"/>
              </w:rPr>
            </w:pPr>
            <w:r>
              <w:rPr>
                <w:sz w:val="17"/>
              </w:rPr>
              <w:t>Habla</w:t>
            </w:r>
          </w:p>
          <w:p>
            <w:pPr>
              <w:pStyle w:val="TableParagraph"/>
              <w:spacing w:before="10"/>
              <w:jc w:val="left"/>
              <w:rPr>
                <w:sz w:val="18"/>
              </w:rPr>
            </w:pPr>
          </w:p>
          <w:p>
            <w:pPr>
              <w:pStyle w:val="TableParagraph"/>
              <w:ind w:left="344"/>
              <w:jc w:val="left"/>
              <w:rPr>
                <w:sz w:val="17"/>
              </w:rPr>
            </w:pPr>
            <w:r>
              <w:rPr>
                <w:sz w:val="17"/>
              </w:rPr>
              <w:t>51.37</w:t>
            </w:r>
          </w:p>
        </w:tc>
        <w:tc>
          <w:tcPr>
            <w:tcW w:w="757" w:type="dxa"/>
            <w:tcBorders>
              <w:top w:val="nil"/>
              <w:left w:val="nil"/>
              <w:bottom w:val="nil"/>
              <w:right w:val="nil"/>
            </w:tcBorders>
          </w:tcPr>
          <w:p>
            <w:pPr>
              <w:pStyle w:val="TableParagraph"/>
              <w:spacing w:before="9"/>
              <w:jc w:val="left"/>
              <w:rPr>
                <w:sz w:val="17"/>
              </w:rPr>
            </w:pPr>
          </w:p>
          <w:p>
            <w:pPr>
              <w:pStyle w:val="TableParagraph"/>
              <w:ind w:left="61"/>
              <w:jc w:val="left"/>
              <w:rPr>
                <w:sz w:val="17"/>
              </w:rPr>
            </w:pPr>
            <w:r>
              <w:rPr>
                <w:w w:val="95"/>
                <w:sz w:val="17"/>
              </w:rPr>
              <w:t>No habla</w:t>
            </w:r>
          </w:p>
          <w:p>
            <w:pPr>
              <w:pStyle w:val="TableParagraph"/>
              <w:spacing w:before="10"/>
              <w:jc w:val="left"/>
              <w:rPr>
                <w:sz w:val="18"/>
              </w:rPr>
            </w:pPr>
          </w:p>
          <w:p>
            <w:pPr>
              <w:pStyle w:val="TableParagraph"/>
              <w:ind w:left="413"/>
              <w:jc w:val="left"/>
              <w:rPr>
                <w:sz w:val="17"/>
              </w:rPr>
            </w:pPr>
            <w:r>
              <w:rPr>
                <w:sz w:val="17"/>
              </w:rPr>
              <w:t>1.84</w:t>
            </w:r>
          </w:p>
        </w:tc>
        <w:tc>
          <w:tcPr>
            <w:tcW w:w="629" w:type="dxa"/>
            <w:tcBorders>
              <w:top w:val="nil"/>
              <w:left w:val="nil"/>
              <w:bottom w:val="nil"/>
              <w:right w:val="nil"/>
            </w:tcBorders>
          </w:tcPr>
          <w:p>
            <w:pPr>
              <w:pStyle w:val="TableParagraph"/>
              <w:spacing w:before="9"/>
              <w:jc w:val="left"/>
              <w:rPr>
                <w:sz w:val="17"/>
              </w:rPr>
            </w:pPr>
          </w:p>
          <w:p>
            <w:pPr>
              <w:pStyle w:val="TableParagraph"/>
              <w:ind w:left="63"/>
              <w:jc w:val="left"/>
              <w:rPr>
                <w:sz w:val="17"/>
              </w:rPr>
            </w:pPr>
            <w:r>
              <w:rPr>
                <w:sz w:val="17"/>
              </w:rPr>
              <w:t>Total</w:t>
            </w:r>
          </w:p>
          <w:p>
            <w:pPr>
              <w:pStyle w:val="TableParagraph"/>
              <w:spacing w:before="10"/>
              <w:jc w:val="left"/>
              <w:rPr>
                <w:sz w:val="18"/>
              </w:rPr>
            </w:pPr>
          </w:p>
          <w:p>
            <w:pPr>
              <w:pStyle w:val="TableParagraph"/>
              <w:ind w:left="288"/>
              <w:jc w:val="left"/>
              <w:rPr>
                <w:sz w:val="17"/>
              </w:rPr>
            </w:pPr>
            <w:r>
              <w:rPr>
                <w:sz w:val="17"/>
              </w:rPr>
              <w:t>4.89</w:t>
            </w:r>
          </w:p>
        </w:tc>
        <w:tc>
          <w:tcPr>
            <w:tcW w:w="871" w:type="dxa"/>
            <w:tcBorders>
              <w:top w:val="nil"/>
              <w:left w:val="nil"/>
              <w:bottom w:val="nil"/>
              <w:right w:val="nil"/>
            </w:tcBorders>
          </w:tcPr>
          <w:p>
            <w:pPr>
              <w:pStyle w:val="TableParagraph"/>
              <w:spacing w:line="254" w:lineRule="auto"/>
              <w:ind w:left="60" w:right="17"/>
              <w:jc w:val="left"/>
              <w:rPr>
                <w:sz w:val="17"/>
              </w:rPr>
            </w:pPr>
            <w:r>
              <w:rPr>
                <w:w w:val="95"/>
                <w:sz w:val="17"/>
              </w:rPr>
              <w:t>Motivos de </w:t>
            </w:r>
            <w:r>
              <w:rPr>
                <w:sz w:val="17"/>
              </w:rPr>
              <w:t>regreso</w:t>
            </w:r>
          </w:p>
          <w:p>
            <w:pPr>
              <w:pStyle w:val="TableParagraph"/>
              <w:spacing w:line="254" w:lineRule="auto"/>
              <w:ind w:left="60" w:right="17"/>
              <w:jc w:val="left"/>
              <w:rPr>
                <w:sz w:val="17"/>
              </w:rPr>
            </w:pPr>
            <w:r>
              <w:rPr>
                <w:sz w:val="17"/>
              </w:rPr>
              <w:t>Se acabó el trabajo</w:t>
            </w:r>
          </w:p>
        </w:tc>
        <w:tc>
          <w:tcPr>
            <w:tcW w:w="763" w:type="dxa"/>
            <w:tcBorders>
              <w:top w:val="nil"/>
              <w:left w:val="nil"/>
              <w:bottom w:val="nil"/>
              <w:right w:val="nil"/>
            </w:tcBorders>
          </w:tcPr>
          <w:p>
            <w:pPr>
              <w:pStyle w:val="TableParagraph"/>
              <w:spacing w:before="9"/>
              <w:jc w:val="left"/>
              <w:rPr>
                <w:sz w:val="17"/>
              </w:rPr>
            </w:pPr>
          </w:p>
          <w:p>
            <w:pPr>
              <w:pStyle w:val="TableParagraph"/>
              <w:ind w:left="70"/>
              <w:jc w:val="left"/>
              <w:rPr>
                <w:sz w:val="17"/>
              </w:rPr>
            </w:pPr>
            <w:r>
              <w:rPr>
                <w:sz w:val="17"/>
              </w:rPr>
              <w:t>Habla</w:t>
            </w:r>
          </w:p>
          <w:p>
            <w:pPr>
              <w:pStyle w:val="TableParagraph"/>
              <w:spacing w:before="10"/>
              <w:jc w:val="left"/>
              <w:rPr>
                <w:sz w:val="18"/>
              </w:rPr>
            </w:pPr>
          </w:p>
          <w:p>
            <w:pPr>
              <w:pStyle w:val="TableParagraph"/>
              <w:ind w:left="421"/>
              <w:jc w:val="left"/>
              <w:rPr>
                <w:sz w:val="17"/>
              </w:rPr>
            </w:pPr>
            <w:r>
              <w:rPr>
                <w:sz w:val="17"/>
              </w:rPr>
              <w:t>0.00</w:t>
            </w:r>
          </w:p>
        </w:tc>
        <w:tc>
          <w:tcPr>
            <w:tcW w:w="757" w:type="dxa"/>
            <w:tcBorders>
              <w:top w:val="nil"/>
              <w:left w:val="nil"/>
              <w:bottom w:val="nil"/>
              <w:right w:val="nil"/>
            </w:tcBorders>
          </w:tcPr>
          <w:p>
            <w:pPr>
              <w:pStyle w:val="TableParagraph"/>
              <w:spacing w:before="9"/>
              <w:jc w:val="left"/>
              <w:rPr>
                <w:sz w:val="17"/>
              </w:rPr>
            </w:pPr>
          </w:p>
          <w:p>
            <w:pPr>
              <w:pStyle w:val="TableParagraph"/>
              <w:ind w:left="61"/>
              <w:jc w:val="left"/>
              <w:rPr>
                <w:sz w:val="17"/>
              </w:rPr>
            </w:pPr>
            <w:r>
              <w:rPr>
                <w:w w:val="95"/>
                <w:sz w:val="17"/>
              </w:rPr>
              <w:t>No habla</w:t>
            </w:r>
          </w:p>
          <w:p>
            <w:pPr>
              <w:pStyle w:val="TableParagraph"/>
              <w:spacing w:before="10"/>
              <w:jc w:val="left"/>
              <w:rPr>
                <w:sz w:val="18"/>
              </w:rPr>
            </w:pPr>
          </w:p>
          <w:p>
            <w:pPr>
              <w:pStyle w:val="TableParagraph"/>
              <w:ind w:left="333"/>
              <w:jc w:val="left"/>
              <w:rPr>
                <w:sz w:val="17"/>
              </w:rPr>
            </w:pPr>
            <w:r>
              <w:rPr>
                <w:sz w:val="17"/>
              </w:rPr>
              <w:t>16.30</w:t>
            </w:r>
          </w:p>
        </w:tc>
        <w:tc>
          <w:tcPr>
            <w:tcW w:w="754" w:type="dxa"/>
            <w:tcBorders>
              <w:top w:val="nil"/>
              <w:left w:val="nil"/>
              <w:bottom w:val="nil"/>
              <w:right w:val="nil"/>
            </w:tcBorders>
          </w:tcPr>
          <w:p>
            <w:pPr>
              <w:pStyle w:val="TableParagraph"/>
              <w:spacing w:before="9"/>
              <w:jc w:val="left"/>
              <w:rPr>
                <w:sz w:val="17"/>
              </w:rPr>
            </w:pPr>
          </w:p>
          <w:p>
            <w:pPr>
              <w:pStyle w:val="TableParagraph"/>
              <w:ind w:left="63"/>
              <w:jc w:val="left"/>
              <w:rPr>
                <w:sz w:val="17"/>
              </w:rPr>
            </w:pPr>
            <w:r>
              <w:rPr>
                <w:sz w:val="17"/>
              </w:rPr>
              <w:t>Total</w:t>
            </w:r>
          </w:p>
          <w:p>
            <w:pPr>
              <w:pStyle w:val="TableParagraph"/>
              <w:spacing w:before="10"/>
              <w:jc w:val="left"/>
              <w:rPr>
                <w:sz w:val="18"/>
              </w:rPr>
            </w:pPr>
          </w:p>
          <w:p>
            <w:pPr>
              <w:pStyle w:val="TableParagraph"/>
              <w:ind w:left="334"/>
              <w:jc w:val="left"/>
              <w:rPr>
                <w:sz w:val="17"/>
              </w:rPr>
            </w:pPr>
            <w:r>
              <w:rPr>
                <w:sz w:val="17"/>
              </w:rPr>
              <w:t>15.84</w:t>
            </w:r>
          </w:p>
        </w:tc>
      </w:tr>
      <w:tr>
        <w:trPr>
          <w:trHeight w:val="442" w:hRule="exact"/>
        </w:trPr>
        <w:tc>
          <w:tcPr>
            <w:tcW w:w="1224" w:type="dxa"/>
            <w:tcBorders>
              <w:top w:val="nil"/>
              <w:left w:val="nil"/>
              <w:bottom w:val="nil"/>
              <w:right w:val="nil"/>
            </w:tcBorders>
          </w:tcPr>
          <w:p>
            <w:pPr>
              <w:pStyle w:val="TableParagraph"/>
              <w:spacing w:line="259" w:lineRule="auto"/>
              <w:ind w:left="27" w:right="10"/>
              <w:jc w:val="left"/>
              <w:rPr>
                <w:sz w:val="17"/>
              </w:rPr>
            </w:pPr>
            <w:r>
              <w:rPr>
                <w:w w:val="90"/>
                <w:sz w:val="17"/>
              </w:rPr>
              <w:t>Cuestiones </w:t>
            </w:r>
            <w:r>
              <w:rPr>
                <w:w w:val="95"/>
                <w:sz w:val="17"/>
              </w:rPr>
              <w:t>personales</w:t>
            </w:r>
          </w:p>
        </w:tc>
        <w:tc>
          <w:tcPr>
            <w:tcW w:w="766" w:type="dxa"/>
            <w:tcBorders>
              <w:top w:val="nil"/>
              <w:left w:val="nil"/>
              <w:bottom w:val="nil"/>
              <w:right w:val="nil"/>
            </w:tcBorders>
          </w:tcPr>
          <w:p>
            <w:pPr>
              <w:pStyle w:val="TableParagraph"/>
              <w:spacing w:before="2"/>
              <w:jc w:val="left"/>
              <w:rPr>
                <w:sz w:val="18"/>
              </w:rPr>
            </w:pPr>
          </w:p>
          <w:p>
            <w:pPr>
              <w:pStyle w:val="TableParagraph"/>
              <w:spacing w:before="1"/>
              <w:ind w:right="59"/>
              <w:rPr>
                <w:sz w:val="17"/>
              </w:rPr>
            </w:pPr>
            <w:r>
              <w:rPr>
                <w:w w:val="90"/>
                <w:sz w:val="17"/>
              </w:rPr>
              <w:t>0.00</w:t>
            </w:r>
          </w:p>
        </w:tc>
        <w:tc>
          <w:tcPr>
            <w:tcW w:w="757" w:type="dxa"/>
            <w:tcBorders>
              <w:top w:val="nil"/>
              <w:left w:val="nil"/>
              <w:bottom w:val="nil"/>
              <w:right w:val="nil"/>
            </w:tcBorders>
          </w:tcPr>
          <w:p>
            <w:pPr>
              <w:pStyle w:val="TableParagraph"/>
              <w:spacing w:before="2"/>
              <w:jc w:val="left"/>
              <w:rPr>
                <w:sz w:val="18"/>
              </w:rPr>
            </w:pPr>
          </w:p>
          <w:p>
            <w:pPr>
              <w:pStyle w:val="TableParagraph"/>
              <w:spacing w:before="1"/>
              <w:ind w:right="61"/>
              <w:rPr>
                <w:sz w:val="17"/>
              </w:rPr>
            </w:pPr>
            <w:r>
              <w:rPr>
                <w:w w:val="90"/>
                <w:sz w:val="17"/>
              </w:rPr>
              <w:t>49.39</w:t>
            </w:r>
          </w:p>
        </w:tc>
        <w:tc>
          <w:tcPr>
            <w:tcW w:w="629" w:type="dxa"/>
            <w:tcBorders>
              <w:top w:val="nil"/>
              <w:left w:val="nil"/>
              <w:bottom w:val="nil"/>
              <w:right w:val="nil"/>
            </w:tcBorders>
          </w:tcPr>
          <w:p>
            <w:pPr>
              <w:pStyle w:val="TableParagraph"/>
              <w:spacing w:before="2"/>
              <w:jc w:val="left"/>
              <w:rPr>
                <w:sz w:val="18"/>
              </w:rPr>
            </w:pPr>
          </w:p>
          <w:p>
            <w:pPr>
              <w:pStyle w:val="TableParagraph"/>
              <w:spacing w:before="1"/>
              <w:ind w:right="58"/>
              <w:rPr>
                <w:sz w:val="17"/>
              </w:rPr>
            </w:pPr>
            <w:r>
              <w:rPr>
                <w:w w:val="90"/>
                <w:sz w:val="17"/>
              </w:rPr>
              <w:t>46.35</w:t>
            </w:r>
          </w:p>
        </w:tc>
        <w:tc>
          <w:tcPr>
            <w:tcW w:w="871" w:type="dxa"/>
            <w:tcBorders>
              <w:top w:val="nil"/>
              <w:left w:val="nil"/>
              <w:bottom w:val="nil"/>
              <w:right w:val="nil"/>
            </w:tcBorders>
          </w:tcPr>
          <w:p>
            <w:pPr>
              <w:pStyle w:val="TableParagraph"/>
              <w:spacing w:line="259" w:lineRule="auto"/>
              <w:ind w:left="60" w:right="17"/>
              <w:jc w:val="left"/>
              <w:rPr>
                <w:sz w:val="17"/>
              </w:rPr>
            </w:pPr>
            <w:r>
              <w:rPr>
                <w:sz w:val="17"/>
              </w:rPr>
              <w:t>Visita a </w:t>
            </w:r>
            <w:r>
              <w:rPr>
                <w:w w:val="90"/>
                <w:sz w:val="17"/>
              </w:rPr>
              <w:t>familiares</w:t>
            </w:r>
          </w:p>
        </w:tc>
        <w:tc>
          <w:tcPr>
            <w:tcW w:w="763" w:type="dxa"/>
            <w:tcBorders>
              <w:top w:val="nil"/>
              <w:left w:val="nil"/>
              <w:bottom w:val="nil"/>
              <w:right w:val="nil"/>
            </w:tcBorders>
          </w:tcPr>
          <w:p>
            <w:pPr>
              <w:pStyle w:val="TableParagraph"/>
              <w:spacing w:before="2"/>
              <w:jc w:val="left"/>
              <w:rPr>
                <w:sz w:val="18"/>
              </w:rPr>
            </w:pPr>
          </w:p>
          <w:p>
            <w:pPr>
              <w:pStyle w:val="TableParagraph"/>
              <w:spacing w:before="1"/>
              <w:ind w:right="59"/>
              <w:rPr>
                <w:sz w:val="17"/>
              </w:rPr>
            </w:pPr>
            <w:r>
              <w:rPr>
                <w:w w:val="90"/>
                <w:sz w:val="17"/>
              </w:rPr>
              <w:t>0.00</w:t>
            </w:r>
          </w:p>
        </w:tc>
        <w:tc>
          <w:tcPr>
            <w:tcW w:w="757" w:type="dxa"/>
            <w:tcBorders>
              <w:top w:val="nil"/>
              <w:left w:val="nil"/>
              <w:bottom w:val="nil"/>
              <w:right w:val="nil"/>
            </w:tcBorders>
          </w:tcPr>
          <w:p>
            <w:pPr>
              <w:pStyle w:val="TableParagraph"/>
              <w:spacing w:before="2"/>
              <w:jc w:val="left"/>
              <w:rPr>
                <w:sz w:val="18"/>
              </w:rPr>
            </w:pPr>
          </w:p>
          <w:p>
            <w:pPr>
              <w:pStyle w:val="TableParagraph"/>
              <w:spacing w:before="1"/>
              <w:ind w:right="61"/>
              <w:rPr>
                <w:sz w:val="17"/>
              </w:rPr>
            </w:pPr>
            <w:r>
              <w:rPr>
                <w:w w:val="90"/>
                <w:sz w:val="17"/>
              </w:rPr>
              <w:t>5.41</w:t>
            </w:r>
          </w:p>
        </w:tc>
        <w:tc>
          <w:tcPr>
            <w:tcW w:w="754" w:type="dxa"/>
            <w:tcBorders>
              <w:top w:val="nil"/>
              <w:left w:val="nil"/>
              <w:bottom w:val="nil"/>
              <w:right w:val="nil"/>
            </w:tcBorders>
          </w:tcPr>
          <w:p>
            <w:pPr>
              <w:pStyle w:val="TableParagraph"/>
              <w:spacing w:before="2"/>
              <w:jc w:val="left"/>
              <w:rPr>
                <w:sz w:val="18"/>
              </w:rPr>
            </w:pPr>
          </w:p>
          <w:p>
            <w:pPr>
              <w:pStyle w:val="TableParagraph"/>
              <w:spacing w:before="1"/>
              <w:ind w:right="57"/>
              <w:rPr>
                <w:sz w:val="17"/>
              </w:rPr>
            </w:pPr>
            <w:r>
              <w:rPr>
                <w:w w:val="90"/>
                <w:sz w:val="17"/>
              </w:rPr>
              <w:t>5.25</w:t>
            </w:r>
          </w:p>
        </w:tc>
      </w:tr>
      <w:tr>
        <w:trPr>
          <w:trHeight w:val="643" w:hRule="exact"/>
        </w:trPr>
        <w:tc>
          <w:tcPr>
            <w:tcW w:w="1224" w:type="dxa"/>
            <w:tcBorders>
              <w:top w:val="nil"/>
              <w:left w:val="nil"/>
              <w:bottom w:val="nil"/>
              <w:right w:val="nil"/>
            </w:tcBorders>
          </w:tcPr>
          <w:p>
            <w:pPr>
              <w:pStyle w:val="TableParagraph"/>
              <w:spacing w:before="22"/>
              <w:ind w:left="27" w:right="10"/>
              <w:jc w:val="left"/>
              <w:rPr>
                <w:sz w:val="17"/>
              </w:rPr>
            </w:pPr>
            <w:r>
              <w:rPr>
                <w:w w:val="95"/>
                <w:sz w:val="17"/>
              </w:rPr>
              <w:t>De paseo</w:t>
            </w:r>
          </w:p>
          <w:p>
            <w:pPr>
              <w:pStyle w:val="TableParagraph"/>
              <w:spacing w:line="254" w:lineRule="auto" w:before="11"/>
              <w:ind w:left="27" w:right="279"/>
              <w:jc w:val="left"/>
              <w:rPr>
                <w:sz w:val="17"/>
              </w:rPr>
            </w:pPr>
            <w:r>
              <w:rPr>
                <w:sz w:val="17"/>
              </w:rPr>
              <w:t>Lo regreso la migra</w:t>
            </w:r>
          </w:p>
        </w:tc>
        <w:tc>
          <w:tcPr>
            <w:tcW w:w="766" w:type="dxa"/>
            <w:tcBorders>
              <w:top w:val="nil"/>
              <w:left w:val="nil"/>
              <w:bottom w:val="nil"/>
              <w:right w:val="nil"/>
            </w:tcBorders>
          </w:tcPr>
          <w:p>
            <w:pPr>
              <w:pStyle w:val="TableParagraph"/>
              <w:spacing w:before="22"/>
              <w:ind w:left="424"/>
              <w:jc w:val="left"/>
              <w:rPr>
                <w:sz w:val="17"/>
              </w:rPr>
            </w:pPr>
            <w:r>
              <w:rPr>
                <w:sz w:val="17"/>
              </w:rPr>
              <w:t>0.00</w:t>
            </w:r>
          </w:p>
          <w:p>
            <w:pPr>
              <w:pStyle w:val="TableParagraph"/>
              <w:spacing w:before="10"/>
              <w:jc w:val="left"/>
              <w:rPr>
                <w:sz w:val="18"/>
              </w:rPr>
            </w:pPr>
          </w:p>
          <w:p>
            <w:pPr>
              <w:pStyle w:val="TableParagraph"/>
              <w:ind w:left="344"/>
              <w:jc w:val="left"/>
              <w:rPr>
                <w:sz w:val="17"/>
              </w:rPr>
            </w:pPr>
            <w:r>
              <w:rPr>
                <w:sz w:val="17"/>
              </w:rPr>
              <w:t>48.63</w:t>
            </w:r>
          </w:p>
        </w:tc>
        <w:tc>
          <w:tcPr>
            <w:tcW w:w="757" w:type="dxa"/>
            <w:tcBorders>
              <w:top w:val="nil"/>
              <w:left w:val="nil"/>
              <w:bottom w:val="nil"/>
              <w:right w:val="nil"/>
            </w:tcBorders>
          </w:tcPr>
          <w:p>
            <w:pPr>
              <w:pStyle w:val="TableParagraph"/>
              <w:spacing w:before="22"/>
              <w:ind w:left="413"/>
              <w:jc w:val="left"/>
              <w:rPr>
                <w:sz w:val="17"/>
              </w:rPr>
            </w:pPr>
            <w:r>
              <w:rPr>
                <w:sz w:val="17"/>
              </w:rPr>
              <w:t>4.39</w:t>
            </w:r>
          </w:p>
          <w:p>
            <w:pPr>
              <w:pStyle w:val="TableParagraph"/>
              <w:spacing w:before="10"/>
              <w:jc w:val="left"/>
              <w:rPr>
                <w:sz w:val="18"/>
              </w:rPr>
            </w:pPr>
          </w:p>
          <w:p>
            <w:pPr>
              <w:pStyle w:val="TableParagraph"/>
              <w:ind w:left="333"/>
              <w:jc w:val="left"/>
              <w:rPr>
                <w:sz w:val="17"/>
              </w:rPr>
            </w:pPr>
            <w:r>
              <w:rPr>
                <w:sz w:val="17"/>
              </w:rPr>
              <w:t>18.73</w:t>
            </w:r>
          </w:p>
        </w:tc>
        <w:tc>
          <w:tcPr>
            <w:tcW w:w="629" w:type="dxa"/>
            <w:tcBorders>
              <w:top w:val="nil"/>
              <w:left w:val="nil"/>
              <w:bottom w:val="nil"/>
              <w:right w:val="nil"/>
            </w:tcBorders>
          </w:tcPr>
          <w:p>
            <w:pPr>
              <w:pStyle w:val="TableParagraph"/>
              <w:spacing w:before="22"/>
              <w:ind w:left="288"/>
              <w:jc w:val="left"/>
              <w:rPr>
                <w:sz w:val="17"/>
              </w:rPr>
            </w:pPr>
            <w:r>
              <w:rPr>
                <w:sz w:val="17"/>
              </w:rPr>
              <w:t>4.12</w:t>
            </w:r>
          </w:p>
          <w:p>
            <w:pPr>
              <w:pStyle w:val="TableParagraph"/>
              <w:spacing w:before="10"/>
              <w:jc w:val="left"/>
              <w:rPr>
                <w:sz w:val="18"/>
              </w:rPr>
            </w:pPr>
          </w:p>
          <w:p>
            <w:pPr>
              <w:pStyle w:val="TableParagraph"/>
              <w:ind w:left="208"/>
              <w:jc w:val="left"/>
              <w:rPr>
                <w:sz w:val="17"/>
              </w:rPr>
            </w:pPr>
            <w:r>
              <w:rPr>
                <w:sz w:val="17"/>
              </w:rPr>
              <w:t>20.57</w:t>
            </w:r>
          </w:p>
        </w:tc>
        <w:tc>
          <w:tcPr>
            <w:tcW w:w="871" w:type="dxa"/>
            <w:tcBorders>
              <w:top w:val="nil"/>
              <w:left w:val="nil"/>
              <w:bottom w:val="nil"/>
              <w:right w:val="nil"/>
            </w:tcBorders>
          </w:tcPr>
          <w:p>
            <w:pPr>
              <w:pStyle w:val="TableParagraph"/>
              <w:spacing w:line="254" w:lineRule="auto" w:before="22"/>
              <w:ind w:left="60" w:right="50"/>
              <w:jc w:val="left"/>
              <w:rPr>
                <w:sz w:val="17"/>
              </w:rPr>
            </w:pPr>
            <w:r>
              <w:rPr>
                <w:sz w:val="17"/>
              </w:rPr>
              <w:t>De paseo </w:t>
            </w:r>
            <w:r>
              <w:rPr>
                <w:w w:val="95"/>
                <w:sz w:val="17"/>
              </w:rPr>
              <w:t>Lo regresó la migra</w:t>
            </w:r>
          </w:p>
        </w:tc>
        <w:tc>
          <w:tcPr>
            <w:tcW w:w="763" w:type="dxa"/>
            <w:tcBorders>
              <w:top w:val="nil"/>
              <w:left w:val="nil"/>
              <w:bottom w:val="nil"/>
              <w:right w:val="nil"/>
            </w:tcBorders>
          </w:tcPr>
          <w:p>
            <w:pPr>
              <w:pStyle w:val="TableParagraph"/>
              <w:spacing w:before="22"/>
              <w:ind w:left="421"/>
              <w:jc w:val="left"/>
              <w:rPr>
                <w:sz w:val="17"/>
              </w:rPr>
            </w:pPr>
            <w:r>
              <w:rPr>
                <w:sz w:val="17"/>
              </w:rPr>
              <w:t>9.54</w:t>
            </w:r>
          </w:p>
          <w:p>
            <w:pPr>
              <w:pStyle w:val="TableParagraph"/>
              <w:spacing w:before="10"/>
              <w:jc w:val="left"/>
              <w:rPr>
                <w:sz w:val="18"/>
              </w:rPr>
            </w:pPr>
          </w:p>
          <w:p>
            <w:pPr>
              <w:pStyle w:val="TableParagraph"/>
              <w:ind w:left="341"/>
              <w:jc w:val="left"/>
              <w:rPr>
                <w:sz w:val="17"/>
              </w:rPr>
            </w:pPr>
            <w:r>
              <w:rPr>
                <w:sz w:val="17"/>
              </w:rPr>
              <w:t>81.24</w:t>
            </w:r>
          </w:p>
        </w:tc>
        <w:tc>
          <w:tcPr>
            <w:tcW w:w="757" w:type="dxa"/>
            <w:tcBorders>
              <w:top w:val="nil"/>
              <w:left w:val="nil"/>
              <w:bottom w:val="nil"/>
              <w:right w:val="nil"/>
            </w:tcBorders>
          </w:tcPr>
          <w:p>
            <w:pPr>
              <w:pStyle w:val="TableParagraph"/>
              <w:spacing w:before="22"/>
              <w:ind w:left="413"/>
              <w:jc w:val="left"/>
              <w:rPr>
                <w:sz w:val="17"/>
              </w:rPr>
            </w:pPr>
            <w:r>
              <w:rPr>
                <w:sz w:val="17"/>
              </w:rPr>
              <w:t>2.42</w:t>
            </w:r>
          </w:p>
          <w:p>
            <w:pPr>
              <w:pStyle w:val="TableParagraph"/>
              <w:spacing w:before="10"/>
              <w:jc w:val="left"/>
              <w:rPr>
                <w:sz w:val="18"/>
              </w:rPr>
            </w:pPr>
          </w:p>
          <w:p>
            <w:pPr>
              <w:pStyle w:val="TableParagraph"/>
              <w:ind w:left="333"/>
              <w:jc w:val="left"/>
              <w:rPr>
                <w:sz w:val="17"/>
              </w:rPr>
            </w:pPr>
            <w:r>
              <w:rPr>
                <w:sz w:val="17"/>
              </w:rPr>
              <w:t>45.71</w:t>
            </w:r>
          </w:p>
        </w:tc>
        <w:tc>
          <w:tcPr>
            <w:tcW w:w="754" w:type="dxa"/>
            <w:tcBorders>
              <w:top w:val="nil"/>
              <w:left w:val="nil"/>
              <w:bottom w:val="nil"/>
              <w:right w:val="nil"/>
            </w:tcBorders>
          </w:tcPr>
          <w:p>
            <w:pPr>
              <w:pStyle w:val="TableParagraph"/>
              <w:spacing w:before="22"/>
              <w:ind w:left="413"/>
              <w:jc w:val="left"/>
              <w:rPr>
                <w:sz w:val="17"/>
              </w:rPr>
            </w:pPr>
            <w:r>
              <w:rPr>
                <w:sz w:val="17"/>
              </w:rPr>
              <w:t>2.62</w:t>
            </w:r>
          </w:p>
          <w:p>
            <w:pPr>
              <w:pStyle w:val="TableParagraph"/>
              <w:spacing w:before="10"/>
              <w:jc w:val="left"/>
              <w:rPr>
                <w:sz w:val="18"/>
              </w:rPr>
            </w:pPr>
          </w:p>
          <w:p>
            <w:pPr>
              <w:pStyle w:val="TableParagraph"/>
              <w:ind w:left="334"/>
              <w:jc w:val="left"/>
              <w:rPr>
                <w:sz w:val="17"/>
              </w:rPr>
            </w:pPr>
            <w:r>
              <w:rPr>
                <w:sz w:val="17"/>
              </w:rPr>
              <w:t>46.72</w:t>
            </w:r>
          </w:p>
        </w:tc>
      </w:tr>
      <w:tr>
        <w:trPr>
          <w:trHeight w:val="413" w:hRule="exact"/>
        </w:trPr>
        <w:tc>
          <w:tcPr>
            <w:tcW w:w="1224" w:type="dxa"/>
            <w:tcBorders>
              <w:top w:val="nil"/>
              <w:left w:val="nil"/>
              <w:bottom w:val="nil"/>
              <w:right w:val="nil"/>
            </w:tcBorders>
          </w:tcPr>
          <w:p>
            <w:pPr>
              <w:pStyle w:val="TableParagraph"/>
              <w:spacing w:before="9"/>
              <w:jc w:val="left"/>
              <w:rPr>
                <w:sz w:val="17"/>
              </w:rPr>
            </w:pPr>
          </w:p>
          <w:p>
            <w:pPr>
              <w:pStyle w:val="TableParagraph"/>
              <w:ind w:left="27" w:right="10"/>
              <w:jc w:val="left"/>
              <w:rPr>
                <w:sz w:val="17"/>
              </w:rPr>
            </w:pPr>
            <w:r>
              <w:rPr>
                <w:sz w:val="17"/>
              </w:rPr>
              <w:t>Trabajar</w:t>
            </w:r>
          </w:p>
        </w:tc>
        <w:tc>
          <w:tcPr>
            <w:tcW w:w="766" w:type="dxa"/>
            <w:tcBorders>
              <w:top w:val="nil"/>
              <w:left w:val="nil"/>
              <w:bottom w:val="nil"/>
              <w:right w:val="nil"/>
            </w:tcBorders>
          </w:tcPr>
          <w:p>
            <w:pPr>
              <w:pStyle w:val="TableParagraph"/>
              <w:spacing w:before="9"/>
              <w:jc w:val="left"/>
              <w:rPr>
                <w:sz w:val="17"/>
              </w:rPr>
            </w:pPr>
          </w:p>
          <w:p>
            <w:pPr>
              <w:pStyle w:val="TableParagraph"/>
              <w:ind w:right="59"/>
              <w:rPr>
                <w:sz w:val="17"/>
              </w:rPr>
            </w:pPr>
            <w:r>
              <w:rPr>
                <w:w w:val="90"/>
                <w:sz w:val="17"/>
              </w:rPr>
              <w:t>0.00</w:t>
            </w:r>
          </w:p>
        </w:tc>
        <w:tc>
          <w:tcPr>
            <w:tcW w:w="757" w:type="dxa"/>
            <w:tcBorders>
              <w:top w:val="nil"/>
              <w:left w:val="nil"/>
              <w:bottom w:val="nil"/>
              <w:right w:val="nil"/>
            </w:tcBorders>
          </w:tcPr>
          <w:p>
            <w:pPr>
              <w:pStyle w:val="TableParagraph"/>
              <w:spacing w:before="9"/>
              <w:jc w:val="left"/>
              <w:rPr>
                <w:sz w:val="17"/>
              </w:rPr>
            </w:pPr>
          </w:p>
          <w:p>
            <w:pPr>
              <w:pStyle w:val="TableParagraph"/>
              <w:ind w:right="61"/>
              <w:rPr>
                <w:sz w:val="17"/>
              </w:rPr>
            </w:pPr>
            <w:r>
              <w:rPr>
                <w:w w:val="90"/>
                <w:sz w:val="17"/>
              </w:rPr>
              <w:t>3.11</w:t>
            </w:r>
          </w:p>
        </w:tc>
        <w:tc>
          <w:tcPr>
            <w:tcW w:w="629" w:type="dxa"/>
            <w:tcBorders>
              <w:top w:val="nil"/>
              <w:left w:val="nil"/>
              <w:bottom w:val="nil"/>
              <w:right w:val="nil"/>
            </w:tcBorders>
          </w:tcPr>
          <w:p>
            <w:pPr>
              <w:pStyle w:val="TableParagraph"/>
              <w:spacing w:before="9"/>
              <w:jc w:val="left"/>
              <w:rPr>
                <w:sz w:val="17"/>
              </w:rPr>
            </w:pPr>
          </w:p>
          <w:p>
            <w:pPr>
              <w:pStyle w:val="TableParagraph"/>
              <w:ind w:right="58"/>
              <w:rPr>
                <w:sz w:val="17"/>
              </w:rPr>
            </w:pPr>
            <w:r>
              <w:rPr>
                <w:w w:val="90"/>
                <w:sz w:val="17"/>
              </w:rPr>
              <w:t>2.92</w:t>
            </w:r>
          </w:p>
        </w:tc>
        <w:tc>
          <w:tcPr>
            <w:tcW w:w="871" w:type="dxa"/>
            <w:tcBorders>
              <w:top w:val="nil"/>
              <w:left w:val="nil"/>
              <w:bottom w:val="nil"/>
              <w:right w:val="nil"/>
            </w:tcBorders>
          </w:tcPr>
          <w:p>
            <w:pPr>
              <w:pStyle w:val="TableParagraph"/>
              <w:spacing w:line="254" w:lineRule="auto"/>
              <w:ind w:left="60" w:right="17"/>
              <w:jc w:val="left"/>
              <w:rPr>
                <w:sz w:val="17"/>
              </w:rPr>
            </w:pPr>
            <w:r>
              <w:rPr>
                <w:w w:val="95"/>
                <w:sz w:val="17"/>
              </w:rPr>
              <w:t>Trabajar en su país</w:t>
            </w:r>
          </w:p>
        </w:tc>
        <w:tc>
          <w:tcPr>
            <w:tcW w:w="763" w:type="dxa"/>
            <w:tcBorders>
              <w:top w:val="nil"/>
              <w:left w:val="nil"/>
              <w:bottom w:val="nil"/>
              <w:right w:val="nil"/>
            </w:tcBorders>
          </w:tcPr>
          <w:p>
            <w:pPr>
              <w:pStyle w:val="TableParagraph"/>
              <w:spacing w:before="9"/>
              <w:jc w:val="left"/>
              <w:rPr>
                <w:sz w:val="17"/>
              </w:rPr>
            </w:pPr>
          </w:p>
          <w:p>
            <w:pPr>
              <w:pStyle w:val="TableParagraph"/>
              <w:ind w:right="59"/>
              <w:rPr>
                <w:sz w:val="17"/>
              </w:rPr>
            </w:pPr>
            <w:r>
              <w:rPr>
                <w:w w:val="90"/>
                <w:sz w:val="17"/>
              </w:rPr>
              <w:t>0.00</w:t>
            </w:r>
          </w:p>
        </w:tc>
        <w:tc>
          <w:tcPr>
            <w:tcW w:w="757" w:type="dxa"/>
            <w:tcBorders>
              <w:top w:val="nil"/>
              <w:left w:val="nil"/>
              <w:bottom w:val="nil"/>
              <w:right w:val="nil"/>
            </w:tcBorders>
          </w:tcPr>
          <w:p>
            <w:pPr>
              <w:pStyle w:val="TableParagraph"/>
              <w:spacing w:before="9"/>
              <w:jc w:val="left"/>
              <w:rPr>
                <w:sz w:val="17"/>
              </w:rPr>
            </w:pPr>
          </w:p>
          <w:p>
            <w:pPr>
              <w:pStyle w:val="TableParagraph"/>
              <w:ind w:right="61"/>
              <w:rPr>
                <w:sz w:val="17"/>
              </w:rPr>
            </w:pPr>
            <w:r>
              <w:rPr>
                <w:w w:val="90"/>
                <w:sz w:val="17"/>
              </w:rPr>
              <w:t>8.47</w:t>
            </w:r>
          </w:p>
        </w:tc>
        <w:tc>
          <w:tcPr>
            <w:tcW w:w="754" w:type="dxa"/>
            <w:tcBorders>
              <w:top w:val="nil"/>
              <w:left w:val="nil"/>
              <w:bottom w:val="nil"/>
              <w:right w:val="nil"/>
            </w:tcBorders>
          </w:tcPr>
          <w:p>
            <w:pPr>
              <w:pStyle w:val="TableParagraph"/>
              <w:spacing w:before="9"/>
              <w:jc w:val="left"/>
              <w:rPr>
                <w:sz w:val="17"/>
              </w:rPr>
            </w:pPr>
          </w:p>
          <w:p>
            <w:pPr>
              <w:pStyle w:val="TableParagraph"/>
              <w:ind w:right="57"/>
              <w:rPr>
                <w:sz w:val="17"/>
              </w:rPr>
            </w:pPr>
            <w:r>
              <w:rPr>
                <w:w w:val="90"/>
                <w:sz w:val="17"/>
              </w:rPr>
              <w:t>8.23</w:t>
            </w:r>
          </w:p>
        </w:tc>
      </w:tr>
      <w:tr>
        <w:trPr>
          <w:trHeight w:val="415" w:hRule="exact"/>
        </w:trPr>
        <w:tc>
          <w:tcPr>
            <w:tcW w:w="1224" w:type="dxa"/>
            <w:tcBorders>
              <w:top w:val="nil"/>
              <w:left w:val="nil"/>
              <w:bottom w:val="nil"/>
              <w:right w:val="nil"/>
            </w:tcBorders>
          </w:tcPr>
          <w:p>
            <w:pPr>
              <w:pStyle w:val="TableParagraph"/>
              <w:spacing w:before="9"/>
              <w:jc w:val="left"/>
              <w:rPr>
                <w:sz w:val="17"/>
              </w:rPr>
            </w:pPr>
          </w:p>
          <w:p>
            <w:pPr>
              <w:pStyle w:val="TableParagraph"/>
              <w:ind w:left="27" w:right="10"/>
              <w:jc w:val="left"/>
              <w:rPr>
                <w:sz w:val="17"/>
              </w:rPr>
            </w:pPr>
            <w:r>
              <w:rPr>
                <w:w w:val="95"/>
                <w:sz w:val="17"/>
              </w:rPr>
              <w:t>No encontró</w:t>
            </w:r>
          </w:p>
        </w:tc>
        <w:tc>
          <w:tcPr>
            <w:tcW w:w="766" w:type="dxa"/>
            <w:tcBorders>
              <w:top w:val="nil"/>
              <w:left w:val="nil"/>
              <w:bottom w:val="nil"/>
              <w:right w:val="nil"/>
            </w:tcBorders>
          </w:tcPr>
          <w:p>
            <w:pPr/>
          </w:p>
        </w:tc>
        <w:tc>
          <w:tcPr>
            <w:tcW w:w="757" w:type="dxa"/>
            <w:tcBorders>
              <w:top w:val="nil"/>
              <w:left w:val="nil"/>
              <w:bottom w:val="nil"/>
              <w:right w:val="nil"/>
            </w:tcBorders>
          </w:tcPr>
          <w:p>
            <w:pPr/>
          </w:p>
        </w:tc>
        <w:tc>
          <w:tcPr>
            <w:tcW w:w="629" w:type="dxa"/>
            <w:tcBorders>
              <w:top w:val="nil"/>
              <w:left w:val="nil"/>
              <w:bottom w:val="nil"/>
              <w:right w:val="nil"/>
            </w:tcBorders>
          </w:tcPr>
          <w:p>
            <w:pPr/>
          </w:p>
        </w:tc>
        <w:tc>
          <w:tcPr>
            <w:tcW w:w="871" w:type="dxa"/>
            <w:tcBorders>
              <w:top w:val="nil"/>
              <w:left w:val="nil"/>
              <w:bottom w:val="nil"/>
              <w:right w:val="nil"/>
            </w:tcBorders>
          </w:tcPr>
          <w:p>
            <w:pPr>
              <w:pStyle w:val="TableParagraph"/>
              <w:spacing w:line="254" w:lineRule="auto"/>
              <w:ind w:left="60" w:right="88"/>
              <w:jc w:val="left"/>
              <w:rPr>
                <w:sz w:val="17"/>
              </w:rPr>
            </w:pPr>
            <w:r>
              <w:rPr>
                <w:sz w:val="17"/>
              </w:rPr>
              <w:t>No </w:t>
            </w:r>
            <w:r>
              <w:rPr>
                <w:w w:val="90"/>
                <w:sz w:val="17"/>
              </w:rPr>
              <w:t>encontró</w:t>
            </w:r>
          </w:p>
        </w:tc>
        <w:tc>
          <w:tcPr>
            <w:tcW w:w="763" w:type="dxa"/>
            <w:tcBorders>
              <w:top w:val="nil"/>
              <w:left w:val="nil"/>
              <w:bottom w:val="nil"/>
              <w:right w:val="nil"/>
            </w:tcBorders>
          </w:tcPr>
          <w:p>
            <w:pPr/>
          </w:p>
        </w:tc>
        <w:tc>
          <w:tcPr>
            <w:tcW w:w="757" w:type="dxa"/>
            <w:tcBorders>
              <w:top w:val="nil"/>
              <w:left w:val="nil"/>
              <w:bottom w:val="nil"/>
              <w:right w:val="nil"/>
            </w:tcBorders>
          </w:tcPr>
          <w:p>
            <w:pPr/>
          </w:p>
        </w:tc>
        <w:tc>
          <w:tcPr>
            <w:tcW w:w="754" w:type="dxa"/>
            <w:tcBorders>
              <w:top w:val="nil"/>
              <w:left w:val="nil"/>
              <w:bottom w:val="nil"/>
              <w:right w:val="nil"/>
            </w:tcBorders>
          </w:tcPr>
          <w:p>
            <w:pPr/>
          </w:p>
        </w:tc>
      </w:tr>
      <w:tr>
        <w:trPr>
          <w:trHeight w:val="233" w:hRule="exact"/>
        </w:trPr>
        <w:tc>
          <w:tcPr>
            <w:tcW w:w="1224" w:type="dxa"/>
            <w:tcBorders>
              <w:top w:val="nil"/>
              <w:left w:val="nil"/>
              <w:bottom w:val="nil"/>
              <w:right w:val="nil"/>
            </w:tcBorders>
          </w:tcPr>
          <w:p>
            <w:pPr>
              <w:pStyle w:val="TableParagraph"/>
              <w:spacing w:before="1"/>
              <w:ind w:left="27" w:right="10"/>
              <w:jc w:val="left"/>
              <w:rPr>
                <w:sz w:val="17"/>
              </w:rPr>
            </w:pPr>
            <w:r>
              <w:rPr>
                <w:sz w:val="17"/>
              </w:rPr>
              <w:t>trabajo</w:t>
            </w:r>
          </w:p>
        </w:tc>
        <w:tc>
          <w:tcPr>
            <w:tcW w:w="766" w:type="dxa"/>
            <w:tcBorders>
              <w:top w:val="nil"/>
              <w:left w:val="nil"/>
              <w:bottom w:val="nil"/>
              <w:right w:val="nil"/>
            </w:tcBorders>
          </w:tcPr>
          <w:p>
            <w:pPr>
              <w:pStyle w:val="TableParagraph"/>
              <w:spacing w:before="1"/>
              <w:ind w:right="59"/>
              <w:rPr>
                <w:sz w:val="17"/>
              </w:rPr>
            </w:pPr>
            <w:r>
              <w:rPr>
                <w:w w:val="90"/>
                <w:sz w:val="17"/>
              </w:rPr>
              <w:t>0.00</w:t>
            </w:r>
          </w:p>
        </w:tc>
        <w:tc>
          <w:tcPr>
            <w:tcW w:w="757" w:type="dxa"/>
            <w:tcBorders>
              <w:top w:val="nil"/>
              <w:left w:val="nil"/>
              <w:bottom w:val="nil"/>
              <w:right w:val="nil"/>
            </w:tcBorders>
          </w:tcPr>
          <w:p>
            <w:pPr>
              <w:pStyle w:val="TableParagraph"/>
              <w:spacing w:before="1"/>
              <w:ind w:right="61"/>
              <w:rPr>
                <w:sz w:val="17"/>
              </w:rPr>
            </w:pPr>
            <w:r>
              <w:rPr>
                <w:w w:val="90"/>
                <w:sz w:val="17"/>
              </w:rPr>
              <w:t>0.73</w:t>
            </w:r>
          </w:p>
        </w:tc>
        <w:tc>
          <w:tcPr>
            <w:tcW w:w="629" w:type="dxa"/>
            <w:tcBorders>
              <w:top w:val="nil"/>
              <w:left w:val="nil"/>
              <w:bottom w:val="nil"/>
              <w:right w:val="nil"/>
            </w:tcBorders>
          </w:tcPr>
          <w:p>
            <w:pPr>
              <w:pStyle w:val="TableParagraph"/>
              <w:spacing w:before="1"/>
              <w:ind w:right="58"/>
              <w:rPr>
                <w:sz w:val="17"/>
              </w:rPr>
            </w:pPr>
            <w:r>
              <w:rPr>
                <w:w w:val="90"/>
                <w:sz w:val="17"/>
              </w:rPr>
              <w:t>0.69</w:t>
            </w:r>
          </w:p>
        </w:tc>
        <w:tc>
          <w:tcPr>
            <w:tcW w:w="871" w:type="dxa"/>
            <w:tcBorders>
              <w:top w:val="nil"/>
              <w:left w:val="nil"/>
              <w:bottom w:val="nil"/>
              <w:right w:val="nil"/>
            </w:tcBorders>
          </w:tcPr>
          <w:p>
            <w:pPr>
              <w:pStyle w:val="TableParagraph"/>
              <w:spacing w:before="1"/>
              <w:ind w:left="60" w:right="17"/>
              <w:jc w:val="left"/>
              <w:rPr>
                <w:sz w:val="17"/>
              </w:rPr>
            </w:pPr>
            <w:r>
              <w:rPr>
                <w:sz w:val="17"/>
              </w:rPr>
              <w:t>trabajo</w:t>
            </w:r>
          </w:p>
        </w:tc>
        <w:tc>
          <w:tcPr>
            <w:tcW w:w="763" w:type="dxa"/>
            <w:tcBorders>
              <w:top w:val="nil"/>
              <w:left w:val="nil"/>
              <w:bottom w:val="nil"/>
              <w:right w:val="nil"/>
            </w:tcBorders>
          </w:tcPr>
          <w:p>
            <w:pPr>
              <w:pStyle w:val="TableParagraph"/>
              <w:spacing w:before="1"/>
              <w:ind w:right="59"/>
              <w:rPr>
                <w:sz w:val="17"/>
              </w:rPr>
            </w:pPr>
            <w:r>
              <w:rPr>
                <w:w w:val="90"/>
                <w:sz w:val="17"/>
              </w:rPr>
              <w:t>0.00</w:t>
            </w:r>
          </w:p>
        </w:tc>
        <w:tc>
          <w:tcPr>
            <w:tcW w:w="757" w:type="dxa"/>
            <w:tcBorders>
              <w:top w:val="nil"/>
              <w:left w:val="nil"/>
              <w:bottom w:val="nil"/>
              <w:right w:val="nil"/>
            </w:tcBorders>
          </w:tcPr>
          <w:p>
            <w:pPr>
              <w:pStyle w:val="TableParagraph"/>
              <w:spacing w:before="1"/>
              <w:ind w:right="61"/>
              <w:rPr>
                <w:sz w:val="17"/>
              </w:rPr>
            </w:pPr>
            <w:r>
              <w:rPr>
                <w:w w:val="90"/>
                <w:sz w:val="17"/>
              </w:rPr>
              <w:t>0.92</w:t>
            </w:r>
          </w:p>
        </w:tc>
        <w:tc>
          <w:tcPr>
            <w:tcW w:w="754" w:type="dxa"/>
            <w:tcBorders>
              <w:top w:val="nil"/>
              <w:left w:val="nil"/>
              <w:bottom w:val="nil"/>
              <w:right w:val="nil"/>
            </w:tcBorders>
          </w:tcPr>
          <w:p>
            <w:pPr>
              <w:pStyle w:val="TableParagraph"/>
              <w:spacing w:before="1"/>
              <w:ind w:right="57"/>
              <w:rPr>
                <w:sz w:val="17"/>
              </w:rPr>
            </w:pPr>
            <w:r>
              <w:rPr>
                <w:w w:val="90"/>
                <w:sz w:val="17"/>
              </w:rPr>
              <w:t>0.90</w:t>
            </w:r>
          </w:p>
        </w:tc>
      </w:tr>
      <w:tr>
        <w:trPr>
          <w:trHeight w:val="643" w:hRule="exact"/>
        </w:trPr>
        <w:tc>
          <w:tcPr>
            <w:tcW w:w="1224" w:type="dxa"/>
            <w:tcBorders>
              <w:top w:val="nil"/>
              <w:left w:val="nil"/>
              <w:bottom w:val="nil"/>
              <w:right w:val="nil"/>
            </w:tcBorders>
          </w:tcPr>
          <w:p>
            <w:pPr>
              <w:pStyle w:val="TableParagraph"/>
              <w:spacing w:before="22"/>
              <w:ind w:left="27" w:right="10"/>
              <w:jc w:val="left"/>
              <w:rPr>
                <w:sz w:val="17"/>
              </w:rPr>
            </w:pPr>
            <w:r>
              <w:rPr>
                <w:w w:val="95"/>
                <w:sz w:val="17"/>
              </w:rPr>
              <w:t>Otra razón</w:t>
            </w:r>
          </w:p>
          <w:p>
            <w:pPr>
              <w:pStyle w:val="TableParagraph"/>
              <w:spacing w:before="10"/>
              <w:jc w:val="left"/>
              <w:rPr>
                <w:sz w:val="18"/>
              </w:rPr>
            </w:pPr>
          </w:p>
          <w:p>
            <w:pPr>
              <w:pStyle w:val="TableParagraph"/>
              <w:ind w:left="27" w:right="10"/>
              <w:jc w:val="left"/>
              <w:rPr>
                <w:sz w:val="17"/>
              </w:rPr>
            </w:pPr>
            <w:r>
              <w:rPr>
                <w:sz w:val="17"/>
              </w:rPr>
              <w:t>NE</w:t>
            </w:r>
          </w:p>
        </w:tc>
        <w:tc>
          <w:tcPr>
            <w:tcW w:w="766" w:type="dxa"/>
            <w:tcBorders>
              <w:top w:val="nil"/>
              <w:left w:val="nil"/>
              <w:bottom w:val="nil"/>
              <w:right w:val="nil"/>
            </w:tcBorders>
          </w:tcPr>
          <w:p>
            <w:pPr>
              <w:pStyle w:val="TableParagraph"/>
              <w:spacing w:before="22"/>
              <w:ind w:left="424"/>
              <w:jc w:val="left"/>
              <w:rPr>
                <w:sz w:val="17"/>
              </w:rPr>
            </w:pPr>
            <w:r>
              <w:rPr>
                <w:sz w:val="17"/>
              </w:rPr>
              <w:t>0.00</w:t>
            </w:r>
          </w:p>
          <w:p>
            <w:pPr>
              <w:pStyle w:val="TableParagraph"/>
              <w:spacing w:before="10"/>
              <w:jc w:val="left"/>
              <w:rPr>
                <w:sz w:val="18"/>
              </w:rPr>
            </w:pPr>
          </w:p>
          <w:p>
            <w:pPr>
              <w:pStyle w:val="TableParagraph"/>
              <w:ind w:left="424"/>
              <w:jc w:val="left"/>
              <w:rPr>
                <w:sz w:val="17"/>
              </w:rPr>
            </w:pPr>
            <w:r>
              <w:rPr>
                <w:sz w:val="17"/>
              </w:rPr>
              <w:t>0.00</w:t>
            </w:r>
          </w:p>
        </w:tc>
        <w:tc>
          <w:tcPr>
            <w:tcW w:w="757" w:type="dxa"/>
            <w:tcBorders>
              <w:top w:val="nil"/>
              <w:left w:val="nil"/>
              <w:bottom w:val="nil"/>
              <w:right w:val="nil"/>
            </w:tcBorders>
          </w:tcPr>
          <w:p>
            <w:pPr>
              <w:pStyle w:val="TableParagraph"/>
              <w:spacing w:before="22"/>
              <w:ind w:left="333"/>
              <w:jc w:val="left"/>
              <w:rPr>
                <w:sz w:val="17"/>
              </w:rPr>
            </w:pPr>
            <w:r>
              <w:rPr>
                <w:sz w:val="17"/>
              </w:rPr>
              <w:t>19.42</w:t>
            </w:r>
          </w:p>
          <w:p>
            <w:pPr>
              <w:pStyle w:val="TableParagraph"/>
              <w:spacing w:before="10"/>
              <w:jc w:val="left"/>
              <w:rPr>
                <w:sz w:val="18"/>
              </w:rPr>
            </w:pPr>
          </w:p>
          <w:p>
            <w:pPr>
              <w:pStyle w:val="TableParagraph"/>
              <w:ind w:left="413"/>
              <w:jc w:val="left"/>
              <w:rPr>
                <w:sz w:val="17"/>
              </w:rPr>
            </w:pPr>
            <w:r>
              <w:rPr>
                <w:sz w:val="17"/>
              </w:rPr>
              <w:t>2.38</w:t>
            </w:r>
          </w:p>
        </w:tc>
        <w:tc>
          <w:tcPr>
            <w:tcW w:w="629" w:type="dxa"/>
            <w:tcBorders>
              <w:top w:val="nil"/>
              <w:left w:val="nil"/>
              <w:bottom w:val="nil"/>
              <w:right w:val="nil"/>
            </w:tcBorders>
          </w:tcPr>
          <w:p>
            <w:pPr>
              <w:pStyle w:val="TableParagraph"/>
              <w:spacing w:before="22"/>
              <w:ind w:left="208"/>
              <w:jc w:val="left"/>
              <w:rPr>
                <w:sz w:val="17"/>
              </w:rPr>
            </w:pPr>
            <w:r>
              <w:rPr>
                <w:sz w:val="17"/>
              </w:rPr>
              <w:t>18.23</w:t>
            </w:r>
          </w:p>
          <w:p>
            <w:pPr>
              <w:pStyle w:val="TableParagraph"/>
              <w:spacing w:before="10"/>
              <w:jc w:val="left"/>
              <w:rPr>
                <w:sz w:val="18"/>
              </w:rPr>
            </w:pPr>
          </w:p>
          <w:p>
            <w:pPr>
              <w:pStyle w:val="TableParagraph"/>
              <w:ind w:left="288"/>
              <w:jc w:val="left"/>
              <w:rPr>
                <w:sz w:val="17"/>
              </w:rPr>
            </w:pPr>
            <w:r>
              <w:rPr>
                <w:sz w:val="17"/>
              </w:rPr>
              <w:t>2.23</w:t>
            </w:r>
          </w:p>
        </w:tc>
        <w:tc>
          <w:tcPr>
            <w:tcW w:w="871" w:type="dxa"/>
            <w:tcBorders>
              <w:top w:val="nil"/>
              <w:left w:val="nil"/>
              <w:bottom w:val="nil"/>
              <w:right w:val="nil"/>
            </w:tcBorders>
          </w:tcPr>
          <w:p>
            <w:pPr>
              <w:pStyle w:val="TableParagraph"/>
              <w:spacing w:line="254" w:lineRule="auto" w:before="22"/>
              <w:ind w:left="60" w:right="17"/>
              <w:jc w:val="left"/>
              <w:rPr>
                <w:sz w:val="17"/>
              </w:rPr>
            </w:pPr>
            <w:r>
              <w:rPr>
                <w:sz w:val="17"/>
              </w:rPr>
              <w:t>Otra razón </w:t>
            </w:r>
            <w:r>
              <w:rPr>
                <w:w w:val="95"/>
                <w:sz w:val="17"/>
              </w:rPr>
              <w:t>Trabaja por </w:t>
            </w:r>
            <w:r>
              <w:rPr>
                <w:w w:val="90"/>
                <w:sz w:val="17"/>
              </w:rPr>
              <w:t>temporadas</w:t>
            </w:r>
          </w:p>
        </w:tc>
        <w:tc>
          <w:tcPr>
            <w:tcW w:w="763" w:type="dxa"/>
            <w:tcBorders>
              <w:top w:val="nil"/>
              <w:left w:val="nil"/>
              <w:bottom w:val="nil"/>
              <w:right w:val="nil"/>
            </w:tcBorders>
          </w:tcPr>
          <w:p>
            <w:pPr>
              <w:pStyle w:val="TableParagraph"/>
              <w:spacing w:before="22"/>
              <w:ind w:left="421"/>
              <w:jc w:val="left"/>
              <w:rPr>
                <w:sz w:val="17"/>
              </w:rPr>
            </w:pPr>
            <w:r>
              <w:rPr>
                <w:sz w:val="17"/>
              </w:rPr>
              <w:t>0.00</w:t>
            </w:r>
          </w:p>
          <w:p>
            <w:pPr>
              <w:pStyle w:val="TableParagraph"/>
              <w:spacing w:before="10"/>
              <w:jc w:val="left"/>
              <w:rPr>
                <w:sz w:val="18"/>
              </w:rPr>
            </w:pPr>
          </w:p>
          <w:p>
            <w:pPr>
              <w:pStyle w:val="TableParagraph"/>
              <w:ind w:left="421"/>
              <w:jc w:val="left"/>
              <w:rPr>
                <w:sz w:val="17"/>
              </w:rPr>
            </w:pPr>
            <w:r>
              <w:rPr>
                <w:sz w:val="17"/>
              </w:rPr>
              <w:t>0.00</w:t>
            </w:r>
          </w:p>
        </w:tc>
        <w:tc>
          <w:tcPr>
            <w:tcW w:w="757" w:type="dxa"/>
            <w:tcBorders>
              <w:top w:val="nil"/>
              <w:left w:val="nil"/>
              <w:bottom w:val="nil"/>
              <w:right w:val="nil"/>
            </w:tcBorders>
          </w:tcPr>
          <w:p>
            <w:pPr>
              <w:pStyle w:val="TableParagraph"/>
              <w:spacing w:before="22"/>
              <w:ind w:left="333"/>
              <w:jc w:val="left"/>
              <w:rPr>
                <w:sz w:val="17"/>
              </w:rPr>
            </w:pPr>
            <w:r>
              <w:rPr>
                <w:sz w:val="17"/>
              </w:rPr>
              <w:t>13.24</w:t>
            </w:r>
          </w:p>
          <w:p>
            <w:pPr>
              <w:pStyle w:val="TableParagraph"/>
              <w:spacing w:before="10"/>
              <w:jc w:val="left"/>
              <w:rPr>
                <w:sz w:val="18"/>
              </w:rPr>
            </w:pPr>
          </w:p>
          <w:p>
            <w:pPr>
              <w:pStyle w:val="TableParagraph"/>
              <w:ind w:left="413"/>
              <w:jc w:val="left"/>
              <w:rPr>
                <w:sz w:val="17"/>
              </w:rPr>
            </w:pPr>
            <w:r>
              <w:rPr>
                <w:sz w:val="17"/>
              </w:rPr>
              <w:t>4.32</w:t>
            </w:r>
          </w:p>
        </w:tc>
        <w:tc>
          <w:tcPr>
            <w:tcW w:w="754" w:type="dxa"/>
            <w:tcBorders>
              <w:top w:val="nil"/>
              <w:left w:val="nil"/>
              <w:bottom w:val="nil"/>
              <w:right w:val="nil"/>
            </w:tcBorders>
          </w:tcPr>
          <w:p>
            <w:pPr>
              <w:pStyle w:val="TableParagraph"/>
              <w:spacing w:before="22"/>
              <w:ind w:left="334"/>
              <w:jc w:val="left"/>
              <w:rPr>
                <w:sz w:val="17"/>
              </w:rPr>
            </w:pPr>
            <w:r>
              <w:rPr>
                <w:sz w:val="17"/>
              </w:rPr>
              <w:t>12.87</w:t>
            </w:r>
          </w:p>
          <w:p>
            <w:pPr>
              <w:pStyle w:val="TableParagraph"/>
              <w:spacing w:before="10"/>
              <w:jc w:val="left"/>
              <w:rPr>
                <w:sz w:val="18"/>
              </w:rPr>
            </w:pPr>
          </w:p>
          <w:p>
            <w:pPr>
              <w:pStyle w:val="TableParagraph"/>
              <w:ind w:left="413"/>
              <w:jc w:val="left"/>
              <w:rPr>
                <w:sz w:val="17"/>
              </w:rPr>
            </w:pPr>
            <w:r>
              <w:rPr>
                <w:sz w:val="17"/>
              </w:rPr>
              <w:t>4.20</w:t>
            </w:r>
          </w:p>
        </w:tc>
      </w:tr>
      <w:tr>
        <w:trPr>
          <w:trHeight w:val="413" w:hRule="exact"/>
        </w:trPr>
        <w:tc>
          <w:tcPr>
            <w:tcW w:w="1224" w:type="dxa"/>
            <w:tcBorders>
              <w:top w:val="nil"/>
              <w:left w:val="nil"/>
              <w:bottom w:val="nil"/>
              <w:right w:val="nil"/>
            </w:tcBorders>
          </w:tcPr>
          <w:p>
            <w:pPr>
              <w:pStyle w:val="TableParagraph"/>
              <w:spacing w:before="9"/>
              <w:jc w:val="left"/>
              <w:rPr>
                <w:sz w:val="17"/>
              </w:rPr>
            </w:pPr>
          </w:p>
          <w:p>
            <w:pPr>
              <w:pStyle w:val="TableParagraph"/>
              <w:ind w:left="27" w:right="10"/>
              <w:jc w:val="left"/>
              <w:rPr>
                <w:sz w:val="17"/>
              </w:rPr>
            </w:pPr>
            <w:r>
              <w:rPr>
                <w:sz w:val="17"/>
              </w:rPr>
              <w:t>Total</w:t>
            </w:r>
          </w:p>
        </w:tc>
        <w:tc>
          <w:tcPr>
            <w:tcW w:w="766" w:type="dxa"/>
            <w:tcBorders>
              <w:top w:val="nil"/>
              <w:left w:val="nil"/>
              <w:bottom w:val="nil"/>
              <w:right w:val="nil"/>
            </w:tcBorders>
          </w:tcPr>
          <w:p>
            <w:pPr>
              <w:pStyle w:val="TableParagraph"/>
              <w:spacing w:before="9"/>
              <w:jc w:val="left"/>
              <w:rPr>
                <w:sz w:val="17"/>
              </w:rPr>
            </w:pPr>
          </w:p>
          <w:p>
            <w:pPr>
              <w:pStyle w:val="TableParagraph"/>
              <w:ind w:right="59"/>
              <w:rPr>
                <w:sz w:val="17"/>
              </w:rPr>
            </w:pPr>
            <w:r>
              <w:rPr>
                <w:w w:val="90"/>
                <w:sz w:val="17"/>
              </w:rPr>
              <w:t>100.00</w:t>
            </w:r>
          </w:p>
        </w:tc>
        <w:tc>
          <w:tcPr>
            <w:tcW w:w="757" w:type="dxa"/>
            <w:tcBorders>
              <w:top w:val="nil"/>
              <w:left w:val="nil"/>
              <w:bottom w:val="nil"/>
              <w:right w:val="nil"/>
            </w:tcBorders>
          </w:tcPr>
          <w:p>
            <w:pPr>
              <w:pStyle w:val="TableParagraph"/>
              <w:spacing w:before="9"/>
              <w:jc w:val="left"/>
              <w:rPr>
                <w:sz w:val="17"/>
              </w:rPr>
            </w:pPr>
          </w:p>
          <w:p>
            <w:pPr>
              <w:pStyle w:val="TableParagraph"/>
              <w:ind w:right="61"/>
              <w:rPr>
                <w:sz w:val="17"/>
              </w:rPr>
            </w:pPr>
            <w:r>
              <w:rPr>
                <w:w w:val="90"/>
                <w:sz w:val="17"/>
              </w:rPr>
              <w:t>100.00</w:t>
            </w:r>
          </w:p>
        </w:tc>
        <w:tc>
          <w:tcPr>
            <w:tcW w:w="629" w:type="dxa"/>
            <w:tcBorders>
              <w:top w:val="nil"/>
              <w:left w:val="nil"/>
              <w:bottom w:val="nil"/>
              <w:right w:val="nil"/>
            </w:tcBorders>
          </w:tcPr>
          <w:p>
            <w:pPr>
              <w:pStyle w:val="TableParagraph"/>
              <w:spacing w:before="9"/>
              <w:jc w:val="left"/>
              <w:rPr>
                <w:sz w:val="17"/>
              </w:rPr>
            </w:pPr>
          </w:p>
          <w:p>
            <w:pPr>
              <w:pStyle w:val="TableParagraph"/>
              <w:ind w:right="58"/>
              <w:rPr>
                <w:sz w:val="17"/>
              </w:rPr>
            </w:pPr>
            <w:r>
              <w:rPr>
                <w:w w:val="90"/>
                <w:sz w:val="17"/>
              </w:rPr>
              <w:t>100.00</w:t>
            </w:r>
          </w:p>
        </w:tc>
        <w:tc>
          <w:tcPr>
            <w:tcW w:w="871" w:type="dxa"/>
            <w:tcBorders>
              <w:top w:val="nil"/>
              <w:left w:val="nil"/>
              <w:bottom w:val="nil"/>
              <w:right w:val="nil"/>
            </w:tcBorders>
          </w:tcPr>
          <w:p>
            <w:pPr>
              <w:pStyle w:val="TableParagraph"/>
              <w:spacing w:line="254" w:lineRule="auto"/>
              <w:ind w:left="60" w:right="17"/>
              <w:jc w:val="left"/>
              <w:rPr>
                <w:sz w:val="17"/>
              </w:rPr>
            </w:pPr>
            <w:r>
              <w:rPr>
                <w:w w:val="95"/>
                <w:sz w:val="17"/>
              </w:rPr>
              <w:t>Establecer un negocio</w:t>
            </w:r>
          </w:p>
        </w:tc>
        <w:tc>
          <w:tcPr>
            <w:tcW w:w="763" w:type="dxa"/>
            <w:tcBorders>
              <w:top w:val="nil"/>
              <w:left w:val="nil"/>
              <w:bottom w:val="nil"/>
              <w:right w:val="nil"/>
            </w:tcBorders>
          </w:tcPr>
          <w:p>
            <w:pPr>
              <w:pStyle w:val="TableParagraph"/>
              <w:spacing w:before="9"/>
              <w:jc w:val="left"/>
              <w:rPr>
                <w:sz w:val="17"/>
              </w:rPr>
            </w:pPr>
          </w:p>
          <w:p>
            <w:pPr>
              <w:pStyle w:val="TableParagraph"/>
              <w:ind w:right="59"/>
              <w:rPr>
                <w:sz w:val="17"/>
              </w:rPr>
            </w:pPr>
            <w:r>
              <w:rPr>
                <w:w w:val="90"/>
                <w:sz w:val="17"/>
              </w:rPr>
              <w:t>0.00</w:t>
            </w:r>
          </w:p>
        </w:tc>
        <w:tc>
          <w:tcPr>
            <w:tcW w:w="757" w:type="dxa"/>
            <w:tcBorders>
              <w:top w:val="nil"/>
              <w:left w:val="nil"/>
              <w:bottom w:val="nil"/>
              <w:right w:val="nil"/>
            </w:tcBorders>
          </w:tcPr>
          <w:p>
            <w:pPr>
              <w:pStyle w:val="TableParagraph"/>
              <w:spacing w:before="9"/>
              <w:jc w:val="left"/>
              <w:rPr>
                <w:sz w:val="17"/>
              </w:rPr>
            </w:pPr>
          </w:p>
          <w:p>
            <w:pPr>
              <w:pStyle w:val="TableParagraph"/>
              <w:ind w:right="61"/>
              <w:rPr>
                <w:sz w:val="17"/>
              </w:rPr>
            </w:pPr>
            <w:r>
              <w:rPr>
                <w:w w:val="90"/>
                <w:sz w:val="17"/>
              </w:rPr>
              <w:t>0.12</w:t>
            </w:r>
          </w:p>
        </w:tc>
        <w:tc>
          <w:tcPr>
            <w:tcW w:w="754" w:type="dxa"/>
            <w:tcBorders>
              <w:top w:val="nil"/>
              <w:left w:val="nil"/>
              <w:bottom w:val="nil"/>
              <w:right w:val="nil"/>
            </w:tcBorders>
          </w:tcPr>
          <w:p>
            <w:pPr>
              <w:pStyle w:val="TableParagraph"/>
              <w:spacing w:before="9"/>
              <w:jc w:val="left"/>
              <w:rPr>
                <w:sz w:val="17"/>
              </w:rPr>
            </w:pPr>
          </w:p>
          <w:p>
            <w:pPr>
              <w:pStyle w:val="TableParagraph"/>
              <w:ind w:right="57"/>
              <w:rPr>
                <w:sz w:val="17"/>
              </w:rPr>
            </w:pPr>
            <w:r>
              <w:rPr>
                <w:w w:val="90"/>
                <w:sz w:val="17"/>
              </w:rPr>
              <w:t>0.11</w:t>
            </w:r>
          </w:p>
        </w:tc>
      </w:tr>
      <w:tr>
        <w:trPr>
          <w:trHeight w:val="648" w:hRule="exact"/>
        </w:trPr>
        <w:tc>
          <w:tcPr>
            <w:tcW w:w="1224" w:type="dxa"/>
            <w:tcBorders>
              <w:top w:val="nil"/>
              <w:left w:val="nil"/>
              <w:bottom w:val="nil"/>
              <w:right w:val="nil"/>
            </w:tcBorders>
          </w:tcPr>
          <w:p>
            <w:pPr/>
          </w:p>
        </w:tc>
        <w:tc>
          <w:tcPr>
            <w:tcW w:w="766" w:type="dxa"/>
            <w:tcBorders>
              <w:top w:val="nil"/>
              <w:left w:val="nil"/>
              <w:bottom w:val="nil"/>
              <w:right w:val="nil"/>
            </w:tcBorders>
          </w:tcPr>
          <w:p>
            <w:pPr/>
          </w:p>
        </w:tc>
        <w:tc>
          <w:tcPr>
            <w:tcW w:w="757" w:type="dxa"/>
            <w:tcBorders>
              <w:top w:val="nil"/>
              <w:left w:val="nil"/>
              <w:bottom w:val="nil"/>
              <w:right w:val="nil"/>
            </w:tcBorders>
          </w:tcPr>
          <w:p>
            <w:pPr/>
          </w:p>
        </w:tc>
        <w:tc>
          <w:tcPr>
            <w:tcW w:w="629" w:type="dxa"/>
            <w:tcBorders>
              <w:top w:val="nil"/>
              <w:left w:val="nil"/>
              <w:bottom w:val="nil"/>
              <w:right w:val="nil"/>
            </w:tcBorders>
          </w:tcPr>
          <w:p>
            <w:pPr/>
          </w:p>
        </w:tc>
        <w:tc>
          <w:tcPr>
            <w:tcW w:w="871" w:type="dxa"/>
            <w:tcBorders>
              <w:top w:val="nil"/>
              <w:left w:val="nil"/>
              <w:bottom w:val="nil"/>
              <w:right w:val="nil"/>
            </w:tcBorders>
          </w:tcPr>
          <w:p>
            <w:pPr>
              <w:pStyle w:val="TableParagraph"/>
              <w:spacing w:line="256" w:lineRule="auto"/>
              <w:ind w:left="60" w:right="50"/>
              <w:jc w:val="left"/>
              <w:rPr>
                <w:sz w:val="17"/>
              </w:rPr>
            </w:pPr>
            <w:r>
              <w:rPr>
                <w:sz w:val="17"/>
              </w:rPr>
              <w:t>No se </w:t>
            </w:r>
            <w:r>
              <w:rPr>
                <w:w w:val="95"/>
                <w:sz w:val="17"/>
              </w:rPr>
              <w:t>adaptó (no le gustó)</w:t>
            </w:r>
          </w:p>
        </w:tc>
        <w:tc>
          <w:tcPr>
            <w:tcW w:w="763" w:type="dxa"/>
            <w:tcBorders>
              <w:top w:val="nil"/>
              <w:left w:val="nil"/>
              <w:bottom w:val="nil"/>
              <w:right w:val="nil"/>
            </w:tcBorders>
          </w:tcPr>
          <w:p>
            <w:pPr>
              <w:pStyle w:val="TableParagraph"/>
              <w:jc w:val="left"/>
              <w:rPr>
                <w:sz w:val="18"/>
              </w:rPr>
            </w:pPr>
          </w:p>
          <w:p>
            <w:pPr>
              <w:pStyle w:val="TableParagraph"/>
              <w:spacing w:before="2"/>
              <w:jc w:val="left"/>
              <w:rPr>
                <w:sz w:val="18"/>
              </w:rPr>
            </w:pPr>
          </w:p>
          <w:p>
            <w:pPr>
              <w:pStyle w:val="TableParagraph"/>
              <w:ind w:right="59"/>
              <w:rPr>
                <w:sz w:val="17"/>
              </w:rPr>
            </w:pPr>
            <w:r>
              <w:rPr>
                <w:w w:val="90"/>
                <w:sz w:val="17"/>
              </w:rPr>
              <w:t>9.22</w:t>
            </w:r>
          </w:p>
        </w:tc>
        <w:tc>
          <w:tcPr>
            <w:tcW w:w="757" w:type="dxa"/>
            <w:tcBorders>
              <w:top w:val="nil"/>
              <w:left w:val="nil"/>
              <w:bottom w:val="nil"/>
              <w:right w:val="nil"/>
            </w:tcBorders>
          </w:tcPr>
          <w:p>
            <w:pPr>
              <w:pStyle w:val="TableParagraph"/>
              <w:jc w:val="left"/>
              <w:rPr>
                <w:sz w:val="18"/>
              </w:rPr>
            </w:pPr>
          </w:p>
          <w:p>
            <w:pPr>
              <w:pStyle w:val="TableParagraph"/>
              <w:spacing w:before="2"/>
              <w:jc w:val="left"/>
              <w:rPr>
                <w:sz w:val="18"/>
              </w:rPr>
            </w:pPr>
          </w:p>
          <w:p>
            <w:pPr>
              <w:pStyle w:val="TableParagraph"/>
              <w:ind w:right="61"/>
              <w:rPr>
                <w:sz w:val="17"/>
              </w:rPr>
            </w:pPr>
            <w:r>
              <w:rPr>
                <w:w w:val="90"/>
                <w:sz w:val="17"/>
              </w:rPr>
              <w:t>3.10</w:t>
            </w:r>
          </w:p>
        </w:tc>
        <w:tc>
          <w:tcPr>
            <w:tcW w:w="754" w:type="dxa"/>
            <w:tcBorders>
              <w:top w:val="nil"/>
              <w:left w:val="nil"/>
              <w:bottom w:val="nil"/>
              <w:right w:val="nil"/>
            </w:tcBorders>
          </w:tcPr>
          <w:p>
            <w:pPr>
              <w:pStyle w:val="TableParagraph"/>
              <w:jc w:val="left"/>
              <w:rPr>
                <w:sz w:val="18"/>
              </w:rPr>
            </w:pPr>
          </w:p>
          <w:p>
            <w:pPr>
              <w:pStyle w:val="TableParagraph"/>
              <w:spacing w:before="2"/>
              <w:jc w:val="left"/>
              <w:rPr>
                <w:sz w:val="18"/>
              </w:rPr>
            </w:pPr>
          </w:p>
          <w:p>
            <w:pPr>
              <w:pStyle w:val="TableParagraph"/>
              <w:ind w:right="57"/>
              <w:rPr>
                <w:sz w:val="17"/>
              </w:rPr>
            </w:pPr>
            <w:r>
              <w:rPr>
                <w:w w:val="90"/>
                <w:sz w:val="17"/>
              </w:rPr>
              <w:t>3.27</w:t>
            </w:r>
          </w:p>
        </w:tc>
      </w:tr>
      <w:tr>
        <w:trPr>
          <w:trHeight w:val="234" w:hRule="exact"/>
        </w:trPr>
        <w:tc>
          <w:tcPr>
            <w:tcW w:w="1224" w:type="dxa"/>
            <w:tcBorders>
              <w:top w:val="nil"/>
              <w:left w:val="nil"/>
              <w:bottom w:val="double" w:sz="4" w:space="0" w:color="000000"/>
              <w:right w:val="nil"/>
            </w:tcBorders>
          </w:tcPr>
          <w:p>
            <w:pPr/>
          </w:p>
        </w:tc>
        <w:tc>
          <w:tcPr>
            <w:tcW w:w="766" w:type="dxa"/>
            <w:tcBorders>
              <w:top w:val="nil"/>
              <w:left w:val="nil"/>
              <w:bottom w:val="double" w:sz="4" w:space="0" w:color="000000"/>
              <w:right w:val="nil"/>
            </w:tcBorders>
          </w:tcPr>
          <w:p>
            <w:pPr/>
          </w:p>
        </w:tc>
        <w:tc>
          <w:tcPr>
            <w:tcW w:w="757" w:type="dxa"/>
            <w:tcBorders>
              <w:top w:val="nil"/>
              <w:left w:val="nil"/>
              <w:bottom w:val="double" w:sz="4" w:space="0" w:color="000000"/>
              <w:right w:val="nil"/>
            </w:tcBorders>
          </w:tcPr>
          <w:p>
            <w:pPr/>
          </w:p>
        </w:tc>
        <w:tc>
          <w:tcPr>
            <w:tcW w:w="629" w:type="dxa"/>
            <w:tcBorders>
              <w:top w:val="nil"/>
              <w:left w:val="nil"/>
              <w:bottom w:val="double" w:sz="4" w:space="0" w:color="000000"/>
              <w:right w:val="nil"/>
            </w:tcBorders>
          </w:tcPr>
          <w:p>
            <w:pPr/>
          </w:p>
        </w:tc>
        <w:tc>
          <w:tcPr>
            <w:tcW w:w="871" w:type="dxa"/>
            <w:tcBorders>
              <w:top w:val="nil"/>
              <w:left w:val="nil"/>
              <w:bottom w:val="double" w:sz="4" w:space="0" w:color="000000"/>
              <w:right w:val="nil"/>
            </w:tcBorders>
          </w:tcPr>
          <w:p>
            <w:pPr>
              <w:pStyle w:val="TableParagraph"/>
              <w:spacing w:before="22"/>
              <w:ind w:left="60" w:right="17"/>
              <w:jc w:val="left"/>
              <w:rPr>
                <w:sz w:val="17"/>
              </w:rPr>
            </w:pPr>
            <w:r>
              <w:rPr>
                <w:sz w:val="17"/>
              </w:rPr>
              <w:t>Total</w:t>
            </w:r>
          </w:p>
        </w:tc>
        <w:tc>
          <w:tcPr>
            <w:tcW w:w="763" w:type="dxa"/>
            <w:tcBorders>
              <w:top w:val="nil"/>
              <w:left w:val="nil"/>
              <w:bottom w:val="double" w:sz="4" w:space="0" w:color="000000"/>
              <w:right w:val="nil"/>
            </w:tcBorders>
          </w:tcPr>
          <w:p>
            <w:pPr>
              <w:pStyle w:val="TableParagraph"/>
              <w:spacing w:before="22"/>
              <w:ind w:right="59"/>
              <w:rPr>
                <w:sz w:val="17"/>
              </w:rPr>
            </w:pPr>
            <w:r>
              <w:rPr>
                <w:w w:val="90"/>
                <w:sz w:val="17"/>
              </w:rPr>
              <w:t>100.00</w:t>
            </w:r>
          </w:p>
        </w:tc>
        <w:tc>
          <w:tcPr>
            <w:tcW w:w="757" w:type="dxa"/>
            <w:tcBorders>
              <w:top w:val="nil"/>
              <w:left w:val="nil"/>
              <w:bottom w:val="double" w:sz="4" w:space="0" w:color="000000"/>
              <w:right w:val="nil"/>
            </w:tcBorders>
          </w:tcPr>
          <w:p>
            <w:pPr>
              <w:pStyle w:val="TableParagraph"/>
              <w:spacing w:before="22"/>
              <w:ind w:right="61"/>
              <w:rPr>
                <w:sz w:val="17"/>
              </w:rPr>
            </w:pPr>
            <w:r>
              <w:rPr>
                <w:w w:val="90"/>
                <w:sz w:val="17"/>
              </w:rPr>
              <w:t>100.00</w:t>
            </w:r>
          </w:p>
        </w:tc>
        <w:tc>
          <w:tcPr>
            <w:tcW w:w="754" w:type="dxa"/>
            <w:tcBorders>
              <w:top w:val="nil"/>
              <w:left w:val="nil"/>
              <w:bottom w:val="double" w:sz="4" w:space="0" w:color="000000"/>
              <w:right w:val="nil"/>
            </w:tcBorders>
          </w:tcPr>
          <w:p>
            <w:pPr>
              <w:pStyle w:val="TableParagraph"/>
              <w:spacing w:before="22"/>
              <w:ind w:right="57"/>
              <w:rPr>
                <w:sz w:val="17"/>
              </w:rPr>
            </w:pPr>
            <w:r>
              <w:rPr>
                <w:w w:val="90"/>
                <w:sz w:val="17"/>
              </w:rPr>
              <w:t>100.00</w:t>
            </w:r>
          </w:p>
        </w:tc>
      </w:tr>
    </w:tbl>
    <w:p>
      <w:pPr>
        <w:spacing w:line="168" w:lineRule="exact" w:before="0"/>
        <w:ind w:left="144" w:right="117" w:firstLine="0"/>
        <w:jc w:val="left"/>
        <w:rPr>
          <w:sz w:val="16"/>
        </w:rPr>
      </w:pPr>
      <w:r>
        <w:rPr>
          <w:w w:val="90"/>
          <w:sz w:val="16"/>
        </w:rPr>
        <w:t>Fuente: Encuesta sobre Migración en la Frontera Norte de México, El Colegio de la Frontera Norte, Consejo</w:t>
      </w:r>
    </w:p>
    <w:p>
      <w:pPr>
        <w:spacing w:line="183" w:lineRule="exact" w:before="0"/>
        <w:ind w:left="145" w:right="117" w:firstLine="0"/>
        <w:jc w:val="left"/>
        <w:rPr>
          <w:sz w:val="16"/>
        </w:rPr>
      </w:pPr>
      <w:r>
        <w:rPr>
          <w:w w:val="90"/>
          <w:sz w:val="16"/>
        </w:rPr>
        <w:t>Nacional de Población y la Secretaría del Trabajo y de la Previsión Social.</w:t>
      </w:r>
    </w:p>
    <w:p>
      <w:pPr>
        <w:spacing w:after="0" w:line="183" w:lineRule="exact"/>
        <w:jc w:val="left"/>
        <w:rPr>
          <w:sz w:val="16"/>
        </w:rPr>
        <w:sectPr>
          <w:pgSz w:w="9360" w:h="13040"/>
          <w:pgMar w:header="0" w:footer="496" w:top="740" w:bottom="680" w:left="1300" w:right="1300"/>
        </w:sectPr>
      </w:pPr>
    </w:p>
    <w:p>
      <w:pPr>
        <w:pStyle w:val="BodyText"/>
        <w:rPr>
          <w:sz w:val="20"/>
        </w:rPr>
      </w:pPr>
      <w:r>
        <w:rPr/>
        <w:pict>
          <v:shape style="position:absolute;margin-left:595.506775pt;margin-top:69.299202pt;width:12pt;height:200.85pt;mso-position-horizontal-relative:page;mso-position-vertical-relative:page;z-index:8152" type="#_x0000_t202" filled="false" stroked="false">
            <v:textbox inset="0,0,0,0" style="layout-flow:vertical">
              <w:txbxContent>
                <w:p>
                  <w:pPr>
                    <w:spacing w:line="208" w:lineRule="exact" w:before="0"/>
                    <w:ind w:left="20" w:right="-673" w:firstLine="0"/>
                    <w:jc w:val="left"/>
                    <w:rPr>
                      <w:rFonts w:ascii="Arial" w:hAnsi="Arial"/>
                      <w:sz w:val="20"/>
                    </w:rPr>
                  </w:pPr>
                  <w:r>
                    <w:rPr>
                      <w:rFonts w:ascii="Arial" w:hAnsi="Arial"/>
                      <w:color w:val="231F20"/>
                      <w:spacing w:val="-1"/>
                      <w:w w:val="78"/>
                      <w:sz w:val="20"/>
                    </w:rPr>
                    <w:t>Hito</w:t>
                  </w:r>
                  <w:r>
                    <w:rPr>
                      <w:rFonts w:ascii="Arial" w:hAnsi="Arial"/>
                      <w:color w:val="231F20"/>
                      <w:w w:val="78"/>
                      <w:sz w:val="20"/>
                    </w:rPr>
                    <w:t>s</w:t>
                  </w:r>
                  <w:r>
                    <w:rPr>
                      <w:rFonts w:ascii="Arial" w:hAnsi="Arial"/>
                      <w:color w:val="231F20"/>
                      <w:spacing w:val="-1"/>
                      <w:sz w:val="20"/>
                    </w:rPr>
                    <w:t> </w:t>
                  </w:r>
                  <w:r>
                    <w:rPr>
                      <w:rFonts w:ascii="Arial" w:hAnsi="Arial"/>
                      <w:color w:val="231F20"/>
                      <w:w w:val="72"/>
                      <w:sz w:val="20"/>
                    </w:rPr>
                    <w:t>Demográficos</w:t>
                  </w:r>
                  <w:r>
                    <w:rPr>
                      <w:rFonts w:ascii="Arial" w:hAnsi="Arial"/>
                      <w:color w:val="231F20"/>
                      <w:spacing w:val="-1"/>
                      <w:sz w:val="20"/>
                    </w:rPr>
                    <w:t> </w:t>
                  </w:r>
                  <w:r>
                    <w:rPr>
                      <w:rFonts w:ascii="Arial" w:hAnsi="Arial"/>
                      <w:color w:val="231F20"/>
                      <w:w w:val="76"/>
                      <w:sz w:val="20"/>
                    </w:rPr>
                    <w:t>del</w:t>
                  </w:r>
                  <w:r>
                    <w:rPr>
                      <w:rFonts w:ascii="Arial" w:hAnsi="Arial"/>
                      <w:color w:val="231F20"/>
                      <w:spacing w:val="-1"/>
                      <w:sz w:val="20"/>
                    </w:rPr>
                    <w:t> </w:t>
                  </w:r>
                  <w:r>
                    <w:rPr>
                      <w:rFonts w:ascii="Arial" w:hAnsi="Arial"/>
                      <w:color w:val="231F20"/>
                      <w:spacing w:val="-1"/>
                      <w:w w:val="77"/>
                      <w:sz w:val="20"/>
                    </w:rPr>
                    <w:t>Sigl</w:t>
                  </w:r>
                  <w:r>
                    <w:rPr>
                      <w:rFonts w:ascii="Arial" w:hAnsi="Arial"/>
                      <w:color w:val="231F20"/>
                      <w:w w:val="77"/>
                      <w:sz w:val="20"/>
                    </w:rPr>
                    <w:t>o</w:t>
                  </w:r>
                  <w:r>
                    <w:rPr>
                      <w:rFonts w:ascii="Arial" w:hAnsi="Arial"/>
                      <w:color w:val="231F20"/>
                      <w:sz w:val="20"/>
                    </w:rPr>
                    <w:t> </w:t>
                  </w:r>
                  <w:r>
                    <w:rPr>
                      <w:rFonts w:ascii="Arial" w:hAnsi="Arial"/>
                      <w:color w:val="231F20"/>
                      <w:w w:val="80"/>
                      <w:sz w:val="20"/>
                    </w:rPr>
                    <w:t>XXI:</w:t>
                  </w:r>
                  <w:r>
                    <w:rPr>
                      <w:rFonts w:ascii="Arial" w:hAnsi="Arial"/>
                      <w:color w:val="231F20"/>
                      <w:spacing w:val="-1"/>
                      <w:sz w:val="20"/>
                    </w:rPr>
                    <w:t> </w:t>
                  </w:r>
                  <w:r>
                    <w:rPr>
                      <w:rFonts w:ascii="Arial" w:hAnsi="Arial"/>
                      <w:color w:val="231F20"/>
                      <w:w w:val="76"/>
                      <w:sz w:val="20"/>
                    </w:rPr>
                    <w:t>Migración</w:t>
                  </w:r>
                  <w:r>
                    <w:rPr>
                      <w:rFonts w:ascii="Arial" w:hAnsi="Arial"/>
                      <w:color w:val="231F20"/>
                      <w:spacing w:val="-1"/>
                      <w:sz w:val="20"/>
                    </w:rPr>
                    <w:t> </w:t>
                  </w:r>
                  <w:r>
                    <w:rPr>
                      <w:rFonts w:ascii="Arial" w:hAnsi="Arial"/>
                      <w:color w:val="231F20"/>
                      <w:w w:val="76"/>
                      <w:sz w:val="20"/>
                    </w:rPr>
                    <w:t>Internacional</w:t>
                  </w:r>
                </w:p>
              </w:txbxContent>
            </v:textbox>
            <w10:wrap type="none"/>
          </v:shape>
        </w:pict>
      </w:r>
      <w:r>
        <w:rPr/>
        <w:pict>
          <v:shape style="position:absolute;margin-left:595.135681pt;margin-top:340.848389pt;width:11pt;height:57.05pt;mso-position-horizontal-relative:page;mso-position-vertical-relative:page;z-index:8176" type="#_x0000_t202" filled="false" stroked="false">
            <v:textbox inset="0,0,0,0" style="layout-flow:vertical">
              <w:txbxContent>
                <w:p>
                  <w:pPr>
                    <w:spacing w:line="204" w:lineRule="exact" w:before="0"/>
                    <w:ind w:left="20" w:right="-921" w:firstLine="0"/>
                    <w:jc w:val="left"/>
                    <w:rPr>
                      <w:sz w:val="18"/>
                    </w:rPr>
                  </w:pPr>
                  <w:r>
                    <w:rPr>
                      <w:color w:val="231F20"/>
                      <w:sz w:val="18"/>
                    </w:rPr>
                    <w:t>CIEAP/UAEM</w:t>
                  </w:r>
                </w:p>
              </w:txbxContent>
            </v:textbox>
            <w10:wrap type="none"/>
          </v:shape>
        </w:pict>
      </w:r>
      <w:r>
        <w:rPr/>
        <w:pict>
          <v:shape style="position:absolute;margin-left:23.820354pt;margin-top:215.850403pt;width:12pt;height:21.25pt;mso-position-horizontal-relative:page;mso-position-vertical-relative:page;z-index:8200" type="#_x0000_t202" filled="false" stroked="false">
            <v:textbox inset="0,0,0,0" style="layout-flow:vertical">
              <w:txbxContent>
                <w:p>
                  <w:pPr>
                    <w:spacing w:line="214" w:lineRule="exact" w:before="0"/>
                    <w:ind w:left="20" w:right="-182" w:firstLine="0"/>
                    <w:jc w:val="left"/>
                    <w:rPr>
                      <w:rFonts w:ascii="Verdana"/>
                      <w:sz w:val="20"/>
                    </w:rPr>
                  </w:pPr>
                  <w:r>
                    <w:rPr>
                      <w:rFonts w:ascii="Verdana"/>
                      <w:color w:val="231F20"/>
                      <w:spacing w:val="-1"/>
                      <w:w w:val="100"/>
                      <w:sz w:val="20"/>
                    </w:rPr>
                    <w:t>330</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pPr>
    </w:p>
    <w:p>
      <w:pPr>
        <w:spacing w:line="252" w:lineRule="auto" w:before="0"/>
        <w:ind w:left="1196" w:right="465" w:firstLine="0"/>
        <w:jc w:val="left"/>
        <w:rPr>
          <w:sz w:val="19"/>
        </w:rPr>
      </w:pPr>
      <w:r>
        <w:rPr>
          <w:w w:val="105"/>
          <w:sz w:val="19"/>
        </w:rPr>
        <w:t>Cuadro 5d. Distribución porcentual de migrantes temporales que procede de Estados Unidos por diversas características sociodemográficas seleccionadas, según condición de habla de lengua</w:t>
      </w:r>
    </w:p>
    <w:p>
      <w:pPr>
        <w:tabs>
          <w:tab w:pos="9505" w:val="left" w:leader="none"/>
        </w:tabs>
        <w:spacing w:before="1" w:after="25"/>
        <w:ind w:left="1124" w:right="0" w:firstLine="0"/>
        <w:jc w:val="left"/>
        <w:rPr>
          <w:sz w:val="19"/>
        </w:rPr>
      </w:pPr>
      <w:r>
        <w:rPr>
          <w:w w:val="103"/>
          <w:sz w:val="19"/>
          <w:u w:val="single"/>
        </w:rPr>
        <w:t> </w:t>
      </w:r>
      <w:r>
        <w:rPr>
          <w:spacing w:val="-25"/>
          <w:sz w:val="19"/>
          <w:u w:val="single"/>
        </w:rPr>
        <w:t> </w:t>
      </w:r>
      <w:r>
        <w:rPr>
          <w:w w:val="105"/>
          <w:sz w:val="19"/>
          <w:u w:val="single"/>
        </w:rPr>
        <w:t>indígena,</w:t>
      </w:r>
      <w:r>
        <w:rPr>
          <w:spacing w:val="-8"/>
          <w:w w:val="105"/>
          <w:sz w:val="19"/>
          <w:u w:val="single"/>
        </w:rPr>
        <w:t> </w:t>
      </w:r>
      <w:r>
        <w:rPr>
          <w:w w:val="105"/>
          <w:sz w:val="19"/>
          <w:u w:val="single"/>
        </w:rPr>
        <w:t>2000-2009</w:t>
      </w:r>
      <w:r>
        <w:rPr>
          <w:sz w:val="19"/>
          <w:u w:val="single"/>
        </w:rPr>
        <w:tab/>
      </w:r>
    </w:p>
    <w:tbl>
      <w:tblPr>
        <w:tblW w:w="0" w:type="auto"/>
        <w:jc w:val="left"/>
        <w:tblInd w:w="11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55"/>
        <w:gridCol w:w="833"/>
        <w:gridCol w:w="941"/>
        <w:gridCol w:w="699"/>
        <w:gridCol w:w="1826"/>
        <w:gridCol w:w="787"/>
        <w:gridCol w:w="941"/>
        <w:gridCol w:w="700"/>
      </w:tblGrid>
      <w:tr>
        <w:trPr>
          <w:trHeight w:val="515" w:hRule="exact"/>
        </w:trPr>
        <w:tc>
          <w:tcPr>
            <w:tcW w:w="1655" w:type="dxa"/>
            <w:tcBorders>
              <w:bottom w:val="double" w:sz="4" w:space="0" w:color="000000"/>
            </w:tcBorders>
          </w:tcPr>
          <w:p>
            <w:pPr/>
          </w:p>
        </w:tc>
        <w:tc>
          <w:tcPr>
            <w:tcW w:w="833" w:type="dxa"/>
            <w:tcBorders>
              <w:bottom w:val="double" w:sz="4" w:space="0" w:color="000000"/>
            </w:tcBorders>
          </w:tcPr>
          <w:p>
            <w:pPr>
              <w:pStyle w:val="TableParagraph"/>
              <w:spacing w:before="10"/>
              <w:jc w:val="left"/>
              <w:rPr>
                <w:sz w:val="23"/>
              </w:rPr>
            </w:pPr>
          </w:p>
          <w:p>
            <w:pPr>
              <w:pStyle w:val="TableParagraph"/>
              <w:ind w:right="131"/>
              <w:rPr>
                <w:sz w:val="19"/>
              </w:rPr>
            </w:pPr>
            <w:r>
              <w:rPr>
                <w:sz w:val="19"/>
              </w:rPr>
              <w:t>Habla</w:t>
            </w:r>
          </w:p>
        </w:tc>
        <w:tc>
          <w:tcPr>
            <w:tcW w:w="941" w:type="dxa"/>
            <w:tcBorders>
              <w:bottom w:val="double" w:sz="4" w:space="0" w:color="000000"/>
            </w:tcBorders>
          </w:tcPr>
          <w:p>
            <w:pPr>
              <w:pStyle w:val="TableParagraph"/>
              <w:spacing w:before="20"/>
              <w:ind w:left="460"/>
              <w:jc w:val="left"/>
              <w:rPr>
                <w:sz w:val="19"/>
              </w:rPr>
            </w:pPr>
            <w:r>
              <w:rPr>
                <w:w w:val="105"/>
                <w:sz w:val="19"/>
              </w:rPr>
              <w:t>2000</w:t>
            </w:r>
          </w:p>
          <w:p>
            <w:pPr>
              <w:pStyle w:val="TableParagraph"/>
              <w:spacing w:before="36"/>
              <w:ind w:left="132"/>
              <w:jc w:val="left"/>
              <w:rPr>
                <w:sz w:val="19"/>
              </w:rPr>
            </w:pPr>
            <w:r>
              <w:rPr>
                <w:w w:val="105"/>
                <w:sz w:val="19"/>
              </w:rPr>
              <w:t>No habla</w:t>
            </w:r>
          </w:p>
        </w:tc>
        <w:tc>
          <w:tcPr>
            <w:tcW w:w="699" w:type="dxa"/>
            <w:tcBorders>
              <w:bottom w:val="double" w:sz="4" w:space="0" w:color="000000"/>
            </w:tcBorders>
          </w:tcPr>
          <w:p>
            <w:pPr>
              <w:pStyle w:val="TableParagraph"/>
              <w:spacing w:before="10"/>
              <w:jc w:val="left"/>
              <w:rPr>
                <w:sz w:val="23"/>
              </w:rPr>
            </w:pPr>
          </w:p>
          <w:p>
            <w:pPr>
              <w:pStyle w:val="TableParagraph"/>
              <w:ind w:right="67"/>
              <w:rPr>
                <w:sz w:val="19"/>
              </w:rPr>
            </w:pPr>
            <w:r>
              <w:rPr>
                <w:sz w:val="19"/>
              </w:rPr>
              <w:t>Total</w:t>
            </w:r>
          </w:p>
        </w:tc>
        <w:tc>
          <w:tcPr>
            <w:tcW w:w="1826" w:type="dxa"/>
            <w:tcBorders>
              <w:bottom w:val="double" w:sz="4" w:space="0" w:color="000000"/>
            </w:tcBorders>
          </w:tcPr>
          <w:p>
            <w:pPr/>
          </w:p>
        </w:tc>
        <w:tc>
          <w:tcPr>
            <w:tcW w:w="787" w:type="dxa"/>
            <w:tcBorders>
              <w:bottom w:val="double" w:sz="4" w:space="0" w:color="000000"/>
            </w:tcBorders>
          </w:tcPr>
          <w:p>
            <w:pPr>
              <w:pStyle w:val="TableParagraph"/>
              <w:spacing w:before="10"/>
              <w:jc w:val="left"/>
              <w:rPr>
                <w:sz w:val="23"/>
              </w:rPr>
            </w:pPr>
          </w:p>
          <w:p>
            <w:pPr>
              <w:pStyle w:val="TableParagraph"/>
              <w:ind w:right="131"/>
              <w:rPr>
                <w:sz w:val="19"/>
              </w:rPr>
            </w:pPr>
            <w:r>
              <w:rPr>
                <w:sz w:val="19"/>
              </w:rPr>
              <w:t>Habla</w:t>
            </w:r>
          </w:p>
        </w:tc>
        <w:tc>
          <w:tcPr>
            <w:tcW w:w="941" w:type="dxa"/>
            <w:tcBorders>
              <w:bottom w:val="double" w:sz="4" w:space="0" w:color="000000"/>
            </w:tcBorders>
          </w:tcPr>
          <w:p>
            <w:pPr>
              <w:pStyle w:val="TableParagraph"/>
              <w:spacing w:before="20"/>
              <w:ind w:left="460"/>
              <w:jc w:val="left"/>
              <w:rPr>
                <w:sz w:val="19"/>
              </w:rPr>
            </w:pPr>
            <w:r>
              <w:rPr>
                <w:w w:val="105"/>
                <w:sz w:val="19"/>
              </w:rPr>
              <w:t>2009</w:t>
            </w:r>
          </w:p>
          <w:p>
            <w:pPr>
              <w:pStyle w:val="TableParagraph"/>
              <w:spacing w:before="36"/>
              <w:ind w:left="133"/>
              <w:jc w:val="left"/>
              <w:rPr>
                <w:sz w:val="19"/>
              </w:rPr>
            </w:pPr>
            <w:r>
              <w:rPr>
                <w:w w:val="105"/>
                <w:sz w:val="19"/>
              </w:rPr>
              <w:t>No habla</w:t>
            </w:r>
          </w:p>
        </w:tc>
        <w:tc>
          <w:tcPr>
            <w:tcW w:w="700" w:type="dxa"/>
            <w:tcBorders>
              <w:bottom w:val="double" w:sz="4" w:space="0" w:color="000000"/>
            </w:tcBorders>
          </w:tcPr>
          <w:p>
            <w:pPr>
              <w:pStyle w:val="TableParagraph"/>
              <w:spacing w:before="10"/>
              <w:jc w:val="left"/>
              <w:rPr>
                <w:sz w:val="23"/>
              </w:rPr>
            </w:pPr>
          </w:p>
          <w:p>
            <w:pPr>
              <w:pStyle w:val="TableParagraph"/>
              <w:ind w:left="160" w:right="22"/>
              <w:jc w:val="center"/>
              <w:rPr>
                <w:sz w:val="19"/>
              </w:rPr>
            </w:pPr>
            <w:r>
              <w:rPr>
                <w:w w:val="105"/>
                <w:sz w:val="19"/>
              </w:rPr>
              <w:t>Total</w:t>
            </w:r>
          </w:p>
        </w:tc>
      </w:tr>
      <w:tr>
        <w:trPr>
          <w:trHeight w:val="293" w:hRule="exact"/>
        </w:trPr>
        <w:tc>
          <w:tcPr>
            <w:tcW w:w="1655" w:type="dxa"/>
            <w:tcBorders>
              <w:top w:val="double" w:sz="4" w:space="0" w:color="000000"/>
            </w:tcBorders>
          </w:tcPr>
          <w:p>
            <w:pPr>
              <w:pStyle w:val="TableParagraph"/>
              <w:spacing w:before="34"/>
              <w:ind w:left="72"/>
              <w:jc w:val="left"/>
              <w:rPr>
                <w:i/>
                <w:sz w:val="19"/>
              </w:rPr>
            </w:pPr>
            <w:r>
              <w:rPr>
                <w:i/>
                <w:w w:val="105"/>
                <w:sz w:val="19"/>
              </w:rPr>
              <w:t>Región de destino</w:t>
            </w:r>
          </w:p>
        </w:tc>
        <w:tc>
          <w:tcPr>
            <w:tcW w:w="833" w:type="dxa"/>
            <w:tcBorders>
              <w:top w:val="double" w:sz="4" w:space="0" w:color="000000"/>
            </w:tcBorders>
          </w:tcPr>
          <w:p>
            <w:pPr/>
          </w:p>
        </w:tc>
        <w:tc>
          <w:tcPr>
            <w:tcW w:w="941" w:type="dxa"/>
            <w:tcBorders>
              <w:top w:val="double" w:sz="4" w:space="0" w:color="000000"/>
            </w:tcBorders>
          </w:tcPr>
          <w:p>
            <w:pPr/>
          </w:p>
        </w:tc>
        <w:tc>
          <w:tcPr>
            <w:tcW w:w="699" w:type="dxa"/>
            <w:tcBorders>
              <w:top w:val="double" w:sz="4" w:space="0" w:color="000000"/>
            </w:tcBorders>
          </w:tcPr>
          <w:p>
            <w:pPr/>
          </w:p>
        </w:tc>
        <w:tc>
          <w:tcPr>
            <w:tcW w:w="1826" w:type="dxa"/>
            <w:tcBorders>
              <w:top w:val="double" w:sz="4" w:space="0" w:color="000000"/>
            </w:tcBorders>
          </w:tcPr>
          <w:p>
            <w:pPr/>
          </w:p>
        </w:tc>
        <w:tc>
          <w:tcPr>
            <w:tcW w:w="787" w:type="dxa"/>
            <w:tcBorders>
              <w:top w:val="double" w:sz="4" w:space="0" w:color="000000"/>
            </w:tcBorders>
          </w:tcPr>
          <w:p>
            <w:pPr/>
          </w:p>
        </w:tc>
        <w:tc>
          <w:tcPr>
            <w:tcW w:w="941" w:type="dxa"/>
            <w:tcBorders>
              <w:top w:val="double" w:sz="4" w:space="0" w:color="000000"/>
            </w:tcBorders>
          </w:tcPr>
          <w:p>
            <w:pPr/>
          </w:p>
        </w:tc>
        <w:tc>
          <w:tcPr>
            <w:tcW w:w="700" w:type="dxa"/>
            <w:tcBorders>
              <w:top w:val="double" w:sz="4" w:space="0" w:color="000000"/>
            </w:tcBorders>
          </w:tcPr>
          <w:p>
            <w:pPr/>
          </w:p>
        </w:tc>
      </w:tr>
      <w:tr>
        <w:trPr>
          <w:trHeight w:val="254" w:hRule="exact"/>
        </w:trPr>
        <w:tc>
          <w:tcPr>
            <w:tcW w:w="1655" w:type="dxa"/>
          </w:tcPr>
          <w:p>
            <w:pPr>
              <w:pStyle w:val="TableParagraph"/>
              <w:spacing w:before="9"/>
              <w:ind w:left="72"/>
              <w:jc w:val="left"/>
              <w:rPr>
                <w:sz w:val="19"/>
              </w:rPr>
            </w:pPr>
            <w:r>
              <w:rPr>
                <w:w w:val="105"/>
                <w:sz w:val="19"/>
              </w:rPr>
              <w:t>Región noreste</w:t>
            </w:r>
          </w:p>
        </w:tc>
        <w:tc>
          <w:tcPr>
            <w:tcW w:w="833" w:type="dxa"/>
          </w:tcPr>
          <w:p>
            <w:pPr>
              <w:pStyle w:val="TableParagraph"/>
              <w:spacing w:before="9"/>
              <w:ind w:right="131"/>
              <w:rPr>
                <w:sz w:val="19"/>
              </w:rPr>
            </w:pPr>
            <w:r>
              <w:rPr>
                <w:sz w:val="19"/>
              </w:rPr>
              <w:t>0.00</w:t>
            </w:r>
          </w:p>
        </w:tc>
        <w:tc>
          <w:tcPr>
            <w:tcW w:w="941" w:type="dxa"/>
          </w:tcPr>
          <w:p>
            <w:pPr>
              <w:pStyle w:val="TableParagraph"/>
              <w:spacing w:before="9"/>
              <w:ind w:right="78"/>
              <w:rPr>
                <w:sz w:val="19"/>
              </w:rPr>
            </w:pPr>
            <w:r>
              <w:rPr>
                <w:sz w:val="19"/>
              </w:rPr>
              <w:t>0.00</w:t>
            </w:r>
          </w:p>
        </w:tc>
        <w:tc>
          <w:tcPr>
            <w:tcW w:w="699" w:type="dxa"/>
          </w:tcPr>
          <w:p>
            <w:pPr>
              <w:pStyle w:val="TableParagraph"/>
              <w:spacing w:before="9"/>
              <w:ind w:right="66"/>
              <w:rPr>
                <w:sz w:val="19"/>
              </w:rPr>
            </w:pPr>
            <w:r>
              <w:rPr>
                <w:sz w:val="19"/>
              </w:rPr>
              <w:t>0.00</w:t>
            </w:r>
          </w:p>
        </w:tc>
        <w:tc>
          <w:tcPr>
            <w:tcW w:w="1826" w:type="dxa"/>
          </w:tcPr>
          <w:p>
            <w:pPr>
              <w:pStyle w:val="TableParagraph"/>
              <w:spacing w:before="9"/>
              <w:ind w:left="68"/>
              <w:jc w:val="left"/>
              <w:rPr>
                <w:sz w:val="19"/>
              </w:rPr>
            </w:pPr>
            <w:r>
              <w:rPr>
                <w:w w:val="105"/>
                <w:sz w:val="19"/>
              </w:rPr>
              <w:t>Región Noreste</w:t>
            </w:r>
          </w:p>
        </w:tc>
        <w:tc>
          <w:tcPr>
            <w:tcW w:w="787" w:type="dxa"/>
          </w:tcPr>
          <w:p>
            <w:pPr>
              <w:pStyle w:val="TableParagraph"/>
              <w:spacing w:before="9"/>
              <w:ind w:right="131"/>
              <w:rPr>
                <w:sz w:val="19"/>
              </w:rPr>
            </w:pPr>
            <w:r>
              <w:rPr>
                <w:sz w:val="19"/>
              </w:rPr>
              <w:t>0.00</w:t>
            </w:r>
          </w:p>
        </w:tc>
        <w:tc>
          <w:tcPr>
            <w:tcW w:w="941" w:type="dxa"/>
          </w:tcPr>
          <w:p>
            <w:pPr>
              <w:pStyle w:val="TableParagraph"/>
              <w:spacing w:before="9"/>
              <w:ind w:right="78"/>
              <w:rPr>
                <w:sz w:val="19"/>
              </w:rPr>
            </w:pPr>
            <w:r>
              <w:rPr>
                <w:sz w:val="19"/>
              </w:rPr>
              <w:t>3.08</w:t>
            </w:r>
          </w:p>
        </w:tc>
        <w:tc>
          <w:tcPr>
            <w:tcW w:w="700" w:type="dxa"/>
          </w:tcPr>
          <w:p>
            <w:pPr>
              <w:pStyle w:val="TableParagraph"/>
              <w:spacing w:before="9"/>
              <w:ind w:left="259" w:right="49"/>
              <w:jc w:val="center"/>
              <w:rPr>
                <w:sz w:val="19"/>
              </w:rPr>
            </w:pPr>
            <w:r>
              <w:rPr>
                <w:w w:val="105"/>
                <w:sz w:val="19"/>
              </w:rPr>
              <w:t>3.00</w:t>
            </w:r>
          </w:p>
        </w:tc>
      </w:tr>
      <w:tr>
        <w:trPr>
          <w:trHeight w:val="254" w:hRule="exact"/>
        </w:trPr>
        <w:tc>
          <w:tcPr>
            <w:tcW w:w="1655" w:type="dxa"/>
          </w:tcPr>
          <w:p>
            <w:pPr>
              <w:pStyle w:val="TableParagraph"/>
              <w:spacing w:before="9"/>
              <w:ind w:left="72"/>
              <w:jc w:val="left"/>
              <w:rPr>
                <w:sz w:val="19"/>
              </w:rPr>
            </w:pPr>
            <w:r>
              <w:rPr>
                <w:w w:val="105"/>
                <w:sz w:val="19"/>
              </w:rPr>
              <w:t>Medio oeste</w:t>
            </w:r>
          </w:p>
        </w:tc>
        <w:tc>
          <w:tcPr>
            <w:tcW w:w="833" w:type="dxa"/>
          </w:tcPr>
          <w:p>
            <w:pPr>
              <w:pStyle w:val="TableParagraph"/>
              <w:spacing w:before="9"/>
              <w:ind w:right="131"/>
              <w:rPr>
                <w:sz w:val="19"/>
              </w:rPr>
            </w:pPr>
            <w:r>
              <w:rPr>
                <w:sz w:val="19"/>
              </w:rPr>
              <w:t>0.00</w:t>
            </w:r>
          </w:p>
        </w:tc>
        <w:tc>
          <w:tcPr>
            <w:tcW w:w="941" w:type="dxa"/>
          </w:tcPr>
          <w:p>
            <w:pPr>
              <w:pStyle w:val="TableParagraph"/>
              <w:spacing w:before="9"/>
              <w:ind w:right="78"/>
              <w:rPr>
                <w:sz w:val="19"/>
              </w:rPr>
            </w:pPr>
            <w:r>
              <w:rPr>
                <w:sz w:val="19"/>
              </w:rPr>
              <w:t>1.70</w:t>
            </w:r>
          </w:p>
        </w:tc>
        <w:tc>
          <w:tcPr>
            <w:tcW w:w="699" w:type="dxa"/>
          </w:tcPr>
          <w:p>
            <w:pPr>
              <w:pStyle w:val="TableParagraph"/>
              <w:spacing w:before="9"/>
              <w:ind w:right="66"/>
              <w:rPr>
                <w:sz w:val="19"/>
              </w:rPr>
            </w:pPr>
            <w:r>
              <w:rPr>
                <w:sz w:val="19"/>
              </w:rPr>
              <w:t>1.57</w:t>
            </w:r>
          </w:p>
        </w:tc>
        <w:tc>
          <w:tcPr>
            <w:tcW w:w="1826" w:type="dxa"/>
          </w:tcPr>
          <w:p>
            <w:pPr>
              <w:pStyle w:val="TableParagraph"/>
              <w:spacing w:before="9"/>
              <w:ind w:left="68"/>
              <w:jc w:val="left"/>
              <w:rPr>
                <w:sz w:val="19"/>
              </w:rPr>
            </w:pPr>
            <w:r>
              <w:rPr>
                <w:w w:val="105"/>
                <w:sz w:val="19"/>
              </w:rPr>
              <w:t>Región Medio Oeste</w:t>
            </w:r>
          </w:p>
        </w:tc>
        <w:tc>
          <w:tcPr>
            <w:tcW w:w="787" w:type="dxa"/>
          </w:tcPr>
          <w:p>
            <w:pPr>
              <w:pStyle w:val="TableParagraph"/>
              <w:spacing w:before="9"/>
              <w:ind w:right="130"/>
              <w:rPr>
                <w:sz w:val="19"/>
              </w:rPr>
            </w:pPr>
            <w:r>
              <w:rPr>
                <w:sz w:val="19"/>
              </w:rPr>
              <w:t>41.65</w:t>
            </w:r>
          </w:p>
        </w:tc>
        <w:tc>
          <w:tcPr>
            <w:tcW w:w="941" w:type="dxa"/>
          </w:tcPr>
          <w:p>
            <w:pPr>
              <w:pStyle w:val="TableParagraph"/>
              <w:spacing w:before="9"/>
              <w:ind w:right="78"/>
              <w:rPr>
                <w:sz w:val="19"/>
              </w:rPr>
            </w:pPr>
            <w:r>
              <w:rPr>
                <w:sz w:val="19"/>
              </w:rPr>
              <w:t>5.28</w:t>
            </w:r>
          </w:p>
        </w:tc>
        <w:tc>
          <w:tcPr>
            <w:tcW w:w="700" w:type="dxa"/>
          </w:tcPr>
          <w:p>
            <w:pPr>
              <w:pStyle w:val="TableParagraph"/>
              <w:spacing w:before="9"/>
              <w:ind w:left="260" w:right="49"/>
              <w:jc w:val="center"/>
              <w:rPr>
                <w:sz w:val="19"/>
              </w:rPr>
            </w:pPr>
            <w:r>
              <w:rPr>
                <w:w w:val="105"/>
                <w:sz w:val="19"/>
              </w:rPr>
              <w:t>6.12</w:t>
            </w:r>
          </w:p>
        </w:tc>
      </w:tr>
      <w:tr>
        <w:trPr>
          <w:trHeight w:val="254" w:hRule="exact"/>
        </w:trPr>
        <w:tc>
          <w:tcPr>
            <w:tcW w:w="1655" w:type="dxa"/>
          </w:tcPr>
          <w:p>
            <w:pPr>
              <w:pStyle w:val="TableParagraph"/>
              <w:spacing w:before="9"/>
              <w:ind w:left="72"/>
              <w:jc w:val="left"/>
              <w:rPr>
                <w:sz w:val="19"/>
              </w:rPr>
            </w:pPr>
            <w:r>
              <w:rPr>
                <w:w w:val="105"/>
                <w:sz w:val="19"/>
              </w:rPr>
              <w:t>Sur</w:t>
            </w:r>
          </w:p>
        </w:tc>
        <w:tc>
          <w:tcPr>
            <w:tcW w:w="833" w:type="dxa"/>
          </w:tcPr>
          <w:p>
            <w:pPr>
              <w:pStyle w:val="TableParagraph"/>
              <w:spacing w:before="9"/>
              <w:ind w:right="131"/>
              <w:rPr>
                <w:sz w:val="19"/>
              </w:rPr>
            </w:pPr>
            <w:r>
              <w:rPr>
                <w:sz w:val="19"/>
              </w:rPr>
              <w:t>0.00</w:t>
            </w:r>
          </w:p>
        </w:tc>
        <w:tc>
          <w:tcPr>
            <w:tcW w:w="941" w:type="dxa"/>
          </w:tcPr>
          <w:p>
            <w:pPr>
              <w:pStyle w:val="TableParagraph"/>
              <w:spacing w:before="9"/>
              <w:ind w:right="78"/>
              <w:rPr>
                <w:sz w:val="19"/>
              </w:rPr>
            </w:pPr>
            <w:r>
              <w:rPr>
                <w:sz w:val="19"/>
              </w:rPr>
              <w:t>13.01</w:t>
            </w:r>
          </w:p>
        </w:tc>
        <w:tc>
          <w:tcPr>
            <w:tcW w:w="699" w:type="dxa"/>
          </w:tcPr>
          <w:p>
            <w:pPr>
              <w:pStyle w:val="TableParagraph"/>
              <w:spacing w:before="9"/>
              <w:ind w:right="66"/>
              <w:rPr>
                <w:sz w:val="19"/>
              </w:rPr>
            </w:pPr>
            <w:r>
              <w:rPr>
                <w:sz w:val="19"/>
              </w:rPr>
              <w:t>12.07</w:t>
            </w:r>
          </w:p>
        </w:tc>
        <w:tc>
          <w:tcPr>
            <w:tcW w:w="1826" w:type="dxa"/>
          </w:tcPr>
          <w:p>
            <w:pPr>
              <w:pStyle w:val="TableParagraph"/>
              <w:spacing w:before="9"/>
              <w:ind w:left="68"/>
              <w:jc w:val="left"/>
              <w:rPr>
                <w:sz w:val="19"/>
              </w:rPr>
            </w:pPr>
            <w:r>
              <w:rPr>
                <w:w w:val="105"/>
                <w:sz w:val="19"/>
              </w:rPr>
              <w:t>Región Sur</w:t>
            </w:r>
          </w:p>
        </w:tc>
        <w:tc>
          <w:tcPr>
            <w:tcW w:w="787" w:type="dxa"/>
          </w:tcPr>
          <w:p>
            <w:pPr>
              <w:pStyle w:val="TableParagraph"/>
              <w:spacing w:before="9"/>
              <w:ind w:right="131"/>
              <w:rPr>
                <w:sz w:val="19"/>
              </w:rPr>
            </w:pPr>
            <w:r>
              <w:rPr>
                <w:sz w:val="19"/>
              </w:rPr>
              <w:t>43.83</w:t>
            </w:r>
          </w:p>
        </w:tc>
        <w:tc>
          <w:tcPr>
            <w:tcW w:w="941" w:type="dxa"/>
          </w:tcPr>
          <w:p>
            <w:pPr>
              <w:pStyle w:val="TableParagraph"/>
              <w:spacing w:before="9"/>
              <w:ind w:right="78"/>
              <w:rPr>
                <w:sz w:val="19"/>
              </w:rPr>
            </w:pPr>
            <w:r>
              <w:rPr>
                <w:sz w:val="19"/>
              </w:rPr>
              <w:t>63.68</w:t>
            </w:r>
          </w:p>
        </w:tc>
        <w:tc>
          <w:tcPr>
            <w:tcW w:w="700" w:type="dxa"/>
          </w:tcPr>
          <w:p>
            <w:pPr>
              <w:pStyle w:val="TableParagraph"/>
              <w:spacing w:before="9"/>
              <w:ind w:left="159" w:right="49"/>
              <w:jc w:val="center"/>
              <w:rPr>
                <w:sz w:val="19"/>
              </w:rPr>
            </w:pPr>
            <w:r>
              <w:rPr>
                <w:w w:val="105"/>
                <w:sz w:val="19"/>
              </w:rPr>
              <w:t>63.23</w:t>
            </w:r>
          </w:p>
        </w:tc>
      </w:tr>
      <w:tr>
        <w:trPr>
          <w:trHeight w:val="254" w:hRule="exact"/>
        </w:trPr>
        <w:tc>
          <w:tcPr>
            <w:tcW w:w="1655" w:type="dxa"/>
          </w:tcPr>
          <w:p>
            <w:pPr>
              <w:pStyle w:val="TableParagraph"/>
              <w:spacing w:before="9"/>
              <w:ind w:left="72"/>
              <w:jc w:val="left"/>
              <w:rPr>
                <w:sz w:val="19"/>
              </w:rPr>
            </w:pPr>
            <w:r>
              <w:rPr>
                <w:w w:val="105"/>
                <w:sz w:val="19"/>
              </w:rPr>
              <w:t>Oeste</w:t>
            </w:r>
          </w:p>
        </w:tc>
        <w:tc>
          <w:tcPr>
            <w:tcW w:w="833" w:type="dxa"/>
          </w:tcPr>
          <w:p>
            <w:pPr>
              <w:pStyle w:val="TableParagraph"/>
              <w:spacing w:before="9"/>
              <w:ind w:right="131"/>
              <w:rPr>
                <w:sz w:val="19"/>
              </w:rPr>
            </w:pPr>
            <w:r>
              <w:rPr>
                <w:sz w:val="19"/>
              </w:rPr>
              <w:t>100.00</w:t>
            </w:r>
          </w:p>
        </w:tc>
        <w:tc>
          <w:tcPr>
            <w:tcW w:w="941" w:type="dxa"/>
          </w:tcPr>
          <w:p>
            <w:pPr>
              <w:pStyle w:val="TableParagraph"/>
              <w:spacing w:before="9"/>
              <w:ind w:right="78"/>
              <w:rPr>
                <w:sz w:val="19"/>
              </w:rPr>
            </w:pPr>
            <w:r>
              <w:rPr>
                <w:sz w:val="19"/>
              </w:rPr>
              <w:t>85.29</w:t>
            </w:r>
          </w:p>
        </w:tc>
        <w:tc>
          <w:tcPr>
            <w:tcW w:w="699" w:type="dxa"/>
          </w:tcPr>
          <w:p>
            <w:pPr>
              <w:pStyle w:val="TableParagraph"/>
              <w:spacing w:before="9"/>
              <w:ind w:right="66"/>
              <w:rPr>
                <w:sz w:val="19"/>
              </w:rPr>
            </w:pPr>
            <w:r>
              <w:rPr>
                <w:sz w:val="19"/>
              </w:rPr>
              <w:t>86.36</w:t>
            </w:r>
          </w:p>
        </w:tc>
        <w:tc>
          <w:tcPr>
            <w:tcW w:w="1826" w:type="dxa"/>
          </w:tcPr>
          <w:p>
            <w:pPr>
              <w:pStyle w:val="TableParagraph"/>
              <w:spacing w:before="9"/>
              <w:ind w:left="68"/>
              <w:jc w:val="left"/>
              <w:rPr>
                <w:sz w:val="19"/>
              </w:rPr>
            </w:pPr>
            <w:r>
              <w:rPr>
                <w:w w:val="105"/>
                <w:sz w:val="19"/>
              </w:rPr>
              <w:t>Región Oeste</w:t>
            </w:r>
          </w:p>
        </w:tc>
        <w:tc>
          <w:tcPr>
            <w:tcW w:w="787" w:type="dxa"/>
          </w:tcPr>
          <w:p>
            <w:pPr>
              <w:pStyle w:val="TableParagraph"/>
              <w:spacing w:before="9"/>
              <w:ind w:right="131"/>
              <w:rPr>
                <w:sz w:val="19"/>
              </w:rPr>
            </w:pPr>
            <w:r>
              <w:rPr>
                <w:sz w:val="19"/>
              </w:rPr>
              <w:t>14.53</w:t>
            </w:r>
          </w:p>
        </w:tc>
        <w:tc>
          <w:tcPr>
            <w:tcW w:w="941" w:type="dxa"/>
          </w:tcPr>
          <w:p>
            <w:pPr>
              <w:pStyle w:val="TableParagraph"/>
              <w:spacing w:before="9"/>
              <w:ind w:right="78"/>
              <w:rPr>
                <w:sz w:val="19"/>
              </w:rPr>
            </w:pPr>
            <w:r>
              <w:rPr>
                <w:sz w:val="19"/>
              </w:rPr>
              <w:t>27.96</w:t>
            </w:r>
          </w:p>
        </w:tc>
        <w:tc>
          <w:tcPr>
            <w:tcW w:w="700" w:type="dxa"/>
          </w:tcPr>
          <w:p>
            <w:pPr>
              <w:pStyle w:val="TableParagraph"/>
              <w:spacing w:before="9"/>
              <w:ind w:left="159" w:right="49"/>
              <w:jc w:val="center"/>
              <w:rPr>
                <w:sz w:val="19"/>
              </w:rPr>
            </w:pPr>
            <w:r>
              <w:rPr>
                <w:w w:val="105"/>
                <w:sz w:val="19"/>
              </w:rPr>
              <w:t>27.65</w:t>
            </w:r>
          </w:p>
        </w:tc>
      </w:tr>
      <w:tr>
        <w:trPr>
          <w:trHeight w:val="715" w:hRule="exact"/>
        </w:trPr>
        <w:tc>
          <w:tcPr>
            <w:tcW w:w="1655" w:type="dxa"/>
          </w:tcPr>
          <w:p>
            <w:pPr>
              <w:pStyle w:val="TableParagraph"/>
              <w:spacing w:line="252" w:lineRule="auto" w:before="9"/>
              <w:ind w:left="72" w:right="154"/>
              <w:jc w:val="left"/>
              <w:rPr>
                <w:i/>
                <w:sz w:val="19"/>
              </w:rPr>
            </w:pPr>
            <w:r>
              <w:rPr>
                <w:w w:val="105"/>
                <w:sz w:val="19"/>
              </w:rPr>
              <w:t>Total </w:t>
            </w:r>
            <w:r>
              <w:rPr>
                <w:i/>
                <w:w w:val="105"/>
                <w:sz w:val="19"/>
              </w:rPr>
              <w:t>Documentos para </w:t>
            </w:r>
            <w:r>
              <w:rPr>
                <w:i/>
                <w:w w:val="105"/>
                <w:sz w:val="19"/>
              </w:rPr>
              <w:t>trabajar</w:t>
            </w:r>
          </w:p>
        </w:tc>
        <w:tc>
          <w:tcPr>
            <w:tcW w:w="833" w:type="dxa"/>
          </w:tcPr>
          <w:p>
            <w:pPr>
              <w:pStyle w:val="TableParagraph"/>
              <w:spacing w:before="9"/>
              <w:ind w:right="131"/>
              <w:rPr>
                <w:sz w:val="19"/>
              </w:rPr>
            </w:pPr>
            <w:r>
              <w:rPr>
                <w:sz w:val="19"/>
              </w:rPr>
              <w:t>100.00</w:t>
            </w:r>
          </w:p>
        </w:tc>
        <w:tc>
          <w:tcPr>
            <w:tcW w:w="941" w:type="dxa"/>
          </w:tcPr>
          <w:p>
            <w:pPr>
              <w:pStyle w:val="TableParagraph"/>
              <w:spacing w:before="9"/>
              <w:ind w:right="78"/>
              <w:rPr>
                <w:sz w:val="19"/>
              </w:rPr>
            </w:pPr>
            <w:r>
              <w:rPr>
                <w:sz w:val="19"/>
              </w:rPr>
              <w:t>100.00</w:t>
            </w:r>
          </w:p>
        </w:tc>
        <w:tc>
          <w:tcPr>
            <w:tcW w:w="699" w:type="dxa"/>
          </w:tcPr>
          <w:p>
            <w:pPr>
              <w:pStyle w:val="TableParagraph"/>
              <w:spacing w:before="9"/>
              <w:ind w:right="66"/>
              <w:rPr>
                <w:sz w:val="19"/>
              </w:rPr>
            </w:pPr>
            <w:r>
              <w:rPr>
                <w:sz w:val="19"/>
              </w:rPr>
              <w:t>100.00</w:t>
            </w:r>
          </w:p>
        </w:tc>
        <w:tc>
          <w:tcPr>
            <w:tcW w:w="1826" w:type="dxa"/>
          </w:tcPr>
          <w:p>
            <w:pPr>
              <w:pStyle w:val="TableParagraph"/>
              <w:spacing w:before="9"/>
              <w:ind w:left="68"/>
              <w:jc w:val="left"/>
              <w:rPr>
                <w:sz w:val="19"/>
              </w:rPr>
            </w:pPr>
            <w:r>
              <w:rPr>
                <w:w w:val="105"/>
                <w:sz w:val="19"/>
              </w:rPr>
              <w:t>Total</w:t>
            </w:r>
          </w:p>
        </w:tc>
        <w:tc>
          <w:tcPr>
            <w:tcW w:w="787" w:type="dxa"/>
          </w:tcPr>
          <w:p>
            <w:pPr>
              <w:pStyle w:val="TableParagraph"/>
              <w:spacing w:before="9"/>
              <w:ind w:left="104"/>
              <w:jc w:val="left"/>
              <w:rPr>
                <w:sz w:val="19"/>
              </w:rPr>
            </w:pPr>
            <w:r>
              <w:rPr>
                <w:w w:val="105"/>
                <w:sz w:val="19"/>
              </w:rPr>
              <w:t>100.00</w:t>
            </w:r>
          </w:p>
          <w:p>
            <w:pPr>
              <w:pStyle w:val="TableParagraph"/>
              <w:jc w:val="left"/>
              <w:rPr>
                <w:sz w:val="21"/>
              </w:rPr>
            </w:pPr>
          </w:p>
          <w:p>
            <w:pPr>
              <w:pStyle w:val="TableParagraph"/>
              <w:spacing w:before="1"/>
              <w:ind w:left="176"/>
              <w:jc w:val="left"/>
              <w:rPr>
                <w:sz w:val="19"/>
              </w:rPr>
            </w:pPr>
            <w:r>
              <w:rPr>
                <w:w w:val="105"/>
                <w:sz w:val="19"/>
              </w:rPr>
              <w:t>Habla</w:t>
            </w:r>
          </w:p>
        </w:tc>
        <w:tc>
          <w:tcPr>
            <w:tcW w:w="941" w:type="dxa"/>
          </w:tcPr>
          <w:p>
            <w:pPr>
              <w:pStyle w:val="TableParagraph"/>
              <w:spacing w:before="9"/>
              <w:ind w:left="291" w:right="61"/>
              <w:jc w:val="center"/>
              <w:rPr>
                <w:sz w:val="19"/>
              </w:rPr>
            </w:pPr>
            <w:r>
              <w:rPr>
                <w:w w:val="105"/>
                <w:sz w:val="19"/>
              </w:rPr>
              <w:t>100.00</w:t>
            </w:r>
          </w:p>
          <w:p>
            <w:pPr>
              <w:pStyle w:val="TableParagraph"/>
              <w:jc w:val="left"/>
              <w:rPr>
                <w:sz w:val="21"/>
              </w:rPr>
            </w:pPr>
          </w:p>
          <w:p>
            <w:pPr>
              <w:pStyle w:val="TableParagraph"/>
              <w:spacing w:before="1"/>
              <w:ind w:left="111" w:right="61"/>
              <w:jc w:val="center"/>
              <w:rPr>
                <w:sz w:val="19"/>
              </w:rPr>
            </w:pPr>
            <w:r>
              <w:rPr>
                <w:w w:val="105"/>
                <w:sz w:val="19"/>
              </w:rPr>
              <w:t>No habla</w:t>
            </w:r>
          </w:p>
        </w:tc>
        <w:tc>
          <w:tcPr>
            <w:tcW w:w="700" w:type="dxa"/>
          </w:tcPr>
          <w:p>
            <w:pPr>
              <w:pStyle w:val="TableParagraph"/>
              <w:spacing w:before="9"/>
              <w:ind w:left="60" w:right="49"/>
              <w:jc w:val="center"/>
              <w:rPr>
                <w:sz w:val="19"/>
              </w:rPr>
            </w:pPr>
            <w:r>
              <w:rPr>
                <w:w w:val="105"/>
                <w:sz w:val="19"/>
              </w:rPr>
              <w:t>100.00</w:t>
            </w:r>
          </w:p>
          <w:p>
            <w:pPr>
              <w:pStyle w:val="TableParagraph"/>
              <w:jc w:val="left"/>
              <w:rPr>
                <w:sz w:val="21"/>
              </w:rPr>
            </w:pPr>
          </w:p>
          <w:p>
            <w:pPr>
              <w:pStyle w:val="TableParagraph"/>
              <w:spacing w:before="1"/>
              <w:ind w:left="160" w:right="23"/>
              <w:jc w:val="center"/>
              <w:rPr>
                <w:sz w:val="19"/>
              </w:rPr>
            </w:pPr>
            <w:r>
              <w:rPr>
                <w:w w:val="105"/>
                <w:sz w:val="19"/>
              </w:rPr>
              <w:t>Total</w:t>
            </w:r>
          </w:p>
        </w:tc>
      </w:tr>
      <w:tr>
        <w:trPr>
          <w:trHeight w:val="254" w:hRule="exact"/>
        </w:trPr>
        <w:tc>
          <w:tcPr>
            <w:tcW w:w="1655" w:type="dxa"/>
          </w:tcPr>
          <w:p>
            <w:pPr>
              <w:pStyle w:val="TableParagraph"/>
              <w:spacing w:before="9"/>
              <w:ind w:left="72"/>
              <w:jc w:val="left"/>
              <w:rPr>
                <w:sz w:val="19"/>
              </w:rPr>
            </w:pPr>
            <w:r>
              <w:rPr>
                <w:w w:val="105"/>
                <w:sz w:val="19"/>
              </w:rPr>
              <w:t>Sí</w:t>
            </w:r>
          </w:p>
        </w:tc>
        <w:tc>
          <w:tcPr>
            <w:tcW w:w="833" w:type="dxa"/>
          </w:tcPr>
          <w:p>
            <w:pPr>
              <w:pStyle w:val="TableParagraph"/>
              <w:spacing w:before="9"/>
              <w:ind w:right="130"/>
              <w:rPr>
                <w:sz w:val="19"/>
              </w:rPr>
            </w:pPr>
            <w:r>
              <w:rPr>
                <w:sz w:val="19"/>
              </w:rPr>
              <w:t>0.00</w:t>
            </w:r>
          </w:p>
        </w:tc>
        <w:tc>
          <w:tcPr>
            <w:tcW w:w="941" w:type="dxa"/>
          </w:tcPr>
          <w:p>
            <w:pPr>
              <w:pStyle w:val="TableParagraph"/>
              <w:spacing w:before="9"/>
              <w:ind w:right="78"/>
              <w:rPr>
                <w:sz w:val="19"/>
              </w:rPr>
            </w:pPr>
            <w:r>
              <w:rPr>
                <w:sz w:val="19"/>
              </w:rPr>
              <w:t>17.59</w:t>
            </w:r>
          </w:p>
        </w:tc>
        <w:tc>
          <w:tcPr>
            <w:tcW w:w="699" w:type="dxa"/>
          </w:tcPr>
          <w:p>
            <w:pPr>
              <w:pStyle w:val="TableParagraph"/>
              <w:spacing w:before="9"/>
              <w:ind w:right="66"/>
              <w:rPr>
                <w:sz w:val="19"/>
              </w:rPr>
            </w:pPr>
            <w:r>
              <w:rPr>
                <w:sz w:val="19"/>
              </w:rPr>
              <w:t>16.51</w:t>
            </w:r>
          </w:p>
        </w:tc>
        <w:tc>
          <w:tcPr>
            <w:tcW w:w="1826" w:type="dxa"/>
          </w:tcPr>
          <w:p>
            <w:pPr>
              <w:pStyle w:val="TableParagraph"/>
              <w:spacing w:before="9"/>
              <w:ind w:left="68"/>
              <w:jc w:val="left"/>
              <w:rPr>
                <w:sz w:val="19"/>
              </w:rPr>
            </w:pPr>
            <w:r>
              <w:rPr>
                <w:w w:val="105"/>
                <w:sz w:val="19"/>
              </w:rPr>
              <w:t>Sí</w:t>
            </w:r>
          </w:p>
        </w:tc>
        <w:tc>
          <w:tcPr>
            <w:tcW w:w="787" w:type="dxa"/>
          </w:tcPr>
          <w:p>
            <w:pPr>
              <w:pStyle w:val="TableParagraph"/>
              <w:spacing w:before="9"/>
              <w:ind w:right="130"/>
              <w:rPr>
                <w:sz w:val="19"/>
              </w:rPr>
            </w:pPr>
            <w:r>
              <w:rPr>
                <w:sz w:val="19"/>
              </w:rPr>
              <w:t>0.00</w:t>
            </w:r>
          </w:p>
        </w:tc>
        <w:tc>
          <w:tcPr>
            <w:tcW w:w="941" w:type="dxa"/>
          </w:tcPr>
          <w:p>
            <w:pPr>
              <w:pStyle w:val="TableParagraph"/>
              <w:spacing w:before="9"/>
              <w:ind w:right="78"/>
              <w:rPr>
                <w:sz w:val="19"/>
              </w:rPr>
            </w:pPr>
            <w:r>
              <w:rPr>
                <w:sz w:val="19"/>
              </w:rPr>
              <w:t>13.97</w:t>
            </w:r>
          </w:p>
        </w:tc>
        <w:tc>
          <w:tcPr>
            <w:tcW w:w="700" w:type="dxa"/>
          </w:tcPr>
          <w:p>
            <w:pPr>
              <w:pStyle w:val="TableParagraph"/>
              <w:spacing w:before="9"/>
              <w:ind w:left="160" w:right="49"/>
              <w:jc w:val="center"/>
              <w:rPr>
                <w:sz w:val="19"/>
              </w:rPr>
            </w:pPr>
            <w:r>
              <w:rPr>
                <w:w w:val="105"/>
                <w:sz w:val="19"/>
              </w:rPr>
              <w:t>13.58</w:t>
            </w:r>
          </w:p>
        </w:tc>
      </w:tr>
      <w:tr>
        <w:trPr>
          <w:trHeight w:val="264" w:hRule="exact"/>
        </w:trPr>
        <w:tc>
          <w:tcPr>
            <w:tcW w:w="1655" w:type="dxa"/>
          </w:tcPr>
          <w:p>
            <w:pPr>
              <w:pStyle w:val="TableParagraph"/>
              <w:spacing w:before="9"/>
              <w:ind w:left="72"/>
              <w:jc w:val="left"/>
              <w:rPr>
                <w:sz w:val="19"/>
              </w:rPr>
            </w:pPr>
            <w:r>
              <w:rPr>
                <w:w w:val="105"/>
                <w:sz w:val="19"/>
              </w:rPr>
              <w:t>No</w:t>
            </w:r>
          </w:p>
        </w:tc>
        <w:tc>
          <w:tcPr>
            <w:tcW w:w="833" w:type="dxa"/>
          </w:tcPr>
          <w:p>
            <w:pPr>
              <w:pStyle w:val="TableParagraph"/>
              <w:spacing w:before="9"/>
              <w:ind w:right="131"/>
              <w:rPr>
                <w:sz w:val="19"/>
              </w:rPr>
            </w:pPr>
            <w:r>
              <w:rPr>
                <w:sz w:val="19"/>
              </w:rPr>
              <w:t>100.00</w:t>
            </w:r>
          </w:p>
        </w:tc>
        <w:tc>
          <w:tcPr>
            <w:tcW w:w="941" w:type="dxa"/>
          </w:tcPr>
          <w:p>
            <w:pPr>
              <w:pStyle w:val="TableParagraph"/>
              <w:spacing w:before="9"/>
              <w:ind w:right="78"/>
              <w:rPr>
                <w:sz w:val="19"/>
              </w:rPr>
            </w:pPr>
            <w:r>
              <w:rPr>
                <w:sz w:val="19"/>
              </w:rPr>
              <w:t>82.41</w:t>
            </w:r>
          </w:p>
        </w:tc>
        <w:tc>
          <w:tcPr>
            <w:tcW w:w="699" w:type="dxa"/>
          </w:tcPr>
          <w:p>
            <w:pPr>
              <w:pStyle w:val="TableParagraph"/>
              <w:spacing w:before="9"/>
              <w:ind w:right="66"/>
              <w:rPr>
                <w:sz w:val="19"/>
              </w:rPr>
            </w:pPr>
            <w:r>
              <w:rPr>
                <w:sz w:val="19"/>
              </w:rPr>
              <w:t>83.49</w:t>
            </w:r>
          </w:p>
        </w:tc>
        <w:tc>
          <w:tcPr>
            <w:tcW w:w="1826" w:type="dxa"/>
          </w:tcPr>
          <w:p>
            <w:pPr>
              <w:pStyle w:val="TableParagraph"/>
              <w:spacing w:before="9"/>
              <w:ind w:left="68"/>
              <w:jc w:val="left"/>
              <w:rPr>
                <w:sz w:val="19"/>
              </w:rPr>
            </w:pPr>
            <w:r>
              <w:rPr>
                <w:w w:val="105"/>
                <w:sz w:val="19"/>
              </w:rPr>
              <w:t>No</w:t>
            </w:r>
          </w:p>
        </w:tc>
        <w:tc>
          <w:tcPr>
            <w:tcW w:w="787" w:type="dxa"/>
          </w:tcPr>
          <w:p>
            <w:pPr>
              <w:pStyle w:val="TableParagraph"/>
              <w:spacing w:before="9"/>
              <w:ind w:right="131"/>
              <w:rPr>
                <w:sz w:val="19"/>
              </w:rPr>
            </w:pPr>
            <w:r>
              <w:rPr>
                <w:sz w:val="19"/>
              </w:rPr>
              <w:t>100.00</w:t>
            </w:r>
          </w:p>
        </w:tc>
        <w:tc>
          <w:tcPr>
            <w:tcW w:w="941" w:type="dxa"/>
          </w:tcPr>
          <w:p>
            <w:pPr>
              <w:pStyle w:val="TableParagraph"/>
              <w:spacing w:before="9"/>
              <w:ind w:right="78"/>
              <w:rPr>
                <w:sz w:val="19"/>
              </w:rPr>
            </w:pPr>
            <w:r>
              <w:rPr>
                <w:sz w:val="19"/>
              </w:rPr>
              <w:t>86.03</w:t>
            </w:r>
          </w:p>
        </w:tc>
        <w:tc>
          <w:tcPr>
            <w:tcW w:w="700" w:type="dxa"/>
          </w:tcPr>
          <w:p>
            <w:pPr>
              <w:pStyle w:val="TableParagraph"/>
              <w:spacing w:before="9"/>
              <w:ind w:left="159" w:right="49"/>
              <w:jc w:val="center"/>
              <w:rPr>
                <w:sz w:val="19"/>
              </w:rPr>
            </w:pPr>
            <w:r>
              <w:rPr>
                <w:w w:val="105"/>
                <w:sz w:val="19"/>
              </w:rPr>
              <w:t>86.42</w:t>
            </w:r>
          </w:p>
        </w:tc>
      </w:tr>
      <w:tr>
        <w:trPr>
          <w:trHeight w:val="259" w:hRule="exact"/>
        </w:trPr>
        <w:tc>
          <w:tcPr>
            <w:tcW w:w="1655" w:type="dxa"/>
            <w:tcBorders>
              <w:bottom w:val="double" w:sz="4" w:space="0" w:color="000000"/>
            </w:tcBorders>
          </w:tcPr>
          <w:p>
            <w:pPr>
              <w:pStyle w:val="TableParagraph"/>
              <w:spacing w:before="19"/>
              <w:ind w:left="72"/>
              <w:jc w:val="left"/>
              <w:rPr>
                <w:sz w:val="19"/>
              </w:rPr>
            </w:pPr>
            <w:r>
              <w:rPr>
                <w:w w:val="105"/>
                <w:sz w:val="19"/>
              </w:rPr>
              <w:t>Total</w:t>
            </w:r>
          </w:p>
        </w:tc>
        <w:tc>
          <w:tcPr>
            <w:tcW w:w="833" w:type="dxa"/>
            <w:tcBorders>
              <w:bottom w:val="double" w:sz="4" w:space="0" w:color="000000"/>
            </w:tcBorders>
          </w:tcPr>
          <w:p>
            <w:pPr>
              <w:pStyle w:val="TableParagraph"/>
              <w:spacing w:before="19"/>
              <w:ind w:right="131"/>
              <w:rPr>
                <w:sz w:val="19"/>
              </w:rPr>
            </w:pPr>
            <w:r>
              <w:rPr>
                <w:sz w:val="19"/>
              </w:rPr>
              <w:t>100.00</w:t>
            </w:r>
          </w:p>
        </w:tc>
        <w:tc>
          <w:tcPr>
            <w:tcW w:w="941" w:type="dxa"/>
            <w:tcBorders>
              <w:bottom w:val="double" w:sz="4" w:space="0" w:color="000000"/>
            </w:tcBorders>
          </w:tcPr>
          <w:p>
            <w:pPr>
              <w:pStyle w:val="TableParagraph"/>
              <w:spacing w:before="19"/>
              <w:ind w:right="78"/>
              <w:rPr>
                <w:sz w:val="19"/>
              </w:rPr>
            </w:pPr>
            <w:r>
              <w:rPr>
                <w:sz w:val="19"/>
              </w:rPr>
              <w:t>100.00</w:t>
            </w:r>
          </w:p>
        </w:tc>
        <w:tc>
          <w:tcPr>
            <w:tcW w:w="699" w:type="dxa"/>
            <w:tcBorders>
              <w:bottom w:val="double" w:sz="4" w:space="0" w:color="000000"/>
            </w:tcBorders>
          </w:tcPr>
          <w:p>
            <w:pPr>
              <w:pStyle w:val="TableParagraph"/>
              <w:spacing w:before="19"/>
              <w:ind w:right="66"/>
              <w:rPr>
                <w:sz w:val="19"/>
              </w:rPr>
            </w:pPr>
            <w:r>
              <w:rPr>
                <w:sz w:val="19"/>
              </w:rPr>
              <w:t>100.00</w:t>
            </w:r>
          </w:p>
        </w:tc>
        <w:tc>
          <w:tcPr>
            <w:tcW w:w="1826" w:type="dxa"/>
            <w:tcBorders>
              <w:bottom w:val="double" w:sz="4" w:space="0" w:color="000000"/>
            </w:tcBorders>
          </w:tcPr>
          <w:p>
            <w:pPr>
              <w:pStyle w:val="TableParagraph"/>
              <w:spacing w:before="19"/>
              <w:ind w:left="68"/>
              <w:jc w:val="left"/>
              <w:rPr>
                <w:sz w:val="19"/>
              </w:rPr>
            </w:pPr>
            <w:r>
              <w:rPr>
                <w:w w:val="105"/>
                <w:sz w:val="19"/>
              </w:rPr>
              <w:t>Total</w:t>
            </w:r>
          </w:p>
        </w:tc>
        <w:tc>
          <w:tcPr>
            <w:tcW w:w="787" w:type="dxa"/>
            <w:tcBorders>
              <w:bottom w:val="double" w:sz="4" w:space="0" w:color="000000"/>
            </w:tcBorders>
          </w:tcPr>
          <w:p>
            <w:pPr>
              <w:pStyle w:val="TableParagraph"/>
              <w:spacing w:before="19"/>
              <w:ind w:right="131"/>
              <w:rPr>
                <w:sz w:val="19"/>
              </w:rPr>
            </w:pPr>
            <w:r>
              <w:rPr>
                <w:sz w:val="19"/>
              </w:rPr>
              <w:t>100.00</w:t>
            </w:r>
          </w:p>
        </w:tc>
        <w:tc>
          <w:tcPr>
            <w:tcW w:w="941" w:type="dxa"/>
            <w:tcBorders>
              <w:bottom w:val="double" w:sz="4" w:space="0" w:color="000000"/>
            </w:tcBorders>
          </w:tcPr>
          <w:p>
            <w:pPr>
              <w:pStyle w:val="TableParagraph"/>
              <w:spacing w:before="19"/>
              <w:ind w:right="78"/>
              <w:rPr>
                <w:sz w:val="19"/>
              </w:rPr>
            </w:pPr>
            <w:r>
              <w:rPr>
                <w:sz w:val="19"/>
              </w:rPr>
              <w:t>100.00</w:t>
            </w:r>
          </w:p>
        </w:tc>
        <w:tc>
          <w:tcPr>
            <w:tcW w:w="700" w:type="dxa"/>
            <w:tcBorders>
              <w:bottom w:val="double" w:sz="4" w:space="0" w:color="000000"/>
            </w:tcBorders>
          </w:tcPr>
          <w:p>
            <w:pPr>
              <w:pStyle w:val="TableParagraph"/>
              <w:spacing w:before="19"/>
              <w:ind w:left="59" w:right="49"/>
              <w:jc w:val="center"/>
              <w:rPr>
                <w:sz w:val="19"/>
              </w:rPr>
            </w:pPr>
            <w:r>
              <w:rPr>
                <w:w w:val="105"/>
                <w:sz w:val="19"/>
              </w:rPr>
              <w:t>100.00</w:t>
            </w:r>
          </w:p>
        </w:tc>
      </w:tr>
    </w:tbl>
    <w:p>
      <w:pPr>
        <w:spacing w:line="168" w:lineRule="exact" w:before="0"/>
        <w:ind w:left="1196" w:right="0" w:firstLine="0"/>
        <w:jc w:val="left"/>
        <w:rPr>
          <w:sz w:val="16"/>
        </w:rPr>
      </w:pPr>
      <w:r>
        <w:rPr>
          <w:sz w:val="16"/>
        </w:rPr>
        <w:t>Fuente: Encuesta sobre Migración en la Frontera Norte de México (EMIF)</w:t>
      </w:r>
    </w:p>
    <w:p>
      <w:pPr>
        <w:spacing w:line="183" w:lineRule="exact" w:before="0"/>
        <w:ind w:left="1196" w:right="0" w:firstLine="0"/>
        <w:jc w:val="left"/>
        <w:rPr>
          <w:sz w:val="16"/>
        </w:rPr>
      </w:pPr>
      <w:r>
        <w:rPr>
          <w:sz w:val="16"/>
        </w:rPr>
        <w:t>El Colegio de la Frontera Norte, Consejo Nacional de Población y la Secretaría del Trabajo y Previsión Social</w:t>
      </w:r>
    </w:p>
    <w:p>
      <w:pPr>
        <w:spacing w:after="0" w:line="183" w:lineRule="exact"/>
        <w:jc w:val="left"/>
        <w:rPr>
          <w:sz w:val="16"/>
        </w:rPr>
        <w:sectPr>
          <w:footerReference w:type="default" r:id="rId231"/>
          <w:pgSz w:w="13040" w:h="9360" w:orient="landscape"/>
          <w:pgMar w:footer="0" w:header="0" w:top="0" w:bottom="280" w:left="1280" w:right="1840"/>
        </w:sectPr>
      </w:pPr>
    </w:p>
    <w:p>
      <w:pPr>
        <w:spacing w:before="45"/>
        <w:ind w:left="400" w:right="0" w:firstLine="381"/>
        <w:jc w:val="left"/>
        <w:rPr>
          <w:rFonts w:ascii="Arial" w:hAnsi="Arial"/>
          <w:i/>
          <w:sz w:val="20"/>
        </w:rPr>
      </w:pPr>
      <w:r>
        <w:rPr>
          <w:rFonts w:ascii="Arial" w:hAnsi="Arial"/>
          <w:color w:val="231F20"/>
          <w:w w:val="66"/>
          <w:sz w:val="20"/>
        </w:rPr>
        <w:t>La</w:t>
      </w:r>
      <w:r>
        <w:rPr>
          <w:rFonts w:ascii="Arial" w:hAnsi="Arial"/>
          <w:color w:val="231F20"/>
          <w:spacing w:val="-1"/>
          <w:sz w:val="20"/>
        </w:rPr>
        <w:t> </w:t>
      </w:r>
      <w:r>
        <w:rPr>
          <w:rFonts w:ascii="Arial" w:hAnsi="Arial"/>
          <w:color w:val="231F20"/>
          <w:w w:val="76"/>
          <w:sz w:val="20"/>
        </w:rPr>
        <w:t>participación</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3"/>
          <w:sz w:val="20"/>
        </w:rPr>
        <w:t>población</w:t>
      </w:r>
      <w:r>
        <w:rPr>
          <w:rFonts w:ascii="Arial" w:hAnsi="Arial"/>
          <w:color w:val="231F20"/>
          <w:spacing w:val="-1"/>
          <w:sz w:val="20"/>
        </w:rPr>
        <w:t> </w:t>
      </w:r>
      <w:r>
        <w:rPr>
          <w:rFonts w:ascii="Arial" w:hAnsi="Arial"/>
          <w:color w:val="231F20"/>
          <w:w w:val="72"/>
          <w:sz w:val="20"/>
        </w:rPr>
        <w:t>indígena</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8"/>
          <w:sz w:val="20"/>
        </w:rPr>
        <w:t>migración...</w:t>
      </w:r>
      <w:r>
        <w:rPr>
          <w:rFonts w:ascii="Arial" w:hAnsi="Arial"/>
          <w:color w:val="231F20"/>
          <w:spacing w:val="-1"/>
          <w:sz w:val="20"/>
        </w:rPr>
        <w:t> </w:t>
      </w:r>
      <w:r>
        <w:rPr>
          <w:rFonts w:ascii="Arial" w:hAnsi="Arial"/>
          <w:color w:val="231F20"/>
          <w:w w:val="99"/>
          <w:sz w:val="20"/>
        </w:rPr>
        <w:t>/</w:t>
      </w:r>
      <w:r>
        <w:rPr>
          <w:rFonts w:ascii="Arial" w:hAnsi="Arial"/>
          <w:color w:val="231F20"/>
          <w:w w:val="49"/>
          <w:sz w:val="20"/>
        </w:rPr>
        <w:t>Juan</w:t>
      </w:r>
      <w:r>
        <w:rPr>
          <w:rFonts w:ascii="Arial" w:hAnsi="Arial"/>
          <w:color w:val="231F20"/>
          <w:spacing w:val="-17"/>
          <w:sz w:val="20"/>
        </w:rPr>
        <w:t> </w:t>
      </w:r>
      <w:r>
        <w:rPr>
          <w:rFonts w:ascii="Arial" w:hAnsi="Arial"/>
          <w:color w:val="231F20"/>
          <w:w w:val="49"/>
          <w:sz w:val="20"/>
        </w:rPr>
        <w:t>Gabino</w:t>
      </w:r>
      <w:r>
        <w:rPr>
          <w:rFonts w:ascii="Arial" w:hAnsi="Arial"/>
          <w:color w:val="231F20"/>
          <w:spacing w:val="-17"/>
          <w:sz w:val="20"/>
        </w:rPr>
        <w:t> </w:t>
      </w:r>
      <w:r>
        <w:rPr>
          <w:rFonts w:ascii="Arial" w:hAnsi="Arial"/>
          <w:color w:val="231F20"/>
          <w:w w:val="52"/>
          <w:sz w:val="20"/>
        </w:rPr>
        <w:t>González-Becerril</w:t>
      </w:r>
      <w:r>
        <w:rPr>
          <w:rFonts w:ascii="Arial" w:hAnsi="Arial"/>
          <w:color w:val="231F20"/>
          <w:spacing w:val="-17"/>
          <w:sz w:val="20"/>
        </w:rPr>
        <w:t> </w:t>
      </w:r>
      <w:r>
        <w:rPr>
          <w:rFonts w:ascii="Arial" w:hAnsi="Arial"/>
          <w:i/>
          <w:color w:val="231F20"/>
          <w:w w:val="55"/>
          <w:sz w:val="20"/>
        </w:rPr>
        <w:t>et</w:t>
      </w:r>
      <w:r>
        <w:rPr>
          <w:rFonts w:ascii="Arial" w:hAnsi="Arial"/>
          <w:i/>
          <w:color w:val="231F20"/>
          <w:spacing w:val="-17"/>
          <w:sz w:val="20"/>
        </w:rPr>
        <w:t> </w:t>
      </w:r>
      <w:r>
        <w:rPr>
          <w:rFonts w:ascii="Arial" w:hAnsi="Arial"/>
          <w:i/>
          <w:color w:val="231F20"/>
          <w:w w:val="58"/>
          <w:sz w:val="20"/>
        </w:rPr>
        <w:t>al.</w:t>
      </w:r>
    </w:p>
    <w:p>
      <w:pPr>
        <w:pStyle w:val="BodyText"/>
        <w:spacing w:before="1"/>
        <w:rPr>
          <w:rFonts w:ascii="Arial"/>
          <w:i/>
          <w:sz w:val="29"/>
        </w:rPr>
      </w:pPr>
    </w:p>
    <w:p>
      <w:pPr>
        <w:pStyle w:val="BodyText"/>
        <w:spacing w:line="247" w:lineRule="auto" w:before="1"/>
        <w:ind w:left="117" w:right="114" w:firstLine="283"/>
        <w:jc w:val="both"/>
      </w:pPr>
      <w:r>
        <w:rPr>
          <w:color w:val="231F20"/>
        </w:rPr>
        <w:t>Dicha</w:t>
      </w:r>
      <w:r>
        <w:rPr>
          <w:color w:val="231F20"/>
          <w:spacing w:val="-7"/>
        </w:rPr>
        <w:t> </w:t>
      </w:r>
      <w:r>
        <w:rPr>
          <w:color w:val="231F20"/>
        </w:rPr>
        <w:t>vulnerabilidad</w:t>
      </w:r>
      <w:r>
        <w:rPr>
          <w:color w:val="231F20"/>
          <w:spacing w:val="-7"/>
        </w:rPr>
        <w:t> </w:t>
      </w:r>
      <w:r>
        <w:rPr>
          <w:color w:val="231F20"/>
        </w:rPr>
        <w:t>es</w:t>
      </w:r>
      <w:r>
        <w:rPr>
          <w:color w:val="231F20"/>
          <w:spacing w:val="-7"/>
        </w:rPr>
        <w:t> </w:t>
      </w:r>
      <w:r>
        <w:rPr>
          <w:color w:val="231F20"/>
        </w:rPr>
        <w:t>mucho</w:t>
      </w:r>
      <w:r>
        <w:rPr>
          <w:color w:val="231F20"/>
          <w:spacing w:val="-7"/>
        </w:rPr>
        <w:t> </w:t>
      </w:r>
      <w:r>
        <w:rPr>
          <w:color w:val="231F20"/>
        </w:rPr>
        <w:t>más</w:t>
      </w:r>
      <w:r>
        <w:rPr>
          <w:color w:val="231F20"/>
          <w:spacing w:val="-7"/>
        </w:rPr>
        <w:t> </w:t>
      </w:r>
      <w:r>
        <w:rPr>
          <w:color w:val="231F20"/>
        </w:rPr>
        <w:t>visible</w:t>
      </w:r>
      <w:r>
        <w:rPr>
          <w:color w:val="231F20"/>
          <w:spacing w:val="-7"/>
        </w:rPr>
        <w:t> </w:t>
      </w:r>
      <w:r>
        <w:rPr>
          <w:color w:val="231F20"/>
        </w:rPr>
        <w:t>en</w:t>
      </w:r>
      <w:r>
        <w:rPr>
          <w:color w:val="231F20"/>
          <w:spacing w:val="-7"/>
        </w:rPr>
        <w:t> </w:t>
      </w:r>
      <w:r>
        <w:rPr>
          <w:color w:val="231F20"/>
        </w:rPr>
        <w:t>cuanto</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prestaciones o</w:t>
      </w:r>
      <w:r>
        <w:rPr>
          <w:color w:val="231F20"/>
          <w:spacing w:val="-5"/>
        </w:rPr>
        <w:t> </w:t>
      </w:r>
      <w:r>
        <w:rPr>
          <w:color w:val="231F20"/>
        </w:rPr>
        <w:t>beneficios</w:t>
      </w:r>
      <w:r>
        <w:rPr>
          <w:color w:val="231F20"/>
          <w:spacing w:val="-5"/>
        </w:rPr>
        <w:t> </w:t>
      </w:r>
      <w:r>
        <w:rPr>
          <w:color w:val="231F20"/>
        </w:rPr>
        <w:t>sociales</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cuales</w:t>
      </w:r>
      <w:r>
        <w:rPr>
          <w:color w:val="231F20"/>
          <w:spacing w:val="-5"/>
        </w:rPr>
        <w:t> </w:t>
      </w:r>
      <w:r>
        <w:rPr>
          <w:color w:val="231F20"/>
        </w:rPr>
        <w:t>los</w:t>
      </w:r>
      <w:r>
        <w:rPr>
          <w:color w:val="231F20"/>
          <w:spacing w:val="-5"/>
        </w:rPr>
        <w:t> </w:t>
      </w:r>
      <w:r>
        <w:rPr>
          <w:color w:val="231F20"/>
        </w:rPr>
        <w:t>trabajadores</w:t>
      </w:r>
      <w:r>
        <w:rPr>
          <w:color w:val="231F20"/>
          <w:spacing w:val="-5"/>
        </w:rPr>
        <w:t> </w:t>
      </w:r>
      <w:r>
        <w:rPr>
          <w:color w:val="231F20"/>
        </w:rPr>
        <w:t>indígenas</w:t>
      </w:r>
      <w:r>
        <w:rPr>
          <w:color w:val="231F20"/>
          <w:spacing w:val="-5"/>
        </w:rPr>
        <w:t> </w:t>
      </w:r>
      <w:r>
        <w:rPr>
          <w:color w:val="231F20"/>
        </w:rPr>
        <w:t>y</w:t>
      </w:r>
      <w:r>
        <w:rPr>
          <w:color w:val="231F20"/>
          <w:spacing w:val="-5"/>
        </w:rPr>
        <w:t> </w:t>
      </w:r>
      <w:r>
        <w:rPr>
          <w:color w:val="231F20"/>
        </w:rPr>
        <w:t>no</w:t>
      </w:r>
      <w:r>
        <w:rPr>
          <w:color w:val="231F20"/>
          <w:spacing w:val="-5"/>
        </w:rPr>
        <w:t> </w:t>
      </w:r>
      <w:r>
        <w:rPr>
          <w:color w:val="231F20"/>
        </w:rPr>
        <w:t>indígenas acceden</w:t>
      </w:r>
      <w:r>
        <w:rPr>
          <w:color w:val="231F20"/>
          <w:spacing w:val="-7"/>
        </w:rPr>
        <w:t> </w:t>
      </w:r>
      <w:r>
        <w:rPr>
          <w:color w:val="231F20"/>
        </w:rPr>
        <w:t>en</w:t>
      </w:r>
      <w:r>
        <w:rPr>
          <w:color w:val="231F20"/>
          <w:spacing w:val="-6"/>
        </w:rPr>
        <w:t> </w:t>
      </w:r>
      <w:r>
        <w:rPr>
          <w:color w:val="231F20"/>
        </w:rPr>
        <w:t>el</w:t>
      </w:r>
      <w:r>
        <w:rPr>
          <w:color w:val="231F20"/>
          <w:spacing w:val="-6"/>
        </w:rPr>
        <w:t> </w:t>
      </w:r>
      <w:r>
        <w:rPr>
          <w:color w:val="231F20"/>
        </w:rPr>
        <w:t>momento</w:t>
      </w:r>
      <w:r>
        <w:rPr>
          <w:color w:val="231F20"/>
          <w:spacing w:val="-7"/>
        </w:rPr>
        <w:t> </w:t>
      </w:r>
      <w:r>
        <w:rPr>
          <w:color w:val="231F20"/>
        </w:rPr>
        <w:t>de</w:t>
      </w:r>
      <w:r>
        <w:rPr>
          <w:color w:val="231F20"/>
          <w:spacing w:val="-6"/>
        </w:rPr>
        <w:t> </w:t>
      </w:r>
      <w:r>
        <w:rPr>
          <w:color w:val="231F20"/>
        </w:rPr>
        <w:t>ser</w:t>
      </w:r>
      <w:r>
        <w:rPr>
          <w:color w:val="231F20"/>
          <w:spacing w:val="-6"/>
        </w:rPr>
        <w:t> </w:t>
      </w:r>
      <w:r>
        <w:rPr>
          <w:color w:val="231F20"/>
        </w:rPr>
        <w:t>contratados</w:t>
      </w:r>
      <w:r>
        <w:rPr>
          <w:color w:val="231F20"/>
          <w:spacing w:val="-7"/>
        </w:rPr>
        <w:t> </w:t>
      </w:r>
      <w:r>
        <w:rPr>
          <w:color w:val="231F20"/>
        </w:rPr>
        <w:t>por</w:t>
      </w:r>
      <w:r>
        <w:rPr>
          <w:color w:val="231F20"/>
          <w:spacing w:val="-6"/>
        </w:rPr>
        <w:t> </w:t>
      </w:r>
      <w:r>
        <w:rPr>
          <w:color w:val="231F20"/>
        </w:rPr>
        <w:t>algún</w:t>
      </w:r>
      <w:r>
        <w:rPr>
          <w:color w:val="231F20"/>
          <w:spacing w:val="-7"/>
        </w:rPr>
        <w:t> </w:t>
      </w:r>
      <w:r>
        <w:rPr>
          <w:color w:val="231F20"/>
        </w:rPr>
        <w:t>patrón</w:t>
      </w:r>
      <w:r>
        <w:rPr>
          <w:color w:val="231F20"/>
          <w:spacing w:val="-6"/>
        </w:rPr>
        <w:t> </w:t>
      </w:r>
      <w:r>
        <w:rPr>
          <w:color w:val="231F20"/>
        </w:rPr>
        <w:t>estadunidense. La información disponible permite vislumbrar algunos rasgos de inequi- dad laboral. En efecto, los trabajadores indígenas mexiquenses en Estados Unidos enfrentan una situación más vulnerable, debido a que 92 y 100</w:t>
      </w:r>
      <w:r>
        <w:rPr>
          <w:color w:val="231F20"/>
          <w:spacing w:val="-26"/>
        </w:rPr>
        <w:t> </w:t>
      </w:r>
      <w:r>
        <w:rPr>
          <w:color w:val="231F20"/>
        </w:rPr>
        <w:t>por ciento no tienen ningún tipo de prestación en el trabajo, en tanto que entre los no indígenas el porcentaje es menor y se ubica entre 87 y 72 (véase Cuadro, 5a, 5b, 5c).</w:t>
      </w:r>
    </w:p>
    <w:p>
      <w:pPr>
        <w:pStyle w:val="BodyText"/>
        <w:spacing w:line="247" w:lineRule="auto"/>
        <w:ind w:left="117" w:right="114" w:firstLine="283"/>
        <w:jc w:val="both"/>
      </w:pPr>
      <w:r>
        <w:rPr>
          <w:color w:val="231F20"/>
        </w:rPr>
        <w:t>En esta lógica, es conveniente señalar que se advierten diferencias significativas entre ambos tipos de migrantes en cuanto a algunas de sus condiciones de empleo. Este hecho contrasta con las diferencias que se observan en sus ingresos percibidos. En efecto, los migrantes indígenas ganaron como promedio mensual entre 300 y 500 dólares mensuales en 2000 y 2009. En tanto, los no indígenas lo hicieron en 765 y 2000</w:t>
      </w:r>
      <w:r>
        <w:rPr>
          <w:color w:val="231F20"/>
          <w:spacing w:val="-28"/>
        </w:rPr>
        <w:t> </w:t>
      </w:r>
      <w:r>
        <w:rPr>
          <w:color w:val="231F20"/>
        </w:rPr>
        <w:t>dólares. Lo que se puede mirar es que el ingreso promedio mensual disminuyó en estos diez años producto de la crisis económica y por ende una mayor</w:t>
      </w:r>
      <w:r>
        <w:rPr>
          <w:color w:val="231F20"/>
          <w:spacing w:val="-31"/>
        </w:rPr>
        <w:t> </w:t>
      </w:r>
      <w:r>
        <w:rPr>
          <w:color w:val="231F20"/>
        </w:rPr>
        <w:t>vul- nerabilidad de los indígenas</w:t>
      </w:r>
      <w:r>
        <w:rPr>
          <w:color w:val="231F20"/>
          <w:spacing w:val="-2"/>
        </w:rPr>
        <w:t> </w:t>
      </w:r>
      <w:r>
        <w:rPr>
          <w:color w:val="231F20"/>
        </w:rPr>
        <w:t>mexiquenses.</w:t>
      </w:r>
    </w:p>
    <w:p>
      <w:pPr>
        <w:pStyle w:val="BodyText"/>
        <w:spacing w:line="247" w:lineRule="auto"/>
        <w:ind w:left="117" w:right="115" w:firstLine="283"/>
        <w:jc w:val="both"/>
      </w:pPr>
      <w:r>
        <w:rPr>
          <w:color w:val="231F20"/>
        </w:rPr>
        <w:t>Por último, en los indicadores en los cuales podemos apreciar la</w:t>
      </w:r>
      <w:r>
        <w:rPr>
          <w:color w:val="231F20"/>
          <w:spacing w:val="-29"/>
        </w:rPr>
        <w:t> </w:t>
      </w:r>
      <w:r>
        <w:rPr>
          <w:color w:val="231F20"/>
        </w:rPr>
        <w:t>vulne- rabilidad es el motivo de regreso, al parecer en su mayoría, tanto indíge- nas como no indígenas los regresó la patrulla fronteriza o se les acabó el trabajo. Asimismo, su exposición a mayor vulnerabilidad de sus derechos humanos, de los migrantes indígenas y no indígenas, es que en su</w:t>
      </w:r>
      <w:r>
        <w:rPr>
          <w:color w:val="231F20"/>
          <w:spacing w:val="-28"/>
        </w:rPr>
        <w:t> </w:t>
      </w:r>
      <w:r>
        <w:rPr>
          <w:color w:val="231F20"/>
        </w:rPr>
        <w:t>mayoría migran sin papeles para trabajar o para residir en Estados</w:t>
      </w:r>
      <w:r>
        <w:rPr>
          <w:color w:val="231F20"/>
          <w:spacing w:val="-13"/>
        </w:rPr>
        <w:t> </w:t>
      </w:r>
      <w:r>
        <w:rPr>
          <w:color w:val="231F20"/>
        </w:rPr>
        <w:t>Unidos.</w:t>
      </w:r>
    </w:p>
    <w:p>
      <w:pPr>
        <w:pStyle w:val="Heading3"/>
      </w:pPr>
      <w:r>
        <w:rPr>
          <w:color w:val="231F20"/>
        </w:rPr>
        <w:t>Conclusiones</w:t>
      </w:r>
    </w:p>
    <w:p>
      <w:pPr>
        <w:pStyle w:val="BodyText"/>
        <w:spacing w:line="247" w:lineRule="auto" w:before="172"/>
        <w:ind w:left="117" w:right="114"/>
        <w:jc w:val="both"/>
      </w:pPr>
      <w:r>
        <w:rPr>
          <w:color w:val="231F20"/>
        </w:rPr>
        <w:t>La población que habla lengua indígena del Estado de México y del país constituye una de las poblaciones más vulnerables de los migrantes que  se dirigen a Estados Unidos. Cuentan con bajos niveles de escolaridad y enfrentan una precaria situación laboral en sus lugares de origen, donde  la mayoría se dedica a las labores agrícolas, reciben bajos salarios y muy pocos cuentan con prestaciones sociales. Sobresale el hecho de que los indígenas</w:t>
      </w:r>
      <w:r>
        <w:rPr>
          <w:color w:val="231F20"/>
          <w:spacing w:val="-9"/>
        </w:rPr>
        <w:t> </w:t>
      </w:r>
      <w:r>
        <w:rPr>
          <w:color w:val="231F20"/>
        </w:rPr>
        <w:t>mexiquenses</w:t>
      </w:r>
      <w:r>
        <w:rPr>
          <w:color w:val="231F20"/>
          <w:spacing w:val="-9"/>
        </w:rPr>
        <w:t> </w:t>
      </w:r>
      <w:r>
        <w:rPr>
          <w:color w:val="231F20"/>
        </w:rPr>
        <w:t>que</w:t>
      </w:r>
      <w:r>
        <w:rPr>
          <w:color w:val="231F20"/>
          <w:spacing w:val="-8"/>
        </w:rPr>
        <w:t> </w:t>
      </w:r>
      <w:r>
        <w:rPr>
          <w:color w:val="231F20"/>
        </w:rPr>
        <w:t>logran</w:t>
      </w:r>
      <w:r>
        <w:rPr>
          <w:color w:val="231F20"/>
          <w:spacing w:val="-9"/>
        </w:rPr>
        <w:t> </w:t>
      </w:r>
      <w:r>
        <w:rPr>
          <w:color w:val="231F20"/>
        </w:rPr>
        <w:t>ocuparse</w:t>
      </w:r>
      <w:r>
        <w:rPr>
          <w:color w:val="231F20"/>
          <w:spacing w:val="-8"/>
        </w:rPr>
        <w:t> </w:t>
      </w:r>
      <w:r>
        <w:rPr>
          <w:color w:val="231F20"/>
        </w:rPr>
        <w:t>en</w:t>
      </w:r>
      <w:r>
        <w:rPr>
          <w:color w:val="231F20"/>
          <w:spacing w:val="-8"/>
        </w:rPr>
        <w:t> </w:t>
      </w:r>
      <w:r>
        <w:rPr>
          <w:color w:val="231F20"/>
        </w:rPr>
        <w:t>Estados</w:t>
      </w:r>
      <w:r>
        <w:rPr>
          <w:color w:val="231F20"/>
          <w:spacing w:val="-9"/>
        </w:rPr>
        <w:t> </w:t>
      </w:r>
      <w:r>
        <w:rPr>
          <w:color w:val="231F20"/>
        </w:rPr>
        <w:t>Unidos</w:t>
      </w:r>
      <w:r>
        <w:rPr>
          <w:color w:val="231F20"/>
          <w:spacing w:val="-8"/>
        </w:rPr>
        <w:t> </w:t>
      </w:r>
      <w:r>
        <w:rPr>
          <w:color w:val="231F20"/>
        </w:rPr>
        <w:t>trabajan</w:t>
      </w:r>
      <w:r>
        <w:rPr>
          <w:color w:val="231F20"/>
          <w:spacing w:val="-9"/>
        </w:rPr>
        <w:t> </w:t>
      </w:r>
      <w:r>
        <w:rPr>
          <w:color w:val="231F20"/>
        </w:rPr>
        <w:t>en condiciones</w:t>
      </w:r>
      <w:r>
        <w:rPr>
          <w:color w:val="231F20"/>
          <w:spacing w:val="-11"/>
        </w:rPr>
        <w:t> </w:t>
      </w:r>
      <w:r>
        <w:rPr>
          <w:color w:val="231F20"/>
        </w:rPr>
        <w:t>laborales</w:t>
      </w:r>
      <w:r>
        <w:rPr>
          <w:color w:val="231F20"/>
          <w:spacing w:val="-11"/>
        </w:rPr>
        <w:t> </w:t>
      </w:r>
      <w:r>
        <w:rPr>
          <w:color w:val="231F20"/>
        </w:rPr>
        <w:t>desiguales</w:t>
      </w:r>
      <w:r>
        <w:rPr>
          <w:color w:val="231F20"/>
          <w:spacing w:val="-11"/>
        </w:rPr>
        <w:t> </w:t>
      </w:r>
      <w:r>
        <w:rPr>
          <w:color w:val="231F20"/>
        </w:rPr>
        <w:t>a</w:t>
      </w:r>
      <w:r>
        <w:rPr>
          <w:color w:val="231F20"/>
          <w:spacing w:val="-11"/>
        </w:rPr>
        <w:t> </w:t>
      </w:r>
      <w:r>
        <w:rPr>
          <w:color w:val="231F20"/>
        </w:rPr>
        <w:t>las</w:t>
      </w:r>
      <w:r>
        <w:rPr>
          <w:color w:val="231F20"/>
          <w:spacing w:val="-11"/>
        </w:rPr>
        <w:t> </w:t>
      </w:r>
      <w:r>
        <w:rPr>
          <w:color w:val="231F20"/>
        </w:rPr>
        <w:t>del</w:t>
      </w:r>
      <w:r>
        <w:rPr>
          <w:color w:val="231F20"/>
          <w:spacing w:val="-11"/>
        </w:rPr>
        <w:t> </w:t>
      </w:r>
      <w:r>
        <w:rPr>
          <w:color w:val="231F20"/>
        </w:rPr>
        <w:t>resto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migrantes</w:t>
      </w:r>
      <w:r>
        <w:rPr>
          <w:color w:val="231F20"/>
          <w:spacing w:val="-11"/>
        </w:rPr>
        <w:t> </w:t>
      </w:r>
      <w:r>
        <w:rPr>
          <w:color w:val="231F20"/>
        </w:rPr>
        <w:t>mexicanos lo mismo que en el</w:t>
      </w:r>
      <w:r>
        <w:rPr>
          <w:color w:val="231F20"/>
          <w:spacing w:val="-3"/>
        </w:rPr>
        <w:t> </w:t>
      </w:r>
      <w:r>
        <w:rPr>
          <w:color w:val="231F20"/>
        </w:rPr>
        <w:t>país.</w:t>
      </w:r>
    </w:p>
    <w:p>
      <w:pPr>
        <w:pStyle w:val="BodyText"/>
        <w:spacing w:line="247" w:lineRule="auto"/>
        <w:ind w:left="117" w:right="115" w:firstLine="283"/>
        <w:jc w:val="both"/>
      </w:pPr>
      <w:r>
        <w:rPr>
          <w:color w:val="231F20"/>
        </w:rPr>
        <w:t>Al tiempo se sabe que los factores de la emigración indígena son por causas económicas, demográficas, la crisis del sector agrícola del país y</w:t>
      </w:r>
      <w:r>
        <w:rPr>
          <w:color w:val="231F20"/>
          <w:spacing w:val="-12"/>
        </w:rPr>
        <w:t> </w:t>
      </w:r>
      <w:r>
        <w:rPr>
          <w:color w:val="231F20"/>
        </w:rPr>
        <w:t>la de los indígenas, los cambios climáticos y desastres naturales y las redes sociales,</w:t>
      </w:r>
      <w:r>
        <w:rPr>
          <w:color w:val="231F20"/>
          <w:spacing w:val="-5"/>
        </w:rPr>
        <w:t> </w:t>
      </w:r>
      <w:r>
        <w:rPr>
          <w:color w:val="231F20"/>
        </w:rPr>
        <w:t>entre</w:t>
      </w:r>
      <w:r>
        <w:rPr>
          <w:color w:val="231F20"/>
          <w:spacing w:val="-6"/>
        </w:rPr>
        <w:t> </w:t>
      </w:r>
      <w:r>
        <w:rPr>
          <w:color w:val="231F20"/>
        </w:rPr>
        <w:t>otros.</w:t>
      </w:r>
      <w:r>
        <w:rPr>
          <w:color w:val="231F20"/>
          <w:spacing w:val="-5"/>
        </w:rPr>
        <w:t> </w:t>
      </w:r>
      <w:r>
        <w:rPr>
          <w:color w:val="231F20"/>
        </w:rPr>
        <w:t>Por</w:t>
      </w:r>
      <w:r>
        <w:rPr>
          <w:color w:val="231F20"/>
          <w:spacing w:val="-5"/>
        </w:rPr>
        <w:t> </w:t>
      </w:r>
      <w:r>
        <w:rPr>
          <w:color w:val="231F20"/>
        </w:rPr>
        <w:t>tanto,</w:t>
      </w:r>
      <w:r>
        <w:rPr>
          <w:color w:val="231F20"/>
          <w:spacing w:val="-5"/>
        </w:rPr>
        <w:t> </w:t>
      </w:r>
      <w:r>
        <w:rPr>
          <w:color w:val="231F20"/>
        </w:rPr>
        <w:t>la</w:t>
      </w:r>
      <w:r>
        <w:rPr>
          <w:color w:val="231F20"/>
          <w:spacing w:val="-5"/>
        </w:rPr>
        <w:t> </w:t>
      </w:r>
      <w:r>
        <w:rPr>
          <w:color w:val="231F20"/>
        </w:rPr>
        <w:t>información</w:t>
      </w:r>
      <w:r>
        <w:rPr>
          <w:color w:val="231F20"/>
          <w:spacing w:val="-6"/>
        </w:rPr>
        <w:t> </w:t>
      </w:r>
      <w:r>
        <w:rPr>
          <w:color w:val="231F20"/>
        </w:rPr>
        <w:t>y</w:t>
      </w:r>
      <w:r>
        <w:rPr>
          <w:color w:val="231F20"/>
          <w:spacing w:val="-5"/>
        </w:rPr>
        <w:t> </w:t>
      </w:r>
      <w:r>
        <w:rPr>
          <w:color w:val="231F20"/>
        </w:rPr>
        <w:t>los</w:t>
      </w:r>
      <w:r>
        <w:rPr>
          <w:color w:val="231F20"/>
          <w:spacing w:val="-5"/>
        </w:rPr>
        <w:t> </w:t>
      </w:r>
      <w:r>
        <w:rPr>
          <w:color w:val="231F20"/>
        </w:rPr>
        <w:t>análisis</w:t>
      </w:r>
      <w:r>
        <w:rPr>
          <w:color w:val="231F20"/>
          <w:spacing w:val="-6"/>
        </w:rPr>
        <w:t> </w:t>
      </w:r>
      <w:r>
        <w:rPr>
          <w:color w:val="231F20"/>
        </w:rPr>
        <w:t>realizados</w:t>
      </w:r>
      <w:r>
        <w:rPr>
          <w:color w:val="231F20"/>
          <w:spacing w:val="-5"/>
        </w:rPr>
        <w:t> </w:t>
      </w:r>
      <w:r>
        <w:rPr>
          <w:color w:val="231F20"/>
        </w:rPr>
        <w:t>con</w:t>
      </w:r>
    </w:p>
    <w:p>
      <w:pPr>
        <w:spacing w:after="0" w:line="247" w:lineRule="auto"/>
        <w:jc w:val="both"/>
        <w:sectPr>
          <w:footerReference w:type="default" r:id="rId232"/>
          <w:pgSz w:w="9360" w:h="13040"/>
          <w:pgMar w:footer="496" w:header="0"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10"/>
        <w:rPr>
          <w:sz w:val="20"/>
        </w:rPr>
      </w:pPr>
    </w:p>
    <w:p>
      <w:pPr>
        <w:pStyle w:val="BodyText"/>
        <w:spacing w:line="247" w:lineRule="auto"/>
        <w:ind w:left="117" w:right="114"/>
        <w:jc w:val="both"/>
      </w:pPr>
      <w:r>
        <w:rPr>
          <w:color w:val="231F20"/>
        </w:rPr>
        <w:t>base en la EMIF ponen de manifiesto la prioridad de definir políticas y programas de protección en el origen (que formen parte del desarrollo de este país, económicamente y demográficamente hablando para ellos y sus familias que se quedan), tránsito (sean objetos del Programa Paisano y las acciones del grupo beta) y destino (en caso que llegase a negociarse un programa de trabajadores temporales, incluirlos en un programa de legali- zación) de los migrantes indígenas, así como la necesidad de profundizar en el conocimiento de la participación de este grupo de población en las distintas modalidades de la migración al país vecino (realizar un diagnós- tico exhaustivo de la situación de los migrantes indígenas a nivel nacional y estatal).</w:t>
      </w:r>
    </w:p>
    <w:p>
      <w:pPr>
        <w:pStyle w:val="BodyText"/>
        <w:spacing w:before="1"/>
        <w:rPr>
          <w:sz w:val="29"/>
        </w:rPr>
      </w:pPr>
    </w:p>
    <w:p>
      <w:pPr>
        <w:pStyle w:val="Heading3"/>
        <w:spacing w:before="0"/>
        <w:ind w:left="114"/>
      </w:pPr>
      <w:r>
        <w:rPr>
          <w:color w:val="231F20"/>
        </w:rPr>
        <w:t>Bibliografía</w:t>
      </w:r>
    </w:p>
    <w:p>
      <w:pPr>
        <w:pStyle w:val="BodyText"/>
        <w:spacing w:before="11"/>
        <w:rPr>
          <w:b/>
          <w:sz w:val="32"/>
        </w:rPr>
      </w:pPr>
    </w:p>
    <w:p>
      <w:pPr>
        <w:spacing w:line="210" w:lineRule="exact" w:before="0"/>
        <w:ind w:left="117" w:right="112" w:firstLine="0"/>
        <w:jc w:val="both"/>
        <w:rPr>
          <w:sz w:val="20"/>
        </w:rPr>
      </w:pPr>
      <w:r>
        <w:rPr>
          <w:color w:val="231F20"/>
          <w:sz w:val="20"/>
        </w:rPr>
        <w:t>ALBO, Adolfo y Juan Luis Ordaz Díaz, s/f, </w:t>
      </w:r>
      <w:r>
        <w:rPr>
          <w:i/>
          <w:color w:val="231F20"/>
          <w:sz w:val="20"/>
        </w:rPr>
        <w:t>La migración mexicana hacia los </w:t>
      </w:r>
      <w:r>
        <w:rPr>
          <w:i/>
          <w:color w:val="231F20"/>
          <w:sz w:val="20"/>
        </w:rPr>
        <w:t>Estados Unidos: una breve radiografía</w:t>
      </w:r>
      <w:r>
        <w:rPr>
          <w:color w:val="231F20"/>
          <w:sz w:val="20"/>
        </w:rPr>
        <w:t>, BBVA Documentos de Trabajo 11/05, disponible en </w:t>
      </w:r>
      <w:hyperlink r:id="rId234">
        <w:r>
          <w:rPr>
            <w:color w:val="231F20"/>
            <w:sz w:val="20"/>
          </w:rPr>
          <w:t>http://www.bbvaresearch.com/KETD/fbin/mult/WP_1105_Mexi-</w:t>
        </w:r>
      </w:hyperlink>
      <w:r>
        <w:rPr>
          <w:color w:val="231F20"/>
          <w:sz w:val="20"/>
        </w:rPr>
        <w:t> co_tcm346-246701.pdf?ts=2222011</w:t>
      </w:r>
    </w:p>
    <w:p>
      <w:pPr>
        <w:spacing w:line="210" w:lineRule="exact" w:before="113"/>
        <w:ind w:left="117" w:right="111" w:firstLine="0"/>
        <w:jc w:val="both"/>
        <w:rPr>
          <w:sz w:val="20"/>
        </w:rPr>
      </w:pPr>
      <w:r>
        <w:rPr>
          <w:color w:val="231F20"/>
          <w:sz w:val="20"/>
        </w:rPr>
        <w:t>BBVA, 2011, </w:t>
      </w:r>
      <w:r>
        <w:rPr>
          <w:i/>
          <w:color w:val="231F20"/>
          <w:sz w:val="20"/>
        </w:rPr>
        <w:t>Situación Migración México 2011</w:t>
      </w:r>
      <w:r>
        <w:rPr>
          <w:color w:val="231F20"/>
          <w:sz w:val="20"/>
        </w:rPr>
        <w:t>, disponible en http://www.bb- varesearch.com/KETD/fbin/mult/111123_PresentacionesMexico_80_tcm346- 280634.pdf?ts=5112012</w:t>
      </w:r>
    </w:p>
    <w:p>
      <w:pPr>
        <w:spacing w:line="210" w:lineRule="exact" w:before="113"/>
        <w:ind w:left="117" w:right="112" w:firstLine="0"/>
        <w:jc w:val="both"/>
        <w:rPr>
          <w:sz w:val="20"/>
        </w:rPr>
      </w:pPr>
      <w:r>
        <w:rPr>
          <w:color w:val="231F20"/>
          <w:sz w:val="20"/>
        </w:rPr>
        <w:t>BBVA, 2012, </w:t>
      </w:r>
      <w:r>
        <w:rPr>
          <w:i/>
          <w:color w:val="231F20"/>
          <w:sz w:val="20"/>
        </w:rPr>
        <w:t>Situación Migración México</w:t>
      </w:r>
      <w:r>
        <w:rPr>
          <w:color w:val="231F20"/>
          <w:sz w:val="20"/>
        </w:rPr>
        <w:t>, disponible en http://www.bbvare- search.com/KETD/fbin/mult/1207_SitMigracionMexico_Jul12_tcm346-344007. pdf?ts=2792012</w:t>
      </w:r>
    </w:p>
    <w:p>
      <w:pPr>
        <w:spacing w:line="210" w:lineRule="exact" w:before="113"/>
        <w:ind w:left="117" w:right="112" w:firstLine="0"/>
        <w:jc w:val="both"/>
        <w:rPr>
          <w:sz w:val="20"/>
        </w:rPr>
      </w:pPr>
      <w:r>
        <w:rPr>
          <w:color w:val="231F20"/>
          <w:sz w:val="20"/>
        </w:rPr>
        <w:t>CONAPO,</w:t>
      </w:r>
      <w:r>
        <w:rPr>
          <w:color w:val="231F20"/>
          <w:spacing w:val="-10"/>
          <w:sz w:val="20"/>
        </w:rPr>
        <w:t> </w:t>
      </w:r>
      <w:r>
        <w:rPr>
          <w:color w:val="231F20"/>
          <w:sz w:val="20"/>
        </w:rPr>
        <w:t>2001,</w:t>
      </w:r>
      <w:r>
        <w:rPr>
          <w:color w:val="231F20"/>
          <w:spacing w:val="-10"/>
          <w:sz w:val="20"/>
        </w:rPr>
        <w:t> </w:t>
      </w:r>
      <w:r>
        <w:rPr>
          <w:i/>
          <w:color w:val="231F20"/>
          <w:sz w:val="20"/>
        </w:rPr>
        <w:t>Población</w:t>
      </w:r>
      <w:r>
        <w:rPr>
          <w:i/>
          <w:color w:val="231F20"/>
          <w:spacing w:val="-10"/>
          <w:sz w:val="20"/>
        </w:rPr>
        <w:t> </w:t>
      </w:r>
      <w:r>
        <w:rPr>
          <w:i/>
          <w:color w:val="231F20"/>
          <w:sz w:val="20"/>
        </w:rPr>
        <w:t>indígena</w:t>
      </w:r>
      <w:r>
        <w:rPr>
          <w:i/>
          <w:color w:val="231F20"/>
          <w:spacing w:val="-10"/>
          <w:sz w:val="20"/>
        </w:rPr>
        <w:t> </w:t>
      </w:r>
      <w:r>
        <w:rPr>
          <w:i/>
          <w:color w:val="231F20"/>
          <w:sz w:val="20"/>
        </w:rPr>
        <w:t>en</w:t>
      </w:r>
      <w:r>
        <w:rPr>
          <w:i/>
          <w:color w:val="231F20"/>
          <w:spacing w:val="-10"/>
          <w:sz w:val="20"/>
        </w:rPr>
        <w:t> </w:t>
      </w:r>
      <w:r>
        <w:rPr>
          <w:i/>
          <w:color w:val="231F20"/>
          <w:sz w:val="20"/>
        </w:rPr>
        <w:t>la</w:t>
      </w:r>
      <w:r>
        <w:rPr>
          <w:i/>
          <w:color w:val="231F20"/>
          <w:spacing w:val="-10"/>
          <w:sz w:val="20"/>
        </w:rPr>
        <w:t> </w:t>
      </w:r>
      <w:r>
        <w:rPr>
          <w:i/>
          <w:color w:val="231F20"/>
          <w:sz w:val="20"/>
        </w:rPr>
        <w:t>migración</w:t>
      </w:r>
      <w:r>
        <w:rPr>
          <w:i/>
          <w:color w:val="231F20"/>
          <w:spacing w:val="-9"/>
          <w:sz w:val="20"/>
        </w:rPr>
        <w:t> </w:t>
      </w:r>
      <w:r>
        <w:rPr>
          <w:i/>
          <w:color w:val="231F20"/>
          <w:sz w:val="20"/>
        </w:rPr>
        <w:t>temporal</w:t>
      </w:r>
      <w:r>
        <w:rPr>
          <w:i/>
          <w:color w:val="231F20"/>
          <w:spacing w:val="-10"/>
          <w:sz w:val="20"/>
        </w:rPr>
        <w:t> </w:t>
      </w:r>
      <w:r>
        <w:rPr>
          <w:i/>
          <w:color w:val="231F20"/>
          <w:sz w:val="20"/>
        </w:rPr>
        <w:t>a</w:t>
      </w:r>
      <w:r>
        <w:rPr>
          <w:i/>
          <w:color w:val="231F20"/>
          <w:spacing w:val="-10"/>
          <w:sz w:val="20"/>
        </w:rPr>
        <w:t> </w:t>
      </w:r>
      <w:r>
        <w:rPr>
          <w:i/>
          <w:color w:val="231F20"/>
          <w:sz w:val="20"/>
        </w:rPr>
        <w:t>Estados</w:t>
      </w:r>
      <w:r>
        <w:rPr>
          <w:i/>
          <w:color w:val="231F20"/>
          <w:spacing w:val="-10"/>
          <w:sz w:val="20"/>
        </w:rPr>
        <w:t> </w:t>
      </w:r>
      <w:r>
        <w:rPr>
          <w:i/>
          <w:color w:val="231F20"/>
          <w:sz w:val="20"/>
        </w:rPr>
        <w:t>Unidos</w:t>
      </w:r>
      <w:r>
        <w:rPr>
          <w:color w:val="231F20"/>
          <w:sz w:val="20"/>
        </w:rPr>
        <w:t>, Boletín núm. 14, año 5, disponible en: </w:t>
      </w:r>
      <w:hyperlink r:id="rId153">
        <w:r>
          <w:rPr>
            <w:color w:val="231F20"/>
            <w:sz w:val="20"/>
          </w:rPr>
          <w:t>http://www.conapo.gob.mx/work/models/</w:t>
        </w:r>
      </w:hyperlink>
      <w:r>
        <w:rPr>
          <w:color w:val="231F20"/>
          <w:sz w:val="20"/>
        </w:rPr>
        <w:t> CONAPO/migracion_internacional/Boletines/bol14.pdf</w:t>
      </w:r>
    </w:p>
    <w:p>
      <w:pPr>
        <w:spacing w:line="210" w:lineRule="exact" w:before="113"/>
        <w:ind w:left="117" w:right="112" w:firstLine="0"/>
        <w:jc w:val="both"/>
        <w:rPr>
          <w:sz w:val="20"/>
        </w:rPr>
      </w:pPr>
      <w:r>
        <w:rPr>
          <w:color w:val="231F20"/>
          <w:sz w:val="20"/>
        </w:rPr>
        <w:t>COLEF/STPS/CONAPO, 2009, </w:t>
      </w:r>
      <w:r>
        <w:rPr>
          <w:i/>
          <w:color w:val="231F20"/>
          <w:sz w:val="20"/>
        </w:rPr>
        <w:t>Encuesta </w:t>
      </w:r>
      <w:r>
        <w:rPr>
          <w:i/>
          <w:color w:val="231F20"/>
          <w:spacing w:val="-3"/>
          <w:sz w:val="20"/>
        </w:rPr>
        <w:t>sobre </w:t>
      </w:r>
      <w:r>
        <w:rPr>
          <w:i/>
          <w:color w:val="231F20"/>
          <w:sz w:val="20"/>
        </w:rPr>
        <w:t>Migración en la Frontera Norte </w:t>
      </w:r>
      <w:r>
        <w:rPr>
          <w:i/>
          <w:color w:val="231F20"/>
          <w:sz w:val="20"/>
        </w:rPr>
        <w:t>de México (EMIF) 2009</w:t>
      </w:r>
      <w:r>
        <w:rPr>
          <w:color w:val="231F20"/>
          <w:sz w:val="20"/>
        </w:rPr>
        <w:t>, El Colegio de la Frontera Norte/Secretaría del Trabajo</w:t>
      </w:r>
      <w:r>
        <w:rPr>
          <w:color w:val="231F20"/>
          <w:spacing w:val="-25"/>
          <w:sz w:val="20"/>
        </w:rPr>
        <w:t> </w:t>
      </w:r>
      <w:r>
        <w:rPr>
          <w:color w:val="231F20"/>
          <w:sz w:val="20"/>
        </w:rPr>
        <w:t>y Seguridad Social/ Consejo Nacional de Población, México.</w:t>
      </w:r>
    </w:p>
    <w:p>
      <w:pPr>
        <w:spacing w:line="210" w:lineRule="exact" w:before="113"/>
        <w:ind w:left="117" w:right="112" w:firstLine="0"/>
        <w:jc w:val="both"/>
        <w:rPr>
          <w:sz w:val="20"/>
        </w:rPr>
      </w:pPr>
      <w:r>
        <w:rPr>
          <w:color w:val="231F20"/>
          <w:sz w:val="20"/>
        </w:rPr>
        <w:t>CORONA VÁZQUEZ, Rodolfo, 1998, “Modificaciones de las características del flujo migratorio laboral de México a Estados Unidos”, en Manuel Ángel Castillo, Alfredo</w:t>
      </w:r>
      <w:r>
        <w:rPr>
          <w:color w:val="231F20"/>
          <w:spacing w:val="-7"/>
          <w:sz w:val="20"/>
        </w:rPr>
        <w:t> </w:t>
      </w:r>
      <w:r>
        <w:rPr>
          <w:color w:val="231F20"/>
          <w:sz w:val="20"/>
        </w:rPr>
        <w:t>Lattes</w:t>
      </w:r>
      <w:r>
        <w:rPr>
          <w:color w:val="231F20"/>
          <w:spacing w:val="-8"/>
          <w:sz w:val="20"/>
        </w:rPr>
        <w:t> </w:t>
      </w:r>
      <w:r>
        <w:rPr>
          <w:color w:val="231F20"/>
          <w:sz w:val="20"/>
        </w:rPr>
        <w:t>y</w:t>
      </w:r>
      <w:r>
        <w:rPr>
          <w:color w:val="231F20"/>
          <w:spacing w:val="-8"/>
          <w:sz w:val="20"/>
        </w:rPr>
        <w:t> </w:t>
      </w:r>
      <w:r>
        <w:rPr>
          <w:color w:val="231F20"/>
          <w:sz w:val="20"/>
        </w:rPr>
        <w:t>Jorge</w:t>
      </w:r>
      <w:r>
        <w:rPr>
          <w:color w:val="231F20"/>
          <w:spacing w:val="-8"/>
          <w:sz w:val="20"/>
        </w:rPr>
        <w:t> </w:t>
      </w:r>
      <w:r>
        <w:rPr>
          <w:color w:val="231F20"/>
          <w:sz w:val="20"/>
        </w:rPr>
        <w:t>Santibáñez,</w:t>
      </w:r>
      <w:r>
        <w:rPr>
          <w:color w:val="231F20"/>
          <w:spacing w:val="-8"/>
          <w:sz w:val="20"/>
        </w:rPr>
        <w:t> </w:t>
      </w:r>
      <w:r>
        <w:rPr>
          <w:color w:val="231F20"/>
          <w:sz w:val="20"/>
        </w:rPr>
        <w:t>(eds.),</w:t>
      </w:r>
      <w:r>
        <w:rPr>
          <w:color w:val="231F20"/>
          <w:spacing w:val="-7"/>
          <w:sz w:val="20"/>
        </w:rPr>
        <w:t> </w:t>
      </w:r>
      <w:r>
        <w:rPr>
          <w:i/>
          <w:color w:val="231F20"/>
          <w:sz w:val="20"/>
        </w:rPr>
        <w:t>Migración</w:t>
      </w:r>
      <w:r>
        <w:rPr>
          <w:i/>
          <w:color w:val="231F20"/>
          <w:spacing w:val="-8"/>
          <w:sz w:val="20"/>
        </w:rPr>
        <w:t> </w:t>
      </w:r>
      <w:r>
        <w:rPr>
          <w:i/>
          <w:color w:val="231F20"/>
          <w:sz w:val="20"/>
        </w:rPr>
        <w:t>y</w:t>
      </w:r>
      <w:r>
        <w:rPr>
          <w:i/>
          <w:color w:val="231F20"/>
          <w:spacing w:val="-8"/>
          <w:sz w:val="20"/>
        </w:rPr>
        <w:t> </w:t>
      </w:r>
      <w:r>
        <w:rPr>
          <w:i/>
          <w:color w:val="231F20"/>
          <w:sz w:val="20"/>
        </w:rPr>
        <w:t>Fronteras</w:t>
      </w:r>
      <w:r>
        <w:rPr>
          <w:color w:val="231F20"/>
          <w:sz w:val="20"/>
        </w:rPr>
        <w:t>,</w:t>
      </w:r>
      <w:r>
        <w:rPr>
          <w:color w:val="231F20"/>
          <w:spacing w:val="-8"/>
          <w:sz w:val="20"/>
        </w:rPr>
        <w:t> </w:t>
      </w:r>
      <w:r>
        <w:rPr>
          <w:color w:val="231F20"/>
          <w:sz w:val="20"/>
        </w:rPr>
        <w:t>COLEF/ALAS/ COLMEX, México.</w:t>
      </w:r>
    </w:p>
    <w:p>
      <w:pPr>
        <w:spacing w:line="210" w:lineRule="exact" w:before="113"/>
        <w:ind w:left="117" w:right="112" w:firstLine="0"/>
        <w:jc w:val="both"/>
        <w:rPr>
          <w:sz w:val="20"/>
        </w:rPr>
      </w:pPr>
      <w:r>
        <w:rPr>
          <w:color w:val="231F20"/>
          <w:sz w:val="20"/>
        </w:rPr>
        <w:t>DURAND, Jorge, Douglas Massey, y René Zenteno, 2000, “Mexican immigra- tion to the United States: continuities and changes”, en </w:t>
      </w:r>
      <w:r>
        <w:rPr>
          <w:i/>
          <w:color w:val="231F20"/>
          <w:sz w:val="20"/>
        </w:rPr>
        <w:t>Latin American Research </w:t>
      </w:r>
      <w:r>
        <w:rPr>
          <w:i/>
          <w:color w:val="231F20"/>
          <w:sz w:val="20"/>
        </w:rPr>
        <w:t>Review</w:t>
      </w:r>
      <w:r>
        <w:rPr>
          <w:color w:val="231F20"/>
          <w:sz w:val="20"/>
        </w:rPr>
        <w:t>, vol. 35, núm. 3.</w:t>
      </w:r>
    </w:p>
    <w:p>
      <w:pPr>
        <w:spacing w:line="210" w:lineRule="exact" w:before="113"/>
        <w:ind w:left="117" w:right="112" w:firstLine="0"/>
        <w:jc w:val="both"/>
        <w:rPr>
          <w:sz w:val="20"/>
        </w:rPr>
      </w:pPr>
      <w:r>
        <w:rPr>
          <w:color w:val="231F20"/>
          <w:sz w:val="20"/>
        </w:rPr>
        <w:t>LOZANO-ASCENCIO, Fernando, 2001, </w:t>
      </w:r>
      <w:r>
        <w:rPr>
          <w:i/>
          <w:color w:val="231F20"/>
          <w:sz w:val="20"/>
        </w:rPr>
        <w:t>La migración mexicana, su historia e </w:t>
      </w:r>
      <w:r>
        <w:rPr>
          <w:i/>
          <w:color w:val="231F20"/>
          <w:sz w:val="20"/>
        </w:rPr>
        <w:t>impacto</w:t>
      </w:r>
      <w:r>
        <w:rPr>
          <w:color w:val="231F20"/>
          <w:sz w:val="20"/>
        </w:rPr>
        <w:t>, Centro Regional de Investigaciones Multidisciplinarias de la   Universi-</w:t>
      </w:r>
    </w:p>
    <w:p>
      <w:pPr>
        <w:spacing w:after="0" w:line="210" w:lineRule="exact"/>
        <w:jc w:val="both"/>
        <w:rPr>
          <w:sz w:val="20"/>
        </w:rPr>
        <w:sectPr>
          <w:footerReference w:type="default" r:id="rId233"/>
          <w:pgSz w:w="9360" w:h="13040"/>
          <w:pgMar w:footer="496" w:header="0" w:top="800" w:bottom="680" w:left="1300" w:right="1300"/>
          <w:pgNumType w:start="332"/>
        </w:sectPr>
      </w:pPr>
    </w:p>
    <w:p>
      <w:pPr>
        <w:spacing w:before="45"/>
        <w:ind w:left="117" w:right="0" w:firstLine="665"/>
        <w:jc w:val="left"/>
        <w:rPr>
          <w:rFonts w:ascii="Arial" w:hAnsi="Arial"/>
          <w:i/>
          <w:sz w:val="20"/>
        </w:rPr>
      </w:pPr>
      <w:r>
        <w:rPr>
          <w:rFonts w:ascii="Arial" w:hAnsi="Arial"/>
          <w:color w:val="231F20"/>
          <w:w w:val="66"/>
          <w:sz w:val="20"/>
        </w:rPr>
        <w:t>La</w:t>
      </w:r>
      <w:r>
        <w:rPr>
          <w:rFonts w:ascii="Arial" w:hAnsi="Arial"/>
          <w:color w:val="231F20"/>
          <w:spacing w:val="-1"/>
          <w:sz w:val="20"/>
        </w:rPr>
        <w:t> </w:t>
      </w:r>
      <w:r>
        <w:rPr>
          <w:rFonts w:ascii="Arial" w:hAnsi="Arial"/>
          <w:color w:val="231F20"/>
          <w:w w:val="76"/>
          <w:sz w:val="20"/>
        </w:rPr>
        <w:t>participación</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3"/>
          <w:sz w:val="20"/>
        </w:rPr>
        <w:t>población</w:t>
      </w:r>
      <w:r>
        <w:rPr>
          <w:rFonts w:ascii="Arial" w:hAnsi="Arial"/>
          <w:color w:val="231F20"/>
          <w:spacing w:val="-1"/>
          <w:sz w:val="20"/>
        </w:rPr>
        <w:t> </w:t>
      </w:r>
      <w:r>
        <w:rPr>
          <w:rFonts w:ascii="Arial" w:hAnsi="Arial"/>
          <w:color w:val="231F20"/>
          <w:w w:val="72"/>
          <w:sz w:val="20"/>
        </w:rPr>
        <w:t>indígena</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8"/>
          <w:sz w:val="20"/>
        </w:rPr>
        <w:t>migración...</w:t>
      </w:r>
      <w:r>
        <w:rPr>
          <w:rFonts w:ascii="Arial" w:hAnsi="Arial"/>
          <w:color w:val="231F20"/>
          <w:spacing w:val="-1"/>
          <w:sz w:val="20"/>
        </w:rPr>
        <w:t> </w:t>
      </w:r>
      <w:r>
        <w:rPr>
          <w:rFonts w:ascii="Arial" w:hAnsi="Arial"/>
          <w:color w:val="231F20"/>
          <w:w w:val="99"/>
          <w:sz w:val="20"/>
        </w:rPr>
        <w:t>/</w:t>
      </w:r>
      <w:r>
        <w:rPr>
          <w:rFonts w:ascii="Arial" w:hAnsi="Arial"/>
          <w:color w:val="231F20"/>
          <w:w w:val="49"/>
          <w:sz w:val="20"/>
        </w:rPr>
        <w:t>Juan</w:t>
      </w:r>
      <w:r>
        <w:rPr>
          <w:rFonts w:ascii="Arial" w:hAnsi="Arial"/>
          <w:color w:val="231F20"/>
          <w:spacing w:val="-17"/>
          <w:sz w:val="20"/>
        </w:rPr>
        <w:t> </w:t>
      </w:r>
      <w:r>
        <w:rPr>
          <w:rFonts w:ascii="Arial" w:hAnsi="Arial"/>
          <w:color w:val="231F20"/>
          <w:w w:val="49"/>
          <w:sz w:val="20"/>
        </w:rPr>
        <w:t>Gabino</w:t>
      </w:r>
      <w:r>
        <w:rPr>
          <w:rFonts w:ascii="Arial" w:hAnsi="Arial"/>
          <w:color w:val="231F20"/>
          <w:spacing w:val="-17"/>
          <w:sz w:val="20"/>
        </w:rPr>
        <w:t> </w:t>
      </w:r>
      <w:r>
        <w:rPr>
          <w:rFonts w:ascii="Arial" w:hAnsi="Arial"/>
          <w:color w:val="231F20"/>
          <w:w w:val="52"/>
          <w:sz w:val="20"/>
        </w:rPr>
        <w:t>González-Becerril</w:t>
      </w:r>
      <w:r>
        <w:rPr>
          <w:rFonts w:ascii="Arial" w:hAnsi="Arial"/>
          <w:color w:val="231F20"/>
          <w:spacing w:val="-17"/>
          <w:sz w:val="20"/>
        </w:rPr>
        <w:t> </w:t>
      </w:r>
      <w:r>
        <w:rPr>
          <w:rFonts w:ascii="Arial" w:hAnsi="Arial"/>
          <w:i/>
          <w:color w:val="231F20"/>
          <w:w w:val="55"/>
          <w:sz w:val="20"/>
        </w:rPr>
        <w:t>et</w:t>
      </w:r>
      <w:r>
        <w:rPr>
          <w:rFonts w:ascii="Arial" w:hAnsi="Arial"/>
          <w:i/>
          <w:color w:val="231F20"/>
          <w:spacing w:val="-17"/>
          <w:sz w:val="20"/>
        </w:rPr>
        <w:t> </w:t>
      </w:r>
      <w:r>
        <w:rPr>
          <w:rFonts w:ascii="Arial" w:hAnsi="Arial"/>
          <w:i/>
          <w:color w:val="231F20"/>
          <w:w w:val="58"/>
          <w:sz w:val="20"/>
        </w:rPr>
        <w:t>al.</w:t>
      </w:r>
    </w:p>
    <w:p>
      <w:pPr>
        <w:pStyle w:val="BodyText"/>
        <w:rPr>
          <w:rFonts w:ascii="Arial"/>
          <w:i/>
          <w:sz w:val="20"/>
        </w:rPr>
      </w:pPr>
    </w:p>
    <w:p>
      <w:pPr>
        <w:spacing w:line="210" w:lineRule="exact" w:before="123"/>
        <w:ind w:left="117" w:right="115" w:firstLine="0"/>
        <w:jc w:val="both"/>
        <w:rPr>
          <w:sz w:val="20"/>
        </w:rPr>
      </w:pPr>
      <w:r>
        <w:rPr>
          <w:color w:val="231F20"/>
          <w:sz w:val="20"/>
        </w:rPr>
        <w:t>dad</w:t>
      </w:r>
      <w:r>
        <w:rPr>
          <w:color w:val="231F20"/>
          <w:spacing w:val="-12"/>
          <w:sz w:val="20"/>
        </w:rPr>
        <w:t> </w:t>
      </w:r>
      <w:r>
        <w:rPr>
          <w:color w:val="231F20"/>
          <w:sz w:val="20"/>
        </w:rPr>
        <w:t>Nacional</w:t>
      </w:r>
      <w:r>
        <w:rPr>
          <w:color w:val="231F20"/>
          <w:spacing w:val="-23"/>
          <w:sz w:val="20"/>
        </w:rPr>
        <w:t> </w:t>
      </w:r>
      <w:r>
        <w:rPr>
          <w:color w:val="231F20"/>
          <w:sz w:val="20"/>
        </w:rPr>
        <w:t>Autónoma</w:t>
      </w:r>
      <w:r>
        <w:rPr>
          <w:color w:val="231F20"/>
          <w:spacing w:val="-12"/>
          <w:sz w:val="20"/>
        </w:rPr>
        <w:t> </w:t>
      </w:r>
      <w:r>
        <w:rPr>
          <w:color w:val="231F20"/>
          <w:sz w:val="20"/>
        </w:rPr>
        <w:t>de</w:t>
      </w:r>
      <w:r>
        <w:rPr>
          <w:color w:val="231F20"/>
          <w:spacing w:val="-12"/>
          <w:sz w:val="20"/>
        </w:rPr>
        <w:t> </w:t>
      </w:r>
      <w:r>
        <w:rPr>
          <w:color w:val="231F20"/>
          <w:sz w:val="20"/>
        </w:rPr>
        <w:t>México,</w:t>
      </w:r>
      <w:r>
        <w:rPr>
          <w:color w:val="231F20"/>
          <w:spacing w:val="-12"/>
          <w:sz w:val="20"/>
        </w:rPr>
        <w:t> </w:t>
      </w:r>
      <w:r>
        <w:rPr>
          <w:color w:val="231F20"/>
          <w:sz w:val="20"/>
        </w:rPr>
        <w:t>disponible</w:t>
      </w:r>
      <w:r>
        <w:rPr>
          <w:color w:val="231F20"/>
          <w:spacing w:val="-12"/>
          <w:sz w:val="20"/>
        </w:rPr>
        <w:t> </w:t>
      </w:r>
      <w:r>
        <w:rPr>
          <w:color w:val="231F20"/>
          <w:sz w:val="20"/>
        </w:rPr>
        <w:t>en</w:t>
      </w:r>
      <w:r>
        <w:rPr>
          <w:color w:val="231F20"/>
          <w:spacing w:val="-12"/>
          <w:sz w:val="20"/>
        </w:rPr>
        <w:t> </w:t>
      </w:r>
      <w:r>
        <w:rPr>
          <w:color w:val="231F20"/>
          <w:sz w:val="20"/>
        </w:rPr>
        <w:t>http://www.migracion-remesas. hn/document/la_migracion_mexicana.pdf</w:t>
      </w:r>
    </w:p>
    <w:p>
      <w:pPr>
        <w:spacing w:line="210" w:lineRule="exact" w:before="113"/>
        <w:ind w:left="117" w:right="115" w:firstLine="0"/>
        <w:jc w:val="both"/>
        <w:rPr>
          <w:sz w:val="20"/>
        </w:rPr>
      </w:pPr>
      <w:r>
        <w:rPr>
          <w:color w:val="231F20"/>
          <w:sz w:val="20"/>
        </w:rPr>
        <w:t>MENDOZA </w:t>
      </w:r>
      <w:r>
        <w:rPr>
          <w:color w:val="231F20"/>
          <w:spacing w:val="-4"/>
          <w:sz w:val="20"/>
        </w:rPr>
        <w:t>COTA, </w:t>
      </w:r>
      <w:r>
        <w:rPr>
          <w:color w:val="231F20"/>
          <w:sz w:val="20"/>
        </w:rPr>
        <w:t>Eduardo, 2011, “Características y determinantes de los cam- bios recientes de los flujos migratorios de trabajadores mexicanos hacia Estados Unidos”, disponible en </w:t>
      </w:r>
      <w:hyperlink r:id="rId235">
        <w:r>
          <w:rPr>
            <w:color w:val="231F20"/>
            <w:sz w:val="20"/>
          </w:rPr>
          <w:t>http://xivrem.ujaen.es/wp-content/uploads/2011/11/9-R-</w:t>
        </w:r>
      </w:hyperlink>
      <w:r>
        <w:rPr>
          <w:color w:val="231F20"/>
          <w:sz w:val="20"/>
        </w:rPr>
        <w:t> 020M603.pdf</w:t>
      </w:r>
    </w:p>
    <w:p>
      <w:pPr>
        <w:spacing w:line="210" w:lineRule="exact" w:before="113"/>
        <w:ind w:left="117" w:right="114" w:firstLine="0"/>
        <w:jc w:val="both"/>
        <w:rPr>
          <w:sz w:val="20"/>
        </w:rPr>
      </w:pPr>
      <w:r>
        <w:rPr>
          <w:color w:val="231F20"/>
          <w:sz w:val="20"/>
        </w:rPr>
        <w:t>SANTIBAÑEZ, Jorge, 2000, “Características recientes de la migración mexica- na a Estados Unidos”, en Rodolfo Tuirán (coord.), </w:t>
      </w:r>
      <w:r>
        <w:rPr>
          <w:i/>
          <w:color w:val="231F20"/>
          <w:sz w:val="20"/>
        </w:rPr>
        <w:t>Migración México- Estados </w:t>
      </w:r>
      <w:r>
        <w:rPr>
          <w:i/>
          <w:color w:val="231F20"/>
          <w:sz w:val="20"/>
        </w:rPr>
        <w:t>Unidos: continuidad y cambios</w:t>
      </w:r>
      <w:r>
        <w:rPr>
          <w:color w:val="231F20"/>
          <w:sz w:val="20"/>
        </w:rPr>
        <w:t>, disponible en </w:t>
      </w:r>
      <w:hyperlink r:id="rId236">
        <w:r>
          <w:rPr>
            <w:color w:val="231F20"/>
            <w:sz w:val="20"/>
          </w:rPr>
          <w:t>http://www.conapo.gob.mx/work/</w:t>
        </w:r>
      </w:hyperlink>
      <w:r>
        <w:rPr>
          <w:color w:val="231F20"/>
          <w:sz w:val="20"/>
        </w:rPr>
        <w:t> models/CONAPO/migracion_internacional/MigracionContCamb/06.pdf</w:t>
      </w:r>
    </w:p>
    <w:p>
      <w:pPr>
        <w:pStyle w:val="BodyText"/>
        <w:spacing w:before="4"/>
        <w:rPr>
          <w:sz w:val="24"/>
        </w:rPr>
      </w:pPr>
    </w:p>
    <w:p>
      <w:pPr>
        <w:spacing w:before="0"/>
        <w:ind w:left="117" w:right="0" w:firstLine="0"/>
        <w:jc w:val="both"/>
        <w:rPr>
          <w:i/>
          <w:sz w:val="22"/>
        </w:rPr>
      </w:pPr>
      <w:r>
        <w:rPr>
          <w:i/>
          <w:color w:val="231F20"/>
          <w:sz w:val="22"/>
        </w:rPr>
        <w:t>Juan Gabino González-Becerril</w:t>
      </w:r>
    </w:p>
    <w:p>
      <w:pPr>
        <w:pStyle w:val="BodyText"/>
        <w:spacing w:before="2"/>
        <w:rPr>
          <w:i/>
          <w:sz w:val="23"/>
        </w:rPr>
      </w:pPr>
    </w:p>
    <w:p>
      <w:pPr>
        <w:spacing w:line="247" w:lineRule="auto" w:before="0"/>
        <w:ind w:left="117" w:right="115" w:firstLine="0"/>
        <w:jc w:val="both"/>
        <w:rPr>
          <w:sz w:val="22"/>
        </w:rPr>
      </w:pPr>
      <w:r>
        <w:rPr>
          <w:color w:val="231F20"/>
          <w:sz w:val="22"/>
        </w:rPr>
        <w:t>Maestro en Estudios de Población por El Colegio de la Frontera Norte. Es profesor-investigador de tiempo completo en el Centro de Investigación y Estudios</w:t>
      </w:r>
      <w:r>
        <w:rPr>
          <w:color w:val="231F20"/>
          <w:spacing w:val="-25"/>
          <w:sz w:val="22"/>
        </w:rPr>
        <w:t> </w:t>
      </w:r>
      <w:r>
        <w:rPr>
          <w:color w:val="231F20"/>
          <w:sz w:val="22"/>
        </w:rPr>
        <w:t>Avanzados</w:t>
      </w:r>
      <w:r>
        <w:rPr>
          <w:color w:val="231F20"/>
          <w:spacing w:val="-13"/>
          <w:sz w:val="22"/>
        </w:rPr>
        <w:t> </w:t>
      </w:r>
      <w:r>
        <w:rPr>
          <w:color w:val="231F20"/>
          <w:sz w:val="22"/>
        </w:rPr>
        <w:t>de</w:t>
      </w:r>
      <w:r>
        <w:rPr>
          <w:color w:val="231F20"/>
          <w:spacing w:val="-13"/>
          <w:sz w:val="22"/>
        </w:rPr>
        <w:t> </w:t>
      </w:r>
      <w:r>
        <w:rPr>
          <w:color w:val="231F20"/>
          <w:sz w:val="22"/>
        </w:rPr>
        <w:t>la</w:t>
      </w:r>
      <w:r>
        <w:rPr>
          <w:color w:val="231F20"/>
          <w:spacing w:val="-13"/>
          <w:sz w:val="22"/>
        </w:rPr>
        <w:t> </w:t>
      </w:r>
      <w:r>
        <w:rPr>
          <w:color w:val="231F20"/>
          <w:sz w:val="22"/>
        </w:rPr>
        <w:t>Población</w:t>
      </w:r>
      <w:r>
        <w:rPr>
          <w:color w:val="231F20"/>
          <w:spacing w:val="-13"/>
          <w:sz w:val="22"/>
        </w:rPr>
        <w:t> </w:t>
      </w:r>
      <w:r>
        <w:rPr>
          <w:color w:val="231F20"/>
          <w:sz w:val="22"/>
        </w:rPr>
        <w:t>(CIEAP)</w:t>
      </w:r>
      <w:r>
        <w:rPr>
          <w:color w:val="231F20"/>
          <w:spacing w:val="-13"/>
          <w:sz w:val="22"/>
        </w:rPr>
        <w:t> </w:t>
      </w:r>
      <w:r>
        <w:rPr>
          <w:color w:val="231F20"/>
          <w:sz w:val="22"/>
        </w:rPr>
        <w:t>de</w:t>
      </w:r>
      <w:r>
        <w:rPr>
          <w:color w:val="231F20"/>
          <w:spacing w:val="-13"/>
          <w:sz w:val="22"/>
        </w:rPr>
        <w:t> </w:t>
      </w:r>
      <w:r>
        <w:rPr>
          <w:color w:val="231F20"/>
          <w:sz w:val="22"/>
        </w:rPr>
        <w:t>la</w:t>
      </w:r>
      <w:r>
        <w:rPr>
          <w:color w:val="231F20"/>
          <w:spacing w:val="-13"/>
          <w:sz w:val="22"/>
        </w:rPr>
        <w:t> </w:t>
      </w:r>
      <w:r>
        <w:rPr>
          <w:color w:val="231F20"/>
          <w:sz w:val="22"/>
        </w:rPr>
        <w:t>Universidad</w:t>
      </w:r>
      <w:r>
        <w:rPr>
          <w:color w:val="231F20"/>
          <w:spacing w:val="-23"/>
          <w:sz w:val="22"/>
        </w:rPr>
        <w:t> </w:t>
      </w:r>
      <w:r>
        <w:rPr>
          <w:color w:val="231F20"/>
          <w:sz w:val="22"/>
        </w:rPr>
        <w:t>Autónoma del Estado de México (UAEM), y director de la revista </w:t>
      </w:r>
      <w:r>
        <w:rPr>
          <w:i/>
          <w:color w:val="231F20"/>
          <w:sz w:val="22"/>
        </w:rPr>
        <w:t>Papeles de Po- </w:t>
      </w:r>
      <w:r>
        <w:rPr>
          <w:i/>
          <w:color w:val="231F20"/>
          <w:sz w:val="22"/>
        </w:rPr>
        <w:t>blación</w:t>
      </w:r>
      <w:r>
        <w:rPr>
          <w:color w:val="231F20"/>
          <w:sz w:val="22"/>
        </w:rPr>
        <w:t>. Entre sus publicaciones recientes destacan </w:t>
      </w:r>
      <w:r>
        <w:rPr>
          <w:i/>
          <w:color w:val="231F20"/>
          <w:sz w:val="22"/>
        </w:rPr>
        <w:t>Migración mexiquen- </w:t>
      </w:r>
      <w:r>
        <w:rPr>
          <w:i/>
          <w:color w:val="231F20"/>
          <w:sz w:val="22"/>
        </w:rPr>
        <w:t>se a Estados Unidos: un análisis interdisciplinario</w:t>
      </w:r>
      <w:r>
        <w:rPr>
          <w:color w:val="231F20"/>
          <w:sz w:val="22"/>
        </w:rPr>
        <w:t>, 2012; </w:t>
      </w:r>
      <w:r>
        <w:rPr>
          <w:i/>
          <w:color w:val="231F20"/>
          <w:sz w:val="22"/>
        </w:rPr>
        <w:t>Encuesta </w:t>
      </w:r>
      <w:r>
        <w:rPr>
          <w:i/>
          <w:color w:val="231F20"/>
          <w:spacing w:val="-3"/>
          <w:sz w:val="22"/>
        </w:rPr>
        <w:t>sobre </w:t>
      </w:r>
      <w:r>
        <w:rPr>
          <w:i/>
          <w:color w:val="231F20"/>
          <w:sz w:val="22"/>
        </w:rPr>
        <w:t>Migración de Mexiquenses a Estados Unidos </w:t>
      </w:r>
      <w:r>
        <w:rPr>
          <w:color w:val="231F20"/>
          <w:sz w:val="22"/>
        </w:rPr>
        <w:t>(EMMEU 2009), 2012, y </w:t>
      </w:r>
      <w:r>
        <w:rPr>
          <w:i/>
          <w:color w:val="231F20"/>
          <w:sz w:val="22"/>
        </w:rPr>
        <w:t>Demografía indígena en el Estado de México </w:t>
      </w:r>
      <w:r>
        <w:rPr>
          <w:color w:val="231F20"/>
          <w:sz w:val="22"/>
        </w:rPr>
        <w:t>2013 (coautor), todas las publicaciones bajo el sello editorial de</w:t>
      </w:r>
      <w:r>
        <w:rPr>
          <w:color w:val="231F20"/>
          <w:spacing w:val="-5"/>
          <w:sz w:val="22"/>
        </w:rPr>
        <w:t> </w:t>
      </w:r>
      <w:r>
        <w:rPr>
          <w:color w:val="231F20"/>
          <w:sz w:val="22"/>
        </w:rPr>
        <w:t>CIEAP-UAEM.</w:t>
      </w:r>
    </w:p>
    <w:p>
      <w:pPr>
        <w:pStyle w:val="BodyText"/>
        <w:spacing w:before="6"/>
      </w:pPr>
    </w:p>
    <w:p>
      <w:pPr>
        <w:pStyle w:val="BodyText"/>
        <w:ind w:left="117"/>
        <w:jc w:val="both"/>
      </w:pPr>
      <w:r>
        <w:rPr>
          <w:color w:val="231F20"/>
        </w:rPr>
        <w:t>Correo electrónico: </w:t>
      </w:r>
      <w:hyperlink r:id="rId197">
        <w:r>
          <w:rPr>
            <w:color w:val="231F20"/>
          </w:rPr>
          <w:t>gonzalezg2012@hotmail.com</w:t>
        </w:r>
      </w:hyperlink>
    </w:p>
    <w:p>
      <w:pPr>
        <w:pStyle w:val="BodyText"/>
        <w:spacing w:before="2"/>
        <w:rPr>
          <w:sz w:val="23"/>
        </w:rPr>
      </w:pPr>
    </w:p>
    <w:p>
      <w:pPr>
        <w:spacing w:before="0"/>
        <w:ind w:left="117" w:right="0" w:firstLine="0"/>
        <w:jc w:val="both"/>
        <w:rPr>
          <w:i/>
          <w:sz w:val="22"/>
        </w:rPr>
      </w:pPr>
      <w:r>
        <w:rPr>
          <w:i/>
          <w:color w:val="231F20"/>
          <w:sz w:val="22"/>
        </w:rPr>
        <w:t>José Antonio Soberón-Mora</w:t>
      </w:r>
    </w:p>
    <w:p>
      <w:pPr>
        <w:pStyle w:val="BodyText"/>
        <w:spacing w:before="2"/>
        <w:rPr>
          <w:i/>
          <w:sz w:val="23"/>
        </w:rPr>
      </w:pPr>
    </w:p>
    <w:p>
      <w:pPr>
        <w:pStyle w:val="BodyText"/>
        <w:spacing w:line="247" w:lineRule="auto"/>
        <w:ind w:left="117" w:right="114"/>
        <w:jc w:val="both"/>
      </w:pPr>
      <w:r>
        <w:rPr>
          <w:color w:val="231F20"/>
        </w:rPr>
        <w:t>Maestro en Demografía por El Colegio de la Frontera Norte. Es profesor- investigador de tiempo completo en el Centro de Investigación y Estu- dios Avanzados de la Población de la Universidad Autónoma del Estado de México (UAEM) donde imparte los cursos de Demografía y Calidad de </w:t>
      </w:r>
      <w:r>
        <w:rPr>
          <w:color w:val="231F20"/>
          <w:spacing w:val="-3"/>
        </w:rPr>
        <w:t>Vida. </w:t>
      </w:r>
      <w:r>
        <w:rPr>
          <w:color w:val="231F20"/>
        </w:rPr>
        <w:t>Entre sus últimas publicaciones se encuentran “Migración de re- torno de mexiquenses provenientes de Estados Unidos y características  de los migrantes ausentes” (coautor), en </w:t>
      </w:r>
      <w:r>
        <w:rPr>
          <w:i/>
          <w:color w:val="231F20"/>
        </w:rPr>
        <w:t>Migración mexiquense a Estados </w:t>
      </w:r>
      <w:r>
        <w:rPr>
          <w:i/>
          <w:color w:val="231F20"/>
        </w:rPr>
        <w:t>Unidos: un análisis interdisciplinario</w:t>
      </w:r>
      <w:r>
        <w:rPr>
          <w:color w:val="231F20"/>
        </w:rPr>
        <w:t>, Universidad Autónoma del Estado de México, 2012; “Migración de retorno y salud”, en </w:t>
      </w:r>
      <w:r>
        <w:rPr>
          <w:i/>
          <w:color w:val="231F20"/>
        </w:rPr>
        <w:t>La salud y la migra- </w:t>
      </w:r>
      <w:r>
        <w:rPr>
          <w:i/>
          <w:color w:val="231F20"/>
        </w:rPr>
        <w:t>ción</w:t>
      </w:r>
      <w:r>
        <w:rPr>
          <w:i/>
          <w:color w:val="231F20"/>
          <w:spacing w:val="-5"/>
        </w:rPr>
        <w:t> </w:t>
      </w:r>
      <w:r>
        <w:rPr>
          <w:i/>
          <w:color w:val="231F20"/>
        </w:rPr>
        <w:t>en</w:t>
      </w:r>
      <w:r>
        <w:rPr>
          <w:i/>
          <w:color w:val="231F20"/>
          <w:spacing w:val="-4"/>
        </w:rPr>
        <w:t> </w:t>
      </w:r>
      <w:r>
        <w:rPr>
          <w:i/>
          <w:color w:val="231F20"/>
        </w:rPr>
        <w:t>México</w:t>
      </w:r>
      <w:r>
        <w:rPr>
          <w:color w:val="231F20"/>
        </w:rPr>
        <w:t>,</w:t>
      </w:r>
      <w:r>
        <w:rPr>
          <w:color w:val="231F20"/>
          <w:spacing w:val="-4"/>
        </w:rPr>
        <w:t> </w:t>
      </w:r>
      <w:r>
        <w:rPr>
          <w:color w:val="231F20"/>
        </w:rPr>
        <w:t>Gobierno</w:t>
      </w:r>
      <w:r>
        <w:rPr>
          <w:color w:val="231F20"/>
          <w:spacing w:val="-4"/>
        </w:rPr>
        <w:t> </w:t>
      </w:r>
      <w:r>
        <w:rPr>
          <w:color w:val="231F20"/>
        </w:rPr>
        <w:t>del</w:t>
      </w:r>
      <w:r>
        <w:rPr>
          <w:color w:val="231F20"/>
          <w:spacing w:val="-4"/>
        </w:rPr>
        <w:t> </w:t>
      </w:r>
      <w:r>
        <w:rPr>
          <w:color w:val="231F20"/>
        </w:rPr>
        <w:t>Estado</w:t>
      </w:r>
      <w:r>
        <w:rPr>
          <w:color w:val="231F20"/>
          <w:spacing w:val="-5"/>
        </w:rPr>
        <w:t> </w:t>
      </w:r>
      <w:r>
        <w:rPr>
          <w:color w:val="231F20"/>
        </w:rPr>
        <w:t>de</w:t>
      </w:r>
      <w:r>
        <w:rPr>
          <w:color w:val="231F20"/>
          <w:spacing w:val="-4"/>
        </w:rPr>
        <w:t> </w:t>
      </w:r>
      <w:r>
        <w:rPr>
          <w:color w:val="231F20"/>
        </w:rPr>
        <w:t>México,</w:t>
      </w:r>
      <w:r>
        <w:rPr>
          <w:color w:val="231F20"/>
          <w:spacing w:val="-4"/>
        </w:rPr>
        <w:t> </w:t>
      </w:r>
      <w:r>
        <w:rPr>
          <w:color w:val="231F20"/>
        </w:rPr>
        <w:t>UAEM,</w:t>
      </w:r>
      <w:r>
        <w:rPr>
          <w:color w:val="231F20"/>
          <w:spacing w:val="-4"/>
        </w:rPr>
        <w:t> </w:t>
      </w:r>
      <w:r>
        <w:rPr>
          <w:color w:val="231F20"/>
        </w:rPr>
        <w:t>El</w:t>
      </w:r>
      <w:r>
        <w:rPr>
          <w:color w:val="231F20"/>
          <w:spacing w:val="-4"/>
        </w:rPr>
        <w:t> </w:t>
      </w:r>
      <w:r>
        <w:rPr>
          <w:color w:val="231F20"/>
        </w:rPr>
        <w:t>Colegio</w:t>
      </w:r>
      <w:r>
        <w:rPr>
          <w:color w:val="231F20"/>
          <w:spacing w:val="-4"/>
        </w:rPr>
        <w:t> </w:t>
      </w:r>
      <w:r>
        <w:rPr>
          <w:color w:val="231F20"/>
        </w:rPr>
        <w:t>de</w:t>
      </w:r>
      <w:r>
        <w:rPr>
          <w:color w:val="231F20"/>
          <w:spacing w:val="-4"/>
        </w:rPr>
        <w:t> </w:t>
      </w:r>
      <w:r>
        <w:rPr>
          <w:color w:val="231F20"/>
        </w:rPr>
        <w:t>la Frontera </w:t>
      </w:r>
      <w:r>
        <w:rPr>
          <w:color w:val="231F20"/>
          <w:spacing w:val="-3"/>
        </w:rPr>
        <w:t>Sur, </w:t>
      </w:r>
      <w:r>
        <w:rPr>
          <w:color w:val="231F20"/>
        </w:rPr>
        <w:t>COESPO,</w:t>
      </w:r>
      <w:r>
        <w:rPr>
          <w:color w:val="231F20"/>
          <w:spacing w:val="-4"/>
        </w:rPr>
        <w:t> </w:t>
      </w:r>
      <w:r>
        <w:rPr>
          <w:color w:val="231F20"/>
        </w:rPr>
        <w:t>2012.</w:t>
      </w:r>
    </w:p>
    <w:p>
      <w:pPr>
        <w:pStyle w:val="BodyText"/>
        <w:spacing w:before="6"/>
      </w:pPr>
    </w:p>
    <w:p>
      <w:pPr>
        <w:pStyle w:val="BodyText"/>
        <w:ind w:left="117"/>
        <w:jc w:val="both"/>
      </w:pPr>
      <w:r>
        <w:rPr>
          <w:color w:val="231F20"/>
        </w:rPr>
        <w:t>Correo electrónico: </w:t>
      </w:r>
      <w:hyperlink r:id="rId198">
        <w:r>
          <w:rPr>
            <w:color w:val="231F20"/>
          </w:rPr>
          <w:t>josesoberon2004@yahoo.com</w:t>
        </w:r>
      </w:hyperlink>
    </w:p>
    <w:p>
      <w:pPr>
        <w:spacing w:after="0"/>
        <w:jc w:val="both"/>
        <w:sectPr>
          <w:pgSz w:w="9360" w:h="13040"/>
          <w:pgMar w:header="0" w:footer="496" w:top="740" w:bottom="680" w:left="1300" w:right="1300"/>
        </w:sectPr>
      </w:pPr>
    </w:p>
    <w:p>
      <w:pPr>
        <w:tabs>
          <w:tab w:pos="5536" w:val="left" w:leader="none"/>
        </w:tabs>
        <w:spacing w:before="48"/>
        <w:ind w:left="105" w:right="0" w:firstLine="0"/>
        <w:jc w:val="both"/>
        <w:rPr>
          <w:sz w:val="18"/>
        </w:rPr>
      </w:pPr>
      <w:r>
        <w:rPr>
          <w:rFonts w:ascii="Arial" w:hAnsi="Arial"/>
          <w:color w:val="231F20"/>
          <w:w w:val="80"/>
          <w:sz w:val="20"/>
        </w:rPr>
        <w:t>Hitos</w:t>
      </w:r>
      <w:r>
        <w:rPr>
          <w:rFonts w:ascii="Arial" w:hAnsi="Arial"/>
          <w:color w:val="231F20"/>
          <w:spacing w:val="-14"/>
          <w:w w:val="80"/>
          <w:sz w:val="20"/>
        </w:rPr>
        <w:t> </w:t>
      </w:r>
      <w:r>
        <w:rPr>
          <w:rFonts w:ascii="Arial" w:hAnsi="Arial"/>
          <w:color w:val="231F20"/>
          <w:w w:val="80"/>
          <w:sz w:val="20"/>
        </w:rPr>
        <w:t>Demográficos</w:t>
      </w:r>
      <w:r>
        <w:rPr>
          <w:rFonts w:ascii="Arial" w:hAnsi="Arial"/>
          <w:color w:val="231F20"/>
          <w:spacing w:val="-14"/>
          <w:w w:val="80"/>
          <w:sz w:val="20"/>
        </w:rPr>
        <w:t> </w:t>
      </w:r>
      <w:r>
        <w:rPr>
          <w:rFonts w:ascii="Arial" w:hAnsi="Arial"/>
          <w:color w:val="231F20"/>
          <w:w w:val="80"/>
          <w:sz w:val="20"/>
        </w:rPr>
        <w:t>del</w:t>
      </w:r>
      <w:r>
        <w:rPr>
          <w:rFonts w:ascii="Arial" w:hAnsi="Arial"/>
          <w:color w:val="231F20"/>
          <w:spacing w:val="-14"/>
          <w:w w:val="80"/>
          <w:sz w:val="20"/>
        </w:rPr>
        <w:t> </w:t>
      </w:r>
      <w:r>
        <w:rPr>
          <w:rFonts w:ascii="Arial" w:hAnsi="Arial"/>
          <w:color w:val="231F20"/>
          <w:w w:val="80"/>
          <w:sz w:val="20"/>
        </w:rPr>
        <w:t>Siglo</w:t>
      </w:r>
      <w:r>
        <w:rPr>
          <w:rFonts w:ascii="Arial" w:hAnsi="Arial"/>
          <w:color w:val="231F20"/>
          <w:spacing w:val="-13"/>
          <w:w w:val="80"/>
          <w:sz w:val="20"/>
        </w:rPr>
        <w:t> </w:t>
      </w:r>
      <w:r>
        <w:rPr>
          <w:rFonts w:ascii="Arial" w:hAnsi="Arial"/>
          <w:color w:val="231F20"/>
          <w:w w:val="80"/>
          <w:sz w:val="20"/>
        </w:rPr>
        <w:t>XXI:</w:t>
      </w:r>
      <w:r>
        <w:rPr>
          <w:rFonts w:ascii="Arial" w:hAnsi="Arial"/>
          <w:color w:val="231F20"/>
          <w:spacing w:val="-14"/>
          <w:w w:val="80"/>
          <w:sz w:val="20"/>
        </w:rPr>
        <w:t> </w:t>
      </w:r>
      <w:r>
        <w:rPr>
          <w:rFonts w:ascii="Arial" w:hAnsi="Arial"/>
          <w:color w:val="231F20"/>
          <w:w w:val="80"/>
          <w:sz w:val="20"/>
        </w:rPr>
        <w:t>Migración</w:t>
      </w:r>
      <w:r>
        <w:rPr>
          <w:rFonts w:ascii="Arial" w:hAnsi="Arial"/>
          <w:color w:val="231F20"/>
          <w:spacing w:val="-14"/>
          <w:w w:val="80"/>
          <w:sz w:val="20"/>
        </w:rPr>
        <w:t> </w:t>
      </w:r>
      <w:r>
        <w:rPr>
          <w:rFonts w:ascii="Arial" w:hAnsi="Arial"/>
          <w:color w:val="231F20"/>
          <w:w w:val="80"/>
          <w:sz w:val="20"/>
        </w:rPr>
        <w:t>Internacional</w:t>
        <w:tab/>
      </w:r>
      <w:r>
        <w:rPr>
          <w:color w:val="231F20"/>
          <w:w w:val="90"/>
          <w:position w:val="-2"/>
          <w:sz w:val="18"/>
        </w:rPr>
        <w:t>CIEAP/UAEM</w:t>
      </w:r>
    </w:p>
    <w:p>
      <w:pPr>
        <w:pStyle w:val="BodyText"/>
        <w:spacing w:before="5"/>
        <w:rPr>
          <w:sz w:val="20"/>
        </w:rPr>
      </w:pPr>
    </w:p>
    <w:p>
      <w:pPr>
        <w:spacing w:before="0"/>
        <w:ind w:left="117" w:right="0" w:firstLine="0"/>
        <w:jc w:val="both"/>
        <w:rPr>
          <w:i/>
          <w:sz w:val="22"/>
        </w:rPr>
      </w:pPr>
      <w:r>
        <w:rPr>
          <w:i/>
          <w:color w:val="231F20"/>
          <w:sz w:val="22"/>
        </w:rPr>
        <w:t>Rafael López-Vega</w:t>
      </w:r>
    </w:p>
    <w:p>
      <w:pPr>
        <w:pStyle w:val="BodyText"/>
        <w:spacing w:before="2"/>
        <w:rPr>
          <w:i/>
          <w:sz w:val="23"/>
        </w:rPr>
      </w:pPr>
    </w:p>
    <w:p>
      <w:pPr>
        <w:pStyle w:val="BodyText"/>
        <w:spacing w:line="247" w:lineRule="auto"/>
        <w:ind w:left="117" w:right="115"/>
        <w:jc w:val="both"/>
      </w:pPr>
      <w:r>
        <w:rPr>
          <w:color w:val="231F20"/>
        </w:rPr>
        <w:t>Tiene</w:t>
      </w:r>
      <w:r>
        <w:rPr>
          <w:color w:val="231F20"/>
          <w:spacing w:val="-10"/>
        </w:rPr>
        <w:t> </w:t>
      </w:r>
      <w:r>
        <w:rPr>
          <w:color w:val="231F20"/>
        </w:rPr>
        <w:t>una</w:t>
      </w:r>
      <w:r>
        <w:rPr>
          <w:color w:val="231F20"/>
          <w:spacing w:val="-9"/>
        </w:rPr>
        <w:t> </w:t>
      </w:r>
      <w:r>
        <w:rPr>
          <w:color w:val="231F20"/>
        </w:rPr>
        <w:t>Maestría</w:t>
      </w:r>
      <w:r>
        <w:rPr>
          <w:color w:val="231F20"/>
          <w:spacing w:val="-9"/>
        </w:rPr>
        <w:t> </w:t>
      </w:r>
      <w:r>
        <w:rPr>
          <w:color w:val="231F20"/>
        </w:rPr>
        <w:t>en</w:t>
      </w:r>
      <w:r>
        <w:rPr>
          <w:color w:val="231F20"/>
          <w:spacing w:val="-9"/>
        </w:rPr>
        <w:t> </w:t>
      </w:r>
      <w:r>
        <w:rPr>
          <w:color w:val="231F20"/>
        </w:rPr>
        <w:t>Estudios</w:t>
      </w:r>
      <w:r>
        <w:rPr>
          <w:color w:val="231F20"/>
          <w:spacing w:val="-10"/>
        </w:rPr>
        <w:t> </w:t>
      </w:r>
      <w:r>
        <w:rPr>
          <w:color w:val="231F20"/>
        </w:rPr>
        <w:t>de</w:t>
      </w:r>
      <w:r>
        <w:rPr>
          <w:color w:val="231F20"/>
          <w:spacing w:val="-9"/>
        </w:rPr>
        <w:t> </w:t>
      </w:r>
      <w:r>
        <w:rPr>
          <w:color w:val="231F20"/>
        </w:rPr>
        <w:t>Población</w:t>
      </w:r>
      <w:r>
        <w:rPr>
          <w:color w:val="231F20"/>
          <w:spacing w:val="-9"/>
        </w:rPr>
        <w:t> </w:t>
      </w:r>
      <w:r>
        <w:rPr>
          <w:color w:val="231F20"/>
        </w:rPr>
        <w:t>por</w:t>
      </w:r>
      <w:r>
        <w:rPr>
          <w:color w:val="231F20"/>
          <w:spacing w:val="-9"/>
        </w:rPr>
        <w:t> </w:t>
      </w:r>
      <w:r>
        <w:rPr>
          <w:color w:val="231F20"/>
        </w:rPr>
        <w:t>El</w:t>
      </w:r>
      <w:r>
        <w:rPr>
          <w:color w:val="231F20"/>
          <w:spacing w:val="-9"/>
        </w:rPr>
        <w:t> </w:t>
      </w:r>
      <w:r>
        <w:rPr>
          <w:color w:val="231F20"/>
        </w:rPr>
        <w:t>Colegio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Frontera Norte. Actualmente es investigador en el Centro de Estudios Sociales </w:t>
      </w:r>
      <w:r>
        <w:rPr>
          <w:color w:val="231F20"/>
          <w:spacing w:val="4"/>
        </w:rPr>
        <w:t> </w:t>
      </w:r>
      <w:r>
        <w:rPr>
          <w:color w:val="231F20"/>
        </w:rPr>
        <w:t>del</w:t>
      </w:r>
    </w:p>
    <w:p>
      <w:pPr>
        <w:pStyle w:val="BodyText"/>
        <w:spacing w:line="247" w:lineRule="auto"/>
        <w:ind w:left="117" w:right="114"/>
        <w:jc w:val="both"/>
      </w:pPr>
      <w:r>
        <w:rPr>
          <w:color w:val="231F20"/>
        </w:rPr>
        <w:t>H. Congreso de la Unión (CESOP). Algunas de sus áreas de investigación son métodos cuantitativos, prospectiva demográfica, fecundidad, migra- ción y mortalidad por causas. Se especializa en prospectiva demográfica, migración</w:t>
      </w:r>
      <w:r>
        <w:rPr>
          <w:color w:val="231F20"/>
          <w:spacing w:val="-6"/>
        </w:rPr>
        <w:t> </w:t>
      </w:r>
      <w:r>
        <w:rPr>
          <w:color w:val="231F20"/>
        </w:rPr>
        <w:t>internacional</w:t>
      </w:r>
      <w:r>
        <w:rPr>
          <w:color w:val="231F20"/>
          <w:spacing w:val="-5"/>
        </w:rPr>
        <w:t> </w:t>
      </w:r>
      <w:r>
        <w:rPr>
          <w:color w:val="231F20"/>
        </w:rPr>
        <w:t>y</w:t>
      </w:r>
      <w:r>
        <w:rPr>
          <w:color w:val="231F20"/>
          <w:spacing w:val="-5"/>
        </w:rPr>
        <w:t> </w:t>
      </w:r>
      <w:r>
        <w:rPr>
          <w:color w:val="231F20"/>
        </w:rPr>
        <w:t>explotación</w:t>
      </w:r>
      <w:r>
        <w:rPr>
          <w:color w:val="231F20"/>
          <w:spacing w:val="-6"/>
        </w:rPr>
        <w:t> </w:t>
      </w:r>
      <w:r>
        <w:rPr>
          <w:color w:val="231F20"/>
        </w:rPr>
        <w:t>de</w:t>
      </w:r>
      <w:r>
        <w:rPr>
          <w:color w:val="231F20"/>
          <w:spacing w:val="-5"/>
        </w:rPr>
        <w:t> </w:t>
      </w:r>
      <w:r>
        <w:rPr>
          <w:color w:val="231F20"/>
        </w:rPr>
        <w:t>bases</w:t>
      </w:r>
      <w:r>
        <w:rPr>
          <w:color w:val="231F20"/>
          <w:spacing w:val="-5"/>
        </w:rPr>
        <w:t> </w:t>
      </w:r>
      <w:r>
        <w:rPr>
          <w:color w:val="231F20"/>
        </w:rPr>
        <w:t>de</w:t>
      </w:r>
      <w:r>
        <w:rPr>
          <w:color w:val="231F20"/>
          <w:spacing w:val="-5"/>
        </w:rPr>
        <w:t> </w:t>
      </w:r>
      <w:r>
        <w:rPr>
          <w:color w:val="231F20"/>
        </w:rPr>
        <w:t>datos</w:t>
      </w:r>
      <w:r>
        <w:rPr>
          <w:color w:val="231F20"/>
          <w:spacing w:val="-5"/>
        </w:rPr>
        <w:t> </w:t>
      </w:r>
      <w:r>
        <w:rPr>
          <w:color w:val="231F20"/>
        </w:rPr>
        <w:t>de</w:t>
      </w:r>
      <w:r>
        <w:rPr>
          <w:color w:val="231F20"/>
          <w:spacing w:val="-5"/>
        </w:rPr>
        <w:t> </w:t>
      </w:r>
      <w:r>
        <w:rPr>
          <w:color w:val="231F20"/>
        </w:rPr>
        <w:t>usos</w:t>
      </w:r>
      <w:r>
        <w:rPr>
          <w:color w:val="231F20"/>
          <w:spacing w:val="-5"/>
        </w:rPr>
        <w:t> </w:t>
      </w:r>
      <w:r>
        <w:rPr>
          <w:color w:val="231F20"/>
        </w:rPr>
        <w:t>múltiples. Ha colaborado en proyectos de carácter internacional con la Oficina del Censo Estadounidense y nacionales con el INEGI y CONAPO. Cuenta con artículos publicados en </w:t>
      </w:r>
      <w:r>
        <w:rPr>
          <w:i/>
          <w:color w:val="231F20"/>
        </w:rPr>
        <w:t>Situación Demográfica, </w:t>
      </w:r>
      <w:r>
        <w:rPr>
          <w:color w:val="231F20"/>
        </w:rPr>
        <w:t>publicada</w:t>
      </w:r>
      <w:r>
        <w:rPr>
          <w:color w:val="231F20"/>
          <w:spacing w:val="-21"/>
        </w:rPr>
        <w:t> </w:t>
      </w:r>
      <w:r>
        <w:rPr>
          <w:color w:val="231F20"/>
        </w:rPr>
        <w:t>anualmente por el CONAPO, por la Universidad Autónoma del Estado de México, así como por el CESOP y la UNAM. Ha impartido múltiples conferencias en temas</w:t>
      </w:r>
      <w:r>
        <w:rPr>
          <w:color w:val="231F20"/>
          <w:spacing w:val="-12"/>
        </w:rPr>
        <w:t> </w:t>
      </w:r>
      <w:r>
        <w:rPr>
          <w:color w:val="231F20"/>
        </w:rPr>
        <w:t>demográficos.</w:t>
      </w:r>
    </w:p>
    <w:p>
      <w:pPr>
        <w:pStyle w:val="BodyText"/>
        <w:spacing w:before="6"/>
      </w:pPr>
    </w:p>
    <w:p>
      <w:pPr>
        <w:pStyle w:val="BodyText"/>
        <w:ind w:left="117"/>
        <w:jc w:val="both"/>
      </w:pPr>
      <w:r>
        <w:rPr>
          <w:color w:val="231F20"/>
        </w:rPr>
        <w:t>Correo electrónico: </w:t>
      </w:r>
      <w:hyperlink r:id="rId237">
        <w:r>
          <w:rPr>
            <w:color w:val="231F20"/>
          </w:rPr>
          <w:t>rafaellvegal@gmail.com</w:t>
        </w:r>
      </w:hyperlink>
    </w:p>
    <w:p>
      <w:pPr>
        <w:spacing w:after="0"/>
        <w:jc w:val="both"/>
        <w:sectPr>
          <w:pgSz w:w="9360" w:h="13040"/>
          <w:pgMar w:header="0" w:footer="496" w:top="800" w:bottom="680" w:left="1300" w:right="1300"/>
        </w:sectPr>
      </w:pPr>
    </w:p>
    <w:p>
      <w:pPr>
        <w:pStyle w:val="BodyText"/>
        <w:ind w:left="103"/>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spacing w:before="94"/>
        <w:ind w:left="886" w:right="884"/>
        <w:jc w:val="center"/>
      </w:pPr>
      <w:r>
        <w:rPr/>
        <w:pict>
          <v:shape style="position:absolute;margin-left:57.165001pt;margin-top:-44.463627pt;width:353.4pt;height:43.5pt;mso-position-horizontal-relative:page;mso-position-vertical-relative:paragraph;z-index:-636352" type="#_x0000_t202" filled="false" stroked="false">
            <v:textbox inset="0,0,0,0">
              <w:txbxContent>
                <w:p>
                  <w:pPr>
                    <w:pStyle w:val="BodyText"/>
                    <w:rPr>
                      <w:sz w:val="20"/>
                    </w:rPr>
                  </w:pPr>
                </w:p>
                <w:p>
                  <w:pPr>
                    <w:pStyle w:val="BodyText"/>
                    <w:spacing w:before="6"/>
                    <w:rPr>
                      <w:sz w:val="16"/>
                    </w:rPr>
                  </w:pPr>
                </w:p>
                <w:p>
                  <w:pPr>
                    <w:spacing w:before="0"/>
                    <w:ind w:left="390" w:right="0" w:firstLine="0"/>
                    <w:jc w:val="left"/>
                    <w:rPr>
                      <w:rFonts w:ascii="Arial" w:hAnsi="Arial"/>
                      <w:sz w:val="20"/>
                    </w:rPr>
                  </w:pPr>
                  <w:r>
                    <w:rPr>
                      <w:rFonts w:ascii="Arial" w:hAnsi="Arial"/>
                      <w:color w:val="231F20"/>
                      <w:w w:val="70"/>
                      <w:sz w:val="20"/>
                    </w:rPr>
                    <w:t>Los menores inmigrantes indocumentados ante la nueva ley de migración... /Alma C. Guadarrama-Muñoz</w:t>
                  </w:r>
                </w:p>
              </w:txbxContent>
            </v:textbox>
            <w10:wrap type="none"/>
          </v:shape>
        </w:pict>
      </w:r>
      <w:r>
        <w:rPr>
          <w:w w:val="70"/>
        </w:rPr>
        <w:t>Los menores inmigrantes indoumentados ante la nueva ley de migración en México</w:t>
      </w:r>
    </w:p>
    <w:p>
      <w:pPr>
        <w:pStyle w:val="Heading2"/>
        <w:spacing w:before="278"/>
        <w:ind w:left="884" w:right="884"/>
        <w:jc w:val="center"/>
      </w:pPr>
      <w:r>
        <w:rPr/>
        <w:t>Alma Cossette Guadarrama-Muñoz</w:t>
      </w:r>
    </w:p>
    <w:p>
      <w:pPr>
        <w:pStyle w:val="BodyText"/>
        <w:spacing w:before="8"/>
        <w:rPr>
          <w:sz w:val="26"/>
        </w:rPr>
      </w:pPr>
    </w:p>
    <w:p>
      <w:pPr>
        <w:spacing w:before="0"/>
        <w:ind w:left="886" w:right="868" w:firstLine="0"/>
        <w:jc w:val="center"/>
        <w:rPr>
          <w:i/>
          <w:sz w:val="22"/>
        </w:rPr>
      </w:pPr>
      <w:r>
        <w:rPr>
          <w:i/>
          <w:sz w:val="22"/>
        </w:rPr>
        <w:t>Universidad del Istmo</w:t>
      </w:r>
    </w:p>
    <w:p>
      <w:pPr>
        <w:pStyle w:val="BodyText"/>
        <w:rPr>
          <w:i/>
        </w:rPr>
      </w:pPr>
    </w:p>
    <w:p>
      <w:pPr>
        <w:pStyle w:val="BodyText"/>
        <w:spacing w:before="9"/>
        <w:rPr>
          <w:i/>
          <w:sz w:val="21"/>
        </w:rPr>
      </w:pPr>
    </w:p>
    <w:p>
      <w:pPr>
        <w:pStyle w:val="Heading3"/>
        <w:spacing w:before="0"/>
        <w:ind w:left="396" w:right="1063"/>
        <w:jc w:val="left"/>
      </w:pPr>
      <w:r>
        <w:rPr/>
        <w:t>Sujetos de estudio</w:t>
      </w:r>
    </w:p>
    <w:p>
      <w:pPr>
        <w:pStyle w:val="BodyText"/>
        <w:rPr>
          <w:b/>
          <w:sz w:val="20"/>
        </w:rPr>
      </w:pPr>
    </w:p>
    <w:p>
      <w:pPr>
        <w:pStyle w:val="BodyText"/>
        <w:spacing w:before="8"/>
        <w:rPr>
          <w:b/>
          <w:sz w:val="17"/>
        </w:rPr>
      </w:pPr>
    </w:p>
    <w:p>
      <w:pPr>
        <w:pStyle w:val="BodyText"/>
        <w:spacing w:line="247" w:lineRule="auto" w:before="187"/>
        <w:ind w:left="1291" w:right="375"/>
        <w:jc w:val="both"/>
      </w:pPr>
      <w:r>
        <w:rPr/>
        <w:pict>
          <v:shape style="position:absolute;margin-left:70.866096pt;margin-top:4.984080pt;width:36.7pt;height:55pt;mso-position-horizontal-relative:page;mso-position-vertical-relative:paragraph;z-index:-636328" type="#_x0000_t202" filled="false" stroked="false">
            <v:textbox inset="0,0,0,0">
              <w:txbxContent>
                <w:p>
                  <w:pPr>
                    <w:spacing w:line="1100" w:lineRule="exact" w:before="0"/>
                    <w:ind w:left="0" w:right="0" w:firstLine="0"/>
                    <w:jc w:val="left"/>
                    <w:rPr>
                      <w:b/>
                      <w:sz w:val="110"/>
                    </w:rPr>
                  </w:pPr>
                  <w:r>
                    <w:rPr>
                      <w:b/>
                      <w:color w:val="231F20"/>
                      <w:sz w:val="110"/>
                    </w:rPr>
                    <w:t>L</w:t>
                  </w:r>
                </w:p>
              </w:txbxContent>
            </v:textbox>
            <w10:wrap type="none"/>
          </v:shape>
        </w:pict>
      </w:r>
      <w:r>
        <w:rPr>
          <w:color w:val="231F20"/>
        </w:rPr>
        <w:t>a</w:t>
      </w:r>
      <w:r>
        <w:rPr>
          <w:color w:val="231F20"/>
          <w:spacing w:val="-6"/>
        </w:rPr>
        <w:t> </w:t>
      </w:r>
      <w:r>
        <w:rPr>
          <w:color w:val="231F20"/>
        </w:rPr>
        <w:t>franja</w:t>
      </w:r>
      <w:r>
        <w:rPr>
          <w:color w:val="231F20"/>
          <w:spacing w:val="-6"/>
        </w:rPr>
        <w:t> </w:t>
      </w:r>
      <w:r>
        <w:rPr>
          <w:color w:val="231F20"/>
        </w:rPr>
        <w:t>fronteriza</w:t>
      </w:r>
      <w:r>
        <w:rPr>
          <w:color w:val="231F20"/>
          <w:spacing w:val="-6"/>
        </w:rPr>
        <w:t> </w:t>
      </w:r>
      <w:r>
        <w:rPr>
          <w:color w:val="231F20"/>
        </w:rPr>
        <w:t>sur</w:t>
      </w:r>
      <w:r>
        <w:rPr>
          <w:color w:val="231F20"/>
          <w:spacing w:val="-6"/>
        </w:rPr>
        <w:t> </w:t>
      </w:r>
      <w:r>
        <w:rPr>
          <w:color w:val="231F20"/>
        </w:rPr>
        <w:t>de</w:t>
      </w:r>
      <w:r>
        <w:rPr>
          <w:color w:val="231F20"/>
          <w:spacing w:val="-6"/>
        </w:rPr>
        <w:t> </w:t>
      </w:r>
      <w:r>
        <w:rPr>
          <w:color w:val="231F20"/>
        </w:rPr>
        <w:t>México</w:t>
      </w:r>
      <w:r>
        <w:rPr>
          <w:color w:val="231F20"/>
          <w:spacing w:val="-6"/>
        </w:rPr>
        <w:t> </w:t>
      </w:r>
      <w:r>
        <w:rPr>
          <w:color w:val="231F20"/>
        </w:rPr>
        <w:t>con</w:t>
      </w:r>
      <w:r>
        <w:rPr>
          <w:color w:val="231F20"/>
          <w:spacing w:val="-6"/>
        </w:rPr>
        <w:t> </w:t>
      </w:r>
      <w:r>
        <w:rPr>
          <w:color w:val="231F20"/>
        </w:rPr>
        <w:t>Guatemala</w:t>
      </w:r>
      <w:r>
        <w:rPr>
          <w:color w:val="231F20"/>
          <w:spacing w:val="-6"/>
        </w:rPr>
        <w:t> </w:t>
      </w:r>
      <w:r>
        <w:rPr>
          <w:color w:val="231F20"/>
        </w:rPr>
        <w:t>está</w:t>
      </w:r>
      <w:r>
        <w:rPr>
          <w:color w:val="231F20"/>
          <w:spacing w:val="-6"/>
        </w:rPr>
        <w:t> </w:t>
      </w:r>
      <w:r>
        <w:rPr>
          <w:color w:val="231F20"/>
        </w:rPr>
        <w:t>conforma- da</w:t>
      </w:r>
      <w:r>
        <w:rPr>
          <w:color w:val="231F20"/>
          <w:spacing w:val="-12"/>
        </w:rPr>
        <w:t> </w:t>
      </w:r>
      <w:r>
        <w:rPr>
          <w:color w:val="231F20"/>
        </w:rPr>
        <w:t>por</w:t>
      </w:r>
      <w:r>
        <w:rPr>
          <w:color w:val="231F20"/>
          <w:spacing w:val="-12"/>
        </w:rPr>
        <w:t> </w:t>
      </w:r>
      <w:r>
        <w:rPr>
          <w:color w:val="231F20"/>
        </w:rPr>
        <w:t>tres</w:t>
      </w:r>
      <w:r>
        <w:rPr>
          <w:color w:val="231F20"/>
          <w:spacing w:val="-12"/>
        </w:rPr>
        <w:t> </w:t>
      </w:r>
      <w:r>
        <w:rPr>
          <w:color w:val="231F20"/>
        </w:rPr>
        <w:t>entidades</w:t>
      </w:r>
      <w:r>
        <w:rPr>
          <w:color w:val="231F20"/>
          <w:spacing w:val="-12"/>
        </w:rPr>
        <w:t> </w:t>
      </w:r>
      <w:r>
        <w:rPr>
          <w:color w:val="231F20"/>
        </w:rPr>
        <w:t>federativas</w:t>
      </w:r>
      <w:r>
        <w:rPr>
          <w:color w:val="231F20"/>
          <w:spacing w:val="-12"/>
        </w:rPr>
        <w:t> </w:t>
      </w:r>
      <w:r>
        <w:rPr>
          <w:color w:val="231F20"/>
        </w:rPr>
        <w:t>y</w:t>
      </w:r>
      <w:r>
        <w:rPr>
          <w:color w:val="231F20"/>
          <w:spacing w:val="-12"/>
        </w:rPr>
        <w:t> </w:t>
      </w:r>
      <w:r>
        <w:rPr>
          <w:color w:val="231F20"/>
        </w:rPr>
        <w:t>cuatro</w:t>
      </w:r>
      <w:r>
        <w:rPr>
          <w:color w:val="231F20"/>
          <w:spacing w:val="-12"/>
        </w:rPr>
        <w:t> </w:t>
      </w:r>
      <w:r>
        <w:rPr>
          <w:color w:val="231F20"/>
        </w:rPr>
        <w:t>departamentos,</w:t>
      </w:r>
      <w:r>
        <w:rPr>
          <w:color w:val="231F20"/>
          <w:spacing w:val="-12"/>
        </w:rPr>
        <w:t> </w:t>
      </w:r>
      <w:r>
        <w:rPr>
          <w:color w:val="231F20"/>
        </w:rPr>
        <w:t>respec- tivamente. Chiapas es una de las regiones más complejas de </w:t>
      </w:r>
      <w:r>
        <w:rPr>
          <w:color w:val="231F20"/>
          <w:spacing w:val="52"/>
        </w:rPr>
        <w:t> </w:t>
      </w:r>
      <w:r>
        <w:rPr>
          <w:color w:val="231F20"/>
        </w:rPr>
        <w:t>la</w:t>
      </w:r>
    </w:p>
    <w:p>
      <w:pPr>
        <w:pStyle w:val="BodyText"/>
        <w:spacing w:line="247" w:lineRule="auto"/>
        <w:ind w:left="377" w:right="374"/>
        <w:jc w:val="both"/>
      </w:pPr>
      <w:r>
        <w:rPr>
          <w:color w:val="231F20"/>
        </w:rPr>
        <w:t>franja, no sólo porque en ella confluye un mosaico de pueblos indígenas y una diversidad de extranjeros que por distintas razones se han establecido a lo largo de su historia, sino por su pasado histórico y cultural que la liga inevitablemente con Centroamérica, convirtiéndola, junto con su posición geográfica, en el punto estratégico de concurrencia de las tres aristas de la migración: la vía de salida de un número importante de chiapanecos hacia las ciudades del interior y Estados Unidos; el destino final de inmigrantes con</w:t>
      </w:r>
      <w:r>
        <w:rPr>
          <w:color w:val="231F20"/>
          <w:spacing w:val="-8"/>
        </w:rPr>
        <w:t> </w:t>
      </w:r>
      <w:r>
        <w:rPr>
          <w:color w:val="231F20"/>
        </w:rPr>
        <w:t>diferentes</w:t>
      </w:r>
      <w:r>
        <w:rPr>
          <w:color w:val="231F20"/>
          <w:spacing w:val="-8"/>
        </w:rPr>
        <w:t> </w:t>
      </w:r>
      <w:r>
        <w:rPr>
          <w:color w:val="231F20"/>
        </w:rPr>
        <w:t>objetivos</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puerta</w:t>
      </w:r>
      <w:r>
        <w:rPr>
          <w:color w:val="231F20"/>
          <w:spacing w:val="-8"/>
        </w:rPr>
        <w:t> </w:t>
      </w:r>
      <w:r>
        <w:rPr>
          <w:color w:val="231F20"/>
        </w:rPr>
        <w:t>de</w:t>
      </w:r>
      <w:r>
        <w:rPr>
          <w:color w:val="231F20"/>
          <w:spacing w:val="-8"/>
        </w:rPr>
        <w:t> </w:t>
      </w:r>
      <w:r>
        <w:rPr>
          <w:color w:val="231F20"/>
        </w:rPr>
        <w:t>entrada</w:t>
      </w:r>
      <w:r>
        <w:rPr>
          <w:color w:val="231F20"/>
          <w:spacing w:val="-8"/>
        </w:rPr>
        <w:t> </w:t>
      </w:r>
      <w:r>
        <w:rPr>
          <w:color w:val="231F20"/>
        </w:rPr>
        <w:t>para</w:t>
      </w:r>
      <w:r>
        <w:rPr>
          <w:color w:val="231F20"/>
          <w:spacing w:val="-8"/>
        </w:rPr>
        <w:t> </w:t>
      </w:r>
      <w:r>
        <w:rPr>
          <w:color w:val="231F20"/>
        </w:rPr>
        <w:t>el</w:t>
      </w:r>
      <w:r>
        <w:rPr>
          <w:color w:val="231F20"/>
          <w:spacing w:val="-8"/>
        </w:rPr>
        <w:t> </w:t>
      </w:r>
      <w:r>
        <w:rPr>
          <w:color w:val="231F20"/>
        </w:rPr>
        <w:t>tránsito</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fluida corriente temporal a las fincas chiapanecas, así como de transmigrantes indocumentados.</w:t>
      </w:r>
    </w:p>
    <w:p>
      <w:pPr>
        <w:pStyle w:val="BodyText"/>
        <w:spacing w:line="247" w:lineRule="auto"/>
        <w:ind w:left="377" w:right="374" w:firstLine="283"/>
        <w:jc w:val="both"/>
      </w:pPr>
      <w:r>
        <w:rPr>
          <w:color w:val="231F20"/>
        </w:rPr>
        <w:t>Esta última corriente, la que nos ocupa, ha aumentado paulatinamente en las últimas décadas. Miles de hombres y mujeres cada vez más jóvenes se incorporan todos los días a ella. No obstante, con el pasar de los años, ha irrumpido en el escenario de las migraciones un nuevo actor aún más vulnerable que los anteriores, nos referimos a los menores; pero ¿quién debe</w:t>
      </w:r>
      <w:r>
        <w:rPr>
          <w:color w:val="231F20"/>
          <w:spacing w:val="-4"/>
        </w:rPr>
        <w:t> </w:t>
      </w:r>
      <w:r>
        <w:rPr>
          <w:color w:val="231F20"/>
        </w:rPr>
        <w:t>ser</w:t>
      </w:r>
      <w:r>
        <w:rPr>
          <w:color w:val="231F20"/>
          <w:spacing w:val="-4"/>
        </w:rPr>
        <w:t> </w:t>
      </w:r>
      <w:r>
        <w:rPr>
          <w:color w:val="231F20"/>
        </w:rPr>
        <w:t>considerado</w:t>
      </w:r>
      <w:r>
        <w:rPr>
          <w:color w:val="231F20"/>
          <w:spacing w:val="-6"/>
        </w:rPr>
        <w:t> </w:t>
      </w:r>
      <w:r>
        <w:rPr>
          <w:color w:val="231F20"/>
        </w:rPr>
        <w:t>como</w:t>
      </w:r>
      <w:r>
        <w:rPr>
          <w:color w:val="231F20"/>
          <w:spacing w:val="-4"/>
        </w:rPr>
        <w:t> </w:t>
      </w:r>
      <w:r>
        <w:rPr>
          <w:color w:val="231F20"/>
        </w:rPr>
        <w:t>tal?</w:t>
      </w:r>
      <w:r>
        <w:rPr>
          <w:color w:val="231F20"/>
          <w:spacing w:val="-6"/>
        </w:rPr>
        <w:t> </w:t>
      </w:r>
      <w:r>
        <w:rPr>
          <w:color w:val="231F20"/>
        </w:rPr>
        <w:t>Desde</w:t>
      </w:r>
      <w:r>
        <w:rPr>
          <w:color w:val="231F20"/>
          <w:spacing w:val="-4"/>
        </w:rPr>
        <w:t> </w:t>
      </w:r>
      <w:r>
        <w:rPr>
          <w:color w:val="231F20"/>
        </w:rPr>
        <w:t>el</w:t>
      </w:r>
      <w:r>
        <w:rPr>
          <w:color w:val="231F20"/>
          <w:spacing w:val="-4"/>
        </w:rPr>
        <w:t> </w:t>
      </w:r>
      <w:r>
        <w:rPr>
          <w:color w:val="231F20"/>
        </w:rPr>
        <w:t>punto</w:t>
      </w:r>
      <w:r>
        <w:rPr>
          <w:color w:val="231F20"/>
          <w:spacing w:val="-4"/>
        </w:rPr>
        <w:t> </w:t>
      </w:r>
      <w:r>
        <w:rPr>
          <w:color w:val="231F20"/>
        </w:rPr>
        <w:t>de</w:t>
      </w:r>
      <w:r>
        <w:rPr>
          <w:color w:val="231F20"/>
          <w:spacing w:val="-4"/>
        </w:rPr>
        <w:t> </w:t>
      </w:r>
      <w:r>
        <w:rPr>
          <w:color w:val="231F20"/>
        </w:rPr>
        <w:t>vista</w:t>
      </w:r>
      <w:r>
        <w:rPr>
          <w:color w:val="231F20"/>
          <w:spacing w:val="-4"/>
        </w:rPr>
        <w:t> </w:t>
      </w:r>
      <w:r>
        <w:rPr>
          <w:color w:val="231F20"/>
        </w:rPr>
        <w:t>jurídico,</w:t>
      </w:r>
      <w:r>
        <w:rPr>
          <w:color w:val="231F20"/>
          <w:spacing w:val="-6"/>
        </w:rPr>
        <w:t> </w:t>
      </w:r>
      <w:r>
        <w:rPr>
          <w:color w:val="231F20"/>
        </w:rPr>
        <w:t>las</w:t>
      </w:r>
      <w:r>
        <w:rPr>
          <w:color w:val="231F20"/>
          <w:spacing w:val="-4"/>
        </w:rPr>
        <w:t> </w:t>
      </w:r>
      <w:r>
        <w:rPr>
          <w:color w:val="231F20"/>
        </w:rPr>
        <w:t>perso- nas</w:t>
      </w:r>
      <w:r>
        <w:rPr>
          <w:color w:val="231F20"/>
          <w:spacing w:val="-5"/>
        </w:rPr>
        <w:t> </w:t>
      </w:r>
      <w:r>
        <w:rPr>
          <w:color w:val="231F20"/>
        </w:rPr>
        <w:t>de</w:t>
      </w:r>
      <w:r>
        <w:rPr>
          <w:color w:val="231F20"/>
          <w:spacing w:val="-5"/>
        </w:rPr>
        <w:t> </w:t>
      </w:r>
      <w:r>
        <w:rPr>
          <w:color w:val="231F20"/>
        </w:rPr>
        <w:t>menos</w:t>
      </w:r>
      <w:r>
        <w:rPr>
          <w:color w:val="231F20"/>
          <w:spacing w:val="-5"/>
        </w:rPr>
        <w:t> </w:t>
      </w:r>
      <w:r>
        <w:rPr>
          <w:color w:val="231F20"/>
        </w:rPr>
        <w:t>de</w:t>
      </w:r>
      <w:r>
        <w:rPr>
          <w:color w:val="231F20"/>
          <w:spacing w:val="-5"/>
        </w:rPr>
        <w:t> </w:t>
      </w:r>
      <w:r>
        <w:rPr>
          <w:color w:val="231F20"/>
        </w:rPr>
        <w:t>18</w:t>
      </w:r>
      <w:r>
        <w:rPr>
          <w:color w:val="231F20"/>
          <w:spacing w:val="-5"/>
        </w:rPr>
        <w:t> </w:t>
      </w:r>
      <w:r>
        <w:rPr>
          <w:color w:val="231F20"/>
        </w:rPr>
        <w:t>años</w:t>
      </w:r>
      <w:r>
        <w:rPr>
          <w:color w:val="231F20"/>
          <w:spacing w:val="-5"/>
        </w:rPr>
        <w:t> </w:t>
      </w:r>
      <w:r>
        <w:rPr>
          <w:color w:val="231F20"/>
        </w:rPr>
        <w:t>quienes</w:t>
      </w:r>
      <w:r>
        <w:rPr>
          <w:color w:val="231F20"/>
          <w:spacing w:val="-5"/>
        </w:rPr>
        <w:t> </w:t>
      </w:r>
      <w:r>
        <w:rPr>
          <w:color w:val="231F20"/>
        </w:rPr>
        <w:t>cuentan</w:t>
      </w:r>
      <w:r>
        <w:rPr>
          <w:color w:val="231F20"/>
          <w:spacing w:val="-6"/>
        </w:rPr>
        <w:t> </w:t>
      </w:r>
      <w:r>
        <w:rPr>
          <w:color w:val="231F20"/>
        </w:rPr>
        <w:t>con</w:t>
      </w:r>
      <w:r>
        <w:rPr>
          <w:color w:val="231F20"/>
          <w:spacing w:val="-6"/>
        </w:rPr>
        <w:t> </w:t>
      </w:r>
      <w:r>
        <w:rPr>
          <w:color w:val="231F20"/>
        </w:rPr>
        <w:t>la</w:t>
      </w:r>
      <w:r>
        <w:rPr>
          <w:color w:val="231F20"/>
          <w:spacing w:val="-5"/>
        </w:rPr>
        <w:t> </w:t>
      </w:r>
      <w:r>
        <w:rPr>
          <w:color w:val="231F20"/>
        </w:rPr>
        <w:t>capacidad</w:t>
      </w:r>
      <w:r>
        <w:rPr>
          <w:color w:val="231F20"/>
          <w:spacing w:val="-6"/>
        </w:rPr>
        <w:t> </w:t>
      </w:r>
      <w:r>
        <w:rPr>
          <w:color w:val="231F20"/>
        </w:rPr>
        <w:t>de</w:t>
      </w:r>
      <w:r>
        <w:rPr>
          <w:color w:val="231F20"/>
          <w:spacing w:val="-5"/>
        </w:rPr>
        <w:t> </w:t>
      </w:r>
      <w:r>
        <w:rPr>
          <w:color w:val="231F20"/>
        </w:rPr>
        <w:t>goce.</w:t>
      </w:r>
      <w:r>
        <w:rPr>
          <w:color w:val="231F20"/>
          <w:spacing w:val="-17"/>
        </w:rPr>
        <w:t> </w:t>
      </w:r>
      <w:r>
        <w:rPr>
          <w:color w:val="231F20"/>
        </w:rPr>
        <w:t>Así,</w:t>
      </w:r>
      <w:r>
        <w:rPr>
          <w:color w:val="231F20"/>
          <w:spacing w:val="-5"/>
        </w:rPr>
        <w:t> </w:t>
      </w:r>
      <w:r>
        <w:rPr>
          <w:color w:val="231F20"/>
        </w:rPr>
        <w:t>la edad se convierte en la línea divisoria entre un </w:t>
      </w:r>
      <w:r>
        <w:rPr>
          <w:i/>
          <w:color w:val="231F20"/>
        </w:rPr>
        <w:t>estatus </w:t>
      </w:r>
      <w:r>
        <w:rPr>
          <w:color w:val="231F20"/>
        </w:rPr>
        <w:t>y otro, al cual se le confiere la facultad de ejercicio para ser sujeto de derechos y</w:t>
      </w:r>
      <w:r>
        <w:rPr>
          <w:color w:val="231F20"/>
          <w:spacing w:val="-12"/>
        </w:rPr>
        <w:t> </w:t>
      </w:r>
      <w:r>
        <w:rPr>
          <w:color w:val="231F20"/>
        </w:rPr>
        <w:t>obligaciones (IIJ, 1991: 397). El periodo en comento está compuesto por etapas, como acertadamente nuestra legislación lo consagra al distinguir entre niños y adolescentes. Esta precisión es importante para determinar los parámetros de</w:t>
      </w:r>
      <w:r>
        <w:rPr>
          <w:color w:val="231F20"/>
          <w:spacing w:val="-7"/>
        </w:rPr>
        <w:t> </w:t>
      </w:r>
      <w:r>
        <w:rPr>
          <w:color w:val="231F20"/>
        </w:rPr>
        <w:t>atención</w:t>
      </w:r>
      <w:r>
        <w:rPr>
          <w:color w:val="231F20"/>
          <w:spacing w:val="-7"/>
        </w:rPr>
        <w:t> </w:t>
      </w:r>
      <w:r>
        <w:rPr>
          <w:color w:val="231F20"/>
        </w:rPr>
        <w:t>y</w:t>
      </w:r>
      <w:r>
        <w:rPr>
          <w:color w:val="231F20"/>
          <w:spacing w:val="-7"/>
        </w:rPr>
        <w:t> </w:t>
      </w:r>
      <w:r>
        <w:rPr>
          <w:color w:val="231F20"/>
        </w:rPr>
        <w:t>defensa,</w:t>
      </w:r>
      <w:r>
        <w:rPr>
          <w:color w:val="231F20"/>
          <w:spacing w:val="-6"/>
        </w:rPr>
        <w:t> </w:t>
      </w:r>
      <w:r>
        <w:rPr>
          <w:color w:val="231F20"/>
        </w:rPr>
        <w:t>con</w:t>
      </w:r>
      <w:r>
        <w:rPr>
          <w:color w:val="231F20"/>
          <w:spacing w:val="-7"/>
        </w:rPr>
        <w:t> </w:t>
      </w:r>
      <w:r>
        <w:rPr>
          <w:color w:val="231F20"/>
        </w:rPr>
        <w:t>base</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grados</w:t>
      </w:r>
      <w:r>
        <w:rPr>
          <w:color w:val="231F20"/>
          <w:spacing w:val="-7"/>
        </w:rPr>
        <w:t> </w:t>
      </w:r>
      <w:r>
        <w:rPr>
          <w:color w:val="231F20"/>
        </w:rPr>
        <w:t>de</w:t>
      </w:r>
      <w:r>
        <w:rPr>
          <w:color w:val="231F20"/>
          <w:spacing w:val="-7"/>
        </w:rPr>
        <w:t> </w:t>
      </w:r>
      <w:r>
        <w:rPr>
          <w:color w:val="231F20"/>
        </w:rPr>
        <w:t>maduración</w:t>
      </w:r>
      <w:r>
        <w:rPr>
          <w:color w:val="231F20"/>
          <w:spacing w:val="-7"/>
        </w:rPr>
        <w:t> </w:t>
      </w:r>
      <w:r>
        <w:rPr>
          <w:color w:val="231F20"/>
        </w:rPr>
        <w:t>que</w:t>
      </w:r>
      <w:r>
        <w:rPr>
          <w:color w:val="231F20"/>
          <w:spacing w:val="-7"/>
        </w:rPr>
        <w:t> </w:t>
      </w:r>
      <w:r>
        <w:rPr>
          <w:color w:val="231F20"/>
        </w:rPr>
        <w:t>varían</w:t>
      </w:r>
      <w:r>
        <w:rPr>
          <w:color w:val="231F20"/>
          <w:spacing w:val="-6"/>
        </w:rPr>
        <w:t> </w:t>
      </w:r>
      <w:r>
        <w:rPr>
          <w:color w:val="231F20"/>
        </w:rPr>
        <w:t>en función de la edad y el crecimiento (Elías Méndez, 2002: 92).</w:t>
      </w:r>
    </w:p>
    <w:p>
      <w:pPr>
        <w:spacing w:after="0" w:line="247" w:lineRule="auto"/>
        <w:jc w:val="both"/>
        <w:sectPr>
          <w:pgSz w:w="9360" w:h="13040"/>
          <w:pgMar w:header="0" w:footer="496" w:top="360" w:bottom="680" w:left="1040" w:right="1040"/>
        </w:sectPr>
      </w:pPr>
    </w:p>
    <w:p>
      <w:pPr>
        <w:tabs>
          <w:tab w:pos="5536" w:val="left" w:leader="none"/>
        </w:tabs>
        <w:spacing w:before="51"/>
        <w:ind w:left="400" w:right="0" w:hanging="273"/>
        <w:jc w:val="both"/>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114" w:firstLine="283"/>
        <w:jc w:val="both"/>
      </w:pPr>
      <w:r>
        <w:rPr>
          <w:color w:val="231F20"/>
        </w:rPr>
        <w:t>La relación de los menores con el fenómeno migratorio ha cobrado</w:t>
      </w:r>
      <w:r>
        <w:rPr>
          <w:color w:val="231F20"/>
          <w:spacing w:val="-34"/>
        </w:rPr>
        <w:t> </w:t>
      </w:r>
      <w:r>
        <w:rPr>
          <w:color w:val="231F20"/>
        </w:rPr>
        <w:t>im- portancia en los últimos años debido, desgraciadamente, a su aumento en los contingentes, lo que ha obligado a su estudio. En este sentido, las cau- sas que orillan a los niños y adolescentes a emigrar las hemos clasificado en dos grandes ramas:</w:t>
      </w:r>
    </w:p>
    <w:p>
      <w:pPr>
        <w:pStyle w:val="ListParagraph"/>
        <w:numPr>
          <w:ilvl w:val="0"/>
          <w:numId w:val="8"/>
        </w:numPr>
        <w:tabs>
          <w:tab w:pos="478" w:val="left" w:leader="none"/>
        </w:tabs>
        <w:spacing w:line="247" w:lineRule="auto" w:before="169" w:after="0"/>
        <w:ind w:left="477" w:right="115" w:hanging="360"/>
        <w:jc w:val="both"/>
        <w:rPr>
          <w:sz w:val="22"/>
        </w:rPr>
      </w:pPr>
      <w:r>
        <w:rPr>
          <w:color w:val="231F20"/>
          <w:sz w:val="22"/>
        </w:rPr>
        <w:t>La situación familiar que viven, ya sea por el abuso físico, sexual o psicológico de que son objeto, o por la situación económica de su nú- cleo, lo cual los fuerza, voluntaria o involuntariamente a abandonar la escuela y trabajar; es entonces cuando comienzan a considerar la mi- gración como una solución que les permitirá escapar de las</w:t>
      </w:r>
      <w:r>
        <w:rPr>
          <w:color w:val="231F20"/>
          <w:spacing w:val="-25"/>
          <w:sz w:val="22"/>
        </w:rPr>
        <w:t> </w:t>
      </w:r>
      <w:r>
        <w:rPr>
          <w:color w:val="231F20"/>
          <w:sz w:val="22"/>
        </w:rPr>
        <w:t>vejaciones o contribuir con el</w:t>
      </w:r>
      <w:r>
        <w:rPr>
          <w:color w:val="231F20"/>
          <w:spacing w:val="-2"/>
          <w:sz w:val="22"/>
        </w:rPr>
        <w:t> </w:t>
      </w:r>
      <w:r>
        <w:rPr>
          <w:color w:val="231F20"/>
          <w:sz w:val="22"/>
        </w:rPr>
        <w:t>gasto.</w:t>
      </w:r>
    </w:p>
    <w:p>
      <w:pPr>
        <w:pStyle w:val="ListParagraph"/>
        <w:numPr>
          <w:ilvl w:val="0"/>
          <w:numId w:val="8"/>
        </w:numPr>
        <w:tabs>
          <w:tab w:pos="478" w:val="left" w:leader="none"/>
        </w:tabs>
        <w:spacing w:line="247" w:lineRule="auto" w:before="0" w:after="0"/>
        <w:ind w:left="400" w:right="115" w:hanging="283"/>
        <w:jc w:val="both"/>
        <w:rPr>
          <w:sz w:val="22"/>
        </w:rPr>
      </w:pPr>
      <w:r>
        <w:rPr>
          <w:color w:val="231F20"/>
          <w:sz w:val="22"/>
        </w:rPr>
        <w:t>La reunificación familiar, producto de la preocupación de los padres, quienes con anterioridad emprendieron la aventura por lograr el sueño americano y dejaron a sus hijos encargados con un familiar o</w:t>
      </w:r>
      <w:r>
        <w:rPr>
          <w:color w:val="231F20"/>
          <w:spacing w:val="-9"/>
          <w:sz w:val="22"/>
        </w:rPr>
        <w:t> </w:t>
      </w:r>
      <w:r>
        <w:rPr>
          <w:color w:val="231F20"/>
          <w:sz w:val="22"/>
        </w:rPr>
        <w:t>vecino.</w:t>
      </w:r>
    </w:p>
    <w:p>
      <w:pPr>
        <w:pStyle w:val="BodyText"/>
        <w:spacing w:line="247" w:lineRule="auto" w:before="169"/>
        <w:ind w:left="117" w:right="114" w:firstLine="283"/>
        <w:jc w:val="both"/>
        <w:rPr>
          <w:sz w:val="13"/>
        </w:rPr>
      </w:pPr>
      <w:r>
        <w:rPr>
          <w:color w:val="231F20"/>
        </w:rPr>
        <w:t>Los menores en situación irregular son generalmente guatemaltecos, debido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cercanía</w:t>
      </w:r>
      <w:r>
        <w:rPr>
          <w:color w:val="231F20"/>
          <w:spacing w:val="-13"/>
        </w:rPr>
        <w:t> </w:t>
      </w:r>
      <w:r>
        <w:rPr>
          <w:color w:val="231F20"/>
        </w:rPr>
        <w:t>con</w:t>
      </w:r>
      <w:r>
        <w:rPr>
          <w:color w:val="231F20"/>
          <w:spacing w:val="-13"/>
        </w:rPr>
        <w:t> </w:t>
      </w:r>
      <w:r>
        <w:rPr>
          <w:color w:val="231F20"/>
        </w:rPr>
        <w:t>nuestro</w:t>
      </w:r>
      <w:r>
        <w:rPr>
          <w:color w:val="231F20"/>
          <w:spacing w:val="-13"/>
        </w:rPr>
        <w:t> </w:t>
      </w:r>
      <w:r>
        <w:rPr>
          <w:color w:val="231F20"/>
        </w:rPr>
        <w:t>país,</w:t>
      </w:r>
      <w:r>
        <w:rPr>
          <w:color w:val="231F20"/>
          <w:spacing w:val="-13"/>
        </w:rPr>
        <w:t> </w:t>
      </w:r>
      <w:r>
        <w:rPr>
          <w:color w:val="231F20"/>
        </w:rPr>
        <w:t>empero,</w:t>
      </w:r>
      <w:r>
        <w:rPr>
          <w:color w:val="231F20"/>
          <w:spacing w:val="-13"/>
        </w:rPr>
        <w:t> </w:t>
      </w:r>
      <w:r>
        <w:rPr>
          <w:color w:val="231F20"/>
        </w:rPr>
        <w:t>también</w:t>
      </w:r>
      <w:r>
        <w:rPr>
          <w:color w:val="231F20"/>
          <w:spacing w:val="-13"/>
        </w:rPr>
        <w:t> </w:t>
      </w:r>
      <w:r>
        <w:rPr>
          <w:color w:val="231F20"/>
        </w:rPr>
        <w:t>existen</w:t>
      </w:r>
      <w:r>
        <w:rPr>
          <w:color w:val="231F20"/>
          <w:spacing w:val="-13"/>
        </w:rPr>
        <w:t> </w:t>
      </w:r>
      <w:r>
        <w:rPr>
          <w:color w:val="231F20"/>
        </w:rPr>
        <w:t>hondureños, salvadoreños</w:t>
      </w:r>
      <w:r>
        <w:rPr>
          <w:color w:val="231F20"/>
          <w:spacing w:val="-12"/>
        </w:rPr>
        <w:t> </w:t>
      </w:r>
      <w:r>
        <w:rPr>
          <w:color w:val="231F20"/>
        </w:rPr>
        <w:t>y</w:t>
      </w:r>
      <w:r>
        <w:rPr>
          <w:color w:val="231F20"/>
          <w:spacing w:val="-13"/>
        </w:rPr>
        <w:t> </w:t>
      </w:r>
      <w:r>
        <w:rPr>
          <w:color w:val="231F20"/>
        </w:rPr>
        <w:t>nicaragüenses</w:t>
      </w:r>
      <w:r>
        <w:rPr>
          <w:color w:val="231F20"/>
          <w:spacing w:val="-13"/>
        </w:rPr>
        <w:t> </w:t>
      </w:r>
      <w:r>
        <w:rPr>
          <w:color w:val="231F20"/>
        </w:rPr>
        <w:t>en</w:t>
      </w:r>
      <w:r>
        <w:rPr>
          <w:color w:val="231F20"/>
          <w:spacing w:val="-13"/>
        </w:rPr>
        <w:t> </w:t>
      </w:r>
      <w:r>
        <w:rPr>
          <w:color w:val="231F20"/>
        </w:rPr>
        <w:t>menor</w:t>
      </w:r>
      <w:r>
        <w:rPr>
          <w:color w:val="231F20"/>
          <w:spacing w:val="-13"/>
        </w:rPr>
        <w:t> </w:t>
      </w:r>
      <w:r>
        <w:rPr>
          <w:color w:val="231F20"/>
        </w:rPr>
        <w:t>medida;</w:t>
      </w:r>
      <w:r>
        <w:rPr>
          <w:color w:val="231F20"/>
          <w:spacing w:val="-13"/>
        </w:rPr>
        <w:t> </w:t>
      </w:r>
      <w:r>
        <w:rPr>
          <w:color w:val="231F20"/>
        </w:rPr>
        <w:t>nacionalidades</w:t>
      </w:r>
      <w:r>
        <w:rPr>
          <w:color w:val="231F20"/>
          <w:spacing w:val="-13"/>
        </w:rPr>
        <w:t> </w:t>
      </w:r>
      <w:r>
        <w:rPr>
          <w:color w:val="231F20"/>
        </w:rPr>
        <w:t>coinciden- tes con las de los adultos, lo cual indica, por un lado una preocupación de los padres por reunirse con la familia, y por otro, que las razones que</w:t>
      </w:r>
      <w:r>
        <w:rPr>
          <w:color w:val="231F20"/>
          <w:spacing w:val="-28"/>
        </w:rPr>
        <w:t> </w:t>
      </w:r>
      <w:r>
        <w:rPr>
          <w:color w:val="231F20"/>
        </w:rPr>
        <w:t>obli- gan a los mayores de edad ahora también lo hacen con ellos. Asimismo, son más altos los porcentajes de varones que emprenden la aventura hacia Estados Unidos en relación con las mujeres.</w:t>
      </w:r>
      <w:r>
        <w:rPr>
          <w:color w:val="231F20"/>
          <w:position w:val="7"/>
          <w:sz w:val="13"/>
        </w:rPr>
        <w:t>1 </w:t>
      </w:r>
      <w:r>
        <w:rPr>
          <w:color w:val="231F20"/>
        </w:rPr>
        <w:t>En cuanto a la edad, ésta depende de la causa de la movilidad; si la decisión la toma quien ejerce la patria potestad, entonces los menores migran desde que están en el</w:t>
      </w:r>
      <w:r>
        <w:rPr>
          <w:color w:val="231F20"/>
          <w:spacing w:val="-23"/>
        </w:rPr>
        <w:t> </w:t>
      </w:r>
      <w:r>
        <w:rPr>
          <w:color w:val="231F20"/>
        </w:rPr>
        <w:t>vientre de la madre y hasta los 18 años; en </w:t>
      </w:r>
      <w:r>
        <w:rPr>
          <w:i/>
          <w:color w:val="231F20"/>
        </w:rPr>
        <w:t>contrario sensu</w:t>
      </w:r>
      <w:r>
        <w:rPr>
          <w:color w:val="231F20"/>
        </w:rPr>
        <w:t>, cuando la voluntad es propia,</w:t>
      </w:r>
      <w:r>
        <w:rPr>
          <w:color w:val="231F20"/>
          <w:spacing w:val="-4"/>
        </w:rPr>
        <w:t> </w:t>
      </w:r>
      <w:r>
        <w:rPr>
          <w:color w:val="231F20"/>
        </w:rPr>
        <w:t>la</w:t>
      </w:r>
      <w:r>
        <w:rPr>
          <w:color w:val="231F20"/>
          <w:spacing w:val="-4"/>
        </w:rPr>
        <w:t> </w:t>
      </w:r>
      <w:r>
        <w:rPr>
          <w:color w:val="231F20"/>
        </w:rPr>
        <w:t>edad</w:t>
      </w:r>
      <w:r>
        <w:rPr>
          <w:color w:val="231F20"/>
          <w:spacing w:val="-4"/>
        </w:rPr>
        <w:t> </w:t>
      </w:r>
      <w:r>
        <w:rPr>
          <w:color w:val="231F20"/>
        </w:rPr>
        <w:t>fluctúa</w:t>
      </w:r>
      <w:r>
        <w:rPr>
          <w:color w:val="231F20"/>
          <w:spacing w:val="-4"/>
        </w:rPr>
        <w:t> </w:t>
      </w:r>
      <w:r>
        <w:rPr>
          <w:color w:val="231F20"/>
        </w:rPr>
        <w:t>entre</w:t>
      </w:r>
      <w:r>
        <w:rPr>
          <w:color w:val="231F20"/>
          <w:spacing w:val="-4"/>
        </w:rPr>
        <w:t> </w:t>
      </w:r>
      <w:r>
        <w:rPr>
          <w:color w:val="231F20"/>
        </w:rPr>
        <w:t>los</w:t>
      </w:r>
      <w:r>
        <w:rPr>
          <w:color w:val="231F20"/>
          <w:spacing w:val="-4"/>
        </w:rPr>
        <w:t> </w:t>
      </w:r>
      <w:r>
        <w:rPr>
          <w:color w:val="231F20"/>
        </w:rPr>
        <w:t>9</w:t>
      </w:r>
      <w:r>
        <w:rPr>
          <w:color w:val="231F20"/>
          <w:spacing w:val="-4"/>
        </w:rPr>
        <w:t> </w:t>
      </w:r>
      <w:r>
        <w:rPr>
          <w:color w:val="231F20"/>
        </w:rPr>
        <w:t>y</w:t>
      </w:r>
      <w:r>
        <w:rPr>
          <w:color w:val="231F20"/>
          <w:spacing w:val="-4"/>
        </w:rPr>
        <w:t> </w:t>
      </w:r>
      <w:r>
        <w:rPr>
          <w:color w:val="231F20"/>
        </w:rPr>
        <w:t>18</w:t>
      </w:r>
      <w:r>
        <w:rPr>
          <w:color w:val="231F20"/>
          <w:spacing w:val="-4"/>
        </w:rPr>
        <w:t> </w:t>
      </w:r>
      <w:r>
        <w:rPr>
          <w:color w:val="231F20"/>
        </w:rPr>
        <w:t>años</w:t>
      </w:r>
      <w:r>
        <w:rPr>
          <w:color w:val="231F20"/>
          <w:spacing w:val="-4"/>
        </w:rPr>
        <w:t> </w:t>
      </w:r>
      <w:r>
        <w:rPr>
          <w:color w:val="231F20"/>
        </w:rPr>
        <w:t>(</w:t>
      </w:r>
      <w:r>
        <w:rPr/>
        <w:t>Fábrega,</w:t>
      </w:r>
      <w:r>
        <w:rPr>
          <w:spacing w:val="-4"/>
        </w:rPr>
        <w:t> </w:t>
      </w:r>
      <w:r>
        <w:rPr/>
        <w:t>2001:</w:t>
      </w:r>
      <w:r>
        <w:rPr>
          <w:spacing w:val="-4"/>
        </w:rPr>
        <w:t> </w:t>
      </w:r>
      <w:r>
        <w:rPr/>
        <w:t>74</w:t>
      </w:r>
      <w:r>
        <w:rPr>
          <w:sz w:val="24"/>
        </w:rPr>
        <w:t>).</w:t>
      </w:r>
      <w:r>
        <w:rPr>
          <w:spacing w:val="-9"/>
          <w:sz w:val="24"/>
        </w:rPr>
        <w:t> </w:t>
      </w:r>
      <w:r>
        <w:rPr>
          <w:color w:val="231F20"/>
        </w:rPr>
        <w:t>El</w:t>
      </w:r>
      <w:r>
        <w:rPr>
          <w:color w:val="231F20"/>
          <w:spacing w:val="-4"/>
        </w:rPr>
        <w:t> </w:t>
      </w:r>
      <w:r>
        <w:rPr>
          <w:color w:val="231F20"/>
        </w:rPr>
        <w:t>estado civil de la mayoría es soltero, salvo algunos adolescentes que mantienen algún</w:t>
      </w:r>
      <w:r>
        <w:rPr>
          <w:color w:val="231F20"/>
          <w:spacing w:val="-9"/>
        </w:rPr>
        <w:t> </w:t>
      </w:r>
      <w:r>
        <w:rPr>
          <w:color w:val="231F20"/>
        </w:rPr>
        <w:t>tipo</w:t>
      </w:r>
      <w:r>
        <w:rPr>
          <w:color w:val="231F20"/>
          <w:spacing w:val="-9"/>
        </w:rPr>
        <w:t> </w:t>
      </w:r>
      <w:r>
        <w:rPr>
          <w:color w:val="231F20"/>
        </w:rPr>
        <w:t>de</w:t>
      </w:r>
      <w:r>
        <w:rPr>
          <w:color w:val="231F20"/>
          <w:spacing w:val="-8"/>
        </w:rPr>
        <w:t> </w:t>
      </w:r>
      <w:r>
        <w:rPr>
          <w:color w:val="231F20"/>
        </w:rPr>
        <w:t>unión</w:t>
      </w:r>
      <w:r>
        <w:rPr>
          <w:color w:val="231F20"/>
          <w:spacing w:val="-8"/>
        </w:rPr>
        <w:t> </w:t>
      </w:r>
      <w:r>
        <w:rPr>
          <w:color w:val="231F20"/>
        </w:rPr>
        <w:t>informal,</w:t>
      </w:r>
      <w:r>
        <w:rPr>
          <w:color w:val="231F20"/>
          <w:spacing w:val="-9"/>
        </w:rPr>
        <w:t> </w:t>
      </w:r>
      <w:r>
        <w:rPr>
          <w:color w:val="231F20"/>
        </w:rPr>
        <w:t>particularmente</w:t>
      </w:r>
      <w:r>
        <w:rPr>
          <w:color w:val="231F20"/>
          <w:spacing w:val="-9"/>
        </w:rPr>
        <w:t> </w:t>
      </w:r>
      <w:r>
        <w:rPr>
          <w:color w:val="231F20"/>
        </w:rPr>
        <w:t>los</w:t>
      </w:r>
      <w:r>
        <w:rPr>
          <w:color w:val="231F20"/>
          <w:spacing w:val="-9"/>
        </w:rPr>
        <w:t> </w:t>
      </w:r>
      <w:r>
        <w:rPr>
          <w:color w:val="231F20"/>
        </w:rPr>
        <w:t>que</w:t>
      </w:r>
      <w:r>
        <w:rPr>
          <w:color w:val="231F20"/>
          <w:spacing w:val="-8"/>
        </w:rPr>
        <w:t> </w:t>
      </w:r>
      <w:r>
        <w:rPr>
          <w:color w:val="231F20"/>
        </w:rPr>
        <w:t>pertenecen</w:t>
      </w:r>
      <w:r>
        <w:rPr>
          <w:color w:val="231F20"/>
          <w:spacing w:val="-9"/>
        </w:rPr>
        <w:t> </w:t>
      </w:r>
      <w:r>
        <w:rPr>
          <w:color w:val="231F20"/>
        </w:rPr>
        <w:t>a</w:t>
      </w:r>
      <w:r>
        <w:rPr>
          <w:color w:val="231F20"/>
          <w:spacing w:val="-8"/>
        </w:rPr>
        <w:t> </w:t>
      </w:r>
      <w:r>
        <w:rPr>
          <w:color w:val="231F20"/>
        </w:rPr>
        <w:t>las</w:t>
      </w:r>
      <w:r>
        <w:rPr>
          <w:color w:val="231F20"/>
          <w:spacing w:val="-9"/>
        </w:rPr>
        <w:t> </w:t>
      </w:r>
      <w:r>
        <w:rPr>
          <w:color w:val="231F20"/>
        </w:rPr>
        <w:t>pan- dillas. El grado de escolaridad es de primaria y sólo una minoría de nivel secundaria, sin que ello signifique necesariamente haber concluido los es- tudios. La ocupación desarrollada hasta antes de migrar era de estudiantes con actividades de apoyo en sus casas, como las labores domésticas o em- pleos de medio tiempo.</w:t>
      </w:r>
      <w:r>
        <w:rPr>
          <w:color w:val="231F20"/>
          <w:spacing w:val="-26"/>
        </w:rPr>
        <w:t> </w:t>
      </w:r>
      <w:r>
        <w:rPr>
          <w:color w:val="231F20"/>
          <w:position w:val="7"/>
          <w:sz w:val="13"/>
        </w:rPr>
        <w:t>2</w:t>
      </w:r>
    </w:p>
    <w:p>
      <w:pPr>
        <w:pStyle w:val="BodyText"/>
        <w:spacing w:before="1"/>
        <w:rPr>
          <w:sz w:val="21"/>
        </w:rPr>
      </w:pPr>
      <w:r>
        <w:rPr/>
        <w:pict>
          <v:line style="position:absolute;mso-position-horizontal-relative:page;mso-position-vertical-relative:paragraph;z-index:8296;mso-wrap-distance-left:0;mso-wrap-distance-right:0" from="70.866096pt,14.456561pt" to="142.866096pt,14.456561pt" stroked="true" strokeweight=".75pt" strokecolor="#231f20">
            <w10:wrap type="topAndBottom"/>
          </v:line>
        </w:pict>
      </w:r>
    </w:p>
    <w:p>
      <w:pPr>
        <w:spacing w:line="208" w:lineRule="auto" w:before="0"/>
        <w:ind w:left="117" w:right="115" w:firstLine="0"/>
        <w:jc w:val="both"/>
        <w:rPr>
          <w:sz w:val="17"/>
        </w:rPr>
      </w:pPr>
      <w:r>
        <w:rPr>
          <w:color w:val="231F20"/>
          <w:position w:val="6"/>
          <w:sz w:val="10"/>
        </w:rPr>
        <w:t>1 </w:t>
      </w:r>
      <w:r>
        <w:rPr>
          <w:color w:val="231F20"/>
          <w:sz w:val="17"/>
        </w:rPr>
        <w:t>Datos obtenidos del Informe de Actividades de la Casa de Atención a Menores y Adolescentes en Situación de y en la Calle (CAMASC) adscrito al sistema </w:t>
      </w:r>
      <w:r>
        <w:rPr>
          <w:color w:val="231F20"/>
          <w:w w:val="115"/>
          <w:sz w:val="12"/>
        </w:rPr>
        <w:t>dif </w:t>
      </w:r>
      <w:r>
        <w:rPr>
          <w:color w:val="231F20"/>
          <w:sz w:val="17"/>
        </w:rPr>
        <w:t>Municipal Tapachula, México, 2003.</w:t>
      </w:r>
    </w:p>
    <w:p>
      <w:pPr>
        <w:spacing w:line="170" w:lineRule="exact" w:before="2"/>
        <w:ind w:left="117" w:right="115" w:firstLine="0"/>
        <w:jc w:val="both"/>
        <w:rPr>
          <w:sz w:val="17"/>
        </w:rPr>
      </w:pPr>
      <w:r>
        <w:rPr>
          <w:color w:val="231F20"/>
          <w:position w:val="6"/>
          <w:sz w:val="10"/>
        </w:rPr>
        <w:t>2 </w:t>
      </w:r>
      <w:r>
        <w:rPr>
          <w:color w:val="231F20"/>
          <w:sz w:val="17"/>
        </w:rPr>
        <w:t>Datos obtenidos del Informe de Actividades de la Casa de Atención a Menores y Adolescentes en Situación de y en la Calle (CAMASC) adscrito al sistema </w:t>
      </w:r>
      <w:r>
        <w:rPr>
          <w:color w:val="231F20"/>
          <w:w w:val="115"/>
          <w:sz w:val="12"/>
        </w:rPr>
        <w:t>dif </w:t>
      </w:r>
      <w:r>
        <w:rPr>
          <w:color w:val="231F20"/>
          <w:sz w:val="17"/>
        </w:rPr>
        <w:t>Municipal Tapachula, México, 2003.</w:t>
      </w:r>
    </w:p>
    <w:p>
      <w:pPr>
        <w:spacing w:after="0" w:line="170" w:lineRule="exact"/>
        <w:jc w:val="both"/>
        <w:rPr>
          <w:sz w:val="17"/>
        </w:rPr>
        <w:sectPr>
          <w:pgSz w:w="9360" w:h="13040"/>
          <w:pgMar w:header="0" w:footer="496" w:top="840" w:bottom="680" w:left="1300" w:right="1300"/>
        </w:sectPr>
      </w:pPr>
    </w:p>
    <w:p>
      <w:pPr>
        <w:spacing w:before="45"/>
        <w:ind w:left="400" w:right="0" w:hanging="167"/>
        <w:jc w:val="left"/>
        <w:rPr>
          <w:rFonts w:ascii="Arial" w:hAnsi="Arial"/>
          <w:sz w:val="20"/>
        </w:rPr>
      </w:pPr>
      <w:r>
        <w:rPr>
          <w:rFonts w:ascii="Arial" w:hAnsi="Arial"/>
          <w:color w:val="231F20"/>
          <w:w w:val="70"/>
          <w:sz w:val="20"/>
        </w:rPr>
        <w:t>Los</w:t>
      </w:r>
      <w:r>
        <w:rPr>
          <w:rFonts w:ascii="Arial" w:hAnsi="Arial"/>
          <w:color w:val="231F20"/>
          <w:spacing w:val="-13"/>
          <w:w w:val="70"/>
          <w:sz w:val="20"/>
        </w:rPr>
        <w:t> </w:t>
      </w:r>
      <w:r>
        <w:rPr>
          <w:rFonts w:ascii="Arial" w:hAnsi="Arial"/>
          <w:color w:val="231F20"/>
          <w:w w:val="70"/>
          <w:sz w:val="20"/>
        </w:rPr>
        <w:t>menores</w:t>
      </w:r>
      <w:r>
        <w:rPr>
          <w:rFonts w:ascii="Arial" w:hAnsi="Arial"/>
          <w:color w:val="231F20"/>
          <w:spacing w:val="-13"/>
          <w:w w:val="70"/>
          <w:sz w:val="20"/>
        </w:rPr>
        <w:t> </w:t>
      </w:r>
      <w:r>
        <w:rPr>
          <w:rFonts w:ascii="Arial" w:hAnsi="Arial"/>
          <w:color w:val="231F20"/>
          <w:w w:val="70"/>
          <w:sz w:val="20"/>
        </w:rPr>
        <w:t>inmigrantes</w:t>
      </w:r>
      <w:r>
        <w:rPr>
          <w:rFonts w:ascii="Arial" w:hAnsi="Arial"/>
          <w:color w:val="231F20"/>
          <w:spacing w:val="-13"/>
          <w:w w:val="70"/>
          <w:sz w:val="20"/>
        </w:rPr>
        <w:t> </w:t>
      </w:r>
      <w:r>
        <w:rPr>
          <w:rFonts w:ascii="Arial" w:hAnsi="Arial"/>
          <w:color w:val="231F20"/>
          <w:w w:val="70"/>
          <w:sz w:val="20"/>
        </w:rPr>
        <w:t>indocumentados</w:t>
      </w:r>
      <w:r>
        <w:rPr>
          <w:rFonts w:ascii="Arial" w:hAnsi="Arial"/>
          <w:color w:val="231F20"/>
          <w:spacing w:val="-13"/>
          <w:w w:val="70"/>
          <w:sz w:val="20"/>
        </w:rPr>
        <w:t> </w:t>
      </w:r>
      <w:r>
        <w:rPr>
          <w:rFonts w:ascii="Arial" w:hAnsi="Arial"/>
          <w:color w:val="231F20"/>
          <w:w w:val="70"/>
          <w:sz w:val="20"/>
        </w:rPr>
        <w:t>ante</w:t>
      </w:r>
      <w:r>
        <w:rPr>
          <w:rFonts w:ascii="Arial" w:hAnsi="Arial"/>
          <w:color w:val="231F20"/>
          <w:spacing w:val="-13"/>
          <w:w w:val="70"/>
          <w:sz w:val="20"/>
        </w:rPr>
        <w:t> </w:t>
      </w:r>
      <w:r>
        <w:rPr>
          <w:rFonts w:ascii="Arial" w:hAnsi="Arial"/>
          <w:color w:val="231F20"/>
          <w:w w:val="70"/>
          <w:sz w:val="20"/>
        </w:rPr>
        <w:t>la</w:t>
      </w:r>
      <w:r>
        <w:rPr>
          <w:rFonts w:ascii="Arial" w:hAnsi="Arial"/>
          <w:color w:val="231F20"/>
          <w:spacing w:val="-13"/>
          <w:w w:val="70"/>
          <w:sz w:val="20"/>
        </w:rPr>
        <w:t> </w:t>
      </w:r>
      <w:r>
        <w:rPr>
          <w:rFonts w:ascii="Arial" w:hAnsi="Arial"/>
          <w:color w:val="231F20"/>
          <w:w w:val="70"/>
          <w:sz w:val="20"/>
        </w:rPr>
        <w:t>nueva</w:t>
      </w:r>
      <w:r>
        <w:rPr>
          <w:rFonts w:ascii="Arial" w:hAnsi="Arial"/>
          <w:color w:val="231F20"/>
          <w:spacing w:val="-13"/>
          <w:w w:val="70"/>
          <w:sz w:val="20"/>
        </w:rPr>
        <w:t> </w:t>
      </w:r>
      <w:r>
        <w:rPr>
          <w:rFonts w:ascii="Arial" w:hAnsi="Arial"/>
          <w:color w:val="231F20"/>
          <w:w w:val="70"/>
          <w:sz w:val="20"/>
        </w:rPr>
        <w:t>ley</w:t>
      </w:r>
      <w:r>
        <w:rPr>
          <w:rFonts w:ascii="Arial" w:hAnsi="Arial"/>
          <w:color w:val="231F20"/>
          <w:spacing w:val="-13"/>
          <w:w w:val="70"/>
          <w:sz w:val="20"/>
        </w:rPr>
        <w:t> </w:t>
      </w:r>
      <w:r>
        <w:rPr>
          <w:rFonts w:ascii="Arial" w:hAnsi="Arial"/>
          <w:color w:val="231F20"/>
          <w:w w:val="70"/>
          <w:sz w:val="20"/>
        </w:rPr>
        <w:t>de</w:t>
      </w:r>
      <w:r>
        <w:rPr>
          <w:rFonts w:ascii="Arial" w:hAnsi="Arial"/>
          <w:color w:val="231F20"/>
          <w:spacing w:val="-13"/>
          <w:w w:val="70"/>
          <w:sz w:val="20"/>
        </w:rPr>
        <w:t> </w:t>
      </w:r>
      <w:r>
        <w:rPr>
          <w:rFonts w:ascii="Arial" w:hAnsi="Arial"/>
          <w:color w:val="231F20"/>
          <w:w w:val="70"/>
          <w:sz w:val="20"/>
        </w:rPr>
        <w:t>migración...</w:t>
      </w:r>
      <w:r>
        <w:rPr>
          <w:rFonts w:ascii="Arial" w:hAnsi="Arial"/>
          <w:color w:val="231F20"/>
          <w:spacing w:val="-13"/>
          <w:w w:val="70"/>
          <w:sz w:val="20"/>
        </w:rPr>
        <w:t> </w:t>
      </w:r>
      <w:r>
        <w:rPr>
          <w:rFonts w:ascii="Arial" w:hAnsi="Arial"/>
          <w:color w:val="231F20"/>
          <w:w w:val="70"/>
          <w:sz w:val="20"/>
        </w:rPr>
        <w:t>/Alma</w:t>
      </w:r>
      <w:r>
        <w:rPr>
          <w:rFonts w:ascii="Arial" w:hAnsi="Arial"/>
          <w:color w:val="231F20"/>
          <w:spacing w:val="-21"/>
          <w:w w:val="70"/>
          <w:sz w:val="20"/>
        </w:rPr>
        <w:t> </w:t>
      </w:r>
      <w:r>
        <w:rPr>
          <w:rFonts w:ascii="Arial" w:hAnsi="Arial"/>
          <w:color w:val="231F20"/>
          <w:w w:val="70"/>
          <w:sz w:val="20"/>
        </w:rPr>
        <w:t>C.</w:t>
      </w:r>
      <w:r>
        <w:rPr>
          <w:rFonts w:ascii="Arial" w:hAnsi="Arial"/>
          <w:color w:val="231F20"/>
          <w:spacing w:val="-21"/>
          <w:w w:val="70"/>
          <w:sz w:val="20"/>
        </w:rPr>
        <w:t> </w:t>
      </w:r>
      <w:r>
        <w:rPr>
          <w:rFonts w:ascii="Arial" w:hAnsi="Arial"/>
          <w:color w:val="231F20"/>
          <w:w w:val="70"/>
          <w:sz w:val="20"/>
        </w:rPr>
        <w:t>Guadarrama-Muñoz</w:t>
      </w:r>
    </w:p>
    <w:p>
      <w:pPr>
        <w:pStyle w:val="BodyText"/>
        <w:spacing w:before="7"/>
        <w:rPr>
          <w:rFonts w:ascii="Arial"/>
          <w:sz w:val="28"/>
        </w:rPr>
      </w:pPr>
    </w:p>
    <w:p>
      <w:pPr>
        <w:pStyle w:val="BodyText"/>
        <w:spacing w:line="247" w:lineRule="auto"/>
        <w:ind w:left="117" w:right="114" w:firstLine="283"/>
        <w:jc w:val="both"/>
      </w:pPr>
      <w:r>
        <w:rPr>
          <w:color w:val="231F20"/>
        </w:rPr>
        <w:t>Ahora bien, la presencia de los menores indocumentados en México obedece a tres razones: el trabajo, acaparado por los guatemaltecos de de- partamentos fronterizos que cruzan la línea divisoria para emplearse en los campos o ciudades chiapanecas en compañía de sus padres o solos; el tránsito,</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fin</w:t>
      </w:r>
      <w:r>
        <w:rPr>
          <w:color w:val="231F20"/>
          <w:spacing w:val="-10"/>
        </w:rPr>
        <w:t> </w:t>
      </w:r>
      <w:r>
        <w:rPr>
          <w:color w:val="231F20"/>
        </w:rPr>
        <w:t>de</w:t>
      </w:r>
      <w:r>
        <w:rPr>
          <w:color w:val="231F20"/>
          <w:spacing w:val="-10"/>
        </w:rPr>
        <w:t> </w:t>
      </w:r>
      <w:r>
        <w:rPr>
          <w:color w:val="231F20"/>
        </w:rPr>
        <w:t>llegar</w:t>
      </w:r>
      <w:r>
        <w:rPr>
          <w:color w:val="231F20"/>
          <w:spacing w:val="-10"/>
        </w:rPr>
        <w:t> </w:t>
      </w:r>
      <w:r>
        <w:rPr>
          <w:color w:val="231F20"/>
        </w:rPr>
        <w:t>a</w:t>
      </w:r>
      <w:r>
        <w:rPr>
          <w:color w:val="231F20"/>
          <w:spacing w:val="-10"/>
        </w:rPr>
        <w:t> </w:t>
      </w:r>
      <w:r>
        <w:rPr>
          <w:color w:val="231F20"/>
        </w:rPr>
        <w:t>Estados</w:t>
      </w:r>
      <w:r>
        <w:rPr>
          <w:color w:val="231F20"/>
          <w:spacing w:val="-10"/>
        </w:rPr>
        <w:t> </w:t>
      </w:r>
      <w:r>
        <w:rPr>
          <w:color w:val="231F20"/>
        </w:rPr>
        <w:t>Unidos</w:t>
      </w:r>
      <w:r>
        <w:rPr>
          <w:color w:val="231F20"/>
          <w:spacing w:val="-10"/>
        </w:rPr>
        <w:t> </w:t>
      </w:r>
      <w:r>
        <w:rPr>
          <w:color w:val="231F20"/>
        </w:rPr>
        <w:t>o</w:t>
      </w:r>
      <w:r>
        <w:rPr>
          <w:color w:val="231F20"/>
          <w:spacing w:val="-10"/>
        </w:rPr>
        <w:t> </w:t>
      </w:r>
      <w:r>
        <w:rPr>
          <w:color w:val="231F20"/>
        </w:rPr>
        <w:t>Canadá</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abandono,</w:t>
      </w:r>
      <w:r>
        <w:rPr>
          <w:color w:val="231F20"/>
          <w:spacing w:val="-10"/>
        </w:rPr>
        <w:t> </w:t>
      </w:r>
      <w:r>
        <w:rPr>
          <w:color w:val="231F20"/>
        </w:rPr>
        <w:t>pro- ducto del incumplimiento de los coyotes, quienes dejan a los niños y ado- lescentes a merced de los peligros de la calle. Los trabajos desarrollados por los menores migrantes en la frontera sur de México son variados,</w:t>
      </w:r>
      <w:r>
        <w:rPr>
          <w:color w:val="231F20"/>
          <w:spacing w:val="-26"/>
        </w:rPr>
        <w:t> </w:t>
      </w:r>
      <w:r>
        <w:rPr>
          <w:color w:val="231F20"/>
        </w:rPr>
        <w:t>pero enfocados principalmente a empleos temporales en la calle, lo cual</w:t>
      </w:r>
      <w:r>
        <w:rPr>
          <w:color w:val="231F20"/>
          <w:spacing w:val="-19"/>
        </w:rPr>
        <w:t> </w:t>
      </w:r>
      <w:r>
        <w:rPr>
          <w:color w:val="231F20"/>
        </w:rPr>
        <w:t>obede- ce</w:t>
      </w:r>
      <w:r>
        <w:rPr>
          <w:color w:val="231F20"/>
          <w:spacing w:val="-6"/>
        </w:rPr>
        <w:t> </w:t>
      </w:r>
      <w:r>
        <w:rPr>
          <w:color w:val="231F20"/>
        </w:rPr>
        <w:t>a</w:t>
      </w:r>
      <w:r>
        <w:rPr>
          <w:color w:val="231F20"/>
          <w:spacing w:val="-6"/>
        </w:rPr>
        <w:t> </w:t>
      </w:r>
      <w:r>
        <w:rPr>
          <w:color w:val="231F20"/>
        </w:rPr>
        <w:t>dos</w:t>
      </w:r>
      <w:r>
        <w:rPr>
          <w:color w:val="231F20"/>
          <w:spacing w:val="-6"/>
        </w:rPr>
        <w:t> </w:t>
      </w:r>
      <w:r>
        <w:rPr>
          <w:color w:val="231F20"/>
        </w:rPr>
        <w:t>motivos:</w:t>
      </w:r>
      <w:r>
        <w:rPr>
          <w:color w:val="231F20"/>
          <w:spacing w:val="-6"/>
        </w:rPr>
        <w:t> </w:t>
      </w:r>
      <w:r>
        <w:rPr>
          <w:color w:val="231F20"/>
        </w:rPr>
        <w:t>la</w:t>
      </w:r>
      <w:r>
        <w:rPr>
          <w:color w:val="231F20"/>
          <w:spacing w:val="-6"/>
        </w:rPr>
        <w:t> </w:t>
      </w:r>
      <w:r>
        <w:rPr>
          <w:color w:val="231F20"/>
        </w:rPr>
        <w:t>meta</w:t>
      </w:r>
      <w:r>
        <w:rPr>
          <w:color w:val="231F20"/>
          <w:spacing w:val="-6"/>
        </w:rPr>
        <w:t> </w:t>
      </w:r>
      <w:r>
        <w:rPr>
          <w:color w:val="231F20"/>
        </w:rPr>
        <w:t>personal</w:t>
      </w:r>
      <w:r>
        <w:rPr>
          <w:color w:val="231F20"/>
          <w:spacing w:val="-6"/>
        </w:rPr>
        <w:t> </w:t>
      </w:r>
      <w:r>
        <w:rPr>
          <w:color w:val="231F20"/>
        </w:rPr>
        <w:t>(llegar</w:t>
      </w:r>
      <w:r>
        <w:rPr>
          <w:color w:val="231F20"/>
          <w:spacing w:val="-6"/>
        </w:rPr>
        <w:t> </w:t>
      </w:r>
      <w:r>
        <w:rPr>
          <w:color w:val="231F20"/>
        </w:rPr>
        <w:t>a</w:t>
      </w:r>
      <w:r>
        <w:rPr>
          <w:color w:val="231F20"/>
          <w:spacing w:val="-6"/>
        </w:rPr>
        <w:t> </w:t>
      </w:r>
      <w:r>
        <w:rPr>
          <w:color w:val="231F20"/>
        </w:rPr>
        <w:t>Estados</w:t>
      </w:r>
      <w:r>
        <w:rPr>
          <w:color w:val="231F20"/>
          <w:spacing w:val="-6"/>
        </w:rPr>
        <w:t> </w:t>
      </w:r>
      <w:r>
        <w:rPr>
          <w:color w:val="231F20"/>
        </w:rPr>
        <w:t>Unidos)</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edad,</w:t>
      </w:r>
      <w:r>
        <w:rPr>
          <w:color w:val="231F20"/>
          <w:spacing w:val="-6"/>
        </w:rPr>
        <w:t> </w:t>
      </w:r>
      <w:r>
        <w:rPr>
          <w:color w:val="231F20"/>
        </w:rPr>
        <w:t>que se convierte en una limitante para conseguir una ocupación</w:t>
      </w:r>
      <w:r>
        <w:rPr>
          <w:color w:val="231F20"/>
          <w:spacing w:val="-5"/>
        </w:rPr>
        <w:t> </w:t>
      </w:r>
      <w:r>
        <w:rPr>
          <w:color w:val="231F20"/>
        </w:rPr>
        <w:t>estable.</w:t>
      </w:r>
    </w:p>
    <w:p>
      <w:pPr>
        <w:pStyle w:val="BodyText"/>
        <w:spacing w:line="247" w:lineRule="auto"/>
        <w:ind w:left="117" w:right="115" w:firstLine="283"/>
        <w:jc w:val="both"/>
      </w:pPr>
      <w:r>
        <w:rPr>
          <w:color w:val="231F20"/>
        </w:rPr>
        <w:t>Las</w:t>
      </w:r>
      <w:r>
        <w:rPr>
          <w:color w:val="231F20"/>
          <w:spacing w:val="-4"/>
        </w:rPr>
        <w:t> </w:t>
      </w:r>
      <w:r>
        <w:rPr>
          <w:color w:val="231F20"/>
        </w:rPr>
        <w:t>secuelas</w:t>
      </w:r>
      <w:r>
        <w:rPr>
          <w:color w:val="231F20"/>
          <w:spacing w:val="-3"/>
        </w:rPr>
        <w:t> </w:t>
      </w:r>
      <w:r>
        <w:rPr>
          <w:color w:val="231F20"/>
        </w:rPr>
        <w:t>que</w:t>
      </w:r>
      <w:r>
        <w:rPr>
          <w:color w:val="231F20"/>
          <w:spacing w:val="-4"/>
        </w:rPr>
        <w:t> </w:t>
      </w:r>
      <w:r>
        <w:rPr>
          <w:color w:val="231F20"/>
        </w:rPr>
        <w:t>deja</w:t>
      </w:r>
      <w:r>
        <w:rPr>
          <w:color w:val="231F20"/>
          <w:spacing w:val="-4"/>
        </w:rPr>
        <w:t> </w:t>
      </w:r>
      <w:r>
        <w:rPr>
          <w:color w:val="231F20"/>
        </w:rPr>
        <w:t>la</w:t>
      </w:r>
      <w:r>
        <w:rPr>
          <w:color w:val="231F20"/>
          <w:spacing w:val="-4"/>
        </w:rPr>
        <w:t> </w:t>
      </w:r>
      <w:r>
        <w:rPr>
          <w:color w:val="231F20"/>
        </w:rPr>
        <w:t>migración</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niños</w:t>
      </w:r>
      <w:r>
        <w:rPr>
          <w:color w:val="231F20"/>
          <w:spacing w:val="-4"/>
        </w:rPr>
        <w:t> </w:t>
      </w:r>
      <w:r>
        <w:rPr>
          <w:color w:val="231F20"/>
        </w:rPr>
        <w:t>y</w:t>
      </w:r>
      <w:r>
        <w:rPr>
          <w:color w:val="231F20"/>
          <w:spacing w:val="-4"/>
        </w:rPr>
        <w:t> </w:t>
      </w:r>
      <w:r>
        <w:rPr>
          <w:color w:val="231F20"/>
        </w:rPr>
        <w:t>adolescentes</w:t>
      </w:r>
      <w:r>
        <w:rPr>
          <w:color w:val="231F20"/>
          <w:spacing w:val="-4"/>
        </w:rPr>
        <w:t> </w:t>
      </w:r>
      <w:r>
        <w:rPr>
          <w:color w:val="231F20"/>
        </w:rPr>
        <w:t>marcará sus vidas para siempre de manera incomparablemente más profunda en relación con los adultos, ya que se ven sometidos a un triple estado de indefensión por ser extranjeros, indocumentados y especialmente debido</w:t>
      </w:r>
      <w:r>
        <w:rPr>
          <w:color w:val="231F20"/>
          <w:spacing w:val="-30"/>
        </w:rPr>
        <w:t> </w:t>
      </w:r>
      <w:r>
        <w:rPr>
          <w:color w:val="231F20"/>
        </w:rPr>
        <w:t>a su corta edad. Esta última característica marcará la diferencia en el futuro de</w:t>
      </w:r>
      <w:r>
        <w:rPr>
          <w:color w:val="231F20"/>
          <w:spacing w:val="-7"/>
        </w:rPr>
        <w:t> </w:t>
      </w:r>
      <w:r>
        <w:rPr>
          <w:color w:val="231F20"/>
        </w:rPr>
        <w:t>las</w:t>
      </w:r>
      <w:r>
        <w:rPr>
          <w:color w:val="231F20"/>
          <w:spacing w:val="-8"/>
        </w:rPr>
        <w:t> </w:t>
      </w:r>
      <w:r>
        <w:rPr>
          <w:color w:val="231F20"/>
        </w:rPr>
        <w:t>sociedades</w:t>
      </w:r>
      <w:r>
        <w:rPr>
          <w:color w:val="231F20"/>
          <w:spacing w:val="-7"/>
        </w:rPr>
        <w:t> </w:t>
      </w:r>
      <w:r>
        <w:rPr>
          <w:color w:val="231F20"/>
        </w:rPr>
        <w:t>de</w:t>
      </w:r>
      <w:r>
        <w:rPr>
          <w:color w:val="231F20"/>
          <w:spacing w:val="-7"/>
        </w:rPr>
        <w:t> </w:t>
      </w:r>
      <w:r>
        <w:rPr>
          <w:color w:val="231F20"/>
        </w:rPr>
        <w:t>origen</w:t>
      </w:r>
      <w:r>
        <w:rPr>
          <w:color w:val="231F20"/>
          <w:spacing w:val="-8"/>
        </w:rPr>
        <w:t> </w:t>
      </w:r>
      <w:r>
        <w:rPr>
          <w:color w:val="231F20"/>
        </w:rPr>
        <w:t>y</w:t>
      </w:r>
      <w:r>
        <w:rPr>
          <w:color w:val="231F20"/>
          <w:spacing w:val="-7"/>
        </w:rPr>
        <w:t> </w:t>
      </w:r>
      <w:r>
        <w:rPr>
          <w:color w:val="231F20"/>
        </w:rPr>
        <w:t>destino,</w:t>
      </w:r>
      <w:r>
        <w:rPr>
          <w:color w:val="231F20"/>
          <w:spacing w:val="-8"/>
        </w:rPr>
        <w:t> </w:t>
      </w:r>
      <w:r>
        <w:rPr>
          <w:color w:val="231F20"/>
        </w:rPr>
        <w:t>que</w:t>
      </w:r>
      <w:r>
        <w:rPr>
          <w:color w:val="231F20"/>
          <w:spacing w:val="-7"/>
        </w:rPr>
        <w:t> </w:t>
      </w:r>
      <w:r>
        <w:rPr>
          <w:color w:val="231F20"/>
        </w:rPr>
        <w:t>estarán</w:t>
      </w:r>
      <w:r>
        <w:rPr>
          <w:color w:val="231F20"/>
          <w:spacing w:val="-8"/>
        </w:rPr>
        <w:t> </w:t>
      </w:r>
      <w:r>
        <w:rPr>
          <w:color w:val="231F20"/>
        </w:rPr>
        <w:t>conformadas</w:t>
      </w:r>
      <w:r>
        <w:rPr>
          <w:color w:val="231F20"/>
          <w:spacing w:val="-8"/>
        </w:rPr>
        <w:t> </w:t>
      </w:r>
      <w:r>
        <w:rPr>
          <w:color w:val="231F20"/>
        </w:rPr>
        <w:t>por</w:t>
      </w:r>
      <w:r>
        <w:rPr>
          <w:color w:val="231F20"/>
          <w:spacing w:val="-7"/>
        </w:rPr>
        <w:t> </w:t>
      </w:r>
      <w:r>
        <w:rPr>
          <w:color w:val="231F20"/>
        </w:rPr>
        <w:t>adoles- centes y posteriormente adultos, con desórdenes psicológicos producto de experiencias migratorias traumáticas vividas durante la infancia cuando la personalidad aún no está formada; esto significa que la </w:t>
      </w:r>
      <w:r>
        <w:rPr>
          <w:i/>
          <w:color w:val="231F20"/>
        </w:rPr>
        <w:t>paideia </w:t>
      </w:r>
      <w:r>
        <w:rPr>
          <w:color w:val="231F20"/>
        </w:rPr>
        <w:t>del sujeto se verá alterada a causa de su participación en el proceso migratorio, que influirá definitivamente en él, desviándolo del propósito perseguido por la sociedad y las</w:t>
      </w:r>
      <w:r>
        <w:rPr>
          <w:color w:val="231F20"/>
          <w:spacing w:val="-8"/>
        </w:rPr>
        <w:t> </w:t>
      </w:r>
      <w:r>
        <w:rPr>
          <w:color w:val="231F20"/>
        </w:rPr>
        <w:t>normas.</w:t>
      </w:r>
    </w:p>
    <w:p>
      <w:pPr>
        <w:pStyle w:val="Heading3"/>
      </w:pPr>
      <w:r>
        <w:rPr>
          <w:color w:val="231F20"/>
        </w:rPr>
        <w:t>Violaciones de que son objeto los menores</w:t>
      </w:r>
    </w:p>
    <w:p>
      <w:pPr>
        <w:pStyle w:val="BodyText"/>
        <w:spacing w:line="247" w:lineRule="auto" w:before="172"/>
        <w:ind w:left="117" w:right="114"/>
        <w:jc w:val="both"/>
        <w:rPr>
          <w:sz w:val="13"/>
        </w:rPr>
      </w:pPr>
      <w:r>
        <w:rPr>
          <w:color w:val="231F20"/>
        </w:rPr>
        <w:t>De acuerdo con el Diccionario de la Real Academia Española, violación es:</w:t>
      </w:r>
      <w:r>
        <w:rPr>
          <w:color w:val="231F20"/>
          <w:spacing w:val="-10"/>
        </w:rPr>
        <w:t> </w:t>
      </w:r>
      <w:r>
        <w:rPr>
          <w:color w:val="231F20"/>
        </w:rPr>
        <w:t>“acción</w:t>
      </w:r>
      <w:r>
        <w:rPr>
          <w:color w:val="231F20"/>
          <w:spacing w:val="-10"/>
        </w:rPr>
        <w:t> </w:t>
      </w:r>
      <w:r>
        <w:rPr>
          <w:color w:val="231F20"/>
        </w:rPr>
        <w:t>y</w:t>
      </w:r>
      <w:r>
        <w:rPr>
          <w:color w:val="231F20"/>
          <w:spacing w:val="-9"/>
        </w:rPr>
        <w:t> </w:t>
      </w:r>
      <w:r>
        <w:rPr>
          <w:color w:val="231F20"/>
        </w:rPr>
        <w:t>efecto</w:t>
      </w:r>
      <w:r>
        <w:rPr>
          <w:color w:val="231F20"/>
          <w:spacing w:val="-10"/>
        </w:rPr>
        <w:t> </w:t>
      </w:r>
      <w:r>
        <w:rPr>
          <w:color w:val="231F20"/>
        </w:rPr>
        <w:t>de</w:t>
      </w:r>
      <w:r>
        <w:rPr>
          <w:color w:val="231F20"/>
          <w:spacing w:val="-10"/>
        </w:rPr>
        <w:t> </w:t>
      </w:r>
      <w:r>
        <w:rPr>
          <w:color w:val="231F20"/>
        </w:rPr>
        <w:t>violar”</w:t>
      </w:r>
      <w:r>
        <w:rPr>
          <w:color w:val="231F20"/>
          <w:spacing w:val="-10"/>
        </w:rPr>
        <w:t> </w:t>
      </w:r>
      <w:r>
        <w:rPr>
          <w:color w:val="231F20"/>
        </w:rPr>
        <w:t>(RAE,</w:t>
      </w:r>
      <w:r>
        <w:rPr>
          <w:color w:val="231F20"/>
          <w:spacing w:val="-9"/>
        </w:rPr>
        <w:t> </w:t>
      </w:r>
      <w:r>
        <w:rPr>
          <w:color w:val="231F20"/>
        </w:rPr>
        <w:t>2001:</w:t>
      </w:r>
      <w:r>
        <w:rPr>
          <w:color w:val="231F20"/>
          <w:spacing w:val="-10"/>
        </w:rPr>
        <w:t> </w:t>
      </w:r>
      <w:r>
        <w:rPr>
          <w:color w:val="231F20"/>
        </w:rPr>
        <w:t>2</w:t>
      </w:r>
      <w:r>
        <w:rPr>
          <w:color w:val="231F20"/>
          <w:spacing w:val="-9"/>
        </w:rPr>
        <w:t> </w:t>
      </w:r>
      <w:r>
        <w:rPr>
          <w:color w:val="231F20"/>
        </w:rPr>
        <w:t>304</w:t>
      </w:r>
      <w:r>
        <w:rPr>
          <w:color w:val="231F20"/>
          <w:sz w:val="24"/>
        </w:rPr>
        <w:t>)</w:t>
      </w:r>
      <w:r>
        <w:rPr>
          <w:color w:val="231F20"/>
          <w:spacing w:val="-14"/>
          <w:sz w:val="24"/>
        </w:rPr>
        <w:t> </w:t>
      </w:r>
      <w:r>
        <w:rPr>
          <w:color w:val="231F20"/>
        </w:rPr>
        <w:t>y</w:t>
      </w:r>
      <w:r>
        <w:rPr>
          <w:color w:val="231F20"/>
          <w:spacing w:val="-9"/>
        </w:rPr>
        <w:t> </w:t>
      </w:r>
      <w:r>
        <w:rPr>
          <w:color w:val="231F20"/>
        </w:rPr>
        <w:t>por</w:t>
      </w:r>
      <w:r>
        <w:rPr>
          <w:color w:val="231F20"/>
          <w:spacing w:val="-9"/>
        </w:rPr>
        <w:t> </w:t>
      </w:r>
      <w:r>
        <w:rPr>
          <w:color w:val="231F20"/>
        </w:rPr>
        <w:t>violar</w:t>
      </w:r>
      <w:r>
        <w:rPr>
          <w:color w:val="231F20"/>
          <w:spacing w:val="-10"/>
        </w:rPr>
        <w:t> </w:t>
      </w:r>
      <w:r>
        <w:rPr>
          <w:color w:val="231F20"/>
        </w:rPr>
        <w:t>se</w:t>
      </w:r>
      <w:r>
        <w:rPr>
          <w:color w:val="231F20"/>
          <w:spacing w:val="-9"/>
        </w:rPr>
        <w:t> </w:t>
      </w:r>
      <w:r>
        <w:rPr>
          <w:color w:val="231F20"/>
        </w:rPr>
        <w:t>entiende: “(Del latín </w:t>
      </w:r>
      <w:r>
        <w:rPr>
          <w:i/>
          <w:color w:val="231F20"/>
        </w:rPr>
        <w:t>violare</w:t>
      </w:r>
      <w:r>
        <w:rPr>
          <w:color w:val="231F20"/>
        </w:rPr>
        <w:t>) infringir o quebrantar una </w:t>
      </w:r>
      <w:r>
        <w:rPr>
          <w:color w:val="231F20"/>
          <w:spacing w:val="-4"/>
        </w:rPr>
        <w:t>ley, </w:t>
      </w:r>
      <w:r>
        <w:rPr>
          <w:color w:val="231F20"/>
        </w:rPr>
        <w:t>un tratado, un precepto, una</w:t>
      </w:r>
      <w:r>
        <w:rPr>
          <w:color w:val="231F20"/>
          <w:spacing w:val="-8"/>
        </w:rPr>
        <w:t> </w:t>
      </w:r>
      <w:r>
        <w:rPr>
          <w:color w:val="231F20"/>
        </w:rPr>
        <w:t>promesa,</w:t>
      </w:r>
      <w:r>
        <w:rPr>
          <w:color w:val="231F20"/>
          <w:spacing w:val="-8"/>
        </w:rPr>
        <w:t> </w:t>
      </w:r>
      <w:r>
        <w:rPr>
          <w:color w:val="231F20"/>
        </w:rPr>
        <w:t>etc.”</w:t>
      </w:r>
      <w:r>
        <w:rPr>
          <w:color w:val="231F20"/>
          <w:spacing w:val="-8"/>
        </w:rPr>
        <w:t> </w:t>
      </w:r>
      <w:r>
        <w:rPr>
          <w:color w:val="231F20"/>
        </w:rPr>
        <w:t>(RAE,</w:t>
      </w:r>
      <w:r>
        <w:rPr>
          <w:color w:val="231F20"/>
          <w:spacing w:val="-8"/>
        </w:rPr>
        <w:t> </w:t>
      </w:r>
      <w:r>
        <w:rPr>
          <w:color w:val="231F20"/>
        </w:rPr>
        <w:t>2001:</w:t>
      </w:r>
      <w:r>
        <w:rPr>
          <w:color w:val="231F20"/>
          <w:spacing w:val="-8"/>
        </w:rPr>
        <w:t> </w:t>
      </w:r>
      <w:r>
        <w:rPr>
          <w:color w:val="231F20"/>
        </w:rPr>
        <w:t>2</w:t>
      </w:r>
      <w:r>
        <w:rPr>
          <w:color w:val="231F20"/>
          <w:spacing w:val="-8"/>
        </w:rPr>
        <w:t> </w:t>
      </w:r>
      <w:r>
        <w:rPr>
          <w:color w:val="231F20"/>
        </w:rPr>
        <w:t>304</w:t>
      </w:r>
      <w:r>
        <w:rPr>
          <w:color w:val="231F20"/>
          <w:sz w:val="24"/>
        </w:rPr>
        <w:t>).</w:t>
      </w:r>
      <w:r>
        <w:rPr>
          <w:color w:val="231F20"/>
          <w:spacing w:val="-13"/>
          <w:sz w:val="24"/>
        </w:rPr>
        <w:t> </w:t>
      </w:r>
      <w:r>
        <w:rPr>
          <w:color w:val="231F20"/>
        </w:rPr>
        <w:t>Luego</w:t>
      </w:r>
      <w:r>
        <w:rPr>
          <w:color w:val="231F20"/>
          <w:spacing w:val="-8"/>
        </w:rPr>
        <w:t> </w:t>
      </w:r>
      <w:r>
        <w:rPr>
          <w:color w:val="231F20"/>
        </w:rPr>
        <w:t>entonces,</w:t>
      </w:r>
      <w:r>
        <w:rPr>
          <w:color w:val="231F20"/>
          <w:spacing w:val="-8"/>
        </w:rPr>
        <w:t> </w:t>
      </w:r>
      <w:r>
        <w:rPr>
          <w:color w:val="231F20"/>
        </w:rPr>
        <w:t>cuando</w:t>
      </w:r>
      <w:r>
        <w:rPr>
          <w:color w:val="231F20"/>
          <w:spacing w:val="-8"/>
        </w:rPr>
        <w:t> </w:t>
      </w:r>
      <w:r>
        <w:rPr>
          <w:color w:val="231F20"/>
        </w:rPr>
        <w:t>hablamos de violación nos referimos a la transgresión de derechos básicos, de los cuales</w:t>
      </w:r>
      <w:r>
        <w:rPr>
          <w:color w:val="231F20"/>
          <w:spacing w:val="-8"/>
        </w:rPr>
        <w:t> </w:t>
      </w:r>
      <w:r>
        <w:rPr>
          <w:color w:val="231F20"/>
        </w:rPr>
        <w:t>son</w:t>
      </w:r>
      <w:r>
        <w:rPr>
          <w:color w:val="231F20"/>
          <w:spacing w:val="-7"/>
        </w:rPr>
        <w:t> </w:t>
      </w:r>
      <w:r>
        <w:rPr>
          <w:color w:val="231F20"/>
        </w:rPr>
        <w:t>poseedores</w:t>
      </w:r>
      <w:r>
        <w:rPr>
          <w:color w:val="231F20"/>
          <w:spacing w:val="-8"/>
        </w:rPr>
        <w:t> </w:t>
      </w:r>
      <w:r>
        <w:rPr>
          <w:color w:val="231F20"/>
        </w:rPr>
        <w:t>los</w:t>
      </w:r>
      <w:r>
        <w:rPr>
          <w:color w:val="231F20"/>
          <w:spacing w:val="-8"/>
        </w:rPr>
        <w:t> </w:t>
      </w:r>
      <w:r>
        <w:rPr>
          <w:color w:val="231F20"/>
        </w:rPr>
        <w:t>menores</w:t>
      </w:r>
      <w:r>
        <w:rPr>
          <w:color w:val="231F20"/>
          <w:spacing w:val="-8"/>
        </w:rPr>
        <w:t> </w:t>
      </w:r>
      <w:r>
        <w:rPr>
          <w:color w:val="231F20"/>
        </w:rPr>
        <w:t>migrantes</w:t>
      </w:r>
      <w:r>
        <w:rPr>
          <w:color w:val="231F20"/>
          <w:spacing w:val="-8"/>
        </w:rPr>
        <w:t> </w:t>
      </w:r>
      <w:r>
        <w:rPr>
          <w:color w:val="231F20"/>
        </w:rPr>
        <w:t>indocumentados.</w:t>
      </w:r>
      <w:r>
        <w:rPr>
          <w:color w:val="231F20"/>
          <w:spacing w:val="-21"/>
        </w:rPr>
        <w:t> </w:t>
      </w:r>
      <w:r>
        <w:rPr>
          <w:color w:val="231F20"/>
        </w:rPr>
        <w:t>Algunas</w:t>
      </w:r>
      <w:r>
        <w:rPr>
          <w:color w:val="231F20"/>
          <w:spacing w:val="-7"/>
        </w:rPr>
        <w:t> </w:t>
      </w:r>
      <w:r>
        <w:rPr>
          <w:color w:val="231F20"/>
        </w:rPr>
        <w:t>de las infracciones más frecuentes sufridas por los niños y adolescentes du- rante</w:t>
      </w:r>
      <w:r>
        <w:rPr>
          <w:color w:val="231F20"/>
          <w:spacing w:val="-7"/>
        </w:rPr>
        <w:t> </w:t>
      </w:r>
      <w:r>
        <w:rPr>
          <w:color w:val="231F20"/>
        </w:rPr>
        <w:t>su</w:t>
      </w:r>
      <w:r>
        <w:rPr>
          <w:color w:val="231F20"/>
          <w:spacing w:val="-6"/>
        </w:rPr>
        <w:t> </w:t>
      </w:r>
      <w:r>
        <w:rPr>
          <w:color w:val="231F20"/>
        </w:rPr>
        <w:t>estancia</w:t>
      </w:r>
      <w:r>
        <w:rPr>
          <w:color w:val="231F20"/>
          <w:spacing w:val="-7"/>
        </w:rPr>
        <w:t> </w:t>
      </w:r>
      <w:r>
        <w:rPr>
          <w:color w:val="231F20"/>
        </w:rPr>
        <w:t>en</w:t>
      </w:r>
      <w:r>
        <w:rPr>
          <w:color w:val="231F20"/>
          <w:spacing w:val="-7"/>
        </w:rPr>
        <w:t> </w:t>
      </w:r>
      <w:r>
        <w:rPr>
          <w:color w:val="231F20"/>
        </w:rPr>
        <w:t>México,</w:t>
      </w:r>
      <w:r>
        <w:rPr>
          <w:color w:val="231F20"/>
          <w:spacing w:val="-7"/>
        </w:rPr>
        <w:t> </w:t>
      </w:r>
      <w:r>
        <w:rPr>
          <w:color w:val="231F20"/>
        </w:rPr>
        <w:t>son</w:t>
      </w:r>
      <w:r>
        <w:rPr>
          <w:color w:val="231F20"/>
          <w:spacing w:val="-6"/>
        </w:rPr>
        <w:t> </w:t>
      </w:r>
      <w:r>
        <w:rPr>
          <w:color w:val="231F20"/>
        </w:rPr>
        <w:t>las</w:t>
      </w:r>
      <w:r>
        <w:rPr>
          <w:color w:val="231F20"/>
          <w:spacing w:val="-7"/>
        </w:rPr>
        <w:t> </w:t>
      </w:r>
      <w:r>
        <w:rPr>
          <w:color w:val="231F20"/>
        </w:rPr>
        <w:t>siguientes:</w:t>
      </w:r>
      <w:r>
        <w:rPr>
          <w:color w:val="231F20"/>
          <w:spacing w:val="-7"/>
        </w:rPr>
        <w:t> </w:t>
      </w:r>
      <w:r>
        <w:rPr>
          <w:color w:val="231F20"/>
        </w:rPr>
        <w:t>agresión</w:t>
      </w:r>
      <w:r>
        <w:rPr>
          <w:color w:val="231F20"/>
          <w:spacing w:val="-7"/>
        </w:rPr>
        <w:t> </w:t>
      </w:r>
      <w:r>
        <w:rPr>
          <w:color w:val="231F20"/>
        </w:rPr>
        <w:t>física,</w:t>
      </w:r>
      <w:r>
        <w:rPr>
          <w:color w:val="231F20"/>
          <w:spacing w:val="-7"/>
        </w:rPr>
        <w:t> </w:t>
      </w:r>
      <w:r>
        <w:rPr>
          <w:color w:val="231F20"/>
        </w:rPr>
        <w:t>verbal,</w:t>
      </w:r>
      <w:r>
        <w:rPr>
          <w:color w:val="231F20"/>
          <w:spacing w:val="-7"/>
        </w:rPr>
        <w:t> </w:t>
      </w:r>
      <w:r>
        <w:rPr>
          <w:color w:val="231F20"/>
        </w:rPr>
        <w:t>psi- cológica, sexual; explotación laboral y sexual,</w:t>
      </w:r>
      <w:r>
        <w:rPr>
          <w:color w:val="231F20"/>
          <w:position w:val="7"/>
          <w:sz w:val="13"/>
        </w:rPr>
        <w:t>3 </w:t>
      </w:r>
      <w:r>
        <w:rPr>
          <w:color w:val="231F20"/>
        </w:rPr>
        <w:t>separación de familiares, detención indebida, amenazas, tratos crueles, inhumanos y degradantes, robo, entre otros.</w:t>
      </w:r>
      <w:r>
        <w:rPr>
          <w:color w:val="231F20"/>
          <w:spacing w:val="-26"/>
        </w:rPr>
        <w:t> </w:t>
      </w:r>
      <w:r>
        <w:rPr>
          <w:color w:val="231F20"/>
          <w:position w:val="7"/>
          <w:sz w:val="13"/>
        </w:rPr>
        <w:t>4</w:t>
      </w:r>
    </w:p>
    <w:p>
      <w:pPr>
        <w:pStyle w:val="BodyText"/>
        <w:rPr>
          <w:sz w:val="16"/>
        </w:rPr>
      </w:pPr>
      <w:r>
        <w:rPr/>
        <w:pict>
          <v:line style="position:absolute;mso-position-horizontal-relative:page;mso-position-vertical-relative:paragraph;z-index:8320;mso-wrap-distance-left:0;mso-wrap-distance-right:0" from="70.866096pt,11.55656pt" to="142.866096pt,11.55656pt" stroked="true" strokeweight=".75pt" strokecolor="#231f20">
            <w10:wrap type="topAndBottom"/>
          </v:line>
        </w:pict>
      </w:r>
    </w:p>
    <w:p>
      <w:pPr>
        <w:spacing w:line="208" w:lineRule="auto" w:before="0"/>
        <w:ind w:left="117" w:right="117" w:firstLine="0"/>
        <w:jc w:val="left"/>
        <w:rPr>
          <w:sz w:val="17"/>
        </w:rPr>
      </w:pPr>
      <w:r>
        <w:rPr>
          <w:color w:val="231F20"/>
          <w:position w:val="6"/>
          <w:sz w:val="10"/>
        </w:rPr>
        <w:t>3 </w:t>
      </w:r>
      <w:r>
        <w:rPr>
          <w:color w:val="231F20"/>
          <w:sz w:val="17"/>
        </w:rPr>
        <w:t>Ejecutada contra menores entre los 10 y 16 años, en su trayecto hacia el país de destino. Re- gularmente son reclutados por bandas de pedófilos o del crimen organizado para prostitución.</w:t>
      </w:r>
    </w:p>
    <w:p>
      <w:pPr>
        <w:spacing w:line="175" w:lineRule="exact" w:before="0"/>
        <w:ind w:left="117" w:right="117" w:firstLine="0"/>
        <w:jc w:val="left"/>
        <w:rPr>
          <w:sz w:val="17"/>
        </w:rPr>
      </w:pPr>
      <w:r>
        <w:rPr>
          <w:color w:val="231F20"/>
          <w:position w:val="6"/>
          <w:sz w:val="10"/>
        </w:rPr>
        <w:t>4 </w:t>
      </w:r>
      <w:r>
        <w:rPr>
          <w:color w:val="231F20"/>
          <w:sz w:val="17"/>
        </w:rPr>
        <w:t>Datos obtenidos de la Comisión Nacional de Derechos Humanos.</w:t>
      </w:r>
    </w:p>
    <w:p>
      <w:pPr>
        <w:spacing w:after="0" w:line="175" w:lineRule="exact"/>
        <w:jc w:val="left"/>
        <w:rPr>
          <w:sz w:val="17"/>
        </w:rPr>
        <w:sectPr>
          <w:pgSz w:w="9360" w:h="13040"/>
          <w:pgMar w:header="0" w:footer="496" w:top="740" w:bottom="680" w:left="1300" w:right="1300"/>
        </w:sectPr>
      </w:pPr>
    </w:p>
    <w:p>
      <w:pPr>
        <w:tabs>
          <w:tab w:pos="5536" w:val="left" w:leader="none"/>
        </w:tabs>
        <w:spacing w:before="51"/>
        <w:ind w:left="400" w:right="117" w:hanging="273"/>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115" w:firstLine="283"/>
        <w:jc w:val="both"/>
        <w:rPr>
          <w:sz w:val="24"/>
        </w:rPr>
      </w:pPr>
      <w:r>
        <w:rPr>
          <w:color w:val="231F20"/>
        </w:rPr>
        <w:t>Pero ¿por qué las violaciones y sus transgresores no son denunciados por los menores indocumentados? Entre otras razones, debido a la igno- rancia de la competencia y jurisdicción de las autoridades involucradas, el temor</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represalias</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coyotes,</w:t>
      </w:r>
      <w:r>
        <w:rPr>
          <w:color w:val="231F20"/>
          <w:spacing w:val="-13"/>
        </w:rPr>
        <w:t> </w:t>
      </w:r>
      <w:r>
        <w:rPr>
          <w:color w:val="231F20"/>
        </w:rPr>
        <w:t>el</w:t>
      </w:r>
      <w:r>
        <w:rPr>
          <w:color w:val="231F20"/>
          <w:spacing w:val="-12"/>
        </w:rPr>
        <w:t> </w:t>
      </w:r>
      <w:r>
        <w:rPr>
          <w:color w:val="231F20"/>
        </w:rPr>
        <w:t>miedo</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policías,</w:t>
      </w:r>
      <w:r>
        <w:rPr>
          <w:color w:val="231F20"/>
          <w:spacing w:val="-12"/>
        </w:rPr>
        <w:t> </w:t>
      </w:r>
      <w:r>
        <w:rPr>
          <w:color w:val="231F20"/>
        </w:rPr>
        <w:t>las</w:t>
      </w:r>
      <w:r>
        <w:rPr>
          <w:color w:val="231F20"/>
          <w:spacing w:val="-12"/>
        </w:rPr>
        <w:t> </w:t>
      </w:r>
      <w:r>
        <w:rPr>
          <w:color w:val="231F20"/>
        </w:rPr>
        <w:t>amenazas, el temor a ser afectados en su integridad física o la de sus familiares, el desconocimiento de las prerrogativas que tienen, la falta de capacidad de ejercicio, la falta de tiempo para interponer la queja y las diferencias en el idioma (CNDH, 1995:</w:t>
      </w:r>
      <w:r>
        <w:rPr>
          <w:color w:val="231F20"/>
          <w:spacing w:val="-3"/>
        </w:rPr>
        <w:t> </w:t>
      </w:r>
      <w:r>
        <w:rPr>
          <w:color w:val="231F20"/>
        </w:rPr>
        <w:t>59</w:t>
      </w:r>
      <w:r>
        <w:rPr>
          <w:color w:val="231F20"/>
          <w:sz w:val="24"/>
        </w:rPr>
        <w:t>).</w:t>
      </w:r>
    </w:p>
    <w:p>
      <w:pPr>
        <w:pStyle w:val="BodyText"/>
        <w:spacing w:line="247" w:lineRule="auto"/>
        <w:ind w:left="117" w:right="114" w:firstLine="283"/>
        <w:jc w:val="both"/>
      </w:pPr>
      <w:r>
        <w:rPr>
          <w:color w:val="231F20"/>
        </w:rPr>
        <w:t>Los niños y adolescentes son sujetos en total estado de desamparo ante las realidades que enfrentan y por tanto susceptibles a que sus derechos sean</w:t>
      </w:r>
      <w:r>
        <w:rPr>
          <w:color w:val="231F20"/>
          <w:spacing w:val="-12"/>
        </w:rPr>
        <w:t> </w:t>
      </w:r>
      <w:r>
        <w:rPr>
          <w:color w:val="231F20"/>
        </w:rPr>
        <w:t>violados.</w:t>
      </w:r>
      <w:r>
        <w:rPr>
          <w:color w:val="231F20"/>
          <w:spacing w:val="-13"/>
        </w:rPr>
        <w:t> </w:t>
      </w:r>
      <w:r>
        <w:rPr>
          <w:color w:val="231F20"/>
        </w:rPr>
        <w:t>Una</w:t>
      </w:r>
      <w:r>
        <w:rPr>
          <w:color w:val="231F20"/>
          <w:spacing w:val="-12"/>
        </w:rPr>
        <w:t> </w:t>
      </w:r>
      <w:r>
        <w:rPr>
          <w:color w:val="231F20"/>
        </w:rPr>
        <w:t>persona</w:t>
      </w:r>
      <w:r>
        <w:rPr>
          <w:color w:val="231F20"/>
          <w:spacing w:val="-13"/>
        </w:rPr>
        <w:t> </w:t>
      </w:r>
      <w:r>
        <w:rPr>
          <w:color w:val="231F20"/>
        </w:rPr>
        <w:t>en</w:t>
      </w:r>
      <w:r>
        <w:rPr>
          <w:color w:val="231F20"/>
          <w:spacing w:val="-13"/>
        </w:rPr>
        <w:t> </w:t>
      </w:r>
      <w:r>
        <w:rPr>
          <w:color w:val="231F20"/>
        </w:rPr>
        <w:t>tal</w:t>
      </w:r>
      <w:r>
        <w:rPr>
          <w:color w:val="231F20"/>
          <w:spacing w:val="-13"/>
        </w:rPr>
        <w:t> </w:t>
      </w:r>
      <w:r>
        <w:rPr>
          <w:color w:val="231F20"/>
        </w:rPr>
        <w:t>situación</w:t>
      </w:r>
      <w:r>
        <w:rPr>
          <w:color w:val="231F20"/>
          <w:spacing w:val="-12"/>
        </w:rPr>
        <w:t> </w:t>
      </w:r>
      <w:r>
        <w:rPr>
          <w:color w:val="231F20"/>
        </w:rPr>
        <w:t>se</w:t>
      </w:r>
      <w:r>
        <w:rPr>
          <w:color w:val="231F20"/>
          <w:spacing w:val="-13"/>
        </w:rPr>
        <w:t> </w:t>
      </w:r>
      <w:r>
        <w:rPr>
          <w:color w:val="231F20"/>
        </w:rPr>
        <w:t>encuentra</w:t>
      </w:r>
      <w:r>
        <w:rPr>
          <w:color w:val="231F20"/>
          <w:spacing w:val="-13"/>
        </w:rPr>
        <w:t> </w:t>
      </w:r>
      <w:r>
        <w:rPr>
          <w:color w:val="231F20"/>
        </w:rPr>
        <w:t>en</w:t>
      </w:r>
      <w:r>
        <w:rPr>
          <w:color w:val="231F20"/>
          <w:spacing w:val="-13"/>
        </w:rPr>
        <w:t> </w:t>
      </w:r>
      <w:r>
        <w:rPr>
          <w:color w:val="231F20"/>
        </w:rPr>
        <w:t>una</w:t>
      </w:r>
      <w:r>
        <w:rPr>
          <w:color w:val="231F20"/>
          <w:spacing w:val="-13"/>
        </w:rPr>
        <w:t> </w:t>
      </w:r>
      <w:r>
        <w:rPr>
          <w:color w:val="231F20"/>
        </w:rPr>
        <w:t>posición</w:t>
      </w:r>
      <w:r>
        <w:rPr>
          <w:color w:val="231F20"/>
          <w:spacing w:val="-13"/>
        </w:rPr>
        <w:t> </w:t>
      </w:r>
      <w:r>
        <w:rPr>
          <w:color w:val="231F20"/>
        </w:rPr>
        <w:t>de vulnerabilidad </w:t>
      </w:r>
      <w:r>
        <w:rPr>
          <w:i/>
          <w:color w:val="231F20"/>
        </w:rPr>
        <w:t>a priori</w:t>
      </w:r>
      <w:r>
        <w:rPr>
          <w:color w:val="231F20"/>
        </w:rPr>
        <w:t>, la cual se origina a partir de la reunión de factores internos y externos que al combinarse disminuyen o anulan la capacidad del individuo para enfrentar un hecho determinado que le ocasiona daño. Si entendemos que los factores internos se componen por las característi- cas propias de la persona (edad, estado de salud, origen étnico, discapaci- dad, lengua, entre otros) y los factores externos son los ligados al contex- to social en el que éste se halla (discriminación, nivel de ingresos, crisis económica y desempleo), entonces todos los varones menores de edad en condición irregular son más vulnerables comparados con los adultos, pero siempre en menor medida en relación con las</w:t>
      </w:r>
      <w:r>
        <w:rPr>
          <w:color w:val="231F20"/>
          <w:spacing w:val="-12"/>
        </w:rPr>
        <w:t> </w:t>
      </w:r>
      <w:r>
        <w:rPr>
          <w:color w:val="231F20"/>
        </w:rPr>
        <w:t>mujeres.</w:t>
      </w:r>
    </w:p>
    <w:p>
      <w:pPr>
        <w:pStyle w:val="BodyText"/>
        <w:spacing w:line="247" w:lineRule="auto"/>
        <w:ind w:left="117" w:right="115" w:firstLine="283"/>
        <w:jc w:val="both"/>
      </w:pPr>
      <w:r>
        <w:rPr>
          <w:color w:val="231F20"/>
        </w:rPr>
        <w:t>Lo anterior nos lleva a determinar que los factores, causa de la vul- nerabilidad de los niños y adolescentes, son la edad, el analfabetismo, el idioma, la exposición a condiciones climáticas y geográficas, el descono- cimiento de las rutas, la carencia de medios de supervivencia básicos, la exposición a los peligros y riesgos de la calle, la desprotección, los pro- blemas de salud previos y derivados del viaje, la condición de género, el choque</w:t>
      </w:r>
      <w:r>
        <w:rPr>
          <w:color w:val="231F20"/>
          <w:spacing w:val="-12"/>
        </w:rPr>
        <w:t> </w:t>
      </w:r>
      <w:r>
        <w:rPr>
          <w:color w:val="231F20"/>
        </w:rPr>
        <w:t>cultural,</w:t>
      </w:r>
      <w:r>
        <w:rPr>
          <w:color w:val="231F20"/>
          <w:spacing w:val="-12"/>
        </w:rPr>
        <w:t> </w:t>
      </w:r>
      <w:r>
        <w:rPr>
          <w:color w:val="231F20"/>
        </w:rPr>
        <w:t>la</w:t>
      </w:r>
      <w:r>
        <w:rPr>
          <w:color w:val="231F20"/>
          <w:spacing w:val="-12"/>
        </w:rPr>
        <w:t> </w:t>
      </w:r>
      <w:r>
        <w:rPr>
          <w:color w:val="231F20"/>
        </w:rPr>
        <w:t>carencia</w:t>
      </w:r>
      <w:r>
        <w:rPr>
          <w:color w:val="231F20"/>
          <w:spacing w:val="-13"/>
        </w:rPr>
        <w:t> </w:t>
      </w:r>
      <w:r>
        <w:rPr>
          <w:color w:val="231F20"/>
        </w:rPr>
        <w:t>de</w:t>
      </w:r>
      <w:r>
        <w:rPr>
          <w:color w:val="231F20"/>
          <w:spacing w:val="-12"/>
        </w:rPr>
        <w:t> </w:t>
      </w:r>
      <w:r>
        <w:rPr>
          <w:color w:val="231F20"/>
        </w:rPr>
        <w:t>familiares</w:t>
      </w:r>
      <w:r>
        <w:rPr>
          <w:color w:val="231F20"/>
          <w:spacing w:val="-12"/>
        </w:rPr>
        <w:t> </w:t>
      </w:r>
      <w:r>
        <w:rPr>
          <w:color w:val="231F20"/>
        </w:rPr>
        <w:t>y</w:t>
      </w:r>
      <w:r>
        <w:rPr>
          <w:color w:val="231F20"/>
          <w:spacing w:val="-12"/>
        </w:rPr>
        <w:t> </w:t>
      </w:r>
      <w:r>
        <w:rPr>
          <w:color w:val="231F20"/>
        </w:rPr>
        <w:t>amigos,</w:t>
      </w:r>
      <w:r>
        <w:rPr>
          <w:color w:val="231F20"/>
          <w:spacing w:val="-12"/>
        </w:rPr>
        <w:t> </w:t>
      </w:r>
      <w:r>
        <w:rPr>
          <w:color w:val="231F20"/>
        </w:rPr>
        <w:t>la</w:t>
      </w:r>
      <w:r>
        <w:rPr>
          <w:color w:val="231F20"/>
          <w:spacing w:val="-12"/>
        </w:rPr>
        <w:t> </w:t>
      </w:r>
      <w:r>
        <w:rPr>
          <w:color w:val="231F20"/>
        </w:rPr>
        <w:t>falta</w:t>
      </w:r>
      <w:r>
        <w:rPr>
          <w:color w:val="231F20"/>
          <w:spacing w:val="-12"/>
        </w:rPr>
        <w:t> </w:t>
      </w:r>
      <w:r>
        <w:rPr>
          <w:color w:val="231F20"/>
        </w:rPr>
        <w:t>de</w:t>
      </w:r>
      <w:r>
        <w:rPr>
          <w:color w:val="231F20"/>
          <w:spacing w:val="-12"/>
        </w:rPr>
        <w:t> </w:t>
      </w:r>
      <w:r>
        <w:rPr>
          <w:color w:val="231F20"/>
        </w:rPr>
        <w:t>capacidad</w:t>
      </w:r>
      <w:r>
        <w:rPr>
          <w:color w:val="231F20"/>
          <w:spacing w:val="-13"/>
        </w:rPr>
        <w:t> </w:t>
      </w:r>
      <w:r>
        <w:rPr>
          <w:color w:val="231F20"/>
        </w:rPr>
        <w:t>de ejercicio, el desconocimiento de sus derechos y los medios para hacerlos valer (Fábrega, 2001:</w:t>
      </w:r>
      <w:r>
        <w:rPr>
          <w:color w:val="231F20"/>
          <w:spacing w:val="-1"/>
        </w:rPr>
        <w:t> </w:t>
      </w:r>
      <w:r>
        <w:rPr>
          <w:color w:val="231F20"/>
        </w:rPr>
        <w:t>49</w:t>
      </w:r>
      <w:r>
        <w:rPr>
          <w:color w:val="231F20"/>
          <w:sz w:val="24"/>
        </w:rPr>
        <w:t>)</w:t>
      </w:r>
      <w:r>
        <w:rPr>
          <w:color w:val="231F20"/>
        </w:rPr>
        <w:t>.</w:t>
      </w:r>
    </w:p>
    <w:p>
      <w:pPr>
        <w:pStyle w:val="BodyText"/>
        <w:spacing w:line="247" w:lineRule="auto"/>
        <w:ind w:left="117" w:right="115" w:firstLine="283"/>
        <w:jc w:val="both"/>
      </w:pPr>
      <w:r>
        <w:rPr>
          <w:color w:val="231F20"/>
        </w:rPr>
        <w:t>Las violaciones más frecuentes son aquellas producidas por las autori- dades.</w:t>
      </w:r>
      <w:r>
        <w:rPr>
          <w:color w:val="231F20"/>
          <w:spacing w:val="-21"/>
        </w:rPr>
        <w:t> </w:t>
      </w:r>
      <w:r>
        <w:rPr>
          <w:color w:val="231F20"/>
        </w:rPr>
        <w:t>Anteriormente,</w:t>
      </w:r>
      <w:r>
        <w:rPr>
          <w:color w:val="231F20"/>
          <w:spacing w:val="-10"/>
        </w:rPr>
        <w:t> </w:t>
      </w:r>
      <w:r>
        <w:rPr>
          <w:color w:val="231F20"/>
        </w:rPr>
        <w:t>en</w:t>
      </w:r>
      <w:r>
        <w:rPr>
          <w:color w:val="231F20"/>
          <w:spacing w:val="-9"/>
        </w:rPr>
        <w:t> </w:t>
      </w:r>
      <w:r>
        <w:rPr>
          <w:color w:val="231F20"/>
        </w:rPr>
        <w:t>el</w:t>
      </w:r>
      <w:r>
        <w:rPr>
          <w:color w:val="231F20"/>
          <w:spacing w:val="-9"/>
        </w:rPr>
        <w:t> </w:t>
      </w:r>
      <w:r>
        <w:rPr>
          <w:color w:val="231F20"/>
        </w:rPr>
        <w:t>perímetro</w:t>
      </w:r>
      <w:r>
        <w:rPr>
          <w:color w:val="231F20"/>
          <w:spacing w:val="-9"/>
        </w:rPr>
        <w:t> </w:t>
      </w:r>
      <w:r>
        <w:rPr>
          <w:color w:val="231F20"/>
        </w:rPr>
        <w:t>comprendido</w:t>
      </w:r>
      <w:r>
        <w:rPr>
          <w:color w:val="231F20"/>
          <w:spacing w:val="-10"/>
        </w:rPr>
        <w:t> </w:t>
      </w:r>
      <w:r>
        <w:rPr>
          <w:color w:val="231F20"/>
        </w:rPr>
        <w:t>entre</w:t>
      </w:r>
      <w:r>
        <w:rPr>
          <w:color w:val="231F20"/>
          <w:spacing w:val="-9"/>
        </w:rPr>
        <w:t> </w:t>
      </w:r>
      <w:r>
        <w:rPr>
          <w:color w:val="231F20"/>
        </w:rPr>
        <w:t>México</w:t>
      </w:r>
      <w:r>
        <w:rPr>
          <w:color w:val="231F20"/>
          <w:spacing w:val="-9"/>
        </w:rPr>
        <w:t> </w:t>
      </w:r>
      <w:r>
        <w:rPr>
          <w:color w:val="231F20"/>
        </w:rPr>
        <w:t>y</w:t>
      </w:r>
      <w:r>
        <w:rPr>
          <w:color w:val="231F20"/>
          <w:spacing w:val="-9"/>
        </w:rPr>
        <w:t> </w:t>
      </w:r>
      <w:r>
        <w:rPr>
          <w:color w:val="231F20"/>
        </w:rPr>
        <w:t>Guate- mala,</w:t>
      </w:r>
      <w:r>
        <w:rPr>
          <w:color w:val="231F20"/>
          <w:spacing w:val="-7"/>
        </w:rPr>
        <w:t> </w:t>
      </w:r>
      <w:r>
        <w:rPr>
          <w:color w:val="231F20"/>
        </w:rPr>
        <w:t>las</w:t>
      </w:r>
      <w:r>
        <w:rPr>
          <w:color w:val="231F20"/>
          <w:spacing w:val="-7"/>
        </w:rPr>
        <w:t> </w:t>
      </w:r>
      <w:r>
        <w:rPr>
          <w:color w:val="231F20"/>
        </w:rPr>
        <w:t>corporaciones</w:t>
      </w:r>
      <w:r>
        <w:rPr>
          <w:color w:val="231F20"/>
          <w:spacing w:val="-7"/>
        </w:rPr>
        <w:t> </w:t>
      </w:r>
      <w:r>
        <w:rPr>
          <w:color w:val="231F20"/>
        </w:rPr>
        <w:t>que</w:t>
      </w:r>
      <w:r>
        <w:rPr>
          <w:color w:val="231F20"/>
          <w:spacing w:val="-7"/>
        </w:rPr>
        <w:t> </w:t>
      </w:r>
      <w:r>
        <w:rPr>
          <w:color w:val="231F20"/>
        </w:rPr>
        <w:t>actuaban</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detención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menores,</w:t>
      </w:r>
      <w:r>
        <w:rPr>
          <w:color w:val="231F20"/>
          <w:spacing w:val="-7"/>
        </w:rPr>
        <w:t> </w:t>
      </w:r>
      <w:r>
        <w:rPr>
          <w:color w:val="231F20"/>
        </w:rPr>
        <w:t>eran:</w:t>
      </w:r>
    </w:p>
    <w:p>
      <w:pPr>
        <w:spacing w:after="0" w:line="247" w:lineRule="auto"/>
        <w:jc w:val="both"/>
        <w:sectPr>
          <w:pgSz w:w="9360" w:h="13040"/>
          <w:pgMar w:header="0" w:footer="496" w:top="840" w:bottom="680" w:left="1300" w:right="1300"/>
        </w:sectPr>
      </w:pPr>
    </w:p>
    <w:p>
      <w:pPr>
        <w:spacing w:before="45"/>
        <w:ind w:left="400" w:right="0" w:hanging="167"/>
        <w:jc w:val="left"/>
        <w:rPr>
          <w:rFonts w:ascii="Arial" w:hAnsi="Arial"/>
          <w:sz w:val="20"/>
        </w:rPr>
      </w:pPr>
      <w:r>
        <w:rPr>
          <w:rFonts w:ascii="Arial" w:hAnsi="Arial"/>
          <w:color w:val="231F20"/>
          <w:w w:val="70"/>
          <w:sz w:val="20"/>
        </w:rPr>
        <w:t>Los</w:t>
      </w:r>
      <w:r>
        <w:rPr>
          <w:rFonts w:ascii="Arial" w:hAnsi="Arial"/>
          <w:color w:val="231F20"/>
          <w:spacing w:val="-13"/>
          <w:w w:val="70"/>
          <w:sz w:val="20"/>
        </w:rPr>
        <w:t> </w:t>
      </w:r>
      <w:r>
        <w:rPr>
          <w:rFonts w:ascii="Arial" w:hAnsi="Arial"/>
          <w:color w:val="231F20"/>
          <w:w w:val="70"/>
          <w:sz w:val="20"/>
        </w:rPr>
        <w:t>menores</w:t>
      </w:r>
      <w:r>
        <w:rPr>
          <w:rFonts w:ascii="Arial" w:hAnsi="Arial"/>
          <w:color w:val="231F20"/>
          <w:spacing w:val="-13"/>
          <w:w w:val="70"/>
          <w:sz w:val="20"/>
        </w:rPr>
        <w:t> </w:t>
      </w:r>
      <w:r>
        <w:rPr>
          <w:rFonts w:ascii="Arial" w:hAnsi="Arial"/>
          <w:color w:val="231F20"/>
          <w:w w:val="70"/>
          <w:sz w:val="20"/>
        </w:rPr>
        <w:t>inmigrantes</w:t>
      </w:r>
      <w:r>
        <w:rPr>
          <w:rFonts w:ascii="Arial" w:hAnsi="Arial"/>
          <w:color w:val="231F20"/>
          <w:spacing w:val="-13"/>
          <w:w w:val="70"/>
          <w:sz w:val="20"/>
        </w:rPr>
        <w:t> </w:t>
      </w:r>
      <w:r>
        <w:rPr>
          <w:rFonts w:ascii="Arial" w:hAnsi="Arial"/>
          <w:color w:val="231F20"/>
          <w:w w:val="70"/>
          <w:sz w:val="20"/>
        </w:rPr>
        <w:t>indocumentados</w:t>
      </w:r>
      <w:r>
        <w:rPr>
          <w:rFonts w:ascii="Arial" w:hAnsi="Arial"/>
          <w:color w:val="231F20"/>
          <w:spacing w:val="-13"/>
          <w:w w:val="70"/>
          <w:sz w:val="20"/>
        </w:rPr>
        <w:t> </w:t>
      </w:r>
      <w:r>
        <w:rPr>
          <w:rFonts w:ascii="Arial" w:hAnsi="Arial"/>
          <w:color w:val="231F20"/>
          <w:w w:val="70"/>
          <w:sz w:val="20"/>
        </w:rPr>
        <w:t>ante</w:t>
      </w:r>
      <w:r>
        <w:rPr>
          <w:rFonts w:ascii="Arial" w:hAnsi="Arial"/>
          <w:color w:val="231F20"/>
          <w:spacing w:val="-13"/>
          <w:w w:val="70"/>
          <w:sz w:val="20"/>
        </w:rPr>
        <w:t> </w:t>
      </w:r>
      <w:r>
        <w:rPr>
          <w:rFonts w:ascii="Arial" w:hAnsi="Arial"/>
          <w:color w:val="231F20"/>
          <w:w w:val="70"/>
          <w:sz w:val="20"/>
        </w:rPr>
        <w:t>la</w:t>
      </w:r>
      <w:r>
        <w:rPr>
          <w:rFonts w:ascii="Arial" w:hAnsi="Arial"/>
          <w:color w:val="231F20"/>
          <w:spacing w:val="-13"/>
          <w:w w:val="70"/>
          <w:sz w:val="20"/>
        </w:rPr>
        <w:t> </w:t>
      </w:r>
      <w:r>
        <w:rPr>
          <w:rFonts w:ascii="Arial" w:hAnsi="Arial"/>
          <w:color w:val="231F20"/>
          <w:w w:val="70"/>
          <w:sz w:val="20"/>
        </w:rPr>
        <w:t>nueva</w:t>
      </w:r>
      <w:r>
        <w:rPr>
          <w:rFonts w:ascii="Arial" w:hAnsi="Arial"/>
          <w:color w:val="231F20"/>
          <w:spacing w:val="-13"/>
          <w:w w:val="70"/>
          <w:sz w:val="20"/>
        </w:rPr>
        <w:t> </w:t>
      </w:r>
      <w:r>
        <w:rPr>
          <w:rFonts w:ascii="Arial" w:hAnsi="Arial"/>
          <w:color w:val="231F20"/>
          <w:w w:val="70"/>
          <w:sz w:val="20"/>
        </w:rPr>
        <w:t>ley</w:t>
      </w:r>
      <w:r>
        <w:rPr>
          <w:rFonts w:ascii="Arial" w:hAnsi="Arial"/>
          <w:color w:val="231F20"/>
          <w:spacing w:val="-13"/>
          <w:w w:val="70"/>
          <w:sz w:val="20"/>
        </w:rPr>
        <w:t> </w:t>
      </w:r>
      <w:r>
        <w:rPr>
          <w:rFonts w:ascii="Arial" w:hAnsi="Arial"/>
          <w:color w:val="231F20"/>
          <w:w w:val="70"/>
          <w:sz w:val="20"/>
        </w:rPr>
        <w:t>de</w:t>
      </w:r>
      <w:r>
        <w:rPr>
          <w:rFonts w:ascii="Arial" w:hAnsi="Arial"/>
          <w:color w:val="231F20"/>
          <w:spacing w:val="-13"/>
          <w:w w:val="70"/>
          <w:sz w:val="20"/>
        </w:rPr>
        <w:t> </w:t>
      </w:r>
      <w:r>
        <w:rPr>
          <w:rFonts w:ascii="Arial" w:hAnsi="Arial"/>
          <w:color w:val="231F20"/>
          <w:w w:val="70"/>
          <w:sz w:val="20"/>
        </w:rPr>
        <w:t>migración...</w:t>
      </w:r>
      <w:r>
        <w:rPr>
          <w:rFonts w:ascii="Arial" w:hAnsi="Arial"/>
          <w:color w:val="231F20"/>
          <w:spacing w:val="-13"/>
          <w:w w:val="70"/>
          <w:sz w:val="20"/>
        </w:rPr>
        <w:t> </w:t>
      </w:r>
      <w:r>
        <w:rPr>
          <w:rFonts w:ascii="Arial" w:hAnsi="Arial"/>
          <w:color w:val="231F20"/>
          <w:w w:val="70"/>
          <w:sz w:val="20"/>
        </w:rPr>
        <w:t>/Alma</w:t>
      </w:r>
      <w:r>
        <w:rPr>
          <w:rFonts w:ascii="Arial" w:hAnsi="Arial"/>
          <w:color w:val="231F20"/>
          <w:spacing w:val="-21"/>
          <w:w w:val="70"/>
          <w:sz w:val="20"/>
        </w:rPr>
        <w:t> </w:t>
      </w:r>
      <w:r>
        <w:rPr>
          <w:rFonts w:ascii="Arial" w:hAnsi="Arial"/>
          <w:color w:val="231F20"/>
          <w:w w:val="70"/>
          <w:sz w:val="20"/>
        </w:rPr>
        <w:t>C.</w:t>
      </w:r>
      <w:r>
        <w:rPr>
          <w:rFonts w:ascii="Arial" w:hAnsi="Arial"/>
          <w:color w:val="231F20"/>
          <w:spacing w:val="-21"/>
          <w:w w:val="70"/>
          <w:sz w:val="20"/>
        </w:rPr>
        <w:t> </w:t>
      </w:r>
      <w:r>
        <w:rPr>
          <w:rFonts w:ascii="Arial" w:hAnsi="Arial"/>
          <w:color w:val="231F20"/>
          <w:w w:val="70"/>
          <w:sz w:val="20"/>
        </w:rPr>
        <w:t>Guadarrama-Muñoz</w:t>
      </w:r>
    </w:p>
    <w:p>
      <w:pPr>
        <w:pStyle w:val="BodyText"/>
        <w:rPr>
          <w:rFonts w:ascii="Arial"/>
          <w:sz w:val="20"/>
        </w:rPr>
      </w:pPr>
    </w:p>
    <w:p>
      <w:pPr>
        <w:pStyle w:val="BodyText"/>
        <w:spacing w:before="10"/>
        <w:rPr>
          <w:rFonts w:ascii="Arial"/>
          <w:sz w:val="16"/>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6"/>
        <w:gridCol w:w="3542"/>
      </w:tblGrid>
      <w:tr>
        <w:trPr>
          <w:trHeight w:val="240" w:hRule="exact"/>
        </w:trPr>
        <w:tc>
          <w:tcPr>
            <w:tcW w:w="2976" w:type="dxa"/>
          </w:tcPr>
          <w:p>
            <w:pPr>
              <w:pStyle w:val="TableParagraph"/>
              <w:spacing w:before="5"/>
              <w:ind w:left="105"/>
              <w:jc w:val="left"/>
              <w:rPr>
                <w:sz w:val="19"/>
              </w:rPr>
            </w:pPr>
            <w:r>
              <w:rPr>
                <w:w w:val="105"/>
                <w:sz w:val="19"/>
              </w:rPr>
              <w:t>En Guatemala:</w:t>
            </w:r>
          </w:p>
        </w:tc>
        <w:tc>
          <w:tcPr>
            <w:tcW w:w="3542" w:type="dxa"/>
          </w:tcPr>
          <w:p>
            <w:pPr>
              <w:pStyle w:val="TableParagraph"/>
              <w:spacing w:before="5"/>
              <w:ind w:left="105" w:right="626"/>
              <w:jc w:val="left"/>
              <w:rPr>
                <w:sz w:val="19"/>
              </w:rPr>
            </w:pPr>
            <w:r>
              <w:rPr>
                <w:w w:val="105"/>
                <w:sz w:val="19"/>
              </w:rPr>
              <w:t>En México:</w:t>
            </w:r>
          </w:p>
        </w:tc>
      </w:tr>
      <w:tr>
        <w:trPr>
          <w:trHeight w:val="240" w:hRule="exact"/>
        </w:trPr>
        <w:tc>
          <w:tcPr>
            <w:tcW w:w="2976" w:type="dxa"/>
          </w:tcPr>
          <w:p>
            <w:pPr>
              <w:pStyle w:val="TableParagraph"/>
              <w:spacing w:before="5"/>
              <w:ind w:left="105"/>
              <w:jc w:val="left"/>
              <w:rPr>
                <w:sz w:val="19"/>
              </w:rPr>
            </w:pPr>
            <w:r>
              <w:rPr>
                <w:w w:val="105"/>
                <w:sz w:val="19"/>
              </w:rPr>
              <w:t>Policía Nacional Civil</w:t>
            </w:r>
          </w:p>
        </w:tc>
        <w:tc>
          <w:tcPr>
            <w:tcW w:w="3542" w:type="dxa"/>
          </w:tcPr>
          <w:p>
            <w:pPr>
              <w:pStyle w:val="TableParagraph"/>
              <w:spacing w:before="5"/>
              <w:ind w:left="105" w:right="626"/>
              <w:jc w:val="left"/>
              <w:rPr>
                <w:sz w:val="19"/>
              </w:rPr>
            </w:pPr>
            <w:r>
              <w:rPr>
                <w:w w:val="105"/>
                <w:sz w:val="19"/>
              </w:rPr>
              <w:t>Instituto Nacional de Migración</w:t>
            </w:r>
          </w:p>
        </w:tc>
      </w:tr>
      <w:tr>
        <w:trPr>
          <w:trHeight w:val="470" w:hRule="exact"/>
        </w:trPr>
        <w:tc>
          <w:tcPr>
            <w:tcW w:w="2976" w:type="dxa"/>
          </w:tcPr>
          <w:p>
            <w:pPr>
              <w:pStyle w:val="TableParagraph"/>
              <w:spacing w:before="5"/>
              <w:ind w:left="105"/>
              <w:jc w:val="left"/>
              <w:rPr>
                <w:sz w:val="19"/>
              </w:rPr>
            </w:pPr>
            <w:r>
              <w:rPr>
                <w:w w:val="105"/>
                <w:sz w:val="19"/>
              </w:rPr>
              <w:t>Dirección General de Migración</w:t>
            </w:r>
          </w:p>
        </w:tc>
        <w:tc>
          <w:tcPr>
            <w:tcW w:w="3542" w:type="dxa"/>
          </w:tcPr>
          <w:p>
            <w:pPr>
              <w:pStyle w:val="TableParagraph"/>
              <w:spacing w:line="252" w:lineRule="auto" w:before="5"/>
              <w:ind w:left="105" w:right="626"/>
              <w:jc w:val="left"/>
              <w:rPr>
                <w:sz w:val="19"/>
              </w:rPr>
            </w:pPr>
            <w:r>
              <w:rPr>
                <w:w w:val="105"/>
                <w:sz w:val="19"/>
              </w:rPr>
              <w:t>Sistema para el Desarrollo Integral de la Familia DIF</w:t>
            </w:r>
          </w:p>
        </w:tc>
      </w:tr>
      <w:tr>
        <w:trPr>
          <w:trHeight w:val="240" w:hRule="exact"/>
        </w:trPr>
        <w:tc>
          <w:tcPr>
            <w:tcW w:w="2976" w:type="dxa"/>
          </w:tcPr>
          <w:p>
            <w:pPr>
              <w:pStyle w:val="TableParagraph"/>
              <w:spacing w:before="5"/>
              <w:ind w:left="105"/>
              <w:jc w:val="left"/>
              <w:rPr>
                <w:sz w:val="19"/>
              </w:rPr>
            </w:pPr>
            <w:r>
              <w:rPr>
                <w:w w:val="105"/>
                <w:sz w:val="19"/>
              </w:rPr>
              <w:t>Ministerio Público</w:t>
            </w:r>
          </w:p>
        </w:tc>
        <w:tc>
          <w:tcPr>
            <w:tcW w:w="3542" w:type="dxa"/>
          </w:tcPr>
          <w:p>
            <w:pPr>
              <w:pStyle w:val="TableParagraph"/>
              <w:spacing w:before="5"/>
              <w:ind w:left="105"/>
              <w:jc w:val="left"/>
              <w:rPr>
                <w:sz w:val="19"/>
              </w:rPr>
            </w:pPr>
            <w:r>
              <w:rPr>
                <w:w w:val="105"/>
                <w:sz w:val="19"/>
              </w:rPr>
              <w:t>Procuraduría General de la República</w:t>
            </w:r>
          </w:p>
        </w:tc>
      </w:tr>
      <w:tr>
        <w:trPr>
          <w:trHeight w:val="240" w:hRule="exact"/>
        </w:trPr>
        <w:tc>
          <w:tcPr>
            <w:tcW w:w="2976" w:type="dxa"/>
          </w:tcPr>
          <w:p>
            <w:pPr>
              <w:pStyle w:val="TableParagraph"/>
              <w:spacing w:before="5"/>
              <w:ind w:left="105"/>
              <w:jc w:val="left"/>
              <w:rPr>
                <w:sz w:val="19"/>
              </w:rPr>
            </w:pPr>
            <w:r>
              <w:rPr>
                <w:w w:val="105"/>
                <w:sz w:val="19"/>
              </w:rPr>
              <w:t>Policía Nacional de Migración</w:t>
            </w:r>
          </w:p>
        </w:tc>
        <w:tc>
          <w:tcPr>
            <w:tcW w:w="3542" w:type="dxa"/>
          </w:tcPr>
          <w:p>
            <w:pPr>
              <w:pStyle w:val="TableParagraph"/>
              <w:spacing w:before="5"/>
              <w:ind w:left="105" w:right="626"/>
              <w:jc w:val="left"/>
              <w:rPr>
                <w:sz w:val="19"/>
              </w:rPr>
            </w:pPr>
            <w:r>
              <w:rPr>
                <w:w w:val="105"/>
                <w:sz w:val="19"/>
              </w:rPr>
              <w:t>Ejército</w:t>
            </w:r>
          </w:p>
        </w:tc>
      </w:tr>
      <w:tr>
        <w:trPr>
          <w:trHeight w:val="240" w:hRule="exact"/>
        </w:trPr>
        <w:tc>
          <w:tcPr>
            <w:tcW w:w="2976" w:type="dxa"/>
          </w:tcPr>
          <w:p>
            <w:pPr/>
          </w:p>
        </w:tc>
        <w:tc>
          <w:tcPr>
            <w:tcW w:w="3542" w:type="dxa"/>
          </w:tcPr>
          <w:p>
            <w:pPr>
              <w:pStyle w:val="TableParagraph"/>
              <w:spacing w:before="5"/>
              <w:ind w:left="105" w:right="626"/>
              <w:jc w:val="left"/>
              <w:rPr>
                <w:sz w:val="19"/>
              </w:rPr>
            </w:pPr>
            <w:r>
              <w:rPr>
                <w:w w:val="105"/>
                <w:sz w:val="19"/>
              </w:rPr>
              <w:t>Policía Federal</w:t>
            </w:r>
          </w:p>
        </w:tc>
      </w:tr>
      <w:tr>
        <w:trPr>
          <w:trHeight w:val="240" w:hRule="exact"/>
        </w:trPr>
        <w:tc>
          <w:tcPr>
            <w:tcW w:w="2976" w:type="dxa"/>
          </w:tcPr>
          <w:p>
            <w:pPr/>
          </w:p>
        </w:tc>
        <w:tc>
          <w:tcPr>
            <w:tcW w:w="3542" w:type="dxa"/>
          </w:tcPr>
          <w:p>
            <w:pPr>
              <w:pStyle w:val="TableParagraph"/>
              <w:spacing w:before="5"/>
              <w:ind w:left="105" w:right="626"/>
              <w:jc w:val="left"/>
              <w:rPr>
                <w:sz w:val="19"/>
              </w:rPr>
            </w:pPr>
            <w:r>
              <w:rPr>
                <w:w w:val="105"/>
                <w:sz w:val="19"/>
              </w:rPr>
              <w:t>Policía Judicial Estatal</w:t>
            </w:r>
          </w:p>
        </w:tc>
      </w:tr>
      <w:tr>
        <w:trPr>
          <w:trHeight w:val="240" w:hRule="exact"/>
        </w:trPr>
        <w:tc>
          <w:tcPr>
            <w:tcW w:w="2976" w:type="dxa"/>
          </w:tcPr>
          <w:p>
            <w:pPr/>
          </w:p>
        </w:tc>
        <w:tc>
          <w:tcPr>
            <w:tcW w:w="3542" w:type="dxa"/>
          </w:tcPr>
          <w:p>
            <w:pPr>
              <w:pStyle w:val="TableParagraph"/>
              <w:spacing w:before="5"/>
              <w:ind w:left="105" w:right="626"/>
              <w:jc w:val="left"/>
              <w:rPr>
                <w:sz w:val="19"/>
              </w:rPr>
            </w:pPr>
            <w:r>
              <w:rPr>
                <w:w w:val="105"/>
                <w:sz w:val="19"/>
              </w:rPr>
              <w:t>Policía Municipal</w:t>
            </w:r>
          </w:p>
        </w:tc>
      </w:tr>
      <w:tr>
        <w:trPr>
          <w:trHeight w:val="192" w:hRule="exact"/>
        </w:trPr>
        <w:tc>
          <w:tcPr>
            <w:tcW w:w="6518" w:type="dxa"/>
            <w:gridSpan w:val="2"/>
          </w:tcPr>
          <w:p>
            <w:pPr>
              <w:pStyle w:val="TableParagraph"/>
              <w:spacing w:line="183" w:lineRule="exact"/>
              <w:ind w:left="105"/>
              <w:jc w:val="left"/>
              <w:rPr>
                <w:sz w:val="16"/>
              </w:rPr>
            </w:pPr>
            <w:r>
              <w:rPr>
                <w:sz w:val="16"/>
              </w:rPr>
              <w:t>Fuente: elaboración propia con datos obtenidos en </w:t>
            </w:r>
            <w:r>
              <w:rPr>
                <w:sz w:val="13"/>
              </w:rPr>
              <w:t>CNDH</w:t>
            </w:r>
            <w:r>
              <w:rPr>
                <w:sz w:val="16"/>
              </w:rPr>
              <w:t>, 1995: 77.</w:t>
            </w:r>
          </w:p>
        </w:tc>
      </w:tr>
    </w:tbl>
    <w:p>
      <w:pPr>
        <w:pStyle w:val="BodyText"/>
        <w:spacing w:before="1"/>
        <w:rPr>
          <w:rFonts w:ascii="Arial"/>
          <w:sz w:val="23"/>
        </w:rPr>
      </w:pPr>
    </w:p>
    <w:p>
      <w:pPr>
        <w:pStyle w:val="BodyText"/>
        <w:spacing w:line="247" w:lineRule="auto"/>
        <w:ind w:left="117" w:right="114" w:firstLine="283"/>
        <w:jc w:val="both"/>
      </w:pPr>
      <w:r>
        <w:rPr>
          <w:color w:val="231F20"/>
        </w:rPr>
        <w:t>Actualmente, la </w:t>
      </w:r>
      <w:r>
        <w:rPr>
          <w:i/>
          <w:color w:val="231F20"/>
        </w:rPr>
        <w:t>Ley de Migración </w:t>
      </w:r>
      <w:r>
        <w:rPr>
          <w:color w:val="231F20"/>
        </w:rPr>
        <w:t>(LM) vigente limita la actuación de los diversos cuerpos policiacos en actividades propias del Instituto Nacio- nal de Migración (INAMI), al establecer que la presentación de los mi- grantes en situación irregular sólo puede realizarse por el propio Instituto de conformidad con la </w:t>
      </w:r>
      <w:r>
        <w:rPr>
          <w:color w:val="231F20"/>
          <w:spacing w:val="-3"/>
        </w:rPr>
        <w:t>ley.</w:t>
      </w:r>
      <w:r>
        <w:rPr>
          <w:color w:val="231F20"/>
          <w:spacing w:val="-3"/>
          <w:position w:val="7"/>
          <w:sz w:val="13"/>
        </w:rPr>
        <w:t>5 </w:t>
      </w:r>
      <w:r>
        <w:rPr>
          <w:color w:val="231F20"/>
        </w:rPr>
        <w:t>Esto se refleja también en el artículo 17 de la LM, con la facultad exclusiva otorgada a las autoridades migratorias para retener la documentación que acredite la identidad o situación migratoria de</w:t>
      </w:r>
      <w:r>
        <w:rPr>
          <w:color w:val="231F20"/>
          <w:spacing w:val="-6"/>
        </w:rPr>
        <w:t> </w:t>
      </w:r>
      <w:r>
        <w:rPr>
          <w:color w:val="231F20"/>
        </w:rPr>
        <w:t>los</w:t>
      </w:r>
      <w:r>
        <w:rPr>
          <w:color w:val="231F20"/>
          <w:spacing w:val="-7"/>
        </w:rPr>
        <w:t> </w:t>
      </w:r>
      <w:r>
        <w:rPr>
          <w:color w:val="231F20"/>
        </w:rPr>
        <w:t>extranjeros</w:t>
      </w:r>
      <w:r>
        <w:rPr>
          <w:color w:val="231F20"/>
          <w:spacing w:val="-7"/>
        </w:rPr>
        <w:t> </w:t>
      </w:r>
      <w:r>
        <w:rPr>
          <w:color w:val="231F20"/>
        </w:rPr>
        <w:t>cuando</w:t>
      </w:r>
      <w:r>
        <w:rPr>
          <w:color w:val="231F20"/>
          <w:spacing w:val="-7"/>
        </w:rPr>
        <w:t> </w:t>
      </w:r>
      <w:r>
        <w:rPr>
          <w:color w:val="231F20"/>
        </w:rPr>
        <w:t>existan</w:t>
      </w:r>
      <w:r>
        <w:rPr>
          <w:color w:val="231F20"/>
          <w:spacing w:val="-7"/>
        </w:rPr>
        <w:t> </w:t>
      </w:r>
      <w:r>
        <w:rPr>
          <w:color w:val="231F20"/>
        </w:rPr>
        <w:t>elementos</w:t>
      </w:r>
      <w:r>
        <w:rPr>
          <w:color w:val="231F20"/>
          <w:spacing w:val="-7"/>
        </w:rPr>
        <w:t> </w:t>
      </w:r>
      <w:r>
        <w:rPr>
          <w:color w:val="231F20"/>
        </w:rPr>
        <w:t>para</w:t>
      </w:r>
      <w:r>
        <w:rPr>
          <w:color w:val="231F20"/>
          <w:spacing w:val="-6"/>
        </w:rPr>
        <w:t> </w:t>
      </w:r>
      <w:r>
        <w:rPr>
          <w:color w:val="231F20"/>
        </w:rPr>
        <w:t>presumir</w:t>
      </w:r>
      <w:r>
        <w:rPr>
          <w:color w:val="231F20"/>
          <w:spacing w:val="-6"/>
        </w:rPr>
        <w:t> </w:t>
      </w:r>
      <w:r>
        <w:rPr>
          <w:color w:val="231F20"/>
        </w:rPr>
        <w:t>que</w:t>
      </w:r>
      <w:r>
        <w:rPr>
          <w:color w:val="231F20"/>
          <w:spacing w:val="-6"/>
        </w:rPr>
        <w:t> </w:t>
      </w:r>
      <w:r>
        <w:rPr>
          <w:color w:val="231F20"/>
        </w:rPr>
        <w:t>es</w:t>
      </w:r>
      <w:r>
        <w:rPr>
          <w:color w:val="231F20"/>
          <w:spacing w:val="-6"/>
        </w:rPr>
        <w:t> </w:t>
      </w:r>
      <w:r>
        <w:rPr>
          <w:color w:val="231F20"/>
        </w:rPr>
        <w:t>apócrifa, en cuyo caso deberán hacerlo del conocimiento de las autoridades compe- tentes para que éstas resuelvan lo</w:t>
      </w:r>
      <w:r>
        <w:rPr>
          <w:color w:val="231F20"/>
          <w:spacing w:val="-3"/>
        </w:rPr>
        <w:t> </w:t>
      </w:r>
      <w:r>
        <w:rPr>
          <w:color w:val="231F20"/>
        </w:rPr>
        <w:t>conducente.</w:t>
      </w:r>
    </w:p>
    <w:p>
      <w:pPr>
        <w:pStyle w:val="BodyText"/>
        <w:spacing w:line="247" w:lineRule="auto"/>
        <w:ind w:left="117" w:right="114" w:firstLine="283"/>
        <w:jc w:val="both"/>
        <w:rPr>
          <w:sz w:val="13"/>
        </w:rPr>
      </w:pPr>
      <w:r>
        <w:rPr>
          <w:color w:val="231F20"/>
        </w:rPr>
        <w:t>En este rubro, es relevante el capítulo </w:t>
      </w:r>
      <w:r>
        <w:rPr>
          <w:color w:val="231F20"/>
          <w:sz w:val="15"/>
        </w:rPr>
        <w:t>iii </w:t>
      </w:r>
      <w:r>
        <w:rPr>
          <w:color w:val="231F20"/>
        </w:rPr>
        <w:t>de la </w:t>
      </w:r>
      <w:r>
        <w:rPr>
          <w:i/>
          <w:color w:val="231F20"/>
        </w:rPr>
        <w:t>Ley de Migración</w:t>
      </w:r>
      <w:r>
        <w:rPr>
          <w:color w:val="231F20"/>
        </w:rPr>
        <w:t>, no sólo</w:t>
      </w:r>
      <w:r>
        <w:rPr>
          <w:color w:val="231F20"/>
          <w:spacing w:val="-7"/>
        </w:rPr>
        <w:t> </w:t>
      </w:r>
      <w:r>
        <w:rPr>
          <w:color w:val="231F20"/>
        </w:rPr>
        <w:t>porque</w:t>
      </w:r>
      <w:r>
        <w:rPr>
          <w:color w:val="231F20"/>
          <w:spacing w:val="-7"/>
        </w:rPr>
        <w:t> </w:t>
      </w:r>
      <w:r>
        <w:rPr>
          <w:color w:val="231F20"/>
        </w:rPr>
        <w:t>determina</w:t>
      </w:r>
      <w:r>
        <w:rPr>
          <w:color w:val="231F20"/>
          <w:spacing w:val="-7"/>
        </w:rPr>
        <w:t> </w:t>
      </w:r>
      <w:r>
        <w:rPr>
          <w:color w:val="231F20"/>
        </w:rPr>
        <w:t>quiénes</w:t>
      </w:r>
      <w:r>
        <w:rPr>
          <w:color w:val="231F20"/>
          <w:spacing w:val="-7"/>
        </w:rPr>
        <w:t> </w:t>
      </w:r>
      <w:r>
        <w:rPr>
          <w:color w:val="231F20"/>
        </w:rPr>
        <w:t>son</w:t>
      </w:r>
      <w:r>
        <w:rPr>
          <w:color w:val="231F20"/>
          <w:spacing w:val="-7"/>
        </w:rPr>
        <w:t> </w:t>
      </w:r>
      <w:r>
        <w:rPr>
          <w:color w:val="231F20"/>
        </w:rPr>
        <w:t>las</w:t>
      </w:r>
      <w:r>
        <w:rPr>
          <w:color w:val="231F20"/>
          <w:spacing w:val="-7"/>
        </w:rPr>
        <w:t> </w:t>
      </w:r>
      <w:r>
        <w:rPr>
          <w:color w:val="231F20"/>
        </w:rPr>
        <w:t>autoridades</w:t>
      </w:r>
      <w:r>
        <w:rPr>
          <w:color w:val="231F20"/>
          <w:spacing w:val="-8"/>
        </w:rPr>
        <w:t> </w:t>
      </w:r>
      <w:r>
        <w:rPr>
          <w:color w:val="231F20"/>
        </w:rPr>
        <w:t>de</w:t>
      </w:r>
      <w:r>
        <w:rPr>
          <w:color w:val="231F20"/>
          <w:spacing w:val="-7"/>
        </w:rPr>
        <w:t> </w:t>
      </w:r>
      <w:r>
        <w:rPr>
          <w:color w:val="231F20"/>
        </w:rPr>
        <w:t>auxiliares</w:t>
      </w:r>
      <w:r>
        <w:rPr>
          <w:color w:val="231F20"/>
          <w:spacing w:val="-7"/>
        </w:rPr>
        <w:t> </w:t>
      </w:r>
      <w:r>
        <w:rPr>
          <w:color w:val="231F20"/>
        </w:rPr>
        <w:t>en</w:t>
      </w:r>
      <w:r>
        <w:rPr>
          <w:color w:val="231F20"/>
          <w:spacing w:val="-7"/>
        </w:rPr>
        <w:t> </w:t>
      </w:r>
      <w:r>
        <w:rPr>
          <w:color w:val="231F20"/>
        </w:rPr>
        <w:t>materia migratoria, sino que además señala las funciones de cada organismo. Es  el caso de la Procuraduría General de la República (PGR), a la cual co- rresponde entre otras cosas: promover la formación y especialización de Agentes de la Policía Federal Ministerial, Agentes del Ministerio Público y Oficiales Ministeriales en materia de derechos humanos, proporcionar   a los migrantes orientación y asesoría, proporcionar información sobre el número de averiguaciones previas y procesos penales en las que las vícti- mas sean migrantes y celebrar convenios de cooperación y coordinación para lograr la eficaz investigación y persecución de los delitos cuando los migrantes sean</w:t>
      </w:r>
      <w:r>
        <w:rPr>
          <w:color w:val="231F20"/>
          <w:spacing w:val="-6"/>
        </w:rPr>
        <w:t> </w:t>
      </w:r>
      <w:r>
        <w:rPr>
          <w:color w:val="231F20"/>
        </w:rPr>
        <w:t>víctimas.</w:t>
      </w:r>
      <w:r>
        <w:rPr>
          <w:color w:val="231F20"/>
          <w:position w:val="7"/>
          <w:sz w:val="13"/>
        </w:rPr>
        <w:t>6</w:t>
      </w:r>
    </w:p>
    <w:p>
      <w:pPr>
        <w:pStyle w:val="BodyText"/>
        <w:spacing w:line="247" w:lineRule="auto"/>
        <w:ind w:left="117" w:right="114" w:firstLine="283"/>
        <w:jc w:val="both"/>
      </w:pPr>
      <w:r>
        <w:rPr>
          <w:color w:val="231F20"/>
        </w:rPr>
        <w:t>Una de las críticas a la Ley General de Población (LGP) era la falta de estipulación en relación a la necesaria presencia de la Comisión Nacional de Derechos Humanos (CNDH) en las visitas de verificación y revisión migratoria,</w:t>
      </w:r>
      <w:r>
        <w:rPr>
          <w:color w:val="231F20"/>
          <w:spacing w:val="-7"/>
        </w:rPr>
        <w:t> </w:t>
      </w:r>
      <w:r>
        <w:rPr>
          <w:color w:val="231F20"/>
        </w:rPr>
        <w:t>porque</w:t>
      </w:r>
      <w:r>
        <w:rPr>
          <w:color w:val="231F20"/>
          <w:spacing w:val="-6"/>
        </w:rPr>
        <w:t> </w:t>
      </w:r>
      <w:r>
        <w:rPr>
          <w:color w:val="231F20"/>
        </w:rPr>
        <w:t>es</w:t>
      </w:r>
      <w:r>
        <w:rPr>
          <w:color w:val="231F20"/>
          <w:spacing w:val="-6"/>
        </w:rPr>
        <w:t> </w:t>
      </w:r>
      <w:r>
        <w:rPr>
          <w:color w:val="231F20"/>
        </w:rPr>
        <w:t>cuando</w:t>
      </w:r>
      <w:r>
        <w:rPr>
          <w:color w:val="231F20"/>
          <w:spacing w:val="-7"/>
        </w:rPr>
        <w:t> </w:t>
      </w:r>
      <w:r>
        <w:rPr>
          <w:color w:val="231F20"/>
        </w:rPr>
        <w:t>ocurría</w:t>
      </w:r>
      <w:r>
        <w:rPr>
          <w:color w:val="231F20"/>
          <w:spacing w:val="-7"/>
        </w:rPr>
        <w:t> </w:t>
      </w:r>
      <w:r>
        <w:rPr>
          <w:color w:val="231F20"/>
        </w:rPr>
        <w:t>un</w:t>
      </w:r>
      <w:r>
        <w:rPr>
          <w:color w:val="231F20"/>
          <w:spacing w:val="-6"/>
        </w:rPr>
        <w:t> </w:t>
      </w:r>
      <w:r>
        <w:rPr>
          <w:color w:val="231F20"/>
        </w:rPr>
        <w:t>número</w:t>
      </w:r>
      <w:r>
        <w:rPr>
          <w:color w:val="231F20"/>
          <w:spacing w:val="-6"/>
        </w:rPr>
        <w:t> </w:t>
      </w:r>
      <w:r>
        <w:rPr>
          <w:color w:val="231F20"/>
        </w:rPr>
        <w:t>importante</w:t>
      </w:r>
      <w:r>
        <w:rPr>
          <w:color w:val="231F20"/>
          <w:spacing w:val="-7"/>
        </w:rPr>
        <w:t> </w:t>
      </w:r>
      <w:r>
        <w:rPr>
          <w:color w:val="231F20"/>
        </w:rPr>
        <w:t>de</w:t>
      </w:r>
      <w:r>
        <w:rPr>
          <w:color w:val="231F20"/>
          <w:spacing w:val="-6"/>
        </w:rPr>
        <w:t> </w:t>
      </w:r>
      <w:r>
        <w:rPr>
          <w:color w:val="231F20"/>
        </w:rPr>
        <w:t>violaciones a</w:t>
      </w:r>
      <w:r>
        <w:rPr>
          <w:color w:val="231F20"/>
          <w:spacing w:val="28"/>
        </w:rPr>
        <w:t> </w:t>
      </w:r>
      <w:r>
        <w:rPr>
          <w:color w:val="231F20"/>
        </w:rPr>
        <w:t>los</w:t>
      </w:r>
      <w:r>
        <w:rPr>
          <w:color w:val="231F20"/>
          <w:spacing w:val="27"/>
        </w:rPr>
        <w:t> </w:t>
      </w:r>
      <w:r>
        <w:rPr>
          <w:color w:val="231F20"/>
        </w:rPr>
        <w:t>derechos</w:t>
      </w:r>
      <w:r>
        <w:rPr>
          <w:color w:val="231F20"/>
          <w:spacing w:val="28"/>
        </w:rPr>
        <w:t> </w:t>
      </w:r>
      <w:r>
        <w:rPr>
          <w:color w:val="231F20"/>
        </w:rPr>
        <w:t>de</w:t>
      </w:r>
      <w:r>
        <w:rPr>
          <w:color w:val="231F20"/>
          <w:spacing w:val="28"/>
        </w:rPr>
        <w:t> </w:t>
      </w:r>
      <w:r>
        <w:rPr>
          <w:color w:val="231F20"/>
        </w:rPr>
        <w:t>los</w:t>
      </w:r>
      <w:r>
        <w:rPr>
          <w:color w:val="231F20"/>
          <w:spacing w:val="27"/>
        </w:rPr>
        <w:t> </w:t>
      </w:r>
      <w:r>
        <w:rPr>
          <w:color w:val="231F20"/>
        </w:rPr>
        <w:t>migrantes</w:t>
      </w:r>
      <w:r>
        <w:rPr>
          <w:color w:val="231F20"/>
          <w:spacing w:val="27"/>
        </w:rPr>
        <w:t> </w:t>
      </w:r>
      <w:r>
        <w:rPr>
          <w:color w:val="231F20"/>
        </w:rPr>
        <w:t>al</w:t>
      </w:r>
      <w:r>
        <w:rPr>
          <w:color w:val="231F20"/>
          <w:spacing w:val="27"/>
        </w:rPr>
        <w:t> </w:t>
      </w:r>
      <w:r>
        <w:rPr>
          <w:color w:val="231F20"/>
        </w:rPr>
        <w:t>intervenir</w:t>
      </w:r>
      <w:r>
        <w:rPr>
          <w:color w:val="231F20"/>
          <w:spacing w:val="27"/>
        </w:rPr>
        <w:t> </w:t>
      </w:r>
      <w:r>
        <w:rPr>
          <w:color w:val="231F20"/>
        </w:rPr>
        <w:t>cuerpos</w:t>
      </w:r>
      <w:r>
        <w:rPr>
          <w:color w:val="231F20"/>
          <w:spacing w:val="27"/>
        </w:rPr>
        <w:t> </w:t>
      </w:r>
      <w:r>
        <w:rPr>
          <w:color w:val="231F20"/>
        </w:rPr>
        <w:t>policiacos</w:t>
      </w:r>
      <w:r>
        <w:rPr>
          <w:color w:val="231F20"/>
          <w:spacing w:val="28"/>
        </w:rPr>
        <w:t> </w:t>
      </w:r>
      <w:r>
        <w:rPr>
          <w:color w:val="231F20"/>
        </w:rPr>
        <w:t>que</w:t>
      </w:r>
      <w:r>
        <w:rPr>
          <w:color w:val="231F20"/>
          <w:spacing w:val="28"/>
        </w:rPr>
        <w:t> </w:t>
      </w:r>
      <w:r>
        <w:rPr>
          <w:color w:val="231F20"/>
        </w:rPr>
        <w:t>no</w:t>
      </w:r>
    </w:p>
    <w:p>
      <w:pPr>
        <w:pStyle w:val="BodyText"/>
        <w:rPr>
          <w:sz w:val="12"/>
        </w:rPr>
      </w:pPr>
      <w:r>
        <w:rPr/>
        <w:pict>
          <v:line style="position:absolute;mso-position-horizontal-relative:page;mso-position-vertical-relative:paragraph;z-index:8344;mso-wrap-distance-left:0;mso-wrap-distance-right:0" from="70.866096pt,9.225253pt" to="142.866096pt,9.225253pt" stroked="true" strokeweight=".75pt" strokecolor="#231f20">
            <w10:wrap type="topAndBottom"/>
          </v:line>
        </w:pict>
      </w:r>
    </w:p>
    <w:p>
      <w:pPr>
        <w:spacing w:line="158" w:lineRule="exact" w:before="0"/>
        <w:ind w:left="117" w:right="117" w:firstLine="0"/>
        <w:jc w:val="left"/>
        <w:rPr>
          <w:sz w:val="17"/>
        </w:rPr>
      </w:pPr>
      <w:r>
        <w:rPr>
          <w:color w:val="231F20"/>
          <w:position w:val="6"/>
          <w:sz w:val="10"/>
        </w:rPr>
        <w:t>5 </w:t>
      </w:r>
      <w:r>
        <w:rPr>
          <w:color w:val="231F20"/>
          <w:sz w:val="17"/>
        </w:rPr>
        <w:t>Artículo 68 de la LM.</w:t>
      </w:r>
    </w:p>
    <w:p>
      <w:pPr>
        <w:spacing w:line="183" w:lineRule="exact" w:before="0"/>
        <w:ind w:left="117" w:right="117" w:firstLine="0"/>
        <w:jc w:val="left"/>
        <w:rPr>
          <w:sz w:val="17"/>
        </w:rPr>
      </w:pPr>
      <w:r>
        <w:rPr>
          <w:color w:val="231F20"/>
          <w:position w:val="6"/>
          <w:sz w:val="10"/>
        </w:rPr>
        <w:t>6 </w:t>
      </w:r>
      <w:r>
        <w:rPr>
          <w:color w:val="231F20"/>
          <w:sz w:val="17"/>
        </w:rPr>
        <w:t>Artículo 28 de la LM.</w:t>
      </w:r>
    </w:p>
    <w:p>
      <w:pPr>
        <w:spacing w:after="0" w:line="183" w:lineRule="exact"/>
        <w:jc w:val="left"/>
        <w:rPr>
          <w:sz w:val="17"/>
        </w:rPr>
        <w:sectPr>
          <w:pgSz w:w="9360" w:h="13040"/>
          <w:pgMar w:header="0" w:footer="496" w:top="740" w:bottom="680" w:left="1300" w:right="1300"/>
        </w:sectPr>
      </w:pPr>
    </w:p>
    <w:p>
      <w:pPr>
        <w:tabs>
          <w:tab w:pos="5536" w:val="left" w:leader="none"/>
        </w:tabs>
        <w:spacing w:before="51"/>
        <w:ind w:left="117" w:right="0" w:firstLine="11"/>
        <w:jc w:val="both"/>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116"/>
        <w:jc w:val="both"/>
      </w:pPr>
      <w:r>
        <w:rPr>
          <w:color w:val="231F20"/>
        </w:rPr>
        <w:t>tenían conocimiento ni preparación respecto del trato que debían procu- rar a este grupo vulnerable. El contenido del artículo 198 del Reglamento de la </w:t>
      </w:r>
      <w:r>
        <w:rPr>
          <w:i/>
          <w:color w:val="231F20"/>
        </w:rPr>
        <w:t>Ley de Migración </w:t>
      </w:r>
      <w:r>
        <w:rPr>
          <w:color w:val="231F20"/>
        </w:rPr>
        <w:t>resolvió esta problemática al facultar a la autori- dad migratoria para solicitar la participación de la PGR y la CNDH en el desahogo de las visitas de verificación y revisión migratoria. Empero, es importante mencionar que la autoridad migratoria está facultada para soli- citar la colaboración de otras autoridades, distintas a la migratoria,</w:t>
      </w:r>
      <w:r>
        <w:rPr>
          <w:color w:val="231F20"/>
          <w:spacing w:val="-23"/>
        </w:rPr>
        <w:t> </w:t>
      </w:r>
      <w:r>
        <w:rPr>
          <w:color w:val="231F20"/>
        </w:rPr>
        <w:t>cuando exista</w:t>
      </w:r>
      <w:r>
        <w:rPr>
          <w:color w:val="231F20"/>
          <w:spacing w:val="-6"/>
        </w:rPr>
        <w:t> </w:t>
      </w:r>
      <w:r>
        <w:rPr>
          <w:color w:val="231F20"/>
        </w:rPr>
        <w:t>la</w:t>
      </w:r>
      <w:r>
        <w:rPr>
          <w:color w:val="231F20"/>
          <w:spacing w:val="-6"/>
        </w:rPr>
        <w:t> </w:t>
      </w:r>
      <w:r>
        <w:rPr>
          <w:color w:val="231F20"/>
        </w:rPr>
        <w:t>presunción</w:t>
      </w:r>
      <w:r>
        <w:rPr>
          <w:color w:val="231F20"/>
          <w:spacing w:val="-6"/>
        </w:rPr>
        <w:t> </w:t>
      </w:r>
      <w:r>
        <w:rPr>
          <w:color w:val="231F20"/>
        </w:rPr>
        <w:t>de</w:t>
      </w:r>
      <w:r>
        <w:rPr>
          <w:color w:val="231F20"/>
          <w:spacing w:val="-6"/>
        </w:rPr>
        <w:t> </w:t>
      </w:r>
      <w:r>
        <w:rPr>
          <w:color w:val="231F20"/>
        </w:rPr>
        <w:t>riesgo</w:t>
      </w:r>
      <w:r>
        <w:rPr>
          <w:color w:val="231F20"/>
          <w:spacing w:val="-6"/>
        </w:rPr>
        <w:t> </w:t>
      </w:r>
      <w:r>
        <w:rPr>
          <w:color w:val="231F20"/>
        </w:rPr>
        <w:t>respecto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integridad</w:t>
      </w:r>
      <w:r>
        <w:rPr>
          <w:color w:val="231F20"/>
          <w:spacing w:val="-7"/>
        </w:rPr>
        <w:t> </w:t>
      </w:r>
      <w:r>
        <w:rPr>
          <w:color w:val="231F20"/>
        </w:rPr>
        <w:t>de</w:t>
      </w:r>
      <w:r>
        <w:rPr>
          <w:color w:val="231F20"/>
          <w:spacing w:val="-6"/>
        </w:rPr>
        <w:t> </w:t>
      </w:r>
      <w:r>
        <w:rPr>
          <w:color w:val="231F20"/>
        </w:rPr>
        <w:t>los</w:t>
      </w:r>
      <w:r>
        <w:rPr>
          <w:color w:val="231F20"/>
          <w:spacing w:val="-6"/>
        </w:rPr>
        <w:t> </w:t>
      </w:r>
      <w:r>
        <w:rPr>
          <w:color w:val="231F20"/>
        </w:rPr>
        <w:t>extranjeros</w:t>
      </w:r>
      <w:r>
        <w:rPr>
          <w:color w:val="231F20"/>
          <w:spacing w:val="-7"/>
        </w:rPr>
        <w:t> </w:t>
      </w:r>
      <w:r>
        <w:rPr>
          <w:color w:val="231F20"/>
        </w:rPr>
        <w:t>o personal del Instituto que actúe en dichas</w:t>
      </w:r>
      <w:r>
        <w:rPr>
          <w:color w:val="231F20"/>
          <w:spacing w:val="-2"/>
        </w:rPr>
        <w:t> </w:t>
      </w:r>
      <w:r>
        <w:rPr>
          <w:color w:val="231F20"/>
        </w:rPr>
        <w:t>diligencias.</w:t>
      </w:r>
    </w:p>
    <w:p>
      <w:pPr>
        <w:pStyle w:val="BodyText"/>
        <w:spacing w:line="247" w:lineRule="auto"/>
        <w:ind w:left="117" w:right="115" w:firstLine="283"/>
        <w:jc w:val="both"/>
      </w:pPr>
      <w:r>
        <w:rPr>
          <w:color w:val="231F20"/>
        </w:rPr>
        <w:t>Dentro del </w:t>
      </w:r>
      <w:r>
        <w:rPr>
          <w:i/>
          <w:color w:val="231F20"/>
        </w:rPr>
        <w:t>corpus </w:t>
      </w:r>
      <w:r>
        <w:rPr>
          <w:color w:val="231F20"/>
        </w:rPr>
        <w:t>de la </w:t>
      </w:r>
      <w:r>
        <w:rPr>
          <w:i/>
          <w:color w:val="231F20"/>
        </w:rPr>
        <w:t>Ley de Migración</w:t>
      </w:r>
      <w:r>
        <w:rPr>
          <w:color w:val="231F20"/>
        </w:rPr>
        <w:t>, específicamente en su artí- culo 81, encontramos la presencia de la Policía Federal en las acciones de control migratorio,</w:t>
      </w:r>
      <w:r>
        <w:rPr>
          <w:color w:val="231F20"/>
          <w:position w:val="7"/>
          <w:sz w:val="13"/>
        </w:rPr>
        <w:t>7 </w:t>
      </w:r>
      <w:r>
        <w:rPr>
          <w:color w:val="231F20"/>
        </w:rPr>
        <w:t>ello abre la puerta para que las violaciones en contra de los grupos de indocumentados continúen, con todo y que la actuación de dicha corporación esté limitada a la solicitud expresa del INAMI y a la observancia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principios</w:t>
      </w:r>
      <w:r>
        <w:rPr>
          <w:color w:val="231F20"/>
          <w:spacing w:val="-9"/>
        </w:rPr>
        <w:t> </w:t>
      </w:r>
      <w:r>
        <w:rPr>
          <w:color w:val="231F20"/>
        </w:rPr>
        <w:t>del</w:t>
      </w:r>
      <w:r>
        <w:rPr>
          <w:color w:val="231F20"/>
          <w:spacing w:val="-9"/>
        </w:rPr>
        <w:t> </w:t>
      </w:r>
      <w:r>
        <w:rPr>
          <w:color w:val="231F20"/>
        </w:rPr>
        <w:t>artículo</w:t>
      </w:r>
      <w:r>
        <w:rPr>
          <w:color w:val="231F20"/>
          <w:spacing w:val="-9"/>
        </w:rPr>
        <w:t> </w:t>
      </w:r>
      <w:r>
        <w:rPr>
          <w:color w:val="231F20"/>
        </w:rPr>
        <w:t>22</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multicitada</w:t>
      </w:r>
      <w:r>
        <w:rPr>
          <w:color w:val="231F20"/>
          <w:spacing w:val="-10"/>
        </w:rPr>
        <w:t> </w:t>
      </w:r>
      <w:r>
        <w:rPr>
          <w:color w:val="231F20"/>
          <w:spacing w:val="-4"/>
        </w:rPr>
        <w:t>ley,</w:t>
      </w:r>
      <w:r>
        <w:rPr>
          <w:color w:val="231F20"/>
          <w:spacing w:val="-9"/>
        </w:rPr>
        <w:t> </w:t>
      </w:r>
      <w:r>
        <w:rPr>
          <w:color w:val="231F20"/>
        </w:rPr>
        <w:t>que</w:t>
      </w:r>
      <w:r>
        <w:rPr>
          <w:color w:val="231F20"/>
          <w:spacing w:val="-9"/>
        </w:rPr>
        <w:t> </w:t>
      </w:r>
      <w:r>
        <w:rPr>
          <w:color w:val="231F20"/>
        </w:rPr>
        <w:t>dice: “La actuación de los servidores públicos del Instituto se sujetará, invaria- blemente,</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principios</w:t>
      </w:r>
      <w:r>
        <w:rPr>
          <w:color w:val="231F20"/>
          <w:spacing w:val="-11"/>
        </w:rPr>
        <w:t> </w:t>
      </w:r>
      <w:r>
        <w:rPr>
          <w:color w:val="231F20"/>
        </w:rPr>
        <w:t>de</w:t>
      </w:r>
      <w:r>
        <w:rPr>
          <w:color w:val="231F20"/>
          <w:spacing w:val="-11"/>
        </w:rPr>
        <w:t> </w:t>
      </w:r>
      <w:r>
        <w:rPr>
          <w:color w:val="231F20"/>
        </w:rPr>
        <w:t>legalidad,</w:t>
      </w:r>
      <w:r>
        <w:rPr>
          <w:color w:val="231F20"/>
          <w:spacing w:val="-11"/>
        </w:rPr>
        <w:t> </w:t>
      </w:r>
      <w:r>
        <w:rPr>
          <w:color w:val="231F20"/>
        </w:rPr>
        <w:t>objetividad,</w:t>
      </w:r>
      <w:r>
        <w:rPr>
          <w:color w:val="231F20"/>
          <w:spacing w:val="-11"/>
        </w:rPr>
        <w:t> </w:t>
      </w:r>
      <w:r>
        <w:rPr>
          <w:color w:val="231F20"/>
        </w:rPr>
        <w:t>eficacia,</w:t>
      </w:r>
      <w:r>
        <w:rPr>
          <w:color w:val="231F20"/>
          <w:spacing w:val="-11"/>
        </w:rPr>
        <w:t> </w:t>
      </w:r>
      <w:r>
        <w:rPr>
          <w:color w:val="231F20"/>
        </w:rPr>
        <w:t>profesionalis- mo, honradez y respeto a los derechos</w:t>
      </w:r>
      <w:r>
        <w:rPr>
          <w:color w:val="231F20"/>
          <w:spacing w:val="-2"/>
        </w:rPr>
        <w:t> </w:t>
      </w:r>
      <w:r>
        <w:rPr>
          <w:color w:val="231F20"/>
        </w:rPr>
        <w:t>humanos.”</w:t>
      </w:r>
    </w:p>
    <w:p>
      <w:pPr>
        <w:pStyle w:val="BodyText"/>
        <w:spacing w:line="247" w:lineRule="auto"/>
        <w:ind w:left="117" w:right="115" w:firstLine="283"/>
        <w:jc w:val="both"/>
      </w:pPr>
      <w:r>
        <w:rPr>
          <w:color w:val="231F20"/>
        </w:rPr>
        <w:t>Otra crítica reiterada a la LGP</w:t>
      </w:r>
      <w:r>
        <w:rPr>
          <w:color w:val="231F20"/>
          <w:spacing w:val="-40"/>
        </w:rPr>
        <w:t> </w:t>
      </w:r>
      <w:r>
        <w:rPr>
          <w:color w:val="231F20"/>
        </w:rPr>
        <w:t>radicaba en las facultades discrecionales que tenían las autoridades migratorias para decidir sobre el ingreso, estan- cia, permanencia y salida de un extranjero del país, lo cual representaba una</w:t>
      </w:r>
      <w:r>
        <w:rPr>
          <w:color w:val="231F20"/>
          <w:spacing w:val="-8"/>
        </w:rPr>
        <w:t> </w:t>
      </w:r>
      <w:r>
        <w:rPr>
          <w:color w:val="231F20"/>
        </w:rPr>
        <w:t>transgresión</w:t>
      </w:r>
      <w:r>
        <w:rPr>
          <w:color w:val="231F20"/>
          <w:spacing w:val="-8"/>
        </w:rPr>
        <w:t> </w:t>
      </w:r>
      <w:r>
        <w:rPr>
          <w:color w:val="231F20"/>
        </w:rPr>
        <w:t>a</w:t>
      </w:r>
      <w:r>
        <w:rPr>
          <w:color w:val="231F20"/>
          <w:spacing w:val="-8"/>
        </w:rPr>
        <w:t> </w:t>
      </w:r>
      <w:r>
        <w:rPr>
          <w:color w:val="231F20"/>
        </w:rPr>
        <w:t>sus</w:t>
      </w:r>
      <w:r>
        <w:rPr>
          <w:color w:val="231F20"/>
          <w:spacing w:val="-8"/>
        </w:rPr>
        <w:t> </w:t>
      </w:r>
      <w:r>
        <w:rPr>
          <w:color w:val="231F20"/>
        </w:rPr>
        <w:t>derechos</w:t>
      </w:r>
      <w:r>
        <w:rPr>
          <w:color w:val="231F20"/>
          <w:spacing w:val="-8"/>
        </w:rPr>
        <w:t> </w:t>
      </w:r>
      <w:r>
        <w:rPr>
          <w:color w:val="231F20"/>
        </w:rPr>
        <w:t>humanos</w:t>
      </w:r>
      <w:r>
        <w:rPr>
          <w:color w:val="231F20"/>
          <w:spacing w:val="-8"/>
        </w:rPr>
        <w:t> </w:t>
      </w:r>
      <w:r>
        <w:rPr>
          <w:color w:val="231F20"/>
        </w:rPr>
        <w:t>ante</w:t>
      </w:r>
      <w:r>
        <w:rPr>
          <w:color w:val="231F20"/>
          <w:spacing w:val="-8"/>
        </w:rPr>
        <w:t> </w:t>
      </w:r>
      <w:r>
        <w:rPr>
          <w:color w:val="231F20"/>
        </w:rPr>
        <w:t>la</w:t>
      </w:r>
      <w:r>
        <w:rPr>
          <w:color w:val="231F20"/>
          <w:spacing w:val="-8"/>
        </w:rPr>
        <w:t> </w:t>
      </w:r>
      <w:r>
        <w:rPr>
          <w:color w:val="231F20"/>
        </w:rPr>
        <w:t>atribución</w:t>
      </w:r>
      <w:r>
        <w:rPr>
          <w:color w:val="231F20"/>
          <w:spacing w:val="-8"/>
        </w:rPr>
        <w:t> </w:t>
      </w:r>
      <w:r>
        <w:rPr>
          <w:color w:val="231F20"/>
        </w:rPr>
        <w:t>otorgada</w:t>
      </w:r>
      <w:r>
        <w:rPr>
          <w:color w:val="231F20"/>
          <w:spacing w:val="-8"/>
        </w:rPr>
        <w:t> </w:t>
      </w:r>
      <w:r>
        <w:rPr>
          <w:color w:val="231F20"/>
        </w:rPr>
        <w:t>por</w:t>
      </w:r>
      <w:r>
        <w:rPr>
          <w:color w:val="231F20"/>
          <w:spacing w:val="-8"/>
        </w:rPr>
        <w:t> </w:t>
      </w:r>
      <w:r>
        <w:rPr>
          <w:color w:val="231F20"/>
        </w:rPr>
        <w:t>la ley</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administración</w:t>
      </w:r>
      <w:r>
        <w:rPr>
          <w:color w:val="231F20"/>
          <w:spacing w:val="-9"/>
        </w:rPr>
        <w:t> </w:t>
      </w:r>
      <w:r>
        <w:rPr>
          <w:color w:val="231F20"/>
        </w:rPr>
        <w:t>pública</w:t>
      </w:r>
      <w:r>
        <w:rPr>
          <w:color w:val="231F20"/>
          <w:spacing w:val="-8"/>
        </w:rPr>
        <w:t> </w:t>
      </w:r>
      <w:r>
        <w:rPr>
          <w:color w:val="231F20"/>
        </w:rPr>
        <w:t>que</w:t>
      </w:r>
      <w:r>
        <w:rPr>
          <w:color w:val="231F20"/>
          <w:spacing w:val="-8"/>
        </w:rPr>
        <w:t> </w:t>
      </w:r>
      <w:r>
        <w:rPr>
          <w:color w:val="231F20"/>
        </w:rPr>
        <w:t>le</w:t>
      </w:r>
      <w:r>
        <w:rPr>
          <w:color w:val="231F20"/>
          <w:spacing w:val="-8"/>
        </w:rPr>
        <w:t> </w:t>
      </w:r>
      <w:r>
        <w:rPr>
          <w:color w:val="231F20"/>
        </w:rPr>
        <w:t>permitía</w:t>
      </w:r>
      <w:r>
        <w:rPr>
          <w:color w:val="231F20"/>
          <w:spacing w:val="-8"/>
        </w:rPr>
        <w:t> </w:t>
      </w:r>
      <w:r>
        <w:rPr>
          <w:color w:val="231F20"/>
        </w:rPr>
        <w:t>regular</w:t>
      </w:r>
      <w:r>
        <w:rPr>
          <w:color w:val="231F20"/>
          <w:spacing w:val="-8"/>
        </w:rPr>
        <w:t> </w:t>
      </w:r>
      <w:r>
        <w:rPr>
          <w:color w:val="231F20"/>
        </w:rPr>
        <w:t>y</w:t>
      </w:r>
      <w:r>
        <w:rPr>
          <w:color w:val="231F20"/>
          <w:spacing w:val="-8"/>
        </w:rPr>
        <w:t> </w:t>
      </w:r>
      <w:r>
        <w:rPr>
          <w:color w:val="231F20"/>
        </w:rPr>
        <w:t>resolver,</w:t>
      </w:r>
      <w:r>
        <w:rPr>
          <w:color w:val="231F20"/>
          <w:spacing w:val="-8"/>
        </w:rPr>
        <w:t> </w:t>
      </w:r>
      <w:r>
        <w:rPr>
          <w:color w:val="231F20"/>
        </w:rPr>
        <w:t>de</w:t>
      </w:r>
      <w:r>
        <w:rPr>
          <w:color w:val="231F20"/>
          <w:spacing w:val="-8"/>
        </w:rPr>
        <w:t> </w:t>
      </w:r>
      <w:r>
        <w:rPr>
          <w:color w:val="231F20"/>
        </w:rPr>
        <w:t>acuer- do</w:t>
      </w:r>
      <w:r>
        <w:rPr>
          <w:color w:val="231F20"/>
          <w:spacing w:val="-8"/>
        </w:rPr>
        <w:t> </w:t>
      </w:r>
      <w:r>
        <w:rPr>
          <w:color w:val="231F20"/>
        </w:rPr>
        <w:t>con</w:t>
      </w:r>
      <w:r>
        <w:rPr>
          <w:color w:val="231F20"/>
          <w:spacing w:val="-7"/>
        </w:rPr>
        <w:t> </w:t>
      </w:r>
      <w:r>
        <w:rPr>
          <w:color w:val="231F20"/>
        </w:rPr>
        <w:t>su</w:t>
      </w:r>
      <w:r>
        <w:rPr>
          <w:color w:val="231F20"/>
          <w:spacing w:val="-7"/>
        </w:rPr>
        <w:t> </w:t>
      </w:r>
      <w:r>
        <w:rPr>
          <w:color w:val="231F20"/>
        </w:rPr>
        <w:t>libre</w:t>
      </w:r>
      <w:r>
        <w:rPr>
          <w:color w:val="231F20"/>
          <w:spacing w:val="-8"/>
        </w:rPr>
        <w:t> </w:t>
      </w:r>
      <w:r>
        <w:rPr>
          <w:color w:val="231F20"/>
        </w:rPr>
        <w:t>albedrio,</w:t>
      </w:r>
      <w:r>
        <w:rPr>
          <w:color w:val="231F20"/>
          <w:spacing w:val="-8"/>
        </w:rPr>
        <w:t> </w:t>
      </w:r>
      <w:r>
        <w:rPr>
          <w:color w:val="231F20"/>
        </w:rPr>
        <w:t>estos</w:t>
      </w:r>
      <w:r>
        <w:rPr>
          <w:color w:val="231F20"/>
          <w:spacing w:val="-8"/>
        </w:rPr>
        <w:t> </w:t>
      </w:r>
      <w:r>
        <w:rPr>
          <w:color w:val="231F20"/>
        </w:rPr>
        <w:t>asuntos.</w:t>
      </w:r>
      <w:r>
        <w:rPr>
          <w:color w:val="231F20"/>
          <w:spacing w:val="-19"/>
        </w:rPr>
        <w:t> </w:t>
      </w:r>
      <w:r>
        <w:rPr>
          <w:color w:val="231F20"/>
        </w:rPr>
        <w:t>Actualmente,</w:t>
      </w:r>
      <w:r>
        <w:rPr>
          <w:color w:val="231F20"/>
          <w:spacing w:val="-8"/>
        </w:rPr>
        <w:t> </w:t>
      </w:r>
      <w:r>
        <w:rPr>
          <w:color w:val="231F20"/>
        </w:rPr>
        <w:t>esto</w:t>
      </w:r>
      <w:r>
        <w:rPr>
          <w:color w:val="231F20"/>
          <w:spacing w:val="-8"/>
        </w:rPr>
        <w:t> </w:t>
      </w:r>
      <w:r>
        <w:rPr>
          <w:color w:val="231F20"/>
        </w:rPr>
        <w:t>se</w:t>
      </w:r>
      <w:r>
        <w:rPr>
          <w:color w:val="231F20"/>
          <w:spacing w:val="-8"/>
        </w:rPr>
        <w:t> </w:t>
      </w:r>
      <w:r>
        <w:rPr>
          <w:color w:val="231F20"/>
        </w:rPr>
        <w:t>ha</w:t>
      </w:r>
      <w:r>
        <w:rPr>
          <w:color w:val="231F20"/>
          <w:spacing w:val="-8"/>
        </w:rPr>
        <w:t> </w:t>
      </w:r>
      <w:r>
        <w:rPr>
          <w:color w:val="231F20"/>
        </w:rPr>
        <w:t>modificado con la </w:t>
      </w:r>
      <w:r>
        <w:rPr>
          <w:color w:val="231F20"/>
          <w:w w:val="115"/>
          <w:sz w:val="15"/>
        </w:rPr>
        <w:t>lm </w:t>
      </w:r>
      <w:r>
        <w:rPr>
          <w:color w:val="231F20"/>
        </w:rPr>
        <w:t>y su Reglamento, en los cuales se establecen de manera clara los procedimientos para la autorización de visas, el ingreso al territorio</w:t>
      </w:r>
      <w:r>
        <w:rPr>
          <w:color w:val="231F20"/>
          <w:spacing w:val="-21"/>
        </w:rPr>
        <w:t> </w:t>
      </w:r>
      <w:r>
        <w:rPr>
          <w:color w:val="231F20"/>
        </w:rPr>
        <w:t>nacio- nal, el otorgamiento de la residencia permanente a través de un sistema de puntos, entre</w:t>
      </w:r>
      <w:r>
        <w:rPr>
          <w:color w:val="231F20"/>
          <w:spacing w:val="-1"/>
        </w:rPr>
        <w:t> </w:t>
      </w:r>
      <w:r>
        <w:rPr>
          <w:color w:val="231F20"/>
        </w:rPr>
        <w:t>otros.</w:t>
      </w:r>
    </w:p>
    <w:p>
      <w:pPr>
        <w:pStyle w:val="BodyText"/>
        <w:spacing w:line="247" w:lineRule="auto"/>
        <w:ind w:left="117" w:right="114" w:firstLine="283"/>
        <w:jc w:val="both"/>
      </w:pPr>
      <w:r>
        <w:rPr>
          <w:color w:val="231F20"/>
        </w:rPr>
        <w:t>Finalmente, podemos decir que la nueva legislación migratoria re- presenta un gran adelanto en la salvaguarda de los derechos humanos de los niños y adolescentes indocumentados, al especificar las funciones del INAMI, restringir la actuación de las corporaciones policías, determinar quiénes</w:t>
      </w:r>
      <w:r>
        <w:rPr>
          <w:color w:val="231F20"/>
          <w:spacing w:val="-10"/>
        </w:rPr>
        <w:t> </w:t>
      </w:r>
      <w:r>
        <w:rPr>
          <w:color w:val="231F20"/>
        </w:rPr>
        <w:t>son</w:t>
      </w:r>
      <w:r>
        <w:rPr>
          <w:color w:val="231F20"/>
          <w:spacing w:val="-10"/>
        </w:rPr>
        <w:t> </w:t>
      </w:r>
      <w:r>
        <w:rPr>
          <w:color w:val="231F20"/>
        </w:rPr>
        <w:t>las</w:t>
      </w:r>
      <w:r>
        <w:rPr>
          <w:color w:val="231F20"/>
          <w:spacing w:val="-10"/>
        </w:rPr>
        <w:t> </w:t>
      </w:r>
      <w:r>
        <w:rPr>
          <w:color w:val="231F20"/>
        </w:rPr>
        <w:t>autoridades</w:t>
      </w:r>
      <w:r>
        <w:rPr>
          <w:color w:val="231F20"/>
          <w:spacing w:val="-11"/>
        </w:rPr>
        <w:t> </w:t>
      </w:r>
      <w:r>
        <w:rPr>
          <w:color w:val="231F20"/>
        </w:rPr>
        <w:t>auxiliares</w:t>
      </w:r>
      <w:r>
        <w:rPr>
          <w:color w:val="231F20"/>
          <w:spacing w:val="-11"/>
        </w:rPr>
        <w:t> </w:t>
      </w:r>
      <w:r>
        <w:rPr>
          <w:color w:val="231F20"/>
        </w:rPr>
        <w:t>del</w:t>
      </w:r>
      <w:r>
        <w:rPr>
          <w:color w:val="231F20"/>
          <w:spacing w:val="-10"/>
        </w:rPr>
        <w:t> </w:t>
      </w:r>
      <w:r>
        <w:rPr>
          <w:color w:val="231F20"/>
        </w:rPr>
        <w:t>instituto</w:t>
      </w:r>
      <w:r>
        <w:rPr>
          <w:color w:val="231F20"/>
          <w:spacing w:val="-11"/>
        </w:rPr>
        <w:t> </w:t>
      </w:r>
      <w:r>
        <w:rPr>
          <w:color w:val="231F20"/>
        </w:rPr>
        <w:t>y</w:t>
      </w:r>
      <w:r>
        <w:rPr>
          <w:color w:val="231F20"/>
          <w:spacing w:val="-10"/>
        </w:rPr>
        <w:t> </w:t>
      </w:r>
      <w:r>
        <w:rPr>
          <w:color w:val="231F20"/>
        </w:rPr>
        <w:t>las</w:t>
      </w:r>
      <w:r>
        <w:rPr>
          <w:color w:val="231F20"/>
          <w:spacing w:val="-10"/>
        </w:rPr>
        <w:t> </w:t>
      </w:r>
      <w:r>
        <w:rPr>
          <w:color w:val="231F20"/>
        </w:rPr>
        <w:t>funciones</w:t>
      </w:r>
      <w:r>
        <w:rPr>
          <w:color w:val="231F20"/>
          <w:spacing w:val="-10"/>
        </w:rPr>
        <w:t> </w:t>
      </w:r>
      <w:r>
        <w:rPr>
          <w:color w:val="231F20"/>
        </w:rPr>
        <w:t>que</w:t>
      </w:r>
      <w:r>
        <w:rPr>
          <w:color w:val="231F20"/>
          <w:spacing w:val="-10"/>
        </w:rPr>
        <w:t> </w:t>
      </w:r>
      <w:r>
        <w:rPr>
          <w:color w:val="231F20"/>
        </w:rPr>
        <w:t>cada organismo tiene en la materia y limitar las facultades discrecionales de las autoridades</w:t>
      </w:r>
      <w:r>
        <w:rPr>
          <w:color w:val="231F20"/>
          <w:spacing w:val="-1"/>
        </w:rPr>
        <w:t> </w:t>
      </w:r>
      <w:r>
        <w:rPr>
          <w:color w:val="231F20"/>
        </w:rPr>
        <w:t>migratorias.</w:t>
      </w:r>
    </w:p>
    <w:p>
      <w:pPr>
        <w:pStyle w:val="BodyText"/>
        <w:rPr>
          <w:sz w:val="20"/>
        </w:rPr>
      </w:pPr>
    </w:p>
    <w:p>
      <w:pPr>
        <w:pStyle w:val="BodyText"/>
        <w:spacing w:before="5"/>
        <w:rPr>
          <w:sz w:val="17"/>
        </w:rPr>
      </w:pPr>
      <w:r>
        <w:rPr/>
        <w:pict>
          <v:line style="position:absolute;mso-position-horizontal-relative:page;mso-position-vertical-relative:paragraph;z-index:8368;mso-wrap-distance-left:0;mso-wrap-distance-right:0" from="70.866096pt,12.365436pt" to="142.866096pt,12.365436pt" stroked="true" strokeweight=".75pt" strokecolor="#231f20">
            <w10:wrap type="topAndBottom"/>
          </v:line>
        </w:pict>
      </w:r>
    </w:p>
    <w:p>
      <w:pPr>
        <w:spacing w:line="208" w:lineRule="auto" w:before="0"/>
        <w:ind w:left="117" w:right="115" w:firstLine="0"/>
        <w:jc w:val="both"/>
        <w:rPr>
          <w:sz w:val="17"/>
        </w:rPr>
      </w:pPr>
      <w:r>
        <w:rPr>
          <w:color w:val="231F20"/>
          <w:position w:val="6"/>
          <w:sz w:val="10"/>
        </w:rPr>
        <w:t>7</w:t>
      </w:r>
      <w:r>
        <w:rPr>
          <w:color w:val="231F20"/>
          <w:spacing w:val="11"/>
          <w:position w:val="6"/>
          <w:sz w:val="10"/>
        </w:rPr>
        <w:t> </w:t>
      </w:r>
      <w:r>
        <w:rPr>
          <w:color w:val="231F20"/>
          <w:sz w:val="17"/>
        </w:rPr>
        <w:t>El</w:t>
      </w:r>
      <w:r>
        <w:rPr>
          <w:color w:val="231F20"/>
          <w:spacing w:val="-6"/>
          <w:sz w:val="17"/>
        </w:rPr>
        <w:t> </w:t>
      </w:r>
      <w:r>
        <w:rPr>
          <w:color w:val="231F20"/>
          <w:sz w:val="17"/>
        </w:rPr>
        <w:t>control</w:t>
      </w:r>
      <w:r>
        <w:rPr>
          <w:color w:val="231F20"/>
          <w:spacing w:val="-7"/>
          <w:sz w:val="17"/>
        </w:rPr>
        <w:t> </w:t>
      </w:r>
      <w:r>
        <w:rPr>
          <w:color w:val="231F20"/>
          <w:sz w:val="17"/>
        </w:rPr>
        <w:t>migratorio</w:t>
      </w:r>
      <w:r>
        <w:rPr>
          <w:color w:val="231F20"/>
          <w:spacing w:val="-7"/>
          <w:sz w:val="17"/>
        </w:rPr>
        <w:t> </w:t>
      </w:r>
      <w:r>
        <w:rPr>
          <w:color w:val="231F20"/>
          <w:sz w:val="17"/>
        </w:rPr>
        <w:t>implica</w:t>
      </w:r>
      <w:r>
        <w:rPr>
          <w:color w:val="231F20"/>
          <w:spacing w:val="-7"/>
          <w:sz w:val="17"/>
        </w:rPr>
        <w:t> </w:t>
      </w:r>
      <w:r>
        <w:rPr>
          <w:color w:val="231F20"/>
          <w:sz w:val="17"/>
        </w:rPr>
        <w:t>la</w:t>
      </w:r>
      <w:r>
        <w:rPr>
          <w:color w:val="231F20"/>
          <w:spacing w:val="-7"/>
          <w:sz w:val="17"/>
        </w:rPr>
        <w:t> </w:t>
      </w:r>
      <w:r>
        <w:rPr>
          <w:color w:val="231F20"/>
          <w:sz w:val="17"/>
        </w:rPr>
        <w:t>revisión</w:t>
      </w:r>
      <w:r>
        <w:rPr>
          <w:color w:val="231F20"/>
          <w:spacing w:val="-7"/>
          <w:sz w:val="17"/>
        </w:rPr>
        <w:t> </w:t>
      </w:r>
      <w:r>
        <w:rPr>
          <w:color w:val="231F20"/>
          <w:sz w:val="17"/>
        </w:rPr>
        <w:t>de</w:t>
      </w:r>
      <w:r>
        <w:rPr>
          <w:color w:val="231F20"/>
          <w:spacing w:val="-6"/>
          <w:sz w:val="17"/>
        </w:rPr>
        <w:t> </w:t>
      </w:r>
      <w:r>
        <w:rPr>
          <w:color w:val="231F20"/>
          <w:sz w:val="17"/>
        </w:rPr>
        <w:t>documentación</w:t>
      </w:r>
      <w:r>
        <w:rPr>
          <w:color w:val="231F20"/>
          <w:spacing w:val="-6"/>
          <w:sz w:val="17"/>
        </w:rPr>
        <w:t> </w:t>
      </w:r>
      <w:r>
        <w:rPr>
          <w:color w:val="231F20"/>
          <w:sz w:val="17"/>
        </w:rPr>
        <w:t>de</w:t>
      </w:r>
      <w:r>
        <w:rPr>
          <w:color w:val="231F20"/>
          <w:spacing w:val="-6"/>
          <w:sz w:val="17"/>
        </w:rPr>
        <w:t> </w:t>
      </w:r>
      <w:r>
        <w:rPr>
          <w:color w:val="231F20"/>
          <w:sz w:val="17"/>
        </w:rPr>
        <w:t>personas</w:t>
      </w:r>
      <w:r>
        <w:rPr>
          <w:color w:val="231F20"/>
          <w:spacing w:val="-6"/>
          <w:sz w:val="17"/>
        </w:rPr>
        <w:t> </w:t>
      </w:r>
      <w:r>
        <w:rPr>
          <w:color w:val="231F20"/>
          <w:sz w:val="17"/>
        </w:rPr>
        <w:t>que</w:t>
      </w:r>
      <w:r>
        <w:rPr>
          <w:color w:val="231F20"/>
          <w:spacing w:val="-6"/>
          <w:sz w:val="17"/>
        </w:rPr>
        <w:t> </w:t>
      </w:r>
      <w:r>
        <w:rPr>
          <w:color w:val="231F20"/>
          <w:sz w:val="17"/>
        </w:rPr>
        <w:t>pretendan</w:t>
      </w:r>
      <w:r>
        <w:rPr>
          <w:color w:val="231F20"/>
          <w:spacing w:val="-6"/>
          <w:sz w:val="17"/>
        </w:rPr>
        <w:t> </w:t>
      </w:r>
      <w:r>
        <w:rPr>
          <w:color w:val="231F20"/>
          <w:sz w:val="17"/>
        </w:rPr>
        <w:t>internar- se</w:t>
      </w:r>
      <w:r>
        <w:rPr>
          <w:color w:val="231F20"/>
          <w:spacing w:val="-5"/>
          <w:sz w:val="17"/>
        </w:rPr>
        <w:t> </w:t>
      </w:r>
      <w:r>
        <w:rPr>
          <w:color w:val="231F20"/>
          <w:sz w:val="17"/>
        </w:rPr>
        <w:t>o</w:t>
      </w:r>
      <w:r>
        <w:rPr>
          <w:color w:val="231F20"/>
          <w:spacing w:val="-5"/>
          <w:sz w:val="17"/>
        </w:rPr>
        <w:t> </w:t>
      </w:r>
      <w:r>
        <w:rPr>
          <w:color w:val="231F20"/>
          <w:sz w:val="17"/>
        </w:rPr>
        <w:t>salir</w:t>
      </w:r>
      <w:r>
        <w:rPr>
          <w:color w:val="231F20"/>
          <w:spacing w:val="-5"/>
          <w:sz w:val="17"/>
        </w:rPr>
        <w:t> </w:t>
      </w:r>
      <w:r>
        <w:rPr>
          <w:color w:val="231F20"/>
          <w:sz w:val="17"/>
        </w:rPr>
        <w:t>del</w:t>
      </w:r>
      <w:r>
        <w:rPr>
          <w:color w:val="231F20"/>
          <w:spacing w:val="-5"/>
          <w:sz w:val="17"/>
        </w:rPr>
        <w:t> </w:t>
      </w:r>
      <w:r>
        <w:rPr>
          <w:color w:val="231F20"/>
          <w:sz w:val="17"/>
        </w:rPr>
        <w:t>país;</w:t>
      </w:r>
      <w:r>
        <w:rPr>
          <w:color w:val="231F20"/>
          <w:spacing w:val="-5"/>
          <w:sz w:val="17"/>
        </w:rPr>
        <w:t> </w:t>
      </w:r>
      <w:r>
        <w:rPr>
          <w:color w:val="231F20"/>
          <w:sz w:val="17"/>
        </w:rPr>
        <w:t>así</w:t>
      </w:r>
      <w:r>
        <w:rPr>
          <w:color w:val="231F20"/>
          <w:spacing w:val="-5"/>
          <w:sz w:val="17"/>
        </w:rPr>
        <w:t> </w:t>
      </w:r>
      <w:r>
        <w:rPr>
          <w:color w:val="231F20"/>
          <w:sz w:val="17"/>
        </w:rPr>
        <w:t>como</w:t>
      </w:r>
      <w:r>
        <w:rPr>
          <w:color w:val="231F20"/>
          <w:spacing w:val="-5"/>
          <w:sz w:val="17"/>
        </w:rPr>
        <w:t> </w:t>
      </w:r>
      <w:r>
        <w:rPr>
          <w:color w:val="231F20"/>
          <w:sz w:val="17"/>
        </w:rPr>
        <w:t>la</w:t>
      </w:r>
      <w:r>
        <w:rPr>
          <w:color w:val="231F20"/>
          <w:spacing w:val="-5"/>
          <w:sz w:val="17"/>
        </w:rPr>
        <w:t> </w:t>
      </w:r>
      <w:r>
        <w:rPr>
          <w:color w:val="231F20"/>
          <w:sz w:val="17"/>
        </w:rPr>
        <w:t>inspección</w:t>
      </w:r>
      <w:r>
        <w:rPr>
          <w:color w:val="231F20"/>
          <w:spacing w:val="-5"/>
          <w:sz w:val="17"/>
        </w:rPr>
        <w:t> </w:t>
      </w:r>
      <w:r>
        <w:rPr>
          <w:color w:val="231F20"/>
          <w:sz w:val="17"/>
        </w:rPr>
        <w:t>de</w:t>
      </w:r>
      <w:r>
        <w:rPr>
          <w:color w:val="231F20"/>
          <w:spacing w:val="-5"/>
          <w:sz w:val="17"/>
        </w:rPr>
        <w:t> </w:t>
      </w:r>
      <w:r>
        <w:rPr>
          <w:color w:val="231F20"/>
          <w:sz w:val="17"/>
        </w:rPr>
        <w:t>los</w:t>
      </w:r>
      <w:r>
        <w:rPr>
          <w:color w:val="231F20"/>
          <w:spacing w:val="-5"/>
          <w:sz w:val="17"/>
        </w:rPr>
        <w:t> </w:t>
      </w:r>
      <w:r>
        <w:rPr>
          <w:color w:val="231F20"/>
          <w:sz w:val="17"/>
        </w:rPr>
        <w:t>medios</w:t>
      </w:r>
      <w:r>
        <w:rPr>
          <w:color w:val="231F20"/>
          <w:spacing w:val="-5"/>
          <w:sz w:val="17"/>
        </w:rPr>
        <w:t> </w:t>
      </w:r>
      <w:r>
        <w:rPr>
          <w:color w:val="231F20"/>
          <w:sz w:val="17"/>
        </w:rPr>
        <w:t>de</w:t>
      </w:r>
      <w:r>
        <w:rPr>
          <w:color w:val="231F20"/>
          <w:spacing w:val="-5"/>
          <w:sz w:val="17"/>
        </w:rPr>
        <w:t> </w:t>
      </w:r>
      <w:r>
        <w:rPr>
          <w:color w:val="231F20"/>
          <w:sz w:val="17"/>
        </w:rPr>
        <w:t>transportes</w:t>
      </w:r>
      <w:r>
        <w:rPr>
          <w:color w:val="231F20"/>
          <w:spacing w:val="-5"/>
          <w:sz w:val="17"/>
        </w:rPr>
        <w:t> </w:t>
      </w:r>
      <w:r>
        <w:rPr>
          <w:color w:val="231F20"/>
          <w:sz w:val="17"/>
        </w:rPr>
        <w:t>utilizados</w:t>
      </w:r>
      <w:r>
        <w:rPr>
          <w:color w:val="231F20"/>
          <w:spacing w:val="-5"/>
          <w:sz w:val="17"/>
        </w:rPr>
        <w:t> </w:t>
      </w:r>
      <w:r>
        <w:rPr>
          <w:color w:val="231F20"/>
          <w:sz w:val="17"/>
        </w:rPr>
        <w:t>para</w:t>
      </w:r>
      <w:r>
        <w:rPr>
          <w:color w:val="231F20"/>
          <w:spacing w:val="-5"/>
          <w:sz w:val="17"/>
        </w:rPr>
        <w:t> </w:t>
      </w:r>
      <w:r>
        <w:rPr>
          <w:color w:val="231F20"/>
          <w:sz w:val="17"/>
        </w:rPr>
        <w:t>tales</w:t>
      </w:r>
      <w:r>
        <w:rPr>
          <w:color w:val="231F20"/>
          <w:spacing w:val="-5"/>
          <w:sz w:val="17"/>
        </w:rPr>
        <w:t> </w:t>
      </w:r>
      <w:r>
        <w:rPr>
          <w:color w:val="231F20"/>
          <w:sz w:val="17"/>
        </w:rPr>
        <w:t>fines. Las</w:t>
      </w:r>
      <w:r>
        <w:rPr>
          <w:color w:val="231F20"/>
          <w:spacing w:val="-3"/>
          <w:sz w:val="17"/>
        </w:rPr>
        <w:t> </w:t>
      </w:r>
      <w:r>
        <w:rPr>
          <w:color w:val="231F20"/>
          <w:sz w:val="17"/>
        </w:rPr>
        <w:t>funciones</w:t>
      </w:r>
      <w:r>
        <w:rPr>
          <w:color w:val="231F20"/>
          <w:spacing w:val="-3"/>
          <w:sz w:val="17"/>
        </w:rPr>
        <w:t> </w:t>
      </w:r>
      <w:r>
        <w:rPr>
          <w:color w:val="231F20"/>
          <w:sz w:val="17"/>
        </w:rPr>
        <w:t>de</w:t>
      </w:r>
      <w:r>
        <w:rPr>
          <w:color w:val="231F20"/>
          <w:spacing w:val="-3"/>
          <w:sz w:val="17"/>
        </w:rPr>
        <w:t> </w:t>
      </w:r>
      <w:r>
        <w:rPr>
          <w:color w:val="231F20"/>
          <w:sz w:val="17"/>
        </w:rPr>
        <w:t>control</w:t>
      </w:r>
      <w:r>
        <w:rPr>
          <w:color w:val="231F20"/>
          <w:spacing w:val="-3"/>
          <w:sz w:val="17"/>
        </w:rPr>
        <w:t> </w:t>
      </w:r>
      <w:r>
        <w:rPr>
          <w:color w:val="231F20"/>
          <w:sz w:val="17"/>
        </w:rPr>
        <w:t>migratorio</w:t>
      </w:r>
      <w:r>
        <w:rPr>
          <w:color w:val="231F20"/>
          <w:spacing w:val="-3"/>
          <w:sz w:val="17"/>
        </w:rPr>
        <w:t> </w:t>
      </w:r>
      <w:r>
        <w:rPr>
          <w:color w:val="231F20"/>
          <w:sz w:val="17"/>
        </w:rPr>
        <w:t>pueden</w:t>
      </w:r>
      <w:r>
        <w:rPr>
          <w:color w:val="231F20"/>
          <w:spacing w:val="-3"/>
          <w:sz w:val="17"/>
        </w:rPr>
        <w:t> </w:t>
      </w:r>
      <w:r>
        <w:rPr>
          <w:color w:val="231F20"/>
          <w:sz w:val="17"/>
        </w:rPr>
        <w:t>extenderse</w:t>
      </w:r>
      <w:r>
        <w:rPr>
          <w:color w:val="231F20"/>
          <w:spacing w:val="-3"/>
          <w:sz w:val="17"/>
        </w:rPr>
        <w:t> </w:t>
      </w:r>
      <w:r>
        <w:rPr>
          <w:color w:val="231F20"/>
          <w:sz w:val="17"/>
        </w:rPr>
        <w:t>a</w:t>
      </w:r>
      <w:r>
        <w:rPr>
          <w:color w:val="231F20"/>
          <w:spacing w:val="-3"/>
          <w:sz w:val="17"/>
        </w:rPr>
        <w:t> </w:t>
      </w:r>
      <w:r>
        <w:rPr>
          <w:color w:val="231F20"/>
          <w:sz w:val="17"/>
        </w:rPr>
        <w:t>lugares</w:t>
      </w:r>
      <w:r>
        <w:rPr>
          <w:color w:val="231F20"/>
          <w:spacing w:val="-3"/>
          <w:sz w:val="17"/>
        </w:rPr>
        <w:t> </w:t>
      </w:r>
      <w:r>
        <w:rPr>
          <w:color w:val="231F20"/>
          <w:sz w:val="17"/>
        </w:rPr>
        <w:t>distintos</w:t>
      </w:r>
      <w:r>
        <w:rPr>
          <w:color w:val="231F20"/>
          <w:spacing w:val="-3"/>
          <w:sz w:val="17"/>
        </w:rPr>
        <w:t> </w:t>
      </w:r>
      <w:r>
        <w:rPr>
          <w:color w:val="231F20"/>
          <w:sz w:val="17"/>
        </w:rPr>
        <w:t>de</w:t>
      </w:r>
      <w:r>
        <w:rPr>
          <w:color w:val="231F20"/>
          <w:spacing w:val="-3"/>
          <w:sz w:val="17"/>
        </w:rPr>
        <w:t> </w:t>
      </w:r>
      <w:r>
        <w:rPr>
          <w:color w:val="231F20"/>
          <w:sz w:val="17"/>
        </w:rPr>
        <w:t>los</w:t>
      </w:r>
      <w:r>
        <w:rPr>
          <w:color w:val="231F20"/>
          <w:spacing w:val="-3"/>
          <w:sz w:val="17"/>
        </w:rPr>
        <w:t> </w:t>
      </w:r>
      <w:r>
        <w:rPr>
          <w:color w:val="231F20"/>
          <w:sz w:val="17"/>
        </w:rPr>
        <w:t>destinados</w:t>
      </w:r>
      <w:r>
        <w:rPr>
          <w:color w:val="231F20"/>
          <w:spacing w:val="-3"/>
          <w:sz w:val="17"/>
        </w:rPr>
        <w:t> </w:t>
      </w:r>
      <w:r>
        <w:rPr>
          <w:color w:val="231F20"/>
          <w:sz w:val="17"/>
        </w:rPr>
        <w:t>para el tránsito internacional de personas por mar y</w:t>
      </w:r>
      <w:r>
        <w:rPr>
          <w:color w:val="231F20"/>
          <w:spacing w:val="-3"/>
          <w:sz w:val="17"/>
        </w:rPr>
        <w:t> </w:t>
      </w:r>
      <w:r>
        <w:rPr>
          <w:color w:val="231F20"/>
          <w:sz w:val="17"/>
        </w:rPr>
        <w:t>aire.</w:t>
      </w:r>
    </w:p>
    <w:p>
      <w:pPr>
        <w:spacing w:after="0" w:line="208" w:lineRule="auto"/>
        <w:jc w:val="both"/>
        <w:rPr>
          <w:sz w:val="17"/>
        </w:rPr>
        <w:sectPr>
          <w:footerReference w:type="default" r:id="rId238"/>
          <w:pgSz w:w="9360" w:h="13040"/>
          <w:pgMar w:footer="496" w:header="0" w:top="840" w:bottom="680" w:left="1300" w:right="1300"/>
        </w:sectPr>
      </w:pPr>
    </w:p>
    <w:p>
      <w:pPr>
        <w:spacing w:before="45"/>
        <w:ind w:left="234" w:right="0" w:firstLine="0"/>
        <w:jc w:val="left"/>
        <w:rPr>
          <w:rFonts w:ascii="Arial" w:hAnsi="Arial"/>
          <w:sz w:val="20"/>
        </w:rPr>
      </w:pPr>
      <w:r>
        <w:rPr>
          <w:rFonts w:ascii="Arial" w:hAnsi="Arial"/>
          <w:color w:val="231F20"/>
          <w:w w:val="70"/>
          <w:sz w:val="20"/>
        </w:rPr>
        <w:t>Los</w:t>
      </w:r>
      <w:r>
        <w:rPr>
          <w:rFonts w:ascii="Arial" w:hAnsi="Arial"/>
          <w:color w:val="231F20"/>
          <w:spacing w:val="-13"/>
          <w:w w:val="70"/>
          <w:sz w:val="20"/>
        </w:rPr>
        <w:t> </w:t>
      </w:r>
      <w:r>
        <w:rPr>
          <w:rFonts w:ascii="Arial" w:hAnsi="Arial"/>
          <w:color w:val="231F20"/>
          <w:w w:val="70"/>
          <w:sz w:val="20"/>
        </w:rPr>
        <w:t>menores</w:t>
      </w:r>
      <w:r>
        <w:rPr>
          <w:rFonts w:ascii="Arial" w:hAnsi="Arial"/>
          <w:color w:val="231F20"/>
          <w:spacing w:val="-13"/>
          <w:w w:val="70"/>
          <w:sz w:val="20"/>
        </w:rPr>
        <w:t> </w:t>
      </w:r>
      <w:r>
        <w:rPr>
          <w:rFonts w:ascii="Arial" w:hAnsi="Arial"/>
          <w:color w:val="231F20"/>
          <w:w w:val="70"/>
          <w:sz w:val="20"/>
        </w:rPr>
        <w:t>inmigrantes</w:t>
      </w:r>
      <w:r>
        <w:rPr>
          <w:rFonts w:ascii="Arial" w:hAnsi="Arial"/>
          <w:color w:val="231F20"/>
          <w:spacing w:val="-13"/>
          <w:w w:val="70"/>
          <w:sz w:val="20"/>
        </w:rPr>
        <w:t> </w:t>
      </w:r>
      <w:r>
        <w:rPr>
          <w:rFonts w:ascii="Arial" w:hAnsi="Arial"/>
          <w:color w:val="231F20"/>
          <w:w w:val="70"/>
          <w:sz w:val="20"/>
        </w:rPr>
        <w:t>indocumentados</w:t>
      </w:r>
      <w:r>
        <w:rPr>
          <w:rFonts w:ascii="Arial" w:hAnsi="Arial"/>
          <w:color w:val="231F20"/>
          <w:spacing w:val="-13"/>
          <w:w w:val="70"/>
          <w:sz w:val="20"/>
        </w:rPr>
        <w:t> </w:t>
      </w:r>
      <w:r>
        <w:rPr>
          <w:rFonts w:ascii="Arial" w:hAnsi="Arial"/>
          <w:color w:val="231F20"/>
          <w:w w:val="70"/>
          <w:sz w:val="20"/>
        </w:rPr>
        <w:t>ante</w:t>
      </w:r>
      <w:r>
        <w:rPr>
          <w:rFonts w:ascii="Arial" w:hAnsi="Arial"/>
          <w:color w:val="231F20"/>
          <w:spacing w:val="-13"/>
          <w:w w:val="70"/>
          <w:sz w:val="20"/>
        </w:rPr>
        <w:t> </w:t>
      </w:r>
      <w:r>
        <w:rPr>
          <w:rFonts w:ascii="Arial" w:hAnsi="Arial"/>
          <w:color w:val="231F20"/>
          <w:w w:val="70"/>
          <w:sz w:val="20"/>
        </w:rPr>
        <w:t>la</w:t>
      </w:r>
      <w:r>
        <w:rPr>
          <w:rFonts w:ascii="Arial" w:hAnsi="Arial"/>
          <w:color w:val="231F20"/>
          <w:spacing w:val="-13"/>
          <w:w w:val="70"/>
          <w:sz w:val="20"/>
        </w:rPr>
        <w:t> </w:t>
      </w:r>
      <w:r>
        <w:rPr>
          <w:rFonts w:ascii="Arial" w:hAnsi="Arial"/>
          <w:color w:val="231F20"/>
          <w:w w:val="70"/>
          <w:sz w:val="20"/>
        </w:rPr>
        <w:t>nueva</w:t>
      </w:r>
      <w:r>
        <w:rPr>
          <w:rFonts w:ascii="Arial" w:hAnsi="Arial"/>
          <w:color w:val="231F20"/>
          <w:spacing w:val="-13"/>
          <w:w w:val="70"/>
          <w:sz w:val="20"/>
        </w:rPr>
        <w:t> </w:t>
      </w:r>
      <w:r>
        <w:rPr>
          <w:rFonts w:ascii="Arial" w:hAnsi="Arial"/>
          <w:color w:val="231F20"/>
          <w:w w:val="70"/>
          <w:sz w:val="20"/>
        </w:rPr>
        <w:t>ley</w:t>
      </w:r>
      <w:r>
        <w:rPr>
          <w:rFonts w:ascii="Arial" w:hAnsi="Arial"/>
          <w:color w:val="231F20"/>
          <w:spacing w:val="-13"/>
          <w:w w:val="70"/>
          <w:sz w:val="20"/>
        </w:rPr>
        <w:t> </w:t>
      </w:r>
      <w:r>
        <w:rPr>
          <w:rFonts w:ascii="Arial" w:hAnsi="Arial"/>
          <w:color w:val="231F20"/>
          <w:w w:val="70"/>
          <w:sz w:val="20"/>
        </w:rPr>
        <w:t>de</w:t>
      </w:r>
      <w:r>
        <w:rPr>
          <w:rFonts w:ascii="Arial" w:hAnsi="Arial"/>
          <w:color w:val="231F20"/>
          <w:spacing w:val="-13"/>
          <w:w w:val="70"/>
          <w:sz w:val="20"/>
        </w:rPr>
        <w:t> </w:t>
      </w:r>
      <w:r>
        <w:rPr>
          <w:rFonts w:ascii="Arial" w:hAnsi="Arial"/>
          <w:color w:val="231F20"/>
          <w:w w:val="70"/>
          <w:sz w:val="20"/>
        </w:rPr>
        <w:t>migración...</w:t>
      </w:r>
      <w:r>
        <w:rPr>
          <w:rFonts w:ascii="Arial" w:hAnsi="Arial"/>
          <w:color w:val="231F20"/>
          <w:spacing w:val="-13"/>
          <w:w w:val="70"/>
          <w:sz w:val="20"/>
        </w:rPr>
        <w:t> </w:t>
      </w:r>
      <w:r>
        <w:rPr>
          <w:rFonts w:ascii="Arial" w:hAnsi="Arial"/>
          <w:color w:val="231F20"/>
          <w:w w:val="70"/>
          <w:sz w:val="20"/>
        </w:rPr>
        <w:t>/Alma</w:t>
      </w:r>
      <w:r>
        <w:rPr>
          <w:rFonts w:ascii="Arial" w:hAnsi="Arial"/>
          <w:color w:val="231F20"/>
          <w:spacing w:val="-21"/>
          <w:w w:val="70"/>
          <w:sz w:val="20"/>
        </w:rPr>
        <w:t> </w:t>
      </w:r>
      <w:r>
        <w:rPr>
          <w:rFonts w:ascii="Arial" w:hAnsi="Arial"/>
          <w:color w:val="231F20"/>
          <w:w w:val="70"/>
          <w:sz w:val="20"/>
        </w:rPr>
        <w:t>C.</w:t>
      </w:r>
      <w:r>
        <w:rPr>
          <w:rFonts w:ascii="Arial" w:hAnsi="Arial"/>
          <w:color w:val="231F20"/>
          <w:spacing w:val="-21"/>
          <w:w w:val="70"/>
          <w:sz w:val="20"/>
        </w:rPr>
        <w:t> </w:t>
      </w:r>
      <w:r>
        <w:rPr>
          <w:rFonts w:ascii="Arial" w:hAnsi="Arial"/>
          <w:color w:val="231F20"/>
          <w:w w:val="70"/>
          <w:sz w:val="20"/>
        </w:rPr>
        <w:t>Guadarrama-Muñoz</w:t>
      </w:r>
    </w:p>
    <w:p>
      <w:pPr>
        <w:pStyle w:val="BodyText"/>
        <w:spacing w:before="10"/>
        <w:rPr>
          <w:rFonts w:ascii="Arial"/>
          <w:sz w:val="27"/>
        </w:rPr>
      </w:pPr>
    </w:p>
    <w:p>
      <w:pPr>
        <w:pStyle w:val="Heading3"/>
        <w:spacing w:line="242" w:lineRule="auto" w:before="0"/>
        <w:ind w:right="1083"/>
        <w:jc w:val="left"/>
      </w:pPr>
      <w:r>
        <w:rPr>
          <w:color w:val="231F20"/>
        </w:rPr>
        <w:t>Derechos de los menores inmigrantes indocumentados en México</w:t>
      </w:r>
    </w:p>
    <w:p>
      <w:pPr>
        <w:pStyle w:val="BodyText"/>
        <w:spacing w:line="247" w:lineRule="auto" w:before="170"/>
        <w:ind w:left="117" w:right="115"/>
        <w:jc w:val="both"/>
      </w:pPr>
      <w:r>
        <w:rPr>
          <w:color w:val="231F20"/>
        </w:rPr>
        <w:t>En</w:t>
      </w:r>
      <w:r>
        <w:rPr>
          <w:color w:val="231F20"/>
          <w:spacing w:val="-8"/>
        </w:rPr>
        <w:t> </w:t>
      </w:r>
      <w:r>
        <w:rPr>
          <w:color w:val="231F20"/>
        </w:rPr>
        <w:t>México</w:t>
      </w:r>
      <w:r>
        <w:rPr>
          <w:color w:val="231F20"/>
          <w:spacing w:val="-8"/>
        </w:rPr>
        <w:t> </w:t>
      </w:r>
      <w:r>
        <w:rPr>
          <w:color w:val="231F20"/>
        </w:rPr>
        <w:t>existe</w:t>
      </w:r>
      <w:r>
        <w:rPr>
          <w:color w:val="231F20"/>
          <w:spacing w:val="-8"/>
        </w:rPr>
        <w:t> </w:t>
      </w:r>
      <w:r>
        <w:rPr>
          <w:color w:val="231F20"/>
        </w:rPr>
        <w:t>un</w:t>
      </w:r>
      <w:r>
        <w:rPr>
          <w:color w:val="231F20"/>
          <w:spacing w:val="-8"/>
        </w:rPr>
        <w:t> </w:t>
      </w:r>
      <w:r>
        <w:rPr>
          <w:color w:val="231F20"/>
        </w:rPr>
        <w:t>marco</w:t>
      </w:r>
      <w:r>
        <w:rPr>
          <w:color w:val="231F20"/>
          <w:spacing w:val="-8"/>
        </w:rPr>
        <w:t> </w:t>
      </w:r>
      <w:r>
        <w:rPr>
          <w:color w:val="231F20"/>
        </w:rPr>
        <w:t>legal</w:t>
      </w:r>
      <w:r>
        <w:rPr>
          <w:color w:val="231F20"/>
          <w:spacing w:val="-8"/>
        </w:rPr>
        <w:t> </w:t>
      </w:r>
      <w:r>
        <w:rPr>
          <w:color w:val="231F20"/>
        </w:rPr>
        <w:t>con</w:t>
      </w:r>
      <w:r>
        <w:rPr>
          <w:color w:val="231F20"/>
          <w:spacing w:val="-8"/>
        </w:rPr>
        <w:t> </w:t>
      </w:r>
      <w:r>
        <w:rPr>
          <w:color w:val="231F20"/>
        </w:rPr>
        <w:t>una</w:t>
      </w:r>
      <w:r>
        <w:rPr>
          <w:color w:val="231F20"/>
          <w:spacing w:val="-8"/>
        </w:rPr>
        <w:t> </w:t>
      </w:r>
      <w:r>
        <w:rPr>
          <w:color w:val="231F20"/>
        </w:rPr>
        <w:t>serie</w:t>
      </w:r>
      <w:r>
        <w:rPr>
          <w:color w:val="231F20"/>
          <w:spacing w:val="-8"/>
        </w:rPr>
        <w:t> </w:t>
      </w:r>
      <w:r>
        <w:rPr>
          <w:color w:val="231F20"/>
        </w:rPr>
        <w:t>de</w:t>
      </w:r>
      <w:r>
        <w:rPr>
          <w:color w:val="231F20"/>
          <w:spacing w:val="-8"/>
        </w:rPr>
        <w:t> </w:t>
      </w:r>
      <w:r>
        <w:rPr>
          <w:color w:val="231F20"/>
        </w:rPr>
        <w:t>disposiciones</w:t>
      </w:r>
      <w:r>
        <w:rPr>
          <w:color w:val="231F20"/>
          <w:spacing w:val="-8"/>
        </w:rPr>
        <w:t> </w:t>
      </w:r>
      <w:r>
        <w:rPr>
          <w:color w:val="231F20"/>
        </w:rPr>
        <w:t>encamina- das</w:t>
      </w:r>
      <w:r>
        <w:rPr>
          <w:color w:val="231F20"/>
          <w:spacing w:val="-13"/>
        </w:rPr>
        <w:t> </w:t>
      </w:r>
      <w:r>
        <w:rPr>
          <w:color w:val="231F20"/>
        </w:rPr>
        <w:t>a</w:t>
      </w:r>
      <w:r>
        <w:rPr>
          <w:color w:val="231F20"/>
          <w:spacing w:val="-13"/>
        </w:rPr>
        <w:t> </w:t>
      </w:r>
      <w:r>
        <w:rPr>
          <w:color w:val="231F20"/>
        </w:rPr>
        <w:t>proteger</w:t>
      </w:r>
      <w:r>
        <w:rPr>
          <w:color w:val="231F20"/>
          <w:spacing w:val="-12"/>
        </w:rPr>
        <w:t> </w:t>
      </w:r>
      <w:r>
        <w:rPr>
          <w:color w:val="231F20"/>
        </w:rPr>
        <w:t>y</w:t>
      </w:r>
      <w:r>
        <w:rPr>
          <w:color w:val="231F20"/>
          <w:spacing w:val="-13"/>
        </w:rPr>
        <w:t> </w:t>
      </w:r>
      <w:r>
        <w:rPr>
          <w:color w:val="231F20"/>
        </w:rPr>
        <w:t>reconocer</w:t>
      </w:r>
      <w:r>
        <w:rPr>
          <w:color w:val="231F20"/>
          <w:spacing w:val="-13"/>
        </w:rPr>
        <w:t> </w:t>
      </w:r>
      <w:r>
        <w:rPr>
          <w:color w:val="231F20"/>
        </w:rPr>
        <w:t>las</w:t>
      </w:r>
      <w:r>
        <w:rPr>
          <w:color w:val="231F20"/>
          <w:spacing w:val="-13"/>
        </w:rPr>
        <w:t> </w:t>
      </w:r>
      <w:r>
        <w:rPr>
          <w:color w:val="231F20"/>
        </w:rPr>
        <w:t>garantías</w:t>
      </w:r>
      <w:r>
        <w:rPr>
          <w:color w:val="231F20"/>
          <w:spacing w:val="-13"/>
        </w:rPr>
        <w:t> </w:t>
      </w:r>
      <w:r>
        <w:rPr>
          <w:color w:val="231F20"/>
        </w:rPr>
        <w:t>individuales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menores</w:t>
      </w:r>
      <w:r>
        <w:rPr>
          <w:color w:val="231F20"/>
          <w:spacing w:val="-13"/>
        </w:rPr>
        <w:t> </w:t>
      </w:r>
      <w:r>
        <w:rPr>
          <w:color w:val="231F20"/>
        </w:rPr>
        <w:t>extran- jeros, independientemente de su situación jurídica y edad. En este</w:t>
      </w:r>
      <w:r>
        <w:rPr>
          <w:color w:val="231F20"/>
          <w:spacing w:val="-36"/>
        </w:rPr>
        <w:t> </w:t>
      </w:r>
      <w:r>
        <w:rPr>
          <w:color w:val="231F20"/>
        </w:rPr>
        <w:t>sentido, el análisis del tema se ha dividido en tres rubros que son los siguientes:</w:t>
      </w:r>
    </w:p>
    <w:p>
      <w:pPr>
        <w:spacing w:before="149"/>
        <w:ind w:left="117" w:right="0" w:firstLine="0"/>
        <w:jc w:val="both"/>
        <w:rPr>
          <w:i/>
          <w:sz w:val="22"/>
        </w:rPr>
      </w:pPr>
      <w:r>
        <w:rPr>
          <w:i/>
          <w:color w:val="231F20"/>
          <w:sz w:val="22"/>
        </w:rPr>
        <w:t>Ámbito universal</w:t>
      </w:r>
    </w:p>
    <w:p>
      <w:pPr>
        <w:pStyle w:val="BodyText"/>
        <w:spacing w:line="247" w:lineRule="auto" w:before="177"/>
        <w:ind w:left="117" w:right="114" w:firstLine="56"/>
        <w:jc w:val="both"/>
      </w:pPr>
      <w:r>
        <w:rPr>
          <w:color w:val="231F20"/>
        </w:rPr>
        <w:t>Actualmente, los niños y adolescentes indocumentados cuentan con una serie</w:t>
      </w:r>
      <w:r>
        <w:rPr>
          <w:color w:val="231F20"/>
          <w:spacing w:val="-25"/>
        </w:rPr>
        <w:t> </w:t>
      </w:r>
      <w:r>
        <w:rPr>
          <w:color w:val="231F20"/>
        </w:rPr>
        <w:t>de</w:t>
      </w:r>
      <w:r>
        <w:rPr>
          <w:color w:val="231F20"/>
          <w:spacing w:val="-25"/>
        </w:rPr>
        <w:t> </w:t>
      </w:r>
      <w:r>
        <w:rPr>
          <w:color w:val="231F20"/>
        </w:rPr>
        <w:t>prerrogativas</w:t>
      </w:r>
      <w:r>
        <w:rPr>
          <w:color w:val="231F20"/>
          <w:spacing w:val="-25"/>
        </w:rPr>
        <w:t> </w:t>
      </w:r>
      <w:r>
        <w:rPr>
          <w:color w:val="231F20"/>
        </w:rPr>
        <w:t>reconocidas</w:t>
      </w:r>
      <w:r>
        <w:rPr>
          <w:color w:val="231F20"/>
          <w:spacing w:val="-25"/>
        </w:rPr>
        <w:t> </w:t>
      </w:r>
      <w:r>
        <w:rPr>
          <w:color w:val="231F20"/>
        </w:rPr>
        <w:t>en</w:t>
      </w:r>
      <w:r>
        <w:rPr>
          <w:color w:val="231F20"/>
          <w:spacing w:val="-25"/>
        </w:rPr>
        <w:t> </w:t>
      </w:r>
      <w:r>
        <w:rPr>
          <w:color w:val="231F20"/>
        </w:rPr>
        <w:t>diversos</w:t>
      </w:r>
      <w:r>
        <w:rPr>
          <w:color w:val="231F20"/>
          <w:spacing w:val="-25"/>
        </w:rPr>
        <w:t> </w:t>
      </w:r>
      <w:r>
        <w:rPr>
          <w:color w:val="231F20"/>
        </w:rPr>
        <w:t>instrumentos</w:t>
      </w:r>
      <w:r>
        <w:rPr>
          <w:color w:val="231F20"/>
          <w:spacing w:val="-26"/>
        </w:rPr>
        <w:t> </w:t>
      </w:r>
      <w:r>
        <w:rPr>
          <w:color w:val="231F20"/>
        </w:rPr>
        <w:t>internacionales, los cuales han sido firmados y ratificados por el gobierno mexicano,</w:t>
      </w:r>
      <w:r>
        <w:rPr>
          <w:color w:val="231F20"/>
          <w:spacing w:val="-35"/>
        </w:rPr>
        <w:t> </w:t>
      </w:r>
      <w:r>
        <w:rPr>
          <w:color w:val="231F20"/>
        </w:rPr>
        <w:t>como la</w:t>
      </w:r>
      <w:r>
        <w:rPr>
          <w:color w:val="231F20"/>
          <w:spacing w:val="-11"/>
        </w:rPr>
        <w:t> </w:t>
      </w:r>
      <w:r>
        <w:rPr>
          <w:color w:val="231F20"/>
        </w:rPr>
        <w:t>Declaración</w:t>
      </w:r>
      <w:r>
        <w:rPr>
          <w:color w:val="231F20"/>
          <w:spacing w:val="-10"/>
        </w:rPr>
        <w:t> </w:t>
      </w:r>
      <w:r>
        <w:rPr>
          <w:color w:val="231F20"/>
        </w:rPr>
        <w:t>Universal</w:t>
      </w:r>
      <w:r>
        <w:rPr>
          <w:color w:val="231F20"/>
          <w:spacing w:val="-10"/>
        </w:rPr>
        <w:t> </w:t>
      </w:r>
      <w:r>
        <w:rPr>
          <w:color w:val="231F20"/>
        </w:rPr>
        <w:t>de</w:t>
      </w:r>
      <w:r>
        <w:rPr>
          <w:color w:val="231F20"/>
          <w:spacing w:val="-11"/>
        </w:rPr>
        <w:t> </w:t>
      </w:r>
      <w:r>
        <w:rPr>
          <w:color w:val="231F20"/>
        </w:rPr>
        <w:t>los</w:t>
      </w:r>
      <w:r>
        <w:rPr>
          <w:color w:val="231F20"/>
          <w:spacing w:val="-11"/>
        </w:rPr>
        <w:t> </w:t>
      </w:r>
      <w:r>
        <w:rPr>
          <w:color w:val="231F20"/>
        </w:rPr>
        <w:t>Derechos</w:t>
      </w:r>
      <w:r>
        <w:rPr>
          <w:color w:val="231F20"/>
          <w:spacing w:val="-11"/>
        </w:rPr>
        <w:t> </w:t>
      </w:r>
      <w:r>
        <w:rPr>
          <w:color w:val="231F20"/>
        </w:rPr>
        <w:t>Humanos;</w:t>
      </w:r>
      <w:r>
        <w:rPr>
          <w:color w:val="231F20"/>
          <w:spacing w:val="-11"/>
        </w:rPr>
        <w:t> </w:t>
      </w:r>
      <w:r>
        <w:rPr>
          <w:color w:val="231F20"/>
        </w:rPr>
        <w:t>el</w:t>
      </w:r>
      <w:r>
        <w:rPr>
          <w:color w:val="231F20"/>
          <w:spacing w:val="-11"/>
        </w:rPr>
        <w:t> </w:t>
      </w:r>
      <w:r>
        <w:rPr>
          <w:color w:val="231F20"/>
        </w:rPr>
        <w:t>Pacto</w:t>
      </w:r>
      <w:r>
        <w:rPr>
          <w:color w:val="231F20"/>
          <w:spacing w:val="-11"/>
        </w:rPr>
        <w:t> </w:t>
      </w:r>
      <w:r>
        <w:rPr>
          <w:color w:val="231F20"/>
        </w:rPr>
        <w:t>Internacional de Derechos Económicos, Sociales y Culturales; el Pacto Internacional de Derechos Civiles y Políticos; la Convención Internacional sobre la Eli- minación de todas las Formas de Discriminación Racial; la Convención contra la </w:t>
      </w:r>
      <w:r>
        <w:rPr>
          <w:color w:val="231F20"/>
          <w:spacing w:val="-3"/>
        </w:rPr>
        <w:t>Tortura </w:t>
      </w:r>
      <w:r>
        <w:rPr>
          <w:color w:val="231F20"/>
        </w:rPr>
        <w:t>y otros Tratos o Penas Crueles, Inhumanos o Degradan- tes; la Declaración sobre los Derechos Humanos de los Individuos que no son Nacionales del País en que </w:t>
      </w:r>
      <w:r>
        <w:rPr>
          <w:color w:val="231F20"/>
          <w:spacing w:val="-3"/>
        </w:rPr>
        <w:t>Viven; </w:t>
      </w:r>
      <w:r>
        <w:rPr>
          <w:color w:val="231F20"/>
        </w:rPr>
        <w:t>la Convención sobre la Condición de los Extranjeros; la Convención de </w:t>
      </w:r>
      <w:r>
        <w:rPr>
          <w:color w:val="231F20"/>
          <w:spacing w:val="-3"/>
        </w:rPr>
        <w:t>Viena </w:t>
      </w:r>
      <w:r>
        <w:rPr>
          <w:color w:val="231F20"/>
        </w:rPr>
        <w:t>sobre Relaciones Consulares; la Convención Internacional sobre la Protección de los Derechos de todos los</w:t>
      </w:r>
      <w:r>
        <w:rPr>
          <w:color w:val="231F20"/>
          <w:spacing w:val="-10"/>
        </w:rPr>
        <w:t> </w:t>
      </w:r>
      <w:r>
        <w:rPr>
          <w:color w:val="231F20"/>
        </w:rPr>
        <w:t>Trabajadores</w:t>
      </w:r>
      <w:r>
        <w:rPr>
          <w:color w:val="231F20"/>
          <w:spacing w:val="-6"/>
        </w:rPr>
        <w:t> </w:t>
      </w:r>
      <w:r>
        <w:rPr>
          <w:color w:val="231F20"/>
        </w:rPr>
        <w:t>Migratorios</w:t>
      </w:r>
      <w:r>
        <w:rPr>
          <w:color w:val="231F20"/>
          <w:spacing w:val="-5"/>
        </w:rPr>
        <w:t> </w:t>
      </w:r>
      <w:r>
        <w:rPr>
          <w:color w:val="231F20"/>
        </w:rPr>
        <w:t>y</w:t>
      </w:r>
      <w:r>
        <w:rPr>
          <w:color w:val="231F20"/>
          <w:spacing w:val="-6"/>
        </w:rPr>
        <w:t> </w:t>
      </w:r>
      <w:r>
        <w:rPr>
          <w:color w:val="231F20"/>
        </w:rPr>
        <w:t>de</w:t>
      </w:r>
      <w:r>
        <w:rPr>
          <w:color w:val="231F20"/>
          <w:spacing w:val="-6"/>
        </w:rPr>
        <w:t> </w:t>
      </w:r>
      <w:r>
        <w:rPr>
          <w:color w:val="231F20"/>
        </w:rPr>
        <w:t>sus</w:t>
      </w:r>
      <w:r>
        <w:rPr>
          <w:color w:val="231F20"/>
          <w:spacing w:val="-6"/>
        </w:rPr>
        <w:t> </w:t>
      </w:r>
      <w:r>
        <w:rPr>
          <w:color w:val="231F20"/>
        </w:rPr>
        <w:t>Familiares,</w:t>
      </w:r>
      <w:r>
        <w:rPr>
          <w:color w:val="231F20"/>
          <w:spacing w:val="-5"/>
        </w:rPr>
        <w:t> </w:t>
      </w:r>
      <w:r>
        <w:rPr>
          <w:color w:val="231F20"/>
        </w:rPr>
        <w:t>el</w:t>
      </w:r>
      <w:r>
        <w:rPr>
          <w:color w:val="231F20"/>
          <w:spacing w:val="-6"/>
        </w:rPr>
        <w:t> </w:t>
      </w:r>
      <w:r>
        <w:rPr>
          <w:color w:val="231F20"/>
        </w:rPr>
        <w:t>Protocolo</w:t>
      </w:r>
      <w:r>
        <w:rPr>
          <w:color w:val="231F20"/>
          <w:spacing w:val="-5"/>
        </w:rPr>
        <w:t> </w:t>
      </w:r>
      <w:r>
        <w:rPr>
          <w:color w:val="231F20"/>
        </w:rPr>
        <w:t>para</w:t>
      </w:r>
      <w:r>
        <w:rPr>
          <w:color w:val="231F20"/>
          <w:spacing w:val="-6"/>
        </w:rPr>
        <w:t> </w:t>
      </w:r>
      <w:r>
        <w:rPr>
          <w:color w:val="231F20"/>
        </w:rPr>
        <w:t>Preve- </w:t>
      </w:r>
      <w:r>
        <w:rPr>
          <w:color w:val="231F20"/>
          <w:spacing w:val="-3"/>
        </w:rPr>
        <w:t>nir, </w:t>
      </w:r>
      <w:r>
        <w:rPr>
          <w:color w:val="231F20"/>
        </w:rPr>
        <w:t>Reprimir y Sancionar la Trata de Personas, especialmente de Mujeres y Niños, y el Protocolo contra el Tráfico de Migrantes por Tierra, Mar y Aire (SRE, 2006: 165-179</w:t>
      </w:r>
      <w:r>
        <w:rPr>
          <w:color w:val="231F20"/>
          <w:sz w:val="24"/>
        </w:rPr>
        <w:t>)</w:t>
      </w:r>
      <w:r>
        <w:rPr>
          <w:i/>
          <w:color w:val="231F20"/>
        </w:rPr>
        <w:t>.</w:t>
      </w:r>
      <w:r>
        <w:rPr>
          <w:color w:val="231F20"/>
        </w:rPr>
        <w:t>Todos y cada uno de los textos mencionados contienen una serie de derechos conferidos a todos los seres humanos, y por lo tanto aplicables a los menores. De manera específica, existen dos instrumentos jurídicos que México ha signado y en consecuencia forman parte de nuestro régimen jurídico interno, a saber:</w:t>
      </w:r>
    </w:p>
    <w:p>
      <w:pPr>
        <w:pStyle w:val="ListParagraph"/>
        <w:numPr>
          <w:ilvl w:val="0"/>
          <w:numId w:val="14"/>
        </w:numPr>
        <w:tabs>
          <w:tab w:pos="478" w:val="left" w:leader="none"/>
        </w:tabs>
        <w:spacing w:line="247" w:lineRule="auto" w:before="169" w:after="0"/>
        <w:ind w:left="477" w:right="114" w:hanging="360"/>
        <w:jc w:val="both"/>
        <w:rPr>
          <w:sz w:val="22"/>
        </w:rPr>
      </w:pPr>
      <w:r>
        <w:rPr>
          <w:i/>
          <w:color w:val="231F20"/>
          <w:sz w:val="22"/>
        </w:rPr>
        <w:t>Declaración Universal de los Derechos del Niño</w:t>
      </w:r>
      <w:r>
        <w:rPr>
          <w:color w:val="231F20"/>
          <w:sz w:val="22"/>
        </w:rPr>
        <w:t>. Consagra una serie de garantías con base en la falta de madurez física y mental, así como en su necesidad de protección y cuidados; de manera enunciativa</w:t>
      </w:r>
      <w:r>
        <w:rPr>
          <w:color w:val="231F20"/>
          <w:spacing w:val="-19"/>
          <w:sz w:val="22"/>
        </w:rPr>
        <w:t> </w:t>
      </w:r>
      <w:r>
        <w:rPr>
          <w:color w:val="231F20"/>
          <w:sz w:val="22"/>
        </w:rPr>
        <w:t>pero no limitativa son: el nombre, la nacionalidad, la seguridad social, un ambiente familiar armonioso, la educación, no ser objeto de trata o cualquier tipo de explotación y recibir amparo en caso de ser física o mentalmente impedido (</w:t>
      </w:r>
      <w:r>
        <w:rPr>
          <w:color w:val="231F20"/>
          <w:sz w:val="24"/>
        </w:rPr>
        <w:t>Zumaquero y Brazán, 1998:</w:t>
      </w:r>
      <w:r>
        <w:rPr>
          <w:color w:val="231F20"/>
          <w:spacing w:val="-4"/>
          <w:sz w:val="24"/>
        </w:rPr>
        <w:t> </w:t>
      </w:r>
      <w:r>
        <w:rPr>
          <w:color w:val="231F20"/>
          <w:sz w:val="24"/>
        </w:rPr>
        <w:t>217)</w:t>
      </w:r>
      <w:r>
        <w:rPr>
          <w:color w:val="231F20"/>
          <w:sz w:val="22"/>
        </w:rPr>
        <w:t>.</w:t>
      </w:r>
    </w:p>
    <w:p>
      <w:pPr>
        <w:pStyle w:val="ListParagraph"/>
        <w:numPr>
          <w:ilvl w:val="0"/>
          <w:numId w:val="14"/>
        </w:numPr>
        <w:tabs>
          <w:tab w:pos="478" w:val="left" w:leader="none"/>
        </w:tabs>
        <w:spacing w:line="247" w:lineRule="auto" w:before="0" w:after="0"/>
        <w:ind w:left="477" w:right="115" w:hanging="360"/>
        <w:jc w:val="both"/>
        <w:rPr>
          <w:sz w:val="22"/>
        </w:rPr>
      </w:pPr>
      <w:r>
        <w:rPr>
          <w:i/>
          <w:color w:val="231F20"/>
          <w:sz w:val="22"/>
        </w:rPr>
        <w:t>Convención</w:t>
      </w:r>
      <w:r>
        <w:rPr>
          <w:i/>
          <w:color w:val="231F20"/>
          <w:spacing w:val="-7"/>
          <w:sz w:val="22"/>
        </w:rPr>
        <w:t> </w:t>
      </w:r>
      <w:r>
        <w:rPr>
          <w:i/>
          <w:color w:val="231F20"/>
          <w:spacing w:val="-3"/>
          <w:sz w:val="22"/>
        </w:rPr>
        <w:t>sobre</w:t>
      </w:r>
      <w:r>
        <w:rPr>
          <w:i/>
          <w:color w:val="231F20"/>
          <w:spacing w:val="-7"/>
          <w:sz w:val="22"/>
        </w:rPr>
        <w:t> </w:t>
      </w:r>
      <w:r>
        <w:rPr>
          <w:i/>
          <w:color w:val="231F20"/>
          <w:sz w:val="22"/>
        </w:rPr>
        <w:t>los</w:t>
      </w:r>
      <w:r>
        <w:rPr>
          <w:i/>
          <w:color w:val="231F20"/>
          <w:spacing w:val="-7"/>
          <w:sz w:val="22"/>
        </w:rPr>
        <w:t> </w:t>
      </w:r>
      <w:r>
        <w:rPr>
          <w:i/>
          <w:color w:val="231F20"/>
          <w:sz w:val="22"/>
        </w:rPr>
        <w:t>Derechos</w:t>
      </w:r>
      <w:r>
        <w:rPr>
          <w:i/>
          <w:color w:val="231F20"/>
          <w:spacing w:val="-7"/>
          <w:sz w:val="22"/>
        </w:rPr>
        <w:t> </w:t>
      </w:r>
      <w:r>
        <w:rPr>
          <w:i/>
          <w:color w:val="231F20"/>
          <w:sz w:val="22"/>
        </w:rPr>
        <w:t>del</w:t>
      </w:r>
      <w:r>
        <w:rPr>
          <w:i/>
          <w:color w:val="231F20"/>
          <w:spacing w:val="-7"/>
          <w:sz w:val="22"/>
        </w:rPr>
        <w:t> </w:t>
      </w:r>
      <w:r>
        <w:rPr>
          <w:i/>
          <w:color w:val="231F20"/>
          <w:sz w:val="22"/>
        </w:rPr>
        <w:t>Niño</w:t>
      </w:r>
      <w:r>
        <w:rPr>
          <w:color w:val="231F20"/>
          <w:sz w:val="22"/>
        </w:rPr>
        <w:t>.</w:t>
      </w:r>
      <w:r>
        <w:rPr>
          <w:color w:val="231F20"/>
          <w:spacing w:val="-7"/>
          <w:sz w:val="22"/>
        </w:rPr>
        <w:t> </w:t>
      </w:r>
      <w:r>
        <w:rPr>
          <w:color w:val="231F20"/>
          <w:sz w:val="22"/>
        </w:rPr>
        <w:t>Reconoce</w:t>
      </w:r>
      <w:r>
        <w:rPr>
          <w:color w:val="231F20"/>
          <w:spacing w:val="-7"/>
          <w:sz w:val="22"/>
        </w:rPr>
        <w:t> </w:t>
      </w:r>
      <w:r>
        <w:rPr>
          <w:color w:val="231F20"/>
          <w:sz w:val="22"/>
        </w:rPr>
        <w:t>diversas</w:t>
      </w:r>
      <w:r>
        <w:rPr>
          <w:color w:val="231F20"/>
          <w:spacing w:val="-7"/>
          <w:sz w:val="22"/>
        </w:rPr>
        <w:t> </w:t>
      </w:r>
      <w:r>
        <w:rPr>
          <w:color w:val="231F20"/>
          <w:sz w:val="22"/>
        </w:rPr>
        <w:t>garantías fundamentales</w:t>
      </w:r>
      <w:r>
        <w:rPr>
          <w:color w:val="231F20"/>
          <w:spacing w:val="-6"/>
          <w:sz w:val="22"/>
        </w:rPr>
        <w:t> </w:t>
      </w:r>
      <w:r>
        <w:rPr>
          <w:color w:val="231F20"/>
          <w:sz w:val="22"/>
        </w:rPr>
        <w:t>como</w:t>
      </w:r>
      <w:r>
        <w:rPr>
          <w:color w:val="231F20"/>
          <w:spacing w:val="-6"/>
          <w:sz w:val="22"/>
        </w:rPr>
        <w:t> </w:t>
      </w:r>
      <w:r>
        <w:rPr>
          <w:color w:val="231F20"/>
          <w:sz w:val="22"/>
        </w:rPr>
        <w:t>la</w:t>
      </w:r>
      <w:r>
        <w:rPr>
          <w:color w:val="231F20"/>
          <w:spacing w:val="-6"/>
          <w:sz w:val="22"/>
        </w:rPr>
        <w:t> </w:t>
      </w:r>
      <w:r>
        <w:rPr>
          <w:color w:val="231F20"/>
          <w:sz w:val="22"/>
        </w:rPr>
        <w:t>vida,</w:t>
      </w:r>
      <w:r>
        <w:rPr>
          <w:color w:val="231F20"/>
          <w:spacing w:val="-6"/>
          <w:sz w:val="22"/>
        </w:rPr>
        <w:t> </w:t>
      </w:r>
      <w:r>
        <w:rPr>
          <w:color w:val="231F20"/>
          <w:sz w:val="22"/>
        </w:rPr>
        <w:t>la</w:t>
      </w:r>
      <w:r>
        <w:rPr>
          <w:color w:val="231F20"/>
          <w:spacing w:val="-6"/>
          <w:sz w:val="22"/>
        </w:rPr>
        <w:t> </w:t>
      </w:r>
      <w:r>
        <w:rPr>
          <w:color w:val="231F20"/>
          <w:sz w:val="22"/>
        </w:rPr>
        <w:t>no</w:t>
      </w:r>
      <w:r>
        <w:rPr>
          <w:color w:val="231F20"/>
          <w:spacing w:val="-6"/>
          <w:sz w:val="22"/>
        </w:rPr>
        <w:t> </w:t>
      </w:r>
      <w:r>
        <w:rPr>
          <w:color w:val="231F20"/>
          <w:sz w:val="22"/>
        </w:rPr>
        <w:t>separación</w:t>
      </w:r>
      <w:r>
        <w:rPr>
          <w:color w:val="231F20"/>
          <w:spacing w:val="-6"/>
          <w:sz w:val="22"/>
        </w:rPr>
        <w:t> </w:t>
      </w:r>
      <w:r>
        <w:rPr>
          <w:color w:val="231F20"/>
          <w:sz w:val="22"/>
        </w:rPr>
        <w:t>de</w:t>
      </w:r>
      <w:r>
        <w:rPr>
          <w:color w:val="231F20"/>
          <w:spacing w:val="-6"/>
          <w:sz w:val="22"/>
        </w:rPr>
        <w:t> </w:t>
      </w:r>
      <w:r>
        <w:rPr>
          <w:color w:val="231F20"/>
          <w:sz w:val="22"/>
        </w:rPr>
        <w:t>los</w:t>
      </w:r>
      <w:r>
        <w:rPr>
          <w:color w:val="231F20"/>
          <w:spacing w:val="-6"/>
          <w:sz w:val="22"/>
        </w:rPr>
        <w:t> </w:t>
      </w:r>
      <w:r>
        <w:rPr>
          <w:color w:val="231F20"/>
          <w:sz w:val="22"/>
        </w:rPr>
        <w:t>padres,</w:t>
      </w:r>
      <w:r>
        <w:rPr>
          <w:color w:val="231F20"/>
          <w:spacing w:val="-6"/>
          <w:sz w:val="22"/>
        </w:rPr>
        <w:t> </w:t>
      </w:r>
      <w:r>
        <w:rPr>
          <w:color w:val="231F20"/>
          <w:sz w:val="22"/>
        </w:rPr>
        <w:t>la</w:t>
      </w:r>
      <w:r>
        <w:rPr>
          <w:color w:val="231F20"/>
          <w:spacing w:val="-6"/>
          <w:sz w:val="22"/>
        </w:rPr>
        <w:t> </w:t>
      </w:r>
      <w:r>
        <w:rPr>
          <w:color w:val="231F20"/>
          <w:sz w:val="22"/>
        </w:rPr>
        <w:t>reunión</w:t>
      </w:r>
    </w:p>
    <w:p>
      <w:pPr>
        <w:spacing w:after="0" w:line="247" w:lineRule="auto"/>
        <w:jc w:val="both"/>
        <w:rPr>
          <w:sz w:val="22"/>
        </w:rPr>
        <w:sectPr>
          <w:footerReference w:type="default" r:id="rId239"/>
          <w:pgSz w:w="9360" w:h="13040"/>
          <w:pgMar w:footer="496" w:header="0" w:top="740" w:bottom="680" w:left="1300" w:right="1300"/>
          <w:pgNumType w:start="341"/>
        </w:sectPr>
      </w:pPr>
    </w:p>
    <w:p>
      <w:pPr>
        <w:tabs>
          <w:tab w:pos="5536" w:val="left" w:leader="none"/>
        </w:tabs>
        <w:spacing w:before="51"/>
        <w:ind w:left="477" w:right="117" w:hanging="349"/>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9" w:lineRule="auto"/>
        <w:ind w:left="477" w:right="115"/>
        <w:jc w:val="both"/>
      </w:pPr>
      <w:r>
        <w:rPr>
          <w:color w:val="231F20"/>
        </w:rPr>
        <w:t>con la familia, el trabajo, la libertad de expresión, la protección de la vida privada, el acceso a la información pertinente, el no ser sometido a torturas, tratos o penas crueles, inhumanos o degradantes, los servi- cios</w:t>
      </w:r>
      <w:r>
        <w:rPr>
          <w:color w:val="231F20"/>
          <w:spacing w:val="-7"/>
        </w:rPr>
        <w:t> </w:t>
      </w:r>
      <w:r>
        <w:rPr>
          <w:color w:val="231F20"/>
        </w:rPr>
        <w:t>de</w:t>
      </w:r>
      <w:r>
        <w:rPr>
          <w:color w:val="231F20"/>
          <w:spacing w:val="-7"/>
        </w:rPr>
        <w:t> </w:t>
      </w:r>
      <w:r>
        <w:rPr>
          <w:color w:val="231F20"/>
        </w:rPr>
        <w:t>salud,</w:t>
      </w:r>
      <w:r>
        <w:rPr>
          <w:color w:val="231F20"/>
          <w:spacing w:val="-6"/>
        </w:rPr>
        <w:t> </w:t>
      </w:r>
      <w:r>
        <w:rPr>
          <w:color w:val="231F20"/>
        </w:rPr>
        <w:t>el</w:t>
      </w:r>
      <w:r>
        <w:rPr>
          <w:color w:val="231F20"/>
          <w:spacing w:val="-7"/>
        </w:rPr>
        <w:t> </w:t>
      </w:r>
      <w:r>
        <w:rPr>
          <w:color w:val="231F20"/>
        </w:rPr>
        <w:t>nivel</w:t>
      </w:r>
      <w:r>
        <w:rPr>
          <w:color w:val="231F20"/>
          <w:spacing w:val="-6"/>
        </w:rPr>
        <w:t> </w:t>
      </w:r>
      <w:r>
        <w:rPr>
          <w:color w:val="231F20"/>
        </w:rPr>
        <w:t>de</w:t>
      </w:r>
      <w:r>
        <w:rPr>
          <w:color w:val="231F20"/>
          <w:spacing w:val="-7"/>
        </w:rPr>
        <w:t> </w:t>
      </w:r>
      <w:r>
        <w:rPr>
          <w:color w:val="231F20"/>
        </w:rPr>
        <w:t>vida</w:t>
      </w:r>
      <w:r>
        <w:rPr>
          <w:color w:val="231F20"/>
          <w:spacing w:val="-6"/>
        </w:rPr>
        <w:t> </w:t>
      </w:r>
      <w:r>
        <w:rPr>
          <w:color w:val="231F20"/>
        </w:rPr>
        <w:t>adecuado</w:t>
      </w:r>
      <w:r>
        <w:rPr>
          <w:color w:val="231F20"/>
          <w:spacing w:val="-7"/>
        </w:rPr>
        <w:t> </w:t>
      </w:r>
      <w:r>
        <w:rPr>
          <w:color w:val="231F20"/>
        </w:rPr>
        <w:t>y</w:t>
      </w:r>
      <w:r>
        <w:rPr>
          <w:color w:val="231F20"/>
          <w:spacing w:val="-7"/>
        </w:rPr>
        <w:t> </w:t>
      </w:r>
      <w:r>
        <w:rPr>
          <w:color w:val="231F20"/>
        </w:rPr>
        <w:t>el</w:t>
      </w:r>
      <w:r>
        <w:rPr>
          <w:color w:val="231F20"/>
          <w:spacing w:val="-7"/>
        </w:rPr>
        <w:t> </w:t>
      </w:r>
      <w:r>
        <w:rPr>
          <w:color w:val="231F20"/>
        </w:rPr>
        <w:t>descanso</w:t>
      </w:r>
      <w:r>
        <w:rPr>
          <w:color w:val="231F20"/>
          <w:spacing w:val="-7"/>
        </w:rPr>
        <w:t> </w:t>
      </w:r>
      <w:r>
        <w:rPr>
          <w:color w:val="231F20"/>
        </w:rPr>
        <w:t>y</w:t>
      </w:r>
      <w:r>
        <w:rPr>
          <w:color w:val="231F20"/>
          <w:spacing w:val="-7"/>
        </w:rPr>
        <w:t> </w:t>
      </w:r>
      <w:r>
        <w:rPr>
          <w:color w:val="231F20"/>
        </w:rPr>
        <w:t>esparcimiento, entre otras (Carbonell, 2004:</w:t>
      </w:r>
      <w:r>
        <w:rPr>
          <w:color w:val="231F20"/>
          <w:spacing w:val="-1"/>
        </w:rPr>
        <w:t> </w:t>
      </w:r>
      <w:r>
        <w:rPr>
          <w:color w:val="231F20"/>
        </w:rPr>
        <w:t>3</w:t>
      </w:r>
      <w:r>
        <w:rPr>
          <w:color w:val="231F20"/>
          <w:sz w:val="24"/>
        </w:rPr>
        <w:t>)</w:t>
      </w:r>
      <w:r>
        <w:rPr>
          <w:color w:val="231F20"/>
        </w:rPr>
        <w:t>.</w:t>
      </w:r>
    </w:p>
    <w:p>
      <w:pPr>
        <w:spacing w:before="142"/>
        <w:ind w:left="117" w:right="0" w:firstLine="0"/>
        <w:jc w:val="both"/>
        <w:rPr>
          <w:i/>
          <w:sz w:val="22"/>
        </w:rPr>
      </w:pPr>
      <w:r>
        <w:rPr>
          <w:i/>
          <w:color w:val="231F20"/>
          <w:sz w:val="22"/>
        </w:rPr>
        <w:t>Ámbito regional</w:t>
      </w:r>
    </w:p>
    <w:p>
      <w:pPr>
        <w:pStyle w:val="BodyText"/>
        <w:spacing w:line="247" w:lineRule="auto" w:before="177"/>
        <w:ind w:left="117" w:right="114"/>
        <w:jc w:val="both"/>
      </w:pPr>
      <w:r>
        <w:rPr>
          <w:color w:val="231F20"/>
        </w:rPr>
        <w:t>Los textos internacionales aplicables a los menores que nuestro gobierno ha firmado y ratificado son: la Declaración Americana de Derechos y De- beres del Hombre; la Convención Americana de Derechos Humanos; la Convención</w:t>
      </w:r>
      <w:r>
        <w:rPr>
          <w:color w:val="231F20"/>
          <w:spacing w:val="-13"/>
        </w:rPr>
        <w:t> </w:t>
      </w:r>
      <w:r>
        <w:rPr>
          <w:color w:val="231F20"/>
        </w:rPr>
        <w:t>Interamericana</w:t>
      </w:r>
      <w:r>
        <w:rPr>
          <w:color w:val="231F20"/>
          <w:spacing w:val="-13"/>
        </w:rPr>
        <w:t> </w:t>
      </w:r>
      <w:r>
        <w:rPr>
          <w:color w:val="231F20"/>
        </w:rPr>
        <w:t>para</w:t>
      </w:r>
      <w:r>
        <w:rPr>
          <w:color w:val="231F20"/>
          <w:spacing w:val="-13"/>
        </w:rPr>
        <w:t> </w:t>
      </w:r>
      <w:r>
        <w:rPr>
          <w:color w:val="231F20"/>
        </w:rPr>
        <w:t>Prevenir</w:t>
      </w:r>
      <w:r>
        <w:rPr>
          <w:color w:val="231F20"/>
          <w:spacing w:val="-13"/>
        </w:rPr>
        <w:t> </w:t>
      </w:r>
      <w:r>
        <w:rPr>
          <w:color w:val="231F20"/>
        </w:rPr>
        <w:t>y</w:t>
      </w:r>
      <w:r>
        <w:rPr>
          <w:color w:val="231F20"/>
          <w:spacing w:val="-13"/>
        </w:rPr>
        <w:t> </w:t>
      </w:r>
      <w:r>
        <w:rPr>
          <w:color w:val="231F20"/>
        </w:rPr>
        <w:t>Sancionar</w:t>
      </w:r>
      <w:r>
        <w:rPr>
          <w:color w:val="231F20"/>
          <w:spacing w:val="-13"/>
        </w:rPr>
        <w:t> </w:t>
      </w:r>
      <w:r>
        <w:rPr>
          <w:color w:val="231F20"/>
        </w:rPr>
        <w:t>la</w:t>
      </w:r>
      <w:r>
        <w:rPr>
          <w:color w:val="231F20"/>
          <w:spacing w:val="-17"/>
        </w:rPr>
        <w:t> </w:t>
      </w:r>
      <w:r>
        <w:rPr>
          <w:color w:val="231F20"/>
        </w:rPr>
        <w:t>Tortura;</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Con- vención Interamericana para Prevenir, Sancionar y Erradicar la Violencia contra la Mujer (Zumaquero y Brazán, 1998: 1771-1856). Dentro de este rubro, es importante señalar la actuación de la Comisión y la Corte Intera- mericana</w:t>
      </w:r>
      <w:r>
        <w:rPr>
          <w:color w:val="231F20"/>
          <w:spacing w:val="-9"/>
        </w:rPr>
        <w:t> </w:t>
      </w:r>
      <w:r>
        <w:rPr>
          <w:color w:val="231F20"/>
        </w:rPr>
        <w:t>de</w:t>
      </w:r>
      <w:r>
        <w:rPr>
          <w:color w:val="231F20"/>
          <w:spacing w:val="-9"/>
        </w:rPr>
        <w:t> </w:t>
      </w:r>
      <w:r>
        <w:rPr>
          <w:color w:val="231F20"/>
        </w:rPr>
        <w:t>Derechos</w:t>
      </w:r>
      <w:r>
        <w:rPr>
          <w:color w:val="231F20"/>
          <w:spacing w:val="-8"/>
        </w:rPr>
        <w:t> </w:t>
      </w:r>
      <w:r>
        <w:rPr>
          <w:color w:val="231F20"/>
        </w:rPr>
        <w:t>Humanos,</w:t>
      </w:r>
      <w:r>
        <w:rPr>
          <w:color w:val="231F20"/>
          <w:spacing w:val="-8"/>
        </w:rPr>
        <w:t> </w:t>
      </w:r>
      <w:r>
        <w:rPr>
          <w:color w:val="231F20"/>
        </w:rPr>
        <w:t>que</w:t>
      </w:r>
      <w:r>
        <w:rPr>
          <w:color w:val="231F20"/>
          <w:spacing w:val="-9"/>
        </w:rPr>
        <w:t> </w:t>
      </w:r>
      <w:r>
        <w:rPr>
          <w:color w:val="231F20"/>
        </w:rPr>
        <w:t>como</w:t>
      </w:r>
      <w:r>
        <w:rPr>
          <w:color w:val="231F20"/>
          <w:spacing w:val="-9"/>
        </w:rPr>
        <w:t> </w:t>
      </w:r>
      <w:r>
        <w:rPr>
          <w:color w:val="231F20"/>
        </w:rPr>
        <w:t>órganos</w:t>
      </w:r>
      <w:r>
        <w:rPr>
          <w:color w:val="231F20"/>
          <w:spacing w:val="-9"/>
        </w:rPr>
        <w:t> </w:t>
      </w:r>
      <w:r>
        <w:rPr>
          <w:color w:val="231F20"/>
        </w:rPr>
        <w:t>de</w:t>
      </w:r>
      <w:r>
        <w:rPr>
          <w:color w:val="231F20"/>
          <w:spacing w:val="-9"/>
        </w:rPr>
        <w:t> </w:t>
      </w:r>
      <w:r>
        <w:rPr>
          <w:color w:val="231F20"/>
        </w:rPr>
        <w:t>control,</w:t>
      </w:r>
      <w:r>
        <w:rPr>
          <w:color w:val="231F20"/>
          <w:spacing w:val="-9"/>
        </w:rPr>
        <w:t> </w:t>
      </w:r>
      <w:r>
        <w:rPr>
          <w:color w:val="231F20"/>
        </w:rPr>
        <w:t>conforman el sistema de protección cuyas funciones de promoción y solución de</w:t>
      </w:r>
      <w:r>
        <w:rPr>
          <w:color w:val="231F20"/>
          <w:spacing w:val="-30"/>
        </w:rPr>
        <w:t> </w:t>
      </w:r>
      <w:r>
        <w:rPr>
          <w:color w:val="231F20"/>
        </w:rPr>
        <w:t>con- troversias cobran relevancia en el Continente Americano. Al respecto, es necesario mencionar la opinión consultiva número OC-18/03</w:t>
      </w:r>
      <w:r>
        <w:rPr>
          <w:color w:val="231F20"/>
          <w:position w:val="7"/>
          <w:sz w:val="13"/>
        </w:rPr>
        <w:t>8 </w:t>
      </w:r>
      <w:r>
        <w:rPr>
          <w:color w:val="231F20"/>
        </w:rPr>
        <w:t>de la Corte, relativa a: “La Condición Jurídica y Derechos de los Migrantes Indocu- mentados”,</w:t>
      </w:r>
      <w:r>
        <w:rPr>
          <w:color w:val="231F20"/>
          <w:spacing w:val="-7"/>
        </w:rPr>
        <w:t> </w:t>
      </w:r>
      <w:r>
        <w:rPr>
          <w:color w:val="231F20"/>
        </w:rPr>
        <w:t>en</w:t>
      </w:r>
      <w:r>
        <w:rPr>
          <w:color w:val="231F20"/>
          <w:spacing w:val="-6"/>
        </w:rPr>
        <w:t> </w:t>
      </w:r>
      <w:r>
        <w:rPr>
          <w:color w:val="231F20"/>
        </w:rPr>
        <w:t>la</w:t>
      </w:r>
      <w:r>
        <w:rPr>
          <w:color w:val="231F20"/>
          <w:spacing w:val="-6"/>
        </w:rPr>
        <w:t> </w:t>
      </w:r>
      <w:r>
        <w:rPr>
          <w:color w:val="231F20"/>
        </w:rPr>
        <w:t>cual</w:t>
      </w:r>
      <w:r>
        <w:rPr>
          <w:color w:val="231F20"/>
          <w:spacing w:val="-6"/>
        </w:rPr>
        <w:t> </w:t>
      </w:r>
      <w:r>
        <w:rPr>
          <w:color w:val="231F20"/>
        </w:rPr>
        <w:t>este</w:t>
      </w:r>
      <w:r>
        <w:rPr>
          <w:color w:val="231F20"/>
          <w:spacing w:val="-6"/>
        </w:rPr>
        <w:t> </w:t>
      </w:r>
      <w:r>
        <w:rPr>
          <w:color w:val="231F20"/>
        </w:rPr>
        <w:t>órgano</w:t>
      </w:r>
      <w:r>
        <w:rPr>
          <w:color w:val="231F20"/>
          <w:spacing w:val="-6"/>
        </w:rPr>
        <w:t> </w:t>
      </w:r>
      <w:r>
        <w:rPr>
          <w:color w:val="231F20"/>
        </w:rPr>
        <w:t>reconoce</w:t>
      </w:r>
      <w:r>
        <w:rPr>
          <w:color w:val="231F20"/>
          <w:spacing w:val="-6"/>
        </w:rPr>
        <w:t> </w:t>
      </w:r>
      <w:r>
        <w:rPr>
          <w:color w:val="231F20"/>
        </w:rPr>
        <w:t>la</w:t>
      </w:r>
      <w:r>
        <w:rPr>
          <w:color w:val="231F20"/>
          <w:spacing w:val="-6"/>
        </w:rPr>
        <w:t> </w:t>
      </w:r>
      <w:r>
        <w:rPr>
          <w:color w:val="231F20"/>
        </w:rPr>
        <w:t>obligación</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Estados</w:t>
      </w:r>
      <w:r>
        <w:rPr>
          <w:color w:val="231F20"/>
          <w:spacing w:val="-6"/>
        </w:rPr>
        <w:t> </w:t>
      </w:r>
      <w:r>
        <w:rPr>
          <w:color w:val="231F20"/>
        </w:rPr>
        <w:t>de respetar y garantizar los derechos humanos de los migrantes independien- temente de su condición migratoria (CNDH, 2004</w:t>
      </w:r>
      <w:r>
        <w:rPr>
          <w:color w:val="231F20"/>
          <w:sz w:val="24"/>
        </w:rPr>
        <w:t>)</w:t>
      </w:r>
      <w:r>
        <w:rPr>
          <w:color w:val="231F20"/>
        </w:rPr>
        <w:t>. Si bien las opiniones consultivas no poseen fuerza obligatoria </w:t>
      </w:r>
      <w:r>
        <w:rPr>
          <w:i/>
          <w:color w:val="231F20"/>
        </w:rPr>
        <w:t>per se</w:t>
      </w:r>
      <w:r>
        <w:rPr>
          <w:color w:val="231F20"/>
        </w:rPr>
        <w:t>, sí son un parámetro de actuación para los países que forman parte de la Convención</w:t>
      </w:r>
      <w:r>
        <w:rPr>
          <w:color w:val="231F20"/>
          <w:spacing w:val="-25"/>
        </w:rPr>
        <w:t> </w:t>
      </w:r>
      <w:r>
        <w:rPr>
          <w:color w:val="231F20"/>
        </w:rPr>
        <w:t>Americana.</w:t>
      </w:r>
    </w:p>
    <w:p>
      <w:pPr>
        <w:pStyle w:val="BodyText"/>
        <w:spacing w:line="247" w:lineRule="auto"/>
        <w:ind w:left="117" w:right="116" w:firstLine="283"/>
        <w:jc w:val="both"/>
      </w:pPr>
      <w:r>
        <w:rPr>
          <w:color w:val="231F20"/>
        </w:rPr>
        <w:t>Con base en todo lo mencionado, podemos decir que los tratados in- ternacionales no distinguen entre menores nacionales o extranjeros, docu- mentados</w:t>
      </w:r>
      <w:r>
        <w:rPr>
          <w:color w:val="231F20"/>
          <w:spacing w:val="-4"/>
        </w:rPr>
        <w:t> </w:t>
      </w:r>
      <w:r>
        <w:rPr>
          <w:color w:val="231F20"/>
        </w:rPr>
        <w:t>o</w:t>
      </w:r>
      <w:r>
        <w:rPr>
          <w:color w:val="231F20"/>
          <w:spacing w:val="-4"/>
        </w:rPr>
        <w:t> </w:t>
      </w:r>
      <w:r>
        <w:rPr>
          <w:color w:val="231F20"/>
        </w:rPr>
        <w:t>indocumentados,</w:t>
      </w:r>
      <w:r>
        <w:rPr>
          <w:color w:val="231F20"/>
          <w:spacing w:val="-5"/>
        </w:rPr>
        <w:t> </w:t>
      </w:r>
      <w:r>
        <w:rPr>
          <w:color w:val="231F20"/>
        </w:rPr>
        <w:t>por</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gozan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mismos</w:t>
      </w:r>
      <w:r>
        <w:rPr>
          <w:color w:val="231F20"/>
          <w:spacing w:val="-4"/>
        </w:rPr>
        <w:t> </w:t>
      </w:r>
      <w:r>
        <w:rPr>
          <w:color w:val="231F20"/>
        </w:rPr>
        <w:t>derechos,</w:t>
      </w:r>
      <w:r>
        <w:rPr>
          <w:color w:val="231F20"/>
          <w:spacing w:val="-4"/>
        </w:rPr>
        <w:t> </w:t>
      </w:r>
      <w:r>
        <w:rPr>
          <w:color w:val="231F20"/>
        </w:rPr>
        <w:t>en igualdad de condiciones. No obstante, el amparo en este ámbito</w:t>
      </w:r>
      <w:r>
        <w:rPr>
          <w:color w:val="231F20"/>
          <w:spacing w:val="-38"/>
        </w:rPr>
        <w:t> </w:t>
      </w:r>
      <w:r>
        <w:rPr>
          <w:color w:val="231F20"/>
        </w:rPr>
        <w:t>es exiguo, no por el número de textos, sino por la falta de voluntad de los países de incorporarlos a las legislaciones internas y cumplir con su</w:t>
      </w:r>
      <w:r>
        <w:rPr>
          <w:color w:val="231F20"/>
          <w:spacing w:val="-7"/>
        </w:rPr>
        <w:t> </w:t>
      </w:r>
      <w:r>
        <w:rPr>
          <w:color w:val="231F20"/>
        </w:rPr>
        <w:t>observancia.</w:t>
      </w:r>
    </w:p>
    <w:p>
      <w:pPr>
        <w:spacing w:before="149"/>
        <w:ind w:left="117" w:right="0" w:firstLine="0"/>
        <w:jc w:val="both"/>
        <w:rPr>
          <w:i/>
          <w:sz w:val="22"/>
        </w:rPr>
      </w:pPr>
      <w:r>
        <w:rPr>
          <w:i/>
          <w:color w:val="231F20"/>
          <w:sz w:val="22"/>
        </w:rPr>
        <w:t>Ámbito interno</w:t>
      </w:r>
    </w:p>
    <w:p>
      <w:pPr>
        <w:pStyle w:val="BodyText"/>
        <w:spacing w:line="247" w:lineRule="auto" w:before="177"/>
        <w:ind w:left="117" w:right="114"/>
        <w:jc w:val="both"/>
      </w:pPr>
      <w:r>
        <w:rPr>
          <w:color w:val="231F20"/>
        </w:rPr>
        <w:t>En México se reconoce a los niños y adolescentes extranjeros las mismas garantías</w:t>
      </w:r>
      <w:r>
        <w:rPr>
          <w:color w:val="231F20"/>
          <w:spacing w:val="-8"/>
        </w:rPr>
        <w:t> </w:t>
      </w:r>
      <w:r>
        <w:rPr>
          <w:color w:val="231F20"/>
        </w:rPr>
        <w:t>individuales</w:t>
      </w:r>
      <w:r>
        <w:rPr>
          <w:color w:val="231F20"/>
          <w:spacing w:val="-9"/>
        </w:rPr>
        <w:t> </w:t>
      </w:r>
      <w:r>
        <w:rPr>
          <w:color w:val="231F20"/>
        </w:rPr>
        <w:t>de</w:t>
      </w:r>
      <w:r>
        <w:rPr>
          <w:color w:val="231F20"/>
          <w:spacing w:val="-8"/>
        </w:rPr>
        <w:t> </w:t>
      </w:r>
      <w:r>
        <w:rPr>
          <w:color w:val="231F20"/>
        </w:rPr>
        <w:t>igualdad,</w:t>
      </w:r>
      <w:r>
        <w:rPr>
          <w:color w:val="231F20"/>
          <w:spacing w:val="-9"/>
        </w:rPr>
        <w:t> </w:t>
      </w:r>
      <w:r>
        <w:rPr>
          <w:color w:val="231F20"/>
        </w:rPr>
        <w:t>libertad,</w:t>
      </w:r>
      <w:r>
        <w:rPr>
          <w:color w:val="231F20"/>
          <w:spacing w:val="-9"/>
        </w:rPr>
        <w:t> </w:t>
      </w:r>
      <w:r>
        <w:rPr>
          <w:color w:val="231F20"/>
        </w:rPr>
        <w:t>seguridad</w:t>
      </w:r>
      <w:r>
        <w:rPr>
          <w:color w:val="231F20"/>
          <w:spacing w:val="-8"/>
        </w:rPr>
        <w:t> </w:t>
      </w:r>
      <w:r>
        <w:rPr>
          <w:color w:val="231F20"/>
        </w:rPr>
        <w:t>jurídica</w:t>
      </w:r>
      <w:r>
        <w:rPr>
          <w:color w:val="231F20"/>
          <w:spacing w:val="-9"/>
        </w:rPr>
        <w:t> </w:t>
      </w:r>
      <w:r>
        <w:rPr>
          <w:color w:val="231F20"/>
        </w:rPr>
        <w:t>y</w:t>
      </w:r>
      <w:r>
        <w:rPr>
          <w:color w:val="231F20"/>
          <w:spacing w:val="-8"/>
        </w:rPr>
        <w:t> </w:t>
      </w:r>
      <w:r>
        <w:rPr>
          <w:color w:val="231F20"/>
        </w:rPr>
        <w:t>propiedad que</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mexicanos,</w:t>
      </w:r>
      <w:r>
        <w:rPr>
          <w:color w:val="231F20"/>
          <w:spacing w:val="-7"/>
        </w:rPr>
        <w:t> </w:t>
      </w:r>
      <w:r>
        <w:rPr>
          <w:color w:val="231F20"/>
        </w:rPr>
        <w:t>con</w:t>
      </w:r>
      <w:r>
        <w:rPr>
          <w:color w:val="231F20"/>
          <w:spacing w:val="-7"/>
        </w:rPr>
        <w:t> </w:t>
      </w:r>
      <w:r>
        <w:rPr>
          <w:color w:val="231F20"/>
        </w:rPr>
        <w:t>las</w:t>
      </w:r>
      <w:r>
        <w:rPr>
          <w:color w:val="231F20"/>
          <w:spacing w:val="-7"/>
        </w:rPr>
        <w:t> </w:t>
      </w:r>
      <w:r>
        <w:rPr>
          <w:color w:val="231F20"/>
        </w:rPr>
        <w:t>limitaciones</w:t>
      </w:r>
      <w:r>
        <w:rPr>
          <w:color w:val="231F20"/>
          <w:spacing w:val="-7"/>
        </w:rPr>
        <w:t> </w:t>
      </w:r>
      <w:r>
        <w:rPr>
          <w:color w:val="231F20"/>
        </w:rPr>
        <w:t>establecidas</w:t>
      </w:r>
      <w:r>
        <w:rPr>
          <w:color w:val="231F20"/>
          <w:spacing w:val="-7"/>
        </w:rPr>
        <w:t> </w:t>
      </w:r>
      <w:r>
        <w:rPr>
          <w:color w:val="231F20"/>
        </w:rPr>
        <w:t>por</w:t>
      </w:r>
      <w:r>
        <w:rPr>
          <w:color w:val="231F20"/>
          <w:spacing w:val="-6"/>
        </w:rPr>
        <w:t> </w:t>
      </w:r>
      <w:r>
        <w:rPr>
          <w:color w:val="231F20"/>
        </w:rPr>
        <w:t>la</w:t>
      </w:r>
      <w:r>
        <w:rPr>
          <w:color w:val="231F20"/>
          <w:spacing w:val="-7"/>
        </w:rPr>
        <w:t> </w:t>
      </w:r>
      <w:r>
        <w:rPr>
          <w:color w:val="231F20"/>
        </w:rPr>
        <w:t>propia</w:t>
      </w:r>
      <w:r>
        <w:rPr>
          <w:color w:val="231F20"/>
          <w:spacing w:val="-7"/>
        </w:rPr>
        <w:t> </w:t>
      </w:r>
      <w:r>
        <w:rPr>
          <w:color w:val="231F20"/>
        </w:rPr>
        <w:t>ley;</w:t>
      </w:r>
      <w:r>
        <w:rPr>
          <w:color w:val="231F20"/>
          <w:spacing w:val="-7"/>
        </w:rPr>
        <w:t> </w:t>
      </w:r>
      <w:r>
        <w:rPr>
          <w:color w:val="231F20"/>
        </w:rPr>
        <w:t>tal y como lo plasma el artículo primero de la </w:t>
      </w:r>
      <w:r>
        <w:rPr>
          <w:i/>
          <w:color w:val="231F20"/>
        </w:rPr>
        <w:t>Constitución </w:t>
      </w:r>
      <w:r>
        <w:rPr>
          <w:color w:val="231F20"/>
        </w:rPr>
        <w:t>que a letra dice: “En los Estados Unidos Mexicanos todo individuo gozará de las</w:t>
      </w:r>
      <w:r>
        <w:rPr>
          <w:color w:val="231F20"/>
          <w:spacing w:val="-1"/>
        </w:rPr>
        <w:t> </w:t>
      </w:r>
      <w:r>
        <w:rPr>
          <w:color w:val="231F20"/>
        </w:rPr>
        <w:t>garantías</w:t>
      </w:r>
    </w:p>
    <w:p>
      <w:pPr>
        <w:pStyle w:val="BodyText"/>
        <w:spacing w:before="3"/>
        <w:rPr>
          <w:sz w:val="21"/>
        </w:rPr>
      </w:pPr>
      <w:r>
        <w:rPr/>
        <w:pict>
          <v:line style="position:absolute;mso-position-horizontal-relative:page;mso-position-vertical-relative:paragraph;z-index:8392;mso-wrap-distance-left:0;mso-wrap-distance-right:0" from="70.866096pt,14.548755pt" to="142.866096pt,14.548755pt" stroked="true" strokeweight=".75pt" strokecolor="#231f20">
            <w10:wrap type="topAndBottom"/>
          </v:line>
        </w:pict>
      </w:r>
    </w:p>
    <w:p>
      <w:pPr>
        <w:spacing w:line="170" w:lineRule="exact" w:before="0"/>
        <w:ind w:left="117" w:right="117" w:firstLine="0"/>
        <w:jc w:val="left"/>
        <w:rPr>
          <w:sz w:val="17"/>
        </w:rPr>
      </w:pPr>
      <w:r>
        <w:rPr>
          <w:color w:val="231F20"/>
          <w:position w:val="6"/>
          <w:sz w:val="10"/>
        </w:rPr>
        <w:t>8  </w:t>
      </w:r>
      <w:r>
        <w:rPr>
          <w:color w:val="231F20"/>
          <w:sz w:val="17"/>
        </w:rPr>
        <w:t>Solicitada por México el 19 de mayo de 2002.</w:t>
      </w:r>
    </w:p>
    <w:p>
      <w:pPr>
        <w:spacing w:after="0" w:line="170" w:lineRule="exact"/>
        <w:jc w:val="left"/>
        <w:rPr>
          <w:sz w:val="17"/>
        </w:rPr>
        <w:sectPr>
          <w:pgSz w:w="9360" w:h="13040"/>
          <w:pgMar w:header="0" w:footer="496" w:top="840" w:bottom="680" w:left="1300" w:right="1300"/>
        </w:sectPr>
      </w:pPr>
    </w:p>
    <w:p>
      <w:pPr>
        <w:spacing w:before="45"/>
        <w:ind w:left="0" w:right="115" w:firstLine="0"/>
        <w:jc w:val="right"/>
        <w:rPr>
          <w:rFonts w:ascii="Arial" w:hAnsi="Arial"/>
          <w:sz w:val="20"/>
        </w:rPr>
      </w:pPr>
      <w:r>
        <w:rPr>
          <w:rFonts w:ascii="Arial" w:hAnsi="Arial"/>
          <w:color w:val="231F20"/>
          <w:w w:val="70"/>
          <w:sz w:val="20"/>
        </w:rPr>
        <w:t>Los menores inmigrantes indocumentados ante la nueva ley de migración... /Alma C. Guadarrama-Muñoz</w:t>
      </w:r>
    </w:p>
    <w:p>
      <w:pPr>
        <w:pStyle w:val="BodyText"/>
        <w:spacing w:before="7"/>
        <w:rPr>
          <w:rFonts w:ascii="Arial"/>
          <w:sz w:val="28"/>
        </w:rPr>
      </w:pPr>
    </w:p>
    <w:p>
      <w:pPr>
        <w:pStyle w:val="BodyText"/>
        <w:spacing w:line="247" w:lineRule="auto"/>
        <w:ind w:left="117" w:right="114"/>
        <w:jc w:val="both"/>
      </w:pPr>
      <w:r>
        <w:rPr>
          <w:color w:val="231F20"/>
        </w:rPr>
        <w:t>que otorga esta Constitución, las cuales no podrán restringirse ni suspen- derse, sino en los casos y con las condiciones que ella misma establece”. Dentro</w:t>
      </w:r>
      <w:r>
        <w:rPr>
          <w:color w:val="231F20"/>
          <w:spacing w:val="-5"/>
        </w:rPr>
        <w:t> </w:t>
      </w:r>
      <w:r>
        <w:rPr>
          <w:color w:val="231F20"/>
        </w:rPr>
        <w:t>de</w:t>
      </w:r>
      <w:r>
        <w:rPr>
          <w:color w:val="231F20"/>
          <w:spacing w:val="-5"/>
        </w:rPr>
        <w:t> </w:t>
      </w:r>
      <w:r>
        <w:rPr>
          <w:color w:val="231F20"/>
        </w:rPr>
        <w:t>su</w:t>
      </w:r>
      <w:r>
        <w:rPr>
          <w:color w:val="231F20"/>
          <w:spacing w:val="-5"/>
        </w:rPr>
        <w:t> </w:t>
      </w:r>
      <w:r>
        <w:rPr>
          <w:i/>
          <w:color w:val="231F20"/>
        </w:rPr>
        <w:t>corpus</w:t>
      </w:r>
      <w:r>
        <w:rPr>
          <w:color w:val="231F20"/>
        </w:rPr>
        <w:t>,</w:t>
      </w:r>
      <w:r>
        <w:rPr>
          <w:color w:val="231F20"/>
          <w:spacing w:val="-5"/>
        </w:rPr>
        <w:t> </w:t>
      </w:r>
      <w:r>
        <w:rPr>
          <w:color w:val="231F20"/>
        </w:rPr>
        <w:t>hay</w:t>
      </w:r>
      <w:r>
        <w:rPr>
          <w:color w:val="231F20"/>
          <w:spacing w:val="-5"/>
        </w:rPr>
        <w:t> </w:t>
      </w:r>
      <w:r>
        <w:rPr>
          <w:color w:val="231F20"/>
        </w:rPr>
        <w:t>disposiciones</w:t>
      </w:r>
      <w:r>
        <w:rPr>
          <w:color w:val="231F20"/>
          <w:spacing w:val="-5"/>
        </w:rPr>
        <w:t> </w:t>
      </w:r>
      <w:r>
        <w:rPr>
          <w:color w:val="231F20"/>
        </w:rPr>
        <w:t>particularmente</w:t>
      </w:r>
      <w:r>
        <w:rPr>
          <w:color w:val="231F20"/>
          <w:spacing w:val="-5"/>
        </w:rPr>
        <w:t> </w:t>
      </w:r>
      <w:r>
        <w:rPr>
          <w:color w:val="231F20"/>
        </w:rPr>
        <w:t>destinadas</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de- fensa de la infancia, por ejemplo, la que recoge el derecho a la educación o la que prohíbe el trabajo de personas de menos de 14 años. No obstante, es el artículo cuarto en sus tres últimos párrafos el que sienta la base del régimen constitucional de los</w:t>
      </w:r>
      <w:r>
        <w:rPr>
          <w:color w:val="231F20"/>
          <w:spacing w:val="-2"/>
        </w:rPr>
        <w:t> </w:t>
      </w:r>
      <w:r>
        <w:rPr>
          <w:color w:val="231F20"/>
        </w:rPr>
        <w:t>menores.</w:t>
      </w:r>
    </w:p>
    <w:p>
      <w:pPr>
        <w:pStyle w:val="BodyText"/>
        <w:spacing w:line="247" w:lineRule="auto"/>
        <w:ind w:left="117" w:right="115" w:firstLine="283"/>
        <w:jc w:val="both"/>
      </w:pPr>
      <w:r>
        <w:rPr>
          <w:color w:val="231F20"/>
        </w:rPr>
        <w:t>Aunado</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derechos</w:t>
      </w:r>
      <w:r>
        <w:rPr>
          <w:color w:val="231F20"/>
          <w:spacing w:val="-5"/>
        </w:rPr>
        <w:t> </w:t>
      </w:r>
      <w:r>
        <w:rPr>
          <w:color w:val="231F20"/>
        </w:rPr>
        <w:t>reconocidos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Carta</w:t>
      </w:r>
      <w:r>
        <w:rPr>
          <w:color w:val="231F20"/>
          <w:spacing w:val="-5"/>
        </w:rPr>
        <w:t> </w:t>
      </w:r>
      <w:r>
        <w:rPr>
          <w:color w:val="231F20"/>
        </w:rPr>
        <w:t>Magna</w:t>
      </w:r>
      <w:r>
        <w:rPr>
          <w:color w:val="231F20"/>
          <w:spacing w:val="-5"/>
        </w:rPr>
        <w:t> </w:t>
      </w:r>
      <w:r>
        <w:rPr>
          <w:color w:val="231F20"/>
        </w:rPr>
        <w:t>y</w:t>
      </w:r>
      <w:r>
        <w:rPr>
          <w:color w:val="231F20"/>
          <w:spacing w:val="-5"/>
        </w:rPr>
        <w:t> </w:t>
      </w:r>
      <w:r>
        <w:rPr>
          <w:color w:val="231F20"/>
        </w:rPr>
        <w:t>en</w:t>
      </w:r>
      <w:r>
        <w:rPr>
          <w:color w:val="231F20"/>
          <w:spacing w:val="-5"/>
        </w:rPr>
        <w:t> </w:t>
      </w:r>
      <w:r>
        <w:rPr>
          <w:color w:val="231F20"/>
        </w:rPr>
        <w:t>los</w:t>
      </w:r>
      <w:r>
        <w:rPr>
          <w:color w:val="231F20"/>
          <w:spacing w:val="-5"/>
        </w:rPr>
        <w:t> </w:t>
      </w:r>
      <w:r>
        <w:rPr>
          <w:color w:val="231F20"/>
        </w:rPr>
        <w:t>tratados internacionales existe una norma federal que de manera expresa ampara a los</w:t>
      </w:r>
      <w:r>
        <w:rPr>
          <w:color w:val="231F20"/>
          <w:spacing w:val="-10"/>
        </w:rPr>
        <w:t> </w:t>
      </w:r>
      <w:r>
        <w:rPr>
          <w:color w:val="231F20"/>
        </w:rPr>
        <w:t>menores.</w:t>
      </w:r>
      <w:r>
        <w:rPr>
          <w:color w:val="231F20"/>
          <w:spacing w:val="-11"/>
        </w:rPr>
        <w:t> </w:t>
      </w:r>
      <w:r>
        <w:rPr>
          <w:color w:val="231F20"/>
        </w:rPr>
        <w:t>Nos</w:t>
      </w:r>
      <w:r>
        <w:rPr>
          <w:color w:val="231F20"/>
          <w:spacing w:val="-10"/>
        </w:rPr>
        <w:t> </w:t>
      </w:r>
      <w:r>
        <w:rPr>
          <w:color w:val="231F20"/>
        </w:rPr>
        <w:t>referimos</w:t>
      </w:r>
      <w:r>
        <w:rPr>
          <w:color w:val="231F20"/>
          <w:spacing w:val="-10"/>
        </w:rPr>
        <w:t> </w:t>
      </w:r>
      <w:r>
        <w:rPr>
          <w:color w:val="231F20"/>
        </w:rPr>
        <w:t>a</w:t>
      </w:r>
      <w:r>
        <w:rPr>
          <w:color w:val="231F20"/>
          <w:spacing w:val="-10"/>
        </w:rPr>
        <w:t> </w:t>
      </w:r>
      <w:r>
        <w:rPr>
          <w:color w:val="231F20"/>
        </w:rPr>
        <w:t>la</w:t>
      </w:r>
      <w:r>
        <w:rPr>
          <w:color w:val="231F20"/>
          <w:spacing w:val="-10"/>
        </w:rPr>
        <w:t> </w:t>
      </w:r>
      <w:r>
        <w:rPr>
          <w:i/>
          <w:color w:val="231F20"/>
        </w:rPr>
        <w:t>Ley</w:t>
      </w:r>
      <w:r>
        <w:rPr>
          <w:i/>
          <w:color w:val="231F20"/>
          <w:spacing w:val="-10"/>
        </w:rPr>
        <w:t> </w:t>
      </w:r>
      <w:r>
        <w:rPr>
          <w:i/>
          <w:color w:val="231F20"/>
        </w:rPr>
        <w:t>para</w:t>
      </w:r>
      <w:r>
        <w:rPr>
          <w:i/>
          <w:color w:val="231F20"/>
          <w:spacing w:val="-10"/>
        </w:rPr>
        <w:t> </w:t>
      </w:r>
      <w:r>
        <w:rPr>
          <w:i/>
          <w:color w:val="231F20"/>
        </w:rPr>
        <w:t>la</w:t>
      </w:r>
      <w:r>
        <w:rPr>
          <w:i/>
          <w:color w:val="231F20"/>
          <w:spacing w:val="-10"/>
        </w:rPr>
        <w:t> </w:t>
      </w:r>
      <w:r>
        <w:rPr>
          <w:i/>
          <w:color w:val="231F20"/>
        </w:rPr>
        <w:t>Protección</w:t>
      </w:r>
      <w:r>
        <w:rPr>
          <w:i/>
          <w:color w:val="231F20"/>
          <w:spacing w:val="-10"/>
        </w:rPr>
        <w:t> </w:t>
      </w:r>
      <w:r>
        <w:rPr>
          <w:i/>
          <w:color w:val="231F20"/>
        </w:rPr>
        <w:t>de</w:t>
      </w:r>
      <w:r>
        <w:rPr>
          <w:i/>
          <w:color w:val="231F20"/>
          <w:spacing w:val="-10"/>
        </w:rPr>
        <w:t> </w:t>
      </w:r>
      <w:r>
        <w:rPr>
          <w:i/>
          <w:color w:val="231F20"/>
        </w:rPr>
        <w:t>las</w:t>
      </w:r>
      <w:r>
        <w:rPr>
          <w:i/>
          <w:color w:val="231F20"/>
          <w:spacing w:val="-10"/>
        </w:rPr>
        <w:t> </w:t>
      </w:r>
      <w:r>
        <w:rPr>
          <w:i/>
          <w:color w:val="231F20"/>
        </w:rPr>
        <w:t>Niñas,</w:t>
      </w:r>
      <w:r>
        <w:rPr>
          <w:i/>
          <w:color w:val="231F20"/>
          <w:spacing w:val="-10"/>
        </w:rPr>
        <w:t> </w:t>
      </w:r>
      <w:r>
        <w:rPr>
          <w:i/>
          <w:color w:val="231F20"/>
        </w:rPr>
        <w:t>Niños </w:t>
      </w:r>
      <w:r>
        <w:rPr>
          <w:i/>
          <w:color w:val="231F20"/>
        </w:rPr>
        <w:t>y Adolescentes</w:t>
      </w:r>
      <w:r>
        <w:rPr>
          <w:color w:val="231F20"/>
        </w:rPr>
        <w:t>, cuyo objetivo es garantizarles la tutela y el respeto a sus derechos, entre los que encontramos: la vida, la no discriminación, el</w:t>
      </w:r>
      <w:r>
        <w:rPr>
          <w:color w:val="231F20"/>
          <w:spacing w:val="-33"/>
        </w:rPr>
        <w:t> </w:t>
      </w:r>
      <w:r>
        <w:rPr>
          <w:color w:val="231F20"/>
        </w:rPr>
        <w:t>vivir en</w:t>
      </w:r>
      <w:r>
        <w:rPr>
          <w:color w:val="231F20"/>
          <w:spacing w:val="-5"/>
        </w:rPr>
        <w:t> </w:t>
      </w:r>
      <w:r>
        <w:rPr>
          <w:color w:val="231F20"/>
        </w:rPr>
        <w:t>condiciones</w:t>
      </w:r>
      <w:r>
        <w:rPr>
          <w:color w:val="231F20"/>
          <w:spacing w:val="-6"/>
        </w:rPr>
        <w:t> </w:t>
      </w:r>
      <w:r>
        <w:rPr>
          <w:color w:val="231F20"/>
        </w:rPr>
        <w:t>de</w:t>
      </w:r>
      <w:r>
        <w:rPr>
          <w:color w:val="231F20"/>
          <w:spacing w:val="-5"/>
        </w:rPr>
        <w:t> </w:t>
      </w:r>
      <w:r>
        <w:rPr>
          <w:color w:val="231F20"/>
        </w:rPr>
        <w:t>bienestar</w:t>
      </w:r>
      <w:r>
        <w:rPr>
          <w:color w:val="231F20"/>
          <w:spacing w:val="-5"/>
        </w:rPr>
        <w:t> </w:t>
      </w:r>
      <w:r>
        <w:rPr>
          <w:color w:val="231F20"/>
        </w:rPr>
        <w:t>y</w:t>
      </w:r>
      <w:r>
        <w:rPr>
          <w:color w:val="231F20"/>
          <w:spacing w:val="-5"/>
        </w:rPr>
        <w:t> </w:t>
      </w:r>
      <w:r>
        <w:rPr>
          <w:color w:val="231F20"/>
        </w:rPr>
        <w:t>sano</w:t>
      </w:r>
      <w:r>
        <w:rPr>
          <w:color w:val="231F20"/>
          <w:spacing w:val="-5"/>
        </w:rPr>
        <w:t> </w:t>
      </w:r>
      <w:r>
        <w:rPr>
          <w:color w:val="231F20"/>
        </w:rPr>
        <w:t>desarrollo</w:t>
      </w:r>
      <w:r>
        <w:rPr>
          <w:color w:val="231F20"/>
          <w:spacing w:val="-5"/>
        </w:rPr>
        <w:t> </w:t>
      </w:r>
      <w:r>
        <w:rPr>
          <w:color w:val="231F20"/>
        </w:rPr>
        <w:t>psicofísico,</w:t>
      </w:r>
      <w:r>
        <w:rPr>
          <w:color w:val="231F20"/>
          <w:spacing w:val="-5"/>
        </w:rPr>
        <w:t> </w:t>
      </w:r>
      <w:r>
        <w:rPr>
          <w:color w:val="231F20"/>
        </w:rPr>
        <w:t>el</w:t>
      </w:r>
      <w:r>
        <w:rPr>
          <w:color w:val="231F20"/>
          <w:spacing w:val="-5"/>
        </w:rPr>
        <w:t> </w:t>
      </w:r>
      <w:r>
        <w:rPr>
          <w:color w:val="231F20"/>
        </w:rPr>
        <w:t>ser</w:t>
      </w:r>
      <w:r>
        <w:rPr>
          <w:color w:val="231F20"/>
          <w:spacing w:val="-5"/>
        </w:rPr>
        <w:t> </w:t>
      </w:r>
      <w:r>
        <w:rPr>
          <w:color w:val="231F20"/>
        </w:rPr>
        <w:t>protegidos en su integridad, libertad y contra maltrato y abuso sexual, el vivir en fa- milia, el descanso y el juego, la salud, la educación y el debido proceso</w:t>
      </w:r>
      <w:r>
        <w:rPr>
          <w:color w:val="231F20"/>
          <w:spacing w:val="-22"/>
        </w:rPr>
        <w:t> </w:t>
      </w:r>
      <w:r>
        <w:rPr>
          <w:color w:val="231F20"/>
        </w:rPr>
        <w:t>en caso de infracción a la ley penal. Esta disposición, de aplicación en toda  la República, obliga a su cumplimiento a los padres, ascendientes, tutores, custodios y autoridades de los diversos órdenes de</w:t>
      </w:r>
      <w:r>
        <w:rPr>
          <w:color w:val="231F20"/>
          <w:spacing w:val="-3"/>
        </w:rPr>
        <w:t> </w:t>
      </w:r>
      <w:r>
        <w:rPr>
          <w:color w:val="231F20"/>
        </w:rPr>
        <w:t>gobierno.</w:t>
      </w:r>
    </w:p>
    <w:p>
      <w:pPr>
        <w:pStyle w:val="BodyText"/>
        <w:spacing w:line="247" w:lineRule="auto"/>
        <w:ind w:left="117" w:right="114" w:firstLine="283"/>
        <w:jc w:val="right"/>
      </w:pPr>
      <w:r>
        <w:rPr>
          <w:color w:val="231F20"/>
        </w:rPr>
        <w:t>La</w:t>
      </w:r>
      <w:r>
        <w:rPr>
          <w:color w:val="231F20"/>
          <w:spacing w:val="31"/>
        </w:rPr>
        <w:t> </w:t>
      </w:r>
      <w:r>
        <w:rPr>
          <w:color w:val="231F20"/>
        </w:rPr>
        <w:t>ley</w:t>
      </w:r>
      <w:r>
        <w:rPr>
          <w:color w:val="231F20"/>
          <w:spacing w:val="31"/>
        </w:rPr>
        <w:t> </w:t>
      </w:r>
      <w:r>
        <w:rPr>
          <w:color w:val="231F20"/>
        </w:rPr>
        <w:t>en</w:t>
      </w:r>
      <w:r>
        <w:rPr>
          <w:color w:val="231F20"/>
          <w:spacing w:val="31"/>
        </w:rPr>
        <w:t> </w:t>
      </w:r>
      <w:r>
        <w:rPr>
          <w:color w:val="231F20"/>
        </w:rPr>
        <w:t>comento</w:t>
      </w:r>
      <w:r>
        <w:rPr>
          <w:color w:val="231F20"/>
          <w:spacing w:val="31"/>
        </w:rPr>
        <w:t> </w:t>
      </w:r>
      <w:r>
        <w:rPr>
          <w:color w:val="231F20"/>
        </w:rPr>
        <w:t>introduce</w:t>
      </w:r>
      <w:r>
        <w:rPr>
          <w:color w:val="231F20"/>
          <w:spacing w:val="31"/>
        </w:rPr>
        <w:t> </w:t>
      </w:r>
      <w:r>
        <w:rPr>
          <w:color w:val="231F20"/>
        </w:rPr>
        <w:t>un</w:t>
      </w:r>
      <w:r>
        <w:rPr>
          <w:color w:val="231F20"/>
          <w:spacing w:val="31"/>
        </w:rPr>
        <w:t> </w:t>
      </w:r>
      <w:r>
        <w:rPr>
          <w:color w:val="231F20"/>
        </w:rPr>
        <w:t>concepto</w:t>
      </w:r>
      <w:r>
        <w:rPr>
          <w:color w:val="231F20"/>
          <w:spacing w:val="31"/>
        </w:rPr>
        <w:t> </w:t>
      </w:r>
      <w:r>
        <w:rPr>
          <w:color w:val="231F20"/>
        </w:rPr>
        <w:t>novedoso,</w:t>
      </w:r>
      <w:r>
        <w:rPr>
          <w:color w:val="231F20"/>
          <w:spacing w:val="31"/>
        </w:rPr>
        <w:t> </w:t>
      </w:r>
      <w:r>
        <w:rPr>
          <w:color w:val="231F20"/>
        </w:rPr>
        <w:t>el</w:t>
      </w:r>
      <w:r>
        <w:rPr>
          <w:color w:val="231F20"/>
          <w:spacing w:val="31"/>
        </w:rPr>
        <w:t> </w:t>
      </w:r>
      <w:r>
        <w:rPr>
          <w:color w:val="231F20"/>
        </w:rPr>
        <w:t>denominado “interés superior del niño”, el cual debe privar sobre cualquier</w:t>
      </w:r>
      <w:r>
        <w:rPr>
          <w:color w:val="231F20"/>
          <w:spacing w:val="36"/>
        </w:rPr>
        <w:t> </w:t>
      </w:r>
      <w:r>
        <w:rPr>
          <w:color w:val="231F20"/>
        </w:rPr>
        <w:t>otro</w:t>
      </w:r>
      <w:r>
        <w:rPr>
          <w:color w:val="231F20"/>
          <w:spacing w:val="14"/>
        </w:rPr>
        <w:t> </w:t>
      </w:r>
      <w:r>
        <w:rPr>
          <w:color w:val="231F20"/>
        </w:rPr>
        <w:t>inte- rés legítimo, incluyendo el genuino de controlar los flujos</w:t>
      </w:r>
      <w:r>
        <w:rPr>
          <w:color w:val="231F20"/>
          <w:spacing w:val="-11"/>
        </w:rPr>
        <w:t> </w:t>
      </w:r>
      <w:r>
        <w:rPr>
          <w:color w:val="231F20"/>
        </w:rPr>
        <w:t>migratorios.</w:t>
      </w:r>
      <w:r>
        <w:rPr>
          <w:color w:val="231F20"/>
          <w:spacing w:val="-2"/>
        </w:rPr>
        <w:t> </w:t>
      </w:r>
      <w:r>
        <w:rPr>
          <w:color w:val="231F20"/>
        </w:rPr>
        <w:t>De ahí que las normas dirigidas a este grupo vulnerable sean</w:t>
      </w:r>
      <w:r>
        <w:rPr>
          <w:color w:val="231F20"/>
          <w:spacing w:val="27"/>
        </w:rPr>
        <w:t> </w:t>
      </w:r>
      <w:r>
        <w:rPr>
          <w:color w:val="231F20"/>
        </w:rPr>
        <w:t>encaminadas</w:t>
      </w:r>
      <w:r>
        <w:rPr>
          <w:color w:val="231F20"/>
          <w:spacing w:val="12"/>
        </w:rPr>
        <w:t> </w:t>
      </w:r>
      <w:r>
        <w:rPr>
          <w:color w:val="231F20"/>
        </w:rPr>
        <w:t>a procurarles, primordialmente, los cuidados y la asistencia</w:t>
      </w:r>
      <w:r>
        <w:rPr>
          <w:color w:val="231F20"/>
          <w:spacing w:val="8"/>
        </w:rPr>
        <w:t> </w:t>
      </w:r>
      <w:r>
        <w:rPr>
          <w:color w:val="231F20"/>
        </w:rPr>
        <w:t>requerida</w:t>
      </w:r>
      <w:r>
        <w:rPr>
          <w:color w:val="231F20"/>
          <w:spacing w:val="17"/>
        </w:rPr>
        <w:t> </w:t>
      </w:r>
      <w:r>
        <w:rPr>
          <w:color w:val="231F20"/>
        </w:rPr>
        <w:t>para lograr</w:t>
      </w:r>
      <w:r>
        <w:rPr>
          <w:color w:val="231F20"/>
          <w:spacing w:val="29"/>
        </w:rPr>
        <w:t> </w:t>
      </w:r>
      <w:r>
        <w:rPr>
          <w:color w:val="231F20"/>
        </w:rPr>
        <w:t>un</w:t>
      </w:r>
      <w:r>
        <w:rPr>
          <w:color w:val="231F20"/>
          <w:spacing w:val="30"/>
        </w:rPr>
        <w:t> </w:t>
      </w:r>
      <w:r>
        <w:rPr>
          <w:color w:val="231F20"/>
        </w:rPr>
        <w:t>crecimiento</w:t>
      </w:r>
      <w:r>
        <w:rPr>
          <w:color w:val="231F20"/>
          <w:spacing w:val="29"/>
        </w:rPr>
        <w:t> </w:t>
      </w:r>
      <w:r>
        <w:rPr>
          <w:color w:val="231F20"/>
        </w:rPr>
        <w:t>y</w:t>
      </w:r>
      <w:r>
        <w:rPr>
          <w:color w:val="231F20"/>
          <w:spacing w:val="30"/>
        </w:rPr>
        <w:t> </w:t>
      </w:r>
      <w:r>
        <w:rPr>
          <w:color w:val="231F20"/>
        </w:rPr>
        <w:t>un</w:t>
      </w:r>
      <w:r>
        <w:rPr>
          <w:color w:val="231F20"/>
          <w:spacing w:val="30"/>
        </w:rPr>
        <w:t> </w:t>
      </w:r>
      <w:r>
        <w:rPr>
          <w:color w:val="231F20"/>
        </w:rPr>
        <w:t>desarrollo</w:t>
      </w:r>
      <w:r>
        <w:rPr>
          <w:color w:val="231F20"/>
          <w:spacing w:val="30"/>
        </w:rPr>
        <w:t> </w:t>
      </w:r>
      <w:r>
        <w:rPr>
          <w:color w:val="231F20"/>
        </w:rPr>
        <w:t>plenos</w:t>
      </w:r>
      <w:r>
        <w:rPr>
          <w:color w:val="231F20"/>
          <w:spacing w:val="30"/>
        </w:rPr>
        <w:t> </w:t>
      </w:r>
      <w:r>
        <w:rPr>
          <w:color w:val="231F20"/>
        </w:rPr>
        <w:t>dentro</w:t>
      </w:r>
      <w:r>
        <w:rPr>
          <w:color w:val="231F20"/>
          <w:spacing w:val="30"/>
        </w:rPr>
        <w:t> </w:t>
      </w:r>
      <w:r>
        <w:rPr>
          <w:color w:val="231F20"/>
        </w:rPr>
        <w:t>de</w:t>
      </w:r>
      <w:r>
        <w:rPr>
          <w:color w:val="231F20"/>
          <w:spacing w:val="30"/>
        </w:rPr>
        <w:t> </w:t>
      </w:r>
      <w:r>
        <w:rPr>
          <w:color w:val="231F20"/>
        </w:rPr>
        <w:t>un</w:t>
      </w:r>
      <w:r>
        <w:rPr>
          <w:color w:val="231F20"/>
          <w:spacing w:val="30"/>
        </w:rPr>
        <w:t> </w:t>
      </w:r>
      <w:r>
        <w:rPr>
          <w:color w:val="231F20"/>
        </w:rPr>
        <w:t>ambiente</w:t>
      </w:r>
      <w:r>
        <w:rPr>
          <w:color w:val="231F20"/>
          <w:spacing w:val="29"/>
        </w:rPr>
        <w:t> </w:t>
      </w:r>
      <w:r>
        <w:rPr>
          <w:color w:val="231F20"/>
        </w:rPr>
        <w:t>de bienestar</w:t>
      </w:r>
      <w:r>
        <w:rPr>
          <w:color w:val="231F20"/>
          <w:spacing w:val="-11"/>
        </w:rPr>
        <w:t> </w:t>
      </w:r>
      <w:r>
        <w:rPr>
          <w:color w:val="231F20"/>
        </w:rPr>
        <w:t>familiar</w:t>
      </w:r>
      <w:r>
        <w:rPr>
          <w:color w:val="231F20"/>
          <w:spacing w:val="-11"/>
        </w:rPr>
        <w:t> </w:t>
      </w:r>
      <w:r>
        <w:rPr>
          <w:color w:val="231F20"/>
        </w:rPr>
        <w:t>y</w:t>
      </w:r>
      <w:r>
        <w:rPr>
          <w:color w:val="231F20"/>
          <w:spacing w:val="-11"/>
        </w:rPr>
        <w:t> </w:t>
      </w:r>
      <w:r>
        <w:rPr>
          <w:color w:val="231F20"/>
        </w:rPr>
        <w:t>social.</w:t>
      </w:r>
      <w:r>
        <w:rPr>
          <w:color w:val="231F20"/>
          <w:spacing w:val="-11"/>
        </w:rPr>
        <w:t> </w:t>
      </w:r>
      <w:r>
        <w:rPr>
          <w:color w:val="231F20"/>
        </w:rPr>
        <w:t>De</w:t>
      </w:r>
      <w:r>
        <w:rPr>
          <w:color w:val="231F20"/>
          <w:spacing w:val="-11"/>
        </w:rPr>
        <w:t> </w:t>
      </w:r>
      <w:r>
        <w:rPr>
          <w:color w:val="231F20"/>
        </w:rPr>
        <w:t>este</w:t>
      </w:r>
      <w:r>
        <w:rPr>
          <w:color w:val="231F20"/>
          <w:spacing w:val="-12"/>
        </w:rPr>
        <w:t> </w:t>
      </w:r>
      <w:r>
        <w:rPr>
          <w:color w:val="231F20"/>
        </w:rPr>
        <w:t>modo,</w:t>
      </w:r>
      <w:r>
        <w:rPr>
          <w:color w:val="231F20"/>
          <w:spacing w:val="-12"/>
        </w:rPr>
        <w:t> </w:t>
      </w:r>
      <w:r>
        <w:rPr>
          <w:color w:val="231F20"/>
        </w:rPr>
        <w:t>cualquier</w:t>
      </w:r>
      <w:r>
        <w:rPr>
          <w:color w:val="231F20"/>
          <w:spacing w:val="-12"/>
        </w:rPr>
        <w:t> </w:t>
      </w:r>
      <w:r>
        <w:rPr>
          <w:color w:val="231F20"/>
        </w:rPr>
        <w:t>actuación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autori- dades</w:t>
      </w:r>
      <w:r>
        <w:rPr>
          <w:color w:val="231F20"/>
          <w:spacing w:val="-13"/>
        </w:rPr>
        <w:t> </w:t>
      </w:r>
      <w:r>
        <w:rPr>
          <w:color w:val="231F20"/>
        </w:rPr>
        <w:t>con</w:t>
      </w:r>
      <w:r>
        <w:rPr>
          <w:color w:val="231F20"/>
          <w:spacing w:val="-13"/>
        </w:rPr>
        <w:t> </w:t>
      </w:r>
      <w:r>
        <w:rPr>
          <w:color w:val="231F20"/>
        </w:rPr>
        <w:t>respecto</w:t>
      </w:r>
      <w:r>
        <w:rPr>
          <w:color w:val="231F20"/>
          <w:spacing w:val="-13"/>
        </w:rPr>
        <w:t> </w:t>
      </w:r>
      <w:r>
        <w:rPr>
          <w:color w:val="231F20"/>
        </w:rPr>
        <w:t>al</w:t>
      </w:r>
      <w:r>
        <w:rPr>
          <w:color w:val="231F20"/>
          <w:spacing w:val="-13"/>
        </w:rPr>
        <w:t> </w:t>
      </w:r>
      <w:r>
        <w:rPr>
          <w:color w:val="231F20"/>
        </w:rPr>
        <w:t>menor</w:t>
      </w:r>
      <w:r>
        <w:rPr>
          <w:color w:val="231F20"/>
          <w:spacing w:val="-13"/>
        </w:rPr>
        <w:t> </w:t>
      </w:r>
      <w:r>
        <w:rPr>
          <w:color w:val="231F20"/>
        </w:rPr>
        <w:t>migrante,</w:t>
      </w:r>
      <w:r>
        <w:rPr>
          <w:color w:val="231F20"/>
          <w:spacing w:val="-14"/>
        </w:rPr>
        <w:t> </w:t>
      </w:r>
      <w:r>
        <w:rPr>
          <w:color w:val="231F20"/>
        </w:rPr>
        <w:t>debe</w:t>
      </w:r>
      <w:r>
        <w:rPr>
          <w:color w:val="231F20"/>
          <w:spacing w:val="-13"/>
        </w:rPr>
        <w:t> </w:t>
      </w:r>
      <w:r>
        <w:rPr>
          <w:color w:val="231F20"/>
        </w:rPr>
        <w:t>partir</w:t>
      </w:r>
      <w:r>
        <w:rPr>
          <w:color w:val="231F20"/>
          <w:spacing w:val="-13"/>
        </w:rPr>
        <w:t> </w:t>
      </w:r>
      <w:r>
        <w:rPr>
          <w:color w:val="231F20"/>
        </w:rPr>
        <w:t>del</w:t>
      </w:r>
      <w:r>
        <w:rPr>
          <w:color w:val="231F20"/>
          <w:spacing w:val="-13"/>
        </w:rPr>
        <w:t> </w:t>
      </w:r>
      <w:r>
        <w:rPr>
          <w:color w:val="231F20"/>
        </w:rPr>
        <w:t>reconocimiento</w:t>
      </w:r>
      <w:r>
        <w:rPr>
          <w:color w:val="231F20"/>
          <w:spacing w:val="-13"/>
        </w:rPr>
        <w:t> </w:t>
      </w:r>
      <w:r>
        <w:rPr>
          <w:color w:val="231F20"/>
        </w:rPr>
        <w:t>de</w:t>
      </w:r>
      <w:r>
        <w:rPr>
          <w:color w:val="231F20"/>
          <w:spacing w:val="-13"/>
        </w:rPr>
        <w:t> </w:t>
      </w:r>
      <w:r>
        <w:rPr>
          <w:color w:val="231F20"/>
        </w:rPr>
        <w:t>su</w:t>
      </w:r>
      <w:r>
        <w:rPr>
          <w:color w:val="231F20"/>
          <w:spacing w:val="-1"/>
        </w:rPr>
        <w:t> </w:t>
      </w:r>
      <w:r>
        <w:rPr>
          <w:color w:val="231F20"/>
        </w:rPr>
        <w:t>capacidad</w:t>
      </w:r>
      <w:r>
        <w:rPr>
          <w:color w:val="231F20"/>
          <w:spacing w:val="-11"/>
        </w:rPr>
        <w:t> </w:t>
      </w:r>
      <w:r>
        <w:rPr>
          <w:color w:val="231F20"/>
        </w:rPr>
        <w:t>para</w:t>
      </w:r>
      <w:r>
        <w:rPr>
          <w:color w:val="231F20"/>
          <w:spacing w:val="-11"/>
        </w:rPr>
        <w:t> </w:t>
      </w:r>
      <w:r>
        <w:rPr>
          <w:color w:val="231F20"/>
        </w:rPr>
        <w:t>decidir</w:t>
      </w:r>
      <w:r>
        <w:rPr>
          <w:color w:val="231F20"/>
          <w:spacing w:val="-11"/>
        </w:rPr>
        <w:t> </w:t>
      </w:r>
      <w:r>
        <w:rPr>
          <w:color w:val="231F20"/>
        </w:rPr>
        <w:t>la</w:t>
      </w:r>
      <w:r>
        <w:rPr>
          <w:color w:val="231F20"/>
          <w:spacing w:val="-11"/>
        </w:rPr>
        <w:t> </w:t>
      </w:r>
      <w:r>
        <w:rPr>
          <w:color w:val="231F20"/>
        </w:rPr>
        <w:t>forma</w:t>
      </w:r>
      <w:r>
        <w:rPr>
          <w:color w:val="231F20"/>
          <w:spacing w:val="-11"/>
        </w:rPr>
        <w:t> </w:t>
      </w:r>
      <w:r>
        <w:rPr>
          <w:color w:val="231F20"/>
        </w:rPr>
        <w:t>de</w:t>
      </w:r>
      <w:r>
        <w:rPr>
          <w:color w:val="231F20"/>
          <w:spacing w:val="-11"/>
        </w:rPr>
        <w:t> </w:t>
      </w:r>
      <w:r>
        <w:rPr>
          <w:color w:val="231F20"/>
        </w:rPr>
        <w:t>solucionar</w:t>
      </w:r>
      <w:r>
        <w:rPr>
          <w:color w:val="231F20"/>
          <w:spacing w:val="-10"/>
        </w:rPr>
        <w:t> </w:t>
      </w:r>
      <w:r>
        <w:rPr>
          <w:color w:val="231F20"/>
        </w:rPr>
        <w:t>los</w:t>
      </w:r>
      <w:r>
        <w:rPr>
          <w:color w:val="231F20"/>
          <w:spacing w:val="-11"/>
        </w:rPr>
        <w:t> </w:t>
      </w:r>
      <w:r>
        <w:rPr>
          <w:color w:val="231F20"/>
        </w:rPr>
        <w:t>problemas</w:t>
      </w:r>
      <w:r>
        <w:rPr>
          <w:color w:val="231F20"/>
          <w:spacing w:val="-11"/>
        </w:rPr>
        <w:t> </w:t>
      </w:r>
      <w:r>
        <w:rPr>
          <w:color w:val="231F20"/>
        </w:rPr>
        <w:t>que</w:t>
      </w:r>
      <w:r>
        <w:rPr>
          <w:color w:val="231F20"/>
          <w:spacing w:val="-11"/>
        </w:rPr>
        <w:t> </w:t>
      </w:r>
      <w:r>
        <w:rPr>
          <w:color w:val="231F20"/>
        </w:rPr>
        <w:t>le</w:t>
      </w:r>
      <w:r>
        <w:rPr>
          <w:color w:val="231F20"/>
          <w:spacing w:val="-11"/>
        </w:rPr>
        <w:t> </w:t>
      </w:r>
      <w:r>
        <w:rPr>
          <w:color w:val="231F20"/>
        </w:rPr>
        <w:t>afectan, siempre dentro de un marco de respeto a sus</w:t>
      </w:r>
      <w:r>
        <w:rPr>
          <w:color w:val="231F20"/>
          <w:spacing w:val="45"/>
        </w:rPr>
        <w:t> </w:t>
      </w:r>
      <w:r>
        <w:rPr>
          <w:color w:val="231F20"/>
        </w:rPr>
        <w:t>particularidades</w:t>
      </w:r>
      <w:r>
        <w:rPr>
          <w:color w:val="231F20"/>
          <w:spacing w:val="11"/>
        </w:rPr>
        <w:t> </w:t>
      </w:r>
      <w:r>
        <w:rPr>
          <w:color w:val="231F20"/>
        </w:rPr>
        <w:t>personales, culturales y sociales, pero sin perder de vista la obligación</w:t>
      </w:r>
      <w:r>
        <w:rPr>
          <w:color w:val="231F20"/>
          <w:spacing w:val="49"/>
        </w:rPr>
        <w:t> </w:t>
      </w:r>
      <w:r>
        <w:rPr>
          <w:color w:val="231F20"/>
        </w:rPr>
        <w:t>imperante</w:t>
      </w:r>
      <w:r>
        <w:rPr>
          <w:color w:val="231F20"/>
          <w:spacing w:val="15"/>
        </w:rPr>
        <w:t> </w:t>
      </w:r>
      <w:r>
        <w:rPr>
          <w:color w:val="231F20"/>
        </w:rPr>
        <w:t>de proteger</w:t>
      </w:r>
      <w:r>
        <w:rPr>
          <w:color w:val="231F20"/>
          <w:spacing w:val="-10"/>
        </w:rPr>
        <w:t> </w:t>
      </w:r>
      <w:r>
        <w:rPr>
          <w:color w:val="231F20"/>
        </w:rPr>
        <w:t>su</w:t>
      </w:r>
      <w:r>
        <w:rPr>
          <w:color w:val="231F20"/>
          <w:spacing w:val="-10"/>
        </w:rPr>
        <w:t> </w:t>
      </w:r>
      <w:r>
        <w:rPr>
          <w:color w:val="231F20"/>
        </w:rPr>
        <w:t>integridad</w:t>
      </w:r>
      <w:r>
        <w:rPr>
          <w:color w:val="231F20"/>
          <w:spacing w:val="-10"/>
        </w:rPr>
        <w:t> </w:t>
      </w:r>
      <w:r>
        <w:rPr>
          <w:color w:val="231F20"/>
        </w:rPr>
        <w:t>física</w:t>
      </w:r>
      <w:r>
        <w:rPr>
          <w:color w:val="231F20"/>
          <w:spacing w:val="-10"/>
        </w:rPr>
        <w:t> </w:t>
      </w:r>
      <w:r>
        <w:rPr>
          <w:color w:val="231F20"/>
        </w:rPr>
        <w:t>y</w:t>
      </w:r>
      <w:r>
        <w:rPr>
          <w:color w:val="231F20"/>
          <w:spacing w:val="-10"/>
        </w:rPr>
        <w:t> </w:t>
      </w:r>
      <w:r>
        <w:rPr>
          <w:color w:val="231F20"/>
        </w:rPr>
        <w:t>mental</w:t>
      </w:r>
      <w:r>
        <w:rPr>
          <w:color w:val="231F20"/>
          <w:spacing w:val="-10"/>
        </w:rPr>
        <w:t> </w:t>
      </w:r>
      <w:r>
        <w:rPr>
          <w:color w:val="231F20"/>
        </w:rPr>
        <w:t>sin</w:t>
      </w:r>
      <w:r>
        <w:rPr>
          <w:color w:val="231F20"/>
          <w:spacing w:val="-10"/>
        </w:rPr>
        <w:t> </w:t>
      </w:r>
      <w:r>
        <w:rPr>
          <w:color w:val="231F20"/>
        </w:rPr>
        <w:t>importar</w:t>
      </w:r>
      <w:r>
        <w:rPr>
          <w:color w:val="231F20"/>
          <w:spacing w:val="-10"/>
        </w:rPr>
        <w:t> </w:t>
      </w:r>
      <w:r>
        <w:rPr>
          <w:color w:val="231F20"/>
        </w:rPr>
        <w:t>su</w:t>
      </w:r>
      <w:r>
        <w:rPr>
          <w:color w:val="231F20"/>
          <w:spacing w:val="-10"/>
        </w:rPr>
        <w:t> </w:t>
      </w:r>
      <w:r>
        <w:rPr>
          <w:color w:val="231F20"/>
        </w:rPr>
        <w:t>condición</w:t>
      </w:r>
      <w:r>
        <w:rPr>
          <w:color w:val="231F20"/>
          <w:spacing w:val="-10"/>
        </w:rPr>
        <w:t> </w:t>
      </w:r>
      <w:r>
        <w:rPr>
          <w:color w:val="231F20"/>
        </w:rPr>
        <w:t>migratoria. La</w:t>
      </w:r>
      <w:r>
        <w:rPr>
          <w:color w:val="231F20"/>
          <w:spacing w:val="19"/>
        </w:rPr>
        <w:t> </w:t>
      </w:r>
      <w:r>
        <w:rPr>
          <w:color w:val="231F20"/>
        </w:rPr>
        <w:t>norma</w:t>
      </w:r>
      <w:r>
        <w:rPr>
          <w:color w:val="231F20"/>
          <w:spacing w:val="19"/>
        </w:rPr>
        <w:t> </w:t>
      </w:r>
      <w:r>
        <w:rPr>
          <w:color w:val="231F20"/>
        </w:rPr>
        <w:t>federal</w:t>
      </w:r>
      <w:r>
        <w:rPr>
          <w:color w:val="231F20"/>
          <w:spacing w:val="19"/>
        </w:rPr>
        <w:t> </w:t>
      </w:r>
      <w:r>
        <w:rPr>
          <w:color w:val="231F20"/>
        </w:rPr>
        <w:t>materia</w:t>
      </w:r>
      <w:r>
        <w:rPr>
          <w:color w:val="231F20"/>
          <w:spacing w:val="19"/>
        </w:rPr>
        <w:t> </w:t>
      </w:r>
      <w:r>
        <w:rPr>
          <w:color w:val="231F20"/>
        </w:rPr>
        <w:t>de</w:t>
      </w:r>
      <w:r>
        <w:rPr>
          <w:color w:val="231F20"/>
          <w:spacing w:val="19"/>
        </w:rPr>
        <w:t> </w:t>
      </w:r>
      <w:r>
        <w:rPr>
          <w:color w:val="231F20"/>
        </w:rPr>
        <w:t>nuestro</w:t>
      </w:r>
      <w:r>
        <w:rPr>
          <w:color w:val="231F20"/>
          <w:spacing w:val="19"/>
        </w:rPr>
        <w:t> </w:t>
      </w:r>
      <w:r>
        <w:rPr>
          <w:color w:val="231F20"/>
        </w:rPr>
        <w:t>estudio</w:t>
      </w:r>
      <w:r>
        <w:rPr>
          <w:color w:val="231F20"/>
          <w:spacing w:val="19"/>
        </w:rPr>
        <w:t> </w:t>
      </w:r>
      <w:r>
        <w:rPr>
          <w:color w:val="231F20"/>
        </w:rPr>
        <w:t>es</w:t>
      </w:r>
      <w:r>
        <w:rPr>
          <w:color w:val="231F20"/>
          <w:spacing w:val="19"/>
        </w:rPr>
        <w:t> </w:t>
      </w:r>
      <w:r>
        <w:rPr>
          <w:color w:val="231F20"/>
        </w:rPr>
        <w:t>la</w:t>
      </w:r>
      <w:r>
        <w:rPr>
          <w:color w:val="231F20"/>
          <w:spacing w:val="19"/>
        </w:rPr>
        <w:t> </w:t>
      </w:r>
      <w:r>
        <w:rPr>
          <w:i/>
          <w:color w:val="231F20"/>
        </w:rPr>
        <w:t>Ley</w:t>
      </w:r>
      <w:r>
        <w:rPr>
          <w:i/>
          <w:color w:val="231F20"/>
          <w:spacing w:val="19"/>
        </w:rPr>
        <w:t> </w:t>
      </w:r>
      <w:r>
        <w:rPr>
          <w:i/>
          <w:color w:val="231F20"/>
        </w:rPr>
        <w:t>de</w:t>
      </w:r>
      <w:r>
        <w:rPr>
          <w:i/>
          <w:color w:val="231F20"/>
          <w:spacing w:val="19"/>
        </w:rPr>
        <w:t> </w:t>
      </w:r>
      <w:r>
        <w:rPr>
          <w:i/>
          <w:color w:val="231F20"/>
        </w:rPr>
        <w:t>Migración</w:t>
      </w:r>
      <w:r>
        <w:rPr>
          <w:color w:val="231F20"/>
        </w:rPr>
        <w:t>, cuya trascendencia radica no sólo en ser una norma</w:t>
      </w:r>
      <w:r>
        <w:rPr>
          <w:color w:val="231F20"/>
          <w:spacing w:val="-6"/>
        </w:rPr>
        <w:t> </w:t>
      </w:r>
      <w:r>
        <w:rPr>
          <w:color w:val="231F20"/>
        </w:rPr>
        <w:t>mexicana</w:t>
      </w:r>
      <w:r>
        <w:rPr>
          <w:color w:val="231F20"/>
          <w:spacing w:val="-1"/>
        </w:rPr>
        <w:t> </w:t>
      </w:r>
      <w:r>
        <w:rPr>
          <w:color w:val="231F20"/>
        </w:rPr>
        <w:t>especializa- da, sino en consagrar un capítulo de derechos en favor de</w:t>
      </w:r>
      <w:r>
        <w:rPr>
          <w:color w:val="231F20"/>
          <w:spacing w:val="53"/>
        </w:rPr>
        <w:t> </w:t>
      </w:r>
      <w:r>
        <w:rPr>
          <w:color w:val="231F20"/>
        </w:rPr>
        <w:t>los</w:t>
      </w:r>
      <w:r>
        <w:rPr>
          <w:color w:val="231F20"/>
          <w:spacing w:val="14"/>
        </w:rPr>
        <w:t> </w:t>
      </w:r>
      <w:r>
        <w:rPr>
          <w:color w:val="231F20"/>
        </w:rPr>
        <w:t>migrantes, situación que no se había observado en la antigua </w:t>
      </w:r>
      <w:r>
        <w:rPr>
          <w:color w:val="231F20"/>
          <w:spacing w:val="-7"/>
        </w:rPr>
        <w:t>LGP. </w:t>
      </w:r>
      <w:r>
        <w:rPr>
          <w:color w:val="231F20"/>
        </w:rPr>
        <w:t>Empero,</w:t>
      </w:r>
      <w:r>
        <w:rPr>
          <w:color w:val="231F20"/>
          <w:spacing w:val="13"/>
        </w:rPr>
        <w:t> </w:t>
      </w:r>
      <w:r>
        <w:rPr>
          <w:color w:val="231F20"/>
        </w:rPr>
        <w:t>el</w:t>
      </w:r>
      <w:r>
        <w:rPr>
          <w:color w:val="231F20"/>
          <w:spacing w:val="10"/>
        </w:rPr>
        <w:t> </w:t>
      </w:r>
      <w:r>
        <w:rPr>
          <w:color w:val="231F20"/>
        </w:rPr>
        <w:t>reco- nocimiento</w:t>
      </w:r>
      <w:r>
        <w:rPr>
          <w:color w:val="231F20"/>
          <w:spacing w:val="-4"/>
        </w:rPr>
        <w:t> </w:t>
      </w:r>
      <w:r>
        <w:rPr>
          <w:color w:val="231F20"/>
        </w:rPr>
        <w:t>y</w:t>
      </w:r>
      <w:r>
        <w:rPr>
          <w:color w:val="231F20"/>
          <w:spacing w:val="-4"/>
        </w:rPr>
        <w:t> </w:t>
      </w:r>
      <w:r>
        <w:rPr>
          <w:color w:val="231F20"/>
        </w:rPr>
        <w:t>protección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derechos</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migrantes</w:t>
      </w:r>
      <w:r>
        <w:rPr>
          <w:color w:val="231F20"/>
          <w:spacing w:val="-5"/>
        </w:rPr>
        <w:t> </w:t>
      </w:r>
      <w:r>
        <w:rPr>
          <w:color w:val="231F20"/>
        </w:rPr>
        <w:t>no</w:t>
      </w:r>
      <w:r>
        <w:rPr>
          <w:color w:val="231F20"/>
          <w:spacing w:val="-4"/>
        </w:rPr>
        <w:t> </w:t>
      </w:r>
      <w:r>
        <w:rPr>
          <w:color w:val="231F20"/>
        </w:rPr>
        <w:t>se</w:t>
      </w:r>
      <w:r>
        <w:rPr>
          <w:color w:val="231F20"/>
          <w:spacing w:val="-4"/>
        </w:rPr>
        <w:t> </w:t>
      </w:r>
      <w:r>
        <w:rPr>
          <w:color w:val="231F20"/>
        </w:rPr>
        <w:t>limita</w:t>
      </w:r>
      <w:r>
        <w:rPr>
          <w:color w:val="231F20"/>
          <w:spacing w:val="-5"/>
        </w:rPr>
        <w:t> </w:t>
      </w:r>
      <w:r>
        <w:rPr>
          <w:color w:val="231F20"/>
        </w:rPr>
        <w:t>a</w:t>
      </w:r>
      <w:r>
        <w:rPr>
          <w:color w:val="231F20"/>
          <w:spacing w:val="-4"/>
        </w:rPr>
        <w:t> </w:t>
      </w:r>
      <w:r>
        <w:rPr>
          <w:color w:val="231F20"/>
        </w:rPr>
        <w:t>un capítulo;</w:t>
      </w:r>
      <w:r>
        <w:rPr>
          <w:color w:val="231F20"/>
          <w:spacing w:val="16"/>
        </w:rPr>
        <w:t> </w:t>
      </w:r>
      <w:r>
        <w:rPr>
          <w:color w:val="231F20"/>
        </w:rPr>
        <w:t>está</w:t>
      </w:r>
      <w:r>
        <w:rPr>
          <w:color w:val="231F20"/>
          <w:spacing w:val="17"/>
        </w:rPr>
        <w:t> </w:t>
      </w:r>
      <w:r>
        <w:rPr>
          <w:color w:val="231F20"/>
        </w:rPr>
        <w:t>en</w:t>
      </w:r>
      <w:r>
        <w:rPr>
          <w:color w:val="231F20"/>
          <w:spacing w:val="17"/>
        </w:rPr>
        <w:t> </w:t>
      </w:r>
      <w:r>
        <w:rPr>
          <w:color w:val="231F20"/>
        </w:rPr>
        <w:t>todo</w:t>
      </w:r>
      <w:r>
        <w:rPr>
          <w:color w:val="231F20"/>
          <w:spacing w:val="17"/>
        </w:rPr>
        <w:t> </w:t>
      </w:r>
      <w:r>
        <w:rPr>
          <w:color w:val="231F20"/>
        </w:rPr>
        <w:t>el</w:t>
      </w:r>
      <w:r>
        <w:rPr>
          <w:color w:val="231F20"/>
          <w:spacing w:val="17"/>
        </w:rPr>
        <w:t> </w:t>
      </w:r>
      <w:r>
        <w:rPr>
          <w:i/>
          <w:color w:val="231F20"/>
        </w:rPr>
        <w:t>corpus</w:t>
      </w:r>
      <w:r>
        <w:rPr>
          <w:i/>
          <w:color w:val="231F20"/>
          <w:spacing w:val="17"/>
        </w:rPr>
        <w:t> </w:t>
      </w:r>
      <w:r>
        <w:rPr>
          <w:color w:val="231F20"/>
        </w:rPr>
        <w:t>de</w:t>
      </w:r>
      <w:r>
        <w:rPr>
          <w:color w:val="231F20"/>
          <w:spacing w:val="17"/>
        </w:rPr>
        <w:t> </w:t>
      </w:r>
      <w:r>
        <w:rPr>
          <w:color w:val="231F20"/>
        </w:rPr>
        <w:t>la</w:t>
      </w:r>
      <w:r>
        <w:rPr>
          <w:color w:val="231F20"/>
          <w:spacing w:val="17"/>
        </w:rPr>
        <w:t> </w:t>
      </w:r>
      <w:r>
        <w:rPr>
          <w:color w:val="231F20"/>
        </w:rPr>
        <w:t>norma</w:t>
      </w:r>
      <w:r>
        <w:rPr>
          <w:color w:val="231F20"/>
          <w:spacing w:val="17"/>
        </w:rPr>
        <w:t> </w:t>
      </w:r>
      <w:r>
        <w:rPr>
          <w:color w:val="231F20"/>
        </w:rPr>
        <w:t>analizada,</w:t>
      </w:r>
      <w:r>
        <w:rPr>
          <w:color w:val="231F20"/>
          <w:spacing w:val="16"/>
        </w:rPr>
        <w:t> </w:t>
      </w:r>
      <w:r>
        <w:rPr>
          <w:color w:val="231F20"/>
        </w:rPr>
        <w:t>como</w:t>
      </w:r>
      <w:r>
        <w:rPr>
          <w:color w:val="231F20"/>
          <w:spacing w:val="17"/>
        </w:rPr>
        <w:t> </w:t>
      </w:r>
      <w:r>
        <w:rPr>
          <w:color w:val="231F20"/>
        </w:rPr>
        <w:t>su</w:t>
      </w:r>
      <w:r>
        <w:rPr>
          <w:color w:val="231F20"/>
          <w:spacing w:val="17"/>
        </w:rPr>
        <w:t> </w:t>
      </w:r>
      <w:r>
        <w:rPr>
          <w:color w:val="231F20"/>
        </w:rPr>
        <w:t>artículo primero al mencionar que la regulación relativa al ingreso,</w:t>
      </w:r>
      <w:r>
        <w:rPr>
          <w:color w:val="231F20"/>
          <w:spacing w:val="19"/>
        </w:rPr>
        <w:t> </w:t>
      </w:r>
      <w:r>
        <w:rPr>
          <w:color w:val="231F20"/>
        </w:rPr>
        <w:t>salida,</w:t>
      </w:r>
      <w:r>
        <w:rPr>
          <w:color w:val="231F20"/>
          <w:spacing w:val="2"/>
        </w:rPr>
        <w:t> </w:t>
      </w:r>
      <w:r>
        <w:rPr>
          <w:color w:val="231F20"/>
        </w:rPr>
        <w:t>tránsito y</w:t>
      </w:r>
      <w:r>
        <w:rPr>
          <w:color w:val="231F20"/>
          <w:spacing w:val="-7"/>
        </w:rPr>
        <w:t> </w:t>
      </w:r>
      <w:r>
        <w:rPr>
          <w:color w:val="231F20"/>
        </w:rPr>
        <w:t>estancia</w:t>
      </w:r>
      <w:r>
        <w:rPr>
          <w:color w:val="231F20"/>
          <w:spacing w:val="-8"/>
        </w:rPr>
        <w:t> </w:t>
      </w:r>
      <w:r>
        <w:rPr>
          <w:color w:val="231F20"/>
        </w:rPr>
        <w:t>de</w:t>
      </w:r>
      <w:r>
        <w:rPr>
          <w:color w:val="231F20"/>
          <w:spacing w:val="-7"/>
        </w:rPr>
        <w:t> </w:t>
      </w:r>
      <w:r>
        <w:rPr>
          <w:color w:val="231F20"/>
        </w:rPr>
        <w:t>extranjeros,</w:t>
      </w:r>
      <w:r>
        <w:rPr>
          <w:color w:val="231F20"/>
          <w:spacing w:val="-8"/>
        </w:rPr>
        <w:t> </w:t>
      </w:r>
      <w:r>
        <w:rPr>
          <w:color w:val="231F20"/>
        </w:rPr>
        <w:t>debe</w:t>
      </w:r>
      <w:r>
        <w:rPr>
          <w:color w:val="231F20"/>
          <w:spacing w:val="-7"/>
        </w:rPr>
        <w:t> </w:t>
      </w:r>
      <w:r>
        <w:rPr>
          <w:color w:val="231F20"/>
        </w:rPr>
        <w:t>darse</w:t>
      </w:r>
      <w:r>
        <w:rPr>
          <w:color w:val="231F20"/>
          <w:spacing w:val="-7"/>
        </w:rPr>
        <w:t> </w:t>
      </w:r>
      <w:r>
        <w:rPr>
          <w:color w:val="231F20"/>
        </w:rPr>
        <w:t>en</w:t>
      </w:r>
      <w:r>
        <w:rPr>
          <w:color w:val="231F20"/>
          <w:spacing w:val="-8"/>
        </w:rPr>
        <w:t> </w:t>
      </w:r>
      <w:r>
        <w:rPr>
          <w:color w:val="231F20"/>
        </w:rPr>
        <w:t>un</w:t>
      </w:r>
      <w:r>
        <w:rPr>
          <w:color w:val="231F20"/>
          <w:spacing w:val="-7"/>
        </w:rPr>
        <w:t> </w:t>
      </w:r>
      <w:r>
        <w:rPr>
          <w:color w:val="231F20"/>
        </w:rPr>
        <w:t>marco</w:t>
      </w:r>
      <w:r>
        <w:rPr>
          <w:color w:val="231F20"/>
          <w:spacing w:val="-8"/>
        </w:rPr>
        <w:t> </w:t>
      </w:r>
      <w:r>
        <w:rPr>
          <w:color w:val="231F20"/>
        </w:rPr>
        <w:t>de</w:t>
      </w:r>
      <w:r>
        <w:rPr>
          <w:color w:val="231F20"/>
          <w:spacing w:val="-7"/>
        </w:rPr>
        <w:t> </w:t>
      </w:r>
      <w:r>
        <w:rPr>
          <w:color w:val="231F20"/>
        </w:rPr>
        <w:t>respeto</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derechos</w:t>
      </w:r>
    </w:p>
    <w:p>
      <w:pPr>
        <w:pStyle w:val="BodyText"/>
        <w:spacing w:line="253" w:lineRule="exact"/>
        <w:ind w:left="117"/>
        <w:jc w:val="both"/>
      </w:pPr>
      <w:r>
        <w:rPr>
          <w:color w:val="231F20"/>
        </w:rPr>
        <w:t>humanos.</w:t>
      </w:r>
    </w:p>
    <w:p>
      <w:pPr>
        <w:spacing w:after="0" w:line="253" w:lineRule="exact"/>
        <w:jc w:val="both"/>
        <w:sectPr>
          <w:pgSz w:w="9360" w:h="13040"/>
          <w:pgMar w:header="0" w:footer="496" w:top="740" w:bottom="680" w:left="1300" w:right="1300"/>
        </w:sectPr>
      </w:pPr>
    </w:p>
    <w:p>
      <w:pPr>
        <w:tabs>
          <w:tab w:pos="5536" w:val="left" w:leader="none"/>
        </w:tabs>
        <w:spacing w:before="51"/>
        <w:ind w:left="400" w:right="0" w:hanging="273"/>
        <w:jc w:val="both"/>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114" w:firstLine="283"/>
        <w:jc w:val="both"/>
      </w:pPr>
      <w:r>
        <w:rPr>
          <w:color w:val="231F20"/>
        </w:rPr>
        <w:t>Es</w:t>
      </w:r>
      <w:r>
        <w:rPr>
          <w:color w:val="231F20"/>
          <w:spacing w:val="-9"/>
        </w:rPr>
        <w:t> </w:t>
      </w:r>
      <w:r>
        <w:rPr>
          <w:color w:val="231F20"/>
        </w:rPr>
        <w:t>el</w:t>
      </w:r>
      <w:r>
        <w:rPr>
          <w:color w:val="231F20"/>
          <w:spacing w:val="-13"/>
        </w:rPr>
        <w:t> </w:t>
      </w:r>
      <w:r>
        <w:rPr>
          <w:color w:val="231F20"/>
        </w:rPr>
        <w:t>Título</w:t>
      </w:r>
      <w:r>
        <w:rPr>
          <w:color w:val="231F20"/>
          <w:spacing w:val="-9"/>
        </w:rPr>
        <w:t> </w:t>
      </w:r>
      <w:r>
        <w:rPr>
          <w:color w:val="231F20"/>
        </w:rPr>
        <w:t>Segundo,</w:t>
      </w:r>
      <w:r>
        <w:rPr>
          <w:color w:val="231F20"/>
          <w:spacing w:val="-9"/>
        </w:rPr>
        <w:t> </w:t>
      </w:r>
      <w:r>
        <w:rPr>
          <w:color w:val="231F20"/>
        </w:rPr>
        <w:t>Capítulo</w:t>
      </w:r>
      <w:r>
        <w:rPr>
          <w:color w:val="231F20"/>
          <w:spacing w:val="-9"/>
        </w:rPr>
        <w:t> </w:t>
      </w:r>
      <w:r>
        <w:rPr>
          <w:color w:val="231F20"/>
        </w:rPr>
        <w:t>Único</w:t>
      </w:r>
      <w:r>
        <w:rPr>
          <w:color w:val="231F20"/>
          <w:spacing w:val="-9"/>
        </w:rPr>
        <w:t> </w:t>
      </w:r>
      <w:r>
        <w:rPr>
          <w:color w:val="231F20"/>
        </w:rPr>
        <w:t>el</w:t>
      </w:r>
      <w:r>
        <w:rPr>
          <w:color w:val="231F20"/>
          <w:spacing w:val="-9"/>
        </w:rPr>
        <w:t> </w:t>
      </w:r>
      <w:r>
        <w:rPr>
          <w:color w:val="231F20"/>
        </w:rPr>
        <w:t>que</w:t>
      </w:r>
      <w:r>
        <w:rPr>
          <w:color w:val="231F20"/>
          <w:spacing w:val="-9"/>
        </w:rPr>
        <w:t> </w:t>
      </w:r>
      <w:r>
        <w:rPr>
          <w:color w:val="231F20"/>
        </w:rPr>
        <w:t>consagra</w:t>
      </w:r>
      <w:r>
        <w:rPr>
          <w:color w:val="231F20"/>
          <w:spacing w:val="-9"/>
        </w:rPr>
        <w:t> </w:t>
      </w:r>
      <w:r>
        <w:rPr>
          <w:color w:val="231F20"/>
        </w:rPr>
        <w:t>una</w:t>
      </w:r>
      <w:r>
        <w:rPr>
          <w:color w:val="231F20"/>
          <w:spacing w:val="-9"/>
        </w:rPr>
        <w:t> </w:t>
      </w:r>
      <w:r>
        <w:rPr>
          <w:color w:val="231F20"/>
        </w:rPr>
        <w:t>serie</w:t>
      </w:r>
      <w:r>
        <w:rPr>
          <w:color w:val="231F20"/>
          <w:spacing w:val="-9"/>
        </w:rPr>
        <w:t> </w:t>
      </w:r>
      <w:r>
        <w:rPr>
          <w:color w:val="231F20"/>
        </w:rPr>
        <w:t>de</w:t>
      </w:r>
      <w:r>
        <w:rPr>
          <w:color w:val="231F20"/>
          <w:spacing w:val="-9"/>
        </w:rPr>
        <w:t> </w:t>
      </w:r>
      <w:r>
        <w:rPr>
          <w:color w:val="231F20"/>
        </w:rPr>
        <w:t>dere- chos</w:t>
      </w:r>
      <w:r>
        <w:rPr>
          <w:color w:val="231F20"/>
          <w:spacing w:val="-7"/>
        </w:rPr>
        <w:t> </w:t>
      </w:r>
      <w:r>
        <w:rPr>
          <w:color w:val="231F20"/>
        </w:rPr>
        <w:t>y</w:t>
      </w:r>
      <w:r>
        <w:rPr>
          <w:color w:val="231F20"/>
          <w:spacing w:val="-6"/>
        </w:rPr>
        <w:t> </w:t>
      </w:r>
      <w:r>
        <w:rPr>
          <w:color w:val="231F20"/>
        </w:rPr>
        <w:t>obligaciones</w:t>
      </w:r>
      <w:r>
        <w:rPr>
          <w:color w:val="231F20"/>
          <w:spacing w:val="-6"/>
        </w:rPr>
        <w:t> </w:t>
      </w:r>
      <w:r>
        <w:rPr>
          <w:color w:val="231F20"/>
        </w:rPr>
        <w:t>a</w:t>
      </w:r>
      <w:r>
        <w:rPr>
          <w:color w:val="231F20"/>
          <w:spacing w:val="-6"/>
        </w:rPr>
        <w:t> </w:t>
      </w:r>
      <w:r>
        <w:rPr>
          <w:color w:val="231F20"/>
        </w:rPr>
        <w:t>favor</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migrantes,</w:t>
      </w:r>
      <w:r>
        <w:rPr>
          <w:color w:val="231F20"/>
          <w:spacing w:val="-7"/>
        </w:rPr>
        <w:t> </w:t>
      </w:r>
      <w:r>
        <w:rPr>
          <w:color w:val="231F20"/>
        </w:rPr>
        <w:t>tal</w:t>
      </w:r>
      <w:r>
        <w:rPr>
          <w:color w:val="231F20"/>
          <w:spacing w:val="-7"/>
        </w:rPr>
        <w:t> </w:t>
      </w:r>
      <w:r>
        <w:rPr>
          <w:color w:val="231F20"/>
        </w:rPr>
        <w:t>y</w:t>
      </w:r>
      <w:r>
        <w:rPr>
          <w:color w:val="231F20"/>
          <w:spacing w:val="-6"/>
        </w:rPr>
        <w:t> </w:t>
      </w:r>
      <w:r>
        <w:rPr>
          <w:color w:val="231F20"/>
        </w:rPr>
        <w:t>como</w:t>
      </w:r>
      <w:r>
        <w:rPr>
          <w:color w:val="231F20"/>
          <w:spacing w:val="-6"/>
        </w:rPr>
        <w:t> </w:t>
      </w:r>
      <w:r>
        <w:rPr>
          <w:color w:val="231F20"/>
        </w:rPr>
        <w:t>lo</w:t>
      </w:r>
      <w:r>
        <w:rPr>
          <w:color w:val="231F20"/>
          <w:spacing w:val="-6"/>
        </w:rPr>
        <w:t> </w:t>
      </w:r>
      <w:r>
        <w:rPr>
          <w:color w:val="231F20"/>
        </w:rPr>
        <w:t>menciona</w:t>
      </w:r>
      <w:r>
        <w:rPr>
          <w:color w:val="231F20"/>
          <w:spacing w:val="-7"/>
        </w:rPr>
        <w:t> </w:t>
      </w:r>
      <w:r>
        <w:rPr>
          <w:color w:val="231F20"/>
        </w:rPr>
        <w:t>el</w:t>
      </w:r>
      <w:r>
        <w:rPr>
          <w:color w:val="231F20"/>
          <w:spacing w:val="-6"/>
        </w:rPr>
        <w:t> </w:t>
      </w:r>
      <w:r>
        <w:rPr>
          <w:color w:val="231F20"/>
        </w:rPr>
        <w:t>ar- tículo</w:t>
      </w:r>
      <w:r>
        <w:rPr>
          <w:color w:val="231F20"/>
          <w:spacing w:val="-5"/>
        </w:rPr>
        <w:t> </w:t>
      </w:r>
      <w:r>
        <w:rPr>
          <w:color w:val="231F20"/>
        </w:rPr>
        <w:t>6</w:t>
      </w:r>
      <w:r>
        <w:rPr>
          <w:color w:val="231F20"/>
          <w:spacing w:val="-5"/>
        </w:rPr>
        <w:t> </w:t>
      </w:r>
      <w:r>
        <w:rPr>
          <w:color w:val="231F20"/>
        </w:rPr>
        <w:t>de</w:t>
      </w:r>
      <w:r>
        <w:rPr>
          <w:color w:val="231F20"/>
          <w:spacing w:val="-5"/>
        </w:rPr>
        <w:t> </w:t>
      </w:r>
      <w:r>
        <w:rPr>
          <w:color w:val="231F20"/>
        </w:rPr>
        <w:t>la</w:t>
      </w:r>
      <w:r>
        <w:rPr>
          <w:color w:val="231F20"/>
          <w:spacing w:val="-5"/>
        </w:rPr>
        <w:t> </w:t>
      </w:r>
      <w:r>
        <w:rPr>
          <w:i/>
          <w:color w:val="231F20"/>
        </w:rPr>
        <w:t>Ley</w:t>
      </w:r>
      <w:r>
        <w:rPr>
          <w:i/>
          <w:color w:val="231F20"/>
          <w:spacing w:val="-5"/>
        </w:rPr>
        <w:t> </w:t>
      </w:r>
      <w:r>
        <w:rPr>
          <w:i/>
          <w:color w:val="231F20"/>
        </w:rPr>
        <w:t>de</w:t>
      </w:r>
      <w:r>
        <w:rPr>
          <w:i/>
          <w:color w:val="231F20"/>
          <w:spacing w:val="-5"/>
        </w:rPr>
        <w:t> </w:t>
      </w:r>
      <w:r>
        <w:rPr>
          <w:i/>
          <w:color w:val="231F20"/>
        </w:rPr>
        <w:t>Migración</w:t>
      </w:r>
      <w:r>
        <w:rPr>
          <w:i/>
          <w:color w:val="231F20"/>
          <w:spacing w:val="-5"/>
        </w:rPr>
        <w:t> </w:t>
      </w:r>
      <w:r>
        <w:rPr>
          <w:color w:val="231F20"/>
        </w:rPr>
        <w:t>que</w:t>
      </w:r>
      <w:r>
        <w:rPr>
          <w:color w:val="231F20"/>
          <w:spacing w:val="-5"/>
        </w:rPr>
        <w:t> </w:t>
      </w:r>
      <w:r>
        <w:rPr>
          <w:color w:val="231F20"/>
        </w:rPr>
        <w:t>dice:</w:t>
      </w:r>
      <w:r>
        <w:rPr>
          <w:color w:val="231F20"/>
          <w:spacing w:val="-5"/>
        </w:rPr>
        <w:t> </w:t>
      </w:r>
      <w:r>
        <w:rPr>
          <w:color w:val="231F20"/>
        </w:rPr>
        <w:t>“El</w:t>
      </w:r>
      <w:r>
        <w:rPr>
          <w:color w:val="231F20"/>
          <w:spacing w:val="-5"/>
        </w:rPr>
        <w:t> </w:t>
      </w:r>
      <w:r>
        <w:rPr>
          <w:color w:val="231F20"/>
        </w:rPr>
        <w:t>Estado</w:t>
      </w:r>
      <w:r>
        <w:rPr>
          <w:color w:val="231F20"/>
          <w:spacing w:val="-5"/>
        </w:rPr>
        <w:t> </w:t>
      </w:r>
      <w:r>
        <w:rPr>
          <w:color w:val="231F20"/>
        </w:rPr>
        <w:t>mexicano</w:t>
      </w:r>
      <w:r>
        <w:rPr>
          <w:color w:val="231F20"/>
          <w:spacing w:val="-5"/>
        </w:rPr>
        <w:t> </w:t>
      </w:r>
      <w:r>
        <w:rPr>
          <w:color w:val="231F20"/>
        </w:rPr>
        <w:t>garantizará el ejercicio de los derechos y libertades de los extranjeros reconocidos en la Constitución, en los tratados y convenios internacionales de los cuales sea parte el Estado mexicano y en las disposiciones jurídicas aplicables, con independencia de su situación jurídica”. Entre los derechos reconoci- dos están:</w:t>
      </w:r>
    </w:p>
    <w:p>
      <w:pPr>
        <w:pStyle w:val="ListParagraph"/>
        <w:numPr>
          <w:ilvl w:val="0"/>
          <w:numId w:val="15"/>
        </w:numPr>
        <w:tabs>
          <w:tab w:pos="478" w:val="left" w:leader="none"/>
        </w:tabs>
        <w:spacing w:line="247" w:lineRule="auto" w:before="169" w:after="0"/>
        <w:ind w:left="477" w:right="114" w:hanging="360"/>
        <w:jc w:val="both"/>
        <w:rPr>
          <w:sz w:val="13"/>
        </w:rPr>
      </w:pPr>
      <w:r>
        <w:rPr>
          <w:color w:val="231F20"/>
          <w:sz w:val="22"/>
        </w:rPr>
        <w:t>La libertad para ingresar, permanecer, transitar y salir del territorio nacional sin más limitaciones que las establecidas en la Constitución. Este derecho está garantizado al mencionar que: “Ninguna persona será</w:t>
      </w:r>
      <w:r>
        <w:rPr>
          <w:color w:val="231F20"/>
          <w:spacing w:val="-6"/>
          <w:sz w:val="22"/>
        </w:rPr>
        <w:t> </w:t>
      </w:r>
      <w:r>
        <w:rPr>
          <w:color w:val="231F20"/>
          <w:sz w:val="22"/>
        </w:rPr>
        <w:t>requerida</w:t>
      </w:r>
      <w:r>
        <w:rPr>
          <w:color w:val="231F20"/>
          <w:spacing w:val="-6"/>
          <w:sz w:val="22"/>
        </w:rPr>
        <w:t> </w:t>
      </w:r>
      <w:r>
        <w:rPr>
          <w:color w:val="231F20"/>
          <w:sz w:val="22"/>
        </w:rPr>
        <w:t>de</w:t>
      </w:r>
      <w:r>
        <w:rPr>
          <w:color w:val="231F20"/>
          <w:spacing w:val="-6"/>
          <w:sz w:val="22"/>
        </w:rPr>
        <w:t> </w:t>
      </w:r>
      <w:r>
        <w:rPr>
          <w:color w:val="231F20"/>
          <w:sz w:val="22"/>
        </w:rPr>
        <w:t>comprobar</w:t>
      </w:r>
      <w:r>
        <w:rPr>
          <w:color w:val="231F20"/>
          <w:spacing w:val="-6"/>
          <w:sz w:val="22"/>
        </w:rPr>
        <w:t> </w:t>
      </w:r>
      <w:r>
        <w:rPr>
          <w:color w:val="231F20"/>
          <w:sz w:val="22"/>
        </w:rPr>
        <w:t>su</w:t>
      </w:r>
      <w:r>
        <w:rPr>
          <w:color w:val="231F20"/>
          <w:spacing w:val="-6"/>
          <w:sz w:val="22"/>
        </w:rPr>
        <w:t> </w:t>
      </w:r>
      <w:r>
        <w:rPr>
          <w:color w:val="231F20"/>
          <w:sz w:val="22"/>
        </w:rPr>
        <w:t>nacionalidad</w:t>
      </w:r>
      <w:r>
        <w:rPr>
          <w:color w:val="231F20"/>
          <w:spacing w:val="-6"/>
          <w:sz w:val="22"/>
        </w:rPr>
        <w:t> </w:t>
      </w:r>
      <w:r>
        <w:rPr>
          <w:color w:val="231F20"/>
          <w:sz w:val="22"/>
        </w:rPr>
        <w:t>y</w:t>
      </w:r>
      <w:r>
        <w:rPr>
          <w:color w:val="231F20"/>
          <w:spacing w:val="-6"/>
          <w:sz w:val="22"/>
        </w:rPr>
        <w:t> </w:t>
      </w:r>
      <w:r>
        <w:rPr>
          <w:color w:val="231F20"/>
          <w:sz w:val="22"/>
        </w:rPr>
        <w:t>situación</w:t>
      </w:r>
      <w:r>
        <w:rPr>
          <w:color w:val="231F20"/>
          <w:spacing w:val="-5"/>
          <w:sz w:val="22"/>
        </w:rPr>
        <w:t> </w:t>
      </w:r>
      <w:r>
        <w:rPr>
          <w:color w:val="231F20"/>
          <w:sz w:val="22"/>
        </w:rPr>
        <w:t>migratoria</w:t>
      </w:r>
      <w:r>
        <w:rPr>
          <w:color w:val="231F20"/>
          <w:spacing w:val="-6"/>
          <w:sz w:val="22"/>
        </w:rPr>
        <w:t> </w:t>
      </w:r>
      <w:r>
        <w:rPr>
          <w:color w:val="231F20"/>
          <w:sz w:val="22"/>
        </w:rPr>
        <w:t>en el</w:t>
      </w:r>
      <w:r>
        <w:rPr>
          <w:color w:val="231F20"/>
          <w:spacing w:val="-9"/>
          <w:sz w:val="22"/>
        </w:rPr>
        <w:t> </w:t>
      </w:r>
      <w:r>
        <w:rPr>
          <w:color w:val="231F20"/>
          <w:sz w:val="22"/>
        </w:rPr>
        <w:t>territorio</w:t>
      </w:r>
      <w:r>
        <w:rPr>
          <w:color w:val="231F20"/>
          <w:spacing w:val="-10"/>
          <w:sz w:val="22"/>
        </w:rPr>
        <w:t> </w:t>
      </w:r>
      <w:r>
        <w:rPr>
          <w:color w:val="231F20"/>
          <w:sz w:val="22"/>
        </w:rPr>
        <w:t>nacional,</w:t>
      </w:r>
      <w:r>
        <w:rPr>
          <w:color w:val="231F20"/>
          <w:spacing w:val="-9"/>
          <w:sz w:val="22"/>
        </w:rPr>
        <w:t> </w:t>
      </w:r>
      <w:r>
        <w:rPr>
          <w:color w:val="231F20"/>
          <w:sz w:val="22"/>
        </w:rPr>
        <w:t>más</w:t>
      </w:r>
      <w:r>
        <w:rPr>
          <w:color w:val="231F20"/>
          <w:spacing w:val="-9"/>
          <w:sz w:val="22"/>
        </w:rPr>
        <w:t> </w:t>
      </w:r>
      <w:r>
        <w:rPr>
          <w:color w:val="231F20"/>
          <w:sz w:val="22"/>
        </w:rPr>
        <w:t>que</w:t>
      </w:r>
      <w:r>
        <w:rPr>
          <w:color w:val="231F20"/>
          <w:spacing w:val="-9"/>
          <w:sz w:val="22"/>
        </w:rPr>
        <w:t> </w:t>
      </w:r>
      <w:r>
        <w:rPr>
          <w:color w:val="231F20"/>
          <w:sz w:val="22"/>
        </w:rPr>
        <w:t>por</w:t>
      </w:r>
      <w:r>
        <w:rPr>
          <w:color w:val="231F20"/>
          <w:spacing w:val="-9"/>
          <w:sz w:val="22"/>
        </w:rPr>
        <w:t> </w:t>
      </w:r>
      <w:r>
        <w:rPr>
          <w:color w:val="231F20"/>
          <w:sz w:val="22"/>
        </w:rPr>
        <w:t>la</w:t>
      </w:r>
      <w:r>
        <w:rPr>
          <w:color w:val="231F20"/>
          <w:spacing w:val="-9"/>
          <w:sz w:val="22"/>
        </w:rPr>
        <w:t> </w:t>
      </w:r>
      <w:r>
        <w:rPr>
          <w:color w:val="231F20"/>
          <w:sz w:val="22"/>
        </w:rPr>
        <w:t>autoridad</w:t>
      </w:r>
      <w:r>
        <w:rPr>
          <w:color w:val="231F20"/>
          <w:spacing w:val="-10"/>
          <w:sz w:val="22"/>
        </w:rPr>
        <w:t> </w:t>
      </w:r>
      <w:r>
        <w:rPr>
          <w:color w:val="231F20"/>
          <w:sz w:val="22"/>
        </w:rPr>
        <w:t>competente</w:t>
      </w:r>
      <w:r>
        <w:rPr>
          <w:color w:val="231F20"/>
          <w:spacing w:val="-10"/>
          <w:sz w:val="22"/>
        </w:rPr>
        <w:t> </w:t>
      </w:r>
      <w:r>
        <w:rPr>
          <w:color w:val="231F20"/>
          <w:sz w:val="22"/>
        </w:rPr>
        <w:t>en</w:t>
      </w:r>
      <w:r>
        <w:rPr>
          <w:color w:val="231F20"/>
          <w:spacing w:val="-9"/>
          <w:sz w:val="22"/>
        </w:rPr>
        <w:t> </w:t>
      </w:r>
      <w:r>
        <w:rPr>
          <w:color w:val="231F20"/>
          <w:sz w:val="22"/>
        </w:rPr>
        <w:t>los</w:t>
      </w:r>
      <w:r>
        <w:rPr>
          <w:color w:val="231F20"/>
          <w:spacing w:val="-9"/>
          <w:sz w:val="22"/>
        </w:rPr>
        <w:t> </w:t>
      </w:r>
      <w:r>
        <w:rPr>
          <w:color w:val="231F20"/>
          <w:sz w:val="22"/>
        </w:rPr>
        <w:t>casos y bajo las circunstancias establecidos en la</w:t>
      </w:r>
      <w:r>
        <w:rPr>
          <w:color w:val="231F20"/>
          <w:spacing w:val="-6"/>
          <w:sz w:val="22"/>
        </w:rPr>
        <w:t> </w:t>
      </w:r>
      <w:r>
        <w:rPr>
          <w:color w:val="231F20"/>
          <w:sz w:val="22"/>
        </w:rPr>
        <w:t>ley”.</w:t>
      </w:r>
      <w:r>
        <w:rPr>
          <w:color w:val="231F20"/>
          <w:position w:val="7"/>
          <w:sz w:val="13"/>
        </w:rPr>
        <w:t>9</w:t>
      </w:r>
    </w:p>
    <w:p>
      <w:pPr>
        <w:pStyle w:val="ListParagraph"/>
        <w:numPr>
          <w:ilvl w:val="0"/>
          <w:numId w:val="15"/>
        </w:numPr>
        <w:tabs>
          <w:tab w:pos="478" w:val="left" w:leader="none"/>
        </w:tabs>
        <w:spacing w:line="247" w:lineRule="auto" w:before="0" w:after="0"/>
        <w:ind w:left="477" w:right="115" w:hanging="360"/>
        <w:jc w:val="both"/>
        <w:rPr>
          <w:sz w:val="13"/>
        </w:rPr>
      </w:pPr>
      <w:r>
        <w:rPr>
          <w:color w:val="231F20"/>
          <w:sz w:val="22"/>
        </w:rPr>
        <w:t>La educación, transcendente particularmente para los niños y adoles- centes, porque ello les permitirá integrarse más fácilmente al sector laboral.</w:t>
      </w:r>
      <w:r>
        <w:rPr>
          <w:color w:val="231F20"/>
          <w:position w:val="7"/>
          <w:sz w:val="13"/>
        </w:rPr>
        <w:t>10</w:t>
      </w:r>
    </w:p>
    <w:p>
      <w:pPr>
        <w:pStyle w:val="ListParagraph"/>
        <w:numPr>
          <w:ilvl w:val="0"/>
          <w:numId w:val="15"/>
        </w:numPr>
        <w:tabs>
          <w:tab w:pos="478" w:val="left" w:leader="none"/>
        </w:tabs>
        <w:spacing w:line="247" w:lineRule="auto" w:before="0" w:after="0"/>
        <w:ind w:left="477" w:right="115" w:hanging="360"/>
        <w:jc w:val="both"/>
        <w:rPr>
          <w:sz w:val="13"/>
        </w:rPr>
      </w:pPr>
      <w:r>
        <w:rPr>
          <w:color w:val="231F20"/>
          <w:sz w:val="22"/>
        </w:rPr>
        <w:t>La salud, implica el recibir cualquier tipo de atención médica provis- ta por el sector público o privado independientemente de la situación migratoria. En el caso de atención médica urgente, los migrantes con independencia de su </w:t>
      </w:r>
      <w:r>
        <w:rPr>
          <w:i/>
          <w:color w:val="231F20"/>
          <w:sz w:val="22"/>
        </w:rPr>
        <w:t>status </w:t>
      </w:r>
      <w:r>
        <w:rPr>
          <w:color w:val="231F20"/>
          <w:sz w:val="22"/>
        </w:rPr>
        <w:t>migratorio, tendrán derecho a recibirla de manera gratuita y sin restricción</w:t>
      </w:r>
      <w:r>
        <w:rPr>
          <w:color w:val="231F20"/>
          <w:spacing w:val="-16"/>
          <w:sz w:val="22"/>
        </w:rPr>
        <w:t> </w:t>
      </w:r>
      <w:r>
        <w:rPr>
          <w:color w:val="231F20"/>
          <w:sz w:val="22"/>
        </w:rPr>
        <w:t>alguna.</w:t>
      </w:r>
      <w:r>
        <w:rPr>
          <w:color w:val="231F20"/>
          <w:position w:val="7"/>
          <w:sz w:val="13"/>
        </w:rPr>
        <w:t>11</w:t>
      </w:r>
    </w:p>
    <w:p>
      <w:pPr>
        <w:pStyle w:val="ListParagraph"/>
        <w:numPr>
          <w:ilvl w:val="0"/>
          <w:numId w:val="15"/>
        </w:numPr>
        <w:tabs>
          <w:tab w:pos="478" w:val="left" w:leader="none"/>
        </w:tabs>
        <w:spacing w:line="247" w:lineRule="auto" w:before="0" w:after="0"/>
        <w:ind w:left="477" w:right="114" w:hanging="360"/>
        <w:jc w:val="both"/>
        <w:rPr>
          <w:sz w:val="13"/>
        </w:rPr>
      </w:pPr>
      <w:r>
        <w:rPr>
          <w:color w:val="231F20"/>
          <w:sz w:val="22"/>
        </w:rPr>
        <w:t>El nombre y el contraer matrimonio, es un derecho tácito al</w:t>
      </w:r>
      <w:r>
        <w:rPr>
          <w:color w:val="231F20"/>
          <w:spacing w:val="-16"/>
          <w:sz w:val="22"/>
        </w:rPr>
        <w:t> </w:t>
      </w:r>
      <w:r>
        <w:rPr>
          <w:color w:val="231F20"/>
          <w:sz w:val="22"/>
        </w:rPr>
        <w:t>establecer la ley que los jueces u oficiales del Registro Civil no podrán negar a los migrantes, independientemente de su situación migratoria, la</w:t>
      </w:r>
      <w:r>
        <w:rPr>
          <w:color w:val="231F20"/>
          <w:spacing w:val="-27"/>
          <w:sz w:val="22"/>
        </w:rPr>
        <w:t> </w:t>
      </w:r>
      <w:r>
        <w:rPr>
          <w:color w:val="231F20"/>
          <w:sz w:val="22"/>
        </w:rPr>
        <w:t>auto- rización de actos del estado civil, ni la expedición de actas relativas al nacimiento,</w:t>
      </w:r>
      <w:r>
        <w:rPr>
          <w:color w:val="231F20"/>
          <w:spacing w:val="-7"/>
          <w:sz w:val="22"/>
        </w:rPr>
        <w:t> </w:t>
      </w:r>
      <w:r>
        <w:rPr>
          <w:color w:val="231F20"/>
          <w:sz w:val="22"/>
        </w:rPr>
        <w:t>reconocimiento</w:t>
      </w:r>
      <w:r>
        <w:rPr>
          <w:color w:val="231F20"/>
          <w:spacing w:val="-6"/>
          <w:sz w:val="22"/>
        </w:rPr>
        <w:t> </w:t>
      </w:r>
      <w:r>
        <w:rPr>
          <w:color w:val="231F20"/>
          <w:sz w:val="22"/>
        </w:rPr>
        <w:t>de</w:t>
      </w:r>
      <w:r>
        <w:rPr>
          <w:color w:val="231F20"/>
          <w:spacing w:val="-7"/>
          <w:sz w:val="22"/>
        </w:rPr>
        <w:t> </w:t>
      </w:r>
      <w:r>
        <w:rPr>
          <w:color w:val="231F20"/>
          <w:sz w:val="22"/>
        </w:rPr>
        <w:t>hijos,</w:t>
      </w:r>
      <w:r>
        <w:rPr>
          <w:color w:val="231F20"/>
          <w:spacing w:val="-7"/>
          <w:sz w:val="22"/>
        </w:rPr>
        <w:t> </w:t>
      </w:r>
      <w:r>
        <w:rPr>
          <w:color w:val="231F20"/>
          <w:sz w:val="22"/>
        </w:rPr>
        <w:t>matrimonio,</w:t>
      </w:r>
      <w:r>
        <w:rPr>
          <w:color w:val="231F20"/>
          <w:spacing w:val="-7"/>
          <w:sz w:val="22"/>
        </w:rPr>
        <w:t> </w:t>
      </w:r>
      <w:r>
        <w:rPr>
          <w:color w:val="231F20"/>
          <w:sz w:val="22"/>
        </w:rPr>
        <w:t>divorcio</w:t>
      </w:r>
      <w:r>
        <w:rPr>
          <w:color w:val="231F20"/>
          <w:spacing w:val="-6"/>
          <w:sz w:val="22"/>
        </w:rPr>
        <w:t> </w:t>
      </w:r>
      <w:r>
        <w:rPr>
          <w:color w:val="231F20"/>
          <w:sz w:val="22"/>
        </w:rPr>
        <w:t>y</w:t>
      </w:r>
      <w:r>
        <w:rPr>
          <w:color w:val="231F20"/>
          <w:spacing w:val="-7"/>
          <w:sz w:val="22"/>
        </w:rPr>
        <w:t> </w:t>
      </w:r>
      <w:r>
        <w:rPr>
          <w:color w:val="231F20"/>
          <w:sz w:val="22"/>
        </w:rPr>
        <w:t>muerte.</w:t>
      </w:r>
      <w:r>
        <w:rPr>
          <w:color w:val="231F20"/>
          <w:position w:val="7"/>
          <w:sz w:val="13"/>
        </w:rPr>
        <w:t>12</w:t>
      </w:r>
    </w:p>
    <w:p>
      <w:pPr>
        <w:pStyle w:val="ListParagraph"/>
        <w:numPr>
          <w:ilvl w:val="0"/>
          <w:numId w:val="15"/>
        </w:numPr>
        <w:tabs>
          <w:tab w:pos="478" w:val="left" w:leader="none"/>
        </w:tabs>
        <w:spacing w:line="247" w:lineRule="auto" w:before="0" w:after="0"/>
        <w:ind w:left="477" w:right="114" w:hanging="360"/>
        <w:jc w:val="both"/>
        <w:rPr>
          <w:sz w:val="13"/>
        </w:rPr>
      </w:pPr>
      <w:r>
        <w:rPr>
          <w:color w:val="231F20"/>
          <w:sz w:val="22"/>
        </w:rPr>
        <w:t>La preservación de la unidad familiar, fundamental para los menores a fin de conservar su integridad física y mental, al tiempo de evitar prevaricaciones a sus derechos</w:t>
      </w:r>
      <w:r>
        <w:rPr>
          <w:color w:val="231F20"/>
          <w:spacing w:val="-5"/>
          <w:sz w:val="22"/>
        </w:rPr>
        <w:t> </w:t>
      </w:r>
      <w:r>
        <w:rPr>
          <w:color w:val="231F20"/>
          <w:sz w:val="22"/>
        </w:rPr>
        <w:t>básicos.</w:t>
      </w:r>
      <w:r>
        <w:rPr>
          <w:color w:val="231F20"/>
          <w:position w:val="7"/>
          <w:sz w:val="13"/>
        </w:rPr>
        <w:t>13</w:t>
      </w:r>
    </w:p>
    <w:p>
      <w:pPr>
        <w:pStyle w:val="ListParagraph"/>
        <w:numPr>
          <w:ilvl w:val="0"/>
          <w:numId w:val="15"/>
        </w:numPr>
        <w:tabs>
          <w:tab w:pos="478" w:val="left" w:leader="none"/>
        </w:tabs>
        <w:spacing w:line="247" w:lineRule="auto" w:before="0" w:after="0"/>
        <w:ind w:left="477" w:right="114" w:hanging="360"/>
        <w:jc w:val="both"/>
        <w:rPr>
          <w:sz w:val="13"/>
        </w:rPr>
      </w:pPr>
      <w:r>
        <w:rPr>
          <w:color w:val="231F20"/>
          <w:sz w:val="22"/>
        </w:rPr>
        <w:t>El debido proceso, el cual debe tomar en cuenta la edad y el interés superior del</w:t>
      </w:r>
      <w:r>
        <w:rPr>
          <w:color w:val="231F20"/>
          <w:spacing w:val="-22"/>
          <w:sz w:val="22"/>
        </w:rPr>
        <w:t> </w:t>
      </w:r>
      <w:r>
        <w:rPr>
          <w:color w:val="231F20"/>
          <w:sz w:val="22"/>
        </w:rPr>
        <w:t>menor.</w:t>
      </w:r>
      <w:r>
        <w:rPr>
          <w:color w:val="231F20"/>
          <w:position w:val="7"/>
          <w:sz w:val="13"/>
        </w:rPr>
        <w:t>14</w:t>
      </w:r>
    </w:p>
    <w:p>
      <w:pPr>
        <w:pStyle w:val="BodyText"/>
        <w:rPr>
          <w:sz w:val="20"/>
        </w:rPr>
      </w:pPr>
    </w:p>
    <w:p>
      <w:pPr>
        <w:pStyle w:val="BodyText"/>
        <w:rPr>
          <w:sz w:val="20"/>
        </w:rPr>
      </w:pPr>
    </w:p>
    <w:p>
      <w:pPr>
        <w:pStyle w:val="BodyText"/>
        <w:spacing w:before="10"/>
        <w:rPr>
          <w:sz w:val="20"/>
        </w:rPr>
      </w:pPr>
      <w:r>
        <w:rPr/>
        <w:pict>
          <v:line style="position:absolute;mso-position-horizontal-relative:page;mso-position-vertical-relative:paragraph;z-index:8416;mso-wrap-distance-left:0;mso-wrap-distance-right:0" from="70.866096pt,14.362506pt" to="142.866096pt,14.362506pt" stroked="true" strokeweight=".75pt" strokecolor="#231f20">
            <w10:wrap type="topAndBottom"/>
          </v:line>
        </w:pict>
      </w:r>
    </w:p>
    <w:p>
      <w:pPr>
        <w:spacing w:line="158" w:lineRule="exact" w:before="0"/>
        <w:ind w:left="117" w:right="117" w:firstLine="0"/>
        <w:jc w:val="left"/>
        <w:rPr>
          <w:sz w:val="17"/>
        </w:rPr>
      </w:pPr>
      <w:r>
        <w:rPr>
          <w:color w:val="231F20"/>
          <w:position w:val="6"/>
          <w:sz w:val="10"/>
        </w:rPr>
        <w:t>9 </w:t>
      </w:r>
      <w:r>
        <w:rPr>
          <w:color w:val="231F20"/>
          <w:sz w:val="17"/>
        </w:rPr>
        <w:t>Artículo 7 de la LM.</w:t>
      </w:r>
    </w:p>
    <w:p>
      <w:pPr>
        <w:spacing w:line="170" w:lineRule="exact" w:before="0"/>
        <w:ind w:left="117" w:right="117" w:firstLine="0"/>
        <w:jc w:val="left"/>
        <w:rPr>
          <w:sz w:val="17"/>
        </w:rPr>
      </w:pPr>
      <w:r>
        <w:rPr>
          <w:color w:val="231F20"/>
          <w:position w:val="6"/>
          <w:sz w:val="10"/>
        </w:rPr>
        <w:t>10 </w:t>
      </w:r>
      <w:r>
        <w:rPr>
          <w:color w:val="231F20"/>
          <w:sz w:val="17"/>
        </w:rPr>
        <w:t>Artículo 8, párrafo primero de la LM.</w:t>
      </w:r>
    </w:p>
    <w:p>
      <w:pPr>
        <w:spacing w:line="170" w:lineRule="exact" w:before="0"/>
        <w:ind w:left="117" w:right="117" w:firstLine="0"/>
        <w:jc w:val="left"/>
        <w:rPr>
          <w:sz w:val="17"/>
        </w:rPr>
      </w:pPr>
      <w:r>
        <w:rPr>
          <w:color w:val="231F20"/>
          <w:position w:val="6"/>
          <w:sz w:val="10"/>
        </w:rPr>
        <w:t>11 </w:t>
      </w:r>
      <w:r>
        <w:rPr>
          <w:color w:val="231F20"/>
          <w:sz w:val="17"/>
        </w:rPr>
        <w:t>Artículo 8, párrafo segundo y tercero de la LM.</w:t>
      </w:r>
    </w:p>
    <w:p>
      <w:pPr>
        <w:spacing w:line="170" w:lineRule="exact" w:before="0"/>
        <w:ind w:left="117" w:right="117" w:firstLine="0"/>
        <w:jc w:val="left"/>
        <w:rPr>
          <w:sz w:val="17"/>
        </w:rPr>
      </w:pPr>
      <w:r>
        <w:rPr>
          <w:color w:val="231F20"/>
          <w:position w:val="6"/>
          <w:sz w:val="10"/>
        </w:rPr>
        <w:t>12 </w:t>
      </w:r>
      <w:r>
        <w:rPr>
          <w:color w:val="231F20"/>
          <w:sz w:val="17"/>
        </w:rPr>
        <w:t>Artículo 9 de la LM.</w:t>
      </w:r>
    </w:p>
    <w:p>
      <w:pPr>
        <w:spacing w:line="170" w:lineRule="exact" w:before="0"/>
        <w:ind w:left="117" w:right="117" w:firstLine="0"/>
        <w:jc w:val="left"/>
        <w:rPr>
          <w:sz w:val="17"/>
        </w:rPr>
      </w:pPr>
      <w:r>
        <w:rPr>
          <w:color w:val="231F20"/>
          <w:position w:val="6"/>
          <w:sz w:val="10"/>
        </w:rPr>
        <w:t>13 </w:t>
      </w:r>
      <w:r>
        <w:rPr>
          <w:color w:val="231F20"/>
          <w:sz w:val="17"/>
        </w:rPr>
        <w:t>Artículo 10 de la LM.</w:t>
      </w:r>
    </w:p>
    <w:p>
      <w:pPr>
        <w:spacing w:line="183" w:lineRule="exact" w:before="0"/>
        <w:ind w:left="117" w:right="117" w:firstLine="0"/>
        <w:jc w:val="left"/>
        <w:rPr>
          <w:sz w:val="17"/>
        </w:rPr>
      </w:pPr>
      <w:r>
        <w:rPr>
          <w:color w:val="231F20"/>
          <w:position w:val="6"/>
          <w:sz w:val="10"/>
        </w:rPr>
        <w:t>14 </w:t>
      </w:r>
      <w:r>
        <w:rPr>
          <w:color w:val="231F20"/>
          <w:sz w:val="17"/>
        </w:rPr>
        <w:t>Artículo 11 de la LM.</w:t>
      </w:r>
    </w:p>
    <w:p>
      <w:pPr>
        <w:spacing w:after="0" w:line="183" w:lineRule="exact"/>
        <w:jc w:val="left"/>
        <w:rPr>
          <w:sz w:val="17"/>
        </w:rPr>
        <w:sectPr>
          <w:pgSz w:w="9360" w:h="13040"/>
          <w:pgMar w:header="0" w:footer="496" w:top="840" w:bottom="680" w:left="1300" w:right="1300"/>
        </w:sectPr>
      </w:pPr>
    </w:p>
    <w:p>
      <w:pPr>
        <w:spacing w:before="45"/>
        <w:ind w:left="234" w:right="0" w:firstLine="0"/>
        <w:jc w:val="left"/>
        <w:rPr>
          <w:rFonts w:ascii="Arial" w:hAnsi="Arial"/>
          <w:sz w:val="20"/>
        </w:rPr>
      </w:pPr>
      <w:r>
        <w:rPr>
          <w:rFonts w:ascii="Arial" w:hAnsi="Arial"/>
          <w:color w:val="231F20"/>
          <w:w w:val="70"/>
          <w:sz w:val="20"/>
        </w:rPr>
        <w:t>Los</w:t>
      </w:r>
      <w:r>
        <w:rPr>
          <w:rFonts w:ascii="Arial" w:hAnsi="Arial"/>
          <w:color w:val="231F20"/>
          <w:spacing w:val="-13"/>
          <w:w w:val="70"/>
          <w:sz w:val="20"/>
        </w:rPr>
        <w:t> </w:t>
      </w:r>
      <w:r>
        <w:rPr>
          <w:rFonts w:ascii="Arial" w:hAnsi="Arial"/>
          <w:color w:val="231F20"/>
          <w:w w:val="70"/>
          <w:sz w:val="20"/>
        </w:rPr>
        <w:t>menores</w:t>
      </w:r>
      <w:r>
        <w:rPr>
          <w:rFonts w:ascii="Arial" w:hAnsi="Arial"/>
          <w:color w:val="231F20"/>
          <w:spacing w:val="-13"/>
          <w:w w:val="70"/>
          <w:sz w:val="20"/>
        </w:rPr>
        <w:t> </w:t>
      </w:r>
      <w:r>
        <w:rPr>
          <w:rFonts w:ascii="Arial" w:hAnsi="Arial"/>
          <w:color w:val="231F20"/>
          <w:w w:val="70"/>
          <w:sz w:val="20"/>
        </w:rPr>
        <w:t>inmigrantes</w:t>
      </w:r>
      <w:r>
        <w:rPr>
          <w:rFonts w:ascii="Arial" w:hAnsi="Arial"/>
          <w:color w:val="231F20"/>
          <w:spacing w:val="-13"/>
          <w:w w:val="70"/>
          <w:sz w:val="20"/>
        </w:rPr>
        <w:t> </w:t>
      </w:r>
      <w:r>
        <w:rPr>
          <w:rFonts w:ascii="Arial" w:hAnsi="Arial"/>
          <w:color w:val="231F20"/>
          <w:w w:val="70"/>
          <w:sz w:val="20"/>
        </w:rPr>
        <w:t>indocumentados</w:t>
      </w:r>
      <w:r>
        <w:rPr>
          <w:rFonts w:ascii="Arial" w:hAnsi="Arial"/>
          <w:color w:val="231F20"/>
          <w:spacing w:val="-13"/>
          <w:w w:val="70"/>
          <w:sz w:val="20"/>
        </w:rPr>
        <w:t> </w:t>
      </w:r>
      <w:r>
        <w:rPr>
          <w:rFonts w:ascii="Arial" w:hAnsi="Arial"/>
          <w:color w:val="231F20"/>
          <w:w w:val="70"/>
          <w:sz w:val="20"/>
        </w:rPr>
        <w:t>ante</w:t>
      </w:r>
      <w:r>
        <w:rPr>
          <w:rFonts w:ascii="Arial" w:hAnsi="Arial"/>
          <w:color w:val="231F20"/>
          <w:spacing w:val="-13"/>
          <w:w w:val="70"/>
          <w:sz w:val="20"/>
        </w:rPr>
        <w:t> </w:t>
      </w:r>
      <w:r>
        <w:rPr>
          <w:rFonts w:ascii="Arial" w:hAnsi="Arial"/>
          <w:color w:val="231F20"/>
          <w:w w:val="70"/>
          <w:sz w:val="20"/>
        </w:rPr>
        <w:t>la</w:t>
      </w:r>
      <w:r>
        <w:rPr>
          <w:rFonts w:ascii="Arial" w:hAnsi="Arial"/>
          <w:color w:val="231F20"/>
          <w:spacing w:val="-13"/>
          <w:w w:val="70"/>
          <w:sz w:val="20"/>
        </w:rPr>
        <w:t> </w:t>
      </w:r>
      <w:r>
        <w:rPr>
          <w:rFonts w:ascii="Arial" w:hAnsi="Arial"/>
          <w:color w:val="231F20"/>
          <w:w w:val="70"/>
          <w:sz w:val="20"/>
        </w:rPr>
        <w:t>nueva</w:t>
      </w:r>
      <w:r>
        <w:rPr>
          <w:rFonts w:ascii="Arial" w:hAnsi="Arial"/>
          <w:color w:val="231F20"/>
          <w:spacing w:val="-13"/>
          <w:w w:val="70"/>
          <w:sz w:val="20"/>
        </w:rPr>
        <w:t> </w:t>
      </w:r>
      <w:r>
        <w:rPr>
          <w:rFonts w:ascii="Arial" w:hAnsi="Arial"/>
          <w:color w:val="231F20"/>
          <w:w w:val="70"/>
          <w:sz w:val="20"/>
        </w:rPr>
        <w:t>ley</w:t>
      </w:r>
      <w:r>
        <w:rPr>
          <w:rFonts w:ascii="Arial" w:hAnsi="Arial"/>
          <w:color w:val="231F20"/>
          <w:spacing w:val="-13"/>
          <w:w w:val="70"/>
          <w:sz w:val="20"/>
        </w:rPr>
        <w:t> </w:t>
      </w:r>
      <w:r>
        <w:rPr>
          <w:rFonts w:ascii="Arial" w:hAnsi="Arial"/>
          <w:color w:val="231F20"/>
          <w:w w:val="70"/>
          <w:sz w:val="20"/>
        </w:rPr>
        <w:t>de</w:t>
      </w:r>
      <w:r>
        <w:rPr>
          <w:rFonts w:ascii="Arial" w:hAnsi="Arial"/>
          <w:color w:val="231F20"/>
          <w:spacing w:val="-13"/>
          <w:w w:val="70"/>
          <w:sz w:val="20"/>
        </w:rPr>
        <w:t> </w:t>
      </w:r>
      <w:r>
        <w:rPr>
          <w:rFonts w:ascii="Arial" w:hAnsi="Arial"/>
          <w:color w:val="231F20"/>
          <w:w w:val="70"/>
          <w:sz w:val="20"/>
        </w:rPr>
        <w:t>migración...</w:t>
      </w:r>
      <w:r>
        <w:rPr>
          <w:rFonts w:ascii="Arial" w:hAnsi="Arial"/>
          <w:color w:val="231F20"/>
          <w:spacing w:val="-13"/>
          <w:w w:val="70"/>
          <w:sz w:val="20"/>
        </w:rPr>
        <w:t> </w:t>
      </w:r>
      <w:r>
        <w:rPr>
          <w:rFonts w:ascii="Arial" w:hAnsi="Arial"/>
          <w:color w:val="231F20"/>
          <w:w w:val="70"/>
          <w:sz w:val="20"/>
        </w:rPr>
        <w:t>/Alma</w:t>
      </w:r>
      <w:r>
        <w:rPr>
          <w:rFonts w:ascii="Arial" w:hAnsi="Arial"/>
          <w:color w:val="231F20"/>
          <w:spacing w:val="-21"/>
          <w:w w:val="70"/>
          <w:sz w:val="20"/>
        </w:rPr>
        <w:t> </w:t>
      </w:r>
      <w:r>
        <w:rPr>
          <w:rFonts w:ascii="Arial" w:hAnsi="Arial"/>
          <w:color w:val="231F20"/>
          <w:w w:val="70"/>
          <w:sz w:val="20"/>
        </w:rPr>
        <w:t>C.</w:t>
      </w:r>
      <w:r>
        <w:rPr>
          <w:rFonts w:ascii="Arial" w:hAnsi="Arial"/>
          <w:color w:val="231F20"/>
          <w:spacing w:val="-21"/>
          <w:w w:val="70"/>
          <w:sz w:val="20"/>
        </w:rPr>
        <w:t> </w:t>
      </w:r>
      <w:r>
        <w:rPr>
          <w:rFonts w:ascii="Arial" w:hAnsi="Arial"/>
          <w:color w:val="231F20"/>
          <w:w w:val="70"/>
          <w:sz w:val="20"/>
        </w:rPr>
        <w:t>Guadarrama-Muñoz</w:t>
      </w:r>
    </w:p>
    <w:p>
      <w:pPr>
        <w:pStyle w:val="BodyText"/>
        <w:spacing w:before="7"/>
        <w:rPr>
          <w:rFonts w:ascii="Arial"/>
          <w:sz w:val="28"/>
        </w:rPr>
      </w:pPr>
    </w:p>
    <w:p>
      <w:pPr>
        <w:pStyle w:val="ListParagraph"/>
        <w:numPr>
          <w:ilvl w:val="0"/>
          <w:numId w:val="15"/>
        </w:numPr>
        <w:tabs>
          <w:tab w:pos="478" w:val="left" w:leader="none"/>
        </w:tabs>
        <w:spacing w:line="247" w:lineRule="auto" w:before="0" w:after="0"/>
        <w:ind w:left="477" w:right="115" w:hanging="360"/>
        <w:jc w:val="both"/>
        <w:rPr>
          <w:sz w:val="13"/>
        </w:rPr>
      </w:pPr>
      <w:r>
        <w:rPr>
          <w:color w:val="231F20"/>
          <w:sz w:val="22"/>
        </w:rPr>
        <w:t>El reconocimiento de la personalidad jurídica independientemente de su </w:t>
      </w:r>
      <w:r>
        <w:rPr>
          <w:i/>
          <w:color w:val="231F20"/>
          <w:sz w:val="22"/>
        </w:rPr>
        <w:t>status </w:t>
      </w:r>
      <w:r>
        <w:rPr>
          <w:color w:val="231F20"/>
          <w:sz w:val="22"/>
        </w:rPr>
        <w:t>migratorio y de conformidad con la Constitución y tratados internacionales.</w:t>
      </w:r>
      <w:r>
        <w:rPr>
          <w:color w:val="231F20"/>
          <w:position w:val="7"/>
          <w:sz w:val="13"/>
        </w:rPr>
        <w:t>15</w:t>
      </w:r>
    </w:p>
    <w:p>
      <w:pPr>
        <w:pStyle w:val="ListParagraph"/>
        <w:numPr>
          <w:ilvl w:val="0"/>
          <w:numId w:val="15"/>
        </w:numPr>
        <w:tabs>
          <w:tab w:pos="478" w:val="left" w:leader="none"/>
        </w:tabs>
        <w:spacing w:line="247" w:lineRule="auto" w:before="0" w:after="0"/>
        <w:ind w:left="477" w:right="115" w:hanging="360"/>
        <w:jc w:val="both"/>
        <w:rPr>
          <w:sz w:val="13"/>
        </w:rPr>
      </w:pPr>
      <w:r>
        <w:rPr>
          <w:color w:val="231F20"/>
          <w:sz w:val="22"/>
        </w:rPr>
        <w:t>A</w:t>
      </w:r>
      <w:r>
        <w:rPr>
          <w:color w:val="231F20"/>
          <w:spacing w:val="-22"/>
          <w:sz w:val="22"/>
        </w:rPr>
        <w:t> </w:t>
      </w:r>
      <w:r>
        <w:rPr>
          <w:color w:val="231F20"/>
          <w:sz w:val="22"/>
        </w:rPr>
        <w:t>la</w:t>
      </w:r>
      <w:r>
        <w:rPr>
          <w:color w:val="231F20"/>
          <w:spacing w:val="-9"/>
          <w:sz w:val="22"/>
        </w:rPr>
        <w:t> </w:t>
      </w:r>
      <w:r>
        <w:rPr>
          <w:color w:val="231F20"/>
          <w:sz w:val="22"/>
        </w:rPr>
        <w:t>información</w:t>
      </w:r>
      <w:r>
        <w:rPr>
          <w:color w:val="231F20"/>
          <w:spacing w:val="-9"/>
          <w:sz w:val="22"/>
        </w:rPr>
        <w:t> </w:t>
      </w:r>
      <w:r>
        <w:rPr>
          <w:color w:val="231F20"/>
          <w:sz w:val="22"/>
        </w:rPr>
        <w:t>sobre</w:t>
      </w:r>
      <w:r>
        <w:rPr>
          <w:color w:val="231F20"/>
          <w:spacing w:val="-9"/>
          <w:sz w:val="22"/>
        </w:rPr>
        <w:t> </w:t>
      </w:r>
      <w:r>
        <w:rPr>
          <w:color w:val="231F20"/>
          <w:sz w:val="22"/>
        </w:rPr>
        <w:t>sus</w:t>
      </w:r>
      <w:r>
        <w:rPr>
          <w:color w:val="231F20"/>
          <w:spacing w:val="-9"/>
          <w:sz w:val="22"/>
        </w:rPr>
        <w:t> </w:t>
      </w:r>
      <w:r>
        <w:rPr>
          <w:color w:val="231F20"/>
          <w:sz w:val="22"/>
        </w:rPr>
        <w:t>derechos</w:t>
      </w:r>
      <w:r>
        <w:rPr>
          <w:color w:val="231F20"/>
          <w:spacing w:val="-9"/>
          <w:sz w:val="22"/>
        </w:rPr>
        <w:t> </w:t>
      </w:r>
      <w:r>
        <w:rPr>
          <w:color w:val="231F20"/>
          <w:sz w:val="22"/>
        </w:rPr>
        <w:t>y</w:t>
      </w:r>
      <w:r>
        <w:rPr>
          <w:color w:val="231F20"/>
          <w:spacing w:val="-9"/>
          <w:sz w:val="22"/>
        </w:rPr>
        <w:t> </w:t>
      </w:r>
      <w:r>
        <w:rPr>
          <w:color w:val="231F20"/>
          <w:sz w:val="22"/>
        </w:rPr>
        <w:t>obligaciones,</w:t>
      </w:r>
      <w:r>
        <w:rPr>
          <w:color w:val="231F20"/>
          <w:spacing w:val="-9"/>
          <w:sz w:val="22"/>
        </w:rPr>
        <w:t> </w:t>
      </w:r>
      <w:r>
        <w:rPr>
          <w:color w:val="231F20"/>
          <w:sz w:val="22"/>
        </w:rPr>
        <w:t>los</w:t>
      </w:r>
      <w:r>
        <w:rPr>
          <w:color w:val="231F20"/>
          <w:spacing w:val="-10"/>
          <w:sz w:val="22"/>
        </w:rPr>
        <w:t> </w:t>
      </w:r>
      <w:r>
        <w:rPr>
          <w:color w:val="231F20"/>
          <w:sz w:val="22"/>
        </w:rPr>
        <w:t>requisitos</w:t>
      </w:r>
      <w:r>
        <w:rPr>
          <w:color w:val="231F20"/>
          <w:spacing w:val="-9"/>
          <w:sz w:val="22"/>
        </w:rPr>
        <w:t> </w:t>
      </w:r>
      <w:r>
        <w:rPr>
          <w:color w:val="231F20"/>
          <w:sz w:val="22"/>
        </w:rPr>
        <w:t>para su admisión, permanencia y estancia y la posibilidad de solicitar la condición de</w:t>
      </w:r>
      <w:r>
        <w:rPr>
          <w:color w:val="231F20"/>
          <w:spacing w:val="-4"/>
          <w:sz w:val="22"/>
        </w:rPr>
        <w:t> </w:t>
      </w:r>
      <w:r>
        <w:rPr>
          <w:color w:val="231F20"/>
          <w:sz w:val="22"/>
        </w:rPr>
        <w:t>refugiado.</w:t>
      </w:r>
      <w:r>
        <w:rPr>
          <w:color w:val="231F20"/>
          <w:position w:val="7"/>
          <w:sz w:val="13"/>
        </w:rPr>
        <w:t>16</w:t>
      </w:r>
    </w:p>
    <w:p>
      <w:pPr>
        <w:pStyle w:val="ListParagraph"/>
        <w:numPr>
          <w:ilvl w:val="0"/>
          <w:numId w:val="15"/>
        </w:numPr>
        <w:tabs>
          <w:tab w:pos="478" w:val="left" w:leader="none"/>
        </w:tabs>
        <w:spacing w:line="247" w:lineRule="auto" w:before="0" w:after="0"/>
        <w:ind w:left="477" w:right="115" w:hanging="360"/>
        <w:jc w:val="both"/>
        <w:rPr>
          <w:sz w:val="13"/>
        </w:rPr>
      </w:pPr>
      <w:r>
        <w:rPr>
          <w:color w:val="231F20"/>
          <w:sz w:val="22"/>
        </w:rPr>
        <w:t>A que se le proporcione un intérprete durante el procedimiento</w:t>
      </w:r>
      <w:r>
        <w:rPr>
          <w:color w:val="231F20"/>
          <w:spacing w:val="-14"/>
          <w:sz w:val="22"/>
        </w:rPr>
        <w:t> </w:t>
      </w:r>
      <w:r>
        <w:rPr>
          <w:color w:val="231F20"/>
          <w:sz w:val="22"/>
        </w:rPr>
        <w:t>migra- torio en caso de que no hable o entienda español; así como cuando el sujeto sea sordo y sepa leer y</w:t>
      </w:r>
      <w:r>
        <w:rPr>
          <w:color w:val="231F20"/>
          <w:spacing w:val="-30"/>
          <w:sz w:val="22"/>
        </w:rPr>
        <w:t> </w:t>
      </w:r>
      <w:r>
        <w:rPr>
          <w:color w:val="231F20"/>
          <w:sz w:val="22"/>
        </w:rPr>
        <w:t>escribir.</w:t>
      </w:r>
      <w:r>
        <w:rPr>
          <w:color w:val="231F20"/>
          <w:position w:val="7"/>
          <w:sz w:val="13"/>
        </w:rPr>
        <w:t>17</w:t>
      </w:r>
    </w:p>
    <w:p>
      <w:pPr>
        <w:pStyle w:val="BodyText"/>
        <w:spacing w:line="247" w:lineRule="auto" w:before="169"/>
        <w:ind w:left="117" w:right="115" w:firstLine="283"/>
        <w:jc w:val="both"/>
        <w:rPr>
          <w:sz w:val="13"/>
        </w:rPr>
      </w:pPr>
      <w:r>
        <w:rPr>
          <w:color w:val="231F20"/>
        </w:rPr>
        <w:t>Los derechos enlistados son enunciativos, no limitativos; a lo largo del </w:t>
      </w:r>
      <w:r>
        <w:rPr>
          <w:i/>
          <w:color w:val="231F20"/>
        </w:rPr>
        <w:t>corpus </w:t>
      </w:r>
      <w:r>
        <w:rPr>
          <w:color w:val="231F20"/>
        </w:rPr>
        <w:t>de la ley encontramos derechos reconocidos a favor de los</w:t>
      </w:r>
      <w:r>
        <w:rPr>
          <w:color w:val="231F20"/>
          <w:spacing w:val="-21"/>
        </w:rPr>
        <w:t> </w:t>
      </w:r>
      <w:r>
        <w:rPr>
          <w:color w:val="231F20"/>
        </w:rPr>
        <w:t>migran- tes especialmente durante su tránsito por el territorio nacional. Es el caso del artículo 66 que garantiza el derecho a la seguridad personal del sujeto con independencia de su situación migratoria. El artículo 67 que garantiza a todo extranjero irregular ser tratado sin discriminación alguna y con el debido respeto a sus derechos humanos. El derecho a la información, co- mentado</w:t>
      </w:r>
      <w:r>
        <w:rPr>
          <w:color w:val="231F20"/>
          <w:spacing w:val="-6"/>
        </w:rPr>
        <w:t> </w:t>
      </w:r>
      <w:r>
        <w:rPr>
          <w:color w:val="231F20"/>
        </w:rPr>
        <w:t>líneas</w:t>
      </w:r>
      <w:r>
        <w:rPr>
          <w:color w:val="231F20"/>
          <w:spacing w:val="-6"/>
        </w:rPr>
        <w:t> </w:t>
      </w:r>
      <w:r>
        <w:rPr>
          <w:color w:val="231F20"/>
        </w:rPr>
        <w:t>arriba,</w:t>
      </w:r>
      <w:r>
        <w:rPr>
          <w:color w:val="231F20"/>
          <w:spacing w:val="-6"/>
        </w:rPr>
        <w:t> </w:t>
      </w:r>
      <w:r>
        <w:rPr>
          <w:color w:val="231F20"/>
        </w:rPr>
        <w:t>es</w:t>
      </w:r>
      <w:r>
        <w:rPr>
          <w:color w:val="231F20"/>
          <w:spacing w:val="-5"/>
        </w:rPr>
        <w:t> </w:t>
      </w:r>
      <w:r>
        <w:rPr>
          <w:color w:val="231F20"/>
        </w:rPr>
        <w:t>reiterado</w:t>
      </w:r>
      <w:r>
        <w:rPr>
          <w:color w:val="231F20"/>
          <w:spacing w:val="-5"/>
        </w:rPr>
        <w:t> </w:t>
      </w:r>
      <w:r>
        <w:rPr>
          <w:color w:val="231F20"/>
        </w:rPr>
        <w:t>como</w:t>
      </w:r>
      <w:r>
        <w:rPr>
          <w:color w:val="231F20"/>
          <w:spacing w:val="-5"/>
        </w:rPr>
        <w:t> </w:t>
      </w:r>
      <w:r>
        <w:rPr>
          <w:color w:val="231F20"/>
        </w:rPr>
        <w:t>una</w:t>
      </w:r>
      <w:r>
        <w:rPr>
          <w:color w:val="231F20"/>
          <w:spacing w:val="-5"/>
        </w:rPr>
        <w:t> </w:t>
      </w:r>
      <w:r>
        <w:rPr>
          <w:color w:val="231F20"/>
        </w:rPr>
        <w:t>prerrogativa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migrantes indocumentados;</w:t>
      </w:r>
      <w:r>
        <w:rPr>
          <w:color w:val="231F20"/>
          <w:position w:val="7"/>
          <w:sz w:val="13"/>
        </w:rPr>
        <w:t>18 </w:t>
      </w:r>
      <w:r>
        <w:rPr>
          <w:color w:val="231F20"/>
        </w:rPr>
        <w:t>así como el contar con un representante legal que lo asista durante el procedimiento</w:t>
      </w:r>
      <w:r>
        <w:rPr>
          <w:color w:val="231F20"/>
          <w:spacing w:val="-4"/>
        </w:rPr>
        <w:t> </w:t>
      </w:r>
      <w:r>
        <w:rPr>
          <w:color w:val="231F20"/>
        </w:rPr>
        <w:t>administrativo.</w:t>
      </w:r>
      <w:r>
        <w:rPr>
          <w:color w:val="231F20"/>
          <w:position w:val="7"/>
          <w:sz w:val="13"/>
        </w:rPr>
        <w:t>19</w:t>
      </w:r>
    </w:p>
    <w:p>
      <w:pPr>
        <w:pStyle w:val="BodyText"/>
        <w:spacing w:line="247" w:lineRule="auto"/>
        <w:ind w:left="117" w:right="114" w:firstLine="283"/>
        <w:jc w:val="both"/>
      </w:pPr>
      <w:r>
        <w:rPr>
          <w:color w:val="231F20"/>
        </w:rPr>
        <w:t>Un tema importante es el relativo a las estaciones migratorias (EM) en particular los derechos que el extranjero tiene durante su alojamiento en estos lugares. La </w:t>
      </w:r>
      <w:r>
        <w:rPr>
          <w:i/>
          <w:color w:val="231F20"/>
        </w:rPr>
        <w:t>Ley de Migración </w:t>
      </w:r>
      <w:r>
        <w:rPr>
          <w:color w:val="231F20"/>
        </w:rPr>
        <w:t>al respecto, en su artículo 109 enuncia sus</w:t>
      </w:r>
      <w:r>
        <w:rPr>
          <w:color w:val="231F20"/>
          <w:spacing w:val="-7"/>
        </w:rPr>
        <w:t> </w:t>
      </w:r>
      <w:r>
        <w:rPr>
          <w:color w:val="231F20"/>
        </w:rPr>
        <w:t>derechos,</w:t>
      </w:r>
      <w:r>
        <w:rPr>
          <w:color w:val="231F20"/>
          <w:spacing w:val="-7"/>
        </w:rPr>
        <w:t> </w:t>
      </w:r>
      <w:r>
        <w:rPr>
          <w:color w:val="231F20"/>
        </w:rPr>
        <w:t>pero</w:t>
      </w:r>
      <w:r>
        <w:rPr>
          <w:color w:val="231F20"/>
          <w:spacing w:val="-7"/>
        </w:rPr>
        <w:t> </w:t>
      </w:r>
      <w:r>
        <w:rPr>
          <w:color w:val="231F20"/>
        </w:rPr>
        <w:t>son</w:t>
      </w:r>
      <w:r>
        <w:rPr>
          <w:color w:val="231F20"/>
          <w:spacing w:val="-7"/>
        </w:rPr>
        <w:t> </w:t>
      </w:r>
      <w:r>
        <w:rPr>
          <w:color w:val="231F20"/>
        </w:rPr>
        <w:t>las</w:t>
      </w:r>
      <w:r>
        <w:rPr>
          <w:color w:val="231F20"/>
          <w:spacing w:val="-7"/>
        </w:rPr>
        <w:t> </w:t>
      </w:r>
      <w:r>
        <w:rPr>
          <w:color w:val="231F20"/>
        </w:rPr>
        <w:t>fracciones</w:t>
      </w:r>
      <w:r>
        <w:rPr>
          <w:color w:val="231F20"/>
          <w:spacing w:val="-7"/>
        </w:rPr>
        <w:t> </w:t>
      </w:r>
      <w:r>
        <w:rPr>
          <w:color w:val="231F20"/>
        </w:rPr>
        <w:t>XIII</w:t>
      </w:r>
      <w:r>
        <w:rPr>
          <w:color w:val="231F20"/>
          <w:spacing w:val="-7"/>
        </w:rPr>
        <w:t> </w:t>
      </w:r>
      <w:r>
        <w:rPr>
          <w:color w:val="231F20"/>
        </w:rPr>
        <w:t>y</w:t>
      </w:r>
      <w:r>
        <w:rPr>
          <w:color w:val="231F20"/>
          <w:spacing w:val="-7"/>
        </w:rPr>
        <w:t> </w:t>
      </w:r>
      <w:r>
        <w:rPr>
          <w:color w:val="231F20"/>
        </w:rPr>
        <w:t>XIV</w:t>
      </w:r>
      <w:r>
        <w:rPr>
          <w:color w:val="231F20"/>
          <w:spacing w:val="-11"/>
        </w:rPr>
        <w:t> </w:t>
      </w:r>
      <w:r>
        <w:rPr>
          <w:color w:val="231F20"/>
        </w:rPr>
        <w:t>las</w:t>
      </w:r>
      <w:r>
        <w:rPr>
          <w:color w:val="231F20"/>
          <w:spacing w:val="-7"/>
        </w:rPr>
        <w:t> </w:t>
      </w:r>
      <w:r>
        <w:rPr>
          <w:color w:val="231F20"/>
        </w:rPr>
        <w:t>que</w:t>
      </w:r>
      <w:r>
        <w:rPr>
          <w:color w:val="231F20"/>
          <w:spacing w:val="-7"/>
        </w:rPr>
        <w:t> </w:t>
      </w:r>
      <w:r>
        <w:rPr>
          <w:color w:val="231F20"/>
        </w:rPr>
        <w:t>hacen</w:t>
      </w:r>
      <w:r>
        <w:rPr>
          <w:color w:val="231F20"/>
          <w:spacing w:val="-7"/>
        </w:rPr>
        <w:t> </w:t>
      </w:r>
      <w:r>
        <w:rPr>
          <w:color w:val="231F20"/>
        </w:rPr>
        <w:t>mención</w:t>
      </w:r>
      <w:r>
        <w:rPr>
          <w:color w:val="231F20"/>
          <w:spacing w:val="-8"/>
        </w:rPr>
        <w:t> </w:t>
      </w:r>
      <w:r>
        <w:rPr>
          <w:color w:val="231F20"/>
        </w:rPr>
        <w:t>de los</w:t>
      </w:r>
      <w:r>
        <w:rPr>
          <w:color w:val="231F20"/>
          <w:spacing w:val="-9"/>
        </w:rPr>
        <w:t> </w:t>
      </w:r>
      <w:r>
        <w:rPr>
          <w:color w:val="231F20"/>
        </w:rPr>
        <w:t>niños</w:t>
      </w:r>
      <w:r>
        <w:rPr>
          <w:color w:val="231F20"/>
          <w:spacing w:val="-9"/>
        </w:rPr>
        <w:t> </w:t>
      </w:r>
      <w:r>
        <w:rPr>
          <w:color w:val="231F20"/>
        </w:rPr>
        <w:t>y</w:t>
      </w:r>
      <w:r>
        <w:rPr>
          <w:color w:val="231F20"/>
          <w:spacing w:val="-9"/>
        </w:rPr>
        <w:t> </w:t>
      </w:r>
      <w:r>
        <w:rPr>
          <w:color w:val="231F20"/>
        </w:rPr>
        <w:t>adolescentes,</w:t>
      </w:r>
      <w:r>
        <w:rPr>
          <w:color w:val="231F20"/>
          <w:spacing w:val="-9"/>
        </w:rPr>
        <w:t> </w:t>
      </w:r>
      <w:r>
        <w:rPr>
          <w:color w:val="231F20"/>
        </w:rPr>
        <w:t>al</w:t>
      </w:r>
      <w:r>
        <w:rPr>
          <w:color w:val="231F20"/>
          <w:spacing w:val="-9"/>
        </w:rPr>
        <w:t> </w:t>
      </w:r>
      <w:r>
        <w:rPr>
          <w:color w:val="231F20"/>
        </w:rPr>
        <w:t>disponer</w:t>
      </w:r>
      <w:r>
        <w:rPr>
          <w:color w:val="231F20"/>
          <w:spacing w:val="-8"/>
        </w:rPr>
        <w:t> </w:t>
      </w:r>
      <w:r>
        <w:rPr>
          <w:color w:val="231F20"/>
        </w:rPr>
        <w:t>áreas</w:t>
      </w:r>
      <w:r>
        <w:rPr>
          <w:color w:val="231F20"/>
          <w:spacing w:val="-9"/>
        </w:rPr>
        <w:t> </w:t>
      </w:r>
      <w:r>
        <w:rPr>
          <w:color w:val="231F20"/>
        </w:rPr>
        <w:t>de</w:t>
      </w:r>
      <w:r>
        <w:rPr>
          <w:color w:val="231F20"/>
          <w:spacing w:val="-8"/>
        </w:rPr>
        <w:t> </w:t>
      </w:r>
      <w:r>
        <w:rPr>
          <w:color w:val="231F20"/>
        </w:rPr>
        <w:t>estancia</w:t>
      </w:r>
      <w:r>
        <w:rPr>
          <w:color w:val="231F20"/>
          <w:spacing w:val="-9"/>
        </w:rPr>
        <w:t> </w:t>
      </w:r>
      <w:r>
        <w:rPr>
          <w:color w:val="231F20"/>
        </w:rPr>
        <w:t>separadas</w:t>
      </w:r>
      <w:r>
        <w:rPr>
          <w:color w:val="231F20"/>
          <w:spacing w:val="-8"/>
        </w:rPr>
        <w:t> </w:t>
      </w:r>
      <w:r>
        <w:rPr>
          <w:color w:val="231F20"/>
        </w:rPr>
        <w:t>para</w:t>
      </w:r>
      <w:r>
        <w:rPr>
          <w:color w:val="231F20"/>
          <w:spacing w:val="-8"/>
        </w:rPr>
        <w:t> </w:t>
      </w:r>
      <w:r>
        <w:rPr>
          <w:color w:val="231F20"/>
        </w:rPr>
        <w:t>hom- bres</w:t>
      </w:r>
      <w:r>
        <w:rPr>
          <w:color w:val="231F20"/>
          <w:spacing w:val="-10"/>
        </w:rPr>
        <w:t> </w:t>
      </w:r>
      <w:r>
        <w:rPr>
          <w:color w:val="231F20"/>
        </w:rPr>
        <w:t>y</w:t>
      </w:r>
      <w:r>
        <w:rPr>
          <w:color w:val="231F20"/>
          <w:spacing w:val="-10"/>
        </w:rPr>
        <w:t> </w:t>
      </w:r>
      <w:r>
        <w:rPr>
          <w:color w:val="231F20"/>
        </w:rPr>
        <w:t>mujeres,</w:t>
      </w:r>
      <w:r>
        <w:rPr>
          <w:color w:val="231F20"/>
          <w:spacing w:val="-11"/>
        </w:rPr>
        <w:t> </w:t>
      </w:r>
      <w:r>
        <w:rPr>
          <w:color w:val="231F20"/>
        </w:rPr>
        <w:t>garantizando</w:t>
      </w:r>
      <w:r>
        <w:rPr>
          <w:color w:val="231F20"/>
          <w:spacing w:val="-10"/>
        </w:rPr>
        <w:t> </w:t>
      </w:r>
      <w:r>
        <w:rPr>
          <w:color w:val="231F20"/>
        </w:rPr>
        <w:t>el</w:t>
      </w:r>
      <w:r>
        <w:rPr>
          <w:color w:val="231F20"/>
          <w:spacing w:val="-10"/>
        </w:rPr>
        <w:t> </w:t>
      </w:r>
      <w:r>
        <w:rPr>
          <w:color w:val="231F20"/>
        </w:rPr>
        <w:t>derecho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unidad</w:t>
      </w:r>
      <w:r>
        <w:rPr>
          <w:color w:val="231F20"/>
          <w:spacing w:val="-10"/>
        </w:rPr>
        <w:t> </w:t>
      </w:r>
      <w:r>
        <w:rPr>
          <w:color w:val="231F20"/>
        </w:rPr>
        <w:t>familiar,</w:t>
      </w:r>
      <w:r>
        <w:rPr>
          <w:color w:val="231F20"/>
          <w:spacing w:val="-10"/>
        </w:rPr>
        <w:t> </w:t>
      </w:r>
      <w:r>
        <w:rPr>
          <w:color w:val="231F20"/>
        </w:rPr>
        <w:t>excepto</w:t>
      </w:r>
      <w:r>
        <w:rPr>
          <w:color w:val="231F20"/>
          <w:spacing w:val="-11"/>
        </w:rPr>
        <w:t> </w:t>
      </w:r>
      <w:r>
        <w:rPr>
          <w:color w:val="231F20"/>
        </w:rPr>
        <w:t>en</w:t>
      </w:r>
      <w:r>
        <w:rPr>
          <w:color w:val="231F20"/>
          <w:spacing w:val="-10"/>
        </w:rPr>
        <w:t> </w:t>
      </w:r>
      <w:r>
        <w:rPr>
          <w:color w:val="231F20"/>
        </w:rPr>
        <w:t>los casos</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que</w:t>
      </w:r>
      <w:r>
        <w:rPr>
          <w:color w:val="231F20"/>
          <w:spacing w:val="-11"/>
        </w:rPr>
        <w:t> </w:t>
      </w:r>
      <w:r>
        <w:rPr>
          <w:color w:val="231F20"/>
        </w:rPr>
        <w:t>la</w:t>
      </w:r>
      <w:r>
        <w:rPr>
          <w:color w:val="231F20"/>
          <w:spacing w:val="-11"/>
        </w:rPr>
        <w:t> </w:t>
      </w:r>
      <w:r>
        <w:rPr>
          <w:color w:val="231F20"/>
        </w:rPr>
        <w:t>separación</w:t>
      </w:r>
      <w:r>
        <w:rPr>
          <w:color w:val="231F20"/>
          <w:spacing w:val="-11"/>
        </w:rPr>
        <w:t> </w:t>
      </w:r>
      <w:r>
        <w:rPr>
          <w:color w:val="231F20"/>
        </w:rPr>
        <w:t>sea</w:t>
      </w:r>
      <w:r>
        <w:rPr>
          <w:color w:val="231F20"/>
          <w:spacing w:val="-11"/>
        </w:rPr>
        <w:t> </w:t>
      </w:r>
      <w:r>
        <w:rPr>
          <w:color w:val="231F20"/>
        </w:rPr>
        <w:t>considerada</w:t>
      </w:r>
      <w:r>
        <w:rPr>
          <w:color w:val="231F20"/>
          <w:spacing w:val="-12"/>
        </w:rPr>
        <w:t> </w:t>
      </w:r>
      <w:r>
        <w:rPr>
          <w:color w:val="231F20"/>
        </w:rPr>
        <w:t>en</w:t>
      </w:r>
      <w:r>
        <w:rPr>
          <w:color w:val="231F20"/>
          <w:spacing w:val="-11"/>
        </w:rPr>
        <w:t> </w:t>
      </w:r>
      <w:r>
        <w:rPr>
          <w:color w:val="231F20"/>
        </w:rPr>
        <w:t>razón</w:t>
      </w:r>
      <w:r>
        <w:rPr>
          <w:color w:val="231F20"/>
          <w:spacing w:val="-11"/>
        </w:rPr>
        <w:t> </w:t>
      </w:r>
      <w:r>
        <w:rPr>
          <w:color w:val="231F20"/>
        </w:rPr>
        <w:t>del</w:t>
      </w:r>
      <w:r>
        <w:rPr>
          <w:color w:val="231F20"/>
          <w:spacing w:val="-11"/>
        </w:rPr>
        <w:t> </w:t>
      </w:r>
      <w:r>
        <w:rPr>
          <w:color w:val="231F20"/>
        </w:rPr>
        <w:t>interés</w:t>
      </w:r>
      <w:r>
        <w:rPr>
          <w:color w:val="231F20"/>
          <w:spacing w:val="-11"/>
        </w:rPr>
        <w:t> </w:t>
      </w:r>
      <w:r>
        <w:rPr>
          <w:color w:val="231F20"/>
        </w:rPr>
        <w:t>superior del </w:t>
      </w:r>
      <w:r>
        <w:rPr>
          <w:color w:val="231F20"/>
          <w:spacing w:val="-3"/>
        </w:rPr>
        <w:t>menor. </w:t>
      </w:r>
      <w:r>
        <w:rPr>
          <w:color w:val="231F20"/>
        </w:rPr>
        <w:t>Las EM deberán contar con áreas separadas para niñas, niños</w:t>
      </w:r>
      <w:r>
        <w:rPr>
          <w:color w:val="231F20"/>
          <w:spacing w:val="-23"/>
        </w:rPr>
        <w:t> </w:t>
      </w:r>
      <w:r>
        <w:rPr>
          <w:color w:val="231F20"/>
        </w:rPr>
        <w:t>y adolescentes</w:t>
      </w:r>
      <w:r>
        <w:rPr>
          <w:color w:val="231F20"/>
          <w:spacing w:val="-8"/>
        </w:rPr>
        <w:t> </w:t>
      </w:r>
      <w:r>
        <w:rPr>
          <w:color w:val="231F20"/>
        </w:rPr>
        <w:t>migrantes</w:t>
      </w:r>
      <w:r>
        <w:rPr>
          <w:color w:val="231F20"/>
          <w:spacing w:val="-8"/>
        </w:rPr>
        <w:t> </w:t>
      </w:r>
      <w:r>
        <w:rPr>
          <w:color w:val="231F20"/>
        </w:rPr>
        <w:t>no</w:t>
      </w:r>
      <w:r>
        <w:rPr>
          <w:color w:val="231F20"/>
          <w:spacing w:val="-7"/>
        </w:rPr>
        <w:t> </w:t>
      </w:r>
      <w:r>
        <w:rPr>
          <w:color w:val="231F20"/>
        </w:rPr>
        <w:t>acompañados</w:t>
      </w:r>
      <w:r>
        <w:rPr>
          <w:color w:val="231F20"/>
          <w:spacing w:val="-8"/>
        </w:rPr>
        <w:t> </w:t>
      </w:r>
      <w:r>
        <w:rPr>
          <w:color w:val="231F20"/>
        </w:rPr>
        <w:t>para</w:t>
      </w:r>
      <w:r>
        <w:rPr>
          <w:color w:val="231F20"/>
          <w:spacing w:val="-8"/>
        </w:rPr>
        <w:t> </w:t>
      </w:r>
      <w:r>
        <w:rPr>
          <w:color w:val="231F20"/>
        </w:rPr>
        <w:t>su</w:t>
      </w:r>
      <w:r>
        <w:rPr>
          <w:color w:val="231F20"/>
          <w:spacing w:val="-7"/>
        </w:rPr>
        <w:t> </w:t>
      </w:r>
      <w:r>
        <w:rPr>
          <w:color w:val="231F20"/>
        </w:rPr>
        <w:t>alojamiento,</w:t>
      </w:r>
      <w:r>
        <w:rPr>
          <w:color w:val="231F20"/>
          <w:spacing w:val="-8"/>
        </w:rPr>
        <w:t> </w:t>
      </w:r>
      <w:r>
        <w:rPr>
          <w:color w:val="231F20"/>
        </w:rPr>
        <w:t>mientras</w:t>
      </w:r>
      <w:r>
        <w:rPr>
          <w:color w:val="231F20"/>
          <w:spacing w:val="-8"/>
        </w:rPr>
        <w:t> </w:t>
      </w:r>
      <w:r>
        <w:rPr>
          <w:color w:val="231F20"/>
        </w:rPr>
        <w:t>son canalizados a instituciones que les brinden la atención</w:t>
      </w:r>
      <w:r>
        <w:rPr>
          <w:color w:val="231F20"/>
          <w:spacing w:val="-4"/>
        </w:rPr>
        <w:t> </w:t>
      </w:r>
      <w:r>
        <w:rPr>
          <w:color w:val="231F20"/>
        </w:rPr>
        <w:t>adecuada.</w:t>
      </w:r>
    </w:p>
    <w:p>
      <w:pPr>
        <w:pStyle w:val="BodyText"/>
        <w:spacing w:line="247" w:lineRule="auto"/>
        <w:ind w:left="117" w:right="115" w:firstLine="283"/>
        <w:jc w:val="both"/>
      </w:pPr>
      <w:r>
        <w:rPr/>
        <w:pict>
          <v:line style="position:absolute;mso-position-horizontal-relative:page;mso-position-vertical-relative:paragraph;z-index:8440;mso-wrap-distance-left:0;mso-wrap-distance-right:0" from="70.866096pt,84.874825pt" to="142.866096pt,84.874825pt" stroked="true" strokeweight=".75pt" strokecolor="#231f20">
            <w10:wrap type="topAndBottom"/>
          </v:line>
        </w:pict>
      </w:r>
      <w:r>
        <w:rPr>
          <w:color w:val="231F20"/>
        </w:rPr>
        <w:t>El Reglamento de la </w:t>
      </w:r>
      <w:r>
        <w:rPr>
          <w:i/>
          <w:color w:val="231F20"/>
        </w:rPr>
        <w:t>Ley de Migración</w:t>
      </w:r>
      <w:r>
        <w:rPr>
          <w:color w:val="231F20"/>
        </w:rPr>
        <w:t>, en su artículo 226 desarrolla el contenido de los derechos de los migrantes alojados en las EM y ratifica el contenido de las fracciones comentadas líneas arriba. Empero, el</w:t>
      </w:r>
      <w:r>
        <w:rPr>
          <w:color w:val="231F20"/>
          <w:spacing w:val="-35"/>
        </w:rPr>
        <w:t> </w:t>
      </w:r>
      <w:r>
        <w:rPr>
          <w:color w:val="231F20"/>
        </w:rPr>
        <w:t>Regla- mento, por su propia naturaleza, va más allá al especificar concretamente los derechos de los menores que por alguna razón son alojados en estos sitios, a saber:</w:t>
      </w:r>
    </w:p>
    <w:p>
      <w:pPr>
        <w:spacing w:line="157" w:lineRule="exact" w:before="0"/>
        <w:ind w:left="117" w:right="117" w:firstLine="0"/>
        <w:jc w:val="left"/>
        <w:rPr>
          <w:sz w:val="17"/>
        </w:rPr>
      </w:pPr>
      <w:r>
        <w:rPr>
          <w:color w:val="231F20"/>
          <w:position w:val="6"/>
          <w:sz w:val="10"/>
        </w:rPr>
        <w:t>15 </w:t>
      </w:r>
      <w:r>
        <w:rPr>
          <w:color w:val="231F20"/>
          <w:sz w:val="17"/>
        </w:rPr>
        <w:t>Artículo 12 de la LM.</w:t>
      </w:r>
    </w:p>
    <w:p>
      <w:pPr>
        <w:spacing w:line="170" w:lineRule="exact" w:before="0"/>
        <w:ind w:left="117" w:right="117" w:firstLine="0"/>
        <w:jc w:val="left"/>
        <w:rPr>
          <w:sz w:val="17"/>
        </w:rPr>
      </w:pPr>
      <w:r>
        <w:rPr>
          <w:color w:val="231F20"/>
          <w:position w:val="6"/>
          <w:sz w:val="10"/>
        </w:rPr>
        <w:t>16 </w:t>
      </w:r>
      <w:r>
        <w:rPr>
          <w:color w:val="231F20"/>
          <w:sz w:val="17"/>
        </w:rPr>
        <w:t>Artículo 13 de la LM.</w:t>
      </w:r>
    </w:p>
    <w:p>
      <w:pPr>
        <w:spacing w:line="170" w:lineRule="exact" w:before="0"/>
        <w:ind w:left="117" w:right="117" w:firstLine="0"/>
        <w:jc w:val="left"/>
        <w:rPr>
          <w:sz w:val="17"/>
        </w:rPr>
      </w:pPr>
      <w:r>
        <w:rPr>
          <w:color w:val="231F20"/>
          <w:position w:val="6"/>
          <w:sz w:val="10"/>
        </w:rPr>
        <w:t>17 </w:t>
      </w:r>
      <w:r>
        <w:rPr>
          <w:color w:val="231F20"/>
          <w:sz w:val="17"/>
        </w:rPr>
        <w:t>Artículo 14 de la LM.</w:t>
      </w:r>
    </w:p>
    <w:p>
      <w:pPr>
        <w:spacing w:line="170" w:lineRule="exact" w:before="0"/>
        <w:ind w:left="117" w:right="117" w:firstLine="0"/>
        <w:jc w:val="left"/>
        <w:rPr>
          <w:sz w:val="17"/>
        </w:rPr>
      </w:pPr>
      <w:r>
        <w:rPr>
          <w:color w:val="231F20"/>
          <w:position w:val="6"/>
          <w:sz w:val="10"/>
        </w:rPr>
        <w:t>18 </w:t>
      </w:r>
      <w:r>
        <w:rPr>
          <w:color w:val="231F20"/>
          <w:sz w:val="17"/>
        </w:rPr>
        <w:t>Artículo 69 de la LM.</w:t>
      </w:r>
    </w:p>
    <w:p>
      <w:pPr>
        <w:spacing w:line="183" w:lineRule="exact" w:before="0"/>
        <w:ind w:left="117" w:right="117" w:firstLine="0"/>
        <w:jc w:val="left"/>
        <w:rPr>
          <w:sz w:val="17"/>
        </w:rPr>
      </w:pPr>
      <w:r>
        <w:rPr>
          <w:color w:val="231F20"/>
          <w:position w:val="6"/>
          <w:sz w:val="10"/>
        </w:rPr>
        <w:t>19 </w:t>
      </w:r>
      <w:r>
        <w:rPr>
          <w:color w:val="231F20"/>
          <w:sz w:val="17"/>
        </w:rPr>
        <w:t>Artículo 70 de la LM.</w:t>
      </w:r>
    </w:p>
    <w:p>
      <w:pPr>
        <w:spacing w:after="0" w:line="183" w:lineRule="exact"/>
        <w:jc w:val="left"/>
        <w:rPr>
          <w:sz w:val="17"/>
        </w:rPr>
        <w:sectPr>
          <w:pgSz w:w="9360" w:h="13040"/>
          <w:pgMar w:header="0" w:footer="496" w:top="740" w:bottom="680" w:left="1300" w:right="1300"/>
        </w:sectPr>
      </w:pPr>
    </w:p>
    <w:p>
      <w:pPr>
        <w:tabs>
          <w:tab w:pos="5536" w:val="left" w:leader="none"/>
        </w:tabs>
        <w:spacing w:before="51"/>
        <w:ind w:left="128" w:right="117" w:firstLine="0"/>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ListParagraph"/>
        <w:numPr>
          <w:ilvl w:val="0"/>
          <w:numId w:val="16"/>
        </w:numPr>
        <w:tabs>
          <w:tab w:pos="478" w:val="left" w:leader="none"/>
        </w:tabs>
        <w:spacing w:line="247" w:lineRule="auto" w:before="0" w:after="0"/>
        <w:ind w:left="477" w:right="115" w:hanging="360"/>
        <w:jc w:val="both"/>
        <w:rPr>
          <w:sz w:val="22"/>
        </w:rPr>
      </w:pPr>
      <w:r>
        <w:rPr>
          <w:color w:val="231F20"/>
          <w:sz w:val="22"/>
        </w:rPr>
        <w:t>Ser</w:t>
      </w:r>
      <w:r>
        <w:rPr>
          <w:color w:val="231F20"/>
          <w:spacing w:val="-7"/>
          <w:sz w:val="22"/>
        </w:rPr>
        <w:t> </w:t>
      </w:r>
      <w:r>
        <w:rPr>
          <w:color w:val="231F20"/>
          <w:sz w:val="22"/>
        </w:rPr>
        <w:t>trasladados</w:t>
      </w:r>
      <w:r>
        <w:rPr>
          <w:color w:val="231F20"/>
          <w:spacing w:val="-8"/>
          <w:sz w:val="22"/>
        </w:rPr>
        <w:t> </w:t>
      </w:r>
      <w:r>
        <w:rPr>
          <w:color w:val="231F20"/>
          <w:sz w:val="22"/>
        </w:rPr>
        <w:t>a</w:t>
      </w:r>
      <w:r>
        <w:rPr>
          <w:color w:val="231F20"/>
          <w:spacing w:val="-7"/>
          <w:sz w:val="22"/>
        </w:rPr>
        <w:t> </w:t>
      </w:r>
      <w:r>
        <w:rPr>
          <w:color w:val="231F20"/>
          <w:sz w:val="22"/>
        </w:rPr>
        <w:t>la</w:t>
      </w:r>
      <w:r>
        <w:rPr>
          <w:color w:val="231F20"/>
          <w:spacing w:val="-7"/>
          <w:sz w:val="22"/>
        </w:rPr>
        <w:t> </w:t>
      </w:r>
      <w:r>
        <w:rPr>
          <w:color w:val="231F20"/>
          <w:sz w:val="22"/>
        </w:rPr>
        <w:t>brevedad</w:t>
      </w:r>
      <w:r>
        <w:rPr>
          <w:color w:val="231F20"/>
          <w:spacing w:val="-7"/>
          <w:sz w:val="22"/>
        </w:rPr>
        <w:t> </w:t>
      </w:r>
      <w:r>
        <w:rPr>
          <w:color w:val="231F20"/>
          <w:sz w:val="22"/>
        </w:rPr>
        <w:t>posible</w:t>
      </w:r>
      <w:r>
        <w:rPr>
          <w:color w:val="231F20"/>
          <w:spacing w:val="-7"/>
          <w:sz w:val="22"/>
        </w:rPr>
        <w:t> </w:t>
      </w:r>
      <w:r>
        <w:rPr>
          <w:color w:val="231F20"/>
          <w:sz w:val="22"/>
        </w:rPr>
        <w:t>a</w:t>
      </w:r>
      <w:r>
        <w:rPr>
          <w:color w:val="231F20"/>
          <w:spacing w:val="-7"/>
          <w:sz w:val="22"/>
        </w:rPr>
        <w:t> </w:t>
      </w:r>
      <w:r>
        <w:rPr>
          <w:color w:val="231F20"/>
          <w:sz w:val="22"/>
        </w:rPr>
        <w:t>instituciones</w:t>
      </w:r>
      <w:r>
        <w:rPr>
          <w:color w:val="231F20"/>
          <w:spacing w:val="-8"/>
          <w:sz w:val="22"/>
        </w:rPr>
        <w:t> </w:t>
      </w:r>
      <w:r>
        <w:rPr>
          <w:color w:val="231F20"/>
          <w:sz w:val="22"/>
        </w:rPr>
        <w:t>adecuadas</w:t>
      </w:r>
      <w:r>
        <w:rPr>
          <w:color w:val="231F20"/>
          <w:spacing w:val="-8"/>
          <w:sz w:val="22"/>
        </w:rPr>
        <w:t> </w:t>
      </w:r>
      <w:r>
        <w:rPr>
          <w:color w:val="231F20"/>
          <w:sz w:val="22"/>
        </w:rPr>
        <w:t>para</w:t>
      </w:r>
      <w:r>
        <w:rPr>
          <w:color w:val="231F20"/>
          <w:spacing w:val="-7"/>
          <w:sz w:val="22"/>
        </w:rPr>
        <w:t> </w:t>
      </w:r>
      <w:r>
        <w:rPr>
          <w:color w:val="231F20"/>
          <w:sz w:val="22"/>
        </w:rPr>
        <w:t>su sano desarrollo físico y</w:t>
      </w:r>
      <w:r>
        <w:rPr>
          <w:color w:val="231F20"/>
          <w:spacing w:val="-3"/>
          <w:sz w:val="22"/>
        </w:rPr>
        <w:t> </w:t>
      </w:r>
      <w:r>
        <w:rPr>
          <w:color w:val="231F20"/>
          <w:sz w:val="22"/>
        </w:rPr>
        <w:t>emocional;</w:t>
      </w:r>
    </w:p>
    <w:p>
      <w:pPr>
        <w:pStyle w:val="ListParagraph"/>
        <w:numPr>
          <w:ilvl w:val="0"/>
          <w:numId w:val="16"/>
        </w:numPr>
        <w:tabs>
          <w:tab w:pos="478" w:val="left" w:leader="none"/>
        </w:tabs>
        <w:spacing w:line="253" w:lineRule="exact" w:before="0" w:after="0"/>
        <w:ind w:left="477" w:right="0" w:hanging="360"/>
        <w:jc w:val="left"/>
        <w:rPr>
          <w:sz w:val="22"/>
        </w:rPr>
      </w:pPr>
      <w:r>
        <w:rPr>
          <w:color w:val="231F20"/>
          <w:sz w:val="22"/>
        </w:rPr>
        <w:t>Permanecer al lado de su familia o reintegrarse a</w:t>
      </w:r>
      <w:r>
        <w:rPr>
          <w:color w:val="231F20"/>
          <w:spacing w:val="-11"/>
          <w:sz w:val="22"/>
        </w:rPr>
        <w:t> </w:t>
      </w:r>
      <w:r>
        <w:rPr>
          <w:color w:val="231F20"/>
          <w:sz w:val="22"/>
        </w:rPr>
        <w:t>ella;</w:t>
      </w:r>
    </w:p>
    <w:p>
      <w:pPr>
        <w:pStyle w:val="ListParagraph"/>
        <w:numPr>
          <w:ilvl w:val="0"/>
          <w:numId w:val="16"/>
        </w:numPr>
        <w:tabs>
          <w:tab w:pos="478" w:val="left" w:leader="none"/>
        </w:tabs>
        <w:spacing w:line="247" w:lineRule="auto" w:before="7" w:after="0"/>
        <w:ind w:left="477" w:right="115" w:hanging="360"/>
        <w:jc w:val="both"/>
        <w:rPr>
          <w:sz w:val="22"/>
        </w:rPr>
      </w:pPr>
      <w:r>
        <w:rPr>
          <w:color w:val="231F20"/>
          <w:sz w:val="22"/>
        </w:rPr>
        <w:t>Participar</w:t>
      </w:r>
      <w:r>
        <w:rPr>
          <w:color w:val="231F20"/>
          <w:spacing w:val="-9"/>
          <w:sz w:val="22"/>
        </w:rPr>
        <w:t> </w:t>
      </w:r>
      <w:r>
        <w:rPr>
          <w:color w:val="231F20"/>
          <w:sz w:val="22"/>
        </w:rPr>
        <w:t>en</w:t>
      </w:r>
      <w:r>
        <w:rPr>
          <w:color w:val="231F20"/>
          <w:spacing w:val="-9"/>
          <w:sz w:val="22"/>
        </w:rPr>
        <w:t> </w:t>
      </w:r>
      <w:r>
        <w:rPr>
          <w:color w:val="231F20"/>
          <w:sz w:val="22"/>
        </w:rPr>
        <w:t>actividades</w:t>
      </w:r>
      <w:r>
        <w:rPr>
          <w:color w:val="231F20"/>
          <w:spacing w:val="-10"/>
          <w:sz w:val="22"/>
        </w:rPr>
        <w:t> </w:t>
      </w:r>
      <w:r>
        <w:rPr>
          <w:color w:val="231F20"/>
          <w:sz w:val="22"/>
        </w:rPr>
        <w:t>recreativas,</w:t>
      </w:r>
      <w:r>
        <w:rPr>
          <w:color w:val="231F20"/>
          <w:spacing w:val="-9"/>
          <w:sz w:val="22"/>
        </w:rPr>
        <w:t> </w:t>
      </w:r>
      <w:r>
        <w:rPr>
          <w:color w:val="231F20"/>
          <w:sz w:val="22"/>
        </w:rPr>
        <w:t>educativas,</w:t>
      </w:r>
      <w:r>
        <w:rPr>
          <w:color w:val="231F20"/>
          <w:spacing w:val="-10"/>
          <w:sz w:val="22"/>
        </w:rPr>
        <w:t> </w:t>
      </w:r>
      <w:r>
        <w:rPr>
          <w:color w:val="231F20"/>
          <w:sz w:val="22"/>
        </w:rPr>
        <w:t>culturales,</w:t>
      </w:r>
      <w:r>
        <w:rPr>
          <w:color w:val="231F20"/>
          <w:spacing w:val="-9"/>
          <w:sz w:val="22"/>
        </w:rPr>
        <w:t> </w:t>
      </w:r>
      <w:r>
        <w:rPr>
          <w:color w:val="231F20"/>
          <w:sz w:val="22"/>
        </w:rPr>
        <w:t>deportivas y de esparcimiento acordes con sus</w:t>
      </w:r>
      <w:r>
        <w:rPr>
          <w:color w:val="231F20"/>
          <w:spacing w:val="-5"/>
          <w:sz w:val="22"/>
        </w:rPr>
        <w:t> </w:t>
      </w:r>
      <w:r>
        <w:rPr>
          <w:color w:val="231F20"/>
          <w:sz w:val="22"/>
        </w:rPr>
        <w:t>necesidades;</w:t>
      </w:r>
    </w:p>
    <w:p>
      <w:pPr>
        <w:pStyle w:val="ListParagraph"/>
        <w:numPr>
          <w:ilvl w:val="0"/>
          <w:numId w:val="16"/>
        </w:numPr>
        <w:tabs>
          <w:tab w:pos="478" w:val="left" w:leader="none"/>
        </w:tabs>
        <w:spacing w:line="247" w:lineRule="auto" w:before="0" w:after="0"/>
        <w:ind w:left="477" w:right="115" w:hanging="360"/>
        <w:jc w:val="both"/>
        <w:rPr>
          <w:sz w:val="22"/>
        </w:rPr>
      </w:pPr>
      <w:r>
        <w:rPr>
          <w:color w:val="231F20"/>
          <w:sz w:val="22"/>
        </w:rPr>
        <w:t>Contar con actividades que propicien la convivencia y estancia con otras niñas, niños y adolescentes,</w:t>
      </w:r>
      <w:r>
        <w:rPr>
          <w:color w:val="231F20"/>
          <w:spacing w:val="-1"/>
          <w:sz w:val="22"/>
        </w:rPr>
        <w:t> </w:t>
      </w:r>
      <w:r>
        <w:rPr>
          <w:color w:val="231F20"/>
          <w:sz w:val="22"/>
        </w:rPr>
        <w:t>y</w:t>
      </w:r>
    </w:p>
    <w:p>
      <w:pPr>
        <w:pStyle w:val="ListParagraph"/>
        <w:numPr>
          <w:ilvl w:val="0"/>
          <w:numId w:val="16"/>
        </w:numPr>
        <w:tabs>
          <w:tab w:pos="478" w:val="left" w:leader="none"/>
        </w:tabs>
        <w:spacing w:line="247" w:lineRule="auto" w:before="0" w:after="0"/>
        <w:ind w:left="477" w:right="115" w:hanging="360"/>
        <w:jc w:val="both"/>
        <w:rPr>
          <w:sz w:val="13"/>
        </w:rPr>
      </w:pPr>
      <w:r>
        <w:rPr>
          <w:color w:val="231F20"/>
          <w:sz w:val="22"/>
        </w:rPr>
        <w:t>Estar acompañados en todo el procedimiento administrativo migrato- rio por personal capacitado y especializado en derechos de la protec- ción a la</w:t>
      </w:r>
      <w:r>
        <w:rPr>
          <w:color w:val="231F20"/>
          <w:spacing w:val="-4"/>
          <w:sz w:val="22"/>
        </w:rPr>
        <w:t> </w:t>
      </w:r>
      <w:r>
        <w:rPr>
          <w:color w:val="231F20"/>
          <w:sz w:val="22"/>
        </w:rPr>
        <w:t>infancia.</w:t>
      </w:r>
      <w:r>
        <w:rPr>
          <w:color w:val="231F20"/>
          <w:position w:val="7"/>
          <w:sz w:val="13"/>
        </w:rPr>
        <w:t>20</w:t>
      </w:r>
    </w:p>
    <w:p>
      <w:pPr>
        <w:pStyle w:val="BodyText"/>
        <w:spacing w:line="247" w:lineRule="auto" w:before="169"/>
        <w:ind w:left="117" w:right="115" w:firstLine="283"/>
        <w:jc w:val="both"/>
        <w:rPr>
          <w:sz w:val="13"/>
        </w:rPr>
      </w:pPr>
      <w:r>
        <w:rPr>
          <w:color w:val="231F20"/>
        </w:rPr>
        <w:t>La preservación de la unidad familiar es un derecho muy importante particularmente para los menores, razón por la cual es desarrollado en el Título Quinto, Capítulo </w:t>
      </w:r>
      <w:r>
        <w:rPr>
          <w:color w:val="231F20"/>
          <w:spacing w:val="-3"/>
        </w:rPr>
        <w:t>Tercero </w:t>
      </w:r>
      <w:r>
        <w:rPr>
          <w:color w:val="231F20"/>
        </w:rPr>
        <w:t>del Reglamento de la </w:t>
      </w:r>
      <w:r>
        <w:rPr>
          <w:i/>
          <w:color w:val="231F20"/>
        </w:rPr>
        <w:t>Ley de Migración</w:t>
      </w:r>
      <w:r>
        <w:rPr>
          <w:color w:val="231F20"/>
        </w:rPr>
        <w:t>. El</w:t>
      </w:r>
      <w:r>
        <w:rPr>
          <w:color w:val="231F20"/>
          <w:spacing w:val="-6"/>
        </w:rPr>
        <w:t> </w:t>
      </w:r>
      <w:r>
        <w:rPr>
          <w:color w:val="231F20"/>
        </w:rPr>
        <w:t>derecho</w:t>
      </w:r>
      <w:r>
        <w:rPr>
          <w:color w:val="231F20"/>
          <w:spacing w:val="-6"/>
        </w:rPr>
        <w:t> </w:t>
      </w:r>
      <w:r>
        <w:rPr>
          <w:color w:val="231F20"/>
        </w:rPr>
        <w:t>en</w:t>
      </w:r>
      <w:r>
        <w:rPr>
          <w:color w:val="231F20"/>
          <w:spacing w:val="-6"/>
        </w:rPr>
        <w:t> </w:t>
      </w:r>
      <w:r>
        <w:rPr>
          <w:color w:val="231F20"/>
        </w:rPr>
        <w:t>comento</w:t>
      </w:r>
      <w:r>
        <w:rPr>
          <w:color w:val="231F20"/>
          <w:spacing w:val="-6"/>
        </w:rPr>
        <w:t> </w:t>
      </w:r>
      <w:r>
        <w:rPr>
          <w:color w:val="231F20"/>
        </w:rPr>
        <w:t>es</w:t>
      </w:r>
      <w:r>
        <w:rPr>
          <w:color w:val="231F20"/>
          <w:spacing w:val="-6"/>
        </w:rPr>
        <w:t> </w:t>
      </w:r>
      <w:r>
        <w:rPr>
          <w:color w:val="231F20"/>
        </w:rPr>
        <w:t>reconocido</w:t>
      </w:r>
      <w:r>
        <w:rPr>
          <w:color w:val="231F20"/>
          <w:spacing w:val="-6"/>
        </w:rPr>
        <w:t> </w:t>
      </w:r>
      <w:r>
        <w:rPr>
          <w:color w:val="231F20"/>
        </w:rPr>
        <w:t>a</w:t>
      </w:r>
      <w:r>
        <w:rPr>
          <w:color w:val="231F20"/>
          <w:spacing w:val="-6"/>
        </w:rPr>
        <w:t> </w:t>
      </w:r>
      <w:r>
        <w:rPr>
          <w:color w:val="231F20"/>
        </w:rPr>
        <w:t>mexicanos</w:t>
      </w:r>
      <w:r>
        <w:rPr>
          <w:color w:val="231F20"/>
          <w:spacing w:val="-6"/>
        </w:rPr>
        <w:t> </w:t>
      </w:r>
      <w:r>
        <w:rPr>
          <w:color w:val="231F20"/>
        </w:rPr>
        <w:t>y</w:t>
      </w:r>
      <w:r>
        <w:rPr>
          <w:color w:val="231F20"/>
          <w:spacing w:val="-6"/>
        </w:rPr>
        <w:t> </w:t>
      </w:r>
      <w:r>
        <w:rPr>
          <w:color w:val="231F20"/>
        </w:rPr>
        <w:t>extranjeros</w:t>
      </w:r>
      <w:r>
        <w:rPr>
          <w:color w:val="231F20"/>
          <w:spacing w:val="-6"/>
        </w:rPr>
        <w:t> </w:t>
      </w:r>
      <w:r>
        <w:rPr>
          <w:color w:val="231F20"/>
        </w:rPr>
        <w:t>residentes permanentes o temporales en el territorio nacional. En el caso de los dos primeros pueden solicitar el ingreso del padre o madre, cónyuge, concu- bino, concubina o figura equivalente, hermanos, siempre y cuando sean niñas, niños o adolescentes que no hayan contraído matrimonio y estén bajo</w:t>
      </w:r>
      <w:r>
        <w:rPr>
          <w:color w:val="231F20"/>
          <w:spacing w:val="-5"/>
        </w:rPr>
        <w:t> </w:t>
      </w:r>
      <w:r>
        <w:rPr>
          <w:color w:val="231F20"/>
        </w:rPr>
        <w:t>su</w:t>
      </w:r>
      <w:r>
        <w:rPr>
          <w:color w:val="231F20"/>
          <w:spacing w:val="-5"/>
        </w:rPr>
        <w:t> </w:t>
      </w:r>
      <w:r>
        <w:rPr>
          <w:color w:val="231F20"/>
        </w:rPr>
        <w:t>representación</w:t>
      </w:r>
      <w:r>
        <w:rPr>
          <w:color w:val="231F20"/>
          <w:spacing w:val="-5"/>
        </w:rPr>
        <w:t> </w:t>
      </w:r>
      <w:r>
        <w:rPr>
          <w:color w:val="231F20"/>
        </w:rPr>
        <w:t>legal,</w:t>
      </w:r>
      <w:r>
        <w:rPr>
          <w:color w:val="231F20"/>
          <w:spacing w:val="-5"/>
        </w:rPr>
        <w:t> </w:t>
      </w:r>
      <w:r>
        <w:rPr>
          <w:color w:val="231F20"/>
        </w:rPr>
        <w:t>o</w:t>
      </w:r>
      <w:r>
        <w:rPr>
          <w:color w:val="231F20"/>
          <w:spacing w:val="-5"/>
        </w:rPr>
        <w:t> </w:t>
      </w:r>
      <w:r>
        <w:rPr>
          <w:color w:val="231F20"/>
        </w:rPr>
        <w:t>bien</w:t>
      </w:r>
      <w:r>
        <w:rPr>
          <w:color w:val="231F20"/>
          <w:spacing w:val="-5"/>
        </w:rPr>
        <w:t> </w:t>
      </w:r>
      <w:r>
        <w:rPr>
          <w:color w:val="231F20"/>
        </w:rPr>
        <w:t>que</w:t>
      </w:r>
      <w:r>
        <w:rPr>
          <w:color w:val="231F20"/>
          <w:spacing w:val="-5"/>
        </w:rPr>
        <w:t> </w:t>
      </w:r>
      <w:r>
        <w:rPr>
          <w:color w:val="231F20"/>
        </w:rPr>
        <w:t>sean</w:t>
      </w:r>
      <w:r>
        <w:rPr>
          <w:color w:val="231F20"/>
          <w:spacing w:val="-5"/>
        </w:rPr>
        <w:t> </w:t>
      </w:r>
      <w:r>
        <w:rPr>
          <w:color w:val="231F20"/>
        </w:rPr>
        <w:t>mayores</w:t>
      </w:r>
      <w:r>
        <w:rPr>
          <w:color w:val="231F20"/>
          <w:spacing w:val="-6"/>
        </w:rPr>
        <w:t> </w:t>
      </w:r>
      <w:r>
        <w:rPr>
          <w:color w:val="231F20"/>
        </w:rPr>
        <w:t>de</w:t>
      </w:r>
      <w:r>
        <w:rPr>
          <w:color w:val="231F20"/>
          <w:spacing w:val="-5"/>
        </w:rPr>
        <w:t> </w:t>
      </w:r>
      <w:r>
        <w:rPr>
          <w:color w:val="231F20"/>
        </w:rPr>
        <w:t>edad,</w:t>
      </w:r>
      <w:r>
        <w:rPr>
          <w:color w:val="231F20"/>
          <w:spacing w:val="-5"/>
        </w:rPr>
        <w:t> </w:t>
      </w:r>
      <w:r>
        <w:rPr>
          <w:color w:val="231F20"/>
        </w:rPr>
        <w:t>pero</w:t>
      </w:r>
      <w:r>
        <w:rPr>
          <w:color w:val="231F20"/>
          <w:spacing w:val="-5"/>
        </w:rPr>
        <w:t> </w:t>
      </w:r>
      <w:r>
        <w:rPr>
          <w:color w:val="231F20"/>
        </w:rPr>
        <w:t>que</w:t>
      </w:r>
      <w:r>
        <w:rPr>
          <w:color w:val="231F20"/>
          <w:spacing w:val="-5"/>
        </w:rPr>
        <w:t> </w:t>
      </w:r>
      <w:r>
        <w:rPr>
          <w:color w:val="231F20"/>
        </w:rPr>
        <w:t>se encuentren en estado de interdicción y bajo su representación</w:t>
      </w:r>
      <w:r>
        <w:rPr>
          <w:color w:val="231F20"/>
          <w:spacing w:val="-8"/>
        </w:rPr>
        <w:t> </w:t>
      </w:r>
      <w:r>
        <w:rPr>
          <w:color w:val="231F20"/>
        </w:rPr>
        <w:t>legal.</w:t>
      </w:r>
      <w:r>
        <w:rPr>
          <w:color w:val="231F20"/>
          <w:position w:val="7"/>
          <w:sz w:val="13"/>
        </w:rPr>
        <w:t>21</w:t>
      </w:r>
    </w:p>
    <w:p>
      <w:pPr>
        <w:pStyle w:val="BodyText"/>
        <w:spacing w:line="247" w:lineRule="auto"/>
        <w:ind w:left="117" w:right="114" w:firstLine="283"/>
        <w:jc w:val="both"/>
        <w:rPr>
          <w:sz w:val="13"/>
        </w:rPr>
      </w:pPr>
      <w:r>
        <w:rPr>
          <w:color w:val="231F20"/>
        </w:rPr>
        <w:t>Además, cuando se trate de mexicanos la solicitud de ingreso puede incluir a los hijos nacidos en el extranjero que no sean mexicanos, de con- formidad con el artículo 30 de la </w:t>
      </w:r>
      <w:r>
        <w:rPr>
          <w:i/>
          <w:color w:val="231F20"/>
        </w:rPr>
        <w:t>Constitución </w:t>
      </w:r>
      <w:r>
        <w:rPr>
          <w:color w:val="231F20"/>
        </w:rPr>
        <w:t>y a los hijos del cónyuge, concubino, concubina o figura equivalente, extranjeros, siempre y cuando sean niñas, niños o adolescentes que no hayan contraído matrimonio, y estén</w:t>
      </w:r>
      <w:r>
        <w:rPr>
          <w:color w:val="231F20"/>
          <w:spacing w:val="-8"/>
        </w:rPr>
        <w:t> </w:t>
      </w:r>
      <w:r>
        <w:rPr>
          <w:color w:val="231F20"/>
        </w:rPr>
        <w:t>bajo</w:t>
      </w:r>
      <w:r>
        <w:rPr>
          <w:color w:val="231F20"/>
          <w:spacing w:val="-7"/>
        </w:rPr>
        <w:t> </w:t>
      </w:r>
      <w:r>
        <w:rPr>
          <w:color w:val="231F20"/>
        </w:rPr>
        <w:t>su</w:t>
      </w:r>
      <w:r>
        <w:rPr>
          <w:color w:val="231F20"/>
          <w:spacing w:val="-7"/>
        </w:rPr>
        <w:t> </w:t>
      </w:r>
      <w:r>
        <w:rPr>
          <w:color w:val="231F20"/>
        </w:rPr>
        <w:t>representación</w:t>
      </w:r>
      <w:r>
        <w:rPr>
          <w:color w:val="231F20"/>
          <w:spacing w:val="-7"/>
        </w:rPr>
        <w:t> </w:t>
      </w:r>
      <w:r>
        <w:rPr>
          <w:color w:val="231F20"/>
        </w:rPr>
        <w:t>legal</w:t>
      </w:r>
      <w:r>
        <w:rPr>
          <w:color w:val="231F20"/>
          <w:spacing w:val="-8"/>
        </w:rPr>
        <w:t> </w:t>
      </w:r>
      <w:r>
        <w:rPr>
          <w:color w:val="231F20"/>
        </w:rPr>
        <w:t>o</w:t>
      </w:r>
      <w:r>
        <w:rPr>
          <w:color w:val="231F20"/>
          <w:spacing w:val="-7"/>
        </w:rPr>
        <w:t> </w:t>
      </w:r>
      <w:r>
        <w:rPr>
          <w:color w:val="231F20"/>
        </w:rPr>
        <w:t>sean</w:t>
      </w:r>
      <w:r>
        <w:rPr>
          <w:color w:val="231F20"/>
          <w:spacing w:val="-7"/>
        </w:rPr>
        <w:t> </w:t>
      </w:r>
      <w:r>
        <w:rPr>
          <w:color w:val="231F20"/>
        </w:rPr>
        <w:t>mayores</w:t>
      </w:r>
      <w:r>
        <w:rPr>
          <w:color w:val="231F20"/>
          <w:spacing w:val="-8"/>
        </w:rPr>
        <w:t> </w:t>
      </w:r>
      <w:r>
        <w:rPr>
          <w:color w:val="231F20"/>
        </w:rPr>
        <w:t>de</w:t>
      </w:r>
      <w:r>
        <w:rPr>
          <w:color w:val="231F20"/>
          <w:spacing w:val="-7"/>
        </w:rPr>
        <w:t> </w:t>
      </w:r>
      <w:r>
        <w:rPr>
          <w:color w:val="231F20"/>
        </w:rPr>
        <w:t>edad,</w:t>
      </w:r>
      <w:r>
        <w:rPr>
          <w:color w:val="231F20"/>
          <w:spacing w:val="-8"/>
        </w:rPr>
        <w:t> </w:t>
      </w:r>
      <w:r>
        <w:rPr>
          <w:color w:val="231F20"/>
        </w:rPr>
        <w:t>pero</w:t>
      </w:r>
      <w:r>
        <w:rPr>
          <w:color w:val="231F20"/>
          <w:spacing w:val="-7"/>
        </w:rPr>
        <w:t> </w:t>
      </w:r>
      <w:r>
        <w:rPr>
          <w:color w:val="231F20"/>
        </w:rPr>
        <w:t>se</w:t>
      </w:r>
      <w:r>
        <w:rPr>
          <w:color w:val="231F20"/>
          <w:spacing w:val="-7"/>
        </w:rPr>
        <w:t> </w:t>
      </w:r>
      <w:r>
        <w:rPr>
          <w:color w:val="231F20"/>
        </w:rPr>
        <w:t>encuen- tren en estado de interdicción y bajo su representación legal. Se suma, en el caso de los extranjeros residentes permanentes sus hijos y los hijos de su cónyuge, concubino, concubina o figura equivalente, siempre y cuando sean niñas, niños o adolescentes y no hayan contraído matrimonio, o bien, sean mayores de edad, pero se encuentren en estado de interdicción y</w:t>
      </w:r>
      <w:r>
        <w:rPr>
          <w:color w:val="231F20"/>
          <w:spacing w:val="-21"/>
        </w:rPr>
        <w:t> </w:t>
      </w:r>
      <w:r>
        <w:rPr>
          <w:color w:val="231F20"/>
        </w:rPr>
        <w:t>bajo su representación</w:t>
      </w:r>
      <w:r>
        <w:rPr>
          <w:color w:val="231F20"/>
          <w:spacing w:val="-4"/>
        </w:rPr>
        <w:t> </w:t>
      </w:r>
      <w:r>
        <w:rPr>
          <w:color w:val="231F20"/>
        </w:rPr>
        <w:t>legal.</w:t>
      </w:r>
      <w:r>
        <w:rPr>
          <w:color w:val="231F20"/>
          <w:position w:val="7"/>
          <w:sz w:val="13"/>
        </w:rPr>
        <w:t>22</w:t>
      </w:r>
    </w:p>
    <w:p>
      <w:pPr>
        <w:pStyle w:val="BodyText"/>
        <w:spacing w:line="247" w:lineRule="auto"/>
        <w:ind w:left="117" w:right="115" w:firstLine="283"/>
        <w:jc w:val="both"/>
        <w:rPr>
          <w:sz w:val="13"/>
        </w:rPr>
      </w:pPr>
      <w:r>
        <w:rPr>
          <w:color w:val="231F20"/>
        </w:rPr>
        <w:t>Los residentes temporales pueden solicitar el ingreso de los mismos familiares que los residentes permanentes, a excepción de los hermanos.</w:t>
      </w:r>
      <w:r>
        <w:rPr>
          <w:color w:val="231F20"/>
          <w:position w:val="7"/>
          <w:sz w:val="13"/>
        </w:rPr>
        <w:t>23</w:t>
      </w:r>
    </w:p>
    <w:p>
      <w:pPr>
        <w:pStyle w:val="BodyText"/>
        <w:rPr>
          <w:sz w:val="20"/>
        </w:rPr>
      </w:pPr>
    </w:p>
    <w:p>
      <w:pPr>
        <w:pStyle w:val="BodyText"/>
        <w:spacing w:before="3"/>
        <w:rPr>
          <w:sz w:val="25"/>
        </w:rPr>
      </w:pPr>
      <w:r>
        <w:rPr/>
        <w:pict>
          <v:line style="position:absolute;mso-position-horizontal-relative:page;mso-position-vertical-relative:paragraph;z-index:8464;mso-wrap-distance-left:0;mso-wrap-distance-right:0" from="70.866096pt,16.861530pt" to="142.866096pt,16.861530pt" stroked="true" strokeweight=".75pt" strokecolor="#231f20">
            <w10:wrap type="topAndBottom"/>
          </v:line>
        </w:pict>
      </w:r>
    </w:p>
    <w:p>
      <w:pPr>
        <w:spacing w:line="208" w:lineRule="auto" w:before="0"/>
        <w:ind w:left="117" w:right="3758" w:firstLine="0"/>
        <w:jc w:val="both"/>
        <w:rPr>
          <w:sz w:val="17"/>
        </w:rPr>
      </w:pPr>
      <w:r>
        <w:rPr>
          <w:color w:val="231F20"/>
          <w:position w:val="6"/>
          <w:sz w:val="10"/>
        </w:rPr>
        <w:t>20 </w:t>
      </w:r>
      <w:r>
        <w:rPr>
          <w:color w:val="231F20"/>
          <w:sz w:val="17"/>
        </w:rPr>
        <w:t>Artículo 230 del Reglamento de la LM. </w:t>
      </w:r>
      <w:r>
        <w:rPr>
          <w:color w:val="231F20"/>
          <w:position w:val="6"/>
          <w:sz w:val="10"/>
        </w:rPr>
        <w:t>21 </w:t>
      </w:r>
      <w:r>
        <w:rPr>
          <w:color w:val="231F20"/>
          <w:sz w:val="17"/>
        </w:rPr>
        <w:t>Artículo </w:t>
      </w:r>
      <w:r>
        <w:rPr>
          <w:color w:val="231F20"/>
          <w:spacing w:val="-5"/>
          <w:sz w:val="17"/>
        </w:rPr>
        <w:t>111 </w:t>
      </w:r>
      <w:r>
        <w:rPr>
          <w:color w:val="231F20"/>
          <w:sz w:val="17"/>
        </w:rPr>
        <w:t>del Reglamento de la LM. 22 Artículo </w:t>
      </w:r>
      <w:r>
        <w:rPr>
          <w:color w:val="231F20"/>
          <w:spacing w:val="-5"/>
          <w:sz w:val="17"/>
        </w:rPr>
        <w:t>111 </w:t>
      </w:r>
      <w:r>
        <w:rPr>
          <w:color w:val="231F20"/>
          <w:sz w:val="17"/>
        </w:rPr>
        <w:t>del Reglamento de la LM.</w:t>
      </w:r>
    </w:p>
    <w:p>
      <w:pPr>
        <w:spacing w:line="175" w:lineRule="exact" w:before="0"/>
        <w:ind w:left="117" w:right="0" w:firstLine="0"/>
        <w:jc w:val="both"/>
        <w:rPr>
          <w:sz w:val="17"/>
        </w:rPr>
      </w:pPr>
      <w:r>
        <w:rPr>
          <w:color w:val="231F20"/>
          <w:w w:val="105"/>
          <w:position w:val="6"/>
          <w:sz w:val="10"/>
        </w:rPr>
        <w:t>23 </w:t>
      </w:r>
      <w:r>
        <w:rPr>
          <w:color w:val="231F20"/>
          <w:w w:val="105"/>
          <w:sz w:val="17"/>
        </w:rPr>
        <w:t>Artículo 111, fracción </w:t>
      </w:r>
      <w:r>
        <w:rPr>
          <w:color w:val="231F20"/>
          <w:w w:val="105"/>
          <w:sz w:val="12"/>
        </w:rPr>
        <w:t>iv </w:t>
      </w:r>
      <w:r>
        <w:rPr>
          <w:color w:val="231F20"/>
          <w:w w:val="105"/>
          <w:sz w:val="17"/>
        </w:rPr>
        <w:t>del Reglamento de la LM.</w:t>
      </w:r>
    </w:p>
    <w:p>
      <w:pPr>
        <w:spacing w:after="0" w:line="175" w:lineRule="exact"/>
        <w:jc w:val="both"/>
        <w:rPr>
          <w:sz w:val="17"/>
        </w:rPr>
        <w:sectPr>
          <w:pgSz w:w="9360" w:h="13040"/>
          <w:pgMar w:header="0" w:footer="496" w:top="840" w:bottom="680" w:left="1300" w:right="1300"/>
        </w:sectPr>
      </w:pPr>
    </w:p>
    <w:p>
      <w:pPr>
        <w:spacing w:before="45"/>
        <w:ind w:left="400" w:right="0" w:hanging="167"/>
        <w:jc w:val="left"/>
        <w:rPr>
          <w:rFonts w:ascii="Arial" w:hAnsi="Arial"/>
          <w:sz w:val="20"/>
        </w:rPr>
      </w:pPr>
      <w:r>
        <w:rPr>
          <w:rFonts w:ascii="Arial" w:hAnsi="Arial"/>
          <w:color w:val="231F20"/>
          <w:w w:val="70"/>
          <w:sz w:val="20"/>
        </w:rPr>
        <w:t>Los</w:t>
      </w:r>
      <w:r>
        <w:rPr>
          <w:rFonts w:ascii="Arial" w:hAnsi="Arial"/>
          <w:color w:val="231F20"/>
          <w:spacing w:val="-13"/>
          <w:w w:val="70"/>
          <w:sz w:val="20"/>
        </w:rPr>
        <w:t> </w:t>
      </w:r>
      <w:r>
        <w:rPr>
          <w:rFonts w:ascii="Arial" w:hAnsi="Arial"/>
          <w:color w:val="231F20"/>
          <w:w w:val="70"/>
          <w:sz w:val="20"/>
        </w:rPr>
        <w:t>menores</w:t>
      </w:r>
      <w:r>
        <w:rPr>
          <w:rFonts w:ascii="Arial" w:hAnsi="Arial"/>
          <w:color w:val="231F20"/>
          <w:spacing w:val="-13"/>
          <w:w w:val="70"/>
          <w:sz w:val="20"/>
        </w:rPr>
        <w:t> </w:t>
      </w:r>
      <w:r>
        <w:rPr>
          <w:rFonts w:ascii="Arial" w:hAnsi="Arial"/>
          <w:color w:val="231F20"/>
          <w:w w:val="70"/>
          <w:sz w:val="20"/>
        </w:rPr>
        <w:t>inmigrantes</w:t>
      </w:r>
      <w:r>
        <w:rPr>
          <w:rFonts w:ascii="Arial" w:hAnsi="Arial"/>
          <w:color w:val="231F20"/>
          <w:spacing w:val="-13"/>
          <w:w w:val="70"/>
          <w:sz w:val="20"/>
        </w:rPr>
        <w:t> </w:t>
      </w:r>
      <w:r>
        <w:rPr>
          <w:rFonts w:ascii="Arial" w:hAnsi="Arial"/>
          <w:color w:val="231F20"/>
          <w:w w:val="70"/>
          <w:sz w:val="20"/>
        </w:rPr>
        <w:t>indocumentados</w:t>
      </w:r>
      <w:r>
        <w:rPr>
          <w:rFonts w:ascii="Arial" w:hAnsi="Arial"/>
          <w:color w:val="231F20"/>
          <w:spacing w:val="-13"/>
          <w:w w:val="70"/>
          <w:sz w:val="20"/>
        </w:rPr>
        <w:t> </w:t>
      </w:r>
      <w:r>
        <w:rPr>
          <w:rFonts w:ascii="Arial" w:hAnsi="Arial"/>
          <w:color w:val="231F20"/>
          <w:w w:val="70"/>
          <w:sz w:val="20"/>
        </w:rPr>
        <w:t>ante</w:t>
      </w:r>
      <w:r>
        <w:rPr>
          <w:rFonts w:ascii="Arial" w:hAnsi="Arial"/>
          <w:color w:val="231F20"/>
          <w:spacing w:val="-13"/>
          <w:w w:val="70"/>
          <w:sz w:val="20"/>
        </w:rPr>
        <w:t> </w:t>
      </w:r>
      <w:r>
        <w:rPr>
          <w:rFonts w:ascii="Arial" w:hAnsi="Arial"/>
          <w:color w:val="231F20"/>
          <w:w w:val="70"/>
          <w:sz w:val="20"/>
        </w:rPr>
        <w:t>la</w:t>
      </w:r>
      <w:r>
        <w:rPr>
          <w:rFonts w:ascii="Arial" w:hAnsi="Arial"/>
          <w:color w:val="231F20"/>
          <w:spacing w:val="-13"/>
          <w:w w:val="70"/>
          <w:sz w:val="20"/>
        </w:rPr>
        <w:t> </w:t>
      </w:r>
      <w:r>
        <w:rPr>
          <w:rFonts w:ascii="Arial" w:hAnsi="Arial"/>
          <w:color w:val="231F20"/>
          <w:w w:val="70"/>
          <w:sz w:val="20"/>
        </w:rPr>
        <w:t>nueva</w:t>
      </w:r>
      <w:r>
        <w:rPr>
          <w:rFonts w:ascii="Arial" w:hAnsi="Arial"/>
          <w:color w:val="231F20"/>
          <w:spacing w:val="-13"/>
          <w:w w:val="70"/>
          <w:sz w:val="20"/>
        </w:rPr>
        <w:t> </w:t>
      </w:r>
      <w:r>
        <w:rPr>
          <w:rFonts w:ascii="Arial" w:hAnsi="Arial"/>
          <w:color w:val="231F20"/>
          <w:w w:val="70"/>
          <w:sz w:val="20"/>
        </w:rPr>
        <w:t>ley</w:t>
      </w:r>
      <w:r>
        <w:rPr>
          <w:rFonts w:ascii="Arial" w:hAnsi="Arial"/>
          <w:color w:val="231F20"/>
          <w:spacing w:val="-13"/>
          <w:w w:val="70"/>
          <w:sz w:val="20"/>
        </w:rPr>
        <w:t> </w:t>
      </w:r>
      <w:r>
        <w:rPr>
          <w:rFonts w:ascii="Arial" w:hAnsi="Arial"/>
          <w:color w:val="231F20"/>
          <w:w w:val="70"/>
          <w:sz w:val="20"/>
        </w:rPr>
        <w:t>de</w:t>
      </w:r>
      <w:r>
        <w:rPr>
          <w:rFonts w:ascii="Arial" w:hAnsi="Arial"/>
          <w:color w:val="231F20"/>
          <w:spacing w:val="-13"/>
          <w:w w:val="70"/>
          <w:sz w:val="20"/>
        </w:rPr>
        <w:t> </w:t>
      </w:r>
      <w:r>
        <w:rPr>
          <w:rFonts w:ascii="Arial" w:hAnsi="Arial"/>
          <w:color w:val="231F20"/>
          <w:w w:val="70"/>
          <w:sz w:val="20"/>
        </w:rPr>
        <w:t>migración...</w:t>
      </w:r>
      <w:r>
        <w:rPr>
          <w:rFonts w:ascii="Arial" w:hAnsi="Arial"/>
          <w:color w:val="231F20"/>
          <w:spacing w:val="-13"/>
          <w:w w:val="70"/>
          <w:sz w:val="20"/>
        </w:rPr>
        <w:t> </w:t>
      </w:r>
      <w:r>
        <w:rPr>
          <w:rFonts w:ascii="Arial" w:hAnsi="Arial"/>
          <w:color w:val="231F20"/>
          <w:w w:val="70"/>
          <w:sz w:val="20"/>
        </w:rPr>
        <w:t>/Alma</w:t>
      </w:r>
      <w:r>
        <w:rPr>
          <w:rFonts w:ascii="Arial" w:hAnsi="Arial"/>
          <w:color w:val="231F20"/>
          <w:spacing w:val="-21"/>
          <w:w w:val="70"/>
          <w:sz w:val="20"/>
        </w:rPr>
        <w:t> </w:t>
      </w:r>
      <w:r>
        <w:rPr>
          <w:rFonts w:ascii="Arial" w:hAnsi="Arial"/>
          <w:color w:val="231F20"/>
          <w:w w:val="70"/>
          <w:sz w:val="20"/>
        </w:rPr>
        <w:t>C.</w:t>
      </w:r>
      <w:r>
        <w:rPr>
          <w:rFonts w:ascii="Arial" w:hAnsi="Arial"/>
          <w:color w:val="231F20"/>
          <w:spacing w:val="-21"/>
          <w:w w:val="70"/>
          <w:sz w:val="20"/>
        </w:rPr>
        <w:t> </w:t>
      </w:r>
      <w:r>
        <w:rPr>
          <w:rFonts w:ascii="Arial" w:hAnsi="Arial"/>
          <w:color w:val="231F20"/>
          <w:w w:val="70"/>
          <w:sz w:val="20"/>
        </w:rPr>
        <w:t>Guadarrama-Muñoz</w:t>
      </w:r>
    </w:p>
    <w:p>
      <w:pPr>
        <w:pStyle w:val="BodyText"/>
        <w:spacing w:before="7"/>
        <w:rPr>
          <w:rFonts w:ascii="Arial"/>
          <w:sz w:val="28"/>
        </w:rPr>
      </w:pPr>
    </w:p>
    <w:p>
      <w:pPr>
        <w:pStyle w:val="BodyText"/>
        <w:spacing w:line="247" w:lineRule="auto"/>
        <w:ind w:left="117" w:right="114" w:firstLine="283"/>
        <w:jc w:val="both"/>
        <w:rPr>
          <w:sz w:val="13"/>
        </w:rPr>
      </w:pPr>
      <w:r>
        <w:rPr>
          <w:color w:val="231F20"/>
        </w:rPr>
        <w:t>Empero, todo derecho tiene limitaciones y el derecho a la unificación familiar</w:t>
      </w:r>
      <w:r>
        <w:rPr>
          <w:color w:val="231F20"/>
          <w:spacing w:val="-11"/>
        </w:rPr>
        <w:t> </w:t>
      </w:r>
      <w:r>
        <w:rPr>
          <w:color w:val="231F20"/>
        </w:rPr>
        <w:t>no</w:t>
      </w:r>
      <w:r>
        <w:rPr>
          <w:color w:val="231F20"/>
          <w:spacing w:val="-11"/>
        </w:rPr>
        <w:t> </w:t>
      </w:r>
      <w:r>
        <w:rPr>
          <w:color w:val="231F20"/>
        </w:rPr>
        <w:t>es</w:t>
      </w:r>
      <w:r>
        <w:rPr>
          <w:color w:val="231F20"/>
          <w:spacing w:val="-11"/>
        </w:rPr>
        <w:t> </w:t>
      </w:r>
      <w:r>
        <w:rPr>
          <w:color w:val="231F20"/>
        </w:rPr>
        <w:t>la</w:t>
      </w:r>
      <w:r>
        <w:rPr>
          <w:color w:val="231F20"/>
          <w:spacing w:val="-11"/>
        </w:rPr>
        <w:t> </w:t>
      </w:r>
      <w:r>
        <w:rPr>
          <w:color w:val="231F20"/>
        </w:rPr>
        <w:t>excepción,</w:t>
      </w:r>
      <w:r>
        <w:rPr>
          <w:color w:val="231F20"/>
          <w:spacing w:val="-11"/>
        </w:rPr>
        <w:t> </w:t>
      </w:r>
      <w:r>
        <w:rPr>
          <w:color w:val="231F20"/>
        </w:rPr>
        <w:t>ya</w:t>
      </w:r>
      <w:r>
        <w:rPr>
          <w:color w:val="231F20"/>
          <w:spacing w:val="-11"/>
        </w:rPr>
        <w:t> </w:t>
      </w:r>
      <w:r>
        <w:rPr>
          <w:color w:val="231F20"/>
        </w:rPr>
        <w:t>que</w:t>
      </w:r>
      <w:r>
        <w:rPr>
          <w:color w:val="231F20"/>
          <w:spacing w:val="-11"/>
        </w:rPr>
        <w:t> </w:t>
      </w:r>
      <w:r>
        <w:rPr>
          <w:color w:val="231F20"/>
        </w:rPr>
        <w:t>para</w:t>
      </w:r>
      <w:r>
        <w:rPr>
          <w:color w:val="231F20"/>
          <w:spacing w:val="-11"/>
        </w:rPr>
        <w:t> </w:t>
      </w:r>
      <w:r>
        <w:rPr>
          <w:color w:val="231F20"/>
        </w:rPr>
        <w:t>otorgar</w:t>
      </w:r>
      <w:r>
        <w:rPr>
          <w:color w:val="231F20"/>
          <w:spacing w:val="-11"/>
        </w:rPr>
        <w:t> </w:t>
      </w:r>
      <w:r>
        <w:rPr>
          <w:color w:val="231F20"/>
        </w:rPr>
        <w:t>la</w:t>
      </w:r>
      <w:r>
        <w:rPr>
          <w:color w:val="231F20"/>
          <w:spacing w:val="-11"/>
        </w:rPr>
        <w:t> </w:t>
      </w:r>
      <w:r>
        <w:rPr>
          <w:color w:val="231F20"/>
        </w:rPr>
        <w:t>visa</w:t>
      </w:r>
      <w:r>
        <w:rPr>
          <w:color w:val="231F20"/>
          <w:spacing w:val="-11"/>
        </w:rPr>
        <w:t> </w:t>
      </w:r>
      <w:r>
        <w:rPr>
          <w:color w:val="231F20"/>
        </w:rPr>
        <w:t>correspondiente,</w:t>
      </w:r>
      <w:r>
        <w:rPr>
          <w:color w:val="231F20"/>
          <w:spacing w:val="-12"/>
        </w:rPr>
        <w:t> </w:t>
      </w:r>
      <w:r>
        <w:rPr>
          <w:color w:val="231F20"/>
        </w:rPr>
        <w:t>los extranjeros</w:t>
      </w:r>
      <w:r>
        <w:rPr>
          <w:color w:val="231F20"/>
          <w:spacing w:val="-10"/>
        </w:rPr>
        <w:t> </w:t>
      </w:r>
      <w:r>
        <w:rPr>
          <w:color w:val="231F20"/>
        </w:rPr>
        <w:t>residentes</w:t>
      </w:r>
      <w:r>
        <w:rPr>
          <w:color w:val="231F20"/>
          <w:spacing w:val="-10"/>
        </w:rPr>
        <w:t> </w:t>
      </w:r>
      <w:r>
        <w:rPr>
          <w:color w:val="231F20"/>
        </w:rPr>
        <w:t>permanentes</w:t>
      </w:r>
      <w:r>
        <w:rPr>
          <w:color w:val="231F20"/>
          <w:spacing w:val="-10"/>
        </w:rPr>
        <w:t> </w:t>
      </w:r>
      <w:r>
        <w:rPr>
          <w:color w:val="231F20"/>
        </w:rPr>
        <w:t>o</w:t>
      </w:r>
      <w:r>
        <w:rPr>
          <w:color w:val="231F20"/>
          <w:spacing w:val="-10"/>
        </w:rPr>
        <w:t> </w:t>
      </w:r>
      <w:r>
        <w:rPr>
          <w:color w:val="231F20"/>
        </w:rPr>
        <w:t>temporales</w:t>
      </w:r>
      <w:r>
        <w:rPr>
          <w:color w:val="231F20"/>
          <w:spacing w:val="-10"/>
        </w:rPr>
        <w:t> </w:t>
      </w:r>
      <w:r>
        <w:rPr>
          <w:color w:val="231F20"/>
        </w:rPr>
        <w:t>deben</w:t>
      </w:r>
      <w:r>
        <w:rPr>
          <w:color w:val="231F20"/>
          <w:spacing w:val="-10"/>
        </w:rPr>
        <w:t> </w:t>
      </w:r>
      <w:r>
        <w:rPr>
          <w:color w:val="231F20"/>
        </w:rPr>
        <w:t>acreditar</w:t>
      </w:r>
      <w:r>
        <w:rPr>
          <w:color w:val="231F20"/>
          <w:spacing w:val="-10"/>
        </w:rPr>
        <w:t> </w:t>
      </w:r>
      <w:r>
        <w:rPr>
          <w:color w:val="231F20"/>
        </w:rPr>
        <w:t>la</w:t>
      </w:r>
      <w:r>
        <w:rPr>
          <w:color w:val="231F20"/>
          <w:spacing w:val="-10"/>
        </w:rPr>
        <w:t> </w:t>
      </w:r>
      <w:r>
        <w:rPr>
          <w:color w:val="231F20"/>
        </w:rPr>
        <w:t>solven- cia económica para la manutención de cada uno de los familiares durante su estancia. Asimismo, todos los miembros de la familia deben acudir a la entrevista</w:t>
      </w:r>
      <w:r>
        <w:rPr>
          <w:color w:val="231F20"/>
          <w:spacing w:val="-5"/>
        </w:rPr>
        <w:t> </w:t>
      </w:r>
      <w:r>
        <w:rPr>
          <w:color w:val="231F20"/>
        </w:rPr>
        <w:t>consular;</w:t>
      </w:r>
      <w:r>
        <w:rPr>
          <w:color w:val="231F20"/>
          <w:spacing w:val="-5"/>
        </w:rPr>
        <w:t> </w:t>
      </w:r>
      <w:r>
        <w:rPr>
          <w:color w:val="231F20"/>
        </w:rPr>
        <w:t>aquí</w:t>
      </w:r>
      <w:r>
        <w:rPr>
          <w:color w:val="231F20"/>
          <w:spacing w:val="-5"/>
        </w:rPr>
        <w:t> </w:t>
      </w:r>
      <w:r>
        <w:rPr>
          <w:color w:val="231F20"/>
        </w:rPr>
        <w:t>se</w:t>
      </w:r>
      <w:r>
        <w:rPr>
          <w:color w:val="231F20"/>
          <w:spacing w:val="-4"/>
        </w:rPr>
        <w:t> </w:t>
      </w:r>
      <w:r>
        <w:rPr>
          <w:color w:val="231F20"/>
        </w:rPr>
        <w:t>hace</w:t>
      </w:r>
      <w:r>
        <w:rPr>
          <w:color w:val="231F20"/>
          <w:spacing w:val="-5"/>
        </w:rPr>
        <w:t> </w:t>
      </w:r>
      <w:r>
        <w:rPr>
          <w:color w:val="231F20"/>
        </w:rPr>
        <w:t>especial</w:t>
      </w:r>
      <w:r>
        <w:rPr>
          <w:color w:val="231F20"/>
          <w:spacing w:val="-5"/>
        </w:rPr>
        <w:t> </w:t>
      </w:r>
      <w:r>
        <w:rPr>
          <w:color w:val="231F20"/>
        </w:rPr>
        <w:t>referencia</w:t>
      </w:r>
      <w:r>
        <w:rPr>
          <w:color w:val="231F20"/>
          <w:spacing w:val="-5"/>
        </w:rPr>
        <w:t> </w:t>
      </w:r>
      <w:r>
        <w:rPr>
          <w:color w:val="231F20"/>
        </w:rPr>
        <w:t>a</w:t>
      </w:r>
      <w:r>
        <w:rPr>
          <w:color w:val="231F20"/>
          <w:spacing w:val="-5"/>
        </w:rPr>
        <w:t> </w:t>
      </w:r>
      <w:r>
        <w:rPr>
          <w:color w:val="231F20"/>
        </w:rPr>
        <w:t>los</w:t>
      </w:r>
      <w:r>
        <w:rPr>
          <w:color w:val="231F20"/>
          <w:spacing w:val="-5"/>
        </w:rPr>
        <w:t> </w:t>
      </w:r>
      <w:r>
        <w:rPr>
          <w:color w:val="231F20"/>
        </w:rPr>
        <w:t>menores</w:t>
      </w:r>
      <w:r>
        <w:rPr>
          <w:color w:val="231F20"/>
          <w:spacing w:val="-5"/>
        </w:rPr>
        <w:t> </w:t>
      </w:r>
      <w:r>
        <w:rPr>
          <w:color w:val="231F20"/>
        </w:rPr>
        <w:t>en</w:t>
      </w:r>
      <w:r>
        <w:rPr>
          <w:color w:val="231F20"/>
          <w:spacing w:val="-5"/>
        </w:rPr>
        <w:t> </w:t>
      </w:r>
      <w:r>
        <w:rPr>
          <w:color w:val="231F20"/>
        </w:rPr>
        <w:t>cuyo caso</w:t>
      </w:r>
      <w:r>
        <w:rPr>
          <w:color w:val="231F20"/>
          <w:spacing w:val="-7"/>
        </w:rPr>
        <w:t> </w:t>
      </w:r>
      <w:r>
        <w:rPr>
          <w:color w:val="231F20"/>
        </w:rPr>
        <w:t>la</w:t>
      </w:r>
      <w:r>
        <w:rPr>
          <w:color w:val="231F20"/>
          <w:spacing w:val="-7"/>
        </w:rPr>
        <w:t> </w:t>
      </w:r>
      <w:r>
        <w:rPr>
          <w:color w:val="231F20"/>
        </w:rPr>
        <w:t>entrevista</w:t>
      </w:r>
      <w:r>
        <w:rPr>
          <w:color w:val="231F20"/>
          <w:spacing w:val="-7"/>
        </w:rPr>
        <w:t> </w:t>
      </w:r>
      <w:r>
        <w:rPr>
          <w:color w:val="231F20"/>
        </w:rPr>
        <w:t>se</w:t>
      </w:r>
      <w:r>
        <w:rPr>
          <w:color w:val="231F20"/>
          <w:spacing w:val="-7"/>
        </w:rPr>
        <w:t> </w:t>
      </w:r>
      <w:r>
        <w:rPr>
          <w:color w:val="231F20"/>
        </w:rPr>
        <w:t>realizará</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persona</w:t>
      </w:r>
      <w:r>
        <w:rPr>
          <w:color w:val="231F20"/>
          <w:spacing w:val="-7"/>
        </w:rPr>
        <w:t> </w:t>
      </w:r>
      <w:r>
        <w:rPr>
          <w:color w:val="231F20"/>
        </w:rPr>
        <w:t>que</w:t>
      </w:r>
      <w:r>
        <w:rPr>
          <w:color w:val="231F20"/>
          <w:spacing w:val="-7"/>
        </w:rPr>
        <w:t> </w:t>
      </w:r>
      <w:r>
        <w:rPr>
          <w:color w:val="231F20"/>
        </w:rPr>
        <w:t>ejerza</w:t>
      </w:r>
      <w:r>
        <w:rPr>
          <w:color w:val="231F20"/>
          <w:spacing w:val="-7"/>
        </w:rPr>
        <w:t> </w:t>
      </w:r>
      <w:r>
        <w:rPr>
          <w:color w:val="231F20"/>
        </w:rPr>
        <w:t>la</w:t>
      </w:r>
      <w:r>
        <w:rPr>
          <w:color w:val="231F20"/>
          <w:spacing w:val="-7"/>
        </w:rPr>
        <w:t> </w:t>
      </w:r>
      <w:r>
        <w:rPr>
          <w:color w:val="231F20"/>
        </w:rPr>
        <w:t>patria</w:t>
      </w:r>
      <w:r>
        <w:rPr>
          <w:color w:val="231F20"/>
          <w:spacing w:val="-7"/>
        </w:rPr>
        <w:t> </w:t>
      </w:r>
      <w:r>
        <w:rPr>
          <w:color w:val="231F20"/>
        </w:rPr>
        <w:t>potestad.</w:t>
      </w:r>
      <w:r>
        <w:rPr>
          <w:color w:val="231F20"/>
          <w:position w:val="7"/>
          <w:sz w:val="13"/>
        </w:rPr>
        <w:t>24 </w:t>
      </w:r>
      <w:r>
        <w:rPr>
          <w:color w:val="231F20"/>
        </w:rPr>
        <w:t>Además, los mexicanos y extranjeros, residentes permanentes y tempora- les,</w:t>
      </w:r>
      <w:r>
        <w:rPr>
          <w:color w:val="231F20"/>
          <w:spacing w:val="-5"/>
        </w:rPr>
        <w:t> </w:t>
      </w:r>
      <w:r>
        <w:rPr>
          <w:color w:val="231F20"/>
        </w:rPr>
        <w:t>deben</w:t>
      </w:r>
      <w:r>
        <w:rPr>
          <w:color w:val="231F20"/>
          <w:spacing w:val="-5"/>
        </w:rPr>
        <w:t> </w:t>
      </w:r>
      <w:r>
        <w:rPr>
          <w:color w:val="231F20"/>
        </w:rPr>
        <w:t>comprobar</w:t>
      </w:r>
      <w:r>
        <w:rPr>
          <w:color w:val="231F20"/>
          <w:spacing w:val="-5"/>
        </w:rPr>
        <w:t> </w:t>
      </w:r>
      <w:r>
        <w:rPr>
          <w:color w:val="231F20"/>
        </w:rPr>
        <w:t>el</w:t>
      </w:r>
      <w:r>
        <w:rPr>
          <w:color w:val="231F20"/>
          <w:spacing w:val="-5"/>
        </w:rPr>
        <w:t> </w:t>
      </w:r>
      <w:r>
        <w:rPr>
          <w:color w:val="231F20"/>
        </w:rPr>
        <w:t>vínculo</w:t>
      </w:r>
      <w:r>
        <w:rPr>
          <w:color w:val="231F20"/>
          <w:spacing w:val="-5"/>
        </w:rPr>
        <w:t> </w:t>
      </w:r>
      <w:r>
        <w:rPr>
          <w:color w:val="231F20"/>
        </w:rPr>
        <w:t>familiar</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nacionalidad,</w:t>
      </w:r>
      <w:r>
        <w:rPr>
          <w:color w:val="231F20"/>
          <w:spacing w:val="-5"/>
        </w:rPr>
        <w:t> </w:t>
      </w:r>
      <w:r>
        <w:rPr>
          <w:color w:val="231F20"/>
        </w:rPr>
        <w:t>cuando</w:t>
      </w:r>
      <w:r>
        <w:rPr>
          <w:color w:val="231F20"/>
          <w:spacing w:val="-5"/>
        </w:rPr>
        <w:t> </w:t>
      </w:r>
      <w:r>
        <w:rPr>
          <w:color w:val="231F20"/>
        </w:rPr>
        <w:t>se</w:t>
      </w:r>
      <w:r>
        <w:rPr>
          <w:color w:val="231F20"/>
          <w:spacing w:val="-5"/>
        </w:rPr>
        <w:t> </w:t>
      </w:r>
      <w:r>
        <w:rPr>
          <w:color w:val="231F20"/>
        </w:rPr>
        <w:t>trate de los primeros, o la titularidad de la tarjeta válida y vigente que acredite la residencia, para los</w:t>
      </w:r>
      <w:r>
        <w:rPr>
          <w:color w:val="231F20"/>
          <w:spacing w:val="-12"/>
        </w:rPr>
        <w:t> </w:t>
      </w:r>
      <w:r>
        <w:rPr>
          <w:color w:val="231F20"/>
        </w:rPr>
        <w:t>segundos.</w:t>
      </w:r>
      <w:r>
        <w:rPr>
          <w:color w:val="231F20"/>
          <w:position w:val="7"/>
          <w:sz w:val="13"/>
        </w:rPr>
        <w:t>25</w:t>
      </w:r>
    </w:p>
    <w:p>
      <w:pPr>
        <w:pStyle w:val="BodyText"/>
        <w:spacing w:line="247" w:lineRule="auto"/>
        <w:ind w:left="117" w:right="115" w:firstLine="283"/>
        <w:jc w:val="both"/>
      </w:pPr>
      <w:r>
        <w:rPr>
          <w:color w:val="231F20"/>
        </w:rPr>
        <w:t>Finalmente, con lo plasmado en este apartado podemos decir que el legislador al momento de elaborar la nueva </w:t>
      </w:r>
      <w:r>
        <w:rPr>
          <w:i/>
          <w:color w:val="231F20"/>
        </w:rPr>
        <w:t>Ley de Migración </w:t>
      </w:r>
      <w:r>
        <w:rPr>
          <w:color w:val="231F20"/>
        </w:rPr>
        <w:t>y su Regla- mento manifestó una preocupación real por proteger y garantizar los dere- chos de los niños y adolescentes no acompañados; empero esa intención sería inoperante si no estuviera acompañada de una adecuada praxis y vi- gilancia</w:t>
      </w:r>
      <w:r>
        <w:rPr>
          <w:color w:val="231F20"/>
          <w:spacing w:val="-9"/>
        </w:rPr>
        <w:t> </w:t>
      </w:r>
      <w:r>
        <w:rPr>
          <w:color w:val="231F20"/>
        </w:rPr>
        <w:t>continua</w:t>
      </w:r>
      <w:r>
        <w:rPr>
          <w:color w:val="231F20"/>
          <w:spacing w:val="-10"/>
        </w:rPr>
        <w:t> </w:t>
      </w:r>
      <w:r>
        <w:rPr>
          <w:color w:val="231F20"/>
        </w:rPr>
        <w:t>en</w:t>
      </w:r>
      <w:r>
        <w:rPr>
          <w:color w:val="231F20"/>
          <w:spacing w:val="-9"/>
        </w:rPr>
        <w:t> </w:t>
      </w:r>
      <w:r>
        <w:rPr>
          <w:color w:val="231F20"/>
        </w:rPr>
        <w:t>el</w:t>
      </w:r>
      <w:r>
        <w:rPr>
          <w:color w:val="231F20"/>
          <w:spacing w:val="-9"/>
        </w:rPr>
        <w:t> </w:t>
      </w:r>
      <w:r>
        <w:rPr>
          <w:color w:val="231F20"/>
        </w:rPr>
        <w:t>ejercicio</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funciones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servidores</w:t>
      </w:r>
      <w:r>
        <w:rPr>
          <w:color w:val="231F20"/>
          <w:spacing w:val="-9"/>
        </w:rPr>
        <w:t> </w:t>
      </w:r>
      <w:r>
        <w:rPr>
          <w:color w:val="231F20"/>
        </w:rPr>
        <w:t>públicos del INAMI, que están en contacto directo con los</w:t>
      </w:r>
      <w:r>
        <w:rPr>
          <w:color w:val="231F20"/>
          <w:spacing w:val="-5"/>
        </w:rPr>
        <w:t> </w:t>
      </w:r>
      <w:r>
        <w:rPr>
          <w:color w:val="231F20"/>
        </w:rPr>
        <w:t>migrantes.</w:t>
      </w:r>
    </w:p>
    <w:p>
      <w:pPr>
        <w:pStyle w:val="Heading3"/>
      </w:pPr>
      <w:r>
        <w:rPr>
          <w:color w:val="231F20"/>
        </w:rPr>
        <w:t>Análisis jurídico</w:t>
      </w:r>
    </w:p>
    <w:p>
      <w:pPr>
        <w:spacing w:before="152"/>
        <w:ind w:left="117" w:right="0" w:firstLine="0"/>
        <w:jc w:val="both"/>
        <w:rPr>
          <w:i/>
          <w:sz w:val="22"/>
        </w:rPr>
      </w:pPr>
      <w:r>
        <w:rPr>
          <w:i/>
          <w:color w:val="231F20"/>
          <w:sz w:val="22"/>
        </w:rPr>
        <w:t>Ley de Migración</w:t>
      </w:r>
    </w:p>
    <w:p>
      <w:pPr>
        <w:pStyle w:val="BodyText"/>
        <w:spacing w:line="247" w:lineRule="auto" w:before="177"/>
        <w:ind w:left="117" w:right="115"/>
        <w:jc w:val="both"/>
        <w:rPr>
          <w:sz w:val="13"/>
        </w:rPr>
      </w:pPr>
      <w:r>
        <w:rPr>
          <w:color w:val="231F20"/>
        </w:rPr>
        <w:t>El 25 de mayo del 2011, se publicó en el Diario Oficial de la Federación (DOF)</w:t>
      </w:r>
      <w:r>
        <w:rPr>
          <w:color w:val="231F20"/>
          <w:spacing w:val="-10"/>
        </w:rPr>
        <w:t> </w:t>
      </w:r>
      <w:r>
        <w:rPr>
          <w:color w:val="231F20"/>
        </w:rPr>
        <w:t>la</w:t>
      </w:r>
      <w:r>
        <w:rPr>
          <w:color w:val="231F20"/>
          <w:spacing w:val="-11"/>
        </w:rPr>
        <w:t> </w:t>
      </w:r>
      <w:r>
        <w:rPr>
          <w:i/>
          <w:color w:val="231F20"/>
        </w:rPr>
        <w:t>Ley</w:t>
      </w:r>
      <w:r>
        <w:rPr>
          <w:i/>
          <w:color w:val="231F20"/>
          <w:spacing w:val="-11"/>
        </w:rPr>
        <w:t> </w:t>
      </w:r>
      <w:r>
        <w:rPr>
          <w:i/>
          <w:color w:val="231F20"/>
        </w:rPr>
        <w:t>de</w:t>
      </w:r>
      <w:r>
        <w:rPr>
          <w:i/>
          <w:color w:val="231F20"/>
          <w:spacing w:val="-11"/>
        </w:rPr>
        <w:t> </w:t>
      </w:r>
      <w:r>
        <w:rPr>
          <w:i/>
          <w:color w:val="231F20"/>
        </w:rPr>
        <w:t>Migración</w:t>
      </w:r>
      <w:r>
        <w:rPr>
          <w:color w:val="231F20"/>
        </w:rPr>
        <w:t>,</w:t>
      </w:r>
      <w:r>
        <w:rPr>
          <w:color w:val="231F20"/>
          <w:spacing w:val="-10"/>
        </w:rPr>
        <w:t> </w:t>
      </w:r>
      <w:r>
        <w:rPr>
          <w:color w:val="231F20"/>
        </w:rPr>
        <w:t>cuyo</w:t>
      </w:r>
      <w:r>
        <w:rPr>
          <w:color w:val="231F20"/>
          <w:spacing w:val="-11"/>
        </w:rPr>
        <w:t> </w:t>
      </w:r>
      <w:r>
        <w:rPr>
          <w:color w:val="231F20"/>
        </w:rPr>
        <w:t>propósito</w:t>
      </w:r>
      <w:r>
        <w:rPr>
          <w:color w:val="231F20"/>
          <w:spacing w:val="-11"/>
        </w:rPr>
        <w:t> </w:t>
      </w:r>
      <w:r>
        <w:rPr>
          <w:color w:val="231F20"/>
        </w:rPr>
        <w:t>es</w:t>
      </w:r>
      <w:r>
        <w:rPr>
          <w:color w:val="231F20"/>
          <w:spacing w:val="-11"/>
        </w:rPr>
        <w:t> </w:t>
      </w:r>
      <w:r>
        <w:rPr>
          <w:color w:val="231F20"/>
        </w:rPr>
        <w:t>regular</w:t>
      </w:r>
      <w:r>
        <w:rPr>
          <w:color w:val="231F20"/>
          <w:spacing w:val="-11"/>
        </w:rPr>
        <w:t> </w:t>
      </w:r>
      <w:r>
        <w:rPr>
          <w:color w:val="231F20"/>
        </w:rPr>
        <w:t>lo</w:t>
      </w:r>
      <w:r>
        <w:rPr>
          <w:color w:val="231F20"/>
          <w:spacing w:val="-11"/>
        </w:rPr>
        <w:t> </w:t>
      </w:r>
      <w:r>
        <w:rPr>
          <w:color w:val="231F20"/>
        </w:rPr>
        <w:t>relativo</w:t>
      </w:r>
      <w:r>
        <w:rPr>
          <w:color w:val="231F20"/>
          <w:spacing w:val="-11"/>
        </w:rPr>
        <w:t> </w:t>
      </w:r>
      <w:r>
        <w:rPr>
          <w:color w:val="231F20"/>
        </w:rPr>
        <w:t>al</w:t>
      </w:r>
      <w:r>
        <w:rPr>
          <w:color w:val="231F20"/>
          <w:spacing w:val="-11"/>
        </w:rPr>
        <w:t> </w:t>
      </w:r>
      <w:r>
        <w:rPr>
          <w:color w:val="231F20"/>
        </w:rPr>
        <w:t>ingreso y salida de nacionales y extranjeros de México, así como el tránsito y es- tancia de estos últimos, en un marco de respeto, protección y salvaguarda de los derechos</w:t>
      </w:r>
      <w:r>
        <w:rPr>
          <w:color w:val="231F20"/>
          <w:spacing w:val="-4"/>
        </w:rPr>
        <w:t> </w:t>
      </w:r>
      <w:r>
        <w:rPr>
          <w:color w:val="231F20"/>
        </w:rPr>
        <w:t>humanos.</w:t>
      </w:r>
      <w:r>
        <w:rPr>
          <w:color w:val="231F20"/>
          <w:position w:val="7"/>
          <w:sz w:val="13"/>
        </w:rPr>
        <w:t>26</w:t>
      </w:r>
    </w:p>
    <w:p>
      <w:pPr>
        <w:pStyle w:val="BodyText"/>
        <w:spacing w:line="247" w:lineRule="auto"/>
        <w:ind w:left="117" w:right="114" w:firstLine="283"/>
        <w:jc w:val="both"/>
      </w:pPr>
      <w:r>
        <w:rPr>
          <w:color w:val="231F20"/>
        </w:rPr>
        <w:t>Una ley debe estar acorde con la realidad social del momento a fin de regularla adecuadamente. No obstante, también debe estar en concordan- cia con la postura del gobierno manifestada a través de su política. Esta cuestión se aprecia en la </w:t>
      </w:r>
      <w:r>
        <w:rPr>
          <w:i/>
          <w:color w:val="231F20"/>
        </w:rPr>
        <w:t>Ley de Migración </w:t>
      </w:r>
      <w:r>
        <w:rPr>
          <w:color w:val="231F20"/>
        </w:rPr>
        <w:t>al definir la política migratoria de México y los principios en los cuales se sustenta, entre los que están:  el respeto irrestricto de los derechos humanos de los migrantes, el interés superior del menor y la unidad familiar. Este último elemento primordial para la conformación de un sano y productivo tejido</w:t>
      </w:r>
      <w:r>
        <w:rPr>
          <w:color w:val="231F20"/>
          <w:spacing w:val="-12"/>
        </w:rPr>
        <w:t> </w:t>
      </w:r>
      <w:r>
        <w:rPr>
          <w:color w:val="231F20"/>
        </w:rPr>
        <w:t>social.</w:t>
      </w:r>
    </w:p>
    <w:p>
      <w:pPr>
        <w:pStyle w:val="BodyText"/>
        <w:spacing w:line="247" w:lineRule="auto"/>
        <w:ind w:left="117" w:right="115" w:firstLine="283"/>
        <w:jc w:val="both"/>
      </w:pPr>
      <w:r>
        <w:rPr/>
        <w:pict>
          <v:line style="position:absolute;mso-position-horizontal-relative:page;mso-position-vertical-relative:paragraph;z-index:8488;mso-wrap-distance-left:0;mso-wrap-distance-right:0" from="70.866096pt,32.867031pt" to="142.866096pt,32.867031pt" stroked="true" strokeweight=".75pt" strokecolor="#231f20">
            <w10:wrap type="topAndBottom"/>
          </v:line>
        </w:pict>
      </w:r>
      <w:r>
        <w:rPr>
          <w:color w:val="231F20"/>
        </w:rPr>
        <w:t>La </w:t>
      </w:r>
      <w:r>
        <w:rPr>
          <w:i/>
          <w:color w:val="231F20"/>
        </w:rPr>
        <w:t>Ley de Migración </w:t>
      </w:r>
      <w:r>
        <w:rPr>
          <w:color w:val="231F20"/>
        </w:rPr>
        <w:t>establece como obligación de la Secretaría de Gobernación  (SEGOB) implementar acciones que permitan brindar   una</w:t>
      </w:r>
    </w:p>
    <w:p>
      <w:pPr>
        <w:spacing w:line="170" w:lineRule="exact" w:before="0"/>
        <w:ind w:left="117" w:right="3822" w:firstLine="0"/>
        <w:jc w:val="both"/>
        <w:rPr>
          <w:sz w:val="17"/>
        </w:rPr>
      </w:pPr>
      <w:r>
        <w:rPr>
          <w:color w:val="231F20"/>
          <w:position w:val="6"/>
          <w:sz w:val="10"/>
        </w:rPr>
        <w:t>24 </w:t>
      </w:r>
      <w:r>
        <w:rPr>
          <w:color w:val="231F20"/>
          <w:sz w:val="17"/>
        </w:rPr>
        <w:t>Artículo 112 del Reglamento de la LM. </w:t>
      </w:r>
      <w:r>
        <w:rPr>
          <w:color w:val="231F20"/>
          <w:position w:val="6"/>
          <w:sz w:val="10"/>
        </w:rPr>
        <w:t>25 </w:t>
      </w:r>
      <w:r>
        <w:rPr>
          <w:color w:val="231F20"/>
          <w:sz w:val="17"/>
        </w:rPr>
        <w:t>Artículo 113 del Reglamento de la LM. </w:t>
      </w:r>
      <w:r>
        <w:rPr>
          <w:color w:val="231F20"/>
          <w:position w:val="6"/>
          <w:sz w:val="10"/>
        </w:rPr>
        <w:t>26 </w:t>
      </w:r>
      <w:r>
        <w:rPr>
          <w:color w:val="231F20"/>
          <w:sz w:val="17"/>
        </w:rPr>
        <w:t>Artículo 1 de la LM.</w:t>
      </w:r>
    </w:p>
    <w:p>
      <w:pPr>
        <w:spacing w:after="0" w:line="170" w:lineRule="exact"/>
        <w:jc w:val="both"/>
        <w:rPr>
          <w:sz w:val="17"/>
        </w:rPr>
        <w:sectPr>
          <w:pgSz w:w="9360" w:h="13040"/>
          <w:pgMar w:header="0" w:footer="496" w:top="740" w:bottom="680" w:left="1300" w:right="1300"/>
        </w:sectPr>
      </w:pPr>
    </w:p>
    <w:p>
      <w:pPr>
        <w:tabs>
          <w:tab w:pos="5536" w:val="left" w:leader="none"/>
        </w:tabs>
        <w:spacing w:before="51"/>
        <w:ind w:left="117" w:right="0" w:firstLine="11"/>
        <w:jc w:val="both"/>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114"/>
        <w:jc w:val="both"/>
      </w:pPr>
      <w:r>
        <w:rPr>
          <w:color w:val="231F20"/>
        </w:rPr>
        <w:t>atención adecuada a los migrantes que por diferentes factores o la combi- nación de ellos, enfrentan situaciones de vulnerabilidad</w:t>
      </w:r>
      <w:r>
        <w:rPr>
          <w:color w:val="231F20"/>
          <w:position w:val="7"/>
          <w:sz w:val="13"/>
        </w:rPr>
        <w:t>27 </w:t>
      </w:r>
      <w:r>
        <w:rPr>
          <w:color w:val="231F20"/>
        </w:rPr>
        <w:t>y sobre el parti- cular hace especial mención de los niños y adolescentes no acompañados, quienes se colocan en un estado de indefensión al estar solos, sin persona adulta que ejerza la patria potestad.</w:t>
      </w:r>
    </w:p>
    <w:p>
      <w:pPr>
        <w:pStyle w:val="BodyText"/>
        <w:spacing w:line="247" w:lineRule="auto"/>
        <w:ind w:left="117" w:right="114" w:firstLine="283"/>
        <w:jc w:val="both"/>
      </w:pPr>
      <w:r>
        <w:rPr>
          <w:color w:val="231F20"/>
        </w:rPr>
        <w:t>Uno de los fines de la patria potestad es precisamente la satisfacción de las necesidades básicas de los sujetos, al tiempo de proveerles de una efectiva protección. En este sentido, el menor al encontrarse solo requiere invariablemente de resguardo, mismo que debe ser brindado por el Estado receptor,</w:t>
      </w:r>
      <w:r>
        <w:rPr>
          <w:color w:val="231F20"/>
          <w:spacing w:val="-8"/>
        </w:rPr>
        <w:t> </w:t>
      </w:r>
      <w:r>
        <w:rPr>
          <w:color w:val="231F20"/>
        </w:rPr>
        <w:t>en</w:t>
      </w:r>
      <w:r>
        <w:rPr>
          <w:color w:val="231F20"/>
          <w:spacing w:val="-8"/>
        </w:rPr>
        <w:t> </w:t>
      </w:r>
      <w:r>
        <w:rPr>
          <w:color w:val="231F20"/>
        </w:rPr>
        <w:t>este</w:t>
      </w:r>
      <w:r>
        <w:rPr>
          <w:color w:val="231F20"/>
          <w:spacing w:val="-8"/>
        </w:rPr>
        <w:t> </w:t>
      </w:r>
      <w:r>
        <w:rPr>
          <w:color w:val="231F20"/>
        </w:rPr>
        <w:t>caso</w:t>
      </w:r>
      <w:r>
        <w:rPr>
          <w:color w:val="231F20"/>
          <w:spacing w:val="-8"/>
        </w:rPr>
        <w:t> </w:t>
      </w:r>
      <w:r>
        <w:rPr>
          <w:color w:val="231F20"/>
        </w:rPr>
        <w:t>México.</w:t>
      </w:r>
      <w:r>
        <w:rPr>
          <w:color w:val="231F20"/>
          <w:spacing w:val="-8"/>
        </w:rPr>
        <w:t> </w:t>
      </w:r>
      <w:r>
        <w:rPr>
          <w:color w:val="231F20"/>
        </w:rPr>
        <w:t>Dicho</w:t>
      </w:r>
      <w:r>
        <w:rPr>
          <w:color w:val="231F20"/>
          <w:spacing w:val="-8"/>
        </w:rPr>
        <w:t> </w:t>
      </w:r>
      <w:r>
        <w:rPr>
          <w:color w:val="231F20"/>
        </w:rPr>
        <w:t>amparo</w:t>
      </w:r>
      <w:r>
        <w:rPr>
          <w:color w:val="231F20"/>
          <w:spacing w:val="-9"/>
        </w:rPr>
        <w:t> </w:t>
      </w:r>
      <w:r>
        <w:rPr>
          <w:color w:val="231F20"/>
        </w:rPr>
        <w:t>está</w:t>
      </w:r>
      <w:r>
        <w:rPr>
          <w:color w:val="231F20"/>
          <w:spacing w:val="-8"/>
        </w:rPr>
        <w:t> </w:t>
      </w:r>
      <w:r>
        <w:rPr>
          <w:color w:val="231F20"/>
        </w:rPr>
        <w:t>considerado</w:t>
      </w:r>
      <w:r>
        <w:rPr>
          <w:color w:val="231F20"/>
          <w:spacing w:val="-8"/>
        </w:rPr>
        <w:t> </w:t>
      </w:r>
      <w:r>
        <w:rPr>
          <w:color w:val="231F20"/>
        </w:rPr>
        <w:t>en</w:t>
      </w:r>
      <w:r>
        <w:rPr>
          <w:color w:val="231F20"/>
          <w:spacing w:val="-8"/>
        </w:rPr>
        <w:t> </w:t>
      </w:r>
      <w:r>
        <w:rPr>
          <w:color w:val="231F20"/>
        </w:rPr>
        <w:t>la</w:t>
      </w:r>
      <w:r>
        <w:rPr>
          <w:color w:val="231F20"/>
          <w:spacing w:val="-8"/>
        </w:rPr>
        <w:t> </w:t>
      </w:r>
      <w:r>
        <w:rPr>
          <w:i/>
          <w:color w:val="231F20"/>
        </w:rPr>
        <w:t>Ley</w:t>
      </w:r>
      <w:r>
        <w:rPr>
          <w:i/>
          <w:color w:val="231F20"/>
          <w:spacing w:val="-8"/>
        </w:rPr>
        <w:t> </w:t>
      </w:r>
      <w:r>
        <w:rPr>
          <w:i/>
          <w:color w:val="231F20"/>
        </w:rPr>
        <w:t>de </w:t>
      </w:r>
      <w:r>
        <w:rPr>
          <w:i/>
          <w:color w:val="231F20"/>
        </w:rPr>
        <w:t>Migración </w:t>
      </w:r>
      <w:r>
        <w:rPr>
          <w:color w:val="231F20"/>
        </w:rPr>
        <w:t>en su artículo 74 que dice:</w:t>
      </w:r>
    </w:p>
    <w:p>
      <w:pPr>
        <w:spacing w:line="249" w:lineRule="auto" w:before="168"/>
        <w:ind w:left="400" w:right="114" w:firstLine="0"/>
        <w:jc w:val="both"/>
        <w:rPr>
          <w:sz w:val="20"/>
        </w:rPr>
      </w:pPr>
      <w:r>
        <w:rPr>
          <w:sz w:val="20"/>
        </w:rPr>
        <w:t>Cuando</w:t>
      </w:r>
      <w:r>
        <w:rPr>
          <w:spacing w:val="-10"/>
          <w:sz w:val="20"/>
        </w:rPr>
        <w:t> </w:t>
      </w:r>
      <w:r>
        <w:rPr>
          <w:sz w:val="20"/>
        </w:rPr>
        <w:t>así</w:t>
      </w:r>
      <w:r>
        <w:rPr>
          <w:spacing w:val="-10"/>
          <w:sz w:val="20"/>
        </w:rPr>
        <w:t> </w:t>
      </w:r>
      <w:r>
        <w:rPr>
          <w:sz w:val="20"/>
        </w:rPr>
        <w:t>convenga</w:t>
      </w:r>
      <w:r>
        <w:rPr>
          <w:spacing w:val="-11"/>
          <w:sz w:val="20"/>
        </w:rPr>
        <w:t> </w:t>
      </w:r>
      <w:r>
        <w:rPr>
          <w:sz w:val="20"/>
        </w:rPr>
        <w:t>al</w:t>
      </w:r>
      <w:r>
        <w:rPr>
          <w:spacing w:val="-10"/>
          <w:sz w:val="20"/>
        </w:rPr>
        <w:t> </w:t>
      </w:r>
      <w:r>
        <w:rPr>
          <w:sz w:val="20"/>
        </w:rPr>
        <w:t>interés</w:t>
      </w:r>
      <w:r>
        <w:rPr>
          <w:spacing w:val="-11"/>
          <w:sz w:val="20"/>
        </w:rPr>
        <w:t> </w:t>
      </w:r>
      <w:r>
        <w:rPr>
          <w:sz w:val="20"/>
        </w:rPr>
        <w:t>superior</w:t>
      </w:r>
      <w:r>
        <w:rPr>
          <w:spacing w:val="-10"/>
          <w:sz w:val="20"/>
        </w:rPr>
        <w:t> </w:t>
      </w:r>
      <w:r>
        <w:rPr>
          <w:sz w:val="20"/>
        </w:rPr>
        <w:t>de</w:t>
      </w:r>
      <w:r>
        <w:rPr>
          <w:spacing w:val="-10"/>
          <w:sz w:val="20"/>
        </w:rPr>
        <w:t> </w:t>
      </w:r>
      <w:r>
        <w:rPr>
          <w:sz w:val="20"/>
        </w:rPr>
        <w:t>la</w:t>
      </w:r>
      <w:r>
        <w:rPr>
          <w:spacing w:val="-10"/>
          <w:sz w:val="20"/>
        </w:rPr>
        <w:t> </w:t>
      </w:r>
      <w:r>
        <w:rPr>
          <w:sz w:val="20"/>
        </w:rPr>
        <w:t>niña,</w:t>
      </w:r>
      <w:r>
        <w:rPr>
          <w:spacing w:val="-10"/>
          <w:sz w:val="20"/>
        </w:rPr>
        <w:t> </w:t>
      </w:r>
      <w:r>
        <w:rPr>
          <w:sz w:val="20"/>
        </w:rPr>
        <w:t>niño,</w:t>
      </w:r>
      <w:r>
        <w:rPr>
          <w:spacing w:val="-10"/>
          <w:sz w:val="20"/>
        </w:rPr>
        <w:t> </w:t>
      </w:r>
      <w:r>
        <w:rPr>
          <w:sz w:val="20"/>
        </w:rPr>
        <w:t>o</w:t>
      </w:r>
      <w:r>
        <w:rPr>
          <w:spacing w:val="-10"/>
          <w:sz w:val="20"/>
        </w:rPr>
        <w:t> </w:t>
      </w:r>
      <w:r>
        <w:rPr>
          <w:sz w:val="20"/>
        </w:rPr>
        <w:t>adolescente</w:t>
      </w:r>
      <w:r>
        <w:rPr>
          <w:spacing w:val="-11"/>
          <w:sz w:val="20"/>
        </w:rPr>
        <w:t> </w:t>
      </w:r>
      <w:r>
        <w:rPr>
          <w:sz w:val="20"/>
        </w:rPr>
        <w:t>migran- te extranjero no acompañado, dicho niña, niño o adolescente será documenta- do provisionalmente como Visitante por Razones Humanitarias en términos del artículo 52, fracción </w:t>
      </w:r>
      <w:r>
        <w:rPr>
          <w:spacing w:val="-13"/>
          <w:sz w:val="20"/>
        </w:rPr>
        <w:t>V, </w:t>
      </w:r>
      <w:r>
        <w:rPr>
          <w:sz w:val="20"/>
        </w:rPr>
        <w:t>de esta </w:t>
      </w:r>
      <w:r>
        <w:rPr>
          <w:spacing w:val="-4"/>
          <w:sz w:val="20"/>
        </w:rPr>
        <w:t>Ley, </w:t>
      </w:r>
      <w:r>
        <w:rPr>
          <w:sz w:val="20"/>
        </w:rPr>
        <w:t>mientras la Secretaría ofrece alterna- tivas jurídicas o humanitarias temporales o permanentes al retorno</w:t>
      </w:r>
      <w:r>
        <w:rPr>
          <w:spacing w:val="-3"/>
          <w:sz w:val="20"/>
        </w:rPr>
        <w:t> </w:t>
      </w:r>
      <w:r>
        <w:rPr>
          <w:sz w:val="20"/>
        </w:rPr>
        <w:t>asistido…</w:t>
      </w:r>
    </w:p>
    <w:p>
      <w:pPr>
        <w:pStyle w:val="BodyText"/>
        <w:spacing w:line="247" w:lineRule="auto" w:before="172"/>
        <w:ind w:left="117" w:right="115" w:firstLine="283"/>
        <w:jc w:val="both"/>
      </w:pPr>
      <w:r>
        <w:rPr>
          <w:color w:val="231F20"/>
        </w:rPr>
        <w:t>El contenido transcrito está relacionado con el artículo 137 de su Re- glamento, en el cual se reitera el otorgamiento de la visa por razones hu- manitarias.</w:t>
      </w:r>
    </w:p>
    <w:p>
      <w:pPr>
        <w:pStyle w:val="BodyText"/>
        <w:spacing w:line="247" w:lineRule="auto"/>
        <w:ind w:left="117" w:right="114" w:firstLine="283"/>
        <w:jc w:val="both"/>
      </w:pPr>
      <w:r>
        <w:rPr>
          <w:color w:val="231F20"/>
        </w:rPr>
        <w:t>La </w:t>
      </w:r>
      <w:r>
        <w:rPr>
          <w:i/>
          <w:color w:val="231F20"/>
        </w:rPr>
        <w:t>Ley de Migración </w:t>
      </w:r>
      <w:r>
        <w:rPr>
          <w:color w:val="231F20"/>
        </w:rPr>
        <w:t>representa un adelanto en comparación con la</w:t>
      </w:r>
      <w:r>
        <w:rPr>
          <w:color w:val="231F20"/>
          <w:spacing w:val="-31"/>
        </w:rPr>
        <w:t> </w:t>
      </w:r>
      <w:r>
        <w:rPr>
          <w:color w:val="231F20"/>
          <w:w w:val="110"/>
          <w:sz w:val="15"/>
        </w:rPr>
        <w:t>lgp</w:t>
      </w:r>
      <w:r>
        <w:rPr>
          <w:color w:val="231F20"/>
          <w:w w:val="110"/>
        </w:rPr>
        <w:t>, </w:t>
      </w:r>
      <w:r>
        <w:rPr>
          <w:color w:val="231F20"/>
        </w:rPr>
        <w:t>e incluso con otras legislaciones de la región, no sólo al hacer una distin- ción</w:t>
      </w:r>
      <w:r>
        <w:rPr>
          <w:color w:val="231F20"/>
          <w:spacing w:val="-12"/>
        </w:rPr>
        <w:t> </w:t>
      </w:r>
      <w:r>
        <w:rPr>
          <w:color w:val="231F20"/>
        </w:rPr>
        <w:t>con</w:t>
      </w:r>
      <w:r>
        <w:rPr>
          <w:color w:val="231F20"/>
          <w:spacing w:val="-12"/>
        </w:rPr>
        <w:t> </w:t>
      </w:r>
      <w:r>
        <w:rPr>
          <w:color w:val="231F20"/>
        </w:rPr>
        <w:t>base</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género</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edad,</w:t>
      </w:r>
      <w:r>
        <w:rPr>
          <w:color w:val="231F20"/>
          <w:spacing w:val="-12"/>
        </w:rPr>
        <w:t> </w:t>
      </w:r>
      <w:r>
        <w:rPr>
          <w:color w:val="231F20"/>
        </w:rPr>
        <w:t>sino</w:t>
      </w:r>
      <w:r>
        <w:rPr>
          <w:color w:val="231F20"/>
          <w:spacing w:val="-12"/>
        </w:rPr>
        <w:t> </w:t>
      </w:r>
      <w:r>
        <w:rPr>
          <w:color w:val="231F20"/>
        </w:rPr>
        <w:t>también</w:t>
      </w:r>
      <w:r>
        <w:rPr>
          <w:color w:val="231F20"/>
          <w:spacing w:val="-12"/>
        </w:rPr>
        <w:t> </w:t>
      </w:r>
      <w:r>
        <w:rPr>
          <w:color w:val="231F20"/>
        </w:rPr>
        <w:t>al</w:t>
      </w:r>
      <w:r>
        <w:rPr>
          <w:color w:val="231F20"/>
          <w:spacing w:val="-12"/>
        </w:rPr>
        <w:t> </w:t>
      </w:r>
      <w:r>
        <w:rPr>
          <w:color w:val="231F20"/>
        </w:rPr>
        <w:t>considerar</w:t>
      </w:r>
      <w:r>
        <w:rPr>
          <w:color w:val="231F20"/>
          <w:spacing w:val="-12"/>
        </w:rPr>
        <w:t> </w:t>
      </w:r>
      <w:r>
        <w:rPr>
          <w:color w:val="231F20"/>
        </w:rPr>
        <w:t>la</w:t>
      </w:r>
      <w:r>
        <w:rPr>
          <w:color w:val="231F20"/>
          <w:spacing w:val="-12"/>
        </w:rPr>
        <w:t> </w:t>
      </w:r>
      <w:r>
        <w:rPr>
          <w:color w:val="231F20"/>
        </w:rPr>
        <w:t>situación particular del sujeto, esto es, la discapacidad física, la pertenencia a un grupo racial o étnico, la situación de embarazo, o bien el</w:t>
      </w:r>
      <w:r>
        <w:rPr>
          <w:color w:val="231F20"/>
          <w:spacing w:val="-23"/>
        </w:rPr>
        <w:t> </w:t>
      </w:r>
      <w:r>
        <w:rPr>
          <w:color w:val="231F20"/>
        </w:rPr>
        <w:t>acompañamiento en el caso de los</w:t>
      </w:r>
      <w:r>
        <w:rPr>
          <w:color w:val="231F20"/>
          <w:spacing w:val="-3"/>
        </w:rPr>
        <w:t> </w:t>
      </w:r>
      <w:r>
        <w:rPr>
          <w:color w:val="231F20"/>
        </w:rPr>
        <w:t>menores.</w:t>
      </w:r>
    </w:p>
    <w:p>
      <w:pPr>
        <w:pStyle w:val="BodyText"/>
        <w:spacing w:line="247" w:lineRule="auto"/>
        <w:ind w:left="117" w:right="114" w:firstLine="283"/>
        <w:jc w:val="both"/>
      </w:pPr>
      <w:r>
        <w:rPr>
          <w:color w:val="231F20"/>
        </w:rPr>
        <w:t>La protección de los niños y adolescentes no acompañados es tan im- portante al grado que la legislación en la materia en su Capítulo VII, artí- culo </w:t>
      </w:r>
      <w:r>
        <w:rPr>
          <w:color w:val="231F20"/>
          <w:spacing w:val="-3"/>
        </w:rPr>
        <w:t>112, </w:t>
      </w:r>
      <w:r>
        <w:rPr>
          <w:color w:val="231F20"/>
        </w:rPr>
        <w:t>establece un procedimiento especial a fin de resguardar su inte- gridad personal. Consiste básicamente en canalizar al menor al </w:t>
      </w:r>
      <w:r>
        <w:rPr>
          <w:color w:val="231F20"/>
          <w:spacing w:val="-5"/>
        </w:rPr>
        <w:t>DIF, </w:t>
      </w:r>
      <w:r>
        <w:rPr>
          <w:color w:val="231F20"/>
        </w:rPr>
        <w:t>a fin de privilegiar su estancia en lugares que le brinden la atención adecuada, mientras</w:t>
      </w:r>
      <w:r>
        <w:rPr>
          <w:color w:val="231F20"/>
          <w:spacing w:val="-8"/>
        </w:rPr>
        <w:t> </w:t>
      </w:r>
      <w:r>
        <w:rPr>
          <w:color w:val="231F20"/>
        </w:rPr>
        <w:t>se</w:t>
      </w:r>
      <w:r>
        <w:rPr>
          <w:color w:val="231F20"/>
          <w:spacing w:val="-7"/>
        </w:rPr>
        <w:t> </w:t>
      </w:r>
      <w:r>
        <w:rPr>
          <w:color w:val="231F20"/>
        </w:rPr>
        <w:t>resuelve</w:t>
      </w:r>
      <w:r>
        <w:rPr>
          <w:color w:val="231F20"/>
          <w:spacing w:val="-8"/>
        </w:rPr>
        <w:t> </w:t>
      </w:r>
      <w:r>
        <w:rPr>
          <w:color w:val="231F20"/>
        </w:rPr>
        <w:t>su</w:t>
      </w:r>
      <w:r>
        <w:rPr>
          <w:color w:val="231F20"/>
          <w:spacing w:val="-7"/>
        </w:rPr>
        <w:t> </w:t>
      </w:r>
      <w:r>
        <w:rPr>
          <w:color w:val="231F20"/>
        </w:rPr>
        <w:t>situación</w:t>
      </w:r>
      <w:r>
        <w:rPr>
          <w:color w:val="231F20"/>
          <w:spacing w:val="-8"/>
        </w:rPr>
        <w:t> </w:t>
      </w:r>
      <w:r>
        <w:rPr>
          <w:color w:val="231F20"/>
        </w:rPr>
        <w:t>jurídica.</w:t>
      </w:r>
      <w:r>
        <w:rPr>
          <w:color w:val="231F20"/>
          <w:spacing w:val="-8"/>
        </w:rPr>
        <w:t> </w:t>
      </w:r>
      <w:r>
        <w:rPr>
          <w:color w:val="231F20"/>
        </w:rPr>
        <w:t>Se</w:t>
      </w:r>
      <w:r>
        <w:rPr>
          <w:color w:val="231F20"/>
          <w:spacing w:val="-7"/>
        </w:rPr>
        <w:t> </w:t>
      </w:r>
      <w:r>
        <w:rPr>
          <w:color w:val="231F20"/>
        </w:rPr>
        <w:t>le</w:t>
      </w:r>
      <w:r>
        <w:rPr>
          <w:color w:val="231F20"/>
          <w:spacing w:val="-8"/>
        </w:rPr>
        <w:t> </w:t>
      </w:r>
      <w:r>
        <w:rPr>
          <w:color w:val="231F20"/>
        </w:rPr>
        <w:t>informa</w:t>
      </w:r>
      <w:r>
        <w:rPr>
          <w:color w:val="231F20"/>
          <w:spacing w:val="-8"/>
        </w:rPr>
        <w:t> </w:t>
      </w:r>
      <w:r>
        <w:rPr>
          <w:color w:val="231F20"/>
        </w:rPr>
        <w:t>sobre</w:t>
      </w:r>
      <w:r>
        <w:rPr>
          <w:color w:val="231F20"/>
          <w:spacing w:val="-7"/>
        </w:rPr>
        <w:t> </w:t>
      </w:r>
      <w:r>
        <w:rPr>
          <w:color w:val="231F20"/>
        </w:rPr>
        <w:t>el</w:t>
      </w:r>
      <w:r>
        <w:rPr>
          <w:color w:val="231F20"/>
          <w:spacing w:val="-8"/>
        </w:rPr>
        <w:t> </w:t>
      </w:r>
      <w:r>
        <w:rPr>
          <w:color w:val="231F20"/>
        </w:rPr>
        <w:t>motivo</w:t>
      </w:r>
      <w:r>
        <w:rPr>
          <w:color w:val="231F20"/>
          <w:spacing w:val="-8"/>
        </w:rPr>
        <w:t> </w:t>
      </w:r>
      <w:r>
        <w:rPr>
          <w:color w:val="231F20"/>
        </w:rPr>
        <w:t>de su presentación, sus derechos dentro del procedimiento administrativo,</w:t>
      </w:r>
      <w:r>
        <w:rPr>
          <w:color w:val="231F20"/>
          <w:spacing w:val="-36"/>
        </w:rPr>
        <w:t> </w:t>
      </w:r>
      <w:r>
        <w:rPr>
          <w:color w:val="231F20"/>
        </w:rPr>
        <w:t>los servicios</w:t>
      </w:r>
      <w:r>
        <w:rPr>
          <w:color w:val="231F20"/>
          <w:spacing w:val="-9"/>
        </w:rPr>
        <w:t> </w:t>
      </w:r>
      <w:r>
        <w:rPr>
          <w:color w:val="231F20"/>
        </w:rPr>
        <w:t>a</w:t>
      </w:r>
      <w:r>
        <w:rPr>
          <w:color w:val="231F20"/>
          <w:spacing w:val="-10"/>
        </w:rPr>
        <w:t> </w:t>
      </w:r>
      <w:r>
        <w:rPr>
          <w:color w:val="231F20"/>
        </w:rPr>
        <w:t>que</w:t>
      </w:r>
      <w:r>
        <w:rPr>
          <w:color w:val="231F20"/>
          <w:spacing w:val="-10"/>
        </w:rPr>
        <w:t> </w:t>
      </w:r>
      <w:r>
        <w:rPr>
          <w:color w:val="231F20"/>
        </w:rPr>
        <w:t>tiene</w:t>
      </w:r>
      <w:r>
        <w:rPr>
          <w:color w:val="231F20"/>
          <w:spacing w:val="-10"/>
        </w:rPr>
        <w:t> </w:t>
      </w:r>
      <w:r>
        <w:rPr>
          <w:color w:val="231F20"/>
        </w:rPr>
        <w:t>acceso</w:t>
      </w:r>
      <w:r>
        <w:rPr>
          <w:color w:val="231F20"/>
          <w:spacing w:val="-10"/>
        </w:rPr>
        <w:t> </w:t>
      </w:r>
      <w:r>
        <w:rPr>
          <w:color w:val="231F20"/>
        </w:rPr>
        <w:t>y</w:t>
      </w:r>
      <w:r>
        <w:rPr>
          <w:color w:val="231F20"/>
          <w:spacing w:val="-10"/>
        </w:rPr>
        <w:t> </w:t>
      </w:r>
      <w:r>
        <w:rPr>
          <w:color w:val="231F20"/>
        </w:rPr>
        <w:t>se</w:t>
      </w:r>
      <w:r>
        <w:rPr>
          <w:color w:val="231F20"/>
          <w:spacing w:val="-10"/>
        </w:rPr>
        <w:t> </w:t>
      </w:r>
      <w:r>
        <w:rPr>
          <w:color w:val="231F20"/>
        </w:rPr>
        <w:t>le</w:t>
      </w:r>
      <w:r>
        <w:rPr>
          <w:color w:val="231F20"/>
          <w:spacing w:val="-10"/>
        </w:rPr>
        <w:t> </w:t>
      </w:r>
      <w:r>
        <w:rPr>
          <w:color w:val="231F20"/>
        </w:rPr>
        <w:t>pone</w:t>
      </w:r>
      <w:r>
        <w:rPr>
          <w:color w:val="231F20"/>
          <w:spacing w:val="-10"/>
        </w:rPr>
        <w:t> </w:t>
      </w:r>
      <w:r>
        <w:rPr>
          <w:color w:val="231F20"/>
        </w:rPr>
        <w:t>en</w:t>
      </w:r>
      <w:r>
        <w:rPr>
          <w:color w:val="231F20"/>
          <w:spacing w:val="-10"/>
        </w:rPr>
        <w:t> </w:t>
      </w:r>
      <w:r>
        <w:rPr>
          <w:color w:val="231F20"/>
        </w:rPr>
        <w:t>contacto</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consulado</w:t>
      </w:r>
      <w:r>
        <w:rPr>
          <w:color w:val="231F20"/>
          <w:spacing w:val="-10"/>
        </w:rPr>
        <w:t> </w:t>
      </w:r>
      <w:r>
        <w:rPr>
          <w:color w:val="231F20"/>
        </w:rPr>
        <w:t>de</w:t>
      </w:r>
      <w:r>
        <w:rPr>
          <w:color w:val="231F20"/>
          <w:spacing w:val="-10"/>
        </w:rPr>
        <w:t> </w:t>
      </w:r>
      <w:r>
        <w:rPr>
          <w:color w:val="231F20"/>
        </w:rPr>
        <w:t>su país, a menos que solicite la condición de asilado político o refugiado. Se notifica</w:t>
      </w:r>
      <w:r>
        <w:rPr>
          <w:color w:val="231F20"/>
          <w:spacing w:val="-11"/>
        </w:rPr>
        <w:t> </w:t>
      </w:r>
      <w:r>
        <w:rPr>
          <w:color w:val="231F20"/>
        </w:rPr>
        <w:t>al</w:t>
      </w:r>
      <w:r>
        <w:rPr>
          <w:color w:val="231F20"/>
          <w:spacing w:val="-11"/>
        </w:rPr>
        <w:t> </w:t>
      </w:r>
      <w:r>
        <w:rPr>
          <w:color w:val="231F20"/>
        </w:rPr>
        <w:t>Consulado</w:t>
      </w:r>
      <w:r>
        <w:rPr>
          <w:color w:val="231F20"/>
          <w:spacing w:val="-11"/>
        </w:rPr>
        <w:t> </w:t>
      </w:r>
      <w:r>
        <w:rPr>
          <w:color w:val="231F20"/>
        </w:rPr>
        <w:t>sobre</w:t>
      </w:r>
      <w:r>
        <w:rPr>
          <w:color w:val="231F20"/>
          <w:spacing w:val="-11"/>
        </w:rPr>
        <w:t> </w:t>
      </w:r>
      <w:r>
        <w:rPr>
          <w:color w:val="231F20"/>
        </w:rPr>
        <w:t>la</w:t>
      </w:r>
      <w:r>
        <w:rPr>
          <w:color w:val="231F20"/>
          <w:spacing w:val="-11"/>
        </w:rPr>
        <w:t> </w:t>
      </w:r>
      <w:r>
        <w:rPr>
          <w:color w:val="231F20"/>
        </w:rPr>
        <w:t>ubicación</w:t>
      </w:r>
      <w:r>
        <w:rPr>
          <w:color w:val="231F20"/>
          <w:spacing w:val="-11"/>
        </w:rPr>
        <w:t> </w:t>
      </w:r>
      <w:r>
        <w:rPr>
          <w:color w:val="231F20"/>
        </w:rPr>
        <w:t>del</w:t>
      </w:r>
      <w:r>
        <w:rPr>
          <w:color w:val="231F20"/>
          <w:spacing w:val="-11"/>
        </w:rPr>
        <w:t> </w:t>
      </w:r>
      <w:r>
        <w:rPr>
          <w:color w:val="231F20"/>
        </w:rPr>
        <w:t>sujeto</w:t>
      </w:r>
      <w:r>
        <w:rPr>
          <w:color w:val="231F20"/>
          <w:spacing w:val="-11"/>
        </w:rPr>
        <w:t> </w:t>
      </w:r>
      <w:r>
        <w:rPr>
          <w:color w:val="231F20"/>
        </w:rPr>
        <w:t>y</w:t>
      </w:r>
      <w:r>
        <w:rPr>
          <w:color w:val="231F20"/>
          <w:spacing w:val="-11"/>
        </w:rPr>
        <w:t> </w:t>
      </w:r>
      <w:r>
        <w:rPr>
          <w:color w:val="231F20"/>
        </w:rPr>
        <w:t>las</w:t>
      </w:r>
      <w:r>
        <w:rPr>
          <w:color w:val="231F20"/>
          <w:spacing w:val="-11"/>
        </w:rPr>
        <w:t> </w:t>
      </w:r>
      <w:r>
        <w:rPr>
          <w:color w:val="231F20"/>
        </w:rPr>
        <w:t>condiciones</w:t>
      </w:r>
      <w:r>
        <w:rPr>
          <w:color w:val="231F20"/>
          <w:spacing w:val="-11"/>
        </w:rPr>
        <w:t> </w:t>
      </w:r>
      <w:r>
        <w:rPr>
          <w:color w:val="231F20"/>
        </w:rPr>
        <w:t>en</w:t>
      </w:r>
      <w:r>
        <w:rPr>
          <w:color w:val="231F20"/>
          <w:spacing w:val="-11"/>
        </w:rPr>
        <w:t> </w:t>
      </w:r>
      <w:r>
        <w:rPr>
          <w:color w:val="231F20"/>
        </w:rPr>
        <w:t>que se encuentra. Personal especializado del INAMI entrevista al menor con el propósito de conocer su identidad, nacionalidad, situación  </w:t>
      </w:r>
      <w:r>
        <w:rPr>
          <w:color w:val="231F20"/>
          <w:spacing w:val="51"/>
        </w:rPr>
        <w:t> </w:t>
      </w:r>
      <w:r>
        <w:rPr>
          <w:color w:val="231F20"/>
        </w:rPr>
        <w:t>migratoria,</w:t>
      </w:r>
    </w:p>
    <w:p>
      <w:pPr>
        <w:pStyle w:val="BodyText"/>
        <w:spacing w:before="8"/>
        <w:rPr>
          <w:sz w:val="15"/>
        </w:rPr>
      </w:pPr>
      <w:r>
        <w:rPr/>
        <w:pict>
          <v:line style="position:absolute;mso-position-horizontal-relative:page;mso-position-vertical-relative:paragraph;z-index:8512;mso-wrap-distance-left:0;mso-wrap-distance-right:0" from="70.866096pt,11.356555pt" to="142.866096pt,11.356555pt" stroked="true" strokeweight=".75pt" strokecolor="#231f20">
            <w10:wrap type="topAndBottom"/>
          </v:line>
        </w:pict>
      </w:r>
    </w:p>
    <w:p>
      <w:pPr>
        <w:spacing w:line="170" w:lineRule="exact" w:before="0"/>
        <w:ind w:left="117" w:right="117" w:firstLine="0"/>
        <w:jc w:val="left"/>
        <w:rPr>
          <w:sz w:val="17"/>
        </w:rPr>
      </w:pPr>
      <w:r>
        <w:rPr>
          <w:color w:val="231F20"/>
          <w:position w:val="6"/>
          <w:sz w:val="10"/>
        </w:rPr>
        <w:t>27 </w:t>
      </w:r>
      <w:r>
        <w:rPr>
          <w:color w:val="231F20"/>
          <w:sz w:val="17"/>
        </w:rPr>
        <w:t>Artículo 73 de la LM.</w:t>
      </w:r>
    </w:p>
    <w:p>
      <w:pPr>
        <w:spacing w:after="0" w:line="170" w:lineRule="exact"/>
        <w:jc w:val="left"/>
        <w:rPr>
          <w:sz w:val="17"/>
        </w:rPr>
        <w:sectPr>
          <w:pgSz w:w="9360" w:h="13040"/>
          <w:pgMar w:header="0" w:footer="496" w:top="840" w:bottom="680" w:left="1300" w:right="1300"/>
        </w:sectPr>
      </w:pPr>
    </w:p>
    <w:p>
      <w:pPr>
        <w:spacing w:before="45"/>
        <w:ind w:left="0" w:right="115" w:firstLine="0"/>
        <w:jc w:val="right"/>
        <w:rPr>
          <w:rFonts w:ascii="Arial" w:hAnsi="Arial"/>
          <w:sz w:val="20"/>
        </w:rPr>
      </w:pPr>
      <w:r>
        <w:rPr>
          <w:rFonts w:ascii="Arial" w:hAnsi="Arial"/>
          <w:color w:val="231F20"/>
          <w:w w:val="70"/>
          <w:sz w:val="20"/>
        </w:rPr>
        <w:t>Los menores inmigrantes indocumentados ante la nueva ley de migración... /Alma C. Guadarrama-Muñoz</w:t>
      </w:r>
    </w:p>
    <w:p>
      <w:pPr>
        <w:pStyle w:val="BodyText"/>
        <w:spacing w:before="7"/>
        <w:rPr>
          <w:rFonts w:ascii="Arial"/>
          <w:sz w:val="28"/>
        </w:rPr>
      </w:pPr>
    </w:p>
    <w:p>
      <w:pPr>
        <w:pStyle w:val="BodyText"/>
        <w:spacing w:line="247" w:lineRule="auto"/>
        <w:ind w:left="117" w:right="114"/>
        <w:jc w:val="both"/>
      </w:pPr>
      <w:r>
        <w:rPr>
          <w:color w:val="231F20"/>
        </w:rPr>
        <w:t>paradero de los familiares y sus necesidades de protección y atención mé- dica y psicológica. Es en este momento cuando un representante de la</w:t>
      </w:r>
      <w:r>
        <w:rPr>
          <w:color w:val="231F20"/>
          <w:spacing w:val="-26"/>
        </w:rPr>
        <w:t> </w:t>
      </w:r>
      <w:r>
        <w:rPr>
          <w:color w:val="231F20"/>
          <w:w w:val="120"/>
          <w:sz w:val="15"/>
        </w:rPr>
        <w:t>cndh </w:t>
      </w:r>
      <w:r>
        <w:rPr>
          <w:color w:val="231F20"/>
        </w:rPr>
        <w:t>puede estar presente sin perjuicio de las facultades que le correspondan al representante legal o persona de confianza. De conformidad con los con- venios</w:t>
      </w:r>
      <w:r>
        <w:rPr>
          <w:color w:val="231F20"/>
          <w:spacing w:val="-6"/>
        </w:rPr>
        <w:t> </w:t>
      </w:r>
      <w:r>
        <w:rPr>
          <w:color w:val="231F20"/>
        </w:rPr>
        <w:t>de</w:t>
      </w:r>
      <w:r>
        <w:rPr>
          <w:color w:val="231F20"/>
          <w:spacing w:val="-6"/>
        </w:rPr>
        <w:t> </w:t>
      </w:r>
      <w:r>
        <w:rPr>
          <w:color w:val="231F20"/>
        </w:rPr>
        <w:t>coordinación,</w:t>
      </w:r>
      <w:r>
        <w:rPr>
          <w:color w:val="231F20"/>
          <w:spacing w:val="-6"/>
        </w:rPr>
        <w:t> </w:t>
      </w:r>
      <w:r>
        <w:rPr>
          <w:color w:val="231F20"/>
        </w:rPr>
        <w:t>el</w:t>
      </w:r>
      <w:r>
        <w:rPr>
          <w:color w:val="231F20"/>
          <w:spacing w:val="-6"/>
        </w:rPr>
        <w:t> </w:t>
      </w:r>
      <w:r>
        <w:rPr>
          <w:color w:val="231F20"/>
        </w:rPr>
        <w:t>Consulado</w:t>
      </w:r>
      <w:r>
        <w:rPr>
          <w:color w:val="231F20"/>
          <w:spacing w:val="-6"/>
        </w:rPr>
        <w:t> </w:t>
      </w:r>
      <w:r>
        <w:rPr>
          <w:color w:val="231F20"/>
        </w:rPr>
        <w:t>o</w:t>
      </w:r>
      <w:r>
        <w:rPr>
          <w:color w:val="231F20"/>
          <w:spacing w:val="-5"/>
        </w:rPr>
        <w:t> </w:t>
      </w:r>
      <w:r>
        <w:rPr>
          <w:color w:val="231F20"/>
        </w:rPr>
        <w:t>la</w:t>
      </w:r>
      <w:r>
        <w:rPr>
          <w:color w:val="231F20"/>
          <w:spacing w:val="-6"/>
        </w:rPr>
        <w:t> </w:t>
      </w:r>
      <w:r>
        <w:rPr>
          <w:color w:val="231F20"/>
        </w:rPr>
        <w:t>institución</w:t>
      </w:r>
      <w:r>
        <w:rPr>
          <w:color w:val="231F20"/>
          <w:spacing w:val="-6"/>
        </w:rPr>
        <w:t> </w:t>
      </w:r>
      <w:r>
        <w:rPr>
          <w:color w:val="231F20"/>
        </w:rPr>
        <w:t>de</w:t>
      </w:r>
      <w:r>
        <w:rPr>
          <w:color w:val="231F20"/>
          <w:spacing w:val="-6"/>
        </w:rPr>
        <w:t> </w:t>
      </w:r>
      <w:r>
        <w:rPr>
          <w:color w:val="231F20"/>
        </w:rPr>
        <w:t>asistencia</w:t>
      </w:r>
      <w:r>
        <w:rPr>
          <w:color w:val="231F20"/>
          <w:spacing w:val="-6"/>
        </w:rPr>
        <w:t> </w:t>
      </w:r>
      <w:r>
        <w:rPr>
          <w:color w:val="231F20"/>
        </w:rPr>
        <w:t>del</w:t>
      </w:r>
      <w:r>
        <w:rPr>
          <w:color w:val="231F20"/>
          <w:spacing w:val="-5"/>
        </w:rPr>
        <w:t> </w:t>
      </w:r>
      <w:r>
        <w:rPr>
          <w:color w:val="231F20"/>
        </w:rPr>
        <w:t>país de origen procederán a la búsqueda de familiares. Finalmente, resuelta la situación</w:t>
      </w:r>
      <w:r>
        <w:rPr>
          <w:color w:val="231F20"/>
          <w:spacing w:val="-10"/>
        </w:rPr>
        <w:t> </w:t>
      </w:r>
      <w:r>
        <w:rPr>
          <w:color w:val="231F20"/>
        </w:rPr>
        <w:t>jurídica</w:t>
      </w:r>
      <w:r>
        <w:rPr>
          <w:color w:val="231F20"/>
          <w:spacing w:val="-10"/>
        </w:rPr>
        <w:t> </w:t>
      </w:r>
      <w:r>
        <w:rPr>
          <w:color w:val="231F20"/>
        </w:rPr>
        <w:t>y</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supuesto</w:t>
      </w:r>
      <w:r>
        <w:rPr>
          <w:color w:val="231F20"/>
          <w:spacing w:val="-10"/>
        </w:rPr>
        <w:t> </w:t>
      </w:r>
      <w:r>
        <w:rPr>
          <w:color w:val="231F20"/>
        </w:rPr>
        <w:t>del</w:t>
      </w:r>
      <w:r>
        <w:rPr>
          <w:color w:val="231F20"/>
          <w:spacing w:val="-10"/>
        </w:rPr>
        <w:t> </w:t>
      </w:r>
      <w:r>
        <w:rPr>
          <w:color w:val="231F20"/>
        </w:rPr>
        <w:t>retorno</w:t>
      </w:r>
      <w:r>
        <w:rPr>
          <w:color w:val="231F20"/>
          <w:spacing w:val="-10"/>
        </w:rPr>
        <w:t> </w:t>
      </w:r>
      <w:r>
        <w:rPr>
          <w:color w:val="231F20"/>
        </w:rPr>
        <w:t>asistido,</w:t>
      </w:r>
      <w:r>
        <w:rPr>
          <w:color w:val="231F20"/>
          <w:spacing w:val="-10"/>
        </w:rPr>
        <w:t> </w:t>
      </w:r>
      <w:r>
        <w:rPr>
          <w:color w:val="231F20"/>
        </w:rPr>
        <w:t>se</w:t>
      </w:r>
      <w:r>
        <w:rPr>
          <w:color w:val="231F20"/>
          <w:spacing w:val="-10"/>
        </w:rPr>
        <w:t> </w:t>
      </w:r>
      <w:r>
        <w:rPr>
          <w:color w:val="231F20"/>
        </w:rPr>
        <w:t>notificará</w:t>
      </w:r>
      <w:r>
        <w:rPr>
          <w:color w:val="231F20"/>
          <w:spacing w:val="-10"/>
        </w:rPr>
        <w:t> </w:t>
      </w:r>
      <w:r>
        <w:rPr>
          <w:color w:val="231F20"/>
        </w:rPr>
        <w:t>al</w:t>
      </w:r>
      <w:r>
        <w:rPr>
          <w:color w:val="231F20"/>
          <w:spacing w:val="-10"/>
        </w:rPr>
        <w:t> </w:t>
      </w:r>
      <w:r>
        <w:rPr>
          <w:color w:val="231F20"/>
        </w:rPr>
        <w:t>Con- sulado con tiempo suficiente para la recepción del niño o adolescente. Di- cho retorno deberá realizarse atendiendo al interés superior y la situación de vulnerabilidad del sujeto, con pleno respeto a los derechos</w:t>
      </w:r>
      <w:r>
        <w:rPr>
          <w:color w:val="231F20"/>
          <w:spacing w:val="-8"/>
        </w:rPr>
        <w:t> </w:t>
      </w:r>
      <w:r>
        <w:rPr>
          <w:color w:val="231F20"/>
        </w:rPr>
        <w:t>humanos.</w:t>
      </w:r>
    </w:p>
    <w:p>
      <w:pPr>
        <w:spacing w:before="149"/>
        <w:ind w:left="117" w:right="0" w:firstLine="0"/>
        <w:jc w:val="both"/>
        <w:rPr>
          <w:i/>
          <w:sz w:val="22"/>
        </w:rPr>
      </w:pPr>
      <w:r>
        <w:rPr>
          <w:i/>
          <w:color w:val="231F20"/>
          <w:sz w:val="22"/>
        </w:rPr>
        <w:t>Reglamento</w:t>
      </w:r>
    </w:p>
    <w:p>
      <w:pPr>
        <w:pStyle w:val="BodyText"/>
        <w:spacing w:line="247" w:lineRule="auto" w:before="177"/>
        <w:ind w:left="71" w:right="115"/>
        <w:jc w:val="right"/>
      </w:pPr>
      <w:r>
        <w:rPr>
          <w:color w:val="231F20"/>
        </w:rPr>
        <w:t>Un reglamento es una norma que complementa o amplía el</w:t>
      </w:r>
      <w:r>
        <w:rPr>
          <w:color w:val="231F20"/>
          <w:spacing w:val="18"/>
        </w:rPr>
        <w:t> </w:t>
      </w:r>
      <w:r>
        <w:rPr>
          <w:color w:val="231F20"/>
        </w:rPr>
        <w:t>contenido</w:t>
      </w:r>
      <w:r>
        <w:rPr>
          <w:color w:val="231F20"/>
          <w:spacing w:val="11"/>
        </w:rPr>
        <w:t> </w:t>
      </w:r>
      <w:r>
        <w:rPr>
          <w:color w:val="231F20"/>
        </w:rPr>
        <w:t>de una</w:t>
      </w:r>
      <w:r>
        <w:rPr>
          <w:color w:val="231F20"/>
          <w:spacing w:val="-15"/>
        </w:rPr>
        <w:t> </w:t>
      </w:r>
      <w:r>
        <w:rPr>
          <w:color w:val="231F20"/>
          <w:spacing w:val="-4"/>
        </w:rPr>
        <w:t>ley,</w:t>
      </w:r>
      <w:r>
        <w:rPr>
          <w:color w:val="231F20"/>
          <w:spacing w:val="-15"/>
        </w:rPr>
        <w:t> </w:t>
      </w:r>
      <w:r>
        <w:rPr>
          <w:color w:val="231F20"/>
        </w:rPr>
        <w:t>por</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jerárquicamente</w:t>
      </w:r>
      <w:r>
        <w:rPr>
          <w:color w:val="231F20"/>
          <w:spacing w:val="-15"/>
        </w:rPr>
        <w:t> </w:t>
      </w:r>
      <w:r>
        <w:rPr>
          <w:color w:val="231F20"/>
        </w:rPr>
        <w:t>aquél</w:t>
      </w:r>
      <w:r>
        <w:rPr>
          <w:color w:val="231F20"/>
          <w:spacing w:val="-15"/>
        </w:rPr>
        <w:t> </w:t>
      </w:r>
      <w:r>
        <w:rPr>
          <w:color w:val="231F20"/>
        </w:rPr>
        <w:t>está</w:t>
      </w:r>
      <w:r>
        <w:rPr>
          <w:color w:val="231F20"/>
          <w:spacing w:val="-15"/>
        </w:rPr>
        <w:t> </w:t>
      </w:r>
      <w:r>
        <w:rPr>
          <w:color w:val="231F20"/>
        </w:rPr>
        <w:t>subordinado</w:t>
      </w:r>
      <w:r>
        <w:rPr>
          <w:color w:val="231F20"/>
          <w:spacing w:val="-15"/>
        </w:rPr>
        <w:t> </w:t>
      </w:r>
      <w:r>
        <w:rPr>
          <w:color w:val="231F20"/>
        </w:rPr>
        <w:t>a</w:t>
      </w:r>
      <w:r>
        <w:rPr>
          <w:color w:val="231F20"/>
          <w:spacing w:val="-15"/>
        </w:rPr>
        <w:t> </w:t>
      </w:r>
      <w:r>
        <w:rPr>
          <w:color w:val="231F20"/>
        </w:rPr>
        <w:t>ésta</w:t>
      </w:r>
      <w:r>
        <w:rPr>
          <w:color w:val="231F20"/>
          <w:spacing w:val="-15"/>
        </w:rPr>
        <w:t> </w:t>
      </w:r>
      <w:r>
        <w:rPr>
          <w:color w:val="231F20"/>
        </w:rPr>
        <w:t>(IIJ,</w:t>
      </w:r>
      <w:r>
        <w:rPr>
          <w:color w:val="231F20"/>
          <w:spacing w:val="-15"/>
        </w:rPr>
        <w:t> </w:t>
      </w:r>
      <w:r>
        <w:rPr>
          <w:color w:val="231F20"/>
        </w:rPr>
        <w:t>1991: 2751</w:t>
      </w:r>
      <w:r>
        <w:rPr>
          <w:color w:val="231F20"/>
          <w:sz w:val="24"/>
        </w:rPr>
        <w:t>)</w:t>
      </w:r>
      <w:r>
        <w:rPr>
          <w:color w:val="231F20"/>
        </w:rPr>
        <w:t>. Es así que, a partir del 28 de septiembre de 2012, se publica</w:t>
      </w:r>
      <w:r>
        <w:rPr>
          <w:color w:val="231F20"/>
          <w:spacing w:val="7"/>
        </w:rPr>
        <w:t> </w:t>
      </w:r>
      <w:r>
        <w:rPr>
          <w:color w:val="231F20"/>
        </w:rPr>
        <w:t>en</w:t>
      </w:r>
      <w:r>
        <w:rPr>
          <w:color w:val="231F20"/>
          <w:spacing w:val="10"/>
        </w:rPr>
        <w:t> </w:t>
      </w:r>
      <w:r>
        <w:rPr>
          <w:color w:val="231F20"/>
        </w:rPr>
        <w:t>el </w:t>
      </w:r>
      <w:r>
        <w:rPr>
          <w:color w:val="231F20"/>
          <w:spacing w:val="-5"/>
        </w:rPr>
        <w:t>DOF, </w:t>
      </w:r>
      <w:r>
        <w:rPr>
          <w:color w:val="231F20"/>
        </w:rPr>
        <w:t>el Reglamento de la </w:t>
      </w:r>
      <w:r>
        <w:rPr>
          <w:i/>
          <w:color w:val="231F20"/>
        </w:rPr>
        <w:t>Ley de Migración</w:t>
      </w:r>
      <w:r>
        <w:rPr>
          <w:color w:val="231F20"/>
        </w:rPr>
        <w:t>. Este Reglamento</w:t>
      </w:r>
      <w:r>
        <w:rPr>
          <w:color w:val="231F20"/>
          <w:spacing w:val="26"/>
        </w:rPr>
        <w:t> </w:t>
      </w:r>
      <w:r>
        <w:rPr>
          <w:color w:val="231F20"/>
        </w:rPr>
        <w:t>generó</w:t>
      </w:r>
      <w:r>
        <w:rPr>
          <w:color w:val="231F20"/>
          <w:spacing w:val="7"/>
        </w:rPr>
        <w:t> </w:t>
      </w:r>
      <w:r>
        <w:rPr>
          <w:color w:val="231F20"/>
        </w:rPr>
        <w:t>en su momento polémica porque no fue publicado en el plazo</w:t>
      </w:r>
      <w:r>
        <w:rPr>
          <w:color w:val="231F20"/>
          <w:spacing w:val="-31"/>
        </w:rPr>
        <w:t> </w:t>
      </w:r>
      <w:r>
        <w:rPr>
          <w:color w:val="231F20"/>
        </w:rPr>
        <w:t>establecido</w:t>
      </w:r>
      <w:r>
        <w:rPr>
          <w:color w:val="231F20"/>
          <w:spacing w:val="-4"/>
        </w:rPr>
        <w:t> </w:t>
      </w:r>
      <w:r>
        <w:rPr>
          <w:color w:val="231F20"/>
        </w:rPr>
        <w:t>por la</w:t>
      </w:r>
      <w:r>
        <w:rPr>
          <w:color w:val="231F20"/>
          <w:spacing w:val="-9"/>
        </w:rPr>
        <w:t> </w:t>
      </w:r>
      <w:r>
        <w:rPr>
          <w:color w:val="231F20"/>
          <w:spacing w:val="-4"/>
        </w:rPr>
        <w:t>ley,</w:t>
      </w:r>
      <w:r>
        <w:rPr>
          <w:color w:val="231F20"/>
          <w:spacing w:val="-9"/>
        </w:rPr>
        <w:t> </w:t>
      </w:r>
      <w:r>
        <w:rPr>
          <w:color w:val="231F20"/>
        </w:rPr>
        <w:t>es</w:t>
      </w:r>
      <w:r>
        <w:rPr>
          <w:color w:val="231F20"/>
          <w:spacing w:val="-9"/>
        </w:rPr>
        <w:t> </w:t>
      </w:r>
      <w:r>
        <w:rPr>
          <w:color w:val="231F20"/>
        </w:rPr>
        <w:t>decir,</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180</w:t>
      </w:r>
      <w:r>
        <w:rPr>
          <w:color w:val="231F20"/>
          <w:spacing w:val="-9"/>
        </w:rPr>
        <w:t> </w:t>
      </w:r>
      <w:r>
        <w:rPr>
          <w:color w:val="231F20"/>
        </w:rPr>
        <w:t>días</w:t>
      </w:r>
      <w:r>
        <w:rPr>
          <w:color w:val="231F20"/>
          <w:spacing w:val="-9"/>
        </w:rPr>
        <w:t> </w:t>
      </w:r>
      <w:r>
        <w:rPr>
          <w:color w:val="231F20"/>
        </w:rPr>
        <w:t>siguientes</w:t>
      </w:r>
      <w:r>
        <w:rPr>
          <w:color w:val="231F20"/>
          <w:spacing w:val="-8"/>
        </w:rPr>
        <w:t> </w:t>
      </w:r>
      <w:r>
        <w:rPr>
          <w:color w:val="231F20"/>
        </w:rPr>
        <w:t>de</w:t>
      </w:r>
      <w:r>
        <w:rPr>
          <w:color w:val="231F20"/>
          <w:spacing w:val="-9"/>
        </w:rPr>
        <w:t> </w:t>
      </w:r>
      <w:r>
        <w:rPr>
          <w:color w:val="231F20"/>
        </w:rPr>
        <w:t>la</w:t>
      </w:r>
      <w:r>
        <w:rPr>
          <w:color w:val="231F20"/>
          <w:spacing w:val="-9"/>
        </w:rPr>
        <w:t> </w:t>
      </w:r>
      <w:r>
        <w:rPr>
          <w:color w:val="231F20"/>
        </w:rPr>
        <w:t>promulgación</w:t>
      </w:r>
      <w:r>
        <w:rPr>
          <w:color w:val="231F20"/>
          <w:spacing w:val="-9"/>
        </w:rPr>
        <w:t> </w:t>
      </w:r>
      <w:r>
        <w:rPr>
          <w:color w:val="231F20"/>
        </w:rPr>
        <w:t>de</w:t>
      </w:r>
      <w:r>
        <w:rPr>
          <w:color w:val="231F20"/>
          <w:spacing w:val="-9"/>
        </w:rPr>
        <w:t> </w:t>
      </w:r>
      <w:r>
        <w:rPr>
          <w:color w:val="231F20"/>
        </w:rPr>
        <w:t>ésta,</w:t>
      </w:r>
      <w:r>
        <w:rPr>
          <w:color w:val="231F20"/>
          <w:spacing w:val="-9"/>
        </w:rPr>
        <w:t> </w:t>
      </w:r>
      <w:r>
        <w:rPr>
          <w:color w:val="231F20"/>
        </w:rPr>
        <w:t>lo</w:t>
      </w:r>
      <w:r>
        <w:rPr>
          <w:color w:val="231F20"/>
          <w:spacing w:val="-9"/>
        </w:rPr>
        <w:t> </w:t>
      </w:r>
      <w:r>
        <w:rPr>
          <w:color w:val="231F20"/>
        </w:rPr>
        <w:t>cual derivó</w:t>
      </w:r>
      <w:r>
        <w:rPr>
          <w:color w:val="231F20"/>
          <w:spacing w:val="-13"/>
        </w:rPr>
        <w:t> </w:t>
      </w:r>
      <w:r>
        <w:rPr>
          <w:color w:val="231F20"/>
        </w:rPr>
        <w:t>en</w:t>
      </w:r>
      <w:r>
        <w:rPr>
          <w:color w:val="231F20"/>
          <w:spacing w:val="-12"/>
        </w:rPr>
        <w:t> </w:t>
      </w:r>
      <w:r>
        <w:rPr>
          <w:color w:val="231F20"/>
        </w:rPr>
        <w:t>presiones</w:t>
      </w:r>
      <w:r>
        <w:rPr>
          <w:color w:val="231F20"/>
          <w:spacing w:val="-12"/>
        </w:rPr>
        <w:t> </w:t>
      </w:r>
      <w:r>
        <w:rPr>
          <w:color w:val="231F20"/>
        </w:rPr>
        <w:t>por</w:t>
      </w:r>
      <w:r>
        <w:rPr>
          <w:color w:val="231F20"/>
          <w:spacing w:val="-12"/>
        </w:rPr>
        <w:t> </w:t>
      </w:r>
      <w:r>
        <w:rPr>
          <w:color w:val="231F20"/>
        </w:rPr>
        <w:t>parte</w:t>
      </w:r>
      <w:r>
        <w:rPr>
          <w:color w:val="231F20"/>
          <w:spacing w:val="-13"/>
        </w:rPr>
        <w:t> </w:t>
      </w:r>
      <w:r>
        <w:rPr>
          <w:color w:val="231F20"/>
        </w:rPr>
        <w:t>de</w:t>
      </w:r>
      <w:r>
        <w:rPr>
          <w:color w:val="231F20"/>
          <w:spacing w:val="-12"/>
        </w:rPr>
        <w:t> </w:t>
      </w:r>
      <w:r>
        <w:rPr>
          <w:color w:val="231F20"/>
        </w:rPr>
        <w:t>las</w:t>
      </w:r>
      <w:r>
        <w:rPr>
          <w:color w:val="231F20"/>
          <w:spacing w:val="-12"/>
        </w:rPr>
        <w:t> </w:t>
      </w:r>
      <w:r>
        <w:rPr>
          <w:color w:val="231F20"/>
        </w:rPr>
        <w:t>organizaciones</w:t>
      </w:r>
      <w:r>
        <w:rPr>
          <w:color w:val="231F20"/>
          <w:spacing w:val="-13"/>
        </w:rPr>
        <w:t> </w:t>
      </w:r>
      <w:r>
        <w:rPr>
          <w:color w:val="231F20"/>
        </w:rPr>
        <w:t>civiles</w:t>
      </w:r>
      <w:r>
        <w:rPr>
          <w:color w:val="231F20"/>
          <w:spacing w:val="-13"/>
        </w:rPr>
        <w:t> </w:t>
      </w:r>
      <w:r>
        <w:rPr>
          <w:color w:val="231F20"/>
        </w:rPr>
        <w:t>a</w:t>
      </w:r>
      <w:r>
        <w:rPr>
          <w:color w:val="231F20"/>
          <w:spacing w:val="-12"/>
        </w:rPr>
        <w:t> </w:t>
      </w:r>
      <w:r>
        <w:rPr>
          <w:color w:val="231F20"/>
        </w:rPr>
        <w:t>fin</w:t>
      </w:r>
      <w:r>
        <w:rPr>
          <w:color w:val="231F20"/>
          <w:spacing w:val="-12"/>
        </w:rPr>
        <w:t> </w:t>
      </w:r>
      <w:r>
        <w:rPr>
          <w:color w:val="231F20"/>
        </w:rPr>
        <w:t>de</w:t>
      </w:r>
      <w:r>
        <w:rPr>
          <w:color w:val="231F20"/>
          <w:spacing w:val="-12"/>
        </w:rPr>
        <w:t> </w:t>
      </w:r>
      <w:r>
        <w:rPr>
          <w:color w:val="231F20"/>
        </w:rPr>
        <w:t>lograr</w:t>
      </w:r>
      <w:r>
        <w:rPr>
          <w:color w:val="231F20"/>
          <w:spacing w:val="-12"/>
        </w:rPr>
        <w:t> </w:t>
      </w:r>
      <w:r>
        <w:rPr>
          <w:color w:val="231F20"/>
        </w:rPr>
        <w:t>su</w:t>
      </w:r>
      <w:r>
        <w:rPr>
          <w:color w:val="231F20"/>
          <w:w w:val="99"/>
        </w:rPr>
        <w:t> </w:t>
      </w:r>
      <w:r>
        <w:rPr>
          <w:color w:val="231F20"/>
        </w:rPr>
        <w:t>expedición,</w:t>
      </w:r>
      <w:r>
        <w:rPr>
          <w:color w:val="231F20"/>
          <w:spacing w:val="-8"/>
        </w:rPr>
        <w:t> </w:t>
      </w:r>
      <w:r>
        <w:rPr>
          <w:color w:val="231F20"/>
        </w:rPr>
        <w:t>plazo</w:t>
      </w:r>
      <w:r>
        <w:rPr>
          <w:color w:val="231F20"/>
          <w:spacing w:val="-7"/>
        </w:rPr>
        <w:t> </w:t>
      </w:r>
      <w:r>
        <w:rPr>
          <w:color w:val="231F20"/>
        </w:rPr>
        <w:t>que</w:t>
      </w:r>
      <w:r>
        <w:rPr>
          <w:color w:val="231F20"/>
          <w:spacing w:val="-7"/>
        </w:rPr>
        <w:t> </w:t>
      </w:r>
      <w:r>
        <w:rPr>
          <w:color w:val="231F20"/>
        </w:rPr>
        <w:t>como</w:t>
      </w:r>
      <w:r>
        <w:rPr>
          <w:color w:val="231F20"/>
          <w:spacing w:val="-7"/>
        </w:rPr>
        <w:t> </w:t>
      </w:r>
      <w:r>
        <w:rPr>
          <w:color w:val="231F20"/>
        </w:rPr>
        <w:t>ya</w:t>
      </w:r>
      <w:r>
        <w:rPr>
          <w:color w:val="231F20"/>
          <w:spacing w:val="-7"/>
        </w:rPr>
        <w:t> </w:t>
      </w:r>
      <w:r>
        <w:rPr>
          <w:color w:val="231F20"/>
        </w:rPr>
        <w:t>citamos</w:t>
      </w:r>
      <w:r>
        <w:rPr>
          <w:color w:val="231F20"/>
          <w:spacing w:val="-7"/>
        </w:rPr>
        <w:t> </w:t>
      </w:r>
      <w:r>
        <w:rPr>
          <w:color w:val="231F20"/>
        </w:rPr>
        <w:t>se</w:t>
      </w:r>
      <w:r>
        <w:rPr>
          <w:color w:val="231F20"/>
          <w:spacing w:val="-7"/>
        </w:rPr>
        <w:t> </w:t>
      </w:r>
      <w:r>
        <w:rPr>
          <w:color w:val="231F20"/>
        </w:rPr>
        <w:t>cumplió</w:t>
      </w:r>
      <w:r>
        <w:rPr>
          <w:color w:val="231F20"/>
          <w:spacing w:val="-7"/>
        </w:rPr>
        <w:t> </w:t>
      </w:r>
      <w:r>
        <w:rPr>
          <w:color w:val="231F20"/>
        </w:rPr>
        <w:t>en</w:t>
      </w:r>
      <w:r>
        <w:rPr>
          <w:color w:val="231F20"/>
          <w:spacing w:val="-7"/>
        </w:rPr>
        <w:t> </w:t>
      </w:r>
      <w:r>
        <w:rPr>
          <w:color w:val="231F20"/>
        </w:rPr>
        <w:t>septiembre</w:t>
      </w:r>
      <w:r>
        <w:rPr>
          <w:color w:val="231F20"/>
          <w:spacing w:val="-6"/>
        </w:rPr>
        <w:t> </w:t>
      </w:r>
      <w:r>
        <w:rPr>
          <w:color w:val="231F20"/>
        </w:rPr>
        <w:t>de</w:t>
      </w:r>
      <w:r>
        <w:rPr>
          <w:color w:val="231F20"/>
          <w:spacing w:val="-7"/>
        </w:rPr>
        <w:t> </w:t>
      </w:r>
      <w:r>
        <w:rPr>
          <w:color w:val="231F20"/>
        </w:rPr>
        <w:t>2012. El</w:t>
      </w:r>
      <w:r>
        <w:rPr>
          <w:color w:val="231F20"/>
          <w:spacing w:val="-14"/>
        </w:rPr>
        <w:t> </w:t>
      </w:r>
      <w:r>
        <w:rPr>
          <w:color w:val="231F20"/>
        </w:rPr>
        <w:t>Reglamento</w:t>
      </w:r>
      <w:r>
        <w:rPr>
          <w:color w:val="231F20"/>
          <w:spacing w:val="-14"/>
        </w:rPr>
        <w:t> </w:t>
      </w:r>
      <w:r>
        <w:rPr>
          <w:color w:val="231F20"/>
        </w:rPr>
        <w:t>de</w:t>
      </w:r>
      <w:r>
        <w:rPr>
          <w:color w:val="231F20"/>
          <w:spacing w:val="-14"/>
        </w:rPr>
        <w:t> </w:t>
      </w:r>
      <w:r>
        <w:rPr>
          <w:color w:val="231F20"/>
        </w:rPr>
        <w:t>la</w:t>
      </w:r>
      <w:r>
        <w:rPr>
          <w:color w:val="231F20"/>
          <w:spacing w:val="-15"/>
        </w:rPr>
        <w:t> </w:t>
      </w:r>
      <w:r>
        <w:rPr>
          <w:color w:val="231F20"/>
        </w:rPr>
        <w:t>LM</w:t>
      </w:r>
      <w:r>
        <w:rPr>
          <w:color w:val="231F20"/>
          <w:spacing w:val="-14"/>
        </w:rPr>
        <w:t> </w:t>
      </w:r>
      <w:r>
        <w:rPr>
          <w:color w:val="231F20"/>
        </w:rPr>
        <w:t>es</w:t>
      </w:r>
      <w:r>
        <w:rPr>
          <w:color w:val="231F20"/>
          <w:spacing w:val="-15"/>
        </w:rPr>
        <w:t> </w:t>
      </w:r>
      <w:r>
        <w:rPr>
          <w:color w:val="231F20"/>
        </w:rPr>
        <w:t>una</w:t>
      </w:r>
      <w:r>
        <w:rPr>
          <w:color w:val="231F20"/>
          <w:spacing w:val="-14"/>
        </w:rPr>
        <w:t> </w:t>
      </w:r>
      <w:r>
        <w:rPr>
          <w:color w:val="231F20"/>
        </w:rPr>
        <w:t>disposición</w:t>
      </w:r>
      <w:r>
        <w:rPr>
          <w:color w:val="231F20"/>
          <w:spacing w:val="-14"/>
        </w:rPr>
        <w:t> </w:t>
      </w:r>
      <w:r>
        <w:rPr>
          <w:color w:val="231F20"/>
        </w:rPr>
        <w:t>de</w:t>
      </w:r>
      <w:r>
        <w:rPr>
          <w:color w:val="231F20"/>
          <w:spacing w:val="-14"/>
        </w:rPr>
        <w:t> </w:t>
      </w:r>
      <w:r>
        <w:rPr>
          <w:color w:val="231F20"/>
        </w:rPr>
        <w:t>orden</w:t>
      </w:r>
      <w:r>
        <w:rPr>
          <w:color w:val="231F20"/>
          <w:spacing w:val="-14"/>
        </w:rPr>
        <w:t> </w:t>
      </w:r>
      <w:r>
        <w:rPr>
          <w:color w:val="231F20"/>
        </w:rPr>
        <w:t>público</w:t>
      </w:r>
      <w:r>
        <w:rPr>
          <w:color w:val="231F20"/>
          <w:spacing w:val="-14"/>
        </w:rPr>
        <w:t> </w:t>
      </w:r>
      <w:r>
        <w:rPr>
          <w:color w:val="231F20"/>
        </w:rPr>
        <w:t>y</w:t>
      </w:r>
      <w:r>
        <w:rPr>
          <w:color w:val="231F20"/>
          <w:spacing w:val="-14"/>
        </w:rPr>
        <w:t> </w:t>
      </w:r>
      <w:r>
        <w:rPr>
          <w:color w:val="231F20"/>
        </w:rPr>
        <w:t>de</w:t>
      </w:r>
      <w:r>
        <w:rPr>
          <w:color w:val="231F20"/>
          <w:spacing w:val="-14"/>
        </w:rPr>
        <w:t> </w:t>
      </w:r>
      <w:r>
        <w:rPr>
          <w:color w:val="231F20"/>
        </w:rPr>
        <w:t>obser- vancia</w:t>
      </w:r>
      <w:r>
        <w:rPr>
          <w:color w:val="231F20"/>
          <w:spacing w:val="-11"/>
        </w:rPr>
        <w:t> </w:t>
      </w:r>
      <w:r>
        <w:rPr>
          <w:color w:val="231F20"/>
        </w:rPr>
        <w:t>general.</w:t>
      </w:r>
      <w:r>
        <w:rPr>
          <w:color w:val="231F20"/>
          <w:spacing w:val="-11"/>
        </w:rPr>
        <w:t> </w:t>
      </w:r>
      <w:r>
        <w:rPr>
          <w:color w:val="231F20"/>
        </w:rPr>
        <w:t>Su</w:t>
      </w:r>
      <w:r>
        <w:rPr>
          <w:color w:val="231F20"/>
          <w:spacing w:val="-10"/>
        </w:rPr>
        <w:t> </w:t>
      </w:r>
      <w:r>
        <w:rPr>
          <w:color w:val="231F20"/>
        </w:rPr>
        <w:t>objeto</w:t>
      </w:r>
      <w:r>
        <w:rPr>
          <w:color w:val="231F20"/>
          <w:spacing w:val="-11"/>
        </w:rPr>
        <w:t> </w:t>
      </w:r>
      <w:r>
        <w:rPr>
          <w:color w:val="231F20"/>
        </w:rPr>
        <w:t>es</w:t>
      </w:r>
      <w:r>
        <w:rPr>
          <w:color w:val="231F20"/>
          <w:spacing w:val="-11"/>
        </w:rPr>
        <w:t> </w:t>
      </w:r>
      <w:r>
        <w:rPr>
          <w:color w:val="231F20"/>
        </w:rPr>
        <w:t>regular</w:t>
      </w:r>
      <w:r>
        <w:rPr>
          <w:color w:val="231F20"/>
          <w:spacing w:val="-10"/>
        </w:rPr>
        <w:t> </w:t>
      </w:r>
      <w:r>
        <w:rPr>
          <w:color w:val="231F20"/>
        </w:rPr>
        <w:t>lo</w:t>
      </w:r>
      <w:r>
        <w:rPr>
          <w:color w:val="231F20"/>
          <w:spacing w:val="-11"/>
        </w:rPr>
        <w:t> </w:t>
      </w:r>
      <w:r>
        <w:rPr>
          <w:color w:val="231F20"/>
        </w:rPr>
        <w:t>relativo</w:t>
      </w:r>
      <w:r>
        <w:rPr>
          <w:color w:val="231F20"/>
          <w:spacing w:val="-11"/>
        </w:rPr>
        <w:t> </w:t>
      </w:r>
      <w:r>
        <w:rPr>
          <w:color w:val="231F20"/>
        </w:rPr>
        <w:t>a</w:t>
      </w:r>
      <w:r>
        <w:rPr>
          <w:color w:val="231F20"/>
          <w:spacing w:val="-10"/>
        </w:rPr>
        <w:t> </w:t>
      </w:r>
      <w:r>
        <w:rPr>
          <w:color w:val="231F20"/>
        </w:rPr>
        <w:t>la</w:t>
      </w:r>
      <w:r>
        <w:rPr>
          <w:color w:val="231F20"/>
          <w:spacing w:val="-11"/>
        </w:rPr>
        <w:t> </w:t>
      </w:r>
      <w:r>
        <w:rPr>
          <w:color w:val="231F20"/>
        </w:rPr>
        <w:t>formulación</w:t>
      </w:r>
      <w:r>
        <w:rPr>
          <w:color w:val="231F20"/>
          <w:spacing w:val="-11"/>
        </w:rPr>
        <w:t> </w:t>
      </w:r>
      <w:r>
        <w:rPr>
          <w:color w:val="231F20"/>
        </w:rPr>
        <w:t>y</w:t>
      </w:r>
      <w:r>
        <w:rPr>
          <w:color w:val="231F20"/>
          <w:spacing w:val="-11"/>
        </w:rPr>
        <w:t> </w:t>
      </w:r>
      <w:r>
        <w:rPr>
          <w:color w:val="231F20"/>
        </w:rPr>
        <w:t>dirección de</w:t>
      </w:r>
      <w:r>
        <w:rPr>
          <w:color w:val="231F20"/>
          <w:spacing w:val="-6"/>
        </w:rPr>
        <w:t> </w:t>
      </w:r>
      <w:r>
        <w:rPr>
          <w:color w:val="231F20"/>
        </w:rPr>
        <w:t>la</w:t>
      </w:r>
      <w:r>
        <w:rPr>
          <w:color w:val="231F20"/>
          <w:spacing w:val="-6"/>
        </w:rPr>
        <w:t> </w:t>
      </w:r>
      <w:r>
        <w:rPr>
          <w:color w:val="231F20"/>
        </w:rPr>
        <w:t>política</w:t>
      </w:r>
      <w:r>
        <w:rPr>
          <w:color w:val="231F20"/>
          <w:spacing w:val="-6"/>
        </w:rPr>
        <w:t> </w:t>
      </w:r>
      <w:r>
        <w:rPr>
          <w:color w:val="231F20"/>
        </w:rPr>
        <w:t>migratoria,</w:t>
      </w:r>
      <w:r>
        <w:rPr>
          <w:color w:val="231F20"/>
          <w:spacing w:val="-6"/>
        </w:rPr>
        <w:t> </w:t>
      </w:r>
      <w:r>
        <w:rPr>
          <w:color w:val="231F20"/>
        </w:rPr>
        <w:t>los</w:t>
      </w:r>
      <w:r>
        <w:rPr>
          <w:color w:val="231F20"/>
          <w:spacing w:val="-6"/>
        </w:rPr>
        <w:t> </w:t>
      </w:r>
      <w:r>
        <w:rPr>
          <w:color w:val="231F20"/>
        </w:rPr>
        <w:t>procesos</w:t>
      </w:r>
      <w:r>
        <w:rPr>
          <w:color w:val="231F20"/>
          <w:spacing w:val="-6"/>
        </w:rPr>
        <w:t> </w:t>
      </w:r>
      <w:r>
        <w:rPr>
          <w:color w:val="231F20"/>
        </w:rPr>
        <w:t>de</w:t>
      </w:r>
      <w:r>
        <w:rPr>
          <w:color w:val="231F20"/>
          <w:spacing w:val="-6"/>
        </w:rPr>
        <w:t> </w:t>
      </w:r>
      <w:r>
        <w:rPr>
          <w:color w:val="231F20"/>
        </w:rPr>
        <w:t>certificación</w:t>
      </w:r>
      <w:r>
        <w:rPr>
          <w:color w:val="231F20"/>
          <w:spacing w:val="-6"/>
        </w:rPr>
        <w:t> </w:t>
      </w:r>
      <w:r>
        <w:rPr>
          <w:color w:val="231F20"/>
        </w:rPr>
        <w:t>y</w:t>
      </w:r>
      <w:r>
        <w:rPr>
          <w:color w:val="231F20"/>
          <w:spacing w:val="-6"/>
        </w:rPr>
        <w:t> </w:t>
      </w:r>
      <w:r>
        <w:rPr>
          <w:color w:val="231F20"/>
        </w:rPr>
        <w:t>profesionalización</w:t>
      </w:r>
      <w:r>
        <w:rPr>
          <w:color w:val="231F20"/>
          <w:w w:val="100"/>
        </w:rPr>
        <w:t> </w:t>
      </w:r>
      <w:r>
        <w:rPr>
          <w:color w:val="231F20"/>
        </w:rPr>
        <w:t>de</w:t>
      </w:r>
      <w:r>
        <w:rPr>
          <w:color w:val="231F20"/>
          <w:spacing w:val="-8"/>
        </w:rPr>
        <w:t> </w:t>
      </w:r>
      <w:r>
        <w:rPr>
          <w:color w:val="231F20"/>
        </w:rPr>
        <w:t>los</w:t>
      </w:r>
      <w:r>
        <w:rPr>
          <w:color w:val="231F20"/>
          <w:spacing w:val="-8"/>
        </w:rPr>
        <w:t> </w:t>
      </w:r>
      <w:r>
        <w:rPr>
          <w:color w:val="231F20"/>
        </w:rPr>
        <w:t>servidores</w:t>
      </w:r>
      <w:r>
        <w:rPr>
          <w:color w:val="231F20"/>
          <w:spacing w:val="-8"/>
        </w:rPr>
        <w:t> </w:t>
      </w:r>
      <w:r>
        <w:rPr>
          <w:color w:val="231F20"/>
        </w:rPr>
        <w:t>públicos</w:t>
      </w:r>
      <w:r>
        <w:rPr>
          <w:color w:val="231F20"/>
          <w:spacing w:val="-8"/>
        </w:rPr>
        <w:t> </w:t>
      </w:r>
      <w:r>
        <w:rPr>
          <w:color w:val="231F20"/>
        </w:rPr>
        <w:t>del</w:t>
      </w:r>
      <w:r>
        <w:rPr>
          <w:color w:val="231F20"/>
          <w:spacing w:val="-8"/>
        </w:rPr>
        <w:t> </w:t>
      </w:r>
      <w:r>
        <w:rPr>
          <w:color w:val="231F20"/>
        </w:rPr>
        <w:t>INAMI,</w:t>
      </w:r>
      <w:r>
        <w:rPr>
          <w:color w:val="231F20"/>
          <w:spacing w:val="-8"/>
        </w:rPr>
        <w:t> </w:t>
      </w:r>
      <w:r>
        <w:rPr>
          <w:color w:val="231F20"/>
        </w:rPr>
        <w:t>el</w:t>
      </w:r>
      <w:r>
        <w:rPr>
          <w:color w:val="231F20"/>
          <w:spacing w:val="-8"/>
        </w:rPr>
        <w:t> </w:t>
      </w:r>
      <w:r>
        <w:rPr>
          <w:color w:val="231F20"/>
        </w:rPr>
        <w:t>movimiento</w:t>
      </w:r>
      <w:r>
        <w:rPr>
          <w:color w:val="231F20"/>
          <w:spacing w:val="-9"/>
        </w:rPr>
        <w:t> </w:t>
      </w:r>
      <w:r>
        <w:rPr>
          <w:color w:val="231F20"/>
        </w:rPr>
        <w:t>internacional</w:t>
      </w:r>
      <w:r>
        <w:rPr>
          <w:color w:val="231F20"/>
          <w:spacing w:val="-9"/>
        </w:rPr>
        <w:t> </w:t>
      </w:r>
      <w:r>
        <w:rPr>
          <w:color w:val="231F20"/>
        </w:rPr>
        <w:t>de</w:t>
      </w:r>
      <w:r>
        <w:rPr>
          <w:color w:val="231F20"/>
          <w:spacing w:val="-8"/>
        </w:rPr>
        <w:t> </w:t>
      </w:r>
      <w:r>
        <w:rPr>
          <w:color w:val="231F20"/>
        </w:rPr>
        <w:t>per- sonas,</w:t>
      </w:r>
      <w:r>
        <w:rPr>
          <w:color w:val="231F20"/>
          <w:spacing w:val="22"/>
        </w:rPr>
        <w:t> </w:t>
      </w:r>
      <w:r>
        <w:rPr>
          <w:color w:val="231F20"/>
        </w:rPr>
        <w:t>los</w:t>
      </w:r>
      <w:r>
        <w:rPr>
          <w:color w:val="231F20"/>
          <w:spacing w:val="22"/>
        </w:rPr>
        <w:t> </w:t>
      </w:r>
      <w:r>
        <w:rPr>
          <w:color w:val="231F20"/>
        </w:rPr>
        <w:t>criterios</w:t>
      </w:r>
      <w:r>
        <w:rPr>
          <w:color w:val="231F20"/>
          <w:spacing w:val="22"/>
        </w:rPr>
        <w:t> </w:t>
      </w:r>
      <w:r>
        <w:rPr>
          <w:color w:val="231F20"/>
        </w:rPr>
        <w:t>y</w:t>
      </w:r>
      <w:r>
        <w:rPr>
          <w:color w:val="231F20"/>
          <w:spacing w:val="22"/>
        </w:rPr>
        <w:t> </w:t>
      </w:r>
      <w:r>
        <w:rPr>
          <w:color w:val="231F20"/>
        </w:rPr>
        <w:t>requisitos</w:t>
      </w:r>
      <w:r>
        <w:rPr>
          <w:color w:val="231F20"/>
          <w:spacing w:val="22"/>
        </w:rPr>
        <w:t> </w:t>
      </w:r>
      <w:r>
        <w:rPr>
          <w:color w:val="231F20"/>
        </w:rPr>
        <w:t>para</w:t>
      </w:r>
      <w:r>
        <w:rPr>
          <w:color w:val="231F20"/>
          <w:spacing w:val="22"/>
        </w:rPr>
        <w:t> </w:t>
      </w:r>
      <w:r>
        <w:rPr>
          <w:color w:val="231F20"/>
        </w:rPr>
        <w:t>la</w:t>
      </w:r>
      <w:r>
        <w:rPr>
          <w:color w:val="231F20"/>
          <w:spacing w:val="22"/>
        </w:rPr>
        <w:t> </w:t>
      </w:r>
      <w:r>
        <w:rPr>
          <w:color w:val="231F20"/>
        </w:rPr>
        <w:t>expedición</w:t>
      </w:r>
      <w:r>
        <w:rPr>
          <w:color w:val="231F20"/>
          <w:spacing w:val="22"/>
        </w:rPr>
        <w:t> </w:t>
      </w:r>
      <w:r>
        <w:rPr>
          <w:color w:val="231F20"/>
        </w:rPr>
        <w:t>de</w:t>
      </w:r>
      <w:r>
        <w:rPr>
          <w:color w:val="231F20"/>
          <w:spacing w:val="22"/>
        </w:rPr>
        <w:t> </w:t>
      </w:r>
      <w:r>
        <w:rPr>
          <w:color w:val="231F20"/>
        </w:rPr>
        <w:t>visas,</w:t>
      </w:r>
      <w:r>
        <w:rPr>
          <w:color w:val="231F20"/>
          <w:spacing w:val="22"/>
        </w:rPr>
        <w:t> </w:t>
      </w:r>
      <w:r>
        <w:rPr>
          <w:color w:val="231F20"/>
        </w:rPr>
        <w:t>la</w:t>
      </w:r>
      <w:r>
        <w:rPr>
          <w:color w:val="231F20"/>
          <w:spacing w:val="22"/>
        </w:rPr>
        <w:t> </w:t>
      </w:r>
      <w:r>
        <w:rPr>
          <w:color w:val="231F20"/>
        </w:rPr>
        <w:t>situación</w:t>
      </w:r>
      <w:r>
        <w:rPr>
          <w:color w:val="231F20"/>
          <w:spacing w:val="-1"/>
        </w:rPr>
        <w:t> </w:t>
      </w:r>
      <w:r>
        <w:rPr>
          <w:color w:val="231F20"/>
        </w:rPr>
        <w:t>migratoria de los extranjeros en el territorio nacional, la protección</w:t>
      </w:r>
      <w:r>
        <w:rPr>
          <w:color w:val="231F20"/>
          <w:spacing w:val="34"/>
        </w:rPr>
        <w:t> </w:t>
      </w:r>
      <w:r>
        <w:rPr>
          <w:color w:val="231F20"/>
        </w:rPr>
        <w:t>a</w:t>
      </w:r>
      <w:r>
        <w:rPr>
          <w:color w:val="231F20"/>
          <w:spacing w:val="15"/>
        </w:rPr>
        <w:t> </w:t>
      </w:r>
      <w:r>
        <w:rPr>
          <w:color w:val="231F20"/>
        </w:rPr>
        <w:t>los migrantes que transitan por el territorio nacional, el</w:t>
      </w:r>
      <w:r>
        <w:rPr>
          <w:color w:val="231F20"/>
          <w:spacing w:val="31"/>
        </w:rPr>
        <w:t> </w:t>
      </w:r>
      <w:r>
        <w:rPr>
          <w:color w:val="231F20"/>
        </w:rPr>
        <w:t>procedimiento</w:t>
      </w:r>
      <w:r>
        <w:rPr>
          <w:color w:val="231F20"/>
          <w:spacing w:val="11"/>
        </w:rPr>
        <w:t> </w:t>
      </w:r>
      <w:r>
        <w:rPr>
          <w:color w:val="231F20"/>
        </w:rPr>
        <w:t>admi- nistrativo migratorio en las materias de regulación, control y </w:t>
      </w:r>
      <w:r>
        <w:rPr>
          <w:color w:val="231F20"/>
          <w:spacing w:val="32"/>
        </w:rPr>
        <w:t> </w:t>
      </w:r>
      <w:r>
        <w:rPr>
          <w:color w:val="231F20"/>
        </w:rPr>
        <w:t>verificación</w:t>
      </w:r>
    </w:p>
    <w:p>
      <w:pPr>
        <w:pStyle w:val="BodyText"/>
        <w:spacing w:line="253" w:lineRule="exact"/>
        <w:ind w:left="117"/>
        <w:jc w:val="both"/>
        <w:rPr>
          <w:sz w:val="13"/>
        </w:rPr>
      </w:pPr>
      <w:r>
        <w:rPr>
          <w:color w:val="231F20"/>
        </w:rPr>
        <w:t>migratoria y el retorno asistido de personas extranjeras.</w:t>
      </w:r>
      <w:r>
        <w:rPr>
          <w:color w:val="231F20"/>
          <w:position w:val="7"/>
          <w:sz w:val="13"/>
        </w:rPr>
        <w:t>28</w:t>
      </w:r>
    </w:p>
    <w:p>
      <w:pPr>
        <w:pStyle w:val="BodyText"/>
        <w:spacing w:line="247" w:lineRule="auto" w:before="7"/>
        <w:ind w:left="117" w:right="115" w:firstLine="283"/>
        <w:jc w:val="both"/>
      </w:pPr>
      <w:r>
        <w:rPr/>
        <w:pict>
          <v:line style="position:absolute;mso-position-horizontal-relative:page;mso-position-vertical-relative:paragraph;z-index:8536;mso-wrap-distance-left:0;mso-wrap-distance-right:0" from="70.866096pt,123.320938pt" to="142.866096pt,123.320938pt" stroked="true" strokeweight=".75pt" strokecolor="#231f20">
            <w10:wrap type="topAndBottom"/>
          </v:line>
        </w:pict>
      </w:r>
      <w:r>
        <w:rPr>
          <w:color w:val="231F20"/>
        </w:rPr>
        <w:t>Resulta relevante el Titulo Segundo, Capítulo Primero, titulado: “De</w:t>
      </w:r>
      <w:r>
        <w:rPr>
          <w:color w:val="231F20"/>
          <w:spacing w:val="-21"/>
        </w:rPr>
        <w:t> </w:t>
      </w:r>
      <w:r>
        <w:rPr>
          <w:color w:val="231F20"/>
        </w:rPr>
        <w:t>la Formulación de la Política Migratoria”, ello se debe a que la disposición establece las bases para tener una política migratoria sólida que no sea moda de un sexenio, sino al contrario que esté basada en las realidades enfrentadas por los actores inmersos en los flujos migratorios permita el respeto irrestricto a los derechos humanos de los migrantes. Su formu- lación tendrá el apoyo de los poderes de la Unión, estados, municipios, Distrito Dederal, académicos y sociedad civil. La incursión de estos dos últimos sectores en la formulación de la política migratoria mexicana   </w:t>
      </w:r>
      <w:r>
        <w:rPr>
          <w:color w:val="231F20"/>
          <w:spacing w:val="12"/>
        </w:rPr>
        <w:t> </w:t>
      </w:r>
      <w:r>
        <w:rPr>
          <w:color w:val="231F20"/>
        </w:rPr>
        <w:t>es</w:t>
      </w:r>
    </w:p>
    <w:p>
      <w:pPr>
        <w:spacing w:before="0"/>
        <w:ind w:left="117" w:right="0" w:firstLine="0"/>
        <w:jc w:val="both"/>
        <w:rPr>
          <w:sz w:val="17"/>
        </w:rPr>
      </w:pPr>
      <w:r>
        <w:rPr>
          <w:color w:val="231F20"/>
          <w:position w:val="6"/>
          <w:sz w:val="10"/>
        </w:rPr>
        <w:t>28 </w:t>
      </w:r>
      <w:r>
        <w:rPr>
          <w:color w:val="231F20"/>
          <w:sz w:val="17"/>
        </w:rPr>
        <w:t>Artículo 1 del Reglamento de la LM.</w:t>
      </w:r>
    </w:p>
    <w:p>
      <w:pPr>
        <w:spacing w:after="0"/>
        <w:jc w:val="both"/>
        <w:rPr>
          <w:sz w:val="17"/>
        </w:rPr>
        <w:sectPr>
          <w:footerReference w:type="default" r:id="rId240"/>
          <w:pgSz w:w="9360" w:h="13040"/>
          <w:pgMar w:footer="496" w:header="0" w:top="740" w:bottom="680" w:left="1300" w:right="1300"/>
          <w:pgNumType w:start="34"/>
        </w:sectPr>
      </w:pPr>
    </w:p>
    <w:p>
      <w:pPr>
        <w:tabs>
          <w:tab w:pos="5536" w:val="left" w:leader="none"/>
        </w:tabs>
        <w:spacing w:before="51"/>
        <w:ind w:left="117" w:right="117" w:firstLine="11"/>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49"/>
      </w:pPr>
      <w:r>
        <w:rPr>
          <w:color w:val="231F20"/>
        </w:rPr>
        <w:t>novedosa, porque nunca antes se había dado tal apertura en un tema que se consideraba exclusivo del gobierno.</w:t>
      </w:r>
    </w:p>
    <w:p>
      <w:pPr>
        <w:pStyle w:val="BodyText"/>
        <w:spacing w:line="247" w:lineRule="auto"/>
        <w:ind w:left="117" w:right="114" w:firstLine="283"/>
        <w:jc w:val="both"/>
      </w:pPr>
      <w:r>
        <w:rPr>
          <w:color w:val="231F20"/>
        </w:rPr>
        <w:t>Los avances mencionados redundan en la protección de los menores migrantes,</w:t>
      </w:r>
      <w:r>
        <w:rPr>
          <w:color w:val="231F20"/>
          <w:spacing w:val="-4"/>
        </w:rPr>
        <w:t> </w:t>
      </w:r>
      <w:r>
        <w:rPr>
          <w:color w:val="231F20"/>
        </w:rPr>
        <w:t>particularmente</w:t>
      </w:r>
      <w:r>
        <w:rPr>
          <w:color w:val="231F20"/>
          <w:spacing w:val="-3"/>
        </w:rPr>
        <w:t> </w:t>
      </w:r>
      <w:r>
        <w:rPr>
          <w:color w:val="231F20"/>
        </w:rPr>
        <w:t>en</w:t>
      </w:r>
      <w:r>
        <w:rPr>
          <w:color w:val="231F20"/>
          <w:spacing w:val="-3"/>
        </w:rPr>
        <w:t> </w:t>
      </w:r>
      <w:r>
        <w:rPr>
          <w:color w:val="231F20"/>
        </w:rPr>
        <w:t>aquellos</w:t>
      </w:r>
      <w:r>
        <w:rPr>
          <w:color w:val="231F20"/>
          <w:spacing w:val="-4"/>
        </w:rPr>
        <w:t> </w:t>
      </w:r>
      <w:r>
        <w:rPr>
          <w:color w:val="231F20"/>
        </w:rPr>
        <w:t>que</w:t>
      </w:r>
      <w:r>
        <w:rPr>
          <w:color w:val="231F20"/>
          <w:spacing w:val="-3"/>
        </w:rPr>
        <w:t> </w:t>
      </w:r>
      <w:r>
        <w:rPr>
          <w:color w:val="231F20"/>
        </w:rPr>
        <w:t>se</w:t>
      </w:r>
      <w:r>
        <w:rPr>
          <w:color w:val="231F20"/>
          <w:spacing w:val="-3"/>
        </w:rPr>
        <w:t> </w:t>
      </w:r>
      <w:r>
        <w:rPr>
          <w:color w:val="231F20"/>
        </w:rPr>
        <w:t>encuentran</w:t>
      </w:r>
      <w:r>
        <w:rPr>
          <w:color w:val="231F20"/>
          <w:spacing w:val="-4"/>
        </w:rPr>
        <w:t> </w:t>
      </w:r>
      <w:r>
        <w:rPr>
          <w:color w:val="231F20"/>
        </w:rPr>
        <w:t>solos.</w:t>
      </w:r>
      <w:r>
        <w:rPr>
          <w:color w:val="231F20"/>
          <w:spacing w:val="-15"/>
        </w:rPr>
        <w:t> </w:t>
      </w:r>
      <w:r>
        <w:rPr>
          <w:color w:val="231F20"/>
        </w:rPr>
        <w:t>Así</w:t>
      </w:r>
      <w:r>
        <w:rPr>
          <w:color w:val="231F20"/>
          <w:spacing w:val="-3"/>
        </w:rPr>
        <w:t> </w:t>
      </w:r>
      <w:r>
        <w:rPr>
          <w:color w:val="231F20"/>
        </w:rPr>
        <w:t>el</w:t>
      </w:r>
      <w:r>
        <w:rPr>
          <w:color w:val="231F20"/>
          <w:spacing w:val="-3"/>
        </w:rPr>
        <w:t> </w:t>
      </w:r>
      <w:r>
        <w:rPr>
          <w:color w:val="231F20"/>
        </w:rPr>
        <w:t>Re- glamento de la LM contiene diversos artículos aplicables al grupo vulne- rable objeto de nuestro estudio, durante su ingreso, estancia, y salida de México.</w:t>
      </w:r>
      <w:r>
        <w:rPr>
          <w:color w:val="231F20"/>
          <w:spacing w:val="-11"/>
        </w:rPr>
        <w:t> </w:t>
      </w:r>
      <w:r>
        <w:rPr>
          <w:color w:val="231F20"/>
        </w:rPr>
        <w:t>Es</w:t>
      </w:r>
      <w:r>
        <w:rPr>
          <w:color w:val="231F20"/>
          <w:spacing w:val="-11"/>
        </w:rPr>
        <w:t> </w:t>
      </w:r>
      <w:r>
        <w:rPr>
          <w:color w:val="231F20"/>
        </w:rPr>
        <w:t>el</w:t>
      </w:r>
      <w:r>
        <w:rPr>
          <w:color w:val="231F20"/>
          <w:spacing w:val="-11"/>
        </w:rPr>
        <w:t> </w:t>
      </w:r>
      <w:r>
        <w:rPr>
          <w:color w:val="231F20"/>
        </w:rPr>
        <w:t>caso</w:t>
      </w:r>
      <w:r>
        <w:rPr>
          <w:color w:val="231F20"/>
          <w:spacing w:val="-11"/>
        </w:rPr>
        <w:t> </w:t>
      </w:r>
      <w:r>
        <w:rPr>
          <w:color w:val="231F20"/>
        </w:rPr>
        <w:t>del</w:t>
      </w:r>
      <w:r>
        <w:rPr>
          <w:color w:val="231F20"/>
          <w:spacing w:val="-11"/>
        </w:rPr>
        <w:t> </w:t>
      </w:r>
      <w:r>
        <w:rPr>
          <w:color w:val="231F20"/>
        </w:rPr>
        <w:t>artículo</w:t>
      </w:r>
      <w:r>
        <w:rPr>
          <w:color w:val="231F20"/>
          <w:spacing w:val="-12"/>
        </w:rPr>
        <w:t> </w:t>
      </w:r>
      <w:r>
        <w:rPr>
          <w:color w:val="231F20"/>
        </w:rPr>
        <w:t>42</w:t>
      </w:r>
      <w:r>
        <w:rPr>
          <w:color w:val="231F20"/>
          <w:spacing w:val="-11"/>
        </w:rPr>
        <w:t> </w:t>
      </w:r>
      <w:r>
        <w:rPr>
          <w:color w:val="231F20"/>
        </w:rPr>
        <w:t>que</w:t>
      </w:r>
      <w:r>
        <w:rPr>
          <w:color w:val="231F20"/>
          <w:spacing w:val="-11"/>
        </w:rPr>
        <w:t> </w:t>
      </w:r>
      <w:r>
        <w:rPr>
          <w:color w:val="231F20"/>
        </w:rPr>
        <w:t>establece</w:t>
      </w:r>
      <w:r>
        <w:rPr>
          <w:color w:val="231F20"/>
          <w:spacing w:val="-12"/>
        </w:rPr>
        <w:t> </w:t>
      </w:r>
      <w:r>
        <w:rPr>
          <w:color w:val="231F20"/>
        </w:rPr>
        <w:t>las</w:t>
      </w:r>
      <w:r>
        <w:rPr>
          <w:color w:val="231F20"/>
          <w:spacing w:val="-11"/>
        </w:rPr>
        <w:t> </w:t>
      </w:r>
      <w:r>
        <w:rPr>
          <w:color w:val="231F20"/>
        </w:rPr>
        <w:t>obligaciones</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em- presas</w:t>
      </w:r>
      <w:r>
        <w:rPr>
          <w:color w:val="231F20"/>
          <w:spacing w:val="-8"/>
        </w:rPr>
        <w:t> </w:t>
      </w:r>
      <w:r>
        <w:rPr>
          <w:color w:val="231F20"/>
        </w:rPr>
        <w:t>de</w:t>
      </w:r>
      <w:r>
        <w:rPr>
          <w:color w:val="231F20"/>
          <w:spacing w:val="-8"/>
        </w:rPr>
        <w:t> </w:t>
      </w:r>
      <w:r>
        <w:rPr>
          <w:color w:val="231F20"/>
        </w:rPr>
        <w:t>transporte</w:t>
      </w:r>
      <w:r>
        <w:rPr>
          <w:color w:val="231F20"/>
          <w:spacing w:val="-9"/>
        </w:rPr>
        <w:t> </w:t>
      </w:r>
      <w:r>
        <w:rPr>
          <w:color w:val="231F20"/>
        </w:rPr>
        <w:t>internacional</w:t>
      </w:r>
      <w:r>
        <w:rPr>
          <w:color w:val="231F20"/>
          <w:spacing w:val="-9"/>
        </w:rPr>
        <w:t> </w:t>
      </w:r>
      <w:r>
        <w:rPr>
          <w:color w:val="231F20"/>
        </w:rPr>
        <w:t>de</w:t>
      </w:r>
      <w:r>
        <w:rPr>
          <w:color w:val="231F20"/>
          <w:spacing w:val="-8"/>
        </w:rPr>
        <w:t> </w:t>
      </w:r>
      <w:r>
        <w:rPr>
          <w:color w:val="231F20"/>
        </w:rPr>
        <w:t>personas</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relación</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niños</w:t>
      </w:r>
      <w:r>
        <w:rPr>
          <w:color w:val="231F20"/>
          <w:spacing w:val="-8"/>
        </w:rPr>
        <w:t> </w:t>
      </w:r>
      <w:r>
        <w:rPr>
          <w:color w:val="231F20"/>
        </w:rPr>
        <w:t>y adolescentes deben de abstenerse de transportarlos cuando pretendan salir del país, sin que previamente comprueben que cuentan con el pasaporte o documento de identidad y viaje válido y que viajan en compañía de quien ejerce la patria potestad o</w:t>
      </w:r>
      <w:r>
        <w:rPr>
          <w:color w:val="231F20"/>
          <w:spacing w:val="-1"/>
        </w:rPr>
        <w:t> </w:t>
      </w:r>
      <w:r>
        <w:rPr>
          <w:color w:val="231F20"/>
        </w:rPr>
        <w:t>tutela.</w:t>
      </w:r>
    </w:p>
    <w:p>
      <w:pPr>
        <w:pStyle w:val="BodyText"/>
        <w:spacing w:line="247" w:lineRule="auto"/>
        <w:ind w:left="117" w:right="115" w:firstLine="283"/>
        <w:jc w:val="both"/>
      </w:pPr>
      <w:r>
        <w:rPr>
          <w:color w:val="231F20"/>
        </w:rPr>
        <w:t>Cuando los menores, bajo tutela jurídica, viajen acompañados de un tercero mayor de edad o solos, deberán presentar el documento otorgado ante el fedatario público o autoridad que tenga facultad para ello en el que conste</w:t>
      </w:r>
      <w:r>
        <w:rPr>
          <w:color w:val="231F20"/>
          <w:spacing w:val="-6"/>
        </w:rPr>
        <w:t> </w:t>
      </w:r>
      <w:r>
        <w:rPr>
          <w:color w:val="231F20"/>
        </w:rPr>
        <w:t>la</w:t>
      </w:r>
      <w:r>
        <w:rPr>
          <w:color w:val="231F20"/>
          <w:spacing w:val="-6"/>
        </w:rPr>
        <w:t> </w:t>
      </w:r>
      <w:r>
        <w:rPr>
          <w:color w:val="231F20"/>
        </w:rPr>
        <w:t>autorización</w:t>
      </w:r>
      <w:r>
        <w:rPr>
          <w:color w:val="231F20"/>
          <w:spacing w:val="-7"/>
        </w:rPr>
        <w:t> </w:t>
      </w:r>
      <w:r>
        <w:rPr>
          <w:color w:val="231F20"/>
        </w:rPr>
        <w:t>de</w:t>
      </w:r>
      <w:r>
        <w:rPr>
          <w:color w:val="231F20"/>
          <w:spacing w:val="-6"/>
        </w:rPr>
        <w:t> </w:t>
      </w:r>
      <w:r>
        <w:rPr>
          <w:color w:val="231F20"/>
        </w:rPr>
        <w:t>salida</w:t>
      </w:r>
      <w:r>
        <w:rPr>
          <w:color w:val="231F20"/>
          <w:spacing w:val="-5"/>
        </w:rPr>
        <w:t> </w:t>
      </w:r>
      <w:r>
        <w:rPr>
          <w:color w:val="231F20"/>
        </w:rPr>
        <w:t>del</w:t>
      </w:r>
      <w:r>
        <w:rPr>
          <w:color w:val="231F20"/>
          <w:spacing w:val="-6"/>
        </w:rPr>
        <w:t> </w:t>
      </w:r>
      <w:r>
        <w:rPr>
          <w:color w:val="231F20"/>
        </w:rPr>
        <w:t>territorio</w:t>
      </w:r>
      <w:r>
        <w:rPr>
          <w:color w:val="231F20"/>
          <w:spacing w:val="-7"/>
        </w:rPr>
        <w:t> </w:t>
      </w:r>
      <w:r>
        <w:rPr>
          <w:color w:val="231F20"/>
        </w:rPr>
        <w:t>nacional,</w:t>
      </w:r>
      <w:r>
        <w:rPr>
          <w:color w:val="231F20"/>
          <w:spacing w:val="-6"/>
        </w:rPr>
        <w:t> </w:t>
      </w:r>
      <w:r>
        <w:rPr>
          <w:color w:val="231F20"/>
        </w:rPr>
        <w:t>otorgada</w:t>
      </w:r>
      <w:r>
        <w:rPr>
          <w:color w:val="231F20"/>
          <w:spacing w:val="-6"/>
        </w:rPr>
        <w:t> </w:t>
      </w:r>
      <w:r>
        <w:rPr>
          <w:color w:val="231F20"/>
        </w:rPr>
        <w:t>por</w:t>
      </w:r>
      <w:r>
        <w:rPr>
          <w:color w:val="231F20"/>
          <w:spacing w:val="-6"/>
        </w:rPr>
        <w:t> </w:t>
      </w:r>
      <w:r>
        <w:rPr>
          <w:color w:val="231F20"/>
        </w:rPr>
        <w:t>ambos padres o por quien ejerza la patria potestad. Si el documento es otorgado en el extranjero, deberá ser legalizado o apostillado según se trate, con su traducción si está en idioma distinto al español.</w:t>
      </w:r>
      <w:r>
        <w:rPr>
          <w:color w:val="231F20"/>
          <w:position w:val="7"/>
          <w:sz w:val="13"/>
        </w:rPr>
        <w:t>29 </w:t>
      </w:r>
      <w:r>
        <w:rPr>
          <w:color w:val="231F20"/>
        </w:rPr>
        <w:t>Esta disposición permite tener un control de las salidas de los niños y adolescentes de México y proteger su integridad física y mental al evitar o disminuir la comisión de delitos, como la sustracción de</w:t>
      </w:r>
      <w:r>
        <w:rPr>
          <w:color w:val="231F20"/>
          <w:spacing w:val="-11"/>
        </w:rPr>
        <w:t> </w:t>
      </w:r>
      <w:r>
        <w:rPr>
          <w:color w:val="231F20"/>
        </w:rPr>
        <w:t>menores.</w:t>
      </w:r>
    </w:p>
    <w:p>
      <w:pPr>
        <w:pStyle w:val="BodyText"/>
        <w:spacing w:line="247" w:lineRule="auto"/>
        <w:ind w:left="117" w:right="115" w:firstLine="283"/>
        <w:jc w:val="both"/>
        <w:rPr>
          <w:sz w:val="13"/>
        </w:rPr>
      </w:pPr>
      <w:r>
        <w:rPr>
          <w:color w:val="231F20"/>
        </w:rPr>
        <w:t>El quebrantamiento de la obligación mencionada por parte de las em- presas de transporte aéreo, marítimo o terrestre conlleva una multa de mil a diez mil días de salario mínimo general vigente en el Distrito Federal.</w:t>
      </w:r>
      <w:r>
        <w:rPr>
          <w:color w:val="231F20"/>
          <w:position w:val="7"/>
          <w:sz w:val="13"/>
        </w:rPr>
        <w:t>30</w:t>
      </w:r>
    </w:p>
    <w:p>
      <w:pPr>
        <w:pStyle w:val="BodyText"/>
        <w:spacing w:line="247" w:lineRule="auto"/>
        <w:ind w:left="117" w:right="114" w:firstLine="283"/>
        <w:jc w:val="both"/>
      </w:pPr>
      <w:r>
        <w:rPr>
          <w:color w:val="231F20"/>
        </w:rPr>
        <w:t>El artículo 102 del Reglamento de la LM relativo al otorgamiento de  la visa, hace especial mención de los niños y adolescentes sujetos a tutela jurídica, para lo cual se deberá presentar la solicitud respectiva firmada por el padre y la madre o por quienes ejerzan la patria potestad o tutela. Sobre este mismo tema es importante mencionar que las personas que han obtenido la visa sin permiso para realizar actividades remuneradas</w:t>
      </w:r>
      <w:r>
        <w:rPr>
          <w:color w:val="231F20"/>
          <w:spacing w:val="-19"/>
        </w:rPr>
        <w:t> </w:t>
      </w:r>
      <w:r>
        <w:rPr>
          <w:color w:val="231F20"/>
        </w:rPr>
        <w:t>pueden solicitar el ingreso, bajo esta misma condición, de los menores bajo su representación legal.</w:t>
      </w:r>
    </w:p>
    <w:p>
      <w:pPr>
        <w:pStyle w:val="BodyText"/>
        <w:spacing w:line="247" w:lineRule="auto"/>
        <w:ind w:left="117" w:right="115" w:firstLine="283"/>
        <w:jc w:val="both"/>
        <w:rPr>
          <w:sz w:val="13"/>
        </w:rPr>
      </w:pPr>
      <w:r>
        <w:rPr/>
        <w:pict>
          <v:line style="position:absolute;mso-position-horizontal-relative:page;mso-position-vertical-relative:paragraph;z-index:8560;mso-wrap-distance-left:0;mso-wrap-distance-right:0" from="70.866096pt,58.378834pt" to="142.866096pt,58.378834pt" stroked="true" strokeweight=".75pt" strokecolor="#231f20">
            <w10:wrap type="topAndBottom"/>
          </v:line>
        </w:pict>
      </w:r>
      <w:r>
        <w:rPr>
          <w:color w:val="231F20"/>
        </w:rPr>
        <w:t>En relación con la estancia, los extranjeros que han obtenido la condi- ción de visitante trabajador fronterizo tienen el derecho expreso de solici- tar el ingreso de diferentes familiares entre los que se encuentran</w:t>
      </w:r>
      <w:r>
        <w:rPr>
          <w:color w:val="231F20"/>
          <w:spacing w:val="-38"/>
        </w:rPr>
        <w:t> </w:t>
      </w:r>
      <w:r>
        <w:rPr>
          <w:color w:val="231F20"/>
        </w:rPr>
        <w:t>los niños y adolescentes bajo su representación</w:t>
      </w:r>
      <w:r>
        <w:rPr>
          <w:color w:val="231F20"/>
          <w:spacing w:val="-5"/>
        </w:rPr>
        <w:t> </w:t>
      </w:r>
      <w:r>
        <w:rPr>
          <w:color w:val="231F20"/>
        </w:rPr>
        <w:t>legal.</w:t>
      </w:r>
      <w:r>
        <w:rPr>
          <w:color w:val="231F20"/>
          <w:position w:val="7"/>
          <w:sz w:val="13"/>
        </w:rPr>
        <w:t>31</w:t>
      </w:r>
    </w:p>
    <w:p>
      <w:pPr>
        <w:spacing w:line="157" w:lineRule="exact" w:before="0"/>
        <w:ind w:left="117" w:right="117" w:firstLine="0"/>
        <w:jc w:val="left"/>
        <w:rPr>
          <w:sz w:val="17"/>
        </w:rPr>
      </w:pPr>
      <w:r>
        <w:rPr>
          <w:color w:val="231F20"/>
          <w:w w:val="105"/>
          <w:position w:val="6"/>
          <w:sz w:val="10"/>
        </w:rPr>
        <w:t>29 </w:t>
      </w:r>
      <w:r>
        <w:rPr>
          <w:color w:val="231F20"/>
          <w:w w:val="105"/>
          <w:sz w:val="17"/>
        </w:rPr>
        <w:t>Artículo 42, fracción </w:t>
      </w:r>
      <w:r>
        <w:rPr>
          <w:color w:val="231F20"/>
          <w:w w:val="115"/>
          <w:sz w:val="12"/>
        </w:rPr>
        <w:t>v </w:t>
      </w:r>
      <w:r>
        <w:rPr>
          <w:color w:val="231F20"/>
          <w:w w:val="105"/>
          <w:sz w:val="17"/>
        </w:rPr>
        <w:t>del Reglamento de la LM.</w:t>
      </w:r>
    </w:p>
    <w:p>
      <w:pPr>
        <w:spacing w:line="170" w:lineRule="exact" w:before="0"/>
        <w:ind w:left="117" w:right="117" w:firstLine="0"/>
        <w:jc w:val="left"/>
        <w:rPr>
          <w:sz w:val="17"/>
        </w:rPr>
      </w:pPr>
      <w:r>
        <w:rPr>
          <w:color w:val="231F20"/>
          <w:position w:val="6"/>
          <w:sz w:val="10"/>
        </w:rPr>
        <w:t>30 </w:t>
      </w:r>
      <w:r>
        <w:rPr>
          <w:color w:val="231F20"/>
          <w:sz w:val="17"/>
        </w:rPr>
        <w:t>Artículo 247 del Reglamento de la LM.</w:t>
      </w:r>
    </w:p>
    <w:p>
      <w:pPr>
        <w:spacing w:line="183" w:lineRule="exact" w:before="0"/>
        <w:ind w:left="117" w:right="117" w:firstLine="0"/>
        <w:jc w:val="left"/>
        <w:rPr>
          <w:sz w:val="17"/>
        </w:rPr>
      </w:pPr>
      <w:r>
        <w:rPr>
          <w:color w:val="231F20"/>
          <w:position w:val="6"/>
          <w:sz w:val="10"/>
        </w:rPr>
        <w:t>31 </w:t>
      </w:r>
      <w:r>
        <w:rPr>
          <w:color w:val="231F20"/>
          <w:sz w:val="17"/>
        </w:rPr>
        <w:t>Artículo 134 y 135 del Reglamento de la LM.</w:t>
      </w:r>
    </w:p>
    <w:p>
      <w:pPr>
        <w:spacing w:after="0" w:line="183" w:lineRule="exact"/>
        <w:jc w:val="left"/>
        <w:rPr>
          <w:sz w:val="17"/>
        </w:rPr>
        <w:sectPr>
          <w:pgSz w:w="9360" w:h="13040"/>
          <w:pgMar w:header="0" w:footer="496" w:top="840" w:bottom="680" w:left="1300" w:right="1300"/>
        </w:sectPr>
      </w:pPr>
    </w:p>
    <w:p>
      <w:pPr>
        <w:spacing w:before="45"/>
        <w:ind w:left="400" w:right="0" w:hanging="167"/>
        <w:jc w:val="left"/>
        <w:rPr>
          <w:rFonts w:ascii="Arial" w:hAnsi="Arial"/>
          <w:sz w:val="20"/>
        </w:rPr>
      </w:pPr>
      <w:r>
        <w:rPr>
          <w:rFonts w:ascii="Arial" w:hAnsi="Arial"/>
          <w:color w:val="231F20"/>
          <w:w w:val="70"/>
          <w:sz w:val="20"/>
        </w:rPr>
        <w:t>Los</w:t>
      </w:r>
      <w:r>
        <w:rPr>
          <w:rFonts w:ascii="Arial" w:hAnsi="Arial"/>
          <w:color w:val="231F20"/>
          <w:spacing w:val="-13"/>
          <w:w w:val="70"/>
          <w:sz w:val="20"/>
        </w:rPr>
        <w:t> </w:t>
      </w:r>
      <w:r>
        <w:rPr>
          <w:rFonts w:ascii="Arial" w:hAnsi="Arial"/>
          <w:color w:val="231F20"/>
          <w:w w:val="70"/>
          <w:sz w:val="20"/>
        </w:rPr>
        <w:t>menores</w:t>
      </w:r>
      <w:r>
        <w:rPr>
          <w:rFonts w:ascii="Arial" w:hAnsi="Arial"/>
          <w:color w:val="231F20"/>
          <w:spacing w:val="-13"/>
          <w:w w:val="70"/>
          <w:sz w:val="20"/>
        </w:rPr>
        <w:t> </w:t>
      </w:r>
      <w:r>
        <w:rPr>
          <w:rFonts w:ascii="Arial" w:hAnsi="Arial"/>
          <w:color w:val="231F20"/>
          <w:w w:val="70"/>
          <w:sz w:val="20"/>
        </w:rPr>
        <w:t>inmigrantes</w:t>
      </w:r>
      <w:r>
        <w:rPr>
          <w:rFonts w:ascii="Arial" w:hAnsi="Arial"/>
          <w:color w:val="231F20"/>
          <w:spacing w:val="-13"/>
          <w:w w:val="70"/>
          <w:sz w:val="20"/>
        </w:rPr>
        <w:t> </w:t>
      </w:r>
      <w:r>
        <w:rPr>
          <w:rFonts w:ascii="Arial" w:hAnsi="Arial"/>
          <w:color w:val="231F20"/>
          <w:w w:val="70"/>
          <w:sz w:val="20"/>
        </w:rPr>
        <w:t>indocumentados</w:t>
      </w:r>
      <w:r>
        <w:rPr>
          <w:rFonts w:ascii="Arial" w:hAnsi="Arial"/>
          <w:color w:val="231F20"/>
          <w:spacing w:val="-13"/>
          <w:w w:val="70"/>
          <w:sz w:val="20"/>
        </w:rPr>
        <w:t> </w:t>
      </w:r>
      <w:r>
        <w:rPr>
          <w:rFonts w:ascii="Arial" w:hAnsi="Arial"/>
          <w:color w:val="231F20"/>
          <w:w w:val="70"/>
          <w:sz w:val="20"/>
        </w:rPr>
        <w:t>ante</w:t>
      </w:r>
      <w:r>
        <w:rPr>
          <w:rFonts w:ascii="Arial" w:hAnsi="Arial"/>
          <w:color w:val="231F20"/>
          <w:spacing w:val="-13"/>
          <w:w w:val="70"/>
          <w:sz w:val="20"/>
        </w:rPr>
        <w:t> </w:t>
      </w:r>
      <w:r>
        <w:rPr>
          <w:rFonts w:ascii="Arial" w:hAnsi="Arial"/>
          <w:color w:val="231F20"/>
          <w:w w:val="70"/>
          <w:sz w:val="20"/>
        </w:rPr>
        <w:t>la</w:t>
      </w:r>
      <w:r>
        <w:rPr>
          <w:rFonts w:ascii="Arial" w:hAnsi="Arial"/>
          <w:color w:val="231F20"/>
          <w:spacing w:val="-13"/>
          <w:w w:val="70"/>
          <w:sz w:val="20"/>
        </w:rPr>
        <w:t> </w:t>
      </w:r>
      <w:r>
        <w:rPr>
          <w:rFonts w:ascii="Arial" w:hAnsi="Arial"/>
          <w:color w:val="231F20"/>
          <w:w w:val="70"/>
          <w:sz w:val="20"/>
        </w:rPr>
        <w:t>nueva</w:t>
      </w:r>
      <w:r>
        <w:rPr>
          <w:rFonts w:ascii="Arial" w:hAnsi="Arial"/>
          <w:color w:val="231F20"/>
          <w:spacing w:val="-13"/>
          <w:w w:val="70"/>
          <w:sz w:val="20"/>
        </w:rPr>
        <w:t> </w:t>
      </w:r>
      <w:r>
        <w:rPr>
          <w:rFonts w:ascii="Arial" w:hAnsi="Arial"/>
          <w:color w:val="231F20"/>
          <w:w w:val="70"/>
          <w:sz w:val="20"/>
        </w:rPr>
        <w:t>ley</w:t>
      </w:r>
      <w:r>
        <w:rPr>
          <w:rFonts w:ascii="Arial" w:hAnsi="Arial"/>
          <w:color w:val="231F20"/>
          <w:spacing w:val="-13"/>
          <w:w w:val="70"/>
          <w:sz w:val="20"/>
        </w:rPr>
        <w:t> </w:t>
      </w:r>
      <w:r>
        <w:rPr>
          <w:rFonts w:ascii="Arial" w:hAnsi="Arial"/>
          <w:color w:val="231F20"/>
          <w:w w:val="70"/>
          <w:sz w:val="20"/>
        </w:rPr>
        <w:t>de</w:t>
      </w:r>
      <w:r>
        <w:rPr>
          <w:rFonts w:ascii="Arial" w:hAnsi="Arial"/>
          <w:color w:val="231F20"/>
          <w:spacing w:val="-13"/>
          <w:w w:val="70"/>
          <w:sz w:val="20"/>
        </w:rPr>
        <w:t> </w:t>
      </w:r>
      <w:r>
        <w:rPr>
          <w:rFonts w:ascii="Arial" w:hAnsi="Arial"/>
          <w:color w:val="231F20"/>
          <w:w w:val="70"/>
          <w:sz w:val="20"/>
        </w:rPr>
        <w:t>migración...</w:t>
      </w:r>
      <w:r>
        <w:rPr>
          <w:rFonts w:ascii="Arial" w:hAnsi="Arial"/>
          <w:color w:val="231F20"/>
          <w:spacing w:val="-13"/>
          <w:w w:val="70"/>
          <w:sz w:val="20"/>
        </w:rPr>
        <w:t> </w:t>
      </w:r>
      <w:r>
        <w:rPr>
          <w:rFonts w:ascii="Arial" w:hAnsi="Arial"/>
          <w:color w:val="231F20"/>
          <w:w w:val="70"/>
          <w:sz w:val="20"/>
        </w:rPr>
        <w:t>/Alma</w:t>
      </w:r>
      <w:r>
        <w:rPr>
          <w:rFonts w:ascii="Arial" w:hAnsi="Arial"/>
          <w:color w:val="231F20"/>
          <w:spacing w:val="-21"/>
          <w:w w:val="70"/>
          <w:sz w:val="20"/>
        </w:rPr>
        <w:t> </w:t>
      </w:r>
      <w:r>
        <w:rPr>
          <w:rFonts w:ascii="Arial" w:hAnsi="Arial"/>
          <w:color w:val="231F20"/>
          <w:w w:val="70"/>
          <w:sz w:val="20"/>
        </w:rPr>
        <w:t>C.</w:t>
      </w:r>
      <w:r>
        <w:rPr>
          <w:rFonts w:ascii="Arial" w:hAnsi="Arial"/>
          <w:color w:val="231F20"/>
          <w:spacing w:val="-21"/>
          <w:w w:val="70"/>
          <w:sz w:val="20"/>
        </w:rPr>
        <w:t> </w:t>
      </w:r>
      <w:r>
        <w:rPr>
          <w:rFonts w:ascii="Arial" w:hAnsi="Arial"/>
          <w:color w:val="231F20"/>
          <w:w w:val="70"/>
          <w:sz w:val="20"/>
        </w:rPr>
        <w:t>Guadarrama-Muñoz</w:t>
      </w:r>
    </w:p>
    <w:p>
      <w:pPr>
        <w:pStyle w:val="BodyText"/>
        <w:spacing w:before="7"/>
        <w:rPr>
          <w:rFonts w:ascii="Arial"/>
          <w:sz w:val="28"/>
        </w:rPr>
      </w:pPr>
    </w:p>
    <w:p>
      <w:pPr>
        <w:pStyle w:val="BodyText"/>
        <w:spacing w:line="247" w:lineRule="auto"/>
        <w:ind w:left="117" w:right="115" w:firstLine="283"/>
        <w:jc w:val="both"/>
        <w:rPr>
          <w:sz w:val="13"/>
        </w:rPr>
      </w:pPr>
      <w:r>
        <w:rPr>
          <w:color w:val="231F20"/>
        </w:rPr>
        <w:t>Un</w:t>
      </w:r>
      <w:r>
        <w:rPr>
          <w:color w:val="231F20"/>
          <w:spacing w:val="-5"/>
        </w:rPr>
        <w:t> </w:t>
      </w:r>
      <w:r>
        <w:rPr>
          <w:color w:val="231F20"/>
        </w:rPr>
        <w:t>acierto</w:t>
      </w:r>
      <w:r>
        <w:rPr>
          <w:color w:val="231F20"/>
          <w:spacing w:val="-5"/>
        </w:rPr>
        <w:t> </w:t>
      </w:r>
      <w:r>
        <w:rPr>
          <w:color w:val="231F20"/>
        </w:rPr>
        <w:t>del</w:t>
      </w:r>
      <w:r>
        <w:rPr>
          <w:color w:val="231F20"/>
          <w:spacing w:val="-5"/>
        </w:rPr>
        <w:t> </w:t>
      </w:r>
      <w:r>
        <w:rPr>
          <w:color w:val="231F20"/>
        </w:rPr>
        <w:t>Reglamento</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posibilidad</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menor</w:t>
      </w:r>
      <w:r>
        <w:rPr>
          <w:color w:val="231F20"/>
          <w:spacing w:val="-5"/>
        </w:rPr>
        <w:t> </w:t>
      </w:r>
      <w:r>
        <w:rPr>
          <w:color w:val="231F20"/>
        </w:rPr>
        <w:t>visitante</w:t>
      </w:r>
      <w:r>
        <w:rPr>
          <w:color w:val="231F20"/>
          <w:spacing w:val="-5"/>
        </w:rPr>
        <w:t> </w:t>
      </w:r>
      <w:r>
        <w:rPr>
          <w:color w:val="231F20"/>
        </w:rPr>
        <w:t>o residente</w:t>
      </w:r>
      <w:r>
        <w:rPr>
          <w:color w:val="231F20"/>
          <w:spacing w:val="-12"/>
        </w:rPr>
        <w:t> </w:t>
      </w:r>
      <w:r>
        <w:rPr>
          <w:color w:val="231F20"/>
        </w:rPr>
        <w:t>temporal</w:t>
      </w:r>
      <w:r>
        <w:rPr>
          <w:color w:val="231F20"/>
          <w:spacing w:val="-13"/>
        </w:rPr>
        <w:t> </w:t>
      </w:r>
      <w:r>
        <w:rPr>
          <w:color w:val="231F20"/>
        </w:rPr>
        <w:t>pueda</w:t>
      </w:r>
      <w:r>
        <w:rPr>
          <w:color w:val="231F20"/>
          <w:spacing w:val="-12"/>
        </w:rPr>
        <w:t> </w:t>
      </w:r>
      <w:r>
        <w:rPr>
          <w:color w:val="231F20"/>
        </w:rPr>
        <w:t>cambiar</w:t>
      </w:r>
      <w:r>
        <w:rPr>
          <w:color w:val="231F20"/>
          <w:spacing w:val="-12"/>
        </w:rPr>
        <w:t> </w:t>
      </w:r>
      <w:r>
        <w:rPr>
          <w:color w:val="231F20"/>
        </w:rPr>
        <w:t>su</w:t>
      </w:r>
      <w:r>
        <w:rPr>
          <w:color w:val="231F20"/>
          <w:spacing w:val="-12"/>
        </w:rPr>
        <w:t> </w:t>
      </w:r>
      <w:r>
        <w:rPr>
          <w:color w:val="231F20"/>
        </w:rPr>
        <w:t>estancia</w:t>
      </w:r>
      <w:r>
        <w:rPr>
          <w:color w:val="231F20"/>
          <w:spacing w:val="-13"/>
        </w:rPr>
        <w:t> </w:t>
      </w:r>
      <w:r>
        <w:rPr>
          <w:color w:val="231F20"/>
        </w:rPr>
        <w:t>a</w:t>
      </w:r>
      <w:r>
        <w:rPr>
          <w:color w:val="231F20"/>
          <w:spacing w:val="-12"/>
        </w:rPr>
        <w:t> </w:t>
      </w:r>
      <w:r>
        <w:rPr>
          <w:color w:val="231F20"/>
        </w:rPr>
        <w:t>residente</w:t>
      </w:r>
      <w:r>
        <w:rPr>
          <w:color w:val="231F20"/>
          <w:spacing w:val="-12"/>
        </w:rPr>
        <w:t> </w:t>
      </w:r>
      <w:r>
        <w:rPr>
          <w:color w:val="231F20"/>
        </w:rPr>
        <w:t>permanente</w:t>
      </w:r>
      <w:r>
        <w:rPr>
          <w:color w:val="231F20"/>
          <w:spacing w:val="-12"/>
        </w:rPr>
        <w:t> </w:t>
      </w:r>
      <w:r>
        <w:rPr>
          <w:color w:val="231F20"/>
        </w:rPr>
        <w:t>cuan- do se encuentre a cargo de un mexicano o de un residente permanente; así como, cuando el menor sea hermano de mexicano o residente</w:t>
      </w:r>
      <w:r>
        <w:rPr>
          <w:color w:val="231F20"/>
          <w:spacing w:val="-36"/>
        </w:rPr>
        <w:t> </w:t>
      </w:r>
      <w:r>
        <w:rPr>
          <w:color w:val="231F20"/>
        </w:rPr>
        <w:t>permanente, pero que no haya contraído matrimonio y se encuentre bajo su representa- ción</w:t>
      </w:r>
      <w:r>
        <w:rPr>
          <w:color w:val="231F20"/>
          <w:spacing w:val="-4"/>
        </w:rPr>
        <w:t> </w:t>
      </w:r>
      <w:r>
        <w:rPr>
          <w:color w:val="231F20"/>
        </w:rPr>
        <w:t>legal.</w:t>
      </w:r>
      <w:r>
        <w:rPr>
          <w:color w:val="231F20"/>
          <w:position w:val="7"/>
          <w:sz w:val="13"/>
        </w:rPr>
        <w:t>32</w:t>
      </w:r>
    </w:p>
    <w:p>
      <w:pPr>
        <w:pStyle w:val="BodyText"/>
        <w:spacing w:line="247" w:lineRule="auto"/>
        <w:ind w:left="117" w:right="115" w:firstLine="283"/>
        <w:jc w:val="both"/>
      </w:pPr>
      <w:r>
        <w:rPr>
          <w:color w:val="231F20"/>
        </w:rPr>
        <w:t>Es indiscutible que la actual legislación migratoria privilegia ahora la condición</w:t>
      </w:r>
      <w:r>
        <w:rPr>
          <w:color w:val="231F20"/>
          <w:spacing w:val="-11"/>
        </w:rPr>
        <w:t> </w:t>
      </w:r>
      <w:r>
        <w:rPr>
          <w:color w:val="231F20"/>
        </w:rPr>
        <w:t>de</w:t>
      </w:r>
      <w:r>
        <w:rPr>
          <w:color w:val="231F20"/>
          <w:spacing w:val="-11"/>
        </w:rPr>
        <w:t> </w:t>
      </w:r>
      <w:r>
        <w:rPr>
          <w:color w:val="231F20"/>
        </w:rPr>
        <w:t>persona</w:t>
      </w:r>
      <w:r>
        <w:rPr>
          <w:color w:val="231F20"/>
          <w:spacing w:val="-11"/>
        </w:rPr>
        <w:t> </w:t>
      </w:r>
      <w:r>
        <w:rPr>
          <w:color w:val="231F20"/>
        </w:rPr>
        <w:t>sobre</w:t>
      </w:r>
      <w:r>
        <w:rPr>
          <w:color w:val="231F20"/>
          <w:spacing w:val="-11"/>
        </w:rPr>
        <w:t> </w:t>
      </w:r>
      <w:r>
        <w:rPr>
          <w:color w:val="231F20"/>
        </w:rPr>
        <w:t>la</w:t>
      </w:r>
      <w:r>
        <w:rPr>
          <w:color w:val="231F20"/>
          <w:spacing w:val="-11"/>
        </w:rPr>
        <w:t> </w:t>
      </w:r>
      <w:r>
        <w:rPr>
          <w:color w:val="231F20"/>
        </w:rPr>
        <w:t>situación</w:t>
      </w:r>
      <w:r>
        <w:rPr>
          <w:color w:val="231F20"/>
          <w:spacing w:val="-10"/>
        </w:rPr>
        <w:t> </w:t>
      </w:r>
      <w:r>
        <w:rPr>
          <w:color w:val="231F20"/>
        </w:rPr>
        <w:t>migratoria,</w:t>
      </w:r>
      <w:r>
        <w:rPr>
          <w:color w:val="231F20"/>
          <w:spacing w:val="-12"/>
        </w:rPr>
        <w:t> </w:t>
      </w:r>
      <w:r>
        <w:rPr>
          <w:color w:val="231F20"/>
        </w:rPr>
        <w:t>como</w:t>
      </w:r>
      <w:r>
        <w:rPr>
          <w:color w:val="231F20"/>
          <w:spacing w:val="-11"/>
        </w:rPr>
        <w:t> </w:t>
      </w:r>
      <w:r>
        <w:rPr>
          <w:color w:val="231F20"/>
        </w:rPr>
        <w:t>se</w:t>
      </w:r>
      <w:r>
        <w:rPr>
          <w:color w:val="231F20"/>
          <w:spacing w:val="-11"/>
        </w:rPr>
        <w:t> </w:t>
      </w:r>
      <w:r>
        <w:rPr>
          <w:color w:val="231F20"/>
        </w:rPr>
        <w:t>demuestra</w:t>
      </w:r>
      <w:r>
        <w:rPr>
          <w:color w:val="231F20"/>
          <w:spacing w:val="-11"/>
        </w:rPr>
        <w:t> </w:t>
      </w:r>
      <w:r>
        <w:rPr>
          <w:color w:val="231F20"/>
        </w:rPr>
        <w:t>con el contenido de artículo 144, al mencionar que:</w:t>
      </w:r>
    </w:p>
    <w:p>
      <w:pPr>
        <w:pStyle w:val="BodyText"/>
        <w:spacing w:line="247" w:lineRule="auto"/>
        <w:ind w:left="117" w:right="116" w:firstLine="283"/>
        <w:jc w:val="both"/>
      </w:pPr>
      <w:r>
        <w:rPr>
          <w:color w:val="231F20"/>
        </w:rPr>
        <w:t>La</w:t>
      </w:r>
      <w:r>
        <w:rPr>
          <w:color w:val="231F20"/>
          <w:spacing w:val="-10"/>
        </w:rPr>
        <w:t> </w:t>
      </w:r>
      <w:r>
        <w:rPr>
          <w:color w:val="231F20"/>
        </w:rPr>
        <w:t>regularización</w:t>
      </w:r>
      <w:r>
        <w:rPr>
          <w:color w:val="231F20"/>
          <w:spacing w:val="-10"/>
        </w:rPr>
        <w:t> </w:t>
      </w:r>
      <w:r>
        <w:rPr>
          <w:color w:val="231F20"/>
        </w:rPr>
        <w:t>de</w:t>
      </w:r>
      <w:r>
        <w:rPr>
          <w:color w:val="231F20"/>
          <w:spacing w:val="-10"/>
        </w:rPr>
        <w:t> </w:t>
      </w:r>
      <w:r>
        <w:rPr>
          <w:color w:val="231F20"/>
        </w:rPr>
        <w:t>situación</w:t>
      </w:r>
      <w:r>
        <w:rPr>
          <w:color w:val="231F20"/>
          <w:spacing w:val="-9"/>
        </w:rPr>
        <w:t> </w:t>
      </w:r>
      <w:r>
        <w:rPr>
          <w:color w:val="231F20"/>
        </w:rPr>
        <w:t>migratoria</w:t>
      </w:r>
      <w:r>
        <w:rPr>
          <w:color w:val="231F20"/>
          <w:spacing w:val="-10"/>
        </w:rPr>
        <w:t> </w:t>
      </w:r>
      <w:r>
        <w:rPr>
          <w:color w:val="231F20"/>
        </w:rPr>
        <w:t>podrá</w:t>
      </w:r>
      <w:r>
        <w:rPr>
          <w:color w:val="231F20"/>
          <w:spacing w:val="-10"/>
        </w:rPr>
        <w:t> </w:t>
      </w:r>
      <w:r>
        <w:rPr>
          <w:color w:val="231F20"/>
        </w:rPr>
        <w:t>autorizarse</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persona extranjera</w:t>
      </w:r>
      <w:r>
        <w:rPr>
          <w:color w:val="231F20"/>
          <w:spacing w:val="-7"/>
        </w:rPr>
        <w:t> </w:t>
      </w:r>
      <w:r>
        <w:rPr>
          <w:color w:val="231F20"/>
        </w:rPr>
        <w:t>que</w:t>
      </w:r>
      <w:r>
        <w:rPr>
          <w:color w:val="231F20"/>
          <w:spacing w:val="-6"/>
        </w:rPr>
        <w:t> </w:t>
      </w:r>
      <w:r>
        <w:rPr>
          <w:color w:val="231F20"/>
        </w:rPr>
        <w:t>se</w:t>
      </w:r>
      <w:r>
        <w:rPr>
          <w:color w:val="231F20"/>
          <w:spacing w:val="-6"/>
        </w:rPr>
        <w:t> </w:t>
      </w:r>
      <w:r>
        <w:rPr>
          <w:color w:val="231F20"/>
        </w:rPr>
        <w:t>encuentre</w:t>
      </w:r>
      <w:r>
        <w:rPr>
          <w:color w:val="231F20"/>
          <w:spacing w:val="-7"/>
        </w:rPr>
        <w:t> </w:t>
      </w:r>
      <w:r>
        <w:rPr>
          <w:color w:val="231F20"/>
        </w:rPr>
        <w:t>en</w:t>
      </w:r>
      <w:r>
        <w:rPr>
          <w:color w:val="231F20"/>
          <w:spacing w:val="-6"/>
        </w:rPr>
        <w:t> </w:t>
      </w:r>
      <w:r>
        <w:rPr>
          <w:color w:val="231F20"/>
        </w:rPr>
        <w:t>situación</w:t>
      </w:r>
      <w:r>
        <w:rPr>
          <w:color w:val="231F20"/>
          <w:spacing w:val="-6"/>
        </w:rPr>
        <w:t> </w:t>
      </w:r>
      <w:r>
        <w:rPr>
          <w:color w:val="231F20"/>
        </w:rPr>
        <w:t>migratoria</w:t>
      </w:r>
      <w:r>
        <w:rPr>
          <w:color w:val="231F20"/>
          <w:spacing w:val="-7"/>
        </w:rPr>
        <w:t> </w:t>
      </w:r>
      <w:r>
        <w:rPr>
          <w:color w:val="231F20"/>
        </w:rPr>
        <w:t>irregular</w:t>
      </w:r>
      <w:r>
        <w:rPr>
          <w:color w:val="231F20"/>
          <w:spacing w:val="-6"/>
        </w:rPr>
        <w:t> </w:t>
      </w:r>
      <w:r>
        <w:rPr>
          <w:color w:val="231F20"/>
        </w:rPr>
        <w:t>por</w:t>
      </w:r>
      <w:r>
        <w:rPr>
          <w:color w:val="231F20"/>
          <w:spacing w:val="-6"/>
        </w:rPr>
        <w:t> </w:t>
      </w:r>
      <w:r>
        <w:rPr>
          <w:color w:val="231F20"/>
        </w:rPr>
        <w:t>incumpli- miento a las disposiciones jurídicas aplicables, cuando demuestre alguno de los siguientes supuestos:</w:t>
      </w:r>
    </w:p>
    <w:p>
      <w:pPr>
        <w:pStyle w:val="ListParagraph"/>
        <w:numPr>
          <w:ilvl w:val="0"/>
          <w:numId w:val="15"/>
        </w:numPr>
        <w:tabs>
          <w:tab w:pos="478" w:val="left" w:leader="none"/>
        </w:tabs>
        <w:spacing w:line="247" w:lineRule="auto" w:before="169" w:after="0"/>
        <w:ind w:left="477" w:right="115" w:hanging="360"/>
        <w:jc w:val="both"/>
        <w:rPr>
          <w:sz w:val="22"/>
        </w:rPr>
      </w:pPr>
      <w:r>
        <w:rPr>
          <w:color w:val="231F20"/>
          <w:sz w:val="22"/>
        </w:rPr>
        <w:t>Ser</w:t>
      </w:r>
      <w:r>
        <w:rPr>
          <w:color w:val="231F20"/>
          <w:spacing w:val="-8"/>
          <w:sz w:val="22"/>
        </w:rPr>
        <w:t> </w:t>
      </w:r>
      <w:r>
        <w:rPr>
          <w:color w:val="231F20"/>
          <w:sz w:val="22"/>
        </w:rPr>
        <w:t>niña,</w:t>
      </w:r>
      <w:r>
        <w:rPr>
          <w:color w:val="231F20"/>
          <w:spacing w:val="-8"/>
          <w:sz w:val="22"/>
        </w:rPr>
        <w:t> </w:t>
      </w:r>
      <w:r>
        <w:rPr>
          <w:color w:val="231F20"/>
          <w:sz w:val="22"/>
        </w:rPr>
        <w:t>niño</w:t>
      </w:r>
      <w:r>
        <w:rPr>
          <w:color w:val="231F20"/>
          <w:spacing w:val="-8"/>
          <w:sz w:val="22"/>
        </w:rPr>
        <w:t> </w:t>
      </w:r>
      <w:r>
        <w:rPr>
          <w:color w:val="231F20"/>
          <w:sz w:val="22"/>
        </w:rPr>
        <w:t>o</w:t>
      </w:r>
      <w:r>
        <w:rPr>
          <w:color w:val="231F20"/>
          <w:spacing w:val="-8"/>
          <w:sz w:val="22"/>
        </w:rPr>
        <w:t> </w:t>
      </w:r>
      <w:r>
        <w:rPr>
          <w:color w:val="231F20"/>
          <w:sz w:val="22"/>
        </w:rPr>
        <w:t>adolescente</w:t>
      </w:r>
      <w:r>
        <w:rPr>
          <w:color w:val="231F20"/>
          <w:spacing w:val="-9"/>
          <w:sz w:val="22"/>
        </w:rPr>
        <w:t> </w:t>
      </w:r>
      <w:r>
        <w:rPr>
          <w:color w:val="231F20"/>
          <w:sz w:val="22"/>
        </w:rPr>
        <w:t>que</w:t>
      </w:r>
      <w:r>
        <w:rPr>
          <w:color w:val="231F20"/>
          <w:spacing w:val="-8"/>
          <w:sz w:val="22"/>
        </w:rPr>
        <w:t> </w:t>
      </w:r>
      <w:r>
        <w:rPr>
          <w:color w:val="231F20"/>
          <w:sz w:val="22"/>
        </w:rPr>
        <w:t>se</w:t>
      </w:r>
      <w:r>
        <w:rPr>
          <w:color w:val="231F20"/>
          <w:spacing w:val="-8"/>
          <w:sz w:val="22"/>
        </w:rPr>
        <w:t> </w:t>
      </w:r>
      <w:r>
        <w:rPr>
          <w:color w:val="231F20"/>
          <w:sz w:val="22"/>
        </w:rPr>
        <w:t>encuentre</w:t>
      </w:r>
      <w:r>
        <w:rPr>
          <w:color w:val="231F20"/>
          <w:spacing w:val="-8"/>
          <w:sz w:val="22"/>
        </w:rPr>
        <w:t> </w:t>
      </w:r>
      <w:r>
        <w:rPr>
          <w:color w:val="231F20"/>
          <w:sz w:val="22"/>
        </w:rPr>
        <w:t>sujeto</w:t>
      </w:r>
      <w:r>
        <w:rPr>
          <w:color w:val="231F20"/>
          <w:spacing w:val="-8"/>
          <w:sz w:val="22"/>
        </w:rPr>
        <w:t> </w:t>
      </w:r>
      <w:r>
        <w:rPr>
          <w:color w:val="231F20"/>
          <w:sz w:val="22"/>
        </w:rPr>
        <w:t>a</w:t>
      </w:r>
      <w:r>
        <w:rPr>
          <w:color w:val="231F20"/>
          <w:spacing w:val="-8"/>
          <w:sz w:val="22"/>
        </w:rPr>
        <w:t> </w:t>
      </w:r>
      <w:r>
        <w:rPr>
          <w:color w:val="231F20"/>
          <w:sz w:val="22"/>
        </w:rPr>
        <w:t>un</w:t>
      </w:r>
      <w:r>
        <w:rPr>
          <w:color w:val="231F20"/>
          <w:spacing w:val="-8"/>
          <w:sz w:val="22"/>
        </w:rPr>
        <w:t> </w:t>
      </w:r>
      <w:r>
        <w:rPr>
          <w:color w:val="231F20"/>
          <w:sz w:val="22"/>
        </w:rPr>
        <w:t>procedimien- to de sustracción y restitución internacional, siempre y cuando el trá- mite sea solicitado por sus padres o</w:t>
      </w:r>
      <w:r>
        <w:rPr>
          <w:color w:val="231F20"/>
          <w:spacing w:val="-14"/>
          <w:sz w:val="22"/>
        </w:rPr>
        <w:t> </w:t>
      </w:r>
      <w:r>
        <w:rPr>
          <w:color w:val="231F20"/>
          <w:sz w:val="22"/>
        </w:rPr>
        <w:t>tutores.</w:t>
      </w:r>
    </w:p>
    <w:p>
      <w:pPr>
        <w:pStyle w:val="ListParagraph"/>
        <w:numPr>
          <w:ilvl w:val="0"/>
          <w:numId w:val="15"/>
        </w:numPr>
        <w:tabs>
          <w:tab w:pos="478" w:val="left" w:leader="none"/>
        </w:tabs>
        <w:spacing w:line="247" w:lineRule="auto" w:before="0" w:after="0"/>
        <w:ind w:left="477" w:right="114" w:hanging="360"/>
        <w:jc w:val="both"/>
        <w:rPr>
          <w:sz w:val="22"/>
        </w:rPr>
      </w:pPr>
      <w:r>
        <w:rPr>
          <w:color w:val="231F20"/>
          <w:sz w:val="22"/>
        </w:rPr>
        <w:t>Que su grado de vulnerabilidad dificulte o haga imposible su deporta- ción o retorno asistido y esto se acredite fehacientemente. Se indican de manera enunciativa, más no limitativa, los siguientes casos:</w:t>
      </w:r>
    </w:p>
    <w:p>
      <w:pPr>
        <w:pStyle w:val="BodyText"/>
        <w:spacing w:line="247" w:lineRule="auto" w:before="169"/>
        <w:ind w:left="117" w:right="115" w:firstLine="283"/>
        <w:jc w:val="both"/>
      </w:pPr>
      <w:r>
        <w:rPr>
          <w:color w:val="231F20"/>
        </w:rPr>
        <w:t>Niñas, niños y adolescentes migrantes no acompañados, cuando así convenga</w:t>
      </w:r>
      <w:r>
        <w:rPr>
          <w:color w:val="231F20"/>
          <w:spacing w:val="-7"/>
        </w:rPr>
        <w:t> </w:t>
      </w:r>
      <w:r>
        <w:rPr>
          <w:color w:val="231F20"/>
        </w:rPr>
        <w:t>a</w:t>
      </w:r>
      <w:r>
        <w:rPr>
          <w:color w:val="231F20"/>
          <w:spacing w:val="-7"/>
        </w:rPr>
        <w:t> </w:t>
      </w:r>
      <w:r>
        <w:rPr>
          <w:color w:val="231F20"/>
        </w:rPr>
        <w:t>su</w:t>
      </w:r>
      <w:r>
        <w:rPr>
          <w:color w:val="231F20"/>
          <w:spacing w:val="-7"/>
        </w:rPr>
        <w:t> </w:t>
      </w:r>
      <w:r>
        <w:rPr>
          <w:color w:val="231F20"/>
        </w:rPr>
        <w:t>interés</w:t>
      </w:r>
      <w:r>
        <w:rPr>
          <w:color w:val="231F20"/>
          <w:spacing w:val="-7"/>
        </w:rPr>
        <w:t> </w:t>
      </w:r>
      <w:r>
        <w:rPr>
          <w:color w:val="231F20"/>
        </w:rPr>
        <w:t>superior</w:t>
      </w:r>
      <w:r>
        <w:rPr>
          <w:color w:val="231F20"/>
          <w:spacing w:val="-6"/>
        </w:rPr>
        <w:t> </w:t>
      </w:r>
      <w:r>
        <w:rPr>
          <w:color w:val="231F20"/>
        </w:rPr>
        <w:t>y</w:t>
      </w:r>
      <w:r>
        <w:rPr>
          <w:color w:val="231F20"/>
          <w:spacing w:val="-7"/>
        </w:rPr>
        <w:t> </w:t>
      </w:r>
      <w:r>
        <w:rPr>
          <w:color w:val="231F20"/>
        </w:rPr>
        <w:t>en</w:t>
      </w:r>
      <w:r>
        <w:rPr>
          <w:color w:val="231F20"/>
          <w:spacing w:val="-7"/>
        </w:rPr>
        <w:t> </w:t>
      </w:r>
      <w:r>
        <w:rPr>
          <w:color w:val="231F20"/>
        </w:rPr>
        <w:t>tanto</w:t>
      </w:r>
      <w:r>
        <w:rPr>
          <w:color w:val="231F20"/>
          <w:spacing w:val="-7"/>
        </w:rPr>
        <w:t> </w:t>
      </w:r>
      <w:r>
        <w:rPr>
          <w:color w:val="231F20"/>
        </w:rPr>
        <w:t>se</w:t>
      </w:r>
      <w:r>
        <w:rPr>
          <w:color w:val="231F20"/>
          <w:spacing w:val="-7"/>
        </w:rPr>
        <w:t> </w:t>
      </w:r>
      <w:r>
        <w:rPr>
          <w:color w:val="231F20"/>
        </w:rPr>
        <w:t>ofrecen</w:t>
      </w:r>
      <w:r>
        <w:rPr>
          <w:color w:val="231F20"/>
          <w:spacing w:val="-7"/>
        </w:rPr>
        <w:t> </w:t>
      </w:r>
      <w:r>
        <w:rPr>
          <w:color w:val="231F20"/>
        </w:rPr>
        <w:t>alternativas</w:t>
      </w:r>
      <w:r>
        <w:rPr>
          <w:color w:val="231F20"/>
          <w:spacing w:val="-7"/>
        </w:rPr>
        <w:t> </w:t>
      </w:r>
      <w:r>
        <w:rPr>
          <w:color w:val="231F20"/>
        </w:rPr>
        <w:t>jurídicas</w:t>
      </w:r>
      <w:r>
        <w:rPr>
          <w:color w:val="231F20"/>
          <w:spacing w:val="-7"/>
        </w:rPr>
        <w:t> </w:t>
      </w:r>
      <w:r>
        <w:rPr>
          <w:color w:val="231F20"/>
        </w:rPr>
        <w:t>o humanitarias temporales o permanentes al retorno</w:t>
      </w:r>
      <w:r>
        <w:rPr>
          <w:color w:val="231F20"/>
          <w:spacing w:val="-1"/>
        </w:rPr>
        <w:t> </w:t>
      </w:r>
      <w:r>
        <w:rPr>
          <w:color w:val="231F20"/>
        </w:rPr>
        <w:t>asistido.</w:t>
      </w:r>
    </w:p>
    <w:p>
      <w:pPr>
        <w:pStyle w:val="BodyText"/>
        <w:spacing w:line="247" w:lineRule="auto"/>
        <w:ind w:left="117" w:right="114" w:firstLine="283"/>
        <w:jc w:val="both"/>
      </w:pPr>
      <w:r>
        <w:rPr>
          <w:color w:val="231F20"/>
        </w:rPr>
        <w:t>Un derecho indiscutible reconocido a los menores es el del trabajo, siempre apegados a su interés superior, lo cual es plasmado en el artículo 165 del Reglamento de la LM al mencionar que los mayores de 14 años y menores</w:t>
      </w:r>
      <w:r>
        <w:rPr>
          <w:color w:val="231F20"/>
          <w:spacing w:val="-8"/>
        </w:rPr>
        <w:t> </w:t>
      </w:r>
      <w:r>
        <w:rPr>
          <w:color w:val="231F20"/>
        </w:rPr>
        <w:t>de</w:t>
      </w:r>
      <w:r>
        <w:rPr>
          <w:color w:val="231F20"/>
          <w:spacing w:val="-8"/>
        </w:rPr>
        <w:t> </w:t>
      </w:r>
      <w:r>
        <w:rPr>
          <w:color w:val="231F20"/>
        </w:rPr>
        <w:t>18,</w:t>
      </w:r>
      <w:r>
        <w:rPr>
          <w:color w:val="231F20"/>
          <w:spacing w:val="-7"/>
        </w:rPr>
        <w:t> </w:t>
      </w:r>
      <w:r>
        <w:rPr>
          <w:color w:val="231F20"/>
        </w:rPr>
        <w:t>adicionalmente</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documentos</w:t>
      </w:r>
      <w:r>
        <w:rPr>
          <w:color w:val="231F20"/>
          <w:spacing w:val="-8"/>
        </w:rPr>
        <w:t> </w:t>
      </w:r>
      <w:r>
        <w:rPr>
          <w:color w:val="231F20"/>
        </w:rPr>
        <w:t>solicitados</w:t>
      </w:r>
      <w:r>
        <w:rPr>
          <w:color w:val="231F20"/>
          <w:spacing w:val="-7"/>
        </w:rPr>
        <w:t> </w:t>
      </w:r>
      <w:r>
        <w:rPr>
          <w:color w:val="231F20"/>
        </w:rPr>
        <w:t>deben</w:t>
      </w:r>
      <w:r>
        <w:rPr>
          <w:color w:val="231F20"/>
          <w:spacing w:val="-8"/>
        </w:rPr>
        <w:t> </w:t>
      </w:r>
      <w:r>
        <w:rPr>
          <w:color w:val="231F20"/>
        </w:rPr>
        <w:t>exhibir los permisos o autorizaciones previstos en la normativa</w:t>
      </w:r>
      <w:r>
        <w:rPr>
          <w:color w:val="231F20"/>
          <w:spacing w:val="-3"/>
        </w:rPr>
        <w:t> </w:t>
      </w:r>
      <w:r>
        <w:rPr>
          <w:color w:val="231F20"/>
        </w:rPr>
        <w:t>laboral.</w:t>
      </w:r>
    </w:p>
    <w:p>
      <w:pPr>
        <w:pStyle w:val="BodyText"/>
        <w:spacing w:line="247" w:lineRule="auto"/>
        <w:ind w:left="117" w:right="114" w:firstLine="283"/>
        <w:jc w:val="both"/>
      </w:pPr>
      <w:r>
        <w:rPr>
          <w:color w:val="231F20"/>
        </w:rPr>
        <w:t>El Reglamento establece un procedimiento especial en el caso de que un niño o adolescente en situación irregular sea detectado como víctima de algún delito, para lo cual la autoridad migratoria especializada en la infancia</w:t>
      </w:r>
      <w:r>
        <w:rPr>
          <w:color w:val="231F20"/>
          <w:spacing w:val="-13"/>
        </w:rPr>
        <w:t> </w:t>
      </w:r>
      <w:r>
        <w:rPr>
          <w:color w:val="231F20"/>
        </w:rPr>
        <w:t>deberá</w:t>
      </w:r>
      <w:r>
        <w:rPr>
          <w:color w:val="231F20"/>
          <w:spacing w:val="-12"/>
        </w:rPr>
        <w:t> </w:t>
      </w:r>
      <w:r>
        <w:rPr>
          <w:color w:val="231F20"/>
        </w:rPr>
        <w:t>canalizarlo</w:t>
      </w:r>
      <w:r>
        <w:rPr>
          <w:color w:val="231F20"/>
          <w:spacing w:val="-13"/>
        </w:rPr>
        <w:t> </w:t>
      </w:r>
      <w:r>
        <w:rPr>
          <w:color w:val="231F20"/>
        </w:rPr>
        <w:t>al</w:t>
      </w:r>
      <w:r>
        <w:rPr>
          <w:color w:val="231F20"/>
          <w:spacing w:val="-12"/>
        </w:rPr>
        <w:t> </w:t>
      </w:r>
      <w:r>
        <w:rPr>
          <w:color w:val="231F20"/>
          <w:spacing w:val="-5"/>
        </w:rPr>
        <w:t>DIF,</w:t>
      </w:r>
      <w:r>
        <w:rPr>
          <w:color w:val="231F20"/>
          <w:spacing w:val="-12"/>
        </w:rPr>
        <w:t> </w:t>
      </w:r>
      <w:r>
        <w:rPr>
          <w:color w:val="231F20"/>
        </w:rPr>
        <w:t>o</w:t>
      </w:r>
      <w:r>
        <w:rPr>
          <w:color w:val="231F20"/>
          <w:spacing w:val="-12"/>
        </w:rPr>
        <w:t> </w:t>
      </w:r>
      <w:r>
        <w:rPr>
          <w:color w:val="231F20"/>
        </w:rPr>
        <w:t>bien</w:t>
      </w:r>
      <w:r>
        <w:rPr>
          <w:color w:val="231F20"/>
          <w:spacing w:val="-12"/>
        </w:rPr>
        <w:t> </w:t>
      </w:r>
      <w:r>
        <w:rPr>
          <w:color w:val="231F20"/>
        </w:rPr>
        <w:t>a</w:t>
      </w:r>
      <w:r>
        <w:rPr>
          <w:color w:val="231F20"/>
          <w:spacing w:val="-12"/>
        </w:rPr>
        <w:t> </w:t>
      </w:r>
      <w:r>
        <w:rPr>
          <w:color w:val="231F20"/>
        </w:rPr>
        <w:t>alguna</w:t>
      </w:r>
      <w:r>
        <w:rPr>
          <w:color w:val="231F20"/>
          <w:spacing w:val="-12"/>
        </w:rPr>
        <w:t> </w:t>
      </w:r>
      <w:r>
        <w:rPr>
          <w:color w:val="231F20"/>
        </w:rPr>
        <w:t>institución</w:t>
      </w:r>
      <w:r>
        <w:rPr>
          <w:color w:val="231F20"/>
          <w:spacing w:val="-13"/>
        </w:rPr>
        <w:t> </w:t>
      </w:r>
      <w:r>
        <w:rPr>
          <w:color w:val="231F20"/>
        </w:rPr>
        <w:t>pública</w:t>
      </w:r>
      <w:r>
        <w:rPr>
          <w:color w:val="231F20"/>
          <w:spacing w:val="-12"/>
        </w:rPr>
        <w:t> </w:t>
      </w:r>
      <w:r>
        <w:rPr>
          <w:color w:val="231F20"/>
        </w:rPr>
        <w:t>o</w:t>
      </w:r>
      <w:r>
        <w:rPr>
          <w:color w:val="231F20"/>
          <w:spacing w:val="-12"/>
        </w:rPr>
        <w:t> </w:t>
      </w:r>
      <w:r>
        <w:rPr>
          <w:color w:val="231F20"/>
        </w:rPr>
        <w:t>pri- vada que le brinde la atención requerida, en tanto se resuelve su situación migratoria. En circunstancias extraordinarias cuando resulte</w:t>
      </w:r>
      <w:r>
        <w:rPr>
          <w:color w:val="231F20"/>
          <w:spacing w:val="-16"/>
        </w:rPr>
        <w:t> </w:t>
      </w:r>
      <w:r>
        <w:rPr>
          <w:color w:val="231F20"/>
        </w:rPr>
        <w:t>indispensable alojar</w:t>
      </w:r>
      <w:r>
        <w:rPr>
          <w:color w:val="231F20"/>
          <w:spacing w:val="-11"/>
        </w:rPr>
        <w:t> </w:t>
      </w:r>
      <w:r>
        <w:rPr>
          <w:color w:val="231F20"/>
        </w:rPr>
        <w:t>al</w:t>
      </w:r>
      <w:r>
        <w:rPr>
          <w:color w:val="231F20"/>
          <w:spacing w:val="-11"/>
        </w:rPr>
        <w:t> </w:t>
      </w:r>
      <w:r>
        <w:rPr>
          <w:color w:val="231F20"/>
        </w:rPr>
        <w:t>menor</w:t>
      </w:r>
      <w:r>
        <w:rPr>
          <w:color w:val="231F20"/>
          <w:spacing w:val="-11"/>
        </w:rPr>
        <w:t> </w:t>
      </w:r>
      <w:r>
        <w:rPr>
          <w:color w:val="231F20"/>
        </w:rPr>
        <w:t>en</w:t>
      </w:r>
      <w:r>
        <w:rPr>
          <w:color w:val="231F20"/>
          <w:spacing w:val="-11"/>
        </w:rPr>
        <w:t> </w:t>
      </w:r>
      <w:r>
        <w:rPr>
          <w:color w:val="231F20"/>
        </w:rPr>
        <w:t>una</w:t>
      </w:r>
      <w:r>
        <w:rPr>
          <w:color w:val="231F20"/>
          <w:spacing w:val="-11"/>
        </w:rPr>
        <w:t> </w:t>
      </w:r>
      <w:r>
        <w:rPr>
          <w:color w:val="231F20"/>
        </w:rPr>
        <w:t>EM,</w:t>
      </w:r>
      <w:r>
        <w:rPr>
          <w:color w:val="231F20"/>
          <w:spacing w:val="-11"/>
        </w:rPr>
        <w:t> </w:t>
      </w:r>
      <w:r>
        <w:rPr>
          <w:color w:val="231F20"/>
        </w:rPr>
        <w:t>para</w:t>
      </w:r>
      <w:r>
        <w:rPr>
          <w:color w:val="231F20"/>
          <w:spacing w:val="-11"/>
        </w:rPr>
        <w:t> </w:t>
      </w:r>
      <w:r>
        <w:rPr>
          <w:color w:val="231F20"/>
        </w:rPr>
        <w:t>preservar</w:t>
      </w:r>
      <w:r>
        <w:rPr>
          <w:color w:val="231F20"/>
          <w:spacing w:val="-11"/>
        </w:rPr>
        <w:t> </w:t>
      </w:r>
      <w:r>
        <w:rPr>
          <w:color w:val="231F20"/>
        </w:rPr>
        <w:t>su</w:t>
      </w:r>
      <w:r>
        <w:rPr>
          <w:color w:val="231F20"/>
          <w:spacing w:val="-11"/>
        </w:rPr>
        <w:t> </w:t>
      </w:r>
      <w:r>
        <w:rPr>
          <w:color w:val="231F20"/>
        </w:rPr>
        <w:t>integridad</w:t>
      </w:r>
      <w:r>
        <w:rPr>
          <w:color w:val="231F20"/>
          <w:spacing w:val="-12"/>
        </w:rPr>
        <w:t> </w:t>
      </w:r>
      <w:r>
        <w:rPr>
          <w:color w:val="231F20"/>
        </w:rPr>
        <w:t>física</w:t>
      </w:r>
      <w:r>
        <w:rPr>
          <w:color w:val="231F20"/>
          <w:spacing w:val="-11"/>
        </w:rPr>
        <w:t> </w:t>
      </w:r>
      <w:r>
        <w:rPr>
          <w:color w:val="231F20"/>
        </w:rPr>
        <w:t>o</w:t>
      </w:r>
      <w:r>
        <w:rPr>
          <w:color w:val="231F20"/>
          <w:spacing w:val="-11"/>
        </w:rPr>
        <w:t> </w:t>
      </w:r>
      <w:r>
        <w:rPr>
          <w:color w:val="231F20"/>
        </w:rPr>
        <w:t>emocional, se dejará constancia del hecho en el expediente correspondiente. En</w:t>
      </w:r>
      <w:r>
        <w:rPr>
          <w:color w:val="231F20"/>
          <w:spacing w:val="27"/>
        </w:rPr>
        <w:t> </w:t>
      </w:r>
      <w:r>
        <w:rPr>
          <w:color w:val="231F20"/>
        </w:rPr>
        <w:t>todas</w:t>
      </w:r>
    </w:p>
    <w:p>
      <w:pPr>
        <w:pStyle w:val="BodyText"/>
        <w:rPr>
          <w:sz w:val="20"/>
        </w:rPr>
      </w:pPr>
    </w:p>
    <w:p>
      <w:pPr>
        <w:pStyle w:val="BodyText"/>
        <w:rPr>
          <w:sz w:val="20"/>
        </w:rPr>
      </w:pPr>
    </w:p>
    <w:p>
      <w:pPr>
        <w:pStyle w:val="BodyText"/>
        <w:spacing w:before="2"/>
        <w:rPr>
          <w:sz w:val="12"/>
        </w:rPr>
      </w:pPr>
      <w:r>
        <w:rPr/>
        <w:pict>
          <v:line style="position:absolute;mso-position-horizontal-relative:page;mso-position-vertical-relative:paragraph;z-index:8584;mso-wrap-distance-left:0;mso-wrap-distance-right:0" from="70.866096pt,9.358507pt" to="142.866096pt,9.358507pt" stroked="true" strokeweight=".75pt" strokecolor="#231f20">
            <w10:wrap type="topAndBottom"/>
          </v:line>
        </w:pict>
      </w:r>
    </w:p>
    <w:p>
      <w:pPr>
        <w:spacing w:line="170" w:lineRule="exact" w:before="0"/>
        <w:ind w:left="117" w:right="117" w:firstLine="0"/>
        <w:jc w:val="left"/>
        <w:rPr>
          <w:sz w:val="17"/>
        </w:rPr>
      </w:pPr>
      <w:r>
        <w:rPr>
          <w:color w:val="231F20"/>
          <w:position w:val="6"/>
          <w:sz w:val="10"/>
        </w:rPr>
        <w:t>32 </w:t>
      </w:r>
      <w:r>
        <w:rPr>
          <w:color w:val="231F20"/>
          <w:sz w:val="17"/>
        </w:rPr>
        <w:t>Artículo 141 del Reglamento de la LM.</w:t>
      </w:r>
    </w:p>
    <w:p>
      <w:pPr>
        <w:spacing w:after="0" w:line="170" w:lineRule="exact"/>
        <w:jc w:val="left"/>
        <w:rPr>
          <w:sz w:val="17"/>
        </w:rPr>
        <w:sectPr>
          <w:footerReference w:type="default" r:id="rId241"/>
          <w:pgSz w:w="9360" w:h="13040"/>
          <w:pgMar w:footer="496" w:header="0" w:top="740" w:bottom="680" w:left="1300" w:right="1300"/>
          <w:pgNumType w:start="351"/>
        </w:sectPr>
      </w:pPr>
    </w:p>
    <w:p>
      <w:pPr>
        <w:tabs>
          <w:tab w:pos="5556" w:val="left" w:leader="none"/>
        </w:tabs>
        <w:spacing w:before="51"/>
        <w:ind w:left="124" w:right="0" w:firstLine="24"/>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7"/>
        <w:rPr>
          <w:sz w:val="19"/>
        </w:rPr>
      </w:pPr>
    </w:p>
    <w:p>
      <w:pPr>
        <w:pStyle w:val="BodyText"/>
        <w:spacing w:line="247" w:lineRule="auto" w:before="1"/>
        <w:ind w:left="124"/>
        <w:rPr>
          <w:sz w:val="13"/>
        </w:rPr>
      </w:pPr>
      <w:r>
        <w:rPr>
          <w:color w:val="231F20"/>
        </w:rPr>
        <w:t>las decisiones relacionadas con los niños y adolescentes deberá tomarse en cuenta su interés superior.</w:t>
      </w:r>
      <w:r>
        <w:rPr>
          <w:color w:val="231F20"/>
          <w:position w:val="7"/>
          <w:sz w:val="13"/>
        </w:rPr>
        <w:t>33</w:t>
      </w:r>
    </w:p>
    <w:p>
      <w:pPr>
        <w:pStyle w:val="BodyText"/>
        <w:spacing w:line="247" w:lineRule="auto"/>
        <w:ind w:left="124" w:right="114" w:firstLine="283"/>
        <w:jc w:val="both"/>
      </w:pPr>
      <w:r>
        <w:rPr>
          <w:color w:val="231F20"/>
        </w:rPr>
        <w:t>El artículo 181 del citado Reglamento garantiza el derecho del menor no acompañado a denunciar hechos constitutivos de delito ante la autori- dad ministerial. Para ello, el INAMI deberá garantizar su acompañamien- to, ante el Agente del Ministerio Público, de su representación consular y la asistencia por parte del personal especializado en la infancia de propio instituto.</w:t>
      </w:r>
    </w:p>
    <w:p>
      <w:pPr>
        <w:pStyle w:val="BodyText"/>
        <w:spacing w:line="247" w:lineRule="auto"/>
        <w:ind w:left="124" w:right="114" w:firstLine="283"/>
        <w:jc w:val="both"/>
        <w:rPr>
          <w:sz w:val="13"/>
        </w:rPr>
      </w:pPr>
      <w:r>
        <w:rPr>
          <w:color w:val="231F20"/>
        </w:rPr>
        <w:t>El retorno asistido es una nueva figura jurídica dentro de la legislación migratoria, y para que proceda en el caso de los niños y adolescentes es necesaria una investigación que garantice su no revictimización, al tiempo de</w:t>
      </w:r>
      <w:r>
        <w:rPr>
          <w:color w:val="231F20"/>
          <w:spacing w:val="-6"/>
        </w:rPr>
        <w:t> </w:t>
      </w:r>
      <w:r>
        <w:rPr>
          <w:color w:val="231F20"/>
        </w:rPr>
        <w:t>informar</w:t>
      </w:r>
      <w:r>
        <w:rPr>
          <w:color w:val="231F20"/>
          <w:spacing w:val="-7"/>
        </w:rPr>
        <w:t> </w:t>
      </w:r>
      <w:r>
        <w:rPr>
          <w:color w:val="231F20"/>
        </w:rPr>
        <w:t>a</w:t>
      </w:r>
      <w:r>
        <w:rPr>
          <w:color w:val="231F20"/>
          <w:spacing w:val="-6"/>
        </w:rPr>
        <w:t> </w:t>
      </w:r>
      <w:r>
        <w:rPr>
          <w:color w:val="231F20"/>
        </w:rPr>
        <w:t>la</w:t>
      </w:r>
      <w:r>
        <w:rPr>
          <w:color w:val="231F20"/>
          <w:spacing w:val="-6"/>
        </w:rPr>
        <w:t> </w:t>
      </w:r>
      <w:r>
        <w:rPr>
          <w:color w:val="231F20"/>
        </w:rPr>
        <w:t>autoridad</w:t>
      </w:r>
      <w:r>
        <w:rPr>
          <w:color w:val="231F20"/>
          <w:spacing w:val="-6"/>
        </w:rPr>
        <w:t> </w:t>
      </w:r>
      <w:r>
        <w:rPr>
          <w:color w:val="231F20"/>
        </w:rPr>
        <w:t>del</w:t>
      </w:r>
      <w:r>
        <w:rPr>
          <w:color w:val="231F20"/>
          <w:spacing w:val="-6"/>
        </w:rPr>
        <w:t> </w:t>
      </w:r>
      <w:r>
        <w:rPr>
          <w:color w:val="231F20"/>
        </w:rPr>
        <w:t>país</w:t>
      </w:r>
      <w:r>
        <w:rPr>
          <w:color w:val="231F20"/>
          <w:spacing w:val="-6"/>
        </w:rPr>
        <w:t> </w:t>
      </w:r>
      <w:r>
        <w:rPr>
          <w:color w:val="231F20"/>
        </w:rPr>
        <w:t>receptor</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trata</w:t>
      </w:r>
      <w:r>
        <w:rPr>
          <w:color w:val="231F20"/>
          <w:spacing w:val="-6"/>
        </w:rPr>
        <w:t> </w:t>
      </w:r>
      <w:r>
        <w:rPr>
          <w:color w:val="231F20"/>
        </w:rPr>
        <w:t>del</w:t>
      </w:r>
      <w:r>
        <w:rPr>
          <w:color w:val="231F20"/>
          <w:spacing w:val="-6"/>
        </w:rPr>
        <w:t> </w:t>
      </w:r>
      <w:r>
        <w:rPr>
          <w:color w:val="231F20"/>
        </w:rPr>
        <w:t>retorno</w:t>
      </w:r>
      <w:r>
        <w:rPr>
          <w:color w:val="231F20"/>
          <w:spacing w:val="-6"/>
        </w:rPr>
        <w:t> </w:t>
      </w:r>
      <w:r>
        <w:rPr>
          <w:color w:val="231F20"/>
        </w:rPr>
        <w:t>asistido de una víctima de delito, a fin de privilegiar un mecanismo de recepción adecuado</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reintegración</w:t>
      </w:r>
      <w:r>
        <w:rPr>
          <w:color w:val="231F20"/>
          <w:spacing w:val="-6"/>
        </w:rPr>
        <w:t> </w:t>
      </w:r>
      <w:r>
        <w:rPr>
          <w:color w:val="231F20"/>
        </w:rPr>
        <w:t>social</w:t>
      </w:r>
      <w:r>
        <w:rPr>
          <w:color w:val="231F20"/>
          <w:spacing w:val="-5"/>
        </w:rPr>
        <w:t> </w:t>
      </w:r>
      <w:r>
        <w:rPr>
          <w:color w:val="231F20"/>
        </w:rPr>
        <w:t>y</w:t>
      </w:r>
      <w:r>
        <w:rPr>
          <w:color w:val="231F20"/>
          <w:spacing w:val="-6"/>
        </w:rPr>
        <w:t> </w:t>
      </w:r>
      <w:r>
        <w:rPr>
          <w:color w:val="231F20"/>
        </w:rPr>
        <w:t>familiar</w:t>
      </w:r>
      <w:r>
        <w:rPr>
          <w:color w:val="231F20"/>
          <w:spacing w:val="-6"/>
        </w:rPr>
        <w:t> </w:t>
      </w:r>
      <w:r>
        <w:rPr>
          <w:color w:val="231F20"/>
        </w:rPr>
        <w:t>de</w:t>
      </w:r>
      <w:r>
        <w:rPr>
          <w:color w:val="231F20"/>
          <w:spacing w:val="-6"/>
        </w:rPr>
        <w:t> </w:t>
      </w:r>
      <w:r>
        <w:rPr>
          <w:color w:val="231F20"/>
        </w:rPr>
        <w:t>sujeto.</w:t>
      </w:r>
      <w:r>
        <w:rPr>
          <w:color w:val="231F20"/>
          <w:position w:val="7"/>
          <w:sz w:val="13"/>
        </w:rPr>
        <w:t>34</w:t>
      </w:r>
      <w:r>
        <w:rPr>
          <w:color w:val="231F20"/>
          <w:spacing w:val="6"/>
          <w:position w:val="7"/>
          <w:sz w:val="13"/>
        </w:rPr>
        <w:t> </w:t>
      </w:r>
      <w:r>
        <w:rPr>
          <w:color w:val="231F20"/>
        </w:rPr>
        <w:t>Además,</w:t>
      </w:r>
      <w:r>
        <w:rPr>
          <w:color w:val="231F20"/>
          <w:spacing w:val="-5"/>
        </w:rPr>
        <w:t> </w:t>
      </w:r>
      <w:r>
        <w:rPr>
          <w:color w:val="231F20"/>
        </w:rPr>
        <w:t>sobre el</w:t>
      </w:r>
      <w:r>
        <w:rPr>
          <w:color w:val="231F20"/>
          <w:spacing w:val="-12"/>
        </w:rPr>
        <w:t> </w:t>
      </w:r>
      <w:r>
        <w:rPr>
          <w:color w:val="231F20"/>
        </w:rPr>
        <w:t>particular</w:t>
      </w:r>
      <w:r>
        <w:rPr>
          <w:color w:val="231F20"/>
          <w:spacing w:val="-12"/>
        </w:rPr>
        <w:t> </w:t>
      </w:r>
      <w:r>
        <w:rPr>
          <w:color w:val="231F20"/>
        </w:rPr>
        <w:t>es</w:t>
      </w:r>
      <w:r>
        <w:rPr>
          <w:color w:val="231F20"/>
          <w:spacing w:val="-12"/>
        </w:rPr>
        <w:t> </w:t>
      </w:r>
      <w:r>
        <w:rPr>
          <w:color w:val="231F20"/>
        </w:rPr>
        <w:t>menester</w:t>
      </w:r>
      <w:r>
        <w:rPr>
          <w:color w:val="231F20"/>
          <w:spacing w:val="-13"/>
        </w:rPr>
        <w:t> </w:t>
      </w:r>
      <w:r>
        <w:rPr>
          <w:color w:val="231F20"/>
        </w:rPr>
        <w:t>señalar</w:t>
      </w:r>
      <w:r>
        <w:rPr>
          <w:color w:val="231F20"/>
          <w:spacing w:val="-12"/>
        </w:rPr>
        <w:t> </w:t>
      </w:r>
      <w:r>
        <w:rPr>
          <w:color w:val="231F20"/>
        </w:rPr>
        <w:t>el</w:t>
      </w:r>
      <w:r>
        <w:rPr>
          <w:color w:val="231F20"/>
          <w:spacing w:val="-12"/>
        </w:rPr>
        <w:t> </w:t>
      </w:r>
      <w:r>
        <w:rPr>
          <w:color w:val="231F20"/>
        </w:rPr>
        <w:t>establecimiento</w:t>
      </w:r>
      <w:r>
        <w:rPr>
          <w:color w:val="231F20"/>
          <w:spacing w:val="-13"/>
        </w:rPr>
        <w:t> </w:t>
      </w:r>
      <w:r>
        <w:rPr>
          <w:color w:val="231F20"/>
        </w:rPr>
        <w:t>de</w:t>
      </w:r>
      <w:r>
        <w:rPr>
          <w:color w:val="231F20"/>
          <w:spacing w:val="-12"/>
        </w:rPr>
        <w:t> </w:t>
      </w:r>
      <w:r>
        <w:rPr>
          <w:color w:val="231F20"/>
        </w:rPr>
        <w:t>programas</w:t>
      </w:r>
      <w:r>
        <w:rPr>
          <w:color w:val="231F20"/>
          <w:spacing w:val="-12"/>
        </w:rPr>
        <w:t> </w:t>
      </w:r>
      <w:r>
        <w:rPr>
          <w:color w:val="231F20"/>
        </w:rPr>
        <w:t>conjuntos de capacitación de los servidores públicos que intervienen en el procedi- miento, los cuales versan sobre la protección de derechos humanos y la atención especializada a víctimas de</w:t>
      </w:r>
      <w:r>
        <w:rPr>
          <w:color w:val="231F20"/>
          <w:spacing w:val="-5"/>
        </w:rPr>
        <w:t> </w:t>
      </w:r>
      <w:r>
        <w:rPr>
          <w:color w:val="231F20"/>
        </w:rPr>
        <w:t>delito.</w:t>
      </w:r>
      <w:r>
        <w:rPr>
          <w:color w:val="231F20"/>
          <w:position w:val="7"/>
          <w:sz w:val="13"/>
        </w:rPr>
        <w:t>35</w:t>
      </w:r>
    </w:p>
    <w:p>
      <w:pPr>
        <w:pStyle w:val="BodyText"/>
        <w:spacing w:line="247" w:lineRule="auto"/>
        <w:ind w:left="124" w:right="114" w:firstLine="283"/>
        <w:jc w:val="both"/>
        <w:rPr>
          <w:sz w:val="13"/>
        </w:rPr>
      </w:pPr>
      <w:r>
        <w:rPr>
          <w:color w:val="231F20"/>
        </w:rPr>
        <w:t>La Secretaría de Gobernación (SEGOB) está facultada para instrumen- tar</w:t>
      </w:r>
      <w:r>
        <w:rPr>
          <w:color w:val="231F20"/>
          <w:spacing w:val="-6"/>
        </w:rPr>
        <w:t> </w:t>
      </w:r>
      <w:r>
        <w:rPr>
          <w:color w:val="231F20"/>
        </w:rPr>
        <w:t>acciones</w:t>
      </w:r>
      <w:r>
        <w:rPr>
          <w:color w:val="231F20"/>
          <w:spacing w:val="-6"/>
        </w:rPr>
        <w:t> </w:t>
      </w:r>
      <w:r>
        <w:rPr>
          <w:color w:val="231F20"/>
        </w:rPr>
        <w:t>que</w:t>
      </w:r>
      <w:r>
        <w:rPr>
          <w:color w:val="231F20"/>
          <w:spacing w:val="-6"/>
        </w:rPr>
        <w:t> </w:t>
      </w:r>
      <w:r>
        <w:rPr>
          <w:color w:val="231F20"/>
        </w:rPr>
        <w:t>permitan</w:t>
      </w:r>
      <w:r>
        <w:rPr>
          <w:color w:val="231F20"/>
          <w:spacing w:val="-6"/>
        </w:rPr>
        <w:t> </w:t>
      </w:r>
      <w:r>
        <w:rPr>
          <w:color w:val="231F20"/>
        </w:rPr>
        <w:t>identificar</w:t>
      </w:r>
      <w:r>
        <w:rPr>
          <w:color w:val="231F20"/>
          <w:spacing w:val="-6"/>
        </w:rPr>
        <w:t> </w:t>
      </w:r>
      <w:r>
        <w:rPr>
          <w:color w:val="231F20"/>
        </w:rPr>
        <w:t>y</w:t>
      </w:r>
      <w:r>
        <w:rPr>
          <w:color w:val="231F20"/>
          <w:spacing w:val="-6"/>
        </w:rPr>
        <w:t> </w:t>
      </w:r>
      <w:r>
        <w:rPr>
          <w:color w:val="231F20"/>
        </w:rPr>
        <w:t>brindar</w:t>
      </w:r>
      <w:r>
        <w:rPr>
          <w:color w:val="231F20"/>
          <w:spacing w:val="-6"/>
        </w:rPr>
        <w:t> </w:t>
      </w:r>
      <w:r>
        <w:rPr>
          <w:color w:val="231F20"/>
        </w:rPr>
        <w:t>una</w:t>
      </w:r>
      <w:r>
        <w:rPr>
          <w:color w:val="231F20"/>
          <w:spacing w:val="-6"/>
        </w:rPr>
        <w:t> </w:t>
      </w:r>
      <w:r>
        <w:rPr>
          <w:color w:val="231F20"/>
        </w:rPr>
        <w:t>atención</w:t>
      </w:r>
      <w:r>
        <w:rPr>
          <w:color w:val="231F20"/>
          <w:spacing w:val="-6"/>
        </w:rPr>
        <w:t> </w:t>
      </w:r>
      <w:r>
        <w:rPr>
          <w:color w:val="231F20"/>
        </w:rPr>
        <w:t>adecuada</w:t>
      </w:r>
      <w:r>
        <w:rPr>
          <w:color w:val="231F20"/>
          <w:spacing w:val="-6"/>
        </w:rPr>
        <w:t> </w:t>
      </w:r>
      <w:r>
        <w:rPr>
          <w:color w:val="231F20"/>
        </w:rPr>
        <w:t>a</w:t>
      </w:r>
      <w:r>
        <w:rPr>
          <w:color w:val="231F20"/>
          <w:spacing w:val="-6"/>
        </w:rPr>
        <w:t> </w:t>
      </w:r>
      <w:r>
        <w:rPr>
          <w:color w:val="231F20"/>
        </w:rPr>
        <w:t>los migrantes que enfrentan situaciones de vulnerabilidad, como los menores no acompañados. Dichas acciones incluyen medidas pertinentes para ase- gurar que en los procedimientos migratorios se incluyan cuestionarios a fin de detectar que la atención proporcionada a los migrantes atienda a sus necesidades</w:t>
      </w:r>
      <w:r>
        <w:rPr>
          <w:color w:val="231F20"/>
          <w:spacing w:val="-5"/>
        </w:rPr>
        <w:t> </w:t>
      </w:r>
      <w:r>
        <w:rPr>
          <w:color w:val="231F20"/>
        </w:rPr>
        <w:t>y</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actuación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funcionarios</w:t>
      </w:r>
      <w:r>
        <w:rPr>
          <w:color w:val="231F20"/>
          <w:spacing w:val="-5"/>
        </w:rPr>
        <w:t> </w:t>
      </w:r>
      <w:r>
        <w:rPr>
          <w:color w:val="231F20"/>
        </w:rPr>
        <w:t>sea</w:t>
      </w:r>
      <w:r>
        <w:rPr>
          <w:color w:val="231F20"/>
          <w:spacing w:val="-5"/>
        </w:rPr>
        <w:t> </w:t>
      </w:r>
      <w:r>
        <w:rPr>
          <w:color w:val="231F20"/>
        </w:rPr>
        <w:t>acorde</w:t>
      </w:r>
      <w:r>
        <w:rPr>
          <w:color w:val="231F20"/>
          <w:spacing w:val="-5"/>
        </w:rPr>
        <w:t> </w:t>
      </w:r>
      <w:r>
        <w:rPr>
          <w:color w:val="231F20"/>
        </w:rPr>
        <w:t>con</w:t>
      </w:r>
      <w:r>
        <w:rPr>
          <w:color w:val="231F20"/>
          <w:spacing w:val="-5"/>
        </w:rPr>
        <w:t> </w:t>
      </w:r>
      <w:r>
        <w:rPr>
          <w:color w:val="231F20"/>
        </w:rPr>
        <w:t>los</w:t>
      </w:r>
      <w:r>
        <w:rPr>
          <w:color w:val="231F20"/>
          <w:spacing w:val="-5"/>
        </w:rPr>
        <w:t> </w:t>
      </w:r>
      <w:r>
        <w:rPr>
          <w:color w:val="231F20"/>
        </w:rPr>
        <w:t>prin- cipios de la </w:t>
      </w:r>
      <w:r>
        <w:rPr>
          <w:color w:val="231F20"/>
          <w:spacing w:val="-3"/>
        </w:rPr>
        <w:t>ley.</w:t>
      </w:r>
      <w:r>
        <w:rPr>
          <w:color w:val="231F20"/>
          <w:spacing w:val="-3"/>
          <w:position w:val="7"/>
          <w:sz w:val="13"/>
        </w:rPr>
        <w:t>36 </w:t>
      </w:r>
      <w:r>
        <w:rPr>
          <w:color w:val="231F20"/>
        </w:rPr>
        <w:t>Asimismo, con el objeto de mejorar la condición de los extranjeros independientemente de su situación migratoria, la </w:t>
      </w:r>
      <w:r>
        <w:rPr>
          <w:color w:val="231F20"/>
          <w:w w:val="115"/>
          <w:sz w:val="15"/>
        </w:rPr>
        <w:t>segob </w:t>
      </w:r>
      <w:r>
        <w:rPr>
          <w:color w:val="231F20"/>
        </w:rPr>
        <w:t>podrá establecer convenios de coordinación con dependencias de la Administra- ción Pública Federal, estados, municipios y organizaciones de la sociedad civil.</w:t>
      </w:r>
      <w:r>
        <w:rPr>
          <w:color w:val="231F20"/>
          <w:position w:val="7"/>
          <w:sz w:val="13"/>
        </w:rPr>
        <w:t>37</w:t>
      </w:r>
    </w:p>
    <w:p>
      <w:pPr>
        <w:pStyle w:val="BodyText"/>
        <w:spacing w:line="247" w:lineRule="auto"/>
        <w:ind w:left="124" w:right="115" w:firstLine="283"/>
        <w:jc w:val="both"/>
        <w:rPr>
          <w:sz w:val="13"/>
        </w:rPr>
      </w:pPr>
      <w:r>
        <w:rPr/>
        <w:pict>
          <v:line style="position:absolute;mso-position-horizontal-relative:page;mso-position-vertical-relative:paragraph;z-index:8608;mso-wrap-distance-left:0;mso-wrap-distance-right:0" from="70.216103pt,71.717827pt" to="142.216103pt,71.717827pt" stroked="true" strokeweight=".75pt" strokecolor="#231f20">
            <w10:wrap type="topAndBottom"/>
          </v:line>
        </w:pict>
      </w:r>
      <w:r>
        <w:rPr>
          <w:color w:val="231F20"/>
        </w:rPr>
        <w:t>Los Grupos de Protección a Migrantes, conocidos también como Gru- pos</w:t>
      </w:r>
      <w:r>
        <w:rPr>
          <w:color w:val="231F20"/>
          <w:spacing w:val="-8"/>
        </w:rPr>
        <w:t> </w:t>
      </w:r>
      <w:r>
        <w:rPr>
          <w:color w:val="231F20"/>
        </w:rPr>
        <w:t>Beta,</w:t>
      </w:r>
      <w:r>
        <w:rPr>
          <w:color w:val="231F20"/>
          <w:spacing w:val="-8"/>
        </w:rPr>
        <w:t> </w:t>
      </w:r>
      <w:r>
        <w:rPr>
          <w:color w:val="231F20"/>
        </w:rPr>
        <w:t>cuyo</w:t>
      </w:r>
      <w:r>
        <w:rPr>
          <w:color w:val="231F20"/>
          <w:spacing w:val="-8"/>
        </w:rPr>
        <w:t> </w:t>
      </w:r>
      <w:r>
        <w:rPr>
          <w:color w:val="231F20"/>
        </w:rPr>
        <w:t>objetivo</w:t>
      </w:r>
      <w:r>
        <w:rPr>
          <w:color w:val="231F20"/>
          <w:spacing w:val="-8"/>
        </w:rPr>
        <w:t> </w:t>
      </w:r>
      <w:r>
        <w:rPr>
          <w:color w:val="231F20"/>
        </w:rPr>
        <w:t>es</w:t>
      </w:r>
      <w:r>
        <w:rPr>
          <w:color w:val="231F20"/>
          <w:spacing w:val="-8"/>
        </w:rPr>
        <w:t> </w:t>
      </w:r>
      <w:r>
        <w:rPr>
          <w:color w:val="231F20"/>
        </w:rPr>
        <w:t>proporcionar</w:t>
      </w:r>
      <w:r>
        <w:rPr>
          <w:color w:val="231F20"/>
          <w:spacing w:val="-8"/>
        </w:rPr>
        <w:t> </w:t>
      </w:r>
      <w:r>
        <w:rPr>
          <w:color w:val="231F20"/>
        </w:rPr>
        <w:t>ayuda</w:t>
      </w:r>
      <w:r>
        <w:rPr>
          <w:color w:val="231F20"/>
          <w:spacing w:val="-8"/>
        </w:rPr>
        <w:t> </w:t>
      </w:r>
      <w:r>
        <w:rPr>
          <w:color w:val="231F20"/>
        </w:rPr>
        <w:t>humanitaria,</w:t>
      </w:r>
      <w:r>
        <w:rPr>
          <w:color w:val="231F20"/>
          <w:spacing w:val="-8"/>
        </w:rPr>
        <w:t> </w:t>
      </w:r>
      <w:r>
        <w:rPr>
          <w:color w:val="231F20"/>
        </w:rPr>
        <w:t>primeros</w:t>
      </w:r>
      <w:r>
        <w:rPr>
          <w:color w:val="231F20"/>
          <w:spacing w:val="-8"/>
        </w:rPr>
        <w:t> </w:t>
      </w:r>
      <w:r>
        <w:rPr>
          <w:color w:val="231F20"/>
        </w:rPr>
        <w:t>auxi- lios</w:t>
      </w:r>
      <w:r>
        <w:rPr>
          <w:color w:val="231F20"/>
          <w:spacing w:val="-6"/>
        </w:rPr>
        <w:t> </w:t>
      </w:r>
      <w:r>
        <w:rPr>
          <w:color w:val="231F20"/>
        </w:rPr>
        <w:t>y</w:t>
      </w:r>
      <w:r>
        <w:rPr>
          <w:color w:val="231F20"/>
          <w:spacing w:val="-5"/>
        </w:rPr>
        <w:t> </w:t>
      </w:r>
      <w:r>
        <w:rPr>
          <w:color w:val="231F20"/>
        </w:rPr>
        <w:t>orientación</w:t>
      </w:r>
      <w:r>
        <w:rPr>
          <w:color w:val="231F20"/>
          <w:spacing w:val="-5"/>
        </w:rPr>
        <w:t> </w:t>
      </w:r>
      <w:r>
        <w:rPr>
          <w:color w:val="231F20"/>
        </w:rPr>
        <w:t>e</w:t>
      </w:r>
      <w:r>
        <w:rPr>
          <w:color w:val="231F20"/>
          <w:spacing w:val="-5"/>
        </w:rPr>
        <w:t> </w:t>
      </w:r>
      <w:r>
        <w:rPr>
          <w:color w:val="231F20"/>
        </w:rPr>
        <w:t>información</w:t>
      </w:r>
      <w:r>
        <w:rPr>
          <w:color w:val="231F20"/>
          <w:spacing w:val="-5"/>
        </w:rPr>
        <w:t> </w:t>
      </w:r>
      <w:r>
        <w:rPr>
          <w:color w:val="231F20"/>
        </w:rPr>
        <w:t>a</w:t>
      </w:r>
      <w:r>
        <w:rPr>
          <w:color w:val="231F20"/>
          <w:spacing w:val="-5"/>
        </w:rPr>
        <w:t> </w:t>
      </w:r>
      <w:r>
        <w:rPr>
          <w:color w:val="231F20"/>
        </w:rPr>
        <w:t>los</w:t>
      </w:r>
      <w:r>
        <w:rPr>
          <w:color w:val="231F20"/>
          <w:spacing w:val="-6"/>
        </w:rPr>
        <w:t> </w:t>
      </w:r>
      <w:r>
        <w:rPr>
          <w:color w:val="231F20"/>
        </w:rPr>
        <w:t>migrantes</w:t>
      </w:r>
      <w:r>
        <w:rPr>
          <w:color w:val="231F20"/>
          <w:spacing w:val="-6"/>
        </w:rPr>
        <w:t> </w:t>
      </w:r>
      <w:r>
        <w:rPr>
          <w:color w:val="231F20"/>
        </w:rPr>
        <w:t>sobre</w:t>
      </w:r>
      <w:r>
        <w:rPr>
          <w:color w:val="231F20"/>
          <w:spacing w:val="-5"/>
        </w:rPr>
        <w:t> </w:t>
      </w:r>
      <w:r>
        <w:rPr>
          <w:color w:val="231F20"/>
        </w:rPr>
        <w:t>sus</w:t>
      </w:r>
      <w:r>
        <w:rPr>
          <w:color w:val="231F20"/>
          <w:spacing w:val="-5"/>
        </w:rPr>
        <w:t> </w:t>
      </w:r>
      <w:r>
        <w:rPr>
          <w:color w:val="231F20"/>
        </w:rPr>
        <w:t>derechos,</w:t>
      </w:r>
      <w:r>
        <w:rPr>
          <w:color w:val="231F20"/>
          <w:spacing w:val="-5"/>
        </w:rPr>
        <w:t> </w:t>
      </w:r>
      <w:r>
        <w:rPr>
          <w:color w:val="231F20"/>
        </w:rPr>
        <w:t>son</w:t>
      </w:r>
      <w:r>
        <w:rPr>
          <w:color w:val="231F20"/>
          <w:spacing w:val="-5"/>
        </w:rPr>
        <w:t> </w:t>
      </w:r>
      <w:r>
        <w:rPr>
          <w:color w:val="231F20"/>
        </w:rPr>
        <w:t>de igual</w:t>
      </w:r>
      <w:r>
        <w:rPr>
          <w:color w:val="231F20"/>
          <w:spacing w:val="-7"/>
        </w:rPr>
        <w:t> </w:t>
      </w:r>
      <w:r>
        <w:rPr>
          <w:color w:val="231F20"/>
        </w:rPr>
        <w:t>forma</w:t>
      </w:r>
      <w:r>
        <w:rPr>
          <w:color w:val="231F20"/>
          <w:spacing w:val="-7"/>
        </w:rPr>
        <w:t> </w:t>
      </w:r>
      <w:r>
        <w:rPr>
          <w:color w:val="231F20"/>
        </w:rPr>
        <w:t>un</w:t>
      </w:r>
      <w:r>
        <w:rPr>
          <w:color w:val="231F20"/>
          <w:spacing w:val="-7"/>
        </w:rPr>
        <w:t> </w:t>
      </w:r>
      <w:r>
        <w:rPr>
          <w:color w:val="231F20"/>
        </w:rPr>
        <w:t>mecanismo</w:t>
      </w:r>
      <w:r>
        <w:rPr>
          <w:color w:val="231F20"/>
          <w:spacing w:val="-7"/>
        </w:rPr>
        <w:t> </w:t>
      </w:r>
      <w:r>
        <w:rPr>
          <w:color w:val="231F20"/>
        </w:rPr>
        <w:t>instaurado</w:t>
      </w:r>
      <w:r>
        <w:rPr>
          <w:color w:val="231F20"/>
          <w:spacing w:val="-8"/>
        </w:rPr>
        <w:t> </w:t>
      </w:r>
      <w:r>
        <w:rPr>
          <w:color w:val="231F20"/>
        </w:rPr>
        <w:t>por</w:t>
      </w:r>
      <w:r>
        <w:rPr>
          <w:color w:val="231F20"/>
          <w:spacing w:val="-7"/>
        </w:rPr>
        <w:t> </w:t>
      </w:r>
      <w:r>
        <w:rPr>
          <w:color w:val="231F20"/>
        </w:rPr>
        <w:t>el</w:t>
      </w:r>
      <w:r>
        <w:rPr>
          <w:color w:val="231F20"/>
          <w:spacing w:val="-7"/>
        </w:rPr>
        <w:t> </w:t>
      </w:r>
      <w:r>
        <w:rPr>
          <w:color w:val="231F20"/>
        </w:rPr>
        <w:t>gobierno</w:t>
      </w:r>
      <w:r>
        <w:rPr>
          <w:color w:val="231F20"/>
          <w:spacing w:val="-7"/>
        </w:rPr>
        <w:t> </w:t>
      </w:r>
      <w:r>
        <w:rPr>
          <w:color w:val="231F20"/>
        </w:rPr>
        <w:t>para</w:t>
      </w:r>
      <w:r>
        <w:rPr>
          <w:color w:val="231F20"/>
          <w:spacing w:val="-7"/>
        </w:rPr>
        <w:t> </w:t>
      </w:r>
      <w:r>
        <w:rPr>
          <w:color w:val="231F20"/>
        </w:rPr>
        <w:t>coadyuvar</w:t>
      </w:r>
      <w:r>
        <w:rPr>
          <w:color w:val="231F20"/>
          <w:spacing w:val="-8"/>
        </w:rPr>
        <w:t> </w:t>
      </w:r>
      <w:r>
        <w:rPr>
          <w:color w:val="231F20"/>
        </w:rPr>
        <w:t>en</w:t>
      </w:r>
      <w:r>
        <w:rPr>
          <w:color w:val="231F20"/>
          <w:spacing w:val="-7"/>
        </w:rPr>
        <w:t> </w:t>
      </w:r>
      <w:r>
        <w:rPr>
          <w:color w:val="231F20"/>
        </w:rPr>
        <w:t>la protección de los migrantes y concretamente de los niños y</w:t>
      </w:r>
      <w:r>
        <w:rPr>
          <w:color w:val="231F20"/>
          <w:spacing w:val="-25"/>
        </w:rPr>
        <w:t> </w:t>
      </w:r>
      <w:r>
        <w:rPr>
          <w:color w:val="231F20"/>
        </w:rPr>
        <w:t>adolescentes.</w:t>
      </w:r>
      <w:r>
        <w:rPr>
          <w:color w:val="231F20"/>
          <w:position w:val="7"/>
          <w:sz w:val="13"/>
        </w:rPr>
        <w:t>38</w:t>
      </w:r>
    </w:p>
    <w:p>
      <w:pPr>
        <w:spacing w:line="170" w:lineRule="exact" w:before="0"/>
        <w:ind w:left="124" w:right="3829" w:firstLine="0"/>
        <w:jc w:val="both"/>
        <w:rPr>
          <w:sz w:val="17"/>
        </w:rPr>
      </w:pPr>
      <w:r>
        <w:rPr>
          <w:color w:val="231F20"/>
          <w:position w:val="6"/>
          <w:sz w:val="10"/>
        </w:rPr>
        <w:t>33 </w:t>
      </w:r>
      <w:r>
        <w:rPr>
          <w:color w:val="231F20"/>
          <w:sz w:val="17"/>
        </w:rPr>
        <w:t>Artículo 180 del Reglamento de la LM. </w:t>
      </w:r>
      <w:r>
        <w:rPr>
          <w:color w:val="231F20"/>
          <w:position w:val="6"/>
          <w:sz w:val="10"/>
        </w:rPr>
        <w:t>34 </w:t>
      </w:r>
      <w:r>
        <w:rPr>
          <w:color w:val="231F20"/>
          <w:sz w:val="17"/>
        </w:rPr>
        <w:t>Artículo 183 del Reglamento de la LM. </w:t>
      </w:r>
      <w:r>
        <w:rPr>
          <w:color w:val="231F20"/>
          <w:position w:val="6"/>
          <w:sz w:val="10"/>
        </w:rPr>
        <w:t>35 </w:t>
      </w:r>
      <w:r>
        <w:rPr>
          <w:color w:val="231F20"/>
          <w:sz w:val="17"/>
        </w:rPr>
        <w:t>Artículo 192 del Reglamento de la LM. </w:t>
      </w:r>
      <w:r>
        <w:rPr>
          <w:color w:val="231F20"/>
          <w:position w:val="6"/>
          <w:sz w:val="10"/>
        </w:rPr>
        <w:t>36 </w:t>
      </w:r>
      <w:r>
        <w:rPr>
          <w:color w:val="231F20"/>
          <w:sz w:val="17"/>
        </w:rPr>
        <w:t>Artículo 185 del Reglamento de la LM. </w:t>
      </w:r>
      <w:r>
        <w:rPr>
          <w:color w:val="231F20"/>
          <w:position w:val="6"/>
          <w:sz w:val="10"/>
        </w:rPr>
        <w:t>37 </w:t>
      </w:r>
      <w:r>
        <w:rPr>
          <w:color w:val="231F20"/>
          <w:sz w:val="17"/>
        </w:rPr>
        <w:t>Artículo 186 del Reglamento de la LM.</w:t>
      </w:r>
    </w:p>
    <w:p>
      <w:pPr>
        <w:spacing w:line="173" w:lineRule="exact" w:before="0"/>
        <w:ind w:left="124" w:right="0" w:firstLine="0"/>
        <w:jc w:val="both"/>
        <w:rPr>
          <w:sz w:val="17"/>
        </w:rPr>
      </w:pPr>
      <w:r>
        <w:rPr>
          <w:color w:val="231F20"/>
          <w:position w:val="6"/>
          <w:sz w:val="10"/>
        </w:rPr>
        <w:t>38 </w:t>
      </w:r>
      <w:r>
        <w:rPr>
          <w:color w:val="231F20"/>
          <w:sz w:val="17"/>
        </w:rPr>
        <w:t>Artículo 187 y 188 del Reglamento de la LM.</w:t>
      </w:r>
    </w:p>
    <w:p>
      <w:pPr>
        <w:spacing w:after="0" w:line="173" w:lineRule="exact"/>
        <w:jc w:val="both"/>
        <w:rPr>
          <w:sz w:val="17"/>
        </w:rPr>
        <w:sectPr>
          <w:pgSz w:w="9360" w:h="13040"/>
          <w:pgMar w:header="0" w:footer="496" w:top="840" w:bottom="680" w:left="1280" w:right="1300"/>
        </w:sectPr>
      </w:pPr>
    </w:p>
    <w:p>
      <w:pPr>
        <w:spacing w:before="45"/>
        <w:ind w:left="117" w:right="0" w:firstLine="116"/>
        <w:jc w:val="left"/>
        <w:rPr>
          <w:rFonts w:ascii="Arial" w:hAnsi="Arial"/>
          <w:sz w:val="20"/>
        </w:rPr>
      </w:pPr>
      <w:r>
        <w:rPr>
          <w:rFonts w:ascii="Arial" w:hAnsi="Arial"/>
          <w:color w:val="231F20"/>
          <w:w w:val="70"/>
          <w:sz w:val="20"/>
        </w:rPr>
        <w:t>Los</w:t>
      </w:r>
      <w:r>
        <w:rPr>
          <w:rFonts w:ascii="Arial" w:hAnsi="Arial"/>
          <w:color w:val="231F20"/>
          <w:spacing w:val="-13"/>
          <w:w w:val="70"/>
          <w:sz w:val="20"/>
        </w:rPr>
        <w:t> </w:t>
      </w:r>
      <w:r>
        <w:rPr>
          <w:rFonts w:ascii="Arial" w:hAnsi="Arial"/>
          <w:color w:val="231F20"/>
          <w:w w:val="70"/>
          <w:sz w:val="20"/>
        </w:rPr>
        <w:t>menores</w:t>
      </w:r>
      <w:r>
        <w:rPr>
          <w:rFonts w:ascii="Arial" w:hAnsi="Arial"/>
          <w:color w:val="231F20"/>
          <w:spacing w:val="-13"/>
          <w:w w:val="70"/>
          <w:sz w:val="20"/>
        </w:rPr>
        <w:t> </w:t>
      </w:r>
      <w:r>
        <w:rPr>
          <w:rFonts w:ascii="Arial" w:hAnsi="Arial"/>
          <w:color w:val="231F20"/>
          <w:w w:val="70"/>
          <w:sz w:val="20"/>
        </w:rPr>
        <w:t>inmigrantes</w:t>
      </w:r>
      <w:r>
        <w:rPr>
          <w:rFonts w:ascii="Arial" w:hAnsi="Arial"/>
          <w:color w:val="231F20"/>
          <w:spacing w:val="-13"/>
          <w:w w:val="70"/>
          <w:sz w:val="20"/>
        </w:rPr>
        <w:t> </w:t>
      </w:r>
      <w:r>
        <w:rPr>
          <w:rFonts w:ascii="Arial" w:hAnsi="Arial"/>
          <w:color w:val="231F20"/>
          <w:w w:val="70"/>
          <w:sz w:val="20"/>
        </w:rPr>
        <w:t>indocumentados</w:t>
      </w:r>
      <w:r>
        <w:rPr>
          <w:rFonts w:ascii="Arial" w:hAnsi="Arial"/>
          <w:color w:val="231F20"/>
          <w:spacing w:val="-13"/>
          <w:w w:val="70"/>
          <w:sz w:val="20"/>
        </w:rPr>
        <w:t> </w:t>
      </w:r>
      <w:r>
        <w:rPr>
          <w:rFonts w:ascii="Arial" w:hAnsi="Arial"/>
          <w:color w:val="231F20"/>
          <w:w w:val="70"/>
          <w:sz w:val="20"/>
        </w:rPr>
        <w:t>ante</w:t>
      </w:r>
      <w:r>
        <w:rPr>
          <w:rFonts w:ascii="Arial" w:hAnsi="Arial"/>
          <w:color w:val="231F20"/>
          <w:spacing w:val="-13"/>
          <w:w w:val="70"/>
          <w:sz w:val="20"/>
        </w:rPr>
        <w:t> </w:t>
      </w:r>
      <w:r>
        <w:rPr>
          <w:rFonts w:ascii="Arial" w:hAnsi="Arial"/>
          <w:color w:val="231F20"/>
          <w:w w:val="70"/>
          <w:sz w:val="20"/>
        </w:rPr>
        <w:t>la</w:t>
      </w:r>
      <w:r>
        <w:rPr>
          <w:rFonts w:ascii="Arial" w:hAnsi="Arial"/>
          <w:color w:val="231F20"/>
          <w:spacing w:val="-13"/>
          <w:w w:val="70"/>
          <w:sz w:val="20"/>
        </w:rPr>
        <w:t> </w:t>
      </w:r>
      <w:r>
        <w:rPr>
          <w:rFonts w:ascii="Arial" w:hAnsi="Arial"/>
          <w:color w:val="231F20"/>
          <w:w w:val="70"/>
          <w:sz w:val="20"/>
        </w:rPr>
        <w:t>nueva</w:t>
      </w:r>
      <w:r>
        <w:rPr>
          <w:rFonts w:ascii="Arial" w:hAnsi="Arial"/>
          <w:color w:val="231F20"/>
          <w:spacing w:val="-13"/>
          <w:w w:val="70"/>
          <w:sz w:val="20"/>
        </w:rPr>
        <w:t> </w:t>
      </w:r>
      <w:r>
        <w:rPr>
          <w:rFonts w:ascii="Arial" w:hAnsi="Arial"/>
          <w:color w:val="231F20"/>
          <w:w w:val="70"/>
          <w:sz w:val="20"/>
        </w:rPr>
        <w:t>ley</w:t>
      </w:r>
      <w:r>
        <w:rPr>
          <w:rFonts w:ascii="Arial" w:hAnsi="Arial"/>
          <w:color w:val="231F20"/>
          <w:spacing w:val="-13"/>
          <w:w w:val="70"/>
          <w:sz w:val="20"/>
        </w:rPr>
        <w:t> </w:t>
      </w:r>
      <w:r>
        <w:rPr>
          <w:rFonts w:ascii="Arial" w:hAnsi="Arial"/>
          <w:color w:val="231F20"/>
          <w:w w:val="70"/>
          <w:sz w:val="20"/>
        </w:rPr>
        <w:t>de</w:t>
      </w:r>
      <w:r>
        <w:rPr>
          <w:rFonts w:ascii="Arial" w:hAnsi="Arial"/>
          <w:color w:val="231F20"/>
          <w:spacing w:val="-13"/>
          <w:w w:val="70"/>
          <w:sz w:val="20"/>
        </w:rPr>
        <w:t> </w:t>
      </w:r>
      <w:r>
        <w:rPr>
          <w:rFonts w:ascii="Arial" w:hAnsi="Arial"/>
          <w:color w:val="231F20"/>
          <w:w w:val="70"/>
          <w:sz w:val="20"/>
        </w:rPr>
        <w:t>migración...</w:t>
      </w:r>
      <w:r>
        <w:rPr>
          <w:rFonts w:ascii="Arial" w:hAnsi="Arial"/>
          <w:color w:val="231F20"/>
          <w:spacing w:val="-13"/>
          <w:w w:val="70"/>
          <w:sz w:val="20"/>
        </w:rPr>
        <w:t> </w:t>
      </w:r>
      <w:r>
        <w:rPr>
          <w:rFonts w:ascii="Arial" w:hAnsi="Arial"/>
          <w:color w:val="231F20"/>
          <w:w w:val="70"/>
          <w:sz w:val="20"/>
        </w:rPr>
        <w:t>/Alma</w:t>
      </w:r>
      <w:r>
        <w:rPr>
          <w:rFonts w:ascii="Arial" w:hAnsi="Arial"/>
          <w:color w:val="231F20"/>
          <w:spacing w:val="-21"/>
          <w:w w:val="70"/>
          <w:sz w:val="20"/>
        </w:rPr>
        <w:t> </w:t>
      </w:r>
      <w:r>
        <w:rPr>
          <w:rFonts w:ascii="Arial" w:hAnsi="Arial"/>
          <w:color w:val="231F20"/>
          <w:w w:val="70"/>
          <w:sz w:val="20"/>
        </w:rPr>
        <w:t>C.</w:t>
      </w:r>
      <w:r>
        <w:rPr>
          <w:rFonts w:ascii="Arial" w:hAnsi="Arial"/>
          <w:color w:val="231F20"/>
          <w:spacing w:val="-21"/>
          <w:w w:val="70"/>
          <w:sz w:val="20"/>
        </w:rPr>
        <w:t> </w:t>
      </w:r>
      <w:r>
        <w:rPr>
          <w:rFonts w:ascii="Arial" w:hAnsi="Arial"/>
          <w:color w:val="231F20"/>
          <w:w w:val="70"/>
          <w:sz w:val="20"/>
        </w:rPr>
        <w:t>Guadarrama-Muñoz</w:t>
      </w:r>
    </w:p>
    <w:p>
      <w:pPr>
        <w:pStyle w:val="BodyText"/>
        <w:spacing w:before="7"/>
        <w:rPr>
          <w:rFonts w:ascii="Arial"/>
          <w:sz w:val="28"/>
        </w:rPr>
      </w:pPr>
    </w:p>
    <w:p>
      <w:pPr>
        <w:pStyle w:val="BodyText"/>
        <w:spacing w:line="247" w:lineRule="auto"/>
        <w:ind w:left="117" w:right="115"/>
        <w:jc w:val="both"/>
        <w:rPr>
          <w:sz w:val="13"/>
        </w:rPr>
      </w:pPr>
      <w:r>
        <w:rPr>
          <w:color w:val="231F20"/>
        </w:rPr>
        <w:t>Este</w:t>
      </w:r>
      <w:r>
        <w:rPr>
          <w:color w:val="231F20"/>
          <w:spacing w:val="-5"/>
        </w:rPr>
        <w:t> </w:t>
      </w:r>
      <w:r>
        <w:rPr>
          <w:color w:val="231F20"/>
        </w:rPr>
        <w:t>grupo</w:t>
      </w:r>
      <w:r>
        <w:rPr>
          <w:color w:val="231F20"/>
          <w:spacing w:val="-5"/>
        </w:rPr>
        <w:t> </w:t>
      </w:r>
      <w:r>
        <w:rPr>
          <w:color w:val="231F20"/>
        </w:rPr>
        <w:t>recibe</w:t>
      </w:r>
      <w:r>
        <w:rPr>
          <w:color w:val="231F20"/>
          <w:spacing w:val="-5"/>
        </w:rPr>
        <w:t> </w:t>
      </w:r>
      <w:r>
        <w:rPr>
          <w:color w:val="231F20"/>
        </w:rPr>
        <w:t>capacitación</w:t>
      </w:r>
      <w:r>
        <w:rPr>
          <w:color w:val="231F20"/>
          <w:spacing w:val="-6"/>
        </w:rPr>
        <w:t> </w:t>
      </w:r>
      <w:r>
        <w:rPr>
          <w:color w:val="231F20"/>
        </w:rPr>
        <w:t>continua</w:t>
      </w:r>
      <w:r>
        <w:rPr>
          <w:color w:val="231F20"/>
          <w:spacing w:val="-5"/>
        </w:rPr>
        <w:t> </w:t>
      </w:r>
      <w:r>
        <w:rPr>
          <w:color w:val="231F20"/>
        </w:rPr>
        <w:t>en</w:t>
      </w:r>
      <w:r>
        <w:rPr>
          <w:color w:val="231F20"/>
          <w:spacing w:val="-5"/>
        </w:rPr>
        <w:t> </w:t>
      </w:r>
      <w:r>
        <w:rPr>
          <w:color w:val="231F20"/>
        </w:rPr>
        <w:t>diferentes</w:t>
      </w:r>
      <w:r>
        <w:rPr>
          <w:color w:val="231F20"/>
          <w:spacing w:val="-5"/>
        </w:rPr>
        <w:t> </w:t>
      </w:r>
      <w:r>
        <w:rPr>
          <w:color w:val="231F20"/>
        </w:rPr>
        <w:t>temas,</w:t>
      </w:r>
      <w:r>
        <w:rPr>
          <w:color w:val="231F20"/>
          <w:spacing w:val="-5"/>
        </w:rPr>
        <w:t> </w:t>
      </w:r>
      <w:r>
        <w:rPr>
          <w:color w:val="231F20"/>
        </w:rPr>
        <w:t>entre</w:t>
      </w:r>
      <w:r>
        <w:rPr>
          <w:color w:val="231F20"/>
          <w:spacing w:val="-5"/>
        </w:rPr>
        <w:t> </w:t>
      </w:r>
      <w:r>
        <w:rPr>
          <w:color w:val="231F20"/>
        </w:rPr>
        <w:t>los</w:t>
      </w:r>
      <w:r>
        <w:rPr>
          <w:color w:val="231F20"/>
          <w:spacing w:val="-5"/>
        </w:rPr>
        <w:t> </w:t>
      </w:r>
      <w:r>
        <w:rPr>
          <w:color w:val="231F20"/>
        </w:rPr>
        <w:t>cua- les encontramos la atención a</w:t>
      </w:r>
      <w:r>
        <w:rPr>
          <w:color w:val="231F20"/>
          <w:spacing w:val="-6"/>
        </w:rPr>
        <w:t> </w:t>
      </w:r>
      <w:r>
        <w:rPr>
          <w:color w:val="231F20"/>
        </w:rPr>
        <w:t>menores.</w:t>
      </w:r>
      <w:r>
        <w:rPr>
          <w:color w:val="231F20"/>
          <w:position w:val="7"/>
          <w:sz w:val="13"/>
        </w:rPr>
        <w:t>39</w:t>
      </w:r>
    </w:p>
    <w:p>
      <w:pPr>
        <w:pStyle w:val="BodyText"/>
        <w:spacing w:line="247" w:lineRule="auto"/>
        <w:ind w:left="117" w:right="114" w:firstLine="283"/>
        <w:jc w:val="both"/>
      </w:pPr>
      <w:r>
        <w:rPr>
          <w:color w:val="231F20"/>
        </w:rPr>
        <w:t>Finalmente,</w:t>
      </w:r>
      <w:r>
        <w:rPr>
          <w:color w:val="231F20"/>
          <w:spacing w:val="-4"/>
        </w:rPr>
        <w:t> </w:t>
      </w:r>
      <w:r>
        <w:rPr>
          <w:color w:val="231F20"/>
        </w:rPr>
        <w:t>está</w:t>
      </w:r>
      <w:r>
        <w:rPr>
          <w:color w:val="231F20"/>
          <w:spacing w:val="-5"/>
        </w:rPr>
        <w:t> </w:t>
      </w:r>
      <w:r>
        <w:rPr>
          <w:color w:val="231F20"/>
        </w:rPr>
        <w:t>el</w:t>
      </w:r>
      <w:r>
        <w:rPr>
          <w:color w:val="231F20"/>
          <w:spacing w:val="-5"/>
        </w:rPr>
        <w:t> </w:t>
      </w:r>
      <w:r>
        <w:rPr>
          <w:color w:val="231F20"/>
        </w:rPr>
        <w:t>tema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repatriación,</w:t>
      </w:r>
      <w:r>
        <w:rPr>
          <w:color w:val="231F20"/>
          <w:spacing w:val="-5"/>
        </w:rPr>
        <w:t> </w:t>
      </w:r>
      <w:r>
        <w:rPr>
          <w:color w:val="231F20"/>
        </w:rPr>
        <w:t>regulado</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artículo</w:t>
      </w:r>
      <w:r>
        <w:rPr>
          <w:color w:val="231F20"/>
          <w:spacing w:val="-5"/>
        </w:rPr>
        <w:t> </w:t>
      </w:r>
      <w:r>
        <w:rPr>
          <w:color w:val="231F20"/>
        </w:rPr>
        <w:t>217 del Reglamento de la LM, en el que se establece la facultad de la </w:t>
      </w:r>
      <w:r>
        <w:rPr>
          <w:color w:val="231F20"/>
          <w:w w:val="115"/>
          <w:sz w:val="15"/>
        </w:rPr>
        <w:t>segob </w:t>
      </w:r>
      <w:r>
        <w:rPr>
          <w:color w:val="231F20"/>
        </w:rPr>
        <w:t>de instrumentar acciones para brindar la atención adecuada a los mexicanos repatriados en situación de vulnerabilidad, como los niños y</w:t>
      </w:r>
      <w:r>
        <w:rPr>
          <w:color w:val="231F20"/>
          <w:spacing w:val="-11"/>
        </w:rPr>
        <w:t> </w:t>
      </w:r>
      <w:r>
        <w:rPr>
          <w:color w:val="231F20"/>
        </w:rPr>
        <w:t>adolescentes.</w:t>
      </w:r>
    </w:p>
    <w:p>
      <w:pPr>
        <w:pStyle w:val="Heading3"/>
      </w:pPr>
      <w:r>
        <w:rPr>
          <w:color w:val="231F20"/>
        </w:rPr>
        <w:t>Reflexiones finales</w:t>
      </w:r>
    </w:p>
    <w:p>
      <w:pPr>
        <w:pStyle w:val="BodyText"/>
        <w:spacing w:line="247" w:lineRule="auto" w:before="172"/>
        <w:ind w:left="117" w:right="114"/>
        <w:jc w:val="both"/>
      </w:pPr>
      <w:r>
        <w:rPr>
          <w:color w:val="231F20"/>
        </w:rPr>
        <w:t>Los menores son influenciados por las condiciones económicas y sociales que viven los adultos. Frente a este hecho, es claro que el flujo de niños   y adolescentes indocumentados seguirá aumentando gradualmente en las próximas</w:t>
      </w:r>
      <w:r>
        <w:rPr>
          <w:color w:val="231F20"/>
          <w:spacing w:val="-6"/>
        </w:rPr>
        <w:t> </w:t>
      </w:r>
      <w:r>
        <w:rPr>
          <w:color w:val="231F20"/>
        </w:rPr>
        <w:t>décadas</w:t>
      </w:r>
      <w:r>
        <w:rPr>
          <w:color w:val="231F20"/>
          <w:spacing w:val="-6"/>
        </w:rPr>
        <w:t> </w:t>
      </w:r>
      <w:r>
        <w:rPr>
          <w:color w:val="231F20"/>
        </w:rPr>
        <w:t>y</w:t>
      </w:r>
      <w:r>
        <w:rPr>
          <w:color w:val="231F20"/>
          <w:spacing w:val="-6"/>
        </w:rPr>
        <w:t> </w:t>
      </w:r>
      <w:r>
        <w:rPr>
          <w:color w:val="231F20"/>
        </w:rPr>
        <w:t>quizás</w:t>
      </w:r>
      <w:r>
        <w:rPr>
          <w:color w:val="231F20"/>
          <w:spacing w:val="-6"/>
        </w:rPr>
        <w:t> </w:t>
      </w:r>
      <w:r>
        <w:rPr>
          <w:color w:val="231F20"/>
        </w:rPr>
        <w:t>alcance</w:t>
      </w:r>
      <w:r>
        <w:rPr>
          <w:color w:val="231F20"/>
          <w:spacing w:val="-6"/>
        </w:rPr>
        <w:t> </w:t>
      </w:r>
      <w:r>
        <w:rPr>
          <w:color w:val="231F20"/>
        </w:rPr>
        <w:t>las</w:t>
      </w:r>
      <w:r>
        <w:rPr>
          <w:color w:val="231F20"/>
          <w:spacing w:val="-6"/>
        </w:rPr>
        <w:t> </w:t>
      </w:r>
      <w:r>
        <w:rPr>
          <w:color w:val="231F20"/>
        </w:rPr>
        <w:t>dimensiones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corrientes</w:t>
      </w:r>
      <w:r>
        <w:rPr>
          <w:color w:val="231F20"/>
          <w:spacing w:val="-6"/>
        </w:rPr>
        <w:t> </w:t>
      </w:r>
      <w:r>
        <w:rPr>
          <w:color w:val="231F20"/>
        </w:rPr>
        <w:t>de</w:t>
      </w:r>
      <w:r>
        <w:rPr>
          <w:color w:val="231F20"/>
          <w:spacing w:val="-6"/>
        </w:rPr>
        <w:t> </w:t>
      </w:r>
      <w:r>
        <w:rPr>
          <w:color w:val="231F20"/>
        </w:rPr>
        <w:t>los adultos. Esto obligó al gobierno mexicano a promulgar una legislación en materia migratoria acorde a la realidad y necesidades de los movimientos de población que se producen en nuestro territorio, con un espíritu de res- peto a los derechos</w:t>
      </w:r>
      <w:r>
        <w:rPr>
          <w:color w:val="231F20"/>
          <w:spacing w:val="-1"/>
        </w:rPr>
        <w:t> </w:t>
      </w:r>
      <w:r>
        <w:rPr>
          <w:color w:val="231F20"/>
        </w:rPr>
        <w:t>humanos.</w:t>
      </w:r>
    </w:p>
    <w:p>
      <w:pPr>
        <w:pStyle w:val="BodyText"/>
        <w:spacing w:line="247" w:lineRule="auto"/>
        <w:ind w:left="117" w:right="114" w:firstLine="283"/>
        <w:jc w:val="both"/>
      </w:pPr>
      <w:r>
        <w:rPr>
          <w:color w:val="231F20"/>
        </w:rPr>
        <w:t>La</w:t>
      </w:r>
      <w:r>
        <w:rPr>
          <w:color w:val="231F20"/>
          <w:spacing w:val="-10"/>
        </w:rPr>
        <w:t> </w:t>
      </w:r>
      <w:r>
        <w:rPr>
          <w:i/>
          <w:color w:val="231F20"/>
        </w:rPr>
        <w:t>Ley</w:t>
      </w:r>
      <w:r>
        <w:rPr>
          <w:i/>
          <w:color w:val="231F20"/>
          <w:spacing w:val="-10"/>
        </w:rPr>
        <w:t> </w:t>
      </w:r>
      <w:r>
        <w:rPr>
          <w:i/>
          <w:color w:val="231F20"/>
        </w:rPr>
        <w:t>de</w:t>
      </w:r>
      <w:r>
        <w:rPr>
          <w:i/>
          <w:color w:val="231F20"/>
          <w:spacing w:val="-10"/>
        </w:rPr>
        <w:t> </w:t>
      </w:r>
      <w:r>
        <w:rPr>
          <w:i/>
          <w:color w:val="231F20"/>
        </w:rPr>
        <w:t>Migración</w:t>
      </w:r>
      <w:r>
        <w:rPr>
          <w:i/>
          <w:color w:val="231F20"/>
          <w:spacing w:val="-10"/>
        </w:rPr>
        <w:t> </w:t>
      </w:r>
      <w:r>
        <w:rPr>
          <w:color w:val="231F20"/>
        </w:rPr>
        <w:t>y</w:t>
      </w:r>
      <w:r>
        <w:rPr>
          <w:color w:val="231F20"/>
          <w:spacing w:val="-10"/>
        </w:rPr>
        <w:t> </w:t>
      </w:r>
      <w:r>
        <w:rPr>
          <w:color w:val="231F20"/>
        </w:rPr>
        <w:t>su</w:t>
      </w:r>
      <w:r>
        <w:rPr>
          <w:color w:val="231F20"/>
          <w:spacing w:val="-10"/>
        </w:rPr>
        <w:t> </w:t>
      </w:r>
      <w:r>
        <w:rPr>
          <w:color w:val="231F20"/>
        </w:rPr>
        <w:t>Reglamento</w:t>
      </w:r>
      <w:r>
        <w:rPr>
          <w:color w:val="231F20"/>
          <w:spacing w:val="-10"/>
        </w:rPr>
        <w:t> </w:t>
      </w:r>
      <w:r>
        <w:rPr>
          <w:color w:val="231F20"/>
        </w:rPr>
        <w:t>representan</w:t>
      </w:r>
      <w:r>
        <w:rPr>
          <w:color w:val="231F20"/>
          <w:spacing w:val="-10"/>
        </w:rPr>
        <w:t> </w:t>
      </w:r>
      <w:r>
        <w:rPr>
          <w:color w:val="231F20"/>
        </w:rPr>
        <w:t>un</w:t>
      </w:r>
      <w:r>
        <w:rPr>
          <w:color w:val="231F20"/>
          <w:spacing w:val="-10"/>
        </w:rPr>
        <w:t> </w:t>
      </w:r>
      <w:r>
        <w:rPr>
          <w:color w:val="231F20"/>
        </w:rPr>
        <w:t>gran</w:t>
      </w:r>
      <w:r>
        <w:rPr>
          <w:color w:val="231F20"/>
          <w:spacing w:val="-10"/>
        </w:rPr>
        <w:t> </w:t>
      </w:r>
      <w:r>
        <w:rPr>
          <w:color w:val="231F20"/>
        </w:rPr>
        <w:t>adelanto,</w:t>
      </w:r>
      <w:r>
        <w:rPr>
          <w:color w:val="231F20"/>
          <w:spacing w:val="-10"/>
        </w:rPr>
        <w:t> </w:t>
      </w:r>
      <w:r>
        <w:rPr>
          <w:color w:val="231F20"/>
        </w:rPr>
        <w:t>in- cluso comparado con las legislaciones de otros Estados, debido a la</w:t>
      </w:r>
      <w:r>
        <w:rPr>
          <w:color w:val="231F20"/>
          <w:spacing w:val="-37"/>
        </w:rPr>
        <w:t> </w:t>
      </w:r>
      <w:r>
        <w:rPr>
          <w:color w:val="231F20"/>
        </w:rPr>
        <w:t>distin- ción</w:t>
      </w:r>
      <w:r>
        <w:rPr>
          <w:color w:val="231F20"/>
          <w:spacing w:val="-8"/>
        </w:rPr>
        <w:t> </w:t>
      </w:r>
      <w:r>
        <w:rPr>
          <w:color w:val="231F20"/>
        </w:rPr>
        <w:t>que</w:t>
      </w:r>
      <w:r>
        <w:rPr>
          <w:color w:val="231F20"/>
          <w:spacing w:val="-8"/>
        </w:rPr>
        <w:t> </w:t>
      </w:r>
      <w:r>
        <w:rPr>
          <w:color w:val="231F20"/>
        </w:rPr>
        <w:t>hacen</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migrantes</w:t>
      </w:r>
      <w:r>
        <w:rPr>
          <w:color w:val="231F20"/>
          <w:spacing w:val="-8"/>
        </w:rPr>
        <w:t> </w:t>
      </w:r>
      <w:r>
        <w:rPr>
          <w:color w:val="231F20"/>
        </w:rPr>
        <w:t>con</w:t>
      </w:r>
      <w:r>
        <w:rPr>
          <w:color w:val="231F20"/>
          <w:spacing w:val="-8"/>
        </w:rPr>
        <w:t> </w:t>
      </w:r>
      <w:r>
        <w:rPr>
          <w:color w:val="231F20"/>
        </w:rPr>
        <w:t>base</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género</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edad;</w:t>
      </w:r>
      <w:r>
        <w:rPr>
          <w:color w:val="231F20"/>
          <w:spacing w:val="-8"/>
        </w:rPr>
        <w:t> </w:t>
      </w:r>
      <w:r>
        <w:rPr>
          <w:color w:val="231F20"/>
        </w:rPr>
        <w:t>elementos importantes para determinar el tipo y grado de protección de sus derechos humanos. Asimismo, consideran ciertas características del individuo que lo colocan en un estado de indefensión como la pertenencia a una etnia,  la situación de embarazo y particularmente en el caso de los menores, la situación de</w:t>
      </w:r>
      <w:r>
        <w:rPr>
          <w:color w:val="231F20"/>
          <w:spacing w:val="-8"/>
        </w:rPr>
        <w:t> </w:t>
      </w:r>
      <w:r>
        <w:rPr>
          <w:color w:val="231F20"/>
        </w:rPr>
        <w:t>acompañamiento.</w:t>
      </w:r>
    </w:p>
    <w:p>
      <w:pPr>
        <w:pStyle w:val="BodyText"/>
        <w:spacing w:line="247" w:lineRule="auto"/>
        <w:ind w:left="117" w:right="114" w:firstLine="283"/>
        <w:jc w:val="both"/>
      </w:pPr>
      <w:r>
        <w:rPr>
          <w:color w:val="231F20"/>
        </w:rPr>
        <w:t>En el contenido de la </w:t>
      </w:r>
      <w:r>
        <w:rPr>
          <w:i/>
          <w:color w:val="231F20"/>
        </w:rPr>
        <w:t>Ley de Migración </w:t>
      </w:r>
      <w:r>
        <w:rPr>
          <w:color w:val="231F20"/>
        </w:rPr>
        <w:t>y su Reglamento se aprecia la preocupación del legislador por reconocer, proteger, y garantizar los dere- chos de los migrantes en general y en especial de los niños y adolescentes no acompañados; al especificar las funciones del </w:t>
      </w:r>
      <w:r>
        <w:rPr>
          <w:color w:val="231F20"/>
          <w:sz w:val="15"/>
        </w:rPr>
        <w:t>inami</w:t>
      </w:r>
      <w:r>
        <w:rPr>
          <w:color w:val="231F20"/>
        </w:rPr>
        <w:t>; restringir la actua- ción de las corporaciones policías; determinar quiénes son las autoridades auxiliares del instituto y las funciones que cada organismo tiene en la ma- teria;</w:t>
      </w:r>
      <w:r>
        <w:rPr>
          <w:color w:val="231F20"/>
          <w:spacing w:val="-5"/>
        </w:rPr>
        <w:t> </w:t>
      </w:r>
      <w:r>
        <w:rPr>
          <w:color w:val="231F20"/>
        </w:rPr>
        <w:t>limitar</w:t>
      </w:r>
      <w:r>
        <w:rPr>
          <w:color w:val="231F20"/>
          <w:spacing w:val="-5"/>
        </w:rPr>
        <w:t> </w:t>
      </w:r>
      <w:r>
        <w:rPr>
          <w:color w:val="231F20"/>
        </w:rPr>
        <w:t>las</w:t>
      </w:r>
      <w:r>
        <w:rPr>
          <w:color w:val="231F20"/>
          <w:spacing w:val="-5"/>
        </w:rPr>
        <w:t> </w:t>
      </w:r>
      <w:r>
        <w:rPr>
          <w:color w:val="231F20"/>
        </w:rPr>
        <w:t>facultades</w:t>
      </w:r>
      <w:r>
        <w:rPr>
          <w:color w:val="231F20"/>
          <w:spacing w:val="-5"/>
        </w:rPr>
        <w:t> </w:t>
      </w:r>
      <w:r>
        <w:rPr>
          <w:color w:val="231F20"/>
        </w:rPr>
        <w:t>discrecionales</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autoridades</w:t>
      </w:r>
      <w:r>
        <w:rPr>
          <w:color w:val="231F20"/>
          <w:spacing w:val="-5"/>
        </w:rPr>
        <w:t> </w:t>
      </w:r>
      <w:r>
        <w:rPr>
          <w:color w:val="231F20"/>
        </w:rPr>
        <w:t>migratorias,</w:t>
      </w:r>
      <w:r>
        <w:rPr>
          <w:color w:val="231F20"/>
          <w:spacing w:val="-6"/>
        </w:rPr>
        <w:t> </w:t>
      </w:r>
      <w:r>
        <w:rPr>
          <w:color w:val="231F20"/>
        </w:rPr>
        <w:t>y establecer los procedimientos de profesionalización y certificación de los funcionarios públicos del INAMI, entre</w:t>
      </w:r>
      <w:r>
        <w:rPr>
          <w:color w:val="231F20"/>
          <w:spacing w:val="-2"/>
        </w:rPr>
        <w:t> </w:t>
      </w:r>
      <w:r>
        <w:rPr>
          <w:color w:val="231F20"/>
        </w:rPr>
        <w:t>otros.</w:t>
      </w:r>
    </w:p>
    <w:p>
      <w:pPr>
        <w:pStyle w:val="BodyText"/>
        <w:spacing w:line="247" w:lineRule="auto"/>
        <w:ind w:left="117" w:right="114" w:firstLine="283"/>
        <w:jc w:val="both"/>
      </w:pPr>
      <w:r>
        <w:rPr/>
        <w:pict>
          <v:line style="position:absolute;mso-position-horizontal-relative:page;mso-position-vertical-relative:paragraph;z-index:8632;mso-wrap-distance-left:0;mso-wrap-distance-right:0" from="70.866096pt,70.370934pt" to="142.866096pt,70.370934pt" stroked="true" strokeweight=".75pt" strokecolor="#231f20">
            <w10:wrap type="topAndBottom"/>
          </v:line>
        </w:pict>
      </w:r>
      <w:r>
        <w:rPr>
          <w:color w:val="231F20"/>
        </w:rPr>
        <w:t>Por otro lado, es un acierto que la ley establezca las bases para la for- mulación</w:t>
      </w:r>
      <w:r>
        <w:rPr>
          <w:color w:val="231F20"/>
          <w:spacing w:val="-7"/>
        </w:rPr>
        <w:t> </w:t>
      </w:r>
      <w:r>
        <w:rPr>
          <w:color w:val="231F20"/>
        </w:rPr>
        <w:t>de</w:t>
      </w:r>
      <w:r>
        <w:rPr>
          <w:color w:val="231F20"/>
          <w:spacing w:val="-6"/>
        </w:rPr>
        <w:t> </w:t>
      </w:r>
      <w:r>
        <w:rPr>
          <w:color w:val="231F20"/>
        </w:rPr>
        <w:t>una</w:t>
      </w:r>
      <w:r>
        <w:rPr>
          <w:color w:val="231F20"/>
          <w:spacing w:val="-6"/>
        </w:rPr>
        <w:t> </w:t>
      </w:r>
      <w:r>
        <w:rPr>
          <w:color w:val="231F20"/>
        </w:rPr>
        <w:t>política</w:t>
      </w:r>
      <w:r>
        <w:rPr>
          <w:color w:val="231F20"/>
          <w:spacing w:val="-6"/>
        </w:rPr>
        <w:t> </w:t>
      </w:r>
      <w:r>
        <w:rPr>
          <w:color w:val="231F20"/>
        </w:rPr>
        <w:t>migratoria</w:t>
      </w:r>
      <w:r>
        <w:rPr>
          <w:color w:val="231F20"/>
          <w:spacing w:val="-7"/>
        </w:rPr>
        <w:t> </w:t>
      </w:r>
      <w:r>
        <w:rPr>
          <w:color w:val="231F20"/>
        </w:rPr>
        <w:t>sólida</w:t>
      </w:r>
      <w:r>
        <w:rPr>
          <w:color w:val="231F20"/>
          <w:spacing w:val="-6"/>
        </w:rPr>
        <w:t> </w:t>
      </w:r>
      <w:r>
        <w:rPr>
          <w:color w:val="231F20"/>
        </w:rPr>
        <w:t>que</w:t>
      </w:r>
      <w:r>
        <w:rPr>
          <w:color w:val="231F20"/>
          <w:spacing w:val="-6"/>
        </w:rPr>
        <w:t> </w:t>
      </w:r>
      <w:r>
        <w:rPr>
          <w:color w:val="231F20"/>
        </w:rPr>
        <w:t>no</w:t>
      </w:r>
      <w:r>
        <w:rPr>
          <w:color w:val="231F20"/>
          <w:spacing w:val="-6"/>
        </w:rPr>
        <w:t> </w:t>
      </w:r>
      <w:r>
        <w:rPr>
          <w:color w:val="231F20"/>
        </w:rPr>
        <w:t>sea</w:t>
      </w:r>
      <w:r>
        <w:rPr>
          <w:color w:val="231F20"/>
          <w:spacing w:val="-6"/>
        </w:rPr>
        <w:t> </w:t>
      </w:r>
      <w:r>
        <w:rPr>
          <w:color w:val="231F20"/>
        </w:rPr>
        <w:t>moda</w:t>
      </w:r>
      <w:r>
        <w:rPr>
          <w:color w:val="231F20"/>
          <w:spacing w:val="-7"/>
        </w:rPr>
        <w:t> </w:t>
      </w:r>
      <w:r>
        <w:rPr>
          <w:color w:val="231F20"/>
        </w:rPr>
        <w:t>de</w:t>
      </w:r>
      <w:r>
        <w:rPr>
          <w:color w:val="231F20"/>
          <w:spacing w:val="-6"/>
        </w:rPr>
        <w:t> </w:t>
      </w:r>
      <w:r>
        <w:rPr>
          <w:color w:val="231F20"/>
        </w:rPr>
        <w:t>un</w:t>
      </w:r>
      <w:r>
        <w:rPr>
          <w:color w:val="231F20"/>
          <w:spacing w:val="-6"/>
        </w:rPr>
        <w:t> </w:t>
      </w:r>
      <w:r>
        <w:rPr>
          <w:color w:val="231F20"/>
        </w:rPr>
        <w:t>sexenio, sino al contrario, que basada en las realidades que enfrentan los actores inmersos en las corrientes migratorias, permita el respeto irrestricto a sus derechos, a través de la continuidad en las acciones derivadas de ejes  for-</w:t>
      </w:r>
    </w:p>
    <w:p>
      <w:pPr>
        <w:spacing w:before="0"/>
        <w:ind w:left="117" w:right="0" w:firstLine="0"/>
        <w:jc w:val="both"/>
        <w:rPr>
          <w:sz w:val="17"/>
        </w:rPr>
      </w:pPr>
      <w:r>
        <w:rPr>
          <w:color w:val="231F20"/>
          <w:position w:val="6"/>
          <w:sz w:val="10"/>
        </w:rPr>
        <w:t>39 </w:t>
      </w:r>
      <w:r>
        <w:rPr>
          <w:color w:val="231F20"/>
          <w:sz w:val="17"/>
        </w:rPr>
        <w:t>Artículo 190 del Reglamento de la LM.</w:t>
      </w:r>
    </w:p>
    <w:p>
      <w:pPr>
        <w:spacing w:after="0"/>
        <w:jc w:val="both"/>
        <w:rPr>
          <w:sz w:val="17"/>
        </w:rPr>
        <w:sectPr>
          <w:pgSz w:w="9360" w:h="13040"/>
          <w:pgMar w:header="0" w:footer="496" w:top="740" w:bottom="680" w:left="1300" w:right="1300"/>
        </w:sectPr>
      </w:pPr>
    </w:p>
    <w:p>
      <w:pPr>
        <w:tabs>
          <w:tab w:pos="5536" w:val="left" w:leader="none"/>
        </w:tabs>
        <w:spacing w:before="51"/>
        <w:ind w:left="117" w:right="117" w:firstLine="11"/>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117"/>
      </w:pPr>
      <w:r>
        <w:rPr>
          <w:color w:val="231F20"/>
        </w:rPr>
        <w:t>mulados con el apoyo de los poderes de la Unión, los distintos niveles de gobierno, el sector académico y la sociedad civil.</w:t>
      </w:r>
    </w:p>
    <w:p>
      <w:pPr>
        <w:pStyle w:val="BodyText"/>
        <w:spacing w:line="247" w:lineRule="auto"/>
        <w:ind w:left="117" w:right="114" w:firstLine="283"/>
        <w:jc w:val="both"/>
      </w:pPr>
      <w:r>
        <w:rPr>
          <w:color w:val="231F20"/>
          <w:w w:val="105"/>
        </w:rPr>
        <w:t>No</w:t>
      </w:r>
      <w:r>
        <w:rPr>
          <w:color w:val="231F20"/>
          <w:spacing w:val="-27"/>
          <w:w w:val="105"/>
        </w:rPr>
        <w:t> </w:t>
      </w:r>
      <w:r>
        <w:rPr>
          <w:color w:val="231F20"/>
          <w:w w:val="105"/>
        </w:rPr>
        <w:t>obstante,</w:t>
      </w:r>
      <w:r>
        <w:rPr>
          <w:color w:val="231F20"/>
          <w:spacing w:val="-27"/>
          <w:w w:val="105"/>
        </w:rPr>
        <w:t> </w:t>
      </w:r>
      <w:r>
        <w:rPr>
          <w:color w:val="231F20"/>
          <w:w w:val="105"/>
        </w:rPr>
        <w:t>a</w:t>
      </w:r>
      <w:r>
        <w:rPr>
          <w:color w:val="231F20"/>
          <w:spacing w:val="-27"/>
          <w:w w:val="105"/>
        </w:rPr>
        <w:t> </w:t>
      </w:r>
      <w:r>
        <w:rPr>
          <w:color w:val="231F20"/>
          <w:w w:val="105"/>
        </w:rPr>
        <w:t>pesar</w:t>
      </w:r>
      <w:r>
        <w:rPr>
          <w:color w:val="231F20"/>
          <w:spacing w:val="-27"/>
          <w:w w:val="105"/>
        </w:rPr>
        <w:t> </w:t>
      </w:r>
      <w:r>
        <w:rPr>
          <w:color w:val="231F20"/>
          <w:w w:val="105"/>
        </w:rPr>
        <w:t>de</w:t>
      </w:r>
      <w:r>
        <w:rPr>
          <w:color w:val="231F20"/>
          <w:spacing w:val="-27"/>
          <w:w w:val="105"/>
        </w:rPr>
        <w:t> </w:t>
      </w:r>
      <w:r>
        <w:rPr>
          <w:color w:val="231F20"/>
          <w:w w:val="105"/>
        </w:rPr>
        <w:t>que</w:t>
      </w:r>
      <w:r>
        <w:rPr>
          <w:color w:val="231F20"/>
          <w:spacing w:val="-27"/>
          <w:w w:val="105"/>
        </w:rPr>
        <w:t> </w:t>
      </w:r>
      <w:r>
        <w:rPr>
          <w:color w:val="231F20"/>
          <w:w w:val="105"/>
        </w:rPr>
        <w:t>la</w:t>
      </w:r>
      <w:r>
        <w:rPr>
          <w:color w:val="231F20"/>
          <w:spacing w:val="-27"/>
          <w:w w:val="105"/>
        </w:rPr>
        <w:t> </w:t>
      </w:r>
      <w:r>
        <w:rPr>
          <w:color w:val="231F20"/>
          <w:w w:val="105"/>
        </w:rPr>
        <w:t>actual</w:t>
      </w:r>
      <w:r>
        <w:rPr>
          <w:color w:val="231F20"/>
          <w:spacing w:val="-27"/>
          <w:w w:val="105"/>
        </w:rPr>
        <w:t> </w:t>
      </w:r>
      <w:r>
        <w:rPr>
          <w:color w:val="231F20"/>
          <w:w w:val="105"/>
        </w:rPr>
        <w:t>norma</w:t>
      </w:r>
      <w:r>
        <w:rPr>
          <w:color w:val="231F20"/>
          <w:spacing w:val="-27"/>
          <w:w w:val="105"/>
        </w:rPr>
        <w:t> </w:t>
      </w:r>
      <w:r>
        <w:rPr>
          <w:color w:val="231F20"/>
          <w:w w:val="105"/>
        </w:rPr>
        <w:t>migratoria</w:t>
      </w:r>
      <w:r>
        <w:rPr>
          <w:color w:val="231F20"/>
          <w:spacing w:val="-28"/>
          <w:w w:val="105"/>
        </w:rPr>
        <w:t> </w:t>
      </w:r>
      <w:r>
        <w:rPr>
          <w:color w:val="231F20"/>
          <w:w w:val="105"/>
        </w:rPr>
        <w:t>es</w:t>
      </w:r>
      <w:r>
        <w:rPr>
          <w:color w:val="231F20"/>
          <w:spacing w:val="-27"/>
          <w:w w:val="105"/>
        </w:rPr>
        <w:t> </w:t>
      </w:r>
      <w:r>
        <w:rPr>
          <w:color w:val="231F20"/>
          <w:w w:val="105"/>
        </w:rPr>
        <w:t>vanguardista en</w:t>
      </w:r>
      <w:r>
        <w:rPr>
          <w:color w:val="231F20"/>
          <w:spacing w:val="-9"/>
          <w:w w:val="105"/>
        </w:rPr>
        <w:t> </w:t>
      </w:r>
      <w:r>
        <w:rPr>
          <w:color w:val="231F20"/>
          <w:w w:val="105"/>
        </w:rPr>
        <w:t>la</w:t>
      </w:r>
      <w:r>
        <w:rPr>
          <w:color w:val="231F20"/>
          <w:spacing w:val="-9"/>
          <w:w w:val="105"/>
        </w:rPr>
        <w:t> </w:t>
      </w:r>
      <w:r>
        <w:rPr>
          <w:color w:val="231F20"/>
          <w:w w:val="105"/>
        </w:rPr>
        <w:t>protección</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derechos</w:t>
      </w:r>
      <w:r>
        <w:rPr>
          <w:color w:val="231F20"/>
          <w:spacing w:val="-9"/>
          <w:w w:val="105"/>
        </w:rPr>
        <w:t> </w:t>
      </w:r>
      <w:r>
        <w:rPr>
          <w:color w:val="231F20"/>
          <w:w w:val="105"/>
        </w:rPr>
        <w:t>humanos</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migrantes</w:t>
      </w:r>
      <w:r>
        <w:rPr>
          <w:color w:val="231F20"/>
          <w:spacing w:val="-9"/>
          <w:w w:val="105"/>
        </w:rPr>
        <w:t> </w:t>
      </w:r>
      <w:r>
        <w:rPr>
          <w:color w:val="231F20"/>
          <w:w w:val="105"/>
        </w:rPr>
        <w:t>y</w:t>
      </w:r>
      <w:r>
        <w:rPr>
          <w:color w:val="231F20"/>
          <w:spacing w:val="-9"/>
          <w:w w:val="105"/>
        </w:rPr>
        <w:t> </w:t>
      </w:r>
      <w:r>
        <w:rPr>
          <w:color w:val="231F20"/>
          <w:w w:val="105"/>
        </w:rPr>
        <w:t>sobre</w:t>
      </w:r>
      <w:r>
        <w:rPr>
          <w:color w:val="231F20"/>
          <w:spacing w:val="-9"/>
          <w:w w:val="105"/>
        </w:rPr>
        <w:t> </w:t>
      </w:r>
      <w:r>
        <w:rPr>
          <w:color w:val="231F20"/>
          <w:w w:val="105"/>
        </w:rPr>
        <w:t>todo está</w:t>
      </w:r>
      <w:r>
        <w:rPr>
          <w:color w:val="231F20"/>
          <w:spacing w:val="-19"/>
          <w:w w:val="105"/>
        </w:rPr>
        <w:t> </w:t>
      </w:r>
      <w:r>
        <w:rPr>
          <w:color w:val="231F20"/>
          <w:w w:val="105"/>
        </w:rPr>
        <w:t>acorde</w:t>
      </w:r>
      <w:r>
        <w:rPr>
          <w:color w:val="231F20"/>
          <w:spacing w:val="-19"/>
          <w:w w:val="105"/>
        </w:rPr>
        <w:t> </w:t>
      </w:r>
      <w:r>
        <w:rPr>
          <w:color w:val="231F20"/>
          <w:w w:val="105"/>
        </w:rPr>
        <w:t>con</w:t>
      </w:r>
      <w:r>
        <w:rPr>
          <w:color w:val="231F20"/>
          <w:spacing w:val="-19"/>
          <w:w w:val="105"/>
        </w:rPr>
        <w:t> </w:t>
      </w:r>
      <w:r>
        <w:rPr>
          <w:color w:val="231F20"/>
          <w:w w:val="105"/>
        </w:rPr>
        <w:t>la</w:t>
      </w:r>
      <w:r>
        <w:rPr>
          <w:color w:val="231F20"/>
          <w:spacing w:val="-19"/>
          <w:w w:val="105"/>
        </w:rPr>
        <w:t> </w:t>
      </w:r>
      <w:r>
        <w:rPr>
          <w:color w:val="231F20"/>
          <w:w w:val="105"/>
        </w:rPr>
        <w:t>realidad</w:t>
      </w:r>
      <w:r>
        <w:rPr>
          <w:color w:val="231F20"/>
          <w:spacing w:val="-19"/>
          <w:w w:val="105"/>
        </w:rPr>
        <w:t> </w:t>
      </w:r>
      <w:r>
        <w:rPr>
          <w:color w:val="231F20"/>
          <w:w w:val="105"/>
        </w:rPr>
        <w:t>que</w:t>
      </w:r>
      <w:r>
        <w:rPr>
          <w:color w:val="231F20"/>
          <w:spacing w:val="-19"/>
          <w:w w:val="105"/>
        </w:rPr>
        <w:t> </w:t>
      </w:r>
      <w:r>
        <w:rPr>
          <w:color w:val="231F20"/>
          <w:w w:val="105"/>
        </w:rPr>
        <w:t>vive</w:t>
      </w:r>
      <w:r>
        <w:rPr>
          <w:color w:val="231F20"/>
          <w:spacing w:val="-19"/>
          <w:w w:val="105"/>
        </w:rPr>
        <w:t> </w:t>
      </w:r>
      <w:r>
        <w:rPr>
          <w:color w:val="231F20"/>
          <w:w w:val="105"/>
        </w:rPr>
        <w:t>el</w:t>
      </w:r>
      <w:r>
        <w:rPr>
          <w:color w:val="231F20"/>
          <w:spacing w:val="-19"/>
          <w:w w:val="105"/>
        </w:rPr>
        <w:t> </w:t>
      </w:r>
      <w:r>
        <w:rPr>
          <w:color w:val="231F20"/>
          <w:w w:val="105"/>
        </w:rPr>
        <w:t>México</w:t>
      </w:r>
      <w:r>
        <w:rPr>
          <w:color w:val="231F20"/>
          <w:spacing w:val="-18"/>
          <w:w w:val="105"/>
        </w:rPr>
        <w:t> </w:t>
      </w:r>
      <w:r>
        <w:rPr>
          <w:color w:val="231F20"/>
          <w:w w:val="105"/>
        </w:rPr>
        <w:t>del</w:t>
      </w:r>
      <w:r>
        <w:rPr>
          <w:color w:val="231F20"/>
          <w:spacing w:val="-19"/>
          <w:w w:val="105"/>
        </w:rPr>
        <w:t> </w:t>
      </w:r>
      <w:r>
        <w:rPr>
          <w:color w:val="231F20"/>
          <w:w w:val="105"/>
        </w:rPr>
        <w:t>siglo</w:t>
      </w:r>
      <w:r>
        <w:rPr>
          <w:color w:val="231F20"/>
          <w:spacing w:val="-19"/>
          <w:w w:val="105"/>
        </w:rPr>
        <w:t> </w:t>
      </w:r>
      <w:r>
        <w:rPr>
          <w:color w:val="231F20"/>
          <w:w w:val="105"/>
          <w:sz w:val="15"/>
        </w:rPr>
        <w:t>xxi</w:t>
      </w:r>
      <w:r>
        <w:rPr>
          <w:color w:val="231F20"/>
          <w:w w:val="105"/>
        </w:rPr>
        <w:t>,</w:t>
      </w:r>
      <w:r>
        <w:rPr>
          <w:color w:val="231F20"/>
          <w:spacing w:val="-19"/>
          <w:w w:val="105"/>
        </w:rPr>
        <w:t> </w:t>
      </w:r>
      <w:r>
        <w:rPr>
          <w:color w:val="231F20"/>
          <w:w w:val="105"/>
        </w:rPr>
        <w:t>aún</w:t>
      </w:r>
      <w:r>
        <w:rPr>
          <w:color w:val="231F20"/>
          <w:spacing w:val="-19"/>
          <w:w w:val="105"/>
        </w:rPr>
        <w:t> </w:t>
      </w:r>
      <w:r>
        <w:rPr>
          <w:color w:val="231F20"/>
          <w:w w:val="105"/>
        </w:rPr>
        <w:t>faltan</w:t>
      </w:r>
      <w:r>
        <w:rPr>
          <w:color w:val="231F20"/>
          <w:spacing w:val="-19"/>
          <w:w w:val="105"/>
        </w:rPr>
        <w:t> </w:t>
      </w:r>
      <w:r>
        <w:rPr>
          <w:color w:val="231F20"/>
          <w:w w:val="105"/>
        </w:rPr>
        <w:t>ac- ciones</w:t>
      </w:r>
      <w:r>
        <w:rPr>
          <w:color w:val="231F20"/>
          <w:spacing w:val="-24"/>
          <w:w w:val="105"/>
        </w:rPr>
        <w:t> </w:t>
      </w:r>
      <w:r>
        <w:rPr>
          <w:color w:val="231F20"/>
          <w:w w:val="105"/>
        </w:rPr>
        <w:t>por</w:t>
      </w:r>
      <w:r>
        <w:rPr>
          <w:color w:val="231F20"/>
          <w:spacing w:val="-23"/>
          <w:w w:val="105"/>
        </w:rPr>
        <w:t> </w:t>
      </w:r>
      <w:r>
        <w:rPr>
          <w:color w:val="231F20"/>
          <w:w w:val="105"/>
        </w:rPr>
        <w:t>realizar,</w:t>
      </w:r>
      <w:r>
        <w:rPr>
          <w:color w:val="231F20"/>
          <w:spacing w:val="-23"/>
          <w:w w:val="105"/>
        </w:rPr>
        <w:t> </w:t>
      </w:r>
      <w:r>
        <w:rPr>
          <w:color w:val="231F20"/>
          <w:w w:val="105"/>
        </w:rPr>
        <w:t>como</w:t>
      </w:r>
      <w:r>
        <w:rPr>
          <w:color w:val="231F20"/>
          <w:spacing w:val="-23"/>
          <w:w w:val="105"/>
        </w:rPr>
        <w:t> </w:t>
      </w:r>
      <w:r>
        <w:rPr>
          <w:color w:val="231F20"/>
          <w:w w:val="105"/>
        </w:rPr>
        <w:t>concienciar</w:t>
      </w:r>
      <w:r>
        <w:rPr>
          <w:color w:val="231F20"/>
          <w:spacing w:val="-24"/>
          <w:w w:val="105"/>
        </w:rPr>
        <w:t> </w:t>
      </w:r>
      <w:r>
        <w:rPr>
          <w:color w:val="231F20"/>
          <w:w w:val="105"/>
        </w:rPr>
        <w:t>a</w:t>
      </w:r>
      <w:r>
        <w:rPr>
          <w:color w:val="231F20"/>
          <w:spacing w:val="-23"/>
          <w:w w:val="105"/>
        </w:rPr>
        <w:t> </w:t>
      </w:r>
      <w:r>
        <w:rPr>
          <w:color w:val="231F20"/>
          <w:w w:val="105"/>
        </w:rPr>
        <w:t>la</w:t>
      </w:r>
      <w:r>
        <w:rPr>
          <w:color w:val="231F20"/>
          <w:spacing w:val="-23"/>
          <w:w w:val="105"/>
        </w:rPr>
        <w:t> </w:t>
      </w:r>
      <w:r>
        <w:rPr>
          <w:color w:val="231F20"/>
          <w:w w:val="105"/>
        </w:rPr>
        <w:t>población</w:t>
      </w:r>
      <w:r>
        <w:rPr>
          <w:color w:val="231F20"/>
          <w:spacing w:val="-23"/>
          <w:w w:val="105"/>
        </w:rPr>
        <w:t> </w:t>
      </w:r>
      <w:r>
        <w:rPr>
          <w:color w:val="231F20"/>
          <w:w w:val="105"/>
        </w:rPr>
        <w:t>en</w:t>
      </w:r>
      <w:r>
        <w:rPr>
          <w:color w:val="231F20"/>
          <w:spacing w:val="-23"/>
          <w:w w:val="105"/>
        </w:rPr>
        <w:t> </w:t>
      </w:r>
      <w:r>
        <w:rPr>
          <w:color w:val="231F20"/>
          <w:w w:val="105"/>
        </w:rPr>
        <w:t>general,</w:t>
      </w:r>
      <w:r>
        <w:rPr>
          <w:color w:val="231F20"/>
          <w:spacing w:val="-23"/>
          <w:w w:val="105"/>
        </w:rPr>
        <w:t> </w:t>
      </w:r>
      <w:r>
        <w:rPr>
          <w:color w:val="231F20"/>
          <w:w w:val="105"/>
        </w:rPr>
        <w:t>impulsar la</w:t>
      </w:r>
      <w:r>
        <w:rPr>
          <w:color w:val="231F20"/>
          <w:spacing w:val="-33"/>
          <w:w w:val="105"/>
        </w:rPr>
        <w:t> </w:t>
      </w:r>
      <w:r>
        <w:rPr>
          <w:color w:val="231F20"/>
          <w:w w:val="105"/>
        </w:rPr>
        <w:t>participación</w:t>
      </w:r>
      <w:r>
        <w:rPr>
          <w:color w:val="231F20"/>
          <w:spacing w:val="-33"/>
          <w:w w:val="105"/>
        </w:rPr>
        <w:t> </w:t>
      </w:r>
      <w:r>
        <w:rPr>
          <w:color w:val="231F20"/>
          <w:w w:val="105"/>
        </w:rPr>
        <w:t>activa</w:t>
      </w:r>
      <w:r>
        <w:rPr>
          <w:color w:val="231F20"/>
          <w:spacing w:val="-33"/>
          <w:w w:val="105"/>
        </w:rPr>
        <w:t> </w:t>
      </w:r>
      <w:r>
        <w:rPr>
          <w:color w:val="231F20"/>
          <w:w w:val="105"/>
        </w:rPr>
        <w:t>de</w:t>
      </w:r>
      <w:r>
        <w:rPr>
          <w:color w:val="231F20"/>
          <w:spacing w:val="-33"/>
          <w:w w:val="105"/>
        </w:rPr>
        <w:t> </w:t>
      </w:r>
      <w:r>
        <w:rPr>
          <w:color w:val="231F20"/>
          <w:w w:val="105"/>
        </w:rPr>
        <w:t>la</w:t>
      </w:r>
      <w:r>
        <w:rPr>
          <w:color w:val="231F20"/>
          <w:spacing w:val="-33"/>
          <w:w w:val="105"/>
        </w:rPr>
        <w:t> </w:t>
      </w:r>
      <w:r>
        <w:rPr>
          <w:color w:val="231F20"/>
          <w:w w:val="105"/>
        </w:rPr>
        <w:t>sociedad</w:t>
      </w:r>
      <w:r>
        <w:rPr>
          <w:color w:val="231F20"/>
          <w:spacing w:val="-33"/>
          <w:w w:val="105"/>
        </w:rPr>
        <w:t> </w:t>
      </w:r>
      <w:r>
        <w:rPr>
          <w:color w:val="231F20"/>
          <w:w w:val="105"/>
        </w:rPr>
        <w:t>civil</w:t>
      </w:r>
      <w:r>
        <w:rPr>
          <w:color w:val="231F20"/>
          <w:spacing w:val="-33"/>
          <w:w w:val="105"/>
        </w:rPr>
        <w:t> </w:t>
      </w:r>
      <w:r>
        <w:rPr>
          <w:color w:val="231F20"/>
          <w:w w:val="105"/>
        </w:rPr>
        <w:t>y</w:t>
      </w:r>
      <w:r>
        <w:rPr>
          <w:color w:val="231F20"/>
          <w:spacing w:val="-33"/>
          <w:w w:val="105"/>
        </w:rPr>
        <w:t> </w:t>
      </w:r>
      <w:r>
        <w:rPr>
          <w:color w:val="231F20"/>
          <w:w w:val="105"/>
        </w:rPr>
        <w:t>los</w:t>
      </w:r>
      <w:r>
        <w:rPr>
          <w:color w:val="231F20"/>
          <w:spacing w:val="-33"/>
          <w:w w:val="105"/>
        </w:rPr>
        <w:t> </w:t>
      </w:r>
      <w:r>
        <w:rPr>
          <w:color w:val="231F20"/>
          <w:w w:val="105"/>
        </w:rPr>
        <w:t>sectores</w:t>
      </w:r>
      <w:r>
        <w:rPr>
          <w:color w:val="231F20"/>
          <w:spacing w:val="-32"/>
          <w:w w:val="105"/>
        </w:rPr>
        <w:t> </w:t>
      </w:r>
      <w:r>
        <w:rPr>
          <w:color w:val="231F20"/>
          <w:w w:val="105"/>
        </w:rPr>
        <w:t>académicos</w:t>
      </w:r>
      <w:r>
        <w:rPr>
          <w:color w:val="231F20"/>
          <w:spacing w:val="-33"/>
          <w:w w:val="105"/>
        </w:rPr>
        <w:t> </w:t>
      </w:r>
      <w:r>
        <w:rPr>
          <w:color w:val="231F20"/>
          <w:w w:val="105"/>
        </w:rPr>
        <w:t>en</w:t>
      </w:r>
      <w:r>
        <w:rPr>
          <w:color w:val="231F20"/>
          <w:spacing w:val="-33"/>
          <w:w w:val="105"/>
        </w:rPr>
        <w:t> </w:t>
      </w:r>
      <w:r>
        <w:rPr>
          <w:color w:val="231F20"/>
          <w:w w:val="105"/>
        </w:rPr>
        <w:t>las futuras</w:t>
      </w:r>
      <w:r>
        <w:rPr>
          <w:color w:val="231F20"/>
          <w:spacing w:val="-17"/>
          <w:w w:val="105"/>
        </w:rPr>
        <w:t> </w:t>
      </w:r>
      <w:r>
        <w:rPr>
          <w:color w:val="231F20"/>
          <w:w w:val="105"/>
        </w:rPr>
        <w:t>reformas</w:t>
      </w:r>
      <w:r>
        <w:rPr>
          <w:color w:val="231F20"/>
          <w:spacing w:val="-17"/>
          <w:w w:val="105"/>
        </w:rPr>
        <w:t> </w:t>
      </w:r>
      <w:r>
        <w:rPr>
          <w:color w:val="231F20"/>
          <w:w w:val="105"/>
        </w:rPr>
        <w:t>a</w:t>
      </w:r>
      <w:r>
        <w:rPr>
          <w:color w:val="231F20"/>
          <w:spacing w:val="-17"/>
          <w:w w:val="105"/>
        </w:rPr>
        <w:t> </w:t>
      </w:r>
      <w:r>
        <w:rPr>
          <w:color w:val="231F20"/>
          <w:w w:val="105"/>
        </w:rPr>
        <w:t>la</w:t>
      </w:r>
      <w:r>
        <w:rPr>
          <w:color w:val="231F20"/>
          <w:spacing w:val="-17"/>
          <w:w w:val="105"/>
        </w:rPr>
        <w:t> </w:t>
      </w:r>
      <w:r>
        <w:rPr>
          <w:color w:val="231F20"/>
          <w:spacing w:val="-4"/>
          <w:w w:val="105"/>
        </w:rPr>
        <w:t>ley,</w:t>
      </w:r>
      <w:r>
        <w:rPr>
          <w:color w:val="231F20"/>
          <w:spacing w:val="-17"/>
          <w:w w:val="105"/>
        </w:rPr>
        <w:t> </w:t>
      </w:r>
      <w:r>
        <w:rPr>
          <w:color w:val="231F20"/>
          <w:w w:val="105"/>
        </w:rPr>
        <w:t>incentivar</w:t>
      </w:r>
      <w:r>
        <w:rPr>
          <w:color w:val="231F20"/>
          <w:spacing w:val="-17"/>
          <w:w w:val="105"/>
        </w:rPr>
        <w:t> </w:t>
      </w:r>
      <w:r>
        <w:rPr>
          <w:color w:val="231F20"/>
          <w:w w:val="105"/>
        </w:rPr>
        <w:t>el</w:t>
      </w:r>
      <w:r>
        <w:rPr>
          <w:color w:val="231F20"/>
          <w:spacing w:val="-17"/>
          <w:w w:val="105"/>
        </w:rPr>
        <w:t> </w:t>
      </w:r>
      <w:r>
        <w:rPr>
          <w:color w:val="231F20"/>
          <w:w w:val="105"/>
        </w:rPr>
        <w:t>trabajo</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ONG,</w:t>
      </w:r>
      <w:r>
        <w:rPr>
          <w:color w:val="231F20"/>
          <w:spacing w:val="-17"/>
          <w:w w:val="105"/>
        </w:rPr>
        <w:t> </w:t>
      </w:r>
      <w:r>
        <w:rPr>
          <w:color w:val="231F20"/>
          <w:w w:val="105"/>
        </w:rPr>
        <w:t>a</w:t>
      </w:r>
      <w:r>
        <w:rPr>
          <w:color w:val="231F20"/>
          <w:spacing w:val="-17"/>
          <w:w w:val="105"/>
        </w:rPr>
        <w:t> </w:t>
      </w:r>
      <w:r>
        <w:rPr>
          <w:color w:val="231F20"/>
          <w:w w:val="105"/>
        </w:rPr>
        <w:t>fin</w:t>
      </w:r>
      <w:r>
        <w:rPr>
          <w:color w:val="231F20"/>
          <w:spacing w:val="-17"/>
          <w:w w:val="105"/>
        </w:rPr>
        <w:t> </w:t>
      </w:r>
      <w:r>
        <w:rPr>
          <w:color w:val="231F20"/>
          <w:w w:val="105"/>
        </w:rPr>
        <w:t>de</w:t>
      </w:r>
      <w:r>
        <w:rPr>
          <w:color w:val="231F20"/>
          <w:spacing w:val="-17"/>
          <w:w w:val="105"/>
        </w:rPr>
        <w:t> </w:t>
      </w:r>
      <w:r>
        <w:rPr>
          <w:color w:val="231F20"/>
          <w:w w:val="105"/>
        </w:rPr>
        <w:t>ser</w:t>
      </w:r>
      <w:r>
        <w:rPr>
          <w:color w:val="231F20"/>
          <w:spacing w:val="-17"/>
          <w:w w:val="105"/>
        </w:rPr>
        <w:t> </w:t>
      </w:r>
      <w:r>
        <w:rPr>
          <w:color w:val="231F20"/>
          <w:w w:val="105"/>
        </w:rPr>
        <w:t>un medio</w:t>
      </w:r>
      <w:r>
        <w:rPr>
          <w:color w:val="231F20"/>
          <w:spacing w:val="-38"/>
          <w:w w:val="105"/>
        </w:rPr>
        <w:t> </w:t>
      </w:r>
      <w:r>
        <w:rPr>
          <w:color w:val="231F20"/>
          <w:w w:val="105"/>
        </w:rPr>
        <w:t>de</w:t>
      </w:r>
      <w:r>
        <w:rPr>
          <w:color w:val="231F20"/>
          <w:spacing w:val="-38"/>
          <w:w w:val="105"/>
        </w:rPr>
        <w:t> </w:t>
      </w:r>
      <w:r>
        <w:rPr>
          <w:color w:val="231F20"/>
          <w:w w:val="105"/>
        </w:rPr>
        <w:t>enlace</w:t>
      </w:r>
      <w:r>
        <w:rPr>
          <w:color w:val="231F20"/>
          <w:spacing w:val="-38"/>
          <w:w w:val="105"/>
        </w:rPr>
        <w:t> </w:t>
      </w:r>
      <w:r>
        <w:rPr>
          <w:color w:val="231F20"/>
          <w:w w:val="105"/>
        </w:rPr>
        <w:t>para</w:t>
      </w:r>
      <w:r>
        <w:rPr>
          <w:color w:val="231F20"/>
          <w:spacing w:val="-38"/>
          <w:w w:val="105"/>
        </w:rPr>
        <w:t> </w:t>
      </w:r>
      <w:r>
        <w:rPr>
          <w:color w:val="231F20"/>
          <w:w w:val="105"/>
        </w:rPr>
        <w:t>la</w:t>
      </w:r>
      <w:r>
        <w:rPr>
          <w:color w:val="231F20"/>
          <w:spacing w:val="-38"/>
          <w:w w:val="105"/>
        </w:rPr>
        <w:t> </w:t>
      </w:r>
      <w:r>
        <w:rPr>
          <w:color w:val="231F20"/>
          <w:w w:val="105"/>
        </w:rPr>
        <w:t>localización</w:t>
      </w:r>
      <w:r>
        <w:rPr>
          <w:color w:val="231F20"/>
          <w:spacing w:val="-38"/>
          <w:w w:val="105"/>
        </w:rPr>
        <w:t> </w:t>
      </w:r>
      <w:r>
        <w:rPr>
          <w:color w:val="231F20"/>
          <w:w w:val="105"/>
        </w:rPr>
        <w:t>de</w:t>
      </w:r>
      <w:r>
        <w:rPr>
          <w:color w:val="231F20"/>
          <w:spacing w:val="-38"/>
          <w:w w:val="105"/>
        </w:rPr>
        <w:t> </w:t>
      </w:r>
      <w:r>
        <w:rPr>
          <w:color w:val="231F20"/>
          <w:w w:val="105"/>
        </w:rPr>
        <w:t>familiares</w:t>
      </w:r>
      <w:r>
        <w:rPr>
          <w:color w:val="231F20"/>
          <w:spacing w:val="-38"/>
          <w:w w:val="105"/>
        </w:rPr>
        <w:t> </w:t>
      </w:r>
      <w:r>
        <w:rPr>
          <w:color w:val="231F20"/>
          <w:w w:val="105"/>
        </w:rPr>
        <w:t>en</w:t>
      </w:r>
      <w:r>
        <w:rPr>
          <w:color w:val="231F20"/>
          <w:spacing w:val="-38"/>
          <w:w w:val="105"/>
        </w:rPr>
        <w:t> </w:t>
      </w:r>
      <w:r>
        <w:rPr>
          <w:color w:val="231F20"/>
          <w:w w:val="105"/>
        </w:rPr>
        <w:t>el</w:t>
      </w:r>
      <w:r>
        <w:rPr>
          <w:color w:val="231F20"/>
          <w:spacing w:val="-38"/>
          <w:w w:val="105"/>
        </w:rPr>
        <w:t> </w:t>
      </w:r>
      <w:r>
        <w:rPr>
          <w:color w:val="231F20"/>
          <w:w w:val="105"/>
        </w:rPr>
        <w:t>exterior</w:t>
      </w:r>
      <w:r>
        <w:rPr>
          <w:color w:val="231F20"/>
          <w:spacing w:val="-38"/>
          <w:w w:val="105"/>
        </w:rPr>
        <w:t> </w:t>
      </w:r>
      <w:r>
        <w:rPr>
          <w:color w:val="231F20"/>
          <w:w w:val="105"/>
        </w:rPr>
        <w:t>y</w:t>
      </w:r>
      <w:r>
        <w:rPr>
          <w:color w:val="231F20"/>
          <w:spacing w:val="-38"/>
          <w:w w:val="105"/>
        </w:rPr>
        <w:t> </w:t>
      </w:r>
      <w:r>
        <w:rPr>
          <w:color w:val="231F20"/>
          <w:w w:val="105"/>
        </w:rPr>
        <w:t>sensibili- zar</w:t>
      </w:r>
      <w:r>
        <w:rPr>
          <w:color w:val="231F20"/>
          <w:spacing w:val="-35"/>
          <w:w w:val="105"/>
        </w:rPr>
        <w:t> </w:t>
      </w:r>
      <w:r>
        <w:rPr>
          <w:color w:val="231F20"/>
          <w:w w:val="105"/>
        </w:rPr>
        <w:t>a</w:t>
      </w:r>
      <w:r>
        <w:rPr>
          <w:color w:val="231F20"/>
          <w:spacing w:val="-35"/>
          <w:w w:val="105"/>
        </w:rPr>
        <w:t> </w:t>
      </w:r>
      <w:r>
        <w:rPr>
          <w:color w:val="231F20"/>
          <w:w w:val="105"/>
        </w:rPr>
        <w:t>las</w:t>
      </w:r>
      <w:r>
        <w:rPr>
          <w:color w:val="231F20"/>
          <w:spacing w:val="-35"/>
          <w:w w:val="105"/>
        </w:rPr>
        <w:t> </w:t>
      </w:r>
      <w:r>
        <w:rPr>
          <w:color w:val="231F20"/>
          <w:w w:val="105"/>
        </w:rPr>
        <w:t>autoridades</w:t>
      </w:r>
      <w:r>
        <w:rPr>
          <w:color w:val="231F20"/>
          <w:spacing w:val="-35"/>
          <w:w w:val="105"/>
        </w:rPr>
        <w:t> </w:t>
      </w:r>
      <w:r>
        <w:rPr>
          <w:color w:val="231F20"/>
          <w:w w:val="105"/>
        </w:rPr>
        <w:t>de</w:t>
      </w:r>
      <w:r>
        <w:rPr>
          <w:color w:val="231F20"/>
          <w:spacing w:val="-35"/>
          <w:w w:val="105"/>
        </w:rPr>
        <w:t> </w:t>
      </w:r>
      <w:r>
        <w:rPr>
          <w:color w:val="231F20"/>
          <w:w w:val="105"/>
        </w:rPr>
        <w:t>las</w:t>
      </w:r>
      <w:r>
        <w:rPr>
          <w:color w:val="231F20"/>
          <w:spacing w:val="-35"/>
          <w:w w:val="105"/>
        </w:rPr>
        <w:t> </w:t>
      </w:r>
      <w:r>
        <w:rPr>
          <w:color w:val="231F20"/>
          <w:w w:val="105"/>
        </w:rPr>
        <w:t>comunidades</w:t>
      </w:r>
      <w:r>
        <w:rPr>
          <w:color w:val="231F20"/>
          <w:spacing w:val="-35"/>
          <w:w w:val="105"/>
        </w:rPr>
        <w:t> </w:t>
      </w:r>
      <w:r>
        <w:rPr>
          <w:color w:val="231F20"/>
          <w:w w:val="105"/>
        </w:rPr>
        <w:t>de</w:t>
      </w:r>
      <w:r>
        <w:rPr>
          <w:color w:val="231F20"/>
          <w:spacing w:val="-35"/>
          <w:w w:val="105"/>
        </w:rPr>
        <w:t> </w:t>
      </w:r>
      <w:r>
        <w:rPr>
          <w:color w:val="231F20"/>
          <w:w w:val="105"/>
        </w:rPr>
        <w:t>origen,</w:t>
      </w:r>
      <w:r>
        <w:rPr>
          <w:color w:val="231F20"/>
          <w:spacing w:val="-35"/>
          <w:w w:val="105"/>
        </w:rPr>
        <w:t> </w:t>
      </w:r>
      <w:r>
        <w:rPr>
          <w:color w:val="231F20"/>
          <w:w w:val="105"/>
        </w:rPr>
        <w:t>tránsito</w:t>
      </w:r>
      <w:r>
        <w:rPr>
          <w:color w:val="231F20"/>
          <w:spacing w:val="-35"/>
          <w:w w:val="105"/>
        </w:rPr>
        <w:t> </w:t>
      </w:r>
      <w:r>
        <w:rPr>
          <w:color w:val="231F20"/>
          <w:w w:val="105"/>
        </w:rPr>
        <w:t>y</w:t>
      </w:r>
      <w:r>
        <w:rPr>
          <w:color w:val="231F20"/>
          <w:spacing w:val="-35"/>
          <w:w w:val="105"/>
        </w:rPr>
        <w:t> </w:t>
      </w:r>
      <w:r>
        <w:rPr>
          <w:color w:val="231F20"/>
          <w:w w:val="105"/>
        </w:rPr>
        <w:t>destino</w:t>
      </w:r>
      <w:r>
        <w:rPr>
          <w:color w:val="231F20"/>
          <w:spacing w:val="-35"/>
          <w:w w:val="105"/>
        </w:rPr>
        <w:t> </w:t>
      </w:r>
      <w:r>
        <w:rPr>
          <w:color w:val="231F20"/>
          <w:w w:val="105"/>
        </w:rPr>
        <w:t>sobre los</w:t>
      </w:r>
      <w:r>
        <w:rPr>
          <w:color w:val="231F20"/>
          <w:spacing w:val="-34"/>
          <w:w w:val="105"/>
        </w:rPr>
        <w:t> </w:t>
      </w:r>
      <w:r>
        <w:rPr>
          <w:color w:val="231F20"/>
          <w:w w:val="105"/>
        </w:rPr>
        <w:t>riesgos</w:t>
      </w:r>
      <w:r>
        <w:rPr>
          <w:color w:val="231F20"/>
          <w:spacing w:val="-34"/>
          <w:w w:val="105"/>
        </w:rPr>
        <w:t> </w:t>
      </w:r>
      <w:r>
        <w:rPr>
          <w:color w:val="231F20"/>
          <w:w w:val="105"/>
        </w:rPr>
        <w:t>que</w:t>
      </w:r>
      <w:r>
        <w:rPr>
          <w:color w:val="231F20"/>
          <w:spacing w:val="-34"/>
          <w:w w:val="105"/>
        </w:rPr>
        <w:t> </w:t>
      </w:r>
      <w:r>
        <w:rPr>
          <w:color w:val="231F20"/>
          <w:w w:val="105"/>
        </w:rPr>
        <w:t>conlleva</w:t>
      </w:r>
      <w:r>
        <w:rPr>
          <w:color w:val="231F20"/>
          <w:spacing w:val="-34"/>
          <w:w w:val="105"/>
        </w:rPr>
        <w:t> </w:t>
      </w:r>
      <w:r>
        <w:rPr>
          <w:color w:val="231F20"/>
          <w:w w:val="105"/>
        </w:rPr>
        <w:t>la</w:t>
      </w:r>
      <w:r>
        <w:rPr>
          <w:color w:val="231F20"/>
          <w:spacing w:val="-34"/>
          <w:w w:val="105"/>
        </w:rPr>
        <w:t> </w:t>
      </w:r>
      <w:r>
        <w:rPr>
          <w:color w:val="231F20"/>
          <w:w w:val="105"/>
        </w:rPr>
        <w:t>migración.</w:t>
      </w:r>
    </w:p>
    <w:p>
      <w:pPr>
        <w:pStyle w:val="BodyText"/>
        <w:spacing w:before="6"/>
        <w:rPr>
          <w:sz w:val="25"/>
        </w:rPr>
      </w:pPr>
    </w:p>
    <w:p>
      <w:pPr>
        <w:pStyle w:val="Heading3"/>
        <w:spacing w:before="69"/>
        <w:ind w:right="117"/>
        <w:jc w:val="left"/>
      </w:pPr>
      <w:r>
        <w:rPr>
          <w:color w:val="231F20"/>
        </w:rPr>
        <w:t>Bibliografía</w:t>
      </w:r>
    </w:p>
    <w:p>
      <w:pPr>
        <w:pStyle w:val="BodyText"/>
        <w:spacing w:before="10"/>
        <w:rPr>
          <w:b/>
          <w:sz w:val="26"/>
        </w:rPr>
      </w:pPr>
    </w:p>
    <w:p>
      <w:pPr>
        <w:spacing w:before="75"/>
        <w:ind w:left="117" w:right="0" w:firstLine="0"/>
        <w:jc w:val="both"/>
        <w:rPr>
          <w:sz w:val="20"/>
        </w:rPr>
      </w:pPr>
      <w:r>
        <w:rPr>
          <w:color w:val="231F20"/>
          <w:sz w:val="20"/>
        </w:rPr>
        <w:t>CARBONELL, Miguel, 2004, </w:t>
      </w:r>
      <w:r>
        <w:rPr>
          <w:i/>
          <w:color w:val="231F20"/>
          <w:sz w:val="20"/>
        </w:rPr>
        <w:t>Derechos de las niñas y niños</w:t>
      </w:r>
      <w:r>
        <w:rPr>
          <w:color w:val="231F20"/>
          <w:sz w:val="20"/>
        </w:rPr>
        <w:t>, Porrúa, México.</w:t>
      </w:r>
    </w:p>
    <w:p>
      <w:pPr>
        <w:spacing w:line="210" w:lineRule="exact" w:before="112"/>
        <w:ind w:left="117" w:right="115" w:firstLine="0"/>
        <w:jc w:val="both"/>
        <w:rPr>
          <w:sz w:val="20"/>
        </w:rPr>
      </w:pPr>
      <w:r>
        <w:rPr>
          <w:color w:val="231F20"/>
          <w:sz w:val="20"/>
        </w:rPr>
        <w:t>CIDH (Corte Interamericana de Derechos Humanos), 2004, </w:t>
      </w:r>
      <w:r>
        <w:rPr>
          <w:i/>
          <w:color w:val="231F20"/>
          <w:sz w:val="20"/>
        </w:rPr>
        <w:t>Opinión Consultiva </w:t>
      </w:r>
      <w:r>
        <w:rPr>
          <w:i/>
          <w:color w:val="231F20"/>
          <w:sz w:val="20"/>
        </w:rPr>
        <w:t>OC-18/03, </w:t>
      </w:r>
      <w:r>
        <w:rPr>
          <w:color w:val="231F20"/>
          <w:sz w:val="20"/>
        </w:rPr>
        <w:t>México.</w:t>
      </w:r>
    </w:p>
    <w:p>
      <w:pPr>
        <w:spacing w:line="210" w:lineRule="exact" w:before="113"/>
        <w:ind w:left="117" w:right="115" w:firstLine="0"/>
        <w:jc w:val="both"/>
        <w:rPr>
          <w:sz w:val="20"/>
        </w:rPr>
      </w:pPr>
      <w:r>
        <w:rPr>
          <w:color w:val="231F20"/>
          <w:sz w:val="20"/>
        </w:rPr>
        <w:t>CNDH</w:t>
      </w:r>
      <w:r>
        <w:rPr>
          <w:color w:val="231F20"/>
          <w:spacing w:val="-10"/>
          <w:sz w:val="20"/>
        </w:rPr>
        <w:t> </w:t>
      </w:r>
      <w:r>
        <w:rPr>
          <w:color w:val="231F20"/>
          <w:sz w:val="20"/>
        </w:rPr>
        <w:t>(Comisión</w:t>
      </w:r>
      <w:r>
        <w:rPr>
          <w:color w:val="231F20"/>
          <w:spacing w:val="-10"/>
          <w:sz w:val="20"/>
        </w:rPr>
        <w:t> </w:t>
      </w:r>
      <w:r>
        <w:rPr>
          <w:color w:val="231F20"/>
          <w:sz w:val="20"/>
        </w:rPr>
        <w:t>Nacional</w:t>
      </w:r>
      <w:r>
        <w:rPr>
          <w:color w:val="231F20"/>
          <w:spacing w:val="-10"/>
          <w:sz w:val="20"/>
        </w:rPr>
        <w:t> </w:t>
      </w:r>
      <w:r>
        <w:rPr>
          <w:color w:val="231F20"/>
          <w:sz w:val="20"/>
        </w:rPr>
        <w:t>de</w:t>
      </w:r>
      <w:r>
        <w:rPr>
          <w:color w:val="231F20"/>
          <w:spacing w:val="-10"/>
          <w:sz w:val="20"/>
        </w:rPr>
        <w:t> </w:t>
      </w:r>
      <w:r>
        <w:rPr>
          <w:color w:val="231F20"/>
          <w:sz w:val="20"/>
        </w:rPr>
        <w:t>Derechos</w:t>
      </w:r>
      <w:r>
        <w:rPr>
          <w:color w:val="231F20"/>
          <w:spacing w:val="-10"/>
          <w:sz w:val="20"/>
        </w:rPr>
        <w:t> </w:t>
      </w:r>
      <w:r>
        <w:rPr>
          <w:color w:val="231F20"/>
          <w:sz w:val="20"/>
        </w:rPr>
        <w:t>Humanos),</w:t>
      </w:r>
      <w:r>
        <w:rPr>
          <w:color w:val="231F20"/>
          <w:spacing w:val="-10"/>
          <w:sz w:val="20"/>
        </w:rPr>
        <w:t> </w:t>
      </w:r>
      <w:r>
        <w:rPr>
          <w:color w:val="231F20"/>
          <w:sz w:val="20"/>
        </w:rPr>
        <w:t>1995</w:t>
      </w:r>
      <w:r>
        <w:rPr>
          <w:color w:val="231F20"/>
          <w:spacing w:val="-10"/>
          <w:sz w:val="20"/>
        </w:rPr>
        <w:t> </w:t>
      </w:r>
      <w:r>
        <w:rPr>
          <w:i/>
          <w:color w:val="231F20"/>
          <w:sz w:val="20"/>
        </w:rPr>
        <w:t>Informe</w:t>
      </w:r>
      <w:r>
        <w:rPr>
          <w:i/>
          <w:color w:val="231F20"/>
          <w:spacing w:val="-10"/>
          <w:sz w:val="20"/>
        </w:rPr>
        <w:t> </w:t>
      </w:r>
      <w:r>
        <w:rPr>
          <w:i/>
          <w:color w:val="231F20"/>
          <w:spacing w:val="-3"/>
          <w:sz w:val="20"/>
        </w:rPr>
        <w:t>sobre</w:t>
      </w:r>
      <w:r>
        <w:rPr>
          <w:i/>
          <w:color w:val="231F20"/>
          <w:spacing w:val="-10"/>
          <w:sz w:val="20"/>
        </w:rPr>
        <w:t> </w:t>
      </w:r>
      <w:r>
        <w:rPr>
          <w:i/>
          <w:color w:val="231F20"/>
          <w:sz w:val="20"/>
        </w:rPr>
        <w:t>violacio- </w:t>
      </w:r>
      <w:r>
        <w:rPr>
          <w:i/>
          <w:color w:val="231F20"/>
          <w:sz w:val="20"/>
        </w:rPr>
        <w:t>nes</w:t>
      </w:r>
      <w:r>
        <w:rPr>
          <w:i/>
          <w:color w:val="231F20"/>
          <w:spacing w:val="-3"/>
          <w:sz w:val="20"/>
        </w:rPr>
        <w:t> </w:t>
      </w:r>
      <w:r>
        <w:rPr>
          <w:i/>
          <w:color w:val="231F20"/>
          <w:sz w:val="20"/>
        </w:rPr>
        <w:t>a</w:t>
      </w:r>
      <w:r>
        <w:rPr>
          <w:i/>
          <w:color w:val="231F20"/>
          <w:spacing w:val="-3"/>
          <w:sz w:val="20"/>
        </w:rPr>
        <w:t> </w:t>
      </w:r>
      <w:r>
        <w:rPr>
          <w:i/>
          <w:color w:val="231F20"/>
          <w:sz w:val="20"/>
        </w:rPr>
        <w:t>los</w:t>
      </w:r>
      <w:r>
        <w:rPr>
          <w:i/>
          <w:color w:val="231F20"/>
          <w:spacing w:val="-4"/>
          <w:sz w:val="20"/>
        </w:rPr>
        <w:t> </w:t>
      </w:r>
      <w:r>
        <w:rPr>
          <w:i/>
          <w:color w:val="231F20"/>
          <w:sz w:val="20"/>
        </w:rPr>
        <w:t>derechos</w:t>
      </w:r>
      <w:r>
        <w:rPr>
          <w:i/>
          <w:color w:val="231F20"/>
          <w:spacing w:val="-4"/>
          <w:sz w:val="20"/>
        </w:rPr>
        <w:t> </w:t>
      </w:r>
      <w:r>
        <w:rPr>
          <w:i/>
          <w:color w:val="231F20"/>
          <w:sz w:val="20"/>
        </w:rPr>
        <w:t>humanos</w:t>
      </w:r>
      <w:r>
        <w:rPr>
          <w:i/>
          <w:color w:val="231F20"/>
          <w:spacing w:val="-4"/>
          <w:sz w:val="20"/>
        </w:rPr>
        <w:t> </w:t>
      </w:r>
      <w:r>
        <w:rPr>
          <w:i/>
          <w:color w:val="231F20"/>
          <w:sz w:val="20"/>
        </w:rPr>
        <w:t>de</w:t>
      </w:r>
      <w:r>
        <w:rPr>
          <w:i/>
          <w:color w:val="231F20"/>
          <w:spacing w:val="-3"/>
          <w:sz w:val="20"/>
        </w:rPr>
        <w:t> </w:t>
      </w:r>
      <w:r>
        <w:rPr>
          <w:i/>
          <w:color w:val="231F20"/>
          <w:sz w:val="20"/>
        </w:rPr>
        <w:t>los</w:t>
      </w:r>
      <w:r>
        <w:rPr>
          <w:i/>
          <w:color w:val="231F20"/>
          <w:spacing w:val="-4"/>
          <w:sz w:val="20"/>
        </w:rPr>
        <w:t> </w:t>
      </w:r>
      <w:r>
        <w:rPr>
          <w:i/>
          <w:color w:val="231F20"/>
          <w:sz w:val="20"/>
        </w:rPr>
        <w:t>migrantes</w:t>
      </w:r>
      <w:r>
        <w:rPr>
          <w:i/>
          <w:color w:val="231F20"/>
          <w:spacing w:val="-3"/>
          <w:sz w:val="20"/>
        </w:rPr>
        <w:t> </w:t>
      </w:r>
      <w:r>
        <w:rPr>
          <w:i/>
          <w:color w:val="231F20"/>
          <w:sz w:val="20"/>
        </w:rPr>
        <w:t>en</w:t>
      </w:r>
      <w:r>
        <w:rPr>
          <w:i/>
          <w:color w:val="231F20"/>
          <w:spacing w:val="-4"/>
          <w:sz w:val="20"/>
        </w:rPr>
        <w:t> </w:t>
      </w:r>
      <w:r>
        <w:rPr>
          <w:i/>
          <w:color w:val="231F20"/>
          <w:sz w:val="20"/>
        </w:rPr>
        <w:t>la</w:t>
      </w:r>
      <w:r>
        <w:rPr>
          <w:i/>
          <w:color w:val="231F20"/>
          <w:spacing w:val="-4"/>
          <w:sz w:val="20"/>
        </w:rPr>
        <w:t> </w:t>
      </w:r>
      <w:r>
        <w:rPr>
          <w:i/>
          <w:color w:val="231F20"/>
          <w:sz w:val="20"/>
        </w:rPr>
        <w:t>frontera</w:t>
      </w:r>
      <w:r>
        <w:rPr>
          <w:i/>
          <w:color w:val="231F20"/>
          <w:spacing w:val="-3"/>
          <w:sz w:val="20"/>
        </w:rPr>
        <w:t> </w:t>
      </w:r>
      <w:r>
        <w:rPr>
          <w:i/>
          <w:color w:val="231F20"/>
          <w:sz w:val="20"/>
        </w:rPr>
        <w:t>sur</w:t>
      </w:r>
      <w:r>
        <w:rPr>
          <w:color w:val="231F20"/>
          <w:sz w:val="20"/>
        </w:rPr>
        <w:t>,</w:t>
      </w:r>
      <w:r>
        <w:rPr>
          <w:color w:val="231F20"/>
          <w:spacing w:val="-3"/>
          <w:sz w:val="20"/>
        </w:rPr>
        <w:t> </w:t>
      </w:r>
      <w:r>
        <w:rPr>
          <w:color w:val="231F20"/>
          <w:sz w:val="20"/>
        </w:rPr>
        <w:t>México.</w:t>
      </w:r>
    </w:p>
    <w:p>
      <w:pPr>
        <w:spacing w:line="210" w:lineRule="exact" w:before="113"/>
        <w:ind w:left="117" w:right="115" w:firstLine="0"/>
        <w:jc w:val="both"/>
        <w:rPr>
          <w:sz w:val="20"/>
        </w:rPr>
      </w:pPr>
      <w:r>
        <w:rPr>
          <w:color w:val="231F20"/>
          <w:spacing w:val="-5"/>
          <w:sz w:val="20"/>
        </w:rPr>
        <w:t>DIF,</w:t>
      </w:r>
      <w:r>
        <w:rPr>
          <w:color w:val="231F20"/>
          <w:spacing w:val="-8"/>
          <w:sz w:val="20"/>
        </w:rPr>
        <w:t> </w:t>
      </w:r>
      <w:r>
        <w:rPr>
          <w:color w:val="231F20"/>
          <w:sz w:val="20"/>
        </w:rPr>
        <w:t>2003</w:t>
      </w:r>
      <w:r>
        <w:rPr>
          <w:color w:val="231F20"/>
          <w:spacing w:val="-8"/>
          <w:sz w:val="20"/>
        </w:rPr>
        <w:t> </w:t>
      </w:r>
      <w:r>
        <w:rPr>
          <w:i/>
          <w:color w:val="231F20"/>
          <w:sz w:val="20"/>
        </w:rPr>
        <w:t>Informe</w:t>
      </w:r>
      <w:r>
        <w:rPr>
          <w:i/>
          <w:color w:val="231F20"/>
          <w:spacing w:val="-8"/>
          <w:sz w:val="20"/>
        </w:rPr>
        <w:t> </w:t>
      </w:r>
      <w:r>
        <w:rPr>
          <w:i/>
          <w:color w:val="231F20"/>
          <w:sz w:val="20"/>
        </w:rPr>
        <w:t>de</w:t>
      </w:r>
      <w:r>
        <w:rPr>
          <w:i/>
          <w:color w:val="231F20"/>
          <w:spacing w:val="-8"/>
          <w:sz w:val="20"/>
        </w:rPr>
        <w:t> </w:t>
      </w:r>
      <w:r>
        <w:rPr>
          <w:i/>
          <w:color w:val="231F20"/>
          <w:sz w:val="20"/>
        </w:rPr>
        <w:t>actividades</w:t>
      </w:r>
      <w:r>
        <w:rPr>
          <w:i/>
          <w:color w:val="231F20"/>
          <w:spacing w:val="-9"/>
          <w:sz w:val="20"/>
        </w:rPr>
        <w:t> </w:t>
      </w:r>
      <w:r>
        <w:rPr>
          <w:i/>
          <w:color w:val="231F20"/>
          <w:sz w:val="20"/>
        </w:rPr>
        <w:t>de</w:t>
      </w:r>
      <w:r>
        <w:rPr>
          <w:i/>
          <w:color w:val="231F20"/>
          <w:spacing w:val="-8"/>
          <w:sz w:val="20"/>
        </w:rPr>
        <w:t> </w:t>
      </w:r>
      <w:r>
        <w:rPr>
          <w:i/>
          <w:color w:val="231F20"/>
          <w:sz w:val="20"/>
        </w:rPr>
        <w:t>la</w:t>
      </w:r>
      <w:r>
        <w:rPr>
          <w:i/>
          <w:color w:val="231F20"/>
          <w:spacing w:val="-8"/>
          <w:sz w:val="20"/>
        </w:rPr>
        <w:t> </w:t>
      </w:r>
      <w:r>
        <w:rPr>
          <w:i/>
          <w:color w:val="231F20"/>
          <w:sz w:val="20"/>
        </w:rPr>
        <w:t>casa</w:t>
      </w:r>
      <w:r>
        <w:rPr>
          <w:i/>
          <w:color w:val="231F20"/>
          <w:spacing w:val="-8"/>
          <w:sz w:val="20"/>
        </w:rPr>
        <w:t> </w:t>
      </w:r>
      <w:r>
        <w:rPr>
          <w:i/>
          <w:color w:val="231F20"/>
          <w:sz w:val="20"/>
        </w:rPr>
        <w:t>de</w:t>
      </w:r>
      <w:r>
        <w:rPr>
          <w:i/>
          <w:color w:val="231F20"/>
          <w:spacing w:val="-8"/>
          <w:sz w:val="20"/>
        </w:rPr>
        <w:t> </w:t>
      </w:r>
      <w:r>
        <w:rPr>
          <w:i/>
          <w:color w:val="231F20"/>
          <w:sz w:val="20"/>
        </w:rPr>
        <w:t>atención</w:t>
      </w:r>
      <w:r>
        <w:rPr>
          <w:i/>
          <w:color w:val="231F20"/>
          <w:spacing w:val="-8"/>
          <w:sz w:val="20"/>
        </w:rPr>
        <w:t> </w:t>
      </w:r>
      <w:r>
        <w:rPr>
          <w:i/>
          <w:color w:val="231F20"/>
          <w:sz w:val="20"/>
        </w:rPr>
        <w:t>a</w:t>
      </w:r>
      <w:r>
        <w:rPr>
          <w:i/>
          <w:color w:val="231F20"/>
          <w:spacing w:val="-8"/>
          <w:sz w:val="20"/>
        </w:rPr>
        <w:t> </w:t>
      </w:r>
      <w:r>
        <w:rPr>
          <w:i/>
          <w:color w:val="231F20"/>
          <w:sz w:val="20"/>
        </w:rPr>
        <w:t>menores</w:t>
      </w:r>
      <w:r>
        <w:rPr>
          <w:i/>
          <w:color w:val="231F20"/>
          <w:spacing w:val="-8"/>
          <w:sz w:val="20"/>
        </w:rPr>
        <w:t> </w:t>
      </w:r>
      <w:r>
        <w:rPr>
          <w:i/>
          <w:color w:val="231F20"/>
          <w:sz w:val="20"/>
        </w:rPr>
        <w:t>y</w:t>
      </w:r>
      <w:r>
        <w:rPr>
          <w:i/>
          <w:color w:val="231F20"/>
          <w:spacing w:val="-8"/>
          <w:sz w:val="20"/>
        </w:rPr>
        <w:t> </w:t>
      </w:r>
      <w:r>
        <w:rPr>
          <w:i/>
          <w:color w:val="231F20"/>
          <w:sz w:val="20"/>
        </w:rPr>
        <w:t>adolescentes </w:t>
      </w:r>
      <w:r>
        <w:rPr>
          <w:i/>
          <w:color w:val="231F20"/>
          <w:sz w:val="20"/>
        </w:rPr>
        <w:t>en situación de y en la calle (</w:t>
      </w:r>
      <w:r>
        <w:rPr>
          <w:i/>
          <w:color w:val="231F20"/>
          <w:sz w:val="14"/>
        </w:rPr>
        <w:t>camasc</w:t>
      </w:r>
      <w:r>
        <w:rPr>
          <w:i/>
          <w:color w:val="231F20"/>
          <w:sz w:val="20"/>
        </w:rPr>
        <w:t>) adscrito al sistema DIF Municipal </w:t>
      </w:r>
      <w:r>
        <w:rPr>
          <w:i/>
          <w:color w:val="231F20"/>
          <w:spacing w:val="-3"/>
          <w:sz w:val="20"/>
        </w:rPr>
        <w:t>Tapachu- </w:t>
      </w:r>
      <w:r>
        <w:rPr>
          <w:i/>
          <w:color w:val="231F20"/>
          <w:sz w:val="20"/>
        </w:rPr>
        <w:t>la,</w:t>
      </w:r>
      <w:r>
        <w:rPr>
          <w:i/>
          <w:color w:val="231F20"/>
          <w:spacing w:val="-8"/>
          <w:sz w:val="20"/>
        </w:rPr>
        <w:t> </w:t>
      </w:r>
      <w:r>
        <w:rPr>
          <w:color w:val="231F20"/>
          <w:sz w:val="20"/>
        </w:rPr>
        <w:t>México.</w:t>
      </w:r>
    </w:p>
    <w:p>
      <w:pPr>
        <w:spacing w:line="210" w:lineRule="exact" w:before="113"/>
        <w:ind w:left="117" w:right="115" w:firstLine="0"/>
        <w:jc w:val="both"/>
        <w:rPr>
          <w:sz w:val="20"/>
        </w:rPr>
      </w:pPr>
      <w:r>
        <w:rPr>
          <w:color w:val="231F20"/>
          <w:sz w:val="20"/>
        </w:rPr>
        <w:t>ELÍAS</w:t>
      </w:r>
      <w:r>
        <w:rPr>
          <w:color w:val="231F20"/>
          <w:spacing w:val="-6"/>
          <w:sz w:val="20"/>
        </w:rPr>
        <w:t> </w:t>
      </w:r>
      <w:r>
        <w:rPr>
          <w:color w:val="231F20"/>
          <w:sz w:val="20"/>
        </w:rPr>
        <w:t>MÉNDEZ,</w:t>
      </w:r>
      <w:r>
        <w:rPr>
          <w:color w:val="231F20"/>
          <w:spacing w:val="-5"/>
          <w:sz w:val="20"/>
        </w:rPr>
        <w:t> </w:t>
      </w:r>
      <w:r>
        <w:rPr>
          <w:color w:val="231F20"/>
          <w:sz w:val="20"/>
        </w:rPr>
        <w:t>Cristina,</w:t>
      </w:r>
      <w:r>
        <w:rPr>
          <w:color w:val="231F20"/>
          <w:spacing w:val="-6"/>
          <w:sz w:val="20"/>
        </w:rPr>
        <w:t> </w:t>
      </w:r>
      <w:r>
        <w:rPr>
          <w:color w:val="231F20"/>
          <w:sz w:val="20"/>
        </w:rPr>
        <w:t>2002,</w:t>
      </w:r>
      <w:r>
        <w:rPr>
          <w:color w:val="231F20"/>
          <w:spacing w:val="-6"/>
          <w:sz w:val="20"/>
        </w:rPr>
        <w:t> </w:t>
      </w:r>
      <w:r>
        <w:rPr>
          <w:i/>
          <w:color w:val="231F20"/>
          <w:sz w:val="20"/>
        </w:rPr>
        <w:t>La</w:t>
      </w:r>
      <w:r>
        <w:rPr>
          <w:i/>
          <w:color w:val="231F20"/>
          <w:spacing w:val="-6"/>
          <w:sz w:val="20"/>
        </w:rPr>
        <w:t> </w:t>
      </w:r>
      <w:r>
        <w:rPr>
          <w:i/>
          <w:color w:val="231F20"/>
          <w:sz w:val="20"/>
        </w:rPr>
        <w:t>Protección</w:t>
      </w:r>
      <w:r>
        <w:rPr>
          <w:i/>
          <w:color w:val="231F20"/>
          <w:spacing w:val="-6"/>
          <w:sz w:val="20"/>
        </w:rPr>
        <w:t> </w:t>
      </w:r>
      <w:r>
        <w:rPr>
          <w:i/>
          <w:color w:val="231F20"/>
          <w:sz w:val="20"/>
        </w:rPr>
        <w:t>del</w:t>
      </w:r>
      <w:r>
        <w:rPr>
          <w:i/>
          <w:color w:val="231F20"/>
          <w:spacing w:val="-6"/>
          <w:sz w:val="20"/>
        </w:rPr>
        <w:t> </w:t>
      </w:r>
      <w:r>
        <w:rPr>
          <w:i/>
          <w:color w:val="231F20"/>
          <w:sz w:val="20"/>
        </w:rPr>
        <w:t>menor</w:t>
      </w:r>
      <w:r>
        <w:rPr>
          <w:i/>
          <w:color w:val="231F20"/>
          <w:spacing w:val="-5"/>
          <w:sz w:val="20"/>
        </w:rPr>
        <w:t> </w:t>
      </w:r>
      <w:r>
        <w:rPr>
          <w:i/>
          <w:color w:val="231F20"/>
          <w:sz w:val="20"/>
        </w:rPr>
        <w:t>inmigrante</w:t>
      </w:r>
      <w:r>
        <w:rPr>
          <w:i/>
          <w:color w:val="231F20"/>
          <w:spacing w:val="-6"/>
          <w:sz w:val="20"/>
        </w:rPr>
        <w:t> </w:t>
      </w:r>
      <w:r>
        <w:rPr>
          <w:i/>
          <w:color w:val="231F20"/>
          <w:sz w:val="20"/>
        </w:rPr>
        <w:t>desde</w:t>
      </w:r>
      <w:r>
        <w:rPr>
          <w:i/>
          <w:color w:val="231F20"/>
          <w:spacing w:val="-6"/>
          <w:sz w:val="20"/>
        </w:rPr>
        <w:t> </w:t>
      </w:r>
      <w:r>
        <w:rPr>
          <w:i/>
          <w:color w:val="231F20"/>
          <w:sz w:val="20"/>
        </w:rPr>
        <w:t>una </w:t>
      </w:r>
      <w:r>
        <w:rPr>
          <w:i/>
          <w:color w:val="231F20"/>
          <w:sz w:val="20"/>
        </w:rPr>
        <w:t>perspectiva constitucional</w:t>
      </w:r>
      <w:r>
        <w:rPr>
          <w:color w:val="231F20"/>
          <w:sz w:val="20"/>
        </w:rPr>
        <w:t>, Tirant lo Blanch,</w:t>
      </w:r>
      <w:r>
        <w:rPr>
          <w:color w:val="231F20"/>
          <w:spacing w:val="-21"/>
          <w:sz w:val="20"/>
        </w:rPr>
        <w:t> </w:t>
      </w:r>
      <w:r>
        <w:rPr>
          <w:color w:val="231F20"/>
          <w:sz w:val="20"/>
        </w:rPr>
        <w:t>Madrid.</w:t>
      </w:r>
    </w:p>
    <w:p>
      <w:pPr>
        <w:spacing w:line="210" w:lineRule="exact" w:before="113"/>
        <w:ind w:left="117" w:right="115" w:firstLine="0"/>
        <w:jc w:val="both"/>
        <w:rPr>
          <w:sz w:val="20"/>
        </w:rPr>
      </w:pPr>
      <w:r>
        <w:rPr>
          <w:color w:val="231F20"/>
          <w:sz w:val="20"/>
        </w:rPr>
        <w:t>FÁBREGA</w:t>
      </w:r>
      <w:r>
        <w:rPr>
          <w:color w:val="231F20"/>
          <w:spacing w:val="-21"/>
          <w:sz w:val="20"/>
        </w:rPr>
        <w:t> </w:t>
      </w:r>
      <w:r>
        <w:rPr>
          <w:color w:val="231F20"/>
          <w:sz w:val="20"/>
        </w:rPr>
        <w:t>RUIZ,</w:t>
      </w:r>
      <w:r>
        <w:rPr>
          <w:color w:val="231F20"/>
          <w:spacing w:val="-10"/>
          <w:sz w:val="20"/>
        </w:rPr>
        <w:t> </w:t>
      </w:r>
      <w:r>
        <w:rPr>
          <w:color w:val="231F20"/>
          <w:sz w:val="20"/>
        </w:rPr>
        <w:t>Cristóbal</w:t>
      </w:r>
      <w:r>
        <w:rPr>
          <w:color w:val="231F20"/>
          <w:spacing w:val="-10"/>
          <w:sz w:val="20"/>
        </w:rPr>
        <w:t> </w:t>
      </w:r>
      <w:r>
        <w:rPr>
          <w:color w:val="231F20"/>
          <w:sz w:val="20"/>
        </w:rPr>
        <w:t>Francisco,</w:t>
      </w:r>
      <w:r>
        <w:rPr>
          <w:color w:val="231F20"/>
          <w:spacing w:val="-10"/>
          <w:sz w:val="20"/>
        </w:rPr>
        <w:t> </w:t>
      </w:r>
      <w:r>
        <w:rPr>
          <w:color w:val="231F20"/>
          <w:sz w:val="20"/>
        </w:rPr>
        <w:t>2001,</w:t>
      </w:r>
      <w:r>
        <w:rPr>
          <w:color w:val="231F20"/>
          <w:spacing w:val="-10"/>
          <w:sz w:val="20"/>
        </w:rPr>
        <w:t> </w:t>
      </w:r>
      <w:r>
        <w:rPr>
          <w:i/>
          <w:color w:val="231F20"/>
          <w:sz w:val="20"/>
        </w:rPr>
        <w:t>Protección</w:t>
      </w:r>
      <w:r>
        <w:rPr>
          <w:i/>
          <w:color w:val="231F20"/>
          <w:spacing w:val="-10"/>
          <w:sz w:val="20"/>
        </w:rPr>
        <w:t> </w:t>
      </w:r>
      <w:r>
        <w:rPr>
          <w:i/>
          <w:color w:val="231F20"/>
          <w:sz w:val="20"/>
        </w:rPr>
        <w:t>jurídica</w:t>
      </w:r>
      <w:r>
        <w:rPr>
          <w:i/>
          <w:color w:val="231F20"/>
          <w:spacing w:val="-11"/>
          <w:sz w:val="20"/>
        </w:rPr>
        <w:t> </w:t>
      </w:r>
      <w:r>
        <w:rPr>
          <w:i/>
          <w:color w:val="231F20"/>
          <w:sz w:val="20"/>
        </w:rPr>
        <w:t>del</w:t>
      </w:r>
      <w:r>
        <w:rPr>
          <w:i/>
          <w:color w:val="231F20"/>
          <w:spacing w:val="-10"/>
          <w:sz w:val="20"/>
        </w:rPr>
        <w:t> </w:t>
      </w:r>
      <w:r>
        <w:rPr>
          <w:i/>
          <w:color w:val="231F20"/>
          <w:sz w:val="20"/>
        </w:rPr>
        <w:t>menor</w:t>
      </w:r>
      <w:r>
        <w:rPr>
          <w:i/>
          <w:color w:val="231F20"/>
          <w:spacing w:val="-10"/>
          <w:sz w:val="20"/>
        </w:rPr>
        <w:t> </w:t>
      </w:r>
      <w:r>
        <w:rPr>
          <w:i/>
          <w:color w:val="231F20"/>
          <w:sz w:val="20"/>
        </w:rPr>
        <w:t>inmi- </w:t>
      </w:r>
      <w:r>
        <w:rPr>
          <w:i/>
          <w:color w:val="231F20"/>
          <w:sz w:val="20"/>
        </w:rPr>
        <w:t>grante</w:t>
      </w:r>
      <w:r>
        <w:rPr>
          <w:color w:val="231F20"/>
          <w:sz w:val="20"/>
        </w:rPr>
        <w:t>, Colex,</w:t>
      </w:r>
      <w:r>
        <w:rPr>
          <w:color w:val="231F20"/>
          <w:spacing w:val="-7"/>
          <w:sz w:val="20"/>
        </w:rPr>
        <w:t> </w:t>
      </w:r>
      <w:r>
        <w:rPr>
          <w:color w:val="231F20"/>
          <w:sz w:val="20"/>
        </w:rPr>
        <w:t>Madrid.</w:t>
      </w:r>
    </w:p>
    <w:p>
      <w:pPr>
        <w:spacing w:line="210" w:lineRule="exact" w:before="113"/>
        <w:ind w:left="117" w:right="115" w:firstLine="0"/>
        <w:jc w:val="both"/>
        <w:rPr>
          <w:sz w:val="20"/>
        </w:rPr>
      </w:pPr>
      <w:r>
        <w:rPr>
          <w:color w:val="231F20"/>
          <w:sz w:val="20"/>
        </w:rPr>
        <w:t>IIJ (Instituto de Investigaciones Jurídicas), 1991, </w:t>
      </w:r>
      <w:r>
        <w:rPr>
          <w:i/>
          <w:color w:val="231F20"/>
          <w:sz w:val="20"/>
        </w:rPr>
        <w:t>Diccionario Jurídico Mexicano</w:t>
      </w:r>
      <w:r>
        <w:rPr>
          <w:color w:val="231F20"/>
          <w:sz w:val="20"/>
        </w:rPr>
        <w:t>, Porrúa, México.</w:t>
      </w:r>
    </w:p>
    <w:p>
      <w:pPr>
        <w:spacing w:line="210" w:lineRule="exact" w:before="113"/>
        <w:ind w:left="117" w:right="115" w:firstLine="0"/>
        <w:jc w:val="both"/>
        <w:rPr>
          <w:sz w:val="20"/>
        </w:rPr>
      </w:pPr>
      <w:r>
        <w:rPr>
          <w:color w:val="231F20"/>
          <w:sz w:val="20"/>
        </w:rPr>
        <w:t>RAE (Real Academia Española), 2001, </w:t>
      </w:r>
      <w:r>
        <w:rPr>
          <w:i/>
          <w:color w:val="231F20"/>
          <w:sz w:val="20"/>
        </w:rPr>
        <w:t>Diccionario de la Lengua Española</w:t>
      </w:r>
      <w:r>
        <w:rPr>
          <w:color w:val="231F20"/>
          <w:sz w:val="20"/>
        </w:rPr>
        <w:t>, Es- pasa Calpe, España.</w:t>
      </w:r>
    </w:p>
    <w:p>
      <w:pPr>
        <w:spacing w:line="210" w:lineRule="exact" w:before="113"/>
        <w:ind w:left="117" w:right="115" w:firstLine="0"/>
        <w:jc w:val="both"/>
        <w:rPr>
          <w:sz w:val="20"/>
        </w:rPr>
      </w:pPr>
      <w:r>
        <w:rPr>
          <w:color w:val="231F20"/>
          <w:sz w:val="20"/>
        </w:rPr>
        <w:t>SEGOB (Secretaría de Gobernación), s/fa, </w:t>
      </w:r>
      <w:r>
        <w:rPr>
          <w:i/>
          <w:color w:val="231F20"/>
          <w:sz w:val="20"/>
        </w:rPr>
        <w:t>Ley de Migración</w:t>
      </w:r>
      <w:r>
        <w:rPr>
          <w:color w:val="231F20"/>
          <w:sz w:val="20"/>
        </w:rPr>
        <w:t>, Instituto Nacional de Migración</w:t>
      </w:r>
      <w:r>
        <w:rPr>
          <w:i/>
          <w:color w:val="231F20"/>
          <w:sz w:val="20"/>
        </w:rPr>
        <w:t>, </w:t>
      </w:r>
      <w:r>
        <w:rPr>
          <w:color w:val="231F20"/>
          <w:sz w:val="20"/>
        </w:rPr>
        <w:t>disponible en </w:t>
      </w:r>
      <w:hyperlink r:id="rId242">
        <w:r>
          <w:rPr>
            <w:color w:val="231F20"/>
            <w:sz w:val="20"/>
          </w:rPr>
          <w:t>www.inm.gob.mx/static/marco_juridico/pdf/Presen-</w:t>
        </w:r>
      </w:hyperlink>
      <w:r>
        <w:rPr>
          <w:color w:val="231F20"/>
          <w:sz w:val="20"/>
        </w:rPr>
        <w:t> tacion...</w:t>
      </w:r>
    </w:p>
    <w:p>
      <w:pPr>
        <w:spacing w:line="210" w:lineRule="exact" w:before="113"/>
        <w:ind w:left="117" w:right="115" w:firstLine="0"/>
        <w:jc w:val="both"/>
        <w:rPr>
          <w:sz w:val="20"/>
        </w:rPr>
      </w:pPr>
      <w:r>
        <w:rPr>
          <w:color w:val="231F20"/>
          <w:sz w:val="20"/>
        </w:rPr>
        <w:t>SEGOB (Secretaría de Gobernación), s/fb, </w:t>
      </w:r>
      <w:r>
        <w:rPr>
          <w:i/>
          <w:color w:val="231F20"/>
          <w:sz w:val="20"/>
        </w:rPr>
        <w:t>Reglamento de la Ley de Migración, </w:t>
      </w:r>
      <w:r>
        <w:rPr>
          <w:color w:val="231F20"/>
          <w:sz w:val="20"/>
        </w:rPr>
        <w:t>Instituto</w:t>
      </w:r>
      <w:r>
        <w:rPr>
          <w:color w:val="231F20"/>
          <w:spacing w:val="-12"/>
          <w:sz w:val="20"/>
        </w:rPr>
        <w:t> </w:t>
      </w:r>
      <w:r>
        <w:rPr>
          <w:color w:val="231F20"/>
          <w:sz w:val="20"/>
        </w:rPr>
        <w:t>Nacional</w:t>
      </w:r>
      <w:r>
        <w:rPr>
          <w:color w:val="231F20"/>
          <w:spacing w:val="-11"/>
          <w:sz w:val="20"/>
        </w:rPr>
        <w:t> </w:t>
      </w:r>
      <w:r>
        <w:rPr>
          <w:color w:val="231F20"/>
          <w:sz w:val="20"/>
        </w:rPr>
        <w:t>de</w:t>
      </w:r>
      <w:r>
        <w:rPr>
          <w:color w:val="231F20"/>
          <w:spacing w:val="-12"/>
          <w:sz w:val="20"/>
        </w:rPr>
        <w:t> </w:t>
      </w:r>
      <w:r>
        <w:rPr>
          <w:color w:val="231F20"/>
          <w:sz w:val="20"/>
        </w:rPr>
        <w:t>Migración</w:t>
      </w:r>
      <w:r>
        <w:rPr>
          <w:i/>
          <w:color w:val="231F20"/>
          <w:sz w:val="20"/>
        </w:rPr>
        <w:t>,</w:t>
      </w:r>
      <w:r>
        <w:rPr>
          <w:i/>
          <w:color w:val="231F20"/>
          <w:spacing w:val="-12"/>
          <w:sz w:val="20"/>
        </w:rPr>
        <w:t> </w:t>
      </w:r>
      <w:r>
        <w:rPr>
          <w:color w:val="231F20"/>
          <w:sz w:val="20"/>
        </w:rPr>
        <w:t>disponible</w:t>
      </w:r>
      <w:r>
        <w:rPr>
          <w:color w:val="231F20"/>
          <w:spacing w:val="-12"/>
          <w:sz w:val="20"/>
        </w:rPr>
        <w:t> </w:t>
      </w:r>
      <w:r>
        <w:rPr>
          <w:color w:val="231F20"/>
          <w:sz w:val="20"/>
        </w:rPr>
        <w:t>en</w:t>
      </w:r>
      <w:r>
        <w:rPr>
          <w:color w:val="231F20"/>
          <w:spacing w:val="-12"/>
          <w:sz w:val="20"/>
        </w:rPr>
        <w:t> </w:t>
      </w:r>
      <w:r>
        <w:rPr>
          <w:color w:val="231F20"/>
          <w:sz w:val="20"/>
        </w:rPr>
        <w:t>embamex.sre.gob.mx/.../reglamen- to-de-la-ley-de-migracion</w:t>
      </w:r>
    </w:p>
    <w:p>
      <w:pPr>
        <w:spacing w:line="210" w:lineRule="exact" w:before="113"/>
        <w:ind w:left="117" w:right="115" w:firstLine="0"/>
        <w:jc w:val="both"/>
        <w:rPr>
          <w:sz w:val="20"/>
        </w:rPr>
      </w:pPr>
      <w:r>
        <w:rPr>
          <w:color w:val="231F20"/>
          <w:sz w:val="20"/>
        </w:rPr>
        <w:t>SRE (Secretaría de Relaciones Exteriores), 2006, </w:t>
      </w:r>
      <w:r>
        <w:rPr>
          <w:i/>
          <w:color w:val="231F20"/>
          <w:sz w:val="20"/>
        </w:rPr>
        <w:t>México, relación de tratados</w:t>
      </w:r>
      <w:r>
        <w:rPr>
          <w:i/>
          <w:color w:val="231F20"/>
          <w:spacing w:val="-32"/>
          <w:sz w:val="20"/>
        </w:rPr>
        <w:t> </w:t>
      </w:r>
      <w:r>
        <w:rPr>
          <w:i/>
          <w:color w:val="231F20"/>
          <w:sz w:val="20"/>
        </w:rPr>
        <w:t>en </w:t>
      </w:r>
      <w:r>
        <w:rPr>
          <w:i/>
          <w:color w:val="231F20"/>
          <w:sz w:val="20"/>
        </w:rPr>
        <w:t>vigor</w:t>
      </w:r>
      <w:r>
        <w:rPr>
          <w:color w:val="231F20"/>
          <w:sz w:val="20"/>
        </w:rPr>
        <w:t>,</w:t>
      </w:r>
      <w:r>
        <w:rPr>
          <w:color w:val="231F20"/>
          <w:spacing w:val="-8"/>
          <w:sz w:val="20"/>
        </w:rPr>
        <w:t> </w:t>
      </w:r>
      <w:r>
        <w:rPr>
          <w:color w:val="231F20"/>
          <w:sz w:val="20"/>
        </w:rPr>
        <w:t>México.</w:t>
      </w:r>
    </w:p>
    <w:p>
      <w:pPr>
        <w:spacing w:after="0" w:line="210" w:lineRule="exact"/>
        <w:jc w:val="both"/>
        <w:rPr>
          <w:sz w:val="20"/>
        </w:rPr>
        <w:sectPr>
          <w:pgSz w:w="9360" w:h="13040"/>
          <w:pgMar w:header="0" w:footer="496" w:top="840" w:bottom="680" w:left="1300" w:right="1300"/>
        </w:sectPr>
      </w:pPr>
    </w:p>
    <w:p>
      <w:pPr>
        <w:spacing w:before="45"/>
        <w:ind w:left="234" w:right="0" w:firstLine="0"/>
        <w:jc w:val="left"/>
        <w:rPr>
          <w:rFonts w:ascii="Arial" w:hAnsi="Arial"/>
          <w:sz w:val="20"/>
        </w:rPr>
      </w:pPr>
      <w:r>
        <w:rPr>
          <w:rFonts w:ascii="Arial" w:hAnsi="Arial"/>
          <w:color w:val="231F20"/>
          <w:w w:val="70"/>
          <w:sz w:val="20"/>
        </w:rPr>
        <w:t>Los</w:t>
      </w:r>
      <w:r>
        <w:rPr>
          <w:rFonts w:ascii="Arial" w:hAnsi="Arial"/>
          <w:color w:val="231F20"/>
          <w:spacing w:val="-13"/>
          <w:w w:val="70"/>
          <w:sz w:val="20"/>
        </w:rPr>
        <w:t> </w:t>
      </w:r>
      <w:r>
        <w:rPr>
          <w:rFonts w:ascii="Arial" w:hAnsi="Arial"/>
          <w:color w:val="231F20"/>
          <w:w w:val="70"/>
          <w:sz w:val="20"/>
        </w:rPr>
        <w:t>menores</w:t>
      </w:r>
      <w:r>
        <w:rPr>
          <w:rFonts w:ascii="Arial" w:hAnsi="Arial"/>
          <w:color w:val="231F20"/>
          <w:spacing w:val="-13"/>
          <w:w w:val="70"/>
          <w:sz w:val="20"/>
        </w:rPr>
        <w:t> </w:t>
      </w:r>
      <w:r>
        <w:rPr>
          <w:rFonts w:ascii="Arial" w:hAnsi="Arial"/>
          <w:color w:val="231F20"/>
          <w:w w:val="70"/>
          <w:sz w:val="20"/>
        </w:rPr>
        <w:t>inmigrantes</w:t>
      </w:r>
      <w:r>
        <w:rPr>
          <w:rFonts w:ascii="Arial" w:hAnsi="Arial"/>
          <w:color w:val="231F20"/>
          <w:spacing w:val="-13"/>
          <w:w w:val="70"/>
          <w:sz w:val="20"/>
        </w:rPr>
        <w:t> </w:t>
      </w:r>
      <w:r>
        <w:rPr>
          <w:rFonts w:ascii="Arial" w:hAnsi="Arial"/>
          <w:color w:val="231F20"/>
          <w:w w:val="70"/>
          <w:sz w:val="20"/>
        </w:rPr>
        <w:t>indocumentados</w:t>
      </w:r>
      <w:r>
        <w:rPr>
          <w:rFonts w:ascii="Arial" w:hAnsi="Arial"/>
          <w:color w:val="231F20"/>
          <w:spacing w:val="-13"/>
          <w:w w:val="70"/>
          <w:sz w:val="20"/>
        </w:rPr>
        <w:t> </w:t>
      </w:r>
      <w:r>
        <w:rPr>
          <w:rFonts w:ascii="Arial" w:hAnsi="Arial"/>
          <w:color w:val="231F20"/>
          <w:w w:val="70"/>
          <w:sz w:val="20"/>
        </w:rPr>
        <w:t>ante</w:t>
      </w:r>
      <w:r>
        <w:rPr>
          <w:rFonts w:ascii="Arial" w:hAnsi="Arial"/>
          <w:color w:val="231F20"/>
          <w:spacing w:val="-13"/>
          <w:w w:val="70"/>
          <w:sz w:val="20"/>
        </w:rPr>
        <w:t> </w:t>
      </w:r>
      <w:r>
        <w:rPr>
          <w:rFonts w:ascii="Arial" w:hAnsi="Arial"/>
          <w:color w:val="231F20"/>
          <w:w w:val="70"/>
          <w:sz w:val="20"/>
        </w:rPr>
        <w:t>la</w:t>
      </w:r>
      <w:r>
        <w:rPr>
          <w:rFonts w:ascii="Arial" w:hAnsi="Arial"/>
          <w:color w:val="231F20"/>
          <w:spacing w:val="-13"/>
          <w:w w:val="70"/>
          <w:sz w:val="20"/>
        </w:rPr>
        <w:t> </w:t>
      </w:r>
      <w:r>
        <w:rPr>
          <w:rFonts w:ascii="Arial" w:hAnsi="Arial"/>
          <w:color w:val="231F20"/>
          <w:w w:val="70"/>
          <w:sz w:val="20"/>
        </w:rPr>
        <w:t>nueva</w:t>
      </w:r>
      <w:r>
        <w:rPr>
          <w:rFonts w:ascii="Arial" w:hAnsi="Arial"/>
          <w:color w:val="231F20"/>
          <w:spacing w:val="-13"/>
          <w:w w:val="70"/>
          <w:sz w:val="20"/>
        </w:rPr>
        <w:t> </w:t>
      </w:r>
      <w:r>
        <w:rPr>
          <w:rFonts w:ascii="Arial" w:hAnsi="Arial"/>
          <w:color w:val="231F20"/>
          <w:w w:val="70"/>
          <w:sz w:val="20"/>
        </w:rPr>
        <w:t>ley</w:t>
      </w:r>
      <w:r>
        <w:rPr>
          <w:rFonts w:ascii="Arial" w:hAnsi="Arial"/>
          <w:color w:val="231F20"/>
          <w:spacing w:val="-13"/>
          <w:w w:val="70"/>
          <w:sz w:val="20"/>
        </w:rPr>
        <w:t> </w:t>
      </w:r>
      <w:r>
        <w:rPr>
          <w:rFonts w:ascii="Arial" w:hAnsi="Arial"/>
          <w:color w:val="231F20"/>
          <w:w w:val="70"/>
          <w:sz w:val="20"/>
        </w:rPr>
        <w:t>de</w:t>
      </w:r>
      <w:r>
        <w:rPr>
          <w:rFonts w:ascii="Arial" w:hAnsi="Arial"/>
          <w:color w:val="231F20"/>
          <w:spacing w:val="-13"/>
          <w:w w:val="70"/>
          <w:sz w:val="20"/>
        </w:rPr>
        <w:t> </w:t>
      </w:r>
      <w:r>
        <w:rPr>
          <w:rFonts w:ascii="Arial" w:hAnsi="Arial"/>
          <w:color w:val="231F20"/>
          <w:w w:val="70"/>
          <w:sz w:val="20"/>
        </w:rPr>
        <w:t>migración...</w:t>
      </w:r>
      <w:r>
        <w:rPr>
          <w:rFonts w:ascii="Arial" w:hAnsi="Arial"/>
          <w:color w:val="231F20"/>
          <w:spacing w:val="-13"/>
          <w:w w:val="70"/>
          <w:sz w:val="20"/>
        </w:rPr>
        <w:t> </w:t>
      </w:r>
      <w:r>
        <w:rPr>
          <w:rFonts w:ascii="Arial" w:hAnsi="Arial"/>
          <w:color w:val="231F20"/>
          <w:w w:val="70"/>
          <w:sz w:val="20"/>
        </w:rPr>
        <w:t>/Alma</w:t>
      </w:r>
      <w:r>
        <w:rPr>
          <w:rFonts w:ascii="Arial" w:hAnsi="Arial"/>
          <w:color w:val="231F20"/>
          <w:spacing w:val="-21"/>
          <w:w w:val="70"/>
          <w:sz w:val="20"/>
        </w:rPr>
        <w:t> </w:t>
      </w:r>
      <w:r>
        <w:rPr>
          <w:rFonts w:ascii="Arial" w:hAnsi="Arial"/>
          <w:color w:val="231F20"/>
          <w:w w:val="70"/>
          <w:sz w:val="20"/>
        </w:rPr>
        <w:t>C.</w:t>
      </w:r>
      <w:r>
        <w:rPr>
          <w:rFonts w:ascii="Arial" w:hAnsi="Arial"/>
          <w:color w:val="231F20"/>
          <w:spacing w:val="-21"/>
          <w:w w:val="70"/>
          <w:sz w:val="20"/>
        </w:rPr>
        <w:t> </w:t>
      </w:r>
      <w:r>
        <w:rPr>
          <w:rFonts w:ascii="Arial" w:hAnsi="Arial"/>
          <w:color w:val="231F20"/>
          <w:w w:val="70"/>
          <w:sz w:val="20"/>
        </w:rPr>
        <w:t>Guadarrama-Muñoz</w:t>
      </w:r>
    </w:p>
    <w:p>
      <w:pPr>
        <w:pStyle w:val="BodyText"/>
        <w:spacing w:before="7"/>
        <w:rPr>
          <w:rFonts w:ascii="Arial"/>
        </w:rPr>
      </w:pPr>
    </w:p>
    <w:p>
      <w:pPr>
        <w:spacing w:line="210" w:lineRule="exact" w:before="93"/>
        <w:ind w:left="117" w:right="117" w:firstLine="0"/>
        <w:jc w:val="left"/>
        <w:rPr>
          <w:sz w:val="20"/>
        </w:rPr>
      </w:pPr>
      <w:r>
        <w:rPr>
          <w:color w:val="231F20"/>
          <w:sz w:val="20"/>
        </w:rPr>
        <w:t>ZUMAQUERO, José Manuel y Josué Luis Brazán, 1998, </w:t>
      </w:r>
      <w:r>
        <w:rPr>
          <w:i/>
          <w:color w:val="231F20"/>
          <w:sz w:val="20"/>
        </w:rPr>
        <w:t>Textos internacionales </w:t>
      </w:r>
      <w:r>
        <w:rPr>
          <w:i/>
          <w:color w:val="231F20"/>
          <w:sz w:val="20"/>
        </w:rPr>
        <w:t>de derechos humanos II 1978-1998</w:t>
      </w:r>
      <w:r>
        <w:rPr>
          <w:color w:val="231F20"/>
          <w:sz w:val="20"/>
        </w:rPr>
        <w:t>, Eunsa, Pamplona.</w:t>
      </w:r>
    </w:p>
    <w:p>
      <w:pPr>
        <w:pStyle w:val="BodyText"/>
        <w:spacing w:before="1"/>
        <w:rPr>
          <w:sz w:val="29"/>
        </w:rPr>
      </w:pPr>
    </w:p>
    <w:p>
      <w:pPr>
        <w:spacing w:before="72"/>
        <w:ind w:left="117" w:right="0" w:firstLine="0"/>
        <w:jc w:val="both"/>
        <w:rPr>
          <w:i/>
          <w:sz w:val="22"/>
        </w:rPr>
      </w:pPr>
      <w:r>
        <w:rPr>
          <w:i/>
          <w:color w:val="231F20"/>
          <w:sz w:val="22"/>
        </w:rPr>
        <w:t>Alma Cossette Guadarrama-Muñoz</w:t>
      </w:r>
    </w:p>
    <w:p>
      <w:pPr>
        <w:pStyle w:val="BodyText"/>
        <w:spacing w:before="2"/>
        <w:rPr>
          <w:i/>
          <w:sz w:val="23"/>
        </w:rPr>
      </w:pPr>
    </w:p>
    <w:p>
      <w:pPr>
        <w:pStyle w:val="BodyText"/>
        <w:spacing w:line="247" w:lineRule="auto"/>
        <w:ind w:left="117" w:right="114"/>
        <w:jc w:val="both"/>
      </w:pPr>
      <w:r>
        <w:rPr>
          <w:color w:val="231F20"/>
        </w:rPr>
        <w:t>Doctora</w:t>
      </w:r>
      <w:r>
        <w:rPr>
          <w:color w:val="231F20"/>
          <w:spacing w:val="-13"/>
        </w:rPr>
        <w:t> </w:t>
      </w:r>
      <w:r>
        <w:rPr>
          <w:color w:val="231F20"/>
        </w:rPr>
        <w:t>en</w:t>
      </w:r>
      <w:r>
        <w:rPr>
          <w:color w:val="231F20"/>
          <w:spacing w:val="-13"/>
        </w:rPr>
        <w:t> </w:t>
      </w:r>
      <w:r>
        <w:rPr>
          <w:color w:val="231F20"/>
        </w:rPr>
        <w:t>Derecho</w:t>
      </w:r>
      <w:r>
        <w:rPr>
          <w:color w:val="231F20"/>
          <w:spacing w:val="-13"/>
        </w:rPr>
        <w:t> </w:t>
      </w:r>
      <w:r>
        <w:rPr>
          <w:color w:val="231F20"/>
        </w:rPr>
        <w:t>por</w:t>
      </w:r>
      <w:r>
        <w:rPr>
          <w:color w:val="231F20"/>
          <w:spacing w:val="-13"/>
        </w:rPr>
        <w:t> </w:t>
      </w:r>
      <w:r>
        <w:rPr>
          <w:color w:val="231F20"/>
        </w:rPr>
        <w:t>la</w:t>
      </w:r>
      <w:r>
        <w:rPr>
          <w:color w:val="231F20"/>
          <w:spacing w:val="-13"/>
        </w:rPr>
        <w:t> </w:t>
      </w:r>
      <w:r>
        <w:rPr>
          <w:color w:val="231F20"/>
        </w:rPr>
        <w:t>Universidad</w:t>
      </w:r>
      <w:r>
        <w:rPr>
          <w:color w:val="231F20"/>
          <w:spacing w:val="-12"/>
        </w:rPr>
        <w:t> </w:t>
      </w:r>
      <w:r>
        <w:rPr>
          <w:color w:val="231F20"/>
        </w:rPr>
        <w:t>Nacional</w:t>
      </w:r>
      <w:r>
        <w:rPr>
          <w:color w:val="231F20"/>
          <w:spacing w:val="-24"/>
        </w:rPr>
        <w:t> </w:t>
      </w:r>
      <w:r>
        <w:rPr>
          <w:color w:val="231F20"/>
        </w:rPr>
        <w:t>Autónoma</w:t>
      </w:r>
      <w:r>
        <w:rPr>
          <w:color w:val="231F20"/>
          <w:spacing w:val="-12"/>
        </w:rPr>
        <w:t> </w:t>
      </w:r>
      <w:r>
        <w:rPr>
          <w:color w:val="231F20"/>
        </w:rPr>
        <w:t>de</w:t>
      </w:r>
      <w:r>
        <w:rPr>
          <w:color w:val="231F20"/>
          <w:spacing w:val="-13"/>
        </w:rPr>
        <w:t> </w:t>
      </w:r>
      <w:r>
        <w:rPr>
          <w:color w:val="231F20"/>
        </w:rPr>
        <w:t>México.</w:t>
      </w:r>
      <w:r>
        <w:rPr>
          <w:color w:val="231F20"/>
          <w:spacing w:val="-13"/>
        </w:rPr>
        <w:t> </w:t>
      </w:r>
      <w:r>
        <w:rPr>
          <w:color w:val="231F20"/>
        </w:rPr>
        <w:t>Es profesora-investigadora</w:t>
      </w:r>
      <w:r>
        <w:rPr>
          <w:color w:val="231F20"/>
          <w:spacing w:val="-10"/>
        </w:rPr>
        <w:t> </w:t>
      </w:r>
      <w:r>
        <w:rPr>
          <w:color w:val="231F20"/>
        </w:rPr>
        <w:t>de</w:t>
      </w:r>
      <w:r>
        <w:rPr>
          <w:color w:val="231F20"/>
          <w:spacing w:val="-10"/>
        </w:rPr>
        <w:t> </w:t>
      </w:r>
      <w:r>
        <w:rPr>
          <w:color w:val="231F20"/>
        </w:rPr>
        <w:t>tiempo</w:t>
      </w:r>
      <w:r>
        <w:rPr>
          <w:color w:val="231F20"/>
          <w:spacing w:val="-10"/>
        </w:rPr>
        <w:t> </w:t>
      </w:r>
      <w:r>
        <w:rPr>
          <w:color w:val="231F20"/>
        </w:rPr>
        <w:t>completo</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Licenciatura</w:t>
      </w:r>
      <w:r>
        <w:rPr>
          <w:color w:val="231F20"/>
          <w:spacing w:val="-11"/>
        </w:rPr>
        <w:t> </w:t>
      </w:r>
      <w:r>
        <w:rPr>
          <w:color w:val="231F20"/>
        </w:rPr>
        <w:t>en</w:t>
      </w:r>
      <w:r>
        <w:rPr>
          <w:color w:val="231F20"/>
          <w:spacing w:val="-10"/>
        </w:rPr>
        <w:t> </w:t>
      </w:r>
      <w:r>
        <w:rPr>
          <w:color w:val="231F20"/>
        </w:rPr>
        <w:t>Derecho de la Universidad del Istmo, en donde imparte los cursos de Derecho</w:t>
      </w:r>
      <w:r>
        <w:rPr>
          <w:color w:val="231F20"/>
          <w:spacing w:val="-35"/>
        </w:rPr>
        <w:t> </w:t>
      </w:r>
      <w:r>
        <w:rPr>
          <w:color w:val="231F20"/>
        </w:rPr>
        <w:t>indi- vidual del trabajo, Derecho internacional privado y Derecho mercantil. Es miembro del Sistema Nacional de Investigadores Nivel Candidato. Entre sus últimas publicaciones están “El Papel de las OC´s en el fenómeno mi- gratorio irregular en México: El Caso de Ciudad Ixtepec”, en </w:t>
      </w:r>
      <w:r>
        <w:rPr>
          <w:i/>
          <w:color w:val="231F20"/>
        </w:rPr>
        <w:t>Revista</w:t>
      </w:r>
      <w:r>
        <w:rPr>
          <w:i/>
          <w:color w:val="231F20"/>
          <w:spacing w:val="-25"/>
        </w:rPr>
        <w:t> </w:t>
      </w:r>
      <w:r>
        <w:rPr>
          <w:i/>
          <w:color w:val="231F20"/>
        </w:rPr>
        <w:t>Glo- </w:t>
      </w:r>
      <w:r>
        <w:rPr>
          <w:i/>
          <w:color w:val="231F20"/>
        </w:rPr>
        <w:t>bal</w:t>
      </w:r>
      <w:r>
        <w:rPr>
          <w:color w:val="231F20"/>
        </w:rPr>
        <w:t>, Universidad Autónoma de Sinaloa, 2013, y “Programas de Atención al Menor Centroamericano Indocumentado en México”, en </w:t>
      </w:r>
      <w:r>
        <w:rPr>
          <w:i/>
          <w:color w:val="231F20"/>
        </w:rPr>
        <w:t>Movilización, </w:t>
      </w:r>
      <w:r>
        <w:rPr>
          <w:i/>
          <w:color w:val="231F20"/>
        </w:rPr>
        <w:t>migración y retorno de la niñez migrante</w:t>
      </w:r>
      <w:r>
        <w:rPr>
          <w:color w:val="231F20"/>
        </w:rPr>
        <w:t>, Colson-Universidad Autónoma de Sinaloa,</w:t>
      </w:r>
      <w:r>
        <w:rPr>
          <w:color w:val="231F20"/>
          <w:spacing w:val="-7"/>
        </w:rPr>
        <w:t> </w:t>
      </w:r>
      <w:r>
        <w:rPr>
          <w:color w:val="231F20"/>
        </w:rPr>
        <w:t>2012.</w:t>
      </w:r>
    </w:p>
    <w:p>
      <w:pPr>
        <w:pStyle w:val="BodyText"/>
        <w:spacing w:before="6"/>
      </w:pPr>
    </w:p>
    <w:p>
      <w:pPr>
        <w:pStyle w:val="BodyText"/>
        <w:ind w:left="117"/>
        <w:jc w:val="both"/>
      </w:pPr>
      <w:r>
        <w:rPr>
          <w:color w:val="231F20"/>
        </w:rPr>
        <w:t>Correo electrónico: </w:t>
      </w:r>
      <w:hyperlink r:id="rId243">
        <w:r>
          <w:rPr>
            <w:color w:val="231F20"/>
          </w:rPr>
          <w:t>lancelot56@gmail.com</w:t>
        </w:r>
      </w:hyperlink>
    </w:p>
    <w:p>
      <w:pPr>
        <w:spacing w:after="0"/>
        <w:jc w:val="both"/>
        <w:sectPr>
          <w:pgSz w:w="9360" w:h="13040"/>
          <w:pgMar w:header="0" w:footer="496" w:top="740" w:bottom="680" w:left="1300" w:right="1300"/>
        </w:sectPr>
      </w:pPr>
    </w:p>
    <w:p>
      <w:pPr>
        <w:pStyle w:val="BodyText"/>
        <w:ind w:left="101"/>
        <w:rPr>
          <w:sz w:val="20"/>
        </w:rPr>
      </w:pPr>
      <w:r>
        <w:rPr/>
        <w:pict>
          <v:shape style="position:absolute;margin-left:64.063004pt;margin-top:20.784994pt;width:353.4pt;height:43.5pt;mso-position-horizontal-relative:page;mso-position-vertical-relative:page;z-index:-635896" type="#_x0000_t202" filled="false" stroked="false">
            <v:textbox inset="0,0,0,0">
              <w:txbxContent>
                <w:p>
                  <w:pPr>
                    <w:pStyle w:val="BodyText"/>
                  </w:pPr>
                </w:p>
                <w:p>
                  <w:pPr>
                    <w:pStyle w:val="BodyText"/>
                    <w:rPr>
                      <w:sz w:val="21"/>
                    </w:rPr>
                  </w:pPr>
                </w:p>
                <w:p>
                  <w:pPr>
                    <w:tabs>
                      <w:tab w:pos="5555" w:val="left" w:leader="none"/>
                    </w:tabs>
                    <w:spacing w:before="0"/>
                    <w:ind w:left="147" w:right="0" w:firstLine="0"/>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txbxContent>
            </v:textbox>
            <w10:wrap type="none"/>
          </v:shape>
        </w:pict>
      </w:r>
      <w:r>
        <w:rPr/>
        <w:pict>
          <v:shape style="position:absolute;margin-left:65.196999pt;margin-top:595.864014pt;width:353.4pt;height:43.5pt;mso-position-horizontal-relative:page;mso-position-vertical-relative:page;z-index:-635872" type="#_x0000_t202" filled="false" stroked="false">
            <v:textbox inset="0,0,0,0">
              <w:txbxContent>
                <w:p>
                  <w:pPr>
                    <w:pStyle w:val="BodyText"/>
                    <w:rPr>
                      <w:sz w:val="20"/>
                    </w:rPr>
                  </w:pPr>
                </w:p>
                <w:p>
                  <w:pPr>
                    <w:spacing w:before="147"/>
                    <w:ind w:left="2439" w:right="3055" w:firstLine="0"/>
                    <w:jc w:val="center"/>
                    <w:rPr>
                      <w:rFonts w:ascii="Verdana"/>
                      <w:sz w:val="20"/>
                    </w:rPr>
                  </w:pPr>
                  <w:r>
                    <w:rPr>
                      <w:rFonts w:ascii="Verdana"/>
                      <w:color w:val="231F20"/>
                      <w:sz w:val="20"/>
                    </w:rPr>
                    <w:t>356</w:t>
                  </w:r>
                </w:p>
              </w:txbxContent>
            </v:textbox>
            <w10:wrap type="none"/>
          </v:shape>
        </w:pict>
      </w: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r>
        <w:rPr/>
        <w:pict>
          <v:rect style="position:absolute;margin-left:65.196999pt;margin-top:12.688946pt;width:353.386pt;height:43.469pt;mso-position-horizontal-relative:page;mso-position-vertical-relative:paragraph;z-index:8680;mso-wrap-distance-left:0;mso-wrap-distance-right:0" filled="true" fillcolor="#ffffff" stroked="false">
            <v:fill type="solid"/>
            <w10:wrap type="topAndBottom"/>
          </v:rect>
        </w:pict>
      </w:r>
    </w:p>
    <w:p>
      <w:pPr>
        <w:spacing w:after="0"/>
        <w:rPr>
          <w:sz w:val="18"/>
        </w:rPr>
        <w:sectPr>
          <w:footerReference w:type="default" r:id="rId244"/>
          <w:pgSz w:w="9360" w:h="13040"/>
          <w:pgMar w:footer="0" w:header="0" w:top="400" w:bottom="0" w:left="1180" w:right="880"/>
        </w:sectPr>
      </w:pPr>
    </w:p>
    <w:p>
      <w:pPr>
        <w:pStyle w:val="BodyText"/>
        <w:ind w:left="104"/>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spacing w:before="94"/>
        <w:ind w:left="2309" w:right="1063" w:hanging="1242"/>
      </w:pPr>
      <w:r>
        <w:rPr/>
        <w:pict>
          <v:shape style="position:absolute;margin-left:61.228001pt;margin-top:-44.463627pt;width:353.4pt;height:43.5pt;mso-position-horizontal-relative:page;mso-position-vertical-relative:paragraph;z-index:-635824" type="#_x0000_t202" filled="false" stroked="false">
            <v:textbox inset="0,0,0,0">
              <w:txbxContent>
                <w:p>
                  <w:pPr>
                    <w:pStyle w:val="BodyText"/>
                    <w:rPr>
                      <w:sz w:val="20"/>
                    </w:rPr>
                  </w:pPr>
                </w:p>
                <w:p>
                  <w:pPr>
                    <w:pStyle w:val="BodyText"/>
                    <w:spacing w:before="6"/>
                    <w:rPr>
                      <w:sz w:val="16"/>
                    </w:rPr>
                  </w:pPr>
                </w:p>
                <w:p>
                  <w:pPr>
                    <w:spacing w:before="0"/>
                    <w:ind w:left="1039" w:right="0" w:firstLine="0"/>
                    <w:jc w:val="left"/>
                    <w:rPr>
                      <w:rFonts w:ascii="Arial" w:hAnsi="Arial"/>
                      <w:sz w:val="20"/>
                    </w:rPr>
                  </w:pPr>
                  <w:r>
                    <w:rPr>
                      <w:rFonts w:ascii="Arial" w:hAnsi="Arial"/>
                      <w:color w:val="231F20"/>
                      <w:w w:val="65"/>
                      <w:sz w:val="20"/>
                    </w:rPr>
                    <w:t>Un actor más en los procesos migratorios:... /Silvia L. Aguilar-Velázquez y Belinda Ordóñez-Vázquez</w:t>
                  </w:r>
                </w:p>
              </w:txbxContent>
            </v:textbox>
            <w10:wrap type="none"/>
          </v:shape>
        </w:pict>
      </w:r>
      <w:r>
        <w:rPr>
          <w:color w:val="231F20"/>
          <w:w w:val="70"/>
        </w:rPr>
        <w:t>Un actor más en los procesos migratorios: el trabajador infantil</w:t>
      </w:r>
    </w:p>
    <w:p>
      <w:pPr>
        <w:pStyle w:val="BodyText"/>
        <w:spacing w:before="6"/>
        <w:rPr>
          <w:b/>
          <w:sz w:val="37"/>
        </w:rPr>
      </w:pPr>
    </w:p>
    <w:p>
      <w:pPr>
        <w:pStyle w:val="Heading2"/>
        <w:spacing w:line="300" w:lineRule="exact" w:before="0"/>
        <w:ind w:left="1528" w:right="1686"/>
        <w:jc w:val="center"/>
      </w:pPr>
      <w:r>
        <w:rPr/>
        <w:t>Silvia Lizbeth Aguilar-Velázquez y Belinda Ordóñez-Vázquez</w:t>
      </w:r>
    </w:p>
    <w:p>
      <w:pPr>
        <w:pStyle w:val="BodyText"/>
        <w:rPr>
          <w:sz w:val="40"/>
        </w:rPr>
      </w:pPr>
    </w:p>
    <w:p>
      <w:pPr>
        <w:spacing w:before="0"/>
        <w:ind w:left="1152" w:right="1063" w:firstLine="0"/>
        <w:jc w:val="left"/>
        <w:rPr>
          <w:i/>
          <w:sz w:val="22"/>
        </w:rPr>
      </w:pPr>
      <w:r>
        <w:rPr>
          <w:i/>
          <w:sz w:val="22"/>
        </w:rPr>
        <w:t>Universidad Autónoma del Estado de Hidalgo, México</w:t>
      </w:r>
    </w:p>
    <w:p>
      <w:pPr>
        <w:pStyle w:val="BodyText"/>
        <w:rPr>
          <w:i/>
        </w:rPr>
      </w:pPr>
    </w:p>
    <w:p>
      <w:pPr>
        <w:pStyle w:val="BodyText"/>
        <w:spacing w:before="2"/>
        <w:rPr>
          <w:i/>
          <w:sz w:val="28"/>
        </w:rPr>
      </w:pPr>
    </w:p>
    <w:p>
      <w:pPr>
        <w:pStyle w:val="Heading3"/>
        <w:spacing w:before="0"/>
        <w:ind w:left="297" w:right="1063"/>
        <w:jc w:val="left"/>
      </w:pPr>
      <w:r>
        <w:rPr/>
        <w:t>Introducción</w:t>
      </w:r>
    </w:p>
    <w:p>
      <w:pPr>
        <w:pStyle w:val="BodyText"/>
        <w:spacing w:before="4"/>
        <w:rPr>
          <w:b/>
          <w:sz w:val="20"/>
        </w:rPr>
      </w:pPr>
    </w:p>
    <w:p>
      <w:pPr>
        <w:pStyle w:val="BodyText"/>
        <w:spacing w:line="247" w:lineRule="auto" w:before="187"/>
        <w:ind w:left="1261" w:right="455"/>
        <w:jc w:val="both"/>
      </w:pPr>
      <w:r>
        <w:rPr/>
        <w:pict>
          <v:shape style="position:absolute;margin-left:70.866096pt;margin-top:4.984072pt;width:39.75pt;height:55pt;mso-position-horizontal-relative:page;mso-position-vertical-relative:paragraph;z-index:-635800" type="#_x0000_t202" filled="false" stroked="false">
            <v:textbox inset="0,0,0,0">
              <w:txbxContent>
                <w:p>
                  <w:pPr>
                    <w:spacing w:line="1100" w:lineRule="exact" w:before="0"/>
                    <w:ind w:left="0" w:right="0" w:firstLine="0"/>
                    <w:jc w:val="left"/>
                    <w:rPr>
                      <w:b/>
                      <w:sz w:val="110"/>
                    </w:rPr>
                  </w:pPr>
                  <w:r>
                    <w:rPr>
                      <w:b/>
                      <w:color w:val="231F20"/>
                      <w:sz w:val="110"/>
                    </w:rPr>
                    <w:t>A</w:t>
                  </w:r>
                </w:p>
              </w:txbxContent>
            </v:textbox>
            <w10:wrap type="none"/>
          </v:shape>
        </w:pict>
      </w:r>
      <w:r>
        <w:rPr>
          <w:color w:val="231F20"/>
        </w:rPr>
        <w:t>lo largo de la historia, en distintas partes del mundo hemos en- contrado vestigios de trabajo infantil y adolescente como par- te de la vida económica. Quispe (2001) nos muestra que en   la</w:t>
      </w:r>
    </w:p>
    <w:p>
      <w:pPr>
        <w:pStyle w:val="BodyText"/>
        <w:spacing w:line="247" w:lineRule="auto"/>
        <w:ind w:left="297" w:right="454"/>
        <w:jc w:val="both"/>
      </w:pPr>
      <w:r>
        <w:rPr>
          <w:color w:val="231F20"/>
        </w:rPr>
        <w:t>cultura mesopotámica el empleo de niños era una costumbre difundida, además existían leyes para su reglamentación; en Egipto el trabajo</w:t>
      </w:r>
      <w:r>
        <w:rPr>
          <w:color w:val="231F20"/>
          <w:spacing w:val="-23"/>
        </w:rPr>
        <w:t> </w:t>
      </w:r>
      <w:r>
        <w:rPr>
          <w:color w:val="231F20"/>
        </w:rPr>
        <w:t>infantil asumió</w:t>
      </w:r>
      <w:r>
        <w:rPr>
          <w:color w:val="231F20"/>
          <w:spacing w:val="-4"/>
        </w:rPr>
        <w:t> </w:t>
      </w:r>
      <w:r>
        <w:rPr>
          <w:color w:val="231F20"/>
        </w:rPr>
        <w:t>rasgos</w:t>
      </w:r>
      <w:r>
        <w:rPr>
          <w:color w:val="231F20"/>
          <w:spacing w:val="-4"/>
        </w:rPr>
        <w:t> </w:t>
      </w:r>
      <w:r>
        <w:rPr>
          <w:color w:val="231F20"/>
        </w:rPr>
        <w:t>crueles</w:t>
      </w:r>
      <w:r>
        <w:rPr>
          <w:color w:val="231F20"/>
          <w:spacing w:val="-4"/>
        </w:rPr>
        <w:t> </w:t>
      </w:r>
      <w:r>
        <w:rPr>
          <w:color w:val="231F20"/>
        </w:rPr>
        <w:t>y</w:t>
      </w:r>
      <w:r>
        <w:rPr>
          <w:color w:val="231F20"/>
          <w:spacing w:val="-4"/>
        </w:rPr>
        <w:t> </w:t>
      </w:r>
      <w:r>
        <w:rPr>
          <w:color w:val="231F20"/>
        </w:rPr>
        <w:t>violentos;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época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Conquista</w:t>
      </w:r>
      <w:r>
        <w:rPr>
          <w:color w:val="231F20"/>
          <w:spacing w:val="-4"/>
        </w:rPr>
        <w:t> </w:t>
      </w:r>
      <w:r>
        <w:rPr>
          <w:color w:val="231F20"/>
        </w:rPr>
        <w:t>de</w:t>
      </w:r>
      <w:r>
        <w:rPr>
          <w:color w:val="231F20"/>
          <w:spacing w:val="-16"/>
        </w:rPr>
        <w:t> </w:t>
      </w:r>
      <w:r>
        <w:rPr>
          <w:color w:val="231F20"/>
        </w:rPr>
        <w:t>América también estuvo presente, caracterizándose por una inmisericorde explota- ción y</w:t>
      </w:r>
      <w:r>
        <w:rPr>
          <w:color w:val="231F20"/>
          <w:spacing w:val="-1"/>
        </w:rPr>
        <w:t> </w:t>
      </w:r>
      <w:r>
        <w:rPr>
          <w:color w:val="231F20"/>
        </w:rPr>
        <w:t>esclavitud.</w:t>
      </w:r>
    </w:p>
    <w:p>
      <w:pPr>
        <w:pStyle w:val="BodyText"/>
        <w:spacing w:line="247" w:lineRule="auto"/>
        <w:ind w:left="297" w:right="455" w:firstLine="283"/>
        <w:jc w:val="both"/>
      </w:pPr>
      <w:r>
        <w:rPr>
          <w:color w:val="231F20"/>
        </w:rPr>
        <w:t>En la actualidad registros de la Organización Internacional del Trabajo (OIT)</w:t>
      </w:r>
      <w:r>
        <w:rPr>
          <w:color w:val="231F20"/>
          <w:spacing w:val="-5"/>
        </w:rPr>
        <w:t> </w:t>
      </w:r>
      <w:r>
        <w:rPr>
          <w:color w:val="231F20"/>
        </w:rPr>
        <w:t>manifiestan</w:t>
      </w:r>
      <w:r>
        <w:rPr>
          <w:color w:val="231F20"/>
          <w:spacing w:val="-5"/>
        </w:rPr>
        <w:t> </w:t>
      </w:r>
      <w:r>
        <w:rPr>
          <w:color w:val="231F20"/>
        </w:rPr>
        <w:t>que</w:t>
      </w:r>
      <w:r>
        <w:rPr>
          <w:color w:val="231F20"/>
          <w:spacing w:val="-5"/>
        </w:rPr>
        <w:t> </w:t>
      </w:r>
      <w:r>
        <w:rPr>
          <w:color w:val="231F20"/>
        </w:rPr>
        <w:t>cerca</w:t>
      </w:r>
      <w:r>
        <w:rPr>
          <w:color w:val="231F20"/>
          <w:spacing w:val="-5"/>
        </w:rPr>
        <w:t> </w:t>
      </w:r>
      <w:r>
        <w:rPr>
          <w:color w:val="231F20"/>
        </w:rPr>
        <w:t>de</w:t>
      </w:r>
      <w:r>
        <w:rPr>
          <w:color w:val="231F20"/>
          <w:spacing w:val="-5"/>
        </w:rPr>
        <w:t> </w:t>
      </w:r>
      <w:r>
        <w:rPr>
          <w:color w:val="231F20"/>
        </w:rPr>
        <w:t>215</w:t>
      </w:r>
      <w:r>
        <w:rPr>
          <w:color w:val="231F20"/>
          <w:spacing w:val="-5"/>
        </w:rPr>
        <w:t> </w:t>
      </w:r>
      <w:r>
        <w:rPr>
          <w:color w:val="231F20"/>
        </w:rPr>
        <w:t>millones</w:t>
      </w:r>
      <w:r>
        <w:rPr>
          <w:color w:val="231F20"/>
          <w:spacing w:val="-5"/>
        </w:rPr>
        <w:t> </w:t>
      </w:r>
      <w:r>
        <w:rPr>
          <w:color w:val="231F20"/>
        </w:rPr>
        <w:t>de</w:t>
      </w:r>
      <w:r>
        <w:rPr>
          <w:color w:val="231F20"/>
          <w:spacing w:val="-5"/>
        </w:rPr>
        <w:t> </w:t>
      </w:r>
      <w:r>
        <w:rPr>
          <w:color w:val="231F20"/>
        </w:rPr>
        <w:t>niños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mundo</w:t>
      </w:r>
      <w:r>
        <w:rPr>
          <w:color w:val="231F20"/>
          <w:spacing w:val="-5"/>
        </w:rPr>
        <w:t> </w:t>
      </w:r>
      <w:r>
        <w:rPr>
          <w:color w:val="231F20"/>
        </w:rPr>
        <w:t>desem- peñan alguna actividad económica, trabajo que afecta su salud, desarrollo personal y que además, interfiere con su</w:t>
      </w:r>
      <w:r>
        <w:rPr>
          <w:color w:val="231F20"/>
          <w:spacing w:val="-12"/>
        </w:rPr>
        <w:t> </w:t>
      </w:r>
      <w:r>
        <w:rPr>
          <w:color w:val="231F20"/>
        </w:rPr>
        <w:t>educación.</w:t>
      </w:r>
    </w:p>
    <w:p>
      <w:pPr>
        <w:pStyle w:val="BodyText"/>
        <w:spacing w:line="247" w:lineRule="auto"/>
        <w:ind w:left="297" w:right="454" w:firstLine="283"/>
        <w:jc w:val="both"/>
      </w:pPr>
      <w:r>
        <w:rPr>
          <w:color w:val="231F20"/>
        </w:rPr>
        <w:t>El Programa Internacional para la Erradicación del Trabajo Infantil (IPEC),</w:t>
      </w:r>
      <w:r>
        <w:rPr>
          <w:color w:val="231F20"/>
          <w:spacing w:val="-6"/>
        </w:rPr>
        <w:t> </w:t>
      </w:r>
      <w:r>
        <w:rPr>
          <w:color w:val="231F20"/>
        </w:rPr>
        <w:t>guiado</w:t>
      </w:r>
      <w:r>
        <w:rPr>
          <w:color w:val="231F20"/>
          <w:spacing w:val="-6"/>
        </w:rPr>
        <w:t> </w:t>
      </w:r>
      <w:r>
        <w:rPr>
          <w:color w:val="231F20"/>
        </w:rPr>
        <w:t>por</w:t>
      </w:r>
      <w:r>
        <w:rPr>
          <w:color w:val="231F20"/>
          <w:spacing w:val="-6"/>
        </w:rPr>
        <w:t> </w:t>
      </w:r>
      <w:r>
        <w:rPr>
          <w:color w:val="231F20"/>
        </w:rPr>
        <w:t>los</w:t>
      </w:r>
      <w:r>
        <w:rPr>
          <w:color w:val="231F20"/>
          <w:spacing w:val="-6"/>
        </w:rPr>
        <w:t> </w:t>
      </w:r>
      <w:r>
        <w:rPr>
          <w:color w:val="231F20"/>
        </w:rPr>
        <w:t>principios</w:t>
      </w:r>
      <w:r>
        <w:rPr>
          <w:color w:val="231F20"/>
          <w:spacing w:val="-6"/>
        </w:rPr>
        <w:t> </w:t>
      </w:r>
      <w:r>
        <w:rPr>
          <w:color w:val="231F20"/>
        </w:rPr>
        <w:t>consagrados</w:t>
      </w:r>
      <w:r>
        <w:rPr>
          <w:color w:val="231F20"/>
          <w:spacing w:val="-7"/>
        </w:rPr>
        <w:t> </w:t>
      </w:r>
      <w:r>
        <w:rPr>
          <w:color w:val="231F20"/>
        </w:rPr>
        <w:t>en</w:t>
      </w:r>
      <w:r>
        <w:rPr>
          <w:color w:val="231F20"/>
          <w:spacing w:val="-6"/>
        </w:rPr>
        <w:t> </w:t>
      </w:r>
      <w:r>
        <w:rPr>
          <w:color w:val="231F20"/>
        </w:rPr>
        <w:t>el</w:t>
      </w:r>
      <w:r>
        <w:rPr>
          <w:color w:val="231F20"/>
          <w:spacing w:val="-6"/>
        </w:rPr>
        <w:t> </w:t>
      </w:r>
      <w:r>
        <w:rPr>
          <w:color w:val="231F20"/>
        </w:rPr>
        <w:t>Convenio</w:t>
      </w:r>
      <w:r>
        <w:rPr>
          <w:color w:val="231F20"/>
          <w:spacing w:val="-6"/>
        </w:rPr>
        <w:t> </w:t>
      </w:r>
      <w:r>
        <w:rPr>
          <w:color w:val="231F20"/>
        </w:rPr>
        <w:t>número</w:t>
      </w:r>
      <w:r>
        <w:rPr>
          <w:color w:val="231F20"/>
          <w:spacing w:val="-6"/>
        </w:rPr>
        <w:t> </w:t>
      </w:r>
      <w:r>
        <w:rPr>
          <w:color w:val="231F20"/>
        </w:rPr>
        <w:t>138 sobre la edad mínima y el Convenio número 182 sobre las peores formas de trabajo infantil de la </w:t>
      </w:r>
      <w:r>
        <w:rPr>
          <w:color w:val="231F20"/>
          <w:spacing w:val="-5"/>
        </w:rPr>
        <w:t>OIT, </w:t>
      </w:r>
      <w:r>
        <w:rPr>
          <w:color w:val="231F20"/>
        </w:rPr>
        <w:t>colabora para alcanzar la abolición efectiva del trabajo infantil </w:t>
      </w:r>
      <w:r>
        <w:rPr>
          <w:color w:val="231F20"/>
          <w:spacing w:val="-3"/>
        </w:rPr>
        <w:t>(UNICEF, </w:t>
      </w:r>
      <w:r>
        <w:rPr>
          <w:color w:val="231F20"/>
        </w:rPr>
        <w:t>2008). Sin embargo, estos intentos no han surtido los efectos deseados en muchos países, tal como en</w:t>
      </w:r>
      <w:r>
        <w:rPr>
          <w:color w:val="231F20"/>
          <w:spacing w:val="-20"/>
        </w:rPr>
        <w:t> </w:t>
      </w:r>
      <w:r>
        <w:rPr>
          <w:color w:val="231F20"/>
        </w:rPr>
        <w:t>México.</w:t>
      </w:r>
    </w:p>
    <w:p>
      <w:pPr>
        <w:pStyle w:val="BodyText"/>
        <w:spacing w:line="247" w:lineRule="auto"/>
        <w:ind w:left="297" w:right="454" w:firstLine="283"/>
        <w:jc w:val="both"/>
      </w:pPr>
      <w:r>
        <w:rPr>
          <w:color w:val="231F20"/>
        </w:rPr>
        <w:t>Diversas formas de trabajo infantil y las condiciones bajo las que eran desarrolladas han sido abolidas, pero muchas otras perduran y hasta han evolucionado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par</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cambios</w:t>
      </w:r>
      <w:r>
        <w:rPr>
          <w:color w:val="231F20"/>
          <w:spacing w:val="-13"/>
        </w:rPr>
        <w:t> </w:t>
      </w:r>
      <w:r>
        <w:rPr>
          <w:color w:val="231F20"/>
        </w:rPr>
        <w:t>económicos,</w:t>
      </w:r>
      <w:r>
        <w:rPr>
          <w:color w:val="231F20"/>
          <w:spacing w:val="-13"/>
        </w:rPr>
        <w:t> </w:t>
      </w:r>
      <w:r>
        <w:rPr>
          <w:color w:val="231F20"/>
        </w:rPr>
        <w:t>sociales</w:t>
      </w:r>
      <w:r>
        <w:rPr>
          <w:color w:val="231F20"/>
          <w:spacing w:val="-13"/>
        </w:rPr>
        <w:t> </w:t>
      </w:r>
      <w:r>
        <w:rPr>
          <w:color w:val="231F20"/>
        </w:rPr>
        <w:t>y</w:t>
      </w:r>
      <w:r>
        <w:rPr>
          <w:color w:val="231F20"/>
          <w:spacing w:val="-13"/>
        </w:rPr>
        <w:t> </w:t>
      </w:r>
      <w:r>
        <w:rPr>
          <w:color w:val="231F20"/>
        </w:rPr>
        <w:t>demográficos. Un ejemplo de ello en nuestro país es la migración interestatal de trabaja- dores infantiles y</w:t>
      </w:r>
      <w:r>
        <w:rPr>
          <w:color w:val="231F20"/>
          <w:spacing w:val="-1"/>
        </w:rPr>
        <w:t> </w:t>
      </w:r>
      <w:r>
        <w:rPr>
          <w:color w:val="231F20"/>
        </w:rPr>
        <w:t>adolescentes.</w:t>
      </w:r>
    </w:p>
    <w:p>
      <w:pPr>
        <w:spacing w:after="0" w:line="247" w:lineRule="auto"/>
        <w:jc w:val="both"/>
        <w:sectPr>
          <w:footerReference w:type="default" r:id="rId245"/>
          <w:pgSz w:w="9360" w:h="13040"/>
          <w:pgMar w:footer="496" w:header="0" w:top="360" w:bottom="680" w:left="1120" w:right="960"/>
          <w:pgNumType w:start="357"/>
        </w:sectPr>
      </w:pPr>
    </w:p>
    <w:p>
      <w:pPr>
        <w:tabs>
          <w:tab w:pos="5536" w:val="left" w:leader="none"/>
        </w:tabs>
        <w:spacing w:before="51"/>
        <w:ind w:left="400" w:right="117" w:hanging="273"/>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114" w:firstLine="283"/>
        <w:jc w:val="both"/>
      </w:pPr>
      <w:r>
        <w:rPr>
          <w:color w:val="231F20"/>
        </w:rPr>
        <w:t>Las miradas en cuanto al estudio de los flujos migratorios internos de trabajadores han estado enfocadas a los hombres adultos en primera ins- tancia y posteriormente al de mujeres adultas; sin embargo, el análisis de otro grupo de actores que también han estado inmersos y que además ha revelado aumentos inesperados no ha sido visibilizado, por lo que en el presente trabajo se analiza a ese último grupo de actores, los trabajadores infantiles</w:t>
      </w:r>
      <w:r>
        <w:rPr>
          <w:color w:val="231F20"/>
          <w:spacing w:val="-12"/>
        </w:rPr>
        <w:t> </w:t>
      </w:r>
      <w:r>
        <w:rPr>
          <w:color w:val="231F20"/>
        </w:rPr>
        <w:t>y</w:t>
      </w:r>
      <w:r>
        <w:rPr>
          <w:color w:val="231F20"/>
          <w:spacing w:val="-12"/>
        </w:rPr>
        <w:t> </w:t>
      </w:r>
      <w:r>
        <w:rPr>
          <w:color w:val="231F20"/>
        </w:rPr>
        <w:t>adolescentes,</w:t>
      </w:r>
      <w:r>
        <w:rPr>
          <w:color w:val="231F20"/>
          <w:spacing w:val="-12"/>
        </w:rPr>
        <w:t> </w:t>
      </w:r>
      <w:r>
        <w:rPr>
          <w:color w:val="231F20"/>
        </w:rPr>
        <w:t>segmento</w:t>
      </w:r>
      <w:r>
        <w:rPr>
          <w:color w:val="231F20"/>
          <w:spacing w:val="-11"/>
        </w:rPr>
        <w:t> </w:t>
      </w:r>
      <w:r>
        <w:rPr>
          <w:color w:val="231F20"/>
        </w:rPr>
        <w:t>de</w:t>
      </w:r>
      <w:r>
        <w:rPr>
          <w:color w:val="231F20"/>
          <w:spacing w:val="-12"/>
        </w:rPr>
        <w:t> </w:t>
      </w:r>
      <w:r>
        <w:rPr>
          <w:color w:val="231F20"/>
        </w:rPr>
        <w:t>población</w:t>
      </w:r>
      <w:r>
        <w:rPr>
          <w:color w:val="231F20"/>
          <w:spacing w:val="-11"/>
        </w:rPr>
        <w:t> </w:t>
      </w:r>
      <w:r>
        <w:rPr>
          <w:color w:val="231F20"/>
        </w:rPr>
        <w:t>que</w:t>
      </w:r>
      <w:r>
        <w:rPr>
          <w:color w:val="231F20"/>
          <w:spacing w:val="-12"/>
        </w:rPr>
        <w:t> </w:t>
      </w:r>
      <w:r>
        <w:rPr>
          <w:color w:val="231F20"/>
        </w:rPr>
        <w:t>por</w:t>
      </w:r>
      <w:r>
        <w:rPr>
          <w:color w:val="231F20"/>
          <w:spacing w:val="-12"/>
        </w:rPr>
        <w:t> </w:t>
      </w:r>
      <w:r>
        <w:rPr>
          <w:color w:val="231F20"/>
        </w:rPr>
        <w:t>las</w:t>
      </w:r>
      <w:r>
        <w:rPr>
          <w:color w:val="231F20"/>
          <w:spacing w:val="-12"/>
        </w:rPr>
        <w:t> </w:t>
      </w:r>
      <w:r>
        <w:rPr>
          <w:color w:val="231F20"/>
        </w:rPr>
        <w:t>circunstancias y su condición son mucho más vulnerables y expuestos a ser víctimas de abuso, maltratos y</w:t>
      </w:r>
      <w:r>
        <w:rPr>
          <w:color w:val="231F20"/>
          <w:spacing w:val="-2"/>
        </w:rPr>
        <w:t> </w:t>
      </w:r>
      <w:r>
        <w:rPr>
          <w:color w:val="231F20"/>
        </w:rPr>
        <w:t>discriminación.</w:t>
      </w:r>
    </w:p>
    <w:p>
      <w:pPr>
        <w:pStyle w:val="BodyText"/>
        <w:spacing w:line="247" w:lineRule="auto"/>
        <w:ind w:left="117" w:right="114" w:firstLine="283"/>
        <w:jc w:val="both"/>
      </w:pPr>
      <w:r>
        <w:rPr>
          <w:color w:val="231F20"/>
        </w:rPr>
        <w:t>El presente estudio establece la correlación que existe entre la migra- ción interna en México y el trabajo infantil por entidad federativa para el año 2009, por lo que la línea general de esta investigación hace uso de métodos cuantitativos y cualitativos. En el aspecto cuantitativo se hace una revisión de los textos de diversos autores e instituciones en los que se muestra una variedad de matices que proporcionan las bases teóricas del análisis. Para la parte cualitativa se utiliza información estadística prove- niente de la Encuesta Nacional de la Dinámica Demográfica del año</w:t>
      </w:r>
      <w:r>
        <w:rPr>
          <w:color w:val="231F20"/>
          <w:spacing w:val="-34"/>
        </w:rPr>
        <w:t> </w:t>
      </w:r>
      <w:r>
        <w:rPr>
          <w:color w:val="231F20"/>
        </w:rPr>
        <w:t>2009, realizada por el Instituto Nacional de Estadística y Geografía (INEGI), to- mando como base de análisis las siguientes variables extraídas de la parte de</w:t>
      </w:r>
      <w:r>
        <w:rPr>
          <w:color w:val="231F20"/>
          <w:spacing w:val="-13"/>
        </w:rPr>
        <w:t> </w:t>
      </w:r>
      <w:r>
        <w:rPr>
          <w:color w:val="231F20"/>
        </w:rPr>
        <w:t>características</w:t>
      </w:r>
      <w:r>
        <w:rPr>
          <w:color w:val="231F20"/>
          <w:spacing w:val="-13"/>
        </w:rPr>
        <w:t> </w:t>
      </w:r>
      <w:r>
        <w:rPr>
          <w:color w:val="231F20"/>
        </w:rPr>
        <w:t>sociodemográficas:</w:t>
      </w:r>
      <w:r>
        <w:rPr>
          <w:color w:val="231F20"/>
          <w:spacing w:val="-13"/>
        </w:rPr>
        <w:t> </w:t>
      </w:r>
      <w:r>
        <w:rPr>
          <w:color w:val="231F20"/>
        </w:rPr>
        <w:t>edad</w:t>
      </w:r>
      <w:r>
        <w:rPr>
          <w:color w:val="231F20"/>
          <w:spacing w:val="-13"/>
        </w:rPr>
        <w:t> </w:t>
      </w:r>
      <w:r>
        <w:rPr>
          <w:color w:val="231F20"/>
        </w:rPr>
        <w:t>de</w:t>
      </w:r>
      <w:r>
        <w:rPr>
          <w:color w:val="231F20"/>
          <w:spacing w:val="-13"/>
        </w:rPr>
        <w:t> </w:t>
      </w:r>
      <w:r>
        <w:rPr>
          <w:color w:val="231F20"/>
        </w:rPr>
        <w:t>5</w:t>
      </w:r>
      <w:r>
        <w:rPr>
          <w:color w:val="231F20"/>
          <w:spacing w:val="-13"/>
        </w:rPr>
        <w:t> </w:t>
      </w:r>
      <w:r>
        <w:rPr>
          <w:color w:val="231F20"/>
        </w:rPr>
        <w:t>a</w:t>
      </w:r>
      <w:r>
        <w:rPr>
          <w:color w:val="231F20"/>
          <w:spacing w:val="-13"/>
        </w:rPr>
        <w:t> </w:t>
      </w:r>
      <w:r>
        <w:rPr>
          <w:color w:val="231F20"/>
        </w:rPr>
        <w:t>17</w:t>
      </w:r>
      <w:r>
        <w:rPr>
          <w:color w:val="231F20"/>
          <w:spacing w:val="-13"/>
        </w:rPr>
        <w:t> </w:t>
      </w:r>
      <w:r>
        <w:rPr>
          <w:color w:val="231F20"/>
        </w:rPr>
        <w:t>años,</w:t>
      </w:r>
      <w:r>
        <w:rPr>
          <w:color w:val="231F20"/>
          <w:spacing w:val="-13"/>
        </w:rPr>
        <w:t> </w:t>
      </w:r>
      <w:r>
        <w:rPr>
          <w:color w:val="231F20"/>
        </w:rPr>
        <w:t>sexo,</w:t>
      </w:r>
      <w:r>
        <w:rPr>
          <w:color w:val="231F20"/>
          <w:spacing w:val="-13"/>
        </w:rPr>
        <w:t> </w:t>
      </w:r>
      <w:r>
        <w:rPr>
          <w:color w:val="231F20"/>
        </w:rPr>
        <w:t>ocupación, lugar de nacimiento, lugar de residencia y posición en la</w:t>
      </w:r>
      <w:r>
        <w:rPr>
          <w:color w:val="231F20"/>
          <w:spacing w:val="-3"/>
        </w:rPr>
        <w:t> </w:t>
      </w:r>
      <w:r>
        <w:rPr>
          <w:color w:val="231F20"/>
        </w:rPr>
        <w:t>ocupación.</w:t>
      </w:r>
    </w:p>
    <w:p>
      <w:pPr>
        <w:pStyle w:val="BodyText"/>
        <w:spacing w:line="247" w:lineRule="auto"/>
        <w:ind w:left="117" w:right="115" w:firstLine="283"/>
        <w:jc w:val="both"/>
      </w:pPr>
      <w:r>
        <w:rPr>
          <w:color w:val="231F20"/>
        </w:rPr>
        <w:t>Para ordenar la información recolectada, realizar el análisis e interpre- tar de los datos de la encuesta fue necesario procesar dicha información a través del programa estadístico Statistical Package for the Social Sciences (SPSS).</w:t>
      </w:r>
    </w:p>
    <w:p>
      <w:pPr>
        <w:pStyle w:val="BodyText"/>
        <w:spacing w:line="247" w:lineRule="auto"/>
        <w:ind w:left="117" w:right="114" w:firstLine="283"/>
        <w:jc w:val="both"/>
      </w:pPr>
      <w:r>
        <w:rPr>
          <w:color w:val="231F20"/>
        </w:rPr>
        <w:t>La información se estructura en tres secciones. En la primera se anali- za la definición de trabajo infantil, lo que permitirá dar pauta a una breve revisión histórica sobre el trabajo infantil y su relación con la migración.</w:t>
      </w:r>
    </w:p>
    <w:p>
      <w:pPr>
        <w:pStyle w:val="BodyText"/>
        <w:spacing w:line="247" w:lineRule="auto"/>
        <w:ind w:left="117" w:right="114" w:firstLine="283"/>
        <w:jc w:val="both"/>
      </w:pPr>
      <w:r>
        <w:rPr>
          <w:color w:val="231F20"/>
        </w:rPr>
        <w:t>En el siguiente punto se miden los movimientos migratorios internos que se dan entre la fuerza de trabajo infantil de México, lo que permitirá ubicar</w:t>
      </w:r>
      <w:r>
        <w:rPr>
          <w:color w:val="231F20"/>
          <w:spacing w:val="-5"/>
        </w:rPr>
        <w:t> </w:t>
      </w:r>
      <w:r>
        <w:rPr>
          <w:color w:val="231F20"/>
        </w:rPr>
        <w:t>las</w:t>
      </w:r>
      <w:r>
        <w:rPr>
          <w:color w:val="231F20"/>
          <w:spacing w:val="-6"/>
        </w:rPr>
        <w:t> </w:t>
      </w:r>
      <w:r>
        <w:rPr>
          <w:color w:val="231F20"/>
        </w:rPr>
        <w:t>entidades</w:t>
      </w:r>
      <w:r>
        <w:rPr>
          <w:color w:val="231F20"/>
          <w:spacing w:val="-6"/>
        </w:rPr>
        <w:t> </w:t>
      </w:r>
      <w:r>
        <w:rPr>
          <w:color w:val="231F20"/>
        </w:rPr>
        <w:t>federativas</w:t>
      </w:r>
      <w:r>
        <w:rPr>
          <w:color w:val="231F20"/>
          <w:spacing w:val="-5"/>
        </w:rPr>
        <w:t> </w:t>
      </w:r>
      <w:r>
        <w:rPr>
          <w:color w:val="231F20"/>
        </w:rPr>
        <w:t>que</w:t>
      </w:r>
      <w:r>
        <w:rPr>
          <w:color w:val="231F20"/>
          <w:spacing w:val="-5"/>
        </w:rPr>
        <w:t> </w:t>
      </w:r>
      <w:r>
        <w:rPr>
          <w:color w:val="231F20"/>
        </w:rPr>
        <w:t>incorporan</w:t>
      </w:r>
      <w:r>
        <w:rPr>
          <w:color w:val="231F20"/>
          <w:spacing w:val="-6"/>
        </w:rPr>
        <w:t> </w:t>
      </w:r>
      <w:r>
        <w:rPr>
          <w:color w:val="231F20"/>
        </w:rPr>
        <w:t>a</w:t>
      </w:r>
      <w:r>
        <w:rPr>
          <w:color w:val="231F20"/>
          <w:spacing w:val="-5"/>
        </w:rPr>
        <w:t> </w:t>
      </w:r>
      <w:r>
        <w:rPr>
          <w:color w:val="231F20"/>
        </w:rPr>
        <w:t>sus</w:t>
      </w:r>
      <w:r>
        <w:rPr>
          <w:color w:val="231F20"/>
          <w:spacing w:val="-5"/>
        </w:rPr>
        <w:t> </w:t>
      </w:r>
      <w:r>
        <w:rPr>
          <w:color w:val="231F20"/>
        </w:rPr>
        <w:t>actividades</w:t>
      </w:r>
      <w:r>
        <w:rPr>
          <w:color w:val="231F20"/>
          <w:spacing w:val="-5"/>
        </w:rPr>
        <w:t> </w:t>
      </w:r>
      <w:r>
        <w:rPr>
          <w:color w:val="231F20"/>
        </w:rPr>
        <w:t>económi- cas los mayores porcentajes de trabajadores infantiles, así como también algunas de sus características correspondientes a sus perfiles sociodemo- gráficos y posibles causas de su</w:t>
      </w:r>
      <w:r>
        <w:rPr>
          <w:color w:val="231F20"/>
          <w:spacing w:val="-12"/>
        </w:rPr>
        <w:t> </w:t>
      </w:r>
      <w:r>
        <w:rPr>
          <w:color w:val="231F20"/>
        </w:rPr>
        <w:t>migración.</w:t>
      </w:r>
    </w:p>
    <w:p>
      <w:pPr>
        <w:pStyle w:val="BodyText"/>
        <w:spacing w:line="247" w:lineRule="auto"/>
        <w:ind w:left="117" w:right="115" w:firstLine="283"/>
        <w:jc w:val="both"/>
      </w:pPr>
      <w:r>
        <w:rPr>
          <w:color w:val="231F20"/>
        </w:rPr>
        <w:t>Por último, se presentan las consideraciones finales en donde se inclu- yen posibles recomendaciones para frenar estos fenómenos nocivos para el país.</w:t>
      </w:r>
    </w:p>
    <w:p>
      <w:pPr>
        <w:spacing w:after="0" w:line="247" w:lineRule="auto"/>
        <w:jc w:val="both"/>
        <w:sectPr>
          <w:pgSz w:w="9360" w:h="13040"/>
          <w:pgMar w:header="0" w:footer="496" w:top="840" w:bottom="680" w:left="1300" w:right="1300"/>
        </w:sectPr>
      </w:pPr>
    </w:p>
    <w:p>
      <w:pPr>
        <w:spacing w:before="45"/>
        <w:ind w:left="400" w:right="0" w:firstLine="563"/>
        <w:jc w:val="left"/>
        <w:rPr>
          <w:rFonts w:ascii="Arial" w:hAnsi="Arial"/>
          <w:sz w:val="20"/>
        </w:rPr>
      </w:pPr>
      <w:r>
        <w:rPr>
          <w:rFonts w:ascii="Arial" w:hAnsi="Arial"/>
          <w:color w:val="231F20"/>
          <w:w w:val="65"/>
          <w:sz w:val="20"/>
        </w:rPr>
        <w:t>Un</w:t>
      </w:r>
      <w:r>
        <w:rPr>
          <w:rFonts w:ascii="Arial" w:hAnsi="Arial"/>
          <w:color w:val="231F20"/>
          <w:spacing w:val="-11"/>
          <w:w w:val="65"/>
          <w:sz w:val="20"/>
        </w:rPr>
        <w:t> </w:t>
      </w:r>
      <w:r>
        <w:rPr>
          <w:rFonts w:ascii="Arial" w:hAnsi="Arial"/>
          <w:color w:val="231F20"/>
          <w:w w:val="65"/>
          <w:sz w:val="20"/>
        </w:rPr>
        <w:t>actor</w:t>
      </w:r>
      <w:r>
        <w:rPr>
          <w:rFonts w:ascii="Arial" w:hAnsi="Arial"/>
          <w:color w:val="231F20"/>
          <w:spacing w:val="-11"/>
          <w:w w:val="65"/>
          <w:sz w:val="20"/>
        </w:rPr>
        <w:t> </w:t>
      </w:r>
      <w:r>
        <w:rPr>
          <w:rFonts w:ascii="Arial" w:hAnsi="Arial"/>
          <w:color w:val="231F20"/>
          <w:w w:val="65"/>
          <w:sz w:val="20"/>
        </w:rPr>
        <w:t>más</w:t>
      </w:r>
      <w:r>
        <w:rPr>
          <w:rFonts w:ascii="Arial" w:hAnsi="Arial"/>
          <w:color w:val="231F20"/>
          <w:spacing w:val="-11"/>
          <w:w w:val="65"/>
          <w:sz w:val="20"/>
        </w:rPr>
        <w:t> </w:t>
      </w:r>
      <w:r>
        <w:rPr>
          <w:rFonts w:ascii="Arial" w:hAnsi="Arial"/>
          <w:color w:val="231F20"/>
          <w:w w:val="65"/>
          <w:sz w:val="20"/>
        </w:rPr>
        <w:t>en</w:t>
      </w:r>
      <w:r>
        <w:rPr>
          <w:rFonts w:ascii="Arial" w:hAnsi="Arial"/>
          <w:color w:val="231F20"/>
          <w:spacing w:val="-11"/>
          <w:w w:val="65"/>
          <w:sz w:val="20"/>
        </w:rPr>
        <w:t> </w:t>
      </w:r>
      <w:r>
        <w:rPr>
          <w:rFonts w:ascii="Arial" w:hAnsi="Arial"/>
          <w:color w:val="231F20"/>
          <w:w w:val="65"/>
          <w:sz w:val="20"/>
        </w:rPr>
        <w:t>los</w:t>
      </w:r>
      <w:r>
        <w:rPr>
          <w:rFonts w:ascii="Arial" w:hAnsi="Arial"/>
          <w:color w:val="231F20"/>
          <w:spacing w:val="-11"/>
          <w:w w:val="65"/>
          <w:sz w:val="20"/>
        </w:rPr>
        <w:t> </w:t>
      </w:r>
      <w:r>
        <w:rPr>
          <w:rFonts w:ascii="Arial" w:hAnsi="Arial"/>
          <w:color w:val="231F20"/>
          <w:w w:val="65"/>
          <w:sz w:val="20"/>
        </w:rPr>
        <w:t>procesos</w:t>
      </w:r>
      <w:r>
        <w:rPr>
          <w:rFonts w:ascii="Arial" w:hAnsi="Arial"/>
          <w:color w:val="231F20"/>
          <w:spacing w:val="-11"/>
          <w:w w:val="65"/>
          <w:sz w:val="20"/>
        </w:rPr>
        <w:t> </w:t>
      </w:r>
      <w:r>
        <w:rPr>
          <w:rFonts w:ascii="Arial" w:hAnsi="Arial"/>
          <w:color w:val="231F20"/>
          <w:w w:val="65"/>
          <w:sz w:val="20"/>
        </w:rPr>
        <w:t>migratorios:...</w:t>
      </w:r>
      <w:r>
        <w:rPr>
          <w:rFonts w:ascii="Arial" w:hAnsi="Arial"/>
          <w:color w:val="231F20"/>
          <w:spacing w:val="-11"/>
          <w:w w:val="65"/>
          <w:sz w:val="20"/>
        </w:rPr>
        <w:t> </w:t>
      </w:r>
      <w:r>
        <w:rPr>
          <w:rFonts w:ascii="Arial" w:hAnsi="Arial"/>
          <w:color w:val="231F20"/>
          <w:w w:val="65"/>
          <w:sz w:val="20"/>
        </w:rPr>
        <w:t>/Silvia</w:t>
      </w:r>
      <w:r>
        <w:rPr>
          <w:rFonts w:ascii="Arial" w:hAnsi="Arial"/>
          <w:color w:val="231F20"/>
          <w:spacing w:val="-19"/>
          <w:w w:val="65"/>
          <w:sz w:val="20"/>
        </w:rPr>
        <w:t> </w:t>
      </w:r>
      <w:r>
        <w:rPr>
          <w:rFonts w:ascii="Arial" w:hAnsi="Arial"/>
          <w:color w:val="231F20"/>
          <w:w w:val="65"/>
          <w:sz w:val="20"/>
        </w:rPr>
        <w:t>L.</w:t>
      </w:r>
      <w:r>
        <w:rPr>
          <w:rFonts w:ascii="Arial" w:hAnsi="Arial"/>
          <w:color w:val="231F20"/>
          <w:spacing w:val="-19"/>
          <w:w w:val="65"/>
          <w:sz w:val="20"/>
        </w:rPr>
        <w:t> </w:t>
      </w:r>
      <w:r>
        <w:rPr>
          <w:rFonts w:ascii="Arial" w:hAnsi="Arial"/>
          <w:color w:val="231F20"/>
          <w:w w:val="65"/>
          <w:sz w:val="20"/>
        </w:rPr>
        <w:t>Aguilar-Velázquez</w:t>
      </w:r>
      <w:r>
        <w:rPr>
          <w:rFonts w:ascii="Arial" w:hAnsi="Arial"/>
          <w:color w:val="231F20"/>
          <w:spacing w:val="-19"/>
          <w:w w:val="65"/>
          <w:sz w:val="20"/>
        </w:rPr>
        <w:t> </w:t>
      </w:r>
      <w:r>
        <w:rPr>
          <w:rFonts w:ascii="Arial" w:hAnsi="Arial"/>
          <w:color w:val="231F20"/>
          <w:w w:val="65"/>
          <w:sz w:val="20"/>
        </w:rPr>
        <w:t>y</w:t>
      </w:r>
      <w:r>
        <w:rPr>
          <w:rFonts w:ascii="Arial" w:hAnsi="Arial"/>
          <w:color w:val="231F20"/>
          <w:spacing w:val="-19"/>
          <w:w w:val="65"/>
          <w:sz w:val="20"/>
        </w:rPr>
        <w:t> </w:t>
      </w:r>
      <w:r>
        <w:rPr>
          <w:rFonts w:ascii="Arial" w:hAnsi="Arial"/>
          <w:color w:val="231F20"/>
          <w:w w:val="65"/>
          <w:sz w:val="20"/>
        </w:rPr>
        <w:t>Belinda</w:t>
      </w:r>
      <w:r>
        <w:rPr>
          <w:rFonts w:ascii="Arial" w:hAnsi="Arial"/>
          <w:color w:val="231F20"/>
          <w:spacing w:val="-19"/>
          <w:w w:val="65"/>
          <w:sz w:val="20"/>
        </w:rPr>
        <w:t> </w:t>
      </w:r>
      <w:r>
        <w:rPr>
          <w:rFonts w:ascii="Arial" w:hAnsi="Arial"/>
          <w:color w:val="231F20"/>
          <w:w w:val="65"/>
          <w:sz w:val="20"/>
        </w:rPr>
        <w:t>Ordóñez-Vázquez</w:t>
      </w:r>
    </w:p>
    <w:p>
      <w:pPr>
        <w:pStyle w:val="BodyText"/>
        <w:spacing w:before="7"/>
        <w:rPr>
          <w:rFonts w:ascii="Arial"/>
          <w:sz w:val="28"/>
        </w:rPr>
      </w:pPr>
    </w:p>
    <w:p>
      <w:pPr>
        <w:pStyle w:val="BodyText"/>
        <w:spacing w:line="247" w:lineRule="auto"/>
        <w:ind w:left="117" w:right="114" w:firstLine="283"/>
        <w:jc w:val="both"/>
      </w:pPr>
      <w:r>
        <w:rPr>
          <w:color w:val="231F20"/>
        </w:rPr>
        <w:t>Los</w:t>
      </w:r>
      <w:r>
        <w:rPr>
          <w:color w:val="231F20"/>
          <w:spacing w:val="-13"/>
        </w:rPr>
        <w:t> </w:t>
      </w:r>
      <w:r>
        <w:rPr>
          <w:color w:val="231F20"/>
        </w:rPr>
        <w:t>avances</w:t>
      </w:r>
      <w:r>
        <w:rPr>
          <w:color w:val="231F20"/>
          <w:spacing w:val="-13"/>
        </w:rPr>
        <w:t> </w:t>
      </w:r>
      <w:r>
        <w:rPr>
          <w:color w:val="231F20"/>
        </w:rPr>
        <w:t>sobre</w:t>
      </w:r>
      <w:r>
        <w:rPr>
          <w:color w:val="231F20"/>
          <w:spacing w:val="-12"/>
        </w:rPr>
        <w:t> </w:t>
      </w:r>
      <w:r>
        <w:rPr>
          <w:color w:val="231F20"/>
        </w:rPr>
        <w:t>esta</w:t>
      </w:r>
      <w:r>
        <w:rPr>
          <w:color w:val="231F20"/>
          <w:spacing w:val="-13"/>
        </w:rPr>
        <w:t> </w:t>
      </w:r>
      <w:r>
        <w:rPr>
          <w:color w:val="231F20"/>
        </w:rPr>
        <w:t>investigación</w:t>
      </w:r>
      <w:r>
        <w:rPr>
          <w:color w:val="231F20"/>
          <w:spacing w:val="-13"/>
        </w:rPr>
        <w:t> </w:t>
      </w:r>
      <w:r>
        <w:rPr>
          <w:color w:val="231F20"/>
        </w:rPr>
        <w:t>fueron</w:t>
      </w:r>
      <w:r>
        <w:rPr>
          <w:color w:val="231F20"/>
          <w:spacing w:val="-12"/>
        </w:rPr>
        <w:t> </w:t>
      </w:r>
      <w:r>
        <w:rPr>
          <w:color w:val="231F20"/>
        </w:rPr>
        <w:t>presentados</w:t>
      </w:r>
      <w:r>
        <w:rPr>
          <w:color w:val="231F20"/>
          <w:spacing w:val="-12"/>
        </w:rPr>
        <w:t> </w:t>
      </w:r>
      <w:r>
        <w:rPr>
          <w:color w:val="231F20"/>
        </w:rPr>
        <w:t>en</w:t>
      </w:r>
      <w:r>
        <w:rPr>
          <w:color w:val="231F20"/>
          <w:spacing w:val="-13"/>
        </w:rPr>
        <w:t> </w:t>
      </w:r>
      <w:r>
        <w:rPr>
          <w:color w:val="231F20"/>
        </w:rPr>
        <w:t>el</w:t>
      </w:r>
      <w:r>
        <w:rPr>
          <w:color w:val="231F20"/>
          <w:spacing w:val="-12"/>
        </w:rPr>
        <w:t> </w:t>
      </w:r>
      <w:r>
        <w:rPr>
          <w:color w:val="231F20"/>
        </w:rPr>
        <w:t>Congreso Internacional de Ciencias Sociales llevado a cabo en la Universidad Autó- noma del Estado de</w:t>
      </w:r>
      <w:r>
        <w:rPr>
          <w:color w:val="231F20"/>
          <w:spacing w:val="-9"/>
        </w:rPr>
        <w:t> </w:t>
      </w:r>
      <w:r>
        <w:rPr>
          <w:color w:val="231F20"/>
        </w:rPr>
        <w:t>Hidalgo.</w:t>
      </w:r>
    </w:p>
    <w:p>
      <w:pPr>
        <w:pStyle w:val="Heading3"/>
      </w:pPr>
      <w:r>
        <w:rPr>
          <w:color w:val="231F20"/>
        </w:rPr>
        <w:t>Una mirada al trabajador infantil en el mundo</w:t>
      </w:r>
    </w:p>
    <w:p>
      <w:pPr>
        <w:pStyle w:val="BodyText"/>
        <w:spacing w:line="247" w:lineRule="auto" w:before="172"/>
        <w:ind w:left="117" w:right="114"/>
        <w:jc w:val="both"/>
      </w:pPr>
      <w:r>
        <w:rPr>
          <w:color w:val="231F20"/>
        </w:rPr>
        <w:t>Es elemental abordar en primera instancia la conceptualización de traba- jo infantil, debido a que no todo el trabajo efectuado por niños debe ser clasificado como trabajo infantil y seleccionado para su eliminación. La participación de niños y adolescentes en un trabajo que no afecta su</w:t>
      </w:r>
      <w:r>
        <w:rPr>
          <w:color w:val="231F20"/>
          <w:spacing w:val="-28"/>
        </w:rPr>
        <w:t> </w:t>
      </w:r>
      <w:r>
        <w:rPr>
          <w:color w:val="231F20"/>
        </w:rPr>
        <w:t>salud, desarrollo</w:t>
      </w:r>
      <w:r>
        <w:rPr>
          <w:color w:val="231F20"/>
          <w:spacing w:val="-10"/>
        </w:rPr>
        <w:t> </w:t>
      </w:r>
      <w:r>
        <w:rPr>
          <w:color w:val="231F20"/>
        </w:rPr>
        <w:t>personal</w:t>
      </w:r>
      <w:r>
        <w:rPr>
          <w:color w:val="231F20"/>
          <w:spacing w:val="-10"/>
        </w:rPr>
        <w:t> </w:t>
      </w:r>
      <w:r>
        <w:rPr>
          <w:color w:val="231F20"/>
        </w:rPr>
        <w:t>y</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interfiere</w:t>
      </w:r>
      <w:r>
        <w:rPr>
          <w:color w:val="231F20"/>
          <w:spacing w:val="-10"/>
        </w:rPr>
        <w:t> </w:t>
      </w:r>
      <w:r>
        <w:rPr>
          <w:color w:val="231F20"/>
        </w:rPr>
        <w:t>con</w:t>
      </w:r>
      <w:r>
        <w:rPr>
          <w:color w:val="231F20"/>
          <w:spacing w:val="-10"/>
        </w:rPr>
        <w:t> </w:t>
      </w:r>
      <w:r>
        <w:rPr>
          <w:color w:val="231F20"/>
        </w:rPr>
        <w:t>su</w:t>
      </w:r>
      <w:r>
        <w:rPr>
          <w:color w:val="231F20"/>
          <w:spacing w:val="-10"/>
        </w:rPr>
        <w:t> </w:t>
      </w:r>
      <w:r>
        <w:rPr>
          <w:color w:val="231F20"/>
        </w:rPr>
        <w:t>educación</w:t>
      </w:r>
      <w:r>
        <w:rPr>
          <w:color w:val="231F20"/>
          <w:spacing w:val="-10"/>
        </w:rPr>
        <w:t> </w:t>
      </w:r>
      <w:r>
        <w:rPr>
          <w:color w:val="231F20"/>
        </w:rPr>
        <w:t>es</w:t>
      </w:r>
      <w:r>
        <w:rPr>
          <w:color w:val="231F20"/>
          <w:spacing w:val="-10"/>
        </w:rPr>
        <w:t> </w:t>
      </w:r>
      <w:r>
        <w:rPr>
          <w:color w:val="231F20"/>
        </w:rPr>
        <w:t>considerado</w:t>
      </w:r>
      <w:r>
        <w:rPr>
          <w:color w:val="231F20"/>
          <w:spacing w:val="-10"/>
        </w:rPr>
        <w:t> </w:t>
      </w:r>
      <w:r>
        <w:rPr>
          <w:color w:val="231F20"/>
        </w:rPr>
        <w:t>por lo general como algo positivo; por ejemplo actividades tales como ayudar a sus padres en la casa, asistir en un negocio familiar o ganarse dinero para gastos personales fuera de las horas de escuela y durante las vaca- ciones escolares, son labores que contribuyen al desarrollo de los niños    y al bienestar de sus familias; les hace obtener habilidades y experiencia, ayudándoles a prepararse para ser miembros productivos durante su vida adulta en la</w:t>
      </w:r>
      <w:r>
        <w:rPr>
          <w:color w:val="231F20"/>
          <w:spacing w:val="-11"/>
        </w:rPr>
        <w:t> </w:t>
      </w:r>
      <w:r>
        <w:rPr>
          <w:color w:val="231F20"/>
        </w:rPr>
        <w:t>sociedad.</w:t>
      </w:r>
    </w:p>
    <w:p>
      <w:pPr>
        <w:pStyle w:val="BodyText"/>
        <w:spacing w:line="247" w:lineRule="auto"/>
        <w:ind w:left="117" w:right="114" w:firstLine="283"/>
        <w:jc w:val="both"/>
      </w:pPr>
      <w:r>
        <w:rPr>
          <w:color w:val="231F20"/>
        </w:rPr>
        <w:t>De acuerdo con la OIT (2002) la fuerza laboral infantil está</w:t>
      </w:r>
      <w:r>
        <w:rPr>
          <w:color w:val="231F20"/>
          <w:spacing w:val="-21"/>
        </w:rPr>
        <w:t> </w:t>
      </w:r>
      <w:r>
        <w:rPr>
          <w:color w:val="231F20"/>
        </w:rPr>
        <w:t>constituida por los niños, niñas y adolescentes de cinco a 17 años que desempeñan al- guna</w:t>
      </w:r>
      <w:r>
        <w:rPr>
          <w:color w:val="231F20"/>
          <w:spacing w:val="-9"/>
        </w:rPr>
        <w:t> </w:t>
      </w:r>
      <w:r>
        <w:rPr>
          <w:color w:val="231F20"/>
        </w:rPr>
        <w:t>actividad</w:t>
      </w:r>
      <w:r>
        <w:rPr>
          <w:color w:val="231F20"/>
          <w:spacing w:val="-9"/>
        </w:rPr>
        <w:t> </w:t>
      </w:r>
      <w:r>
        <w:rPr>
          <w:color w:val="231F20"/>
        </w:rPr>
        <w:t>económica.</w:t>
      </w:r>
      <w:r>
        <w:rPr>
          <w:color w:val="231F20"/>
          <w:spacing w:val="-10"/>
        </w:rPr>
        <w:t> </w:t>
      </w:r>
      <w:r>
        <w:rPr>
          <w:color w:val="231F20"/>
        </w:rPr>
        <w:t>El</w:t>
      </w:r>
      <w:r>
        <w:rPr>
          <w:color w:val="231F20"/>
          <w:spacing w:val="-9"/>
        </w:rPr>
        <w:t> </w:t>
      </w:r>
      <w:r>
        <w:rPr>
          <w:color w:val="231F20"/>
        </w:rPr>
        <w:t>término</w:t>
      </w:r>
      <w:r>
        <w:rPr>
          <w:color w:val="231F20"/>
          <w:spacing w:val="-10"/>
        </w:rPr>
        <w:t> </w:t>
      </w:r>
      <w:r>
        <w:rPr>
          <w:color w:val="231F20"/>
        </w:rPr>
        <w:t>“trabajo</w:t>
      </w:r>
      <w:r>
        <w:rPr>
          <w:color w:val="231F20"/>
          <w:spacing w:val="-10"/>
        </w:rPr>
        <w:t> </w:t>
      </w:r>
      <w:r>
        <w:rPr>
          <w:color w:val="231F20"/>
        </w:rPr>
        <w:t>infantil”</w:t>
      </w:r>
      <w:r>
        <w:rPr>
          <w:color w:val="231F20"/>
          <w:spacing w:val="-10"/>
        </w:rPr>
        <w:t> </w:t>
      </w:r>
      <w:r>
        <w:rPr>
          <w:color w:val="231F20"/>
        </w:rPr>
        <w:t>es</w:t>
      </w:r>
      <w:r>
        <w:rPr>
          <w:color w:val="231F20"/>
          <w:spacing w:val="-9"/>
        </w:rPr>
        <w:t> </w:t>
      </w:r>
      <w:r>
        <w:rPr>
          <w:color w:val="231F20"/>
        </w:rPr>
        <w:t>entendido</w:t>
      </w:r>
      <w:r>
        <w:rPr>
          <w:color w:val="231F20"/>
          <w:spacing w:val="-10"/>
        </w:rPr>
        <w:t> </w:t>
      </w:r>
      <w:r>
        <w:rPr>
          <w:color w:val="231F20"/>
        </w:rPr>
        <w:t>como el trabajo que priva a los niños de su infancia, actividad física o mental perjudicial para el niño o adolescente, la cual interfiere con su educación  y en muchos casos los obliga a abandonar la escuela o exige combinar la asistencia a la escuela con largas jornadas de trabajo</w:t>
      </w:r>
      <w:r>
        <w:rPr>
          <w:color w:val="231F20"/>
          <w:spacing w:val="-10"/>
        </w:rPr>
        <w:t> </w:t>
      </w:r>
      <w:r>
        <w:rPr>
          <w:color w:val="231F20"/>
        </w:rPr>
        <w:t>pesado.</w:t>
      </w:r>
    </w:p>
    <w:p>
      <w:pPr>
        <w:pStyle w:val="BodyText"/>
        <w:spacing w:line="247" w:lineRule="auto"/>
        <w:ind w:left="117" w:right="114" w:firstLine="283"/>
        <w:jc w:val="both"/>
      </w:pPr>
      <w:r>
        <w:rPr>
          <w:color w:val="231F20"/>
        </w:rPr>
        <w:t>En su forma más extrema, son considerados trabajadores infantiles to- dos aquellos niños que son esclavizados, separados de sus familias, ex- puestos a graves riesgos y enfermedades, obligándolos en la mayoría de los casos a valerse por sí mismos en las calles de las grandes ciudades a muy temprana edad.</w:t>
      </w:r>
    </w:p>
    <w:p>
      <w:pPr>
        <w:pStyle w:val="BodyText"/>
        <w:spacing w:line="247" w:lineRule="auto"/>
        <w:ind w:left="117" w:right="114" w:firstLine="283"/>
        <w:jc w:val="both"/>
      </w:pPr>
      <w:r>
        <w:rPr>
          <w:color w:val="231F20"/>
        </w:rPr>
        <w:t>El</w:t>
      </w:r>
      <w:r>
        <w:rPr>
          <w:color w:val="231F20"/>
          <w:spacing w:val="-10"/>
        </w:rPr>
        <w:t> </w:t>
      </w:r>
      <w:r>
        <w:rPr>
          <w:color w:val="231F20"/>
        </w:rPr>
        <w:t>que</w:t>
      </w:r>
      <w:r>
        <w:rPr>
          <w:color w:val="231F20"/>
          <w:spacing w:val="-10"/>
        </w:rPr>
        <w:t> </w:t>
      </w:r>
      <w:r>
        <w:rPr>
          <w:color w:val="231F20"/>
        </w:rPr>
        <w:t>una</w:t>
      </w:r>
      <w:r>
        <w:rPr>
          <w:color w:val="231F20"/>
          <w:spacing w:val="-10"/>
        </w:rPr>
        <w:t> </w:t>
      </w:r>
      <w:r>
        <w:rPr>
          <w:color w:val="231F20"/>
        </w:rPr>
        <w:t>forma</w:t>
      </w:r>
      <w:r>
        <w:rPr>
          <w:color w:val="231F20"/>
          <w:spacing w:val="-10"/>
        </w:rPr>
        <w:t> </w:t>
      </w:r>
      <w:r>
        <w:rPr>
          <w:color w:val="231F20"/>
        </w:rPr>
        <w:t>particular</w:t>
      </w:r>
      <w:r>
        <w:rPr>
          <w:color w:val="231F20"/>
          <w:spacing w:val="-10"/>
        </w:rPr>
        <w:t> </w:t>
      </w:r>
      <w:r>
        <w:rPr>
          <w:color w:val="231F20"/>
        </w:rPr>
        <w:t>de</w:t>
      </w:r>
      <w:r>
        <w:rPr>
          <w:color w:val="231F20"/>
          <w:spacing w:val="-10"/>
        </w:rPr>
        <w:t> </w:t>
      </w:r>
      <w:r>
        <w:rPr>
          <w:color w:val="231F20"/>
        </w:rPr>
        <w:t>trabajo</w:t>
      </w:r>
      <w:r>
        <w:rPr>
          <w:color w:val="231F20"/>
          <w:spacing w:val="-11"/>
        </w:rPr>
        <w:t> </w:t>
      </w:r>
      <w:r>
        <w:rPr>
          <w:color w:val="231F20"/>
        </w:rPr>
        <w:t>pueda</w:t>
      </w:r>
      <w:r>
        <w:rPr>
          <w:color w:val="231F20"/>
          <w:spacing w:val="-10"/>
        </w:rPr>
        <w:t> </w:t>
      </w:r>
      <w:r>
        <w:rPr>
          <w:color w:val="231F20"/>
        </w:rPr>
        <w:t>ser</w:t>
      </w:r>
      <w:r>
        <w:rPr>
          <w:color w:val="231F20"/>
          <w:spacing w:val="-10"/>
        </w:rPr>
        <w:t> </w:t>
      </w:r>
      <w:r>
        <w:rPr>
          <w:color w:val="231F20"/>
        </w:rPr>
        <w:t>llamada</w:t>
      </w:r>
      <w:r>
        <w:rPr>
          <w:color w:val="231F20"/>
          <w:spacing w:val="-11"/>
        </w:rPr>
        <w:t> </w:t>
      </w:r>
      <w:r>
        <w:rPr>
          <w:color w:val="231F20"/>
        </w:rPr>
        <w:t>“trabajo</w:t>
      </w:r>
      <w:r>
        <w:rPr>
          <w:color w:val="231F20"/>
          <w:spacing w:val="-11"/>
        </w:rPr>
        <w:t> </w:t>
      </w:r>
      <w:r>
        <w:rPr>
          <w:color w:val="231F20"/>
        </w:rPr>
        <w:t>infan- til” depende de la edad del niño, el tipo y horas de trabajo desempeñado, las condiciones bajo las que se efectúa y los objetivos perseguidos por los países. La respuesta varía de país en país, así como entre sectores dentro de los países </w:t>
      </w:r>
      <w:r>
        <w:rPr>
          <w:color w:val="231F20"/>
          <w:spacing w:val="-4"/>
        </w:rPr>
        <w:t>(OIT,</w:t>
      </w:r>
      <w:r>
        <w:rPr>
          <w:color w:val="231F20"/>
          <w:spacing w:val="2"/>
        </w:rPr>
        <w:t> </w:t>
      </w:r>
      <w:r>
        <w:rPr>
          <w:color w:val="231F20"/>
        </w:rPr>
        <w:t>2002).</w:t>
      </w:r>
    </w:p>
    <w:p>
      <w:pPr>
        <w:pStyle w:val="BodyText"/>
        <w:spacing w:line="247" w:lineRule="auto"/>
        <w:ind w:left="117" w:right="115" w:firstLine="283"/>
        <w:jc w:val="both"/>
      </w:pPr>
      <w:r>
        <w:rPr>
          <w:color w:val="231F20"/>
        </w:rPr>
        <w:t>Durante la Revolución Industrial y el desarrollo del capitalismo los ni- ños jugaban un papel protagónico dentro de la economía, en esa época no existían intentos por vigilar las condiciones en las cuales laboraban. En Europa, principalmente en Inglaterra, fue común el trabajo infantil a gran escala, básicamente en fábricas bajo situaciones deplorables y   riesgosas.</w:t>
      </w:r>
    </w:p>
    <w:p>
      <w:pPr>
        <w:spacing w:after="0" w:line="247" w:lineRule="auto"/>
        <w:jc w:val="both"/>
        <w:sectPr>
          <w:pgSz w:w="9360" w:h="13040"/>
          <w:pgMar w:header="0" w:footer="496" w:top="740" w:bottom="680" w:left="1300" w:right="1300"/>
        </w:sectPr>
      </w:pPr>
    </w:p>
    <w:p>
      <w:pPr>
        <w:tabs>
          <w:tab w:pos="5536" w:val="left" w:leader="none"/>
        </w:tabs>
        <w:spacing w:before="51"/>
        <w:ind w:left="117" w:right="0" w:firstLine="11"/>
        <w:jc w:val="both"/>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115"/>
        <w:jc w:val="both"/>
      </w:pPr>
      <w:r>
        <w:rPr>
          <w:color w:val="231F20"/>
        </w:rPr>
        <w:t>El trabajo infantil surgió como problemática social entre los siglos XVII</w:t>
      </w:r>
      <w:r>
        <w:rPr>
          <w:color w:val="231F20"/>
          <w:spacing w:val="-15"/>
        </w:rPr>
        <w:t> </w:t>
      </w:r>
      <w:r>
        <w:rPr>
          <w:color w:val="231F20"/>
        </w:rPr>
        <w:t>y XIX; a consecuencia de esas condiciones alarmantes en las que los niños desempeñaban actividades económicas se llegó al consenso de proteger a los</w:t>
      </w:r>
      <w:r>
        <w:rPr>
          <w:color w:val="231F20"/>
          <w:spacing w:val="-8"/>
        </w:rPr>
        <w:t> </w:t>
      </w:r>
      <w:r>
        <w:rPr>
          <w:color w:val="231F20"/>
        </w:rPr>
        <w:t>menores</w:t>
      </w:r>
      <w:r>
        <w:rPr>
          <w:color w:val="231F20"/>
          <w:spacing w:val="-8"/>
        </w:rPr>
        <w:t> </w:t>
      </w:r>
      <w:r>
        <w:rPr>
          <w:color w:val="231F20"/>
        </w:rPr>
        <w:t>del</w:t>
      </w:r>
      <w:r>
        <w:rPr>
          <w:color w:val="231F20"/>
          <w:spacing w:val="-8"/>
        </w:rPr>
        <w:t> </w:t>
      </w:r>
      <w:r>
        <w:rPr>
          <w:color w:val="231F20"/>
        </w:rPr>
        <w:t>trabajo</w:t>
      </w:r>
      <w:r>
        <w:rPr>
          <w:color w:val="231F20"/>
          <w:spacing w:val="-8"/>
        </w:rPr>
        <w:t> </w:t>
      </w:r>
      <w:r>
        <w:rPr>
          <w:color w:val="231F20"/>
        </w:rPr>
        <w:t>excesivo,</w:t>
      </w:r>
      <w:r>
        <w:rPr>
          <w:color w:val="231F20"/>
          <w:spacing w:val="-8"/>
        </w:rPr>
        <w:t> </w:t>
      </w:r>
      <w:r>
        <w:rPr>
          <w:color w:val="231F20"/>
        </w:rPr>
        <w:t>empezando</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introducción</w:t>
      </w:r>
      <w:r>
        <w:rPr>
          <w:color w:val="231F20"/>
          <w:spacing w:val="-9"/>
        </w:rPr>
        <w:t> </w:t>
      </w:r>
      <w:r>
        <w:rPr>
          <w:color w:val="231F20"/>
        </w:rPr>
        <w:t>de</w:t>
      </w:r>
      <w:r>
        <w:rPr>
          <w:color w:val="231F20"/>
          <w:spacing w:val="-8"/>
        </w:rPr>
        <w:t> </w:t>
      </w:r>
      <w:r>
        <w:rPr>
          <w:color w:val="231F20"/>
        </w:rPr>
        <w:t>media jornada laboral en conjunto con las Leyes Fabriles de 1833 y 1844 (Dor- man,</w:t>
      </w:r>
      <w:r>
        <w:rPr>
          <w:color w:val="231F20"/>
          <w:spacing w:val="-1"/>
        </w:rPr>
        <w:t> </w:t>
      </w:r>
      <w:r>
        <w:rPr>
          <w:color w:val="231F20"/>
        </w:rPr>
        <w:t>2001).</w:t>
      </w:r>
    </w:p>
    <w:p>
      <w:pPr>
        <w:pStyle w:val="BodyText"/>
        <w:spacing w:line="247" w:lineRule="auto"/>
        <w:ind w:left="117" w:right="111" w:firstLine="369"/>
        <w:jc w:val="both"/>
        <w:rPr>
          <w:sz w:val="13"/>
        </w:rPr>
      </w:pPr>
      <w:r>
        <w:rPr>
          <w:color w:val="231F20"/>
        </w:rPr>
        <w:t>Sin embargo, fue hasta 1919, año de fundación de la Organización Internacional</w:t>
      </w:r>
      <w:r>
        <w:rPr>
          <w:color w:val="231F20"/>
          <w:spacing w:val="-7"/>
        </w:rPr>
        <w:t> </w:t>
      </w:r>
      <w:r>
        <w:rPr>
          <w:color w:val="231F20"/>
        </w:rPr>
        <w:t>del</w:t>
      </w:r>
      <w:r>
        <w:rPr>
          <w:color w:val="231F20"/>
          <w:spacing w:val="-12"/>
        </w:rPr>
        <w:t> </w:t>
      </w:r>
      <w:r>
        <w:rPr>
          <w:color w:val="231F20"/>
        </w:rPr>
        <w:t>Trabajo</w:t>
      </w:r>
      <w:r>
        <w:rPr>
          <w:color w:val="231F20"/>
          <w:spacing w:val="-8"/>
        </w:rPr>
        <w:t> </w:t>
      </w:r>
      <w:r>
        <w:rPr>
          <w:color w:val="231F20"/>
        </w:rPr>
        <w:t>(OIT),</w:t>
      </w:r>
      <w:r>
        <w:rPr>
          <w:color w:val="231F20"/>
          <w:spacing w:val="-7"/>
        </w:rPr>
        <w:t> </w:t>
      </w:r>
      <w:r>
        <w:rPr>
          <w:color w:val="231F20"/>
        </w:rPr>
        <w:t>cuando</w:t>
      </w:r>
      <w:r>
        <w:rPr>
          <w:color w:val="231F20"/>
          <w:spacing w:val="-8"/>
        </w:rPr>
        <w:t> </w:t>
      </w:r>
      <w:r>
        <w:rPr>
          <w:color w:val="231F20"/>
        </w:rPr>
        <w:t>se</w:t>
      </w:r>
      <w:r>
        <w:rPr>
          <w:color w:val="231F20"/>
          <w:spacing w:val="-7"/>
        </w:rPr>
        <w:t> </w:t>
      </w:r>
      <w:r>
        <w:rPr>
          <w:color w:val="231F20"/>
        </w:rPr>
        <w:t>estableció</w:t>
      </w:r>
      <w:r>
        <w:rPr>
          <w:color w:val="231F20"/>
          <w:spacing w:val="-8"/>
        </w:rPr>
        <w:t> </w:t>
      </w:r>
      <w:r>
        <w:rPr>
          <w:color w:val="231F20"/>
        </w:rPr>
        <w:t>como</w:t>
      </w:r>
      <w:r>
        <w:rPr>
          <w:color w:val="231F20"/>
          <w:spacing w:val="-8"/>
        </w:rPr>
        <w:t> </w:t>
      </w:r>
      <w:r>
        <w:rPr>
          <w:color w:val="231F20"/>
        </w:rPr>
        <w:t>una</w:t>
      </w:r>
      <w:r>
        <w:rPr>
          <w:color w:val="231F20"/>
          <w:spacing w:val="-7"/>
        </w:rPr>
        <w:t> </w:t>
      </w:r>
      <w:r>
        <w:rPr>
          <w:color w:val="231F20"/>
        </w:rPr>
        <w:t>de</w:t>
      </w:r>
      <w:r>
        <w:rPr>
          <w:color w:val="231F20"/>
          <w:spacing w:val="-7"/>
        </w:rPr>
        <w:t> </w:t>
      </w:r>
      <w:r>
        <w:rPr>
          <w:color w:val="231F20"/>
        </w:rPr>
        <w:t>las</w:t>
      </w:r>
      <w:r>
        <w:rPr>
          <w:color w:val="231F20"/>
          <w:spacing w:val="-8"/>
        </w:rPr>
        <w:t> </w:t>
      </w:r>
      <w:r>
        <w:rPr>
          <w:color w:val="231F20"/>
        </w:rPr>
        <w:t>más altas</w:t>
      </w:r>
      <w:r>
        <w:rPr>
          <w:color w:val="231F20"/>
          <w:spacing w:val="-10"/>
        </w:rPr>
        <w:t> </w:t>
      </w:r>
      <w:r>
        <w:rPr>
          <w:color w:val="231F20"/>
        </w:rPr>
        <w:t>prioridades</w:t>
      </w:r>
      <w:r>
        <w:rPr>
          <w:color w:val="231F20"/>
          <w:spacing w:val="-10"/>
        </w:rPr>
        <w:t> </w:t>
      </w:r>
      <w:r>
        <w:rPr>
          <w:color w:val="231F20"/>
        </w:rPr>
        <w:t>la</w:t>
      </w:r>
      <w:r>
        <w:rPr>
          <w:color w:val="231F20"/>
          <w:spacing w:val="-10"/>
        </w:rPr>
        <w:t> </w:t>
      </w:r>
      <w:r>
        <w:rPr>
          <w:color w:val="231F20"/>
        </w:rPr>
        <w:t>suspensión</w:t>
      </w:r>
      <w:r>
        <w:rPr>
          <w:color w:val="231F20"/>
          <w:spacing w:val="-9"/>
        </w:rPr>
        <w:t> </w:t>
      </w:r>
      <w:r>
        <w:rPr>
          <w:color w:val="231F20"/>
        </w:rPr>
        <w:t>del</w:t>
      </w:r>
      <w:r>
        <w:rPr>
          <w:color w:val="231F20"/>
          <w:spacing w:val="-10"/>
        </w:rPr>
        <w:t> </w:t>
      </w:r>
      <w:r>
        <w:rPr>
          <w:color w:val="231F20"/>
        </w:rPr>
        <w:t>trabajo</w:t>
      </w:r>
      <w:r>
        <w:rPr>
          <w:color w:val="231F20"/>
          <w:spacing w:val="-10"/>
        </w:rPr>
        <w:t> </w:t>
      </w:r>
      <w:r>
        <w:rPr>
          <w:color w:val="231F20"/>
        </w:rPr>
        <w:t>infantil</w:t>
      </w:r>
      <w:r>
        <w:rPr>
          <w:color w:val="231F20"/>
          <w:spacing w:val="-11"/>
        </w:rPr>
        <w:t> </w:t>
      </w:r>
      <w:r>
        <w:rPr>
          <w:color w:val="231F20"/>
        </w:rPr>
        <w:t>(Dávalos,</w:t>
      </w:r>
      <w:r>
        <w:rPr>
          <w:color w:val="231F20"/>
          <w:spacing w:val="-10"/>
        </w:rPr>
        <w:t> </w:t>
      </w:r>
      <w:r>
        <w:rPr>
          <w:color w:val="231F20"/>
        </w:rPr>
        <w:t>2000).</w:t>
      </w:r>
      <w:r>
        <w:rPr>
          <w:color w:val="231F20"/>
          <w:spacing w:val="-10"/>
        </w:rPr>
        <w:t> </w:t>
      </w:r>
      <w:r>
        <w:rPr>
          <w:color w:val="231F20"/>
        </w:rPr>
        <w:t>La</w:t>
      </w:r>
      <w:r>
        <w:rPr>
          <w:color w:val="231F20"/>
          <w:spacing w:val="-10"/>
        </w:rPr>
        <w:t> </w:t>
      </w:r>
      <w:r>
        <w:rPr>
          <w:color w:val="231F20"/>
        </w:rPr>
        <w:t>OIT a</w:t>
      </w:r>
      <w:r>
        <w:rPr>
          <w:color w:val="231F20"/>
          <w:spacing w:val="-5"/>
        </w:rPr>
        <w:t> </w:t>
      </w:r>
      <w:r>
        <w:rPr>
          <w:color w:val="231F20"/>
        </w:rPr>
        <w:t>través</w:t>
      </w:r>
      <w:r>
        <w:rPr>
          <w:color w:val="231F20"/>
          <w:spacing w:val="-5"/>
        </w:rPr>
        <w:t> </w:t>
      </w:r>
      <w:r>
        <w:rPr>
          <w:color w:val="231F20"/>
        </w:rPr>
        <w:t>de</w:t>
      </w:r>
      <w:r>
        <w:rPr>
          <w:color w:val="231F20"/>
          <w:spacing w:val="-5"/>
        </w:rPr>
        <w:t> </w:t>
      </w:r>
      <w:r>
        <w:rPr>
          <w:color w:val="231F20"/>
        </w:rPr>
        <w:t>diversos</w:t>
      </w:r>
      <w:r>
        <w:rPr>
          <w:color w:val="231F20"/>
          <w:spacing w:val="-5"/>
        </w:rPr>
        <w:t> </w:t>
      </w:r>
      <w:r>
        <w:rPr>
          <w:color w:val="231F20"/>
        </w:rPr>
        <w:t>convenios</w:t>
      </w:r>
      <w:r>
        <w:rPr>
          <w:color w:val="231F20"/>
          <w:spacing w:val="-5"/>
        </w:rPr>
        <w:t> </w:t>
      </w:r>
      <w:r>
        <w:rPr>
          <w:color w:val="231F20"/>
        </w:rPr>
        <w:t>internacionales</w:t>
      </w:r>
      <w:r>
        <w:rPr>
          <w:color w:val="231F20"/>
          <w:spacing w:val="-6"/>
        </w:rPr>
        <w:t> </w:t>
      </w:r>
      <w:r>
        <w:rPr>
          <w:color w:val="231F20"/>
        </w:rPr>
        <w:t>ha</w:t>
      </w:r>
      <w:r>
        <w:rPr>
          <w:color w:val="231F20"/>
          <w:spacing w:val="-5"/>
        </w:rPr>
        <w:t> </w:t>
      </w:r>
      <w:r>
        <w:rPr>
          <w:color w:val="231F20"/>
        </w:rPr>
        <w:t>tenido</w:t>
      </w:r>
      <w:r>
        <w:rPr>
          <w:color w:val="231F20"/>
          <w:spacing w:val="-5"/>
        </w:rPr>
        <w:t> </w:t>
      </w:r>
      <w:r>
        <w:rPr>
          <w:color w:val="231F20"/>
        </w:rPr>
        <w:t>el</w:t>
      </w:r>
      <w:r>
        <w:rPr>
          <w:color w:val="231F20"/>
          <w:spacing w:val="-5"/>
        </w:rPr>
        <w:t> </w:t>
      </w:r>
      <w:r>
        <w:rPr>
          <w:color w:val="231F20"/>
        </w:rPr>
        <w:t>objetivo</w:t>
      </w:r>
      <w:r>
        <w:rPr>
          <w:color w:val="231F20"/>
          <w:spacing w:val="-5"/>
        </w:rPr>
        <w:t> </w:t>
      </w:r>
      <w:r>
        <w:rPr>
          <w:color w:val="231F20"/>
        </w:rPr>
        <w:t>de</w:t>
      </w:r>
      <w:r>
        <w:rPr>
          <w:color w:val="231F20"/>
          <w:spacing w:val="-5"/>
        </w:rPr>
        <w:t> </w:t>
      </w:r>
      <w:r>
        <w:rPr>
          <w:color w:val="231F20"/>
        </w:rPr>
        <w:t>que los niños no comiencen a trabajar en edades tempranas. Dentro de éstos destacan, en cuanto a la edad mínima de admisión al empleo: el convenio número cinco, admisión al trabajo industrial (1919); convenio número</w:t>
      </w:r>
      <w:r>
        <w:rPr>
          <w:color w:val="231F20"/>
          <w:spacing w:val="-36"/>
        </w:rPr>
        <w:t> </w:t>
      </w:r>
      <w:r>
        <w:rPr>
          <w:color w:val="231F20"/>
        </w:rPr>
        <w:t>sie- te, admisión al trabajo marítimo (1920); convenio número diez, admisión al trabajo agrícola (1921); convenio número 33, admisión a los trabajos  no industriales (1932); convenio número </w:t>
      </w:r>
      <w:r>
        <w:rPr>
          <w:color w:val="231F20"/>
          <w:spacing w:val="-3"/>
        </w:rPr>
        <w:t>112, </w:t>
      </w:r>
      <w:r>
        <w:rPr>
          <w:color w:val="231F20"/>
        </w:rPr>
        <w:t>admisión al trabajo de los pescadores (1959); convenio número 123, admisión al trabajo subterráneo (1965).</w:t>
      </w:r>
      <w:r>
        <w:rPr>
          <w:color w:val="231F20"/>
          <w:position w:val="7"/>
          <w:sz w:val="13"/>
        </w:rPr>
        <w:t>1</w:t>
      </w:r>
    </w:p>
    <w:p>
      <w:pPr>
        <w:pStyle w:val="BodyText"/>
        <w:spacing w:line="247" w:lineRule="auto"/>
        <w:ind w:left="117" w:right="114" w:firstLine="283"/>
        <w:jc w:val="both"/>
      </w:pPr>
      <w:r>
        <w:rPr>
          <w:color w:val="231F20"/>
        </w:rPr>
        <w:t>En la década de los setenta los gobiernos reconocieron la gravedad del trabajo infantil y se empezaron a realizar acciones y políticas a favor de los</w:t>
      </w:r>
      <w:r>
        <w:rPr>
          <w:color w:val="231F20"/>
          <w:spacing w:val="-4"/>
        </w:rPr>
        <w:t> </w:t>
      </w:r>
      <w:r>
        <w:rPr>
          <w:color w:val="231F20"/>
        </w:rPr>
        <w:t>niños</w:t>
      </w:r>
      <w:r>
        <w:rPr>
          <w:color w:val="231F20"/>
          <w:spacing w:val="-4"/>
        </w:rPr>
        <w:t> </w:t>
      </w:r>
      <w:r>
        <w:rPr>
          <w:color w:val="231F20"/>
        </w:rPr>
        <w:t>(Bachman,</w:t>
      </w:r>
      <w:r>
        <w:rPr>
          <w:color w:val="231F20"/>
          <w:spacing w:val="-4"/>
        </w:rPr>
        <w:t> </w:t>
      </w:r>
      <w:r>
        <w:rPr>
          <w:color w:val="231F20"/>
        </w:rPr>
        <w:t>2000).</w:t>
      </w:r>
      <w:r>
        <w:rPr>
          <w:color w:val="231F20"/>
          <w:spacing w:val="-4"/>
        </w:rPr>
        <w:t> </w:t>
      </w:r>
      <w:r>
        <w:rPr>
          <w:color w:val="231F20"/>
        </w:rPr>
        <w:t>En</w:t>
      </w:r>
      <w:r>
        <w:rPr>
          <w:color w:val="231F20"/>
          <w:spacing w:val="-4"/>
        </w:rPr>
        <w:t> </w:t>
      </w:r>
      <w:r>
        <w:rPr>
          <w:color w:val="231F20"/>
        </w:rPr>
        <w:t>1973</w:t>
      </w:r>
      <w:r>
        <w:rPr>
          <w:color w:val="231F20"/>
          <w:spacing w:val="-4"/>
        </w:rPr>
        <w:t> </w:t>
      </w:r>
      <w:r>
        <w:rPr>
          <w:color w:val="231F20"/>
        </w:rPr>
        <w:t>se</w:t>
      </w:r>
      <w:r>
        <w:rPr>
          <w:color w:val="231F20"/>
          <w:spacing w:val="-4"/>
        </w:rPr>
        <w:t> </w:t>
      </w:r>
      <w:r>
        <w:rPr>
          <w:color w:val="231F20"/>
        </w:rPr>
        <w:t>adoptó</w:t>
      </w:r>
      <w:r>
        <w:rPr>
          <w:color w:val="231F20"/>
          <w:spacing w:val="-4"/>
        </w:rPr>
        <w:t> </w:t>
      </w:r>
      <w:r>
        <w:rPr>
          <w:color w:val="231F20"/>
        </w:rPr>
        <w:t>el</w:t>
      </w:r>
      <w:r>
        <w:rPr>
          <w:color w:val="231F20"/>
          <w:spacing w:val="-4"/>
        </w:rPr>
        <w:t> </w:t>
      </w:r>
      <w:r>
        <w:rPr>
          <w:color w:val="231F20"/>
        </w:rPr>
        <w:t>convenio</w:t>
      </w:r>
      <w:r>
        <w:rPr>
          <w:color w:val="231F20"/>
          <w:spacing w:val="-4"/>
        </w:rPr>
        <w:t> </w:t>
      </w:r>
      <w:r>
        <w:rPr>
          <w:color w:val="231F20"/>
        </w:rPr>
        <w:t>número</w:t>
      </w:r>
      <w:r>
        <w:rPr>
          <w:color w:val="231F20"/>
          <w:spacing w:val="-4"/>
        </w:rPr>
        <w:t> </w:t>
      </w:r>
      <w:r>
        <w:rPr>
          <w:color w:val="231F20"/>
        </w:rPr>
        <w:t>138</w:t>
      </w:r>
      <w:r>
        <w:rPr>
          <w:color w:val="231F20"/>
          <w:spacing w:val="-4"/>
        </w:rPr>
        <w:t> </w:t>
      </w:r>
      <w:r>
        <w:rPr>
          <w:color w:val="231F20"/>
        </w:rPr>
        <w:t>en el cual se establece que los países deben seguir una política nacional para la eliminación del trabajo infantil, así como establecer las edades</w:t>
      </w:r>
      <w:r>
        <w:rPr>
          <w:color w:val="231F20"/>
          <w:spacing w:val="-20"/>
        </w:rPr>
        <w:t> </w:t>
      </w:r>
      <w:r>
        <w:rPr>
          <w:color w:val="231F20"/>
        </w:rPr>
        <w:t>mínimas para</w:t>
      </w:r>
      <w:r>
        <w:rPr>
          <w:color w:val="231F20"/>
          <w:spacing w:val="-4"/>
        </w:rPr>
        <w:t> </w:t>
      </w:r>
      <w:r>
        <w:rPr>
          <w:color w:val="231F20"/>
        </w:rPr>
        <w:t>la</w:t>
      </w:r>
      <w:r>
        <w:rPr>
          <w:color w:val="231F20"/>
          <w:spacing w:val="-4"/>
        </w:rPr>
        <w:t> </w:t>
      </w:r>
      <w:r>
        <w:rPr>
          <w:color w:val="231F20"/>
        </w:rPr>
        <w:t>admisión</w:t>
      </w:r>
      <w:r>
        <w:rPr>
          <w:color w:val="231F20"/>
          <w:spacing w:val="-4"/>
        </w:rPr>
        <w:t> </w:t>
      </w:r>
      <w:r>
        <w:rPr>
          <w:color w:val="231F20"/>
        </w:rPr>
        <w:t>al</w:t>
      </w:r>
      <w:r>
        <w:rPr>
          <w:color w:val="231F20"/>
          <w:spacing w:val="-4"/>
        </w:rPr>
        <w:t> </w:t>
      </w:r>
      <w:r>
        <w:rPr>
          <w:color w:val="231F20"/>
        </w:rPr>
        <w:t>empleo</w:t>
      </w:r>
      <w:r>
        <w:rPr>
          <w:color w:val="231F20"/>
          <w:spacing w:val="-4"/>
        </w:rPr>
        <w:t> </w:t>
      </w:r>
      <w:r>
        <w:rPr>
          <w:color w:val="231F20"/>
        </w:rPr>
        <w:t>ligero</w:t>
      </w:r>
      <w:r>
        <w:rPr>
          <w:color w:val="231F20"/>
          <w:spacing w:val="-4"/>
        </w:rPr>
        <w:t> </w:t>
      </w:r>
      <w:r>
        <w:rPr>
          <w:color w:val="231F20"/>
        </w:rPr>
        <w:t>y</w:t>
      </w:r>
      <w:r>
        <w:rPr>
          <w:color w:val="231F20"/>
          <w:spacing w:val="-4"/>
        </w:rPr>
        <w:t> </w:t>
      </w:r>
      <w:r>
        <w:rPr>
          <w:color w:val="231F20"/>
        </w:rPr>
        <w:t>peligroso.</w:t>
      </w:r>
      <w:r>
        <w:rPr>
          <w:color w:val="231F20"/>
          <w:spacing w:val="-4"/>
        </w:rPr>
        <w:t> </w:t>
      </w:r>
      <w:r>
        <w:rPr>
          <w:color w:val="231F20"/>
        </w:rPr>
        <w:t>En</w:t>
      </w:r>
      <w:r>
        <w:rPr>
          <w:color w:val="231F20"/>
          <w:spacing w:val="-4"/>
        </w:rPr>
        <w:t> </w:t>
      </w:r>
      <w:r>
        <w:rPr>
          <w:color w:val="231F20"/>
        </w:rPr>
        <w:t>1989</w:t>
      </w:r>
      <w:r>
        <w:rPr>
          <w:color w:val="231F20"/>
          <w:spacing w:val="-4"/>
        </w:rPr>
        <w:t> </w:t>
      </w:r>
      <w:r>
        <w:rPr>
          <w:color w:val="231F20"/>
        </w:rPr>
        <w:t>la</w:t>
      </w:r>
      <w:r>
        <w:rPr>
          <w:color w:val="231F20"/>
          <w:spacing w:val="-16"/>
        </w:rPr>
        <w:t> </w:t>
      </w:r>
      <w:r>
        <w:rPr>
          <w:color w:val="231F20"/>
        </w:rPr>
        <w:t>Asamblea</w:t>
      </w:r>
      <w:r>
        <w:rPr>
          <w:color w:val="231F20"/>
          <w:spacing w:val="-4"/>
        </w:rPr>
        <w:t> </w:t>
      </w:r>
      <w:r>
        <w:rPr>
          <w:color w:val="231F20"/>
        </w:rPr>
        <w:t>Gene- ral de las Naciones Unidas adoptó y ratificó la Convención sobre los De- rechos del Niño, donde se acordó la definición de niño como toda persona menor de 18 años; además de reconocer y proteger sus derechos humanos al</w:t>
      </w:r>
      <w:r>
        <w:rPr>
          <w:color w:val="231F20"/>
          <w:spacing w:val="-7"/>
        </w:rPr>
        <w:t> </w:t>
      </w:r>
      <w:r>
        <w:rPr>
          <w:color w:val="231F20"/>
        </w:rPr>
        <w:t>estipular</w:t>
      </w:r>
      <w:r>
        <w:rPr>
          <w:color w:val="231F20"/>
          <w:spacing w:val="-8"/>
        </w:rPr>
        <w:t> </w:t>
      </w:r>
      <w:r>
        <w:rPr>
          <w:color w:val="231F20"/>
        </w:rPr>
        <w:t>pautas</w:t>
      </w:r>
      <w:r>
        <w:rPr>
          <w:color w:val="231F20"/>
          <w:spacing w:val="-7"/>
        </w:rPr>
        <w:t> </w:t>
      </w:r>
      <w:r>
        <w:rPr>
          <w:color w:val="231F20"/>
        </w:rPr>
        <w:t>en</w:t>
      </w:r>
      <w:r>
        <w:rPr>
          <w:color w:val="231F20"/>
          <w:spacing w:val="-7"/>
        </w:rPr>
        <w:t> </w:t>
      </w:r>
      <w:r>
        <w:rPr>
          <w:color w:val="231F20"/>
        </w:rPr>
        <w:t>materia</w:t>
      </w:r>
      <w:r>
        <w:rPr>
          <w:color w:val="231F20"/>
          <w:spacing w:val="-8"/>
        </w:rPr>
        <w:t> </w:t>
      </w:r>
      <w:r>
        <w:rPr>
          <w:color w:val="231F20"/>
        </w:rPr>
        <w:t>de</w:t>
      </w:r>
      <w:r>
        <w:rPr>
          <w:color w:val="231F20"/>
          <w:spacing w:val="-7"/>
        </w:rPr>
        <w:t> </w:t>
      </w:r>
      <w:r>
        <w:rPr>
          <w:color w:val="231F20"/>
        </w:rPr>
        <w:t>salud,</w:t>
      </w:r>
      <w:r>
        <w:rPr>
          <w:color w:val="231F20"/>
          <w:spacing w:val="-7"/>
        </w:rPr>
        <w:t> </w:t>
      </w:r>
      <w:r>
        <w:rPr>
          <w:color w:val="231F20"/>
        </w:rPr>
        <w:t>educación</w:t>
      </w:r>
      <w:r>
        <w:rPr>
          <w:color w:val="231F20"/>
          <w:spacing w:val="-8"/>
        </w:rPr>
        <w:t> </w:t>
      </w:r>
      <w:r>
        <w:rPr>
          <w:color w:val="231F20"/>
        </w:rPr>
        <w:t>y</w:t>
      </w:r>
      <w:r>
        <w:rPr>
          <w:color w:val="231F20"/>
          <w:spacing w:val="-7"/>
        </w:rPr>
        <w:t> </w:t>
      </w:r>
      <w:r>
        <w:rPr>
          <w:color w:val="231F20"/>
        </w:rPr>
        <w:t>prestación</w:t>
      </w:r>
      <w:r>
        <w:rPr>
          <w:color w:val="231F20"/>
          <w:spacing w:val="-7"/>
        </w:rPr>
        <w:t> </w:t>
      </w:r>
      <w:r>
        <w:rPr>
          <w:color w:val="231F20"/>
        </w:rPr>
        <w:t>de</w:t>
      </w:r>
      <w:r>
        <w:rPr>
          <w:color w:val="231F20"/>
          <w:spacing w:val="-7"/>
        </w:rPr>
        <w:t> </w:t>
      </w:r>
      <w:r>
        <w:rPr>
          <w:color w:val="231F20"/>
        </w:rPr>
        <w:t>servicios jurídicos, civiles y sociales. En 1992 la OIT creó el Programa Internacio- nal para la Erradicación del Trabajo Infantil (IPEC), el cual actualmente encabeza</w:t>
      </w:r>
      <w:r>
        <w:rPr>
          <w:color w:val="231F20"/>
          <w:spacing w:val="-6"/>
        </w:rPr>
        <w:t> </w:t>
      </w:r>
      <w:r>
        <w:rPr>
          <w:color w:val="231F20"/>
        </w:rPr>
        <w:t>a</w:t>
      </w:r>
      <w:r>
        <w:rPr>
          <w:color w:val="231F20"/>
          <w:spacing w:val="-6"/>
        </w:rPr>
        <w:t> </w:t>
      </w:r>
      <w:r>
        <w:rPr>
          <w:color w:val="231F20"/>
        </w:rPr>
        <w:t>nivel</w:t>
      </w:r>
      <w:r>
        <w:rPr>
          <w:color w:val="231F20"/>
          <w:spacing w:val="-6"/>
        </w:rPr>
        <w:t> </w:t>
      </w:r>
      <w:r>
        <w:rPr>
          <w:color w:val="231F20"/>
        </w:rPr>
        <w:t>internacional</w:t>
      </w:r>
      <w:r>
        <w:rPr>
          <w:color w:val="231F20"/>
          <w:spacing w:val="-6"/>
        </w:rPr>
        <w:t> </w:t>
      </w:r>
      <w:r>
        <w:rPr>
          <w:color w:val="231F20"/>
        </w:rPr>
        <w:t>los</w:t>
      </w:r>
      <w:r>
        <w:rPr>
          <w:color w:val="231F20"/>
          <w:spacing w:val="-6"/>
        </w:rPr>
        <w:t> </w:t>
      </w:r>
      <w:r>
        <w:rPr>
          <w:color w:val="231F20"/>
        </w:rPr>
        <w:t>programas</w:t>
      </w:r>
      <w:r>
        <w:rPr>
          <w:color w:val="231F20"/>
          <w:spacing w:val="-6"/>
        </w:rPr>
        <w:t> </w:t>
      </w:r>
      <w:r>
        <w:rPr>
          <w:color w:val="231F20"/>
        </w:rPr>
        <w:t>a</w:t>
      </w:r>
      <w:r>
        <w:rPr>
          <w:color w:val="231F20"/>
          <w:spacing w:val="-6"/>
        </w:rPr>
        <w:t> </w:t>
      </w:r>
      <w:r>
        <w:rPr>
          <w:color w:val="231F20"/>
        </w:rPr>
        <w:t>favor</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erradicación</w:t>
      </w:r>
      <w:r>
        <w:rPr>
          <w:color w:val="231F20"/>
          <w:spacing w:val="-6"/>
        </w:rPr>
        <w:t> </w:t>
      </w:r>
      <w:r>
        <w:rPr>
          <w:color w:val="231F20"/>
        </w:rPr>
        <w:t>del trabajo</w:t>
      </w:r>
      <w:r>
        <w:rPr>
          <w:color w:val="231F20"/>
          <w:spacing w:val="-1"/>
        </w:rPr>
        <w:t> </w:t>
      </w:r>
      <w:r>
        <w:rPr>
          <w:color w:val="231F20"/>
        </w:rPr>
        <w:t>infantil.</w:t>
      </w:r>
    </w:p>
    <w:p>
      <w:pPr>
        <w:pStyle w:val="BodyText"/>
        <w:rPr>
          <w:sz w:val="20"/>
        </w:rPr>
      </w:pPr>
    </w:p>
    <w:p>
      <w:pPr>
        <w:pStyle w:val="BodyText"/>
        <w:spacing w:before="1"/>
        <w:rPr>
          <w:sz w:val="26"/>
        </w:rPr>
      </w:pPr>
      <w:r>
        <w:rPr/>
        <w:pict>
          <v:line style="position:absolute;mso-position-horizontal-relative:page;mso-position-vertical-relative:paragraph;z-index:8824;mso-wrap-distance-left:0;mso-wrap-distance-right:0" from="70.866096pt,17.365437pt" to="142.866096pt,17.365437pt" stroked="true" strokeweight=".75pt" strokecolor="#231f20">
            <w10:wrap type="topAndBottom"/>
          </v:line>
        </w:pict>
      </w:r>
    </w:p>
    <w:p>
      <w:pPr>
        <w:spacing w:line="208" w:lineRule="auto" w:before="0"/>
        <w:ind w:left="117" w:right="115" w:firstLine="0"/>
        <w:jc w:val="both"/>
        <w:rPr>
          <w:sz w:val="17"/>
        </w:rPr>
      </w:pPr>
      <w:r>
        <w:rPr>
          <w:color w:val="231F20"/>
          <w:position w:val="6"/>
          <w:sz w:val="10"/>
        </w:rPr>
        <w:t>1 </w:t>
      </w:r>
      <w:r>
        <w:rPr>
          <w:color w:val="231F20"/>
          <w:sz w:val="17"/>
        </w:rPr>
        <w:t>Los convenios ratificados por México son: convenio número seis sobre el trabajo nocturno de los menores (industria) 1919; convenio número siete, sobre la edad mínima (trabajo marítimo) 1920; convenio número 16, sobre el examen médico de los menores (trabajo marítimo) 1921; convenio</w:t>
      </w:r>
      <w:r>
        <w:rPr>
          <w:color w:val="231F20"/>
          <w:spacing w:val="-5"/>
          <w:sz w:val="17"/>
        </w:rPr>
        <w:t> </w:t>
      </w:r>
      <w:r>
        <w:rPr>
          <w:color w:val="231F20"/>
          <w:sz w:val="17"/>
        </w:rPr>
        <w:t>número</w:t>
      </w:r>
      <w:r>
        <w:rPr>
          <w:color w:val="231F20"/>
          <w:spacing w:val="-5"/>
          <w:sz w:val="17"/>
        </w:rPr>
        <w:t> </w:t>
      </w:r>
      <w:r>
        <w:rPr>
          <w:color w:val="231F20"/>
          <w:sz w:val="17"/>
        </w:rPr>
        <w:t>c58</w:t>
      </w:r>
      <w:r>
        <w:rPr>
          <w:color w:val="231F20"/>
          <w:spacing w:val="-5"/>
          <w:sz w:val="17"/>
        </w:rPr>
        <w:t> </w:t>
      </w:r>
      <w:r>
        <w:rPr>
          <w:color w:val="231F20"/>
          <w:sz w:val="17"/>
        </w:rPr>
        <w:t>(revisado)</w:t>
      </w:r>
      <w:r>
        <w:rPr>
          <w:color w:val="231F20"/>
          <w:spacing w:val="-5"/>
          <w:sz w:val="17"/>
        </w:rPr>
        <w:t> </w:t>
      </w:r>
      <w:r>
        <w:rPr>
          <w:color w:val="231F20"/>
          <w:sz w:val="17"/>
        </w:rPr>
        <w:t>sobre</w:t>
      </w:r>
      <w:r>
        <w:rPr>
          <w:color w:val="231F20"/>
          <w:spacing w:val="-5"/>
          <w:sz w:val="17"/>
        </w:rPr>
        <w:t> </w:t>
      </w:r>
      <w:r>
        <w:rPr>
          <w:color w:val="231F20"/>
          <w:sz w:val="17"/>
        </w:rPr>
        <w:t>la</w:t>
      </w:r>
      <w:r>
        <w:rPr>
          <w:color w:val="231F20"/>
          <w:spacing w:val="-5"/>
          <w:sz w:val="17"/>
        </w:rPr>
        <w:t> </w:t>
      </w:r>
      <w:r>
        <w:rPr>
          <w:color w:val="231F20"/>
          <w:sz w:val="17"/>
        </w:rPr>
        <w:t>edad</w:t>
      </w:r>
      <w:r>
        <w:rPr>
          <w:color w:val="231F20"/>
          <w:spacing w:val="-5"/>
          <w:sz w:val="17"/>
        </w:rPr>
        <w:t> </w:t>
      </w:r>
      <w:r>
        <w:rPr>
          <w:color w:val="231F20"/>
          <w:sz w:val="17"/>
        </w:rPr>
        <w:t>mínima</w:t>
      </w:r>
      <w:r>
        <w:rPr>
          <w:color w:val="231F20"/>
          <w:spacing w:val="-5"/>
          <w:sz w:val="17"/>
        </w:rPr>
        <w:t> </w:t>
      </w:r>
      <w:r>
        <w:rPr>
          <w:color w:val="231F20"/>
          <w:sz w:val="17"/>
        </w:rPr>
        <w:t>(trabajo</w:t>
      </w:r>
      <w:r>
        <w:rPr>
          <w:color w:val="231F20"/>
          <w:spacing w:val="-5"/>
          <w:sz w:val="17"/>
        </w:rPr>
        <w:t> </w:t>
      </w:r>
      <w:r>
        <w:rPr>
          <w:color w:val="231F20"/>
          <w:sz w:val="17"/>
        </w:rPr>
        <w:t>marítimo)</w:t>
      </w:r>
      <w:r>
        <w:rPr>
          <w:color w:val="231F20"/>
          <w:spacing w:val="-5"/>
          <w:sz w:val="17"/>
        </w:rPr>
        <w:t> </w:t>
      </w:r>
      <w:r>
        <w:rPr>
          <w:color w:val="231F20"/>
          <w:sz w:val="17"/>
        </w:rPr>
        <w:t>1936;</w:t>
      </w:r>
      <w:r>
        <w:rPr>
          <w:color w:val="231F20"/>
          <w:spacing w:val="-5"/>
          <w:sz w:val="17"/>
        </w:rPr>
        <w:t> </w:t>
      </w:r>
      <w:r>
        <w:rPr>
          <w:color w:val="231F20"/>
          <w:sz w:val="17"/>
        </w:rPr>
        <w:t>convenio</w:t>
      </w:r>
      <w:r>
        <w:rPr>
          <w:color w:val="231F20"/>
          <w:spacing w:val="-5"/>
          <w:sz w:val="17"/>
        </w:rPr>
        <w:t> </w:t>
      </w:r>
      <w:r>
        <w:rPr>
          <w:color w:val="231F20"/>
          <w:sz w:val="17"/>
        </w:rPr>
        <w:t>núme- ro</w:t>
      </w:r>
      <w:r>
        <w:rPr>
          <w:color w:val="231F20"/>
          <w:spacing w:val="-9"/>
          <w:sz w:val="17"/>
        </w:rPr>
        <w:t> </w:t>
      </w:r>
      <w:r>
        <w:rPr>
          <w:color w:val="231F20"/>
          <w:sz w:val="17"/>
        </w:rPr>
        <w:t>90</w:t>
      </w:r>
      <w:r>
        <w:rPr>
          <w:color w:val="231F20"/>
          <w:spacing w:val="-9"/>
          <w:sz w:val="17"/>
        </w:rPr>
        <w:t> </w:t>
      </w:r>
      <w:r>
        <w:rPr>
          <w:color w:val="231F20"/>
          <w:sz w:val="17"/>
        </w:rPr>
        <w:t>(revisado)</w:t>
      </w:r>
      <w:r>
        <w:rPr>
          <w:color w:val="231F20"/>
          <w:spacing w:val="-9"/>
          <w:sz w:val="17"/>
        </w:rPr>
        <w:t> </w:t>
      </w:r>
      <w:r>
        <w:rPr>
          <w:color w:val="231F20"/>
          <w:sz w:val="17"/>
        </w:rPr>
        <w:t>sobre</w:t>
      </w:r>
      <w:r>
        <w:rPr>
          <w:color w:val="231F20"/>
          <w:spacing w:val="-9"/>
          <w:sz w:val="17"/>
        </w:rPr>
        <w:t> </w:t>
      </w:r>
      <w:r>
        <w:rPr>
          <w:color w:val="231F20"/>
          <w:sz w:val="17"/>
        </w:rPr>
        <w:t>el</w:t>
      </w:r>
      <w:r>
        <w:rPr>
          <w:color w:val="231F20"/>
          <w:spacing w:val="-9"/>
          <w:sz w:val="17"/>
        </w:rPr>
        <w:t> </w:t>
      </w:r>
      <w:r>
        <w:rPr>
          <w:color w:val="231F20"/>
          <w:sz w:val="17"/>
        </w:rPr>
        <w:t>trabajo</w:t>
      </w:r>
      <w:r>
        <w:rPr>
          <w:color w:val="231F20"/>
          <w:spacing w:val="-9"/>
          <w:sz w:val="17"/>
        </w:rPr>
        <w:t> </w:t>
      </w:r>
      <w:r>
        <w:rPr>
          <w:color w:val="231F20"/>
          <w:sz w:val="17"/>
        </w:rPr>
        <w:t>nocturno</w:t>
      </w:r>
      <w:r>
        <w:rPr>
          <w:color w:val="231F20"/>
          <w:spacing w:val="-9"/>
          <w:sz w:val="17"/>
        </w:rPr>
        <w:t> </w:t>
      </w:r>
      <w:r>
        <w:rPr>
          <w:color w:val="231F20"/>
          <w:sz w:val="17"/>
        </w:rPr>
        <w:t>de</w:t>
      </w:r>
      <w:r>
        <w:rPr>
          <w:color w:val="231F20"/>
          <w:spacing w:val="-9"/>
          <w:sz w:val="17"/>
        </w:rPr>
        <w:t> </w:t>
      </w:r>
      <w:r>
        <w:rPr>
          <w:color w:val="231F20"/>
          <w:sz w:val="17"/>
        </w:rPr>
        <w:t>los</w:t>
      </w:r>
      <w:r>
        <w:rPr>
          <w:color w:val="231F20"/>
          <w:spacing w:val="-9"/>
          <w:sz w:val="17"/>
        </w:rPr>
        <w:t> </w:t>
      </w:r>
      <w:r>
        <w:rPr>
          <w:color w:val="231F20"/>
          <w:sz w:val="17"/>
        </w:rPr>
        <w:t>menores</w:t>
      </w:r>
      <w:r>
        <w:rPr>
          <w:color w:val="231F20"/>
          <w:spacing w:val="-9"/>
          <w:sz w:val="17"/>
        </w:rPr>
        <w:t> </w:t>
      </w:r>
      <w:r>
        <w:rPr>
          <w:color w:val="231F20"/>
          <w:sz w:val="17"/>
        </w:rPr>
        <w:t>(industria)</w:t>
      </w:r>
      <w:r>
        <w:rPr>
          <w:color w:val="231F20"/>
          <w:spacing w:val="-9"/>
          <w:sz w:val="17"/>
        </w:rPr>
        <w:t> </w:t>
      </w:r>
      <w:r>
        <w:rPr>
          <w:color w:val="231F20"/>
          <w:sz w:val="17"/>
        </w:rPr>
        <w:t>1948;</w:t>
      </w:r>
      <w:r>
        <w:rPr>
          <w:color w:val="231F20"/>
          <w:spacing w:val="-9"/>
          <w:sz w:val="17"/>
        </w:rPr>
        <w:t> </w:t>
      </w:r>
      <w:r>
        <w:rPr>
          <w:color w:val="231F20"/>
          <w:sz w:val="17"/>
        </w:rPr>
        <w:t>convenio</w:t>
      </w:r>
      <w:r>
        <w:rPr>
          <w:color w:val="231F20"/>
          <w:spacing w:val="-9"/>
          <w:sz w:val="17"/>
        </w:rPr>
        <w:t> </w:t>
      </w:r>
      <w:r>
        <w:rPr>
          <w:color w:val="231F20"/>
          <w:sz w:val="17"/>
        </w:rPr>
        <w:t>número</w:t>
      </w:r>
      <w:r>
        <w:rPr>
          <w:color w:val="231F20"/>
          <w:spacing w:val="-9"/>
          <w:sz w:val="17"/>
        </w:rPr>
        <w:t> </w:t>
      </w:r>
      <w:r>
        <w:rPr>
          <w:color w:val="231F20"/>
          <w:sz w:val="17"/>
        </w:rPr>
        <w:t>112, sobre la edad mínima (pescadores) 1959; convenio número 123, sobre la edad mínima (trabajo subterráneo) 1965; convenio número 124, sobre el examen médico de los menores (trabajo sub- terráneo) 1965; convenio 182, sobre los peores formas de trabajo infantil 1999.</w:t>
      </w:r>
    </w:p>
    <w:p>
      <w:pPr>
        <w:spacing w:after="0" w:line="208" w:lineRule="auto"/>
        <w:jc w:val="both"/>
        <w:rPr>
          <w:sz w:val="17"/>
        </w:rPr>
        <w:sectPr>
          <w:footerReference w:type="default" r:id="rId246"/>
          <w:pgSz w:w="9360" w:h="13040"/>
          <w:pgMar w:footer="496" w:header="0" w:top="840" w:bottom="680" w:left="1300" w:right="1300"/>
        </w:sectPr>
      </w:pPr>
    </w:p>
    <w:p>
      <w:pPr>
        <w:spacing w:before="45"/>
        <w:ind w:left="400" w:right="0" w:firstLine="563"/>
        <w:jc w:val="left"/>
        <w:rPr>
          <w:rFonts w:ascii="Arial" w:hAnsi="Arial"/>
          <w:sz w:val="20"/>
        </w:rPr>
      </w:pPr>
      <w:r>
        <w:rPr>
          <w:rFonts w:ascii="Arial" w:hAnsi="Arial"/>
          <w:color w:val="231F20"/>
          <w:w w:val="65"/>
          <w:sz w:val="20"/>
        </w:rPr>
        <w:t>Un</w:t>
      </w:r>
      <w:r>
        <w:rPr>
          <w:rFonts w:ascii="Arial" w:hAnsi="Arial"/>
          <w:color w:val="231F20"/>
          <w:spacing w:val="-11"/>
          <w:w w:val="65"/>
          <w:sz w:val="20"/>
        </w:rPr>
        <w:t> </w:t>
      </w:r>
      <w:r>
        <w:rPr>
          <w:rFonts w:ascii="Arial" w:hAnsi="Arial"/>
          <w:color w:val="231F20"/>
          <w:w w:val="65"/>
          <w:sz w:val="20"/>
        </w:rPr>
        <w:t>actor</w:t>
      </w:r>
      <w:r>
        <w:rPr>
          <w:rFonts w:ascii="Arial" w:hAnsi="Arial"/>
          <w:color w:val="231F20"/>
          <w:spacing w:val="-11"/>
          <w:w w:val="65"/>
          <w:sz w:val="20"/>
        </w:rPr>
        <w:t> </w:t>
      </w:r>
      <w:r>
        <w:rPr>
          <w:rFonts w:ascii="Arial" w:hAnsi="Arial"/>
          <w:color w:val="231F20"/>
          <w:w w:val="65"/>
          <w:sz w:val="20"/>
        </w:rPr>
        <w:t>más</w:t>
      </w:r>
      <w:r>
        <w:rPr>
          <w:rFonts w:ascii="Arial" w:hAnsi="Arial"/>
          <w:color w:val="231F20"/>
          <w:spacing w:val="-11"/>
          <w:w w:val="65"/>
          <w:sz w:val="20"/>
        </w:rPr>
        <w:t> </w:t>
      </w:r>
      <w:r>
        <w:rPr>
          <w:rFonts w:ascii="Arial" w:hAnsi="Arial"/>
          <w:color w:val="231F20"/>
          <w:w w:val="65"/>
          <w:sz w:val="20"/>
        </w:rPr>
        <w:t>en</w:t>
      </w:r>
      <w:r>
        <w:rPr>
          <w:rFonts w:ascii="Arial" w:hAnsi="Arial"/>
          <w:color w:val="231F20"/>
          <w:spacing w:val="-11"/>
          <w:w w:val="65"/>
          <w:sz w:val="20"/>
        </w:rPr>
        <w:t> </w:t>
      </w:r>
      <w:r>
        <w:rPr>
          <w:rFonts w:ascii="Arial" w:hAnsi="Arial"/>
          <w:color w:val="231F20"/>
          <w:w w:val="65"/>
          <w:sz w:val="20"/>
        </w:rPr>
        <w:t>los</w:t>
      </w:r>
      <w:r>
        <w:rPr>
          <w:rFonts w:ascii="Arial" w:hAnsi="Arial"/>
          <w:color w:val="231F20"/>
          <w:spacing w:val="-11"/>
          <w:w w:val="65"/>
          <w:sz w:val="20"/>
        </w:rPr>
        <w:t> </w:t>
      </w:r>
      <w:r>
        <w:rPr>
          <w:rFonts w:ascii="Arial" w:hAnsi="Arial"/>
          <w:color w:val="231F20"/>
          <w:w w:val="65"/>
          <w:sz w:val="20"/>
        </w:rPr>
        <w:t>procesos</w:t>
      </w:r>
      <w:r>
        <w:rPr>
          <w:rFonts w:ascii="Arial" w:hAnsi="Arial"/>
          <w:color w:val="231F20"/>
          <w:spacing w:val="-11"/>
          <w:w w:val="65"/>
          <w:sz w:val="20"/>
        </w:rPr>
        <w:t> </w:t>
      </w:r>
      <w:r>
        <w:rPr>
          <w:rFonts w:ascii="Arial" w:hAnsi="Arial"/>
          <w:color w:val="231F20"/>
          <w:w w:val="65"/>
          <w:sz w:val="20"/>
        </w:rPr>
        <w:t>migratorios:...</w:t>
      </w:r>
      <w:r>
        <w:rPr>
          <w:rFonts w:ascii="Arial" w:hAnsi="Arial"/>
          <w:color w:val="231F20"/>
          <w:spacing w:val="-11"/>
          <w:w w:val="65"/>
          <w:sz w:val="20"/>
        </w:rPr>
        <w:t> </w:t>
      </w:r>
      <w:r>
        <w:rPr>
          <w:rFonts w:ascii="Arial" w:hAnsi="Arial"/>
          <w:color w:val="231F20"/>
          <w:w w:val="65"/>
          <w:sz w:val="20"/>
        </w:rPr>
        <w:t>/Silvia</w:t>
      </w:r>
      <w:r>
        <w:rPr>
          <w:rFonts w:ascii="Arial" w:hAnsi="Arial"/>
          <w:color w:val="231F20"/>
          <w:spacing w:val="-19"/>
          <w:w w:val="65"/>
          <w:sz w:val="20"/>
        </w:rPr>
        <w:t> </w:t>
      </w:r>
      <w:r>
        <w:rPr>
          <w:rFonts w:ascii="Arial" w:hAnsi="Arial"/>
          <w:color w:val="231F20"/>
          <w:w w:val="65"/>
          <w:sz w:val="20"/>
        </w:rPr>
        <w:t>L.</w:t>
      </w:r>
      <w:r>
        <w:rPr>
          <w:rFonts w:ascii="Arial" w:hAnsi="Arial"/>
          <w:color w:val="231F20"/>
          <w:spacing w:val="-19"/>
          <w:w w:val="65"/>
          <w:sz w:val="20"/>
        </w:rPr>
        <w:t> </w:t>
      </w:r>
      <w:r>
        <w:rPr>
          <w:rFonts w:ascii="Arial" w:hAnsi="Arial"/>
          <w:color w:val="231F20"/>
          <w:w w:val="65"/>
          <w:sz w:val="20"/>
        </w:rPr>
        <w:t>Aguilar-Velázquez</w:t>
      </w:r>
      <w:r>
        <w:rPr>
          <w:rFonts w:ascii="Arial" w:hAnsi="Arial"/>
          <w:color w:val="231F20"/>
          <w:spacing w:val="-19"/>
          <w:w w:val="65"/>
          <w:sz w:val="20"/>
        </w:rPr>
        <w:t> </w:t>
      </w:r>
      <w:r>
        <w:rPr>
          <w:rFonts w:ascii="Arial" w:hAnsi="Arial"/>
          <w:color w:val="231F20"/>
          <w:w w:val="65"/>
          <w:sz w:val="20"/>
        </w:rPr>
        <w:t>y</w:t>
      </w:r>
      <w:r>
        <w:rPr>
          <w:rFonts w:ascii="Arial" w:hAnsi="Arial"/>
          <w:color w:val="231F20"/>
          <w:spacing w:val="-19"/>
          <w:w w:val="65"/>
          <w:sz w:val="20"/>
        </w:rPr>
        <w:t> </w:t>
      </w:r>
      <w:r>
        <w:rPr>
          <w:rFonts w:ascii="Arial" w:hAnsi="Arial"/>
          <w:color w:val="231F20"/>
          <w:w w:val="65"/>
          <w:sz w:val="20"/>
        </w:rPr>
        <w:t>Belinda</w:t>
      </w:r>
      <w:r>
        <w:rPr>
          <w:rFonts w:ascii="Arial" w:hAnsi="Arial"/>
          <w:color w:val="231F20"/>
          <w:spacing w:val="-19"/>
          <w:w w:val="65"/>
          <w:sz w:val="20"/>
        </w:rPr>
        <w:t> </w:t>
      </w:r>
      <w:r>
        <w:rPr>
          <w:rFonts w:ascii="Arial" w:hAnsi="Arial"/>
          <w:color w:val="231F20"/>
          <w:w w:val="65"/>
          <w:sz w:val="20"/>
        </w:rPr>
        <w:t>Ordóñez-Vázquez</w:t>
      </w:r>
    </w:p>
    <w:p>
      <w:pPr>
        <w:pStyle w:val="BodyText"/>
        <w:spacing w:before="7"/>
        <w:rPr>
          <w:rFonts w:ascii="Arial"/>
          <w:sz w:val="28"/>
        </w:rPr>
      </w:pPr>
    </w:p>
    <w:p>
      <w:pPr>
        <w:pStyle w:val="BodyText"/>
        <w:spacing w:line="247" w:lineRule="auto"/>
        <w:ind w:left="117" w:right="114" w:firstLine="283"/>
        <w:jc w:val="both"/>
      </w:pPr>
      <w:r>
        <w:rPr>
          <w:color w:val="231F20"/>
        </w:rPr>
        <w:t>El IPEC promueve la concientización sobre el problema, la</w:t>
      </w:r>
      <w:r>
        <w:rPr>
          <w:color w:val="231F20"/>
          <w:spacing w:val="-30"/>
        </w:rPr>
        <w:t> </w:t>
      </w:r>
      <w:r>
        <w:rPr>
          <w:color w:val="231F20"/>
        </w:rPr>
        <w:t>integración de programas de desarrollo nacional, el trabajo analítico, el apoyo y</w:t>
      </w:r>
      <w:r>
        <w:rPr>
          <w:color w:val="231F20"/>
          <w:spacing w:val="-33"/>
        </w:rPr>
        <w:t> </w:t>
      </w:r>
      <w:r>
        <w:rPr>
          <w:color w:val="231F20"/>
        </w:rPr>
        <w:t>divul- gación</w:t>
      </w:r>
      <w:r>
        <w:rPr>
          <w:color w:val="231F20"/>
          <w:spacing w:val="-8"/>
        </w:rPr>
        <w:t> </w:t>
      </w:r>
      <w:r>
        <w:rPr>
          <w:color w:val="231F20"/>
        </w:rPr>
        <w:t>de</w:t>
      </w:r>
      <w:r>
        <w:rPr>
          <w:color w:val="231F20"/>
          <w:spacing w:val="-7"/>
        </w:rPr>
        <w:t> </w:t>
      </w:r>
      <w:r>
        <w:rPr>
          <w:color w:val="231F20"/>
        </w:rPr>
        <w:t>las</w:t>
      </w:r>
      <w:r>
        <w:rPr>
          <w:color w:val="231F20"/>
          <w:spacing w:val="-8"/>
        </w:rPr>
        <w:t> </w:t>
      </w:r>
      <w:r>
        <w:rPr>
          <w:color w:val="231F20"/>
        </w:rPr>
        <w:t>investigaciones</w:t>
      </w:r>
      <w:r>
        <w:rPr>
          <w:color w:val="231F20"/>
          <w:spacing w:val="-8"/>
        </w:rPr>
        <w:t> </w:t>
      </w:r>
      <w:r>
        <w:rPr>
          <w:color w:val="231F20"/>
        </w:rPr>
        <w:t>sobre</w:t>
      </w:r>
      <w:r>
        <w:rPr>
          <w:color w:val="231F20"/>
          <w:spacing w:val="-7"/>
        </w:rPr>
        <w:t> </w:t>
      </w:r>
      <w:r>
        <w:rPr>
          <w:color w:val="231F20"/>
        </w:rPr>
        <w:t>trabajo</w:t>
      </w:r>
      <w:r>
        <w:rPr>
          <w:color w:val="231F20"/>
          <w:spacing w:val="-8"/>
        </w:rPr>
        <w:t> </w:t>
      </w:r>
      <w:r>
        <w:rPr>
          <w:color w:val="231F20"/>
        </w:rPr>
        <w:t>infantil.</w:t>
      </w:r>
      <w:r>
        <w:rPr>
          <w:color w:val="231F20"/>
          <w:spacing w:val="-20"/>
        </w:rPr>
        <w:t> </w:t>
      </w:r>
      <w:r>
        <w:rPr>
          <w:color w:val="231F20"/>
        </w:rPr>
        <w:t>Además</w:t>
      </w:r>
      <w:r>
        <w:rPr>
          <w:color w:val="231F20"/>
          <w:spacing w:val="-7"/>
        </w:rPr>
        <w:t> </w:t>
      </w:r>
      <w:r>
        <w:rPr>
          <w:color w:val="231F20"/>
        </w:rPr>
        <w:t>ha</w:t>
      </w:r>
      <w:r>
        <w:rPr>
          <w:color w:val="231F20"/>
          <w:spacing w:val="-7"/>
        </w:rPr>
        <w:t> </w:t>
      </w:r>
      <w:r>
        <w:rPr>
          <w:color w:val="231F20"/>
        </w:rPr>
        <w:t>establecido desde 2002, que cada 12 de Junio sea el “Día Mundial sobre el Trabajo Infantil”, en el cual se realiza un conjunto de actividades que tienen como objetivo</w:t>
      </w:r>
      <w:r>
        <w:rPr>
          <w:color w:val="231F20"/>
          <w:spacing w:val="-10"/>
        </w:rPr>
        <w:t> </w:t>
      </w:r>
      <w:r>
        <w:rPr>
          <w:color w:val="231F20"/>
        </w:rPr>
        <w:t>concentrar</w:t>
      </w:r>
      <w:r>
        <w:rPr>
          <w:color w:val="231F20"/>
          <w:spacing w:val="-11"/>
        </w:rPr>
        <w:t> </w:t>
      </w:r>
      <w:r>
        <w:rPr>
          <w:color w:val="231F20"/>
        </w:rPr>
        <w:t>la</w:t>
      </w:r>
      <w:r>
        <w:rPr>
          <w:color w:val="231F20"/>
          <w:spacing w:val="-10"/>
        </w:rPr>
        <w:t> </w:t>
      </w:r>
      <w:r>
        <w:rPr>
          <w:color w:val="231F20"/>
        </w:rPr>
        <w:t>atención</w:t>
      </w:r>
      <w:r>
        <w:rPr>
          <w:color w:val="231F20"/>
          <w:spacing w:val="-11"/>
        </w:rPr>
        <w:t> </w:t>
      </w:r>
      <w:r>
        <w:rPr>
          <w:color w:val="231F20"/>
        </w:rPr>
        <w:t>mundial</w:t>
      </w:r>
      <w:r>
        <w:rPr>
          <w:color w:val="231F20"/>
          <w:spacing w:val="-11"/>
        </w:rPr>
        <w:t> </w:t>
      </w:r>
      <w:r>
        <w:rPr>
          <w:color w:val="231F20"/>
        </w:rPr>
        <w:t>sobre</w:t>
      </w:r>
      <w:r>
        <w:rPr>
          <w:color w:val="231F20"/>
          <w:spacing w:val="-10"/>
        </w:rPr>
        <w:t> </w:t>
      </w:r>
      <w:r>
        <w:rPr>
          <w:color w:val="231F20"/>
        </w:rPr>
        <w:t>la</w:t>
      </w:r>
      <w:r>
        <w:rPr>
          <w:color w:val="231F20"/>
          <w:spacing w:val="-10"/>
        </w:rPr>
        <w:t> </w:t>
      </w:r>
      <w:r>
        <w:rPr>
          <w:color w:val="231F20"/>
        </w:rPr>
        <w:t>urgente</w:t>
      </w:r>
      <w:r>
        <w:rPr>
          <w:color w:val="231F20"/>
          <w:spacing w:val="-10"/>
        </w:rPr>
        <w:t> </w:t>
      </w:r>
      <w:r>
        <w:rPr>
          <w:color w:val="231F20"/>
        </w:rPr>
        <w:t>necesidad</w:t>
      </w:r>
      <w:r>
        <w:rPr>
          <w:color w:val="231F20"/>
          <w:spacing w:val="-10"/>
        </w:rPr>
        <w:t> </w:t>
      </w:r>
      <w:r>
        <w:rPr>
          <w:color w:val="231F20"/>
        </w:rPr>
        <w:t>de</w:t>
      </w:r>
      <w:r>
        <w:rPr>
          <w:color w:val="231F20"/>
          <w:spacing w:val="-10"/>
        </w:rPr>
        <w:t> </w:t>
      </w:r>
      <w:r>
        <w:rPr>
          <w:color w:val="231F20"/>
        </w:rPr>
        <w:t>erra- dicar el trabajo</w:t>
      </w:r>
      <w:r>
        <w:rPr>
          <w:color w:val="231F20"/>
          <w:spacing w:val="-1"/>
        </w:rPr>
        <w:t> </w:t>
      </w:r>
      <w:r>
        <w:rPr>
          <w:color w:val="231F20"/>
        </w:rPr>
        <w:t>infantil.</w:t>
      </w:r>
    </w:p>
    <w:p>
      <w:pPr>
        <w:pStyle w:val="BodyText"/>
        <w:spacing w:line="247" w:lineRule="auto"/>
        <w:ind w:left="117" w:right="114" w:firstLine="283"/>
        <w:jc w:val="both"/>
      </w:pPr>
      <w:r>
        <w:rPr>
          <w:color w:val="231F20"/>
        </w:rPr>
        <w:t>La mayoría de las encuestas sobre el trabajo infantil presentan esta- dísticas con cierto grado de fundamentación debido, principalmente, a la falta de un consenso en la definición de trabajo infantil. Muchas de estas encuestas,</w:t>
      </w:r>
      <w:r>
        <w:rPr>
          <w:color w:val="231F20"/>
          <w:spacing w:val="-7"/>
        </w:rPr>
        <w:t> </w:t>
      </w:r>
      <w:r>
        <w:rPr>
          <w:color w:val="231F20"/>
        </w:rPr>
        <w:t>sobre</w:t>
      </w:r>
      <w:r>
        <w:rPr>
          <w:color w:val="231F20"/>
          <w:spacing w:val="-7"/>
        </w:rPr>
        <w:t> </w:t>
      </w:r>
      <w:r>
        <w:rPr>
          <w:color w:val="231F20"/>
        </w:rPr>
        <w:t>todo</w:t>
      </w:r>
      <w:r>
        <w:rPr>
          <w:color w:val="231F20"/>
          <w:spacing w:val="-7"/>
        </w:rPr>
        <w:t> </w:t>
      </w:r>
      <w:r>
        <w:rPr>
          <w:color w:val="231F20"/>
        </w:rPr>
        <w:t>las</w:t>
      </w:r>
      <w:r>
        <w:rPr>
          <w:color w:val="231F20"/>
          <w:spacing w:val="-7"/>
        </w:rPr>
        <w:t> </w:t>
      </w:r>
      <w:r>
        <w:rPr>
          <w:color w:val="231F20"/>
        </w:rPr>
        <w:t>elaboradas</w:t>
      </w:r>
      <w:r>
        <w:rPr>
          <w:color w:val="231F20"/>
          <w:spacing w:val="-7"/>
        </w:rPr>
        <w:t> </w:t>
      </w:r>
      <w:r>
        <w:rPr>
          <w:color w:val="231F20"/>
        </w:rPr>
        <w:t>por</w:t>
      </w:r>
      <w:r>
        <w:rPr>
          <w:color w:val="231F20"/>
          <w:spacing w:val="-7"/>
        </w:rPr>
        <w:t> </w:t>
      </w:r>
      <w:r>
        <w:rPr>
          <w:color w:val="231F20"/>
        </w:rPr>
        <w:t>los</w:t>
      </w:r>
      <w:r>
        <w:rPr>
          <w:color w:val="231F20"/>
          <w:spacing w:val="-7"/>
        </w:rPr>
        <w:t> </w:t>
      </w:r>
      <w:r>
        <w:rPr>
          <w:color w:val="231F20"/>
        </w:rPr>
        <w:t>gobiernos,</w:t>
      </w:r>
      <w:r>
        <w:rPr>
          <w:color w:val="231F20"/>
          <w:spacing w:val="-7"/>
        </w:rPr>
        <w:t> </w:t>
      </w:r>
      <w:r>
        <w:rPr>
          <w:color w:val="231F20"/>
        </w:rPr>
        <w:t>no</w:t>
      </w:r>
      <w:r>
        <w:rPr>
          <w:color w:val="231F20"/>
          <w:spacing w:val="-7"/>
        </w:rPr>
        <w:t> </w:t>
      </w:r>
      <w:r>
        <w:rPr>
          <w:color w:val="231F20"/>
        </w:rPr>
        <w:t>toman</w:t>
      </w:r>
      <w:r>
        <w:rPr>
          <w:color w:val="231F20"/>
          <w:spacing w:val="-7"/>
        </w:rPr>
        <w:t> </w:t>
      </w:r>
      <w:r>
        <w:rPr>
          <w:color w:val="231F20"/>
        </w:rPr>
        <w:t>en</w:t>
      </w:r>
      <w:r>
        <w:rPr>
          <w:color w:val="231F20"/>
          <w:spacing w:val="-7"/>
        </w:rPr>
        <w:t> </w:t>
      </w:r>
      <w:r>
        <w:rPr>
          <w:color w:val="231F20"/>
        </w:rPr>
        <w:t>cuenta aquellos niños que realizan actividades no económicas pero se encuentran en</w:t>
      </w:r>
      <w:r>
        <w:rPr>
          <w:color w:val="231F20"/>
          <w:spacing w:val="-4"/>
        </w:rPr>
        <w:t> </w:t>
      </w:r>
      <w:r>
        <w:rPr>
          <w:color w:val="231F20"/>
        </w:rPr>
        <w:t>situaciones</w:t>
      </w:r>
      <w:r>
        <w:rPr>
          <w:color w:val="231F20"/>
          <w:spacing w:val="-4"/>
        </w:rPr>
        <w:t> </w:t>
      </w:r>
      <w:r>
        <w:rPr>
          <w:color w:val="231F20"/>
        </w:rPr>
        <w:t>de</w:t>
      </w:r>
      <w:r>
        <w:rPr>
          <w:color w:val="231F20"/>
          <w:spacing w:val="-4"/>
        </w:rPr>
        <w:t> </w:t>
      </w:r>
      <w:r>
        <w:rPr>
          <w:color w:val="231F20"/>
        </w:rPr>
        <w:t>riesgo,</w:t>
      </w:r>
      <w:r>
        <w:rPr>
          <w:color w:val="231F20"/>
          <w:spacing w:val="-4"/>
        </w:rPr>
        <w:t> </w:t>
      </w:r>
      <w:r>
        <w:rPr>
          <w:color w:val="231F20"/>
        </w:rPr>
        <w:t>es</w:t>
      </w:r>
      <w:r>
        <w:rPr>
          <w:color w:val="231F20"/>
          <w:spacing w:val="-5"/>
        </w:rPr>
        <w:t> </w:t>
      </w:r>
      <w:r>
        <w:rPr>
          <w:color w:val="231F20"/>
        </w:rPr>
        <w:t>decir</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emplean</w:t>
      </w:r>
      <w:r>
        <w:rPr>
          <w:color w:val="231F20"/>
          <w:spacing w:val="-5"/>
        </w:rPr>
        <w:t> </w:t>
      </w:r>
      <w:r>
        <w:rPr>
          <w:color w:val="231F20"/>
        </w:rPr>
        <w:t>o</w:t>
      </w:r>
      <w:r>
        <w:rPr>
          <w:color w:val="231F20"/>
          <w:spacing w:val="-4"/>
        </w:rPr>
        <w:t> </w:t>
      </w:r>
      <w:r>
        <w:rPr>
          <w:color w:val="231F20"/>
        </w:rPr>
        <w:t>son</w:t>
      </w:r>
      <w:r>
        <w:rPr>
          <w:color w:val="231F20"/>
          <w:spacing w:val="-4"/>
        </w:rPr>
        <w:t> </w:t>
      </w:r>
      <w:r>
        <w:rPr>
          <w:color w:val="231F20"/>
        </w:rPr>
        <w:t>ocupados</w:t>
      </w:r>
      <w:r>
        <w:rPr>
          <w:color w:val="231F20"/>
          <w:spacing w:val="-4"/>
        </w:rPr>
        <w:t> </w:t>
      </w:r>
      <w:r>
        <w:rPr>
          <w:color w:val="231F20"/>
        </w:rPr>
        <w:t>en</w:t>
      </w:r>
      <w:r>
        <w:rPr>
          <w:color w:val="231F20"/>
          <w:spacing w:val="-4"/>
        </w:rPr>
        <w:t> </w:t>
      </w:r>
      <w:r>
        <w:rPr>
          <w:color w:val="231F20"/>
        </w:rPr>
        <w:t>diver- sas actividades económicas tanto lícitas como ilícitas (Liebel,</w:t>
      </w:r>
      <w:r>
        <w:rPr>
          <w:color w:val="231F20"/>
          <w:spacing w:val="-8"/>
        </w:rPr>
        <w:t> </w:t>
      </w:r>
      <w:r>
        <w:rPr>
          <w:color w:val="231F20"/>
        </w:rPr>
        <w:t>2003).</w:t>
      </w:r>
    </w:p>
    <w:p>
      <w:pPr>
        <w:pStyle w:val="BodyText"/>
        <w:spacing w:line="247" w:lineRule="auto"/>
        <w:ind w:left="117" w:right="115" w:firstLine="283"/>
        <w:jc w:val="both"/>
      </w:pPr>
      <w:r>
        <w:rPr>
          <w:color w:val="231F20"/>
          <w:spacing w:val="-5"/>
        </w:rPr>
        <w:t>Varias </w:t>
      </w:r>
      <w:r>
        <w:rPr>
          <w:color w:val="231F20"/>
        </w:rPr>
        <w:t>de las formas del trabajo infantil y las condiciones bajo las que eran desarrolladas han sido abolidas, pero muchas otras perduran y hasta han</w:t>
      </w:r>
      <w:r>
        <w:rPr>
          <w:color w:val="231F20"/>
          <w:spacing w:val="-5"/>
        </w:rPr>
        <w:t> </w:t>
      </w:r>
      <w:r>
        <w:rPr>
          <w:color w:val="231F20"/>
        </w:rPr>
        <w:t>evolucionado</w:t>
      </w:r>
      <w:r>
        <w:rPr>
          <w:color w:val="231F20"/>
          <w:spacing w:val="-6"/>
        </w:rPr>
        <w:t> </w:t>
      </w:r>
      <w:r>
        <w:rPr>
          <w:color w:val="231F20"/>
        </w:rPr>
        <w:t>a</w:t>
      </w:r>
      <w:r>
        <w:rPr>
          <w:color w:val="231F20"/>
          <w:spacing w:val="-5"/>
        </w:rPr>
        <w:t> </w:t>
      </w:r>
      <w:r>
        <w:rPr>
          <w:color w:val="231F20"/>
        </w:rPr>
        <w:t>la</w:t>
      </w:r>
      <w:r>
        <w:rPr>
          <w:color w:val="231F20"/>
          <w:spacing w:val="-5"/>
        </w:rPr>
        <w:t> </w:t>
      </w:r>
      <w:r>
        <w:rPr>
          <w:color w:val="231F20"/>
        </w:rPr>
        <w:t>par</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cambios</w:t>
      </w:r>
      <w:r>
        <w:rPr>
          <w:color w:val="231F20"/>
          <w:spacing w:val="-6"/>
        </w:rPr>
        <w:t> </w:t>
      </w:r>
      <w:r>
        <w:rPr>
          <w:color w:val="231F20"/>
        </w:rPr>
        <w:t>económicos,</w:t>
      </w:r>
      <w:r>
        <w:rPr>
          <w:color w:val="231F20"/>
          <w:spacing w:val="-6"/>
        </w:rPr>
        <w:t> </w:t>
      </w:r>
      <w:r>
        <w:rPr>
          <w:color w:val="231F20"/>
        </w:rPr>
        <w:t>culturales,</w:t>
      </w:r>
      <w:r>
        <w:rPr>
          <w:color w:val="231F20"/>
          <w:spacing w:val="-6"/>
        </w:rPr>
        <w:t> </w:t>
      </w:r>
      <w:r>
        <w:rPr>
          <w:color w:val="231F20"/>
        </w:rPr>
        <w:t>sociales, históricos</w:t>
      </w:r>
      <w:r>
        <w:rPr>
          <w:color w:val="231F20"/>
          <w:spacing w:val="-8"/>
        </w:rPr>
        <w:t> </w:t>
      </w:r>
      <w:r>
        <w:rPr>
          <w:color w:val="231F20"/>
        </w:rPr>
        <w:t>y</w:t>
      </w:r>
      <w:r>
        <w:rPr>
          <w:color w:val="231F20"/>
          <w:spacing w:val="-8"/>
        </w:rPr>
        <w:t> </w:t>
      </w:r>
      <w:r>
        <w:rPr>
          <w:color w:val="231F20"/>
        </w:rPr>
        <w:t>demográficos.</w:t>
      </w:r>
      <w:r>
        <w:rPr>
          <w:color w:val="231F20"/>
          <w:spacing w:val="-8"/>
        </w:rPr>
        <w:t> </w:t>
      </w:r>
      <w:r>
        <w:rPr>
          <w:color w:val="231F20"/>
        </w:rPr>
        <w:t>Un</w:t>
      </w:r>
      <w:r>
        <w:rPr>
          <w:color w:val="231F20"/>
          <w:spacing w:val="-8"/>
        </w:rPr>
        <w:t> </w:t>
      </w:r>
      <w:r>
        <w:rPr>
          <w:color w:val="231F20"/>
        </w:rPr>
        <w:t>ejemplo</w:t>
      </w:r>
      <w:r>
        <w:rPr>
          <w:color w:val="231F20"/>
          <w:spacing w:val="-8"/>
        </w:rPr>
        <w:t> </w:t>
      </w:r>
      <w:r>
        <w:rPr>
          <w:color w:val="231F20"/>
        </w:rPr>
        <w:t>de</w:t>
      </w:r>
      <w:r>
        <w:rPr>
          <w:color w:val="231F20"/>
          <w:spacing w:val="-8"/>
        </w:rPr>
        <w:t> </w:t>
      </w:r>
      <w:r>
        <w:rPr>
          <w:color w:val="231F20"/>
        </w:rPr>
        <w:t>ello</w:t>
      </w:r>
      <w:r>
        <w:rPr>
          <w:color w:val="231F20"/>
          <w:spacing w:val="-8"/>
        </w:rPr>
        <w:t> </w:t>
      </w:r>
      <w:r>
        <w:rPr>
          <w:color w:val="231F20"/>
        </w:rPr>
        <w:t>en</w:t>
      </w:r>
      <w:r>
        <w:rPr>
          <w:color w:val="231F20"/>
          <w:spacing w:val="-8"/>
        </w:rPr>
        <w:t> </w:t>
      </w:r>
      <w:r>
        <w:rPr>
          <w:color w:val="231F20"/>
        </w:rPr>
        <w:t>México</w:t>
      </w:r>
      <w:r>
        <w:rPr>
          <w:color w:val="231F20"/>
          <w:spacing w:val="-8"/>
        </w:rPr>
        <w:t> </w:t>
      </w:r>
      <w:r>
        <w:rPr>
          <w:color w:val="231F20"/>
        </w:rPr>
        <w:t>como</w:t>
      </w:r>
      <w:r>
        <w:rPr>
          <w:color w:val="231F20"/>
          <w:spacing w:val="-8"/>
        </w:rPr>
        <w:t> </w:t>
      </w:r>
      <w:r>
        <w:rPr>
          <w:color w:val="231F20"/>
        </w:rPr>
        <w:t>en</w:t>
      </w:r>
      <w:r>
        <w:rPr>
          <w:color w:val="231F20"/>
          <w:spacing w:val="-8"/>
        </w:rPr>
        <w:t> </w:t>
      </w:r>
      <w:r>
        <w:rPr>
          <w:color w:val="231F20"/>
        </w:rPr>
        <w:t>muchos otros países es la migración interestatal de trabajadores infantiles y ado- lescentes.</w:t>
      </w:r>
    </w:p>
    <w:p>
      <w:pPr>
        <w:pStyle w:val="BodyText"/>
        <w:spacing w:line="247" w:lineRule="auto"/>
        <w:ind w:left="117" w:right="114" w:firstLine="370"/>
        <w:jc w:val="both"/>
      </w:pPr>
      <w:r>
        <w:rPr>
          <w:color w:val="231F20"/>
        </w:rPr>
        <w:t>Las miradas en cuanto al estudio de los flujos migratorios internos   de trabajadores han estado enfocadas a los hombres adultos en primera instancia y posteriormente al de mujeres adultas; sin embargo, el análisis de otro grupo de actores que también ha estado inmerso y que además ha revelado aumentos inesperados no ha sido visibilizado, por lo que en el presente trabajo se analiza a ese último grupo de actores, los trabajadores infantiles</w:t>
      </w:r>
      <w:r>
        <w:rPr>
          <w:color w:val="231F20"/>
          <w:spacing w:val="-12"/>
        </w:rPr>
        <w:t> </w:t>
      </w:r>
      <w:r>
        <w:rPr>
          <w:color w:val="231F20"/>
        </w:rPr>
        <w:t>y</w:t>
      </w:r>
      <w:r>
        <w:rPr>
          <w:color w:val="231F20"/>
          <w:spacing w:val="-12"/>
        </w:rPr>
        <w:t> </w:t>
      </w:r>
      <w:r>
        <w:rPr>
          <w:color w:val="231F20"/>
        </w:rPr>
        <w:t>adolescentes,</w:t>
      </w:r>
      <w:r>
        <w:rPr>
          <w:color w:val="231F20"/>
          <w:spacing w:val="-12"/>
        </w:rPr>
        <w:t> </w:t>
      </w:r>
      <w:r>
        <w:rPr>
          <w:color w:val="231F20"/>
        </w:rPr>
        <w:t>segmento</w:t>
      </w:r>
      <w:r>
        <w:rPr>
          <w:color w:val="231F20"/>
          <w:spacing w:val="-11"/>
        </w:rPr>
        <w:t> </w:t>
      </w:r>
      <w:r>
        <w:rPr>
          <w:color w:val="231F20"/>
        </w:rPr>
        <w:t>de</w:t>
      </w:r>
      <w:r>
        <w:rPr>
          <w:color w:val="231F20"/>
          <w:spacing w:val="-12"/>
        </w:rPr>
        <w:t> </w:t>
      </w:r>
      <w:r>
        <w:rPr>
          <w:color w:val="231F20"/>
        </w:rPr>
        <w:t>población</w:t>
      </w:r>
      <w:r>
        <w:rPr>
          <w:color w:val="231F20"/>
          <w:spacing w:val="-11"/>
        </w:rPr>
        <w:t> </w:t>
      </w:r>
      <w:r>
        <w:rPr>
          <w:color w:val="231F20"/>
        </w:rPr>
        <w:t>que</w:t>
      </w:r>
      <w:r>
        <w:rPr>
          <w:color w:val="231F20"/>
          <w:spacing w:val="-12"/>
        </w:rPr>
        <w:t> </w:t>
      </w:r>
      <w:r>
        <w:rPr>
          <w:color w:val="231F20"/>
        </w:rPr>
        <w:t>por</w:t>
      </w:r>
      <w:r>
        <w:rPr>
          <w:color w:val="231F20"/>
          <w:spacing w:val="-12"/>
        </w:rPr>
        <w:t> </w:t>
      </w:r>
      <w:r>
        <w:rPr>
          <w:color w:val="231F20"/>
        </w:rPr>
        <w:t>las</w:t>
      </w:r>
      <w:r>
        <w:rPr>
          <w:color w:val="231F20"/>
          <w:spacing w:val="-12"/>
        </w:rPr>
        <w:t> </w:t>
      </w:r>
      <w:r>
        <w:rPr>
          <w:color w:val="231F20"/>
        </w:rPr>
        <w:t>circunstancias y su condición son mucho más vulnerables y expuestos a ser víctimas de abuso, maltratos y</w:t>
      </w:r>
      <w:r>
        <w:rPr>
          <w:color w:val="231F20"/>
          <w:spacing w:val="-2"/>
        </w:rPr>
        <w:t> </w:t>
      </w:r>
      <w:r>
        <w:rPr>
          <w:color w:val="231F20"/>
        </w:rPr>
        <w:t>discriminación.</w:t>
      </w:r>
    </w:p>
    <w:p>
      <w:pPr>
        <w:pStyle w:val="BodyText"/>
        <w:spacing w:line="247" w:lineRule="auto"/>
        <w:ind w:left="117" w:right="114" w:firstLine="283"/>
        <w:jc w:val="both"/>
      </w:pPr>
      <w:r>
        <w:rPr>
          <w:color w:val="231F20"/>
        </w:rPr>
        <w:t>De acuerdo con la OIT (2012) a nivel mundial, una de cada ocho per- sonas es un migrante. Aproximadamente se contabilizan 214 millones de migrantes internacionales y alrededor de 740 millones de migrantes inter- nos; de los cuales cerca de un tercio del flujo migratorio provenientes de todos los países en desarrollo tienen entre 12 y 24 años. En este grupo se encuentran</w:t>
      </w:r>
      <w:r>
        <w:rPr>
          <w:color w:val="231F20"/>
          <w:spacing w:val="-11"/>
        </w:rPr>
        <w:t> </w:t>
      </w:r>
      <w:r>
        <w:rPr>
          <w:color w:val="231F20"/>
        </w:rPr>
        <w:t>millones</w:t>
      </w:r>
      <w:r>
        <w:rPr>
          <w:color w:val="231F20"/>
          <w:spacing w:val="-11"/>
        </w:rPr>
        <w:t> </w:t>
      </w:r>
      <w:r>
        <w:rPr>
          <w:color w:val="231F20"/>
        </w:rPr>
        <w:t>de</w:t>
      </w:r>
      <w:r>
        <w:rPr>
          <w:color w:val="231F20"/>
          <w:spacing w:val="-11"/>
        </w:rPr>
        <w:t> </w:t>
      </w:r>
      <w:r>
        <w:rPr>
          <w:color w:val="231F20"/>
        </w:rPr>
        <w:t>niños</w:t>
      </w:r>
      <w:r>
        <w:rPr>
          <w:color w:val="231F20"/>
          <w:spacing w:val="-11"/>
        </w:rPr>
        <w:t> </w:t>
      </w:r>
      <w:r>
        <w:rPr>
          <w:color w:val="231F20"/>
        </w:rPr>
        <w:t>menores</w:t>
      </w:r>
      <w:r>
        <w:rPr>
          <w:color w:val="231F20"/>
          <w:spacing w:val="-11"/>
        </w:rPr>
        <w:t> </w:t>
      </w:r>
      <w:r>
        <w:rPr>
          <w:color w:val="231F20"/>
        </w:rPr>
        <w:t>de</w:t>
      </w:r>
      <w:r>
        <w:rPr>
          <w:color w:val="231F20"/>
          <w:spacing w:val="-11"/>
        </w:rPr>
        <w:t> </w:t>
      </w:r>
      <w:r>
        <w:rPr>
          <w:color w:val="231F20"/>
        </w:rPr>
        <w:t>18</w:t>
      </w:r>
      <w:r>
        <w:rPr>
          <w:color w:val="231F20"/>
          <w:spacing w:val="-11"/>
        </w:rPr>
        <w:t> </w:t>
      </w:r>
      <w:r>
        <w:rPr>
          <w:color w:val="231F20"/>
        </w:rPr>
        <w:t>años</w:t>
      </w:r>
      <w:r>
        <w:rPr>
          <w:color w:val="231F20"/>
          <w:spacing w:val="-11"/>
        </w:rPr>
        <w:t> </w:t>
      </w:r>
      <w:r>
        <w:rPr>
          <w:color w:val="231F20"/>
        </w:rPr>
        <w:t>que</w:t>
      </w:r>
      <w:r>
        <w:rPr>
          <w:color w:val="231F20"/>
          <w:spacing w:val="-11"/>
        </w:rPr>
        <w:t> </w:t>
      </w:r>
      <w:r>
        <w:rPr>
          <w:color w:val="231F20"/>
        </w:rPr>
        <w:t>migran</w:t>
      </w:r>
      <w:r>
        <w:rPr>
          <w:color w:val="231F20"/>
          <w:spacing w:val="-11"/>
        </w:rPr>
        <w:t> </w:t>
      </w:r>
      <w:r>
        <w:rPr>
          <w:color w:val="231F20"/>
        </w:rPr>
        <w:t>internamente o que cruzan las fronteras, con o sin sus</w:t>
      </w:r>
      <w:r>
        <w:rPr>
          <w:color w:val="231F20"/>
          <w:spacing w:val="-7"/>
        </w:rPr>
        <w:t> </w:t>
      </w:r>
      <w:r>
        <w:rPr>
          <w:color w:val="231F20"/>
        </w:rPr>
        <w:t>padres.</w:t>
      </w:r>
    </w:p>
    <w:p>
      <w:pPr>
        <w:pStyle w:val="BodyText"/>
        <w:spacing w:line="247" w:lineRule="auto"/>
        <w:ind w:left="117" w:right="114" w:firstLine="283"/>
        <w:jc w:val="both"/>
      </w:pPr>
      <w:r>
        <w:rPr>
          <w:color w:val="231F20"/>
        </w:rPr>
        <w:t>Acuña (2010) menciona que los niños, niñas y adolescentes son las personas más implicadas en situaciones de pobreza a escala regional. Sus familias</w:t>
      </w:r>
      <w:r>
        <w:rPr>
          <w:color w:val="231F20"/>
          <w:spacing w:val="-12"/>
        </w:rPr>
        <w:t> </w:t>
      </w:r>
      <w:r>
        <w:rPr>
          <w:color w:val="231F20"/>
        </w:rPr>
        <w:t>responden</w:t>
      </w:r>
      <w:r>
        <w:rPr>
          <w:color w:val="231F20"/>
          <w:spacing w:val="-12"/>
        </w:rPr>
        <w:t> </w:t>
      </w:r>
      <w:r>
        <w:rPr>
          <w:color w:val="231F20"/>
        </w:rPr>
        <w:t>a</w:t>
      </w:r>
      <w:r>
        <w:rPr>
          <w:color w:val="231F20"/>
          <w:spacing w:val="-12"/>
        </w:rPr>
        <w:t> </w:t>
      </w:r>
      <w:r>
        <w:rPr>
          <w:color w:val="231F20"/>
        </w:rPr>
        <w:t>esta</w:t>
      </w:r>
      <w:r>
        <w:rPr>
          <w:color w:val="231F20"/>
          <w:spacing w:val="-12"/>
        </w:rPr>
        <w:t> </w:t>
      </w:r>
      <w:r>
        <w:rPr>
          <w:color w:val="231F20"/>
        </w:rPr>
        <w:t>situación</w:t>
      </w:r>
      <w:r>
        <w:rPr>
          <w:color w:val="231F20"/>
          <w:spacing w:val="-12"/>
        </w:rPr>
        <w:t> </w:t>
      </w:r>
      <w:r>
        <w:rPr>
          <w:color w:val="231F20"/>
        </w:rPr>
        <w:t>de</w:t>
      </w:r>
      <w:r>
        <w:rPr>
          <w:color w:val="231F20"/>
          <w:spacing w:val="-12"/>
        </w:rPr>
        <w:t> </w:t>
      </w:r>
      <w:r>
        <w:rPr>
          <w:color w:val="231F20"/>
        </w:rPr>
        <w:t>diversas</w:t>
      </w:r>
      <w:r>
        <w:rPr>
          <w:color w:val="231F20"/>
          <w:spacing w:val="-12"/>
        </w:rPr>
        <w:t> </w:t>
      </w:r>
      <w:r>
        <w:rPr>
          <w:color w:val="231F20"/>
        </w:rPr>
        <w:t>formas,</w:t>
      </w:r>
      <w:r>
        <w:rPr>
          <w:color w:val="231F20"/>
          <w:spacing w:val="-12"/>
        </w:rPr>
        <w:t> </w:t>
      </w:r>
      <w:r>
        <w:rPr>
          <w:color w:val="231F20"/>
        </w:rPr>
        <w:t>siendo</w:t>
      </w:r>
      <w:r>
        <w:rPr>
          <w:color w:val="231F20"/>
          <w:spacing w:val="-12"/>
        </w:rPr>
        <w:t> </w:t>
      </w:r>
      <w:r>
        <w:rPr>
          <w:color w:val="231F20"/>
        </w:rPr>
        <w:t>la</w:t>
      </w:r>
      <w:r>
        <w:rPr>
          <w:color w:val="231F20"/>
          <w:spacing w:val="-12"/>
        </w:rPr>
        <w:t> </w:t>
      </w:r>
      <w:r>
        <w:rPr>
          <w:color w:val="231F20"/>
        </w:rPr>
        <w:t>migración</w:t>
      </w:r>
    </w:p>
    <w:p>
      <w:pPr>
        <w:spacing w:after="0" w:line="247" w:lineRule="auto"/>
        <w:jc w:val="both"/>
        <w:sectPr>
          <w:footerReference w:type="default" r:id="rId247"/>
          <w:pgSz w:w="9360" w:h="13040"/>
          <w:pgMar w:footer="496" w:header="0" w:top="740" w:bottom="680" w:left="1300" w:right="1300"/>
          <w:pgNumType w:start="361"/>
        </w:sectPr>
      </w:pPr>
    </w:p>
    <w:p>
      <w:pPr>
        <w:tabs>
          <w:tab w:pos="5536" w:val="left" w:leader="none"/>
        </w:tabs>
        <w:spacing w:before="51"/>
        <w:ind w:left="117" w:right="0" w:firstLine="11"/>
        <w:jc w:val="both"/>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9"/>
        </w:rPr>
      </w:pPr>
    </w:p>
    <w:p>
      <w:pPr>
        <w:pStyle w:val="BodyText"/>
        <w:spacing w:line="247" w:lineRule="auto"/>
        <w:ind w:left="117" w:right="114"/>
        <w:jc w:val="both"/>
      </w:pPr>
      <w:r>
        <w:rPr>
          <w:color w:val="231F20"/>
        </w:rPr>
        <w:t>laboral una de ellas. Una vez insertos los niños en los mercados labora- les de otras regiones pueden llegar a realizar actividades contrarias a su dignidad humana, trabajos perjudícales para su salud, ser excluidos de la posibilidad de recibir educación y el no permitirles un desarrollo integral y armónico.</w:t>
      </w:r>
    </w:p>
    <w:p>
      <w:pPr>
        <w:pStyle w:val="Heading3"/>
      </w:pPr>
      <w:r>
        <w:rPr>
          <w:color w:val="231F20"/>
        </w:rPr>
        <w:t>La fuerza laboral infantil migrante de México</w:t>
      </w:r>
    </w:p>
    <w:p>
      <w:pPr>
        <w:pStyle w:val="BodyText"/>
        <w:spacing w:line="247" w:lineRule="auto" w:before="172"/>
        <w:ind w:left="117" w:right="114"/>
        <w:jc w:val="both"/>
      </w:pPr>
      <w:r>
        <w:rPr>
          <w:color w:val="231F20"/>
        </w:rPr>
        <w:t>De</w:t>
      </w:r>
      <w:r>
        <w:rPr>
          <w:color w:val="231F20"/>
          <w:spacing w:val="-9"/>
        </w:rPr>
        <w:t> </w:t>
      </w:r>
      <w:r>
        <w:rPr>
          <w:color w:val="231F20"/>
        </w:rPr>
        <w:t>acuerdo</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Organización</w:t>
      </w:r>
      <w:r>
        <w:rPr>
          <w:color w:val="231F20"/>
          <w:spacing w:val="-9"/>
        </w:rPr>
        <w:t> </w:t>
      </w:r>
      <w:r>
        <w:rPr>
          <w:color w:val="231F20"/>
        </w:rPr>
        <w:t>Internacional</w:t>
      </w:r>
      <w:r>
        <w:rPr>
          <w:color w:val="231F20"/>
          <w:spacing w:val="-9"/>
        </w:rPr>
        <w:t> </w:t>
      </w:r>
      <w:r>
        <w:rPr>
          <w:color w:val="231F20"/>
        </w:rPr>
        <w:t>del</w:t>
      </w:r>
      <w:r>
        <w:rPr>
          <w:color w:val="231F20"/>
          <w:spacing w:val="-13"/>
        </w:rPr>
        <w:t> </w:t>
      </w:r>
      <w:r>
        <w:rPr>
          <w:color w:val="231F20"/>
        </w:rPr>
        <w:t>Trabajo</w:t>
      </w:r>
      <w:r>
        <w:rPr>
          <w:color w:val="231F20"/>
          <w:spacing w:val="-9"/>
        </w:rPr>
        <w:t> </w:t>
      </w:r>
      <w:r>
        <w:rPr>
          <w:color w:val="231F20"/>
        </w:rPr>
        <w:t>la</w:t>
      </w:r>
      <w:r>
        <w:rPr>
          <w:color w:val="231F20"/>
          <w:spacing w:val="-9"/>
        </w:rPr>
        <w:t> </w:t>
      </w:r>
      <w:r>
        <w:rPr>
          <w:color w:val="231F20"/>
        </w:rPr>
        <w:t>fuerza</w:t>
      </w:r>
      <w:r>
        <w:rPr>
          <w:color w:val="231F20"/>
          <w:spacing w:val="-9"/>
        </w:rPr>
        <w:t> </w:t>
      </w:r>
      <w:r>
        <w:rPr>
          <w:color w:val="231F20"/>
        </w:rPr>
        <w:t>laboral infantil está constituida por los niños, niñas y adolescentes de 5 a 17 años que desempeñan alguna actividad</w:t>
      </w:r>
      <w:r>
        <w:rPr>
          <w:color w:val="231F20"/>
          <w:spacing w:val="-2"/>
        </w:rPr>
        <w:t> </w:t>
      </w:r>
      <w:r>
        <w:rPr>
          <w:color w:val="231F20"/>
        </w:rPr>
        <w:t>económica.</w:t>
      </w:r>
    </w:p>
    <w:p>
      <w:pPr>
        <w:pStyle w:val="BodyText"/>
        <w:spacing w:line="247" w:lineRule="auto"/>
        <w:ind w:left="117" w:right="116" w:firstLine="283"/>
        <w:jc w:val="both"/>
      </w:pPr>
      <w:r>
        <w:rPr>
          <w:color w:val="231F20"/>
        </w:rPr>
        <w:t>En México cada vez son más las personas menores de edad que por diversas situaciones económicas y sociales, entre otras, se incorporan al mercado laboral. Para el año 2009, 6.3 por ciento de la población infantil mexicana se colocó como fuerza laboral, información presentada en la</w:t>
      </w:r>
      <w:r>
        <w:rPr>
          <w:color w:val="231F20"/>
          <w:spacing w:val="-26"/>
        </w:rPr>
        <w:t> </w:t>
      </w:r>
      <w:r>
        <w:rPr>
          <w:color w:val="231F20"/>
          <w:spacing w:val="-6"/>
        </w:rPr>
        <w:t>Ta- </w:t>
      </w:r>
      <w:r>
        <w:rPr>
          <w:color w:val="231F20"/>
        </w:rPr>
        <w:t>bla 1.</w:t>
      </w:r>
    </w:p>
    <w:p>
      <w:pPr>
        <w:pStyle w:val="BodyText"/>
        <w:spacing w:line="247" w:lineRule="auto"/>
        <w:ind w:left="117" w:right="114" w:firstLine="283"/>
        <w:jc w:val="both"/>
      </w:pPr>
      <w:r>
        <w:rPr>
          <w:color w:val="231F20"/>
        </w:rPr>
        <w:t>Si</w:t>
      </w:r>
      <w:r>
        <w:rPr>
          <w:color w:val="231F20"/>
          <w:spacing w:val="-6"/>
        </w:rPr>
        <w:t> </w:t>
      </w:r>
      <w:r>
        <w:rPr>
          <w:color w:val="231F20"/>
        </w:rPr>
        <w:t>observamos</w:t>
      </w:r>
      <w:r>
        <w:rPr>
          <w:color w:val="231F20"/>
          <w:spacing w:val="-6"/>
        </w:rPr>
        <w:t> </w:t>
      </w:r>
      <w:r>
        <w:rPr>
          <w:color w:val="231F20"/>
        </w:rPr>
        <w:t>la</w:t>
      </w:r>
      <w:r>
        <w:rPr>
          <w:color w:val="231F20"/>
          <w:spacing w:val="-6"/>
        </w:rPr>
        <w:t> </w:t>
      </w:r>
      <w:r>
        <w:rPr>
          <w:color w:val="231F20"/>
        </w:rPr>
        <w:t>incidencia</w:t>
      </w:r>
      <w:r>
        <w:rPr>
          <w:color w:val="231F20"/>
          <w:spacing w:val="-7"/>
        </w:rPr>
        <w:t> </w:t>
      </w:r>
      <w:r>
        <w:rPr>
          <w:color w:val="231F20"/>
        </w:rPr>
        <w:t>del</w:t>
      </w:r>
      <w:r>
        <w:rPr>
          <w:color w:val="231F20"/>
          <w:spacing w:val="-6"/>
        </w:rPr>
        <w:t> </w:t>
      </w:r>
      <w:r>
        <w:rPr>
          <w:color w:val="231F20"/>
        </w:rPr>
        <w:t>trabajo</w:t>
      </w:r>
      <w:r>
        <w:rPr>
          <w:color w:val="231F20"/>
          <w:spacing w:val="-7"/>
        </w:rPr>
        <w:t> </w:t>
      </w:r>
      <w:r>
        <w:rPr>
          <w:color w:val="231F20"/>
        </w:rPr>
        <w:t>infantil</w:t>
      </w:r>
      <w:r>
        <w:rPr>
          <w:color w:val="231F20"/>
          <w:spacing w:val="-7"/>
        </w:rPr>
        <w:t> </w:t>
      </w:r>
      <w:r>
        <w:rPr>
          <w:color w:val="231F20"/>
        </w:rPr>
        <w:t>por</w:t>
      </w:r>
      <w:r>
        <w:rPr>
          <w:color w:val="231F20"/>
          <w:spacing w:val="-6"/>
        </w:rPr>
        <w:t> </w:t>
      </w:r>
      <w:r>
        <w:rPr>
          <w:color w:val="231F20"/>
        </w:rPr>
        <w:t>Entidad</w:t>
      </w:r>
      <w:r>
        <w:rPr>
          <w:color w:val="231F20"/>
          <w:spacing w:val="-7"/>
        </w:rPr>
        <w:t> </w:t>
      </w:r>
      <w:r>
        <w:rPr>
          <w:color w:val="231F20"/>
        </w:rPr>
        <w:t>Federativa, Guerrero</w:t>
      </w:r>
      <w:r>
        <w:rPr>
          <w:color w:val="231F20"/>
          <w:spacing w:val="-5"/>
        </w:rPr>
        <w:t> </w:t>
      </w:r>
      <w:r>
        <w:rPr>
          <w:color w:val="231F20"/>
        </w:rPr>
        <w:t>(9.9</w:t>
      </w:r>
      <w:r>
        <w:rPr>
          <w:color w:val="231F20"/>
          <w:spacing w:val="-5"/>
        </w:rPr>
        <w:t> </w:t>
      </w:r>
      <w:r>
        <w:rPr>
          <w:color w:val="231F20"/>
        </w:rPr>
        <w:t>por</w:t>
      </w:r>
      <w:r>
        <w:rPr>
          <w:color w:val="231F20"/>
          <w:spacing w:val="-5"/>
        </w:rPr>
        <w:t> </w:t>
      </w:r>
      <w:r>
        <w:rPr>
          <w:color w:val="231F20"/>
        </w:rPr>
        <w:t>ciento),</w:t>
      </w:r>
      <w:r>
        <w:rPr>
          <w:color w:val="231F20"/>
          <w:spacing w:val="-5"/>
        </w:rPr>
        <w:t> </w:t>
      </w:r>
      <w:r>
        <w:rPr>
          <w:color w:val="231F20"/>
        </w:rPr>
        <w:t>Puebla</w:t>
      </w:r>
      <w:r>
        <w:rPr>
          <w:color w:val="231F20"/>
          <w:spacing w:val="-5"/>
        </w:rPr>
        <w:t> </w:t>
      </w:r>
      <w:r>
        <w:rPr>
          <w:color w:val="231F20"/>
        </w:rPr>
        <w:t>(9.8</w:t>
      </w:r>
      <w:r>
        <w:rPr>
          <w:color w:val="231F20"/>
          <w:spacing w:val="-5"/>
        </w:rPr>
        <w:t> </w:t>
      </w:r>
      <w:r>
        <w:rPr>
          <w:color w:val="231F20"/>
        </w:rPr>
        <w:t>por</w:t>
      </w:r>
      <w:r>
        <w:rPr>
          <w:color w:val="231F20"/>
          <w:spacing w:val="-5"/>
        </w:rPr>
        <w:t> </w:t>
      </w:r>
      <w:r>
        <w:rPr>
          <w:color w:val="231F20"/>
        </w:rPr>
        <w:t>ciento)</w:t>
      </w:r>
      <w:r>
        <w:rPr>
          <w:color w:val="231F20"/>
          <w:spacing w:val="-5"/>
        </w:rPr>
        <w:t> </w:t>
      </w:r>
      <w:r>
        <w:rPr>
          <w:color w:val="231F20"/>
        </w:rPr>
        <w:t>y</w:t>
      </w:r>
      <w:r>
        <w:rPr>
          <w:color w:val="231F20"/>
          <w:spacing w:val="-5"/>
        </w:rPr>
        <w:t> </w:t>
      </w:r>
      <w:r>
        <w:rPr>
          <w:color w:val="231F20"/>
        </w:rPr>
        <w:t>Jalisco</w:t>
      </w:r>
      <w:r>
        <w:rPr>
          <w:color w:val="231F20"/>
          <w:spacing w:val="-5"/>
        </w:rPr>
        <w:t> </w:t>
      </w:r>
      <w:r>
        <w:rPr>
          <w:color w:val="231F20"/>
        </w:rPr>
        <w:t>(9.6</w:t>
      </w:r>
      <w:r>
        <w:rPr>
          <w:color w:val="231F20"/>
          <w:spacing w:val="-5"/>
        </w:rPr>
        <w:t> </w:t>
      </w:r>
      <w:r>
        <w:rPr>
          <w:color w:val="231F20"/>
        </w:rPr>
        <w:t>por</w:t>
      </w:r>
      <w:r>
        <w:rPr>
          <w:color w:val="231F20"/>
          <w:spacing w:val="-5"/>
        </w:rPr>
        <w:t> </w:t>
      </w:r>
      <w:r>
        <w:rPr>
          <w:color w:val="231F20"/>
        </w:rPr>
        <w:t>ciento) son los Estados en donde existe un mayor porcentaje de niños trabajando, mientras que Baja California (3.1 por ciento), Distrito Federal (3.5 por ciento)</w:t>
      </w:r>
      <w:r>
        <w:rPr>
          <w:color w:val="231F20"/>
          <w:spacing w:val="-5"/>
        </w:rPr>
        <w:t> </w:t>
      </w:r>
      <w:r>
        <w:rPr>
          <w:color w:val="231F20"/>
        </w:rPr>
        <w:t>y</w:t>
      </w:r>
      <w:r>
        <w:rPr>
          <w:color w:val="231F20"/>
          <w:spacing w:val="-4"/>
        </w:rPr>
        <w:t> </w:t>
      </w:r>
      <w:r>
        <w:rPr>
          <w:color w:val="231F20"/>
        </w:rPr>
        <w:t>Estado</w:t>
      </w:r>
      <w:r>
        <w:rPr>
          <w:color w:val="231F20"/>
          <w:spacing w:val="-5"/>
        </w:rPr>
        <w:t> </w:t>
      </w:r>
      <w:r>
        <w:rPr>
          <w:color w:val="231F20"/>
        </w:rPr>
        <w:t>de</w:t>
      </w:r>
      <w:r>
        <w:rPr>
          <w:color w:val="231F20"/>
          <w:spacing w:val="-5"/>
        </w:rPr>
        <w:t> </w:t>
      </w:r>
      <w:r>
        <w:rPr>
          <w:color w:val="231F20"/>
        </w:rPr>
        <w:t>México</w:t>
      </w:r>
      <w:r>
        <w:rPr>
          <w:color w:val="231F20"/>
          <w:spacing w:val="-4"/>
        </w:rPr>
        <w:t> </w:t>
      </w:r>
      <w:r>
        <w:rPr>
          <w:color w:val="231F20"/>
        </w:rPr>
        <w:t>(3.6</w:t>
      </w:r>
      <w:r>
        <w:rPr>
          <w:color w:val="231F20"/>
          <w:spacing w:val="-4"/>
        </w:rPr>
        <w:t> </w:t>
      </w:r>
      <w:r>
        <w:rPr>
          <w:color w:val="231F20"/>
        </w:rPr>
        <w:t>por</w:t>
      </w:r>
      <w:r>
        <w:rPr>
          <w:color w:val="231F20"/>
          <w:spacing w:val="-5"/>
        </w:rPr>
        <w:t> </w:t>
      </w:r>
      <w:r>
        <w:rPr>
          <w:color w:val="231F20"/>
        </w:rPr>
        <w:t>ciento)</w:t>
      </w:r>
      <w:r>
        <w:rPr>
          <w:color w:val="231F20"/>
          <w:spacing w:val="-5"/>
        </w:rPr>
        <w:t> </w:t>
      </w:r>
      <w:r>
        <w:rPr>
          <w:color w:val="231F20"/>
        </w:rPr>
        <w:t>son</w:t>
      </w:r>
      <w:r>
        <w:rPr>
          <w:color w:val="231F20"/>
          <w:spacing w:val="-4"/>
        </w:rPr>
        <w:t> </w:t>
      </w:r>
      <w:r>
        <w:rPr>
          <w:color w:val="231F20"/>
        </w:rPr>
        <w:t>las</w:t>
      </w:r>
      <w:r>
        <w:rPr>
          <w:color w:val="231F20"/>
          <w:spacing w:val="-5"/>
        </w:rPr>
        <w:t> </w:t>
      </w:r>
      <w:r>
        <w:rPr>
          <w:color w:val="231F20"/>
        </w:rPr>
        <w:t>entidades</w:t>
      </w:r>
      <w:r>
        <w:rPr>
          <w:color w:val="231F20"/>
          <w:spacing w:val="-5"/>
        </w:rPr>
        <w:t> </w:t>
      </w:r>
      <w:r>
        <w:rPr>
          <w:color w:val="231F20"/>
        </w:rPr>
        <w:t>que</w:t>
      </w:r>
      <w:r>
        <w:rPr>
          <w:color w:val="231F20"/>
          <w:spacing w:val="-5"/>
        </w:rPr>
        <w:t> </w:t>
      </w:r>
      <w:r>
        <w:rPr>
          <w:color w:val="231F20"/>
        </w:rPr>
        <w:t>emplean a un menor número de infantes. Para el caso específico de nuestro Estado, Hidalgo mantiene ocupada a 6.9 por ciento de su población infantil.</w:t>
      </w:r>
    </w:p>
    <w:p>
      <w:pPr>
        <w:pStyle w:val="BodyText"/>
        <w:spacing w:line="247" w:lineRule="auto"/>
        <w:ind w:left="117" w:right="114" w:firstLine="283"/>
        <w:jc w:val="both"/>
      </w:pPr>
      <w:r>
        <w:rPr>
          <w:color w:val="231F20"/>
        </w:rPr>
        <w:t>Por otra parte, analizando la información respecto a la población de 5</w:t>
      </w:r>
      <w:r>
        <w:rPr>
          <w:color w:val="231F20"/>
          <w:spacing w:val="-36"/>
        </w:rPr>
        <w:t> </w:t>
      </w:r>
      <w:r>
        <w:rPr>
          <w:color w:val="231F20"/>
        </w:rPr>
        <w:t>a 17 años ocupada nacional, encontramos que el primer lugar lo tiene el Es- tado de Jalisco con 10.1 por ciento, seguido por Puebla con 9.1 por ciento y en tercer lugar se ubica </w:t>
      </w:r>
      <w:r>
        <w:rPr>
          <w:color w:val="231F20"/>
          <w:spacing w:val="-4"/>
        </w:rPr>
        <w:t>Veracruz </w:t>
      </w:r>
      <w:r>
        <w:rPr>
          <w:color w:val="231F20"/>
        </w:rPr>
        <w:t>con 8.8 por ciento.</w:t>
      </w:r>
    </w:p>
    <w:p>
      <w:pPr>
        <w:pStyle w:val="BodyText"/>
        <w:spacing w:line="247" w:lineRule="auto"/>
        <w:ind w:left="117" w:right="115" w:firstLine="283"/>
        <w:jc w:val="both"/>
      </w:pPr>
      <w:r>
        <w:rPr>
          <w:color w:val="231F20"/>
        </w:rPr>
        <w:t>En el Estado de Hidalgo los trabajadores infantiles respecto a la pobla- ción de 5 a 17 años ocupada a nivel nacional tienen una incidencia de 2.5 por ciento.</w:t>
      </w:r>
    </w:p>
    <w:p>
      <w:pPr>
        <w:pStyle w:val="BodyText"/>
        <w:spacing w:line="247" w:lineRule="auto"/>
        <w:ind w:left="117" w:right="114" w:firstLine="283"/>
        <w:jc w:val="right"/>
      </w:pPr>
      <w:r>
        <w:rPr>
          <w:color w:val="231F20"/>
          <w:spacing w:val="-4"/>
        </w:rPr>
        <w:t>Todo </w:t>
      </w:r>
      <w:r>
        <w:rPr>
          <w:color w:val="231F20"/>
        </w:rPr>
        <w:t>este grupo de trabajadores cuenta por lo regular con</w:t>
      </w:r>
      <w:r>
        <w:rPr>
          <w:color w:val="231F20"/>
          <w:spacing w:val="17"/>
        </w:rPr>
        <w:t> </w:t>
      </w:r>
      <w:r>
        <w:rPr>
          <w:color w:val="231F20"/>
        </w:rPr>
        <w:t>un</w:t>
      </w:r>
      <w:r>
        <w:rPr>
          <w:color w:val="231F20"/>
          <w:spacing w:val="22"/>
        </w:rPr>
        <w:t> </w:t>
      </w:r>
      <w:r>
        <w:rPr>
          <w:color w:val="231F20"/>
        </w:rPr>
        <w:t>capital constituido básicamente por un único elemento, su fuerza</w:t>
      </w:r>
      <w:r>
        <w:rPr>
          <w:color w:val="231F20"/>
          <w:spacing w:val="34"/>
        </w:rPr>
        <w:t> </w:t>
      </w:r>
      <w:r>
        <w:rPr>
          <w:color w:val="231F20"/>
        </w:rPr>
        <w:t>física.</w:t>
      </w:r>
      <w:r>
        <w:rPr>
          <w:color w:val="231F20"/>
          <w:spacing w:val="5"/>
        </w:rPr>
        <w:t> </w:t>
      </w:r>
      <w:r>
        <w:rPr>
          <w:color w:val="231F20"/>
        </w:rPr>
        <w:t>Actual- mente un porcentaje significativo de estos niños, niñas y</w:t>
      </w:r>
      <w:r>
        <w:rPr>
          <w:color w:val="231F20"/>
          <w:spacing w:val="-37"/>
        </w:rPr>
        <w:t> </w:t>
      </w:r>
      <w:r>
        <w:rPr>
          <w:color w:val="231F20"/>
        </w:rPr>
        <w:t>adolescentes</w:t>
      </w:r>
      <w:r>
        <w:rPr>
          <w:color w:val="231F20"/>
          <w:spacing w:val="-5"/>
        </w:rPr>
        <w:t> </w:t>
      </w:r>
      <w:r>
        <w:rPr>
          <w:color w:val="231F20"/>
        </w:rPr>
        <w:t>ante</w:t>
      </w:r>
      <w:r>
        <w:rPr>
          <w:color w:val="231F20"/>
          <w:w w:val="100"/>
        </w:rPr>
        <w:t> </w:t>
      </w:r>
      <w:r>
        <w:rPr>
          <w:color w:val="231F20"/>
        </w:rPr>
        <w:t>la</w:t>
      </w:r>
      <w:r>
        <w:rPr>
          <w:color w:val="231F20"/>
          <w:spacing w:val="-9"/>
        </w:rPr>
        <w:t> </w:t>
      </w:r>
      <w:r>
        <w:rPr>
          <w:color w:val="231F20"/>
        </w:rPr>
        <w:t>falta</w:t>
      </w:r>
      <w:r>
        <w:rPr>
          <w:color w:val="231F20"/>
          <w:spacing w:val="-9"/>
        </w:rPr>
        <w:t> </w:t>
      </w:r>
      <w:r>
        <w:rPr>
          <w:color w:val="231F20"/>
        </w:rPr>
        <w:t>de</w:t>
      </w:r>
      <w:r>
        <w:rPr>
          <w:color w:val="231F20"/>
          <w:spacing w:val="-9"/>
        </w:rPr>
        <w:t> </w:t>
      </w:r>
      <w:r>
        <w:rPr>
          <w:color w:val="231F20"/>
        </w:rPr>
        <w:t>oportunidades</w:t>
      </w:r>
      <w:r>
        <w:rPr>
          <w:color w:val="231F20"/>
          <w:spacing w:val="-9"/>
        </w:rPr>
        <w:t> </w:t>
      </w:r>
      <w:r>
        <w:rPr>
          <w:color w:val="231F20"/>
        </w:rPr>
        <w:t>de</w:t>
      </w:r>
      <w:r>
        <w:rPr>
          <w:color w:val="231F20"/>
          <w:spacing w:val="-9"/>
        </w:rPr>
        <w:t> </w:t>
      </w:r>
      <w:r>
        <w:rPr>
          <w:color w:val="231F20"/>
        </w:rPr>
        <w:t>empleo</w:t>
      </w:r>
      <w:r>
        <w:rPr>
          <w:color w:val="231F20"/>
          <w:spacing w:val="-9"/>
        </w:rPr>
        <w:t> </w:t>
      </w:r>
      <w:r>
        <w:rPr>
          <w:color w:val="231F20"/>
        </w:rPr>
        <w:t>y</w:t>
      </w:r>
      <w:r>
        <w:rPr>
          <w:color w:val="231F20"/>
          <w:spacing w:val="-9"/>
        </w:rPr>
        <w:t> </w:t>
      </w:r>
      <w:r>
        <w:rPr>
          <w:color w:val="231F20"/>
        </w:rPr>
        <w:t>otros</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necesidad</w:t>
      </w:r>
      <w:r>
        <w:rPr>
          <w:color w:val="231F20"/>
          <w:spacing w:val="-9"/>
        </w:rPr>
        <w:t> </w:t>
      </w:r>
      <w:r>
        <w:rPr>
          <w:color w:val="231F20"/>
        </w:rPr>
        <w:t>de</w:t>
      </w:r>
      <w:r>
        <w:rPr>
          <w:color w:val="231F20"/>
          <w:spacing w:val="-9"/>
        </w:rPr>
        <w:t> </w:t>
      </w:r>
      <w:r>
        <w:rPr>
          <w:color w:val="231F20"/>
        </w:rPr>
        <w:t>unirse</w:t>
      </w:r>
      <w:r>
        <w:rPr>
          <w:color w:val="231F20"/>
          <w:spacing w:val="-9"/>
        </w:rPr>
        <w:t> </w:t>
      </w:r>
      <w:r>
        <w:rPr>
          <w:color w:val="231F20"/>
        </w:rPr>
        <w:t>a</w:t>
      </w:r>
      <w:r>
        <w:rPr>
          <w:color w:val="231F20"/>
          <w:spacing w:val="-9"/>
        </w:rPr>
        <w:t> </w:t>
      </w:r>
      <w:r>
        <w:rPr>
          <w:color w:val="231F20"/>
        </w:rPr>
        <w:t>sus</w:t>
      </w:r>
      <w:r>
        <w:rPr>
          <w:color w:val="231F20"/>
          <w:spacing w:val="-1"/>
        </w:rPr>
        <w:t> </w:t>
      </w:r>
      <w:r>
        <w:rPr>
          <w:color w:val="231F20"/>
        </w:rPr>
        <w:t>familias que se desplazaron a otros Estados, han decidido</w:t>
      </w:r>
      <w:r>
        <w:rPr>
          <w:color w:val="231F20"/>
          <w:spacing w:val="5"/>
        </w:rPr>
        <w:t> </w:t>
      </w:r>
      <w:r>
        <w:rPr>
          <w:color w:val="231F20"/>
        </w:rPr>
        <w:t>buscar</w:t>
      </w:r>
      <w:r>
        <w:rPr>
          <w:color w:val="231F20"/>
          <w:spacing w:val="12"/>
        </w:rPr>
        <w:t> </w:t>
      </w:r>
      <w:r>
        <w:rPr>
          <w:color w:val="231F20"/>
        </w:rPr>
        <w:t>oportu- nidades laborales en un mercado laboral diferente al de su lugar</w:t>
      </w:r>
      <w:r>
        <w:rPr>
          <w:color w:val="231F20"/>
          <w:spacing w:val="-28"/>
        </w:rPr>
        <w:t> </w:t>
      </w:r>
      <w:r>
        <w:rPr>
          <w:color w:val="231F20"/>
        </w:rPr>
        <w:t>de</w:t>
      </w:r>
      <w:r>
        <w:rPr>
          <w:color w:val="231F20"/>
          <w:spacing w:val="-3"/>
        </w:rPr>
        <w:t> </w:t>
      </w:r>
      <w:r>
        <w:rPr>
          <w:color w:val="231F20"/>
        </w:rPr>
        <w:t>origen. La </w:t>
      </w:r>
      <w:r>
        <w:rPr>
          <w:color w:val="231F20"/>
          <w:spacing w:val="-4"/>
        </w:rPr>
        <w:t>Tabla </w:t>
      </w:r>
      <w:r>
        <w:rPr>
          <w:color w:val="231F20"/>
        </w:rPr>
        <w:t>2 nos permite visualizar en primera instancia el</w:t>
      </w:r>
      <w:r>
        <w:rPr>
          <w:color w:val="231F20"/>
          <w:spacing w:val="13"/>
        </w:rPr>
        <w:t> </w:t>
      </w:r>
      <w:r>
        <w:rPr>
          <w:color w:val="231F20"/>
        </w:rPr>
        <w:t>porcentaje</w:t>
      </w:r>
      <w:r>
        <w:rPr>
          <w:color w:val="231F20"/>
          <w:spacing w:val="1"/>
        </w:rPr>
        <w:t> </w:t>
      </w:r>
      <w:r>
        <w:rPr>
          <w:color w:val="231F20"/>
        </w:rPr>
        <w:t>de trabajadores infantiles que ha llegado a las diversas</w:t>
      </w:r>
      <w:r>
        <w:rPr>
          <w:color w:val="231F20"/>
          <w:spacing w:val="29"/>
        </w:rPr>
        <w:t> </w:t>
      </w:r>
      <w:r>
        <w:rPr>
          <w:color w:val="231F20"/>
        </w:rPr>
        <w:t>entidades</w:t>
      </w:r>
      <w:r>
        <w:rPr>
          <w:color w:val="231F20"/>
          <w:spacing w:val="10"/>
        </w:rPr>
        <w:t> </w:t>
      </w:r>
      <w:r>
        <w:rPr>
          <w:color w:val="231F20"/>
        </w:rPr>
        <w:t>federativas procedentes de otros Estados y a los cuales denominamos</w:t>
      </w:r>
      <w:r>
        <w:rPr>
          <w:color w:val="231F20"/>
          <w:spacing w:val="-3"/>
        </w:rPr>
        <w:t> </w:t>
      </w:r>
      <w:r>
        <w:rPr>
          <w:color w:val="231F20"/>
        </w:rPr>
        <w:t>inmigrantes.</w:t>
      </w:r>
      <w:r>
        <w:rPr>
          <w:color w:val="231F20"/>
          <w:spacing w:val="-1"/>
        </w:rPr>
        <w:t> </w:t>
      </w:r>
      <w:r>
        <w:rPr>
          <w:color w:val="231F20"/>
        </w:rPr>
        <w:t>En tanto, en la tercera columna se registra el porcentaje de emigrantes, es</w:t>
      </w:r>
      <w:r>
        <w:rPr>
          <w:color w:val="231F20"/>
          <w:spacing w:val="22"/>
        </w:rPr>
        <w:t> </w:t>
      </w:r>
      <w:r>
        <w:rPr>
          <w:color w:val="231F20"/>
        </w:rPr>
        <w:t>de-</w:t>
      </w:r>
    </w:p>
    <w:p>
      <w:pPr>
        <w:spacing w:after="0" w:line="247" w:lineRule="auto"/>
        <w:jc w:val="right"/>
        <w:sectPr>
          <w:pgSz w:w="9360" w:h="13040"/>
          <w:pgMar w:header="0" w:footer="496" w:top="840" w:bottom="680" w:left="1300" w:right="1300"/>
        </w:sectPr>
      </w:pPr>
    </w:p>
    <w:p>
      <w:pPr>
        <w:spacing w:before="45"/>
        <w:ind w:left="963" w:right="0" w:firstLine="0"/>
        <w:jc w:val="left"/>
        <w:rPr>
          <w:rFonts w:ascii="Arial" w:hAnsi="Arial"/>
          <w:sz w:val="20"/>
        </w:rPr>
      </w:pPr>
      <w:r>
        <w:rPr>
          <w:rFonts w:ascii="Arial" w:hAnsi="Arial"/>
          <w:color w:val="231F20"/>
          <w:w w:val="65"/>
          <w:sz w:val="20"/>
        </w:rPr>
        <w:t>Un</w:t>
      </w:r>
      <w:r>
        <w:rPr>
          <w:rFonts w:ascii="Arial" w:hAnsi="Arial"/>
          <w:color w:val="231F20"/>
          <w:spacing w:val="-11"/>
          <w:w w:val="65"/>
          <w:sz w:val="20"/>
        </w:rPr>
        <w:t> </w:t>
      </w:r>
      <w:r>
        <w:rPr>
          <w:rFonts w:ascii="Arial" w:hAnsi="Arial"/>
          <w:color w:val="231F20"/>
          <w:w w:val="65"/>
          <w:sz w:val="20"/>
        </w:rPr>
        <w:t>actor</w:t>
      </w:r>
      <w:r>
        <w:rPr>
          <w:rFonts w:ascii="Arial" w:hAnsi="Arial"/>
          <w:color w:val="231F20"/>
          <w:spacing w:val="-11"/>
          <w:w w:val="65"/>
          <w:sz w:val="20"/>
        </w:rPr>
        <w:t> </w:t>
      </w:r>
      <w:r>
        <w:rPr>
          <w:rFonts w:ascii="Arial" w:hAnsi="Arial"/>
          <w:color w:val="231F20"/>
          <w:w w:val="65"/>
          <w:sz w:val="20"/>
        </w:rPr>
        <w:t>más</w:t>
      </w:r>
      <w:r>
        <w:rPr>
          <w:rFonts w:ascii="Arial" w:hAnsi="Arial"/>
          <w:color w:val="231F20"/>
          <w:spacing w:val="-11"/>
          <w:w w:val="65"/>
          <w:sz w:val="20"/>
        </w:rPr>
        <w:t> </w:t>
      </w:r>
      <w:r>
        <w:rPr>
          <w:rFonts w:ascii="Arial" w:hAnsi="Arial"/>
          <w:color w:val="231F20"/>
          <w:w w:val="65"/>
          <w:sz w:val="20"/>
        </w:rPr>
        <w:t>en</w:t>
      </w:r>
      <w:r>
        <w:rPr>
          <w:rFonts w:ascii="Arial" w:hAnsi="Arial"/>
          <w:color w:val="231F20"/>
          <w:spacing w:val="-11"/>
          <w:w w:val="65"/>
          <w:sz w:val="20"/>
        </w:rPr>
        <w:t> </w:t>
      </w:r>
      <w:r>
        <w:rPr>
          <w:rFonts w:ascii="Arial" w:hAnsi="Arial"/>
          <w:color w:val="231F20"/>
          <w:w w:val="65"/>
          <w:sz w:val="20"/>
        </w:rPr>
        <w:t>los</w:t>
      </w:r>
      <w:r>
        <w:rPr>
          <w:rFonts w:ascii="Arial" w:hAnsi="Arial"/>
          <w:color w:val="231F20"/>
          <w:spacing w:val="-11"/>
          <w:w w:val="65"/>
          <w:sz w:val="20"/>
        </w:rPr>
        <w:t> </w:t>
      </w:r>
      <w:r>
        <w:rPr>
          <w:rFonts w:ascii="Arial" w:hAnsi="Arial"/>
          <w:color w:val="231F20"/>
          <w:w w:val="65"/>
          <w:sz w:val="20"/>
        </w:rPr>
        <w:t>procesos</w:t>
      </w:r>
      <w:r>
        <w:rPr>
          <w:rFonts w:ascii="Arial" w:hAnsi="Arial"/>
          <w:color w:val="231F20"/>
          <w:spacing w:val="-11"/>
          <w:w w:val="65"/>
          <w:sz w:val="20"/>
        </w:rPr>
        <w:t> </w:t>
      </w:r>
      <w:r>
        <w:rPr>
          <w:rFonts w:ascii="Arial" w:hAnsi="Arial"/>
          <w:color w:val="231F20"/>
          <w:w w:val="65"/>
          <w:sz w:val="20"/>
        </w:rPr>
        <w:t>migratorios:...</w:t>
      </w:r>
      <w:r>
        <w:rPr>
          <w:rFonts w:ascii="Arial" w:hAnsi="Arial"/>
          <w:color w:val="231F20"/>
          <w:spacing w:val="-11"/>
          <w:w w:val="65"/>
          <w:sz w:val="20"/>
        </w:rPr>
        <w:t> </w:t>
      </w:r>
      <w:r>
        <w:rPr>
          <w:rFonts w:ascii="Arial" w:hAnsi="Arial"/>
          <w:color w:val="231F20"/>
          <w:w w:val="65"/>
          <w:sz w:val="20"/>
        </w:rPr>
        <w:t>/Silvia</w:t>
      </w:r>
      <w:r>
        <w:rPr>
          <w:rFonts w:ascii="Arial" w:hAnsi="Arial"/>
          <w:color w:val="231F20"/>
          <w:spacing w:val="-19"/>
          <w:w w:val="65"/>
          <w:sz w:val="20"/>
        </w:rPr>
        <w:t> </w:t>
      </w:r>
      <w:r>
        <w:rPr>
          <w:rFonts w:ascii="Arial" w:hAnsi="Arial"/>
          <w:color w:val="231F20"/>
          <w:w w:val="65"/>
          <w:sz w:val="20"/>
        </w:rPr>
        <w:t>L.</w:t>
      </w:r>
      <w:r>
        <w:rPr>
          <w:rFonts w:ascii="Arial" w:hAnsi="Arial"/>
          <w:color w:val="231F20"/>
          <w:spacing w:val="-19"/>
          <w:w w:val="65"/>
          <w:sz w:val="20"/>
        </w:rPr>
        <w:t> </w:t>
      </w:r>
      <w:r>
        <w:rPr>
          <w:rFonts w:ascii="Arial" w:hAnsi="Arial"/>
          <w:color w:val="231F20"/>
          <w:w w:val="65"/>
          <w:sz w:val="20"/>
        </w:rPr>
        <w:t>Aguilar-Velázquez</w:t>
      </w:r>
      <w:r>
        <w:rPr>
          <w:rFonts w:ascii="Arial" w:hAnsi="Arial"/>
          <w:color w:val="231F20"/>
          <w:spacing w:val="-19"/>
          <w:w w:val="65"/>
          <w:sz w:val="20"/>
        </w:rPr>
        <w:t> </w:t>
      </w:r>
      <w:r>
        <w:rPr>
          <w:rFonts w:ascii="Arial" w:hAnsi="Arial"/>
          <w:color w:val="231F20"/>
          <w:w w:val="65"/>
          <w:sz w:val="20"/>
        </w:rPr>
        <w:t>y</w:t>
      </w:r>
      <w:r>
        <w:rPr>
          <w:rFonts w:ascii="Arial" w:hAnsi="Arial"/>
          <w:color w:val="231F20"/>
          <w:spacing w:val="-19"/>
          <w:w w:val="65"/>
          <w:sz w:val="20"/>
        </w:rPr>
        <w:t> </w:t>
      </w:r>
      <w:r>
        <w:rPr>
          <w:rFonts w:ascii="Arial" w:hAnsi="Arial"/>
          <w:color w:val="231F20"/>
          <w:w w:val="65"/>
          <w:sz w:val="20"/>
        </w:rPr>
        <w:t>Belinda</w:t>
      </w:r>
      <w:r>
        <w:rPr>
          <w:rFonts w:ascii="Arial" w:hAnsi="Arial"/>
          <w:color w:val="231F20"/>
          <w:spacing w:val="-19"/>
          <w:w w:val="65"/>
          <w:sz w:val="20"/>
        </w:rPr>
        <w:t> </w:t>
      </w:r>
      <w:r>
        <w:rPr>
          <w:rFonts w:ascii="Arial" w:hAnsi="Arial"/>
          <w:color w:val="231F20"/>
          <w:w w:val="65"/>
          <w:sz w:val="20"/>
        </w:rPr>
        <w:t>Ordóñez-Vázquez</w:t>
      </w:r>
    </w:p>
    <w:p>
      <w:pPr>
        <w:pStyle w:val="BodyText"/>
        <w:rPr>
          <w:rFonts w:ascii="Arial"/>
          <w:sz w:val="20"/>
        </w:rPr>
      </w:pPr>
    </w:p>
    <w:p>
      <w:pPr>
        <w:spacing w:line="252" w:lineRule="auto" w:before="157"/>
        <w:ind w:left="397" w:right="377" w:firstLine="0"/>
        <w:jc w:val="left"/>
        <w:rPr>
          <w:sz w:val="19"/>
        </w:rPr>
      </w:pPr>
      <w:r>
        <w:rPr/>
        <w:pict>
          <v:shape style="position:absolute;margin-left:79.331001pt;margin-top:30.879562pt;width:317.3pt;height:.1pt;mso-position-horizontal-relative:page;mso-position-vertical-relative:paragraph;z-index:8848" coordorigin="1587,618" coordsize="6346,0" path="m1587,618l3540,618m3540,618l3550,618m3550,618l5383,618m5383,618l5393,618m5393,618l7932,618e" filled="false" stroked="true" strokeweight=".48pt" strokecolor="#000000">
            <v:path arrowok="t"/>
            <w10:wrap type="none"/>
          </v:shape>
        </w:pict>
      </w:r>
      <w:r>
        <w:rPr>
          <w:w w:val="105"/>
          <w:sz w:val="19"/>
        </w:rPr>
        <w:t>Tabla 1. Distribución porcentual de la población infantil ocupada por entidad federativa y respecto a la nacional, 2009</w:t>
      </w:r>
    </w:p>
    <w:p>
      <w:pPr>
        <w:spacing w:after="0" w:line="252" w:lineRule="auto"/>
        <w:jc w:val="left"/>
        <w:rPr>
          <w:sz w:val="19"/>
        </w:rPr>
        <w:sectPr>
          <w:pgSz w:w="9360" w:h="13040"/>
          <w:pgMar w:header="0" w:footer="496" w:top="740" w:bottom="680" w:left="1300" w:right="1300"/>
        </w:sectPr>
      </w:pPr>
    </w:p>
    <w:p>
      <w:pPr>
        <w:tabs>
          <w:tab w:pos="2545" w:val="left" w:leader="none"/>
        </w:tabs>
        <w:spacing w:before="11"/>
        <w:ind w:left="397" w:right="0" w:firstLine="0"/>
        <w:jc w:val="left"/>
        <w:rPr>
          <w:sz w:val="19"/>
        </w:rPr>
      </w:pPr>
      <w:r>
        <w:rPr/>
        <w:pict>
          <v:shape style="position:absolute;margin-left:79.331001pt;margin-top:13.023793pt;width:317.3pt;height:393.4pt;mso-position-horizontal-relative:page;mso-position-vertical-relative:paragraph;z-index:887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89"/>
                    <w:gridCol w:w="1710"/>
                    <w:gridCol w:w="2246"/>
                  </w:tblGrid>
                  <w:tr>
                    <w:trPr>
                      <w:trHeight w:val="221" w:hRule="exact"/>
                    </w:trPr>
                    <w:tc>
                      <w:tcPr>
                        <w:tcW w:w="2389" w:type="dxa"/>
                        <w:tcBorders>
                          <w:bottom w:val="double" w:sz="4" w:space="0" w:color="000000"/>
                        </w:tcBorders>
                      </w:tcPr>
                      <w:p>
                        <w:pPr/>
                      </w:p>
                    </w:tc>
                    <w:tc>
                      <w:tcPr>
                        <w:tcW w:w="1710" w:type="dxa"/>
                        <w:tcBorders>
                          <w:bottom w:val="double" w:sz="4" w:space="0" w:color="000000"/>
                        </w:tcBorders>
                      </w:tcPr>
                      <w:p>
                        <w:pPr>
                          <w:pStyle w:val="TableParagraph"/>
                          <w:spacing w:line="199" w:lineRule="exact"/>
                          <w:ind w:right="411"/>
                          <w:rPr>
                            <w:sz w:val="19"/>
                          </w:rPr>
                        </w:pPr>
                        <w:r>
                          <w:rPr>
                            <w:sz w:val="19"/>
                          </w:rPr>
                          <w:t>ocupada</w:t>
                        </w:r>
                      </w:p>
                    </w:tc>
                    <w:tc>
                      <w:tcPr>
                        <w:tcW w:w="2246" w:type="dxa"/>
                        <w:tcBorders>
                          <w:bottom w:val="double" w:sz="4" w:space="0" w:color="000000"/>
                        </w:tcBorders>
                      </w:tcPr>
                      <w:p>
                        <w:pPr>
                          <w:pStyle w:val="TableParagraph"/>
                          <w:spacing w:line="199" w:lineRule="exact"/>
                          <w:ind w:right="105"/>
                          <w:rPr>
                            <w:sz w:val="19"/>
                          </w:rPr>
                        </w:pPr>
                        <w:r>
                          <w:rPr>
                            <w:w w:val="105"/>
                            <w:sz w:val="19"/>
                          </w:rPr>
                          <w:t>respecto a la nacional</w:t>
                        </w:r>
                      </w:p>
                    </w:tc>
                  </w:tr>
                  <w:tr>
                    <w:trPr>
                      <w:trHeight w:val="252" w:hRule="exact"/>
                    </w:trPr>
                    <w:tc>
                      <w:tcPr>
                        <w:tcW w:w="2389" w:type="dxa"/>
                        <w:tcBorders>
                          <w:top w:val="double" w:sz="4" w:space="0" w:color="000000"/>
                        </w:tcBorders>
                      </w:tcPr>
                      <w:p>
                        <w:pPr>
                          <w:pStyle w:val="TableParagraph"/>
                          <w:spacing w:before="5"/>
                          <w:ind w:left="110"/>
                          <w:jc w:val="left"/>
                          <w:rPr>
                            <w:sz w:val="19"/>
                          </w:rPr>
                        </w:pPr>
                        <w:r>
                          <w:rPr>
                            <w:w w:val="105"/>
                            <w:sz w:val="19"/>
                          </w:rPr>
                          <w:t>República Mexicana</w:t>
                        </w:r>
                      </w:p>
                    </w:tc>
                    <w:tc>
                      <w:tcPr>
                        <w:tcW w:w="1710" w:type="dxa"/>
                        <w:tcBorders>
                          <w:top w:val="double" w:sz="4" w:space="0" w:color="000000"/>
                        </w:tcBorders>
                      </w:tcPr>
                      <w:p>
                        <w:pPr>
                          <w:pStyle w:val="TableParagraph"/>
                          <w:spacing w:before="5"/>
                          <w:ind w:right="412"/>
                          <w:rPr>
                            <w:sz w:val="19"/>
                          </w:rPr>
                        </w:pPr>
                        <w:r>
                          <w:rPr>
                            <w:sz w:val="19"/>
                          </w:rPr>
                          <w:t>6.3</w:t>
                        </w:r>
                      </w:p>
                    </w:tc>
                    <w:tc>
                      <w:tcPr>
                        <w:tcW w:w="2246" w:type="dxa"/>
                        <w:tcBorders>
                          <w:top w:val="double" w:sz="4" w:space="0" w:color="000000"/>
                        </w:tcBorders>
                      </w:tcPr>
                      <w:p>
                        <w:pPr>
                          <w:pStyle w:val="TableParagraph"/>
                          <w:spacing w:before="5"/>
                          <w:ind w:right="105"/>
                          <w:rPr>
                            <w:sz w:val="19"/>
                          </w:rPr>
                        </w:pPr>
                        <w:r>
                          <w:rPr>
                            <w:sz w:val="19"/>
                          </w:rPr>
                          <w:t>100.0</w:t>
                        </w:r>
                      </w:p>
                    </w:tc>
                  </w:tr>
                  <w:tr>
                    <w:trPr>
                      <w:trHeight w:val="230" w:hRule="exact"/>
                    </w:trPr>
                    <w:tc>
                      <w:tcPr>
                        <w:tcW w:w="2389" w:type="dxa"/>
                      </w:tcPr>
                      <w:p>
                        <w:pPr>
                          <w:pStyle w:val="TableParagraph"/>
                          <w:spacing w:line="216" w:lineRule="exact"/>
                          <w:ind w:left="110"/>
                          <w:jc w:val="left"/>
                          <w:rPr>
                            <w:sz w:val="19"/>
                          </w:rPr>
                        </w:pPr>
                        <w:r>
                          <w:rPr>
                            <w:w w:val="105"/>
                            <w:sz w:val="19"/>
                          </w:rPr>
                          <w:t>Aguascalientes</w:t>
                        </w:r>
                      </w:p>
                    </w:tc>
                    <w:tc>
                      <w:tcPr>
                        <w:tcW w:w="1710" w:type="dxa"/>
                      </w:tcPr>
                      <w:p>
                        <w:pPr>
                          <w:pStyle w:val="TableParagraph"/>
                          <w:spacing w:line="216" w:lineRule="exact"/>
                          <w:ind w:right="412"/>
                          <w:rPr>
                            <w:sz w:val="19"/>
                          </w:rPr>
                        </w:pPr>
                        <w:r>
                          <w:rPr>
                            <w:sz w:val="19"/>
                          </w:rPr>
                          <w:t>5.7</w:t>
                        </w:r>
                      </w:p>
                    </w:tc>
                    <w:tc>
                      <w:tcPr>
                        <w:tcW w:w="2246" w:type="dxa"/>
                      </w:tcPr>
                      <w:p>
                        <w:pPr>
                          <w:pStyle w:val="TableParagraph"/>
                          <w:spacing w:line="216" w:lineRule="exact"/>
                          <w:ind w:right="105"/>
                          <w:rPr>
                            <w:sz w:val="19"/>
                          </w:rPr>
                        </w:pPr>
                        <w:r>
                          <w:rPr>
                            <w:sz w:val="19"/>
                          </w:rPr>
                          <w:t>1.1</w:t>
                        </w:r>
                      </w:p>
                    </w:tc>
                  </w:tr>
                  <w:tr>
                    <w:trPr>
                      <w:trHeight w:val="230" w:hRule="exact"/>
                    </w:trPr>
                    <w:tc>
                      <w:tcPr>
                        <w:tcW w:w="2389" w:type="dxa"/>
                      </w:tcPr>
                      <w:p>
                        <w:pPr>
                          <w:pStyle w:val="TableParagraph"/>
                          <w:spacing w:line="216" w:lineRule="exact"/>
                          <w:ind w:left="110"/>
                          <w:jc w:val="left"/>
                          <w:rPr>
                            <w:sz w:val="19"/>
                          </w:rPr>
                        </w:pPr>
                        <w:r>
                          <w:rPr>
                            <w:w w:val="105"/>
                            <w:sz w:val="19"/>
                          </w:rPr>
                          <w:t>Baja California</w:t>
                        </w:r>
                      </w:p>
                    </w:tc>
                    <w:tc>
                      <w:tcPr>
                        <w:tcW w:w="1710" w:type="dxa"/>
                      </w:tcPr>
                      <w:p>
                        <w:pPr>
                          <w:pStyle w:val="TableParagraph"/>
                          <w:spacing w:line="216" w:lineRule="exact"/>
                          <w:ind w:right="412"/>
                          <w:rPr>
                            <w:sz w:val="19"/>
                          </w:rPr>
                        </w:pPr>
                        <w:r>
                          <w:rPr>
                            <w:sz w:val="19"/>
                          </w:rPr>
                          <w:t>3.1</w:t>
                        </w:r>
                      </w:p>
                    </w:tc>
                    <w:tc>
                      <w:tcPr>
                        <w:tcW w:w="2246" w:type="dxa"/>
                      </w:tcPr>
                      <w:p>
                        <w:pPr>
                          <w:pStyle w:val="TableParagraph"/>
                          <w:spacing w:line="216" w:lineRule="exact"/>
                          <w:ind w:right="105"/>
                          <w:rPr>
                            <w:sz w:val="19"/>
                          </w:rPr>
                        </w:pPr>
                        <w:r>
                          <w:rPr>
                            <w:sz w:val="19"/>
                          </w:rPr>
                          <w:t>1.4</w:t>
                        </w:r>
                      </w:p>
                    </w:tc>
                  </w:tr>
                  <w:tr>
                    <w:trPr>
                      <w:trHeight w:val="230" w:hRule="exact"/>
                    </w:trPr>
                    <w:tc>
                      <w:tcPr>
                        <w:tcW w:w="2389" w:type="dxa"/>
                      </w:tcPr>
                      <w:p>
                        <w:pPr>
                          <w:pStyle w:val="TableParagraph"/>
                          <w:spacing w:line="216" w:lineRule="exact"/>
                          <w:ind w:left="110"/>
                          <w:jc w:val="left"/>
                          <w:rPr>
                            <w:sz w:val="19"/>
                          </w:rPr>
                        </w:pPr>
                        <w:r>
                          <w:rPr>
                            <w:w w:val="105"/>
                            <w:sz w:val="19"/>
                          </w:rPr>
                          <w:t>Baja Cal Sur</w:t>
                        </w:r>
                      </w:p>
                    </w:tc>
                    <w:tc>
                      <w:tcPr>
                        <w:tcW w:w="1710" w:type="dxa"/>
                      </w:tcPr>
                      <w:p>
                        <w:pPr>
                          <w:pStyle w:val="TableParagraph"/>
                          <w:spacing w:line="216" w:lineRule="exact"/>
                          <w:ind w:right="412"/>
                          <w:rPr>
                            <w:sz w:val="19"/>
                          </w:rPr>
                        </w:pPr>
                        <w:r>
                          <w:rPr>
                            <w:sz w:val="19"/>
                          </w:rPr>
                          <w:t>3.7</w:t>
                        </w:r>
                      </w:p>
                    </w:tc>
                    <w:tc>
                      <w:tcPr>
                        <w:tcW w:w="2246" w:type="dxa"/>
                      </w:tcPr>
                      <w:p>
                        <w:pPr>
                          <w:pStyle w:val="TableParagraph"/>
                          <w:spacing w:line="216" w:lineRule="exact"/>
                          <w:ind w:right="105"/>
                          <w:rPr>
                            <w:sz w:val="19"/>
                          </w:rPr>
                        </w:pPr>
                        <w:r>
                          <w:rPr>
                            <w:sz w:val="19"/>
                          </w:rPr>
                          <w:t>0.3</w:t>
                        </w:r>
                      </w:p>
                    </w:tc>
                  </w:tr>
                  <w:tr>
                    <w:trPr>
                      <w:trHeight w:val="230" w:hRule="exact"/>
                    </w:trPr>
                    <w:tc>
                      <w:tcPr>
                        <w:tcW w:w="2389" w:type="dxa"/>
                      </w:tcPr>
                      <w:p>
                        <w:pPr>
                          <w:pStyle w:val="TableParagraph"/>
                          <w:spacing w:line="216" w:lineRule="exact"/>
                          <w:ind w:left="110"/>
                          <w:jc w:val="left"/>
                          <w:rPr>
                            <w:sz w:val="19"/>
                          </w:rPr>
                        </w:pPr>
                        <w:r>
                          <w:rPr>
                            <w:w w:val="105"/>
                            <w:sz w:val="19"/>
                          </w:rPr>
                          <w:t>Campeche</w:t>
                        </w:r>
                      </w:p>
                    </w:tc>
                    <w:tc>
                      <w:tcPr>
                        <w:tcW w:w="1710" w:type="dxa"/>
                      </w:tcPr>
                      <w:p>
                        <w:pPr>
                          <w:pStyle w:val="TableParagraph"/>
                          <w:spacing w:line="216" w:lineRule="exact"/>
                          <w:ind w:right="412"/>
                          <w:rPr>
                            <w:sz w:val="19"/>
                          </w:rPr>
                        </w:pPr>
                        <w:r>
                          <w:rPr>
                            <w:sz w:val="19"/>
                          </w:rPr>
                          <w:t>6.1</w:t>
                        </w:r>
                      </w:p>
                    </w:tc>
                    <w:tc>
                      <w:tcPr>
                        <w:tcW w:w="2246" w:type="dxa"/>
                      </w:tcPr>
                      <w:p>
                        <w:pPr>
                          <w:pStyle w:val="TableParagraph"/>
                          <w:spacing w:line="216" w:lineRule="exact"/>
                          <w:ind w:right="105"/>
                          <w:rPr>
                            <w:sz w:val="19"/>
                          </w:rPr>
                        </w:pPr>
                        <w:r>
                          <w:rPr>
                            <w:sz w:val="19"/>
                          </w:rPr>
                          <w:t>0.8</w:t>
                        </w:r>
                      </w:p>
                    </w:tc>
                  </w:tr>
                  <w:tr>
                    <w:trPr>
                      <w:trHeight w:val="230" w:hRule="exact"/>
                    </w:trPr>
                    <w:tc>
                      <w:tcPr>
                        <w:tcW w:w="2389" w:type="dxa"/>
                      </w:tcPr>
                      <w:p>
                        <w:pPr>
                          <w:pStyle w:val="TableParagraph"/>
                          <w:spacing w:line="216" w:lineRule="exact"/>
                          <w:ind w:left="110"/>
                          <w:jc w:val="left"/>
                          <w:rPr>
                            <w:sz w:val="19"/>
                          </w:rPr>
                        </w:pPr>
                        <w:r>
                          <w:rPr>
                            <w:w w:val="105"/>
                            <w:sz w:val="19"/>
                          </w:rPr>
                          <w:t>Coahuila</w:t>
                        </w:r>
                      </w:p>
                    </w:tc>
                    <w:tc>
                      <w:tcPr>
                        <w:tcW w:w="1710" w:type="dxa"/>
                      </w:tcPr>
                      <w:p>
                        <w:pPr>
                          <w:pStyle w:val="TableParagraph"/>
                          <w:spacing w:line="216" w:lineRule="exact"/>
                          <w:ind w:right="412"/>
                          <w:rPr>
                            <w:sz w:val="19"/>
                          </w:rPr>
                        </w:pPr>
                        <w:r>
                          <w:rPr>
                            <w:sz w:val="19"/>
                          </w:rPr>
                          <w:t>4.2</w:t>
                        </w:r>
                      </w:p>
                    </w:tc>
                    <w:tc>
                      <w:tcPr>
                        <w:tcW w:w="2246" w:type="dxa"/>
                      </w:tcPr>
                      <w:p>
                        <w:pPr>
                          <w:pStyle w:val="TableParagraph"/>
                          <w:spacing w:line="216" w:lineRule="exact"/>
                          <w:ind w:right="105"/>
                          <w:rPr>
                            <w:sz w:val="19"/>
                          </w:rPr>
                        </w:pPr>
                        <w:r>
                          <w:rPr>
                            <w:sz w:val="19"/>
                          </w:rPr>
                          <w:t>1.6</w:t>
                        </w:r>
                      </w:p>
                    </w:tc>
                  </w:tr>
                  <w:tr>
                    <w:trPr>
                      <w:trHeight w:val="230" w:hRule="exact"/>
                    </w:trPr>
                    <w:tc>
                      <w:tcPr>
                        <w:tcW w:w="2389" w:type="dxa"/>
                      </w:tcPr>
                      <w:p>
                        <w:pPr>
                          <w:pStyle w:val="TableParagraph"/>
                          <w:spacing w:line="216" w:lineRule="exact"/>
                          <w:ind w:left="110"/>
                          <w:jc w:val="left"/>
                          <w:rPr>
                            <w:sz w:val="19"/>
                          </w:rPr>
                        </w:pPr>
                        <w:r>
                          <w:rPr>
                            <w:w w:val="105"/>
                            <w:sz w:val="19"/>
                          </w:rPr>
                          <w:t>Colima</w:t>
                        </w:r>
                      </w:p>
                    </w:tc>
                    <w:tc>
                      <w:tcPr>
                        <w:tcW w:w="1710" w:type="dxa"/>
                      </w:tcPr>
                      <w:p>
                        <w:pPr>
                          <w:pStyle w:val="TableParagraph"/>
                          <w:spacing w:line="216" w:lineRule="exact"/>
                          <w:ind w:right="412"/>
                          <w:rPr>
                            <w:sz w:val="19"/>
                          </w:rPr>
                        </w:pPr>
                        <w:r>
                          <w:rPr>
                            <w:sz w:val="19"/>
                          </w:rPr>
                          <w:t>6.1</w:t>
                        </w:r>
                      </w:p>
                    </w:tc>
                    <w:tc>
                      <w:tcPr>
                        <w:tcW w:w="2246" w:type="dxa"/>
                      </w:tcPr>
                      <w:p>
                        <w:pPr>
                          <w:pStyle w:val="TableParagraph"/>
                          <w:spacing w:line="216" w:lineRule="exact"/>
                          <w:ind w:right="105"/>
                          <w:rPr>
                            <w:sz w:val="19"/>
                          </w:rPr>
                        </w:pPr>
                        <w:r>
                          <w:rPr>
                            <w:sz w:val="19"/>
                          </w:rPr>
                          <w:t>0.5</w:t>
                        </w:r>
                      </w:p>
                    </w:tc>
                  </w:tr>
                  <w:tr>
                    <w:trPr>
                      <w:trHeight w:val="228" w:hRule="exact"/>
                    </w:trPr>
                    <w:tc>
                      <w:tcPr>
                        <w:tcW w:w="2389" w:type="dxa"/>
                      </w:tcPr>
                      <w:p>
                        <w:pPr>
                          <w:pStyle w:val="TableParagraph"/>
                          <w:spacing w:line="216" w:lineRule="exact"/>
                          <w:ind w:left="110"/>
                          <w:jc w:val="left"/>
                          <w:rPr>
                            <w:sz w:val="19"/>
                          </w:rPr>
                        </w:pPr>
                        <w:r>
                          <w:rPr>
                            <w:w w:val="105"/>
                            <w:sz w:val="19"/>
                          </w:rPr>
                          <w:t>Chiapas</w:t>
                        </w:r>
                      </w:p>
                    </w:tc>
                    <w:tc>
                      <w:tcPr>
                        <w:tcW w:w="1710" w:type="dxa"/>
                      </w:tcPr>
                      <w:p>
                        <w:pPr>
                          <w:pStyle w:val="TableParagraph"/>
                          <w:spacing w:line="216" w:lineRule="exact"/>
                          <w:ind w:right="412"/>
                          <w:rPr>
                            <w:sz w:val="19"/>
                          </w:rPr>
                        </w:pPr>
                        <w:r>
                          <w:rPr>
                            <w:sz w:val="19"/>
                          </w:rPr>
                          <w:t>7.2</w:t>
                        </w:r>
                      </w:p>
                    </w:tc>
                    <w:tc>
                      <w:tcPr>
                        <w:tcW w:w="2246" w:type="dxa"/>
                      </w:tcPr>
                      <w:p>
                        <w:pPr>
                          <w:pStyle w:val="TableParagraph"/>
                          <w:spacing w:line="216" w:lineRule="exact"/>
                          <w:ind w:right="105"/>
                          <w:rPr>
                            <w:sz w:val="19"/>
                          </w:rPr>
                        </w:pPr>
                        <w:r>
                          <w:rPr>
                            <w:sz w:val="19"/>
                          </w:rPr>
                          <w:t>5.5</w:t>
                        </w:r>
                      </w:p>
                    </w:tc>
                  </w:tr>
                  <w:tr>
                    <w:trPr>
                      <w:trHeight w:val="228" w:hRule="exact"/>
                    </w:trPr>
                    <w:tc>
                      <w:tcPr>
                        <w:tcW w:w="2389" w:type="dxa"/>
                      </w:tcPr>
                      <w:p>
                        <w:pPr>
                          <w:pStyle w:val="TableParagraph"/>
                          <w:spacing w:line="214" w:lineRule="exact"/>
                          <w:ind w:left="110"/>
                          <w:jc w:val="left"/>
                          <w:rPr>
                            <w:sz w:val="19"/>
                          </w:rPr>
                        </w:pPr>
                        <w:r>
                          <w:rPr>
                            <w:w w:val="105"/>
                            <w:sz w:val="19"/>
                          </w:rPr>
                          <w:t>Chihuahua</w:t>
                        </w:r>
                      </w:p>
                    </w:tc>
                    <w:tc>
                      <w:tcPr>
                        <w:tcW w:w="1710" w:type="dxa"/>
                      </w:tcPr>
                      <w:p>
                        <w:pPr>
                          <w:pStyle w:val="TableParagraph"/>
                          <w:spacing w:line="214" w:lineRule="exact"/>
                          <w:ind w:right="412"/>
                          <w:rPr>
                            <w:sz w:val="19"/>
                          </w:rPr>
                        </w:pPr>
                        <w:r>
                          <w:rPr>
                            <w:sz w:val="19"/>
                          </w:rPr>
                          <w:t>5.3</w:t>
                        </w:r>
                      </w:p>
                    </w:tc>
                    <w:tc>
                      <w:tcPr>
                        <w:tcW w:w="2246" w:type="dxa"/>
                      </w:tcPr>
                      <w:p>
                        <w:pPr>
                          <w:pStyle w:val="TableParagraph"/>
                          <w:spacing w:line="214" w:lineRule="exact"/>
                          <w:ind w:right="105"/>
                          <w:rPr>
                            <w:sz w:val="19"/>
                          </w:rPr>
                        </w:pPr>
                        <w:r>
                          <w:rPr>
                            <w:sz w:val="19"/>
                          </w:rPr>
                          <w:t>2.5</w:t>
                        </w:r>
                      </w:p>
                    </w:tc>
                  </w:tr>
                  <w:tr>
                    <w:trPr>
                      <w:trHeight w:val="230" w:hRule="exact"/>
                    </w:trPr>
                    <w:tc>
                      <w:tcPr>
                        <w:tcW w:w="2389" w:type="dxa"/>
                      </w:tcPr>
                      <w:p>
                        <w:pPr>
                          <w:pStyle w:val="TableParagraph"/>
                          <w:spacing w:line="216" w:lineRule="exact"/>
                          <w:ind w:left="110"/>
                          <w:jc w:val="left"/>
                          <w:rPr>
                            <w:sz w:val="19"/>
                          </w:rPr>
                        </w:pPr>
                        <w:r>
                          <w:rPr>
                            <w:w w:val="105"/>
                            <w:sz w:val="19"/>
                          </w:rPr>
                          <w:t>Distrito Federal</w:t>
                        </w:r>
                      </w:p>
                    </w:tc>
                    <w:tc>
                      <w:tcPr>
                        <w:tcW w:w="1710" w:type="dxa"/>
                      </w:tcPr>
                      <w:p>
                        <w:pPr>
                          <w:pStyle w:val="TableParagraph"/>
                          <w:spacing w:line="216" w:lineRule="exact"/>
                          <w:ind w:right="412"/>
                          <w:rPr>
                            <w:sz w:val="19"/>
                          </w:rPr>
                        </w:pPr>
                        <w:r>
                          <w:rPr>
                            <w:sz w:val="19"/>
                          </w:rPr>
                          <w:t>3.5</w:t>
                        </w:r>
                      </w:p>
                    </w:tc>
                    <w:tc>
                      <w:tcPr>
                        <w:tcW w:w="2246" w:type="dxa"/>
                      </w:tcPr>
                      <w:p>
                        <w:pPr>
                          <w:pStyle w:val="TableParagraph"/>
                          <w:spacing w:line="216" w:lineRule="exact"/>
                          <w:ind w:right="105"/>
                          <w:rPr>
                            <w:sz w:val="19"/>
                          </w:rPr>
                        </w:pPr>
                        <w:r>
                          <w:rPr>
                            <w:sz w:val="19"/>
                          </w:rPr>
                          <w:t>3.7</w:t>
                        </w:r>
                      </w:p>
                    </w:tc>
                  </w:tr>
                  <w:tr>
                    <w:trPr>
                      <w:trHeight w:val="230" w:hRule="exact"/>
                    </w:trPr>
                    <w:tc>
                      <w:tcPr>
                        <w:tcW w:w="2389" w:type="dxa"/>
                      </w:tcPr>
                      <w:p>
                        <w:pPr>
                          <w:pStyle w:val="TableParagraph"/>
                          <w:spacing w:line="216" w:lineRule="exact"/>
                          <w:ind w:left="110"/>
                          <w:jc w:val="left"/>
                          <w:rPr>
                            <w:sz w:val="19"/>
                          </w:rPr>
                        </w:pPr>
                        <w:r>
                          <w:rPr>
                            <w:w w:val="105"/>
                            <w:sz w:val="19"/>
                          </w:rPr>
                          <w:t>Durango</w:t>
                        </w:r>
                      </w:p>
                    </w:tc>
                    <w:tc>
                      <w:tcPr>
                        <w:tcW w:w="1710" w:type="dxa"/>
                      </w:tcPr>
                      <w:p>
                        <w:pPr>
                          <w:pStyle w:val="TableParagraph"/>
                          <w:spacing w:line="216" w:lineRule="exact"/>
                          <w:ind w:right="412"/>
                          <w:rPr>
                            <w:sz w:val="19"/>
                          </w:rPr>
                        </w:pPr>
                        <w:r>
                          <w:rPr>
                            <w:sz w:val="19"/>
                          </w:rPr>
                          <w:t>7.1</w:t>
                        </w:r>
                      </w:p>
                    </w:tc>
                    <w:tc>
                      <w:tcPr>
                        <w:tcW w:w="2246" w:type="dxa"/>
                      </w:tcPr>
                      <w:p>
                        <w:pPr>
                          <w:pStyle w:val="TableParagraph"/>
                          <w:spacing w:line="216" w:lineRule="exact"/>
                          <w:ind w:right="105"/>
                          <w:rPr>
                            <w:sz w:val="19"/>
                          </w:rPr>
                        </w:pPr>
                        <w:r>
                          <w:rPr>
                            <w:sz w:val="19"/>
                          </w:rPr>
                          <w:t>1.7</w:t>
                        </w:r>
                      </w:p>
                    </w:tc>
                  </w:tr>
                  <w:tr>
                    <w:trPr>
                      <w:trHeight w:val="230" w:hRule="exact"/>
                    </w:trPr>
                    <w:tc>
                      <w:tcPr>
                        <w:tcW w:w="2389" w:type="dxa"/>
                      </w:tcPr>
                      <w:p>
                        <w:pPr>
                          <w:pStyle w:val="TableParagraph"/>
                          <w:spacing w:line="216" w:lineRule="exact"/>
                          <w:ind w:left="110"/>
                          <w:jc w:val="left"/>
                          <w:rPr>
                            <w:sz w:val="19"/>
                          </w:rPr>
                        </w:pPr>
                        <w:r>
                          <w:rPr>
                            <w:w w:val="105"/>
                            <w:sz w:val="19"/>
                          </w:rPr>
                          <w:t>Guanajuato</w:t>
                        </w:r>
                      </w:p>
                    </w:tc>
                    <w:tc>
                      <w:tcPr>
                        <w:tcW w:w="1710" w:type="dxa"/>
                      </w:tcPr>
                      <w:p>
                        <w:pPr>
                          <w:pStyle w:val="TableParagraph"/>
                          <w:spacing w:line="216" w:lineRule="exact"/>
                          <w:ind w:right="412"/>
                          <w:rPr>
                            <w:sz w:val="19"/>
                          </w:rPr>
                        </w:pPr>
                        <w:r>
                          <w:rPr>
                            <w:sz w:val="19"/>
                          </w:rPr>
                          <w:t>7.5</w:t>
                        </w:r>
                      </w:p>
                    </w:tc>
                    <w:tc>
                      <w:tcPr>
                        <w:tcW w:w="2246" w:type="dxa"/>
                      </w:tcPr>
                      <w:p>
                        <w:pPr>
                          <w:pStyle w:val="TableParagraph"/>
                          <w:spacing w:line="216" w:lineRule="exact"/>
                          <w:ind w:right="105"/>
                          <w:rPr>
                            <w:sz w:val="19"/>
                          </w:rPr>
                        </w:pPr>
                        <w:r>
                          <w:rPr>
                            <w:sz w:val="19"/>
                          </w:rPr>
                          <w:t>6.0</w:t>
                        </w:r>
                      </w:p>
                    </w:tc>
                  </w:tr>
                  <w:tr>
                    <w:trPr>
                      <w:trHeight w:val="230" w:hRule="exact"/>
                    </w:trPr>
                    <w:tc>
                      <w:tcPr>
                        <w:tcW w:w="2389" w:type="dxa"/>
                      </w:tcPr>
                      <w:p>
                        <w:pPr>
                          <w:pStyle w:val="TableParagraph"/>
                          <w:spacing w:line="216" w:lineRule="exact"/>
                          <w:ind w:left="110"/>
                          <w:jc w:val="left"/>
                          <w:rPr>
                            <w:sz w:val="19"/>
                          </w:rPr>
                        </w:pPr>
                        <w:r>
                          <w:rPr>
                            <w:w w:val="105"/>
                            <w:sz w:val="19"/>
                          </w:rPr>
                          <w:t>Guerrero</w:t>
                        </w:r>
                      </w:p>
                    </w:tc>
                    <w:tc>
                      <w:tcPr>
                        <w:tcW w:w="1710" w:type="dxa"/>
                      </w:tcPr>
                      <w:p>
                        <w:pPr>
                          <w:pStyle w:val="TableParagraph"/>
                          <w:spacing w:line="216" w:lineRule="exact"/>
                          <w:ind w:right="412"/>
                          <w:rPr>
                            <w:sz w:val="19"/>
                          </w:rPr>
                        </w:pPr>
                        <w:r>
                          <w:rPr>
                            <w:sz w:val="19"/>
                          </w:rPr>
                          <w:t>9.9</w:t>
                        </w:r>
                      </w:p>
                    </w:tc>
                    <w:tc>
                      <w:tcPr>
                        <w:tcW w:w="2246" w:type="dxa"/>
                      </w:tcPr>
                      <w:p>
                        <w:pPr>
                          <w:pStyle w:val="TableParagraph"/>
                          <w:spacing w:line="216" w:lineRule="exact"/>
                          <w:ind w:right="105"/>
                          <w:rPr>
                            <w:sz w:val="19"/>
                          </w:rPr>
                        </w:pPr>
                        <w:r>
                          <w:rPr>
                            <w:sz w:val="19"/>
                          </w:rPr>
                          <w:t>5.5</w:t>
                        </w:r>
                      </w:p>
                    </w:tc>
                  </w:tr>
                  <w:tr>
                    <w:trPr>
                      <w:trHeight w:val="230" w:hRule="exact"/>
                    </w:trPr>
                    <w:tc>
                      <w:tcPr>
                        <w:tcW w:w="2389" w:type="dxa"/>
                      </w:tcPr>
                      <w:p>
                        <w:pPr>
                          <w:pStyle w:val="TableParagraph"/>
                          <w:spacing w:line="216" w:lineRule="exact"/>
                          <w:ind w:left="110"/>
                          <w:jc w:val="left"/>
                          <w:rPr>
                            <w:sz w:val="19"/>
                          </w:rPr>
                        </w:pPr>
                        <w:r>
                          <w:rPr>
                            <w:w w:val="105"/>
                            <w:sz w:val="19"/>
                          </w:rPr>
                          <w:t>Hidalgo</w:t>
                        </w:r>
                      </w:p>
                    </w:tc>
                    <w:tc>
                      <w:tcPr>
                        <w:tcW w:w="1710" w:type="dxa"/>
                      </w:tcPr>
                      <w:p>
                        <w:pPr>
                          <w:pStyle w:val="TableParagraph"/>
                          <w:spacing w:line="216" w:lineRule="exact"/>
                          <w:ind w:right="412"/>
                          <w:rPr>
                            <w:sz w:val="19"/>
                          </w:rPr>
                        </w:pPr>
                        <w:r>
                          <w:rPr>
                            <w:sz w:val="19"/>
                          </w:rPr>
                          <w:t>6.9</w:t>
                        </w:r>
                      </w:p>
                    </w:tc>
                    <w:tc>
                      <w:tcPr>
                        <w:tcW w:w="2246" w:type="dxa"/>
                      </w:tcPr>
                      <w:p>
                        <w:pPr>
                          <w:pStyle w:val="TableParagraph"/>
                          <w:spacing w:line="216" w:lineRule="exact"/>
                          <w:ind w:right="105"/>
                          <w:rPr>
                            <w:sz w:val="19"/>
                          </w:rPr>
                        </w:pPr>
                        <w:r>
                          <w:rPr>
                            <w:sz w:val="19"/>
                          </w:rPr>
                          <w:t>2.5</w:t>
                        </w:r>
                      </w:p>
                    </w:tc>
                  </w:tr>
                  <w:tr>
                    <w:trPr>
                      <w:trHeight w:val="230" w:hRule="exact"/>
                    </w:trPr>
                    <w:tc>
                      <w:tcPr>
                        <w:tcW w:w="2389" w:type="dxa"/>
                      </w:tcPr>
                      <w:p>
                        <w:pPr>
                          <w:pStyle w:val="TableParagraph"/>
                          <w:spacing w:line="216" w:lineRule="exact"/>
                          <w:ind w:left="110"/>
                          <w:jc w:val="left"/>
                          <w:rPr>
                            <w:sz w:val="19"/>
                          </w:rPr>
                        </w:pPr>
                        <w:r>
                          <w:rPr>
                            <w:w w:val="105"/>
                            <w:sz w:val="19"/>
                          </w:rPr>
                          <w:t>Jalisco</w:t>
                        </w:r>
                      </w:p>
                    </w:tc>
                    <w:tc>
                      <w:tcPr>
                        <w:tcW w:w="1710" w:type="dxa"/>
                      </w:tcPr>
                      <w:p>
                        <w:pPr>
                          <w:pStyle w:val="TableParagraph"/>
                          <w:spacing w:line="216" w:lineRule="exact"/>
                          <w:ind w:right="412"/>
                          <w:rPr>
                            <w:sz w:val="19"/>
                          </w:rPr>
                        </w:pPr>
                        <w:r>
                          <w:rPr>
                            <w:sz w:val="19"/>
                          </w:rPr>
                          <w:t>9.6</w:t>
                        </w:r>
                      </w:p>
                    </w:tc>
                    <w:tc>
                      <w:tcPr>
                        <w:tcW w:w="2246" w:type="dxa"/>
                      </w:tcPr>
                      <w:p>
                        <w:pPr>
                          <w:pStyle w:val="TableParagraph"/>
                          <w:spacing w:line="216" w:lineRule="exact"/>
                          <w:ind w:right="105"/>
                          <w:rPr>
                            <w:sz w:val="19"/>
                          </w:rPr>
                        </w:pPr>
                        <w:r>
                          <w:rPr>
                            <w:sz w:val="19"/>
                          </w:rPr>
                          <w:t>10.2</w:t>
                        </w:r>
                      </w:p>
                    </w:tc>
                  </w:tr>
                  <w:tr>
                    <w:trPr>
                      <w:trHeight w:val="230" w:hRule="exact"/>
                    </w:trPr>
                    <w:tc>
                      <w:tcPr>
                        <w:tcW w:w="2389" w:type="dxa"/>
                      </w:tcPr>
                      <w:p>
                        <w:pPr>
                          <w:pStyle w:val="TableParagraph"/>
                          <w:spacing w:line="216" w:lineRule="exact"/>
                          <w:ind w:left="110"/>
                          <w:jc w:val="left"/>
                          <w:rPr>
                            <w:sz w:val="19"/>
                          </w:rPr>
                        </w:pPr>
                        <w:r>
                          <w:rPr>
                            <w:w w:val="105"/>
                            <w:sz w:val="19"/>
                          </w:rPr>
                          <w:t>Estado de México</w:t>
                        </w:r>
                      </w:p>
                    </w:tc>
                    <w:tc>
                      <w:tcPr>
                        <w:tcW w:w="1710" w:type="dxa"/>
                      </w:tcPr>
                      <w:p>
                        <w:pPr>
                          <w:pStyle w:val="TableParagraph"/>
                          <w:spacing w:line="216" w:lineRule="exact"/>
                          <w:ind w:right="412"/>
                          <w:rPr>
                            <w:sz w:val="19"/>
                          </w:rPr>
                        </w:pPr>
                        <w:r>
                          <w:rPr>
                            <w:sz w:val="19"/>
                          </w:rPr>
                          <w:t>3.6</w:t>
                        </w:r>
                      </w:p>
                    </w:tc>
                    <w:tc>
                      <w:tcPr>
                        <w:tcW w:w="2246" w:type="dxa"/>
                      </w:tcPr>
                      <w:p>
                        <w:pPr>
                          <w:pStyle w:val="TableParagraph"/>
                          <w:spacing w:line="216" w:lineRule="exact"/>
                          <w:ind w:right="105"/>
                          <w:rPr>
                            <w:sz w:val="19"/>
                          </w:rPr>
                        </w:pPr>
                        <w:r>
                          <w:rPr>
                            <w:sz w:val="19"/>
                          </w:rPr>
                          <w:t>7.5</w:t>
                        </w:r>
                      </w:p>
                    </w:tc>
                  </w:tr>
                  <w:tr>
                    <w:trPr>
                      <w:trHeight w:val="230" w:hRule="exact"/>
                    </w:trPr>
                    <w:tc>
                      <w:tcPr>
                        <w:tcW w:w="2389" w:type="dxa"/>
                      </w:tcPr>
                      <w:p>
                        <w:pPr>
                          <w:pStyle w:val="TableParagraph"/>
                          <w:spacing w:line="216" w:lineRule="exact"/>
                          <w:ind w:left="110"/>
                          <w:jc w:val="left"/>
                          <w:rPr>
                            <w:sz w:val="19"/>
                          </w:rPr>
                        </w:pPr>
                        <w:r>
                          <w:rPr>
                            <w:w w:val="105"/>
                            <w:sz w:val="19"/>
                          </w:rPr>
                          <w:t>Michoacán</w:t>
                        </w:r>
                      </w:p>
                    </w:tc>
                    <w:tc>
                      <w:tcPr>
                        <w:tcW w:w="1710" w:type="dxa"/>
                      </w:tcPr>
                      <w:p>
                        <w:pPr>
                          <w:pStyle w:val="TableParagraph"/>
                          <w:spacing w:line="216" w:lineRule="exact"/>
                          <w:ind w:right="412"/>
                          <w:rPr>
                            <w:sz w:val="19"/>
                          </w:rPr>
                        </w:pPr>
                        <w:r>
                          <w:rPr>
                            <w:sz w:val="19"/>
                          </w:rPr>
                          <w:t>8.3</w:t>
                        </w:r>
                      </w:p>
                    </w:tc>
                    <w:tc>
                      <w:tcPr>
                        <w:tcW w:w="2246" w:type="dxa"/>
                      </w:tcPr>
                      <w:p>
                        <w:pPr>
                          <w:pStyle w:val="TableParagraph"/>
                          <w:spacing w:line="216" w:lineRule="exact"/>
                          <w:ind w:right="105"/>
                          <w:rPr>
                            <w:sz w:val="19"/>
                          </w:rPr>
                        </w:pPr>
                        <w:r>
                          <w:rPr>
                            <w:sz w:val="19"/>
                          </w:rPr>
                          <w:t>5.2</w:t>
                        </w:r>
                      </w:p>
                    </w:tc>
                  </w:tr>
                  <w:tr>
                    <w:trPr>
                      <w:trHeight w:val="230" w:hRule="exact"/>
                    </w:trPr>
                    <w:tc>
                      <w:tcPr>
                        <w:tcW w:w="2389" w:type="dxa"/>
                      </w:tcPr>
                      <w:p>
                        <w:pPr>
                          <w:pStyle w:val="TableParagraph"/>
                          <w:spacing w:line="216" w:lineRule="exact"/>
                          <w:ind w:left="110"/>
                          <w:jc w:val="left"/>
                          <w:rPr>
                            <w:sz w:val="19"/>
                          </w:rPr>
                        </w:pPr>
                        <w:r>
                          <w:rPr>
                            <w:w w:val="105"/>
                            <w:sz w:val="19"/>
                          </w:rPr>
                          <w:t>Morelos</w:t>
                        </w:r>
                      </w:p>
                    </w:tc>
                    <w:tc>
                      <w:tcPr>
                        <w:tcW w:w="1710" w:type="dxa"/>
                      </w:tcPr>
                      <w:p>
                        <w:pPr>
                          <w:pStyle w:val="TableParagraph"/>
                          <w:spacing w:line="216" w:lineRule="exact"/>
                          <w:ind w:right="412"/>
                          <w:rPr>
                            <w:sz w:val="19"/>
                          </w:rPr>
                        </w:pPr>
                        <w:r>
                          <w:rPr>
                            <w:sz w:val="19"/>
                          </w:rPr>
                          <w:t>5.8</w:t>
                        </w:r>
                      </w:p>
                    </w:tc>
                    <w:tc>
                      <w:tcPr>
                        <w:tcW w:w="2246" w:type="dxa"/>
                      </w:tcPr>
                      <w:p>
                        <w:pPr>
                          <w:pStyle w:val="TableParagraph"/>
                          <w:spacing w:line="216" w:lineRule="exact"/>
                          <w:ind w:right="105"/>
                          <w:rPr>
                            <w:sz w:val="19"/>
                          </w:rPr>
                        </w:pPr>
                        <w:r>
                          <w:rPr>
                            <w:sz w:val="19"/>
                          </w:rPr>
                          <w:t>1.5</w:t>
                        </w:r>
                      </w:p>
                    </w:tc>
                  </w:tr>
                  <w:tr>
                    <w:trPr>
                      <w:trHeight w:val="230" w:hRule="exact"/>
                    </w:trPr>
                    <w:tc>
                      <w:tcPr>
                        <w:tcW w:w="2389" w:type="dxa"/>
                      </w:tcPr>
                      <w:p>
                        <w:pPr>
                          <w:pStyle w:val="TableParagraph"/>
                          <w:spacing w:line="216" w:lineRule="exact"/>
                          <w:ind w:left="110"/>
                          <w:jc w:val="left"/>
                          <w:rPr>
                            <w:sz w:val="19"/>
                          </w:rPr>
                        </w:pPr>
                        <w:r>
                          <w:rPr>
                            <w:w w:val="105"/>
                            <w:sz w:val="19"/>
                          </w:rPr>
                          <w:t>Nayarit</w:t>
                        </w:r>
                      </w:p>
                    </w:tc>
                    <w:tc>
                      <w:tcPr>
                        <w:tcW w:w="1710" w:type="dxa"/>
                      </w:tcPr>
                      <w:p>
                        <w:pPr>
                          <w:pStyle w:val="TableParagraph"/>
                          <w:spacing w:line="216" w:lineRule="exact"/>
                          <w:ind w:right="412"/>
                          <w:rPr>
                            <w:sz w:val="19"/>
                          </w:rPr>
                        </w:pPr>
                        <w:r>
                          <w:rPr>
                            <w:sz w:val="19"/>
                          </w:rPr>
                          <w:t>6.9</w:t>
                        </w:r>
                      </w:p>
                    </w:tc>
                    <w:tc>
                      <w:tcPr>
                        <w:tcW w:w="2246" w:type="dxa"/>
                      </w:tcPr>
                      <w:p>
                        <w:pPr>
                          <w:pStyle w:val="TableParagraph"/>
                          <w:spacing w:line="216" w:lineRule="exact"/>
                          <w:ind w:right="105"/>
                          <w:rPr>
                            <w:sz w:val="19"/>
                          </w:rPr>
                        </w:pPr>
                        <w:r>
                          <w:rPr>
                            <w:sz w:val="19"/>
                          </w:rPr>
                          <w:t>1.0</w:t>
                        </w:r>
                      </w:p>
                    </w:tc>
                  </w:tr>
                  <w:tr>
                    <w:trPr>
                      <w:trHeight w:val="228" w:hRule="exact"/>
                    </w:trPr>
                    <w:tc>
                      <w:tcPr>
                        <w:tcW w:w="2389" w:type="dxa"/>
                      </w:tcPr>
                      <w:p>
                        <w:pPr>
                          <w:pStyle w:val="TableParagraph"/>
                          <w:spacing w:line="216" w:lineRule="exact"/>
                          <w:ind w:left="110"/>
                          <w:jc w:val="left"/>
                          <w:rPr>
                            <w:sz w:val="19"/>
                          </w:rPr>
                        </w:pPr>
                        <w:r>
                          <w:rPr>
                            <w:w w:val="105"/>
                            <w:sz w:val="19"/>
                          </w:rPr>
                          <w:t>Nuevo León</w:t>
                        </w:r>
                      </w:p>
                    </w:tc>
                    <w:tc>
                      <w:tcPr>
                        <w:tcW w:w="1710" w:type="dxa"/>
                      </w:tcPr>
                      <w:p>
                        <w:pPr>
                          <w:pStyle w:val="TableParagraph"/>
                          <w:spacing w:line="216" w:lineRule="exact"/>
                          <w:ind w:right="412"/>
                          <w:rPr>
                            <w:sz w:val="19"/>
                          </w:rPr>
                        </w:pPr>
                        <w:r>
                          <w:rPr>
                            <w:sz w:val="19"/>
                          </w:rPr>
                          <w:t>4.7</w:t>
                        </w:r>
                      </w:p>
                    </w:tc>
                    <w:tc>
                      <w:tcPr>
                        <w:tcW w:w="2246" w:type="dxa"/>
                      </w:tcPr>
                      <w:p>
                        <w:pPr>
                          <w:pStyle w:val="TableParagraph"/>
                          <w:spacing w:line="216" w:lineRule="exact"/>
                          <w:ind w:right="105"/>
                          <w:rPr>
                            <w:sz w:val="19"/>
                          </w:rPr>
                        </w:pPr>
                        <w:r>
                          <w:rPr>
                            <w:sz w:val="19"/>
                          </w:rPr>
                          <w:t>2.9</w:t>
                        </w:r>
                      </w:p>
                    </w:tc>
                  </w:tr>
                  <w:tr>
                    <w:trPr>
                      <w:trHeight w:val="228" w:hRule="exact"/>
                    </w:trPr>
                    <w:tc>
                      <w:tcPr>
                        <w:tcW w:w="2389" w:type="dxa"/>
                      </w:tcPr>
                      <w:p>
                        <w:pPr>
                          <w:pStyle w:val="TableParagraph"/>
                          <w:spacing w:line="214" w:lineRule="exact"/>
                          <w:ind w:left="110"/>
                          <w:jc w:val="left"/>
                          <w:rPr>
                            <w:sz w:val="19"/>
                          </w:rPr>
                        </w:pPr>
                        <w:r>
                          <w:rPr>
                            <w:w w:val="105"/>
                            <w:sz w:val="19"/>
                          </w:rPr>
                          <w:t>Oaxaca</w:t>
                        </w:r>
                      </w:p>
                    </w:tc>
                    <w:tc>
                      <w:tcPr>
                        <w:tcW w:w="1710" w:type="dxa"/>
                      </w:tcPr>
                      <w:p>
                        <w:pPr>
                          <w:pStyle w:val="TableParagraph"/>
                          <w:spacing w:line="214" w:lineRule="exact"/>
                          <w:ind w:right="412"/>
                          <w:rPr>
                            <w:sz w:val="19"/>
                          </w:rPr>
                        </w:pPr>
                        <w:r>
                          <w:rPr>
                            <w:sz w:val="19"/>
                          </w:rPr>
                          <w:t>7.4</w:t>
                        </w:r>
                      </w:p>
                    </w:tc>
                    <w:tc>
                      <w:tcPr>
                        <w:tcW w:w="2246" w:type="dxa"/>
                      </w:tcPr>
                      <w:p>
                        <w:pPr>
                          <w:pStyle w:val="TableParagraph"/>
                          <w:spacing w:line="214" w:lineRule="exact"/>
                          <w:ind w:right="105"/>
                          <w:rPr>
                            <w:sz w:val="19"/>
                          </w:rPr>
                        </w:pPr>
                        <w:r>
                          <w:rPr>
                            <w:sz w:val="19"/>
                          </w:rPr>
                          <w:t>4.4</w:t>
                        </w:r>
                      </w:p>
                    </w:tc>
                  </w:tr>
                  <w:tr>
                    <w:trPr>
                      <w:trHeight w:val="230" w:hRule="exact"/>
                    </w:trPr>
                    <w:tc>
                      <w:tcPr>
                        <w:tcW w:w="2389" w:type="dxa"/>
                      </w:tcPr>
                      <w:p>
                        <w:pPr>
                          <w:pStyle w:val="TableParagraph"/>
                          <w:spacing w:line="216" w:lineRule="exact"/>
                          <w:ind w:left="110"/>
                          <w:jc w:val="left"/>
                          <w:rPr>
                            <w:sz w:val="19"/>
                          </w:rPr>
                        </w:pPr>
                        <w:r>
                          <w:rPr>
                            <w:w w:val="105"/>
                            <w:sz w:val="19"/>
                          </w:rPr>
                          <w:t>Puebla</w:t>
                        </w:r>
                      </w:p>
                    </w:tc>
                    <w:tc>
                      <w:tcPr>
                        <w:tcW w:w="1710" w:type="dxa"/>
                      </w:tcPr>
                      <w:p>
                        <w:pPr>
                          <w:pStyle w:val="TableParagraph"/>
                          <w:spacing w:line="216" w:lineRule="exact"/>
                          <w:ind w:right="412"/>
                          <w:rPr>
                            <w:sz w:val="19"/>
                          </w:rPr>
                        </w:pPr>
                        <w:r>
                          <w:rPr>
                            <w:sz w:val="19"/>
                          </w:rPr>
                          <w:t>9.8</w:t>
                        </w:r>
                      </w:p>
                    </w:tc>
                    <w:tc>
                      <w:tcPr>
                        <w:tcW w:w="2246" w:type="dxa"/>
                      </w:tcPr>
                      <w:p>
                        <w:pPr>
                          <w:pStyle w:val="TableParagraph"/>
                          <w:spacing w:line="216" w:lineRule="exact"/>
                          <w:ind w:right="105"/>
                          <w:rPr>
                            <w:sz w:val="19"/>
                          </w:rPr>
                        </w:pPr>
                        <w:r>
                          <w:rPr>
                            <w:sz w:val="19"/>
                          </w:rPr>
                          <w:t>9.1</w:t>
                        </w:r>
                      </w:p>
                    </w:tc>
                  </w:tr>
                  <w:tr>
                    <w:trPr>
                      <w:trHeight w:val="230" w:hRule="exact"/>
                    </w:trPr>
                    <w:tc>
                      <w:tcPr>
                        <w:tcW w:w="2389" w:type="dxa"/>
                      </w:tcPr>
                      <w:p>
                        <w:pPr>
                          <w:pStyle w:val="TableParagraph"/>
                          <w:spacing w:line="216" w:lineRule="exact"/>
                          <w:ind w:left="110"/>
                          <w:jc w:val="left"/>
                          <w:rPr>
                            <w:sz w:val="19"/>
                          </w:rPr>
                        </w:pPr>
                        <w:r>
                          <w:rPr>
                            <w:w w:val="105"/>
                            <w:sz w:val="19"/>
                          </w:rPr>
                          <w:t>Querétaro</w:t>
                        </w:r>
                      </w:p>
                    </w:tc>
                    <w:tc>
                      <w:tcPr>
                        <w:tcW w:w="1710" w:type="dxa"/>
                      </w:tcPr>
                      <w:p>
                        <w:pPr>
                          <w:pStyle w:val="TableParagraph"/>
                          <w:spacing w:line="216" w:lineRule="exact"/>
                          <w:ind w:right="411"/>
                          <w:rPr>
                            <w:sz w:val="19"/>
                          </w:rPr>
                        </w:pPr>
                        <w:r>
                          <w:rPr>
                            <w:sz w:val="19"/>
                          </w:rPr>
                          <w:t>7.4</w:t>
                        </w:r>
                      </w:p>
                    </w:tc>
                    <w:tc>
                      <w:tcPr>
                        <w:tcW w:w="2246" w:type="dxa"/>
                      </w:tcPr>
                      <w:p>
                        <w:pPr>
                          <w:pStyle w:val="TableParagraph"/>
                          <w:spacing w:line="216" w:lineRule="exact"/>
                          <w:ind w:right="105"/>
                          <w:rPr>
                            <w:sz w:val="19"/>
                          </w:rPr>
                        </w:pPr>
                        <w:r>
                          <w:rPr>
                            <w:sz w:val="19"/>
                          </w:rPr>
                          <w:t>2.0</w:t>
                        </w:r>
                      </w:p>
                    </w:tc>
                  </w:tr>
                  <w:tr>
                    <w:trPr>
                      <w:trHeight w:val="230" w:hRule="exact"/>
                    </w:trPr>
                    <w:tc>
                      <w:tcPr>
                        <w:tcW w:w="2389" w:type="dxa"/>
                      </w:tcPr>
                      <w:p>
                        <w:pPr>
                          <w:pStyle w:val="TableParagraph"/>
                          <w:spacing w:line="216" w:lineRule="exact"/>
                          <w:ind w:left="110"/>
                          <w:jc w:val="left"/>
                          <w:rPr>
                            <w:sz w:val="19"/>
                          </w:rPr>
                        </w:pPr>
                        <w:r>
                          <w:rPr>
                            <w:w w:val="105"/>
                            <w:sz w:val="19"/>
                          </w:rPr>
                          <w:t>Quintana Roo</w:t>
                        </w:r>
                      </w:p>
                    </w:tc>
                    <w:tc>
                      <w:tcPr>
                        <w:tcW w:w="1710" w:type="dxa"/>
                      </w:tcPr>
                      <w:p>
                        <w:pPr>
                          <w:pStyle w:val="TableParagraph"/>
                          <w:spacing w:line="216" w:lineRule="exact"/>
                          <w:ind w:right="412"/>
                          <w:rPr>
                            <w:sz w:val="19"/>
                          </w:rPr>
                        </w:pPr>
                        <w:r>
                          <w:rPr>
                            <w:sz w:val="19"/>
                          </w:rPr>
                          <w:t>5.1</w:t>
                        </w:r>
                      </w:p>
                    </w:tc>
                    <w:tc>
                      <w:tcPr>
                        <w:tcW w:w="2246" w:type="dxa"/>
                      </w:tcPr>
                      <w:p>
                        <w:pPr>
                          <w:pStyle w:val="TableParagraph"/>
                          <w:spacing w:line="216" w:lineRule="exact"/>
                          <w:ind w:right="105"/>
                          <w:rPr>
                            <w:sz w:val="19"/>
                          </w:rPr>
                        </w:pPr>
                        <w:r>
                          <w:rPr>
                            <w:sz w:val="19"/>
                          </w:rPr>
                          <w:t>1.0</w:t>
                        </w:r>
                      </w:p>
                    </w:tc>
                  </w:tr>
                  <w:tr>
                    <w:trPr>
                      <w:trHeight w:val="230" w:hRule="exact"/>
                    </w:trPr>
                    <w:tc>
                      <w:tcPr>
                        <w:tcW w:w="2389" w:type="dxa"/>
                      </w:tcPr>
                      <w:p>
                        <w:pPr>
                          <w:pStyle w:val="TableParagraph"/>
                          <w:spacing w:line="216" w:lineRule="exact"/>
                          <w:ind w:left="110"/>
                          <w:jc w:val="left"/>
                          <w:rPr>
                            <w:sz w:val="19"/>
                          </w:rPr>
                        </w:pPr>
                        <w:r>
                          <w:rPr>
                            <w:w w:val="105"/>
                            <w:sz w:val="19"/>
                          </w:rPr>
                          <w:t>San Luis Potosí</w:t>
                        </w:r>
                      </w:p>
                    </w:tc>
                    <w:tc>
                      <w:tcPr>
                        <w:tcW w:w="1710" w:type="dxa"/>
                      </w:tcPr>
                      <w:p>
                        <w:pPr>
                          <w:pStyle w:val="TableParagraph"/>
                          <w:spacing w:line="216" w:lineRule="exact"/>
                          <w:ind w:right="412"/>
                          <w:rPr>
                            <w:sz w:val="19"/>
                          </w:rPr>
                        </w:pPr>
                        <w:r>
                          <w:rPr>
                            <w:sz w:val="19"/>
                          </w:rPr>
                          <w:t>7.0</w:t>
                        </w:r>
                      </w:p>
                    </w:tc>
                    <w:tc>
                      <w:tcPr>
                        <w:tcW w:w="2246" w:type="dxa"/>
                      </w:tcPr>
                      <w:p>
                        <w:pPr>
                          <w:pStyle w:val="TableParagraph"/>
                          <w:spacing w:line="216" w:lineRule="exact"/>
                          <w:ind w:right="105"/>
                          <w:rPr>
                            <w:sz w:val="19"/>
                          </w:rPr>
                        </w:pPr>
                        <w:r>
                          <w:rPr>
                            <w:sz w:val="19"/>
                          </w:rPr>
                          <w:t>2.9</w:t>
                        </w:r>
                      </w:p>
                    </w:tc>
                  </w:tr>
                  <w:tr>
                    <w:trPr>
                      <w:trHeight w:val="230" w:hRule="exact"/>
                    </w:trPr>
                    <w:tc>
                      <w:tcPr>
                        <w:tcW w:w="2389" w:type="dxa"/>
                      </w:tcPr>
                      <w:p>
                        <w:pPr>
                          <w:pStyle w:val="TableParagraph"/>
                          <w:spacing w:line="216" w:lineRule="exact"/>
                          <w:ind w:left="110"/>
                          <w:jc w:val="left"/>
                          <w:rPr>
                            <w:sz w:val="19"/>
                          </w:rPr>
                        </w:pPr>
                        <w:r>
                          <w:rPr>
                            <w:w w:val="105"/>
                            <w:sz w:val="19"/>
                          </w:rPr>
                          <w:t>Sinaloa</w:t>
                        </w:r>
                      </w:p>
                    </w:tc>
                    <w:tc>
                      <w:tcPr>
                        <w:tcW w:w="1710" w:type="dxa"/>
                      </w:tcPr>
                      <w:p>
                        <w:pPr>
                          <w:pStyle w:val="TableParagraph"/>
                          <w:spacing w:line="216" w:lineRule="exact"/>
                          <w:ind w:right="412"/>
                          <w:rPr>
                            <w:sz w:val="19"/>
                          </w:rPr>
                        </w:pPr>
                        <w:r>
                          <w:rPr>
                            <w:sz w:val="19"/>
                          </w:rPr>
                          <w:t>5.9</w:t>
                        </w:r>
                      </w:p>
                    </w:tc>
                    <w:tc>
                      <w:tcPr>
                        <w:tcW w:w="2246" w:type="dxa"/>
                      </w:tcPr>
                      <w:p>
                        <w:pPr>
                          <w:pStyle w:val="TableParagraph"/>
                          <w:spacing w:line="216" w:lineRule="exact"/>
                          <w:ind w:right="105"/>
                          <w:rPr>
                            <w:sz w:val="19"/>
                          </w:rPr>
                        </w:pPr>
                        <w:r>
                          <w:rPr>
                            <w:sz w:val="19"/>
                          </w:rPr>
                          <w:t>2.3</w:t>
                        </w:r>
                      </w:p>
                    </w:tc>
                  </w:tr>
                  <w:tr>
                    <w:trPr>
                      <w:trHeight w:val="230" w:hRule="exact"/>
                    </w:trPr>
                    <w:tc>
                      <w:tcPr>
                        <w:tcW w:w="2389" w:type="dxa"/>
                      </w:tcPr>
                      <w:p>
                        <w:pPr>
                          <w:pStyle w:val="TableParagraph"/>
                          <w:spacing w:line="216" w:lineRule="exact"/>
                          <w:ind w:left="110"/>
                          <w:jc w:val="left"/>
                          <w:rPr>
                            <w:sz w:val="19"/>
                          </w:rPr>
                        </w:pPr>
                        <w:r>
                          <w:rPr>
                            <w:w w:val="105"/>
                            <w:sz w:val="19"/>
                          </w:rPr>
                          <w:t>Sonora</w:t>
                        </w:r>
                      </w:p>
                    </w:tc>
                    <w:tc>
                      <w:tcPr>
                        <w:tcW w:w="1710" w:type="dxa"/>
                      </w:tcPr>
                      <w:p>
                        <w:pPr>
                          <w:pStyle w:val="TableParagraph"/>
                          <w:spacing w:line="216" w:lineRule="exact"/>
                          <w:ind w:right="412"/>
                          <w:rPr>
                            <w:sz w:val="19"/>
                          </w:rPr>
                        </w:pPr>
                        <w:r>
                          <w:rPr>
                            <w:sz w:val="19"/>
                          </w:rPr>
                          <w:t>4.6</w:t>
                        </w:r>
                      </w:p>
                    </w:tc>
                    <w:tc>
                      <w:tcPr>
                        <w:tcW w:w="2246" w:type="dxa"/>
                      </w:tcPr>
                      <w:p>
                        <w:pPr>
                          <w:pStyle w:val="TableParagraph"/>
                          <w:spacing w:line="216" w:lineRule="exact"/>
                          <w:ind w:right="105"/>
                          <w:rPr>
                            <w:sz w:val="19"/>
                          </w:rPr>
                        </w:pPr>
                        <w:r>
                          <w:rPr>
                            <w:sz w:val="19"/>
                          </w:rPr>
                          <w:t>1.6</w:t>
                        </w:r>
                      </w:p>
                    </w:tc>
                  </w:tr>
                  <w:tr>
                    <w:trPr>
                      <w:trHeight w:val="230" w:hRule="exact"/>
                    </w:trPr>
                    <w:tc>
                      <w:tcPr>
                        <w:tcW w:w="2389" w:type="dxa"/>
                      </w:tcPr>
                      <w:p>
                        <w:pPr>
                          <w:pStyle w:val="TableParagraph"/>
                          <w:spacing w:line="216" w:lineRule="exact"/>
                          <w:ind w:left="110"/>
                          <w:jc w:val="left"/>
                          <w:rPr>
                            <w:sz w:val="19"/>
                          </w:rPr>
                        </w:pPr>
                        <w:r>
                          <w:rPr>
                            <w:w w:val="105"/>
                            <w:sz w:val="19"/>
                          </w:rPr>
                          <w:t>Tabasco</w:t>
                        </w:r>
                      </w:p>
                    </w:tc>
                    <w:tc>
                      <w:tcPr>
                        <w:tcW w:w="1710" w:type="dxa"/>
                      </w:tcPr>
                      <w:p>
                        <w:pPr>
                          <w:pStyle w:val="TableParagraph"/>
                          <w:spacing w:line="216" w:lineRule="exact"/>
                          <w:ind w:right="412"/>
                          <w:rPr>
                            <w:sz w:val="19"/>
                          </w:rPr>
                        </w:pPr>
                        <w:r>
                          <w:rPr>
                            <w:sz w:val="19"/>
                          </w:rPr>
                          <w:t>3.8</w:t>
                        </w:r>
                      </w:p>
                    </w:tc>
                    <w:tc>
                      <w:tcPr>
                        <w:tcW w:w="2246" w:type="dxa"/>
                      </w:tcPr>
                      <w:p>
                        <w:pPr>
                          <w:pStyle w:val="TableParagraph"/>
                          <w:spacing w:line="216" w:lineRule="exact"/>
                          <w:ind w:right="105"/>
                          <w:rPr>
                            <w:sz w:val="19"/>
                          </w:rPr>
                        </w:pPr>
                        <w:r>
                          <w:rPr>
                            <w:sz w:val="19"/>
                          </w:rPr>
                          <w:t>1.2</w:t>
                        </w:r>
                      </w:p>
                    </w:tc>
                  </w:tr>
                  <w:tr>
                    <w:trPr>
                      <w:trHeight w:val="230" w:hRule="exact"/>
                    </w:trPr>
                    <w:tc>
                      <w:tcPr>
                        <w:tcW w:w="2389" w:type="dxa"/>
                      </w:tcPr>
                      <w:p>
                        <w:pPr>
                          <w:pStyle w:val="TableParagraph"/>
                          <w:spacing w:line="216" w:lineRule="exact"/>
                          <w:ind w:left="110"/>
                          <w:jc w:val="left"/>
                          <w:rPr>
                            <w:sz w:val="19"/>
                          </w:rPr>
                        </w:pPr>
                        <w:r>
                          <w:rPr>
                            <w:w w:val="105"/>
                            <w:sz w:val="19"/>
                          </w:rPr>
                          <w:t>Tamaulipas</w:t>
                        </w:r>
                      </w:p>
                    </w:tc>
                    <w:tc>
                      <w:tcPr>
                        <w:tcW w:w="1710" w:type="dxa"/>
                      </w:tcPr>
                      <w:p>
                        <w:pPr>
                          <w:pStyle w:val="TableParagraph"/>
                          <w:spacing w:line="216" w:lineRule="exact"/>
                          <w:ind w:right="412"/>
                          <w:rPr>
                            <w:sz w:val="19"/>
                          </w:rPr>
                        </w:pPr>
                        <w:r>
                          <w:rPr>
                            <w:sz w:val="19"/>
                          </w:rPr>
                          <w:t>3.9</w:t>
                        </w:r>
                      </w:p>
                    </w:tc>
                    <w:tc>
                      <w:tcPr>
                        <w:tcW w:w="2246" w:type="dxa"/>
                      </w:tcPr>
                      <w:p>
                        <w:pPr>
                          <w:pStyle w:val="TableParagraph"/>
                          <w:spacing w:line="216" w:lineRule="exact"/>
                          <w:ind w:right="105"/>
                          <w:rPr>
                            <w:sz w:val="19"/>
                          </w:rPr>
                        </w:pPr>
                        <w:r>
                          <w:rPr>
                            <w:sz w:val="19"/>
                          </w:rPr>
                          <w:t>1.7</w:t>
                        </w:r>
                      </w:p>
                    </w:tc>
                  </w:tr>
                  <w:tr>
                    <w:trPr>
                      <w:trHeight w:val="230" w:hRule="exact"/>
                    </w:trPr>
                    <w:tc>
                      <w:tcPr>
                        <w:tcW w:w="2389" w:type="dxa"/>
                      </w:tcPr>
                      <w:p>
                        <w:pPr>
                          <w:pStyle w:val="TableParagraph"/>
                          <w:spacing w:line="216" w:lineRule="exact"/>
                          <w:ind w:left="110"/>
                          <w:jc w:val="left"/>
                          <w:rPr>
                            <w:sz w:val="19"/>
                          </w:rPr>
                        </w:pPr>
                        <w:r>
                          <w:rPr>
                            <w:w w:val="105"/>
                            <w:sz w:val="19"/>
                          </w:rPr>
                          <w:t>Tlaxcala</w:t>
                        </w:r>
                      </w:p>
                    </w:tc>
                    <w:tc>
                      <w:tcPr>
                        <w:tcW w:w="1710" w:type="dxa"/>
                      </w:tcPr>
                      <w:p>
                        <w:pPr>
                          <w:pStyle w:val="TableParagraph"/>
                          <w:spacing w:line="216" w:lineRule="exact"/>
                          <w:ind w:right="412"/>
                          <w:rPr>
                            <w:sz w:val="19"/>
                          </w:rPr>
                        </w:pPr>
                        <w:r>
                          <w:rPr>
                            <w:sz w:val="19"/>
                          </w:rPr>
                          <w:t>5.4</w:t>
                        </w:r>
                      </w:p>
                    </w:tc>
                    <w:tc>
                      <w:tcPr>
                        <w:tcW w:w="2246" w:type="dxa"/>
                      </w:tcPr>
                      <w:p>
                        <w:pPr>
                          <w:pStyle w:val="TableParagraph"/>
                          <w:spacing w:line="216" w:lineRule="exact"/>
                          <w:ind w:right="105"/>
                          <w:rPr>
                            <w:sz w:val="19"/>
                          </w:rPr>
                        </w:pPr>
                        <w:r>
                          <w:rPr>
                            <w:sz w:val="19"/>
                          </w:rPr>
                          <w:t>1.0</w:t>
                        </w:r>
                      </w:p>
                    </w:tc>
                  </w:tr>
                  <w:tr>
                    <w:trPr>
                      <w:trHeight w:val="228" w:hRule="exact"/>
                    </w:trPr>
                    <w:tc>
                      <w:tcPr>
                        <w:tcW w:w="2389" w:type="dxa"/>
                      </w:tcPr>
                      <w:p>
                        <w:pPr>
                          <w:pStyle w:val="TableParagraph"/>
                          <w:spacing w:line="216" w:lineRule="exact"/>
                          <w:ind w:left="110"/>
                          <w:jc w:val="left"/>
                          <w:rPr>
                            <w:sz w:val="19"/>
                          </w:rPr>
                        </w:pPr>
                        <w:r>
                          <w:rPr>
                            <w:w w:val="105"/>
                            <w:sz w:val="19"/>
                          </w:rPr>
                          <w:t>Veracruz</w:t>
                        </w:r>
                      </w:p>
                    </w:tc>
                    <w:tc>
                      <w:tcPr>
                        <w:tcW w:w="1710" w:type="dxa"/>
                      </w:tcPr>
                      <w:p>
                        <w:pPr>
                          <w:pStyle w:val="TableParagraph"/>
                          <w:spacing w:line="216" w:lineRule="exact"/>
                          <w:ind w:right="412"/>
                          <w:rPr>
                            <w:sz w:val="19"/>
                          </w:rPr>
                        </w:pPr>
                        <w:r>
                          <w:rPr>
                            <w:sz w:val="19"/>
                          </w:rPr>
                          <w:t>8.4</w:t>
                        </w:r>
                      </w:p>
                    </w:tc>
                    <w:tc>
                      <w:tcPr>
                        <w:tcW w:w="2246" w:type="dxa"/>
                      </w:tcPr>
                      <w:p>
                        <w:pPr>
                          <w:pStyle w:val="TableParagraph"/>
                          <w:spacing w:line="216" w:lineRule="exact"/>
                          <w:ind w:right="105"/>
                          <w:rPr>
                            <w:sz w:val="19"/>
                          </w:rPr>
                        </w:pPr>
                        <w:r>
                          <w:rPr>
                            <w:sz w:val="19"/>
                          </w:rPr>
                          <w:t>8.8</w:t>
                        </w:r>
                      </w:p>
                    </w:tc>
                  </w:tr>
                  <w:tr>
                    <w:trPr>
                      <w:trHeight w:val="228" w:hRule="exact"/>
                    </w:trPr>
                    <w:tc>
                      <w:tcPr>
                        <w:tcW w:w="2389" w:type="dxa"/>
                      </w:tcPr>
                      <w:p>
                        <w:pPr>
                          <w:pStyle w:val="TableParagraph"/>
                          <w:spacing w:line="214" w:lineRule="exact"/>
                          <w:ind w:left="110"/>
                          <w:jc w:val="left"/>
                          <w:rPr>
                            <w:sz w:val="19"/>
                          </w:rPr>
                        </w:pPr>
                        <w:r>
                          <w:rPr>
                            <w:w w:val="105"/>
                            <w:sz w:val="19"/>
                          </w:rPr>
                          <w:t>Yucatán</w:t>
                        </w:r>
                      </w:p>
                    </w:tc>
                    <w:tc>
                      <w:tcPr>
                        <w:tcW w:w="1710" w:type="dxa"/>
                      </w:tcPr>
                      <w:p>
                        <w:pPr>
                          <w:pStyle w:val="TableParagraph"/>
                          <w:spacing w:line="214" w:lineRule="exact"/>
                          <w:ind w:right="412"/>
                          <w:rPr>
                            <w:sz w:val="19"/>
                          </w:rPr>
                        </w:pPr>
                        <w:r>
                          <w:rPr>
                            <w:sz w:val="19"/>
                          </w:rPr>
                          <w:t>5.7</w:t>
                        </w:r>
                      </w:p>
                    </w:tc>
                    <w:tc>
                      <w:tcPr>
                        <w:tcW w:w="2246" w:type="dxa"/>
                      </w:tcPr>
                      <w:p>
                        <w:pPr>
                          <w:pStyle w:val="TableParagraph"/>
                          <w:spacing w:line="214" w:lineRule="exact"/>
                          <w:ind w:right="105"/>
                          <w:rPr>
                            <w:sz w:val="19"/>
                          </w:rPr>
                        </w:pPr>
                        <w:r>
                          <w:rPr>
                            <w:sz w:val="19"/>
                          </w:rPr>
                          <w:t>1.6</w:t>
                        </w:r>
                      </w:p>
                    </w:tc>
                  </w:tr>
                  <w:tr>
                    <w:trPr>
                      <w:trHeight w:val="238" w:hRule="exact"/>
                    </w:trPr>
                    <w:tc>
                      <w:tcPr>
                        <w:tcW w:w="2389" w:type="dxa"/>
                        <w:tcBorders>
                          <w:bottom w:val="double" w:sz="4" w:space="0" w:color="000000"/>
                        </w:tcBorders>
                      </w:tcPr>
                      <w:p>
                        <w:pPr>
                          <w:pStyle w:val="TableParagraph"/>
                          <w:spacing w:line="216" w:lineRule="exact"/>
                          <w:ind w:left="110"/>
                          <w:jc w:val="left"/>
                          <w:rPr>
                            <w:sz w:val="19"/>
                          </w:rPr>
                        </w:pPr>
                        <w:r>
                          <w:rPr>
                            <w:w w:val="105"/>
                            <w:sz w:val="19"/>
                          </w:rPr>
                          <w:t>Zacatecas</w:t>
                        </w:r>
                      </w:p>
                    </w:tc>
                    <w:tc>
                      <w:tcPr>
                        <w:tcW w:w="1710" w:type="dxa"/>
                        <w:tcBorders>
                          <w:bottom w:val="double" w:sz="4" w:space="0" w:color="000000"/>
                        </w:tcBorders>
                      </w:tcPr>
                      <w:p>
                        <w:pPr>
                          <w:pStyle w:val="TableParagraph"/>
                          <w:spacing w:line="216" w:lineRule="exact"/>
                          <w:ind w:right="412"/>
                          <w:rPr>
                            <w:sz w:val="19"/>
                          </w:rPr>
                        </w:pPr>
                        <w:r>
                          <w:rPr>
                            <w:sz w:val="19"/>
                          </w:rPr>
                          <w:t>6.9</w:t>
                        </w:r>
                      </w:p>
                    </w:tc>
                    <w:tc>
                      <w:tcPr>
                        <w:tcW w:w="2246" w:type="dxa"/>
                        <w:tcBorders>
                          <w:bottom w:val="double" w:sz="4" w:space="0" w:color="000000"/>
                        </w:tcBorders>
                      </w:tcPr>
                      <w:p>
                        <w:pPr>
                          <w:pStyle w:val="TableParagraph"/>
                          <w:spacing w:line="216" w:lineRule="exact"/>
                          <w:ind w:right="105"/>
                          <w:rPr>
                            <w:sz w:val="19"/>
                          </w:rPr>
                        </w:pPr>
                        <w:r>
                          <w:rPr>
                            <w:sz w:val="19"/>
                          </w:rPr>
                          <w:t>1.5</w:t>
                        </w:r>
                      </w:p>
                    </w:tc>
                  </w:tr>
                </w:tbl>
                <w:p>
                  <w:pPr>
                    <w:pStyle w:val="BodyText"/>
                  </w:pPr>
                </w:p>
              </w:txbxContent>
            </v:textbox>
            <w10:wrap type="none"/>
          </v:shape>
        </w:pict>
      </w:r>
      <w:r>
        <w:rPr>
          <w:w w:val="105"/>
          <w:position w:val="-11"/>
          <w:sz w:val="19"/>
        </w:rPr>
        <w:t>Entidad</w:t>
      </w:r>
      <w:r>
        <w:rPr>
          <w:spacing w:val="-1"/>
          <w:w w:val="105"/>
          <w:position w:val="-11"/>
          <w:sz w:val="19"/>
        </w:rPr>
        <w:t> </w:t>
      </w:r>
      <w:r>
        <w:rPr>
          <w:w w:val="105"/>
          <w:position w:val="-11"/>
          <w:sz w:val="19"/>
        </w:rPr>
        <w:t>federativa</w:t>
        <w:tab/>
      </w:r>
      <w:r>
        <w:rPr>
          <w:w w:val="105"/>
          <w:sz w:val="19"/>
        </w:rPr>
        <w:t>Población</w:t>
      </w:r>
      <w:r>
        <w:rPr>
          <w:spacing w:val="-7"/>
          <w:w w:val="105"/>
          <w:sz w:val="19"/>
        </w:rPr>
        <w:t> </w:t>
      </w:r>
      <w:r>
        <w:rPr>
          <w:w w:val="105"/>
          <w:sz w:val="19"/>
        </w:rPr>
        <w:t>infantil</w:t>
      </w:r>
    </w:p>
    <w:p>
      <w:pPr>
        <w:spacing w:before="11"/>
        <w:ind w:left="369" w:right="0" w:firstLine="0"/>
        <w:jc w:val="left"/>
        <w:rPr>
          <w:sz w:val="19"/>
        </w:rPr>
      </w:pPr>
      <w:r>
        <w:rPr/>
        <w:br w:type="column"/>
      </w:r>
      <w:r>
        <w:rPr>
          <w:w w:val="105"/>
          <w:sz w:val="19"/>
        </w:rPr>
        <w:t>Población infantil ocupada</w:t>
      </w:r>
    </w:p>
    <w:p>
      <w:pPr>
        <w:spacing w:after="0"/>
        <w:jc w:val="left"/>
        <w:rPr>
          <w:sz w:val="19"/>
        </w:rPr>
        <w:sectPr>
          <w:type w:val="continuous"/>
          <w:pgSz w:w="9360" w:h="13040"/>
          <w:pgMar w:top="0" w:bottom="0" w:left="1300" w:right="1300"/>
          <w:cols w:num="2" w:equalWidth="0">
            <w:col w:w="3973" w:space="40"/>
            <w:col w:w="2747"/>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8"/>
        </w:rPr>
      </w:pPr>
    </w:p>
    <w:p>
      <w:pPr>
        <w:spacing w:before="78"/>
        <w:ind w:left="397" w:right="377" w:firstLine="0"/>
        <w:jc w:val="left"/>
        <w:rPr>
          <w:sz w:val="16"/>
        </w:rPr>
      </w:pPr>
      <w:r>
        <w:rPr>
          <w:sz w:val="16"/>
        </w:rPr>
        <w:t>Fuente: elaboración propia con datos de la Encuesta Nacional de la Dinámica Demográfica 2009, INEGI.</w:t>
      </w:r>
    </w:p>
    <w:p>
      <w:pPr>
        <w:spacing w:after="0"/>
        <w:jc w:val="left"/>
        <w:rPr>
          <w:sz w:val="16"/>
        </w:rPr>
        <w:sectPr>
          <w:type w:val="continuous"/>
          <w:pgSz w:w="9360" w:h="13040"/>
          <w:pgMar w:top="0" w:bottom="0" w:left="1300" w:right="1300"/>
        </w:sectPr>
      </w:pPr>
    </w:p>
    <w:p>
      <w:pPr>
        <w:tabs>
          <w:tab w:pos="5536" w:val="left" w:leader="none"/>
        </w:tabs>
        <w:spacing w:before="51"/>
        <w:ind w:left="128" w:right="117" w:firstLine="0"/>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4"/>
        <w:rPr>
          <w:sz w:val="17"/>
        </w:rPr>
      </w:pPr>
    </w:p>
    <w:p>
      <w:pPr>
        <w:spacing w:before="81" w:after="12"/>
        <w:ind w:left="368" w:right="117" w:firstLine="0"/>
        <w:jc w:val="left"/>
        <w:rPr>
          <w:sz w:val="19"/>
        </w:rPr>
      </w:pPr>
      <w:r>
        <w:rPr>
          <w:w w:val="105"/>
          <w:sz w:val="19"/>
        </w:rPr>
        <w:t>Tabla 2. Fuerza laboral infantil inmigrante y emigrante</w:t>
      </w: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81"/>
        <w:gridCol w:w="2473"/>
        <w:gridCol w:w="1625"/>
      </w:tblGrid>
      <w:tr>
        <w:trPr>
          <w:trHeight w:val="250" w:hRule="exact"/>
        </w:trPr>
        <w:tc>
          <w:tcPr>
            <w:tcW w:w="2281" w:type="dxa"/>
            <w:tcBorders>
              <w:left w:val="nil"/>
              <w:bottom w:val="double" w:sz="4" w:space="0" w:color="000000"/>
              <w:right w:val="nil"/>
            </w:tcBorders>
          </w:tcPr>
          <w:p>
            <w:pPr>
              <w:pStyle w:val="TableParagraph"/>
              <w:spacing w:before="5"/>
              <w:ind w:left="110"/>
              <w:jc w:val="left"/>
              <w:rPr>
                <w:sz w:val="19"/>
              </w:rPr>
            </w:pPr>
            <w:r>
              <w:rPr>
                <w:w w:val="105"/>
                <w:sz w:val="19"/>
              </w:rPr>
              <w:t>Estado</w:t>
            </w:r>
          </w:p>
        </w:tc>
        <w:tc>
          <w:tcPr>
            <w:tcW w:w="2473" w:type="dxa"/>
            <w:tcBorders>
              <w:left w:val="nil"/>
              <w:bottom w:val="double" w:sz="4" w:space="0" w:color="000000"/>
              <w:right w:val="nil"/>
            </w:tcBorders>
          </w:tcPr>
          <w:p>
            <w:pPr>
              <w:pStyle w:val="TableParagraph"/>
              <w:spacing w:before="5"/>
              <w:ind w:right="607"/>
              <w:rPr>
                <w:sz w:val="19"/>
              </w:rPr>
            </w:pPr>
            <w:r>
              <w:rPr>
                <w:sz w:val="19"/>
              </w:rPr>
              <w:t>Inmigrantes</w:t>
            </w:r>
          </w:p>
        </w:tc>
        <w:tc>
          <w:tcPr>
            <w:tcW w:w="1625" w:type="dxa"/>
            <w:tcBorders>
              <w:left w:val="nil"/>
              <w:bottom w:val="double" w:sz="4" w:space="0" w:color="000000"/>
              <w:right w:val="nil"/>
            </w:tcBorders>
          </w:tcPr>
          <w:p>
            <w:pPr>
              <w:pStyle w:val="TableParagraph"/>
              <w:spacing w:before="5"/>
              <w:ind w:right="105"/>
              <w:rPr>
                <w:sz w:val="19"/>
              </w:rPr>
            </w:pPr>
            <w:r>
              <w:rPr>
                <w:sz w:val="19"/>
              </w:rPr>
              <w:t>Emigrantes</w:t>
            </w:r>
          </w:p>
        </w:tc>
      </w:tr>
      <w:tr>
        <w:trPr>
          <w:trHeight w:val="252" w:hRule="exact"/>
        </w:trPr>
        <w:tc>
          <w:tcPr>
            <w:tcW w:w="2281" w:type="dxa"/>
            <w:tcBorders>
              <w:top w:val="double" w:sz="4" w:space="0" w:color="000000"/>
              <w:left w:val="nil"/>
              <w:bottom w:val="nil"/>
              <w:right w:val="nil"/>
            </w:tcBorders>
          </w:tcPr>
          <w:p>
            <w:pPr>
              <w:pStyle w:val="TableParagraph"/>
              <w:spacing w:before="5"/>
              <w:ind w:left="110"/>
              <w:jc w:val="left"/>
              <w:rPr>
                <w:sz w:val="19"/>
              </w:rPr>
            </w:pPr>
            <w:r>
              <w:rPr>
                <w:w w:val="105"/>
                <w:sz w:val="19"/>
              </w:rPr>
              <w:t>Aguascalientes</w:t>
            </w:r>
          </w:p>
        </w:tc>
        <w:tc>
          <w:tcPr>
            <w:tcW w:w="2473" w:type="dxa"/>
            <w:tcBorders>
              <w:top w:val="double" w:sz="4" w:space="0" w:color="000000"/>
              <w:left w:val="nil"/>
              <w:bottom w:val="nil"/>
              <w:right w:val="nil"/>
            </w:tcBorders>
          </w:tcPr>
          <w:p>
            <w:pPr>
              <w:pStyle w:val="TableParagraph"/>
              <w:spacing w:before="5"/>
              <w:ind w:right="606"/>
              <w:rPr>
                <w:sz w:val="19"/>
              </w:rPr>
            </w:pPr>
            <w:r>
              <w:rPr>
                <w:sz w:val="19"/>
              </w:rPr>
              <w:t>13.6</w:t>
            </w:r>
          </w:p>
        </w:tc>
        <w:tc>
          <w:tcPr>
            <w:tcW w:w="1625" w:type="dxa"/>
            <w:tcBorders>
              <w:top w:val="double" w:sz="4" w:space="0" w:color="000000"/>
              <w:left w:val="nil"/>
              <w:bottom w:val="nil"/>
              <w:right w:val="nil"/>
            </w:tcBorders>
          </w:tcPr>
          <w:p>
            <w:pPr>
              <w:pStyle w:val="TableParagraph"/>
              <w:spacing w:before="5"/>
              <w:ind w:right="105"/>
              <w:rPr>
                <w:sz w:val="19"/>
              </w:rPr>
            </w:pPr>
            <w:r>
              <w:rPr>
                <w:sz w:val="19"/>
              </w:rPr>
              <w:t>12.4</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Baja California</w:t>
            </w:r>
          </w:p>
        </w:tc>
        <w:tc>
          <w:tcPr>
            <w:tcW w:w="2473" w:type="dxa"/>
            <w:tcBorders>
              <w:top w:val="nil"/>
              <w:left w:val="nil"/>
              <w:bottom w:val="nil"/>
              <w:right w:val="nil"/>
            </w:tcBorders>
          </w:tcPr>
          <w:p>
            <w:pPr>
              <w:pStyle w:val="TableParagraph"/>
              <w:spacing w:line="216" w:lineRule="exact"/>
              <w:ind w:right="607"/>
              <w:rPr>
                <w:sz w:val="19"/>
              </w:rPr>
            </w:pPr>
            <w:r>
              <w:rPr>
                <w:sz w:val="19"/>
              </w:rPr>
              <w:t>57.3</w:t>
            </w:r>
          </w:p>
        </w:tc>
        <w:tc>
          <w:tcPr>
            <w:tcW w:w="1625" w:type="dxa"/>
            <w:tcBorders>
              <w:top w:val="nil"/>
              <w:left w:val="nil"/>
              <w:bottom w:val="nil"/>
              <w:right w:val="nil"/>
            </w:tcBorders>
          </w:tcPr>
          <w:p>
            <w:pPr>
              <w:pStyle w:val="TableParagraph"/>
              <w:spacing w:line="216" w:lineRule="exact"/>
              <w:ind w:right="105"/>
              <w:rPr>
                <w:sz w:val="19"/>
              </w:rPr>
            </w:pPr>
            <w:r>
              <w:rPr>
                <w:sz w:val="19"/>
              </w:rPr>
              <w:t>23.1</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Baja Cal Sur</w:t>
            </w:r>
          </w:p>
        </w:tc>
        <w:tc>
          <w:tcPr>
            <w:tcW w:w="2473" w:type="dxa"/>
            <w:tcBorders>
              <w:top w:val="nil"/>
              <w:left w:val="nil"/>
              <w:bottom w:val="nil"/>
              <w:right w:val="nil"/>
            </w:tcBorders>
          </w:tcPr>
          <w:p>
            <w:pPr>
              <w:pStyle w:val="TableParagraph"/>
              <w:spacing w:line="216" w:lineRule="exact"/>
              <w:ind w:right="607"/>
              <w:rPr>
                <w:sz w:val="19"/>
              </w:rPr>
            </w:pPr>
            <w:r>
              <w:rPr>
                <w:sz w:val="19"/>
              </w:rPr>
              <w:t>54.4</w:t>
            </w:r>
          </w:p>
        </w:tc>
        <w:tc>
          <w:tcPr>
            <w:tcW w:w="1625" w:type="dxa"/>
            <w:tcBorders>
              <w:top w:val="nil"/>
              <w:left w:val="nil"/>
              <w:bottom w:val="nil"/>
              <w:right w:val="nil"/>
            </w:tcBorders>
          </w:tcPr>
          <w:p>
            <w:pPr>
              <w:pStyle w:val="TableParagraph"/>
              <w:spacing w:line="216" w:lineRule="exact"/>
              <w:ind w:right="104"/>
              <w:rPr>
                <w:sz w:val="19"/>
              </w:rPr>
            </w:pPr>
            <w:r>
              <w:rPr>
                <w:sz w:val="19"/>
              </w:rPr>
              <w:t>2.9</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Campeche</w:t>
            </w:r>
          </w:p>
        </w:tc>
        <w:tc>
          <w:tcPr>
            <w:tcW w:w="2473" w:type="dxa"/>
            <w:tcBorders>
              <w:top w:val="nil"/>
              <w:left w:val="nil"/>
              <w:bottom w:val="nil"/>
              <w:right w:val="nil"/>
            </w:tcBorders>
          </w:tcPr>
          <w:p>
            <w:pPr>
              <w:pStyle w:val="TableParagraph"/>
              <w:spacing w:line="216" w:lineRule="exact"/>
              <w:ind w:right="607"/>
              <w:rPr>
                <w:sz w:val="19"/>
              </w:rPr>
            </w:pPr>
            <w:r>
              <w:rPr>
                <w:sz w:val="19"/>
              </w:rPr>
              <w:t>11.9</w:t>
            </w:r>
          </w:p>
        </w:tc>
        <w:tc>
          <w:tcPr>
            <w:tcW w:w="1625" w:type="dxa"/>
            <w:tcBorders>
              <w:top w:val="nil"/>
              <w:left w:val="nil"/>
              <w:bottom w:val="nil"/>
              <w:right w:val="nil"/>
            </w:tcBorders>
          </w:tcPr>
          <w:p>
            <w:pPr>
              <w:pStyle w:val="TableParagraph"/>
              <w:spacing w:line="216" w:lineRule="exact"/>
              <w:ind w:right="105"/>
              <w:rPr>
                <w:sz w:val="19"/>
              </w:rPr>
            </w:pPr>
            <w:r>
              <w:rPr>
                <w:sz w:val="19"/>
              </w:rPr>
              <w:t>21.3</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Coahuila</w:t>
            </w:r>
          </w:p>
        </w:tc>
        <w:tc>
          <w:tcPr>
            <w:tcW w:w="2473" w:type="dxa"/>
            <w:tcBorders>
              <w:top w:val="nil"/>
              <w:left w:val="nil"/>
              <w:bottom w:val="nil"/>
              <w:right w:val="nil"/>
            </w:tcBorders>
          </w:tcPr>
          <w:p>
            <w:pPr>
              <w:pStyle w:val="TableParagraph"/>
              <w:spacing w:line="216" w:lineRule="exact"/>
              <w:ind w:right="606"/>
              <w:rPr>
                <w:sz w:val="19"/>
              </w:rPr>
            </w:pPr>
            <w:r>
              <w:rPr>
                <w:sz w:val="19"/>
              </w:rPr>
              <w:t>7.6</w:t>
            </w:r>
          </w:p>
        </w:tc>
        <w:tc>
          <w:tcPr>
            <w:tcW w:w="1625" w:type="dxa"/>
            <w:tcBorders>
              <w:top w:val="nil"/>
              <w:left w:val="nil"/>
              <w:bottom w:val="nil"/>
              <w:right w:val="nil"/>
            </w:tcBorders>
          </w:tcPr>
          <w:p>
            <w:pPr>
              <w:pStyle w:val="TableParagraph"/>
              <w:spacing w:line="216" w:lineRule="exact"/>
              <w:ind w:right="105"/>
              <w:rPr>
                <w:sz w:val="19"/>
              </w:rPr>
            </w:pPr>
            <w:r>
              <w:rPr>
                <w:sz w:val="19"/>
              </w:rPr>
              <w:t>16.3</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Colima</w:t>
            </w:r>
          </w:p>
        </w:tc>
        <w:tc>
          <w:tcPr>
            <w:tcW w:w="2473" w:type="dxa"/>
            <w:tcBorders>
              <w:top w:val="nil"/>
              <w:left w:val="nil"/>
              <w:bottom w:val="nil"/>
              <w:right w:val="nil"/>
            </w:tcBorders>
          </w:tcPr>
          <w:p>
            <w:pPr>
              <w:pStyle w:val="TableParagraph"/>
              <w:spacing w:line="216" w:lineRule="exact"/>
              <w:ind w:right="607"/>
              <w:rPr>
                <w:sz w:val="19"/>
              </w:rPr>
            </w:pPr>
            <w:r>
              <w:rPr>
                <w:sz w:val="19"/>
              </w:rPr>
              <w:t>24.4</w:t>
            </w:r>
          </w:p>
        </w:tc>
        <w:tc>
          <w:tcPr>
            <w:tcW w:w="1625" w:type="dxa"/>
            <w:tcBorders>
              <w:top w:val="nil"/>
              <w:left w:val="nil"/>
              <w:bottom w:val="nil"/>
              <w:right w:val="nil"/>
            </w:tcBorders>
          </w:tcPr>
          <w:p>
            <w:pPr>
              <w:pStyle w:val="TableParagraph"/>
              <w:spacing w:line="216" w:lineRule="exact"/>
              <w:ind w:right="105"/>
              <w:rPr>
                <w:sz w:val="19"/>
              </w:rPr>
            </w:pPr>
            <w:r>
              <w:rPr>
                <w:sz w:val="19"/>
              </w:rPr>
              <w:t>33.7</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Chiapas</w:t>
            </w:r>
          </w:p>
        </w:tc>
        <w:tc>
          <w:tcPr>
            <w:tcW w:w="2473" w:type="dxa"/>
            <w:tcBorders>
              <w:top w:val="nil"/>
              <w:left w:val="nil"/>
              <w:bottom w:val="nil"/>
              <w:right w:val="nil"/>
            </w:tcBorders>
          </w:tcPr>
          <w:p>
            <w:pPr>
              <w:pStyle w:val="TableParagraph"/>
              <w:spacing w:line="216" w:lineRule="exact"/>
              <w:ind w:right="606"/>
              <w:rPr>
                <w:sz w:val="19"/>
              </w:rPr>
            </w:pPr>
            <w:r>
              <w:rPr>
                <w:sz w:val="19"/>
              </w:rPr>
              <w:t>0.1</w:t>
            </w:r>
          </w:p>
        </w:tc>
        <w:tc>
          <w:tcPr>
            <w:tcW w:w="1625" w:type="dxa"/>
            <w:tcBorders>
              <w:top w:val="nil"/>
              <w:left w:val="nil"/>
              <w:bottom w:val="nil"/>
              <w:right w:val="nil"/>
            </w:tcBorders>
          </w:tcPr>
          <w:p>
            <w:pPr>
              <w:pStyle w:val="TableParagraph"/>
              <w:spacing w:line="216" w:lineRule="exact"/>
              <w:ind w:right="104"/>
              <w:rPr>
                <w:sz w:val="19"/>
              </w:rPr>
            </w:pPr>
            <w:r>
              <w:rPr>
                <w:sz w:val="19"/>
              </w:rPr>
              <w:t>4.8</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Chihuahua</w:t>
            </w:r>
          </w:p>
        </w:tc>
        <w:tc>
          <w:tcPr>
            <w:tcW w:w="2473" w:type="dxa"/>
            <w:tcBorders>
              <w:top w:val="nil"/>
              <w:left w:val="nil"/>
              <w:bottom w:val="nil"/>
              <w:right w:val="nil"/>
            </w:tcBorders>
          </w:tcPr>
          <w:p>
            <w:pPr>
              <w:pStyle w:val="TableParagraph"/>
              <w:spacing w:line="216" w:lineRule="exact"/>
              <w:ind w:right="607"/>
              <w:rPr>
                <w:sz w:val="19"/>
              </w:rPr>
            </w:pPr>
            <w:r>
              <w:rPr>
                <w:sz w:val="19"/>
              </w:rPr>
              <w:t>17.3</w:t>
            </w:r>
          </w:p>
        </w:tc>
        <w:tc>
          <w:tcPr>
            <w:tcW w:w="1625" w:type="dxa"/>
            <w:tcBorders>
              <w:top w:val="nil"/>
              <w:left w:val="nil"/>
              <w:bottom w:val="nil"/>
              <w:right w:val="nil"/>
            </w:tcBorders>
          </w:tcPr>
          <w:p>
            <w:pPr>
              <w:pStyle w:val="TableParagraph"/>
              <w:spacing w:line="216" w:lineRule="exact"/>
              <w:ind w:right="104"/>
              <w:rPr>
                <w:sz w:val="19"/>
              </w:rPr>
            </w:pPr>
            <w:r>
              <w:rPr>
                <w:sz w:val="19"/>
              </w:rPr>
              <w:t>5.7</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Distrito Federal</w:t>
            </w:r>
          </w:p>
        </w:tc>
        <w:tc>
          <w:tcPr>
            <w:tcW w:w="2473" w:type="dxa"/>
            <w:tcBorders>
              <w:top w:val="nil"/>
              <w:left w:val="nil"/>
              <w:bottom w:val="nil"/>
              <w:right w:val="nil"/>
            </w:tcBorders>
          </w:tcPr>
          <w:p>
            <w:pPr>
              <w:pStyle w:val="TableParagraph"/>
              <w:spacing w:line="216" w:lineRule="exact"/>
              <w:ind w:right="607"/>
              <w:rPr>
                <w:sz w:val="19"/>
              </w:rPr>
            </w:pPr>
            <w:r>
              <w:rPr>
                <w:sz w:val="19"/>
              </w:rPr>
              <w:t>17.9</w:t>
            </w:r>
          </w:p>
        </w:tc>
        <w:tc>
          <w:tcPr>
            <w:tcW w:w="1625" w:type="dxa"/>
            <w:tcBorders>
              <w:top w:val="nil"/>
              <w:left w:val="nil"/>
              <w:bottom w:val="nil"/>
              <w:right w:val="nil"/>
            </w:tcBorders>
          </w:tcPr>
          <w:p>
            <w:pPr>
              <w:pStyle w:val="TableParagraph"/>
              <w:spacing w:line="216" w:lineRule="exact"/>
              <w:ind w:right="105"/>
              <w:rPr>
                <w:sz w:val="19"/>
              </w:rPr>
            </w:pPr>
            <w:r>
              <w:rPr>
                <w:sz w:val="19"/>
              </w:rPr>
              <w:t>52.1</w:t>
            </w:r>
          </w:p>
        </w:tc>
      </w:tr>
      <w:tr>
        <w:trPr>
          <w:trHeight w:val="228"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Durango</w:t>
            </w:r>
          </w:p>
        </w:tc>
        <w:tc>
          <w:tcPr>
            <w:tcW w:w="2473" w:type="dxa"/>
            <w:tcBorders>
              <w:top w:val="nil"/>
              <w:left w:val="nil"/>
              <w:bottom w:val="nil"/>
              <w:right w:val="nil"/>
            </w:tcBorders>
          </w:tcPr>
          <w:p>
            <w:pPr>
              <w:pStyle w:val="TableParagraph"/>
              <w:spacing w:line="216" w:lineRule="exact"/>
              <w:ind w:right="607"/>
              <w:rPr>
                <w:sz w:val="19"/>
              </w:rPr>
            </w:pPr>
            <w:r>
              <w:rPr>
                <w:sz w:val="19"/>
              </w:rPr>
              <w:t>15.4</w:t>
            </w:r>
          </w:p>
        </w:tc>
        <w:tc>
          <w:tcPr>
            <w:tcW w:w="1625" w:type="dxa"/>
            <w:tcBorders>
              <w:top w:val="nil"/>
              <w:left w:val="nil"/>
              <w:bottom w:val="nil"/>
              <w:right w:val="nil"/>
            </w:tcBorders>
          </w:tcPr>
          <w:p>
            <w:pPr>
              <w:pStyle w:val="TableParagraph"/>
              <w:spacing w:line="216" w:lineRule="exact"/>
              <w:ind w:right="104"/>
              <w:rPr>
                <w:sz w:val="19"/>
              </w:rPr>
            </w:pPr>
            <w:r>
              <w:rPr>
                <w:sz w:val="19"/>
              </w:rPr>
              <w:t>8.7</w:t>
            </w:r>
          </w:p>
        </w:tc>
      </w:tr>
      <w:tr>
        <w:trPr>
          <w:trHeight w:val="228" w:hRule="exact"/>
        </w:trPr>
        <w:tc>
          <w:tcPr>
            <w:tcW w:w="2281" w:type="dxa"/>
            <w:tcBorders>
              <w:top w:val="nil"/>
              <w:left w:val="nil"/>
              <w:bottom w:val="nil"/>
              <w:right w:val="nil"/>
            </w:tcBorders>
          </w:tcPr>
          <w:p>
            <w:pPr>
              <w:pStyle w:val="TableParagraph"/>
              <w:spacing w:line="214" w:lineRule="exact"/>
              <w:ind w:left="110"/>
              <w:jc w:val="left"/>
              <w:rPr>
                <w:sz w:val="19"/>
              </w:rPr>
            </w:pPr>
            <w:r>
              <w:rPr>
                <w:w w:val="105"/>
                <w:sz w:val="19"/>
              </w:rPr>
              <w:t>Guanajuato</w:t>
            </w:r>
          </w:p>
        </w:tc>
        <w:tc>
          <w:tcPr>
            <w:tcW w:w="2473" w:type="dxa"/>
            <w:tcBorders>
              <w:top w:val="nil"/>
              <w:left w:val="nil"/>
              <w:bottom w:val="nil"/>
              <w:right w:val="nil"/>
            </w:tcBorders>
          </w:tcPr>
          <w:p>
            <w:pPr>
              <w:pStyle w:val="TableParagraph"/>
              <w:spacing w:line="214" w:lineRule="exact"/>
              <w:ind w:right="606"/>
              <w:rPr>
                <w:sz w:val="19"/>
              </w:rPr>
            </w:pPr>
            <w:r>
              <w:rPr>
                <w:sz w:val="19"/>
              </w:rPr>
              <w:t>6.8</w:t>
            </w:r>
          </w:p>
        </w:tc>
        <w:tc>
          <w:tcPr>
            <w:tcW w:w="1625" w:type="dxa"/>
            <w:tcBorders>
              <w:top w:val="nil"/>
              <w:left w:val="nil"/>
              <w:bottom w:val="nil"/>
              <w:right w:val="nil"/>
            </w:tcBorders>
          </w:tcPr>
          <w:p>
            <w:pPr>
              <w:pStyle w:val="TableParagraph"/>
              <w:spacing w:line="214" w:lineRule="exact"/>
              <w:ind w:right="104"/>
              <w:rPr>
                <w:sz w:val="19"/>
              </w:rPr>
            </w:pPr>
            <w:r>
              <w:rPr>
                <w:sz w:val="19"/>
              </w:rPr>
              <w:t>2.4</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Guerrero</w:t>
            </w:r>
          </w:p>
        </w:tc>
        <w:tc>
          <w:tcPr>
            <w:tcW w:w="2473" w:type="dxa"/>
            <w:tcBorders>
              <w:top w:val="nil"/>
              <w:left w:val="nil"/>
              <w:bottom w:val="nil"/>
              <w:right w:val="nil"/>
            </w:tcBorders>
          </w:tcPr>
          <w:p>
            <w:pPr>
              <w:pStyle w:val="TableParagraph"/>
              <w:spacing w:line="216" w:lineRule="exact"/>
              <w:ind w:right="606"/>
              <w:rPr>
                <w:sz w:val="19"/>
              </w:rPr>
            </w:pPr>
            <w:r>
              <w:rPr>
                <w:sz w:val="19"/>
              </w:rPr>
              <w:t>2.0</w:t>
            </w:r>
          </w:p>
        </w:tc>
        <w:tc>
          <w:tcPr>
            <w:tcW w:w="1625" w:type="dxa"/>
            <w:tcBorders>
              <w:top w:val="nil"/>
              <w:left w:val="nil"/>
              <w:bottom w:val="nil"/>
              <w:right w:val="nil"/>
            </w:tcBorders>
          </w:tcPr>
          <w:p>
            <w:pPr>
              <w:pStyle w:val="TableParagraph"/>
              <w:spacing w:line="216" w:lineRule="exact"/>
              <w:ind w:right="104"/>
              <w:rPr>
                <w:sz w:val="19"/>
              </w:rPr>
            </w:pPr>
            <w:r>
              <w:rPr>
                <w:sz w:val="19"/>
              </w:rPr>
              <w:t>6.8</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Hidalgo</w:t>
            </w:r>
          </w:p>
        </w:tc>
        <w:tc>
          <w:tcPr>
            <w:tcW w:w="2473" w:type="dxa"/>
            <w:tcBorders>
              <w:top w:val="nil"/>
              <w:left w:val="nil"/>
              <w:bottom w:val="nil"/>
              <w:right w:val="nil"/>
            </w:tcBorders>
          </w:tcPr>
          <w:p>
            <w:pPr>
              <w:pStyle w:val="TableParagraph"/>
              <w:spacing w:line="216" w:lineRule="exact"/>
              <w:ind w:right="606"/>
              <w:rPr>
                <w:sz w:val="19"/>
              </w:rPr>
            </w:pPr>
            <w:r>
              <w:rPr>
                <w:sz w:val="19"/>
              </w:rPr>
              <w:t>6.2</w:t>
            </w:r>
          </w:p>
        </w:tc>
        <w:tc>
          <w:tcPr>
            <w:tcW w:w="1625" w:type="dxa"/>
            <w:tcBorders>
              <w:top w:val="nil"/>
              <w:left w:val="nil"/>
              <w:bottom w:val="nil"/>
              <w:right w:val="nil"/>
            </w:tcBorders>
          </w:tcPr>
          <w:p>
            <w:pPr>
              <w:pStyle w:val="TableParagraph"/>
              <w:spacing w:line="216" w:lineRule="exact"/>
              <w:ind w:right="105"/>
              <w:rPr>
                <w:sz w:val="19"/>
              </w:rPr>
            </w:pPr>
            <w:r>
              <w:rPr>
                <w:sz w:val="19"/>
              </w:rPr>
              <w:t>15.7</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Jalisco</w:t>
            </w:r>
          </w:p>
        </w:tc>
        <w:tc>
          <w:tcPr>
            <w:tcW w:w="2473" w:type="dxa"/>
            <w:tcBorders>
              <w:top w:val="nil"/>
              <w:left w:val="nil"/>
              <w:bottom w:val="nil"/>
              <w:right w:val="nil"/>
            </w:tcBorders>
          </w:tcPr>
          <w:p>
            <w:pPr>
              <w:pStyle w:val="TableParagraph"/>
              <w:spacing w:line="216" w:lineRule="exact"/>
              <w:ind w:right="606"/>
              <w:rPr>
                <w:sz w:val="19"/>
              </w:rPr>
            </w:pPr>
            <w:r>
              <w:rPr>
                <w:sz w:val="19"/>
              </w:rPr>
              <w:t>6.4</w:t>
            </w:r>
          </w:p>
        </w:tc>
        <w:tc>
          <w:tcPr>
            <w:tcW w:w="1625" w:type="dxa"/>
            <w:tcBorders>
              <w:top w:val="nil"/>
              <w:left w:val="nil"/>
              <w:bottom w:val="nil"/>
              <w:right w:val="nil"/>
            </w:tcBorders>
          </w:tcPr>
          <w:p>
            <w:pPr>
              <w:pStyle w:val="TableParagraph"/>
              <w:spacing w:line="216" w:lineRule="exact"/>
              <w:ind w:right="104"/>
              <w:rPr>
                <w:sz w:val="19"/>
              </w:rPr>
            </w:pPr>
            <w:r>
              <w:rPr>
                <w:sz w:val="19"/>
              </w:rPr>
              <w:t>4.9</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México (Edo)</w:t>
            </w:r>
          </w:p>
        </w:tc>
        <w:tc>
          <w:tcPr>
            <w:tcW w:w="2473" w:type="dxa"/>
            <w:tcBorders>
              <w:top w:val="nil"/>
              <w:left w:val="nil"/>
              <w:bottom w:val="nil"/>
              <w:right w:val="nil"/>
            </w:tcBorders>
          </w:tcPr>
          <w:p>
            <w:pPr>
              <w:pStyle w:val="TableParagraph"/>
              <w:spacing w:line="216" w:lineRule="exact"/>
              <w:ind w:right="607"/>
              <w:rPr>
                <w:sz w:val="19"/>
              </w:rPr>
            </w:pPr>
            <w:r>
              <w:rPr>
                <w:sz w:val="19"/>
              </w:rPr>
              <w:t>25.4</w:t>
            </w:r>
          </w:p>
        </w:tc>
        <w:tc>
          <w:tcPr>
            <w:tcW w:w="1625" w:type="dxa"/>
            <w:tcBorders>
              <w:top w:val="nil"/>
              <w:left w:val="nil"/>
              <w:bottom w:val="nil"/>
              <w:right w:val="nil"/>
            </w:tcBorders>
          </w:tcPr>
          <w:p>
            <w:pPr>
              <w:pStyle w:val="TableParagraph"/>
              <w:spacing w:line="216" w:lineRule="exact"/>
              <w:ind w:right="104"/>
              <w:rPr>
                <w:sz w:val="19"/>
              </w:rPr>
            </w:pPr>
            <w:r>
              <w:rPr>
                <w:sz w:val="19"/>
              </w:rPr>
              <w:t>8.4</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Michoacán</w:t>
            </w:r>
          </w:p>
        </w:tc>
        <w:tc>
          <w:tcPr>
            <w:tcW w:w="2473" w:type="dxa"/>
            <w:tcBorders>
              <w:top w:val="nil"/>
              <w:left w:val="nil"/>
              <w:bottom w:val="nil"/>
              <w:right w:val="nil"/>
            </w:tcBorders>
          </w:tcPr>
          <w:p>
            <w:pPr>
              <w:pStyle w:val="TableParagraph"/>
              <w:spacing w:line="216" w:lineRule="exact"/>
              <w:ind w:right="606"/>
              <w:rPr>
                <w:sz w:val="19"/>
              </w:rPr>
            </w:pPr>
            <w:r>
              <w:rPr>
                <w:sz w:val="19"/>
              </w:rPr>
              <w:t>6.9</w:t>
            </w:r>
          </w:p>
        </w:tc>
        <w:tc>
          <w:tcPr>
            <w:tcW w:w="1625" w:type="dxa"/>
            <w:tcBorders>
              <w:top w:val="nil"/>
              <w:left w:val="nil"/>
              <w:bottom w:val="nil"/>
              <w:right w:val="nil"/>
            </w:tcBorders>
          </w:tcPr>
          <w:p>
            <w:pPr>
              <w:pStyle w:val="TableParagraph"/>
              <w:spacing w:line="216" w:lineRule="exact"/>
              <w:ind w:right="104"/>
              <w:rPr>
                <w:sz w:val="19"/>
              </w:rPr>
            </w:pPr>
            <w:r>
              <w:rPr>
                <w:sz w:val="19"/>
              </w:rPr>
              <w:t>7.3</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Morelos</w:t>
            </w:r>
          </w:p>
        </w:tc>
        <w:tc>
          <w:tcPr>
            <w:tcW w:w="2473" w:type="dxa"/>
            <w:tcBorders>
              <w:top w:val="nil"/>
              <w:left w:val="nil"/>
              <w:bottom w:val="nil"/>
              <w:right w:val="nil"/>
            </w:tcBorders>
          </w:tcPr>
          <w:p>
            <w:pPr>
              <w:pStyle w:val="TableParagraph"/>
              <w:spacing w:line="216" w:lineRule="exact"/>
              <w:ind w:right="607"/>
              <w:rPr>
                <w:sz w:val="19"/>
              </w:rPr>
            </w:pPr>
            <w:r>
              <w:rPr>
                <w:sz w:val="19"/>
              </w:rPr>
              <w:t>18.1</w:t>
            </w:r>
          </w:p>
        </w:tc>
        <w:tc>
          <w:tcPr>
            <w:tcW w:w="1625" w:type="dxa"/>
            <w:tcBorders>
              <w:top w:val="nil"/>
              <w:left w:val="nil"/>
              <w:bottom w:val="nil"/>
              <w:right w:val="nil"/>
            </w:tcBorders>
          </w:tcPr>
          <w:p>
            <w:pPr>
              <w:pStyle w:val="TableParagraph"/>
              <w:spacing w:line="216" w:lineRule="exact"/>
              <w:ind w:right="105"/>
              <w:rPr>
                <w:sz w:val="19"/>
              </w:rPr>
            </w:pPr>
            <w:r>
              <w:rPr>
                <w:sz w:val="19"/>
              </w:rPr>
              <w:t>18.0</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Nayarit</w:t>
            </w:r>
          </w:p>
        </w:tc>
        <w:tc>
          <w:tcPr>
            <w:tcW w:w="2473" w:type="dxa"/>
            <w:tcBorders>
              <w:top w:val="nil"/>
              <w:left w:val="nil"/>
              <w:bottom w:val="nil"/>
              <w:right w:val="nil"/>
            </w:tcBorders>
          </w:tcPr>
          <w:p>
            <w:pPr>
              <w:pStyle w:val="TableParagraph"/>
              <w:spacing w:line="216" w:lineRule="exact"/>
              <w:ind w:right="607"/>
              <w:rPr>
                <w:sz w:val="19"/>
              </w:rPr>
            </w:pPr>
            <w:r>
              <w:rPr>
                <w:sz w:val="19"/>
              </w:rPr>
              <w:t>19.5</w:t>
            </w:r>
          </w:p>
        </w:tc>
        <w:tc>
          <w:tcPr>
            <w:tcW w:w="1625" w:type="dxa"/>
            <w:tcBorders>
              <w:top w:val="nil"/>
              <w:left w:val="nil"/>
              <w:bottom w:val="nil"/>
              <w:right w:val="nil"/>
            </w:tcBorders>
          </w:tcPr>
          <w:p>
            <w:pPr>
              <w:pStyle w:val="TableParagraph"/>
              <w:spacing w:line="216" w:lineRule="exact"/>
              <w:ind w:right="104"/>
              <w:rPr>
                <w:sz w:val="19"/>
              </w:rPr>
            </w:pPr>
            <w:r>
              <w:rPr>
                <w:sz w:val="19"/>
              </w:rPr>
              <w:t>7.9</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Nuevo León</w:t>
            </w:r>
          </w:p>
        </w:tc>
        <w:tc>
          <w:tcPr>
            <w:tcW w:w="2473" w:type="dxa"/>
            <w:tcBorders>
              <w:top w:val="nil"/>
              <w:left w:val="nil"/>
              <w:bottom w:val="nil"/>
              <w:right w:val="nil"/>
            </w:tcBorders>
          </w:tcPr>
          <w:p>
            <w:pPr>
              <w:pStyle w:val="TableParagraph"/>
              <w:spacing w:line="216" w:lineRule="exact"/>
              <w:ind w:right="607"/>
              <w:rPr>
                <w:sz w:val="19"/>
              </w:rPr>
            </w:pPr>
            <w:r>
              <w:rPr>
                <w:sz w:val="19"/>
              </w:rPr>
              <w:t>11.9</w:t>
            </w:r>
          </w:p>
        </w:tc>
        <w:tc>
          <w:tcPr>
            <w:tcW w:w="1625" w:type="dxa"/>
            <w:tcBorders>
              <w:top w:val="nil"/>
              <w:left w:val="nil"/>
              <w:bottom w:val="nil"/>
              <w:right w:val="nil"/>
            </w:tcBorders>
          </w:tcPr>
          <w:p>
            <w:pPr>
              <w:pStyle w:val="TableParagraph"/>
              <w:spacing w:line="216" w:lineRule="exact"/>
              <w:ind w:right="104"/>
              <w:rPr>
                <w:sz w:val="19"/>
              </w:rPr>
            </w:pPr>
            <w:r>
              <w:rPr>
                <w:sz w:val="19"/>
              </w:rPr>
              <w:t>2.7</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Oaxaca</w:t>
            </w:r>
          </w:p>
        </w:tc>
        <w:tc>
          <w:tcPr>
            <w:tcW w:w="2473" w:type="dxa"/>
            <w:tcBorders>
              <w:top w:val="nil"/>
              <w:left w:val="nil"/>
              <w:bottom w:val="nil"/>
              <w:right w:val="nil"/>
            </w:tcBorders>
          </w:tcPr>
          <w:p>
            <w:pPr>
              <w:pStyle w:val="TableParagraph"/>
              <w:spacing w:line="216" w:lineRule="exact"/>
              <w:ind w:right="606"/>
              <w:rPr>
                <w:sz w:val="19"/>
              </w:rPr>
            </w:pPr>
            <w:r>
              <w:rPr>
                <w:sz w:val="19"/>
              </w:rPr>
              <w:t>3.1</w:t>
            </w:r>
          </w:p>
        </w:tc>
        <w:tc>
          <w:tcPr>
            <w:tcW w:w="1625" w:type="dxa"/>
            <w:tcBorders>
              <w:top w:val="nil"/>
              <w:left w:val="nil"/>
              <w:bottom w:val="nil"/>
              <w:right w:val="nil"/>
            </w:tcBorders>
          </w:tcPr>
          <w:p>
            <w:pPr>
              <w:pStyle w:val="TableParagraph"/>
              <w:spacing w:line="216" w:lineRule="exact"/>
              <w:ind w:right="104"/>
              <w:rPr>
                <w:sz w:val="19"/>
              </w:rPr>
            </w:pPr>
            <w:r>
              <w:rPr>
                <w:sz w:val="19"/>
              </w:rPr>
              <w:t>8.6</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Puebla</w:t>
            </w:r>
          </w:p>
        </w:tc>
        <w:tc>
          <w:tcPr>
            <w:tcW w:w="2473" w:type="dxa"/>
            <w:tcBorders>
              <w:top w:val="nil"/>
              <w:left w:val="nil"/>
              <w:bottom w:val="nil"/>
              <w:right w:val="nil"/>
            </w:tcBorders>
          </w:tcPr>
          <w:p>
            <w:pPr>
              <w:pStyle w:val="TableParagraph"/>
              <w:spacing w:line="216" w:lineRule="exact"/>
              <w:ind w:right="606"/>
              <w:rPr>
                <w:sz w:val="19"/>
              </w:rPr>
            </w:pPr>
            <w:r>
              <w:rPr>
                <w:sz w:val="19"/>
              </w:rPr>
              <w:t>4.3</w:t>
            </w:r>
          </w:p>
        </w:tc>
        <w:tc>
          <w:tcPr>
            <w:tcW w:w="1625" w:type="dxa"/>
            <w:tcBorders>
              <w:top w:val="nil"/>
              <w:left w:val="nil"/>
              <w:bottom w:val="nil"/>
              <w:right w:val="nil"/>
            </w:tcBorders>
          </w:tcPr>
          <w:p>
            <w:pPr>
              <w:pStyle w:val="TableParagraph"/>
              <w:spacing w:line="216" w:lineRule="exact"/>
              <w:ind w:right="104"/>
              <w:rPr>
                <w:sz w:val="19"/>
              </w:rPr>
            </w:pPr>
            <w:r>
              <w:rPr>
                <w:sz w:val="19"/>
              </w:rPr>
              <w:t>4.7</w:t>
            </w:r>
          </w:p>
        </w:tc>
      </w:tr>
      <w:tr>
        <w:trPr>
          <w:trHeight w:val="228"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Querétaro</w:t>
            </w:r>
          </w:p>
        </w:tc>
        <w:tc>
          <w:tcPr>
            <w:tcW w:w="2473" w:type="dxa"/>
            <w:tcBorders>
              <w:top w:val="nil"/>
              <w:left w:val="nil"/>
              <w:bottom w:val="nil"/>
              <w:right w:val="nil"/>
            </w:tcBorders>
          </w:tcPr>
          <w:p>
            <w:pPr>
              <w:pStyle w:val="TableParagraph"/>
              <w:spacing w:line="216" w:lineRule="exact"/>
              <w:ind w:right="606"/>
              <w:rPr>
                <w:sz w:val="19"/>
              </w:rPr>
            </w:pPr>
            <w:r>
              <w:rPr>
                <w:sz w:val="19"/>
              </w:rPr>
              <w:t>9.4</w:t>
            </w:r>
          </w:p>
        </w:tc>
        <w:tc>
          <w:tcPr>
            <w:tcW w:w="1625" w:type="dxa"/>
            <w:tcBorders>
              <w:top w:val="nil"/>
              <w:left w:val="nil"/>
              <w:bottom w:val="nil"/>
              <w:right w:val="nil"/>
            </w:tcBorders>
          </w:tcPr>
          <w:p>
            <w:pPr>
              <w:pStyle w:val="TableParagraph"/>
              <w:spacing w:line="216" w:lineRule="exact"/>
              <w:ind w:right="104"/>
              <w:rPr>
                <w:sz w:val="19"/>
              </w:rPr>
            </w:pPr>
            <w:r>
              <w:rPr>
                <w:sz w:val="19"/>
              </w:rPr>
              <w:t>8.4</w:t>
            </w:r>
          </w:p>
        </w:tc>
      </w:tr>
      <w:tr>
        <w:trPr>
          <w:trHeight w:val="228" w:hRule="exact"/>
        </w:trPr>
        <w:tc>
          <w:tcPr>
            <w:tcW w:w="2281" w:type="dxa"/>
            <w:tcBorders>
              <w:top w:val="nil"/>
              <w:left w:val="nil"/>
              <w:bottom w:val="nil"/>
              <w:right w:val="nil"/>
            </w:tcBorders>
          </w:tcPr>
          <w:p>
            <w:pPr>
              <w:pStyle w:val="TableParagraph"/>
              <w:spacing w:line="214" w:lineRule="exact"/>
              <w:ind w:left="110"/>
              <w:jc w:val="left"/>
              <w:rPr>
                <w:sz w:val="19"/>
              </w:rPr>
            </w:pPr>
            <w:r>
              <w:rPr>
                <w:w w:val="105"/>
                <w:sz w:val="19"/>
              </w:rPr>
              <w:t>Quintana Roo</w:t>
            </w:r>
          </w:p>
        </w:tc>
        <w:tc>
          <w:tcPr>
            <w:tcW w:w="2473" w:type="dxa"/>
            <w:tcBorders>
              <w:top w:val="nil"/>
              <w:left w:val="nil"/>
              <w:bottom w:val="nil"/>
              <w:right w:val="nil"/>
            </w:tcBorders>
          </w:tcPr>
          <w:p>
            <w:pPr>
              <w:pStyle w:val="TableParagraph"/>
              <w:spacing w:line="214" w:lineRule="exact"/>
              <w:ind w:right="607"/>
              <w:rPr>
                <w:sz w:val="19"/>
              </w:rPr>
            </w:pPr>
            <w:r>
              <w:rPr>
                <w:sz w:val="19"/>
              </w:rPr>
              <w:t>40.8</w:t>
            </w:r>
          </w:p>
        </w:tc>
        <w:tc>
          <w:tcPr>
            <w:tcW w:w="1625" w:type="dxa"/>
            <w:tcBorders>
              <w:top w:val="nil"/>
              <w:left w:val="nil"/>
              <w:bottom w:val="nil"/>
              <w:right w:val="nil"/>
            </w:tcBorders>
          </w:tcPr>
          <w:p>
            <w:pPr>
              <w:pStyle w:val="TableParagraph"/>
              <w:spacing w:line="214" w:lineRule="exact"/>
              <w:ind w:right="106"/>
              <w:rPr>
                <w:sz w:val="19"/>
              </w:rPr>
            </w:pPr>
            <w:r>
              <w:rPr>
                <w:sz w:val="19"/>
              </w:rPr>
              <w:t>5.5</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San Luis Potosí</w:t>
            </w:r>
          </w:p>
        </w:tc>
        <w:tc>
          <w:tcPr>
            <w:tcW w:w="2473" w:type="dxa"/>
            <w:tcBorders>
              <w:top w:val="nil"/>
              <w:left w:val="nil"/>
              <w:bottom w:val="nil"/>
              <w:right w:val="nil"/>
            </w:tcBorders>
          </w:tcPr>
          <w:p>
            <w:pPr>
              <w:pStyle w:val="TableParagraph"/>
              <w:spacing w:line="216" w:lineRule="exact"/>
              <w:ind w:right="606"/>
              <w:rPr>
                <w:sz w:val="19"/>
              </w:rPr>
            </w:pPr>
            <w:r>
              <w:rPr>
                <w:sz w:val="19"/>
              </w:rPr>
              <w:t>6.3</w:t>
            </w:r>
          </w:p>
        </w:tc>
        <w:tc>
          <w:tcPr>
            <w:tcW w:w="1625" w:type="dxa"/>
            <w:tcBorders>
              <w:top w:val="nil"/>
              <w:left w:val="nil"/>
              <w:bottom w:val="nil"/>
              <w:right w:val="nil"/>
            </w:tcBorders>
          </w:tcPr>
          <w:p>
            <w:pPr>
              <w:pStyle w:val="TableParagraph"/>
              <w:spacing w:line="216" w:lineRule="exact"/>
              <w:ind w:right="104"/>
              <w:rPr>
                <w:sz w:val="19"/>
              </w:rPr>
            </w:pPr>
            <w:r>
              <w:rPr>
                <w:sz w:val="19"/>
              </w:rPr>
              <w:t>5.1</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Sinaloa</w:t>
            </w:r>
          </w:p>
        </w:tc>
        <w:tc>
          <w:tcPr>
            <w:tcW w:w="2473" w:type="dxa"/>
            <w:tcBorders>
              <w:top w:val="nil"/>
              <w:left w:val="nil"/>
              <w:bottom w:val="nil"/>
              <w:right w:val="nil"/>
            </w:tcBorders>
          </w:tcPr>
          <w:p>
            <w:pPr>
              <w:pStyle w:val="TableParagraph"/>
              <w:spacing w:line="216" w:lineRule="exact"/>
              <w:ind w:right="607"/>
              <w:rPr>
                <w:sz w:val="19"/>
              </w:rPr>
            </w:pPr>
            <w:r>
              <w:rPr>
                <w:sz w:val="19"/>
              </w:rPr>
              <w:t>10.6</w:t>
            </w:r>
          </w:p>
        </w:tc>
        <w:tc>
          <w:tcPr>
            <w:tcW w:w="1625" w:type="dxa"/>
            <w:tcBorders>
              <w:top w:val="nil"/>
              <w:left w:val="nil"/>
              <w:bottom w:val="nil"/>
              <w:right w:val="nil"/>
            </w:tcBorders>
          </w:tcPr>
          <w:p>
            <w:pPr>
              <w:pStyle w:val="TableParagraph"/>
              <w:spacing w:line="216" w:lineRule="exact"/>
              <w:ind w:right="105"/>
              <w:rPr>
                <w:sz w:val="19"/>
              </w:rPr>
            </w:pPr>
            <w:r>
              <w:rPr>
                <w:sz w:val="19"/>
              </w:rPr>
              <w:t>23.8</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Sonora</w:t>
            </w:r>
          </w:p>
        </w:tc>
        <w:tc>
          <w:tcPr>
            <w:tcW w:w="2473" w:type="dxa"/>
            <w:tcBorders>
              <w:top w:val="nil"/>
              <w:left w:val="nil"/>
              <w:bottom w:val="nil"/>
              <w:right w:val="nil"/>
            </w:tcBorders>
          </w:tcPr>
          <w:p>
            <w:pPr>
              <w:pStyle w:val="TableParagraph"/>
              <w:spacing w:line="216" w:lineRule="exact"/>
              <w:ind w:right="607"/>
              <w:rPr>
                <w:sz w:val="19"/>
              </w:rPr>
            </w:pPr>
            <w:r>
              <w:rPr>
                <w:sz w:val="19"/>
              </w:rPr>
              <w:t>10.1</w:t>
            </w:r>
          </w:p>
        </w:tc>
        <w:tc>
          <w:tcPr>
            <w:tcW w:w="1625" w:type="dxa"/>
            <w:tcBorders>
              <w:top w:val="nil"/>
              <w:left w:val="nil"/>
              <w:bottom w:val="nil"/>
              <w:right w:val="nil"/>
            </w:tcBorders>
          </w:tcPr>
          <w:p>
            <w:pPr>
              <w:pStyle w:val="TableParagraph"/>
              <w:spacing w:line="216" w:lineRule="exact"/>
              <w:ind w:right="104"/>
              <w:rPr>
                <w:sz w:val="19"/>
              </w:rPr>
            </w:pPr>
            <w:r>
              <w:rPr>
                <w:sz w:val="19"/>
              </w:rPr>
              <w:t>5.5</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Tabasco</w:t>
            </w:r>
          </w:p>
        </w:tc>
        <w:tc>
          <w:tcPr>
            <w:tcW w:w="2473" w:type="dxa"/>
            <w:tcBorders>
              <w:top w:val="nil"/>
              <w:left w:val="nil"/>
              <w:bottom w:val="nil"/>
              <w:right w:val="nil"/>
            </w:tcBorders>
          </w:tcPr>
          <w:p>
            <w:pPr>
              <w:pStyle w:val="TableParagraph"/>
              <w:spacing w:line="216" w:lineRule="exact"/>
              <w:ind w:right="606"/>
              <w:rPr>
                <w:sz w:val="19"/>
              </w:rPr>
            </w:pPr>
            <w:r>
              <w:rPr>
                <w:sz w:val="19"/>
              </w:rPr>
              <w:t>5.0</w:t>
            </w:r>
          </w:p>
        </w:tc>
        <w:tc>
          <w:tcPr>
            <w:tcW w:w="1625" w:type="dxa"/>
            <w:tcBorders>
              <w:top w:val="nil"/>
              <w:left w:val="nil"/>
              <w:bottom w:val="nil"/>
              <w:right w:val="nil"/>
            </w:tcBorders>
          </w:tcPr>
          <w:p>
            <w:pPr>
              <w:pStyle w:val="TableParagraph"/>
              <w:spacing w:line="216" w:lineRule="exact"/>
              <w:ind w:right="105"/>
              <w:rPr>
                <w:sz w:val="19"/>
              </w:rPr>
            </w:pPr>
            <w:r>
              <w:rPr>
                <w:sz w:val="19"/>
              </w:rPr>
              <w:t>18.5</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Tamaulipas</w:t>
            </w:r>
          </w:p>
        </w:tc>
        <w:tc>
          <w:tcPr>
            <w:tcW w:w="2473" w:type="dxa"/>
            <w:tcBorders>
              <w:top w:val="nil"/>
              <w:left w:val="nil"/>
              <w:bottom w:val="nil"/>
              <w:right w:val="nil"/>
            </w:tcBorders>
          </w:tcPr>
          <w:p>
            <w:pPr>
              <w:pStyle w:val="TableParagraph"/>
              <w:spacing w:line="216" w:lineRule="exact"/>
              <w:ind w:right="606"/>
              <w:rPr>
                <w:sz w:val="19"/>
              </w:rPr>
            </w:pPr>
            <w:r>
              <w:rPr>
                <w:sz w:val="19"/>
              </w:rPr>
              <w:t>7.5</w:t>
            </w:r>
          </w:p>
        </w:tc>
        <w:tc>
          <w:tcPr>
            <w:tcW w:w="1625" w:type="dxa"/>
            <w:tcBorders>
              <w:top w:val="nil"/>
              <w:left w:val="nil"/>
              <w:bottom w:val="nil"/>
              <w:right w:val="nil"/>
            </w:tcBorders>
          </w:tcPr>
          <w:p>
            <w:pPr>
              <w:pStyle w:val="TableParagraph"/>
              <w:spacing w:line="216" w:lineRule="exact"/>
              <w:ind w:right="105"/>
              <w:rPr>
                <w:sz w:val="19"/>
              </w:rPr>
            </w:pPr>
            <w:r>
              <w:rPr>
                <w:sz w:val="19"/>
              </w:rPr>
              <w:t>21.4</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Tlaxcala</w:t>
            </w:r>
          </w:p>
        </w:tc>
        <w:tc>
          <w:tcPr>
            <w:tcW w:w="2473" w:type="dxa"/>
            <w:tcBorders>
              <w:top w:val="nil"/>
              <w:left w:val="nil"/>
              <w:bottom w:val="nil"/>
              <w:right w:val="nil"/>
            </w:tcBorders>
          </w:tcPr>
          <w:p>
            <w:pPr>
              <w:pStyle w:val="TableParagraph"/>
              <w:spacing w:line="216" w:lineRule="exact"/>
              <w:ind w:right="606"/>
              <w:rPr>
                <w:sz w:val="19"/>
              </w:rPr>
            </w:pPr>
            <w:r>
              <w:rPr>
                <w:sz w:val="19"/>
              </w:rPr>
              <w:t>9.8</w:t>
            </w:r>
          </w:p>
        </w:tc>
        <w:tc>
          <w:tcPr>
            <w:tcW w:w="1625" w:type="dxa"/>
            <w:tcBorders>
              <w:top w:val="nil"/>
              <w:left w:val="nil"/>
              <w:bottom w:val="nil"/>
              <w:right w:val="nil"/>
            </w:tcBorders>
          </w:tcPr>
          <w:p>
            <w:pPr>
              <w:pStyle w:val="TableParagraph"/>
              <w:spacing w:line="216" w:lineRule="exact"/>
              <w:ind w:right="104"/>
              <w:rPr>
                <w:sz w:val="19"/>
              </w:rPr>
            </w:pPr>
            <w:r>
              <w:rPr>
                <w:sz w:val="19"/>
              </w:rPr>
              <w:t>1.1</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Veracruz</w:t>
            </w:r>
          </w:p>
        </w:tc>
        <w:tc>
          <w:tcPr>
            <w:tcW w:w="2473" w:type="dxa"/>
            <w:tcBorders>
              <w:top w:val="nil"/>
              <w:left w:val="nil"/>
              <w:bottom w:val="nil"/>
              <w:right w:val="nil"/>
            </w:tcBorders>
          </w:tcPr>
          <w:p>
            <w:pPr>
              <w:pStyle w:val="TableParagraph"/>
              <w:spacing w:line="216" w:lineRule="exact"/>
              <w:ind w:right="606"/>
              <w:rPr>
                <w:sz w:val="19"/>
              </w:rPr>
            </w:pPr>
            <w:r>
              <w:rPr>
                <w:sz w:val="19"/>
              </w:rPr>
              <w:t>6.1</w:t>
            </w:r>
          </w:p>
        </w:tc>
        <w:tc>
          <w:tcPr>
            <w:tcW w:w="1625" w:type="dxa"/>
            <w:tcBorders>
              <w:top w:val="nil"/>
              <w:left w:val="nil"/>
              <w:bottom w:val="nil"/>
              <w:right w:val="nil"/>
            </w:tcBorders>
          </w:tcPr>
          <w:p>
            <w:pPr>
              <w:pStyle w:val="TableParagraph"/>
              <w:spacing w:line="216" w:lineRule="exact"/>
              <w:ind w:right="104"/>
              <w:rPr>
                <w:sz w:val="19"/>
              </w:rPr>
            </w:pPr>
            <w:r>
              <w:rPr>
                <w:sz w:val="19"/>
              </w:rPr>
              <w:t>8.6</w:t>
            </w:r>
          </w:p>
        </w:tc>
      </w:tr>
      <w:tr>
        <w:trPr>
          <w:trHeight w:val="230" w:hRule="exact"/>
        </w:trPr>
        <w:tc>
          <w:tcPr>
            <w:tcW w:w="2281" w:type="dxa"/>
            <w:tcBorders>
              <w:top w:val="nil"/>
              <w:left w:val="nil"/>
              <w:bottom w:val="nil"/>
              <w:right w:val="nil"/>
            </w:tcBorders>
          </w:tcPr>
          <w:p>
            <w:pPr>
              <w:pStyle w:val="TableParagraph"/>
              <w:spacing w:line="216" w:lineRule="exact"/>
              <w:ind w:left="110"/>
              <w:jc w:val="left"/>
              <w:rPr>
                <w:sz w:val="19"/>
              </w:rPr>
            </w:pPr>
            <w:r>
              <w:rPr>
                <w:w w:val="105"/>
                <w:sz w:val="19"/>
              </w:rPr>
              <w:t>Yucatán</w:t>
            </w:r>
          </w:p>
        </w:tc>
        <w:tc>
          <w:tcPr>
            <w:tcW w:w="2473" w:type="dxa"/>
            <w:tcBorders>
              <w:top w:val="nil"/>
              <w:left w:val="nil"/>
              <w:bottom w:val="nil"/>
              <w:right w:val="nil"/>
            </w:tcBorders>
          </w:tcPr>
          <w:p>
            <w:pPr>
              <w:pStyle w:val="TableParagraph"/>
              <w:spacing w:line="216" w:lineRule="exact"/>
              <w:ind w:right="606"/>
              <w:rPr>
                <w:sz w:val="19"/>
              </w:rPr>
            </w:pPr>
            <w:r>
              <w:rPr>
                <w:sz w:val="19"/>
              </w:rPr>
              <w:t>8.1</w:t>
            </w:r>
          </w:p>
        </w:tc>
        <w:tc>
          <w:tcPr>
            <w:tcW w:w="1625" w:type="dxa"/>
            <w:tcBorders>
              <w:top w:val="nil"/>
              <w:left w:val="nil"/>
              <w:bottom w:val="nil"/>
              <w:right w:val="nil"/>
            </w:tcBorders>
          </w:tcPr>
          <w:p>
            <w:pPr>
              <w:pStyle w:val="TableParagraph"/>
              <w:spacing w:line="216" w:lineRule="exact"/>
              <w:ind w:right="104"/>
              <w:rPr>
                <w:sz w:val="19"/>
              </w:rPr>
            </w:pPr>
            <w:r>
              <w:rPr>
                <w:sz w:val="19"/>
              </w:rPr>
              <w:t>8.6</w:t>
            </w:r>
          </w:p>
        </w:tc>
      </w:tr>
      <w:tr>
        <w:trPr>
          <w:trHeight w:val="238" w:hRule="exact"/>
        </w:trPr>
        <w:tc>
          <w:tcPr>
            <w:tcW w:w="2281" w:type="dxa"/>
            <w:tcBorders>
              <w:top w:val="nil"/>
              <w:left w:val="nil"/>
              <w:bottom w:val="double" w:sz="4" w:space="0" w:color="000000"/>
              <w:right w:val="nil"/>
            </w:tcBorders>
          </w:tcPr>
          <w:p>
            <w:pPr>
              <w:pStyle w:val="TableParagraph"/>
              <w:spacing w:line="216" w:lineRule="exact"/>
              <w:ind w:left="110"/>
              <w:jc w:val="left"/>
              <w:rPr>
                <w:sz w:val="19"/>
              </w:rPr>
            </w:pPr>
            <w:r>
              <w:rPr>
                <w:w w:val="105"/>
                <w:sz w:val="19"/>
              </w:rPr>
              <w:t>Zacatecas</w:t>
            </w:r>
          </w:p>
        </w:tc>
        <w:tc>
          <w:tcPr>
            <w:tcW w:w="2473" w:type="dxa"/>
            <w:tcBorders>
              <w:top w:val="nil"/>
              <w:left w:val="nil"/>
              <w:bottom w:val="double" w:sz="4" w:space="0" w:color="000000"/>
              <w:right w:val="nil"/>
            </w:tcBorders>
          </w:tcPr>
          <w:p>
            <w:pPr>
              <w:pStyle w:val="TableParagraph"/>
              <w:spacing w:line="216" w:lineRule="exact"/>
              <w:ind w:right="606"/>
              <w:rPr>
                <w:sz w:val="19"/>
              </w:rPr>
            </w:pPr>
            <w:r>
              <w:rPr>
                <w:sz w:val="19"/>
              </w:rPr>
              <w:t>9.6</w:t>
            </w:r>
          </w:p>
        </w:tc>
        <w:tc>
          <w:tcPr>
            <w:tcW w:w="1625" w:type="dxa"/>
            <w:tcBorders>
              <w:top w:val="nil"/>
              <w:left w:val="nil"/>
              <w:bottom w:val="double" w:sz="4" w:space="0" w:color="000000"/>
              <w:right w:val="nil"/>
            </w:tcBorders>
          </w:tcPr>
          <w:p>
            <w:pPr>
              <w:pStyle w:val="TableParagraph"/>
              <w:spacing w:line="216" w:lineRule="exact"/>
              <w:ind w:right="104"/>
              <w:rPr>
                <w:sz w:val="19"/>
              </w:rPr>
            </w:pPr>
            <w:r>
              <w:rPr>
                <w:sz w:val="19"/>
              </w:rPr>
              <w:t>5.0</w:t>
            </w:r>
          </w:p>
        </w:tc>
      </w:tr>
    </w:tbl>
    <w:p>
      <w:pPr>
        <w:spacing w:line="168" w:lineRule="exact" w:before="0"/>
        <w:ind w:left="368" w:right="117" w:firstLine="0"/>
        <w:jc w:val="left"/>
        <w:rPr>
          <w:sz w:val="16"/>
        </w:rPr>
      </w:pPr>
      <w:r>
        <w:rPr>
          <w:sz w:val="16"/>
        </w:rPr>
        <w:t>Nota: la condición migratoria es con base en el lugar de nacimiento, expresado en porcentaje.</w:t>
      </w:r>
    </w:p>
    <w:p>
      <w:pPr>
        <w:spacing w:before="0"/>
        <w:ind w:left="368" w:right="543" w:firstLine="0"/>
        <w:jc w:val="left"/>
        <w:rPr>
          <w:sz w:val="16"/>
        </w:rPr>
      </w:pPr>
      <w:r>
        <w:rPr>
          <w:sz w:val="16"/>
        </w:rPr>
        <w:t>Fuente: elaboración propia con datos de la Encuesta Nacional de la Dinámica Demográfica 2009, INEGI.</w:t>
      </w:r>
    </w:p>
    <w:p>
      <w:pPr>
        <w:pStyle w:val="BodyText"/>
        <w:spacing w:before="3"/>
        <w:rPr>
          <w:sz w:val="16"/>
        </w:rPr>
      </w:pPr>
    </w:p>
    <w:p>
      <w:pPr>
        <w:pStyle w:val="BodyText"/>
        <w:spacing w:line="247" w:lineRule="auto"/>
        <w:ind w:left="117" w:right="117"/>
      </w:pPr>
      <w:r>
        <w:rPr>
          <w:color w:val="231F20"/>
        </w:rPr>
        <w:t>cir, la fuerza laboral infantil que se desplazó al mercado laboral de otra entidad federativa dejando el lugar de su residencia habitual.</w:t>
      </w:r>
    </w:p>
    <w:p>
      <w:pPr>
        <w:pStyle w:val="BodyText"/>
        <w:spacing w:line="247" w:lineRule="auto"/>
        <w:ind w:left="117" w:right="115" w:firstLine="283"/>
        <w:jc w:val="both"/>
      </w:pPr>
      <w:r>
        <w:rPr>
          <w:color w:val="231F20"/>
        </w:rPr>
        <w:t>De lo anterior, podemos resaltar los siguientes resultados: la Entidad Federativa que concentra mayor población infantil ocupada inmigrante a nivel</w:t>
      </w:r>
      <w:r>
        <w:rPr>
          <w:color w:val="231F20"/>
          <w:spacing w:val="-8"/>
        </w:rPr>
        <w:t> </w:t>
      </w:r>
      <w:r>
        <w:rPr>
          <w:color w:val="231F20"/>
        </w:rPr>
        <w:t>nacional</w:t>
      </w:r>
      <w:r>
        <w:rPr>
          <w:color w:val="231F20"/>
          <w:spacing w:val="-8"/>
        </w:rPr>
        <w:t> </w:t>
      </w:r>
      <w:r>
        <w:rPr>
          <w:color w:val="231F20"/>
        </w:rPr>
        <w:t>es</w:t>
      </w:r>
      <w:r>
        <w:rPr>
          <w:color w:val="231F20"/>
          <w:spacing w:val="-8"/>
        </w:rPr>
        <w:t> </w:t>
      </w:r>
      <w:r>
        <w:rPr>
          <w:color w:val="231F20"/>
        </w:rPr>
        <w:t>Baja</w:t>
      </w:r>
      <w:r>
        <w:rPr>
          <w:color w:val="231F20"/>
          <w:spacing w:val="-8"/>
        </w:rPr>
        <w:t> </w:t>
      </w:r>
      <w:r>
        <w:rPr>
          <w:color w:val="231F20"/>
        </w:rPr>
        <w:t>California</w:t>
      </w:r>
      <w:r>
        <w:rPr>
          <w:color w:val="231F20"/>
          <w:spacing w:val="-8"/>
        </w:rPr>
        <w:t> </w:t>
      </w:r>
      <w:r>
        <w:rPr>
          <w:color w:val="231F20"/>
        </w:rPr>
        <w:t>con</w:t>
      </w:r>
      <w:r>
        <w:rPr>
          <w:color w:val="231F20"/>
          <w:spacing w:val="-8"/>
        </w:rPr>
        <w:t> </w:t>
      </w:r>
      <w:r>
        <w:rPr>
          <w:color w:val="231F20"/>
        </w:rPr>
        <w:t>57.3</w:t>
      </w:r>
      <w:r>
        <w:rPr>
          <w:color w:val="231F20"/>
          <w:spacing w:val="-8"/>
        </w:rPr>
        <w:t> </w:t>
      </w:r>
      <w:r>
        <w:rPr>
          <w:color w:val="231F20"/>
        </w:rPr>
        <w:t>por</w:t>
      </w:r>
      <w:r>
        <w:rPr>
          <w:color w:val="231F20"/>
          <w:spacing w:val="-8"/>
        </w:rPr>
        <w:t> </w:t>
      </w:r>
      <w:r>
        <w:rPr>
          <w:color w:val="231F20"/>
        </w:rPr>
        <w:t>ciento,</w:t>
      </w:r>
      <w:r>
        <w:rPr>
          <w:color w:val="231F20"/>
          <w:spacing w:val="-9"/>
        </w:rPr>
        <w:t> </w:t>
      </w:r>
      <w:r>
        <w:rPr>
          <w:color w:val="231F20"/>
        </w:rPr>
        <w:t>en</w:t>
      </w:r>
      <w:r>
        <w:rPr>
          <w:color w:val="231F20"/>
          <w:spacing w:val="-8"/>
        </w:rPr>
        <w:t> </w:t>
      </w:r>
      <w:r>
        <w:rPr>
          <w:color w:val="231F20"/>
        </w:rPr>
        <w:t>menor</w:t>
      </w:r>
      <w:r>
        <w:rPr>
          <w:color w:val="231F20"/>
          <w:spacing w:val="-8"/>
        </w:rPr>
        <w:t> </w:t>
      </w:r>
      <w:r>
        <w:rPr>
          <w:color w:val="231F20"/>
        </w:rPr>
        <w:t>proporción</w:t>
      </w:r>
    </w:p>
    <w:p>
      <w:pPr>
        <w:spacing w:after="0" w:line="247" w:lineRule="auto"/>
        <w:jc w:val="both"/>
        <w:sectPr>
          <w:pgSz w:w="9360" w:h="13040"/>
          <w:pgMar w:header="0" w:footer="496" w:top="840" w:bottom="680" w:left="1300" w:right="1300"/>
        </w:sectPr>
      </w:pPr>
    </w:p>
    <w:p>
      <w:pPr>
        <w:spacing w:before="45"/>
        <w:ind w:left="117" w:right="0" w:firstLine="846"/>
        <w:jc w:val="left"/>
        <w:rPr>
          <w:rFonts w:ascii="Arial" w:hAnsi="Arial"/>
          <w:sz w:val="20"/>
        </w:rPr>
      </w:pPr>
      <w:r>
        <w:rPr>
          <w:rFonts w:ascii="Arial" w:hAnsi="Arial"/>
          <w:color w:val="231F20"/>
          <w:w w:val="65"/>
          <w:sz w:val="20"/>
        </w:rPr>
        <w:t>Un</w:t>
      </w:r>
      <w:r>
        <w:rPr>
          <w:rFonts w:ascii="Arial" w:hAnsi="Arial"/>
          <w:color w:val="231F20"/>
          <w:spacing w:val="-11"/>
          <w:w w:val="65"/>
          <w:sz w:val="20"/>
        </w:rPr>
        <w:t> </w:t>
      </w:r>
      <w:r>
        <w:rPr>
          <w:rFonts w:ascii="Arial" w:hAnsi="Arial"/>
          <w:color w:val="231F20"/>
          <w:w w:val="65"/>
          <w:sz w:val="20"/>
        </w:rPr>
        <w:t>actor</w:t>
      </w:r>
      <w:r>
        <w:rPr>
          <w:rFonts w:ascii="Arial" w:hAnsi="Arial"/>
          <w:color w:val="231F20"/>
          <w:spacing w:val="-11"/>
          <w:w w:val="65"/>
          <w:sz w:val="20"/>
        </w:rPr>
        <w:t> </w:t>
      </w:r>
      <w:r>
        <w:rPr>
          <w:rFonts w:ascii="Arial" w:hAnsi="Arial"/>
          <w:color w:val="231F20"/>
          <w:w w:val="65"/>
          <w:sz w:val="20"/>
        </w:rPr>
        <w:t>más</w:t>
      </w:r>
      <w:r>
        <w:rPr>
          <w:rFonts w:ascii="Arial" w:hAnsi="Arial"/>
          <w:color w:val="231F20"/>
          <w:spacing w:val="-11"/>
          <w:w w:val="65"/>
          <w:sz w:val="20"/>
        </w:rPr>
        <w:t> </w:t>
      </w:r>
      <w:r>
        <w:rPr>
          <w:rFonts w:ascii="Arial" w:hAnsi="Arial"/>
          <w:color w:val="231F20"/>
          <w:w w:val="65"/>
          <w:sz w:val="20"/>
        </w:rPr>
        <w:t>en</w:t>
      </w:r>
      <w:r>
        <w:rPr>
          <w:rFonts w:ascii="Arial" w:hAnsi="Arial"/>
          <w:color w:val="231F20"/>
          <w:spacing w:val="-11"/>
          <w:w w:val="65"/>
          <w:sz w:val="20"/>
        </w:rPr>
        <w:t> </w:t>
      </w:r>
      <w:r>
        <w:rPr>
          <w:rFonts w:ascii="Arial" w:hAnsi="Arial"/>
          <w:color w:val="231F20"/>
          <w:w w:val="65"/>
          <w:sz w:val="20"/>
        </w:rPr>
        <w:t>los</w:t>
      </w:r>
      <w:r>
        <w:rPr>
          <w:rFonts w:ascii="Arial" w:hAnsi="Arial"/>
          <w:color w:val="231F20"/>
          <w:spacing w:val="-11"/>
          <w:w w:val="65"/>
          <w:sz w:val="20"/>
        </w:rPr>
        <w:t> </w:t>
      </w:r>
      <w:r>
        <w:rPr>
          <w:rFonts w:ascii="Arial" w:hAnsi="Arial"/>
          <w:color w:val="231F20"/>
          <w:w w:val="65"/>
          <w:sz w:val="20"/>
        </w:rPr>
        <w:t>procesos</w:t>
      </w:r>
      <w:r>
        <w:rPr>
          <w:rFonts w:ascii="Arial" w:hAnsi="Arial"/>
          <w:color w:val="231F20"/>
          <w:spacing w:val="-11"/>
          <w:w w:val="65"/>
          <w:sz w:val="20"/>
        </w:rPr>
        <w:t> </w:t>
      </w:r>
      <w:r>
        <w:rPr>
          <w:rFonts w:ascii="Arial" w:hAnsi="Arial"/>
          <w:color w:val="231F20"/>
          <w:w w:val="65"/>
          <w:sz w:val="20"/>
        </w:rPr>
        <w:t>migratorios:...</w:t>
      </w:r>
      <w:r>
        <w:rPr>
          <w:rFonts w:ascii="Arial" w:hAnsi="Arial"/>
          <w:color w:val="231F20"/>
          <w:spacing w:val="-11"/>
          <w:w w:val="65"/>
          <w:sz w:val="20"/>
        </w:rPr>
        <w:t> </w:t>
      </w:r>
      <w:r>
        <w:rPr>
          <w:rFonts w:ascii="Arial" w:hAnsi="Arial"/>
          <w:color w:val="231F20"/>
          <w:w w:val="65"/>
          <w:sz w:val="20"/>
        </w:rPr>
        <w:t>/Silvia</w:t>
      </w:r>
      <w:r>
        <w:rPr>
          <w:rFonts w:ascii="Arial" w:hAnsi="Arial"/>
          <w:color w:val="231F20"/>
          <w:spacing w:val="-19"/>
          <w:w w:val="65"/>
          <w:sz w:val="20"/>
        </w:rPr>
        <w:t> </w:t>
      </w:r>
      <w:r>
        <w:rPr>
          <w:rFonts w:ascii="Arial" w:hAnsi="Arial"/>
          <w:color w:val="231F20"/>
          <w:w w:val="65"/>
          <w:sz w:val="20"/>
        </w:rPr>
        <w:t>L.</w:t>
      </w:r>
      <w:r>
        <w:rPr>
          <w:rFonts w:ascii="Arial" w:hAnsi="Arial"/>
          <w:color w:val="231F20"/>
          <w:spacing w:val="-19"/>
          <w:w w:val="65"/>
          <w:sz w:val="20"/>
        </w:rPr>
        <w:t> </w:t>
      </w:r>
      <w:r>
        <w:rPr>
          <w:rFonts w:ascii="Arial" w:hAnsi="Arial"/>
          <w:color w:val="231F20"/>
          <w:w w:val="65"/>
          <w:sz w:val="20"/>
        </w:rPr>
        <w:t>Aguilar-Velázquez</w:t>
      </w:r>
      <w:r>
        <w:rPr>
          <w:rFonts w:ascii="Arial" w:hAnsi="Arial"/>
          <w:color w:val="231F20"/>
          <w:spacing w:val="-19"/>
          <w:w w:val="65"/>
          <w:sz w:val="20"/>
        </w:rPr>
        <w:t> </w:t>
      </w:r>
      <w:r>
        <w:rPr>
          <w:rFonts w:ascii="Arial" w:hAnsi="Arial"/>
          <w:color w:val="231F20"/>
          <w:w w:val="65"/>
          <w:sz w:val="20"/>
        </w:rPr>
        <w:t>y</w:t>
      </w:r>
      <w:r>
        <w:rPr>
          <w:rFonts w:ascii="Arial" w:hAnsi="Arial"/>
          <w:color w:val="231F20"/>
          <w:spacing w:val="-19"/>
          <w:w w:val="65"/>
          <w:sz w:val="20"/>
        </w:rPr>
        <w:t> </w:t>
      </w:r>
      <w:r>
        <w:rPr>
          <w:rFonts w:ascii="Arial" w:hAnsi="Arial"/>
          <w:color w:val="231F20"/>
          <w:w w:val="65"/>
          <w:sz w:val="20"/>
        </w:rPr>
        <w:t>Belinda</w:t>
      </w:r>
      <w:r>
        <w:rPr>
          <w:rFonts w:ascii="Arial" w:hAnsi="Arial"/>
          <w:color w:val="231F20"/>
          <w:spacing w:val="-19"/>
          <w:w w:val="65"/>
          <w:sz w:val="20"/>
        </w:rPr>
        <w:t> </w:t>
      </w:r>
      <w:r>
        <w:rPr>
          <w:rFonts w:ascii="Arial" w:hAnsi="Arial"/>
          <w:color w:val="231F20"/>
          <w:w w:val="65"/>
          <w:sz w:val="20"/>
        </w:rPr>
        <w:t>Ordóñez-Vázquez</w:t>
      </w:r>
    </w:p>
    <w:p>
      <w:pPr>
        <w:pStyle w:val="BodyText"/>
        <w:spacing w:before="7"/>
        <w:rPr>
          <w:rFonts w:ascii="Arial"/>
          <w:sz w:val="28"/>
        </w:rPr>
      </w:pPr>
    </w:p>
    <w:p>
      <w:pPr>
        <w:pStyle w:val="BodyText"/>
        <w:spacing w:line="247" w:lineRule="auto"/>
        <w:ind w:left="117"/>
      </w:pPr>
      <w:r>
        <w:rPr>
          <w:color w:val="231F20"/>
        </w:rPr>
        <w:t>se</w:t>
      </w:r>
      <w:r>
        <w:rPr>
          <w:color w:val="231F20"/>
          <w:spacing w:val="-8"/>
        </w:rPr>
        <w:t> </w:t>
      </w:r>
      <w:r>
        <w:rPr>
          <w:color w:val="231F20"/>
        </w:rPr>
        <w:t>ubica</w:t>
      </w:r>
      <w:r>
        <w:rPr>
          <w:color w:val="231F20"/>
          <w:spacing w:val="-8"/>
        </w:rPr>
        <w:t> </w:t>
      </w:r>
      <w:r>
        <w:rPr>
          <w:color w:val="231F20"/>
        </w:rPr>
        <w:t>Baja</w:t>
      </w:r>
      <w:r>
        <w:rPr>
          <w:color w:val="231F20"/>
          <w:spacing w:val="-8"/>
        </w:rPr>
        <w:t> </w:t>
      </w:r>
      <w:r>
        <w:rPr>
          <w:color w:val="231F20"/>
        </w:rPr>
        <w:t>California</w:t>
      </w:r>
      <w:r>
        <w:rPr>
          <w:color w:val="231F20"/>
          <w:spacing w:val="-8"/>
        </w:rPr>
        <w:t> </w:t>
      </w:r>
      <w:r>
        <w:rPr>
          <w:color w:val="231F20"/>
        </w:rPr>
        <w:t>Sur</w:t>
      </w:r>
      <w:r>
        <w:rPr>
          <w:color w:val="231F20"/>
          <w:spacing w:val="-8"/>
        </w:rPr>
        <w:t> </w:t>
      </w:r>
      <w:r>
        <w:rPr>
          <w:color w:val="231F20"/>
        </w:rPr>
        <w:t>con</w:t>
      </w:r>
      <w:r>
        <w:rPr>
          <w:color w:val="231F20"/>
          <w:spacing w:val="-9"/>
        </w:rPr>
        <w:t> </w:t>
      </w:r>
      <w:r>
        <w:rPr>
          <w:color w:val="231F20"/>
        </w:rPr>
        <w:t>54.4</w:t>
      </w:r>
      <w:r>
        <w:rPr>
          <w:color w:val="231F20"/>
          <w:spacing w:val="-8"/>
        </w:rPr>
        <w:t> </w:t>
      </w:r>
      <w:r>
        <w:rPr>
          <w:color w:val="231F20"/>
        </w:rPr>
        <w:t>por</w:t>
      </w:r>
      <w:r>
        <w:rPr>
          <w:color w:val="231F20"/>
          <w:spacing w:val="-9"/>
        </w:rPr>
        <w:t> </w:t>
      </w:r>
      <w:r>
        <w:rPr>
          <w:color w:val="231F20"/>
        </w:rPr>
        <w:t>ciento</w:t>
      </w:r>
      <w:r>
        <w:rPr>
          <w:color w:val="231F20"/>
          <w:spacing w:val="-9"/>
        </w:rPr>
        <w:t> </w:t>
      </w:r>
      <w:r>
        <w:rPr>
          <w:color w:val="231F20"/>
        </w:rPr>
        <w:t>y</w:t>
      </w:r>
      <w:r>
        <w:rPr>
          <w:color w:val="231F20"/>
          <w:spacing w:val="-8"/>
        </w:rPr>
        <w:t> </w:t>
      </w:r>
      <w:r>
        <w:rPr>
          <w:color w:val="231F20"/>
        </w:rPr>
        <w:t>en</w:t>
      </w:r>
      <w:r>
        <w:rPr>
          <w:color w:val="231F20"/>
          <w:spacing w:val="-9"/>
        </w:rPr>
        <w:t> </w:t>
      </w:r>
      <w:r>
        <w:rPr>
          <w:color w:val="231F20"/>
        </w:rPr>
        <w:t>tercer</w:t>
      </w:r>
      <w:r>
        <w:rPr>
          <w:color w:val="231F20"/>
          <w:spacing w:val="-9"/>
        </w:rPr>
        <w:t> </w:t>
      </w:r>
      <w:r>
        <w:rPr>
          <w:color w:val="231F20"/>
        </w:rPr>
        <w:t>lugar</w:t>
      </w:r>
      <w:r>
        <w:rPr>
          <w:color w:val="231F20"/>
          <w:spacing w:val="-9"/>
        </w:rPr>
        <w:t> </w:t>
      </w:r>
      <w:r>
        <w:rPr>
          <w:color w:val="231F20"/>
        </w:rPr>
        <w:t>encontra- mos al Estado de Quintana Roo con 40.8 por</w:t>
      </w:r>
      <w:r>
        <w:rPr>
          <w:color w:val="231F20"/>
          <w:spacing w:val="-10"/>
        </w:rPr>
        <w:t> </w:t>
      </w:r>
      <w:r>
        <w:rPr>
          <w:color w:val="231F20"/>
        </w:rPr>
        <w:t>ciento.</w:t>
      </w:r>
    </w:p>
    <w:p>
      <w:pPr>
        <w:pStyle w:val="BodyText"/>
        <w:spacing w:line="247" w:lineRule="auto"/>
        <w:ind w:left="117" w:right="115" w:firstLine="283"/>
        <w:jc w:val="both"/>
      </w:pPr>
      <w:r>
        <w:rPr>
          <w:color w:val="231F20"/>
        </w:rPr>
        <w:t>En los referente a la fuerza de trabajo infantil emigrante, podemos ob- servar que la Entidad que concentra el mayor porcentaje es el Distrito Fe- deral con 52.1 por ciento, seguido por Colima con 33.7 por ciento y no quedándose atrás el estado de Sinaloa con 23.8 por ciento.</w:t>
      </w:r>
    </w:p>
    <w:p>
      <w:pPr>
        <w:pStyle w:val="BodyText"/>
        <w:spacing w:line="247" w:lineRule="auto"/>
        <w:ind w:left="117" w:right="114" w:firstLine="283"/>
        <w:jc w:val="both"/>
      </w:pPr>
      <w:r>
        <w:rPr>
          <w:color w:val="231F20"/>
        </w:rPr>
        <w:t>Por</w:t>
      </w:r>
      <w:r>
        <w:rPr>
          <w:color w:val="231F20"/>
          <w:spacing w:val="-13"/>
        </w:rPr>
        <w:t> </w:t>
      </w:r>
      <w:r>
        <w:rPr>
          <w:color w:val="231F20"/>
        </w:rPr>
        <w:t>último,</w:t>
      </w:r>
      <w:r>
        <w:rPr>
          <w:color w:val="231F20"/>
          <w:spacing w:val="-13"/>
        </w:rPr>
        <w:t> </w:t>
      </w:r>
      <w:r>
        <w:rPr>
          <w:color w:val="231F20"/>
        </w:rPr>
        <w:t>la</w:t>
      </w:r>
      <w:r>
        <w:rPr>
          <w:color w:val="231F20"/>
          <w:spacing w:val="-13"/>
        </w:rPr>
        <w:t> </w:t>
      </w:r>
      <w:r>
        <w:rPr>
          <w:color w:val="231F20"/>
        </w:rPr>
        <w:t>Gráfica</w:t>
      </w:r>
      <w:r>
        <w:rPr>
          <w:color w:val="231F20"/>
          <w:spacing w:val="-13"/>
        </w:rPr>
        <w:t> </w:t>
      </w:r>
      <w:r>
        <w:rPr>
          <w:color w:val="231F20"/>
        </w:rPr>
        <w:t>1</w:t>
      </w:r>
      <w:r>
        <w:rPr>
          <w:color w:val="231F20"/>
          <w:spacing w:val="-13"/>
        </w:rPr>
        <w:t> </w:t>
      </w:r>
      <w:r>
        <w:rPr>
          <w:color w:val="231F20"/>
        </w:rPr>
        <w:t>muestra</w:t>
      </w:r>
      <w:r>
        <w:rPr>
          <w:color w:val="231F20"/>
          <w:spacing w:val="-13"/>
        </w:rPr>
        <w:t> </w:t>
      </w:r>
      <w:r>
        <w:rPr>
          <w:color w:val="231F20"/>
        </w:rPr>
        <w:t>los</w:t>
      </w:r>
      <w:r>
        <w:rPr>
          <w:color w:val="231F20"/>
          <w:spacing w:val="-13"/>
        </w:rPr>
        <w:t> </w:t>
      </w:r>
      <w:r>
        <w:rPr>
          <w:color w:val="231F20"/>
        </w:rPr>
        <w:t>saldos</w:t>
      </w:r>
      <w:r>
        <w:rPr>
          <w:color w:val="231F20"/>
          <w:spacing w:val="-13"/>
        </w:rPr>
        <w:t> </w:t>
      </w:r>
      <w:r>
        <w:rPr>
          <w:color w:val="231F20"/>
        </w:rPr>
        <w:t>netos</w:t>
      </w:r>
      <w:r>
        <w:rPr>
          <w:color w:val="231F20"/>
          <w:spacing w:val="-13"/>
        </w:rPr>
        <w:t> </w:t>
      </w:r>
      <w:r>
        <w:rPr>
          <w:color w:val="231F20"/>
        </w:rPr>
        <w:t>migratorios</w:t>
      </w:r>
      <w:r>
        <w:rPr>
          <w:color w:val="231F20"/>
          <w:spacing w:val="-13"/>
        </w:rPr>
        <w:t> </w:t>
      </w:r>
      <w:r>
        <w:rPr>
          <w:color w:val="231F20"/>
        </w:rPr>
        <w:t>internos</w:t>
      </w:r>
      <w:r>
        <w:rPr>
          <w:color w:val="231F20"/>
          <w:spacing w:val="-13"/>
        </w:rPr>
        <w:t> </w:t>
      </w:r>
      <w:r>
        <w:rPr>
          <w:color w:val="231F20"/>
        </w:rPr>
        <w:t>de las diferentes entidades de la República Mexicana. Los estados que cuen- tan con los saldos netos positivos más altos son: Estado de México con el primer lugar a nivel nacional, seguido por Baja California; en menor pro- porción se ubican Quintana Roo, Chihuahua, Guanajuato y Nuevo León. En estas entidades federativas el número de fuerza laboral infantil inmi- grante fue superior a la</w:t>
      </w:r>
      <w:r>
        <w:rPr>
          <w:color w:val="231F20"/>
          <w:spacing w:val="-7"/>
        </w:rPr>
        <w:t> </w:t>
      </w:r>
      <w:r>
        <w:rPr>
          <w:color w:val="231F20"/>
        </w:rPr>
        <w:t>emigrante.</w:t>
      </w:r>
    </w:p>
    <w:p>
      <w:pPr>
        <w:pStyle w:val="BodyText"/>
        <w:spacing w:line="247" w:lineRule="auto"/>
        <w:ind w:left="117" w:right="114" w:firstLine="283"/>
        <w:jc w:val="both"/>
      </w:pPr>
      <w:r>
        <w:rPr>
          <w:color w:val="231F20"/>
        </w:rPr>
        <w:t>Cabe mencionar que estos estados que atraen y emplean un mayor porcentaje de trabajadores infantiles se caracterizan por tener una voca- ción económica tanto industrial como comercial y de servicios. Además, de acuerdo con el Indicador Trimestral de la Actividad Económica Estatal </w:t>
      </w:r>
      <w:r>
        <w:rPr>
          <w:color w:val="231F20"/>
          <w:spacing w:val="-3"/>
        </w:rPr>
        <w:t>(ITAEE) </w:t>
      </w:r>
      <w:r>
        <w:rPr>
          <w:color w:val="231F20"/>
        </w:rPr>
        <w:t>elaborado por INEGI, Nuevo León y el Estado de México son</w:t>
      </w:r>
      <w:r>
        <w:rPr>
          <w:color w:val="231F20"/>
          <w:spacing w:val="-33"/>
        </w:rPr>
        <w:t> </w:t>
      </w:r>
      <w:r>
        <w:rPr>
          <w:color w:val="231F20"/>
        </w:rPr>
        <w:t>de las entidades que más aportan al crecimiento de la producción</w:t>
      </w:r>
      <w:r>
        <w:rPr>
          <w:color w:val="231F20"/>
          <w:spacing w:val="-5"/>
        </w:rPr>
        <w:t> </w:t>
      </w:r>
      <w:r>
        <w:rPr>
          <w:color w:val="231F20"/>
        </w:rPr>
        <w:t>nacional.</w:t>
      </w:r>
    </w:p>
    <w:p>
      <w:pPr>
        <w:pStyle w:val="BodyText"/>
        <w:spacing w:line="247" w:lineRule="auto"/>
        <w:ind w:left="117" w:right="114" w:firstLine="283"/>
        <w:jc w:val="both"/>
      </w:pPr>
      <w:r>
        <w:rPr>
          <w:color w:val="231F20"/>
        </w:rPr>
        <w:t>En</w:t>
      </w:r>
      <w:r>
        <w:rPr>
          <w:color w:val="231F20"/>
          <w:spacing w:val="-8"/>
        </w:rPr>
        <w:t> </w:t>
      </w:r>
      <w:r>
        <w:rPr>
          <w:color w:val="231F20"/>
        </w:rPr>
        <w:t>contraste,</w:t>
      </w:r>
      <w:r>
        <w:rPr>
          <w:color w:val="231F20"/>
          <w:spacing w:val="-8"/>
        </w:rPr>
        <w:t> </w:t>
      </w:r>
      <w:r>
        <w:rPr>
          <w:color w:val="231F20"/>
        </w:rPr>
        <w:t>entre</w:t>
      </w:r>
      <w:r>
        <w:rPr>
          <w:color w:val="231F20"/>
          <w:spacing w:val="-8"/>
        </w:rPr>
        <w:t> </w:t>
      </w:r>
      <w:r>
        <w:rPr>
          <w:color w:val="231F20"/>
        </w:rPr>
        <w:t>los</w:t>
      </w:r>
      <w:r>
        <w:rPr>
          <w:color w:val="231F20"/>
          <w:spacing w:val="-8"/>
        </w:rPr>
        <w:t> </w:t>
      </w:r>
      <w:r>
        <w:rPr>
          <w:color w:val="231F20"/>
        </w:rPr>
        <w:t>estados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caracterizan</w:t>
      </w:r>
      <w:r>
        <w:rPr>
          <w:color w:val="231F20"/>
          <w:spacing w:val="-8"/>
        </w:rPr>
        <w:t> </w:t>
      </w:r>
      <w:r>
        <w:rPr>
          <w:color w:val="231F20"/>
        </w:rPr>
        <w:t>por</w:t>
      </w:r>
      <w:r>
        <w:rPr>
          <w:color w:val="231F20"/>
          <w:spacing w:val="-8"/>
        </w:rPr>
        <w:t> </w:t>
      </w:r>
      <w:r>
        <w:rPr>
          <w:color w:val="231F20"/>
        </w:rPr>
        <w:t>ser</w:t>
      </w:r>
      <w:r>
        <w:rPr>
          <w:color w:val="231F20"/>
          <w:spacing w:val="-8"/>
        </w:rPr>
        <w:t> </w:t>
      </w:r>
      <w:r>
        <w:rPr>
          <w:color w:val="231F20"/>
        </w:rPr>
        <w:t>expulsores</w:t>
      </w:r>
      <w:r>
        <w:rPr>
          <w:color w:val="231F20"/>
          <w:spacing w:val="-8"/>
        </w:rPr>
        <w:t> </w:t>
      </w:r>
      <w:r>
        <w:rPr>
          <w:color w:val="231F20"/>
        </w:rPr>
        <w:t>de población</w:t>
      </w:r>
      <w:r>
        <w:rPr>
          <w:color w:val="231F20"/>
          <w:spacing w:val="-11"/>
        </w:rPr>
        <w:t> </w:t>
      </w:r>
      <w:r>
        <w:rPr>
          <w:color w:val="231F20"/>
        </w:rPr>
        <w:t>de</w:t>
      </w:r>
      <w:r>
        <w:rPr>
          <w:color w:val="231F20"/>
          <w:spacing w:val="-10"/>
        </w:rPr>
        <w:t> </w:t>
      </w:r>
      <w:r>
        <w:rPr>
          <w:color w:val="231F20"/>
        </w:rPr>
        <w:t>5</w:t>
      </w:r>
      <w:r>
        <w:rPr>
          <w:color w:val="231F20"/>
          <w:spacing w:val="-11"/>
        </w:rPr>
        <w:t> </w:t>
      </w:r>
      <w:r>
        <w:rPr>
          <w:color w:val="231F20"/>
        </w:rPr>
        <w:t>a</w:t>
      </w:r>
      <w:r>
        <w:rPr>
          <w:color w:val="231F20"/>
          <w:spacing w:val="-10"/>
        </w:rPr>
        <w:t> </w:t>
      </w:r>
      <w:r>
        <w:rPr>
          <w:color w:val="231F20"/>
        </w:rPr>
        <w:t>17</w:t>
      </w:r>
      <w:r>
        <w:rPr>
          <w:color w:val="231F20"/>
          <w:spacing w:val="-10"/>
        </w:rPr>
        <w:t> </w:t>
      </w:r>
      <w:r>
        <w:rPr>
          <w:color w:val="231F20"/>
        </w:rPr>
        <w:t>años</w:t>
      </w:r>
      <w:r>
        <w:rPr>
          <w:color w:val="231F20"/>
          <w:spacing w:val="-11"/>
        </w:rPr>
        <w:t> </w:t>
      </w:r>
      <w:r>
        <w:rPr>
          <w:color w:val="231F20"/>
        </w:rPr>
        <w:t>ocupada</w:t>
      </w:r>
      <w:r>
        <w:rPr>
          <w:color w:val="231F20"/>
          <w:spacing w:val="-11"/>
        </w:rPr>
        <w:t> </w:t>
      </w:r>
      <w:r>
        <w:rPr>
          <w:color w:val="231F20"/>
        </w:rPr>
        <w:t>se</w:t>
      </w:r>
      <w:r>
        <w:rPr>
          <w:color w:val="231F20"/>
          <w:spacing w:val="-10"/>
        </w:rPr>
        <w:t> </w:t>
      </w:r>
      <w:r>
        <w:rPr>
          <w:color w:val="231F20"/>
        </w:rPr>
        <w:t>ubica</w:t>
      </w:r>
      <w:r>
        <w:rPr>
          <w:color w:val="231F20"/>
          <w:spacing w:val="-11"/>
        </w:rPr>
        <w:t> </w:t>
      </w:r>
      <w:r>
        <w:rPr>
          <w:color w:val="231F20"/>
        </w:rPr>
        <w:t>en</w:t>
      </w:r>
      <w:r>
        <w:rPr>
          <w:color w:val="231F20"/>
          <w:spacing w:val="-11"/>
        </w:rPr>
        <w:t> </w:t>
      </w:r>
      <w:r>
        <w:rPr>
          <w:color w:val="231F20"/>
        </w:rPr>
        <w:t>primer</w:t>
      </w:r>
      <w:r>
        <w:rPr>
          <w:color w:val="231F20"/>
          <w:spacing w:val="-11"/>
        </w:rPr>
        <w:t> </w:t>
      </w:r>
      <w:r>
        <w:rPr>
          <w:color w:val="231F20"/>
        </w:rPr>
        <w:t>lugar</w:t>
      </w:r>
      <w:r>
        <w:rPr>
          <w:color w:val="231F20"/>
          <w:spacing w:val="-11"/>
        </w:rPr>
        <w:t> </w:t>
      </w:r>
      <w:r>
        <w:rPr>
          <w:color w:val="231F20"/>
        </w:rPr>
        <w:t>el</w:t>
      </w:r>
      <w:r>
        <w:rPr>
          <w:color w:val="231F20"/>
          <w:spacing w:val="-10"/>
        </w:rPr>
        <w:t> </w:t>
      </w:r>
      <w:r>
        <w:rPr>
          <w:color w:val="231F20"/>
        </w:rPr>
        <w:t>Distrito</w:t>
      </w:r>
      <w:r>
        <w:rPr>
          <w:color w:val="231F20"/>
          <w:spacing w:val="-10"/>
        </w:rPr>
        <w:t> </w:t>
      </w:r>
      <w:r>
        <w:rPr>
          <w:color w:val="231F20"/>
        </w:rPr>
        <w:t>Fede- ral</w:t>
      </w:r>
      <w:r>
        <w:rPr>
          <w:color w:val="231F20"/>
          <w:spacing w:val="-12"/>
        </w:rPr>
        <w:t> </w:t>
      </w:r>
      <w:r>
        <w:rPr>
          <w:color w:val="231F20"/>
        </w:rPr>
        <w:t>a</w:t>
      </w:r>
      <w:r>
        <w:rPr>
          <w:color w:val="231F20"/>
          <w:spacing w:val="-12"/>
        </w:rPr>
        <w:t> </w:t>
      </w:r>
      <w:r>
        <w:rPr>
          <w:color w:val="231F20"/>
        </w:rPr>
        <w:t>pesar</w:t>
      </w:r>
      <w:r>
        <w:rPr>
          <w:color w:val="231F20"/>
          <w:spacing w:val="-12"/>
        </w:rPr>
        <w:t> </w:t>
      </w:r>
      <w:r>
        <w:rPr>
          <w:color w:val="231F20"/>
        </w:rPr>
        <w:t>de</w:t>
      </w:r>
      <w:r>
        <w:rPr>
          <w:color w:val="231F20"/>
          <w:spacing w:val="-12"/>
        </w:rPr>
        <w:t> </w:t>
      </w:r>
      <w:r>
        <w:rPr>
          <w:color w:val="231F20"/>
        </w:rPr>
        <w:t>ser</w:t>
      </w:r>
      <w:r>
        <w:rPr>
          <w:color w:val="231F20"/>
          <w:spacing w:val="-12"/>
        </w:rPr>
        <w:t> </w:t>
      </w:r>
      <w:r>
        <w:rPr>
          <w:color w:val="231F20"/>
        </w:rPr>
        <w:t>también</w:t>
      </w:r>
      <w:r>
        <w:rPr>
          <w:color w:val="231F20"/>
          <w:spacing w:val="-13"/>
        </w:rPr>
        <w:t> </w:t>
      </w:r>
      <w:r>
        <w:rPr>
          <w:color w:val="231F20"/>
        </w:rPr>
        <w:t>una</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demarcaciones</w:t>
      </w:r>
      <w:r>
        <w:rPr>
          <w:color w:val="231F20"/>
          <w:spacing w:val="-12"/>
        </w:rPr>
        <w:t> </w:t>
      </w:r>
      <w:r>
        <w:rPr>
          <w:color w:val="231F20"/>
        </w:rPr>
        <w:t>que</w:t>
      </w:r>
      <w:r>
        <w:rPr>
          <w:color w:val="231F20"/>
          <w:spacing w:val="-12"/>
        </w:rPr>
        <w:t> </w:t>
      </w:r>
      <w:r>
        <w:rPr>
          <w:color w:val="231F20"/>
        </w:rPr>
        <w:t>encabeza</w:t>
      </w:r>
      <w:r>
        <w:rPr>
          <w:color w:val="231F20"/>
          <w:spacing w:val="-13"/>
        </w:rPr>
        <w:t> </w:t>
      </w:r>
      <w:r>
        <w:rPr>
          <w:color w:val="231F20"/>
        </w:rPr>
        <w:t>la</w:t>
      </w:r>
      <w:r>
        <w:rPr>
          <w:color w:val="231F20"/>
          <w:spacing w:val="-12"/>
        </w:rPr>
        <w:t> </w:t>
      </w:r>
      <w:r>
        <w:rPr>
          <w:color w:val="231F20"/>
        </w:rPr>
        <w:t>lista</w:t>
      </w:r>
      <w:r>
        <w:rPr>
          <w:color w:val="231F20"/>
          <w:spacing w:val="-12"/>
        </w:rPr>
        <w:t> </w:t>
      </w:r>
      <w:r>
        <w:rPr>
          <w:color w:val="231F20"/>
        </w:rPr>
        <w:t>de los principales aportadores al crecimiento de la producción nacional. Sin embargo,</w:t>
      </w:r>
      <w:r>
        <w:rPr>
          <w:color w:val="231F20"/>
          <w:spacing w:val="-10"/>
        </w:rPr>
        <w:t> </w:t>
      </w:r>
      <w:r>
        <w:rPr>
          <w:color w:val="231F20"/>
        </w:rPr>
        <w:t>en</w:t>
      </w:r>
      <w:r>
        <w:rPr>
          <w:color w:val="231F20"/>
          <w:spacing w:val="-11"/>
        </w:rPr>
        <w:t> </w:t>
      </w:r>
      <w:r>
        <w:rPr>
          <w:color w:val="231F20"/>
        </w:rPr>
        <w:t>este</w:t>
      </w:r>
      <w:r>
        <w:rPr>
          <w:color w:val="231F20"/>
          <w:spacing w:val="-11"/>
        </w:rPr>
        <w:t> </w:t>
      </w:r>
      <w:r>
        <w:rPr>
          <w:color w:val="231F20"/>
        </w:rPr>
        <w:t>fenómeno</w:t>
      </w:r>
      <w:r>
        <w:rPr>
          <w:color w:val="231F20"/>
          <w:spacing w:val="-10"/>
        </w:rPr>
        <w:t> </w:t>
      </w:r>
      <w:r>
        <w:rPr>
          <w:color w:val="231F20"/>
        </w:rPr>
        <w:t>de</w:t>
      </w:r>
      <w:r>
        <w:rPr>
          <w:color w:val="231F20"/>
          <w:spacing w:val="-10"/>
        </w:rPr>
        <w:t> </w:t>
      </w:r>
      <w:r>
        <w:rPr>
          <w:color w:val="231F20"/>
        </w:rPr>
        <w:t>la</w:t>
      </w:r>
      <w:r>
        <w:rPr>
          <w:color w:val="231F20"/>
          <w:spacing w:val="-11"/>
        </w:rPr>
        <w:t> </w:t>
      </w:r>
      <w:r>
        <w:rPr>
          <w:color w:val="231F20"/>
        </w:rPr>
        <w:t>migración</w:t>
      </w:r>
      <w:r>
        <w:rPr>
          <w:color w:val="231F20"/>
          <w:spacing w:val="-11"/>
        </w:rPr>
        <w:t> </w:t>
      </w:r>
      <w:r>
        <w:rPr>
          <w:color w:val="231F20"/>
        </w:rPr>
        <w:t>interna</w:t>
      </w:r>
      <w:r>
        <w:rPr>
          <w:color w:val="231F20"/>
          <w:spacing w:val="-11"/>
        </w:rPr>
        <w:t> </w:t>
      </w:r>
      <w:r>
        <w:rPr>
          <w:color w:val="231F20"/>
        </w:rPr>
        <w:t>aparece</w:t>
      </w:r>
      <w:r>
        <w:rPr>
          <w:color w:val="231F20"/>
          <w:spacing w:val="-11"/>
        </w:rPr>
        <w:t> </w:t>
      </w:r>
      <w:r>
        <w:rPr>
          <w:color w:val="231F20"/>
        </w:rPr>
        <w:t>como</w:t>
      </w:r>
      <w:r>
        <w:rPr>
          <w:color w:val="231F20"/>
          <w:spacing w:val="-11"/>
        </w:rPr>
        <w:t> </w:t>
      </w:r>
      <w:r>
        <w:rPr>
          <w:color w:val="231F20"/>
        </w:rPr>
        <w:t>una</w:t>
      </w:r>
      <w:r>
        <w:rPr>
          <w:color w:val="231F20"/>
          <w:spacing w:val="-10"/>
        </w:rPr>
        <w:t> </w:t>
      </w:r>
      <w:r>
        <w:rPr>
          <w:color w:val="231F20"/>
        </w:rPr>
        <w:t>zona de</w:t>
      </w:r>
      <w:r>
        <w:rPr>
          <w:color w:val="231F20"/>
          <w:spacing w:val="-8"/>
        </w:rPr>
        <w:t> </w:t>
      </w:r>
      <w:r>
        <w:rPr>
          <w:color w:val="231F20"/>
        </w:rPr>
        <w:t>expulsión,</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posiblemente</w:t>
      </w:r>
      <w:r>
        <w:rPr>
          <w:color w:val="231F20"/>
          <w:spacing w:val="-8"/>
        </w:rPr>
        <w:t> </w:t>
      </w:r>
      <w:r>
        <w:rPr>
          <w:color w:val="231F20"/>
        </w:rPr>
        <w:t>puede</w:t>
      </w:r>
      <w:r>
        <w:rPr>
          <w:color w:val="231F20"/>
          <w:spacing w:val="-8"/>
        </w:rPr>
        <w:t> </w:t>
      </w:r>
      <w:r>
        <w:rPr>
          <w:color w:val="231F20"/>
        </w:rPr>
        <w:t>ser</w:t>
      </w:r>
      <w:r>
        <w:rPr>
          <w:color w:val="231F20"/>
          <w:spacing w:val="-8"/>
        </w:rPr>
        <w:t> </w:t>
      </w:r>
      <w:r>
        <w:rPr>
          <w:color w:val="231F20"/>
        </w:rPr>
        <w:t>explicado</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saturación</w:t>
      </w:r>
      <w:r>
        <w:rPr>
          <w:color w:val="231F20"/>
          <w:spacing w:val="-8"/>
        </w:rPr>
        <w:t> </w:t>
      </w:r>
      <w:r>
        <w:rPr>
          <w:color w:val="231F20"/>
        </w:rPr>
        <w:t>de su mercado laboral, la sobrepoblación y la</w:t>
      </w:r>
      <w:r>
        <w:rPr>
          <w:color w:val="231F20"/>
          <w:spacing w:val="-15"/>
        </w:rPr>
        <w:t> </w:t>
      </w:r>
      <w:r>
        <w:rPr>
          <w:color w:val="231F20"/>
        </w:rPr>
        <w:t>inseguridad.</w:t>
      </w:r>
    </w:p>
    <w:p>
      <w:pPr>
        <w:pStyle w:val="BodyText"/>
        <w:spacing w:line="247" w:lineRule="auto"/>
        <w:ind w:left="117" w:right="114" w:firstLine="283"/>
        <w:jc w:val="both"/>
      </w:pPr>
      <w:r>
        <w:rPr>
          <w:color w:val="231F20"/>
        </w:rPr>
        <w:t>Dentro de los estados que también presentan un saldo neto migrato- rio negativo pero en menor proporción están Sinaloa, Guerrero, Chiapas, Oaxaca e Hidalgo. Tres de ellos tienen una alta incidencia en la margina- ción.</w:t>
      </w:r>
      <w:r>
        <w:rPr>
          <w:color w:val="231F20"/>
          <w:spacing w:val="-10"/>
        </w:rPr>
        <w:t> </w:t>
      </w:r>
      <w:r>
        <w:rPr>
          <w:color w:val="231F20"/>
        </w:rPr>
        <w:t>El</w:t>
      </w:r>
      <w:r>
        <w:rPr>
          <w:color w:val="231F20"/>
          <w:spacing w:val="-9"/>
        </w:rPr>
        <w:t> </w:t>
      </w:r>
      <w:r>
        <w:rPr>
          <w:color w:val="231F20"/>
        </w:rPr>
        <w:t>índice</w:t>
      </w:r>
      <w:r>
        <w:rPr>
          <w:color w:val="231F20"/>
          <w:spacing w:val="-10"/>
        </w:rPr>
        <w:t> </w:t>
      </w:r>
      <w:r>
        <w:rPr>
          <w:color w:val="231F20"/>
        </w:rPr>
        <w:t>de</w:t>
      </w:r>
      <w:r>
        <w:rPr>
          <w:color w:val="231F20"/>
          <w:spacing w:val="-9"/>
        </w:rPr>
        <w:t> </w:t>
      </w:r>
      <w:r>
        <w:rPr>
          <w:color w:val="231F20"/>
        </w:rPr>
        <w:t>marginación</w:t>
      </w:r>
      <w:r>
        <w:rPr>
          <w:color w:val="231F20"/>
          <w:spacing w:val="-9"/>
        </w:rPr>
        <w:t> </w:t>
      </w:r>
      <w:r>
        <w:rPr>
          <w:color w:val="231F20"/>
        </w:rPr>
        <w:t>(IM)</w:t>
      </w:r>
      <w:r>
        <w:rPr>
          <w:color w:val="231F20"/>
          <w:spacing w:val="-9"/>
        </w:rPr>
        <w:t> </w:t>
      </w:r>
      <w:r>
        <w:rPr>
          <w:color w:val="231F20"/>
        </w:rPr>
        <w:t>permite</w:t>
      </w:r>
      <w:r>
        <w:rPr>
          <w:color w:val="231F20"/>
          <w:spacing w:val="-9"/>
        </w:rPr>
        <w:t> </w:t>
      </w:r>
      <w:r>
        <w:rPr>
          <w:color w:val="231F20"/>
        </w:rPr>
        <w:t>medir</w:t>
      </w:r>
      <w:r>
        <w:rPr>
          <w:color w:val="231F20"/>
          <w:spacing w:val="-10"/>
        </w:rPr>
        <w:t> </w:t>
      </w:r>
      <w:r>
        <w:rPr>
          <w:color w:val="231F20"/>
        </w:rPr>
        <w:t>diferencias</w:t>
      </w:r>
      <w:r>
        <w:rPr>
          <w:color w:val="231F20"/>
          <w:spacing w:val="-10"/>
        </w:rPr>
        <w:t> </w:t>
      </w:r>
      <w:r>
        <w:rPr>
          <w:color w:val="231F20"/>
        </w:rPr>
        <w:t>entre</w:t>
      </w:r>
      <w:r>
        <w:rPr>
          <w:color w:val="231F20"/>
          <w:spacing w:val="-10"/>
        </w:rPr>
        <w:t> </w:t>
      </w:r>
      <w:r>
        <w:rPr>
          <w:color w:val="231F20"/>
        </w:rPr>
        <w:t>las</w:t>
      </w:r>
      <w:r>
        <w:rPr>
          <w:color w:val="231F20"/>
          <w:spacing w:val="-10"/>
        </w:rPr>
        <w:t> </w:t>
      </w:r>
      <w:r>
        <w:rPr>
          <w:color w:val="231F20"/>
        </w:rPr>
        <w:t>en- tidades federativas y municipios de acuerdo con las carencias que padece la población como resultado de la falta de acceso a la educación, ingresos monetarios insuficientes y viviendas inadecuadas, principalmente. Así,</w:t>
      </w:r>
      <w:r>
        <w:rPr>
          <w:color w:val="231F20"/>
          <w:spacing w:val="-32"/>
        </w:rPr>
        <w:t> </w:t>
      </w:r>
      <w:r>
        <w:rPr>
          <w:color w:val="231F20"/>
        </w:rPr>
        <w:t>los estados de Oaxaca, Chiapas y Guerrero son los que presentan las condi- ciones más desfavorables, mientras que el Distrito Federal, Nuevo León y Coahuila presentan mejores condiciones de vida. (CONAPO,</w:t>
      </w:r>
      <w:r>
        <w:rPr>
          <w:color w:val="231F20"/>
          <w:spacing w:val="-3"/>
        </w:rPr>
        <w:t> </w:t>
      </w:r>
      <w:r>
        <w:rPr>
          <w:color w:val="231F20"/>
        </w:rPr>
        <w:t>2001).</w:t>
      </w:r>
    </w:p>
    <w:p>
      <w:pPr>
        <w:spacing w:after="0" w:line="247" w:lineRule="auto"/>
        <w:jc w:val="both"/>
        <w:sectPr>
          <w:pgSz w:w="9360" w:h="13040"/>
          <w:pgMar w:header="0" w:footer="496" w:top="740" w:bottom="680" w:left="1300" w:right="1300"/>
        </w:sectPr>
      </w:pPr>
    </w:p>
    <w:p>
      <w:pPr>
        <w:tabs>
          <w:tab w:pos="5536" w:val="left" w:leader="none"/>
        </w:tabs>
        <w:spacing w:before="51"/>
        <w:ind w:left="128" w:right="117" w:firstLine="0"/>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9"/>
        <w:rPr>
          <w:sz w:val="19"/>
        </w:rPr>
      </w:pPr>
    </w:p>
    <w:p>
      <w:pPr>
        <w:spacing w:line="249" w:lineRule="auto" w:before="0"/>
        <w:ind w:left="117" w:right="808" w:firstLine="0"/>
        <w:jc w:val="left"/>
        <w:rPr>
          <w:sz w:val="20"/>
        </w:rPr>
      </w:pPr>
      <w:r>
        <w:rPr/>
        <w:pict>
          <v:group style="position:absolute;margin-left:71.433098pt;margin-top:25.888561pt;width:307pt;height:441.5pt;mso-position-horizontal-relative:page;mso-position-vertical-relative:paragraph;z-index:-635656" coordorigin="1429,518" coordsize="6140,8830">
            <v:shape style="position:absolute;left:2908;top:937;width:4224;height:7896" type="#_x0000_t75" stroked="false">
              <v:imagedata r:id="rId248" o:title=""/>
            </v:shape>
            <v:rect style="position:absolute;left:1436;top:525;width:6125;height:8815" filled="false" stroked="true" strokeweight=".75pt" strokecolor="#858585"/>
            <v:shape style="position:absolute;left:1722;top:1139;width:1379;height:176" type="#_x0000_t202" filled="false" stroked="false">
              <v:textbox inset="0,0,0,0">
                <w:txbxContent>
                  <w:p>
                    <w:pPr>
                      <w:spacing w:line="175" w:lineRule="exact" w:before="0"/>
                      <w:ind w:left="0" w:right="0" w:firstLine="0"/>
                      <w:jc w:val="left"/>
                      <w:rPr>
                        <w:rFonts w:ascii="Cambria" w:hAnsi="Cambria"/>
                        <w:sz w:val="16"/>
                      </w:rPr>
                    </w:pPr>
                    <w:r>
                      <w:rPr>
                        <w:rFonts w:ascii="Cambria" w:hAnsi="Cambria"/>
                        <w:w w:val="100"/>
                        <w:sz w:val="16"/>
                      </w:rPr>
                      <w:t>Distrit</w:t>
                    </w:r>
                    <w:r>
                      <w:rPr>
                        <w:rFonts w:ascii="Cambria" w:hAnsi="Cambria"/>
                        <w:w w:val="100"/>
                        <w:sz w:val="16"/>
                      </w:rPr>
                      <w:t>o</w:t>
                    </w:r>
                    <w:r>
                      <w:rPr>
                        <w:rFonts w:ascii="Cambria" w:hAnsi="Cambria"/>
                        <w:sz w:val="16"/>
                      </w:rPr>
                      <w:t> </w:t>
                    </w:r>
                    <w:r>
                      <w:rPr>
                        <w:rFonts w:ascii="Cambria" w:hAnsi="Cambria"/>
                        <w:w w:val="100"/>
                        <w:sz w:val="16"/>
                      </w:rPr>
                      <w:t>Fed</w:t>
                    </w:r>
                    <w:r>
                      <w:rPr>
                        <w:rFonts w:ascii="Cambria" w:hAnsi="Cambria"/>
                        <w:spacing w:val="-41"/>
                        <w:w w:val="100"/>
                        <w:sz w:val="16"/>
                      </w:rPr>
                      <w:t>e</w:t>
                    </w:r>
                    <w:r>
                      <w:rPr>
                        <w:rFonts w:ascii="Cambria" w:hAnsi="Cambria"/>
                        <w:spacing w:val="-13"/>
                        <w:w w:val="33"/>
                        <w:position w:val="2"/>
                        <w:sz w:val="16"/>
                      </w:rPr>
                      <w:t>-­‐</w:t>
                    </w:r>
                    <w:r>
                      <w:rPr>
                        <w:rFonts w:ascii="Cambria" w:hAnsi="Cambria"/>
                        <w:spacing w:val="-54"/>
                        <w:w w:val="100"/>
                        <w:sz w:val="16"/>
                      </w:rPr>
                      <w:t>r</w:t>
                    </w:r>
                    <w:r>
                      <w:rPr>
                        <w:rFonts w:ascii="Cambria" w:hAnsi="Cambria"/>
                        <w:spacing w:val="-36"/>
                        <w:w w:val="100"/>
                        <w:position w:val="2"/>
                        <w:sz w:val="16"/>
                      </w:rPr>
                      <w:t>2</w:t>
                    </w:r>
                    <w:r>
                      <w:rPr>
                        <w:rFonts w:ascii="Cambria" w:hAnsi="Cambria"/>
                        <w:spacing w:val="-43"/>
                        <w:w w:val="99"/>
                        <w:sz w:val="16"/>
                      </w:rPr>
                      <w:t>a</w:t>
                    </w:r>
                    <w:r>
                      <w:rPr>
                        <w:rFonts w:ascii="Cambria" w:hAnsi="Cambria"/>
                        <w:spacing w:val="-46"/>
                        <w:w w:val="100"/>
                        <w:position w:val="2"/>
                        <w:sz w:val="16"/>
                      </w:rPr>
                      <w:t>1</w:t>
                    </w:r>
                    <w:r>
                      <w:rPr>
                        <w:rFonts w:ascii="Cambria" w:hAnsi="Cambria"/>
                        <w:spacing w:val="2"/>
                        <w:w w:val="99"/>
                        <w:sz w:val="16"/>
                      </w:rPr>
                      <w:t>l</w:t>
                    </w:r>
                    <w:r>
                      <w:rPr>
                        <w:rFonts w:ascii="Cambria" w:hAnsi="Cambria"/>
                        <w:w w:val="100"/>
                        <w:position w:val="2"/>
                        <w:sz w:val="16"/>
                      </w:rPr>
                      <w:t>,952</w:t>
                    </w:r>
                  </w:p>
                </w:txbxContent>
              </v:textbox>
              <w10:wrap type="none"/>
            </v:shape>
            <v:shape style="position:absolute;left:2749;top:8891;width:4328;height:120" type="#_x0000_t202" filled="false" stroked="false">
              <v:textbox inset="0,0,0,0">
                <w:txbxContent>
                  <w:p>
                    <w:pPr>
                      <w:tabs>
                        <w:tab w:pos="2424" w:val="left" w:leader="none"/>
                      </w:tabs>
                      <w:spacing w:line="120" w:lineRule="exact" w:before="0"/>
                      <w:ind w:left="0" w:right="0" w:firstLine="0"/>
                      <w:jc w:val="left"/>
                      <w:rPr>
                        <w:rFonts w:ascii="Cambria" w:hAnsi="Cambria"/>
                        <w:sz w:val="12"/>
                      </w:rPr>
                    </w:pPr>
                    <w:r>
                      <w:rPr>
                        <w:rFonts w:ascii="Cambria" w:hAnsi="Cambria"/>
                        <w:w w:val="90"/>
                        <w:sz w:val="12"/>
                      </w:rPr>
                      <w:t>-­‐25,000-­‐20,000-­‐15,000-­‐10,000</w:t>
                    </w:r>
                    <w:r>
                      <w:rPr>
                        <w:rFonts w:ascii="Cambria" w:hAnsi="Cambria"/>
                        <w:spacing w:val="-10"/>
                        <w:w w:val="90"/>
                        <w:sz w:val="12"/>
                      </w:rPr>
                      <w:t> </w:t>
                    </w:r>
                    <w:r>
                      <w:rPr>
                        <w:rFonts w:ascii="Cambria" w:hAnsi="Cambria"/>
                        <w:w w:val="90"/>
                        <w:sz w:val="12"/>
                      </w:rPr>
                      <w:t>-­‐5,000  </w:t>
                    </w:r>
                    <w:r>
                      <w:rPr>
                        <w:rFonts w:ascii="Cambria" w:hAnsi="Cambria"/>
                        <w:spacing w:val="16"/>
                        <w:w w:val="90"/>
                        <w:sz w:val="12"/>
                      </w:rPr>
                      <w:t> </w:t>
                    </w:r>
                    <w:r>
                      <w:rPr>
                        <w:rFonts w:ascii="Cambria" w:hAnsi="Cambria"/>
                        <w:w w:val="90"/>
                        <w:sz w:val="12"/>
                      </w:rPr>
                      <w:t>0</w:t>
                      <w:tab/>
                    </w:r>
                    <w:r>
                      <w:rPr>
                        <w:rFonts w:ascii="Cambria" w:hAnsi="Cambria"/>
                        <w:sz w:val="12"/>
                      </w:rPr>
                      <w:t>5,000   10,000 15,000 20,000</w:t>
                    </w:r>
                    <w:r>
                      <w:rPr>
                        <w:rFonts w:ascii="Cambria" w:hAnsi="Cambria"/>
                        <w:spacing w:val="23"/>
                        <w:sz w:val="12"/>
                      </w:rPr>
                      <w:t> </w:t>
                    </w:r>
                    <w:r>
                      <w:rPr>
                        <w:rFonts w:ascii="Cambria" w:hAnsi="Cambria"/>
                        <w:sz w:val="12"/>
                      </w:rPr>
                      <w:t>25,000</w:t>
                    </w:r>
                  </w:p>
                </w:txbxContent>
              </v:textbox>
              <w10:wrap type="none"/>
            </v:shape>
            <w10:wrap type="none"/>
          </v:group>
        </w:pict>
      </w:r>
      <w:r>
        <w:rPr>
          <w:color w:val="231F20"/>
          <w:sz w:val="20"/>
        </w:rPr>
        <w:t>Gráfica 1. Saldos netos migratorios internos de las entidades federativas de la República Mexicana</w:t>
      </w:r>
    </w:p>
    <w:p>
      <w:pPr>
        <w:pStyle w:val="BodyText"/>
        <w:rPr>
          <w:sz w:val="20"/>
        </w:rPr>
      </w:pPr>
    </w:p>
    <w:p>
      <w:pPr>
        <w:pStyle w:val="BodyText"/>
        <w:rPr>
          <w:sz w:val="20"/>
        </w:rPr>
      </w:pPr>
    </w:p>
    <w:p>
      <w:pPr>
        <w:pStyle w:val="BodyText"/>
        <w:rPr>
          <w:sz w:val="20"/>
        </w:rPr>
      </w:pPr>
    </w:p>
    <w:p>
      <w:pPr>
        <w:pStyle w:val="BodyText"/>
        <w:rPr>
          <w:sz w:val="15"/>
        </w:rPr>
      </w:pPr>
    </w:p>
    <w:tbl>
      <w:tblPr>
        <w:tblW w:w="0" w:type="auto"/>
        <w:jc w:val="left"/>
        <w:tblInd w:w="27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11"/>
        <w:gridCol w:w="1603"/>
        <w:gridCol w:w="1537"/>
        <w:gridCol w:w="861"/>
      </w:tblGrid>
      <w:tr>
        <w:trPr>
          <w:trHeight w:val="3599" w:hRule="exact"/>
        </w:trPr>
        <w:tc>
          <w:tcPr>
            <w:tcW w:w="1811" w:type="dxa"/>
          </w:tcPr>
          <w:p>
            <w:pPr>
              <w:pStyle w:val="TableParagraph"/>
              <w:spacing w:line="307" w:lineRule="auto" w:before="29"/>
              <w:ind w:left="428" w:right="583" w:firstLine="298"/>
              <w:rPr>
                <w:rFonts w:ascii="Cambria"/>
                <w:sz w:val="16"/>
              </w:rPr>
            </w:pPr>
            <w:r>
              <w:rPr>
                <w:rFonts w:ascii="Cambria"/>
                <w:w w:val="95"/>
                <w:sz w:val="16"/>
              </w:rPr>
              <w:t>Sinaloa </w:t>
            </w:r>
            <w:r>
              <w:rPr>
                <w:rFonts w:ascii="Cambria"/>
                <w:sz w:val="16"/>
              </w:rPr>
              <w:t>Guerrero</w:t>
            </w:r>
            <w:r>
              <w:rPr>
                <w:rFonts w:ascii="Cambria"/>
                <w:w w:val="100"/>
                <w:sz w:val="16"/>
              </w:rPr>
              <w:t> </w:t>
            </w:r>
            <w:r>
              <w:rPr>
                <w:rFonts w:ascii="Cambria"/>
                <w:sz w:val="16"/>
              </w:rPr>
              <w:t>Chiapas </w:t>
            </w:r>
            <w:r>
              <w:rPr>
                <w:rFonts w:ascii="Cambria"/>
                <w:w w:val="95"/>
                <w:sz w:val="16"/>
              </w:rPr>
              <w:t>Oaxaca </w:t>
            </w:r>
            <w:r>
              <w:rPr>
                <w:rFonts w:ascii="Cambria"/>
                <w:sz w:val="16"/>
              </w:rPr>
              <w:t>Hidalgo </w:t>
            </w:r>
            <w:r>
              <w:rPr>
                <w:rFonts w:ascii="Cambria"/>
                <w:w w:val="95"/>
                <w:sz w:val="16"/>
              </w:rPr>
              <w:t>Tamaulipas </w:t>
            </w:r>
            <w:r>
              <w:rPr>
                <w:rFonts w:ascii="Cambria"/>
                <w:sz w:val="16"/>
              </w:rPr>
              <w:t>Veracruz Tabasco</w:t>
            </w:r>
            <w:r>
              <w:rPr>
                <w:rFonts w:ascii="Cambria"/>
                <w:w w:val="100"/>
                <w:sz w:val="16"/>
              </w:rPr>
              <w:t> </w:t>
            </w:r>
            <w:r>
              <w:rPr>
                <w:rFonts w:ascii="Cambria"/>
                <w:sz w:val="16"/>
              </w:rPr>
              <w:t>Coahuila Campeche</w:t>
            </w:r>
          </w:p>
          <w:p>
            <w:pPr>
              <w:pStyle w:val="TableParagraph"/>
              <w:spacing w:line="307" w:lineRule="auto"/>
              <w:ind w:left="473" w:right="584" w:firstLine="270"/>
              <w:rPr>
                <w:rFonts w:ascii="Cambria" w:hAnsi="Cambria"/>
                <w:sz w:val="16"/>
              </w:rPr>
            </w:pPr>
            <w:r>
              <w:rPr>
                <w:rFonts w:ascii="Cambria" w:hAnsi="Cambria"/>
                <w:sz w:val="16"/>
              </w:rPr>
              <w:t>Colima </w:t>
            </w:r>
            <w:r>
              <w:rPr>
                <w:rFonts w:ascii="Cambria" w:hAnsi="Cambria"/>
                <w:w w:val="95"/>
                <w:sz w:val="16"/>
              </w:rPr>
              <w:t>Puebla </w:t>
            </w:r>
            <w:r>
              <w:rPr>
                <w:rFonts w:ascii="Cambria" w:hAnsi="Cambria"/>
                <w:sz w:val="16"/>
              </w:rPr>
              <w:t>Michoacán </w:t>
            </w:r>
            <w:r>
              <w:rPr>
                <w:rFonts w:ascii="Cambria" w:hAnsi="Cambria"/>
                <w:w w:val="95"/>
                <w:sz w:val="16"/>
              </w:rPr>
              <w:t>Yucatán </w:t>
            </w:r>
            <w:r>
              <w:rPr>
                <w:rFonts w:ascii="Cambria" w:hAnsi="Cambria"/>
                <w:sz w:val="16"/>
              </w:rPr>
              <w:t>Morelos</w:t>
            </w:r>
          </w:p>
        </w:tc>
        <w:tc>
          <w:tcPr>
            <w:tcW w:w="1603" w:type="dxa"/>
          </w:tcPr>
          <w:p>
            <w:pPr>
              <w:pStyle w:val="TableParagraph"/>
              <w:spacing w:before="14"/>
              <w:ind w:left="447" w:right="439"/>
              <w:jc w:val="center"/>
              <w:rPr>
                <w:rFonts w:ascii="Cambria" w:hAnsi="Cambria"/>
                <w:sz w:val="16"/>
              </w:rPr>
            </w:pPr>
            <w:r>
              <w:rPr>
                <w:rFonts w:ascii="Cambria" w:hAnsi="Cambria"/>
                <w:w w:val="90"/>
                <w:sz w:val="16"/>
              </w:rPr>
              <w:t>-­‐5,286</w:t>
            </w:r>
          </w:p>
          <w:p>
            <w:pPr>
              <w:pStyle w:val="TableParagraph"/>
              <w:spacing w:before="52"/>
              <w:ind w:left="539" w:right="416"/>
              <w:jc w:val="center"/>
              <w:rPr>
                <w:rFonts w:ascii="Cambria" w:hAnsi="Cambria"/>
                <w:sz w:val="16"/>
              </w:rPr>
            </w:pPr>
            <w:r>
              <w:rPr>
                <w:rFonts w:ascii="Cambria" w:hAnsi="Cambria"/>
                <w:w w:val="90"/>
                <w:sz w:val="16"/>
              </w:rPr>
              <w:t>-­‐4,559</w:t>
            </w:r>
          </w:p>
          <w:p>
            <w:pPr>
              <w:pStyle w:val="TableParagraph"/>
              <w:spacing w:before="52"/>
              <w:ind w:left="539" w:right="416"/>
              <w:jc w:val="center"/>
              <w:rPr>
                <w:rFonts w:ascii="Cambria" w:hAnsi="Cambria"/>
                <w:sz w:val="16"/>
              </w:rPr>
            </w:pPr>
            <w:r>
              <w:rPr>
                <w:rFonts w:ascii="Cambria" w:hAnsi="Cambria"/>
                <w:w w:val="90"/>
                <w:sz w:val="16"/>
              </w:rPr>
              <w:t>-­‐4,558</w:t>
            </w:r>
          </w:p>
          <w:p>
            <w:pPr>
              <w:pStyle w:val="TableParagraph"/>
              <w:spacing w:before="52"/>
              <w:ind w:left="539" w:right="365"/>
              <w:jc w:val="center"/>
              <w:rPr>
                <w:rFonts w:ascii="Cambria" w:hAnsi="Cambria"/>
                <w:sz w:val="16"/>
              </w:rPr>
            </w:pPr>
            <w:r>
              <w:rPr>
                <w:rFonts w:ascii="Cambria" w:hAnsi="Cambria"/>
                <w:w w:val="90"/>
                <w:sz w:val="16"/>
              </w:rPr>
              <w:t>-­‐4,231</w:t>
            </w:r>
          </w:p>
          <w:p>
            <w:pPr>
              <w:pStyle w:val="TableParagraph"/>
              <w:spacing w:before="52"/>
              <w:ind w:left="539" w:right="352"/>
              <w:jc w:val="center"/>
              <w:rPr>
                <w:rFonts w:ascii="Cambria" w:hAnsi="Cambria"/>
                <w:sz w:val="16"/>
              </w:rPr>
            </w:pPr>
            <w:r>
              <w:rPr>
                <w:rFonts w:ascii="Cambria" w:hAnsi="Cambria"/>
                <w:w w:val="90"/>
                <w:sz w:val="16"/>
              </w:rPr>
              <w:t>-­‐4,153</w:t>
            </w:r>
          </w:p>
          <w:p>
            <w:pPr>
              <w:pStyle w:val="TableParagraph"/>
              <w:spacing w:before="52"/>
              <w:ind w:left="539" w:right="347"/>
              <w:jc w:val="center"/>
              <w:rPr>
                <w:rFonts w:ascii="Cambria" w:hAnsi="Cambria"/>
                <w:sz w:val="16"/>
              </w:rPr>
            </w:pPr>
            <w:r>
              <w:rPr>
                <w:rFonts w:ascii="Cambria" w:hAnsi="Cambria"/>
                <w:w w:val="90"/>
                <w:sz w:val="16"/>
              </w:rPr>
              <w:t>-­‐4,120</w:t>
            </w:r>
          </w:p>
          <w:p>
            <w:pPr>
              <w:pStyle w:val="TableParagraph"/>
              <w:spacing w:before="52"/>
              <w:ind w:left="701"/>
              <w:jc w:val="left"/>
              <w:rPr>
                <w:rFonts w:ascii="Cambria" w:hAnsi="Cambria"/>
                <w:sz w:val="16"/>
              </w:rPr>
            </w:pPr>
            <w:r>
              <w:rPr>
                <w:rFonts w:ascii="Cambria" w:hAnsi="Cambria"/>
                <w:w w:val="90"/>
                <w:sz w:val="16"/>
              </w:rPr>
              <w:t>-­‐3,825</w:t>
            </w:r>
          </w:p>
          <w:p>
            <w:pPr>
              <w:pStyle w:val="TableParagraph"/>
              <w:spacing w:before="52"/>
              <w:ind w:left="782"/>
              <w:jc w:val="left"/>
              <w:rPr>
                <w:rFonts w:ascii="Cambria" w:hAnsi="Cambria"/>
                <w:sz w:val="16"/>
              </w:rPr>
            </w:pPr>
            <w:r>
              <w:rPr>
                <w:rFonts w:ascii="Cambria" w:hAnsi="Cambria"/>
                <w:w w:val="90"/>
                <w:sz w:val="16"/>
              </w:rPr>
              <w:t>-­‐2,800</w:t>
            </w:r>
          </w:p>
          <w:p>
            <w:pPr>
              <w:pStyle w:val="TableParagraph"/>
              <w:spacing w:before="52"/>
              <w:ind w:left="810"/>
              <w:jc w:val="left"/>
              <w:rPr>
                <w:rFonts w:ascii="Cambria" w:hAnsi="Cambria"/>
                <w:sz w:val="16"/>
              </w:rPr>
            </w:pPr>
            <w:r>
              <w:rPr>
                <w:rFonts w:ascii="Cambria" w:hAnsi="Cambria"/>
                <w:w w:val="90"/>
                <w:sz w:val="16"/>
              </w:rPr>
              <w:t>-­‐2,443</w:t>
            </w:r>
          </w:p>
          <w:p>
            <w:pPr>
              <w:pStyle w:val="TableParagraph"/>
              <w:spacing w:before="52"/>
              <w:ind w:right="254"/>
              <w:rPr>
                <w:rFonts w:ascii="Cambria" w:hAnsi="Cambria"/>
                <w:sz w:val="16"/>
              </w:rPr>
            </w:pPr>
            <w:r>
              <w:rPr>
                <w:rFonts w:ascii="Cambria" w:hAnsi="Cambria"/>
                <w:w w:val="80"/>
                <w:sz w:val="16"/>
              </w:rPr>
              <w:t>-­‐1,226</w:t>
            </w:r>
          </w:p>
          <w:p>
            <w:pPr>
              <w:pStyle w:val="TableParagraph"/>
              <w:spacing w:before="52"/>
              <w:ind w:right="225"/>
              <w:rPr>
                <w:rFonts w:ascii="Cambria" w:hAnsi="Cambria"/>
                <w:sz w:val="16"/>
              </w:rPr>
            </w:pPr>
            <w:r>
              <w:rPr>
                <w:rFonts w:ascii="Cambria" w:hAnsi="Cambria"/>
                <w:w w:val="75"/>
                <w:sz w:val="16"/>
              </w:rPr>
              <w:t>-­‐861</w:t>
            </w:r>
          </w:p>
          <w:p>
            <w:pPr>
              <w:pStyle w:val="TableParagraph"/>
              <w:spacing w:before="52"/>
              <w:ind w:right="199"/>
              <w:rPr>
                <w:rFonts w:ascii="Cambria" w:hAnsi="Cambria"/>
                <w:sz w:val="16"/>
              </w:rPr>
            </w:pPr>
            <w:r>
              <w:rPr>
                <w:rFonts w:ascii="Cambria" w:hAnsi="Cambria"/>
                <w:w w:val="75"/>
                <w:sz w:val="16"/>
              </w:rPr>
              <w:t>-­‐526</w:t>
            </w:r>
          </w:p>
          <w:p>
            <w:pPr>
              <w:pStyle w:val="TableParagraph"/>
              <w:spacing w:before="52"/>
              <w:ind w:right="183"/>
              <w:rPr>
                <w:rFonts w:ascii="Cambria" w:hAnsi="Cambria"/>
                <w:sz w:val="16"/>
              </w:rPr>
            </w:pPr>
            <w:r>
              <w:rPr>
                <w:rFonts w:ascii="Cambria" w:hAnsi="Cambria"/>
                <w:w w:val="75"/>
                <w:sz w:val="16"/>
              </w:rPr>
              <w:t>-­‐329</w:t>
            </w:r>
          </w:p>
          <w:p>
            <w:pPr>
              <w:pStyle w:val="TableParagraph"/>
              <w:spacing w:before="52"/>
              <w:ind w:right="169"/>
              <w:rPr>
                <w:rFonts w:ascii="Cambria" w:hAnsi="Cambria"/>
                <w:sz w:val="16"/>
              </w:rPr>
            </w:pPr>
            <w:r>
              <w:rPr>
                <w:rFonts w:ascii="Cambria" w:hAnsi="Cambria"/>
                <w:w w:val="75"/>
                <w:sz w:val="16"/>
              </w:rPr>
              <w:t>-­‐150</w:t>
            </w:r>
          </w:p>
        </w:tc>
        <w:tc>
          <w:tcPr>
            <w:tcW w:w="1537" w:type="dxa"/>
          </w:tcPr>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16"/>
              </w:rPr>
            </w:pPr>
          </w:p>
          <w:p>
            <w:pPr>
              <w:pStyle w:val="TableParagraph"/>
              <w:jc w:val="left"/>
              <w:rPr>
                <w:sz w:val="21"/>
              </w:rPr>
            </w:pPr>
          </w:p>
          <w:p>
            <w:pPr>
              <w:pStyle w:val="TableParagraph"/>
              <w:ind w:left="175"/>
              <w:jc w:val="left"/>
              <w:rPr>
                <w:rFonts w:ascii="Cambria"/>
                <w:sz w:val="16"/>
              </w:rPr>
            </w:pPr>
            <w:r>
              <w:rPr>
                <w:rFonts w:ascii="Cambria"/>
                <w:sz w:val="16"/>
              </w:rPr>
              <w:t>22</w:t>
            </w:r>
          </w:p>
        </w:tc>
        <w:tc>
          <w:tcPr>
            <w:tcW w:w="861" w:type="dxa"/>
          </w:tcPr>
          <w:p>
            <w:pPr/>
          </w:p>
        </w:tc>
      </w:tr>
      <w:tr>
        <w:trPr>
          <w:trHeight w:val="240" w:hRule="exact"/>
        </w:trPr>
        <w:tc>
          <w:tcPr>
            <w:tcW w:w="1811" w:type="dxa"/>
          </w:tcPr>
          <w:p>
            <w:pPr>
              <w:pStyle w:val="TableParagraph"/>
              <w:spacing w:before="25"/>
              <w:ind w:right="584"/>
              <w:rPr>
                <w:rFonts w:ascii="Cambria"/>
                <w:sz w:val="16"/>
              </w:rPr>
            </w:pPr>
            <w:r>
              <w:rPr>
                <w:rFonts w:ascii="Cambria"/>
                <w:w w:val="95"/>
                <w:sz w:val="16"/>
              </w:rPr>
              <w:t>Aguascalientes</w:t>
            </w:r>
          </w:p>
        </w:tc>
        <w:tc>
          <w:tcPr>
            <w:tcW w:w="1603" w:type="dxa"/>
          </w:tcPr>
          <w:p>
            <w:pPr/>
          </w:p>
        </w:tc>
        <w:tc>
          <w:tcPr>
            <w:tcW w:w="1537" w:type="dxa"/>
          </w:tcPr>
          <w:p>
            <w:pPr>
              <w:pStyle w:val="TableParagraph"/>
              <w:spacing w:before="10"/>
              <w:ind w:left="171"/>
              <w:jc w:val="left"/>
              <w:rPr>
                <w:rFonts w:ascii="Cambria"/>
                <w:sz w:val="16"/>
              </w:rPr>
            </w:pPr>
            <w:r>
              <w:rPr>
                <w:rFonts w:ascii="Cambria"/>
                <w:sz w:val="16"/>
              </w:rPr>
              <w:t>219</w:t>
            </w:r>
          </w:p>
        </w:tc>
        <w:tc>
          <w:tcPr>
            <w:tcW w:w="861" w:type="dxa"/>
          </w:tcPr>
          <w:p>
            <w:pPr/>
          </w:p>
        </w:tc>
      </w:tr>
      <w:tr>
        <w:trPr>
          <w:trHeight w:val="240" w:hRule="exact"/>
        </w:trPr>
        <w:tc>
          <w:tcPr>
            <w:tcW w:w="1811" w:type="dxa"/>
          </w:tcPr>
          <w:p>
            <w:pPr>
              <w:pStyle w:val="TableParagraph"/>
              <w:spacing w:before="25"/>
              <w:ind w:right="584"/>
              <w:rPr>
                <w:rFonts w:ascii="Cambria" w:hAnsi="Cambria"/>
                <w:sz w:val="16"/>
              </w:rPr>
            </w:pPr>
            <w:r>
              <w:rPr>
                <w:rFonts w:ascii="Cambria" w:hAnsi="Cambria"/>
                <w:sz w:val="16"/>
              </w:rPr>
              <w:t>Querétaro</w:t>
            </w:r>
          </w:p>
        </w:tc>
        <w:tc>
          <w:tcPr>
            <w:tcW w:w="1603" w:type="dxa"/>
          </w:tcPr>
          <w:p>
            <w:pPr/>
          </w:p>
        </w:tc>
        <w:tc>
          <w:tcPr>
            <w:tcW w:w="1537" w:type="dxa"/>
          </w:tcPr>
          <w:p>
            <w:pPr>
              <w:pStyle w:val="TableParagraph"/>
              <w:spacing w:before="10"/>
              <w:ind w:left="171"/>
              <w:jc w:val="left"/>
              <w:rPr>
                <w:rFonts w:ascii="Cambria"/>
                <w:sz w:val="16"/>
              </w:rPr>
            </w:pPr>
            <w:r>
              <w:rPr>
                <w:rFonts w:ascii="Cambria"/>
                <w:sz w:val="16"/>
              </w:rPr>
              <w:t>368</w:t>
            </w:r>
          </w:p>
        </w:tc>
        <w:tc>
          <w:tcPr>
            <w:tcW w:w="861" w:type="dxa"/>
          </w:tcPr>
          <w:p>
            <w:pPr/>
          </w:p>
        </w:tc>
      </w:tr>
      <w:tr>
        <w:trPr>
          <w:trHeight w:val="240" w:hRule="exact"/>
        </w:trPr>
        <w:tc>
          <w:tcPr>
            <w:tcW w:w="1811" w:type="dxa"/>
          </w:tcPr>
          <w:p>
            <w:pPr>
              <w:pStyle w:val="TableParagraph"/>
              <w:spacing w:before="25"/>
              <w:ind w:right="592"/>
              <w:rPr>
                <w:rFonts w:ascii="Cambria" w:hAnsi="Cambria"/>
                <w:sz w:val="16"/>
              </w:rPr>
            </w:pPr>
            <w:r>
              <w:rPr>
                <w:rFonts w:ascii="Cambria" w:hAnsi="Cambria"/>
                <w:sz w:val="16"/>
              </w:rPr>
              <w:t>San Luis Potosí</w:t>
            </w:r>
          </w:p>
        </w:tc>
        <w:tc>
          <w:tcPr>
            <w:tcW w:w="1603" w:type="dxa"/>
          </w:tcPr>
          <w:p>
            <w:pPr/>
          </w:p>
        </w:tc>
        <w:tc>
          <w:tcPr>
            <w:tcW w:w="1537" w:type="dxa"/>
          </w:tcPr>
          <w:p>
            <w:pPr>
              <w:pStyle w:val="TableParagraph"/>
              <w:spacing w:before="10"/>
              <w:ind w:left="172"/>
              <w:jc w:val="left"/>
              <w:rPr>
                <w:rFonts w:ascii="Cambria"/>
                <w:sz w:val="16"/>
              </w:rPr>
            </w:pPr>
            <w:r>
              <w:rPr>
                <w:rFonts w:ascii="Cambria"/>
                <w:sz w:val="16"/>
              </w:rPr>
              <w:t>603</w:t>
            </w:r>
          </w:p>
        </w:tc>
        <w:tc>
          <w:tcPr>
            <w:tcW w:w="861" w:type="dxa"/>
          </w:tcPr>
          <w:p>
            <w:pPr/>
          </w:p>
        </w:tc>
      </w:tr>
      <w:tr>
        <w:trPr>
          <w:trHeight w:val="240" w:hRule="exact"/>
        </w:trPr>
        <w:tc>
          <w:tcPr>
            <w:tcW w:w="1811" w:type="dxa"/>
          </w:tcPr>
          <w:p>
            <w:pPr>
              <w:pStyle w:val="TableParagraph"/>
              <w:spacing w:before="25"/>
              <w:ind w:right="583"/>
              <w:rPr>
                <w:rFonts w:ascii="Cambria"/>
                <w:sz w:val="16"/>
              </w:rPr>
            </w:pPr>
            <w:r>
              <w:rPr>
                <w:rFonts w:ascii="Cambria"/>
                <w:w w:val="95"/>
                <w:sz w:val="16"/>
              </w:rPr>
              <w:t>Zacatecas</w:t>
            </w:r>
          </w:p>
        </w:tc>
        <w:tc>
          <w:tcPr>
            <w:tcW w:w="1603" w:type="dxa"/>
          </w:tcPr>
          <w:p>
            <w:pPr/>
          </w:p>
        </w:tc>
        <w:tc>
          <w:tcPr>
            <w:tcW w:w="1537" w:type="dxa"/>
          </w:tcPr>
          <w:p>
            <w:pPr>
              <w:pStyle w:val="TableParagraph"/>
              <w:spacing w:before="10"/>
              <w:ind w:left="216"/>
              <w:jc w:val="left"/>
              <w:rPr>
                <w:rFonts w:ascii="Cambria"/>
                <w:sz w:val="16"/>
              </w:rPr>
            </w:pPr>
            <w:r>
              <w:rPr>
                <w:rFonts w:ascii="Cambria"/>
                <w:sz w:val="16"/>
              </w:rPr>
              <w:t>1,177</w:t>
            </w:r>
          </w:p>
        </w:tc>
        <w:tc>
          <w:tcPr>
            <w:tcW w:w="861" w:type="dxa"/>
          </w:tcPr>
          <w:p>
            <w:pPr/>
          </w:p>
        </w:tc>
      </w:tr>
      <w:tr>
        <w:trPr>
          <w:trHeight w:val="240" w:hRule="exact"/>
        </w:trPr>
        <w:tc>
          <w:tcPr>
            <w:tcW w:w="1811" w:type="dxa"/>
          </w:tcPr>
          <w:p>
            <w:pPr>
              <w:pStyle w:val="TableParagraph"/>
              <w:spacing w:before="25"/>
              <w:ind w:right="587"/>
              <w:rPr>
                <w:rFonts w:ascii="Cambria"/>
                <w:sz w:val="16"/>
              </w:rPr>
            </w:pPr>
            <w:r>
              <w:rPr>
                <w:rFonts w:ascii="Cambria"/>
                <w:sz w:val="16"/>
              </w:rPr>
              <w:t>Sonora</w:t>
            </w:r>
          </w:p>
        </w:tc>
        <w:tc>
          <w:tcPr>
            <w:tcW w:w="1603" w:type="dxa"/>
          </w:tcPr>
          <w:p>
            <w:pPr/>
          </w:p>
        </w:tc>
        <w:tc>
          <w:tcPr>
            <w:tcW w:w="1537" w:type="dxa"/>
          </w:tcPr>
          <w:p>
            <w:pPr>
              <w:pStyle w:val="TableParagraph"/>
              <w:spacing w:before="10"/>
              <w:ind w:left="227"/>
              <w:jc w:val="left"/>
              <w:rPr>
                <w:rFonts w:ascii="Cambria"/>
                <w:sz w:val="16"/>
              </w:rPr>
            </w:pPr>
            <w:r>
              <w:rPr>
                <w:rFonts w:ascii="Cambria"/>
                <w:sz w:val="16"/>
              </w:rPr>
              <w:t>1,309</w:t>
            </w:r>
          </w:p>
        </w:tc>
        <w:tc>
          <w:tcPr>
            <w:tcW w:w="861" w:type="dxa"/>
          </w:tcPr>
          <w:p>
            <w:pPr/>
          </w:p>
        </w:tc>
      </w:tr>
      <w:tr>
        <w:trPr>
          <w:trHeight w:val="240" w:hRule="exact"/>
        </w:trPr>
        <w:tc>
          <w:tcPr>
            <w:tcW w:w="1811" w:type="dxa"/>
          </w:tcPr>
          <w:p>
            <w:pPr>
              <w:pStyle w:val="TableParagraph"/>
              <w:spacing w:before="25"/>
              <w:ind w:right="586"/>
              <w:rPr>
                <w:rFonts w:ascii="Cambria"/>
                <w:sz w:val="16"/>
              </w:rPr>
            </w:pPr>
            <w:r>
              <w:rPr>
                <w:rFonts w:ascii="Cambria"/>
                <w:w w:val="95"/>
                <w:sz w:val="16"/>
              </w:rPr>
              <w:t>Tlaxcala</w:t>
            </w:r>
          </w:p>
        </w:tc>
        <w:tc>
          <w:tcPr>
            <w:tcW w:w="1603" w:type="dxa"/>
          </w:tcPr>
          <w:p>
            <w:pPr/>
          </w:p>
        </w:tc>
        <w:tc>
          <w:tcPr>
            <w:tcW w:w="1537" w:type="dxa"/>
          </w:tcPr>
          <w:p>
            <w:pPr>
              <w:pStyle w:val="TableParagraph"/>
              <w:spacing w:before="10"/>
              <w:ind w:left="242"/>
              <w:jc w:val="left"/>
              <w:rPr>
                <w:rFonts w:ascii="Cambria"/>
                <w:sz w:val="16"/>
              </w:rPr>
            </w:pPr>
            <w:r>
              <w:rPr>
                <w:rFonts w:ascii="Cambria"/>
                <w:sz w:val="16"/>
              </w:rPr>
              <w:t>1,502</w:t>
            </w:r>
          </w:p>
        </w:tc>
        <w:tc>
          <w:tcPr>
            <w:tcW w:w="861" w:type="dxa"/>
          </w:tcPr>
          <w:p>
            <w:pPr/>
          </w:p>
        </w:tc>
      </w:tr>
      <w:tr>
        <w:trPr>
          <w:trHeight w:val="240" w:hRule="exact"/>
        </w:trPr>
        <w:tc>
          <w:tcPr>
            <w:tcW w:w="1811" w:type="dxa"/>
          </w:tcPr>
          <w:p>
            <w:pPr>
              <w:pStyle w:val="TableParagraph"/>
              <w:spacing w:before="25"/>
              <w:ind w:right="592"/>
              <w:rPr>
                <w:rFonts w:ascii="Cambria"/>
                <w:sz w:val="16"/>
              </w:rPr>
            </w:pPr>
            <w:r>
              <w:rPr>
                <w:rFonts w:ascii="Cambria"/>
                <w:sz w:val="16"/>
              </w:rPr>
              <w:t>Nayarit</w:t>
            </w:r>
          </w:p>
        </w:tc>
        <w:tc>
          <w:tcPr>
            <w:tcW w:w="1603" w:type="dxa"/>
          </w:tcPr>
          <w:p>
            <w:pPr/>
          </w:p>
        </w:tc>
        <w:tc>
          <w:tcPr>
            <w:tcW w:w="1537" w:type="dxa"/>
          </w:tcPr>
          <w:p>
            <w:pPr>
              <w:pStyle w:val="TableParagraph"/>
              <w:spacing w:before="10"/>
              <w:ind w:left="279"/>
              <w:jc w:val="left"/>
              <w:rPr>
                <w:rFonts w:ascii="Cambria"/>
                <w:sz w:val="16"/>
              </w:rPr>
            </w:pPr>
            <w:r>
              <w:rPr>
                <w:rFonts w:ascii="Cambria"/>
                <w:sz w:val="16"/>
              </w:rPr>
              <w:t>1,972</w:t>
            </w:r>
          </w:p>
        </w:tc>
        <w:tc>
          <w:tcPr>
            <w:tcW w:w="861" w:type="dxa"/>
          </w:tcPr>
          <w:p>
            <w:pPr/>
          </w:p>
        </w:tc>
      </w:tr>
      <w:tr>
        <w:trPr>
          <w:trHeight w:val="240" w:hRule="exact"/>
        </w:trPr>
        <w:tc>
          <w:tcPr>
            <w:tcW w:w="1811" w:type="dxa"/>
          </w:tcPr>
          <w:p>
            <w:pPr>
              <w:pStyle w:val="TableParagraph"/>
              <w:spacing w:before="25"/>
              <w:ind w:right="583"/>
              <w:rPr>
                <w:rFonts w:ascii="Cambria"/>
                <w:sz w:val="16"/>
              </w:rPr>
            </w:pPr>
            <w:r>
              <w:rPr>
                <w:rFonts w:ascii="Cambria"/>
                <w:sz w:val="16"/>
              </w:rPr>
              <w:t>Durango</w:t>
            </w:r>
          </w:p>
        </w:tc>
        <w:tc>
          <w:tcPr>
            <w:tcW w:w="1603" w:type="dxa"/>
          </w:tcPr>
          <w:p>
            <w:pPr/>
          </w:p>
        </w:tc>
        <w:tc>
          <w:tcPr>
            <w:tcW w:w="1537" w:type="dxa"/>
          </w:tcPr>
          <w:p>
            <w:pPr>
              <w:pStyle w:val="TableParagraph"/>
              <w:spacing w:before="10"/>
              <w:ind w:left="282"/>
              <w:jc w:val="left"/>
              <w:rPr>
                <w:rFonts w:ascii="Cambria"/>
                <w:sz w:val="16"/>
              </w:rPr>
            </w:pPr>
            <w:r>
              <w:rPr>
                <w:rFonts w:ascii="Cambria"/>
                <w:sz w:val="16"/>
              </w:rPr>
              <w:t>2,002</w:t>
            </w:r>
          </w:p>
        </w:tc>
        <w:tc>
          <w:tcPr>
            <w:tcW w:w="861" w:type="dxa"/>
          </w:tcPr>
          <w:p>
            <w:pPr/>
          </w:p>
        </w:tc>
      </w:tr>
      <w:tr>
        <w:trPr>
          <w:trHeight w:val="240" w:hRule="exact"/>
        </w:trPr>
        <w:tc>
          <w:tcPr>
            <w:tcW w:w="1811" w:type="dxa"/>
          </w:tcPr>
          <w:p>
            <w:pPr>
              <w:pStyle w:val="TableParagraph"/>
              <w:spacing w:before="25"/>
              <w:ind w:right="602"/>
              <w:rPr>
                <w:rFonts w:ascii="Cambria"/>
                <w:sz w:val="16"/>
              </w:rPr>
            </w:pPr>
            <w:r>
              <w:rPr>
                <w:rFonts w:ascii="Cambria"/>
                <w:sz w:val="16"/>
              </w:rPr>
              <w:t>Baja Cal Sur</w:t>
            </w:r>
          </w:p>
        </w:tc>
        <w:tc>
          <w:tcPr>
            <w:tcW w:w="1603" w:type="dxa"/>
          </w:tcPr>
          <w:p>
            <w:pPr/>
          </w:p>
        </w:tc>
        <w:tc>
          <w:tcPr>
            <w:tcW w:w="1537" w:type="dxa"/>
          </w:tcPr>
          <w:p>
            <w:pPr>
              <w:pStyle w:val="TableParagraph"/>
              <w:spacing w:before="10"/>
              <w:ind w:left="331"/>
              <w:jc w:val="left"/>
              <w:rPr>
                <w:rFonts w:ascii="Cambria"/>
                <w:sz w:val="16"/>
              </w:rPr>
            </w:pPr>
            <w:r>
              <w:rPr>
                <w:rFonts w:ascii="Cambria"/>
                <w:sz w:val="16"/>
              </w:rPr>
              <w:t>2,629</w:t>
            </w:r>
          </w:p>
        </w:tc>
        <w:tc>
          <w:tcPr>
            <w:tcW w:w="861" w:type="dxa"/>
          </w:tcPr>
          <w:p>
            <w:pPr/>
          </w:p>
        </w:tc>
      </w:tr>
      <w:tr>
        <w:trPr>
          <w:trHeight w:val="240" w:hRule="exact"/>
        </w:trPr>
        <w:tc>
          <w:tcPr>
            <w:tcW w:w="1811" w:type="dxa"/>
          </w:tcPr>
          <w:p>
            <w:pPr>
              <w:pStyle w:val="TableParagraph"/>
              <w:spacing w:before="24"/>
              <w:ind w:right="588"/>
              <w:rPr>
                <w:rFonts w:ascii="Cambria"/>
                <w:sz w:val="16"/>
              </w:rPr>
            </w:pPr>
            <w:r>
              <w:rPr>
                <w:rFonts w:ascii="Cambria"/>
                <w:sz w:val="16"/>
              </w:rPr>
              <w:t>Jalisco</w:t>
            </w:r>
          </w:p>
        </w:tc>
        <w:tc>
          <w:tcPr>
            <w:tcW w:w="1603" w:type="dxa"/>
          </w:tcPr>
          <w:p>
            <w:pPr/>
          </w:p>
        </w:tc>
        <w:tc>
          <w:tcPr>
            <w:tcW w:w="1537" w:type="dxa"/>
          </w:tcPr>
          <w:p>
            <w:pPr>
              <w:pStyle w:val="TableParagraph"/>
              <w:spacing w:before="10"/>
              <w:ind w:left="334"/>
              <w:jc w:val="left"/>
              <w:rPr>
                <w:rFonts w:ascii="Cambria"/>
                <w:sz w:val="16"/>
              </w:rPr>
            </w:pPr>
            <w:r>
              <w:rPr>
                <w:rFonts w:ascii="Cambria"/>
                <w:sz w:val="16"/>
              </w:rPr>
              <w:t>2,664</w:t>
            </w:r>
          </w:p>
        </w:tc>
        <w:tc>
          <w:tcPr>
            <w:tcW w:w="861" w:type="dxa"/>
          </w:tcPr>
          <w:p>
            <w:pPr/>
          </w:p>
        </w:tc>
      </w:tr>
      <w:tr>
        <w:trPr>
          <w:trHeight w:val="240" w:hRule="exact"/>
        </w:trPr>
        <w:tc>
          <w:tcPr>
            <w:tcW w:w="1811" w:type="dxa"/>
          </w:tcPr>
          <w:p>
            <w:pPr>
              <w:pStyle w:val="TableParagraph"/>
              <w:spacing w:before="24"/>
              <w:ind w:right="600"/>
              <w:rPr>
                <w:rFonts w:ascii="Cambria" w:hAnsi="Cambria"/>
                <w:sz w:val="16"/>
              </w:rPr>
            </w:pPr>
            <w:r>
              <w:rPr>
                <w:rFonts w:ascii="Cambria" w:hAnsi="Cambria"/>
                <w:sz w:val="16"/>
              </w:rPr>
              <w:t>Nuevo León</w:t>
            </w:r>
          </w:p>
        </w:tc>
        <w:tc>
          <w:tcPr>
            <w:tcW w:w="1603" w:type="dxa"/>
          </w:tcPr>
          <w:p>
            <w:pPr/>
          </w:p>
        </w:tc>
        <w:tc>
          <w:tcPr>
            <w:tcW w:w="1537" w:type="dxa"/>
          </w:tcPr>
          <w:p>
            <w:pPr>
              <w:pStyle w:val="TableParagraph"/>
              <w:spacing w:before="10"/>
              <w:ind w:left="487"/>
              <w:jc w:val="left"/>
              <w:rPr>
                <w:rFonts w:ascii="Cambria"/>
                <w:sz w:val="16"/>
              </w:rPr>
            </w:pPr>
            <w:r>
              <w:rPr>
                <w:rFonts w:ascii="Cambria"/>
                <w:sz w:val="16"/>
              </w:rPr>
              <w:t>4,601</w:t>
            </w:r>
          </w:p>
        </w:tc>
        <w:tc>
          <w:tcPr>
            <w:tcW w:w="861" w:type="dxa"/>
          </w:tcPr>
          <w:p>
            <w:pPr/>
          </w:p>
        </w:tc>
      </w:tr>
      <w:tr>
        <w:trPr>
          <w:trHeight w:val="240" w:hRule="exact"/>
        </w:trPr>
        <w:tc>
          <w:tcPr>
            <w:tcW w:w="1811" w:type="dxa"/>
          </w:tcPr>
          <w:p>
            <w:pPr>
              <w:pStyle w:val="TableParagraph"/>
              <w:spacing w:before="24"/>
              <w:ind w:right="583"/>
              <w:rPr>
                <w:rFonts w:ascii="Cambria"/>
                <w:sz w:val="16"/>
              </w:rPr>
            </w:pPr>
            <w:r>
              <w:rPr>
                <w:rFonts w:ascii="Cambria"/>
                <w:w w:val="95"/>
                <w:sz w:val="16"/>
              </w:rPr>
              <w:t>Guanajuato</w:t>
            </w:r>
          </w:p>
        </w:tc>
        <w:tc>
          <w:tcPr>
            <w:tcW w:w="1603" w:type="dxa"/>
          </w:tcPr>
          <w:p>
            <w:pPr/>
          </w:p>
        </w:tc>
        <w:tc>
          <w:tcPr>
            <w:tcW w:w="1537" w:type="dxa"/>
          </w:tcPr>
          <w:p>
            <w:pPr>
              <w:pStyle w:val="TableParagraph"/>
              <w:spacing w:before="10"/>
              <w:ind w:left="507"/>
              <w:jc w:val="left"/>
              <w:rPr>
                <w:rFonts w:ascii="Cambria"/>
                <w:sz w:val="16"/>
              </w:rPr>
            </w:pPr>
            <w:r>
              <w:rPr>
                <w:rFonts w:ascii="Cambria"/>
                <w:sz w:val="16"/>
              </w:rPr>
              <w:t>4,851</w:t>
            </w:r>
          </w:p>
        </w:tc>
        <w:tc>
          <w:tcPr>
            <w:tcW w:w="861" w:type="dxa"/>
          </w:tcPr>
          <w:p>
            <w:pPr/>
          </w:p>
        </w:tc>
      </w:tr>
      <w:tr>
        <w:trPr>
          <w:trHeight w:val="240" w:hRule="exact"/>
        </w:trPr>
        <w:tc>
          <w:tcPr>
            <w:tcW w:w="1811" w:type="dxa"/>
          </w:tcPr>
          <w:p>
            <w:pPr>
              <w:pStyle w:val="TableParagraph"/>
              <w:spacing w:before="24"/>
              <w:ind w:right="584"/>
              <w:rPr>
                <w:rFonts w:ascii="Cambria"/>
                <w:sz w:val="16"/>
              </w:rPr>
            </w:pPr>
            <w:r>
              <w:rPr>
                <w:rFonts w:ascii="Cambria"/>
                <w:sz w:val="16"/>
              </w:rPr>
              <w:t>Chihuahua</w:t>
            </w:r>
          </w:p>
        </w:tc>
        <w:tc>
          <w:tcPr>
            <w:tcW w:w="1603" w:type="dxa"/>
          </w:tcPr>
          <w:p>
            <w:pPr/>
          </w:p>
        </w:tc>
        <w:tc>
          <w:tcPr>
            <w:tcW w:w="1537" w:type="dxa"/>
          </w:tcPr>
          <w:p>
            <w:pPr>
              <w:pStyle w:val="TableParagraph"/>
              <w:spacing w:before="10"/>
              <w:ind w:left="422" w:right="520"/>
              <w:jc w:val="center"/>
              <w:rPr>
                <w:rFonts w:ascii="Cambria"/>
                <w:sz w:val="16"/>
              </w:rPr>
            </w:pPr>
            <w:r>
              <w:rPr>
                <w:rFonts w:ascii="Cambria"/>
                <w:sz w:val="16"/>
              </w:rPr>
              <w:t>5,071</w:t>
            </w:r>
          </w:p>
        </w:tc>
        <w:tc>
          <w:tcPr>
            <w:tcW w:w="861" w:type="dxa"/>
          </w:tcPr>
          <w:p>
            <w:pPr/>
          </w:p>
        </w:tc>
      </w:tr>
      <w:tr>
        <w:trPr>
          <w:trHeight w:val="240" w:hRule="exact"/>
        </w:trPr>
        <w:tc>
          <w:tcPr>
            <w:tcW w:w="1811" w:type="dxa"/>
          </w:tcPr>
          <w:p>
            <w:pPr>
              <w:pStyle w:val="TableParagraph"/>
              <w:spacing w:before="24"/>
              <w:ind w:right="584"/>
              <w:rPr>
                <w:rFonts w:ascii="Cambria"/>
                <w:sz w:val="16"/>
              </w:rPr>
            </w:pPr>
            <w:r>
              <w:rPr>
                <w:rFonts w:ascii="Cambria"/>
                <w:sz w:val="16"/>
              </w:rPr>
              <w:t>Quintana Roo</w:t>
            </w:r>
          </w:p>
        </w:tc>
        <w:tc>
          <w:tcPr>
            <w:tcW w:w="1603" w:type="dxa"/>
          </w:tcPr>
          <w:p>
            <w:pPr/>
          </w:p>
        </w:tc>
        <w:tc>
          <w:tcPr>
            <w:tcW w:w="1537" w:type="dxa"/>
          </w:tcPr>
          <w:p>
            <w:pPr>
              <w:pStyle w:val="TableParagraph"/>
              <w:spacing w:before="10"/>
              <w:ind w:left="505" w:right="437"/>
              <w:jc w:val="center"/>
              <w:rPr>
                <w:rFonts w:ascii="Cambria"/>
                <w:sz w:val="16"/>
              </w:rPr>
            </w:pPr>
            <w:r>
              <w:rPr>
                <w:rFonts w:ascii="Cambria"/>
                <w:sz w:val="16"/>
              </w:rPr>
              <w:t>6,143</w:t>
            </w:r>
          </w:p>
        </w:tc>
        <w:tc>
          <w:tcPr>
            <w:tcW w:w="861" w:type="dxa"/>
          </w:tcPr>
          <w:p>
            <w:pPr/>
          </w:p>
        </w:tc>
      </w:tr>
      <w:tr>
        <w:trPr>
          <w:trHeight w:val="240" w:hRule="exact"/>
        </w:trPr>
        <w:tc>
          <w:tcPr>
            <w:tcW w:w="1811" w:type="dxa"/>
          </w:tcPr>
          <w:p>
            <w:pPr>
              <w:pStyle w:val="TableParagraph"/>
              <w:spacing w:before="24"/>
              <w:ind w:right="589"/>
              <w:rPr>
                <w:rFonts w:ascii="Cambria"/>
                <w:sz w:val="16"/>
              </w:rPr>
            </w:pPr>
            <w:r>
              <w:rPr>
                <w:rFonts w:ascii="Cambria"/>
                <w:sz w:val="16"/>
              </w:rPr>
              <w:t>Baja California</w:t>
            </w:r>
          </w:p>
        </w:tc>
        <w:tc>
          <w:tcPr>
            <w:tcW w:w="1603" w:type="dxa"/>
          </w:tcPr>
          <w:p>
            <w:pPr/>
          </w:p>
        </w:tc>
        <w:tc>
          <w:tcPr>
            <w:tcW w:w="1537" w:type="dxa"/>
          </w:tcPr>
          <w:p>
            <w:pPr>
              <w:pStyle w:val="TableParagraph"/>
              <w:spacing w:before="10"/>
              <w:ind w:left="799"/>
              <w:jc w:val="left"/>
              <w:rPr>
                <w:rFonts w:ascii="Cambria"/>
                <w:sz w:val="16"/>
              </w:rPr>
            </w:pPr>
            <w:r>
              <w:rPr>
                <w:rFonts w:ascii="Cambria"/>
                <w:sz w:val="16"/>
              </w:rPr>
              <w:t>8,555</w:t>
            </w:r>
          </w:p>
        </w:tc>
        <w:tc>
          <w:tcPr>
            <w:tcW w:w="861" w:type="dxa"/>
          </w:tcPr>
          <w:p>
            <w:pPr/>
          </w:p>
        </w:tc>
      </w:tr>
      <w:tr>
        <w:trPr>
          <w:trHeight w:val="307" w:hRule="exact"/>
        </w:trPr>
        <w:tc>
          <w:tcPr>
            <w:tcW w:w="1811" w:type="dxa"/>
          </w:tcPr>
          <w:p>
            <w:pPr>
              <w:pStyle w:val="TableParagraph"/>
              <w:spacing w:before="24"/>
              <w:ind w:right="584"/>
              <w:rPr>
                <w:rFonts w:ascii="Cambria" w:hAnsi="Cambria"/>
                <w:sz w:val="16"/>
              </w:rPr>
            </w:pPr>
            <w:r>
              <w:rPr>
                <w:rFonts w:ascii="Cambria" w:hAnsi="Cambria"/>
                <w:sz w:val="16"/>
              </w:rPr>
              <w:t>Estado de México</w:t>
            </w:r>
          </w:p>
        </w:tc>
        <w:tc>
          <w:tcPr>
            <w:tcW w:w="1603" w:type="dxa"/>
          </w:tcPr>
          <w:p>
            <w:pPr/>
          </w:p>
        </w:tc>
        <w:tc>
          <w:tcPr>
            <w:tcW w:w="1537" w:type="dxa"/>
          </w:tcPr>
          <w:p>
            <w:pPr/>
          </w:p>
        </w:tc>
        <w:tc>
          <w:tcPr>
            <w:tcW w:w="861" w:type="dxa"/>
          </w:tcPr>
          <w:p>
            <w:pPr>
              <w:pStyle w:val="TableParagraph"/>
              <w:spacing w:before="10"/>
              <w:ind w:left="349"/>
              <w:jc w:val="left"/>
              <w:rPr>
                <w:rFonts w:ascii="Cambria"/>
                <w:sz w:val="16"/>
              </w:rPr>
            </w:pPr>
            <w:r>
              <w:rPr>
                <w:rFonts w:ascii="Cambria"/>
                <w:sz w:val="16"/>
              </w:rPr>
              <w:t>22,366</w:t>
            </w:r>
          </w:p>
        </w:tc>
      </w:tr>
    </w:tbl>
    <w:p>
      <w:pPr>
        <w:pStyle w:val="BodyText"/>
        <w:rPr>
          <w:sz w:val="20"/>
        </w:rPr>
      </w:pPr>
    </w:p>
    <w:p>
      <w:pPr>
        <w:pStyle w:val="BodyText"/>
        <w:rPr>
          <w:sz w:val="20"/>
        </w:rPr>
      </w:pPr>
    </w:p>
    <w:p>
      <w:pPr>
        <w:spacing w:line="170" w:lineRule="exact" w:before="129"/>
        <w:ind w:left="117" w:right="1359" w:firstLine="0"/>
        <w:jc w:val="left"/>
        <w:rPr>
          <w:sz w:val="17"/>
        </w:rPr>
      </w:pPr>
      <w:r>
        <w:rPr>
          <w:color w:val="231F20"/>
          <w:sz w:val="17"/>
        </w:rPr>
        <w:t>Fuente: elaboración propia con datos de la Encuesta Nacional de la Dinámica Demográfica 2009, INEGI.</w:t>
      </w:r>
    </w:p>
    <w:p>
      <w:pPr>
        <w:spacing w:after="0" w:line="170" w:lineRule="exact"/>
        <w:jc w:val="left"/>
        <w:rPr>
          <w:sz w:val="17"/>
        </w:rPr>
        <w:sectPr>
          <w:pgSz w:w="9360" w:h="13040"/>
          <w:pgMar w:header="0" w:footer="496" w:top="840" w:bottom="680" w:left="1300" w:right="1300"/>
        </w:sectPr>
      </w:pPr>
    </w:p>
    <w:p>
      <w:pPr>
        <w:spacing w:before="45"/>
        <w:ind w:left="400" w:right="0" w:firstLine="563"/>
        <w:jc w:val="left"/>
        <w:rPr>
          <w:rFonts w:ascii="Arial" w:hAnsi="Arial"/>
          <w:sz w:val="20"/>
        </w:rPr>
      </w:pPr>
      <w:r>
        <w:rPr>
          <w:rFonts w:ascii="Arial" w:hAnsi="Arial"/>
          <w:color w:val="231F20"/>
          <w:w w:val="65"/>
          <w:sz w:val="20"/>
        </w:rPr>
        <w:t>Un</w:t>
      </w:r>
      <w:r>
        <w:rPr>
          <w:rFonts w:ascii="Arial" w:hAnsi="Arial"/>
          <w:color w:val="231F20"/>
          <w:spacing w:val="-11"/>
          <w:w w:val="65"/>
          <w:sz w:val="20"/>
        </w:rPr>
        <w:t> </w:t>
      </w:r>
      <w:r>
        <w:rPr>
          <w:rFonts w:ascii="Arial" w:hAnsi="Arial"/>
          <w:color w:val="231F20"/>
          <w:w w:val="65"/>
          <w:sz w:val="20"/>
        </w:rPr>
        <w:t>actor</w:t>
      </w:r>
      <w:r>
        <w:rPr>
          <w:rFonts w:ascii="Arial" w:hAnsi="Arial"/>
          <w:color w:val="231F20"/>
          <w:spacing w:val="-11"/>
          <w:w w:val="65"/>
          <w:sz w:val="20"/>
        </w:rPr>
        <w:t> </w:t>
      </w:r>
      <w:r>
        <w:rPr>
          <w:rFonts w:ascii="Arial" w:hAnsi="Arial"/>
          <w:color w:val="231F20"/>
          <w:w w:val="65"/>
          <w:sz w:val="20"/>
        </w:rPr>
        <w:t>más</w:t>
      </w:r>
      <w:r>
        <w:rPr>
          <w:rFonts w:ascii="Arial" w:hAnsi="Arial"/>
          <w:color w:val="231F20"/>
          <w:spacing w:val="-11"/>
          <w:w w:val="65"/>
          <w:sz w:val="20"/>
        </w:rPr>
        <w:t> </w:t>
      </w:r>
      <w:r>
        <w:rPr>
          <w:rFonts w:ascii="Arial" w:hAnsi="Arial"/>
          <w:color w:val="231F20"/>
          <w:w w:val="65"/>
          <w:sz w:val="20"/>
        </w:rPr>
        <w:t>en</w:t>
      </w:r>
      <w:r>
        <w:rPr>
          <w:rFonts w:ascii="Arial" w:hAnsi="Arial"/>
          <w:color w:val="231F20"/>
          <w:spacing w:val="-11"/>
          <w:w w:val="65"/>
          <w:sz w:val="20"/>
        </w:rPr>
        <w:t> </w:t>
      </w:r>
      <w:r>
        <w:rPr>
          <w:rFonts w:ascii="Arial" w:hAnsi="Arial"/>
          <w:color w:val="231F20"/>
          <w:w w:val="65"/>
          <w:sz w:val="20"/>
        </w:rPr>
        <w:t>los</w:t>
      </w:r>
      <w:r>
        <w:rPr>
          <w:rFonts w:ascii="Arial" w:hAnsi="Arial"/>
          <w:color w:val="231F20"/>
          <w:spacing w:val="-11"/>
          <w:w w:val="65"/>
          <w:sz w:val="20"/>
        </w:rPr>
        <w:t> </w:t>
      </w:r>
      <w:r>
        <w:rPr>
          <w:rFonts w:ascii="Arial" w:hAnsi="Arial"/>
          <w:color w:val="231F20"/>
          <w:w w:val="65"/>
          <w:sz w:val="20"/>
        </w:rPr>
        <w:t>procesos</w:t>
      </w:r>
      <w:r>
        <w:rPr>
          <w:rFonts w:ascii="Arial" w:hAnsi="Arial"/>
          <w:color w:val="231F20"/>
          <w:spacing w:val="-11"/>
          <w:w w:val="65"/>
          <w:sz w:val="20"/>
        </w:rPr>
        <w:t> </w:t>
      </w:r>
      <w:r>
        <w:rPr>
          <w:rFonts w:ascii="Arial" w:hAnsi="Arial"/>
          <w:color w:val="231F20"/>
          <w:w w:val="65"/>
          <w:sz w:val="20"/>
        </w:rPr>
        <w:t>migratorios:...</w:t>
      </w:r>
      <w:r>
        <w:rPr>
          <w:rFonts w:ascii="Arial" w:hAnsi="Arial"/>
          <w:color w:val="231F20"/>
          <w:spacing w:val="-11"/>
          <w:w w:val="65"/>
          <w:sz w:val="20"/>
        </w:rPr>
        <w:t> </w:t>
      </w:r>
      <w:r>
        <w:rPr>
          <w:rFonts w:ascii="Arial" w:hAnsi="Arial"/>
          <w:color w:val="231F20"/>
          <w:w w:val="65"/>
          <w:sz w:val="20"/>
        </w:rPr>
        <w:t>/Silvia</w:t>
      </w:r>
      <w:r>
        <w:rPr>
          <w:rFonts w:ascii="Arial" w:hAnsi="Arial"/>
          <w:color w:val="231F20"/>
          <w:spacing w:val="-19"/>
          <w:w w:val="65"/>
          <w:sz w:val="20"/>
        </w:rPr>
        <w:t> </w:t>
      </w:r>
      <w:r>
        <w:rPr>
          <w:rFonts w:ascii="Arial" w:hAnsi="Arial"/>
          <w:color w:val="231F20"/>
          <w:w w:val="65"/>
          <w:sz w:val="20"/>
        </w:rPr>
        <w:t>L.</w:t>
      </w:r>
      <w:r>
        <w:rPr>
          <w:rFonts w:ascii="Arial" w:hAnsi="Arial"/>
          <w:color w:val="231F20"/>
          <w:spacing w:val="-19"/>
          <w:w w:val="65"/>
          <w:sz w:val="20"/>
        </w:rPr>
        <w:t> </w:t>
      </w:r>
      <w:r>
        <w:rPr>
          <w:rFonts w:ascii="Arial" w:hAnsi="Arial"/>
          <w:color w:val="231F20"/>
          <w:w w:val="65"/>
          <w:sz w:val="20"/>
        </w:rPr>
        <w:t>Aguilar-Velázquez</w:t>
      </w:r>
      <w:r>
        <w:rPr>
          <w:rFonts w:ascii="Arial" w:hAnsi="Arial"/>
          <w:color w:val="231F20"/>
          <w:spacing w:val="-19"/>
          <w:w w:val="65"/>
          <w:sz w:val="20"/>
        </w:rPr>
        <w:t> </w:t>
      </w:r>
      <w:r>
        <w:rPr>
          <w:rFonts w:ascii="Arial" w:hAnsi="Arial"/>
          <w:color w:val="231F20"/>
          <w:w w:val="65"/>
          <w:sz w:val="20"/>
        </w:rPr>
        <w:t>y</w:t>
      </w:r>
      <w:r>
        <w:rPr>
          <w:rFonts w:ascii="Arial" w:hAnsi="Arial"/>
          <w:color w:val="231F20"/>
          <w:spacing w:val="-19"/>
          <w:w w:val="65"/>
          <w:sz w:val="20"/>
        </w:rPr>
        <w:t> </w:t>
      </w:r>
      <w:r>
        <w:rPr>
          <w:rFonts w:ascii="Arial" w:hAnsi="Arial"/>
          <w:color w:val="231F20"/>
          <w:w w:val="65"/>
          <w:sz w:val="20"/>
        </w:rPr>
        <w:t>Belinda</w:t>
      </w:r>
      <w:r>
        <w:rPr>
          <w:rFonts w:ascii="Arial" w:hAnsi="Arial"/>
          <w:color w:val="231F20"/>
          <w:spacing w:val="-19"/>
          <w:w w:val="65"/>
          <w:sz w:val="20"/>
        </w:rPr>
        <w:t> </w:t>
      </w:r>
      <w:r>
        <w:rPr>
          <w:rFonts w:ascii="Arial" w:hAnsi="Arial"/>
          <w:color w:val="231F20"/>
          <w:w w:val="65"/>
          <w:sz w:val="20"/>
        </w:rPr>
        <w:t>Ordóñez-Vázquez</w:t>
      </w:r>
    </w:p>
    <w:p>
      <w:pPr>
        <w:pStyle w:val="BodyText"/>
        <w:rPr>
          <w:rFonts w:ascii="Arial"/>
          <w:sz w:val="20"/>
        </w:rPr>
      </w:pPr>
    </w:p>
    <w:p>
      <w:pPr>
        <w:pStyle w:val="BodyText"/>
        <w:spacing w:line="247" w:lineRule="auto" w:before="119"/>
        <w:ind w:left="117" w:right="114" w:firstLine="283"/>
        <w:jc w:val="both"/>
        <w:rPr>
          <w:sz w:val="13"/>
        </w:rPr>
      </w:pPr>
      <w:r>
        <w:rPr>
          <w:color w:val="231F20"/>
        </w:rPr>
        <w:t>A partir de los datos encontrados resulta interesante analizar algunas de las características correspondientes a los perfiles sociodemográficos y económicos presentes en la fuerza de trabajo infantil</w:t>
      </w:r>
      <w:r>
        <w:rPr>
          <w:color w:val="231F20"/>
          <w:spacing w:val="-7"/>
        </w:rPr>
        <w:t> </w:t>
      </w:r>
      <w:r>
        <w:rPr>
          <w:color w:val="231F20"/>
        </w:rPr>
        <w:t>migrante.</w:t>
      </w:r>
      <w:r>
        <w:rPr>
          <w:color w:val="231F20"/>
          <w:position w:val="7"/>
          <w:sz w:val="13"/>
        </w:rPr>
        <w:t>2</w:t>
      </w:r>
    </w:p>
    <w:p>
      <w:pPr>
        <w:pStyle w:val="BodyText"/>
        <w:spacing w:line="247" w:lineRule="auto"/>
        <w:ind w:left="117" w:right="114" w:firstLine="283"/>
        <w:jc w:val="both"/>
      </w:pPr>
      <w:r>
        <w:rPr>
          <w:color w:val="231F20"/>
        </w:rPr>
        <w:t>En la Gráfica 2 se visualiza que del total de la fuerza de trabajo</w:t>
      </w:r>
      <w:r>
        <w:rPr>
          <w:color w:val="231F20"/>
          <w:spacing w:val="-25"/>
        </w:rPr>
        <w:t> </w:t>
      </w:r>
      <w:r>
        <w:rPr>
          <w:color w:val="231F20"/>
        </w:rPr>
        <w:t>infantil que se desplaza a otras entidades 34 por ciento son niñas y 66 por ciento niños.</w:t>
      </w:r>
    </w:p>
    <w:p>
      <w:pPr>
        <w:pStyle w:val="BodyText"/>
        <w:spacing w:line="247" w:lineRule="auto"/>
        <w:ind w:left="117" w:right="114" w:firstLine="283"/>
        <w:jc w:val="both"/>
      </w:pPr>
      <w:r>
        <w:rPr>
          <w:color w:val="231F20"/>
        </w:rPr>
        <w:t>En tanto, en la Gráfica 3 se puede apreciar que sólo 30.7 por ciento de esta fuerza laboral infantil migrante aún continúa asistiendo a la escuela, de los cuales, 15.6 por ciento son niños y 15.1 por ciento niñas, cifras si- milares.</w:t>
      </w:r>
    </w:p>
    <w:p>
      <w:pPr>
        <w:pStyle w:val="BodyText"/>
        <w:spacing w:line="247" w:lineRule="auto"/>
        <w:ind w:left="117" w:right="114" w:firstLine="283"/>
        <w:jc w:val="both"/>
      </w:pPr>
      <w:r>
        <w:rPr>
          <w:color w:val="231F20"/>
        </w:rPr>
        <w:t>En cambio 69 por ciento de los trabajadores infantiles migrantes no asisten</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escuela</w:t>
      </w:r>
      <w:r>
        <w:rPr>
          <w:color w:val="231F20"/>
          <w:spacing w:val="-4"/>
        </w:rPr>
        <w:t> </w:t>
      </w:r>
      <w:r>
        <w:rPr>
          <w:color w:val="231F20"/>
        </w:rPr>
        <w:t>y</w:t>
      </w:r>
      <w:r>
        <w:rPr>
          <w:color w:val="231F20"/>
          <w:spacing w:val="-4"/>
        </w:rPr>
        <w:t> </w:t>
      </w:r>
      <w:r>
        <w:rPr>
          <w:color w:val="231F20"/>
        </w:rPr>
        <w:t>sólo</w:t>
      </w:r>
      <w:r>
        <w:rPr>
          <w:color w:val="231F20"/>
          <w:spacing w:val="-3"/>
        </w:rPr>
        <w:t> </w:t>
      </w:r>
      <w:r>
        <w:rPr>
          <w:color w:val="231F20"/>
        </w:rPr>
        <w:t>se</w:t>
      </w:r>
      <w:r>
        <w:rPr>
          <w:color w:val="231F20"/>
          <w:spacing w:val="-4"/>
        </w:rPr>
        <w:t> </w:t>
      </w:r>
      <w:r>
        <w:rPr>
          <w:color w:val="231F20"/>
        </w:rPr>
        <w:t>dedican</w:t>
      </w:r>
      <w:r>
        <w:rPr>
          <w:color w:val="231F20"/>
          <w:spacing w:val="-4"/>
        </w:rPr>
        <w:t> </w:t>
      </w:r>
      <w:r>
        <w:rPr>
          <w:color w:val="231F20"/>
        </w:rPr>
        <w:t>a</w:t>
      </w:r>
      <w:r>
        <w:rPr>
          <w:color w:val="231F20"/>
          <w:spacing w:val="-4"/>
        </w:rPr>
        <w:t> </w:t>
      </w:r>
      <w:r>
        <w:rPr>
          <w:color w:val="231F20"/>
        </w:rPr>
        <w:t>trabajar,</w:t>
      </w:r>
      <w:r>
        <w:rPr>
          <w:color w:val="231F20"/>
          <w:spacing w:val="-4"/>
        </w:rPr>
        <w:t> </w:t>
      </w:r>
      <w:r>
        <w:rPr>
          <w:color w:val="231F20"/>
        </w:rPr>
        <w:t>otro</w:t>
      </w:r>
      <w:r>
        <w:rPr>
          <w:color w:val="231F20"/>
          <w:spacing w:val="-4"/>
        </w:rPr>
        <w:t> </w:t>
      </w:r>
      <w:r>
        <w:rPr>
          <w:color w:val="231F20"/>
        </w:rPr>
        <w:t>rasgo</w:t>
      </w:r>
      <w:r>
        <w:rPr>
          <w:color w:val="231F20"/>
          <w:spacing w:val="-4"/>
        </w:rPr>
        <w:t> </w:t>
      </w:r>
      <w:r>
        <w:rPr>
          <w:color w:val="231F20"/>
        </w:rPr>
        <w:t>que</w:t>
      </w:r>
      <w:r>
        <w:rPr>
          <w:color w:val="231F20"/>
          <w:spacing w:val="-4"/>
        </w:rPr>
        <w:t> </w:t>
      </w:r>
      <w:r>
        <w:rPr>
          <w:color w:val="231F20"/>
        </w:rPr>
        <w:t>resalta</w:t>
      </w:r>
      <w:r>
        <w:rPr>
          <w:color w:val="231F20"/>
          <w:spacing w:val="-4"/>
        </w:rPr>
        <w:t> </w:t>
      </w:r>
      <w:r>
        <w:rPr>
          <w:color w:val="231F20"/>
        </w:rPr>
        <w:t>es</w:t>
      </w:r>
      <w:r>
        <w:rPr>
          <w:color w:val="231F20"/>
          <w:spacing w:val="-4"/>
        </w:rPr>
        <w:t> </w:t>
      </w:r>
      <w:r>
        <w:rPr>
          <w:color w:val="231F20"/>
        </w:rPr>
        <w:t>la diferencia</w:t>
      </w:r>
      <w:r>
        <w:rPr>
          <w:color w:val="231F20"/>
          <w:spacing w:val="-5"/>
        </w:rPr>
        <w:t> </w:t>
      </w:r>
      <w:r>
        <w:rPr>
          <w:color w:val="231F20"/>
        </w:rPr>
        <w:t>porcentual</w:t>
      </w:r>
      <w:r>
        <w:rPr>
          <w:color w:val="231F20"/>
          <w:spacing w:val="-5"/>
        </w:rPr>
        <w:t> </w:t>
      </w:r>
      <w:r>
        <w:rPr>
          <w:color w:val="231F20"/>
        </w:rPr>
        <w:t>entre</w:t>
      </w:r>
      <w:r>
        <w:rPr>
          <w:color w:val="231F20"/>
          <w:spacing w:val="-5"/>
        </w:rPr>
        <w:t> </w:t>
      </w:r>
      <w:r>
        <w:rPr>
          <w:color w:val="231F20"/>
        </w:rPr>
        <w:t>niños</w:t>
      </w:r>
      <w:r>
        <w:rPr>
          <w:color w:val="231F20"/>
          <w:spacing w:val="-5"/>
        </w:rPr>
        <w:t> </w:t>
      </w:r>
      <w:r>
        <w:rPr>
          <w:color w:val="231F20"/>
        </w:rPr>
        <w:t>y</w:t>
      </w:r>
      <w:r>
        <w:rPr>
          <w:color w:val="231F20"/>
          <w:spacing w:val="-5"/>
        </w:rPr>
        <w:t> </w:t>
      </w:r>
      <w:r>
        <w:rPr>
          <w:color w:val="231F20"/>
        </w:rPr>
        <w:t>niñas</w:t>
      </w:r>
      <w:r>
        <w:rPr>
          <w:color w:val="231F20"/>
          <w:spacing w:val="-5"/>
        </w:rPr>
        <w:t> </w:t>
      </w:r>
      <w:r>
        <w:rPr>
          <w:color w:val="231F20"/>
        </w:rPr>
        <w:t>(32.9</w:t>
      </w:r>
      <w:r>
        <w:rPr>
          <w:color w:val="231F20"/>
          <w:spacing w:val="-5"/>
        </w:rPr>
        <w:t> </w:t>
      </w:r>
      <w:r>
        <w:rPr>
          <w:color w:val="231F20"/>
        </w:rPr>
        <w:t>por</w:t>
      </w:r>
      <w:r>
        <w:rPr>
          <w:color w:val="231F20"/>
          <w:spacing w:val="-5"/>
        </w:rPr>
        <w:t> </w:t>
      </w:r>
      <w:r>
        <w:rPr>
          <w:color w:val="231F20"/>
        </w:rPr>
        <w:t>ciento</w:t>
      </w:r>
      <w:r>
        <w:rPr>
          <w:color w:val="231F20"/>
          <w:spacing w:val="-5"/>
        </w:rPr>
        <w:t> </w:t>
      </w:r>
      <w:r>
        <w:rPr>
          <w:color w:val="231F20"/>
        </w:rPr>
        <w:t>y</w:t>
      </w:r>
      <w:r>
        <w:rPr>
          <w:color w:val="231F20"/>
          <w:spacing w:val="-5"/>
        </w:rPr>
        <w:t> </w:t>
      </w:r>
      <w:r>
        <w:rPr>
          <w:color w:val="231F20"/>
        </w:rPr>
        <w:t>36.4</w:t>
      </w:r>
      <w:r>
        <w:rPr>
          <w:color w:val="231F20"/>
          <w:spacing w:val="-5"/>
        </w:rPr>
        <w:t> </w:t>
      </w:r>
      <w:r>
        <w:rPr>
          <w:color w:val="231F20"/>
        </w:rPr>
        <w:t>por</w:t>
      </w:r>
      <w:r>
        <w:rPr>
          <w:color w:val="231F20"/>
          <w:spacing w:val="-5"/>
        </w:rPr>
        <w:t> </w:t>
      </w:r>
      <w:r>
        <w:rPr>
          <w:color w:val="231F20"/>
        </w:rPr>
        <w:t>ciento respectivamente) el número de niñas que no asiste a la escuela es superior al de los hombres, lo cual puede ser explicado en parte por factores cultu- rales.</w:t>
      </w:r>
    </w:p>
    <w:p>
      <w:pPr>
        <w:pStyle w:val="BodyText"/>
        <w:spacing w:line="247" w:lineRule="auto"/>
        <w:ind w:left="117" w:right="115" w:firstLine="283"/>
        <w:jc w:val="both"/>
      </w:pPr>
      <w:r>
        <w:rPr>
          <w:color w:val="231F20"/>
        </w:rPr>
        <w:t>Al analizar los grados de estudio con los que cuenta ésta población, información presentada en la Gráfica 4, el mayor porcentaje de la fuerza laboral infantil migrante sólo cuenta con tres grados aprobados (37 por ciento),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cuales,</w:t>
      </w:r>
      <w:r>
        <w:rPr>
          <w:color w:val="231F20"/>
          <w:spacing w:val="-4"/>
        </w:rPr>
        <w:t> </w:t>
      </w:r>
      <w:r>
        <w:rPr>
          <w:color w:val="231F20"/>
        </w:rPr>
        <w:t>17.9</w:t>
      </w:r>
      <w:r>
        <w:rPr>
          <w:color w:val="231F20"/>
          <w:spacing w:val="-4"/>
        </w:rPr>
        <w:t> </w:t>
      </w:r>
      <w:r>
        <w:rPr>
          <w:color w:val="231F20"/>
        </w:rPr>
        <w:t>por</w:t>
      </w:r>
      <w:r>
        <w:rPr>
          <w:color w:val="231F20"/>
          <w:spacing w:val="-4"/>
        </w:rPr>
        <w:t> </w:t>
      </w:r>
      <w:r>
        <w:rPr>
          <w:color w:val="231F20"/>
        </w:rPr>
        <w:t>ciento</w:t>
      </w:r>
      <w:r>
        <w:rPr>
          <w:color w:val="231F20"/>
          <w:spacing w:val="-4"/>
        </w:rPr>
        <w:t> </w:t>
      </w:r>
      <w:r>
        <w:rPr>
          <w:color w:val="231F20"/>
        </w:rPr>
        <w:t>son</w:t>
      </w:r>
      <w:r>
        <w:rPr>
          <w:color w:val="231F20"/>
          <w:spacing w:val="-4"/>
        </w:rPr>
        <w:t> </w:t>
      </w:r>
      <w:r>
        <w:rPr>
          <w:color w:val="231F20"/>
        </w:rPr>
        <w:t>niños</w:t>
      </w:r>
      <w:r>
        <w:rPr>
          <w:color w:val="231F20"/>
          <w:spacing w:val="-4"/>
        </w:rPr>
        <w:t> </w:t>
      </w:r>
      <w:r>
        <w:rPr>
          <w:color w:val="231F20"/>
        </w:rPr>
        <w:t>y</w:t>
      </w:r>
      <w:r>
        <w:rPr>
          <w:color w:val="231F20"/>
          <w:spacing w:val="-4"/>
        </w:rPr>
        <w:t> </w:t>
      </w:r>
      <w:r>
        <w:rPr>
          <w:color w:val="231F20"/>
        </w:rPr>
        <w:t>19.1</w:t>
      </w:r>
      <w:r>
        <w:rPr>
          <w:color w:val="231F20"/>
          <w:spacing w:val="-4"/>
        </w:rPr>
        <w:t> </w:t>
      </w:r>
      <w:r>
        <w:rPr>
          <w:color w:val="231F20"/>
        </w:rPr>
        <w:t>por</w:t>
      </w:r>
      <w:r>
        <w:rPr>
          <w:color w:val="231F20"/>
          <w:spacing w:val="-4"/>
        </w:rPr>
        <w:t> </w:t>
      </w:r>
      <w:r>
        <w:rPr>
          <w:color w:val="231F20"/>
        </w:rPr>
        <w:t>ciento</w:t>
      </w:r>
      <w:r>
        <w:rPr>
          <w:color w:val="231F20"/>
          <w:spacing w:val="-4"/>
        </w:rPr>
        <w:t> </w:t>
      </w:r>
      <w:r>
        <w:rPr>
          <w:color w:val="231F20"/>
        </w:rPr>
        <w:t>niñas;</w:t>
      </w:r>
      <w:r>
        <w:rPr>
          <w:color w:val="231F20"/>
          <w:spacing w:val="-4"/>
        </w:rPr>
        <w:t> </w:t>
      </w:r>
      <w:r>
        <w:rPr>
          <w:color w:val="231F20"/>
        </w:rPr>
        <w:t>en menor</w:t>
      </w:r>
      <w:r>
        <w:rPr>
          <w:color w:val="231F20"/>
          <w:spacing w:val="-11"/>
        </w:rPr>
        <w:t> </w:t>
      </w:r>
      <w:r>
        <w:rPr>
          <w:color w:val="231F20"/>
        </w:rPr>
        <w:t>porcentaje</w:t>
      </w:r>
      <w:r>
        <w:rPr>
          <w:color w:val="231F20"/>
          <w:spacing w:val="-10"/>
        </w:rPr>
        <w:t> </w:t>
      </w:r>
      <w:r>
        <w:rPr>
          <w:color w:val="231F20"/>
        </w:rPr>
        <w:t>15.4</w:t>
      </w:r>
      <w:r>
        <w:rPr>
          <w:color w:val="231F20"/>
          <w:spacing w:val="-10"/>
        </w:rPr>
        <w:t> </w:t>
      </w:r>
      <w:r>
        <w:rPr>
          <w:color w:val="231F20"/>
        </w:rPr>
        <w:t>por</w:t>
      </w:r>
      <w:r>
        <w:rPr>
          <w:color w:val="231F20"/>
          <w:spacing w:val="-10"/>
        </w:rPr>
        <w:t> </w:t>
      </w:r>
      <w:r>
        <w:rPr>
          <w:color w:val="231F20"/>
        </w:rPr>
        <w:t>ciento</w:t>
      </w:r>
      <w:r>
        <w:rPr>
          <w:color w:val="231F20"/>
          <w:spacing w:val="-11"/>
        </w:rPr>
        <w:t> </w:t>
      </w:r>
      <w:r>
        <w:rPr>
          <w:color w:val="231F20"/>
        </w:rPr>
        <w:t>cuenta</w:t>
      </w:r>
      <w:r>
        <w:rPr>
          <w:color w:val="231F20"/>
          <w:spacing w:val="-11"/>
        </w:rPr>
        <w:t> </w:t>
      </w:r>
      <w:r>
        <w:rPr>
          <w:color w:val="231F20"/>
        </w:rPr>
        <w:t>con</w:t>
      </w:r>
      <w:r>
        <w:rPr>
          <w:color w:val="231F20"/>
          <w:spacing w:val="-10"/>
        </w:rPr>
        <w:t> </w:t>
      </w:r>
      <w:r>
        <w:rPr>
          <w:color w:val="231F20"/>
        </w:rPr>
        <w:t>dos</w:t>
      </w:r>
      <w:r>
        <w:rPr>
          <w:color w:val="231F20"/>
          <w:spacing w:val="-10"/>
        </w:rPr>
        <w:t> </w:t>
      </w:r>
      <w:r>
        <w:rPr>
          <w:color w:val="231F20"/>
        </w:rPr>
        <w:t>grados</w:t>
      </w:r>
      <w:r>
        <w:rPr>
          <w:color w:val="231F20"/>
          <w:spacing w:val="-10"/>
        </w:rPr>
        <w:t> </w:t>
      </w:r>
      <w:r>
        <w:rPr>
          <w:color w:val="231F20"/>
        </w:rPr>
        <w:t>aprobados</w:t>
      </w:r>
      <w:r>
        <w:rPr>
          <w:color w:val="231F20"/>
          <w:spacing w:val="-11"/>
        </w:rPr>
        <w:t> </w:t>
      </w:r>
      <w:r>
        <w:rPr>
          <w:color w:val="231F20"/>
        </w:rPr>
        <w:t>(7.8</w:t>
      </w:r>
      <w:r>
        <w:rPr>
          <w:color w:val="231F20"/>
          <w:spacing w:val="-10"/>
        </w:rPr>
        <w:t> </w:t>
      </w:r>
      <w:r>
        <w:rPr>
          <w:color w:val="231F20"/>
        </w:rPr>
        <w:t>por ciento niñas y 7.7 por ciento</w:t>
      </w:r>
      <w:r>
        <w:rPr>
          <w:color w:val="231F20"/>
          <w:spacing w:val="-2"/>
        </w:rPr>
        <w:t> </w:t>
      </w:r>
      <w:r>
        <w:rPr>
          <w:color w:val="231F20"/>
        </w:rPr>
        <w:t>niños).</w:t>
      </w:r>
    </w:p>
    <w:p>
      <w:pPr>
        <w:pStyle w:val="BodyText"/>
        <w:spacing w:line="247" w:lineRule="auto"/>
        <w:ind w:left="117" w:right="114" w:firstLine="283"/>
        <w:jc w:val="both"/>
      </w:pPr>
      <w:r>
        <w:rPr>
          <w:color w:val="231F20"/>
        </w:rPr>
        <w:t>En contraste existe 5.8 por ciento de trabajadores infantiles migrantes que no cuentan con ningún grado de estudio, de los cuales 2.4 por ciento son niños y 3.4 por ciento niñas.</w:t>
      </w:r>
    </w:p>
    <w:p>
      <w:pPr>
        <w:pStyle w:val="BodyText"/>
        <w:spacing w:line="247" w:lineRule="auto"/>
        <w:ind w:left="117" w:right="115" w:firstLine="283"/>
        <w:jc w:val="both"/>
      </w:pPr>
      <w:r>
        <w:rPr>
          <w:color w:val="231F20"/>
        </w:rPr>
        <w:t>Otra</w:t>
      </w:r>
      <w:r>
        <w:rPr>
          <w:color w:val="231F20"/>
          <w:spacing w:val="-7"/>
        </w:rPr>
        <w:t> </w:t>
      </w:r>
      <w:r>
        <w:rPr>
          <w:color w:val="231F20"/>
        </w:rPr>
        <w:t>característica</w:t>
      </w:r>
      <w:r>
        <w:rPr>
          <w:color w:val="231F20"/>
          <w:spacing w:val="-8"/>
        </w:rPr>
        <w:t> </w:t>
      </w:r>
      <w:r>
        <w:rPr>
          <w:color w:val="231F20"/>
        </w:rPr>
        <w:t>que</w:t>
      </w:r>
      <w:r>
        <w:rPr>
          <w:color w:val="231F20"/>
          <w:spacing w:val="-7"/>
        </w:rPr>
        <w:t> </w:t>
      </w:r>
      <w:r>
        <w:rPr>
          <w:color w:val="231F20"/>
        </w:rPr>
        <w:t>no</w:t>
      </w:r>
      <w:r>
        <w:rPr>
          <w:color w:val="231F20"/>
          <w:spacing w:val="-7"/>
        </w:rPr>
        <w:t> </w:t>
      </w:r>
      <w:r>
        <w:rPr>
          <w:color w:val="231F20"/>
        </w:rPr>
        <w:t>se</w:t>
      </w:r>
      <w:r>
        <w:rPr>
          <w:color w:val="231F20"/>
          <w:spacing w:val="-7"/>
        </w:rPr>
        <w:t> </w:t>
      </w:r>
      <w:r>
        <w:rPr>
          <w:color w:val="231F20"/>
        </w:rPr>
        <w:t>puede</w:t>
      </w:r>
      <w:r>
        <w:rPr>
          <w:color w:val="231F20"/>
          <w:spacing w:val="-7"/>
        </w:rPr>
        <w:t> </w:t>
      </w:r>
      <w:r>
        <w:rPr>
          <w:color w:val="231F20"/>
        </w:rPr>
        <w:t>dejar</w:t>
      </w:r>
      <w:r>
        <w:rPr>
          <w:color w:val="231F20"/>
          <w:spacing w:val="-7"/>
        </w:rPr>
        <w:t> </w:t>
      </w:r>
      <w:r>
        <w:rPr>
          <w:color w:val="231F20"/>
        </w:rPr>
        <w:t>de</w:t>
      </w:r>
      <w:r>
        <w:rPr>
          <w:color w:val="231F20"/>
          <w:spacing w:val="-7"/>
        </w:rPr>
        <w:t> </w:t>
      </w:r>
      <w:r>
        <w:rPr>
          <w:color w:val="231F20"/>
        </w:rPr>
        <w:t>analizar</w:t>
      </w:r>
      <w:r>
        <w:rPr>
          <w:color w:val="231F20"/>
          <w:spacing w:val="-8"/>
        </w:rPr>
        <w:t> </w:t>
      </w:r>
      <w:r>
        <w:rPr>
          <w:color w:val="231F20"/>
        </w:rPr>
        <w:t>es</w:t>
      </w:r>
      <w:r>
        <w:rPr>
          <w:color w:val="231F20"/>
          <w:spacing w:val="-7"/>
        </w:rPr>
        <w:t> </w:t>
      </w:r>
      <w:r>
        <w:rPr>
          <w:color w:val="231F20"/>
        </w:rPr>
        <w:t>la</w:t>
      </w:r>
      <w:r>
        <w:rPr>
          <w:color w:val="231F20"/>
          <w:spacing w:val="-7"/>
        </w:rPr>
        <w:t> </w:t>
      </w:r>
      <w:r>
        <w:rPr>
          <w:color w:val="231F20"/>
        </w:rPr>
        <w:t>posición</w:t>
      </w:r>
      <w:r>
        <w:rPr>
          <w:color w:val="231F20"/>
          <w:spacing w:val="-7"/>
        </w:rPr>
        <w:t> </w:t>
      </w:r>
      <w:r>
        <w:rPr>
          <w:color w:val="231F20"/>
        </w:rPr>
        <w:t>en</w:t>
      </w:r>
      <w:r>
        <w:rPr>
          <w:color w:val="231F20"/>
          <w:spacing w:val="-7"/>
        </w:rPr>
        <w:t> </w:t>
      </w:r>
      <w:r>
        <w:rPr>
          <w:color w:val="231F20"/>
        </w:rPr>
        <w:t>la ocupación, posición en que se inserta la fuerza laboral infantil cuando in- gresa</w:t>
      </w:r>
      <w:r>
        <w:rPr>
          <w:color w:val="231F20"/>
          <w:spacing w:val="-7"/>
        </w:rPr>
        <w:t> </w:t>
      </w:r>
      <w:r>
        <w:rPr>
          <w:color w:val="231F20"/>
        </w:rPr>
        <w:t>al</w:t>
      </w:r>
      <w:r>
        <w:rPr>
          <w:color w:val="231F20"/>
          <w:spacing w:val="-7"/>
        </w:rPr>
        <w:t> </w:t>
      </w:r>
      <w:r>
        <w:rPr>
          <w:color w:val="231F20"/>
        </w:rPr>
        <w:t>mercado</w:t>
      </w:r>
      <w:r>
        <w:rPr>
          <w:color w:val="231F20"/>
          <w:spacing w:val="-7"/>
        </w:rPr>
        <w:t> </w:t>
      </w:r>
      <w:r>
        <w:rPr>
          <w:color w:val="231F20"/>
        </w:rPr>
        <w:t>laboral,</w:t>
      </w:r>
      <w:r>
        <w:rPr>
          <w:color w:val="231F20"/>
          <w:spacing w:val="-7"/>
        </w:rPr>
        <w:t> </w:t>
      </w:r>
      <w:r>
        <w:rPr>
          <w:color w:val="231F20"/>
        </w:rPr>
        <w:t>la</w:t>
      </w:r>
      <w:r>
        <w:rPr>
          <w:color w:val="231F20"/>
          <w:spacing w:val="-7"/>
        </w:rPr>
        <w:t> </w:t>
      </w:r>
      <w:r>
        <w:rPr>
          <w:color w:val="231F20"/>
        </w:rPr>
        <w:t>Gráfica</w:t>
      </w:r>
      <w:r>
        <w:rPr>
          <w:color w:val="231F20"/>
          <w:spacing w:val="-7"/>
        </w:rPr>
        <w:t> </w:t>
      </w:r>
      <w:r>
        <w:rPr>
          <w:color w:val="231F20"/>
        </w:rPr>
        <w:t>5</w:t>
      </w:r>
      <w:r>
        <w:rPr>
          <w:color w:val="231F20"/>
          <w:spacing w:val="-7"/>
        </w:rPr>
        <w:t> </w:t>
      </w:r>
      <w:r>
        <w:rPr>
          <w:color w:val="231F20"/>
        </w:rPr>
        <w:t>permite</w:t>
      </w:r>
      <w:r>
        <w:rPr>
          <w:color w:val="231F20"/>
          <w:spacing w:val="-7"/>
        </w:rPr>
        <w:t> </w:t>
      </w:r>
      <w:r>
        <w:rPr>
          <w:color w:val="231F20"/>
        </w:rPr>
        <w:t>observar</w:t>
      </w:r>
      <w:r>
        <w:rPr>
          <w:color w:val="231F20"/>
          <w:spacing w:val="-7"/>
        </w:rPr>
        <w:t> </w:t>
      </w:r>
      <w:r>
        <w:rPr>
          <w:color w:val="231F20"/>
        </w:rPr>
        <w:t>que</w:t>
      </w:r>
      <w:r>
        <w:rPr>
          <w:color w:val="231F20"/>
          <w:spacing w:val="-7"/>
        </w:rPr>
        <w:t> </w:t>
      </w:r>
      <w:r>
        <w:rPr>
          <w:color w:val="231F20"/>
        </w:rPr>
        <w:t>64.7</w:t>
      </w:r>
      <w:r>
        <w:rPr>
          <w:color w:val="231F20"/>
          <w:spacing w:val="-7"/>
        </w:rPr>
        <w:t> </w:t>
      </w:r>
      <w:r>
        <w:rPr>
          <w:color w:val="231F20"/>
        </w:rPr>
        <w:t>por</w:t>
      </w:r>
      <w:r>
        <w:rPr>
          <w:color w:val="231F20"/>
          <w:spacing w:val="-7"/>
        </w:rPr>
        <w:t> </w:t>
      </w:r>
      <w:r>
        <w:rPr>
          <w:color w:val="231F20"/>
        </w:rPr>
        <w:t>ciento de</w:t>
      </w:r>
      <w:r>
        <w:rPr>
          <w:color w:val="231F20"/>
          <w:spacing w:val="-7"/>
        </w:rPr>
        <w:t> </w:t>
      </w:r>
      <w:r>
        <w:rPr>
          <w:color w:val="231F20"/>
        </w:rPr>
        <w:t>los</w:t>
      </w:r>
      <w:r>
        <w:rPr>
          <w:color w:val="231F20"/>
          <w:spacing w:val="-7"/>
        </w:rPr>
        <w:t> </w:t>
      </w:r>
      <w:r>
        <w:rPr>
          <w:color w:val="231F20"/>
        </w:rPr>
        <w:t>trabajadores</w:t>
      </w:r>
      <w:r>
        <w:rPr>
          <w:color w:val="231F20"/>
          <w:spacing w:val="-8"/>
        </w:rPr>
        <w:t> </w:t>
      </w:r>
      <w:r>
        <w:rPr>
          <w:color w:val="231F20"/>
        </w:rPr>
        <w:t>infantiles</w:t>
      </w:r>
      <w:r>
        <w:rPr>
          <w:color w:val="231F20"/>
          <w:spacing w:val="-7"/>
        </w:rPr>
        <w:t> </w:t>
      </w:r>
      <w:r>
        <w:rPr>
          <w:color w:val="231F20"/>
        </w:rPr>
        <w:t>migrantes</w:t>
      </w:r>
      <w:r>
        <w:rPr>
          <w:color w:val="231F20"/>
          <w:spacing w:val="-7"/>
        </w:rPr>
        <w:t> </w:t>
      </w:r>
      <w:r>
        <w:rPr>
          <w:color w:val="231F20"/>
        </w:rPr>
        <w:t>se</w:t>
      </w:r>
      <w:r>
        <w:rPr>
          <w:color w:val="231F20"/>
          <w:spacing w:val="-7"/>
        </w:rPr>
        <w:t> </w:t>
      </w:r>
      <w:r>
        <w:rPr>
          <w:color w:val="231F20"/>
        </w:rPr>
        <w:t>ocupa</w:t>
      </w:r>
      <w:r>
        <w:rPr>
          <w:color w:val="231F20"/>
          <w:spacing w:val="-7"/>
        </w:rPr>
        <w:t> </w:t>
      </w:r>
      <w:r>
        <w:rPr>
          <w:color w:val="231F20"/>
        </w:rPr>
        <w:t>como</w:t>
      </w:r>
      <w:r>
        <w:rPr>
          <w:color w:val="231F20"/>
          <w:spacing w:val="-7"/>
        </w:rPr>
        <w:t> </w:t>
      </w:r>
      <w:r>
        <w:rPr>
          <w:color w:val="231F20"/>
        </w:rPr>
        <w:t>empleado,</w:t>
      </w:r>
      <w:r>
        <w:rPr>
          <w:color w:val="231F20"/>
          <w:spacing w:val="-7"/>
        </w:rPr>
        <w:t> </w:t>
      </w:r>
      <w:r>
        <w:rPr>
          <w:color w:val="231F20"/>
        </w:rPr>
        <w:t>del</w:t>
      </w:r>
      <w:r>
        <w:rPr>
          <w:color w:val="231F20"/>
          <w:spacing w:val="-7"/>
        </w:rPr>
        <w:t> </w:t>
      </w:r>
      <w:r>
        <w:rPr>
          <w:color w:val="231F20"/>
        </w:rPr>
        <w:t>cual,</w:t>
      </w:r>
    </w:p>
    <w:p>
      <w:pPr>
        <w:pStyle w:val="BodyText"/>
        <w:spacing w:line="253" w:lineRule="exact"/>
        <w:ind w:left="117" w:right="117"/>
      </w:pPr>
      <w:r>
        <w:rPr>
          <w:color w:val="231F20"/>
        </w:rPr>
        <w:t>36.6 por ciento son niños y 28.1 por ciento niñas.</w:t>
      </w:r>
    </w:p>
    <w:p>
      <w:pPr>
        <w:pStyle w:val="BodyText"/>
        <w:spacing w:line="247" w:lineRule="auto" w:before="7"/>
        <w:ind w:left="117" w:right="115" w:firstLine="283"/>
        <w:jc w:val="both"/>
      </w:pPr>
      <w:r>
        <w:rPr>
          <w:color w:val="231F20"/>
        </w:rPr>
        <w:t>El 13.8 por ciento se posiciona como jornalero o peón (12.9 por ciento niños y 0.9 por ciento mujeres) en una menor proporción, 10.7 por ciento trabaja sin pago en un negocio familiar (10.3 por ciento niños y 0.4 por ciento mujeres); un porcentaje muy reducido de emplea como obrero 7.2 por ciento, de los cuales, 5.2 por ciento son niños y dos por ciento niñas.</w:t>
      </w:r>
    </w:p>
    <w:p>
      <w:pPr>
        <w:pStyle w:val="BodyText"/>
        <w:rPr>
          <w:sz w:val="20"/>
        </w:rPr>
      </w:pPr>
    </w:p>
    <w:p>
      <w:pPr>
        <w:pStyle w:val="BodyText"/>
        <w:rPr>
          <w:sz w:val="10"/>
        </w:rPr>
      </w:pPr>
      <w:r>
        <w:rPr/>
        <w:pict>
          <v:line style="position:absolute;mso-position-horizontal-relative:page;mso-position-vertical-relative:paragraph;z-index:8968;mso-wrap-distance-left:0;mso-wrap-distance-right:0" from="70.866096pt,8.112933pt" to="142.866096pt,8.112933pt" stroked="true" strokeweight=".75pt" strokecolor="#231f20">
            <w10:wrap type="topAndBottom"/>
          </v:line>
        </w:pict>
      </w:r>
    </w:p>
    <w:p>
      <w:pPr>
        <w:spacing w:line="208" w:lineRule="auto" w:before="0"/>
        <w:ind w:left="117" w:right="0" w:firstLine="0"/>
        <w:jc w:val="left"/>
        <w:rPr>
          <w:sz w:val="17"/>
        </w:rPr>
      </w:pPr>
      <w:r>
        <w:rPr>
          <w:color w:val="231F20"/>
          <w:position w:val="6"/>
          <w:sz w:val="10"/>
        </w:rPr>
        <w:t>2</w:t>
      </w:r>
      <w:r>
        <w:rPr>
          <w:color w:val="231F20"/>
          <w:spacing w:val="9"/>
          <w:position w:val="6"/>
          <w:sz w:val="10"/>
        </w:rPr>
        <w:t> </w:t>
      </w:r>
      <w:r>
        <w:rPr>
          <w:color w:val="231F20"/>
          <w:sz w:val="17"/>
        </w:rPr>
        <w:t>La</w:t>
      </w:r>
      <w:r>
        <w:rPr>
          <w:color w:val="231F20"/>
          <w:spacing w:val="-8"/>
          <w:sz w:val="17"/>
        </w:rPr>
        <w:t> </w:t>
      </w:r>
      <w:r>
        <w:rPr>
          <w:color w:val="231F20"/>
          <w:sz w:val="17"/>
        </w:rPr>
        <w:t>información</w:t>
      </w:r>
      <w:r>
        <w:rPr>
          <w:color w:val="231F20"/>
          <w:spacing w:val="-9"/>
          <w:sz w:val="17"/>
        </w:rPr>
        <w:t> </w:t>
      </w:r>
      <w:r>
        <w:rPr>
          <w:color w:val="231F20"/>
          <w:sz w:val="17"/>
        </w:rPr>
        <w:t>sólo</w:t>
      </w:r>
      <w:r>
        <w:rPr>
          <w:color w:val="231F20"/>
          <w:spacing w:val="-8"/>
          <w:sz w:val="17"/>
        </w:rPr>
        <w:t> </w:t>
      </w:r>
      <w:r>
        <w:rPr>
          <w:color w:val="231F20"/>
          <w:sz w:val="17"/>
        </w:rPr>
        <w:t>corresponde</w:t>
      </w:r>
      <w:r>
        <w:rPr>
          <w:color w:val="231F20"/>
          <w:spacing w:val="-9"/>
          <w:sz w:val="17"/>
        </w:rPr>
        <w:t> </w:t>
      </w:r>
      <w:r>
        <w:rPr>
          <w:color w:val="231F20"/>
          <w:sz w:val="17"/>
        </w:rPr>
        <w:t>al</w:t>
      </w:r>
      <w:r>
        <w:rPr>
          <w:color w:val="231F20"/>
          <w:spacing w:val="-9"/>
          <w:sz w:val="17"/>
        </w:rPr>
        <w:t> </w:t>
      </w:r>
      <w:r>
        <w:rPr>
          <w:color w:val="231F20"/>
          <w:sz w:val="17"/>
        </w:rPr>
        <w:t>porcentaje</w:t>
      </w:r>
      <w:r>
        <w:rPr>
          <w:color w:val="231F20"/>
          <w:spacing w:val="-8"/>
          <w:sz w:val="17"/>
        </w:rPr>
        <w:t> </w:t>
      </w:r>
      <w:r>
        <w:rPr>
          <w:color w:val="231F20"/>
          <w:sz w:val="17"/>
        </w:rPr>
        <w:t>de</w:t>
      </w:r>
      <w:r>
        <w:rPr>
          <w:color w:val="231F20"/>
          <w:spacing w:val="-9"/>
          <w:sz w:val="17"/>
        </w:rPr>
        <w:t> </w:t>
      </w:r>
      <w:r>
        <w:rPr>
          <w:color w:val="231F20"/>
          <w:sz w:val="17"/>
        </w:rPr>
        <w:t>trabajadores</w:t>
      </w:r>
      <w:r>
        <w:rPr>
          <w:color w:val="231F20"/>
          <w:spacing w:val="-9"/>
          <w:sz w:val="17"/>
        </w:rPr>
        <w:t> </w:t>
      </w:r>
      <w:r>
        <w:rPr>
          <w:color w:val="231F20"/>
          <w:sz w:val="17"/>
        </w:rPr>
        <w:t>infantiles</w:t>
      </w:r>
      <w:r>
        <w:rPr>
          <w:color w:val="231F20"/>
          <w:spacing w:val="-9"/>
          <w:sz w:val="17"/>
        </w:rPr>
        <w:t> </w:t>
      </w:r>
      <w:r>
        <w:rPr>
          <w:color w:val="231F20"/>
          <w:sz w:val="17"/>
        </w:rPr>
        <w:t>que</w:t>
      </w:r>
      <w:r>
        <w:rPr>
          <w:color w:val="231F20"/>
          <w:spacing w:val="-8"/>
          <w:sz w:val="17"/>
        </w:rPr>
        <w:t> </w:t>
      </w:r>
      <w:r>
        <w:rPr>
          <w:color w:val="231F20"/>
          <w:sz w:val="17"/>
        </w:rPr>
        <w:t>ha</w:t>
      </w:r>
      <w:r>
        <w:rPr>
          <w:color w:val="231F20"/>
          <w:spacing w:val="-9"/>
          <w:sz w:val="17"/>
        </w:rPr>
        <w:t> </w:t>
      </w:r>
      <w:r>
        <w:rPr>
          <w:color w:val="231F20"/>
          <w:sz w:val="17"/>
        </w:rPr>
        <w:t>llegado</w:t>
      </w:r>
      <w:r>
        <w:rPr>
          <w:color w:val="231F20"/>
          <w:spacing w:val="-9"/>
          <w:sz w:val="17"/>
        </w:rPr>
        <w:t> </w:t>
      </w:r>
      <w:r>
        <w:rPr>
          <w:color w:val="231F20"/>
          <w:sz w:val="17"/>
        </w:rPr>
        <w:t>a</w:t>
      </w:r>
      <w:r>
        <w:rPr>
          <w:color w:val="231F20"/>
          <w:spacing w:val="-9"/>
          <w:sz w:val="17"/>
        </w:rPr>
        <w:t> </w:t>
      </w:r>
      <w:r>
        <w:rPr>
          <w:color w:val="231F20"/>
          <w:sz w:val="17"/>
        </w:rPr>
        <w:t>las</w:t>
      </w:r>
      <w:r>
        <w:rPr>
          <w:color w:val="231F20"/>
          <w:spacing w:val="-9"/>
          <w:sz w:val="17"/>
        </w:rPr>
        <w:t> </w:t>
      </w:r>
      <w:r>
        <w:rPr>
          <w:color w:val="231F20"/>
          <w:sz w:val="17"/>
        </w:rPr>
        <w:t>di- versas Entidades Federativas procedente de otros Estados y a al que denominamos</w:t>
      </w:r>
      <w:r>
        <w:rPr>
          <w:color w:val="231F20"/>
          <w:spacing w:val="-12"/>
          <w:sz w:val="17"/>
        </w:rPr>
        <w:t> </w:t>
      </w:r>
      <w:r>
        <w:rPr>
          <w:color w:val="231F20"/>
          <w:sz w:val="17"/>
        </w:rPr>
        <w:t>inmigrantes.</w:t>
      </w:r>
    </w:p>
    <w:p>
      <w:pPr>
        <w:spacing w:after="0" w:line="208" w:lineRule="auto"/>
        <w:jc w:val="left"/>
        <w:rPr>
          <w:sz w:val="17"/>
        </w:rPr>
        <w:sectPr>
          <w:pgSz w:w="9360" w:h="13040"/>
          <w:pgMar w:header="0" w:footer="496" w:top="740" w:bottom="680" w:left="1300" w:right="1300"/>
        </w:sectPr>
      </w:pPr>
    </w:p>
    <w:p>
      <w:pPr>
        <w:tabs>
          <w:tab w:pos="5536" w:val="left" w:leader="none"/>
        </w:tabs>
        <w:spacing w:before="51"/>
        <w:ind w:left="128" w:right="117" w:firstLine="0"/>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9"/>
        <w:rPr>
          <w:sz w:val="19"/>
        </w:rPr>
      </w:pPr>
    </w:p>
    <w:p>
      <w:pPr>
        <w:spacing w:line="249" w:lineRule="auto" w:before="0"/>
        <w:ind w:left="128" w:right="1076" w:firstLine="0"/>
        <w:jc w:val="left"/>
        <w:rPr>
          <w:sz w:val="20"/>
        </w:rPr>
      </w:pPr>
      <w:r>
        <w:rPr>
          <w:color w:val="231F20"/>
          <w:sz w:val="20"/>
        </w:rPr>
        <w:t>Gráfica 2. Distribución porcentual por sexo de la fuerza de trabajo infantil migrante</w:t>
      </w:r>
    </w:p>
    <w:p>
      <w:pPr>
        <w:pStyle w:val="BodyText"/>
        <w:spacing w:before="4"/>
        <w:rPr>
          <w:sz w:val="15"/>
        </w:rPr>
      </w:pPr>
    </w:p>
    <w:p>
      <w:pPr>
        <w:spacing w:after="0"/>
        <w:rPr>
          <w:sz w:val="15"/>
        </w:rPr>
        <w:sectPr>
          <w:pgSz w:w="9360" w:h="13040"/>
          <w:pgMar w:header="0" w:footer="496" w:top="840" w:bottom="680" w:left="1300" w:right="1300"/>
        </w:sectPr>
      </w:pPr>
    </w:p>
    <w:p>
      <w:pPr>
        <w:spacing w:line="249" w:lineRule="auto" w:before="75"/>
        <w:ind w:left="526" w:right="0" w:firstLine="0"/>
        <w:jc w:val="center"/>
        <w:rPr>
          <w:sz w:val="20"/>
        </w:rPr>
      </w:pPr>
      <w:r>
        <w:rPr/>
        <w:pict>
          <v:group style="position:absolute;margin-left:76.765198pt;margin-top:23.78001pt;width:253.05pt;height:131.550pt;mso-position-horizontal-relative:page;mso-position-vertical-relative:paragraph;z-index:-635584" coordorigin="1535,476" coordsize="5061,2631">
            <v:shape style="position:absolute;left:1535;top:476;width:5061;height:2630" type="#_x0000_t75" stroked="false">
              <v:imagedata r:id="rId249" o:title=""/>
            </v:shape>
            <v:line style="position:absolute" from="2454,912" to="2416,774" stroked="true" strokeweight=".68808pt" strokecolor="#000000"/>
            <w10:wrap type="none"/>
          </v:group>
        </w:pict>
      </w:r>
      <w:r>
        <w:rPr/>
        <w:pict>
          <v:line style="position:absolute;mso-position-horizontal-relative:page;mso-position-vertical-relative:paragraph;z-index:9064" from="82.700584pt,6.075096pt" to="82.700584pt,11.057096pt" stroked="true" strokeweight="4.538961pt" strokecolor="#eb24cf">
            <w10:wrap type="none"/>
          </v:line>
        </w:pict>
      </w:r>
      <w:r>
        <w:rPr>
          <w:w w:val="90"/>
          <w:sz w:val="20"/>
        </w:rPr>
        <w:t>Mujeres </w:t>
      </w:r>
      <w:r>
        <w:rPr>
          <w:w w:val="95"/>
          <w:sz w:val="20"/>
        </w:rPr>
        <w:t>7 098</w:t>
      </w:r>
    </w:p>
    <w:p>
      <w:pPr>
        <w:spacing w:before="1"/>
        <w:ind w:left="628" w:right="0" w:firstLine="0"/>
        <w:jc w:val="center"/>
        <w:rPr>
          <w:sz w:val="20"/>
        </w:rPr>
      </w:pPr>
      <w:r>
        <w:rPr>
          <w:sz w:val="20"/>
        </w:rPr>
        <w:t>34% </w:t>
      </w:r>
      <w:r>
        <w:rPr>
          <w:w w:val="91"/>
          <w:sz w:val="20"/>
          <w:u w:val="single"/>
        </w:rPr>
        <w:t> </w:t>
      </w:r>
      <w:r>
        <w:rPr>
          <w:sz w:val="20"/>
          <w:u w:val="single"/>
        </w:rPr>
        <w:t> </w:t>
      </w:r>
    </w:p>
    <w:p>
      <w:pPr>
        <w:spacing w:line="249" w:lineRule="auto" w:before="140"/>
        <w:ind w:left="526" w:right="1575" w:firstLine="0"/>
        <w:jc w:val="center"/>
        <w:rPr>
          <w:sz w:val="20"/>
        </w:rPr>
      </w:pPr>
      <w:r>
        <w:rPr/>
        <w:br w:type="column"/>
      </w:r>
      <w:r>
        <w:rPr>
          <w:w w:val="90"/>
          <w:sz w:val="20"/>
        </w:rPr>
        <w:t>Hombres, </w:t>
      </w:r>
      <w:r>
        <w:rPr>
          <w:w w:val="95"/>
          <w:sz w:val="20"/>
        </w:rPr>
        <w:t>13 855</w:t>
      </w:r>
    </w:p>
    <w:p>
      <w:pPr>
        <w:spacing w:before="1"/>
        <w:ind w:left="526" w:right="1574" w:firstLine="0"/>
        <w:jc w:val="center"/>
        <w:rPr>
          <w:sz w:val="20"/>
        </w:rPr>
      </w:pPr>
      <w:r>
        <w:rPr/>
        <w:pict>
          <v:line style="position:absolute;mso-position-horizontal-relative:page;mso-position-vertical-relative:paragraph;z-index:9040" from="281.516815pt,-21.624868pt" to="281.516815pt,-16.642868pt" stroked="true" strokeweight="4.539872pt" strokecolor="#00afef">
            <w10:wrap type="none"/>
          </v:line>
        </w:pict>
      </w:r>
      <w:r>
        <w:rPr>
          <w:sz w:val="20"/>
        </w:rPr>
        <w:t>66%</w:t>
      </w:r>
    </w:p>
    <w:p>
      <w:pPr>
        <w:spacing w:after="0"/>
        <w:jc w:val="center"/>
        <w:rPr>
          <w:sz w:val="20"/>
        </w:rPr>
        <w:sectPr>
          <w:type w:val="continuous"/>
          <w:pgSz w:w="9360" w:h="13040"/>
          <w:pgMar w:top="0" w:bottom="0" w:left="1300" w:right="1300"/>
          <w:cols w:num="2" w:equalWidth="0">
            <w:col w:w="1124" w:space="2813"/>
            <w:col w:w="2823"/>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p>
    <w:p>
      <w:pPr>
        <w:tabs>
          <w:tab w:pos="3046" w:val="left" w:leader="none"/>
        </w:tabs>
        <w:spacing w:before="0"/>
        <w:ind w:left="2088" w:right="117" w:firstLine="0"/>
        <w:jc w:val="left"/>
        <w:rPr>
          <w:sz w:val="20"/>
        </w:rPr>
      </w:pPr>
      <w:r>
        <w:rPr/>
        <w:pict>
          <v:line style="position:absolute;mso-position-horizontal-relative:page;mso-position-vertical-relative:paragraph;z-index:9088" from="165.344574pt,2.37993pt" to="165.344574pt,7.36193pt" stroked="true" strokeweight="4.539872pt" strokecolor="#00afef">
            <w10:wrap type="none"/>
          </v:line>
        </w:pict>
      </w:r>
      <w:r>
        <w:rPr/>
        <w:pict>
          <v:line style="position:absolute;mso-position-horizontal-relative:page;mso-position-vertical-relative:paragraph;z-index:-635488" from="213.258347pt,2.37993pt" to="213.258347pt,7.36193pt" stroked="true" strokeweight="4.539872pt" strokecolor="#eb24cf">
            <w10:wrap type="none"/>
          </v:line>
        </w:pict>
      </w:r>
      <w:r>
        <w:rPr>
          <w:sz w:val="20"/>
        </w:rPr>
        <w:t>Hombres</w:t>
        <w:tab/>
        <w:t>Mujeres</w:t>
      </w:r>
    </w:p>
    <w:p>
      <w:pPr>
        <w:pStyle w:val="BodyText"/>
        <w:spacing w:before="2"/>
        <w:rPr>
          <w:sz w:val="11"/>
        </w:rPr>
      </w:pPr>
    </w:p>
    <w:p>
      <w:pPr>
        <w:spacing w:line="170" w:lineRule="exact" w:before="101"/>
        <w:ind w:left="117" w:right="108" w:firstLine="0"/>
        <w:jc w:val="left"/>
        <w:rPr>
          <w:sz w:val="17"/>
        </w:rPr>
      </w:pPr>
      <w:r>
        <w:rPr>
          <w:color w:val="231F20"/>
          <w:sz w:val="17"/>
        </w:rPr>
        <w:t>Fuente:</w:t>
      </w:r>
      <w:r>
        <w:rPr>
          <w:color w:val="231F20"/>
          <w:spacing w:val="-8"/>
          <w:sz w:val="17"/>
        </w:rPr>
        <w:t> </w:t>
      </w:r>
      <w:r>
        <w:rPr>
          <w:color w:val="231F20"/>
          <w:sz w:val="17"/>
        </w:rPr>
        <w:t>elaboración</w:t>
      </w:r>
      <w:r>
        <w:rPr>
          <w:color w:val="231F20"/>
          <w:spacing w:val="-8"/>
          <w:sz w:val="17"/>
        </w:rPr>
        <w:t> </w:t>
      </w:r>
      <w:r>
        <w:rPr>
          <w:color w:val="231F20"/>
          <w:sz w:val="17"/>
        </w:rPr>
        <w:t>propia</w:t>
      </w:r>
      <w:r>
        <w:rPr>
          <w:color w:val="231F20"/>
          <w:spacing w:val="-8"/>
          <w:sz w:val="17"/>
        </w:rPr>
        <w:t> </w:t>
      </w:r>
      <w:r>
        <w:rPr>
          <w:color w:val="231F20"/>
          <w:sz w:val="17"/>
        </w:rPr>
        <w:t>con</w:t>
      </w:r>
      <w:r>
        <w:rPr>
          <w:color w:val="231F20"/>
          <w:spacing w:val="-8"/>
          <w:sz w:val="17"/>
        </w:rPr>
        <w:t> </w:t>
      </w:r>
      <w:r>
        <w:rPr>
          <w:color w:val="231F20"/>
          <w:sz w:val="17"/>
        </w:rPr>
        <w:t>datos</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Encuesta</w:t>
      </w:r>
      <w:r>
        <w:rPr>
          <w:color w:val="231F20"/>
          <w:spacing w:val="-8"/>
          <w:sz w:val="17"/>
        </w:rPr>
        <w:t> </w:t>
      </w:r>
      <w:r>
        <w:rPr>
          <w:color w:val="231F20"/>
          <w:sz w:val="17"/>
        </w:rPr>
        <w:t>Nacional</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Dinámica</w:t>
      </w:r>
      <w:r>
        <w:rPr>
          <w:color w:val="231F20"/>
          <w:spacing w:val="-8"/>
          <w:sz w:val="17"/>
        </w:rPr>
        <w:t> </w:t>
      </w:r>
      <w:r>
        <w:rPr>
          <w:color w:val="231F20"/>
          <w:sz w:val="17"/>
        </w:rPr>
        <w:t>Demográfica</w:t>
      </w:r>
      <w:r>
        <w:rPr>
          <w:color w:val="231F20"/>
          <w:spacing w:val="-8"/>
          <w:sz w:val="17"/>
        </w:rPr>
        <w:t> </w:t>
      </w:r>
      <w:r>
        <w:rPr>
          <w:color w:val="231F20"/>
          <w:sz w:val="17"/>
        </w:rPr>
        <w:t>2009, INEGI.</w:t>
      </w:r>
    </w:p>
    <w:p>
      <w:pPr>
        <w:spacing w:line="249" w:lineRule="auto" w:before="140"/>
        <w:ind w:left="117" w:right="117" w:firstLine="0"/>
        <w:jc w:val="left"/>
        <w:rPr>
          <w:sz w:val="20"/>
        </w:rPr>
      </w:pPr>
      <w:r>
        <w:rPr/>
        <w:pict>
          <v:group style="position:absolute;margin-left:70.857277pt;margin-top:34.589359pt;width:325.7pt;height:225.5pt;mso-position-horizontal-relative:page;mso-position-vertical-relative:paragraph;z-index:-635608" coordorigin="1417,692" coordsize="6514,4510">
            <v:line style="position:absolute" from="1952,4535" to="1952,4635" stroked="true" strokeweight="4.898661pt" strokecolor="#bebebe"/>
            <v:line style="position:absolute" from="1952,4865" to="1952,4965" stroked="true" strokeweight="4.898661pt" strokecolor="#7e7e7e"/>
            <v:rect style="position:absolute;left:1425;top:699;width:6499;height:4495" filled="false" stroked="true" strokeweight=".743945pt" strokecolor="#858585"/>
            <w10:wrap type="none"/>
          </v:group>
        </w:pict>
      </w:r>
      <w:r>
        <w:rPr/>
        <w:pict>
          <v:shape style="position:absolute;margin-left:86.219727pt;margin-top:102.350754pt;width:11.75pt;height:49.85pt;mso-position-horizontal-relative:page;mso-position-vertical-relative:paragraph;z-index:-635464" type="#_x0000_t202" filled="false" stroked="false">
            <v:textbox inset="0,0,0,0" style="layout-flow:vertical;mso-layout-flow-alt:bottom-to-top">
              <w:txbxContent>
                <w:p>
                  <w:pPr>
                    <w:spacing w:before="0"/>
                    <w:ind w:left="20" w:right="-762" w:firstLine="0"/>
                    <w:jc w:val="left"/>
                    <w:rPr>
                      <w:rFonts w:ascii="Arial"/>
                      <w:sz w:val="19"/>
                    </w:rPr>
                  </w:pPr>
                  <w:r>
                    <w:rPr>
                      <w:rFonts w:ascii="Arial"/>
                      <w:w w:val="105"/>
                      <w:sz w:val="19"/>
                    </w:rPr>
                    <w:t>Porcentaje</w:t>
                  </w:r>
                </w:p>
              </w:txbxContent>
            </v:textbox>
            <w10:wrap type="none"/>
          </v:shape>
        </w:pict>
      </w:r>
      <w:r>
        <w:rPr>
          <w:color w:val="231F20"/>
          <w:sz w:val="20"/>
        </w:rPr>
        <w:t>Gráfica 3. Distribución porcentual de la fuerza laboral infantil migrante, según asistencia escolar</w:t>
      </w:r>
    </w:p>
    <w:p>
      <w:pPr>
        <w:pStyle w:val="BodyText"/>
        <w:spacing w:before="7"/>
        <w:rPr>
          <w:sz w:val="29"/>
        </w:rPr>
      </w:pPr>
    </w:p>
    <w:tbl>
      <w:tblPr>
        <w:tblW w:w="0" w:type="auto"/>
        <w:jc w:val="left"/>
        <w:tblInd w:w="52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0"/>
        <w:gridCol w:w="615"/>
        <w:gridCol w:w="1301"/>
        <w:gridCol w:w="613"/>
        <w:gridCol w:w="618"/>
        <w:gridCol w:w="1301"/>
        <w:gridCol w:w="613"/>
      </w:tblGrid>
      <w:tr>
        <w:trPr>
          <w:trHeight w:val="216" w:hRule="exact"/>
        </w:trPr>
        <w:tc>
          <w:tcPr>
            <w:tcW w:w="770" w:type="dxa"/>
            <w:tcBorders>
              <w:right w:val="single" w:sz="6" w:space="0" w:color="858585"/>
            </w:tcBorders>
          </w:tcPr>
          <w:p>
            <w:pPr>
              <w:pStyle w:val="TableParagraph"/>
              <w:spacing w:line="122" w:lineRule="exact"/>
              <w:ind w:left="222"/>
              <w:jc w:val="left"/>
              <w:rPr>
                <w:rFonts w:ascii="Arial"/>
                <w:sz w:val="20"/>
              </w:rPr>
            </w:pPr>
            <w:r>
              <w:rPr>
                <w:rFonts w:ascii="Arial"/>
                <w:sz w:val="20"/>
              </w:rPr>
              <w:t>80.0</w:t>
            </w:r>
          </w:p>
        </w:tc>
        <w:tc>
          <w:tcPr>
            <w:tcW w:w="5061" w:type="dxa"/>
            <w:gridSpan w:val="6"/>
            <w:vMerge w:val="restart"/>
            <w:tcBorders>
              <w:left w:val="single" w:sz="6" w:space="0" w:color="858585"/>
            </w:tcBorders>
          </w:tcPr>
          <w:p>
            <w:pPr/>
          </w:p>
        </w:tc>
      </w:tr>
      <w:tr>
        <w:trPr>
          <w:trHeight w:val="210" w:hRule="exact"/>
        </w:trPr>
        <w:tc>
          <w:tcPr>
            <w:tcW w:w="770" w:type="dxa"/>
            <w:vMerge w:val="restart"/>
            <w:tcBorders>
              <w:right w:val="single" w:sz="6" w:space="0" w:color="858585"/>
            </w:tcBorders>
          </w:tcPr>
          <w:p>
            <w:pPr>
              <w:pStyle w:val="TableParagraph"/>
              <w:spacing w:before="72"/>
              <w:ind w:left="222"/>
              <w:jc w:val="left"/>
              <w:rPr>
                <w:rFonts w:ascii="Arial"/>
                <w:sz w:val="20"/>
              </w:rPr>
            </w:pPr>
            <w:r>
              <w:rPr>
                <w:rFonts w:ascii="Arial"/>
                <w:sz w:val="20"/>
              </w:rPr>
              <w:t>70.0</w:t>
            </w:r>
          </w:p>
        </w:tc>
        <w:tc>
          <w:tcPr>
            <w:tcW w:w="5061" w:type="dxa"/>
            <w:gridSpan w:val="6"/>
            <w:vMerge/>
            <w:tcBorders>
              <w:left w:val="single" w:sz="6" w:space="0" w:color="858585"/>
            </w:tcBorders>
          </w:tcPr>
          <w:p>
            <w:pPr/>
          </w:p>
        </w:tc>
      </w:tr>
      <w:tr>
        <w:trPr>
          <w:trHeight w:val="186" w:hRule="exact"/>
        </w:trPr>
        <w:tc>
          <w:tcPr>
            <w:tcW w:w="770" w:type="dxa"/>
            <w:vMerge/>
            <w:tcBorders>
              <w:right w:val="single" w:sz="6" w:space="0" w:color="858585"/>
            </w:tcBorders>
          </w:tcPr>
          <w:p>
            <w:pPr/>
          </w:p>
        </w:tc>
        <w:tc>
          <w:tcPr>
            <w:tcW w:w="3147" w:type="dxa"/>
            <w:gridSpan w:val="4"/>
            <w:vMerge w:val="restart"/>
            <w:tcBorders>
              <w:left w:val="single" w:sz="6" w:space="0" w:color="858585"/>
            </w:tcBorders>
          </w:tcPr>
          <w:p>
            <w:pPr/>
          </w:p>
        </w:tc>
        <w:tc>
          <w:tcPr>
            <w:tcW w:w="1301" w:type="dxa"/>
            <w:vMerge w:val="restart"/>
            <w:shd w:val="clear" w:color="auto" w:fill="BEBEBE"/>
          </w:tcPr>
          <w:p>
            <w:pPr/>
          </w:p>
        </w:tc>
        <w:tc>
          <w:tcPr>
            <w:tcW w:w="613" w:type="dxa"/>
            <w:vMerge w:val="restart"/>
          </w:tcPr>
          <w:p>
            <w:pPr/>
          </w:p>
        </w:tc>
      </w:tr>
      <w:tr>
        <w:trPr>
          <w:trHeight w:val="396" w:hRule="exact"/>
        </w:trPr>
        <w:tc>
          <w:tcPr>
            <w:tcW w:w="770" w:type="dxa"/>
            <w:tcBorders>
              <w:right w:val="single" w:sz="6" w:space="0" w:color="858585"/>
            </w:tcBorders>
          </w:tcPr>
          <w:p>
            <w:pPr>
              <w:pStyle w:val="TableParagraph"/>
              <w:spacing w:before="72"/>
              <w:ind w:left="222"/>
              <w:jc w:val="left"/>
              <w:rPr>
                <w:rFonts w:ascii="Arial"/>
                <w:sz w:val="20"/>
              </w:rPr>
            </w:pPr>
            <w:r>
              <w:rPr>
                <w:rFonts w:ascii="Arial"/>
                <w:sz w:val="20"/>
              </w:rPr>
              <w:t>60.0</w:t>
            </w:r>
          </w:p>
        </w:tc>
        <w:tc>
          <w:tcPr>
            <w:tcW w:w="3147" w:type="dxa"/>
            <w:gridSpan w:val="4"/>
            <w:vMerge/>
            <w:tcBorders>
              <w:left w:val="single" w:sz="6" w:space="0" w:color="858585"/>
            </w:tcBorders>
          </w:tcPr>
          <w:p>
            <w:pPr/>
          </w:p>
        </w:tc>
        <w:tc>
          <w:tcPr>
            <w:tcW w:w="1301" w:type="dxa"/>
            <w:vMerge/>
            <w:shd w:val="clear" w:color="auto" w:fill="BEBEBE"/>
          </w:tcPr>
          <w:p>
            <w:pPr/>
          </w:p>
        </w:tc>
        <w:tc>
          <w:tcPr>
            <w:tcW w:w="613" w:type="dxa"/>
            <w:vMerge/>
          </w:tcPr>
          <w:p>
            <w:pPr/>
          </w:p>
        </w:tc>
      </w:tr>
      <w:tr>
        <w:trPr>
          <w:trHeight w:val="396" w:hRule="exact"/>
        </w:trPr>
        <w:tc>
          <w:tcPr>
            <w:tcW w:w="770" w:type="dxa"/>
            <w:tcBorders>
              <w:right w:val="single" w:sz="6" w:space="0" w:color="858585"/>
            </w:tcBorders>
          </w:tcPr>
          <w:p>
            <w:pPr>
              <w:pStyle w:val="TableParagraph"/>
              <w:spacing w:before="72"/>
              <w:ind w:left="222"/>
              <w:jc w:val="left"/>
              <w:rPr>
                <w:rFonts w:ascii="Arial"/>
                <w:sz w:val="20"/>
              </w:rPr>
            </w:pPr>
            <w:r>
              <w:rPr>
                <w:rFonts w:ascii="Arial"/>
                <w:sz w:val="20"/>
              </w:rPr>
              <w:t>50.0</w:t>
            </w:r>
          </w:p>
        </w:tc>
        <w:tc>
          <w:tcPr>
            <w:tcW w:w="3147" w:type="dxa"/>
            <w:gridSpan w:val="4"/>
            <w:vMerge/>
            <w:tcBorders>
              <w:left w:val="single" w:sz="6" w:space="0" w:color="858585"/>
            </w:tcBorders>
          </w:tcPr>
          <w:p>
            <w:pPr/>
          </w:p>
        </w:tc>
        <w:tc>
          <w:tcPr>
            <w:tcW w:w="1301" w:type="dxa"/>
            <w:vMerge/>
            <w:shd w:val="clear" w:color="auto" w:fill="BEBEBE"/>
          </w:tcPr>
          <w:p>
            <w:pPr/>
          </w:p>
        </w:tc>
        <w:tc>
          <w:tcPr>
            <w:tcW w:w="613" w:type="dxa"/>
            <w:vMerge/>
          </w:tcPr>
          <w:p>
            <w:pPr/>
          </w:p>
        </w:tc>
      </w:tr>
      <w:tr>
        <w:trPr>
          <w:trHeight w:val="504" w:hRule="exact"/>
        </w:trPr>
        <w:tc>
          <w:tcPr>
            <w:tcW w:w="770" w:type="dxa"/>
            <w:tcBorders>
              <w:right w:val="single" w:sz="6" w:space="0" w:color="858585"/>
            </w:tcBorders>
          </w:tcPr>
          <w:p>
            <w:pPr>
              <w:pStyle w:val="TableParagraph"/>
              <w:spacing w:before="72"/>
              <w:ind w:left="222"/>
              <w:jc w:val="left"/>
              <w:rPr>
                <w:rFonts w:ascii="Arial"/>
                <w:sz w:val="20"/>
              </w:rPr>
            </w:pPr>
            <w:r>
              <w:rPr>
                <w:rFonts w:ascii="Arial"/>
                <w:sz w:val="20"/>
              </w:rPr>
              <w:t>40.0</w:t>
            </w:r>
          </w:p>
        </w:tc>
        <w:tc>
          <w:tcPr>
            <w:tcW w:w="3147" w:type="dxa"/>
            <w:gridSpan w:val="4"/>
            <w:vMerge/>
            <w:tcBorders>
              <w:left w:val="single" w:sz="6" w:space="0" w:color="858585"/>
            </w:tcBorders>
          </w:tcPr>
          <w:p>
            <w:pPr/>
          </w:p>
        </w:tc>
        <w:tc>
          <w:tcPr>
            <w:tcW w:w="1301" w:type="dxa"/>
            <w:vMerge/>
            <w:shd w:val="clear" w:color="auto" w:fill="BEBEBE"/>
          </w:tcPr>
          <w:p>
            <w:pPr/>
          </w:p>
        </w:tc>
        <w:tc>
          <w:tcPr>
            <w:tcW w:w="613" w:type="dxa"/>
            <w:vMerge/>
          </w:tcPr>
          <w:p>
            <w:pPr/>
          </w:p>
        </w:tc>
      </w:tr>
      <w:tr>
        <w:trPr>
          <w:trHeight w:val="289" w:hRule="exact"/>
        </w:trPr>
        <w:tc>
          <w:tcPr>
            <w:tcW w:w="770" w:type="dxa"/>
            <w:tcBorders>
              <w:right w:val="single" w:sz="6" w:space="0" w:color="858585"/>
            </w:tcBorders>
          </w:tcPr>
          <w:p>
            <w:pPr>
              <w:pStyle w:val="TableParagraph"/>
              <w:spacing w:line="200" w:lineRule="exact"/>
              <w:ind w:left="222"/>
              <w:jc w:val="left"/>
              <w:rPr>
                <w:rFonts w:ascii="Arial"/>
                <w:sz w:val="20"/>
              </w:rPr>
            </w:pPr>
            <w:r>
              <w:rPr>
                <w:rFonts w:ascii="Arial"/>
                <w:sz w:val="20"/>
              </w:rPr>
              <w:t>30.0</w:t>
            </w:r>
          </w:p>
        </w:tc>
        <w:tc>
          <w:tcPr>
            <w:tcW w:w="615" w:type="dxa"/>
            <w:vMerge w:val="restart"/>
            <w:tcBorders>
              <w:left w:val="single" w:sz="6" w:space="0" w:color="858585"/>
            </w:tcBorders>
          </w:tcPr>
          <w:p>
            <w:pPr/>
          </w:p>
        </w:tc>
        <w:tc>
          <w:tcPr>
            <w:tcW w:w="1301" w:type="dxa"/>
            <w:vMerge w:val="restart"/>
            <w:shd w:val="clear" w:color="auto" w:fill="BEBEBE"/>
          </w:tcPr>
          <w:p>
            <w:pPr/>
          </w:p>
        </w:tc>
        <w:tc>
          <w:tcPr>
            <w:tcW w:w="1231" w:type="dxa"/>
            <w:gridSpan w:val="2"/>
            <w:vMerge w:val="restart"/>
          </w:tcPr>
          <w:p>
            <w:pPr/>
          </w:p>
        </w:tc>
        <w:tc>
          <w:tcPr>
            <w:tcW w:w="1301" w:type="dxa"/>
            <w:vMerge w:val="restart"/>
            <w:shd w:val="clear" w:color="auto" w:fill="7E7E7E"/>
          </w:tcPr>
          <w:p>
            <w:pPr/>
          </w:p>
        </w:tc>
        <w:tc>
          <w:tcPr>
            <w:tcW w:w="613" w:type="dxa"/>
            <w:vMerge/>
          </w:tcPr>
          <w:p>
            <w:pPr/>
          </w:p>
        </w:tc>
      </w:tr>
      <w:tr>
        <w:trPr>
          <w:trHeight w:val="354" w:hRule="exact"/>
        </w:trPr>
        <w:tc>
          <w:tcPr>
            <w:tcW w:w="770" w:type="dxa"/>
            <w:tcBorders>
              <w:right w:val="single" w:sz="6" w:space="0" w:color="858585"/>
            </w:tcBorders>
          </w:tcPr>
          <w:p>
            <w:pPr>
              <w:pStyle w:val="TableParagraph"/>
              <w:spacing w:before="72"/>
              <w:ind w:left="222"/>
              <w:jc w:val="left"/>
              <w:rPr>
                <w:rFonts w:ascii="Arial"/>
                <w:sz w:val="20"/>
              </w:rPr>
            </w:pPr>
            <w:r>
              <w:rPr>
                <w:rFonts w:ascii="Arial"/>
                <w:sz w:val="20"/>
              </w:rPr>
              <w:t>20.0</w:t>
            </w:r>
          </w:p>
        </w:tc>
        <w:tc>
          <w:tcPr>
            <w:tcW w:w="615" w:type="dxa"/>
            <w:vMerge/>
            <w:tcBorders>
              <w:left w:val="single" w:sz="6" w:space="0" w:color="858585"/>
            </w:tcBorders>
          </w:tcPr>
          <w:p>
            <w:pPr/>
          </w:p>
        </w:tc>
        <w:tc>
          <w:tcPr>
            <w:tcW w:w="1301" w:type="dxa"/>
            <w:vMerge/>
            <w:shd w:val="clear" w:color="auto" w:fill="BEBEBE"/>
          </w:tcPr>
          <w:p>
            <w:pPr/>
          </w:p>
        </w:tc>
        <w:tc>
          <w:tcPr>
            <w:tcW w:w="1231" w:type="dxa"/>
            <w:gridSpan w:val="2"/>
            <w:vMerge/>
          </w:tcPr>
          <w:p>
            <w:pPr/>
          </w:p>
        </w:tc>
        <w:tc>
          <w:tcPr>
            <w:tcW w:w="1301" w:type="dxa"/>
            <w:vMerge/>
            <w:shd w:val="clear" w:color="auto" w:fill="7E7E7E"/>
          </w:tcPr>
          <w:p>
            <w:pPr/>
          </w:p>
        </w:tc>
        <w:tc>
          <w:tcPr>
            <w:tcW w:w="613" w:type="dxa"/>
            <w:vMerge/>
          </w:tcPr>
          <w:p>
            <w:pPr/>
          </w:p>
        </w:tc>
      </w:tr>
      <w:tr>
        <w:trPr>
          <w:trHeight w:val="439" w:hRule="exact"/>
        </w:trPr>
        <w:tc>
          <w:tcPr>
            <w:tcW w:w="770" w:type="dxa"/>
            <w:tcBorders>
              <w:right w:val="single" w:sz="6" w:space="0" w:color="858585"/>
            </w:tcBorders>
          </w:tcPr>
          <w:p>
            <w:pPr>
              <w:pStyle w:val="TableParagraph"/>
              <w:spacing w:before="115"/>
              <w:ind w:left="222"/>
              <w:jc w:val="left"/>
              <w:rPr>
                <w:rFonts w:ascii="Arial"/>
                <w:sz w:val="20"/>
              </w:rPr>
            </w:pPr>
            <w:r>
              <w:rPr>
                <w:rFonts w:ascii="Arial"/>
                <w:sz w:val="20"/>
              </w:rPr>
              <w:t>10.0</w:t>
            </w:r>
          </w:p>
        </w:tc>
        <w:tc>
          <w:tcPr>
            <w:tcW w:w="615" w:type="dxa"/>
            <w:vMerge/>
            <w:tcBorders>
              <w:left w:val="single" w:sz="6" w:space="0" w:color="858585"/>
            </w:tcBorders>
          </w:tcPr>
          <w:p>
            <w:pPr/>
          </w:p>
        </w:tc>
        <w:tc>
          <w:tcPr>
            <w:tcW w:w="1301" w:type="dxa"/>
            <w:vMerge w:val="restart"/>
            <w:shd w:val="clear" w:color="auto" w:fill="7E7E7E"/>
          </w:tcPr>
          <w:p>
            <w:pPr/>
          </w:p>
        </w:tc>
        <w:tc>
          <w:tcPr>
            <w:tcW w:w="1231" w:type="dxa"/>
            <w:gridSpan w:val="2"/>
            <w:vMerge/>
          </w:tcPr>
          <w:p>
            <w:pPr/>
          </w:p>
        </w:tc>
        <w:tc>
          <w:tcPr>
            <w:tcW w:w="1301" w:type="dxa"/>
            <w:vMerge/>
            <w:shd w:val="clear" w:color="auto" w:fill="7E7E7E"/>
          </w:tcPr>
          <w:p>
            <w:pPr/>
          </w:p>
        </w:tc>
        <w:tc>
          <w:tcPr>
            <w:tcW w:w="613" w:type="dxa"/>
            <w:vMerge/>
          </w:tcPr>
          <w:p>
            <w:pPr/>
          </w:p>
        </w:tc>
      </w:tr>
      <w:tr>
        <w:trPr>
          <w:trHeight w:val="180" w:hRule="exact"/>
        </w:trPr>
        <w:tc>
          <w:tcPr>
            <w:tcW w:w="770" w:type="dxa"/>
            <w:vMerge w:val="restart"/>
            <w:tcBorders>
              <w:right w:val="single" w:sz="6" w:space="0" w:color="858585"/>
            </w:tcBorders>
          </w:tcPr>
          <w:p>
            <w:pPr>
              <w:pStyle w:val="TableParagraph"/>
              <w:spacing w:before="72"/>
              <w:ind w:left="331"/>
              <w:jc w:val="left"/>
              <w:rPr>
                <w:rFonts w:ascii="Arial"/>
                <w:sz w:val="20"/>
              </w:rPr>
            </w:pPr>
            <w:r>
              <w:rPr>
                <w:rFonts w:ascii="Arial"/>
                <w:sz w:val="20"/>
              </w:rPr>
              <w:t>0.0</w:t>
            </w:r>
          </w:p>
        </w:tc>
        <w:tc>
          <w:tcPr>
            <w:tcW w:w="615" w:type="dxa"/>
            <w:vMerge/>
            <w:tcBorders>
              <w:left w:val="single" w:sz="6" w:space="0" w:color="858585"/>
              <w:bottom w:val="single" w:sz="6" w:space="0" w:color="858585"/>
            </w:tcBorders>
          </w:tcPr>
          <w:p>
            <w:pPr/>
          </w:p>
        </w:tc>
        <w:tc>
          <w:tcPr>
            <w:tcW w:w="1301" w:type="dxa"/>
            <w:vMerge/>
            <w:tcBorders>
              <w:bottom w:val="single" w:sz="6" w:space="0" w:color="858585"/>
            </w:tcBorders>
            <w:shd w:val="clear" w:color="auto" w:fill="7E7E7E"/>
          </w:tcPr>
          <w:p>
            <w:pPr/>
          </w:p>
        </w:tc>
        <w:tc>
          <w:tcPr>
            <w:tcW w:w="1231" w:type="dxa"/>
            <w:gridSpan w:val="2"/>
            <w:vMerge/>
            <w:tcBorders>
              <w:bottom w:val="single" w:sz="6" w:space="0" w:color="858585"/>
            </w:tcBorders>
          </w:tcPr>
          <w:p>
            <w:pPr/>
          </w:p>
        </w:tc>
        <w:tc>
          <w:tcPr>
            <w:tcW w:w="1301" w:type="dxa"/>
            <w:vMerge/>
            <w:tcBorders>
              <w:bottom w:val="single" w:sz="6" w:space="0" w:color="858585"/>
            </w:tcBorders>
            <w:shd w:val="clear" w:color="auto" w:fill="7E7E7E"/>
          </w:tcPr>
          <w:p>
            <w:pPr/>
          </w:p>
        </w:tc>
        <w:tc>
          <w:tcPr>
            <w:tcW w:w="613" w:type="dxa"/>
            <w:vMerge/>
            <w:tcBorders>
              <w:bottom w:val="single" w:sz="6" w:space="0" w:color="858585"/>
            </w:tcBorders>
          </w:tcPr>
          <w:p>
            <w:pPr/>
          </w:p>
        </w:tc>
      </w:tr>
      <w:tr>
        <w:trPr>
          <w:trHeight w:val="303" w:hRule="exact"/>
        </w:trPr>
        <w:tc>
          <w:tcPr>
            <w:tcW w:w="770" w:type="dxa"/>
            <w:vMerge/>
            <w:tcBorders>
              <w:bottom w:val="single" w:sz="6" w:space="0" w:color="858585"/>
              <w:right w:val="single" w:sz="6" w:space="0" w:color="858585"/>
            </w:tcBorders>
          </w:tcPr>
          <w:p>
            <w:pPr/>
          </w:p>
        </w:tc>
        <w:tc>
          <w:tcPr>
            <w:tcW w:w="2529" w:type="dxa"/>
            <w:gridSpan w:val="3"/>
            <w:tcBorders>
              <w:top w:val="single" w:sz="6" w:space="0" w:color="858585"/>
              <w:left w:val="single" w:sz="6" w:space="0" w:color="858585"/>
              <w:bottom w:val="single" w:sz="6" w:space="0" w:color="858585"/>
              <w:right w:val="single" w:sz="6" w:space="0" w:color="858585"/>
            </w:tcBorders>
          </w:tcPr>
          <w:p>
            <w:pPr>
              <w:pStyle w:val="TableParagraph"/>
              <w:spacing w:before="36"/>
              <w:ind w:left="859" w:right="858"/>
              <w:jc w:val="center"/>
              <w:rPr>
                <w:rFonts w:ascii="Arial"/>
                <w:sz w:val="20"/>
              </w:rPr>
            </w:pPr>
            <w:r>
              <w:rPr>
                <w:rFonts w:ascii="Arial"/>
                <w:sz w:val="20"/>
              </w:rPr>
              <w:t>Si asiste</w:t>
            </w:r>
          </w:p>
        </w:tc>
        <w:tc>
          <w:tcPr>
            <w:tcW w:w="2532" w:type="dxa"/>
            <w:gridSpan w:val="3"/>
            <w:tcBorders>
              <w:top w:val="single" w:sz="6" w:space="0" w:color="858585"/>
              <w:left w:val="single" w:sz="6" w:space="0" w:color="858585"/>
              <w:bottom w:val="single" w:sz="6" w:space="0" w:color="858585"/>
              <w:right w:val="single" w:sz="6" w:space="0" w:color="858585"/>
            </w:tcBorders>
          </w:tcPr>
          <w:p>
            <w:pPr>
              <w:pStyle w:val="TableParagraph"/>
              <w:spacing w:before="36"/>
              <w:ind w:left="823" w:right="820"/>
              <w:jc w:val="center"/>
              <w:rPr>
                <w:rFonts w:ascii="Arial"/>
                <w:sz w:val="20"/>
              </w:rPr>
            </w:pPr>
            <w:r>
              <w:rPr>
                <w:rFonts w:ascii="Arial"/>
                <w:sz w:val="20"/>
              </w:rPr>
              <w:t>No asiste</w:t>
            </w:r>
          </w:p>
        </w:tc>
      </w:tr>
      <w:tr>
        <w:trPr>
          <w:trHeight w:val="331" w:hRule="exact"/>
        </w:trPr>
        <w:tc>
          <w:tcPr>
            <w:tcW w:w="770" w:type="dxa"/>
            <w:tcBorders>
              <w:top w:val="single" w:sz="6" w:space="0" w:color="858585"/>
              <w:left w:val="single" w:sz="6" w:space="0" w:color="858585"/>
              <w:bottom w:val="single" w:sz="6" w:space="0" w:color="858585"/>
              <w:right w:val="single" w:sz="6" w:space="0" w:color="858585"/>
            </w:tcBorders>
          </w:tcPr>
          <w:p>
            <w:pPr>
              <w:pStyle w:val="TableParagraph"/>
              <w:spacing w:before="44"/>
              <w:ind w:left="196"/>
              <w:jc w:val="left"/>
              <w:rPr>
                <w:rFonts w:ascii="Arial" w:hAnsi="Arial"/>
                <w:sz w:val="20"/>
              </w:rPr>
            </w:pPr>
            <w:r>
              <w:rPr>
                <w:rFonts w:ascii="Arial" w:hAnsi="Arial"/>
                <w:sz w:val="20"/>
              </w:rPr>
              <w:t>Niñas</w:t>
            </w:r>
          </w:p>
        </w:tc>
        <w:tc>
          <w:tcPr>
            <w:tcW w:w="2529" w:type="dxa"/>
            <w:gridSpan w:val="3"/>
            <w:tcBorders>
              <w:top w:val="single" w:sz="6" w:space="0" w:color="858585"/>
              <w:left w:val="single" w:sz="6" w:space="0" w:color="858585"/>
              <w:bottom w:val="single" w:sz="6" w:space="0" w:color="858585"/>
              <w:right w:val="single" w:sz="6" w:space="0" w:color="858585"/>
            </w:tcBorders>
          </w:tcPr>
          <w:p>
            <w:pPr>
              <w:pStyle w:val="TableParagraph"/>
              <w:spacing w:before="50"/>
              <w:ind w:left="859" w:right="858"/>
              <w:jc w:val="center"/>
              <w:rPr>
                <w:rFonts w:ascii="Arial"/>
                <w:sz w:val="20"/>
              </w:rPr>
            </w:pPr>
            <w:r>
              <w:rPr>
                <w:rFonts w:ascii="Arial"/>
                <w:sz w:val="20"/>
              </w:rPr>
              <w:t>15.1</w:t>
            </w:r>
          </w:p>
        </w:tc>
        <w:tc>
          <w:tcPr>
            <w:tcW w:w="2532" w:type="dxa"/>
            <w:gridSpan w:val="3"/>
            <w:tcBorders>
              <w:top w:val="single" w:sz="6" w:space="0" w:color="858585"/>
              <w:left w:val="single" w:sz="6" w:space="0" w:color="858585"/>
              <w:bottom w:val="single" w:sz="6" w:space="0" w:color="858585"/>
              <w:right w:val="single" w:sz="6" w:space="0" w:color="858585"/>
            </w:tcBorders>
          </w:tcPr>
          <w:p>
            <w:pPr>
              <w:pStyle w:val="TableParagraph"/>
              <w:spacing w:before="50"/>
              <w:ind w:left="818" w:right="820"/>
              <w:jc w:val="center"/>
              <w:rPr>
                <w:rFonts w:ascii="Arial"/>
                <w:sz w:val="20"/>
              </w:rPr>
            </w:pPr>
            <w:r>
              <w:rPr>
                <w:rFonts w:ascii="Arial"/>
                <w:sz w:val="20"/>
              </w:rPr>
              <w:t>36.4</w:t>
            </w:r>
          </w:p>
        </w:tc>
      </w:tr>
      <w:tr>
        <w:trPr>
          <w:trHeight w:val="329" w:hRule="exact"/>
        </w:trPr>
        <w:tc>
          <w:tcPr>
            <w:tcW w:w="770" w:type="dxa"/>
            <w:tcBorders>
              <w:top w:val="single" w:sz="6" w:space="0" w:color="858585"/>
              <w:left w:val="single" w:sz="6" w:space="0" w:color="858585"/>
              <w:bottom w:val="single" w:sz="6" w:space="0" w:color="858585"/>
              <w:right w:val="single" w:sz="6" w:space="0" w:color="858585"/>
            </w:tcBorders>
          </w:tcPr>
          <w:p>
            <w:pPr>
              <w:pStyle w:val="TableParagraph"/>
              <w:spacing w:before="43"/>
              <w:ind w:left="196"/>
              <w:jc w:val="left"/>
              <w:rPr>
                <w:rFonts w:ascii="Arial" w:hAnsi="Arial"/>
                <w:sz w:val="20"/>
              </w:rPr>
            </w:pPr>
            <w:r>
              <w:rPr>
                <w:rFonts w:ascii="Arial" w:hAnsi="Arial"/>
                <w:sz w:val="20"/>
              </w:rPr>
              <w:t>Niños</w:t>
            </w:r>
          </w:p>
        </w:tc>
        <w:tc>
          <w:tcPr>
            <w:tcW w:w="2529" w:type="dxa"/>
            <w:gridSpan w:val="3"/>
            <w:tcBorders>
              <w:top w:val="single" w:sz="6" w:space="0" w:color="858585"/>
              <w:left w:val="single" w:sz="6" w:space="0" w:color="858585"/>
              <w:bottom w:val="single" w:sz="6" w:space="0" w:color="858585"/>
              <w:right w:val="single" w:sz="6" w:space="0" w:color="858585"/>
            </w:tcBorders>
          </w:tcPr>
          <w:p>
            <w:pPr>
              <w:pStyle w:val="TableParagraph"/>
              <w:spacing w:before="49"/>
              <w:ind w:left="859" w:right="858"/>
              <w:jc w:val="center"/>
              <w:rPr>
                <w:rFonts w:ascii="Arial"/>
                <w:sz w:val="20"/>
              </w:rPr>
            </w:pPr>
            <w:r>
              <w:rPr>
                <w:rFonts w:ascii="Arial"/>
                <w:sz w:val="20"/>
              </w:rPr>
              <w:t>15.6</w:t>
            </w:r>
          </w:p>
        </w:tc>
        <w:tc>
          <w:tcPr>
            <w:tcW w:w="2532" w:type="dxa"/>
            <w:gridSpan w:val="3"/>
            <w:tcBorders>
              <w:top w:val="single" w:sz="6" w:space="0" w:color="858585"/>
              <w:left w:val="single" w:sz="6" w:space="0" w:color="858585"/>
              <w:bottom w:val="single" w:sz="6" w:space="0" w:color="858585"/>
              <w:right w:val="single" w:sz="6" w:space="0" w:color="858585"/>
            </w:tcBorders>
          </w:tcPr>
          <w:p>
            <w:pPr>
              <w:pStyle w:val="TableParagraph"/>
              <w:spacing w:before="49"/>
              <w:ind w:left="823" w:right="819"/>
              <w:jc w:val="center"/>
              <w:rPr>
                <w:rFonts w:ascii="Arial"/>
                <w:sz w:val="20"/>
              </w:rPr>
            </w:pPr>
            <w:r>
              <w:rPr>
                <w:rFonts w:ascii="Arial"/>
                <w:sz w:val="20"/>
              </w:rPr>
              <w:t>32.9</w:t>
            </w:r>
          </w:p>
        </w:tc>
      </w:tr>
    </w:tbl>
    <w:p>
      <w:pPr>
        <w:spacing w:line="170" w:lineRule="exact" w:before="118"/>
        <w:ind w:left="117" w:right="108" w:firstLine="0"/>
        <w:jc w:val="left"/>
        <w:rPr>
          <w:sz w:val="17"/>
        </w:rPr>
      </w:pPr>
      <w:r>
        <w:rPr>
          <w:color w:val="231F20"/>
          <w:sz w:val="17"/>
        </w:rPr>
        <w:t>Fuente:</w:t>
      </w:r>
      <w:r>
        <w:rPr>
          <w:color w:val="231F20"/>
          <w:spacing w:val="-8"/>
          <w:sz w:val="17"/>
        </w:rPr>
        <w:t> </w:t>
      </w:r>
      <w:r>
        <w:rPr>
          <w:color w:val="231F20"/>
          <w:sz w:val="17"/>
        </w:rPr>
        <w:t>elaboración</w:t>
      </w:r>
      <w:r>
        <w:rPr>
          <w:color w:val="231F20"/>
          <w:spacing w:val="-8"/>
          <w:sz w:val="17"/>
        </w:rPr>
        <w:t> </w:t>
      </w:r>
      <w:r>
        <w:rPr>
          <w:color w:val="231F20"/>
          <w:sz w:val="17"/>
        </w:rPr>
        <w:t>propia</w:t>
      </w:r>
      <w:r>
        <w:rPr>
          <w:color w:val="231F20"/>
          <w:spacing w:val="-8"/>
          <w:sz w:val="17"/>
        </w:rPr>
        <w:t> </w:t>
      </w:r>
      <w:r>
        <w:rPr>
          <w:color w:val="231F20"/>
          <w:sz w:val="17"/>
        </w:rPr>
        <w:t>con</w:t>
      </w:r>
      <w:r>
        <w:rPr>
          <w:color w:val="231F20"/>
          <w:spacing w:val="-8"/>
          <w:sz w:val="17"/>
        </w:rPr>
        <w:t> </w:t>
      </w:r>
      <w:r>
        <w:rPr>
          <w:color w:val="231F20"/>
          <w:sz w:val="17"/>
        </w:rPr>
        <w:t>datos</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Encuesta</w:t>
      </w:r>
      <w:r>
        <w:rPr>
          <w:color w:val="231F20"/>
          <w:spacing w:val="-8"/>
          <w:sz w:val="17"/>
        </w:rPr>
        <w:t> </w:t>
      </w:r>
      <w:r>
        <w:rPr>
          <w:color w:val="231F20"/>
          <w:sz w:val="17"/>
        </w:rPr>
        <w:t>Nacional</w:t>
      </w:r>
      <w:r>
        <w:rPr>
          <w:color w:val="231F20"/>
          <w:spacing w:val="-8"/>
          <w:sz w:val="17"/>
        </w:rPr>
        <w:t> </w:t>
      </w:r>
      <w:r>
        <w:rPr>
          <w:color w:val="231F20"/>
          <w:sz w:val="17"/>
        </w:rPr>
        <w:t>de</w:t>
      </w:r>
      <w:r>
        <w:rPr>
          <w:color w:val="231F20"/>
          <w:spacing w:val="-8"/>
          <w:sz w:val="17"/>
        </w:rPr>
        <w:t> </w:t>
      </w:r>
      <w:r>
        <w:rPr>
          <w:color w:val="231F20"/>
          <w:sz w:val="17"/>
        </w:rPr>
        <w:t>la</w:t>
      </w:r>
      <w:r>
        <w:rPr>
          <w:color w:val="231F20"/>
          <w:spacing w:val="-8"/>
          <w:sz w:val="17"/>
        </w:rPr>
        <w:t> </w:t>
      </w:r>
      <w:r>
        <w:rPr>
          <w:color w:val="231F20"/>
          <w:sz w:val="17"/>
        </w:rPr>
        <w:t>Dinámica</w:t>
      </w:r>
      <w:r>
        <w:rPr>
          <w:color w:val="231F20"/>
          <w:spacing w:val="-8"/>
          <w:sz w:val="17"/>
        </w:rPr>
        <w:t> </w:t>
      </w:r>
      <w:r>
        <w:rPr>
          <w:color w:val="231F20"/>
          <w:sz w:val="17"/>
        </w:rPr>
        <w:t>Demográfica</w:t>
      </w:r>
      <w:r>
        <w:rPr>
          <w:color w:val="231F20"/>
          <w:spacing w:val="-8"/>
          <w:sz w:val="17"/>
        </w:rPr>
        <w:t> </w:t>
      </w:r>
      <w:r>
        <w:rPr>
          <w:color w:val="231F20"/>
          <w:sz w:val="17"/>
        </w:rPr>
        <w:t>2009, INEGI.</w:t>
      </w:r>
    </w:p>
    <w:p>
      <w:pPr>
        <w:spacing w:after="0" w:line="170" w:lineRule="exact"/>
        <w:jc w:val="left"/>
        <w:rPr>
          <w:sz w:val="17"/>
        </w:rPr>
        <w:sectPr>
          <w:type w:val="continuous"/>
          <w:pgSz w:w="9360" w:h="13040"/>
          <w:pgMar w:top="0" w:bottom="0" w:left="1300" w:right="1300"/>
        </w:sectPr>
      </w:pPr>
    </w:p>
    <w:p>
      <w:pPr>
        <w:pStyle w:val="BodyText"/>
        <w:rPr>
          <w:sz w:val="20"/>
        </w:rPr>
      </w:pPr>
      <w:r>
        <w:rPr/>
        <w:pict>
          <v:shape style="position:absolute;margin-left:598.624939pt;margin-top:112.195602pt;width:12pt;height:285.650pt;mso-position-horizontal-relative:page;mso-position-vertical-relative:page;z-index:9208" type="#_x0000_t202" filled="false" stroked="false">
            <v:textbox inset="0,0,0,0" style="layout-flow:vertical">
              <w:txbxContent>
                <w:p>
                  <w:pPr>
                    <w:spacing w:line="208" w:lineRule="exact" w:before="0"/>
                    <w:ind w:left="20" w:right="0" w:firstLine="0"/>
                    <w:jc w:val="left"/>
                    <w:rPr>
                      <w:rFonts w:ascii="Arial" w:hAnsi="Arial"/>
                      <w:sz w:val="20"/>
                    </w:rPr>
                  </w:pPr>
                  <w:r>
                    <w:rPr>
                      <w:rFonts w:ascii="Arial" w:hAnsi="Arial"/>
                      <w:color w:val="231F20"/>
                      <w:spacing w:val="-1"/>
                      <w:w w:val="72"/>
                      <w:sz w:val="20"/>
                    </w:rPr>
                    <w:t>U</w:t>
                  </w:r>
                  <w:r>
                    <w:rPr>
                      <w:rFonts w:ascii="Arial" w:hAnsi="Arial"/>
                      <w:color w:val="231F20"/>
                      <w:w w:val="72"/>
                      <w:sz w:val="20"/>
                    </w:rPr>
                    <w:t>n</w:t>
                  </w:r>
                  <w:r>
                    <w:rPr>
                      <w:rFonts w:ascii="Arial" w:hAnsi="Arial"/>
                      <w:color w:val="231F20"/>
                      <w:spacing w:val="-1"/>
                      <w:sz w:val="20"/>
                    </w:rPr>
                    <w:t> </w:t>
                  </w:r>
                  <w:r>
                    <w:rPr>
                      <w:rFonts w:ascii="Arial" w:hAnsi="Arial"/>
                      <w:color w:val="231F20"/>
                      <w:spacing w:val="-1"/>
                      <w:w w:val="74"/>
                      <w:sz w:val="20"/>
                    </w:rPr>
                    <w:t>acto</w:t>
                  </w:r>
                  <w:r>
                    <w:rPr>
                      <w:rFonts w:ascii="Arial" w:hAnsi="Arial"/>
                      <w:color w:val="231F20"/>
                      <w:w w:val="74"/>
                      <w:sz w:val="20"/>
                    </w:rPr>
                    <w:t>r</w:t>
                  </w:r>
                  <w:r>
                    <w:rPr>
                      <w:rFonts w:ascii="Arial" w:hAnsi="Arial"/>
                      <w:color w:val="231F20"/>
                      <w:spacing w:val="-1"/>
                      <w:sz w:val="20"/>
                    </w:rPr>
                    <w:t> </w:t>
                  </w:r>
                  <w:r>
                    <w:rPr>
                      <w:rFonts w:ascii="Arial" w:hAnsi="Arial"/>
                      <w:color w:val="231F20"/>
                      <w:w w:val="65"/>
                      <w:sz w:val="20"/>
                    </w:rPr>
                    <w:t>más</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w w:val="69"/>
                      <w:sz w:val="20"/>
                    </w:rPr>
                    <w:t>procesos</w:t>
                  </w:r>
                  <w:r>
                    <w:rPr>
                      <w:rFonts w:ascii="Arial" w:hAnsi="Arial"/>
                      <w:color w:val="231F20"/>
                      <w:spacing w:val="-1"/>
                      <w:sz w:val="20"/>
                    </w:rPr>
                    <w:t> </w:t>
                  </w:r>
                  <w:r>
                    <w:rPr>
                      <w:rFonts w:ascii="Arial" w:hAnsi="Arial"/>
                      <w:color w:val="231F20"/>
                      <w:w w:val="80"/>
                      <w:sz w:val="20"/>
                    </w:rPr>
                    <w:t>migratorios:...</w:t>
                  </w:r>
                  <w:r>
                    <w:rPr>
                      <w:rFonts w:ascii="Arial" w:hAnsi="Arial"/>
                      <w:color w:val="231F20"/>
                      <w:spacing w:val="-1"/>
                      <w:sz w:val="20"/>
                    </w:rPr>
                    <w:t> </w:t>
                  </w:r>
                  <w:r>
                    <w:rPr>
                      <w:rFonts w:ascii="Arial" w:hAnsi="Arial"/>
                      <w:color w:val="231F20"/>
                      <w:w w:val="99"/>
                      <w:sz w:val="20"/>
                    </w:rPr>
                    <w:t>/</w:t>
                  </w:r>
                  <w:r>
                    <w:rPr>
                      <w:rFonts w:ascii="Arial" w:hAnsi="Arial"/>
                      <w:color w:val="231F20"/>
                      <w:spacing w:val="-1"/>
                      <w:w w:val="55"/>
                      <w:sz w:val="20"/>
                    </w:rPr>
                    <w:t>Silvi</w:t>
                  </w:r>
                  <w:r>
                    <w:rPr>
                      <w:rFonts w:ascii="Arial" w:hAnsi="Arial"/>
                      <w:color w:val="231F20"/>
                      <w:w w:val="55"/>
                      <w:sz w:val="20"/>
                    </w:rPr>
                    <w:t>a</w:t>
                  </w:r>
                  <w:r>
                    <w:rPr>
                      <w:rFonts w:ascii="Arial" w:hAnsi="Arial"/>
                      <w:color w:val="231F20"/>
                      <w:spacing w:val="-17"/>
                      <w:sz w:val="20"/>
                    </w:rPr>
                    <w:t> </w:t>
                  </w:r>
                  <w:r>
                    <w:rPr>
                      <w:rFonts w:ascii="Arial" w:hAnsi="Arial"/>
                      <w:color w:val="231F20"/>
                      <w:w w:val="55"/>
                      <w:sz w:val="20"/>
                    </w:rPr>
                    <w:t>L.</w:t>
                  </w:r>
                  <w:r>
                    <w:rPr>
                      <w:rFonts w:ascii="Arial" w:hAnsi="Arial"/>
                      <w:color w:val="231F20"/>
                      <w:spacing w:val="-17"/>
                      <w:sz w:val="20"/>
                    </w:rPr>
                    <w:t> </w:t>
                  </w:r>
                  <w:r>
                    <w:rPr>
                      <w:rFonts w:ascii="Arial" w:hAnsi="Arial"/>
                      <w:color w:val="231F20"/>
                      <w:w w:val="55"/>
                      <w:sz w:val="20"/>
                    </w:rPr>
                    <w:t>Aguila</w:t>
                  </w:r>
                  <w:r>
                    <w:rPr>
                      <w:rFonts w:ascii="Arial" w:hAnsi="Arial"/>
                      <w:color w:val="231F20"/>
                      <w:spacing w:val="-6"/>
                      <w:w w:val="55"/>
                      <w:sz w:val="20"/>
                    </w:rPr>
                    <w:t>r</w:t>
                  </w:r>
                  <w:r>
                    <w:rPr>
                      <w:rFonts w:ascii="Arial" w:hAnsi="Arial"/>
                      <w:color w:val="231F20"/>
                      <w:w w:val="55"/>
                      <w:sz w:val="20"/>
                    </w:rPr>
                    <w:t>-</w:t>
                  </w:r>
                  <w:r>
                    <w:rPr>
                      <w:rFonts w:ascii="Arial" w:hAnsi="Arial"/>
                      <w:color w:val="231F20"/>
                      <w:spacing w:val="-6"/>
                      <w:w w:val="55"/>
                      <w:sz w:val="20"/>
                    </w:rPr>
                    <w:t>V</w:t>
                  </w:r>
                  <w:r>
                    <w:rPr>
                      <w:rFonts w:ascii="Arial" w:hAnsi="Arial"/>
                      <w:color w:val="231F20"/>
                      <w:w w:val="48"/>
                      <w:sz w:val="20"/>
                    </w:rPr>
                    <w:t>elázquez</w:t>
                  </w:r>
                  <w:r>
                    <w:rPr>
                      <w:rFonts w:ascii="Arial" w:hAnsi="Arial"/>
                      <w:color w:val="231F20"/>
                      <w:spacing w:val="-17"/>
                      <w:sz w:val="20"/>
                    </w:rPr>
                    <w:t> </w:t>
                  </w:r>
                  <w:r>
                    <w:rPr>
                      <w:rFonts w:ascii="Arial" w:hAnsi="Arial"/>
                      <w:color w:val="231F20"/>
                      <w:w w:val="46"/>
                      <w:sz w:val="20"/>
                    </w:rPr>
                    <w:t>y</w:t>
                  </w:r>
                  <w:r>
                    <w:rPr>
                      <w:rFonts w:ascii="Arial" w:hAnsi="Arial"/>
                      <w:color w:val="231F20"/>
                      <w:spacing w:val="-17"/>
                      <w:sz w:val="20"/>
                    </w:rPr>
                    <w:t> </w:t>
                  </w:r>
                  <w:r>
                    <w:rPr>
                      <w:rFonts w:ascii="Arial" w:hAnsi="Arial"/>
                      <w:color w:val="231F20"/>
                      <w:spacing w:val="-1"/>
                      <w:w w:val="53"/>
                      <w:sz w:val="20"/>
                    </w:rPr>
                    <w:t>Belind</w:t>
                  </w:r>
                  <w:r>
                    <w:rPr>
                      <w:rFonts w:ascii="Arial" w:hAnsi="Arial"/>
                      <w:color w:val="231F20"/>
                      <w:w w:val="53"/>
                      <w:sz w:val="20"/>
                    </w:rPr>
                    <w:t>a</w:t>
                  </w:r>
                  <w:r>
                    <w:rPr>
                      <w:rFonts w:ascii="Arial" w:hAnsi="Arial"/>
                      <w:color w:val="231F20"/>
                      <w:spacing w:val="-17"/>
                      <w:sz w:val="20"/>
                    </w:rPr>
                    <w:t> </w:t>
                  </w:r>
                  <w:r>
                    <w:rPr>
                      <w:rFonts w:ascii="Arial" w:hAnsi="Arial"/>
                      <w:color w:val="231F20"/>
                      <w:w w:val="48"/>
                      <w:sz w:val="20"/>
                    </w:rPr>
                    <w:t>Ordóñez-Vázquez</w:t>
                  </w:r>
                </w:p>
              </w:txbxContent>
            </v:textbox>
            <w10:wrap type="none"/>
          </v:shape>
        </w:pict>
      </w:r>
      <w:r>
        <w:rPr/>
        <w:pict>
          <v:shape style="position:absolute;margin-left:23.820354pt;margin-top:222.936996pt;width:12pt;height:21.25pt;mso-position-horizontal-relative:page;mso-position-vertical-relative:page;z-index:9232" type="#_x0000_t202" filled="false" stroked="false">
            <v:textbox inset="0,0,0,0" style="layout-flow:vertical">
              <w:txbxContent>
                <w:p>
                  <w:pPr>
                    <w:spacing w:line="214" w:lineRule="exact" w:before="0"/>
                    <w:ind w:left="20" w:right="-182" w:firstLine="0"/>
                    <w:jc w:val="left"/>
                    <w:rPr>
                      <w:rFonts w:ascii="Verdana"/>
                      <w:sz w:val="20"/>
                    </w:rPr>
                  </w:pPr>
                  <w:r>
                    <w:rPr>
                      <w:rFonts w:ascii="Verdana"/>
                      <w:color w:val="231F20"/>
                      <w:spacing w:val="-1"/>
                      <w:w w:val="100"/>
                      <w:sz w:val="20"/>
                    </w:rPr>
                    <w:t>369</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spacing w:before="0"/>
        <w:ind w:left="241" w:right="0" w:firstLine="0"/>
        <w:jc w:val="left"/>
        <w:rPr>
          <w:sz w:val="20"/>
        </w:rPr>
      </w:pPr>
      <w:r>
        <w:rPr>
          <w:color w:val="231F20"/>
          <w:sz w:val="20"/>
        </w:rPr>
        <w:t>Gráfica 4. Distribución porcentual de la fuerza de trabajo infantil migrante, según grados educativos aprobados</w:t>
      </w:r>
    </w:p>
    <w:p>
      <w:pPr>
        <w:pStyle w:val="BodyText"/>
        <w:spacing w:before="11"/>
        <w:rPr>
          <w:sz w:val="8"/>
        </w:rPr>
      </w:pPr>
    </w:p>
    <w:p>
      <w:pPr>
        <w:spacing w:before="74"/>
        <w:ind w:left="3563" w:right="5032" w:firstLine="0"/>
        <w:jc w:val="center"/>
        <w:rPr>
          <w:sz w:val="20"/>
        </w:rPr>
      </w:pPr>
      <w:r>
        <w:rPr/>
        <w:pict>
          <v:group style="position:absolute;margin-left:94.1623pt;margin-top:25.099348pt;width:434.85pt;height:195.75pt;mso-position-horizontal-relative:page;mso-position-vertical-relative:paragraph;z-index:-635416" coordorigin="1883,502" coordsize="8697,3915">
            <v:rect style="position:absolute;left:2827;top:3123;width:451;height:182" filled="true" fillcolor="#00afef" stroked="false">
              <v:fill type="solid"/>
            </v:rect>
            <v:rect style="position:absolute;left:2827;top:2868;width:451;height:254" filled="true" fillcolor="#eb24cf" stroked="false">
              <v:fill type="solid"/>
            </v:rect>
            <v:rect style="position:absolute;left:3710;top:2888;width:451;height:417" filled="true" fillcolor="#00afef" stroked="false">
              <v:fill type="solid"/>
            </v:rect>
            <v:rect style="position:absolute;left:3710;top:2465;width:451;height:422" filled="true" fillcolor="#eb24cf" stroked="false">
              <v:fill type="solid"/>
            </v:rect>
            <v:rect style="position:absolute;left:4593;top:2715;width:456;height:590" filled="true" fillcolor="#00afef" stroked="false">
              <v:fill type="solid"/>
            </v:rect>
            <v:rect style="position:absolute;left:4593;top:2134;width:456;height:581" filled="true" fillcolor="#eb24cf" stroked="false">
              <v:fill type="solid"/>
            </v:rect>
            <v:rect style="position:absolute;left:5481;top:1947;width:451;height:1358" filled="true" fillcolor="#00afef" stroked="false">
              <v:fill type="solid"/>
            </v:rect>
            <v:rect style="position:absolute;left:5481;top:502;width:451;height:1445" filled="true" fillcolor="#eb24cf" stroked="false">
              <v:fill type="solid"/>
            </v:rect>
            <v:rect style="position:absolute;left:6364;top:3017;width:451;height:288" filled="true" fillcolor="#00afef" stroked="false">
              <v:fill type="solid"/>
            </v:rect>
            <v:rect style="position:absolute;left:6364;top:2700;width:451;height:317" filled="true" fillcolor="#eb24cf" stroked="false">
              <v:fill type="solid"/>
            </v:rect>
            <v:rect style="position:absolute;left:7248;top:3003;width:456;height:302" filled="true" fillcolor="#00afef" stroked="false">
              <v:fill type="solid"/>
            </v:rect>
            <v:rect style="position:absolute;left:7248;top:2724;width:456;height:278" filled="true" fillcolor="#eb24cf" stroked="false">
              <v:fill type="solid"/>
            </v:rect>
            <v:rect style="position:absolute;left:8136;top:2782;width:451;height:523" filled="true" fillcolor="#00afef" stroked="false">
              <v:fill type="solid"/>
            </v:rect>
            <v:rect style="position:absolute;left:8136;top:2187;width:451;height:595" filled="true" fillcolor="#eb24cf" stroked="false">
              <v:fill type="solid"/>
            </v:rect>
            <v:line style="position:absolute" from="9019,3303" to="9470,3303" stroked="true" strokeweight=".233pt" strokecolor="#00afef"/>
            <v:line style="position:absolute" from="9019,3303" to="9470,3303" stroked="true" strokeweight=".233pt" strokecolor="#eb24cf"/>
            <v:line style="position:absolute" from="9902,3303" to="10358,3303" stroked="true" strokeweight=".233pt" strokecolor="#00afef"/>
            <v:line style="position:absolute" from="9902,3303" to="10358,3303" stroked="true" strokeweight=".233pt" strokecolor="#eb24cf"/>
            <v:line style="position:absolute" from="2609,3305" to="10572,3305" stroked="true" strokeweight=".75pt" strokecolor="#858585"/>
            <v:shape style="position:absolute;left:0;top:-329;width:493;height:7962" coordorigin="0,-329" coordsize="493,7962" path="m2611,3305l2611,3797m3494,3305l3494,3797m4377,3305l4377,3797m5265,3305l5265,3797m6148,3305l6148,3797m7032,3305l7032,3797m7920,3305l7920,3797m8803,3305l8803,3797m9686,3305l9686,3797m10572,3305l10572,3797e" filled="false" stroked="true" strokeweight=".75pt" strokecolor="#858585">
              <v:path arrowok="t"/>
            </v:shape>
            <v:shape style="position:absolute;left:0;top:-1049;width:303;height:8682" coordorigin="0,-1049" coordsize="303,8682" path="m1891,3800l10572,3800m1891,3800l1891,4102m2611,3800l2611,4102m2611,3800l2611,4102m3494,3800l3494,4102m3494,3800l3494,4102m4377,3800l4377,4102m4377,3800l4377,4102m5265,3800l5265,4102m5265,3800l5265,4102m6148,3800l6148,4102m6148,3800l6148,4102m7032,3800l7032,4102m7032,3800l7032,4102m7920,3800l7920,4102m7920,3800l7920,4102m8803,3800l8803,4102m8803,3800l8803,4102m9686,3800l9686,4102m9686,3800l9686,4102m10572,3800l10572,4102m10572,3800l10572,4102e" filled="false" stroked="true" strokeweight=".75pt" strokecolor="#858585">
              <v:path arrowok="t"/>
            </v:shape>
            <v:line style="position:absolute" from="1999,3892" to="1999,3982" stroked="true" strokeweight="4.523pt" strokecolor="#eb24cf"/>
            <v:shape style="position:absolute;left:0;top:-1049;width:308;height:8682" coordorigin="0,-1049" coordsize="308,8682" path="m1891,4102l10572,4102m1891,4102l1891,4409m1891,4409l10572,4409m2611,4102l2611,4409m2611,4102l2611,4409m3494,4102l3494,4409m3494,4102l3494,4409m4377,4102l4377,4409m4377,4102l4377,4409m5265,4102l5265,4409m5265,4102l5265,4409m6148,4102l6148,4409m6148,4102l6148,4409m7032,4102l7032,4409m7032,4102l7032,4409m7920,4102l7920,4409m7920,4102l7920,4409m8803,4102l8803,4409m8803,4102l8803,4409m9686,4102l9686,4409m9686,4102l9686,4409m10572,4102l10572,4409m10572,4102l10572,4409e" filled="false" stroked="true" strokeweight=".75pt" strokecolor="#858585">
              <v:path arrowok="t"/>
            </v:shape>
            <v:shape style="position:absolute;left:1883;top:502;width:8697;height:3915" type="#_x0000_t202" filled="false" stroked="false">
              <v:textbox inset="0,0,0,0">
                <w:txbxContent>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1"/>
                      <w:rPr>
                        <w:sz w:val="14"/>
                      </w:rPr>
                    </w:pPr>
                  </w:p>
                  <w:p>
                    <w:pPr>
                      <w:spacing w:line="200" w:lineRule="exact" w:before="0"/>
                      <w:ind w:left="743" w:right="65" w:firstLine="75"/>
                      <w:jc w:val="left"/>
                      <w:rPr>
                        <w:rFonts w:ascii="Arial"/>
                        <w:sz w:val="18"/>
                      </w:rPr>
                    </w:pPr>
                    <w:r>
                      <w:rPr>
                        <w:rFonts w:ascii="Arial"/>
                        <w:sz w:val="18"/>
                      </w:rPr>
                      <w:t>0 grados 1 grados 2 grados 3 grados  4 grados  5 grados  6 grados  7 grados  8 grados  aprobados</w:t>
                    </w:r>
                    <w:r>
                      <w:rPr>
                        <w:rFonts w:ascii="Arial"/>
                        <w:spacing w:val="-26"/>
                        <w:sz w:val="18"/>
                      </w:rPr>
                      <w:t> </w:t>
                    </w:r>
                    <w:r>
                      <w:rPr>
                        <w:rFonts w:ascii="Arial"/>
                        <w:sz w:val="18"/>
                      </w:rPr>
                      <w:t>aprobados</w:t>
                    </w:r>
                    <w:r>
                      <w:rPr>
                        <w:rFonts w:ascii="Arial"/>
                        <w:spacing w:val="-26"/>
                        <w:sz w:val="18"/>
                      </w:rPr>
                      <w:t> </w:t>
                    </w:r>
                    <w:r>
                      <w:rPr>
                        <w:rFonts w:ascii="Arial"/>
                        <w:sz w:val="18"/>
                      </w:rPr>
                      <w:t>aprobados</w:t>
                    </w:r>
                    <w:r>
                      <w:rPr>
                        <w:rFonts w:ascii="Arial"/>
                        <w:spacing w:val="-26"/>
                        <w:sz w:val="18"/>
                      </w:rPr>
                      <w:t> </w:t>
                    </w:r>
                    <w:r>
                      <w:rPr>
                        <w:rFonts w:ascii="Arial"/>
                        <w:sz w:val="18"/>
                      </w:rPr>
                      <w:t>aprobados</w:t>
                    </w:r>
                    <w:r>
                      <w:rPr>
                        <w:rFonts w:ascii="Arial"/>
                        <w:spacing w:val="-26"/>
                        <w:sz w:val="18"/>
                      </w:rPr>
                      <w:t> </w:t>
                    </w:r>
                    <w:r>
                      <w:rPr>
                        <w:rFonts w:ascii="Arial"/>
                        <w:sz w:val="18"/>
                      </w:rPr>
                      <w:t>aprobados</w:t>
                    </w:r>
                    <w:r>
                      <w:rPr>
                        <w:rFonts w:ascii="Arial"/>
                        <w:spacing w:val="-26"/>
                        <w:sz w:val="18"/>
                      </w:rPr>
                      <w:t> </w:t>
                    </w:r>
                    <w:r>
                      <w:rPr>
                        <w:rFonts w:ascii="Arial"/>
                        <w:sz w:val="18"/>
                      </w:rPr>
                      <w:t>aprobados</w:t>
                    </w:r>
                    <w:r>
                      <w:rPr>
                        <w:rFonts w:ascii="Arial"/>
                        <w:spacing w:val="-26"/>
                        <w:sz w:val="18"/>
                      </w:rPr>
                      <w:t> </w:t>
                    </w:r>
                    <w:r>
                      <w:rPr>
                        <w:rFonts w:ascii="Arial"/>
                        <w:sz w:val="18"/>
                      </w:rPr>
                      <w:t>aprobados</w:t>
                    </w:r>
                    <w:r>
                      <w:rPr>
                        <w:rFonts w:ascii="Arial"/>
                        <w:spacing w:val="-26"/>
                        <w:sz w:val="18"/>
                      </w:rPr>
                      <w:t> </w:t>
                    </w:r>
                    <w:r>
                      <w:rPr>
                        <w:rFonts w:ascii="Arial"/>
                        <w:sz w:val="18"/>
                      </w:rPr>
                      <w:t>aprobados</w:t>
                    </w:r>
                    <w:r>
                      <w:rPr>
                        <w:rFonts w:ascii="Arial"/>
                        <w:spacing w:val="-26"/>
                        <w:sz w:val="18"/>
                      </w:rPr>
                      <w:t> </w:t>
                    </w:r>
                    <w:r>
                      <w:rPr>
                        <w:rFonts w:ascii="Arial"/>
                        <w:sz w:val="18"/>
                      </w:rPr>
                      <w:t>aprobados</w:t>
                    </w:r>
                  </w:p>
                </w:txbxContent>
              </v:textbox>
              <w10:wrap type="none"/>
            </v:shape>
            <w10:wrap type="none"/>
          </v:group>
        </w:pict>
      </w:r>
      <w:r>
        <w:rPr>
          <w:sz w:val="20"/>
        </w:rPr>
        <w:t>Porcentaje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3"/>
        </w:rPr>
      </w:pPr>
    </w:p>
    <w:tbl>
      <w:tblPr>
        <w:tblW w:w="0" w:type="auto"/>
        <w:jc w:val="left"/>
        <w:tblInd w:w="17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8"/>
        <w:gridCol w:w="612"/>
        <w:gridCol w:w="883"/>
        <w:gridCol w:w="883"/>
        <w:gridCol w:w="888"/>
        <w:gridCol w:w="883"/>
        <w:gridCol w:w="883"/>
        <w:gridCol w:w="888"/>
        <w:gridCol w:w="883"/>
        <w:gridCol w:w="883"/>
        <w:gridCol w:w="603"/>
      </w:tblGrid>
      <w:tr>
        <w:trPr>
          <w:trHeight w:val="302" w:hRule="exact"/>
        </w:trPr>
        <w:tc>
          <w:tcPr>
            <w:tcW w:w="108" w:type="dxa"/>
          </w:tcPr>
          <w:p>
            <w:pPr/>
          </w:p>
        </w:tc>
        <w:tc>
          <w:tcPr>
            <w:tcW w:w="612" w:type="dxa"/>
          </w:tcPr>
          <w:p>
            <w:pPr>
              <w:pStyle w:val="TableParagraph"/>
              <w:spacing w:before="48"/>
              <w:ind w:left="59" w:right="51"/>
              <w:jc w:val="center"/>
              <w:rPr>
                <w:rFonts w:ascii="Arial" w:hAnsi="Arial"/>
                <w:sz w:val="18"/>
              </w:rPr>
            </w:pPr>
            <w:r>
              <w:rPr>
                <w:rFonts w:ascii="Arial" w:hAnsi="Arial"/>
                <w:sz w:val="18"/>
              </w:rPr>
              <w:t>Niñas</w:t>
            </w:r>
          </w:p>
        </w:tc>
        <w:tc>
          <w:tcPr>
            <w:tcW w:w="883" w:type="dxa"/>
          </w:tcPr>
          <w:p>
            <w:pPr>
              <w:pStyle w:val="TableParagraph"/>
              <w:spacing w:before="54"/>
              <w:ind w:left="245" w:right="246"/>
              <w:jc w:val="center"/>
              <w:rPr>
                <w:rFonts w:ascii="Arial"/>
                <w:sz w:val="18"/>
              </w:rPr>
            </w:pPr>
            <w:r>
              <w:rPr>
                <w:rFonts w:ascii="Arial"/>
                <w:sz w:val="18"/>
              </w:rPr>
              <w:t>3.4</w:t>
            </w:r>
          </w:p>
        </w:tc>
        <w:tc>
          <w:tcPr>
            <w:tcW w:w="883" w:type="dxa"/>
          </w:tcPr>
          <w:p>
            <w:pPr>
              <w:pStyle w:val="TableParagraph"/>
              <w:spacing w:before="54"/>
              <w:ind w:left="245" w:right="244"/>
              <w:jc w:val="center"/>
              <w:rPr>
                <w:rFonts w:ascii="Arial"/>
                <w:sz w:val="18"/>
              </w:rPr>
            </w:pPr>
            <w:r>
              <w:rPr>
                <w:rFonts w:ascii="Arial"/>
                <w:sz w:val="18"/>
              </w:rPr>
              <w:t>5.6</w:t>
            </w:r>
          </w:p>
        </w:tc>
        <w:tc>
          <w:tcPr>
            <w:tcW w:w="888" w:type="dxa"/>
          </w:tcPr>
          <w:p>
            <w:pPr>
              <w:pStyle w:val="TableParagraph"/>
              <w:spacing w:before="54"/>
              <w:ind w:left="298" w:right="298"/>
              <w:jc w:val="center"/>
              <w:rPr>
                <w:rFonts w:ascii="Arial"/>
                <w:sz w:val="18"/>
              </w:rPr>
            </w:pPr>
            <w:r>
              <w:rPr>
                <w:rFonts w:ascii="Arial"/>
                <w:sz w:val="18"/>
              </w:rPr>
              <w:t>7.7</w:t>
            </w:r>
          </w:p>
        </w:tc>
        <w:tc>
          <w:tcPr>
            <w:tcW w:w="883" w:type="dxa"/>
          </w:tcPr>
          <w:p>
            <w:pPr>
              <w:pStyle w:val="TableParagraph"/>
              <w:spacing w:before="54"/>
              <w:ind w:left="245" w:right="246"/>
              <w:jc w:val="center"/>
              <w:rPr>
                <w:rFonts w:ascii="Arial"/>
                <w:sz w:val="18"/>
              </w:rPr>
            </w:pPr>
            <w:r>
              <w:rPr>
                <w:rFonts w:ascii="Arial"/>
                <w:sz w:val="18"/>
              </w:rPr>
              <w:t>19.1</w:t>
            </w:r>
          </w:p>
        </w:tc>
        <w:tc>
          <w:tcPr>
            <w:tcW w:w="883" w:type="dxa"/>
          </w:tcPr>
          <w:p>
            <w:pPr>
              <w:pStyle w:val="TableParagraph"/>
              <w:spacing w:before="54"/>
              <w:ind w:left="245" w:right="244"/>
              <w:jc w:val="center"/>
              <w:rPr>
                <w:rFonts w:ascii="Arial"/>
                <w:sz w:val="18"/>
              </w:rPr>
            </w:pPr>
            <w:r>
              <w:rPr>
                <w:rFonts w:ascii="Arial"/>
                <w:sz w:val="18"/>
              </w:rPr>
              <w:t>4.2</w:t>
            </w:r>
          </w:p>
        </w:tc>
        <w:tc>
          <w:tcPr>
            <w:tcW w:w="888" w:type="dxa"/>
          </w:tcPr>
          <w:p>
            <w:pPr>
              <w:pStyle w:val="TableParagraph"/>
              <w:spacing w:before="54"/>
              <w:ind w:left="298" w:right="298"/>
              <w:jc w:val="center"/>
              <w:rPr>
                <w:rFonts w:ascii="Arial"/>
                <w:sz w:val="18"/>
              </w:rPr>
            </w:pPr>
            <w:r>
              <w:rPr>
                <w:rFonts w:ascii="Arial"/>
                <w:sz w:val="18"/>
              </w:rPr>
              <w:t>3.7</w:t>
            </w:r>
          </w:p>
        </w:tc>
        <w:tc>
          <w:tcPr>
            <w:tcW w:w="883" w:type="dxa"/>
          </w:tcPr>
          <w:p>
            <w:pPr>
              <w:pStyle w:val="TableParagraph"/>
              <w:spacing w:before="54"/>
              <w:ind w:left="245" w:right="245"/>
              <w:jc w:val="center"/>
              <w:rPr>
                <w:rFonts w:ascii="Arial"/>
                <w:sz w:val="18"/>
              </w:rPr>
            </w:pPr>
            <w:r>
              <w:rPr>
                <w:rFonts w:ascii="Arial"/>
                <w:sz w:val="18"/>
              </w:rPr>
              <w:t>7.8</w:t>
            </w:r>
          </w:p>
        </w:tc>
        <w:tc>
          <w:tcPr>
            <w:tcW w:w="883" w:type="dxa"/>
          </w:tcPr>
          <w:p>
            <w:pPr>
              <w:pStyle w:val="TableParagraph"/>
              <w:spacing w:before="54"/>
              <w:ind w:left="245" w:right="245"/>
              <w:jc w:val="center"/>
              <w:rPr>
                <w:rFonts w:ascii="Arial"/>
                <w:sz w:val="18"/>
              </w:rPr>
            </w:pPr>
            <w:r>
              <w:rPr>
                <w:rFonts w:ascii="Arial"/>
                <w:sz w:val="18"/>
              </w:rPr>
              <w:t>0.0</w:t>
            </w:r>
          </w:p>
        </w:tc>
        <w:tc>
          <w:tcPr>
            <w:tcW w:w="603" w:type="dxa"/>
          </w:tcPr>
          <w:p>
            <w:pPr>
              <w:pStyle w:val="TableParagraph"/>
              <w:spacing w:before="54"/>
              <w:ind w:right="33"/>
              <w:rPr>
                <w:rFonts w:ascii="Arial"/>
                <w:sz w:val="18"/>
              </w:rPr>
            </w:pPr>
            <w:r>
              <w:rPr>
                <w:rFonts w:ascii="Arial"/>
                <w:sz w:val="18"/>
              </w:rPr>
              <w:t>0.0</w:t>
            </w:r>
          </w:p>
        </w:tc>
      </w:tr>
      <w:tr>
        <w:trPr>
          <w:trHeight w:val="307" w:hRule="exact"/>
        </w:trPr>
        <w:tc>
          <w:tcPr>
            <w:tcW w:w="108" w:type="dxa"/>
            <w:tcBorders>
              <w:right w:val="single" w:sz="36" w:space="0" w:color="00AFEF"/>
            </w:tcBorders>
          </w:tcPr>
          <w:p>
            <w:pPr/>
          </w:p>
        </w:tc>
        <w:tc>
          <w:tcPr>
            <w:tcW w:w="612" w:type="dxa"/>
            <w:tcBorders>
              <w:left w:val="single" w:sz="36" w:space="0" w:color="00AFEF"/>
            </w:tcBorders>
          </w:tcPr>
          <w:p>
            <w:pPr>
              <w:pStyle w:val="TableParagraph"/>
              <w:spacing w:before="51"/>
              <w:ind w:left="16" w:right="50"/>
              <w:jc w:val="center"/>
              <w:rPr>
                <w:rFonts w:ascii="Arial" w:hAnsi="Arial"/>
                <w:sz w:val="18"/>
              </w:rPr>
            </w:pPr>
            <w:r>
              <w:rPr>
                <w:rFonts w:ascii="Arial" w:hAnsi="Arial"/>
                <w:sz w:val="18"/>
              </w:rPr>
              <w:t>Niños</w:t>
            </w:r>
          </w:p>
        </w:tc>
        <w:tc>
          <w:tcPr>
            <w:tcW w:w="883" w:type="dxa"/>
          </w:tcPr>
          <w:p>
            <w:pPr>
              <w:pStyle w:val="TableParagraph"/>
              <w:spacing w:before="57"/>
              <w:ind w:left="245" w:right="246"/>
              <w:jc w:val="center"/>
              <w:rPr>
                <w:rFonts w:ascii="Arial"/>
                <w:sz w:val="18"/>
              </w:rPr>
            </w:pPr>
            <w:r>
              <w:rPr>
                <w:rFonts w:ascii="Arial"/>
                <w:sz w:val="18"/>
              </w:rPr>
              <w:t>2.4</w:t>
            </w:r>
          </w:p>
        </w:tc>
        <w:tc>
          <w:tcPr>
            <w:tcW w:w="883" w:type="dxa"/>
          </w:tcPr>
          <w:p>
            <w:pPr>
              <w:pStyle w:val="TableParagraph"/>
              <w:spacing w:before="57"/>
              <w:ind w:left="245" w:right="244"/>
              <w:jc w:val="center"/>
              <w:rPr>
                <w:rFonts w:ascii="Arial"/>
                <w:sz w:val="18"/>
              </w:rPr>
            </w:pPr>
            <w:r>
              <w:rPr>
                <w:rFonts w:ascii="Arial"/>
                <w:sz w:val="18"/>
              </w:rPr>
              <w:t>5.5</w:t>
            </w:r>
          </w:p>
        </w:tc>
        <w:tc>
          <w:tcPr>
            <w:tcW w:w="888" w:type="dxa"/>
          </w:tcPr>
          <w:p>
            <w:pPr>
              <w:pStyle w:val="TableParagraph"/>
              <w:spacing w:before="57"/>
              <w:ind w:left="298" w:right="298"/>
              <w:jc w:val="center"/>
              <w:rPr>
                <w:rFonts w:ascii="Arial"/>
                <w:sz w:val="18"/>
              </w:rPr>
            </w:pPr>
            <w:r>
              <w:rPr>
                <w:rFonts w:ascii="Arial"/>
                <w:sz w:val="18"/>
              </w:rPr>
              <w:t>7.8</w:t>
            </w:r>
          </w:p>
        </w:tc>
        <w:tc>
          <w:tcPr>
            <w:tcW w:w="883" w:type="dxa"/>
          </w:tcPr>
          <w:p>
            <w:pPr>
              <w:pStyle w:val="TableParagraph"/>
              <w:spacing w:before="57"/>
              <w:ind w:left="245" w:right="246"/>
              <w:jc w:val="center"/>
              <w:rPr>
                <w:rFonts w:ascii="Arial"/>
                <w:sz w:val="18"/>
              </w:rPr>
            </w:pPr>
            <w:r>
              <w:rPr>
                <w:rFonts w:ascii="Arial"/>
                <w:sz w:val="18"/>
              </w:rPr>
              <w:t>17.9</w:t>
            </w:r>
          </w:p>
        </w:tc>
        <w:tc>
          <w:tcPr>
            <w:tcW w:w="883" w:type="dxa"/>
          </w:tcPr>
          <w:p>
            <w:pPr>
              <w:pStyle w:val="TableParagraph"/>
              <w:spacing w:before="57"/>
              <w:ind w:left="245" w:right="244"/>
              <w:jc w:val="center"/>
              <w:rPr>
                <w:rFonts w:ascii="Arial"/>
                <w:sz w:val="18"/>
              </w:rPr>
            </w:pPr>
            <w:r>
              <w:rPr>
                <w:rFonts w:ascii="Arial"/>
                <w:sz w:val="18"/>
              </w:rPr>
              <w:t>3.8</w:t>
            </w:r>
          </w:p>
        </w:tc>
        <w:tc>
          <w:tcPr>
            <w:tcW w:w="888" w:type="dxa"/>
          </w:tcPr>
          <w:p>
            <w:pPr>
              <w:pStyle w:val="TableParagraph"/>
              <w:spacing w:before="57"/>
              <w:ind w:left="298" w:right="298"/>
              <w:jc w:val="center"/>
              <w:rPr>
                <w:rFonts w:ascii="Arial"/>
                <w:sz w:val="18"/>
              </w:rPr>
            </w:pPr>
            <w:r>
              <w:rPr>
                <w:rFonts w:ascii="Arial"/>
                <w:sz w:val="18"/>
              </w:rPr>
              <w:t>4.0</w:t>
            </w:r>
          </w:p>
        </w:tc>
        <w:tc>
          <w:tcPr>
            <w:tcW w:w="883" w:type="dxa"/>
          </w:tcPr>
          <w:p>
            <w:pPr>
              <w:pStyle w:val="TableParagraph"/>
              <w:spacing w:before="57"/>
              <w:ind w:left="245" w:right="245"/>
              <w:jc w:val="center"/>
              <w:rPr>
                <w:rFonts w:ascii="Arial"/>
                <w:sz w:val="18"/>
              </w:rPr>
            </w:pPr>
            <w:r>
              <w:rPr>
                <w:rFonts w:ascii="Arial"/>
                <w:sz w:val="18"/>
              </w:rPr>
              <w:t>6.9</w:t>
            </w:r>
          </w:p>
        </w:tc>
        <w:tc>
          <w:tcPr>
            <w:tcW w:w="883" w:type="dxa"/>
          </w:tcPr>
          <w:p>
            <w:pPr>
              <w:pStyle w:val="TableParagraph"/>
              <w:spacing w:before="57"/>
              <w:ind w:left="245" w:right="245"/>
              <w:jc w:val="center"/>
              <w:rPr>
                <w:rFonts w:ascii="Arial"/>
                <w:sz w:val="18"/>
              </w:rPr>
            </w:pPr>
            <w:r>
              <w:rPr>
                <w:rFonts w:ascii="Arial"/>
                <w:sz w:val="18"/>
              </w:rPr>
              <w:t>0.0</w:t>
            </w:r>
          </w:p>
        </w:tc>
        <w:tc>
          <w:tcPr>
            <w:tcW w:w="603" w:type="dxa"/>
          </w:tcPr>
          <w:p>
            <w:pPr>
              <w:pStyle w:val="TableParagraph"/>
              <w:spacing w:before="57"/>
              <w:ind w:right="33"/>
              <w:rPr>
                <w:rFonts w:ascii="Arial"/>
                <w:sz w:val="18"/>
              </w:rPr>
            </w:pPr>
            <w:r>
              <w:rPr>
                <w:rFonts w:ascii="Arial"/>
                <w:sz w:val="18"/>
              </w:rPr>
              <w:t>0.0</w:t>
            </w:r>
          </w:p>
        </w:tc>
      </w:tr>
    </w:tbl>
    <w:p>
      <w:pPr>
        <w:spacing w:before="122"/>
        <w:ind w:left="116" w:right="0" w:firstLine="0"/>
        <w:jc w:val="left"/>
        <w:rPr>
          <w:sz w:val="17"/>
        </w:rPr>
      </w:pPr>
      <w:r>
        <w:rPr>
          <w:color w:val="231F20"/>
          <w:sz w:val="17"/>
        </w:rPr>
        <w:t>Fuente: elaboración propia con datos de la Encuesta Nacional de la Dinámica Demográfica 2009, INEGI.</w:t>
      </w:r>
    </w:p>
    <w:p>
      <w:pPr>
        <w:spacing w:after="0"/>
        <w:jc w:val="left"/>
        <w:rPr>
          <w:sz w:val="17"/>
        </w:rPr>
        <w:sectPr>
          <w:footerReference w:type="default" r:id="rId250"/>
          <w:pgSz w:w="13040" w:h="9360" w:orient="landscape"/>
          <w:pgMar w:footer="0" w:header="0" w:top="0" w:bottom="280" w:left="1720" w:right="1840"/>
        </w:sectPr>
      </w:pPr>
    </w:p>
    <w:p>
      <w:pPr>
        <w:pStyle w:val="BodyText"/>
        <w:rPr>
          <w:sz w:val="20"/>
        </w:rPr>
      </w:pPr>
      <w:r>
        <w:rPr/>
        <w:pict>
          <v:shape style="position:absolute;margin-left:595.135681pt;margin-top:340.848389pt;width:11pt;height:57.05pt;mso-position-horizontal-relative:page;mso-position-vertical-relative:page;z-index:9592" type="#_x0000_t202" filled="false" stroked="false">
            <v:textbox inset="0,0,0,0" style="layout-flow:vertical">
              <w:txbxContent>
                <w:p>
                  <w:pPr>
                    <w:spacing w:line="204" w:lineRule="exact" w:before="0"/>
                    <w:ind w:left="20" w:right="-921" w:firstLine="0"/>
                    <w:jc w:val="left"/>
                    <w:rPr>
                      <w:sz w:val="18"/>
                    </w:rPr>
                  </w:pPr>
                  <w:r>
                    <w:rPr>
                      <w:color w:val="231F20"/>
                      <w:sz w:val="18"/>
                    </w:rPr>
                    <w:t>CIEAP/UAEM</w:t>
                  </w:r>
                </w:p>
              </w:txbxContent>
            </v:textbox>
            <w10:wrap type="none"/>
          </v:shape>
        </w:pict>
      </w:r>
      <w:r>
        <w:rPr/>
        <w:pict>
          <v:shape style="position:absolute;margin-left:593.309937pt;margin-top:70.433098pt;width:12pt;height:200.85pt;mso-position-horizontal-relative:page;mso-position-vertical-relative:page;z-index:9616" type="#_x0000_t202" filled="false" stroked="false">
            <v:textbox inset="0,0,0,0" style="layout-flow:vertical">
              <w:txbxContent>
                <w:p>
                  <w:pPr>
                    <w:spacing w:line="208" w:lineRule="exact" w:before="0"/>
                    <w:ind w:left="20" w:right="-673" w:firstLine="0"/>
                    <w:jc w:val="left"/>
                    <w:rPr>
                      <w:rFonts w:ascii="Arial" w:hAnsi="Arial"/>
                      <w:sz w:val="20"/>
                    </w:rPr>
                  </w:pPr>
                  <w:r>
                    <w:rPr>
                      <w:rFonts w:ascii="Arial" w:hAnsi="Arial"/>
                      <w:color w:val="231F20"/>
                      <w:spacing w:val="-1"/>
                      <w:w w:val="78"/>
                      <w:sz w:val="20"/>
                    </w:rPr>
                    <w:t>Hito</w:t>
                  </w:r>
                  <w:r>
                    <w:rPr>
                      <w:rFonts w:ascii="Arial" w:hAnsi="Arial"/>
                      <w:color w:val="231F20"/>
                      <w:w w:val="78"/>
                      <w:sz w:val="20"/>
                    </w:rPr>
                    <w:t>s</w:t>
                  </w:r>
                  <w:r>
                    <w:rPr>
                      <w:rFonts w:ascii="Arial" w:hAnsi="Arial"/>
                      <w:color w:val="231F20"/>
                      <w:spacing w:val="-1"/>
                      <w:sz w:val="20"/>
                    </w:rPr>
                    <w:t> </w:t>
                  </w:r>
                  <w:r>
                    <w:rPr>
                      <w:rFonts w:ascii="Arial" w:hAnsi="Arial"/>
                      <w:color w:val="231F20"/>
                      <w:w w:val="72"/>
                      <w:sz w:val="20"/>
                    </w:rPr>
                    <w:t>Demográficos</w:t>
                  </w:r>
                  <w:r>
                    <w:rPr>
                      <w:rFonts w:ascii="Arial" w:hAnsi="Arial"/>
                      <w:color w:val="231F20"/>
                      <w:spacing w:val="-1"/>
                      <w:sz w:val="20"/>
                    </w:rPr>
                    <w:t> </w:t>
                  </w:r>
                  <w:r>
                    <w:rPr>
                      <w:rFonts w:ascii="Arial" w:hAnsi="Arial"/>
                      <w:color w:val="231F20"/>
                      <w:w w:val="76"/>
                      <w:sz w:val="20"/>
                    </w:rPr>
                    <w:t>del</w:t>
                  </w:r>
                  <w:r>
                    <w:rPr>
                      <w:rFonts w:ascii="Arial" w:hAnsi="Arial"/>
                      <w:color w:val="231F20"/>
                      <w:spacing w:val="-1"/>
                      <w:sz w:val="20"/>
                    </w:rPr>
                    <w:t> </w:t>
                  </w:r>
                  <w:r>
                    <w:rPr>
                      <w:rFonts w:ascii="Arial" w:hAnsi="Arial"/>
                      <w:color w:val="231F20"/>
                      <w:spacing w:val="-1"/>
                      <w:w w:val="77"/>
                      <w:sz w:val="20"/>
                    </w:rPr>
                    <w:t>Sigl</w:t>
                  </w:r>
                  <w:r>
                    <w:rPr>
                      <w:rFonts w:ascii="Arial" w:hAnsi="Arial"/>
                      <w:color w:val="231F20"/>
                      <w:w w:val="77"/>
                      <w:sz w:val="20"/>
                    </w:rPr>
                    <w:t>o</w:t>
                  </w:r>
                  <w:r>
                    <w:rPr>
                      <w:rFonts w:ascii="Arial" w:hAnsi="Arial"/>
                      <w:color w:val="231F20"/>
                      <w:sz w:val="20"/>
                    </w:rPr>
                    <w:t> </w:t>
                  </w:r>
                  <w:r>
                    <w:rPr>
                      <w:rFonts w:ascii="Arial" w:hAnsi="Arial"/>
                      <w:color w:val="231F20"/>
                      <w:w w:val="80"/>
                      <w:sz w:val="20"/>
                    </w:rPr>
                    <w:t>XXI:</w:t>
                  </w:r>
                  <w:r>
                    <w:rPr>
                      <w:rFonts w:ascii="Arial" w:hAnsi="Arial"/>
                      <w:color w:val="231F20"/>
                      <w:spacing w:val="-1"/>
                      <w:sz w:val="20"/>
                    </w:rPr>
                    <w:t> </w:t>
                  </w:r>
                  <w:r>
                    <w:rPr>
                      <w:rFonts w:ascii="Arial" w:hAnsi="Arial"/>
                      <w:color w:val="231F20"/>
                      <w:w w:val="76"/>
                      <w:sz w:val="20"/>
                    </w:rPr>
                    <w:t>Migración</w:t>
                  </w:r>
                  <w:r>
                    <w:rPr>
                      <w:rFonts w:ascii="Arial" w:hAnsi="Arial"/>
                      <w:color w:val="231F20"/>
                      <w:spacing w:val="-1"/>
                      <w:sz w:val="20"/>
                    </w:rPr>
                    <w:t> </w:t>
                  </w:r>
                  <w:r>
                    <w:rPr>
                      <w:rFonts w:ascii="Arial" w:hAnsi="Arial"/>
                      <w:color w:val="231F20"/>
                      <w:w w:val="76"/>
                      <w:sz w:val="20"/>
                    </w:rPr>
                    <w:t>Internacional</w:t>
                  </w:r>
                </w:p>
              </w:txbxContent>
            </v:textbox>
            <w10:wrap type="none"/>
          </v:shape>
        </w:pict>
      </w:r>
      <w:r>
        <w:rPr/>
        <w:pict>
          <v:shape style="position:absolute;margin-left:23.820354pt;margin-top:215.850403pt;width:12pt;height:21.25pt;mso-position-horizontal-relative:page;mso-position-vertical-relative:page;z-index:9640" type="#_x0000_t202" filled="false" stroked="false">
            <v:textbox inset="0,0,0,0" style="layout-flow:vertical">
              <w:txbxContent>
                <w:p>
                  <w:pPr>
                    <w:spacing w:line="214" w:lineRule="exact" w:before="0"/>
                    <w:ind w:left="20" w:right="-182" w:firstLine="0"/>
                    <w:jc w:val="left"/>
                    <w:rPr>
                      <w:rFonts w:ascii="Verdana"/>
                      <w:sz w:val="20"/>
                    </w:rPr>
                  </w:pPr>
                  <w:r>
                    <w:rPr>
                      <w:rFonts w:ascii="Verdana"/>
                      <w:color w:val="231F20"/>
                      <w:spacing w:val="-1"/>
                      <w:w w:val="100"/>
                      <w:sz w:val="20"/>
                    </w:rPr>
                    <w:t>370</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p>
    <w:p>
      <w:pPr>
        <w:spacing w:before="0"/>
        <w:ind w:left="627" w:right="0" w:firstLine="0"/>
        <w:jc w:val="left"/>
        <w:rPr>
          <w:sz w:val="20"/>
        </w:rPr>
      </w:pPr>
      <w:r>
        <w:rPr/>
        <w:pict>
          <v:group style="position:absolute;margin-left:94.589401pt;margin-top:24.754623pt;width:442.65pt;height:282.5pt;mso-position-horizontal-relative:page;mso-position-vertical-relative:paragraph;z-index:-635032" coordorigin="1892,495" coordsize="8853,5650">
            <v:shape style="position:absolute;left:-1027;top:622;width:1028;height:7364" coordorigin="-1027,622" coordsize="1028,7364" path="m10477,3843l7174,3843m6416,3843l4227,3843m3469,3843l3114,3843m10477,3330l4227,3330m3469,3330l3114,3330m10477,2816l4227,2816m3469,2816l3114,2816e" filled="false" stroked="true" strokeweight=".75pt" strokecolor="#858585">
              <v:path arrowok="t"/>
            </v:shape>
            <v:shape style="position:absolute;left:3469;top:2475;width:3706;height:1882" coordorigin="3469,2475" coordsize="3706,1882" path="m4227,2475l3469,2475,3469,4357,4227,4357,4227,2475m5701,4088l4942,4088,4942,4357,5701,4357,5701,4088m7174,3695l6416,3695,6416,4357,7174,4357,7174,3695e" filled="true" fillcolor="#00afef" stroked="false">
              <v:path arrowok="t"/>
              <v:fill type="solid"/>
            </v:shape>
            <v:rect style="position:absolute;left:7890;top:4299;width:754;height:58" filled="true" fillcolor="#00afef" stroked="false">
              <v:fill type="solid"/>
            </v:rect>
            <v:rect style="position:absolute;left:9363;top:3829;width:754;height:528" filled="true" fillcolor="#00afef" stroked="false">
              <v:fill type="solid"/>
            </v:rect>
            <v:shape style="position:absolute;left:-2568;top:622;width:1028;height:7364" coordorigin="-2568,622" coordsize="1028,7364" path="m10477,2303l4227,2303m3469,2303l3114,2303m10477,1789l4227,1789m3469,1789l3114,1789m10477,1275l4227,1275m3469,1275l3114,1275e" filled="false" stroked="true" strokeweight=".75pt" strokecolor="#858585">
              <v:path arrowok="t"/>
            </v:shape>
            <v:shape style="position:absolute;left:3469;top:1035;width:2232;height:3053" coordorigin="3469,1035" coordsize="2232,3053" path="m4227,1035l3469,1035,3469,2475,4227,2475,4227,1035m5701,3987l4942,3987,4942,4088,5701,4088,5701,3987e" filled="true" fillcolor="#ee03d2" stroked="false">
              <v:path arrowok="t"/>
              <v:fill type="solid"/>
            </v:shape>
            <v:rect style="position:absolute;left:6416;top:3647;width:758;height:48" filled="true" fillcolor="#ee03d2" stroked="false">
              <v:fill type="solid"/>
            </v:rect>
            <v:rect style="position:absolute;left:7890;top:4175;width:754;height:125" filled="true" fillcolor="#ee03d2" stroked="false">
              <v:fill type="solid"/>
            </v:rect>
            <v:rect style="position:absolute;left:9363;top:3805;width:754;height:24" filled="true" fillcolor="#ee03d2" stroked="false">
              <v:fill type="solid"/>
            </v:rect>
            <v:line style="position:absolute" from="3114,762" to="10477,762" stroked="true" strokeweight=".75pt" strokecolor="#858585"/>
            <v:shape style="position:absolute;left:-3595;top:619;width:3595;height:7366" coordorigin="-3595,619" coordsize="3595,7366" path="m3112,4357l3112,763m3112,4357l10477,4357m3112,4357l10477,4357e" filled="false" stroked="true" strokeweight=".75pt" strokecolor="#858585">
              <v:path arrowok="t"/>
            </v:shape>
            <v:shape style="position:absolute;left:0;top:622;width:1021;height:7364" coordorigin="0,622" coordsize="1021,7364" path="m3114,4357l3114,5378m4582,4357l4582,5378m6056,4357l6056,5378m7530,4357l7530,5378m9003,4357l9003,5378m10477,4357l10477,5378e" filled="false" stroked="true" strokeweight=".75pt" strokecolor="#858585">
              <v:path arrowok="t"/>
            </v:shape>
            <v:shape style="position:absolute;left:0;top:-170;width:327;height:8156" coordorigin="0,-170" coordsize="327,8156" path="m2322,5379l10477,5379m2322,5379l2322,5706m3114,5379l3114,5706m3114,5379l3114,5706m4582,5379l4582,5706m4582,5379l4582,5706m6056,5379l6056,5706m6056,5379l6056,5706m7530,5379l7530,5706m7530,5379l7530,5706m9003,5379l9003,5706m9003,5379l9003,5706m10477,5379l10477,5706m10477,5379l10477,5706e" filled="false" stroked="true" strokeweight=".75pt" strokecolor="#858585">
              <v:path arrowok="t"/>
            </v:shape>
            <v:rect style="position:absolute;left:2390;top:5478;width:100;height:100" filled="true" fillcolor="#ee03d2" stroked="false">
              <v:fill type="solid"/>
            </v:rect>
            <v:shape style="position:absolute;left:0;top:-170;width:332;height:8156" coordorigin="0,-170" coordsize="332,8156" path="m2322,5706l10477,5706m2322,5706l2322,6037m2322,6037l10477,6037m3114,5706l3114,6037m3114,5706l3114,6037m4582,5706l4582,6037m4582,5706l4582,6037m6056,5706l6056,6037m6056,5706l6056,6037m7530,5706l7530,6037m7530,5706l7530,6037m9003,5706l9003,6037m9003,5706l9003,6037m10477,5706l10477,6037m10477,5706l10477,6037e" filled="false" stroked="true" strokeweight=".75pt" strokecolor="#858585">
              <v:path arrowok="t"/>
            </v:shape>
            <v:rect style="position:absolute;left:2390;top:5808;width:100;height:100" filled="true" fillcolor="#00afef" stroked="false">
              <v:fill type="solid"/>
            </v:rect>
            <v:rect style="position:absolute;left:1899;top:503;width:8838;height:5635" filled="false" stroked="true" strokeweight=".75pt" strokecolor="#858585"/>
            <v:shape style="position:absolute;left:2550;top:680;width:389;height:200" type="#_x0000_t202" filled="false" stroked="false">
              <v:textbox inset="0,0,0,0">
                <w:txbxContent>
                  <w:p>
                    <w:pPr>
                      <w:spacing w:line="200" w:lineRule="exact" w:before="0"/>
                      <w:ind w:left="0" w:right="-17" w:firstLine="0"/>
                      <w:jc w:val="left"/>
                      <w:rPr>
                        <w:rFonts w:ascii="Arial"/>
                        <w:sz w:val="20"/>
                      </w:rPr>
                    </w:pPr>
                    <w:r>
                      <w:rPr>
                        <w:rFonts w:ascii="Arial"/>
                        <w:spacing w:val="-1"/>
                        <w:sz w:val="20"/>
                      </w:rPr>
                      <w:t>70.0</w:t>
                    </w:r>
                  </w:p>
                </w:txbxContent>
              </v:textbox>
              <w10:wrap type="none"/>
            </v:shape>
            <v:shape style="position:absolute;left:2550;top:1194;width:389;height:200" type="#_x0000_t202" filled="false" stroked="false">
              <v:textbox inset="0,0,0,0">
                <w:txbxContent>
                  <w:p>
                    <w:pPr>
                      <w:spacing w:line="200" w:lineRule="exact" w:before="0"/>
                      <w:ind w:left="0" w:right="-17" w:firstLine="0"/>
                      <w:jc w:val="left"/>
                      <w:rPr>
                        <w:rFonts w:ascii="Arial"/>
                        <w:sz w:val="20"/>
                      </w:rPr>
                    </w:pPr>
                    <w:r>
                      <w:rPr>
                        <w:rFonts w:ascii="Arial"/>
                        <w:spacing w:val="-1"/>
                        <w:sz w:val="20"/>
                      </w:rPr>
                      <w:t>60.0</w:t>
                    </w:r>
                  </w:p>
                </w:txbxContent>
              </v:textbox>
              <w10:wrap type="none"/>
            </v:shape>
            <v:shape style="position:absolute;left:2550;top:1707;width:389;height:200" type="#_x0000_t202" filled="false" stroked="false">
              <v:textbox inset="0,0,0,0">
                <w:txbxContent>
                  <w:p>
                    <w:pPr>
                      <w:spacing w:line="200" w:lineRule="exact" w:before="0"/>
                      <w:ind w:left="0" w:right="-17" w:firstLine="0"/>
                      <w:jc w:val="left"/>
                      <w:rPr>
                        <w:rFonts w:ascii="Arial"/>
                        <w:sz w:val="20"/>
                      </w:rPr>
                    </w:pPr>
                    <w:r>
                      <w:rPr>
                        <w:rFonts w:ascii="Arial"/>
                        <w:spacing w:val="-1"/>
                        <w:sz w:val="20"/>
                      </w:rPr>
                      <w:t>50.0</w:t>
                    </w:r>
                  </w:p>
                </w:txbxContent>
              </v:textbox>
              <w10:wrap type="none"/>
            </v:shape>
            <v:shape style="position:absolute;left:2550;top:2221;width:389;height:200" type="#_x0000_t202" filled="false" stroked="false">
              <v:textbox inset="0,0,0,0">
                <w:txbxContent>
                  <w:p>
                    <w:pPr>
                      <w:spacing w:line="200" w:lineRule="exact" w:before="0"/>
                      <w:ind w:left="0" w:right="-17" w:firstLine="0"/>
                      <w:jc w:val="left"/>
                      <w:rPr>
                        <w:rFonts w:ascii="Arial"/>
                        <w:sz w:val="20"/>
                      </w:rPr>
                    </w:pPr>
                    <w:r>
                      <w:rPr>
                        <w:rFonts w:ascii="Arial"/>
                        <w:spacing w:val="-1"/>
                        <w:sz w:val="20"/>
                      </w:rPr>
                      <w:t>40.0</w:t>
                    </w:r>
                  </w:p>
                </w:txbxContent>
              </v:textbox>
              <w10:wrap type="none"/>
            </v:shape>
            <v:shape style="position:absolute;left:2550;top:2734;width:389;height:200" type="#_x0000_t202" filled="false" stroked="false">
              <v:textbox inset="0,0,0,0">
                <w:txbxContent>
                  <w:p>
                    <w:pPr>
                      <w:spacing w:line="200" w:lineRule="exact" w:before="0"/>
                      <w:ind w:left="0" w:right="-17" w:firstLine="0"/>
                      <w:jc w:val="left"/>
                      <w:rPr>
                        <w:rFonts w:ascii="Arial"/>
                        <w:sz w:val="20"/>
                      </w:rPr>
                    </w:pPr>
                    <w:r>
                      <w:rPr>
                        <w:rFonts w:ascii="Arial"/>
                        <w:spacing w:val="-1"/>
                        <w:sz w:val="20"/>
                      </w:rPr>
                      <w:t>30.0</w:t>
                    </w:r>
                  </w:p>
                </w:txbxContent>
              </v:textbox>
              <w10:wrap type="none"/>
            </v:shape>
            <v:shape style="position:absolute;left:2550;top:3248;width:389;height:200" type="#_x0000_t202" filled="false" stroked="false">
              <v:textbox inset="0,0,0,0">
                <w:txbxContent>
                  <w:p>
                    <w:pPr>
                      <w:spacing w:line="200" w:lineRule="exact" w:before="0"/>
                      <w:ind w:left="0" w:right="-17" w:firstLine="0"/>
                      <w:jc w:val="left"/>
                      <w:rPr>
                        <w:rFonts w:ascii="Arial"/>
                        <w:sz w:val="20"/>
                      </w:rPr>
                    </w:pPr>
                    <w:r>
                      <w:rPr>
                        <w:rFonts w:ascii="Arial"/>
                        <w:spacing w:val="-1"/>
                        <w:sz w:val="20"/>
                      </w:rPr>
                      <w:t>20.0</w:t>
                    </w:r>
                  </w:p>
                </w:txbxContent>
              </v:textbox>
              <w10:wrap type="none"/>
            </v:shape>
            <v:shape style="position:absolute;left:2550;top:3762;width:389;height:200" type="#_x0000_t202" filled="false" stroked="false">
              <v:textbox inset="0,0,0,0">
                <w:txbxContent>
                  <w:p>
                    <w:pPr>
                      <w:spacing w:line="200" w:lineRule="exact" w:before="0"/>
                      <w:ind w:left="0" w:right="-17" w:firstLine="0"/>
                      <w:jc w:val="left"/>
                      <w:rPr>
                        <w:rFonts w:ascii="Arial"/>
                        <w:sz w:val="20"/>
                      </w:rPr>
                    </w:pPr>
                    <w:r>
                      <w:rPr>
                        <w:rFonts w:ascii="Arial"/>
                        <w:spacing w:val="-1"/>
                        <w:sz w:val="20"/>
                      </w:rPr>
                      <w:t>10.0</w:t>
                    </w:r>
                  </w:p>
                </w:txbxContent>
              </v:textbox>
              <w10:wrap type="none"/>
            </v:shape>
            <v:shape style="position:absolute;left:2661;top:4275;width:278;height:200" type="#_x0000_t202" filled="false" stroked="false">
              <v:textbox inset="0,0,0,0">
                <w:txbxContent>
                  <w:p>
                    <w:pPr>
                      <w:spacing w:line="200" w:lineRule="exact" w:before="0"/>
                      <w:ind w:left="0" w:right="-18" w:firstLine="0"/>
                      <w:jc w:val="left"/>
                      <w:rPr>
                        <w:rFonts w:ascii="Arial"/>
                        <w:sz w:val="20"/>
                      </w:rPr>
                    </w:pPr>
                    <w:r>
                      <w:rPr>
                        <w:rFonts w:ascii="Arial"/>
                        <w:spacing w:val="-1"/>
                        <w:sz w:val="20"/>
                      </w:rPr>
                      <w:t>0.0</w:t>
                    </w:r>
                  </w:p>
                </w:txbxContent>
              </v:textbox>
              <w10:wrap type="none"/>
            </v:shape>
            <v:shape style="position:absolute;left:3398;top:4785;width:901;height:200" type="#_x0000_t202" filled="false" stroked="false">
              <v:textbox inset="0,0,0,0">
                <w:txbxContent>
                  <w:p>
                    <w:pPr>
                      <w:spacing w:line="200" w:lineRule="exact" w:before="0"/>
                      <w:ind w:left="0" w:right="-20" w:firstLine="0"/>
                      <w:jc w:val="left"/>
                      <w:rPr>
                        <w:rFonts w:ascii="Arial"/>
                        <w:sz w:val="20"/>
                      </w:rPr>
                    </w:pPr>
                    <w:r>
                      <w:rPr>
                        <w:rFonts w:ascii="Arial"/>
                        <w:sz w:val="20"/>
                      </w:rPr>
                      <w:t>Empleado</w:t>
                    </w:r>
                  </w:p>
                </w:txbxContent>
              </v:textbox>
              <w10:wrap type="none"/>
            </v:shape>
            <v:shape style="position:absolute;left:5010;top:4785;width:623;height:200" type="#_x0000_t202" filled="false" stroked="false">
              <v:textbox inset="0,0,0,0">
                <w:txbxContent>
                  <w:p>
                    <w:pPr>
                      <w:spacing w:line="200" w:lineRule="exact" w:before="0"/>
                      <w:ind w:left="0" w:right="-20" w:firstLine="0"/>
                      <w:jc w:val="left"/>
                      <w:rPr>
                        <w:rFonts w:ascii="Arial"/>
                        <w:sz w:val="20"/>
                      </w:rPr>
                    </w:pPr>
                    <w:r>
                      <w:rPr>
                        <w:rFonts w:ascii="Arial"/>
                        <w:sz w:val="20"/>
                      </w:rPr>
                      <w:t>Obrero</w:t>
                    </w:r>
                  </w:p>
                </w:txbxContent>
              </v:textbox>
              <w10:wrap type="none"/>
            </v:shape>
            <v:shape style="position:absolute;left:6294;top:4665;width:1001;height:200" type="#_x0000_t202" filled="false" stroked="false">
              <v:textbox inset="0,0,0,0">
                <w:txbxContent>
                  <w:p>
                    <w:pPr>
                      <w:spacing w:line="200" w:lineRule="exact" w:before="0"/>
                      <w:ind w:left="0" w:right="-20" w:firstLine="0"/>
                      <w:jc w:val="left"/>
                      <w:rPr>
                        <w:rFonts w:ascii="Arial"/>
                        <w:sz w:val="20"/>
                      </w:rPr>
                    </w:pPr>
                    <w:r>
                      <w:rPr>
                        <w:rFonts w:ascii="Arial"/>
                        <w:sz w:val="20"/>
                      </w:rPr>
                      <w:t>Jornalero o</w:t>
                    </w:r>
                  </w:p>
                </w:txbxContent>
              </v:textbox>
              <w10:wrap type="none"/>
            </v:shape>
            <v:shape style="position:absolute;left:7662;top:4425;width:1212;height:440" type="#_x0000_t202" filled="false" stroked="false">
              <v:textbox inset="0,0,0,0">
                <w:txbxContent>
                  <w:p>
                    <w:pPr>
                      <w:spacing w:line="204" w:lineRule="exact" w:before="0"/>
                      <w:ind w:left="101" w:right="102" w:firstLine="0"/>
                      <w:jc w:val="center"/>
                      <w:rPr>
                        <w:rFonts w:ascii="Arial"/>
                        <w:sz w:val="20"/>
                      </w:rPr>
                    </w:pPr>
                    <w:r>
                      <w:rPr>
                        <w:rFonts w:ascii="Arial"/>
                        <w:sz w:val="20"/>
                      </w:rPr>
                      <w:t>Trabajador</w:t>
                    </w:r>
                  </w:p>
                  <w:p>
                    <w:pPr>
                      <w:spacing w:line="226" w:lineRule="exact" w:before="10"/>
                      <w:ind w:left="-1" w:right="0" w:firstLine="0"/>
                      <w:jc w:val="center"/>
                      <w:rPr>
                        <w:rFonts w:ascii="Arial"/>
                        <w:sz w:val="20"/>
                      </w:rPr>
                    </w:pPr>
                    <w:r>
                      <w:rPr>
                        <w:rFonts w:ascii="Arial"/>
                        <w:sz w:val="20"/>
                      </w:rPr>
                      <w:t>por su</w:t>
                    </w:r>
                    <w:r>
                      <w:rPr>
                        <w:rFonts w:ascii="Arial"/>
                        <w:spacing w:val="-2"/>
                        <w:sz w:val="20"/>
                      </w:rPr>
                      <w:t> </w:t>
                    </w:r>
                    <w:r>
                      <w:rPr>
                        <w:rFonts w:ascii="Arial"/>
                        <w:sz w:val="20"/>
                      </w:rPr>
                      <w:t>cuenta</w:t>
                    </w:r>
                  </w:p>
                </w:txbxContent>
              </v:textbox>
              <w10:wrap type="none"/>
            </v:shape>
            <v:shape style="position:absolute;left:9224;top:4425;width:1034;height:440" type="#_x0000_t202" filled="false" stroked="false">
              <v:textbox inset="0,0,0,0">
                <w:txbxContent>
                  <w:p>
                    <w:pPr>
                      <w:spacing w:line="204" w:lineRule="exact" w:before="0"/>
                      <w:ind w:left="0" w:right="-15" w:firstLine="37"/>
                      <w:jc w:val="left"/>
                      <w:rPr>
                        <w:rFonts w:ascii="Arial"/>
                        <w:sz w:val="20"/>
                      </w:rPr>
                    </w:pPr>
                    <w:r>
                      <w:rPr>
                        <w:rFonts w:ascii="Arial"/>
                        <w:sz w:val="20"/>
                      </w:rPr>
                      <w:t>Trabajador</w:t>
                    </w:r>
                  </w:p>
                  <w:p>
                    <w:pPr>
                      <w:spacing w:line="226" w:lineRule="exact" w:before="10"/>
                      <w:ind w:left="0" w:right="-15" w:firstLine="0"/>
                      <w:jc w:val="left"/>
                      <w:rPr>
                        <w:rFonts w:ascii="Arial"/>
                        <w:sz w:val="20"/>
                      </w:rPr>
                    </w:pPr>
                    <w:r>
                      <w:rPr>
                        <w:rFonts w:ascii="Arial"/>
                        <w:sz w:val="20"/>
                      </w:rPr>
                      <w:t>sin pago</w:t>
                    </w:r>
                    <w:r>
                      <w:rPr>
                        <w:rFonts w:ascii="Arial"/>
                        <w:spacing w:val="-6"/>
                        <w:sz w:val="20"/>
                      </w:rPr>
                      <w:t> </w:t>
                    </w:r>
                    <w:r>
                      <w:rPr>
                        <w:rFonts w:ascii="Arial"/>
                        <w:sz w:val="20"/>
                      </w:rPr>
                      <w:t>en</w:t>
                    </w:r>
                  </w:p>
                </w:txbxContent>
              </v:textbox>
              <w10:wrap type="none"/>
            </v:shape>
            <w10:wrap type="none"/>
          </v:group>
        </w:pict>
      </w:r>
      <w:r>
        <w:rPr/>
        <w:pict>
          <v:shape style="position:absolute;margin-left:110.361252pt;margin-top:103.09095pt;width:12pt;height:49.85pt;mso-position-horizontal-relative:page;mso-position-vertical-relative:paragraph;z-index:9664" type="#_x0000_t202" filled="false" stroked="false">
            <v:textbox inset="0,0,0,0" style="layout-flow:vertical;mso-layout-flow-alt:bottom-to-top">
              <w:txbxContent>
                <w:p>
                  <w:pPr>
                    <w:spacing w:line="224" w:lineRule="exact" w:before="0"/>
                    <w:ind w:left="20" w:right="-757" w:firstLine="0"/>
                    <w:jc w:val="left"/>
                    <w:rPr>
                      <w:rFonts w:ascii="Arial"/>
                      <w:sz w:val="20"/>
                    </w:rPr>
                  </w:pPr>
                  <w:r>
                    <w:rPr>
                      <w:rFonts w:ascii="Arial"/>
                      <w:sz w:val="20"/>
                    </w:rPr>
                    <w:t>Porcentaje</w:t>
                  </w:r>
                </w:p>
              </w:txbxContent>
            </v:textbox>
            <w10:wrap type="none"/>
          </v:shape>
        </w:pict>
      </w:r>
      <w:r>
        <w:rPr>
          <w:color w:val="231F20"/>
          <w:sz w:val="20"/>
        </w:rPr>
        <w:t>Gráfica 5. Distribución porcentual de la fuerza laboral infantil migrante, según posición en la ocupacion de trabajo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6"/>
        </w:rPr>
      </w:pPr>
    </w:p>
    <w:tbl>
      <w:tblPr>
        <w:tblW w:w="0" w:type="auto"/>
        <w:jc w:val="left"/>
        <w:tblInd w:w="119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6"/>
        <w:gridCol w:w="1471"/>
        <w:gridCol w:w="1474"/>
        <w:gridCol w:w="1474"/>
        <w:gridCol w:w="1474"/>
        <w:gridCol w:w="1261"/>
      </w:tblGrid>
      <w:tr>
        <w:trPr>
          <w:trHeight w:val="474" w:hRule="exact"/>
        </w:trPr>
        <w:tc>
          <w:tcPr>
            <w:tcW w:w="3561" w:type="dxa"/>
            <w:gridSpan w:val="3"/>
          </w:tcPr>
          <w:p>
            <w:pPr/>
          </w:p>
        </w:tc>
        <w:tc>
          <w:tcPr>
            <w:tcW w:w="1474" w:type="dxa"/>
          </w:tcPr>
          <w:p>
            <w:pPr>
              <w:pStyle w:val="TableParagraph"/>
              <w:spacing w:line="204" w:lineRule="exact"/>
              <w:ind w:right="511"/>
              <w:rPr>
                <w:rFonts w:ascii="Arial" w:hAnsi="Arial"/>
                <w:sz w:val="20"/>
              </w:rPr>
            </w:pPr>
            <w:r>
              <w:rPr>
                <w:rFonts w:ascii="Arial" w:hAnsi="Arial"/>
                <w:sz w:val="20"/>
              </w:rPr>
              <w:t>peón</w:t>
            </w:r>
          </w:p>
        </w:tc>
        <w:tc>
          <w:tcPr>
            <w:tcW w:w="1474" w:type="dxa"/>
          </w:tcPr>
          <w:p>
            <w:pPr>
              <w:pStyle w:val="TableParagraph"/>
              <w:spacing w:line="204" w:lineRule="exact"/>
              <w:ind w:left="148" w:firstLine="55"/>
              <w:jc w:val="left"/>
              <w:rPr>
                <w:rFonts w:ascii="Arial"/>
                <w:sz w:val="20"/>
              </w:rPr>
            </w:pPr>
            <w:r>
              <w:rPr>
                <w:rFonts w:ascii="Arial"/>
                <w:sz w:val="20"/>
              </w:rPr>
              <w:t>(no contrata</w:t>
            </w:r>
          </w:p>
          <w:p>
            <w:pPr>
              <w:pStyle w:val="TableParagraph"/>
              <w:spacing w:before="10"/>
              <w:ind w:left="148"/>
              <w:jc w:val="left"/>
              <w:rPr>
                <w:rFonts w:ascii="Arial"/>
                <w:sz w:val="20"/>
              </w:rPr>
            </w:pPr>
            <w:r>
              <w:rPr>
                <w:rFonts w:ascii="Arial"/>
                <w:sz w:val="20"/>
              </w:rPr>
              <w:t>trabajadores)</w:t>
            </w:r>
          </w:p>
        </w:tc>
        <w:tc>
          <w:tcPr>
            <w:tcW w:w="1261" w:type="dxa"/>
          </w:tcPr>
          <w:p>
            <w:pPr>
              <w:pStyle w:val="TableParagraph"/>
              <w:spacing w:line="204" w:lineRule="exact"/>
              <w:ind w:left="227" w:right="14"/>
              <w:jc w:val="center"/>
              <w:rPr>
                <w:rFonts w:ascii="Arial"/>
                <w:sz w:val="20"/>
              </w:rPr>
            </w:pPr>
            <w:r>
              <w:rPr>
                <w:rFonts w:ascii="Arial"/>
                <w:sz w:val="20"/>
              </w:rPr>
              <w:t>un negocio</w:t>
            </w:r>
          </w:p>
          <w:p>
            <w:pPr>
              <w:pStyle w:val="TableParagraph"/>
              <w:spacing w:before="10"/>
              <w:ind w:left="227" w:right="13"/>
              <w:jc w:val="center"/>
              <w:rPr>
                <w:rFonts w:ascii="Arial"/>
                <w:sz w:val="20"/>
              </w:rPr>
            </w:pPr>
            <w:r>
              <w:rPr>
                <w:rFonts w:ascii="Arial"/>
                <w:sz w:val="20"/>
              </w:rPr>
              <w:t>familiar</w:t>
            </w:r>
          </w:p>
        </w:tc>
      </w:tr>
      <w:tr>
        <w:trPr>
          <w:trHeight w:val="326" w:hRule="exact"/>
        </w:trPr>
        <w:tc>
          <w:tcPr>
            <w:tcW w:w="616" w:type="dxa"/>
          </w:tcPr>
          <w:p>
            <w:pPr>
              <w:pStyle w:val="TableParagraph"/>
              <w:spacing w:before="49"/>
              <w:ind w:left="16" w:right="49"/>
              <w:jc w:val="center"/>
              <w:rPr>
                <w:rFonts w:ascii="Arial" w:hAnsi="Arial"/>
                <w:sz w:val="20"/>
              </w:rPr>
            </w:pPr>
            <w:r>
              <w:rPr>
                <w:rFonts w:ascii="Arial" w:hAnsi="Arial"/>
                <w:sz w:val="20"/>
              </w:rPr>
              <w:t>Niñas</w:t>
            </w:r>
          </w:p>
        </w:tc>
        <w:tc>
          <w:tcPr>
            <w:tcW w:w="1471" w:type="dxa"/>
          </w:tcPr>
          <w:p>
            <w:pPr>
              <w:pStyle w:val="TableParagraph"/>
              <w:spacing w:before="55"/>
              <w:ind w:right="538"/>
              <w:rPr>
                <w:rFonts w:ascii="Arial"/>
                <w:sz w:val="20"/>
              </w:rPr>
            </w:pPr>
            <w:r>
              <w:rPr>
                <w:rFonts w:ascii="Arial"/>
                <w:sz w:val="20"/>
              </w:rPr>
              <w:t>28.1</w:t>
            </w:r>
          </w:p>
        </w:tc>
        <w:tc>
          <w:tcPr>
            <w:tcW w:w="1474" w:type="dxa"/>
          </w:tcPr>
          <w:p>
            <w:pPr>
              <w:pStyle w:val="TableParagraph"/>
              <w:spacing w:before="55"/>
              <w:ind w:left="576" w:right="565"/>
              <w:jc w:val="center"/>
              <w:rPr>
                <w:rFonts w:ascii="Arial"/>
                <w:sz w:val="20"/>
              </w:rPr>
            </w:pPr>
            <w:r>
              <w:rPr>
                <w:rFonts w:ascii="Arial"/>
                <w:sz w:val="20"/>
              </w:rPr>
              <w:t>2.0</w:t>
            </w:r>
          </w:p>
        </w:tc>
        <w:tc>
          <w:tcPr>
            <w:tcW w:w="1474" w:type="dxa"/>
          </w:tcPr>
          <w:p>
            <w:pPr>
              <w:pStyle w:val="TableParagraph"/>
              <w:spacing w:before="55"/>
              <w:ind w:right="590"/>
              <w:rPr>
                <w:rFonts w:ascii="Arial"/>
                <w:sz w:val="20"/>
              </w:rPr>
            </w:pPr>
            <w:r>
              <w:rPr>
                <w:rFonts w:ascii="Arial"/>
                <w:sz w:val="20"/>
              </w:rPr>
              <w:t>0.9</w:t>
            </w:r>
          </w:p>
        </w:tc>
        <w:tc>
          <w:tcPr>
            <w:tcW w:w="1474" w:type="dxa"/>
          </w:tcPr>
          <w:p>
            <w:pPr>
              <w:pStyle w:val="TableParagraph"/>
              <w:spacing w:before="55"/>
              <w:ind w:left="570" w:right="572"/>
              <w:jc w:val="center"/>
              <w:rPr>
                <w:rFonts w:ascii="Arial"/>
                <w:sz w:val="20"/>
              </w:rPr>
            </w:pPr>
            <w:r>
              <w:rPr>
                <w:rFonts w:ascii="Arial"/>
                <w:sz w:val="20"/>
              </w:rPr>
              <w:t>2.4</w:t>
            </w:r>
          </w:p>
        </w:tc>
        <w:tc>
          <w:tcPr>
            <w:tcW w:w="1261" w:type="dxa"/>
          </w:tcPr>
          <w:p>
            <w:pPr>
              <w:pStyle w:val="TableParagraph"/>
              <w:spacing w:before="55"/>
              <w:ind w:left="595"/>
              <w:jc w:val="left"/>
              <w:rPr>
                <w:rFonts w:ascii="Arial"/>
                <w:sz w:val="20"/>
              </w:rPr>
            </w:pPr>
            <w:r>
              <w:rPr>
                <w:rFonts w:ascii="Arial"/>
                <w:sz w:val="20"/>
              </w:rPr>
              <w:t>0.4</w:t>
            </w:r>
          </w:p>
        </w:tc>
      </w:tr>
      <w:tr>
        <w:trPr>
          <w:trHeight w:val="331" w:hRule="exact"/>
        </w:trPr>
        <w:tc>
          <w:tcPr>
            <w:tcW w:w="616" w:type="dxa"/>
          </w:tcPr>
          <w:p>
            <w:pPr>
              <w:pStyle w:val="TableParagraph"/>
              <w:spacing w:before="53"/>
              <w:ind w:left="16" w:right="49"/>
              <w:jc w:val="center"/>
              <w:rPr>
                <w:rFonts w:ascii="Arial" w:hAnsi="Arial"/>
                <w:sz w:val="20"/>
              </w:rPr>
            </w:pPr>
            <w:r>
              <w:rPr>
                <w:rFonts w:ascii="Arial" w:hAnsi="Arial"/>
                <w:sz w:val="20"/>
              </w:rPr>
              <w:t>Niños</w:t>
            </w:r>
          </w:p>
        </w:tc>
        <w:tc>
          <w:tcPr>
            <w:tcW w:w="1471" w:type="dxa"/>
          </w:tcPr>
          <w:p>
            <w:pPr>
              <w:pStyle w:val="TableParagraph"/>
              <w:spacing w:before="59"/>
              <w:ind w:right="538"/>
              <w:rPr>
                <w:rFonts w:ascii="Arial"/>
                <w:sz w:val="20"/>
              </w:rPr>
            </w:pPr>
            <w:r>
              <w:rPr>
                <w:rFonts w:ascii="Arial"/>
                <w:sz w:val="20"/>
              </w:rPr>
              <w:t>36.6</w:t>
            </w:r>
          </w:p>
        </w:tc>
        <w:tc>
          <w:tcPr>
            <w:tcW w:w="1474" w:type="dxa"/>
          </w:tcPr>
          <w:p>
            <w:pPr>
              <w:pStyle w:val="TableParagraph"/>
              <w:spacing w:before="59"/>
              <w:ind w:left="576" w:right="565"/>
              <w:jc w:val="center"/>
              <w:rPr>
                <w:rFonts w:ascii="Arial"/>
                <w:sz w:val="20"/>
              </w:rPr>
            </w:pPr>
            <w:r>
              <w:rPr>
                <w:rFonts w:ascii="Arial"/>
                <w:sz w:val="20"/>
              </w:rPr>
              <w:t>5.2</w:t>
            </w:r>
          </w:p>
        </w:tc>
        <w:tc>
          <w:tcPr>
            <w:tcW w:w="1474" w:type="dxa"/>
          </w:tcPr>
          <w:p>
            <w:pPr>
              <w:pStyle w:val="TableParagraph"/>
              <w:spacing w:before="59"/>
              <w:ind w:right="539"/>
              <w:rPr>
                <w:rFonts w:ascii="Arial"/>
                <w:sz w:val="20"/>
              </w:rPr>
            </w:pPr>
            <w:r>
              <w:rPr>
                <w:rFonts w:ascii="Arial"/>
                <w:sz w:val="20"/>
              </w:rPr>
              <w:t>12.9</w:t>
            </w:r>
          </w:p>
        </w:tc>
        <w:tc>
          <w:tcPr>
            <w:tcW w:w="1474" w:type="dxa"/>
          </w:tcPr>
          <w:p>
            <w:pPr>
              <w:pStyle w:val="TableParagraph"/>
              <w:spacing w:before="59"/>
              <w:ind w:left="573" w:right="572"/>
              <w:jc w:val="center"/>
              <w:rPr>
                <w:rFonts w:ascii="Arial"/>
                <w:sz w:val="20"/>
              </w:rPr>
            </w:pPr>
            <w:r>
              <w:rPr>
                <w:rFonts w:ascii="Arial"/>
                <w:sz w:val="20"/>
              </w:rPr>
              <w:t>1.1</w:t>
            </w:r>
          </w:p>
        </w:tc>
        <w:tc>
          <w:tcPr>
            <w:tcW w:w="1261" w:type="dxa"/>
          </w:tcPr>
          <w:p>
            <w:pPr>
              <w:pStyle w:val="TableParagraph"/>
              <w:spacing w:before="59"/>
              <w:ind w:left="542"/>
              <w:jc w:val="left"/>
              <w:rPr>
                <w:rFonts w:ascii="Arial"/>
                <w:sz w:val="20"/>
              </w:rPr>
            </w:pPr>
            <w:r>
              <w:rPr>
                <w:rFonts w:ascii="Arial"/>
                <w:sz w:val="20"/>
              </w:rPr>
              <w:t>10.3</w:t>
            </w:r>
          </w:p>
        </w:tc>
      </w:tr>
    </w:tbl>
    <w:p>
      <w:pPr>
        <w:spacing w:before="121"/>
        <w:ind w:left="627" w:right="0" w:firstLine="0"/>
        <w:jc w:val="left"/>
        <w:rPr>
          <w:sz w:val="17"/>
        </w:rPr>
      </w:pPr>
      <w:r>
        <w:rPr>
          <w:color w:val="231F20"/>
          <w:sz w:val="17"/>
        </w:rPr>
        <w:t>Fuente: elaboración propia con datos de la Encuesta Nacional de la Dinámica Demográfica 2009, INEGI.</w:t>
      </w:r>
    </w:p>
    <w:p>
      <w:pPr>
        <w:spacing w:after="0"/>
        <w:jc w:val="left"/>
        <w:rPr>
          <w:sz w:val="17"/>
        </w:rPr>
        <w:sectPr>
          <w:footerReference w:type="default" r:id="rId251"/>
          <w:pgSz w:w="13040" w:h="9360" w:orient="landscape"/>
          <w:pgMar w:footer="0" w:header="0" w:top="0" w:bottom="280" w:left="1300" w:right="1840"/>
        </w:sectPr>
      </w:pPr>
    </w:p>
    <w:p>
      <w:pPr>
        <w:spacing w:before="45"/>
        <w:ind w:left="400" w:right="0" w:firstLine="563"/>
        <w:jc w:val="left"/>
        <w:rPr>
          <w:rFonts w:ascii="Arial" w:hAnsi="Arial"/>
          <w:sz w:val="20"/>
        </w:rPr>
      </w:pPr>
      <w:r>
        <w:rPr>
          <w:rFonts w:ascii="Arial" w:hAnsi="Arial"/>
          <w:color w:val="231F20"/>
          <w:w w:val="65"/>
          <w:sz w:val="20"/>
        </w:rPr>
        <w:t>Un</w:t>
      </w:r>
      <w:r>
        <w:rPr>
          <w:rFonts w:ascii="Arial" w:hAnsi="Arial"/>
          <w:color w:val="231F20"/>
          <w:spacing w:val="-11"/>
          <w:w w:val="65"/>
          <w:sz w:val="20"/>
        </w:rPr>
        <w:t> </w:t>
      </w:r>
      <w:r>
        <w:rPr>
          <w:rFonts w:ascii="Arial" w:hAnsi="Arial"/>
          <w:color w:val="231F20"/>
          <w:w w:val="65"/>
          <w:sz w:val="20"/>
        </w:rPr>
        <w:t>actor</w:t>
      </w:r>
      <w:r>
        <w:rPr>
          <w:rFonts w:ascii="Arial" w:hAnsi="Arial"/>
          <w:color w:val="231F20"/>
          <w:spacing w:val="-11"/>
          <w:w w:val="65"/>
          <w:sz w:val="20"/>
        </w:rPr>
        <w:t> </w:t>
      </w:r>
      <w:r>
        <w:rPr>
          <w:rFonts w:ascii="Arial" w:hAnsi="Arial"/>
          <w:color w:val="231F20"/>
          <w:w w:val="65"/>
          <w:sz w:val="20"/>
        </w:rPr>
        <w:t>más</w:t>
      </w:r>
      <w:r>
        <w:rPr>
          <w:rFonts w:ascii="Arial" w:hAnsi="Arial"/>
          <w:color w:val="231F20"/>
          <w:spacing w:val="-11"/>
          <w:w w:val="65"/>
          <w:sz w:val="20"/>
        </w:rPr>
        <w:t> </w:t>
      </w:r>
      <w:r>
        <w:rPr>
          <w:rFonts w:ascii="Arial" w:hAnsi="Arial"/>
          <w:color w:val="231F20"/>
          <w:w w:val="65"/>
          <w:sz w:val="20"/>
        </w:rPr>
        <w:t>en</w:t>
      </w:r>
      <w:r>
        <w:rPr>
          <w:rFonts w:ascii="Arial" w:hAnsi="Arial"/>
          <w:color w:val="231F20"/>
          <w:spacing w:val="-11"/>
          <w:w w:val="65"/>
          <w:sz w:val="20"/>
        </w:rPr>
        <w:t> </w:t>
      </w:r>
      <w:r>
        <w:rPr>
          <w:rFonts w:ascii="Arial" w:hAnsi="Arial"/>
          <w:color w:val="231F20"/>
          <w:w w:val="65"/>
          <w:sz w:val="20"/>
        </w:rPr>
        <w:t>los</w:t>
      </w:r>
      <w:r>
        <w:rPr>
          <w:rFonts w:ascii="Arial" w:hAnsi="Arial"/>
          <w:color w:val="231F20"/>
          <w:spacing w:val="-11"/>
          <w:w w:val="65"/>
          <w:sz w:val="20"/>
        </w:rPr>
        <w:t> </w:t>
      </w:r>
      <w:r>
        <w:rPr>
          <w:rFonts w:ascii="Arial" w:hAnsi="Arial"/>
          <w:color w:val="231F20"/>
          <w:w w:val="65"/>
          <w:sz w:val="20"/>
        </w:rPr>
        <w:t>procesos</w:t>
      </w:r>
      <w:r>
        <w:rPr>
          <w:rFonts w:ascii="Arial" w:hAnsi="Arial"/>
          <w:color w:val="231F20"/>
          <w:spacing w:val="-11"/>
          <w:w w:val="65"/>
          <w:sz w:val="20"/>
        </w:rPr>
        <w:t> </w:t>
      </w:r>
      <w:r>
        <w:rPr>
          <w:rFonts w:ascii="Arial" w:hAnsi="Arial"/>
          <w:color w:val="231F20"/>
          <w:w w:val="65"/>
          <w:sz w:val="20"/>
        </w:rPr>
        <w:t>migratorios:...</w:t>
      </w:r>
      <w:r>
        <w:rPr>
          <w:rFonts w:ascii="Arial" w:hAnsi="Arial"/>
          <w:color w:val="231F20"/>
          <w:spacing w:val="-11"/>
          <w:w w:val="65"/>
          <w:sz w:val="20"/>
        </w:rPr>
        <w:t> </w:t>
      </w:r>
      <w:r>
        <w:rPr>
          <w:rFonts w:ascii="Arial" w:hAnsi="Arial"/>
          <w:color w:val="231F20"/>
          <w:w w:val="65"/>
          <w:sz w:val="20"/>
        </w:rPr>
        <w:t>/Silvia</w:t>
      </w:r>
      <w:r>
        <w:rPr>
          <w:rFonts w:ascii="Arial" w:hAnsi="Arial"/>
          <w:color w:val="231F20"/>
          <w:spacing w:val="-19"/>
          <w:w w:val="65"/>
          <w:sz w:val="20"/>
        </w:rPr>
        <w:t> </w:t>
      </w:r>
      <w:r>
        <w:rPr>
          <w:rFonts w:ascii="Arial" w:hAnsi="Arial"/>
          <w:color w:val="231F20"/>
          <w:w w:val="65"/>
          <w:sz w:val="20"/>
        </w:rPr>
        <w:t>L.</w:t>
      </w:r>
      <w:r>
        <w:rPr>
          <w:rFonts w:ascii="Arial" w:hAnsi="Arial"/>
          <w:color w:val="231F20"/>
          <w:spacing w:val="-19"/>
          <w:w w:val="65"/>
          <w:sz w:val="20"/>
        </w:rPr>
        <w:t> </w:t>
      </w:r>
      <w:r>
        <w:rPr>
          <w:rFonts w:ascii="Arial" w:hAnsi="Arial"/>
          <w:color w:val="231F20"/>
          <w:w w:val="65"/>
          <w:sz w:val="20"/>
        </w:rPr>
        <w:t>Aguilar-Velázquez</w:t>
      </w:r>
      <w:r>
        <w:rPr>
          <w:rFonts w:ascii="Arial" w:hAnsi="Arial"/>
          <w:color w:val="231F20"/>
          <w:spacing w:val="-19"/>
          <w:w w:val="65"/>
          <w:sz w:val="20"/>
        </w:rPr>
        <w:t> </w:t>
      </w:r>
      <w:r>
        <w:rPr>
          <w:rFonts w:ascii="Arial" w:hAnsi="Arial"/>
          <w:color w:val="231F20"/>
          <w:w w:val="65"/>
          <w:sz w:val="20"/>
        </w:rPr>
        <w:t>y</w:t>
      </w:r>
      <w:r>
        <w:rPr>
          <w:rFonts w:ascii="Arial" w:hAnsi="Arial"/>
          <w:color w:val="231F20"/>
          <w:spacing w:val="-19"/>
          <w:w w:val="65"/>
          <w:sz w:val="20"/>
        </w:rPr>
        <w:t> </w:t>
      </w:r>
      <w:r>
        <w:rPr>
          <w:rFonts w:ascii="Arial" w:hAnsi="Arial"/>
          <w:color w:val="231F20"/>
          <w:w w:val="65"/>
          <w:sz w:val="20"/>
        </w:rPr>
        <w:t>Belinda</w:t>
      </w:r>
      <w:r>
        <w:rPr>
          <w:rFonts w:ascii="Arial" w:hAnsi="Arial"/>
          <w:color w:val="231F20"/>
          <w:spacing w:val="-19"/>
          <w:w w:val="65"/>
          <w:sz w:val="20"/>
        </w:rPr>
        <w:t> </w:t>
      </w:r>
      <w:r>
        <w:rPr>
          <w:rFonts w:ascii="Arial" w:hAnsi="Arial"/>
          <w:color w:val="231F20"/>
          <w:w w:val="65"/>
          <w:sz w:val="20"/>
        </w:rPr>
        <w:t>Ordóñez-Vázquez</w:t>
      </w:r>
    </w:p>
    <w:p>
      <w:pPr>
        <w:pStyle w:val="BodyText"/>
        <w:spacing w:before="7"/>
        <w:rPr>
          <w:rFonts w:ascii="Arial"/>
          <w:sz w:val="28"/>
        </w:rPr>
      </w:pPr>
    </w:p>
    <w:p>
      <w:pPr>
        <w:pStyle w:val="BodyText"/>
        <w:spacing w:line="247" w:lineRule="auto"/>
        <w:ind w:left="117" w:right="121" w:firstLine="283"/>
        <w:jc w:val="both"/>
      </w:pPr>
      <w:r>
        <w:rPr>
          <w:color w:val="231F20"/>
        </w:rPr>
        <w:t>Los rasgos analizados permiten corroborar que la fuerza de trabajo in- fantil migrante es la fuerza de trabajo más vulnerable, a la cual se le ha robado</w:t>
      </w:r>
      <w:r>
        <w:rPr>
          <w:color w:val="231F20"/>
          <w:spacing w:val="-12"/>
        </w:rPr>
        <w:t> </w:t>
      </w:r>
      <w:r>
        <w:rPr>
          <w:color w:val="231F20"/>
        </w:rPr>
        <w:t>su</w:t>
      </w:r>
      <w:r>
        <w:rPr>
          <w:color w:val="231F20"/>
          <w:spacing w:val="-12"/>
        </w:rPr>
        <w:t> </w:t>
      </w:r>
      <w:r>
        <w:rPr>
          <w:color w:val="231F20"/>
        </w:rPr>
        <w:t>niñez,</w:t>
      </w:r>
      <w:r>
        <w:rPr>
          <w:color w:val="231F20"/>
          <w:spacing w:val="-12"/>
        </w:rPr>
        <w:t> </w:t>
      </w:r>
      <w:r>
        <w:rPr>
          <w:color w:val="231F20"/>
        </w:rPr>
        <w:t>el</w:t>
      </w:r>
      <w:r>
        <w:rPr>
          <w:color w:val="231F20"/>
          <w:spacing w:val="-12"/>
        </w:rPr>
        <w:t> </w:t>
      </w:r>
      <w:r>
        <w:rPr>
          <w:color w:val="231F20"/>
        </w:rPr>
        <w:t>mayor</w:t>
      </w:r>
      <w:r>
        <w:rPr>
          <w:color w:val="231F20"/>
          <w:spacing w:val="-12"/>
        </w:rPr>
        <w:t> </w:t>
      </w:r>
      <w:r>
        <w:rPr>
          <w:color w:val="231F20"/>
        </w:rPr>
        <w:t>porcentaje</w:t>
      </w:r>
      <w:r>
        <w:rPr>
          <w:color w:val="231F20"/>
          <w:spacing w:val="-12"/>
        </w:rPr>
        <w:t> </w:t>
      </w:r>
      <w:r>
        <w:rPr>
          <w:color w:val="231F20"/>
        </w:rPr>
        <w:t>se</w:t>
      </w:r>
      <w:r>
        <w:rPr>
          <w:color w:val="231F20"/>
          <w:spacing w:val="-12"/>
        </w:rPr>
        <w:t> </w:t>
      </w:r>
      <w:r>
        <w:rPr>
          <w:color w:val="231F20"/>
        </w:rPr>
        <w:t>encuentra</w:t>
      </w:r>
      <w:r>
        <w:rPr>
          <w:color w:val="231F20"/>
          <w:spacing w:val="-13"/>
        </w:rPr>
        <w:t> </w:t>
      </w:r>
      <w:r>
        <w:rPr>
          <w:color w:val="231F20"/>
        </w:rPr>
        <w:t>exclusivamente</w:t>
      </w:r>
      <w:r>
        <w:rPr>
          <w:color w:val="231F20"/>
          <w:spacing w:val="-12"/>
        </w:rPr>
        <w:t> </w:t>
      </w:r>
      <w:r>
        <w:rPr>
          <w:color w:val="231F20"/>
        </w:rPr>
        <w:t>laboran- do, sujeto a la explotación económica, recibiendo los salarios más bajos, trabajando</w:t>
      </w:r>
      <w:r>
        <w:rPr>
          <w:color w:val="231F20"/>
          <w:spacing w:val="-13"/>
        </w:rPr>
        <w:t> </w:t>
      </w:r>
      <w:r>
        <w:rPr>
          <w:color w:val="231F20"/>
        </w:rPr>
        <w:t>en</w:t>
      </w:r>
      <w:r>
        <w:rPr>
          <w:color w:val="231F20"/>
          <w:spacing w:val="-12"/>
        </w:rPr>
        <w:t> </w:t>
      </w:r>
      <w:r>
        <w:rPr>
          <w:color w:val="231F20"/>
        </w:rPr>
        <w:t>deplorables</w:t>
      </w:r>
      <w:r>
        <w:rPr>
          <w:color w:val="231F20"/>
          <w:spacing w:val="-12"/>
        </w:rPr>
        <w:t> </w:t>
      </w:r>
      <w:r>
        <w:rPr>
          <w:color w:val="231F20"/>
        </w:rPr>
        <w:t>condiciones</w:t>
      </w:r>
      <w:r>
        <w:rPr>
          <w:color w:val="231F20"/>
          <w:spacing w:val="-13"/>
        </w:rPr>
        <w:t> </w:t>
      </w:r>
      <w:r>
        <w:rPr>
          <w:color w:val="231F20"/>
        </w:rPr>
        <w:t>y</w:t>
      </w:r>
      <w:r>
        <w:rPr>
          <w:color w:val="231F20"/>
          <w:spacing w:val="-12"/>
        </w:rPr>
        <w:t> </w:t>
      </w:r>
      <w:r>
        <w:rPr>
          <w:color w:val="231F20"/>
        </w:rPr>
        <w:t>probablemente</w:t>
      </w:r>
      <w:r>
        <w:rPr>
          <w:color w:val="231F20"/>
          <w:spacing w:val="-12"/>
        </w:rPr>
        <w:t> </w:t>
      </w:r>
      <w:r>
        <w:rPr>
          <w:color w:val="231F20"/>
        </w:rPr>
        <w:t>lejos</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rPr>
        <w:t>familia.</w:t>
      </w:r>
    </w:p>
    <w:p>
      <w:pPr>
        <w:pStyle w:val="Heading3"/>
      </w:pPr>
      <w:r>
        <w:rPr>
          <w:color w:val="231F20"/>
        </w:rPr>
        <w:t>Conclusiones</w:t>
      </w:r>
    </w:p>
    <w:p>
      <w:pPr>
        <w:pStyle w:val="BodyText"/>
        <w:spacing w:line="247" w:lineRule="auto" w:before="172"/>
        <w:ind w:left="117" w:right="120"/>
        <w:jc w:val="both"/>
      </w:pPr>
      <w:r>
        <w:rPr>
          <w:color w:val="231F20"/>
        </w:rPr>
        <w:t>Los resultados obtenidos permiten visualizar que la migración interna de la fuerza laboral infantil tiene una incidencia importante en el mercado de trabajo mexicano; los niños trabajadores también tienen la necesidad in- mediata</w:t>
      </w:r>
      <w:r>
        <w:rPr>
          <w:color w:val="231F20"/>
          <w:spacing w:val="-7"/>
        </w:rPr>
        <w:t> </w:t>
      </w:r>
      <w:r>
        <w:rPr>
          <w:color w:val="231F20"/>
        </w:rPr>
        <w:t>de</w:t>
      </w:r>
      <w:r>
        <w:rPr>
          <w:color w:val="231F20"/>
          <w:spacing w:val="-7"/>
        </w:rPr>
        <w:t> </w:t>
      </w:r>
      <w:r>
        <w:rPr>
          <w:color w:val="231F20"/>
        </w:rPr>
        <w:t>migrar</w:t>
      </w:r>
      <w:r>
        <w:rPr>
          <w:color w:val="231F20"/>
          <w:spacing w:val="-7"/>
        </w:rPr>
        <w:t> </w:t>
      </w:r>
      <w:r>
        <w:rPr>
          <w:color w:val="231F20"/>
        </w:rPr>
        <w:t>por</w:t>
      </w:r>
      <w:r>
        <w:rPr>
          <w:color w:val="231F20"/>
          <w:spacing w:val="-7"/>
        </w:rPr>
        <w:t> </w:t>
      </w:r>
      <w:r>
        <w:rPr>
          <w:color w:val="231F20"/>
        </w:rPr>
        <w:t>diferentes</w:t>
      </w:r>
      <w:r>
        <w:rPr>
          <w:color w:val="231F20"/>
          <w:spacing w:val="-7"/>
        </w:rPr>
        <w:t> </w:t>
      </w:r>
      <w:r>
        <w:rPr>
          <w:color w:val="231F20"/>
        </w:rPr>
        <w:t>factores,</w:t>
      </w:r>
      <w:r>
        <w:rPr>
          <w:color w:val="231F20"/>
          <w:spacing w:val="-7"/>
        </w:rPr>
        <w:t> </w:t>
      </w:r>
      <w:r>
        <w:rPr>
          <w:color w:val="231F20"/>
        </w:rPr>
        <w:t>puede</w:t>
      </w:r>
      <w:r>
        <w:rPr>
          <w:color w:val="231F20"/>
          <w:spacing w:val="-7"/>
        </w:rPr>
        <w:t> </w:t>
      </w:r>
      <w:r>
        <w:rPr>
          <w:color w:val="231F20"/>
        </w:rPr>
        <w:t>que</w:t>
      </w:r>
      <w:r>
        <w:rPr>
          <w:color w:val="231F20"/>
          <w:spacing w:val="-7"/>
        </w:rPr>
        <w:t> </w:t>
      </w:r>
      <w:r>
        <w:rPr>
          <w:color w:val="231F20"/>
        </w:rPr>
        <w:t>migren</w:t>
      </w:r>
      <w:r>
        <w:rPr>
          <w:color w:val="231F20"/>
          <w:spacing w:val="-7"/>
        </w:rPr>
        <w:t> </w:t>
      </w:r>
      <w:r>
        <w:rPr>
          <w:color w:val="231F20"/>
        </w:rPr>
        <w:t>acompañados de su familia, lo realicen de manera individual o en pequeños grupos,</w:t>
      </w:r>
      <w:r>
        <w:rPr>
          <w:color w:val="231F20"/>
          <w:spacing w:val="-27"/>
        </w:rPr>
        <w:t> </w:t>
      </w:r>
      <w:r>
        <w:rPr>
          <w:color w:val="231F20"/>
        </w:rPr>
        <w:t>ade- más</w:t>
      </w:r>
      <w:r>
        <w:rPr>
          <w:color w:val="231F20"/>
          <w:spacing w:val="-6"/>
        </w:rPr>
        <w:t> </w:t>
      </w:r>
      <w:r>
        <w:rPr>
          <w:color w:val="231F20"/>
        </w:rPr>
        <w:t>el</w:t>
      </w:r>
      <w:r>
        <w:rPr>
          <w:color w:val="231F20"/>
          <w:spacing w:val="-6"/>
        </w:rPr>
        <w:t> </w:t>
      </w:r>
      <w:r>
        <w:rPr>
          <w:color w:val="231F20"/>
        </w:rPr>
        <w:t>mayor</w:t>
      </w:r>
      <w:r>
        <w:rPr>
          <w:color w:val="231F20"/>
          <w:spacing w:val="-6"/>
        </w:rPr>
        <w:t> </w:t>
      </w:r>
      <w:r>
        <w:rPr>
          <w:color w:val="231F20"/>
        </w:rPr>
        <w:t>porcentaje</w:t>
      </w:r>
      <w:r>
        <w:rPr>
          <w:color w:val="231F20"/>
          <w:spacing w:val="-5"/>
        </w:rPr>
        <w:t> </w:t>
      </w:r>
      <w:r>
        <w:rPr>
          <w:color w:val="231F20"/>
        </w:rPr>
        <w:t>de</w:t>
      </w:r>
      <w:r>
        <w:rPr>
          <w:color w:val="231F20"/>
          <w:spacing w:val="-6"/>
        </w:rPr>
        <w:t> </w:t>
      </w:r>
      <w:r>
        <w:rPr>
          <w:color w:val="231F20"/>
        </w:rPr>
        <w:t>ésta</w:t>
      </w:r>
      <w:r>
        <w:rPr>
          <w:color w:val="231F20"/>
          <w:spacing w:val="-6"/>
        </w:rPr>
        <w:t> </w:t>
      </w:r>
      <w:r>
        <w:rPr>
          <w:color w:val="231F20"/>
        </w:rPr>
        <w:t>fuerza</w:t>
      </w:r>
      <w:r>
        <w:rPr>
          <w:color w:val="231F20"/>
          <w:spacing w:val="-6"/>
        </w:rPr>
        <w:t> </w:t>
      </w:r>
      <w:r>
        <w:rPr>
          <w:color w:val="231F20"/>
        </w:rPr>
        <w:t>de</w:t>
      </w:r>
      <w:r>
        <w:rPr>
          <w:color w:val="231F20"/>
          <w:spacing w:val="-6"/>
        </w:rPr>
        <w:t> </w:t>
      </w:r>
      <w:r>
        <w:rPr>
          <w:color w:val="231F20"/>
        </w:rPr>
        <w:t>trabajo</w:t>
      </w:r>
      <w:r>
        <w:rPr>
          <w:color w:val="231F20"/>
          <w:spacing w:val="-6"/>
        </w:rPr>
        <w:t> </w:t>
      </w:r>
      <w:r>
        <w:rPr>
          <w:color w:val="231F20"/>
        </w:rPr>
        <w:t>se</w:t>
      </w:r>
      <w:r>
        <w:rPr>
          <w:color w:val="231F20"/>
          <w:spacing w:val="-5"/>
        </w:rPr>
        <w:t> </w:t>
      </w:r>
      <w:r>
        <w:rPr>
          <w:color w:val="231F20"/>
        </w:rPr>
        <w:t>desplaza</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estados con mayor grado de desarrollo económico, como Nuevo León y el Estado de México, por mencionar algunos. Por su parte, los estados que obligan</w:t>
      </w:r>
      <w:r>
        <w:rPr>
          <w:color w:val="231F20"/>
          <w:spacing w:val="-33"/>
        </w:rPr>
        <w:t> </w:t>
      </w:r>
      <w:r>
        <w:rPr>
          <w:color w:val="231F20"/>
        </w:rPr>
        <w:t>a los</w:t>
      </w:r>
      <w:r>
        <w:rPr>
          <w:color w:val="231F20"/>
          <w:spacing w:val="-10"/>
        </w:rPr>
        <w:t> </w:t>
      </w:r>
      <w:r>
        <w:rPr>
          <w:color w:val="231F20"/>
        </w:rPr>
        <w:t>infantes</w:t>
      </w:r>
      <w:r>
        <w:rPr>
          <w:color w:val="231F20"/>
          <w:spacing w:val="-10"/>
        </w:rPr>
        <w:t> </w:t>
      </w:r>
      <w:r>
        <w:rPr>
          <w:color w:val="231F20"/>
        </w:rPr>
        <w:t>a</w:t>
      </w:r>
      <w:r>
        <w:rPr>
          <w:color w:val="231F20"/>
          <w:spacing w:val="-10"/>
        </w:rPr>
        <w:t> </w:t>
      </w:r>
      <w:r>
        <w:rPr>
          <w:color w:val="231F20"/>
        </w:rPr>
        <w:t>emigrar</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finalidad</w:t>
      </w:r>
      <w:r>
        <w:rPr>
          <w:color w:val="231F20"/>
          <w:spacing w:val="-11"/>
        </w:rPr>
        <w:t> </w:t>
      </w:r>
      <w:r>
        <w:rPr>
          <w:color w:val="231F20"/>
        </w:rPr>
        <w:t>de</w:t>
      </w:r>
      <w:r>
        <w:rPr>
          <w:color w:val="231F20"/>
          <w:spacing w:val="-10"/>
        </w:rPr>
        <w:t> </w:t>
      </w:r>
      <w:r>
        <w:rPr>
          <w:color w:val="231F20"/>
        </w:rPr>
        <w:t>insertarse</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mercados</w:t>
      </w:r>
      <w:r>
        <w:rPr>
          <w:color w:val="231F20"/>
          <w:spacing w:val="-10"/>
        </w:rPr>
        <w:t> </w:t>
      </w:r>
      <w:r>
        <w:rPr>
          <w:color w:val="231F20"/>
        </w:rPr>
        <w:t>labora- les de otros lugares distintos a los de su nacimiento se caracterizan por ser los más pobres y marginados como Guerrero, Chiapas y</w:t>
      </w:r>
      <w:r>
        <w:rPr>
          <w:color w:val="231F20"/>
          <w:spacing w:val="-23"/>
        </w:rPr>
        <w:t> </w:t>
      </w:r>
      <w:r>
        <w:rPr>
          <w:color w:val="231F20"/>
        </w:rPr>
        <w:t>Oaxaca.</w:t>
      </w:r>
    </w:p>
    <w:p>
      <w:pPr>
        <w:pStyle w:val="BodyText"/>
        <w:spacing w:line="247" w:lineRule="auto"/>
        <w:ind w:left="117" w:right="120" w:firstLine="283"/>
        <w:jc w:val="both"/>
      </w:pPr>
      <w:r>
        <w:rPr>
          <w:color w:val="231F20"/>
        </w:rPr>
        <w:t>Aunado</w:t>
      </w:r>
      <w:r>
        <w:rPr>
          <w:color w:val="231F20"/>
          <w:spacing w:val="-9"/>
        </w:rPr>
        <w:t> </w:t>
      </w:r>
      <w:r>
        <w:rPr>
          <w:color w:val="231F20"/>
        </w:rPr>
        <w:t>al</w:t>
      </w:r>
      <w:r>
        <w:rPr>
          <w:color w:val="231F20"/>
          <w:spacing w:val="-9"/>
        </w:rPr>
        <w:t> </w:t>
      </w:r>
      <w:r>
        <w:rPr>
          <w:color w:val="231F20"/>
        </w:rPr>
        <w:t>fenómeno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migración,</w:t>
      </w:r>
      <w:r>
        <w:rPr>
          <w:color w:val="231F20"/>
          <w:spacing w:val="-10"/>
        </w:rPr>
        <w:t> </w:t>
      </w:r>
      <w:r>
        <w:rPr>
          <w:color w:val="231F20"/>
        </w:rPr>
        <w:t>debemos</w:t>
      </w:r>
      <w:r>
        <w:rPr>
          <w:color w:val="231F20"/>
          <w:spacing w:val="-9"/>
        </w:rPr>
        <w:t> </w:t>
      </w:r>
      <w:r>
        <w:rPr>
          <w:color w:val="231F20"/>
        </w:rPr>
        <w:t>resaltar</w:t>
      </w:r>
      <w:r>
        <w:rPr>
          <w:color w:val="231F20"/>
          <w:spacing w:val="-9"/>
        </w:rPr>
        <w:t> </w:t>
      </w:r>
      <w:r>
        <w:rPr>
          <w:color w:val="231F20"/>
        </w:rPr>
        <w:t>que</w:t>
      </w:r>
      <w:r>
        <w:rPr>
          <w:color w:val="231F20"/>
          <w:spacing w:val="-9"/>
        </w:rPr>
        <w:t> </w:t>
      </w:r>
      <w:r>
        <w:rPr>
          <w:color w:val="231F20"/>
        </w:rPr>
        <w:t>de</w:t>
      </w:r>
      <w:r>
        <w:rPr>
          <w:color w:val="231F20"/>
          <w:spacing w:val="-9"/>
        </w:rPr>
        <w:t> </w:t>
      </w:r>
      <w:r>
        <w:rPr>
          <w:color w:val="231F20"/>
        </w:rPr>
        <w:t>por</w:t>
      </w:r>
      <w:r>
        <w:rPr>
          <w:color w:val="231F20"/>
          <w:spacing w:val="-9"/>
        </w:rPr>
        <w:t> </w:t>
      </w:r>
      <w:r>
        <w:rPr>
          <w:color w:val="231F20"/>
        </w:rPr>
        <w:t>sí</w:t>
      </w:r>
      <w:r>
        <w:rPr>
          <w:color w:val="231F20"/>
          <w:spacing w:val="-9"/>
        </w:rPr>
        <w:t> </w:t>
      </w:r>
      <w:r>
        <w:rPr>
          <w:color w:val="231F20"/>
        </w:rPr>
        <w:t>un niño trabajador pierde tiempo para su desarrollo integral, como asistir a la escuela, jugar, dormir y comer sanamente, la situación de migrar conlleva al infante a enfrentarse a otras situaciones más severas y con peligros in- minentes,</w:t>
      </w:r>
      <w:r>
        <w:rPr>
          <w:color w:val="231F20"/>
          <w:spacing w:val="-9"/>
        </w:rPr>
        <w:t> </w:t>
      </w:r>
      <w:r>
        <w:rPr>
          <w:color w:val="231F20"/>
        </w:rPr>
        <w:t>como</w:t>
      </w:r>
      <w:r>
        <w:rPr>
          <w:color w:val="231F20"/>
          <w:spacing w:val="-8"/>
        </w:rPr>
        <w:t> </w:t>
      </w:r>
      <w:r>
        <w:rPr>
          <w:color w:val="231F20"/>
        </w:rPr>
        <w:t>la</w:t>
      </w:r>
      <w:r>
        <w:rPr>
          <w:color w:val="231F20"/>
          <w:spacing w:val="-8"/>
        </w:rPr>
        <w:t> </w:t>
      </w:r>
      <w:r>
        <w:rPr>
          <w:color w:val="231F20"/>
        </w:rPr>
        <w:t>distancia,</w:t>
      </w:r>
      <w:r>
        <w:rPr>
          <w:color w:val="231F20"/>
          <w:spacing w:val="-8"/>
        </w:rPr>
        <w:t> </w:t>
      </w:r>
      <w:r>
        <w:rPr>
          <w:color w:val="231F20"/>
        </w:rPr>
        <w:t>pues</w:t>
      </w:r>
      <w:r>
        <w:rPr>
          <w:color w:val="231F20"/>
          <w:spacing w:val="-8"/>
        </w:rPr>
        <w:t> </w:t>
      </w:r>
      <w:r>
        <w:rPr>
          <w:color w:val="231F20"/>
        </w:rPr>
        <w:t>cuanto</w:t>
      </w:r>
      <w:r>
        <w:rPr>
          <w:color w:val="231F20"/>
          <w:spacing w:val="-8"/>
        </w:rPr>
        <w:t> </w:t>
      </w:r>
      <w:r>
        <w:rPr>
          <w:color w:val="231F20"/>
        </w:rPr>
        <w:t>más</w:t>
      </w:r>
      <w:r>
        <w:rPr>
          <w:color w:val="231F20"/>
          <w:spacing w:val="-8"/>
        </w:rPr>
        <w:t> </w:t>
      </w:r>
      <w:r>
        <w:rPr>
          <w:color w:val="231F20"/>
        </w:rPr>
        <w:t>lejos</w:t>
      </w:r>
      <w:r>
        <w:rPr>
          <w:color w:val="231F20"/>
          <w:spacing w:val="-8"/>
        </w:rPr>
        <w:t> </w:t>
      </w:r>
      <w:r>
        <w:rPr>
          <w:color w:val="231F20"/>
        </w:rPr>
        <w:t>está</w:t>
      </w:r>
      <w:r>
        <w:rPr>
          <w:color w:val="231F20"/>
          <w:spacing w:val="-8"/>
        </w:rPr>
        <w:t> </w:t>
      </w:r>
      <w:r>
        <w:rPr>
          <w:color w:val="231F20"/>
        </w:rPr>
        <w:t>el</w:t>
      </w:r>
      <w:r>
        <w:rPr>
          <w:color w:val="231F20"/>
          <w:spacing w:val="-8"/>
        </w:rPr>
        <w:t> </w:t>
      </w:r>
      <w:r>
        <w:rPr>
          <w:color w:val="231F20"/>
        </w:rPr>
        <w:t>lugar</w:t>
      </w:r>
      <w:r>
        <w:rPr>
          <w:color w:val="231F20"/>
          <w:spacing w:val="-8"/>
        </w:rPr>
        <w:t> </w:t>
      </w:r>
      <w:r>
        <w:rPr>
          <w:color w:val="231F20"/>
        </w:rPr>
        <w:t>de</w:t>
      </w:r>
      <w:r>
        <w:rPr>
          <w:color w:val="231F20"/>
          <w:spacing w:val="-8"/>
        </w:rPr>
        <w:t> </w:t>
      </w:r>
      <w:r>
        <w:rPr>
          <w:color w:val="231F20"/>
        </w:rPr>
        <w:t>destino, más</w:t>
      </w:r>
      <w:r>
        <w:rPr>
          <w:color w:val="231F20"/>
          <w:spacing w:val="-10"/>
        </w:rPr>
        <w:t> </w:t>
      </w:r>
      <w:r>
        <w:rPr>
          <w:color w:val="231F20"/>
        </w:rPr>
        <w:t>probable</w:t>
      </w:r>
      <w:r>
        <w:rPr>
          <w:color w:val="231F20"/>
          <w:spacing w:val="-9"/>
        </w:rPr>
        <w:t> </w:t>
      </w:r>
      <w:r>
        <w:rPr>
          <w:color w:val="231F20"/>
        </w:rPr>
        <w:t>es</w:t>
      </w:r>
      <w:r>
        <w:rPr>
          <w:color w:val="231F20"/>
          <w:spacing w:val="-9"/>
        </w:rPr>
        <w:t> </w:t>
      </w:r>
      <w:r>
        <w:rPr>
          <w:color w:val="231F20"/>
        </w:rPr>
        <w:t>que</w:t>
      </w:r>
      <w:r>
        <w:rPr>
          <w:color w:val="231F20"/>
          <w:spacing w:val="-9"/>
        </w:rPr>
        <w:t> </w:t>
      </w:r>
      <w:r>
        <w:rPr>
          <w:color w:val="231F20"/>
        </w:rPr>
        <w:t>los</w:t>
      </w:r>
      <w:r>
        <w:rPr>
          <w:color w:val="231F20"/>
          <w:spacing w:val="-10"/>
        </w:rPr>
        <w:t> </w:t>
      </w:r>
      <w:r>
        <w:rPr>
          <w:color w:val="231F20"/>
        </w:rPr>
        <w:t>costes</w:t>
      </w:r>
      <w:r>
        <w:rPr>
          <w:color w:val="231F20"/>
          <w:spacing w:val="-10"/>
        </w:rPr>
        <w:t> </w:t>
      </w:r>
      <w:r>
        <w:rPr>
          <w:color w:val="231F20"/>
        </w:rPr>
        <w:t>psíquicos</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ausencia</w:t>
      </w:r>
      <w:r>
        <w:rPr>
          <w:color w:val="231F20"/>
          <w:spacing w:val="-10"/>
        </w:rPr>
        <w:t> </w:t>
      </w:r>
      <w:r>
        <w:rPr>
          <w:color w:val="231F20"/>
        </w:rPr>
        <w:t>de</w:t>
      </w:r>
      <w:r>
        <w:rPr>
          <w:color w:val="231F20"/>
          <w:spacing w:val="-9"/>
        </w:rPr>
        <w:t> </w:t>
      </w:r>
      <w:r>
        <w:rPr>
          <w:color w:val="231F20"/>
        </w:rPr>
        <w:t>protección</w:t>
      </w:r>
      <w:r>
        <w:rPr>
          <w:color w:val="231F20"/>
          <w:spacing w:val="-9"/>
        </w:rPr>
        <w:t> </w:t>
      </w:r>
      <w:r>
        <w:rPr>
          <w:color w:val="231F20"/>
        </w:rPr>
        <w:t>de</w:t>
      </w:r>
      <w:r>
        <w:rPr>
          <w:color w:val="231F20"/>
          <w:spacing w:val="-9"/>
        </w:rPr>
        <w:t> </w:t>
      </w:r>
      <w:r>
        <w:rPr>
          <w:color w:val="231F20"/>
        </w:rPr>
        <w:t>sus derechos humanos más elementales sean</w:t>
      </w:r>
      <w:r>
        <w:rPr>
          <w:color w:val="231F20"/>
          <w:spacing w:val="-5"/>
        </w:rPr>
        <w:t> </w:t>
      </w:r>
      <w:r>
        <w:rPr>
          <w:color w:val="231F20"/>
        </w:rPr>
        <w:t>considerables.</w:t>
      </w:r>
    </w:p>
    <w:p>
      <w:pPr>
        <w:pStyle w:val="BodyText"/>
        <w:spacing w:line="247" w:lineRule="auto"/>
        <w:ind w:left="117" w:right="120" w:firstLine="283"/>
        <w:jc w:val="both"/>
      </w:pPr>
      <w:r>
        <w:rPr>
          <w:color w:val="231F20"/>
        </w:rPr>
        <w:t>Además, ésta fuerza de trabajo tiende a perpetuar la pobreza, ya que estos trabajadores infantiles privados de educación, de un desarrollo</w:t>
      </w:r>
      <w:r>
        <w:rPr>
          <w:color w:val="231F20"/>
          <w:spacing w:val="-30"/>
        </w:rPr>
        <w:t> </w:t>
      </w:r>
      <w:r>
        <w:rPr>
          <w:color w:val="231F20"/>
        </w:rPr>
        <w:t>físico y mental saludable, son fuertemente susceptibles a convertirse en adultos con bajas perspectivas</w:t>
      </w:r>
      <w:r>
        <w:rPr>
          <w:color w:val="231F20"/>
          <w:spacing w:val="-1"/>
        </w:rPr>
        <w:t> </w:t>
      </w:r>
      <w:r>
        <w:rPr>
          <w:color w:val="231F20"/>
        </w:rPr>
        <w:t>económicas.</w:t>
      </w:r>
    </w:p>
    <w:p>
      <w:pPr>
        <w:pStyle w:val="BodyText"/>
        <w:spacing w:line="247" w:lineRule="auto"/>
        <w:ind w:left="117" w:right="120" w:firstLine="283"/>
        <w:jc w:val="both"/>
      </w:pPr>
      <w:r>
        <w:rPr>
          <w:color w:val="231F20"/>
          <w:spacing w:val="-4"/>
        </w:rPr>
        <w:t>Todo </w:t>
      </w:r>
      <w:r>
        <w:rPr>
          <w:color w:val="231F20"/>
        </w:rPr>
        <w:t>ello nos permite aseverar la preeminente urgencia de reestructu- rar la legislación acerca del trabajo infantil. A la fecha es evidente la falla que existe en la aplicación de políticas de desarrollo que coadyuvan a dis- minuir la marginación; la aplicación de políticas públicas debe enfocarse principalmente a este grupo de población, aumentar su asistencia escolar, reducir</w:t>
      </w:r>
      <w:r>
        <w:rPr>
          <w:color w:val="231F20"/>
          <w:spacing w:val="-7"/>
        </w:rPr>
        <w:t> </w:t>
      </w:r>
      <w:r>
        <w:rPr>
          <w:color w:val="231F20"/>
        </w:rPr>
        <w:t>su</w:t>
      </w:r>
      <w:r>
        <w:rPr>
          <w:color w:val="231F20"/>
          <w:spacing w:val="-7"/>
        </w:rPr>
        <w:t> </w:t>
      </w:r>
      <w:r>
        <w:rPr>
          <w:color w:val="231F20"/>
        </w:rPr>
        <w:t>ocupación</w:t>
      </w:r>
      <w:r>
        <w:rPr>
          <w:color w:val="231F20"/>
          <w:spacing w:val="-7"/>
        </w:rPr>
        <w:t> </w:t>
      </w:r>
      <w:r>
        <w:rPr>
          <w:color w:val="231F20"/>
        </w:rPr>
        <w:t>e</w:t>
      </w:r>
      <w:r>
        <w:rPr>
          <w:color w:val="231F20"/>
          <w:spacing w:val="-7"/>
        </w:rPr>
        <w:t> </w:t>
      </w:r>
      <w:r>
        <w:rPr>
          <w:color w:val="231F20"/>
        </w:rPr>
        <w:t>implementar</w:t>
      </w:r>
      <w:r>
        <w:rPr>
          <w:color w:val="231F20"/>
          <w:spacing w:val="-8"/>
        </w:rPr>
        <w:t> </w:t>
      </w:r>
      <w:r>
        <w:rPr>
          <w:color w:val="231F20"/>
        </w:rPr>
        <w:t>políticas</w:t>
      </w:r>
      <w:r>
        <w:rPr>
          <w:color w:val="231F20"/>
          <w:spacing w:val="-7"/>
        </w:rPr>
        <w:t> </w:t>
      </w:r>
      <w:r>
        <w:rPr>
          <w:color w:val="231F20"/>
        </w:rPr>
        <w:t>económicas</w:t>
      </w:r>
      <w:r>
        <w:rPr>
          <w:color w:val="231F20"/>
          <w:spacing w:val="-8"/>
        </w:rPr>
        <w:t> </w:t>
      </w:r>
      <w:r>
        <w:rPr>
          <w:color w:val="231F20"/>
        </w:rPr>
        <w:t>que</w:t>
      </w:r>
      <w:r>
        <w:rPr>
          <w:color w:val="231F20"/>
          <w:spacing w:val="-7"/>
        </w:rPr>
        <w:t> </w:t>
      </w:r>
      <w:r>
        <w:rPr>
          <w:color w:val="231F20"/>
        </w:rPr>
        <w:t>generen</w:t>
      </w:r>
      <w:r>
        <w:rPr>
          <w:color w:val="231F20"/>
          <w:spacing w:val="-7"/>
        </w:rPr>
        <w:t> </w:t>
      </w:r>
      <w:r>
        <w:rPr>
          <w:color w:val="231F20"/>
        </w:rPr>
        <w:t>em- pleos para sus padres o tutores, así ellos no se verían en la necesidad de ocuparse para ayudar al gasto familiar. En general es preciso mejorar el bienestar</w:t>
      </w:r>
      <w:r>
        <w:rPr>
          <w:color w:val="231F20"/>
          <w:spacing w:val="-8"/>
        </w:rPr>
        <w:t> </w:t>
      </w:r>
      <w:r>
        <w:rPr>
          <w:color w:val="231F20"/>
        </w:rPr>
        <w:t>general</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familia</w:t>
      </w:r>
      <w:r>
        <w:rPr>
          <w:color w:val="231F20"/>
          <w:spacing w:val="-7"/>
        </w:rPr>
        <w:t> </w:t>
      </w:r>
      <w:r>
        <w:rPr>
          <w:color w:val="231F20"/>
        </w:rPr>
        <w:t>a</w:t>
      </w:r>
      <w:r>
        <w:rPr>
          <w:color w:val="231F20"/>
          <w:spacing w:val="-7"/>
        </w:rPr>
        <w:t> </w:t>
      </w:r>
      <w:r>
        <w:rPr>
          <w:color w:val="231F20"/>
        </w:rPr>
        <w:t>través</w:t>
      </w:r>
      <w:r>
        <w:rPr>
          <w:color w:val="231F20"/>
          <w:spacing w:val="-8"/>
        </w:rPr>
        <w:t> </w:t>
      </w:r>
      <w:r>
        <w:rPr>
          <w:color w:val="231F20"/>
        </w:rPr>
        <w:t>del</w:t>
      </w:r>
      <w:r>
        <w:rPr>
          <w:color w:val="231F20"/>
          <w:spacing w:val="-7"/>
        </w:rPr>
        <w:t> </w:t>
      </w:r>
      <w:r>
        <w:rPr>
          <w:color w:val="231F20"/>
        </w:rPr>
        <w:t>acceso</w:t>
      </w:r>
      <w:r>
        <w:rPr>
          <w:color w:val="231F20"/>
          <w:spacing w:val="-8"/>
        </w:rPr>
        <w:t> </w:t>
      </w:r>
      <w:r>
        <w:rPr>
          <w:color w:val="231F20"/>
        </w:rPr>
        <w:t>a</w:t>
      </w:r>
      <w:r>
        <w:rPr>
          <w:color w:val="231F20"/>
          <w:spacing w:val="-7"/>
        </w:rPr>
        <w:t> </w:t>
      </w:r>
      <w:r>
        <w:rPr>
          <w:color w:val="231F20"/>
        </w:rPr>
        <w:t>servicios</w:t>
      </w:r>
      <w:r>
        <w:rPr>
          <w:color w:val="231F20"/>
          <w:spacing w:val="-7"/>
        </w:rPr>
        <w:t> </w:t>
      </w:r>
      <w:r>
        <w:rPr>
          <w:color w:val="231F20"/>
        </w:rPr>
        <w:t>básicos</w:t>
      </w:r>
      <w:r>
        <w:rPr>
          <w:color w:val="231F20"/>
          <w:spacing w:val="-7"/>
        </w:rPr>
        <w:t> </w:t>
      </w:r>
      <w:r>
        <w:rPr>
          <w:color w:val="231F20"/>
        </w:rPr>
        <w:t>como</w:t>
      </w:r>
    </w:p>
    <w:p>
      <w:pPr>
        <w:spacing w:after="0" w:line="247" w:lineRule="auto"/>
        <w:jc w:val="both"/>
        <w:sectPr>
          <w:footerReference w:type="default" r:id="rId252"/>
          <w:pgSz w:w="9360" w:h="13040"/>
          <w:pgMar w:footer="496" w:header="0" w:top="740" w:bottom="680" w:left="1300" w:right="1300"/>
          <w:pgNumType w:start="371"/>
        </w:sectPr>
      </w:pPr>
    </w:p>
    <w:p>
      <w:pPr>
        <w:tabs>
          <w:tab w:pos="5536" w:val="left" w:leader="none"/>
        </w:tabs>
        <w:spacing w:before="51"/>
        <w:ind w:left="128" w:right="117" w:firstLine="0"/>
        <w:jc w:val="left"/>
        <w:rPr>
          <w:sz w:val="18"/>
        </w:rPr>
      </w:pPr>
      <w:r>
        <w:rPr>
          <w:rFonts w:ascii="Arial" w:hAnsi="Arial"/>
          <w:color w:val="231F20"/>
          <w:w w:val="80"/>
          <w:sz w:val="20"/>
        </w:rPr>
        <w:t>Hitos</w:t>
      </w:r>
      <w:r>
        <w:rPr>
          <w:rFonts w:ascii="Arial" w:hAnsi="Arial"/>
          <w:color w:val="231F20"/>
          <w:spacing w:val="-15"/>
          <w:w w:val="80"/>
          <w:sz w:val="20"/>
        </w:rPr>
        <w:t> </w:t>
      </w:r>
      <w:r>
        <w:rPr>
          <w:rFonts w:ascii="Arial" w:hAnsi="Arial"/>
          <w:color w:val="231F20"/>
          <w:w w:val="80"/>
          <w:sz w:val="20"/>
        </w:rPr>
        <w:t>Demográficos</w:t>
      </w:r>
      <w:r>
        <w:rPr>
          <w:rFonts w:ascii="Arial" w:hAnsi="Arial"/>
          <w:color w:val="231F20"/>
          <w:spacing w:val="-15"/>
          <w:w w:val="80"/>
          <w:sz w:val="20"/>
        </w:rPr>
        <w:t> </w:t>
      </w:r>
      <w:r>
        <w:rPr>
          <w:rFonts w:ascii="Arial" w:hAnsi="Arial"/>
          <w:color w:val="231F20"/>
          <w:w w:val="80"/>
          <w:sz w:val="20"/>
        </w:rPr>
        <w:t>del</w:t>
      </w:r>
      <w:r>
        <w:rPr>
          <w:rFonts w:ascii="Arial" w:hAnsi="Arial"/>
          <w:color w:val="231F20"/>
          <w:spacing w:val="-15"/>
          <w:w w:val="80"/>
          <w:sz w:val="20"/>
        </w:rPr>
        <w:t> </w:t>
      </w:r>
      <w:r>
        <w:rPr>
          <w:rFonts w:ascii="Arial" w:hAnsi="Arial"/>
          <w:color w:val="231F20"/>
          <w:w w:val="80"/>
          <w:sz w:val="20"/>
        </w:rPr>
        <w:t>Siglo</w:t>
      </w:r>
      <w:r>
        <w:rPr>
          <w:rFonts w:ascii="Arial" w:hAnsi="Arial"/>
          <w:color w:val="231F20"/>
          <w:spacing w:val="-14"/>
          <w:w w:val="80"/>
          <w:sz w:val="20"/>
        </w:rPr>
        <w:t> </w:t>
      </w:r>
      <w:r>
        <w:rPr>
          <w:rFonts w:ascii="Arial" w:hAnsi="Arial"/>
          <w:color w:val="231F20"/>
          <w:w w:val="80"/>
          <w:sz w:val="20"/>
        </w:rPr>
        <w:t>XXI:</w:t>
      </w:r>
      <w:r>
        <w:rPr>
          <w:rFonts w:ascii="Arial" w:hAnsi="Arial"/>
          <w:color w:val="231F20"/>
          <w:spacing w:val="-15"/>
          <w:w w:val="80"/>
          <w:sz w:val="20"/>
        </w:rPr>
        <w:t> </w:t>
      </w:r>
      <w:r>
        <w:rPr>
          <w:rFonts w:ascii="Arial" w:hAnsi="Arial"/>
          <w:color w:val="231F20"/>
          <w:w w:val="80"/>
          <w:sz w:val="20"/>
        </w:rPr>
        <w:t>Migración</w:t>
      </w:r>
      <w:r>
        <w:rPr>
          <w:rFonts w:ascii="Arial" w:hAnsi="Arial"/>
          <w:color w:val="231F20"/>
          <w:spacing w:val="-15"/>
          <w:w w:val="80"/>
          <w:sz w:val="20"/>
        </w:rPr>
        <w:t> </w:t>
      </w:r>
      <w:r>
        <w:rPr>
          <w:rFonts w:ascii="Arial" w:hAnsi="Arial"/>
          <w:color w:val="231F20"/>
          <w:w w:val="80"/>
          <w:sz w:val="20"/>
        </w:rPr>
        <w:t>Internacional</w:t>
        <w:tab/>
      </w:r>
      <w:r>
        <w:rPr>
          <w:color w:val="231F20"/>
          <w:w w:val="90"/>
          <w:position w:val="2"/>
          <w:sz w:val="18"/>
        </w:rPr>
        <w:t>CIEAP/UAEM</w:t>
      </w:r>
    </w:p>
    <w:p>
      <w:pPr>
        <w:pStyle w:val="BodyText"/>
        <w:spacing w:before="7"/>
        <w:rPr>
          <w:sz w:val="18"/>
        </w:rPr>
      </w:pPr>
    </w:p>
    <w:p>
      <w:pPr>
        <w:pStyle w:val="Heading3"/>
        <w:spacing w:before="0"/>
        <w:ind w:right="117"/>
        <w:jc w:val="left"/>
      </w:pPr>
      <w:r>
        <w:rPr>
          <w:color w:val="231F20"/>
        </w:rPr>
        <w:t>Bibliografía</w:t>
      </w:r>
    </w:p>
    <w:p>
      <w:pPr>
        <w:pStyle w:val="BodyText"/>
        <w:spacing w:before="2"/>
        <w:rPr>
          <w:b/>
          <w:sz w:val="21"/>
        </w:rPr>
      </w:pPr>
    </w:p>
    <w:p>
      <w:pPr>
        <w:spacing w:line="210" w:lineRule="exact" w:before="94"/>
        <w:ind w:left="117" w:right="115" w:firstLine="0"/>
        <w:jc w:val="both"/>
        <w:rPr>
          <w:sz w:val="20"/>
        </w:rPr>
      </w:pPr>
      <w:r>
        <w:rPr>
          <w:color w:val="231F20"/>
          <w:sz w:val="20"/>
        </w:rPr>
        <w:t>ACUÑA,</w:t>
      </w:r>
      <w:r>
        <w:rPr>
          <w:color w:val="231F20"/>
          <w:spacing w:val="-6"/>
          <w:sz w:val="20"/>
        </w:rPr>
        <w:t> </w:t>
      </w:r>
      <w:r>
        <w:rPr>
          <w:color w:val="231F20"/>
          <w:sz w:val="20"/>
        </w:rPr>
        <w:t>G.,</w:t>
      </w:r>
      <w:r>
        <w:rPr>
          <w:color w:val="231F20"/>
          <w:spacing w:val="-6"/>
          <w:sz w:val="20"/>
        </w:rPr>
        <w:t> </w:t>
      </w:r>
      <w:r>
        <w:rPr>
          <w:color w:val="231F20"/>
          <w:sz w:val="20"/>
        </w:rPr>
        <w:t>2010,</w:t>
      </w:r>
      <w:r>
        <w:rPr>
          <w:color w:val="231F20"/>
          <w:spacing w:val="-6"/>
          <w:sz w:val="20"/>
        </w:rPr>
        <w:t> </w:t>
      </w:r>
      <w:r>
        <w:rPr>
          <w:color w:val="231F20"/>
          <w:sz w:val="20"/>
        </w:rPr>
        <w:t>“Migración</w:t>
      </w:r>
      <w:r>
        <w:rPr>
          <w:color w:val="231F20"/>
          <w:spacing w:val="-7"/>
          <w:sz w:val="20"/>
        </w:rPr>
        <w:t> </w:t>
      </w:r>
      <w:r>
        <w:rPr>
          <w:color w:val="231F20"/>
          <w:sz w:val="20"/>
        </w:rPr>
        <w:t>de</w:t>
      </w:r>
      <w:r>
        <w:rPr>
          <w:color w:val="231F20"/>
          <w:spacing w:val="-6"/>
          <w:sz w:val="20"/>
        </w:rPr>
        <w:t> </w:t>
      </w:r>
      <w:r>
        <w:rPr>
          <w:color w:val="231F20"/>
          <w:sz w:val="20"/>
        </w:rPr>
        <w:t>niños,</w:t>
      </w:r>
      <w:r>
        <w:rPr>
          <w:color w:val="231F20"/>
          <w:spacing w:val="-6"/>
          <w:sz w:val="20"/>
        </w:rPr>
        <w:t> </w:t>
      </w:r>
      <w:r>
        <w:rPr>
          <w:color w:val="231F20"/>
          <w:sz w:val="20"/>
        </w:rPr>
        <w:t>niñas</w:t>
      </w:r>
      <w:r>
        <w:rPr>
          <w:color w:val="231F20"/>
          <w:spacing w:val="-6"/>
          <w:sz w:val="20"/>
        </w:rPr>
        <w:t> </w:t>
      </w:r>
      <w:r>
        <w:rPr>
          <w:color w:val="231F20"/>
          <w:sz w:val="20"/>
        </w:rPr>
        <w:t>y</w:t>
      </w:r>
      <w:r>
        <w:rPr>
          <w:color w:val="231F20"/>
          <w:spacing w:val="-6"/>
          <w:sz w:val="20"/>
        </w:rPr>
        <w:t> </w:t>
      </w:r>
      <w:r>
        <w:rPr>
          <w:color w:val="231F20"/>
          <w:sz w:val="20"/>
        </w:rPr>
        <w:t>adolescentes,</w:t>
      </w:r>
      <w:r>
        <w:rPr>
          <w:color w:val="231F20"/>
          <w:spacing w:val="-7"/>
          <w:sz w:val="20"/>
        </w:rPr>
        <w:t> </w:t>
      </w:r>
      <w:r>
        <w:rPr>
          <w:color w:val="231F20"/>
          <w:sz w:val="20"/>
        </w:rPr>
        <w:t>derechos</w:t>
      </w:r>
      <w:r>
        <w:rPr>
          <w:color w:val="231F20"/>
          <w:spacing w:val="-6"/>
          <w:sz w:val="20"/>
        </w:rPr>
        <w:t> </w:t>
      </w:r>
      <w:r>
        <w:rPr>
          <w:color w:val="231F20"/>
          <w:sz w:val="20"/>
        </w:rPr>
        <w:t>humanos y trabajo infantil”, en </w:t>
      </w:r>
      <w:r>
        <w:rPr>
          <w:i/>
          <w:color w:val="231F20"/>
          <w:sz w:val="20"/>
        </w:rPr>
        <w:t>Plataforma Subregional </w:t>
      </w:r>
      <w:r>
        <w:rPr>
          <w:i/>
          <w:color w:val="231F20"/>
          <w:spacing w:val="-3"/>
          <w:sz w:val="20"/>
        </w:rPr>
        <w:t>sobre </w:t>
      </w:r>
      <w:r>
        <w:rPr>
          <w:i/>
          <w:color w:val="231F20"/>
          <w:sz w:val="20"/>
        </w:rPr>
        <w:t>trabajo infantil y adolescen- </w:t>
      </w:r>
      <w:r>
        <w:rPr>
          <w:i/>
          <w:color w:val="231F20"/>
          <w:sz w:val="20"/>
        </w:rPr>
        <w:t>te,</w:t>
      </w:r>
      <w:r>
        <w:rPr>
          <w:i/>
          <w:color w:val="231F20"/>
          <w:spacing w:val="-7"/>
          <w:sz w:val="20"/>
        </w:rPr>
        <w:t> </w:t>
      </w:r>
      <w:r>
        <w:rPr>
          <w:i/>
          <w:color w:val="231F20"/>
          <w:sz w:val="20"/>
        </w:rPr>
        <w:t>Guatemala,</w:t>
      </w:r>
      <w:r>
        <w:rPr>
          <w:i/>
          <w:color w:val="231F20"/>
          <w:spacing w:val="-6"/>
          <w:sz w:val="20"/>
        </w:rPr>
        <w:t> </w:t>
      </w:r>
      <w:r>
        <w:rPr>
          <w:i/>
          <w:color w:val="231F20"/>
          <w:sz w:val="20"/>
        </w:rPr>
        <w:t>Honduras,</w:t>
      </w:r>
      <w:r>
        <w:rPr>
          <w:i/>
          <w:color w:val="231F20"/>
          <w:spacing w:val="-6"/>
          <w:sz w:val="20"/>
        </w:rPr>
        <w:t> </w:t>
      </w:r>
      <w:r>
        <w:rPr>
          <w:i/>
          <w:color w:val="231F20"/>
          <w:sz w:val="20"/>
        </w:rPr>
        <w:t>El</w:t>
      </w:r>
      <w:r>
        <w:rPr>
          <w:i/>
          <w:color w:val="231F20"/>
          <w:spacing w:val="-6"/>
          <w:sz w:val="20"/>
        </w:rPr>
        <w:t> </w:t>
      </w:r>
      <w:r>
        <w:rPr>
          <w:i/>
          <w:color w:val="231F20"/>
          <w:spacing w:val="-3"/>
          <w:sz w:val="20"/>
        </w:rPr>
        <w:t>Salvador,</w:t>
      </w:r>
      <w:r>
        <w:rPr>
          <w:i/>
          <w:color w:val="231F20"/>
          <w:spacing w:val="-6"/>
          <w:sz w:val="20"/>
        </w:rPr>
        <w:t> </w:t>
      </w:r>
      <w:r>
        <w:rPr>
          <w:i/>
          <w:color w:val="231F20"/>
          <w:sz w:val="20"/>
        </w:rPr>
        <w:t>Nicaragua,</w:t>
      </w:r>
      <w:r>
        <w:rPr>
          <w:i/>
          <w:color w:val="231F20"/>
          <w:spacing w:val="-6"/>
          <w:sz w:val="20"/>
        </w:rPr>
        <w:t> </w:t>
      </w:r>
      <w:r>
        <w:rPr>
          <w:i/>
          <w:color w:val="231F20"/>
          <w:sz w:val="20"/>
        </w:rPr>
        <w:t>Costa</w:t>
      </w:r>
      <w:r>
        <w:rPr>
          <w:i/>
          <w:color w:val="231F20"/>
          <w:spacing w:val="-6"/>
          <w:sz w:val="20"/>
        </w:rPr>
        <w:t> </w:t>
      </w:r>
      <w:r>
        <w:rPr>
          <w:i/>
          <w:color w:val="231F20"/>
          <w:sz w:val="20"/>
        </w:rPr>
        <w:t>Rica,</w:t>
      </w:r>
      <w:r>
        <w:rPr>
          <w:i/>
          <w:color w:val="231F20"/>
          <w:spacing w:val="-7"/>
          <w:sz w:val="20"/>
        </w:rPr>
        <w:t> </w:t>
      </w:r>
      <w:r>
        <w:rPr>
          <w:i/>
          <w:color w:val="231F20"/>
          <w:sz w:val="20"/>
        </w:rPr>
        <w:t>Panamá,</w:t>
      </w:r>
      <w:r>
        <w:rPr>
          <w:i/>
          <w:color w:val="231F20"/>
          <w:spacing w:val="-7"/>
          <w:sz w:val="20"/>
        </w:rPr>
        <w:t> </w:t>
      </w:r>
      <w:r>
        <w:rPr>
          <w:i/>
          <w:color w:val="231F20"/>
          <w:sz w:val="20"/>
        </w:rPr>
        <w:t>Repúbli- ca</w:t>
      </w:r>
      <w:r>
        <w:rPr>
          <w:i/>
          <w:color w:val="231F20"/>
          <w:spacing w:val="-10"/>
          <w:sz w:val="20"/>
        </w:rPr>
        <w:t> </w:t>
      </w:r>
      <w:r>
        <w:rPr>
          <w:i/>
          <w:color w:val="231F20"/>
          <w:sz w:val="20"/>
        </w:rPr>
        <w:t>Dominicana</w:t>
      </w:r>
      <w:r>
        <w:rPr>
          <w:color w:val="231F20"/>
          <w:sz w:val="20"/>
        </w:rPr>
        <w:t>,</w:t>
      </w:r>
      <w:r>
        <w:rPr>
          <w:color w:val="231F20"/>
          <w:spacing w:val="-10"/>
          <w:sz w:val="20"/>
        </w:rPr>
        <w:t> </w:t>
      </w:r>
      <w:r>
        <w:rPr>
          <w:color w:val="231F20"/>
          <w:sz w:val="20"/>
        </w:rPr>
        <w:t>obtenido</w:t>
      </w:r>
      <w:r>
        <w:rPr>
          <w:color w:val="231F20"/>
          <w:spacing w:val="-10"/>
          <w:sz w:val="20"/>
        </w:rPr>
        <w:t> </w:t>
      </w:r>
      <w:r>
        <w:rPr>
          <w:color w:val="231F20"/>
          <w:sz w:val="20"/>
        </w:rPr>
        <w:t>el</w:t>
      </w:r>
      <w:r>
        <w:rPr>
          <w:color w:val="231F20"/>
          <w:spacing w:val="-9"/>
          <w:sz w:val="20"/>
        </w:rPr>
        <w:t> </w:t>
      </w:r>
      <w:r>
        <w:rPr>
          <w:color w:val="231F20"/>
          <w:sz w:val="20"/>
        </w:rPr>
        <w:t>19</w:t>
      </w:r>
      <w:r>
        <w:rPr>
          <w:color w:val="231F20"/>
          <w:spacing w:val="-9"/>
          <w:sz w:val="20"/>
        </w:rPr>
        <w:t> </w:t>
      </w:r>
      <w:r>
        <w:rPr>
          <w:color w:val="231F20"/>
          <w:sz w:val="20"/>
        </w:rPr>
        <w:t>de</w:t>
      </w:r>
      <w:r>
        <w:rPr>
          <w:color w:val="231F20"/>
          <w:spacing w:val="-9"/>
          <w:sz w:val="20"/>
        </w:rPr>
        <w:t> </w:t>
      </w:r>
      <w:r>
        <w:rPr>
          <w:color w:val="231F20"/>
          <w:sz w:val="20"/>
        </w:rPr>
        <w:t>septiembre</w:t>
      </w:r>
      <w:r>
        <w:rPr>
          <w:color w:val="231F20"/>
          <w:spacing w:val="-10"/>
          <w:sz w:val="20"/>
        </w:rPr>
        <w:t> </w:t>
      </w:r>
      <w:r>
        <w:rPr>
          <w:color w:val="231F20"/>
          <w:sz w:val="20"/>
        </w:rPr>
        <w:t>de</w:t>
      </w:r>
      <w:r>
        <w:rPr>
          <w:color w:val="231F20"/>
          <w:spacing w:val="-9"/>
          <w:sz w:val="20"/>
        </w:rPr>
        <w:t> </w:t>
      </w:r>
      <w:r>
        <w:rPr>
          <w:color w:val="231F20"/>
          <w:sz w:val="20"/>
        </w:rPr>
        <w:t>2012</w:t>
      </w:r>
      <w:r>
        <w:rPr>
          <w:color w:val="231F20"/>
          <w:spacing w:val="-9"/>
          <w:sz w:val="20"/>
        </w:rPr>
        <w:t> </w:t>
      </w:r>
      <w:r>
        <w:rPr>
          <w:color w:val="231F20"/>
          <w:sz w:val="20"/>
        </w:rPr>
        <w:t>de</w:t>
      </w:r>
      <w:r>
        <w:rPr>
          <w:color w:val="231F20"/>
          <w:spacing w:val="-9"/>
          <w:sz w:val="20"/>
        </w:rPr>
        <w:t> </w:t>
      </w:r>
      <w:r>
        <w:rPr>
          <w:color w:val="231F20"/>
          <w:sz w:val="20"/>
        </w:rPr>
        <w:t>http://www.dnicostarica. org/wordpress/wp-content/uploads/pdf/EstudioMigraci%C3%B3nNNADHTIPla taforma.pdf</w:t>
      </w:r>
    </w:p>
    <w:p>
      <w:pPr>
        <w:spacing w:line="210" w:lineRule="exact" w:before="113"/>
        <w:ind w:left="117" w:right="115" w:firstLine="0"/>
        <w:jc w:val="both"/>
        <w:rPr>
          <w:sz w:val="20"/>
        </w:rPr>
      </w:pPr>
      <w:r>
        <w:rPr>
          <w:color w:val="231F20"/>
          <w:sz w:val="20"/>
        </w:rPr>
        <w:t>BACHMAN, S.L., 2000, “A new economics of child labour: searching for the answers</w:t>
      </w:r>
      <w:r>
        <w:rPr>
          <w:color w:val="231F20"/>
          <w:spacing w:val="-8"/>
          <w:sz w:val="20"/>
        </w:rPr>
        <w:t> </w:t>
      </w:r>
      <w:r>
        <w:rPr>
          <w:color w:val="231F20"/>
          <w:sz w:val="20"/>
        </w:rPr>
        <w:t>behind</w:t>
      </w:r>
      <w:r>
        <w:rPr>
          <w:color w:val="231F20"/>
          <w:spacing w:val="-8"/>
          <w:sz w:val="20"/>
        </w:rPr>
        <w:t> </w:t>
      </w:r>
      <w:r>
        <w:rPr>
          <w:color w:val="231F20"/>
          <w:sz w:val="20"/>
        </w:rPr>
        <w:t>the</w:t>
      </w:r>
      <w:r>
        <w:rPr>
          <w:color w:val="231F20"/>
          <w:spacing w:val="-8"/>
          <w:sz w:val="20"/>
        </w:rPr>
        <w:t> </w:t>
      </w:r>
      <w:r>
        <w:rPr>
          <w:color w:val="231F20"/>
          <w:sz w:val="20"/>
        </w:rPr>
        <w:t>headlines”</w:t>
      </w:r>
      <w:r>
        <w:rPr>
          <w:color w:val="231F20"/>
          <w:spacing w:val="-9"/>
          <w:sz w:val="20"/>
        </w:rPr>
        <w:t> </w:t>
      </w:r>
      <w:r>
        <w:rPr>
          <w:color w:val="231F20"/>
          <w:sz w:val="20"/>
        </w:rPr>
        <w:t>en</w:t>
      </w:r>
      <w:r>
        <w:rPr>
          <w:color w:val="231F20"/>
          <w:spacing w:val="-9"/>
          <w:sz w:val="20"/>
        </w:rPr>
        <w:t> </w:t>
      </w:r>
      <w:r>
        <w:rPr>
          <w:i/>
          <w:color w:val="231F20"/>
          <w:sz w:val="20"/>
        </w:rPr>
        <w:t>Journal</w:t>
      </w:r>
      <w:r>
        <w:rPr>
          <w:i/>
          <w:color w:val="231F20"/>
          <w:spacing w:val="-9"/>
          <w:sz w:val="20"/>
        </w:rPr>
        <w:t> </w:t>
      </w:r>
      <w:r>
        <w:rPr>
          <w:i/>
          <w:color w:val="231F20"/>
          <w:sz w:val="20"/>
        </w:rPr>
        <w:t>of</w:t>
      </w:r>
      <w:r>
        <w:rPr>
          <w:i/>
          <w:color w:val="231F20"/>
          <w:spacing w:val="-8"/>
          <w:sz w:val="20"/>
        </w:rPr>
        <w:t> </w:t>
      </w:r>
      <w:r>
        <w:rPr>
          <w:i/>
          <w:color w:val="231F20"/>
          <w:sz w:val="20"/>
        </w:rPr>
        <w:t>International</w:t>
      </w:r>
      <w:r>
        <w:rPr>
          <w:i/>
          <w:color w:val="231F20"/>
          <w:spacing w:val="-12"/>
          <w:sz w:val="20"/>
        </w:rPr>
        <w:t> </w:t>
      </w:r>
      <w:r>
        <w:rPr>
          <w:i/>
          <w:color w:val="231F20"/>
          <w:sz w:val="20"/>
        </w:rPr>
        <w:t>Affairs</w:t>
      </w:r>
      <w:r>
        <w:rPr>
          <w:color w:val="231F20"/>
          <w:sz w:val="20"/>
        </w:rPr>
        <w:t>,</w:t>
      </w:r>
      <w:r>
        <w:rPr>
          <w:color w:val="231F20"/>
          <w:spacing w:val="-8"/>
          <w:sz w:val="20"/>
        </w:rPr>
        <w:t> </w:t>
      </w:r>
      <w:r>
        <w:rPr>
          <w:color w:val="231F20"/>
          <w:sz w:val="20"/>
        </w:rPr>
        <w:t>53(2),</w:t>
      </w:r>
      <w:r>
        <w:rPr>
          <w:color w:val="231F20"/>
          <w:spacing w:val="-8"/>
          <w:sz w:val="20"/>
        </w:rPr>
        <w:t> </w:t>
      </w:r>
      <w:r>
        <w:rPr>
          <w:color w:val="231F20"/>
          <w:sz w:val="20"/>
        </w:rPr>
        <w:t>545-572.</w:t>
      </w:r>
    </w:p>
    <w:p>
      <w:pPr>
        <w:spacing w:line="210" w:lineRule="exact" w:before="113"/>
        <w:ind w:left="117" w:right="115" w:firstLine="0"/>
        <w:jc w:val="both"/>
        <w:rPr>
          <w:sz w:val="20"/>
        </w:rPr>
      </w:pPr>
      <w:r>
        <w:rPr>
          <w:color w:val="231F20"/>
          <w:sz w:val="20"/>
        </w:rPr>
        <w:t>CONAPO (Consejo Nacional de Población), 2001, </w:t>
      </w:r>
      <w:r>
        <w:rPr>
          <w:i/>
          <w:color w:val="231F20"/>
          <w:sz w:val="20"/>
        </w:rPr>
        <w:t>Índice de Marginación 2000</w:t>
      </w:r>
      <w:r>
        <w:rPr>
          <w:color w:val="231F20"/>
          <w:sz w:val="20"/>
        </w:rPr>
        <w:t>, México.</w:t>
      </w:r>
    </w:p>
    <w:p>
      <w:pPr>
        <w:spacing w:line="210" w:lineRule="exact" w:before="113"/>
        <w:ind w:left="117" w:right="115" w:firstLine="0"/>
        <w:jc w:val="both"/>
        <w:rPr>
          <w:sz w:val="20"/>
        </w:rPr>
      </w:pPr>
      <w:r>
        <w:rPr>
          <w:color w:val="231F20"/>
          <w:sz w:val="20"/>
        </w:rPr>
        <w:t>CONAPO (Consejo Nacional de Población), 2004, “Informe de Ejecución del Programa de Acción de la Conferencia Internacional sobre la Población y el De- sarrollo 1994-2003”, en CONAPO (ed.), </w:t>
      </w:r>
      <w:r>
        <w:rPr>
          <w:i/>
          <w:color w:val="231F20"/>
          <w:sz w:val="20"/>
        </w:rPr>
        <w:t>Distribución territorial de la población, </w:t>
      </w:r>
      <w:r>
        <w:rPr>
          <w:i/>
          <w:color w:val="231F20"/>
          <w:sz w:val="20"/>
        </w:rPr>
        <w:t>urbanización y migración interna</w:t>
      </w:r>
      <w:r>
        <w:rPr>
          <w:color w:val="231F20"/>
          <w:sz w:val="20"/>
        </w:rPr>
        <w:t>, capítulo 6, México.</w:t>
      </w:r>
    </w:p>
    <w:p>
      <w:pPr>
        <w:spacing w:line="210" w:lineRule="exact" w:before="113"/>
        <w:ind w:left="117" w:right="115" w:firstLine="0"/>
        <w:jc w:val="both"/>
        <w:rPr>
          <w:sz w:val="20"/>
        </w:rPr>
      </w:pPr>
      <w:r>
        <w:rPr>
          <w:color w:val="231F20"/>
          <w:sz w:val="20"/>
        </w:rPr>
        <w:t>DÁVALOS, J., 2000, </w:t>
      </w:r>
      <w:r>
        <w:rPr>
          <w:i/>
          <w:color w:val="231F20"/>
          <w:sz w:val="20"/>
        </w:rPr>
        <w:t>Derechos de los menores trabajadores</w:t>
      </w:r>
      <w:r>
        <w:rPr>
          <w:color w:val="231F20"/>
          <w:sz w:val="20"/>
        </w:rPr>
        <w:t>, Cámara de Dipu- tados LVIII Legislatura, Instituto de Investigaciones Jurídicas, UNAM, México.</w:t>
      </w:r>
    </w:p>
    <w:p>
      <w:pPr>
        <w:spacing w:line="210" w:lineRule="exact" w:before="113"/>
        <w:ind w:left="117" w:right="115" w:firstLine="0"/>
        <w:jc w:val="both"/>
        <w:rPr>
          <w:sz w:val="20"/>
        </w:rPr>
      </w:pPr>
      <w:r>
        <w:rPr>
          <w:color w:val="231F20"/>
          <w:sz w:val="20"/>
        </w:rPr>
        <w:t>DORMAN, P., 2001, </w:t>
      </w:r>
      <w:r>
        <w:rPr>
          <w:i/>
          <w:color w:val="231F20"/>
          <w:sz w:val="20"/>
        </w:rPr>
        <w:t>Child labour in the developed economies</w:t>
      </w:r>
      <w:r>
        <w:rPr>
          <w:color w:val="231F20"/>
          <w:sz w:val="20"/>
        </w:rPr>
        <w:t>, IPEC/OIT, Gine- bra.</w:t>
      </w:r>
    </w:p>
    <w:p>
      <w:pPr>
        <w:spacing w:line="210" w:lineRule="exact" w:before="113"/>
        <w:ind w:left="117" w:right="114" w:firstLine="0"/>
        <w:jc w:val="both"/>
        <w:rPr>
          <w:sz w:val="20"/>
        </w:rPr>
      </w:pPr>
      <w:r>
        <w:rPr>
          <w:color w:val="231F20"/>
          <w:spacing w:val="-4"/>
          <w:sz w:val="20"/>
        </w:rPr>
        <w:t>FASSA, </w:t>
      </w:r>
      <w:r>
        <w:rPr>
          <w:color w:val="231F20"/>
          <w:sz w:val="20"/>
        </w:rPr>
        <w:t>A.G., L.A Facchini, M.M. Dall’Agnol y D.C. Christiani, 2000, “Child labor</w:t>
      </w:r>
      <w:r>
        <w:rPr>
          <w:color w:val="231F20"/>
          <w:spacing w:val="-8"/>
          <w:sz w:val="20"/>
        </w:rPr>
        <w:t> </w:t>
      </w:r>
      <w:r>
        <w:rPr>
          <w:color w:val="231F20"/>
          <w:sz w:val="20"/>
        </w:rPr>
        <w:t>and</w:t>
      </w:r>
      <w:r>
        <w:rPr>
          <w:color w:val="231F20"/>
          <w:spacing w:val="-8"/>
          <w:sz w:val="20"/>
        </w:rPr>
        <w:t> </w:t>
      </w:r>
      <w:r>
        <w:rPr>
          <w:color w:val="231F20"/>
          <w:sz w:val="20"/>
        </w:rPr>
        <w:t>health:Problems</w:t>
      </w:r>
      <w:r>
        <w:rPr>
          <w:color w:val="231F20"/>
          <w:spacing w:val="-8"/>
          <w:sz w:val="20"/>
        </w:rPr>
        <w:t> </w:t>
      </w:r>
      <w:r>
        <w:rPr>
          <w:color w:val="231F20"/>
          <w:sz w:val="20"/>
        </w:rPr>
        <w:t>and</w:t>
      </w:r>
      <w:r>
        <w:rPr>
          <w:color w:val="231F20"/>
          <w:spacing w:val="-8"/>
          <w:sz w:val="20"/>
        </w:rPr>
        <w:t> </w:t>
      </w:r>
      <w:r>
        <w:rPr>
          <w:color w:val="231F20"/>
          <w:sz w:val="20"/>
        </w:rPr>
        <w:t>perspectives”,</w:t>
      </w:r>
      <w:r>
        <w:rPr>
          <w:color w:val="231F20"/>
          <w:spacing w:val="-8"/>
          <w:sz w:val="20"/>
        </w:rPr>
        <w:t> </w:t>
      </w:r>
      <w:r>
        <w:rPr>
          <w:color w:val="231F20"/>
          <w:sz w:val="20"/>
        </w:rPr>
        <w:t>en</w:t>
      </w:r>
      <w:r>
        <w:rPr>
          <w:color w:val="231F20"/>
          <w:spacing w:val="-8"/>
          <w:sz w:val="20"/>
        </w:rPr>
        <w:t> </w:t>
      </w:r>
      <w:r>
        <w:rPr>
          <w:i/>
          <w:color w:val="231F20"/>
          <w:sz w:val="20"/>
        </w:rPr>
        <w:t>International</w:t>
      </w:r>
      <w:r>
        <w:rPr>
          <w:i/>
          <w:color w:val="231F20"/>
          <w:spacing w:val="-8"/>
          <w:sz w:val="20"/>
        </w:rPr>
        <w:t> </w:t>
      </w:r>
      <w:r>
        <w:rPr>
          <w:i/>
          <w:color w:val="231F20"/>
          <w:sz w:val="20"/>
        </w:rPr>
        <w:t>Journal</w:t>
      </w:r>
      <w:r>
        <w:rPr>
          <w:i/>
          <w:color w:val="231F20"/>
          <w:spacing w:val="-8"/>
          <w:sz w:val="20"/>
        </w:rPr>
        <w:t> </w:t>
      </w:r>
      <w:r>
        <w:rPr>
          <w:i/>
          <w:color w:val="231F20"/>
          <w:sz w:val="20"/>
        </w:rPr>
        <w:t>of</w:t>
      </w:r>
      <w:r>
        <w:rPr>
          <w:i/>
          <w:color w:val="231F20"/>
          <w:spacing w:val="-8"/>
          <w:sz w:val="20"/>
        </w:rPr>
        <w:t> </w:t>
      </w:r>
      <w:r>
        <w:rPr>
          <w:i/>
          <w:color w:val="231F20"/>
          <w:sz w:val="20"/>
        </w:rPr>
        <w:t>Occupa- </w:t>
      </w:r>
      <w:r>
        <w:rPr>
          <w:i/>
          <w:color w:val="231F20"/>
          <w:sz w:val="20"/>
        </w:rPr>
        <w:t>tional and Environmental Health</w:t>
      </w:r>
      <w:r>
        <w:rPr>
          <w:color w:val="231F20"/>
          <w:sz w:val="20"/>
        </w:rPr>
        <w:t>, 6(1):</w:t>
      </w:r>
      <w:r>
        <w:rPr>
          <w:color w:val="231F20"/>
          <w:spacing w:val="-14"/>
          <w:sz w:val="20"/>
        </w:rPr>
        <w:t> </w:t>
      </w:r>
      <w:r>
        <w:rPr>
          <w:color w:val="231F20"/>
          <w:sz w:val="20"/>
        </w:rPr>
        <w:t>55-62.</w:t>
      </w:r>
    </w:p>
    <w:p>
      <w:pPr>
        <w:spacing w:line="210" w:lineRule="exact" w:before="113"/>
        <w:ind w:left="117" w:right="115" w:firstLine="0"/>
        <w:jc w:val="both"/>
        <w:rPr>
          <w:sz w:val="20"/>
        </w:rPr>
      </w:pPr>
      <w:r>
        <w:rPr>
          <w:color w:val="231F20"/>
          <w:sz w:val="20"/>
        </w:rPr>
        <w:t>INEGI (Instituto Nacional de Estadística y Geografía), 2009, </w:t>
      </w:r>
      <w:r>
        <w:rPr>
          <w:i/>
          <w:color w:val="231F20"/>
          <w:sz w:val="20"/>
        </w:rPr>
        <w:t>Encuesta Nacional </w:t>
      </w:r>
      <w:r>
        <w:rPr>
          <w:i/>
          <w:color w:val="231F20"/>
          <w:sz w:val="20"/>
        </w:rPr>
        <w:t>de la Dinámica Demográfica</w:t>
      </w:r>
      <w:r>
        <w:rPr>
          <w:color w:val="231F20"/>
          <w:sz w:val="20"/>
        </w:rPr>
        <w:t>, México.</w:t>
      </w:r>
    </w:p>
    <w:p>
      <w:pPr>
        <w:spacing w:line="210" w:lineRule="exact" w:before="113"/>
        <w:ind w:left="117" w:right="115" w:firstLine="0"/>
        <w:jc w:val="both"/>
        <w:rPr>
          <w:sz w:val="20"/>
        </w:rPr>
      </w:pPr>
      <w:r>
        <w:rPr>
          <w:color w:val="231F20"/>
          <w:sz w:val="20"/>
        </w:rPr>
        <w:t>INEGI</w:t>
      </w:r>
      <w:r>
        <w:rPr>
          <w:color w:val="231F20"/>
          <w:spacing w:val="-10"/>
          <w:sz w:val="20"/>
        </w:rPr>
        <w:t> </w:t>
      </w:r>
      <w:r>
        <w:rPr>
          <w:color w:val="231F20"/>
          <w:sz w:val="20"/>
        </w:rPr>
        <w:t>(Instituto</w:t>
      </w:r>
      <w:r>
        <w:rPr>
          <w:color w:val="231F20"/>
          <w:spacing w:val="-10"/>
          <w:sz w:val="20"/>
        </w:rPr>
        <w:t> </w:t>
      </w:r>
      <w:r>
        <w:rPr>
          <w:color w:val="231F20"/>
          <w:sz w:val="20"/>
        </w:rPr>
        <w:t>Nacional</w:t>
      </w:r>
      <w:r>
        <w:rPr>
          <w:color w:val="231F20"/>
          <w:spacing w:val="-9"/>
          <w:sz w:val="20"/>
        </w:rPr>
        <w:t> </w:t>
      </w:r>
      <w:r>
        <w:rPr>
          <w:color w:val="231F20"/>
          <w:sz w:val="20"/>
        </w:rPr>
        <w:t>de</w:t>
      </w:r>
      <w:r>
        <w:rPr>
          <w:color w:val="231F20"/>
          <w:spacing w:val="-10"/>
          <w:sz w:val="20"/>
        </w:rPr>
        <w:t> </w:t>
      </w:r>
      <w:r>
        <w:rPr>
          <w:color w:val="231F20"/>
          <w:sz w:val="20"/>
        </w:rPr>
        <w:t>Estadística</w:t>
      </w:r>
      <w:r>
        <w:rPr>
          <w:color w:val="231F20"/>
          <w:spacing w:val="-10"/>
          <w:sz w:val="20"/>
        </w:rPr>
        <w:t> </w:t>
      </w:r>
      <w:r>
        <w:rPr>
          <w:color w:val="231F20"/>
          <w:sz w:val="20"/>
        </w:rPr>
        <w:t>y</w:t>
      </w:r>
      <w:r>
        <w:rPr>
          <w:color w:val="231F20"/>
          <w:spacing w:val="-10"/>
          <w:sz w:val="20"/>
        </w:rPr>
        <w:t> </w:t>
      </w:r>
      <w:r>
        <w:rPr>
          <w:color w:val="231F20"/>
          <w:sz w:val="20"/>
        </w:rPr>
        <w:t>Geografía),</w:t>
      </w:r>
      <w:r>
        <w:rPr>
          <w:color w:val="231F20"/>
          <w:spacing w:val="-9"/>
          <w:sz w:val="20"/>
        </w:rPr>
        <w:t> </w:t>
      </w:r>
      <w:r>
        <w:rPr>
          <w:color w:val="231F20"/>
          <w:sz w:val="20"/>
        </w:rPr>
        <w:t>2012,</w:t>
      </w:r>
      <w:r>
        <w:rPr>
          <w:color w:val="231F20"/>
          <w:spacing w:val="-9"/>
          <w:sz w:val="20"/>
        </w:rPr>
        <w:t> </w:t>
      </w:r>
      <w:r>
        <w:rPr>
          <w:i/>
          <w:color w:val="231F20"/>
          <w:sz w:val="20"/>
        </w:rPr>
        <w:t>Indicador</w:t>
      </w:r>
      <w:r>
        <w:rPr>
          <w:i/>
          <w:color w:val="231F20"/>
          <w:spacing w:val="-10"/>
          <w:sz w:val="20"/>
        </w:rPr>
        <w:t> </w:t>
      </w:r>
      <w:r>
        <w:rPr>
          <w:i/>
          <w:color w:val="231F20"/>
          <w:spacing w:val="-3"/>
          <w:sz w:val="20"/>
        </w:rPr>
        <w:t>Trimestral </w:t>
      </w:r>
      <w:r>
        <w:rPr>
          <w:i/>
          <w:color w:val="231F20"/>
          <w:sz w:val="20"/>
        </w:rPr>
        <w:t>de la Actividad Económica Estatal</w:t>
      </w:r>
      <w:r>
        <w:rPr>
          <w:color w:val="231F20"/>
          <w:sz w:val="20"/>
        </w:rPr>
        <w:t>, INEGI, obtenido el 25 de Abril de 2012 de </w:t>
      </w:r>
      <w:hyperlink r:id="rId253">
        <w:r>
          <w:rPr>
            <w:color w:val="231F20"/>
            <w:sz w:val="20"/>
          </w:rPr>
          <w:t>http://www.inegi.org.mx/sistemas/bie/?idserPadre=10000210#D10000210</w:t>
        </w:r>
      </w:hyperlink>
    </w:p>
    <w:p>
      <w:pPr>
        <w:spacing w:line="210" w:lineRule="exact" w:before="113"/>
        <w:ind w:left="117" w:right="115" w:firstLine="0"/>
        <w:jc w:val="both"/>
        <w:rPr>
          <w:sz w:val="20"/>
        </w:rPr>
      </w:pPr>
      <w:r>
        <w:rPr>
          <w:color w:val="231F20"/>
          <w:sz w:val="20"/>
        </w:rPr>
        <w:t>IPEC (Programa Internacional para la Erradicación del Trabajo Infantil), 2009, “Las migraciones con fines de empleo y trabajo infantil en América Latina”, Or- ganización Internacional del Trabajo (OIT), Lima.</w:t>
      </w:r>
    </w:p>
    <w:p>
      <w:pPr>
        <w:spacing w:line="210" w:lineRule="exact" w:before="113"/>
        <w:ind w:left="117" w:right="115" w:firstLine="0"/>
        <w:jc w:val="both"/>
        <w:rPr>
          <w:sz w:val="20"/>
        </w:rPr>
      </w:pPr>
      <w:r>
        <w:rPr>
          <w:color w:val="231F20"/>
          <w:sz w:val="20"/>
        </w:rPr>
        <w:t>LIEBEL, M., 2003, </w:t>
      </w:r>
      <w:r>
        <w:rPr>
          <w:i/>
          <w:color w:val="231F20"/>
          <w:sz w:val="20"/>
        </w:rPr>
        <w:t>Infancia y trabajo. Para una mejor comprensión de los ni- </w:t>
      </w:r>
      <w:r>
        <w:rPr>
          <w:i/>
          <w:color w:val="231F20"/>
          <w:sz w:val="20"/>
        </w:rPr>
        <w:t>ños</w:t>
      </w:r>
      <w:r>
        <w:rPr>
          <w:i/>
          <w:color w:val="231F20"/>
          <w:spacing w:val="-6"/>
          <w:sz w:val="20"/>
        </w:rPr>
        <w:t> </w:t>
      </w:r>
      <w:r>
        <w:rPr>
          <w:i/>
          <w:color w:val="231F20"/>
          <w:sz w:val="20"/>
        </w:rPr>
        <w:t>trabajadores</w:t>
      </w:r>
      <w:r>
        <w:rPr>
          <w:i/>
          <w:color w:val="231F20"/>
          <w:spacing w:val="-6"/>
          <w:sz w:val="20"/>
        </w:rPr>
        <w:t> </w:t>
      </w:r>
      <w:r>
        <w:rPr>
          <w:i/>
          <w:color w:val="231F20"/>
          <w:sz w:val="20"/>
        </w:rPr>
        <w:t>en</w:t>
      </w:r>
      <w:r>
        <w:rPr>
          <w:i/>
          <w:color w:val="231F20"/>
          <w:spacing w:val="-6"/>
          <w:sz w:val="20"/>
        </w:rPr>
        <w:t> </w:t>
      </w:r>
      <w:r>
        <w:rPr>
          <w:i/>
          <w:color w:val="231F20"/>
          <w:sz w:val="20"/>
        </w:rPr>
        <w:t>diferentes</w:t>
      </w:r>
      <w:r>
        <w:rPr>
          <w:i/>
          <w:color w:val="231F20"/>
          <w:spacing w:val="-6"/>
          <w:sz w:val="20"/>
        </w:rPr>
        <w:t> </w:t>
      </w:r>
      <w:r>
        <w:rPr>
          <w:i/>
          <w:color w:val="231F20"/>
          <w:sz w:val="20"/>
        </w:rPr>
        <w:t>culturas</w:t>
      </w:r>
      <w:r>
        <w:rPr>
          <w:i/>
          <w:color w:val="231F20"/>
          <w:spacing w:val="-6"/>
          <w:sz w:val="20"/>
        </w:rPr>
        <w:t> </w:t>
      </w:r>
      <w:r>
        <w:rPr>
          <w:i/>
          <w:color w:val="231F20"/>
          <w:sz w:val="20"/>
        </w:rPr>
        <w:t>y</w:t>
      </w:r>
      <w:r>
        <w:rPr>
          <w:i/>
          <w:color w:val="231F20"/>
          <w:spacing w:val="-6"/>
          <w:sz w:val="20"/>
        </w:rPr>
        <w:t> </w:t>
      </w:r>
      <w:r>
        <w:rPr>
          <w:i/>
          <w:color w:val="231F20"/>
          <w:sz w:val="20"/>
        </w:rPr>
        <w:t>continentes</w:t>
      </w:r>
      <w:r>
        <w:rPr>
          <w:color w:val="231F20"/>
          <w:sz w:val="20"/>
        </w:rPr>
        <w:t>,</w:t>
      </w:r>
      <w:r>
        <w:rPr>
          <w:color w:val="231F20"/>
          <w:spacing w:val="-6"/>
          <w:sz w:val="20"/>
        </w:rPr>
        <w:t> </w:t>
      </w:r>
      <w:r>
        <w:rPr>
          <w:color w:val="231F20"/>
          <w:sz w:val="20"/>
        </w:rPr>
        <w:t>Instituto</w:t>
      </w:r>
      <w:r>
        <w:rPr>
          <w:color w:val="231F20"/>
          <w:spacing w:val="-6"/>
          <w:sz w:val="20"/>
        </w:rPr>
        <w:t> </w:t>
      </w:r>
      <w:r>
        <w:rPr>
          <w:color w:val="231F20"/>
          <w:sz w:val="20"/>
        </w:rPr>
        <w:t>de</w:t>
      </w:r>
      <w:r>
        <w:rPr>
          <w:color w:val="231F20"/>
          <w:spacing w:val="-6"/>
          <w:sz w:val="20"/>
        </w:rPr>
        <w:t> </w:t>
      </w:r>
      <w:r>
        <w:rPr>
          <w:color w:val="231F20"/>
          <w:sz w:val="20"/>
        </w:rPr>
        <w:t>Formación</w:t>
      </w:r>
      <w:r>
        <w:rPr>
          <w:color w:val="231F20"/>
          <w:spacing w:val="-5"/>
          <w:sz w:val="20"/>
        </w:rPr>
        <w:t> </w:t>
      </w:r>
      <w:r>
        <w:rPr>
          <w:color w:val="231F20"/>
          <w:sz w:val="20"/>
        </w:rPr>
        <w:t>para Educadores de Jóvenes, Adolescentes y Niños Trabajadores de América Latina y el Caribe, Lima.</w:t>
      </w:r>
    </w:p>
    <w:p>
      <w:pPr>
        <w:spacing w:line="210" w:lineRule="exact" w:before="113"/>
        <w:ind w:left="117" w:right="111" w:firstLine="0"/>
        <w:jc w:val="both"/>
        <w:rPr>
          <w:sz w:val="20"/>
        </w:rPr>
      </w:pPr>
      <w:r>
        <w:rPr>
          <w:color w:val="231F20"/>
          <w:sz w:val="20"/>
        </w:rPr>
        <w:t>OIT</w:t>
      </w:r>
      <w:r>
        <w:rPr>
          <w:color w:val="231F20"/>
          <w:spacing w:val="-8"/>
          <w:sz w:val="20"/>
        </w:rPr>
        <w:t> </w:t>
      </w:r>
      <w:r>
        <w:rPr>
          <w:color w:val="231F20"/>
          <w:sz w:val="20"/>
        </w:rPr>
        <w:t>(Organización</w:t>
      </w:r>
      <w:r>
        <w:rPr>
          <w:color w:val="231F20"/>
          <w:spacing w:val="-4"/>
          <w:sz w:val="20"/>
        </w:rPr>
        <w:t> </w:t>
      </w:r>
      <w:r>
        <w:rPr>
          <w:color w:val="231F20"/>
          <w:sz w:val="20"/>
        </w:rPr>
        <w:t>Internacional</w:t>
      </w:r>
      <w:r>
        <w:rPr>
          <w:color w:val="231F20"/>
          <w:spacing w:val="-4"/>
          <w:sz w:val="20"/>
        </w:rPr>
        <w:t> </w:t>
      </w:r>
      <w:r>
        <w:rPr>
          <w:color w:val="231F20"/>
          <w:sz w:val="20"/>
        </w:rPr>
        <w:t>del</w:t>
      </w:r>
      <w:r>
        <w:rPr>
          <w:color w:val="231F20"/>
          <w:spacing w:val="-8"/>
          <w:sz w:val="20"/>
        </w:rPr>
        <w:t> </w:t>
      </w:r>
      <w:r>
        <w:rPr>
          <w:color w:val="231F20"/>
          <w:sz w:val="20"/>
        </w:rPr>
        <w:t>Trabajo),</w:t>
      </w:r>
      <w:r>
        <w:rPr>
          <w:color w:val="231F20"/>
          <w:spacing w:val="-4"/>
          <w:sz w:val="20"/>
        </w:rPr>
        <w:t> </w:t>
      </w:r>
      <w:r>
        <w:rPr>
          <w:color w:val="231F20"/>
          <w:sz w:val="20"/>
        </w:rPr>
        <w:t>2002,</w:t>
      </w:r>
      <w:r>
        <w:rPr>
          <w:color w:val="231F20"/>
          <w:spacing w:val="-4"/>
          <w:sz w:val="20"/>
        </w:rPr>
        <w:t> </w:t>
      </w:r>
      <w:r>
        <w:rPr>
          <w:color w:val="231F20"/>
          <w:sz w:val="20"/>
        </w:rPr>
        <w:t>“Un</w:t>
      </w:r>
      <w:r>
        <w:rPr>
          <w:color w:val="231F20"/>
          <w:spacing w:val="-4"/>
          <w:sz w:val="20"/>
        </w:rPr>
        <w:t> </w:t>
      </w:r>
      <w:r>
        <w:rPr>
          <w:color w:val="231F20"/>
          <w:sz w:val="20"/>
        </w:rPr>
        <w:t>futuro</w:t>
      </w:r>
      <w:r>
        <w:rPr>
          <w:color w:val="231F20"/>
          <w:spacing w:val="-4"/>
          <w:sz w:val="20"/>
        </w:rPr>
        <w:t> </w:t>
      </w:r>
      <w:r>
        <w:rPr>
          <w:color w:val="231F20"/>
          <w:sz w:val="20"/>
        </w:rPr>
        <w:t>sin</w:t>
      </w:r>
      <w:r>
        <w:rPr>
          <w:color w:val="231F20"/>
          <w:spacing w:val="-4"/>
          <w:sz w:val="20"/>
        </w:rPr>
        <w:t> </w:t>
      </w:r>
      <w:r>
        <w:rPr>
          <w:color w:val="231F20"/>
          <w:sz w:val="20"/>
        </w:rPr>
        <w:t>trabajo</w:t>
      </w:r>
      <w:r>
        <w:rPr>
          <w:color w:val="231F20"/>
          <w:spacing w:val="-4"/>
          <w:sz w:val="20"/>
        </w:rPr>
        <w:t> </w:t>
      </w:r>
      <w:r>
        <w:rPr>
          <w:color w:val="231F20"/>
          <w:sz w:val="20"/>
        </w:rPr>
        <w:t>infan- til”, en </w:t>
      </w:r>
      <w:r>
        <w:rPr>
          <w:i/>
          <w:color w:val="231F20"/>
          <w:sz w:val="20"/>
        </w:rPr>
        <w:t>Informe global con arreglo al seguimiento de la Declaración de la OIT </w:t>
      </w:r>
      <w:r>
        <w:rPr>
          <w:i/>
          <w:color w:val="231F20"/>
          <w:sz w:val="20"/>
        </w:rPr>
        <w:t>relativa a los principios y derechos fundamentales en el trabajo</w:t>
      </w:r>
      <w:r>
        <w:rPr>
          <w:color w:val="231F20"/>
          <w:sz w:val="20"/>
        </w:rPr>
        <w:t>,</w:t>
      </w:r>
      <w:r>
        <w:rPr>
          <w:color w:val="231F20"/>
          <w:spacing w:val="-30"/>
          <w:sz w:val="20"/>
        </w:rPr>
        <w:t> </w:t>
      </w:r>
      <w:r>
        <w:rPr>
          <w:color w:val="231F20"/>
          <w:sz w:val="20"/>
        </w:rPr>
        <w:t>Ginebra.</w:t>
      </w:r>
    </w:p>
    <w:p>
      <w:pPr>
        <w:spacing w:line="210" w:lineRule="exact" w:before="113"/>
        <w:ind w:left="117" w:right="114" w:firstLine="0"/>
        <w:jc w:val="both"/>
        <w:rPr>
          <w:sz w:val="20"/>
        </w:rPr>
      </w:pPr>
      <w:r>
        <w:rPr>
          <w:color w:val="231F20"/>
          <w:sz w:val="20"/>
        </w:rPr>
        <w:t>OIT (Organización Internacional del Trabajo), 2012, </w:t>
      </w:r>
      <w:r>
        <w:rPr>
          <w:i/>
          <w:color w:val="231F20"/>
          <w:spacing w:val="-3"/>
          <w:sz w:val="20"/>
        </w:rPr>
        <w:t>Trabajo </w:t>
      </w:r>
      <w:r>
        <w:rPr>
          <w:i/>
          <w:color w:val="231F20"/>
          <w:sz w:val="20"/>
        </w:rPr>
        <w:t>infantil</w:t>
      </w:r>
      <w:r>
        <w:rPr>
          <w:color w:val="231F20"/>
          <w:sz w:val="20"/>
        </w:rPr>
        <w:t>, obtenido  el 2 de noviembre 2012 de</w:t>
      </w:r>
      <w:r>
        <w:rPr>
          <w:color w:val="231F20"/>
          <w:spacing w:val="-28"/>
          <w:sz w:val="20"/>
        </w:rPr>
        <w:t> </w:t>
      </w:r>
      <w:hyperlink r:id="rId254">
        <w:r>
          <w:rPr>
            <w:color w:val="231F20"/>
            <w:sz w:val="20"/>
          </w:rPr>
          <w:t>http://www.ilo.org/global/topics/child-labour/lang--es/</w:t>
        </w:r>
      </w:hyperlink>
      <w:r>
        <w:rPr>
          <w:color w:val="231F20"/>
          <w:sz w:val="20"/>
        </w:rPr>
        <w:t> index.htm#a1</w:t>
      </w:r>
    </w:p>
    <w:p>
      <w:pPr>
        <w:spacing w:after="0" w:line="210" w:lineRule="exact"/>
        <w:jc w:val="both"/>
        <w:rPr>
          <w:sz w:val="20"/>
        </w:rPr>
        <w:sectPr>
          <w:pgSz w:w="9360" w:h="13040"/>
          <w:pgMar w:header="0" w:footer="496" w:top="840" w:bottom="680" w:left="1300" w:right="1300"/>
        </w:sectPr>
      </w:pPr>
    </w:p>
    <w:p>
      <w:pPr>
        <w:spacing w:before="45"/>
        <w:ind w:left="963" w:right="0" w:firstLine="0"/>
        <w:jc w:val="left"/>
        <w:rPr>
          <w:rFonts w:ascii="Arial" w:hAnsi="Arial"/>
          <w:sz w:val="20"/>
        </w:rPr>
      </w:pPr>
      <w:r>
        <w:rPr>
          <w:rFonts w:ascii="Arial" w:hAnsi="Arial"/>
          <w:color w:val="231F20"/>
          <w:w w:val="65"/>
          <w:sz w:val="20"/>
        </w:rPr>
        <w:t>Un</w:t>
      </w:r>
      <w:r>
        <w:rPr>
          <w:rFonts w:ascii="Arial" w:hAnsi="Arial"/>
          <w:color w:val="231F20"/>
          <w:spacing w:val="-11"/>
          <w:w w:val="65"/>
          <w:sz w:val="20"/>
        </w:rPr>
        <w:t> </w:t>
      </w:r>
      <w:r>
        <w:rPr>
          <w:rFonts w:ascii="Arial" w:hAnsi="Arial"/>
          <w:color w:val="231F20"/>
          <w:w w:val="65"/>
          <w:sz w:val="20"/>
        </w:rPr>
        <w:t>actor</w:t>
      </w:r>
      <w:r>
        <w:rPr>
          <w:rFonts w:ascii="Arial" w:hAnsi="Arial"/>
          <w:color w:val="231F20"/>
          <w:spacing w:val="-11"/>
          <w:w w:val="65"/>
          <w:sz w:val="20"/>
        </w:rPr>
        <w:t> </w:t>
      </w:r>
      <w:r>
        <w:rPr>
          <w:rFonts w:ascii="Arial" w:hAnsi="Arial"/>
          <w:color w:val="231F20"/>
          <w:w w:val="65"/>
          <w:sz w:val="20"/>
        </w:rPr>
        <w:t>más</w:t>
      </w:r>
      <w:r>
        <w:rPr>
          <w:rFonts w:ascii="Arial" w:hAnsi="Arial"/>
          <w:color w:val="231F20"/>
          <w:spacing w:val="-11"/>
          <w:w w:val="65"/>
          <w:sz w:val="20"/>
        </w:rPr>
        <w:t> </w:t>
      </w:r>
      <w:r>
        <w:rPr>
          <w:rFonts w:ascii="Arial" w:hAnsi="Arial"/>
          <w:color w:val="231F20"/>
          <w:w w:val="65"/>
          <w:sz w:val="20"/>
        </w:rPr>
        <w:t>en</w:t>
      </w:r>
      <w:r>
        <w:rPr>
          <w:rFonts w:ascii="Arial" w:hAnsi="Arial"/>
          <w:color w:val="231F20"/>
          <w:spacing w:val="-11"/>
          <w:w w:val="65"/>
          <w:sz w:val="20"/>
        </w:rPr>
        <w:t> </w:t>
      </w:r>
      <w:r>
        <w:rPr>
          <w:rFonts w:ascii="Arial" w:hAnsi="Arial"/>
          <w:color w:val="231F20"/>
          <w:w w:val="65"/>
          <w:sz w:val="20"/>
        </w:rPr>
        <w:t>los</w:t>
      </w:r>
      <w:r>
        <w:rPr>
          <w:rFonts w:ascii="Arial" w:hAnsi="Arial"/>
          <w:color w:val="231F20"/>
          <w:spacing w:val="-11"/>
          <w:w w:val="65"/>
          <w:sz w:val="20"/>
        </w:rPr>
        <w:t> </w:t>
      </w:r>
      <w:r>
        <w:rPr>
          <w:rFonts w:ascii="Arial" w:hAnsi="Arial"/>
          <w:color w:val="231F20"/>
          <w:w w:val="65"/>
          <w:sz w:val="20"/>
        </w:rPr>
        <w:t>procesos</w:t>
      </w:r>
      <w:r>
        <w:rPr>
          <w:rFonts w:ascii="Arial" w:hAnsi="Arial"/>
          <w:color w:val="231F20"/>
          <w:spacing w:val="-11"/>
          <w:w w:val="65"/>
          <w:sz w:val="20"/>
        </w:rPr>
        <w:t> </w:t>
      </w:r>
      <w:r>
        <w:rPr>
          <w:rFonts w:ascii="Arial" w:hAnsi="Arial"/>
          <w:color w:val="231F20"/>
          <w:w w:val="65"/>
          <w:sz w:val="20"/>
        </w:rPr>
        <w:t>migratorios:...</w:t>
      </w:r>
      <w:r>
        <w:rPr>
          <w:rFonts w:ascii="Arial" w:hAnsi="Arial"/>
          <w:color w:val="231F20"/>
          <w:spacing w:val="-11"/>
          <w:w w:val="65"/>
          <w:sz w:val="20"/>
        </w:rPr>
        <w:t> </w:t>
      </w:r>
      <w:r>
        <w:rPr>
          <w:rFonts w:ascii="Arial" w:hAnsi="Arial"/>
          <w:color w:val="231F20"/>
          <w:w w:val="65"/>
          <w:sz w:val="20"/>
        </w:rPr>
        <w:t>/Silvia</w:t>
      </w:r>
      <w:r>
        <w:rPr>
          <w:rFonts w:ascii="Arial" w:hAnsi="Arial"/>
          <w:color w:val="231F20"/>
          <w:spacing w:val="-19"/>
          <w:w w:val="65"/>
          <w:sz w:val="20"/>
        </w:rPr>
        <w:t> </w:t>
      </w:r>
      <w:r>
        <w:rPr>
          <w:rFonts w:ascii="Arial" w:hAnsi="Arial"/>
          <w:color w:val="231F20"/>
          <w:w w:val="65"/>
          <w:sz w:val="20"/>
        </w:rPr>
        <w:t>L.</w:t>
      </w:r>
      <w:r>
        <w:rPr>
          <w:rFonts w:ascii="Arial" w:hAnsi="Arial"/>
          <w:color w:val="231F20"/>
          <w:spacing w:val="-19"/>
          <w:w w:val="65"/>
          <w:sz w:val="20"/>
        </w:rPr>
        <w:t> </w:t>
      </w:r>
      <w:r>
        <w:rPr>
          <w:rFonts w:ascii="Arial" w:hAnsi="Arial"/>
          <w:color w:val="231F20"/>
          <w:w w:val="65"/>
          <w:sz w:val="20"/>
        </w:rPr>
        <w:t>Aguilar-Velázquez</w:t>
      </w:r>
      <w:r>
        <w:rPr>
          <w:rFonts w:ascii="Arial" w:hAnsi="Arial"/>
          <w:color w:val="231F20"/>
          <w:spacing w:val="-19"/>
          <w:w w:val="65"/>
          <w:sz w:val="20"/>
        </w:rPr>
        <w:t> </w:t>
      </w:r>
      <w:r>
        <w:rPr>
          <w:rFonts w:ascii="Arial" w:hAnsi="Arial"/>
          <w:color w:val="231F20"/>
          <w:w w:val="65"/>
          <w:sz w:val="20"/>
        </w:rPr>
        <w:t>y</w:t>
      </w:r>
      <w:r>
        <w:rPr>
          <w:rFonts w:ascii="Arial" w:hAnsi="Arial"/>
          <w:color w:val="231F20"/>
          <w:spacing w:val="-19"/>
          <w:w w:val="65"/>
          <w:sz w:val="20"/>
        </w:rPr>
        <w:t> </w:t>
      </w:r>
      <w:r>
        <w:rPr>
          <w:rFonts w:ascii="Arial" w:hAnsi="Arial"/>
          <w:color w:val="231F20"/>
          <w:w w:val="65"/>
          <w:sz w:val="20"/>
        </w:rPr>
        <w:t>Belinda</w:t>
      </w:r>
      <w:r>
        <w:rPr>
          <w:rFonts w:ascii="Arial" w:hAnsi="Arial"/>
          <w:color w:val="231F20"/>
          <w:spacing w:val="-19"/>
          <w:w w:val="65"/>
          <w:sz w:val="20"/>
        </w:rPr>
        <w:t> </w:t>
      </w:r>
      <w:r>
        <w:rPr>
          <w:rFonts w:ascii="Arial" w:hAnsi="Arial"/>
          <w:color w:val="231F20"/>
          <w:w w:val="65"/>
          <w:sz w:val="20"/>
        </w:rPr>
        <w:t>Ordóñez-Vázquez</w:t>
      </w:r>
    </w:p>
    <w:p>
      <w:pPr>
        <w:pStyle w:val="BodyText"/>
        <w:spacing w:before="1"/>
        <w:rPr>
          <w:rFonts w:ascii="Arial"/>
          <w:sz w:val="29"/>
        </w:rPr>
      </w:pPr>
    </w:p>
    <w:p>
      <w:pPr>
        <w:spacing w:before="0"/>
        <w:ind w:left="117" w:right="0" w:firstLine="0"/>
        <w:jc w:val="both"/>
        <w:rPr>
          <w:sz w:val="20"/>
        </w:rPr>
      </w:pPr>
      <w:r>
        <w:rPr>
          <w:color w:val="231F20"/>
          <w:sz w:val="20"/>
        </w:rPr>
        <w:t>WELTI, Carlos, 1997, </w:t>
      </w:r>
      <w:r>
        <w:rPr>
          <w:i/>
          <w:color w:val="231F20"/>
          <w:sz w:val="20"/>
        </w:rPr>
        <w:t>Demografía II</w:t>
      </w:r>
      <w:r>
        <w:rPr>
          <w:color w:val="231F20"/>
          <w:sz w:val="20"/>
        </w:rPr>
        <w:t>, PROLA/UNAM/IIS, México.</w:t>
      </w:r>
    </w:p>
    <w:p>
      <w:pPr>
        <w:spacing w:line="210" w:lineRule="exact" w:before="112"/>
        <w:ind w:left="117" w:right="115" w:firstLine="0"/>
        <w:jc w:val="both"/>
        <w:rPr>
          <w:sz w:val="20"/>
        </w:rPr>
      </w:pPr>
      <w:r>
        <w:rPr>
          <w:color w:val="231F20"/>
          <w:sz w:val="20"/>
        </w:rPr>
        <w:t>QUISPE, A., 2001, </w:t>
      </w:r>
      <w:r>
        <w:rPr>
          <w:i/>
          <w:color w:val="231F20"/>
          <w:sz w:val="20"/>
        </w:rPr>
        <w:t>Una historia ancestral</w:t>
      </w:r>
      <w:r>
        <w:rPr>
          <w:color w:val="231F20"/>
          <w:sz w:val="20"/>
        </w:rPr>
        <w:t>, obtenido el 20 de octubre 2011 de </w:t>
      </w:r>
      <w:hyperlink r:id="rId255">
        <w:r>
          <w:rPr>
            <w:color w:val="231F20"/>
            <w:sz w:val="20"/>
          </w:rPr>
          <w:t>http://www.selvas.eu/dossNAT4Es.html</w:t>
        </w:r>
      </w:hyperlink>
    </w:p>
    <w:p>
      <w:pPr>
        <w:spacing w:line="210" w:lineRule="exact" w:before="113"/>
        <w:ind w:left="117" w:right="115" w:firstLine="0"/>
        <w:jc w:val="both"/>
        <w:rPr>
          <w:sz w:val="20"/>
        </w:rPr>
      </w:pPr>
      <w:r>
        <w:rPr>
          <w:color w:val="231F20"/>
          <w:sz w:val="20"/>
        </w:rPr>
        <w:t>UNICEF, 2008, </w:t>
      </w:r>
      <w:r>
        <w:rPr>
          <w:i/>
          <w:color w:val="231F20"/>
          <w:sz w:val="20"/>
        </w:rPr>
        <w:t>Convención sobre los derechos del niño</w:t>
      </w:r>
      <w:r>
        <w:rPr>
          <w:color w:val="231F20"/>
          <w:sz w:val="20"/>
        </w:rPr>
        <w:t>, obtenido el 12 de enero de 2010 de </w:t>
      </w:r>
      <w:hyperlink r:id="rId256">
        <w:r>
          <w:rPr>
            <w:color w:val="231F20"/>
            <w:sz w:val="20"/>
          </w:rPr>
          <w:t>http://www.unicef.org/spanish/crc/</w:t>
        </w:r>
      </w:hyperlink>
    </w:p>
    <w:p>
      <w:pPr>
        <w:pStyle w:val="BodyText"/>
        <w:rPr>
          <w:sz w:val="20"/>
        </w:rPr>
      </w:pPr>
    </w:p>
    <w:p>
      <w:pPr>
        <w:pStyle w:val="BodyText"/>
        <w:spacing w:before="7"/>
        <w:rPr>
          <w:sz w:val="26"/>
        </w:rPr>
      </w:pPr>
    </w:p>
    <w:p>
      <w:pPr>
        <w:spacing w:before="0"/>
        <w:ind w:left="117" w:right="0" w:firstLine="0"/>
        <w:jc w:val="both"/>
        <w:rPr>
          <w:i/>
          <w:sz w:val="22"/>
        </w:rPr>
      </w:pPr>
      <w:r>
        <w:rPr>
          <w:i/>
          <w:color w:val="231F20"/>
          <w:sz w:val="22"/>
        </w:rPr>
        <w:t>Silvia Lizbeth Aguilar-Velázquez</w:t>
      </w:r>
    </w:p>
    <w:p>
      <w:pPr>
        <w:pStyle w:val="BodyText"/>
        <w:spacing w:before="2"/>
        <w:rPr>
          <w:i/>
          <w:sz w:val="23"/>
        </w:rPr>
      </w:pPr>
    </w:p>
    <w:p>
      <w:pPr>
        <w:pStyle w:val="BodyText"/>
        <w:spacing w:line="247" w:lineRule="auto"/>
        <w:ind w:left="117" w:right="114"/>
        <w:jc w:val="both"/>
      </w:pPr>
      <w:r>
        <w:rPr>
          <w:color w:val="231F20"/>
        </w:rPr>
        <w:t>Maestra</w:t>
      </w:r>
      <w:r>
        <w:rPr>
          <w:color w:val="231F20"/>
          <w:spacing w:val="-13"/>
        </w:rPr>
        <w:t> </w:t>
      </w:r>
      <w:r>
        <w:rPr>
          <w:color w:val="231F20"/>
        </w:rPr>
        <w:t>en</w:t>
      </w:r>
      <w:r>
        <w:rPr>
          <w:color w:val="231F20"/>
          <w:spacing w:val="-14"/>
        </w:rPr>
        <w:t> </w:t>
      </w:r>
      <w:r>
        <w:rPr>
          <w:color w:val="231F20"/>
        </w:rPr>
        <w:t>Estudios</w:t>
      </w:r>
      <w:r>
        <w:rPr>
          <w:color w:val="231F20"/>
          <w:spacing w:val="-14"/>
        </w:rPr>
        <w:t> </w:t>
      </w:r>
      <w:r>
        <w:rPr>
          <w:color w:val="231F20"/>
        </w:rPr>
        <w:t>de</w:t>
      </w:r>
      <w:r>
        <w:rPr>
          <w:color w:val="231F20"/>
          <w:spacing w:val="-14"/>
        </w:rPr>
        <w:t> </w:t>
      </w:r>
      <w:r>
        <w:rPr>
          <w:color w:val="231F20"/>
        </w:rPr>
        <w:t>Población</w:t>
      </w:r>
      <w:r>
        <w:rPr>
          <w:color w:val="231F20"/>
          <w:spacing w:val="-13"/>
        </w:rPr>
        <w:t> </w:t>
      </w:r>
      <w:r>
        <w:rPr>
          <w:color w:val="231F20"/>
        </w:rPr>
        <w:t>por</w:t>
      </w:r>
      <w:r>
        <w:rPr>
          <w:color w:val="231F20"/>
          <w:spacing w:val="-14"/>
        </w:rPr>
        <w:t> </w:t>
      </w:r>
      <w:r>
        <w:rPr>
          <w:color w:val="231F20"/>
        </w:rPr>
        <w:t>la</w:t>
      </w:r>
      <w:r>
        <w:rPr>
          <w:color w:val="231F20"/>
          <w:spacing w:val="-14"/>
        </w:rPr>
        <w:t> </w:t>
      </w:r>
      <w:r>
        <w:rPr>
          <w:color w:val="231F20"/>
        </w:rPr>
        <w:t>Universidad</w:t>
      </w:r>
      <w:r>
        <w:rPr>
          <w:color w:val="231F20"/>
          <w:spacing w:val="-25"/>
        </w:rPr>
        <w:t> </w:t>
      </w:r>
      <w:r>
        <w:rPr>
          <w:color w:val="231F20"/>
        </w:rPr>
        <w:t>Autónoma</w:t>
      </w:r>
      <w:r>
        <w:rPr>
          <w:color w:val="231F20"/>
          <w:spacing w:val="-13"/>
        </w:rPr>
        <w:t> </w:t>
      </w:r>
      <w:r>
        <w:rPr>
          <w:color w:val="231F20"/>
        </w:rPr>
        <w:t>del</w:t>
      </w:r>
      <w:r>
        <w:rPr>
          <w:color w:val="231F20"/>
          <w:spacing w:val="-14"/>
        </w:rPr>
        <w:t> </w:t>
      </w:r>
      <w:r>
        <w:rPr>
          <w:color w:val="231F20"/>
        </w:rPr>
        <w:t>Estado de</w:t>
      </w:r>
      <w:r>
        <w:rPr>
          <w:color w:val="231F20"/>
          <w:spacing w:val="-11"/>
        </w:rPr>
        <w:t> </w:t>
      </w:r>
      <w:r>
        <w:rPr>
          <w:color w:val="231F20"/>
        </w:rPr>
        <w:t>Hidalgo.</w:t>
      </w:r>
      <w:r>
        <w:rPr>
          <w:color w:val="231F20"/>
          <w:spacing w:val="-10"/>
        </w:rPr>
        <w:t> </w:t>
      </w:r>
      <w:r>
        <w:rPr>
          <w:color w:val="231F20"/>
        </w:rPr>
        <w:t>Es</w:t>
      </w:r>
      <w:r>
        <w:rPr>
          <w:color w:val="231F20"/>
          <w:spacing w:val="-11"/>
        </w:rPr>
        <w:t> </w:t>
      </w:r>
      <w:r>
        <w:rPr>
          <w:color w:val="231F20"/>
        </w:rPr>
        <w:t>profesora</w:t>
      </w:r>
      <w:r>
        <w:rPr>
          <w:color w:val="231F20"/>
          <w:spacing w:val="-11"/>
        </w:rPr>
        <w:t> </w:t>
      </w:r>
      <w:r>
        <w:rPr>
          <w:color w:val="231F20"/>
        </w:rPr>
        <w:t>de</w:t>
      </w:r>
      <w:r>
        <w:rPr>
          <w:color w:val="231F20"/>
          <w:spacing w:val="-11"/>
        </w:rPr>
        <w:t> </w:t>
      </w:r>
      <w:r>
        <w:rPr>
          <w:color w:val="231F20"/>
        </w:rPr>
        <w:t>tiempo</w:t>
      </w:r>
      <w:r>
        <w:rPr>
          <w:color w:val="231F20"/>
          <w:spacing w:val="-11"/>
        </w:rPr>
        <w:t> </w:t>
      </w:r>
      <w:r>
        <w:rPr>
          <w:color w:val="231F20"/>
        </w:rPr>
        <w:t>completo</w:t>
      </w:r>
      <w:r>
        <w:rPr>
          <w:color w:val="231F20"/>
          <w:spacing w:val="-11"/>
        </w:rPr>
        <w:t> </w:t>
      </w:r>
      <w:r>
        <w:rPr>
          <w:color w:val="231F20"/>
        </w:rPr>
        <w:t>y</w:t>
      </w:r>
      <w:r>
        <w:rPr>
          <w:color w:val="231F20"/>
          <w:spacing w:val="-11"/>
        </w:rPr>
        <w:t> </w:t>
      </w:r>
      <w:r>
        <w:rPr>
          <w:color w:val="231F20"/>
        </w:rPr>
        <w:t>se</w:t>
      </w:r>
      <w:r>
        <w:rPr>
          <w:color w:val="231F20"/>
          <w:spacing w:val="-11"/>
        </w:rPr>
        <w:t> </w:t>
      </w:r>
      <w:r>
        <w:rPr>
          <w:color w:val="231F20"/>
        </w:rPr>
        <w:t>desempeña</w:t>
      </w:r>
      <w:r>
        <w:rPr>
          <w:color w:val="231F20"/>
          <w:spacing w:val="-11"/>
        </w:rPr>
        <w:t> </w:t>
      </w:r>
      <w:r>
        <w:rPr>
          <w:color w:val="231F20"/>
        </w:rPr>
        <w:t>como</w:t>
      </w:r>
      <w:r>
        <w:rPr>
          <w:color w:val="231F20"/>
          <w:spacing w:val="-11"/>
        </w:rPr>
        <w:t> </w:t>
      </w:r>
      <w:r>
        <w:rPr>
          <w:color w:val="231F20"/>
        </w:rPr>
        <w:t>Enlace CONACyT en la División de Investigación y Posgrado de la Universidad Autónoma del Estado de Hidalgo, donde imparte los cursos de Economía del Sector Publico I y Economía del Sector Publico II. Entre sus últimas publicaciones destacan “Una perspectiva de la inserción de las mujeres de Ixmiquilpan</w:t>
      </w:r>
      <w:r>
        <w:rPr>
          <w:color w:val="231F20"/>
          <w:spacing w:val="-12"/>
        </w:rPr>
        <w:t> </w:t>
      </w:r>
      <w:r>
        <w:rPr>
          <w:color w:val="231F20"/>
        </w:rPr>
        <w:t>al</w:t>
      </w:r>
      <w:r>
        <w:rPr>
          <w:color w:val="231F20"/>
          <w:spacing w:val="-12"/>
        </w:rPr>
        <w:t> </w:t>
      </w:r>
      <w:r>
        <w:rPr>
          <w:color w:val="231F20"/>
        </w:rPr>
        <w:t>mercado</w:t>
      </w:r>
      <w:r>
        <w:rPr>
          <w:color w:val="231F20"/>
          <w:spacing w:val="-13"/>
        </w:rPr>
        <w:t> </w:t>
      </w:r>
      <w:r>
        <w:rPr>
          <w:color w:val="231F20"/>
        </w:rPr>
        <w:t>laboral”</w:t>
      </w:r>
      <w:r>
        <w:rPr>
          <w:color w:val="231F20"/>
          <w:spacing w:val="-13"/>
        </w:rPr>
        <w:t> </w:t>
      </w:r>
      <w:r>
        <w:rPr>
          <w:color w:val="231F20"/>
        </w:rPr>
        <w:t>(coautora)</w:t>
      </w:r>
      <w:r>
        <w:rPr>
          <w:color w:val="231F20"/>
          <w:spacing w:val="-12"/>
        </w:rPr>
        <w:t> </w:t>
      </w:r>
      <w:r>
        <w:rPr>
          <w:color w:val="231F20"/>
        </w:rPr>
        <w:t>en</w:t>
      </w:r>
      <w:r>
        <w:rPr>
          <w:color w:val="231F20"/>
          <w:spacing w:val="-12"/>
        </w:rPr>
        <w:t> </w:t>
      </w:r>
      <w:r>
        <w:rPr>
          <w:i/>
          <w:color w:val="231F20"/>
        </w:rPr>
        <w:t>Dinámicas</w:t>
      </w:r>
      <w:r>
        <w:rPr>
          <w:i/>
          <w:color w:val="231F20"/>
          <w:spacing w:val="-12"/>
        </w:rPr>
        <w:t> </w:t>
      </w:r>
      <w:r>
        <w:rPr>
          <w:i/>
          <w:color w:val="231F20"/>
        </w:rPr>
        <w:t>demográficas</w:t>
      </w:r>
      <w:r>
        <w:rPr>
          <w:i/>
          <w:color w:val="231F20"/>
          <w:spacing w:val="-12"/>
        </w:rPr>
        <w:t> </w:t>
      </w:r>
      <w:r>
        <w:rPr>
          <w:i/>
          <w:color w:val="231F20"/>
        </w:rPr>
        <w:t>en </w:t>
      </w:r>
      <w:r>
        <w:rPr>
          <w:i/>
          <w:color w:val="231F20"/>
        </w:rPr>
        <w:t>el</w:t>
      </w:r>
      <w:r>
        <w:rPr>
          <w:i/>
          <w:color w:val="231F20"/>
          <w:spacing w:val="-15"/>
        </w:rPr>
        <w:t> </w:t>
      </w:r>
      <w:r>
        <w:rPr>
          <w:i/>
          <w:color w:val="231F20"/>
        </w:rPr>
        <w:t>Estado</w:t>
      </w:r>
      <w:r>
        <w:rPr>
          <w:i/>
          <w:color w:val="231F20"/>
          <w:spacing w:val="-15"/>
        </w:rPr>
        <w:t> </w:t>
      </w:r>
      <w:r>
        <w:rPr>
          <w:i/>
          <w:color w:val="231F20"/>
        </w:rPr>
        <w:t>de</w:t>
      </w:r>
      <w:r>
        <w:rPr>
          <w:i/>
          <w:color w:val="231F20"/>
          <w:spacing w:val="-15"/>
        </w:rPr>
        <w:t> </w:t>
      </w:r>
      <w:r>
        <w:rPr>
          <w:i/>
          <w:color w:val="231F20"/>
        </w:rPr>
        <w:t>Hidalgo</w:t>
      </w:r>
      <w:r>
        <w:rPr>
          <w:color w:val="231F20"/>
        </w:rPr>
        <w:t>,</w:t>
      </w:r>
      <w:r>
        <w:rPr>
          <w:color w:val="231F20"/>
          <w:spacing w:val="-15"/>
        </w:rPr>
        <w:t> </w:t>
      </w:r>
      <w:r>
        <w:rPr>
          <w:color w:val="231F20"/>
        </w:rPr>
        <w:t>Universidad</w:t>
      </w:r>
      <w:r>
        <w:rPr>
          <w:color w:val="231F20"/>
          <w:spacing w:val="-26"/>
        </w:rPr>
        <w:t> </w:t>
      </w:r>
      <w:r>
        <w:rPr>
          <w:color w:val="231F20"/>
        </w:rPr>
        <w:t>Autónoma</w:t>
      </w:r>
      <w:r>
        <w:rPr>
          <w:color w:val="231F20"/>
          <w:spacing w:val="-15"/>
        </w:rPr>
        <w:t> </w:t>
      </w:r>
      <w:r>
        <w:rPr>
          <w:color w:val="231F20"/>
        </w:rPr>
        <w:t>del</w:t>
      </w:r>
      <w:r>
        <w:rPr>
          <w:color w:val="231F20"/>
          <w:spacing w:val="-15"/>
        </w:rPr>
        <w:t> </w:t>
      </w:r>
      <w:r>
        <w:rPr>
          <w:color w:val="231F20"/>
        </w:rPr>
        <w:t>Estado</w:t>
      </w:r>
      <w:r>
        <w:rPr>
          <w:color w:val="231F20"/>
          <w:spacing w:val="-15"/>
        </w:rPr>
        <w:t> </w:t>
      </w:r>
      <w:r>
        <w:rPr>
          <w:color w:val="231F20"/>
        </w:rPr>
        <w:t>de</w:t>
      </w:r>
      <w:r>
        <w:rPr>
          <w:color w:val="231F20"/>
          <w:spacing w:val="-15"/>
        </w:rPr>
        <w:t> </w:t>
      </w:r>
      <w:r>
        <w:rPr>
          <w:color w:val="231F20"/>
        </w:rPr>
        <w:t>Hidalgo,</w:t>
      </w:r>
      <w:r>
        <w:rPr>
          <w:color w:val="231F20"/>
          <w:spacing w:val="-15"/>
        </w:rPr>
        <w:t> </w:t>
      </w:r>
      <w:r>
        <w:rPr>
          <w:color w:val="231F20"/>
        </w:rPr>
        <w:t>2013; “La</w:t>
      </w:r>
      <w:r>
        <w:rPr>
          <w:color w:val="231F20"/>
          <w:spacing w:val="-7"/>
        </w:rPr>
        <w:t> </w:t>
      </w:r>
      <w:r>
        <w:rPr>
          <w:color w:val="231F20"/>
        </w:rPr>
        <w:t>inserción</w:t>
      </w:r>
      <w:r>
        <w:rPr>
          <w:color w:val="231F20"/>
          <w:spacing w:val="-7"/>
        </w:rPr>
        <w:t> </w:t>
      </w:r>
      <w:r>
        <w:rPr>
          <w:color w:val="231F20"/>
        </w:rPr>
        <w:t>laboral</w:t>
      </w:r>
      <w:r>
        <w:rPr>
          <w:color w:val="231F20"/>
          <w:spacing w:val="-7"/>
        </w:rPr>
        <w:t> </w:t>
      </w:r>
      <w:r>
        <w:rPr>
          <w:color w:val="231F20"/>
        </w:rPr>
        <w:t>en</w:t>
      </w:r>
      <w:r>
        <w:rPr>
          <w:color w:val="231F20"/>
          <w:spacing w:val="-7"/>
        </w:rPr>
        <w:t> </w:t>
      </w:r>
      <w:r>
        <w:rPr>
          <w:color w:val="231F20"/>
        </w:rPr>
        <w:t>una</w:t>
      </w:r>
      <w:r>
        <w:rPr>
          <w:color w:val="231F20"/>
          <w:spacing w:val="-7"/>
        </w:rPr>
        <w:t> </w:t>
      </w:r>
      <w:r>
        <w:rPr>
          <w:color w:val="231F20"/>
        </w:rPr>
        <w:t>zona</w:t>
      </w:r>
      <w:r>
        <w:rPr>
          <w:color w:val="231F20"/>
          <w:spacing w:val="-7"/>
        </w:rPr>
        <w:t> </w:t>
      </w:r>
      <w:r>
        <w:rPr>
          <w:color w:val="231F20"/>
        </w:rPr>
        <w:t>metropolitana</w:t>
      </w:r>
      <w:r>
        <w:rPr>
          <w:color w:val="231F20"/>
          <w:spacing w:val="-7"/>
        </w:rPr>
        <w:t> </w:t>
      </w:r>
      <w:r>
        <w:rPr>
          <w:color w:val="231F20"/>
        </w:rPr>
        <w:t>del</w:t>
      </w:r>
      <w:r>
        <w:rPr>
          <w:color w:val="231F20"/>
          <w:spacing w:val="-7"/>
        </w:rPr>
        <w:t> </w:t>
      </w:r>
      <w:r>
        <w:rPr>
          <w:color w:val="231F20"/>
        </w:rPr>
        <w:t>Estado</w:t>
      </w:r>
      <w:r>
        <w:rPr>
          <w:color w:val="231F20"/>
          <w:spacing w:val="-7"/>
        </w:rPr>
        <w:t> </w:t>
      </w:r>
      <w:r>
        <w:rPr>
          <w:color w:val="231F20"/>
        </w:rPr>
        <w:t>de</w:t>
      </w:r>
      <w:r>
        <w:rPr>
          <w:color w:val="231F20"/>
          <w:spacing w:val="-7"/>
        </w:rPr>
        <w:t> </w:t>
      </w:r>
      <w:r>
        <w:rPr>
          <w:color w:val="231F20"/>
        </w:rPr>
        <w:t>Hidalgo:</w:t>
      </w:r>
      <w:r>
        <w:rPr>
          <w:color w:val="231F20"/>
          <w:spacing w:val="-7"/>
        </w:rPr>
        <w:t> </w:t>
      </w:r>
      <w:r>
        <w:rPr>
          <w:color w:val="231F20"/>
        </w:rPr>
        <w:t>La Zona</w:t>
      </w:r>
      <w:r>
        <w:rPr>
          <w:color w:val="231F20"/>
          <w:spacing w:val="-8"/>
        </w:rPr>
        <w:t> </w:t>
      </w:r>
      <w:r>
        <w:rPr>
          <w:color w:val="231F20"/>
        </w:rPr>
        <w:t>Metropolitana</w:t>
      </w:r>
      <w:r>
        <w:rPr>
          <w:color w:val="231F20"/>
          <w:spacing w:val="-7"/>
        </w:rPr>
        <w:t> </w:t>
      </w:r>
      <w:r>
        <w:rPr>
          <w:color w:val="231F20"/>
        </w:rPr>
        <w:t>de</w:t>
      </w:r>
      <w:r>
        <w:rPr>
          <w:color w:val="231F20"/>
          <w:spacing w:val="-8"/>
        </w:rPr>
        <w:t> </w:t>
      </w:r>
      <w:r>
        <w:rPr>
          <w:color w:val="231F20"/>
        </w:rPr>
        <w:t>Pachuca”</w:t>
      </w:r>
      <w:r>
        <w:rPr>
          <w:color w:val="231F20"/>
          <w:spacing w:val="-8"/>
        </w:rPr>
        <w:t> </w:t>
      </w:r>
      <w:r>
        <w:rPr>
          <w:color w:val="231F20"/>
        </w:rPr>
        <w:t>(coautora),</w:t>
      </w:r>
      <w:r>
        <w:rPr>
          <w:color w:val="231F20"/>
          <w:spacing w:val="-8"/>
        </w:rPr>
        <w:t> </w:t>
      </w:r>
      <w:r>
        <w:rPr>
          <w:color w:val="231F20"/>
        </w:rPr>
        <w:t>en</w:t>
      </w:r>
      <w:r>
        <w:rPr>
          <w:color w:val="231F20"/>
          <w:spacing w:val="-8"/>
        </w:rPr>
        <w:t> </w:t>
      </w:r>
      <w:r>
        <w:rPr>
          <w:i/>
          <w:color w:val="231F20"/>
        </w:rPr>
        <w:t>Cambios</w:t>
      </w:r>
      <w:r>
        <w:rPr>
          <w:i/>
          <w:color w:val="231F20"/>
          <w:spacing w:val="-8"/>
        </w:rPr>
        <w:t> </w:t>
      </w:r>
      <w:r>
        <w:rPr>
          <w:i/>
          <w:color w:val="231F20"/>
        </w:rPr>
        <w:t>sociales</w:t>
      </w:r>
      <w:r>
        <w:rPr>
          <w:i/>
          <w:color w:val="231F20"/>
          <w:spacing w:val="-8"/>
        </w:rPr>
        <w:t> </w:t>
      </w:r>
      <w:r>
        <w:rPr>
          <w:i/>
          <w:color w:val="231F20"/>
        </w:rPr>
        <w:t>y</w:t>
      </w:r>
      <w:r>
        <w:rPr>
          <w:i/>
          <w:color w:val="231F20"/>
          <w:spacing w:val="-8"/>
        </w:rPr>
        <w:t> </w:t>
      </w:r>
      <w:r>
        <w:rPr>
          <w:i/>
          <w:color w:val="231F20"/>
        </w:rPr>
        <w:t>preca- </w:t>
      </w:r>
      <w:r>
        <w:rPr>
          <w:i/>
          <w:color w:val="231F20"/>
        </w:rPr>
        <w:t>riedad</w:t>
      </w:r>
      <w:r>
        <w:rPr>
          <w:i/>
          <w:color w:val="231F20"/>
          <w:spacing w:val="-4"/>
        </w:rPr>
        <w:t> </w:t>
      </w:r>
      <w:r>
        <w:rPr>
          <w:i/>
          <w:color w:val="231F20"/>
        </w:rPr>
        <w:t>en</w:t>
      </w:r>
      <w:r>
        <w:rPr>
          <w:i/>
          <w:color w:val="231F20"/>
          <w:spacing w:val="-5"/>
        </w:rPr>
        <w:t> </w:t>
      </w:r>
      <w:r>
        <w:rPr>
          <w:i/>
          <w:color w:val="231F20"/>
        </w:rPr>
        <w:t>el</w:t>
      </w:r>
      <w:r>
        <w:rPr>
          <w:i/>
          <w:color w:val="231F20"/>
          <w:spacing w:val="-4"/>
        </w:rPr>
        <w:t> </w:t>
      </w:r>
      <w:r>
        <w:rPr>
          <w:i/>
          <w:color w:val="231F20"/>
        </w:rPr>
        <w:t>empleo</w:t>
      </w:r>
      <w:r>
        <w:rPr>
          <w:color w:val="231F20"/>
        </w:rPr>
        <w:t>,</w:t>
      </w:r>
      <w:r>
        <w:rPr>
          <w:color w:val="231F20"/>
          <w:spacing w:val="-4"/>
        </w:rPr>
        <w:t> </w:t>
      </w:r>
      <w:r>
        <w:rPr>
          <w:color w:val="231F20"/>
        </w:rPr>
        <w:t>Universidad</w:t>
      </w:r>
      <w:r>
        <w:rPr>
          <w:color w:val="231F20"/>
          <w:spacing w:val="-16"/>
        </w:rPr>
        <w:t> </w:t>
      </w:r>
      <w:r>
        <w:rPr>
          <w:color w:val="231F20"/>
        </w:rPr>
        <w:t>Autónoma</w:t>
      </w:r>
      <w:r>
        <w:rPr>
          <w:color w:val="231F20"/>
          <w:spacing w:val="-4"/>
        </w:rPr>
        <w:t> </w:t>
      </w:r>
      <w:r>
        <w:rPr>
          <w:color w:val="231F20"/>
        </w:rPr>
        <w:t>del</w:t>
      </w:r>
      <w:r>
        <w:rPr>
          <w:color w:val="231F20"/>
          <w:spacing w:val="-4"/>
        </w:rPr>
        <w:t> </w:t>
      </w:r>
      <w:r>
        <w:rPr>
          <w:color w:val="231F20"/>
        </w:rPr>
        <w:t>Estado</w:t>
      </w:r>
      <w:r>
        <w:rPr>
          <w:color w:val="231F20"/>
          <w:spacing w:val="-5"/>
        </w:rPr>
        <w:t> </w:t>
      </w:r>
      <w:r>
        <w:rPr>
          <w:color w:val="231F20"/>
        </w:rPr>
        <w:t>de</w:t>
      </w:r>
      <w:r>
        <w:rPr>
          <w:color w:val="231F20"/>
          <w:spacing w:val="-4"/>
        </w:rPr>
        <w:t> </w:t>
      </w:r>
      <w:r>
        <w:rPr>
          <w:color w:val="231F20"/>
        </w:rPr>
        <w:t>Hidalgo,</w:t>
      </w:r>
      <w:r>
        <w:rPr>
          <w:color w:val="231F20"/>
          <w:spacing w:val="-4"/>
        </w:rPr>
        <w:t> </w:t>
      </w:r>
      <w:r>
        <w:rPr>
          <w:color w:val="231F20"/>
        </w:rPr>
        <w:t>2011.</w:t>
      </w:r>
    </w:p>
    <w:p>
      <w:pPr>
        <w:pStyle w:val="BodyText"/>
        <w:spacing w:before="6"/>
      </w:pPr>
    </w:p>
    <w:p>
      <w:pPr>
        <w:pStyle w:val="BodyText"/>
        <w:ind w:left="117"/>
        <w:jc w:val="both"/>
      </w:pPr>
      <w:r>
        <w:rPr>
          <w:color w:val="231F20"/>
        </w:rPr>
        <w:t>Correo electrónico: </w:t>
      </w:r>
      <w:hyperlink r:id="rId257">
        <w:r>
          <w:rPr>
            <w:color w:val="231F20"/>
          </w:rPr>
          <w:t>silvia_aguilar@uaeh.edu.mx</w:t>
        </w:r>
      </w:hyperlink>
    </w:p>
    <w:p>
      <w:pPr>
        <w:pStyle w:val="BodyText"/>
        <w:spacing w:before="2"/>
        <w:rPr>
          <w:sz w:val="23"/>
        </w:rPr>
      </w:pPr>
    </w:p>
    <w:p>
      <w:pPr>
        <w:spacing w:before="0"/>
        <w:ind w:left="117" w:right="0" w:firstLine="0"/>
        <w:jc w:val="both"/>
        <w:rPr>
          <w:i/>
          <w:sz w:val="22"/>
        </w:rPr>
      </w:pPr>
      <w:r>
        <w:rPr>
          <w:i/>
          <w:color w:val="231F20"/>
          <w:sz w:val="22"/>
        </w:rPr>
        <w:t>Belinda Ordóñez-Vázquez</w:t>
      </w:r>
    </w:p>
    <w:p>
      <w:pPr>
        <w:pStyle w:val="BodyText"/>
        <w:spacing w:before="2"/>
        <w:rPr>
          <w:i/>
          <w:sz w:val="23"/>
        </w:rPr>
      </w:pPr>
    </w:p>
    <w:p>
      <w:pPr>
        <w:spacing w:line="247" w:lineRule="auto" w:before="0"/>
        <w:ind w:left="117" w:right="115" w:firstLine="0"/>
        <w:jc w:val="both"/>
        <w:rPr>
          <w:sz w:val="22"/>
        </w:rPr>
      </w:pPr>
      <w:r>
        <w:rPr>
          <w:color w:val="231F20"/>
          <w:sz w:val="22"/>
        </w:rPr>
        <w:t>Estudió la Licenciatura en Economía con énfasis en planeación y desarro- llo regional en el Instituto de Ciencias Económico Administrativas de la Universidad</w:t>
      </w:r>
      <w:r>
        <w:rPr>
          <w:color w:val="231F20"/>
          <w:spacing w:val="-21"/>
          <w:sz w:val="22"/>
        </w:rPr>
        <w:t> </w:t>
      </w:r>
      <w:r>
        <w:rPr>
          <w:color w:val="231F20"/>
          <w:sz w:val="22"/>
        </w:rPr>
        <w:t>Autónoma</w:t>
      </w:r>
      <w:r>
        <w:rPr>
          <w:color w:val="231F20"/>
          <w:spacing w:val="-10"/>
          <w:sz w:val="22"/>
        </w:rPr>
        <w:t> </w:t>
      </w:r>
      <w:r>
        <w:rPr>
          <w:color w:val="231F20"/>
          <w:sz w:val="22"/>
        </w:rPr>
        <w:t>del</w:t>
      </w:r>
      <w:r>
        <w:rPr>
          <w:color w:val="231F20"/>
          <w:spacing w:val="-10"/>
          <w:sz w:val="22"/>
        </w:rPr>
        <w:t> </w:t>
      </w:r>
      <w:r>
        <w:rPr>
          <w:color w:val="231F20"/>
          <w:sz w:val="22"/>
        </w:rPr>
        <w:t>Estado</w:t>
      </w:r>
      <w:r>
        <w:rPr>
          <w:color w:val="231F20"/>
          <w:spacing w:val="-11"/>
          <w:sz w:val="22"/>
        </w:rPr>
        <w:t> </w:t>
      </w:r>
      <w:r>
        <w:rPr>
          <w:color w:val="231F20"/>
          <w:sz w:val="22"/>
        </w:rPr>
        <w:t>de</w:t>
      </w:r>
      <w:r>
        <w:rPr>
          <w:color w:val="231F20"/>
          <w:spacing w:val="-10"/>
          <w:sz w:val="22"/>
        </w:rPr>
        <w:t> </w:t>
      </w:r>
      <w:r>
        <w:rPr>
          <w:color w:val="231F20"/>
          <w:sz w:val="22"/>
        </w:rPr>
        <w:t>Hidalgo</w:t>
      </w:r>
      <w:r>
        <w:rPr>
          <w:color w:val="231F20"/>
          <w:spacing w:val="-10"/>
          <w:sz w:val="22"/>
        </w:rPr>
        <w:t> </w:t>
      </w:r>
      <w:r>
        <w:rPr>
          <w:color w:val="231F20"/>
          <w:sz w:val="22"/>
        </w:rPr>
        <w:t>(UAEH);</w:t>
      </w:r>
      <w:r>
        <w:rPr>
          <w:color w:val="231F20"/>
          <w:spacing w:val="-10"/>
          <w:sz w:val="22"/>
        </w:rPr>
        <w:t> </w:t>
      </w:r>
      <w:r>
        <w:rPr>
          <w:color w:val="231F20"/>
          <w:sz w:val="22"/>
        </w:rPr>
        <w:t>la</w:t>
      </w:r>
      <w:r>
        <w:rPr>
          <w:color w:val="231F20"/>
          <w:spacing w:val="-10"/>
          <w:sz w:val="22"/>
        </w:rPr>
        <w:t> </w:t>
      </w:r>
      <w:r>
        <w:rPr>
          <w:color w:val="231F20"/>
          <w:sz w:val="22"/>
        </w:rPr>
        <w:t>Especialidad</w:t>
      </w:r>
      <w:r>
        <w:rPr>
          <w:color w:val="231F20"/>
          <w:spacing w:val="-11"/>
          <w:sz w:val="22"/>
        </w:rPr>
        <w:t> </w:t>
      </w:r>
      <w:r>
        <w:rPr>
          <w:color w:val="231F20"/>
          <w:sz w:val="22"/>
        </w:rPr>
        <w:t>en Sistemas</w:t>
      </w:r>
      <w:r>
        <w:rPr>
          <w:color w:val="231F20"/>
          <w:spacing w:val="-10"/>
          <w:sz w:val="22"/>
        </w:rPr>
        <w:t> </w:t>
      </w:r>
      <w:r>
        <w:rPr>
          <w:color w:val="231F20"/>
          <w:sz w:val="22"/>
        </w:rPr>
        <w:t>y</w:t>
      </w:r>
      <w:r>
        <w:rPr>
          <w:color w:val="231F20"/>
          <w:spacing w:val="-10"/>
          <w:sz w:val="22"/>
        </w:rPr>
        <w:t> </w:t>
      </w:r>
      <w:r>
        <w:rPr>
          <w:color w:val="231F20"/>
          <w:sz w:val="22"/>
        </w:rPr>
        <w:t>Planeación</w:t>
      </w:r>
      <w:r>
        <w:rPr>
          <w:color w:val="231F20"/>
          <w:spacing w:val="-9"/>
          <w:sz w:val="22"/>
        </w:rPr>
        <w:t> </w:t>
      </w:r>
      <w:r>
        <w:rPr>
          <w:color w:val="231F20"/>
          <w:sz w:val="22"/>
        </w:rPr>
        <w:t>en</w:t>
      </w:r>
      <w:r>
        <w:rPr>
          <w:color w:val="231F20"/>
          <w:spacing w:val="-10"/>
          <w:sz w:val="22"/>
        </w:rPr>
        <w:t> </w:t>
      </w:r>
      <w:r>
        <w:rPr>
          <w:color w:val="231F20"/>
          <w:sz w:val="22"/>
        </w:rPr>
        <w:t>el</w:t>
      </w:r>
      <w:r>
        <w:rPr>
          <w:color w:val="231F20"/>
          <w:spacing w:val="-10"/>
          <w:sz w:val="22"/>
        </w:rPr>
        <w:t> </w:t>
      </w:r>
      <w:r>
        <w:rPr>
          <w:color w:val="231F20"/>
          <w:sz w:val="22"/>
        </w:rPr>
        <w:t>Instituto</w:t>
      </w:r>
      <w:r>
        <w:rPr>
          <w:color w:val="231F20"/>
          <w:spacing w:val="-10"/>
          <w:sz w:val="22"/>
        </w:rPr>
        <w:t> </w:t>
      </w:r>
      <w:r>
        <w:rPr>
          <w:color w:val="231F20"/>
          <w:sz w:val="22"/>
        </w:rPr>
        <w:t>de</w:t>
      </w:r>
      <w:r>
        <w:rPr>
          <w:color w:val="231F20"/>
          <w:spacing w:val="-10"/>
          <w:sz w:val="22"/>
        </w:rPr>
        <w:t> </w:t>
      </w:r>
      <w:r>
        <w:rPr>
          <w:color w:val="231F20"/>
          <w:sz w:val="22"/>
        </w:rPr>
        <w:t>Ciencias</w:t>
      </w:r>
      <w:r>
        <w:rPr>
          <w:color w:val="231F20"/>
          <w:spacing w:val="-10"/>
          <w:sz w:val="22"/>
        </w:rPr>
        <w:t> </w:t>
      </w:r>
      <w:r>
        <w:rPr>
          <w:color w:val="231F20"/>
          <w:sz w:val="22"/>
        </w:rPr>
        <w:t>Básicas</w:t>
      </w:r>
      <w:r>
        <w:rPr>
          <w:color w:val="231F20"/>
          <w:spacing w:val="-10"/>
          <w:sz w:val="22"/>
        </w:rPr>
        <w:t> </w:t>
      </w:r>
      <w:r>
        <w:rPr>
          <w:color w:val="231F20"/>
          <w:sz w:val="22"/>
        </w:rPr>
        <w:t>e</w:t>
      </w:r>
      <w:r>
        <w:rPr>
          <w:color w:val="231F20"/>
          <w:spacing w:val="-10"/>
          <w:sz w:val="22"/>
        </w:rPr>
        <w:t> </w:t>
      </w:r>
      <w:r>
        <w:rPr>
          <w:color w:val="231F20"/>
          <w:sz w:val="22"/>
        </w:rPr>
        <w:t>Ingeniería</w:t>
      </w:r>
      <w:r>
        <w:rPr>
          <w:color w:val="231F20"/>
          <w:spacing w:val="-10"/>
          <w:sz w:val="22"/>
        </w:rPr>
        <w:t> </w:t>
      </w:r>
      <w:r>
        <w:rPr>
          <w:color w:val="231F20"/>
          <w:sz w:val="22"/>
        </w:rPr>
        <w:t>de</w:t>
      </w:r>
      <w:r>
        <w:rPr>
          <w:color w:val="231F20"/>
          <w:spacing w:val="-10"/>
          <w:sz w:val="22"/>
        </w:rPr>
        <w:t> </w:t>
      </w:r>
      <w:r>
        <w:rPr>
          <w:color w:val="231F20"/>
          <w:sz w:val="22"/>
        </w:rPr>
        <w:t>la UAEH con la </w:t>
      </w:r>
      <w:r>
        <w:rPr>
          <w:color w:val="231F20"/>
          <w:spacing w:val="-3"/>
          <w:sz w:val="22"/>
        </w:rPr>
        <w:t>Tesina: </w:t>
      </w:r>
      <w:r>
        <w:rPr>
          <w:i/>
          <w:color w:val="231F20"/>
          <w:sz w:val="22"/>
        </w:rPr>
        <w:t>La calidad como una estrategia propuesta aplicada </w:t>
      </w:r>
      <w:r>
        <w:rPr>
          <w:i/>
          <w:color w:val="231F20"/>
          <w:sz w:val="22"/>
        </w:rPr>
        <w:t>a</w:t>
      </w:r>
      <w:r>
        <w:rPr>
          <w:i/>
          <w:color w:val="231F20"/>
          <w:spacing w:val="-8"/>
          <w:sz w:val="22"/>
        </w:rPr>
        <w:t> </w:t>
      </w:r>
      <w:r>
        <w:rPr>
          <w:i/>
          <w:color w:val="231F20"/>
          <w:sz w:val="22"/>
        </w:rPr>
        <w:t>la</w:t>
      </w:r>
      <w:r>
        <w:rPr>
          <w:i/>
          <w:color w:val="231F20"/>
          <w:spacing w:val="-8"/>
          <w:sz w:val="22"/>
        </w:rPr>
        <w:t> </w:t>
      </w:r>
      <w:r>
        <w:rPr>
          <w:i/>
          <w:color w:val="231F20"/>
          <w:sz w:val="22"/>
        </w:rPr>
        <w:t>empresa</w:t>
      </w:r>
      <w:r>
        <w:rPr>
          <w:i/>
          <w:color w:val="231F20"/>
          <w:spacing w:val="-8"/>
          <w:sz w:val="22"/>
        </w:rPr>
        <w:t> </w:t>
      </w:r>
      <w:r>
        <w:rPr>
          <w:i/>
          <w:color w:val="231F20"/>
          <w:sz w:val="22"/>
        </w:rPr>
        <w:t>Tecladolandia</w:t>
      </w:r>
      <w:r>
        <w:rPr>
          <w:color w:val="231F20"/>
          <w:sz w:val="22"/>
        </w:rPr>
        <w:t>.</w:t>
      </w:r>
      <w:r>
        <w:rPr>
          <w:color w:val="231F20"/>
          <w:spacing w:val="-8"/>
          <w:sz w:val="22"/>
        </w:rPr>
        <w:t> </w:t>
      </w:r>
      <w:r>
        <w:rPr>
          <w:color w:val="231F20"/>
          <w:sz w:val="22"/>
        </w:rPr>
        <w:t>Hizo</w:t>
      </w:r>
      <w:r>
        <w:rPr>
          <w:color w:val="231F20"/>
          <w:spacing w:val="-8"/>
          <w:sz w:val="22"/>
        </w:rPr>
        <w:t> </w:t>
      </w:r>
      <w:r>
        <w:rPr>
          <w:color w:val="231F20"/>
          <w:sz w:val="22"/>
        </w:rPr>
        <w:t>la</w:t>
      </w:r>
      <w:r>
        <w:rPr>
          <w:color w:val="231F20"/>
          <w:spacing w:val="-8"/>
          <w:sz w:val="22"/>
        </w:rPr>
        <w:t> </w:t>
      </w:r>
      <w:r>
        <w:rPr>
          <w:color w:val="231F20"/>
          <w:sz w:val="22"/>
        </w:rPr>
        <w:t>Maestría</w:t>
      </w:r>
      <w:r>
        <w:rPr>
          <w:color w:val="231F20"/>
          <w:spacing w:val="-7"/>
          <w:sz w:val="22"/>
        </w:rPr>
        <w:t> </w:t>
      </w:r>
      <w:r>
        <w:rPr>
          <w:color w:val="231F20"/>
          <w:sz w:val="22"/>
        </w:rPr>
        <w:t>en</w:t>
      </w:r>
      <w:r>
        <w:rPr>
          <w:color w:val="231F20"/>
          <w:spacing w:val="-8"/>
          <w:sz w:val="22"/>
        </w:rPr>
        <w:t> </w:t>
      </w:r>
      <w:r>
        <w:rPr>
          <w:color w:val="231F20"/>
          <w:sz w:val="22"/>
        </w:rPr>
        <w:t>Estudios</w:t>
      </w:r>
      <w:r>
        <w:rPr>
          <w:color w:val="231F20"/>
          <w:spacing w:val="-8"/>
          <w:sz w:val="22"/>
        </w:rPr>
        <w:t> </w:t>
      </w:r>
      <w:r>
        <w:rPr>
          <w:color w:val="231F20"/>
          <w:sz w:val="22"/>
        </w:rPr>
        <w:t>de</w:t>
      </w:r>
      <w:r>
        <w:rPr>
          <w:color w:val="231F20"/>
          <w:spacing w:val="-8"/>
          <w:sz w:val="22"/>
        </w:rPr>
        <w:t> </w:t>
      </w:r>
      <w:r>
        <w:rPr>
          <w:color w:val="231F20"/>
          <w:sz w:val="22"/>
        </w:rPr>
        <w:t>Población</w:t>
      </w:r>
      <w:r>
        <w:rPr>
          <w:color w:val="231F20"/>
          <w:spacing w:val="-7"/>
          <w:sz w:val="22"/>
        </w:rPr>
        <w:t> </w:t>
      </w:r>
      <w:r>
        <w:rPr>
          <w:color w:val="231F20"/>
          <w:sz w:val="22"/>
        </w:rPr>
        <w:t>en el Instituto de Ciencias Sociales y Humanidades de la UAEH con la </w:t>
      </w:r>
      <w:r>
        <w:rPr>
          <w:color w:val="231F20"/>
          <w:spacing w:val="-4"/>
          <w:sz w:val="22"/>
        </w:rPr>
        <w:t>Tesis </w:t>
      </w:r>
      <w:r>
        <w:rPr>
          <w:color w:val="231F20"/>
          <w:sz w:val="22"/>
        </w:rPr>
        <w:t>en proceso: </w:t>
      </w:r>
      <w:r>
        <w:rPr>
          <w:i/>
          <w:color w:val="231F20"/>
          <w:sz w:val="22"/>
        </w:rPr>
        <w:t>Infancia y </w:t>
      </w:r>
      <w:r>
        <w:rPr>
          <w:i/>
          <w:color w:val="231F20"/>
          <w:spacing w:val="-3"/>
          <w:sz w:val="22"/>
        </w:rPr>
        <w:t>Trabajo. Trabajo </w:t>
      </w:r>
      <w:r>
        <w:rPr>
          <w:i/>
          <w:color w:val="231F20"/>
          <w:sz w:val="22"/>
        </w:rPr>
        <w:t>infantil y educación en</w:t>
      </w:r>
      <w:r>
        <w:rPr>
          <w:i/>
          <w:color w:val="231F20"/>
          <w:spacing w:val="3"/>
          <w:sz w:val="22"/>
        </w:rPr>
        <w:t> </w:t>
      </w:r>
      <w:r>
        <w:rPr>
          <w:i/>
          <w:color w:val="231F20"/>
          <w:sz w:val="22"/>
        </w:rPr>
        <w:t>Hidalgo</w:t>
      </w:r>
      <w:r>
        <w:rPr>
          <w:color w:val="231F20"/>
          <w:sz w:val="22"/>
        </w:rPr>
        <w:t>.</w:t>
      </w:r>
    </w:p>
    <w:p>
      <w:pPr>
        <w:pStyle w:val="BodyText"/>
        <w:spacing w:before="6"/>
      </w:pPr>
    </w:p>
    <w:p>
      <w:pPr>
        <w:pStyle w:val="BodyText"/>
        <w:ind w:left="117"/>
        <w:jc w:val="both"/>
      </w:pPr>
      <w:r>
        <w:rPr>
          <w:color w:val="231F20"/>
        </w:rPr>
        <w:t>Correo electrónico: </w:t>
      </w:r>
      <w:hyperlink r:id="rId258">
        <w:r>
          <w:rPr>
            <w:color w:val="231F20"/>
          </w:rPr>
          <w:t>belindaeconomist@yahoo.com.mx</w:t>
        </w:r>
      </w:hyperlink>
    </w:p>
    <w:sectPr>
      <w:pgSz w:w="9360" w:h="13040"/>
      <w:pgMar w:header="0" w:footer="496" w:top="740" w:bottom="68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Verdana">
    <w:altName w:val="Verdana"/>
    <w:charset w:val="0"/>
    <w:family w:val="swiss"/>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43.465pt;margin-top:596.408997pt;width:353.386pt;height:43.469pt;mso-position-horizontal-relative:page;mso-position-vertical-relative:page;z-index:-643576" filled="true" fillcolor="#ffffff" stroked="false">
          <v:fill type="solid"/>
          <w10:wrap type="none"/>
        </v:rect>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643432"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21</w:t>
                </w:r>
                <w:r>
                  <w:rPr/>
                  <w:fldChar w:fldCharType="end"/>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1752"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301</w:t>
                </w:r>
                <w:r>
                  <w:rPr/>
                  <w:fldChar w:fldCharType="end"/>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641728"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310</w:t>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936996pt;margin-top:616.148621pt;width:21.25pt;height:12pt;mso-position-horizontal-relative:page;mso-position-vertical-relative:page;z-index:-641704"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311</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1680"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313</w:t>
                </w:r>
                <w:r>
                  <w:rPr/>
                  <w:fldChar w:fldCharType="end"/>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641656"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320</w:t>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1632"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321</w:t>
                </w:r>
                <w:r>
                  <w:rPr/>
                  <w:fldChar w:fldCharType="end"/>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936996pt;margin-top:616.148621pt;width:21.25pt;height:12pt;mso-position-horizontal-relative:page;mso-position-vertical-relative:page;z-index:-641608"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331</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1584"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333</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0.7705pt;margin-top:484.867004pt;width:316.1pt;height:1.45pt;mso-position-horizontal-relative:page;mso-position-vertical-relative:page;z-index:-643408" coordorigin="1615,9697" coordsize="6322,29">
          <v:line style="position:absolute" from="1620,9702" to="3118,9702" stroked="true" strokeweight=".48pt" strokecolor="#000000"/>
          <v:line style="position:absolute" from="1620,9721" to="3118,9721" stroked="true" strokeweight=".481pt" strokecolor="#000000"/>
          <v:line style="position:absolute" from="3118,9702" to="3147,9702" stroked="true" strokeweight=".48pt" strokecolor="#000000"/>
          <v:line style="position:absolute" from="3118,9721" to="3147,9721" stroked="true" strokeweight=".481pt" strokecolor="#000000"/>
          <v:line style="position:absolute" from="3147,9702" to="3963,9702" stroked="true" strokeweight=".48pt" strokecolor="#000000"/>
          <v:line style="position:absolute" from="3147,9721" to="3963,9721" stroked="true" strokeweight=".481pt" strokecolor="#000000"/>
          <v:line style="position:absolute" from="3963,9702" to="3991,9702" stroked="true" strokeweight=".48pt" strokecolor="#000000"/>
          <v:line style="position:absolute" from="3963,9721" to="3991,9721" stroked="true" strokeweight=".481pt" strokecolor="#000000"/>
          <v:line style="position:absolute" from="3991,9702" to="5811,9702" stroked="true" strokeweight=".48pt" strokecolor="#000000"/>
          <v:line style="position:absolute" from="3991,9721" to="5811,9721" stroked="true" strokeweight=".481pt" strokecolor="#000000"/>
          <v:line style="position:absolute" from="5811,9702" to="5839,9702" stroked="true" strokeweight=".48pt" strokecolor="#000000"/>
          <v:line style="position:absolute" from="5811,9721" to="5839,9721" stroked="true" strokeweight=".481pt" strokecolor="#000000"/>
          <v:line style="position:absolute" from="5839,9702" to="6939,9702" stroked="true" strokeweight=".48pt" strokecolor="#000000"/>
          <v:line style="position:absolute" from="5839,9721" to="6939,9721" stroked="true" strokeweight=".481pt" strokecolor="#000000"/>
          <v:line style="position:absolute" from="6939,9702" to="6967,9702" stroked="true" strokeweight=".48pt" strokecolor="#000000"/>
          <v:line style="position:absolute" from="6939,9721" to="6967,9721" stroked="true" strokeweight=".481pt" strokecolor="#000000"/>
          <v:line style="position:absolute" from="6967,9702" to="7932,9702" stroked="true" strokeweight=".48pt" strokecolor="#000000"/>
          <v:line style="position:absolute" from="6967,9721" to="7932,9721" stroked="true" strokeweight=".481pt" strokecolor="#000000"/>
          <w10:wrap type="none"/>
        </v:group>
      </w:pict>
    </w:r>
    <w:r>
      <w:rPr/>
      <w:pict>
        <v:shape style="position:absolute;margin-left:83.610298pt;margin-top:457.954956pt;width:180.7pt;height:40.5pt;mso-position-horizontal-relative:page;mso-position-vertical-relative:page;z-index:-643384" type="#_x0000_t202" filled="false" stroked="false">
          <v:textbox inset="0,0,0,0">
            <w:txbxContent>
              <w:p>
                <w:pPr>
                  <w:spacing w:line="343" w:lineRule="auto" w:before="1"/>
                  <w:ind w:left="2362" w:right="190" w:firstLine="0"/>
                  <w:jc w:val="left"/>
                  <w:rPr>
                    <w:sz w:val="19"/>
                  </w:rPr>
                </w:pPr>
                <w:r>
                  <w:rPr>
                    <w:w w:val="105"/>
                    <w:sz w:val="19"/>
                  </w:rPr>
                  <w:t>Universitaria Total</w:t>
                </w:r>
              </w:p>
              <w:p>
                <w:pPr>
                  <w:spacing w:line="172" w:lineRule="exact" w:before="0"/>
                  <w:ind w:left="20" w:right="0" w:firstLine="0"/>
                  <w:jc w:val="left"/>
                  <w:rPr>
                    <w:sz w:val="16"/>
                  </w:rPr>
                </w:pPr>
                <w:r>
                  <w:rPr>
                    <w:sz w:val="16"/>
                  </w:rPr>
                  <w:t>Fuente: Encuesta de Población Activa (INE). Gil, 2007.</w:t>
                </w:r>
              </w:p>
            </w:txbxContent>
          </v:textbox>
          <w10:wrap type="none"/>
        </v:shape>
      </w:pict>
    </w:r>
    <w:r>
      <w:rPr/>
      <w:pict>
        <v:shape style="position:absolute;margin-left:309.940399pt;margin-top:457.954956pt;width:34.550pt;height:27.45pt;mso-position-horizontal-relative:page;mso-position-vertical-relative:page;z-index:-643360" type="#_x0000_t202" filled="false" stroked="false">
          <v:textbox inset="0,0,0,0">
            <w:txbxContent>
              <w:p>
                <w:pPr>
                  <w:spacing w:before="1"/>
                  <w:ind w:left="101" w:right="1" w:firstLine="0"/>
                  <w:jc w:val="center"/>
                  <w:rPr>
                    <w:sz w:val="19"/>
                  </w:rPr>
                </w:pPr>
                <w:r>
                  <w:rPr>
                    <w:w w:val="105"/>
                    <w:sz w:val="19"/>
                  </w:rPr>
                  <w:t>52 225</w:t>
                </w:r>
              </w:p>
              <w:p>
                <w:pPr>
                  <w:spacing w:before="93"/>
                  <w:ind w:left="1" w:right="1" w:firstLine="0"/>
                  <w:jc w:val="center"/>
                  <w:rPr>
                    <w:sz w:val="19"/>
                  </w:rPr>
                </w:pPr>
                <w:r>
                  <w:rPr>
                    <w:w w:val="105"/>
                    <w:sz w:val="19"/>
                  </w:rPr>
                  <w:t>158 716</w:t>
                </w:r>
              </w:p>
            </w:txbxContent>
          </v:textbox>
          <w10:wrap type="none"/>
        </v:shape>
      </w:pict>
    </w:r>
    <w:r>
      <w:rPr/>
      <w:pict>
        <v:shape style="position:absolute;margin-left:369.780304pt;margin-top:457.954956pt;width:24.5pt;height:27.45pt;mso-position-horizontal-relative:page;mso-position-vertical-relative:page;z-index:-643336" type="#_x0000_t202" filled="false" stroked="false">
          <v:textbox inset="0,0,0,0">
            <w:txbxContent>
              <w:p>
                <w:pPr>
                  <w:spacing w:before="1"/>
                  <w:ind w:left="100" w:right="0" w:firstLine="0"/>
                  <w:jc w:val="center"/>
                  <w:rPr>
                    <w:sz w:val="19"/>
                  </w:rPr>
                </w:pPr>
                <w:r>
                  <w:rPr>
                    <w:w w:val="105"/>
                    <w:sz w:val="19"/>
                  </w:rPr>
                  <w:t>32.9</w:t>
                </w:r>
              </w:p>
              <w:p>
                <w:pPr>
                  <w:spacing w:before="93"/>
                  <w:ind w:left="0" w:right="0" w:firstLine="0"/>
                  <w:jc w:val="center"/>
                  <w:rPr>
                    <w:sz w:val="19"/>
                  </w:rPr>
                </w:pPr>
                <w:r>
                  <w:rPr>
                    <w:w w:val="105"/>
                    <w:sz w:val="19"/>
                  </w:rPr>
                  <w:t>100.0</w:t>
                </w:r>
              </w:p>
            </w:txbxContent>
          </v:textbox>
          <w10:wrap type="none"/>
        </v:shape>
      </w:pict>
    </w:r>
    <w:r>
      <w:rPr/>
      <w:pict>
        <v:shape style="position:absolute;margin-left:214.850403pt;margin-top:616.148621pt;width:16.850pt;height:12pt;mso-position-horizontal-relative:page;mso-position-vertical-relative:page;z-index:-643312" type="#_x0000_t202" filled="false" stroked="false">
          <v:textbox inset="0,0,0,0">
            <w:txbxContent>
              <w:p>
                <w:pPr>
                  <w:spacing w:line="214" w:lineRule="exact" w:before="0"/>
                  <w:ind w:left="40" w:right="0" w:firstLine="0"/>
                  <w:jc w:val="left"/>
                  <w:rPr>
                    <w:rFonts w:ascii="Verdana"/>
                    <w:sz w:val="20"/>
                  </w:rPr>
                </w:pPr>
                <w:r>
                  <w:rPr/>
                  <w:fldChar w:fldCharType="begin"/>
                </w:r>
                <w:r>
                  <w:rPr>
                    <w:rFonts w:ascii="Verdana"/>
                    <w:color w:val="231F20"/>
                    <w:sz w:val="20"/>
                  </w:rPr>
                  <w:instrText> PAGE </w:instrText>
                </w:r>
                <w:r>
                  <w:rPr/>
                  <w:fldChar w:fldCharType="separate"/>
                </w:r>
                <w:r>
                  <w:rPr/>
                  <w:t>26</w:t>
                </w:r>
                <w:r>
                  <w:rPr/>
                  <w:fldChar w:fldCharType="end"/>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641560"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340</w:t>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1536"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341</w:t>
                </w:r>
                <w:r>
                  <w:rPr/>
                  <w:fldChar w:fldCharType="end"/>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9.35pt;height:12pt;mso-position-horizontal-relative:page;mso-position-vertical-relative:page;z-index:-641512"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34</w:t>
                </w:r>
                <w:r>
                  <w:rPr/>
                  <w:fldChar w:fldCharType="end"/>
                </w:r>
                <w:r>
                  <w:rPr>
                    <w:rFonts w:ascii="Verdana"/>
                    <w:color w:val="231F20"/>
                    <w:sz w:val="20"/>
                  </w:rPr>
                  <w:t>9</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1488"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351</w:t>
                </w:r>
                <w:r>
                  <w:rPr/>
                  <w:fldChar w:fldCharType="end"/>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1464"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357</w:t>
                </w:r>
                <w:r>
                  <w:rPr/>
                  <w:fldChar w:fldCharType="end"/>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641440"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360</w:t>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1416"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361</w:t>
                </w:r>
                <w:r>
                  <w:rPr/>
                  <w:fldChar w:fldCharType="end"/>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1.009499pt;margin-top:484.867004pt;width:315.850pt;height:1.45pt;mso-position-horizontal-relative:page;mso-position-vertical-relative:page;z-index:-643288" coordorigin="1620,9697" coordsize="6317,29">
          <v:line style="position:absolute" from="1625,9702" to="3123,9702" stroked="true" strokeweight=".48pt" strokecolor="#000000"/>
          <v:line style="position:absolute" from="1625,9721" to="3123,9721" stroked="true" strokeweight=".481pt" strokecolor="#000000"/>
          <v:line style="position:absolute" from="3123,9702" to="3151,9702" stroked="true" strokeweight=".48pt" strokecolor="#000000"/>
          <v:line style="position:absolute" from="3123,9721" to="3151,9721" stroked="true" strokeweight=".481pt" strokecolor="#000000"/>
          <v:line style="position:absolute" from="3151,9702" to="3967,9702" stroked="true" strokeweight=".48pt" strokecolor="#000000"/>
          <v:line style="position:absolute" from="3151,9721" to="3967,9721" stroked="true" strokeweight=".481pt" strokecolor="#000000"/>
          <v:line style="position:absolute" from="3967,9702" to="3996,9702" stroked="true" strokeweight=".48pt" strokecolor="#000000"/>
          <v:line style="position:absolute" from="3967,9721" to="3996,9721" stroked="true" strokeweight=".481pt" strokecolor="#000000"/>
          <v:line style="position:absolute" from="3996,9702" to="5815,9702" stroked="true" strokeweight=".48pt" strokecolor="#000000"/>
          <v:line style="position:absolute" from="3996,9721" to="5815,9721" stroked="true" strokeweight=".481pt" strokecolor="#000000"/>
          <v:line style="position:absolute" from="5815,9702" to="5844,9702" stroked="true" strokeweight=".48pt" strokecolor="#000000"/>
          <v:line style="position:absolute" from="5815,9721" to="5844,9721" stroked="true" strokeweight=".481pt" strokecolor="#000000"/>
          <v:line style="position:absolute" from="5844,9702" to="6948,9702" stroked="true" strokeweight=".48pt" strokecolor="#000000"/>
          <v:line style="position:absolute" from="5844,9721" to="6948,9721" stroked="true" strokeweight=".481pt" strokecolor="#000000"/>
          <v:line style="position:absolute" from="6948,9702" to="6977,9702" stroked="true" strokeweight=".48pt" strokecolor="#000000"/>
          <v:line style="position:absolute" from="6948,9721" to="6977,9721" stroked="true" strokeweight=".481pt" strokecolor="#000000"/>
          <v:line style="position:absolute" from="6977,9702" to="7932,9702" stroked="true" strokeweight=".48pt" strokecolor="#000000"/>
          <v:line style="position:absolute" from="6977,9721" to="7932,9721" stroked="true" strokeweight=".481pt" strokecolor="#000000"/>
          <w10:wrap type="none"/>
        </v:group>
      </w:pict>
    </w:r>
    <w:r>
      <w:rPr/>
      <w:pict>
        <v:shape style="position:absolute;margin-left:83.850403pt;margin-top:457.954956pt;width:180.7pt;height:40.5pt;mso-position-horizontal-relative:page;mso-position-vertical-relative:page;z-index:-643264" type="#_x0000_t202" filled="false" stroked="false">
          <v:textbox inset="0,0,0,0">
            <w:txbxContent>
              <w:p>
                <w:pPr>
                  <w:spacing w:line="343" w:lineRule="auto" w:before="1"/>
                  <w:ind w:left="2362" w:right="190" w:firstLine="0"/>
                  <w:jc w:val="left"/>
                  <w:rPr>
                    <w:sz w:val="19"/>
                  </w:rPr>
                </w:pPr>
                <w:r>
                  <w:rPr>
                    <w:w w:val="105"/>
                    <w:sz w:val="19"/>
                  </w:rPr>
                  <w:t>Universitaria Total</w:t>
                </w:r>
              </w:p>
              <w:p>
                <w:pPr>
                  <w:spacing w:line="172" w:lineRule="exact" w:before="0"/>
                  <w:ind w:left="20" w:right="0" w:firstLine="0"/>
                  <w:jc w:val="left"/>
                  <w:rPr>
                    <w:sz w:val="16"/>
                  </w:rPr>
                </w:pPr>
                <w:r>
                  <w:rPr>
                    <w:sz w:val="16"/>
                  </w:rPr>
                  <w:t>Fuente: Encuesta de Población Activa (INE). Gil, 2007.</w:t>
                </w:r>
              </w:p>
            </w:txbxContent>
          </v:textbox>
          <w10:wrap type="none"/>
        </v:shape>
      </w:pict>
    </w:r>
    <w:r>
      <w:rPr/>
      <w:pict>
        <v:shape style="position:absolute;margin-left:303.020294pt;margin-top:457.954956pt;width:42pt;height:27.45pt;mso-position-horizontal-relative:page;mso-position-vertical-relative:page;z-index:-643240" type="#_x0000_t202" filled="false" stroked="false">
          <v:textbox inset="0,0,0,0">
            <w:txbxContent>
              <w:p>
                <w:pPr>
                  <w:spacing w:before="1"/>
                  <w:ind w:left="150" w:right="0" w:firstLine="0"/>
                  <w:jc w:val="center"/>
                  <w:rPr>
                    <w:sz w:val="19"/>
                  </w:rPr>
                </w:pPr>
                <w:r>
                  <w:rPr>
                    <w:w w:val="105"/>
                    <w:sz w:val="19"/>
                  </w:rPr>
                  <w:t>216 976</w:t>
                </w:r>
              </w:p>
              <w:p>
                <w:pPr>
                  <w:spacing w:before="93"/>
                  <w:ind w:left="0" w:right="0" w:firstLine="0"/>
                  <w:jc w:val="center"/>
                  <w:rPr>
                    <w:sz w:val="19"/>
                  </w:rPr>
                </w:pPr>
                <w:r>
                  <w:rPr>
                    <w:w w:val="105"/>
                    <w:sz w:val="19"/>
                  </w:rPr>
                  <w:t>1 081 784</w:t>
                </w:r>
              </w:p>
            </w:txbxContent>
          </v:textbox>
          <w10:wrap type="none"/>
        </v:shape>
      </w:pict>
    </w:r>
    <w:r>
      <w:rPr/>
      <w:pict>
        <v:shape style="position:absolute;margin-left:369.810608pt;margin-top:457.954956pt;width:24.45pt;height:27.45pt;mso-position-horizontal-relative:page;mso-position-vertical-relative:page;z-index:-643216" type="#_x0000_t202" filled="false" stroked="false">
          <v:textbox inset="0,0,0,0">
            <w:txbxContent>
              <w:p>
                <w:pPr>
                  <w:spacing w:before="1"/>
                  <w:ind w:left="119" w:right="0" w:firstLine="0"/>
                  <w:jc w:val="left"/>
                  <w:rPr>
                    <w:sz w:val="19"/>
                  </w:rPr>
                </w:pPr>
                <w:r>
                  <w:rPr>
                    <w:w w:val="105"/>
                    <w:sz w:val="19"/>
                  </w:rPr>
                  <w:t>20.1</w:t>
                </w:r>
              </w:p>
              <w:p>
                <w:pPr>
                  <w:spacing w:before="93"/>
                  <w:ind w:left="20" w:right="0" w:firstLine="0"/>
                  <w:jc w:val="left"/>
                  <w:rPr>
                    <w:sz w:val="19"/>
                  </w:rPr>
                </w:pPr>
                <w:r>
                  <w:rPr>
                    <w:w w:val="105"/>
                    <w:sz w:val="19"/>
                  </w:rPr>
                  <w:t>100.0</w:t>
                </w:r>
              </w:p>
            </w:txbxContent>
          </v:textbox>
          <w10:wrap type="none"/>
        </v:shape>
      </w:pict>
    </w:r>
    <w:r>
      <w:rPr/>
      <w:pict>
        <v:shape style="position:absolute;margin-left:221.936996pt;margin-top:616.148621pt;width:16.850pt;height:12pt;mso-position-horizontal-relative:page;mso-position-vertical-relative:page;z-index:-643192" type="#_x0000_t202" filled="false" stroked="false">
          <v:textbox inset="0,0,0,0">
            <w:txbxContent>
              <w:p>
                <w:pPr>
                  <w:spacing w:line="214" w:lineRule="exact" w:before="0"/>
                  <w:ind w:left="40" w:right="0" w:firstLine="0"/>
                  <w:jc w:val="left"/>
                  <w:rPr>
                    <w:rFonts w:ascii="Verdana"/>
                    <w:sz w:val="20"/>
                  </w:rPr>
                </w:pPr>
                <w:r>
                  <w:rPr/>
                  <w:fldChar w:fldCharType="begin"/>
                </w:r>
                <w:r>
                  <w:rPr>
                    <w:rFonts w:ascii="Verdana"/>
                    <w:color w:val="231F20"/>
                    <w:sz w:val="20"/>
                  </w:rPr>
                  <w:instrText> PAGE </w:instrText>
                </w:r>
                <w:r>
                  <w:rPr/>
                  <w:fldChar w:fldCharType="separate"/>
                </w:r>
                <w:r>
                  <w:rPr/>
                  <w:t>27</w:t>
                </w:r>
                <w:r>
                  <w:rPr/>
                  <w:fldChar w:fldCharType="end"/>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1392"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371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643168"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29</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14.85pt;height:12pt;mso-position-horizontal-relative:page;mso-position-vertical-relative:page;z-index:-643144"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30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643120"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33</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14.85pt;height:12pt;mso-position-horizontal-relative:page;mso-position-vertical-relative:page;z-index:-643096"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40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643072"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41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14.85pt;height:12pt;mso-position-horizontal-relative:page;mso-position-vertical-relative:page;z-index:-643048"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50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643024"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51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14.85pt;height:12pt;mso-position-horizontal-relative:page;mso-position-vertical-relative:page;z-index:-643000"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60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642976"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61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936996pt;margin-top:616.148621pt;width:14.85pt;height:12pt;mso-position-horizontal-relative:page;mso-position-vertical-relative:page;z-index:-642952"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71</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642928"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73</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14.85pt;height:12pt;mso-position-horizontal-relative:page;mso-position-vertical-relative:page;z-index:-642904"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80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642880"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81</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14.85pt;height:12pt;mso-position-horizontal-relative:page;mso-position-vertical-relative:page;z-index:-642856"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90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1.023998pt;margin-top:595.864014pt;width:353.386pt;height:43.469pt;mso-position-horizontal-relative:page;mso-position-vertical-relative:page;z-index:-643552" filled="true" fillcolor="#ffffff" stroked="false">
          <v:fill type="solid"/>
          <w10:wrap type="none"/>
        </v:rect>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642832"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91</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936996pt;margin-top:616.148621pt;width:21.25pt;height:12pt;mso-position-horizontal-relative:page;mso-position-vertical-relative:page;z-index:-642808"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101</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2784"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103</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2760"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107</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642736"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110</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2712"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111</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1.936996pt;margin-top:616.148621pt;width:10.45pt;height:12pt;mso-position-horizontal-relative:page;mso-position-vertical-relative:page;z-index:-643528" type="#_x0000_t202" filled="false" stroked="false">
          <v:textbox inset="0,0,0,0">
            <w:txbxContent>
              <w:p>
                <w:pPr>
                  <w:spacing w:line="214" w:lineRule="exact" w:before="0"/>
                  <w:ind w:left="40" w:right="0" w:firstLine="0"/>
                  <w:jc w:val="left"/>
                  <w:rPr>
                    <w:rFonts w:ascii="Verdana"/>
                    <w:sz w:val="20"/>
                  </w:rPr>
                </w:pPr>
                <w:r>
                  <w:rPr/>
                  <w:fldChar w:fldCharType="begin"/>
                </w:r>
                <w:r>
                  <w:rPr>
                    <w:rFonts w:ascii="Verdana"/>
                    <w:color w:val="231F20"/>
                    <w:w w:val="100"/>
                    <w:sz w:val="20"/>
                  </w:rPr>
                  <w:instrText> PAGE </w:instrText>
                </w:r>
                <w:r>
                  <w:rPr/>
                  <w:fldChar w:fldCharType="separate"/>
                </w:r>
                <w:r>
                  <w:rPr/>
                  <w:t>5</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9.35pt;height:12pt;mso-position-horizontal-relative:page;mso-position-vertical-relative:page;z-index:-642688"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11</w:t>
                </w:r>
                <w:r>
                  <w:rPr/>
                  <w:fldChar w:fldCharType="end"/>
                </w:r>
                <w:r>
                  <w:rPr>
                    <w:rFonts w:ascii="Verdana"/>
                    <w:color w:val="231F20"/>
                    <w:sz w:val="20"/>
                  </w:rPr>
                  <w:t>9</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2664"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121</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642640"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130</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2616"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131</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642592"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140</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2568"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141</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2544"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145</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14.85pt;height:12pt;mso-position-horizontal-relative:page;mso-position-vertical-relative:page;z-index:-643504"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10</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936996pt;margin-top:616.148621pt;width:21.25pt;height:12pt;mso-position-horizontal-relative:page;mso-position-vertical-relative:page;z-index:-642520"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151</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642496"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162</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642472"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164</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2448"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167</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642424"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170</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2400"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171</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642376"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180</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2352"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181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642328"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190</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2304"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191</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642280"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200</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2256"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201</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642232"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210</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2208"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211</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642184"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220</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2160"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221</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642136"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230</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2112"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231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643480"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13</w:t>
                </w:r>
                <w:r>
                  <w:rPr/>
                  <w:fldChar w:fldCharType="end"/>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642088"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240</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2064"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241</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642040"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250</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2016"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251</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1992"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261</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641968"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270</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1944"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271</w:t>
                </w:r>
                <w:r>
                  <w:rPr/>
                  <w:fldChar w:fldCharType="end"/>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1920"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275</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14.85pt;height:12pt;mso-position-horizontal-relative:page;mso-position-vertical-relative:page;z-index:-643456"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20</w:t>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641896"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280</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1872"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281</w:t>
                </w:r>
                <w:r>
                  <w:rPr/>
                  <w:fldChar w:fldCharType="end"/>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1848"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291</w:t>
                </w:r>
                <w:r>
                  <w:rPr/>
                  <w:fldChar w:fldCharType="end"/>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1824"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295</w:t>
                </w:r>
                <w:r>
                  <w:rPr/>
                  <w:fldChar w:fldCharType="end"/>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641800"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297</w:t>
                </w:r>
                <w:r>
                  <w:rPr/>
                  <w:fldChar w:fldCharType="end"/>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641776"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300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5">
    <w:multiLevelType w:val="hybridMultilevel"/>
    <w:lvl w:ilvl="0">
      <w:start w:val="1"/>
      <w:numFmt w:val="decimal"/>
      <w:lvlText w:val="%1."/>
      <w:lvlJc w:val="left"/>
      <w:pPr>
        <w:ind w:left="477" w:hanging="360"/>
        <w:jc w:val="left"/>
      </w:pPr>
      <w:rPr>
        <w:rFonts w:hint="default" w:ascii="Times New Roman" w:hAnsi="Times New Roman" w:eastAsia="Times New Roman" w:cs="Times New Roman"/>
        <w:color w:val="231F20"/>
        <w:spacing w:val="-25"/>
        <w:w w:val="100"/>
        <w:sz w:val="22"/>
        <w:szCs w:val="22"/>
      </w:rPr>
    </w:lvl>
    <w:lvl w:ilvl="1">
      <w:start w:val="1"/>
      <w:numFmt w:val="bullet"/>
      <w:lvlText w:val="•"/>
      <w:lvlJc w:val="left"/>
      <w:pPr>
        <w:ind w:left="1107" w:hanging="360"/>
      </w:pPr>
      <w:rPr>
        <w:rFonts w:hint="default"/>
      </w:rPr>
    </w:lvl>
    <w:lvl w:ilvl="2">
      <w:start w:val="1"/>
      <w:numFmt w:val="bullet"/>
      <w:lvlText w:val="•"/>
      <w:lvlJc w:val="left"/>
      <w:pPr>
        <w:ind w:left="1734" w:hanging="360"/>
      </w:pPr>
      <w:rPr>
        <w:rFonts w:hint="default"/>
      </w:rPr>
    </w:lvl>
    <w:lvl w:ilvl="3">
      <w:start w:val="1"/>
      <w:numFmt w:val="bullet"/>
      <w:lvlText w:val="•"/>
      <w:lvlJc w:val="left"/>
      <w:pPr>
        <w:ind w:left="2362" w:hanging="360"/>
      </w:pPr>
      <w:rPr>
        <w:rFonts w:hint="default"/>
      </w:rPr>
    </w:lvl>
    <w:lvl w:ilvl="4">
      <w:start w:val="1"/>
      <w:numFmt w:val="bullet"/>
      <w:lvlText w:val="•"/>
      <w:lvlJc w:val="left"/>
      <w:pPr>
        <w:ind w:left="2989" w:hanging="360"/>
      </w:pPr>
      <w:rPr>
        <w:rFonts w:hint="default"/>
      </w:rPr>
    </w:lvl>
    <w:lvl w:ilvl="5">
      <w:start w:val="1"/>
      <w:numFmt w:val="bullet"/>
      <w:lvlText w:val="•"/>
      <w:lvlJc w:val="left"/>
      <w:pPr>
        <w:ind w:left="3617" w:hanging="360"/>
      </w:pPr>
      <w:rPr>
        <w:rFonts w:hint="default"/>
      </w:rPr>
    </w:lvl>
    <w:lvl w:ilvl="6">
      <w:start w:val="1"/>
      <w:numFmt w:val="bullet"/>
      <w:lvlText w:val="•"/>
      <w:lvlJc w:val="left"/>
      <w:pPr>
        <w:ind w:left="4244" w:hanging="360"/>
      </w:pPr>
      <w:rPr>
        <w:rFonts w:hint="default"/>
      </w:rPr>
    </w:lvl>
    <w:lvl w:ilvl="7">
      <w:start w:val="1"/>
      <w:numFmt w:val="bullet"/>
      <w:lvlText w:val="•"/>
      <w:lvlJc w:val="left"/>
      <w:pPr>
        <w:ind w:left="4872" w:hanging="360"/>
      </w:pPr>
      <w:rPr>
        <w:rFonts w:hint="default"/>
      </w:rPr>
    </w:lvl>
    <w:lvl w:ilvl="8">
      <w:start w:val="1"/>
      <w:numFmt w:val="bullet"/>
      <w:lvlText w:val="•"/>
      <w:lvlJc w:val="left"/>
      <w:pPr>
        <w:ind w:left="5499" w:hanging="360"/>
      </w:pPr>
      <w:rPr>
        <w:rFonts w:hint="default"/>
      </w:rPr>
    </w:lvl>
  </w:abstractNum>
  <w:abstractNum w:abstractNumId="14">
    <w:multiLevelType w:val="hybridMultilevel"/>
    <w:lvl w:ilvl="0">
      <w:start w:val="1"/>
      <w:numFmt w:val="bullet"/>
      <w:lvlText w:val="•"/>
      <w:lvlJc w:val="left"/>
      <w:pPr>
        <w:ind w:left="477" w:hanging="360"/>
      </w:pPr>
      <w:rPr>
        <w:rFonts w:hint="default" w:ascii="Times New Roman" w:hAnsi="Times New Roman" w:eastAsia="Times New Roman" w:cs="Times New Roman"/>
        <w:color w:val="231F20"/>
        <w:w w:val="99"/>
        <w:sz w:val="22"/>
        <w:szCs w:val="22"/>
      </w:rPr>
    </w:lvl>
    <w:lvl w:ilvl="1">
      <w:start w:val="1"/>
      <w:numFmt w:val="bullet"/>
      <w:lvlText w:val="•"/>
      <w:lvlJc w:val="left"/>
      <w:pPr>
        <w:ind w:left="1107" w:hanging="360"/>
      </w:pPr>
      <w:rPr>
        <w:rFonts w:hint="default"/>
      </w:rPr>
    </w:lvl>
    <w:lvl w:ilvl="2">
      <w:start w:val="1"/>
      <w:numFmt w:val="bullet"/>
      <w:lvlText w:val="•"/>
      <w:lvlJc w:val="left"/>
      <w:pPr>
        <w:ind w:left="1734" w:hanging="360"/>
      </w:pPr>
      <w:rPr>
        <w:rFonts w:hint="default"/>
      </w:rPr>
    </w:lvl>
    <w:lvl w:ilvl="3">
      <w:start w:val="1"/>
      <w:numFmt w:val="bullet"/>
      <w:lvlText w:val="•"/>
      <w:lvlJc w:val="left"/>
      <w:pPr>
        <w:ind w:left="2362" w:hanging="360"/>
      </w:pPr>
      <w:rPr>
        <w:rFonts w:hint="default"/>
      </w:rPr>
    </w:lvl>
    <w:lvl w:ilvl="4">
      <w:start w:val="1"/>
      <w:numFmt w:val="bullet"/>
      <w:lvlText w:val="•"/>
      <w:lvlJc w:val="left"/>
      <w:pPr>
        <w:ind w:left="2989" w:hanging="360"/>
      </w:pPr>
      <w:rPr>
        <w:rFonts w:hint="default"/>
      </w:rPr>
    </w:lvl>
    <w:lvl w:ilvl="5">
      <w:start w:val="1"/>
      <w:numFmt w:val="bullet"/>
      <w:lvlText w:val="•"/>
      <w:lvlJc w:val="left"/>
      <w:pPr>
        <w:ind w:left="3617" w:hanging="360"/>
      </w:pPr>
      <w:rPr>
        <w:rFonts w:hint="default"/>
      </w:rPr>
    </w:lvl>
    <w:lvl w:ilvl="6">
      <w:start w:val="1"/>
      <w:numFmt w:val="bullet"/>
      <w:lvlText w:val="•"/>
      <w:lvlJc w:val="left"/>
      <w:pPr>
        <w:ind w:left="4244" w:hanging="360"/>
      </w:pPr>
      <w:rPr>
        <w:rFonts w:hint="default"/>
      </w:rPr>
    </w:lvl>
    <w:lvl w:ilvl="7">
      <w:start w:val="1"/>
      <w:numFmt w:val="bullet"/>
      <w:lvlText w:val="•"/>
      <w:lvlJc w:val="left"/>
      <w:pPr>
        <w:ind w:left="4872" w:hanging="360"/>
      </w:pPr>
      <w:rPr>
        <w:rFonts w:hint="default"/>
      </w:rPr>
    </w:lvl>
    <w:lvl w:ilvl="8">
      <w:start w:val="1"/>
      <w:numFmt w:val="bullet"/>
      <w:lvlText w:val="•"/>
      <w:lvlJc w:val="left"/>
      <w:pPr>
        <w:ind w:left="5499" w:hanging="360"/>
      </w:pPr>
      <w:rPr>
        <w:rFonts w:hint="default"/>
      </w:rPr>
    </w:lvl>
  </w:abstractNum>
  <w:abstractNum w:abstractNumId="13">
    <w:multiLevelType w:val="hybridMultilevel"/>
    <w:lvl w:ilvl="0">
      <w:start w:val="1"/>
      <w:numFmt w:val="bullet"/>
      <w:lvlText w:val="•"/>
      <w:lvlJc w:val="left"/>
      <w:pPr>
        <w:ind w:left="477" w:hanging="360"/>
      </w:pPr>
      <w:rPr>
        <w:rFonts w:hint="default" w:ascii="Times New Roman" w:hAnsi="Times New Roman" w:eastAsia="Times New Roman" w:cs="Times New Roman"/>
        <w:i/>
        <w:color w:val="231F20"/>
        <w:w w:val="99"/>
        <w:sz w:val="22"/>
        <w:szCs w:val="22"/>
      </w:rPr>
    </w:lvl>
    <w:lvl w:ilvl="1">
      <w:start w:val="1"/>
      <w:numFmt w:val="bullet"/>
      <w:lvlText w:val="•"/>
      <w:lvlJc w:val="left"/>
      <w:pPr>
        <w:ind w:left="1107" w:hanging="360"/>
      </w:pPr>
      <w:rPr>
        <w:rFonts w:hint="default"/>
      </w:rPr>
    </w:lvl>
    <w:lvl w:ilvl="2">
      <w:start w:val="1"/>
      <w:numFmt w:val="bullet"/>
      <w:lvlText w:val="•"/>
      <w:lvlJc w:val="left"/>
      <w:pPr>
        <w:ind w:left="1734" w:hanging="360"/>
      </w:pPr>
      <w:rPr>
        <w:rFonts w:hint="default"/>
      </w:rPr>
    </w:lvl>
    <w:lvl w:ilvl="3">
      <w:start w:val="1"/>
      <w:numFmt w:val="bullet"/>
      <w:lvlText w:val="•"/>
      <w:lvlJc w:val="left"/>
      <w:pPr>
        <w:ind w:left="2362" w:hanging="360"/>
      </w:pPr>
      <w:rPr>
        <w:rFonts w:hint="default"/>
      </w:rPr>
    </w:lvl>
    <w:lvl w:ilvl="4">
      <w:start w:val="1"/>
      <w:numFmt w:val="bullet"/>
      <w:lvlText w:val="•"/>
      <w:lvlJc w:val="left"/>
      <w:pPr>
        <w:ind w:left="2989" w:hanging="360"/>
      </w:pPr>
      <w:rPr>
        <w:rFonts w:hint="default"/>
      </w:rPr>
    </w:lvl>
    <w:lvl w:ilvl="5">
      <w:start w:val="1"/>
      <w:numFmt w:val="bullet"/>
      <w:lvlText w:val="•"/>
      <w:lvlJc w:val="left"/>
      <w:pPr>
        <w:ind w:left="3617" w:hanging="360"/>
      </w:pPr>
      <w:rPr>
        <w:rFonts w:hint="default"/>
      </w:rPr>
    </w:lvl>
    <w:lvl w:ilvl="6">
      <w:start w:val="1"/>
      <w:numFmt w:val="bullet"/>
      <w:lvlText w:val="•"/>
      <w:lvlJc w:val="left"/>
      <w:pPr>
        <w:ind w:left="4244" w:hanging="360"/>
      </w:pPr>
      <w:rPr>
        <w:rFonts w:hint="default"/>
      </w:rPr>
    </w:lvl>
    <w:lvl w:ilvl="7">
      <w:start w:val="1"/>
      <w:numFmt w:val="bullet"/>
      <w:lvlText w:val="•"/>
      <w:lvlJc w:val="left"/>
      <w:pPr>
        <w:ind w:left="4872" w:hanging="360"/>
      </w:pPr>
      <w:rPr>
        <w:rFonts w:hint="default"/>
      </w:rPr>
    </w:lvl>
    <w:lvl w:ilvl="8">
      <w:start w:val="1"/>
      <w:numFmt w:val="bullet"/>
      <w:lvlText w:val="•"/>
      <w:lvlJc w:val="left"/>
      <w:pPr>
        <w:ind w:left="5499" w:hanging="360"/>
      </w:pPr>
      <w:rPr>
        <w:rFonts w:hint="default"/>
      </w:rPr>
    </w:lvl>
  </w:abstractNum>
  <w:abstractNum w:abstractNumId="12">
    <w:multiLevelType w:val="hybridMultilevel"/>
    <w:lvl w:ilvl="0">
      <w:start w:val="1"/>
      <w:numFmt w:val="decimal"/>
      <w:lvlText w:val="%1."/>
      <w:lvlJc w:val="left"/>
      <w:pPr>
        <w:ind w:left="477" w:hanging="360"/>
        <w:jc w:val="left"/>
      </w:pPr>
      <w:rPr>
        <w:rFonts w:hint="default" w:ascii="Times New Roman" w:hAnsi="Times New Roman" w:eastAsia="Times New Roman" w:cs="Times New Roman"/>
        <w:color w:val="231F20"/>
        <w:spacing w:val="-25"/>
        <w:w w:val="100"/>
        <w:sz w:val="22"/>
        <w:szCs w:val="22"/>
      </w:rPr>
    </w:lvl>
    <w:lvl w:ilvl="1">
      <w:start w:val="1"/>
      <w:numFmt w:val="bullet"/>
      <w:lvlText w:val="•"/>
      <w:lvlJc w:val="left"/>
      <w:pPr>
        <w:ind w:left="1107" w:hanging="360"/>
      </w:pPr>
      <w:rPr>
        <w:rFonts w:hint="default"/>
      </w:rPr>
    </w:lvl>
    <w:lvl w:ilvl="2">
      <w:start w:val="1"/>
      <w:numFmt w:val="bullet"/>
      <w:lvlText w:val="•"/>
      <w:lvlJc w:val="left"/>
      <w:pPr>
        <w:ind w:left="1734" w:hanging="360"/>
      </w:pPr>
      <w:rPr>
        <w:rFonts w:hint="default"/>
      </w:rPr>
    </w:lvl>
    <w:lvl w:ilvl="3">
      <w:start w:val="1"/>
      <w:numFmt w:val="bullet"/>
      <w:lvlText w:val="•"/>
      <w:lvlJc w:val="left"/>
      <w:pPr>
        <w:ind w:left="2362" w:hanging="360"/>
      </w:pPr>
      <w:rPr>
        <w:rFonts w:hint="default"/>
      </w:rPr>
    </w:lvl>
    <w:lvl w:ilvl="4">
      <w:start w:val="1"/>
      <w:numFmt w:val="bullet"/>
      <w:lvlText w:val="•"/>
      <w:lvlJc w:val="left"/>
      <w:pPr>
        <w:ind w:left="2989" w:hanging="360"/>
      </w:pPr>
      <w:rPr>
        <w:rFonts w:hint="default"/>
      </w:rPr>
    </w:lvl>
    <w:lvl w:ilvl="5">
      <w:start w:val="1"/>
      <w:numFmt w:val="bullet"/>
      <w:lvlText w:val="•"/>
      <w:lvlJc w:val="left"/>
      <w:pPr>
        <w:ind w:left="3617" w:hanging="360"/>
      </w:pPr>
      <w:rPr>
        <w:rFonts w:hint="default"/>
      </w:rPr>
    </w:lvl>
    <w:lvl w:ilvl="6">
      <w:start w:val="1"/>
      <w:numFmt w:val="bullet"/>
      <w:lvlText w:val="•"/>
      <w:lvlJc w:val="left"/>
      <w:pPr>
        <w:ind w:left="4244" w:hanging="360"/>
      </w:pPr>
      <w:rPr>
        <w:rFonts w:hint="default"/>
      </w:rPr>
    </w:lvl>
    <w:lvl w:ilvl="7">
      <w:start w:val="1"/>
      <w:numFmt w:val="bullet"/>
      <w:lvlText w:val="•"/>
      <w:lvlJc w:val="left"/>
      <w:pPr>
        <w:ind w:left="4872" w:hanging="360"/>
      </w:pPr>
      <w:rPr>
        <w:rFonts w:hint="default"/>
      </w:rPr>
    </w:lvl>
    <w:lvl w:ilvl="8">
      <w:start w:val="1"/>
      <w:numFmt w:val="bullet"/>
      <w:lvlText w:val="•"/>
      <w:lvlJc w:val="left"/>
      <w:pPr>
        <w:ind w:left="5499" w:hanging="360"/>
      </w:pPr>
      <w:rPr>
        <w:rFonts w:hint="default"/>
      </w:rPr>
    </w:lvl>
  </w:abstractNum>
  <w:abstractNum w:abstractNumId="11">
    <w:multiLevelType w:val="hybridMultilevel"/>
    <w:lvl w:ilvl="0">
      <w:start w:val="1"/>
      <w:numFmt w:val="decimal"/>
      <w:lvlText w:val="%1."/>
      <w:lvlJc w:val="left"/>
      <w:pPr>
        <w:ind w:left="477" w:hanging="360"/>
        <w:jc w:val="left"/>
      </w:pPr>
      <w:rPr>
        <w:rFonts w:hint="default" w:ascii="Times New Roman" w:hAnsi="Times New Roman" w:eastAsia="Times New Roman" w:cs="Times New Roman"/>
        <w:color w:val="231F20"/>
        <w:spacing w:val="-28"/>
        <w:w w:val="100"/>
        <w:sz w:val="22"/>
        <w:szCs w:val="22"/>
      </w:rPr>
    </w:lvl>
    <w:lvl w:ilvl="1">
      <w:start w:val="1"/>
      <w:numFmt w:val="bullet"/>
      <w:lvlText w:val="•"/>
      <w:lvlJc w:val="left"/>
      <w:pPr>
        <w:ind w:left="1107" w:hanging="360"/>
      </w:pPr>
      <w:rPr>
        <w:rFonts w:hint="default"/>
      </w:rPr>
    </w:lvl>
    <w:lvl w:ilvl="2">
      <w:start w:val="1"/>
      <w:numFmt w:val="bullet"/>
      <w:lvlText w:val="•"/>
      <w:lvlJc w:val="left"/>
      <w:pPr>
        <w:ind w:left="1734" w:hanging="360"/>
      </w:pPr>
      <w:rPr>
        <w:rFonts w:hint="default"/>
      </w:rPr>
    </w:lvl>
    <w:lvl w:ilvl="3">
      <w:start w:val="1"/>
      <w:numFmt w:val="bullet"/>
      <w:lvlText w:val="•"/>
      <w:lvlJc w:val="left"/>
      <w:pPr>
        <w:ind w:left="2362" w:hanging="360"/>
      </w:pPr>
      <w:rPr>
        <w:rFonts w:hint="default"/>
      </w:rPr>
    </w:lvl>
    <w:lvl w:ilvl="4">
      <w:start w:val="1"/>
      <w:numFmt w:val="bullet"/>
      <w:lvlText w:val="•"/>
      <w:lvlJc w:val="left"/>
      <w:pPr>
        <w:ind w:left="2989" w:hanging="360"/>
      </w:pPr>
      <w:rPr>
        <w:rFonts w:hint="default"/>
      </w:rPr>
    </w:lvl>
    <w:lvl w:ilvl="5">
      <w:start w:val="1"/>
      <w:numFmt w:val="bullet"/>
      <w:lvlText w:val="•"/>
      <w:lvlJc w:val="left"/>
      <w:pPr>
        <w:ind w:left="3617" w:hanging="360"/>
      </w:pPr>
      <w:rPr>
        <w:rFonts w:hint="default"/>
      </w:rPr>
    </w:lvl>
    <w:lvl w:ilvl="6">
      <w:start w:val="1"/>
      <w:numFmt w:val="bullet"/>
      <w:lvlText w:val="•"/>
      <w:lvlJc w:val="left"/>
      <w:pPr>
        <w:ind w:left="4244" w:hanging="360"/>
      </w:pPr>
      <w:rPr>
        <w:rFonts w:hint="default"/>
      </w:rPr>
    </w:lvl>
    <w:lvl w:ilvl="7">
      <w:start w:val="1"/>
      <w:numFmt w:val="bullet"/>
      <w:lvlText w:val="•"/>
      <w:lvlJc w:val="left"/>
      <w:pPr>
        <w:ind w:left="4872" w:hanging="360"/>
      </w:pPr>
      <w:rPr>
        <w:rFonts w:hint="default"/>
      </w:rPr>
    </w:lvl>
    <w:lvl w:ilvl="8">
      <w:start w:val="1"/>
      <w:numFmt w:val="bullet"/>
      <w:lvlText w:val="•"/>
      <w:lvlJc w:val="left"/>
      <w:pPr>
        <w:ind w:left="5499" w:hanging="360"/>
      </w:pPr>
      <w:rPr>
        <w:rFonts w:hint="default"/>
      </w:rPr>
    </w:lvl>
  </w:abstractNum>
  <w:abstractNum w:abstractNumId="10">
    <w:multiLevelType w:val="hybridMultilevel"/>
    <w:lvl w:ilvl="0">
      <w:start w:val="1"/>
      <w:numFmt w:val="decimal"/>
      <w:lvlText w:val="%1."/>
      <w:lvlJc w:val="left"/>
      <w:pPr>
        <w:ind w:left="477" w:hanging="360"/>
        <w:jc w:val="left"/>
      </w:pPr>
      <w:rPr>
        <w:rFonts w:hint="default" w:ascii="Times New Roman" w:hAnsi="Times New Roman" w:eastAsia="Times New Roman" w:cs="Times New Roman"/>
        <w:color w:val="231F20"/>
        <w:spacing w:val="-25"/>
        <w:w w:val="97"/>
        <w:sz w:val="22"/>
        <w:szCs w:val="22"/>
      </w:rPr>
    </w:lvl>
    <w:lvl w:ilvl="1">
      <w:start w:val="1"/>
      <w:numFmt w:val="bullet"/>
      <w:lvlText w:val="•"/>
      <w:lvlJc w:val="left"/>
      <w:pPr>
        <w:ind w:left="1107" w:hanging="360"/>
      </w:pPr>
      <w:rPr>
        <w:rFonts w:hint="default"/>
      </w:rPr>
    </w:lvl>
    <w:lvl w:ilvl="2">
      <w:start w:val="1"/>
      <w:numFmt w:val="bullet"/>
      <w:lvlText w:val="•"/>
      <w:lvlJc w:val="left"/>
      <w:pPr>
        <w:ind w:left="1734" w:hanging="360"/>
      </w:pPr>
      <w:rPr>
        <w:rFonts w:hint="default"/>
      </w:rPr>
    </w:lvl>
    <w:lvl w:ilvl="3">
      <w:start w:val="1"/>
      <w:numFmt w:val="bullet"/>
      <w:lvlText w:val="•"/>
      <w:lvlJc w:val="left"/>
      <w:pPr>
        <w:ind w:left="2362" w:hanging="360"/>
      </w:pPr>
      <w:rPr>
        <w:rFonts w:hint="default"/>
      </w:rPr>
    </w:lvl>
    <w:lvl w:ilvl="4">
      <w:start w:val="1"/>
      <w:numFmt w:val="bullet"/>
      <w:lvlText w:val="•"/>
      <w:lvlJc w:val="left"/>
      <w:pPr>
        <w:ind w:left="2989" w:hanging="360"/>
      </w:pPr>
      <w:rPr>
        <w:rFonts w:hint="default"/>
      </w:rPr>
    </w:lvl>
    <w:lvl w:ilvl="5">
      <w:start w:val="1"/>
      <w:numFmt w:val="bullet"/>
      <w:lvlText w:val="•"/>
      <w:lvlJc w:val="left"/>
      <w:pPr>
        <w:ind w:left="3617" w:hanging="360"/>
      </w:pPr>
      <w:rPr>
        <w:rFonts w:hint="default"/>
      </w:rPr>
    </w:lvl>
    <w:lvl w:ilvl="6">
      <w:start w:val="1"/>
      <w:numFmt w:val="bullet"/>
      <w:lvlText w:val="•"/>
      <w:lvlJc w:val="left"/>
      <w:pPr>
        <w:ind w:left="4244" w:hanging="360"/>
      </w:pPr>
      <w:rPr>
        <w:rFonts w:hint="default"/>
      </w:rPr>
    </w:lvl>
    <w:lvl w:ilvl="7">
      <w:start w:val="1"/>
      <w:numFmt w:val="bullet"/>
      <w:lvlText w:val="•"/>
      <w:lvlJc w:val="left"/>
      <w:pPr>
        <w:ind w:left="4872" w:hanging="360"/>
      </w:pPr>
      <w:rPr>
        <w:rFonts w:hint="default"/>
      </w:rPr>
    </w:lvl>
    <w:lvl w:ilvl="8">
      <w:start w:val="1"/>
      <w:numFmt w:val="bullet"/>
      <w:lvlText w:val="•"/>
      <w:lvlJc w:val="left"/>
      <w:pPr>
        <w:ind w:left="5499" w:hanging="360"/>
      </w:pPr>
      <w:rPr>
        <w:rFonts w:hint="default"/>
      </w:rPr>
    </w:lvl>
  </w:abstractNum>
  <w:abstractNum w:abstractNumId="9">
    <w:multiLevelType w:val="hybridMultilevel"/>
    <w:lvl w:ilvl="0">
      <w:start w:val="1"/>
      <w:numFmt w:val="lowerRoman"/>
      <w:lvlText w:val="%1)"/>
      <w:lvlJc w:val="left"/>
      <w:pPr>
        <w:ind w:left="117" w:hanging="193"/>
        <w:jc w:val="left"/>
      </w:pPr>
      <w:rPr>
        <w:rFonts w:hint="default" w:ascii="Times New Roman" w:hAnsi="Times New Roman" w:eastAsia="Times New Roman" w:cs="Times New Roman"/>
        <w:color w:val="231F20"/>
        <w:w w:val="100"/>
        <w:sz w:val="22"/>
        <w:szCs w:val="22"/>
      </w:rPr>
    </w:lvl>
    <w:lvl w:ilvl="1">
      <w:start w:val="1"/>
      <w:numFmt w:val="bullet"/>
      <w:lvlText w:val="•"/>
      <w:lvlJc w:val="left"/>
      <w:pPr>
        <w:ind w:left="783" w:hanging="193"/>
      </w:pPr>
      <w:rPr>
        <w:rFonts w:hint="default"/>
      </w:rPr>
    </w:lvl>
    <w:lvl w:ilvl="2">
      <w:start w:val="1"/>
      <w:numFmt w:val="bullet"/>
      <w:lvlText w:val="•"/>
      <w:lvlJc w:val="left"/>
      <w:pPr>
        <w:ind w:left="1446" w:hanging="193"/>
      </w:pPr>
      <w:rPr>
        <w:rFonts w:hint="default"/>
      </w:rPr>
    </w:lvl>
    <w:lvl w:ilvl="3">
      <w:start w:val="1"/>
      <w:numFmt w:val="bullet"/>
      <w:lvlText w:val="•"/>
      <w:lvlJc w:val="left"/>
      <w:pPr>
        <w:ind w:left="2110" w:hanging="193"/>
      </w:pPr>
      <w:rPr>
        <w:rFonts w:hint="default"/>
      </w:rPr>
    </w:lvl>
    <w:lvl w:ilvl="4">
      <w:start w:val="1"/>
      <w:numFmt w:val="bullet"/>
      <w:lvlText w:val="•"/>
      <w:lvlJc w:val="left"/>
      <w:pPr>
        <w:ind w:left="2773" w:hanging="193"/>
      </w:pPr>
      <w:rPr>
        <w:rFonts w:hint="default"/>
      </w:rPr>
    </w:lvl>
    <w:lvl w:ilvl="5">
      <w:start w:val="1"/>
      <w:numFmt w:val="bullet"/>
      <w:lvlText w:val="•"/>
      <w:lvlJc w:val="left"/>
      <w:pPr>
        <w:ind w:left="3437" w:hanging="193"/>
      </w:pPr>
      <w:rPr>
        <w:rFonts w:hint="default"/>
      </w:rPr>
    </w:lvl>
    <w:lvl w:ilvl="6">
      <w:start w:val="1"/>
      <w:numFmt w:val="bullet"/>
      <w:lvlText w:val="•"/>
      <w:lvlJc w:val="left"/>
      <w:pPr>
        <w:ind w:left="4100" w:hanging="193"/>
      </w:pPr>
      <w:rPr>
        <w:rFonts w:hint="default"/>
      </w:rPr>
    </w:lvl>
    <w:lvl w:ilvl="7">
      <w:start w:val="1"/>
      <w:numFmt w:val="bullet"/>
      <w:lvlText w:val="•"/>
      <w:lvlJc w:val="left"/>
      <w:pPr>
        <w:ind w:left="4764" w:hanging="193"/>
      </w:pPr>
      <w:rPr>
        <w:rFonts w:hint="default"/>
      </w:rPr>
    </w:lvl>
    <w:lvl w:ilvl="8">
      <w:start w:val="1"/>
      <w:numFmt w:val="bullet"/>
      <w:lvlText w:val="•"/>
      <w:lvlJc w:val="left"/>
      <w:pPr>
        <w:ind w:left="5427" w:hanging="193"/>
      </w:pPr>
      <w:rPr>
        <w:rFonts w:hint="default"/>
      </w:rPr>
    </w:lvl>
  </w:abstractNum>
  <w:abstractNum w:abstractNumId="8">
    <w:multiLevelType w:val="hybridMultilevel"/>
    <w:lvl w:ilvl="0">
      <w:start w:val="1"/>
      <w:numFmt w:val="decimal"/>
      <w:lvlText w:val="%1."/>
      <w:lvlJc w:val="left"/>
      <w:pPr>
        <w:ind w:left="477" w:hanging="360"/>
        <w:jc w:val="left"/>
      </w:pPr>
      <w:rPr>
        <w:rFonts w:hint="default" w:ascii="Times New Roman" w:hAnsi="Times New Roman" w:eastAsia="Times New Roman" w:cs="Times New Roman"/>
        <w:color w:val="231F20"/>
        <w:spacing w:val="-25"/>
        <w:w w:val="100"/>
        <w:sz w:val="22"/>
        <w:szCs w:val="22"/>
      </w:rPr>
    </w:lvl>
    <w:lvl w:ilvl="1">
      <w:start w:val="1"/>
      <w:numFmt w:val="bullet"/>
      <w:lvlText w:val="•"/>
      <w:lvlJc w:val="left"/>
      <w:pPr>
        <w:ind w:left="1107" w:hanging="360"/>
      </w:pPr>
      <w:rPr>
        <w:rFonts w:hint="default"/>
      </w:rPr>
    </w:lvl>
    <w:lvl w:ilvl="2">
      <w:start w:val="1"/>
      <w:numFmt w:val="bullet"/>
      <w:lvlText w:val="•"/>
      <w:lvlJc w:val="left"/>
      <w:pPr>
        <w:ind w:left="1734" w:hanging="360"/>
      </w:pPr>
      <w:rPr>
        <w:rFonts w:hint="default"/>
      </w:rPr>
    </w:lvl>
    <w:lvl w:ilvl="3">
      <w:start w:val="1"/>
      <w:numFmt w:val="bullet"/>
      <w:lvlText w:val="•"/>
      <w:lvlJc w:val="left"/>
      <w:pPr>
        <w:ind w:left="2362" w:hanging="360"/>
      </w:pPr>
      <w:rPr>
        <w:rFonts w:hint="default"/>
      </w:rPr>
    </w:lvl>
    <w:lvl w:ilvl="4">
      <w:start w:val="1"/>
      <w:numFmt w:val="bullet"/>
      <w:lvlText w:val="•"/>
      <w:lvlJc w:val="left"/>
      <w:pPr>
        <w:ind w:left="2989" w:hanging="360"/>
      </w:pPr>
      <w:rPr>
        <w:rFonts w:hint="default"/>
      </w:rPr>
    </w:lvl>
    <w:lvl w:ilvl="5">
      <w:start w:val="1"/>
      <w:numFmt w:val="bullet"/>
      <w:lvlText w:val="•"/>
      <w:lvlJc w:val="left"/>
      <w:pPr>
        <w:ind w:left="3617" w:hanging="360"/>
      </w:pPr>
      <w:rPr>
        <w:rFonts w:hint="default"/>
      </w:rPr>
    </w:lvl>
    <w:lvl w:ilvl="6">
      <w:start w:val="1"/>
      <w:numFmt w:val="bullet"/>
      <w:lvlText w:val="•"/>
      <w:lvlJc w:val="left"/>
      <w:pPr>
        <w:ind w:left="4244" w:hanging="360"/>
      </w:pPr>
      <w:rPr>
        <w:rFonts w:hint="default"/>
      </w:rPr>
    </w:lvl>
    <w:lvl w:ilvl="7">
      <w:start w:val="1"/>
      <w:numFmt w:val="bullet"/>
      <w:lvlText w:val="•"/>
      <w:lvlJc w:val="left"/>
      <w:pPr>
        <w:ind w:left="4872" w:hanging="360"/>
      </w:pPr>
      <w:rPr>
        <w:rFonts w:hint="default"/>
      </w:rPr>
    </w:lvl>
    <w:lvl w:ilvl="8">
      <w:start w:val="1"/>
      <w:numFmt w:val="bullet"/>
      <w:lvlText w:val="•"/>
      <w:lvlJc w:val="left"/>
      <w:pPr>
        <w:ind w:left="5499" w:hanging="360"/>
      </w:pPr>
      <w:rPr>
        <w:rFonts w:hint="default"/>
      </w:rPr>
    </w:lvl>
  </w:abstractNum>
  <w:abstractNum w:abstractNumId="7">
    <w:multiLevelType w:val="hybridMultilevel"/>
    <w:lvl w:ilvl="0">
      <w:start w:val="1"/>
      <w:numFmt w:val="bullet"/>
      <w:lvlText w:val="•"/>
      <w:lvlJc w:val="left"/>
      <w:pPr>
        <w:ind w:left="477" w:hanging="360"/>
      </w:pPr>
      <w:rPr>
        <w:rFonts w:hint="default" w:ascii="Times New Roman" w:hAnsi="Times New Roman" w:eastAsia="Times New Roman" w:cs="Times New Roman"/>
        <w:color w:val="231F20"/>
        <w:w w:val="99"/>
        <w:sz w:val="22"/>
        <w:szCs w:val="22"/>
      </w:rPr>
    </w:lvl>
    <w:lvl w:ilvl="1">
      <w:start w:val="1"/>
      <w:numFmt w:val="bullet"/>
      <w:lvlText w:val="•"/>
      <w:lvlJc w:val="left"/>
      <w:pPr>
        <w:ind w:left="1107" w:hanging="360"/>
      </w:pPr>
      <w:rPr>
        <w:rFonts w:hint="default"/>
      </w:rPr>
    </w:lvl>
    <w:lvl w:ilvl="2">
      <w:start w:val="1"/>
      <w:numFmt w:val="bullet"/>
      <w:lvlText w:val="•"/>
      <w:lvlJc w:val="left"/>
      <w:pPr>
        <w:ind w:left="1734" w:hanging="360"/>
      </w:pPr>
      <w:rPr>
        <w:rFonts w:hint="default"/>
      </w:rPr>
    </w:lvl>
    <w:lvl w:ilvl="3">
      <w:start w:val="1"/>
      <w:numFmt w:val="bullet"/>
      <w:lvlText w:val="•"/>
      <w:lvlJc w:val="left"/>
      <w:pPr>
        <w:ind w:left="2362" w:hanging="360"/>
      </w:pPr>
      <w:rPr>
        <w:rFonts w:hint="default"/>
      </w:rPr>
    </w:lvl>
    <w:lvl w:ilvl="4">
      <w:start w:val="1"/>
      <w:numFmt w:val="bullet"/>
      <w:lvlText w:val="•"/>
      <w:lvlJc w:val="left"/>
      <w:pPr>
        <w:ind w:left="2989" w:hanging="360"/>
      </w:pPr>
      <w:rPr>
        <w:rFonts w:hint="default"/>
      </w:rPr>
    </w:lvl>
    <w:lvl w:ilvl="5">
      <w:start w:val="1"/>
      <w:numFmt w:val="bullet"/>
      <w:lvlText w:val="•"/>
      <w:lvlJc w:val="left"/>
      <w:pPr>
        <w:ind w:left="3617" w:hanging="360"/>
      </w:pPr>
      <w:rPr>
        <w:rFonts w:hint="default"/>
      </w:rPr>
    </w:lvl>
    <w:lvl w:ilvl="6">
      <w:start w:val="1"/>
      <w:numFmt w:val="bullet"/>
      <w:lvlText w:val="•"/>
      <w:lvlJc w:val="left"/>
      <w:pPr>
        <w:ind w:left="4244" w:hanging="360"/>
      </w:pPr>
      <w:rPr>
        <w:rFonts w:hint="default"/>
      </w:rPr>
    </w:lvl>
    <w:lvl w:ilvl="7">
      <w:start w:val="1"/>
      <w:numFmt w:val="bullet"/>
      <w:lvlText w:val="•"/>
      <w:lvlJc w:val="left"/>
      <w:pPr>
        <w:ind w:left="4872" w:hanging="360"/>
      </w:pPr>
      <w:rPr>
        <w:rFonts w:hint="default"/>
      </w:rPr>
    </w:lvl>
    <w:lvl w:ilvl="8">
      <w:start w:val="1"/>
      <w:numFmt w:val="bullet"/>
      <w:lvlText w:val="•"/>
      <w:lvlJc w:val="left"/>
      <w:pPr>
        <w:ind w:left="5499" w:hanging="360"/>
      </w:pPr>
      <w:rPr>
        <w:rFonts w:hint="default"/>
      </w:rPr>
    </w:lvl>
  </w:abstractNum>
  <w:abstractNum w:abstractNumId="6">
    <w:multiLevelType w:val="hybridMultilevel"/>
    <w:lvl w:ilvl="0">
      <w:start w:val="1"/>
      <w:numFmt w:val="bullet"/>
      <w:lvlText w:val="•"/>
      <w:lvlJc w:val="left"/>
      <w:pPr>
        <w:ind w:left="477" w:hanging="360"/>
      </w:pPr>
      <w:rPr>
        <w:rFonts w:hint="default" w:ascii="Times New Roman" w:hAnsi="Times New Roman" w:eastAsia="Times New Roman" w:cs="Times New Roman"/>
        <w:i/>
        <w:color w:val="231F20"/>
        <w:w w:val="99"/>
        <w:sz w:val="22"/>
        <w:szCs w:val="22"/>
      </w:rPr>
    </w:lvl>
    <w:lvl w:ilvl="1">
      <w:start w:val="1"/>
      <w:numFmt w:val="bullet"/>
      <w:lvlText w:val="•"/>
      <w:lvlJc w:val="left"/>
      <w:pPr>
        <w:ind w:left="1107" w:hanging="360"/>
      </w:pPr>
      <w:rPr>
        <w:rFonts w:hint="default"/>
      </w:rPr>
    </w:lvl>
    <w:lvl w:ilvl="2">
      <w:start w:val="1"/>
      <w:numFmt w:val="bullet"/>
      <w:lvlText w:val="•"/>
      <w:lvlJc w:val="left"/>
      <w:pPr>
        <w:ind w:left="1734" w:hanging="360"/>
      </w:pPr>
      <w:rPr>
        <w:rFonts w:hint="default"/>
      </w:rPr>
    </w:lvl>
    <w:lvl w:ilvl="3">
      <w:start w:val="1"/>
      <w:numFmt w:val="bullet"/>
      <w:lvlText w:val="•"/>
      <w:lvlJc w:val="left"/>
      <w:pPr>
        <w:ind w:left="2362" w:hanging="360"/>
      </w:pPr>
      <w:rPr>
        <w:rFonts w:hint="default"/>
      </w:rPr>
    </w:lvl>
    <w:lvl w:ilvl="4">
      <w:start w:val="1"/>
      <w:numFmt w:val="bullet"/>
      <w:lvlText w:val="•"/>
      <w:lvlJc w:val="left"/>
      <w:pPr>
        <w:ind w:left="2989" w:hanging="360"/>
      </w:pPr>
      <w:rPr>
        <w:rFonts w:hint="default"/>
      </w:rPr>
    </w:lvl>
    <w:lvl w:ilvl="5">
      <w:start w:val="1"/>
      <w:numFmt w:val="bullet"/>
      <w:lvlText w:val="•"/>
      <w:lvlJc w:val="left"/>
      <w:pPr>
        <w:ind w:left="3617" w:hanging="360"/>
      </w:pPr>
      <w:rPr>
        <w:rFonts w:hint="default"/>
      </w:rPr>
    </w:lvl>
    <w:lvl w:ilvl="6">
      <w:start w:val="1"/>
      <w:numFmt w:val="bullet"/>
      <w:lvlText w:val="•"/>
      <w:lvlJc w:val="left"/>
      <w:pPr>
        <w:ind w:left="4244" w:hanging="360"/>
      </w:pPr>
      <w:rPr>
        <w:rFonts w:hint="default"/>
      </w:rPr>
    </w:lvl>
    <w:lvl w:ilvl="7">
      <w:start w:val="1"/>
      <w:numFmt w:val="bullet"/>
      <w:lvlText w:val="•"/>
      <w:lvlJc w:val="left"/>
      <w:pPr>
        <w:ind w:left="4872" w:hanging="360"/>
      </w:pPr>
      <w:rPr>
        <w:rFonts w:hint="default"/>
      </w:rPr>
    </w:lvl>
    <w:lvl w:ilvl="8">
      <w:start w:val="1"/>
      <w:numFmt w:val="bullet"/>
      <w:lvlText w:val="•"/>
      <w:lvlJc w:val="left"/>
      <w:pPr>
        <w:ind w:left="5499" w:hanging="360"/>
      </w:pPr>
      <w:rPr>
        <w:rFonts w:hint="default"/>
      </w:rPr>
    </w:lvl>
  </w:abstractNum>
  <w:abstractNum w:abstractNumId="5">
    <w:multiLevelType w:val="hybridMultilevel"/>
    <w:lvl w:ilvl="0">
      <w:start w:val="1"/>
      <w:numFmt w:val="decimal"/>
      <w:lvlText w:val="%1."/>
      <w:lvlJc w:val="left"/>
      <w:pPr>
        <w:ind w:left="477" w:hanging="360"/>
        <w:jc w:val="left"/>
      </w:pPr>
      <w:rPr>
        <w:rFonts w:hint="default" w:ascii="Times New Roman" w:hAnsi="Times New Roman" w:eastAsia="Times New Roman" w:cs="Times New Roman"/>
        <w:color w:val="231F20"/>
        <w:spacing w:val="-25"/>
        <w:w w:val="100"/>
        <w:sz w:val="22"/>
        <w:szCs w:val="22"/>
      </w:rPr>
    </w:lvl>
    <w:lvl w:ilvl="1">
      <w:start w:val="1"/>
      <w:numFmt w:val="bullet"/>
      <w:lvlText w:val="•"/>
      <w:lvlJc w:val="left"/>
      <w:pPr>
        <w:ind w:left="1107" w:hanging="360"/>
      </w:pPr>
      <w:rPr>
        <w:rFonts w:hint="default"/>
      </w:rPr>
    </w:lvl>
    <w:lvl w:ilvl="2">
      <w:start w:val="1"/>
      <w:numFmt w:val="bullet"/>
      <w:lvlText w:val="•"/>
      <w:lvlJc w:val="left"/>
      <w:pPr>
        <w:ind w:left="1734" w:hanging="360"/>
      </w:pPr>
      <w:rPr>
        <w:rFonts w:hint="default"/>
      </w:rPr>
    </w:lvl>
    <w:lvl w:ilvl="3">
      <w:start w:val="1"/>
      <w:numFmt w:val="bullet"/>
      <w:lvlText w:val="•"/>
      <w:lvlJc w:val="left"/>
      <w:pPr>
        <w:ind w:left="2362" w:hanging="360"/>
      </w:pPr>
      <w:rPr>
        <w:rFonts w:hint="default"/>
      </w:rPr>
    </w:lvl>
    <w:lvl w:ilvl="4">
      <w:start w:val="1"/>
      <w:numFmt w:val="bullet"/>
      <w:lvlText w:val="•"/>
      <w:lvlJc w:val="left"/>
      <w:pPr>
        <w:ind w:left="2989" w:hanging="360"/>
      </w:pPr>
      <w:rPr>
        <w:rFonts w:hint="default"/>
      </w:rPr>
    </w:lvl>
    <w:lvl w:ilvl="5">
      <w:start w:val="1"/>
      <w:numFmt w:val="bullet"/>
      <w:lvlText w:val="•"/>
      <w:lvlJc w:val="left"/>
      <w:pPr>
        <w:ind w:left="3617" w:hanging="360"/>
      </w:pPr>
      <w:rPr>
        <w:rFonts w:hint="default"/>
      </w:rPr>
    </w:lvl>
    <w:lvl w:ilvl="6">
      <w:start w:val="1"/>
      <w:numFmt w:val="bullet"/>
      <w:lvlText w:val="•"/>
      <w:lvlJc w:val="left"/>
      <w:pPr>
        <w:ind w:left="4244" w:hanging="360"/>
      </w:pPr>
      <w:rPr>
        <w:rFonts w:hint="default"/>
      </w:rPr>
    </w:lvl>
    <w:lvl w:ilvl="7">
      <w:start w:val="1"/>
      <w:numFmt w:val="bullet"/>
      <w:lvlText w:val="•"/>
      <w:lvlJc w:val="left"/>
      <w:pPr>
        <w:ind w:left="4872" w:hanging="360"/>
      </w:pPr>
      <w:rPr>
        <w:rFonts w:hint="default"/>
      </w:rPr>
    </w:lvl>
    <w:lvl w:ilvl="8">
      <w:start w:val="1"/>
      <w:numFmt w:val="bullet"/>
      <w:lvlText w:val="•"/>
      <w:lvlJc w:val="left"/>
      <w:pPr>
        <w:ind w:left="5499" w:hanging="360"/>
      </w:pPr>
      <w:rPr>
        <w:rFonts w:hint="default"/>
      </w:rPr>
    </w:lvl>
  </w:abstractNum>
  <w:abstractNum w:abstractNumId="4">
    <w:multiLevelType w:val="hybridMultilevel"/>
    <w:lvl w:ilvl="0">
      <w:start w:val="1"/>
      <w:numFmt w:val="decimal"/>
      <w:lvlText w:val="%1."/>
      <w:lvlJc w:val="left"/>
      <w:pPr>
        <w:ind w:left="477" w:hanging="360"/>
        <w:jc w:val="left"/>
      </w:pPr>
      <w:rPr>
        <w:rFonts w:hint="default" w:ascii="Times New Roman" w:hAnsi="Times New Roman" w:eastAsia="Times New Roman" w:cs="Times New Roman"/>
        <w:i/>
        <w:color w:val="231F20"/>
        <w:spacing w:val="-25"/>
        <w:w w:val="99"/>
        <w:sz w:val="22"/>
        <w:szCs w:val="22"/>
      </w:rPr>
    </w:lvl>
    <w:lvl w:ilvl="1">
      <w:start w:val="1"/>
      <w:numFmt w:val="bullet"/>
      <w:lvlText w:val="•"/>
      <w:lvlJc w:val="left"/>
      <w:pPr>
        <w:ind w:left="1107" w:hanging="360"/>
      </w:pPr>
      <w:rPr>
        <w:rFonts w:hint="default"/>
      </w:rPr>
    </w:lvl>
    <w:lvl w:ilvl="2">
      <w:start w:val="1"/>
      <w:numFmt w:val="bullet"/>
      <w:lvlText w:val="•"/>
      <w:lvlJc w:val="left"/>
      <w:pPr>
        <w:ind w:left="1734" w:hanging="360"/>
      </w:pPr>
      <w:rPr>
        <w:rFonts w:hint="default"/>
      </w:rPr>
    </w:lvl>
    <w:lvl w:ilvl="3">
      <w:start w:val="1"/>
      <w:numFmt w:val="bullet"/>
      <w:lvlText w:val="•"/>
      <w:lvlJc w:val="left"/>
      <w:pPr>
        <w:ind w:left="2362" w:hanging="360"/>
      </w:pPr>
      <w:rPr>
        <w:rFonts w:hint="default"/>
      </w:rPr>
    </w:lvl>
    <w:lvl w:ilvl="4">
      <w:start w:val="1"/>
      <w:numFmt w:val="bullet"/>
      <w:lvlText w:val="•"/>
      <w:lvlJc w:val="left"/>
      <w:pPr>
        <w:ind w:left="2989" w:hanging="360"/>
      </w:pPr>
      <w:rPr>
        <w:rFonts w:hint="default"/>
      </w:rPr>
    </w:lvl>
    <w:lvl w:ilvl="5">
      <w:start w:val="1"/>
      <w:numFmt w:val="bullet"/>
      <w:lvlText w:val="•"/>
      <w:lvlJc w:val="left"/>
      <w:pPr>
        <w:ind w:left="3617" w:hanging="360"/>
      </w:pPr>
      <w:rPr>
        <w:rFonts w:hint="default"/>
      </w:rPr>
    </w:lvl>
    <w:lvl w:ilvl="6">
      <w:start w:val="1"/>
      <w:numFmt w:val="bullet"/>
      <w:lvlText w:val="•"/>
      <w:lvlJc w:val="left"/>
      <w:pPr>
        <w:ind w:left="4244" w:hanging="360"/>
      </w:pPr>
      <w:rPr>
        <w:rFonts w:hint="default"/>
      </w:rPr>
    </w:lvl>
    <w:lvl w:ilvl="7">
      <w:start w:val="1"/>
      <w:numFmt w:val="bullet"/>
      <w:lvlText w:val="•"/>
      <w:lvlJc w:val="left"/>
      <w:pPr>
        <w:ind w:left="4872" w:hanging="360"/>
      </w:pPr>
      <w:rPr>
        <w:rFonts w:hint="default"/>
      </w:rPr>
    </w:lvl>
    <w:lvl w:ilvl="8">
      <w:start w:val="1"/>
      <w:numFmt w:val="bullet"/>
      <w:lvlText w:val="•"/>
      <w:lvlJc w:val="left"/>
      <w:pPr>
        <w:ind w:left="5499" w:hanging="360"/>
      </w:pPr>
      <w:rPr>
        <w:rFonts w:hint="default"/>
      </w:rPr>
    </w:lvl>
  </w:abstractNum>
  <w:abstractNum w:abstractNumId="3">
    <w:multiLevelType w:val="hybridMultilevel"/>
    <w:lvl w:ilvl="0">
      <w:start w:val="1"/>
      <w:numFmt w:val="decimal"/>
      <w:lvlText w:val="%1."/>
      <w:lvlJc w:val="left"/>
      <w:pPr>
        <w:ind w:left="477" w:hanging="360"/>
        <w:jc w:val="left"/>
      </w:pPr>
      <w:rPr>
        <w:rFonts w:hint="default" w:ascii="Times New Roman" w:hAnsi="Times New Roman" w:eastAsia="Times New Roman" w:cs="Times New Roman"/>
        <w:color w:val="231F20"/>
        <w:spacing w:val="-25"/>
        <w:w w:val="100"/>
        <w:sz w:val="22"/>
        <w:szCs w:val="22"/>
      </w:rPr>
    </w:lvl>
    <w:lvl w:ilvl="1">
      <w:start w:val="1"/>
      <w:numFmt w:val="bullet"/>
      <w:lvlText w:val="•"/>
      <w:lvlJc w:val="left"/>
      <w:pPr>
        <w:ind w:left="1107" w:hanging="360"/>
      </w:pPr>
      <w:rPr>
        <w:rFonts w:hint="default"/>
      </w:rPr>
    </w:lvl>
    <w:lvl w:ilvl="2">
      <w:start w:val="1"/>
      <w:numFmt w:val="bullet"/>
      <w:lvlText w:val="•"/>
      <w:lvlJc w:val="left"/>
      <w:pPr>
        <w:ind w:left="1734" w:hanging="360"/>
      </w:pPr>
      <w:rPr>
        <w:rFonts w:hint="default"/>
      </w:rPr>
    </w:lvl>
    <w:lvl w:ilvl="3">
      <w:start w:val="1"/>
      <w:numFmt w:val="bullet"/>
      <w:lvlText w:val="•"/>
      <w:lvlJc w:val="left"/>
      <w:pPr>
        <w:ind w:left="2362" w:hanging="360"/>
      </w:pPr>
      <w:rPr>
        <w:rFonts w:hint="default"/>
      </w:rPr>
    </w:lvl>
    <w:lvl w:ilvl="4">
      <w:start w:val="1"/>
      <w:numFmt w:val="bullet"/>
      <w:lvlText w:val="•"/>
      <w:lvlJc w:val="left"/>
      <w:pPr>
        <w:ind w:left="2989" w:hanging="360"/>
      </w:pPr>
      <w:rPr>
        <w:rFonts w:hint="default"/>
      </w:rPr>
    </w:lvl>
    <w:lvl w:ilvl="5">
      <w:start w:val="1"/>
      <w:numFmt w:val="bullet"/>
      <w:lvlText w:val="•"/>
      <w:lvlJc w:val="left"/>
      <w:pPr>
        <w:ind w:left="3617" w:hanging="360"/>
      </w:pPr>
      <w:rPr>
        <w:rFonts w:hint="default"/>
      </w:rPr>
    </w:lvl>
    <w:lvl w:ilvl="6">
      <w:start w:val="1"/>
      <w:numFmt w:val="bullet"/>
      <w:lvlText w:val="•"/>
      <w:lvlJc w:val="left"/>
      <w:pPr>
        <w:ind w:left="4244" w:hanging="360"/>
      </w:pPr>
      <w:rPr>
        <w:rFonts w:hint="default"/>
      </w:rPr>
    </w:lvl>
    <w:lvl w:ilvl="7">
      <w:start w:val="1"/>
      <w:numFmt w:val="bullet"/>
      <w:lvlText w:val="•"/>
      <w:lvlJc w:val="left"/>
      <w:pPr>
        <w:ind w:left="4872" w:hanging="360"/>
      </w:pPr>
      <w:rPr>
        <w:rFonts w:hint="default"/>
      </w:rPr>
    </w:lvl>
    <w:lvl w:ilvl="8">
      <w:start w:val="1"/>
      <w:numFmt w:val="bullet"/>
      <w:lvlText w:val="•"/>
      <w:lvlJc w:val="left"/>
      <w:pPr>
        <w:ind w:left="5499" w:hanging="360"/>
      </w:pPr>
      <w:rPr>
        <w:rFonts w:hint="default"/>
      </w:rPr>
    </w:lvl>
  </w:abstractNum>
  <w:abstractNum w:abstractNumId="2">
    <w:multiLevelType w:val="hybridMultilevel"/>
    <w:lvl w:ilvl="0">
      <w:start w:val="1"/>
      <w:numFmt w:val="decimal"/>
      <w:lvlText w:val="%1."/>
      <w:lvlJc w:val="left"/>
      <w:pPr>
        <w:ind w:left="477" w:hanging="360"/>
        <w:jc w:val="left"/>
      </w:pPr>
      <w:rPr>
        <w:rFonts w:hint="default" w:ascii="Times New Roman" w:hAnsi="Times New Roman" w:eastAsia="Times New Roman" w:cs="Times New Roman"/>
        <w:color w:val="231F20"/>
        <w:spacing w:val="-25"/>
        <w:w w:val="100"/>
        <w:sz w:val="22"/>
        <w:szCs w:val="22"/>
      </w:rPr>
    </w:lvl>
    <w:lvl w:ilvl="1">
      <w:start w:val="1"/>
      <w:numFmt w:val="bullet"/>
      <w:lvlText w:val="•"/>
      <w:lvlJc w:val="left"/>
      <w:pPr>
        <w:ind w:left="1107" w:hanging="360"/>
      </w:pPr>
      <w:rPr>
        <w:rFonts w:hint="default"/>
      </w:rPr>
    </w:lvl>
    <w:lvl w:ilvl="2">
      <w:start w:val="1"/>
      <w:numFmt w:val="bullet"/>
      <w:lvlText w:val="•"/>
      <w:lvlJc w:val="left"/>
      <w:pPr>
        <w:ind w:left="1734" w:hanging="360"/>
      </w:pPr>
      <w:rPr>
        <w:rFonts w:hint="default"/>
      </w:rPr>
    </w:lvl>
    <w:lvl w:ilvl="3">
      <w:start w:val="1"/>
      <w:numFmt w:val="bullet"/>
      <w:lvlText w:val="•"/>
      <w:lvlJc w:val="left"/>
      <w:pPr>
        <w:ind w:left="2362" w:hanging="360"/>
      </w:pPr>
      <w:rPr>
        <w:rFonts w:hint="default"/>
      </w:rPr>
    </w:lvl>
    <w:lvl w:ilvl="4">
      <w:start w:val="1"/>
      <w:numFmt w:val="bullet"/>
      <w:lvlText w:val="•"/>
      <w:lvlJc w:val="left"/>
      <w:pPr>
        <w:ind w:left="2989" w:hanging="360"/>
      </w:pPr>
      <w:rPr>
        <w:rFonts w:hint="default"/>
      </w:rPr>
    </w:lvl>
    <w:lvl w:ilvl="5">
      <w:start w:val="1"/>
      <w:numFmt w:val="bullet"/>
      <w:lvlText w:val="•"/>
      <w:lvlJc w:val="left"/>
      <w:pPr>
        <w:ind w:left="3617" w:hanging="360"/>
      </w:pPr>
      <w:rPr>
        <w:rFonts w:hint="default"/>
      </w:rPr>
    </w:lvl>
    <w:lvl w:ilvl="6">
      <w:start w:val="1"/>
      <w:numFmt w:val="bullet"/>
      <w:lvlText w:val="•"/>
      <w:lvlJc w:val="left"/>
      <w:pPr>
        <w:ind w:left="4244" w:hanging="360"/>
      </w:pPr>
      <w:rPr>
        <w:rFonts w:hint="default"/>
      </w:rPr>
    </w:lvl>
    <w:lvl w:ilvl="7">
      <w:start w:val="1"/>
      <w:numFmt w:val="bullet"/>
      <w:lvlText w:val="•"/>
      <w:lvlJc w:val="left"/>
      <w:pPr>
        <w:ind w:left="4872" w:hanging="360"/>
      </w:pPr>
      <w:rPr>
        <w:rFonts w:hint="default"/>
      </w:rPr>
    </w:lvl>
    <w:lvl w:ilvl="8">
      <w:start w:val="1"/>
      <w:numFmt w:val="bullet"/>
      <w:lvlText w:val="•"/>
      <w:lvlJc w:val="left"/>
      <w:pPr>
        <w:ind w:left="5499" w:hanging="360"/>
      </w:pPr>
      <w:rPr>
        <w:rFonts w:hint="default"/>
      </w:rPr>
    </w:lvl>
  </w:abstractNum>
  <w:abstractNum w:abstractNumId="1">
    <w:multiLevelType w:val="hybridMultilevel"/>
    <w:lvl w:ilvl="0">
      <w:start w:val="1"/>
      <w:numFmt w:val="decimal"/>
      <w:lvlText w:val="%1."/>
      <w:lvlJc w:val="left"/>
      <w:pPr>
        <w:ind w:left="477" w:hanging="360"/>
        <w:jc w:val="left"/>
      </w:pPr>
      <w:rPr>
        <w:rFonts w:hint="default" w:ascii="Times New Roman" w:hAnsi="Times New Roman" w:eastAsia="Times New Roman" w:cs="Times New Roman"/>
        <w:color w:val="231F20"/>
        <w:spacing w:val="-25"/>
        <w:w w:val="100"/>
        <w:sz w:val="22"/>
        <w:szCs w:val="22"/>
      </w:rPr>
    </w:lvl>
    <w:lvl w:ilvl="1">
      <w:start w:val="1"/>
      <w:numFmt w:val="bullet"/>
      <w:lvlText w:val="•"/>
      <w:lvlJc w:val="left"/>
      <w:pPr>
        <w:ind w:left="1107" w:hanging="360"/>
      </w:pPr>
      <w:rPr>
        <w:rFonts w:hint="default"/>
      </w:rPr>
    </w:lvl>
    <w:lvl w:ilvl="2">
      <w:start w:val="1"/>
      <w:numFmt w:val="bullet"/>
      <w:lvlText w:val="•"/>
      <w:lvlJc w:val="left"/>
      <w:pPr>
        <w:ind w:left="1734" w:hanging="360"/>
      </w:pPr>
      <w:rPr>
        <w:rFonts w:hint="default"/>
      </w:rPr>
    </w:lvl>
    <w:lvl w:ilvl="3">
      <w:start w:val="1"/>
      <w:numFmt w:val="bullet"/>
      <w:lvlText w:val="•"/>
      <w:lvlJc w:val="left"/>
      <w:pPr>
        <w:ind w:left="2362" w:hanging="360"/>
      </w:pPr>
      <w:rPr>
        <w:rFonts w:hint="default"/>
      </w:rPr>
    </w:lvl>
    <w:lvl w:ilvl="4">
      <w:start w:val="1"/>
      <w:numFmt w:val="bullet"/>
      <w:lvlText w:val="•"/>
      <w:lvlJc w:val="left"/>
      <w:pPr>
        <w:ind w:left="2989" w:hanging="360"/>
      </w:pPr>
      <w:rPr>
        <w:rFonts w:hint="default"/>
      </w:rPr>
    </w:lvl>
    <w:lvl w:ilvl="5">
      <w:start w:val="1"/>
      <w:numFmt w:val="bullet"/>
      <w:lvlText w:val="•"/>
      <w:lvlJc w:val="left"/>
      <w:pPr>
        <w:ind w:left="3617" w:hanging="360"/>
      </w:pPr>
      <w:rPr>
        <w:rFonts w:hint="default"/>
      </w:rPr>
    </w:lvl>
    <w:lvl w:ilvl="6">
      <w:start w:val="1"/>
      <w:numFmt w:val="bullet"/>
      <w:lvlText w:val="•"/>
      <w:lvlJc w:val="left"/>
      <w:pPr>
        <w:ind w:left="4244" w:hanging="360"/>
      </w:pPr>
      <w:rPr>
        <w:rFonts w:hint="default"/>
      </w:rPr>
    </w:lvl>
    <w:lvl w:ilvl="7">
      <w:start w:val="1"/>
      <w:numFmt w:val="bullet"/>
      <w:lvlText w:val="•"/>
      <w:lvlJc w:val="left"/>
      <w:pPr>
        <w:ind w:left="4872" w:hanging="360"/>
      </w:pPr>
      <w:rPr>
        <w:rFonts w:hint="default"/>
      </w:rPr>
    </w:lvl>
    <w:lvl w:ilvl="8">
      <w:start w:val="1"/>
      <w:numFmt w:val="bullet"/>
      <w:lvlText w:val="•"/>
      <w:lvlJc w:val="left"/>
      <w:pPr>
        <w:ind w:left="5499" w:hanging="360"/>
      </w:pPr>
      <w:rPr>
        <w:rFonts w:hint="default"/>
      </w:rPr>
    </w:lvl>
  </w:abstractNum>
  <w:abstractNum w:abstractNumId="0">
    <w:multiLevelType w:val="hybridMultilevel"/>
    <w:lvl w:ilvl="0">
      <w:start w:val="1"/>
      <w:numFmt w:val="bullet"/>
      <w:lvlText w:val="•"/>
      <w:lvlJc w:val="left"/>
      <w:pPr>
        <w:ind w:left="117" w:hanging="120"/>
      </w:pPr>
      <w:rPr>
        <w:rFonts w:hint="default"/>
        <w:w w:val="99"/>
      </w:rPr>
    </w:lvl>
    <w:lvl w:ilvl="1">
      <w:start w:val="1"/>
      <w:numFmt w:val="bullet"/>
      <w:lvlText w:val="•"/>
      <w:lvlJc w:val="left"/>
      <w:pPr>
        <w:ind w:left="809" w:hanging="120"/>
      </w:pPr>
      <w:rPr>
        <w:rFonts w:hint="default"/>
      </w:rPr>
    </w:lvl>
    <w:lvl w:ilvl="2">
      <w:start w:val="1"/>
      <w:numFmt w:val="bullet"/>
      <w:lvlText w:val="•"/>
      <w:lvlJc w:val="left"/>
      <w:pPr>
        <w:ind w:left="1498" w:hanging="120"/>
      </w:pPr>
      <w:rPr>
        <w:rFonts w:hint="default"/>
      </w:rPr>
    </w:lvl>
    <w:lvl w:ilvl="3">
      <w:start w:val="1"/>
      <w:numFmt w:val="bullet"/>
      <w:lvlText w:val="•"/>
      <w:lvlJc w:val="left"/>
      <w:pPr>
        <w:ind w:left="2188" w:hanging="120"/>
      </w:pPr>
      <w:rPr>
        <w:rFonts w:hint="default"/>
      </w:rPr>
    </w:lvl>
    <w:lvl w:ilvl="4">
      <w:start w:val="1"/>
      <w:numFmt w:val="bullet"/>
      <w:lvlText w:val="•"/>
      <w:lvlJc w:val="left"/>
      <w:pPr>
        <w:ind w:left="2877" w:hanging="120"/>
      </w:pPr>
      <w:rPr>
        <w:rFonts w:hint="default"/>
      </w:rPr>
    </w:lvl>
    <w:lvl w:ilvl="5">
      <w:start w:val="1"/>
      <w:numFmt w:val="bullet"/>
      <w:lvlText w:val="•"/>
      <w:lvlJc w:val="left"/>
      <w:pPr>
        <w:ind w:left="3567" w:hanging="120"/>
      </w:pPr>
      <w:rPr>
        <w:rFonts w:hint="default"/>
      </w:rPr>
    </w:lvl>
    <w:lvl w:ilvl="6">
      <w:start w:val="1"/>
      <w:numFmt w:val="bullet"/>
      <w:lvlText w:val="•"/>
      <w:lvlJc w:val="left"/>
      <w:pPr>
        <w:ind w:left="4256" w:hanging="120"/>
      </w:pPr>
      <w:rPr>
        <w:rFonts w:hint="default"/>
      </w:rPr>
    </w:lvl>
    <w:lvl w:ilvl="7">
      <w:start w:val="1"/>
      <w:numFmt w:val="bullet"/>
      <w:lvlText w:val="•"/>
      <w:lvlJc w:val="left"/>
      <w:pPr>
        <w:ind w:left="4946" w:hanging="120"/>
      </w:pPr>
      <w:rPr>
        <w:rFonts w:hint="default"/>
      </w:rPr>
    </w:lvl>
    <w:lvl w:ilvl="8">
      <w:start w:val="1"/>
      <w:numFmt w:val="bullet"/>
      <w:lvlText w:val="•"/>
      <w:lvlJc w:val="left"/>
      <w:pPr>
        <w:ind w:left="5635" w:hanging="120"/>
      </w:pPr>
      <w:rPr>
        <w:rFonts w:hint="default"/>
      </w:rPr>
    </w:lvl>
  </w:abstract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54" w:line="400" w:lineRule="exact"/>
      <w:ind w:left="330" w:right="548"/>
      <w:outlineLvl w:val="1"/>
    </w:pPr>
    <w:rPr>
      <w:rFonts w:ascii="Times New Roman" w:hAnsi="Times New Roman" w:eastAsia="Times New Roman" w:cs="Times New Roman"/>
      <w:b/>
      <w:bCs/>
      <w:sz w:val="40"/>
      <w:szCs w:val="40"/>
    </w:rPr>
  </w:style>
  <w:style w:styleId="Heading2" w:type="paragraph">
    <w:name w:val="Heading 2"/>
    <w:basedOn w:val="Normal"/>
    <w:uiPriority w:val="1"/>
    <w:qFormat/>
    <w:pPr>
      <w:spacing w:before="62"/>
      <w:ind w:left="728" w:right="913"/>
      <w:outlineLvl w:val="2"/>
    </w:pPr>
    <w:rPr>
      <w:rFonts w:ascii="Times New Roman" w:hAnsi="Times New Roman" w:eastAsia="Times New Roman" w:cs="Times New Roman"/>
      <w:sz w:val="30"/>
      <w:szCs w:val="30"/>
    </w:rPr>
  </w:style>
  <w:style w:styleId="Heading3" w:type="paragraph">
    <w:name w:val="Heading 3"/>
    <w:basedOn w:val="Normal"/>
    <w:uiPriority w:val="1"/>
    <w:qFormat/>
    <w:pPr>
      <w:spacing w:before="171"/>
      <w:ind w:left="117"/>
      <w:jc w:val="both"/>
      <w:outlineLvl w:val="3"/>
    </w:pPr>
    <w:rPr>
      <w:rFonts w:ascii="Times New Roman" w:hAnsi="Times New Roman" w:eastAsia="Times New Roman" w:cs="Times New Roman"/>
      <w:b/>
      <w:bCs/>
      <w:sz w:val="24"/>
      <w:szCs w:val="24"/>
    </w:rPr>
  </w:style>
  <w:style w:styleId="Heading4" w:type="paragraph">
    <w:name w:val="Heading 4"/>
    <w:basedOn w:val="Normal"/>
    <w:uiPriority w:val="1"/>
    <w:qFormat/>
    <w:pPr>
      <w:ind w:left="117"/>
      <w:outlineLvl w:val="4"/>
    </w:pPr>
    <w:rPr>
      <w:rFonts w:ascii="Times New Roman" w:hAnsi="Times New Roman" w:eastAsia="Times New Roman" w:cs="Times New Roman"/>
      <w:sz w:val="24"/>
      <w:szCs w:val="24"/>
    </w:rPr>
  </w:style>
  <w:style w:styleId="ListParagraph" w:type="paragraph">
    <w:name w:val="List Paragraph"/>
    <w:basedOn w:val="Normal"/>
    <w:uiPriority w:val="1"/>
    <w:qFormat/>
    <w:pPr>
      <w:ind w:left="477" w:right="115" w:hanging="360"/>
      <w:jc w:val="both"/>
    </w:pPr>
    <w:rPr>
      <w:rFonts w:ascii="Times New Roman" w:hAnsi="Times New Roman" w:eastAsia="Times New Roman" w:cs="Times New Roman"/>
    </w:rPr>
  </w:style>
  <w:style w:styleId="TableParagraph" w:type="paragraph">
    <w:name w:val="Table Paragraph"/>
    <w:basedOn w:val="Normal"/>
    <w:uiPriority w:val="1"/>
    <w:qFormat/>
    <w:pPr>
      <w:jc w:val="righ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jpeg"/><Relationship Id="rId40" Type="http://schemas.openxmlformats.org/officeDocument/2006/relationships/footer" Target="footer1.xml"/><Relationship Id="rId41" Type="http://schemas.openxmlformats.org/officeDocument/2006/relationships/footer" Target="footer2.xml"/><Relationship Id="rId42" Type="http://schemas.openxmlformats.org/officeDocument/2006/relationships/hyperlink" Target="http://www.uaemex.mx/" TargetMode="External"/><Relationship Id="rId43" Type="http://schemas.openxmlformats.org/officeDocument/2006/relationships/hyperlink" Target="mailto:direccioneditorial@uaemex.mx" TargetMode="External"/><Relationship Id="rId44" Type="http://schemas.openxmlformats.org/officeDocument/2006/relationships/image" Target="media/image36.png"/><Relationship Id="rId45" Type="http://schemas.openxmlformats.org/officeDocument/2006/relationships/hyperlink" Target="http://ri.uaemex.mx/" TargetMode="External"/><Relationship Id="rId46" Type="http://schemas.openxmlformats.org/officeDocument/2006/relationships/hyperlink" Target="mailto:pepelescieap@hotmail.com" TargetMode="External"/><Relationship Id="rId47" Type="http://schemas.openxmlformats.org/officeDocument/2006/relationships/hyperlink" Target="mailto:cieps@edomex.gob.mx" TargetMode="External"/><Relationship Id="rId48" Type="http://schemas.openxmlformats.org/officeDocument/2006/relationships/footer" Target="footer3.xml"/><Relationship Id="rId49" Type="http://schemas.openxmlformats.org/officeDocument/2006/relationships/footer" Target="footer4.xml"/><Relationship Id="rId50" Type="http://schemas.openxmlformats.org/officeDocument/2006/relationships/footer" Target="footer5.xml"/><Relationship Id="rId51" Type="http://schemas.openxmlformats.org/officeDocument/2006/relationships/footer" Target="footer6.xml"/><Relationship Id="rId52" Type="http://schemas.openxmlformats.org/officeDocument/2006/relationships/footer" Target="footer7.xml"/><Relationship Id="rId53" Type="http://schemas.openxmlformats.org/officeDocument/2006/relationships/footer" Target="footer8.xml"/><Relationship Id="rId54" Type="http://schemas.openxmlformats.org/officeDocument/2006/relationships/footer" Target="footer9.xml"/><Relationship Id="rId55" Type="http://schemas.openxmlformats.org/officeDocument/2006/relationships/footer" Target="footer10.xml"/><Relationship Id="rId56" Type="http://schemas.openxmlformats.org/officeDocument/2006/relationships/footer" Target="footer11.xml"/><Relationship Id="rId57" Type="http://schemas.openxmlformats.org/officeDocument/2006/relationships/footer" Target="footer12.xml"/><Relationship Id="rId58" Type="http://schemas.openxmlformats.org/officeDocument/2006/relationships/footer" Target="footer13.xml"/><Relationship Id="rId59" Type="http://schemas.openxmlformats.org/officeDocument/2006/relationships/hyperlink" Target="http://redalyc.uaemex/" TargetMode="External"/><Relationship Id="rId60" Type="http://schemas.openxmlformats.org/officeDocument/2006/relationships/footer" Target="footer14.xml"/><Relationship Id="rId61" Type="http://schemas.openxmlformats.org/officeDocument/2006/relationships/hyperlink" Target="mailto:lucilagm76@hotmail.com" TargetMode="External"/><Relationship Id="rId62" Type="http://schemas.openxmlformats.org/officeDocument/2006/relationships/footer" Target="footer15.xml"/><Relationship Id="rId63" Type="http://schemas.openxmlformats.org/officeDocument/2006/relationships/footer" Target="footer16.xml"/><Relationship Id="rId64" Type="http://schemas.openxmlformats.org/officeDocument/2006/relationships/footer" Target="footer17.xml"/><Relationship Id="rId65" Type="http://schemas.openxmlformats.org/officeDocument/2006/relationships/footer" Target="footer18.xml"/><Relationship Id="rId66" Type="http://schemas.openxmlformats.org/officeDocument/2006/relationships/footer" Target="footer19.xml"/><Relationship Id="rId67" Type="http://schemas.openxmlformats.org/officeDocument/2006/relationships/hyperlink" Target="http://www.iadb.org/es/noticias/comunicados-de-prensa/2007-" TargetMode="External"/><Relationship Id="rId68" Type="http://schemas.openxmlformats.org/officeDocument/2006/relationships/hyperlink" Target="http://tecrenat.fcien.edu.uy/Economia/clases/boisier.pdf" TargetMode="External"/><Relationship Id="rId69" Type="http://schemas.openxmlformats.org/officeDocument/2006/relationships/hyperlink" Target="http://www.eclac.cl/publica-" TargetMode="External"/><Relationship Id="rId70" Type="http://schemas.openxmlformats.org/officeDocument/2006/relationships/hyperlink" Target="http://www/" TargetMode="External"/><Relationship Id="rId71" Type="http://schemas.openxmlformats.org/officeDocument/2006/relationships/hyperlink" Target="http://www.revistafuturos.info/futuro_1/graciela3.htm" TargetMode="External"/><Relationship Id="rId72" Type="http://schemas.openxmlformats.org/officeDocument/2006/relationships/hyperlink" Target="http://www.geo.puc.cl/html/revista/PDF/RGNG_" TargetMode="External"/><Relationship Id="rId73" Type="http://schemas.openxmlformats.org/officeDocument/2006/relationships/hyperlink" Target="http://www.gestiopolis.com/canales/economia/arti-" TargetMode="External"/><Relationship Id="rId74" Type="http://schemas.openxmlformats.org/officeDocument/2006/relationships/hyperlink" Target="http://www.census.gov/" TargetMode="External"/><Relationship Id="rId75" Type="http://schemas.openxmlformats.org/officeDocument/2006/relationships/hyperlink" Target="mailto:mohera18@hotmail.com" TargetMode="External"/><Relationship Id="rId76" Type="http://schemas.openxmlformats.org/officeDocument/2006/relationships/footer" Target="footer20.xml"/><Relationship Id="rId77" Type="http://schemas.openxmlformats.org/officeDocument/2006/relationships/footer" Target="footer21.xml"/><Relationship Id="rId78" Type="http://schemas.openxmlformats.org/officeDocument/2006/relationships/footer" Target="footer22.xml"/><Relationship Id="rId79" Type="http://schemas.openxmlformats.org/officeDocument/2006/relationships/footer" Target="footer23.xml"/><Relationship Id="rId80" Type="http://schemas.openxmlformats.org/officeDocument/2006/relationships/hyperlink" Target="http://www.estudiosdefamilia.co/pdfs/Maria%20Cristina%20Palacio.pdf" TargetMode="External"/><Relationship Id="rId81" Type="http://schemas.openxmlformats.org/officeDocument/2006/relationships/hyperlink" Target="mailto:wmejia8a@yahoo.com" TargetMode="External"/><Relationship Id="rId82" Type="http://schemas.openxmlformats.org/officeDocument/2006/relationships/hyperlink" Target="mailto:ycastro@colmex.mx" TargetMode="External"/><Relationship Id="rId83" Type="http://schemas.openxmlformats.org/officeDocument/2006/relationships/footer" Target="footer24.xml"/><Relationship Id="rId84" Type="http://schemas.openxmlformats.org/officeDocument/2006/relationships/footer" Target="footer25.xml"/><Relationship Id="rId85" Type="http://schemas.openxmlformats.org/officeDocument/2006/relationships/footer" Target="footer26.xml"/><Relationship Id="rId86" Type="http://schemas.openxmlformats.org/officeDocument/2006/relationships/footer" Target="footer27.xml"/><Relationship Id="rId87" Type="http://schemas.openxmlformats.org/officeDocument/2006/relationships/footer" Target="footer28.xml"/><Relationship Id="rId88" Type="http://schemas.openxmlformats.org/officeDocument/2006/relationships/footer" Target="footer29.xml"/><Relationship Id="rId89" Type="http://schemas.openxmlformats.org/officeDocument/2006/relationships/hyperlink" Target="http://rimd.reduaz.mx/revista/rev1/JoaquinArango.pdf" TargetMode="External"/><Relationship Id="rId90" Type="http://schemas.openxmlformats.org/officeDocument/2006/relationships/footer" Target="footer30.xml"/><Relationship Id="rId91" Type="http://schemas.openxmlformats.org/officeDocument/2006/relationships/hyperlink" Target="http://docsgedime.files/" TargetMode="External"/><Relationship Id="rId92" Type="http://schemas.openxmlformats.org/officeDocument/2006/relationships/hyperlink" Target="http://www.etnografia.inah.gob.mx/pdf/Linea5b" TargetMode="External"/><Relationship Id="rId93" Type="http://schemas.openxmlformats.org/officeDocument/2006/relationships/hyperlink" Target="mailto:luzmaria.lopez@ucaldas.edu.co" TargetMode="External"/><Relationship Id="rId94" Type="http://schemas.openxmlformats.org/officeDocument/2006/relationships/footer" Target="footer31.xml"/><Relationship Id="rId95" Type="http://schemas.openxmlformats.org/officeDocument/2006/relationships/footer" Target="footer32.xml"/><Relationship Id="rId96" Type="http://schemas.openxmlformats.org/officeDocument/2006/relationships/footer" Target="footer33.xml"/><Relationship Id="rId97" Type="http://schemas.openxmlformats.org/officeDocument/2006/relationships/footer" Target="footer34.xml"/><Relationship Id="rId98" Type="http://schemas.openxmlformats.org/officeDocument/2006/relationships/footer" Target="footer35.xml"/><Relationship Id="rId99" Type="http://schemas.openxmlformats.org/officeDocument/2006/relationships/footer" Target="footer36.xml"/><Relationship Id="rId100" Type="http://schemas.openxmlformats.org/officeDocument/2006/relationships/footer" Target="footer37.xml"/><Relationship Id="rId101" Type="http://schemas.openxmlformats.org/officeDocument/2006/relationships/footer" Target="footer38.xml"/><Relationship Id="rId102" Type="http://schemas.openxmlformats.org/officeDocument/2006/relationships/footer" Target="footer39.xml"/><Relationship Id="rId103" Type="http://schemas.openxmlformats.org/officeDocument/2006/relationships/footer" Target="footer40.xml"/><Relationship Id="rId104" Type="http://schemas.openxmlformats.org/officeDocument/2006/relationships/footer" Target="footer41.xml"/><Relationship Id="rId105" Type="http://schemas.openxmlformats.org/officeDocument/2006/relationships/hyperlink" Target="mailto:mflores@iies-unah.org" TargetMode="External"/><Relationship Id="rId106" Type="http://schemas.openxmlformats.org/officeDocument/2006/relationships/hyperlink" Target="mailto:manuel.flores@unah.edu.hn" TargetMode="External"/><Relationship Id="rId107" Type="http://schemas.openxmlformats.org/officeDocument/2006/relationships/footer" Target="footer42.xml"/><Relationship Id="rId108" Type="http://schemas.openxmlformats.org/officeDocument/2006/relationships/footer" Target="footer43.xml"/><Relationship Id="rId109" Type="http://schemas.openxmlformats.org/officeDocument/2006/relationships/footer" Target="footer44.xml"/><Relationship Id="rId110" Type="http://schemas.openxmlformats.org/officeDocument/2006/relationships/hyperlink" Target="http://www.eclac.org/celade/" TargetMode="External"/><Relationship Id="rId111" Type="http://schemas.openxmlformats.org/officeDocument/2006/relationships/footer" Target="footer45.xml"/><Relationship Id="rId112" Type="http://schemas.openxmlformats.org/officeDocument/2006/relationships/hyperlink" Target="http://www.inm.gob/" TargetMode="External"/><Relationship Id="rId113" Type="http://schemas.openxmlformats.org/officeDocument/2006/relationships/hyperlink" Target="http://www.inm.gob.mx/static/Centro_de_Estudios/Investiga-" TargetMode="External"/><Relationship Id="rId114" Type="http://schemas.openxmlformats.org/officeDocument/2006/relationships/hyperlink" Target="http://www.inm.gob.mx/index.php/page/Antecedentes" TargetMode="External"/><Relationship Id="rId115" Type="http://schemas.openxmlformats.org/officeDocument/2006/relationships/hyperlink" Target="mailto:raul_ciceron@hotmail.com" TargetMode="External"/><Relationship Id="rId116" Type="http://schemas.openxmlformats.org/officeDocument/2006/relationships/footer" Target="footer46.xml"/><Relationship Id="rId117" Type="http://schemas.openxmlformats.org/officeDocument/2006/relationships/footer" Target="footer47.xml"/><Relationship Id="rId118" Type="http://schemas.openxmlformats.org/officeDocument/2006/relationships/footer" Target="footer48.xml"/><Relationship Id="rId119" Type="http://schemas.openxmlformats.org/officeDocument/2006/relationships/footer" Target="footer49.xml"/><Relationship Id="rId120" Type="http://schemas.openxmlformats.org/officeDocument/2006/relationships/footer" Target="footer50.xml"/><Relationship Id="rId121" Type="http://schemas.openxmlformats.org/officeDocument/2006/relationships/footer" Target="footer51.xml"/><Relationship Id="rId122" Type="http://schemas.openxmlformats.org/officeDocument/2006/relationships/footer" Target="footer52.xml"/><Relationship Id="rId123" Type="http://schemas.openxmlformats.org/officeDocument/2006/relationships/footer" Target="footer53.xml"/><Relationship Id="rId124" Type="http://schemas.openxmlformats.org/officeDocument/2006/relationships/footer" Target="footer54.xml"/><Relationship Id="rId125" Type="http://schemas.openxmlformats.org/officeDocument/2006/relationships/image" Target="media/image37.png"/><Relationship Id="rId126" Type="http://schemas.openxmlformats.org/officeDocument/2006/relationships/image" Target="media/image38.png"/><Relationship Id="rId127" Type="http://schemas.openxmlformats.org/officeDocument/2006/relationships/image" Target="media/image39.png"/><Relationship Id="rId128" Type="http://schemas.openxmlformats.org/officeDocument/2006/relationships/image" Target="media/image40.png"/><Relationship Id="rId129" Type="http://schemas.openxmlformats.org/officeDocument/2006/relationships/image" Target="media/image41.png"/><Relationship Id="rId130" Type="http://schemas.openxmlformats.org/officeDocument/2006/relationships/image" Target="media/image42.png"/><Relationship Id="rId131" Type="http://schemas.openxmlformats.org/officeDocument/2006/relationships/image" Target="media/image43.png"/><Relationship Id="rId132" Type="http://schemas.openxmlformats.org/officeDocument/2006/relationships/image" Target="media/image44.png"/><Relationship Id="rId133" Type="http://schemas.openxmlformats.org/officeDocument/2006/relationships/image" Target="media/image45.png"/><Relationship Id="rId134" Type="http://schemas.openxmlformats.org/officeDocument/2006/relationships/image" Target="media/image46.png"/><Relationship Id="rId135" Type="http://schemas.openxmlformats.org/officeDocument/2006/relationships/footer" Target="footer55.xml"/><Relationship Id="rId136" Type="http://schemas.openxmlformats.org/officeDocument/2006/relationships/footer" Target="footer56.xml"/><Relationship Id="rId137" Type="http://schemas.openxmlformats.org/officeDocument/2006/relationships/footer" Target="footer57.xml"/><Relationship Id="rId138" Type="http://schemas.openxmlformats.org/officeDocument/2006/relationships/footer" Target="footer58.xml"/><Relationship Id="rId139" Type="http://schemas.openxmlformats.org/officeDocument/2006/relationships/footer" Target="footer59.xml"/><Relationship Id="rId140" Type="http://schemas.openxmlformats.org/officeDocument/2006/relationships/footer" Target="footer60.xml"/><Relationship Id="rId141" Type="http://schemas.openxmlformats.org/officeDocument/2006/relationships/footer" Target="footer61.xml"/><Relationship Id="rId142" Type="http://schemas.openxmlformats.org/officeDocument/2006/relationships/footer" Target="footer62.xml"/><Relationship Id="rId143" Type="http://schemas.openxmlformats.org/officeDocument/2006/relationships/image" Target="media/image47.png"/><Relationship Id="rId144" Type="http://schemas.openxmlformats.org/officeDocument/2006/relationships/footer" Target="footer63.xml"/><Relationship Id="rId145" Type="http://schemas.openxmlformats.org/officeDocument/2006/relationships/footer" Target="footer64.xml"/><Relationship Id="rId146" Type="http://schemas.openxmlformats.org/officeDocument/2006/relationships/image" Target="media/image48.png"/><Relationship Id="rId147" Type="http://schemas.openxmlformats.org/officeDocument/2006/relationships/footer" Target="footer65.xml"/><Relationship Id="rId148" Type="http://schemas.openxmlformats.org/officeDocument/2006/relationships/hyperlink" Target="http://ninguna-/" TargetMode="External"/><Relationship Id="rId149" Type="http://schemas.openxmlformats.org/officeDocument/2006/relationships/hyperlink" Target="http://www.bancomundial.org/consul-" TargetMode="External"/><Relationship Id="rId150" Type="http://schemas.openxmlformats.org/officeDocument/2006/relationships/hyperlink" Target="http://midehoyenlaeconomia.blogspot.mx/2012/07/los-migrantes-mexicanos-y-" TargetMode="External"/><Relationship Id="rId151" Type="http://schemas.openxmlformats.org/officeDocument/2006/relationships/hyperlink" Target="http://www.revistafuturos.info/futu-" TargetMode="External"/><Relationship Id="rId152" Type="http://schemas.openxmlformats.org/officeDocument/2006/relationships/footer" Target="footer66.xml"/><Relationship Id="rId153" Type="http://schemas.openxmlformats.org/officeDocument/2006/relationships/hyperlink" Target="http://www.conapo.gob.mx/work/models/" TargetMode="External"/><Relationship Id="rId154" Type="http://schemas.openxmlformats.org/officeDocument/2006/relationships/hyperlink" Target="http://estudiosdeldesarrollo.net/observatorio/ob2/2.pdf" TargetMode="External"/><Relationship Id="rId155" Type="http://schemas.openxmlformats.org/officeDocument/2006/relationships/hyperlink" Target="http://www.dhs.gov/xlibrary/assets/statistics/yearbook/2009/ois_yb_2009.pdf" TargetMode="External"/><Relationship Id="rId156" Type="http://schemas.openxmlformats.org/officeDocument/2006/relationships/hyperlink" Target="http://iscabt.wordpress.com/2011/03/13/impacto-de-" TargetMode="External"/><Relationship Id="rId157" Type="http://schemas.openxmlformats.org/officeDocument/2006/relationships/hyperlink" Target="http://lialdia.com/2010/01/economia-y-migracion-informe-especial/" TargetMode="External"/><Relationship Id="rId158" Type="http://schemas.openxmlformats.org/officeDocument/2006/relationships/footer" Target="footer67.xml"/><Relationship Id="rId159" Type="http://schemas.openxmlformats.org/officeDocument/2006/relationships/hyperlink" Target="http://www.iom.int/jahia/Jahia/about-migration/facts-and-figures" TargetMode="External"/><Relationship Id="rId160" Type="http://schemas.openxmlformats.org/officeDocument/2006/relationships/hyperlink" Target="http://paisano.gob.mx/pdfs/Hispanos_de_origen_mexicano" TargetMode="External"/><Relationship Id="rId161" Type="http://schemas.openxmlformats.org/officeDocument/2006/relationships/hyperlink" Target="http://paisano.gob.mx/pdfs/Hispanos_de_origen_mexi-" TargetMode="External"/><Relationship Id="rId162" Type="http://schemas.openxmlformats.org/officeDocument/2006/relationships/hyperlink" Target="http://www.lai.at/wissenschaft/arge-oelaf/files/santana.pdf" TargetMode="External"/><Relationship Id="rId163" Type="http://schemas.openxmlformats.org/officeDocument/2006/relationships/hyperlink" Target="mailto:esfigue_3@yahoo.com.mx" TargetMode="External"/><Relationship Id="rId164" Type="http://schemas.openxmlformats.org/officeDocument/2006/relationships/hyperlink" Target="mailto:perezsotof@hotmail.com" TargetMode="External"/><Relationship Id="rId165" Type="http://schemas.openxmlformats.org/officeDocument/2006/relationships/footer" Target="footer68.xml"/><Relationship Id="rId166" Type="http://schemas.openxmlformats.org/officeDocument/2006/relationships/footer" Target="footer69.xml"/><Relationship Id="rId167" Type="http://schemas.openxmlformats.org/officeDocument/2006/relationships/footer" Target="footer70.xml"/><Relationship Id="rId168" Type="http://schemas.openxmlformats.org/officeDocument/2006/relationships/hyperlink" Target="http://www.census.gov/prod/cen2010/briefs/c2010br-02.pdf" TargetMode="External"/><Relationship Id="rId169" Type="http://schemas.openxmlformats.org/officeDocument/2006/relationships/footer" Target="footer71.xml"/><Relationship Id="rId170" Type="http://schemas.openxmlformats.org/officeDocument/2006/relationships/hyperlink" Target="http://rimd.reduaz.mx/do-" TargetMode="External"/><Relationship Id="rId171" Type="http://schemas.openxmlformats.org/officeDocument/2006/relationships/hyperlink" Target="mailto:adiazgaray@gmail.com" TargetMode="External"/><Relationship Id="rId172" Type="http://schemas.openxmlformats.org/officeDocument/2006/relationships/footer" Target="footer72.xml"/><Relationship Id="rId173" Type="http://schemas.openxmlformats.org/officeDocument/2006/relationships/footer" Target="footer73.xml"/><Relationship Id="rId174" Type="http://schemas.openxmlformats.org/officeDocument/2006/relationships/image" Target="media/image49.png"/><Relationship Id="rId175" Type="http://schemas.openxmlformats.org/officeDocument/2006/relationships/image" Target="media/image50.png"/><Relationship Id="rId176" Type="http://schemas.openxmlformats.org/officeDocument/2006/relationships/footer" Target="footer74.xml"/><Relationship Id="rId177" Type="http://schemas.openxmlformats.org/officeDocument/2006/relationships/footer" Target="footer75.xml"/><Relationship Id="rId178" Type="http://schemas.openxmlformats.org/officeDocument/2006/relationships/hyperlink" Target="http://www.sintesys.cl/complexus/revista7/pdf/Alama.pdf" TargetMode="External"/><Relationship Id="rId179" Type="http://schemas.openxmlformats.org/officeDocument/2006/relationships/hyperlink" Target="http://www.eumed.net/libros/" TargetMode="External"/><Relationship Id="rId180" Type="http://schemas.openxmlformats.org/officeDocument/2006/relationships/hyperlink" Target="mailto:darckmoon_sm@hotmail.com" TargetMode="External"/><Relationship Id="rId181" Type="http://schemas.openxmlformats.org/officeDocument/2006/relationships/hyperlink" Target="mailto:najalita_103@yahoo.com.mx" TargetMode="External"/><Relationship Id="rId182" Type="http://schemas.openxmlformats.org/officeDocument/2006/relationships/footer" Target="footer76.xml"/><Relationship Id="rId183" Type="http://schemas.openxmlformats.org/officeDocument/2006/relationships/footer" Target="footer77.xml"/><Relationship Id="rId184" Type="http://schemas.openxmlformats.org/officeDocument/2006/relationships/hyperlink" Target="mailto:artelora@hotmail.com" TargetMode="External"/><Relationship Id="rId185" Type="http://schemas.openxmlformats.org/officeDocument/2006/relationships/footer" Target="footer78.xml"/><Relationship Id="rId186" Type="http://schemas.openxmlformats.org/officeDocument/2006/relationships/footer" Target="footer79.xml"/><Relationship Id="rId187" Type="http://schemas.openxmlformats.org/officeDocument/2006/relationships/footer" Target="footer80.xml"/><Relationship Id="rId188" Type="http://schemas.openxmlformats.org/officeDocument/2006/relationships/footer" Target="footer81.xml"/><Relationship Id="rId189" Type="http://schemas.openxmlformats.org/officeDocument/2006/relationships/footer" Target="footer82.xml"/><Relationship Id="rId190" Type="http://schemas.openxmlformats.org/officeDocument/2006/relationships/hyperlink" Target="mailto:ijmay@yahoo.com.mx" TargetMode="External"/><Relationship Id="rId191" Type="http://schemas.openxmlformats.org/officeDocument/2006/relationships/footer" Target="footer83.xml"/><Relationship Id="rId192" Type="http://schemas.openxmlformats.org/officeDocument/2006/relationships/footer" Target="footer84.xml"/><Relationship Id="rId193" Type="http://schemas.openxmlformats.org/officeDocument/2006/relationships/footer" Target="footer85.xml"/><Relationship Id="rId194" Type="http://schemas.openxmlformats.org/officeDocument/2006/relationships/footer" Target="footer86.xml"/><Relationship Id="rId195" Type="http://schemas.openxmlformats.org/officeDocument/2006/relationships/footer" Target="footer87.xml"/><Relationship Id="rId196" Type="http://schemas.openxmlformats.org/officeDocument/2006/relationships/hyperlink" Target="mailto:rpromanr@uaemex.mx" TargetMode="External"/><Relationship Id="rId197" Type="http://schemas.openxmlformats.org/officeDocument/2006/relationships/hyperlink" Target="mailto:gonzalezg2012@hotmail.com" TargetMode="External"/><Relationship Id="rId198" Type="http://schemas.openxmlformats.org/officeDocument/2006/relationships/hyperlink" Target="mailto:josesoberon2004@yahoo.com" TargetMode="External"/><Relationship Id="rId199" Type="http://schemas.openxmlformats.org/officeDocument/2006/relationships/footer" Target="footer88.xml"/><Relationship Id="rId200" Type="http://schemas.openxmlformats.org/officeDocument/2006/relationships/footer" Target="footer89.xml"/><Relationship Id="rId201" Type="http://schemas.openxmlformats.org/officeDocument/2006/relationships/footer" Target="footer90.xml"/><Relationship Id="rId202" Type="http://schemas.openxmlformats.org/officeDocument/2006/relationships/footer" Target="footer91.xml"/><Relationship Id="rId203" Type="http://schemas.openxmlformats.org/officeDocument/2006/relationships/hyperlink" Target="http://www.conapo.gob.mx/mig_int/s2008/01.htm" TargetMode="External"/><Relationship Id="rId204" Type="http://schemas.openxmlformats.org/officeDocument/2006/relationships/hyperlink" Target="mailto:diglesiasp@uaemex.mx" TargetMode="External"/><Relationship Id="rId205" Type="http://schemas.openxmlformats.org/officeDocument/2006/relationships/footer" Target="footer92.xml"/><Relationship Id="rId206" Type="http://schemas.openxmlformats.org/officeDocument/2006/relationships/footer" Target="footer93.xml"/><Relationship Id="rId207" Type="http://schemas.openxmlformats.org/officeDocument/2006/relationships/footer" Target="footer94.xml"/><Relationship Id="rId208" Type="http://schemas.openxmlformats.org/officeDocument/2006/relationships/footer" Target="footer95.xml"/><Relationship Id="rId209" Type="http://schemas.openxmlformats.org/officeDocument/2006/relationships/image" Target="media/image51.jpeg"/><Relationship Id="rId210" Type="http://schemas.openxmlformats.org/officeDocument/2006/relationships/footer" Target="footer96.xml"/><Relationship Id="rId211" Type="http://schemas.openxmlformats.org/officeDocument/2006/relationships/footer" Target="footer97.xml"/><Relationship Id="rId212" Type="http://schemas.openxmlformats.org/officeDocument/2006/relationships/image" Target="media/image52.jpeg"/><Relationship Id="rId213" Type="http://schemas.openxmlformats.org/officeDocument/2006/relationships/footer" Target="footer98.xml"/><Relationship Id="rId214" Type="http://schemas.openxmlformats.org/officeDocument/2006/relationships/footer" Target="footer99.xml"/><Relationship Id="rId215" Type="http://schemas.openxmlformats.org/officeDocument/2006/relationships/footer" Target="footer100.xml"/><Relationship Id="rId216" Type="http://schemas.openxmlformats.org/officeDocument/2006/relationships/hyperlink" Target="http://www2.eluniversal.com.mx/pls/impreso/noticia.html?id_nota=24413&amp;amp;tabla=finanzas" TargetMode="External"/><Relationship Id="rId217" Type="http://schemas.openxmlformats.org/officeDocument/2006/relationships/hyperlink" Target="http://www.profeco.gob.mx/envio/comocalcula.asp" TargetMode="External"/><Relationship Id="rId218" Type="http://schemas.openxmlformats.org/officeDocument/2006/relationships/hyperlink" Target="http://www.banxico.org.mx/documents/" TargetMode="External"/><Relationship Id="rId219" Type="http://schemas.openxmlformats.org/officeDocument/2006/relationships/hyperlink" Target="http://www.banxico.org.mx/polmoneinflacion/estadisticas/balanzaPagos/balanzaPagos" TargetMode="External"/><Relationship Id="rId220" Type="http://schemas.openxmlformats.org/officeDocument/2006/relationships/hyperlink" Target="http://www.iadb.org/" TargetMode="External"/><Relationship Id="rId221" Type="http://schemas.openxmlformats.org/officeDocument/2006/relationships/footer" Target="footer101.xml"/><Relationship Id="rId222" Type="http://schemas.openxmlformats.org/officeDocument/2006/relationships/hyperlink" Target="http://www.conapo.gob.mx/mig_int/s2008/mate-" TargetMode="External"/><Relationship Id="rId223" Type="http://schemas.openxmlformats.org/officeDocument/2006/relationships/hyperlink" Target="http://www.oim.org.gt/" TargetMode="External"/><Relationship Id="rId224" Type="http://schemas.openxmlformats.org/officeDocument/2006/relationships/footer" Target="footer102.xml"/><Relationship Id="rId225" Type="http://schemas.openxmlformats.org/officeDocument/2006/relationships/hyperlink" Target="mailto:cmarcial@elcolegiodelestadodehidalgo.edu.mx" TargetMode="External"/><Relationship Id="rId226" Type="http://schemas.openxmlformats.org/officeDocument/2006/relationships/footer" Target="footer103.xml"/><Relationship Id="rId227" Type="http://schemas.openxmlformats.org/officeDocument/2006/relationships/footer" Target="footer104.xml"/><Relationship Id="rId228" Type="http://schemas.openxmlformats.org/officeDocument/2006/relationships/footer" Target="footer105.xml"/><Relationship Id="rId229" Type="http://schemas.openxmlformats.org/officeDocument/2006/relationships/footer" Target="footer106.xml"/><Relationship Id="rId230" Type="http://schemas.openxmlformats.org/officeDocument/2006/relationships/hyperlink" Target="http://www.iom.int/jahia/" TargetMode="External"/><Relationship Id="rId231" Type="http://schemas.openxmlformats.org/officeDocument/2006/relationships/footer" Target="footer107.xml"/><Relationship Id="rId232" Type="http://schemas.openxmlformats.org/officeDocument/2006/relationships/footer" Target="footer108.xml"/><Relationship Id="rId233" Type="http://schemas.openxmlformats.org/officeDocument/2006/relationships/footer" Target="footer109.xml"/><Relationship Id="rId234" Type="http://schemas.openxmlformats.org/officeDocument/2006/relationships/hyperlink" Target="http://www.bbvaresearch.com/KETD/fbin/mult/WP_1105_Mexi-" TargetMode="External"/><Relationship Id="rId235" Type="http://schemas.openxmlformats.org/officeDocument/2006/relationships/hyperlink" Target="http://xivrem.ujaen.es/wp-content/uploads/2011/11/9-R-" TargetMode="External"/><Relationship Id="rId236" Type="http://schemas.openxmlformats.org/officeDocument/2006/relationships/hyperlink" Target="http://www.conapo.gob.mx/work/" TargetMode="External"/><Relationship Id="rId237" Type="http://schemas.openxmlformats.org/officeDocument/2006/relationships/hyperlink" Target="mailto:rafaellvegal@gmail.com" TargetMode="External"/><Relationship Id="rId238" Type="http://schemas.openxmlformats.org/officeDocument/2006/relationships/footer" Target="footer110.xml"/><Relationship Id="rId239" Type="http://schemas.openxmlformats.org/officeDocument/2006/relationships/footer" Target="footer111.xml"/><Relationship Id="rId240" Type="http://schemas.openxmlformats.org/officeDocument/2006/relationships/footer" Target="footer112.xml"/><Relationship Id="rId241" Type="http://schemas.openxmlformats.org/officeDocument/2006/relationships/footer" Target="footer113.xml"/><Relationship Id="rId242" Type="http://schemas.openxmlformats.org/officeDocument/2006/relationships/hyperlink" Target="http://www.inm.gob.mx/static/marco_juridico/pdf/Presen-" TargetMode="External"/><Relationship Id="rId243" Type="http://schemas.openxmlformats.org/officeDocument/2006/relationships/hyperlink" Target="mailto:lancelot56@gmail.com" TargetMode="External"/><Relationship Id="rId244" Type="http://schemas.openxmlformats.org/officeDocument/2006/relationships/footer" Target="footer114.xml"/><Relationship Id="rId245" Type="http://schemas.openxmlformats.org/officeDocument/2006/relationships/footer" Target="footer115.xml"/><Relationship Id="rId246" Type="http://schemas.openxmlformats.org/officeDocument/2006/relationships/footer" Target="footer116.xml"/><Relationship Id="rId247" Type="http://schemas.openxmlformats.org/officeDocument/2006/relationships/footer" Target="footer117.xml"/><Relationship Id="rId248" Type="http://schemas.openxmlformats.org/officeDocument/2006/relationships/image" Target="media/image53.png"/><Relationship Id="rId249" Type="http://schemas.openxmlformats.org/officeDocument/2006/relationships/image" Target="media/image54.png"/><Relationship Id="rId250" Type="http://schemas.openxmlformats.org/officeDocument/2006/relationships/footer" Target="footer118.xml"/><Relationship Id="rId251" Type="http://schemas.openxmlformats.org/officeDocument/2006/relationships/footer" Target="footer119.xml"/><Relationship Id="rId252" Type="http://schemas.openxmlformats.org/officeDocument/2006/relationships/footer" Target="footer120.xml"/><Relationship Id="rId253" Type="http://schemas.openxmlformats.org/officeDocument/2006/relationships/hyperlink" Target="http://www.inegi.org.mx/sistemas/bie/?idserPadre=10000210&amp;amp;D10000210" TargetMode="External"/><Relationship Id="rId254" Type="http://schemas.openxmlformats.org/officeDocument/2006/relationships/hyperlink" Target="http://www.ilo.org/global/topics/child-labour/lang--es/" TargetMode="External"/><Relationship Id="rId255" Type="http://schemas.openxmlformats.org/officeDocument/2006/relationships/hyperlink" Target="http://www.selvas.eu/dossNAT4Es.html" TargetMode="External"/><Relationship Id="rId256" Type="http://schemas.openxmlformats.org/officeDocument/2006/relationships/hyperlink" Target="http://www.unicef.org/spanish/crc/" TargetMode="External"/><Relationship Id="rId257" Type="http://schemas.openxmlformats.org/officeDocument/2006/relationships/hyperlink" Target="mailto:silvia_aguilar@uaeh.edu.mx" TargetMode="External"/><Relationship Id="rId258" Type="http://schemas.openxmlformats.org/officeDocument/2006/relationships/hyperlink" Target="mailto:belindaeconomist@yahoo.com.mx" TargetMode="External"/><Relationship Id="rId25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2017-06-01T01:47:20Z</dcterms:created>
  <dcterms:modified xsi:type="dcterms:W3CDTF">2017-06-01T01:47:20Z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2014-05-08T00:00:00Z</vt:filetime>
  </property>
  <property fmtid="{D5CDD505-2E9C-101B-9397-08002B2CF9AE}" pid="3" name="Creator">
    <vt:lpwstr>Adobe InDesign CS5.5 (7.5.1)</vt:lpwstr>
  </property>
  <property fmtid="{D5CDD505-2E9C-101B-9397-08002B2CF9AE}" pid="4" name="LastSaved">
    <vt:filetime>2017-05-31T00:00:00Z</vt:filetime>
  </property>
</Properties>
</file>